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C8352" w14:textId="77777777" w:rsidR="003E78AB" w:rsidRDefault="003E78AB">
      <w:pPr>
        <w:pStyle w:val="B0"/>
        <w:widowControl w:val="0"/>
        <w:ind w:firstLine="1040"/>
        <w:rPr>
          <w:rFonts w:cs="Times New Roman"/>
          <w:sz w:val="52"/>
        </w:rPr>
      </w:pPr>
      <w:bookmarkStart w:id="0" w:name="_Hlk162881951"/>
    </w:p>
    <w:p w14:paraId="08068FC6" w14:textId="77777777" w:rsidR="003E78AB" w:rsidRDefault="003E78AB">
      <w:pPr>
        <w:pStyle w:val="B0"/>
        <w:widowControl w:val="0"/>
        <w:ind w:firstLine="480"/>
        <w:rPr>
          <w:rFonts w:cs="Times New Roman"/>
        </w:rPr>
      </w:pPr>
    </w:p>
    <w:p w14:paraId="7EC64E22" w14:textId="77777777" w:rsidR="003E78AB" w:rsidRDefault="003E78AB">
      <w:pPr>
        <w:pStyle w:val="B0"/>
        <w:widowControl w:val="0"/>
        <w:ind w:firstLine="480"/>
        <w:rPr>
          <w:rFonts w:cs="Times New Roman"/>
        </w:rPr>
      </w:pPr>
    </w:p>
    <w:p w14:paraId="18B058D4" w14:textId="77777777" w:rsidR="003E78AB" w:rsidRDefault="003E78AB">
      <w:pPr>
        <w:pStyle w:val="B0"/>
        <w:widowControl w:val="0"/>
        <w:ind w:firstLine="480"/>
        <w:rPr>
          <w:rFonts w:cs="Times New Roman"/>
        </w:rPr>
      </w:pPr>
    </w:p>
    <w:p w14:paraId="404C74D6" w14:textId="77777777" w:rsidR="003E78AB" w:rsidRDefault="00010BF9">
      <w:pPr>
        <w:spacing w:line="240" w:lineRule="auto"/>
        <w:ind w:firstLineChars="0" w:firstLine="0"/>
        <w:jc w:val="center"/>
        <w:rPr>
          <w:rFonts w:eastAsia="黑体"/>
          <w:b/>
          <w:snapToGrid w:val="0"/>
          <w:sz w:val="44"/>
          <w:szCs w:val="44"/>
        </w:rPr>
      </w:pPr>
      <w:r>
        <w:rPr>
          <w:rFonts w:eastAsia="黑体" w:hint="eastAsia"/>
          <w:b/>
          <w:snapToGrid w:val="0"/>
          <w:sz w:val="44"/>
          <w:szCs w:val="44"/>
        </w:rPr>
        <w:t>星辰新能</w:t>
      </w:r>
      <w:r>
        <w:rPr>
          <w:rFonts w:eastAsia="黑体" w:hint="eastAsia"/>
          <w:b/>
          <w:snapToGrid w:val="0"/>
          <w:sz w:val="44"/>
          <w:szCs w:val="44"/>
        </w:rPr>
        <w:t>(</w:t>
      </w:r>
      <w:r>
        <w:rPr>
          <w:rFonts w:eastAsia="黑体" w:hint="eastAsia"/>
          <w:b/>
          <w:snapToGrid w:val="0"/>
          <w:sz w:val="44"/>
          <w:szCs w:val="44"/>
        </w:rPr>
        <w:t>哈密</w:t>
      </w:r>
      <w:r>
        <w:rPr>
          <w:rFonts w:eastAsia="黑体" w:hint="eastAsia"/>
          <w:b/>
          <w:snapToGrid w:val="0"/>
          <w:sz w:val="44"/>
          <w:szCs w:val="44"/>
        </w:rPr>
        <w:t>)</w:t>
      </w:r>
      <w:r>
        <w:rPr>
          <w:rFonts w:eastAsia="黑体" w:hint="eastAsia"/>
          <w:b/>
          <w:snapToGrid w:val="0"/>
          <w:sz w:val="44"/>
          <w:szCs w:val="44"/>
        </w:rPr>
        <w:t>科技有限公司</w:t>
      </w:r>
    </w:p>
    <w:p w14:paraId="502B1BF2" w14:textId="77777777" w:rsidR="003E78AB" w:rsidRDefault="00010BF9">
      <w:pPr>
        <w:spacing w:line="240" w:lineRule="auto"/>
        <w:ind w:firstLineChars="0" w:firstLine="0"/>
        <w:jc w:val="center"/>
        <w:rPr>
          <w:rFonts w:eastAsia="黑体"/>
          <w:b/>
          <w:snapToGrid w:val="0"/>
          <w:sz w:val="44"/>
          <w:szCs w:val="44"/>
        </w:rPr>
      </w:pPr>
      <w:r>
        <w:rPr>
          <w:rFonts w:eastAsia="黑体"/>
          <w:b/>
          <w:snapToGrid w:val="0"/>
          <w:sz w:val="44"/>
          <w:szCs w:val="44"/>
        </w:rPr>
        <w:t>高活性全钒液流电池电解液生产项目</w:t>
      </w:r>
    </w:p>
    <w:p w14:paraId="20DBE377" w14:textId="77777777" w:rsidR="003E78AB" w:rsidRDefault="00010BF9">
      <w:pPr>
        <w:spacing w:line="240" w:lineRule="auto"/>
        <w:ind w:firstLineChars="0" w:firstLine="0"/>
        <w:jc w:val="center"/>
        <w:rPr>
          <w:rFonts w:eastAsia="黑体"/>
          <w:b/>
          <w:snapToGrid w:val="0"/>
          <w:sz w:val="44"/>
          <w:szCs w:val="44"/>
        </w:rPr>
      </w:pPr>
      <w:r>
        <w:rPr>
          <w:rFonts w:eastAsia="黑体"/>
          <w:b/>
          <w:snapToGrid w:val="0"/>
          <w:sz w:val="44"/>
          <w:szCs w:val="44"/>
        </w:rPr>
        <w:t>（一期）</w:t>
      </w:r>
    </w:p>
    <w:p w14:paraId="2EB209D3" w14:textId="77777777" w:rsidR="003E78AB" w:rsidRDefault="003E78AB">
      <w:pPr>
        <w:pStyle w:val="B0"/>
        <w:widowControl w:val="0"/>
        <w:ind w:firstLine="480"/>
        <w:rPr>
          <w:rFonts w:eastAsia="黑体" w:cs="Times New Roman"/>
          <w:snapToGrid w:val="0"/>
        </w:rPr>
      </w:pPr>
    </w:p>
    <w:p w14:paraId="7F2FA2F7" w14:textId="77777777" w:rsidR="003E78AB" w:rsidRDefault="00010BF9">
      <w:pPr>
        <w:spacing w:beforeLines="50" w:before="156" w:afterLines="50" w:after="156" w:line="360" w:lineRule="auto"/>
        <w:ind w:firstLineChars="0" w:firstLine="0"/>
        <w:jc w:val="center"/>
        <w:rPr>
          <w:rFonts w:eastAsia="黑体"/>
          <w:b/>
          <w:spacing w:val="20"/>
          <w:sz w:val="72"/>
          <w:szCs w:val="72"/>
        </w:rPr>
      </w:pPr>
      <w:r>
        <w:rPr>
          <w:rFonts w:eastAsia="黑体"/>
          <w:b/>
          <w:spacing w:val="20"/>
          <w:sz w:val="72"/>
          <w:szCs w:val="72"/>
        </w:rPr>
        <w:t>环境影响报告书</w:t>
      </w:r>
    </w:p>
    <w:p w14:paraId="618BCA3A" w14:textId="77777777" w:rsidR="003E78AB" w:rsidRDefault="00010BF9">
      <w:pPr>
        <w:ind w:firstLineChars="0" w:firstLine="0"/>
        <w:jc w:val="center"/>
        <w:rPr>
          <w:rFonts w:eastAsia="黑体"/>
          <w:b/>
          <w:bCs/>
          <w:spacing w:val="20"/>
          <w:sz w:val="72"/>
          <w:szCs w:val="72"/>
        </w:rPr>
      </w:pPr>
      <w:r>
        <w:rPr>
          <w:rFonts w:eastAsia="黑体"/>
          <w:b/>
          <w:bCs/>
        </w:rPr>
        <w:t>（初稿）</w:t>
      </w:r>
    </w:p>
    <w:p w14:paraId="4AD9ED82" w14:textId="77777777" w:rsidR="003E78AB" w:rsidRDefault="003E78AB">
      <w:pPr>
        <w:pStyle w:val="B0"/>
        <w:widowControl w:val="0"/>
        <w:ind w:firstLineChars="0" w:firstLine="0"/>
        <w:jc w:val="center"/>
        <w:rPr>
          <w:rFonts w:eastAsia="黑体" w:cs="Times New Roman"/>
        </w:rPr>
      </w:pPr>
    </w:p>
    <w:p w14:paraId="25797749" w14:textId="77777777" w:rsidR="003E78AB" w:rsidRDefault="003E78AB">
      <w:pPr>
        <w:pStyle w:val="B1"/>
        <w:widowControl w:val="0"/>
        <w:rPr>
          <w:rFonts w:cs="Times New Roman"/>
        </w:rPr>
      </w:pPr>
    </w:p>
    <w:p w14:paraId="3FE1E3F1" w14:textId="77777777" w:rsidR="003E78AB" w:rsidRDefault="003E78AB">
      <w:pPr>
        <w:pStyle w:val="B1"/>
        <w:widowControl w:val="0"/>
        <w:rPr>
          <w:rFonts w:cs="Times New Roman"/>
        </w:rPr>
      </w:pPr>
    </w:p>
    <w:p w14:paraId="57F265C6" w14:textId="77777777" w:rsidR="003E78AB" w:rsidRDefault="003E78AB">
      <w:pPr>
        <w:pStyle w:val="B1"/>
        <w:widowControl w:val="0"/>
        <w:rPr>
          <w:rFonts w:cs="Times New Roman"/>
        </w:rPr>
      </w:pPr>
    </w:p>
    <w:p w14:paraId="093732E0" w14:textId="77777777" w:rsidR="003E78AB" w:rsidRDefault="003E78AB">
      <w:pPr>
        <w:pStyle w:val="B1"/>
        <w:widowControl w:val="0"/>
        <w:rPr>
          <w:rFonts w:cs="Times New Roman"/>
        </w:rPr>
      </w:pPr>
    </w:p>
    <w:p w14:paraId="25A77BF7" w14:textId="77777777" w:rsidR="003E78AB" w:rsidRDefault="003E78AB">
      <w:pPr>
        <w:pStyle w:val="B1"/>
        <w:widowControl w:val="0"/>
        <w:rPr>
          <w:rFonts w:cs="Times New Roman"/>
        </w:rPr>
      </w:pPr>
    </w:p>
    <w:p w14:paraId="254B7C3D" w14:textId="77777777" w:rsidR="003E78AB" w:rsidRDefault="003E78AB">
      <w:pPr>
        <w:pStyle w:val="B1"/>
        <w:widowControl w:val="0"/>
        <w:rPr>
          <w:rFonts w:cs="Times New Roman"/>
        </w:rPr>
      </w:pPr>
    </w:p>
    <w:p w14:paraId="5BE9EAE7" w14:textId="77777777" w:rsidR="003E78AB" w:rsidRDefault="003E78AB">
      <w:pPr>
        <w:pStyle w:val="B1"/>
        <w:widowControl w:val="0"/>
        <w:rPr>
          <w:rFonts w:cs="Times New Roman"/>
        </w:rPr>
      </w:pPr>
    </w:p>
    <w:p w14:paraId="37E58958" w14:textId="77777777" w:rsidR="003E78AB" w:rsidRDefault="003E78AB">
      <w:pPr>
        <w:pStyle w:val="B1"/>
        <w:widowControl w:val="0"/>
        <w:rPr>
          <w:rFonts w:cs="Times New Roman"/>
        </w:rPr>
      </w:pPr>
    </w:p>
    <w:p w14:paraId="7BD2BE3F" w14:textId="77777777" w:rsidR="003E78AB" w:rsidRDefault="003E78AB">
      <w:pPr>
        <w:pStyle w:val="B1"/>
        <w:widowControl w:val="0"/>
        <w:rPr>
          <w:rFonts w:cs="Times New Roman"/>
        </w:rPr>
      </w:pPr>
    </w:p>
    <w:p w14:paraId="5ED96973" w14:textId="77777777" w:rsidR="003E78AB" w:rsidRDefault="003E78AB">
      <w:pPr>
        <w:pStyle w:val="B1"/>
        <w:widowControl w:val="0"/>
        <w:rPr>
          <w:rFonts w:cs="Times New Roman"/>
        </w:rPr>
      </w:pPr>
    </w:p>
    <w:p w14:paraId="55AF56A3" w14:textId="77777777" w:rsidR="003E78AB" w:rsidRDefault="003E78AB">
      <w:pPr>
        <w:pStyle w:val="B1"/>
        <w:widowControl w:val="0"/>
        <w:rPr>
          <w:rFonts w:cs="Times New Roman"/>
        </w:rPr>
      </w:pPr>
    </w:p>
    <w:p w14:paraId="429BA0B4" w14:textId="77777777" w:rsidR="003E78AB" w:rsidRDefault="003E78AB">
      <w:pPr>
        <w:pStyle w:val="B1"/>
        <w:widowControl w:val="0"/>
        <w:rPr>
          <w:rFonts w:cs="Times New Roman"/>
        </w:rPr>
      </w:pPr>
    </w:p>
    <w:p w14:paraId="6770EC09" w14:textId="77777777" w:rsidR="003E78AB" w:rsidRDefault="003E78AB">
      <w:pPr>
        <w:pStyle w:val="B1"/>
        <w:widowControl w:val="0"/>
        <w:rPr>
          <w:rFonts w:cs="Times New Roman"/>
        </w:rPr>
      </w:pPr>
    </w:p>
    <w:p w14:paraId="721BFC85" w14:textId="77777777" w:rsidR="003E78AB" w:rsidRDefault="003E78AB">
      <w:pPr>
        <w:pStyle w:val="B1"/>
        <w:widowControl w:val="0"/>
        <w:rPr>
          <w:rFonts w:cs="Times New Roman"/>
        </w:rPr>
      </w:pPr>
    </w:p>
    <w:p w14:paraId="36B35FB2" w14:textId="77777777" w:rsidR="003E78AB" w:rsidRDefault="003E78AB">
      <w:pPr>
        <w:pStyle w:val="B1"/>
        <w:widowControl w:val="0"/>
        <w:rPr>
          <w:rFonts w:cs="Times New Roman"/>
        </w:rPr>
      </w:pPr>
    </w:p>
    <w:p w14:paraId="1A6B005D" w14:textId="77777777" w:rsidR="003E78AB" w:rsidRDefault="00010BF9">
      <w:pPr>
        <w:ind w:leftChars="300" w:left="720" w:firstLineChars="100" w:firstLine="320"/>
        <w:rPr>
          <w:rFonts w:eastAsia="黑体"/>
          <w:bCs/>
          <w:sz w:val="32"/>
          <w:szCs w:val="20"/>
        </w:rPr>
      </w:pPr>
      <w:r>
        <w:rPr>
          <w:rFonts w:eastAsia="黑体"/>
          <w:bCs/>
          <w:sz w:val="32"/>
          <w:szCs w:val="20"/>
        </w:rPr>
        <w:t>建设单位：</w:t>
      </w:r>
      <w:r>
        <w:rPr>
          <w:rFonts w:eastAsia="黑体" w:hint="eastAsia"/>
          <w:bCs/>
          <w:sz w:val="32"/>
          <w:szCs w:val="20"/>
        </w:rPr>
        <w:t>星辰新能</w:t>
      </w:r>
      <w:r>
        <w:rPr>
          <w:rFonts w:eastAsia="黑体" w:hint="eastAsia"/>
          <w:bCs/>
          <w:sz w:val="32"/>
          <w:szCs w:val="20"/>
        </w:rPr>
        <w:t>(</w:t>
      </w:r>
      <w:r>
        <w:rPr>
          <w:rFonts w:eastAsia="黑体" w:hint="eastAsia"/>
          <w:bCs/>
          <w:sz w:val="32"/>
          <w:szCs w:val="20"/>
        </w:rPr>
        <w:t>哈密</w:t>
      </w:r>
      <w:r>
        <w:rPr>
          <w:rFonts w:eastAsia="黑体" w:hint="eastAsia"/>
          <w:bCs/>
          <w:sz w:val="32"/>
          <w:szCs w:val="20"/>
        </w:rPr>
        <w:t>)</w:t>
      </w:r>
      <w:r>
        <w:rPr>
          <w:rFonts w:eastAsia="黑体" w:hint="eastAsia"/>
          <w:bCs/>
          <w:sz w:val="32"/>
          <w:szCs w:val="20"/>
        </w:rPr>
        <w:t>科技有限公司</w:t>
      </w:r>
    </w:p>
    <w:p w14:paraId="15F9BB51" w14:textId="77777777" w:rsidR="003E78AB" w:rsidRDefault="00010BF9">
      <w:pPr>
        <w:ind w:leftChars="300" w:left="720" w:firstLineChars="100" w:firstLine="320"/>
        <w:rPr>
          <w:rFonts w:eastAsia="黑体"/>
          <w:bCs/>
          <w:sz w:val="32"/>
          <w:szCs w:val="20"/>
        </w:rPr>
      </w:pPr>
      <w:r>
        <w:rPr>
          <w:rFonts w:eastAsia="黑体"/>
          <w:bCs/>
          <w:sz w:val="32"/>
          <w:szCs w:val="20"/>
        </w:rPr>
        <w:t>编制单位：新疆众智安环工程咨询服务有限公司</w:t>
      </w:r>
    </w:p>
    <w:p w14:paraId="2893C980" w14:textId="77777777" w:rsidR="003E78AB" w:rsidRDefault="003E78AB">
      <w:pPr>
        <w:ind w:firstLineChars="0" w:firstLine="0"/>
        <w:jc w:val="center"/>
        <w:rPr>
          <w:rFonts w:eastAsia="黑体"/>
          <w:bCs/>
          <w:sz w:val="32"/>
          <w:szCs w:val="20"/>
        </w:rPr>
      </w:pPr>
    </w:p>
    <w:p w14:paraId="48A5FA62" w14:textId="77777777" w:rsidR="003E78AB" w:rsidRDefault="00010BF9">
      <w:pPr>
        <w:ind w:firstLineChars="0" w:firstLine="0"/>
        <w:jc w:val="center"/>
        <w:rPr>
          <w:rFonts w:eastAsia="黑体"/>
          <w:bCs/>
          <w:sz w:val="32"/>
          <w:szCs w:val="20"/>
        </w:rPr>
      </w:pPr>
      <w:r>
        <w:rPr>
          <w:rFonts w:eastAsia="黑体"/>
          <w:bCs/>
          <w:sz w:val="32"/>
          <w:szCs w:val="20"/>
        </w:rPr>
        <w:t>二〇二五年</w:t>
      </w:r>
      <w:r>
        <w:rPr>
          <w:rFonts w:eastAsia="黑体" w:hint="eastAsia"/>
          <w:bCs/>
          <w:sz w:val="32"/>
          <w:szCs w:val="20"/>
        </w:rPr>
        <w:t>七</w:t>
      </w:r>
      <w:r>
        <w:rPr>
          <w:rFonts w:eastAsia="黑体"/>
          <w:bCs/>
          <w:sz w:val="32"/>
          <w:szCs w:val="20"/>
        </w:rPr>
        <w:t>月</w:t>
      </w:r>
    </w:p>
    <w:p w14:paraId="22835500" w14:textId="77777777" w:rsidR="003E78AB" w:rsidRDefault="003E78AB">
      <w:pPr>
        <w:spacing w:line="240" w:lineRule="auto"/>
        <w:ind w:firstLineChars="0" w:firstLine="0"/>
        <w:jc w:val="left"/>
      </w:pPr>
    </w:p>
    <w:p w14:paraId="339219E1" w14:textId="77777777" w:rsidR="003E78AB" w:rsidRDefault="003E78AB">
      <w:pPr>
        <w:spacing w:line="240" w:lineRule="auto"/>
        <w:ind w:firstLineChars="0" w:firstLine="0"/>
        <w:jc w:val="left"/>
        <w:sectPr w:rsidR="003E78AB">
          <w:headerReference w:type="even" r:id="rId8"/>
          <w:headerReference w:type="default" r:id="rId9"/>
          <w:footerReference w:type="even" r:id="rId10"/>
          <w:footerReference w:type="default" r:id="rId11"/>
          <w:headerReference w:type="first" r:id="rId12"/>
          <w:footerReference w:type="first" r:id="rId13"/>
          <w:pgSz w:w="11906" w:h="16838"/>
          <w:pgMar w:top="1440" w:right="1803" w:bottom="1440" w:left="1803" w:header="851" w:footer="1026" w:gutter="0"/>
          <w:pgNumType w:fmt="lowerRoman" w:start="1"/>
          <w:cols w:space="720"/>
          <w:docGrid w:type="linesAndChar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3E78AB" w14:paraId="5EC814B8" w14:textId="77777777">
        <w:trPr>
          <w:trHeight w:val="582"/>
        </w:trPr>
        <w:tc>
          <w:tcPr>
            <w:tcW w:w="4470" w:type="dxa"/>
            <w:vAlign w:val="center"/>
          </w:tcPr>
          <w:p w14:paraId="06F799CE" w14:textId="77777777" w:rsidR="003E78AB" w:rsidRDefault="003E78AB">
            <w:pPr>
              <w:ind w:firstLine="480"/>
              <w:jc w:val="center"/>
            </w:pPr>
            <w:bookmarkStart w:id="1" w:name="OLE_LINK8"/>
          </w:p>
        </w:tc>
        <w:tc>
          <w:tcPr>
            <w:tcW w:w="4470" w:type="dxa"/>
            <w:vAlign w:val="center"/>
          </w:tcPr>
          <w:p w14:paraId="63D4337C" w14:textId="77777777" w:rsidR="003E78AB" w:rsidRDefault="003E78AB">
            <w:pPr>
              <w:ind w:firstLine="480"/>
              <w:jc w:val="center"/>
            </w:pPr>
          </w:p>
        </w:tc>
      </w:tr>
      <w:tr w:rsidR="003E78AB" w14:paraId="7A95816A" w14:textId="77777777">
        <w:trPr>
          <w:trHeight w:val="582"/>
        </w:trPr>
        <w:tc>
          <w:tcPr>
            <w:tcW w:w="4470" w:type="dxa"/>
            <w:vAlign w:val="center"/>
          </w:tcPr>
          <w:p w14:paraId="3CCFB1F5" w14:textId="77777777" w:rsidR="003E78AB" w:rsidRDefault="00010BF9">
            <w:pPr>
              <w:spacing w:line="240" w:lineRule="auto"/>
              <w:ind w:firstLineChars="0" w:firstLine="0"/>
              <w:jc w:val="center"/>
              <w:rPr>
                <w:b/>
                <w:bCs/>
              </w:rPr>
            </w:pPr>
            <w:r>
              <w:rPr>
                <w:b/>
                <w:bCs/>
              </w:rPr>
              <w:t>项目区北侧：空地</w:t>
            </w:r>
          </w:p>
        </w:tc>
        <w:tc>
          <w:tcPr>
            <w:tcW w:w="4470" w:type="dxa"/>
            <w:vAlign w:val="center"/>
          </w:tcPr>
          <w:p w14:paraId="06EAD90D" w14:textId="77777777" w:rsidR="003E78AB" w:rsidRDefault="00010BF9">
            <w:pPr>
              <w:ind w:firstLine="482"/>
              <w:jc w:val="center"/>
            </w:pPr>
            <w:r>
              <w:rPr>
                <w:b/>
                <w:bCs/>
              </w:rPr>
              <w:t>项目区南侧：友谊大道</w:t>
            </w:r>
            <w:r>
              <w:rPr>
                <w:b/>
                <w:bCs/>
              </w:rPr>
              <w:t>+</w:t>
            </w:r>
            <w:r>
              <w:rPr>
                <w:b/>
                <w:bCs/>
              </w:rPr>
              <w:t>空地</w:t>
            </w:r>
          </w:p>
        </w:tc>
      </w:tr>
      <w:tr w:rsidR="003E78AB" w14:paraId="04225C4D" w14:textId="77777777">
        <w:trPr>
          <w:trHeight w:val="582"/>
        </w:trPr>
        <w:tc>
          <w:tcPr>
            <w:tcW w:w="4470" w:type="dxa"/>
            <w:vAlign w:val="center"/>
          </w:tcPr>
          <w:p w14:paraId="5492BA77" w14:textId="77777777" w:rsidR="003E78AB" w:rsidRDefault="003E78AB">
            <w:pPr>
              <w:spacing w:line="240" w:lineRule="auto"/>
              <w:ind w:firstLineChars="0" w:firstLine="0"/>
              <w:jc w:val="center"/>
              <w:rPr>
                <w:b/>
                <w:bCs/>
              </w:rPr>
            </w:pPr>
          </w:p>
        </w:tc>
        <w:tc>
          <w:tcPr>
            <w:tcW w:w="4470" w:type="dxa"/>
            <w:vAlign w:val="center"/>
          </w:tcPr>
          <w:p w14:paraId="1C0843EB" w14:textId="77777777" w:rsidR="003E78AB" w:rsidRDefault="003E78AB">
            <w:pPr>
              <w:spacing w:line="240" w:lineRule="auto"/>
              <w:ind w:firstLineChars="0" w:firstLine="0"/>
              <w:jc w:val="center"/>
              <w:rPr>
                <w:b/>
                <w:bCs/>
              </w:rPr>
            </w:pPr>
          </w:p>
        </w:tc>
      </w:tr>
      <w:tr w:rsidR="003E78AB" w14:paraId="2C5FA46B" w14:textId="77777777">
        <w:trPr>
          <w:trHeight w:val="582"/>
        </w:trPr>
        <w:tc>
          <w:tcPr>
            <w:tcW w:w="4470" w:type="dxa"/>
            <w:vAlign w:val="center"/>
          </w:tcPr>
          <w:p w14:paraId="353BA5DA" w14:textId="77777777" w:rsidR="003E78AB" w:rsidRDefault="00010BF9">
            <w:pPr>
              <w:spacing w:line="240" w:lineRule="auto"/>
              <w:ind w:firstLineChars="0" w:firstLine="0"/>
              <w:jc w:val="center"/>
              <w:rPr>
                <w:b/>
                <w:bCs/>
              </w:rPr>
            </w:pPr>
            <w:r>
              <w:rPr>
                <w:b/>
                <w:bCs/>
              </w:rPr>
              <w:t>项目区西侧：园区道路</w:t>
            </w:r>
            <w:r>
              <w:rPr>
                <w:b/>
                <w:bCs/>
              </w:rPr>
              <w:t>+</w:t>
            </w:r>
            <w:r>
              <w:rPr>
                <w:b/>
                <w:bCs/>
              </w:rPr>
              <w:t>空地</w:t>
            </w:r>
          </w:p>
        </w:tc>
        <w:tc>
          <w:tcPr>
            <w:tcW w:w="4470" w:type="dxa"/>
            <w:vAlign w:val="center"/>
          </w:tcPr>
          <w:p w14:paraId="4C5678A8" w14:textId="77777777" w:rsidR="003E78AB" w:rsidRDefault="00010BF9">
            <w:pPr>
              <w:spacing w:line="240" w:lineRule="auto"/>
              <w:ind w:firstLineChars="0" w:firstLine="0"/>
              <w:jc w:val="center"/>
              <w:rPr>
                <w:b/>
                <w:bCs/>
              </w:rPr>
            </w:pPr>
            <w:r>
              <w:rPr>
                <w:b/>
                <w:bCs/>
              </w:rPr>
              <w:t>项目区东侧：园区道路</w:t>
            </w:r>
            <w:r>
              <w:rPr>
                <w:b/>
                <w:bCs/>
              </w:rPr>
              <w:t>+</w:t>
            </w:r>
            <w:r>
              <w:rPr>
                <w:b/>
                <w:bCs/>
              </w:rPr>
              <w:t>空地</w:t>
            </w:r>
          </w:p>
        </w:tc>
      </w:tr>
      <w:tr w:rsidR="003E78AB" w14:paraId="4205BD09" w14:textId="77777777">
        <w:trPr>
          <w:trHeight w:val="582"/>
        </w:trPr>
        <w:tc>
          <w:tcPr>
            <w:tcW w:w="4470" w:type="dxa"/>
            <w:vAlign w:val="center"/>
          </w:tcPr>
          <w:p w14:paraId="6C33591C" w14:textId="77777777" w:rsidR="003E78AB" w:rsidRDefault="003E78AB">
            <w:pPr>
              <w:ind w:firstLine="480"/>
              <w:jc w:val="center"/>
            </w:pPr>
          </w:p>
        </w:tc>
        <w:tc>
          <w:tcPr>
            <w:tcW w:w="4470" w:type="dxa"/>
            <w:vAlign w:val="center"/>
          </w:tcPr>
          <w:p w14:paraId="08EE88E0" w14:textId="77777777" w:rsidR="003E78AB" w:rsidRDefault="003E78AB">
            <w:pPr>
              <w:ind w:firstLine="480"/>
              <w:jc w:val="center"/>
            </w:pPr>
          </w:p>
        </w:tc>
      </w:tr>
      <w:tr w:rsidR="003E78AB" w14:paraId="076597BC" w14:textId="77777777">
        <w:trPr>
          <w:trHeight w:val="588"/>
        </w:trPr>
        <w:tc>
          <w:tcPr>
            <w:tcW w:w="4470" w:type="dxa"/>
            <w:vAlign w:val="center"/>
          </w:tcPr>
          <w:p w14:paraId="7131DCEE" w14:textId="77777777" w:rsidR="003E78AB" w:rsidRDefault="00010BF9">
            <w:pPr>
              <w:spacing w:line="240" w:lineRule="auto"/>
              <w:ind w:firstLineChars="0" w:firstLine="0"/>
              <w:jc w:val="center"/>
              <w:rPr>
                <w:b/>
                <w:bCs/>
              </w:rPr>
            </w:pPr>
            <w:r>
              <w:rPr>
                <w:b/>
                <w:bCs/>
              </w:rPr>
              <w:t>项目区现状</w:t>
            </w:r>
          </w:p>
        </w:tc>
        <w:tc>
          <w:tcPr>
            <w:tcW w:w="4470" w:type="dxa"/>
            <w:vAlign w:val="center"/>
          </w:tcPr>
          <w:p w14:paraId="20F58E6C" w14:textId="77777777" w:rsidR="003E78AB" w:rsidRDefault="00010BF9">
            <w:pPr>
              <w:spacing w:line="240" w:lineRule="auto"/>
              <w:ind w:firstLineChars="0" w:firstLine="0"/>
              <w:jc w:val="center"/>
              <w:rPr>
                <w:b/>
                <w:bCs/>
              </w:rPr>
            </w:pPr>
            <w:r>
              <w:rPr>
                <w:b/>
                <w:bCs/>
              </w:rPr>
              <w:t>项目区现状</w:t>
            </w:r>
          </w:p>
        </w:tc>
      </w:tr>
    </w:tbl>
    <w:bookmarkEnd w:id="1"/>
    <w:p w14:paraId="1CE27B1A" w14:textId="77777777" w:rsidR="003E78AB" w:rsidRDefault="00010BF9">
      <w:pPr>
        <w:pStyle w:val="11"/>
        <w:spacing w:before="0" w:line="360" w:lineRule="auto"/>
        <w:ind w:firstLine="482"/>
        <w:jc w:val="center"/>
        <w:rPr>
          <w:rFonts w:ascii="Times New Roman" w:hAnsi="Times New Roman" w:cs="Times New Roman"/>
        </w:rPr>
        <w:sectPr w:rsidR="003E78AB">
          <w:headerReference w:type="default" r:id="rId14"/>
          <w:pgSz w:w="11906" w:h="16838"/>
          <w:pgMar w:top="1440" w:right="1803" w:bottom="1440" w:left="1803" w:header="850" w:footer="992" w:gutter="0"/>
          <w:cols w:space="720"/>
          <w:docGrid w:type="lines" w:linePitch="312"/>
        </w:sectPr>
      </w:pPr>
      <w:r>
        <w:rPr>
          <w:rFonts w:ascii="Times New Roman" w:hAnsi="Times New Roman" w:cs="Times New Roman"/>
        </w:rPr>
        <w:t>现场踏勘图</w:t>
      </w:r>
    </w:p>
    <w:sdt>
      <w:sdtPr>
        <w:rPr>
          <w:rFonts w:ascii="宋体" w:hAnsi="宋体"/>
          <w:sz w:val="21"/>
        </w:rPr>
        <w:id w:val="147481330"/>
        <w15:color w:val="DBDBDB"/>
        <w:docPartObj>
          <w:docPartGallery w:val="Table of Contents"/>
          <w:docPartUnique/>
        </w:docPartObj>
      </w:sdtPr>
      <w:sdtEndPr>
        <w:rPr>
          <w:rFonts w:ascii="Times New Roman" w:hAnsi="Times New Roman"/>
          <w:sz w:val="24"/>
        </w:rPr>
      </w:sdtEndPr>
      <w:sdtContent>
        <w:p w14:paraId="3799600D" w14:textId="77777777" w:rsidR="003E78AB" w:rsidRDefault="00010BF9">
          <w:pPr>
            <w:ind w:firstLineChars="0" w:firstLine="0"/>
            <w:jc w:val="center"/>
          </w:pPr>
          <w:r>
            <w:rPr>
              <w:b/>
              <w:bCs/>
              <w:sz w:val="32"/>
              <w:szCs w:val="32"/>
            </w:rPr>
            <w:t>目录</w:t>
          </w:r>
        </w:p>
        <w:p w14:paraId="1206A7C5" w14:textId="77777777" w:rsidR="003E78AB" w:rsidRDefault="00010BF9">
          <w:pPr>
            <w:pStyle w:val="11"/>
            <w:tabs>
              <w:tab w:val="right" w:leader="dot" w:pos="8306"/>
            </w:tabs>
            <w:spacing w:before="0"/>
            <w:ind w:firstLineChars="0" w:firstLine="0"/>
            <w:rPr>
              <w:rFonts w:ascii="Times New Roman" w:hAnsi="Times New Roman" w:cs="Times New Roman"/>
            </w:rPr>
          </w:pPr>
          <w:r>
            <w:fldChar w:fldCharType="begin"/>
          </w:r>
          <w:r>
            <w:instrText xml:space="preserve">TOC \o "1-2" \h \u </w:instrText>
          </w:r>
          <w:r>
            <w:fldChar w:fldCharType="separate"/>
          </w:r>
          <w:hyperlink w:anchor="_Toc19045" w:history="1">
            <w:r>
              <w:rPr>
                <w:rFonts w:ascii="Times New Roman" w:hAnsi="Times New Roman" w:cs="Times New Roman"/>
                <w:snapToGrid w:val="0"/>
                <w:spacing w:val="2"/>
                <w:kern w:val="44"/>
                <w:szCs w:val="35"/>
              </w:rPr>
              <w:t>第一章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lang w:eastAsia="en-US"/>
              </w:rPr>
              <w:t>概</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lang w:eastAsia="en-US"/>
              </w:rPr>
              <w:t>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_Toc19045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14:paraId="245EEA43" w14:textId="77777777" w:rsidR="003E78AB" w:rsidRDefault="00010BF9">
          <w:pPr>
            <w:pStyle w:val="22"/>
            <w:tabs>
              <w:tab w:val="right" w:leader="dot" w:pos="8306"/>
            </w:tabs>
            <w:ind w:left="480" w:firstLineChars="0" w:firstLine="0"/>
          </w:pPr>
          <w:hyperlink w:anchor="_Toc2913" w:history="1">
            <w:r>
              <w:t>1.1</w:t>
            </w:r>
            <w:r>
              <w:t>项目背景</w:t>
            </w:r>
            <w:r>
              <w:tab/>
            </w:r>
            <w:r>
              <w:fldChar w:fldCharType="begin"/>
            </w:r>
            <w:r>
              <w:instrText xml:space="preserve"> PAGEREF _Toc2913 \h </w:instrText>
            </w:r>
            <w:r>
              <w:fldChar w:fldCharType="separate"/>
            </w:r>
            <w:r>
              <w:t>1</w:t>
            </w:r>
            <w:r>
              <w:fldChar w:fldCharType="end"/>
            </w:r>
          </w:hyperlink>
        </w:p>
        <w:p w14:paraId="684DE0EF" w14:textId="77777777" w:rsidR="003E78AB" w:rsidRDefault="00010BF9">
          <w:pPr>
            <w:pStyle w:val="22"/>
            <w:tabs>
              <w:tab w:val="right" w:leader="dot" w:pos="8306"/>
            </w:tabs>
            <w:ind w:left="480" w:firstLineChars="0" w:firstLine="0"/>
          </w:pPr>
          <w:hyperlink w:anchor="_Toc1215" w:history="1">
            <w:r>
              <w:t>1.2</w:t>
            </w:r>
            <w:r>
              <w:t>项目特点</w:t>
            </w:r>
            <w:r>
              <w:tab/>
            </w:r>
            <w:r>
              <w:fldChar w:fldCharType="begin"/>
            </w:r>
            <w:r>
              <w:instrText xml:space="preserve"> PAGEREF _Toc1215 \h </w:instrText>
            </w:r>
            <w:r>
              <w:fldChar w:fldCharType="separate"/>
            </w:r>
            <w:r>
              <w:t>2</w:t>
            </w:r>
            <w:r>
              <w:fldChar w:fldCharType="end"/>
            </w:r>
          </w:hyperlink>
        </w:p>
        <w:p w14:paraId="0EBB0D70" w14:textId="77777777" w:rsidR="003E78AB" w:rsidRDefault="00010BF9">
          <w:pPr>
            <w:pStyle w:val="22"/>
            <w:tabs>
              <w:tab w:val="right" w:leader="dot" w:pos="8306"/>
            </w:tabs>
            <w:ind w:left="480" w:firstLineChars="0" w:firstLine="0"/>
          </w:pPr>
          <w:hyperlink w:anchor="_Toc28575" w:history="1">
            <w:r>
              <w:t>1.3</w:t>
            </w:r>
            <w:r>
              <w:t>环境影响评价工作过程</w:t>
            </w:r>
            <w:r>
              <w:tab/>
            </w:r>
            <w:r>
              <w:fldChar w:fldCharType="begin"/>
            </w:r>
            <w:r>
              <w:instrText xml:space="preserve"> PAGEREF _Toc28575 \h </w:instrText>
            </w:r>
            <w:r>
              <w:fldChar w:fldCharType="separate"/>
            </w:r>
            <w:r>
              <w:t>3</w:t>
            </w:r>
            <w:r>
              <w:fldChar w:fldCharType="end"/>
            </w:r>
          </w:hyperlink>
        </w:p>
        <w:p w14:paraId="38FF48A5" w14:textId="77777777" w:rsidR="003E78AB" w:rsidRDefault="00010BF9">
          <w:pPr>
            <w:pStyle w:val="22"/>
            <w:tabs>
              <w:tab w:val="right" w:leader="dot" w:pos="8306"/>
            </w:tabs>
            <w:ind w:left="480" w:firstLineChars="0" w:firstLine="0"/>
          </w:pPr>
          <w:hyperlink w:anchor="_Toc17989" w:history="1">
            <w:r>
              <w:t>1.4</w:t>
            </w:r>
            <w:r>
              <w:t>分析判定相关情况</w:t>
            </w:r>
            <w:r>
              <w:tab/>
            </w:r>
            <w:r>
              <w:fldChar w:fldCharType="begin"/>
            </w:r>
            <w:r>
              <w:instrText xml:space="preserve"> PAGEREF _Toc17989 \h </w:instrText>
            </w:r>
            <w:r>
              <w:fldChar w:fldCharType="separate"/>
            </w:r>
            <w:r>
              <w:t>5</w:t>
            </w:r>
            <w:r>
              <w:fldChar w:fldCharType="end"/>
            </w:r>
          </w:hyperlink>
        </w:p>
        <w:p w14:paraId="3492BC4E" w14:textId="77777777" w:rsidR="003E78AB" w:rsidRDefault="00010BF9">
          <w:pPr>
            <w:pStyle w:val="22"/>
            <w:tabs>
              <w:tab w:val="right" w:leader="dot" w:pos="8306"/>
            </w:tabs>
            <w:ind w:left="480" w:firstLineChars="0" w:firstLine="0"/>
          </w:pPr>
          <w:hyperlink w:anchor="_Toc26615" w:history="1">
            <w:r>
              <w:t>1.</w:t>
            </w:r>
            <w:r>
              <w:rPr>
                <w:rFonts w:hint="eastAsia"/>
              </w:rPr>
              <w:t>5</w:t>
            </w:r>
            <w:r>
              <w:t>关注的主要环境问题</w:t>
            </w:r>
            <w:r>
              <w:tab/>
            </w:r>
            <w:r>
              <w:fldChar w:fldCharType="begin"/>
            </w:r>
            <w:r>
              <w:instrText xml:space="preserve"> PAGEREF _Toc26615 \h </w:instrText>
            </w:r>
            <w:r>
              <w:fldChar w:fldCharType="separate"/>
            </w:r>
            <w:r>
              <w:t>7</w:t>
            </w:r>
            <w:r>
              <w:fldChar w:fldCharType="end"/>
            </w:r>
          </w:hyperlink>
        </w:p>
        <w:p w14:paraId="7C4ED86B" w14:textId="77777777" w:rsidR="003E78AB" w:rsidRDefault="00010BF9">
          <w:pPr>
            <w:pStyle w:val="22"/>
            <w:tabs>
              <w:tab w:val="right" w:leader="dot" w:pos="8306"/>
            </w:tabs>
            <w:ind w:left="480" w:firstLineChars="0" w:firstLine="0"/>
          </w:pPr>
          <w:hyperlink w:anchor="_Toc4005" w:history="1">
            <w:r>
              <w:t>1.</w:t>
            </w:r>
            <w:r>
              <w:rPr>
                <w:rFonts w:hint="eastAsia"/>
              </w:rPr>
              <w:t>6</w:t>
            </w:r>
            <w:r>
              <w:t>环境影响报告主要结论</w:t>
            </w:r>
            <w:r>
              <w:tab/>
            </w:r>
            <w:r>
              <w:fldChar w:fldCharType="begin"/>
            </w:r>
            <w:r>
              <w:instrText xml:space="preserve"> PAGEREF _Toc4005 \h </w:instrText>
            </w:r>
            <w:r>
              <w:fldChar w:fldCharType="separate"/>
            </w:r>
            <w:r>
              <w:t>8</w:t>
            </w:r>
            <w:r>
              <w:fldChar w:fldCharType="end"/>
            </w:r>
          </w:hyperlink>
        </w:p>
        <w:p w14:paraId="77D18A23"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14650" w:history="1">
            <w:r>
              <w:rPr>
                <w:rFonts w:ascii="Times New Roman" w:hAnsi="Times New Roman" w:cs="Times New Roman"/>
                <w:snapToGrid w:val="0"/>
                <w:spacing w:val="2"/>
                <w:kern w:val="44"/>
                <w:szCs w:val="35"/>
              </w:rPr>
              <w:t>第二章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总</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_Toc14650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hyperlink>
        </w:p>
        <w:p w14:paraId="3CAD57ED" w14:textId="77777777" w:rsidR="003E78AB" w:rsidRDefault="00010BF9">
          <w:pPr>
            <w:pStyle w:val="22"/>
            <w:tabs>
              <w:tab w:val="right" w:leader="dot" w:pos="8306"/>
            </w:tabs>
            <w:ind w:left="480" w:firstLineChars="0" w:firstLine="0"/>
          </w:pPr>
          <w:hyperlink w:anchor="_Toc17865" w:history="1">
            <w:r>
              <w:t>2.1</w:t>
            </w:r>
            <w:r>
              <w:t>编制依据</w:t>
            </w:r>
            <w:r>
              <w:tab/>
            </w:r>
            <w:r>
              <w:fldChar w:fldCharType="begin"/>
            </w:r>
            <w:r>
              <w:instrText xml:space="preserve"> PAGEREF _Toc17865 \h </w:instrText>
            </w:r>
            <w:r>
              <w:fldChar w:fldCharType="separate"/>
            </w:r>
            <w:r>
              <w:t>9</w:t>
            </w:r>
            <w:r>
              <w:fldChar w:fldCharType="end"/>
            </w:r>
          </w:hyperlink>
        </w:p>
        <w:p w14:paraId="6112F8A3" w14:textId="77777777" w:rsidR="003E78AB" w:rsidRDefault="00010BF9">
          <w:pPr>
            <w:pStyle w:val="22"/>
            <w:tabs>
              <w:tab w:val="right" w:leader="dot" w:pos="8306"/>
            </w:tabs>
            <w:ind w:left="480" w:firstLineChars="0" w:firstLine="0"/>
          </w:pPr>
          <w:hyperlink w:anchor="_Toc679" w:history="1">
            <w:r>
              <w:t>2.2</w:t>
            </w:r>
            <w:r>
              <w:t>评价对象、原则及目的</w:t>
            </w:r>
            <w:r>
              <w:tab/>
            </w:r>
            <w:r>
              <w:fldChar w:fldCharType="begin"/>
            </w:r>
            <w:r>
              <w:instrText xml:space="preserve"> PAGEREF _Toc679 \h </w:instrText>
            </w:r>
            <w:r>
              <w:fldChar w:fldCharType="separate"/>
            </w:r>
            <w:r>
              <w:t>14</w:t>
            </w:r>
            <w:r>
              <w:fldChar w:fldCharType="end"/>
            </w:r>
          </w:hyperlink>
        </w:p>
        <w:p w14:paraId="2FD96161" w14:textId="77777777" w:rsidR="003E78AB" w:rsidRDefault="00010BF9">
          <w:pPr>
            <w:pStyle w:val="22"/>
            <w:tabs>
              <w:tab w:val="right" w:leader="dot" w:pos="8306"/>
            </w:tabs>
            <w:ind w:left="480" w:firstLineChars="0" w:firstLine="0"/>
          </w:pPr>
          <w:hyperlink w:anchor="_Toc26912" w:history="1">
            <w:r>
              <w:t>2.3</w:t>
            </w:r>
            <w:r>
              <w:t>环境影响识别及评价因子筛选</w:t>
            </w:r>
            <w:r>
              <w:tab/>
            </w:r>
            <w:r>
              <w:fldChar w:fldCharType="begin"/>
            </w:r>
            <w:r>
              <w:instrText xml:space="preserve"> PAGEREF _Toc26912 \h </w:instrText>
            </w:r>
            <w:r>
              <w:fldChar w:fldCharType="separate"/>
            </w:r>
            <w:r>
              <w:t>16</w:t>
            </w:r>
            <w:r>
              <w:fldChar w:fldCharType="end"/>
            </w:r>
          </w:hyperlink>
        </w:p>
        <w:p w14:paraId="417989C0" w14:textId="77777777" w:rsidR="003E78AB" w:rsidRDefault="00010BF9">
          <w:pPr>
            <w:pStyle w:val="22"/>
            <w:tabs>
              <w:tab w:val="right" w:leader="dot" w:pos="8306"/>
            </w:tabs>
            <w:ind w:left="480" w:firstLineChars="0" w:firstLine="0"/>
          </w:pPr>
          <w:hyperlink w:anchor="_Toc20586" w:history="1">
            <w:r>
              <w:t>2.4</w:t>
            </w:r>
            <w:r>
              <w:t>环境影响评价等级的划分</w:t>
            </w:r>
            <w:r>
              <w:tab/>
            </w:r>
            <w:r>
              <w:fldChar w:fldCharType="begin"/>
            </w:r>
            <w:r>
              <w:instrText xml:space="preserve"> PAGEREF _Toc20586 </w:instrText>
            </w:r>
            <w:r>
              <w:instrText xml:space="preserve">\h </w:instrText>
            </w:r>
            <w:r>
              <w:fldChar w:fldCharType="separate"/>
            </w:r>
            <w:r>
              <w:t>19</w:t>
            </w:r>
            <w:r>
              <w:fldChar w:fldCharType="end"/>
            </w:r>
          </w:hyperlink>
        </w:p>
        <w:p w14:paraId="6EA65779" w14:textId="77777777" w:rsidR="003E78AB" w:rsidRDefault="00010BF9">
          <w:pPr>
            <w:pStyle w:val="22"/>
            <w:tabs>
              <w:tab w:val="right" w:leader="dot" w:pos="8306"/>
            </w:tabs>
            <w:ind w:left="480" w:firstLineChars="0" w:firstLine="0"/>
          </w:pPr>
          <w:hyperlink w:anchor="_Toc13468" w:history="1">
            <w:r>
              <w:t>2.5</w:t>
            </w:r>
            <w:r>
              <w:t>环境影响评价范围的确定</w:t>
            </w:r>
            <w:r>
              <w:tab/>
            </w:r>
            <w:r>
              <w:fldChar w:fldCharType="begin"/>
            </w:r>
            <w:r>
              <w:instrText xml:space="preserve"> PAGEREF _Toc13468 \h </w:instrText>
            </w:r>
            <w:r>
              <w:fldChar w:fldCharType="separate"/>
            </w:r>
            <w:r>
              <w:t>31</w:t>
            </w:r>
            <w:r>
              <w:fldChar w:fldCharType="end"/>
            </w:r>
          </w:hyperlink>
        </w:p>
        <w:p w14:paraId="7E76BD28" w14:textId="77777777" w:rsidR="003E78AB" w:rsidRDefault="00010BF9">
          <w:pPr>
            <w:pStyle w:val="22"/>
            <w:tabs>
              <w:tab w:val="right" w:leader="dot" w:pos="8306"/>
            </w:tabs>
            <w:ind w:left="480" w:firstLineChars="0" w:firstLine="0"/>
          </w:pPr>
          <w:hyperlink w:anchor="_Toc15171" w:history="1">
            <w:r>
              <w:t>2.6</w:t>
            </w:r>
            <w:r>
              <w:t>环境影响评价标准的确定</w:t>
            </w:r>
            <w:r>
              <w:tab/>
            </w:r>
            <w:r>
              <w:fldChar w:fldCharType="begin"/>
            </w:r>
            <w:r>
              <w:instrText xml:space="preserve"> PAGEREF _Toc15171 \h </w:instrText>
            </w:r>
            <w:r>
              <w:fldChar w:fldCharType="separate"/>
            </w:r>
            <w:r>
              <w:t>33</w:t>
            </w:r>
            <w:r>
              <w:fldChar w:fldCharType="end"/>
            </w:r>
          </w:hyperlink>
        </w:p>
        <w:p w14:paraId="2C439FA5" w14:textId="77777777" w:rsidR="003E78AB" w:rsidRDefault="00010BF9">
          <w:pPr>
            <w:pStyle w:val="22"/>
            <w:tabs>
              <w:tab w:val="right" w:leader="dot" w:pos="8306"/>
            </w:tabs>
            <w:ind w:left="480" w:firstLineChars="0" w:firstLine="0"/>
          </w:pPr>
          <w:hyperlink w:anchor="_Toc18764" w:history="1">
            <w:r>
              <w:t>2.7</w:t>
            </w:r>
            <w:r>
              <w:t>环境保护目标的确定</w:t>
            </w:r>
            <w:r>
              <w:tab/>
            </w:r>
            <w:r>
              <w:fldChar w:fldCharType="begin"/>
            </w:r>
            <w:r>
              <w:instrText xml:space="preserve"> PAGEREF _Toc18764 \h</w:instrText>
            </w:r>
            <w:r>
              <w:instrText xml:space="preserve"> </w:instrText>
            </w:r>
            <w:r>
              <w:fldChar w:fldCharType="separate"/>
            </w:r>
            <w:r>
              <w:t>40</w:t>
            </w:r>
            <w:r>
              <w:fldChar w:fldCharType="end"/>
            </w:r>
          </w:hyperlink>
        </w:p>
        <w:p w14:paraId="39503703" w14:textId="77777777" w:rsidR="003E78AB" w:rsidRDefault="00010BF9">
          <w:pPr>
            <w:pStyle w:val="22"/>
            <w:tabs>
              <w:tab w:val="right" w:leader="dot" w:pos="8306"/>
            </w:tabs>
            <w:ind w:left="480" w:firstLineChars="0" w:firstLine="0"/>
          </w:pPr>
          <w:hyperlink w:anchor="_Toc17957" w:history="1">
            <w:r>
              <w:t>2.8</w:t>
            </w:r>
            <w:r>
              <w:t>产业政策、相关规划与行业规范符合性</w:t>
            </w:r>
            <w:r>
              <w:tab/>
            </w:r>
            <w:r>
              <w:fldChar w:fldCharType="begin"/>
            </w:r>
            <w:r>
              <w:instrText xml:space="preserve"> PAGEREF _Toc17957 \h </w:instrText>
            </w:r>
            <w:r>
              <w:fldChar w:fldCharType="separate"/>
            </w:r>
            <w:r>
              <w:t>40</w:t>
            </w:r>
            <w:r>
              <w:fldChar w:fldCharType="end"/>
            </w:r>
          </w:hyperlink>
        </w:p>
        <w:p w14:paraId="555B3F29" w14:textId="77777777" w:rsidR="003E78AB" w:rsidRDefault="00010BF9">
          <w:pPr>
            <w:pStyle w:val="22"/>
            <w:tabs>
              <w:tab w:val="right" w:leader="dot" w:pos="8306"/>
            </w:tabs>
            <w:ind w:left="480" w:firstLineChars="0" w:firstLine="0"/>
          </w:pPr>
          <w:hyperlink w:anchor="_Toc29677" w:history="1">
            <w:r>
              <w:t>2.9</w:t>
            </w:r>
            <w:r>
              <w:t>评价内容与评价重点</w:t>
            </w:r>
            <w:r>
              <w:tab/>
            </w:r>
            <w:r>
              <w:fldChar w:fldCharType="begin"/>
            </w:r>
            <w:r>
              <w:instrText xml:space="preserve"> PAGEREF </w:instrText>
            </w:r>
            <w:r>
              <w:instrText xml:space="preserve">_Toc29677 \h </w:instrText>
            </w:r>
            <w:r>
              <w:fldChar w:fldCharType="separate"/>
            </w:r>
            <w:r>
              <w:t>76</w:t>
            </w:r>
            <w:r>
              <w:fldChar w:fldCharType="end"/>
            </w:r>
          </w:hyperlink>
        </w:p>
        <w:p w14:paraId="2892F644"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29198" w:history="1">
            <w:r>
              <w:rPr>
                <w:rFonts w:ascii="Times New Roman" w:hAnsi="Times New Roman" w:cs="Times New Roman"/>
                <w:snapToGrid w:val="0"/>
                <w:spacing w:val="2"/>
                <w:kern w:val="44"/>
                <w:szCs w:val="35"/>
              </w:rPr>
              <w:t>第三章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工程分析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_Toc29198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hyperlink>
        </w:p>
        <w:p w14:paraId="28FE5789" w14:textId="77777777" w:rsidR="003E78AB" w:rsidRDefault="00010BF9">
          <w:pPr>
            <w:pStyle w:val="22"/>
            <w:tabs>
              <w:tab w:val="right" w:leader="dot" w:pos="8306"/>
            </w:tabs>
            <w:ind w:left="480" w:firstLineChars="0" w:firstLine="0"/>
          </w:pPr>
          <w:hyperlink w:anchor="_Toc17391" w:history="1">
            <w:r>
              <w:t>3.1</w:t>
            </w:r>
            <w:r>
              <w:t>建设项目概况</w:t>
            </w:r>
            <w:r>
              <w:tab/>
            </w:r>
            <w:r>
              <w:fldChar w:fldCharType="begin"/>
            </w:r>
            <w:r>
              <w:instrText xml:space="preserve"> PAGEREF _To</w:instrText>
            </w:r>
            <w:r>
              <w:instrText xml:space="preserve">c17391 \h </w:instrText>
            </w:r>
            <w:r>
              <w:fldChar w:fldCharType="separate"/>
            </w:r>
            <w:r>
              <w:t>77</w:t>
            </w:r>
            <w:r>
              <w:fldChar w:fldCharType="end"/>
            </w:r>
          </w:hyperlink>
        </w:p>
        <w:p w14:paraId="4070EB86" w14:textId="77777777" w:rsidR="003E78AB" w:rsidRDefault="00010BF9">
          <w:pPr>
            <w:pStyle w:val="22"/>
            <w:tabs>
              <w:tab w:val="right" w:leader="dot" w:pos="8306"/>
            </w:tabs>
            <w:ind w:left="480" w:firstLineChars="0" w:firstLine="0"/>
          </w:pPr>
          <w:hyperlink w:anchor="_Toc365" w:history="1">
            <w:r>
              <w:t>3.2</w:t>
            </w:r>
            <w:r>
              <w:t>生产工艺流程及产污环节</w:t>
            </w:r>
            <w:r>
              <w:tab/>
            </w:r>
            <w:r>
              <w:fldChar w:fldCharType="begin"/>
            </w:r>
            <w:r>
              <w:instrText xml:space="preserve"> PAGEREF _Toc365 \h </w:instrText>
            </w:r>
            <w:r>
              <w:fldChar w:fldCharType="separate"/>
            </w:r>
            <w:r>
              <w:t>90</w:t>
            </w:r>
            <w:r>
              <w:fldChar w:fldCharType="end"/>
            </w:r>
          </w:hyperlink>
        </w:p>
        <w:p w14:paraId="47085BD4" w14:textId="77777777" w:rsidR="003E78AB" w:rsidRDefault="00010BF9">
          <w:pPr>
            <w:pStyle w:val="22"/>
            <w:tabs>
              <w:tab w:val="right" w:leader="dot" w:pos="8306"/>
            </w:tabs>
            <w:ind w:left="480" w:firstLineChars="0" w:firstLine="0"/>
          </w:pPr>
          <w:hyperlink w:anchor="_Toc10179" w:history="1">
            <w:r>
              <w:t>3.3</w:t>
            </w:r>
            <w:r>
              <w:t>平衡分析</w:t>
            </w:r>
            <w:r>
              <w:tab/>
            </w:r>
            <w:r>
              <w:fldChar w:fldCharType="begin"/>
            </w:r>
            <w:r>
              <w:instrText xml:space="preserve"> PAGEREF _Toc101</w:instrText>
            </w:r>
            <w:r>
              <w:instrText xml:space="preserve">79 \h </w:instrText>
            </w:r>
            <w:r>
              <w:fldChar w:fldCharType="separate"/>
            </w:r>
            <w:r>
              <w:t>98</w:t>
            </w:r>
            <w:r>
              <w:fldChar w:fldCharType="end"/>
            </w:r>
          </w:hyperlink>
        </w:p>
        <w:p w14:paraId="26B7C04A" w14:textId="77777777" w:rsidR="003E78AB" w:rsidRDefault="00010BF9">
          <w:pPr>
            <w:pStyle w:val="22"/>
            <w:tabs>
              <w:tab w:val="right" w:leader="dot" w:pos="8306"/>
            </w:tabs>
            <w:ind w:left="480" w:firstLineChars="0" w:firstLine="0"/>
          </w:pPr>
          <w:hyperlink w:anchor="_Toc28612" w:history="1">
            <w:r>
              <w:t>3.4</w:t>
            </w:r>
            <w:r>
              <w:t>主要污染源及污染物分析</w:t>
            </w:r>
            <w:r>
              <w:tab/>
            </w:r>
            <w:r>
              <w:fldChar w:fldCharType="begin"/>
            </w:r>
            <w:r>
              <w:instrText xml:space="preserve"> PAGEREF _Toc28612 \h </w:instrText>
            </w:r>
            <w:r>
              <w:fldChar w:fldCharType="separate"/>
            </w:r>
            <w:r>
              <w:t>110</w:t>
            </w:r>
            <w:r>
              <w:fldChar w:fldCharType="end"/>
            </w:r>
          </w:hyperlink>
        </w:p>
        <w:p w14:paraId="72589C6A" w14:textId="77777777" w:rsidR="003E78AB" w:rsidRDefault="00010BF9">
          <w:pPr>
            <w:pStyle w:val="22"/>
            <w:tabs>
              <w:tab w:val="right" w:leader="dot" w:pos="8306"/>
            </w:tabs>
            <w:ind w:left="480" w:firstLineChars="0" w:firstLine="0"/>
          </w:pPr>
          <w:hyperlink w:anchor="_Toc8295" w:history="1">
            <w:r>
              <w:t>3.5</w:t>
            </w:r>
            <w:r>
              <w:t>清洁生产分析</w:t>
            </w:r>
            <w:r>
              <w:tab/>
            </w:r>
            <w:r>
              <w:fldChar w:fldCharType="begin"/>
            </w:r>
            <w:r>
              <w:instrText xml:space="preserve"> PAGEREF _Toc8295 \h </w:instrText>
            </w:r>
            <w:r>
              <w:fldChar w:fldCharType="separate"/>
            </w:r>
            <w:r>
              <w:t>137</w:t>
            </w:r>
            <w:r>
              <w:fldChar w:fldCharType="end"/>
            </w:r>
          </w:hyperlink>
        </w:p>
        <w:p w14:paraId="4C757DED" w14:textId="77777777" w:rsidR="003E78AB" w:rsidRDefault="00010BF9">
          <w:pPr>
            <w:pStyle w:val="22"/>
            <w:tabs>
              <w:tab w:val="right" w:leader="dot" w:pos="8306"/>
            </w:tabs>
            <w:ind w:left="480" w:firstLineChars="0" w:firstLine="0"/>
          </w:pPr>
          <w:hyperlink w:anchor="_Toc1910" w:history="1">
            <w:r>
              <w:t>3.6</w:t>
            </w:r>
            <w:r>
              <w:t>碳排放核算分析</w:t>
            </w:r>
            <w:r>
              <w:tab/>
            </w:r>
            <w:r>
              <w:fldChar w:fldCharType="begin"/>
            </w:r>
            <w:r>
              <w:instrText xml:space="preserve"> PAGEREF _Toc1910 \h </w:instrText>
            </w:r>
            <w:r>
              <w:fldChar w:fldCharType="separate"/>
            </w:r>
            <w:r>
              <w:t>141</w:t>
            </w:r>
            <w:r>
              <w:fldChar w:fldCharType="end"/>
            </w:r>
          </w:hyperlink>
        </w:p>
        <w:p w14:paraId="526CCAD5" w14:textId="77777777" w:rsidR="003E78AB" w:rsidRDefault="00010BF9">
          <w:pPr>
            <w:pStyle w:val="22"/>
            <w:tabs>
              <w:tab w:val="right" w:leader="dot" w:pos="8306"/>
            </w:tabs>
            <w:ind w:left="480" w:firstLineChars="0" w:firstLine="0"/>
          </w:pPr>
          <w:hyperlink w:anchor="_Toc28304" w:history="1">
            <w:r>
              <w:t>3.7</w:t>
            </w:r>
            <w:r>
              <w:t>总量控制</w:t>
            </w:r>
            <w:r>
              <w:tab/>
            </w:r>
            <w:r>
              <w:fldChar w:fldCharType="begin"/>
            </w:r>
            <w:r>
              <w:instrText xml:space="preserve"> PAGE</w:instrText>
            </w:r>
            <w:r>
              <w:instrText xml:space="preserve">REF _Toc28304 \h </w:instrText>
            </w:r>
            <w:r>
              <w:fldChar w:fldCharType="separate"/>
            </w:r>
            <w:r>
              <w:t>145</w:t>
            </w:r>
            <w:r>
              <w:fldChar w:fldCharType="end"/>
            </w:r>
          </w:hyperlink>
        </w:p>
        <w:p w14:paraId="32AE3023"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3803" w:history="1">
            <w:r>
              <w:rPr>
                <w:rFonts w:ascii="Times New Roman" w:hAnsi="Times New Roman" w:cs="Times New Roman"/>
                <w:snapToGrid w:val="0"/>
                <w:spacing w:val="2"/>
                <w:kern w:val="44"/>
                <w:szCs w:val="35"/>
              </w:rPr>
              <w:t>第四章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_Toc3803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148</w:t>
            </w:r>
            <w:r>
              <w:rPr>
                <w:rFonts w:ascii="Times New Roman" w:hAnsi="Times New Roman" w:cs="Times New Roman"/>
              </w:rPr>
              <w:fldChar w:fldCharType="end"/>
            </w:r>
          </w:hyperlink>
        </w:p>
        <w:p w14:paraId="5F7971A0" w14:textId="77777777" w:rsidR="003E78AB" w:rsidRDefault="00010BF9">
          <w:pPr>
            <w:pStyle w:val="22"/>
            <w:tabs>
              <w:tab w:val="right" w:leader="dot" w:pos="8306"/>
            </w:tabs>
            <w:ind w:left="480" w:firstLineChars="0" w:firstLine="0"/>
          </w:pPr>
          <w:hyperlink w:anchor="_Toc28129" w:history="1">
            <w:r>
              <w:t>4.1</w:t>
            </w:r>
            <w:r>
              <w:t>自然环境概况</w:t>
            </w:r>
            <w:r>
              <w:tab/>
            </w:r>
            <w:r>
              <w:fldChar w:fldCharType="begin"/>
            </w:r>
            <w:r>
              <w:instrText xml:space="preserve"> </w:instrText>
            </w:r>
            <w:r>
              <w:instrText xml:space="preserve">PAGEREF _Toc28129 \h </w:instrText>
            </w:r>
            <w:r>
              <w:fldChar w:fldCharType="separate"/>
            </w:r>
            <w:r>
              <w:t>148</w:t>
            </w:r>
            <w:r>
              <w:fldChar w:fldCharType="end"/>
            </w:r>
          </w:hyperlink>
        </w:p>
        <w:p w14:paraId="5108E8D5" w14:textId="77777777" w:rsidR="003E78AB" w:rsidRDefault="00010BF9">
          <w:pPr>
            <w:pStyle w:val="22"/>
            <w:tabs>
              <w:tab w:val="right" w:leader="dot" w:pos="8306"/>
            </w:tabs>
            <w:ind w:left="480" w:firstLineChars="0" w:firstLine="0"/>
          </w:pPr>
          <w:hyperlink w:anchor="_Toc3851" w:history="1">
            <w:r>
              <w:t>4.2</w:t>
            </w:r>
            <w:r>
              <w:t>哈密工业园区概况</w:t>
            </w:r>
            <w:r>
              <w:tab/>
            </w:r>
            <w:r>
              <w:fldChar w:fldCharType="begin"/>
            </w:r>
            <w:r>
              <w:instrText xml:space="preserve"> PAGEREF _Toc3851 \h </w:instrText>
            </w:r>
            <w:r>
              <w:fldChar w:fldCharType="separate"/>
            </w:r>
            <w:r>
              <w:t>158</w:t>
            </w:r>
            <w:r>
              <w:fldChar w:fldCharType="end"/>
            </w:r>
          </w:hyperlink>
        </w:p>
        <w:p w14:paraId="5DD907D2" w14:textId="77777777" w:rsidR="003E78AB" w:rsidRDefault="00010BF9">
          <w:pPr>
            <w:pStyle w:val="22"/>
            <w:tabs>
              <w:tab w:val="right" w:leader="dot" w:pos="8306"/>
            </w:tabs>
            <w:ind w:left="480" w:firstLineChars="0" w:firstLine="0"/>
          </w:pPr>
          <w:hyperlink w:anchor="_Toc14090" w:history="1">
            <w:r>
              <w:t>4.3</w:t>
            </w:r>
            <w:r>
              <w:t>环境质量现状调查</w:t>
            </w:r>
            <w:r>
              <w:t>与评价</w:t>
            </w:r>
            <w:r>
              <w:tab/>
            </w:r>
            <w:r>
              <w:fldChar w:fldCharType="begin"/>
            </w:r>
            <w:r>
              <w:instrText xml:space="preserve"> PAGEREF _Toc14090 \h </w:instrText>
            </w:r>
            <w:r>
              <w:fldChar w:fldCharType="separate"/>
            </w:r>
            <w:r>
              <w:t>164</w:t>
            </w:r>
            <w:r>
              <w:fldChar w:fldCharType="end"/>
            </w:r>
          </w:hyperlink>
        </w:p>
        <w:p w14:paraId="6A0DF853" w14:textId="77777777" w:rsidR="003E78AB" w:rsidRDefault="00010BF9">
          <w:pPr>
            <w:pStyle w:val="22"/>
            <w:tabs>
              <w:tab w:val="right" w:leader="dot" w:pos="8306"/>
            </w:tabs>
            <w:ind w:left="480" w:firstLineChars="0" w:firstLine="0"/>
          </w:pPr>
          <w:hyperlink w:anchor="_Toc2569" w:history="1">
            <w:r>
              <w:t>4.4</w:t>
            </w:r>
            <w:r>
              <w:t>区域污染源调查</w:t>
            </w:r>
            <w:r>
              <w:tab/>
            </w:r>
            <w:r>
              <w:fldChar w:fldCharType="begin"/>
            </w:r>
            <w:r>
              <w:instrText xml:space="preserve"> PAGEREF _Toc2569 \h </w:instrText>
            </w:r>
            <w:r>
              <w:fldChar w:fldCharType="separate"/>
            </w:r>
            <w:r>
              <w:t>188</w:t>
            </w:r>
            <w:r>
              <w:fldChar w:fldCharType="end"/>
            </w:r>
          </w:hyperlink>
        </w:p>
        <w:p w14:paraId="34FC7DB7"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10188" w:history="1">
            <w:r>
              <w:rPr>
                <w:rFonts w:ascii="Times New Roman" w:hAnsi="Times New Roman" w:cs="Times New Roman"/>
                <w:snapToGrid w:val="0"/>
                <w:spacing w:val="2"/>
                <w:kern w:val="44"/>
                <w:szCs w:val="35"/>
              </w:rPr>
              <w:t>第五章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w:t>
            </w:r>
            <w:r>
              <w:rPr>
                <w:rFonts w:ascii="Times New Roman" w:hAnsi="Times New Roman" w:cs="Times New Roman"/>
                <w:snapToGrid w:val="0"/>
                <w:spacing w:val="2"/>
                <w:kern w:val="44"/>
                <w:szCs w:val="35"/>
              </w:rPr>
              <w:t>影响分析与评价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_Toc10188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197</w:t>
            </w:r>
            <w:r>
              <w:rPr>
                <w:rFonts w:ascii="Times New Roman" w:hAnsi="Times New Roman" w:cs="Times New Roman"/>
              </w:rPr>
              <w:fldChar w:fldCharType="end"/>
            </w:r>
          </w:hyperlink>
        </w:p>
        <w:p w14:paraId="556FAF18" w14:textId="77777777" w:rsidR="003E78AB" w:rsidRDefault="00010BF9">
          <w:pPr>
            <w:pStyle w:val="22"/>
            <w:tabs>
              <w:tab w:val="right" w:leader="dot" w:pos="8306"/>
            </w:tabs>
            <w:ind w:left="480" w:firstLineChars="0" w:firstLine="0"/>
          </w:pPr>
          <w:hyperlink w:anchor="_Toc25390" w:history="1">
            <w:r>
              <w:t>5.1</w:t>
            </w:r>
            <w:r>
              <w:t>施工期环境影响分析与评价</w:t>
            </w:r>
            <w:r>
              <w:tab/>
            </w:r>
            <w:r>
              <w:fldChar w:fldCharType="begin"/>
            </w:r>
            <w:r>
              <w:instrText xml:space="preserve"> PAGEREF _Toc25390 \h </w:instrText>
            </w:r>
            <w:r>
              <w:fldChar w:fldCharType="separate"/>
            </w:r>
            <w:r>
              <w:t>197</w:t>
            </w:r>
            <w:r>
              <w:fldChar w:fldCharType="end"/>
            </w:r>
          </w:hyperlink>
        </w:p>
        <w:p w14:paraId="389D0EDA" w14:textId="77777777" w:rsidR="003E78AB" w:rsidRDefault="00010BF9">
          <w:pPr>
            <w:pStyle w:val="22"/>
            <w:tabs>
              <w:tab w:val="right" w:leader="dot" w:pos="8306"/>
            </w:tabs>
            <w:ind w:left="480" w:firstLineChars="0" w:firstLine="0"/>
          </w:pPr>
          <w:hyperlink w:anchor="_Toc10294" w:history="1">
            <w:r>
              <w:t>5.2</w:t>
            </w:r>
            <w:r>
              <w:t>运营期环境影响分析与评价</w:t>
            </w:r>
            <w:r>
              <w:tab/>
            </w:r>
            <w:r>
              <w:fldChar w:fldCharType="begin"/>
            </w:r>
            <w:r>
              <w:instrText xml:space="preserve"> PAGEREF _Toc10294 \h </w:instrText>
            </w:r>
            <w:r>
              <w:fldChar w:fldCharType="separate"/>
            </w:r>
            <w:r>
              <w:t>203</w:t>
            </w:r>
            <w:r>
              <w:fldChar w:fldCharType="end"/>
            </w:r>
          </w:hyperlink>
        </w:p>
        <w:p w14:paraId="7C4F8095"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5126" w:history="1">
            <w:r>
              <w:rPr>
                <w:rFonts w:ascii="Times New Roman" w:hAnsi="Times New Roman" w:cs="Times New Roman"/>
                <w:snapToGrid w:val="0"/>
                <w:spacing w:val="2"/>
                <w:kern w:val="44"/>
                <w:szCs w:val="35"/>
              </w:rPr>
              <w:t>第六章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环境风险分析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_Toc5126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286</w:t>
            </w:r>
            <w:r>
              <w:rPr>
                <w:rFonts w:ascii="Times New Roman" w:hAnsi="Times New Roman" w:cs="Times New Roman"/>
              </w:rPr>
              <w:fldChar w:fldCharType="end"/>
            </w:r>
          </w:hyperlink>
        </w:p>
        <w:p w14:paraId="1104C799" w14:textId="77777777" w:rsidR="003E78AB" w:rsidRDefault="00010BF9">
          <w:pPr>
            <w:pStyle w:val="22"/>
            <w:tabs>
              <w:tab w:val="right" w:leader="dot" w:pos="8306"/>
            </w:tabs>
            <w:ind w:left="480" w:firstLineChars="0" w:firstLine="0"/>
          </w:pPr>
          <w:hyperlink w:anchor="_Toc32398" w:history="1">
            <w:r>
              <w:t>6.1</w:t>
            </w:r>
            <w:r>
              <w:t>概述</w:t>
            </w:r>
            <w:r>
              <w:tab/>
            </w:r>
            <w:r>
              <w:fldChar w:fldCharType="begin"/>
            </w:r>
            <w:r>
              <w:instrText xml:space="preserve"> PAGEREF _Toc32398 \h </w:instrText>
            </w:r>
            <w:r>
              <w:fldChar w:fldCharType="separate"/>
            </w:r>
            <w:r>
              <w:t>286</w:t>
            </w:r>
            <w:r>
              <w:fldChar w:fldCharType="end"/>
            </w:r>
          </w:hyperlink>
        </w:p>
        <w:p w14:paraId="7F69E89C" w14:textId="77777777" w:rsidR="003E78AB" w:rsidRDefault="00010BF9">
          <w:pPr>
            <w:pStyle w:val="22"/>
            <w:tabs>
              <w:tab w:val="right" w:leader="dot" w:pos="8306"/>
            </w:tabs>
            <w:ind w:left="480" w:firstLineChars="0" w:firstLine="0"/>
          </w:pPr>
          <w:hyperlink w:anchor="_Toc22783" w:history="1">
            <w:r>
              <w:t>6.2</w:t>
            </w:r>
            <w:r>
              <w:t>风险调查及评价等级</w:t>
            </w:r>
            <w:r>
              <w:tab/>
            </w:r>
            <w:r>
              <w:fldChar w:fldCharType="begin"/>
            </w:r>
            <w:r>
              <w:instrText xml:space="preserve"> PAGEREF _Toc22783 \h </w:instrText>
            </w:r>
            <w:r>
              <w:fldChar w:fldCharType="separate"/>
            </w:r>
            <w:r>
              <w:t>287</w:t>
            </w:r>
            <w:r>
              <w:fldChar w:fldCharType="end"/>
            </w:r>
          </w:hyperlink>
        </w:p>
        <w:p w14:paraId="1D0D9313" w14:textId="77777777" w:rsidR="003E78AB" w:rsidRDefault="00010BF9">
          <w:pPr>
            <w:pStyle w:val="22"/>
            <w:tabs>
              <w:tab w:val="right" w:leader="dot" w:pos="8306"/>
            </w:tabs>
            <w:ind w:left="480" w:firstLineChars="0" w:firstLine="0"/>
          </w:pPr>
          <w:hyperlink w:anchor="_Toc20421" w:history="1">
            <w:r>
              <w:t>6.3</w:t>
            </w:r>
            <w:r>
              <w:t>环境风险识别</w:t>
            </w:r>
            <w:r>
              <w:tab/>
            </w:r>
            <w:r>
              <w:fldChar w:fldCharType="begin"/>
            </w:r>
            <w:r>
              <w:instrText xml:space="preserve"> PAGEREF _Toc20421 \h </w:instrText>
            </w:r>
            <w:r>
              <w:fldChar w:fldCharType="separate"/>
            </w:r>
            <w:r>
              <w:t>295</w:t>
            </w:r>
            <w:r>
              <w:fldChar w:fldCharType="end"/>
            </w:r>
          </w:hyperlink>
        </w:p>
        <w:p w14:paraId="2CCFF0AF" w14:textId="77777777" w:rsidR="003E78AB" w:rsidRDefault="00010BF9">
          <w:pPr>
            <w:pStyle w:val="22"/>
            <w:tabs>
              <w:tab w:val="right" w:leader="dot" w:pos="8306"/>
            </w:tabs>
            <w:ind w:left="480" w:firstLineChars="0" w:firstLine="0"/>
          </w:pPr>
          <w:hyperlink w:anchor="_Toc7315" w:history="1">
            <w:r>
              <w:t>6.4</w:t>
            </w:r>
            <w:r>
              <w:t>风险事故情形分析</w:t>
            </w:r>
            <w:r>
              <w:tab/>
            </w:r>
            <w:r>
              <w:fldChar w:fldCharType="begin"/>
            </w:r>
            <w:r>
              <w:instrText xml:space="preserve"> PAGEREF _Toc7315 \h </w:instrText>
            </w:r>
            <w:r>
              <w:fldChar w:fldCharType="separate"/>
            </w:r>
            <w:r>
              <w:t>309</w:t>
            </w:r>
            <w:r>
              <w:fldChar w:fldCharType="end"/>
            </w:r>
          </w:hyperlink>
        </w:p>
        <w:p w14:paraId="40512691" w14:textId="77777777" w:rsidR="003E78AB" w:rsidRDefault="00010BF9">
          <w:pPr>
            <w:pStyle w:val="22"/>
            <w:tabs>
              <w:tab w:val="right" w:leader="dot" w:pos="8306"/>
            </w:tabs>
            <w:ind w:left="480" w:firstLineChars="0" w:firstLine="0"/>
          </w:pPr>
          <w:hyperlink w:anchor="_Toc6261" w:history="1">
            <w:r>
              <w:t>6.5</w:t>
            </w:r>
            <w:r>
              <w:t>风险预测评价</w:t>
            </w:r>
            <w:r>
              <w:tab/>
            </w:r>
            <w:r>
              <w:fldChar w:fldCharType="begin"/>
            </w:r>
            <w:r>
              <w:instrText xml:space="preserve"> PAGEREF _Toc6261 \h </w:instrText>
            </w:r>
            <w:r>
              <w:fldChar w:fldCharType="separate"/>
            </w:r>
            <w:r>
              <w:t>313</w:t>
            </w:r>
            <w:r>
              <w:fldChar w:fldCharType="end"/>
            </w:r>
          </w:hyperlink>
        </w:p>
        <w:p w14:paraId="04415CF9" w14:textId="77777777" w:rsidR="003E78AB" w:rsidRDefault="00010BF9">
          <w:pPr>
            <w:pStyle w:val="22"/>
            <w:tabs>
              <w:tab w:val="right" w:leader="dot" w:pos="8306"/>
            </w:tabs>
            <w:ind w:left="480" w:firstLineChars="0" w:firstLine="0"/>
          </w:pPr>
          <w:hyperlink w:anchor="_Toc23775" w:history="1">
            <w:r>
              <w:t>6.6</w:t>
            </w:r>
            <w:r>
              <w:t>环境风险管理</w:t>
            </w:r>
            <w:r>
              <w:tab/>
            </w:r>
            <w:r>
              <w:fldChar w:fldCharType="begin"/>
            </w:r>
            <w:r>
              <w:instrText xml:space="preserve"> PAGEREF _Toc23775 \h </w:instrText>
            </w:r>
            <w:r>
              <w:fldChar w:fldCharType="separate"/>
            </w:r>
            <w:r>
              <w:t>326</w:t>
            </w:r>
            <w:r>
              <w:fldChar w:fldCharType="end"/>
            </w:r>
          </w:hyperlink>
        </w:p>
        <w:p w14:paraId="5A987D32" w14:textId="77777777" w:rsidR="003E78AB" w:rsidRDefault="00010BF9">
          <w:pPr>
            <w:pStyle w:val="22"/>
            <w:tabs>
              <w:tab w:val="right" w:leader="dot" w:pos="8306"/>
            </w:tabs>
            <w:ind w:left="480" w:firstLineChars="0" w:firstLine="0"/>
          </w:pPr>
          <w:hyperlink w:anchor="_Toc2724" w:history="1">
            <w:r>
              <w:t>6.7</w:t>
            </w:r>
            <w:r>
              <w:t>风险防范、应急设施及投资估算</w:t>
            </w:r>
            <w:r>
              <w:tab/>
            </w:r>
            <w:r>
              <w:fldChar w:fldCharType="begin"/>
            </w:r>
            <w:r>
              <w:instrText xml:space="preserve"> PAGEREF _Toc2724 \h </w:instrText>
            </w:r>
            <w:r>
              <w:fldChar w:fldCharType="separate"/>
            </w:r>
            <w:r>
              <w:t>348</w:t>
            </w:r>
            <w:r>
              <w:fldChar w:fldCharType="end"/>
            </w:r>
          </w:hyperlink>
        </w:p>
        <w:p w14:paraId="2707BE9B" w14:textId="77777777" w:rsidR="003E78AB" w:rsidRDefault="00010BF9">
          <w:pPr>
            <w:pStyle w:val="22"/>
            <w:tabs>
              <w:tab w:val="right" w:leader="dot" w:pos="8306"/>
            </w:tabs>
            <w:ind w:left="480" w:firstLineChars="0" w:firstLine="0"/>
          </w:pPr>
          <w:hyperlink w:anchor="_Toc26299" w:history="1">
            <w:r>
              <w:t>6.8</w:t>
            </w:r>
            <w:r>
              <w:t>环境风险评价结论</w:t>
            </w:r>
            <w:r>
              <w:tab/>
            </w:r>
            <w:r>
              <w:fldChar w:fldCharType="begin"/>
            </w:r>
            <w:r>
              <w:instrText xml:space="preserve"> PAGEREF _Toc26299 \h </w:instrText>
            </w:r>
            <w:r>
              <w:fldChar w:fldCharType="separate"/>
            </w:r>
            <w:r>
              <w:t>348</w:t>
            </w:r>
            <w:r>
              <w:fldChar w:fldCharType="end"/>
            </w:r>
          </w:hyperlink>
        </w:p>
        <w:p w14:paraId="6F28192C"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24304" w:history="1">
            <w:r>
              <w:rPr>
                <w:rFonts w:ascii="Times New Roman" w:hAnsi="Times New Roman" w:cs="Times New Roman"/>
                <w:snapToGrid w:val="0"/>
                <w:spacing w:val="2"/>
                <w:kern w:val="44"/>
                <w:szCs w:val="35"/>
              </w:rPr>
              <w:t>第七章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环境保护措施及其可行性论证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_Toc2430</w:instrText>
            </w:r>
            <w:r>
              <w:rPr>
                <w:rFonts w:ascii="Times New Roman" w:hAnsi="Times New Roman" w:cs="Times New Roman"/>
              </w:rPr>
              <w:instrText xml:space="preserve">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352</w:t>
            </w:r>
            <w:r>
              <w:rPr>
                <w:rFonts w:ascii="Times New Roman" w:hAnsi="Times New Roman" w:cs="Times New Roman"/>
              </w:rPr>
              <w:fldChar w:fldCharType="end"/>
            </w:r>
          </w:hyperlink>
        </w:p>
        <w:p w14:paraId="705A9728" w14:textId="77777777" w:rsidR="003E78AB" w:rsidRDefault="00010BF9">
          <w:pPr>
            <w:pStyle w:val="22"/>
            <w:tabs>
              <w:tab w:val="right" w:leader="dot" w:pos="8306"/>
            </w:tabs>
            <w:ind w:left="480" w:firstLineChars="0" w:firstLine="0"/>
          </w:pPr>
          <w:hyperlink w:anchor="_Toc23252" w:history="1">
            <w:r>
              <w:t>7.1</w:t>
            </w:r>
            <w:r>
              <w:t>施工期环境保护措施</w:t>
            </w:r>
            <w:r>
              <w:tab/>
            </w:r>
            <w:r>
              <w:fldChar w:fldCharType="begin"/>
            </w:r>
            <w:r>
              <w:instrText xml:space="preserve"> PAGEREF _Toc23252 \h </w:instrText>
            </w:r>
            <w:r>
              <w:fldChar w:fldCharType="separate"/>
            </w:r>
            <w:r>
              <w:t>352</w:t>
            </w:r>
            <w:r>
              <w:fldChar w:fldCharType="end"/>
            </w:r>
          </w:hyperlink>
        </w:p>
        <w:p w14:paraId="5E65C234" w14:textId="77777777" w:rsidR="003E78AB" w:rsidRDefault="00010BF9">
          <w:pPr>
            <w:pStyle w:val="22"/>
            <w:tabs>
              <w:tab w:val="right" w:leader="dot" w:pos="8306"/>
            </w:tabs>
            <w:ind w:left="480" w:firstLineChars="0" w:firstLine="0"/>
          </w:pPr>
          <w:hyperlink w:anchor="_Toc23503" w:history="1">
            <w:r>
              <w:t>7.2</w:t>
            </w:r>
            <w:r>
              <w:t>运营期环境保护措施及可行性分析</w:t>
            </w:r>
            <w:r>
              <w:tab/>
            </w:r>
            <w:r>
              <w:fldChar w:fldCharType="begin"/>
            </w:r>
            <w:r>
              <w:instrText xml:space="preserve"> PA</w:instrText>
            </w:r>
            <w:r>
              <w:instrText xml:space="preserve">GEREF _Toc23503 \h </w:instrText>
            </w:r>
            <w:r>
              <w:fldChar w:fldCharType="separate"/>
            </w:r>
            <w:r>
              <w:t>357</w:t>
            </w:r>
            <w:r>
              <w:fldChar w:fldCharType="end"/>
            </w:r>
          </w:hyperlink>
        </w:p>
        <w:p w14:paraId="00D83BA8"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21593" w:history="1">
            <w:r>
              <w:rPr>
                <w:rFonts w:ascii="Times New Roman" w:hAnsi="Times New Roman" w:cs="Times New Roman"/>
                <w:snapToGrid w:val="0"/>
                <w:spacing w:val="2"/>
                <w:kern w:val="44"/>
                <w:szCs w:val="35"/>
              </w:rPr>
              <w:t>第八章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_Toc21593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381</w:t>
            </w:r>
            <w:r>
              <w:rPr>
                <w:rFonts w:ascii="Times New Roman" w:hAnsi="Times New Roman" w:cs="Times New Roman"/>
              </w:rPr>
              <w:fldChar w:fldCharType="end"/>
            </w:r>
          </w:hyperlink>
        </w:p>
        <w:p w14:paraId="02754BB1" w14:textId="77777777" w:rsidR="003E78AB" w:rsidRDefault="00010BF9">
          <w:pPr>
            <w:pStyle w:val="22"/>
            <w:tabs>
              <w:tab w:val="right" w:leader="dot" w:pos="8306"/>
            </w:tabs>
            <w:ind w:left="480" w:firstLineChars="0" w:firstLine="0"/>
          </w:pPr>
          <w:hyperlink w:anchor="_Toc11263" w:history="1">
            <w:r>
              <w:t>8.1</w:t>
            </w:r>
            <w:r>
              <w:t>环保设施内</w:t>
            </w:r>
            <w:r>
              <w:t>容及投资估算</w:t>
            </w:r>
            <w:r>
              <w:tab/>
            </w:r>
            <w:r>
              <w:fldChar w:fldCharType="begin"/>
            </w:r>
            <w:r>
              <w:instrText xml:space="preserve"> PAGEREF _Toc11263 \h </w:instrText>
            </w:r>
            <w:r>
              <w:fldChar w:fldCharType="separate"/>
            </w:r>
            <w:r>
              <w:t>381</w:t>
            </w:r>
            <w:r>
              <w:fldChar w:fldCharType="end"/>
            </w:r>
          </w:hyperlink>
        </w:p>
        <w:p w14:paraId="68E5667E" w14:textId="77777777" w:rsidR="003E78AB" w:rsidRDefault="00010BF9">
          <w:pPr>
            <w:pStyle w:val="22"/>
            <w:tabs>
              <w:tab w:val="right" w:leader="dot" w:pos="8306"/>
            </w:tabs>
            <w:ind w:left="480" w:firstLineChars="0" w:firstLine="0"/>
          </w:pPr>
          <w:hyperlink w:anchor="_Toc1583" w:history="1">
            <w:r>
              <w:t>8.2</w:t>
            </w:r>
            <w:r>
              <w:t>环境效益分析</w:t>
            </w:r>
            <w:r>
              <w:tab/>
            </w:r>
            <w:r>
              <w:fldChar w:fldCharType="begin"/>
            </w:r>
            <w:r>
              <w:instrText xml:space="preserve"> PAGEREF _Toc1583 \h </w:instrText>
            </w:r>
            <w:r>
              <w:fldChar w:fldCharType="separate"/>
            </w:r>
            <w:r>
              <w:t>382</w:t>
            </w:r>
            <w:r>
              <w:fldChar w:fldCharType="end"/>
            </w:r>
          </w:hyperlink>
        </w:p>
        <w:p w14:paraId="4399E705" w14:textId="77777777" w:rsidR="003E78AB" w:rsidRDefault="00010BF9">
          <w:pPr>
            <w:pStyle w:val="22"/>
            <w:tabs>
              <w:tab w:val="right" w:leader="dot" w:pos="8306"/>
            </w:tabs>
            <w:ind w:left="480" w:firstLineChars="0" w:firstLine="0"/>
          </w:pPr>
          <w:hyperlink w:anchor="_Toc9574" w:history="1">
            <w:r>
              <w:t>8.3</w:t>
            </w:r>
            <w:r>
              <w:t>环境经</w:t>
            </w:r>
            <w:r>
              <w:t>济损益分析结论</w:t>
            </w:r>
            <w:r>
              <w:tab/>
            </w:r>
            <w:r>
              <w:fldChar w:fldCharType="begin"/>
            </w:r>
            <w:r>
              <w:instrText xml:space="preserve"> PAGEREF _Toc9574 \h </w:instrText>
            </w:r>
            <w:r>
              <w:fldChar w:fldCharType="separate"/>
            </w:r>
            <w:r>
              <w:t>383</w:t>
            </w:r>
            <w:r>
              <w:fldChar w:fldCharType="end"/>
            </w:r>
          </w:hyperlink>
        </w:p>
        <w:p w14:paraId="024083FC"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2778" w:history="1">
            <w:r>
              <w:rPr>
                <w:rFonts w:ascii="Times New Roman" w:hAnsi="Times New Roman" w:cs="Times New Roman"/>
                <w:snapToGrid w:val="0"/>
                <w:spacing w:val="2"/>
                <w:kern w:val="44"/>
                <w:szCs w:val="35"/>
              </w:rPr>
              <w:t>第九章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环境管理与监测计划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_Toc2778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385</w:t>
            </w:r>
            <w:r>
              <w:rPr>
                <w:rFonts w:ascii="Times New Roman" w:hAnsi="Times New Roman" w:cs="Times New Roman"/>
              </w:rPr>
              <w:fldChar w:fldCharType="end"/>
            </w:r>
          </w:hyperlink>
        </w:p>
        <w:p w14:paraId="001413DF" w14:textId="77777777" w:rsidR="003E78AB" w:rsidRDefault="00010BF9">
          <w:pPr>
            <w:pStyle w:val="22"/>
            <w:tabs>
              <w:tab w:val="right" w:leader="dot" w:pos="8306"/>
            </w:tabs>
            <w:ind w:left="480" w:firstLineChars="0" w:firstLine="0"/>
          </w:pPr>
          <w:hyperlink w:anchor="_Toc27624" w:history="1">
            <w:r>
              <w:t>9.1</w:t>
            </w:r>
            <w:r>
              <w:t>环境管理</w:t>
            </w:r>
            <w:r>
              <w:tab/>
            </w:r>
            <w:r>
              <w:fldChar w:fldCharType="begin"/>
            </w:r>
            <w:r>
              <w:instrText xml:space="preserve"> PAGEREF _Toc27624 \h </w:instrText>
            </w:r>
            <w:r>
              <w:fldChar w:fldCharType="separate"/>
            </w:r>
            <w:r>
              <w:t>385</w:t>
            </w:r>
            <w:r>
              <w:fldChar w:fldCharType="end"/>
            </w:r>
          </w:hyperlink>
        </w:p>
        <w:p w14:paraId="1D4B03C5" w14:textId="77777777" w:rsidR="003E78AB" w:rsidRDefault="00010BF9">
          <w:pPr>
            <w:pStyle w:val="22"/>
            <w:tabs>
              <w:tab w:val="right" w:leader="dot" w:pos="8306"/>
            </w:tabs>
            <w:ind w:left="480" w:firstLineChars="0" w:firstLine="0"/>
          </w:pPr>
          <w:hyperlink w:anchor="_Toc17517" w:history="1">
            <w:r>
              <w:t>9.2</w:t>
            </w:r>
            <w:r>
              <w:t>环境监测</w:t>
            </w:r>
            <w:r>
              <w:tab/>
            </w:r>
            <w:r>
              <w:fldChar w:fldCharType="begin"/>
            </w:r>
            <w:r>
              <w:instrText xml:space="preserve"> PAGEREF _Toc17517 \h </w:instrText>
            </w:r>
            <w:r>
              <w:fldChar w:fldCharType="separate"/>
            </w:r>
            <w:r>
              <w:t>393</w:t>
            </w:r>
            <w:r>
              <w:fldChar w:fldCharType="end"/>
            </w:r>
          </w:hyperlink>
        </w:p>
        <w:p w14:paraId="61DC580D" w14:textId="77777777" w:rsidR="003E78AB" w:rsidRDefault="00010BF9">
          <w:pPr>
            <w:pStyle w:val="22"/>
            <w:tabs>
              <w:tab w:val="right" w:leader="dot" w:pos="8306"/>
            </w:tabs>
            <w:ind w:left="480" w:firstLineChars="0" w:firstLine="0"/>
          </w:pPr>
          <w:hyperlink w:anchor="_Toc30722" w:history="1">
            <w:r>
              <w:t>9.3</w:t>
            </w:r>
            <w:r>
              <w:t>环境监理</w:t>
            </w:r>
            <w:r>
              <w:tab/>
            </w:r>
            <w:r>
              <w:fldChar w:fldCharType="begin"/>
            </w:r>
            <w:r>
              <w:instrText xml:space="preserve"> PAGEREF _Toc30722 \h </w:instrText>
            </w:r>
            <w:r>
              <w:fldChar w:fldCharType="separate"/>
            </w:r>
            <w:r>
              <w:t>397</w:t>
            </w:r>
            <w:r>
              <w:fldChar w:fldCharType="end"/>
            </w:r>
          </w:hyperlink>
        </w:p>
        <w:p w14:paraId="5D2AE27E" w14:textId="77777777" w:rsidR="003E78AB" w:rsidRDefault="00010BF9">
          <w:pPr>
            <w:pStyle w:val="22"/>
            <w:tabs>
              <w:tab w:val="right" w:leader="dot" w:pos="8306"/>
            </w:tabs>
            <w:ind w:left="480" w:firstLineChars="0" w:firstLine="0"/>
          </w:pPr>
          <w:hyperlink w:anchor="_Toc21828" w:history="1">
            <w:r>
              <w:t>9.4</w:t>
            </w:r>
            <w:r>
              <w:t>污染物排放清单</w:t>
            </w:r>
            <w:r>
              <w:tab/>
            </w:r>
            <w:r>
              <w:fldChar w:fldCharType="begin"/>
            </w:r>
            <w:r>
              <w:instrText xml:space="preserve"> PAGEREF _Toc21828 \h </w:instrText>
            </w:r>
            <w:r>
              <w:fldChar w:fldCharType="separate"/>
            </w:r>
            <w:r>
              <w:t>401</w:t>
            </w:r>
            <w:r>
              <w:fldChar w:fldCharType="end"/>
            </w:r>
          </w:hyperlink>
        </w:p>
        <w:p w14:paraId="513FF65B" w14:textId="77777777" w:rsidR="003E78AB" w:rsidRDefault="00010BF9">
          <w:pPr>
            <w:pStyle w:val="22"/>
            <w:tabs>
              <w:tab w:val="right" w:leader="dot" w:pos="8306"/>
            </w:tabs>
            <w:ind w:left="480" w:firstLineChars="0" w:firstLine="0"/>
          </w:pPr>
          <w:hyperlink w:anchor="_Toc1836" w:history="1">
            <w:r>
              <w:t>9.5</w:t>
            </w:r>
            <w:r>
              <w:t>排污口规范化管理</w:t>
            </w:r>
            <w:r>
              <w:tab/>
            </w:r>
            <w:r>
              <w:fldChar w:fldCharType="begin"/>
            </w:r>
            <w:r>
              <w:instrText xml:space="preserve"> PAGEREF _Toc1836 \h </w:instrText>
            </w:r>
            <w:r>
              <w:fldChar w:fldCharType="separate"/>
            </w:r>
            <w:r>
              <w:t>406</w:t>
            </w:r>
            <w:r>
              <w:fldChar w:fldCharType="end"/>
            </w:r>
          </w:hyperlink>
        </w:p>
        <w:p w14:paraId="1DDAE132" w14:textId="77777777" w:rsidR="003E78AB" w:rsidRDefault="00010BF9">
          <w:pPr>
            <w:pStyle w:val="22"/>
            <w:tabs>
              <w:tab w:val="right" w:leader="dot" w:pos="8306"/>
            </w:tabs>
            <w:ind w:left="480" w:firstLineChars="0" w:firstLine="0"/>
          </w:pPr>
          <w:hyperlink w:anchor="_Toc16220" w:history="1">
            <w:r>
              <w:t>9.6</w:t>
            </w:r>
            <w:r>
              <w:t>环境影响评价制度与排污许可制度衔接分析</w:t>
            </w:r>
            <w:r>
              <w:tab/>
            </w:r>
            <w:r>
              <w:fldChar w:fldCharType="begin"/>
            </w:r>
            <w:r>
              <w:instrText xml:space="preserve"> PAGEREF _Toc16220 \h </w:instrText>
            </w:r>
            <w:r>
              <w:fldChar w:fldCharType="separate"/>
            </w:r>
            <w:r>
              <w:t>407</w:t>
            </w:r>
            <w:r>
              <w:fldChar w:fldCharType="end"/>
            </w:r>
          </w:hyperlink>
        </w:p>
        <w:p w14:paraId="70FDF05C" w14:textId="77777777" w:rsidR="003E78AB" w:rsidRDefault="00010BF9">
          <w:pPr>
            <w:pStyle w:val="22"/>
            <w:tabs>
              <w:tab w:val="right" w:leader="dot" w:pos="8306"/>
            </w:tabs>
            <w:ind w:left="480" w:firstLineChars="0" w:firstLine="0"/>
          </w:pPr>
          <w:hyperlink w:anchor="_Toc27721" w:history="1">
            <w:r>
              <w:t>9.7</w:t>
            </w:r>
            <w:r>
              <w:t>企业环境信息公开</w:t>
            </w:r>
            <w:r>
              <w:tab/>
            </w:r>
            <w:r>
              <w:fldChar w:fldCharType="begin"/>
            </w:r>
            <w:r>
              <w:instrText xml:space="preserve"> PAGEREF _Toc277</w:instrText>
            </w:r>
            <w:r>
              <w:instrText xml:space="preserve">21 \h </w:instrText>
            </w:r>
            <w:r>
              <w:fldChar w:fldCharType="separate"/>
            </w:r>
            <w:r>
              <w:t>408</w:t>
            </w:r>
            <w:r>
              <w:fldChar w:fldCharType="end"/>
            </w:r>
          </w:hyperlink>
        </w:p>
        <w:p w14:paraId="58FAF846" w14:textId="77777777" w:rsidR="003E78AB" w:rsidRDefault="00010BF9">
          <w:pPr>
            <w:pStyle w:val="22"/>
            <w:tabs>
              <w:tab w:val="right" w:leader="dot" w:pos="8306"/>
            </w:tabs>
            <w:ind w:left="480" w:firstLineChars="0" w:firstLine="0"/>
          </w:pPr>
          <w:hyperlink w:anchor="_Toc26487" w:history="1">
            <w:r>
              <w:t>9.8</w:t>
            </w:r>
            <w:r>
              <w:t>竣工验收管理</w:t>
            </w:r>
            <w:r>
              <w:tab/>
            </w:r>
            <w:r>
              <w:fldChar w:fldCharType="begin"/>
            </w:r>
            <w:r>
              <w:instrText xml:space="preserve"> PAGEREF _Toc26487 \h </w:instrText>
            </w:r>
            <w:r>
              <w:fldChar w:fldCharType="separate"/>
            </w:r>
            <w:r>
              <w:t>409</w:t>
            </w:r>
            <w:r>
              <w:fldChar w:fldCharType="end"/>
            </w:r>
          </w:hyperlink>
        </w:p>
        <w:p w14:paraId="2F138333" w14:textId="77777777" w:rsidR="003E78AB" w:rsidRDefault="00010BF9">
          <w:pPr>
            <w:pStyle w:val="11"/>
            <w:tabs>
              <w:tab w:val="right" w:leader="dot" w:pos="8306"/>
            </w:tabs>
            <w:spacing w:before="0"/>
            <w:ind w:firstLineChars="0" w:firstLine="0"/>
            <w:rPr>
              <w:rFonts w:ascii="Times New Roman" w:hAnsi="Times New Roman" w:cs="Times New Roman"/>
            </w:rPr>
          </w:pPr>
          <w:hyperlink w:anchor="_Toc10425" w:history="1">
            <w:r>
              <w:rPr>
                <w:rFonts w:ascii="Times New Roman" w:hAnsi="Times New Roman" w:cs="Times New Roman"/>
                <w:snapToGrid w:val="0"/>
                <w:spacing w:val="2"/>
                <w:kern w:val="44"/>
                <w:szCs w:val="35"/>
              </w:rPr>
              <w:t>第十章</w:t>
            </w:r>
            <w:r>
              <w:rPr>
                <w:rFonts w:ascii="Times New Roman" w:hAnsi="Times New Roman" w:cs="Times New Roman"/>
                <w:snapToGrid w:val="0"/>
                <w:spacing w:val="2"/>
                <w:kern w:val="44"/>
                <w:szCs w:val="35"/>
              </w:rPr>
              <w:t xml:space="preserve">  </w:t>
            </w:r>
            <w:r>
              <w:rPr>
                <w:rFonts w:ascii="Times New Roman" w:hAnsi="Times New Roman" w:cs="Times New Roman"/>
                <w:snapToGrid w:val="0"/>
                <w:spacing w:val="2"/>
                <w:kern w:val="44"/>
                <w:szCs w:val="35"/>
              </w:rPr>
              <w:t>环境影响评价结论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_Toc10425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410</w:t>
            </w:r>
            <w:r>
              <w:rPr>
                <w:rFonts w:ascii="Times New Roman" w:hAnsi="Times New Roman" w:cs="Times New Roman"/>
              </w:rPr>
              <w:fldChar w:fldCharType="end"/>
            </w:r>
          </w:hyperlink>
        </w:p>
        <w:p w14:paraId="1A9D1957" w14:textId="77777777" w:rsidR="003E78AB" w:rsidRDefault="00010BF9">
          <w:pPr>
            <w:pStyle w:val="22"/>
            <w:tabs>
              <w:tab w:val="right" w:leader="dot" w:pos="8306"/>
            </w:tabs>
            <w:ind w:left="480" w:firstLineChars="0" w:firstLine="0"/>
          </w:pPr>
          <w:hyperlink w:anchor="_Toc25215" w:history="1">
            <w:r>
              <w:t>10.1</w:t>
            </w:r>
            <w:r>
              <w:t>结论</w:t>
            </w:r>
            <w:r>
              <w:tab/>
            </w:r>
            <w:r>
              <w:fldChar w:fldCharType="begin"/>
            </w:r>
            <w:r>
              <w:instrText xml:space="preserve"> PAGEREF _Toc25215 \h </w:instrText>
            </w:r>
            <w:r>
              <w:fldChar w:fldCharType="separate"/>
            </w:r>
            <w:r>
              <w:t>411</w:t>
            </w:r>
            <w:r>
              <w:fldChar w:fldCharType="end"/>
            </w:r>
          </w:hyperlink>
        </w:p>
        <w:p w14:paraId="17E1E1F8" w14:textId="77777777" w:rsidR="003E78AB" w:rsidRDefault="00010BF9">
          <w:pPr>
            <w:pStyle w:val="22"/>
            <w:tabs>
              <w:tab w:val="right" w:leader="dot" w:pos="8306"/>
            </w:tabs>
            <w:ind w:left="480" w:firstLineChars="0" w:firstLine="0"/>
          </w:pPr>
          <w:hyperlink w:anchor="_Toc15040" w:history="1">
            <w:r>
              <w:t>10.2</w:t>
            </w:r>
            <w:r>
              <w:t>综合评价结论</w:t>
            </w:r>
            <w:r>
              <w:tab/>
            </w:r>
            <w:r>
              <w:fldChar w:fldCharType="begin"/>
            </w:r>
            <w:r>
              <w:instrText xml:space="preserve"> </w:instrText>
            </w:r>
            <w:r>
              <w:instrText xml:space="preserve">PAGEREF _Toc15040 \h </w:instrText>
            </w:r>
            <w:r>
              <w:fldChar w:fldCharType="separate"/>
            </w:r>
            <w:r>
              <w:t>416</w:t>
            </w:r>
            <w:r>
              <w:fldChar w:fldCharType="end"/>
            </w:r>
          </w:hyperlink>
        </w:p>
        <w:p w14:paraId="4FA6A5E2" w14:textId="77777777" w:rsidR="003E78AB" w:rsidRDefault="00010BF9">
          <w:pPr>
            <w:pStyle w:val="22"/>
            <w:tabs>
              <w:tab w:val="right" w:leader="dot" w:pos="8306"/>
            </w:tabs>
            <w:ind w:left="480" w:firstLineChars="0" w:firstLine="0"/>
          </w:pPr>
          <w:hyperlink w:anchor="_Toc26292" w:history="1">
            <w:r>
              <w:t>10.3</w:t>
            </w:r>
            <w:r>
              <w:t>建议</w:t>
            </w:r>
            <w:r>
              <w:tab/>
            </w:r>
            <w:r>
              <w:fldChar w:fldCharType="begin"/>
            </w:r>
            <w:r>
              <w:instrText xml:space="preserve"> PAGEREF _Toc26292 \h </w:instrText>
            </w:r>
            <w:r>
              <w:fldChar w:fldCharType="separate"/>
            </w:r>
            <w:r>
              <w:t>416</w:t>
            </w:r>
            <w:r>
              <w:fldChar w:fldCharType="end"/>
            </w:r>
          </w:hyperlink>
        </w:p>
        <w:p w14:paraId="4736B12F" w14:textId="77777777" w:rsidR="003E78AB" w:rsidRDefault="00010BF9">
          <w:pPr>
            <w:ind w:firstLineChars="0" w:firstLine="0"/>
          </w:pPr>
          <w:r>
            <w:fldChar w:fldCharType="end"/>
          </w:r>
        </w:p>
      </w:sdtContent>
    </w:sdt>
    <w:p w14:paraId="18382900" w14:textId="77777777" w:rsidR="003E78AB" w:rsidRDefault="00010BF9">
      <w:pPr>
        <w:ind w:firstLineChars="0" w:firstLine="0"/>
        <w:rPr>
          <w:b/>
          <w:bCs/>
        </w:rPr>
      </w:pPr>
      <w:r>
        <w:rPr>
          <w:rFonts w:hint="eastAsia"/>
          <w:b/>
          <w:bCs/>
        </w:rPr>
        <w:t>附图：</w:t>
      </w:r>
    </w:p>
    <w:p w14:paraId="3D899F12" w14:textId="77777777" w:rsidR="003E78AB" w:rsidRDefault="00010BF9">
      <w:pPr>
        <w:ind w:firstLineChars="0" w:firstLine="0"/>
      </w:pPr>
      <w:r>
        <w:t>附图</w:t>
      </w:r>
      <w:r>
        <w:t xml:space="preserve">1 </w:t>
      </w:r>
      <w:r>
        <w:rPr>
          <w:rFonts w:hint="eastAsia"/>
        </w:rPr>
        <w:t xml:space="preserve"> </w:t>
      </w:r>
      <w:r>
        <w:t>建设项目地理位置图</w:t>
      </w:r>
    </w:p>
    <w:p w14:paraId="63A8469C" w14:textId="77777777" w:rsidR="003E78AB" w:rsidRDefault="00010BF9">
      <w:pPr>
        <w:ind w:firstLineChars="0" w:firstLine="0"/>
      </w:pPr>
      <w:r>
        <w:t>附图</w:t>
      </w:r>
      <w:r>
        <w:t xml:space="preserve">2 </w:t>
      </w:r>
      <w:r>
        <w:rPr>
          <w:rFonts w:hint="eastAsia"/>
        </w:rPr>
        <w:t xml:space="preserve"> </w:t>
      </w:r>
      <w:r>
        <w:t>周边环境现状图</w:t>
      </w:r>
    </w:p>
    <w:p w14:paraId="49A9BD0A" w14:textId="77777777" w:rsidR="003E78AB" w:rsidRDefault="00010BF9">
      <w:pPr>
        <w:ind w:firstLineChars="0" w:firstLine="0"/>
      </w:pPr>
      <w:r>
        <w:rPr>
          <w:rFonts w:hint="eastAsia"/>
        </w:rPr>
        <w:t>附图</w:t>
      </w:r>
      <w:r>
        <w:rPr>
          <w:rFonts w:hint="eastAsia"/>
        </w:rPr>
        <w:t xml:space="preserve">3  </w:t>
      </w:r>
      <w:r>
        <w:rPr>
          <w:rFonts w:hint="eastAsia"/>
        </w:rPr>
        <w:t>本项目平面布置图</w:t>
      </w:r>
    </w:p>
    <w:p w14:paraId="0FC617D4" w14:textId="77777777" w:rsidR="003E78AB" w:rsidRDefault="00010BF9">
      <w:pPr>
        <w:ind w:firstLineChars="0" w:firstLine="0"/>
      </w:pPr>
      <w:r>
        <w:rPr>
          <w:rFonts w:hint="eastAsia"/>
        </w:rPr>
        <w:t>附图</w:t>
      </w:r>
      <w:r>
        <w:rPr>
          <w:rFonts w:hint="eastAsia"/>
        </w:rPr>
        <w:t xml:space="preserve">4  </w:t>
      </w:r>
      <w:r>
        <w:rPr>
          <w:rFonts w:hint="eastAsia"/>
        </w:rPr>
        <w:t>本项目生产车间一平面布局图</w:t>
      </w:r>
    </w:p>
    <w:p w14:paraId="3D8CE8C5" w14:textId="77777777" w:rsidR="003E78AB" w:rsidRDefault="00010BF9">
      <w:pPr>
        <w:ind w:firstLineChars="0" w:firstLine="0"/>
        <w:rPr>
          <w:b/>
          <w:bCs/>
          <w:u w:val="single"/>
        </w:rPr>
      </w:pPr>
      <w:r>
        <w:rPr>
          <w:b/>
          <w:bCs/>
          <w:u w:val="single"/>
        </w:rPr>
        <w:t>附图</w:t>
      </w:r>
      <w:r>
        <w:rPr>
          <w:b/>
          <w:bCs/>
          <w:u w:val="single"/>
        </w:rPr>
        <w:t xml:space="preserve">5 </w:t>
      </w:r>
      <w:r>
        <w:rPr>
          <w:rFonts w:hint="eastAsia"/>
          <w:b/>
          <w:bCs/>
          <w:u w:val="single"/>
        </w:rPr>
        <w:t xml:space="preserve"> </w:t>
      </w:r>
      <w:r>
        <w:rPr>
          <w:b/>
          <w:bCs/>
          <w:u w:val="single"/>
        </w:rPr>
        <w:t>项目评价范围图</w:t>
      </w:r>
    </w:p>
    <w:p w14:paraId="61CAB5B7" w14:textId="77777777" w:rsidR="003E78AB" w:rsidRDefault="00010BF9">
      <w:pPr>
        <w:ind w:firstLineChars="0" w:firstLine="0"/>
      </w:pPr>
      <w:r>
        <w:t>附图</w:t>
      </w:r>
      <w:r>
        <w:t>6</w:t>
      </w:r>
      <w:r>
        <w:rPr>
          <w:rFonts w:hint="eastAsia"/>
        </w:rPr>
        <w:t xml:space="preserve"> </w:t>
      </w:r>
      <w:r>
        <w:t xml:space="preserve"> </w:t>
      </w:r>
      <w:r>
        <w:t>敏感目标分布图</w:t>
      </w:r>
    </w:p>
    <w:p w14:paraId="38AA19C1" w14:textId="77777777" w:rsidR="003E78AB" w:rsidRDefault="00010BF9">
      <w:pPr>
        <w:ind w:firstLineChars="0" w:firstLine="0"/>
      </w:pPr>
      <w:r>
        <w:t>附图</w:t>
      </w:r>
      <w:r>
        <w:t xml:space="preserve">7 </w:t>
      </w:r>
      <w:r>
        <w:rPr>
          <w:rFonts w:hint="eastAsia"/>
        </w:rPr>
        <w:t xml:space="preserve"> </w:t>
      </w:r>
      <w:r>
        <w:t>项目与水源地保护区位置图</w:t>
      </w:r>
    </w:p>
    <w:p w14:paraId="70AAC6A5" w14:textId="77777777" w:rsidR="003E78AB" w:rsidRDefault="00010BF9">
      <w:pPr>
        <w:ind w:firstLineChars="0" w:firstLine="0"/>
      </w:pPr>
      <w:r>
        <w:t>附图</w:t>
      </w:r>
      <w:r>
        <w:t xml:space="preserve">8 </w:t>
      </w:r>
      <w:r>
        <w:rPr>
          <w:rFonts w:hint="eastAsia"/>
        </w:rPr>
        <w:t xml:space="preserve"> </w:t>
      </w:r>
      <w:r>
        <w:t>项目大气及地下水监测点位图</w:t>
      </w:r>
    </w:p>
    <w:p w14:paraId="6293975C" w14:textId="77777777" w:rsidR="003E78AB" w:rsidRDefault="00010BF9">
      <w:pPr>
        <w:ind w:firstLineChars="0" w:firstLine="0"/>
      </w:pPr>
      <w:r>
        <w:t>附图</w:t>
      </w:r>
      <w:r>
        <w:t>9</w:t>
      </w:r>
      <w:r>
        <w:rPr>
          <w:rFonts w:hint="eastAsia"/>
        </w:rPr>
        <w:t xml:space="preserve">  </w:t>
      </w:r>
      <w:r>
        <w:t>噪声及</w:t>
      </w:r>
      <w:r>
        <w:rPr>
          <w:rFonts w:hint="eastAsia"/>
        </w:rPr>
        <w:t>土</w:t>
      </w:r>
      <w:r>
        <w:t>壤监测点位图</w:t>
      </w:r>
    </w:p>
    <w:p w14:paraId="53228228" w14:textId="77777777" w:rsidR="003E78AB" w:rsidRDefault="00010BF9">
      <w:pPr>
        <w:ind w:firstLineChars="0" w:firstLine="0"/>
      </w:pPr>
      <w:r>
        <w:t>附图</w:t>
      </w:r>
      <w:r>
        <w:t>10</w:t>
      </w:r>
      <w:r>
        <w:rPr>
          <w:rFonts w:hint="eastAsia"/>
        </w:rPr>
        <w:t xml:space="preserve"> </w:t>
      </w:r>
      <w:r>
        <w:t xml:space="preserve"> </w:t>
      </w:r>
      <w:r>
        <w:t>项目分区防</w:t>
      </w:r>
      <w:r>
        <w:rPr>
          <w:rFonts w:hint="eastAsia"/>
        </w:rPr>
        <w:t>渗</w:t>
      </w:r>
      <w:r>
        <w:t>图</w:t>
      </w:r>
    </w:p>
    <w:p w14:paraId="6DE81B49" w14:textId="77777777" w:rsidR="003E78AB" w:rsidRDefault="00010BF9">
      <w:pPr>
        <w:ind w:firstLineChars="0" w:firstLine="0"/>
      </w:pPr>
      <w:r>
        <w:t>附图</w:t>
      </w:r>
      <w:r>
        <w:t xml:space="preserve">11 </w:t>
      </w:r>
      <w:r>
        <w:rPr>
          <w:rFonts w:hint="eastAsia"/>
        </w:rPr>
        <w:t xml:space="preserve"> </w:t>
      </w:r>
      <w:r>
        <w:t>产业规划位置图</w:t>
      </w:r>
    </w:p>
    <w:p w14:paraId="7C6BA8CA" w14:textId="77777777" w:rsidR="003E78AB" w:rsidRDefault="00010BF9">
      <w:pPr>
        <w:ind w:firstLineChars="0" w:firstLine="0"/>
      </w:pPr>
      <w:r>
        <w:t>附图</w:t>
      </w:r>
      <w:r>
        <w:t xml:space="preserve">12 </w:t>
      </w:r>
      <w:r>
        <w:rPr>
          <w:rFonts w:hint="eastAsia"/>
        </w:rPr>
        <w:t xml:space="preserve"> </w:t>
      </w:r>
      <w:r>
        <w:t>用地规划位置图</w:t>
      </w:r>
    </w:p>
    <w:p w14:paraId="49375587" w14:textId="77777777" w:rsidR="003E78AB" w:rsidRDefault="00010BF9">
      <w:pPr>
        <w:ind w:firstLineChars="0" w:firstLine="0"/>
      </w:pPr>
      <w:r>
        <w:t>附图</w:t>
      </w:r>
      <w:r>
        <w:t>13</w:t>
      </w:r>
      <w:r>
        <w:rPr>
          <w:rFonts w:hint="eastAsia"/>
        </w:rPr>
        <w:t xml:space="preserve"> </w:t>
      </w:r>
      <w:r>
        <w:t xml:space="preserve"> </w:t>
      </w:r>
      <w:r>
        <w:t>项目在哈密市管控单元位置图</w:t>
      </w:r>
    </w:p>
    <w:p w14:paraId="6AD8F787" w14:textId="77777777" w:rsidR="003E78AB" w:rsidRDefault="00010BF9">
      <w:pPr>
        <w:ind w:firstLineChars="0" w:firstLine="0"/>
      </w:pPr>
      <w:r>
        <w:lastRenderedPageBreak/>
        <w:t>附图</w:t>
      </w:r>
      <w:r>
        <w:t>1</w:t>
      </w:r>
      <w:r>
        <w:rPr>
          <w:rFonts w:hint="eastAsia"/>
        </w:rPr>
        <w:t>4</w:t>
      </w:r>
      <w:r>
        <w:t xml:space="preserve"> </w:t>
      </w:r>
      <w:r>
        <w:rPr>
          <w:rFonts w:hint="eastAsia"/>
        </w:rPr>
        <w:t xml:space="preserve"> </w:t>
      </w:r>
      <w:r>
        <w:t>项目在生态功能区划位置图</w:t>
      </w:r>
    </w:p>
    <w:p w14:paraId="209CEDEE" w14:textId="77777777" w:rsidR="003E78AB" w:rsidRDefault="00010BF9">
      <w:pPr>
        <w:ind w:firstLineChars="0" w:firstLine="0"/>
        <w:rPr>
          <w:b/>
          <w:bCs/>
          <w:u w:val="single"/>
        </w:rPr>
      </w:pPr>
      <w:r>
        <w:rPr>
          <w:b/>
          <w:bCs/>
          <w:u w:val="single"/>
        </w:rPr>
        <w:t>附图</w:t>
      </w:r>
      <w:r>
        <w:rPr>
          <w:b/>
          <w:bCs/>
          <w:u w:val="single"/>
        </w:rPr>
        <w:t xml:space="preserve">15 </w:t>
      </w:r>
      <w:r>
        <w:rPr>
          <w:rFonts w:hint="eastAsia"/>
          <w:b/>
          <w:bCs/>
          <w:u w:val="single"/>
        </w:rPr>
        <w:t xml:space="preserve"> </w:t>
      </w:r>
      <w:r>
        <w:rPr>
          <w:b/>
          <w:bCs/>
          <w:u w:val="single"/>
        </w:rPr>
        <w:t>项目在沙化土地监测位置图</w:t>
      </w:r>
    </w:p>
    <w:p w14:paraId="3F608EEA" w14:textId="77777777" w:rsidR="003E78AB" w:rsidRDefault="003E78AB">
      <w:pPr>
        <w:ind w:firstLine="480"/>
      </w:pPr>
    </w:p>
    <w:p w14:paraId="76577D79" w14:textId="77777777" w:rsidR="003E78AB" w:rsidRDefault="003E78AB">
      <w:pPr>
        <w:ind w:firstLineChars="0" w:firstLine="0"/>
      </w:pPr>
    </w:p>
    <w:p w14:paraId="15757C54" w14:textId="77777777" w:rsidR="003E78AB" w:rsidRDefault="00010BF9">
      <w:pPr>
        <w:ind w:firstLineChars="0" w:firstLine="0"/>
        <w:rPr>
          <w:b/>
          <w:bCs/>
        </w:rPr>
      </w:pPr>
      <w:r>
        <w:rPr>
          <w:rFonts w:hint="eastAsia"/>
          <w:b/>
          <w:bCs/>
        </w:rPr>
        <w:t>附件：</w:t>
      </w:r>
    </w:p>
    <w:p w14:paraId="572F4F3F" w14:textId="77777777" w:rsidR="003E78AB" w:rsidRDefault="00010BF9">
      <w:pPr>
        <w:ind w:firstLineChars="0" w:firstLine="0"/>
      </w:pPr>
      <w:r>
        <w:rPr>
          <w:rFonts w:hint="eastAsia"/>
        </w:rPr>
        <w:t>附件</w:t>
      </w:r>
      <w:r>
        <w:rPr>
          <w:rFonts w:hint="eastAsia"/>
        </w:rPr>
        <w:t xml:space="preserve">1  </w:t>
      </w:r>
      <w:r>
        <w:rPr>
          <w:rFonts w:hint="eastAsia"/>
        </w:rPr>
        <w:t>委托书</w:t>
      </w:r>
    </w:p>
    <w:p w14:paraId="4D000E96" w14:textId="77777777" w:rsidR="003E78AB" w:rsidRDefault="00010BF9">
      <w:pPr>
        <w:ind w:firstLineChars="0" w:firstLine="0"/>
      </w:pPr>
      <w:r>
        <w:rPr>
          <w:rFonts w:hint="eastAsia"/>
        </w:rPr>
        <w:t>附件</w:t>
      </w:r>
      <w:r>
        <w:rPr>
          <w:rFonts w:hint="eastAsia"/>
        </w:rPr>
        <w:t xml:space="preserve">2  </w:t>
      </w:r>
      <w:r>
        <w:rPr>
          <w:rFonts w:hint="eastAsia"/>
        </w:rPr>
        <w:t>备案证明</w:t>
      </w:r>
    </w:p>
    <w:p w14:paraId="163C5D26" w14:textId="77777777" w:rsidR="003E78AB" w:rsidRDefault="00010BF9">
      <w:pPr>
        <w:ind w:firstLineChars="0" w:firstLine="0"/>
      </w:pPr>
      <w:r>
        <w:rPr>
          <w:rFonts w:hint="eastAsia"/>
        </w:rPr>
        <w:t>附件</w:t>
      </w:r>
      <w:r>
        <w:rPr>
          <w:rFonts w:hint="eastAsia"/>
        </w:rPr>
        <w:t xml:space="preserve">3  </w:t>
      </w:r>
      <w:r>
        <w:rPr>
          <w:rFonts w:hint="eastAsia"/>
        </w:rPr>
        <w:t>哈密工业园区规划环评审查意见</w:t>
      </w:r>
    </w:p>
    <w:p w14:paraId="24CE2750" w14:textId="77777777" w:rsidR="003E78AB" w:rsidRDefault="00010BF9">
      <w:pPr>
        <w:ind w:firstLineChars="0" w:firstLine="0"/>
      </w:pPr>
      <w:r>
        <w:rPr>
          <w:rFonts w:hint="eastAsia"/>
        </w:rPr>
        <w:t>附件</w:t>
      </w:r>
      <w:r>
        <w:rPr>
          <w:rFonts w:hint="eastAsia"/>
        </w:rPr>
        <w:t xml:space="preserve">4  </w:t>
      </w:r>
      <w:r>
        <w:rPr>
          <w:rFonts w:hint="eastAsia"/>
        </w:rPr>
        <w:t>哈密高新区化工园区规划环评审查意见</w:t>
      </w:r>
    </w:p>
    <w:p w14:paraId="13C6FDDC" w14:textId="77777777" w:rsidR="003E78AB" w:rsidRDefault="00010BF9">
      <w:pPr>
        <w:ind w:firstLineChars="0" w:firstLine="0"/>
      </w:pPr>
      <w:r>
        <w:rPr>
          <w:rFonts w:hint="eastAsia"/>
        </w:rPr>
        <w:t>附件</w:t>
      </w:r>
      <w:r>
        <w:rPr>
          <w:rFonts w:hint="eastAsia"/>
        </w:rPr>
        <w:t xml:space="preserve">5  </w:t>
      </w:r>
      <w:r>
        <w:rPr>
          <w:rFonts w:hint="eastAsia"/>
        </w:rPr>
        <w:t>五氧化二钒检验单</w:t>
      </w:r>
    </w:p>
    <w:p w14:paraId="54059393" w14:textId="77777777" w:rsidR="003E78AB" w:rsidRDefault="00010BF9">
      <w:pPr>
        <w:ind w:firstLineChars="0" w:firstLine="0"/>
      </w:pPr>
      <w:r>
        <w:rPr>
          <w:rFonts w:hint="eastAsia"/>
        </w:rPr>
        <w:t>附件</w:t>
      </w:r>
      <w:r>
        <w:rPr>
          <w:rFonts w:hint="eastAsia"/>
        </w:rPr>
        <w:t xml:space="preserve">6  </w:t>
      </w:r>
      <w:r>
        <w:rPr>
          <w:rFonts w:hint="eastAsia"/>
        </w:rPr>
        <w:t>环境质量现状检测报告</w:t>
      </w:r>
    </w:p>
    <w:p w14:paraId="4A035F83" w14:textId="77777777" w:rsidR="003E78AB" w:rsidRDefault="00010BF9">
      <w:pPr>
        <w:ind w:firstLineChars="0" w:firstLine="0"/>
        <w:sectPr w:rsidR="003E78AB">
          <w:footerReference w:type="default" r:id="rId15"/>
          <w:pgSz w:w="11906" w:h="16838"/>
          <w:pgMar w:top="1440" w:right="1800" w:bottom="1440" w:left="1800" w:header="851" w:footer="992" w:gutter="0"/>
          <w:pgNumType w:fmt="upperRoman" w:start="1"/>
          <w:cols w:space="425"/>
          <w:docGrid w:type="lines" w:linePitch="312"/>
        </w:sectPr>
      </w:pPr>
      <w:r>
        <w:rPr>
          <w:rFonts w:hint="eastAsia"/>
        </w:rPr>
        <w:t>附件</w:t>
      </w:r>
      <w:r>
        <w:rPr>
          <w:rFonts w:hint="eastAsia"/>
        </w:rPr>
        <w:t xml:space="preserve">7  </w:t>
      </w:r>
      <w:r>
        <w:rPr>
          <w:rFonts w:hint="eastAsia"/>
        </w:rPr>
        <w:t>星辰新能营业执照</w:t>
      </w:r>
    </w:p>
    <w:p w14:paraId="7E73FEA6" w14:textId="77777777" w:rsidR="003E78AB" w:rsidRDefault="00010BF9">
      <w:pPr>
        <w:pStyle w:val="10"/>
        <w:keepNext w:val="0"/>
        <w:spacing w:before="156" w:after="156" w:line="520" w:lineRule="exact"/>
        <w:jc w:val="center"/>
        <w:rPr>
          <w:rFonts w:eastAsia="黑体"/>
          <w:bCs/>
          <w:snapToGrid w:val="0"/>
          <w:spacing w:val="2"/>
          <w:kern w:val="44"/>
          <w:sz w:val="35"/>
          <w:szCs w:val="35"/>
        </w:rPr>
      </w:pPr>
      <w:bookmarkStart w:id="5" w:name="_Toc28064"/>
      <w:bookmarkStart w:id="6" w:name="_Toc19045"/>
      <w:r>
        <w:rPr>
          <w:rFonts w:eastAsia="黑体"/>
          <w:bCs/>
          <w:snapToGrid w:val="0"/>
          <w:spacing w:val="2"/>
          <w:kern w:val="44"/>
          <w:sz w:val="35"/>
          <w:szCs w:val="35"/>
        </w:rPr>
        <w:lastRenderedPageBreak/>
        <w:t>第一章</w:t>
      </w:r>
      <w:r>
        <w:rPr>
          <w:rFonts w:eastAsia="黑体"/>
          <w:bCs/>
          <w:snapToGrid w:val="0"/>
          <w:spacing w:val="2"/>
          <w:kern w:val="44"/>
          <w:sz w:val="35"/>
          <w:szCs w:val="35"/>
        </w:rPr>
        <w:t xml:space="preserve">  </w:t>
      </w:r>
      <w:r>
        <w:rPr>
          <w:rFonts w:eastAsia="黑体"/>
          <w:bCs/>
          <w:snapToGrid w:val="0"/>
          <w:spacing w:val="2"/>
          <w:kern w:val="44"/>
          <w:sz w:val="35"/>
          <w:szCs w:val="35"/>
        </w:rPr>
        <w:t>概</w:t>
      </w:r>
      <w:r>
        <w:rPr>
          <w:rFonts w:eastAsia="黑体"/>
          <w:bCs/>
          <w:snapToGrid w:val="0"/>
          <w:spacing w:val="2"/>
          <w:kern w:val="44"/>
          <w:sz w:val="35"/>
          <w:szCs w:val="35"/>
        </w:rPr>
        <w:t xml:space="preserve">  </w:t>
      </w:r>
      <w:r>
        <w:rPr>
          <w:rFonts w:eastAsia="黑体"/>
          <w:bCs/>
          <w:snapToGrid w:val="0"/>
          <w:spacing w:val="2"/>
          <w:kern w:val="44"/>
          <w:sz w:val="35"/>
          <w:szCs w:val="35"/>
        </w:rPr>
        <w:t>述</w:t>
      </w:r>
      <w:bookmarkEnd w:id="5"/>
      <w:bookmarkEnd w:id="6"/>
    </w:p>
    <w:p w14:paraId="42FD333F" w14:textId="77777777" w:rsidR="003E78AB" w:rsidRDefault="00010BF9">
      <w:pPr>
        <w:pStyle w:val="24"/>
        <w:keepNext w:val="0"/>
        <w:keepLines w:val="0"/>
        <w:topLinePunct/>
        <w:spacing w:before="156"/>
        <w:rPr>
          <w:rFonts w:cs="Times New Roman"/>
        </w:rPr>
      </w:pPr>
      <w:bookmarkStart w:id="7" w:name="_Toc323206927"/>
      <w:bookmarkStart w:id="8" w:name="_Toc312678463"/>
      <w:bookmarkStart w:id="9" w:name="_Toc268689410"/>
      <w:bookmarkStart w:id="10" w:name="_Toc120606239"/>
      <w:bookmarkStart w:id="11" w:name="_Toc300650101"/>
      <w:bookmarkStart w:id="12" w:name="_Toc144475272"/>
      <w:bookmarkStart w:id="13" w:name="_Toc19521"/>
      <w:bookmarkStart w:id="14" w:name="_Toc10768"/>
      <w:bookmarkStart w:id="15" w:name="_Toc436405035"/>
      <w:bookmarkStart w:id="16" w:name="_Toc14215"/>
      <w:bookmarkStart w:id="17" w:name="_Toc436404939"/>
      <w:bookmarkStart w:id="18" w:name="_Toc436843845"/>
      <w:bookmarkStart w:id="19" w:name="_Toc17038"/>
      <w:bookmarkStart w:id="20" w:name="_Toc2913"/>
      <w:bookmarkStart w:id="21" w:name="_Toc361907377"/>
      <w:r>
        <w:rPr>
          <w:rFonts w:cs="Times New Roman"/>
        </w:rPr>
        <w:t>1.1</w:t>
      </w:r>
      <w:r>
        <w:rPr>
          <w:rFonts w:cs="Times New Roman"/>
        </w:rPr>
        <w:t>项目</w:t>
      </w:r>
      <w:bookmarkEnd w:id="7"/>
      <w:bookmarkEnd w:id="8"/>
      <w:bookmarkEnd w:id="9"/>
      <w:bookmarkEnd w:id="10"/>
      <w:bookmarkEnd w:id="11"/>
      <w:bookmarkEnd w:id="12"/>
      <w:r>
        <w:rPr>
          <w:rFonts w:cs="Times New Roman"/>
        </w:rPr>
        <w:t>背景</w:t>
      </w:r>
      <w:bookmarkEnd w:id="13"/>
      <w:bookmarkEnd w:id="14"/>
      <w:bookmarkEnd w:id="15"/>
      <w:bookmarkEnd w:id="16"/>
      <w:bookmarkEnd w:id="17"/>
      <w:bookmarkEnd w:id="18"/>
      <w:bookmarkEnd w:id="19"/>
      <w:bookmarkEnd w:id="20"/>
      <w:bookmarkEnd w:id="21"/>
    </w:p>
    <w:p w14:paraId="06A3C4FE"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为实现</w:t>
      </w:r>
      <w:r>
        <w:rPr>
          <w:rFonts w:cs="Times New Roman"/>
          <w:kern w:val="0"/>
          <w:sz w:val="24"/>
          <w:szCs w:val="24"/>
        </w:rPr>
        <w:t>2050</w:t>
      </w:r>
      <w:r>
        <w:rPr>
          <w:rFonts w:cs="Times New Roman"/>
          <w:kern w:val="0"/>
          <w:sz w:val="24"/>
          <w:szCs w:val="24"/>
        </w:rPr>
        <w:t>年碳中和目标，国际能源署预计可再生能源发电占比需从</w:t>
      </w:r>
      <w:r>
        <w:rPr>
          <w:rFonts w:cs="Times New Roman"/>
          <w:kern w:val="0"/>
          <w:sz w:val="24"/>
          <w:szCs w:val="24"/>
        </w:rPr>
        <w:t>2020</w:t>
      </w:r>
      <w:r>
        <w:rPr>
          <w:rFonts w:cs="Times New Roman"/>
          <w:kern w:val="0"/>
          <w:sz w:val="24"/>
          <w:szCs w:val="24"/>
        </w:rPr>
        <w:t>年的</w:t>
      </w:r>
      <w:r>
        <w:rPr>
          <w:rFonts w:cs="Times New Roman"/>
          <w:kern w:val="0"/>
          <w:sz w:val="24"/>
          <w:szCs w:val="24"/>
        </w:rPr>
        <w:t>30%</w:t>
      </w:r>
      <w:r>
        <w:rPr>
          <w:rFonts w:cs="Times New Roman"/>
          <w:kern w:val="0"/>
          <w:sz w:val="24"/>
          <w:szCs w:val="24"/>
        </w:rPr>
        <w:t>以下跃升至近</w:t>
      </w:r>
      <w:r>
        <w:rPr>
          <w:rFonts w:cs="Times New Roman"/>
          <w:kern w:val="0"/>
          <w:sz w:val="24"/>
          <w:szCs w:val="24"/>
        </w:rPr>
        <w:t>90%</w:t>
      </w:r>
      <w:r>
        <w:rPr>
          <w:rFonts w:cs="Times New Roman"/>
          <w:kern w:val="0"/>
          <w:sz w:val="24"/>
          <w:szCs w:val="24"/>
        </w:rPr>
        <w:t>。作为新型电力系统关键支撑，全钒液流电池因独特优势迎来重大机遇：我国钒资源储量丰富，技术与资源自主可控；充放电全过程液相反应，电站本征安全；技术层面，经十余年示范验证，充放电超</w:t>
      </w:r>
      <w:r>
        <w:rPr>
          <w:rFonts w:cs="Times New Roman"/>
          <w:kern w:val="0"/>
          <w:sz w:val="24"/>
          <w:szCs w:val="24"/>
        </w:rPr>
        <w:t>20000</w:t>
      </w:r>
      <w:r>
        <w:rPr>
          <w:rFonts w:cs="Times New Roman"/>
          <w:kern w:val="0"/>
          <w:sz w:val="24"/>
          <w:szCs w:val="24"/>
        </w:rPr>
        <w:t>次，全生命周期性价比高；配置灵活、储能规模大、响应速度快、环境友好等突出优势，是大规模、大容量、长时储能的首选技术。由此可见，全钒液流电池是我国安全长时储能的发展方向。</w:t>
      </w:r>
    </w:p>
    <w:p w14:paraId="53C8F43A"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全钒液流电池，全称为全钒氧化还原液流电池</w:t>
      </w:r>
      <w:r>
        <w:rPr>
          <w:rFonts w:cs="Times New Roman" w:hint="eastAsia"/>
          <w:kern w:val="0"/>
          <w:sz w:val="24"/>
          <w:szCs w:val="24"/>
        </w:rPr>
        <w:t>（</w:t>
      </w:r>
      <w:r>
        <w:rPr>
          <w:rFonts w:cs="Times New Roman"/>
          <w:kern w:val="0"/>
          <w:sz w:val="24"/>
          <w:szCs w:val="24"/>
        </w:rPr>
        <w:t>Vanadiu</w:t>
      </w:r>
      <w:r>
        <w:rPr>
          <w:rFonts w:cs="Times New Roman"/>
          <w:kern w:val="0"/>
          <w:sz w:val="24"/>
          <w:szCs w:val="24"/>
        </w:rPr>
        <w:t>mRedoxBattery</w:t>
      </w:r>
      <w:r>
        <w:rPr>
          <w:rFonts w:cs="Times New Roman"/>
          <w:kern w:val="0"/>
          <w:sz w:val="24"/>
          <w:szCs w:val="24"/>
        </w:rPr>
        <w:t>，</w:t>
      </w:r>
      <w:r>
        <w:rPr>
          <w:rFonts w:cs="Times New Roman"/>
          <w:kern w:val="0"/>
          <w:sz w:val="24"/>
          <w:szCs w:val="24"/>
        </w:rPr>
        <w:t>VRB</w:t>
      </w:r>
      <w:r>
        <w:rPr>
          <w:rFonts w:cs="Times New Roman" w:hint="eastAsia"/>
          <w:kern w:val="0"/>
          <w:sz w:val="24"/>
          <w:szCs w:val="24"/>
        </w:rPr>
        <w:t>）</w:t>
      </w:r>
      <w:r>
        <w:rPr>
          <w:rFonts w:cs="Times New Roman"/>
          <w:kern w:val="0"/>
          <w:sz w:val="24"/>
          <w:szCs w:val="24"/>
        </w:rPr>
        <w:t>，是将具有不同价态的钒离子溶液分别作为电池的正极和负极电解液并储存于各自的电解液储罐中，电解液通过泵的作用在电解液储罐与电堆的正、负极室循环流动，在电极表面发生氧化还原反应，实现对电池的充放电。钒电池由电堆、电解液、控制系统及管路系统组成，其中电解液是钒电池的核心，它是一个钒的多价态体系，充电时，正极发生氧化反应，</w:t>
      </w:r>
      <w:r>
        <w:rPr>
          <w:rFonts w:cs="Times New Roman"/>
          <w:kern w:val="0"/>
          <w:sz w:val="24"/>
          <w:szCs w:val="24"/>
        </w:rPr>
        <w:t>V</w:t>
      </w:r>
      <w:r>
        <w:rPr>
          <w:rFonts w:cs="Times New Roman"/>
          <w:kern w:val="0"/>
          <w:sz w:val="24"/>
          <w:szCs w:val="24"/>
          <w:vertAlign w:val="superscript"/>
        </w:rPr>
        <w:t>4+</w:t>
      </w:r>
      <w:r>
        <w:rPr>
          <w:rFonts w:cs="Times New Roman"/>
          <w:kern w:val="0"/>
          <w:sz w:val="24"/>
          <w:szCs w:val="24"/>
        </w:rPr>
        <w:t>失去电子变为</w:t>
      </w:r>
      <w:r>
        <w:rPr>
          <w:rFonts w:cs="Times New Roman"/>
          <w:kern w:val="0"/>
          <w:sz w:val="24"/>
          <w:szCs w:val="24"/>
        </w:rPr>
        <w:t>V</w:t>
      </w:r>
      <w:r>
        <w:rPr>
          <w:rFonts w:cs="Times New Roman"/>
          <w:kern w:val="0"/>
          <w:sz w:val="24"/>
          <w:szCs w:val="24"/>
          <w:vertAlign w:val="superscript"/>
        </w:rPr>
        <w:t>5⁺</w:t>
      </w:r>
      <w:r>
        <w:rPr>
          <w:rFonts w:cs="Times New Roman"/>
          <w:kern w:val="0"/>
          <w:sz w:val="24"/>
          <w:szCs w:val="24"/>
        </w:rPr>
        <w:t>，负极发生还原反应，</w:t>
      </w:r>
      <w:r>
        <w:rPr>
          <w:rFonts w:cs="Times New Roman"/>
          <w:kern w:val="0"/>
          <w:sz w:val="24"/>
          <w:szCs w:val="24"/>
        </w:rPr>
        <w:t>V³⁺</w:t>
      </w:r>
      <w:r>
        <w:rPr>
          <w:rFonts w:cs="Times New Roman"/>
          <w:kern w:val="0"/>
          <w:sz w:val="24"/>
          <w:szCs w:val="24"/>
        </w:rPr>
        <w:t>得到电子变为</w:t>
      </w:r>
      <w:r>
        <w:rPr>
          <w:rFonts w:cs="Times New Roman"/>
          <w:kern w:val="0"/>
          <w:sz w:val="24"/>
          <w:szCs w:val="24"/>
        </w:rPr>
        <w:t>V²⁺</w:t>
      </w:r>
      <w:r>
        <w:rPr>
          <w:rFonts w:cs="Times New Roman"/>
          <w:kern w:val="0"/>
          <w:sz w:val="24"/>
          <w:szCs w:val="24"/>
        </w:rPr>
        <w:t>，放电则相反，从而实现钒电池能量的储存和释放。钒电池的电解液不同于常规电池，它包含硫酸（作为</w:t>
      </w:r>
      <w:r>
        <w:rPr>
          <w:rFonts w:cs="Times New Roman"/>
          <w:kern w:val="0"/>
          <w:sz w:val="24"/>
          <w:szCs w:val="24"/>
        </w:rPr>
        <w:t>支持电解质）和钒的不同价态的离子（作为钒电池的活性物质），因此钒电池的蓄电性能比其它电池更依赖于其电解液，要求电解液要有高浓度，以实现电池的高能量密度，又要有高的稳定性。</w:t>
      </w:r>
    </w:p>
    <w:p w14:paraId="5F4E3880" w14:textId="77777777" w:rsidR="003E78AB" w:rsidRDefault="00010BF9">
      <w:pPr>
        <w:pStyle w:val="aff2"/>
        <w:topLinePunct/>
        <w:spacing w:line="520" w:lineRule="exact"/>
        <w:ind w:firstLine="480"/>
        <w:rPr>
          <w:rFonts w:cs="Times New Roman"/>
          <w:kern w:val="0"/>
          <w:sz w:val="24"/>
          <w:szCs w:val="24"/>
        </w:rPr>
      </w:pPr>
      <w:r>
        <w:rPr>
          <w:rFonts w:cs="Times New Roman" w:hint="eastAsia"/>
          <w:kern w:val="0"/>
          <w:sz w:val="24"/>
          <w:szCs w:val="24"/>
        </w:rPr>
        <w:t>星辰新能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kern w:val="0"/>
          <w:sz w:val="24"/>
          <w:szCs w:val="24"/>
        </w:rPr>
        <w:t>成立于</w:t>
      </w:r>
      <w:r>
        <w:rPr>
          <w:rFonts w:cs="Times New Roman"/>
          <w:kern w:val="0"/>
          <w:sz w:val="24"/>
          <w:szCs w:val="24"/>
        </w:rPr>
        <w:t>2024</w:t>
      </w:r>
      <w:r>
        <w:rPr>
          <w:rFonts w:cs="Times New Roman"/>
          <w:kern w:val="0"/>
          <w:sz w:val="24"/>
          <w:szCs w:val="24"/>
        </w:rPr>
        <w:t>年</w:t>
      </w:r>
      <w:r>
        <w:rPr>
          <w:rFonts w:cs="Times New Roman"/>
          <w:kern w:val="0"/>
          <w:sz w:val="24"/>
          <w:szCs w:val="24"/>
        </w:rPr>
        <w:t>08</w:t>
      </w:r>
      <w:r>
        <w:rPr>
          <w:rFonts w:cs="Times New Roman"/>
          <w:kern w:val="0"/>
          <w:sz w:val="24"/>
          <w:szCs w:val="24"/>
        </w:rPr>
        <w:t>月，是浙江星辰新能科技有限公司</w:t>
      </w:r>
      <w:r>
        <w:rPr>
          <w:rFonts w:cs="Times New Roman"/>
          <w:kern w:val="0"/>
          <w:sz w:val="24"/>
          <w:szCs w:val="24"/>
        </w:rPr>
        <w:t>100%</w:t>
      </w:r>
      <w:r>
        <w:rPr>
          <w:rFonts w:cs="Times New Roman"/>
          <w:kern w:val="0"/>
          <w:sz w:val="24"/>
          <w:szCs w:val="24"/>
        </w:rPr>
        <w:t>持股公司，专注于全钒液流电池储能系统的研发、制造的高新技术企业</w:t>
      </w:r>
      <w:r>
        <w:rPr>
          <w:rFonts w:cs="Times New Roman" w:hint="eastAsia"/>
          <w:kern w:val="0"/>
          <w:sz w:val="24"/>
          <w:szCs w:val="24"/>
        </w:rPr>
        <w:t>，</w:t>
      </w:r>
      <w:r>
        <w:rPr>
          <w:rFonts w:cs="Times New Roman"/>
          <w:kern w:val="0"/>
          <w:sz w:val="24"/>
          <w:szCs w:val="24"/>
        </w:rPr>
        <w:t>业务布局贯穿石煤钒矿、电解液、电堆、</w:t>
      </w:r>
      <w:r>
        <w:rPr>
          <w:rFonts w:cs="Times New Roman"/>
          <w:kern w:val="0"/>
          <w:sz w:val="24"/>
          <w:szCs w:val="24"/>
        </w:rPr>
        <w:t>BMS</w:t>
      </w:r>
      <w:r>
        <w:rPr>
          <w:rFonts w:cs="Times New Roman"/>
          <w:kern w:val="0"/>
          <w:sz w:val="24"/>
          <w:szCs w:val="24"/>
        </w:rPr>
        <w:t>、储能系统等全产业链，核心技术与材料实现全栈自研。</w:t>
      </w:r>
    </w:p>
    <w:p w14:paraId="56DA61C3"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为优化在全钒液流储能领域的产业链布局，</w:t>
      </w:r>
      <w:r>
        <w:rPr>
          <w:rFonts w:cs="Times New Roman" w:hint="eastAsia"/>
          <w:kern w:val="0"/>
          <w:sz w:val="24"/>
          <w:szCs w:val="24"/>
        </w:rPr>
        <w:t>星辰新能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hint="eastAsia"/>
          <w:kern w:val="0"/>
          <w:sz w:val="24"/>
          <w:szCs w:val="24"/>
        </w:rPr>
        <w:t>拟</w:t>
      </w:r>
      <w:r>
        <w:rPr>
          <w:rFonts w:cs="Times New Roman"/>
          <w:kern w:val="0"/>
          <w:sz w:val="24"/>
          <w:szCs w:val="24"/>
        </w:rPr>
        <w:t>在新疆哈密高新区南部循环经济</w:t>
      </w:r>
      <w:r>
        <w:rPr>
          <w:rFonts w:cs="Times New Roman"/>
          <w:kern w:val="0"/>
          <w:sz w:val="24"/>
          <w:szCs w:val="24"/>
        </w:rPr>
        <w:t>产业园中的</w:t>
      </w:r>
      <w:r>
        <w:rPr>
          <w:rFonts w:cs="Times New Roman" w:hint="eastAsia"/>
          <w:kern w:val="0"/>
          <w:sz w:val="24"/>
          <w:szCs w:val="24"/>
        </w:rPr>
        <w:t>煤化工产业区</w:t>
      </w:r>
      <w:r>
        <w:rPr>
          <w:rFonts w:cs="Times New Roman"/>
          <w:kern w:val="0"/>
          <w:sz w:val="24"/>
          <w:szCs w:val="24"/>
        </w:rPr>
        <w:t>内实施</w:t>
      </w:r>
      <w:bookmarkStart w:id="22" w:name="OLE_LINK1"/>
      <w:r>
        <w:rPr>
          <w:rFonts w:cs="Times New Roman"/>
          <w:kern w:val="0"/>
          <w:sz w:val="24"/>
          <w:szCs w:val="24"/>
        </w:rPr>
        <w:t>高活性全钒液</w:t>
      </w:r>
      <w:r>
        <w:rPr>
          <w:rFonts w:cs="Times New Roman"/>
          <w:kern w:val="0"/>
          <w:sz w:val="24"/>
          <w:szCs w:val="24"/>
        </w:rPr>
        <w:lastRenderedPageBreak/>
        <w:t>流电池电解液</w:t>
      </w:r>
      <w:bookmarkEnd w:id="22"/>
      <w:r>
        <w:rPr>
          <w:rFonts w:cs="Times New Roman"/>
          <w:kern w:val="0"/>
          <w:sz w:val="24"/>
          <w:szCs w:val="24"/>
        </w:rPr>
        <w:t>生产项目，通过两期建设，实现产品总规模为</w:t>
      </w:r>
      <w:r>
        <w:rPr>
          <w:rFonts w:cs="Times New Roman"/>
          <w:kern w:val="0"/>
          <w:sz w:val="24"/>
          <w:szCs w:val="24"/>
        </w:rPr>
        <w:t>10</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的高活性全钒液流电池电解液产能。</w:t>
      </w:r>
      <w:r>
        <w:rPr>
          <w:rFonts w:cs="Times New Roman" w:hint="eastAsia"/>
          <w:kern w:val="0"/>
          <w:sz w:val="24"/>
          <w:szCs w:val="24"/>
        </w:rPr>
        <w:t>星辰新能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kern w:val="0"/>
          <w:sz w:val="24"/>
          <w:szCs w:val="24"/>
        </w:rPr>
        <w:t>高活性全钒液流电池电解液生产项目已于</w:t>
      </w:r>
      <w:r>
        <w:rPr>
          <w:rFonts w:cs="Times New Roman"/>
          <w:kern w:val="0"/>
          <w:sz w:val="24"/>
          <w:szCs w:val="24"/>
        </w:rPr>
        <w:t>2025</w:t>
      </w:r>
      <w:r>
        <w:rPr>
          <w:rFonts w:cs="Times New Roman"/>
          <w:kern w:val="0"/>
          <w:sz w:val="24"/>
          <w:szCs w:val="24"/>
        </w:rPr>
        <w:t>年</w:t>
      </w:r>
      <w:r>
        <w:rPr>
          <w:rFonts w:cs="Times New Roman"/>
          <w:kern w:val="0"/>
          <w:sz w:val="24"/>
          <w:szCs w:val="24"/>
        </w:rPr>
        <w:t>6</w:t>
      </w:r>
      <w:r>
        <w:rPr>
          <w:rFonts w:cs="Times New Roman"/>
          <w:kern w:val="0"/>
          <w:sz w:val="24"/>
          <w:szCs w:val="24"/>
        </w:rPr>
        <w:t>月</w:t>
      </w:r>
      <w:r>
        <w:rPr>
          <w:rFonts w:cs="Times New Roman" w:hint="eastAsia"/>
          <w:kern w:val="0"/>
          <w:sz w:val="24"/>
          <w:szCs w:val="24"/>
        </w:rPr>
        <w:t>20</w:t>
      </w:r>
      <w:r>
        <w:rPr>
          <w:rFonts w:cs="Times New Roman"/>
          <w:kern w:val="0"/>
          <w:sz w:val="24"/>
          <w:szCs w:val="24"/>
        </w:rPr>
        <w:t>日在哈密高新技术产业开发区管理委员</w:t>
      </w:r>
      <w:r>
        <w:rPr>
          <w:rFonts w:cs="Times New Roman" w:hint="eastAsia"/>
          <w:kern w:val="0"/>
          <w:sz w:val="24"/>
          <w:szCs w:val="24"/>
        </w:rPr>
        <w:t>会</w:t>
      </w:r>
      <w:r>
        <w:rPr>
          <w:rFonts w:cs="Times New Roman"/>
          <w:kern w:val="0"/>
          <w:sz w:val="24"/>
          <w:szCs w:val="24"/>
        </w:rPr>
        <w:t>备案，备案代码：</w:t>
      </w:r>
      <w:r>
        <w:rPr>
          <w:rFonts w:cs="Times New Roman"/>
          <w:kern w:val="0"/>
          <w:sz w:val="24"/>
          <w:szCs w:val="24"/>
        </w:rPr>
        <w:t>2506-650591-04-01-294721</w:t>
      </w:r>
      <w:r>
        <w:rPr>
          <w:rFonts w:cs="Times New Roman" w:hint="eastAsia"/>
          <w:kern w:val="0"/>
          <w:sz w:val="24"/>
          <w:szCs w:val="24"/>
        </w:rPr>
        <w:t>。</w:t>
      </w:r>
      <w:r>
        <w:rPr>
          <w:rFonts w:cs="Times New Roman"/>
          <w:kern w:val="0"/>
          <w:sz w:val="24"/>
          <w:szCs w:val="24"/>
        </w:rPr>
        <w:t>本次优先实施一期工程（简称本项目），拟建设年产</w:t>
      </w:r>
      <w:r>
        <w:rPr>
          <w:rFonts w:cs="Times New Roman"/>
          <w:kern w:val="0"/>
          <w:sz w:val="24"/>
          <w:szCs w:val="24"/>
        </w:rPr>
        <w:t>5</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高活性全钒液流电池电解液</w:t>
      </w:r>
      <w:r>
        <w:rPr>
          <w:rFonts w:cs="Times New Roman" w:hint="eastAsia"/>
          <w:kern w:val="0"/>
          <w:sz w:val="24"/>
          <w:szCs w:val="24"/>
        </w:rPr>
        <w:t>，根据项目可研，一期</w:t>
      </w:r>
      <w:r>
        <w:rPr>
          <w:rFonts w:cs="Times New Roman"/>
          <w:kern w:val="0"/>
          <w:sz w:val="24"/>
          <w:szCs w:val="24"/>
        </w:rPr>
        <w:t>项目投资</w:t>
      </w:r>
      <w:r>
        <w:rPr>
          <w:rFonts w:cs="Times New Roman"/>
          <w:kern w:val="0"/>
          <w:sz w:val="24"/>
          <w:szCs w:val="24"/>
        </w:rPr>
        <w:t>34125.20</w:t>
      </w:r>
      <w:r>
        <w:rPr>
          <w:rFonts w:cs="Times New Roman"/>
          <w:kern w:val="0"/>
          <w:sz w:val="24"/>
          <w:szCs w:val="24"/>
        </w:rPr>
        <w:t>万元</w:t>
      </w:r>
      <w:r>
        <w:rPr>
          <w:rFonts w:cs="Times New Roman" w:hint="eastAsia"/>
          <w:kern w:val="0"/>
          <w:sz w:val="24"/>
          <w:szCs w:val="24"/>
        </w:rPr>
        <w:t>。</w:t>
      </w:r>
    </w:p>
    <w:p w14:paraId="12E558D3" w14:textId="77777777" w:rsidR="003E78AB" w:rsidRDefault="00010BF9">
      <w:pPr>
        <w:pStyle w:val="24"/>
        <w:keepNext w:val="0"/>
        <w:keepLines w:val="0"/>
        <w:topLinePunct/>
        <w:spacing w:before="156"/>
        <w:rPr>
          <w:rFonts w:cs="Times New Roman"/>
        </w:rPr>
      </w:pPr>
      <w:bookmarkStart w:id="23" w:name="_Toc1215"/>
      <w:r>
        <w:rPr>
          <w:rFonts w:cs="Times New Roman"/>
        </w:rPr>
        <w:t>1.2</w:t>
      </w:r>
      <w:r>
        <w:rPr>
          <w:rFonts w:cs="Times New Roman"/>
        </w:rPr>
        <w:t>项目特点</w:t>
      </w:r>
      <w:bookmarkEnd w:id="23"/>
    </w:p>
    <w:p w14:paraId="038D481C" w14:textId="77777777" w:rsidR="003E78AB" w:rsidRDefault="00010BF9">
      <w:pPr>
        <w:pStyle w:val="31"/>
        <w:keepNext w:val="0"/>
        <w:keepLines w:val="0"/>
        <w:topLinePunct/>
        <w:spacing w:before="156"/>
        <w:rPr>
          <w:rFonts w:cs="Times New Roman"/>
        </w:rPr>
      </w:pPr>
      <w:r>
        <w:rPr>
          <w:rFonts w:cs="Times New Roman"/>
        </w:rPr>
        <w:t>1.2.1</w:t>
      </w:r>
      <w:r>
        <w:rPr>
          <w:rFonts w:cs="Times New Roman"/>
        </w:rPr>
        <w:t>工程特点</w:t>
      </w:r>
    </w:p>
    <w:p w14:paraId="5E140927"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1</w:t>
      </w:r>
      <w:r>
        <w:rPr>
          <w:rFonts w:cs="Times New Roman"/>
          <w:kern w:val="0"/>
          <w:sz w:val="24"/>
          <w:szCs w:val="24"/>
        </w:rPr>
        <w:t>）项目为新建钒电解液项目</w:t>
      </w:r>
      <w:r>
        <w:rPr>
          <w:rFonts w:cs="Times New Roman"/>
          <w:kern w:val="0"/>
          <w:sz w:val="24"/>
          <w:szCs w:val="24"/>
        </w:rPr>
        <w:t>，是建设单位高活性全钒液流电池电解液生产项目的一期工程，一期和二期生产规模为年产</w:t>
      </w:r>
      <w:r>
        <w:rPr>
          <w:rFonts w:cs="Times New Roman"/>
          <w:kern w:val="0"/>
          <w:sz w:val="24"/>
          <w:szCs w:val="24"/>
        </w:rPr>
        <w:t>5</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高活性全钒液流电池电解液，未来将形成年产</w:t>
      </w:r>
      <w:r>
        <w:rPr>
          <w:rFonts w:cs="Times New Roman"/>
          <w:kern w:val="0"/>
          <w:sz w:val="24"/>
          <w:szCs w:val="24"/>
        </w:rPr>
        <w:t>10</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高活性全钒液流电池电解液规模。</w:t>
      </w:r>
    </w:p>
    <w:p w14:paraId="41AFF2BC"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2</w:t>
      </w:r>
      <w:r>
        <w:rPr>
          <w:rFonts w:cs="Times New Roman"/>
          <w:kern w:val="0"/>
          <w:sz w:val="24"/>
          <w:szCs w:val="24"/>
        </w:rPr>
        <w:t>）本项目占地</w:t>
      </w:r>
      <w:r>
        <w:rPr>
          <w:rFonts w:cs="Times New Roman"/>
          <w:kern w:val="0"/>
          <w:sz w:val="24"/>
          <w:szCs w:val="24"/>
        </w:rPr>
        <w:t>76022.77m</w:t>
      </w:r>
      <w:r>
        <w:rPr>
          <w:rFonts w:cs="Times New Roman"/>
          <w:kern w:val="0"/>
          <w:sz w:val="24"/>
          <w:szCs w:val="24"/>
          <w:vertAlign w:val="superscript"/>
        </w:rPr>
        <w:t>2</w:t>
      </w:r>
      <w:r>
        <w:rPr>
          <w:rFonts w:cs="Times New Roman"/>
          <w:kern w:val="0"/>
          <w:sz w:val="24"/>
          <w:szCs w:val="24"/>
        </w:rPr>
        <w:t>，</w:t>
      </w:r>
      <w:r>
        <w:rPr>
          <w:rFonts w:cs="Times New Roman" w:hint="eastAsia"/>
          <w:kern w:val="0"/>
          <w:sz w:val="24"/>
          <w:szCs w:val="24"/>
        </w:rPr>
        <w:t>预留二期项目用地。一期</w:t>
      </w:r>
      <w:r>
        <w:rPr>
          <w:rFonts w:cs="Times New Roman"/>
          <w:kern w:val="0"/>
          <w:sz w:val="24"/>
          <w:szCs w:val="24"/>
        </w:rPr>
        <w:t>设</w:t>
      </w:r>
      <w:r>
        <w:rPr>
          <w:rFonts w:cs="Times New Roman"/>
          <w:kern w:val="0"/>
          <w:sz w:val="24"/>
          <w:szCs w:val="24"/>
        </w:rPr>
        <w:t>2</w:t>
      </w:r>
      <w:r>
        <w:rPr>
          <w:rFonts w:cs="Times New Roman"/>
          <w:kern w:val="0"/>
          <w:sz w:val="24"/>
          <w:szCs w:val="24"/>
        </w:rPr>
        <w:t>条生产线，单线钒电解液产能</w:t>
      </w:r>
      <w:r>
        <w:rPr>
          <w:rFonts w:cs="Times New Roman"/>
          <w:kern w:val="0"/>
          <w:sz w:val="24"/>
          <w:szCs w:val="24"/>
        </w:rPr>
        <w:t>2.5</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。项目主要生产工序包括投料系统、</w:t>
      </w:r>
      <w:r>
        <w:rPr>
          <w:rFonts w:cs="Times New Roman" w:hint="eastAsia"/>
          <w:kern w:val="0"/>
          <w:sz w:val="24"/>
          <w:szCs w:val="24"/>
        </w:rPr>
        <w:t>还原系统</w:t>
      </w:r>
      <w:r>
        <w:rPr>
          <w:rFonts w:cs="Times New Roman"/>
          <w:kern w:val="0"/>
          <w:sz w:val="24"/>
          <w:szCs w:val="24"/>
        </w:rPr>
        <w:t>、</w:t>
      </w:r>
      <w:r>
        <w:rPr>
          <w:rFonts w:cs="Times New Roman" w:hint="eastAsia"/>
          <w:kern w:val="0"/>
          <w:sz w:val="24"/>
          <w:szCs w:val="24"/>
        </w:rPr>
        <w:t>电解系统</w:t>
      </w:r>
      <w:r>
        <w:rPr>
          <w:rFonts w:cs="Times New Roman"/>
          <w:kern w:val="0"/>
          <w:sz w:val="24"/>
          <w:szCs w:val="24"/>
        </w:rPr>
        <w:t>和</w:t>
      </w:r>
      <w:r>
        <w:rPr>
          <w:rFonts w:cs="Times New Roman" w:hint="eastAsia"/>
          <w:kern w:val="0"/>
          <w:sz w:val="24"/>
          <w:szCs w:val="24"/>
        </w:rPr>
        <w:t>灌装系统</w:t>
      </w:r>
      <w:r>
        <w:rPr>
          <w:rFonts w:cs="Times New Roman"/>
          <w:kern w:val="0"/>
          <w:sz w:val="24"/>
          <w:szCs w:val="24"/>
        </w:rPr>
        <w:t>等。主要建设内容包括：研发中心、动力车间、生产车间一、生产车间二</w:t>
      </w:r>
      <w:r>
        <w:rPr>
          <w:rFonts w:cs="Times New Roman" w:hint="eastAsia"/>
          <w:kern w:val="0"/>
          <w:sz w:val="24"/>
          <w:szCs w:val="24"/>
        </w:rPr>
        <w:t>（预留）</w:t>
      </w:r>
      <w:r>
        <w:rPr>
          <w:rFonts w:cs="Times New Roman"/>
          <w:kern w:val="0"/>
          <w:sz w:val="24"/>
          <w:szCs w:val="24"/>
        </w:rPr>
        <w:t>、丙类仓库一、丙类仓库二、机修车间、液体库、</w:t>
      </w:r>
      <w:r>
        <w:rPr>
          <w:rFonts w:cs="Times New Roman" w:hint="eastAsia"/>
          <w:kern w:val="0"/>
          <w:sz w:val="24"/>
          <w:szCs w:val="24"/>
        </w:rPr>
        <w:t>配套</w:t>
      </w:r>
      <w:r>
        <w:rPr>
          <w:rFonts w:cs="Times New Roman"/>
          <w:kern w:val="0"/>
          <w:sz w:val="24"/>
          <w:szCs w:val="24"/>
        </w:rPr>
        <w:t>环保设施及应急设施等。</w:t>
      </w:r>
    </w:p>
    <w:p w14:paraId="160000C6"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3</w:t>
      </w:r>
      <w:r>
        <w:rPr>
          <w:rFonts w:cs="Times New Roman"/>
          <w:kern w:val="0"/>
          <w:sz w:val="24"/>
          <w:szCs w:val="24"/>
        </w:rPr>
        <w:t>）项目在生产过程中涉及</w:t>
      </w:r>
      <w:r>
        <w:rPr>
          <w:rFonts w:cs="Times New Roman"/>
          <w:kern w:val="0"/>
          <w:sz w:val="24"/>
          <w:szCs w:val="24"/>
        </w:rPr>
        <w:t>V</w:t>
      </w:r>
      <w:r>
        <w:rPr>
          <w:rFonts w:cs="Times New Roman"/>
          <w:kern w:val="0"/>
          <w:sz w:val="24"/>
          <w:szCs w:val="24"/>
          <w:vertAlign w:val="subscript"/>
        </w:rPr>
        <w:t>2</w:t>
      </w:r>
      <w:r>
        <w:rPr>
          <w:rFonts w:cs="Times New Roman"/>
          <w:kern w:val="0"/>
          <w:sz w:val="24"/>
          <w:szCs w:val="24"/>
        </w:rPr>
        <w:t>O</w:t>
      </w:r>
      <w:r>
        <w:rPr>
          <w:rFonts w:cs="Times New Roman"/>
          <w:kern w:val="0"/>
          <w:sz w:val="24"/>
          <w:szCs w:val="24"/>
          <w:vertAlign w:val="subscript"/>
        </w:rPr>
        <w:t>5</w:t>
      </w:r>
      <w:r>
        <w:rPr>
          <w:rFonts w:cs="Times New Roman"/>
          <w:kern w:val="0"/>
          <w:sz w:val="24"/>
          <w:szCs w:val="24"/>
        </w:rPr>
        <w:t>、</w:t>
      </w:r>
      <w:r>
        <w:rPr>
          <w:rFonts w:cs="Times New Roman"/>
          <w:kern w:val="0"/>
          <w:sz w:val="24"/>
          <w:szCs w:val="24"/>
        </w:rPr>
        <w:t>98%</w:t>
      </w:r>
      <w:r>
        <w:rPr>
          <w:rFonts w:cs="Times New Roman"/>
          <w:kern w:val="0"/>
          <w:sz w:val="24"/>
          <w:szCs w:val="24"/>
        </w:rPr>
        <w:t>硫酸、磷酸、含钒电解液、</w:t>
      </w:r>
      <w:r>
        <w:rPr>
          <w:rFonts w:cs="Times New Roman" w:hint="eastAsia"/>
          <w:kern w:val="0"/>
          <w:sz w:val="24"/>
          <w:szCs w:val="24"/>
        </w:rPr>
        <w:t>二水草酸</w:t>
      </w:r>
      <w:r>
        <w:rPr>
          <w:rFonts w:cs="Times New Roman"/>
          <w:kern w:val="0"/>
          <w:sz w:val="24"/>
          <w:szCs w:val="24"/>
        </w:rPr>
        <w:t>等，具有一定的人体健康风险和环境风险。</w:t>
      </w:r>
    </w:p>
    <w:p w14:paraId="192A63AE" w14:textId="77777777" w:rsidR="003E78AB" w:rsidRDefault="00010BF9">
      <w:pPr>
        <w:pStyle w:val="aff2"/>
        <w:topLinePunct/>
        <w:spacing w:line="520" w:lineRule="exact"/>
        <w:ind w:firstLine="480"/>
        <w:rPr>
          <w:rFonts w:cs="Times New Roman"/>
          <w:kern w:val="0"/>
          <w:sz w:val="24"/>
          <w:szCs w:val="24"/>
        </w:rPr>
      </w:pPr>
      <w:r>
        <w:rPr>
          <w:rFonts w:cs="Times New Roman" w:hint="eastAsia"/>
          <w:kern w:val="0"/>
          <w:sz w:val="24"/>
          <w:szCs w:val="24"/>
        </w:rPr>
        <w:t>（</w:t>
      </w:r>
      <w:r>
        <w:rPr>
          <w:rFonts w:cs="Times New Roman" w:hint="eastAsia"/>
          <w:kern w:val="0"/>
          <w:sz w:val="24"/>
          <w:szCs w:val="24"/>
        </w:rPr>
        <w:t>4</w:t>
      </w:r>
      <w:r>
        <w:rPr>
          <w:rFonts w:cs="Times New Roman" w:hint="eastAsia"/>
          <w:kern w:val="0"/>
          <w:sz w:val="24"/>
          <w:szCs w:val="24"/>
        </w:rPr>
        <w:t>）</w:t>
      </w:r>
      <w:r>
        <w:rPr>
          <w:rFonts w:cs="Times New Roman"/>
          <w:kern w:val="0"/>
          <w:sz w:val="24"/>
          <w:szCs w:val="24"/>
        </w:rPr>
        <w:t>废气通过有效的措施治理后，排放的污染物可以满足相应排放标准要求；项目废水排入园区污水处理厂；项目生产过程产生的危险固体废物均得到合理处置。</w:t>
      </w:r>
    </w:p>
    <w:p w14:paraId="0A3EC316" w14:textId="77777777" w:rsidR="003E78AB" w:rsidRDefault="00010BF9">
      <w:pPr>
        <w:pStyle w:val="31"/>
        <w:keepNext w:val="0"/>
        <w:keepLines w:val="0"/>
        <w:topLinePunct/>
        <w:spacing w:before="156"/>
        <w:rPr>
          <w:rFonts w:cs="Times New Roman"/>
        </w:rPr>
      </w:pPr>
      <w:r>
        <w:rPr>
          <w:rFonts w:cs="Times New Roman"/>
        </w:rPr>
        <w:t>1.2.2</w:t>
      </w:r>
      <w:r>
        <w:rPr>
          <w:rFonts w:cs="Times New Roman"/>
        </w:rPr>
        <w:t>环境特点</w:t>
      </w:r>
    </w:p>
    <w:p w14:paraId="24CED14D" w14:textId="77777777" w:rsidR="003E78AB" w:rsidRDefault="00010BF9">
      <w:pPr>
        <w:pStyle w:val="aff2"/>
        <w:numPr>
          <w:ilvl w:val="0"/>
          <w:numId w:val="20"/>
        </w:numPr>
        <w:topLinePunct/>
        <w:spacing w:line="520" w:lineRule="exact"/>
        <w:ind w:firstLine="480"/>
        <w:rPr>
          <w:rFonts w:cs="Times New Roman"/>
          <w:kern w:val="0"/>
          <w:sz w:val="24"/>
          <w:szCs w:val="24"/>
        </w:rPr>
      </w:pPr>
      <w:r>
        <w:rPr>
          <w:rFonts w:cs="Times New Roman"/>
          <w:kern w:val="0"/>
          <w:sz w:val="24"/>
          <w:szCs w:val="24"/>
        </w:rPr>
        <w:t>项目位于新疆哈密高新区南部循环经济产业园中的</w:t>
      </w:r>
      <w:r>
        <w:rPr>
          <w:rFonts w:cs="Times New Roman" w:hint="eastAsia"/>
          <w:kern w:val="0"/>
          <w:sz w:val="24"/>
          <w:szCs w:val="24"/>
        </w:rPr>
        <w:t>煤化工产业区</w:t>
      </w:r>
      <w:r>
        <w:rPr>
          <w:rFonts w:cs="Times New Roman"/>
          <w:kern w:val="0"/>
          <w:sz w:val="24"/>
          <w:szCs w:val="24"/>
        </w:rPr>
        <w:t>，用地性质为三类工业用地，符合园区主导产业及用地要求；</w:t>
      </w:r>
    </w:p>
    <w:p w14:paraId="2D403431" w14:textId="77777777" w:rsidR="003E78AB" w:rsidRDefault="00010BF9">
      <w:pPr>
        <w:pStyle w:val="aff2"/>
        <w:numPr>
          <w:ilvl w:val="0"/>
          <w:numId w:val="20"/>
        </w:numPr>
        <w:topLinePunct/>
        <w:spacing w:line="520" w:lineRule="exact"/>
        <w:ind w:firstLine="480"/>
        <w:rPr>
          <w:rFonts w:cs="Times New Roman"/>
          <w:kern w:val="0"/>
          <w:sz w:val="24"/>
          <w:szCs w:val="24"/>
        </w:rPr>
      </w:pPr>
      <w:r>
        <w:rPr>
          <w:rFonts w:cs="Times New Roman"/>
          <w:kern w:val="0"/>
          <w:sz w:val="24"/>
          <w:szCs w:val="24"/>
        </w:rPr>
        <w:t>本项目位于工业园区内，项目选址不涉及自然保护区、饮用水源地保</w:t>
      </w:r>
      <w:r>
        <w:rPr>
          <w:rFonts w:cs="Times New Roman"/>
          <w:kern w:val="0"/>
          <w:sz w:val="24"/>
          <w:szCs w:val="24"/>
        </w:rPr>
        <w:lastRenderedPageBreak/>
        <w:t>护区，区内无名胜古迹、文物保护单位等需特殊保护的敏感目标。</w:t>
      </w:r>
    </w:p>
    <w:p w14:paraId="131EFEA4" w14:textId="77777777" w:rsidR="003E78AB" w:rsidRDefault="00010BF9">
      <w:pPr>
        <w:pStyle w:val="aff2"/>
        <w:numPr>
          <w:ilvl w:val="0"/>
          <w:numId w:val="20"/>
        </w:numPr>
        <w:topLinePunct/>
        <w:spacing w:line="520" w:lineRule="exact"/>
        <w:ind w:firstLine="480"/>
        <w:rPr>
          <w:rFonts w:cs="Times New Roman"/>
          <w:kern w:val="0"/>
          <w:sz w:val="24"/>
          <w:szCs w:val="24"/>
        </w:rPr>
      </w:pPr>
      <w:r>
        <w:rPr>
          <w:rFonts w:cs="Times New Roman"/>
          <w:kern w:val="0"/>
          <w:sz w:val="24"/>
          <w:szCs w:val="24"/>
        </w:rPr>
        <w:t>本项目评价范围内无环境空气敏感目标</w:t>
      </w:r>
      <w:r>
        <w:rPr>
          <w:rFonts w:cs="Times New Roman"/>
          <w:kern w:val="0"/>
          <w:sz w:val="24"/>
          <w:szCs w:val="24"/>
        </w:rPr>
        <w:t>、声环境敏感目标等，</w:t>
      </w:r>
      <w:r>
        <w:rPr>
          <w:rFonts w:cs="Times New Roman" w:hint="eastAsia"/>
          <w:kern w:val="0"/>
          <w:sz w:val="24"/>
          <w:szCs w:val="24"/>
        </w:rPr>
        <w:t>附近</w:t>
      </w:r>
      <w:r>
        <w:rPr>
          <w:rFonts w:cs="Times New Roman"/>
          <w:kern w:val="0"/>
          <w:sz w:val="24"/>
          <w:szCs w:val="24"/>
        </w:rPr>
        <w:t>地表水</w:t>
      </w:r>
      <w:r>
        <w:rPr>
          <w:rFonts w:cs="Times New Roman" w:hint="eastAsia"/>
          <w:kern w:val="0"/>
          <w:sz w:val="24"/>
          <w:szCs w:val="24"/>
        </w:rPr>
        <w:t>体有</w:t>
      </w:r>
      <w:r>
        <w:rPr>
          <w:rFonts w:cs="Times New Roman" w:hint="eastAsia"/>
          <w:kern w:val="0"/>
          <w:sz w:val="24"/>
          <w:szCs w:val="24"/>
        </w:rPr>
        <w:t>位于</w:t>
      </w:r>
      <w:r>
        <w:rPr>
          <w:rFonts w:cs="Times New Roman"/>
          <w:kern w:val="0"/>
          <w:sz w:val="24"/>
          <w:szCs w:val="24"/>
        </w:rPr>
        <w:t>南侧</w:t>
      </w:r>
      <w:r>
        <w:rPr>
          <w:rFonts w:cs="Times New Roman" w:hint="eastAsia"/>
          <w:kern w:val="0"/>
          <w:sz w:val="24"/>
          <w:szCs w:val="24"/>
        </w:rPr>
        <w:t>4km</w:t>
      </w:r>
      <w:r>
        <w:rPr>
          <w:rFonts w:cs="Times New Roman"/>
          <w:kern w:val="0"/>
          <w:sz w:val="24"/>
          <w:szCs w:val="24"/>
        </w:rPr>
        <w:t>的南湖水库</w:t>
      </w:r>
      <w:r>
        <w:rPr>
          <w:rFonts w:cs="Times New Roman" w:hint="eastAsia"/>
          <w:kern w:val="0"/>
          <w:sz w:val="24"/>
          <w:szCs w:val="24"/>
        </w:rPr>
        <w:t>和东侧</w:t>
      </w:r>
      <w:r>
        <w:rPr>
          <w:rFonts w:cs="Times New Roman" w:hint="eastAsia"/>
          <w:kern w:val="0"/>
          <w:sz w:val="24"/>
          <w:szCs w:val="24"/>
        </w:rPr>
        <w:t>3.78km</w:t>
      </w:r>
      <w:r>
        <w:rPr>
          <w:rFonts w:cs="Times New Roman" w:hint="eastAsia"/>
          <w:kern w:val="0"/>
          <w:sz w:val="24"/>
          <w:szCs w:val="24"/>
        </w:rPr>
        <w:t>的哈密市西干渠，附近地下水饮用水源地保护区为东南</w:t>
      </w:r>
      <w:r>
        <w:rPr>
          <w:rFonts w:cs="Times New Roman" w:hint="eastAsia"/>
          <w:kern w:val="0"/>
          <w:sz w:val="24"/>
          <w:szCs w:val="24"/>
        </w:rPr>
        <w:t>3.44km</w:t>
      </w:r>
      <w:r>
        <w:rPr>
          <w:rFonts w:cs="Times New Roman" w:hint="eastAsia"/>
          <w:kern w:val="0"/>
          <w:sz w:val="24"/>
          <w:szCs w:val="24"/>
        </w:rPr>
        <w:t>的南湖乡地下水源地</w:t>
      </w:r>
      <w:r>
        <w:rPr>
          <w:rFonts w:cs="Times New Roman"/>
          <w:kern w:val="0"/>
          <w:sz w:val="24"/>
          <w:szCs w:val="24"/>
        </w:rPr>
        <w:t>。</w:t>
      </w:r>
    </w:p>
    <w:p w14:paraId="271B8DF4" w14:textId="77777777" w:rsidR="003E78AB" w:rsidRDefault="00010BF9">
      <w:pPr>
        <w:pStyle w:val="aff2"/>
        <w:numPr>
          <w:ilvl w:val="0"/>
          <w:numId w:val="20"/>
        </w:numPr>
        <w:topLinePunct/>
        <w:spacing w:line="520" w:lineRule="exact"/>
        <w:ind w:firstLine="480"/>
        <w:rPr>
          <w:rFonts w:cs="Times New Roman"/>
          <w:kern w:val="0"/>
          <w:sz w:val="24"/>
          <w:szCs w:val="24"/>
        </w:rPr>
      </w:pPr>
      <w:r>
        <w:rPr>
          <w:rFonts w:cs="Times New Roman"/>
          <w:kern w:val="0"/>
          <w:sz w:val="24"/>
          <w:szCs w:val="24"/>
        </w:rPr>
        <w:t>本项目大气环境为二类区，地下水环境功能为</w:t>
      </w:r>
      <w:r>
        <w:rPr>
          <w:rFonts w:cs="Times New Roman"/>
          <w:kern w:val="0"/>
          <w:sz w:val="24"/>
          <w:szCs w:val="24"/>
        </w:rPr>
        <w:t>Ⅲ</w:t>
      </w:r>
      <w:r>
        <w:rPr>
          <w:rFonts w:cs="Times New Roman"/>
          <w:kern w:val="0"/>
          <w:sz w:val="24"/>
          <w:szCs w:val="24"/>
        </w:rPr>
        <w:t>类，声环境为</w:t>
      </w:r>
      <w:r>
        <w:rPr>
          <w:rFonts w:cs="Times New Roman"/>
          <w:kern w:val="0"/>
          <w:sz w:val="24"/>
          <w:szCs w:val="24"/>
        </w:rPr>
        <w:t>3</w:t>
      </w:r>
      <w:r>
        <w:rPr>
          <w:rFonts w:cs="Times New Roman"/>
          <w:kern w:val="0"/>
          <w:sz w:val="24"/>
          <w:szCs w:val="24"/>
        </w:rPr>
        <w:t>类声环境功能区，生态环境功能区属于</w:t>
      </w:r>
      <w:r>
        <w:rPr>
          <w:rFonts w:cs="Times New Roman"/>
          <w:kern w:val="0"/>
          <w:sz w:val="24"/>
          <w:szCs w:val="24"/>
        </w:rPr>
        <w:t>“Ⅲ</w:t>
      </w:r>
      <w:r>
        <w:rPr>
          <w:rFonts w:cs="Times New Roman"/>
          <w:kern w:val="0"/>
          <w:sz w:val="24"/>
          <w:szCs w:val="24"/>
        </w:rPr>
        <w:t>天山山地干旱草原</w:t>
      </w:r>
      <w:r>
        <w:rPr>
          <w:rFonts w:cs="Times New Roman"/>
          <w:kern w:val="0"/>
          <w:sz w:val="24"/>
          <w:szCs w:val="24"/>
        </w:rPr>
        <w:t>-</w:t>
      </w:r>
      <w:r>
        <w:rPr>
          <w:rFonts w:cs="Times New Roman"/>
          <w:kern w:val="0"/>
          <w:sz w:val="24"/>
          <w:szCs w:val="24"/>
        </w:rPr>
        <w:t>针叶林生态区</w:t>
      </w:r>
      <w:r>
        <w:rPr>
          <w:rFonts w:cs="Times New Roman"/>
          <w:kern w:val="0"/>
          <w:sz w:val="24"/>
          <w:szCs w:val="24"/>
        </w:rPr>
        <w:t>--Ⅲ4</w:t>
      </w:r>
      <w:r>
        <w:rPr>
          <w:rFonts w:cs="Times New Roman"/>
          <w:kern w:val="0"/>
          <w:sz w:val="24"/>
          <w:szCs w:val="24"/>
        </w:rPr>
        <w:t>天山南坡吐鲁番</w:t>
      </w:r>
      <w:r>
        <w:rPr>
          <w:rFonts w:cs="Times New Roman"/>
          <w:kern w:val="0"/>
          <w:sz w:val="24"/>
          <w:szCs w:val="24"/>
        </w:rPr>
        <w:t>—</w:t>
      </w:r>
      <w:r>
        <w:rPr>
          <w:rFonts w:cs="Times New Roman"/>
          <w:kern w:val="0"/>
          <w:sz w:val="24"/>
          <w:szCs w:val="24"/>
        </w:rPr>
        <w:t>哈密盆地戈壁荒漠、绿洲农业生态亚区</w:t>
      </w:r>
      <w:r>
        <w:rPr>
          <w:rFonts w:cs="Times New Roman"/>
          <w:kern w:val="0"/>
          <w:sz w:val="24"/>
          <w:szCs w:val="24"/>
        </w:rPr>
        <w:t>--53</w:t>
      </w:r>
      <w:r>
        <w:rPr>
          <w:rFonts w:cs="Times New Roman"/>
          <w:kern w:val="0"/>
          <w:sz w:val="24"/>
          <w:szCs w:val="24"/>
        </w:rPr>
        <w:t>．嘎顺</w:t>
      </w:r>
      <w:r>
        <w:rPr>
          <w:rFonts w:cs="Times New Roman"/>
          <w:kern w:val="0"/>
          <w:sz w:val="24"/>
          <w:szCs w:val="24"/>
        </w:rPr>
        <w:t>-</w:t>
      </w:r>
      <w:r>
        <w:rPr>
          <w:rFonts w:cs="Times New Roman"/>
          <w:kern w:val="0"/>
          <w:sz w:val="24"/>
          <w:szCs w:val="24"/>
        </w:rPr>
        <w:t>南湖戈壁荒漠风蚀敏感生态功能区</w:t>
      </w:r>
      <w:r>
        <w:rPr>
          <w:rFonts w:cs="Times New Roman"/>
          <w:kern w:val="0"/>
          <w:sz w:val="24"/>
          <w:szCs w:val="24"/>
        </w:rPr>
        <w:t>”</w:t>
      </w:r>
      <w:r>
        <w:rPr>
          <w:rFonts w:cs="Times New Roman"/>
          <w:kern w:val="0"/>
          <w:sz w:val="24"/>
          <w:szCs w:val="24"/>
        </w:rPr>
        <w:t>。不属于国家级及自治区级水土流失重点预防区和重点治理区。</w:t>
      </w:r>
    </w:p>
    <w:p w14:paraId="6721A234" w14:textId="77777777" w:rsidR="003E78AB" w:rsidRDefault="00010BF9">
      <w:pPr>
        <w:pStyle w:val="24"/>
        <w:keepNext w:val="0"/>
        <w:keepLines w:val="0"/>
        <w:topLinePunct/>
        <w:spacing w:before="156"/>
        <w:rPr>
          <w:rFonts w:cs="Times New Roman"/>
        </w:rPr>
      </w:pPr>
      <w:bookmarkStart w:id="24" w:name="_Toc28575"/>
      <w:bookmarkStart w:id="25" w:name="_Toc15815"/>
      <w:bookmarkStart w:id="26" w:name="_Toc20651"/>
      <w:bookmarkStart w:id="27" w:name="_Toc2627"/>
      <w:r>
        <w:rPr>
          <w:rFonts w:cs="Times New Roman"/>
        </w:rPr>
        <w:t>1.3</w:t>
      </w:r>
      <w:r>
        <w:rPr>
          <w:rFonts w:cs="Times New Roman"/>
        </w:rPr>
        <w:t>环境影响评价工作过程</w:t>
      </w:r>
      <w:bookmarkEnd w:id="24"/>
      <w:bookmarkEnd w:id="25"/>
      <w:bookmarkEnd w:id="26"/>
      <w:bookmarkEnd w:id="27"/>
    </w:p>
    <w:p w14:paraId="1058998F"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本项目为钒电解液生产项目，钒电解液产品用于全钒液流电池系统，根据《国民经济行业分类》（</w:t>
      </w:r>
      <w:r>
        <w:rPr>
          <w:rFonts w:cs="Times New Roman"/>
          <w:kern w:val="0"/>
          <w:sz w:val="24"/>
          <w:szCs w:val="24"/>
        </w:rPr>
        <w:t>GB/T4754-2017</w:t>
      </w:r>
      <w:r>
        <w:rPr>
          <w:rFonts w:cs="Times New Roman"/>
          <w:kern w:val="0"/>
          <w:sz w:val="24"/>
          <w:szCs w:val="24"/>
        </w:rPr>
        <w:t>）（</w:t>
      </w:r>
      <w:r>
        <w:rPr>
          <w:rFonts w:cs="Times New Roman"/>
          <w:kern w:val="0"/>
          <w:sz w:val="24"/>
          <w:szCs w:val="24"/>
        </w:rPr>
        <w:t>2019</w:t>
      </w:r>
      <w:r>
        <w:rPr>
          <w:rFonts w:cs="Times New Roman"/>
          <w:kern w:val="0"/>
          <w:sz w:val="24"/>
          <w:szCs w:val="24"/>
        </w:rPr>
        <w:t>年修订），</w:t>
      </w:r>
      <w:bookmarkStart w:id="28" w:name="OLE_LINK21"/>
      <w:r>
        <w:rPr>
          <w:rFonts w:cs="Times New Roman"/>
          <w:kern w:val="0"/>
          <w:sz w:val="24"/>
          <w:szCs w:val="24"/>
        </w:rPr>
        <w:t>由于钒电解液生产关键工序涉及化学反应，为化工生产过程，因此行业类别可列入为</w:t>
      </w:r>
      <w:r>
        <w:rPr>
          <w:rFonts w:cs="Times New Roman"/>
          <w:kern w:val="0"/>
          <w:sz w:val="24"/>
          <w:szCs w:val="24"/>
        </w:rPr>
        <w:t>“C2669</w:t>
      </w:r>
      <w:r>
        <w:rPr>
          <w:rFonts w:cs="Times New Roman"/>
          <w:kern w:val="0"/>
          <w:sz w:val="24"/>
          <w:szCs w:val="24"/>
        </w:rPr>
        <w:t>其他专用化学产品制造</w:t>
      </w:r>
      <w:r>
        <w:rPr>
          <w:rFonts w:cs="Times New Roman"/>
          <w:kern w:val="0"/>
          <w:sz w:val="24"/>
          <w:szCs w:val="24"/>
        </w:rPr>
        <w:t>”</w:t>
      </w:r>
      <w:bookmarkEnd w:id="28"/>
      <w:r>
        <w:rPr>
          <w:rFonts w:cs="Times New Roman"/>
          <w:kern w:val="0"/>
          <w:sz w:val="24"/>
          <w:szCs w:val="24"/>
        </w:rPr>
        <w:t>；根据《建设项目环境影响评价分类管理名录》（</w:t>
      </w:r>
      <w:r>
        <w:rPr>
          <w:rFonts w:cs="Times New Roman"/>
          <w:kern w:val="0"/>
          <w:sz w:val="24"/>
          <w:szCs w:val="24"/>
        </w:rPr>
        <w:t>2021</w:t>
      </w:r>
      <w:r>
        <w:rPr>
          <w:rFonts w:cs="Times New Roman"/>
          <w:kern w:val="0"/>
          <w:sz w:val="24"/>
          <w:szCs w:val="24"/>
        </w:rPr>
        <w:t>年版），项目环评类别判定如下：</w:t>
      </w:r>
    </w:p>
    <w:p w14:paraId="3207AF4F" w14:textId="77777777" w:rsidR="003E78AB" w:rsidRDefault="00010BF9">
      <w:pPr>
        <w:pStyle w:val="1"/>
        <w:numPr>
          <w:ilvl w:val="0"/>
          <w:numId w:val="0"/>
        </w:numPr>
        <w:spacing w:before="156"/>
      </w:pPr>
      <w:r>
        <w:t>表</w:t>
      </w:r>
      <w:r>
        <w:t xml:space="preserve">1-1  </w:t>
      </w:r>
      <w:r>
        <w:t>本项目行业类别及编制依据判定对应表</w:t>
      </w:r>
    </w:p>
    <w:tbl>
      <w:tblPr>
        <w:tblW w:w="4998" w:type="pct"/>
        <w:tblLook w:val="04A0" w:firstRow="1" w:lastRow="0" w:firstColumn="1" w:lastColumn="0" w:noHBand="0" w:noVBand="1"/>
      </w:tblPr>
      <w:tblGrid>
        <w:gridCol w:w="851"/>
        <w:gridCol w:w="1637"/>
        <w:gridCol w:w="1712"/>
        <w:gridCol w:w="3506"/>
        <w:gridCol w:w="813"/>
      </w:tblGrid>
      <w:tr w:rsidR="003E78AB" w14:paraId="0227E397" w14:textId="77777777">
        <w:trPr>
          <w:trHeight w:val="810"/>
          <w:tblHeader/>
        </w:trPr>
        <w:tc>
          <w:tcPr>
            <w:tcW w:w="1460" w:type="pct"/>
            <w:gridSpan w:val="2"/>
            <w:tcBorders>
              <w:top w:val="single" w:sz="4" w:space="0" w:color="000000"/>
              <w:left w:val="single" w:sz="4" w:space="0" w:color="000000"/>
              <w:bottom w:val="single" w:sz="4" w:space="0" w:color="auto"/>
              <w:right w:val="single" w:sz="4" w:space="0" w:color="000000"/>
            </w:tcBorders>
            <w:vAlign w:val="center"/>
          </w:tcPr>
          <w:p w14:paraId="6BDD318E" w14:textId="77777777" w:rsidR="003E78AB" w:rsidRDefault="00010BF9">
            <w:pPr>
              <w:spacing w:line="360" w:lineRule="exact"/>
              <w:ind w:firstLineChars="0" w:firstLine="0"/>
              <w:jc w:val="center"/>
              <w:textAlignment w:val="center"/>
              <w:rPr>
                <w:b/>
                <w:bCs/>
                <w:sz w:val="21"/>
                <w:szCs w:val="21"/>
              </w:rPr>
            </w:pPr>
            <w:r>
              <w:rPr>
                <w:b/>
                <w:bCs/>
                <w:sz w:val="21"/>
                <w:szCs w:val="21"/>
                <w:lang w:bidi="ar"/>
              </w:rPr>
              <w:t>产品或工序</w:t>
            </w:r>
          </w:p>
        </w:tc>
        <w:tc>
          <w:tcPr>
            <w:tcW w:w="1005" w:type="pct"/>
            <w:tcBorders>
              <w:top w:val="single" w:sz="4" w:space="0" w:color="000000"/>
              <w:left w:val="single" w:sz="4" w:space="0" w:color="000000"/>
              <w:bottom w:val="single" w:sz="4" w:space="0" w:color="auto"/>
              <w:right w:val="single" w:sz="4" w:space="0" w:color="000000"/>
            </w:tcBorders>
            <w:vAlign w:val="center"/>
          </w:tcPr>
          <w:p w14:paraId="1FC2F5D8" w14:textId="77777777" w:rsidR="003E78AB" w:rsidRDefault="00010BF9">
            <w:pPr>
              <w:spacing w:line="360" w:lineRule="exact"/>
              <w:ind w:firstLineChars="0" w:firstLine="0"/>
              <w:jc w:val="center"/>
              <w:textAlignment w:val="center"/>
              <w:rPr>
                <w:b/>
                <w:bCs/>
                <w:sz w:val="21"/>
                <w:szCs w:val="21"/>
              </w:rPr>
            </w:pPr>
            <w:r>
              <w:rPr>
                <w:b/>
                <w:bCs/>
                <w:sz w:val="21"/>
                <w:szCs w:val="21"/>
                <w:lang w:bidi="ar"/>
              </w:rPr>
              <w:t>《国民经济行业分类及代码》（</w:t>
            </w:r>
            <w:r>
              <w:rPr>
                <w:b/>
                <w:bCs/>
                <w:sz w:val="21"/>
                <w:szCs w:val="21"/>
                <w:lang w:bidi="ar"/>
              </w:rPr>
              <w:t>2019</w:t>
            </w:r>
            <w:r>
              <w:rPr>
                <w:b/>
                <w:bCs/>
                <w:sz w:val="21"/>
                <w:szCs w:val="21"/>
                <w:lang w:bidi="ar"/>
              </w:rPr>
              <w:t>版）</w:t>
            </w:r>
          </w:p>
        </w:tc>
        <w:tc>
          <w:tcPr>
            <w:tcW w:w="2058" w:type="pct"/>
            <w:tcBorders>
              <w:top w:val="single" w:sz="4" w:space="0" w:color="000000"/>
              <w:left w:val="single" w:sz="4" w:space="0" w:color="000000"/>
              <w:bottom w:val="single" w:sz="4" w:space="0" w:color="auto"/>
              <w:right w:val="single" w:sz="4" w:space="0" w:color="000000"/>
            </w:tcBorders>
            <w:vAlign w:val="center"/>
          </w:tcPr>
          <w:p w14:paraId="155E309E" w14:textId="77777777" w:rsidR="003E78AB" w:rsidRDefault="00010BF9">
            <w:pPr>
              <w:spacing w:line="360" w:lineRule="exact"/>
              <w:ind w:firstLineChars="0" w:firstLine="0"/>
              <w:jc w:val="center"/>
              <w:textAlignment w:val="center"/>
              <w:rPr>
                <w:b/>
                <w:bCs/>
                <w:sz w:val="21"/>
                <w:szCs w:val="21"/>
              </w:rPr>
            </w:pPr>
            <w:r>
              <w:rPr>
                <w:b/>
                <w:bCs/>
                <w:sz w:val="21"/>
                <w:szCs w:val="21"/>
                <w:lang w:bidi="ar"/>
              </w:rPr>
              <w:t>《建设项目环境影响评价分类管理名录》（</w:t>
            </w:r>
            <w:r>
              <w:rPr>
                <w:b/>
                <w:bCs/>
                <w:sz w:val="21"/>
                <w:szCs w:val="21"/>
                <w:lang w:bidi="ar"/>
              </w:rPr>
              <w:t>2021</w:t>
            </w:r>
            <w:r>
              <w:rPr>
                <w:b/>
                <w:bCs/>
                <w:sz w:val="21"/>
                <w:szCs w:val="21"/>
                <w:lang w:bidi="ar"/>
              </w:rPr>
              <w:t>年版）</w:t>
            </w:r>
          </w:p>
        </w:tc>
        <w:tc>
          <w:tcPr>
            <w:tcW w:w="477" w:type="pct"/>
            <w:tcBorders>
              <w:top w:val="single" w:sz="4" w:space="0" w:color="000000"/>
              <w:left w:val="single" w:sz="4" w:space="0" w:color="000000"/>
              <w:bottom w:val="single" w:sz="4" w:space="0" w:color="000000"/>
              <w:right w:val="single" w:sz="4" w:space="0" w:color="000000"/>
            </w:tcBorders>
            <w:vAlign w:val="center"/>
          </w:tcPr>
          <w:p w14:paraId="597BEC5F" w14:textId="77777777" w:rsidR="003E78AB" w:rsidRDefault="00010BF9">
            <w:pPr>
              <w:spacing w:line="360" w:lineRule="exact"/>
              <w:ind w:firstLineChars="0" w:firstLine="0"/>
              <w:jc w:val="center"/>
              <w:textAlignment w:val="center"/>
              <w:rPr>
                <w:b/>
                <w:bCs/>
                <w:sz w:val="21"/>
                <w:szCs w:val="21"/>
              </w:rPr>
            </w:pPr>
            <w:r>
              <w:rPr>
                <w:b/>
                <w:bCs/>
                <w:sz w:val="21"/>
                <w:szCs w:val="21"/>
                <w:lang w:bidi="ar"/>
              </w:rPr>
              <w:t>环评类别</w:t>
            </w:r>
          </w:p>
        </w:tc>
      </w:tr>
      <w:tr w:rsidR="003E78AB" w14:paraId="468A84CF" w14:textId="77777777">
        <w:trPr>
          <w:trHeight w:val="540"/>
        </w:trPr>
        <w:tc>
          <w:tcPr>
            <w:tcW w:w="499" w:type="pct"/>
            <w:tcBorders>
              <w:top w:val="single" w:sz="4" w:space="0" w:color="auto"/>
              <w:left w:val="single" w:sz="4" w:space="0" w:color="auto"/>
              <w:bottom w:val="single" w:sz="4" w:space="0" w:color="auto"/>
              <w:right w:val="single" w:sz="4" w:space="0" w:color="auto"/>
            </w:tcBorders>
            <w:vAlign w:val="center"/>
          </w:tcPr>
          <w:p w14:paraId="4F52BA9F" w14:textId="77777777" w:rsidR="003E78AB" w:rsidRDefault="00010BF9">
            <w:pPr>
              <w:spacing w:line="360" w:lineRule="exact"/>
              <w:ind w:firstLineChars="0" w:firstLine="0"/>
              <w:jc w:val="center"/>
              <w:textAlignment w:val="center"/>
              <w:rPr>
                <w:sz w:val="21"/>
                <w:szCs w:val="21"/>
              </w:rPr>
            </w:pPr>
            <w:r>
              <w:rPr>
                <w:sz w:val="21"/>
                <w:szCs w:val="21"/>
              </w:rPr>
              <w:t>溶解还原工序</w:t>
            </w:r>
          </w:p>
        </w:tc>
        <w:tc>
          <w:tcPr>
            <w:tcW w:w="961" w:type="pct"/>
            <w:tcBorders>
              <w:top w:val="single" w:sz="4" w:space="0" w:color="auto"/>
              <w:left w:val="single" w:sz="4" w:space="0" w:color="auto"/>
              <w:bottom w:val="single" w:sz="4" w:space="0" w:color="auto"/>
              <w:right w:val="single" w:sz="4" w:space="0" w:color="auto"/>
            </w:tcBorders>
            <w:vAlign w:val="center"/>
          </w:tcPr>
          <w:p w14:paraId="33CE4A65" w14:textId="77777777" w:rsidR="003E78AB" w:rsidRDefault="00010BF9">
            <w:pPr>
              <w:spacing w:line="360" w:lineRule="exact"/>
              <w:ind w:firstLineChars="0" w:firstLine="0"/>
              <w:jc w:val="center"/>
              <w:textAlignment w:val="center"/>
              <w:rPr>
                <w:kern w:val="2"/>
                <w:sz w:val="21"/>
                <w:szCs w:val="21"/>
              </w:rPr>
            </w:pPr>
            <w:r>
              <w:rPr>
                <w:kern w:val="2"/>
                <w:sz w:val="21"/>
                <w:szCs w:val="21"/>
              </w:rPr>
              <w:t>五氧</w:t>
            </w:r>
            <w:r>
              <w:rPr>
                <w:kern w:val="2"/>
                <w:sz w:val="21"/>
                <w:szCs w:val="21"/>
              </w:rPr>
              <w:t>化二钒与草酸发生还原反应生成钒电解液（</w:t>
            </w:r>
            <w:r>
              <w:rPr>
                <w:kern w:val="2"/>
                <w:sz w:val="21"/>
                <w:szCs w:val="21"/>
              </w:rPr>
              <w:t>4</w:t>
            </w:r>
            <w:r>
              <w:rPr>
                <w:kern w:val="2"/>
                <w:sz w:val="21"/>
                <w:szCs w:val="21"/>
              </w:rPr>
              <w:t>价）</w:t>
            </w:r>
          </w:p>
        </w:tc>
        <w:tc>
          <w:tcPr>
            <w:tcW w:w="1005" w:type="pct"/>
            <w:tcBorders>
              <w:top w:val="single" w:sz="4" w:space="0" w:color="auto"/>
              <w:left w:val="single" w:sz="4" w:space="0" w:color="auto"/>
              <w:bottom w:val="single" w:sz="4" w:space="0" w:color="auto"/>
              <w:right w:val="single" w:sz="4" w:space="0" w:color="auto"/>
            </w:tcBorders>
            <w:vAlign w:val="center"/>
          </w:tcPr>
          <w:p w14:paraId="0C08CD00" w14:textId="77777777" w:rsidR="003E78AB" w:rsidRDefault="00010BF9">
            <w:pPr>
              <w:spacing w:line="360" w:lineRule="exact"/>
              <w:ind w:firstLineChars="0" w:firstLine="0"/>
              <w:jc w:val="center"/>
              <w:textAlignment w:val="center"/>
              <w:rPr>
                <w:sz w:val="21"/>
                <w:szCs w:val="21"/>
              </w:rPr>
            </w:pPr>
            <w:r>
              <w:rPr>
                <w:sz w:val="21"/>
                <w:szCs w:val="21"/>
              </w:rPr>
              <w:t>C2669</w:t>
            </w:r>
            <w:r>
              <w:rPr>
                <w:sz w:val="21"/>
                <w:szCs w:val="21"/>
              </w:rPr>
              <w:t>其他专用化学产品制造</w:t>
            </w:r>
          </w:p>
        </w:tc>
        <w:tc>
          <w:tcPr>
            <w:tcW w:w="2058" w:type="pct"/>
            <w:tcBorders>
              <w:top w:val="single" w:sz="4" w:space="0" w:color="auto"/>
              <w:left w:val="single" w:sz="4" w:space="0" w:color="auto"/>
              <w:bottom w:val="single" w:sz="4" w:space="0" w:color="auto"/>
              <w:right w:val="single" w:sz="4" w:space="0" w:color="auto"/>
            </w:tcBorders>
            <w:vAlign w:val="center"/>
          </w:tcPr>
          <w:p w14:paraId="48AD3757" w14:textId="77777777" w:rsidR="003E78AB" w:rsidRDefault="00010BF9">
            <w:pPr>
              <w:spacing w:line="360" w:lineRule="exact"/>
              <w:ind w:firstLineChars="0" w:firstLine="0"/>
              <w:jc w:val="left"/>
              <w:textAlignment w:val="center"/>
              <w:rPr>
                <w:sz w:val="21"/>
                <w:szCs w:val="21"/>
              </w:rPr>
            </w:pPr>
            <w:r>
              <w:rPr>
                <w:sz w:val="21"/>
                <w:szCs w:val="21"/>
              </w:rPr>
              <w:t>二十三、化学原料和化学品制造业</w:t>
            </w:r>
            <w:r>
              <w:rPr>
                <w:sz w:val="21"/>
                <w:szCs w:val="21"/>
              </w:rPr>
              <w:t>26--44</w:t>
            </w:r>
            <w:r>
              <w:rPr>
                <w:sz w:val="21"/>
                <w:szCs w:val="21"/>
              </w:rPr>
              <w:t>专用化学产品制造</w:t>
            </w:r>
            <w:r>
              <w:rPr>
                <w:sz w:val="21"/>
                <w:szCs w:val="21"/>
              </w:rPr>
              <w:t>266--</w:t>
            </w:r>
            <w:r>
              <w:rPr>
                <w:sz w:val="21"/>
                <w:szCs w:val="21"/>
              </w:rPr>
              <w:t>全部（含研发中试；不含单纯物理分离、物理提纯、混合、分装的）</w:t>
            </w:r>
          </w:p>
        </w:tc>
        <w:tc>
          <w:tcPr>
            <w:tcW w:w="477" w:type="pct"/>
            <w:tcBorders>
              <w:top w:val="single" w:sz="4" w:space="0" w:color="000000"/>
              <w:left w:val="single" w:sz="4" w:space="0" w:color="auto"/>
              <w:bottom w:val="single" w:sz="4" w:space="0" w:color="000000"/>
              <w:right w:val="single" w:sz="4" w:space="0" w:color="000000"/>
            </w:tcBorders>
            <w:vAlign w:val="center"/>
          </w:tcPr>
          <w:p w14:paraId="3830E33E" w14:textId="77777777" w:rsidR="003E78AB" w:rsidRDefault="00010BF9">
            <w:pPr>
              <w:spacing w:line="360" w:lineRule="exact"/>
              <w:ind w:firstLineChars="0" w:firstLine="0"/>
              <w:jc w:val="center"/>
              <w:textAlignment w:val="center"/>
              <w:rPr>
                <w:sz w:val="21"/>
                <w:szCs w:val="21"/>
              </w:rPr>
            </w:pPr>
            <w:r>
              <w:rPr>
                <w:sz w:val="21"/>
                <w:szCs w:val="21"/>
                <w:lang w:bidi="ar"/>
              </w:rPr>
              <w:t>报告书</w:t>
            </w:r>
          </w:p>
        </w:tc>
      </w:tr>
    </w:tbl>
    <w:p w14:paraId="4B15D762"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因此，本项目应编制环境影响报告书。</w:t>
      </w:r>
    </w:p>
    <w:p w14:paraId="1FF4B0CE"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受</w:t>
      </w:r>
      <w:r>
        <w:rPr>
          <w:rFonts w:cs="Times New Roman" w:hint="eastAsia"/>
          <w:kern w:val="0"/>
          <w:sz w:val="24"/>
          <w:szCs w:val="24"/>
        </w:rPr>
        <w:t>星辰新能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kern w:val="0"/>
          <w:sz w:val="24"/>
          <w:szCs w:val="24"/>
        </w:rPr>
        <w:t>委托，我公司承担了该项目的环境影响评价工作。接受委托后，公司组织专业技术人员，对项目区进行现场踏勘、调查、收集资料等工作，结合现场踏勘的实际情况，根据国家和</w:t>
      </w:r>
      <w:r>
        <w:rPr>
          <w:rFonts w:cs="Times New Roman" w:hint="eastAsia"/>
          <w:kern w:val="0"/>
          <w:sz w:val="24"/>
          <w:szCs w:val="24"/>
        </w:rPr>
        <w:t>新疆维吾尔自治区</w:t>
      </w:r>
      <w:r>
        <w:rPr>
          <w:rFonts w:cs="Times New Roman"/>
          <w:kern w:val="0"/>
          <w:sz w:val="24"/>
          <w:szCs w:val="24"/>
        </w:rPr>
        <w:t>建设项目管理的有关规定，本着</w:t>
      </w:r>
      <w:r>
        <w:rPr>
          <w:rFonts w:cs="Times New Roman"/>
          <w:kern w:val="0"/>
          <w:sz w:val="24"/>
          <w:szCs w:val="24"/>
        </w:rPr>
        <w:t>“</w:t>
      </w:r>
      <w:r>
        <w:rPr>
          <w:rFonts w:cs="Times New Roman"/>
          <w:kern w:val="0"/>
          <w:sz w:val="24"/>
          <w:szCs w:val="24"/>
        </w:rPr>
        <w:t>客观、公正、科学、规范</w:t>
      </w:r>
      <w:r>
        <w:rPr>
          <w:rFonts w:cs="Times New Roman"/>
          <w:kern w:val="0"/>
          <w:sz w:val="24"/>
          <w:szCs w:val="24"/>
        </w:rPr>
        <w:t>”</w:t>
      </w:r>
      <w:r>
        <w:rPr>
          <w:rFonts w:cs="Times New Roman"/>
          <w:kern w:val="0"/>
          <w:sz w:val="24"/>
          <w:szCs w:val="24"/>
        </w:rPr>
        <w:t>的精神，编制完成了《</w:t>
      </w:r>
      <w:r>
        <w:rPr>
          <w:rFonts w:cs="Times New Roman" w:hint="eastAsia"/>
          <w:kern w:val="0"/>
          <w:sz w:val="24"/>
          <w:szCs w:val="24"/>
        </w:rPr>
        <w:t>星辰</w:t>
      </w:r>
      <w:r>
        <w:rPr>
          <w:rFonts w:cs="Times New Roman" w:hint="eastAsia"/>
          <w:kern w:val="0"/>
          <w:sz w:val="24"/>
          <w:szCs w:val="24"/>
        </w:rPr>
        <w:lastRenderedPageBreak/>
        <w:t>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kern w:val="0"/>
          <w:sz w:val="24"/>
          <w:szCs w:val="24"/>
        </w:rPr>
        <w:t>高活性全钒液流电池电解液生产项目（一期）建设项目环境影响报告书》。</w:t>
      </w:r>
    </w:p>
    <w:p w14:paraId="092F9F63"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1</w:t>
      </w:r>
      <w:r>
        <w:rPr>
          <w:rFonts w:cs="Times New Roman"/>
          <w:kern w:val="0"/>
          <w:sz w:val="24"/>
          <w:szCs w:val="24"/>
        </w:rPr>
        <w:t>）根据《中华人民共和国环境保护法》、《中华人民共和国环境影响评价法》及《建设项目环境保护管理条例》中的有关规定，建设单位委托新疆众智安环工程咨询服务有限公司开展本项目的环境影响评价工作。</w:t>
      </w:r>
    </w:p>
    <w:p w14:paraId="0302568F"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2</w:t>
      </w:r>
      <w:r>
        <w:rPr>
          <w:rFonts w:cs="Times New Roman"/>
          <w:kern w:val="0"/>
          <w:sz w:val="24"/>
          <w:szCs w:val="24"/>
        </w:rPr>
        <w:t>）新疆众智安环工程咨询服务有限公司接受委托以后，进行了现场踏勘和同类企业调研，研究区域有关资料和文件，重点调查需关注的问题。</w:t>
      </w:r>
    </w:p>
    <w:p w14:paraId="0BBF6B44"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3</w:t>
      </w:r>
      <w:r>
        <w:rPr>
          <w:rFonts w:cs="Times New Roman"/>
          <w:kern w:val="0"/>
          <w:sz w:val="24"/>
          <w:szCs w:val="24"/>
        </w:rPr>
        <w:t>）本项目位于哈密</w:t>
      </w:r>
      <w:r>
        <w:rPr>
          <w:rFonts w:cs="Times New Roman"/>
          <w:kern w:val="0"/>
          <w:sz w:val="24"/>
          <w:szCs w:val="24"/>
        </w:rPr>
        <w:t>工业园区南部循环经济产业园</w:t>
      </w:r>
      <w:r>
        <w:rPr>
          <w:rFonts w:cs="Times New Roman"/>
          <w:sz w:val="24"/>
        </w:rPr>
        <w:t>中的</w:t>
      </w:r>
      <w:r>
        <w:rPr>
          <w:rFonts w:cs="Times New Roman" w:hint="eastAsia"/>
          <w:sz w:val="24"/>
        </w:rPr>
        <w:t>煤化工产业区</w:t>
      </w:r>
      <w:r>
        <w:rPr>
          <w:rFonts w:cs="Times New Roman"/>
          <w:kern w:val="0"/>
          <w:sz w:val="24"/>
          <w:szCs w:val="24"/>
        </w:rPr>
        <w:t>，园区环境影响评价过程中依法开展了规划环境影响评价公众参与，而本项目建设性质、规模符合经生态环境主管部门组织审查通过的规划环境影响报告书和审查意见。故根据《环境影响评价公众参与办法》第</w:t>
      </w:r>
      <w:r>
        <w:rPr>
          <w:rFonts w:cs="Times New Roman"/>
          <w:kern w:val="0"/>
          <w:sz w:val="24"/>
          <w:szCs w:val="24"/>
        </w:rPr>
        <w:t>“</w:t>
      </w:r>
      <w:r>
        <w:rPr>
          <w:rFonts w:cs="Times New Roman"/>
          <w:kern w:val="0"/>
          <w:sz w:val="24"/>
          <w:szCs w:val="24"/>
        </w:rPr>
        <w:t>三十一条</w:t>
      </w:r>
      <w:r>
        <w:rPr>
          <w:rFonts w:cs="Times New Roman"/>
          <w:kern w:val="0"/>
          <w:sz w:val="24"/>
          <w:szCs w:val="24"/>
        </w:rPr>
        <w:t>”</w:t>
      </w:r>
      <w:r>
        <w:rPr>
          <w:rFonts w:cs="Times New Roman"/>
          <w:kern w:val="0"/>
          <w:sz w:val="24"/>
          <w:szCs w:val="24"/>
        </w:rPr>
        <w:t>，免予开展第一次环境影响评价信息公示。环评报告征求意见稿完成后，通过网络公示、报纸公示、张贴公告等三种形式，开展了公众参与工作，全文公示了环评报告征求意见稿，广泛征求了公众意见。在公示期间未收到与项目有关反馈意见。</w:t>
      </w:r>
    </w:p>
    <w:p w14:paraId="4982D5D7"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环境影响评价工作一般分为三个阶段，即调查分析和工作方案制定</w:t>
      </w:r>
      <w:r>
        <w:rPr>
          <w:rFonts w:cs="Times New Roman"/>
          <w:kern w:val="0"/>
          <w:sz w:val="24"/>
          <w:szCs w:val="24"/>
        </w:rPr>
        <w:t>阶段，分析论证和预测评价阶段，环境影响报告书（表）编制阶段。具体流程见图</w:t>
      </w:r>
      <w:r>
        <w:rPr>
          <w:rFonts w:cs="Times New Roman"/>
          <w:kern w:val="0"/>
          <w:sz w:val="24"/>
          <w:szCs w:val="24"/>
        </w:rPr>
        <w:t>1-1</w:t>
      </w:r>
      <w:r>
        <w:rPr>
          <w:rFonts w:cs="Times New Roman"/>
          <w:kern w:val="0"/>
          <w:sz w:val="24"/>
          <w:szCs w:val="24"/>
        </w:rPr>
        <w:t>。</w:t>
      </w:r>
    </w:p>
    <w:p w14:paraId="3B52642D" w14:textId="77777777" w:rsidR="003E78AB" w:rsidRDefault="00010BF9">
      <w:pPr>
        <w:spacing w:line="240" w:lineRule="atLeast"/>
        <w:ind w:firstLineChars="0" w:firstLine="0"/>
        <w:rPr>
          <w:kern w:val="2"/>
        </w:rPr>
      </w:pPr>
      <w:r>
        <w:rPr>
          <w:noProof/>
          <w:kern w:val="2"/>
        </w:rPr>
        <w:lastRenderedPageBreak/>
        <w:drawing>
          <wp:inline distT="0" distB="0" distL="114300" distR="114300">
            <wp:extent cx="5272405" cy="6405880"/>
            <wp:effectExtent l="0" t="0" r="10795" b="7620"/>
            <wp:docPr id="40" name="图片 40" descr="环评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环评流程1"/>
                    <pic:cNvPicPr>
                      <a:picLocks noChangeAspect="1"/>
                    </pic:cNvPicPr>
                  </pic:nvPicPr>
                  <pic:blipFill>
                    <a:blip r:embed="rId16"/>
                    <a:stretch>
                      <a:fillRect/>
                    </a:stretch>
                  </pic:blipFill>
                  <pic:spPr>
                    <a:xfrm>
                      <a:off x="0" y="0"/>
                      <a:ext cx="5272405" cy="6405880"/>
                    </a:xfrm>
                    <a:prstGeom prst="rect">
                      <a:avLst/>
                    </a:prstGeom>
                  </pic:spPr>
                </pic:pic>
              </a:graphicData>
            </a:graphic>
          </wp:inline>
        </w:drawing>
      </w:r>
    </w:p>
    <w:p w14:paraId="62D9DD0D" w14:textId="77777777" w:rsidR="003E78AB" w:rsidRDefault="00010BF9">
      <w:pPr>
        <w:pStyle w:val="aff3"/>
        <w:topLinePunct/>
        <w:spacing w:line="360" w:lineRule="auto"/>
        <w:rPr>
          <w:b w:val="0"/>
          <w:bCs/>
          <w:sz w:val="24"/>
        </w:rPr>
      </w:pPr>
      <w:r>
        <w:rPr>
          <w:b w:val="0"/>
          <w:bCs/>
          <w:sz w:val="24"/>
        </w:rPr>
        <w:t>图</w:t>
      </w:r>
      <w:r>
        <w:rPr>
          <w:b w:val="0"/>
          <w:bCs/>
          <w:sz w:val="24"/>
        </w:rPr>
        <w:t xml:space="preserve">1-1  </w:t>
      </w:r>
      <w:r>
        <w:rPr>
          <w:b w:val="0"/>
          <w:bCs/>
          <w:sz w:val="24"/>
        </w:rPr>
        <w:t>评价工作流程图</w:t>
      </w:r>
    </w:p>
    <w:p w14:paraId="5B02193B" w14:textId="77777777" w:rsidR="003E78AB" w:rsidRDefault="00010BF9">
      <w:pPr>
        <w:pStyle w:val="24"/>
        <w:keepNext w:val="0"/>
        <w:keepLines w:val="0"/>
        <w:topLinePunct/>
        <w:spacing w:before="156"/>
        <w:rPr>
          <w:rFonts w:cs="Times New Roman"/>
        </w:rPr>
      </w:pPr>
      <w:bookmarkStart w:id="29" w:name="_Toc17989"/>
      <w:bookmarkStart w:id="30" w:name="_Toc17229"/>
      <w:bookmarkStart w:id="31" w:name="_Toc20335"/>
      <w:bookmarkStart w:id="32" w:name="_Toc28482"/>
      <w:r>
        <w:rPr>
          <w:rFonts w:cs="Times New Roman"/>
        </w:rPr>
        <w:t>1.4</w:t>
      </w:r>
      <w:r>
        <w:rPr>
          <w:rFonts w:cs="Times New Roman"/>
        </w:rPr>
        <w:t>分析判定相关情况</w:t>
      </w:r>
      <w:bookmarkEnd w:id="29"/>
      <w:bookmarkEnd w:id="30"/>
      <w:bookmarkEnd w:id="31"/>
      <w:bookmarkEnd w:id="32"/>
    </w:p>
    <w:p w14:paraId="7A8EE0A5" w14:textId="77777777" w:rsidR="003E78AB" w:rsidRDefault="00010BF9">
      <w:pPr>
        <w:pStyle w:val="31"/>
        <w:keepNext w:val="0"/>
        <w:keepLines w:val="0"/>
        <w:topLinePunct/>
        <w:spacing w:before="156"/>
        <w:rPr>
          <w:rFonts w:cs="Times New Roman"/>
        </w:rPr>
      </w:pPr>
      <w:r>
        <w:rPr>
          <w:rFonts w:cs="Times New Roman"/>
        </w:rPr>
        <w:t>1.4.1</w:t>
      </w:r>
      <w:r>
        <w:rPr>
          <w:rFonts w:cs="Times New Roman"/>
        </w:rPr>
        <w:t>产业政策相符性判定</w:t>
      </w:r>
    </w:p>
    <w:p w14:paraId="564D0F94"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本项目为钒电解液生产项目，对照《产业结构调整指导目录（</w:t>
      </w:r>
      <w:r>
        <w:rPr>
          <w:rFonts w:cs="Times New Roman"/>
          <w:kern w:val="0"/>
          <w:sz w:val="24"/>
          <w:szCs w:val="24"/>
        </w:rPr>
        <w:t>2024</w:t>
      </w:r>
      <w:r>
        <w:rPr>
          <w:rFonts w:cs="Times New Roman"/>
          <w:kern w:val="0"/>
          <w:sz w:val="24"/>
          <w:szCs w:val="24"/>
        </w:rPr>
        <w:t>年本）》，本项目不属于鼓励类、限制类、淘汰类，属于允许建设项目，项目符合国家产业政策要求。本项目已取得哈密高新技术产业开发区管理委员会出具的登记备案证</w:t>
      </w:r>
      <w:r>
        <w:rPr>
          <w:rFonts w:cs="Times New Roman"/>
          <w:kern w:val="0"/>
          <w:sz w:val="24"/>
          <w:szCs w:val="24"/>
        </w:rPr>
        <w:lastRenderedPageBreak/>
        <w:t>（</w:t>
      </w:r>
      <w:r>
        <w:rPr>
          <w:rFonts w:cs="Times New Roman" w:hint="eastAsia"/>
          <w:kern w:val="0"/>
          <w:sz w:val="24"/>
          <w:szCs w:val="24"/>
        </w:rPr>
        <w:t>备案代码：</w:t>
      </w:r>
      <w:r>
        <w:rPr>
          <w:rFonts w:cs="Times New Roman"/>
          <w:kern w:val="0"/>
          <w:sz w:val="24"/>
          <w:szCs w:val="24"/>
        </w:rPr>
        <w:t>2506-650591-04-01-294721</w:t>
      </w:r>
      <w:r>
        <w:rPr>
          <w:rFonts w:cs="Times New Roman"/>
          <w:kern w:val="0"/>
          <w:sz w:val="24"/>
          <w:szCs w:val="24"/>
        </w:rPr>
        <w:t>）</w:t>
      </w:r>
      <w:r>
        <w:rPr>
          <w:rFonts w:cs="Times New Roman" w:hint="eastAsia"/>
          <w:kern w:val="0"/>
          <w:sz w:val="24"/>
          <w:szCs w:val="24"/>
        </w:rPr>
        <w:t>。备案涵盖两期</w:t>
      </w:r>
      <w:r>
        <w:rPr>
          <w:rFonts w:cs="Times New Roman" w:hint="eastAsia"/>
          <w:kern w:val="0"/>
          <w:sz w:val="24"/>
          <w:szCs w:val="24"/>
        </w:rPr>
        <w:t>10</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高活性全钒液流电池电解液规模</w:t>
      </w:r>
      <w:r>
        <w:rPr>
          <w:rFonts w:cs="Times New Roman" w:hint="eastAsia"/>
          <w:kern w:val="0"/>
          <w:sz w:val="24"/>
          <w:szCs w:val="24"/>
        </w:rPr>
        <w:t>，</w:t>
      </w:r>
      <w:r>
        <w:rPr>
          <w:rFonts w:cs="Times New Roman"/>
          <w:kern w:val="0"/>
          <w:sz w:val="24"/>
          <w:szCs w:val="24"/>
        </w:rPr>
        <w:t>本次优先实施一期工程（简称本项目），拟建设年产</w:t>
      </w:r>
      <w:r>
        <w:rPr>
          <w:rFonts w:cs="Times New Roman"/>
          <w:kern w:val="0"/>
          <w:sz w:val="24"/>
          <w:szCs w:val="24"/>
        </w:rPr>
        <w:t>5</w:t>
      </w:r>
      <w:r>
        <w:rPr>
          <w:rFonts w:cs="Times New Roman"/>
          <w:kern w:val="0"/>
          <w:sz w:val="24"/>
          <w:szCs w:val="24"/>
        </w:rPr>
        <w:t>万</w:t>
      </w:r>
      <w:r>
        <w:rPr>
          <w:rFonts w:cs="Times New Roman"/>
          <w:kern w:val="0"/>
          <w:sz w:val="24"/>
          <w:szCs w:val="24"/>
        </w:rPr>
        <w:t>m</w:t>
      </w:r>
      <w:r>
        <w:rPr>
          <w:rFonts w:cs="Times New Roman"/>
          <w:kern w:val="0"/>
          <w:sz w:val="24"/>
          <w:szCs w:val="24"/>
          <w:vertAlign w:val="superscript"/>
        </w:rPr>
        <w:t>3</w:t>
      </w:r>
      <w:r>
        <w:rPr>
          <w:rFonts w:cs="Times New Roman"/>
          <w:kern w:val="0"/>
          <w:sz w:val="24"/>
          <w:szCs w:val="24"/>
        </w:rPr>
        <w:t>高活性全钒液流电池电解液。</w:t>
      </w:r>
    </w:p>
    <w:p w14:paraId="655B817F" w14:textId="77777777" w:rsidR="003E78AB" w:rsidRDefault="00010BF9">
      <w:pPr>
        <w:ind w:firstLine="480"/>
        <w:jc w:val="left"/>
      </w:pPr>
      <w:r>
        <w:t>对照《环境保护综合名录》（</w:t>
      </w:r>
      <w:r>
        <w:t>2021</w:t>
      </w:r>
      <w:r>
        <w:t>年版）产品，本项目产品不涉及</w:t>
      </w:r>
      <w:r>
        <w:t>“</w:t>
      </w:r>
      <w:r>
        <w:t>高污染、高环境风险</w:t>
      </w:r>
      <w:r>
        <w:t>”</w:t>
      </w:r>
      <w:r>
        <w:t>产品；</w:t>
      </w:r>
      <w:r>
        <w:rPr>
          <w:bCs/>
        </w:rPr>
        <w:t>产品</w:t>
      </w:r>
      <w:r>
        <w:rPr>
          <w:rFonts w:hint="eastAsia"/>
          <w:bCs/>
        </w:rPr>
        <w:t>及</w:t>
      </w:r>
      <w:r>
        <w:rPr>
          <w:bCs/>
        </w:rPr>
        <w:t>生产过程中使用的主要原辅料五氧化二钒</w:t>
      </w:r>
      <w:r>
        <w:rPr>
          <w:rFonts w:hint="eastAsia"/>
          <w:bCs/>
        </w:rPr>
        <w:t>等均不</w:t>
      </w:r>
      <w:r>
        <w:rPr>
          <w:bCs/>
        </w:rPr>
        <w:t>属于</w:t>
      </w:r>
      <w:bookmarkStart w:id="33" w:name="OLE_LINK3"/>
      <w:r>
        <w:rPr>
          <w:bCs/>
        </w:rPr>
        <w:t>《危险化学品名录》（</w:t>
      </w:r>
      <w:r>
        <w:rPr>
          <w:bCs/>
        </w:rPr>
        <w:t>2022</w:t>
      </w:r>
      <w:r>
        <w:rPr>
          <w:bCs/>
        </w:rPr>
        <w:t>调整版）</w:t>
      </w:r>
      <w:bookmarkEnd w:id="33"/>
      <w:r>
        <w:rPr>
          <w:bCs/>
        </w:rPr>
        <w:t>规定的剧毒化学品</w:t>
      </w:r>
      <w:r>
        <w:t>；本项目产品及原辅料不涉及</w:t>
      </w:r>
      <w:bookmarkStart w:id="34" w:name="OLE_LINK2"/>
      <w:r>
        <w:t>《中国严格限制的有毒化学品名录》（</w:t>
      </w:r>
      <w:r>
        <w:t>2023</w:t>
      </w:r>
      <w:r>
        <w:t>年）</w:t>
      </w:r>
      <w:bookmarkEnd w:id="34"/>
      <w:r>
        <w:t>中规定的有毒化学品、不涉及《</w:t>
      </w:r>
      <w:r>
        <w:rPr>
          <w:lang w:bidi="ar"/>
        </w:rPr>
        <w:t>新疆维吾尔自治区禁止、限制和控制危险化学品目录（试行）</w:t>
      </w:r>
      <w:r>
        <w:t>》中规定的禁止、限制和控制危险化学品。根据本项目建设生产工艺和设备与</w:t>
      </w:r>
      <w:bookmarkStart w:id="35" w:name="OLE_LINK4"/>
      <w:bookmarkStart w:id="36" w:name="OLE_LINK5"/>
      <w:r>
        <w:t>《淘汰落后危险化学品安全生产工艺技术设备目录（第一批）》（应急厅〔</w:t>
      </w:r>
      <w:r>
        <w:t>2020</w:t>
      </w:r>
      <w:r>
        <w:t>〕</w:t>
      </w:r>
      <w:r>
        <w:t>38</w:t>
      </w:r>
      <w:r>
        <w:t>号）</w:t>
      </w:r>
      <w:bookmarkEnd w:id="35"/>
      <w:bookmarkEnd w:id="36"/>
      <w:r>
        <w:t>、《淘汰落后危险化学品安全生产工艺技术设备目录（第二批）》（应急厅〔</w:t>
      </w:r>
      <w:r>
        <w:t>2024</w:t>
      </w:r>
      <w:r>
        <w:t>〕</w:t>
      </w:r>
      <w:r>
        <w:t>86</w:t>
      </w:r>
      <w:r>
        <w:t>号）对比分析，本项目所涉及生产工艺和设备</w:t>
      </w:r>
      <w:r>
        <w:rPr>
          <w:rFonts w:hint="eastAsia"/>
        </w:rPr>
        <w:t>不在目录内</w:t>
      </w:r>
      <w:r>
        <w:t>，与指导目录中的要求不冲突。</w:t>
      </w:r>
    </w:p>
    <w:p w14:paraId="0283D216" w14:textId="77777777" w:rsidR="003E78AB" w:rsidRDefault="00010BF9">
      <w:pPr>
        <w:pStyle w:val="31"/>
        <w:keepNext w:val="0"/>
        <w:keepLines w:val="0"/>
        <w:topLinePunct/>
        <w:spacing w:before="156"/>
        <w:rPr>
          <w:rFonts w:cs="Times New Roman"/>
        </w:rPr>
      </w:pPr>
      <w:r>
        <w:rPr>
          <w:rFonts w:cs="Times New Roman"/>
        </w:rPr>
        <w:t>1.4.2</w:t>
      </w:r>
      <w:r>
        <w:rPr>
          <w:rFonts w:cs="Times New Roman"/>
        </w:rPr>
        <w:t>与相关规划的符合性分析</w:t>
      </w:r>
    </w:p>
    <w:p w14:paraId="161F4D84"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项目建设符合《哈密市城市总体规划（</w:t>
      </w:r>
      <w:r>
        <w:rPr>
          <w:rFonts w:cs="Times New Roman"/>
          <w:kern w:val="0"/>
          <w:sz w:val="24"/>
          <w:szCs w:val="24"/>
        </w:rPr>
        <w:t>2012-2030</w:t>
      </w:r>
      <w:r>
        <w:rPr>
          <w:rFonts w:cs="Times New Roman"/>
          <w:kern w:val="0"/>
          <w:sz w:val="24"/>
          <w:szCs w:val="24"/>
        </w:rPr>
        <w:t>年）》、《伊州区土地利用总体规划》、《新疆维吾尔自治区国民经济和社会发展第十四个五年规划和</w:t>
      </w:r>
      <w:r>
        <w:rPr>
          <w:rFonts w:cs="Times New Roman"/>
          <w:kern w:val="0"/>
          <w:sz w:val="24"/>
          <w:szCs w:val="24"/>
        </w:rPr>
        <w:t>2035</w:t>
      </w:r>
      <w:r>
        <w:rPr>
          <w:rFonts w:cs="Times New Roman"/>
          <w:kern w:val="0"/>
          <w:sz w:val="24"/>
          <w:szCs w:val="24"/>
        </w:rPr>
        <w:t>年远景目标纲要》、《哈密市国民经济和社会发展第十四个五年规划和</w:t>
      </w:r>
      <w:r>
        <w:rPr>
          <w:rFonts w:cs="Times New Roman"/>
          <w:kern w:val="0"/>
          <w:sz w:val="24"/>
          <w:szCs w:val="24"/>
        </w:rPr>
        <w:t>2035</w:t>
      </w:r>
      <w:r>
        <w:rPr>
          <w:rFonts w:cs="Times New Roman"/>
          <w:kern w:val="0"/>
          <w:sz w:val="24"/>
          <w:szCs w:val="24"/>
        </w:rPr>
        <w:t>年远景目标纲</w:t>
      </w:r>
      <w:r>
        <w:rPr>
          <w:rFonts w:cs="Times New Roman"/>
          <w:kern w:val="0"/>
          <w:sz w:val="24"/>
          <w:szCs w:val="24"/>
        </w:rPr>
        <w:t>要》、《新疆生态环境保护</w:t>
      </w:r>
      <w:r>
        <w:rPr>
          <w:rFonts w:cs="Times New Roman"/>
          <w:kern w:val="0"/>
          <w:sz w:val="24"/>
          <w:szCs w:val="24"/>
        </w:rPr>
        <w:t>“</w:t>
      </w:r>
      <w:r>
        <w:rPr>
          <w:rFonts w:cs="Times New Roman"/>
          <w:kern w:val="0"/>
          <w:sz w:val="24"/>
          <w:szCs w:val="24"/>
        </w:rPr>
        <w:t>十四五</w:t>
      </w:r>
      <w:r>
        <w:rPr>
          <w:rFonts w:cs="Times New Roman"/>
          <w:kern w:val="0"/>
          <w:sz w:val="24"/>
          <w:szCs w:val="24"/>
        </w:rPr>
        <w:t>”</w:t>
      </w:r>
      <w:r>
        <w:rPr>
          <w:rFonts w:cs="Times New Roman"/>
          <w:kern w:val="0"/>
          <w:sz w:val="24"/>
          <w:szCs w:val="24"/>
        </w:rPr>
        <w:t>规划》、《哈密市生态环境</w:t>
      </w:r>
      <w:r>
        <w:rPr>
          <w:rFonts w:cs="Times New Roman"/>
          <w:kern w:val="0"/>
          <w:sz w:val="24"/>
          <w:szCs w:val="24"/>
        </w:rPr>
        <w:t>“</w:t>
      </w:r>
      <w:r>
        <w:rPr>
          <w:rFonts w:cs="Times New Roman"/>
          <w:kern w:val="0"/>
          <w:sz w:val="24"/>
          <w:szCs w:val="24"/>
        </w:rPr>
        <w:t>十四五</w:t>
      </w:r>
      <w:r>
        <w:rPr>
          <w:rFonts w:cs="Times New Roman"/>
          <w:kern w:val="0"/>
          <w:sz w:val="24"/>
          <w:szCs w:val="24"/>
        </w:rPr>
        <w:t>”</w:t>
      </w:r>
      <w:r>
        <w:rPr>
          <w:rFonts w:cs="Times New Roman"/>
          <w:kern w:val="0"/>
          <w:sz w:val="24"/>
          <w:szCs w:val="24"/>
        </w:rPr>
        <w:t>规划和</w:t>
      </w:r>
      <w:r>
        <w:rPr>
          <w:rFonts w:cs="Times New Roman"/>
          <w:kern w:val="0"/>
          <w:sz w:val="24"/>
          <w:szCs w:val="24"/>
        </w:rPr>
        <w:t>2035</w:t>
      </w:r>
      <w:r>
        <w:rPr>
          <w:rFonts w:cs="Times New Roman"/>
          <w:kern w:val="0"/>
          <w:sz w:val="24"/>
          <w:szCs w:val="24"/>
        </w:rPr>
        <w:t>年远景目标纲要构建生态环境空间管控体系》、《哈密工业园区总体规划》（</w:t>
      </w:r>
      <w:r>
        <w:rPr>
          <w:rFonts w:cs="Times New Roman"/>
          <w:kern w:val="0"/>
          <w:sz w:val="24"/>
          <w:szCs w:val="24"/>
        </w:rPr>
        <w:t>2019-2035</w:t>
      </w:r>
      <w:r>
        <w:rPr>
          <w:rFonts w:cs="Times New Roman"/>
          <w:kern w:val="0"/>
          <w:sz w:val="24"/>
          <w:szCs w:val="24"/>
        </w:rPr>
        <w:t>）</w:t>
      </w:r>
      <w:r>
        <w:rPr>
          <w:rFonts w:cs="Times New Roman" w:hint="eastAsia"/>
          <w:kern w:val="0"/>
          <w:sz w:val="24"/>
          <w:szCs w:val="24"/>
        </w:rPr>
        <w:t>、《哈密高新区化工产业集中区总体规划（</w:t>
      </w:r>
      <w:r>
        <w:rPr>
          <w:rFonts w:cs="Times New Roman" w:hint="eastAsia"/>
          <w:kern w:val="0"/>
          <w:sz w:val="24"/>
          <w:szCs w:val="24"/>
        </w:rPr>
        <w:t>2023-2035</w:t>
      </w:r>
      <w:r>
        <w:rPr>
          <w:rFonts w:cs="Times New Roman" w:hint="eastAsia"/>
          <w:kern w:val="0"/>
          <w:sz w:val="24"/>
          <w:szCs w:val="24"/>
        </w:rPr>
        <w:t>年）》</w:t>
      </w:r>
      <w:r>
        <w:rPr>
          <w:rFonts w:cs="Times New Roman"/>
          <w:kern w:val="0"/>
          <w:sz w:val="24"/>
          <w:szCs w:val="24"/>
        </w:rPr>
        <w:t>产业布局规划相关要求。</w:t>
      </w:r>
    </w:p>
    <w:p w14:paraId="49ED8B49" w14:textId="77777777" w:rsidR="003E78AB" w:rsidRDefault="00010BF9">
      <w:pPr>
        <w:pStyle w:val="31"/>
        <w:keepNext w:val="0"/>
        <w:keepLines w:val="0"/>
        <w:topLinePunct/>
        <w:spacing w:before="156"/>
        <w:rPr>
          <w:rFonts w:cs="Times New Roman"/>
        </w:rPr>
      </w:pPr>
      <w:r>
        <w:rPr>
          <w:rFonts w:cs="Times New Roman"/>
        </w:rPr>
        <w:t>1.4.3</w:t>
      </w:r>
      <w:r>
        <w:rPr>
          <w:rFonts w:cs="Times New Roman"/>
        </w:rPr>
        <w:t>环境管理要求符合性分析</w:t>
      </w:r>
    </w:p>
    <w:p w14:paraId="39054131"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本项目属于化工项目，经对照，本项目建设符合</w:t>
      </w:r>
      <w:r>
        <w:rPr>
          <w:rFonts w:cs="Times New Roman"/>
          <w:bCs/>
          <w:kern w:val="0"/>
          <w:sz w:val="24"/>
          <w:szCs w:val="24"/>
        </w:rPr>
        <w:t>《关于印发哈密市生态环境分区管控动态更新成果的通知》（</w:t>
      </w:r>
      <w:r>
        <w:rPr>
          <w:rFonts w:cs="Times New Roman"/>
          <w:bCs/>
          <w:kern w:val="0"/>
          <w:sz w:val="24"/>
          <w:szCs w:val="24"/>
        </w:rPr>
        <w:t>2025</w:t>
      </w:r>
      <w:r>
        <w:rPr>
          <w:rFonts w:cs="Times New Roman"/>
          <w:bCs/>
          <w:kern w:val="0"/>
          <w:sz w:val="24"/>
          <w:szCs w:val="24"/>
        </w:rPr>
        <w:t>年</w:t>
      </w:r>
      <w:r>
        <w:rPr>
          <w:rFonts w:cs="Times New Roman"/>
          <w:bCs/>
          <w:kern w:val="0"/>
          <w:sz w:val="24"/>
          <w:szCs w:val="24"/>
        </w:rPr>
        <w:t>1</w:t>
      </w:r>
      <w:r>
        <w:rPr>
          <w:rFonts w:cs="Times New Roman"/>
          <w:bCs/>
          <w:kern w:val="0"/>
          <w:sz w:val="24"/>
          <w:szCs w:val="24"/>
        </w:rPr>
        <w:t>月</w:t>
      </w:r>
      <w:r>
        <w:rPr>
          <w:rFonts w:cs="Times New Roman"/>
          <w:bCs/>
          <w:kern w:val="0"/>
          <w:sz w:val="24"/>
          <w:szCs w:val="24"/>
        </w:rPr>
        <w:t>10</w:t>
      </w:r>
      <w:r>
        <w:rPr>
          <w:rFonts w:cs="Times New Roman"/>
          <w:bCs/>
          <w:kern w:val="0"/>
          <w:sz w:val="24"/>
          <w:szCs w:val="24"/>
        </w:rPr>
        <w:t>日）、</w:t>
      </w:r>
      <w:r>
        <w:rPr>
          <w:rFonts w:cs="Times New Roman"/>
          <w:kern w:val="0"/>
          <w:sz w:val="24"/>
          <w:szCs w:val="24"/>
        </w:rPr>
        <w:t>《新疆维吾尔自治区大气污染防治条例》（新疆维吾尔自治区第十三届人民代表大会常务委员会公告</w:t>
      </w:r>
      <w:r>
        <w:rPr>
          <w:rFonts w:cs="Times New Roman"/>
          <w:kern w:val="0"/>
          <w:sz w:val="24"/>
          <w:szCs w:val="24"/>
        </w:rPr>
        <w:t xml:space="preserve"> </w:t>
      </w:r>
      <w:r>
        <w:rPr>
          <w:rFonts w:cs="Times New Roman"/>
          <w:kern w:val="0"/>
          <w:sz w:val="24"/>
          <w:szCs w:val="24"/>
        </w:rPr>
        <w:t>第</w:t>
      </w:r>
      <w:r>
        <w:rPr>
          <w:rFonts w:cs="Times New Roman"/>
          <w:kern w:val="0"/>
          <w:sz w:val="24"/>
          <w:szCs w:val="24"/>
        </w:rPr>
        <w:t>15</w:t>
      </w:r>
      <w:r>
        <w:rPr>
          <w:rFonts w:cs="Times New Roman"/>
          <w:kern w:val="0"/>
          <w:sz w:val="24"/>
          <w:szCs w:val="24"/>
        </w:rPr>
        <w:t>号）、</w:t>
      </w:r>
      <w:r>
        <w:rPr>
          <w:rFonts w:cs="Times New Roman"/>
          <w:kern w:val="0"/>
          <w:sz w:val="24"/>
          <w:szCs w:val="24"/>
        </w:rPr>
        <w:t>《新疆维吾尔自治区重点行业生态环境准入条件（</w:t>
      </w:r>
      <w:r>
        <w:rPr>
          <w:rFonts w:cs="Times New Roman"/>
          <w:kern w:val="0"/>
          <w:sz w:val="24"/>
          <w:szCs w:val="24"/>
        </w:rPr>
        <w:t>2024</w:t>
      </w:r>
      <w:r>
        <w:rPr>
          <w:rFonts w:cs="Times New Roman"/>
          <w:kern w:val="0"/>
          <w:sz w:val="24"/>
          <w:szCs w:val="24"/>
        </w:rPr>
        <w:t>年）》（新环</w:t>
      </w:r>
      <w:r>
        <w:rPr>
          <w:rFonts w:cs="Times New Roman"/>
          <w:kern w:val="0"/>
          <w:sz w:val="24"/>
          <w:szCs w:val="24"/>
        </w:rPr>
        <w:lastRenderedPageBreak/>
        <w:t>环评发〔</w:t>
      </w:r>
      <w:r>
        <w:rPr>
          <w:rFonts w:cs="Times New Roman"/>
          <w:kern w:val="0"/>
          <w:sz w:val="24"/>
          <w:szCs w:val="24"/>
        </w:rPr>
        <w:t>2024</w:t>
      </w:r>
      <w:r>
        <w:rPr>
          <w:rFonts w:cs="Times New Roman"/>
          <w:kern w:val="0"/>
          <w:sz w:val="24"/>
          <w:szCs w:val="24"/>
        </w:rPr>
        <w:t>〕</w:t>
      </w:r>
      <w:r>
        <w:rPr>
          <w:rFonts w:cs="Times New Roman"/>
          <w:kern w:val="0"/>
          <w:sz w:val="24"/>
          <w:szCs w:val="24"/>
        </w:rPr>
        <w:t>93</w:t>
      </w:r>
      <w:r>
        <w:rPr>
          <w:rFonts w:cs="Times New Roman"/>
          <w:kern w:val="0"/>
          <w:sz w:val="24"/>
          <w:szCs w:val="24"/>
        </w:rPr>
        <w:t>号）、《关于加强高耗能、高排放建设项目生态环境源头防控的指导意见》（环环评</w:t>
      </w:r>
      <w:bookmarkStart w:id="37" w:name="OLE_LINK6"/>
      <w:r>
        <w:rPr>
          <w:rFonts w:cs="Times New Roman"/>
          <w:kern w:val="0"/>
          <w:sz w:val="24"/>
          <w:szCs w:val="24"/>
        </w:rPr>
        <w:t>〔</w:t>
      </w:r>
      <w:r>
        <w:rPr>
          <w:rFonts w:cs="Times New Roman"/>
          <w:kern w:val="0"/>
          <w:sz w:val="24"/>
          <w:szCs w:val="24"/>
        </w:rPr>
        <w:t>2021</w:t>
      </w:r>
      <w:r>
        <w:rPr>
          <w:rFonts w:cs="Times New Roman"/>
          <w:kern w:val="0"/>
          <w:sz w:val="24"/>
          <w:szCs w:val="24"/>
        </w:rPr>
        <w:t>〕</w:t>
      </w:r>
      <w:bookmarkEnd w:id="37"/>
      <w:r>
        <w:rPr>
          <w:rFonts w:cs="Times New Roman"/>
          <w:kern w:val="0"/>
          <w:sz w:val="24"/>
          <w:szCs w:val="24"/>
        </w:rPr>
        <w:t>45</w:t>
      </w:r>
      <w:r>
        <w:rPr>
          <w:rFonts w:cs="Times New Roman"/>
          <w:kern w:val="0"/>
          <w:sz w:val="24"/>
          <w:szCs w:val="24"/>
        </w:rPr>
        <w:t>号）、《关于加强重点行业建设项目区域消减措施监督管理的通知》（环办环评〔</w:t>
      </w:r>
      <w:r>
        <w:rPr>
          <w:rFonts w:cs="Times New Roman"/>
          <w:kern w:val="0"/>
          <w:sz w:val="24"/>
          <w:szCs w:val="24"/>
        </w:rPr>
        <w:t>2020</w:t>
      </w:r>
      <w:r>
        <w:rPr>
          <w:rFonts w:cs="Times New Roman"/>
          <w:kern w:val="0"/>
          <w:sz w:val="24"/>
          <w:szCs w:val="24"/>
        </w:rPr>
        <w:t>〕</w:t>
      </w:r>
      <w:r>
        <w:rPr>
          <w:rFonts w:cs="Times New Roman"/>
          <w:kern w:val="0"/>
          <w:sz w:val="24"/>
          <w:szCs w:val="24"/>
        </w:rPr>
        <w:t>36</w:t>
      </w:r>
      <w:r>
        <w:rPr>
          <w:rFonts w:cs="Times New Roman"/>
          <w:kern w:val="0"/>
          <w:sz w:val="24"/>
          <w:szCs w:val="24"/>
        </w:rPr>
        <w:t>号）等相关环境管理要求。</w:t>
      </w:r>
    </w:p>
    <w:p w14:paraId="19A2CE31" w14:textId="77777777" w:rsidR="003E78AB" w:rsidRDefault="00010BF9">
      <w:pPr>
        <w:pStyle w:val="31"/>
        <w:keepNext w:val="0"/>
        <w:keepLines w:val="0"/>
        <w:topLinePunct/>
        <w:spacing w:before="156"/>
        <w:rPr>
          <w:rFonts w:cs="Times New Roman"/>
        </w:rPr>
      </w:pPr>
      <w:bookmarkStart w:id="38" w:name="_Toc31793"/>
      <w:bookmarkStart w:id="39" w:name="_Toc7459"/>
      <w:bookmarkStart w:id="40" w:name="_Toc425"/>
      <w:r>
        <w:rPr>
          <w:rFonts w:cs="Times New Roman"/>
        </w:rPr>
        <w:t>1.4.4</w:t>
      </w:r>
      <w:r>
        <w:rPr>
          <w:rFonts w:cs="Times New Roman"/>
        </w:rPr>
        <w:t>选址合理性分析</w:t>
      </w:r>
    </w:p>
    <w:p w14:paraId="15CCFC07" w14:textId="77777777" w:rsidR="003E78AB" w:rsidRDefault="00010BF9">
      <w:pPr>
        <w:pStyle w:val="aff2"/>
        <w:topLinePunct/>
        <w:spacing w:line="520" w:lineRule="exact"/>
        <w:ind w:firstLine="480"/>
        <w:rPr>
          <w:rFonts w:cs="Times New Roman"/>
          <w:kern w:val="0"/>
          <w:sz w:val="24"/>
          <w:szCs w:val="24"/>
        </w:rPr>
      </w:pPr>
      <w:bookmarkStart w:id="41" w:name="_Toc231978169"/>
      <w:bookmarkStart w:id="42" w:name="_Toc289863915"/>
      <w:bookmarkStart w:id="43" w:name="_Toc323212403"/>
      <w:bookmarkStart w:id="44" w:name="_Toc288569980"/>
      <w:bookmarkStart w:id="45" w:name="_Toc226883579"/>
      <w:bookmarkStart w:id="46" w:name="_Toc298430023"/>
      <w:bookmarkStart w:id="47" w:name="_Toc250998977"/>
      <w:r>
        <w:rPr>
          <w:rFonts w:cs="Times New Roman"/>
          <w:kern w:val="0"/>
          <w:sz w:val="24"/>
          <w:szCs w:val="24"/>
        </w:rPr>
        <w:t>本项目位于新疆维吾尔自治区哈密市高新技术产业开发区南部循环经济产业园区</w:t>
      </w:r>
      <w:r>
        <w:rPr>
          <w:rFonts w:cs="Times New Roman"/>
          <w:sz w:val="24"/>
        </w:rPr>
        <w:t>中的</w:t>
      </w:r>
      <w:r>
        <w:rPr>
          <w:rFonts w:cs="Times New Roman" w:hint="eastAsia"/>
          <w:sz w:val="24"/>
        </w:rPr>
        <w:t>煤化工产业区</w:t>
      </w:r>
      <w:r>
        <w:rPr>
          <w:rFonts w:cs="Times New Roman"/>
          <w:kern w:val="0"/>
          <w:sz w:val="24"/>
          <w:szCs w:val="24"/>
        </w:rPr>
        <w:t>，</w:t>
      </w:r>
      <w:bookmarkEnd w:id="41"/>
      <w:bookmarkEnd w:id="42"/>
      <w:bookmarkEnd w:id="43"/>
      <w:bookmarkEnd w:id="44"/>
      <w:bookmarkEnd w:id="45"/>
      <w:bookmarkEnd w:id="46"/>
      <w:bookmarkEnd w:id="47"/>
      <w:r>
        <w:rPr>
          <w:rFonts w:cs="Times New Roman"/>
          <w:kern w:val="0"/>
          <w:sz w:val="24"/>
          <w:szCs w:val="24"/>
        </w:rPr>
        <w:t>用地性质为三类工业用地，未占用基本农田、草地等，选址也未选在人口密集点、饮用水水源保护区、重要湿地等敏感区域，</w:t>
      </w:r>
      <w:r>
        <w:rPr>
          <w:rFonts w:cs="Times New Roman"/>
          <w:kern w:val="0"/>
          <w:sz w:val="24"/>
          <w:szCs w:val="24"/>
        </w:rPr>
        <w:t>评价区内无国家法律、法规、行政规章及规划确定或县级以上人民政府批准的饮用水水源地保护区、自然保护区、风景名胜区、历史遗迹、生态功能保护区等需要特殊保护的地区，区域内无特殊自然观赏价值较高的景观，属于非敏感区。</w:t>
      </w:r>
      <w:r>
        <w:rPr>
          <w:rFonts w:cs="Times New Roman" w:hint="eastAsia"/>
          <w:kern w:val="0"/>
          <w:sz w:val="24"/>
          <w:szCs w:val="24"/>
        </w:rPr>
        <w:t>按照</w:t>
      </w:r>
      <w:r>
        <w:rPr>
          <w:rFonts w:cs="Times New Roman"/>
          <w:kern w:val="0"/>
          <w:sz w:val="24"/>
          <w:szCs w:val="24"/>
        </w:rPr>
        <w:t>生态环境部制定的《建设项目环境保护分类管理名录》中关于环境敏感因素的界定原则，经调查本项目选址地区不属于特殊保护地区、社会关注区和特殊地貌景观区，也无重点保护生态品种及濒危生物物种、文物古迹等。</w:t>
      </w:r>
    </w:p>
    <w:p w14:paraId="73ED644B"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项目选址符合《新疆维吾尔自治区重点行业生态环境准入条件（</w:t>
      </w:r>
      <w:r>
        <w:rPr>
          <w:rFonts w:cs="Times New Roman"/>
          <w:kern w:val="0"/>
          <w:sz w:val="24"/>
          <w:szCs w:val="24"/>
        </w:rPr>
        <w:t>2024</w:t>
      </w:r>
      <w:r>
        <w:rPr>
          <w:rFonts w:cs="Times New Roman"/>
          <w:kern w:val="0"/>
          <w:sz w:val="24"/>
          <w:szCs w:val="24"/>
        </w:rPr>
        <w:t>年）》、符合《哈密工业园区产业发展规划（</w:t>
      </w:r>
      <w:r>
        <w:rPr>
          <w:rFonts w:cs="Times New Roman"/>
          <w:kern w:val="0"/>
          <w:sz w:val="24"/>
          <w:szCs w:val="24"/>
        </w:rPr>
        <w:t>2019-2035</w:t>
      </w:r>
      <w:r>
        <w:rPr>
          <w:rFonts w:cs="Times New Roman"/>
          <w:kern w:val="0"/>
          <w:sz w:val="24"/>
          <w:szCs w:val="24"/>
        </w:rPr>
        <w:t>年）》</w:t>
      </w:r>
      <w:r>
        <w:rPr>
          <w:rFonts w:cs="Times New Roman"/>
          <w:kern w:val="0"/>
          <w:sz w:val="24"/>
          <w:szCs w:val="24"/>
        </w:rPr>
        <w:t>及规划环评和审查意见、</w:t>
      </w:r>
      <w:r>
        <w:rPr>
          <w:rFonts w:cs="Times New Roman"/>
          <w:kern w:val="0"/>
          <w:sz w:val="24"/>
          <w:szCs w:val="24"/>
        </w:rPr>
        <w:t>《</w:t>
      </w:r>
      <w:r>
        <w:rPr>
          <w:rFonts w:cs="Times New Roman" w:hint="eastAsia"/>
          <w:kern w:val="0"/>
          <w:sz w:val="24"/>
          <w:szCs w:val="24"/>
        </w:rPr>
        <w:t>哈密高新区化工产业集中区总体规划</w:t>
      </w:r>
      <w:r>
        <w:rPr>
          <w:rFonts w:cs="Times New Roman" w:hint="eastAsia"/>
          <w:kern w:val="0"/>
          <w:sz w:val="24"/>
          <w:szCs w:val="24"/>
        </w:rPr>
        <w:t>2023-2035</w:t>
      </w:r>
      <w:r>
        <w:rPr>
          <w:rFonts w:cs="Times New Roman" w:hint="eastAsia"/>
          <w:kern w:val="0"/>
          <w:sz w:val="24"/>
          <w:szCs w:val="24"/>
        </w:rPr>
        <w:t>年</w:t>
      </w:r>
      <w:r>
        <w:rPr>
          <w:rFonts w:cs="Times New Roman" w:hint="eastAsia"/>
          <w:kern w:val="0"/>
          <w:sz w:val="24"/>
          <w:szCs w:val="24"/>
        </w:rPr>
        <w:t>)</w:t>
      </w:r>
      <w:r>
        <w:rPr>
          <w:rFonts w:cs="Times New Roman"/>
          <w:kern w:val="0"/>
          <w:sz w:val="24"/>
          <w:szCs w:val="24"/>
        </w:rPr>
        <w:t>）》</w:t>
      </w:r>
      <w:r>
        <w:rPr>
          <w:rFonts w:cs="Times New Roman"/>
          <w:kern w:val="0"/>
          <w:sz w:val="24"/>
          <w:szCs w:val="24"/>
        </w:rPr>
        <w:t>及规划环评和审</w:t>
      </w:r>
      <w:r>
        <w:rPr>
          <w:rFonts w:cs="Times New Roman" w:hint="eastAsia"/>
          <w:kern w:val="0"/>
          <w:sz w:val="24"/>
          <w:szCs w:val="24"/>
        </w:rPr>
        <w:t>查意见</w:t>
      </w:r>
      <w:r>
        <w:rPr>
          <w:rFonts w:cs="Times New Roman"/>
          <w:kern w:val="0"/>
          <w:sz w:val="24"/>
          <w:szCs w:val="24"/>
        </w:rPr>
        <w:t>中有关选址的要求。</w:t>
      </w:r>
    </w:p>
    <w:p w14:paraId="752D8395" w14:textId="77777777" w:rsidR="003E78AB" w:rsidRDefault="00010BF9">
      <w:pPr>
        <w:pStyle w:val="24"/>
        <w:keepNext w:val="0"/>
        <w:keepLines w:val="0"/>
        <w:topLinePunct/>
        <w:spacing w:before="156"/>
        <w:rPr>
          <w:rFonts w:cs="Times New Roman"/>
        </w:rPr>
      </w:pPr>
      <w:bookmarkStart w:id="48" w:name="_Toc26615"/>
      <w:r>
        <w:rPr>
          <w:rFonts w:cs="Times New Roman"/>
        </w:rPr>
        <w:t>1.</w:t>
      </w:r>
      <w:r>
        <w:rPr>
          <w:rFonts w:cs="Times New Roman" w:hint="eastAsia"/>
        </w:rPr>
        <w:t>5</w:t>
      </w:r>
      <w:r>
        <w:rPr>
          <w:rFonts w:cs="Times New Roman"/>
        </w:rPr>
        <w:t>关注的主要环境问题</w:t>
      </w:r>
      <w:bookmarkEnd w:id="38"/>
      <w:bookmarkEnd w:id="39"/>
      <w:bookmarkEnd w:id="40"/>
      <w:bookmarkEnd w:id="48"/>
    </w:p>
    <w:p w14:paraId="6E1DF286"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根据工程特性及区域环境特征，本项目主要关注的主要环境问题包括以下几个方面：</w:t>
      </w:r>
    </w:p>
    <w:p w14:paraId="0DEDE137"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1</w:t>
      </w:r>
      <w:r>
        <w:rPr>
          <w:rFonts w:cs="Times New Roman"/>
          <w:kern w:val="0"/>
          <w:sz w:val="24"/>
          <w:szCs w:val="24"/>
        </w:rPr>
        <w:t>）本项目属于钒电解液生产项目，</w:t>
      </w:r>
      <w:r>
        <w:rPr>
          <w:rFonts w:cs="Times New Roman"/>
          <w:bCs/>
          <w:kern w:val="0"/>
          <w:sz w:val="24"/>
          <w:szCs w:val="24"/>
        </w:rPr>
        <w:t>营运期主要以大气污染为主</w:t>
      </w:r>
      <w:r>
        <w:rPr>
          <w:rFonts w:cs="Times New Roman"/>
          <w:kern w:val="0"/>
          <w:sz w:val="24"/>
          <w:szCs w:val="24"/>
        </w:rPr>
        <w:t>，特征因子包括颗粒物、硫酸雾等污染物，因此需重点关注项目废气治理措施的技术合理及达标排放可行性。</w:t>
      </w:r>
    </w:p>
    <w:p w14:paraId="79E5A90F"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2</w:t>
      </w:r>
      <w:r>
        <w:rPr>
          <w:rFonts w:cs="Times New Roman"/>
          <w:kern w:val="0"/>
          <w:sz w:val="24"/>
          <w:szCs w:val="24"/>
        </w:rPr>
        <w:t>）在防治污染可行性论证阶段，重点关注项目拟采取的污染防治措施是否满足污染物的治理要求，做到达标排放，分析</w:t>
      </w:r>
      <w:r>
        <w:rPr>
          <w:rFonts w:cs="Times New Roman"/>
          <w:kern w:val="0"/>
          <w:sz w:val="24"/>
          <w:szCs w:val="24"/>
        </w:rPr>
        <w:t>经济、技术方面可行性。本项目固废产出种类较多，重点关注运营期固体废物产生种类、收集、暂存和处置措施可</w:t>
      </w:r>
      <w:r>
        <w:rPr>
          <w:rFonts w:cs="Times New Roman"/>
          <w:kern w:val="0"/>
          <w:sz w:val="24"/>
          <w:szCs w:val="24"/>
        </w:rPr>
        <w:lastRenderedPageBreak/>
        <w:t>行性分析，对全过程提出相应的环境管理处置要求。</w:t>
      </w:r>
    </w:p>
    <w:p w14:paraId="7A93997C"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3</w:t>
      </w:r>
      <w:r>
        <w:rPr>
          <w:rFonts w:cs="Times New Roman"/>
          <w:kern w:val="0"/>
          <w:sz w:val="24"/>
          <w:szCs w:val="24"/>
        </w:rPr>
        <w:t>）环境风险方面，结合环境风险保护目标情况，重点关注毒性物质泄露对周边环境和保护目标造成的风险事故影响，给出突发环境事件应急预案编制要求，强化环境风险防范措施，确保项目环境风险可控。</w:t>
      </w:r>
    </w:p>
    <w:p w14:paraId="0B741FC3"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4</w:t>
      </w:r>
      <w:r>
        <w:rPr>
          <w:rFonts w:cs="Times New Roman"/>
          <w:kern w:val="0"/>
          <w:sz w:val="24"/>
          <w:szCs w:val="24"/>
        </w:rPr>
        <w:t>）项目建设完成后对区域环境的影响。</w:t>
      </w:r>
    </w:p>
    <w:p w14:paraId="00F33D1B" w14:textId="77777777" w:rsidR="003E78AB" w:rsidRDefault="00010BF9">
      <w:pPr>
        <w:pStyle w:val="24"/>
        <w:keepNext w:val="0"/>
        <w:keepLines w:val="0"/>
        <w:topLinePunct/>
        <w:spacing w:before="156"/>
        <w:rPr>
          <w:rFonts w:cs="Times New Roman"/>
        </w:rPr>
      </w:pPr>
      <w:bookmarkStart w:id="49" w:name="_Toc31804"/>
      <w:bookmarkStart w:id="50" w:name="_Toc4005"/>
      <w:bookmarkStart w:id="51" w:name="_Toc9193"/>
      <w:bookmarkStart w:id="52" w:name="_Toc3859"/>
      <w:r>
        <w:rPr>
          <w:rFonts w:cs="Times New Roman"/>
        </w:rPr>
        <w:t>1.</w:t>
      </w:r>
      <w:r>
        <w:rPr>
          <w:rFonts w:cs="Times New Roman" w:hint="eastAsia"/>
        </w:rPr>
        <w:t>6</w:t>
      </w:r>
      <w:r>
        <w:rPr>
          <w:rFonts w:cs="Times New Roman"/>
        </w:rPr>
        <w:t>环境影响报告主要结论</w:t>
      </w:r>
      <w:bookmarkEnd w:id="49"/>
      <w:bookmarkEnd w:id="50"/>
      <w:bookmarkEnd w:id="51"/>
      <w:bookmarkEnd w:id="52"/>
    </w:p>
    <w:p w14:paraId="0E7BF04E" w14:textId="77777777" w:rsidR="003E78AB" w:rsidRDefault="00010BF9">
      <w:pPr>
        <w:pStyle w:val="aff2"/>
        <w:topLinePunct/>
        <w:spacing w:line="520" w:lineRule="exact"/>
        <w:ind w:firstLine="480"/>
        <w:rPr>
          <w:rFonts w:cs="Times New Roman"/>
          <w:kern w:val="0"/>
          <w:sz w:val="24"/>
          <w:szCs w:val="24"/>
        </w:rPr>
      </w:pPr>
      <w:r>
        <w:rPr>
          <w:rFonts w:cs="Times New Roman" w:hint="eastAsia"/>
          <w:kern w:val="0"/>
          <w:sz w:val="24"/>
          <w:szCs w:val="24"/>
        </w:rPr>
        <w:t>星辰新能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kern w:val="0"/>
          <w:sz w:val="24"/>
          <w:szCs w:val="24"/>
        </w:rPr>
        <w:t>高活性全钒液流电池电解液生产项目（一期）属于《产业结构调整指导目录（</w:t>
      </w:r>
      <w:r>
        <w:rPr>
          <w:rFonts w:cs="Times New Roman"/>
          <w:kern w:val="0"/>
          <w:sz w:val="24"/>
          <w:szCs w:val="24"/>
        </w:rPr>
        <w:t>2024</w:t>
      </w:r>
      <w:r>
        <w:rPr>
          <w:rFonts w:cs="Times New Roman"/>
          <w:kern w:val="0"/>
          <w:sz w:val="24"/>
          <w:szCs w:val="24"/>
        </w:rPr>
        <w:t>年本）</w:t>
      </w:r>
      <w:r>
        <w:rPr>
          <w:rFonts w:cs="Times New Roman"/>
          <w:kern w:val="0"/>
          <w:sz w:val="24"/>
          <w:szCs w:val="24"/>
        </w:rPr>
        <w:t>》中的允许类项目，符合当前国家和地方产业政策及相关规划要求，选址合理；在认真落实本评价提出的各项污染防治措施，强化环境管理、确保环保设施正常稳定运转，主要污染物可达标排放；在采取一系列风险防范措施后，环境风险水平可以接受。从建设单位组织的公众参与调查结果可知，公众对项目建设均无反对意见。综上所述，在落实该环评报告所提出的各项污染防治措施及生态恢复措施，切实落实环保</w:t>
      </w:r>
      <w:r>
        <w:rPr>
          <w:rFonts w:cs="Times New Roman"/>
          <w:kern w:val="0"/>
          <w:sz w:val="24"/>
          <w:szCs w:val="24"/>
        </w:rPr>
        <w:t>“</w:t>
      </w:r>
      <w:r>
        <w:rPr>
          <w:rFonts w:cs="Times New Roman"/>
          <w:kern w:val="0"/>
          <w:sz w:val="24"/>
          <w:szCs w:val="24"/>
        </w:rPr>
        <w:t>三同时</w:t>
      </w:r>
      <w:r>
        <w:rPr>
          <w:rFonts w:cs="Times New Roman"/>
          <w:kern w:val="0"/>
          <w:sz w:val="24"/>
          <w:szCs w:val="24"/>
        </w:rPr>
        <w:t>”</w:t>
      </w:r>
      <w:r>
        <w:rPr>
          <w:rFonts w:cs="Times New Roman"/>
          <w:kern w:val="0"/>
          <w:sz w:val="24"/>
          <w:szCs w:val="24"/>
        </w:rPr>
        <w:t>制度的前提下，从环境保护的角度分析，项目的建设是可行的。</w:t>
      </w:r>
    </w:p>
    <w:p w14:paraId="2047B835" w14:textId="77777777" w:rsidR="003E78AB" w:rsidRDefault="003E78AB">
      <w:pPr>
        <w:pStyle w:val="aff2"/>
        <w:topLinePunct/>
        <w:spacing w:line="520" w:lineRule="exact"/>
        <w:ind w:firstLine="480"/>
        <w:rPr>
          <w:rFonts w:cs="Times New Roman"/>
          <w:kern w:val="0"/>
          <w:sz w:val="24"/>
          <w:szCs w:val="24"/>
        </w:rPr>
        <w:sectPr w:rsidR="003E78AB">
          <w:footerReference w:type="default" r:id="rId17"/>
          <w:pgSz w:w="11906" w:h="16838"/>
          <w:pgMar w:top="1440" w:right="1800" w:bottom="1440" w:left="1800" w:header="851" w:footer="992" w:gutter="0"/>
          <w:pgNumType w:start="1"/>
          <w:cols w:space="425"/>
          <w:docGrid w:type="lines" w:linePitch="312"/>
        </w:sectPr>
      </w:pPr>
    </w:p>
    <w:p w14:paraId="7A7282F2" w14:textId="77777777" w:rsidR="003E78AB" w:rsidRDefault="00010BF9">
      <w:pPr>
        <w:pStyle w:val="10"/>
        <w:keepNext w:val="0"/>
        <w:spacing w:before="156" w:after="156" w:line="520" w:lineRule="exact"/>
        <w:jc w:val="center"/>
        <w:rPr>
          <w:rFonts w:eastAsia="黑体"/>
          <w:bCs/>
          <w:snapToGrid w:val="0"/>
          <w:spacing w:val="2"/>
          <w:kern w:val="44"/>
          <w:sz w:val="35"/>
          <w:szCs w:val="35"/>
        </w:rPr>
      </w:pPr>
      <w:bookmarkStart w:id="53" w:name="_Toc166615890"/>
      <w:bookmarkStart w:id="54" w:name="_Toc14650"/>
      <w:bookmarkStart w:id="55" w:name="_Toc4468"/>
      <w:bookmarkStart w:id="56" w:name="_Toc31226"/>
      <w:r>
        <w:rPr>
          <w:rFonts w:eastAsia="黑体"/>
          <w:bCs/>
          <w:snapToGrid w:val="0"/>
          <w:spacing w:val="2"/>
          <w:kern w:val="44"/>
          <w:sz w:val="35"/>
          <w:szCs w:val="35"/>
        </w:rPr>
        <w:lastRenderedPageBreak/>
        <w:t>第二章</w:t>
      </w:r>
      <w:r>
        <w:rPr>
          <w:rFonts w:eastAsia="黑体"/>
          <w:bCs/>
          <w:snapToGrid w:val="0"/>
          <w:spacing w:val="2"/>
          <w:kern w:val="44"/>
          <w:sz w:val="35"/>
          <w:szCs w:val="35"/>
        </w:rPr>
        <w:t xml:space="preserve">  </w:t>
      </w:r>
      <w:r>
        <w:rPr>
          <w:rFonts w:eastAsia="黑体"/>
          <w:bCs/>
          <w:snapToGrid w:val="0"/>
          <w:spacing w:val="2"/>
          <w:kern w:val="44"/>
          <w:sz w:val="35"/>
          <w:szCs w:val="35"/>
        </w:rPr>
        <w:t>总</w:t>
      </w:r>
      <w:r>
        <w:rPr>
          <w:rFonts w:eastAsia="黑体"/>
          <w:bCs/>
          <w:snapToGrid w:val="0"/>
          <w:spacing w:val="2"/>
          <w:kern w:val="44"/>
          <w:sz w:val="35"/>
          <w:szCs w:val="35"/>
        </w:rPr>
        <w:t xml:space="preserve">  </w:t>
      </w:r>
      <w:r>
        <w:rPr>
          <w:rFonts w:eastAsia="黑体"/>
          <w:bCs/>
          <w:snapToGrid w:val="0"/>
          <w:spacing w:val="2"/>
          <w:kern w:val="44"/>
          <w:sz w:val="35"/>
          <w:szCs w:val="35"/>
        </w:rPr>
        <w:t>则</w:t>
      </w:r>
      <w:bookmarkEnd w:id="53"/>
      <w:bookmarkEnd w:id="54"/>
      <w:bookmarkEnd w:id="55"/>
      <w:bookmarkEnd w:id="56"/>
    </w:p>
    <w:p w14:paraId="161678E0" w14:textId="77777777" w:rsidR="003E78AB" w:rsidRDefault="00010BF9">
      <w:pPr>
        <w:pStyle w:val="24"/>
        <w:keepNext w:val="0"/>
        <w:keepLines w:val="0"/>
        <w:topLinePunct/>
        <w:spacing w:before="156"/>
        <w:rPr>
          <w:rFonts w:cs="Times New Roman"/>
        </w:rPr>
      </w:pPr>
      <w:bookmarkStart w:id="57" w:name="_Toc17865"/>
      <w:bookmarkStart w:id="58" w:name="_Toc12650"/>
      <w:bookmarkStart w:id="59" w:name="_Toc166615891"/>
      <w:bookmarkStart w:id="60" w:name="_Toc1391"/>
      <w:r>
        <w:rPr>
          <w:rFonts w:cs="Times New Roman"/>
        </w:rPr>
        <w:t>2.1</w:t>
      </w:r>
      <w:r>
        <w:rPr>
          <w:rFonts w:cs="Times New Roman"/>
        </w:rPr>
        <w:t>编制依据</w:t>
      </w:r>
      <w:bookmarkStart w:id="61" w:name="_Toc344462256"/>
      <w:bookmarkStart w:id="62" w:name="_Toc172689601"/>
      <w:bookmarkStart w:id="63" w:name="_Toc27050"/>
      <w:bookmarkStart w:id="64" w:name="_Toc170791269"/>
      <w:bookmarkEnd w:id="57"/>
      <w:bookmarkEnd w:id="58"/>
      <w:bookmarkEnd w:id="59"/>
      <w:bookmarkEnd w:id="60"/>
    </w:p>
    <w:p w14:paraId="7727DFB2" w14:textId="77777777" w:rsidR="003E78AB" w:rsidRDefault="00010BF9">
      <w:pPr>
        <w:pStyle w:val="31"/>
        <w:keepNext w:val="0"/>
        <w:keepLines w:val="0"/>
        <w:topLinePunct/>
        <w:spacing w:before="156"/>
        <w:rPr>
          <w:rFonts w:cs="Times New Roman"/>
        </w:rPr>
      </w:pPr>
      <w:bookmarkStart w:id="65" w:name="_Toc19046"/>
      <w:r>
        <w:rPr>
          <w:rFonts w:cs="Times New Roman"/>
        </w:rPr>
        <w:t>2.1.1</w:t>
      </w:r>
      <w:r>
        <w:rPr>
          <w:rFonts w:cs="Times New Roman"/>
        </w:rPr>
        <w:t>国家法律</w:t>
      </w:r>
      <w:bookmarkEnd w:id="61"/>
      <w:bookmarkEnd w:id="62"/>
      <w:bookmarkEnd w:id="63"/>
      <w:bookmarkEnd w:id="64"/>
      <w:bookmarkEnd w:id="65"/>
      <w:r>
        <w:rPr>
          <w:rFonts w:cs="Times New Roman"/>
        </w:rPr>
        <w:t>法规</w:t>
      </w:r>
      <w:r>
        <w:rPr>
          <w:rFonts w:hint="eastAsia"/>
        </w:rPr>
        <w:t>及规范性文件</w:t>
      </w:r>
    </w:p>
    <w:p w14:paraId="4FBDA3F4" w14:textId="77777777" w:rsidR="003E78AB" w:rsidRDefault="00010BF9">
      <w:pPr>
        <w:numPr>
          <w:ilvl w:val="0"/>
          <w:numId w:val="21"/>
        </w:numPr>
        <w:ind w:left="0" w:firstLineChars="0" w:firstLine="420"/>
      </w:pPr>
      <w:r>
        <w:t>《中华人民共和国环境保护法》（</w:t>
      </w:r>
      <w:r>
        <w:t>2015</w:t>
      </w:r>
      <w:r>
        <w:t>年</w:t>
      </w:r>
      <w:r>
        <w:t>1</w:t>
      </w:r>
      <w:r>
        <w:t>月</w:t>
      </w:r>
      <w:r>
        <w:t>1</w:t>
      </w:r>
      <w:r>
        <w:t>日）；</w:t>
      </w:r>
    </w:p>
    <w:p w14:paraId="39479DE2" w14:textId="77777777" w:rsidR="003E78AB" w:rsidRDefault="00010BF9">
      <w:pPr>
        <w:numPr>
          <w:ilvl w:val="0"/>
          <w:numId w:val="21"/>
        </w:numPr>
        <w:ind w:left="0" w:firstLineChars="0" w:firstLine="420"/>
      </w:pPr>
      <w:r>
        <w:t>《中华人民共和国环境影响评价法》（</w:t>
      </w:r>
      <w:r>
        <w:t>2018</w:t>
      </w:r>
      <w:r>
        <w:t>年</w:t>
      </w:r>
      <w:r>
        <w:t>12</w:t>
      </w:r>
      <w:r>
        <w:t>月</w:t>
      </w:r>
      <w:r>
        <w:t>29</w:t>
      </w:r>
      <w:r>
        <w:t>日第二次修正）；</w:t>
      </w:r>
    </w:p>
    <w:p w14:paraId="0B80C391" w14:textId="77777777" w:rsidR="003E78AB" w:rsidRDefault="00010BF9">
      <w:pPr>
        <w:numPr>
          <w:ilvl w:val="0"/>
          <w:numId w:val="21"/>
        </w:numPr>
        <w:ind w:left="0" w:firstLineChars="0" w:firstLine="420"/>
      </w:pPr>
      <w:r>
        <w:t>《中华人民共和国大气污染防治法》（</w:t>
      </w:r>
      <w:r>
        <w:t>2018</w:t>
      </w:r>
      <w:r>
        <w:t>年</w:t>
      </w:r>
      <w:r>
        <w:t>10</w:t>
      </w:r>
      <w:r>
        <w:t>月</w:t>
      </w:r>
      <w:r>
        <w:t>26</w:t>
      </w:r>
      <w:r>
        <w:t>日第二次修正）；</w:t>
      </w:r>
    </w:p>
    <w:p w14:paraId="65DB4AB2" w14:textId="77777777" w:rsidR="003E78AB" w:rsidRDefault="00010BF9">
      <w:pPr>
        <w:numPr>
          <w:ilvl w:val="0"/>
          <w:numId w:val="21"/>
        </w:numPr>
        <w:ind w:left="0" w:firstLineChars="0" w:firstLine="420"/>
      </w:pPr>
      <w:r>
        <w:t>《中华人民共和国水污染防治法》（</w:t>
      </w:r>
      <w:r>
        <w:t>2018</w:t>
      </w:r>
      <w:r>
        <w:t>年</w:t>
      </w:r>
      <w:r>
        <w:t>1</w:t>
      </w:r>
      <w:r>
        <w:t>月</w:t>
      </w:r>
      <w:r>
        <w:t>1</w:t>
      </w:r>
      <w:r>
        <w:t>日）；</w:t>
      </w:r>
    </w:p>
    <w:p w14:paraId="28CD7145" w14:textId="77777777" w:rsidR="003E78AB" w:rsidRDefault="00010BF9">
      <w:pPr>
        <w:numPr>
          <w:ilvl w:val="0"/>
          <w:numId w:val="21"/>
        </w:numPr>
        <w:ind w:left="0" w:firstLineChars="0" w:firstLine="420"/>
      </w:pPr>
      <w:r>
        <w:t>《中华人民共和国噪声污染防治法》（</w:t>
      </w:r>
      <w:r>
        <w:t>2021</w:t>
      </w:r>
      <w:r>
        <w:t>年</w:t>
      </w:r>
      <w:r>
        <w:t>12</w:t>
      </w:r>
      <w:r>
        <w:t>月</w:t>
      </w:r>
      <w:r>
        <w:t>24</w:t>
      </w:r>
      <w:r>
        <w:t>日修订）；</w:t>
      </w:r>
    </w:p>
    <w:p w14:paraId="6C7F3F67" w14:textId="77777777" w:rsidR="003E78AB" w:rsidRDefault="00010BF9">
      <w:pPr>
        <w:numPr>
          <w:ilvl w:val="0"/>
          <w:numId w:val="21"/>
        </w:numPr>
        <w:ind w:left="0" w:firstLineChars="0" w:firstLine="420"/>
      </w:pPr>
      <w:r>
        <w:t>《中华人民共和国固体废物污染环境防治法》（</w:t>
      </w:r>
      <w:r>
        <w:t>2020</w:t>
      </w:r>
      <w:r>
        <w:t>年</w:t>
      </w:r>
      <w:r>
        <w:t>4</w:t>
      </w:r>
      <w:r>
        <w:t>月</w:t>
      </w:r>
      <w:r>
        <w:t>29</w:t>
      </w:r>
      <w:r>
        <w:t>日修订）；</w:t>
      </w:r>
    </w:p>
    <w:p w14:paraId="68B03C5D" w14:textId="77777777" w:rsidR="003E78AB" w:rsidRDefault="00010BF9">
      <w:pPr>
        <w:numPr>
          <w:ilvl w:val="0"/>
          <w:numId w:val="21"/>
        </w:numPr>
        <w:ind w:left="0" w:firstLineChars="0" w:firstLine="420"/>
      </w:pPr>
      <w:r>
        <w:t>《中华人民共和国土壤污染防治法》（</w:t>
      </w:r>
      <w:r>
        <w:t>2019</w:t>
      </w:r>
      <w:r>
        <w:t>年</w:t>
      </w:r>
      <w:r>
        <w:t>1</w:t>
      </w:r>
      <w:r>
        <w:t>月</w:t>
      </w:r>
      <w:r>
        <w:t>1</w:t>
      </w:r>
      <w:r>
        <w:t>日）；</w:t>
      </w:r>
      <w:bookmarkStart w:id="66" w:name="_Toc170791270"/>
      <w:bookmarkStart w:id="67" w:name="_Toc344462257"/>
      <w:bookmarkStart w:id="68" w:name="_Toc172689602"/>
      <w:bookmarkStart w:id="69" w:name="_Toc14499"/>
    </w:p>
    <w:p w14:paraId="4C08B5FE" w14:textId="77777777" w:rsidR="003E78AB" w:rsidRDefault="00010BF9">
      <w:pPr>
        <w:numPr>
          <w:ilvl w:val="0"/>
          <w:numId w:val="21"/>
        </w:numPr>
        <w:ind w:left="0" w:firstLineChars="0" w:firstLine="420"/>
      </w:pPr>
      <w:r>
        <w:t>《中华人民共和国清洁生产促进法》（</w:t>
      </w:r>
      <w:r>
        <w:t>2012</w:t>
      </w:r>
      <w:r>
        <w:t>年</w:t>
      </w:r>
      <w:r>
        <w:t>7</w:t>
      </w:r>
      <w:r>
        <w:t>月</w:t>
      </w:r>
      <w:r>
        <w:t>1</w:t>
      </w:r>
      <w:r>
        <w:t>日）；</w:t>
      </w:r>
    </w:p>
    <w:p w14:paraId="053AB4EF" w14:textId="77777777" w:rsidR="003E78AB" w:rsidRDefault="00010BF9">
      <w:pPr>
        <w:numPr>
          <w:ilvl w:val="0"/>
          <w:numId w:val="21"/>
        </w:numPr>
        <w:ind w:left="0" w:firstLineChars="0" w:firstLine="420"/>
      </w:pPr>
      <w:bookmarkStart w:id="70" w:name="_Hlk187431961"/>
      <w:r>
        <w:t>《中华人民共和国循环经济促进法》（</w:t>
      </w:r>
      <w:r>
        <w:t>2018</w:t>
      </w:r>
      <w:r>
        <w:t>年</w:t>
      </w:r>
      <w:r>
        <w:t>10</w:t>
      </w:r>
      <w:r>
        <w:t>月</w:t>
      </w:r>
      <w:r>
        <w:t>26</w:t>
      </w:r>
      <w:r>
        <w:t>日修正）。</w:t>
      </w:r>
    </w:p>
    <w:bookmarkEnd w:id="66"/>
    <w:bookmarkEnd w:id="67"/>
    <w:bookmarkEnd w:id="68"/>
    <w:bookmarkEnd w:id="69"/>
    <w:bookmarkEnd w:id="70"/>
    <w:p w14:paraId="383BD844" w14:textId="77777777" w:rsidR="003E78AB" w:rsidRDefault="00010BF9">
      <w:pPr>
        <w:numPr>
          <w:ilvl w:val="0"/>
          <w:numId w:val="21"/>
        </w:numPr>
        <w:ind w:left="0" w:firstLineChars="0" w:firstLine="420"/>
      </w:pPr>
      <w:r>
        <w:t>《建设项目环境影响评价分类管理名录》（</w:t>
      </w:r>
      <w:r>
        <w:t>2021</w:t>
      </w:r>
      <w:r>
        <w:t>版）；</w:t>
      </w:r>
    </w:p>
    <w:p w14:paraId="6AE47F51" w14:textId="77777777" w:rsidR="003E78AB" w:rsidRDefault="00010BF9">
      <w:pPr>
        <w:numPr>
          <w:ilvl w:val="0"/>
          <w:numId w:val="21"/>
        </w:numPr>
        <w:ind w:left="0" w:firstLineChars="0" w:firstLine="420"/>
      </w:pPr>
      <w:r>
        <w:t>《产业结构调整指导目录（</w:t>
      </w:r>
      <w:r>
        <w:t>2024</w:t>
      </w:r>
      <w:r>
        <w:t>年本）》（</w:t>
      </w:r>
      <w:r>
        <w:t>2024</w:t>
      </w:r>
      <w:r>
        <w:t>年</w:t>
      </w:r>
      <w:r>
        <w:t>2</w:t>
      </w:r>
      <w:r>
        <w:t>月</w:t>
      </w:r>
      <w:r>
        <w:t>1</w:t>
      </w:r>
      <w:r>
        <w:t>日）；</w:t>
      </w:r>
    </w:p>
    <w:p w14:paraId="5AF545BA" w14:textId="77777777" w:rsidR="003E78AB" w:rsidRDefault="00010BF9">
      <w:pPr>
        <w:numPr>
          <w:ilvl w:val="0"/>
          <w:numId w:val="21"/>
        </w:numPr>
        <w:ind w:left="0" w:firstLineChars="0" w:firstLine="420"/>
      </w:pPr>
      <w:r>
        <w:t>《建设项目环境保护管理条例》（</w:t>
      </w:r>
      <w:r>
        <w:t>2017</w:t>
      </w:r>
      <w:r>
        <w:t>年</w:t>
      </w:r>
      <w:r>
        <w:t>10</w:t>
      </w:r>
      <w:r>
        <w:t>月</w:t>
      </w:r>
      <w:r>
        <w:t>1</w:t>
      </w:r>
      <w:r>
        <w:t>日）；</w:t>
      </w:r>
    </w:p>
    <w:p w14:paraId="0E80E1CA" w14:textId="77777777" w:rsidR="003E78AB" w:rsidRDefault="00010BF9">
      <w:pPr>
        <w:numPr>
          <w:ilvl w:val="0"/>
          <w:numId w:val="21"/>
        </w:numPr>
        <w:ind w:left="0" w:firstLineChars="0" w:firstLine="420"/>
      </w:pPr>
      <w:r>
        <w:t>《国家危险废物名录（</w:t>
      </w:r>
      <w:r>
        <w:t>2025</w:t>
      </w:r>
      <w:r>
        <w:t>年版）》（</w:t>
      </w:r>
      <w:r>
        <w:t>2025</w:t>
      </w:r>
      <w:r>
        <w:t>年</w:t>
      </w:r>
      <w:r>
        <w:t>1</w:t>
      </w:r>
      <w:r>
        <w:t>月</w:t>
      </w:r>
      <w:r>
        <w:t>1</w:t>
      </w:r>
      <w:r>
        <w:t>日）；</w:t>
      </w:r>
    </w:p>
    <w:p w14:paraId="0162C779" w14:textId="77777777" w:rsidR="003E78AB" w:rsidRDefault="00010BF9">
      <w:pPr>
        <w:numPr>
          <w:ilvl w:val="0"/>
          <w:numId w:val="21"/>
        </w:numPr>
        <w:ind w:left="0" w:firstLineChars="0" w:firstLine="420"/>
      </w:pPr>
      <w:r>
        <w:t>《环境影响评价公众参与办法》（</w:t>
      </w:r>
      <w:r>
        <w:t>2019</w:t>
      </w:r>
      <w:r>
        <w:t>年</w:t>
      </w:r>
      <w:r>
        <w:t>1</w:t>
      </w:r>
      <w:r>
        <w:t>月</w:t>
      </w:r>
      <w:r>
        <w:t>1</w:t>
      </w:r>
      <w:r>
        <w:t>日）；</w:t>
      </w:r>
    </w:p>
    <w:p w14:paraId="458B0C34" w14:textId="77777777" w:rsidR="003E78AB" w:rsidRDefault="00010BF9">
      <w:pPr>
        <w:numPr>
          <w:ilvl w:val="0"/>
          <w:numId w:val="21"/>
        </w:numPr>
        <w:ind w:left="0" w:firstLineChars="0" w:firstLine="420"/>
      </w:pPr>
      <w:r>
        <w:t>《大气污染防治行动计划》（国发〔</w:t>
      </w:r>
      <w:r>
        <w:t>201</w:t>
      </w:r>
      <w:r>
        <w:t>3</w:t>
      </w:r>
      <w:r>
        <w:t>〕</w:t>
      </w:r>
      <w:r>
        <w:t>37</w:t>
      </w:r>
      <w:r>
        <w:t>号，</w:t>
      </w:r>
      <w:r>
        <w:t>2013</w:t>
      </w:r>
      <w:r>
        <w:t>年</w:t>
      </w:r>
      <w:r>
        <w:t>9</w:t>
      </w:r>
      <w:r>
        <w:t>月</w:t>
      </w:r>
      <w:r>
        <w:t>13</w:t>
      </w:r>
      <w:r>
        <w:t>日）；</w:t>
      </w:r>
    </w:p>
    <w:p w14:paraId="025FF6EB" w14:textId="77777777" w:rsidR="003E78AB" w:rsidRDefault="00010BF9">
      <w:pPr>
        <w:numPr>
          <w:ilvl w:val="0"/>
          <w:numId w:val="21"/>
        </w:numPr>
        <w:ind w:left="0" w:firstLineChars="0" w:firstLine="420"/>
      </w:pPr>
      <w:r>
        <w:t>《土壤污染防治行动计划》（国发〔</w:t>
      </w:r>
      <w:r>
        <w:t>2016</w:t>
      </w:r>
      <w:r>
        <w:t>〕</w:t>
      </w:r>
      <w:r>
        <w:t>31</w:t>
      </w:r>
      <w:r>
        <w:t>号，</w:t>
      </w:r>
      <w:r>
        <w:t>2016</w:t>
      </w:r>
      <w:r>
        <w:t>年</w:t>
      </w:r>
      <w:r>
        <w:t>5</w:t>
      </w:r>
      <w:r>
        <w:t>月</w:t>
      </w:r>
      <w:r>
        <w:t>28</w:t>
      </w:r>
      <w:r>
        <w:t>日）；</w:t>
      </w:r>
    </w:p>
    <w:p w14:paraId="36905403" w14:textId="77777777" w:rsidR="003E78AB" w:rsidRDefault="00010BF9">
      <w:pPr>
        <w:numPr>
          <w:ilvl w:val="0"/>
          <w:numId w:val="21"/>
        </w:numPr>
        <w:ind w:left="0" w:firstLineChars="0" w:firstLine="420"/>
      </w:pPr>
      <w:r>
        <w:t>《水污染防治行动计划》（国发〔</w:t>
      </w:r>
      <w:r>
        <w:t>2015</w:t>
      </w:r>
      <w:r>
        <w:t>〕</w:t>
      </w:r>
      <w:r>
        <w:t>17</w:t>
      </w:r>
      <w:r>
        <w:t>号，</w:t>
      </w:r>
      <w:r>
        <w:t>2015</w:t>
      </w:r>
      <w:r>
        <w:t>年</w:t>
      </w:r>
      <w:r>
        <w:t>4</w:t>
      </w:r>
      <w:r>
        <w:t>月</w:t>
      </w:r>
      <w:r>
        <w:t>16</w:t>
      </w:r>
      <w:r>
        <w:t>日）；</w:t>
      </w:r>
      <w:bookmarkStart w:id="71" w:name="_Toc323919750"/>
      <w:bookmarkStart w:id="72" w:name="_Toc315988400"/>
    </w:p>
    <w:p w14:paraId="59F3CB3C" w14:textId="77777777" w:rsidR="003E78AB" w:rsidRDefault="00010BF9">
      <w:pPr>
        <w:numPr>
          <w:ilvl w:val="0"/>
          <w:numId w:val="21"/>
        </w:numPr>
        <w:ind w:left="0" w:firstLineChars="0" w:firstLine="420"/>
      </w:pPr>
      <w:r>
        <w:t>《危险化学品安全管理条例》（</w:t>
      </w:r>
      <w:r>
        <w:t>2013</w:t>
      </w:r>
      <w:r>
        <w:t>年修订，</w:t>
      </w:r>
      <w:r>
        <w:t>2013</w:t>
      </w:r>
      <w:r>
        <w:t>年</w:t>
      </w:r>
      <w:r>
        <w:t>12</w:t>
      </w:r>
      <w:r>
        <w:t>月</w:t>
      </w:r>
      <w:r>
        <w:t>7</w:t>
      </w:r>
      <w:r>
        <w:t>日）；</w:t>
      </w:r>
    </w:p>
    <w:p w14:paraId="78C8ACF6" w14:textId="77777777" w:rsidR="003E78AB" w:rsidRDefault="00010BF9">
      <w:pPr>
        <w:numPr>
          <w:ilvl w:val="0"/>
          <w:numId w:val="21"/>
        </w:numPr>
        <w:ind w:left="0" w:firstLineChars="0" w:firstLine="420"/>
      </w:pPr>
      <w:r>
        <w:t>《危险废物转移管理办法》（生态环境部、公安部、交通运输部令第</w:t>
      </w:r>
      <w:r>
        <w:t>23</w:t>
      </w:r>
      <w:r>
        <w:t>号，</w:t>
      </w:r>
      <w:r>
        <w:t>2021</w:t>
      </w:r>
      <w:r>
        <w:t>年</w:t>
      </w:r>
      <w:r>
        <w:t>11</w:t>
      </w:r>
      <w:r>
        <w:t>月</w:t>
      </w:r>
      <w:r>
        <w:t>30</w:t>
      </w:r>
      <w:r>
        <w:t>日）；</w:t>
      </w:r>
    </w:p>
    <w:p w14:paraId="45A05659" w14:textId="77777777" w:rsidR="003E78AB" w:rsidRDefault="00010BF9">
      <w:pPr>
        <w:numPr>
          <w:ilvl w:val="0"/>
          <w:numId w:val="21"/>
        </w:numPr>
        <w:ind w:left="0" w:firstLineChars="0" w:firstLine="420"/>
      </w:pPr>
      <w:r>
        <w:t>《重点行业挥发性有机物综合治理方案》（环大气〔</w:t>
      </w:r>
      <w:r>
        <w:t>2019</w:t>
      </w:r>
      <w:r>
        <w:t>〕</w:t>
      </w:r>
      <w:r>
        <w:t>53</w:t>
      </w:r>
      <w:r>
        <w:t>，</w:t>
      </w:r>
      <w:r>
        <w:t>2019</w:t>
      </w:r>
      <w:r>
        <w:t>年</w:t>
      </w:r>
      <w:r>
        <w:t>7</w:t>
      </w:r>
      <w:r>
        <w:t>月</w:t>
      </w:r>
      <w:r>
        <w:t>3</w:t>
      </w:r>
      <w:r>
        <w:t>日）；</w:t>
      </w:r>
    </w:p>
    <w:p w14:paraId="331D6D46" w14:textId="77777777" w:rsidR="003E78AB" w:rsidRDefault="00010BF9">
      <w:pPr>
        <w:numPr>
          <w:ilvl w:val="0"/>
          <w:numId w:val="21"/>
        </w:numPr>
        <w:ind w:left="0" w:firstLineChars="0" w:firstLine="420"/>
      </w:pPr>
      <w:r>
        <w:lastRenderedPageBreak/>
        <w:t>《关于印发〈工业炉窑大气污染综合治理方案〉的通知》（环大气〔</w:t>
      </w:r>
      <w:r>
        <w:t>2019</w:t>
      </w:r>
      <w:r>
        <w:t>〕</w:t>
      </w:r>
      <w:r>
        <w:t>56</w:t>
      </w:r>
      <w:r>
        <w:t>号）</w:t>
      </w:r>
      <w:bookmarkStart w:id="73" w:name="_Toc21510"/>
      <w:bookmarkStart w:id="74" w:name="_Toc344462260"/>
      <w:r>
        <w:t>；</w:t>
      </w:r>
    </w:p>
    <w:p w14:paraId="0AF5E136" w14:textId="77777777" w:rsidR="003E78AB" w:rsidRDefault="00010BF9">
      <w:pPr>
        <w:numPr>
          <w:ilvl w:val="0"/>
          <w:numId w:val="21"/>
        </w:numPr>
        <w:ind w:left="0" w:firstLineChars="0" w:firstLine="420"/>
      </w:pPr>
      <w:r>
        <w:t>《关于加强化工企业等重点排污单位特征污染物监测工作的通知》</w:t>
      </w:r>
      <w:r>
        <w:rPr>
          <w:rFonts w:hint="eastAsia"/>
        </w:rPr>
        <w:t>（</w:t>
      </w:r>
      <w:r>
        <w:t>环办监测函〔</w:t>
      </w:r>
      <w:r>
        <w:t>2016</w:t>
      </w:r>
      <w:r>
        <w:t>〕</w:t>
      </w:r>
      <w:r>
        <w:t>1686</w:t>
      </w:r>
      <w:r>
        <w:t>号</w:t>
      </w:r>
      <w:r>
        <w:rPr>
          <w:rFonts w:hint="eastAsia"/>
        </w:rPr>
        <w:t>）</w:t>
      </w:r>
      <w:r>
        <w:t>；</w:t>
      </w:r>
    </w:p>
    <w:p w14:paraId="15CD92BC" w14:textId="77777777" w:rsidR="003E78AB" w:rsidRDefault="00010BF9">
      <w:pPr>
        <w:numPr>
          <w:ilvl w:val="0"/>
          <w:numId w:val="21"/>
        </w:numPr>
        <w:ind w:left="0" w:firstLineChars="0" w:firstLine="420"/>
      </w:pPr>
      <w:bookmarkStart w:id="75" w:name="_Hlk187432537"/>
      <w:r>
        <w:t>《关于发布</w:t>
      </w:r>
      <w:r>
        <w:t>&lt;</w:t>
      </w:r>
      <w:r>
        <w:t>工业企业污染治理设施污染物去除协同控制温室气体核算技术指南（试行）</w:t>
      </w:r>
      <w:r>
        <w:rPr>
          <w:rFonts w:hint="eastAsia"/>
        </w:rPr>
        <w:t>&gt;</w:t>
      </w:r>
      <w:r>
        <w:t>的通知》</w:t>
      </w:r>
      <w:r>
        <w:rPr>
          <w:rFonts w:hint="eastAsia"/>
        </w:rPr>
        <w:t>（</w:t>
      </w:r>
      <w:r>
        <w:t>环办科技〔</w:t>
      </w:r>
      <w:r>
        <w:t>2017</w:t>
      </w:r>
      <w:r>
        <w:t>〕</w:t>
      </w:r>
      <w:r>
        <w:t>73</w:t>
      </w:r>
      <w:r>
        <w:t>号</w:t>
      </w:r>
      <w:r>
        <w:rPr>
          <w:rFonts w:hint="eastAsia"/>
        </w:rPr>
        <w:t>）</w:t>
      </w:r>
      <w:r>
        <w:t>；</w:t>
      </w:r>
    </w:p>
    <w:p w14:paraId="0A830008" w14:textId="77777777" w:rsidR="003E78AB" w:rsidRDefault="00010BF9">
      <w:pPr>
        <w:numPr>
          <w:ilvl w:val="0"/>
          <w:numId w:val="21"/>
        </w:numPr>
        <w:ind w:left="0" w:firstLineChars="0" w:firstLine="420"/>
      </w:pPr>
      <w:r>
        <w:t>《关于做好环境影响评价制度与排污许可制衔接相关工作的通知》</w:t>
      </w:r>
      <w:r>
        <w:rPr>
          <w:rFonts w:hint="eastAsia"/>
        </w:rPr>
        <w:t>（</w:t>
      </w:r>
      <w:r>
        <w:t>环办环评〔</w:t>
      </w:r>
      <w:r>
        <w:t>2017</w:t>
      </w:r>
      <w:r>
        <w:t>〕</w:t>
      </w:r>
      <w:r>
        <w:t>84</w:t>
      </w:r>
      <w:r>
        <w:t>号</w:t>
      </w:r>
      <w:r>
        <w:rPr>
          <w:rFonts w:hint="eastAsia"/>
        </w:rPr>
        <w:t>）</w:t>
      </w:r>
      <w:r>
        <w:t>；</w:t>
      </w:r>
    </w:p>
    <w:p w14:paraId="5EA4DC31" w14:textId="77777777" w:rsidR="003E78AB" w:rsidRDefault="00010BF9">
      <w:pPr>
        <w:numPr>
          <w:ilvl w:val="0"/>
          <w:numId w:val="21"/>
        </w:numPr>
        <w:ind w:left="0" w:firstLineChars="0" w:firstLine="420"/>
      </w:pPr>
      <w:r>
        <w:t>《生态环境部办公厅关于印发〈环境影响评价与排污许可领域协同推进碳减排工作方案〉的通知》（环办环评函〔</w:t>
      </w:r>
      <w:r>
        <w:t>2021</w:t>
      </w:r>
      <w:r>
        <w:t>〕</w:t>
      </w:r>
      <w:r>
        <w:t>277</w:t>
      </w:r>
      <w:r>
        <w:t>号）；</w:t>
      </w:r>
    </w:p>
    <w:p w14:paraId="75A020DC" w14:textId="77777777" w:rsidR="003E78AB" w:rsidRDefault="00010BF9">
      <w:pPr>
        <w:numPr>
          <w:ilvl w:val="0"/>
          <w:numId w:val="21"/>
        </w:numPr>
        <w:ind w:left="0" w:firstLineChars="0" w:firstLine="420"/>
      </w:pPr>
      <w:r>
        <w:t>《建设项目竣工环境保护验收暂行办法》</w:t>
      </w:r>
      <w:r>
        <w:rPr>
          <w:rFonts w:hint="eastAsia"/>
        </w:rPr>
        <w:t>（</w:t>
      </w:r>
      <w:r>
        <w:t>国环规环评〔</w:t>
      </w:r>
      <w:r>
        <w:t>2017</w:t>
      </w:r>
      <w:r>
        <w:t>〕</w:t>
      </w:r>
      <w:r>
        <w:t>4</w:t>
      </w:r>
      <w:r>
        <w:t>号</w:t>
      </w:r>
      <w:r>
        <w:rPr>
          <w:rFonts w:hint="eastAsia"/>
        </w:rPr>
        <w:t>）</w:t>
      </w:r>
      <w:r>
        <w:t>；</w:t>
      </w:r>
    </w:p>
    <w:p w14:paraId="1B1988B1" w14:textId="77777777" w:rsidR="003E78AB" w:rsidRDefault="00010BF9">
      <w:pPr>
        <w:numPr>
          <w:ilvl w:val="0"/>
          <w:numId w:val="21"/>
        </w:numPr>
        <w:ind w:left="0" w:firstLineChars="0" w:firstLine="420"/>
      </w:pPr>
      <w:r>
        <w:t>《关于强化建设项目环境影响评价事中事后监管的实施意见》</w:t>
      </w:r>
      <w:r>
        <w:rPr>
          <w:rFonts w:hint="eastAsia"/>
        </w:rPr>
        <w:t>（</w:t>
      </w:r>
      <w:r>
        <w:t>环环评〔</w:t>
      </w:r>
      <w:r>
        <w:t>2018</w:t>
      </w:r>
      <w:r>
        <w:t>〕</w:t>
      </w:r>
      <w:r>
        <w:t>11</w:t>
      </w:r>
      <w:r>
        <w:t>号</w:t>
      </w:r>
      <w:r>
        <w:rPr>
          <w:rFonts w:hint="eastAsia"/>
        </w:rPr>
        <w:t>）</w:t>
      </w:r>
      <w:r>
        <w:t>；</w:t>
      </w:r>
    </w:p>
    <w:p w14:paraId="3D9DB003" w14:textId="77777777" w:rsidR="003E78AB" w:rsidRDefault="00010BF9">
      <w:pPr>
        <w:numPr>
          <w:ilvl w:val="0"/>
          <w:numId w:val="21"/>
        </w:numPr>
        <w:ind w:left="0" w:firstLineChars="0" w:firstLine="420"/>
      </w:pPr>
      <w:r>
        <w:t>《关于统筹和加强应对气候变化与生态环境保护相关工作的指导意见》</w:t>
      </w:r>
      <w:r>
        <w:rPr>
          <w:rFonts w:hint="eastAsia"/>
        </w:rPr>
        <w:t>（</w:t>
      </w:r>
      <w:r>
        <w:t>环综合〔</w:t>
      </w:r>
      <w:r>
        <w:t>2021</w:t>
      </w:r>
      <w:r>
        <w:t>〕</w:t>
      </w:r>
      <w:r>
        <w:t>4</w:t>
      </w:r>
      <w:r>
        <w:t>号</w:t>
      </w:r>
      <w:r>
        <w:rPr>
          <w:rFonts w:hint="eastAsia"/>
        </w:rPr>
        <w:t>）</w:t>
      </w:r>
      <w:r>
        <w:t>；</w:t>
      </w:r>
    </w:p>
    <w:p w14:paraId="65764864" w14:textId="77777777" w:rsidR="003E78AB" w:rsidRDefault="00010BF9">
      <w:pPr>
        <w:numPr>
          <w:ilvl w:val="0"/>
          <w:numId w:val="21"/>
        </w:numPr>
        <w:ind w:left="0" w:firstLineChars="0" w:firstLine="420"/>
      </w:pPr>
      <w:r>
        <w:t>《重点行业挥发性有机物削减行动计划》</w:t>
      </w:r>
      <w:r>
        <w:rPr>
          <w:rFonts w:hint="eastAsia"/>
        </w:rPr>
        <w:t>（</w:t>
      </w:r>
      <w:r>
        <w:t>工信部联节〔</w:t>
      </w:r>
      <w:r>
        <w:t>2016</w:t>
      </w:r>
      <w:r>
        <w:t>〕</w:t>
      </w:r>
      <w:r>
        <w:t>217</w:t>
      </w:r>
      <w:r>
        <w:t>号</w:t>
      </w:r>
      <w:r>
        <w:rPr>
          <w:rFonts w:hint="eastAsia"/>
        </w:rPr>
        <w:t>）</w:t>
      </w:r>
      <w:r>
        <w:t>；</w:t>
      </w:r>
    </w:p>
    <w:p w14:paraId="05C4145A" w14:textId="77777777" w:rsidR="003E78AB" w:rsidRDefault="00010BF9">
      <w:pPr>
        <w:numPr>
          <w:ilvl w:val="0"/>
          <w:numId w:val="21"/>
        </w:numPr>
        <w:ind w:left="0" w:firstLineChars="0" w:firstLine="420"/>
      </w:pPr>
      <w:r>
        <w:t>《关于加快解决当前挥发性有机物治理突出问题的通知》</w:t>
      </w:r>
      <w:r>
        <w:rPr>
          <w:rFonts w:hint="eastAsia"/>
        </w:rPr>
        <w:t>（</w:t>
      </w:r>
      <w:r>
        <w:t>环大气〔</w:t>
      </w:r>
      <w:r>
        <w:t>202</w:t>
      </w:r>
      <w:r>
        <w:t>1</w:t>
      </w:r>
      <w:r>
        <w:t>〕</w:t>
      </w:r>
      <w:r>
        <w:t>65</w:t>
      </w:r>
      <w:r>
        <w:t>号</w:t>
      </w:r>
      <w:r>
        <w:rPr>
          <w:rFonts w:hint="eastAsia"/>
        </w:rPr>
        <w:t>）</w:t>
      </w:r>
      <w:r>
        <w:t>；</w:t>
      </w:r>
    </w:p>
    <w:p w14:paraId="4E4D6303" w14:textId="77777777" w:rsidR="003E78AB" w:rsidRDefault="00010BF9">
      <w:pPr>
        <w:numPr>
          <w:ilvl w:val="0"/>
          <w:numId w:val="21"/>
        </w:numPr>
        <w:ind w:left="0" w:firstLineChars="0" w:firstLine="420"/>
      </w:pPr>
      <w:r>
        <w:t>《关于印发〈石化行业挥发性有机物综合整治方案〉的通知》</w:t>
      </w:r>
      <w:r>
        <w:rPr>
          <w:rFonts w:hint="eastAsia"/>
        </w:rPr>
        <w:t>（</w:t>
      </w:r>
      <w:r>
        <w:t>环发〔</w:t>
      </w:r>
      <w:r>
        <w:t>2014</w:t>
      </w:r>
      <w:r>
        <w:t>〕</w:t>
      </w:r>
      <w:r>
        <w:t>177</w:t>
      </w:r>
      <w:r>
        <w:t>号</w:t>
      </w:r>
      <w:r>
        <w:rPr>
          <w:rFonts w:hint="eastAsia"/>
        </w:rPr>
        <w:t>）</w:t>
      </w:r>
      <w:r>
        <w:t>；</w:t>
      </w:r>
    </w:p>
    <w:p w14:paraId="09DC4B47" w14:textId="77777777" w:rsidR="003E78AB" w:rsidRDefault="00010BF9">
      <w:pPr>
        <w:numPr>
          <w:ilvl w:val="0"/>
          <w:numId w:val="21"/>
        </w:numPr>
        <w:ind w:left="0" w:firstLineChars="0" w:firstLine="420"/>
      </w:pPr>
      <w:r>
        <w:t>《关于发布高耗能行业重点领域节能降碳改造升级实施指南（</w:t>
      </w:r>
      <w:r>
        <w:t>2022</w:t>
      </w:r>
      <w:r>
        <w:t>年版）的通知</w:t>
      </w:r>
      <w:r>
        <w:rPr>
          <w:rFonts w:hint="eastAsia"/>
        </w:rPr>
        <w:t>》（</w:t>
      </w:r>
      <w:r>
        <w:t>发改产业〔</w:t>
      </w:r>
      <w:r>
        <w:t>2022</w:t>
      </w:r>
      <w:r>
        <w:t>〕</w:t>
      </w:r>
      <w:r>
        <w:t>200</w:t>
      </w:r>
      <w:r>
        <w:t>号</w:t>
      </w:r>
      <w:r>
        <w:rPr>
          <w:rFonts w:hint="eastAsia"/>
        </w:rPr>
        <w:t>）</w:t>
      </w:r>
      <w:r>
        <w:t>；</w:t>
      </w:r>
    </w:p>
    <w:p w14:paraId="63408675" w14:textId="77777777" w:rsidR="003E78AB" w:rsidRDefault="00010BF9">
      <w:pPr>
        <w:numPr>
          <w:ilvl w:val="0"/>
          <w:numId w:val="21"/>
        </w:numPr>
        <w:ind w:left="0" w:firstLineChars="0" w:firstLine="420"/>
      </w:pPr>
      <w:r>
        <w:t>《挥发性有机物（</w:t>
      </w:r>
      <w:r>
        <w:t>VOCs</w:t>
      </w:r>
      <w:r>
        <w:t>）污染防治技术政策》</w:t>
      </w:r>
      <w:r>
        <w:rPr>
          <w:rFonts w:hint="eastAsia"/>
        </w:rPr>
        <w:t>（</w:t>
      </w:r>
      <w:r>
        <w:t>公告</w:t>
      </w:r>
      <w:r>
        <w:t>2013</w:t>
      </w:r>
      <w:r>
        <w:t>年第</w:t>
      </w:r>
      <w:r>
        <w:t>31</w:t>
      </w:r>
      <w:r>
        <w:t>号</w:t>
      </w:r>
      <w:r>
        <w:rPr>
          <w:rFonts w:hint="eastAsia"/>
        </w:rPr>
        <w:t>）</w:t>
      </w:r>
      <w:r>
        <w:t>；</w:t>
      </w:r>
    </w:p>
    <w:p w14:paraId="3D732207" w14:textId="77777777" w:rsidR="003E78AB" w:rsidRDefault="00010BF9">
      <w:pPr>
        <w:numPr>
          <w:ilvl w:val="0"/>
          <w:numId w:val="21"/>
        </w:numPr>
        <w:ind w:left="0" w:firstLineChars="0" w:firstLine="420"/>
      </w:pPr>
      <w:r>
        <w:t>《关于</w:t>
      </w:r>
      <w:r>
        <w:t>“</w:t>
      </w:r>
      <w:r>
        <w:t>十四五</w:t>
      </w:r>
      <w:r>
        <w:t>”</w:t>
      </w:r>
      <w:r>
        <w:t>推动石化化工行业高质量发展的指导意见》</w:t>
      </w:r>
      <w:r>
        <w:rPr>
          <w:rFonts w:hint="eastAsia"/>
        </w:rPr>
        <w:t>（</w:t>
      </w:r>
      <w:r>
        <w:t>工信部联原〔</w:t>
      </w:r>
      <w:r>
        <w:t>2022</w:t>
      </w:r>
      <w:r>
        <w:t>〕</w:t>
      </w:r>
      <w:r>
        <w:t>34</w:t>
      </w:r>
      <w:r>
        <w:t>号</w:t>
      </w:r>
      <w:r>
        <w:rPr>
          <w:rFonts w:hint="eastAsia"/>
        </w:rPr>
        <w:t>）</w:t>
      </w:r>
      <w:r>
        <w:t>；</w:t>
      </w:r>
    </w:p>
    <w:p w14:paraId="04ED3320" w14:textId="77777777" w:rsidR="003E78AB" w:rsidRDefault="00010BF9">
      <w:pPr>
        <w:numPr>
          <w:ilvl w:val="0"/>
          <w:numId w:val="21"/>
        </w:numPr>
        <w:ind w:left="0" w:firstLineChars="0" w:firstLine="420"/>
      </w:pPr>
      <w:r>
        <w:t>《石化化工重点行业严格能效约束推动节能降碳行动方案（</w:t>
      </w:r>
      <w:r>
        <w:t>2021</w:t>
      </w:r>
      <w:r>
        <w:rPr>
          <w:rFonts w:hint="eastAsia"/>
        </w:rPr>
        <w:t>-</w:t>
      </w:r>
      <w:r>
        <w:t>2025</w:t>
      </w:r>
      <w:r>
        <w:lastRenderedPageBreak/>
        <w:t>年）》；</w:t>
      </w:r>
    </w:p>
    <w:p w14:paraId="1ACEF82B" w14:textId="77777777" w:rsidR="003E78AB" w:rsidRDefault="00010BF9">
      <w:pPr>
        <w:numPr>
          <w:ilvl w:val="0"/>
          <w:numId w:val="21"/>
        </w:numPr>
        <w:ind w:left="0" w:firstLineChars="0" w:firstLine="420"/>
      </w:pPr>
      <w:r>
        <w:t>《关于推进污水资源化利用的指导意见》（发改环资〔</w:t>
      </w:r>
      <w:r>
        <w:t>202</w:t>
      </w:r>
      <w:r>
        <w:t>1</w:t>
      </w:r>
      <w:r>
        <w:t>〕</w:t>
      </w:r>
      <w:r>
        <w:t>13</w:t>
      </w:r>
      <w:r>
        <w:t>号）；</w:t>
      </w:r>
    </w:p>
    <w:p w14:paraId="11133D2D" w14:textId="77777777" w:rsidR="003E78AB" w:rsidRDefault="00010BF9">
      <w:pPr>
        <w:numPr>
          <w:ilvl w:val="0"/>
          <w:numId w:val="21"/>
        </w:numPr>
        <w:ind w:left="0" w:firstLineChars="0" w:firstLine="420"/>
      </w:pPr>
      <w:r>
        <w:t>《国家发展改革委等部门关于严格能效约束推动重点领域节能降碳的若干意见》</w:t>
      </w:r>
      <w:r>
        <w:rPr>
          <w:rFonts w:hint="eastAsia"/>
        </w:rPr>
        <w:t>（</w:t>
      </w:r>
      <w:r>
        <w:t>发改产业〔</w:t>
      </w:r>
      <w:r>
        <w:t>2021</w:t>
      </w:r>
      <w:r>
        <w:t>〕</w:t>
      </w:r>
      <w:r>
        <w:t>1464</w:t>
      </w:r>
      <w:r>
        <w:t>号</w:t>
      </w:r>
      <w:r>
        <w:rPr>
          <w:rFonts w:hint="eastAsia"/>
        </w:rPr>
        <w:t>）</w:t>
      </w:r>
      <w:r>
        <w:t>；</w:t>
      </w:r>
    </w:p>
    <w:p w14:paraId="2A1E99A0" w14:textId="77777777" w:rsidR="003E78AB" w:rsidRDefault="00010BF9">
      <w:pPr>
        <w:numPr>
          <w:ilvl w:val="0"/>
          <w:numId w:val="21"/>
        </w:numPr>
        <w:ind w:left="0" w:firstLineChars="0" w:firstLine="420"/>
      </w:pPr>
      <w:r>
        <w:t>《国务院关于印发〈</w:t>
      </w:r>
      <w:r>
        <w:t>2024-2025</w:t>
      </w:r>
      <w:r>
        <w:t>年节能降碳行动方案〉的通知》</w:t>
      </w:r>
      <w:r>
        <w:rPr>
          <w:rFonts w:hint="eastAsia"/>
        </w:rPr>
        <w:t xml:space="preserve"> </w:t>
      </w:r>
      <w:r>
        <w:rPr>
          <w:rFonts w:hint="eastAsia"/>
        </w:rPr>
        <w:t>（</w:t>
      </w:r>
      <w:r>
        <w:t>国发〔</w:t>
      </w:r>
      <w:r>
        <w:t>2024</w:t>
      </w:r>
      <w:r>
        <w:t>〕</w:t>
      </w:r>
      <w:r>
        <w:t>12</w:t>
      </w:r>
      <w:r>
        <w:t>号；</w:t>
      </w:r>
    </w:p>
    <w:p w14:paraId="72F86464" w14:textId="77777777" w:rsidR="003E78AB" w:rsidRDefault="00010BF9">
      <w:pPr>
        <w:numPr>
          <w:ilvl w:val="0"/>
          <w:numId w:val="21"/>
        </w:numPr>
        <w:ind w:left="0" w:firstLineChars="0" w:firstLine="420"/>
      </w:pPr>
      <w:r>
        <w:t>《关于在南疆四地州深度贫困地区实施</w:t>
      </w:r>
      <w:r>
        <w:rPr>
          <w:rFonts w:hint="eastAsia"/>
        </w:rPr>
        <w:t>&lt;</w:t>
      </w:r>
      <w:r>
        <w:t>环境影响评价技术导则</w:t>
      </w:r>
      <w:r>
        <w:t xml:space="preserve"> </w:t>
      </w:r>
      <w:r>
        <w:t>大气环境（</w:t>
      </w:r>
      <w:r>
        <w:t>HJ2.2-2018</w:t>
      </w:r>
      <w:r>
        <w:t>）</w:t>
      </w:r>
      <w:r>
        <w:rPr>
          <w:rFonts w:hint="eastAsia"/>
        </w:rPr>
        <w:t>&gt;</w:t>
      </w:r>
      <w:r>
        <w:t>差别化政策有关事宜的复函》</w:t>
      </w:r>
      <w:r>
        <w:rPr>
          <w:rFonts w:hint="eastAsia"/>
        </w:rPr>
        <w:t>（</w:t>
      </w:r>
      <w:r>
        <w:t>环办环评函〔</w:t>
      </w:r>
      <w:r>
        <w:t>2019</w:t>
      </w:r>
      <w:r>
        <w:t>〕</w:t>
      </w:r>
      <w:r>
        <w:t>590</w:t>
      </w:r>
      <w:r>
        <w:t>号</w:t>
      </w:r>
      <w:r>
        <w:rPr>
          <w:rFonts w:hint="eastAsia"/>
        </w:rPr>
        <w:t>）</w:t>
      </w:r>
      <w:r>
        <w:t>；</w:t>
      </w:r>
    </w:p>
    <w:p w14:paraId="3E30454B" w14:textId="77777777" w:rsidR="003E78AB" w:rsidRDefault="00010BF9">
      <w:pPr>
        <w:numPr>
          <w:ilvl w:val="0"/>
          <w:numId w:val="21"/>
        </w:numPr>
        <w:ind w:left="0" w:firstLineChars="0" w:firstLine="420"/>
      </w:pPr>
      <w:r>
        <w:t>《关于将巴音郭楞蒙古自治州吐鲁番市哈密市纳入执行</w:t>
      </w:r>
      <w:r>
        <w:rPr>
          <w:rFonts w:hint="eastAsia"/>
        </w:rPr>
        <w:t>&lt;</w:t>
      </w:r>
      <w:r>
        <w:t>环境影响评价技术导则大气环境（</w:t>
      </w:r>
      <w:r>
        <w:t>HJ2.2-2018</w:t>
      </w:r>
      <w:r>
        <w:t>）</w:t>
      </w:r>
      <w:r>
        <w:rPr>
          <w:rFonts w:hint="eastAsia"/>
        </w:rPr>
        <w:t>&gt;</w:t>
      </w:r>
      <w:r>
        <w:t>差别化政策范围的复函》</w:t>
      </w:r>
      <w:r>
        <w:rPr>
          <w:rFonts w:hint="eastAsia"/>
        </w:rPr>
        <w:t>（</w:t>
      </w:r>
      <w:r>
        <w:t>环办环评函〔</w:t>
      </w:r>
      <w:r>
        <w:t>2020</w:t>
      </w:r>
      <w:r>
        <w:t>〕</w:t>
      </w:r>
      <w:r>
        <w:t>341</w:t>
      </w:r>
      <w:r>
        <w:t>号</w:t>
      </w:r>
      <w:r>
        <w:rPr>
          <w:rFonts w:hint="eastAsia"/>
        </w:rPr>
        <w:t>）</w:t>
      </w:r>
      <w:r>
        <w:t>；</w:t>
      </w:r>
    </w:p>
    <w:p w14:paraId="5CDF168D" w14:textId="77777777" w:rsidR="003E78AB" w:rsidRDefault="00010BF9">
      <w:pPr>
        <w:numPr>
          <w:ilvl w:val="0"/>
          <w:numId w:val="21"/>
        </w:numPr>
        <w:ind w:left="0" w:firstLineChars="0" w:firstLine="420"/>
      </w:pPr>
      <w:r>
        <w:t>《关于加强重点行业建设项目区域削减措施监督管理的通知》</w:t>
      </w:r>
      <w:r>
        <w:rPr>
          <w:rFonts w:hint="eastAsia"/>
        </w:rPr>
        <w:t>（</w:t>
      </w:r>
      <w:r>
        <w:t>环办环评〔</w:t>
      </w:r>
      <w:r>
        <w:t>2020</w:t>
      </w:r>
      <w:r>
        <w:t>〕</w:t>
      </w:r>
      <w:r>
        <w:t>36</w:t>
      </w:r>
      <w:r>
        <w:t>号</w:t>
      </w:r>
      <w:r>
        <w:rPr>
          <w:rFonts w:hint="eastAsia"/>
        </w:rPr>
        <w:t>）</w:t>
      </w:r>
      <w:r>
        <w:t>；</w:t>
      </w:r>
    </w:p>
    <w:p w14:paraId="757103EC" w14:textId="77777777" w:rsidR="003E78AB" w:rsidRDefault="00010BF9">
      <w:pPr>
        <w:numPr>
          <w:ilvl w:val="0"/>
          <w:numId w:val="21"/>
        </w:numPr>
        <w:ind w:left="0" w:firstLineChars="0" w:firstLine="420"/>
      </w:pPr>
      <w:bookmarkStart w:id="76" w:name="_Hlk173925162"/>
      <w:r>
        <w:t>《减污降碳协同增效实施方案》</w:t>
      </w:r>
      <w:r>
        <w:rPr>
          <w:rFonts w:hint="eastAsia"/>
        </w:rPr>
        <w:t>（</w:t>
      </w:r>
      <w:r>
        <w:t>环综合〔</w:t>
      </w:r>
      <w:r>
        <w:t>2022</w:t>
      </w:r>
      <w:r>
        <w:t>〕</w:t>
      </w:r>
      <w:r>
        <w:t>42</w:t>
      </w:r>
      <w:r>
        <w:t>号</w:t>
      </w:r>
      <w:r>
        <w:rPr>
          <w:rFonts w:hint="eastAsia"/>
        </w:rPr>
        <w:t>）</w:t>
      </w:r>
      <w:r>
        <w:t>；</w:t>
      </w:r>
      <w:bookmarkEnd w:id="76"/>
    </w:p>
    <w:p w14:paraId="0BB079BC" w14:textId="77777777" w:rsidR="003E78AB" w:rsidRDefault="00010BF9">
      <w:pPr>
        <w:numPr>
          <w:ilvl w:val="0"/>
          <w:numId w:val="21"/>
        </w:numPr>
        <w:ind w:left="0" w:firstLineChars="0" w:firstLine="420"/>
      </w:pPr>
      <w:r>
        <w:t>《高耗能行业重点领域节能降碳改造升级实施指南（</w:t>
      </w:r>
      <w:r>
        <w:t>2022</w:t>
      </w:r>
      <w:r>
        <w:t>年版）》</w:t>
      </w:r>
      <w:r>
        <w:rPr>
          <w:rFonts w:hint="eastAsia"/>
        </w:rPr>
        <w:t>（</w:t>
      </w:r>
      <w:r>
        <w:t>发改产业〔</w:t>
      </w:r>
      <w:r>
        <w:t>2022</w:t>
      </w:r>
      <w:r>
        <w:t>〕</w:t>
      </w:r>
      <w:r>
        <w:t>200</w:t>
      </w:r>
      <w:r>
        <w:t>号</w:t>
      </w:r>
      <w:r>
        <w:rPr>
          <w:rFonts w:hint="eastAsia"/>
        </w:rPr>
        <w:t>）</w:t>
      </w:r>
      <w:r>
        <w:t>；</w:t>
      </w:r>
    </w:p>
    <w:p w14:paraId="0C3AE4A9" w14:textId="77777777" w:rsidR="003E78AB" w:rsidRDefault="00010BF9">
      <w:pPr>
        <w:numPr>
          <w:ilvl w:val="0"/>
          <w:numId w:val="21"/>
        </w:numPr>
        <w:ind w:left="0" w:firstLineChars="0" w:firstLine="420"/>
      </w:pPr>
      <w:r>
        <w:t>《危险废物转移管理办法》</w:t>
      </w:r>
      <w:r>
        <w:rPr>
          <w:rFonts w:hint="eastAsia"/>
        </w:rPr>
        <w:t>（</w:t>
      </w:r>
      <w:r>
        <w:t>生态环境部</w:t>
      </w:r>
      <w:r>
        <w:rPr>
          <w:rFonts w:hint="eastAsia"/>
        </w:rPr>
        <w:t>2021</w:t>
      </w:r>
      <w:r>
        <w:rPr>
          <w:rFonts w:hint="eastAsia"/>
        </w:rPr>
        <w:t>年</w:t>
      </w:r>
      <w:r>
        <w:t>部令第</w:t>
      </w:r>
      <w:r>
        <w:t>23</w:t>
      </w:r>
      <w:r>
        <w:t>号</w:t>
      </w:r>
      <w:r>
        <w:rPr>
          <w:rFonts w:hint="eastAsia"/>
        </w:rPr>
        <w:t>）</w:t>
      </w:r>
      <w:r>
        <w:t>；</w:t>
      </w:r>
    </w:p>
    <w:p w14:paraId="4A62E62F" w14:textId="77777777" w:rsidR="003E78AB" w:rsidRDefault="00010BF9">
      <w:pPr>
        <w:numPr>
          <w:ilvl w:val="0"/>
          <w:numId w:val="21"/>
        </w:numPr>
        <w:ind w:left="0" w:firstLineChars="0" w:firstLine="420"/>
      </w:pPr>
      <w:r>
        <w:t>《关于进一步完善建设项目环境保护</w:t>
      </w:r>
      <w:r>
        <w:t>“</w:t>
      </w:r>
      <w:r>
        <w:t>三同时</w:t>
      </w:r>
      <w:r>
        <w:t>”</w:t>
      </w:r>
      <w:r>
        <w:t>及竣工环境保护自主验收监管工作机制的意见》</w:t>
      </w:r>
      <w:r>
        <w:rPr>
          <w:rFonts w:hint="eastAsia"/>
        </w:rPr>
        <w:t>（</w:t>
      </w:r>
      <w:r>
        <w:t>环执法〔</w:t>
      </w:r>
      <w:r>
        <w:t>2021</w:t>
      </w:r>
      <w:r>
        <w:t>〕</w:t>
      </w:r>
      <w:r>
        <w:t>70</w:t>
      </w:r>
      <w:r>
        <w:t>号</w:t>
      </w:r>
      <w:r>
        <w:rPr>
          <w:rFonts w:hint="eastAsia"/>
        </w:rPr>
        <w:t>）</w:t>
      </w:r>
      <w:r>
        <w:t>；</w:t>
      </w:r>
    </w:p>
    <w:p w14:paraId="4F257B28" w14:textId="77777777" w:rsidR="003E78AB" w:rsidRDefault="00010BF9">
      <w:pPr>
        <w:numPr>
          <w:ilvl w:val="0"/>
          <w:numId w:val="21"/>
        </w:numPr>
        <w:ind w:left="0" w:firstLineChars="0" w:firstLine="420"/>
        <w:rPr>
          <w:bCs/>
        </w:rPr>
      </w:pPr>
      <w:r>
        <w:rPr>
          <w:bCs/>
        </w:rPr>
        <w:t>《全国水土保持规划国家级水土流失重点预防区和重点治理区复核划分成果》（办水保〔</w:t>
      </w:r>
      <w:r>
        <w:rPr>
          <w:bCs/>
        </w:rPr>
        <w:t>20</w:t>
      </w:r>
      <w:r>
        <w:rPr>
          <w:rFonts w:hint="eastAsia"/>
          <w:bCs/>
        </w:rPr>
        <w:t>13</w:t>
      </w:r>
      <w:r>
        <w:rPr>
          <w:bCs/>
        </w:rPr>
        <w:t>〕</w:t>
      </w:r>
      <w:r>
        <w:rPr>
          <w:bCs/>
        </w:rPr>
        <w:t>188</w:t>
      </w:r>
      <w:r>
        <w:rPr>
          <w:bCs/>
        </w:rPr>
        <w:t>号）</w:t>
      </w:r>
      <w:r>
        <w:rPr>
          <w:rFonts w:hint="eastAsia"/>
          <w:bCs/>
        </w:rPr>
        <w:t>；</w:t>
      </w:r>
    </w:p>
    <w:p w14:paraId="6BF27E74" w14:textId="77777777" w:rsidR="003E78AB" w:rsidRDefault="00010BF9">
      <w:pPr>
        <w:numPr>
          <w:ilvl w:val="0"/>
          <w:numId w:val="21"/>
        </w:numPr>
        <w:ind w:left="0" w:firstLineChars="0" w:firstLine="420"/>
      </w:pPr>
      <w:r>
        <w:t>《关于加强涉重金属行业污染防控的意见》</w:t>
      </w:r>
      <w:r>
        <w:rPr>
          <w:rFonts w:hint="eastAsia"/>
        </w:rPr>
        <w:t>（</w:t>
      </w:r>
      <w:r>
        <w:t>环土壤〔</w:t>
      </w:r>
      <w:r>
        <w:t>2018</w:t>
      </w:r>
      <w:r>
        <w:t>〕</w:t>
      </w:r>
      <w:r>
        <w:t>22</w:t>
      </w:r>
      <w:r>
        <w:t>号</w:t>
      </w:r>
      <w:r>
        <w:rPr>
          <w:rFonts w:hint="eastAsia"/>
        </w:rPr>
        <w:t>）</w:t>
      </w:r>
      <w:r>
        <w:t>。</w:t>
      </w:r>
    </w:p>
    <w:p w14:paraId="50EA0893" w14:textId="77777777" w:rsidR="003E78AB" w:rsidRDefault="00010BF9">
      <w:pPr>
        <w:pStyle w:val="31"/>
        <w:keepNext w:val="0"/>
        <w:keepLines w:val="0"/>
        <w:topLinePunct/>
        <w:spacing w:before="156"/>
        <w:rPr>
          <w:rFonts w:cs="Times New Roman"/>
        </w:rPr>
      </w:pPr>
      <w:bookmarkStart w:id="77" w:name="_Toc6046"/>
      <w:bookmarkStart w:id="78" w:name="_Toc170791274"/>
      <w:bookmarkStart w:id="79" w:name="_Toc344462261"/>
      <w:bookmarkStart w:id="80" w:name="_Toc30534"/>
      <w:bookmarkStart w:id="81" w:name="_Toc172689606"/>
      <w:bookmarkEnd w:id="73"/>
      <w:bookmarkEnd w:id="74"/>
      <w:bookmarkEnd w:id="75"/>
      <w:r>
        <w:rPr>
          <w:rFonts w:cs="Times New Roman"/>
        </w:rPr>
        <w:t>2.1.3</w:t>
      </w:r>
      <w:r>
        <w:rPr>
          <w:rFonts w:cs="Times New Roman"/>
        </w:rPr>
        <w:t>环境影响评价技术规范</w:t>
      </w:r>
      <w:bookmarkEnd w:id="77"/>
      <w:bookmarkEnd w:id="78"/>
      <w:bookmarkEnd w:id="79"/>
      <w:bookmarkEnd w:id="80"/>
      <w:bookmarkEnd w:id="81"/>
    </w:p>
    <w:p w14:paraId="3D57C08D" w14:textId="77777777" w:rsidR="003E78AB" w:rsidRDefault="00010BF9">
      <w:pPr>
        <w:numPr>
          <w:ilvl w:val="0"/>
          <w:numId w:val="22"/>
        </w:numPr>
        <w:ind w:left="0" w:firstLineChars="0" w:firstLine="420"/>
      </w:pPr>
      <w:r>
        <w:t>《环境影响评价技术导则</w:t>
      </w:r>
      <w:r>
        <w:t xml:space="preserve"> </w:t>
      </w:r>
      <w:r>
        <w:t>总纲》（</w:t>
      </w:r>
      <w:r>
        <w:t>HJ2.1-2016</w:t>
      </w:r>
      <w:r>
        <w:t>）；</w:t>
      </w:r>
    </w:p>
    <w:p w14:paraId="6A82B032" w14:textId="77777777" w:rsidR="003E78AB" w:rsidRDefault="00010BF9">
      <w:pPr>
        <w:numPr>
          <w:ilvl w:val="0"/>
          <w:numId w:val="22"/>
        </w:numPr>
        <w:ind w:left="0" w:firstLineChars="0" w:firstLine="420"/>
      </w:pPr>
      <w:r>
        <w:t>《环境影响评价技术导则</w:t>
      </w:r>
      <w:r>
        <w:t xml:space="preserve"> </w:t>
      </w:r>
      <w:r>
        <w:t>大气环境》（</w:t>
      </w:r>
      <w:r>
        <w:t>HJ2.2-2018</w:t>
      </w:r>
      <w:r>
        <w:t>）；</w:t>
      </w:r>
    </w:p>
    <w:p w14:paraId="32AE593D" w14:textId="77777777" w:rsidR="003E78AB" w:rsidRDefault="00010BF9">
      <w:pPr>
        <w:numPr>
          <w:ilvl w:val="0"/>
          <w:numId w:val="22"/>
        </w:numPr>
        <w:ind w:left="0" w:firstLineChars="0" w:firstLine="420"/>
      </w:pPr>
      <w:r>
        <w:t>《环境影响评价技术导则</w:t>
      </w:r>
      <w:r>
        <w:t xml:space="preserve"> </w:t>
      </w:r>
      <w:r>
        <w:t>地表水环境》（</w:t>
      </w:r>
      <w:r>
        <w:t>HJ2.3-2018</w:t>
      </w:r>
      <w:r>
        <w:t>）；</w:t>
      </w:r>
    </w:p>
    <w:p w14:paraId="65A2424A" w14:textId="77777777" w:rsidR="003E78AB" w:rsidRDefault="00010BF9">
      <w:pPr>
        <w:numPr>
          <w:ilvl w:val="0"/>
          <w:numId w:val="22"/>
        </w:numPr>
        <w:ind w:left="0" w:firstLineChars="0" w:firstLine="420"/>
      </w:pPr>
      <w:r>
        <w:lastRenderedPageBreak/>
        <w:t>《环境影响评价技术导则</w:t>
      </w:r>
      <w:r>
        <w:t xml:space="preserve"> </w:t>
      </w:r>
      <w:r>
        <w:t>地下水环境》（</w:t>
      </w:r>
      <w:r>
        <w:t>HJ610-2016</w:t>
      </w:r>
      <w:r>
        <w:t>）；</w:t>
      </w:r>
    </w:p>
    <w:p w14:paraId="1CD5F584" w14:textId="77777777" w:rsidR="003E78AB" w:rsidRDefault="00010BF9">
      <w:pPr>
        <w:numPr>
          <w:ilvl w:val="0"/>
          <w:numId w:val="22"/>
        </w:numPr>
        <w:ind w:left="0" w:firstLineChars="0" w:firstLine="420"/>
      </w:pPr>
      <w:r>
        <w:t>《环境影响评价技术导则</w:t>
      </w:r>
      <w:r>
        <w:t xml:space="preserve"> </w:t>
      </w:r>
      <w:r>
        <w:t>声环境》（</w:t>
      </w:r>
      <w:r>
        <w:t>HJ2.4-2021</w:t>
      </w:r>
      <w:r>
        <w:t>）；</w:t>
      </w:r>
    </w:p>
    <w:p w14:paraId="57387A41" w14:textId="77777777" w:rsidR="003E78AB" w:rsidRDefault="00010BF9">
      <w:pPr>
        <w:numPr>
          <w:ilvl w:val="0"/>
          <w:numId w:val="22"/>
        </w:numPr>
        <w:ind w:left="0" w:firstLineChars="0" w:firstLine="420"/>
      </w:pPr>
      <w:r>
        <w:t>《环境影响评价技术导则</w:t>
      </w:r>
      <w:r>
        <w:t xml:space="preserve"> </w:t>
      </w:r>
      <w:r>
        <w:t>生态影响》（</w:t>
      </w:r>
      <w:r>
        <w:t>HJ19-2022</w:t>
      </w:r>
      <w:r>
        <w:t>）；</w:t>
      </w:r>
    </w:p>
    <w:p w14:paraId="2CB6FD62" w14:textId="77777777" w:rsidR="003E78AB" w:rsidRDefault="00010BF9">
      <w:pPr>
        <w:numPr>
          <w:ilvl w:val="0"/>
          <w:numId w:val="22"/>
        </w:numPr>
        <w:ind w:left="0" w:firstLineChars="0" w:firstLine="420"/>
      </w:pPr>
      <w:r>
        <w:t>《环境影响评价技术导则</w:t>
      </w:r>
      <w:r>
        <w:t xml:space="preserve"> </w:t>
      </w:r>
      <w:r>
        <w:t>土壤环境（试行）》（</w:t>
      </w:r>
      <w:r>
        <w:t>HJ964-2018</w:t>
      </w:r>
      <w:r>
        <w:t>）；</w:t>
      </w:r>
    </w:p>
    <w:p w14:paraId="0323766A" w14:textId="77777777" w:rsidR="003E78AB" w:rsidRDefault="00010BF9">
      <w:pPr>
        <w:numPr>
          <w:ilvl w:val="0"/>
          <w:numId w:val="22"/>
        </w:numPr>
        <w:ind w:left="0" w:firstLineChars="0" w:firstLine="420"/>
      </w:pPr>
      <w:r>
        <w:t>《建设项目环境风险评价技术导则》（</w:t>
      </w:r>
      <w:r>
        <w:t>HJ169-2018</w:t>
      </w:r>
      <w:r>
        <w:t>）；</w:t>
      </w:r>
    </w:p>
    <w:p w14:paraId="028283DF" w14:textId="77777777" w:rsidR="003E78AB" w:rsidRDefault="00010BF9">
      <w:pPr>
        <w:numPr>
          <w:ilvl w:val="0"/>
          <w:numId w:val="22"/>
        </w:numPr>
        <w:ind w:left="0" w:firstLineChars="0" w:firstLine="420"/>
      </w:pPr>
      <w:r>
        <w:t>《危险化学品重大危险源辨识》（</w:t>
      </w:r>
      <w:r>
        <w:t>GB 18218-2018</w:t>
      </w:r>
      <w:r>
        <w:t>）；</w:t>
      </w:r>
    </w:p>
    <w:p w14:paraId="6409C0CD" w14:textId="77777777" w:rsidR="003E78AB" w:rsidRDefault="00010BF9">
      <w:pPr>
        <w:numPr>
          <w:ilvl w:val="0"/>
          <w:numId w:val="22"/>
        </w:numPr>
        <w:ind w:left="0" w:firstLineChars="0" w:firstLine="420"/>
      </w:pPr>
      <w:r>
        <w:t>《危险废物贮存污染控制标准》（</w:t>
      </w:r>
      <w:r>
        <w:t>GB18597-2023</w:t>
      </w:r>
      <w:r>
        <w:t>）；</w:t>
      </w:r>
    </w:p>
    <w:p w14:paraId="6536718D" w14:textId="77777777" w:rsidR="003E78AB" w:rsidRDefault="00010BF9">
      <w:pPr>
        <w:numPr>
          <w:ilvl w:val="0"/>
          <w:numId w:val="22"/>
        </w:numPr>
        <w:ind w:left="0" w:firstLineChars="0" w:firstLine="420"/>
      </w:pPr>
      <w:r>
        <w:t>《危险废物收集、贮存、运输技术规范》（</w:t>
      </w:r>
      <w:r>
        <w:t>HJ2025-2012</w:t>
      </w:r>
      <w:r>
        <w:t>）；</w:t>
      </w:r>
    </w:p>
    <w:p w14:paraId="74AF14CC" w14:textId="77777777" w:rsidR="003E78AB" w:rsidRDefault="00010BF9">
      <w:pPr>
        <w:numPr>
          <w:ilvl w:val="0"/>
          <w:numId w:val="22"/>
        </w:numPr>
        <w:ind w:left="0" w:firstLineChars="0" w:firstLine="420"/>
      </w:pPr>
      <w:bookmarkStart w:id="82" w:name="_Hlk187433185"/>
      <w:r>
        <w:t>《建设项目危险废物环境影响评价指南》，公告</w:t>
      </w:r>
      <w:r>
        <w:t>2017</w:t>
      </w:r>
      <w:r>
        <w:t>年第</w:t>
      </w:r>
      <w:r>
        <w:t>43</w:t>
      </w:r>
      <w:r>
        <w:t>号，</w:t>
      </w:r>
      <w:r>
        <w:t>2017</w:t>
      </w:r>
      <w:r>
        <w:t>年</w:t>
      </w:r>
      <w:r>
        <w:t>9</w:t>
      </w:r>
      <w:r>
        <w:t>月</w:t>
      </w:r>
      <w:r>
        <w:t>1</w:t>
      </w:r>
      <w:r>
        <w:t>日；</w:t>
      </w:r>
    </w:p>
    <w:p w14:paraId="7BBDC97F" w14:textId="77777777" w:rsidR="003E78AB" w:rsidRDefault="00010BF9">
      <w:pPr>
        <w:numPr>
          <w:ilvl w:val="0"/>
          <w:numId w:val="22"/>
        </w:numPr>
        <w:ind w:left="0" w:firstLineChars="0" w:firstLine="420"/>
      </w:pPr>
      <w:r>
        <w:t>《固体废物分类与代码目录》（</w:t>
      </w:r>
      <w:r>
        <w:t>2024</w:t>
      </w:r>
      <w:r>
        <w:t>年第</w:t>
      </w:r>
      <w:r>
        <w:t>4</w:t>
      </w:r>
      <w:r>
        <w:t>号）；</w:t>
      </w:r>
    </w:p>
    <w:p w14:paraId="3AE802DA" w14:textId="77777777" w:rsidR="003E78AB" w:rsidRDefault="00010BF9">
      <w:pPr>
        <w:numPr>
          <w:ilvl w:val="0"/>
          <w:numId w:val="22"/>
        </w:numPr>
        <w:ind w:left="0" w:firstLineChars="0" w:firstLine="420"/>
      </w:pPr>
      <w:r>
        <w:t>《污染源源强核算技术指南</w:t>
      </w:r>
      <w:r>
        <w:t xml:space="preserve"> </w:t>
      </w:r>
      <w:r>
        <w:t>准则》（</w:t>
      </w:r>
      <w:r>
        <w:t>HJ 884-2018</w:t>
      </w:r>
      <w:r>
        <w:t>）；</w:t>
      </w:r>
    </w:p>
    <w:p w14:paraId="71C22675" w14:textId="77777777" w:rsidR="003E78AB" w:rsidRDefault="00010BF9">
      <w:pPr>
        <w:numPr>
          <w:ilvl w:val="0"/>
          <w:numId w:val="22"/>
        </w:numPr>
        <w:ind w:left="0" w:firstLineChars="0" w:firstLine="420"/>
      </w:pPr>
      <w:bookmarkStart w:id="83" w:name="_Hlk187433205"/>
      <w:bookmarkEnd w:id="82"/>
      <w:r>
        <w:t>《排污许可证申请与核发技术规范</w:t>
      </w:r>
      <w:r>
        <w:t xml:space="preserve"> </w:t>
      </w:r>
      <w:r>
        <w:t>总则》（</w:t>
      </w:r>
      <w:r>
        <w:t>HJ942-2018</w:t>
      </w:r>
      <w:r>
        <w:t>）；</w:t>
      </w:r>
    </w:p>
    <w:p w14:paraId="404A385C" w14:textId="77777777" w:rsidR="003E78AB" w:rsidRDefault="00010BF9">
      <w:pPr>
        <w:numPr>
          <w:ilvl w:val="0"/>
          <w:numId w:val="22"/>
        </w:numPr>
        <w:ind w:left="0" w:firstLineChars="0" w:firstLine="420"/>
      </w:pPr>
      <w:bookmarkStart w:id="84" w:name="_Hlk187433218"/>
      <w:bookmarkEnd w:id="83"/>
      <w:r>
        <w:t>《排污许可证申请与核发技术规范</w:t>
      </w:r>
      <w:r>
        <w:rPr>
          <w:rFonts w:hint="eastAsia"/>
        </w:rPr>
        <w:t xml:space="preserve"> </w:t>
      </w:r>
      <w:r>
        <w:t>专用化学产品制造工业》</w:t>
      </w:r>
      <w:r>
        <w:rPr>
          <w:rFonts w:hint="eastAsia"/>
        </w:rPr>
        <w:t>（</w:t>
      </w:r>
      <w:r>
        <w:t>HJ1103-2020</w:t>
      </w:r>
      <w:r>
        <w:rPr>
          <w:rFonts w:hint="eastAsia"/>
        </w:rPr>
        <w:t>）；</w:t>
      </w:r>
    </w:p>
    <w:p w14:paraId="7A6103F3" w14:textId="77777777" w:rsidR="003E78AB" w:rsidRDefault="00010BF9">
      <w:pPr>
        <w:numPr>
          <w:ilvl w:val="0"/>
          <w:numId w:val="22"/>
        </w:numPr>
        <w:ind w:left="0" w:firstLineChars="0" w:firstLine="420"/>
      </w:pPr>
      <w:r>
        <w:t>《排污单位自行监测技术指南</w:t>
      </w:r>
      <w:r>
        <w:t xml:space="preserve"> </w:t>
      </w:r>
      <w:r>
        <w:t>总则》（</w:t>
      </w:r>
      <w:r>
        <w:t>HJ819-2017</w:t>
      </w:r>
      <w:r>
        <w:t>）；</w:t>
      </w:r>
    </w:p>
    <w:p w14:paraId="76E17C02" w14:textId="77777777" w:rsidR="003E78AB" w:rsidRDefault="00010BF9">
      <w:pPr>
        <w:numPr>
          <w:ilvl w:val="0"/>
          <w:numId w:val="22"/>
        </w:numPr>
        <w:ind w:left="0" w:firstLineChars="0" w:firstLine="420"/>
      </w:pPr>
      <w:r>
        <w:t>《化工建设项目环境保护设计规范》（</w:t>
      </w:r>
      <w:r>
        <w:t>GB50483-2009</w:t>
      </w:r>
      <w:r>
        <w:t>）；</w:t>
      </w:r>
    </w:p>
    <w:p w14:paraId="435F46F2" w14:textId="77777777" w:rsidR="003E78AB" w:rsidRDefault="00010BF9">
      <w:pPr>
        <w:numPr>
          <w:ilvl w:val="0"/>
          <w:numId w:val="22"/>
        </w:numPr>
        <w:ind w:left="0" w:firstLineChars="0" w:firstLine="420"/>
      </w:pPr>
      <w:r>
        <w:t>《化工建设项目环境保护设计标准》（</w:t>
      </w:r>
      <w:r>
        <w:t>GB/T50483-2019</w:t>
      </w:r>
      <w:r>
        <w:t>）；</w:t>
      </w:r>
    </w:p>
    <w:p w14:paraId="3931933F" w14:textId="77777777" w:rsidR="003E78AB" w:rsidRDefault="00010BF9">
      <w:pPr>
        <w:numPr>
          <w:ilvl w:val="0"/>
          <w:numId w:val="22"/>
        </w:numPr>
        <w:ind w:left="0" w:firstLineChars="0" w:firstLine="420"/>
      </w:pPr>
      <w:r>
        <w:t>《石油化工工程防渗技术规范》（</w:t>
      </w:r>
      <w:r>
        <w:t>GB/T50934-2013</w:t>
      </w:r>
      <w:r>
        <w:t>）；</w:t>
      </w:r>
    </w:p>
    <w:p w14:paraId="3DEAAFDA" w14:textId="77777777" w:rsidR="003E78AB" w:rsidRDefault="00010BF9">
      <w:pPr>
        <w:numPr>
          <w:ilvl w:val="0"/>
          <w:numId w:val="22"/>
        </w:numPr>
        <w:ind w:left="0" w:firstLineChars="0" w:firstLine="420"/>
      </w:pPr>
      <w:r>
        <w:t>《储罐区防火堤设计规范》（</w:t>
      </w:r>
      <w:r>
        <w:t>GB50351-2014</w:t>
      </w:r>
      <w:r>
        <w:t>）；</w:t>
      </w:r>
    </w:p>
    <w:p w14:paraId="6F692179" w14:textId="77777777" w:rsidR="003E78AB" w:rsidRDefault="00010BF9">
      <w:pPr>
        <w:numPr>
          <w:ilvl w:val="0"/>
          <w:numId w:val="22"/>
        </w:numPr>
        <w:ind w:left="0" w:firstLineChars="0" w:firstLine="420"/>
      </w:pPr>
      <w:r>
        <w:t>《地下水环境监测技术规范》（</w:t>
      </w:r>
      <w:r>
        <w:t>HJ164-2020</w:t>
      </w:r>
      <w:r>
        <w:t>）；</w:t>
      </w:r>
    </w:p>
    <w:p w14:paraId="2F3612A6" w14:textId="77777777" w:rsidR="003E78AB" w:rsidRDefault="00010BF9">
      <w:pPr>
        <w:numPr>
          <w:ilvl w:val="0"/>
          <w:numId w:val="22"/>
        </w:numPr>
        <w:ind w:left="0" w:firstLineChars="0" w:firstLine="420"/>
      </w:pPr>
      <w:r>
        <w:t>《工业企业土壤和地下水自行监测技术指南（试行）》（</w:t>
      </w:r>
      <w:r>
        <w:t>HJ1209-2021</w:t>
      </w:r>
      <w:r>
        <w:t>）。</w:t>
      </w:r>
    </w:p>
    <w:p w14:paraId="48762F2A" w14:textId="77777777" w:rsidR="003E78AB" w:rsidRDefault="00010BF9">
      <w:pPr>
        <w:pStyle w:val="31"/>
        <w:keepNext w:val="0"/>
        <w:keepLines w:val="0"/>
        <w:topLinePunct/>
        <w:spacing w:before="156"/>
        <w:rPr>
          <w:rFonts w:cs="Times New Roman"/>
          <w:b w:val="0"/>
        </w:rPr>
      </w:pPr>
      <w:bookmarkStart w:id="85" w:name="_Toc344462262"/>
      <w:bookmarkStart w:id="86" w:name="_Toc13052"/>
      <w:bookmarkStart w:id="87" w:name="_Toc11471"/>
      <w:bookmarkEnd w:id="84"/>
      <w:r>
        <w:rPr>
          <w:rFonts w:cs="Times New Roman"/>
          <w:b w:val="0"/>
        </w:rPr>
        <w:t>2.1.2</w:t>
      </w:r>
      <w:r>
        <w:rPr>
          <w:rFonts w:cs="Times New Roman"/>
          <w:b w:val="0"/>
        </w:rPr>
        <w:t>地方性法规和规章</w:t>
      </w:r>
      <w:r>
        <w:rPr>
          <w:rFonts w:hint="eastAsia"/>
          <w:b w:val="0"/>
        </w:rPr>
        <w:t>及规范性文件</w:t>
      </w:r>
    </w:p>
    <w:p w14:paraId="78FC3552" w14:textId="77777777" w:rsidR="003E78AB" w:rsidRDefault="00010BF9">
      <w:pPr>
        <w:numPr>
          <w:ilvl w:val="0"/>
          <w:numId w:val="23"/>
        </w:numPr>
        <w:ind w:left="0" w:firstLineChars="0" w:firstLine="420"/>
      </w:pPr>
      <w:r>
        <w:t>《新疆维吾尔自治区环境保护条例》（</w:t>
      </w:r>
      <w:r>
        <w:t>2018</w:t>
      </w:r>
      <w:r>
        <w:t>年修订）（</w:t>
      </w:r>
      <w:r>
        <w:t>2018</w:t>
      </w:r>
      <w:r>
        <w:t>年</w:t>
      </w:r>
      <w:r>
        <w:t>9</w:t>
      </w:r>
      <w:r>
        <w:t>月</w:t>
      </w:r>
      <w:r>
        <w:t>21</w:t>
      </w:r>
      <w:r>
        <w:t>日）；</w:t>
      </w:r>
    </w:p>
    <w:p w14:paraId="7E968D89" w14:textId="77777777" w:rsidR="003E78AB" w:rsidRDefault="00010BF9">
      <w:pPr>
        <w:numPr>
          <w:ilvl w:val="0"/>
          <w:numId w:val="23"/>
        </w:numPr>
        <w:ind w:left="0" w:firstLineChars="0" w:firstLine="420"/>
      </w:pPr>
      <w:r>
        <w:t>《新疆维吾尔自治区大气污染防治条例》（</w:t>
      </w:r>
      <w:r>
        <w:t>2019</w:t>
      </w:r>
      <w:r>
        <w:t>年</w:t>
      </w:r>
      <w:r>
        <w:t>1</w:t>
      </w:r>
      <w:r>
        <w:t>月</w:t>
      </w:r>
      <w:r>
        <w:t>1</w:t>
      </w:r>
      <w:r>
        <w:t>日）；</w:t>
      </w:r>
    </w:p>
    <w:p w14:paraId="70C0BF9F" w14:textId="77777777" w:rsidR="003E78AB" w:rsidRDefault="00010BF9">
      <w:pPr>
        <w:numPr>
          <w:ilvl w:val="0"/>
          <w:numId w:val="23"/>
        </w:numPr>
        <w:ind w:left="0" w:firstLineChars="0" w:firstLine="420"/>
      </w:pPr>
      <w:r>
        <w:lastRenderedPageBreak/>
        <w:t>《新疆生态环境保护</w:t>
      </w:r>
      <w:r>
        <w:t>“</w:t>
      </w:r>
      <w:r>
        <w:t>十四五</w:t>
      </w:r>
      <w:r>
        <w:t>”</w:t>
      </w:r>
      <w:r>
        <w:t>规划》（</w:t>
      </w:r>
      <w:r>
        <w:t>2021</w:t>
      </w:r>
      <w:r>
        <w:t>年</w:t>
      </w:r>
      <w:r>
        <w:t>12</w:t>
      </w:r>
      <w:r>
        <w:t>月</w:t>
      </w:r>
      <w:r>
        <w:t>24</w:t>
      </w:r>
      <w:r>
        <w:t>日）；</w:t>
      </w:r>
    </w:p>
    <w:p w14:paraId="2D842488" w14:textId="77777777" w:rsidR="003E78AB" w:rsidRDefault="00010BF9">
      <w:pPr>
        <w:numPr>
          <w:ilvl w:val="0"/>
          <w:numId w:val="23"/>
        </w:numPr>
        <w:ind w:left="0" w:firstLineChars="0" w:firstLine="420"/>
      </w:pPr>
      <w:r>
        <w:t>《哈密市生态环境保护</w:t>
      </w:r>
      <w:r>
        <w:t>“</w:t>
      </w:r>
      <w:r>
        <w:t>十四五</w:t>
      </w:r>
      <w:r>
        <w:t>”</w:t>
      </w:r>
      <w:r>
        <w:t>规划》</w:t>
      </w:r>
      <w:r>
        <w:rPr>
          <w:rFonts w:hint="eastAsia"/>
        </w:rPr>
        <w:t>；</w:t>
      </w:r>
    </w:p>
    <w:p w14:paraId="417A534B" w14:textId="77777777" w:rsidR="003E78AB" w:rsidRDefault="00010BF9">
      <w:pPr>
        <w:numPr>
          <w:ilvl w:val="0"/>
          <w:numId w:val="23"/>
        </w:numPr>
        <w:ind w:left="0" w:firstLineChars="0" w:firstLine="420"/>
      </w:pPr>
      <w:r>
        <w:t>《关于印发新疆维吾尔自治区水污染防治工作</w:t>
      </w:r>
      <w:r>
        <w:t>方案的通知》（</w:t>
      </w:r>
      <w:r>
        <w:t>2016</w:t>
      </w:r>
      <w:r>
        <w:t>年</w:t>
      </w:r>
      <w:r>
        <w:t>1</w:t>
      </w:r>
      <w:r>
        <w:t>月</w:t>
      </w:r>
      <w:r>
        <w:t>29</w:t>
      </w:r>
      <w:r>
        <w:t>日）；</w:t>
      </w:r>
    </w:p>
    <w:p w14:paraId="0CDA2E94" w14:textId="77777777" w:rsidR="003E78AB" w:rsidRDefault="00010BF9">
      <w:pPr>
        <w:numPr>
          <w:ilvl w:val="0"/>
          <w:numId w:val="23"/>
        </w:numPr>
        <w:ind w:left="0" w:firstLineChars="0" w:firstLine="420"/>
      </w:pPr>
      <w:r>
        <w:t>《关于印发新疆维吾尔自治区土壤污染防治工作方案的通知》（</w:t>
      </w:r>
      <w:r>
        <w:t>2017</w:t>
      </w:r>
      <w:r>
        <w:t>年</w:t>
      </w:r>
      <w:r>
        <w:t>3</w:t>
      </w:r>
      <w:r>
        <w:t>月</w:t>
      </w:r>
      <w:r>
        <w:t>7</w:t>
      </w:r>
      <w:r>
        <w:t>日）；</w:t>
      </w:r>
    </w:p>
    <w:p w14:paraId="29399E70" w14:textId="77777777" w:rsidR="003E78AB" w:rsidRDefault="00010BF9">
      <w:pPr>
        <w:numPr>
          <w:ilvl w:val="0"/>
          <w:numId w:val="23"/>
        </w:numPr>
        <w:ind w:left="0" w:firstLineChars="0" w:firstLine="420"/>
      </w:pPr>
      <w:r>
        <w:t>《关于全面加强生态环境保护坚决打好污染防治攻坚战实施方案》</w:t>
      </w:r>
      <w:r>
        <w:rPr>
          <w:rFonts w:hint="eastAsia"/>
        </w:rPr>
        <w:t>（</w:t>
      </w:r>
      <w:r>
        <w:t>新党发〔</w:t>
      </w:r>
      <w:r>
        <w:t>2018</w:t>
      </w:r>
      <w:r>
        <w:t>〕</w:t>
      </w:r>
      <w:r>
        <w:t>23</w:t>
      </w:r>
      <w:r>
        <w:t>号</w:t>
      </w:r>
      <w:r>
        <w:rPr>
          <w:rFonts w:hint="eastAsia"/>
        </w:rPr>
        <w:t>）</w:t>
      </w:r>
      <w:r>
        <w:t>；</w:t>
      </w:r>
    </w:p>
    <w:p w14:paraId="227FEAC8" w14:textId="77777777" w:rsidR="003E78AB" w:rsidRDefault="00010BF9">
      <w:pPr>
        <w:numPr>
          <w:ilvl w:val="0"/>
          <w:numId w:val="23"/>
        </w:numPr>
        <w:ind w:left="0" w:firstLineChars="0" w:firstLine="420"/>
      </w:pPr>
      <w:r>
        <w:t>《关于印发新疆自治区级水土流失重点预防区和重点治理区复核划分成果的通知》（新水水保〔</w:t>
      </w:r>
      <w:r>
        <w:t>20</w:t>
      </w:r>
      <w:r>
        <w:rPr>
          <w:rFonts w:hint="eastAsia"/>
        </w:rPr>
        <w:t>19</w:t>
      </w:r>
      <w:r>
        <w:t>〕</w:t>
      </w:r>
      <w:r>
        <w:t>4</w:t>
      </w:r>
      <w:r>
        <w:t>号）</w:t>
      </w:r>
      <w:r>
        <w:rPr>
          <w:rFonts w:hint="eastAsia"/>
        </w:rPr>
        <w:t>；</w:t>
      </w:r>
    </w:p>
    <w:p w14:paraId="205EC80F" w14:textId="77777777" w:rsidR="003E78AB" w:rsidRDefault="00010BF9">
      <w:pPr>
        <w:numPr>
          <w:ilvl w:val="0"/>
          <w:numId w:val="23"/>
        </w:numPr>
        <w:ind w:left="0" w:firstLineChars="0" w:firstLine="420"/>
      </w:pPr>
      <w:r>
        <w:t>《关于印发〈新疆维吾尔自治区新建化工项目准入条件（试行）〉的通知》</w:t>
      </w:r>
      <w:r>
        <w:rPr>
          <w:rFonts w:hint="eastAsia"/>
        </w:rPr>
        <w:t>（</w:t>
      </w:r>
      <w:r>
        <w:t>新工信石化〔</w:t>
      </w:r>
      <w:r>
        <w:t>2021</w:t>
      </w:r>
      <w:r>
        <w:t>〕</w:t>
      </w:r>
      <w:r>
        <w:t>1</w:t>
      </w:r>
      <w:r>
        <w:t>号</w:t>
      </w:r>
      <w:r>
        <w:rPr>
          <w:rFonts w:hint="eastAsia"/>
        </w:rPr>
        <w:t>）</w:t>
      </w:r>
      <w:r>
        <w:t>；</w:t>
      </w:r>
    </w:p>
    <w:p w14:paraId="6F2DB346" w14:textId="77777777" w:rsidR="003E78AB" w:rsidRDefault="00010BF9">
      <w:pPr>
        <w:numPr>
          <w:ilvl w:val="0"/>
          <w:numId w:val="23"/>
        </w:numPr>
        <w:ind w:left="0" w:firstLineChars="0" w:firstLine="420"/>
      </w:pPr>
      <w:r>
        <w:t>《新疆维吾尔自治区七大片区</w:t>
      </w:r>
      <w:r>
        <w:t>“</w:t>
      </w:r>
      <w:r>
        <w:t>三线一单</w:t>
      </w:r>
      <w:r>
        <w:t>”</w:t>
      </w:r>
      <w:r>
        <w:t>生态环境分区管控要求》（</w:t>
      </w:r>
      <w:r>
        <w:t>2021</w:t>
      </w:r>
      <w:r>
        <w:t>年版）（新环环评发〔</w:t>
      </w:r>
      <w:r>
        <w:t>2021</w:t>
      </w:r>
      <w:r>
        <w:t>〕</w:t>
      </w:r>
      <w:r>
        <w:t>162</w:t>
      </w:r>
      <w:r>
        <w:t>号）；</w:t>
      </w:r>
    </w:p>
    <w:p w14:paraId="47437DBD" w14:textId="77777777" w:rsidR="003E78AB" w:rsidRDefault="00010BF9">
      <w:pPr>
        <w:numPr>
          <w:ilvl w:val="0"/>
          <w:numId w:val="23"/>
        </w:numPr>
        <w:ind w:left="0" w:firstLineChars="0" w:firstLine="420"/>
      </w:pPr>
      <w:r>
        <w:t>《关于印发〈自治区生态环境厅落实高耗能</w:t>
      </w:r>
      <w:r>
        <w:t xml:space="preserve"> </w:t>
      </w:r>
      <w:r>
        <w:t>高排放项目生态环境源头防控的措施〉的通知》</w:t>
      </w:r>
      <w:r>
        <w:rPr>
          <w:rFonts w:hint="eastAsia"/>
        </w:rPr>
        <w:t>（</w:t>
      </w:r>
      <w:r>
        <w:t>新环环评发〔</w:t>
      </w:r>
      <w:r>
        <w:t>2021</w:t>
      </w:r>
      <w:r>
        <w:t>〕</w:t>
      </w:r>
      <w:r>
        <w:t>179</w:t>
      </w:r>
      <w:r>
        <w:t>号</w:t>
      </w:r>
      <w:r>
        <w:rPr>
          <w:rFonts w:hint="eastAsia"/>
        </w:rPr>
        <w:t>）；</w:t>
      </w:r>
    </w:p>
    <w:p w14:paraId="033B9880" w14:textId="77777777" w:rsidR="003E78AB" w:rsidRDefault="00010BF9">
      <w:pPr>
        <w:numPr>
          <w:ilvl w:val="0"/>
          <w:numId w:val="23"/>
        </w:numPr>
        <w:ind w:left="0" w:firstLineChars="0" w:firstLine="420"/>
      </w:pPr>
      <w:r>
        <w:rPr>
          <w:rFonts w:hint="eastAsia"/>
        </w:rPr>
        <w:t>《自治区党委自治区人民政府印发</w:t>
      </w:r>
      <w:r>
        <w:rPr>
          <w:rFonts w:hint="eastAsia"/>
        </w:rPr>
        <w:t>&lt;</w:t>
      </w:r>
      <w:r>
        <w:rPr>
          <w:rFonts w:hint="eastAsia"/>
        </w:rPr>
        <w:t>关于深入打好污染防治攻坚战的实施方案</w:t>
      </w:r>
      <w:r>
        <w:rPr>
          <w:rFonts w:hint="eastAsia"/>
        </w:rPr>
        <w:t>&gt;</w:t>
      </w:r>
      <w:r>
        <w:rPr>
          <w:rFonts w:hint="eastAsia"/>
        </w:rPr>
        <w:t>》（新党发〔</w:t>
      </w:r>
      <w:r>
        <w:rPr>
          <w:rFonts w:hint="eastAsia"/>
        </w:rPr>
        <w:t>2022</w:t>
      </w:r>
      <w:r>
        <w:rPr>
          <w:rFonts w:hint="eastAsia"/>
        </w:rPr>
        <w:t>〕</w:t>
      </w:r>
      <w:r>
        <w:rPr>
          <w:rFonts w:hint="eastAsia"/>
        </w:rPr>
        <w:t>14</w:t>
      </w:r>
      <w:r>
        <w:rPr>
          <w:rFonts w:hint="eastAsia"/>
        </w:rPr>
        <w:t>号）；</w:t>
      </w:r>
    </w:p>
    <w:p w14:paraId="20561C00" w14:textId="77777777" w:rsidR="003E78AB" w:rsidRDefault="00010BF9">
      <w:pPr>
        <w:numPr>
          <w:ilvl w:val="0"/>
          <w:numId w:val="23"/>
        </w:numPr>
        <w:ind w:left="0" w:firstLineChars="0" w:firstLine="420"/>
        <w:rPr>
          <w:bCs/>
        </w:rPr>
      </w:pPr>
      <w:r>
        <w:rPr>
          <w:bCs/>
        </w:rPr>
        <w:t>《关于印发新疆维吾尔自治区重金属污染防控工作方案的通知》（新环固体发〔</w:t>
      </w:r>
      <w:r>
        <w:rPr>
          <w:bCs/>
        </w:rPr>
        <w:t>2022</w:t>
      </w:r>
      <w:r>
        <w:rPr>
          <w:bCs/>
        </w:rPr>
        <w:t>〕</w:t>
      </w:r>
      <w:r>
        <w:rPr>
          <w:bCs/>
        </w:rPr>
        <w:t>88</w:t>
      </w:r>
      <w:r>
        <w:rPr>
          <w:bCs/>
        </w:rPr>
        <w:t>号）；</w:t>
      </w:r>
    </w:p>
    <w:p w14:paraId="227CFA01" w14:textId="77777777" w:rsidR="003E78AB" w:rsidRDefault="00010BF9">
      <w:pPr>
        <w:numPr>
          <w:ilvl w:val="0"/>
          <w:numId w:val="23"/>
        </w:numPr>
        <w:ind w:left="0" w:firstLineChars="0" w:firstLine="420"/>
        <w:rPr>
          <w:bCs/>
        </w:rPr>
      </w:pPr>
      <w:r>
        <w:rPr>
          <w:bCs/>
        </w:rPr>
        <w:t>《关于印发〈自治区减污降碳协同增效实施方案〉的通知》</w:t>
      </w:r>
      <w:r>
        <w:rPr>
          <w:rFonts w:hint="eastAsia"/>
          <w:bCs/>
        </w:rPr>
        <w:t>（</w:t>
      </w:r>
      <w:r>
        <w:rPr>
          <w:bCs/>
        </w:rPr>
        <w:t>新环气候发〔</w:t>
      </w:r>
      <w:r>
        <w:rPr>
          <w:bCs/>
        </w:rPr>
        <w:t>2023</w:t>
      </w:r>
      <w:r>
        <w:rPr>
          <w:bCs/>
        </w:rPr>
        <w:t>〕</w:t>
      </w:r>
      <w:r>
        <w:rPr>
          <w:bCs/>
        </w:rPr>
        <w:t>19</w:t>
      </w:r>
      <w:r>
        <w:rPr>
          <w:bCs/>
        </w:rPr>
        <w:t>号</w:t>
      </w:r>
      <w:r>
        <w:rPr>
          <w:rFonts w:hint="eastAsia"/>
          <w:bCs/>
        </w:rPr>
        <w:t>）；</w:t>
      </w:r>
    </w:p>
    <w:p w14:paraId="2F8FC637" w14:textId="77777777" w:rsidR="003E78AB" w:rsidRDefault="00010BF9">
      <w:pPr>
        <w:numPr>
          <w:ilvl w:val="0"/>
          <w:numId w:val="23"/>
        </w:numPr>
        <w:ind w:left="0" w:firstLineChars="0" w:firstLine="420"/>
        <w:rPr>
          <w:bCs/>
        </w:rPr>
      </w:pPr>
      <w:r>
        <w:rPr>
          <w:bCs/>
        </w:rPr>
        <w:t>《自治区发展改革委</w:t>
      </w:r>
      <w:r>
        <w:rPr>
          <w:bCs/>
        </w:rPr>
        <w:t xml:space="preserve"> </w:t>
      </w:r>
      <w:r>
        <w:rPr>
          <w:bCs/>
        </w:rPr>
        <w:t>工业和信息化厅</w:t>
      </w:r>
      <w:r>
        <w:rPr>
          <w:bCs/>
        </w:rPr>
        <w:t xml:space="preserve"> </w:t>
      </w:r>
      <w:r>
        <w:rPr>
          <w:bCs/>
        </w:rPr>
        <w:t>生态环境厅关于印发</w:t>
      </w:r>
      <w:r>
        <w:rPr>
          <w:rFonts w:hint="eastAsia"/>
          <w:bCs/>
        </w:rPr>
        <w:t>&lt;</w:t>
      </w:r>
      <w:r>
        <w:rPr>
          <w:bCs/>
        </w:rPr>
        <w:t>自治区</w:t>
      </w:r>
      <w:r>
        <w:rPr>
          <w:bCs/>
        </w:rPr>
        <w:t>“</w:t>
      </w:r>
      <w:r>
        <w:rPr>
          <w:bCs/>
        </w:rPr>
        <w:t>两高</w:t>
      </w:r>
      <w:r>
        <w:rPr>
          <w:bCs/>
        </w:rPr>
        <w:t>”</w:t>
      </w:r>
      <w:r>
        <w:rPr>
          <w:bCs/>
        </w:rPr>
        <w:t>项目管理目录（</w:t>
      </w:r>
      <w:r>
        <w:rPr>
          <w:bCs/>
        </w:rPr>
        <w:t>2024</w:t>
      </w:r>
      <w:r>
        <w:rPr>
          <w:bCs/>
        </w:rPr>
        <w:t>年版）</w:t>
      </w:r>
      <w:r>
        <w:rPr>
          <w:rFonts w:hint="eastAsia"/>
          <w:bCs/>
        </w:rPr>
        <w:t>&gt;</w:t>
      </w:r>
      <w:r>
        <w:rPr>
          <w:bCs/>
        </w:rPr>
        <w:t>的通知》</w:t>
      </w:r>
      <w:r>
        <w:rPr>
          <w:rFonts w:hint="eastAsia"/>
          <w:bCs/>
        </w:rPr>
        <w:t>（</w:t>
      </w:r>
      <w:r>
        <w:rPr>
          <w:bCs/>
        </w:rPr>
        <w:t>新发改环资〔</w:t>
      </w:r>
      <w:r>
        <w:rPr>
          <w:bCs/>
        </w:rPr>
        <w:t>2024</w:t>
      </w:r>
      <w:r>
        <w:rPr>
          <w:bCs/>
        </w:rPr>
        <w:t>〕</w:t>
      </w:r>
      <w:r>
        <w:rPr>
          <w:bCs/>
        </w:rPr>
        <w:t>635</w:t>
      </w:r>
      <w:r>
        <w:rPr>
          <w:bCs/>
        </w:rPr>
        <w:t>号</w:t>
      </w:r>
      <w:r>
        <w:rPr>
          <w:rFonts w:hint="eastAsia"/>
          <w:bCs/>
        </w:rPr>
        <w:t>）；</w:t>
      </w:r>
    </w:p>
    <w:p w14:paraId="39B3FB41" w14:textId="77777777" w:rsidR="003E78AB" w:rsidRDefault="00010BF9">
      <w:pPr>
        <w:numPr>
          <w:ilvl w:val="0"/>
          <w:numId w:val="23"/>
        </w:numPr>
        <w:ind w:left="0" w:firstLineChars="0" w:firstLine="420"/>
        <w:rPr>
          <w:bCs/>
        </w:rPr>
      </w:pPr>
      <w:r>
        <w:rPr>
          <w:bCs/>
        </w:rPr>
        <w:t>《新疆维吾尔自治区重点行业生态环境准入条件（</w:t>
      </w:r>
      <w:r>
        <w:rPr>
          <w:bCs/>
        </w:rPr>
        <w:t>2024</w:t>
      </w:r>
      <w:r>
        <w:rPr>
          <w:bCs/>
        </w:rPr>
        <w:t>年）》（新环环评发〔</w:t>
      </w:r>
      <w:r>
        <w:rPr>
          <w:bCs/>
        </w:rPr>
        <w:t>2024</w:t>
      </w:r>
      <w:r>
        <w:rPr>
          <w:bCs/>
        </w:rPr>
        <w:t>〕</w:t>
      </w:r>
      <w:r>
        <w:rPr>
          <w:bCs/>
        </w:rPr>
        <w:t>93</w:t>
      </w:r>
      <w:r>
        <w:rPr>
          <w:bCs/>
        </w:rPr>
        <w:t>号）；</w:t>
      </w:r>
    </w:p>
    <w:p w14:paraId="48BACD32" w14:textId="77777777" w:rsidR="003E78AB" w:rsidRDefault="00010BF9">
      <w:pPr>
        <w:numPr>
          <w:ilvl w:val="0"/>
          <w:numId w:val="23"/>
        </w:numPr>
        <w:ind w:left="0" w:firstLineChars="0" w:firstLine="420"/>
        <w:rPr>
          <w:bCs/>
        </w:rPr>
      </w:pPr>
      <w:r>
        <w:rPr>
          <w:bCs/>
        </w:rPr>
        <w:lastRenderedPageBreak/>
        <w:t>《新疆维吾尔自治区生态环境分区管控动态更新成果》（新环环评发〔</w:t>
      </w:r>
      <w:r>
        <w:rPr>
          <w:bCs/>
        </w:rPr>
        <w:t>2024</w:t>
      </w:r>
      <w:r>
        <w:rPr>
          <w:bCs/>
        </w:rPr>
        <w:t>〕</w:t>
      </w:r>
      <w:r>
        <w:rPr>
          <w:bCs/>
        </w:rPr>
        <w:t>157</w:t>
      </w:r>
      <w:r>
        <w:rPr>
          <w:bCs/>
        </w:rPr>
        <w:t>号）；</w:t>
      </w:r>
    </w:p>
    <w:p w14:paraId="415ED62C" w14:textId="77777777" w:rsidR="003E78AB" w:rsidRDefault="00010BF9">
      <w:pPr>
        <w:numPr>
          <w:ilvl w:val="0"/>
          <w:numId w:val="23"/>
        </w:numPr>
        <w:ind w:left="0" w:firstLineChars="0" w:firstLine="420"/>
        <w:rPr>
          <w:b/>
          <w:bCs/>
          <w:u w:val="single"/>
        </w:rPr>
      </w:pPr>
      <w:r>
        <w:rPr>
          <w:bCs/>
        </w:rPr>
        <w:t>《关于印发哈密市生态环境分区管控动态更新成果的通知》（</w:t>
      </w:r>
      <w:r>
        <w:rPr>
          <w:rFonts w:hint="eastAsia"/>
          <w:bCs/>
        </w:rPr>
        <w:t>2025</w:t>
      </w:r>
      <w:r>
        <w:rPr>
          <w:rFonts w:hint="eastAsia"/>
          <w:bCs/>
        </w:rPr>
        <w:t>年</w:t>
      </w:r>
      <w:r>
        <w:rPr>
          <w:rFonts w:hint="eastAsia"/>
          <w:bCs/>
        </w:rPr>
        <w:t>1</w:t>
      </w:r>
      <w:r>
        <w:rPr>
          <w:rFonts w:hint="eastAsia"/>
          <w:bCs/>
        </w:rPr>
        <w:t>月</w:t>
      </w:r>
      <w:r>
        <w:rPr>
          <w:rFonts w:hint="eastAsia"/>
          <w:bCs/>
        </w:rPr>
        <w:t>10</w:t>
      </w:r>
      <w:r>
        <w:rPr>
          <w:rFonts w:hint="eastAsia"/>
          <w:bCs/>
        </w:rPr>
        <w:t>日</w:t>
      </w:r>
      <w:r>
        <w:rPr>
          <w:bCs/>
        </w:rPr>
        <w:t>）；</w:t>
      </w:r>
    </w:p>
    <w:p w14:paraId="6E4B3C1C" w14:textId="77777777" w:rsidR="003E78AB" w:rsidRDefault="00010BF9">
      <w:pPr>
        <w:numPr>
          <w:ilvl w:val="0"/>
          <w:numId w:val="23"/>
        </w:numPr>
        <w:ind w:left="0" w:firstLineChars="0" w:firstLine="420"/>
      </w:pPr>
      <w:r>
        <w:rPr>
          <w:rFonts w:hint="eastAsia"/>
        </w:rPr>
        <w:t>《新疆维吾尔自治区人民政府办公厅</w:t>
      </w:r>
      <w:r>
        <w:rPr>
          <w:rFonts w:hint="eastAsia"/>
        </w:rPr>
        <w:t xml:space="preserve"> </w:t>
      </w:r>
      <w:r>
        <w:rPr>
          <w:rFonts w:hint="eastAsia"/>
        </w:rPr>
        <w:t>新疆生产建设兵团办公厅关于印发</w:t>
      </w:r>
      <w:r>
        <w:rPr>
          <w:rFonts w:hint="eastAsia"/>
        </w:rPr>
        <w:t>&lt;</w:t>
      </w:r>
      <w:r>
        <w:rPr>
          <w:rFonts w:hint="eastAsia"/>
        </w:rPr>
        <w:t>新疆维吾尔自治区</w:t>
      </w:r>
      <w:r>
        <w:rPr>
          <w:rFonts w:hint="eastAsia"/>
        </w:rPr>
        <w:t>2025</w:t>
      </w:r>
      <w:r>
        <w:rPr>
          <w:rFonts w:hint="eastAsia"/>
        </w:rPr>
        <w:t>年空气质量持续改善行动实施方案</w:t>
      </w:r>
      <w:r>
        <w:rPr>
          <w:rFonts w:hint="eastAsia"/>
        </w:rPr>
        <w:t>&gt;</w:t>
      </w:r>
      <w:r>
        <w:rPr>
          <w:rFonts w:hint="eastAsia"/>
        </w:rPr>
        <w:t>的通知》（新政办发〔</w:t>
      </w:r>
      <w:r>
        <w:rPr>
          <w:rFonts w:hint="eastAsia"/>
        </w:rPr>
        <w:t>2024</w:t>
      </w:r>
      <w:r>
        <w:rPr>
          <w:rFonts w:hint="eastAsia"/>
        </w:rPr>
        <w:t>〕</w:t>
      </w:r>
      <w:r>
        <w:rPr>
          <w:rFonts w:hint="eastAsia"/>
        </w:rPr>
        <w:t>58</w:t>
      </w:r>
      <w:r>
        <w:rPr>
          <w:rFonts w:hint="eastAsia"/>
        </w:rPr>
        <w:t>号）。</w:t>
      </w:r>
    </w:p>
    <w:p w14:paraId="574DEE1D" w14:textId="77777777" w:rsidR="003E78AB" w:rsidRDefault="00010BF9">
      <w:pPr>
        <w:pStyle w:val="31"/>
        <w:keepNext w:val="0"/>
        <w:keepLines w:val="0"/>
        <w:topLinePunct/>
        <w:spacing w:before="156"/>
        <w:rPr>
          <w:rFonts w:cs="Times New Roman"/>
        </w:rPr>
      </w:pPr>
      <w:r>
        <w:rPr>
          <w:rFonts w:cs="Times New Roman"/>
        </w:rPr>
        <w:t>2.1.4</w:t>
      </w:r>
      <w:r>
        <w:rPr>
          <w:rFonts w:cs="Times New Roman"/>
        </w:rPr>
        <w:t>项目有关规划、设计文件</w:t>
      </w:r>
      <w:bookmarkEnd w:id="85"/>
      <w:r>
        <w:rPr>
          <w:rFonts w:cs="Times New Roman"/>
        </w:rPr>
        <w:t>及</w:t>
      </w:r>
      <w:r>
        <w:rPr>
          <w:rFonts w:cs="Times New Roman"/>
        </w:rPr>
        <w:t>资料</w:t>
      </w:r>
      <w:bookmarkEnd w:id="86"/>
      <w:bookmarkEnd w:id="87"/>
    </w:p>
    <w:p w14:paraId="63B4B6C2" w14:textId="77777777" w:rsidR="003E78AB" w:rsidRDefault="00010BF9">
      <w:pPr>
        <w:numPr>
          <w:ilvl w:val="0"/>
          <w:numId w:val="24"/>
        </w:numPr>
        <w:ind w:left="0" w:firstLineChars="0" w:firstLine="420"/>
      </w:pPr>
      <w:r>
        <w:t>《哈密工业园区产业发展规划（</w:t>
      </w:r>
      <w:r>
        <w:t>2019-2035</w:t>
      </w:r>
      <w:r>
        <w:t>年）》及批复；</w:t>
      </w:r>
    </w:p>
    <w:p w14:paraId="26D423B8" w14:textId="77777777" w:rsidR="003E78AB" w:rsidRDefault="00010BF9">
      <w:pPr>
        <w:numPr>
          <w:ilvl w:val="0"/>
          <w:numId w:val="24"/>
        </w:numPr>
        <w:ind w:left="0" w:firstLineChars="0" w:firstLine="420"/>
      </w:pPr>
      <w:r>
        <w:t>《哈密工业园区总体规划（</w:t>
      </w:r>
      <w:r>
        <w:t>2019-2035</w:t>
      </w:r>
      <w:r>
        <w:t>年）</w:t>
      </w:r>
      <w:bookmarkStart w:id="88" w:name="OLE_LINK12"/>
      <w:r>
        <w:t>环境影响报告书</w:t>
      </w:r>
      <w:bookmarkEnd w:id="88"/>
      <w:r>
        <w:t>》及审查意见；</w:t>
      </w:r>
    </w:p>
    <w:p w14:paraId="336B0B42" w14:textId="77777777" w:rsidR="003E78AB" w:rsidRDefault="00010BF9">
      <w:pPr>
        <w:numPr>
          <w:ilvl w:val="0"/>
          <w:numId w:val="24"/>
        </w:numPr>
        <w:ind w:left="0" w:firstLineChars="0" w:firstLine="420"/>
      </w:pPr>
      <w:r>
        <w:t>《</w:t>
      </w:r>
      <w:r>
        <w:rPr>
          <w:rFonts w:hint="eastAsia"/>
        </w:rPr>
        <w:t>哈密高新区化工产业集中区总体规划</w:t>
      </w:r>
      <w:r>
        <w:rPr>
          <w:rFonts w:hint="eastAsia"/>
        </w:rPr>
        <w:t>2023-2035</w:t>
      </w:r>
      <w:r>
        <w:rPr>
          <w:rFonts w:hint="eastAsia"/>
        </w:rPr>
        <w:t>年</w:t>
      </w:r>
      <w:r>
        <w:rPr>
          <w:rFonts w:hint="eastAsia"/>
        </w:rPr>
        <w:t>)</w:t>
      </w:r>
      <w:r>
        <w:rPr>
          <w:rFonts w:hint="eastAsia"/>
        </w:rPr>
        <w:t>》；</w:t>
      </w:r>
    </w:p>
    <w:p w14:paraId="2C9BAC68" w14:textId="77777777" w:rsidR="003E78AB" w:rsidRDefault="00010BF9">
      <w:pPr>
        <w:numPr>
          <w:ilvl w:val="0"/>
          <w:numId w:val="24"/>
        </w:numPr>
        <w:ind w:left="0" w:firstLineChars="0" w:firstLine="420"/>
      </w:pPr>
      <w:r>
        <w:t>《</w:t>
      </w:r>
      <w:r>
        <w:rPr>
          <w:rFonts w:hint="eastAsia"/>
        </w:rPr>
        <w:t>哈密高新区化工产业集中区总体规划</w:t>
      </w:r>
      <w:r>
        <w:rPr>
          <w:rFonts w:hint="eastAsia"/>
        </w:rPr>
        <w:t>2023-2035</w:t>
      </w:r>
      <w:r>
        <w:rPr>
          <w:rFonts w:hint="eastAsia"/>
        </w:rPr>
        <w:t>年</w:t>
      </w:r>
      <w:r>
        <w:rPr>
          <w:rFonts w:hint="eastAsia"/>
        </w:rPr>
        <w:t>)</w:t>
      </w:r>
      <w:r>
        <w:rPr>
          <w:rFonts w:hint="eastAsia"/>
        </w:rPr>
        <w:t>环境影响报告书</w:t>
      </w:r>
      <w:r>
        <w:t>》及审查意见；</w:t>
      </w:r>
    </w:p>
    <w:p w14:paraId="6B31EBEB" w14:textId="77777777" w:rsidR="003E78AB" w:rsidRDefault="00010BF9">
      <w:pPr>
        <w:numPr>
          <w:ilvl w:val="0"/>
          <w:numId w:val="24"/>
        </w:numPr>
        <w:ind w:left="0" w:firstLineChars="0" w:firstLine="420"/>
      </w:pPr>
      <w:r>
        <w:t>《</w:t>
      </w:r>
      <w:r>
        <w:rPr>
          <w:rFonts w:hint="eastAsia"/>
        </w:rPr>
        <w:t>星辰新能</w:t>
      </w:r>
      <w:r>
        <w:rPr>
          <w:rFonts w:hint="eastAsia"/>
        </w:rPr>
        <w:t>(</w:t>
      </w:r>
      <w:r>
        <w:rPr>
          <w:rFonts w:hint="eastAsia"/>
        </w:rPr>
        <w:t>哈密</w:t>
      </w:r>
      <w:r>
        <w:rPr>
          <w:rFonts w:hint="eastAsia"/>
        </w:rPr>
        <w:t>)</w:t>
      </w:r>
      <w:r>
        <w:rPr>
          <w:rFonts w:hint="eastAsia"/>
        </w:rPr>
        <w:t>科技有限公司</w:t>
      </w:r>
      <w:r>
        <w:t>高活性全钒液流电池电解液生产项目可行性研究报告》</w:t>
      </w:r>
      <w:r>
        <w:rPr>
          <w:rFonts w:hint="eastAsia"/>
        </w:rPr>
        <w:t>及备案文件</w:t>
      </w:r>
      <w:r>
        <w:t>；</w:t>
      </w:r>
    </w:p>
    <w:p w14:paraId="753483EA" w14:textId="77777777" w:rsidR="003E78AB" w:rsidRDefault="00010BF9">
      <w:pPr>
        <w:numPr>
          <w:ilvl w:val="0"/>
          <w:numId w:val="24"/>
        </w:numPr>
        <w:ind w:left="0" w:firstLineChars="0" w:firstLine="420"/>
      </w:pPr>
      <w:r>
        <w:t>委托书。</w:t>
      </w:r>
    </w:p>
    <w:p w14:paraId="7AB5976C" w14:textId="77777777" w:rsidR="003E78AB" w:rsidRDefault="00010BF9">
      <w:pPr>
        <w:pStyle w:val="24"/>
        <w:keepNext w:val="0"/>
        <w:keepLines w:val="0"/>
        <w:topLinePunct/>
        <w:spacing w:before="156"/>
        <w:rPr>
          <w:rFonts w:cs="Times New Roman"/>
        </w:rPr>
      </w:pPr>
      <w:bookmarkStart w:id="89" w:name="_Toc679"/>
      <w:bookmarkStart w:id="90" w:name="_Toc239495469"/>
      <w:bookmarkStart w:id="91" w:name="_Toc489258987"/>
      <w:bookmarkStart w:id="92" w:name="_Toc485640220"/>
      <w:bookmarkStart w:id="93" w:name="_Toc442180943"/>
      <w:bookmarkStart w:id="94" w:name="_Toc414619124"/>
      <w:bookmarkEnd w:id="71"/>
      <w:bookmarkEnd w:id="72"/>
      <w:r>
        <w:rPr>
          <w:rFonts w:cs="Times New Roman"/>
        </w:rPr>
        <w:t>2.2</w:t>
      </w:r>
      <w:r>
        <w:rPr>
          <w:rFonts w:cs="Times New Roman"/>
        </w:rPr>
        <w:t>评价对象、原则及目的</w:t>
      </w:r>
      <w:bookmarkEnd w:id="89"/>
    </w:p>
    <w:p w14:paraId="237F0E56" w14:textId="77777777" w:rsidR="003E78AB" w:rsidRDefault="00010BF9">
      <w:pPr>
        <w:pStyle w:val="31"/>
        <w:keepNext w:val="0"/>
        <w:keepLines w:val="0"/>
        <w:topLinePunct/>
        <w:spacing w:before="156"/>
        <w:rPr>
          <w:rFonts w:cs="Times New Roman"/>
        </w:rPr>
      </w:pPr>
      <w:r>
        <w:rPr>
          <w:rFonts w:cs="Times New Roman"/>
        </w:rPr>
        <w:t>2.2.1</w:t>
      </w:r>
      <w:r>
        <w:rPr>
          <w:rFonts w:cs="Times New Roman"/>
        </w:rPr>
        <w:t>评价对象</w:t>
      </w:r>
    </w:p>
    <w:p w14:paraId="5C55B5B5"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本次环境影响评价对象为</w:t>
      </w:r>
      <w:r>
        <w:rPr>
          <w:rFonts w:cs="Times New Roman"/>
          <w:kern w:val="0"/>
          <w:sz w:val="24"/>
          <w:szCs w:val="24"/>
        </w:rPr>
        <w:t>“</w:t>
      </w:r>
      <w:r>
        <w:rPr>
          <w:rFonts w:cs="Times New Roman" w:hint="eastAsia"/>
          <w:kern w:val="0"/>
          <w:sz w:val="24"/>
          <w:szCs w:val="24"/>
        </w:rPr>
        <w:t>星辰新能</w:t>
      </w:r>
      <w:r>
        <w:rPr>
          <w:rFonts w:cs="Times New Roman" w:hint="eastAsia"/>
          <w:kern w:val="0"/>
          <w:sz w:val="24"/>
          <w:szCs w:val="24"/>
        </w:rPr>
        <w:t>(</w:t>
      </w:r>
      <w:r>
        <w:rPr>
          <w:rFonts w:cs="Times New Roman" w:hint="eastAsia"/>
          <w:kern w:val="0"/>
          <w:sz w:val="24"/>
          <w:szCs w:val="24"/>
        </w:rPr>
        <w:t>哈密</w:t>
      </w:r>
      <w:r>
        <w:rPr>
          <w:rFonts w:cs="Times New Roman" w:hint="eastAsia"/>
          <w:kern w:val="0"/>
          <w:sz w:val="24"/>
          <w:szCs w:val="24"/>
        </w:rPr>
        <w:t>)</w:t>
      </w:r>
      <w:r>
        <w:rPr>
          <w:rFonts w:cs="Times New Roman" w:hint="eastAsia"/>
          <w:kern w:val="0"/>
          <w:sz w:val="24"/>
          <w:szCs w:val="24"/>
        </w:rPr>
        <w:t>科技有限公司</w:t>
      </w:r>
      <w:r>
        <w:rPr>
          <w:rFonts w:cs="Times New Roman"/>
          <w:kern w:val="0"/>
          <w:sz w:val="24"/>
          <w:szCs w:val="24"/>
        </w:rPr>
        <w:t>高活性全钒液流电池电解液生产项目（一期）</w:t>
      </w:r>
      <w:r>
        <w:rPr>
          <w:rFonts w:cs="Times New Roman"/>
          <w:kern w:val="0"/>
          <w:sz w:val="24"/>
          <w:szCs w:val="24"/>
        </w:rPr>
        <w:t>”</w:t>
      </w:r>
      <w:r>
        <w:rPr>
          <w:rFonts w:cs="Times New Roman"/>
          <w:kern w:val="0"/>
          <w:sz w:val="24"/>
          <w:szCs w:val="24"/>
        </w:rPr>
        <w:t>，工程性质为新建。</w:t>
      </w:r>
    </w:p>
    <w:p w14:paraId="5F28D0FF" w14:textId="77777777" w:rsidR="003E78AB" w:rsidRDefault="00010BF9">
      <w:pPr>
        <w:pStyle w:val="31"/>
        <w:keepNext w:val="0"/>
        <w:keepLines w:val="0"/>
        <w:topLinePunct/>
        <w:spacing w:before="156"/>
        <w:rPr>
          <w:rFonts w:cs="Times New Roman"/>
        </w:rPr>
      </w:pPr>
      <w:r>
        <w:rPr>
          <w:rFonts w:cs="Times New Roman"/>
        </w:rPr>
        <w:t>2.2.2</w:t>
      </w:r>
      <w:r>
        <w:rPr>
          <w:rFonts w:cs="Times New Roman"/>
        </w:rPr>
        <w:t>评价原则</w:t>
      </w:r>
    </w:p>
    <w:p w14:paraId="3BE6A439"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突出环境影响评价的源头预防作用，坚持保护和改善环境质量。</w:t>
      </w:r>
    </w:p>
    <w:p w14:paraId="1A36F387"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1</w:t>
      </w:r>
      <w:r>
        <w:rPr>
          <w:rFonts w:cs="Times New Roman"/>
          <w:kern w:val="0"/>
          <w:sz w:val="24"/>
          <w:szCs w:val="24"/>
        </w:rPr>
        <w:t>）依法评价</w:t>
      </w:r>
    </w:p>
    <w:p w14:paraId="49294D32"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贯彻执行我国环境保护相关法律法规、标准、政策和规划等，优化项目建设，服务环境管理。</w:t>
      </w:r>
    </w:p>
    <w:p w14:paraId="5083581F"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lastRenderedPageBreak/>
        <w:t>（</w:t>
      </w:r>
      <w:r>
        <w:rPr>
          <w:rFonts w:cs="Times New Roman"/>
          <w:kern w:val="0"/>
          <w:sz w:val="24"/>
          <w:szCs w:val="24"/>
        </w:rPr>
        <w:t>2</w:t>
      </w:r>
      <w:r>
        <w:rPr>
          <w:rFonts w:cs="Times New Roman"/>
          <w:kern w:val="0"/>
          <w:sz w:val="24"/>
          <w:szCs w:val="24"/>
        </w:rPr>
        <w:t>）科学评价</w:t>
      </w:r>
    </w:p>
    <w:p w14:paraId="59D878BF"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规范环境影响评价方法，科学分析项目建设对环境质量的影响。</w:t>
      </w:r>
    </w:p>
    <w:p w14:paraId="609D2F45"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3</w:t>
      </w:r>
      <w:r>
        <w:rPr>
          <w:rFonts w:cs="Times New Roman"/>
          <w:kern w:val="0"/>
          <w:sz w:val="24"/>
          <w:szCs w:val="24"/>
        </w:rPr>
        <w:t>）突出重点</w:t>
      </w:r>
    </w:p>
    <w:p w14:paraId="092B5BE3"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5F70C391" w14:textId="77777777" w:rsidR="003E78AB" w:rsidRDefault="00010BF9">
      <w:pPr>
        <w:pStyle w:val="31"/>
        <w:keepNext w:val="0"/>
        <w:keepLines w:val="0"/>
        <w:topLinePunct/>
        <w:spacing w:before="156"/>
        <w:rPr>
          <w:rFonts w:cs="Times New Roman"/>
        </w:rPr>
      </w:pPr>
      <w:r>
        <w:rPr>
          <w:rFonts w:cs="Times New Roman"/>
        </w:rPr>
        <w:t>2.</w:t>
      </w:r>
      <w:r>
        <w:rPr>
          <w:rFonts w:cs="Times New Roman"/>
        </w:rPr>
        <w:t>2.3</w:t>
      </w:r>
      <w:r>
        <w:rPr>
          <w:rFonts w:cs="Times New Roman"/>
        </w:rPr>
        <w:t>评价目的</w:t>
      </w:r>
    </w:p>
    <w:p w14:paraId="040B830C"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以保护环境和维护生态安全为目标，坚持</w:t>
      </w:r>
      <w:r>
        <w:rPr>
          <w:rFonts w:cs="Times New Roman"/>
          <w:kern w:val="0"/>
          <w:sz w:val="24"/>
          <w:szCs w:val="24"/>
        </w:rPr>
        <w:t>“</w:t>
      </w:r>
      <w:r>
        <w:rPr>
          <w:rFonts w:cs="Times New Roman"/>
          <w:kern w:val="0"/>
          <w:sz w:val="24"/>
          <w:szCs w:val="24"/>
        </w:rPr>
        <w:t>保护优先、预防为主、防治结合</w:t>
      </w:r>
      <w:r>
        <w:rPr>
          <w:rFonts w:cs="Times New Roman"/>
          <w:kern w:val="0"/>
          <w:sz w:val="24"/>
          <w:szCs w:val="24"/>
        </w:rPr>
        <w:t>”</w:t>
      </w:r>
      <w:r>
        <w:rPr>
          <w:rFonts w:cs="Times New Roman"/>
          <w:kern w:val="0"/>
          <w:sz w:val="24"/>
          <w:szCs w:val="24"/>
        </w:rPr>
        <w:t>的原则，通过对评价区环境质量现状监测和生态现状调查，查清评价区环境质量现状及生态环境现状，结合项目实际，突出评价重点，分析和预测项目对环境的影响程度和范围，从生态环境保护角度出发，提出切实可行的污染防治措施和生态保护方案及环境管理建议，把项目可能对环境及生态环境的不利影响控制在最低限度，为工程设计、建设和运行以及环境管理提供科学依据。</w:t>
      </w:r>
    </w:p>
    <w:p w14:paraId="48AF1004"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1</w:t>
      </w:r>
      <w:r>
        <w:rPr>
          <w:rFonts w:cs="Times New Roman"/>
          <w:kern w:val="0"/>
          <w:sz w:val="24"/>
          <w:szCs w:val="24"/>
        </w:rPr>
        <w:t>）依据国家、新疆维吾尔自治区等有关环保法规、技术规范及环境标准进行评价工作。</w:t>
      </w:r>
    </w:p>
    <w:p w14:paraId="7F064D2E"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2</w:t>
      </w:r>
      <w:r>
        <w:rPr>
          <w:rFonts w:cs="Times New Roman"/>
          <w:kern w:val="0"/>
          <w:sz w:val="24"/>
          <w:szCs w:val="24"/>
        </w:rPr>
        <w:t>）认</w:t>
      </w:r>
      <w:r>
        <w:rPr>
          <w:rFonts w:cs="Times New Roman"/>
          <w:kern w:val="0"/>
          <w:sz w:val="24"/>
          <w:szCs w:val="24"/>
        </w:rPr>
        <w:t>真做好工程分析，掌握排污规律。根据当地环境保护规划和确定的控制目标，针对项目实际情况提出有效</w:t>
      </w:r>
      <w:r>
        <w:rPr>
          <w:rFonts w:cs="Times New Roman" w:hint="eastAsia"/>
          <w:kern w:val="0"/>
          <w:sz w:val="24"/>
          <w:szCs w:val="24"/>
        </w:rPr>
        <w:t>地</w:t>
      </w:r>
      <w:r>
        <w:rPr>
          <w:rFonts w:cs="Times New Roman"/>
          <w:kern w:val="0"/>
          <w:sz w:val="24"/>
          <w:szCs w:val="24"/>
        </w:rPr>
        <w:t>保护、恢复与改善生态环境的方案，为环境管理决策提供科学依据。</w:t>
      </w:r>
    </w:p>
    <w:p w14:paraId="2FCBD4D9"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3</w:t>
      </w:r>
      <w:r>
        <w:rPr>
          <w:rFonts w:cs="Times New Roman"/>
          <w:kern w:val="0"/>
          <w:sz w:val="24"/>
          <w:szCs w:val="24"/>
        </w:rPr>
        <w:t>）对项目拟采取的环保措施及生态恢复措施的可行性、可靠性进行分析论证。</w:t>
      </w:r>
    </w:p>
    <w:p w14:paraId="39B15B7B"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4</w:t>
      </w:r>
      <w:r>
        <w:rPr>
          <w:rFonts w:cs="Times New Roman"/>
          <w:kern w:val="0"/>
          <w:sz w:val="24"/>
          <w:szCs w:val="24"/>
        </w:rPr>
        <w:t>）根据项目特点，进行风险识别及环境风险评价，并提出事故环境风险防范措施建议。</w:t>
      </w:r>
    </w:p>
    <w:p w14:paraId="640F3E92"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5</w:t>
      </w:r>
      <w:r>
        <w:rPr>
          <w:rFonts w:cs="Times New Roman"/>
          <w:kern w:val="0"/>
          <w:sz w:val="24"/>
          <w:szCs w:val="24"/>
        </w:rPr>
        <w:t>）根据项目污染防治设施运行及管理要求，制定相应的环境监测计划，保证污染防治措施的正常运行。</w:t>
      </w:r>
    </w:p>
    <w:p w14:paraId="37E04C6B"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w:t>
      </w:r>
      <w:r>
        <w:rPr>
          <w:rFonts w:cs="Times New Roman"/>
          <w:kern w:val="0"/>
          <w:sz w:val="24"/>
          <w:szCs w:val="24"/>
        </w:rPr>
        <w:t>6</w:t>
      </w:r>
      <w:r>
        <w:rPr>
          <w:rFonts w:cs="Times New Roman"/>
          <w:kern w:val="0"/>
          <w:sz w:val="24"/>
          <w:szCs w:val="24"/>
        </w:rPr>
        <w:t>）根据当地自然、社会经济环境特征，以及国家相关产业政策和当地经济发展规划，结合工程的排污状况和周围环境质量状况，从环境保护角度对工程建</w:t>
      </w:r>
      <w:r>
        <w:rPr>
          <w:rFonts w:cs="Times New Roman"/>
          <w:kern w:val="0"/>
          <w:sz w:val="24"/>
          <w:szCs w:val="24"/>
        </w:rPr>
        <w:lastRenderedPageBreak/>
        <w:t>设的可行性给出明确的结论。</w:t>
      </w:r>
    </w:p>
    <w:p w14:paraId="32E0757F" w14:textId="77777777" w:rsidR="003E78AB" w:rsidRDefault="00010BF9">
      <w:pPr>
        <w:pStyle w:val="24"/>
        <w:keepNext w:val="0"/>
        <w:keepLines w:val="0"/>
        <w:topLinePunct/>
        <w:spacing w:before="156"/>
        <w:rPr>
          <w:rFonts w:cs="Times New Roman"/>
        </w:rPr>
      </w:pPr>
      <w:bookmarkStart w:id="95" w:name="_Toc166615893"/>
      <w:bookmarkStart w:id="96" w:name="_Toc12857"/>
      <w:bookmarkStart w:id="97" w:name="_Toc23356"/>
      <w:bookmarkStart w:id="98" w:name="_Toc26912"/>
      <w:r>
        <w:rPr>
          <w:rFonts w:cs="Times New Roman"/>
        </w:rPr>
        <w:t>2.3</w:t>
      </w:r>
      <w:r>
        <w:rPr>
          <w:rFonts w:cs="Times New Roman"/>
        </w:rPr>
        <w:t>环境影响识别及评价因子筛选</w:t>
      </w:r>
      <w:bookmarkStart w:id="99" w:name="_Toc414619125"/>
      <w:bookmarkStart w:id="100" w:name="_Toc410564935"/>
      <w:bookmarkEnd w:id="90"/>
      <w:bookmarkEnd w:id="91"/>
      <w:bookmarkEnd w:id="92"/>
      <w:bookmarkEnd w:id="93"/>
      <w:bookmarkEnd w:id="94"/>
      <w:bookmarkEnd w:id="95"/>
      <w:bookmarkEnd w:id="96"/>
      <w:bookmarkEnd w:id="97"/>
      <w:bookmarkEnd w:id="98"/>
    </w:p>
    <w:p w14:paraId="68084DB2"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根据区域环境功能的要求与特征，并结合项目所处的地理位置、生产工艺和污染物排放特点，全面分析建设项目对环境可能产生影响的因素、影响途径，初步估算影响程度。在分析掌握环境影响因素的基础上，进一步筛选出评价的污染因子。</w:t>
      </w:r>
    </w:p>
    <w:p w14:paraId="21998739" w14:textId="77777777" w:rsidR="003E78AB" w:rsidRDefault="00010BF9">
      <w:pPr>
        <w:pStyle w:val="31"/>
        <w:keepNext w:val="0"/>
        <w:keepLines w:val="0"/>
        <w:topLinePunct/>
        <w:spacing w:before="156"/>
        <w:rPr>
          <w:rFonts w:cs="Times New Roman"/>
        </w:rPr>
      </w:pPr>
      <w:bookmarkStart w:id="101" w:name="_Toc5447"/>
      <w:bookmarkStart w:id="102" w:name="_Toc8897"/>
      <w:bookmarkStart w:id="103" w:name="_Toc29629"/>
      <w:bookmarkEnd w:id="99"/>
      <w:bookmarkEnd w:id="100"/>
      <w:r>
        <w:rPr>
          <w:rFonts w:cs="Times New Roman"/>
        </w:rPr>
        <w:t>2.3.1</w:t>
      </w:r>
      <w:r>
        <w:rPr>
          <w:rFonts w:cs="Times New Roman"/>
        </w:rPr>
        <w:t>环境影响因素识别</w:t>
      </w:r>
      <w:bookmarkEnd w:id="101"/>
      <w:bookmarkEnd w:id="102"/>
      <w:bookmarkEnd w:id="103"/>
    </w:p>
    <w:p w14:paraId="19E55C38"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根据本项目特点和主要环境问题识别结果，采用矩阵法对可能受本项目影响的环</w:t>
      </w:r>
      <w:r>
        <w:rPr>
          <w:rFonts w:cs="Times New Roman"/>
          <w:kern w:val="0"/>
          <w:sz w:val="24"/>
          <w:szCs w:val="24"/>
        </w:rPr>
        <w:t>境要素进行识别和筛选，其结果见下表。</w:t>
      </w:r>
    </w:p>
    <w:p w14:paraId="0F0F80E7" w14:textId="77777777" w:rsidR="003E78AB" w:rsidRDefault="00010BF9">
      <w:pPr>
        <w:pStyle w:val="a5"/>
        <w:rPr>
          <w:kern w:val="2"/>
        </w:rPr>
      </w:pPr>
      <w:r>
        <w:rPr>
          <w:kern w:val="2"/>
        </w:rPr>
        <w:t>环境影响识别一览表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1107"/>
        <w:gridCol w:w="691"/>
        <w:gridCol w:w="787"/>
        <w:gridCol w:w="787"/>
        <w:gridCol w:w="807"/>
        <w:gridCol w:w="787"/>
        <w:gridCol w:w="787"/>
        <w:gridCol w:w="787"/>
        <w:gridCol w:w="787"/>
        <w:gridCol w:w="846"/>
      </w:tblGrid>
      <w:tr w:rsidR="003E78AB" w14:paraId="16AF0512" w14:textId="77777777">
        <w:trPr>
          <w:trHeight w:val="281"/>
          <w:tblHeader/>
        </w:trPr>
        <w:tc>
          <w:tcPr>
            <w:tcW w:w="851" w:type="pct"/>
            <w:gridSpan w:val="2"/>
            <w:vMerge w:val="restart"/>
            <w:tcBorders>
              <w:tl2br w:val="single" w:sz="4" w:space="0" w:color="auto"/>
            </w:tcBorders>
            <w:vAlign w:val="center"/>
          </w:tcPr>
          <w:p w14:paraId="60D0C601" w14:textId="77777777" w:rsidR="003E78AB" w:rsidRDefault="00010BF9">
            <w:pPr>
              <w:spacing w:line="360" w:lineRule="exact"/>
              <w:ind w:leftChars="-50" w:left="-120" w:rightChars="-50" w:right="-120" w:firstLineChars="0" w:firstLine="0"/>
              <w:jc w:val="right"/>
              <w:rPr>
                <w:b/>
                <w:bCs/>
                <w:kern w:val="2"/>
                <w:sz w:val="21"/>
                <w:szCs w:val="21"/>
              </w:rPr>
            </w:pPr>
            <w:r>
              <w:rPr>
                <w:b/>
                <w:bCs/>
                <w:kern w:val="2"/>
                <w:sz w:val="21"/>
                <w:szCs w:val="21"/>
              </w:rPr>
              <w:t>影响源</w:t>
            </w:r>
          </w:p>
          <w:p w14:paraId="4448F505" w14:textId="77777777" w:rsidR="003E78AB" w:rsidRDefault="00010BF9">
            <w:pPr>
              <w:spacing w:line="360" w:lineRule="exact"/>
              <w:ind w:leftChars="-50" w:left="-120" w:rightChars="-50" w:right="-120" w:firstLineChars="0" w:firstLine="0"/>
              <w:rPr>
                <w:b/>
                <w:bCs/>
                <w:kern w:val="2"/>
                <w:sz w:val="21"/>
                <w:szCs w:val="21"/>
              </w:rPr>
            </w:pPr>
            <w:r>
              <w:rPr>
                <w:b/>
                <w:bCs/>
                <w:kern w:val="2"/>
                <w:sz w:val="21"/>
                <w:szCs w:val="21"/>
              </w:rPr>
              <w:t>要素</w:t>
            </w:r>
          </w:p>
        </w:tc>
        <w:tc>
          <w:tcPr>
            <w:tcW w:w="1804" w:type="pct"/>
            <w:gridSpan w:val="4"/>
            <w:vAlign w:val="center"/>
          </w:tcPr>
          <w:p w14:paraId="3DECA6CB"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施工期</w:t>
            </w:r>
          </w:p>
        </w:tc>
        <w:tc>
          <w:tcPr>
            <w:tcW w:w="2344" w:type="pct"/>
            <w:gridSpan w:val="5"/>
            <w:vAlign w:val="center"/>
          </w:tcPr>
          <w:p w14:paraId="3AC79BC1"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运营期</w:t>
            </w:r>
          </w:p>
        </w:tc>
      </w:tr>
      <w:tr w:rsidR="003E78AB" w14:paraId="36335F6E" w14:textId="77777777">
        <w:trPr>
          <w:trHeight w:val="281"/>
          <w:tblHeader/>
        </w:trPr>
        <w:tc>
          <w:tcPr>
            <w:tcW w:w="851" w:type="pct"/>
            <w:gridSpan w:val="2"/>
            <w:vMerge/>
            <w:vAlign w:val="center"/>
          </w:tcPr>
          <w:p w14:paraId="536241BB" w14:textId="77777777" w:rsidR="003E78AB" w:rsidRDefault="003E78AB">
            <w:pPr>
              <w:spacing w:line="360" w:lineRule="exact"/>
              <w:ind w:leftChars="-50" w:left="-120" w:rightChars="-50" w:right="-120" w:firstLineChars="0" w:firstLine="0"/>
              <w:jc w:val="center"/>
              <w:rPr>
                <w:b/>
                <w:bCs/>
                <w:kern w:val="2"/>
                <w:sz w:val="21"/>
                <w:szCs w:val="21"/>
              </w:rPr>
            </w:pPr>
          </w:p>
        </w:tc>
        <w:tc>
          <w:tcPr>
            <w:tcW w:w="406" w:type="pct"/>
            <w:vAlign w:val="center"/>
          </w:tcPr>
          <w:p w14:paraId="7B8073A1"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废气</w:t>
            </w:r>
          </w:p>
        </w:tc>
        <w:tc>
          <w:tcPr>
            <w:tcW w:w="462" w:type="pct"/>
            <w:vAlign w:val="center"/>
          </w:tcPr>
          <w:p w14:paraId="09E0D962"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废水</w:t>
            </w:r>
          </w:p>
        </w:tc>
        <w:tc>
          <w:tcPr>
            <w:tcW w:w="462" w:type="pct"/>
            <w:vAlign w:val="center"/>
          </w:tcPr>
          <w:p w14:paraId="12003BAD"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噪声</w:t>
            </w:r>
          </w:p>
        </w:tc>
        <w:tc>
          <w:tcPr>
            <w:tcW w:w="473" w:type="pct"/>
            <w:vAlign w:val="center"/>
          </w:tcPr>
          <w:p w14:paraId="2DFE22BB"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固废</w:t>
            </w:r>
          </w:p>
        </w:tc>
        <w:tc>
          <w:tcPr>
            <w:tcW w:w="462" w:type="pct"/>
            <w:vAlign w:val="center"/>
          </w:tcPr>
          <w:p w14:paraId="09873355"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废气</w:t>
            </w:r>
          </w:p>
        </w:tc>
        <w:tc>
          <w:tcPr>
            <w:tcW w:w="462" w:type="pct"/>
            <w:vAlign w:val="center"/>
          </w:tcPr>
          <w:p w14:paraId="22C8FDBA"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废水</w:t>
            </w:r>
          </w:p>
        </w:tc>
        <w:tc>
          <w:tcPr>
            <w:tcW w:w="462" w:type="pct"/>
            <w:vAlign w:val="center"/>
          </w:tcPr>
          <w:p w14:paraId="13BA84BE"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噪声</w:t>
            </w:r>
          </w:p>
        </w:tc>
        <w:tc>
          <w:tcPr>
            <w:tcW w:w="462" w:type="pct"/>
            <w:vAlign w:val="center"/>
          </w:tcPr>
          <w:p w14:paraId="75831B07"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固废</w:t>
            </w:r>
          </w:p>
        </w:tc>
        <w:tc>
          <w:tcPr>
            <w:tcW w:w="495" w:type="pct"/>
            <w:vAlign w:val="center"/>
          </w:tcPr>
          <w:p w14:paraId="41B0C99D" w14:textId="77777777" w:rsidR="003E78AB" w:rsidRDefault="00010BF9">
            <w:pPr>
              <w:spacing w:line="360" w:lineRule="exact"/>
              <w:ind w:leftChars="-50" w:left="-120" w:rightChars="-50" w:right="-120" w:firstLineChars="0" w:firstLine="0"/>
              <w:jc w:val="center"/>
              <w:rPr>
                <w:b/>
                <w:bCs/>
                <w:kern w:val="2"/>
                <w:sz w:val="21"/>
                <w:szCs w:val="21"/>
              </w:rPr>
            </w:pPr>
            <w:r>
              <w:rPr>
                <w:b/>
                <w:bCs/>
                <w:kern w:val="2"/>
                <w:sz w:val="21"/>
                <w:szCs w:val="21"/>
              </w:rPr>
              <w:t>绿化</w:t>
            </w:r>
          </w:p>
        </w:tc>
      </w:tr>
      <w:tr w:rsidR="003E78AB" w14:paraId="4180FC23" w14:textId="77777777">
        <w:trPr>
          <w:trHeight w:val="281"/>
        </w:trPr>
        <w:tc>
          <w:tcPr>
            <w:tcW w:w="201" w:type="pct"/>
            <w:vMerge w:val="restart"/>
            <w:vAlign w:val="center"/>
          </w:tcPr>
          <w:p w14:paraId="6BE0DF2B"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环境</w:t>
            </w:r>
          </w:p>
        </w:tc>
        <w:tc>
          <w:tcPr>
            <w:tcW w:w="650" w:type="pct"/>
            <w:vAlign w:val="center"/>
          </w:tcPr>
          <w:p w14:paraId="2CDE5727"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大气环境</w:t>
            </w:r>
          </w:p>
        </w:tc>
        <w:tc>
          <w:tcPr>
            <w:tcW w:w="406" w:type="pct"/>
            <w:vAlign w:val="center"/>
          </w:tcPr>
          <w:p w14:paraId="68C2479C"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004220B7"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3EDB552"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5151BE0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7F47723"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088B43D3"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1B59B6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F182054"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2B9D02CB"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r>
      <w:tr w:rsidR="003E78AB" w14:paraId="3DDB65EA" w14:textId="77777777">
        <w:trPr>
          <w:trHeight w:val="281"/>
        </w:trPr>
        <w:tc>
          <w:tcPr>
            <w:tcW w:w="201" w:type="pct"/>
            <w:vMerge/>
            <w:vAlign w:val="center"/>
          </w:tcPr>
          <w:p w14:paraId="0C55B51E"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4F11F0AD"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地表水环境</w:t>
            </w:r>
          </w:p>
        </w:tc>
        <w:tc>
          <w:tcPr>
            <w:tcW w:w="406" w:type="pct"/>
            <w:vAlign w:val="center"/>
          </w:tcPr>
          <w:p w14:paraId="7E4B0033"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E539F30"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090EB541"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144C36A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AD9C623"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F931744"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68F04A6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563C5FB"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95" w:type="pct"/>
            <w:vAlign w:val="center"/>
          </w:tcPr>
          <w:p w14:paraId="3FAF2997"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r>
      <w:tr w:rsidR="003E78AB" w14:paraId="47FF10F3" w14:textId="77777777">
        <w:trPr>
          <w:trHeight w:val="281"/>
        </w:trPr>
        <w:tc>
          <w:tcPr>
            <w:tcW w:w="201" w:type="pct"/>
            <w:vMerge/>
            <w:vAlign w:val="center"/>
          </w:tcPr>
          <w:p w14:paraId="24E1969B"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7D5B6E8E"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地下水环境</w:t>
            </w:r>
          </w:p>
        </w:tc>
        <w:tc>
          <w:tcPr>
            <w:tcW w:w="406" w:type="pct"/>
            <w:vAlign w:val="center"/>
          </w:tcPr>
          <w:p w14:paraId="37AD2AE8"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953E0B9"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71E0D5E5"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597AB756"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3D855E7"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2D645BD5"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7E23B6D8"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B2A6CB6"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95" w:type="pct"/>
            <w:vAlign w:val="center"/>
          </w:tcPr>
          <w:p w14:paraId="65995FDA"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r>
      <w:tr w:rsidR="003E78AB" w14:paraId="5757C533" w14:textId="77777777">
        <w:trPr>
          <w:trHeight w:val="281"/>
        </w:trPr>
        <w:tc>
          <w:tcPr>
            <w:tcW w:w="201" w:type="pct"/>
            <w:vMerge/>
            <w:vAlign w:val="center"/>
          </w:tcPr>
          <w:p w14:paraId="1F3A238E"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1472B9EF"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声环境</w:t>
            </w:r>
          </w:p>
        </w:tc>
        <w:tc>
          <w:tcPr>
            <w:tcW w:w="406" w:type="pct"/>
            <w:vAlign w:val="center"/>
          </w:tcPr>
          <w:p w14:paraId="1053B3E9"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62999F4"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5041B34"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73" w:type="pct"/>
            <w:vAlign w:val="center"/>
          </w:tcPr>
          <w:p w14:paraId="79947394"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F22DEDD"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7CCA5EC"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105F5D9"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6CB558A0"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0415E751"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r>
      <w:tr w:rsidR="003E78AB" w14:paraId="2E75BB54" w14:textId="77777777">
        <w:trPr>
          <w:trHeight w:val="281"/>
        </w:trPr>
        <w:tc>
          <w:tcPr>
            <w:tcW w:w="201" w:type="pct"/>
            <w:vMerge/>
            <w:vAlign w:val="center"/>
          </w:tcPr>
          <w:p w14:paraId="5D3506E6"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5656896F"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土壤环境</w:t>
            </w:r>
          </w:p>
        </w:tc>
        <w:tc>
          <w:tcPr>
            <w:tcW w:w="406" w:type="pct"/>
            <w:vAlign w:val="center"/>
          </w:tcPr>
          <w:p w14:paraId="50E34608"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A029186"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0F959BBF"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7984AE99"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722B16F8"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A1D1DCE"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62" w:type="pct"/>
            <w:vAlign w:val="center"/>
          </w:tcPr>
          <w:p w14:paraId="4A0D4F76"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BAE43CC"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r>
              <w:rPr>
                <w:kern w:val="2"/>
                <w:sz w:val="21"/>
                <w:szCs w:val="21"/>
              </w:rPr>
              <w:t>↓■♣</w:t>
            </w:r>
          </w:p>
        </w:tc>
        <w:tc>
          <w:tcPr>
            <w:tcW w:w="495" w:type="pct"/>
            <w:vAlign w:val="center"/>
          </w:tcPr>
          <w:p w14:paraId="676BD275"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r>
      <w:tr w:rsidR="003E78AB" w14:paraId="7AFEB66F" w14:textId="77777777">
        <w:trPr>
          <w:trHeight w:val="281"/>
        </w:trPr>
        <w:tc>
          <w:tcPr>
            <w:tcW w:w="201" w:type="pct"/>
            <w:vMerge w:val="restart"/>
            <w:vAlign w:val="center"/>
          </w:tcPr>
          <w:p w14:paraId="75A063C6" w14:textId="77777777" w:rsidR="003E78AB" w:rsidRDefault="00010BF9">
            <w:pPr>
              <w:spacing w:line="360" w:lineRule="exact"/>
              <w:ind w:leftChars="-50" w:left="-120" w:rightChars="-50" w:right="-120" w:firstLineChars="0" w:firstLine="0"/>
              <w:jc w:val="center"/>
              <w:rPr>
                <w:kern w:val="2"/>
                <w:sz w:val="21"/>
                <w:szCs w:val="21"/>
              </w:rPr>
            </w:pPr>
            <w:r>
              <w:rPr>
                <w:kern w:val="2"/>
                <w:sz w:val="21"/>
                <w:szCs w:val="21"/>
              </w:rPr>
              <w:t>生态环境</w:t>
            </w:r>
          </w:p>
        </w:tc>
        <w:tc>
          <w:tcPr>
            <w:tcW w:w="650" w:type="pct"/>
            <w:vAlign w:val="center"/>
          </w:tcPr>
          <w:p w14:paraId="2520901A" w14:textId="77777777" w:rsidR="003E78AB" w:rsidRDefault="00010BF9">
            <w:pPr>
              <w:spacing w:line="360" w:lineRule="exact"/>
              <w:ind w:leftChars="-50" w:left="-120" w:rightChars="-50" w:right="-120" w:firstLineChars="0" w:firstLine="0"/>
              <w:jc w:val="center"/>
              <w:rPr>
                <w:bCs/>
                <w:kern w:val="2"/>
                <w:sz w:val="21"/>
                <w:szCs w:val="21"/>
              </w:rPr>
            </w:pPr>
            <w:r>
              <w:rPr>
                <w:bCs/>
                <w:sz w:val="21"/>
                <w:szCs w:val="21"/>
              </w:rPr>
              <w:t>物种</w:t>
            </w:r>
          </w:p>
        </w:tc>
        <w:tc>
          <w:tcPr>
            <w:tcW w:w="406" w:type="pct"/>
            <w:vAlign w:val="center"/>
          </w:tcPr>
          <w:p w14:paraId="6D4501F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B688C37"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4D7D1A7"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2692CBEF"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8A6689D"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308323D"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C7C3AE1"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4EBB915"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22283179" w14:textId="77777777" w:rsidR="003E78AB" w:rsidRDefault="003E78AB">
            <w:pPr>
              <w:spacing w:line="360" w:lineRule="exact"/>
              <w:ind w:leftChars="-50" w:left="-120" w:rightChars="-50" w:right="-120" w:firstLineChars="0" w:firstLine="0"/>
              <w:jc w:val="center"/>
              <w:rPr>
                <w:kern w:val="2"/>
                <w:sz w:val="18"/>
                <w:szCs w:val="18"/>
              </w:rPr>
            </w:pPr>
          </w:p>
        </w:tc>
      </w:tr>
      <w:tr w:rsidR="003E78AB" w14:paraId="2F4048F9" w14:textId="77777777">
        <w:trPr>
          <w:trHeight w:val="281"/>
        </w:trPr>
        <w:tc>
          <w:tcPr>
            <w:tcW w:w="201" w:type="pct"/>
            <w:vMerge/>
            <w:vAlign w:val="center"/>
          </w:tcPr>
          <w:p w14:paraId="18A9CB78"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44EF79E8" w14:textId="77777777" w:rsidR="003E78AB" w:rsidRDefault="00010BF9">
            <w:pPr>
              <w:spacing w:line="360" w:lineRule="exact"/>
              <w:ind w:leftChars="-50" w:left="-120" w:rightChars="-50" w:right="-120" w:firstLineChars="0" w:firstLine="0"/>
              <w:jc w:val="center"/>
              <w:rPr>
                <w:bCs/>
                <w:kern w:val="2"/>
                <w:sz w:val="21"/>
                <w:szCs w:val="21"/>
              </w:rPr>
            </w:pPr>
            <w:r>
              <w:rPr>
                <w:bCs/>
                <w:sz w:val="21"/>
                <w:szCs w:val="21"/>
              </w:rPr>
              <w:t>生境</w:t>
            </w:r>
          </w:p>
        </w:tc>
        <w:tc>
          <w:tcPr>
            <w:tcW w:w="406" w:type="pct"/>
            <w:vAlign w:val="center"/>
          </w:tcPr>
          <w:p w14:paraId="3224A5C7"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2F89DBB"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6C7F1FD"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4F9B55B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5335EE4"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ECC0068"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23387CBC"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91601F3"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6C55B652" w14:textId="77777777" w:rsidR="003E78AB" w:rsidRDefault="003E78AB">
            <w:pPr>
              <w:spacing w:line="360" w:lineRule="exact"/>
              <w:ind w:leftChars="-50" w:left="-120" w:rightChars="-50" w:right="-120" w:firstLineChars="0" w:firstLine="0"/>
              <w:jc w:val="center"/>
              <w:rPr>
                <w:kern w:val="2"/>
                <w:sz w:val="18"/>
                <w:szCs w:val="18"/>
              </w:rPr>
            </w:pPr>
          </w:p>
        </w:tc>
      </w:tr>
      <w:tr w:rsidR="003E78AB" w14:paraId="204067C9" w14:textId="77777777">
        <w:trPr>
          <w:trHeight w:val="281"/>
        </w:trPr>
        <w:tc>
          <w:tcPr>
            <w:tcW w:w="201" w:type="pct"/>
            <w:vMerge/>
            <w:vAlign w:val="center"/>
          </w:tcPr>
          <w:p w14:paraId="503C428F"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32D25A71" w14:textId="77777777" w:rsidR="003E78AB" w:rsidRDefault="00010BF9">
            <w:pPr>
              <w:spacing w:line="360" w:lineRule="exact"/>
              <w:ind w:leftChars="-50" w:left="-120" w:rightChars="-50" w:right="-120" w:firstLineChars="0" w:firstLine="0"/>
              <w:jc w:val="center"/>
              <w:rPr>
                <w:bCs/>
                <w:kern w:val="2"/>
                <w:sz w:val="21"/>
                <w:szCs w:val="21"/>
              </w:rPr>
            </w:pPr>
            <w:r>
              <w:rPr>
                <w:bCs/>
                <w:sz w:val="21"/>
                <w:szCs w:val="21"/>
              </w:rPr>
              <w:t>生物群落</w:t>
            </w:r>
          </w:p>
        </w:tc>
        <w:tc>
          <w:tcPr>
            <w:tcW w:w="406" w:type="pct"/>
            <w:vAlign w:val="center"/>
          </w:tcPr>
          <w:p w14:paraId="4AE4698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7B06C81"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63F6742"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49691303"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F0B313B"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B6C87C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DA224AE"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065E7F2"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10802CB9" w14:textId="77777777" w:rsidR="003E78AB" w:rsidRDefault="003E78AB">
            <w:pPr>
              <w:spacing w:line="360" w:lineRule="exact"/>
              <w:ind w:leftChars="-50" w:left="-120" w:rightChars="-50" w:right="-120" w:firstLineChars="0" w:firstLine="0"/>
              <w:jc w:val="center"/>
              <w:rPr>
                <w:kern w:val="2"/>
                <w:sz w:val="18"/>
                <w:szCs w:val="18"/>
              </w:rPr>
            </w:pPr>
          </w:p>
        </w:tc>
      </w:tr>
      <w:tr w:rsidR="003E78AB" w14:paraId="6262846A" w14:textId="77777777">
        <w:trPr>
          <w:trHeight w:val="281"/>
        </w:trPr>
        <w:tc>
          <w:tcPr>
            <w:tcW w:w="201" w:type="pct"/>
            <w:vMerge/>
            <w:vAlign w:val="center"/>
          </w:tcPr>
          <w:p w14:paraId="61DA54CC"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0FF3FA97" w14:textId="77777777" w:rsidR="003E78AB" w:rsidRDefault="00010BF9">
            <w:pPr>
              <w:spacing w:line="360" w:lineRule="exact"/>
              <w:ind w:leftChars="-50" w:left="-120" w:rightChars="-50" w:right="-120" w:firstLineChars="0" w:firstLine="0"/>
              <w:jc w:val="center"/>
              <w:rPr>
                <w:bCs/>
                <w:kern w:val="2"/>
                <w:sz w:val="21"/>
                <w:szCs w:val="21"/>
              </w:rPr>
            </w:pPr>
            <w:r>
              <w:rPr>
                <w:bCs/>
                <w:sz w:val="21"/>
                <w:szCs w:val="21"/>
              </w:rPr>
              <w:t>生态系统</w:t>
            </w:r>
          </w:p>
        </w:tc>
        <w:tc>
          <w:tcPr>
            <w:tcW w:w="406" w:type="pct"/>
            <w:vAlign w:val="center"/>
          </w:tcPr>
          <w:p w14:paraId="1DE13C96"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4DE1624"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7044024"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391D6F7C"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94AA9AF"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05C7CE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730C46B"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24EC2B8B"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134F404D" w14:textId="77777777" w:rsidR="003E78AB" w:rsidRDefault="003E78AB">
            <w:pPr>
              <w:spacing w:line="360" w:lineRule="exact"/>
              <w:ind w:leftChars="-50" w:left="-120" w:rightChars="-50" w:right="-120" w:firstLineChars="0" w:firstLine="0"/>
              <w:jc w:val="center"/>
              <w:rPr>
                <w:kern w:val="2"/>
                <w:sz w:val="18"/>
                <w:szCs w:val="18"/>
              </w:rPr>
            </w:pPr>
          </w:p>
        </w:tc>
      </w:tr>
      <w:tr w:rsidR="003E78AB" w14:paraId="7EA67E92" w14:textId="77777777">
        <w:trPr>
          <w:trHeight w:val="281"/>
        </w:trPr>
        <w:tc>
          <w:tcPr>
            <w:tcW w:w="201" w:type="pct"/>
            <w:vMerge/>
            <w:vAlign w:val="center"/>
          </w:tcPr>
          <w:p w14:paraId="787ECA6B"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33286B00" w14:textId="77777777" w:rsidR="003E78AB" w:rsidRDefault="00010BF9">
            <w:pPr>
              <w:spacing w:line="360" w:lineRule="exact"/>
              <w:ind w:leftChars="-50" w:left="-120" w:rightChars="-50" w:right="-120" w:firstLineChars="0" w:firstLine="0"/>
              <w:jc w:val="center"/>
              <w:rPr>
                <w:bCs/>
                <w:kern w:val="2"/>
                <w:sz w:val="21"/>
                <w:szCs w:val="21"/>
              </w:rPr>
            </w:pPr>
            <w:r>
              <w:rPr>
                <w:bCs/>
                <w:sz w:val="21"/>
                <w:szCs w:val="21"/>
              </w:rPr>
              <w:t>生物多样性</w:t>
            </w:r>
          </w:p>
        </w:tc>
        <w:tc>
          <w:tcPr>
            <w:tcW w:w="406" w:type="pct"/>
            <w:vAlign w:val="center"/>
          </w:tcPr>
          <w:p w14:paraId="309DA9DB"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2B89FBA5"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787AE8C"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5B40273F"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72E756D"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C5BB2C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4E5A65A"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392B976C"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585CE412" w14:textId="77777777" w:rsidR="003E78AB" w:rsidRDefault="003E78AB">
            <w:pPr>
              <w:spacing w:line="360" w:lineRule="exact"/>
              <w:ind w:leftChars="-50" w:left="-120" w:rightChars="-50" w:right="-120" w:firstLineChars="0" w:firstLine="0"/>
              <w:jc w:val="center"/>
              <w:rPr>
                <w:kern w:val="2"/>
                <w:sz w:val="18"/>
                <w:szCs w:val="18"/>
              </w:rPr>
            </w:pPr>
          </w:p>
        </w:tc>
      </w:tr>
      <w:tr w:rsidR="003E78AB" w14:paraId="2A9EB878" w14:textId="77777777">
        <w:trPr>
          <w:trHeight w:val="281"/>
        </w:trPr>
        <w:tc>
          <w:tcPr>
            <w:tcW w:w="201" w:type="pct"/>
            <w:vMerge/>
            <w:vAlign w:val="center"/>
          </w:tcPr>
          <w:p w14:paraId="5452A6CA"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01D5880D" w14:textId="77777777" w:rsidR="003E78AB" w:rsidRDefault="00010BF9">
            <w:pPr>
              <w:spacing w:line="360" w:lineRule="exact"/>
              <w:ind w:leftChars="-50" w:left="-120" w:rightChars="-50" w:right="-120" w:firstLineChars="0" w:firstLine="0"/>
              <w:jc w:val="center"/>
              <w:rPr>
                <w:bCs/>
                <w:kern w:val="2"/>
                <w:sz w:val="21"/>
                <w:szCs w:val="21"/>
              </w:rPr>
            </w:pPr>
            <w:r>
              <w:rPr>
                <w:bCs/>
                <w:sz w:val="21"/>
                <w:szCs w:val="21"/>
              </w:rPr>
              <w:t>生态敏感区</w:t>
            </w:r>
          </w:p>
        </w:tc>
        <w:tc>
          <w:tcPr>
            <w:tcW w:w="406" w:type="pct"/>
            <w:vAlign w:val="center"/>
          </w:tcPr>
          <w:p w14:paraId="77D10714"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2909787D"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B60254E"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62840FA1"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F587BB6"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08EE85C"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574D2FD"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DCEE4E9"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3530C267" w14:textId="77777777" w:rsidR="003E78AB" w:rsidRDefault="003E78AB">
            <w:pPr>
              <w:spacing w:line="360" w:lineRule="exact"/>
              <w:ind w:leftChars="-50" w:left="-120" w:rightChars="-50" w:right="-120" w:firstLineChars="0" w:firstLine="0"/>
              <w:jc w:val="center"/>
              <w:rPr>
                <w:kern w:val="2"/>
                <w:sz w:val="18"/>
                <w:szCs w:val="18"/>
              </w:rPr>
            </w:pPr>
          </w:p>
        </w:tc>
      </w:tr>
      <w:tr w:rsidR="003E78AB" w14:paraId="0988E86F" w14:textId="77777777">
        <w:trPr>
          <w:trHeight w:val="281"/>
        </w:trPr>
        <w:tc>
          <w:tcPr>
            <w:tcW w:w="201" w:type="pct"/>
            <w:vMerge/>
            <w:vAlign w:val="center"/>
          </w:tcPr>
          <w:p w14:paraId="26179F46"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73460570" w14:textId="77777777" w:rsidR="003E78AB" w:rsidRDefault="00010BF9">
            <w:pPr>
              <w:spacing w:line="360" w:lineRule="exact"/>
              <w:ind w:leftChars="-50" w:left="-120" w:rightChars="-50" w:right="-120" w:firstLineChars="0" w:firstLine="0"/>
              <w:jc w:val="center"/>
              <w:rPr>
                <w:bCs/>
                <w:sz w:val="21"/>
                <w:szCs w:val="21"/>
              </w:rPr>
            </w:pPr>
            <w:r>
              <w:rPr>
                <w:bCs/>
                <w:sz w:val="21"/>
                <w:szCs w:val="21"/>
              </w:rPr>
              <w:t>自然景观</w:t>
            </w:r>
          </w:p>
        </w:tc>
        <w:tc>
          <w:tcPr>
            <w:tcW w:w="406" w:type="pct"/>
            <w:vAlign w:val="center"/>
          </w:tcPr>
          <w:p w14:paraId="604B7EB0"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B48207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29118E95"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2197A374"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c>
          <w:tcPr>
            <w:tcW w:w="462" w:type="pct"/>
            <w:vAlign w:val="center"/>
          </w:tcPr>
          <w:p w14:paraId="51664AE4"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5C53FE0B"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D45D77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B66F606"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57F91434" w14:textId="77777777" w:rsidR="003E78AB" w:rsidRDefault="00010BF9">
            <w:pPr>
              <w:spacing w:line="360" w:lineRule="exact"/>
              <w:ind w:leftChars="-50" w:left="-120" w:rightChars="-50" w:right="-120" w:firstLineChars="0" w:firstLine="0"/>
              <w:jc w:val="center"/>
              <w:rPr>
                <w:kern w:val="2"/>
                <w:sz w:val="18"/>
                <w:szCs w:val="18"/>
              </w:rPr>
            </w:pPr>
            <w:r>
              <w:rPr>
                <w:kern w:val="2"/>
                <w:sz w:val="18"/>
                <w:szCs w:val="18"/>
              </w:rPr>
              <w:t>★</w:t>
            </w:r>
          </w:p>
        </w:tc>
      </w:tr>
      <w:tr w:rsidR="003E78AB" w14:paraId="0056A1D2" w14:textId="77777777">
        <w:trPr>
          <w:trHeight w:val="281"/>
        </w:trPr>
        <w:tc>
          <w:tcPr>
            <w:tcW w:w="201" w:type="pct"/>
            <w:vMerge/>
            <w:vAlign w:val="center"/>
          </w:tcPr>
          <w:p w14:paraId="6449A01F" w14:textId="77777777" w:rsidR="003E78AB" w:rsidRDefault="003E78AB">
            <w:pPr>
              <w:spacing w:line="360" w:lineRule="exact"/>
              <w:ind w:leftChars="-50" w:left="-120" w:rightChars="-50" w:right="-120" w:firstLineChars="0" w:firstLine="0"/>
              <w:jc w:val="center"/>
              <w:rPr>
                <w:kern w:val="2"/>
                <w:sz w:val="21"/>
                <w:szCs w:val="21"/>
              </w:rPr>
            </w:pPr>
          </w:p>
        </w:tc>
        <w:tc>
          <w:tcPr>
            <w:tcW w:w="650" w:type="pct"/>
            <w:vAlign w:val="center"/>
          </w:tcPr>
          <w:p w14:paraId="7790AF22" w14:textId="77777777" w:rsidR="003E78AB" w:rsidRDefault="00010BF9">
            <w:pPr>
              <w:spacing w:line="360" w:lineRule="exact"/>
              <w:ind w:leftChars="-50" w:left="-120" w:rightChars="-50" w:right="-120" w:firstLineChars="0" w:firstLine="0"/>
              <w:jc w:val="center"/>
              <w:rPr>
                <w:bCs/>
                <w:sz w:val="21"/>
                <w:szCs w:val="21"/>
              </w:rPr>
            </w:pPr>
            <w:r>
              <w:rPr>
                <w:bCs/>
                <w:sz w:val="21"/>
                <w:szCs w:val="21"/>
              </w:rPr>
              <w:t>自然遗迹</w:t>
            </w:r>
          </w:p>
        </w:tc>
        <w:tc>
          <w:tcPr>
            <w:tcW w:w="406" w:type="pct"/>
            <w:vAlign w:val="center"/>
          </w:tcPr>
          <w:p w14:paraId="049B9E72"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611A2EE3"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485B280" w14:textId="77777777" w:rsidR="003E78AB" w:rsidRDefault="003E78AB">
            <w:pPr>
              <w:spacing w:line="360" w:lineRule="exact"/>
              <w:ind w:leftChars="-50" w:left="-120" w:rightChars="-50" w:right="-120" w:firstLineChars="0" w:firstLine="0"/>
              <w:jc w:val="center"/>
              <w:rPr>
                <w:kern w:val="2"/>
                <w:sz w:val="18"/>
                <w:szCs w:val="18"/>
              </w:rPr>
            </w:pPr>
          </w:p>
        </w:tc>
        <w:tc>
          <w:tcPr>
            <w:tcW w:w="473" w:type="pct"/>
            <w:vAlign w:val="center"/>
          </w:tcPr>
          <w:p w14:paraId="581DB1E3"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063E460F"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1E1252D7"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4000CE15" w14:textId="77777777" w:rsidR="003E78AB" w:rsidRDefault="003E78AB">
            <w:pPr>
              <w:spacing w:line="360" w:lineRule="exact"/>
              <w:ind w:leftChars="-50" w:left="-120" w:rightChars="-50" w:right="-120" w:firstLineChars="0" w:firstLine="0"/>
              <w:jc w:val="center"/>
              <w:rPr>
                <w:kern w:val="2"/>
                <w:sz w:val="18"/>
                <w:szCs w:val="18"/>
              </w:rPr>
            </w:pPr>
          </w:p>
        </w:tc>
        <w:tc>
          <w:tcPr>
            <w:tcW w:w="462" w:type="pct"/>
            <w:vAlign w:val="center"/>
          </w:tcPr>
          <w:p w14:paraId="79EEDC82" w14:textId="77777777" w:rsidR="003E78AB" w:rsidRDefault="003E78AB">
            <w:pPr>
              <w:spacing w:line="360" w:lineRule="exact"/>
              <w:ind w:leftChars="-50" w:left="-120" w:rightChars="-50" w:right="-120" w:firstLineChars="0" w:firstLine="0"/>
              <w:jc w:val="center"/>
              <w:rPr>
                <w:kern w:val="2"/>
                <w:sz w:val="18"/>
                <w:szCs w:val="18"/>
              </w:rPr>
            </w:pPr>
          </w:p>
        </w:tc>
        <w:tc>
          <w:tcPr>
            <w:tcW w:w="495" w:type="pct"/>
            <w:vAlign w:val="center"/>
          </w:tcPr>
          <w:p w14:paraId="5B8E621C" w14:textId="77777777" w:rsidR="003E78AB" w:rsidRDefault="003E78AB">
            <w:pPr>
              <w:spacing w:line="360" w:lineRule="exact"/>
              <w:ind w:leftChars="-50" w:left="-120" w:rightChars="-50" w:right="-120" w:firstLineChars="0" w:firstLine="0"/>
              <w:jc w:val="center"/>
              <w:rPr>
                <w:kern w:val="2"/>
                <w:sz w:val="18"/>
                <w:szCs w:val="18"/>
              </w:rPr>
            </w:pPr>
          </w:p>
        </w:tc>
      </w:tr>
      <w:tr w:rsidR="003E78AB" w14:paraId="5E42F25A" w14:textId="77777777">
        <w:trPr>
          <w:trHeight w:val="281"/>
        </w:trPr>
        <w:tc>
          <w:tcPr>
            <w:tcW w:w="5000" w:type="pct"/>
            <w:gridSpan w:val="11"/>
            <w:vAlign w:val="center"/>
          </w:tcPr>
          <w:p w14:paraId="168A9A02" w14:textId="77777777" w:rsidR="003E78AB" w:rsidRDefault="00010BF9">
            <w:pPr>
              <w:spacing w:line="360" w:lineRule="exact"/>
              <w:ind w:firstLineChars="0" w:firstLine="0"/>
              <w:rPr>
                <w:kern w:val="2"/>
                <w:sz w:val="18"/>
                <w:szCs w:val="18"/>
              </w:rPr>
            </w:pPr>
            <w:r>
              <w:rPr>
                <w:kern w:val="2"/>
                <w:sz w:val="21"/>
                <w:szCs w:val="21"/>
              </w:rPr>
              <w:t>注：</w:t>
            </w:r>
            <w:r>
              <w:rPr>
                <w:kern w:val="2"/>
                <w:sz w:val="18"/>
                <w:szCs w:val="18"/>
              </w:rPr>
              <w:t>●/○</w:t>
            </w:r>
            <w:r>
              <w:rPr>
                <w:kern w:val="2"/>
                <w:sz w:val="18"/>
                <w:szCs w:val="18"/>
              </w:rPr>
              <w:t>：</w:t>
            </w:r>
            <w:r>
              <w:rPr>
                <w:kern w:val="2"/>
                <w:sz w:val="21"/>
                <w:szCs w:val="21"/>
              </w:rPr>
              <w:t>直接</w:t>
            </w:r>
            <w:r>
              <w:rPr>
                <w:kern w:val="2"/>
                <w:sz w:val="21"/>
                <w:szCs w:val="21"/>
              </w:rPr>
              <w:t>/</w:t>
            </w:r>
            <w:r>
              <w:rPr>
                <w:kern w:val="2"/>
                <w:sz w:val="21"/>
                <w:szCs w:val="21"/>
              </w:rPr>
              <w:t>间接影响；</w:t>
            </w:r>
            <w:r>
              <w:rPr>
                <w:kern w:val="2"/>
                <w:sz w:val="18"/>
                <w:szCs w:val="18"/>
              </w:rPr>
              <w:t>★/☆</w:t>
            </w:r>
            <w:r>
              <w:rPr>
                <w:kern w:val="2"/>
                <w:sz w:val="18"/>
                <w:szCs w:val="18"/>
              </w:rPr>
              <w:t>：</w:t>
            </w:r>
            <w:r>
              <w:rPr>
                <w:kern w:val="2"/>
                <w:sz w:val="21"/>
                <w:szCs w:val="21"/>
              </w:rPr>
              <w:t>有利</w:t>
            </w:r>
            <w:r>
              <w:rPr>
                <w:kern w:val="2"/>
                <w:sz w:val="21"/>
                <w:szCs w:val="21"/>
              </w:rPr>
              <w:t>/</w:t>
            </w:r>
            <w:r>
              <w:rPr>
                <w:kern w:val="2"/>
                <w:sz w:val="21"/>
                <w:szCs w:val="21"/>
              </w:rPr>
              <w:t>不利影响；</w:t>
            </w:r>
            <w:r>
              <w:rPr>
                <w:kern w:val="2"/>
                <w:sz w:val="21"/>
                <w:szCs w:val="21"/>
              </w:rPr>
              <w:t>↑/↓</w:t>
            </w:r>
            <w:r>
              <w:rPr>
                <w:kern w:val="2"/>
                <w:sz w:val="21"/>
                <w:szCs w:val="21"/>
              </w:rPr>
              <w:t>：可逆</w:t>
            </w:r>
            <w:r>
              <w:rPr>
                <w:kern w:val="2"/>
                <w:sz w:val="21"/>
                <w:szCs w:val="21"/>
              </w:rPr>
              <w:t>/</w:t>
            </w:r>
            <w:r>
              <w:rPr>
                <w:kern w:val="2"/>
                <w:sz w:val="21"/>
                <w:szCs w:val="21"/>
              </w:rPr>
              <w:t>不可逆影响；</w:t>
            </w:r>
            <w:r>
              <w:rPr>
                <w:kern w:val="2"/>
                <w:sz w:val="21"/>
                <w:szCs w:val="21"/>
              </w:rPr>
              <w:t>■/□</w:t>
            </w:r>
            <w:r>
              <w:rPr>
                <w:kern w:val="2"/>
                <w:sz w:val="21"/>
                <w:szCs w:val="21"/>
              </w:rPr>
              <w:t>：长期</w:t>
            </w:r>
            <w:r>
              <w:rPr>
                <w:kern w:val="2"/>
                <w:sz w:val="21"/>
                <w:szCs w:val="21"/>
              </w:rPr>
              <w:t>/</w:t>
            </w:r>
            <w:r>
              <w:rPr>
                <w:kern w:val="2"/>
                <w:sz w:val="21"/>
                <w:szCs w:val="21"/>
              </w:rPr>
              <w:t>短期影响；</w:t>
            </w:r>
            <w:r>
              <w:rPr>
                <w:kern w:val="2"/>
                <w:sz w:val="21"/>
                <w:szCs w:val="21"/>
              </w:rPr>
              <w:t>♣/♧</w:t>
            </w:r>
            <w:r>
              <w:rPr>
                <w:kern w:val="2"/>
                <w:sz w:val="21"/>
                <w:szCs w:val="21"/>
              </w:rPr>
              <w:t>累积</w:t>
            </w:r>
            <w:r>
              <w:rPr>
                <w:kern w:val="2"/>
                <w:sz w:val="21"/>
                <w:szCs w:val="21"/>
              </w:rPr>
              <w:t>/</w:t>
            </w:r>
            <w:r>
              <w:rPr>
                <w:kern w:val="2"/>
                <w:sz w:val="21"/>
                <w:szCs w:val="21"/>
              </w:rPr>
              <w:t>非累积影响</w:t>
            </w:r>
          </w:p>
        </w:tc>
      </w:tr>
    </w:tbl>
    <w:p w14:paraId="495854AC"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由上表可以看出，项目施工期对环境空气及水环境、声环境、生态环境等均有短期的不利影响，但其会随着施工期的结束而消失。运营期的影响为长期影响，受影响的主要环境要素为环境空气、水环境、土壤环境，其次为声环境等。</w:t>
      </w:r>
    </w:p>
    <w:p w14:paraId="5CB51EB4" w14:textId="77777777" w:rsidR="003E78AB" w:rsidRDefault="00010BF9">
      <w:pPr>
        <w:pStyle w:val="31"/>
        <w:keepNext w:val="0"/>
        <w:keepLines w:val="0"/>
        <w:topLinePunct/>
        <w:spacing w:before="156"/>
        <w:rPr>
          <w:rFonts w:cs="Times New Roman"/>
        </w:rPr>
      </w:pPr>
      <w:r>
        <w:rPr>
          <w:rFonts w:cs="Times New Roman"/>
        </w:rPr>
        <w:lastRenderedPageBreak/>
        <w:t>2.3.2</w:t>
      </w:r>
      <w:r>
        <w:rPr>
          <w:rFonts w:cs="Times New Roman"/>
        </w:rPr>
        <w:t>项目主要污染因子识别</w:t>
      </w:r>
    </w:p>
    <w:p w14:paraId="2B67BF86" w14:textId="77777777" w:rsidR="003E78AB" w:rsidRDefault="00010BF9">
      <w:pPr>
        <w:pStyle w:val="aff2"/>
        <w:topLinePunct/>
        <w:spacing w:line="520" w:lineRule="exact"/>
        <w:ind w:firstLine="480"/>
        <w:rPr>
          <w:rFonts w:cs="Times New Roman"/>
          <w:kern w:val="0"/>
          <w:sz w:val="24"/>
          <w:szCs w:val="24"/>
        </w:rPr>
      </w:pPr>
      <w:r>
        <w:rPr>
          <w:rFonts w:cs="Times New Roman"/>
          <w:kern w:val="0"/>
          <w:sz w:val="24"/>
          <w:szCs w:val="24"/>
        </w:rPr>
        <w:t>根据项目特征污染因子和环境制约因子分析，筛选出项目评价因子见下表。</w:t>
      </w:r>
    </w:p>
    <w:p w14:paraId="462B533E" w14:textId="77777777" w:rsidR="003E78AB" w:rsidRDefault="00010BF9">
      <w:pPr>
        <w:pStyle w:val="a5"/>
        <w:rPr>
          <w:kern w:val="2"/>
        </w:rPr>
      </w:pPr>
      <w:r>
        <w:rPr>
          <w:kern w:val="2"/>
        </w:rPr>
        <w:t>评价因子筛选一览表</w:t>
      </w:r>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889"/>
        <w:gridCol w:w="1549"/>
        <w:gridCol w:w="2212"/>
        <w:gridCol w:w="3163"/>
      </w:tblGrid>
      <w:tr w:rsidR="003E78AB" w14:paraId="1D4051CA" w14:textId="77777777">
        <w:trPr>
          <w:trHeight w:val="397"/>
          <w:tblHeader/>
        </w:trPr>
        <w:tc>
          <w:tcPr>
            <w:tcW w:w="411" w:type="pct"/>
          </w:tcPr>
          <w:p w14:paraId="07254A04" w14:textId="77777777" w:rsidR="003E78AB" w:rsidRDefault="00010BF9">
            <w:pPr>
              <w:pStyle w:val="B1"/>
              <w:widowControl w:val="0"/>
              <w:spacing w:line="360" w:lineRule="exact"/>
              <w:rPr>
                <w:rFonts w:cs="Times New Roman"/>
                <w:b/>
                <w:bCs/>
              </w:rPr>
            </w:pPr>
            <w:r>
              <w:rPr>
                <w:rFonts w:cs="Times New Roman"/>
                <w:b/>
                <w:bCs/>
              </w:rPr>
              <w:t>评价要素</w:t>
            </w:r>
          </w:p>
        </w:tc>
        <w:tc>
          <w:tcPr>
            <w:tcW w:w="522" w:type="pct"/>
          </w:tcPr>
          <w:p w14:paraId="3C9542C9" w14:textId="77777777" w:rsidR="003E78AB" w:rsidRDefault="00010BF9">
            <w:pPr>
              <w:pStyle w:val="B1"/>
              <w:widowControl w:val="0"/>
              <w:spacing w:line="360" w:lineRule="exact"/>
              <w:rPr>
                <w:rFonts w:cs="Times New Roman"/>
                <w:b/>
                <w:bCs/>
              </w:rPr>
            </w:pPr>
            <w:r>
              <w:rPr>
                <w:rFonts w:cs="Times New Roman"/>
                <w:b/>
                <w:bCs/>
              </w:rPr>
              <w:t>评价时段</w:t>
            </w:r>
          </w:p>
        </w:tc>
        <w:tc>
          <w:tcPr>
            <w:tcW w:w="910" w:type="pct"/>
          </w:tcPr>
          <w:p w14:paraId="452FEFDD" w14:textId="77777777" w:rsidR="003E78AB" w:rsidRDefault="00010BF9">
            <w:pPr>
              <w:pStyle w:val="B1"/>
              <w:widowControl w:val="0"/>
              <w:spacing w:line="360" w:lineRule="exact"/>
              <w:rPr>
                <w:rFonts w:cs="Times New Roman"/>
                <w:b/>
                <w:bCs/>
              </w:rPr>
            </w:pPr>
            <w:r>
              <w:rPr>
                <w:rFonts w:cs="Times New Roman"/>
                <w:b/>
                <w:bCs/>
              </w:rPr>
              <w:t>评价类型</w:t>
            </w:r>
          </w:p>
        </w:tc>
        <w:tc>
          <w:tcPr>
            <w:tcW w:w="1299" w:type="pct"/>
          </w:tcPr>
          <w:p w14:paraId="5B11B8C4" w14:textId="77777777" w:rsidR="003E78AB" w:rsidRDefault="00010BF9">
            <w:pPr>
              <w:pStyle w:val="B1"/>
              <w:widowControl w:val="0"/>
              <w:spacing w:line="360" w:lineRule="exact"/>
              <w:rPr>
                <w:rFonts w:cs="Times New Roman"/>
                <w:b/>
                <w:bCs/>
              </w:rPr>
            </w:pPr>
            <w:r>
              <w:rPr>
                <w:rFonts w:cs="Times New Roman"/>
                <w:b/>
                <w:bCs/>
              </w:rPr>
              <w:t>评价项目</w:t>
            </w:r>
          </w:p>
        </w:tc>
        <w:tc>
          <w:tcPr>
            <w:tcW w:w="1857" w:type="pct"/>
          </w:tcPr>
          <w:p w14:paraId="51EA1BFB" w14:textId="77777777" w:rsidR="003E78AB" w:rsidRDefault="00010BF9">
            <w:pPr>
              <w:pStyle w:val="B1"/>
              <w:widowControl w:val="0"/>
              <w:spacing w:line="360" w:lineRule="exact"/>
              <w:rPr>
                <w:rFonts w:cs="Times New Roman"/>
                <w:b/>
                <w:bCs/>
              </w:rPr>
            </w:pPr>
            <w:r>
              <w:rPr>
                <w:rFonts w:cs="Times New Roman"/>
                <w:b/>
                <w:bCs/>
              </w:rPr>
              <w:t>评价因子</w:t>
            </w:r>
          </w:p>
        </w:tc>
      </w:tr>
      <w:tr w:rsidR="003E78AB" w14:paraId="64D69714" w14:textId="77777777">
        <w:trPr>
          <w:trHeight w:val="397"/>
        </w:trPr>
        <w:tc>
          <w:tcPr>
            <w:tcW w:w="411" w:type="pct"/>
            <w:vMerge w:val="restart"/>
          </w:tcPr>
          <w:p w14:paraId="478E718C" w14:textId="77777777" w:rsidR="003E78AB" w:rsidRDefault="00010BF9">
            <w:pPr>
              <w:pStyle w:val="B1"/>
              <w:widowControl w:val="0"/>
              <w:spacing w:line="360" w:lineRule="exact"/>
              <w:rPr>
                <w:rFonts w:cs="Times New Roman"/>
              </w:rPr>
            </w:pPr>
            <w:r>
              <w:rPr>
                <w:rFonts w:cs="Times New Roman"/>
              </w:rPr>
              <w:t>大气环境</w:t>
            </w:r>
          </w:p>
        </w:tc>
        <w:tc>
          <w:tcPr>
            <w:tcW w:w="522" w:type="pct"/>
            <w:vMerge w:val="restart"/>
          </w:tcPr>
          <w:p w14:paraId="3EA6E66B" w14:textId="77777777" w:rsidR="003E78AB" w:rsidRDefault="00010BF9">
            <w:pPr>
              <w:pStyle w:val="B1"/>
              <w:widowControl w:val="0"/>
              <w:spacing w:line="360" w:lineRule="exact"/>
              <w:rPr>
                <w:rFonts w:cs="Times New Roman"/>
              </w:rPr>
            </w:pPr>
            <w:r>
              <w:rPr>
                <w:rFonts w:cs="Times New Roman"/>
              </w:rPr>
              <w:t>施工期</w:t>
            </w:r>
          </w:p>
        </w:tc>
        <w:tc>
          <w:tcPr>
            <w:tcW w:w="910" w:type="pct"/>
            <w:vMerge w:val="restart"/>
          </w:tcPr>
          <w:p w14:paraId="23E2798E" w14:textId="77777777" w:rsidR="003E78AB" w:rsidRDefault="00010BF9">
            <w:pPr>
              <w:pStyle w:val="B1"/>
              <w:widowControl w:val="0"/>
              <w:spacing w:line="360" w:lineRule="exact"/>
              <w:rPr>
                <w:rFonts w:cs="Times New Roman"/>
              </w:rPr>
            </w:pPr>
            <w:r>
              <w:rPr>
                <w:rFonts w:cs="Times New Roman"/>
              </w:rPr>
              <w:t>大气环境影响分析</w:t>
            </w:r>
          </w:p>
        </w:tc>
        <w:tc>
          <w:tcPr>
            <w:tcW w:w="1299" w:type="pct"/>
          </w:tcPr>
          <w:p w14:paraId="425DF887" w14:textId="77777777" w:rsidR="003E78AB" w:rsidRDefault="00010BF9">
            <w:pPr>
              <w:pStyle w:val="B1"/>
              <w:widowControl w:val="0"/>
              <w:spacing w:line="360" w:lineRule="exact"/>
              <w:rPr>
                <w:rFonts w:cs="Times New Roman"/>
              </w:rPr>
            </w:pPr>
            <w:r>
              <w:rPr>
                <w:rFonts w:cs="Times New Roman"/>
              </w:rPr>
              <w:t>施工扬尘</w:t>
            </w:r>
          </w:p>
        </w:tc>
        <w:tc>
          <w:tcPr>
            <w:tcW w:w="1857" w:type="pct"/>
          </w:tcPr>
          <w:p w14:paraId="2A1438DF" w14:textId="77777777" w:rsidR="003E78AB" w:rsidRDefault="00010BF9">
            <w:pPr>
              <w:pStyle w:val="B1"/>
              <w:widowControl w:val="0"/>
              <w:spacing w:line="360" w:lineRule="exact"/>
              <w:rPr>
                <w:rFonts w:cs="Times New Roman"/>
              </w:rPr>
            </w:pPr>
            <w:r>
              <w:rPr>
                <w:rFonts w:cs="Times New Roman"/>
              </w:rPr>
              <w:t>颗粒物（</w:t>
            </w:r>
            <w:r>
              <w:rPr>
                <w:rFonts w:cs="Times New Roman"/>
              </w:rPr>
              <w:t>TSP</w:t>
            </w:r>
            <w:r>
              <w:rPr>
                <w:rFonts w:cs="Times New Roman"/>
              </w:rPr>
              <w:t>）</w:t>
            </w:r>
          </w:p>
        </w:tc>
      </w:tr>
      <w:tr w:rsidR="003E78AB" w14:paraId="14436D63" w14:textId="77777777">
        <w:trPr>
          <w:trHeight w:val="397"/>
        </w:trPr>
        <w:tc>
          <w:tcPr>
            <w:tcW w:w="411" w:type="pct"/>
            <w:vMerge/>
          </w:tcPr>
          <w:p w14:paraId="176ED2D4" w14:textId="77777777" w:rsidR="003E78AB" w:rsidRDefault="003E78AB">
            <w:pPr>
              <w:pStyle w:val="B1"/>
              <w:widowControl w:val="0"/>
              <w:spacing w:line="360" w:lineRule="exact"/>
              <w:rPr>
                <w:rFonts w:cs="Times New Roman"/>
              </w:rPr>
            </w:pPr>
          </w:p>
        </w:tc>
        <w:tc>
          <w:tcPr>
            <w:tcW w:w="522" w:type="pct"/>
            <w:vMerge/>
          </w:tcPr>
          <w:p w14:paraId="119ACC76" w14:textId="77777777" w:rsidR="003E78AB" w:rsidRDefault="003E78AB">
            <w:pPr>
              <w:pStyle w:val="B1"/>
              <w:widowControl w:val="0"/>
              <w:spacing w:line="360" w:lineRule="exact"/>
              <w:rPr>
                <w:rFonts w:cs="Times New Roman"/>
              </w:rPr>
            </w:pPr>
          </w:p>
        </w:tc>
        <w:tc>
          <w:tcPr>
            <w:tcW w:w="910" w:type="pct"/>
            <w:vMerge/>
          </w:tcPr>
          <w:p w14:paraId="7AA27C3E" w14:textId="77777777" w:rsidR="003E78AB" w:rsidRDefault="003E78AB">
            <w:pPr>
              <w:pStyle w:val="B1"/>
              <w:widowControl w:val="0"/>
              <w:spacing w:line="360" w:lineRule="exact"/>
              <w:rPr>
                <w:rFonts w:cs="Times New Roman"/>
              </w:rPr>
            </w:pPr>
          </w:p>
        </w:tc>
        <w:tc>
          <w:tcPr>
            <w:tcW w:w="1299" w:type="pct"/>
          </w:tcPr>
          <w:p w14:paraId="46854B43" w14:textId="77777777" w:rsidR="003E78AB" w:rsidRDefault="00010BF9">
            <w:pPr>
              <w:pStyle w:val="B1"/>
              <w:widowControl w:val="0"/>
              <w:spacing w:line="360" w:lineRule="exact"/>
              <w:rPr>
                <w:rFonts w:cs="Times New Roman"/>
              </w:rPr>
            </w:pPr>
            <w:r>
              <w:rPr>
                <w:rFonts w:cs="Times New Roman"/>
              </w:rPr>
              <w:t>车辆运行时排放废气</w:t>
            </w:r>
          </w:p>
        </w:tc>
        <w:tc>
          <w:tcPr>
            <w:tcW w:w="1857" w:type="pct"/>
          </w:tcPr>
          <w:p w14:paraId="02A5232F" w14:textId="77777777" w:rsidR="003E78AB" w:rsidRDefault="00010BF9">
            <w:pPr>
              <w:pStyle w:val="B1"/>
              <w:widowControl w:val="0"/>
              <w:spacing w:line="360" w:lineRule="exact"/>
              <w:rPr>
                <w:rFonts w:cs="Times New Roman"/>
                <w:lang w:val="de-DE"/>
              </w:rPr>
            </w:pPr>
            <w:r>
              <w:rPr>
                <w:rFonts w:cs="Times New Roman"/>
                <w:lang w:val="de-DE"/>
              </w:rPr>
              <w:t>SO</w:t>
            </w:r>
            <w:r>
              <w:rPr>
                <w:rFonts w:cs="Times New Roman"/>
                <w:vertAlign w:val="subscript"/>
                <w:lang w:val="de-DE"/>
              </w:rPr>
              <w:t>2</w:t>
            </w:r>
            <w:r>
              <w:rPr>
                <w:rFonts w:cs="Times New Roman"/>
              </w:rPr>
              <w:t>、</w:t>
            </w:r>
            <w:r>
              <w:rPr>
                <w:rFonts w:cs="Times New Roman"/>
                <w:lang w:val="de-DE"/>
              </w:rPr>
              <w:t>NO</w:t>
            </w:r>
            <w:r>
              <w:rPr>
                <w:rFonts w:cs="Times New Roman"/>
                <w:vertAlign w:val="subscript"/>
                <w:lang w:val="de-DE"/>
              </w:rPr>
              <w:t>X</w:t>
            </w:r>
            <w:r>
              <w:rPr>
                <w:rFonts w:cs="Times New Roman"/>
              </w:rPr>
              <w:t>、</w:t>
            </w:r>
            <w:r>
              <w:rPr>
                <w:rFonts w:cs="Times New Roman"/>
                <w:lang w:val="de-DE"/>
              </w:rPr>
              <w:t>CO</w:t>
            </w:r>
            <w:r>
              <w:rPr>
                <w:rFonts w:cs="Times New Roman"/>
              </w:rPr>
              <w:t>、</w:t>
            </w:r>
            <w:r>
              <w:rPr>
                <w:rFonts w:cs="Times New Roman"/>
                <w:lang w:val="de-DE"/>
              </w:rPr>
              <w:t>C</w:t>
            </w:r>
            <w:r>
              <w:rPr>
                <w:rFonts w:cs="Times New Roman"/>
                <w:vertAlign w:val="subscript"/>
                <w:lang w:val="de-DE"/>
              </w:rPr>
              <w:t>n</w:t>
            </w:r>
            <w:r>
              <w:rPr>
                <w:rFonts w:cs="Times New Roman"/>
                <w:lang w:val="de-DE"/>
              </w:rPr>
              <w:t>H</w:t>
            </w:r>
            <w:r>
              <w:rPr>
                <w:rFonts w:cs="Times New Roman"/>
                <w:vertAlign w:val="subscript"/>
                <w:lang w:val="de-DE"/>
              </w:rPr>
              <w:t>m</w:t>
            </w:r>
          </w:p>
        </w:tc>
      </w:tr>
      <w:tr w:rsidR="003E78AB" w14:paraId="7285D8BC" w14:textId="77777777">
        <w:trPr>
          <w:trHeight w:val="397"/>
        </w:trPr>
        <w:tc>
          <w:tcPr>
            <w:tcW w:w="411" w:type="pct"/>
            <w:vMerge/>
          </w:tcPr>
          <w:p w14:paraId="79C821FD" w14:textId="77777777" w:rsidR="003E78AB" w:rsidRDefault="003E78AB">
            <w:pPr>
              <w:pStyle w:val="B1"/>
              <w:widowControl w:val="0"/>
              <w:spacing w:line="360" w:lineRule="exact"/>
              <w:rPr>
                <w:rFonts w:cs="Times New Roman"/>
                <w:lang w:val="de-DE"/>
              </w:rPr>
            </w:pPr>
          </w:p>
        </w:tc>
        <w:tc>
          <w:tcPr>
            <w:tcW w:w="522" w:type="pct"/>
            <w:vMerge w:val="restart"/>
          </w:tcPr>
          <w:p w14:paraId="0DCCF281" w14:textId="77777777" w:rsidR="003E78AB" w:rsidRDefault="00010BF9">
            <w:pPr>
              <w:pStyle w:val="B1"/>
              <w:widowControl w:val="0"/>
              <w:spacing w:line="360" w:lineRule="exact"/>
              <w:rPr>
                <w:rFonts w:cs="Times New Roman"/>
              </w:rPr>
            </w:pPr>
            <w:r>
              <w:rPr>
                <w:rFonts w:cs="Times New Roman"/>
              </w:rPr>
              <w:t>运营期</w:t>
            </w:r>
          </w:p>
        </w:tc>
        <w:tc>
          <w:tcPr>
            <w:tcW w:w="910" w:type="pct"/>
          </w:tcPr>
          <w:p w14:paraId="0A8001A1" w14:textId="77777777" w:rsidR="003E78AB" w:rsidRDefault="00010BF9">
            <w:pPr>
              <w:pStyle w:val="B1"/>
              <w:widowControl w:val="0"/>
              <w:spacing w:line="360" w:lineRule="exact"/>
              <w:rPr>
                <w:rFonts w:cs="Times New Roman"/>
              </w:rPr>
            </w:pPr>
            <w:r>
              <w:rPr>
                <w:rFonts w:cs="Times New Roman"/>
              </w:rPr>
              <w:t>大气环境质量现状评价</w:t>
            </w:r>
          </w:p>
        </w:tc>
        <w:tc>
          <w:tcPr>
            <w:tcW w:w="1299" w:type="pct"/>
          </w:tcPr>
          <w:p w14:paraId="6BCB2AE4" w14:textId="77777777" w:rsidR="003E78AB" w:rsidRDefault="00010BF9">
            <w:pPr>
              <w:pStyle w:val="B1"/>
              <w:widowControl w:val="0"/>
              <w:spacing w:line="360" w:lineRule="exact"/>
              <w:rPr>
                <w:rFonts w:cs="Times New Roman"/>
              </w:rPr>
            </w:pPr>
            <w:r>
              <w:rPr>
                <w:rFonts w:cs="Times New Roman"/>
              </w:rPr>
              <w:t>大气环境质量现状</w:t>
            </w:r>
          </w:p>
        </w:tc>
        <w:tc>
          <w:tcPr>
            <w:tcW w:w="1857" w:type="pct"/>
          </w:tcPr>
          <w:p w14:paraId="6C396FE0" w14:textId="77777777" w:rsidR="003E78AB" w:rsidRDefault="00010BF9">
            <w:pPr>
              <w:pStyle w:val="B1"/>
              <w:widowControl w:val="0"/>
              <w:spacing w:line="360" w:lineRule="exact"/>
              <w:rPr>
                <w:rFonts w:cs="Times New Roman"/>
              </w:rPr>
            </w:pP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w:t>
            </w:r>
            <w:r>
              <w:rPr>
                <w:rFonts w:cs="Times New Roman"/>
              </w:rPr>
              <w:t>CO</w:t>
            </w:r>
            <w:r>
              <w:rPr>
                <w:rFonts w:cs="Times New Roman"/>
              </w:rPr>
              <w:t>、</w:t>
            </w:r>
            <w:r>
              <w:rPr>
                <w:rFonts w:cs="Times New Roman"/>
              </w:rPr>
              <w:t>O</w:t>
            </w:r>
            <w:r>
              <w:rPr>
                <w:rFonts w:cs="Times New Roman"/>
                <w:vertAlign w:val="subscript"/>
              </w:rPr>
              <w:t>3</w:t>
            </w:r>
            <w:r>
              <w:rPr>
                <w:rFonts w:cs="Times New Roman"/>
              </w:rPr>
              <w:t>、</w:t>
            </w:r>
            <w:r>
              <w:rPr>
                <w:rFonts w:cs="Times New Roman" w:hint="eastAsia"/>
                <w:bCs/>
              </w:rPr>
              <w:t>TVOC</w:t>
            </w:r>
            <w:r>
              <w:rPr>
                <w:rFonts w:cs="Times New Roman"/>
              </w:rPr>
              <w:t>、</w:t>
            </w:r>
            <w:r>
              <w:rPr>
                <w:rFonts w:cs="Times New Roman"/>
              </w:rPr>
              <w:t>TSP</w:t>
            </w:r>
            <w:r>
              <w:rPr>
                <w:rFonts w:cs="Times New Roman"/>
              </w:rPr>
              <w:t>、硫酸雾</w:t>
            </w:r>
          </w:p>
        </w:tc>
      </w:tr>
      <w:tr w:rsidR="003E78AB" w14:paraId="2DBB1C92" w14:textId="77777777">
        <w:trPr>
          <w:trHeight w:val="397"/>
        </w:trPr>
        <w:tc>
          <w:tcPr>
            <w:tcW w:w="411" w:type="pct"/>
            <w:vMerge/>
          </w:tcPr>
          <w:p w14:paraId="13D8A7F3" w14:textId="77777777" w:rsidR="003E78AB" w:rsidRDefault="003E78AB">
            <w:pPr>
              <w:pStyle w:val="B1"/>
              <w:widowControl w:val="0"/>
              <w:spacing w:line="360" w:lineRule="exact"/>
              <w:rPr>
                <w:rFonts w:cs="Times New Roman"/>
                <w:lang w:val="de-DE"/>
              </w:rPr>
            </w:pPr>
          </w:p>
        </w:tc>
        <w:tc>
          <w:tcPr>
            <w:tcW w:w="522" w:type="pct"/>
            <w:vMerge/>
          </w:tcPr>
          <w:p w14:paraId="79AFCE4B" w14:textId="77777777" w:rsidR="003E78AB" w:rsidRDefault="003E78AB">
            <w:pPr>
              <w:pStyle w:val="B1"/>
              <w:widowControl w:val="0"/>
              <w:spacing w:line="360" w:lineRule="exact"/>
              <w:rPr>
                <w:rFonts w:cs="Times New Roman"/>
                <w:lang w:val="de-DE"/>
              </w:rPr>
            </w:pPr>
          </w:p>
        </w:tc>
        <w:tc>
          <w:tcPr>
            <w:tcW w:w="910" w:type="pct"/>
          </w:tcPr>
          <w:p w14:paraId="688A1C36" w14:textId="77777777" w:rsidR="003E78AB" w:rsidRDefault="00010BF9">
            <w:pPr>
              <w:pStyle w:val="B1"/>
              <w:widowControl w:val="0"/>
              <w:spacing w:line="360" w:lineRule="exact"/>
              <w:rPr>
                <w:rFonts w:cs="Times New Roman"/>
              </w:rPr>
            </w:pPr>
            <w:r>
              <w:rPr>
                <w:rFonts w:cs="Times New Roman"/>
              </w:rPr>
              <w:t>大气环境影响评价</w:t>
            </w:r>
          </w:p>
        </w:tc>
        <w:tc>
          <w:tcPr>
            <w:tcW w:w="1299" w:type="pct"/>
          </w:tcPr>
          <w:p w14:paraId="15694552" w14:textId="77777777" w:rsidR="003E78AB" w:rsidRDefault="00010BF9">
            <w:pPr>
              <w:pStyle w:val="B1"/>
              <w:widowControl w:val="0"/>
              <w:spacing w:line="360" w:lineRule="exact"/>
              <w:rPr>
                <w:rFonts w:cs="Times New Roman"/>
              </w:rPr>
            </w:pPr>
            <w:r>
              <w:rPr>
                <w:rFonts w:cs="Times New Roman"/>
              </w:rPr>
              <w:t>废气污染源</w:t>
            </w:r>
          </w:p>
        </w:tc>
        <w:tc>
          <w:tcPr>
            <w:tcW w:w="1857" w:type="pct"/>
          </w:tcPr>
          <w:p w14:paraId="02951E61" w14:textId="77777777" w:rsidR="003E78AB" w:rsidRDefault="00010BF9">
            <w:pPr>
              <w:pStyle w:val="B1"/>
              <w:widowControl w:val="0"/>
              <w:spacing w:line="360" w:lineRule="exact"/>
              <w:rPr>
                <w:rFonts w:cs="Times New Roman"/>
              </w:rPr>
            </w:pPr>
            <w:r>
              <w:rPr>
                <w:rFonts w:cs="Times New Roman"/>
              </w:rPr>
              <w:t>硫酸雾、</w:t>
            </w:r>
            <w:r>
              <w:rPr>
                <w:rFonts w:cs="Times New Roman" w:hint="eastAsia"/>
                <w:bCs/>
              </w:rPr>
              <w:t>TVOC</w:t>
            </w:r>
            <w:r>
              <w:rPr>
                <w:rFonts w:cs="Times New Roman"/>
              </w:rPr>
              <w:t>、</w:t>
            </w:r>
            <w:r>
              <w:rPr>
                <w:rFonts w:cs="Times New Roman"/>
              </w:rPr>
              <w:t>TSP</w:t>
            </w:r>
          </w:p>
        </w:tc>
      </w:tr>
      <w:tr w:rsidR="003E78AB" w14:paraId="19367624" w14:textId="77777777">
        <w:trPr>
          <w:trHeight w:val="397"/>
        </w:trPr>
        <w:tc>
          <w:tcPr>
            <w:tcW w:w="411" w:type="pct"/>
            <w:vMerge w:val="restart"/>
          </w:tcPr>
          <w:p w14:paraId="7E43E2C2" w14:textId="77777777" w:rsidR="003E78AB" w:rsidRDefault="00010BF9">
            <w:pPr>
              <w:pStyle w:val="B1"/>
              <w:widowControl w:val="0"/>
              <w:spacing w:line="360" w:lineRule="exact"/>
              <w:rPr>
                <w:rFonts w:cs="Times New Roman"/>
              </w:rPr>
            </w:pPr>
            <w:r>
              <w:rPr>
                <w:rFonts w:cs="Times New Roman"/>
              </w:rPr>
              <w:t>水环境</w:t>
            </w:r>
          </w:p>
        </w:tc>
        <w:tc>
          <w:tcPr>
            <w:tcW w:w="522" w:type="pct"/>
            <w:vMerge w:val="restart"/>
          </w:tcPr>
          <w:p w14:paraId="0D5F1588" w14:textId="77777777" w:rsidR="003E78AB" w:rsidRDefault="00010BF9">
            <w:pPr>
              <w:pStyle w:val="B1"/>
              <w:widowControl w:val="0"/>
              <w:spacing w:line="360" w:lineRule="exact"/>
              <w:rPr>
                <w:rFonts w:cs="Times New Roman"/>
              </w:rPr>
            </w:pPr>
            <w:r>
              <w:rPr>
                <w:rFonts w:cs="Times New Roman"/>
              </w:rPr>
              <w:t>施工期</w:t>
            </w:r>
          </w:p>
        </w:tc>
        <w:tc>
          <w:tcPr>
            <w:tcW w:w="910" w:type="pct"/>
            <w:vMerge w:val="restart"/>
          </w:tcPr>
          <w:p w14:paraId="13C9A8FF" w14:textId="77777777" w:rsidR="003E78AB" w:rsidRDefault="00010BF9">
            <w:pPr>
              <w:pStyle w:val="B1"/>
              <w:widowControl w:val="0"/>
              <w:spacing w:line="360" w:lineRule="exact"/>
              <w:rPr>
                <w:rFonts w:cs="Times New Roman"/>
              </w:rPr>
            </w:pPr>
            <w:r>
              <w:rPr>
                <w:rFonts w:cs="Times New Roman"/>
              </w:rPr>
              <w:t>水环境影响分析</w:t>
            </w:r>
          </w:p>
        </w:tc>
        <w:tc>
          <w:tcPr>
            <w:tcW w:w="1299" w:type="pct"/>
          </w:tcPr>
          <w:p w14:paraId="3A650705" w14:textId="77777777" w:rsidR="003E78AB" w:rsidRDefault="00010BF9">
            <w:pPr>
              <w:pStyle w:val="B1"/>
              <w:widowControl w:val="0"/>
              <w:spacing w:line="360" w:lineRule="exact"/>
              <w:rPr>
                <w:rFonts w:cs="Times New Roman"/>
              </w:rPr>
            </w:pPr>
            <w:r>
              <w:rPr>
                <w:rFonts w:cs="Times New Roman"/>
              </w:rPr>
              <w:t>施工废水</w:t>
            </w:r>
          </w:p>
        </w:tc>
        <w:tc>
          <w:tcPr>
            <w:tcW w:w="1857" w:type="pct"/>
          </w:tcPr>
          <w:p w14:paraId="50CB1020" w14:textId="77777777" w:rsidR="003E78AB" w:rsidRDefault="00010BF9">
            <w:pPr>
              <w:pStyle w:val="B1"/>
              <w:widowControl w:val="0"/>
              <w:spacing w:line="360" w:lineRule="exact"/>
              <w:rPr>
                <w:rFonts w:cs="Times New Roman"/>
              </w:rPr>
            </w:pPr>
            <w:r>
              <w:rPr>
                <w:rFonts w:cs="Times New Roman"/>
              </w:rPr>
              <w:t>SS</w:t>
            </w:r>
            <w:r>
              <w:rPr>
                <w:rFonts w:cs="Times New Roman"/>
              </w:rPr>
              <w:t>、石油类</w:t>
            </w:r>
          </w:p>
        </w:tc>
      </w:tr>
      <w:tr w:rsidR="003E78AB" w14:paraId="1022F256" w14:textId="77777777">
        <w:trPr>
          <w:trHeight w:val="397"/>
        </w:trPr>
        <w:tc>
          <w:tcPr>
            <w:tcW w:w="411" w:type="pct"/>
            <w:vMerge/>
          </w:tcPr>
          <w:p w14:paraId="595F06BD" w14:textId="77777777" w:rsidR="003E78AB" w:rsidRDefault="003E78AB">
            <w:pPr>
              <w:pStyle w:val="B1"/>
              <w:widowControl w:val="0"/>
              <w:spacing w:line="360" w:lineRule="exact"/>
              <w:rPr>
                <w:rFonts w:cs="Times New Roman"/>
              </w:rPr>
            </w:pPr>
          </w:p>
        </w:tc>
        <w:tc>
          <w:tcPr>
            <w:tcW w:w="522" w:type="pct"/>
            <w:vMerge/>
          </w:tcPr>
          <w:p w14:paraId="2D925B53" w14:textId="77777777" w:rsidR="003E78AB" w:rsidRDefault="003E78AB">
            <w:pPr>
              <w:pStyle w:val="B1"/>
              <w:widowControl w:val="0"/>
              <w:spacing w:line="360" w:lineRule="exact"/>
              <w:rPr>
                <w:rFonts w:cs="Times New Roman"/>
              </w:rPr>
            </w:pPr>
          </w:p>
        </w:tc>
        <w:tc>
          <w:tcPr>
            <w:tcW w:w="910" w:type="pct"/>
            <w:vMerge/>
          </w:tcPr>
          <w:p w14:paraId="62C650BF" w14:textId="77777777" w:rsidR="003E78AB" w:rsidRDefault="003E78AB">
            <w:pPr>
              <w:pStyle w:val="B1"/>
              <w:widowControl w:val="0"/>
              <w:spacing w:line="360" w:lineRule="exact"/>
              <w:rPr>
                <w:rFonts w:cs="Times New Roman"/>
              </w:rPr>
            </w:pPr>
          </w:p>
        </w:tc>
        <w:tc>
          <w:tcPr>
            <w:tcW w:w="1299" w:type="pct"/>
          </w:tcPr>
          <w:p w14:paraId="6D14A82B" w14:textId="77777777" w:rsidR="003E78AB" w:rsidRDefault="00010BF9">
            <w:pPr>
              <w:pStyle w:val="B1"/>
              <w:widowControl w:val="0"/>
              <w:spacing w:line="360" w:lineRule="exact"/>
              <w:rPr>
                <w:rFonts w:cs="Times New Roman"/>
              </w:rPr>
            </w:pPr>
            <w:r>
              <w:rPr>
                <w:rFonts w:cs="Times New Roman"/>
              </w:rPr>
              <w:t>生活污水</w:t>
            </w:r>
          </w:p>
        </w:tc>
        <w:tc>
          <w:tcPr>
            <w:tcW w:w="1857" w:type="pct"/>
          </w:tcPr>
          <w:p w14:paraId="4C847255" w14:textId="77777777" w:rsidR="003E78AB" w:rsidRDefault="00010BF9">
            <w:pPr>
              <w:pStyle w:val="B1"/>
              <w:widowControl w:val="0"/>
              <w:spacing w:line="360" w:lineRule="exact"/>
              <w:rPr>
                <w:rFonts w:cs="Times New Roman"/>
              </w:rPr>
            </w:pPr>
            <w:r>
              <w:rPr>
                <w:rFonts w:cs="Times New Roman"/>
              </w:rPr>
              <w:t>SS</w:t>
            </w:r>
            <w:r>
              <w:rPr>
                <w:rFonts w:cs="Times New Roman"/>
              </w:rPr>
              <w:t>、</w:t>
            </w:r>
            <w:r>
              <w:rPr>
                <w:rFonts w:cs="Times New Roman"/>
              </w:rPr>
              <w:t>COD</w:t>
            </w:r>
            <w:r>
              <w:rPr>
                <w:rFonts w:cs="Times New Roman"/>
                <w:vertAlign w:val="subscript"/>
              </w:rPr>
              <w:t>cr</w:t>
            </w:r>
            <w:r>
              <w:rPr>
                <w:rFonts w:cs="Times New Roman"/>
              </w:rPr>
              <w:t>、</w:t>
            </w:r>
            <w:r>
              <w:rPr>
                <w:rFonts w:cs="Times New Roman"/>
              </w:rPr>
              <w:t>BOD</w:t>
            </w:r>
            <w:r>
              <w:rPr>
                <w:rFonts w:cs="Times New Roman"/>
                <w:vertAlign w:val="subscript"/>
              </w:rPr>
              <w:t>5</w:t>
            </w:r>
            <w:r>
              <w:rPr>
                <w:rFonts w:cs="Times New Roman"/>
              </w:rPr>
              <w:t>、</w:t>
            </w:r>
            <w:r>
              <w:rPr>
                <w:rFonts w:cs="Times New Roman"/>
              </w:rPr>
              <w:t>NH</w:t>
            </w:r>
            <w:r>
              <w:rPr>
                <w:rFonts w:cs="Times New Roman"/>
                <w:vertAlign w:val="subscript"/>
              </w:rPr>
              <w:t>3</w:t>
            </w:r>
            <w:r>
              <w:rPr>
                <w:rFonts w:cs="Times New Roman"/>
              </w:rPr>
              <w:t>-N</w:t>
            </w:r>
            <w:r>
              <w:rPr>
                <w:rFonts w:cs="Times New Roman"/>
              </w:rPr>
              <w:t>等</w:t>
            </w:r>
          </w:p>
        </w:tc>
      </w:tr>
      <w:tr w:rsidR="003E78AB" w14:paraId="02465345" w14:textId="77777777">
        <w:trPr>
          <w:trHeight w:val="397"/>
        </w:trPr>
        <w:tc>
          <w:tcPr>
            <w:tcW w:w="411" w:type="pct"/>
            <w:vMerge/>
          </w:tcPr>
          <w:p w14:paraId="27B77D59" w14:textId="77777777" w:rsidR="003E78AB" w:rsidRDefault="003E78AB">
            <w:pPr>
              <w:pStyle w:val="B1"/>
              <w:widowControl w:val="0"/>
              <w:spacing w:line="360" w:lineRule="exact"/>
              <w:rPr>
                <w:rFonts w:cs="Times New Roman"/>
              </w:rPr>
            </w:pPr>
          </w:p>
        </w:tc>
        <w:tc>
          <w:tcPr>
            <w:tcW w:w="522" w:type="pct"/>
            <w:vMerge w:val="restart"/>
          </w:tcPr>
          <w:p w14:paraId="45508A56" w14:textId="77777777" w:rsidR="003E78AB" w:rsidRDefault="00010BF9">
            <w:pPr>
              <w:pStyle w:val="B1"/>
              <w:widowControl w:val="0"/>
              <w:spacing w:line="360" w:lineRule="exact"/>
              <w:rPr>
                <w:rFonts w:cs="Times New Roman"/>
              </w:rPr>
            </w:pPr>
            <w:r>
              <w:rPr>
                <w:rFonts w:cs="Times New Roman"/>
              </w:rPr>
              <w:t>运营期</w:t>
            </w:r>
          </w:p>
        </w:tc>
        <w:tc>
          <w:tcPr>
            <w:tcW w:w="910" w:type="pct"/>
          </w:tcPr>
          <w:p w14:paraId="3DD7D843" w14:textId="77777777" w:rsidR="003E78AB" w:rsidRDefault="00010BF9">
            <w:pPr>
              <w:pStyle w:val="B1"/>
              <w:widowControl w:val="0"/>
              <w:spacing w:line="360" w:lineRule="exact"/>
              <w:rPr>
                <w:rFonts w:cs="Times New Roman"/>
              </w:rPr>
            </w:pPr>
            <w:r>
              <w:rPr>
                <w:rFonts w:cs="Times New Roman"/>
              </w:rPr>
              <w:t>水环境质量现状评价</w:t>
            </w:r>
          </w:p>
        </w:tc>
        <w:tc>
          <w:tcPr>
            <w:tcW w:w="1299" w:type="pct"/>
          </w:tcPr>
          <w:p w14:paraId="1C906612" w14:textId="77777777" w:rsidR="003E78AB" w:rsidRDefault="00010BF9">
            <w:pPr>
              <w:pStyle w:val="B1"/>
              <w:widowControl w:val="0"/>
              <w:spacing w:line="360" w:lineRule="exact"/>
              <w:rPr>
                <w:rFonts w:cs="Times New Roman"/>
              </w:rPr>
            </w:pPr>
            <w:r>
              <w:rPr>
                <w:rFonts w:cs="Times New Roman"/>
              </w:rPr>
              <w:t>地下水环境</w:t>
            </w:r>
          </w:p>
          <w:p w14:paraId="6AA8914F" w14:textId="77777777" w:rsidR="003E78AB" w:rsidRDefault="00010BF9">
            <w:pPr>
              <w:pStyle w:val="B1"/>
              <w:widowControl w:val="0"/>
              <w:spacing w:line="360" w:lineRule="exact"/>
              <w:rPr>
                <w:rFonts w:cs="Times New Roman"/>
              </w:rPr>
            </w:pPr>
            <w:r>
              <w:rPr>
                <w:rFonts w:cs="Times New Roman"/>
              </w:rPr>
              <w:t>质量现状</w:t>
            </w:r>
          </w:p>
        </w:tc>
        <w:tc>
          <w:tcPr>
            <w:tcW w:w="1857" w:type="pct"/>
          </w:tcPr>
          <w:p w14:paraId="5FDB7C8F" w14:textId="77777777" w:rsidR="003E78AB" w:rsidRDefault="00010BF9">
            <w:pPr>
              <w:pStyle w:val="B1"/>
              <w:widowControl w:val="0"/>
              <w:spacing w:line="360" w:lineRule="exact"/>
              <w:rPr>
                <w:rFonts w:cs="Times New Roman"/>
              </w:rPr>
            </w:pPr>
            <w:r>
              <w:rPr>
                <w:rFonts w:cs="Times New Roman"/>
                <w:szCs w:val="21"/>
              </w:rPr>
              <w:t>pH</w:t>
            </w:r>
            <w:r>
              <w:rPr>
                <w:rFonts w:cs="Times New Roman"/>
                <w:szCs w:val="21"/>
              </w:rPr>
              <w:t>、</w:t>
            </w:r>
            <w:r>
              <w:rPr>
                <w:rFonts w:cs="Times New Roman"/>
                <w:bCs/>
                <w:kern w:val="2"/>
                <w:szCs w:val="21"/>
              </w:rPr>
              <w:t>K</w:t>
            </w:r>
            <w:r>
              <w:rPr>
                <w:rFonts w:cs="Times New Roman"/>
                <w:bCs/>
                <w:kern w:val="2"/>
                <w:szCs w:val="21"/>
                <w:vertAlign w:val="superscript"/>
              </w:rPr>
              <w:t>+</w:t>
            </w:r>
            <w:r>
              <w:rPr>
                <w:rFonts w:cs="Times New Roman"/>
                <w:bCs/>
                <w:kern w:val="2"/>
                <w:szCs w:val="21"/>
              </w:rPr>
              <w:t>、</w:t>
            </w:r>
            <w:r>
              <w:rPr>
                <w:rFonts w:cs="Times New Roman"/>
                <w:bCs/>
                <w:kern w:val="2"/>
                <w:szCs w:val="21"/>
              </w:rPr>
              <w:t>Na</w:t>
            </w:r>
            <w:r>
              <w:rPr>
                <w:rFonts w:cs="Times New Roman"/>
                <w:bCs/>
                <w:kern w:val="2"/>
                <w:szCs w:val="21"/>
                <w:vertAlign w:val="superscript"/>
              </w:rPr>
              <w:t>+</w:t>
            </w:r>
            <w:r>
              <w:rPr>
                <w:rFonts w:cs="Times New Roman"/>
                <w:bCs/>
                <w:kern w:val="2"/>
                <w:szCs w:val="21"/>
              </w:rPr>
              <w:t>、</w:t>
            </w:r>
            <w:r>
              <w:rPr>
                <w:rFonts w:cs="Times New Roman"/>
                <w:bCs/>
                <w:kern w:val="2"/>
                <w:szCs w:val="21"/>
              </w:rPr>
              <w:t>Ca</w:t>
            </w:r>
            <w:r>
              <w:rPr>
                <w:rFonts w:cs="Times New Roman"/>
                <w:bCs/>
                <w:kern w:val="2"/>
                <w:szCs w:val="21"/>
                <w:vertAlign w:val="superscript"/>
              </w:rPr>
              <w:t>2+</w:t>
            </w:r>
            <w:r>
              <w:rPr>
                <w:rFonts w:cs="Times New Roman"/>
                <w:bCs/>
                <w:kern w:val="2"/>
                <w:szCs w:val="21"/>
              </w:rPr>
              <w:t>、</w:t>
            </w:r>
            <w:r>
              <w:rPr>
                <w:rFonts w:cs="Times New Roman"/>
                <w:bCs/>
                <w:kern w:val="2"/>
                <w:szCs w:val="21"/>
              </w:rPr>
              <w:t>Mg</w:t>
            </w:r>
            <w:r>
              <w:rPr>
                <w:rFonts w:cs="Times New Roman"/>
                <w:bCs/>
                <w:kern w:val="2"/>
                <w:szCs w:val="21"/>
                <w:vertAlign w:val="superscript"/>
              </w:rPr>
              <w:t>2+</w:t>
            </w:r>
            <w:r>
              <w:rPr>
                <w:rFonts w:cs="Times New Roman"/>
                <w:bCs/>
                <w:kern w:val="2"/>
                <w:szCs w:val="21"/>
              </w:rPr>
              <w:t>、</w:t>
            </w:r>
            <w:r>
              <w:rPr>
                <w:rFonts w:cs="Times New Roman"/>
                <w:bCs/>
                <w:kern w:val="2"/>
                <w:szCs w:val="21"/>
              </w:rPr>
              <w:t>CO</w:t>
            </w:r>
            <w:r>
              <w:rPr>
                <w:rFonts w:cs="Times New Roman"/>
                <w:bCs/>
                <w:kern w:val="2"/>
                <w:szCs w:val="21"/>
                <w:vertAlign w:val="subscript"/>
              </w:rPr>
              <w:t>3</w:t>
            </w:r>
            <w:r>
              <w:rPr>
                <w:rFonts w:cs="Times New Roman"/>
                <w:bCs/>
                <w:kern w:val="2"/>
                <w:szCs w:val="21"/>
                <w:vertAlign w:val="superscript"/>
              </w:rPr>
              <w:t>2-</w:t>
            </w:r>
            <w:r>
              <w:rPr>
                <w:rFonts w:cs="Times New Roman"/>
                <w:bCs/>
                <w:kern w:val="2"/>
                <w:szCs w:val="21"/>
              </w:rPr>
              <w:t>、</w:t>
            </w:r>
            <w:r>
              <w:rPr>
                <w:rFonts w:cs="Times New Roman"/>
                <w:bCs/>
                <w:kern w:val="2"/>
                <w:szCs w:val="21"/>
              </w:rPr>
              <w:t>HCO</w:t>
            </w:r>
            <w:r>
              <w:rPr>
                <w:rFonts w:cs="Times New Roman"/>
                <w:bCs/>
                <w:kern w:val="2"/>
                <w:szCs w:val="21"/>
                <w:vertAlign w:val="subscript"/>
              </w:rPr>
              <w:t>3</w:t>
            </w:r>
            <w:r>
              <w:rPr>
                <w:rFonts w:cs="Times New Roman"/>
                <w:bCs/>
                <w:kern w:val="2"/>
                <w:szCs w:val="21"/>
                <w:vertAlign w:val="superscript"/>
              </w:rPr>
              <w:t>-</w:t>
            </w:r>
            <w:r>
              <w:rPr>
                <w:rFonts w:cs="Times New Roman"/>
                <w:bCs/>
                <w:kern w:val="2"/>
                <w:szCs w:val="21"/>
              </w:rPr>
              <w:t>、</w:t>
            </w:r>
            <w:r>
              <w:rPr>
                <w:rFonts w:cs="Times New Roman"/>
                <w:bCs/>
                <w:kern w:val="2"/>
                <w:szCs w:val="21"/>
              </w:rPr>
              <w:t>Cl</w:t>
            </w:r>
            <w:r>
              <w:rPr>
                <w:rFonts w:cs="Times New Roman"/>
                <w:bCs/>
                <w:kern w:val="2"/>
                <w:szCs w:val="21"/>
                <w:vertAlign w:val="superscript"/>
              </w:rPr>
              <w:t>-</w:t>
            </w:r>
            <w:r>
              <w:rPr>
                <w:rFonts w:cs="Times New Roman"/>
                <w:bCs/>
                <w:kern w:val="2"/>
                <w:szCs w:val="21"/>
              </w:rPr>
              <w:t>、</w:t>
            </w:r>
            <w:r>
              <w:rPr>
                <w:rFonts w:cs="Times New Roman"/>
                <w:bCs/>
                <w:kern w:val="2"/>
                <w:szCs w:val="21"/>
              </w:rPr>
              <w:t>SO</w:t>
            </w:r>
            <w:r>
              <w:rPr>
                <w:rFonts w:cs="Times New Roman"/>
                <w:bCs/>
                <w:kern w:val="2"/>
                <w:szCs w:val="21"/>
                <w:vertAlign w:val="subscript"/>
              </w:rPr>
              <w:t>4</w:t>
            </w:r>
            <w:r>
              <w:rPr>
                <w:rFonts w:cs="Times New Roman"/>
                <w:bCs/>
                <w:kern w:val="2"/>
                <w:szCs w:val="21"/>
                <w:vertAlign w:val="superscript"/>
              </w:rPr>
              <w:t>2-</w:t>
            </w:r>
            <w:r>
              <w:rPr>
                <w:rFonts w:cs="Times New Roman"/>
                <w:bCs/>
                <w:szCs w:val="21"/>
              </w:rPr>
              <w:t>；</w:t>
            </w:r>
            <w:r>
              <w:rPr>
                <w:rFonts w:cs="Times New Roman" w:hint="eastAsia"/>
                <w:bCs/>
                <w:szCs w:val="21"/>
              </w:rPr>
              <w:t>NH3-N</w:t>
            </w:r>
            <w:r>
              <w:rPr>
                <w:rFonts w:cs="Times New Roman"/>
                <w:bCs/>
                <w:szCs w:val="21"/>
              </w:rPr>
              <w:t>、硝酸盐、亚硝酸盐、挥发性酚类、氰化物、砷、汞、铬</w:t>
            </w:r>
            <w:r>
              <w:rPr>
                <w:rFonts w:cs="Times New Roman"/>
                <w:bCs/>
                <w:szCs w:val="21"/>
              </w:rPr>
              <w:t>(</w:t>
            </w:r>
            <w:r>
              <w:rPr>
                <w:rFonts w:cs="Times New Roman"/>
                <w:bCs/>
                <w:szCs w:val="21"/>
              </w:rPr>
              <w:t>六价</w:t>
            </w:r>
            <w:r>
              <w:rPr>
                <w:rFonts w:cs="Times New Roman"/>
                <w:bCs/>
                <w:szCs w:val="21"/>
              </w:rPr>
              <w:t>)</w:t>
            </w:r>
            <w:r>
              <w:rPr>
                <w:rFonts w:cs="Times New Roman"/>
                <w:bCs/>
                <w:szCs w:val="21"/>
              </w:rPr>
              <w:t>、总硬度、铅、镉、氟、铁、锰、溶解性总固体、耗氧量、</w:t>
            </w:r>
            <w:r>
              <w:rPr>
                <w:rFonts w:cs="Times New Roman"/>
                <w:bCs/>
                <w:kern w:val="2"/>
                <w:szCs w:val="21"/>
              </w:rPr>
              <w:t>铜、锌、阴离子表面活性剂、硫化物、总大肠菌群、钒、总磷</w:t>
            </w:r>
          </w:p>
        </w:tc>
      </w:tr>
      <w:tr w:rsidR="003E78AB" w14:paraId="1FAA4424" w14:textId="77777777">
        <w:trPr>
          <w:trHeight w:val="397"/>
        </w:trPr>
        <w:tc>
          <w:tcPr>
            <w:tcW w:w="411" w:type="pct"/>
            <w:vMerge/>
          </w:tcPr>
          <w:p w14:paraId="5EF51EF5" w14:textId="77777777" w:rsidR="003E78AB" w:rsidRDefault="003E78AB">
            <w:pPr>
              <w:pStyle w:val="B1"/>
              <w:widowControl w:val="0"/>
              <w:spacing w:line="360" w:lineRule="exact"/>
              <w:rPr>
                <w:rFonts w:cs="Times New Roman"/>
              </w:rPr>
            </w:pPr>
          </w:p>
        </w:tc>
        <w:tc>
          <w:tcPr>
            <w:tcW w:w="522" w:type="pct"/>
            <w:vMerge/>
          </w:tcPr>
          <w:p w14:paraId="7CB1933D" w14:textId="77777777" w:rsidR="003E78AB" w:rsidRDefault="003E78AB">
            <w:pPr>
              <w:pStyle w:val="B1"/>
              <w:widowControl w:val="0"/>
              <w:spacing w:line="360" w:lineRule="exact"/>
              <w:rPr>
                <w:rFonts w:cs="Times New Roman"/>
              </w:rPr>
            </w:pPr>
          </w:p>
        </w:tc>
        <w:tc>
          <w:tcPr>
            <w:tcW w:w="910" w:type="pct"/>
          </w:tcPr>
          <w:p w14:paraId="436A9421" w14:textId="77777777" w:rsidR="003E78AB" w:rsidRDefault="00010BF9">
            <w:pPr>
              <w:pStyle w:val="B1"/>
              <w:widowControl w:val="0"/>
              <w:spacing w:line="360" w:lineRule="exact"/>
              <w:rPr>
                <w:rFonts w:cs="Times New Roman"/>
              </w:rPr>
            </w:pPr>
            <w:r>
              <w:rPr>
                <w:rFonts w:cs="Times New Roman"/>
              </w:rPr>
              <w:t>水环境影响分析</w:t>
            </w:r>
          </w:p>
        </w:tc>
        <w:tc>
          <w:tcPr>
            <w:tcW w:w="1299" w:type="pct"/>
          </w:tcPr>
          <w:p w14:paraId="6AC19153" w14:textId="77777777" w:rsidR="003E78AB" w:rsidRDefault="00010BF9">
            <w:pPr>
              <w:pStyle w:val="B1"/>
              <w:widowControl w:val="0"/>
              <w:spacing w:line="360" w:lineRule="exact"/>
              <w:rPr>
                <w:rFonts w:cs="Times New Roman"/>
              </w:rPr>
            </w:pPr>
            <w:r>
              <w:rPr>
                <w:rFonts w:cs="Times New Roman" w:hint="eastAsia"/>
              </w:rPr>
              <w:t>工艺废气处理废水、实验废水、纯水制备排浓水</w:t>
            </w:r>
            <w:r>
              <w:rPr>
                <w:rFonts w:cs="Times New Roman"/>
              </w:rPr>
              <w:t>、软水制备</w:t>
            </w:r>
            <w:r>
              <w:rPr>
                <w:rFonts w:cs="Times New Roman" w:hint="eastAsia"/>
              </w:rPr>
              <w:t>排浓水</w:t>
            </w:r>
            <w:r>
              <w:rPr>
                <w:rFonts w:cs="Times New Roman"/>
              </w:rPr>
              <w:t>、</w:t>
            </w:r>
            <w:r>
              <w:rPr>
                <w:rFonts w:cs="Times New Roman" w:hint="eastAsia"/>
              </w:rPr>
              <w:t>锅炉</w:t>
            </w:r>
            <w:r>
              <w:rPr>
                <w:rFonts w:cs="Times New Roman"/>
              </w:rPr>
              <w:t>排污水、</w:t>
            </w:r>
            <w:r>
              <w:rPr>
                <w:rFonts w:cs="Times New Roman" w:hint="eastAsia"/>
              </w:rPr>
              <w:t>地面冲洗水、</w:t>
            </w:r>
            <w:r>
              <w:rPr>
                <w:rFonts w:cs="Times New Roman"/>
              </w:rPr>
              <w:t>生活污水等</w:t>
            </w:r>
          </w:p>
        </w:tc>
        <w:tc>
          <w:tcPr>
            <w:tcW w:w="1857" w:type="pct"/>
          </w:tcPr>
          <w:p w14:paraId="1EF1071A" w14:textId="77777777" w:rsidR="003E78AB" w:rsidRDefault="00010BF9">
            <w:pPr>
              <w:pStyle w:val="B1"/>
              <w:widowControl w:val="0"/>
              <w:spacing w:line="360" w:lineRule="exact"/>
              <w:rPr>
                <w:rFonts w:cs="Times New Roman"/>
              </w:rPr>
            </w:pPr>
            <w:r>
              <w:rPr>
                <w:rFonts w:cs="Times New Roman"/>
              </w:rPr>
              <w:t>pH</w:t>
            </w:r>
            <w:r>
              <w:rPr>
                <w:rFonts w:cs="Times New Roman"/>
              </w:rPr>
              <w:t>、溶解性总固体、</w:t>
            </w:r>
            <w:r>
              <w:rPr>
                <w:rFonts w:cs="Times New Roman"/>
              </w:rPr>
              <w:t>COD</w:t>
            </w:r>
            <w:r>
              <w:rPr>
                <w:rFonts w:cs="Times New Roman"/>
              </w:rPr>
              <w:t>、</w:t>
            </w:r>
            <w:r>
              <w:rPr>
                <w:rFonts w:cs="Times New Roman"/>
              </w:rPr>
              <w:t>BOD</w:t>
            </w:r>
            <w:r>
              <w:rPr>
                <w:rFonts w:cs="Times New Roman"/>
                <w:vertAlign w:val="subscript"/>
              </w:rPr>
              <w:t>5</w:t>
            </w:r>
            <w:r>
              <w:rPr>
                <w:rFonts w:cs="Times New Roman"/>
              </w:rPr>
              <w:t>、</w:t>
            </w:r>
            <w:r>
              <w:rPr>
                <w:rFonts w:cs="Times New Roman"/>
              </w:rPr>
              <w:t>NH</w:t>
            </w:r>
            <w:r>
              <w:rPr>
                <w:rFonts w:cs="Times New Roman"/>
                <w:vertAlign w:val="subscript"/>
              </w:rPr>
              <w:t>3</w:t>
            </w:r>
            <w:r>
              <w:rPr>
                <w:rFonts w:cs="Times New Roman"/>
              </w:rPr>
              <w:t>-N</w:t>
            </w:r>
            <w:r>
              <w:rPr>
                <w:rFonts w:cs="Times New Roman"/>
              </w:rPr>
              <w:t>、</w:t>
            </w:r>
            <w:r>
              <w:rPr>
                <w:rFonts w:cs="Times New Roman"/>
              </w:rPr>
              <w:t>TP</w:t>
            </w:r>
            <w:r>
              <w:rPr>
                <w:rFonts w:cs="Times New Roman"/>
              </w:rPr>
              <w:t>、硫酸盐、总钒</w:t>
            </w:r>
          </w:p>
        </w:tc>
      </w:tr>
      <w:tr w:rsidR="003E78AB" w14:paraId="50E8091B" w14:textId="77777777">
        <w:trPr>
          <w:trHeight w:val="397"/>
        </w:trPr>
        <w:tc>
          <w:tcPr>
            <w:tcW w:w="411" w:type="pct"/>
            <w:vMerge w:val="restart"/>
          </w:tcPr>
          <w:p w14:paraId="6204EECB" w14:textId="77777777" w:rsidR="003E78AB" w:rsidRDefault="00010BF9">
            <w:pPr>
              <w:pStyle w:val="B1"/>
              <w:widowControl w:val="0"/>
              <w:spacing w:line="360" w:lineRule="exact"/>
              <w:rPr>
                <w:rFonts w:cs="Times New Roman"/>
              </w:rPr>
            </w:pPr>
            <w:r>
              <w:rPr>
                <w:rFonts w:cs="Times New Roman"/>
              </w:rPr>
              <w:t>声环境</w:t>
            </w:r>
          </w:p>
        </w:tc>
        <w:tc>
          <w:tcPr>
            <w:tcW w:w="522" w:type="pct"/>
            <w:vMerge w:val="restart"/>
          </w:tcPr>
          <w:p w14:paraId="7249DA27" w14:textId="77777777" w:rsidR="003E78AB" w:rsidRDefault="00010BF9">
            <w:pPr>
              <w:pStyle w:val="B1"/>
              <w:widowControl w:val="0"/>
              <w:spacing w:line="360" w:lineRule="exact"/>
              <w:rPr>
                <w:rFonts w:cs="Times New Roman"/>
              </w:rPr>
            </w:pPr>
            <w:r>
              <w:rPr>
                <w:rFonts w:cs="Times New Roman"/>
              </w:rPr>
              <w:t>施工期</w:t>
            </w:r>
          </w:p>
        </w:tc>
        <w:tc>
          <w:tcPr>
            <w:tcW w:w="910" w:type="pct"/>
            <w:vMerge w:val="restart"/>
          </w:tcPr>
          <w:p w14:paraId="16430667" w14:textId="77777777" w:rsidR="003E78AB" w:rsidRDefault="00010BF9">
            <w:pPr>
              <w:pStyle w:val="B1"/>
              <w:widowControl w:val="0"/>
              <w:spacing w:line="360" w:lineRule="exact"/>
              <w:rPr>
                <w:rFonts w:cs="Times New Roman"/>
              </w:rPr>
            </w:pPr>
            <w:r>
              <w:rPr>
                <w:rFonts w:cs="Times New Roman"/>
              </w:rPr>
              <w:t>声环境影响分析</w:t>
            </w:r>
          </w:p>
        </w:tc>
        <w:tc>
          <w:tcPr>
            <w:tcW w:w="1299" w:type="pct"/>
          </w:tcPr>
          <w:p w14:paraId="24595731" w14:textId="77777777" w:rsidR="003E78AB" w:rsidRDefault="00010BF9">
            <w:pPr>
              <w:pStyle w:val="B1"/>
              <w:widowControl w:val="0"/>
              <w:spacing w:line="360" w:lineRule="exact"/>
              <w:rPr>
                <w:rFonts w:cs="Times New Roman"/>
              </w:rPr>
            </w:pPr>
            <w:r>
              <w:rPr>
                <w:rFonts w:cs="Times New Roman"/>
              </w:rPr>
              <w:t>施工设备机械</w:t>
            </w:r>
          </w:p>
          <w:p w14:paraId="1272A801" w14:textId="77777777" w:rsidR="003E78AB" w:rsidRDefault="00010BF9">
            <w:pPr>
              <w:pStyle w:val="B1"/>
              <w:widowControl w:val="0"/>
              <w:spacing w:line="360" w:lineRule="exact"/>
              <w:rPr>
                <w:rFonts w:cs="Times New Roman"/>
              </w:rPr>
            </w:pPr>
            <w:r>
              <w:rPr>
                <w:rFonts w:cs="Times New Roman"/>
              </w:rPr>
              <w:t>和空气动力性噪声</w:t>
            </w:r>
          </w:p>
        </w:tc>
        <w:tc>
          <w:tcPr>
            <w:tcW w:w="1857" w:type="pct"/>
            <w:vMerge w:val="restart"/>
          </w:tcPr>
          <w:p w14:paraId="53A3E07D" w14:textId="77777777" w:rsidR="003E78AB" w:rsidRDefault="00010BF9">
            <w:pPr>
              <w:pStyle w:val="B1"/>
              <w:widowControl w:val="0"/>
              <w:spacing w:line="360" w:lineRule="exact"/>
              <w:rPr>
                <w:rFonts w:cs="Times New Roman"/>
              </w:rPr>
            </w:pPr>
            <w:r>
              <w:rPr>
                <w:rFonts w:cs="Times New Roman"/>
              </w:rPr>
              <w:t>连续等效</w:t>
            </w:r>
            <w:r>
              <w:rPr>
                <w:rFonts w:cs="Times New Roman"/>
              </w:rPr>
              <w:t>A</w:t>
            </w:r>
            <w:r>
              <w:rPr>
                <w:rFonts w:cs="Times New Roman"/>
              </w:rPr>
              <w:t>声级</w:t>
            </w:r>
          </w:p>
        </w:tc>
      </w:tr>
      <w:tr w:rsidR="003E78AB" w14:paraId="5157EEB9" w14:textId="77777777">
        <w:trPr>
          <w:trHeight w:val="397"/>
        </w:trPr>
        <w:tc>
          <w:tcPr>
            <w:tcW w:w="411" w:type="pct"/>
            <w:vMerge/>
          </w:tcPr>
          <w:p w14:paraId="70B227A6" w14:textId="77777777" w:rsidR="003E78AB" w:rsidRDefault="003E78AB">
            <w:pPr>
              <w:pStyle w:val="B1"/>
              <w:widowControl w:val="0"/>
              <w:spacing w:line="360" w:lineRule="exact"/>
              <w:rPr>
                <w:rFonts w:cs="Times New Roman"/>
              </w:rPr>
            </w:pPr>
          </w:p>
        </w:tc>
        <w:tc>
          <w:tcPr>
            <w:tcW w:w="522" w:type="pct"/>
            <w:vMerge/>
          </w:tcPr>
          <w:p w14:paraId="7DA7F925" w14:textId="77777777" w:rsidR="003E78AB" w:rsidRDefault="003E78AB">
            <w:pPr>
              <w:pStyle w:val="B1"/>
              <w:widowControl w:val="0"/>
              <w:spacing w:line="360" w:lineRule="exact"/>
              <w:rPr>
                <w:rFonts w:cs="Times New Roman"/>
              </w:rPr>
            </w:pPr>
          </w:p>
        </w:tc>
        <w:tc>
          <w:tcPr>
            <w:tcW w:w="910" w:type="pct"/>
            <w:vMerge/>
          </w:tcPr>
          <w:p w14:paraId="300E0BBC" w14:textId="77777777" w:rsidR="003E78AB" w:rsidRDefault="003E78AB">
            <w:pPr>
              <w:pStyle w:val="B1"/>
              <w:widowControl w:val="0"/>
              <w:spacing w:line="360" w:lineRule="exact"/>
              <w:rPr>
                <w:rFonts w:cs="Times New Roman"/>
              </w:rPr>
            </w:pPr>
          </w:p>
        </w:tc>
        <w:tc>
          <w:tcPr>
            <w:tcW w:w="1299" w:type="pct"/>
          </w:tcPr>
          <w:p w14:paraId="25E4F88D" w14:textId="77777777" w:rsidR="003E78AB" w:rsidRDefault="00010BF9">
            <w:pPr>
              <w:pStyle w:val="B1"/>
              <w:widowControl w:val="0"/>
              <w:spacing w:line="360" w:lineRule="exact"/>
              <w:rPr>
                <w:rFonts w:cs="Times New Roman"/>
              </w:rPr>
            </w:pPr>
            <w:r>
              <w:rPr>
                <w:rFonts w:cs="Times New Roman"/>
              </w:rPr>
              <w:t>车辆交通噪声</w:t>
            </w:r>
          </w:p>
        </w:tc>
        <w:tc>
          <w:tcPr>
            <w:tcW w:w="1857" w:type="pct"/>
            <w:vMerge/>
          </w:tcPr>
          <w:p w14:paraId="5C1FF71D" w14:textId="77777777" w:rsidR="003E78AB" w:rsidRDefault="003E78AB">
            <w:pPr>
              <w:pStyle w:val="B1"/>
              <w:widowControl w:val="0"/>
              <w:spacing w:line="360" w:lineRule="exact"/>
              <w:rPr>
                <w:rFonts w:cs="Times New Roman"/>
              </w:rPr>
            </w:pPr>
          </w:p>
        </w:tc>
      </w:tr>
      <w:tr w:rsidR="003E78AB" w14:paraId="089F9946" w14:textId="77777777">
        <w:trPr>
          <w:trHeight w:val="397"/>
        </w:trPr>
        <w:tc>
          <w:tcPr>
            <w:tcW w:w="411" w:type="pct"/>
            <w:vMerge/>
          </w:tcPr>
          <w:p w14:paraId="356E0B38" w14:textId="77777777" w:rsidR="003E78AB" w:rsidRDefault="003E78AB">
            <w:pPr>
              <w:pStyle w:val="B1"/>
              <w:widowControl w:val="0"/>
              <w:spacing w:line="360" w:lineRule="exact"/>
              <w:rPr>
                <w:rFonts w:cs="Times New Roman"/>
              </w:rPr>
            </w:pPr>
          </w:p>
        </w:tc>
        <w:tc>
          <w:tcPr>
            <w:tcW w:w="522" w:type="pct"/>
            <w:vMerge w:val="restart"/>
          </w:tcPr>
          <w:p w14:paraId="59B13F48" w14:textId="77777777" w:rsidR="003E78AB" w:rsidRDefault="00010BF9">
            <w:pPr>
              <w:pStyle w:val="B1"/>
              <w:widowControl w:val="0"/>
              <w:spacing w:line="360" w:lineRule="exact"/>
              <w:rPr>
                <w:rFonts w:cs="Times New Roman"/>
              </w:rPr>
            </w:pPr>
            <w:r>
              <w:rPr>
                <w:rFonts w:cs="Times New Roman"/>
              </w:rPr>
              <w:t>运营期</w:t>
            </w:r>
          </w:p>
        </w:tc>
        <w:tc>
          <w:tcPr>
            <w:tcW w:w="910" w:type="pct"/>
          </w:tcPr>
          <w:p w14:paraId="7FD5821F" w14:textId="77777777" w:rsidR="003E78AB" w:rsidRDefault="00010BF9">
            <w:pPr>
              <w:pStyle w:val="B1"/>
              <w:widowControl w:val="0"/>
              <w:spacing w:line="360" w:lineRule="exact"/>
              <w:rPr>
                <w:rFonts w:cs="Times New Roman"/>
              </w:rPr>
            </w:pPr>
            <w:r>
              <w:rPr>
                <w:rFonts w:cs="Times New Roman"/>
              </w:rPr>
              <w:t>声环境质量现状评价</w:t>
            </w:r>
          </w:p>
        </w:tc>
        <w:tc>
          <w:tcPr>
            <w:tcW w:w="1299" w:type="pct"/>
          </w:tcPr>
          <w:p w14:paraId="3CEDDEB7" w14:textId="77777777" w:rsidR="003E78AB" w:rsidRDefault="00010BF9">
            <w:pPr>
              <w:pStyle w:val="B1"/>
              <w:widowControl w:val="0"/>
              <w:spacing w:line="360" w:lineRule="exact"/>
              <w:rPr>
                <w:rFonts w:cs="Times New Roman"/>
              </w:rPr>
            </w:pPr>
            <w:r>
              <w:rPr>
                <w:rFonts w:cs="Times New Roman"/>
              </w:rPr>
              <w:t>声环境质量现状</w:t>
            </w:r>
          </w:p>
        </w:tc>
        <w:tc>
          <w:tcPr>
            <w:tcW w:w="1857" w:type="pct"/>
            <w:vMerge/>
          </w:tcPr>
          <w:p w14:paraId="0C85EB46" w14:textId="77777777" w:rsidR="003E78AB" w:rsidRDefault="003E78AB">
            <w:pPr>
              <w:pStyle w:val="B1"/>
              <w:widowControl w:val="0"/>
              <w:spacing w:line="360" w:lineRule="exact"/>
              <w:rPr>
                <w:rFonts w:cs="Times New Roman"/>
              </w:rPr>
            </w:pPr>
          </w:p>
        </w:tc>
      </w:tr>
      <w:tr w:rsidR="003E78AB" w14:paraId="1C58B191" w14:textId="77777777">
        <w:trPr>
          <w:trHeight w:val="397"/>
        </w:trPr>
        <w:tc>
          <w:tcPr>
            <w:tcW w:w="411" w:type="pct"/>
            <w:vMerge/>
          </w:tcPr>
          <w:p w14:paraId="6DC7D8C9" w14:textId="77777777" w:rsidR="003E78AB" w:rsidRDefault="003E78AB">
            <w:pPr>
              <w:pStyle w:val="B1"/>
              <w:widowControl w:val="0"/>
              <w:spacing w:line="360" w:lineRule="exact"/>
              <w:rPr>
                <w:rFonts w:cs="Times New Roman"/>
              </w:rPr>
            </w:pPr>
          </w:p>
        </w:tc>
        <w:tc>
          <w:tcPr>
            <w:tcW w:w="522" w:type="pct"/>
            <w:vMerge/>
          </w:tcPr>
          <w:p w14:paraId="26D4865D" w14:textId="77777777" w:rsidR="003E78AB" w:rsidRDefault="003E78AB">
            <w:pPr>
              <w:pStyle w:val="B1"/>
              <w:widowControl w:val="0"/>
              <w:spacing w:line="360" w:lineRule="exact"/>
              <w:rPr>
                <w:rFonts w:cs="Times New Roman"/>
              </w:rPr>
            </w:pPr>
          </w:p>
        </w:tc>
        <w:tc>
          <w:tcPr>
            <w:tcW w:w="910" w:type="pct"/>
            <w:vMerge w:val="restart"/>
          </w:tcPr>
          <w:p w14:paraId="423374A1" w14:textId="77777777" w:rsidR="003E78AB" w:rsidRDefault="00010BF9">
            <w:pPr>
              <w:pStyle w:val="B1"/>
              <w:widowControl w:val="0"/>
              <w:spacing w:line="360" w:lineRule="exact"/>
              <w:rPr>
                <w:rFonts w:cs="Times New Roman"/>
              </w:rPr>
            </w:pPr>
            <w:r>
              <w:rPr>
                <w:rFonts w:cs="Times New Roman"/>
              </w:rPr>
              <w:t>声环境影响评价</w:t>
            </w:r>
          </w:p>
        </w:tc>
        <w:tc>
          <w:tcPr>
            <w:tcW w:w="1299" w:type="pct"/>
          </w:tcPr>
          <w:p w14:paraId="4B0E0BF8" w14:textId="77777777" w:rsidR="003E78AB" w:rsidRDefault="00010BF9">
            <w:pPr>
              <w:pStyle w:val="B1"/>
              <w:widowControl w:val="0"/>
              <w:spacing w:line="360" w:lineRule="exact"/>
              <w:rPr>
                <w:rFonts w:cs="Times New Roman"/>
              </w:rPr>
            </w:pPr>
            <w:r>
              <w:rPr>
                <w:rFonts w:cs="Times New Roman"/>
              </w:rPr>
              <w:t>设备机械和</w:t>
            </w:r>
          </w:p>
          <w:p w14:paraId="74EE0DDF" w14:textId="77777777" w:rsidR="003E78AB" w:rsidRDefault="00010BF9">
            <w:pPr>
              <w:pStyle w:val="B1"/>
              <w:widowControl w:val="0"/>
              <w:spacing w:line="360" w:lineRule="exact"/>
              <w:rPr>
                <w:rFonts w:cs="Times New Roman"/>
              </w:rPr>
            </w:pPr>
            <w:r>
              <w:rPr>
                <w:rFonts w:cs="Times New Roman"/>
              </w:rPr>
              <w:t>空气动力性噪声</w:t>
            </w:r>
          </w:p>
        </w:tc>
        <w:tc>
          <w:tcPr>
            <w:tcW w:w="1857" w:type="pct"/>
            <w:vMerge/>
          </w:tcPr>
          <w:p w14:paraId="6B97099D" w14:textId="77777777" w:rsidR="003E78AB" w:rsidRDefault="003E78AB">
            <w:pPr>
              <w:pStyle w:val="B1"/>
              <w:widowControl w:val="0"/>
              <w:spacing w:line="360" w:lineRule="exact"/>
              <w:rPr>
                <w:rFonts w:cs="Times New Roman"/>
              </w:rPr>
            </w:pPr>
          </w:p>
        </w:tc>
      </w:tr>
      <w:tr w:rsidR="003E78AB" w14:paraId="6DAC961F" w14:textId="77777777">
        <w:trPr>
          <w:trHeight w:val="397"/>
        </w:trPr>
        <w:tc>
          <w:tcPr>
            <w:tcW w:w="411" w:type="pct"/>
            <w:vMerge/>
          </w:tcPr>
          <w:p w14:paraId="11A0BFF3" w14:textId="77777777" w:rsidR="003E78AB" w:rsidRDefault="003E78AB">
            <w:pPr>
              <w:pStyle w:val="B1"/>
              <w:widowControl w:val="0"/>
              <w:spacing w:line="360" w:lineRule="exact"/>
              <w:rPr>
                <w:rFonts w:cs="Times New Roman"/>
              </w:rPr>
            </w:pPr>
          </w:p>
        </w:tc>
        <w:tc>
          <w:tcPr>
            <w:tcW w:w="522" w:type="pct"/>
            <w:vMerge/>
          </w:tcPr>
          <w:p w14:paraId="5EF09090" w14:textId="77777777" w:rsidR="003E78AB" w:rsidRDefault="003E78AB">
            <w:pPr>
              <w:pStyle w:val="B1"/>
              <w:widowControl w:val="0"/>
              <w:spacing w:line="360" w:lineRule="exact"/>
              <w:rPr>
                <w:rFonts w:cs="Times New Roman"/>
              </w:rPr>
            </w:pPr>
          </w:p>
        </w:tc>
        <w:tc>
          <w:tcPr>
            <w:tcW w:w="910" w:type="pct"/>
            <w:vMerge/>
          </w:tcPr>
          <w:p w14:paraId="4DE6C27F" w14:textId="77777777" w:rsidR="003E78AB" w:rsidRDefault="003E78AB">
            <w:pPr>
              <w:pStyle w:val="B1"/>
              <w:widowControl w:val="0"/>
              <w:spacing w:line="360" w:lineRule="exact"/>
              <w:rPr>
                <w:rFonts w:cs="Times New Roman"/>
              </w:rPr>
            </w:pPr>
          </w:p>
        </w:tc>
        <w:tc>
          <w:tcPr>
            <w:tcW w:w="1299" w:type="pct"/>
          </w:tcPr>
          <w:p w14:paraId="28C06857" w14:textId="77777777" w:rsidR="003E78AB" w:rsidRDefault="00010BF9">
            <w:pPr>
              <w:pStyle w:val="B1"/>
              <w:widowControl w:val="0"/>
              <w:spacing w:line="360" w:lineRule="exact"/>
              <w:rPr>
                <w:rFonts w:cs="Times New Roman"/>
              </w:rPr>
            </w:pPr>
            <w:r>
              <w:rPr>
                <w:rFonts w:cs="Times New Roman"/>
              </w:rPr>
              <w:t>车辆交通噪声</w:t>
            </w:r>
          </w:p>
        </w:tc>
        <w:tc>
          <w:tcPr>
            <w:tcW w:w="1857" w:type="pct"/>
            <w:vMerge/>
          </w:tcPr>
          <w:p w14:paraId="786FA226" w14:textId="77777777" w:rsidR="003E78AB" w:rsidRDefault="003E78AB">
            <w:pPr>
              <w:pStyle w:val="B1"/>
              <w:widowControl w:val="0"/>
              <w:spacing w:line="360" w:lineRule="exact"/>
              <w:rPr>
                <w:rFonts w:cs="Times New Roman"/>
              </w:rPr>
            </w:pPr>
          </w:p>
        </w:tc>
      </w:tr>
      <w:tr w:rsidR="003E78AB" w14:paraId="4463DA41" w14:textId="77777777">
        <w:trPr>
          <w:trHeight w:val="397"/>
        </w:trPr>
        <w:tc>
          <w:tcPr>
            <w:tcW w:w="411" w:type="pct"/>
            <w:vMerge w:val="restart"/>
          </w:tcPr>
          <w:p w14:paraId="11080918" w14:textId="77777777" w:rsidR="003E78AB" w:rsidRDefault="00010BF9">
            <w:pPr>
              <w:pStyle w:val="B1"/>
              <w:widowControl w:val="0"/>
              <w:spacing w:line="360" w:lineRule="exact"/>
              <w:rPr>
                <w:rFonts w:cs="Times New Roman"/>
              </w:rPr>
            </w:pPr>
            <w:r>
              <w:rPr>
                <w:rFonts w:cs="Times New Roman"/>
              </w:rPr>
              <w:t>固体废物</w:t>
            </w:r>
          </w:p>
        </w:tc>
        <w:tc>
          <w:tcPr>
            <w:tcW w:w="522" w:type="pct"/>
            <w:vMerge w:val="restart"/>
          </w:tcPr>
          <w:p w14:paraId="7C518B7F" w14:textId="77777777" w:rsidR="003E78AB" w:rsidRDefault="00010BF9">
            <w:pPr>
              <w:pStyle w:val="B1"/>
              <w:widowControl w:val="0"/>
              <w:spacing w:line="360" w:lineRule="exact"/>
              <w:rPr>
                <w:rFonts w:cs="Times New Roman"/>
              </w:rPr>
            </w:pPr>
            <w:r>
              <w:rPr>
                <w:rFonts w:cs="Times New Roman"/>
              </w:rPr>
              <w:t>施工期</w:t>
            </w:r>
          </w:p>
        </w:tc>
        <w:tc>
          <w:tcPr>
            <w:tcW w:w="910" w:type="pct"/>
            <w:vMerge w:val="restart"/>
          </w:tcPr>
          <w:p w14:paraId="5F6186AA" w14:textId="77777777" w:rsidR="003E78AB" w:rsidRDefault="00010BF9">
            <w:pPr>
              <w:pStyle w:val="B1"/>
              <w:widowControl w:val="0"/>
              <w:spacing w:line="360" w:lineRule="exact"/>
              <w:rPr>
                <w:rFonts w:cs="Times New Roman"/>
              </w:rPr>
            </w:pPr>
            <w:r>
              <w:rPr>
                <w:rFonts w:cs="Times New Roman"/>
              </w:rPr>
              <w:t>固废影响分析</w:t>
            </w:r>
          </w:p>
        </w:tc>
        <w:tc>
          <w:tcPr>
            <w:tcW w:w="1299" w:type="pct"/>
          </w:tcPr>
          <w:p w14:paraId="3B780797" w14:textId="77777777" w:rsidR="003E78AB" w:rsidRDefault="00010BF9">
            <w:pPr>
              <w:pStyle w:val="B1"/>
              <w:widowControl w:val="0"/>
              <w:spacing w:line="360" w:lineRule="exact"/>
              <w:rPr>
                <w:rFonts w:cs="Times New Roman"/>
              </w:rPr>
            </w:pPr>
            <w:r>
              <w:rPr>
                <w:rFonts w:cs="Times New Roman"/>
              </w:rPr>
              <w:t>施工垃圾</w:t>
            </w:r>
          </w:p>
        </w:tc>
        <w:tc>
          <w:tcPr>
            <w:tcW w:w="1857" w:type="pct"/>
          </w:tcPr>
          <w:p w14:paraId="06C811E9" w14:textId="77777777" w:rsidR="003E78AB" w:rsidRDefault="00010BF9">
            <w:pPr>
              <w:pStyle w:val="B1"/>
              <w:widowControl w:val="0"/>
              <w:spacing w:line="360" w:lineRule="exact"/>
              <w:rPr>
                <w:rFonts w:cs="Times New Roman"/>
              </w:rPr>
            </w:pPr>
            <w:r>
              <w:rPr>
                <w:rFonts w:cs="Times New Roman"/>
              </w:rPr>
              <w:t>一般工业固废</w:t>
            </w:r>
          </w:p>
        </w:tc>
      </w:tr>
      <w:tr w:rsidR="003E78AB" w14:paraId="4815AD79" w14:textId="77777777">
        <w:trPr>
          <w:trHeight w:val="397"/>
        </w:trPr>
        <w:tc>
          <w:tcPr>
            <w:tcW w:w="411" w:type="pct"/>
            <w:vMerge/>
          </w:tcPr>
          <w:p w14:paraId="45B8DBCF" w14:textId="77777777" w:rsidR="003E78AB" w:rsidRDefault="003E78AB">
            <w:pPr>
              <w:pStyle w:val="B1"/>
              <w:widowControl w:val="0"/>
              <w:spacing w:line="360" w:lineRule="exact"/>
              <w:rPr>
                <w:rFonts w:cs="Times New Roman"/>
              </w:rPr>
            </w:pPr>
          </w:p>
        </w:tc>
        <w:tc>
          <w:tcPr>
            <w:tcW w:w="522" w:type="pct"/>
            <w:vMerge/>
          </w:tcPr>
          <w:p w14:paraId="5FD57920" w14:textId="77777777" w:rsidR="003E78AB" w:rsidRDefault="003E78AB">
            <w:pPr>
              <w:pStyle w:val="B1"/>
              <w:widowControl w:val="0"/>
              <w:spacing w:line="360" w:lineRule="exact"/>
              <w:rPr>
                <w:rFonts w:cs="Times New Roman"/>
              </w:rPr>
            </w:pPr>
          </w:p>
        </w:tc>
        <w:tc>
          <w:tcPr>
            <w:tcW w:w="910" w:type="pct"/>
            <w:vMerge/>
          </w:tcPr>
          <w:p w14:paraId="1B94B42B" w14:textId="77777777" w:rsidR="003E78AB" w:rsidRDefault="003E78AB">
            <w:pPr>
              <w:pStyle w:val="B1"/>
              <w:widowControl w:val="0"/>
              <w:spacing w:line="360" w:lineRule="exact"/>
              <w:rPr>
                <w:rFonts w:cs="Times New Roman"/>
              </w:rPr>
            </w:pPr>
          </w:p>
        </w:tc>
        <w:tc>
          <w:tcPr>
            <w:tcW w:w="1299" w:type="pct"/>
          </w:tcPr>
          <w:p w14:paraId="32D08C8B" w14:textId="77777777" w:rsidR="003E78AB" w:rsidRDefault="00010BF9">
            <w:pPr>
              <w:pStyle w:val="B1"/>
              <w:widowControl w:val="0"/>
              <w:spacing w:line="360" w:lineRule="exact"/>
              <w:rPr>
                <w:rFonts w:cs="Times New Roman"/>
              </w:rPr>
            </w:pPr>
            <w:r>
              <w:rPr>
                <w:rFonts w:cs="Times New Roman"/>
              </w:rPr>
              <w:t>生活垃圾</w:t>
            </w:r>
          </w:p>
        </w:tc>
        <w:tc>
          <w:tcPr>
            <w:tcW w:w="1857" w:type="pct"/>
          </w:tcPr>
          <w:p w14:paraId="05AC8FCF" w14:textId="77777777" w:rsidR="003E78AB" w:rsidRDefault="00010BF9">
            <w:pPr>
              <w:pStyle w:val="B1"/>
              <w:widowControl w:val="0"/>
              <w:spacing w:line="360" w:lineRule="exact"/>
              <w:rPr>
                <w:rFonts w:cs="Times New Roman"/>
              </w:rPr>
            </w:pPr>
            <w:r>
              <w:rPr>
                <w:rFonts w:cs="Times New Roman"/>
              </w:rPr>
              <w:t>生活垃圾</w:t>
            </w:r>
          </w:p>
        </w:tc>
      </w:tr>
      <w:tr w:rsidR="003E78AB" w14:paraId="26B15C48" w14:textId="77777777">
        <w:trPr>
          <w:trHeight w:val="2452"/>
        </w:trPr>
        <w:tc>
          <w:tcPr>
            <w:tcW w:w="411" w:type="pct"/>
            <w:vMerge/>
          </w:tcPr>
          <w:p w14:paraId="02ACDA6B" w14:textId="77777777" w:rsidR="003E78AB" w:rsidRDefault="003E78AB">
            <w:pPr>
              <w:pStyle w:val="B1"/>
              <w:widowControl w:val="0"/>
              <w:spacing w:line="360" w:lineRule="exact"/>
              <w:rPr>
                <w:rFonts w:cs="Times New Roman"/>
              </w:rPr>
            </w:pPr>
          </w:p>
        </w:tc>
        <w:tc>
          <w:tcPr>
            <w:tcW w:w="522" w:type="pct"/>
            <w:vMerge w:val="restart"/>
          </w:tcPr>
          <w:p w14:paraId="3C43FE15" w14:textId="77777777" w:rsidR="003E78AB" w:rsidRDefault="00010BF9">
            <w:pPr>
              <w:pStyle w:val="B1"/>
              <w:widowControl w:val="0"/>
              <w:spacing w:line="360" w:lineRule="exact"/>
              <w:rPr>
                <w:rFonts w:cs="Times New Roman"/>
              </w:rPr>
            </w:pPr>
            <w:r>
              <w:rPr>
                <w:rFonts w:cs="Times New Roman"/>
              </w:rPr>
              <w:t>运营期</w:t>
            </w:r>
          </w:p>
        </w:tc>
        <w:tc>
          <w:tcPr>
            <w:tcW w:w="910" w:type="pct"/>
            <w:vMerge w:val="restart"/>
          </w:tcPr>
          <w:p w14:paraId="177742DA" w14:textId="77777777" w:rsidR="003E78AB" w:rsidRDefault="00010BF9">
            <w:pPr>
              <w:pStyle w:val="B1"/>
              <w:widowControl w:val="0"/>
              <w:spacing w:line="360" w:lineRule="exact"/>
              <w:rPr>
                <w:rFonts w:cs="Times New Roman"/>
              </w:rPr>
            </w:pPr>
            <w:r>
              <w:rPr>
                <w:rFonts w:cs="Times New Roman"/>
              </w:rPr>
              <w:t>固废影响分析</w:t>
            </w:r>
          </w:p>
        </w:tc>
        <w:tc>
          <w:tcPr>
            <w:tcW w:w="1299" w:type="pct"/>
          </w:tcPr>
          <w:p w14:paraId="554C59CB" w14:textId="77777777" w:rsidR="003E78AB" w:rsidRDefault="00010BF9">
            <w:pPr>
              <w:pStyle w:val="B1"/>
              <w:widowControl w:val="0"/>
              <w:spacing w:line="360" w:lineRule="exact"/>
              <w:rPr>
                <w:rFonts w:cs="Times New Roman"/>
              </w:rPr>
            </w:pPr>
            <w:r>
              <w:rPr>
                <w:rFonts w:cs="Times New Roman"/>
              </w:rPr>
              <w:t>投料废滤袋、</w:t>
            </w:r>
            <w:r>
              <w:rPr>
                <w:rFonts w:cs="Times New Roman"/>
                <w:szCs w:val="21"/>
                <w:lang w:bidi="ar"/>
              </w:rPr>
              <w:t>废包装袋内衬（沾染有毒有害物质的）、实验室废液、</w:t>
            </w:r>
            <w:r>
              <w:rPr>
                <w:rFonts w:cs="Times New Roman"/>
              </w:rPr>
              <w:t>废试剂瓶、废润滑油、废包装桶、</w:t>
            </w:r>
            <w:r>
              <w:rPr>
                <w:rFonts w:cs="Times New Roman"/>
                <w:szCs w:val="21"/>
                <w:lang w:bidi="ar"/>
              </w:rPr>
              <w:t>沾染物料的</w:t>
            </w:r>
            <w:r>
              <w:rPr>
                <w:rFonts w:cs="Times New Roman"/>
              </w:rPr>
              <w:t>废抹布及劳保用品</w:t>
            </w:r>
            <w:r>
              <w:rPr>
                <w:rFonts w:cs="Times New Roman" w:hint="eastAsia"/>
              </w:rPr>
              <w:t>、结晶盐</w:t>
            </w:r>
            <w:r>
              <w:rPr>
                <w:rFonts w:cs="Times New Roman" w:hint="eastAsia"/>
              </w:rPr>
              <w:t>*</w:t>
            </w:r>
          </w:p>
        </w:tc>
        <w:tc>
          <w:tcPr>
            <w:tcW w:w="1857" w:type="pct"/>
          </w:tcPr>
          <w:p w14:paraId="6D1DAE37" w14:textId="77777777" w:rsidR="003E78AB" w:rsidRDefault="00010BF9">
            <w:pPr>
              <w:pStyle w:val="B1"/>
              <w:widowControl w:val="0"/>
              <w:spacing w:line="360" w:lineRule="exact"/>
              <w:rPr>
                <w:rFonts w:cs="Times New Roman"/>
              </w:rPr>
            </w:pPr>
            <w:r>
              <w:rPr>
                <w:rFonts w:cs="Times New Roman"/>
              </w:rPr>
              <w:t>危险废物</w:t>
            </w:r>
          </w:p>
        </w:tc>
      </w:tr>
      <w:tr w:rsidR="003E78AB" w14:paraId="19B5BFF9" w14:textId="77777777">
        <w:trPr>
          <w:trHeight w:val="206"/>
        </w:trPr>
        <w:tc>
          <w:tcPr>
            <w:tcW w:w="411" w:type="pct"/>
            <w:vMerge/>
          </w:tcPr>
          <w:p w14:paraId="7D2E09FF" w14:textId="77777777" w:rsidR="003E78AB" w:rsidRDefault="003E78AB">
            <w:pPr>
              <w:pStyle w:val="B1"/>
              <w:widowControl w:val="0"/>
              <w:spacing w:line="360" w:lineRule="exact"/>
              <w:rPr>
                <w:rFonts w:cs="Times New Roman"/>
              </w:rPr>
            </w:pPr>
          </w:p>
        </w:tc>
        <w:tc>
          <w:tcPr>
            <w:tcW w:w="522" w:type="pct"/>
            <w:vMerge/>
          </w:tcPr>
          <w:p w14:paraId="6A4285A7" w14:textId="77777777" w:rsidR="003E78AB" w:rsidRDefault="003E78AB">
            <w:pPr>
              <w:pStyle w:val="B1"/>
              <w:widowControl w:val="0"/>
              <w:spacing w:line="360" w:lineRule="exact"/>
              <w:rPr>
                <w:rFonts w:cs="Times New Roman"/>
              </w:rPr>
            </w:pPr>
          </w:p>
        </w:tc>
        <w:tc>
          <w:tcPr>
            <w:tcW w:w="910" w:type="pct"/>
            <w:vMerge/>
          </w:tcPr>
          <w:p w14:paraId="150E47FD" w14:textId="77777777" w:rsidR="003E78AB" w:rsidRDefault="003E78AB">
            <w:pPr>
              <w:pStyle w:val="B1"/>
              <w:widowControl w:val="0"/>
              <w:spacing w:line="360" w:lineRule="exact"/>
              <w:rPr>
                <w:rFonts w:cs="Times New Roman"/>
              </w:rPr>
            </w:pPr>
          </w:p>
        </w:tc>
        <w:tc>
          <w:tcPr>
            <w:tcW w:w="1299" w:type="pct"/>
          </w:tcPr>
          <w:p w14:paraId="5FEC7319" w14:textId="77777777" w:rsidR="003E78AB" w:rsidRDefault="00010BF9">
            <w:pPr>
              <w:pStyle w:val="B1"/>
              <w:widowControl w:val="0"/>
              <w:spacing w:line="360" w:lineRule="exact"/>
              <w:rPr>
                <w:rFonts w:cs="Times New Roman"/>
              </w:rPr>
            </w:pPr>
            <w:r>
              <w:rPr>
                <w:rFonts w:cs="Times New Roman"/>
              </w:rPr>
              <w:t>纯水</w:t>
            </w:r>
            <w:r>
              <w:rPr>
                <w:rFonts w:cs="Times New Roman"/>
              </w:rPr>
              <w:t>/</w:t>
            </w:r>
            <w:r>
              <w:rPr>
                <w:rFonts w:cs="Times New Roman"/>
              </w:rPr>
              <w:t>软水制备</w:t>
            </w:r>
            <w:r>
              <w:rPr>
                <w:rFonts w:cs="Times New Roman"/>
                <w:spacing w:val="-1"/>
                <w:szCs w:val="21"/>
              </w:rPr>
              <w:t>废滤芯</w:t>
            </w:r>
            <w:r>
              <w:rPr>
                <w:rFonts w:cs="Times New Roman" w:hint="eastAsia"/>
                <w:spacing w:val="-1"/>
                <w:szCs w:val="21"/>
              </w:rPr>
              <w:t>和</w:t>
            </w:r>
            <w:r>
              <w:rPr>
                <w:rFonts w:cs="Times New Roman"/>
                <w:szCs w:val="21"/>
                <w:lang w:bidi="ar"/>
              </w:rPr>
              <w:t>废过滤膜</w:t>
            </w:r>
            <w:r>
              <w:rPr>
                <w:rFonts w:cs="Times New Roman"/>
              </w:rPr>
              <w:t>、废外包装物（未沾染有毒有害物质的）</w:t>
            </w:r>
          </w:p>
        </w:tc>
        <w:tc>
          <w:tcPr>
            <w:tcW w:w="1857" w:type="pct"/>
          </w:tcPr>
          <w:p w14:paraId="0D087D26" w14:textId="77777777" w:rsidR="003E78AB" w:rsidRDefault="00010BF9">
            <w:pPr>
              <w:pStyle w:val="B1"/>
              <w:widowControl w:val="0"/>
              <w:spacing w:line="360" w:lineRule="exact"/>
              <w:rPr>
                <w:rFonts w:cs="Times New Roman"/>
              </w:rPr>
            </w:pPr>
            <w:r>
              <w:rPr>
                <w:rFonts w:cs="Times New Roman"/>
              </w:rPr>
              <w:t>一般工业固废</w:t>
            </w:r>
          </w:p>
        </w:tc>
      </w:tr>
      <w:tr w:rsidR="003E78AB" w14:paraId="23B3F042" w14:textId="77777777">
        <w:trPr>
          <w:trHeight w:val="397"/>
        </w:trPr>
        <w:tc>
          <w:tcPr>
            <w:tcW w:w="411" w:type="pct"/>
            <w:vMerge/>
          </w:tcPr>
          <w:p w14:paraId="6C926A87" w14:textId="77777777" w:rsidR="003E78AB" w:rsidRDefault="003E78AB">
            <w:pPr>
              <w:pStyle w:val="B1"/>
              <w:widowControl w:val="0"/>
              <w:spacing w:line="360" w:lineRule="exact"/>
              <w:rPr>
                <w:rFonts w:cs="Times New Roman"/>
              </w:rPr>
            </w:pPr>
          </w:p>
        </w:tc>
        <w:tc>
          <w:tcPr>
            <w:tcW w:w="522" w:type="pct"/>
            <w:vMerge/>
          </w:tcPr>
          <w:p w14:paraId="480DAA4A" w14:textId="77777777" w:rsidR="003E78AB" w:rsidRDefault="003E78AB">
            <w:pPr>
              <w:pStyle w:val="B1"/>
              <w:widowControl w:val="0"/>
              <w:spacing w:line="360" w:lineRule="exact"/>
              <w:rPr>
                <w:rFonts w:cs="Times New Roman"/>
              </w:rPr>
            </w:pPr>
          </w:p>
        </w:tc>
        <w:tc>
          <w:tcPr>
            <w:tcW w:w="910" w:type="pct"/>
            <w:vMerge/>
          </w:tcPr>
          <w:p w14:paraId="4F4AAC6D" w14:textId="77777777" w:rsidR="003E78AB" w:rsidRDefault="003E78AB">
            <w:pPr>
              <w:pStyle w:val="B1"/>
              <w:widowControl w:val="0"/>
              <w:spacing w:line="360" w:lineRule="exact"/>
              <w:rPr>
                <w:rFonts w:cs="Times New Roman"/>
              </w:rPr>
            </w:pPr>
          </w:p>
        </w:tc>
        <w:tc>
          <w:tcPr>
            <w:tcW w:w="1299" w:type="pct"/>
          </w:tcPr>
          <w:p w14:paraId="7EC5BFBD" w14:textId="77777777" w:rsidR="003E78AB" w:rsidRDefault="00010BF9">
            <w:pPr>
              <w:pStyle w:val="B1"/>
              <w:widowControl w:val="0"/>
              <w:spacing w:line="360" w:lineRule="exact"/>
              <w:rPr>
                <w:rFonts w:cs="Times New Roman"/>
              </w:rPr>
            </w:pPr>
            <w:r>
              <w:rPr>
                <w:rFonts w:cs="Times New Roman"/>
              </w:rPr>
              <w:t>生活垃圾</w:t>
            </w:r>
          </w:p>
        </w:tc>
        <w:tc>
          <w:tcPr>
            <w:tcW w:w="1857" w:type="pct"/>
          </w:tcPr>
          <w:p w14:paraId="0359B651" w14:textId="77777777" w:rsidR="003E78AB" w:rsidRDefault="00010BF9">
            <w:pPr>
              <w:pStyle w:val="B1"/>
              <w:widowControl w:val="0"/>
              <w:spacing w:line="360" w:lineRule="exact"/>
              <w:rPr>
                <w:rFonts w:cs="Times New Roman"/>
              </w:rPr>
            </w:pPr>
            <w:r>
              <w:rPr>
                <w:rFonts w:cs="Times New Roman"/>
              </w:rPr>
              <w:t>生活垃圾</w:t>
            </w:r>
          </w:p>
        </w:tc>
      </w:tr>
      <w:tr w:rsidR="003E78AB" w14:paraId="605E303B" w14:textId="77777777">
        <w:trPr>
          <w:trHeight w:val="397"/>
        </w:trPr>
        <w:tc>
          <w:tcPr>
            <w:tcW w:w="411" w:type="pct"/>
            <w:vMerge w:val="restart"/>
          </w:tcPr>
          <w:p w14:paraId="4914DB9C" w14:textId="77777777" w:rsidR="003E78AB" w:rsidRDefault="00010BF9">
            <w:pPr>
              <w:pStyle w:val="B1"/>
              <w:widowControl w:val="0"/>
              <w:spacing w:line="360" w:lineRule="exact"/>
              <w:rPr>
                <w:rFonts w:cs="Times New Roman"/>
              </w:rPr>
            </w:pPr>
            <w:r>
              <w:rPr>
                <w:rFonts w:cs="Times New Roman"/>
              </w:rPr>
              <w:t>土壤环境</w:t>
            </w:r>
          </w:p>
        </w:tc>
        <w:tc>
          <w:tcPr>
            <w:tcW w:w="522" w:type="pct"/>
          </w:tcPr>
          <w:p w14:paraId="4039BC06" w14:textId="77777777" w:rsidR="003E78AB" w:rsidRDefault="00010BF9">
            <w:pPr>
              <w:pStyle w:val="B1"/>
              <w:widowControl w:val="0"/>
              <w:spacing w:line="360" w:lineRule="exact"/>
              <w:rPr>
                <w:rFonts w:cs="Times New Roman"/>
              </w:rPr>
            </w:pPr>
            <w:r>
              <w:rPr>
                <w:rFonts w:cs="Times New Roman"/>
              </w:rPr>
              <w:t>施工期</w:t>
            </w:r>
          </w:p>
        </w:tc>
        <w:tc>
          <w:tcPr>
            <w:tcW w:w="910" w:type="pct"/>
          </w:tcPr>
          <w:p w14:paraId="01EF0F8B" w14:textId="77777777" w:rsidR="003E78AB" w:rsidRDefault="00010BF9">
            <w:pPr>
              <w:pStyle w:val="B1"/>
              <w:widowControl w:val="0"/>
              <w:spacing w:line="360" w:lineRule="exact"/>
              <w:rPr>
                <w:rFonts w:cs="Times New Roman"/>
              </w:rPr>
            </w:pPr>
            <w:r>
              <w:rPr>
                <w:rFonts w:cs="Times New Roman"/>
              </w:rPr>
              <w:t>土壤影响分析</w:t>
            </w:r>
          </w:p>
        </w:tc>
        <w:tc>
          <w:tcPr>
            <w:tcW w:w="1299" w:type="pct"/>
          </w:tcPr>
          <w:p w14:paraId="4B340769" w14:textId="77777777" w:rsidR="003E78AB" w:rsidRDefault="00010BF9">
            <w:pPr>
              <w:pStyle w:val="B1"/>
              <w:widowControl w:val="0"/>
              <w:spacing w:line="360" w:lineRule="exact"/>
              <w:rPr>
                <w:rFonts w:cs="Times New Roman"/>
              </w:rPr>
            </w:pPr>
            <w:r>
              <w:rPr>
                <w:rFonts w:cs="Times New Roman"/>
              </w:rPr>
              <w:t>土石方工程，三废污染</w:t>
            </w:r>
          </w:p>
        </w:tc>
        <w:tc>
          <w:tcPr>
            <w:tcW w:w="1857" w:type="pct"/>
          </w:tcPr>
          <w:p w14:paraId="260D1EAA" w14:textId="77777777" w:rsidR="003E78AB" w:rsidRDefault="00010BF9">
            <w:pPr>
              <w:pStyle w:val="B1"/>
              <w:widowControl w:val="0"/>
              <w:spacing w:line="360" w:lineRule="exact"/>
              <w:rPr>
                <w:rFonts w:cs="Times New Roman"/>
              </w:rPr>
            </w:pPr>
            <w:r>
              <w:rPr>
                <w:rFonts w:cs="Times New Roman"/>
              </w:rPr>
              <w:t>土壤结构破坏、土壤污染</w:t>
            </w:r>
          </w:p>
        </w:tc>
      </w:tr>
      <w:tr w:rsidR="003E78AB" w14:paraId="632E24E1" w14:textId="77777777">
        <w:trPr>
          <w:trHeight w:val="397"/>
        </w:trPr>
        <w:tc>
          <w:tcPr>
            <w:tcW w:w="411" w:type="pct"/>
            <w:vMerge/>
          </w:tcPr>
          <w:p w14:paraId="186D246C" w14:textId="77777777" w:rsidR="003E78AB" w:rsidRDefault="003E78AB">
            <w:pPr>
              <w:pStyle w:val="B1"/>
              <w:widowControl w:val="0"/>
              <w:spacing w:line="360" w:lineRule="exact"/>
              <w:rPr>
                <w:rFonts w:cs="Times New Roman"/>
              </w:rPr>
            </w:pPr>
          </w:p>
        </w:tc>
        <w:tc>
          <w:tcPr>
            <w:tcW w:w="522" w:type="pct"/>
            <w:vMerge w:val="restart"/>
          </w:tcPr>
          <w:p w14:paraId="2E1B06AC" w14:textId="77777777" w:rsidR="003E78AB" w:rsidRDefault="00010BF9">
            <w:pPr>
              <w:pStyle w:val="B1"/>
              <w:widowControl w:val="0"/>
              <w:spacing w:line="360" w:lineRule="exact"/>
              <w:rPr>
                <w:rFonts w:cs="Times New Roman"/>
              </w:rPr>
            </w:pPr>
            <w:r>
              <w:rPr>
                <w:rFonts w:cs="Times New Roman"/>
              </w:rPr>
              <w:t>运营期</w:t>
            </w:r>
          </w:p>
        </w:tc>
        <w:tc>
          <w:tcPr>
            <w:tcW w:w="910" w:type="pct"/>
          </w:tcPr>
          <w:p w14:paraId="5DDBBA3E" w14:textId="77777777" w:rsidR="003E78AB" w:rsidRDefault="00010BF9">
            <w:pPr>
              <w:pStyle w:val="B1"/>
              <w:widowControl w:val="0"/>
              <w:spacing w:line="360" w:lineRule="exact"/>
              <w:rPr>
                <w:rFonts w:cs="Times New Roman"/>
              </w:rPr>
            </w:pPr>
            <w:r>
              <w:rPr>
                <w:rFonts w:cs="Times New Roman"/>
              </w:rPr>
              <w:t>土壤现状调查</w:t>
            </w:r>
          </w:p>
        </w:tc>
        <w:tc>
          <w:tcPr>
            <w:tcW w:w="1299" w:type="pct"/>
          </w:tcPr>
          <w:p w14:paraId="5184BA7C" w14:textId="77777777" w:rsidR="003E78AB" w:rsidRDefault="00010BF9">
            <w:pPr>
              <w:pStyle w:val="B1"/>
              <w:widowControl w:val="0"/>
              <w:spacing w:line="360" w:lineRule="exact"/>
              <w:rPr>
                <w:rFonts w:cs="Times New Roman"/>
              </w:rPr>
            </w:pPr>
            <w:r>
              <w:rPr>
                <w:rFonts w:cs="Times New Roman"/>
              </w:rPr>
              <w:t>土壤现状</w:t>
            </w:r>
          </w:p>
        </w:tc>
        <w:tc>
          <w:tcPr>
            <w:tcW w:w="1857" w:type="pct"/>
          </w:tcPr>
          <w:p w14:paraId="6BF2F857" w14:textId="77777777" w:rsidR="003E78AB" w:rsidRDefault="00010BF9">
            <w:pPr>
              <w:pStyle w:val="B1"/>
              <w:widowControl w:val="0"/>
              <w:spacing w:line="360" w:lineRule="exact"/>
              <w:rPr>
                <w:rFonts w:cs="Times New Roman"/>
              </w:rPr>
            </w:pPr>
            <w:r>
              <w:rPr>
                <w:rFonts w:cs="Times New Roman"/>
              </w:rPr>
              <w:t>砷、镉、铬（六价）、铜、铅、汞、镍、四氯化碳、氯仿、氯甲烷、</w:t>
            </w:r>
            <w:r>
              <w:rPr>
                <w:rFonts w:cs="Times New Roman"/>
              </w:rPr>
              <w:t>1,1-</w:t>
            </w:r>
            <w:r>
              <w:rPr>
                <w:rFonts w:cs="Times New Roman"/>
              </w:rPr>
              <w:t>二氯乙烷、</w:t>
            </w:r>
            <w:r>
              <w:rPr>
                <w:rFonts w:cs="Times New Roman"/>
              </w:rPr>
              <w:t>1,2-</w:t>
            </w:r>
            <w:r>
              <w:rPr>
                <w:rFonts w:cs="Times New Roman"/>
              </w:rPr>
              <w:t>二氯乙烷、</w:t>
            </w:r>
            <w:r>
              <w:rPr>
                <w:rFonts w:cs="Times New Roman"/>
              </w:rPr>
              <w:t>1,1-</w:t>
            </w:r>
            <w:r>
              <w:rPr>
                <w:rFonts w:cs="Times New Roman"/>
              </w:rPr>
              <w:t>二氯乙烯、顺</w:t>
            </w:r>
            <w:r>
              <w:rPr>
                <w:rFonts w:cs="Times New Roman"/>
              </w:rPr>
              <w:t>-1,2-</w:t>
            </w:r>
            <w:r>
              <w:rPr>
                <w:rFonts w:cs="Times New Roman"/>
              </w:rPr>
              <w:t>二氯乙烯、反</w:t>
            </w:r>
            <w:r>
              <w:rPr>
                <w:rFonts w:cs="Times New Roman"/>
              </w:rPr>
              <w:t>-1,2-</w:t>
            </w:r>
            <w:r>
              <w:rPr>
                <w:rFonts w:cs="Times New Roman"/>
              </w:rPr>
              <w:t>二氯乙烯、二氯甲烷、</w:t>
            </w:r>
            <w:r>
              <w:rPr>
                <w:rFonts w:cs="Times New Roman"/>
              </w:rPr>
              <w:t>1,2-</w:t>
            </w:r>
            <w:r>
              <w:rPr>
                <w:rFonts w:cs="Times New Roman"/>
              </w:rPr>
              <w:t>二氯丙烷、</w:t>
            </w:r>
            <w:r>
              <w:rPr>
                <w:rFonts w:cs="Times New Roman"/>
              </w:rPr>
              <w:t>1,1,1,2-</w:t>
            </w:r>
            <w:r>
              <w:rPr>
                <w:rFonts w:cs="Times New Roman"/>
              </w:rPr>
              <w:t>四氯乙烷、</w:t>
            </w:r>
            <w:r>
              <w:rPr>
                <w:rFonts w:cs="Times New Roman"/>
              </w:rPr>
              <w:t>1,1,2,2-</w:t>
            </w:r>
            <w:r>
              <w:rPr>
                <w:rFonts w:cs="Times New Roman"/>
              </w:rPr>
              <w:t>四氯乙烷、四氯乙烯、</w:t>
            </w:r>
            <w:r>
              <w:rPr>
                <w:rFonts w:cs="Times New Roman"/>
              </w:rPr>
              <w:t>1,1,1-</w:t>
            </w:r>
            <w:r>
              <w:rPr>
                <w:rFonts w:cs="Times New Roman"/>
              </w:rPr>
              <w:t>三氯乙烷、</w:t>
            </w:r>
            <w:r>
              <w:rPr>
                <w:rFonts w:cs="Times New Roman"/>
              </w:rPr>
              <w:t>1,1,2-</w:t>
            </w:r>
            <w:r>
              <w:rPr>
                <w:rFonts w:cs="Times New Roman"/>
              </w:rPr>
              <w:t>三氯乙烷、三氯乙烯、</w:t>
            </w:r>
            <w:r>
              <w:rPr>
                <w:rFonts w:cs="Times New Roman"/>
              </w:rPr>
              <w:t>1,2,3-</w:t>
            </w:r>
            <w:r>
              <w:rPr>
                <w:rFonts w:cs="Times New Roman"/>
              </w:rPr>
              <w:t>三氯丙烷、氯乙烯、苯、氯苯、</w:t>
            </w:r>
            <w:r>
              <w:rPr>
                <w:rFonts w:cs="Times New Roman"/>
              </w:rPr>
              <w:t>1,2-</w:t>
            </w:r>
            <w:r>
              <w:rPr>
                <w:rFonts w:cs="Times New Roman"/>
              </w:rPr>
              <w:t>二氯苯、</w:t>
            </w:r>
            <w:r>
              <w:rPr>
                <w:rFonts w:cs="Times New Roman"/>
              </w:rPr>
              <w:t>1,4-</w:t>
            </w:r>
            <w:r>
              <w:rPr>
                <w:rFonts w:cs="Times New Roman"/>
              </w:rPr>
              <w:t>二氯苯、乙苯、苯乙烯、甲苯、间二甲苯</w:t>
            </w:r>
            <w:r>
              <w:rPr>
                <w:rFonts w:cs="Times New Roman"/>
              </w:rPr>
              <w:t>+</w:t>
            </w:r>
            <w:r>
              <w:rPr>
                <w:rFonts w:cs="Times New Roman"/>
              </w:rPr>
              <w:t>对二甲苯、邻二甲苯、硝基苯、苯胺、</w:t>
            </w:r>
            <w:r>
              <w:rPr>
                <w:rFonts w:cs="Times New Roman"/>
              </w:rPr>
              <w:t>2-</w:t>
            </w:r>
            <w:r>
              <w:rPr>
                <w:rFonts w:cs="Times New Roman"/>
              </w:rPr>
              <w:t>氯酚、苯并</w:t>
            </w:r>
            <w:r>
              <w:rPr>
                <w:rFonts w:cs="Times New Roman"/>
              </w:rPr>
              <w:t>[a]</w:t>
            </w:r>
            <w:r>
              <w:rPr>
                <w:rFonts w:cs="Times New Roman"/>
              </w:rPr>
              <w:t>蒽、苯并</w:t>
            </w:r>
            <w:r>
              <w:rPr>
                <w:rFonts w:cs="Times New Roman"/>
              </w:rPr>
              <w:t>[a]</w:t>
            </w:r>
            <w:r>
              <w:rPr>
                <w:rFonts w:cs="Times New Roman"/>
              </w:rPr>
              <w:t>芘、苯并</w:t>
            </w:r>
            <w:r>
              <w:rPr>
                <w:rFonts w:cs="Times New Roman"/>
              </w:rPr>
              <w:t>[b]</w:t>
            </w:r>
            <w:r>
              <w:rPr>
                <w:rFonts w:cs="Times New Roman"/>
              </w:rPr>
              <w:t>荧蒽、苯并</w:t>
            </w:r>
            <w:r>
              <w:rPr>
                <w:rFonts w:cs="Times New Roman"/>
              </w:rPr>
              <w:t>[k]</w:t>
            </w:r>
            <w:r>
              <w:rPr>
                <w:rFonts w:cs="Times New Roman"/>
              </w:rPr>
              <w:t>荧蒽、䓛、</w:t>
            </w:r>
            <w:r>
              <w:rPr>
                <w:rFonts w:cs="Times New Roman"/>
              </w:rPr>
              <w:t>二苯并</w:t>
            </w:r>
            <w:r>
              <w:rPr>
                <w:rFonts w:cs="Times New Roman"/>
              </w:rPr>
              <w:t>[a,h]</w:t>
            </w:r>
            <w:r>
              <w:rPr>
                <w:rFonts w:cs="Times New Roman"/>
              </w:rPr>
              <w:t>蒽、茚并</w:t>
            </w:r>
            <w:r>
              <w:rPr>
                <w:rFonts w:cs="Times New Roman"/>
              </w:rPr>
              <w:t>[1,2,3-cd]</w:t>
            </w:r>
            <w:r>
              <w:rPr>
                <w:rFonts w:cs="Times New Roman"/>
              </w:rPr>
              <w:t>芘、萘、</w:t>
            </w:r>
            <w:r>
              <w:rPr>
                <w:rFonts w:cs="Times New Roman"/>
              </w:rPr>
              <w:t>pH</w:t>
            </w:r>
            <w:r>
              <w:rPr>
                <w:rFonts w:cs="Times New Roman"/>
              </w:rPr>
              <w:t>、石油烃、</w:t>
            </w:r>
            <w:r>
              <w:rPr>
                <w:rFonts w:cs="Times New Roman"/>
                <w:szCs w:val="21"/>
              </w:rPr>
              <w:t>钒、</w:t>
            </w:r>
            <w:r>
              <w:rPr>
                <w:rFonts w:cs="Times New Roman"/>
                <w:bCs/>
                <w:szCs w:val="21"/>
              </w:rPr>
              <w:t>总磷</w:t>
            </w:r>
          </w:p>
        </w:tc>
      </w:tr>
      <w:tr w:rsidR="003E78AB" w14:paraId="1842EC34" w14:textId="77777777">
        <w:trPr>
          <w:trHeight w:val="397"/>
        </w:trPr>
        <w:tc>
          <w:tcPr>
            <w:tcW w:w="411" w:type="pct"/>
            <w:vMerge/>
          </w:tcPr>
          <w:p w14:paraId="7C49AE91" w14:textId="77777777" w:rsidR="003E78AB" w:rsidRDefault="003E78AB">
            <w:pPr>
              <w:pStyle w:val="B1"/>
              <w:widowControl w:val="0"/>
              <w:spacing w:line="360" w:lineRule="exact"/>
              <w:rPr>
                <w:rFonts w:cs="Times New Roman"/>
              </w:rPr>
            </w:pPr>
          </w:p>
        </w:tc>
        <w:tc>
          <w:tcPr>
            <w:tcW w:w="522" w:type="pct"/>
            <w:vMerge/>
          </w:tcPr>
          <w:p w14:paraId="31BAE0EB" w14:textId="77777777" w:rsidR="003E78AB" w:rsidRDefault="003E78AB">
            <w:pPr>
              <w:pStyle w:val="B1"/>
              <w:widowControl w:val="0"/>
              <w:spacing w:line="360" w:lineRule="exact"/>
              <w:rPr>
                <w:rFonts w:cs="Times New Roman"/>
              </w:rPr>
            </w:pPr>
          </w:p>
        </w:tc>
        <w:tc>
          <w:tcPr>
            <w:tcW w:w="910" w:type="pct"/>
          </w:tcPr>
          <w:p w14:paraId="6953751B" w14:textId="77777777" w:rsidR="003E78AB" w:rsidRDefault="00010BF9">
            <w:pPr>
              <w:pStyle w:val="B1"/>
              <w:widowControl w:val="0"/>
              <w:spacing w:line="360" w:lineRule="exact"/>
              <w:rPr>
                <w:rFonts w:cs="Times New Roman"/>
                <w:lang w:val="zh-CN"/>
              </w:rPr>
            </w:pPr>
            <w:r>
              <w:rPr>
                <w:rFonts w:cs="Times New Roman"/>
                <w:lang w:val="zh-CN"/>
              </w:rPr>
              <w:t>土壤影响分析</w:t>
            </w:r>
          </w:p>
        </w:tc>
        <w:tc>
          <w:tcPr>
            <w:tcW w:w="1299" w:type="pct"/>
          </w:tcPr>
          <w:p w14:paraId="41C06F90" w14:textId="77777777" w:rsidR="003E78AB" w:rsidRDefault="00010BF9">
            <w:pPr>
              <w:pStyle w:val="B1"/>
              <w:widowControl w:val="0"/>
              <w:spacing w:line="360" w:lineRule="exact"/>
              <w:rPr>
                <w:rFonts w:cs="Times New Roman"/>
                <w:lang w:val="zh-CN"/>
              </w:rPr>
            </w:pPr>
            <w:r>
              <w:rPr>
                <w:rFonts w:cs="Times New Roman"/>
                <w:lang w:val="zh-CN"/>
              </w:rPr>
              <w:t>废气沉降污染；废水事故泄漏影响</w:t>
            </w:r>
          </w:p>
        </w:tc>
        <w:tc>
          <w:tcPr>
            <w:tcW w:w="1857" w:type="pct"/>
          </w:tcPr>
          <w:p w14:paraId="0E84D097" w14:textId="77777777" w:rsidR="003E78AB" w:rsidRDefault="00010BF9">
            <w:pPr>
              <w:pStyle w:val="B1"/>
              <w:widowControl w:val="0"/>
              <w:spacing w:line="360" w:lineRule="exact"/>
              <w:rPr>
                <w:rFonts w:cs="Times New Roman"/>
              </w:rPr>
            </w:pPr>
            <w:r>
              <w:rPr>
                <w:rFonts w:cs="Times New Roman"/>
              </w:rPr>
              <w:t>pH</w:t>
            </w:r>
            <w:r>
              <w:rPr>
                <w:rFonts w:cs="Times New Roman"/>
              </w:rPr>
              <w:t>、石油烃、</w:t>
            </w:r>
            <w:r>
              <w:rPr>
                <w:rFonts w:cs="Times New Roman"/>
                <w:szCs w:val="21"/>
              </w:rPr>
              <w:t>钒、</w:t>
            </w:r>
            <w:r>
              <w:rPr>
                <w:rFonts w:cs="Times New Roman"/>
                <w:bCs/>
                <w:szCs w:val="21"/>
              </w:rPr>
              <w:t>总磷</w:t>
            </w:r>
          </w:p>
        </w:tc>
      </w:tr>
      <w:tr w:rsidR="003E78AB" w14:paraId="6BAF34DF" w14:textId="77777777">
        <w:trPr>
          <w:trHeight w:val="397"/>
        </w:trPr>
        <w:tc>
          <w:tcPr>
            <w:tcW w:w="411" w:type="pct"/>
            <w:vMerge w:val="restart"/>
          </w:tcPr>
          <w:p w14:paraId="5A6C34F8" w14:textId="77777777" w:rsidR="003E78AB" w:rsidRDefault="00010BF9">
            <w:pPr>
              <w:pStyle w:val="B1"/>
              <w:widowControl w:val="0"/>
              <w:spacing w:line="360" w:lineRule="exact"/>
              <w:rPr>
                <w:rFonts w:cs="Times New Roman"/>
              </w:rPr>
            </w:pPr>
            <w:r>
              <w:rPr>
                <w:rFonts w:cs="Times New Roman"/>
              </w:rPr>
              <w:t>生态</w:t>
            </w:r>
          </w:p>
        </w:tc>
        <w:tc>
          <w:tcPr>
            <w:tcW w:w="522" w:type="pct"/>
          </w:tcPr>
          <w:p w14:paraId="04390323" w14:textId="77777777" w:rsidR="003E78AB" w:rsidRDefault="00010BF9">
            <w:pPr>
              <w:pStyle w:val="B1"/>
              <w:widowControl w:val="0"/>
              <w:spacing w:line="360" w:lineRule="exact"/>
              <w:rPr>
                <w:rFonts w:cs="Times New Roman"/>
              </w:rPr>
            </w:pPr>
            <w:r>
              <w:rPr>
                <w:rFonts w:cs="Times New Roman"/>
              </w:rPr>
              <w:t>施工期</w:t>
            </w:r>
          </w:p>
        </w:tc>
        <w:tc>
          <w:tcPr>
            <w:tcW w:w="910" w:type="pct"/>
          </w:tcPr>
          <w:p w14:paraId="1A39FE8E" w14:textId="77777777" w:rsidR="003E78AB" w:rsidRDefault="00010BF9">
            <w:pPr>
              <w:pStyle w:val="B1"/>
              <w:widowControl w:val="0"/>
              <w:spacing w:line="360" w:lineRule="exact"/>
              <w:rPr>
                <w:rFonts w:cs="Times New Roman"/>
              </w:rPr>
            </w:pPr>
            <w:r>
              <w:rPr>
                <w:rFonts w:cs="Times New Roman"/>
              </w:rPr>
              <w:t>生态环境质量现状分析</w:t>
            </w:r>
          </w:p>
        </w:tc>
        <w:tc>
          <w:tcPr>
            <w:tcW w:w="3156" w:type="pct"/>
            <w:gridSpan w:val="2"/>
          </w:tcPr>
          <w:p w14:paraId="3DE740D6" w14:textId="77777777" w:rsidR="003E78AB" w:rsidRDefault="00010BF9">
            <w:pPr>
              <w:pStyle w:val="B1"/>
              <w:widowControl w:val="0"/>
              <w:spacing w:line="360" w:lineRule="exact"/>
              <w:rPr>
                <w:rFonts w:cs="Times New Roman"/>
              </w:rPr>
            </w:pPr>
            <w:r>
              <w:rPr>
                <w:rFonts w:cs="Times New Roman"/>
              </w:rPr>
              <w:t>地形地貌、土地利用、水土流失等</w:t>
            </w:r>
          </w:p>
        </w:tc>
      </w:tr>
      <w:tr w:rsidR="003E78AB" w14:paraId="3EEFC2C0" w14:textId="77777777">
        <w:trPr>
          <w:trHeight w:val="397"/>
        </w:trPr>
        <w:tc>
          <w:tcPr>
            <w:tcW w:w="411" w:type="pct"/>
            <w:vMerge/>
          </w:tcPr>
          <w:p w14:paraId="3B8C34C4" w14:textId="77777777" w:rsidR="003E78AB" w:rsidRDefault="003E78AB">
            <w:pPr>
              <w:pStyle w:val="B1"/>
              <w:widowControl w:val="0"/>
              <w:spacing w:line="360" w:lineRule="exact"/>
              <w:rPr>
                <w:rFonts w:cs="Times New Roman"/>
              </w:rPr>
            </w:pPr>
          </w:p>
        </w:tc>
        <w:tc>
          <w:tcPr>
            <w:tcW w:w="522" w:type="pct"/>
          </w:tcPr>
          <w:p w14:paraId="0CD11075" w14:textId="77777777" w:rsidR="003E78AB" w:rsidRDefault="00010BF9">
            <w:pPr>
              <w:pStyle w:val="B1"/>
              <w:widowControl w:val="0"/>
              <w:spacing w:line="360" w:lineRule="exact"/>
              <w:rPr>
                <w:rFonts w:cs="Times New Roman"/>
              </w:rPr>
            </w:pPr>
            <w:r>
              <w:rPr>
                <w:rFonts w:cs="Times New Roman"/>
              </w:rPr>
              <w:t>运营期</w:t>
            </w:r>
          </w:p>
        </w:tc>
        <w:tc>
          <w:tcPr>
            <w:tcW w:w="910" w:type="pct"/>
          </w:tcPr>
          <w:p w14:paraId="4B711665" w14:textId="77777777" w:rsidR="003E78AB" w:rsidRDefault="00010BF9">
            <w:pPr>
              <w:pStyle w:val="B1"/>
              <w:widowControl w:val="0"/>
              <w:spacing w:line="360" w:lineRule="exact"/>
              <w:rPr>
                <w:rFonts w:cs="Times New Roman"/>
              </w:rPr>
            </w:pPr>
            <w:r>
              <w:rPr>
                <w:rFonts w:cs="Times New Roman"/>
              </w:rPr>
              <w:t>生态影响分析</w:t>
            </w:r>
          </w:p>
        </w:tc>
        <w:tc>
          <w:tcPr>
            <w:tcW w:w="3156" w:type="pct"/>
            <w:gridSpan w:val="2"/>
          </w:tcPr>
          <w:p w14:paraId="4C74FBE1" w14:textId="77777777" w:rsidR="003E78AB" w:rsidRDefault="00010BF9">
            <w:pPr>
              <w:pStyle w:val="B1"/>
              <w:widowControl w:val="0"/>
              <w:spacing w:line="360" w:lineRule="exact"/>
              <w:rPr>
                <w:rFonts w:cs="Times New Roman"/>
              </w:rPr>
            </w:pPr>
            <w:r>
              <w:rPr>
                <w:rFonts w:cs="Times New Roman"/>
              </w:rPr>
              <w:t>占地、水土流失等</w:t>
            </w:r>
          </w:p>
        </w:tc>
      </w:tr>
      <w:tr w:rsidR="003E78AB" w14:paraId="5EEB824E" w14:textId="77777777">
        <w:trPr>
          <w:trHeight w:val="397"/>
        </w:trPr>
        <w:tc>
          <w:tcPr>
            <w:tcW w:w="411" w:type="pct"/>
          </w:tcPr>
          <w:p w14:paraId="0F0F1BB1" w14:textId="77777777" w:rsidR="003E78AB" w:rsidRDefault="00010BF9">
            <w:pPr>
              <w:pStyle w:val="B1"/>
              <w:widowControl w:val="0"/>
              <w:spacing w:line="360" w:lineRule="exact"/>
              <w:rPr>
                <w:rFonts w:cs="Times New Roman"/>
              </w:rPr>
            </w:pPr>
            <w:r>
              <w:rPr>
                <w:rFonts w:cs="Times New Roman"/>
              </w:rPr>
              <w:t>环境</w:t>
            </w:r>
            <w:r>
              <w:rPr>
                <w:rFonts w:cs="Times New Roman"/>
              </w:rPr>
              <w:lastRenderedPageBreak/>
              <w:t>风险</w:t>
            </w:r>
          </w:p>
        </w:tc>
        <w:tc>
          <w:tcPr>
            <w:tcW w:w="522" w:type="pct"/>
          </w:tcPr>
          <w:p w14:paraId="51A603E8" w14:textId="77777777" w:rsidR="003E78AB" w:rsidRDefault="00010BF9">
            <w:pPr>
              <w:pStyle w:val="B1"/>
              <w:widowControl w:val="0"/>
              <w:spacing w:line="360" w:lineRule="exact"/>
              <w:rPr>
                <w:rFonts w:cs="Times New Roman"/>
              </w:rPr>
            </w:pPr>
            <w:r>
              <w:rPr>
                <w:rFonts w:cs="Times New Roman"/>
              </w:rPr>
              <w:lastRenderedPageBreak/>
              <w:t>运营期</w:t>
            </w:r>
          </w:p>
        </w:tc>
        <w:tc>
          <w:tcPr>
            <w:tcW w:w="910" w:type="pct"/>
          </w:tcPr>
          <w:p w14:paraId="68F0B45E" w14:textId="77777777" w:rsidR="003E78AB" w:rsidRDefault="00010BF9">
            <w:pPr>
              <w:pStyle w:val="B1"/>
              <w:widowControl w:val="0"/>
              <w:spacing w:line="360" w:lineRule="exact"/>
              <w:rPr>
                <w:rFonts w:cs="Times New Roman"/>
              </w:rPr>
            </w:pPr>
            <w:r>
              <w:rPr>
                <w:rFonts w:cs="Times New Roman"/>
              </w:rPr>
              <w:t>环境风险评价</w:t>
            </w:r>
          </w:p>
        </w:tc>
        <w:tc>
          <w:tcPr>
            <w:tcW w:w="3156" w:type="pct"/>
            <w:gridSpan w:val="2"/>
          </w:tcPr>
          <w:p w14:paraId="75447939" w14:textId="77777777" w:rsidR="003E78AB" w:rsidRDefault="00010BF9">
            <w:pPr>
              <w:pStyle w:val="B1"/>
              <w:widowControl w:val="0"/>
              <w:spacing w:line="360" w:lineRule="exact"/>
              <w:rPr>
                <w:rFonts w:cs="Times New Roman"/>
              </w:rPr>
            </w:pPr>
            <w:r>
              <w:rPr>
                <w:rFonts w:cs="Times New Roman"/>
              </w:rPr>
              <w:t>硫酸、磷酸、五氧化二钒</w:t>
            </w:r>
            <w:r>
              <w:rPr>
                <w:rFonts w:cs="Times New Roman" w:hint="eastAsia"/>
              </w:rPr>
              <w:t>、</w:t>
            </w:r>
            <w:r>
              <w:rPr>
                <w:rFonts w:cs="Times New Roman" w:hint="eastAsia"/>
              </w:rPr>
              <w:t>钒电解液、危废</w:t>
            </w:r>
          </w:p>
        </w:tc>
      </w:tr>
      <w:tr w:rsidR="003E78AB" w14:paraId="7ED21C2F" w14:textId="77777777">
        <w:trPr>
          <w:trHeight w:val="397"/>
        </w:trPr>
        <w:tc>
          <w:tcPr>
            <w:tcW w:w="5000" w:type="pct"/>
            <w:gridSpan w:val="5"/>
          </w:tcPr>
          <w:p w14:paraId="0BF2DB42" w14:textId="77777777" w:rsidR="003E78AB" w:rsidRDefault="00010BF9">
            <w:pPr>
              <w:pStyle w:val="B1"/>
              <w:widowControl w:val="0"/>
              <w:spacing w:line="360" w:lineRule="exact"/>
              <w:jc w:val="both"/>
              <w:rPr>
                <w:rFonts w:cs="Times New Roman"/>
              </w:rPr>
            </w:pPr>
            <w:bookmarkStart w:id="104" w:name="_Toc201661685"/>
            <w:bookmarkStart w:id="105" w:name="_Toc221561112"/>
            <w:bookmarkStart w:id="106" w:name="_Toc14680"/>
            <w:bookmarkStart w:id="107" w:name="_Toc223503426"/>
            <w:bookmarkStart w:id="108" w:name="_Toc4995"/>
            <w:bookmarkStart w:id="109" w:name="_Toc518697110"/>
            <w:bookmarkStart w:id="110" w:name="_Toc201661720"/>
            <w:bookmarkStart w:id="111" w:name="_Toc20586"/>
            <w:bookmarkStart w:id="112" w:name="_Toc28238"/>
            <w:r>
              <w:rPr>
                <w:rFonts w:cs="Times New Roman" w:hint="eastAsia"/>
              </w:rPr>
              <w:lastRenderedPageBreak/>
              <w:t>*</w:t>
            </w:r>
            <w:r>
              <w:rPr>
                <w:bCs/>
                <w:kern w:val="2"/>
              </w:rPr>
              <w:t>结晶盐</w:t>
            </w:r>
            <w:r>
              <w:rPr>
                <w:rFonts w:hint="eastAsia"/>
                <w:bCs/>
                <w:kern w:val="2"/>
              </w:rPr>
              <w:t>为固体废物</w:t>
            </w:r>
            <w:r>
              <w:rPr>
                <w:bCs/>
                <w:kern w:val="2"/>
              </w:rPr>
              <w:t>，属性</w:t>
            </w:r>
            <w:r>
              <w:rPr>
                <w:rFonts w:hint="eastAsia"/>
                <w:bCs/>
                <w:kern w:val="2"/>
              </w:rPr>
              <w:t>确定</w:t>
            </w:r>
            <w:r>
              <w:rPr>
                <w:bCs/>
                <w:kern w:val="2"/>
              </w:rPr>
              <w:t>前按危废收集处置</w:t>
            </w:r>
            <w:r>
              <w:rPr>
                <w:rFonts w:hint="eastAsia"/>
                <w:bCs/>
                <w:kern w:val="2"/>
              </w:rPr>
              <w:t>。</w:t>
            </w:r>
          </w:p>
        </w:tc>
      </w:tr>
    </w:tbl>
    <w:p w14:paraId="5D903387" w14:textId="77777777" w:rsidR="003E78AB" w:rsidRDefault="00010BF9">
      <w:pPr>
        <w:pStyle w:val="24"/>
        <w:keepNext w:val="0"/>
        <w:keepLines w:val="0"/>
        <w:topLinePunct/>
        <w:spacing w:before="156"/>
        <w:rPr>
          <w:rFonts w:cs="Times New Roman"/>
        </w:rPr>
      </w:pPr>
      <w:r>
        <w:rPr>
          <w:rFonts w:cs="Times New Roman"/>
        </w:rPr>
        <w:t>2.4</w:t>
      </w:r>
      <w:bookmarkEnd w:id="104"/>
      <w:bookmarkEnd w:id="105"/>
      <w:bookmarkEnd w:id="106"/>
      <w:bookmarkEnd w:id="107"/>
      <w:bookmarkEnd w:id="108"/>
      <w:bookmarkEnd w:id="109"/>
      <w:bookmarkEnd w:id="110"/>
      <w:r>
        <w:rPr>
          <w:rFonts w:cs="Times New Roman"/>
        </w:rPr>
        <w:t>环境影响评价等级的划分</w:t>
      </w:r>
      <w:bookmarkEnd w:id="111"/>
      <w:bookmarkEnd w:id="112"/>
    </w:p>
    <w:p w14:paraId="0015B703" w14:textId="77777777" w:rsidR="003E78AB" w:rsidRDefault="00010BF9">
      <w:pPr>
        <w:pStyle w:val="31"/>
        <w:keepNext w:val="0"/>
        <w:keepLines w:val="0"/>
        <w:topLinePunct/>
        <w:spacing w:before="156"/>
        <w:rPr>
          <w:rFonts w:cs="Times New Roman"/>
        </w:rPr>
      </w:pPr>
      <w:bookmarkStart w:id="113" w:name="_Toc467999942"/>
      <w:bookmarkStart w:id="114" w:name="_Toc518697120"/>
      <w:bookmarkStart w:id="115" w:name="_Toc518697112"/>
      <w:r>
        <w:rPr>
          <w:rFonts w:cs="Times New Roman"/>
        </w:rPr>
        <w:t>2.4.1</w:t>
      </w:r>
      <w:r>
        <w:rPr>
          <w:rFonts w:cs="Times New Roman"/>
        </w:rPr>
        <w:t>大气环境</w:t>
      </w:r>
      <w:bookmarkEnd w:id="113"/>
      <w:bookmarkEnd w:id="114"/>
      <w:r>
        <w:rPr>
          <w:rFonts w:cs="Times New Roman"/>
        </w:rPr>
        <w:t>评价等级划分</w:t>
      </w:r>
    </w:p>
    <w:p w14:paraId="5C1A8FF5" w14:textId="77777777" w:rsidR="003E78AB" w:rsidRDefault="00010BF9">
      <w:pPr>
        <w:ind w:firstLine="480"/>
        <w:rPr>
          <w:kern w:val="2"/>
        </w:rPr>
      </w:pPr>
      <w:r>
        <w:rPr>
          <w:kern w:val="2"/>
        </w:rPr>
        <w:t>（</w:t>
      </w:r>
      <w:r>
        <w:rPr>
          <w:kern w:val="2"/>
        </w:rPr>
        <w:t>1</w:t>
      </w:r>
      <w:r>
        <w:rPr>
          <w:kern w:val="2"/>
        </w:rPr>
        <w:t>）工作分级确定方法</w:t>
      </w:r>
    </w:p>
    <w:p w14:paraId="021187BF" w14:textId="77777777" w:rsidR="003E78AB" w:rsidRDefault="00010BF9">
      <w:pPr>
        <w:ind w:firstLine="480"/>
        <w:rPr>
          <w:kern w:val="2"/>
        </w:rPr>
      </w:pPr>
      <w:r>
        <w:rPr>
          <w:kern w:val="2"/>
        </w:rPr>
        <w:t>根据《环境影响评价技术导则</w:t>
      </w:r>
      <w:r>
        <w:rPr>
          <w:kern w:val="2"/>
        </w:rPr>
        <w:t xml:space="preserve"> </w:t>
      </w:r>
      <w:r>
        <w:rPr>
          <w:kern w:val="2"/>
        </w:rPr>
        <w:t>大气环境》（</w:t>
      </w:r>
      <w:r>
        <w:rPr>
          <w:kern w:val="2"/>
        </w:rPr>
        <w:t>HJ2.2-2018</w:t>
      </w:r>
      <w:r>
        <w:rPr>
          <w:kern w:val="2"/>
        </w:rPr>
        <w:t>）中关于评价工作分级方法，结合项目的初步工程分析结果，选取</w:t>
      </w:r>
      <w:r>
        <w:t>PM</w:t>
      </w:r>
      <w:r>
        <w:rPr>
          <w:vertAlign w:val="subscript"/>
        </w:rPr>
        <w:t>10</w:t>
      </w:r>
      <w:r>
        <w:t>、</w:t>
      </w:r>
      <w:r>
        <w:t>SO</w:t>
      </w:r>
      <w:r>
        <w:rPr>
          <w:vertAlign w:val="subscript"/>
        </w:rPr>
        <w:t>2</w:t>
      </w:r>
      <w:r>
        <w:t>、</w:t>
      </w:r>
      <w:r>
        <w:t>NO</w:t>
      </w:r>
      <w:r>
        <w:rPr>
          <w:vertAlign w:val="subscript"/>
        </w:rPr>
        <w:t>x</w:t>
      </w:r>
      <w:r>
        <w:t>、</w:t>
      </w:r>
      <w:r>
        <w:rPr>
          <w:rFonts w:hint="eastAsia"/>
        </w:rPr>
        <w:t>硫酸雾</w:t>
      </w:r>
      <w:r>
        <w:t>、</w:t>
      </w:r>
      <w:r>
        <w:rPr>
          <w:rFonts w:hint="eastAsia"/>
          <w:bCs/>
        </w:rPr>
        <w:t>TVOC</w:t>
      </w:r>
      <w:r>
        <w:rPr>
          <w:kern w:val="2"/>
        </w:rPr>
        <w:t>等特征污染物作为大气预测计算因子，采用《环境影响评价技术导则</w:t>
      </w:r>
      <w:r>
        <w:rPr>
          <w:kern w:val="2"/>
        </w:rPr>
        <w:t xml:space="preserve"> </w:t>
      </w:r>
      <w:r>
        <w:rPr>
          <w:kern w:val="2"/>
        </w:rPr>
        <w:t>大气环境》（</w:t>
      </w:r>
      <w:r>
        <w:rPr>
          <w:kern w:val="2"/>
        </w:rPr>
        <w:t>HJ2.2-2018</w:t>
      </w:r>
      <w:r>
        <w:rPr>
          <w:kern w:val="2"/>
        </w:rPr>
        <w:t>）中附录</w:t>
      </w:r>
      <w:r>
        <w:rPr>
          <w:kern w:val="2"/>
        </w:rPr>
        <w:t>A</w:t>
      </w:r>
      <w:r>
        <w:rPr>
          <w:kern w:val="2"/>
        </w:rPr>
        <w:t>推荐的估算模型（</w:t>
      </w:r>
      <w:r>
        <w:rPr>
          <w:kern w:val="2"/>
        </w:rPr>
        <w:t>AERSCREEN</w:t>
      </w:r>
      <w:r>
        <w:rPr>
          <w:kern w:val="2"/>
        </w:rPr>
        <w:t>）计算各主要污染源的最大地面浓度和各污染物的地面浓度达标准限值</w:t>
      </w:r>
      <w:r>
        <w:rPr>
          <w:kern w:val="2"/>
        </w:rPr>
        <w:t>10%</w:t>
      </w:r>
      <w:r>
        <w:rPr>
          <w:kern w:val="2"/>
        </w:rPr>
        <w:t>时所对应的最远影响距离</w:t>
      </w:r>
      <w:r>
        <w:rPr>
          <w:kern w:val="2"/>
        </w:rPr>
        <w:t>D</w:t>
      </w:r>
      <w:r>
        <w:rPr>
          <w:kern w:val="2"/>
          <w:vertAlign w:val="subscript"/>
        </w:rPr>
        <w:t>10%</w:t>
      </w:r>
      <w:r>
        <w:rPr>
          <w:kern w:val="2"/>
        </w:rPr>
        <w:t>。根据计算结果和《环境影响评价技术导则</w:t>
      </w:r>
      <w:r>
        <w:rPr>
          <w:kern w:val="2"/>
        </w:rPr>
        <w:t xml:space="preserve"> </w:t>
      </w:r>
      <w:r>
        <w:rPr>
          <w:kern w:val="2"/>
        </w:rPr>
        <w:t>大气环境》（</w:t>
      </w:r>
      <w:r>
        <w:rPr>
          <w:kern w:val="2"/>
        </w:rPr>
        <w:t>HJ2.2-2018</w:t>
      </w:r>
      <w:r>
        <w:rPr>
          <w:kern w:val="2"/>
        </w:rPr>
        <w:t>）中表</w:t>
      </w:r>
      <w:r>
        <w:rPr>
          <w:kern w:val="2"/>
        </w:rPr>
        <w:t>1</w:t>
      </w:r>
      <w:r>
        <w:rPr>
          <w:kern w:val="2"/>
        </w:rPr>
        <w:t>评价工作判据，确定本次评价工作等级。计算结果和采用的主要参数以及</w:t>
      </w:r>
      <w:r>
        <w:rPr>
          <w:kern w:val="2"/>
        </w:rPr>
        <w:t>评价工作等级见</w:t>
      </w:r>
      <w:r>
        <w:rPr>
          <w:kern w:val="2"/>
        </w:rPr>
        <w:fldChar w:fldCharType="begin"/>
      </w:r>
      <w:r>
        <w:rPr>
          <w:kern w:val="2"/>
        </w:rPr>
        <w:instrText xml:space="preserve"> REF _Ref27177 \r \h </w:instrText>
      </w:r>
      <w:r>
        <w:rPr>
          <w:kern w:val="2"/>
        </w:rPr>
      </w:r>
      <w:r>
        <w:rPr>
          <w:kern w:val="2"/>
        </w:rPr>
        <w:fldChar w:fldCharType="separate"/>
      </w:r>
      <w:r>
        <w:rPr>
          <w:kern w:val="2"/>
        </w:rPr>
        <w:t>表</w:t>
      </w:r>
      <w:r>
        <w:rPr>
          <w:kern w:val="2"/>
        </w:rPr>
        <w:t>2-3</w:t>
      </w:r>
      <w:r>
        <w:rPr>
          <w:kern w:val="2"/>
        </w:rPr>
        <w:fldChar w:fldCharType="end"/>
      </w:r>
      <w:r>
        <w:rPr>
          <w:kern w:val="2"/>
        </w:rPr>
        <w:t>。</w:t>
      </w:r>
    </w:p>
    <w:p w14:paraId="75914E0D" w14:textId="77777777" w:rsidR="003E78AB" w:rsidRDefault="00010BF9">
      <w:pPr>
        <w:ind w:firstLine="480"/>
        <w:jc w:val="center"/>
        <w:rPr>
          <w:kern w:val="2"/>
        </w:rPr>
      </w:pPr>
      <w:r>
        <w:rPr>
          <w:kern w:val="2"/>
        </w:rPr>
        <w:t>P</w:t>
      </w:r>
      <w:r>
        <w:rPr>
          <w:kern w:val="2"/>
          <w:vertAlign w:val="subscript"/>
        </w:rPr>
        <w:t>i</w:t>
      </w:r>
      <w:r>
        <w:rPr>
          <w:kern w:val="2"/>
        </w:rPr>
        <w:t>=</w:t>
      </w:r>
      <w:r>
        <w:rPr>
          <w:kern w:val="2"/>
        </w:rPr>
        <w:t>（</w:t>
      </w:r>
      <w:r>
        <w:rPr>
          <w:kern w:val="2"/>
        </w:rPr>
        <w:t>C</w:t>
      </w:r>
      <w:r>
        <w:rPr>
          <w:kern w:val="2"/>
          <w:vertAlign w:val="subscript"/>
        </w:rPr>
        <w:t>i</w:t>
      </w:r>
      <w:r>
        <w:rPr>
          <w:kern w:val="2"/>
        </w:rPr>
        <w:t>/C</w:t>
      </w:r>
      <w:r>
        <w:rPr>
          <w:kern w:val="2"/>
          <w:vertAlign w:val="subscript"/>
        </w:rPr>
        <w:t>oi</w:t>
      </w:r>
      <w:r>
        <w:rPr>
          <w:kern w:val="2"/>
        </w:rPr>
        <w:t>）</w:t>
      </w:r>
      <w:r>
        <w:rPr>
          <w:kern w:val="2"/>
        </w:rPr>
        <w:t>×100%</w:t>
      </w:r>
    </w:p>
    <w:p w14:paraId="626C343F" w14:textId="77777777" w:rsidR="003E78AB" w:rsidRDefault="00010BF9">
      <w:pPr>
        <w:ind w:firstLine="480"/>
        <w:rPr>
          <w:kern w:val="2"/>
        </w:rPr>
      </w:pPr>
      <w:r>
        <w:rPr>
          <w:kern w:val="2"/>
        </w:rPr>
        <w:t>式中：</w:t>
      </w:r>
      <w:r>
        <w:rPr>
          <w:kern w:val="2"/>
        </w:rPr>
        <w:t>P</w:t>
      </w:r>
      <w:r>
        <w:rPr>
          <w:kern w:val="2"/>
          <w:vertAlign w:val="subscript"/>
        </w:rPr>
        <w:t>i</w:t>
      </w:r>
      <w:r>
        <w:rPr>
          <w:kern w:val="2"/>
        </w:rPr>
        <w:t>——</w:t>
      </w:r>
      <w:r>
        <w:rPr>
          <w:kern w:val="2"/>
        </w:rPr>
        <w:t>第</w:t>
      </w:r>
      <w:r>
        <w:rPr>
          <w:kern w:val="2"/>
        </w:rPr>
        <w:t>i</w:t>
      </w:r>
      <w:r>
        <w:rPr>
          <w:kern w:val="2"/>
        </w:rPr>
        <w:t>个污染物的最大地面空气质量浓度占标率，</w:t>
      </w:r>
      <w:r>
        <w:rPr>
          <w:kern w:val="2"/>
        </w:rPr>
        <w:t>%</w:t>
      </w:r>
      <w:r>
        <w:rPr>
          <w:kern w:val="2"/>
        </w:rPr>
        <w:t>；</w:t>
      </w:r>
    </w:p>
    <w:p w14:paraId="6C1D3877" w14:textId="77777777" w:rsidR="003E78AB" w:rsidRDefault="00010BF9">
      <w:pPr>
        <w:ind w:firstLine="480"/>
        <w:rPr>
          <w:kern w:val="2"/>
        </w:rPr>
      </w:pPr>
      <w:r>
        <w:rPr>
          <w:kern w:val="2"/>
        </w:rPr>
        <w:t>C</w:t>
      </w:r>
      <w:r>
        <w:rPr>
          <w:kern w:val="2"/>
          <w:vertAlign w:val="subscript"/>
        </w:rPr>
        <w:t>i</w:t>
      </w:r>
      <w:r>
        <w:rPr>
          <w:kern w:val="2"/>
        </w:rPr>
        <w:t>——</w:t>
      </w:r>
      <w:r>
        <w:rPr>
          <w:kern w:val="2"/>
        </w:rPr>
        <w:t>采用估算模式计算出的第</w:t>
      </w:r>
      <w:r>
        <w:rPr>
          <w:kern w:val="2"/>
        </w:rPr>
        <w:t>i</w:t>
      </w:r>
      <w:r>
        <w:rPr>
          <w:kern w:val="2"/>
        </w:rPr>
        <w:t>个污染物的最大</w:t>
      </w:r>
      <w:r>
        <w:rPr>
          <w:kern w:val="2"/>
        </w:rPr>
        <w:t>1h</w:t>
      </w:r>
      <w:r>
        <w:rPr>
          <w:kern w:val="2"/>
        </w:rPr>
        <w:t>地面空气质量浓度，</w:t>
      </w:r>
      <w:r>
        <w:rPr>
          <w:kern w:val="2"/>
        </w:rPr>
        <w:t>µg/m</w:t>
      </w:r>
      <w:r>
        <w:rPr>
          <w:kern w:val="2"/>
          <w:vertAlign w:val="superscript"/>
        </w:rPr>
        <w:t>3</w:t>
      </w:r>
      <w:r>
        <w:rPr>
          <w:kern w:val="2"/>
        </w:rPr>
        <w:t>；</w:t>
      </w:r>
    </w:p>
    <w:p w14:paraId="380C166E" w14:textId="77777777" w:rsidR="003E78AB" w:rsidRDefault="00010BF9">
      <w:pPr>
        <w:ind w:firstLine="480"/>
        <w:rPr>
          <w:kern w:val="2"/>
        </w:rPr>
      </w:pPr>
      <w:r>
        <w:rPr>
          <w:kern w:val="2"/>
        </w:rPr>
        <w:t>C</w:t>
      </w:r>
      <w:r>
        <w:rPr>
          <w:kern w:val="2"/>
          <w:vertAlign w:val="subscript"/>
        </w:rPr>
        <w:t>oi</w:t>
      </w:r>
      <w:r>
        <w:rPr>
          <w:kern w:val="2"/>
        </w:rPr>
        <w:t>——</w:t>
      </w:r>
      <w:r>
        <w:rPr>
          <w:kern w:val="2"/>
        </w:rPr>
        <w:t>第</w:t>
      </w:r>
      <w:r>
        <w:rPr>
          <w:kern w:val="2"/>
        </w:rPr>
        <w:t>i</w:t>
      </w:r>
      <w:r>
        <w:rPr>
          <w:kern w:val="2"/>
        </w:rPr>
        <w:t>个污染物的环境空气质量浓度标准，</w:t>
      </w:r>
      <w:r>
        <w:rPr>
          <w:kern w:val="2"/>
        </w:rPr>
        <w:t>µg/m</w:t>
      </w:r>
      <w:r>
        <w:rPr>
          <w:kern w:val="2"/>
          <w:vertAlign w:val="superscript"/>
        </w:rPr>
        <w:t>3</w:t>
      </w:r>
      <w:r>
        <w:rPr>
          <w:kern w:val="2"/>
        </w:rPr>
        <w:t>。</w:t>
      </w:r>
    </w:p>
    <w:p w14:paraId="42C554B3" w14:textId="77777777" w:rsidR="003E78AB" w:rsidRDefault="00010BF9">
      <w:pPr>
        <w:pStyle w:val="a5"/>
      </w:pPr>
      <w:bookmarkStart w:id="116" w:name="_Ref27177"/>
      <w:r>
        <w:t>评价工作级别表</w:t>
      </w:r>
      <w:bookmarkEnd w:id="116"/>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5233"/>
      </w:tblGrid>
      <w:tr w:rsidR="003E78AB" w14:paraId="230AC90A" w14:textId="77777777">
        <w:trPr>
          <w:trHeight w:val="277"/>
          <w:tblHeader/>
        </w:trPr>
        <w:tc>
          <w:tcPr>
            <w:tcW w:w="1927" w:type="pct"/>
            <w:vAlign w:val="center"/>
          </w:tcPr>
          <w:p w14:paraId="274F2F98" w14:textId="77777777" w:rsidR="003E78AB" w:rsidRDefault="00010BF9">
            <w:pPr>
              <w:pStyle w:val="aff6"/>
              <w:topLinePunct/>
              <w:rPr>
                <w:b/>
                <w:bCs/>
              </w:rPr>
            </w:pPr>
            <w:r>
              <w:rPr>
                <w:b/>
                <w:bCs/>
              </w:rPr>
              <w:t>评价工作等级</w:t>
            </w:r>
          </w:p>
        </w:tc>
        <w:tc>
          <w:tcPr>
            <w:tcW w:w="3072" w:type="pct"/>
            <w:vAlign w:val="center"/>
          </w:tcPr>
          <w:p w14:paraId="23E1A885" w14:textId="77777777" w:rsidR="003E78AB" w:rsidRDefault="00010BF9">
            <w:pPr>
              <w:pStyle w:val="aff6"/>
              <w:topLinePunct/>
              <w:rPr>
                <w:b/>
                <w:bCs/>
              </w:rPr>
            </w:pPr>
            <w:r>
              <w:rPr>
                <w:b/>
                <w:bCs/>
              </w:rPr>
              <w:t>评价工作分级判据</w:t>
            </w:r>
          </w:p>
        </w:tc>
      </w:tr>
      <w:tr w:rsidR="003E78AB" w14:paraId="2FA8C945" w14:textId="77777777">
        <w:trPr>
          <w:trHeight w:val="351"/>
        </w:trPr>
        <w:tc>
          <w:tcPr>
            <w:tcW w:w="1927" w:type="pct"/>
            <w:vAlign w:val="center"/>
          </w:tcPr>
          <w:p w14:paraId="6FCF4C7D" w14:textId="77777777" w:rsidR="003E78AB" w:rsidRDefault="00010BF9">
            <w:pPr>
              <w:pStyle w:val="aff6"/>
              <w:topLinePunct/>
            </w:pPr>
            <w:r>
              <w:t>一级</w:t>
            </w:r>
          </w:p>
        </w:tc>
        <w:tc>
          <w:tcPr>
            <w:tcW w:w="3072" w:type="pct"/>
            <w:vAlign w:val="center"/>
          </w:tcPr>
          <w:p w14:paraId="7EB638AA" w14:textId="77777777" w:rsidR="003E78AB" w:rsidRDefault="00010BF9">
            <w:pPr>
              <w:pStyle w:val="aff6"/>
              <w:topLinePunct/>
            </w:pPr>
            <w:r>
              <w:t>P</w:t>
            </w:r>
            <w:r>
              <w:rPr>
                <w:vertAlign w:val="subscript"/>
              </w:rPr>
              <w:t>max</w:t>
            </w:r>
            <w:r>
              <w:t>≥10%</w:t>
            </w:r>
          </w:p>
        </w:tc>
      </w:tr>
      <w:tr w:rsidR="003E78AB" w14:paraId="2DF597ED" w14:textId="77777777">
        <w:trPr>
          <w:trHeight w:val="329"/>
        </w:trPr>
        <w:tc>
          <w:tcPr>
            <w:tcW w:w="1927" w:type="pct"/>
            <w:vAlign w:val="center"/>
          </w:tcPr>
          <w:p w14:paraId="793E2B1D" w14:textId="77777777" w:rsidR="003E78AB" w:rsidRDefault="00010BF9">
            <w:pPr>
              <w:pStyle w:val="aff6"/>
              <w:topLinePunct/>
            </w:pPr>
            <w:r>
              <w:t>二级</w:t>
            </w:r>
          </w:p>
        </w:tc>
        <w:tc>
          <w:tcPr>
            <w:tcW w:w="3072" w:type="pct"/>
            <w:vAlign w:val="center"/>
          </w:tcPr>
          <w:p w14:paraId="6108E993" w14:textId="77777777" w:rsidR="003E78AB" w:rsidRDefault="00010BF9">
            <w:pPr>
              <w:pStyle w:val="aff6"/>
              <w:topLinePunct/>
            </w:pPr>
            <w:r>
              <w:t>1%≤P</w:t>
            </w:r>
            <w:r>
              <w:rPr>
                <w:vertAlign w:val="subscript"/>
              </w:rPr>
              <w:t>max</w:t>
            </w:r>
            <w:r>
              <w:t>＜</w:t>
            </w:r>
            <w:r>
              <w:t>10%</w:t>
            </w:r>
          </w:p>
        </w:tc>
      </w:tr>
      <w:tr w:rsidR="003E78AB" w14:paraId="244D3AAA" w14:textId="77777777">
        <w:tc>
          <w:tcPr>
            <w:tcW w:w="1927" w:type="pct"/>
            <w:vAlign w:val="center"/>
          </w:tcPr>
          <w:p w14:paraId="41D22BAD" w14:textId="77777777" w:rsidR="003E78AB" w:rsidRDefault="00010BF9">
            <w:pPr>
              <w:pStyle w:val="aff6"/>
              <w:topLinePunct/>
              <w:rPr>
                <w:bCs/>
                <w:lang w:bidi="en-US"/>
              </w:rPr>
            </w:pPr>
            <w:r>
              <w:rPr>
                <w:bCs/>
                <w:lang w:bidi="en-US"/>
              </w:rPr>
              <w:t>三级</w:t>
            </w:r>
          </w:p>
        </w:tc>
        <w:tc>
          <w:tcPr>
            <w:tcW w:w="3072" w:type="pct"/>
            <w:vAlign w:val="center"/>
          </w:tcPr>
          <w:p w14:paraId="36E257C0" w14:textId="77777777" w:rsidR="003E78AB" w:rsidRDefault="00010BF9">
            <w:pPr>
              <w:pStyle w:val="aff6"/>
              <w:topLinePunct/>
              <w:rPr>
                <w:bCs/>
                <w:lang w:bidi="en-US"/>
              </w:rPr>
            </w:pPr>
            <w:r>
              <w:rPr>
                <w:bCs/>
                <w:lang w:bidi="en-US"/>
              </w:rPr>
              <w:t>P</w:t>
            </w:r>
            <w:r>
              <w:rPr>
                <w:bCs/>
                <w:vertAlign w:val="subscript"/>
                <w:lang w:bidi="en-US"/>
              </w:rPr>
              <w:t>max</w:t>
            </w:r>
            <w:r>
              <w:rPr>
                <w:bCs/>
                <w:lang w:bidi="en-US"/>
              </w:rPr>
              <w:t>＜</w:t>
            </w:r>
            <w:r>
              <w:rPr>
                <w:bCs/>
                <w:lang w:bidi="en-US"/>
              </w:rPr>
              <w:t>1%</w:t>
            </w:r>
          </w:p>
        </w:tc>
      </w:tr>
    </w:tbl>
    <w:p w14:paraId="41D06466" w14:textId="77777777" w:rsidR="003E78AB" w:rsidRDefault="00010BF9">
      <w:pPr>
        <w:ind w:firstLine="480"/>
        <w:rPr>
          <w:kern w:val="2"/>
        </w:rPr>
      </w:pPr>
      <w:r>
        <w:rPr>
          <w:kern w:val="2"/>
        </w:rPr>
        <w:t>（</w:t>
      </w:r>
      <w:r>
        <w:rPr>
          <w:kern w:val="2"/>
        </w:rPr>
        <w:t>2</w:t>
      </w:r>
      <w:r>
        <w:rPr>
          <w:kern w:val="2"/>
        </w:rPr>
        <w:t>）估算模型参数</w:t>
      </w:r>
    </w:p>
    <w:p w14:paraId="72A87252" w14:textId="77777777" w:rsidR="003E78AB" w:rsidRDefault="00010BF9">
      <w:pPr>
        <w:ind w:firstLine="480"/>
        <w:rPr>
          <w:kern w:val="2"/>
        </w:rPr>
      </w:pPr>
      <w:r>
        <w:rPr>
          <w:kern w:val="2"/>
        </w:rPr>
        <w:t>根据本项目的工程分析的结果，选择大气污染物正常排放的主要污染物及相应的排放参数，采用估算模型计算污染物占标率，污染物的最大影响程度和最远</w:t>
      </w:r>
      <w:r>
        <w:rPr>
          <w:kern w:val="2"/>
        </w:rPr>
        <w:lastRenderedPageBreak/>
        <w:t>影响范围。项目估算模型参数表见</w:t>
      </w:r>
      <w:r>
        <w:rPr>
          <w:kern w:val="2"/>
        </w:rPr>
        <w:fldChar w:fldCharType="begin"/>
      </w:r>
      <w:r>
        <w:rPr>
          <w:kern w:val="2"/>
        </w:rPr>
        <w:instrText xml:space="preserve"> REF _Ref27239 \r \h </w:instrText>
      </w:r>
      <w:r>
        <w:rPr>
          <w:kern w:val="2"/>
        </w:rPr>
      </w:r>
      <w:r>
        <w:rPr>
          <w:kern w:val="2"/>
        </w:rPr>
        <w:fldChar w:fldCharType="separate"/>
      </w:r>
      <w:r>
        <w:rPr>
          <w:kern w:val="2"/>
        </w:rPr>
        <w:t>表</w:t>
      </w:r>
      <w:r>
        <w:rPr>
          <w:kern w:val="2"/>
        </w:rPr>
        <w:t>2-4</w:t>
      </w:r>
      <w:r>
        <w:rPr>
          <w:kern w:val="2"/>
        </w:rPr>
        <w:fldChar w:fldCharType="end"/>
      </w:r>
      <w:r>
        <w:rPr>
          <w:kern w:val="2"/>
        </w:rPr>
        <w:t>，点源污染源参数见</w:t>
      </w:r>
      <w:r>
        <w:rPr>
          <w:kern w:val="2"/>
        </w:rPr>
        <w:fldChar w:fldCharType="begin"/>
      </w:r>
      <w:r>
        <w:rPr>
          <w:kern w:val="2"/>
        </w:rPr>
        <w:instrText xml:space="preserve"> REF _Ref27278 \r \h </w:instrText>
      </w:r>
      <w:r>
        <w:rPr>
          <w:kern w:val="2"/>
        </w:rPr>
      </w:r>
      <w:r>
        <w:rPr>
          <w:kern w:val="2"/>
        </w:rPr>
        <w:fldChar w:fldCharType="separate"/>
      </w:r>
      <w:r>
        <w:rPr>
          <w:kern w:val="2"/>
        </w:rPr>
        <w:t>表</w:t>
      </w:r>
      <w:r>
        <w:rPr>
          <w:kern w:val="2"/>
        </w:rPr>
        <w:t>2-5</w:t>
      </w:r>
      <w:r>
        <w:rPr>
          <w:kern w:val="2"/>
        </w:rPr>
        <w:fldChar w:fldCharType="end"/>
      </w:r>
      <w:r>
        <w:rPr>
          <w:kern w:val="2"/>
        </w:rPr>
        <w:t>所示、面源污染源参数见</w:t>
      </w:r>
      <w:r>
        <w:rPr>
          <w:kern w:val="2"/>
        </w:rPr>
        <w:fldChar w:fldCharType="begin"/>
      </w:r>
      <w:r>
        <w:rPr>
          <w:kern w:val="2"/>
        </w:rPr>
        <w:instrText xml:space="preserve"> REF _Ref27278 \r \h </w:instrText>
      </w:r>
      <w:r>
        <w:rPr>
          <w:kern w:val="2"/>
        </w:rPr>
      </w:r>
      <w:r>
        <w:rPr>
          <w:kern w:val="2"/>
        </w:rPr>
        <w:fldChar w:fldCharType="separate"/>
      </w:r>
      <w:r>
        <w:rPr>
          <w:kern w:val="2"/>
        </w:rPr>
        <w:t>表</w:t>
      </w:r>
      <w:r>
        <w:rPr>
          <w:kern w:val="2"/>
        </w:rPr>
        <w:t>2-5</w:t>
      </w:r>
      <w:r>
        <w:rPr>
          <w:kern w:val="2"/>
        </w:rPr>
        <w:fldChar w:fldCharType="end"/>
      </w:r>
      <w:r>
        <w:rPr>
          <w:kern w:val="2"/>
        </w:rPr>
        <w:t>所示。</w:t>
      </w:r>
    </w:p>
    <w:p w14:paraId="4336A8C1" w14:textId="77777777" w:rsidR="003E78AB" w:rsidRDefault="00010BF9">
      <w:pPr>
        <w:pStyle w:val="a5"/>
      </w:pPr>
      <w:bookmarkStart w:id="117" w:name="_Ref27239"/>
      <w:r>
        <w:t>估算模型参数表</w:t>
      </w:r>
      <w:bookmarkEnd w:id="117"/>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39"/>
        <w:gridCol w:w="2839"/>
        <w:gridCol w:w="2838"/>
      </w:tblGrid>
      <w:tr w:rsidR="003E78AB" w14:paraId="24C69B0A" w14:textId="77777777">
        <w:trPr>
          <w:trHeight w:val="283"/>
          <w:tblHeader/>
        </w:trPr>
        <w:tc>
          <w:tcPr>
            <w:tcW w:w="3333" w:type="pct"/>
            <w:gridSpan w:val="2"/>
            <w:tcBorders>
              <w:top w:val="single" w:sz="2" w:space="0" w:color="auto"/>
              <w:left w:val="single" w:sz="2" w:space="0" w:color="auto"/>
            </w:tcBorders>
            <w:vAlign w:val="center"/>
          </w:tcPr>
          <w:p w14:paraId="22F4BC6C" w14:textId="77777777" w:rsidR="003E78AB" w:rsidRDefault="00010BF9">
            <w:pPr>
              <w:spacing w:line="360" w:lineRule="exact"/>
              <w:ind w:firstLineChars="0" w:firstLine="0"/>
              <w:jc w:val="center"/>
              <w:rPr>
                <w:b/>
                <w:sz w:val="21"/>
                <w:szCs w:val="21"/>
              </w:rPr>
            </w:pPr>
            <w:r>
              <w:rPr>
                <w:b/>
                <w:sz w:val="21"/>
                <w:szCs w:val="21"/>
              </w:rPr>
              <w:t>参数</w:t>
            </w:r>
          </w:p>
        </w:tc>
        <w:tc>
          <w:tcPr>
            <w:tcW w:w="1666" w:type="pct"/>
            <w:tcBorders>
              <w:top w:val="single" w:sz="2" w:space="0" w:color="auto"/>
              <w:right w:val="single" w:sz="2" w:space="0" w:color="auto"/>
            </w:tcBorders>
            <w:vAlign w:val="center"/>
          </w:tcPr>
          <w:p w14:paraId="21ED3994" w14:textId="77777777" w:rsidR="003E78AB" w:rsidRDefault="00010BF9">
            <w:pPr>
              <w:spacing w:line="360" w:lineRule="exact"/>
              <w:ind w:firstLineChars="0" w:firstLine="0"/>
              <w:jc w:val="center"/>
              <w:rPr>
                <w:b/>
                <w:sz w:val="21"/>
                <w:szCs w:val="21"/>
              </w:rPr>
            </w:pPr>
            <w:r>
              <w:rPr>
                <w:b/>
                <w:sz w:val="21"/>
                <w:szCs w:val="21"/>
              </w:rPr>
              <w:t>取值</w:t>
            </w:r>
          </w:p>
        </w:tc>
      </w:tr>
      <w:tr w:rsidR="003E78AB" w14:paraId="6BE0A0CD" w14:textId="77777777">
        <w:trPr>
          <w:trHeight w:val="283"/>
        </w:trPr>
        <w:tc>
          <w:tcPr>
            <w:tcW w:w="1666" w:type="pct"/>
            <w:vMerge w:val="restart"/>
            <w:tcBorders>
              <w:left w:val="single" w:sz="2" w:space="0" w:color="auto"/>
            </w:tcBorders>
            <w:vAlign w:val="center"/>
          </w:tcPr>
          <w:p w14:paraId="723691EA" w14:textId="77777777" w:rsidR="003E78AB" w:rsidRDefault="00010BF9">
            <w:pPr>
              <w:spacing w:line="360" w:lineRule="exact"/>
              <w:ind w:firstLineChars="0" w:firstLine="0"/>
              <w:jc w:val="center"/>
              <w:rPr>
                <w:sz w:val="21"/>
                <w:szCs w:val="21"/>
              </w:rPr>
            </w:pPr>
            <w:r>
              <w:rPr>
                <w:sz w:val="21"/>
                <w:szCs w:val="21"/>
              </w:rPr>
              <w:t>城市</w:t>
            </w:r>
            <w:r>
              <w:rPr>
                <w:sz w:val="21"/>
                <w:szCs w:val="21"/>
              </w:rPr>
              <w:t>/</w:t>
            </w:r>
            <w:r>
              <w:rPr>
                <w:sz w:val="21"/>
                <w:szCs w:val="21"/>
              </w:rPr>
              <w:t>农村选项</w:t>
            </w:r>
          </w:p>
        </w:tc>
        <w:tc>
          <w:tcPr>
            <w:tcW w:w="1667" w:type="pct"/>
            <w:vAlign w:val="center"/>
          </w:tcPr>
          <w:p w14:paraId="3288C28F" w14:textId="77777777" w:rsidR="003E78AB" w:rsidRDefault="00010BF9">
            <w:pPr>
              <w:spacing w:line="360" w:lineRule="exact"/>
              <w:ind w:firstLineChars="0" w:firstLine="0"/>
              <w:jc w:val="center"/>
              <w:rPr>
                <w:sz w:val="21"/>
                <w:szCs w:val="21"/>
              </w:rPr>
            </w:pPr>
            <w:r>
              <w:rPr>
                <w:sz w:val="21"/>
                <w:szCs w:val="21"/>
              </w:rPr>
              <w:t>城市</w:t>
            </w:r>
            <w:r>
              <w:rPr>
                <w:sz w:val="21"/>
                <w:szCs w:val="21"/>
              </w:rPr>
              <w:t>/</w:t>
            </w:r>
            <w:r>
              <w:rPr>
                <w:sz w:val="21"/>
                <w:szCs w:val="21"/>
              </w:rPr>
              <w:t>农村</w:t>
            </w:r>
          </w:p>
        </w:tc>
        <w:tc>
          <w:tcPr>
            <w:tcW w:w="1666" w:type="pct"/>
            <w:tcBorders>
              <w:right w:val="single" w:sz="2" w:space="0" w:color="auto"/>
            </w:tcBorders>
            <w:vAlign w:val="center"/>
          </w:tcPr>
          <w:p w14:paraId="439CA7DD" w14:textId="77777777" w:rsidR="003E78AB" w:rsidRDefault="00010BF9">
            <w:pPr>
              <w:spacing w:line="360" w:lineRule="exact"/>
              <w:ind w:firstLineChars="0" w:firstLine="0"/>
              <w:jc w:val="center"/>
              <w:rPr>
                <w:sz w:val="21"/>
                <w:szCs w:val="21"/>
              </w:rPr>
            </w:pPr>
            <w:r>
              <w:rPr>
                <w:sz w:val="21"/>
                <w:szCs w:val="21"/>
              </w:rPr>
              <w:t>农村</w:t>
            </w:r>
          </w:p>
        </w:tc>
      </w:tr>
      <w:tr w:rsidR="003E78AB" w14:paraId="2927B147" w14:textId="77777777">
        <w:trPr>
          <w:trHeight w:val="283"/>
        </w:trPr>
        <w:tc>
          <w:tcPr>
            <w:tcW w:w="1666" w:type="pct"/>
            <w:vMerge/>
            <w:tcBorders>
              <w:left w:val="single" w:sz="2" w:space="0" w:color="auto"/>
            </w:tcBorders>
            <w:vAlign w:val="center"/>
          </w:tcPr>
          <w:p w14:paraId="2385B84F" w14:textId="77777777" w:rsidR="003E78AB" w:rsidRDefault="003E78AB">
            <w:pPr>
              <w:spacing w:line="360" w:lineRule="exact"/>
              <w:ind w:firstLineChars="0" w:firstLine="0"/>
              <w:jc w:val="center"/>
              <w:rPr>
                <w:sz w:val="21"/>
                <w:szCs w:val="21"/>
              </w:rPr>
            </w:pPr>
          </w:p>
        </w:tc>
        <w:tc>
          <w:tcPr>
            <w:tcW w:w="1667" w:type="pct"/>
            <w:vAlign w:val="center"/>
          </w:tcPr>
          <w:p w14:paraId="5BFC6E76" w14:textId="77777777" w:rsidR="003E78AB" w:rsidRDefault="00010BF9">
            <w:pPr>
              <w:spacing w:line="360" w:lineRule="exact"/>
              <w:ind w:firstLineChars="0" w:firstLine="0"/>
              <w:jc w:val="center"/>
              <w:rPr>
                <w:sz w:val="21"/>
                <w:szCs w:val="21"/>
              </w:rPr>
            </w:pPr>
            <w:r>
              <w:rPr>
                <w:sz w:val="21"/>
                <w:szCs w:val="21"/>
              </w:rPr>
              <w:t>人口数（城市选项时）</w:t>
            </w:r>
          </w:p>
        </w:tc>
        <w:tc>
          <w:tcPr>
            <w:tcW w:w="1666" w:type="pct"/>
            <w:tcBorders>
              <w:right w:val="single" w:sz="2" w:space="0" w:color="auto"/>
            </w:tcBorders>
            <w:vAlign w:val="center"/>
          </w:tcPr>
          <w:p w14:paraId="7E2694CE" w14:textId="77777777" w:rsidR="003E78AB" w:rsidRDefault="00010BF9">
            <w:pPr>
              <w:spacing w:line="360" w:lineRule="exact"/>
              <w:ind w:firstLineChars="0" w:firstLine="0"/>
              <w:jc w:val="center"/>
              <w:rPr>
                <w:sz w:val="21"/>
                <w:szCs w:val="21"/>
              </w:rPr>
            </w:pPr>
            <w:r>
              <w:rPr>
                <w:sz w:val="21"/>
                <w:szCs w:val="21"/>
              </w:rPr>
              <w:t>-</w:t>
            </w:r>
          </w:p>
        </w:tc>
      </w:tr>
      <w:tr w:rsidR="003E78AB" w14:paraId="557B2B36" w14:textId="77777777">
        <w:trPr>
          <w:trHeight w:val="283"/>
        </w:trPr>
        <w:tc>
          <w:tcPr>
            <w:tcW w:w="3333" w:type="pct"/>
            <w:gridSpan w:val="2"/>
            <w:tcBorders>
              <w:left w:val="single" w:sz="2" w:space="0" w:color="auto"/>
            </w:tcBorders>
            <w:vAlign w:val="center"/>
          </w:tcPr>
          <w:p w14:paraId="72C8AFCE" w14:textId="77777777" w:rsidR="003E78AB" w:rsidRDefault="00010BF9">
            <w:pPr>
              <w:spacing w:line="360" w:lineRule="exact"/>
              <w:ind w:firstLineChars="0" w:firstLine="0"/>
              <w:jc w:val="center"/>
              <w:rPr>
                <w:sz w:val="21"/>
                <w:szCs w:val="21"/>
              </w:rPr>
            </w:pPr>
            <w:r>
              <w:rPr>
                <w:sz w:val="21"/>
                <w:szCs w:val="21"/>
              </w:rPr>
              <w:t>最高环境温度</w:t>
            </w:r>
            <w:r>
              <w:rPr>
                <w:sz w:val="21"/>
                <w:szCs w:val="21"/>
              </w:rPr>
              <w:t>/℃</w:t>
            </w:r>
          </w:p>
        </w:tc>
        <w:tc>
          <w:tcPr>
            <w:tcW w:w="1666" w:type="pct"/>
            <w:tcBorders>
              <w:right w:val="single" w:sz="2" w:space="0" w:color="auto"/>
            </w:tcBorders>
            <w:vAlign w:val="center"/>
          </w:tcPr>
          <w:p w14:paraId="180D68D3" w14:textId="77777777" w:rsidR="003E78AB" w:rsidRDefault="00010BF9">
            <w:pPr>
              <w:spacing w:line="360" w:lineRule="exact"/>
              <w:ind w:firstLineChars="0" w:firstLine="0"/>
              <w:jc w:val="center"/>
              <w:rPr>
                <w:sz w:val="21"/>
                <w:szCs w:val="21"/>
              </w:rPr>
            </w:pPr>
            <w:r>
              <w:rPr>
                <w:bCs/>
                <w:kern w:val="2"/>
                <w:sz w:val="21"/>
                <w:szCs w:val="21"/>
              </w:rPr>
              <w:t>42.7</w:t>
            </w:r>
          </w:p>
        </w:tc>
      </w:tr>
      <w:tr w:rsidR="003E78AB" w14:paraId="3328F48D" w14:textId="77777777">
        <w:trPr>
          <w:trHeight w:val="283"/>
        </w:trPr>
        <w:tc>
          <w:tcPr>
            <w:tcW w:w="3333" w:type="pct"/>
            <w:gridSpan w:val="2"/>
            <w:tcBorders>
              <w:left w:val="single" w:sz="2" w:space="0" w:color="auto"/>
            </w:tcBorders>
            <w:vAlign w:val="center"/>
          </w:tcPr>
          <w:p w14:paraId="7135982C" w14:textId="77777777" w:rsidR="003E78AB" w:rsidRDefault="00010BF9">
            <w:pPr>
              <w:spacing w:line="360" w:lineRule="exact"/>
              <w:ind w:firstLineChars="0" w:firstLine="0"/>
              <w:jc w:val="center"/>
              <w:rPr>
                <w:sz w:val="21"/>
                <w:szCs w:val="21"/>
              </w:rPr>
            </w:pPr>
            <w:r>
              <w:rPr>
                <w:sz w:val="21"/>
                <w:szCs w:val="21"/>
              </w:rPr>
              <w:t>最低环境温度</w:t>
            </w:r>
            <w:r>
              <w:rPr>
                <w:sz w:val="21"/>
                <w:szCs w:val="21"/>
              </w:rPr>
              <w:t>/℃</w:t>
            </w:r>
          </w:p>
        </w:tc>
        <w:tc>
          <w:tcPr>
            <w:tcW w:w="1666" w:type="pct"/>
            <w:tcBorders>
              <w:right w:val="single" w:sz="2" w:space="0" w:color="auto"/>
            </w:tcBorders>
            <w:vAlign w:val="center"/>
          </w:tcPr>
          <w:p w14:paraId="301BBCDB" w14:textId="77777777" w:rsidR="003E78AB" w:rsidRDefault="00010BF9">
            <w:pPr>
              <w:spacing w:line="360" w:lineRule="exact"/>
              <w:ind w:firstLineChars="0" w:firstLine="0"/>
              <w:jc w:val="center"/>
              <w:rPr>
                <w:sz w:val="21"/>
                <w:szCs w:val="21"/>
              </w:rPr>
            </w:pPr>
            <w:r>
              <w:rPr>
                <w:bCs/>
                <w:kern w:val="2"/>
                <w:sz w:val="21"/>
                <w:szCs w:val="21"/>
              </w:rPr>
              <w:t>-27.2</w:t>
            </w:r>
          </w:p>
        </w:tc>
      </w:tr>
      <w:tr w:rsidR="003E78AB" w14:paraId="0AFFD8E4" w14:textId="77777777">
        <w:trPr>
          <w:trHeight w:val="283"/>
        </w:trPr>
        <w:tc>
          <w:tcPr>
            <w:tcW w:w="3333" w:type="pct"/>
            <w:gridSpan w:val="2"/>
            <w:tcBorders>
              <w:left w:val="single" w:sz="2" w:space="0" w:color="auto"/>
            </w:tcBorders>
            <w:vAlign w:val="center"/>
          </w:tcPr>
          <w:p w14:paraId="453A9AA4" w14:textId="77777777" w:rsidR="003E78AB" w:rsidRDefault="00010BF9">
            <w:pPr>
              <w:spacing w:line="360" w:lineRule="exact"/>
              <w:ind w:firstLineChars="0" w:firstLine="0"/>
              <w:jc w:val="center"/>
              <w:rPr>
                <w:sz w:val="21"/>
                <w:szCs w:val="21"/>
              </w:rPr>
            </w:pPr>
            <w:r>
              <w:rPr>
                <w:sz w:val="21"/>
                <w:szCs w:val="21"/>
              </w:rPr>
              <w:t>土地利用类型</w:t>
            </w:r>
          </w:p>
        </w:tc>
        <w:tc>
          <w:tcPr>
            <w:tcW w:w="1666" w:type="pct"/>
            <w:tcBorders>
              <w:right w:val="single" w:sz="2" w:space="0" w:color="auto"/>
            </w:tcBorders>
            <w:vAlign w:val="center"/>
          </w:tcPr>
          <w:p w14:paraId="744B621D" w14:textId="77777777" w:rsidR="003E78AB" w:rsidRDefault="00010BF9">
            <w:pPr>
              <w:spacing w:line="360" w:lineRule="exact"/>
              <w:ind w:firstLineChars="0" w:firstLine="0"/>
              <w:jc w:val="center"/>
              <w:rPr>
                <w:sz w:val="21"/>
                <w:szCs w:val="21"/>
              </w:rPr>
            </w:pPr>
            <w:r>
              <w:rPr>
                <w:sz w:val="21"/>
                <w:szCs w:val="21"/>
              </w:rPr>
              <w:t>工业用地</w:t>
            </w:r>
          </w:p>
        </w:tc>
      </w:tr>
      <w:tr w:rsidR="003E78AB" w14:paraId="5B4C5F1E" w14:textId="77777777">
        <w:trPr>
          <w:trHeight w:val="283"/>
        </w:trPr>
        <w:tc>
          <w:tcPr>
            <w:tcW w:w="3333" w:type="pct"/>
            <w:gridSpan w:val="2"/>
            <w:tcBorders>
              <w:left w:val="single" w:sz="2" w:space="0" w:color="auto"/>
            </w:tcBorders>
            <w:vAlign w:val="center"/>
          </w:tcPr>
          <w:p w14:paraId="14305B1A" w14:textId="77777777" w:rsidR="003E78AB" w:rsidRDefault="00010BF9">
            <w:pPr>
              <w:spacing w:line="360" w:lineRule="exact"/>
              <w:ind w:firstLineChars="0" w:firstLine="0"/>
              <w:jc w:val="center"/>
              <w:rPr>
                <w:sz w:val="21"/>
                <w:szCs w:val="21"/>
              </w:rPr>
            </w:pPr>
            <w:r>
              <w:rPr>
                <w:sz w:val="21"/>
                <w:szCs w:val="21"/>
              </w:rPr>
              <w:t>区域湿度条件</w:t>
            </w:r>
          </w:p>
        </w:tc>
        <w:tc>
          <w:tcPr>
            <w:tcW w:w="1666" w:type="pct"/>
            <w:tcBorders>
              <w:right w:val="single" w:sz="2" w:space="0" w:color="auto"/>
            </w:tcBorders>
            <w:vAlign w:val="center"/>
          </w:tcPr>
          <w:p w14:paraId="1E23B7BC" w14:textId="77777777" w:rsidR="003E78AB" w:rsidRDefault="00010BF9">
            <w:pPr>
              <w:spacing w:line="360" w:lineRule="exact"/>
              <w:ind w:firstLineChars="0" w:firstLine="0"/>
              <w:jc w:val="center"/>
              <w:rPr>
                <w:sz w:val="21"/>
                <w:szCs w:val="21"/>
              </w:rPr>
            </w:pPr>
            <w:r>
              <w:rPr>
                <w:sz w:val="21"/>
                <w:szCs w:val="21"/>
              </w:rPr>
              <w:t>干燥气候</w:t>
            </w:r>
          </w:p>
        </w:tc>
      </w:tr>
      <w:tr w:rsidR="003E78AB" w14:paraId="2E60DFE6" w14:textId="77777777">
        <w:trPr>
          <w:trHeight w:val="283"/>
        </w:trPr>
        <w:tc>
          <w:tcPr>
            <w:tcW w:w="1666" w:type="pct"/>
            <w:vMerge w:val="restart"/>
            <w:tcBorders>
              <w:left w:val="single" w:sz="2" w:space="0" w:color="auto"/>
            </w:tcBorders>
            <w:vAlign w:val="center"/>
          </w:tcPr>
          <w:p w14:paraId="1BE9E81A" w14:textId="77777777" w:rsidR="003E78AB" w:rsidRDefault="00010BF9">
            <w:pPr>
              <w:spacing w:line="360" w:lineRule="exact"/>
              <w:ind w:firstLineChars="0" w:firstLine="0"/>
              <w:jc w:val="center"/>
              <w:rPr>
                <w:sz w:val="21"/>
                <w:szCs w:val="21"/>
              </w:rPr>
            </w:pPr>
            <w:r>
              <w:rPr>
                <w:sz w:val="21"/>
                <w:szCs w:val="21"/>
              </w:rPr>
              <w:t>是否考虑地形</w:t>
            </w:r>
          </w:p>
        </w:tc>
        <w:tc>
          <w:tcPr>
            <w:tcW w:w="1667" w:type="pct"/>
            <w:vAlign w:val="center"/>
          </w:tcPr>
          <w:p w14:paraId="7779FDFD" w14:textId="77777777" w:rsidR="003E78AB" w:rsidRDefault="00010BF9">
            <w:pPr>
              <w:spacing w:line="360" w:lineRule="exact"/>
              <w:ind w:firstLineChars="0" w:firstLine="0"/>
              <w:jc w:val="center"/>
              <w:rPr>
                <w:sz w:val="21"/>
                <w:szCs w:val="21"/>
              </w:rPr>
            </w:pPr>
            <w:r>
              <w:rPr>
                <w:sz w:val="21"/>
                <w:szCs w:val="21"/>
              </w:rPr>
              <w:t>考虑地形</w:t>
            </w:r>
          </w:p>
        </w:tc>
        <w:tc>
          <w:tcPr>
            <w:tcW w:w="1666" w:type="pct"/>
            <w:tcBorders>
              <w:right w:val="single" w:sz="2" w:space="0" w:color="auto"/>
            </w:tcBorders>
            <w:vAlign w:val="center"/>
          </w:tcPr>
          <w:p w14:paraId="1E11DD3B" w14:textId="77777777" w:rsidR="003E78AB" w:rsidRDefault="00010BF9">
            <w:pPr>
              <w:spacing w:line="360" w:lineRule="exact"/>
              <w:ind w:firstLineChars="0" w:firstLine="0"/>
              <w:jc w:val="center"/>
              <w:rPr>
                <w:sz w:val="21"/>
                <w:szCs w:val="21"/>
              </w:rPr>
            </w:pPr>
            <w:r>
              <w:rPr>
                <w:sz w:val="21"/>
                <w:szCs w:val="21"/>
              </w:rPr>
              <w:t>√</w:t>
            </w:r>
            <w:r>
              <w:rPr>
                <w:sz w:val="21"/>
                <w:szCs w:val="21"/>
              </w:rPr>
              <w:t>是</w:t>
            </w:r>
            <w:r>
              <w:rPr>
                <w:sz w:val="21"/>
                <w:szCs w:val="21"/>
              </w:rPr>
              <w:t xml:space="preserve">   □</w:t>
            </w:r>
            <w:r>
              <w:rPr>
                <w:sz w:val="21"/>
                <w:szCs w:val="21"/>
              </w:rPr>
              <w:t>否</w:t>
            </w:r>
          </w:p>
        </w:tc>
      </w:tr>
      <w:tr w:rsidR="003E78AB" w14:paraId="60CAA9F5" w14:textId="77777777">
        <w:trPr>
          <w:trHeight w:val="283"/>
        </w:trPr>
        <w:tc>
          <w:tcPr>
            <w:tcW w:w="1666" w:type="pct"/>
            <w:vMerge/>
            <w:tcBorders>
              <w:left w:val="single" w:sz="2" w:space="0" w:color="auto"/>
            </w:tcBorders>
            <w:vAlign w:val="center"/>
          </w:tcPr>
          <w:p w14:paraId="557A4EA0" w14:textId="77777777" w:rsidR="003E78AB" w:rsidRDefault="003E78AB">
            <w:pPr>
              <w:spacing w:line="360" w:lineRule="exact"/>
              <w:ind w:firstLineChars="0" w:firstLine="0"/>
              <w:jc w:val="center"/>
              <w:rPr>
                <w:sz w:val="21"/>
                <w:szCs w:val="21"/>
              </w:rPr>
            </w:pPr>
          </w:p>
        </w:tc>
        <w:tc>
          <w:tcPr>
            <w:tcW w:w="1667" w:type="pct"/>
            <w:vAlign w:val="center"/>
          </w:tcPr>
          <w:p w14:paraId="50272252" w14:textId="77777777" w:rsidR="003E78AB" w:rsidRDefault="00010BF9">
            <w:pPr>
              <w:spacing w:line="360" w:lineRule="exact"/>
              <w:ind w:firstLineChars="0" w:firstLine="0"/>
              <w:jc w:val="center"/>
              <w:rPr>
                <w:sz w:val="21"/>
                <w:szCs w:val="21"/>
              </w:rPr>
            </w:pPr>
            <w:r>
              <w:rPr>
                <w:sz w:val="21"/>
                <w:szCs w:val="21"/>
              </w:rPr>
              <w:t>地形数据分辨率</w:t>
            </w:r>
            <w:r>
              <w:rPr>
                <w:sz w:val="21"/>
                <w:szCs w:val="21"/>
              </w:rPr>
              <w:t>/m</w:t>
            </w:r>
          </w:p>
        </w:tc>
        <w:tc>
          <w:tcPr>
            <w:tcW w:w="1666" w:type="pct"/>
            <w:tcBorders>
              <w:right w:val="single" w:sz="2" w:space="0" w:color="auto"/>
            </w:tcBorders>
            <w:vAlign w:val="center"/>
          </w:tcPr>
          <w:p w14:paraId="085C8799" w14:textId="77777777" w:rsidR="003E78AB" w:rsidRDefault="00010BF9">
            <w:pPr>
              <w:spacing w:line="360" w:lineRule="exact"/>
              <w:ind w:firstLineChars="0" w:firstLine="0"/>
              <w:jc w:val="center"/>
              <w:rPr>
                <w:sz w:val="21"/>
                <w:szCs w:val="21"/>
              </w:rPr>
            </w:pPr>
            <w:r>
              <w:rPr>
                <w:sz w:val="21"/>
                <w:szCs w:val="21"/>
              </w:rPr>
              <w:t>90m</w:t>
            </w:r>
          </w:p>
        </w:tc>
      </w:tr>
      <w:tr w:rsidR="003E78AB" w14:paraId="68CD419C" w14:textId="77777777">
        <w:trPr>
          <w:trHeight w:val="283"/>
        </w:trPr>
        <w:tc>
          <w:tcPr>
            <w:tcW w:w="1666" w:type="pct"/>
            <w:vMerge w:val="restart"/>
            <w:tcBorders>
              <w:left w:val="single" w:sz="2" w:space="0" w:color="auto"/>
            </w:tcBorders>
            <w:vAlign w:val="center"/>
          </w:tcPr>
          <w:p w14:paraId="59E710BE" w14:textId="77777777" w:rsidR="003E78AB" w:rsidRDefault="00010BF9">
            <w:pPr>
              <w:spacing w:line="360" w:lineRule="exact"/>
              <w:ind w:firstLineChars="0" w:firstLine="0"/>
              <w:jc w:val="center"/>
              <w:rPr>
                <w:sz w:val="21"/>
                <w:szCs w:val="21"/>
              </w:rPr>
            </w:pPr>
            <w:r>
              <w:rPr>
                <w:sz w:val="21"/>
                <w:szCs w:val="21"/>
              </w:rPr>
              <w:t>是否考虑岸线熏烟</w:t>
            </w:r>
          </w:p>
        </w:tc>
        <w:tc>
          <w:tcPr>
            <w:tcW w:w="1667" w:type="pct"/>
            <w:vAlign w:val="center"/>
          </w:tcPr>
          <w:p w14:paraId="107A22B7" w14:textId="77777777" w:rsidR="003E78AB" w:rsidRDefault="00010BF9">
            <w:pPr>
              <w:spacing w:line="360" w:lineRule="exact"/>
              <w:ind w:firstLineChars="0" w:firstLine="0"/>
              <w:jc w:val="center"/>
              <w:rPr>
                <w:sz w:val="21"/>
                <w:szCs w:val="21"/>
              </w:rPr>
            </w:pPr>
            <w:r>
              <w:rPr>
                <w:sz w:val="21"/>
                <w:szCs w:val="21"/>
              </w:rPr>
              <w:t>考虑岸线熏烟</w:t>
            </w:r>
          </w:p>
        </w:tc>
        <w:tc>
          <w:tcPr>
            <w:tcW w:w="1666" w:type="pct"/>
            <w:tcBorders>
              <w:right w:val="single" w:sz="2" w:space="0" w:color="auto"/>
            </w:tcBorders>
            <w:vAlign w:val="center"/>
          </w:tcPr>
          <w:p w14:paraId="38928A37" w14:textId="77777777" w:rsidR="003E78AB" w:rsidRDefault="00010BF9">
            <w:pPr>
              <w:spacing w:line="360" w:lineRule="exact"/>
              <w:ind w:firstLineChars="0" w:firstLine="0"/>
              <w:jc w:val="center"/>
              <w:rPr>
                <w:sz w:val="21"/>
                <w:szCs w:val="21"/>
              </w:rPr>
            </w:pPr>
            <w:r>
              <w:rPr>
                <w:sz w:val="21"/>
                <w:szCs w:val="21"/>
              </w:rPr>
              <w:t>□</w:t>
            </w:r>
            <w:r>
              <w:rPr>
                <w:sz w:val="21"/>
                <w:szCs w:val="21"/>
              </w:rPr>
              <w:t>是</w:t>
            </w:r>
            <w:r>
              <w:rPr>
                <w:sz w:val="21"/>
                <w:szCs w:val="21"/>
              </w:rPr>
              <w:t xml:space="preserve">  √</w:t>
            </w:r>
            <w:r>
              <w:rPr>
                <w:sz w:val="21"/>
                <w:szCs w:val="21"/>
              </w:rPr>
              <w:t>否</w:t>
            </w:r>
          </w:p>
        </w:tc>
      </w:tr>
      <w:tr w:rsidR="003E78AB" w14:paraId="46BB7F85" w14:textId="77777777">
        <w:trPr>
          <w:trHeight w:val="283"/>
        </w:trPr>
        <w:tc>
          <w:tcPr>
            <w:tcW w:w="1666" w:type="pct"/>
            <w:vMerge/>
            <w:tcBorders>
              <w:left w:val="single" w:sz="2" w:space="0" w:color="auto"/>
            </w:tcBorders>
            <w:vAlign w:val="center"/>
          </w:tcPr>
          <w:p w14:paraId="255AF183" w14:textId="77777777" w:rsidR="003E78AB" w:rsidRDefault="003E78AB">
            <w:pPr>
              <w:spacing w:line="360" w:lineRule="exact"/>
              <w:ind w:firstLineChars="0" w:firstLine="0"/>
              <w:jc w:val="center"/>
              <w:rPr>
                <w:sz w:val="21"/>
                <w:szCs w:val="21"/>
              </w:rPr>
            </w:pPr>
          </w:p>
        </w:tc>
        <w:tc>
          <w:tcPr>
            <w:tcW w:w="1667" w:type="pct"/>
            <w:vAlign w:val="center"/>
          </w:tcPr>
          <w:p w14:paraId="2CF00163" w14:textId="77777777" w:rsidR="003E78AB" w:rsidRDefault="00010BF9">
            <w:pPr>
              <w:spacing w:line="360" w:lineRule="exact"/>
              <w:ind w:firstLineChars="0" w:firstLine="0"/>
              <w:jc w:val="center"/>
              <w:rPr>
                <w:sz w:val="21"/>
                <w:szCs w:val="21"/>
              </w:rPr>
            </w:pPr>
            <w:r>
              <w:rPr>
                <w:sz w:val="21"/>
                <w:szCs w:val="21"/>
              </w:rPr>
              <w:t>岸线距离</w:t>
            </w:r>
            <w:r>
              <w:rPr>
                <w:sz w:val="21"/>
                <w:szCs w:val="21"/>
              </w:rPr>
              <w:t>/km</w:t>
            </w:r>
          </w:p>
        </w:tc>
        <w:tc>
          <w:tcPr>
            <w:tcW w:w="1666" w:type="pct"/>
            <w:tcBorders>
              <w:right w:val="single" w:sz="2" w:space="0" w:color="auto"/>
            </w:tcBorders>
            <w:vAlign w:val="center"/>
          </w:tcPr>
          <w:p w14:paraId="0E7201CB" w14:textId="77777777" w:rsidR="003E78AB" w:rsidRDefault="00010BF9">
            <w:pPr>
              <w:spacing w:line="360" w:lineRule="exact"/>
              <w:ind w:firstLineChars="0" w:firstLine="0"/>
              <w:jc w:val="center"/>
              <w:rPr>
                <w:sz w:val="21"/>
                <w:szCs w:val="21"/>
              </w:rPr>
            </w:pPr>
            <w:r>
              <w:rPr>
                <w:sz w:val="21"/>
                <w:szCs w:val="21"/>
              </w:rPr>
              <w:t>-</w:t>
            </w:r>
          </w:p>
        </w:tc>
      </w:tr>
      <w:tr w:rsidR="003E78AB" w14:paraId="6DA4AC77" w14:textId="77777777">
        <w:trPr>
          <w:trHeight w:val="283"/>
        </w:trPr>
        <w:tc>
          <w:tcPr>
            <w:tcW w:w="1666" w:type="pct"/>
            <w:vMerge/>
            <w:tcBorders>
              <w:left w:val="single" w:sz="2" w:space="0" w:color="auto"/>
              <w:bottom w:val="single" w:sz="2" w:space="0" w:color="auto"/>
            </w:tcBorders>
            <w:vAlign w:val="center"/>
          </w:tcPr>
          <w:p w14:paraId="2217E2B1" w14:textId="77777777" w:rsidR="003E78AB" w:rsidRDefault="003E78AB">
            <w:pPr>
              <w:spacing w:line="360" w:lineRule="exact"/>
              <w:ind w:firstLineChars="0" w:firstLine="0"/>
              <w:jc w:val="center"/>
              <w:rPr>
                <w:sz w:val="21"/>
                <w:szCs w:val="21"/>
              </w:rPr>
            </w:pPr>
          </w:p>
        </w:tc>
        <w:tc>
          <w:tcPr>
            <w:tcW w:w="1667" w:type="pct"/>
            <w:tcBorders>
              <w:bottom w:val="single" w:sz="2" w:space="0" w:color="auto"/>
            </w:tcBorders>
            <w:vAlign w:val="center"/>
          </w:tcPr>
          <w:p w14:paraId="09605DD2" w14:textId="77777777" w:rsidR="003E78AB" w:rsidRDefault="00010BF9">
            <w:pPr>
              <w:spacing w:line="360" w:lineRule="exact"/>
              <w:ind w:firstLineChars="0" w:firstLine="0"/>
              <w:jc w:val="center"/>
              <w:rPr>
                <w:sz w:val="21"/>
                <w:szCs w:val="21"/>
              </w:rPr>
            </w:pPr>
            <w:r>
              <w:rPr>
                <w:sz w:val="21"/>
                <w:szCs w:val="21"/>
              </w:rPr>
              <w:t>岸线方向</w:t>
            </w:r>
            <w:r>
              <w:rPr>
                <w:sz w:val="21"/>
                <w:szCs w:val="21"/>
              </w:rPr>
              <w:t>/°</w:t>
            </w:r>
          </w:p>
        </w:tc>
        <w:tc>
          <w:tcPr>
            <w:tcW w:w="1666" w:type="pct"/>
            <w:tcBorders>
              <w:bottom w:val="single" w:sz="2" w:space="0" w:color="auto"/>
              <w:right w:val="single" w:sz="2" w:space="0" w:color="auto"/>
            </w:tcBorders>
            <w:vAlign w:val="center"/>
          </w:tcPr>
          <w:p w14:paraId="50FBF9A2" w14:textId="77777777" w:rsidR="003E78AB" w:rsidRDefault="00010BF9">
            <w:pPr>
              <w:spacing w:line="360" w:lineRule="exact"/>
              <w:ind w:firstLineChars="0" w:firstLine="0"/>
              <w:jc w:val="center"/>
              <w:rPr>
                <w:sz w:val="21"/>
                <w:szCs w:val="21"/>
              </w:rPr>
            </w:pPr>
            <w:r>
              <w:rPr>
                <w:sz w:val="21"/>
                <w:szCs w:val="21"/>
              </w:rPr>
              <w:t>-</w:t>
            </w:r>
          </w:p>
        </w:tc>
      </w:tr>
    </w:tbl>
    <w:p w14:paraId="2160543A" w14:textId="77777777" w:rsidR="003E78AB" w:rsidRDefault="003E78AB">
      <w:pPr>
        <w:ind w:firstLine="480"/>
        <w:sectPr w:rsidR="003E78AB">
          <w:footerReference w:type="default" r:id="rId18"/>
          <w:pgSz w:w="11906" w:h="16838"/>
          <w:pgMar w:top="1440" w:right="1803" w:bottom="1440" w:left="1803" w:header="850" w:footer="992" w:gutter="0"/>
          <w:cols w:space="720"/>
          <w:docGrid w:type="lines" w:linePitch="312"/>
        </w:sectPr>
      </w:pPr>
    </w:p>
    <w:p w14:paraId="078BF271" w14:textId="77777777" w:rsidR="003E78AB" w:rsidRDefault="00010BF9">
      <w:pPr>
        <w:pStyle w:val="a5"/>
      </w:pPr>
      <w:bookmarkStart w:id="118" w:name="_Ref27278"/>
      <w:r>
        <w:lastRenderedPageBreak/>
        <w:t>本项目点源排放清单</w:t>
      </w:r>
      <w:bookmarkEnd w:id="11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7"/>
        <w:gridCol w:w="903"/>
        <w:gridCol w:w="949"/>
        <w:gridCol w:w="949"/>
        <w:gridCol w:w="976"/>
        <w:gridCol w:w="735"/>
        <w:gridCol w:w="909"/>
        <w:gridCol w:w="1004"/>
        <w:gridCol w:w="757"/>
        <w:gridCol w:w="962"/>
        <w:gridCol w:w="1116"/>
        <w:gridCol w:w="1019"/>
        <w:gridCol w:w="800"/>
        <w:gridCol w:w="1658"/>
        <w:gridCol w:w="1002"/>
      </w:tblGrid>
      <w:tr w:rsidR="003E78AB" w14:paraId="12B10B4E" w14:textId="77777777">
        <w:trPr>
          <w:trHeight w:val="375"/>
          <w:tblHeader/>
        </w:trPr>
        <w:tc>
          <w:tcPr>
            <w:tcW w:w="95" w:type="pct"/>
            <w:vMerge w:val="restart"/>
            <w:tcMar>
              <w:top w:w="0" w:type="dxa"/>
              <w:left w:w="28" w:type="dxa"/>
              <w:bottom w:w="0" w:type="dxa"/>
              <w:right w:w="28" w:type="dxa"/>
            </w:tcMar>
            <w:vAlign w:val="center"/>
          </w:tcPr>
          <w:p w14:paraId="1EE08376" w14:textId="77777777" w:rsidR="003E78AB" w:rsidRDefault="00010BF9">
            <w:pPr>
              <w:spacing w:line="360" w:lineRule="exact"/>
              <w:ind w:firstLineChars="0" w:firstLine="0"/>
              <w:jc w:val="center"/>
              <w:rPr>
                <w:b/>
                <w:bCs/>
                <w:kern w:val="2"/>
                <w:sz w:val="21"/>
                <w:szCs w:val="21"/>
              </w:rPr>
            </w:pPr>
            <w:r>
              <w:rPr>
                <w:b/>
                <w:bCs/>
                <w:kern w:val="2"/>
                <w:sz w:val="21"/>
                <w:szCs w:val="21"/>
              </w:rPr>
              <w:t>编号</w:t>
            </w:r>
          </w:p>
        </w:tc>
        <w:tc>
          <w:tcPr>
            <w:tcW w:w="327" w:type="pct"/>
            <w:vMerge w:val="restart"/>
            <w:tcMar>
              <w:top w:w="0" w:type="dxa"/>
              <w:left w:w="28" w:type="dxa"/>
              <w:bottom w:w="0" w:type="dxa"/>
              <w:right w:w="28" w:type="dxa"/>
            </w:tcMar>
            <w:vAlign w:val="center"/>
          </w:tcPr>
          <w:p w14:paraId="2620185D" w14:textId="77777777" w:rsidR="003E78AB" w:rsidRDefault="00010BF9">
            <w:pPr>
              <w:spacing w:line="360" w:lineRule="exact"/>
              <w:ind w:firstLineChars="0" w:firstLine="0"/>
              <w:jc w:val="center"/>
              <w:rPr>
                <w:b/>
                <w:bCs/>
                <w:kern w:val="2"/>
                <w:sz w:val="21"/>
                <w:szCs w:val="21"/>
              </w:rPr>
            </w:pPr>
            <w:r>
              <w:rPr>
                <w:b/>
                <w:bCs/>
                <w:kern w:val="2"/>
                <w:sz w:val="21"/>
                <w:szCs w:val="21"/>
              </w:rPr>
              <w:t>排气筒</w:t>
            </w:r>
          </w:p>
          <w:p w14:paraId="3853811A" w14:textId="77777777" w:rsidR="003E78AB" w:rsidRDefault="00010BF9">
            <w:pPr>
              <w:spacing w:line="360" w:lineRule="exact"/>
              <w:ind w:firstLineChars="0" w:firstLine="0"/>
              <w:jc w:val="center"/>
              <w:rPr>
                <w:b/>
                <w:bCs/>
                <w:kern w:val="2"/>
                <w:sz w:val="21"/>
                <w:szCs w:val="21"/>
              </w:rPr>
            </w:pPr>
            <w:r>
              <w:rPr>
                <w:b/>
                <w:bCs/>
                <w:kern w:val="2"/>
                <w:sz w:val="21"/>
                <w:szCs w:val="21"/>
              </w:rPr>
              <w:t>名称</w:t>
            </w:r>
          </w:p>
        </w:tc>
        <w:tc>
          <w:tcPr>
            <w:tcW w:w="622" w:type="pct"/>
            <w:gridSpan w:val="2"/>
            <w:tcMar>
              <w:top w:w="0" w:type="dxa"/>
              <w:left w:w="28" w:type="dxa"/>
              <w:bottom w:w="0" w:type="dxa"/>
              <w:right w:w="28" w:type="dxa"/>
            </w:tcMar>
            <w:vAlign w:val="center"/>
          </w:tcPr>
          <w:p w14:paraId="768C89B3" w14:textId="77777777" w:rsidR="003E78AB" w:rsidRDefault="00010BF9">
            <w:pPr>
              <w:spacing w:line="360" w:lineRule="exact"/>
              <w:ind w:firstLineChars="0" w:firstLine="0"/>
              <w:jc w:val="center"/>
              <w:rPr>
                <w:b/>
                <w:bCs/>
                <w:kern w:val="2"/>
                <w:sz w:val="21"/>
                <w:szCs w:val="21"/>
              </w:rPr>
            </w:pPr>
            <w:r>
              <w:rPr>
                <w:b/>
                <w:bCs/>
                <w:kern w:val="2"/>
                <w:sz w:val="21"/>
                <w:szCs w:val="21"/>
              </w:rPr>
              <w:t>排气筒中心坐标</w:t>
            </w:r>
            <w:r>
              <w:rPr>
                <w:b/>
                <w:bCs/>
                <w:kern w:val="2"/>
                <w:sz w:val="21"/>
                <w:szCs w:val="21"/>
              </w:rPr>
              <w:t>/m</w:t>
            </w:r>
          </w:p>
        </w:tc>
        <w:tc>
          <w:tcPr>
            <w:tcW w:w="353" w:type="pct"/>
            <w:vMerge w:val="restart"/>
            <w:tcMar>
              <w:top w:w="0" w:type="dxa"/>
              <w:left w:w="28" w:type="dxa"/>
              <w:bottom w:w="0" w:type="dxa"/>
              <w:right w:w="28" w:type="dxa"/>
            </w:tcMar>
            <w:vAlign w:val="center"/>
          </w:tcPr>
          <w:p w14:paraId="088B8E45" w14:textId="77777777" w:rsidR="003E78AB" w:rsidRDefault="00010BF9">
            <w:pPr>
              <w:spacing w:line="360" w:lineRule="exact"/>
              <w:ind w:firstLineChars="0" w:firstLine="0"/>
              <w:jc w:val="center"/>
              <w:rPr>
                <w:b/>
                <w:bCs/>
                <w:kern w:val="2"/>
                <w:sz w:val="21"/>
                <w:szCs w:val="21"/>
              </w:rPr>
            </w:pPr>
            <w:r>
              <w:rPr>
                <w:b/>
                <w:bCs/>
                <w:kern w:val="2"/>
                <w:sz w:val="21"/>
                <w:szCs w:val="21"/>
              </w:rPr>
              <w:t>排气筒底海拔</w:t>
            </w:r>
            <w:r>
              <w:rPr>
                <w:b/>
                <w:bCs/>
                <w:kern w:val="2"/>
                <w:sz w:val="21"/>
                <w:szCs w:val="21"/>
              </w:rPr>
              <w:t>/m</w:t>
            </w:r>
          </w:p>
        </w:tc>
        <w:tc>
          <w:tcPr>
            <w:tcW w:w="267" w:type="pct"/>
            <w:vMerge w:val="restart"/>
            <w:tcMar>
              <w:top w:w="0" w:type="dxa"/>
              <w:left w:w="28" w:type="dxa"/>
              <w:bottom w:w="0" w:type="dxa"/>
              <w:right w:w="28" w:type="dxa"/>
            </w:tcMar>
            <w:vAlign w:val="center"/>
          </w:tcPr>
          <w:p w14:paraId="6CDD9274" w14:textId="77777777" w:rsidR="003E78AB" w:rsidRDefault="00010BF9">
            <w:pPr>
              <w:spacing w:line="360" w:lineRule="exact"/>
              <w:ind w:firstLineChars="0" w:firstLine="0"/>
              <w:jc w:val="center"/>
              <w:rPr>
                <w:b/>
                <w:bCs/>
                <w:kern w:val="2"/>
                <w:sz w:val="21"/>
                <w:szCs w:val="21"/>
              </w:rPr>
            </w:pPr>
            <w:r>
              <w:rPr>
                <w:b/>
                <w:bCs/>
                <w:kern w:val="2"/>
                <w:sz w:val="21"/>
                <w:szCs w:val="21"/>
              </w:rPr>
              <w:t>排气筒高度</w:t>
            </w:r>
            <w:r>
              <w:rPr>
                <w:b/>
                <w:bCs/>
                <w:kern w:val="2"/>
                <w:sz w:val="21"/>
                <w:szCs w:val="21"/>
              </w:rPr>
              <w:t>/m</w:t>
            </w:r>
          </w:p>
        </w:tc>
        <w:tc>
          <w:tcPr>
            <w:tcW w:w="329" w:type="pct"/>
            <w:vMerge w:val="restart"/>
            <w:tcMar>
              <w:top w:w="0" w:type="dxa"/>
              <w:left w:w="28" w:type="dxa"/>
              <w:bottom w:w="0" w:type="dxa"/>
              <w:right w:w="28" w:type="dxa"/>
            </w:tcMar>
            <w:vAlign w:val="center"/>
          </w:tcPr>
          <w:p w14:paraId="0B485E7C" w14:textId="77777777" w:rsidR="003E78AB" w:rsidRDefault="00010BF9">
            <w:pPr>
              <w:spacing w:line="360" w:lineRule="exact"/>
              <w:ind w:firstLineChars="0" w:firstLine="0"/>
              <w:jc w:val="center"/>
              <w:rPr>
                <w:b/>
                <w:bCs/>
                <w:kern w:val="2"/>
                <w:sz w:val="21"/>
                <w:szCs w:val="21"/>
              </w:rPr>
            </w:pPr>
            <w:r>
              <w:rPr>
                <w:b/>
                <w:bCs/>
                <w:kern w:val="2"/>
                <w:sz w:val="21"/>
                <w:szCs w:val="21"/>
              </w:rPr>
              <w:t>排气筒出口内径</w:t>
            </w:r>
            <w:r>
              <w:rPr>
                <w:b/>
                <w:bCs/>
                <w:kern w:val="2"/>
                <w:sz w:val="21"/>
                <w:szCs w:val="21"/>
              </w:rPr>
              <w:t>/m</w:t>
            </w:r>
          </w:p>
        </w:tc>
        <w:tc>
          <w:tcPr>
            <w:tcW w:w="363" w:type="pct"/>
            <w:vMerge w:val="restart"/>
            <w:tcMar>
              <w:top w:w="0" w:type="dxa"/>
              <w:left w:w="28" w:type="dxa"/>
              <w:bottom w:w="0" w:type="dxa"/>
              <w:right w:w="28" w:type="dxa"/>
            </w:tcMar>
            <w:vAlign w:val="center"/>
          </w:tcPr>
          <w:p w14:paraId="725D75B7" w14:textId="77777777" w:rsidR="003E78AB" w:rsidRDefault="00010BF9">
            <w:pPr>
              <w:spacing w:line="360" w:lineRule="exact"/>
              <w:ind w:firstLineChars="0" w:firstLine="0"/>
              <w:jc w:val="center"/>
              <w:rPr>
                <w:b/>
                <w:bCs/>
                <w:kern w:val="2"/>
                <w:sz w:val="21"/>
                <w:szCs w:val="21"/>
              </w:rPr>
            </w:pPr>
            <w:r>
              <w:rPr>
                <w:b/>
                <w:bCs/>
                <w:kern w:val="2"/>
                <w:sz w:val="21"/>
                <w:szCs w:val="21"/>
              </w:rPr>
              <w:t>烟气流速</w:t>
            </w:r>
            <w:r>
              <w:rPr>
                <w:b/>
                <w:bCs/>
                <w:kern w:val="2"/>
                <w:sz w:val="21"/>
                <w:szCs w:val="21"/>
              </w:rPr>
              <w:t>/(m/s)</w:t>
            </w:r>
          </w:p>
        </w:tc>
        <w:tc>
          <w:tcPr>
            <w:tcW w:w="275" w:type="pct"/>
            <w:vMerge w:val="restart"/>
            <w:tcMar>
              <w:top w:w="0" w:type="dxa"/>
              <w:left w:w="28" w:type="dxa"/>
              <w:bottom w:w="0" w:type="dxa"/>
              <w:right w:w="28" w:type="dxa"/>
            </w:tcMar>
            <w:vAlign w:val="center"/>
          </w:tcPr>
          <w:p w14:paraId="0679CFF1" w14:textId="77777777" w:rsidR="003E78AB" w:rsidRDefault="00010BF9">
            <w:pPr>
              <w:spacing w:line="360" w:lineRule="exact"/>
              <w:ind w:firstLineChars="0" w:firstLine="0"/>
              <w:jc w:val="center"/>
              <w:rPr>
                <w:b/>
                <w:bCs/>
                <w:kern w:val="2"/>
                <w:sz w:val="21"/>
                <w:szCs w:val="21"/>
              </w:rPr>
            </w:pPr>
            <w:r>
              <w:rPr>
                <w:b/>
                <w:bCs/>
                <w:kern w:val="2"/>
                <w:sz w:val="21"/>
                <w:szCs w:val="21"/>
              </w:rPr>
              <w:t>烟气温度</w:t>
            </w:r>
            <w:r>
              <w:rPr>
                <w:b/>
                <w:bCs/>
                <w:kern w:val="2"/>
                <w:sz w:val="21"/>
                <w:szCs w:val="21"/>
              </w:rPr>
              <w:t>/℃</w:t>
            </w:r>
          </w:p>
        </w:tc>
        <w:tc>
          <w:tcPr>
            <w:tcW w:w="348" w:type="pct"/>
            <w:vMerge w:val="restart"/>
            <w:tcMar>
              <w:top w:w="0" w:type="dxa"/>
              <w:left w:w="28" w:type="dxa"/>
              <w:bottom w:w="0" w:type="dxa"/>
              <w:right w:w="28" w:type="dxa"/>
            </w:tcMar>
            <w:vAlign w:val="center"/>
          </w:tcPr>
          <w:p w14:paraId="0A2AF7BE" w14:textId="77777777" w:rsidR="003E78AB" w:rsidRDefault="00010BF9">
            <w:pPr>
              <w:spacing w:line="360" w:lineRule="exact"/>
              <w:ind w:firstLineChars="0" w:firstLine="0"/>
              <w:jc w:val="center"/>
              <w:rPr>
                <w:b/>
                <w:bCs/>
                <w:kern w:val="2"/>
                <w:sz w:val="21"/>
                <w:szCs w:val="21"/>
              </w:rPr>
            </w:pPr>
            <w:r>
              <w:rPr>
                <w:b/>
                <w:bCs/>
                <w:kern w:val="2"/>
                <w:sz w:val="21"/>
                <w:szCs w:val="21"/>
              </w:rPr>
              <w:t>年排放小时数</w:t>
            </w:r>
            <w:r>
              <w:rPr>
                <w:b/>
                <w:bCs/>
                <w:kern w:val="2"/>
                <w:sz w:val="21"/>
                <w:szCs w:val="21"/>
              </w:rPr>
              <w:t>/h</w:t>
            </w:r>
          </w:p>
        </w:tc>
        <w:tc>
          <w:tcPr>
            <w:tcW w:w="2019" w:type="pct"/>
            <w:gridSpan w:val="5"/>
            <w:tcMar>
              <w:top w:w="0" w:type="dxa"/>
              <w:left w:w="28" w:type="dxa"/>
              <w:bottom w:w="0" w:type="dxa"/>
              <w:right w:w="28" w:type="dxa"/>
            </w:tcMar>
            <w:vAlign w:val="center"/>
          </w:tcPr>
          <w:p w14:paraId="2D6EE76D" w14:textId="77777777" w:rsidR="003E78AB" w:rsidRDefault="00010BF9">
            <w:pPr>
              <w:spacing w:line="360" w:lineRule="exact"/>
              <w:ind w:firstLineChars="0" w:firstLine="0"/>
              <w:jc w:val="center"/>
              <w:rPr>
                <w:b/>
                <w:bCs/>
                <w:kern w:val="2"/>
                <w:sz w:val="21"/>
                <w:szCs w:val="21"/>
              </w:rPr>
            </w:pPr>
            <w:r>
              <w:rPr>
                <w:b/>
                <w:bCs/>
                <w:kern w:val="2"/>
                <w:sz w:val="21"/>
                <w:szCs w:val="21"/>
              </w:rPr>
              <w:t>污染物排放速率（</w:t>
            </w:r>
            <w:r>
              <w:rPr>
                <w:b/>
                <w:bCs/>
                <w:kern w:val="2"/>
                <w:sz w:val="21"/>
                <w:szCs w:val="21"/>
              </w:rPr>
              <w:t>kg/h</w:t>
            </w:r>
            <w:r>
              <w:rPr>
                <w:b/>
                <w:bCs/>
                <w:kern w:val="2"/>
                <w:sz w:val="21"/>
                <w:szCs w:val="21"/>
              </w:rPr>
              <w:t>）</w:t>
            </w:r>
          </w:p>
        </w:tc>
      </w:tr>
      <w:tr w:rsidR="003E78AB" w14:paraId="2502BCF7" w14:textId="77777777">
        <w:trPr>
          <w:trHeight w:val="228"/>
          <w:tblHeader/>
        </w:trPr>
        <w:tc>
          <w:tcPr>
            <w:tcW w:w="95" w:type="pct"/>
            <w:vMerge/>
            <w:tcMar>
              <w:top w:w="0" w:type="dxa"/>
              <w:left w:w="28" w:type="dxa"/>
              <w:bottom w:w="0" w:type="dxa"/>
              <w:right w:w="28" w:type="dxa"/>
            </w:tcMar>
            <w:vAlign w:val="center"/>
          </w:tcPr>
          <w:p w14:paraId="2D0B667C" w14:textId="77777777" w:rsidR="003E78AB" w:rsidRDefault="003E78AB">
            <w:pPr>
              <w:spacing w:line="360" w:lineRule="exact"/>
              <w:ind w:firstLineChars="0" w:firstLine="0"/>
              <w:jc w:val="center"/>
              <w:rPr>
                <w:b/>
                <w:bCs/>
                <w:kern w:val="2"/>
                <w:sz w:val="21"/>
                <w:szCs w:val="21"/>
              </w:rPr>
            </w:pPr>
          </w:p>
        </w:tc>
        <w:tc>
          <w:tcPr>
            <w:tcW w:w="327" w:type="pct"/>
            <w:vMerge/>
            <w:tcMar>
              <w:top w:w="0" w:type="dxa"/>
              <w:left w:w="28" w:type="dxa"/>
              <w:bottom w:w="0" w:type="dxa"/>
              <w:right w:w="28" w:type="dxa"/>
            </w:tcMar>
            <w:vAlign w:val="center"/>
          </w:tcPr>
          <w:p w14:paraId="296770E6" w14:textId="77777777" w:rsidR="003E78AB" w:rsidRDefault="003E78AB">
            <w:pPr>
              <w:spacing w:line="360" w:lineRule="exact"/>
              <w:ind w:firstLineChars="0" w:firstLine="0"/>
              <w:jc w:val="center"/>
              <w:rPr>
                <w:b/>
                <w:bCs/>
                <w:kern w:val="2"/>
                <w:sz w:val="21"/>
                <w:szCs w:val="21"/>
              </w:rPr>
            </w:pPr>
          </w:p>
        </w:tc>
        <w:tc>
          <w:tcPr>
            <w:tcW w:w="305" w:type="pct"/>
            <w:tcMar>
              <w:top w:w="0" w:type="dxa"/>
              <w:left w:w="28" w:type="dxa"/>
              <w:bottom w:w="0" w:type="dxa"/>
              <w:right w:w="28" w:type="dxa"/>
            </w:tcMar>
            <w:vAlign w:val="center"/>
          </w:tcPr>
          <w:p w14:paraId="0062F6D5" w14:textId="77777777" w:rsidR="003E78AB" w:rsidRDefault="00010BF9">
            <w:pPr>
              <w:spacing w:line="360" w:lineRule="exact"/>
              <w:ind w:firstLineChars="0" w:firstLine="0"/>
              <w:jc w:val="center"/>
              <w:rPr>
                <w:b/>
                <w:bCs/>
                <w:kern w:val="2"/>
                <w:sz w:val="21"/>
                <w:szCs w:val="21"/>
              </w:rPr>
            </w:pPr>
            <w:r>
              <w:rPr>
                <w:b/>
                <w:bCs/>
                <w:kern w:val="2"/>
                <w:sz w:val="21"/>
                <w:szCs w:val="21"/>
              </w:rPr>
              <w:t>东经</w:t>
            </w:r>
          </w:p>
        </w:tc>
        <w:tc>
          <w:tcPr>
            <w:tcW w:w="317" w:type="pct"/>
            <w:tcMar>
              <w:top w:w="0" w:type="dxa"/>
              <w:left w:w="28" w:type="dxa"/>
              <w:bottom w:w="0" w:type="dxa"/>
              <w:right w:w="28" w:type="dxa"/>
            </w:tcMar>
            <w:vAlign w:val="center"/>
          </w:tcPr>
          <w:p w14:paraId="6FA40398" w14:textId="77777777" w:rsidR="003E78AB" w:rsidRDefault="00010BF9">
            <w:pPr>
              <w:spacing w:line="360" w:lineRule="exact"/>
              <w:ind w:firstLineChars="0" w:firstLine="0"/>
              <w:jc w:val="center"/>
              <w:rPr>
                <w:b/>
                <w:bCs/>
                <w:kern w:val="2"/>
                <w:sz w:val="21"/>
                <w:szCs w:val="21"/>
              </w:rPr>
            </w:pPr>
            <w:r>
              <w:rPr>
                <w:b/>
                <w:bCs/>
                <w:kern w:val="2"/>
                <w:sz w:val="21"/>
                <w:szCs w:val="21"/>
              </w:rPr>
              <w:t>北纬</w:t>
            </w:r>
          </w:p>
        </w:tc>
        <w:tc>
          <w:tcPr>
            <w:tcW w:w="353" w:type="pct"/>
            <w:vMerge/>
            <w:tcMar>
              <w:top w:w="0" w:type="dxa"/>
              <w:left w:w="28" w:type="dxa"/>
              <w:bottom w:w="0" w:type="dxa"/>
              <w:right w:w="28" w:type="dxa"/>
            </w:tcMar>
            <w:vAlign w:val="center"/>
          </w:tcPr>
          <w:p w14:paraId="022AE399" w14:textId="77777777" w:rsidR="003E78AB" w:rsidRDefault="003E78AB">
            <w:pPr>
              <w:spacing w:line="360" w:lineRule="exact"/>
              <w:ind w:firstLineChars="0" w:firstLine="0"/>
              <w:jc w:val="center"/>
              <w:rPr>
                <w:b/>
                <w:bCs/>
                <w:kern w:val="2"/>
                <w:sz w:val="21"/>
                <w:szCs w:val="21"/>
              </w:rPr>
            </w:pPr>
          </w:p>
        </w:tc>
        <w:tc>
          <w:tcPr>
            <w:tcW w:w="267" w:type="pct"/>
            <w:vMerge/>
            <w:tcMar>
              <w:top w:w="0" w:type="dxa"/>
              <w:left w:w="28" w:type="dxa"/>
              <w:bottom w:w="0" w:type="dxa"/>
              <w:right w:w="28" w:type="dxa"/>
            </w:tcMar>
            <w:vAlign w:val="center"/>
          </w:tcPr>
          <w:p w14:paraId="426A0C5E" w14:textId="77777777" w:rsidR="003E78AB" w:rsidRDefault="003E78AB">
            <w:pPr>
              <w:spacing w:line="360" w:lineRule="exact"/>
              <w:ind w:firstLineChars="0" w:firstLine="0"/>
              <w:jc w:val="center"/>
              <w:rPr>
                <w:b/>
                <w:bCs/>
                <w:kern w:val="2"/>
                <w:sz w:val="21"/>
                <w:szCs w:val="21"/>
              </w:rPr>
            </w:pPr>
          </w:p>
        </w:tc>
        <w:tc>
          <w:tcPr>
            <w:tcW w:w="329" w:type="pct"/>
            <w:vMerge/>
            <w:tcMar>
              <w:top w:w="0" w:type="dxa"/>
              <w:left w:w="28" w:type="dxa"/>
              <w:bottom w:w="0" w:type="dxa"/>
              <w:right w:w="28" w:type="dxa"/>
            </w:tcMar>
            <w:vAlign w:val="center"/>
          </w:tcPr>
          <w:p w14:paraId="79695D4C" w14:textId="77777777" w:rsidR="003E78AB" w:rsidRDefault="003E78AB">
            <w:pPr>
              <w:spacing w:line="360" w:lineRule="exact"/>
              <w:ind w:firstLineChars="0" w:firstLine="0"/>
              <w:jc w:val="center"/>
              <w:rPr>
                <w:b/>
                <w:bCs/>
                <w:kern w:val="2"/>
                <w:sz w:val="21"/>
                <w:szCs w:val="21"/>
              </w:rPr>
            </w:pPr>
          </w:p>
        </w:tc>
        <w:tc>
          <w:tcPr>
            <w:tcW w:w="363" w:type="pct"/>
            <w:vMerge/>
            <w:tcMar>
              <w:top w:w="0" w:type="dxa"/>
              <w:left w:w="28" w:type="dxa"/>
              <w:bottom w:w="0" w:type="dxa"/>
              <w:right w:w="28" w:type="dxa"/>
            </w:tcMar>
            <w:vAlign w:val="center"/>
          </w:tcPr>
          <w:p w14:paraId="5A2D13B6" w14:textId="77777777" w:rsidR="003E78AB" w:rsidRDefault="003E78AB">
            <w:pPr>
              <w:spacing w:line="360" w:lineRule="exact"/>
              <w:ind w:firstLineChars="0" w:firstLine="0"/>
              <w:jc w:val="center"/>
              <w:rPr>
                <w:b/>
                <w:bCs/>
                <w:kern w:val="2"/>
                <w:sz w:val="21"/>
                <w:szCs w:val="21"/>
              </w:rPr>
            </w:pPr>
          </w:p>
        </w:tc>
        <w:tc>
          <w:tcPr>
            <w:tcW w:w="275" w:type="pct"/>
            <w:vMerge/>
            <w:tcMar>
              <w:top w:w="0" w:type="dxa"/>
              <w:left w:w="28" w:type="dxa"/>
              <w:bottom w:w="0" w:type="dxa"/>
              <w:right w:w="28" w:type="dxa"/>
            </w:tcMar>
            <w:vAlign w:val="center"/>
          </w:tcPr>
          <w:p w14:paraId="0E5A0490" w14:textId="77777777" w:rsidR="003E78AB" w:rsidRDefault="003E78AB">
            <w:pPr>
              <w:spacing w:line="360" w:lineRule="exact"/>
              <w:ind w:firstLineChars="0" w:firstLine="0"/>
              <w:jc w:val="center"/>
              <w:rPr>
                <w:b/>
                <w:bCs/>
                <w:kern w:val="2"/>
                <w:sz w:val="21"/>
                <w:szCs w:val="21"/>
              </w:rPr>
            </w:pPr>
          </w:p>
        </w:tc>
        <w:tc>
          <w:tcPr>
            <w:tcW w:w="348" w:type="pct"/>
            <w:vMerge/>
            <w:tcMar>
              <w:top w:w="0" w:type="dxa"/>
              <w:left w:w="28" w:type="dxa"/>
              <w:bottom w:w="0" w:type="dxa"/>
              <w:right w:w="28" w:type="dxa"/>
            </w:tcMar>
            <w:vAlign w:val="center"/>
          </w:tcPr>
          <w:p w14:paraId="2E6DBAD1" w14:textId="77777777" w:rsidR="003E78AB" w:rsidRDefault="003E78AB">
            <w:pPr>
              <w:spacing w:line="360" w:lineRule="exact"/>
              <w:ind w:firstLineChars="0" w:firstLine="0"/>
              <w:jc w:val="center"/>
              <w:rPr>
                <w:b/>
                <w:bCs/>
                <w:kern w:val="2"/>
                <w:sz w:val="21"/>
                <w:szCs w:val="21"/>
              </w:rPr>
            </w:pPr>
          </w:p>
        </w:tc>
        <w:tc>
          <w:tcPr>
            <w:tcW w:w="403" w:type="pct"/>
            <w:tcMar>
              <w:top w:w="0" w:type="dxa"/>
              <w:left w:w="28" w:type="dxa"/>
              <w:bottom w:w="0" w:type="dxa"/>
              <w:right w:w="28" w:type="dxa"/>
            </w:tcMar>
            <w:vAlign w:val="center"/>
          </w:tcPr>
          <w:p w14:paraId="42A4A7BC" w14:textId="77777777" w:rsidR="003E78AB" w:rsidRDefault="00010BF9">
            <w:pPr>
              <w:spacing w:line="360" w:lineRule="exact"/>
              <w:ind w:firstLineChars="0" w:firstLine="0"/>
              <w:jc w:val="center"/>
              <w:rPr>
                <w:b/>
                <w:bCs/>
                <w:kern w:val="2"/>
                <w:sz w:val="21"/>
                <w:szCs w:val="21"/>
              </w:rPr>
            </w:pPr>
            <w:r>
              <w:rPr>
                <w:b/>
                <w:bCs/>
                <w:kern w:val="2"/>
                <w:sz w:val="21"/>
                <w:szCs w:val="21"/>
              </w:rPr>
              <w:t>PM</w:t>
            </w:r>
            <w:r>
              <w:rPr>
                <w:b/>
                <w:bCs/>
                <w:kern w:val="2"/>
                <w:sz w:val="21"/>
                <w:szCs w:val="21"/>
                <w:vertAlign w:val="subscript"/>
              </w:rPr>
              <w:t>10</w:t>
            </w:r>
          </w:p>
        </w:tc>
        <w:tc>
          <w:tcPr>
            <w:tcW w:w="368" w:type="pct"/>
            <w:tcMar>
              <w:top w:w="0" w:type="dxa"/>
              <w:left w:w="28" w:type="dxa"/>
              <w:bottom w:w="0" w:type="dxa"/>
              <w:right w:w="28" w:type="dxa"/>
            </w:tcMar>
            <w:vAlign w:val="center"/>
          </w:tcPr>
          <w:p w14:paraId="41C3BFE6" w14:textId="77777777" w:rsidR="003E78AB" w:rsidRDefault="00010BF9">
            <w:pPr>
              <w:spacing w:line="360" w:lineRule="exact"/>
              <w:ind w:firstLineChars="0" w:firstLine="0"/>
              <w:jc w:val="center"/>
              <w:rPr>
                <w:b/>
                <w:bCs/>
                <w:kern w:val="2"/>
                <w:sz w:val="21"/>
                <w:szCs w:val="21"/>
              </w:rPr>
            </w:pPr>
            <w:r>
              <w:rPr>
                <w:b/>
                <w:bCs/>
                <w:kern w:val="2"/>
                <w:sz w:val="21"/>
                <w:szCs w:val="21"/>
              </w:rPr>
              <w:t>SO</w:t>
            </w:r>
            <w:r>
              <w:rPr>
                <w:b/>
                <w:bCs/>
                <w:kern w:val="2"/>
                <w:sz w:val="21"/>
                <w:szCs w:val="21"/>
                <w:vertAlign w:val="subscript"/>
              </w:rPr>
              <w:t>2</w:t>
            </w:r>
          </w:p>
        </w:tc>
        <w:tc>
          <w:tcPr>
            <w:tcW w:w="290" w:type="pct"/>
            <w:tcMar>
              <w:top w:w="0" w:type="dxa"/>
              <w:left w:w="28" w:type="dxa"/>
              <w:bottom w:w="0" w:type="dxa"/>
              <w:right w:w="28" w:type="dxa"/>
            </w:tcMar>
            <w:vAlign w:val="center"/>
          </w:tcPr>
          <w:p w14:paraId="0DA5A3EA" w14:textId="77777777" w:rsidR="003E78AB" w:rsidRDefault="00010BF9">
            <w:pPr>
              <w:spacing w:line="360" w:lineRule="exact"/>
              <w:ind w:firstLineChars="0" w:firstLine="0"/>
              <w:jc w:val="center"/>
              <w:rPr>
                <w:b/>
                <w:bCs/>
                <w:kern w:val="2"/>
                <w:sz w:val="21"/>
                <w:szCs w:val="21"/>
              </w:rPr>
            </w:pPr>
            <w:r>
              <w:rPr>
                <w:b/>
                <w:bCs/>
                <w:kern w:val="2"/>
                <w:sz w:val="21"/>
                <w:szCs w:val="21"/>
              </w:rPr>
              <w:t>NOx</w:t>
            </w:r>
          </w:p>
        </w:tc>
        <w:tc>
          <w:tcPr>
            <w:tcW w:w="596" w:type="pct"/>
            <w:tcMar>
              <w:top w:w="0" w:type="dxa"/>
              <w:left w:w="28" w:type="dxa"/>
              <w:bottom w:w="0" w:type="dxa"/>
              <w:right w:w="28" w:type="dxa"/>
            </w:tcMar>
            <w:vAlign w:val="center"/>
          </w:tcPr>
          <w:p w14:paraId="268DF4D1"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硫酸雾</w:t>
            </w:r>
          </w:p>
        </w:tc>
        <w:tc>
          <w:tcPr>
            <w:tcW w:w="361" w:type="pct"/>
            <w:vAlign w:val="center"/>
          </w:tcPr>
          <w:p w14:paraId="2EF5C13B" w14:textId="77777777" w:rsidR="003E78AB" w:rsidRDefault="00010BF9">
            <w:pPr>
              <w:spacing w:line="360" w:lineRule="exact"/>
              <w:ind w:firstLineChars="0" w:firstLine="0"/>
              <w:jc w:val="center"/>
              <w:rPr>
                <w:b/>
                <w:bCs/>
                <w:kern w:val="2"/>
                <w:sz w:val="21"/>
                <w:szCs w:val="21"/>
              </w:rPr>
            </w:pPr>
            <w:r>
              <w:rPr>
                <w:rFonts w:hint="eastAsia"/>
                <w:b/>
                <w:bCs/>
                <w:kern w:val="2"/>
                <w:sz w:val="21"/>
                <w:szCs w:val="21"/>
                <w:u w:val="single"/>
              </w:rPr>
              <w:t>VOCs</w:t>
            </w:r>
          </w:p>
        </w:tc>
      </w:tr>
      <w:tr w:rsidR="003E78AB" w14:paraId="41B892BF" w14:textId="77777777">
        <w:trPr>
          <w:trHeight w:val="489"/>
        </w:trPr>
        <w:tc>
          <w:tcPr>
            <w:tcW w:w="95" w:type="pct"/>
            <w:tcMar>
              <w:top w:w="0" w:type="dxa"/>
              <w:left w:w="28" w:type="dxa"/>
              <w:bottom w:w="0" w:type="dxa"/>
              <w:right w:w="28" w:type="dxa"/>
            </w:tcMar>
            <w:vAlign w:val="center"/>
          </w:tcPr>
          <w:p w14:paraId="751822F9" w14:textId="77777777" w:rsidR="003E78AB" w:rsidRDefault="00010BF9">
            <w:pPr>
              <w:spacing w:line="360" w:lineRule="exact"/>
              <w:ind w:firstLineChars="0" w:firstLine="0"/>
              <w:jc w:val="center"/>
              <w:rPr>
                <w:kern w:val="2"/>
                <w:sz w:val="21"/>
                <w:szCs w:val="21"/>
              </w:rPr>
            </w:pPr>
            <w:r>
              <w:rPr>
                <w:kern w:val="2"/>
                <w:sz w:val="21"/>
                <w:szCs w:val="21"/>
              </w:rPr>
              <w:t>1</w:t>
            </w:r>
          </w:p>
        </w:tc>
        <w:tc>
          <w:tcPr>
            <w:tcW w:w="327" w:type="pct"/>
            <w:tcMar>
              <w:top w:w="0" w:type="dxa"/>
              <w:left w:w="28" w:type="dxa"/>
              <w:bottom w:w="0" w:type="dxa"/>
              <w:right w:w="28" w:type="dxa"/>
            </w:tcMar>
            <w:vAlign w:val="center"/>
          </w:tcPr>
          <w:p w14:paraId="3A02A318" w14:textId="77777777" w:rsidR="003E78AB" w:rsidRDefault="00010BF9">
            <w:pPr>
              <w:spacing w:line="360" w:lineRule="exact"/>
              <w:ind w:firstLineChars="0" w:firstLine="0"/>
              <w:jc w:val="center"/>
              <w:rPr>
                <w:kern w:val="2"/>
                <w:sz w:val="21"/>
                <w:szCs w:val="21"/>
              </w:rPr>
            </w:pPr>
            <w:r>
              <w:rPr>
                <w:rFonts w:hint="eastAsia"/>
                <w:kern w:val="2"/>
                <w:sz w:val="21"/>
                <w:szCs w:val="21"/>
              </w:rPr>
              <w:t>DA001</w:t>
            </w:r>
          </w:p>
        </w:tc>
        <w:tc>
          <w:tcPr>
            <w:tcW w:w="949" w:type="dxa"/>
            <w:tcMar>
              <w:top w:w="0" w:type="dxa"/>
              <w:left w:w="28" w:type="dxa"/>
              <w:bottom w:w="0" w:type="dxa"/>
              <w:right w:w="28" w:type="dxa"/>
            </w:tcMar>
            <w:vAlign w:val="center"/>
          </w:tcPr>
          <w:p w14:paraId="12379448" w14:textId="77777777" w:rsidR="003E78AB" w:rsidRDefault="00010BF9">
            <w:pPr>
              <w:spacing w:line="360" w:lineRule="exact"/>
              <w:ind w:firstLineChars="0" w:firstLine="0"/>
              <w:jc w:val="center"/>
              <w:rPr>
                <w:kern w:val="2"/>
                <w:sz w:val="21"/>
                <w:szCs w:val="21"/>
              </w:rPr>
            </w:pPr>
            <w:r>
              <w:rPr>
                <w:rFonts w:hint="eastAsia"/>
                <w:kern w:val="2"/>
                <w:sz w:val="21"/>
                <w:szCs w:val="21"/>
              </w:rPr>
              <w:t>93.251388</w:t>
            </w:r>
          </w:p>
        </w:tc>
        <w:tc>
          <w:tcPr>
            <w:tcW w:w="949" w:type="dxa"/>
            <w:tcMar>
              <w:top w:w="0" w:type="dxa"/>
              <w:left w:w="28" w:type="dxa"/>
              <w:bottom w:w="0" w:type="dxa"/>
              <w:right w:w="28" w:type="dxa"/>
            </w:tcMar>
            <w:vAlign w:val="center"/>
          </w:tcPr>
          <w:p w14:paraId="79404959" w14:textId="77777777" w:rsidR="003E78AB" w:rsidRDefault="00010BF9">
            <w:pPr>
              <w:spacing w:line="360" w:lineRule="exact"/>
              <w:ind w:firstLineChars="0" w:firstLine="0"/>
              <w:jc w:val="center"/>
              <w:rPr>
                <w:kern w:val="2"/>
                <w:sz w:val="21"/>
                <w:szCs w:val="21"/>
              </w:rPr>
            </w:pPr>
            <w:r>
              <w:rPr>
                <w:rFonts w:hint="eastAsia"/>
                <w:kern w:val="2"/>
                <w:sz w:val="21"/>
                <w:szCs w:val="21"/>
              </w:rPr>
              <w:t>42.</w:t>
            </w:r>
            <w:bookmarkStart w:id="119" w:name="OLE_LINK68"/>
            <w:r>
              <w:rPr>
                <w:rFonts w:hint="eastAsia"/>
                <w:kern w:val="2"/>
                <w:sz w:val="21"/>
                <w:szCs w:val="21"/>
              </w:rPr>
              <w:t>413960</w:t>
            </w:r>
            <w:bookmarkEnd w:id="119"/>
          </w:p>
        </w:tc>
        <w:tc>
          <w:tcPr>
            <w:tcW w:w="353" w:type="pct"/>
            <w:tcMar>
              <w:top w:w="0" w:type="dxa"/>
              <w:left w:w="28" w:type="dxa"/>
              <w:bottom w:w="0" w:type="dxa"/>
              <w:right w:w="28" w:type="dxa"/>
            </w:tcMar>
            <w:vAlign w:val="center"/>
          </w:tcPr>
          <w:p w14:paraId="324AC834" w14:textId="77777777" w:rsidR="003E78AB" w:rsidRDefault="00010BF9">
            <w:pPr>
              <w:spacing w:line="360" w:lineRule="exact"/>
              <w:ind w:firstLineChars="0" w:firstLine="0"/>
              <w:jc w:val="center"/>
              <w:rPr>
                <w:kern w:val="2"/>
                <w:sz w:val="21"/>
                <w:szCs w:val="21"/>
              </w:rPr>
            </w:pPr>
            <w:r>
              <w:rPr>
                <w:rFonts w:hint="eastAsia"/>
                <w:kern w:val="2"/>
                <w:sz w:val="21"/>
                <w:szCs w:val="21"/>
              </w:rPr>
              <w:t>676</w:t>
            </w:r>
          </w:p>
        </w:tc>
        <w:tc>
          <w:tcPr>
            <w:tcW w:w="267" w:type="pct"/>
            <w:tcMar>
              <w:top w:w="0" w:type="dxa"/>
              <w:left w:w="28" w:type="dxa"/>
              <w:bottom w:w="0" w:type="dxa"/>
              <w:right w:w="28" w:type="dxa"/>
            </w:tcMar>
            <w:vAlign w:val="center"/>
          </w:tcPr>
          <w:p w14:paraId="79EF49E1" w14:textId="77777777" w:rsidR="003E78AB" w:rsidRDefault="00010BF9">
            <w:pPr>
              <w:spacing w:line="360" w:lineRule="exact"/>
              <w:ind w:firstLineChars="0" w:firstLine="0"/>
              <w:jc w:val="center"/>
              <w:rPr>
                <w:kern w:val="2"/>
                <w:sz w:val="21"/>
                <w:szCs w:val="21"/>
              </w:rPr>
            </w:pPr>
            <w:r>
              <w:rPr>
                <w:kern w:val="2"/>
                <w:sz w:val="21"/>
                <w:szCs w:val="21"/>
              </w:rPr>
              <w:t>20</w:t>
            </w:r>
            <w:r>
              <w:rPr>
                <w:rFonts w:hint="eastAsia"/>
                <w:kern w:val="2"/>
                <w:sz w:val="21"/>
                <w:szCs w:val="21"/>
              </w:rPr>
              <w:t>.5</w:t>
            </w:r>
          </w:p>
        </w:tc>
        <w:tc>
          <w:tcPr>
            <w:tcW w:w="329" w:type="pct"/>
            <w:tcMar>
              <w:top w:w="0" w:type="dxa"/>
              <w:left w:w="28" w:type="dxa"/>
              <w:bottom w:w="0" w:type="dxa"/>
              <w:right w:w="28" w:type="dxa"/>
            </w:tcMar>
            <w:vAlign w:val="center"/>
          </w:tcPr>
          <w:p w14:paraId="6BF23884" w14:textId="77777777" w:rsidR="003E78AB" w:rsidRDefault="00010BF9">
            <w:pPr>
              <w:spacing w:line="360" w:lineRule="exact"/>
              <w:ind w:firstLineChars="0" w:firstLine="0"/>
              <w:jc w:val="center"/>
              <w:rPr>
                <w:kern w:val="2"/>
                <w:sz w:val="21"/>
                <w:szCs w:val="21"/>
              </w:rPr>
            </w:pPr>
            <w:r>
              <w:rPr>
                <w:kern w:val="2"/>
                <w:sz w:val="21"/>
                <w:szCs w:val="21"/>
              </w:rPr>
              <w:t>0.</w:t>
            </w:r>
            <w:r>
              <w:rPr>
                <w:rFonts w:hint="eastAsia"/>
                <w:kern w:val="2"/>
                <w:sz w:val="21"/>
                <w:szCs w:val="21"/>
              </w:rPr>
              <w:t>4</w:t>
            </w:r>
          </w:p>
        </w:tc>
        <w:tc>
          <w:tcPr>
            <w:tcW w:w="363" w:type="pct"/>
            <w:tcMar>
              <w:top w:w="0" w:type="dxa"/>
              <w:left w:w="28" w:type="dxa"/>
              <w:bottom w:w="0" w:type="dxa"/>
              <w:right w:w="28" w:type="dxa"/>
            </w:tcMar>
            <w:vAlign w:val="center"/>
          </w:tcPr>
          <w:p w14:paraId="466F22DA"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17.69</w:t>
            </w:r>
          </w:p>
        </w:tc>
        <w:tc>
          <w:tcPr>
            <w:tcW w:w="275" w:type="pct"/>
            <w:tcMar>
              <w:top w:w="0" w:type="dxa"/>
              <w:left w:w="28" w:type="dxa"/>
              <w:bottom w:w="0" w:type="dxa"/>
              <w:right w:w="28" w:type="dxa"/>
            </w:tcMar>
            <w:vAlign w:val="center"/>
          </w:tcPr>
          <w:p w14:paraId="3098EBA0" w14:textId="77777777" w:rsidR="003E78AB" w:rsidRDefault="00010BF9">
            <w:pPr>
              <w:spacing w:line="360" w:lineRule="exact"/>
              <w:ind w:firstLineChars="0" w:firstLine="0"/>
              <w:jc w:val="center"/>
              <w:rPr>
                <w:kern w:val="2"/>
                <w:sz w:val="21"/>
                <w:szCs w:val="21"/>
              </w:rPr>
            </w:pPr>
            <w:r>
              <w:rPr>
                <w:kern w:val="2"/>
                <w:sz w:val="21"/>
                <w:szCs w:val="21"/>
              </w:rPr>
              <w:t>20</w:t>
            </w:r>
          </w:p>
        </w:tc>
        <w:tc>
          <w:tcPr>
            <w:tcW w:w="348" w:type="pct"/>
            <w:tcMar>
              <w:top w:w="0" w:type="dxa"/>
              <w:left w:w="28" w:type="dxa"/>
              <w:bottom w:w="0" w:type="dxa"/>
              <w:right w:w="28" w:type="dxa"/>
            </w:tcMar>
            <w:vAlign w:val="center"/>
          </w:tcPr>
          <w:p w14:paraId="75941836" w14:textId="77777777" w:rsidR="003E78AB" w:rsidRDefault="00010BF9">
            <w:pPr>
              <w:spacing w:line="360" w:lineRule="exact"/>
              <w:ind w:firstLineChars="0" w:firstLine="0"/>
              <w:jc w:val="center"/>
              <w:rPr>
                <w:kern w:val="2"/>
                <w:sz w:val="21"/>
                <w:szCs w:val="21"/>
              </w:rPr>
            </w:pPr>
            <w:r>
              <w:rPr>
                <w:rFonts w:hint="eastAsia"/>
                <w:kern w:val="2"/>
                <w:sz w:val="21"/>
                <w:szCs w:val="21"/>
              </w:rPr>
              <w:t>250</w:t>
            </w:r>
            <w:r>
              <w:rPr>
                <w:kern w:val="2"/>
                <w:sz w:val="21"/>
                <w:szCs w:val="21"/>
              </w:rPr>
              <w:t>0</w:t>
            </w:r>
          </w:p>
        </w:tc>
        <w:tc>
          <w:tcPr>
            <w:tcW w:w="1089" w:type="dxa"/>
            <w:tcMar>
              <w:top w:w="0" w:type="dxa"/>
              <w:left w:w="28" w:type="dxa"/>
              <w:bottom w:w="0" w:type="dxa"/>
              <w:right w:w="28" w:type="dxa"/>
            </w:tcMar>
            <w:vAlign w:val="center"/>
          </w:tcPr>
          <w:p w14:paraId="4D71CD92" w14:textId="77777777" w:rsidR="003E78AB" w:rsidRDefault="00010BF9">
            <w:pPr>
              <w:spacing w:line="360" w:lineRule="exact"/>
              <w:ind w:firstLineChars="0" w:firstLine="0"/>
              <w:jc w:val="center"/>
              <w:rPr>
                <w:kern w:val="2"/>
                <w:sz w:val="21"/>
                <w:szCs w:val="21"/>
              </w:rPr>
            </w:pPr>
            <w:r>
              <w:rPr>
                <w:kern w:val="2"/>
                <w:sz w:val="21"/>
                <w:szCs w:val="21"/>
              </w:rPr>
              <w:t xml:space="preserve">0.0436 </w:t>
            </w:r>
          </w:p>
        </w:tc>
        <w:tc>
          <w:tcPr>
            <w:tcW w:w="368" w:type="pct"/>
            <w:tcMar>
              <w:top w:w="0" w:type="dxa"/>
              <w:left w:w="28" w:type="dxa"/>
              <w:bottom w:w="0" w:type="dxa"/>
              <w:right w:w="28" w:type="dxa"/>
            </w:tcMar>
            <w:vAlign w:val="center"/>
          </w:tcPr>
          <w:p w14:paraId="21E840EB" w14:textId="77777777" w:rsidR="003E78AB" w:rsidRDefault="00010BF9">
            <w:pPr>
              <w:spacing w:line="360" w:lineRule="exact"/>
              <w:ind w:firstLineChars="0" w:firstLine="0"/>
              <w:jc w:val="center"/>
              <w:rPr>
                <w:kern w:val="2"/>
                <w:sz w:val="21"/>
                <w:szCs w:val="21"/>
              </w:rPr>
            </w:pPr>
            <w:r>
              <w:rPr>
                <w:kern w:val="2"/>
                <w:sz w:val="21"/>
                <w:szCs w:val="21"/>
              </w:rPr>
              <w:t>/</w:t>
            </w:r>
          </w:p>
        </w:tc>
        <w:tc>
          <w:tcPr>
            <w:tcW w:w="290" w:type="pct"/>
            <w:tcMar>
              <w:top w:w="0" w:type="dxa"/>
              <w:left w:w="28" w:type="dxa"/>
              <w:bottom w:w="0" w:type="dxa"/>
              <w:right w:w="28" w:type="dxa"/>
            </w:tcMar>
            <w:vAlign w:val="center"/>
          </w:tcPr>
          <w:p w14:paraId="660F39E8" w14:textId="77777777" w:rsidR="003E78AB" w:rsidRDefault="00010BF9">
            <w:pPr>
              <w:spacing w:line="360" w:lineRule="exact"/>
              <w:ind w:firstLineChars="0" w:firstLine="0"/>
              <w:jc w:val="center"/>
              <w:rPr>
                <w:kern w:val="2"/>
                <w:sz w:val="21"/>
                <w:szCs w:val="21"/>
              </w:rPr>
            </w:pPr>
            <w:r>
              <w:rPr>
                <w:kern w:val="2"/>
                <w:sz w:val="21"/>
                <w:szCs w:val="21"/>
              </w:rPr>
              <w:t>/</w:t>
            </w:r>
          </w:p>
        </w:tc>
        <w:tc>
          <w:tcPr>
            <w:tcW w:w="596" w:type="pct"/>
            <w:tcMar>
              <w:top w:w="0" w:type="dxa"/>
              <w:left w:w="28" w:type="dxa"/>
              <w:bottom w:w="0" w:type="dxa"/>
              <w:right w:w="28" w:type="dxa"/>
            </w:tcMar>
            <w:vAlign w:val="center"/>
          </w:tcPr>
          <w:p w14:paraId="712D5E82" w14:textId="77777777" w:rsidR="003E78AB" w:rsidRDefault="00010BF9">
            <w:pPr>
              <w:spacing w:line="360" w:lineRule="exact"/>
              <w:ind w:firstLineChars="0" w:firstLine="0"/>
              <w:jc w:val="center"/>
              <w:rPr>
                <w:kern w:val="2"/>
                <w:sz w:val="21"/>
                <w:szCs w:val="21"/>
              </w:rPr>
            </w:pPr>
            <w:r>
              <w:rPr>
                <w:kern w:val="2"/>
                <w:sz w:val="21"/>
                <w:szCs w:val="21"/>
              </w:rPr>
              <w:t>/</w:t>
            </w:r>
          </w:p>
        </w:tc>
        <w:tc>
          <w:tcPr>
            <w:tcW w:w="361" w:type="pct"/>
          </w:tcPr>
          <w:p w14:paraId="748F8A46" w14:textId="77777777" w:rsidR="003E78AB" w:rsidRDefault="00010BF9">
            <w:pPr>
              <w:spacing w:line="360" w:lineRule="exact"/>
              <w:ind w:firstLineChars="0" w:firstLine="0"/>
              <w:jc w:val="center"/>
              <w:rPr>
                <w:kern w:val="2"/>
                <w:sz w:val="21"/>
                <w:szCs w:val="21"/>
              </w:rPr>
            </w:pPr>
            <w:r>
              <w:rPr>
                <w:kern w:val="2"/>
                <w:sz w:val="21"/>
                <w:szCs w:val="21"/>
              </w:rPr>
              <w:t>/</w:t>
            </w:r>
          </w:p>
        </w:tc>
      </w:tr>
      <w:tr w:rsidR="003E78AB" w14:paraId="5D2488B4" w14:textId="77777777">
        <w:trPr>
          <w:trHeight w:val="90"/>
        </w:trPr>
        <w:tc>
          <w:tcPr>
            <w:tcW w:w="95" w:type="pct"/>
            <w:tcMar>
              <w:top w:w="0" w:type="dxa"/>
              <w:left w:w="28" w:type="dxa"/>
              <w:bottom w:w="0" w:type="dxa"/>
              <w:right w:w="28" w:type="dxa"/>
            </w:tcMar>
            <w:vAlign w:val="center"/>
          </w:tcPr>
          <w:p w14:paraId="60E271D7" w14:textId="77777777" w:rsidR="003E78AB" w:rsidRDefault="00010BF9">
            <w:pPr>
              <w:spacing w:line="360" w:lineRule="exact"/>
              <w:ind w:firstLineChars="0" w:firstLine="0"/>
              <w:jc w:val="center"/>
              <w:rPr>
                <w:kern w:val="2"/>
                <w:sz w:val="21"/>
                <w:szCs w:val="21"/>
              </w:rPr>
            </w:pPr>
            <w:r>
              <w:rPr>
                <w:kern w:val="2"/>
                <w:sz w:val="21"/>
                <w:szCs w:val="21"/>
              </w:rPr>
              <w:t>2</w:t>
            </w:r>
          </w:p>
        </w:tc>
        <w:tc>
          <w:tcPr>
            <w:tcW w:w="327" w:type="pct"/>
            <w:tcMar>
              <w:top w:w="0" w:type="dxa"/>
              <w:left w:w="28" w:type="dxa"/>
              <w:bottom w:w="0" w:type="dxa"/>
              <w:right w:w="28" w:type="dxa"/>
            </w:tcMar>
            <w:vAlign w:val="bottom"/>
          </w:tcPr>
          <w:p w14:paraId="6A3637BE" w14:textId="77777777" w:rsidR="003E78AB" w:rsidRDefault="00010BF9">
            <w:pPr>
              <w:spacing w:line="360" w:lineRule="exact"/>
              <w:ind w:firstLineChars="0" w:firstLine="0"/>
              <w:jc w:val="center"/>
              <w:rPr>
                <w:kern w:val="2"/>
                <w:sz w:val="21"/>
                <w:szCs w:val="21"/>
              </w:rPr>
            </w:pPr>
            <w:r>
              <w:rPr>
                <w:rFonts w:hint="eastAsia"/>
                <w:kern w:val="2"/>
                <w:sz w:val="21"/>
                <w:szCs w:val="21"/>
              </w:rPr>
              <w:t>DA002</w:t>
            </w:r>
          </w:p>
        </w:tc>
        <w:tc>
          <w:tcPr>
            <w:tcW w:w="949" w:type="dxa"/>
            <w:tcMar>
              <w:top w:w="0" w:type="dxa"/>
              <w:left w:w="28" w:type="dxa"/>
              <w:bottom w:w="0" w:type="dxa"/>
              <w:right w:w="28" w:type="dxa"/>
            </w:tcMar>
            <w:vAlign w:val="center"/>
          </w:tcPr>
          <w:p w14:paraId="3D0570C8" w14:textId="77777777" w:rsidR="003E78AB" w:rsidRDefault="00010BF9">
            <w:pPr>
              <w:spacing w:line="360" w:lineRule="exact"/>
              <w:ind w:firstLineChars="0" w:firstLine="0"/>
              <w:jc w:val="center"/>
              <w:rPr>
                <w:kern w:val="2"/>
                <w:sz w:val="21"/>
                <w:szCs w:val="21"/>
              </w:rPr>
            </w:pPr>
            <w:r>
              <w:rPr>
                <w:rFonts w:hint="eastAsia"/>
                <w:kern w:val="2"/>
                <w:sz w:val="21"/>
                <w:szCs w:val="21"/>
              </w:rPr>
              <w:t>93.251579</w:t>
            </w:r>
          </w:p>
        </w:tc>
        <w:tc>
          <w:tcPr>
            <w:tcW w:w="949" w:type="dxa"/>
            <w:tcMar>
              <w:top w:w="0" w:type="dxa"/>
              <w:left w:w="28" w:type="dxa"/>
              <w:bottom w:w="0" w:type="dxa"/>
              <w:right w:w="28" w:type="dxa"/>
            </w:tcMar>
            <w:vAlign w:val="center"/>
          </w:tcPr>
          <w:p w14:paraId="14C46CB2" w14:textId="77777777" w:rsidR="003E78AB" w:rsidRDefault="00010BF9">
            <w:pPr>
              <w:spacing w:line="360" w:lineRule="exact"/>
              <w:ind w:firstLineChars="0" w:firstLine="0"/>
              <w:jc w:val="center"/>
              <w:rPr>
                <w:kern w:val="2"/>
                <w:sz w:val="21"/>
                <w:szCs w:val="21"/>
              </w:rPr>
            </w:pPr>
            <w:r>
              <w:rPr>
                <w:rFonts w:hint="eastAsia"/>
                <w:kern w:val="2"/>
                <w:sz w:val="21"/>
                <w:szCs w:val="21"/>
              </w:rPr>
              <w:t>42.413960</w:t>
            </w:r>
          </w:p>
        </w:tc>
        <w:tc>
          <w:tcPr>
            <w:tcW w:w="353" w:type="pct"/>
            <w:tcMar>
              <w:top w:w="0" w:type="dxa"/>
              <w:left w:w="28" w:type="dxa"/>
              <w:bottom w:w="0" w:type="dxa"/>
              <w:right w:w="28" w:type="dxa"/>
            </w:tcMar>
            <w:vAlign w:val="bottom"/>
          </w:tcPr>
          <w:p w14:paraId="4E8A9971" w14:textId="77777777" w:rsidR="003E78AB" w:rsidRDefault="00010BF9">
            <w:pPr>
              <w:spacing w:line="360" w:lineRule="exact"/>
              <w:ind w:firstLineChars="0" w:firstLine="0"/>
              <w:jc w:val="center"/>
              <w:rPr>
                <w:kern w:val="2"/>
                <w:sz w:val="21"/>
                <w:szCs w:val="21"/>
              </w:rPr>
            </w:pPr>
            <w:r>
              <w:rPr>
                <w:rFonts w:hint="eastAsia"/>
                <w:kern w:val="2"/>
                <w:sz w:val="21"/>
                <w:szCs w:val="21"/>
              </w:rPr>
              <w:t>676</w:t>
            </w:r>
          </w:p>
        </w:tc>
        <w:tc>
          <w:tcPr>
            <w:tcW w:w="748" w:type="dxa"/>
            <w:tcMar>
              <w:top w:w="0" w:type="dxa"/>
              <w:left w:w="28" w:type="dxa"/>
              <w:bottom w:w="0" w:type="dxa"/>
              <w:right w:w="28" w:type="dxa"/>
            </w:tcMar>
            <w:vAlign w:val="center"/>
          </w:tcPr>
          <w:p w14:paraId="362D6768" w14:textId="77777777" w:rsidR="003E78AB" w:rsidRDefault="00010BF9">
            <w:pPr>
              <w:spacing w:line="360" w:lineRule="exact"/>
              <w:ind w:firstLineChars="0" w:firstLine="0"/>
              <w:jc w:val="center"/>
              <w:rPr>
                <w:kern w:val="2"/>
                <w:sz w:val="21"/>
                <w:szCs w:val="21"/>
              </w:rPr>
            </w:pPr>
            <w:r>
              <w:rPr>
                <w:kern w:val="2"/>
                <w:sz w:val="21"/>
                <w:szCs w:val="21"/>
              </w:rPr>
              <w:t>20</w:t>
            </w:r>
            <w:r>
              <w:rPr>
                <w:rFonts w:hint="eastAsia"/>
                <w:kern w:val="2"/>
                <w:sz w:val="21"/>
                <w:szCs w:val="21"/>
              </w:rPr>
              <w:t>.5</w:t>
            </w:r>
          </w:p>
        </w:tc>
        <w:tc>
          <w:tcPr>
            <w:tcW w:w="922" w:type="dxa"/>
            <w:tcMar>
              <w:top w:w="0" w:type="dxa"/>
              <w:left w:w="28" w:type="dxa"/>
              <w:bottom w:w="0" w:type="dxa"/>
              <w:right w:w="28" w:type="dxa"/>
            </w:tcMar>
            <w:vAlign w:val="center"/>
          </w:tcPr>
          <w:p w14:paraId="06E4D514" w14:textId="77777777" w:rsidR="003E78AB" w:rsidRDefault="00010BF9">
            <w:pPr>
              <w:spacing w:line="360" w:lineRule="exact"/>
              <w:ind w:firstLineChars="0" w:firstLine="0"/>
              <w:jc w:val="center"/>
              <w:rPr>
                <w:kern w:val="2"/>
                <w:sz w:val="21"/>
                <w:szCs w:val="21"/>
              </w:rPr>
            </w:pPr>
            <w:r>
              <w:rPr>
                <w:kern w:val="2"/>
                <w:sz w:val="21"/>
                <w:szCs w:val="21"/>
              </w:rPr>
              <w:t>0.</w:t>
            </w:r>
            <w:r>
              <w:rPr>
                <w:rFonts w:hint="eastAsia"/>
                <w:kern w:val="2"/>
                <w:sz w:val="21"/>
                <w:szCs w:val="21"/>
              </w:rPr>
              <w:t>4</w:t>
            </w:r>
          </w:p>
        </w:tc>
        <w:tc>
          <w:tcPr>
            <w:tcW w:w="363" w:type="pct"/>
            <w:tcMar>
              <w:top w:w="0" w:type="dxa"/>
              <w:left w:w="28" w:type="dxa"/>
              <w:bottom w:w="0" w:type="dxa"/>
              <w:right w:w="28" w:type="dxa"/>
            </w:tcMar>
            <w:vAlign w:val="center"/>
          </w:tcPr>
          <w:p w14:paraId="13CF2102"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17.69</w:t>
            </w:r>
          </w:p>
        </w:tc>
        <w:tc>
          <w:tcPr>
            <w:tcW w:w="275" w:type="pct"/>
            <w:tcMar>
              <w:top w:w="0" w:type="dxa"/>
              <w:left w:w="28" w:type="dxa"/>
              <w:bottom w:w="0" w:type="dxa"/>
              <w:right w:w="28" w:type="dxa"/>
            </w:tcMar>
            <w:vAlign w:val="center"/>
          </w:tcPr>
          <w:p w14:paraId="0C31FACF" w14:textId="77777777" w:rsidR="003E78AB" w:rsidRDefault="00010BF9">
            <w:pPr>
              <w:spacing w:line="360" w:lineRule="exact"/>
              <w:ind w:firstLineChars="0" w:firstLine="0"/>
              <w:jc w:val="center"/>
              <w:rPr>
                <w:kern w:val="2"/>
                <w:sz w:val="21"/>
                <w:szCs w:val="21"/>
              </w:rPr>
            </w:pPr>
            <w:r>
              <w:rPr>
                <w:kern w:val="2"/>
                <w:sz w:val="21"/>
                <w:szCs w:val="21"/>
              </w:rPr>
              <w:t>20</w:t>
            </w:r>
          </w:p>
        </w:tc>
        <w:tc>
          <w:tcPr>
            <w:tcW w:w="348" w:type="pct"/>
            <w:tcMar>
              <w:top w:w="0" w:type="dxa"/>
              <w:left w:w="28" w:type="dxa"/>
              <w:bottom w:w="0" w:type="dxa"/>
              <w:right w:w="28" w:type="dxa"/>
            </w:tcMar>
            <w:vAlign w:val="center"/>
          </w:tcPr>
          <w:p w14:paraId="746F89B3" w14:textId="77777777" w:rsidR="003E78AB" w:rsidRDefault="00010BF9">
            <w:pPr>
              <w:spacing w:line="360" w:lineRule="exact"/>
              <w:ind w:firstLineChars="0" w:firstLine="0"/>
              <w:jc w:val="center"/>
              <w:rPr>
                <w:kern w:val="2"/>
                <w:sz w:val="21"/>
                <w:szCs w:val="21"/>
              </w:rPr>
            </w:pPr>
            <w:r>
              <w:rPr>
                <w:rFonts w:hint="eastAsia"/>
                <w:kern w:val="2"/>
                <w:sz w:val="21"/>
                <w:szCs w:val="21"/>
              </w:rPr>
              <w:t>180</w:t>
            </w:r>
            <w:r>
              <w:rPr>
                <w:kern w:val="2"/>
                <w:sz w:val="21"/>
                <w:szCs w:val="21"/>
              </w:rPr>
              <w:t>0</w:t>
            </w:r>
          </w:p>
        </w:tc>
        <w:tc>
          <w:tcPr>
            <w:tcW w:w="1089" w:type="dxa"/>
            <w:tcMar>
              <w:top w:w="0" w:type="dxa"/>
              <w:left w:w="28" w:type="dxa"/>
              <w:bottom w:w="0" w:type="dxa"/>
              <w:right w:w="28" w:type="dxa"/>
            </w:tcMar>
            <w:vAlign w:val="center"/>
          </w:tcPr>
          <w:p w14:paraId="76028233"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0.0307 </w:t>
            </w:r>
          </w:p>
        </w:tc>
        <w:tc>
          <w:tcPr>
            <w:tcW w:w="368" w:type="pct"/>
            <w:tcMar>
              <w:top w:w="0" w:type="dxa"/>
              <w:left w:w="28" w:type="dxa"/>
              <w:bottom w:w="0" w:type="dxa"/>
              <w:right w:w="28" w:type="dxa"/>
            </w:tcMar>
            <w:vAlign w:val="center"/>
          </w:tcPr>
          <w:p w14:paraId="5949C733" w14:textId="77777777" w:rsidR="003E78AB" w:rsidRDefault="00010BF9">
            <w:pPr>
              <w:spacing w:line="360" w:lineRule="exact"/>
              <w:ind w:firstLineChars="0" w:firstLine="0"/>
              <w:jc w:val="center"/>
              <w:rPr>
                <w:kern w:val="2"/>
                <w:sz w:val="21"/>
                <w:szCs w:val="21"/>
              </w:rPr>
            </w:pPr>
            <w:r>
              <w:rPr>
                <w:kern w:val="2"/>
                <w:sz w:val="21"/>
                <w:szCs w:val="21"/>
              </w:rPr>
              <w:t>/</w:t>
            </w:r>
          </w:p>
        </w:tc>
        <w:tc>
          <w:tcPr>
            <w:tcW w:w="290" w:type="pct"/>
            <w:tcMar>
              <w:top w:w="0" w:type="dxa"/>
              <w:left w:w="28" w:type="dxa"/>
              <w:bottom w:w="0" w:type="dxa"/>
              <w:right w:w="28" w:type="dxa"/>
            </w:tcMar>
            <w:vAlign w:val="center"/>
          </w:tcPr>
          <w:p w14:paraId="7E6BE649" w14:textId="77777777" w:rsidR="003E78AB" w:rsidRDefault="00010BF9">
            <w:pPr>
              <w:spacing w:line="360" w:lineRule="exact"/>
              <w:ind w:firstLineChars="0" w:firstLine="0"/>
              <w:jc w:val="center"/>
              <w:rPr>
                <w:kern w:val="2"/>
                <w:sz w:val="21"/>
                <w:szCs w:val="21"/>
              </w:rPr>
            </w:pPr>
            <w:r>
              <w:rPr>
                <w:kern w:val="2"/>
                <w:sz w:val="21"/>
                <w:szCs w:val="21"/>
              </w:rPr>
              <w:t>/</w:t>
            </w:r>
          </w:p>
        </w:tc>
        <w:tc>
          <w:tcPr>
            <w:tcW w:w="596" w:type="pct"/>
            <w:tcMar>
              <w:top w:w="0" w:type="dxa"/>
              <w:left w:w="28" w:type="dxa"/>
              <w:bottom w:w="0" w:type="dxa"/>
              <w:right w:w="28" w:type="dxa"/>
            </w:tcMar>
            <w:vAlign w:val="center"/>
          </w:tcPr>
          <w:p w14:paraId="0C6E7AE7" w14:textId="77777777" w:rsidR="003E78AB" w:rsidRDefault="00010BF9">
            <w:pPr>
              <w:spacing w:line="360" w:lineRule="exact"/>
              <w:ind w:firstLineChars="0" w:firstLine="0"/>
              <w:jc w:val="center"/>
              <w:rPr>
                <w:kern w:val="2"/>
                <w:sz w:val="21"/>
                <w:szCs w:val="21"/>
              </w:rPr>
            </w:pPr>
            <w:r>
              <w:rPr>
                <w:kern w:val="2"/>
                <w:sz w:val="21"/>
                <w:szCs w:val="21"/>
              </w:rPr>
              <w:t>/</w:t>
            </w:r>
          </w:p>
        </w:tc>
        <w:tc>
          <w:tcPr>
            <w:tcW w:w="361" w:type="pct"/>
          </w:tcPr>
          <w:p w14:paraId="056DB77A" w14:textId="77777777" w:rsidR="003E78AB" w:rsidRDefault="00010BF9">
            <w:pPr>
              <w:spacing w:line="360" w:lineRule="exact"/>
              <w:ind w:firstLineChars="0" w:firstLine="0"/>
              <w:jc w:val="center"/>
              <w:rPr>
                <w:kern w:val="2"/>
                <w:sz w:val="21"/>
                <w:szCs w:val="21"/>
              </w:rPr>
            </w:pPr>
            <w:r>
              <w:rPr>
                <w:kern w:val="2"/>
                <w:sz w:val="21"/>
                <w:szCs w:val="21"/>
              </w:rPr>
              <w:t>/</w:t>
            </w:r>
          </w:p>
        </w:tc>
      </w:tr>
      <w:tr w:rsidR="003E78AB" w14:paraId="4548C3BD" w14:textId="77777777">
        <w:tc>
          <w:tcPr>
            <w:tcW w:w="95" w:type="pct"/>
            <w:tcMar>
              <w:top w:w="0" w:type="dxa"/>
              <w:left w:w="28" w:type="dxa"/>
              <w:bottom w:w="0" w:type="dxa"/>
              <w:right w:w="28" w:type="dxa"/>
            </w:tcMar>
            <w:vAlign w:val="center"/>
          </w:tcPr>
          <w:p w14:paraId="5D9D42DF" w14:textId="77777777" w:rsidR="003E78AB" w:rsidRDefault="00010BF9">
            <w:pPr>
              <w:spacing w:line="360" w:lineRule="exact"/>
              <w:ind w:firstLineChars="0" w:firstLine="0"/>
              <w:jc w:val="center"/>
              <w:rPr>
                <w:kern w:val="2"/>
                <w:sz w:val="21"/>
                <w:szCs w:val="21"/>
              </w:rPr>
            </w:pPr>
            <w:r>
              <w:rPr>
                <w:kern w:val="2"/>
                <w:sz w:val="21"/>
                <w:szCs w:val="21"/>
              </w:rPr>
              <w:t>3</w:t>
            </w:r>
          </w:p>
        </w:tc>
        <w:tc>
          <w:tcPr>
            <w:tcW w:w="327" w:type="pct"/>
            <w:tcMar>
              <w:top w:w="0" w:type="dxa"/>
              <w:left w:w="28" w:type="dxa"/>
              <w:bottom w:w="0" w:type="dxa"/>
              <w:right w:w="28" w:type="dxa"/>
            </w:tcMar>
            <w:vAlign w:val="bottom"/>
          </w:tcPr>
          <w:p w14:paraId="751B4AE9" w14:textId="77777777" w:rsidR="003E78AB" w:rsidRDefault="00010BF9">
            <w:pPr>
              <w:spacing w:line="360" w:lineRule="exact"/>
              <w:ind w:firstLineChars="0" w:firstLine="0"/>
              <w:jc w:val="center"/>
              <w:rPr>
                <w:kern w:val="2"/>
                <w:sz w:val="21"/>
                <w:szCs w:val="21"/>
              </w:rPr>
            </w:pPr>
            <w:r>
              <w:rPr>
                <w:rFonts w:hint="eastAsia"/>
                <w:kern w:val="2"/>
                <w:sz w:val="21"/>
                <w:szCs w:val="21"/>
              </w:rPr>
              <w:t>DA003</w:t>
            </w:r>
          </w:p>
        </w:tc>
        <w:tc>
          <w:tcPr>
            <w:tcW w:w="949" w:type="dxa"/>
            <w:tcMar>
              <w:top w:w="0" w:type="dxa"/>
              <w:left w:w="28" w:type="dxa"/>
              <w:bottom w:w="0" w:type="dxa"/>
              <w:right w:w="28" w:type="dxa"/>
            </w:tcMar>
            <w:vAlign w:val="center"/>
          </w:tcPr>
          <w:p w14:paraId="3315CE0C" w14:textId="77777777" w:rsidR="003E78AB" w:rsidRDefault="00010BF9">
            <w:pPr>
              <w:spacing w:line="360" w:lineRule="exact"/>
              <w:ind w:firstLineChars="0" w:firstLine="0"/>
              <w:jc w:val="center"/>
              <w:rPr>
                <w:kern w:val="2"/>
                <w:sz w:val="21"/>
                <w:szCs w:val="21"/>
              </w:rPr>
            </w:pPr>
            <w:r>
              <w:rPr>
                <w:rFonts w:hint="eastAsia"/>
                <w:kern w:val="2"/>
                <w:sz w:val="21"/>
                <w:szCs w:val="21"/>
              </w:rPr>
              <w:t>93.251364</w:t>
            </w:r>
          </w:p>
        </w:tc>
        <w:tc>
          <w:tcPr>
            <w:tcW w:w="949" w:type="dxa"/>
            <w:tcMar>
              <w:top w:w="0" w:type="dxa"/>
              <w:left w:w="28" w:type="dxa"/>
              <w:bottom w:w="0" w:type="dxa"/>
              <w:right w:w="28" w:type="dxa"/>
            </w:tcMar>
            <w:vAlign w:val="center"/>
          </w:tcPr>
          <w:p w14:paraId="668E7082" w14:textId="77777777" w:rsidR="003E78AB" w:rsidRDefault="00010BF9">
            <w:pPr>
              <w:spacing w:line="360" w:lineRule="exact"/>
              <w:ind w:firstLineChars="0" w:firstLine="0"/>
              <w:jc w:val="center"/>
              <w:rPr>
                <w:kern w:val="2"/>
                <w:sz w:val="21"/>
                <w:szCs w:val="21"/>
              </w:rPr>
            </w:pPr>
            <w:r>
              <w:rPr>
                <w:rFonts w:hint="eastAsia"/>
                <w:kern w:val="2"/>
                <w:sz w:val="21"/>
                <w:szCs w:val="21"/>
              </w:rPr>
              <w:t>42.413960</w:t>
            </w:r>
          </w:p>
        </w:tc>
        <w:tc>
          <w:tcPr>
            <w:tcW w:w="353" w:type="pct"/>
            <w:tcMar>
              <w:top w:w="0" w:type="dxa"/>
              <w:left w:w="28" w:type="dxa"/>
              <w:bottom w:w="0" w:type="dxa"/>
              <w:right w:w="28" w:type="dxa"/>
            </w:tcMar>
            <w:vAlign w:val="bottom"/>
          </w:tcPr>
          <w:p w14:paraId="017F1661" w14:textId="77777777" w:rsidR="003E78AB" w:rsidRDefault="00010BF9">
            <w:pPr>
              <w:spacing w:line="360" w:lineRule="exact"/>
              <w:ind w:firstLineChars="0" w:firstLine="0"/>
              <w:jc w:val="center"/>
              <w:rPr>
                <w:kern w:val="2"/>
                <w:sz w:val="21"/>
                <w:szCs w:val="21"/>
              </w:rPr>
            </w:pPr>
            <w:r>
              <w:rPr>
                <w:rFonts w:hint="eastAsia"/>
                <w:kern w:val="2"/>
                <w:sz w:val="21"/>
                <w:szCs w:val="21"/>
              </w:rPr>
              <w:t>676</w:t>
            </w:r>
          </w:p>
        </w:tc>
        <w:tc>
          <w:tcPr>
            <w:tcW w:w="748" w:type="dxa"/>
            <w:tcMar>
              <w:top w:w="0" w:type="dxa"/>
              <w:left w:w="28" w:type="dxa"/>
              <w:bottom w:w="0" w:type="dxa"/>
              <w:right w:w="28" w:type="dxa"/>
            </w:tcMar>
            <w:vAlign w:val="center"/>
          </w:tcPr>
          <w:p w14:paraId="038A30FA" w14:textId="77777777" w:rsidR="003E78AB" w:rsidRDefault="00010BF9">
            <w:pPr>
              <w:spacing w:line="360" w:lineRule="exact"/>
              <w:ind w:firstLineChars="0" w:firstLine="0"/>
              <w:jc w:val="center"/>
              <w:rPr>
                <w:kern w:val="2"/>
                <w:sz w:val="21"/>
                <w:szCs w:val="21"/>
              </w:rPr>
            </w:pPr>
            <w:r>
              <w:rPr>
                <w:kern w:val="2"/>
                <w:sz w:val="21"/>
                <w:szCs w:val="21"/>
              </w:rPr>
              <w:t>20</w:t>
            </w:r>
            <w:r>
              <w:rPr>
                <w:rFonts w:hint="eastAsia"/>
                <w:kern w:val="2"/>
                <w:sz w:val="21"/>
                <w:szCs w:val="21"/>
              </w:rPr>
              <w:t>.5</w:t>
            </w:r>
          </w:p>
        </w:tc>
        <w:tc>
          <w:tcPr>
            <w:tcW w:w="922" w:type="dxa"/>
            <w:tcMar>
              <w:top w:w="0" w:type="dxa"/>
              <w:left w:w="28" w:type="dxa"/>
              <w:bottom w:w="0" w:type="dxa"/>
              <w:right w:w="28" w:type="dxa"/>
            </w:tcMar>
            <w:vAlign w:val="center"/>
          </w:tcPr>
          <w:p w14:paraId="6785A0F7" w14:textId="77777777" w:rsidR="003E78AB" w:rsidRDefault="00010BF9">
            <w:pPr>
              <w:spacing w:line="360" w:lineRule="exact"/>
              <w:ind w:firstLineChars="0" w:firstLine="0"/>
              <w:jc w:val="center"/>
              <w:rPr>
                <w:kern w:val="2"/>
                <w:sz w:val="21"/>
                <w:szCs w:val="21"/>
              </w:rPr>
            </w:pPr>
            <w:r>
              <w:rPr>
                <w:kern w:val="2"/>
                <w:sz w:val="21"/>
                <w:szCs w:val="21"/>
              </w:rPr>
              <w:t>0.</w:t>
            </w:r>
            <w:r>
              <w:rPr>
                <w:rFonts w:hint="eastAsia"/>
                <w:kern w:val="2"/>
                <w:sz w:val="21"/>
                <w:szCs w:val="21"/>
              </w:rPr>
              <w:t>5</w:t>
            </w:r>
          </w:p>
        </w:tc>
        <w:tc>
          <w:tcPr>
            <w:tcW w:w="363" w:type="pct"/>
            <w:tcMar>
              <w:top w:w="0" w:type="dxa"/>
              <w:left w:w="28" w:type="dxa"/>
              <w:bottom w:w="0" w:type="dxa"/>
              <w:right w:w="28" w:type="dxa"/>
            </w:tcMar>
            <w:vAlign w:val="center"/>
          </w:tcPr>
          <w:p w14:paraId="0C7D0746"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14.15</w:t>
            </w:r>
          </w:p>
        </w:tc>
        <w:tc>
          <w:tcPr>
            <w:tcW w:w="275" w:type="pct"/>
            <w:tcMar>
              <w:top w:w="0" w:type="dxa"/>
              <w:left w:w="28" w:type="dxa"/>
              <w:bottom w:w="0" w:type="dxa"/>
              <w:right w:w="28" w:type="dxa"/>
            </w:tcMar>
            <w:vAlign w:val="center"/>
          </w:tcPr>
          <w:p w14:paraId="338CACFF" w14:textId="77777777" w:rsidR="003E78AB" w:rsidRDefault="00010BF9">
            <w:pPr>
              <w:spacing w:line="360" w:lineRule="exact"/>
              <w:ind w:firstLineChars="0" w:firstLine="0"/>
              <w:jc w:val="center"/>
              <w:rPr>
                <w:kern w:val="2"/>
                <w:sz w:val="21"/>
                <w:szCs w:val="21"/>
              </w:rPr>
            </w:pPr>
            <w:r>
              <w:rPr>
                <w:rFonts w:hint="eastAsia"/>
                <w:kern w:val="2"/>
                <w:sz w:val="21"/>
                <w:szCs w:val="21"/>
              </w:rPr>
              <w:t>20</w:t>
            </w:r>
          </w:p>
        </w:tc>
        <w:tc>
          <w:tcPr>
            <w:tcW w:w="348" w:type="pct"/>
            <w:tcMar>
              <w:top w:w="0" w:type="dxa"/>
              <w:left w:w="28" w:type="dxa"/>
              <w:bottom w:w="0" w:type="dxa"/>
              <w:right w:w="28" w:type="dxa"/>
            </w:tcMar>
            <w:vAlign w:val="center"/>
          </w:tcPr>
          <w:p w14:paraId="36D57EB1" w14:textId="77777777" w:rsidR="003E78AB" w:rsidRDefault="00010BF9">
            <w:pPr>
              <w:spacing w:line="360" w:lineRule="exact"/>
              <w:ind w:firstLineChars="0" w:firstLine="0"/>
              <w:jc w:val="center"/>
              <w:rPr>
                <w:sz w:val="21"/>
                <w:szCs w:val="21"/>
              </w:rPr>
            </w:pPr>
            <w:r>
              <w:rPr>
                <w:sz w:val="21"/>
                <w:szCs w:val="21"/>
              </w:rPr>
              <w:t>7920</w:t>
            </w:r>
          </w:p>
        </w:tc>
        <w:tc>
          <w:tcPr>
            <w:tcW w:w="403" w:type="pct"/>
            <w:tcMar>
              <w:top w:w="0" w:type="dxa"/>
              <w:left w:w="28" w:type="dxa"/>
              <w:bottom w:w="0" w:type="dxa"/>
              <w:right w:w="28" w:type="dxa"/>
            </w:tcMar>
            <w:vAlign w:val="center"/>
          </w:tcPr>
          <w:p w14:paraId="376A0DCA"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31" w:type="dxa"/>
            <w:tcMar>
              <w:top w:w="0" w:type="dxa"/>
              <w:left w:w="28" w:type="dxa"/>
              <w:bottom w:w="0" w:type="dxa"/>
              <w:right w:w="28" w:type="dxa"/>
            </w:tcMar>
            <w:vAlign w:val="center"/>
          </w:tcPr>
          <w:p w14:paraId="7A9FCEC7" w14:textId="77777777" w:rsidR="003E78AB" w:rsidRDefault="00010BF9">
            <w:pPr>
              <w:spacing w:line="360" w:lineRule="exact"/>
              <w:ind w:firstLineChars="0" w:firstLine="0"/>
              <w:jc w:val="center"/>
              <w:rPr>
                <w:kern w:val="2"/>
                <w:sz w:val="21"/>
                <w:szCs w:val="21"/>
              </w:rPr>
            </w:pPr>
            <w:r>
              <w:rPr>
                <w:kern w:val="2"/>
                <w:sz w:val="21"/>
                <w:szCs w:val="21"/>
              </w:rPr>
              <w:t>/</w:t>
            </w:r>
          </w:p>
        </w:tc>
        <w:tc>
          <w:tcPr>
            <w:tcW w:w="813" w:type="dxa"/>
            <w:tcMar>
              <w:top w:w="0" w:type="dxa"/>
              <w:left w:w="28" w:type="dxa"/>
              <w:bottom w:w="0" w:type="dxa"/>
              <w:right w:w="28" w:type="dxa"/>
            </w:tcMar>
            <w:vAlign w:val="center"/>
          </w:tcPr>
          <w:p w14:paraId="5FCCA4AC" w14:textId="77777777" w:rsidR="003E78AB" w:rsidRDefault="00010BF9">
            <w:pPr>
              <w:spacing w:line="360" w:lineRule="exact"/>
              <w:ind w:firstLineChars="0" w:firstLine="0"/>
              <w:jc w:val="center"/>
              <w:rPr>
                <w:kern w:val="2"/>
                <w:sz w:val="21"/>
                <w:szCs w:val="21"/>
              </w:rPr>
            </w:pPr>
            <w:r>
              <w:rPr>
                <w:kern w:val="2"/>
                <w:sz w:val="21"/>
                <w:szCs w:val="21"/>
              </w:rPr>
              <w:t>/</w:t>
            </w:r>
          </w:p>
        </w:tc>
        <w:tc>
          <w:tcPr>
            <w:tcW w:w="596" w:type="pct"/>
            <w:tcMar>
              <w:top w:w="0" w:type="dxa"/>
              <w:left w:w="28" w:type="dxa"/>
              <w:bottom w:w="0" w:type="dxa"/>
              <w:right w:w="28" w:type="dxa"/>
            </w:tcMar>
            <w:vAlign w:val="center"/>
          </w:tcPr>
          <w:p w14:paraId="48D64867" w14:textId="77777777" w:rsidR="003E78AB" w:rsidRDefault="00010BF9">
            <w:pPr>
              <w:spacing w:line="360" w:lineRule="exact"/>
              <w:ind w:firstLineChars="0" w:firstLine="0"/>
              <w:jc w:val="center"/>
              <w:rPr>
                <w:kern w:val="2"/>
                <w:sz w:val="21"/>
                <w:szCs w:val="21"/>
              </w:rPr>
            </w:pPr>
            <w:r>
              <w:rPr>
                <w:rFonts w:hint="eastAsia"/>
                <w:kern w:val="2"/>
                <w:sz w:val="21"/>
                <w:szCs w:val="21"/>
              </w:rPr>
              <w:t>0.1420</w:t>
            </w:r>
          </w:p>
        </w:tc>
        <w:tc>
          <w:tcPr>
            <w:tcW w:w="361" w:type="pct"/>
          </w:tcPr>
          <w:p w14:paraId="5FA4832A" w14:textId="77777777" w:rsidR="003E78AB" w:rsidRDefault="00010BF9">
            <w:pPr>
              <w:spacing w:line="360" w:lineRule="exact"/>
              <w:ind w:firstLineChars="0" w:firstLine="0"/>
              <w:jc w:val="center"/>
              <w:rPr>
                <w:kern w:val="2"/>
                <w:sz w:val="21"/>
                <w:szCs w:val="21"/>
              </w:rPr>
            </w:pPr>
            <w:r>
              <w:rPr>
                <w:rFonts w:hint="eastAsia"/>
                <w:bCs/>
                <w:kern w:val="2"/>
                <w:sz w:val="21"/>
                <w:szCs w:val="21"/>
              </w:rPr>
              <w:t>0.04610</w:t>
            </w:r>
          </w:p>
        </w:tc>
      </w:tr>
      <w:tr w:rsidR="003E78AB" w14:paraId="327E2F17" w14:textId="77777777">
        <w:tc>
          <w:tcPr>
            <w:tcW w:w="95" w:type="pct"/>
            <w:tcMar>
              <w:top w:w="0" w:type="dxa"/>
              <w:left w:w="28" w:type="dxa"/>
              <w:bottom w:w="0" w:type="dxa"/>
              <w:right w:w="28" w:type="dxa"/>
            </w:tcMar>
            <w:vAlign w:val="center"/>
          </w:tcPr>
          <w:p w14:paraId="138A0F91" w14:textId="77777777" w:rsidR="003E78AB" w:rsidRDefault="00010BF9">
            <w:pPr>
              <w:spacing w:line="360" w:lineRule="exact"/>
              <w:ind w:firstLineChars="0" w:firstLine="0"/>
              <w:jc w:val="center"/>
              <w:rPr>
                <w:kern w:val="2"/>
                <w:sz w:val="21"/>
                <w:szCs w:val="21"/>
              </w:rPr>
            </w:pPr>
            <w:r>
              <w:rPr>
                <w:kern w:val="2"/>
                <w:sz w:val="21"/>
                <w:szCs w:val="21"/>
              </w:rPr>
              <w:t>4</w:t>
            </w:r>
          </w:p>
        </w:tc>
        <w:tc>
          <w:tcPr>
            <w:tcW w:w="327" w:type="pct"/>
            <w:tcMar>
              <w:top w:w="0" w:type="dxa"/>
              <w:left w:w="28" w:type="dxa"/>
              <w:bottom w:w="0" w:type="dxa"/>
              <w:right w:w="28" w:type="dxa"/>
            </w:tcMar>
            <w:vAlign w:val="bottom"/>
          </w:tcPr>
          <w:p w14:paraId="3283E25A" w14:textId="77777777" w:rsidR="003E78AB" w:rsidRDefault="00010BF9">
            <w:pPr>
              <w:spacing w:line="360" w:lineRule="exact"/>
              <w:ind w:firstLineChars="0" w:firstLine="0"/>
              <w:jc w:val="center"/>
              <w:rPr>
                <w:kern w:val="2"/>
                <w:sz w:val="21"/>
                <w:szCs w:val="21"/>
              </w:rPr>
            </w:pPr>
            <w:r>
              <w:rPr>
                <w:rFonts w:hint="eastAsia"/>
                <w:kern w:val="2"/>
                <w:sz w:val="21"/>
                <w:szCs w:val="21"/>
              </w:rPr>
              <w:t>DA004</w:t>
            </w:r>
          </w:p>
        </w:tc>
        <w:tc>
          <w:tcPr>
            <w:tcW w:w="949" w:type="dxa"/>
            <w:tcMar>
              <w:top w:w="0" w:type="dxa"/>
              <w:left w:w="28" w:type="dxa"/>
              <w:bottom w:w="0" w:type="dxa"/>
              <w:right w:w="28" w:type="dxa"/>
            </w:tcMar>
            <w:vAlign w:val="center"/>
          </w:tcPr>
          <w:p w14:paraId="088F64C6" w14:textId="77777777" w:rsidR="003E78AB" w:rsidRDefault="00010BF9">
            <w:pPr>
              <w:spacing w:line="360" w:lineRule="exact"/>
              <w:ind w:firstLineChars="0" w:firstLine="0"/>
              <w:jc w:val="center"/>
              <w:rPr>
                <w:kern w:val="2"/>
                <w:sz w:val="21"/>
                <w:szCs w:val="21"/>
              </w:rPr>
            </w:pPr>
            <w:r>
              <w:rPr>
                <w:rFonts w:hint="eastAsia"/>
                <w:kern w:val="2"/>
                <w:sz w:val="21"/>
                <w:szCs w:val="21"/>
              </w:rPr>
              <w:t>93.250698</w:t>
            </w:r>
          </w:p>
        </w:tc>
        <w:tc>
          <w:tcPr>
            <w:tcW w:w="949" w:type="dxa"/>
            <w:tcMar>
              <w:top w:w="0" w:type="dxa"/>
              <w:left w:w="28" w:type="dxa"/>
              <w:bottom w:w="0" w:type="dxa"/>
              <w:right w:w="28" w:type="dxa"/>
            </w:tcMar>
            <w:vAlign w:val="center"/>
          </w:tcPr>
          <w:p w14:paraId="0019BDC0" w14:textId="77777777" w:rsidR="003E78AB" w:rsidRDefault="00010BF9">
            <w:pPr>
              <w:spacing w:line="360" w:lineRule="exact"/>
              <w:ind w:firstLineChars="0" w:firstLine="0"/>
              <w:jc w:val="center"/>
              <w:rPr>
                <w:kern w:val="2"/>
                <w:sz w:val="21"/>
                <w:szCs w:val="21"/>
              </w:rPr>
            </w:pPr>
            <w:r>
              <w:rPr>
                <w:rFonts w:hint="eastAsia"/>
                <w:kern w:val="2"/>
                <w:sz w:val="21"/>
                <w:szCs w:val="21"/>
              </w:rPr>
              <w:t>42.413961</w:t>
            </w:r>
          </w:p>
        </w:tc>
        <w:tc>
          <w:tcPr>
            <w:tcW w:w="353" w:type="pct"/>
            <w:tcMar>
              <w:top w:w="0" w:type="dxa"/>
              <w:left w:w="28" w:type="dxa"/>
              <w:bottom w:w="0" w:type="dxa"/>
              <w:right w:w="28" w:type="dxa"/>
            </w:tcMar>
            <w:vAlign w:val="bottom"/>
          </w:tcPr>
          <w:p w14:paraId="76911C9A" w14:textId="77777777" w:rsidR="003E78AB" w:rsidRDefault="00010BF9">
            <w:pPr>
              <w:spacing w:line="360" w:lineRule="exact"/>
              <w:ind w:firstLineChars="0" w:firstLine="0"/>
              <w:jc w:val="center"/>
              <w:rPr>
                <w:kern w:val="2"/>
                <w:sz w:val="21"/>
                <w:szCs w:val="21"/>
              </w:rPr>
            </w:pPr>
            <w:r>
              <w:rPr>
                <w:rFonts w:hint="eastAsia"/>
                <w:kern w:val="2"/>
                <w:sz w:val="21"/>
                <w:szCs w:val="21"/>
              </w:rPr>
              <w:t>676</w:t>
            </w:r>
          </w:p>
        </w:tc>
        <w:tc>
          <w:tcPr>
            <w:tcW w:w="267" w:type="pct"/>
            <w:tcMar>
              <w:top w:w="0" w:type="dxa"/>
              <w:left w:w="28" w:type="dxa"/>
              <w:bottom w:w="0" w:type="dxa"/>
              <w:right w:w="28" w:type="dxa"/>
            </w:tcMar>
            <w:vAlign w:val="bottom"/>
          </w:tcPr>
          <w:p w14:paraId="38034672" w14:textId="77777777" w:rsidR="003E78AB" w:rsidRDefault="00010BF9">
            <w:pPr>
              <w:spacing w:line="360" w:lineRule="exact"/>
              <w:ind w:firstLineChars="0" w:firstLine="0"/>
              <w:jc w:val="center"/>
              <w:rPr>
                <w:kern w:val="2"/>
                <w:sz w:val="21"/>
                <w:szCs w:val="21"/>
              </w:rPr>
            </w:pPr>
            <w:r>
              <w:rPr>
                <w:kern w:val="2"/>
                <w:sz w:val="21"/>
                <w:szCs w:val="21"/>
              </w:rPr>
              <w:t>15</w:t>
            </w:r>
          </w:p>
        </w:tc>
        <w:tc>
          <w:tcPr>
            <w:tcW w:w="329" w:type="pct"/>
            <w:tcMar>
              <w:top w:w="0" w:type="dxa"/>
              <w:left w:w="28" w:type="dxa"/>
              <w:bottom w:w="0" w:type="dxa"/>
              <w:right w:w="28" w:type="dxa"/>
            </w:tcMar>
            <w:vAlign w:val="bottom"/>
          </w:tcPr>
          <w:p w14:paraId="70B24653" w14:textId="77777777" w:rsidR="003E78AB" w:rsidRDefault="00010BF9">
            <w:pPr>
              <w:spacing w:line="360" w:lineRule="exact"/>
              <w:ind w:firstLineChars="0" w:firstLine="0"/>
              <w:jc w:val="center"/>
              <w:rPr>
                <w:kern w:val="2"/>
                <w:sz w:val="21"/>
                <w:szCs w:val="21"/>
              </w:rPr>
            </w:pPr>
            <w:r>
              <w:rPr>
                <w:kern w:val="2"/>
                <w:sz w:val="21"/>
                <w:szCs w:val="21"/>
              </w:rPr>
              <w:t>0.</w:t>
            </w:r>
            <w:r>
              <w:rPr>
                <w:rFonts w:hint="eastAsia"/>
                <w:kern w:val="2"/>
                <w:sz w:val="21"/>
                <w:szCs w:val="21"/>
              </w:rPr>
              <w:t>3</w:t>
            </w:r>
          </w:p>
        </w:tc>
        <w:tc>
          <w:tcPr>
            <w:tcW w:w="363" w:type="pct"/>
            <w:tcMar>
              <w:top w:w="0" w:type="dxa"/>
              <w:left w:w="28" w:type="dxa"/>
              <w:bottom w:w="0" w:type="dxa"/>
              <w:right w:w="28" w:type="dxa"/>
            </w:tcMar>
            <w:vAlign w:val="center"/>
          </w:tcPr>
          <w:p w14:paraId="0240BFDD"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18.52</w:t>
            </w:r>
          </w:p>
        </w:tc>
        <w:tc>
          <w:tcPr>
            <w:tcW w:w="275" w:type="pct"/>
            <w:tcMar>
              <w:top w:w="0" w:type="dxa"/>
              <w:left w:w="28" w:type="dxa"/>
              <w:bottom w:w="0" w:type="dxa"/>
              <w:right w:w="28" w:type="dxa"/>
            </w:tcMar>
            <w:vAlign w:val="center"/>
          </w:tcPr>
          <w:p w14:paraId="090D2F5F" w14:textId="77777777" w:rsidR="003E78AB" w:rsidRDefault="00010BF9">
            <w:pPr>
              <w:spacing w:line="360" w:lineRule="exact"/>
              <w:ind w:firstLineChars="0" w:firstLine="0"/>
              <w:jc w:val="center"/>
              <w:rPr>
                <w:kern w:val="2"/>
                <w:sz w:val="21"/>
                <w:szCs w:val="21"/>
              </w:rPr>
            </w:pPr>
            <w:r>
              <w:rPr>
                <w:rFonts w:hint="eastAsia"/>
                <w:kern w:val="2"/>
                <w:sz w:val="21"/>
                <w:szCs w:val="21"/>
              </w:rPr>
              <w:t>8</w:t>
            </w:r>
            <w:r>
              <w:rPr>
                <w:kern w:val="2"/>
                <w:sz w:val="21"/>
                <w:szCs w:val="21"/>
              </w:rPr>
              <w:t>0</w:t>
            </w:r>
          </w:p>
        </w:tc>
        <w:tc>
          <w:tcPr>
            <w:tcW w:w="348" w:type="pct"/>
            <w:tcMar>
              <w:top w:w="0" w:type="dxa"/>
              <w:left w:w="28" w:type="dxa"/>
              <w:bottom w:w="0" w:type="dxa"/>
              <w:right w:w="28" w:type="dxa"/>
            </w:tcMar>
            <w:vAlign w:val="center"/>
          </w:tcPr>
          <w:p w14:paraId="59DEF7D3" w14:textId="77777777" w:rsidR="003E78AB" w:rsidRDefault="00010BF9">
            <w:pPr>
              <w:spacing w:line="360" w:lineRule="exact"/>
              <w:ind w:firstLineChars="0" w:firstLine="0"/>
              <w:jc w:val="center"/>
              <w:rPr>
                <w:sz w:val="21"/>
                <w:szCs w:val="21"/>
              </w:rPr>
            </w:pPr>
            <w:r>
              <w:rPr>
                <w:rFonts w:hint="eastAsia"/>
                <w:kern w:val="2"/>
                <w:sz w:val="21"/>
                <w:szCs w:val="21"/>
              </w:rPr>
              <w:t>43</w:t>
            </w:r>
            <w:r>
              <w:rPr>
                <w:kern w:val="2"/>
                <w:sz w:val="21"/>
                <w:szCs w:val="21"/>
              </w:rPr>
              <w:t>20</w:t>
            </w:r>
          </w:p>
        </w:tc>
        <w:tc>
          <w:tcPr>
            <w:tcW w:w="403" w:type="pct"/>
            <w:tcMar>
              <w:top w:w="0" w:type="dxa"/>
              <w:left w:w="28" w:type="dxa"/>
              <w:bottom w:w="0" w:type="dxa"/>
              <w:right w:w="28" w:type="dxa"/>
            </w:tcMar>
            <w:vAlign w:val="center"/>
          </w:tcPr>
          <w:p w14:paraId="59D63FD8" w14:textId="77777777" w:rsidR="003E78AB" w:rsidRDefault="00010BF9">
            <w:pPr>
              <w:spacing w:line="360" w:lineRule="exact"/>
              <w:ind w:firstLineChars="0" w:firstLine="0"/>
              <w:jc w:val="center"/>
              <w:rPr>
                <w:kern w:val="2"/>
                <w:sz w:val="21"/>
                <w:szCs w:val="21"/>
              </w:rPr>
            </w:pPr>
            <w:r>
              <w:rPr>
                <w:kern w:val="2"/>
                <w:sz w:val="21"/>
                <w:szCs w:val="21"/>
              </w:rPr>
              <w:t>0.0278</w:t>
            </w:r>
          </w:p>
        </w:tc>
        <w:tc>
          <w:tcPr>
            <w:tcW w:w="368" w:type="pct"/>
            <w:tcMar>
              <w:top w:w="0" w:type="dxa"/>
              <w:left w:w="28" w:type="dxa"/>
              <w:bottom w:w="0" w:type="dxa"/>
              <w:right w:w="28" w:type="dxa"/>
            </w:tcMar>
            <w:vAlign w:val="center"/>
          </w:tcPr>
          <w:p w14:paraId="0B5C2919" w14:textId="77777777" w:rsidR="003E78AB" w:rsidRDefault="00010BF9">
            <w:pPr>
              <w:spacing w:line="360" w:lineRule="exact"/>
              <w:ind w:firstLineChars="0" w:firstLine="0"/>
              <w:jc w:val="center"/>
              <w:rPr>
                <w:kern w:val="2"/>
                <w:sz w:val="21"/>
                <w:szCs w:val="21"/>
              </w:rPr>
            </w:pPr>
            <w:r>
              <w:rPr>
                <w:kern w:val="2"/>
                <w:sz w:val="21"/>
                <w:szCs w:val="21"/>
              </w:rPr>
              <w:t>0.0354</w:t>
            </w:r>
          </w:p>
        </w:tc>
        <w:tc>
          <w:tcPr>
            <w:tcW w:w="290" w:type="pct"/>
            <w:tcMar>
              <w:top w:w="0" w:type="dxa"/>
              <w:left w:w="28" w:type="dxa"/>
              <w:bottom w:w="0" w:type="dxa"/>
              <w:right w:w="28" w:type="dxa"/>
            </w:tcMar>
            <w:vAlign w:val="center"/>
          </w:tcPr>
          <w:p w14:paraId="69A15F93" w14:textId="77777777" w:rsidR="003E78AB" w:rsidRDefault="00010BF9">
            <w:pPr>
              <w:spacing w:line="360" w:lineRule="exact"/>
              <w:ind w:firstLineChars="0" w:firstLine="0"/>
              <w:jc w:val="center"/>
              <w:rPr>
                <w:kern w:val="2"/>
                <w:sz w:val="21"/>
                <w:szCs w:val="21"/>
              </w:rPr>
            </w:pPr>
            <w:r>
              <w:rPr>
                <w:kern w:val="2"/>
                <w:sz w:val="21"/>
                <w:szCs w:val="21"/>
              </w:rPr>
              <w:t>0.2355</w:t>
            </w:r>
          </w:p>
        </w:tc>
        <w:tc>
          <w:tcPr>
            <w:tcW w:w="596" w:type="pct"/>
            <w:tcMar>
              <w:top w:w="0" w:type="dxa"/>
              <w:left w:w="28" w:type="dxa"/>
              <w:bottom w:w="0" w:type="dxa"/>
              <w:right w:w="28" w:type="dxa"/>
            </w:tcMar>
            <w:vAlign w:val="center"/>
          </w:tcPr>
          <w:p w14:paraId="6EDC6CC8" w14:textId="77777777" w:rsidR="003E78AB" w:rsidRDefault="00010BF9">
            <w:pPr>
              <w:spacing w:line="360" w:lineRule="exact"/>
              <w:ind w:firstLineChars="0" w:firstLine="0"/>
              <w:jc w:val="center"/>
              <w:rPr>
                <w:kern w:val="2"/>
                <w:sz w:val="21"/>
                <w:szCs w:val="21"/>
              </w:rPr>
            </w:pPr>
            <w:r>
              <w:rPr>
                <w:kern w:val="2"/>
                <w:sz w:val="21"/>
                <w:szCs w:val="21"/>
              </w:rPr>
              <w:t>/</w:t>
            </w:r>
          </w:p>
        </w:tc>
        <w:tc>
          <w:tcPr>
            <w:tcW w:w="361" w:type="pct"/>
          </w:tcPr>
          <w:p w14:paraId="19462174" w14:textId="77777777" w:rsidR="003E78AB" w:rsidRDefault="00010BF9">
            <w:pPr>
              <w:spacing w:line="360" w:lineRule="exact"/>
              <w:ind w:firstLineChars="0" w:firstLine="0"/>
              <w:jc w:val="center"/>
              <w:rPr>
                <w:kern w:val="2"/>
                <w:sz w:val="21"/>
                <w:szCs w:val="21"/>
              </w:rPr>
            </w:pPr>
            <w:r>
              <w:rPr>
                <w:kern w:val="2"/>
                <w:sz w:val="21"/>
                <w:szCs w:val="21"/>
              </w:rPr>
              <w:t>/</w:t>
            </w:r>
          </w:p>
        </w:tc>
      </w:tr>
    </w:tbl>
    <w:p w14:paraId="2DE157EE" w14:textId="77777777" w:rsidR="003E78AB" w:rsidRDefault="00010BF9">
      <w:pPr>
        <w:pStyle w:val="a5"/>
      </w:pPr>
      <w:r>
        <w:t>本项目无组织源强排放参数</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3"/>
        <w:gridCol w:w="2376"/>
        <w:gridCol w:w="1054"/>
        <w:gridCol w:w="949"/>
        <w:gridCol w:w="1365"/>
        <w:gridCol w:w="1376"/>
        <w:gridCol w:w="1377"/>
        <w:gridCol w:w="1080"/>
        <w:gridCol w:w="1738"/>
        <w:gridCol w:w="2178"/>
      </w:tblGrid>
      <w:tr w:rsidR="003E78AB" w14:paraId="3D0BE94A" w14:textId="77777777">
        <w:trPr>
          <w:trHeight w:val="276"/>
          <w:tblHeader/>
          <w:jc w:val="center"/>
        </w:trPr>
        <w:tc>
          <w:tcPr>
            <w:tcW w:w="185" w:type="pct"/>
            <w:vMerge w:val="restart"/>
            <w:noWrap/>
            <w:vAlign w:val="center"/>
          </w:tcPr>
          <w:p w14:paraId="38F6FF62" w14:textId="77777777" w:rsidR="003E78AB" w:rsidRDefault="00010BF9">
            <w:pPr>
              <w:spacing w:line="360" w:lineRule="exact"/>
              <w:ind w:firstLineChars="0" w:firstLine="0"/>
              <w:jc w:val="center"/>
              <w:rPr>
                <w:b/>
                <w:bCs/>
                <w:kern w:val="2"/>
                <w:sz w:val="21"/>
                <w:szCs w:val="21"/>
              </w:rPr>
            </w:pPr>
            <w:r>
              <w:rPr>
                <w:b/>
                <w:bCs/>
                <w:kern w:val="2"/>
                <w:sz w:val="21"/>
                <w:szCs w:val="21"/>
              </w:rPr>
              <w:t>编号</w:t>
            </w:r>
          </w:p>
        </w:tc>
        <w:tc>
          <w:tcPr>
            <w:tcW w:w="849" w:type="pct"/>
            <w:vMerge w:val="restart"/>
            <w:noWrap/>
            <w:vAlign w:val="center"/>
          </w:tcPr>
          <w:p w14:paraId="76B015BC" w14:textId="77777777" w:rsidR="003E78AB" w:rsidRDefault="00010BF9">
            <w:pPr>
              <w:spacing w:line="360" w:lineRule="exact"/>
              <w:ind w:firstLineChars="0" w:firstLine="0"/>
              <w:jc w:val="center"/>
              <w:rPr>
                <w:b/>
                <w:bCs/>
                <w:kern w:val="2"/>
                <w:sz w:val="21"/>
                <w:szCs w:val="21"/>
              </w:rPr>
            </w:pPr>
            <w:r>
              <w:rPr>
                <w:b/>
                <w:bCs/>
                <w:kern w:val="2"/>
                <w:sz w:val="21"/>
                <w:szCs w:val="21"/>
              </w:rPr>
              <w:t>污染源名称</w:t>
            </w:r>
          </w:p>
        </w:tc>
        <w:tc>
          <w:tcPr>
            <w:tcW w:w="699" w:type="pct"/>
            <w:gridSpan w:val="2"/>
            <w:noWrap/>
            <w:vAlign w:val="center"/>
          </w:tcPr>
          <w:p w14:paraId="5C3EC3E8" w14:textId="77777777" w:rsidR="003E78AB" w:rsidRDefault="00010BF9">
            <w:pPr>
              <w:spacing w:line="360" w:lineRule="exact"/>
              <w:ind w:firstLineChars="0" w:firstLine="0"/>
              <w:jc w:val="center"/>
              <w:rPr>
                <w:b/>
                <w:bCs/>
                <w:kern w:val="2"/>
                <w:sz w:val="21"/>
                <w:szCs w:val="21"/>
              </w:rPr>
            </w:pPr>
            <w:r>
              <w:rPr>
                <w:b/>
                <w:bCs/>
                <w:kern w:val="2"/>
                <w:sz w:val="21"/>
                <w:szCs w:val="21"/>
              </w:rPr>
              <w:t>中心坐标</w:t>
            </w:r>
            <w:r>
              <w:rPr>
                <w:b/>
                <w:bCs/>
                <w:kern w:val="2"/>
                <w:sz w:val="21"/>
                <w:szCs w:val="21"/>
              </w:rPr>
              <w:t>/m</w:t>
            </w:r>
          </w:p>
        </w:tc>
        <w:tc>
          <w:tcPr>
            <w:tcW w:w="490" w:type="pct"/>
            <w:vMerge w:val="restart"/>
            <w:noWrap/>
            <w:vAlign w:val="center"/>
          </w:tcPr>
          <w:p w14:paraId="6EEE89CC" w14:textId="77777777" w:rsidR="003E78AB" w:rsidRDefault="00010BF9">
            <w:pPr>
              <w:spacing w:line="360" w:lineRule="exact"/>
              <w:ind w:firstLineChars="0" w:firstLine="0"/>
              <w:jc w:val="center"/>
              <w:rPr>
                <w:b/>
                <w:bCs/>
                <w:kern w:val="2"/>
                <w:sz w:val="21"/>
                <w:szCs w:val="21"/>
              </w:rPr>
            </w:pPr>
            <w:r>
              <w:rPr>
                <w:b/>
                <w:bCs/>
                <w:kern w:val="2"/>
                <w:sz w:val="21"/>
                <w:szCs w:val="21"/>
              </w:rPr>
              <w:t>面</w:t>
            </w:r>
            <w:r>
              <w:rPr>
                <w:b/>
                <w:bCs/>
                <w:kern w:val="2"/>
                <w:sz w:val="21"/>
                <w:szCs w:val="21"/>
              </w:rPr>
              <w:t>(</w:t>
            </w:r>
            <w:r>
              <w:rPr>
                <w:b/>
                <w:bCs/>
                <w:kern w:val="2"/>
                <w:sz w:val="21"/>
                <w:szCs w:val="21"/>
              </w:rPr>
              <w:t>体</w:t>
            </w:r>
            <w:r>
              <w:rPr>
                <w:b/>
                <w:bCs/>
                <w:kern w:val="2"/>
                <w:sz w:val="21"/>
                <w:szCs w:val="21"/>
              </w:rPr>
              <w:t>)</w:t>
            </w:r>
            <w:r>
              <w:rPr>
                <w:b/>
                <w:bCs/>
                <w:kern w:val="2"/>
                <w:sz w:val="21"/>
                <w:szCs w:val="21"/>
              </w:rPr>
              <w:t>源宽度</w:t>
            </w:r>
          </w:p>
        </w:tc>
        <w:tc>
          <w:tcPr>
            <w:tcW w:w="493" w:type="pct"/>
            <w:vMerge w:val="restart"/>
            <w:noWrap/>
            <w:vAlign w:val="center"/>
          </w:tcPr>
          <w:p w14:paraId="5029543D" w14:textId="77777777" w:rsidR="003E78AB" w:rsidRDefault="00010BF9">
            <w:pPr>
              <w:spacing w:line="360" w:lineRule="exact"/>
              <w:ind w:firstLineChars="0" w:firstLine="0"/>
              <w:jc w:val="center"/>
              <w:rPr>
                <w:b/>
                <w:bCs/>
                <w:kern w:val="2"/>
                <w:sz w:val="21"/>
                <w:szCs w:val="21"/>
              </w:rPr>
            </w:pPr>
            <w:r>
              <w:rPr>
                <w:b/>
                <w:bCs/>
                <w:kern w:val="2"/>
                <w:sz w:val="21"/>
                <w:szCs w:val="21"/>
              </w:rPr>
              <w:t>面</w:t>
            </w:r>
            <w:r>
              <w:rPr>
                <w:b/>
                <w:bCs/>
                <w:kern w:val="2"/>
                <w:sz w:val="21"/>
                <w:szCs w:val="21"/>
              </w:rPr>
              <w:t>(</w:t>
            </w:r>
            <w:r>
              <w:rPr>
                <w:b/>
                <w:bCs/>
                <w:kern w:val="2"/>
                <w:sz w:val="21"/>
                <w:szCs w:val="21"/>
              </w:rPr>
              <w:t>体</w:t>
            </w:r>
            <w:r>
              <w:rPr>
                <w:b/>
                <w:bCs/>
                <w:kern w:val="2"/>
                <w:sz w:val="21"/>
                <w:szCs w:val="21"/>
              </w:rPr>
              <w:t>)</w:t>
            </w:r>
            <w:r>
              <w:rPr>
                <w:b/>
                <w:bCs/>
                <w:kern w:val="2"/>
                <w:sz w:val="21"/>
                <w:szCs w:val="21"/>
              </w:rPr>
              <w:t>源长度</w:t>
            </w:r>
          </w:p>
        </w:tc>
        <w:tc>
          <w:tcPr>
            <w:tcW w:w="493" w:type="pct"/>
            <w:vMerge w:val="restart"/>
            <w:noWrap/>
            <w:vAlign w:val="center"/>
          </w:tcPr>
          <w:p w14:paraId="5C918F2F" w14:textId="77777777" w:rsidR="003E78AB" w:rsidRDefault="00010BF9">
            <w:pPr>
              <w:spacing w:line="360" w:lineRule="exact"/>
              <w:ind w:firstLineChars="0" w:firstLine="0"/>
              <w:jc w:val="center"/>
              <w:rPr>
                <w:b/>
                <w:bCs/>
                <w:kern w:val="2"/>
                <w:sz w:val="21"/>
                <w:szCs w:val="21"/>
              </w:rPr>
            </w:pPr>
            <w:r>
              <w:rPr>
                <w:b/>
                <w:bCs/>
                <w:kern w:val="2"/>
                <w:sz w:val="21"/>
                <w:szCs w:val="21"/>
              </w:rPr>
              <w:t>面</w:t>
            </w:r>
            <w:r>
              <w:rPr>
                <w:b/>
                <w:bCs/>
                <w:kern w:val="2"/>
                <w:sz w:val="21"/>
                <w:szCs w:val="21"/>
              </w:rPr>
              <w:t>(</w:t>
            </w:r>
            <w:r>
              <w:rPr>
                <w:b/>
                <w:bCs/>
                <w:kern w:val="2"/>
                <w:sz w:val="21"/>
                <w:szCs w:val="21"/>
              </w:rPr>
              <w:t>体</w:t>
            </w:r>
            <w:r>
              <w:rPr>
                <w:b/>
                <w:bCs/>
                <w:kern w:val="2"/>
                <w:sz w:val="21"/>
                <w:szCs w:val="21"/>
              </w:rPr>
              <w:t>)</w:t>
            </w:r>
            <w:r>
              <w:rPr>
                <w:b/>
                <w:bCs/>
                <w:kern w:val="2"/>
                <w:sz w:val="21"/>
                <w:szCs w:val="21"/>
              </w:rPr>
              <w:t>源角度</w:t>
            </w:r>
          </w:p>
        </w:tc>
        <w:tc>
          <w:tcPr>
            <w:tcW w:w="387" w:type="pct"/>
            <w:vMerge w:val="restart"/>
            <w:noWrap/>
            <w:vAlign w:val="center"/>
          </w:tcPr>
          <w:p w14:paraId="572EF4E9" w14:textId="77777777" w:rsidR="003E78AB" w:rsidRDefault="00010BF9">
            <w:pPr>
              <w:spacing w:line="360" w:lineRule="exact"/>
              <w:ind w:firstLineChars="0" w:firstLine="0"/>
              <w:jc w:val="center"/>
              <w:rPr>
                <w:b/>
                <w:bCs/>
                <w:kern w:val="2"/>
                <w:sz w:val="21"/>
                <w:szCs w:val="21"/>
              </w:rPr>
            </w:pPr>
            <w:r>
              <w:rPr>
                <w:b/>
                <w:bCs/>
                <w:kern w:val="2"/>
                <w:sz w:val="21"/>
                <w:szCs w:val="21"/>
              </w:rPr>
              <w:t>有效高</w:t>
            </w:r>
            <w:r>
              <w:rPr>
                <w:b/>
                <w:bCs/>
                <w:kern w:val="2"/>
                <w:sz w:val="21"/>
                <w:szCs w:val="21"/>
              </w:rPr>
              <w:t>He</w:t>
            </w:r>
          </w:p>
        </w:tc>
        <w:tc>
          <w:tcPr>
            <w:tcW w:w="1400" w:type="pct"/>
            <w:gridSpan w:val="2"/>
            <w:noWrap/>
            <w:vAlign w:val="center"/>
          </w:tcPr>
          <w:p w14:paraId="3F766BA2" w14:textId="77777777" w:rsidR="003E78AB" w:rsidRDefault="00010BF9">
            <w:pPr>
              <w:spacing w:line="360" w:lineRule="exact"/>
              <w:ind w:firstLineChars="0" w:firstLine="0"/>
              <w:jc w:val="center"/>
              <w:rPr>
                <w:b/>
                <w:bCs/>
                <w:kern w:val="2"/>
                <w:sz w:val="21"/>
                <w:szCs w:val="21"/>
              </w:rPr>
            </w:pPr>
            <w:r>
              <w:rPr>
                <w:b/>
                <w:bCs/>
                <w:kern w:val="2"/>
                <w:sz w:val="21"/>
                <w:szCs w:val="21"/>
              </w:rPr>
              <w:t>污染物排放速率（</w:t>
            </w:r>
            <w:r>
              <w:rPr>
                <w:b/>
                <w:bCs/>
                <w:kern w:val="2"/>
                <w:sz w:val="21"/>
                <w:szCs w:val="21"/>
              </w:rPr>
              <w:t>kg/h</w:t>
            </w:r>
            <w:r>
              <w:rPr>
                <w:b/>
                <w:bCs/>
                <w:kern w:val="2"/>
                <w:sz w:val="21"/>
                <w:szCs w:val="21"/>
              </w:rPr>
              <w:t>）</w:t>
            </w:r>
          </w:p>
        </w:tc>
      </w:tr>
      <w:tr w:rsidR="003E78AB" w14:paraId="16E563FB" w14:textId="77777777">
        <w:trPr>
          <w:trHeight w:val="276"/>
          <w:tblHeader/>
          <w:jc w:val="center"/>
        </w:trPr>
        <w:tc>
          <w:tcPr>
            <w:tcW w:w="185" w:type="pct"/>
            <w:vMerge/>
            <w:noWrap/>
            <w:vAlign w:val="center"/>
          </w:tcPr>
          <w:p w14:paraId="0D0181A5" w14:textId="77777777" w:rsidR="003E78AB" w:rsidRDefault="003E78AB">
            <w:pPr>
              <w:spacing w:line="360" w:lineRule="exact"/>
              <w:ind w:firstLineChars="0" w:firstLine="0"/>
              <w:jc w:val="center"/>
              <w:rPr>
                <w:b/>
                <w:bCs/>
                <w:kern w:val="2"/>
                <w:sz w:val="21"/>
                <w:szCs w:val="21"/>
              </w:rPr>
            </w:pPr>
          </w:p>
        </w:tc>
        <w:tc>
          <w:tcPr>
            <w:tcW w:w="849" w:type="pct"/>
            <w:vMerge/>
            <w:noWrap/>
            <w:vAlign w:val="center"/>
          </w:tcPr>
          <w:p w14:paraId="0DD74E8B" w14:textId="77777777" w:rsidR="003E78AB" w:rsidRDefault="003E78AB">
            <w:pPr>
              <w:spacing w:line="360" w:lineRule="exact"/>
              <w:ind w:firstLineChars="0" w:firstLine="0"/>
              <w:jc w:val="center"/>
              <w:rPr>
                <w:b/>
                <w:bCs/>
                <w:kern w:val="2"/>
                <w:sz w:val="21"/>
                <w:szCs w:val="21"/>
              </w:rPr>
            </w:pPr>
          </w:p>
        </w:tc>
        <w:tc>
          <w:tcPr>
            <w:tcW w:w="377" w:type="pct"/>
            <w:noWrap/>
            <w:vAlign w:val="center"/>
          </w:tcPr>
          <w:p w14:paraId="17ECD56F" w14:textId="77777777" w:rsidR="003E78AB" w:rsidRDefault="00010BF9">
            <w:pPr>
              <w:spacing w:line="360" w:lineRule="exact"/>
              <w:ind w:firstLineChars="0" w:firstLine="0"/>
              <w:jc w:val="center"/>
              <w:rPr>
                <w:b/>
                <w:bCs/>
                <w:kern w:val="2"/>
                <w:sz w:val="21"/>
                <w:szCs w:val="21"/>
              </w:rPr>
            </w:pPr>
            <w:r>
              <w:rPr>
                <w:b/>
                <w:bCs/>
                <w:kern w:val="2"/>
                <w:sz w:val="21"/>
                <w:szCs w:val="21"/>
              </w:rPr>
              <w:t>东经</w:t>
            </w:r>
          </w:p>
        </w:tc>
        <w:tc>
          <w:tcPr>
            <w:tcW w:w="322" w:type="pct"/>
            <w:noWrap/>
            <w:vAlign w:val="center"/>
          </w:tcPr>
          <w:p w14:paraId="73C4B9DF" w14:textId="77777777" w:rsidR="003E78AB" w:rsidRDefault="00010BF9">
            <w:pPr>
              <w:spacing w:line="360" w:lineRule="exact"/>
              <w:ind w:firstLineChars="0" w:firstLine="0"/>
              <w:jc w:val="center"/>
              <w:rPr>
                <w:b/>
                <w:bCs/>
                <w:kern w:val="2"/>
                <w:sz w:val="21"/>
                <w:szCs w:val="21"/>
              </w:rPr>
            </w:pPr>
            <w:r>
              <w:rPr>
                <w:b/>
                <w:bCs/>
                <w:kern w:val="2"/>
                <w:sz w:val="21"/>
                <w:szCs w:val="21"/>
              </w:rPr>
              <w:t>北纬</w:t>
            </w:r>
          </w:p>
        </w:tc>
        <w:tc>
          <w:tcPr>
            <w:tcW w:w="490" w:type="pct"/>
            <w:vMerge/>
            <w:noWrap/>
            <w:vAlign w:val="center"/>
          </w:tcPr>
          <w:p w14:paraId="5D1B82D7" w14:textId="77777777" w:rsidR="003E78AB" w:rsidRDefault="003E78AB">
            <w:pPr>
              <w:spacing w:line="360" w:lineRule="exact"/>
              <w:ind w:firstLineChars="0" w:firstLine="0"/>
              <w:jc w:val="center"/>
              <w:rPr>
                <w:b/>
                <w:bCs/>
                <w:kern w:val="2"/>
                <w:sz w:val="21"/>
                <w:szCs w:val="21"/>
              </w:rPr>
            </w:pPr>
          </w:p>
        </w:tc>
        <w:tc>
          <w:tcPr>
            <w:tcW w:w="493" w:type="pct"/>
            <w:vMerge/>
            <w:noWrap/>
            <w:vAlign w:val="center"/>
          </w:tcPr>
          <w:p w14:paraId="0377626D" w14:textId="77777777" w:rsidR="003E78AB" w:rsidRDefault="003E78AB">
            <w:pPr>
              <w:spacing w:line="360" w:lineRule="exact"/>
              <w:ind w:firstLineChars="0" w:firstLine="0"/>
              <w:jc w:val="center"/>
              <w:rPr>
                <w:b/>
                <w:bCs/>
                <w:kern w:val="2"/>
                <w:sz w:val="21"/>
                <w:szCs w:val="21"/>
              </w:rPr>
            </w:pPr>
          </w:p>
        </w:tc>
        <w:tc>
          <w:tcPr>
            <w:tcW w:w="493" w:type="pct"/>
            <w:vMerge/>
            <w:noWrap/>
            <w:vAlign w:val="center"/>
          </w:tcPr>
          <w:p w14:paraId="1607ADCB" w14:textId="77777777" w:rsidR="003E78AB" w:rsidRDefault="003E78AB">
            <w:pPr>
              <w:spacing w:line="360" w:lineRule="exact"/>
              <w:ind w:firstLineChars="0" w:firstLine="0"/>
              <w:jc w:val="center"/>
              <w:rPr>
                <w:b/>
                <w:bCs/>
                <w:kern w:val="2"/>
                <w:sz w:val="21"/>
                <w:szCs w:val="21"/>
              </w:rPr>
            </w:pPr>
          </w:p>
        </w:tc>
        <w:tc>
          <w:tcPr>
            <w:tcW w:w="387" w:type="pct"/>
            <w:vMerge/>
            <w:noWrap/>
            <w:vAlign w:val="center"/>
          </w:tcPr>
          <w:p w14:paraId="3FA2EF15" w14:textId="77777777" w:rsidR="003E78AB" w:rsidRDefault="003E78AB">
            <w:pPr>
              <w:spacing w:line="360" w:lineRule="exact"/>
              <w:ind w:firstLineChars="0" w:firstLine="0"/>
              <w:jc w:val="center"/>
              <w:rPr>
                <w:b/>
                <w:bCs/>
                <w:kern w:val="2"/>
                <w:sz w:val="21"/>
                <w:szCs w:val="21"/>
              </w:rPr>
            </w:pPr>
          </w:p>
        </w:tc>
        <w:tc>
          <w:tcPr>
            <w:tcW w:w="622" w:type="pct"/>
            <w:noWrap/>
            <w:vAlign w:val="center"/>
          </w:tcPr>
          <w:p w14:paraId="68BAC428"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TSP</w:t>
            </w:r>
          </w:p>
        </w:tc>
        <w:tc>
          <w:tcPr>
            <w:tcW w:w="778" w:type="pct"/>
          </w:tcPr>
          <w:p w14:paraId="60040FF7"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硫酸雾</w:t>
            </w:r>
          </w:p>
        </w:tc>
      </w:tr>
      <w:tr w:rsidR="003E78AB" w14:paraId="278B83D4" w14:textId="77777777">
        <w:trPr>
          <w:trHeight w:val="276"/>
          <w:jc w:val="center"/>
        </w:trPr>
        <w:tc>
          <w:tcPr>
            <w:tcW w:w="185" w:type="pct"/>
            <w:noWrap/>
            <w:vAlign w:val="center"/>
          </w:tcPr>
          <w:p w14:paraId="79394136" w14:textId="77777777" w:rsidR="003E78AB" w:rsidRDefault="00010BF9">
            <w:pPr>
              <w:spacing w:line="360" w:lineRule="exact"/>
              <w:ind w:firstLineChars="0" w:firstLine="0"/>
              <w:jc w:val="center"/>
              <w:rPr>
                <w:kern w:val="2"/>
                <w:sz w:val="21"/>
                <w:szCs w:val="21"/>
              </w:rPr>
            </w:pPr>
            <w:bookmarkStart w:id="120" w:name="OLE_LINK57" w:colFirst="2" w:colLast="3"/>
            <w:r>
              <w:rPr>
                <w:kern w:val="2"/>
                <w:sz w:val="21"/>
                <w:szCs w:val="21"/>
              </w:rPr>
              <w:t>1</w:t>
            </w:r>
          </w:p>
        </w:tc>
        <w:tc>
          <w:tcPr>
            <w:tcW w:w="849" w:type="pct"/>
            <w:noWrap/>
            <w:vAlign w:val="bottom"/>
          </w:tcPr>
          <w:p w14:paraId="2487BB31" w14:textId="77777777" w:rsidR="003E78AB" w:rsidRDefault="00010BF9">
            <w:pPr>
              <w:spacing w:line="360" w:lineRule="exact"/>
              <w:ind w:firstLineChars="0" w:firstLine="0"/>
              <w:jc w:val="center"/>
              <w:rPr>
                <w:kern w:val="2"/>
                <w:sz w:val="21"/>
                <w:szCs w:val="21"/>
              </w:rPr>
            </w:pPr>
            <w:r>
              <w:rPr>
                <w:rFonts w:hint="eastAsia"/>
                <w:kern w:val="2"/>
                <w:sz w:val="21"/>
                <w:szCs w:val="21"/>
              </w:rPr>
              <w:t>生产车间一</w:t>
            </w:r>
          </w:p>
        </w:tc>
        <w:tc>
          <w:tcPr>
            <w:tcW w:w="377" w:type="pct"/>
            <w:noWrap/>
            <w:vAlign w:val="bottom"/>
          </w:tcPr>
          <w:p w14:paraId="062502F9" w14:textId="77777777" w:rsidR="003E78AB" w:rsidRDefault="00010BF9">
            <w:pPr>
              <w:spacing w:line="360" w:lineRule="exact"/>
              <w:ind w:firstLineChars="0" w:firstLine="0"/>
              <w:jc w:val="center"/>
              <w:rPr>
                <w:kern w:val="2"/>
                <w:sz w:val="21"/>
                <w:szCs w:val="21"/>
              </w:rPr>
            </w:pPr>
            <w:r>
              <w:rPr>
                <w:rFonts w:hint="eastAsia"/>
                <w:kern w:val="2"/>
                <w:sz w:val="21"/>
                <w:szCs w:val="21"/>
              </w:rPr>
              <w:t>93.2515343</w:t>
            </w:r>
          </w:p>
        </w:tc>
        <w:tc>
          <w:tcPr>
            <w:tcW w:w="322" w:type="pct"/>
            <w:noWrap/>
            <w:vAlign w:val="bottom"/>
          </w:tcPr>
          <w:p w14:paraId="54EFB876" w14:textId="77777777" w:rsidR="003E78AB" w:rsidRDefault="00010BF9">
            <w:pPr>
              <w:spacing w:line="360" w:lineRule="exact"/>
              <w:ind w:firstLineChars="0" w:firstLine="0"/>
              <w:jc w:val="center"/>
              <w:rPr>
                <w:kern w:val="2"/>
                <w:sz w:val="21"/>
                <w:szCs w:val="21"/>
              </w:rPr>
            </w:pPr>
            <w:r>
              <w:rPr>
                <w:rFonts w:hint="eastAsia"/>
                <w:kern w:val="2"/>
                <w:sz w:val="21"/>
                <w:szCs w:val="21"/>
              </w:rPr>
              <w:t>42.413874</w:t>
            </w:r>
          </w:p>
        </w:tc>
        <w:tc>
          <w:tcPr>
            <w:tcW w:w="490" w:type="pct"/>
            <w:noWrap/>
            <w:vAlign w:val="bottom"/>
          </w:tcPr>
          <w:p w14:paraId="0B8474F1" w14:textId="77777777" w:rsidR="003E78AB" w:rsidRDefault="00010BF9">
            <w:pPr>
              <w:spacing w:line="360" w:lineRule="exact"/>
              <w:ind w:firstLineChars="0" w:firstLine="0"/>
              <w:jc w:val="center"/>
              <w:rPr>
                <w:kern w:val="2"/>
                <w:sz w:val="21"/>
                <w:szCs w:val="21"/>
              </w:rPr>
            </w:pPr>
            <w:r>
              <w:rPr>
                <w:rFonts w:hint="eastAsia"/>
                <w:kern w:val="2"/>
                <w:sz w:val="21"/>
                <w:szCs w:val="21"/>
              </w:rPr>
              <w:t>58</w:t>
            </w:r>
          </w:p>
        </w:tc>
        <w:tc>
          <w:tcPr>
            <w:tcW w:w="493" w:type="pct"/>
            <w:noWrap/>
            <w:vAlign w:val="bottom"/>
          </w:tcPr>
          <w:p w14:paraId="7386EE81" w14:textId="77777777" w:rsidR="003E78AB" w:rsidRDefault="00010BF9">
            <w:pPr>
              <w:spacing w:line="360" w:lineRule="exact"/>
              <w:ind w:firstLineChars="0" w:firstLine="0"/>
              <w:jc w:val="center"/>
              <w:rPr>
                <w:kern w:val="2"/>
                <w:sz w:val="21"/>
                <w:szCs w:val="21"/>
              </w:rPr>
            </w:pPr>
            <w:r>
              <w:rPr>
                <w:rFonts w:hint="eastAsia"/>
                <w:kern w:val="2"/>
                <w:sz w:val="21"/>
                <w:szCs w:val="21"/>
              </w:rPr>
              <w:t>96</w:t>
            </w:r>
          </w:p>
        </w:tc>
        <w:tc>
          <w:tcPr>
            <w:tcW w:w="493" w:type="pct"/>
            <w:noWrap/>
            <w:vAlign w:val="center"/>
          </w:tcPr>
          <w:p w14:paraId="1A78CA78" w14:textId="77777777" w:rsidR="003E78AB" w:rsidRDefault="00010BF9">
            <w:pPr>
              <w:spacing w:line="360" w:lineRule="exact"/>
              <w:ind w:firstLineChars="0" w:firstLine="0"/>
              <w:jc w:val="center"/>
              <w:rPr>
                <w:kern w:val="2"/>
                <w:sz w:val="21"/>
                <w:szCs w:val="21"/>
              </w:rPr>
            </w:pPr>
            <w:r>
              <w:rPr>
                <w:kern w:val="2"/>
                <w:sz w:val="21"/>
                <w:szCs w:val="21"/>
              </w:rPr>
              <w:t>0</w:t>
            </w:r>
          </w:p>
        </w:tc>
        <w:tc>
          <w:tcPr>
            <w:tcW w:w="387" w:type="pct"/>
            <w:noWrap/>
            <w:vAlign w:val="bottom"/>
          </w:tcPr>
          <w:p w14:paraId="26FC1DF6" w14:textId="77777777" w:rsidR="003E78AB" w:rsidRDefault="00010BF9">
            <w:pPr>
              <w:spacing w:line="360" w:lineRule="exact"/>
              <w:ind w:firstLineChars="0" w:firstLine="0"/>
              <w:jc w:val="center"/>
              <w:rPr>
                <w:kern w:val="2"/>
                <w:sz w:val="21"/>
                <w:szCs w:val="21"/>
              </w:rPr>
            </w:pPr>
            <w:r>
              <w:rPr>
                <w:kern w:val="2"/>
                <w:sz w:val="21"/>
                <w:szCs w:val="21"/>
              </w:rPr>
              <w:t>6</w:t>
            </w:r>
          </w:p>
        </w:tc>
        <w:tc>
          <w:tcPr>
            <w:tcW w:w="622" w:type="pct"/>
            <w:noWrap/>
            <w:vAlign w:val="center"/>
          </w:tcPr>
          <w:p w14:paraId="31161AF8" w14:textId="77777777" w:rsidR="003E78AB" w:rsidRDefault="00010BF9">
            <w:pPr>
              <w:spacing w:line="360" w:lineRule="exact"/>
              <w:ind w:firstLineChars="0" w:firstLine="0"/>
              <w:jc w:val="center"/>
              <w:rPr>
                <w:kern w:val="2"/>
                <w:sz w:val="21"/>
                <w:szCs w:val="21"/>
              </w:rPr>
            </w:pPr>
            <w:r>
              <w:rPr>
                <w:rFonts w:hint="eastAsia"/>
                <w:kern w:val="2"/>
                <w:sz w:val="21"/>
                <w:szCs w:val="21"/>
              </w:rPr>
              <w:t>0.0657</w:t>
            </w:r>
          </w:p>
        </w:tc>
        <w:tc>
          <w:tcPr>
            <w:tcW w:w="778" w:type="pct"/>
          </w:tcPr>
          <w:p w14:paraId="38156334" w14:textId="77777777" w:rsidR="003E78AB" w:rsidRDefault="00010BF9">
            <w:pPr>
              <w:spacing w:line="360" w:lineRule="exact"/>
              <w:ind w:firstLineChars="0" w:firstLine="0"/>
              <w:jc w:val="center"/>
              <w:rPr>
                <w:kern w:val="2"/>
                <w:sz w:val="21"/>
                <w:szCs w:val="21"/>
              </w:rPr>
            </w:pPr>
            <w:r>
              <w:rPr>
                <w:rFonts w:hint="eastAsia"/>
                <w:kern w:val="2"/>
                <w:sz w:val="21"/>
                <w:szCs w:val="21"/>
              </w:rPr>
              <w:t>0.0088</w:t>
            </w:r>
          </w:p>
        </w:tc>
      </w:tr>
      <w:bookmarkEnd w:id="120"/>
    </w:tbl>
    <w:p w14:paraId="2E4D2FDD" w14:textId="77777777" w:rsidR="003E78AB" w:rsidRDefault="003E78AB">
      <w:pPr>
        <w:spacing w:line="240" w:lineRule="auto"/>
        <w:ind w:firstLineChars="0" w:firstLine="0"/>
        <w:rPr>
          <w:kern w:val="2"/>
          <w:sz w:val="21"/>
        </w:rPr>
      </w:pPr>
    </w:p>
    <w:p w14:paraId="6231EE93" w14:textId="77777777" w:rsidR="003E78AB" w:rsidRDefault="003E78AB">
      <w:pPr>
        <w:ind w:firstLine="480"/>
        <w:sectPr w:rsidR="003E78AB">
          <w:pgSz w:w="16838" w:h="11906" w:orient="landscape"/>
          <w:pgMar w:top="1588" w:right="1440" w:bottom="1588" w:left="1440" w:header="1077" w:footer="1191" w:gutter="0"/>
          <w:cols w:space="720"/>
          <w:docGrid w:type="lines" w:linePitch="312"/>
        </w:sectPr>
      </w:pPr>
    </w:p>
    <w:p w14:paraId="309A6D92" w14:textId="77777777" w:rsidR="003E78AB" w:rsidRDefault="00010BF9">
      <w:pPr>
        <w:ind w:firstLine="480"/>
        <w:rPr>
          <w:kern w:val="2"/>
        </w:rPr>
      </w:pPr>
      <w:r>
        <w:rPr>
          <w:kern w:val="2"/>
        </w:rPr>
        <w:lastRenderedPageBreak/>
        <w:t>（</w:t>
      </w:r>
      <w:r>
        <w:rPr>
          <w:kern w:val="2"/>
        </w:rPr>
        <w:t>5</w:t>
      </w:r>
      <w:r>
        <w:rPr>
          <w:kern w:val="2"/>
        </w:rPr>
        <w:t>）估算结果及评价工作级别确定</w:t>
      </w:r>
    </w:p>
    <w:p w14:paraId="2F6A50A8" w14:textId="77777777" w:rsidR="003E78AB" w:rsidRDefault="00010BF9">
      <w:pPr>
        <w:ind w:firstLine="480"/>
        <w:rPr>
          <w:kern w:val="2"/>
        </w:rPr>
      </w:pPr>
      <w:r>
        <w:rPr>
          <w:kern w:val="2"/>
        </w:rPr>
        <w:t>依据估算模型（</w:t>
      </w:r>
      <w:r>
        <w:rPr>
          <w:kern w:val="2"/>
        </w:rPr>
        <w:t>AERSCREEN</w:t>
      </w:r>
      <w:r>
        <w:rPr>
          <w:kern w:val="2"/>
        </w:rPr>
        <w:t>）预测结果详见表</w:t>
      </w:r>
      <w:r>
        <w:rPr>
          <w:kern w:val="2"/>
        </w:rPr>
        <w:t>2-7</w:t>
      </w:r>
      <w:r>
        <w:rPr>
          <w:kern w:val="2"/>
        </w:rPr>
        <w:t>。</w:t>
      </w:r>
    </w:p>
    <w:p w14:paraId="1CA515F9" w14:textId="77777777" w:rsidR="003E78AB" w:rsidRDefault="00010BF9">
      <w:pPr>
        <w:pStyle w:val="a5"/>
      </w:pPr>
      <w:r>
        <w:t>估算模式计算结果</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61"/>
        <w:gridCol w:w="980"/>
        <w:gridCol w:w="1132"/>
        <w:gridCol w:w="2125"/>
        <w:gridCol w:w="761"/>
        <w:gridCol w:w="787"/>
        <w:gridCol w:w="1297"/>
      </w:tblGrid>
      <w:tr w:rsidR="003E78AB" w14:paraId="0D56891A" w14:textId="77777777">
        <w:trPr>
          <w:trHeight w:val="640"/>
          <w:tblHeader/>
          <w:jc w:val="center"/>
        </w:trPr>
        <w:tc>
          <w:tcPr>
            <w:tcW w:w="597" w:type="pct"/>
            <w:vAlign w:val="center"/>
          </w:tcPr>
          <w:p w14:paraId="0448BC3D" w14:textId="77777777" w:rsidR="003E78AB" w:rsidRDefault="00010BF9">
            <w:pPr>
              <w:spacing w:line="360" w:lineRule="exact"/>
              <w:ind w:firstLineChars="0" w:firstLine="0"/>
              <w:jc w:val="center"/>
              <w:rPr>
                <w:b/>
                <w:bCs/>
                <w:kern w:val="2"/>
                <w:sz w:val="21"/>
              </w:rPr>
            </w:pPr>
            <w:r>
              <w:rPr>
                <w:rFonts w:hint="eastAsia"/>
                <w:b/>
                <w:bCs/>
                <w:kern w:val="2"/>
                <w:sz w:val="21"/>
              </w:rPr>
              <w:t>排放形式</w:t>
            </w:r>
          </w:p>
        </w:tc>
        <w:tc>
          <w:tcPr>
            <w:tcW w:w="609" w:type="pct"/>
            <w:vAlign w:val="center"/>
          </w:tcPr>
          <w:p w14:paraId="756A2E46" w14:textId="77777777" w:rsidR="003E78AB" w:rsidRDefault="00010BF9">
            <w:pPr>
              <w:spacing w:line="360" w:lineRule="exact"/>
              <w:ind w:firstLineChars="0" w:firstLine="0"/>
              <w:jc w:val="center"/>
              <w:rPr>
                <w:b/>
                <w:bCs/>
                <w:kern w:val="2"/>
                <w:sz w:val="21"/>
              </w:rPr>
            </w:pPr>
            <w:r>
              <w:rPr>
                <w:b/>
                <w:bCs/>
                <w:kern w:val="2"/>
                <w:sz w:val="21"/>
              </w:rPr>
              <w:t>污染物</w:t>
            </w:r>
          </w:p>
        </w:tc>
        <w:tc>
          <w:tcPr>
            <w:tcW w:w="704" w:type="pct"/>
            <w:tcBorders>
              <w:right w:val="single" w:sz="4" w:space="0" w:color="FFFFFF"/>
            </w:tcBorders>
            <w:vAlign w:val="center"/>
          </w:tcPr>
          <w:p w14:paraId="057E2387" w14:textId="77777777" w:rsidR="003E78AB" w:rsidRDefault="00010BF9">
            <w:pPr>
              <w:spacing w:line="360" w:lineRule="exact"/>
              <w:ind w:firstLineChars="0" w:firstLine="0"/>
              <w:jc w:val="center"/>
              <w:rPr>
                <w:b/>
                <w:bCs/>
                <w:kern w:val="2"/>
                <w:sz w:val="21"/>
              </w:rPr>
            </w:pPr>
            <w:r>
              <w:rPr>
                <w:b/>
                <w:bCs/>
                <w:kern w:val="2"/>
                <w:sz w:val="21"/>
              </w:rPr>
              <w:t>污染源</w:t>
            </w:r>
            <w:r>
              <w:rPr>
                <w:rFonts w:hint="eastAsia"/>
                <w:b/>
                <w:bCs/>
                <w:kern w:val="2"/>
                <w:sz w:val="21"/>
              </w:rPr>
              <w:t>类型</w:t>
            </w:r>
          </w:p>
        </w:tc>
        <w:tc>
          <w:tcPr>
            <w:tcW w:w="1320" w:type="pct"/>
            <w:tcBorders>
              <w:right w:val="single" w:sz="4" w:space="0" w:color="FFFFFF"/>
            </w:tcBorders>
            <w:vAlign w:val="center"/>
          </w:tcPr>
          <w:p w14:paraId="53259B54" w14:textId="77777777" w:rsidR="003E78AB" w:rsidRDefault="00010BF9">
            <w:pPr>
              <w:spacing w:line="360" w:lineRule="exact"/>
              <w:ind w:firstLineChars="0" w:firstLine="0"/>
              <w:jc w:val="center"/>
              <w:rPr>
                <w:b/>
                <w:bCs/>
                <w:kern w:val="2"/>
                <w:sz w:val="21"/>
              </w:rPr>
            </w:pPr>
            <w:r>
              <w:rPr>
                <w:rFonts w:hint="eastAsia"/>
                <w:b/>
                <w:bCs/>
                <w:kern w:val="2"/>
                <w:sz w:val="21"/>
              </w:rPr>
              <w:t>污染源</w:t>
            </w:r>
          </w:p>
        </w:tc>
        <w:tc>
          <w:tcPr>
            <w:tcW w:w="473" w:type="pct"/>
            <w:vAlign w:val="center"/>
          </w:tcPr>
          <w:p w14:paraId="64C4C293" w14:textId="77777777" w:rsidR="003E78AB" w:rsidRDefault="00010BF9">
            <w:pPr>
              <w:spacing w:line="360" w:lineRule="exact"/>
              <w:ind w:firstLineChars="0" w:firstLine="0"/>
              <w:jc w:val="center"/>
              <w:rPr>
                <w:b/>
                <w:bCs/>
                <w:kern w:val="2"/>
                <w:sz w:val="21"/>
              </w:rPr>
            </w:pPr>
            <w:r>
              <w:rPr>
                <w:b/>
                <w:bCs/>
                <w:kern w:val="2"/>
                <w:sz w:val="21"/>
              </w:rPr>
              <w:t>Pmax</w:t>
            </w:r>
            <w:r>
              <w:rPr>
                <w:b/>
                <w:bCs/>
                <w:kern w:val="2"/>
                <w:sz w:val="21"/>
              </w:rPr>
              <w:t>（</w:t>
            </w:r>
            <w:r>
              <w:rPr>
                <w:b/>
                <w:bCs/>
                <w:kern w:val="2"/>
                <w:sz w:val="21"/>
              </w:rPr>
              <w:t>%</w:t>
            </w:r>
            <w:r>
              <w:rPr>
                <w:b/>
                <w:bCs/>
                <w:kern w:val="2"/>
                <w:sz w:val="21"/>
              </w:rPr>
              <w:t>）</w:t>
            </w:r>
          </w:p>
        </w:tc>
        <w:tc>
          <w:tcPr>
            <w:tcW w:w="489" w:type="pct"/>
            <w:vAlign w:val="center"/>
          </w:tcPr>
          <w:p w14:paraId="6B69722B" w14:textId="77777777" w:rsidR="003E78AB" w:rsidRDefault="00010BF9">
            <w:pPr>
              <w:spacing w:line="360" w:lineRule="exact"/>
              <w:ind w:firstLineChars="0" w:firstLine="0"/>
              <w:jc w:val="center"/>
              <w:rPr>
                <w:b/>
                <w:bCs/>
                <w:kern w:val="2"/>
                <w:sz w:val="21"/>
              </w:rPr>
            </w:pPr>
            <w:r>
              <w:rPr>
                <w:b/>
                <w:bCs/>
                <w:kern w:val="2"/>
                <w:sz w:val="21"/>
              </w:rPr>
              <w:t>D%10</w:t>
            </w:r>
            <w:r>
              <w:rPr>
                <w:b/>
                <w:bCs/>
                <w:kern w:val="2"/>
                <w:sz w:val="21"/>
              </w:rPr>
              <w:t>（</w:t>
            </w:r>
            <w:r>
              <w:rPr>
                <w:b/>
                <w:bCs/>
                <w:kern w:val="2"/>
                <w:sz w:val="21"/>
              </w:rPr>
              <w:t>m</w:t>
            </w:r>
            <w:r>
              <w:rPr>
                <w:b/>
                <w:bCs/>
                <w:kern w:val="2"/>
                <w:sz w:val="21"/>
              </w:rPr>
              <w:t>）</w:t>
            </w:r>
          </w:p>
        </w:tc>
        <w:tc>
          <w:tcPr>
            <w:tcW w:w="806" w:type="pct"/>
            <w:vAlign w:val="center"/>
          </w:tcPr>
          <w:p w14:paraId="474DC39F" w14:textId="77777777" w:rsidR="003E78AB" w:rsidRDefault="00010BF9">
            <w:pPr>
              <w:spacing w:line="360" w:lineRule="exact"/>
              <w:ind w:firstLineChars="0" w:firstLine="0"/>
              <w:jc w:val="center"/>
              <w:rPr>
                <w:b/>
                <w:bCs/>
                <w:kern w:val="2"/>
                <w:sz w:val="21"/>
              </w:rPr>
            </w:pPr>
            <w:r>
              <w:rPr>
                <w:b/>
                <w:bCs/>
                <w:kern w:val="2"/>
                <w:sz w:val="21"/>
              </w:rPr>
              <w:t>评价等级</w:t>
            </w:r>
          </w:p>
        </w:tc>
      </w:tr>
      <w:tr w:rsidR="003E78AB" w14:paraId="49F80517" w14:textId="77777777">
        <w:trPr>
          <w:tblHeader/>
          <w:jc w:val="center"/>
        </w:trPr>
        <w:tc>
          <w:tcPr>
            <w:tcW w:w="597" w:type="pct"/>
            <w:vMerge w:val="restart"/>
            <w:vAlign w:val="center"/>
          </w:tcPr>
          <w:p w14:paraId="4BD651DB" w14:textId="77777777" w:rsidR="003E78AB" w:rsidRDefault="00010BF9">
            <w:pPr>
              <w:spacing w:line="360" w:lineRule="exact"/>
              <w:ind w:firstLineChars="0" w:firstLine="0"/>
              <w:jc w:val="center"/>
              <w:rPr>
                <w:kern w:val="2"/>
                <w:sz w:val="21"/>
              </w:rPr>
            </w:pPr>
            <w:r>
              <w:rPr>
                <w:rFonts w:hint="eastAsia"/>
                <w:kern w:val="2"/>
                <w:sz w:val="21"/>
              </w:rPr>
              <w:t>点源</w:t>
            </w:r>
          </w:p>
        </w:tc>
        <w:tc>
          <w:tcPr>
            <w:tcW w:w="609" w:type="pct"/>
            <w:vAlign w:val="center"/>
          </w:tcPr>
          <w:p w14:paraId="780F2D39" w14:textId="77777777" w:rsidR="003E78AB" w:rsidRDefault="00010BF9">
            <w:pPr>
              <w:spacing w:line="360" w:lineRule="exact"/>
              <w:ind w:firstLineChars="0" w:firstLine="0"/>
              <w:jc w:val="center"/>
              <w:rPr>
                <w:kern w:val="2"/>
                <w:sz w:val="21"/>
              </w:rPr>
            </w:pPr>
            <w:r>
              <w:rPr>
                <w:kern w:val="2"/>
                <w:sz w:val="21"/>
              </w:rPr>
              <w:t>PM</w:t>
            </w:r>
            <w:r>
              <w:rPr>
                <w:kern w:val="2"/>
                <w:sz w:val="21"/>
                <w:vertAlign w:val="subscript"/>
              </w:rPr>
              <w:t>10</w:t>
            </w:r>
          </w:p>
        </w:tc>
        <w:tc>
          <w:tcPr>
            <w:tcW w:w="704" w:type="pct"/>
            <w:tcBorders>
              <w:right w:val="single" w:sz="4" w:space="0" w:color="FFFFFF"/>
            </w:tcBorders>
            <w:vAlign w:val="center"/>
          </w:tcPr>
          <w:p w14:paraId="7946EEC5" w14:textId="77777777" w:rsidR="003E78AB" w:rsidRDefault="00010BF9">
            <w:pPr>
              <w:spacing w:line="360" w:lineRule="exact"/>
              <w:ind w:firstLineChars="0" w:firstLine="0"/>
              <w:jc w:val="center"/>
              <w:rPr>
                <w:kern w:val="2"/>
                <w:sz w:val="21"/>
              </w:rPr>
            </w:pPr>
            <w:r>
              <w:rPr>
                <w:rFonts w:hint="eastAsia"/>
                <w:kern w:val="2"/>
                <w:sz w:val="21"/>
              </w:rPr>
              <w:t>DA001</w:t>
            </w:r>
          </w:p>
        </w:tc>
        <w:tc>
          <w:tcPr>
            <w:tcW w:w="1320" w:type="pct"/>
            <w:tcBorders>
              <w:right w:val="single" w:sz="4" w:space="0" w:color="FFFFFF"/>
            </w:tcBorders>
            <w:vAlign w:val="center"/>
          </w:tcPr>
          <w:p w14:paraId="31430091" w14:textId="77777777" w:rsidR="003E78AB" w:rsidRDefault="00010BF9">
            <w:pPr>
              <w:spacing w:line="360" w:lineRule="exact"/>
              <w:ind w:firstLineChars="0" w:firstLine="0"/>
              <w:jc w:val="center"/>
              <w:rPr>
                <w:kern w:val="2"/>
                <w:sz w:val="21"/>
              </w:rPr>
            </w:pPr>
            <w:r>
              <w:rPr>
                <w:rFonts w:hint="eastAsia"/>
                <w:kern w:val="2"/>
                <w:sz w:val="21"/>
              </w:rPr>
              <w:t>五氧化二钒拆包投料</w:t>
            </w:r>
          </w:p>
        </w:tc>
        <w:tc>
          <w:tcPr>
            <w:tcW w:w="761" w:type="dxa"/>
            <w:vAlign w:val="center"/>
          </w:tcPr>
          <w:p w14:paraId="72797E09" w14:textId="77777777" w:rsidR="003E78AB" w:rsidRDefault="00010BF9">
            <w:pPr>
              <w:spacing w:line="360" w:lineRule="exact"/>
              <w:ind w:firstLineChars="0" w:firstLine="0"/>
              <w:jc w:val="center"/>
              <w:rPr>
                <w:kern w:val="2"/>
                <w:sz w:val="21"/>
              </w:rPr>
            </w:pPr>
            <w:r>
              <w:rPr>
                <w:rFonts w:hint="eastAsia"/>
                <w:kern w:val="2"/>
                <w:sz w:val="21"/>
              </w:rPr>
              <w:t>0.45</w:t>
            </w:r>
          </w:p>
        </w:tc>
        <w:tc>
          <w:tcPr>
            <w:tcW w:w="787" w:type="dxa"/>
            <w:vAlign w:val="center"/>
          </w:tcPr>
          <w:p w14:paraId="39E5046C"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21E78578" w14:textId="77777777" w:rsidR="003E78AB" w:rsidRDefault="00010BF9">
            <w:pPr>
              <w:spacing w:line="360" w:lineRule="exact"/>
              <w:ind w:firstLineChars="0" w:firstLine="0"/>
              <w:jc w:val="center"/>
              <w:rPr>
                <w:kern w:val="2"/>
                <w:sz w:val="21"/>
              </w:rPr>
            </w:pPr>
            <w:r>
              <w:rPr>
                <w:rFonts w:hint="eastAsia"/>
                <w:kern w:val="2"/>
                <w:sz w:val="21"/>
              </w:rPr>
              <w:t>三级</w:t>
            </w:r>
          </w:p>
        </w:tc>
      </w:tr>
      <w:tr w:rsidR="003E78AB" w14:paraId="47A42446" w14:textId="77777777">
        <w:trPr>
          <w:tblHeader/>
          <w:jc w:val="center"/>
        </w:trPr>
        <w:tc>
          <w:tcPr>
            <w:tcW w:w="597" w:type="pct"/>
            <w:vMerge/>
            <w:vAlign w:val="center"/>
          </w:tcPr>
          <w:p w14:paraId="4AE81B8C" w14:textId="77777777" w:rsidR="003E78AB" w:rsidRDefault="003E78AB">
            <w:pPr>
              <w:spacing w:line="360" w:lineRule="exact"/>
              <w:ind w:firstLineChars="0" w:firstLine="0"/>
              <w:jc w:val="center"/>
              <w:rPr>
                <w:kern w:val="2"/>
                <w:sz w:val="21"/>
              </w:rPr>
            </w:pPr>
          </w:p>
        </w:tc>
        <w:tc>
          <w:tcPr>
            <w:tcW w:w="609" w:type="pct"/>
            <w:vAlign w:val="center"/>
          </w:tcPr>
          <w:p w14:paraId="45759BAE" w14:textId="77777777" w:rsidR="003E78AB" w:rsidRDefault="00010BF9">
            <w:pPr>
              <w:spacing w:line="360" w:lineRule="exact"/>
              <w:ind w:firstLineChars="0" w:firstLine="0"/>
              <w:jc w:val="center"/>
              <w:rPr>
                <w:kern w:val="2"/>
                <w:sz w:val="21"/>
              </w:rPr>
            </w:pPr>
            <w:r>
              <w:rPr>
                <w:kern w:val="2"/>
                <w:sz w:val="21"/>
              </w:rPr>
              <w:t>PM</w:t>
            </w:r>
            <w:r>
              <w:rPr>
                <w:kern w:val="2"/>
                <w:sz w:val="21"/>
                <w:vertAlign w:val="subscript"/>
              </w:rPr>
              <w:t>10</w:t>
            </w:r>
          </w:p>
        </w:tc>
        <w:tc>
          <w:tcPr>
            <w:tcW w:w="704" w:type="pct"/>
            <w:tcBorders>
              <w:right w:val="single" w:sz="4" w:space="0" w:color="FFFFFF"/>
            </w:tcBorders>
            <w:vAlign w:val="center"/>
          </w:tcPr>
          <w:p w14:paraId="4BE24989" w14:textId="77777777" w:rsidR="003E78AB" w:rsidRDefault="00010BF9">
            <w:pPr>
              <w:spacing w:line="360" w:lineRule="exact"/>
              <w:ind w:firstLineChars="0" w:firstLine="0"/>
              <w:jc w:val="center"/>
              <w:rPr>
                <w:kern w:val="2"/>
                <w:sz w:val="21"/>
              </w:rPr>
            </w:pPr>
            <w:r>
              <w:rPr>
                <w:rFonts w:hint="eastAsia"/>
                <w:kern w:val="2"/>
                <w:sz w:val="21"/>
              </w:rPr>
              <w:t>DA002</w:t>
            </w:r>
          </w:p>
        </w:tc>
        <w:tc>
          <w:tcPr>
            <w:tcW w:w="1320" w:type="pct"/>
            <w:tcBorders>
              <w:right w:val="single" w:sz="4" w:space="0" w:color="FFFFFF"/>
            </w:tcBorders>
            <w:vAlign w:val="center"/>
          </w:tcPr>
          <w:p w14:paraId="432BF91E" w14:textId="77777777" w:rsidR="003E78AB" w:rsidRDefault="00010BF9">
            <w:pPr>
              <w:spacing w:line="360" w:lineRule="exact"/>
              <w:ind w:firstLineChars="0" w:firstLine="0"/>
              <w:jc w:val="center"/>
              <w:rPr>
                <w:kern w:val="2"/>
                <w:sz w:val="21"/>
              </w:rPr>
            </w:pPr>
            <w:r>
              <w:rPr>
                <w:rFonts w:hint="eastAsia"/>
                <w:kern w:val="2"/>
                <w:sz w:val="21"/>
              </w:rPr>
              <w:t>草酸拆包投料</w:t>
            </w:r>
          </w:p>
        </w:tc>
        <w:tc>
          <w:tcPr>
            <w:tcW w:w="761" w:type="dxa"/>
            <w:vAlign w:val="center"/>
          </w:tcPr>
          <w:p w14:paraId="0900C067" w14:textId="77777777" w:rsidR="003E78AB" w:rsidRDefault="00010BF9">
            <w:pPr>
              <w:spacing w:line="360" w:lineRule="exact"/>
              <w:ind w:firstLineChars="0" w:firstLine="0"/>
              <w:jc w:val="center"/>
              <w:rPr>
                <w:kern w:val="2"/>
                <w:sz w:val="21"/>
              </w:rPr>
            </w:pPr>
            <w:r>
              <w:rPr>
                <w:rFonts w:hint="eastAsia"/>
                <w:kern w:val="2"/>
                <w:sz w:val="21"/>
              </w:rPr>
              <w:t>0.32</w:t>
            </w:r>
          </w:p>
        </w:tc>
        <w:tc>
          <w:tcPr>
            <w:tcW w:w="787" w:type="dxa"/>
            <w:vAlign w:val="center"/>
          </w:tcPr>
          <w:p w14:paraId="7CE1F459"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0367FEBC" w14:textId="77777777" w:rsidR="003E78AB" w:rsidRDefault="00010BF9">
            <w:pPr>
              <w:spacing w:line="360" w:lineRule="exact"/>
              <w:ind w:firstLineChars="0" w:firstLine="0"/>
              <w:jc w:val="center"/>
              <w:rPr>
                <w:kern w:val="2"/>
                <w:sz w:val="21"/>
              </w:rPr>
            </w:pPr>
            <w:r>
              <w:rPr>
                <w:rFonts w:hint="eastAsia"/>
                <w:kern w:val="2"/>
                <w:sz w:val="21"/>
              </w:rPr>
              <w:t>三级</w:t>
            </w:r>
          </w:p>
        </w:tc>
      </w:tr>
      <w:tr w:rsidR="003E78AB" w14:paraId="7925A4A3" w14:textId="77777777">
        <w:trPr>
          <w:tblHeader/>
          <w:jc w:val="center"/>
        </w:trPr>
        <w:tc>
          <w:tcPr>
            <w:tcW w:w="597" w:type="pct"/>
            <w:vMerge/>
            <w:vAlign w:val="center"/>
          </w:tcPr>
          <w:p w14:paraId="7F10712F" w14:textId="77777777" w:rsidR="003E78AB" w:rsidRDefault="003E78AB">
            <w:pPr>
              <w:spacing w:line="360" w:lineRule="exact"/>
              <w:ind w:firstLineChars="0" w:firstLine="0"/>
              <w:jc w:val="center"/>
              <w:rPr>
                <w:kern w:val="2"/>
                <w:sz w:val="21"/>
              </w:rPr>
            </w:pPr>
          </w:p>
        </w:tc>
        <w:tc>
          <w:tcPr>
            <w:tcW w:w="609" w:type="pct"/>
            <w:vAlign w:val="center"/>
          </w:tcPr>
          <w:p w14:paraId="34D31D86" w14:textId="77777777" w:rsidR="003E78AB" w:rsidRDefault="00010BF9">
            <w:pPr>
              <w:spacing w:line="360" w:lineRule="exact"/>
              <w:ind w:firstLineChars="0" w:firstLine="0"/>
              <w:jc w:val="center"/>
              <w:rPr>
                <w:kern w:val="2"/>
                <w:sz w:val="21"/>
              </w:rPr>
            </w:pPr>
            <w:r>
              <w:rPr>
                <w:rFonts w:hint="eastAsia"/>
                <w:kern w:val="2"/>
                <w:sz w:val="21"/>
              </w:rPr>
              <w:t>硫酸雾</w:t>
            </w:r>
          </w:p>
        </w:tc>
        <w:tc>
          <w:tcPr>
            <w:tcW w:w="704" w:type="pct"/>
            <w:vMerge w:val="restart"/>
            <w:tcBorders>
              <w:right w:val="single" w:sz="4" w:space="0" w:color="FFFFFF"/>
            </w:tcBorders>
            <w:vAlign w:val="center"/>
          </w:tcPr>
          <w:p w14:paraId="2220647D" w14:textId="77777777" w:rsidR="003E78AB" w:rsidRDefault="00010BF9">
            <w:pPr>
              <w:spacing w:line="360" w:lineRule="exact"/>
              <w:ind w:firstLineChars="0" w:firstLine="0"/>
              <w:jc w:val="center"/>
              <w:rPr>
                <w:kern w:val="2"/>
                <w:sz w:val="21"/>
              </w:rPr>
            </w:pPr>
            <w:r>
              <w:rPr>
                <w:rFonts w:hint="eastAsia"/>
                <w:kern w:val="2"/>
                <w:sz w:val="21"/>
              </w:rPr>
              <w:t>DA003</w:t>
            </w:r>
          </w:p>
        </w:tc>
        <w:tc>
          <w:tcPr>
            <w:tcW w:w="1320" w:type="pct"/>
            <w:tcBorders>
              <w:right w:val="single" w:sz="4" w:space="0" w:color="FFFFFF"/>
            </w:tcBorders>
            <w:vAlign w:val="center"/>
          </w:tcPr>
          <w:p w14:paraId="4FBBDBD6" w14:textId="77777777" w:rsidR="003E78AB" w:rsidRDefault="00010BF9">
            <w:pPr>
              <w:spacing w:line="360" w:lineRule="exact"/>
              <w:ind w:firstLineChars="0" w:firstLine="0"/>
              <w:jc w:val="center"/>
              <w:rPr>
                <w:kern w:val="2"/>
                <w:sz w:val="21"/>
              </w:rPr>
            </w:pPr>
            <w:r>
              <w:rPr>
                <w:rFonts w:hint="eastAsia"/>
                <w:kern w:val="2"/>
                <w:sz w:val="21"/>
              </w:rPr>
              <w:t>生产工序</w:t>
            </w:r>
          </w:p>
        </w:tc>
        <w:tc>
          <w:tcPr>
            <w:tcW w:w="473" w:type="pct"/>
            <w:vAlign w:val="center"/>
          </w:tcPr>
          <w:p w14:paraId="74ED8511" w14:textId="77777777" w:rsidR="003E78AB" w:rsidRDefault="00010BF9">
            <w:pPr>
              <w:spacing w:line="360" w:lineRule="exact"/>
              <w:ind w:firstLineChars="0" w:firstLine="0"/>
              <w:jc w:val="center"/>
              <w:rPr>
                <w:kern w:val="2"/>
                <w:sz w:val="21"/>
              </w:rPr>
            </w:pPr>
            <w:r>
              <w:rPr>
                <w:rFonts w:hint="eastAsia"/>
                <w:kern w:val="2"/>
                <w:sz w:val="21"/>
              </w:rPr>
              <w:t>2.22</w:t>
            </w:r>
          </w:p>
        </w:tc>
        <w:tc>
          <w:tcPr>
            <w:tcW w:w="489" w:type="pct"/>
            <w:vAlign w:val="center"/>
          </w:tcPr>
          <w:p w14:paraId="5716E5B2"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2476B5B5" w14:textId="77777777" w:rsidR="003E78AB" w:rsidRDefault="00010BF9">
            <w:pPr>
              <w:spacing w:line="360" w:lineRule="exact"/>
              <w:ind w:firstLineChars="0" w:firstLine="0"/>
              <w:jc w:val="center"/>
              <w:rPr>
                <w:kern w:val="2"/>
                <w:sz w:val="21"/>
              </w:rPr>
            </w:pPr>
            <w:r>
              <w:rPr>
                <w:rFonts w:hint="eastAsia"/>
                <w:kern w:val="2"/>
                <w:sz w:val="21"/>
              </w:rPr>
              <w:t>二级</w:t>
            </w:r>
          </w:p>
        </w:tc>
      </w:tr>
      <w:tr w:rsidR="003E78AB" w14:paraId="305BEF31" w14:textId="77777777">
        <w:trPr>
          <w:tblHeader/>
          <w:jc w:val="center"/>
        </w:trPr>
        <w:tc>
          <w:tcPr>
            <w:tcW w:w="597" w:type="pct"/>
            <w:vMerge/>
            <w:vAlign w:val="center"/>
          </w:tcPr>
          <w:p w14:paraId="3429F0C9" w14:textId="77777777" w:rsidR="003E78AB" w:rsidRDefault="003E78AB">
            <w:pPr>
              <w:spacing w:line="360" w:lineRule="exact"/>
              <w:ind w:firstLineChars="0" w:firstLine="0"/>
              <w:jc w:val="center"/>
              <w:rPr>
                <w:kern w:val="2"/>
                <w:sz w:val="21"/>
              </w:rPr>
            </w:pPr>
          </w:p>
        </w:tc>
        <w:tc>
          <w:tcPr>
            <w:tcW w:w="609" w:type="pct"/>
            <w:vAlign w:val="center"/>
          </w:tcPr>
          <w:p w14:paraId="48071454" w14:textId="77777777" w:rsidR="003E78AB" w:rsidRDefault="00010BF9">
            <w:pPr>
              <w:spacing w:line="360" w:lineRule="exact"/>
              <w:ind w:firstLineChars="0" w:firstLine="0"/>
              <w:jc w:val="center"/>
              <w:rPr>
                <w:kern w:val="2"/>
                <w:sz w:val="21"/>
              </w:rPr>
            </w:pPr>
            <w:r>
              <w:rPr>
                <w:rFonts w:hint="eastAsia"/>
                <w:bCs/>
                <w:kern w:val="2"/>
                <w:sz w:val="21"/>
              </w:rPr>
              <w:t>VOCs</w:t>
            </w:r>
          </w:p>
        </w:tc>
        <w:tc>
          <w:tcPr>
            <w:tcW w:w="704" w:type="pct"/>
            <w:vMerge/>
            <w:tcBorders>
              <w:right w:val="single" w:sz="4" w:space="0" w:color="FFFFFF"/>
            </w:tcBorders>
            <w:vAlign w:val="center"/>
          </w:tcPr>
          <w:p w14:paraId="52A3B507" w14:textId="77777777" w:rsidR="003E78AB" w:rsidRDefault="003E78AB">
            <w:pPr>
              <w:spacing w:line="360" w:lineRule="exact"/>
              <w:ind w:firstLineChars="0" w:firstLine="0"/>
              <w:jc w:val="center"/>
              <w:rPr>
                <w:kern w:val="2"/>
                <w:sz w:val="21"/>
              </w:rPr>
            </w:pPr>
          </w:p>
        </w:tc>
        <w:tc>
          <w:tcPr>
            <w:tcW w:w="1320" w:type="pct"/>
            <w:tcBorders>
              <w:right w:val="single" w:sz="4" w:space="0" w:color="FFFFFF"/>
            </w:tcBorders>
            <w:vAlign w:val="center"/>
          </w:tcPr>
          <w:p w14:paraId="6D64B790" w14:textId="77777777" w:rsidR="003E78AB" w:rsidRDefault="00010BF9">
            <w:pPr>
              <w:spacing w:line="360" w:lineRule="exact"/>
              <w:ind w:firstLineChars="0" w:firstLine="0"/>
              <w:jc w:val="center"/>
              <w:rPr>
                <w:kern w:val="2"/>
                <w:sz w:val="21"/>
              </w:rPr>
            </w:pPr>
            <w:r>
              <w:rPr>
                <w:rFonts w:hint="eastAsia"/>
                <w:kern w:val="2"/>
                <w:sz w:val="21"/>
              </w:rPr>
              <w:t>生产工序</w:t>
            </w:r>
          </w:p>
        </w:tc>
        <w:tc>
          <w:tcPr>
            <w:tcW w:w="473" w:type="pct"/>
            <w:vAlign w:val="center"/>
          </w:tcPr>
          <w:p w14:paraId="4BE31057" w14:textId="77777777" w:rsidR="003E78AB" w:rsidRDefault="00010BF9">
            <w:pPr>
              <w:spacing w:line="360" w:lineRule="exact"/>
              <w:ind w:firstLineChars="0" w:firstLine="0"/>
              <w:jc w:val="center"/>
              <w:rPr>
                <w:kern w:val="2"/>
                <w:sz w:val="21"/>
              </w:rPr>
            </w:pPr>
            <w:r>
              <w:rPr>
                <w:rFonts w:hint="eastAsia"/>
                <w:bCs/>
                <w:kern w:val="2"/>
                <w:sz w:val="21"/>
              </w:rPr>
              <w:t>0.14</w:t>
            </w:r>
          </w:p>
        </w:tc>
        <w:tc>
          <w:tcPr>
            <w:tcW w:w="489" w:type="pct"/>
            <w:vAlign w:val="center"/>
          </w:tcPr>
          <w:p w14:paraId="60F6AB5A"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72187C0D" w14:textId="77777777" w:rsidR="003E78AB" w:rsidRDefault="00010BF9">
            <w:pPr>
              <w:spacing w:line="360" w:lineRule="exact"/>
              <w:ind w:firstLineChars="0" w:firstLine="0"/>
              <w:jc w:val="center"/>
              <w:rPr>
                <w:kern w:val="2"/>
                <w:sz w:val="21"/>
              </w:rPr>
            </w:pPr>
            <w:r>
              <w:rPr>
                <w:rFonts w:hint="eastAsia"/>
                <w:kern w:val="2"/>
                <w:sz w:val="21"/>
              </w:rPr>
              <w:t>三级</w:t>
            </w:r>
          </w:p>
        </w:tc>
      </w:tr>
      <w:tr w:rsidR="003E78AB" w14:paraId="193E3ADB" w14:textId="77777777">
        <w:trPr>
          <w:tblHeader/>
          <w:jc w:val="center"/>
        </w:trPr>
        <w:tc>
          <w:tcPr>
            <w:tcW w:w="597" w:type="pct"/>
            <w:vMerge/>
            <w:vAlign w:val="center"/>
          </w:tcPr>
          <w:p w14:paraId="51F3F701" w14:textId="77777777" w:rsidR="003E78AB" w:rsidRDefault="003E78AB">
            <w:pPr>
              <w:spacing w:line="360" w:lineRule="exact"/>
              <w:ind w:firstLineChars="0" w:firstLine="0"/>
              <w:jc w:val="center"/>
              <w:rPr>
                <w:kern w:val="2"/>
                <w:sz w:val="21"/>
              </w:rPr>
            </w:pPr>
          </w:p>
        </w:tc>
        <w:tc>
          <w:tcPr>
            <w:tcW w:w="609" w:type="pct"/>
            <w:vAlign w:val="center"/>
          </w:tcPr>
          <w:p w14:paraId="1757B0CA" w14:textId="77777777" w:rsidR="003E78AB" w:rsidRDefault="00010BF9">
            <w:pPr>
              <w:spacing w:line="360" w:lineRule="exact"/>
              <w:ind w:firstLineChars="0" w:firstLine="0"/>
              <w:jc w:val="center"/>
              <w:rPr>
                <w:kern w:val="2"/>
                <w:sz w:val="21"/>
              </w:rPr>
            </w:pPr>
            <w:r>
              <w:rPr>
                <w:rFonts w:hint="eastAsia"/>
                <w:kern w:val="2"/>
                <w:sz w:val="21"/>
              </w:rPr>
              <w:t>PM</w:t>
            </w:r>
            <w:r>
              <w:rPr>
                <w:rFonts w:hint="eastAsia"/>
                <w:kern w:val="2"/>
                <w:sz w:val="21"/>
                <w:vertAlign w:val="subscript"/>
              </w:rPr>
              <w:t>10</w:t>
            </w:r>
          </w:p>
        </w:tc>
        <w:tc>
          <w:tcPr>
            <w:tcW w:w="704" w:type="pct"/>
            <w:vMerge w:val="restart"/>
            <w:tcBorders>
              <w:right w:val="single" w:sz="4" w:space="0" w:color="FFFFFF"/>
            </w:tcBorders>
            <w:vAlign w:val="center"/>
          </w:tcPr>
          <w:p w14:paraId="1A25FD8B" w14:textId="77777777" w:rsidR="003E78AB" w:rsidRDefault="00010BF9">
            <w:pPr>
              <w:spacing w:line="360" w:lineRule="exact"/>
              <w:ind w:firstLineChars="0" w:firstLine="0"/>
              <w:jc w:val="center"/>
              <w:rPr>
                <w:kern w:val="2"/>
                <w:sz w:val="21"/>
              </w:rPr>
            </w:pPr>
            <w:r>
              <w:rPr>
                <w:rFonts w:hint="eastAsia"/>
                <w:kern w:val="2"/>
                <w:sz w:val="21"/>
              </w:rPr>
              <w:t>DA004</w:t>
            </w:r>
          </w:p>
        </w:tc>
        <w:tc>
          <w:tcPr>
            <w:tcW w:w="1320" w:type="pct"/>
            <w:vMerge w:val="restart"/>
            <w:tcBorders>
              <w:right w:val="single" w:sz="4" w:space="0" w:color="FFFFFF"/>
            </w:tcBorders>
            <w:vAlign w:val="center"/>
          </w:tcPr>
          <w:p w14:paraId="3E7C6DE6" w14:textId="77777777" w:rsidR="003E78AB" w:rsidRDefault="00010BF9">
            <w:pPr>
              <w:spacing w:line="360" w:lineRule="exact"/>
              <w:ind w:firstLineChars="0" w:firstLine="0"/>
              <w:jc w:val="center"/>
              <w:rPr>
                <w:kern w:val="2"/>
                <w:sz w:val="21"/>
              </w:rPr>
            </w:pPr>
            <w:r>
              <w:rPr>
                <w:rFonts w:hint="eastAsia"/>
                <w:kern w:val="2"/>
                <w:sz w:val="21"/>
              </w:rPr>
              <w:t>天然气锅炉</w:t>
            </w:r>
          </w:p>
        </w:tc>
        <w:tc>
          <w:tcPr>
            <w:tcW w:w="473" w:type="pct"/>
            <w:vAlign w:val="center"/>
          </w:tcPr>
          <w:p w14:paraId="4690F76E" w14:textId="77777777" w:rsidR="003E78AB" w:rsidRDefault="00010BF9">
            <w:pPr>
              <w:spacing w:line="360" w:lineRule="exact"/>
              <w:ind w:firstLineChars="0" w:firstLine="0"/>
              <w:jc w:val="center"/>
              <w:rPr>
                <w:kern w:val="2"/>
                <w:sz w:val="21"/>
              </w:rPr>
            </w:pPr>
            <w:r>
              <w:rPr>
                <w:rFonts w:hint="eastAsia"/>
                <w:kern w:val="2"/>
                <w:sz w:val="21"/>
              </w:rPr>
              <w:t>0.22</w:t>
            </w:r>
          </w:p>
        </w:tc>
        <w:tc>
          <w:tcPr>
            <w:tcW w:w="489" w:type="pct"/>
            <w:vAlign w:val="center"/>
          </w:tcPr>
          <w:p w14:paraId="42711FDC"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08E02027" w14:textId="77777777" w:rsidR="003E78AB" w:rsidRDefault="00010BF9">
            <w:pPr>
              <w:spacing w:line="360" w:lineRule="exact"/>
              <w:ind w:firstLineChars="0" w:firstLine="0"/>
              <w:jc w:val="center"/>
              <w:rPr>
                <w:kern w:val="2"/>
                <w:sz w:val="21"/>
              </w:rPr>
            </w:pPr>
            <w:r>
              <w:rPr>
                <w:rFonts w:hint="eastAsia"/>
                <w:kern w:val="2"/>
                <w:sz w:val="21"/>
              </w:rPr>
              <w:t>三级</w:t>
            </w:r>
          </w:p>
        </w:tc>
      </w:tr>
      <w:tr w:rsidR="003E78AB" w14:paraId="3BFEA827" w14:textId="77777777">
        <w:trPr>
          <w:tblHeader/>
          <w:jc w:val="center"/>
        </w:trPr>
        <w:tc>
          <w:tcPr>
            <w:tcW w:w="597" w:type="pct"/>
            <w:vMerge/>
            <w:vAlign w:val="center"/>
          </w:tcPr>
          <w:p w14:paraId="0364B05D" w14:textId="77777777" w:rsidR="003E78AB" w:rsidRDefault="003E78AB">
            <w:pPr>
              <w:spacing w:line="360" w:lineRule="exact"/>
              <w:ind w:firstLineChars="0" w:firstLine="0"/>
              <w:jc w:val="center"/>
              <w:rPr>
                <w:kern w:val="2"/>
                <w:sz w:val="21"/>
              </w:rPr>
            </w:pPr>
          </w:p>
        </w:tc>
        <w:tc>
          <w:tcPr>
            <w:tcW w:w="609" w:type="pct"/>
            <w:vAlign w:val="center"/>
          </w:tcPr>
          <w:p w14:paraId="48CE9A3B" w14:textId="77777777" w:rsidR="003E78AB" w:rsidRDefault="00010BF9">
            <w:pPr>
              <w:spacing w:line="360" w:lineRule="exact"/>
              <w:ind w:firstLineChars="0" w:firstLine="0"/>
              <w:jc w:val="center"/>
              <w:rPr>
                <w:kern w:val="2"/>
                <w:sz w:val="21"/>
              </w:rPr>
            </w:pPr>
            <w:r>
              <w:rPr>
                <w:rFonts w:hint="eastAsia"/>
                <w:kern w:val="2"/>
                <w:sz w:val="21"/>
              </w:rPr>
              <w:t>SO</w:t>
            </w:r>
            <w:r>
              <w:rPr>
                <w:rFonts w:hint="eastAsia"/>
                <w:kern w:val="2"/>
                <w:sz w:val="21"/>
                <w:vertAlign w:val="subscript"/>
              </w:rPr>
              <w:t>2</w:t>
            </w:r>
          </w:p>
        </w:tc>
        <w:tc>
          <w:tcPr>
            <w:tcW w:w="704" w:type="pct"/>
            <w:vMerge/>
            <w:tcBorders>
              <w:right w:val="single" w:sz="4" w:space="0" w:color="FFFFFF"/>
            </w:tcBorders>
            <w:vAlign w:val="center"/>
          </w:tcPr>
          <w:p w14:paraId="38FF96FC" w14:textId="77777777" w:rsidR="003E78AB" w:rsidRDefault="003E78AB">
            <w:pPr>
              <w:spacing w:line="360" w:lineRule="exact"/>
              <w:ind w:firstLineChars="0" w:firstLine="0"/>
              <w:jc w:val="center"/>
              <w:rPr>
                <w:kern w:val="2"/>
                <w:sz w:val="21"/>
              </w:rPr>
            </w:pPr>
          </w:p>
        </w:tc>
        <w:tc>
          <w:tcPr>
            <w:tcW w:w="1320" w:type="pct"/>
            <w:vMerge/>
            <w:tcBorders>
              <w:right w:val="single" w:sz="4" w:space="0" w:color="FFFFFF"/>
            </w:tcBorders>
            <w:vAlign w:val="center"/>
          </w:tcPr>
          <w:p w14:paraId="40501B50" w14:textId="77777777" w:rsidR="003E78AB" w:rsidRDefault="003E78AB">
            <w:pPr>
              <w:spacing w:line="360" w:lineRule="exact"/>
              <w:ind w:firstLineChars="0" w:firstLine="0"/>
              <w:jc w:val="center"/>
              <w:rPr>
                <w:kern w:val="2"/>
                <w:sz w:val="21"/>
              </w:rPr>
            </w:pPr>
          </w:p>
        </w:tc>
        <w:tc>
          <w:tcPr>
            <w:tcW w:w="473" w:type="pct"/>
            <w:vAlign w:val="center"/>
          </w:tcPr>
          <w:p w14:paraId="5C3496C4" w14:textId="77777777" w:rsidR="003E78AB" w:rsidRDefault="00010BF9">
            <w:pPr>
              <w:spacing w:line="360" w:lineRule="exact"/>
              <w:ind w:firstLineChars="0" w:firstLine="0"/>
              <w:jc w:val="center"/>
              <w:rPr>
                <w:kern w:val="2"/>
                <w:sz w:val="21"/>
              </w:rPr>
            </w:pPr>
            <w:r>
              <w:rPr>
                <w:rFonts w:hint="eastAsia"/>
                <w:kern w:val="2"/>
                <w:sz w:val="21"/>
              </w:rPr>
              <w:t>0.25</w:t>
            </w:r>
          </w:p>
        </w:tc>
        <w:tc>
          <w:tcPr>
            <w:tcW w:w="489" w:type="pct"/>
            <w:vAlign w:val="center"/>
          </w:tcPr>
          <w:p w14:paraId="6888BAB6"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606FCC54" w14:textId="77777777" w:rsidR="003E78AB" w:rsidRDefault="00010BF9">
            <w:pPr>
              <w:spacing w:line="360" w:lineRule="exact"/>
              <w:ind w:firstLineChars="0" w:firstLine="0"/>
              <w:jc w:val="center"/>
              <w:rPr>
                <w:kern w:val="2"/>
                <w:sz w:val="21"/>
              </w:rPr>
            </w:pPr>
            <w:r>
              <w:rPr>
                <w:rFonts w:hint="eastAsia"/>
                <w:kern w:val="2"/>
                <w:sz w:val="21"/>
              </w:rPr>
              <w:t>三级</w:t>
            </w:r>
          </w:p>
        </w:tc>
      </w:tr>
      <w:tr w:rsidR="003E78AB" w14:paraId="0ED1D8A7" w14:textId="77777777">
        <w:trPr>
          <w:tblHeader/>
          <w:jc w:val="center"/>
        </w:trPr>
        <w:tc>
          <w:tcPr>
            <w:tcW w:w="597" w:type="pct"/>
            <w:vMerge/>
            <w:vAlign w:val="center"/>
          </w:tcPr>
          <w:p w14:paraId="3385C0C0" w14:textId="77777777" w:rsidR="003E78AB" w:rsidRDefault="003E78AB">
            <w:pPr>
              <w:spacing w:line="360" w:lineRule="exact"/>
              <w:ind w:firstLineChars="0" w:firstLine="0"/>
              <w:jc w:val="center"/>
              <w:rPr>
                <w:kern w:val="2"/>
                <w:sz w:val="21"/>
              </w:rPr>
            </w:pPr>
          </w:p>
        </w:tc>
        <w:tc>
          <w:tcPr>
            <w:tcW w:w="609" w:type="pct"/>
            <w:vAlign w:val="center"/>
          </w:tcPr>
          <w:p w14:paraId="2D4064C3" w14:textId="77777777" w:rsidR="003E78AB" w:rsidRDefault="00010BF9">
            <w:pPr>
              <w:spacing w:line="360" w:lineRule="exact"/>
              <w:ind w:firstLineChars="0" w:firstLine="0"/>
              <w:jc w:val="center"/>
              <w:rPr>
                <w:kern w:val="2"/>
                <w:sz w:val="21"/>
              </w:rPr>
            </w:pPr>
            <w:r>
              <w:rPr>
                <w:rFonts w:hint="eastAsia"/>
                <w:kern w:val="2"/>
                <w:sz w:val="21"/>
              </w:rPr>
              <w:t>NOx</w:t>
            </w:r>
          </w:p>
        </w:tc>
        <w:tc>
          <w:tcPr>
            <w:tcW w:w="704" w:type="pct"/>
            <w:vMerge/>
            <w:tcBorders>
              <w:right w:val="single" w:sz="4" w:space="0" w:color="FFFFFF"/>
            </w:tcBorders>
            <w:vAlign w:val="center"/>
          </w:tcPr>
          <w:p w14:paraId="1A664C9B" w14:textId="77777777" w:rsidR="003E78AB" w:rsidRDefault="003E78AB">
            <w:pPr>
              <w:spacing w:line="360" w:lineRule="exact"/>
              <w:ind w:firstLineChars="0" w:firstLine="0"/>
              <w:jc w:val="center"/>
              <w:rPr>
                <w:kern w:val="2"/>
                <w:sz w:val="21"/>
              </w:rPr>
            </w:pPr>
          </w:p>
        </w:tc>
        <w:tc>
          <w:tcPr>
            <w:tcW w:w="1320" w:type="pct"/>
            <w:vMerge/>
            <w:tcBorders>
              <w:right w:val="single" w:sz="4" w:space="0" w:color="FFFFFF"/>
            </w:tcBorders>
            <w:vAlign w:val="center"/>
          </w:tcPr>
          <w:p w14:paraId="61959FE3" w14:textId="77777777" w:rsidR="003E78AB" w:rsidRDefault="003E78AB">
            <w:pPr>
              <w:spacing w:line="360" w:lineRule="exact"/>
              <w:ind w:firstLineChars="0" w:firstLine="0"/>
              <w:jc w:val="center"/>
              <w:rPr>
                <w:kern w:val="2"/>
                <w:sz w:val="21"/>
              </w:rPr>
            </w:pPr>
          </w:p>
        </w:tc>
        <w:tc>
          <w:tcPr>
            <w:tcW w:w="473" w:type="pct"/>
            <w:vAlign w:val="center"/>
          </w:tcPr>
          <w:p w14:paraId="4423AF8A" w14:textId="77777777" w:rsidR="003E78AB" w:rsidRDefault="00010BF9">
            <w:pPr>
              <w:spacing w:line="360" w:lineRule="exact"/>
              <w:ind w:firstLineChars="0" w:firstLine="0"/>
              <w:jc w:val="center"/>
              <w:rPr>
                <w:kern w:val="2"/>
                <w:sz w:val="21"/>
              </w:rPr>
            </w:pPr>
            <w:r>
              <w:rPr>
                <w:rFonts w:hint="eastAsia"/>
                <w:kern w:val="2"/>
                <w:sz w:val="21"/>
              </w:rPr>
              <w:t>4.2</w:t>
            </w:r>
          </w:p>
        </w:tc>
        <w:tc>
          <w:tcPr>
            <w:tcW w:w="489" w:type="pct"/>
            <w:vAlign w:val="center"/>
          </w:tcPr>
          <w:p w14:paraId="28122670"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5B596057" w14:textId="77777777" w:rsidR="003E78AB" w:rsidRDefault="00010BF9">
            <w:pPr>
              <w:spacing w:line="360" w:lineRule="exact"/>
              <w:ind w:firstLineChars="0" w:firstLine="0"/>
              <w:jc w:val="center"/>
              <w:rPr>
                <w:kern w:val="2"/>
                <w:sz w:val="21"/>
              </w:rPr>
            </w:pPr>
            <w:r>
              <w:rPr>
                <w:rFonts w:hint="eastAsia"/>
                <w:kern w:val="2"/>
                <w:sz w:val="21"/>
              </w:rPr>
              <w:t>二级</w:t>
            </w:r>
          </w:p>
        </w:tc>
      </w:tr>
      <w:tr w:rsidR="003E78AB" w14:paraId="41C98CFF" w14:textId="77777777">
        <w:trPr>
          <w:tblHeader/>
          <w:jc w:val="center"/>
        </w:trPr>
        <w:tc>
          <w:tcPr>
            <w:tcW w:w="597" w:type="pct"/>
            <w:vMerge w:val="restart"/>
            <w:vAlign w:val="center"/>
          </w:tcPr>
          <w:p w14:paraId="2371397D" w14:textId="77777777" w:rsidR="003E78AB" w:rsidRDefault="00010BF9">
            <w:pPr>
              <w:spacing w:line="360" w:lineRule="exact"/>
              <w:ind w:firstLineChars="0" w:firstLine="0"/>
              <w:jc w:val="center"/>
              <w:rPr>
                <w:kern w:val="2"/>
                <w:sz w:val="21"/>
              </w:rPr>
            </w:pPr>
            <w:r>
              <w:rPr>
                <w:rFonts w:hint="eastAsia"/>
                <w:kern w:val="2"/>
                <w:sz w:val="21"/>
              </w:rPr>
              <w:t>面源</w:t>
            </w:r>
          </w:p>
        </w:tc>
        <w:tc>
          <w:tcPr>
            <w:tcW w:w="609" w:type="pct"/>
            <w:vAlign w:val="center"/>
          </w:tcPr>
          <w:p w14:paraId="49B73A70" w14:textId="77777777" w:rsidR="003E78AB" w:rsidRDefault="00010BF9">
            <w:pPr>
              <w:spacing w:line="360" w:lineRule="exact"/>
              <w:ind w:firstLineChars="0" w:firstLine="0"/>
              <w:jc w:val="center"/>
              <w:rPr>
                <w:kern w:val="2"/>
                <w:sz w:val="21"/>
              </w:rPr>
            </w:pPr>
            <w:r>
              <w:rPr>
                <w:rFonts w:hint="eastAsia"/>
                <w:kern w:val="2"/>
                <w:sz w:val="21"/>
              </w:rPr>
              <w:t>TSP</w:t>
            </w:r>
          </w:p>
        </w:tc>
        <w:tc>
          <w:tcPr>
            <w:tcW w:w="2024" w:type="pct"/>
            <w:gridSpan w:val="2"/>
            <w:vMerge w:val="restart"/>
            <w:tcBorders>
              <w:right w:val="single" w:sz="4" w:space="0" w:color="FFFFFF"/>
            </w:tcBorders>
            <w:vAlign w:val="center"/>
          </w:tcPr>
          <w:p w14:paraId="1549C636" w14:textId="77777777" w:rsidR="003E78AB" w:rsidRDefault="00010BF9">
            <w:pPr>
              <w:spacing w:line="360" w:lineRule="exact"/>
              <w:ind w:firstLineChars="0" w:firstLine="0"/>
              <w:jc w:val="center"/>
              <w:rPr>
                <w:kern w:val="2"/>
                <w:sz w:val="21"/>
              </w:rPr>
            </w:pPr>
            <w:r>
              <w:rPr>
                <w:rFonts w:hint="eastAsia"/>
                <w:kern w:val="2"/>
                <w:sz w:val="21"/>
              </w:rPr>
              <w:t>生产车间一</w:t>
            </w:r>
          </w:p>
        </w:tc>
        <w:tc>
          <w:tcPr>
            <w:tcW w:w="473" w:type="pct"/>
            <w:vAlign w:val="center"/>
          </w:tcPr>
          <w:p w14:paraId="4A45D232" w14:textId="77777777" w:rsidR="003E78AB" w:rsidRDefault="00010BF9">
            <w:pPr>
              <w:spacing w:line="360" w:lineRule="exact"/>
              <w:ind w:firstLineChars="0" w:firstLine="0"/>
              <w:jc w:val="center"/>
              <w:rPr>
                <w:kern w:val="2"/>
                <w:sz w:val="21"/>
              </w:rPr>
            </w:pPr>
            <w:r>
              <w:rPr>
                <w:rFonts w:hint="eastAsia"/>
                <w:kern w:val="2"/>
                <w:sz w:val="21"/>
              </w:rPr>
              <w:t>7.42</w:t>
            </w:r>
          </w:p>
        </w:tc>
        <w:tc>
          <w:tcPr>
            <w:tcW w:w="489" w:type="pct"/>
            <w:vAlign w:val="center"/>
          </w:tcPr>
          <w:p w14:paraId="739D9410"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7F462A16" w14:textId="77777777" w:rsidR="003E78AB" w:rsidRDefault="00010BF9">
            <w:pPr>
              <w:spacing w:line="360" w:lineRule="exact"/>
              <w:ind w:firstLine="420"/>
              <w:rPr>
                <w:kern w:val="2"/>
                <w:sz w:val="21"/>
              </w:rPr>
            </w:pPr>
            <w:r>
              <w:rPr>
                <w:rFonts w:hint="eastAsia"/>
                <w:kern w:val="2"/>
                <w:sz w:val="21"/>
              </w:rPr>
              <w:t>二级</w:t>
            </w:r>
          </w:p>
        </w:tc>
      </w:tr>
      <w:tr w:rsidR="003E78AB" w14:paraId="680235E8" w14:textId="77777777">
        <w:trPr>
          <w:tblHeader/>
          <w:jc w:val="center"/>
        </w:trPr>
        <w:tc>
          <w:tcPr>
            <w:tcW w:w="597" w:type="pct"/>
            <w:vMerge/>
            <w:vAlign w:val="center"/>
          </w:tcPr>
          <w:p w14:paraId="6C32E7FA" w14:textId="77777777" w:rsidR="003E78AB" w:rsidRDefault="003E78AB">
            <w:pPr>
              <w:spacing w:line="360" w:lineRule="exact"/>
              <w:ind w:firstLineChars="0" w:firstLine="0"/>
              <w:jc w:val="center"/>
              <w:rPr>
                <w:kern w:val="2"/>
                <w:sz w:val="21"/>
              </w:rPr>
            </w:pPr>
          </w:p>
        </w:tc>
        <w:tc>
          <w:tcPr>
            <w:tcW w:w="609" w:type="pct"/>
            <w:vAlign w:val="center"/>
          </w:tcPr>
          <w:p w14:paraId="77FA5DC0" w14:textId="77777777" w:rsidR="003E78AB" w:rsidRDefault="00010BF9">
            <w:pPr>
              <w:spacing w:line="360" w:lineRule="exact"/>
              <w:ind w:firstLineChars="0" w:firstLine="0"/>
              <w:jc w:val="center"/>
              <w:rPr>
                <w:kern w:val="2"/>
                <w:sz w:val="21"/>
              </w:rPr>
            </w:pPr>
            <w:r>
              <w:rPr>
                <w:rFonts w:hint="eastAsia"/>
                <w:kern w:val="2"/>
                <w:sz w:val="21"/>
              </w:rPr>
              <w:t>硫酸雾</w:t>
            </w:r>
          </w:p>
        </w:tc>
        <w:tc>
          <w:tcPr>
            <w:tcW w:w="2024" w:type="pct"/>
            <w:gridSpan w:val="2"/>
            <w:vMerge/>
            <w:tcBorders>
              <w:right w:val="single" w:sz="4" w:space="0" w:color="FFFFFF"/>
            </w:tcBorders>
            <w:vAlign w:val="center"/>
          </w:tcPr>
          <w:p w14:paraId="5AEB795F" w14:textId="77777777" w:rsidR="003E78AB" w:rsidRDefault="003E78AB">
            <w:pPr>
              <w:spacing w:line="360" w:lineRule="exact"/>
              <w:ind w:firstLineChars="0" w:firstLine="0"/>
              <w:jc w:val="center"/>
              <w:rPr>
                <w:kern w:val="2"/>
                <w:sz w:val="21"/>
              </w:rPr>
            </w:pPr>
          </w:p>
        </w:tc>
        <w:tc>
          <w:tcPr>
            <w:tcW w:w="473" w:type="pct"/>
            <w:vAlign w:val="center"/>
          </w:tcPr>
          <w:p w14:paraId="169C1DA3" w14:textId="77777777" w:rsidR="003E78AB" w:rsidRDefault="00010BF9">
            <w:pPr>
              <w:spacing w:line="360" w:lineRule="exact"/>
              <w:ind w:firstLineChars="0" w:firstLine="0"/>
              <w:jc w:val="center"/>
              <w:rPr>
                <w:kern w:val="2"/>
                <w:sz w:val="21"/>
              </w:rPr>
            </w:pPr>
            <w:r>
              <w:rPr>
                <w:rFonts w:hint="eastAsia"/>
                <w:kern w:val="2"/>
                <w:sz w:val="21"/>
              </w:rPr>
              <w:t>3.02</w:t>
            </w:r>
          </w:p>
        </w:tc>
        <w:tc>
          <w:tcPr>
            <w:tcW w:w="489" w:type="pct"/>
            <w:vAlign w:val="center"/>
          </w:tcPr>
          <w:p w14:paraId="7E29ADCF" w14:textId="77777777" w:rsidR="003E78AB" w:rsidRDefault="00010BF9">
            <w:pPr>
              <w:spacing w:line="360" w:lineRule="exact"/>
              <w:ind w:firstLineChars="0" w:firstLine="0"/>
              <w:jc w:val="center"/>
              <w:rPr>
                <w:kern w:val="2"/>
                <w:sz w:val="21"/>
              </w:rPr>
            </w:pPr>
            <w:r>
              <w:rPr>
                <w:rFonts w:hint="eastAsia"/>
                <w:kern w:val="2"/>
                <w:sz w:val="21"/>
              </w:rPr>
              <w:t>0</w:t>
            </w:r>
          </w:p>
        </w:tc>
        <w:tc>
          <w:tcPr>
            <w:tcW w:w="806" w:type="pct"/>
            <w:vAlign w:val="center"/>
          </w:tcPr>
          <w:p w14:paraId="1FFDD5DD" w14:textId="77777777" w:rsidR="003E78AB" w:rsidRDefault="00010BF9">
            <w:pPr>
              <w:spacing w:line="360" w:lineRule="exact"/>
              <w:ind w:firstLine="420"/>
              <w:rPr>
                <w:kern w:val="2"/>
                <w:sz w:val="21"/>
              </w:rPr>
            </w:pPr>
            <w:r>
              <w:rPr>
                <w:rFonts w:hint="eastAsia"/>
                <w:kern w:val="2"/>
                <w:sz w:val="21"/>
              </w:rPr>
              <w:t>二级</w:t>
            </w:r>
          </w:p>
        </w:tc>
      </w:tr>
    </w:tbl>
    <w:p w14:paraId="37DAEF15" w14:textId="77777777" w:rsidR="003E78AB" w:rsidRDefault="00010BF9">
      <w:pPr>
        <w:ind w:firstLine="480"/>
        <w:rPr>
          <w:kern w:val="2"/>
        </w:rPr>
      </w:pPr>
      <w:r>
        <w:rPr>
          <w:kern w:val="2"/>
        </w:rPr>
        <w:t>根据</w:t>
      </w:r>
      <w:r>
        <w:rPr>
          <w:rFonts w:hint="eastAsia"/>
          <w:kern w:val="2"/>
        </w:rPr>
        <w:t>上表</w:t>
      </w:r>
      <w:r>
        <w:rPr>
          <w:kern w:val="2"/>
        </w:rPr>
        <w:t>中计算结果，</w:t>
      </w:r>
      <w:r>
        <w:rPr>
          <w:rFonts w:hint="eastAsia"/>
          <w:kern w:val="2"/>
        </w:rPr>
        <w:t>生产车间一无组织</w:t>
      </w:r>
      <w:r>
        <w:rPr>
          <w:kern w:val="2"/>
        </w:rPr>
        <w:t>排放的</w:t>
      </w:r>
      <w:r>
        <w:rPr>
          <w:rFonts w:hint="eastAsia"/>
          <w:kern w:val="2"/>
        </w:rPr>
        <w:t>颗粒物</w:t>
      </w:r>
      <w:r>
        <w:rPr>
          <w:kern w:val="2"/>
        </w:rPr>
        <w:t>最大地面浓度占标率</w:t>
      </w:r>
      <w:r>
        <w:rPr>
          <w:kern w:val="2"/>
        </w:rPr>
        <w:t>Pmax</w:t>
      </w:r>
      <w:r>
        <w:rPr>
          <w:kern w:val="2"/>
        </w:rPr>
        <w:t>最大，为</w:t>
      </w:r>
      <w:r>
        <w:rPr>
          <w:rFonts w:hint="eastAsia"/>
          <w:kern w:val="2"/>
        </w:rPr>
        <w:t>7.42</w:t>
      </w:r>
      <w:r>
        <w:rPr>
          <w:kern w:val="2"/>
        </w:rPr>
        <w:t>%</w:t>
      </w:r>
      <w:r>
        <w:rPr>
          <w:kern w:val="2"/>
        </w:rPr>
        <w:t>，对应</w:t>
      </w:r>
      <w:r>
        <w:rPr>
          <w:kern w:val="2"/>
        </w:rPr>
        <w:t>D10%</w:t>
      </w:r>
      <w:r>
        <w:rPr>
          <w:kern w:val="2"/>
        </w:rPr>
        <w:t>为</w:t>
      </w:r>
      <w:r>
        <w:rPr>
          <w:rFonts w:hint="eastAsia"/>
          <w:kern w:val="2"/>
        </w:rPr>
        <w:t>61</w:t>
      </w:r>
      <w:r>
        <w:rPr>
          <w:kern w:val="2"/>
        </w:rPr>
        <w:t>m</w:t>
      </w:r>
      <w:r>
        <w:rPr>
          <w:kern w:val="2"/>
        </w:rPr>
        <w:t>。</w:t>
      </w:r>
      <w:r>
        <w:rPr>
          <w:bCs/>
          <w:kern w:val="2"/>
        </w:rPr>
        <w:t>根据《环境影响评价技术导则</w:t>
      </w:r>
      <w:r>
        <w:rPr>
          <w:bCs/>
          <w:kern w:val="2"/>
        </w:rPr>
        <w:t xml:space="preserve"> </w:t>
      </w:r>
      <w:r>
        <w:rPr>
          <w:bCs/>
          <w:kern w:val="2"/>
        </w:rPr>
        <w:t>大气环境》（</w:t>
      </w:r>
      <w:r>
        <w:rPr>
          <w:bCs/>
          <w:kern w:val="2"/>
        </w:rPr>
        <w:t>HJ2.2-2018</w:t>
      </w:r>
      <w:r>
        <w:rPr>
          <w:bCs/>
          <w:kern w:val="2"/>
        </w:rPr>
        <w:t>）</w:t>
      </w:r>
      <w:r>
        <w:rPr>
          <w:rFonts w:hint="eastAsia"/>
          <w:bCs/>
          <w:kern w:val="2"/>
        </w:rPr>
        <w:t>“化工等高耗能行业的多源项目或以使用高污染燃料为主的多源项目，并且编制环境影响报告书的项目评价等级提高一级”，本项目行业类别按</w:t>
      </w:r>
      <w:r>
        <w:rPr>
          <w:rFonts w:hint="eastAsia"/>
          <w:bCs/>
          <w:kern w:val="2"/>
        </w:rPr>
        <w:t>C2669</w:t>
      </w:r>
      <w:r>
        <w:rPr>
          <w:rFonts w:hint="eastAsia"/>
          <w:bCs/>
          <w:kern w:val="2"/>
        </w:rPr>
        <w:t>其他专用化学品制造业，因此</w:t>
      </w:r>
      <w:r>
        <w:rPr>
          <w:bCs/>
          <w:kern w:val="2"/>
        </w:rPr>
        <w:t>判定本次大气环境评价工作等级为</w:t>
      </w:r>
      <w:r>
        <w:rPr>
          <w:rFonts w:hint="eastAsia"/>
          <w:bCs/>
          <w:kern w:val="2"/>
        </w:rPr>
        <w:t>一</w:t>
      </w:r>
      <w:r>
        <w:rPr>
          <w:bCs/>
          <w:kern w:val="2"/>
        </w:rPr>
        <w:t>级。</w:t>
      </w:r>
    </w:p>
    <w:p w14:paraId="6512BE63" w14:textId="77777777" w:rsidR="003E78AB" w:rsidRDefault="00010BF9">
      <w:pPr>
        <w:pStyle w:val="31"/>
        <w:keepNext w:val="0"/>
        <w:keepLines w:val="0"/>
        <w:topLinePunct/>
        <w:spacing w:before="156"/>
        <w:rPr>
          <w:rFonts w:cs="Times New Roman"/>
        </w:rPr>
      </w:pPr>
      <w:bookmarkStart w:id="121" w:name="_Toc467999941"/>
      <w:bookmarkStart w:id="122" w:name="_Toc518697119"/>
      <w:r>
        <w:rPr>
          <w:rFonts w:cs="Times New Roman"/>
        </w:rPr>
        <w:t>2.4.2</w:t>
      </w:r>
      <w:r>
        <w:rPr>
          <w:rFonts w:cs="Times New Roman"/>
        </w:rPr>
        <w:t>水环境</w:t>
      </w:r>
      <w:bookmarkEnd w:id="121"/>
      <w:bookmarkEnd w:id="122"/>
      <w:r>
        <w:rPr>
          <w:rFonts w:cs="Times New Roman"/>
        </w:rPr>
        <w:t>评价等级划分</w:t>
      </w:r>
    </w:p>
    <w:p w14:paraId="1B1EB9ED" w14:textId="77777777" w:rsidR="003E78AB" w:rsidRDefault="00010BF9">
      <w:pPr>
        <w:ind w:firstLine="480"/>
        <w:rPr>
          <w:kern w:val="2"/>
          <w:szCs w:val="20"/>
        </w:rPr>
      </w:pPr>
      <w:r>
        <w:rPr>
          <w:kern w:val="2"/>
          <w:szCs w:val="20"/>
        </w:rPr>
        <w:t>（</w:t>
      </w:r>
      <w:r>
        <w:rPr>
          <w:kern w:val="2"/>
          <w:szCs w:val="20"/>
        </w:rPr>
        <w:t>1</w:t>
      </w:r>
      <w:r>
        <w:rPr>
          <w:kern w:val="2"/>
          <w:szCs w:val="20"/>
        </w:rPr>
        <w:t>）地表水评价等级划分</w:t>
      </w:r>
    </w:p>
    <w:p w14:paraId="04CF8A66" w14:textId="77777777" w:rsidR="003E78AB" w:rsidRDefault="00010BF9">
      <w:pPr>
        <w:ind w:firstLine="480"/>
        <w:rPr>
          <w:kern w:val="2"/>
        </w:rPr>
      </w:pPr>
      <w:r>
        <w:rPr>
          <w:kern w:val="2"/>
        </w:rPr>
        <w:t>依据《环境影响评价技术导则</w:t>
      </w:r>
      <w:r>
        <w:rPr>
          <w:kern w:val="2"/>
        </w:rPr>
        <w:t xml:space="preserve"> </w:t>
      </w:r>
      <w:r>
        <w:rPr>
          <w:kern w:val="2"/>
        </w:rPr>
        <w:t>地表水环境》（</w:t>
      </w:r>
      <w:r>
        <w:rPr>
          <w:kern w:val="2"/>
        </w:rPr>
        <w:t>HJ2.3-2018</w:t>
      </w:r>
      <w:r>
        <w:rPr>
          <w:kern w:val="2"/>
        </w:rPr>
        <w:t>），建设项目地表水环境影响评价等级按照影响类型、排放方式、排放量或影响情况、受纳</w:t>
      </w:r>
      <w:r>
        <w:rPr>
          <w:rFonts w:hint="eastAsia"/>
          <w:kern w:val="2"/>
        </w:rPr>
        <w:t>水环境</w:t>
      </w:r>
      <w:r>
        <w:rPr>
          <w:kern w:val="2"/>
        </w:rPr>
        <w:t>质量现状、水环境保护目标等综合确定。本项目为水污染型项目，水污染影响型建设项目评价等级判定详见表</w:t>
      </w:r>
      <w:r>
        <w:rPr>
          <w:kern w:val="2"/>
        </w:rPr>
        <w:t>2-8</w:t>
      </w:r>
      <w:r>
        <w:rPr>
          <w:kern w:val="2"/>
        </w:rPr>
        <w:t>。</w:t>
      </w:r>
    </w:p>
    <w:p w14:paraId="28FD219B" w14:textId="77777777" w:rsidR="003E78AB" w:rsidRDefault="00010BF9">
      <w:pPr>
        <w:pStyle w:val="a5"/>
      </w:pPr>
      <w:r>
        <w:t>水污染影响型建设项目评价等级判定表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258"/>
        <w:gridCol w:w="6007"/>
      </w:tblGrid>
      <w:tr w:rsidR="003E78AB" w14:paraId="7449EC91" w14:textId="77777777">
        <w:trPr>
          <w:trHeight w:val="283"/>
          <w:jc w:val="center"/>
        </w:trPr>
        <w:tc>
          <w:tcPr>
            <w:tcW w:w="737" w:type="pct"/>
            <w:vMerge w:val="restart"/>
            <w:vAlign w:val="center"/>
          </w:tcPr>
          <w:p w14:paraId="11FEF3C7" w14:textId="77777777" w:rsidR="003E78AB" w:rsidRDefault="00010BF9">
            <w:pPr>
              <w:spacing w:line="360" w:lineRule="exact"/>
              <w:ind w:firstLineChars="0" w:firstLine="0"/>
              <w:jc w:val="center"/>
              <w:textAlignment w:val="baseline"/>
              <w:rPr>
                <w:b/>
                <w:bCs/>
                <w:kern w:val="2"/>
                <w:sz w:val="21"/>
              </w:rPr>
            </w:pPr>
            <w:r>
              <w:rPr>
                <w:b/>
                <w:bCs/>
                <w:kern w:val="2"/>
                <w:sz w:val="21"/>
              </w:rPr>
              <w:t>评价等级</w:t>
            </w:r>
          </w:p>
        </w:tc>
        <w:tc>
          <w:tcPr>
            <w:tcW w:w="4262" w:type="pct"/>
            <w:gridSpan w:val="2"/>
            <w:vAlign w:val="center"/>
          </w:tcPr>
          <w:p w14:paraId="7CDAE32B" w14:textId="77777777" w:rsidR="003E78AB" w:rsidRDefault="00010BF9">
            <w:pPr>
              <w:spacing w:line="360" w:lineRule="exact"/>
              <w:ind w:firstLineChars="0" w:firstLine="0"/>
              <w:jc w:val="center"/>
              <w:textAlignment w:val="baseline"/>
              <w:rPr>
                <w:b/>
                <w:bCs/>
                <w:kern w:val="2"/>
                <w:sz w:val="21"/>
              </w:rPr>
            </w:pPr>
            <w:r>
              <w:rPr>
                <w:b/>
                <w:bCs/>
                <w:kern w:val="2"/>
                <w:sz w:val="21"/>
              </w:rPr>
              <w:t>判定依据</w:t>
            </w:r>
          </w:p>
        </w:tc>
      </w:tr>
      <w:tr w:rsidR="003E78AB" w14:paraId="56351280" w14:textId="77777777">
        <w:trPr>
          <w:trHeight w:val="283"/>
          <w:jc w:val="center"/>
        </w:trPr>
        <w:tc>
          <w:tcPr>
            <w:tcW w:w="737" w:type="pct"/>
            <w:vMerge/>
            <w:vAlign w:val="center"/>
          </w:tcPr>
          <w:p w14:paraId="530571EF" w14:textId="77777777" w:rsidR="003E78AB" w:rsidRDefault="003E78AB">
            <w:pPr>
              <w:spacing w:line="360" w:lineRule="exact"/>
              <w:ind w:firstLineChars="0" w:firstLine="0"/>
              <w:jc w:val="center"/>
              <w:textAlignment w:val="baseline"/>
              <w:rPr>
                <w:b/>
                <w:bCs/>
                <w:kern w:val="2"/>
                <w:sz w:val="21"/>
              </w:rPr>
            </w:pPr>
          </w:p>
        </w:tc>
        <w:tc>
          <w:tcPr>
            <w:tcW w:w="738" w:type="pct"/>
            <w:vAlign w:val="center"/>
          </w:tcPr>
          <w:p w14:paraId="12F0B006" w14:textId="77777777" w:rsidR="003E78AB" w:rsidRDefault="00010BF9">
            <w:pPr>
              <w:spacing w:line="360" w:lineRule="exact"/>
              <w:ind w:firstLineChars="0" w:firstLine="0"/>
              <w:jc w:val="center"/>
              <w:textAlignment w:val="baseline"/>
              <w:rPr>
                <w:b/>
                <w:bCs/>
                <w:kern w:val="2"/>
                <w:sz w:val="21"/>
              </w:rPr>
            </w:pPr>
            <w:r>
              <w:rPr>
                <w:b/>
                <w:bCs/>
                <w:kern w:val="2"/>
                <w:sz w:val="21"/>
              </w:rPr>
              <w:t>排放方式</w:t>
            </w:r>
          </w:p>
        </w:tc>
        <w:tc>
          <w:tcPr>
            <w:tcW w:w="3524" w:type="pct"/>
            <w:vAlign w:val="center"/>
          </w:tcPr>
          <w:p w14:paraId="369D939F" w14:textId="77777777" w:rsidR="003E78AB" w:rsidRDefault="00010BF9">
            <w:pPr>
              <w:spacing w:line="360" w:lineRule="exact"/>
              <w:ind w:firstLineChars="0" w:firstLine="0"/>
              <w:jc w:val="center"/>
              <w:textAlignment w:val="baseline"/>
              <w:rPr>
                <w:b/>
                <w:bCs/>
                <w:kern w:val="2"/>
                <w:sz w:val="21"/>
              </w:rPr>
            </w:pPr>
            <w:r>
              <w:rPr>
                <w:b/>
                <w:bCs/>
                <w:kern w:val="2"/>
                <w:sz w:val="21"/>
              </w:rPr>
              <w:t>废水排放量</w:t>
            </w:r>
            <w:r>
              <w:rPr>
                <w:b/>
                <w:bCs/>
                <w:kern w:val="2"/>
                <w:sz w:val="21"/>
              </w:rPr>
              <w:t>Q/</w:t>
            </w:r>
            <w:r>
              <w:rPr>
                <w:b/>
                <w:bCs/>
                <w:kern w:val="2"/>
                <w:sz w:val="21"/>
              </w:rPr>
              <w:t>（</w:t>
            </w:r>
            <w:r>
              <w:rPr>
                <w:b/>
                <w:bCs/>
                <w:kern w:val="2"/>
                <w:sz w:val="21"/>
              </w:rPr>
              <w:t>m</w:t>
            </w:r>
            <w:r>
              <w:rPr>
                <w:b/>
                <w:bCs/>
                <w:kern w:val="2"/>
                <w:sz w:val="21"/>
                <w:vertAlign w:val="superscript"/>
              </w:rPr>
              <w:t>3</w:t>
            </w:r>
            <w:r>
              <w:rPr>
                <w:b/>
                <w:bCs/>
                <w:kern w:val="2"/>
                <w:sz w:val="21"/>
              </w:rPr>
              <w:t>/d</w:t>
            </w:r>
            <w:r>
              <w:rPr>
                <w:b/>
                <w:bCs/>
                <w:kern w:val="2"/>
                <w:sz w:val="21"/>
              </w:rPr>
              <w:t>）；水污染物当量数</w:t>
            </w:r>
            <w:r>
              <w:rPr>
                <w:b/>
                <w:bCs/>
                <w:kern w:val="2"/>
                <w:sz w:val="21"/>
              </w:rPr>
              <w:t>W/</w:t>
            </w:r>
            <w:r>
              <w:rPr>
                <w:b/>
                <w:bCs/>
                <w:kern w:val="2"/>
                <w:sz w:val="21"/>
              </w:rPr>
              <w:t>（无量纲）</w:t>
            </w:r>
          </w:p>
        </w:tc>
      </w:tr>
      <w:tr w:rsidR="003E78AB" w14:paraId="739C8817" w14:textId="77777777">
        <w:trPr>
          <w:trHeight w:val="283"/>
          <w:jc w:val="center"/>
        </w:trPr>
        <w:tc>
          <w:tcPr>
            <w:tcW w:w="737" w:type="pct"/>
            <w:vAlign w:val="center"/>
          </w:tcPr>
          <w:p w14:paraId="4D13AD3D" w14:textId="77777777" w:rsidR="003E78AB" w:rsidRDefault="00010BF9">
            <w:pPr>
              <w:spacing w:line="360" w:lineRule="exact"/>
              <w:ind w:firstLineChars="0" w:firstLine="0"/>
              <w:jc w:val="center"/>
              <w:textAlignment w:val="baseline"/>
              <w:rPr>
                <w:kern w:val="2"/>
                <w:sz w:val="21"/>
              </w:rPr>
            </w:pPr>
            <w:r>
              <w:rPr>
                <w:kern w:val="2"/>
                <w:sz w:val="21"/>
              </w:rPr>
              <w:t>一级</w:t>
            </w:r>
          </w:p>
        </w:tc>
        <w:tc>
          <w:tcPr>
            <w:tcW w:w="738" w:type="pct"/>
            <w:vAlign w:val="center"/>
          </w:tcPr>
          <w:p w14:paraId="06E9D6DA" w14:textId="77777777" w:rsidR="003E78AB" w:rsidRDefault="00010BF9">
            <w:pPr>
              <w:spacing w:line="360" w:lineRule="exact"/>
              <w:ind w:firstLineChars="0" w:firstLine="0"/>
              <w:jc w:val="center"/>
              <w:textAlignment w:val="baseline"/>
              <w:rPr>
                <w:kern w:val="2"/>
                <w:sz w:val="21"/>
              </w:rPr>
            </w:pPr>
            <w:r>
              <w:rPr>
                <w:kern w:val="2"/>
                <w:sz w:val="21"/>
              </w:rPr>
              <w:t>直接排放</w:t>
            </w:r>
          </w:p>
        </w:tc>
        <w:tc>
          <w:tcPr>
            <w:tcW w:w="3524" w:type="pct"/>
            <w:vAlign w:val="center"/>
          </w:tcPr>
          <w:p w14:paraId="53E42CEE" w14:textId="77777777" w:rsidR="003E78AB" w:rsidRDefault="00010BF9">
            <w:pPr>
              <w:spacing w:line="360" w:lineRule="exact"/>
              <w:ind w:firstLineChars="0" w:firstLine="0"/>
              <w:jc w:val="center"/>
              <w:textAlignment w:val="baseline"/>
              <w:rPr>
                <w:kern w:val="2"/>
                <w:sz w:val="21"/>
              </w:rPr>
            </w:pPr>
            <w:r>
              <w:rPr>
                <w:kern w:val="2"/>
                <w:sz w:val="21"/>
              </w:rPr>
              <w:t>Q≥20000</w:t>
            </w:r>
            <w:r>
              <w:rPr>
                <w:kern w:val="2"/>
                <w:sz w:val="21"/>
              </w:rPr>
              <w:t>或</w:t>
            </w:r>
            <w:r>
              <w:rPr>
                <w:kern w:val="2"/>
                <w:sz w:val="21"/>
              </w:rPr>
              <w:t>W≥600000</w:t>
            </w:r>
          </w:p>
        </w:tc>
      </w:tr>
      <w:tr w:rsidR="003E78AB" w14:paraId="70BC5AB7" w14:textId="77777777">
        <w:trPr>
          <w:trHeight w:val="283"/>
          <w:jc w:val="center"/>
        </w:trPr>
        <w:tc>
          <w:tcPr>
            <w:tcW w:w="737" w:type="pct"/>
            <w:vAlign w:val="center"/>
          </w:tcPr>
          <w:p w14:paraId="571DCE32" w14:textId="77777777" w:rsidR="003E78AB" w:rsidRDefault="00010BF9">
            <w:pPr>
              <w:spacing w:line="360" w:lineRule="exact"/>
              <w:ind w:firstLineChars="0" w:firstLine="0"/>
              <w:jc w:val="center"/>
              <w:textAlignment w:val="baseline"/>
              <w:rPr>
                <w:kern w:val="2"/>
                <w:sz w:val="21"/>
              </w:rPr>
            </w:pPr>
            <w:r>
              <w:rPr>
                <w:kern w:val="2"/>
                <w:sz w:val="21"/>
              </w:rPr>
              <w:lastRenderedPageBreak/>
              <w:t>二级</w:t>
            </w:r>
          </w:p>
        </w:tc>
        <w:tc>
          <w:tcPr>
            <w:tcW w:w="738" w:type="pct"/>
            <w:vAlign w:val="center"/>
          </w:tcPr>
          <w:p w14:paraId="2D7C271C" w14:textId="77777777" w:rsidR="003E78AB" w:rsidRDefault="00010BF9">
            <w:pPr>
              <w:spacing w:line="360" w:lineRule="exact"/>
              <w:ind w:firstLineChars="0" w:firstLine="0"/>
              <w:jc w:val="center"/>
              <w:textAlignment w:val="baseline"/>
              <w:rPr>
                <w:kern w:val="2"/>
                <w:sz w:val="21"/>
              </w:rPr>
            </w:pPr>
            <w:r>
              <w:rPr>
                <w:kern w:val="2"/>
                <w:sz w:val="21"/>
              </w:rPr>
              <w:t>直接排放</w:t>
            </w:r>
          </w:p>
        </w:tc>
        <w:tc>
          <w:tcPr>
            <w:tcW w:w="3524" w:type="pct"/>
            <w:vAlign w:val="center"/>
          </w:tcPr>
          <w:p w14:paraId="0EF539F0" w14:textId="77777777" w:rsidR="003E78AB" w:rsidRDefault="00010BF9">
            <w:pPr>
              <w:spacing w:line="360" w:lineRule="exact"/>
              <w:ind w:firstLineChars="0" w:firstLine="0"/>
              <w:jc w:val="center"/>
              <w:textAlignment w:val="baseline"/>
              <w:rPr>
                <w:kern w:val="2"/>
                <w:sz w:val="21"/>
              </w:rPr>
            </w:pPr>
            <w:r>
              <w:rPr>
                <w:kern w:val="2"/>
                <w:sz w:val="21"/>
              </w:rPr>
              <w:t>其他</w:t>
            </w:r>
          </w:p>
        </w:tc>
      </w:tr>
      <w:tr w:rsidR="003E78AB" w14:paraId="79644821" w14:textId="77777777">
        <w:trPr>
          <w:trHeight w:val="283"/>
          <w:jc w:val="center"/>
        </w:trPr>
        <w:tc>
          <w:tcPr>
            <w:tcW w:w="737" w:type="pct"/>
            <w:vAlign w:val="center"/>
          </w:tcPr>
          <w:p w14:paraId="04F116F8" w14:textId="77777777" w:rsidR="003E78AB" w:rsidRDefault="00010BF9">
            <w:pPr>
              <w:spacing w:line="360" w:lineRule="exact"/>
              <w:ind w:firstLineChars="0" w:firstLine="0"/>
              <w:jc w:val="center"/>
              <w:textAlignment w:val="baseline"/>
              <w:rPr>
                <w:kern w:val="2"/>
                <w:sz w:val="21"/>
              </w:rPr>
            </w:pPr>
            <w:r>
              <w:rPr>
                <w:kern w:val="2"/>
                <w:sz w:val="21"/>
              </w:rPr>
              <w:t>三级</w:t>
            </w:r>
            <w:r>
              <w:rPr>
                <w:kern w:val="2"/>
                <w:sz w:val="21"/>
              </w:rPr>
              <w:t>A</w:t>
            </w:r>
          </w:p>
        </w:tc>
        <w:tc>
          <w:tcPr>
            <w:tcW w:w="738" w:type="pct"/>
            <w:vAlign w:val="center"/>
          </w:tcPr>
          <w:p w14:paraId="300ADE91" w14:textId="77777777" w:rsidR="003E78AB" w:rsidRDefault="00010BF9">
            <w:pPr>
              <w:spacing w:line="360" w:lineRule="exact"/>
              <w:ind w:firstLineChars="0" w:firstLine="0"/>
              <w:jc w:val="center"/>
              <w:textAlignment w:val="baseline"/>
              <w:rPr>
                <w:kern w:val="2"/>
                <w:sz w:val="21"/>
              </w:rPr>
            </w:pPr>
            <w:r>
              <w:rPr>
                <w:kern w:val="2"/>
                <w:sz w:val="21"/>
              </w:rPr>
              <w:t>直接排放</w:t>
            </w:r>
          </w:p>
        </w:tc>
        <w:tc>
          <w:tcPr>
            <w:tcW w:w="3524" w:type="pct"/>
            <w:vAlign w:val="center"/>
          </w:tcPr>
          <w:p w14:paraId="2C093C8A" w14:textId="77777777" w:rsidR="003E78AB" w:rsidRDefault="00010BF9">
            <w:pPr>
              <w:spacing w:line="360" w:lineRule="exact"/>
              <w:ind w:firstLineChars="0" w:firstLine="0"/>
              <w:jc w:val="center"/>
              <w:textAlignment w:val="baseline"/>
              <w:rPr>
                <w:kern w:val="2"/>
                <w:sz w:val="21"/>
              </w:rPr>
            </w:pPr>
            <w:r>
              <w:rPr>
                <w:kern w:val="2"/>
                <w:sz w:val="21"/>
              </w:rPr>
              <w:t>Q&lt;200</w:t>
            </w:r>
            <w:r>
              <w:rPr>
                <w:kern w:val="2"/>
                <w:sz w:val="21"/>
              </w:rPr>
              <w:t>且</w:t>
            </w:r>
            <w:r>
              <w:rPr>
                <w:kern w:val="2"/>
                <w:sz w:val="21"/>
              </w:rPr>
              <w:t>W&lt;6000</w:t>
            </w:r>
          </w:p>
        </w:tc>
      </w:tr>
      <w:tr w:rsidR="003E78AB" w14:paraId="55611FAE" w14:textId="77777777">
        <w:trPr>
          <w:trHeight w:val="283"/>
          <w:jc w:val="center"/>
        </w:trPr>
        <w:tc>
          <w:tcPr>
            <w:tcW w:w="737" w:type="pct"/>
            <w:shd w:val="clear" w:color="auto" w:fill="D7D7D7"/>
            <w:vAlign w:val="center"/>
          </w:tcPr>
          <w:p w14:paraId="17301D91" w14:textId="77777777" w:rsidR="003E78AB" w:rsidRDefault="00010BF9">
            <w:pPr>
              <w:spacing w:line="360" w:lineRule="exact"/>
              <w:ind w:firstLineChars="0" w:firstLine="0"/>
              <w:jc w:val="center"/>
              <w:textAlignment w:val="baseline"/>
              <w:rPr>
                <w:kern w:val="2"/>
                <w:sz w:val="21"/>
              </w:rPr>
            </w:pPr>
            <w:r>
              <w:rPr>
                <w:kern w:val="2"/>
                <w:sz w:val="21"/>
              </w:rPr>
              <w:t>三级</w:t>
            </w:r>
            <w:r>
              <w:rPr>
                <w:kern w:val="2"/>
                <w:sz w:val="21"/>
              </w:rPr>
              <w:t>B</w:t>
            </w:r>
          </w:p>
        </w:tc>
        <w:tc>
          <w:tcPr>
            <w:tcW w:w="738" w:type="pct"/>
            <w:shd w:val="clear" w:color="auto" w:fill="D7D7D7"/>
            <w:vAlign w:val="center"/>
          </w:tcPr>
          <w:p w14:paraId="2BEAF5A8" w14:textId="77777777" w:rsidR="003E78AB" w:rsidRDefault="00010BF9">
            <w:pPr>
              <w:spacing w:line="360" w:lineRule="exact"/>
              <w:ind w:firstLineChars="0" w:firstLine="0"/>
              <w:jc w:val="center"/>
              <w:textAlignment w:val="baseline"/>
              <w:rPr>
                <w:kern w:val="2"/>
                <w:sz w:val="21"/>
              </w:rPr>
            </w:pPr>
            <w:r>
              <w:rPr>
                <w:kern w:val="2"/>
                <w:sz w:val="21"/>
              </w:rPr>
              <w:t>间接排放</w:t>
            </w:r>
          </w:p>
        </w:tc>
        <w:tc>
          <w:tcPr>
            <w:tcW w:w="3524" w:type="pct"/>
            <w:shd w:val="clear" w:color="auto" w:fill="D7D7D7"/>
            <w:vAlign w:val="center"/>
          </w:tcPr>
          <w:p w14:paraId="6FDEE76C" w14:textId="77777777" w:rsidR="003E78AB" w:rsidRDefault="00010BF9">
            <w:pPr>
              <w:spacing w:line="360" w:lineRule="exact"/>
              <w:ind w:firstLineChars="0" w:firstLine="0"/>
              <w:jc w:val="center"/>
              <w:textAlignment w:val="baseline"/>
              <w:rPr>
                <w:kern w:val="2"/>
                <w:sz w:val="21"/>
              </w:rPr>
            </w:pPr>
            <w:r>
              <w:rPr>
                <w:kern w:val="2"/>
                <w:sz w:val="21"/>
              </w:rPr>
              <w:t>--</w:t>
            </w:r>
          </w:p>
        </w:tc>
      </w:tr>
    </w:tbl>
    <w:p w14:paraId="0A094363" w14:textId="77777777" w:rsidR="003E78AB" w:rsidRDefault="00010BF9">
      <w:pPr>
        <w:ind w:firstLine="480"/>
        <w:rPr>
          <w:kern w:val="2"/>
          <w:szCs w:val="20"/>
        </w:rPr>
      </w:pPr>
      <w:r>
        <w:rPr>
          <w:kern w:val="2"/>
          <w:szCs w:val="20"/>
        </w:rPr>
        <w:t>由工程分析可知，</w:t>
      </w:r>
      <w:r>
        <w:rPr>
          <w:kern w:val="2"/>
        </w:rPr>
        <w:t>本项目无生产废水外排，</w:t>
      </w:r>
      <w:r>
        <w:t>工艺废气处理废水</w:t>
      </w:r>
      <w:r>
        <w:rPr>
          <w:rFonts w:hint="eastAsia"/>
        </w:rPr>
        <w:t>经蒸发冷凝后回用于淋洗补水配碱，</w:t>
      </w:r>
      <w:r>
        <w:rPr>
          <w:rFonts w:hint="eastAsia"/>
          <w:kern w:val="2"/>
        </w:rPr>
        <w:t>实验废水经生产车间</w:t>
      </w:r>
      <w:r>
        <w:rPr>
          <w:rFonts w:hint="eastAsia"/>
          <w:kern w:val="2"/>
        </w:rPr>
        <w:t>15m</w:t>
      </w:r>
      <w:r>
        <w:rPr>
          <w:rFonts w:hint="eastAsia"/>
          <w:kern w:val="2"/>
          <w:vertAlign w:val="superscript"/>
        </w:rPr>
        <w:t>3</w:t>
      </w:r>
      <w:r>
        <w:rPr>
          <w:rFonts w:hint="eastAsia"/>
          <w:kern w:val="2"/>
        </w:rPr>
        <w:t>电解液事故罐收集后回用于生产，</w:t>
      </w:r>
      <w:r>
        <w:rPr>
          <w:rFonts w:hint="eastAsia"/>
        </w:rPr>
        <w:t>地面冲洗水、</w:t>
      </w:r>
      <w:r>
        <w:rPr>
          <w:kern w:val="2"/>
        </w:rPr>
        <w:t>软水制备及纯水制备排浓水、锅炉排水经厂内污水管道收集，生活污水经预处理后，一并经厂区总排口排入园区污水厂进一步处理。</w:t>
      </w:r>
      <w:r>
        <w:rPr>
          <w:kern w:val="2"/>
          <w:szCs w:val="20"/>
        </w:rPr>
        <w:t>依据《环境影响评价技术导则</w:t>
      </w:r>
      <w:r>
        <w:rPr>
          <w:kern w:val="2"/>
          <w:szCs w:val="20"/>
        </w:rPr>
        <w:t xml:space="preserve"> </w:t>
      </w:r>
      <w:r>
        <w:rPr>
          <w:kern w:val="2"/>
          <w:szCs w:val="20"/>
        </w:rPr>
        <w:t>地表水环境》（</w:t>
      </w:r>
      <w:r>
        <w:rPr>
          <w:kern w:val="2"/>
          <w:szCs w:val="20"/>
        </w:rPr>
        <w:t>HJ2.3-2018</w:t>
      </w:r>
      <w:r>
        <w:rPr>
          <w:kern w:val="2"/>
          <w:szCs w:val="20"/>
        </w:rPr>
        <w:t>），本项目地表水评价等级为三级</w:t>
      </w:r>
      <w:r>
        <w:rPr>
          <w:kern w:val="2"/>
          <w:szCs w:val="20"/>
        </w:rPr>
        <w:t>B</w:t>
      </w:r>
      <w:r>
        <w:rPr>
          <w:kern w:val="2"/>
          <w:szCs w:val="20"/>
        </w:rPr>
        <w:t>，本次仅对项目废水处理措施合理性进行分析。</w:t>
      </w:r>
    </w:p>
    <w:p w14:paraId="206AD308" w14:textId="77777777" w:rsidR="003E78AB" w:rsidRDefault="00010BF9">
      <w:pPr>
        <w:ind w:firstLine="480"/>
        <w:rPr>
          <w:kern w:val="2"/>
          <w:szCs w:val="20"/>
        </w:rPr>
      </w:pPr>
      <w:r>
        <w:rPr>
          <w:kern w:val="2"/>
          <w:szCs w:val="20"/>
        </w:rPr>
        <w:t>（</w:t>
      </w:r>
      <w:r>
        <w:rPr>
          <w:kern w:val="2"/>
          <w:szCs w:val="20"/>
        </w:rPr>
        <w:t>2</w:t>
      </w:r>
      <w:r>
        <w:rPr>
          <w:kern w:val="2"/>
          <w:szCs w:val="20"/>
        </w:rPr>
        <w:t>）地下水评价等级划分</w:t>
      </w:r>
    </w:p>
    <w:p w14:paraId="3D2E97DF" w14:textId="77777777" w:rsidR="003E78AB" w:rsidRDefault="00010BF9">
      <w:pPr>
        <w:ind w:firstLine="480"/>
        <w:rPr>
          <w:kern w:val="2"/>
          <w:szCs w:val="20"/>
        </w:rPr>
      </w:pPr>
      <w:r>
        <w:rPr>
          <w:kern w:val="2"/>
          <w:szCs w:val="20"/>
        </w:rPr>
        <w:t>本项目属于钒电池电解液生产项目，生产过程涉及化学反应，依据《环境影响评价技术导则</w:t>
      </w:r>
      <w:r>
        <w:rPr>
          <w:kern w:val="2"/>
          <w:szCs w:val="20"/>
        </w:rPr>
        <w:t xml:space="preserve"> </w:t>
      </w:r>
      <w:r>
        <w:rPr>
          <w:kern w:val="2"/>
          <w:szCs w:val="20"/>
        </w:rPr>
        <w:t>地下水环境》</w:t>
      </w:r>
      <w:r>
        <w:rPr>
          <w:kern w:val="2"/>
          <w:szCs w:val="20"/>
        </w:rPr>
        <w:t>(HJ610-2016)</w:t>
      </w:r>
      <w:r>
        <w:rPr>
          <w:kern w:val="2"/>
          <w:szCs w:val="20"/>
        </w:rPr>
        <w:t>附录</w:t>
      </w:r>
      <w:r>
        <w:rPr>
          <w:kern w:val="2"/>
          <w:szCs w:val="20"/>
        </w:rPr>
        <w:t>A</w:t>
      </w:r>
      <w:r>
        <w:rPr>
          <w:kern w:val="2"/>
          <w:szCs w:val="20"/>
        </w:rPr>
        <w:t>地下水环境影响评价行业分类表，参考项目生产类别为</w:t>
      </w:r>
      <w:r>
        <w:rPr>
          <w:kern w:val="2"/>
          <w:szCs w:val="20"/>
        </w:rPr>
        <w:t>“L</w:t>
      </w:r>
      <w:r>
        <w:rPr>
          <w:kern w:val="2"/>
          <w:szCs w:val="20"/>
        </w:rPr>
        <w:t>石化、化工</w:t>
      </w:r>
      <w:r>
        <w:rPr>
          <w:kern w:val="2"/>
          <w:szCs w:val="20"/>
        </w:rPr>
        <w:t>”</w:t>
      </w:r>
      <w:r>
        <w:rPr>
          <w:kern w:val="2"/>
          <w:szCs w:val="20"/>
        </w:rPr>
        <w:t>类别中第</w:t>
      </w:r>
      <w:r>
        <w:rPr>
          <w:kern w:val="2"/>
          <w:szCs w:val="20"/>
        </w:rPr>
        <w:t>85</w:t>
      </w:r>
      <w:r>
        <w:rPr>
          <w:kern w:val="2"/>
          <w:szCs w:val="20"/>
        </w:rPr>
        <w:t>项</w:t>
      </w:r>
      <w:r>
        <w:rPr>
          <w:kern w:val="2"/>
          <w:szCs w:val="20"/>
        </w:rPr>
        <w:t>“</w:t>
      </w:r>
      <w:r>
        <w:rPr>
          <w:kern w:val="2"/>
          <w:szCs w:val="20"/>
        </w:rPr>
        <w:t>专用化学品制造</w:t>
      </w:r>
      <w:r>
        <w:rPr>
          <w:kern w:val="2"/>
          <w:szCs w:val="20"/>
        </w:rPr>
        <w:t>”</w:t>
      </w:r>
      <w:r>
        <w:rPr>
          <w:kern w:val="2"/>
          <w:szCs w:val="20"/>
        </w:rPr>
        <w:t>、编制</w:t>
      </w:r>
      <w:r>
        <w:rPr>
          <w:kern w:val="2"/>
          <w:szCs w:val="20"/>
        </w:rPr>
        <w:t>“</w:t>
      </w:r>
      <w:r>
        <w:rPr>
          <w:kern w:val="2"/>
          <w:szCs w:val="20"/>
        </w:rPr>
        <w:t>报告</w:t>
      </w:r>
      <w:r>
        <w:rPr>
          <w:kern w:val="2"/>
          <w:szCs w:val="20"/>
        </w:rPr>
        <w:t>书</w:t>
      </w:r>
      <w:r>
        <w:rPr>
          <w:kern w:val="2"/>
          <w:szCs w:val="20"/>
        </w:rPr>
        <w:t>”</w:t>
      </w:r>
      <w:r>
        <w:rPr>
          <w:kern w:val="2"/>
          <w:szCs w:val="20"/>
        </w:rPr>
        <w:t>项目，</w:t>
      </w:r>
      <w:r>
        <w:rPr>
          <w:rFonts w:hint="eastAsia"/>
          <w:kern w:val="2"/>
          <w:szCs w:val="20"/>
        </w:rPr>
        <w:t>本项目</w:t>
      </w:r>
      <w:r>
        <w:rPr>
          <w:kern w:val="2"/>
          <w:szCs w:val="20"/>
        </w:rPr>
        <w:t>为</w:t>
      </w:r>
      <w:r>
        <w:rPr>
          <w:kern w:val="2"/>
          <w:szCs w:val="20"/>
        </w:rPr>
        <w:t>“I</w:t>
      </w:r>
      <w:r>
        <w:rPr>
          <w:kern w:val="2"/>
          <w:szCs w:val="20"/>
        </w:rPr>
        <w:t>类</w:t>
      </w:r>
      <w:r>
        <w:rPr>
          <w:kern w:val="2"/>
          <w:szCs w:val="20"/>
        </w:rPr>
        <w:t>”</w:t>
      </w:r>
      <w:r>
        <w:rPr>
          <w:kern w:val="2"/>
          <w:szCs w:val="20"/>
        </w:rPr>
        <w:t>项目。</w:t>
      </w:r>
    </w:p>
    <w:p w14:paraId="3F85282B" w14:textId="77777777" w:rsidR="003E78AB" w:rsidRDefault="00010BF9">
      <w:pPr>
        <w:ind w:firstLine="480"/>
        <w:rPr>
          <w:kern w:val="2"/>
          <w:szCs w:val="20"/>
        </w:rPr>
      </w:pPr>
      <w:r>
        <w:rPr>
          <w:kern w:val="2"/>
          <w:szCs w:val="20"/>
        </w:rPr>
        <w:t>同时，根据地下水环境敏感程度分级表</w:t>
      </w:r>
      <w:r>
        <w:rPr>
          <w:kern w:val="2"/>
          <w:szCs w:val="20"/>
        </w:rPr>
        <w:t>2-9</w:t>
      </w:r>
      <w:r>
        <w:rPr>
          <w:kern w:val="2"/>
          <w:szCs w:val="20"/>
        </w:rPr>
        <w:t>，建设项目区位于哈密市高新技术产业开发区南部循环经济产业园，规划用地性质为工业用地，</w:t>
      </w:r>
      <w:r>
        <w:rPr>
          <w:rFonts w:hint="eastAsia"/>
          <w:bCs/>
          <w:kern w:val="2"/>
          <w:szCs w:val="20"/>
        </w:rPr>
        <w:t>距离项目最近的集中饮用水源为东南</w:t>
      </w:r>
      <w:r>
        <w:rPr>
          <w:rFonts w:hint="eastAsia"/>
          <w:bCs/>
          <w:kern w:val="2"/>
          <w:szCs w:val="20"/>
        </w:rPr>
        <w:t>3.44km</w:t>
      </w:r>
      <w:r>
        <w:rPr>
          <w:rFonts w:hint="eastAsia"/>
          <w:bCs/>
          <w:kern w:val="2"/>
          <w:szCs w:val="20"/>
        </w:rPr>
        <w:t>的南湖乡地下水饮用水源地</w:t>
      </w:r>
      <w:r>
        <w:rPr>
          <w:rFonts w:hint="eastAsia"/>
          <w:kern w:val="2"/>
          <w:szCs w:val="20"/>
        </w:rPr>
        <w:t>，</w:t>
      </w:r>
      <w:r>
        <w:rPr>
          <w:kern w:val="2"/>
          <w:szCs w:val="20"/>
        </w:rPr>
        <w:t>项目所在区域不属于集中式饮用水水源地准保护区、补给径流区及与地下水环境保护相关的</w:t>
      </w:r>
      <w:r>
        <w:rPr>
          <w:rFonts w:hint="eastAsia"/>
          <w:kern w:val="2"/>
          <w:szCs w:val="20"/>
        </w:rPr>
        <w:t>其他</w:t>
      </w:r>
      <w:r>
        <w:rPr>
          <w:kern w:val="2"/>
          <w:szCs w:val="20"/>
        </w:rPr>
        <w:t>保护区等敏感区，因此本项目所在区地下水环境敏感程度属于不敏感。</w:t>
      </w:r>
    </w:p>
    <w:p w14:paraId="7262D182" w14:textId="77777777" w:rsidR="003E78AB" w:rsidRDefault="00010BF9">
      <w:pPr>
        <w:pStyle w:val="a5"/>
      </w:pPr>
      <w:r>
        <w:t>地下水环境敏感程度分级</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7594"/>
      </w:tblGrid>
      <w:tr w:rsidR="003E78AB" w14:paraId="43D167A2" w14:textId="77777777">
        <w:trPr>
          <w:trHeight w:val="64"/>
          <w:tblHeader/>
        </w:trPr>
        <w:tc>
          <w:tcPr>
            <w:tcW w:w="433" w:type="pct"/>
            <w:vAlign w:val="center"/>
          </w:tcPr>
          <w:p w14:paraId="540C6AE7" w14:textId="77777777" w:rsidR="003E78AB" w:rsidRDefault="00010BF9">
            <w:pPr>
              <w:spacing w:line="360" w:lineRule="exact"/>
              <w:ind w:firstLineChars="0" w:firstLine="0"/>
              <w:jc w:val="center"/>
              <w:rPr>
                <w:b/>
                <w:bCs/>
                <w:kern w:val="2"/>
                <w:sz w:val="21"/>
                <w:szCs w:val="21"/>
              </w:rPr>
            </w:pPr>
            <w:r>
              <w:rPr>
                <w:b/>
                <w:bCs/>
                <w:kern w:val="2"/>
                <w:sz w:val="21"/>
                <w:szCs w:val="21"/>
              </w:rPr>
              <w:t>分级</w:t>
            </w:r>
          </w:p>
        </w:tc>
        <w:tc>
          <w:tcPr>
            <w:tcW w:w="4566" w:type="pct"/>
            <w:vAlign w:val="center"/>
          </w:tcPr>
          <w:p w14:paraId="7B6DF15D" w14:textId="77777777" w:rsidR="003E78AB" w:rsidRDefault="00010BF9">
            <w:pPr>
              <w:spacing w:line="360" w:lineRule="exact"/>
              <w:ind w:firstLineChars="0" w:firstLine="0"/>
              <w:jc w:val="center"/>
              <w:rPr>
                <w:b/>
                <w:bCs/>
                <w:kern w:val="2"/>
                <w:sz w:val="21"/>
                <w:szCs w:val="21"/>
              </w:rPr>
            </w:pPr>
            <w:r>
              <w:rPr>
                <w:b/>
                <w:bCs/>
                <w:kern w:val="2"/>
                <w:sz w:val="21"/>
                <w:szCs w:val="21"/>
              </w:rPr>
              <w:t>项目场地的地下水环境敏感特征</w:t>
            </w:r>
          </w:p>
        </w:tc>
      </w:tr>
      <w:tr w:rsidR="003E78AB" w14:paraId="6408DE88" w14:textId="77777777">
        <w:trPr>
          <w:trHeight w:val="200"/>
        </w:trPr>
        <w:tc>
          <w:tcPr>
            <w:tcW w:w="433" w:type="pct"/>
            <w:vAlign w:val="center"/>
          </w:tcPr>
          <w:p w14:paraId="53818C97" w14:textId="77777777" w:rsidR="003E78AB" w:rsidRDefault="00010BF9">
            <w:pPr>
              <w:spacing w:line="360" w:lineRule="exact"/>
              <w:ind w:firstLineChars="0" w:firstLine="0"/>
              <w:jc w:val="center"/>
              <w:rPr>
                <w:kern w:val="2"/>
                <w:sz w:val="21"/>
                <w:szCs w:val="21"/>
              </w:rPr>
            </w:pPr>
            <w:r>
              <w:rPr>
                <w:kern w:val="2"/>
                <w:sz w:val="21"/>
                <w:szCs w:val="21"/>
              </w:rPr>
              <w:t>敏感</w:t>
            </w:r>
          </w:p>
        </w:tc>
        <w:tc>
          <w:tcPr>
            <w:tcW w:w="4566" w:type="pct"/>
            <w:vAlign w:val="center"/>
          </w:tcPr>
          <w:p w14:paraId="2BFB556C" w14:textId="77777777" w:rsidR="003E78AB" w:rsidRDefault="00010BF9">
            <w:pPr>
              <w:spacing w:line="360" w:lineRule="exact"/>
              <w:ind w:firstLineChars="0" w:firstLine="0"/>
              <w:jc w:val="left"/>
              <w:rPr>
                <w:kern w:val="2"/>
                <w:sz w:val="21"/>
                <w:szCs w:val="21"/>
              </w:rPr>
            </w:pPr>
            <w:r>
              <w:rPr>
                <w:kern w:val="2"/>
                <w:sz w:val="21"/>
                <w:szCs w:val="21"/>
              </w:rPr>
              <w:t>集中式饮用水水源地（包括已建成的在用、备用、应急水源地，在建和规划的水源地）准保护区；除集中式饮用水水源地以外的国家或地方政府设定的与地下水环境相关的其</w:t>
            </w:r>
            <w:r>
              <w:rPr>
                <w:rFonts w:hint="eastAsia"/>
                <w:kern w:val="2"/>
                <w:sz w:val="21"/>
                <w:szCs w:val="21"/>
              </w:rPr>
              <w:t>他</w:t>
            </w:r>
            <w:r>
              <w:rPr>
                <w:kern w:val="2"/>
                <w:sz w:val="21"/>
                <w:szCs w:val="21"/>
              </w:rPr>
              <w:t>保护区，如热水、矿泉水、温泉等特殊地下水资源保护区。</w:t>
            </w:r>
          </w:p>
        </w:tc>
      </w:tr>
      <w:tr w:rsidR="003E78AB" w14:paraId="16F966BF" w14:textId="77777777">
        <w:trPr>
          <w:trHeight w:val="198"/>
        </w:trPr>
        <w:tc>
          <w:tcPr>
            <w:tcW w:w="433" w:type="pct"/>
            <w:vAlign w:val="center"/>
          </w:tcPr>
          <w:p w14:paraId="434E007E" w14:textId="77777777" w:rsidR="003E78AB" w:rsidRDefault="00010BF9">
            <w:pPr>
              <w:spacing w:line="360" w:lineRule="exact"/>
              <w:ind w:firstLineChars="0" w:firstLine="0"/>
              <w:jc w:val="center"/>
              <w:rPr>
                <w:kern w:val="2"/>
                <w:sz w:val="21"/>
                <w:szCs w:val="21"/>
              </w:rPr>
            </w:pPr>
            <w:r>
              <w:rPr>
                <w:kern w:val="2"/>
                <w:sz w:val="21"/>
                <w:szCs w:val="21"/>
              </w:rPr>
              <w:t>较敏感</w:t>
            </w:r>
          </w:p>
        </w:tc>
        <w:tc>
          <w:tcPr>
            <w:tcW w:w="4566" w:type="pct"/>
            <w:vAlign w:val="center"/>
          </w:tcPr>
          <w:p w14:paraId="2275A9A2" w14:textId="77777777" w:rsidR="003E78AB" w:rsidRDefault="00010BF9">
            <w:pPr>
              <w:spacing w:line="360" w:lineRule="exact"/>
              <w:ind w:firstLineChars="0" w:firstLine="0"/>
              <w:jc w:val="left"/>
              <w:rPr>
                <w:kern w:val="2"/>
                <w:sz w:val="21"/>
                <w:szCs w:val="21"/>
              </w:rPr>
            </w:pPr>
            <w:r>
              <w:rPr>
                <w:kern w:val="2"/>
                <w:sz w:val="21"/>
                <w:szCs w:val="21"/>
              </w:rPr>
              <w:t>集中式饮用水水源地（包括已建成的在用、备用、应急水源地，在建和规划的水源地）准保护区以外的补给径流区；未划定准保护区的集中式饮用水水源，其保护区以外的补给径流区；分散式饮用水水源地，特殊地下水资源（如矿泉水、温泉等）保护区以外的分布区等未列入上述敏感分级的环境敏感区</w:t>
            </w:r>
            <w:r>
              <w:rPr>
                <w:kern w:val="2"/>
                <w:sz w:val="21"/>
                <w:szCs w:val="21"/>
                <w:vertAlign w:val="superscript"/>
              </w:rPr>
              <w:t>a</w:t>
            </w:r>
            <w:r>
              <w:rPr>
                <w:kern w:val="2"/>
                <w:sz w:val="21"/>
                <w:szCs w:val="21"/>
              </w:rPr>
              <w:t>。</w:t>
            </w:r>
          </w:p>
        </w:tc>
      </w:tr>
      <w:tr w:rsidR="003E78AB" w14:paraId="6444BC50" w14:textId="77777777">
        <w:trPr>
          <w:trHeight w:val="68"/>
        </w:trPr>
        <w:tc>
          <w:tcPr>
            <w:tcW w:w="433" w:type="pct"/>
            <w:shd w:val="clear" w:color="auto" w:fill="D7D7D7"/>
            <w:vAlign w:val="center"/>
          </w:tcPr>
          <w:p w14:paraId="78E77E62" w14:textId="77777777" w:rsidR="003E78AB" w:rsidRDefault="00010BF9">
            <w:pPr>
              <w:spacing w:line="360" w:lineRule="exact"/>
              <w:ind w:firstLineChars="0" w:firstLine="0"/>
              <w:jc w:val="center"/>
              <w:rPr>
                <w:kern w:val="2"/>
                <w:sz w:val="21"/>
                <w:szCs w:val="21"/>
              </w:rPr>
            </w:pPr>
            <w:r>
              <w:rPr>
                <w:kern w:val="2"/>
                <w:sz w:val="21"/>
                <w:szCs w:val="21"/>
              </w:rPr>
              <w:t>不敏感</w:t>
            </w:r>
          </w:p>
        </w:tc>
        <w:tc>
          <w:tcPr>
            <w:tcW w:w="4566" w:type="pct"/>
            <w:shd w:val="clear" w:color="auto" w:fill="D7D7D7"/>
            <w:vAlign w:val="center"/>
          </w:tcPr>
          <w:p w14:paraId="63E85D00" w14:textId="77777777" w:rsidR="003E78AB" w:rsidRDefault="00010BF9">
            <w:pPr>
              <w:spacing w:line="360" w:lineRule="exact"/>
              <w:ind w:firstLineChars="0" w:firstLine="0"/>
              <w:jc w:val="center"/>
              <w:rPr>
                <w:kern w:val="2"/>
                <w:sz w:val="21"/>
                <w:szCs w:val="21"/>
              </w:rPr>
            </w:pPr>
            <w:r>
              <w:rPr>
                <w:kern w:val="2"/>
                <w:sz w:val="21"/>
                <w:szCs w:val="21"/>
              </w:rPr>
              <w:t>上述地区之外的其</w:t>
            </w:r>
            <w:r>
              <w:rPr>
                <w:rFonts w:hint="eastAsia"/>
                <w:kern w:val="2"/>
                <w:sz w:val="21"/>
                <w:szCs w:val="21"/>
              </w:rPr>
              <w:t>他</w:t>
            </w:r>
            <w:r>
              <w:rPr>
                <w:kern w:val="2"/>
                <w:sz w:val="21"/>
                <w:szCs w:val="21"/>
              </w:rPr>
              <w:t>地区。</w:t>
            </w:r>
          </w:p>
        </w:tc>
      </w:tr>
      <w:tr w:rsidR="003E78AB" w14:paraId="62DEC582" w14:textId="77777777">
        <w:tblPrEx>
          <w:tblCellMar>
            <w:left w:w="108" w:type="dxa"/>
            <w:right w:w="108" w:type="dxa"/>
          </w:tblCellMar>
        </w:tblPrEx>
        <w:trPr>
          <w:trHeight w:val="56"/>
        </w:trPr>
        <w:tc>
          <w:tcPr>
            <w:tcW w:w="5000" w:type="pct"/>
            <w:gridSpan w:val="2"/>
            <w:vAlign w:val="center"/>
          </w:tcPr>
          <w:p w14:paraId="3BF937CF" w14:textId="77777777" w:rsidR="003E78AB" w:rsidRDefault="00010BF9">
            <w:pPr>
              <w:spacing w:line="360" w:lineRule="exact"/>
              <w:ind w:firstLineChars="0" w:firstLine="0"/>
              <w:jc w:val="left"/>
              <w:rPr>
                <w:kern w:val="2"/>
                <w:sz w:val="21"/>
                <w:szCs w:val="21"/>
              </w:rPr>
            </w:pPr>
            <w:r>
              <w:rPr>
                <w:kern w:val="2"/>
                <w:sz w:val="21"/>
                <w:szCs w:val="21"/>
              </w:rPr>
              <w:t>注：</w:t>
            </w:r>
            <w:r>
              <w:rPr>
                <w:kern w:val="2"/>
                <w:sz w:val="21"/>
                <w:szCs w:val="21"/>
              </w:rPr>
              <w:t>a“</w:t>
            </w:r>
            <w:r>
              <w:rPr>
                <w:kern w:val="2"/>
                <w:sz w:val="21"/>
                <w:szCs w:val="21"/>
              </w:rPr>
              <w:t>环境敏感区</w:t>
            </w:r>
            <w:r>
              <w:rPr>
                <w:kern w:val="2"/>
                <w:sz w:val="21"/>
                <w:szCs w:val="21"/>
              </w:rPr>
              <w:t>”</w:t>
            </w:r>
            <w:r>
              <w:rPr>
                <w:kern w:val="2"/>
                <w:sz w:val="21"/>
                <w:szCs w:val="21"/>
              </w:rPr>
              <w:t>系指《建设项目环境影响评价分类管理名录》中所界定的涉及地下水</w:t>
            </w:r>
            <w:r>
              <w:rPr>
                <w:kern w:val="2"/>
                <w:sz w:val="21"/>
                <w:szCs w:val="21"/>
              </w:rPr>
              <w:lastRenderedPageBreak/>
              <w:t>的环境敏感区。</w:t>
            </w:r>
          </w:p>
        </w:tc>
      </w:tr>
    </w:tbl>
    <w:p w14:paraId="174BE6BE" w14:textId="77777777" w:rsidR="003E78AB" w:rsidRDefault="00010BF9">
      <w:pPr>
        <w:ind w:firstLine="480"/>
        <w:rPr>
          <w:kern w:val="2"/>
          <w:szCs w:val="20"/>
        </w:rPr>
      </w:pPr>
      <w:r>
        <w:rPr>
          <w:kern w:val="2"/>
          <w:szCs w:val="20"/>
        </w:rPr>
        <w:lastRenderedPageBreak/>
        <w:t>根据《环境影响评价技术导则</w:t>
      </w:r>
      <w:r>
        <w:rPr>
          <w:kern w:val="2"/>
          <w:szCs w:val="20"/>
        </w:rPr>
        <w:t xml:space="preserve"> </w:t>
      </w:r>
      <w:r>
        <w:rPr>
          <w:kern w:val="2"/>
          <w:szCs w:val="20"/>
        </w:rPr>
        <w:t>地下水环境》（</w:t>
      </w:r>
      <w:r>
        <w:rPr>
          <w:kern w:val="2"/>
          <w:szCs w:val="20"/>
        </w:rPr>
        <w:t>HJ610-2016</w:t>
      </w:r>
      <w:r>
        <w:rPr>
          <w:kern w:val="2"/>
          <w:szCs w:val="20"/>
        </w:rPr>
        <w:t>），建设项目地下水环境影响评价工作等级划分详见表</w:t>
      </w:r>
      <w:r>
        <w:rPr>
          <w:kern w:val="2"/>
          <w:szCs w:val="20"/>
        </w:rPr>
        <w:t>2-10</w:t>
      </w:r>
      <w:r>
        <w:rPr>
          <w:kern w:val="2"/>
          <w:szCs w:val="20"/>
        </w:rPr>
        <w:t>。</w:t>
      </w:r>
    </w:p>
    <w:p w14:paraId="55DFCAAF" w14:textId="77777777" w:rsidR="003E78AB" w:rsidRDefault="00010BF9">
      <w:pPr>
        <w:pStyle w:val="a5"/>
      </w:pPr>
      <w:r>
        <w:t>评价工作等级分级表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931"/>
        <w:gridCol w:w="1931"/>
        <w:gridCol w:w="1932"/>
      </w:tblGrid>
      <w:tr w:rsidR="003E78AB" w14:paraId="1436601C" w14:textId="77777777">
        <w:trPr>
          <w:trHeight w:val="629"/>
        </w:trPr>
        <w:tc>
          <w:tcPr>
            <w:tcW w:w="1599" w:type="pct"/>
            <w:tcBorders>
              <w:tl2br w:val="single" w:sz="6" w:space="0" w:color="auto"/>
            </w:tcBorders>
            <w:vAlign w:val="center"/>
          </w:tcPr>
          <w:p w14:paraId="056F763E" w14:textId="77777777" w:rsidR="003E78AB" w:rsidRDefault="00010BF9">
            <w:pPr>
              <w:pStyle w:val="aff6"/>
              <w:topLinePunct/>
              <w:jc w:val="right"/>
              <w:rPr>
                <w:b/>
                <w:bCs/>
              </w:rPr>
            </w:pPr>
            <w:r>
              <w:rPr>
                <w:b/>
                <w:bCs/>
              </w:rPr>
              <w:t>项目类别</w:t>
            </w:r>
          </w:p>
          <w:p w14:paraId="2017D3C2" w14:textId="77777777" w:rsidR="003E78AB" w:rsidRDefault="00010BF9">
            <w:pPr>
              <w:pStyle w:val="aff6"/>
              <w:topLinePunct/>
              <w:jc w:val="left"/>
              <w:rPr>
                <w:b/>
                <w:bCs/>
              </w:rPr>
            </w:pPr>
            <w:r>
              <w:rPr>
                <w:b/>
                <w:bCs/>
              </w:rPr>
              <w:t>环境敏感程度</w:t>
            </w:r>
          </w:p>
        </w:tc>
        <w:tc>
          <w:tcPr>
            <w:tcW w:w="1133" w:type="pct"/>
            <w:vAlign w:val="center"/>
          </w:tcPr>
          <w:p w14:paraId="4D238BE6" w14:textId="77777777" w:rsidR="003E78AB" w:rsidRDefault="00010BF9">
            <w:pPr>
              <w:pStyle w:val="aff6"/>
              <w:topLinePunct/>
              <w:rPr>
                <w:b/>
                <w:bCs/>
              </w:rPr>
            </w:pPr>
            <w:r>
              <w:rPr>
                <w:b/>
                <w:bCs/>
              </w:rPr>
              <w:t>Ⅰ</w:t>
            </w:r>
            <w:r>
              <w:rPr>
                <w:b/>
                <w:bCs/>
              </w:rPr>
              <w:t>类项目</w:t>
            </w:r>
          </w:p>
        </w:tc>
        <w:tc>
          <w:tcPr>
            <w:tcW w:w="1133" w:type="pct"/>
            <w:vAlign w:val="center"/>
          </w:tcPr>
          <w:p w14:paraId="67BAC8E6" w14:textId="77777777" w:rsidR="003E78AB" w:rsidRDefault="00010BF9">
            <w:pPr>
              <w:pStyle w:val="aff6"/>
              <w:topLinePunct/>
              <w:rPr>
                <w:b/>
                <w:bCs/>
              </w:rPr>
            </w:pPr>
            <w:r>
              <w:rPr>
                <w:b/>
                <w:bCs/>
              </w:rPr>
              <w:t>Ⅱ</w:t>
            </w:r>
            <w:r>
              <w:rPr>
                <w:b/>
                <w:bCs/>
              </w:rPr>
              <w:t>类项目</w:t>
            </w:r>
          </w:p>
        </w:tc>
        <w:tc>
          <w:tcPr>
            <w:tcW w:w="1134" w:type="pct"/>
            <w:vAlign w:val="center"/>
          </w:tcPr>
          <w:p w14:paraId="03BA114D" w14:textId="77777777" w:rsidR="003E78AB" w:rsidRDefault="00010BF9">
            <w:pPr>
              <w:pStyle w:val="aff6"/>
              <w:topLinePunct/>
              <w:rPr>
                <w:b/>
                <w:bCs/>
              </w:rPr>
            </w:pPr>
            <w:r>
              <w:rPr>
                <w:b/>
                <w:bCs/>
              </w:rPr>
              <w:t>Ⅲ</w:t>
            </w:r>
            <w:r>
              <w:rPr>
                <w:b/>
                <w:bCs/>
              </w:rPr>
              <w:t>类项目</w:t>
            </w:r>
          </w:p>
        </w:tc>
      </w:tr>
      <w:tr w:rsidR="003E78AB" w14:paraId="0FF2E462" w14:textId="77777777">
        <w:tc>
          <w:tcPr>
            <w:tcW w:w="1599" w:type="pct"/>
            <w:vAlign w:val="center"/>
          </w:tcPr>
          <w:p w14:paraId="0511E14D" w14:textId="77777777" w:rsidR="003E78AB" w:rsidRDefault="00010BF9">
            <w:pPr>
              <w:pStyle w:val="aff6"/>
              <w:topLinePunct/>
            </w:pPr>
            <w:r>
              <w:t>敏感</w:t>
            </w:r>
          </w:p>
        </w:tc>
        <w:tc>
          <w:tcPr>
            <w:tcW w:w="1133" w:type="pct"/>
            <w:vAlign w:val="center"/>
          </w:tcPr>
          <w:p w14:paraId="19FCF342" w14:textId="77777777" w:rsidR="003E78AB" w:rsidRDefault="00010BF9">
            <w:pPr>
              <w:pStyle w:val="aff6"/>
              <w:topLinePunct/>
            </w:pPr>
            <w:r>
              <w:t>一</w:t>
            </w:r>
          </w:p>
        </w:tc>
        <w:tc>
          <w:tcPr>
            <w:tcW w:w="1133" w:type="pct"/>
            <w:vAlign w:val="center"/>
          </w:tcPr>
          <w:p w14:paraId="180CEBDE" w14:textId="77777777" w:rsidR="003E78AB" w:rsidRDefault="00010BF9">
            <w:pPr>
              <w:pStyle w:val="aff6"/>
              <w:topLinePunct/>
            </w:pPr>
            <w:r>
              <w:t>一</w:t>
            </w:r>
          </w:p>
        </w:tc>
        <w:tc>
          <w:tcPr>
            <w:tcW w:w="1134" w:type="pct"/>
            <w:vAlign w:val="center"/>
          </w:tcPr>
          <w:p w14:paraId="42C162AA" w14:textId="77777777" w:rsidR="003E78AB" w:rsidRDefault="00010BF9">
            <w:pPr>
              <w:pStyle w:val="aff6"/>
              <w:topLinePunct/>
            </w:pPr>
            <w:r>
              <w:t>二</w:t>
            </w:r>
          </w:p>
        </w:tc>
      </w:tr>
      <w:tr w:rsidR="003E78AB" w14:paraId="7229D5CE" w14:textId="77777777">
        <w:tc>
          <w:tcPr>
            <w:tcW w:w="1599" w:type="pct"/>
            <w:vAlign w:val="center"/>
          </w:tcPr>
          <w:p w14:paraId="74304828" w14:textId="77777777" w:rsidR="003E78AB" w:rsidRDefault="00010BF9">
            <w:pPr>
              <w:pStyle w:val="aff6"/>
              <w:topLinePunct/>
            </w:pPr>
            <w:r>
              <w:t>较敏感</w:t>
            </w:r>
          </w:p>
        </w:tc>
        <w:tc>
          <w:tcPr>
            <w:tcW w:w="1133" w:type="pct"/>
            <w:vAlign w:val="center"/>
          </w:tcPr>
          <w:p w14:paraId="7B4D2E73" w14:textId="77777777" w:rsidR="003E78AB" w:rsidRDefault="00010BF9">
            <w:pPr>
              <w:pStyle w:val="aff6"/>
              <w:topLinePunct/>
            </w:pPr>
            <w:r>
              <w:t>一</w:t>
            </w:r>
          </w:p>
        </w:tc>
        <w:tc>
          <w:tcPr>
            <w:tcW w:w="1133" w:type="pct"/>
            <w:vAlign w:val="center"/>
          </w:tcPr>
          <w:p w14:paraId="5AFBDECC" w14:textId="77777777" w:rsidR="003E78AB" w:rsidRDefault="00010BF9">
            <w:pPr>
              <w:pStyle w:val="aff6"/>
              <w:topLinePunct/>
            </w:pPr>
            <w:r>
              <w:t>二</w:t>
            </w:r>
          </w:p>
        </w:tc>
        <w:tc>
          <w:tcPr>
            <w:tcW w:w="1134" w:type="pct"/>
            <w:vAlign w:val="center"/>
          </w:tcPr>
          <w:p w14:paraId="0B9F1D0B" w14:textId="77777777" w:rsidR="003E78AB" w:rsidRDefault="00010BF9">
            <w:pPr>
              <w:pStyle w:val="aff6"/>
              <w:topLinePunct/>
            </w:pPr>
            <w:r>
              <w:t>三</w:t>
            </w:r>
          </w:p>
        </w:tc>
      </w:tr>
      <w:tr w:rsidR="003E78AB" w14:paraId="2F7BA01D" w14:textId="77777777">
        <w:tc>
          <w:tcPr>
            <w:tcW w:w="1599" w:type="pct"/>
            <w:shd w:val="clear" w:color="auto" w:fill="auto"/>
            <w:vAlign w:val="center"/>
          </w:tcPr>
          <w:p w14:paraId="49FC437C" w14:textId="77777777" w:rsidR="003E78AB" w:rsidRDefault="00010BF9">
            <w:pPr>
              <w:pStyle w:val="aff6"/>
              <w:topLinePunct/>
            </w:pPr>
            <w:r>
              <w:t>不敏感</w:t>
            </w:r>
          </w:p>
        </w:tc>
        <w:tc>
          <w:tcPr>
            <w:tcW w:w="1133" w:type="pct"/>
            <w:shd w:val="clear" w:color="auto" w:fill="D7D7D7"/>
            <w:vAlign w:val="center"/>
          </w:tcPr>
          <w:p w14:paraId="6DB5CB6E" w14:textId="77777777" w:rsidR="003E78AB" w:rsidRDefault="00010BF9">
            <w:pPr>
              <w:pStyle w:val="aff6"/>
              <w:topLinePunct/>
            </w:pPr>
            <w:r>
              <w:t>二</w:t>
            </w:r>
          </w:p>
        </w:tc>
        <w:tc>
          <w:tcPr>
            <w:tcW w:w="1133" w:type="pct"/>
            <w:vAlign w:val="center"/>
          </w:tcPr>
          <w:p w14:paraId="724A1D90" w14:textId="77777777" w:rsidR="003E78AB" w:rsidRDefault="00010BF9">
            <w:pPr>
              <w:pStyle w:val="aff6"/>
              <w:topLinePunct/>
            </w:pPr>
            <w:r>
              <w:t>三</w:t>
            </w:r>
          </w:p>
        </w:tc>
        <w:tc>
          <w:tcPr>
            <w:tcW w:w="1134" w:type="pct"/>
            <w:vAlign w:val="center"/>
          </w:tcPr>
          <w:p w14:paraId="205D1F04" w14:textId="77777777" w:rsidR="003E78AB" w:rsidRDefault="00010BF9">
            <w:pPr>
              <w:pStyle w:val="aff6"/>
              <w:topLinePunct/>
            </w:pPr>
            <w:r>
              <w:t>三</w:t>
            </w:r>
          </w:p>
        </w:tc>
      </w:tr>
    </w:tbl>
    <w:p w14:paraId="34BA5333" w14:textId="77777777" w:rsidR="003E78AB" w:rsidRDefault="00010BF9">
      <w:pPr>
        <w:ind w:firstLine="480"/>
        <w:rPr>
          <w:kern w:val="2"/>
          <w:szCs w:val="20"/>
        </w:rPr>
      </w:pPr>
      <w:r>
        <w:rPr>
          <w:kern w:val="2"/>
          <w:szCs w:val="20"/>
        </w:rPr>
        <w:t>结合工程污染特征及周边地下水文地质特点，项目所在区域地下水环境敏感程度属于不敏感，为更好</w:t>
      </w:r>
      <w:r>
        <w:rPr>
          <w:rFonts w:hint="eastAsia"/>
          <w:kern w:val="2"/>
          <w:szCs w:val="20"/>
        </w:rPr>
        <w:t>地</w:t>
      </w:r>
      <w:r>
        <w:rPr>
          <w:kern w:val="2"/>
          <w:szCs w:val="20"/>
        </w:rPr>
        <w:t>评价分析建设项目对地下水环境的影响，本项目地下水环境影响评价的工作内容按照二级评价要求开展。</w:t>
      </w:r>
    </w:p>
    <w:p w14:paraId="6B169D1F" w14:textId="77777777" w:rsidR="003E78AB" w:rsidRDefault="00010BF9">
      <w:pPr>
        <w:pStyle w:val="31"/>
        <w:keepNext w:val="0"/>
        <w:keepLines w:val="0"/>
        <w:topLinePunct/>
        <w:spacing w:before="156"/>
        <w:rPr>
          <w:rFonts w:cs="Times New Roman"/>
        </w:rPr>
      </w:pPr>
      <w:bookmarkStart w:id="123" w:name="_Toc467999943"/>
      <w:bookmarkStart w:id="124" w:name="_Toc518697121"/>
      <w:r>
        <w:rPr>
          <w:rFonts w:cs="Times New Roman"/>
        </w:rPr>
        <w:t>2.4.3</w:t>
      </w:r>
      <w:bookmarkEnd w:id="123"/>
      <w:bookmarkEnd w:id="124"/>
      <w:r>
        <w:rPr>
          <w:rFonts w:cs="Times New Roman"/>
        </w:rPr>
        <w:t>声环境评价等级划分</w:t>
      </w:r>
    </w:p>
    <w:p w14:paraId="5D96A70B" w14:textId="77777777" w:rsidR="003E78AB" w:rsidRDefault="00010BF9">
      <w:pPr>
        <w:ind w:firstLine="480"/>
        <w:rPr>
          <w:kern w:val="2"/>
          <w:szCs w:val="20"/>
        </w:rPr>
      </w:pPr>
      <w:r>
        <w:rPr>
          <w:kern w:val="2"/>
          <w:szCs w:val="20"/>
        </w:rPr>
        <w:t>依据《环境影响评价技术导则</w:t>
      </w:r>
      <w:r>
        <w:rPr>
          <w:kern w:val="2"/>
          <w:szCs w:val="20"/>
        </w:rPr>
        <w:t xml:space="preserve"> </w:t>
      </w:r>
      <w:r>
        <w:rPr>
          <w:kern w:val="2"/>
          <w:szCs w:val="20"/>
        </w:rPr>
        <w:t>声环境》（</w:t>
      </w:r>
      <w:r>
        <w:rPr>
          <w:kern w:val="2"/>
          <w:szCs w:val="20"/>
        </w:rPr>
        <w:t>HJ2.4-2021</w:t>
      </w:r>
      <w:r>
        <w:rPr>
          <w:kern w:val="2"/>
          <w:szCs w:val="20"/>
        </w:rPr>
        <w:t>）中判据可知：建设项目所处的声环境功能区为</w:t>
      </w:r>
      <w:r>
        <w:rPr>
          <w:kern w:val="2"/>
          <w:szCs w:val="20"/>
        </w:rPr>
        <w:t>GB3096</w:t>
      </w:r>
      <w:r>
        <w:rPr>
          <w:kern w:val="2"/>
          <w:szCs w:val="20"/>
        </w:rPr>
        <w:t>规定的</w:t>
      </w:r>
      <w:r>
        <w:rPr>
          <w:kern w:val="2"/>
          <w:szCs w:val="20"/>
        </w:rPr>
        <w:t>3</w:t>
      </w:r>
      <w:r>
        <w:rPr>
          <w:kern w:val="2"/>
          <w:szCs w:val="20"/>
        </w:rPr>
        <w:t>类、</w:t>
      </w:r>
      <w:r>
        <w:rPr>
          <w:kern w:val="2"/>
          <w:szCs w:val="20"/>
        </w:rPr>
        <w:t>4</w:t>
      </w:r>
      <w:r>
        <w:rPr>
          <w:kern w:val="2"/>
          <w:szCs w:val="20"/>
        </w:rPr>
        <w:t>类地区，或建设项目建设前后评价范围内敏感目标噪声级增高量达</w:t>
      </w:r>
      <w:r>
        <w:rPr>
          <w:kern w:val="2"/>
          <w:szCs w:val="20"/>
        </w:rPr>
        <w:t>3dB</w:t>
      </w:r>
      <w:r>
        <w:rPr>
          <w:rFonts w:hint="eastAsia"/>
          <w:kern w:val="2"/>
          <w:szCs w:val="20"/>
        </w:rPr>
        <w:t>(A)</w:t>
      </w:r>
      <w:r>
        <w:rPr>
          <w:kern w:val="2"/>
          <w:szCs w:val="20"/>
        </w:rPr>
        <w:t>以下（不含</w:t>
      </w:r>
      <w:r>
        <w:rPr>
          <w:kern w:val="2"/>
          <w:szCs w:val="20"/>
        </w:rPr>
        <w:t>3dB</w:t>
      </w:r>
      <w:r>
        <w:rPr>
          <w:rFonts w:hint="eastAsia"/>
          <w:kern w:val="2"/>
          <w:szCs w:val="20"/>
        </w:rPr>
        <w:t>(A)</w:t>
      </w:r>
      <w:r>
        <w:rPr>
          <w:kern w:val="2"/>
          <w:szCs w:val="20"/>
        </w:rPr>
        <w:t>），或受噪声影响人口数量变化不大时，按三级评价。本项目处于声环境功能</w:t>
      </w:r>
      <w:r>
        <w:rPr>
          <w:kern w:val="2"/>
          <w:szCs w:val="20"/>
        </w:rPr>
        <w:t>3</w:t>
      </w:r>
      <w:r>
        <w:rPr>
          <w:kern w:val="2"/>
          <w:szCs w:val="20"/>
        </w:rPr>
        <w:t>类区，因此声环境影响评价工作等级为三级，具体等级判定见表</w:t>
      </w:r>
      <w:r>
        <w:rPr>
          <w:kern w:val="2"/>
          <w:szCs w:val="20"/>
        </w:rPr>
        <w:t>2-11</w:t>
      </w:r>
      <w:r>
        <w:rPr>
          <w:kern w:val="2"/>
          <w:szCs w:val="20"/>
        </w:rPr>
        <w:t>。</w:t>
      </w:r>
    </w:p>
    <w:p w14:paraId="779349B4" w14:textId="77777777" w:rsidR="003E78AB" w:rsidRDefault="00010BF9">
      <w:pPr>
        <w:pStyle w:val="a5"/>
      </w:pPr>
      <w:r>
        <w:t>环境噪声影响评价工作等级判定依据</w:t>
      </w:r>
      <w:r>
        <w:t>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5"/>
        <w:gridCol w:w="1567"/>
        <w:gridCol w:w="3272"/>
        <w:gridCol w:w="1725"/>
      </w:tblGrid>
      <w:tr w:rsidR="003E78AB" w14:paraId="22B5D2B9" w14:textId="77777777">
        <w:trPr>
          <w:trHeight w:val="284"/>
          <w:tblHeader/>
        </w:trPr>
        <w:tc>
          <w:tcPr>
            <w:tcW w:w="1073" w:type="pct"/>
            <w:vAlign w:val="center"/>
          </w:tcPr>
          <w:p w14:paraId="687F7021" w14:textId="77777777" w:rsidR="003E78AB" w:rsidRDefault="00010BF9">
            <w:pPr>
              <w:pStyle w:val="aff6"/>
              <w:topLinePunct/>
              <w:rPr>
                <w:b/>
                <w:bCs/>
              </w:rPr>
            </w:pPr>
            <w:r>
              <w:rPr>
                <w:b/>
                <w:bCs/>
              </w:rPr>
              <w:t>判别依据</w:t>
            </w:r>
          </w:p>
        </w:tc>
        <w:tc>
          <w:tcPr>
            <w:tcW w:w="937" w:type="pct"/>
            <w:vAlign w:val="center"/>
          </w:tcPr>
          <w:p w14:paraId="7BFD97FF" w14:textId="77777777" w:rsidR="003E78AB" w:rsidRDefault="00010BF9">
            <w:pPr>
              <w:pStyle w:val="aff6"/>
              <w:topLinePunct/>
              <w:rPr>
                <w:b/>
                <w:bCs/>
              </w:rPr>
            </w:pPr>
            <w:r>
              <w:rPr>
                <w:b/>
                <w:bCs/>
              </w:rPr>
              <w:t>声环境功能区类别</w:t>
            </w:r>
          </w:p>
        </w:tc>
        <w:tc>
          <w:tcPr>
            <w:tcW w:w="1957" w:type="pct"/>
            <w:vAlign w:val="center"/>
          </w:tcPr>
          <w:p w14:paraId="4ABD1510" w14:textId="77777777" w:rsidR="003E78AB" w:rsidRDefault="00010BF9">
            <w:pPr>
              <w:pStyle w:val="aff6"/>
              <w:topLinePunct/>
              <w:rPr>
                <w:b/>
                <w:bCs/>
              </w:rPr>
            </w:pPr>
            <w:r>
              <w:rPr>
                <w:b/>
                <w:bCs/>
              </w:rPr>
              <w:t>项目建设前后评价范围内敏感目标噪声级增高量</w:t>
            </w:r>
          </w:p>
        </w:tc>
        <w:tc>
          <w:tcPr>
            <w:tcW w:w="1032" w:type="pct"/>
            <w:vAlign w:val="center"/>
          </w:tcPr>
          <w:p w14:paraId="52DDD15E" w14:textId="77777777" w:rsidR="003E78AB" w:rsidRDefault="00010BF9">
            <w:pPr>
              <w:pStyle w:val="aff6"/>
              <w:topLinePunct/>
              <w:rPr>
                <w:b/>
                <w:bCs/>
              </w:rPr>
            </w:pPr>
            <w:r>
              <w:rPr>
                <w:b/>
                <w:bCs/>
              </w:rPr>
              <w:t>受噪声影响范围内的人口数量</w:t>
            </w:r>
          </w:p>
        </w:tc>
      </w:tr>
      <w:tr w:rsidR="003E78AB" w14:paraId="403F890C" w14:textId="77777777">
        <w:trPr>
          <w:trHeight w:val="284"/>
        </w:trPr>
        <w:tc>
          <w:tcPr>
            <w:tcW w:w="1073" w:type="pct"/>
            <w:vAlign w:val="center"/>
          </w:tcPr>
          <w:p w14:paraId="3461D94D" w14:textId="77777777" w:rsidR="003E78AB" w:rsidRDefault="00010BF9">
            <w:pPr>
              <w:pStyle w:val="aff6"/>
              <w:topLinePunct/>
            </w:pPr>
            <w:r>
              <w:t>三级评价标准判据</w:t>
            </w:r>
          </w:p>
        </w:tc>
        <w:tc>
          <w:tcPr>
            <w:tcW w:w="937" w:type="pct"/>
            <w:vAlign w:val="center"/>
          </w:tcPr>
          <w:p w14:paraId="28DA2D80" w14:textId="77777777" w:rsidR="003E78AB" w:rsidRDefault="00010BF9">
            <w:pPr>
              <w:pStyle w:val="aff6"/>
              <w:topLinePunct/>
            </w:pPr>
            <w:r>
              <w:t>3</w:t>
            </w:r>
            <w:r>
              <w:t>、</w:t>
            </w:r>
            <w:r>
              <w:t>4</w:t>
            </w:r>
            <w:r>
              <w:t>类地区或</w:t>
            </w:r>
          </w:p>
        </w:tc>
        <w:tc>
          <w:tcPr>
            <w:tcW w:w="1957" w:type="pct"/>
            <w:vAlign w:val="center"/>
          </w:tcPr>
          <w:p w14:paraId="551048C3" w14:textId="77777777" w:rsidR="003E78AB" w:rsidRDefault="00010BF9">
            <w:pPr>
              <w:pStyle w:val="aff6"/>
              <w:topLinePunct/>
            </w:pPr>
            <w:r>
              <w:t>3dB</w:t>
            </w:r>
            <w:r>
              <w:rPr>
                <w:rFonts w:hint="eastAsia"/>
              </w:rPr>
              <w:t>(A)</w:t>
            </w:r>
            <w:r>
              <w:t>以下（不含</w:t>
            </w:r>
            <w:r>
              <w:t>3dB</w:t>
            </w:r>
            <w:r>
              <w:rPr>
                <w:rFonts w:hint="eastAsia"/>
              </w:rPr>
              <w:t>(A)</w:t>
            </w:r>
            <w:r>
              <w:t>）且</w:t>
            </w:r>
          </w:p>
        </w:tc>
        <w:tc>
          <w:tcPr>
            <w:tcW w:w="1032" w:type="pct"/>
            <w:vAlign w:val="center"/>
          </w:tcPr>
          <w:p w14:paraId="6CC442B2" w14:textId="77777777" w:rsidR="003E78AB" w:rsidRDefault="00010BF9">
            <w:pPr>
              <w:pStyle w:val="aff6"/>
              <w:topLinePunct/>
            </w:pPr>
            <w:r>
              <w:t>变化不大</w:t>
            </w:r>
          </w:p>
        </w:tc>
      </w:tr>
      <w:tr w:rsidR="003E78AB" w14:paraId="575D4B22" w14:textId="77777777">
        <w:trPr>
          <w:trHeight w:val="284"/>
        </w:trPr>
        <w:tc>
          <w:tcPr>
            <w:tcW w:w="1073" w:type="pct"/>
            <w:vAlign w:val="center"/>
          </w:tcPr>
          <w:p w14:paraId="607957DE" w14:textId="77777777" w:rsidR="003E78AB" w:rsidRDefault="00010BF9">
            <w:pPr>
              <w:pStyle w:val="aff6"/>
              <w:topLinePunct/>
            </w:pPr>
            <w:r>
              <w:t>本项目</w:t>
            </w:r>
          </w:p>
        </w:tc>
        <w:tc>
          <w:tcPr>
            <w:tcW w:w="937" w:type="pct"/>
            <w:vAlign w:val="center"/>
          </w:tcPr>
          <w:p w14:paraId="2A2CB691" w14:textId="77777777" w:rsidR="003E78AB" w:rsidRDefault="00010BF9">
            <w:pPr>
              <w:pStyle w:val="aff6"/>
              <w:topLinePunct/>
            </w:pPr>
            <w:r>
              <w:t>3</w:t>
            </w:r>
            <w:r>
              <w:t>类区</w:t>
            </w:r>
          </w:p>
        </w:tc>
        <w:tc>
          <w:tcPr>
            <w:tcW w:w="1957" w:type="pct"/>
            <w:vAlign w:val="center"/>
          </w:tcPr>
          <w:p w14:paraId="1064A721" w14:textId="77777777" w:rsidR="003E78AB" w:rsidRDefault="00010BF9">
            <w:pPr>
              <w:pStyle w:val="aff6"/>
              <w:topLinePunct/>
            </w:pPr>
            <w:r>
              <w:t>小于</w:t>
            </w:r>
            <w:r>
              <w:t>3dB</w:t>
            </w:r>
            <w:r>
              <w:rPr>
                <w:rFonts w:hint="eastAsia"/>
              </w:rPr>
              <w:t>(A)</w:t>
            </w:r>
          </w:p>
        </w:tc>
        <w:tc>
          <w:tcPr>
            <w:tcW w:w="1032" w:type="pct"/>
            <w:vAlign w:val="center"/>
          </w:tcPr>
          <w:p w14:paraId="006C5749" w14:textId="77777777" w:rsidR="003E78AB" w:rsidRDefault="00010BF9">
            <w:pPr>
              <w:pStyle w:val="aff6"/>
              <w:topLinePunct/>
            </w:pPr>
            <w:r>
              <w:t>变化不大</w:t>
            </w:r>
          </w:p>
        </w:tc>
      </w:tr>
      <w:tr w:rsidR="003E78AB" w14:paraId="5C663BA4" w14:textId="77777777">
        <w:trPr>
          <w:trHeight w:val="284"/>
        </w:trPr>
        <w:tc>
          <w:tcPr>
            <w:tcW w:w="1073" w:type="pct"/>
            <w:vAlign w:val="center"/>
          </w:tcPr>
          <w:p w14:paraId="3118395C" w14:textId="77777777" w:rsidR="003E78AB" w:rsidRDefault="00010BF9">
            <w:pPr>
              <w:pStyle w:val="aff6"/>
              <w:topLinePunct/>
              <w:rPr>
                <w:b/>
              </w:rPr>
            </w:pPr>
            <w:r>
              <w:t>评价等级</w:t>
            </w:r>
          </w:p>
        </w:tc>
        <w:tc>
          <w:tcPr>
            <w:tcW w:w="3926" w:type="pct"/>
            <w:gridSpan w:val="3"/>
            <w:vAlign w:val="center"/>
          </w:tcPr>
          <w:p w14:paraId="095D53D8" w14:textId="77777777" w:rsidR="003E78AB" w:rsidRDefault="00010BF9">
            <w:pPr>
              <w:pStyle w:val="aff6"/>
              <w:topLinePunct/>
            </w:pPr>
            <w:r>
              <w:t>三级评价</w:t>
            </w:r>
          </w:p>
        </w:tc>
      </w:tr>
    </w:tbl>
    <w:p w14:paraId="590AE8EE" w14:textId="77777777" w:rsidR="003E78AB" w:rsidRDefault="00010BF9">
      <w:pPr>
        <w:pStyle w:val="31"/>
        <w:keepNext w:val="0"/>
        <w:keepLines w:val="0"/>
        <w:topLinePunct/>
        <w:spacing w:before="156"/>
        <w:rPr>
          <w:rFonts w:cs="Times New Roman"/>
        </w:rPr>
      </w:pPr>
      <w:r>
        <w:rPr>
          <w:rFonts w:cs="Times New Roman"/>
        </w:rPr>
        <w:t>2.4.4</w:t>
      </w:r>
      <w:r>
        <w:rPr>
          <w:rFonts w:cs="Times New Roman"/>
        </w:rPr>
        <w:t>土壤环境评价等级划分</w:t>
      </w:r>
    </w:p>
    <w:p w14:paraId="1296D0F3" w14:textId="77777777" w:rsidR="003E78AB" w:rsidRDefault="00010BF9">
      <w:pPr>
        <w:ind w:firstLine="480"/>
        <w:rPr>
          <w:kern w:val="2"/>
          <w:szCs w:val="20"/>
        </w:rPr>
      </w:pPr>
      <w:r>
        <w:rPr>
          <w:kern w:val="2"/>
          <w:szCs w:val="20"/>
        </w:rPr>
        <w:t>项目为污染影响型建设项目，根据行业特征、工业特点或规模大小等将建设项目类别分为</w:t>
      </w:r>
      <w:r>
        <w:rPr>
          <w:rFonts w:hint="eastAsia"/>
          <w:kern w:val="2"/>
          <w:szCs w:val="20"/>
        </w:rPr>
        <w:t>Ⅰ</w:t>
      </w:r>
      <w:r>
        <w:rPr>
          <w:kern w:val="2"/>
          <w:szCs w:val="20"/>
        </w:rPr>
        <w:t>类、</w:t>
      </w:r>
      <w:r>
        <w:rPr>
          <w:rFonts w:ascii="宋体" w:hAnsi="宋体" w:hint="eastAsia"/>
          <w:kern w:val="2"/>
          <w:szCs w:val="20"/>
        </w:rPr>
        <w:t>Ⅱ</w:t>
      </w:r>
      <w:r>
        <w:rPr>
          <w:kern w:val="2"/>
          <w:szCs w:val="20"/>
        </w:rPr>
        <w:t>类、</w:t>
      </w:r>
      <w:r>
        <w:rPr>
          <w:rFonts w:ascii="宋体" w:hAnsi="宋体" w:hint="eastAsia"/>
          <w:kern w:val="2"/>
          <w:szCs w:val="20"/>
        </w:rPr>
        <w:t>Ⅲ</w:t>
      </w:r>
      <w:r>
        <w:rPr>
          <w:kern w:val="2"/>
          <w:szCs w:val="20"/>
        </w:rPr>
        <w:t>类、</w:t>
      </w:r>
      <w:r>
        <w:rPr>
          <w:rFonts w:hint="eastAsia"/>
          <w:kern w:val="2"/>
          <w:szCs w:val="20"/>
        </w:rPr>
        <w:t>Ⅳ</w:t>
      </w:r>
      <w:r>
        <w:rPr>
          <w:kern w:val="2"/>
          <w:szCs w:val="20"/>
        </w:rPr>
        <w:t>类，分类详见《环境影响评价技术导则</w:t>
      </w:r>
      <w:r>
        <w:rPr>
          <w:kern w:val="2"/>
          <w:szCs w:val="20"/>
        </w:rPr>
        <w:t xml:space="preserve"> </w:t>
      </w:r>
      <w:r>
        <w:rPr>
          <w:kern w:val="2"/>
          <w:szCs w:val="20"/>
        </w:rPr>
        <w:t>土壤环境》（</w:t>
      </w:r>
      <w:r>
        <w:rPr>
          <w:kern w:val="2"/>
          <w:szCs w:val="20"/>
        </w:rPr>
        <w:t>HJ964-2018</w:t>
      </w:r>
      <w:r>
        <w:rPr>
          <w:kern w:val="2"/>
          <w:szCs w:val="20"/>
        </w:rPr>
        <w:t>）附录</w:t>
      </w:r>
      <w:r>
        <w:rPr>
          <w:kern w:val="2"/>
          <w:szCs w:val="20"/>
        </w:rPr>
        <w:t>A</w:t>
      </w:r>
      <w:r>
        <w:rPr>
          <w:kern w:val="2"/>
          <w:szCs w:val="20"/>
        </w:rPr>
        <w:t>（以下简称附录</w:t>
      </w:r>
      <w:r>
        <w:rPr>
          <w:kern w:val="2"/>
          <w:szCs w:val="20"/>
        </w:rPr>
        <w:t>A</w:t>
      </w:r>
      <w:r>
        <w:rPr>
          <w:kern w:val="2"/>
          <w:szCs w:val="20"/>
        </w:rPr>
        <w:t>）。其中</w:t>
      </w:r>
      <w:r>
        <w:rPr>
          <w:rFonts w:hint="eastAsia"/>
          <w:kern w:val="2"/>
          <w:szCs w:val="20"/>
        </w:rPr>
        <w:t>Ⅰ</w:t>
      </w:r>
      <w:r>
        <w:rPr>
          <w:kern w:val="2"/>
          <w:szCs w:val="20"/>
        </w:rPr>
        <w:t>类、</w:t>
      </w:r>
      <w:r>
        <w:rPr>
          <w:rFonts w:ascii="宋体" w:hAnsi="宋体" w:hint="eastAsia"/>
          <w:kern w:val="2"/>
          <w:szCs w:val="20"/>
        </w:rPr>
        <w:t>Ⅱ</w:t>
      </w:r>
      <w:r>
        <w:rPr>
          <w:kern w:val="2"/>
          <w:szCs w:val="20"/>
        </w:rPr>
        <w:t>类、</w:t>
      </w:r>
      <w:r>
        <w:rPr>
          <w:rFonts w:ascii="宋体" w:hAnsi="宋体" w:hint="eastAsia"/>
          <w:kern w:val="2"/>
          <w:szCs w:val="20"/>
        </w:rPr>
        <w:t>Ⅲ</w:t>
      </w:r>
      <w:r>
        <w:rPr>
          <w:kern w:val="2"/>
          <w:szCs w:val="20"/>
        </w:rPr>
        <w:t>类建设项目的土壤环境影响评价应执行导则要求，</w:t>
      </w:r>
      <w:r>
        <w:rPr>
          <w:rFonts w:hint="eastAsia"/>
          <w:kern w:val="2"/>
          <w:szCs w:val="20"/>
        </w:rPr>
        <w:t>Ⅳ</w:t>
      </w:r>
      <w:r>
        <w:rPr>
          <w:kern w:val="2"/>
          <w:szCs w:val="20"/>
        </w:rPr>
        <w:t>类建设项目可不开展土壤环境影响评价；自身为敏感目标的建设项目，可根据需要仅对土壤环境现状进行调查。</w:t>
      </w:r>
    </w:p>
    <w:p w14:paraId="3EDAAFA0" w14:textId="77777777" w:rsidR="003E78AB" w:rsidRDefault="00010BF9">
      <w:pPr>
        <w:ind w:firstLine="480"/>
        <w:rPr>
          <w:kern w:val="2"/>
          <w:szCs w:val="20"/>
        </w:rPr>
      </w:pPr>
      <w:r>
        <w:rPr>
          <w:kern w:val="2"/>
          <w:szCs w:val="20"/>
        </w:rPr>
        <w:t>依据附录</w:t>
      </w:r>
      <w:r>
        <w:rPr>
          <w:kern w:val="2"/>
          <w:szCs w:val="20"/>
        </w:rPr>
        <w:t>A</w:t>
      </w:r>
      <w:r>
        <w:rPr>
          <w:kern w:val="2"/>
          <w:szCs w:val="20"/>
        </w:rPr>
        <w:t>中注</w:t>
      </w:r>
      <w:r>
        <w:rPr>
          <w:kern w:val="2"/>
          <w:szCs w:val="20"/>
        </w:rPr>
        <w:t>2</w:t>
      </w:r>
      <w:r>
        <w:rPr>
          <w:kern w:val="2"/>
          <w:szCs w:val="20"/>
        </w:rPr>
        <w:t>，考虑到本项目原料为硫酸、含钒电解液等，参考</w:t>
      </w:r>
      <w:r>
        <w:rPr>
          <w:kern w:val="2"/>
          <w:szCs w:val="20"/>
        </w:rPr>
        <w:t>“</w:t>
      </w:r>
      <w:r>
        <w:rPr>
          <w:kern w:val="2"/>
          <w:szCs w:val="20"/>
        </w:rPr>
        <w:t>化学原料和化学制品制造</w:t>
      </w:r>
      <w:r>
        <w:rPr>
          <w:kern w:val="2"/>
          <w:szCs w:val="20"/>
        </w:rPr>
        <w:t>”</w:t>
      </w:r>
      <w:r>
        <w:rPr>
          <w:kern w:val="2"/>
          <w:szCs w:val="20"/>
        </w:rPr>
        <w:t>，从严评价，项目类别按照</w:t>
      </w:r>
      <w:r>
        <w:rPr>
          <w:kern w:val="2"/>
          <w:szCs w:val="20"/>
        </w:rPr>
        <w:t>I</w:t>
      </w:r>
      <w:r>
        <w:rPr>
          <w:kern w:val="2"/>
          <w:szCs w:val="20"/>
        </w:rPr>
        <w:t>类进行识别。</w:t>
      </w:r>
    </w:p>
    <w:p w14:paraId="6690738D" w14:textId="77777777" w:rsidR="003E78AB" w:rsidRDefault="00010BF9">
      <w:pPr>
        <w:ind w:firstLine="480"/>
        <w:rPr>
          <w:kern w:val="2"/>
        </w:rPr>
      </w:pPr>
      <w:r>
        <w:rPr>
          <w:kern w:val="2"/>
        </w:rPr>
        <w:t>根据现场踏勘调查，本项目厂址周边</w:t>
      </w:r>
      <w:r>
        <w:rPr>
          <w:kern w:val="2"/>
        </w:rPr>
        <w:t>500m</w:t>
      </w:r>
      <w:r>
        <w:rPr>
          <w:kern w:val="2"/>
        </w:rPr>
        <w:t>范围内不存在耕地、园地、牧草地、饮用水水源地、居民区、学校、医院、疗养院、养老院及其他等土壤环境敏感目标。根据污染影响型环境敏感程度分级表</w:t>
      </w:r>
      <w:r>
        <w:rPr>
          <w:kern w:val="2"/>
        </w:rPr>
        <w:t>2-12</w:t>
      </w:r>
      <w:r>
        <w:rPr>
          <w:kern w:val="2"/>
        </w:rPr>
        <w:t>，判定拟建项目周边土壤环境敏感程度为不敏感。</w:t>
      </w:r>
    </w:p>
    <w:p w14:paraId="4EADCDAD" w14:textId="77777777" w:rsidR="003E78AB" w:rsidRDefault="00010BF9">
      <w:pPr>
        <w:ind w:firstLine="480"/>
        <w:rPr>
          <w:kern w:val="2"/>
        </w:rPr>
      </w:pPr>
      <w:r>
        <w:rPr>
          <w:kern w:val="2"/>
        </w:rPr>
        <w:t>本次工程占地约</w:t>
      </w:r>
      <w:r>
        <w:t>76022.77</w:t>
      </w:r>
      <w:r>
        <w:rPr>
          <w:kern w:val="2"/>
        </w:rPr>
        <w:t>m</w:t>
      </w:r>
      <w:r>
        <w:rPr>
          <w:kern w:val="2"/>
          <w:vertAlign w:val="superscript"/>
        </w:rPr>
        <w:t>2</w:t>
      </w:r>
      <w:r>
        <w:rPr>
          <w:kern w:val="2"/>
        </w:rPr>
        <w:t>（</w:t>
      </w:r>
      <w:r>
        <w:rPr>
          <w:kern w:val="2"/>
        </w:rPr>
        <w:t>7.6hm</w:t>
      </w:r>
      <w:r>
        <w:rPr>
          <w:kern w:val="2"/>
          <w:vertAlign w:val="superscript"/>
        </w:rPr>
        <w:t>2</w:t>
      </w:r>
      <w:r>
        <w:rPr>
          <w:kern w:val="2"/>
        </w:rPr>
        <w:t>），根据《环境影响评价技术导则</w:t>
      </w:r>
      <w:r>
        <w:rPr>
          <w:kern w:val="2"/>
        </w:rPr>
        <w:t xml:space="preserve"> </w:t>
      </w:r>
      <w:r>
        <w:rPr>
          <w:kern w:val="2"/>
        </w:rPr>
        <w:t>土壤环境（试行）》，拟建项目占地规模判定为中型（</w:t>
      </w:r>
      <w:r>
        <w:rPr>
          <w:kern w:val="2"/>
        </w:rPr>
        <w:t>5~50hm</w:t>
      </w:r>
      <w:r>
        <w:rPr>
          <w:kern w:val="2"/>
          <w:vertAlign w:val="superscript"/>
        </w:rPr>
        <w:t>2</w:t>
      </w:r>
      <w:r>
        <w:rPr>
          <w:kern w:val="2"/>
        </w:rPr>
        <w:t>）。</w:t>
      </w:r>
    </w:p>
    <w:p w14:paraId="7CB83D6F" w14:textId="77777777" w:rsidR="003E78AB" w:rsidRDefault="00010BF9">
      <w:pPr>
        <w:pStyle w:val="a5"/>
      </w:pPr>
      <w:r>
        <w:t>污染影响型敏感程度分级表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3"/>
        <w:gridCol w:w="7241"/>
      </w:tblGrid>
      <w:tr w:rsidR="003E78AB" w14:paraId="12A693F5" w14:textId="77777777">
        <w:trPr>
          <w:trHeight w:val="64"/>
        </w:trPr>
        <w:tc>
          <w:tcPr>
            <w:tcW w:w="645" w:type="pct"/>
            <w:vAlign w:val="center"/>
          </w:tcPr>
          <w:p w14:paraId="4319D87D" w14:textId="77777777" w:rsidR="003E78AB" w:rsidRDefault="00010BF9">
            <w:pPr>
              <w:spacing w:line="360" w:lineRule="exact"/>
              <w:ind w:firstLineChars="0" w:firstLine="0"/>
              <w:jc w:val="center"/>
              <w:rPr>
                <w:b/>
                <w:bCs/>
                <w:kern w:val="2"/>
                <w:sz w:val="21"/>
                <w:szCs w:val="21"/>
              </w:rPr>
            </w:pPr>
            <w:r>
              <w:rPr>
                <w:b/>
                <w:bCs/>
                <w:kern w:val="2"/>
                <w:sz w:val="21"/>
                <w:szCs w:val="21"/>
              </w:rPr>
              <w:t>敏感程度</w:t>
            </w:r>
          </w:p>
        </w:tc>
        <w:tc>
          <w:tcPr>
            <w:tcW w:w="4354" w:type="pct"/>
            <w:vAlign w:val="center"/>
          </w:tcPr>
          <w:p w14:paraId="51931557" w14:textId="77777777" w:rsidR="003E78AB" w:rsidRDefault="00010BF9">
            <w:pPr>
              <w:spacing w:line="360" w:lineRule="exact"/>
              <w:ind w:firstLineChars="0" w:firstLine="0"/>
              <w:jc w:val="center"/>
              <w:rPr>
                <w:b/>
                <w:bCs/>
                <w:kern w:val="2"/>
                <w:sz w:val="21"/>
                <w:szCs w:val="21"/>
              </w:rPr>
            </w:pPr>
            <w:r>
              <w:rPr>
                <w:b/>
                <w:bCs/>
                <w:kern w:val="2"/>
                <w:sz w:val="21"/>
                <w:szCs w:val="21"/>
              </w:rPr>
              <w:t>判别依据</w:t>
            </w:r>
          </w:p>
        </w:tc>
      </w:tr>
      <w:tr w:rsidR="003E78AB" w14:paraId="7791BBCC" w14:textId="77777777">
        <w:trPr>
          <w:trHeight w:val="200"/>
        </w:trPr>
        <w:tc>
          <w:tcPr>
            <w:tcW w:w="645" w:type="pct"/>
            <w:vAlign w:val="center"/>
          </w:tcPr>
          <w:p w14:paraId="1B86E051" w14:textId="77777777" w:rsidR="003E78AB" w:rsidRDefault="00010BF9">
            <w:pPr>
              <w:spacing w:line="360" w:lineRule="exact"/>
              <w:ind w:firstLineChars="0" w:firstLine="0"/>
              <w:jc w:val="center"/>
              <w:rPr>
                <w:kern w:val="2"/>
                <w:sz w:val="21"/>
                <w:szCs w:val="21"/>
              </w:rPr>
            </w:pPr>
            <w:r>
              <w:rPr>
                <w:kern w:val="2"/>
                <w:sz w:val="21"/>
                <w:szCs w:val="21"/>
              </w:rPr>
              <w:t>敏感</w:t>
            </w:r>
          </w:p>
        </w:tc>
        <w:tc>
          <w:tcPr>
            <w:tcW w:w="4354" w:type="pct"/>
            <w:vAlign w:val="center"/>
          </w:tcPr>
          <w:p w14:paraId="205853C0" w14:textId="77777777" w:rsidR="003E78AB" w:rsidRDefault="00010BF9">
            <w:pPr>
              <w:spacing w:line="360" w:lineRule="exact"/>
              <w:ind w:firstLineChars="0" w:firstLine="0"/>
              <w:jc w:val="left"/>
              <w:rPr>
                <w:kern w:val="2"/>
                <w:sz w:val="21"/>
                <w:szCs w:val="21"/>
              </w:rPr>
            </w:pPr>
            <w:r>
              <w:rPr>
                <w:kern w:val="2"/>
                <w:sz w:val="21"/>
                <w:szCs w:val="21"/>
              </w:rPr>
              <w:t>建设项目周边存在耕地、园地、牧草地、饮用水水源地或居民区、学校、医院、疗养院、养老院等土壤环境敏感目标的。</w:t>
            </w:r>
          </w:p>
        </w:tc>
      </w:tr>
      <w:tr w:rsidR="003E78AB" w14:paraId="76B9B717" w14:textId="77777777">
        <w:trPr>
          <w:trHeight w:val="120"/>
        </w:trPr>
        <w:tc>
          <w:tcPr>
            <w:tcW w:w="645" w:type="pct"/>
            <w:vAlign w:val="center"/>
          </w:tcPr>
          <w:p w14:paraId="2CDE7327" w14:textId="77777777" w:rsidR="003E78AB" w:rsidRDefault="00010BF9">
            <w:pPr>
              <w:spacing w:line="360" w:lineRule="exact"/>
              <w:ind w:firstLineChars="0" w:firstLine="0"/>
              <w:jc w:val="center"/>
              <w:rPr>
                <w:kern w:val="2"/>
                <w:sz w:val="21"/>
                <w:szCs w:val="21"/>
              </w:rPr>
            </w:pPr>
            <w:r>
              <w:rPr>
                <w:kern w:val="2"/>
                <w:sz w:val="21"/>
                <w:szCs w:val="21"/>
              </w:rPr>
              <w:t>较敏感</w:t>
            </w:r>
          </w:p>
        </w:tc>
        <w:tc>
          <w:tcPr>
            <w:tcW w:w="4354" w:type="pct"/>
            <w:vAlign w:val="center"/>
          </w:tcPr>
          <w:p w14:paraId="6CF46453" w14:textId="77777777" w:rsidR="003E78AB" w:rsidRDefault="00010BF9">
            <w:pPr>
              <w:spacing w:line="360" w:lineRule="exact"/>
              <w:ind w:firstLineChars="0" w:firstLine="0"/>
              <w:jc w:val="left"/>
              <w:rPr>
                <w:kern w:val="2"/>
                <w:sz w:val="21"/>
                <w:szCs w:val="21"/>
              </w:rPr>
            </w:pPr>
            <w:r>
              <w:rPr>
                <w:kern w:val="2"/>
                <w:sz w:val="21"/>
                <w:szCs w:val="21"/>
              </w:rPr>
              <w:t>建设项目周边存在其他土壤环境敏感目标的。</w:t>
            </w:r>
          </w:p>
        </w:tc>
      </w:tr>
      <w:tr w:rsidR="003E78AB" w14:paraId="79026923" w14:textId="77777777">
        <w:trPr>
          <w:trHeight w:val="68"/>
        </w:trPr>
        <w:tc>
          <w:tcPr>
            <w:tcW w:w="645" w:type="pct"/>
            <w:shd w:val="clear" w:color="auto" w:fill="D7D7D7"/>
            <w:vAlign w:val="center"/>
          </w:tcPr>
          <w:p w14:paraId="4DB1DFC5" w14:textId="77777777" w:rsidR="003E78AB" w:rsidRDefault="00010BF9">
            <w:pPr>
              <w:spacing w:line="360" w:lineRule="exact"/>
              <w:ind w:firstLineChars="0" w:firstLine="0"/>
              <w:jc w:val="center"/>
              <w:rPr>
                <w:kern w:val="2"/>
                <w:sz w:val="21"/>
                <w:szCs w:val="21"/>
              </w:rPr>
            </w:pPr>
            <w:r>
              <w:rPr>
                <w:kern w:val="2"/>
                <w:sz w:val="21"/>
                <w:szCs w:val="21"/>
              </w:rPr>
              <w:t>不敏感</w:t>
            </w:r>
          </w:p>
        </w:tc>
        <w:tc>
          <w:tcPr>
            <w:tcW w:w="4354" w:type="pct"/>
            <w:shd w:val="clear" w:color="auto" w:fill="D7D7D7"/>
            <w:vAlign w:val="center"/>
          </w:tcPr>
          <w:p w14:paraId="3BE2707E" w14:textId="77777777" w:rsidR="003E78AB" w:rsidRDefault="00010BF9">
            <w:pPr>
              <w:spacing w:line="360" w:lineRule="exact"/>
              <w:ind w:firstLineChars="0" w:firstLine="0"/>
              <w:jc w:val="left"/>
              <w:rPr>
                <w:kern w:val="2"/>
                <w:sz w:val="21"/>
                <w:szCs w:val="21"/>
              </w:rPr>
            </w:pPr>
            <w:r>
              <w:rPr>
                <w:kern w:val="2"/>
                <w:sz w:val="21"/>
                <w:szCs w:val="21"/>
              </w:rPr>
              <w:t>其他情况。</w:t>
            </w:r>
          </w:p>
        </w:tc>
      </w:tr>
    </w:tbl>
    <w:p w14:paraId="6C885BF9" w14:textId="77777777" w:rsidR="003E78AB" w:rsidRDefault="00010BF9">
      <w:pPr>
        <w:ind w:firstLine="480"/>
        <w:rPr>
          <w:kern w:val="2"/>
        </w:rPr>
      </w:pPr>
      <w:r>
        <w:rPr>
          <w:kern w:val="2"/>
        </w:rPr>
        <w:t>根据《环境影响评价技术导则</w:t>
      </w:r>
      <w:r>
        <w:rPr>
          <w:kern w:val="2"/>
        </w:rPr>
        <w:t xml:space="preserve"> </w:t>
      </w:r>
      <w:r>
        <w:rPr>
          <w:kern w:val="2"/>
        </w:rPr>
        <w:t>土壤环境（试行）》（</w:t>
      </w:r>
      <w:r>
        <w:rPr>
          <w:kern w:val="2"/>
        </w:rPr>
        <w:t>HJ964-2018</w:t>
      </w:r>
      <w:r>
        <w:rPr>
          <w:kern w:val="2"/>
        </w:rPr>
        <w:t>），建设项目土壤环境影响评价工作等级划分详见表</w:t>
      </w:r>
      <w:r>
        <w:rPr>
          <w:kern w:val="2"/>
        </w:rPr>
        <w:t>2-13</w:t>
      </w:r>
      <w:r>
        <w:rPr>
          <w:kern w:val="2"/>
        </w:rPr>
        <w:t>。</w:t>
      </w:r>
    </w:p>
    <w:p w14:paraId="463D4DD4" w14:textId="77777777" w:rsidR="003E78AB" w:rsidRDefault="00010BF9">
      <w:pPr>
        <w:pStyle w:val="a5"/>
      </w:pPr>
      <w:r>
        <w:t>污染影响型评价工作等级分级表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92"/>
        <w:gridCol w:w="680"/>
        <w:gridCol w:w="680"/>
        <w:gridCol w:w="680"/>
        <w:gridCol w:w="680"/>
        <w:gridCol w:w="680"/>
        <w:gridCol w:w="680"/>
        <w:gridCol w:w="680"/>
        <w:gridCol w:w="680"/>
        <w:gridCol w:w="690"/>
      </w:tblGrid>
      <w:tr w:rsidR="003E78AB" w14:paraId="28CC79EE" w14:textId="77777777">
        <w:trPr>
          <w:trHeight w:val="717"/>
          <w:jc w:val="center"/>
        </w:trPr>
        <w:tc>
          <w:tcPr>
            <w:tcW w:w="1403"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38DF86EC" w14:textId="77777777" w:rsidR="003E78AB" w:rsidRDefault="00010BF9">
            <w:pPr>
              <w:pStyle w:val="aff6"/>
              <w:topLinePunct/>
              <w:jc w:val="right"/>
              <w:rPr>
                <w:b/>
                <w:bCs/>
              </w:rPr>
            </w:pPr>
            <w:r>
              <w:rPr>
                <w:b/>
                <w:bCs/>
              </w:rPr>
              <w:t>敏感程度</w:t>
            </w:r>
          </w:p>
          <w:p w14:paraId="7247DB75" w14:textId="77777777" w:rsidR="003E78AB" w:rsidRDefault="00010BF9">
            <w:pPr>
              <w:pStyle w:val="aff6"/>
              <w:topLinePunct/>
              <w:rPr>
                <w:b/>
                <w:bCs/>
              </w:rPr>
            </w:pPr>
            <w:r>
              <w:rPr>
                <w:b/>
                <w:bCs/>
              </w:rPr>
              <w:t>评价工作等级</w:t>
            </w:r>
          </w:p>
          <w:p w14:paraId="49BAFB88" w14:textId="77777777" w:rsidR="003E78AB" w:rsidRDefault="00010BF9">
            <w:pPr>
              <w:pStyle w:val="aff6"/>
              <w:topLinePunct/>
              <w:jc w:val="left"/>
              <w:rPr>
                <w:b/>
                <w:bCs/>
              </w:rPr>
            </w:pPr>
            <w:r>
              <w:rPr>
                <w:b/>
                <w:bCs/>
              </w:rPr>
              <w:t>占地规模</w:t>
            </w:r>
          </w:p>
        </w:tc>
        <w:tc>
          <w:tcPr>
            <w:tcW w:w="1197" w:type="pct"/>
            <w:gridSpan w:val="3"/>
            <w:tcBorders>
              <w:top w:val="single" w:sz="4" w:space="0" w:color="auto"/>
              <w:left w:val="single" w:sz="4" w:space="0" w:color="auto"/>
              <w:bottom w:val="single" w:sz="4" w:space="0" w:color="auto"/>
              <w:right w:val="single" w:sz="4" w:space="0" w:color="auto"/>
            </w:tcBorders>
            <w:vAlign w:val="center"/>
          </w:tcPr>
          <w:p w14:paraId="25507D21" w14:textId="77777777" w:rsidR="003E78AB" w:rsidRDefault="00010BF9">
            <w:pPr>
              <w:pStyle w:val="aff6"/>
              <w:topLinePunct/>
              <w:rPr>
                <w:b/>
                <w:bCs/>
              </w:rPr>
            </w:pPr>
            <w:r>
              <w:rPr>
                <w:b/>
                <w:bCs/>
              </w:rPr>
              <w:t>Ⅰ</w:t>
            </w:r>
            <w:r>
              <w:rPr>
                <w:b/>
                <w:bCs/>
              </w:rPr>
              <w:t>类项目</w:t>
            </w:r>
          </w:p>
        </w:tc>
        <w:tc>
          <w:tcPr>
            <w:tcW w:w="1197" w:type="pct"/>
            <w:gridSpan w:val="3"/>
            <w:tcBorders>
              <w:top w:val="single" w:sz="4" w:space="0" w:color="auto"/>
              <w:left w:val="single" w:sz="4" w:space="0" w:color="auto"/>
              <w:bottom w:val="single" w:sz="4" w:space="0" w:color="auto"/>
              <w:right w:val="single" w:sz="4" w:space="0" w:color="auto"/>
            </w:tcBorders>
            <w:vAlign w:val="center"/>
          </w:tcPr>
          <w:p w14:paraId="1BDD23F9" w14:textId="77777777" w:rsidR="003E78AB" w:rsidRDefault="00010BF9">
            <w:pPr>
              <w:pStyle w:val="aff6"/>
              <w:topLinePunct/>
              <w:rPr>
                <w:b/>
                <w:bCs/>
              </w:rPr>
            </w:pPr>
            <w:r>
              <w:rPr>
                <w:b/>
                <w:bCs/>
              </w:rPr>
              <w:t>Ⅱ</w:t>
            </w:r>
            <w:r>
              <w:rPr>
                <w:b/>
                <w:bCs/>
              </w:rPr>
              <w:t>类项目</w:t>
            </w:r>
          </w:p>
        </w:tc>
        <w:tc>
          <w:tcPr>
            <w:tcW w:w="1201" w:type="pct"/>
            <w:gridSpan w:val="3"/>
            <w:tcBorders>
              <w:top w:val="single" w:sz="4" w:space="0" w:color="auto"/>
              <w:left w:val="single" w:sz="4" w:space="0" w:color="auto"/>
              <w:bottom w:val="single" w:sz="4" w:space="0" w:color="auto"/>
              <w:right w:val="single" w:sz="4" w:space="0" w:color="auto"/>
            </w:tcBorders>
            <w:vAlign w:val="center"/>
          </w:tcPr>
          <w:p w14:paraId="0DB9B7CA" w14:textId="77777777" w:rsidR="003E78AB" w:rsidRDefault="00010BF9">
            <w:pPr>
              <w:pStyle w:val="aff6"/>
              <w:topLinePunct/>
              <w:rPr>
                <w:b/>
                <w:bCs/>
              </w:rPr>
            </w:pPr>
            <w:r>
              <w:rPr>
                <w:b/>
                <w:bCs/>
              </w:rPr>
              <w:t>Ⅲ</w:t>
            </w:r>
            <w:r>
              <w:rPr>
                <w:b/>
                <w:bCs/>
              </w:rPr>
              <w:t>类项目</w:t>
            </w:r>
          </w:p>
        </w:tc>
      </w:tr>
      <w:tr w:rsidR="003E78AB" w14:paraId="2E85CDD9" w14:textId="77777777">
        <w:trPr>
          <w:trHeight w:val="303"/>
          <w:jc w:val="center"/>
        </w:trPr>
        <w:tc>
          <w:tcPr>
            <w:tcW w:w="1403" w:type="pct"/>
            <w:vMerge/>
            <w:tcBorders>
              <w:top w:val="single" w:sz="4" w:space="0" w:color="auto"/>
              <w:left w:val="single" w:sz="4" w:space="0" w:color="auto"/>
              <w:bottom w:val="single" w:sz="4" w:space="0" w:color="auto"/>
              <w:right w:val="single" w:sz="4" w:space="0" w:color="auto"/>
            </w:tcBorders>
            <w:vAlign w:val="center"/>
          </w:tcPr>
          <w:p w14:paraId="476E661E" w14:textId="77777777" w:rsidR="003E78AB" w:rsidRDefault="003E78AB">
            <w:pPr>
              <w:pStyle w:val="aff6"/>
              <w:topLinePunct/>
              <w:rPr>
                <w:b/>
                <w:bCs/>
              </w:rPr>
            </w:pPr>
          </w:p>
        </w:tc>
        <w:tc>
          <w:tcPr>
            <w:tcW w:w="399" w:type="pct"/>
            <w:tcBorders>
              <w:top w:val="single" w:sz="4" w:space="0" w:color="auto"/>
              <w:left w:val="single" w:sz="4" w:space="0" w:color="auto"/>
              <w:bottom w:val="single" w:sz="4" w:space="0" w:color="auto"/>
              <w:right w:val="single" w:sz="4" w:space="0" w:color="auto"/>
            </w:tcBorders>
            <w:vAlign w:val="center"/>
          </w:tcPr>
          <w:p w14:paraId="715071C0" w14:textId="77777777" w:rsidR="003E78AB" w:rsidRDefault="00010BF9">
            <w:pPr>
              <w:pStyle w:val="aff6"/>
              <w:topLinePunct/>
              <w:rPr>
                <w:b/>
                <w:bCs/>
              </w:rPr>
            </w:pPr>
            <w:r>
              <w:rPr>
                <w:b/>
                <w:bCs/>
              </w:rPr>
              <w:t>大</w:t>
            </w:r>
          </w:p>
        </w:tc>
        <w:tc>
          <w:tcPr>
            <w:tcW w:w="399" w:type="pct"/>
            <w:tcBorders>
              <w:top w:val="single" w:sz="4" w:space="0" w:color="auto"/>
              <w:left w:val="single" w:sz="4" w:space="0" w:color="auto"/>
              <w:bottom w:val="single" w:sz="4" w:space="0" w:color="auto"/>
              <w:right w:val="single" w:sz="4" w:space="0" w:color="auto"/>
            </w:tcBorders>
            <w:vAlign w:val="center"/>
          </w:tcPr>
          <w:p w14:paraId="3628BF52" w14:textId="77777777" w:rsidR="003E78AB" w:rsidRDefault="00010BF9">
            <w:pPr>
              <w:pStyle w:val="aff6"/>
              <w:topLinePunct/>
              <w:rPr>
                <w:b/>
                <w:bCs/>
              </w:rPr>
            </w:pPr>
            <w:r>
              <w:rPr>
                <w:b/>
                <w:bCs/>
              </w:rPr>
              <w:t>中</w:t>
            </w:r>
          </w:p>
        </w:tc>
        <w:tc>
          <w:tcPr>
            <w:tcW w:w="399" w:type="pct"/>
            <w:tcBorders>
              <w:top w:val="single" w:sz="4" w:space="0" w:color="auto"/>
              <w:left w:val="single" w:sz="4" w:space="0" w:color="auto"/>
              <w:bottom w:val="single" w:sz="4" w:space="0" w:color="auto"/>
              <w:right w:val="single" w:sz="4" w:space="0" w:color="auto"/>
            </w:tcBorders>
            <w:vAlign w:val="center"/>
          </w:tcPr>
          <w:p w14:paraId="54408E45" w14:textId="77777777" w:rsidR="003E78AB" w:rsidRDefault="00010BF9">
            <w:pPr>
              <w:pStyle w:val="aff6"/>
              <w:topLinePunct/>
              <w:rPr>
                <w:b/>
                <w:bCs/>
              </w:rPr>
            </w:pPr>
            <w:r>
              <w:rPr>
                <w:b/>
                <w:bCs/>
              </w:rPr>
              <w:t>小</w:t>
            </w:r>
          </w:p>
        </w:tc>
        <w:tc>
          <w:tcPr>
            <w:tcW w:w="399" w:type="pct"/>
            <w:tcBorders>
              <w:top w:val="single" w:sz="4" w:space="0" w:color="auto"/>
              <w:left w:val="single" w:sz="4" w:space="0" w:color="auto"/>
              <w:bottom w:val="single" w:sz="4" w:space="0" w:color="auto"/>
              <w:right w:val="single" w:sz="4" w:space="0" w:color="auto"/>
            </w:tcBorders>
            <w:vAlign w:val="center"/>
          </w:tcPr>
          <w:p w14:paraId="4B9ED2F8" w14:textId="77777777" w:rsidR="003E78AB" w:rsidRDefault="00010BF9">
            <w:pPr>
              <w:pStyle w:val="aff6"/>
              <w:topLinePunct/>
              <w:rPr>
                <w:b/>
                <w:bCs/>
              </w:rPr>
            </w:pPr>
            <w:r>
              <w:rPr>
                <w:b/>
                <w:bCs/>
              </w:rPr>
              <w:t>大</w:t>
            </w:r>
          </w:p>
        </w:tc>
        <w:tc>
          <w:tcPr>
            <w:tcW w:w="399" w:type="pct"/>
            <w:tcBorders>
              <w:top w:val="single" w:sz="4" w:space="0" w:color="auto"/>
              <w:left w:val="single" w:sz="4" w:space="0" w:color="auto"/>
              <w:bottom w:val="single" w:sz="4" w:space="0" w:color="auto"/>
              <w:right w:val="single" w:sz="4" w:space="0" w:color="auto"/>
            </w:tcBorders>
            <w:vAlign w:val="center"/>
          </w:tcPr>
          <w:p w14:paraId="27104F22" w14:textId="77777777" w:rsidR="003E78AB" w:rsidRDefault="00010BF9">
            <w:pPr>
              <w:pStyle w:val="aff6"/>
              <w:topLinePunct/>
              <w:rPr>
                <w:b/>
                <w:bCs/>
              </w:rPr>
            </w:pPr>
            <w:r>
              <w:rPr>
                <w:b/>
                <w:bCs/>
              </w:rPr>
              <w:t>中</w:t>
            </w:r>
          </w:p>
        </w:tc>
        <w:tc>
          <w:tcPr>
            <w:tcW w:w="399" w:type="pct"/>
            <w:tcBorders>
              <w:top w:val="single" w:sz="4" w:space="0" w:color="auto"/>
              <w:left w:val="single" w:sz="4" w:space="0" w:color="auto"/>
              <w:bottom w:val="single" w:sz="4" w:space="0" w:color="auto"/>
              <w:right w:val="single" w:sz="4" w:space="0" w:color="auto"/>
            </w:tcBorders>
            <w:vAlign w:val="center"/>
          </w:tcPr>
          <w:p w14:paraId="37B8996D" w14:textId="77777777" w:rsidR="003E78AB" w:rsidRDefault="00010BF9">
            <w:pPr>
              <w:pStyle w:val="aff6"/>
              <w:topLinePunct/>
              <w:rPr>
                <w:b/>
                <w:bCs/>
              </w:rPr>
            </w:pPr>
            <w:r>
              <w:rPr>
                <w:b/>
                <w:bCs/>
              </w:rPr>
              <w:t>小</w:t>
            </w:r>
          </w:p>
        </w:tc>
        <w:tc>
          <w:tcPr>
            <w:tcW w:w="399" w:type="pct"/>
            <w:tcBorders>
              <w:top w:val="single" w:sz="4" w:space="0" w:color="auto"/>
              <w:left w:val="single" w:sz="4" w:space="0" w:color="auto"/>
              <w:bottom w:val="single" w:sz="4" w:space="0" w:color="auto"/>
              <w:right w:val="single" w:sz="4" w:space="0" w:color="auto"/>
            </w:tcBorders>
            <w:vAlign w:val="center"/>
          </w:tcPr>
          <w:p w14:paraId="3FE2CEC7" w14:textId="77777777" w:rsidR="003E78AB" w:rsidRDefault="00010BF9">
            <w:pPr>
              <w:pStyle w:val="aff6"/>
              <w:topLinePunct/>
              <w:rPr>
                <w:b/>
                <w:bCs/>
              </w:rPr>
            </w:pPr>
            <w:r>
              <w:rPr>
                <w:b/>
                <w:bCs/>
              </w:rPr>
              <w:t>大</w:t>
            </w:r>
          </w:p>
        </w:tc>
        <w:tc>
          <w:tcPr>
            <w:tcW w:w="399" w:type="pct"/>
            <w:tcBorders>
              <w:top w:val="single" w:sz="4" w:space="0" w:color="auto"/>
              <w:left w:val="single" w:sz="4" w:space="0" w:color="auto"/>
              <w:bottom w:val="single" w:sz="4" w:space="0" w:color="auto"/>
              <w:right w:val="single" w:sz="4" w:space="0" w:color="auto"/>
            </w:tcBorders>
            <w:vAlign w:val="center"/>
          </w:tcPr>
          <w:p w14:paraId="7B237C82" w14:textId="77777777" w:rsidR="003E78AB" w:rsidRDefault="00010BF9">
            <w:pPr>
              <w:pStyle w:val="aff6"/>
              <w:topLinePunct/>
              <w:rPr>
                <w:b/>
                <w:bCs/>
              </w:rPr>
            </w:pPr>
            <w:r>
              <w:rPr>
                <w:b/>
                <w:bCs/>
              </w:rPr>
              <w:t>中</w:t>
            </w:r>
          </w:p>
        </w:tc>
        <w:tc>
          <w:tcPr>
            <w:tcW w:w="403" w:type="pct"/>
            <w:tcBorders>
              <w:top w:val="single" w:sz="4" w:space="0" w:color="auto"/>
              <w:left w:val="single" w:sz="4" w:space="0" w:color="auto"/>
              <w:bottom w:val="single" w:sz="4" w:space="0" w:color="auto"/>
              <w:right w:val="single" w:sz="4" w:space="0" w:color="auto"/>
            </w:tcBorders>
            <w:vAlign w:val="center"/>
          </w:tcPr>
          <w:p w14:paraId="1B6C8DBA" w14:textId="77777777" w:rsidR="003E78AB" w:rsidRDefault="00010BF9">
            <w:pPr>
              <w:pStyle w:val="aff6"/>
              <w:topLinePunct/>
              <w:rPr>
                <w:b/>
                <w:bCs/>
              </w:rPr>
            </w:pPr>
            <w:r>
              <w:rPr>
                <w:b/>
                <w:bCs/>
              </w:rPr>
              <w:t>小</w:t>
            </w:r>
          </w:p>
        </w:tc>
      </w:tr>
      <w:tr w:rsidR="003E78AB" w14:paraId="15997E98" w14:textId="77777777">
        <w:trPr>
          <w:jc w:val="center"/>
        </w:trPr>
        <w:tc>
          <w:tcPr>
            <w:tcW w:w="1403" w:type="pct"/>
            <w:tcBorders>
              <w:top w:val="single" w:sz="4" w:space="0" w:color="auto"/>
              <w:left w:val="single" w:sz="4" w:space="0" w:color="auto"/>
              <w:bottom w:val="single" w:sz="4" w:space="0" w:color="auto"/>
              <w:right w:val="single" w:sz="4" w:space="0" w:color="auto"/>
            </w:tcBorders>
            <w:vAlign w:val="center"/>
          </w:tcPr>
          <w:p w14:paraId="5E36B6ED" w14:textId="77777777" w:rsidR="003E78AB" w:rsidRDefault="00010BF9">
            <w:pPr>
              <w:pStyle w:val="aff6"/>
              <w:topLinePunct/>
            </w:pPr>
            <w:r>
              <w:t>敏感</w:t>
            </w:r>
          </w:p>
        </w:tc>
        <w:tc>
          <w:tcPr>
            <w:tcW w:w="399" w:type="pct"/>
            <w:tcBorders>
              <w:top w:val="single" w:sz="4" w:space="0" w:color="auto"/>
              <w:left w:val="single" w:sz="4" w:space="0" w:color="auto"/>
              <w:bottom w:val="single" w:sz="4" w:space="0" w:color="auto"/>
              <w:right w:val="single" w:sz="4" w:space="0" w:color="auto"/>
            </w:tcBorders>
            <w:vAlign w:val="center"/>
          </w:tcPr>
          <w:p w14:paraId="74148BAB"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533F1CB3"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373CE95A"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36D0F1DF"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08DBB921"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7059D48B"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413BC31F"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2CB94205" w14:textId="77777777" w:rsidR="003E78AB" w:rsidRDefault="00010BF9">
            <w:pPr>
              <w:pStyle w:val="aff6"/>
              <w:topLinePunct/>
            </w:pPr>
            <w:r>
              <w:t>三级</w:t>
            </w:r>
          </w:p>
        </w:tc>
        <w:tc>
          <w:tcPr>
            <w:tcW w:w="403" w:type="pct"/>
            <w:tcBorders>
              <w:top w:val="single" w:sz="4" w:space="0" w:color="auto"/>
              <w:left w:val="single" w:sz="4" w:space="0" w:color="auto"/>
              <w:bottom w:val="single" w:sz="4" w:space="0" w:color="auto"/>
              <w:right w:val="single" w:sz="4" w:space="0" w:color="auto"/>
            </w:tcBorders>
            <w:vAlign w:val="center"/>
          </w:tcPr>
          <w:p w14:paraId="5A2697C6" w14:textId="77777777" w:rsidR="003E78AB" w:rsidRDefault="00010BF9">
            <w:pPr>
              <w:pStyle w:val="aff6"/>
              <w:topLinePunct/>
            </w:pPr>
            <w:r>
              <w:t>三级</w:t>
            </w:r>
          </w:p>
        </w:tc>
      </w:tr>
      <w:tr w:rsidR="003E78AB" w14:paraId="50AB0787" w14:textId="77777777">
        <w:trPr>
          <w:jc w:val="center"/>
        </w:trPr>
        <w:tc>
          <w:tcPr>
            <w:tcW w:w="1403" w:type="pct"/>
            <w:tcBorders>
              <w:top w:val="single" w:sz="4" w:space="0" w:color="auto"/>
              <w:left w:val="single" w:sz="4" w:space="0" w:color="auto"/>
              <w:bottom w:val="single" w:sz="4" w:space="0" w:color="auto"/>
              <w:right w:val="single" w:sz="4" w:space="0" w:color="auto"/>
            </w:tcBorders>
            <w:vAlign w:val="center"/>
          </w:tcPr>
          <w:p w14:paraId="3C9A43C4" w14:textId="77777777" w:rsidR="003E78AB" w:rsidRDefault="00010BF9">
            <w:pPr>
              <w:pStyle w:val="aff6"/>
              <w:topLinePunct/>
            </w:pPr>
            <w:r>
              <w:t>较敏感</w:t>
            </w:r>
          </w:p>
        </w:tc>
        <w:tc>
          <w:tcPr>
            <w:tcW w:w="399" w:type="pct"/>
            <w:tcBorders>
              <w:top w:val="single" w:sz="4" w:space="0" w:color="auto"/>
              <w:left w:val="single" w:sz="4" w:space="0" w:color="auto"/>
              <w:bottom w:val="single" w:sz="4" w:space="0" w:color="auto"/>
              <w:right w:val="single" w:sz="4" w:space="0" w:color="auto"/>
            </w:tcBorders>
            <w:vAlign w:val="center"/>
          </w:tcPr>
          <w:p w14:paraId="0526990A"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34C9B826"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39AA6764"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594D3C25"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030948F6"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1640BFF7"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4D111BDB"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24668916" w14:textId="77777777" w:rsidR="003E78AB" w:rsidRDefault="00010BF9">
            <w:pPr>
              <w:pStyle w:val="aff6"/>
              <w:topLinePunct/>
            </w:pPr>
            <w:r>
              <w:t>三级</w:t>
            </w:r>
          </w:p>
        </w:tc>
        <w:tc>
          <w:tcPr>
            <w:tcW w:w="403" w:type="pct"/>
            <w:tcBorders>
              <w:top w:val="single" w:sz="4" w:space="0" w:color="auto"/>
              <w:left w:val="single" w:sz="4" w:space="0" w:color="auto"/>
              <w:bottom w:val="single" w:sz="4" w:space="0" w:color="auto"/>
              <w:right w:val="single" w:sz="4" w:space="0" w:color="auto"/>
            </w:tcBorders>
            <w:vAlign w:val="center"/>
          </w:tcPr>
          <w:p w14:paraId="0CA5D362" w14:textId="77777777" w:rsidR="003E78AB" w:rsidRDefault="00010BF9">
            <w:pPr>
              <w:pStyle w:val="aff6"/>
              <w:topLinePunct/>
            </w:pPr>
            <w:r>
              <w:t>--</w:t>
            </w:r>
          </w:p>
        </w:tc>
      </w:tr>
      <w:tr w:rsidR="003E78AB" w14:paraId="546D0ED2" w14:textId="77777777">
        <w:trPr>
          <w:jc w:val="center"/>
        </w:trPr>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4C4CB756" w14:textId="77777777" w:rsidR="003E78AB" w:rsidRDefault="00010BF9">
            <w:pPr>
              <w:pStyle w:val="aff6"/>
              <w:topLinePunct/>
            </w:pPr>
            <w:r>
              <w:t>不敏感</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36222A4C"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shd w:val="clear" w:color="auto" w:fill="D7D7D7"/>
            <w:vAlign w:val="center"/>
          </w:tcPr>
          <w:p w14:paraId="57BD6718"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1828FA7C"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771E16B3"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5859BEF2"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05FF35BD"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2ABD55C0"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3C8F622B" w14:textId="77777777" w:rsidR="003E78AB" w:rsidRDefault="00010BF9">
            <w:pPr>
              <w:pStyle w:val="aff6"/>
              <w:topLinePunct/>
            </w:pPr>
            <w:r>
              <w:t>--</w:t>
            </w:r>
          </w:p>
        </w:tc>
        <w:tc>
          <w:tcPr>
            <w:tcW w:w="403" w:type="pct"/>
            <w:tcBorders>
              <w:top w:val="single" w:sz="4" w:space="0" w:color="auto"/>
              <w:left w:val="single" w:sz="4" w:space="0" w:color="auto"/>
              <w:bottom w:val="single" w:sz="4" w:space="0" w:color="auto"/>
              <w:right w:val="single" w:sz="4" w:space="0" w:color="auto"/>
            </w:tcBorders>
            <w:vAlign w:val="center"/>
          </w:tcPr>
          <w:p w14:paraId="63B5E708" w14:textId="77777777" w:rsidR="003E78AB" w:rsidRDefault="00010BF9">
            <w:pPr>
              <w:pStyle w:val="aff6"/>
              <w:topLinePunct/>
            </w:pPr>
            <w:r>
              <w:t>--</w:t>
            </w:r>
          </w:p>
        </w:tc>
      </w:tr>
      <w:tr w:rsidR="003E78AB" w14:paraId="51837B2A" w14:textId="77777777">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76DE8439" w14:textId="77777777" w:rsidR="003E78AB" w:rsidRDefault="00010BF9">
            <w:pPr>
              <w:pStyle w:val="aff6"/>
              <w:topLinePunct/>
              <w:jc w:val="left"/>
            </w:pPr>
            <w:r>
              <w:rPr>
                <w:b/>
              </w:rPr>
              <w:t>注：</w:t>
            </w:r>
            <w:r>
              <w:t>“--”</w:t>
            </w:r>
            <w:r>
              <w:t>表示可不开展土壤环境影响评价工作</w:t>
            </w:r>
          </w:p>
        </w:tc>
      </w:tr>
    </w:tbl>
    <w:p w14:paraId="3C18C8DC" w14:textId="77777777" w:rsidR="003E78AB" w:rsidRDefault="00010BF9">
      <w:pPr>
        <w:ind w:firstLine="480"/>
        <w:rPr>
          <w:kern w:val="2"/>
        </w:rPr>
      </w:pPr>
      <w:r>
        <w:rPr>
          <w:kern w:val="2"/>
        </w:rPr>
        <w:t>综上所述，判定本项目土壤评价等级为二级。</w:t>
      </w:r>
    </w:p>
    <w:p w14:paraId="1DDE6828" w14:textId="77777777" w:rsidR="003E78AB" w:rsidRDefault="00010BF9">
      <w:pPr>
        <w:pStyle w:val="31"/>
        <w:keepNext w:val="0"/>
        <w:keepLines w:val="0"/>
        <w:topLinePunct/>
        <w:spacing w:before="156"/>
        <w:rPr>
          <w:rFonts w:cs="Times New Roman"/>
        </w:rPr>
      </w:pPr>
      <w:r>
        <w:rPr>
          <w:rFonts w:cs="Times New Roman"/>
        </w:rPr>
        <w:t>2.4.5</w:t>
      </w:r>
      <w:r>
        <w:rPr>
          <w:rFonts w:cs="Times New Roman"/>
        </w:rPr>
        <w:t>生态环境评价等级划分</w:t>
      </w:r>
    </w:p>
    <w:p w14:paraId="784E7DE6" w14:textId="77777777" w:rsidR="003E78AB" w:rsidRDefault="00010BF9">
      <w:pPr>
        <w:ind w:firstLine="480"/>
        <w:rPr>
          <w:kern w:val="2"/>
        </w:rPr>
      </w:pPr>
      <w:r>
        <w:rPr>
          <w:kern w:val="2"/>
        </w:rPr>
        <w:t>根据《环境影响评价技术导则</w:t>
      </w:r>
      <w:r>
        <w:rPr>
          <w:kern w:val="2"/>
        </w:rPr>
        <w:t xml:space="preserve"> </w:t>
      </w:r>
      <w:r>
        <w:rPr>
          <w:kern w:val="2"/>
        </w:rPr>
        <w:t>生态环境》（</w:t>
      </w:r>
      <w:r>
        <w:rPr>
          <w:kern w:val="2"/>
        </w:rPr>
        <w:t>HJ19-2022</w:t>
      </w:r>
      <w:r>
        <w:rPr>
          <w:kern w:val="2"/>
        </w:rPr>
        <w:t>）评价工作分级划分，本项目位于哈密工业园区内，属于位于已批准规划环评的工业园区内且符合规划环评要求、不涉及生态敏感区的污染影响类建设项目，可不确定评价等级，直接进行生态影响简单分析。</w:t>
      </w:r>
    </w:p>
    <w:p w14:paraId="7640E9AC" w14:textId="77777777" w:rsidR="003E78AB" w:rsidRDefault="00010BF9">
      <w:pPr>
        <w:pStyle w:val="31"/>
        <w:keepNext w:val="0"/>
        <w:keepLines w:val="0"/>
        <w:topLinePunct/>
        <w:spacing w:before="156"/>
        <w:rPr>
          <w:rFonts w:cs="Times New Roman"/>
        </w:rPr>
      </w:pPr>
      <w:r>
        <w:rPr>
          <w:rFonts w:cs="Times New Roman"/>
        </w:rPr>
        <w:t>2.4.6</w:t>
      </w:r>
      <w:r>
        <w:rPr>
          <w:rFonts w:cs="Times New Roman"/>
        </w:rPr>
        <w:t>风险环境评价等级划分</w:t>
      </w:r>
    </w:p>
    <w:p w14:paraId="335154E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2.4.6.1</w:t>
      </w:r>
      <w:r>
        <w:rPr>
          <w:rFonts w:ascii="Times New Roman" w:hAnsi="Times New Roman"/>
        </w:rPr>
        <w:t>危险物质及工艺系统危险性（</w:t>
      </w:r>
      <w:r>
        <w:rPr>
          <w:rFonts w:ascii="Times New Roman" w:hAnsi="Times New Roman"/>
        </w:rPr>
        <w:t>P</w:t>
      </w:r>
      <w:r>
        <w:rPr>
          <w:rFonts w:ascii="Times New Roman" w:hAnsi="Times New Roman"/>
        </w:rPr>
        <w:t>）分级</w:t>
      </w:r>
    </w:p>
    <w:p w14:paraId="52333800" w14:textId="77777777" w:rsidR="003E78AB" w:rsidRDefault="00010BF9">
      <w:pPr>
        <w:ind w:firstLine="480"/>
        <w:rPr>
          <w:kern w:val="2"/>
          <w:lang w:val="zh-CN"/>
        </w:rPr>
      </w:pPr>
      <w:r>
        <w:rPr>
          <w:kern w:val="2"/>
          <w:lang w:val="zh-CN"/>
        </w:rPr>
        <w:t>（</w:t>
      </w:r>
      <w:r>
        <w:rPr>
          <w:kern w:val="2"/>
        </w:rPr>
        <w:t>1</w:t>
      </w:r>
      <w:r>
        <w:rPr>
          <w:kern w:val="2"/>
          <w:lang w:val="zh-CN"/>
        </w:rPr>
        <w:t>）项目危险物质数量与临界量比值</w:t>
      </w:r>
      <w:r>
        <w:rPr>
          <w:kern w:val="2"/>
          <w:lang w:val="zh-CN"/>
        </w:rPr>
        <w:t>(</w:t>
      </w:r>
      <w:r>
        <w:rPr>
          <w:kern w:val="2"/>
        </w:rPr>
        <w:t>Q</w:t>
      </w:r>
      <w:r>
        <w:rPr>
          <w:kern w:val="2"/>
          <w:lang w:val="zh-CN"/>
        </w:rPr>
        <w:t>)</w:t>
      </w:r>
    </w:p>
    <w:p w14:paraId="11F82B2C" w14:textId="77777777" w:rsidR="003E78AB" w:rsidRDefault="00010BF9">
      <w:pPr>
        <w:ind w:firstLine="480"/>
        <w:rPr>
          <w:kern w:val="2"/>
          <w:lang w:val="zh-CN"/>
        </w:rPr>
      </w:pPr>
      <w:r>
        <w:rPr>
          <w:kern w:val="2"/>
          <w:lang w:val="zh-CN"/>
        </w:rPr>
        <w:t>拟建项目生产过程中所使用的涉危险化学物品生产单元及储存单元物质的量见表</w:t>
      </w:r>
      <w:r>
        <w:rPr>
          <w:kern w:val="2"/>
        </w:rPr>
        <w:t>2-14</w:t>
      </w:r>
      <w:r>
        <w:rPr>
          <w:kern w:val="2"/>
          <w:lang w:val="zh-CN"/>
        </w:rPr>
        <w:t>。</w:t>
      </w:r>
    </w:p>
    <w:p w14:paraId="789D0249" w14:textId="77777777" w:rsidR="003E78AB" w:rsidRDefault="00010BF9">
      <w:pPr>
        <w:pStyle w:val="a5"/>
      </w:pPr>
      <w:r>
        <w:t>危险物质生产单元及贮存单元物质量一览表</w:t>
      </w:r>
    </w:p>
    <w:tbl>
      <w:tblPr>
        <w:tblW w:w="4997" w:type="pct"/>
        <w:tblLook w:val="04A0" w:firstRow="1" w:lastRow="0" w:firstColumn="1" w:lastColumn="0" w:noHBand="0" w:noVBand="1"/>
      </w:tblPr>
      <w:tblGrid>
        <w:gridCol w:w="719"/>
        <w:gridCol w:w="1272"/>
        <w:gridCol w:w="1668"/>
        <w:gridCol w:w="1886"/>
        <w:gridCol w:w="1315"/>
        <w:gridCol w:w="1657"/>
      </w:tblGrid>
      <w:tr w:rsidR="003E78AB" w14:paraId="09A2A0A3" w14:textId="77777777">
        <w:trPr>
          <w:trHeight w:val="540"/>
          <w:tblHeader/>
        </w:trPr>
        <w:tc>
          <w:tcPr>
            <w:tcW w:w="42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6D996A"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序号</w:t>
            </w:r>
          </w:p>
        </w:tc>
        <w:tc>
          <w:tcPr>
            <w:tcW w:w="74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A34AC1"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物质名称</w:t>
            </w:r>
          </w:p>
        </w:tc>
        <w:tc>
          <w:tcPr>
            <w:tcW w:w="97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77A063"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在线量（</w:t>
            </w:r>
            <w:r>
              <w:rPr>
                <w:b/>
                <w:bCs/>
                <w:kern w:val="2"/>
                <w:sz w:val="21"/>
                <w:szCs w:val="21"/>
              </w:rPr>
              <w:t>t</w:t>
            </w:r>
            <w:r>
              <w:rPr>
                <w:rFonts w:hint="eastAsia"/>
                <w:b/>
                <w:bCs/>
                <w:kern w:val="2"/>
                <w:sz w:val="21"/>
                <w:szCs w:val="21"/>
              </w:rPr>
              <w:t>）</w:t>
            </w:r>
          </w:p>
        </w:tc>
        <w:tc>
          <w:tcPr>
            <w:tcW w:w="110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050BA61"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最大储存量（</w:t>
            </w:r>
            <w:r>
              <w:rPr>
                <w:b/>
                <w:bCs/>
                <w:kern w:val="2"/>
                <w:sz w:val="21"/>
                <w:szCs w:val="21"/>
              </w:rPr>
              <w:t>t</w:t>
            </w:r>
            <w:r>
              <w:rPr>
                <w:rFonts w:hint="eastAsia"/>
                <w:b/>
                <w:bCs/>
                <w:kern w:val="2"/>
                <w:sz w:val="21"/>
                <w:szCs w:val="21"/>
              </w:rPr>
              <w:t>）</w:t>
            </w:r>
          </w:p>
        </w:tc>
        <w:tc>
          <w:tcPr>
            <w:tcW w:w="77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0AC880"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临界量（</w:t>
            </w:r>
            <w:r>
              <w:rPr>
                <w:b/>
                <w:bCs/>
                <w:kern w:val="2"/>
                <w:sz w:val="21"/>
                <w:szCs w:val="21"/>
              </w:rPr>
              <w:t>t</w:t>
            </w:r>
            <w:r>
              <w:rPr>
                <w:rFonts w:hint="eastAsia"/>
                <w:b/>
                <w:bCs/>
                <w:kern w:val="2"/>
                <w:sz w:val="21"/>
                <w:szCs w:val="21"/>
              </w:rPr>
              <w:t>）</w:t>
            </w:r>
          </w:p>
        </w:tc>
        <w:tc>
          <w:tcPr>
            <w:tcW w:w="9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CBA7EE3"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临界量比值（</w:t>
            </w:r>
            <w:r>
              <w:rPr>
                <w:b/>
                <w:bCs/>
                <w:kern w:val="2"/>
                <w:sz w:val="21"/>
                <w:szCs w:val="21"/>
              </w:rPr>
              <w:t>Q</w:t>
            </w:r>
            <w:r>
              <w:rPr>
                <w:rFonts w:hint="eastAsia"/>
                <w:b/>
                <w:bCs/>
                <w:kern w:val="2"/>
                <w:sz w:val="21"/>
                <w:szCs w:val="21"/>
              </w:rPr>
              <w:t>）</w:t>
            </w:r>
          </w:p>
        </w:tc>
      </w:tr>
      <w:tr w:rsidR="003E78AB" w14:paraId="1F47F0C7" w14:textId="77777777">
        <w:trPr>
          <w:trHeight w:val="525"/>
        </w:trPr>
        <w:tc>
          <w:tcPr>
            <w:tcW w:w="422" w:type="pct"/>
            <w:tcBorders>
              <w:top w:val="nil"/>
              <w:left w:val="single" w:sz="8" w:space="0" w:color="000000"/>
              <w:bottom w:val="single" w:sz="8" w:space="0" w:color="000000"/>
              <w:right w:val="single" w:sz="8" w:space="0" w:color="000000"/>
            </w:tcBorders>
            <w:shd w:val="clear" w:color="auto" w:fill="auto"/>
            <w:vAlign w:val="center"/>
          </w:tcPr>
          <w:p w14:paraId="3EF93C58" w14:textId="77777777" w:rsidR="003E78AB" w:rsidRDefault="00010BF9">
            <w:pPr>
              <w:spacing w:line="360" w:lineRule="exact"/>
              <w:ind w:firstLineChars="0" w:firstLine="0"/>
              <w:jc w:val="center"/>
              <w:rPr>
                <w:kern w:val="2"/>
                <w:sz w:val="21"/>
                <w:szCs w:val="21"/>
              </w:rPr>
            </w:pPr>
            <w:r>
              <w:rPr>
                <w:kern w:val="2"/>
                <w:sz w:val="21"/>
                <w:szCs w:val="21"/>
              </w:rPr>
              <w:t>1</w:t>
            </w:r>
          </w:p>
        </w:tc>
        <w:tc>
          <w:tcPr>
            <w:tcW w:w="747" w:type="pct"/>
            <w:tcBorders>
              <w:top w:val="nil"/>
              <w:left w:val="single" w:sz="8" w:space="0" w:color="000000"/>
              <w:bottom w:val="single" w:sz="8" w:space="0" w:color="000000"/>
              <w:right w:val="single" w:sz="8" w:space="0" w:color="000000"/>
            </w:tcBorders>
            <w:shd w:val="clear" w:color="auto" w:fill="auto"/>
            <w:vAlign w:val="center"/>
          </w:tcPr>
          <w:p w14:paraId="7A8CDF78" w14:textId="77777777" w:rsidR="003E78AB" w:rsidRDefault="00010BF9">
            <w:pPr>
              <w:spacing w:line="360" w:lineRule="exact"/>
              <w:ind w:firstLineChars="0" w:firstLine="0"/>
              <w:jc w:val="center"/>
              <w:rPr>
                <w:kern w:val="2"/>
                <w:sz w:val="21"/>
                <w:szCs w:val="21"/>
              </w:rPr>
            </w:pPr>
            <w:r>
              <w:rPr>
                <w:rFonts w:hint="eastAsia"/>
                <w:kern w:val="2"/>
                <w:sz w:val="21"/>
                <w:szCs w:val="21"/>
              </w:rPr>
              <w:t>五氧化二钒（以钒计）</w:t>
            </w:r>
          </w:p>
        </w:tc>
        <w:tc>
          <w:tcPr>
            <w:tcW w:w="979" w:type="pct"/>
            <w:tcBorders>
              <w:top w:val="nil"/>
              <w:left w:val="single" w:sz="8" w:space="0" w:color="000000"/>
              <w:bottom w:val="single" w:sz="8" w:space="0" w:color="000000"/>
              <w:right w:val="single" w:sz="8" w:space="0" w:color="000000"/>
            </w:tcBorders>
            <w:shd w:val="clear" w:color="auto" w:fill="auto"/>
            <w:vAlign w:val="center"/>
          </w:tcPr>
          <w:p w14:paraId="09660731" w14:textId="77777777" w:rsidR="003E78AB" w:rsidRDefault="00010BF9">
            <w:pPr>
              <w:spacing w:line="360" w:lineRule="exact"/>
              <w:ind w:firstLineChars="0" w:firstLine="0"/>
              <w:jc w:val="center"/>
              <w:rPr>
                <w:kern w:val="2"/>
                <w:sz w:val="21"/>
                <w:szCs w:val="21"/>
              </w:rPr>
            </w:pPr>
            <w:r>
              <w:rPr>
                <w:rFonts w:hint="eastAsia"/>
                <w:kern w:val="2"/>
                <w:sz w:val="21"/>
                <w:szCs w:val="21"/>
              </w:rPr>
              <w:t>60</w:t>
            </w:r>
            <w:r>
              <w:rPr>
                <w:rFonts w:hint="eastAsia"/>
                <w:kern w:val="2"/>
                <w:sz w:val="21"/>
                <w:szCs w:val="21"/>
              </w:rPr>
              <w:t>（含钒</w:t>
            </w:r>
            <w:r>
              <w:rPr>
                <w:rFonts w:hint="eastAsia"/>
                <w:kern w:val="2"/>
                <w:sz w:val="21"/>
                <w:szCs w:val="21"/>
              </w:rPr>
              <w:t>16.81</w:t>
            </w:r>
            <w:r>
              <w:rPr>
                <w:rFonts w:hint="eastAsia"/>
                <w:kern w:val="2"/>
                <w:sz w:val="21"/>
                <w:szCs w:val="21"/>
              </w:rPr>
              <w:t>）</w:t>
            </w:r>
          </w:p>
        </w:tc>
        <w:tc>
          <w:tcPr>
            <w:tcW w:w="1107" w:type="pct"/>
            <w:tcBorders>
              <w:top w:val="nil"/>
              <w:left w:val="single" w:sz="8" w:space="0" w:color="000000"/>
              <w:bottom w:val="single" w:sz="8" w:space="0" w:color="000000"/>
              <w:right w:val="single" w:sz="8" w:space="0" w:color="000000"/>
            </w:tcBorders>
            <w:shd w:val="clear" w:color="auto" w:fill="auto"/>
            <w:vAlign w:val="center"/>
          </w:tcPr>
          <w:p w14:paraId="2A2E9B60" w14:textId="77777777" w:rsidR="003E78AB" w:rsidRDefault="00010BF9">
            <w:pPr>
              <w:spacing w:line="360" w:lineRule="exact"/>
              <w:ind w:firstLineChars="0" w:firstLine="0"/>
              <w:jc w:val="center"/>
              <w:rPr>
                <w:kern w:val="2"/>
                <w:sz w:val="21"/>
                <w:szCs w:val="21"/>
              </w:rPr>
            </w:pPr>
            <w:r>
              <w:rPr>
                <w:rFonts w:hint="eastAsia"/>
                <w:kern w:val="2"/>
                <w:sz w:val="21"/>
                <w:szCs w:val="21"/>
              </w:rPr>
              <w:t>80</w:t>
            </w:r>
            <w:r>
              <w:rPr>
                <w:rFonts w:hint="eastAsia"/>
                <w:kern w:val="2"/>
                <w:sz w:val="21"/>
                <w:szCs w:val="21"/>
              </w:rPr>
              <w:t>（含钒</w:t>
            </w:r>
            <w:r>
              <w:rPr>
                <w:rFonts w:hint="eastAsia"/>
                <w:kern w:val="2"/>
                <w:sz w:val="21"/>
                <w:szCs w:val="21"/>
              </w:rPr>
              <w:t>22.42</w:t>
            </w:r>
            <w:r>
              <w:rPr>
                <w:rFonts w:hint="eastAsia"/>
                <w:kern w:val="2"/>
                <w:sz w:val="21"/>
                <w:szCs w:val="21"/>
              </w:rPr>
              <w:t>）</w:t>
            </w:r>
          </w:p>
        </w:tc>
        <w:tc>
          <w:tcPr>
            <w:tcW w:w="771" w:type="pct"/>
            <w:tcBorders>
              <w:top w:val="nil"/>
              <w:left w:val="single" w:sz="8" w:space="0" w:color="000000"/>
              <w:bottom w:val="single" w:sz="8" w:space="0" w:color="000000"/>
              <w:right w:val="single" w:sz="8" w:space="0" w:color="000000"/>
            </w:tcBorders>
            <w:shd w:val="clear" w:color="auto" w:fill="auto"/>
            <w:vAlign w:val="center"/>
          </w:tcPr>
          <w:p w14:paraId="590B6AAB" w14:textId="77777777" w:rsidR="003E78AB" w:rsidRDefault="00010BF9">
            <w:pPr>
              <w:spacing w:line="360" w:lineRule="exact"/>
              <w:ind w:firstLineChars="0" w:firstLine="0"/>
              <w:jc w:val="center"/>
              <w:rPr>
                <w:kern w:val="2"/>
                <w:sz w:val="21"/>
                <w:szCs w:val="21"/>
              </w:rPr>
            </w:pPr>
            <w:r>
              <w:rPr>
                <w:kern w:val="2"/>
                <w:sz w:val="21"/>
                <w:szCs w:val="21"/>
              </w:rPr>
              <w:t>0.25</w:t>
            </w:r>
          </w:p>
        </w:tc>
        <w:tc>
          <w:tcPr>
            <w:tcW w:w="972" w:type="pct"/>
            <w:tcBorders>
              <w:top w:val="nil"/>
              <w:left w:val="single" w:sz="8" w:space="0" w:color="000000"/>
              <w:bottom w:val="single" w:sz="8" w:space="0" w:color="000000"/>
              <w:right w:val="single" w:sz="8" w:space="0" w:color="000000"/>
            </w:tcBorders>
            <w:shd w:val="clear" w:color="auto" w:fill="auto"/>
            <w:vAlign w:val="center"/>
          </w:tcPr>
          <w:p w14:paraId="26081630" w14:textId="77777777" w:rsidR="003E78AB" w:rsidRDefault="00010BF9">
            <w:pPr>
              <w:spacing w:line="360" w:lineRule="exact"/>
              <w:ind w:firstLineChars="0" w:firstLine="0"/>
              <w:jc w:val="center"/>
              <w:rPr>
                <w:kern w:val="2"/>
                <w:sz w:val="21"/>
                <w:szCs w:val="21"/>
              </w:rPr>
            </w:pPr>
            <w:r>
              <w:rPr>
                <w:rFonts w:hint="eastAsia"/>
                <w:kern w:val="2"/>
                <w:sz w:val="21"/>
                <w:szCs w:val="21"/>
              </w:rPr>
              <w:t>156.92</w:t>
            </w:r>
          </w:p>
        </w:tc>
      </w:tr>
      <w:tr w:rsidR="003E78AB" w14:paraId="472FF760" w14:textId="77777777">
        <w:trPr>
          <w:trHeight w:val="300"/>
        </w:trPr>
        <w:tc>
          <w:tcPr>
            <w:tcW w:w="422" w:type="pct"/>
            <w:tcBorders>
              <w:top w:val="nil"/>
              <w:left w:val="single" w:sz="8" w:space="0" w:color="000000"/>
              <w:bottom w:val="single" w:sz="8" w:space="0" w:color="000000"/>
              <w:right w:val="single" w:sz="8" w:space="0" w:color="000000"/>
            </w:tcBorders>
            <w:shd w:val="clear" w:color="auto" w:fill="auto"/>
            <w:vAlign w:val="center"/>
          </w:tcPr>
          <w:p w14:paraId="25ECC4C2" w14:textId="77777777" w:rsidR="003E78AB" w:rsidRDefault="00010BF9">
            <w:pPr>
              <w:spacing w:line="360" w:lineRule="exact"/>
              <w:ind w:firstLineChars="0" w:firstLine="0"/>
              <w:jc w:val="center"/>
              <w:rPr>
                <w:kern w:val="2"/>
                <w:sz w:val="21"/>
                <w:szCs w:val="21"/>
              </w:rPr>
            </w:pPr>
            <w:r>
              <w:rPr>
                <w:kern w:val="2"/>
                <w:sz w:val="21"/>
                <w:szCs w:val="21"/>
              </w:rPr>
              <w:t>2</w:t>
            </w:r>
          </w:p>
        </w:tc>
        <w:tc>
          <w:tcPr>
            <w:tcW w:w="747" w:type="pct"/>
            <w:tcBorders>
              <w:top w:val="nil"/>
              <w:left w:val="single" w:sz="8" w:space="0" w:color="000000"/>
              <w:bottom w:val="single" w:sz="8" w:space="0" w:color="000000"/>
              <w:right w:val="single" w:sz="8" w:space="0" w:color="000000"/>
            </w:tcBorders>
            <w:shd w:val="clear" w:color="auto" w:fill="auto"/>
            <w:vAlign w:val="center"/>
          </w:tcPr>
          <w:p w14:paraId="0744FE60" w14:textId="77777777" w:rsidR="003E78AB" w:rsidRDefault="00010BF9">
            <w:pPr>
              <w:spacing w:line="360" w:lineRule="exact"/>
              <w:ind w:firstLineChars="0" w:firstLine="0"/>
              <w:jc w:val="center"/>
              <w:rPr>
                <w:kern w:val="2"/>
                <w:sz w:val="21"/>
                <w:szCs w:val="21"/>
              </w:rPr>
            </w:pPr>
            <w:r>
              <w:rPr>
                <w:rFonts w:hint="eastAsia"/>
                <w:kern w:val="2"/>
                <w:sz w:val="21"/>
                <w:szCs w:val="21"/>
              </w:rPr>
              <w:t>浓硫酸</w:t>
            </w:r>
          </w:p>
        </w:tc>
        <w:tc>
          <w:tcPr>
            <w:tcW w:w="979" w:type="pct"/>
            <w:tcBorders>
              <w:top w:val="nil"/>
              <w:left w:val="single" w:sz="8" w:space="0" w:color="000000"/>
              <w:bottom w:val="single" w:sz="8" w:space="0" w:color="000000"/>
              <w:right w:val="single" w:sz="8" w:space="0" w:color="000000"/>
            </w:tcBorders>
            <w:shd w:val="clear" w:color="auto" w:fill="auto"/>
            <w:vAlign w:val="center"/>
          </w:tcPr>
          <w:p w14:paraId="7CDF6FAE" w14:textId="77777777" w:rsidR="003E78AB" w:rsidRDefault="00010BF9">
            <w:pPr>
              <w:spacing w:line="360" w:lineRule="exact"/>
              <w:ind w:firstLineChars="0" w:firstLine="0"/>
              <w:jc w:val="center"/>
              <w:rPr>
                <w:kern w:val="2"/>
                <w:sz w:val="21"/>
                <w:szCs w:val="21"/>
              </w:rPr>
            </w:pPr>
            <w:r>
              <w:rPr>
                <w:rFonts w:hint="eastAsia"/>
                <w:kern w:val="2"/>
                <w:sz w:val="21"/>
                <w:szCs w:val="21"/>
              </w:rPr>
              <w:t>3.68</w:t>
            </w:r>
          </w:p>
        </w:tc>
        <w:tc>
          <w:tcPr>
            <w:tcW w:w="1107" w:type="pct"/>
            <w:tcBorders>
              <w:top w:val="nil"/>
              <w:left w:val="single" w:sz="8" w:space="0" w:color="000000"/>
              <w:bottom w:val="single" w:sz="8" w:space="0" w:color="000000"/>
              <w:right w:val="single" w:sz="8" w:space="0" w:color="000000"/>
            </w:tcBorders>
            <w:shd w:val="clear" w:color="auto" w:fill="auto"/>
            <w:vAlign w:val="center"/>
          </w:tcPr>
          <w:p w14:paraId="22CC5901" w14:textId="77777777" w:rsidR="003E78AB" w:rsidRDefault="00010BF9">
            <w:pPr>
              <w:spacing w:line="360" w:lineRule="exact"/>
              <w:ind w:firstLineChars="0" w:firstLine="0"/>
              <w:jc w:val="center"/>
              <w:rPr>
                <w:kern w:val="2"/>
                <w:sz w:val="21"/>
                <w:szCs w:val="21"/>
              </w:rPr>
            </w:pPr>
            <w:r>
              <w:rPr>
                <w:kern w:val="2"/>
                <w:sz w:val="21"/>
                <w:szCs w:val="21"/>
              </w:rPr>
              <w:t>883.2</w:t>
            </w:r>
          </w:p>
        </w:tc>
        <w:tc>
          <w:tcPr>
            <w:tcW w:w="771" w:type="pct"/>
            <w:tcBorders>
              <w:top w:val="nil"/>
              <w:left w:val="single" w:sz="8" w:space="0" w:color="000000"/>
              <w:bottom w:val="single" w:sz="8" w:space="0" w:color="000000"/>
              <w:right w:val="single" w:sz="8" w:space="0" w:color="000000"/>
            </w:tcBorders>
            <w:shd w:val="clear" w:color="auto" w:fill="auto"/>
            <w:vAlign w:val="center"/>
          </w:tcPr>
          <w:p w14:paraId="147F3955" w14:textId="77777777" w:rsidR="003E78AB" w:rsidRDefault="00010BF9">
            <w:pPr>
              <w:spacing w:line="360" w:lineRule="exact"/>
              <w:ind w:firstLineChars="0" w:firstLine="0"/>
              <w:jc w:val="center"/>
              <w:rPr>
                <w:kern w:val="2"/>
                <w:sz w:val="21"/>
                <w:szCs w:val="21"/>
              </w:rPr>
            </w:pPr>
            <w:r>
              <w:rPr>
                <w:kern w:val="2"/>
                <w:sz w:val="21"/>
                <w:szCs w:val="21"/>
              </w:rPr>
              <w:t>10</w:t>
            </w:r>
          </w:p>
        </w:tc>
        <w:tc>
          <w:tcPr>
            <w:tcW w:w="972" w:type="pct"/>
            <w:tcBorders>
              <w:top w:val="nil"/>
              <w:left w:val="single" w:sz="8" w:space="0" w:color="000000"/>
              <w:bottom w:val="single" w:sz="8" w:space="0" w:color="000000"/>
              <w:right w:val="single" w:sz="8" w:space="0" w:color="000000"/>
            </w:tcBorders>
            <w:shd w:val="clear" w:color="auto" w:fill="auto"/>
            <w:vAlign w:val="center"/>
          </w:tcPr>
          <w:p w14:paraId="6FC72DAB" w14:textId="77777777" w:rsidR="003E78AB" w:rsidRDefault="00010BF9">
            <w:pPr>
              <w:spacing w:line="360" w:lineRule="exact"/>
              <w:ind w:firstLineChars="0" w:firstLine="0"/>
              <w:jc w:val="center"/>
              <w:rPr>
                <w:kern w:val="2"/>
                <w:sz w:val="21"/>
                <w:szCs w:val="21"/>
              </w:rPr>
            </w:pPr>
            <w:r>
              <w:rPr>
                <w:kern w:val="2"/>
                <w:sz w:val="21"/>
                <w:szCs w:val="21"/>
              </w:rPr>
              <w:t>88.69</w:t>
            </w:r>
          </w:p>
        </w:tc>
      </w:tr>
      <w:tr w:rsidR="003E78AB" w14:paraId="4ED04E3D" w14:textId="77777777">
        <w:trPr>
          <w:trHeight w:val="300"/>
        </w:trPr>
        <w:tc>
          <w:tcPr>
            <w:tcW w:w="422" w:type="pct"/>
            <w:tcBorders>
              <w:top w:val="nil"/>
              <w:left w:val="single" w:sz="8" w:space="0" w:color="000000"/>
              <w:bottom w:val="single" w:sz="8" w:space="0" w:color="000000"/>
              <w:right w:val="single" w:sz="8" w:space="0" w:color="000000"/>
            </w:tcBorders>
            <w:shd w:val="clear" w:color="auto" w:fill="auto"/>
            <w:vAlign w:val="center"/>
          </w:tcPr>
          <w:p w14:paraId="1631FA44" w14:textId="77777777" w:rsidR="003E78AB" w:rsidRDefault="00010BF9">
            <w:pPr>
              <w:spacing w:line="360" w:lineRule="exact"/>
              <w:ind w:firstLineChars="0" w:firstLine="0"/>
              <w:jc w:val="center"/>
              <w:rPr>
                <w:kern w:val="2"/>
                <w:sz w:val="21"/>
                <w:szCs w:val="21"/>
              </w:rPr>
            </w:pPr>
            <w:r>
              <w:rPr>
                <w:kern w:val="2"/>
                <w:sz w:val="21"/>
                <w:szCs w:val="21"/>
              </w:rPr>
              <w:t>3</w:t>
            </w:r>
          </w:p>
        </w:tc>
        <w:tc>
          <w:tcPr>
            <w:tcW w:w="747" w:type="pct"/>
            <w:tcBorders>
              <w:top w:val="nil"/>
              <w:left w:val="single" w:sz="8" w:space="0" w:color="000000"/>
              <w:bottom w:val="single" w:sz="8" w:space="0" w:color="000000"/>
              <w:right w:val="single" w:sz="8" w:space="0" w:color="000000"/>
            </w:tcBorders>
            <w:shd w:val="clear" w:color="auto" w:fill="auto"/>
            <w:vAlign w:val="center"/>
          </w:tcPr>
          <w:p w14:paraId="165AB4C2" w14:textId="77777777" w:rsidR="003E78AB" w:rsidRDefault="00010BF9">
            <w:pPr>
              <w:spacing w:line="360" w:lineRule="exact"/>
              <w:ind w:firstLineChars="0" w:firstLine="0"/>
              <w:jc w:val="center"/>
              <w:rPr>
                <w:kern w:val="2"/>
                <w:sz w:val="21"/>
                <w:szCs w:val="21"/>
              </w:rPr>
            </w:pPr>
            <w:r>
              <w:rPr>
                <w:rFonts w:hint="eastAsia"/>
                <w:kern w:val="2"/>
                <w:sz w:val="21"/>
                <w:szCs w:val="21"/>
              </w:rPr>
              <w:t>磷酸</w:t>
            </w:r>
          </w:p>
        </w:tc>
        <w:tc>
          <w:tcPr>
            <w:tcW w:w="979" w:type="pct"/>
            <w:tcBorders>
              <w:top w:val="nil"/>
              <w:left w:val="single" w:sz="8" w:space="0" w:color="000000"/>
              <w:bottom w:val="single" w:sz="8" w:space="0" w:color="000000"/>
              <w:right w:val="single" w:sz="8" w:space="0" w:color="000000"/>
            </w:tcBorders>
            <w:shd w:val="clear" w:color="auto" w:fill="auto"/>
            <w:vAlign w:val="center"/>
          </w:tcPr>
          <w:p w14:paraId="30D536D7" w14:textId="77777777" w:rsidR="003E78AB" w:rsidRDefault="00010BF9">
            <w:pPr>
              <w:spacing w:line="360" w:lineRule="exact"/>
              <w:ind w:firstLineChars="0" w:firstLine="0"/>
              <w:jc w:val="center"/>
              <w:rPr>
                <w:kern w:val="2"/>
                <w:sz w:val="21"/>
                <w:szCs w:val="21"/>
              </w:rPr>
            </w:pPr>
            <w:r>
              <w:rPr>
                <w:rFonts w:hint="eastAsia"/>
                <w:kern w:val="2"/>
                <w:sz w:val="21"/>
                <w:szCs w:val="21"/>
              </w:rPr>
              <w:t>0.51</w:t>
            </w:r>
          </w:p>
        </w:tc>
        <w:tc>
          <w:tcPr>
            <w:tcW w:w="1107" w:type="pct"/>
            <w:tcBorders>
              <w:top w:val="nil"/>
              <w:left w:val="single" w:sz="8" w:space="0" w:color="000000"/>
              <w:bottom w:val="single" w:sz="8" w:space="0" w:color="000000"/>
              <w:right w:val="single" w:sz="8" w:space="0" w:color="000000"/>
            </w:tcBorders>
            <w:shd w:val="clear" w:color="auto" w:fill="auto"/>
            <w:vAlign w:val="center"/>
          </w:tcPr>
          <w:p w14:paraId="7EA5B111" w14:textId="77777777" w:rsidR="003E78AB" w:rsidRDefault="00010BF9">
            <w:pPr>
              <w:spacing w:line="360" w:lineRule="exact"/>
              <w:ind w:firstLineChars="0" w:firstLine="0"/>
              <w:jc w:val="center"/>
              <w:rPr>
                <w:kern w:val="2"/>
                <w:sz w:val="21"/>
                <w:szCs w:val="21"/>
              </w:rPr>
            </w:pPr>
            <w:r>
              <w:rPr>
                <w:kern w:val="2"/>
                <w:sz w:val="21"/>
                <w:szCs w:val="21"/>
              </w:rPr>
              <w:t>94.36</w:t>
            </w:r>
          </w:p>
        </w:tc>
        <w:tc>
          <w:tcPr>
            <w:tcW w:w="771" w:type="pct"/>
            <w:tcBorders>
              <w:top w:val="nil"/>
              <w:left w:val="single" w:sz="8" w:space="0" w:color="000000"/>
              <w:bottom w:val="single" w:sz="8" w:space="0" w:color="000000"/>
              <w:right w:val="single" w:sz="8" w:space="0" w:color="000000"/>
            </w:tcBorders>
            <w:shd w:val="clear" w:color="auto" w:fill="auto"/>
            <w:vAlign w:val="center"/>
          </w:tcPr>
          <w:p w14:paraId="3586C6A6" w14:textId="77777777" w:rsidR="003E78AB" w:rsidRDefault="00010BF9">
            <w:pPr>
              <w:spacing w:line="360" w:lineRule="exact"/>
              <w:ind w:firstLineChars="0" w:firstLine="0"/>
              <w:jc w:val="center"/>
              <w:rPr>
                <w:kern w:val="2"/>
                <w:sz w:val="21"/>
                <w:szCs w:val="21"/>
              </w:rPr>
            </w:pPr>
            <w:r>
              <w:rPr>
                <w:kern w:val="2"/>
                <w:sz w:val="21"/>
                <w:szCs w:val="21"/>
              </w:rPr>
              <w:t>10</w:t>
            </w:r>
          </w:p>
        </w:tc>
        <w:tc>
          <w:tcPr>
            <w:tcW w:w="972" w:type="pct"/>
            <w:tcBorders>
              <w:top w:val="nil"/>
              <w:left w:val="single" w:sz="8" w:space="0" w:color="000000"/>
              <w:bottom w:val="single" w:sz="8" w:space="0" w:color="000000"/>
              <w:right w:val="single" w:sz="8" w:space="0" w:color="000000"/>
            </w:tcBorders>
            <w:shd w:val="clear" w:color="auto" w:fill="auto"/>
            <w:vAlign w:val="center"/>
          </w:tcPr>
          <w:p w14:paraId="0E7F9052" w14:textId="77777777" w:rsidR="003E78AB" w:rsidRDefault="00010BF9">
            <w:pPr>
              <w:spacing w:line="360" w:lineRule="exact"/>
              <w:ind w:firstLineChars="0" w:firstLine="0"/>
              <w:jc w:val="center"/>
              <w:rPr>
                <w:kern w:val="2"/>
                <w:sz w:val="21"/>
                <w:szCs w:val="21"/>
              </w:rPr>
            </w:pPr>
            <w:r>
              <w:rPr>
                <w:kern w:val="2"/>
                <w:sz w:val="21"/>
                <w:szCs w:val="21"/>
              </w:rPr>
              <w:t>9.49</w:t>
            </w:r>
          </w:p>
        </w:tc>
      </w:tr>
      <w:tr w:rsidR="003E78AB" w14:paraId="6EAA47FB" w14:textId="77777777">
        <w:trPr>
          <w:trHeight w:val="300"/>
        </w:trPr>
        <w:tc>
          <w:tcPr>
            <w:tcW w:w="422" w:type="pct"/>
            <w:tcBorders>
              <w:top w:val="nil"/>
              <w:left w:val="single" w:sz="8" w:space="0" w:color="000000"/>
              <w:bottom w:val="single" w:sz="8" w:space="0" w:color="000000"/>
              <w:right w:val="single" w:sz="8" w:space="0" w:color="000000"/>
            </w:tcBorders>
            <w:shd w:val="clear" w:color="auto" w:fill="auto"/>
            <w:vAlign w:val="center"/>
          </w:tcPr>
          <w:p w14:paraId="285659B2" w14:textId="77777777" w:rsidR="003E78AB" w:rsidRDefault="00010BF9">
            <w:pPr>
              <w:spacing w:line="360" w:lineRule="exact"/>
              <w:ind w:firstLineChars="0" w:firstLine="0"/>
              <w:jc w:val="center"/>
              <w:rPr>
                <w:kern w:val="2"/>
                <w:sz w:val="21"/>
                <w:szCs w:val="21"/>
              </w:rPr>
            </w:pPr>
            <w:r>
              <w:rPr>
                <w:kern w:val="2"/>
                <w:sz w:val="21"/>
                <w:szCs w:val="21"/>
              </w:rPr>
              <w:t>4</w:t>
            </w:r>
          </w:p>
        </w:tc>
        <w:tc>
          <w:tcPr>
            <w:tcW w:w="747" w:type="pct"/>
            <w:tcBorders>
              <w:top w:val="nil"/>
              <w:left w:val="single" w:sz="8" w:space="0" w:color="000000"/>
              <w:bottom w:val="single" w:sz="8" w:space="0" w:color="000000"/>
              <w:right w:val="single" w:sz="8" w:space="0" w:color="000000"/>
            </w:tcBorders>
            <w:shd w:val="clear" w:color="auto" w:fill="auto"/>
            <w:vAlign w:val="center"/>
          </w:tcPr>
          <w:p w14:paraId="13BBCBD9" w14:textId="77777777" w:rsidR="003E78AB" w:rsidRDefault="00010BF9">
            <w:pPr>
              <w:spacing w:line="360" w:lineRule="exact"/>
              <w:ind w:firstLineChars="0" w:firstLine="0"/>
              <w:jc w:val="center"/>
              <w:rPr>
                <w:kern w:val="2"/>
                <w:sz w:val="21"/>
                <w:szCs w:val="21"/>
              </w:rPr>
            </w:pPr>
            <w:r>
              <w:rPr>
                <w:rFonts w:hint="eastAsia"/>
                <w:kern w:val="2"/>
                <w:sz w:val="21"/>
                <w:szCs w:val="21"/>
              </w:rPr>
              <w:t>二水草酸</w:t>
            </w:r>
          </w:p>
        </w:tc>
        <w:tc>
          <w:tcPr>
            <w:tcW w:w="979" w:type="pct"/>
            <w:tcBorders>
              <w:top w:val="nil"/>
              <w:left w:val="single" w:sz="8" w:space="0" w:color="000000"/>
              <w:bottom w:val="single" w:sz="8" w:space="0" w:color="000000"/>
              <w:right w:val="single" w:sz="8" w:space="0" w:color="000000"/>
            </w:tcBorders>
            <w:shd w:val="clear" w:color="auto" w:fill="auto"/>
            <w:vAlign w:val="center"/>
          </w:tcPr>
          <w:p w14:paraId="2687F091" w14:textId="77777777" w:rsidR="003E78AB" w:rsidRDefault="00010BF9">
            <w:pPr>
              <w:spacing w:line="360" w:lineRule="exact"/>
              <w:ind w:firstLineChars="0" w:firstLine="0"/>
              <w:jc w:val="center"/>
              <w:rPr>
                <w:kern w:val="2"/>
                <w:sz w:val="21"/>
                <w:szCs w:val="21"/>
              </w:rPr>
            </w:pPr>
            <w:r>
              <w:rPr>
                <w:kern w:val="2"/>
                <w:sz w:val="21"/>
                <w:szCs w:val="21"/>
              </w:rPr>
              <w:t>30</w:t>
            </w:r>
          </w:p>
        </w:tc>
        <w:tc>
          <w:tcPr>
            <w:tcW w:w="1107" w:type="pct"/>
            <w:tcBorders>
              <w:top w:val="nil"/>
              <w:left w:val="single" w:sz="8" w:space="0" w:color="000000"/>
              <w:bottom w:val="single" w:sz="8" w:space="0" w:color="000000"/>
              <w:right w:val="single" w:sz="8" w:space="0" w:color="000000"/>
            </w:tcBorders>
            <w:shd w:val="clear" w:color="auto" w:fill="auto"/>
            <w:vAlign w:val="center"/>
          </w:tcPr>
          <w:p w14:paraId="4824AF03" w14:textId="77777777" w:rsidR="003E78AB" w:rsidRDefault="00010BF9">
            <w:pPr>
              <w:spacing w:line="360" w:lineRule="exact"/>
              <w:ind w:firstLineChars="0" w:firstLine="0"/>
              <w:jc w:val="center"/>
              <w:rPr>
                <w:kern w:val="2"/>
                <w:sz w:val="21"/>
                <w:szCs w:val="21"/>
              </w:rPr>
            </w:pPr>
            <w:r>
              <w:rPr>
                <w:kern w:val="2"/>
                <w:sz w:val="21"/>
                <w:szCs w:val="21"/>
              </w:rPr>
              <w:t>300</w:t>
            </w:r>
          </w:p>
        </w:tc>
        <w:tc>
          <w:tcPr>
            <w:tcW w:w="771" w:type="pct"/>
            <w:tcBorders>
              <w:top w:val="nil"/>
              <w:left w:val="single" w:sz="8" w:space="0" w:color="000000"/>
              <w:bottom w:val="single" w:sz="8" w:space="0" w:color="000000"/>
              <w:right w:val="single" w:sz="8" w:space="0" w:color="000000"/>
            </w:tcBorders>
            <w:shd w:val="clear" w:color="auto" w:fill="auto"/>
            <w:vAlign w:val="center"/>
          </w:tcPr>
          <w:p w14:paraId="425AD2BE" w14:textId="77777777" w:rsidR="003E78AB" w:rsidRDefault="00010BF9">
            <w:pPr>
              <w:spacing w:line="360" w:lineRule="exact"/>
              <w:ind w:firstLineChars="0" w:firstLine="0"/>
              <w:jc w:val="center"/>
              <w:rPr>
                <w:kern w:val="2"/>
                <w:sz w:val="21"/>
                <w:szCs w:val="21"/>
              </w:rPr>
            </w:pPr>
            <w:r>
              <w:rPr>
                <w:kern w:val="2"/>
                <w:sz w:val="21"/>
                <w:szCs w:val="21"/>
              </w:rPr>
              <w:t>50</w:t>
            </w:r>
          </w:p>
        </w:tc>
        <w:tc>
          <w:tcPr>
            <w:tcW w:w="972" w:type="pct"/>
            <w:tcBorders>
              <w:top w:val="nil"/>
              <w:left w:val="single" w:sz="8" w:space="0" w:color="000000"/>
              <w:bottom w:val="single" w:sz="8" w:space="0" w:color="000000"/>
              <w:right w:val="single" w:sz="8" w:space="0" w:color="000000"/>
            </w:tcBorders>
            <w:shd w:val="clear" w:color="auto" w:fill="auto"/>
            <w:vAlign w:val="center"/>
          </w:tcPr>
          <w:p w14:paraId="315395E5" w14:textId="77777777" w:rsidR="003E78AB" w:rsidRDefault="00010BF9">
            <w:pPr>
              <w:spacing w:line="360" w:lineRule="exact"/>
              <w:ind w:firstLineChars="0" w:firstLine="0"/>
              <w:jc w:val="center"/>
              <w:rPr>
                <w:kern w:val="2"/>
                <w:sz w:val="21"/>
                <w:szCs w:val="21"/>
              </w:rPr>
            </w:pPr>
            <w:r>
              <w:rPr>
                <w:kern w:val="2"/>
                <w:sz w:val="21"/>
                <w:szCs w:val="21"/>
              </w:rPr>
              <w:t>6.6</w:t>
            </w:r>
          </w:p>
        </w:tc>
      </w:tr>
      <w:tr w:rsidR="003E78AB" w14:paraId="72106836" w14:textId="77777777">
        <w:trPr>
          <w:trHeight w:val="300"/>
        </w:trPr>
        <w:tc>
          <w:tcPr>
            <w:tcW w:w="422" w:type="pct"/>
            <w:tcBorders>
              <w:top w:val="nil"/>
              <w:left w:val="single" w:sz="8" w:space="0" w:color="000000"/>
              <w:bottom w:val="single" w:sz="4" w:space="0" w:color="auto"/>
              <w:right w:val="single" w:sz="8" w:space="0" w:color="000000"/>
            </w:tcBorders>
            <w:shd w:val="clear" w:color="auto" w:fill="auto"/>
            <w:vAlign w:val="center"/>
          </w:tcPr>
          <w:p w14:paraId="15986791" w14:textId="77777777" w:rsidR="003E78AB" w:rsidRDefault="00010BF9">
            <w:pPr>
              <w:spacing w:line="360" w:lineRule="exact"/>
              <w:ind w:firstLineChars="0" w:firstLine="0"/>
              <w:jc w:val="center"/>
              <w:rPr>
                <w:kern w:val="2"/>
                <w:sz w:val="21"/>
                <w:szCs w:val="21"/>
              </w:rPr>
            </w:pPr>
            <w:r>
              <w:rPr>
                <w:rFonts w:hint="eastAsia"/>
                <w:kern w:val="2"/>
                <w:sz w:val="21"/>
                <w:szCs w:val="21"/>
              </w:rPr>
              <w:t>5</w:t>
            </w:r>
          </w:p>
        </w:tc>
        <w:tc>
          <w:tcPr>
            <w:tcW w:w="747" w:type="pct"/>
            <w:tcBorders>
              <w:top w:val="nil"/>
              <w:left w:val="single" w:sz="8" w:space="0" w:color="000000"/>
              <w:bottom w:val="single" w:sz="4" w:space="0" w:color="auto"/>
              <w:right w:val="single" w:sz="8" w:space="0" w:color="000000"/>
            </w:tcBorders>
            <w:shd w:val="clear" w:color="auto" w:fill="auto"/>
            <w:vAlign w:val="center"/>
          </w:tcPr>
          <w:p w14:paraId="12C9D110" w14:textId="77777777" w:rsidR="003E78AB" w:rsidRDefault="00010BF9">
            <w:pPr>
              <w:spacing w:line="360" w:lineRule="exact"/>
              <w:ind w:firstLineChars="0" w:firstLine="0"/>
              <w:jc w:val="center"/>
              <w:rPr>
                <w:kern w:val="2"/>
                <w:sz w:val="21"/>
                <w:szCs w:val="21"/>
              </w:rPr>
            </w:pPr>
            <w:r>
              <w:rPr>
                <w:rFonts w:hint="eastAsia"/>
                <w:kern w:val="2"/>
                <w:sz w:val="21"/>
                <w:szCs w:val="21"/>
              </w:rPr>
              <w:t>天然气</w:t>
            </w:r>
          </w:p>
        </w:tc>
        <w:tc>
          <w:tcPr>
            <w:tcW w:w="979" w:type="pct"/>
            <w:tcBorders>
              <w:top w:val="nil"/>
              <w:left w:val="single" w:sz="8" w:space="0" w:color="000000"/>
              <w:bottom w:val="single" w:sz="4" w:space="0" w:color="auto"/>
              <w:right w:val="single" w:sz="8" w:space="0" w:color="000000"/>
            </w:tcBorders>
            <w:shd w:val="clear" w:color="auto" w:fill="auto"/>
            <w:vAlign w:val="center"/>
          </w:tcPr>
          <w:p w14:paraId="63660CCE" w14:textId="77777777" w:rsidR="003E78AB" w:rsidRDefault="00010BF9">
            <w:pPr>
              <w:spacing w:line="360" w:lineRule="exact"/>
              <w:ind w:firstLineChars="0" w:firstLine="0"/>
              <w:jc w:val="center"/>
              <w:rPr>
                <w:kern w:val="2"/>
                <w:sz w:val="21"/>
                <w:szCs w:val="21"/>
              </w:rPr>
            </w:pPr>
            <w:r>
              <w:rPr>
                <w:rFonts w:hint="eastAsia"/>
                <w:kern w:val="2"/>
                <w:sz w:val="21"/>
                <w:szCs w:val="21"/>
              </w:rPr>
              <w:t>0.5</w:t>
            </w:r>
          </w:p>
        </w:tc>
        <w:tc>
          <w:tcPr>
            <w:tcW w:w="1107" w:type="pct"/>
            <w:tcBorders>
              <w:top w:val="nil"/>
              <w:left w:val="single" w:sz="8" w:space="0" w:color="000000"/>
              <w:bottom w:val="single" w:sz="4" w:space="0" w:color="auto"/>
              <w:right w:val="single" w:sz="8" w:space="0" w:color="000000"/>
            </w:tcBorders>
            <w:shd w:val="clear" w:color="auto" w:fill="auto"/>
            <w:vAlign w:val="center"/>
          </w:tcPr>
          <w:p w14:paraId="5D062B4D"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771" w:type="pct"/>
            <w:tcBorders>
              <w:top w:val="nil"/>
              <w:left w:val="single" w:sz="8" w:space="0" w:color="000000"/>
              <w:bottom w:val="single" w:sz="4" w:space="0" w:color="auto"/>
              <w:right w:val="single" w:sz="8" w:space="0" w:color="000000"/>
            </w:tcBorders>
            <w:shd w:val="clear" w:color="auto" w:fill="auto"/>
            <w:vAlign w:val="center"/>
          </w:tcPr>
          <w:p w14:paraId="50B81B76" w14:textId="77777777" w:rsidR="003E78AB" w:rsidRDefault="00010BF9">
            <w:pPr>
              <w:spacing w:line="360" w:lineRule="exact"/>
              <w:ind w:firstLineChars="0" w:firstLine="0"/>
              <w:jc w:val="center"/>
              <w:rPr>
                <w:kern w:val="2"/>
                <w:sz w:val="21"/>
                <w:szCs w:val="21"/>
              </w:rPr>
            </w:pPr>
            <w:r>
              <w:rPr>
                <w:rFonts w:hint="eastAsia"/>
                <w:kern w:val="2"/>
                <w:sz w:val="21"/>
                <w:szCs w:val="21"/>
              </w:rPr>
              <w:t>10</w:t>
            </w:r>
          </w:p>
        </w:tc>
        <w:tc>
          <w:tcPr>
            <w:tcW w:w="972" w:type="pct"/>
            <w:tcBorders>
              <w:top w:val="nil"/>
              <w:left w:val="single" w:sz="8" w:space="0" w:color="000000"/>
              <w:bottom w:val="single" w:sz="4" w:space="0" w:color="auto"/>
              <w:right w:val="single" w:sz="8" w:space="0" w:color="000000"/>
            </w:tcBorders>
            <w:shd w:val="clear" w:color="auto" w:fill="auto"/>
            <w:vAlign w:val="center"/>
          </w:tcPr>
          <w:p w14:paraId="42026CB0" w14:textId="77777777" w:rsidR="003E78AB" w:rsidRDefault="00010BF9">
            <w:pPr>
              <w:spacing w:line="360" w:lineRule="exact"/>
              <w:ind w:firstLineChars="0" w:firstLine="0"/>
              <w:jc w:val="center"/>
              <w:rPr>
                <w:kern w:val="2"/>
                <w:sz w:val="21"/>
                <w:szCs w:val="21"/>
              </w:rPr>
            </w:pPr>
            <w:r>
              <w:rPr>
                <w:rFonts w:hint="eastAsia"/>
                <w:kern w:val="2"/>
                <w:sz w:val="21"/>
                <w:szCs w:val="21"/>
              </w:rPr>
              <w:t>0.05</w:t>
            </w:r>
          </w:p>
        </w:tc>
      </w:tr>
      <w:tr w:rsidR="003E78AB" w14:paraId="491416EC" w14:textId="77777777">
        <w:trPr>
          <w:trHeight w:val="300"/>
        </w:trPr>
        <w:tc>
          <w:tcPr>
            <w:tcW w:w="422" w:type="pct"/>
            <w:tcBorders>
              <w:top w:val="nil"/>
              <w:left w:val="single" w:sz="8" w:space="0" w:color="000000"/>
              <w:bottom w:val="single" w:sz="4" w:space="0" w:color="auto"/>
              <w:right w:val="single" w:sz="8" w:space="0" w:color="000000"/>
            </w:tcBorders>
            <w:shd w:val="clear" w:color="auto" w:fill="auto"/>
            <w:vAlign w:val="center"/>
          </w:tcPr>
          <w:p w14:paraId="7A7ADC5F" w14:textId="77777777" w:rsidR="003E78AB" w:rsidRDefault="00010BF9">
            <w:pPr>
              <w:spacing w:line="360" w:lineRule="exact"/>
              <w:ind w:firstLineChars="0" w:firstLine="0"/>
              <w:jc w:val="center"/>
              <w:rPr>
                <w:kern w:val="2"/>
                <w:sz w:val="21"/>
                <w:szCs w:val="21"/>
              </w:rPr>
            </w:pPr>
            <w:r>
              <w:rPr>
                <w:rFonts w:hint="eastAsia"/>
                <w:kern w:val="2"/>
                <w:sz w:val="21"/>
                <w:szCs w:val="21"/>
              </w:rPr>
              <w:t>6</w:t>
            </w:r>
          </w:p>
        </w:tc>
        <w:tc>
          <w:tcPr>
            <w:tcW w:w="747" w:type="pct"/>
            <w:tcBorders>
              <w:top w:val="nil"/>
              <w:left w:val="single" w:sz="8" w:space="0" w:color="000000"/>
              <w:bottom w:val="single" w:sz="4" w:space="0" w:color="auto"/>
              <w:right w:val="single" w:sz="8" w:space="0" w:color="000000"/>
            </w:tcBorders>
            <w:shd w:val="clear" w:color="auto" w:fill="auto"/>
            <w:vAlign w:val="center"/>
          </w:tcPr>
          <w:p w14:paraId="566512FC" w14:textId="77777777" w:rsidR="003E78AB" w:rsidRDefault="00010BF9">
            <w:pPr>
              <w:spacing w:line="360" w:lineRule="exact"/>
              <w:ind w:firstLineChars="0" w:firstLine="0"/>
              <w:jc w:val="center"/>
              <w:rPr>
                <w:kern w:val="2"/>
                <w:sz w:val="21"/>
                <w:szCs w:val="21"/>
              </w:rPr>
            </w:pPr>
            <w:r>
              <w:rPr>
                <w:rFonts w:hint="eastAsia"/>
                <w:kern w:val="2"/>
                <w:sz w:val="21"/>
                <w:szCs w:val="21"/>
              </w:rPr>
              <w:t>钒电解液（以钒计）</w:t>
            </w:r>
          </w:p>
        </w:tc>
        <w:tc>
          <w:tcPr>
            <w:tcW w:w="979" w:type="pct"/>
            <w:tcBorders>
              <w:top w:val="nil"/>
              <w:left w:val="single" w:sz="8" w:space="0" w:color="000000"/>
              <w:bottom w:val="single" w:sz="4" w:space="0" w:color="auto"/>
              <w:right w:val="single" w:sz="8" w:space="0" w:color="000000"/>
            </w:tcBorders>
            <w:shd w:val="clear" w:color="auto" w:fill="auto"/>
            <w:vAlign w:val="center"/>
          </w:tcPr>
          <w:p w14:paraId="7E962BBA" w14:textId="77777777" w:rsidR="003E78AB" w:rsidRDefault="00010BF9">
            <w:pPr>
              <w:spacing w:line="360" w:lineRule="exact"/>
              <w:ind w:firstLineChars="0" w:firstLine="0"/>
              <w:jc w:val="center"/>
              <w:rPr>
                <w:kern w:val="2"/>
                <w:sz w:val="21"/>
                <w:szCs w:val="21"/>
              </w:rPr>
            </w:pPr>
            <w:r>
              <w:rPr>
                <w:rFonts w:hint="eastAsia"/>
                <w:kern w:val="2"/>
                <w:sz w:val="21"/>
                <w:szCs w:val="21"/>
              </w:rPr>
              <w:t>283.808</w:t>
            </w:r>
            <w:r>
              <w:rPr>
                <w:rFonts w:hint="eastAsia"/>
                <w:kern w:val="2"/>
                <w:sz w:val="21"/>
                <w:szCs w:val="21"/>
              </w:rPr>
              <w:t>（含钒</w:t>
            </w:r>
            <w:r>
              <w:rPr>
                <w:rFonts w:hint="eastAsia"/>
                <w:kern w:val="2"/>
                <w:sz w:val="21"/>
                <w:szCs w:val="21"/>
              </w:rPr>
              <w:t>10.41</w:t>
            </w:r>
            <w:r>
              <w:rPr>
                <w:rFonts w:hint="eastAsia"/>
                <w:kern w:val="2"/>
                <w:sz w:val="21"/>
                <w:szCs w:val="21"/>
              </w:rPr>
              <w:t>）</w:t>
            </w:r>
          </w:p>
        </w:tc>
        <w:tc>
          <w:tcPr>
            <w:tcW w:w="1107" w:type="pct"/>
            <w:tcBorders>
              <w:top w:val="nil"/>
              <w:left w:val="single" w:sz="8" w:space="0" w:color="000000"/>
              <w:bottom w:val="single" w:sz="4" w:space="0" w:color="auto"/>
              <w:right w:val="single" w:sz="8" w:space="0" w:color="000000"/>
            </w:tcBorders>
            <w:shd w:val="clear" w:color="auto" w:fill="auto"/>
            <w:vAlign w:val="center"/>
          </w:tcPr>
          <w:p w14:paraId="62188B22" w14:textId="77777777" w:rsidR="003E78AB" w:rsidRDefault="00010BF9">
            <w:pPr>
              <w:spacing w:line="360" w:lineRule="exact"/>
              <w:ind w:firstLineChars="0" w:firstLine="0"/>
              <w:jc w:val="center"/>
              <w:rPr>
                <w:kern w:val="2"/>
                <w:sz w:val="21"/>
                <w:szCs w:val="21"/>
              </w:rPr>
            </w:pPr>
            <w:r>
              <w:rPr>
                <w:rFonts w:hint="eastAsia"/>
                <w:kern w:val="2"/>
                <w:sz w:val="21"/>
                <w:szCs w:val="21"/>
              </w:rPr>
              <w:t>1792</w:t>
            </w:r>
            <w:r>
              <w:rPr>
                <w:rFonts w:hint="eastAsia"/>
                <w:kern w:val="2"/>
                <w:sz w:val="21"/>
                <w:szCs w:val="21"/>
              </w:rPr>
              <w:t>（含钒</w:t>
            </w:r>
            <w:r>
              <w:rPr>
                <w:rFonts w:hint="eastAsia"/>
                <w:kern w:val="2"/>
                <w:sz w:val="21"/>
                <w:szCs w:val="21"/>
              </w:rPr>
              <w:t>62.19</w:t>
            </w:r>
            <w:r>
              <w:rPr>
                <w:rFonts w:hint="eastAsia"/>
                <w:kern w:val="2"/>
                <w:sz w:val="21"/>
                <w:szCs w:val="21"/>
              </w:rPr>
              <w:t>）</w:t>
            </w:r>
          </w:p>
        </w:tc>
        <w:tc>
          <w:tcPr>
            <w:tcW w:w="771" w:type="pct"/>
            <w:tcBorders>
              <w:top w:val="nil"/>
              <w:left w:val="single" w:sz="8" w:space="0" w:color="000000"/>
              <w:bottom w:val="single" w:sz="4" w:space="0" w:color="auto"/>
              <w:right w:val="single" w:sz="8" w:space="0" w:color="000000"/>
            </w:tcBorders>
            <w:shd w:val="clear" w:color="auto" w:fill="auto"/>
            <w:vAlign w:val="center"/>
          </w:tcPr>
          <w:p w14:paraId="629E8E43" w14:textId="77777777" w:rsidR="003E78AB" w:rsidRDefault="00010BF9">
            <w:pPr>
              <w:spacing w:line="360" w:lineRule="exact"/>
              <w:ind w:firstLineChars="0" w:firstLine="0"/>
              <w:jc w:val="center"/>
              <w:rPr>
                <w:kern w:val="2"/>
                <w:sz w:val="21"/>
                <w:szCs w:val="21"/>
              </w:rPr>
            </w:pPr>
            <w:r>
              <w:rPr>
                <w:rFonts w:hint="eastAsia"/>
                <w:kern w:val="2"/>
                <w:sz w:val="21"/>
                <w:szCs w:val="21"/>
              </w:rPr>
              <w:t>0.25</w:t>
            </w:r>
          </w:p>
        </w:tc>
        <w:tc>
          <w:tcPr>
            <w:tcW w:w="972" w:type="pct"/>
            <w:tcBorders>
              <w:top w:val="nil"/>
              <w:left w:val="single" w:sz="8" w:space="0" w:color="000000"/>
              <w:bottom w:val="single" w:sz="4" w:space="0" w:color="auto"/>
              <w:right w:val="single" w:sz="8" w:space="0" w:color="000000"/>
            </w:tcBorders>
            <w:shd w:val="clear" w:color="auto" w:fill="auto"/>
            <w:vAlign w:val="center"/>
          </w:tcPr>
          <w:p w14:paraId="77C4844B" w14:textId="77777777" w:rsidR="003E78AB" w:rsidRDefault="00010BF9">
            <w:pPr>
              <w:spacing w:line="360" w:lineRule="exact"/>
              <w:ind w:firstLineChars="0" w:firstLine="0"/>
              <w:jc w:val="center"/>
              <w:rPr>
                <w:kern w:val="2"/>
                <w:sz w:val="21"/>
                <w:szCs w:val="21"/>
              </w:rPr>
            </w:pPr>
            <w:r>
              <w:rPr>
                <w:kern w:val="2"/>
                <w:sz w:val="21"/>
                <w:szCs w:val="21"/>
              </w:rPr>
              <w:t>290.40</w:t>
            </w:r>
          </w:p>
        </w:tc>
      </w:tr>
      <w:tr w:rsidR="003E78AB" w14:paraId="67C53A15" w14:textId="77777777">
        <w:trPr>
          <w:trHeight w:val="300"/>
        </w:trPr>
        <w:tc>
          <w:tcPr>
            <w:tcW w:w="422" w:type="pct"/>
            <w:tcBorders>
              <w:top w:val="nil"/>
              <w:left w:val="single" w:sz="8" w:space="0" w:color="000000"/>
              <w:bottom w:val="single" w:sz="4" w:space="0" w:color="auto"/>
              <w:right w:val="single" w:sz="8" w:space="0" w:color="000000"/>
            </w:tcBorders>
            <w:shd w:val="clear" w:color="auto" w:fill="auto"/>
            <w:vAlign w:val="center"/>
          </w:tcPr>
          <w:p w14:paraId="22C0484F" w14:textId="77777777" w:rsidR="003E78AB" w:rsidRDefault="00010BF9">
            <w:pPr>
              <w:spacing w:line="360" w:lineRule="exact"/>
              <w:ind w:firstLineChars="0" w:firstLine="0"/>
              <w:jc w:val="center"/>
              <w:rPr>
                <w:kern w:val="2"/>
                <w:sz w:val="21"/>
                <w:szCs w:val="21"/>
              </w:rPr>
            </w:pPr>
            <w:r>
              <w:rPr>
                <w:rFonts w:hint="eastAsia"/>
                <w:kern w:val="2"/>
                <w:sz w:val="21"/>
                <w:szCs w:val="21"/>
              </w:rPr>
              <w:t>7</w:t>
            </w:r>
          </w:p>
        </w:tc>
        <w:tc>
          <w:tcPr>
            <w:tcW w:w="747" w:type="pct"/>
            <w:tcBorders>
              <w:top w:val="nil"/>
              <w:left w:val="single" w:sz="8" w:space="0" w:color="000000"/>
              <w:bottom w:val="single" w:sz="4" w:space="0" w:color="auto"/>
              <w:right w:val="single" w:sz="8" w:space="0" w:color="000000"/>
            </w:tcBorders>
            <w:shd w:val="clear" w:color="auto" w:fill="auto"/>
            <w:vAlign w:val="center"/>
          </w:tcPr>
          <w:p w14:paraId="45A2B9BE" w14:textId="77777777" w:rsidR="003E78AB" w:rsidRDefault="00010BF9">
            <w:pPr>
              <w:spacing w:line="360" w:lineRule="exact"/>
              <w:ind w:firstLineChars="0" w:firstLine="0"/>
              <w:jc w:val="center"/>
              <w:rPr>
                <w:kern w:val="2"/>
                <w:sz w:val="21"/>
                <w:szCs w:val="21"/>
              </w:rPr>
            </w:pPr>
            <w:r>
              <w:rPr>
                <w:rFonts w:hint="eastAsia"/>
                <w:kern w:val="2"/>
                <w:sz w:val="21"/>
                <w:szCs w:val="21"/>
              </w:rPr>
              <w:t>含钒结晶盐（以钒计）</w:t>
            </w:r>
          </w:p>
        </w:tc>
        <w:tc>
          <w:tcPr>
            <w:tcW w:w="979" w:type="pct"/>
            <w:tcBorders>
              <w:top w:val="nil"/>
              <w:left w:val="single" w:sz="8" w:space="0" w:color="000000"/>
              <w:bottom w:val="single" w:sz="4" w:space="0" w:color="auto"/>
              <w:right w:val="single" w:sz="8" w:space="0" w:color="000000"/>
            </w:tcBorders>
            <w:shd w:val="clear" w:color="auto" w:fill="auto"/>
            <w:vAlign w:val="center"/>
          </w:tcPr>
          <w:p w14:paraId="0EBC8CF6"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07" w:type="pct"/>
            <w:tcBorders>
              <w:top w:val="nil"/>
              <w:left w:val="single" w:sz="8" w:space="0" w:color="000000"/>
              <w:bottom w:val="single" w:sz="4" w:space="0" w:color="auto"/>
              <w:right w:val="single" w:sz="8" w:space="0" w:color="000000"/>
            </w:tcBorders>
            <w:shd w:val="clear" w:color="auto" w:fill="auto"/>
            <w:vAlign w:val="center"/>
          </w:tcPr>
          <w:p w14:paraId="72787229" w14:textId="77777777" w:rsidR="003E78AB" w:rsidRDefault="00010BF9">
            <w:pPr>
              <w:spacing w:line="360" w:lineRule="exact"/>
              <w:ind w:firstLineChars="0" w:firstLine="0"/>
              <w:jc w:val="center"/>
              <w:rPr>
                <w:kern w:val="2"/>
                <w:sz w:val="21"/>
                <w:szCs w:val="21"/>
              </w:rPr>
            </w:pPr>
            <w:r>
              <w:rPr>
                <w:rFonts w:hint="eastAsia"/>
                <w:kern w:val="2"/>
                <w:sz w:val="21"/>
                <w:szCs w:val="21"/>
              </w:rPr>
              <w:t>60.21</w:t>
            </w:r>
            <w:r>
              <w:rPr>
                <w:rFonts w:hint="eastAsia"/>
                <w:kern w:val="2"/>
                <w:sz w:val="21"/>
                <w:szCs w:val="21"/>
              </w:rPr>
              <w:t>（含钒</w:t>
            </w:r>
            <w:r>
              <w:rPr>
                <w:rFonts w:hint="eastAsia"/>
                <w:kern w:val="2"/>
                <w:sz w:val="21"/>
                <w:szCs w:val="21"/>
              </w:rPr>
              <w:t>2.92kg</w:t>
            </w:r>
            <w:r>
              <w:rPr>
                <w:rFonts w:hint="eastAsia"/>
                <w:kern w:val="2"/>
                <w:sz w:val="21"/>
                <w:szCs w:val="21"/>
              </w:rPr>
              <w:t>）</w:t>
            </w:r>
          </w:p>
        </w:tc>
        <w:tc>
          <w:tcPr>
            <w:tcW w:w="771" w:type="pct"/>
            <w:tcBorders>
              <w:top w:val="nil"/>
              <w:left w:val="single" w:sz="8" w:space="0" w:color="000000"/>
              <w:bottom w:val="single" w:sz="4" w:space="0" w:color="auto"/>
              <w:right w:val="single" w:sz="8" w:space="0" w:color="000000"/>
            </w:tcBorders>
            <w:shd w:val="clear" w:color="auto" w:fill="auto"/>
            <w:vAlign w:val="center"/>
          </w:tcPr>
          <w:p w14:paraId="11C082F6" w14:textId="77777777" w:rsidR="003E78AB" w:rsidRDefault="00010BF9">
            <w:pPr>
              <w:spacing w:line="360" w:lineRule="exact"/>
              <w:ind w:firstLineChars="0" w:firstLine="0"/>
              <w:jc w:val="center"/>
              <w:rPr>
                <w:kern w:val="2"/>
                <w:sz w:val="21"/>
                <w:szCs w:val="21"/>
              </w:rPr>
            </w:pPr>
            <w:r>
              <w:rPr>
                <w:rFonts w:hint="eastAsia"/>
                <w:kern w:val="2"/>
                <w:sz w:val="21"/>
                <w:szCs w:val="21"/>
              </w:rPr>
              <w:t>0.25</w:t>
            </w:r>
          </w:p>
        </w:tc>
        <w:tc>
          <w:tcPr>
            <w:tcW w:w="972" w:type="pct"/>
            <w:tcBorders>
              <w:top w:val="nil"/>
              <w:left w:val="single" w:sz="8" w:space="0" w:color="000000"/>
              <w:bottom w:val="single" w:sz="4" w:space="0" w:color="auto"/>
              <w:right w:val="single" w:sz="8" w:space="0" w:color="000000"/>
            </w:tcBorders>
            <w:shd w:val="clear" w:color="auto" w:fill="auto"/>
            <w:vAlign w:val="center"/>
          </w:tcPr>
          <w:p w14:paraId="216CD8C8" w14:textId="77777777" w:rsidR="003E78AB" w:rsidRDefault="00010BF9">
            <w:pPr>
              <w:spacing w:line="360" w:lineRule="exact"/>
              <w:ind w:firstLineChars="0" w:firstLine="0"/>
              <w:jc w:val="center"/>
              <w:rPr>
                <w:kern w:val="2"/>
                <w:sz w:val="21"/>
                <w:szCs w:val="21"/>
              </w:rPr>
            </w:pPr>
            <w:r>
              <w:rPr>
                <w:kern w:val="2"/>
                <w:sz w:val="21"/>
                <w:szCs w:val="21"/>
              </w:rPr>
              <w:t>0.01168</w:t>
            </w:r>
          </w:p>
        </w:tc>
      </w:tr>
      <w:tr w:rsidR="003E78AB" w14:paraId="1F338CAB" w14:textId="77777777">
        <w:trPr>
          <w:trHeight w:val="300"/>
        </w:trPr>
        <w:tc>
          <w:tcPr>
            <w:tcW w:w="422" w:type="pct"/>
            <w:tcBorders>
              <w:top w:val="nil"/>
              <w:left w:val="single" w:sz="8" w:space="0" w:color="000000"/>
              <w:bottom w:val="single" w:sz="4" w:space="0" w:color="auto"/>
              <w:right w:val="single" w:sz="8" w:space="0" w:color="000000"/>
            </w:tcBorders>
            <w:shd w:val="clear" w:color="auto" w:fill="auto"/>
            <w:vAlign w:val="center"/>
          </w:tcPr>
          <w:p w14:paraId="14523822" w14:textId="77777777" w:rsidR="003E78AB" w:rsidRDefault="00010BF9">
            <w:pPr>
              <w:spacing w:line="360" w:lineRule="exact"/>
              <w:ind w:firstLineChars="0" w:firstLine="0"/>
              <w:jc w:val="center"/>
              <w:rPr>
                <w:kern w:val="2"/>
                <w:sz w:val="21"/>
                <w:szCs w:val="21"/>
              </w:rPr>
            </w:pPr>
            <w:r>
              <w:rPr>
                <w:rFonts w:hint="eastAsia"/>
                <w:kern w:val="2"/>
                <w:sz w:val="21"/>
                <w:szCs w:val="21"/>
              </w:rPr>
              <w:t>8</w:t>
            </w:r>
          </w:p>
        </w:tc>
        <w:tc>
          <w:tcPr>
            <w:tcW w:w="747" w:type="pct"/>
            <w:tcBorders>
              <w:top w:val="nil"/>
              <w:left w:val="single" w:sz="8" w:space="0" w:color="000000"/>
              <w:bottom w:val="single" w:sz="4" w:space="0" w:color="auto"/>
              <w:right w:val="single" w:sz="8" w:space="0" w:color="000000"/>
            </w:tcBorders>
            <w:shd w:val="clear" w:color="auto" w:fill="auto"/>
            <w:vAlign w:val="center"/>
          </w:tcPr>
          <w:p w14:paraId="31403789" w14:textId="77777777" w:rsidR="003E78AB" w:rsidRDefault="00010BF9">
            <w:pPr>
              <w:spacing w:line="360" w:lineRule="exact"/>
              <w:ind w:firstLineChars="0" w:firstLine="0"/>
              <w:jc w:val="center"/>
              <w:rPr>
                <w:kern w:val="2"/>
                <w:sz w:val="21"/>
                <w:szCs w:val="21"/>
              </w:rPr>
            </w:pPr>
            <w:r>
              <w:rPr>
                <w:rFonts w:hint="eastAsia"/>
                <w:kern w:val="2"/>
                <w:sz w:val="21"/>
                <w:szCs w:val="21"/>
              </w:rPr>
              <w:t>废润滑油</w:t>
            </w:r>
          </w:p>
        </w:tc>
        <w:tc>
          <w:tcPr>
            <w:tcW w:w="979" w:type="pct"/>
            <w:tcBorders>
              <w:top w:val="nil"/>
              <w:left w:val="single" w:sz="8" w:space="0" w:color="000000"/>
              <w:bottom w:val="single" w:sz="4" w:space="0" w:color="auto"/>
              <w:right w:val="single" w:sz="8" w:space="0" w:color="000000"/>
            </w:tcBorders>
            <w:shd w:val="clear" w:color="auto" w:fill="auto"/>
            <w:vAlign w:val="center"/>
          </w:tcPr>
          <w:p w14:paraId="079F4BAE"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07" w:type="pct"/>
            <w:tcBorders>
              <w:top w:val="nil"/>
              <w:left w:val="single" w:sz="8" w:space="0" w:color="000000"/>
              <w:bottom w:val="single" w:sz="4" w:space="0" w:color="auto"/>
              <w:right w:val="single" w:sz="8" w:space="0" w:color="000000"/>
            </w:tcBorders>
            <w:shd w:val="clear" w:color="auto" w:fill="auto"/>
            <w:vAlign w:val="center"/>
          </w:tcPr>
          <w:p w14:paraId="0526FB93" w14:textId="77777777" w:rsidR="003E78AB" w:rsidRDefault="00010BF9">
            <w:pPr>
              <w:spacing w:line="360" w:lineRule="exact"/>
              <w:ind w:firstLineChars="0" w:firstLine="0"/>
              <w:jc w:val="center"/>
              <w:rPr>
                <w:kern w:val="2"/>
                <w:sz w:val="21"/>
                <w:szCs w:val="21"/>
              </w:rPr>
            </w:pPr>
            <w:r>
              <w:rPr>
                <w:rFonts w:hint="eastAsia"/>
                <w:kern w:val="2"/>
                <w:sz w:val="21"/>
                <w:szCs w:val="21"/>
              </w:rPr>
              <w:t>2</w:t>
            </w:r>
          </w:p>
        </w:tc>
        <w:tc>
          <w:tcPr>
            <w:tcW w:w="771" w:type="pct"/>
            <w:tcBorders>
              <w:top w:val="nil"/>
              <w:left w:val="single" w:sz="8" w:space="0" w:color="000000"/>
              <w:bottom w:val="single" w:sz="4" w:space="0" w:color="auto"/>
              <w:right w:val="single" w:sz="8" w:space="0" w:color="000000"/>
            </w:tcBorders>
            <w:shd w:val="clear" w:color="auto" w:fill="auto"/>
            <w:vAlign w:val="center"/>
          </w:tcPr>
          <w:p w14:paraId="438DF412" w14:textId="77777777" w:rsidR="003E78AB" w:rsidRDefault="00010BF9">
            <w:pPr>
              <w:spacing w:line="360" w:lineRule="exact"/>
              <w:ind w:firstLineChars="0" w:firstLine="0"/>
              <w:jc w:val="center"/>
              <w:rPr>
                <w:kern w:val="2"/>
                <w:sz w:val="21"/>
                <w:szCs w:val="21"/>
              </w:rPr>
            </w:pPr>
            <w:r>
              <w:rPr>
                <w:rFonts w:hint="eastAsia"/>
                <w:kern w:val="2"/>
                <w:sz w:val="21"/>
                <w:szCs w:val="21"/>
              </w:rPr>
              <w:t>2500</w:t>
            </w:r>
          </w:p>
        </w:tc>
        <w:tc>
          <w:tcPr>
            <w:tcW w:w="972" w:type="pct"/>
            <w:tcBorders>
              <w:top w:val="nil"/>
              <w:left w:val="single" w:sz="8" w:space="0" w:color="000000"/>
              <w:bottom w:val="single" w:sz="4" w:space="0" w:color="auto"/>
              <w:right w:val="single" w:sz="8" w:space="0" w:color="000000"/>
            </w:tcBorders>
            <w:shd w:val="clear" w:color="auto" w:fill="auto"/>
            <w:vAlign w:val="center"/>
          </w:tcPr>
          <w:p w14:paraId="37D91CD3" w14:textId="77777777" w:rsidR="003E78AB" w:rsidRDefault="00010BF9">
            <w:pPr>
              <w:spacing w:line="360" w:lineRule="exact"/>
              <w:ind w:firstLineChars="0" w:firstLine="0"/>
              <w:jc w:val="center"/>
              <w:rPr>
                <w:kern w:val="2"/>
                <w:sz w:val="21"/>
                <w:szCs w:val="21"/>
              </w:rPr>
            </w:pPr>
            <w:r>
              <w:rPr>
                <w:kern w:val="2"/>
                <w:sz w:val="21"/>
                <w:szCs w:val="21"/>
              </w:rPr>
              <w:t>0.0008</w:t>
            </w:r>
          </w:p>
        </w:tc>
      </w:tr>
      <w:tr w:rsidR="003E78AB" w14:paraId="0876C033" w14:textId="77777777">
        <w:trPr>
          <w:trHeight w:val="300"/>
        </w:trPr>
        <w:tc>
          <w:tcPr>
            <w:tcW w:w="422" w:type="pct"/>
            <w:tcBorders>
              <w:top w:val="nil"/>
              <w:left w:val="single" w:sz="8" w:space="0" w:color="000000"/>
              <w:bottom w:val="single" w:sz="4" w:space="0" w:color="auto"/>
              <w:right w:val="single" w:sz="8" w:space="0" w:color="000000"/>
            </w:tcBorders>
            <w:shd w:val="clear" w:color="auto" w:fill="auto"/>
            <w:vAlign w:val="center"/>
          </w:tcPr>
          <w:p w14:paraId="17A83093"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w:t>
            </w:r>
          </w:p>
        </w:tc>
        <w:tc>
          <w:tcPr>
            <w:tcW w:w="1272" w:type="dxa"/>
            <w:tcBorders>
              <w:top w:val="nil"/>
              <w:left w:val="single" w:sz="8" w:space="0" w:color="000000"/>
              <w:bottom w:val="single" w:sz="4" w:space="0" w:color="auto"/>
              <w:right w:val="single" w:sz="8" w:space="0" w:color="000000"/>
            </w:tcBorders>
            <w:shd w:val="clear" w:color="auto" w:fill="auto"/>
            <w:vAlign w:val="center"/>
          </w:tcPr>
          <w:p w14:paraId="2A5C3093" w14:textId="77777777" w:rsidR="003E78AB" w:rsidRDefault="00010BF9">
            <w:pPr>
              <w:spacing w:line="360" w:lineRule="exact"/>
              <w:ind w:firstLineChars="0" w:firstLine="0"/>
              <w:jc w:val="center"/>
              <w:rPr>
                <w:bCs/>
                <w:kern w:val="2"/>
                <w:sz w:val="21"/>
                <w:szCs w:val="21"/>
              </w:rPr>
            </w:pPr>
            <w:r>
              <w:rPr>
                <w:rFonts w:hint="eastAsia"/>
                <w:bCs/>
                <w:kern w:val="2"/>
                <w:sz w:val="21"/>
                <w:szCs w:val="21"/>
              </w:rPr>
              <w:t>氢氧化钠</w:t>
            </w:r>
          </w:p>
        </w:tc>
        <w:tc>
          <w:tcPr>
            <w:tcW w:w="1668" w:type="dxa"/>
            <w:tcBorders>
              <w:top w:val="nil"/>
              <w:left w:val="single" w:sz="8" w:space="0" w:color="000000"/>
              <w:bottom w:val="single" w:sz="4" w:space="0" w:color="auto"/>
              <w:right w:val="single" w:sz="8" w:space="0" w:color="000000"/>
            </w:tcBorders>
            <w:shd w:val="clear" w:color="auto" w:fill="auto"/>
            <w:vAlign w:val="center"/>
          </w:tcPr>
          <w:p w14:paraId="2DC04195" w14:textId="77777777" w:rsidR="003E78AB" w:rsidRDefault="00010BF9">
            <w:pPr>
              <w:spacing w:line="360" w:lineRule="exact"/>
              <w:ind w:firstLineChars="0" w:firstLine="0"/>
              <w:jc w:val="center"/>
              <w:rPr>
                <w:bCs/>
                <w:kern w:val="2"/>
                <w:sz w:val="21"/>
                <w:szCs w:val="21"/>
              </w:rPr>
            </w:pPr>
            <w:r>
              <w:rPr>
                <w:rFonts w:hint="eastAsia"/>
                <w:bCs/>
                <w:kern w:val="2"/>
                <w:sz w:val="21"/>
                <w:szCs w:val="21"/>
              </w:rPr>
              <w:t>/</w:t>
            </w:r>
          </w:p>
        </w:tc>
        <w:tc>
          <w:tcPr>
            <w:tcW w:w="1886" w:type="dxa"/>
            <w:tcBorders>
              <w:top w:val="nil"/>
              <w:left w:val="single" w:sz="8" w:space="0" w:color="000000"/>
              <w:bottom w:val="single" w:sz="4" w:space="0" w:color="auto"/>
              <w:right w:val="single" w:sz="8" w:space="0" w:color="000000"/>
            </w:tcBorders>
            <w:shd w:val="clear" w:color="auto" w:fill="auto"/>
            <w:vAlign w:val="center"/>
          </w:tcPr>
          <w:p w14:paraId="43A0C439" w14:textId="77777777" w:rsidR="003E78AB" w:rsidRDefault="00010BF9">
            <w:pPr>
              <w:spacing w:line="360" w:lineRule="exact"/>
              <w:ind w:firstLineChars="0" w:firstLine="0"/>
              <w:jc w:val="center"/>
              <w:rPr>
                <w:bCs/>
                <w:kern w:val="2"/>
                <w:sz w:val="21"/>
                <w:szCs w:val="21"/>
              </w:rPr>
            </w:pPr>
            <w:r>
              <w:rPr>
                <w:rFonts w:hint="eastAsia"/>
                <w:bCs/>
                <w:kern w:val="2"/>
                <w:sz w:val="21"/>
                <w:szCs w:val="21"/>
              </w:rPr>
              <w:t>10</w:t>
            </w:r>
          </w:p>
        </w:tc>
        <w:tc>
          <w:tcPr>
            <w:tcW w:w="1315" w:type="dxa"/>
            <w:tcBorders>
              <w:top w:val="nil"/>
              <w:left w:val="single" w:sz="8" w:space="0" w:color="000000"/>
              <w:bottom w:val="single" w:sz="4" w:space="0" w:color="auto"/>
              <w:right w:val="single" w:sz="8" w:space="0" w:color="000000"/>
            </w:tcBorders>
            <w:shd w:val="clear" w:color="auto" w:fill="auto"/>
            <w:vAlign w:val="center"/>
          </w:tcPr>
          <w:p w14:paraId="0994A969" w14:textId="77777777" w:rsidR="003E78AB" w:rsidRDefault="00010BF9">
            <w:pPr>
              <w:spacing w:line="360" w:lineRule="exact"/>
              <w:ind w:firstLineChars="0" w:firstLine="0"/>
              <w:jc w:val="center"/>
              <w:rPr>
                <w:bCs/>
                <w:kern w:val="2"/>
                <w:sz w:val="21"/>
                <w:szCs w:val="21"/>
              </w:rPr>
            </w:pPr>
            <w:r>
              <w:rPr>
                <w:rFonts w:hint="eastAsia"/>
                <w:bCs/>
                <w:kern w:val="2"/>
                <w:sz w:val="21"/>
                <w:szCs w:val="21"/>
              </w:rPr>
              <w:t>/</w:t>
            </w:r>
          </w:p>
        </w:tc>
        <w:tc>
          <w:tcPr>
            <w:tcW w:w="1657" w:type="dxa"/>
            <w:tcBorders>
              <w:top w:val="nil"/>
              <w:left w:val="single" w:sz="8" w:space="0" w:color="000000"/>
              <w:bottom w:val="single" w:sz="4" w:space="0" w:color="auto"/>
              <w:right w:val="single" w:sz="8" w:space="0" w:color="000000"/>
            </w:tcBorders>
            <w:shd w:val="clear" w:color="auto" w:fill="auto"/>
            <w:vAlign w:val="center"/>
          </w:tcPr>
          <w:p w14:paraId="2733C76F"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w:t>
            </w:r>
          </w:p>
        </w:tc>
      </w:tr>
      <w:tr w:rsidR="003E78AB" w14:paraId="38FCCC90" w14:textId="77777777">
        <w:trPr>
          <w:trHeight w:val="310"/>
        </w:trPr>
        <w:tc>
          <w:tcPr>
            <w:tcW w:w="402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B813F5" w14:textId="77777777" w:rsidR="003E78AB" w:rsidRDefault="00010BF9">
            <w:pPr>
              <w:spacing w:line="360" w:lineRule="exact"/>
              <w:ind w:firstLineChars="0" w:firstLine="0"/>
              <w:jc w:val="center"/>
              <w:rPr>
                <w:kern w:val="2"/>
                <w:sz w:val="21"/>
                <w:szCs w:val="21"/>
              </w:rPr>
            </w:pPr>
            <w:r>
              <w:rPr>
                <w:rFonts w:hint="eastAsia"/>
                <w:kern w:val="2"/>
                <w:sz w:val="21"/>
                <w:szCs w:val="21"/>
              </w:rPr>
              <w:t>合计</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27706" w14:textId="77777777" w:rsidR="003E78AB" w:rsidRDefault="00010BF9">
            <w:pPr>
              <w:spacing w:line="360" w:lineRule="exact"/>
              <w:ind w:firstLineChars="0" w:firstLine="0"/>
              <w:jc w:val="center"/>
              <w:rPr>
                <w:kern w:val="2"/>
                <w:sz w:val="21"/>
                <w:szCs w:val="21"/>
              </w:rPr>
            </w:pPr>
            <w:r>
              <w:rPr>
                <w:rFonts w:hint="eastAsia"/>
                <w:kern w:val="2"/>
                <w:sz w:val="21"/>
                <w:szCs w:val="21"/>
              </w:rPr>
              <w:t>552.11</w:t>
            </w:r>
          </w:p>
        </w:tc>
      </w:tr>
      <w:tr w:rsidR="003E78AB" w14:paraId="3B86CCFC" w14:textId="77777777">
        <w:trPr>
          <w:trHeight w:val="3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4090AB" w14:textId="77777777" w:rsidR="003E78AB" w:rsidRDefault="00010BF9">
            <w:pPr>
              <w:spacing w:line="360" w:lineRule="exact"/>
              <w:ind w:firstLineChars="0" w:firstLine="0"/>
              <w:jc w:val="left"/>
              <w:rPr>
                <w:kern w:val="2"/>
                <w:sz w:val="21"/>
                <w:szCs w:val="21"/>
              </w:rPr>
            </w:pPr>
            <w:r>
              <w:rPr>
                <w:kern w:val="2"/>
                <w:sz w:val="21"/>
                <w:szCs w:val="21"/>
              </w:rPr>
              <w:t>注：</w:t>
            </w:r>
            <w:r>
              <w:rPr>
                <w:kern w:val="2"/>
                <w:sz w:val="21"/>
                <w:szCs w:val="21"/>
              </w:rPr>
              <w:t>*</w:t>
            </w:r>
            <w:r>
              <w:rPr>
                <w:rFonts w:hint="eastAsia"/>
                <w:kern w:val="2"/>
                <w:sz w:val="21"/>
                <w:szCs w:val="21"/>
              </w:rPr>
              <w:t>1</w:t>
            </w:r>
            <w:r>
              <w:rPr>
                <w:kern w:val="2"/>
                <w:sz w:val="21"/>
                <w:szCs w:val="21"/>
              </w:rPr>
              <w:t>草酸危险类别为急性毒性（口服</w:t>
            </w:r>
            <w:r>
              <w:rPr>
                <w:kern w:val="2"/>
                <w:sz w:val="21"/>
                <w:szCs w:val="21"/>
              </w:rPr>
              <w:t>/</w:t>
            </w:r>
            <w:r>
              <w:rPr>
                <w:kern w:val="2"/>
                <w:sz w:val="21"/>
                <w:szCs w:val="21"/>
              </w:rPr>
              <w:t>皮肤）类别</w:t>
            </w:r>
            <w:r>
              <w:rPr>
                <w:kern w:val="2"/>
                <w:sz w:val="21"/>
                <w:szCs w:val="21"/>
              </w:rPr>
              <w:t>3</w:t>
            </w:r>
            <w:r>
              <w:rPr>
                <w:kern w:val="2"/>
                <w:sz w:val="21"/>
                <w:szCs w:val="21"/>
              </w:rPr>
              <w:t>，属于《企业突发环境事件风险分级方法</w:t>
            </w:r>
            <w:r>
              <w:rPr>
                <w:kern w:val="2"/>
                <w:sz w:val="21"/>
                <w:szCs w:val="21"/>
              </w:rPr>
              <w:t>(HJ 941-2018)</w:t>
            </w:r>
            <w:r>
              <w:rPr>
                <w:kern w:val="2"/>
                <w:sz w:val="21"/>
                <w:szCs w:val="21"/>
              </w:rPr>
              <w:t>》中健康危险急性毒性物质（类别</w:t>
            </w:r>
            <w:r>
              <w:rPr>
                <w:kern w:val="2"/>
                <w:sz w:val="21"/>
                <w:szCs w:val="21"/>
              </w:rPr>
              <w:t>2</w:t>
            </w:r>
            <w:r>
              <w:rPr>
                <w:kern w:val="2"/>
                <w:sz w:val="21"/>
                <w:szCs w:val="21"/>
              </w:rPr>
              <w:t>，类别</w:t>
            </w:r>
            <w:r>
              <w:rPr>
                <w:kern w:val="2"/>
                <w:sz w:val="21"/>
                <w:szCs w:val="21"/>
              </w:rPr>
              <w:t>3</w:t>
            </w:r>
            <w:r>
              <w:rPr>
                <w:kern w:val="2"/>
                <w:sz w:val="21"/>
                <w:szCs w:val="21"/>
              </w:rPr>
              <w:t>），临界值</w:t>
            </w:r>
            <w:r>
              <w:rPr>
                <w:kern w:val="2"/>
                <w:sz w:val="21"/>
                <w:szCs w:val="21"/>
              </w:rPr>
              <w:t>50t</w:t>
            </w:r>
            <w:r>
              <w:rPr>
                <w:kern w:val="2"/>
                <w:sz w:val="21"/>
                <w:szCs w:val="21"/>
              </w:rPr>
              <w:t>。</w:t>
            </w:r>
          </w:p>
          <w:p w14:paraId="28FAE097" w14:textId="77777777" w:rsidR="003E78AB" w:rsidRDefault="00010BF9">
            <w:pPr>
              <w:spacing w:line="360" w:lineRule="exact"/>
              <w:ind w:firstLineChars="0" w:firstLine="0"/>
              <w:jc w:val="left"/>
            </w:pPr>
            <w:r>
              <w:rPr>
                <w:rFonts w:hint="eastAsia"/>
                <w:b/>
                <w:bCs/>
                <w:kern w:val="2"/>
                <w:sz w:val="21"/>
                <w:szCs w:val="21"/>
                <w:u w:val="single"/>
              </w:rPr>
              <w:t>*2</w:t>
            </w:r>
            <w:r>
              <w:rPr>
                <w:rFonts w:hint="eastAsia"/>
                <w:b/>
                <w:bCs/>
                <w:kern w:val="2"/>
                <w:sz w:val="21"/>
                <w:szCs w:val="21"/>
                <w:u w:val="single"/>
              </w:rPr>
              <w:t>氢氧化钠为涉水的风险物质，经查阅资料氢氧化钠物质安全数据说明书，氢氧化钠</w:t>
            </w:r>
            <w:r>
              <w:rPr>
                <w:rFonts w:hint="eastAsia"/>
                <w:b/>
                <w:bCs/>
                <w:kern w:val="2"/>
                <w:sz w:val="21"/>
                <w:szCs w:val="21"/>
                <w:u w:val="single"/>
              </w:rPr>
              <w:t>GHS</w:t>
            </w:r>
            <w:r>
              <w:rPr>
                <w:rFonts w:hint="eastAsia"/>
                <w:b/>
                <w:bCs/>
                <w:kern w:val="2"/>
                <w:sz w:val="21"/>
                <w:szCs w:val="21"/>
                <w:u w:val="single"/>
              </w:rPr>
              <w:t>标准判断，属危害水环境物质</w:t>
            </w:r>
            <w:r>
              <w:rPr>
                <w:rFonts w:hint="eastAsia"/>
                <w:b/>
                <w:bCs/>
                <w:kern w:val="2"/>
                <w:sz w:val="21"/>
                <w:szCs w:val="21"/>
                <w:u w:val="single"/>
              </w:rPr>
              <w:t>-</w:t>
            </w:r>
            <w:r>
              <w:rPr>
                <w:rFonts w:hint="eastAsia"/>
                <w:b/>
                <w:bCs/>
                <w:kern w:val="2"/>
                <w:sz w:val="21"/>
                <w:szCs w:val="21"/>
                <w:u w:val="single"/>
              </w:rPr>
              <w:t>急性危害类别</w:t>
            </w:r>
            <w:r>
              <w:rPr>
                <w:rFonts w:hint="eastAsia"/>
                <w:b/>
                <w:bCs/>
                <w:kern w:val="2"/>
                <w:sz w:val="21"/>
                <w:szCs w:val="21"/>
                <w:u w:val="single"/>
              </w:rPr>
              <w:t>3</w:t>
            </w:r>
            <w:r>
              <w:rPr>
                <w:rFonts w:hint="eastAsia"/>
                <w:b/>
                <w:bCs/>
                <w:kern w:val="2"/>
                <w:sz w:val="21"/>
                <w:szCs w:val="21"/>
                <w:u w:val="single"/>
              </w:rPr>
              <w:t>；对水生生物有害。因此未列入《企业突发环境事件分级方法》（</w:t>
            </w:r>
            <w:r>
              <w:rPr>
                <w:rFonts w:hint="eastAsia"/>
                <w:b/>
                <w:bCs/>
                <w:kern w:val="2"/>
                <w:sz w:val="21"/>
                <w:szCs w:val="21"/>
                <w:u w:val="single"/>
              </w:rPr>
              <w:t>HJ941-2018</w:t>
            </w:r>
            <w:r>
              <w:rPr>
                <w:rFonts w:hint="eastAsia"/>
                <w:b/>
                <w:bCs/>
                <w:kern w:val="2"/>
                <w:sz w:val="21"/>
                <w:szCs w:val="21"/>
                <w:u w:val="single"/>
              </w:rPr>
              <w:t>）附录</w:t>
            </w:r>
            <w:r>
              <w:rPr>
                <w:rFonts w:hint="eastAsia"/>
                <w:b/>
                <w:bCs/>
                <w:kern w:val="2"/>
                <w:sz w:val="21"/>
                <w:szCs w:val="21"/>
                <w:u w:val="single"/>
              </w:rPr>
              <w:t>A</w:t>
            </w:r>
            <w:r>
              <w:rPr>
                <w:rFonts w:hint="eastAsia"/>
                <w:b/>
                <w:bCs/>
                <w:kern w:val="2"/>
                <w:sz w:val="21"/>
                <w:szCs w:val="21"/>
                <w:u w:val="single"/>
              </w:rPr>
              <w:t>突发环境事件风险物质及临界量清单。</w:t>
            </w:r>
          </w:p>
        </w:tc>
      </w:tr>
    </w:tbl>
    <w:p w14:paraId="3D72A801" w14:textId="77777777" w:rsidR="003E78AB" w:rsidRDefault="00010BF9">
      <w:pPr>
        <w:ind w:firstLine="480"/>
        <w:rPr>
          <w:kern w:val="2"/>
          <w:lang w:val="zh-CN"/>
        </w:rPr>
      </w:pPr>
      <w:r>
        <w:rPr>
          <w:kern w:val="2"/>
        </w:rPr>
        <w:t>因本项目存在多种危险物质，因此在确定危险物质及工艺系统危险性（</w:t>
      </w:r>
      <w:r>
        <w:rPr>
          <w:kern w:val="2"/>
        </w:rPr>
        <w:t>P</w:t>
      </w:r>
      <w:r>
        <w:rPr>
          <w:kern w:val="2"/>
        </w:rPr>
        <w:t>）分级时按以下公式计算物质总量与其临界量比值（</w:t>
      </w:r>
      <w:r>
        <w:rPr>
          <w:kern w:val="2"/>
        </w:rPr>
        <w:t>Q</w:t>
      </w:r>
      <w:r>
        <w:rPr>
          <w:kern w:val="2"/>
        </w:rPr>
        <w:t>）：</w:t>
      </w:r>
    </w:p>
    <w:p w14:paraId="72A3FAA3" w14:textId="77777777" w:rsidR="003E78AB" w:rsidRDefault="00010BF9">
      <w:pPr>
        <w:ind w:firstLine="480"/>
        <w:rPr>
          <w:kern w:val="2"/>
          <w:lang w:val="zh-CN"/>
        </w:rPr>
      </w:pPr>
      <w:r>
        <w:rPr>
          <w:kern w:val="2"/>
          <w:lang w:val="zh-CN"/>
        </w:rPr>
        <w:t>根据《建设项目环境风险评价技术导则》（</w:t>
      </w:r>
      <w:r>
        <w:rPr>
          <w:kern w:val="2"/>
          <w:lang w:val="zh-CN"/>
        </w:rPr>
        <w:t>HJ169-2018</w:t>
      </w:r>
      <w:r>
        <w:rPr>
          <w:kern w:val="2"/>
          <w:lang w:val="zh-CN"/>
        </w:rPr>
        <w:t>）附录</w:t>
      </w:r>
      <w:r>
        <w:rPr>
          <w:kern w:val="2"/>
          <w:lang w:val="zh-CN"/>
        </w:rPr>
        <w:t>C</w:t>
      </w:r>
      <w:r>
        <w:rPr>
          <w:kern w:val="2"/>
          <w:lang w:val="zh-CN"/>
        </w:rPr>
        <w:t>公式计算：</w:t>
      </w:r>
    </w:p>
    <w:p w14:paraId="17D33BF9" w14:textId="77777777" w:rsidR="003E78AB" w:rsidRDefault="00010BF9">
      <w:pPr>
        <w:ind w:firstLine="480"/>
        <w:contextualSpacing/>
        <w:jc w:val="center"/>
        <w:rPr>
          <w:kern w:val="2"/>
        </w:rPr>
      </w:pPr>
      <m:oMathPara>
        <m:oMath>
          <m:r>
            <w:rPr>
              <w:rFonts w:ascii="Cambria Math" w:hAnsi="Cambria Math"/>
            </w:rPr>
            <m:t>Q</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Q</m:t>
                  </m:r>
                </m:e>
                <m:sub>
                  <m:r>
                    <w:rPr>
                      <w:rFonts w:ascii="Cambria Math" w:hAnsi="Cambria Math"/>
                    </w:rPr>
                    <m:t>2</m:t>
                  </m:r>
                </m:sub>
              </m:sSub>
            </m:den>
          </m:f>
          <m:r>
            <w:rPr>
              <w:rFonts w:ascii="Cambria Math" w:hAnsi="Cambria Math"/>
            </w:rPr>
            <m:t>+</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n</m:t>
                  </m:r>
                </m:sub>
              </m:sSub>
            </m:num>
            <m:den>
              <m:sSub>
                <m:sSubPr>
                  <m:ctrlPr>
                    <w:rPr>
                      <w:rFonts w:ascii="Cambria Math" w:hAnsi="Cambria Math"/>
                      <w:i/>
                    </w:rPr>
                  </m:ctrlPr>
                </m:sSubPr>
                <m:e>
                  <m:r>
                    <w:rPr>
                      <w:rFonts w:ascii="Cambria Math" w:hAnsi="Cambria Math"/>
                    </w:rPr>
                    <m:t>Q</m:t>
                  </m:r>
                </m:e>
                <m:sub>
                  <m:r>
                    <w:rPr>
                      <w:rFonts w:ascii="Cambria Math" w:hAnsi="Cambria Math"/>
                    </w:rPr>
                    <m:t>n</m:t>
                  </m:r>
                </m:sub>
              </m:sSub>
            </m:den>
          </m:f>
        </m:oMath>
      </m:oMathPara>
    </w:p>
    <w:p w14:paraId="221CF1C6" w14:textId="77777777" w:rsidR="003E78AB" w:rsidRDefault="00010BF9">
      <w:pPr>
        <w:ind w:firstLine="480"/>
        <w:contextualSpacing/>
        <w:rPr>
          <w:kern w:val="2"/>
        </w:rPr>
      </w:pPr>
      <w:r>
        <w:rPr>
          <w:kern w:val="2"/>
        </w:rPr>
        <w:t>式中：</w:t>
      </w:r>
      <w:r>
        <w:rPr>
          <w:kern w:val="2"/>
        </w:rPr>
        <w:t>q</w:t>
      </w:r>
      <w:r>
        <w:rPr>
          <w:kern w:val="2"/>
          <w:vertAlign w:val="subscript"/>
        </w:rPr>
        <w:t>1</w:t>
      </w:r>
      <w:r>
        <w:rPr>
          <w:kern w:val="2"/>
        </w:rPr>
        <w:t>，</w:t>
      </w:r>
      <w:r>
        <w:rPr>
          <w:kern w:val="2"/>
        </w:rPr>
        <w:t>q</w:t>
      </w:r>
      <w:r>
        <w:rPr>
          <w:kern w:val="2"/>
          <w:vertAlign w:val="subscript"/>
        </w:rPr>
        <w:t>2</w:t>
      </w:r>
      <w:r>
        <w:rPr>
          <w:kern w:val="2"/>
        </w:rPr>
        <w:t>，</w:t>
      </w:r>
      <w:r>
        <w:rPr>
          <w:kern w:val="2"/>
        </w:rPr>
        <w:t>…</w:t>
      </w:r>
      <w:r>
        <w:rPr>
          <w:kern w:val="2"/>
        </w:rPr>
        <w:t>，</w:t>
      </w:r>
      <w:r>
        <w:rPr>
          <w:kern w:val="2"/>
        </w:rPr>
        <w:t>q</w:t>
      </w:r>
      <w:r>
        <w:rPr>
          <w:kern w:val="2"/>
          <w:vertAlign w:val="subscript"/>
        </w:rPr>
        <w:t>n</w:t>
      </w:r>
      <w:r>
        <w:rPr>
          <w:kern w:val="2"/>
        </w:rPr>
        <w:t>——</w:t>
      </w:r>
      <w:r>
        <w:rPr>
          <w:kern w:val="2"/>
        </w:rPr>
        <w:t>每种危险物质的最大存在总量，</w:t>
      </w:r>
      <w:r>
        <w:rPr>
          <w:kern w:val="2"/>
        </w:rPr>
        <w:t>t</w:t>
      </w:r>
      <w:r>
        <w:rPr>
          <w:kern w:val="2"/>
        </w:rPr>
        <w:t>；</w:t>
      </w:r>
    </w:p>
    <w:p w14:paraId="4B73F3BF" w14:textId="77777777" w:rsidR="003E78AB" w:rsidRDefault="00010BF9">
      <w:pPr>
        <w:ind w:firstLine="480"/>
        <w:contextualSpacing/>
        <w:rPr>
          <w:kern w:val="2"/>
        </w:rPr>
      </w:pPr>
      <w:r>
        <w:rPr>
          <w:kern w:val="2"/>
        </w:rPr>
        <w:t>Q</w:t>
      </w:r>
      <w:r>
        <w:rPr>
          <w:kern w:val="2"/>
          <w:vertAlign w:val="subscript"/>
        </w:rPr>
        <w:t>1</w:t>
      </w:r>
      <w:r>
        <w:rPr>
          <w:kern w:val="2"/>
        </w:rPr>
        <w:t>，</w:t>
      </w:r>
      <w:r>
        <w:rPr>
          <w:kern w:val="2"/>
        </w:rPr>
        <w:t>Q</w:t>
      </w:r>
      <w:r>
        <w:rPr>
          <w:kern w:val="2"/>
          <w:vertAlign w:val="subscript"/>
        </w:rPr>
        <w:t>2</w:t>
      </w:r>
      <w:r>
        <w:rPr>
          <w:kern w:val="2"/>
        </w:rPr>
        <w:t>，</w:t>
      </w:r>
      <w:r>
        <w:rPr>
          <w:kern w:val="2"/>
        </w:rPr>
        <w:t>…Q</w:t>
      </w:r>
      <w:r>
        <w:rPr>
          <w:kern w:val="2"/>
          <w:vertAlign w:val="subscript"/>
        </w:rPr>
        <w:t>n</w:t>
      </w:r>
      <w:r>
        <w:rPr>
          <w:kern w:val="2"/>
        </w:rPr>
        <w:t>——</w:t>
      </w:r>
      <w:r>
        <w:rPr>
          <w:kern w:val="2"/>
        </w:rPr>
        <w:t>每种危险物质的临界量，</w:t>
      </w:r>
      <w:r>
        <w:rPr>
          <w:kern w:val="2"/>
        </w:rPr>
        <w:t>t</w:t>
      </w:r>
      <w:r>
        <w:rPr>
          <w:kern w:val="2"/>
        </w:rPr>
        <w:t>。</w:t>
      </w:r>
    </w:p>
    <w:p w14:paraId="3A5AD6C8" w14:textId="77777777" w:rsidR="003E78AB" w:rsidRDefault="00010BF9">
      <w:pPr>
        <w:ind w:firstLine="480"/>
        <w:contextualSpacing/>
        <w:rPr>
          <w:kern w:val="2"/>
        </w:rPr>
      </w:pPr>
      <w:r>
        <w:rPr>
          <w:kern w:val="2"/>
        </w:rPr>
        <w:t>经计算可得</w:t>
      </w:r>
      <w:r>
        <w:rPr>
          <w:kern w:val="2"/>
        </w:rPr>
        <w:t>Q=</w:t>
      </w:r>
      <w:r>
        <w:rPr>
          <w:rFonts w:hint="eastAsia"/>
          <w:bCs/>
          <w:kern w:val="2"/>
        </w:rPr>
        <w:t>552.11</w:t>
      </w:r>
      <w:r>
        <w:rPr>
          <w:kern w:val="2"/>
        </w:rPr>
        <w:t>＞</w:t>
      </w:r>
      <w:r>
        <w:rPr>
          <w:kern w:val="2"/>
        </w:rPr>
        <w:t>100</w:t>
      </w:r>
      <w:r>
        <w:rPr>
          <w:lang w:val="zh-CN"/>
        </w:rPr>
        <w:t>。</w:t>
      </w:r>
    </w:p>
    <w:p w14:paraId="49EE7BD1" w14:textId="77777777" w:rsidR="003E78AB" w:rsidRDefault="00010BF9">
      <w:pPr>
        <w:ind w:firstLine="480"/>
        <w:contextualSpacing/>
        <w:rPr>
          <w:kern w:val="2"/>
        </w:rPr>
      </w:pPr>
      <w:r>
        <w:rPr>
          <w:kern w:val="2"/>
        </w:rPr>
        <w:t>（</w:t>
      </w:r>
      <w:r>
        <w:rPr>
          <w:kern w:val="2"/>
        </w:rPr>
        <w:t>2</w:t>
      </w:r>
      <w:r>
        <w:rPr>
          <w:kern w:val="2"/>
        </w:rPr>
        <w:t>）行业及生产工艺（</w:t>
      </w:r>
      <w:r>
        <w:rPr>
          <w:kern w:val="2"/>
        </w:rPr>
        <w:t>M</w:t>
      </w:r>
      <w:r>
        <w:rPr>
          <w:kern w:val="2"/>
        </w:rPr>
        <w:t>）</w:t>
      </w:r>
    </w:p>
    <w:p w14:paraId="5D10CD80" w14:textId="77777777" w:rsidR="003E78AB" w:rsidRDefault="00010BF9">
      <w:pPr>
        <w:ind w:firstLine="480"/>
        <w:contextualSpacing/>
        <w:rPr>
          <w:kern w:val="2"/>
          <w:sz w:val="21"/>
        </w:rPr>
      </w:pPr>
      <w:r>
        <w:rPr>
          <w:kern w:val="2"/>
        </w:rPr>
        <w:t>根据分析项目所属行业及生产工艺特点，按照《建设项目环境风险评价技术导则》（</w:t>
      </w:r>
      <w:r>
        <w:rPr>
          <w:kern w:val="2"/>
        </w:rPr>
        <w:t>HJ169-2018</w:t>
      </w:r>
      <w:r>
        <w:rPr>
          <w:kern w:val="2"/>
        </w:rPr>
        <w:t>）表</w:t>
      </w:r>
      <w:r>
        <w:rPr>
          <w:kern w:val="2"/>
        </w:rPr>
        <w:t>C.1</w:t>
      </w:r>
      <w:r>
        <w:rPr>
          <w:kern w:val="2"/>
        </w:rPr>
        <w:t>评估生产工艺情况。具有多套工艺单元的项目，对每套</w:t>
      </w:r>
      <w:r>
        <w:rPr>
          <w:rFonts w:hint="eastAsia"/>
          <w:kern w:val="2"/>
        </w:rPr>
        <w:t>生产</w:t>
      </w:r>
      <w:r>
        <w:rPr>
          <w:kern w:val="2"/>
        </w:rPr>
        <w:t>工艺分别评分并求和。将</w:t>
      </w:r>
      <w:r>
        <w:rPr>
          <w:kern w:val="2"/>
        </w:rPr>
        <w:t>M</w:t>
      </w:r>
      <w:r>
        <w:rPr>
          <w:kern w:val="2"/>
        </w:rPr>
        <w:t>划分为：（</w:t>
      </w:r>
      <w:r>
        <w:rPr>
          <w:kern w:val="2"/>
        </w:rPr>
        <w:t>1</w:t>
      </w:r>
      <w:r>
        <w:rPr>
          <w:kern w:val="2"/>
        </w:rPr>
        <w:t>）</w:t>
      </w:r>
      <w:r>
        <w:rPr>
          <w:kern w:val="2"/>
        </w:rPr>
        <w:t>M&gt;20</w:t>
      </w:r>
      <w:r>
        <w:rPr>
          <w:kern w:val="2"/>
        </w:rPr>
        <w:t>；（</w:t>
      </w:r>
      <w:r>
        <w:rPr>
          <w:kern w:val="2"/>
        </w:rPr>
        <w:t>2</w:t>
      </w:r>
      <w:r>
        <w:rPr>
          <w:kern w:val="2"/>
        </w:rPr>
        <w:t>）</w:t>
      </w:r>
      <w:r>
        <w:rPr>
          <w:kern w:val="2"/>
        </w:rPr>
        <w:t>10&lt;M&lt;20</w:t>
      </w:r>
      <w:r>
        <w:rPr>
          <w:kern w:val="2"/>
        </w:rPr>
        <w:t>；（</w:t>
      </w:r>
      <w:r>
        <w:rPr>
          <w:kern w:val="2"/>
        </w:rPr>
        <w:t>3</w:t>
      </w:r>
      <w:r>
        <w:rPr>
          <w:kern w:val="2"/>
        </w:rPr>
        <w:t>）</w:t>
      </w:r>
      <w:r>
        <w:rPr>
          <w:kern w:val="2"/>
        </w:rPr>
        <w:t>5&lt;M≤10</w:t>
      </w:r>
      <w:r>
        <w:rPr>
          <w:kern w:val="2"/>
        </w:rPr>
        <w:t>；（</w:t>
      </w:r>
      <w:r>
        <w:rPr>
          <w:kern w:val="2"/>
        </w:rPr>
        <w:t>4</w:t>
      </w:r>
      <w:r>
        <w:rPr>
          <w:kern w:val="2"/>
        </w:rPr>
        <w:t>）</w:t>
      </w:r>
      <w:r>
        <w:rPr>
          <w:kern w:val="2"/>
        </w:rPr>
        <w:t>M=5</w:t>
      </w:r>
      <w:r>
        <w:rPr>
          <w:kern w:val="2"/>
        </w:rPr>
        <w:t>，分别以</w:t>
      </w:r>
      <w:r>
        <w:rPr>
          <w:kern w:val="2"/>
        </w:rPr>
        <w:t>M1</w:t>
      </w:r>
      <w:r>
        <w:rPr>
          <w:kern w:val="2"/>
        </w:rPr>
        <w:t>、</w:t>
      </w:r>
      <w:r>
        <w:rPr>
          <w:kern w:val="2"/>
        </w:rPr>
        <w:t>M2</w:t>
      </w:r>
      <w:r>
        <w:rPr>
          <w:kern w:val="2"/>
        </w:rPr>
        <w:t>、</w:t>
      </w:r>
      <w:r>
        <w:rPr>
          <w:kern w:val="2"/>
        </w:rPr>
        <w:t>M3</w:t>
      </w:r>
      <w:r>
        <w:rPr>
          <w:kern w:val="2"/>
        </w:rPr>
        <w:t>和</w:t>
      </w:r>
      <w:r>
        <w:rPr>
          <w:kern w:val="2"/>
        </w:rPr>
        <w:t>M4</w:t>
      </w:r>
      <w:r>
        <w:rPr>
          <w:kern w:val="2"/>
        </w:rPr>
        <w:t>表示。对本项目的行业工艺进行分析，参考下表计算行业及生产工艺（</w:t>
      </w:r>
      <w:r>
        <w:rPr>
          <w:kern w:val="2"/>
        </w:rPr>
        <w:t>M</w:t>
      </w:r>
      <w:r>
        <w:rPr>
          <w:kern w:val="2"/>
        </w:rPr>
        <w:t>）进行评估：</w:t>
      </w:r>
    </w:p>
    <w:p w14:paraId="68A899C3" w14:textId="77777777" w:rsidR="003E78AB" w:rsidRDefault="00010BF9">
      <w:pPr>
        <w:pStyle w:val="a5"/>
      </w:pPr>
      <w:r>
        <w:t>行业及生产工艺（</w:t>
      </w:r>
      <w:r>
        <w:t>M</w:t>
      </w:r>
      <w:r>
        <w:t>）</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78"/>
        <w:gridCol w:w="4827"/>
        <w:gridCol w:w="1157"/>
        <w:gridCol w:w="1157"/>
      </w:tblGrid>
      <w:tr w:rsidR="003E78AB" w14:paraId="32B2CA0C" w14:textId="77777777">
        <w:trPr>
          <w:trHeight w:val="340"/>
          <w:tblHeader/>
          <w:jc w:val="center"/>
        </w:trPr>
        <w:tc>
          <w:tcPr>
            <w:tcW w:w="809" w:type="pct"/>
          </w:tcPr>
          <w:p w14:paraId="271FCE1E"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行业</w:t>
            </w:r>
          </w:p>
        </w:tc>
        <w:tc>
          <w:tcPr>
            <w:tcW w:w="2833" w:type="pct"/>
          </w:tcPr>
          <w:p w14:paraId="0A332D8B"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评估依据</w:t>
            </w:r>
          </w:p>
        </w:tc>
        <w:tc>
          <w:tcPr>
            <w:tcW w:w="679" w:type="pct"/>
            <w:vAlign w:val="center"/>
          </w:tcPr>
          <w:p w14:paraId="6866DC66"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分值</w:t>
            </w:r>
          </w:p>
        </w:tc>
        <w:tc>
          <w:tcPr>
            <w:tcW w:w="677" w:type="pct"/>
            <w:vAlign w:val="center"/>
          </w:tcPr>
          <w:p w14:paraId="4D222A04"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得分</w:t>
            </w:r>
          </w:p>
        </w:tc>
      </w:tr>
      <w:tr w:rsidR="003E78AB" w14:paraId="24914486" w14:textId="77777777">
        <w:trPr>
          <w:trHeight w:val="340"/>
          <w:jc w:val="center"/>
        </w:trPr>
        <w:tc>
          <w:tcPr>
            <w:tcW w:w="809" w:type="pct"/>
            <w:vMerge w:val="restart"/>
            <w:vAlign w:val="center"/>
          </w:tcPr>
          <w:p w14:paraId="0FFE0C19" w14:textId="77777777" w:rsidR="003E78AB" w:rsidRDefault="00010BF9">
            <w:pPr>
              <w:spacing w:line="360" w:lineRule="exact"/>
              <w:ind w:firstLineChars="0" w:firstLine="0"/>
              <w:contextualSpacing/>
              <w:jc w:val="left"/>
              <w:rPr>
                <w:kern w:val="2"/>
                <w:sz w:val="21"/>
                <w:szCs w:val="21"/>
              </w:rPr>
            </w:pPr>
            <w:r>
              <w:rPr>
                <w:kern w:val="2"/>
                <w:sz w:val="21"/>
                <w:szCs w:val="21"/>
              </w:rPr>
              <w:t>石化、化工、医药、</w:t>
            </w:r>
            <w:r>
              <w:rPr>
                <w:rFonts w:hint="eastAsia"/>
                <w:kern w:val="2"/>
                <w:sz w:val="21"/>
                <w:szCs w:val="21"/>
              </w:rPr>
              <w:t>轻工</w:t>
            </w:r>
            <w:r>
              <w:rPr>
                <w:kern w:val="2"/>
                <w:sz w:val="21"/>
                <w:szCs w:val="21"/>
              </w:rPr>
              <w:t>、化纤、有色冶炼等</w:t>
            </w:r>
          </w:p>
        </w:tc>
        <w:tc>
          <w:tcPr>
            <w:tcW w:w="2833" w:type="pct"/>
            <w:vAlign w:val="center"/>
          </w:tcPr>
          <w:p w14:paraId="2022D77A" w14:textId="77777777" w:rsidR="003E78AB" w:rsidRDefault="00010BF9">
            <w:pPr>
              <w:spacing w:line="360" w:lineRule="exact"/>
              <w:ind w:firstLineChars="0" w:firstLine="0"/>
              <w:contextualSpacing/>
              <w:jc w:val="left"/>
              <w:rPr>
                <w:kern w:val="2"/>
                <w:sz w:val="21"/>
                <w:szCs w:val="21"/>
              </w:rPr>
            </w:pPr>
            <w:r>
              <w:rPr>
                <w:kern w:val="2"/>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w:t>
            </w:r>
            <w:r>
              <w:rPr>
                <w:kern w:val="2"/>
                <w:sz w:val="21"/>
                <w:szCs w:val="21"/>
              </w:rPr>
              <w:t>生产工艺、偶氮化工艺</w:t>
            </w:r>
          </w:p>
        </w:tc>
        <w:tc>
          <w:tcPr>
            <w:tcW w:w="679" w:type="pct"/>
            <w:vAlign w:val="center"/>
          </w:tcPr>
          <w:p w14:paraId="73B1263A" w14:textId="77777777" w:rsidR="003E78AB" w:rsidRDefault="00010BF9">
            <w:pPr>
              <w:spacing w:line="360" w:lineRule="exact"/>
              <w:ind w:firstLineChars="0" w:firstLine="0"/>
              <w:contextualSpacing/>
              <w:jc w:val="center"/>
              <w:rPr>
                <w:kern w:val="2"/>
                <w:sz w:val="21"/>
                <w:szCs w:val="21"/>
              </w:rPr>
            </w:pPr>
            <w:r>
              <w:rPr>
                <w:kern w:val="2"/>
                <w:sz w:val="21"/>
                <w:szCs w:val="21"/>
              </w:rPr>
              <w:t>10/</w:t>
            </w:r>
            <w:r>
              <w:rPr>
                <w:kern w:val="2"/>
                <w:sz w:val="21"/>
                <w:szCs w:val="21"/>
              </w:rPr>
              <w:t>套</w:t>
            </w:r>
          </w:p>
        </w:tc>
        <w:tc>
          <w:tcPr>
            <w:tcW w:w="677" w:type="pct"/>
            <w:vAlign w:val="center"/>
          </w:tcPr>
          <w:p w14:paraId="6E148723" w14:textId="77777777" w:rsidR="003E78AB" w:rsidRDefault="00010BF9">
            <w:pPr>
              <w:spacing w:line="360" w:lineRule="exact"/>
              <w:ind w:firstLineChars="0" w:firstLine="0"/>
              <w:contextualSpacing/>
              <w:jc w:val="center"/>
              <w:rPr>
                <w:kern w:val="2"/>
                <w:sz w:val="21"/>
                <w:szCs w:val="21"/>
              </w:rPr>
            </w:pPr>
            <w:r>
              <w:rPr>
                <w:kern w:val="2"/>
                <w:sz w:val="21"/>
                <w:szCs w:val="21"/>
              </w:rPr>
              <w:t>/</w:t>
            </w:r>
          </w:p>
        </w:tc>
      </w:tr>
      <w:tr w:rsidR="003E78AB" w14:paraId="594AD173" w14:textId="77777777">
        <w:trPr>
          <w:trHeight w:val="340"/>
          <w:jc w:val="center"/>
        </w:trPr>
        <w:tc>
          <w:tcPr>
            <w:tcW w:w="809" w:type="pct"/>
            <w:vMerge/>
            <w:vAlign w:val="center"/>
          </w:tcPr>
          <w:p w14:paraId="73FE976D" w14:textId="77777777" w:rsidR="003E78AB" w:rsidRDefault="003E78AB">
            <w:pPr>
              <w:spacing w:line="360" w:lineRule="exact"/>
              <w:ind w:firstLineChars="0" w:firstLine="0"/>
              <w:contextualSpacing/>
              <w:jc w:val="left"/>
              <w:rPr>
                <w:kern w:val="2"/>
                <w:sz w:val="21"/>
                <w:szCs w:val="21"/>
              </w:rPr>
            </w:pPr>
          </w:p>
        </w:tc>
        <w:tc>
          <w:tcPr>
            <w:tcW w:w="2833" w:type="pct"/>
            <w:vAlign w:val="center"/>
          </w:tcPr>
          <w:p w14:paraId="09042D22" w14:textId="77777777" w:rsidR="003E78AB" w:rsidRDefault="00010BF9">
            <w:pPr>
              <w:spacing w:line="360" w:lineRule="exact"/>
              <w:ind w:firstLineChars="0" w:firstLine="0"/>
              <w:contextualSpacing/>
              <w:jc w:val="left"/>
              <w:rPr>
                <w:kern w:val="2"/>
                <w:sz w:val="21"/>
                <w:szCs w:val="21"/>
              </w:rPr>
            </w:pPr>
            <w:r>
              <w:rPr>
                <w:kern w:val="2"/>
                <w:sz w:val="21"/>
                <w:szCs w:val="21"/>
              </w:rPr>
              <w:t>其他高温或高压，且涉及危险物质的工艺过程</w:t>
            </w:r>
            <w:r>
              <w:rPr>
                <w:kern w:val="2"/>
                <w:sz w:val="21"/>
                <w:szCs w:val="21"/>
                <w:vertAlign w:val="superscript"/>
              </w:rPr>
              <w:t>a</w:t>
            </w:r>
            <w:r>
              <w:rPr>
                <w:kern w:val="2"/>
                <w:sz w:val="21"/>
                <w:szCs w:val="21"/>
              </w:rPr>
              <w:t>、危险物质贮存罐区</w:t>
            </w:r>
          </w:p>
        </w:tc>
        <w:tc>
          <w:tcPr>
            <w:tcW w:w="679" w:type="pct"/>
            <w:vAlign w:val="center"/>
          </w:tcPr>
          <w:p w14:paraId="004420A3" w14:textId="77777777" w:rsidR="003E78AB" w:rsidRDefault="00010BF9">
            <w:pPr>
              <w:spacing w:line="360" w:lineRule="exact"/>
              <w:ind w:firstLineChars="0" w:firstLine="0"/>
              <w:contextualSpacing/>
              <w:jc w:val="center"/>
              <w:rPr>
                <w:kern w:val="2"/>
                <w:sz w:val="21"/>
                <w:szCs w:val="21"/>
              </w:rPr>
            </w:pPr>
            <w:r>
              <w:rPr>
                <w:kern w:val="2"/>
                <w:sz w:val="21"/>
                <w:szCs w:val="21"/>
              </w:rPr>
              <w:t>5/</w:t>
            </w:r>
            <w:r>
              <w:rPr>
                <w:kern w:val="2"/>
                <w:sz w:val="21"/>
                <w:szCs w:val="21"/>
              </w:rPr>
              <w:t>套</w:t>
            </w:r>
          </w:p>
        </w:tc>
        <w:tc>
          <w:tcPr>
            <w:tcW w:w="677" w:type="pct"/>
            <w:vAlign w:val="center"/>
          </w:tcPr>
          <w:p w14:paraId="50A4B1EE" w14:textId="77777777" w:rsidR="003E78AB" w:rsidRDefault="00010BF9">
            <w:pPr>
              <w:spacing w:line="360" w:lineRule="exact"/>
              <w:ind w:firstLineChars="0" w:firstLine="0"/>
              <w:contextualSpacing/>
              <w:jc w:val="center"/>
              <w:rPr>
                <w:kern w:val="2"/>
                <w:sz w:val="21"/>
                <w:szCs w:val="21"/>
              </w:rPr>
            </w:pPr>
            <w:r>
              <w:rPr>
                <w:kern w:val="2"/>
                <w:sz w:val="21"/>
                <w:szCs w:val="21"/>
              </w:rPr>
              <w:t>/</w:t>
            </w:r>
          </w:p>
        </w:tc>
      </w:tr>
      <w:tr w:rsidR="003E78AB" w14:paraId="521851F3" w14:textId="77777777">
        <w:trPr>
          <w:trHeight w:val="340"/>
          <w:jc w:val="center"/>
        </w:trPr>
        <w:tc>
          <w:tcPr>
            <w:tcW w:w="809" w:type="pct"/>
            <w:vAlign w:val="center"/>
          </w:tcPr>
          <w:p w14:paraId="265216C6" w14:textId="77777777" w:rsidR="003E78AB" w:rsidRDefault="00010BF9">
            <w:pPr>
              <w:spacing w:line="360" w:lineRule="exact"/>
              <w:ind w:firstLineChars="0" w:firstLine="0"/>
              <w:contextualSpacing/>
              <w:jc w:val="left"/>
              <w:rPr>
                <w:kern w:val="2"/>
                <w:sz w:val="21"/>
                <w:szCs w:val="21"/>
              </w:rPr>
            </w:pPr>
            <w:r>
              <w:rPr>
                <w:kern w:val="2"/>
                <w:sz w:val="21"/>
                <w:szCs w:val="21"/>
              </w:rPr>
              <w:t>其他</w:t>
            </w:r>
          </w:p>
        </w:tc>
        <w:tc>
          <w:tcPr>
            <w:tcW w:w="2833" w:type="pct"/>
            <w:vAlign w:val="center"/>
          </w:tcPr>
          <w:p w14:paraId="36407648" w14:textId="77777777" w:rsidR="003E78AB" w:rsidRDefault="00010BF9">
            <w:pPr>
              <w:spacing w:line="360" w:lineRule="exact"/>
              <w:ind w:firstLineChars="0" w:firstLine="0"/>
              <w:contextualSpacing/>
              <w:jc w:val="left"/>
              <w:rPr>
                <w:kern w:val="2"/>
                <w:sz w:val="21"/>
                <w:szCs w:val="21"/>
              </w:rPr>
            </w:pPr>
            <w:r>
              <w:rPr>
                <w:kern w:val="2"/>
                <w:sz w:val="21"/>
                <w:szCs w:val="21"/>
              </w:rPr>
              <w:t>涉及危险物质使用、贮存的项目</w:t>
            </w:r>
          </w:p>
        </w:tc>
        <w:tc>
          <w:tcPr>
            <w:tcW w:w="679" w:type="pct"/>
            <w:vAlign w:val="center"/>
          </w:tcPr>
          <w:p w14:paraId="62068584" w14:textId="77777777" w:rsidR="003E78AB" w:rsidRDefault="00010BF9">
            <w:pPr>
              <w:spacing w:line="360" w:lineRule="exact"/>
              <w:ind w:firstLineChars="0" w:firstLine="0"/>
              <w:contextualSpacing/>
              <w:jc w:val="center"/>
              <w:rPr>
                <w:kern w:val="2"/>
                <w:sz w:val="21"/>
                <w:szCs w:val="21"/>
              </w:rPr>
            </w:pPr>
            <w:r>
              <w:rPr>
                <w:kern w:val="2"/>
                <w:sz w:val="21"/>
                <w:szCs w:val="21"/>
              </w:rPr>
              <w:t>5</w:t>
            </w:r>
          </w:p>
        </w:tc>
        <w:tc>
          <w:tcPr>
            <w:tcW w:w="677" w:type="pct"/>
            <w:vAlign w:val="center"/>
          </w:tcPr>
          <w:p w14:paraId="2F3CFF3B" w14:textId="77777777" w:rsidR="003E78AB" w:rsidRDefault="00010BF9">
            <w:pPr>
              <w:spacing w:line="360" w:lineRule="exact"/>
              <w:ind w:firstLineChars="0" w:firstLine="0"/>
              <w:contextualSpacing/>
              <w:jc w:val="center"/>
              <w:rPr>
                <w:kern w:val="2"/>
                <w:sz w:val="21"/>
                <w:szCs w:val="21"/>
              </w:rPr>
            </w:pPr>
            <w:r>
              <w:rPr>
                <w:kern w:val="2"/>
                <w:sz w:val="21"/>
                <w:szCs w:val="21"/>
              </w:rPr>
              <w:t>5</w:t>
            </w:r>
          </w:p>
        </w:tc>
      </w:tr>
      <w:tr w:rsidR="003E78AB" w14:paraId="49F1DAAE" w14:textId="77777777">
        <w:trPr>
          <w:trHeight w:val="340"/>
          <w:jc w:val="center"/>
        </w:trPr>
        <w:tc>
          <w:tcPr>
            <w:tcW w:w="5000" w:type="pct"/>
            <w:gridSpan w:val="4"/>
            <w:vAlign w:val="center"/>
          </w:tcPr>
          <w:p w14:paraId="0A0CB71D" w14:textId="77777777" w:rsidR="003E78AB" w:rsidRDefault="00010BF9">
            <w:pPr>
              <w:spacing w:line="360" w:lineRule="exact"/>
              <w:ind w:firstLineChars="0" w:firstLine="0"/>
              <w:contextualSpacing/>
              <w:jc w:val="left"/>
              <w:rPr>
                <w:kern w:val="2"/>
                <w:sz w:val="21"/>
                <w:szCs w:val="21"/>
              </w:rPr>
            </w:pPr>
            <w:r>
              <w:rPr>
                <w:kern w:val="2"/>
                <w:sz w:val="21"/>
                <w:szCs w:val="21"/>
              </w:rPr>
              <w:t>a</w:t>
            </w:r>
            <w:r>
              <w:rPr>
                <w:kern w:val="2"/>
                <w:sz w:val="21"/>
                <w:szCs w:val="21"/>
              </w:rPr>
              <w:t>高温指工艺温度</w:t>
            </w:r>
            <w:r>
              <w:rPr>
                <w:kern w:val="2"/>
                <w:sz w:val="21"/>
                <w:szCs w:val="21"/>
              </w:rPr>
              <w:t>≥300℃</w:t>
            </w:r>
            <w:r>
              <w:rPr>
                <w:kern w:val="2"/>
                <w:sz w:val="21"/>
                <w:szCs w:val="21"/>
              </w:rPr>
              <w:t>，高压指压力容器的设计压力（</w:t>
            </w:r>
            <w:r>
              <w:rPr>
                <w:kern w:val="2"/>
                <w:sz w:val="21"/>
                <w:szCs w:val="21"/>
              </w:rPr>
              <w:t>P</w:t>
            </w:r>
            <w:r>
              <w:rPr>
                <w:kern w:val="2"/>
                <w:sz w:val="21"/>
                <w:szCs w:val="21"/>
              </w:rPr>
              <w:t>）</w:t>
            </w:r>
            <w:r>
              <w:rPr>
                <w:kern w:val="2"/>
                <w:sz w:val="21"/>
                <w:szCs w:val="21"/>
              </w:rPr>
              <w:t>≥10.0MPa</w:t>
            </w:r>
            <w:r>
              <w:rPr>
                <w:kern w:val="2"/>
                <w:sz w:val="21"/>
                <w:szCs w:val="21"/>
              </w:rPr>
              <w:t>；</w:t>
            </w:r>
          </w:p>
          <w:p w14:paraId="24D9933A" w14:textId="77777777" w:rsidR="003E78AB" w:rsidRDefault="00010BF9">
            <w:pPr>
              <w:spacing w:line="360" w:lineRule="exact"/>
              <w:ind w:firstLineChars="0" w:firstLine="0"/>
              <w:contextualSpacing/>
              <w:jc w:val="left"/>
              <w:rPr>
                <w:kern w:val="2"/>
                <w:sz w:val="21"/>
                <w:szCs w:val="21"/>
              </w:rPr>
            </w:pPr>
            <w:r>
              <w:rPr>
                <w:kern w:val="2"/>
                <w:sz w:val="21"/>
                <w:szCs w:val="21"/>
              </w:rPr>
              <w:t>b</w:t>
            </w:r>
            <w:r>
              <w:rPr>
                <w:kern w:val="2"/>
                <w:sz w:val="21"/>
                <w:szCs w:val="21"/>
              </w:rPr>
              <w:t>长输管道运输项目应按站场、管线分段进行评价。</w:t>
            </w:r>
          </w:p>
        </w:tc>
      </w:tr>
    </w:tbl>
    <w:p w14:paraId="5E5F3168" w14:textId="77777777" w:rsidR="003E78AB" w:rsidRDefault="00010BF9">
      <w:pPr>
        <w:ind w:firstLine="480"/>
        <w:rPr>
          <w:bCs/>
          <w:kern w:val="2"/>
          <w:lang w:val="zh-CN"/>
        </w:rPr>
      </w:pPr>
      <w:r>
        <w:rPr>
          <w:bCs/>
          <w:kern w:val="2"/>
          <w:lang w:val="zh-CN"/>
        </w:rPr>
        <w:t>本项目生产工序</w:t>
      </w:r>
      <w:r>
        <w:rPr>
          <w:rFonts w:hint="eastAsia"/>
          <w:bCs/>
          <w:kern w:val="2"/>
        </w:rPr>
        <w:t>不涉及上表所属高温或高压工艺或危险物质贮存，涉及五氧化二钒、浓硫酸等危险物质，属于涉及</w:t>
      </w:r>
      <w:r>
        <w:rPr>
          <w:bCs/>
          <w:kern w:val="2"/>
          <w:lang w:val="zh-CN"/>
        </w:rPr>
        <w:t>危险物质使用、</w:t>
      </w:r>
      <w:r>
        <w:rPr>
          <w:bCs/>
          <w:kern w:val="2"/>
        </w:rPr>
        <w:t>贮存</w:t>
      </w:r>
      <w:r>
        <w:rPr>
          <w:rFonts w:hint="eastAsia"/>
          <w:bCs/>
          <w:kern w:val="2"/>
        </w:rPr>
        <w:t>的项目</w:t>
      </w:r>
      <w:r>
        <w:rPr>
          <w:bCs/>
          <w:kern w:val="2"/>
          <w:lang w:val="zh-CN"/>
        </w:rPr>
        <w:t>（</w:t>
      </w:r>
      <w:r>
        <w:rPr>
          <w:bCs/>
          <w:kern w:val="2"/>
          <w:lang w:val="zh-CN"/>
        </w:rPr>
        <w:t>5</w:t>
      </w:r>
      <w:r>
        <w:rPr>
          <w:bCs/>
          <w:kern w:val="2"/>
          <w:lang w:val="zh-CN"/>
        </w:rPr>
        <w:t>分），则</w:t>
      </w:r>
      <w:r>
        <w:rPr>
          <w:bCs/>
          <w:kern w:val="2"/>
          <w:lang w:val="zh-CN"/>
        </w:rPr>
        <w:t>M=</w:t>
      </w:r>
      <w:r>
        <w:rPr>
          <w:bCs/>
          <w:kern w:val="2"/>
        </w:rPr>
        <w:t>5</w:t>
      </w:r>
      <w:r>
        <w:rPr>
          <w:bCs/>
          <w:kern w:val="2"/>
          <w:lang w:val="zh-CN"/>
        </w:rPr>
        <w:t>，属</w:t>
      </w:r>
      <w:r>
        <w:rPr>
          <w:bCs/>
          <w:kern w:val="2"/>
          <w:lang w:val="zh-CN"/>
        </w:rPr>
        <w:t>M</w:t>
      </w:r>
      <w:r>
        <w:rPr>
          <w:bCs/>
          <w:kern w:val="2"/>
        </w:rPr>
        <w:t>4</w:t>
      </w:r>
      <w:r>
        <w:rPr>
          <w:bCs/>
          <w:kern w:val="2"/>
          <w:lang w:val="zh-CN"/>
        </w:rPr>
        <w:t>。</w:t>
      </w:r>
    </w:p>
    <w:p w14:paraId="04F747B7" w14:textId="77777777" w:rsidR="003E78AB" w:rsidRDefault="00010BF9">
      <w:pPr>
        <w:ind w:firstLine="480"/>
        <w:rPr>
          <w:kern w:val="2"/>
          <w:lang w:val="zh-CN"/>
        </w:rPr>
      </w:pPr>
      <w:r>
        <w:rPr>
          <w:kern w:val="2"/>
          <w:lang w:val="zh-CN"/>
        </w:rPr>
        <w:t>根据危险物质数量与临界量比值（</w:t>
      </w:r>
      <w:r>
        <w:rPr>
          <w:kern w:val="2"/>
          <w:lang w:val="zh-CN"/>
        </w:rPr>
        <w:t>Q</w:t>
      </w:r>
      <w:r>
        <w:rPr>
          <w:kern w:val="2"/>
          <w:lang w:val="zh-CN"/>
        </w:rPr>
        <w:t>）和行业及生产工艺（</w:t>
      </w:r>
      <w:r>
        <w:rPr>
          <w:kern w:val="2"/>
          <w:lang w:val="zh-CN"/>
        </w:rPr>
        <w:t>M</w:t>
      </w:r>
      <w:r>
        <w:rPr>
          <w:kern w:val="2"/>
          <w:lang w:val="zh-CN"/>
        </w:rPr>
        <w:t>），按照下表确定危险物质及工艺系统危险性等级（</w:t>
      </w:r>
      <w:r>
        <w:rPr>
          <w:kern w:val="2"/>
          <w:lang w:val="zh-CN"/>
        </w:rPr>
        <w:t>P</w:t>
      </w:r>
      <w:r>
        <w:rPr>
          <w:kern w:val="2"/>
          <w:lang w:val="zh-CN"/>
        </w:rPr>
        <w:t>）。</w:t>
      </w:r>
    </w:p>
    <w:p w14:paraId="1D86DE4C" w14:textId="77777777" w:rsidR="003E78AB" w:rsidRDefault="00010BF9">
      <w:pPr>
        <w:pStyle w:val="a5"/>
      </w:pPr>
      <w:r>
        <w:t>危险物质及工艺系统危险性等级判断（</w:t>
      </w:r>
      <w:r>
        <w:t>P</w:t>
      </w:r>
      <w:r>
        <w:t>）</w:t>
      </w: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3"/>
        <w:gridCol w:w="1703"/>
        <w:gridCol w:w="1703"/>
        <w:gridCol w:w="1702"/>
        <w:gridCol w:w="1709"/>
      </w:tblGrid>
      <w:tr w:rsidR="003E78AB" w14:paraId="47ED481E" w14:textId="77777777">
        <w:trPr>
          <w:trHeight w:val="340"/>
          <w:tblHeader/>
          <w:jc w:val="center"/>
        </w:trPr>
        <w:tc>
          <w:tcPr>
            <w:tcW w:w="999" w:type="pct"/>
            <w:vMerge w:val="restart"/>
            <w:vAlign w:val="center"/>
          </w:tcPr>
          <w:p w14:paraId="5A0AC088"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危险物质数量与临界量比值（</w:t>
            </w:r>
            <w:r>
              <w:rPr>
                <w:b/>
                <w:bCs/>
                <w:kern w:val="2"/>
                <w:sz w:val="21"/>
                <w:szCs w:val="21"/>
              </w:rPr>
              <w:t>Q</w:t>
            </w:r>
            <w:r>
              <w:rPr>
                <w:b/>
                <w:bCs/>
                <w:kern w:val="2"/>
                <w:sz w:val="21"/>
                <w:szCs w:val="21"/>
              </w:rPr>
              <w:t>）</w:t>
            </w:r>
          </w:p>
        </w:tc>
        <w:tc>
          <w:tcPr>
            <w:tcW w:w="4000" w:type="pct"/>
            <w:gridSpan w:val="4"/>
            <w:vAlign w:val="center"/>
          </w:tcPr>
          <w:p w14:paraId="698900B6"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行业及生产工艺（</w:t>
            </w:r>
            <w:r>
              <w:rPr>
                <w:b/>
                <w:bCs/>
                <w:kern w:val="2"/>
                <w:sz w:val="21"/>
                <w:szCs w:val="21"/>
              </w:rPr>
              <w:t>M</w:t>
            </w:r>
            <w:r>
              <w:rPr>
                <w:b/>
                <w:bCs/>
                <w:kern w:val="2"/>
                <w:sz w:val="21"/>
                <w:szCs w:val="21"/>
              </w:rPr>
              <w:t>）</w:t>
            </w:r>
          </w:p>
        </w:tc>
      </w:tr>
      <w:tr w:rsidR="003E78AB" w14:paraId="68F9DA29" w14:textId="77777777">
        <w:trPr>
          <w:trHeight w:val="340"/>
          <w:tblHeader/>
          <w:jc w:val="center"/>
        </w:trPr>
        <w:tc>
          <w:tcPr>
            <w:tcW w:w="999" w:type="pct"/>
            <w:vMerge/>
            <w:vAlign w:val="center"/>
          </w:tcPr>
          <w:p w14:paraId="74F4865B" w14:textId="77777777" w:rsidR="003E78AB" w:rsidRDefault="003E78AB">
            <w:pPr>
              <w:spacing w:line="360" w:lineRule="exact"/>
              <w:ind w:firstLineChars="0" w:firstLine="0"/>
              <w:contextualSpacing/>
              <w:jc w:val="center"/>
              <w:rPr>
                <w:b/>
                <w:bCs/>
                <w:kern w:val="2"/>
                <w:sz w:val="21"/>
                <w:szCs w:val="21"/>
              </w:rPr>
            </w:pPr>
          </w:p>
        </w:tc>
        <w:tc>
          <w:tcPr>
            <w:tcW w:w="999" w:type="pct"/>
            <w:vAlign w:val="center"/>
          </w:tcPr>
          <w:p w14:paraId="63D33AA1"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M1</w:t>
            </w:r>
          </w:p>
        </w:tc>
        <w:tc>
          <w:tcPr>
            <w:tcW w:w="999" w:type="pct"/>
            <w:vAlign w:val="center"/>
          </w:tcPr>
          <w:p w14:paraId="397D3025"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M2</w:t>
            </w:r>
          </w:p>
        </w:tc>
        <w:tc>
          <w:tcPr>
            <w:tcW w:w="999" w:type="pct"/>
            <w:vAlign w:val="center"/>
          </w:tcPr>
          <w:p w14:paraId="12ACC65F"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M3</w:t>
            </w:r>
          </w:p>
        </w:tc>
        <w:tc>
          <w:tcPr>
            <w:tcW w:w="1001" w:type="pct"/>
            <w:vAlign w:val="center"/>
          </w:tcPr>
          <w:p w14:paraId="0942F691"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M4</w:t>
            </w:r>
          </w:p>
        </w:tc>
      </w:tr>
      <w:tr w:rsidR="003E78AB" w14:paraId="6E830503" w14:textId="77777777">
        <w:trPr>
          <w:trHeight w:val="340"/>
          <w:jc w:val="center"/>
        </w:trPr>
        <w:tc>
          <w:tcPr>
            <w:tcW w:w="999" w:type="pct"/>
            <w:vAlign w:val="center"/>
          </w:tcPr>
          <w:p w14:paraId="54334DA8" w14:textId="77777777" w:rsidR="003E78AB" w:rsidRDefault="00010BF9">
            <w:pPr>
              <w:spacing w:line="360" w:lineRule="exact"/>
              <w:ind w:firstLineChars="0" w:firstLine="0"/>
              <w:contextualSpacing/>
              <w:jc w:val="center"/>
              <w:rPr>
                <w:kern w:val="2"/>
                <w:sz w:val="21"/>
                <w:szCs w:val="21"/>
              </w:rPr>
            </w:pPr>
            <w:r>
              <w:rPr>
                <w:kern w:val="2"/>
                <w:sz w:val="21"/>
                <w:szCs w:val="21"/>
              </w:rPr>
              <w:t>Q≥100</w:t>
            </w:r>
          </w:p>
        </w:tc>
        <w:tc>
          <w:tcPr>
            <w:tcW w:w="999" w:type="pct"/>
            <w:shd w:val="clear" w:color="auto" w:fill="auto"/>
            <w:vAlign w:val="center"/>
          </w:tcPr>
          <w:p w14:paraId="4F36FC0C" w14:textId="77777777" w:rsidR="003E78AB" w:rsidRDefault="00010BF9">
            <w:pPr>
              <w:spacing w:line="360" w:lineRule="exact"/>
              <w:ind w:firstLineChars="0" w:firstLine="0"/>
              <w:contextualSpacing/>
              <w:jc w:val="center"/>
              <w:rPr>
                <w:bCs/>
                <w:kern w:val="2"/>
                <w:sz w:val="21"/>
                <w:szCs w:val="21"/>
              </w:rPr>
            </w:pPr>
            <w:r>
              <w:rPr>
                <w:bCs/>
                <w:kern w:val="2"/>
                <w:sz w:val="21"/>
                <w:szCs w:val="21"/>
              </w:rPr>
              <w:t>P1</w:t>
            </w:r>
          </w:p>
        </w:tc>
        <w:tc>
          <w:tcPr>
            <w:tcW w:w="999" w:type="pct"/>
            <w:vAlign w:val="center"/>
          </w:tcPr>
          <w:p w14:paraId="0B704648" w14:textId="77777777" w:rsidR="003E78AB" w:rsidRDefault="00010BF9">
            <w:pPr>
              <w:spacing w:line="360" w:lineRule="exact"/>
              <w:ind w:firstLineChars="0" w:firstLine="0"/>
              <w:contextualSpacing/>
              <w:jc w:val="center"/>
              <w:rPr>
                <w:kern w:val="2"/>
                <w:sz w:val="21"/>
                <w:szCs w:val="21"/>
              </w:rPr>
            </w:pPr>
            <w:r>
              <w:rPr>
                <w:kern w:val="2"/>
                <w:sz w:val="21"/>
                <w:szCs w:val="21"/>
              </w:rPr>
              <w:t>P1</w:t>
            </w:r>
          </w:p>
        </w:tc>
        <w:tc>
          <w:tcPr>
            <w:tcW w:w="999" w:type="pct"/>
            <w:vAlign w:val="center"/>
          </w:tcPr>
          <w:p w14:paraId="6D44FD8A" w14:textId="77777777" w:rsidR="003E78AB" w:rsidRDefault="00010BF9">
            <w:pPr>
              <w:spacing w:line="360" w:lineRule="exact"/>
              <w:ind w:firstLineChars="0" w:firstLine="0"/>
              <w:contextualSpacing/>
              <w:jc w:val="center"/>
              <w:rPr>
                <w:kern w:val="2"/>
                <w:sz w:val="21"/>
                <w:szCs w:val="21"/>
              </w:rPr>
            </w:pPr>
            <w:r>
              <w:rPr>
                <w:kern w:val="2"/>
                <w:sz w:val="21"/>
                <w:szCs w:val="21"/>
              </w:rPr>
              <w:t>P2</w:t>
            </w:r>
          </w:p>
        </w:tc>
        <w:tc>
          <w:tcPr>
            <w:tcW w:w="1001" w:type="pct"/>
            <w:vAlign w:val="center"/>
          </w:tcPr>
          <w:p w14:paraId="0ABF789E" w14:textId="77777777" w:rsidR="003E78AB" w:rsidRDefault="00010BF9">
            <w:pPr>
              <w:spacing w:line="360" w:lineRule="exact"/>
              <w:ind w:firstLineChars="0" w:firstLine="0"/>
              <w:contextualSpacing/>
              <w:jc w:val="center"/>
              <w:rPr>
                <w:kern w:val="2"/>
                <w:sz w:val="21"/>
                <w:szCs w:val="21"/>
              </w:rPr>
            </w:pPr>
            <w:r>
              <w:rPr>
                <w:b/>
                <w:bCs/>
                <w:kern w:val="2"/>
                <w:sz w:val="21"/>
                <w:szCs w:val="21"/>
              </w:rPr>
              <w:t>P3</w:t>
            </w:r>
          </w:p>
        </w:tc>
      </w:tr>
      <w:tr w:rsidR="003E78AB" w14:paraId="1054EF25" w14:textId="77777777">
        <w:trPr>
          <w:trHeight w:val="340"/>
          <w:jc w:val="center"/>
        </w:trPr>
        <w:tc>
          <w:tcPr>
            <w:tcW w:w="999" w:type="pct"/>
            <w:vAlign w:val="center"/>
          </w:tcPr>
          <w:p w14:paraId="33642619" w14:textId="77777777" w:rsidR="003E78AB" w:rsidRDefault="00010BF9">
            <w:pPr>
              <w:spacing w:line="360" w:lineRule="exact"/>
              <w:ind w:firstLineChars="0" w:firstLine="0"/>
              <w:contextualSpacing/>
              <w:jc w:val="center"/>
              <w:rPr>
                <w:kern w:val="2"/>
                <w:sz w:val="21"/>
                <w:szCs w:val="21"/>
              </w:rPr>
            </w:pPr>
            <w:r>
              <w:rPr>
                <w:kern w:val="2"/>
                <w:sz w:val="21"/>
                <w:szCs w:val="21"/>
              </w:rPr>
              <w:t>10≤Q</w:t>
            </w:r>
            <w:r>
              <w:rPr>
                <w:kern w:val="2"/>
                <w:sz w:val="21"/>
                <w:szCs w:val="21"/>
              </w:rPr>
              <w:t>＜</w:t>
            </w:r>
            <w:r>
              <w:rPr>
                <w:kern w:val="2"/>
                <w:sz w:val="21"/>
                <w:szCs w:val="21"/>
              </w:rPr>
              <w:t>100</w:t>
            </w:r>
          </w:p>
        </w:tc>
        <w:tc>
          <w:tcPr>
            <w:tcW w:w="999" w:type="pct"/>
            <w:vAlign w:val="center"/>
          </w:tcPr>
          <w:p w14:paraId="2416570A" w14:textId="77777777" w:rsidR="003E78AB" w:rsidRDefault="00010BF9">
            <w:pPr>
              <w:spacing w:line="360" w:lineRule="exact"/>
              <w:ind w:firstLineChars="0" w:firstLine="0"/>
              <w:contextualSpacing/>
              <w:jc w:val="center"/>
              <w:rPr>
                <w:kern w:val="2"/>
                <w:sz w:val="21"/>
                <w:szCs w:val="21"/>
              </w:rPr>
            </w:pPr>
            <w:r>
              <w:rPr>
                <w:kern w:val="2"/>
                <w:sz w:val="21"/>
                <w:szCs w:val="21"/>
              </w:rPr>
              <w:t>P1</w:t>
            </w:r>
          </w:p>
        </w:tc>
        <w:tc>
          <w:tcPr>
            <w:tcW w:w="999" w:type="pct"/>
            <w:vAlign w:val="center"/>
          </w:tcPr>
          <w:p w14:paraId="0815D8D4" w14:textId="77777777" w:rsidR="003E78AB" w:rsidRDefault="00010BF9">
            <w:pPr>
              <w:spacing w:line="360" w:lineRule="exact"/>
              <w:ind w:firstLineChars="0" w:firstLine="0"/>
              <w:contextualSpacing/>
              <w:jc w:val="center"/>
              <w:rPr>
                <w:kern w:val="2"/>
                <w:sz w:val="21"/>
                <w:szCs w:val="21"/>
              </w:rPr>
            </w:pPr>
            <w:r>
              <w:rPr>
                <w:kern w:val="2"/>
                <w:sz w:val="21"/>
                <w:szCs w:val="21"/>
              </w:rPr>
              <w:t>P2</w:t>
            </w:r>
          </w:p>
        </w:tc>
        <w:tc>
          <w:tcPr>
            <w:tcW w:w="999" w:type="pct"/>
            <w:vAlign w:val="center"/>
          </w:tcPr>
          <w:p w14:paraId="492BE75A" w14:textId="77777777" w:rsidR="003E78AB" w:rsidRDefault="00010BF9">
            <w:pPr>
              <w:spacing w:line="360" w:lineRule="exact"/>
              <w:ind w:firstLineChars="0" w:firstLine="0"/>
              <w:contextualSpacing/>
              <w:jc w:val="center"/>
              <w:rPr>
                <w:kern w:val="2"/>
                <w:sz w:val="21"/>
                <w:szCs w:val="21"/>
              </w:rPr>
            </w:pPr>
            <w:r>
              <w:rPr>
                <w:kern w:val="2"/>
                <w:sz w:val="21"/>
                <w:szCs w:val="21"/>
              </w:rPr>
              <w:t>P3</w:t>
            </w:r>
          </w:p>
        </w:tc>
        <w:tc>
          <w:tcPr>
            <w:tcW w:w="1001" w:type="pct"/>
            <w:vAlign w:val="center"/>
          </w:tcPr>
          <w:p w14:paraId="34573339" w14:textId="77777777" w:rsidR="003E78AB" w:rsidRDefault="00010BF9">
            <w:pPr>
              <w:spacing w:line="360" w:lineRule="exact"/>
              <w:ind w:firstLineChars="0" w:firstLine="0"/>
              <w:contextualSpacing/>
              <w:jc w:val="center"/>
              <w:rPr>
                <w:kern w:val="2"/>
                <w:sz w:val="21"/>
                <w:szCs w:val="21"/>
              </w:rPr>
            </w:pPr>
            <w:r>
              <w:rPr>
                <w:kern w:val="2"/>
                <w:sz w:val="21"/>
                <w:szCs w:val="21"/>
              </w:rPr>
              <w:t>P4</w:t>
            </w:r>
          </w:p>
        </w:tc>
      </w:tr>
      <w:tr w:rsidR="003E78AB" w14:paraId="48D79C8B" w14:textId="77777777">
        <w:trPr>
          <w:trHeight w:val="340"/>
          <w:jc w:val="center"/>
        </w:trPr>
        <w:tc>
          <w:tcPr>
            <w:tcW w:w="999" w:type="pct"/>
            <w:vAlign w:val="center"/>
          </w:tcPr>
          <w:p w14:paraId="25672553" w14:textId="77777777" w:rsidR="003E78AB" w:rsidRDefault="00010BF9">
            <w:pPr>
              <w:spacing w:line="360" w:lineRule="exact"/>
              <w:ind w:firstLineChars="0" w:firstLine="0"/>
              <w:contextualSpacing/>
              <w:jc w:val="center"/>
              <w:rPr>
                <w:kern w:val="2"/>
                <w:sz w:val="21"/>
                <w:szCs w:val="21"/>
              </w:rPr>
            </w:pPr>
            <w:r>
              <w:rPr>
                <w:kern w:val="2"/>
                <w:sz w:val="21"/>
                <w:szCs w:val="21"/>
              </w:rPr>
              <w:t>1≤Q</w:t>
            </w:r>
            <w:r>
              <w:rPr>
                <w:kern w:val="2"/>
                <w:sz w:val="21"/>
                <w:szCs w:val="21"/>
              </w:rPr>
              <w:t>＜</w:t>
            </w:r>
            <w:r>
              <w:rPr>
                <w:kern w:val="2"/>
                <w:sz w:val="21"/>
                <w:szCs w:val="21"/>
              </w:rPr>
              <w:t>10</w:t>
            </w:r>
          </w:p>
        </w:tc>
        <w:tc>
          <w:tcPr>
            <w:tcW w:w="999" w:type="pct"/>
            <w:vAlign w:val="center"/>
          </w:tcPr>
          <w:p w14:paraId="010FB48D" w14:textId="77777777" w:rsidR="003E78AB" w:rsidRDefault="00010BF9">
            <w:pPr>
              <w:spacing w:line="360" w:lineRule="exact"/>
              <w:ind w:firstLineChars="0" w:firstLine="0"/>
              <w:contextualSpacing/>
              <w:jc w:val="center"/>
              <w:rPr>
                <w:kern w:val="2"/>
                <w:sz w:val="21"/>
                <w:szCs w:val="21"/>
              </w:rPr>
            </w:pPr>
            <w:r>
              <w:rPr>
                <w:kern w:val="2"/>
                <w:sz w:val="21"/>
                <w:szCs w:val="21"/>
              </w:rPr>
              <w:t>P2</w:t>
            </w:r>
          </w:p>
        </w:tc>
        <w:tc>
          <w:tcPr>
            <w:tcW w:w="999" w:type="pct"/>
            <w:vAlign w:val="center"/>
          </w:tcPr>
          <w:p w14:paraId="528E3F11" w14:textId="77777777" w:rsidR="003E78AB" w:rsidRDefault="00010BF9">
            <w:pPr>
              <w:spacing w:line="360" w:lineRule="exact"/>
              <w:ind w:firstLineChars="0" w:firstLine="0"/>
              <w:contextualSpacing/>
              <w:jc w:val="center"/>
              <w:rPr>
                <w:kern w:val="2"/>
                <w:sz w:val="21"/>
                <w:szCs w:val="21"/>
              </w:rPr>
            </w:pPr>
            <w:r>
              <w:rPr>
                <w:kern w:val="2"/>
                <w:sz w:val="21"/>
                <w:szCs w:val="21"/>
              </w:rPr>
              <w:t>P3</w:t>
            </w:r>
          </w:p>
        </w:tc>
        <w:tc>
          <w:tcPr>
            <w:tcW w:w="999" w:type="pct"/>
            <w:vAlign w:val="center"/>
          </w:tcPr>
          <w:p w14:paraId="361651B5" w14:textId="77777777" w:rsidR="003E78AB" w:rsidRDefault="00010BF9">
            <w:pPr>
              <w:spacing w:line="360" w:lineRule="exact"/>
              <w:ind w:firstLineChars="0" w:firstLine="0"/>
              <w:contextualSpacing/>
              <w:jc w:val="center"/>
              <w:rPr>
                <w:kern w:val="2"/>
                <w:sz w:val="21"/>
                <w:szCs w:val="21"/>
              </w:rPr>
            </w:pPr>
            <w:r>
              <w:rPr>
                <w:kern w:val="2"/>
                <w:sz w:val="21"/>
                <w:szCs w:val="21"/>
              </w:rPr>
              <w:t>P4</w:t>
            </w:r>
          </w:p>
        </w:tc>
        <w:tc>
          <w:tcPr>
            <w:tcW w:w="1001" w:type="pct"/>
            <w:vAlign w:val="center"/>
          </w:tcPr>
          <w:p w14:paraId="11496C97" w14:textId="77777777" w:rsidR="003E78AB" w:rsidRDefault="00010BF9">
            <w:pPr>
              <w:spacing w:line="360" w:lineRule="exact"/>
              <w:ind w:firstLineChars="0" w:firstLine="0"/>
              <w:contextualSpacing/>
              <w:jc w:val="center"/>
              <w:rPr>
                <w:kern w:val="2"/>
                <w:sz w:val="21"/>
                <w:szCs w:val="21"/>
              </w:rPr>
            </w:pPr>
            <w:r>
              <w:rPr>
                <w:kern w:val="2"/>
                <w:sz w:val="21"/>
                <w:szCs w:val="21"/>
              </w:rPr>
              <w:t>P4</w:t>
            </w:r>
          </w:p>
        </w:tc>
      </w:tr>
    </w:tbl>
    <w:p w14:paraId="129D6979" w14:textId="77777777" w:rsidR="003E78AB" w:rsidRDefault="00010BF9">
      <w:pPr>
        <w:ind w:firstLine="480"/>
        <w:rPr>
          <w:kern w:val="2"/>
          <w:lang w:val="zh-CN"/>
        </w:rPr>
      </w:pPr>
      <w:r>
        <w:rPr>
          <w:kern w:val="2"/>
          <w:lang w:val="zh-CN"/>
        </w:rPr>
        <w:t>由上表可知，本项目危险物质及工艺系统危险性（</w:t>
      </w:r>
      <w:r>
        <w:rPr>
          <w:kern w:val="2"/>
          <w:lang w:val="zh-CN"/>
        </w:rPr>
        <w:t>P</w:t>
      </w:r>
      <w:r>
        <w:rPr>
          <w:kern w:val="2"/>
          <w:lang w:val="zh-CN"/>
        </w:rPr>
        <w:t>）分级为</w:t>
      </w:r>
      <w:r>
        <w:rPr>
          <w:kern w:val="2"/>
          <w:lang w:val="zh-CN"/>
        </w:rPr>
        <w:t>P</w:t>
      </w:r>
      <w:r>
        <w:rPr>
          <w:rFonts w:hint="eastAsia"/>
          <w:kern w:val="2"/>
        </w:rPr>
        <w:t>3</w:t>
      </w:r>
      <w:r>
        <w:rPr>
          <w:kern w:val="2"/>
          <w:lang w:val="zh-CN"/>
        </w:rPr>
        <w:t>。</w:t>
      </w:r>
    </w:p>
    <w:p w14:paraId="3BE40CC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2.4.6.2</w:t>
      </w:r>
      <w:r>
        <w:rPr>
          <w:rFonts w:ascii="Times New Roman" w:hAnsi="Times New Roman"/>
        </w:rPr>
        <w:t>环境敏感程度（</w:t>
      </w:r>
      <w:r>
        <w:rPr>
          <w:rFonts w:ascii="Times New Roman" w:hAnsi="Times New Roman"/>
        </w:rPr>
        <w:t>E</w:t>
      </w:r>
      <w:r>
        <w:rPr>
          <w:rFonts w:ascii="Times New Roman" w:hAnsi="Times New Roman"/>
        </w:rPr>
        <w:t>）分级</w:t>
      </w:r>
    </w:p>
    <w:p w14:paraId="36CB8650" w14:textId="77777777" w:rsidR="003E78AB" w:rsidRDefault="00010BF9">
      <w:pPr>
        <w:ind w:firstLine="480"/>
        <w:rPr>
          <w:kern w:val="2"/>
          <w:lang w:val="zh-CN"/>
        </w:rPr>
      </w:pPr>
      <w:r>
        <w:rPr>
          <w:kern w:val="2"/>
          <w:lang w:val="zh-CN"/>
        </w:rPr>
        <w:t>①</w:t>
      </w:r>
      <w:r>
        <w:rPr>
          <w:kern w:val="2"/>
          <w:lang w:val="zh-CN"/>
        </w:rPr>
        <w:t>大气环境分级</w:t>
      </w:r>
    </w:p>
    <w:p w14:paraId="38EC783D" w14:textId="77777777" w:rsidR="003E78AB" w:rsidRDefault="00010BF9">
      <w:pPr>
        <w:ind w:firstLine="480"/>
        <w:rPr>
          <w:kern w:val="2"/>
          <w:lang w:val="zh-CN"/>
        </w:rPr>
      </w:pPr>
      <w:r>
        <w:rPr>
          <w:kern w:val="2"/>
          <w:lang w:val="zh-CN"/>
        </w:rPr>
        <w:t>依据环境敏感目标敏感性及人口密度划分环境风险受体的敏感性，分级原则见表</w:t>
      </w:r>
      <w:r>
        <w:rPr>
          <w:kern w:val="2"/>
        </w:rPr>
        <w:t>2-17</w:t>
      </w:r>
      <w:r>
        <w:rPr>
          <w:kern w:val="2"/>
          <w:lang w:val="zh-CN"/>
        </w:rPr>
        <w:t>。</w:t>
      </w:r>
    </w:p>
    <w:p w14:paraId="62CD9972" w14:textId="77777777" w:rsidR="003E78AB" w:rsidRDefault="00010BF9">
      <w:pPr>
        <w:pStyle w:val="a5"/>
      </w:pPr>
      <w:r>
        <w:t>大气环境敏感程度分级</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85"/>
        <w:gridCol w:w="7732"/>
      </w:tblGrid>
      <w:tr w:rsidR="003E78AB" w14:paraId="1B1792EE" w14:textId="77777777">
        <w:trPr>
          <w:trHeight w:val="340"/>
          <w:tblHeader/>
          <w:jc w:val="center"/>
        </w:trPr>
        <w:tc>
          <w:tcPr>
            <w:tcW w:w="407" w:type="pct"/>
            <w:vAlign w:val="center"/>
          </w:tcPr>
          <w:p w14:paraId="048489BA" w14:textId="77777777" w:rsidR="003E78AB" w:rsidRDefault="00010BF9">
            <w:pPr>
              <w:spacing w:line="360" w:lineRule="exact"/>
              <w:ind w:firstLineChars="0" w:firstLine="0"/>
              <w:contextualSpacing/>
              <w:jc w:val="center"/>
              <w:rPr>
                <w:b/>
                <w:kern w:val="2"/>
                <w:sz w:val="21"/>
                <w:szCs w:val="21"/>
              </w:rPr>
            </w:pPr>
            <w:r>
              <w:rPr>
                <w:b/>
                <w:kern w:val="2"/>
                <w:sz w:val="21"/>
                <w:szCs w:val="21"/>
              </w:rPr>
              <w:t>分级</w:t>
            </w:r>
          </w:p>
        </w:tc>
        <w:tc>
          <w:tcPr>
            <w:tcW w:w="4592" w:type="pct"/>
            <w:vAlign w:val="center"/>
          </w:tcPr>
          <w:p w14:paraId="6BA459D8" w14:textId="77777777" w:rsidR="003E78AB" w:rsidRDefault="00010BF9">
            <w:pPr>
              <w:spacing w:line="360" w:lineRule="exact"/>
              <w:ind w:firstLineChars="0" w:firstLine="0"/>
              <w:contextualSpacing/>
              <w:jc w:val="center"/>
              <w:rPr>
                <w:b/>
                <w:kern w:val="2"/>
                <w:sz w:val="21"/>
                <w:szCs w:val="21"/>
              </w:rPr>
            </w:pPr>
            <w:r>
              <w:rPr>
                <w:b/>
                <w:kern w:val="2"/>
                <w:sz w:val="21"/>
                <w:szCs w:val="21"/>
              </w:rPr>
              <w:t>大气环境敏感性</w:t>
            </w:r>
          </w:p>
        </w:tc>
      </w:tr>
      <w:tr w:rsidR="003E78AB" w14:paraId="440E0948" w14:textId="77777777">
        <w:trPr>
          <w:trHeight w:val="340"/>
          <w:jc w:val="center"/>
        </w:trPr>
        <w:tc>
          <w:tcPr>
            <w:tcW w:w="407" w:type="pct"/>
            <w:vAlign w:val="center"/>
          </w:tcPr>
          <w:p w14:paraId="726C77D2" w14:textId="77777777" w:rsidR="003E78AB" w:rsidRDefault="00010BF9">
            <w:pPr>
              <w:spacing w:line="360" w:lineRule="exact"/>
              <w:ind w:firstLineChars="0" w:firstLine="0"/>
              <w:contextualSpacing/>
              <w:jc w:val="center"/>
              <w:rPr>
                <w:kern w:val="2"/>
                <w:sz w:val="21"/>
                <w:szCs w:val="21"/>
              </w:rPr>
            </w:pPr>
            <w:r>
              <w:rPr>
                <w:kern w:val="2"/>
                <w:sz w:val="21"/>
                <w:szCs w:val="21"/>
              </w:rPr>
              <w:t>E1</w:t>
            </w:r>
          </w:p>
        </w:tc>
        <w:tc>
          <w:tcPr>
            <w:tcW w:w="4592" w:type="pct"/>
            <w:vAlign w:val="center"/>
          </w:tcPr>
          <w:p w14:paraId="463D9871" w14:textId="77777777" w:rsidR="003E78AB" w:rsidRDefault="00010BF9">
            <w:pPr>
              <w:spacing w:line="360" w:lineRule="exact"/>
              <w:ind w:firstLineChars="0" w:firstLine="0"/>
              <w:contextualSpacing/>
              <w:rPr>
                <w:kern w:val="2"/>
                <w:sz w:val="21"/>
                <w:szCs w:val="21"/>
              </w:rPr>
            </w:pPr>
            <w:r>
              <w:rPr>
                <w:kern w:val="2"/>
                <w:sz w:val="21"/>
                <w:szCs w:val="21"/>
              </w:rPr>
              <w:t>周边</w:t>
            </w:r>
            <w:r>
              <w:rPr>
                <w:kern w:val="2"/>
                <w:sz w:val="21"/>
                <w:szCs w:val="21"/>
              </w:rPr>
              <w:t>5km</w:t>
            </w:r>
            <w:r>
              <w:rPr>
                <w:kern w:val="2"/>
                <w:sz w:val="21"/>
                <w:szCs w:val="21"/>
              </w:rPr>
              <w:t>范围内居住区、医疗卫生、文化教育、科研、行政办公等机构人口总数大于</w:t>
            </w:r>
            <w:r>
              <w:rPr>
                <w:kern w:val="2"/>
                <w:sz w:val="21"/>
                <w:szCs w:val="21"/>
              </w:rPr>
              <w:t>5</w:t>
            </w:r>
            <w:r>
              <w:rPr>
                <w:kern w:val="2"/>
                <w:sz w:val="21"/>
                <w:szCs w:val="21"/>
              </w:rPr>
              <w:t>万人，或其他需要特殊保护区域；或周边</w:t>
            </w:r>
            <w:r>
              <w:rPr>
                <w:kern w:val="2"/>
                <w:sz w:val="21"/>
                <w:szCs w:val="21"/>
              </w:rPr>
              <w:t>500m</w:t>
            </w:r>
            <w:r>
              <w:rPr>
                <w:kern w:val="2"/>
                <w:sz w:val="21"/>
                <w:szCs w:val="21"/>
              </w:rPr>
              <w:t>范围内人口总数大于</w:t>
            </w:r>
            <w:r>
              <w:rPr>
                <w:kern w:val="2"/>
                <w:sz w:val="21"/>
                <w:szCs w:val="21"/>
              </w:rPr>
              <w:t>1000</w:t>
            </w:r>
            <w:r>
              <w:rPr>
                <w:kern w:val="2"/>
                <w:sz w:val="21"/>
                <w:szCs w:val="21"/>
              </w:rPr>
              <w:t>人；油气、化学品输送管线管段周边</w:t>
            </w:r>
            <w:r>
              <w:rPr>
                <w:kern w:val="2"/>
                <w:sz w:val="21"/>
                <w:szCs w:val="21"/>
              </w:rPr>
              <w:t>200m</w:t>
            </w:r>
            <w:r>
              <w:rPr>
                <w:kern w:val="2"/>
                <w:sz w:val="21"/>
                <w:szCs w:val="21"/>
              </w:rPr>
              <w:t>范围内，每千米管段人口数大于</w:t>
            </w:r>
            <w:r>
              <w:rPr>
                <w:kern w:val="2"/>
                <w:sz w:val="21"/>
                <w:szCs w:val="21"/>
              </w:rPr>
              <w:t>200</w:t>
            </w:r>
            <w:r>
              <w:rPr>
                <w:kern w:val="2"/>
                <w:sz w:val="21"/>
                <w:szCs w:val="21"/>
              </w:rPr>
              <w:t>人。</w:t>
            </w:r>
          </w:p>
        </w:tc>
      </w:tr>
      <w:tr w:rsidR="003E78AB" w14:paraId="787476C3" w14:textId="77777777">
        <w:trPr>
          <w:trHeight w:val="340"/>
          <w:jc w:val="center"/>
        </w:trPr>
        <w:tc>
          <w:tcPr>
            <w:tcW w:w="407" w:type="pct"/>
            <w:vAlign w:val="center"/>
          </w:tcPr>
          <w:p w14:paraId="6986EE03" w14:textId="77777777" w:rsidR="003E78AB" w:rsidRDefault="00010BF9">
            <w:pPr>
              <w:spacing w:line="360" w:lineRule="exact"/>
              <w:ind w:firstLineChars="0" w:firstLine="0"/>
              <w:contextualSpacing/>
              <w:jc w:val="center"/>
              <w:rPr>
                <w:kern w:val="2"/>
                <w:sz w:val="21"/>
                <w:szCs w:val="21"/>
              </w:rPr>
            </w:pPr>
            <w:r>
              <w:rPr>
                <w:kern w:val="2"/>
                <w:sz w:val="21"/>
                <w:szCs w:val="21"/>
              </w:rPr>
              <w:t>E2</w:t>
            </w:r>
          </w:p>
        </w:tc>
        <w:tc>
          <w:tcPr>
            <w:tcW w:w="4592" w:type="pct"/>
            <w:vAlign w:val="center"/>
          </w:tcPr>
          <w:p w14:paraId="7865E7A4" w14:textId="77777777" w:rsidR="003E78AB" w:rsidRDefault="00010BF9">
            <w:pPr>
              <w:spacing w:line="360" w:lineRule="exact"/>
              <w:ind w:firstLineChars="0" w:firstLine="0"/>
              <w:contextualSpacing/>
              <w:rPr>
                <w:kern w:val="2"/>
                <w:sz w:val="21"/>
                <w:szCs w:val="21"/>
              </w:rPr>
            </w:pPr>
            <w:r>
              <w:rPr>
                <w:kern w:val="2"/>
                <w:sz w:val="21"/>
                <w:szCs w:val="21"/>
              </w:rPr>
              <w:t>周边</w:t>
            </w:r>
            <w:r>
              <w:rPr>
                <w:kern w:val="2"/>
                <w:sz w:val="21"/>
                <w:szCs w:val="21"/>
              </w:rPr>
              <w:t>5km</w:t>
            </w:r>
            <w:r>
              <w:rPr>
                <w:kern w:val="2"/>
                <w:sz w:val="21"/>
                <w:szCs w:val="21"/>
              </w:rPr>
              <w:t>范围内居住区、医疗卫生、文化教育、科研、行政办公等机构人口总数大于</w:t>
            </w:r>
            <w:r>
              <w:rPr>
                <w:kern w:val="2"/>
                <w:sz w:val="21"/>
                <w:szCs w:val="21"/>
              </w:rPr>
              <w:t>1</w:t>
            </w:r>
            <w:r>
              <w:rPr>
                <w:kern w:val="2"/>
                <w:sz w:val="21"/>
                <w:szCs w:val="21"/>
              </w:rPr>
              <w:t>万人，小于</w:t>
            </w:r>
            <w:r>
              <w:rPr>
                <w:kern w:val="2"/>
                <w:sz w:val="21"/>
                <w:szCs w:val="21"/>
              </w:rPr>
              <w:t>5</w:t>
            </w:r>
            <w:r>
              <w:rPr>
                <w:kern w:val="2"/>
                <w:sz w:val="21"/>
                <w:szCs w:val="21"/>
              </w:rPr>
              <w:t>万人；或周边</w:t>
            </w:r>
            <w:r>
              <w:rPr>
                <w:kern w:val="2"/>
                <w:sz w:val="21"/>
                <w:szCs w:val="21"/>
              </w:rPr>
              <w:t>500m</w:t>
            </w:r>
            <w:r>
              <w:rPr>
                <w:kern w:val="2"/>
                <w:sz w:val="21"/>
                <w:szCs w:val="21"/>
              </w:rPr>
              <w:t>范围内人口总数大于</w:t>
            </w:r>
            <w:r>
              <w:rPr>
                <w:kern w:val="2"/>
                <w:sz w:val="21"/>
                <w:szCs w:val="21"/>
              </w:rPr>
              <w:t>500</w:t>
            </w:r>
            <w:r>
              <w:rPr>
                <w:kern w:val="2"/>
                <w:sz w:val="21"/>
                <w:szCs w:val="21"/>
              </w:rPr>
              <w:t>人，小于</w:t>
            </w:r>
            <w:r>
              <w:rPr>
                <w:kern w:val="2"/>
                <w:sz w:val="21"/>
                <w:szCs w:val="21"/>
              </w:rPr>
              <w:t>1000</w:t>
            </w:r>
            <w:r>
              <w:rPr>
                <w:kern w:val="2"/>
                <w:sz w:val="21"/>
                <w:szCs w:val="21"/>
              </w:rPr>
              <w:t>人；油气、化学品输送管线管段周边</w:t>
            </w:r>
            <w:r>
              <w:rPr>
                <w:kern w:val="2"/>
                <w:sz w:val="21"/>
                <w:szCs w:val="21"/>
              </w:rPr>
              <w:t>200m</w:t>
            </w:r>
            <w:r>
              <w:rPr>
                <w:kern w:val="2"/>
                <w:sz w:val="21"/>
                <w:szCs w:val="21"/>
              </w:rPr>
              <w:t>范围内，每千米管段人口数大于</w:t>
            </w:r>
            <w:r>
              <w:rPr>
                <w:kern w:val="2"/>
                <w:sz w:val="21"/>
                <w:szCs w:val="21"/>
              </w:rPr>
              <w:t>100</w:t>
            </w:r>
            <w:r>
              <w:rPr>
                <w:kern w:val="2"/>
                <w:sz w:val="21"/>
                <w:szCs w:val="21"/>
              </w:rPr>
              <w:t>人</w:t>
            </w:r>
            <w:r>
              <w:rPr>
                <w:kern w:val="2"/>
                <w:sz w:val="21"/>
                <w:szCs w:val="21"/>
              </w:rPr>
              <w:t>.</w:t>
            </w:r>
            <w:r>
              <w:rPr>
                <w:kern w:val="2"/>
                <w:sz w:val="21"/>
                <w:szCs w:val="21"/>
              </w:rPr>
              <w:t>小于</w:t>
            </w:r>
            <w:r>
              <w:rPr>
                <w:kern w:val="2"/>
                <w:sz w:val="21"/>
                <w:szCs w:val="21"/>
              </w:rPr>
              <w:t>200</w:t>
            </w:r>
            <w:r>
              <w:rPr>
                <w:kern w:val="2"/>
                <w:sz w:val="21"/>
                <w:szCs w:val="21"/>
              </w:rPr>
              <w:t>人。</w:t>
            </w:r>
          </w:p>
        </w:tc>
      </w:tr>
      <w:tr w:rsidR="003E78AB" w14:paraId="31754FAF" w14:textId="77777777">
        <w:trPr>
          <w:trHeight w:val="340"/>
          <w:jc w:val="center"/>
        </w:trPr>
        <w:tc>
          <w:tcPr>
            <w:tcW w:w="407" w:type="pct"/>
            <w:vAlign w:val="center"/>
          </w:tcPr>
          <w:p w14:paraId="26FCFE2B" w14:textId="77777777" w:rsidR="003E78AB" w:rsidRDefault="00010BF9">
            <w:pPr>
              <w:spacing w:line="360" w:lineRule="exact"/>
              <w:ind w:firstLineChars="0" w:firstLine="0"/>
              <w:contextualSpacing/>
              <w:jc w:val="center"/>
              <w:rPr>
                <w:kern w:val="2"/>
                <w:sz w:val="21"/>
                <w:szCs w:val="21"/>
              </w:rPr>
            </w:pPr>
            <w:r>
              <w:rPr>
                <w:kern w:val="2"/>
                <w:sz w:val="21"/>
                <w:szCs w:val="21"/>
              </w:rPr>
              <w:t>E3</w:t>
            </w:r>
          </w:p>
        </w:tc>
        <w:tc>
          <w:tcPr>
            <w:tcW w:w="4592" w:type="pct"/>
            <w:vAlign w:val="center"/>
          </w:tcPr>
          <w:p w14:paraId="52AF7DAE" w14:textId="77777777" w:rsidR="003E78AB" w:rsidRDefault="00010BF9">
            <w:pPr>
              <w:spacing w:line="360" w:lineRule="exact"/>
              <w:ind w:firstLineChars="0" w:firstLine="0"/>
              <w:contextualSpacing/>
              <w:rPr>
                <w:kern w:val="2"/>
                <w:sz w:val="21"/>
                <w:szCs w:val="21"/>
              </w:rPr>
            </w:pPr>
            <w:r>
              <w:rPr>
                <w:kern w:val="2"/>
                <w:sz w:val="21"/>
                <w:szCs w:val="21"/>
              </w:rPr>
              <w:t>周边</w:t>
            </w:r>
            <w:r>
              <w:rPr>
                <w:kern w:val="2"/>
                <w:sz w:val="21"/>
                <w:szCs w:val="21"/>
              </w:rPr>
              <w:t>5km</w:t>
            </w:r>
            <w:r>
              <w:rPr>
                <w:kern w:val="2"/>
                <w:sz w:val="21"/>
                <w:szCs w:val="21"/>
              </w:rPr>
              <w:t>范围内居住区、医疗卫生、文化教育、科研、行政办公等机构人口总数小于</w:t>
            </w:r>
            <w:r>
              <w:rPr>
                <w:kern w:val="2"/>
                <w:sz w:val="21"/>
                <w:szCs w:val="21"/>
              </w:rPr>
              <w:t>1</w:t>
            </w:r>
            <w:r>
              <w:rPr>
                <w:kern w:val="2"/>
                <w:sz w:val="21"/>
                <w:szCs w:val="21"/>
              </w:rPr>
              <w:t>万人；或周边</w:t>
            </w:r>
            <w:r>
              <w:rPr>
                <w:kern w:val="2"/>
                <w:sz w:val="21"/>
                <w:szCs w:val="21"/>
              </w:rPr>
              <w:t>500m</w:t>
            </w:r>
            <w:r>
              <w:rPr>
                <w:kern w:val="2"/>
                <w:sz w:val="21"/>
                <w:szCs w:val="21"/>
              </w:rPr>
              <w:t>范围内人口总数小于</w:t>
            </w:r>
            <w:r>
              <w:rPr>
                <w:kern w:val="2"/>
                <w:sz w:val="21"/>
                <w:szCs w:val="21"/>
              </w:rPr>
              <w:t>500</w:t>
            </w:r>
            <w:r>
              <w:rPr>
                <w:kern w:val="2"/>
                <w:sz w:val="21"/>
                <w:szCs w:val="21"/>
              </w:rPr>
              <w:t>人；油气、化学品输送管线管段周边</w:t>
            </w:r>
            <w:r>
              <w:rPr>
                <w:kern w:val="2"/>
                <w:sz w:val="21"/>
                <w:szCs w:val="21"/>
              </w:rPr>
              <w:t>200m</w:t>
            </w:r>
            <w:r>
              <w:rPr>
                <w:kern w:val="2"/>
                <w:sz w:val="21"/>
                <w:szCs w:val="21"/>
              </w:rPr>
              <w:t>范围内，每千米管段人口数小于</w:t>
            </w:r>
            <w:r>
              <w:rPr>
                <w:kern w:val="2"/>
                <w:sz w:val="21"/>
                <w:szCs w:val="21"/>
              </w:rPr>
              <w:t>100</w:t>
            </w:r>
            <w:r>
              <w:rPr>
                <w:kern w:val="2"/>
                <w:sz w:val="21"/>
                <w:szCs w:val="21"/>
              </w:rPr>
              <w:t>人。</w:t>
            </w:r>
          </w:p>
        </w:tc>
      </w:tr>
    </w:tbl>
    <w:p w14:paraId="7C7EAD62" w14:textId="77777777" w:rsidR="003E78AB" w:rsidRDefault="00010BF9">
      <w:pPr>
        <w:ind w:firstLine="480"/>
        <w:contextualSpacing/>
        <w:rPr>
          <w:kern w:val="2"/>
        </w:rPr>
      </w:pPr>
      <w:r>
        <w:rPr>
          <w:bCs/>
          <w:kern w:val="2"/>
        </w:rPr>
        <w:t>根据平面布置图可知，项目周边</w:t>
      </w:r>
      <w:r>
        <w:rPr>
          <w:bCs/>
          <w:kern w:val="2"/>
        </w:rPr>
        <w:t>5km</w:t>
      </w:r>
      <w:r>
        <w:rPr>
          <w:bCs/>
          <w:kern w:val="2"/>
        </w:rPr>
        <w:t>范围内居住区、医疗卫生</w:t>
      </w:r>
      <w:r>
        <w:rPr>
          <w:bCs/>
          <w:kern w:val="2"/>
        </w:rPr>
        <w:t>、文化教育、科研、行政办公等机构人口总数</w:t>
      </w:r>
      <w:r>
        <w:rPr>
          <w:rFonts w:hint="eastAsia"/>
          <w:bCs/>
          <w:kern w:val="2"/>
        </w:rPr>
        <w:t>大</w:t>
      </w:r>
      <w:r>
        <w:rPr>
          <w:bCs/>
          <w:kern w:val="2"/>
        </w:rPr>
        <w:t>于</w:t>
      </w:r>
      <w:r>
        <w:rPr>
          <w:bCs/>
          <w:kern w:val="2"/>
        </w:rPr>
        <w:t>1</w:t>
      </w:r>
      <w:r>
        <w:rPr>
          <w:bCs/>
          <w:kern w:val="2"/>
        </w:rPr>
        <w:t>万人</w:t>
      </w:r>
      <w:r>
        <w:rPr>
          <w:rFonts w:hint="eastAsia"/>
          <w:bCs/>
          <w:kern w:val="2"/>
        </w:rPr>
        <w:t>小于</w:t>
      </w:r>
      <w:r>
        <w:rPr>
          <w:rFonts w:hint="eastAsia"/>
          <w:bCs/>
          <w:kern w:val="2"/>
        </w:rPr>
        <w:t>5</w:t>
      </w:r>
      <w:r>
        <w:rPr>
          <w:rFonts w:hint="eastAsia"/>
          <w:bCs/>
          <w:kern w:val="2"/>
        </w:rPr>
        <w:t>万人，</w:t>
      </w:r>
      <w:r>
        <w:rPr>
          <w:bCs/>
          <w:kern w:val="2"/>
        </w:rPr>
        <w:t>因此大气环境敏感程度分级为</w:t>
      </w:r>
      <w:r>
        <w:rPr>
          <w:bCs/>
          <w:kern w:val="2"/>
        </w:rPr>
        <w:t>E</w:t>
      </w:r>
      <w:r>
        <w:rPr>
          <w:rFonts w:hint="eastAsia"/>
          <w:bCs/>
          <w:kern w:val="2"/>
        </w:rPr>
        <w:t>2</w:t>
      </w:r>
      <w:r>
        <w:rPr>
          <w:bCs/>
          <w:kern w:val="2"/>
        </w:rPr>
        <w:t>。</w:t>
      </w:r>
    </w:p>
    <w:p w14:paraId="22CE8D60" w14:textId="77777777" w:rsidR="003E78AB" w:rsidRDefault="00010BF9">
      <w:pPr>
        <w:ind w:firstLine="480"/>
        <w:contextualSpacing/>
        <w:rPr>
          <w:kern w:val="2"/>
        </w:rPr>
      </w:pPr>
      <w:r>
        <w:rPr>
          <w:kern w:val="2"/>
        </w:rPr>
        <w:t>②</w:t>
      </w:r>
      <w:r>
        <w:rPr>
          <w:kern w:val="2"/>
        </w:rPr>
        <w:t>地表水环境</w:t>
      </w:r>
    </w:p>
    <w:p w14:paraId="6912709E" w14:textId="77777777" w:rsidR="003E78AB" w:rsidRDefault="00010BF9">
      <w:pPr>
        <w:ind w:firstLine="480"/>
        <w:contextualSpacing/>
        <w:rPr>
          <w:bCs/>
          <w:kern w:val="2"/>
        </w:rPr>
      </w:pPr>
      <w:r>
        <w:rPr>
          <w:bCs/>
          <w:kern w:val="2"/>
        </w:rPr>
        <w:t>本项目</w:t>
      </w:r>
      <w:r>
        <w:rPr>
          <w:rFonts w:hint="eastAsia"/>
          <w:bCs/>
          <w:kern w:val="2"/>
        </w:rPr>
        <w:t>外排</w:t>
      </w:r>
      <w:r>
        <w:rPr>
          <w:bCs/>
          <w:kern w:val="2"/>
        </w:rPr>
        <w:t>废水经</w:t>
      </w:r>
      <w:r>
        <w:rPr>
          <w:rFonts w:hint="eastAsia"/>
          <w:bCs/>
          <w:kern w:val="2"/>
        </w:rPr>
        <w:t>厂区总排口</w:t>
      </w:r>
      <w:r>
        <w:rPr>
          <w:bCs/>
          <w:kern w:val="2"/>
        </w:rPr>
        <w:t>排入园区下水管网，事故状态废水全部进入事故池储存，事故结束后</w:t>
      </w:r>
      <w:r>
        <w:rPr>
          <w:rFonts w:hint="eastAsia"/>
          <w:bCs/>
          <w:kern w:val="2"/>
        </w:rPr>
        <w:t>委托有能力单位处置</w:t>
      </w:r>
      <w:r>
        <w:rPr>
          <w:bCs/>
          <w:kern w:val="2"/>
        </w:rPr>
        <w:t>，不排入地表水体，因此，本项目不考虑风险事故泄漏危险物质对地表水体的影响</w:t>
      </w:r>
      <w:r>
        <w:rPr>
          <w:rFonts w:hint="eastAsia"/>
          <w:bCs/>
          <w:kern w:val="2"/>
        </w:rPr>
        <w:t>。</w:t>
      </w:r>
    </w:p>
    <w:p w14:paraId="037747F3" w14:textId="77777777" w:rsidR="003E78AB" w:rsidRDefault="00010BF9">
      <w:pPr>
        <w:ind w:firstLine="480"/>
        <w:contextualSpacing/>
        <w:rPr>
          <w:kern w:val="2"/>
        </w:rPr>
      </w:pPr>
      <w:r>
        <w:rPr>
          <w:kern w:val="2"/>
        </w:rPr>
        <w:t>③</w:t>
      </w:r>
      <w:r>
        <w:rPr>
          <w:kern w:val="2"/>
        </w:rPr>
        <w:t>地下水环境</w:t>
      </w:r>
    </w:p>
    <w:p w14:paraId="120FF3FF" w14:textId="77777777" w:rsidR="003E78AB" w:rsidRDefault="00010BF9">
      <w:pPr>
        <w:ind w:firstLine="480"/>
        <w:contextualSpacing/>
        <w:rPr>
          <w:kern w:val="2"/>
          <w:lang w:val="zh-CN"/>
        </w:rPr>
      </w:pPr>
      <w:r>
        <w:rPr>
          <w:kern w:val="2"/>
        </w:rPr>
        <w:t>根据</w:t>
      </w:r>
      <w:r>
        <w:rPr>
          <w:kern w:val="2"/>
          <w:lang w:val="zh-CN"/>
        </w:rPr>
        <w:t>《建设项目环境风险评价技术导则》（</w:t>
      </w:r>
      <w:r>
        <w:rPr>
          <w:kern w:val="2"/>
          <w:lang w:val="zh-CN"/>
        </w:rPr>
        <w:t>HJ169-2018</w:t>
      </w:r>
      <w:r>
        <w:rPr>
          <w:kern w:val="2"/>
          <w:lang w:val="zh-CN"/>
        </w:rPr>
        <w:t>）附录</w:t>
      </w:r>
      <w:r>
        <w:rPr>
          <w:kern w:val="2"/>
          <w:lang w:val="zh-CN"/>
        </w:rPr>
        <w:t>D</w:t>
      </w:r>
      <w:r>
        <w:rPr>
          <w:kern w:val="2"/>
          <w:lang w:val="zh-CN"/>
        </w:rPr>
        <w:t>确定本项目地下水环境敏感程度，详见</w:t>
      </w:r>
      <w:r>
        <w:rPr>
          <w:kern w:val="2"/>
          <w:lang w:val="zh-CN"/>
        </w:rPr>
        <w:fldChar w:fldCharType="begin"/>
      </w:r>
      <w:r>
        <w:rPr>
          <w:kern w:val="2"/>
          <w:lang w:val="zh-CN"/>
        </w:rPr>
        <w:instrText xml:space="preserve"> REF _Ref20731 \r \h </w:instrText>
      </w:r>
      <w:r>
        <w:rPr>
          <w:kern w:val="2"/>
          <w:lang w:val="zh-CN"/>
        </w:rPr>
      </w:r>
      <w:r>
        <w:rPr>
          <w:kern w:val="2"/>
          <w:lang w:val="zh-CN"/>
        </w:rPr>
        <w:fldChar w:fldCharType="separate"/>
      </w:r>
      <w:r>
        <w:rPr>
          <w:kern w:val="2"/>
          <w:lang w:val="zh-CN"/>
        </w:rPr>
        <w:t>表</w:t>
      </w:r>
      <w:r>
        <w:rPr>
          <w:kern w:val="2"/>
          <w:lang w:val="zh-CN"/>
        </w:rPr>
        <w:t>2-18</w:t>
      </w:r>
      <w:r>
        <w:rPr>
          <w:kern w:val="2"/>
          <w:lang w:val="zh-CN"/>
        </w:rPr>
        <w:fldChar w:fldCharType="end"/>
      </w:r>
      <w:r>
        <w:rPr>
          <w:kern w:val="2"/>
          <w:lang w:val="zh-CN"/>
        </w:rPr>
        <w:t>。</w:t>
      </w:r>
    </w:p>
    <w:p w14:paraId="09103264" w14:textId="77777777" w:rsidR="003E78AB" w:rsidRDefault="00010BF9">
      <w:pPr>
        <w:pStyle w:val="a5"/>
      </w:pPr>
      <w:bookmarkStart w:id="125" w:name="_Ref20731"/>
      <w:r>
        <w:t>地下水功能敏感性分区</w:t>
      </w:r>
      <w:bookmarkEnd w:id="125"/>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71"/>
        <w:gridCol w:w="7648"/>
      </w:tblGrid>
      <w:tr w:rsidR="003E78AB" w14:paraId="38D52C9D" w14:textId="77777777">
        <w:trPr>
          <w:trHeight w:val="284"/>
          <w:tblHeader/>
          <w:jc w:val="center"/>
        </w:trPr>
        <w:tc>
          <w:tcPr>
            <w:tcW w:w="511" w:type="pct"/>
            <w:vAlign w:val="center"/>
          </w:tcPr>
          <w:p w14:paraId="4D69D502" w14:textId="77777777" w:rsidR="003E78AB" w:rsidRDefault="00010BF9">
            <w:pPr>
              <w:spacing w:line="240" w:lineRule="auto"/>
              <w:ind w:firstLineChars="0" w:firstLine="0"/>
              <w:contextualSpacing/>
              <w:jc w:val="center"/>
              <w:rPr>
                <w:b/>
                <w:sz w:val="21"/>
                <w:szCs w:val="21"/>
              </w:rPr>
            </w:pPr>
            <w:r>
              <w:rPr>
                <w:b/>
                <w:sz w:val="21"/>
                <w:szCs w:val="21"/>
              </w:rPr>
              <w:t>敏感性</w:t>
            </w:r>
          </w:p>
        </w:tc>
        <w:tc>
          <w:tcPr>
            <w:tcW w:w="4488" w:type="pct"/>
            <w:vAlign w:val="center"/>
          </w:tcPr>
          <w:p w14:paraId="701D8DC8" w14:textId="77777777" w:rsidR="003E78AB" w:rsidRDefault="00010BF9">
            <w:pPr>
              <w:spacing w:line="240" w:lineRule="auto"/>
              <w:ind w:firstLineChars="0" w:firstLine="0"/>
              <w:contextualSpacing/>
              <w:jc w:val="center"/>
              <w:rPr>
                <w:b/>
                <w:sz w:val="21"/>
                <w:szCs w:val="21"/>
              </w:rPr>
            </w:pPr>
            <w:r>
              <w:rPr>
                <w:b/>
                <w:sz w:val="21"/>
                <w:szCs w:val="21"/>
              </w:rPr>
              <w:t>地下水环境敏感特征</w:t>
            </w:r>
          </w:p>
        </w:tc>
      </w:tr>
      <w:tr w:rsidR="003E78AB" w14:paraId="71079097" w14:textId="77777777">
        <w:trPr>
          <w:trHeight w:val="284"/>
          <w:jc w:val="center"/>
        </w:trPr>
        <w:tc>
          <w:tcPr>
            <w:tcW w:w="511" w:type="pct"/>
            <w:vAlign w:val="center"/>
          </w:tcPr>
          <w:p w14:paraId="651D5FB8" w14:textId="77777777" w:rsidR="003E78AB" w:rsidRDefault="00010BF9">
            <w:pPr>
              <w:spacing w:line="240" w:lineRule="auto"/>
              <w:ind w:firstLineChars="0" w:firstLine="0"/>
              <w:contextualSpacing/>
              <w:jc w:val="center"/>
              <w:rPr>
                <w:sz w:val="21"/>
                <w:szCs w:val="21"/>
              </w:rPr>
            </w:pPr>
            <w:r>
              <w:rPr>
                <w:sz w:val="21"/>
                <w:szCs w:val="21"/>
              </w:rPr>
              <w:t>敏感</w:t>
            </w:r>
            <w:r>
              <w:rPr>
                <w:sz w:val="21"/>
                <w:szCs w:val="21"/>
              </w:rPr>
              <w:t>G1</w:t>
            </w:r>
          </w:p>
        </w:tc>
        <w:tc>
          <w:tcPr>
            <w:tcW w:w="4488" w:type="pct"/>
            <w:vAlign w:val="center"/>
          </w:tcPr>
          <w:p w14:paraId="32EE0A22" w14:textId="77777777" w:rsidR="003E78AB" w:rsidRDefault="00010BF9">
            <w:pPr>
              <w:spacing w:line="240" w:lineRule="auto"/>
              <w:ind w:firstLineChars="0" w:firstLine="0"/>
              <w:contextualSpacing/>
              <w:rPr>
                <w:sz w:val="21"/>
                <w:szCs w:val="21"/>
              </w:rPr>
            </w:pPr>
            <w:r>
              <w:rPr>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3E78AB" w14:paraId="49331E91" w14:textId="77777777">
        <w:trPr>
          <w:trHeight w:val="284"/>
          <w:jc w:val="center"/>
        </w:trPr>
        <w:tc>
          <w:tcPr>
            <w:tcW w:w="511" w:type="pct"/>
            <w:vAlign w:val="center"/>
          </w:tcPr>
          <w:p w14:paraId="4A42F3AE" w14:textId="77777777" w:rsidR="003E78AB" w:rsidRDefault="00010BF9">
            <w:pPr>
              <w:spacing w:line="240" w:lineRule="auto"/>
              <w:ind w:firstLineChars="0" w:firstLine="0"/>
              <w:contextualSpacing/>
              <w:jc w:val="center"/>
              <w:rPr>
                <w:sz w:val="21"/>
                <w:szCs w:val="21"/>
              </w:rPr>
            </w:pPr>
            <w:r>
              <w:rPr>
                <w:sz w:val="21"/>
                <w:szCs w:val="21"/>
              </w:rPr>
              <w:t>敏感</w:t>
            </w:r>
            <w:r>
              <w:rPr>
                <w:sz w:val="21"/>
                <w:szCs w:val="21"/>
              </w:rPr>
              <w:t>G2</w:t>
            </w:r>
          </w:p>
        </w:tc>
        <w:tc>
          <w:tcPr>
            <w:tcW w:w="4488" w:type="pct"/>
            <w:vAlign w:val="center"/>
          </w:tcPr>
          <w:p w14:paraId="058B39C0" w14:textId="77777777" w:rsidR="003E78AB" w:rsidRDefault="00010BF9">
            <w:pPr>
              <w:spacing w:line="240" w:lineRule="auto"/>
              <w:ind w:firstLineChars="0" w:firstLine="0"/>
              <w:contextualSpacing/>
              <w:rPr>
                <w:sz w:val="21"/>
                <w:szCs w:val="21"/>
              </w:rPr>
            </w:pPr>
            <w:r>
              <w:rPr>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sz w:val="21"/>
                <w:szCs w:val="21"/>
                <w:vertAlign w:val="superscript"/>
              </w:rPr>
              <w:t>a</w:t>
            </w:r>
          </w:p>
        </w:tc>
      </w:tr>
      <w:tr w:rsidR="003E78AB" w14:paraId="60CAF85A" w14:textId="77777777">
        <w:trPr>
          <w:trHeight w:val="284"/>
          <w:jc w:val="center"/>
        </w:trPr>
        <w:tc>
          <w:tcPr>
            <w:tcW w:w="511" w:type="pct"/>
            <w:vAlign w:val="center"/>
          </w:tcPr>
          <w:p w14:paraId="492873C5" w14:textId="77777777" w:rsidR="003E78AB" w:rsidRDefault="00010BF9">
            <w:pPr>
              <w:spacing w:line="240" w:lineRule="auto"/>
              <w:ind w:firstLineChars="0" w:firstLine="0"/>
              <w:contextualSpacing/>
              <w:jc w:val="center"/>
              <w:rPr>
                <w:sz w:val="21"/>
                <w:szCs w:val="21"/>
              </w:rPr>
            </w:pPr>
            <w:r>
              <w:rPr>
                <w:sz w:val="21"/>
                <w:szCs w:val="21"/>
              </w:rPr>
              <w:t>敏感</w:t>
            </w:r>
            <w:r>
              <w:rPr>
                <w:sz w:val="21"/>
                <w:szCs w:val="21"/>
              </w:rPr>
              <w:t>G3</w:t>
            </w:r>
          </w:p>
        </w:tc>
        <w:tc>
          <w:tcPr>
            <w:tcW w:w="4488" w:type="pct"/>
            <w:vAlign w:val="center"/>
          </w:tcPr>
          <w:p w14:paraId="2FEE3744" w14:textId="77777777" w:rsidR="003E78AB" w:rsidRDefault="00010BF9">
            <w:pPr>
              <w:spacing w:line="240" w:lineRule="auto"/>
              <w:ind w:firstLineChars="0" w:firstLine="0"/>
              <w:contextualSpacing/>
              <w:rPr>
                <w:sz w:val="21"/>
                <w:szCs w:val="21"/>
              </w:rPr>
            </w:pPr>
            <w:r>
              <w:rPr>
                <w:sz w:val="21"/>
                <w:szCs w:val="21"/>
              </w:rPr>
              <w:t>上述地区以外的其他地区</w:t>
            </w:r>
          </w:p>
        </w:tc>
      </w:tr>
      <w:tr w:rsidR="003E78AB" w14:paraId="419FB941" w14:textId="77777777">
        <w:trPr>
          <w:trHeight w:val="284"/>
          <w:jc w:val="center"/>
        </w:trPr>
        <w:tc>
          <w:tcPr>
            <w:tcW w:w="5000" w:type="pct"/>
            <w:gridSpan w:val="2"/>
            <w:vAlign w:val="center"/>
          </w:tcPr>
          <w:p w14:paraId="65A68DED" w14:textId="77777777" w:rsidR="003E78AB" w:rsidRDefault="00010BF9">
            <w:pPr>
              <w:spacing w:line="240" w:lineRule="auto"/>
              <w:ind w:firstLineChars="0" w:firstLine="0"/>
              <w:contextualSpacing/>
              <w:rPr>
                <w:sz w:val="21"/>
                <w:szCs w:val="21"/>
              </w:rPr>
            </w:pPr>
            <w:r>
              <w:rPr>
                <w:sz w:val="21"/>
                <w:szCs w:val="21"/>
                <w:vertAlign w:val="superscript"/>
              </w:rPr>
              <w:t>a</w:t>
            </w:r>
            <w:r>
              <w:rPr>
                <w:sz w:val="21"/>
                <w:szCs w:val="21"/>
              </w:rPr>
              <w:t>“</w:t>
            </w:r>
            <w:r>
              <w:rPr>
                <w:sz w:val="21"/>
                <w:szCs w:val="21"/>
              </w:rPr>
              <w:t>环境敏感区</w:t>
            </w:r>
            <w:r>
              <w:rPr>
                <w:sz w:val="21"/>
                <w:szCs w:val="21"/>
              </w:rPr>
              <w:t>”</w:t>
            </w:r>
            <w:r>
              <w:rPr>
                <w:sz w:val="21"/>
                <w:szCs w:val="21"/>
              </w:rPr>
              <w:t>是指《建设项目环境影响评价分类管理名录（</w:t>
            </w:r>
            <w:r>
              <w:rPr>
                <w:sz w:val="21"/>
                <w:szCs w:val="21"/>
              </w:rPr>
              <w:t>2021</w:t>
            </w:r>
            <w:r>
              <w:rPr>
                <w:sz w:val="21"/>
                <w:szCs w:val="21"/>
              </w:rPr>
              <w:t>版）》中所界定的涉及地下水的环境敏感区</w:t>
            </w:r>
          </w:p>
        </w:tc>
      </w:tr>
    </w:tbl>
    <w:p w14:paraId="2792CBA1" w14:textId="77777777" w:rsidR="003E78AB" w:rsidRDefault="00010BF9">
      <w:pPr>
        <w:pStyle w:val="a5"/>
      </w:pPr>
      <w:r>
        <w:t>包气带防污性能分级</w:t>
      </w: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9"/>
        <w:gridCol w:w="7721"/>
      </w:tblGrid>
      <w:tr w:rsidR="003E78AB" w14:paraId="1B1A67A3" w14:textId="77777777">
        <w:trPr>
          <w:trHeight w:val="340"/>
          <w:jc w:val="center"/>
        </w:trPr>
        <w:tc>
          <w:tcPr>
            <w:tcW w:w="469" w:type="pct"/>
            <w:vAlign w:val="center"/>
          </w:tcPr>
          <w:p w14:paraId="459AB13C" w14:textId="77777777" w:rsidR="003E78AB" w:rsidRDefault="00010BF9">
            <w:pPr>
              <w:spacing w:line="240" w:lineRule="auto"/>
              <w:ind w:firstLineChars="0" w:firstLine="0"/>
              <w:contextualSpacing/>
              <w:jc w:val="center"/>
              <w:rPr>
                <w:b/>
                <w:sz w:val="21"/>
                <w:szCs w:val="21"/>
              </w:rPr>
            </w:pPr>
            <w:r>
              <w:rPr>
                <w:b/>
                <w:sz w:val="21"/>
                <w:szCs w:val="21"/>
              </w:rPr>
              <w:t>分级</w:t>
            </w:r>
          </w:p>
        </w:tc>
        <w:tc>
          <w:tcPr>
            <w:tcW w:w="4530" w:type="pct"/>
            <w:vAlign w:val="center"/>
          </w:tcPr>
          <w:p w14:paraId="5A8E2B27" w14:textId="77777777" w:rsidR="003E78AB" w:rsidRDefault="00010BF9">
            <w:pPr>
              <w:spacing w:line="240" w:lineRule="auto"/>
              <w:ind w:firstLineChars="0" w:firstLine="0"/>
              <w:contextualSpacing/>
              <w:jc w:val="center"/>
              <w:rPr>
                <w:b/>
                <w:sz w:val="21"/>
                <w:szCs w:val="21"/>
              </w:rPr>
            </w:pPr>
            <w:r>
              <w:rPr>
                <w:b/>
                <w:sz w:val="21"/>
                <w:szCs w:val="21"/>
              </w:rPr>
              <w:t>包气带防污性能分级</w:t>
            </w:r>
          </w:p>
        </w:tc>
      </w:tr>
      <w:tr w:rsidR="003E78AB" w14:paraId="2DA6FDE0" w14:textId="77777777">
        <w:trPr>
          <w:trHeight w:val="340"/>
          <w:jc w:val="center"/>
        </w:trPr>
        <w:tc>
          <w:tcPr>
            <w:tcW w:w="469" w:type="pct"/>
            <w:vAlign w:val="center"/>
          </w:tcPr>
          <w:p w14:paraId="5F06A457" w14:textId="77777777" w:rsidR="003E78AB" w:rsidRDefault="00010BF9">
            <w:pPr>
              <w:spacing w:line="240" w:lineRule="auto"/>
              <w:ind w:firstLineChars="0" w:firstLine="0"/>
              <w:contextualSpacing/>
              <w:jc w:val="center"/>
              <w:rPr>
                <w:sz w:val="21"/>
                <w:szCs w:val="21"/>
              </w:rPr>
            </w:pPr>
            <w:r>
              <w:rPr>
                <w:sz w:val="21"/>
                <w:szCs w:val="21"/>
              </w:rPr>
              <w:t>D3</w:t>
            </w:r>
          </w:p>
        </w:tc>
        <w:tc>
          <w:tcPr>
            <w:tcW w:w="4530" w:type="pct"/>
            <w:vAlign w:val="center"/>
          </w:tcPr>
          <w:p w14:paraId="1CDB8C6D" w14:textId="77777777" w:rsidR="003E78AB" w:rsidRDefault="00010BF9">
            <w:pPr>
              <w:spacing w:line="240" w:lineRule="auto"/>
              <w:ind w:firstLineChars="0" w:firstLine="0"/>
              <w:contextualSpacing/>
              <w:jc w:val="center"/>
              <w:rPr>
                <w:sz w:val="21"/>
                <w:szCs w:val="21"/>
              </w:rPr>
            </w:pPr>
            <w:r>
              <w:rPr>
                <w:sz w:val="21"/>
                <w:szCs w:val="21"/>
              </w:rPr>
              <w:t>Mb≥1.0m</w:t>
            </w:r>
            <w:r>
              <w:rPr>
                <w:sz w:val="21"/>
                <w:szCs w:val="21"/>
              </w:rPr>
              <w:t>，</w:t>
            </w:r>
            <w:r>
              <w:rPr>
                <w:sz w:val="21"/>
                <w:szCs w:val="21"/>
              </w:rPr>
              <w:t>K≤1.0×10</w:t>
            </w:r>
            <w:r>
              <w:rPr>
                <w:sz w:val="21"/>
                <w:szCs w:val="21"/>
                <w:vertAlign w:val="superscript"/>
              </w:rPr>
              <w:t>-6</w:t>
            </w:r>
            <w:r>
              <w:rPr>
                <w:sz w:val="21"/>
                <w:szCs w:val="21"/>
              </w:rPr>
              <w:t>cm/s</w:t>
            </w:r>
            <w:r>
              <w:rPr>
                <w:sz w:val="21"/>
                <w:szCs w:val="21"/>
              </w:rPr>
              <w:t>，且分布连续、稳定</w:t>
            </w:r>
          </w:p>
        </w:tc>
      </w:tr>
      <w:tr w:rsidR="003E78AB" w14:paraId="11966F5A" w14:textId="77777777">
        <w:trPr>
          <w:trHeight w:val="340"/>
          <w:jc w:val="center"/>
        </w:trPr>
        <w:tc>
          <w:tcPr>
            <w:tcW w:w="469" w:type="pct"/>
            <w:vAlign w:val="center"/>
          </w:tcPr>
          <w:p w14:paraId="7A6650C4" w14:textId="77777777" w:rsidR="003E78AB" w:rsidRDefault="00010BF9">
            <w:pPr>
              <w:spacing w:line="240" w:lineRule="auto"/>
              <w:ind w:firstLineChars="0" w:firstLine="0"/>
              <w:contextualSpacing/>
              <w:jc w:val="center"/>
              <w:rPr>
                <w:sz w:val="21"/>
                <w:szCs w:val="21"/>
              </w:rPr>
            </w:pPr>
            <w:r>
              <w:rPr>
                <w:sz w:val="21"/>
                <w:szCs w:val="21"/>
              </w:rPr>
              <w:t>D2</w:t>
            </w:r>
          </w:p>
        </w:tc>
        <w:tc>
          <w:tcPr>
            <w:tcW w:w="4530" w:type="pct"/>
            <w:vAlign w:val="center"/>
          </w:tcPr>
          <w:p w14:paraId="4235599A" w14:textId="77777777" w:rsidR="003E78AB" w:rsidRDefault="00010BF9">
            <w:pPr>
              <w:spacing w:line="240" w:lineRule="auto"/>
              <w:ind w:firstLineChars="0" w:firstLine="0"/>
              <w:contextualSpacing/>
              <w:jc w:val="center"/>
              <w:rPr>
                <w:sz w:val="21"/>
                <w:szCs w:val="21"/>
              </w:rPr>
            </w:pPr>
            <w:r>
              <w:rPr>
                <w:sz w:val="21"/>
                <w:szCs w:val="21"/>
              </w:rPr>
              <w:t>0.5m≤Mb</w:t>
            </w:r>
            <w:r>
              <w:rPr>
                <w:sz w:val="21"/>
                <w:szCs w:val="21"/>
              </w:rPr>
              <w:t>＜</w:t>
            </w:r>
            <w:r>
              <w:rPr>
                <w:sz w:val="21"/>
                <w:szCs w:val="21"/>
              </w:rPr>
              <w:t>1.0m</w:t>
            </w:r>
            <w:r>
              <w:rPr>
                <w:sz w:val="21"/>
                <w:szCs w:val="21"/>
              </w:rPr>
              <w:t>，</w:t>
            </w:r>
            <w:r>
              <w:rPr>
                <w:sz w:val="21"/>
                <w:szCs w:val="21"/>
              </w:rPr>
              <w:t>K≤1.0×10</w:t>
            </w:r>
            <w:r>
              <w:rPr>
                <w:sz w:val="21"/>
                <w:szCs w:val="21"/>
                <w:vertAlign w:val="superscript"/>
              </w:rPr>
              <w:t>-6</w:t>
            </w:r>
            <w:r>
              <w:rPr>
                <w:sz w:val="21"/>
                <w:szCs w:val="21"/>
              </w:rPr>
              <w:t>cm/s</w:t>
            </w:r>
            <w:r>
              <w:rPr>
                <w:sz w:val="21"/>
                <w:szCs w:val="21"/>
              </w:rPr>
              <w:t>，且分布连续、稳定</w:t>
            </w:r>
          </w:p>
          <w:p w14:paraId="13BB4017" w14:textId="77777777" w:rsidR="003E78AB" w:rsidRDefault="00010BF9">
            <w:pPr>
              <w:spacing w:line="240" w:lineRule="auto"/>
              <w:ind w:firstLineChars="0" w:firstLine="0"/>
              <w:contextualSpacing/>
              <w:jc w:val="center"/>
              <w:rPr>
                <w:sz w:val="21"/>
                <w:szCs w:val="21"/>
              </w:rPr>
            </w:pPr>
            <w:r>
              <w:rPr>
                <w:sz w:val="21"/>
                <w:szCs w:val="21"/>
              </w:rPr>
              <w:t>Mb≥1.0m</w:t>
            </w:r>
            <w:r>
              <w:rPr>
                <w:sz w:val="21"/>
                <w:szCs w:val="21"/>
              </w:rPr>
              <w:t>，</w:t>
            </w:r>
            <w:r>
              <w:rPr>
                <w:sz w:val="21"/>
                <w:szCs w:val="21"/>
              </w:rPr>
              <w:t>1.0×10</w:t>
            </w:r>
            <w:r>
              <w:rPr>
                <w:sz w:val="21"/>
                <w:szCs w:val="21"/>
                <w:vertAlign w:val="superscript"/>
              </w:rPr>
              <w:t>-6</w:t>
            </w:r>
            <w:r>
              <w:rPr>
                <w:sz w:val="21"/>
                <w:szCs w:val="21"/>
              </w:rPr>
              <w:t>cm/s</w:t>
            </w:r>
            <w:r>
              <w:rPr>
                <w:sz w:val="21"/>
                <w:szCs w:val="21"/>
              </w:rPr>
              <w:t>＜</w:t>
            </w:r>
            <w:r>
              <w:rPr>
                <w:sz w:val="21"/>
                <w:szCs w:val="21"/>
              </w:rPr>
              <w:t>K≤1.0×10</w:t>
            </w:r>
            <w:r>
              <w:rPr>
                <w:sz w:val="21"/>
                <w:szCs w:val="21"/>
                <w:vertAlign w:val="superscript"/>
              </w:rPr>
              <w:t>-4</w:t>
            </w:r>
            <w:r>
              <w:rPr>
                <w:sz w:val="21"/>
                <w:szCs w:val="21"/>
              </w:rPr>
              <w:t>cm/s</w:t>
            </w:r>
            <w:r>
              <w:rPr>
                <w:sz w:val="21"/>
                <w:szCs w:val="21"/>
              </w:rPr>
              <w:t>，且分布连续、稳定</w:t>
            </w:r>
          </w:p>
        </w:tc>
      </w:tr>
      <w:tr w:rsidR="003E78AB" w14:paraId="3B166A83" w14:textId="77777777">
        <w:trPr>
          <w:trHeight w:val="340"/>
          <w:jc w:val="center"/>
        </w:trPr>
        <w:tc>
          <w:tcPr>
            <w:tcW w:w="469" w:type="pct"/>
            <w:vAlign w:val="center"/>
          </w:tcPr>
          <w:p w14:paraId="533A7DA0" w14:textId="77777777" w:rsidR="003E78AB" w:rsidRDefault="00010BF9">
            <w:pPr>
              <w:spacing w:line="240" w:lineRule="auto"/>
              <w:ind w:firstLineChars="0" w:firstLine="0"/>
              <w:contextualSpacing/>
              <w:jc w:val="center"/>
              <w:rPr>
                <w:sz w:val="21"/>
                <w:szCs w:val="21"/>
              </w:rPr>
            </w:pPr>
            <w:r>
              <w:rPr>
                <w:sz w:val="21"/>
                <w:szCs w:val="21"/>
              </w:rPr>
              <w:t>D1</w:t>
            </w:r>
          </w:p>
        </w:tc>
        <w:tc>
          <w:tcPr>
            <w:tcW w:w="4530" w:type="pct"/>
            <w:vAlign w:val="center"/>
          </w:tcPr>
          <w:p w14:paraId="05F24A3B" w14:textId="77777777" w:rsidR="003E78AB" w:rsidRDefault="00010BF9">
            <w:pPr>
              <w:spacing w:line="240" w:lineRule="auto"/>
              <w:ind w:firstLineChars="0" w:firstLine="0"/>
              <w:contextualSpacing/>
              <w:jc w:val="center"/>
              <w:rPr>
                <w:sz w:val="21"/>
                <w:szCs w:val="21"/>
              </w:rPr>
            </w:pPr>
            <w:r>
              <w:rPr>
                <w:sz w:val="21"/>
                <w:szCs w:val="21"/>
              </w:rPr>
              <w:t>岩（土）层不满足上述</w:t>
            </w:r>
            <w:r>
              <w:rPr>
                <w:sz w:val="21"/>
                <w:szCs w:val="21"/>
              </w:rPr>
              <w:t>“D2”</w:t>
            </w:r>
            <w:r>
              <w:rPr>
                <w:sz w:val="21"/>
                <w:szCs w:val="21"/>
              </w:rPr>
              <w:t>和</w:t>
            </w:r>
            <w:r>
              <w:rPr>
                <w:sz w:val="21"/>
                <w:szCs w:val="21"/>
              </w:rPr>
              <w:t>“D3”</w:t>
            </w:r>
            <w:r>
              <w:rPr>
                <w:sz w:val="21"/>
                <w:szCs w:val="21"/>
              </w:rPr>
              <w:t>条件</w:t>
            </w:r>
          </w:p>
        </w:tc>
      </w:tr>
    </w:tbl>
    <w:p w14:paraId="6600FC74" w14:textId="77777777" w:rsidR="003E78AB" w:rsidRDefault="00010BF9">
      <w:pPr>
        <w:ind w:firstLine="480"/>
        <w:contextualSpacing/>
        <w:rPr>
          <w:bCs/>
          <w:kern w:val="2"/>
        </w:rPr>
      </w:pPr>
      <w:r>
        <w:rPr>
          <w:bCs/>
          <w:kern w:val="2"/>
        </w:rPr>
        <w:t>本项目位于哈密工业园区南部循环经济产业园，项目所在区域既不属于集中式地下水饮用水水源（包括已建成的在用、备用、应急水源，在建和规划的饮用水水源）准保护区和准保护区以外的补给径流区，也不属于除集中式饮用水水源以外的国家或地方政府设定的与地下水环境相关的其他</w:t>
      </w:r>
      <w:r>
        <w:rPr>
          <w:bCs/>
          <w:kern w:val="2"/>
        </w:rPr>
        <w:t>保护区，如热水、矿泉水、温泉等特殊地下水资源保护区和其他保护区的补给径流区；同时也不属于未划定准保护区的集中式饮用水水源、分散式饮用水水源地。根据</w:t>
      </w:r>
      <w:r>
        <w:rPr>
          <w:bCs/>
          <w:kern w:val="2"/>
        </w:rPr>
        <w:fldChar w:fldCharType="begin"/>
      </w:r>
      <w:r>
        <w:rPr>
          <w:bCs/>
          <w:kern w:val="2"/>
        </w:rPr>
        <w:instrText xml:space="preserve"> REF _Ref28156 \r \h  \* MERGEFORMAT </w:instrText>
      </w:r>
      <w:r>
        <w:rPr>
          <w:bCs/>
          <w:kern w:val="2"/>
        </w:rPr>
      </w:r>
      <w:r>
        <w:rPr>
          <w:bCs/>
          <w:kern w:val="2"/>
        </w:rPr>
        <w:fldChar w:fldCharType="separate"/>
      </w:r>
      <w:r>
        <w:rPr>
          <w:bCs/>
          <w:kern w:val="2"/>
        </w:rPr>
        <w:t>表</w:t>
      </w:r>
      <w:r>
        <w:rPr>
          <w:bCs/>
          <w:kern w:val="2"/>
        </w:rPr>
        <w:t>6-8</w:t>
      </w:r>
      <w:r>
        <w:rPr>
          <w:bCs/>
          <w:kern w:val="2"/>
        </w:rPr>
        <w:fldChar w:fldCharType="end"/>
      </w:r>
      <w:r>
        <w:rPr>
          <w:bCs/>
          <w:kern w:val="2"/>
        </w:rPr>
        <w:t>的判定依据，本项目地下水环境敏感程度为不敏感（</w:t>
      </w:r>
      <w:r>
        <w:rPr>
          <w:bCs/>
          <w:kern w:val="2"/>
        </w:rPr>
        <w:t>G3</w:t>
      </w:r>
      <w:r>
        <w:rPr>
          <w:bCs/>
          <w:kern w:val="2"/>
        </w:rPr>
        <w:t>）。</w:t>
      </w:r>
    </w:p>
    <w:p w14:paraId="4EE1D850" w14:textId="77777777" w:rsidR="003E78AB" w:rsidRDefault="00010BF9">
      <w:pPr>
        <w:ind w:firstLine="480"/>
        <w:contextualSpacing/>
        <w:rPr>
          <w:kern w:val="2"/>
        </w:rPr>
      </w:pPr>
      <w:r>
        <w:rPr>
          <w:rFonts w:hint="eastAsia"/>
          <w:bCs/>
          <w:kern w:val="2"/>
        </w:rPr>
        <w:t>项目所在南部循环经济产业园内第四系厚度</w:t>
      </w:r>
      <w:r>
        <w:rPr>
          <w:rFonts w:hint="eastAsia"/>
          <w:bCs/>
          <w:kern w:val="2"/>
        </w:rPr>
        <w:t>35~40m</w:t>
      </w:r>
      <w:r>
        <w:rPr>
          <w:rFonts w:hint="eastAsia"/>
          <w:bCs/>
          <w:kern w:val="2"/>
        </w:rPr>
        <w:t>，水位埋深约</w:t>
      </w:r>
      <w:r>
        <w:rPr>
          <w:rFonts w:hint="eastAsia"/>
          <w:bCs/>
          <w:kern w:val="2"/>
        </w:rPr>
        <w:t>5m</w:t>
      </w:r>
      <w:r>
        <w:rPr>
          <w:rFonts w:hint="eastAsia"/>
          <w:bCs/>
          <w:kern w:val="2"/>
        </w:rPr>
        <w:t>，含水层厚度</w:t>
      </w:r>
      <w:r>
        <w:rPr>
          <w:rFonts w:hint="eastAsia"/>
          <w:bCs/>
          <w:kern w:val="2"/>
        </w:rPr>
        <w:t>30~35m</w:t>
      </w:r>
      <w:r>
        <w:rPr>
          <w:rFonts w:hint="eastAsia"/>
          <w:bCs/>
          <w:kern w:val="2"/>
        </w:rPr>
        <w:t>，潜水含水层岩性主要为中细砂。地下水径流速度缓慢，潜水含水层渗透系数</w:t>
      </w:r>
      <w:r>
        <w:rPr>
          <w:rFonts w:hint="eastAsia"/>
          <w:bCs/>
          <w:kern w:val="2"/>
        </w:rPr>
        <w:t>5m/d</w:t>
      </w:r>
      <w:r>
        <w:rPr>
          <w:rFonts w:hint="eastAsia"/>
          <w:bCs/>
          <w:kern w:val="2"/>
        </w:rPr>
        <w:t>，因第四系潜水含水层厚度较薄，水量中等，单井涌水量（换算为井径</w:t>
      </w:r>
      <w:r>
        <w:rPr>
          <w:rFonts w:hint="eastAsia"/>
          <w:bCs/>
          <w:kern w:val="2"/>
        </w:rPr>
        <w:t>12</w:t>
      </w:r>
      <w:r>
        <w:rPr>
          <w:rFonts w:hint="eastAsia"/>
          <w:bCs/>
          <w:kern w:val="2"/>
        </w:rPr>
        <w:t>寸、降深</w:t>
      </w:r>
      <w:r>
        <w:rPr>
          <w:rFonts w:hint="eastAsia"/>
          <w:bCs/>
          <w:kern w:val="2"/>
        </w:rPr>
        <w:t>5m</w:t>
      </w:r>
      <w:r>
        <w:rPr>
          <w:rFonts w:hint="eastAsia"/>
          <w:bCs/>
          <w:kern w:val="2"/>
        </w:rPr>
        <w:t>）为</w:t>
      </w:r>
      <w:r>
        <w:rPr>
          <w:rFonts w:hint="eastAsia"/>
          <w:bCs/>
          <w:kern w:val="2"/>
        </w:rPr>
        <w:t>100~1000m</w:t>
      </w:r>
      <w:r>
        <w:rPr>
          <w:rFonts w:hint="eastAsia"/>
          <w:bCs/>
          <w:kern w:val="2"/>
          <w:vertAlign w:val="superscript"/>
        </w:rPr>
        <w:t>3</w:t>
      </w:r>
      <w:r>
        <w:rPr>
          <w:rFonts w:hint="eastAsia"/>
          <w:bCs/>
          <w:kern w:val="2"/>
        </w:rPr>
        <w:t>/d</w:t>
      </w:r>
      <w:r>
        <w:rPr>
          <w:rFonts w:hint="eastAsia"/>
          <w:bCs/>
          <w:kern w:val="2"/>
        </w:rPr>
        <w:t>，承压含水层水量贫乏，单井涌水量（换算为井径</w:t>
      </w:r>
      <w:r>
        <w:rPr>
          <w:rFonts w:hint="eastAsia"/>
          <w:bCs/>
          <w:kern w:val="2"/>
        </w:rPr>
        <w:t>12</w:t>
      </w:r>
      <w:r>
        <w:rPr>
          <w:rFonts w:hint="eastAsia"/>
          <w:bCs/>
          <w:kern w:val="2"/>
        </w:rPr>
        <w:t>寸、降深</w:t>
      </w:r>
      <w:r>
        <w:rPr>
          <w:rFonts w:hint="eastAsia"/>
          <w:bCs/>
          <w:kern w:val="2"/>
        </w:rPr>
        <w:t>5m</w:t>
      </w:r>
      <w:r>
        <w:rPr>
          <w:rFonts w:hint="eastAsia"/>
          <w:bCs/>
          <w:kern w:val="2"/>
        </w:rPr>
        <w:t>）小于</w:t>
      </w:r>
      <w:r>
        <w:rPr>
          <w:rFonts w:hint="eastAsia"/>
          <w:bCs/>
          <w:kern w:val="2"/>
        </w:rPr>
        <w:t>100m</w:t>
      </w:r>
      <w:r>
        <w:rPr>
          <w:rFonts w:hint="eastAsia"/>
          <w:bCs/>
          <w:kern w:val="2"/>
          <w:vertAlign w:val="superscript"/>
        </w:rPr>
        <w:t>3</w:t>
      </w:r>
      <w:r>
        <w:rPr>
          <w:rFonts w:hint="eastAsia"/>
          <w:bCs/>
          <w:kern w:val="2"/>
        </w:rPr>
        <w:t>/d</w:t>
      </w:r>
      <w:r>
        <w:rPr>
          <w:rFonts w:hint="eastAsia"/>
          <w:bCs/>
          <w:kern w:val="2"/>
        </w:rPr>
        <w:t>，渗透系数</w:t>
      </w:r>
      <w:r>
        <w:rPr>
          <w:rFonts w:hint="eastAsia"/>
          <w:bCs/>
          <w:kern w:val="2"/>
        </w:rPr>
        <w:t>4~6m/d</w:t>
      </w:r>
      <w:r>
        <w:rPr>
          <w:rFonts w:eastAsiaTheme="minorEastAsia" w:hint="eastAsia"/>
          <w:bCs/>
        </w:rPr>
        <w:t>，大于</w:t>
      </w:r>
      <w:r>
        <w:rPr>
          <w:bCs/>
        </w:rPr>
        <w:t>10</w:t>
      </w:r>
      <w:r>
        <w:rPr>
          <w:bCs/>
          <w:vertAlign w:val="superscript"/>
        </w:rPr>
        <w:t>-4</w:t>
      </w:r>
      <w:r>
        <w:rPr>
          <w:bCs/>
        </w:rPr>
        <w:t>cm/s</w:t>
      </w:r>
      <w:r>
        <w:rPr>
          <w:rFonts w:hint="eastAsia"/>
          <w:bCs/>
        </w:rPr>
        <w:t>。</w:t>
      </w:r>
      <w:r>
        <w:rPr>
          <w:bCs/>
          <w:kern w:val="2"/>
        </w:rPr>
        <w:t>根据地质勘察结果，项目所在</w:t>
      </w:r>
      <w:r>
        <w:rPr>
          <w:rFonts w:hint="eastAsia"/>
          <w:bCs/>
          <w:kern w:val="2"/>
        </w:rPr>
        <w:t>区域</w:t>
      </w:r>
      <w:r>
        <w:rPr>
          <w:bCs/>
          <w:kern w:val="2"/>
        </w:rPr>
        <w:t>无岩溶、滑坡、坍塌、泥石流、断裂</w:t>
      </w:r>
      <w:r>
        <w:rPr>
          <w:rFonts w:hint="eastAsia"/>
          <w:bCs/>
          <w:kern w:val="2"/>
        </w:rPr>
        <w:t>，场地无饱和砂土及粉土，场地土不液化，场地稳定性良好</w:t>
      </w:r>
      <w:r>
        <w:rPr>
          <w:rFonts w:hint="eastAsia"/>
          <w:bCs/>
          <w:kern w:val="2"/>
        </w:rPr>
        <w:t>。</w:t>
      </w:r>
      <w:r>
        <w:rPr>
          <w:bCs/>
          <w:kern w:val="2"/>
        </w:rPr>
        <w:t>场地地层自上而下可划分为细砂、砂质泥岩</w:t>
      </w:r>
      <w:r>
        <w:rPr>
          <w:rFonts w:hint="eastAsia"/>
          <w:bCs/>
          <w:kern w:val="2"/>
        </w:rPr>
        <w:t>。</w:t>
      </w:r>
      <w:r>
        <w:rPr>
          <w:bCs/>
          <w:kern w:val="2"/>
        </w:rPr>
        <w:t>包气带防污性能分级为</w:t>
      </w:r>
      <w:r>
        <w:rPr>
          <w:bCs/>
          <w:kern w:val="2"/>
        </w:rPr>
        <w:t>D</w:t>
      </w:r>
      <w:r>
        <w:rPr>
          <w:rFonts w:hint="eastAsia"/>
          <w:bCs/>
          <w:kern w:val="2"/>
        </w:rPr>
        <w:t>1</w:t>
      </w:r>
      <w:r>
        <w:rPr>
          <w:kern w:val="2"/>
        </w:rPr>
        <w:t>，根据</w:t>
      </w:r>
      <w:r>
        <w:rPr>
          <w:kern w:val="2"/>
        </w:rPr>
        <w:fldChar w:fldCharType="begin"/>
      </w:r>
      <w:r>
        <w:rPr>
          <w:kern w:val="2"/>
        </w:rPr>
        <w:instrText xml:space="preserve"> REF _Ref24545 \r \h </w:instrText>
      </w:r>
      <w:r>
        <w:rPr>
          <w:kern w:val="2"/>
        </w:rPr>
      </w:r>
      <w:r>
        <w:rPr>
          <w:kern w:val="2"/>
        </w:rPr>
        <w:fldChar w:fldCharType="separate"/>
      </w:r>
      <w:r>
        <w:rPr>
          <w:kern w:val="2"/>
        </w:rPr>
        <w:t>表</w:t>
      </w:r>
      <w:r>
        <w:rPr>
          <w:kern w:val="2"/>
        </w:rPr>
        <w:t>2-20</w:t>
      </w:r>
      <w:r>
        <w:rPr>
          <w:kern w:val="2"/>
        </w:rPr>
        <w:fldChar w:fldCharType="end"/>
      </w:r>
      <w:r>
        <w:rPr>
          <w:kern w:val="2"/>
        </w:rPr>
        <w:t>判定地下水环境敏感程度分级。</w:t>
      </w:r>
    </w:p>
    <w:p w14:paraId="49345DAA" w14:textId="77777777" w:rsidR="003E78AB" w:rsidRDefault="00010BF9">
      <w:pPr>
        <w:pStyle w:val="a5"/>
      </w:pPr>
      <w:bookmarkStart w:id="126" w:name="_Ref24545"/>
      <w:r>
        <w:t>地下水环境敏感程度分级</w:t>
      </w:r>
      <w:bookmarkEnd w:id="126"/>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9"/>
        <w:gridCol w:w="2129"/>
        <w:gridCol w:w="2129"/>
        <w:gridCol w:w="2133"/>
      </w:tblGrid>
      <w:tr w:rsidR="003E78AB" w14:paraId="07F5F636" w14:textId="77777777">
        <w:trPr>
          <w:trHeight w:val="340"/>
          <w:jc w:val="center"/>
        </w:trPr>
        <w:tc>
          <w:tcPr>
            <w:tcW w:w="1249" w:type="pct"/>
            <w:vMerge w:val="restart"/>
            <w:vAlign w:val="center"/>
          </w:tcPr>
          <w:p w14:paraId="78FA0C1C" w14:textId="77777777" w:rsidR="003E78AB" w:rsidRDefault="00010BF9">
            <w:pPr>
              <w:spacing w:line="240" w:lineRule="auto"/>
              <w:ind w:firstLineChars="0" w:firstLine="0"/>
              <w:contextualSpacing/>
              <w:jc w:val="center"/>
              <w:rPr>
                <w:b/>
                <w:bCs/>
                <w:sz w:val="21"/>
                <w:szCs w:val="21"/>
              </w:rPr>
            </w:pPr>
            <w:r>
              <w:rPr>
                <w:b/>
                <w:bCs/>
                <w:sz w:val="21"/>
                <w:szCs w:val="21"/>
              </w:rPr>
              <w:t>包气带防污性能</w:t>
            </w:r>
          </w:p>
        </w:tc>
        <w:tc>
          <w:tcPr>
            <w:tcW w:w="3750" w:type="pct"/>
            <w:gridSpan w:val="3"/>
            <w:vAlign w:val="center"/>
          </w:tcPr>
          <w:p w14:paraId="2BAF87B5" w14:textId="77777777" w:rsidR="003E78AB" w:rsidRDefault="00010BF9">
            <w:pPr>
              <w:spacing w:line="240" w:lineRule="auto"/>
              <w:ind w:firstLineChars="0" w:firstLine="0"/>
              <w:contextualSpacing/>
              <w:jc w:val="center"/>
              <w:rPr>
                <w:b/>
                <w:bCs/>
                <w:sz w:val="21"/>
                <w:szCs w:val="21"/>
              </w:rPr>
            </w:pPr>
            <w:r>
              <w:rPr>
                <w:b/>
                <w:bCs/>
                <w:sz w:val="21"/>
                <w:szCs w:val="21"/>
              </w:rPr>
              <w:t>地下水功能敏感性</w:t>
            </w:r>
          </w:p>
        </w:tc>
      </w:tr>
      <w:tr w:rsidR="003E78AB" w14:paraId="558E1FFC" w14:textId="77777777">
        <w:trPr>
          <w:trHeight w:val="340"/>
          <w:jc w:val="center"/>
        </w:trPr>
        <w:tc>
          <w:tcPr>
            <w:tcW w:w="1249" w:type="pct"/>
            <w:vMerge/>
            <w:vAlign w:val="center"/>
          </w:tcPr>
          <w:p w14:paraId="01F325BA" w14:textId="77777777" w:rsidR="003E78AB" w:rsidRDefault="003E78AB">
            <w:pPr>
              <w:spacing w:line="240" w:lineRule="auto"/>
              <w:ind w:firstLineChars="0" w:firstLine="0"/>
              <w:contextualSpacing/>
              <w:jc w:val="center"/>
              <w:rPr>
                <w:b/>
                <w:bCs/>
                <w:sz w:val="21"/>
                <w:szCs w:val="21"/>
              </w:rPr>
            </w:pPr>
          </w:p>
        </w:tc>
        <w:tc>
          <w:tcPr>
            <w:tcW w:w="1249" w:type="pct"/>
            <w:vAlign w:val="center"/>
          </w:tcPr>
          <w:p w14:paraId="67FAF535" w14:textId="77777777" w:rsidR="003E78AB" w:rsidRDefault="00010BF9">
            <w:pPr>
              <w:spacing w:line="240" w:lineRule="auto"/>
              <w:ind w:firstLineChars="0" w:firstLine="0"/>
              <w:contextualSpacing/>
              <w:jc w:val="center"/>
              <w:rPr>
                <w:b/>
                <w:bCs/>
                <w:sz w:val="21"/>
                <w:szCs w:val="21"/>
              </w:rPr>
            </w:pPr>
            <w:r>
              <w:rPr>
                <w:b/>
                <w:bCs/>
                <w:sz w:val="21"/>
                <w:szCs w:val="21"/>
              </w:rPr>
              <w:t>G1</w:t>
            </w:r>
          </w:p>
        </w:tc>
        <w:tc>
          <w:tcPr>
            <w:tcW w:w="1249" w:type="pct"/>
            <w:vAlign w:val="center"/>
          </w:tcPr>
          <w:p w14:paraId="219DEBA4" w14:textId="77777777" w:rsidR="003E78AB" w:rsidRDefault="00010BF9">
            <w:pPr>
              <w:spacing w:line="240" w:lineRule="auto"/>
              <w:ind w:firstLineChars="0" w:firstLine="0"/>
              <w:contextualSpacing/>
              <w:jc w:val="center"/>
              <w:rPr>
                <w:b/>
                <w:bCs/>
                <w:sz w:val="21"/>
                <w:szCs w:val="21"/>
              </w:rPr>
            </w:pPr>
            <w:r>
              <w:rPr>
                <w:b/>
                <w:bCs/>
                <w:sz w:val="21"/>
                <w:szCs w:val="21"/>
              </w:rPr>
              <w:t>G2</w:t>
            </w:r>
          </w:p>
        </w:tc>
        <w:tc>
          <w:tcPr>
            <w:tcW w:w="1250" w:type="pct"/>
            <w:vAlign w:val="center"/>
          </w:tcPr>
          <w:p w14:paraId="4265C6F3" w14:textId="77777777" w:rsidR="003E78AB" w:rsidRDefault="00010BF9">
            <w:pPr>
              <w:spacing w:line="240" w:lineRule="auto"/>
              <w:ind w:firstLineChars="0" w:firstLine="0"/>
              <w:contextualSpacing/>
              <w:jc w:val="center"/>
              <w:rPr>
                <w:b/>
                <w:bCs/>
                <w:sz w:val="21"/>
                <w:szCs w:val="21"/>
              </w:rPr>
            </w:pPr>
            <w:r>
              <w:rPr>
                <w:b/>
                <w:bCs/>
                <w:sz w:val="21"/>
                <w:szCs w:val="21"/>
              </w:rPr>
              <w:t>G3</w:t>
            </w:r>
          </w:p>
        </w:tc>
      </w:tr>
      <w:tr w:rsidR="003E78AB" w14:paraId="3C87236C" w14:textId="77777777">
        <w:trPr>
          <w:trHeight w:val="340"/>
          <w:jc w:val="center"/>
        </w:trPr>
        <w:tc>
          <w:tcPr>
            <w:tcW w:w="1249" w:type="pct"/>
            <w:vAlign w:val="center"/>
          </w:tcPr>
          <w:p w14:paraId="486DD9DE" w14:textId="77777777" w:rsidR="003E78AB" w:rsidRDefault="00010BF9">
            <w:pPr>
              <w:spacing w:line="240" w:lineRule="auto"/>
              <w:ind w:firstLineChars="0" w:firstLine="0"/>
              <w:contextualSpacing/>
              <w:jc w:val="center"/>
              <w:rPr>
                <w:sz w:val="21"/>
                <w:szCs w:val="21"/>
              </w:rPr>
            </w:pPr>
            <w:r>
              <w:rPr>
                <w:sz w:val="21"/>
                <w:szCs w:val="21"/>
              </w:rPr>
              <w:t>D1</w:t>
            </w:r>
          </w:p>
        </w:tc>
        <w:tc>
          <w:tcPr>
            <w:tcW w:w="1249" w:type="pct"/>
            <w:vAlign w:val="center"/>
          </w:tcPr>
          <w:p w14:paraId="394BF2E4" w14:textId="77777777" w:rsidR="003E78AB" w:rsidRDefault="00010BF9">
            <w:pPr>
              <w:spacing w:line="240" w:lineRule="auto"/>
              <w:ind w:firstLineChars="0" w:firstLine="0"/>
              <w:contextualSpacing/>
              <w:jc w:val="center"/>
              <w:rPr>
                <w:sz w:val="21"/>
                <w:szCs w:val="21"/>
              </w:rPr>
            </w:pPr>
            <w:r>
              <w:rPr>
                <w:sz w:val="21"/>
                <w:szCs w:val="21"/>
              </w:rPr>
              <w:t>E1</w:t>
            </w:r>
          </w:p>
        </w:tc>
        <w:tc>
          <w:tcPr>
            <w:tcW w:w="1249" w:type="pct"/>
            <w:vAlign w:val="center"/>
          </w:tcPr>
          <w:p w14:paraId="31B1D51E" w14:textId="77777777" w:rsidR="003E78AB" w:rsidRDefault="00010BF9">
            <w:pPr>
              <w:spacing w:line="240" w:lineRule="auto"/>
              <w:ind w:firstLineChars="0" w:firstLine="0"/>
              <w:contextualSpacing/>
              <w:jc w:val="center"/>
              <w:rPr>
                <w:sz w:val="21"/>
                <w:szCs w:val="21"/>
              </w:rPr>
            </w:pPr>
            <w:r>
              <w:rPr>
                <w:sz w:val="21"/>
                <w:szCs w:val="21"/>
              </w:rPr>
              <w:t>E1</w:t>
            </w:r>
          </w:p>
        </w:tc>
        <w:tc>
          <w:tcPr>
            <w:tcW w:w="1250" w:type="pct"/>
            <w:vAlign w:val="center"/>
          </w:tcPr>
          <w:p w14:paraId="0E49B3E5" w14:textId="77777777" w:rsidR="003E78AB" w:rsidRDefault="00010BF9">
            <w:pPr>
              <w:spacing w:line="240" w:lineRule="auto"/>
              <w:ind w:firstLineChars="0" w:firstLine="0"/>
              <w:contextualSpacing/>
              <w:jc w:val="center"/>
              <w:rPr>
                <w:b/>
                <w:bCs/>
                <w:sz w:val="21"/>
                <w:szCs w:val="21"/>
              </w:rPr>
            </w:pPr>
            <w:r>
              <w:rPr>
                <w:b/>
                <w:bCs/>
                <w:sz w:val="21"/>
                <w:szCs w:val="21"/>
              </w:rPr>
              <w:t>E2</w:t>
            </w:r>
          </w:p>
        </w:tc>
      </w:tr>
      <w:tr w:rsidR="003E78AB" w14:paraId="12CE2FA8" w14:textId="77777777">
        <w:trPr>
          <w:trHeight w:val="340"/>
          <w:jc w:val="center"/>
        </w:trPr>
        <w:tc>
          <w:tcPr>
            <w:tcW w:w="1249" w:type="pct"/>
            <w:vAlign w:val="center"/>
          </w:tcPr>
          <w:p w14:paraId="2766A7CC" w14:textId="77777777" w:rsidR="003E78AB" w:rsidRDefault="00010BF9">
            <w:pPr>
              <w:spacing w:line="240" w:lineRule="auto"/>
              <w:ind w:firstLineChars="0" w:firstLine="0"/>
              <w:contextualSpacing/>
              <w:jc w:val="center"/>
              <w:rPr>
                <w:sz w:val="21"/>
                <w:szCs w:val="21"/>
              </w:rPr>
            </w:pPr>
            <w:r>
              <w:rPr>
                <w:sz w:val="21"/>
                <w:szCs w:val="21"/>
              </w:rPr>
              <w:t>D2</w:t>
            </w:r>
          </w:p>
        </w:tc>
        <w:tc>
          <w:tcPr>
            <w:tcW w:w="1249" w:type="pct"/>
            <w:vAlign w:val="center"/>
          </w:tcPr>
          <w:p w14:paraId="2840147A" w14:textId="77777777" w:rsidR="003E78AB" w:rsidRDefault="00010BF9">
            <w:pPr>
              <w:spacing w:line="240" w:lineRule="auto"/>
              <w:ind w:firstLineChars="0" w:firstLine="0"/>
              <w:contextualSpacing/>
              <w:jc w:val="center"/>
              <w:rPr>
                <w:sz w:val="21"/>
                <w:szCs w:val="21"/>
              </w:rPr>
            </w:pPr>
            <w:r>
              <w:rPr>
                <w:sz w:val="21"/>
                <w:szCs w:val="21"/>
              </w:rPr>
              <w:t>E1</w:t>
            </w:r>
          </w:p>
        </w:tc>
        <w:tc>
          <w:tcPr>
            <w:tcW w:w="1249" w:type="pct"/>
            <w:vAlign w:val="center"/>
          </w:tcPr>
          <w:p w14:paraId="3D5E5E38" w14:textId="77777777" w:rsidR="003E78AB" w:rsidRDefault="00010BF9">
            <w:pPr>
              <w:spacing w:line="240" w:lineRule="auto"/>
              <w:ind w:firstLineChars="0" w:firstLine="0"/>
              <w:contextualSpacing/>
              <w:jc w:val="center"/>
              <w:rPr>
                <w:sz w:val="21"/>
                <w:szCs w:val="21"/>
              </w:rPr>
            </w:pPr>
            <w:r>
              <w:rPr>
                <w:sz w:val="21"/>
                <w:szCs w:val="21"/>
              </w:rPr>
              <w:t>E2</w:t>
            </w:r>
          </w:p>
        </w:tc>
        <w:tc>
          <w:tcPr>
            <w:tcW w:w="1250" w:type="pct"/>
            <w:vAlign w:val="center"/>
          </w:tcPr>
          <w:p w14:paraId="68515246" w14:textId="77777777" w:rsidR="003E78AB" w:rsidRDefault="00010BF9">
            <w:pPr>
              <w:spacing w:line="240" w:lineRule="auto"/>
              <w:ind w:firstLineChars="0" w:firstLine="0"/>
              <w:contextualSpacing/>
              <w:jc w:val="center"/>
              <w:rPr>
                <w:sz w:val="21"/>
                <w:szCs w:val="21"/>
              </w:rPr>
            </w:pPr>
            <w:r>
              <w:rPr>
                <w:sz w:val="21"/>
                <w:szCs w:val="21"/>
              </w:rPr>
              <w:t>E3</w:t>
            </w:r>
          </w:p>
        </w:tc>
      </w:tr>
      <w:tr w:rsidR="003E78AB" w14:paraId="15379BEC" w14:textId="77777777">
        <w:trPr>
          <w:trHeight w:val="340"/>
          <w:jc w:val="center"/>
        </w:trPr>
        <w:tc>
          <w:tcPr>
            <w:tcW w:w="1249" w:type="pct"/>
            <w:shd w:val="clear" w:color="auto" w:fill="auto"/>
            <w:vAlign w:val="center"/>
          </w:tcPr>
          <w:p w14:paraId="0B070CE9" w14:textId="77777777" w:rsidR="003E78AB" w:rsidRDefault="00010BF9">
            <w:pPr>
              <w:spacing w:line="240" w:lineRule="auto"/>
              <w:ind w:firstLineChars="0" w:firstLine="0"/>
              <w:contextualSpacing/>
              <w:jc w:val="center"/>
              <w:rPr>
                <w:sz w:val="21"/>
                <w:szCs w:val="21"/>
              </w:rPr>
            </w:pPr>
            <w:r>
              <w:rPr>
                <w:sz w:val="21"/>
                <w:szCs w:val="21"/>
              </w:rPr>
              <w:t>D3</w:t>
            </w:r>
          </w:p>
        </w:tc>
        <w:tc>
          <w:tcPr>
            <w:tcW w:w="1249" w:type="pct"/>
            <w:shd w:val="clear" w:color="auto" w:fill="auto"/>
            <w:vAlign w:val="center"/>
          </w:tcPr>
          <w:p w14:paraId="2887080F" w14:textId="77777777" w:rsidR="003E78AB" w:rsidRDefault="00010BF9">
            <w:pPr>
              <w:spacing w:line="240" w:lineRule="auto"/>
              <w:ind w:firstLineChars="0" w:firstLine="0"/>
              <w:contextualSpacing/>
              <w:jc w:val="center"/>
              <w:rPr>
                <w:sz w:val="21"/>
                <w:szCs w:val="21"/>
              </w:rPr>
            </w:pPr>
            <w:r>
              <w:rPr>
                <w:sz w:val="21"/>
                <w:szCs w:val="21"/>
              </w:rPr>
              <w:t>E1</w:t>
            </w:r>
          </w:p>
        </w:tc>
        <w:tc>
          <w:tcPr>
            <w:tcW w:w="1249" w:type="pct"/>
            <w:shd w:val="clear" w:color="auto" w:fill="auto"/>
            <w:vAlign w:val="center"/>
          </w:tcPr>
          <w:p w14:paraId="5F4CF0E1" w14:textId="77777777" w:rsidR="003E78AB" w:rsidRDefault="00010BF9">
            <w:pPr>
              <w:spacing w:line="240" w:lineRule="auto"/>
              <w:ind w:firstLineChars="0" w:firstLine="0"/>
              <w:contextualSpacing/>
              <w:jc w:val="center"/>
              <w:rPr>
                <w:sz w:val="21"/>
                <w:szCs w:val="21"/>
              </w:rPr>
            </w:pPr>
            <w:r>
              <w:rPr>
                <w:sz w:val="21"/>
                <w:szCs w:val="21"/>
              </w:rPr>
              <w:t>E2</w:t>
            </w:r>
          </w:p>
        </w:tc>
        <w:tc>
          <w:tcPr>
            <w:tcW w:w="1250" w:type="pct"/>
            <w:shd w:val="clear" w:color="auto" w:fill="auto"/>
            <w:vAlign w:val="center"/>
          </w:tcPr>
          <w:p w14:paraId="25C1C1E1" w14:textId="77777777" w:rsidR="003E78AB" w:rsidRDefault="00010BF9">
            <w:pPr>
              <w:spacing w:line="240" w:lineRule="auto"/>
              <w:ind w:firstLineChars="0" w:firstLine="0"/>
              <w:contextualSpacing/>
              <w:jc w:val="center"/>
              <w:rPr>
                <w:sz w:val="21"/>
                <w:szCs w:val="21"/>
              </w:rPr>
            </w:pPr>
            <w:r>
              <w:rPr>
                <w:sz w:val="21"/>
                <w:szCs w:val="21"/>
              </w:rPr>
              <w:t>E3</w:t>
            </w:r>
          </w:p>
        </w:tc>
      </w:tr>
    </w:tbl>
    <w:p w14:paraId="116575A5" w14:textId="77777777" w:rsidR="003E78AB" w:rsidRDefault="00010BF9">
      <w:pPr>
        <w:ind w:firstLine="480"/>
        <w:contextualSpacing/>
        <w:rPr>
          <w:kern w:val="2"/>
        </w:rPr>
      </w:pPr>
      <w:r>
        <w:rPr>
          <w:kern w:val="2"/>
        </w:rPr>
        <w:t>由上表可以得知，本项目地下水环境敏感程度分级为</w:t>
      </w:r>
      <w:r>
        <w:rPr>
          <w:kern w:val="2"/>
        </w:rPr>
        <w:t>E</w:t>
      </w:r>
      <w:r>
        <w:rPr>
          <w:rFonts w:hint="eastAsia"/>
          <w:kern w:val="2"/>
        </w:rPr>
        <w:t>2</w:t>
      </w:r>
      <w:r>
        <w:rPr>
          <w:kern w:val="2"/>
        </w:rPr>
        <w:t>。</w:t>
      </w:r>
    </w:p>
    <w:p w14:paraId="7C5EE44C" w14:textId="77777777" w:rsidR="003E78AB" w:rsidRDefault="00010BF9">
      <w:pPr>
        <w:ind w:firstLine="480"/>
        <w:contextualSpacing/>
        <w:rPr>
          <w:kern w:val="2"/>
        </w:rPr>
      </w:pPr>
      <w:r>
        <w:rPr>
          <w:kern w:val="2"/>
        </w:rPr>
        <w:t>（</w:t>
      </w:r>
      <w:r>
        <w:rPr>
          <w:kern w:val="2"/>
        </w:rPr>
        <w:t>3</w:t>
      </w:r>
      <w:r>
        <w:rPr>
          <w:kern w:val="2"/>
        </w:rPr>
        <w:t>）环境风险潜势划分</w:t>
      </w:r>
    </w:p>
    <w:p w14:paraId="5F694200" w14:textId="77777777" w:rsidR="003E78AB" w:rsidRDefault="00010BF9">
      <w:pPr>
        <w:ind w:firstLine="480"/>
        <w:contextualSpacing/>
        <w:rPr>
          <w:kern w:val="2"/>
        </w:rPr>
      </w:pPr>
      <w:r>
        <w:rPr>
          <w:kern w:val="2"/>
          <w:lang w:val="zh-CN"/>
        </w:rPr>
        <w:t>根据生态环境部颁发的《建设项目环境风险评价技术导则》（</w:t>
      </w:r>
      <w:r>
        <w:rPr>
          <w:kern w:val="2"/>
          <w:lang w:val="zh-CN"/>
        </w:rPr>
        <w:t>HJ/T169-</w:t>
      </w:r>
      <w:r>
        <w:rPr>
          <w:kern w:val="2"/>
        </w:rPr>
        <w:t>2018</w:t>
      </w:r>
      <w:r>
        <w:rPr>
          <w:kern w:val="2"/>
          <w:lang w:val="zh-CN"/>
        </w:rPr>
        <w:t>）风险评价等级划分原则，根据建设项目涉及的物质及工艺系统危险性和所在地的环境敏感程度，结合事故情形下环境影响途径，对建设项目潜在环境危害程度进行概化分析，确定环境风险潜势，详见表</w:t>
      </w:r>
      <w:r>
        <w:rPr>
          <w:kern w:val="2"/>
        </w:rPr>
        <w:t>2-24</w:t>
      </w:r>
      <w:r>
        <w:rPr>
          <w:kern w:val="2"/>
        </w:rPr>
        <w:t>。</w:t>
      </w:r>
    </w:p>
    <w:p w14:paraId="6415E6B8" w14:textId="77777777" w:rsidR="003E78AB" w:rsidRDefault="00010BF9">
      <w:pPr>
        <w:pStyle w:val="a5"/>
      </w:pPr>
      <w:r>
        <w:t>建设项目环境风险潜势划分依据</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6"/>
        <w:gridCol w:w="1636"/>
        <w:gridCol w:w="1554"/>
        <w:gridCol w:w="1508"/>
        <w:gridCol w:w="1706"/>
      </w:tblGrid>
      <w:tr w:rsidR="003E78AB" w14:paraId="456E49E6" w14:textId="77777777">
        <w:trPr>
          <w:trHeight w:val="340"/>
          <w:tblHeader/>
          <w:jc w:val="center"/>
        </w:trPr>
        <w:tc>
          <w:tcPr>
            <w:tcW w:w="1242" w:type="pct"/>
            <w:vMerge w:val="restart"/>
            <w:vAlign w:val="center"/>
          </w:tcPr>
          <w:p w14:paraId="37411030" w14:textId="77777777" w:rsidR="003E78AB" w:rsidRDefault="00010BF9">
            <w:pPr>
              <w:spacing w:line="360" w:lineRule="exact"/>
              <w:ind w:firstLineChars="0" w:firstLine="0"/>
              <w:jc w:val="center"/>
              <w:textAlignment w:val="baseline"/>
              <w:rPr>
                <w:b/>
                <w:bCs/>
                <w:kern w:val="2"/>
                <w:sz w:val="21"/>
                <w:szCs w:val="21"/>
              </w:rPr>
            </w:pPr>
            <w:r>
              <w:rPr>
                <w:b/>
                <w:bCs/>
                <w:kern w:val="2"/>
                <w:sz w:val="21"/>
                <w:szCs w:val="21"/>
              </w:rPr>
              <w:t>环境敏感程度（</w:t>
            </w:r>
            <w:r>
              <w:rPr>
                <w:b/>
                <w:bCs/>
                <w:kern w:val="2"/>
                <w:sz w:val="21"/>
                <w:szCs w:val="21"/>
              </w:rPr>
              <w:t>E</w:t>
            </w:r>
            <w:r>
              <w:rPr>
                <w:b/>
                <w:bCs/>
                <w:kern w:val="2"/>
                <w:sz w:val="21"/>
                <w:szCs w:val="21"/>
              </w:rPr>
              <w:t>）</w:t>
            </w:r>
          </w:p>
        </w:tc>
        <w:tc>
          <w:tcPr>
            <w:tcW w:w="3757" w:type="pct"/>
            <w:gridSpan w:val="4"/>
            <w:vAlign w:val="center"/>
          </w:tcPr>
          <w:p w14:paraId="5616D821" w14:textId="77777777" w:rsidR="003E78AB" w:rsidRDefault="00010BF9">
            <w:pPr>
              <w:spacing w:line="360" w:lineRule="exact"/>
              <w:ind w:firstLineChars="0" w:firstLine="0"/>
              <w:jc w:val="center"/>
              <w:textAlignment w:val="baseline"/>
              <w:rPr>
                <w:b/>
                <w:bCs/>
                <w:kern w:val="2"/>
                <w:sz w:val="21"/>
                <w:szCs w:val="21"/>
              </w:rPr>
            </w:pPr>
            <w:r>
              <w:rPr>
                <w:b/>
                <w:bCs/>
                <w:kern w:val="2"/>
                <w:sz w:val="21"/>
                <w:szCs w:val="21"/>
              </w:rPr>
              <w:t>危险物质及工艺系统危险性（</w:t>
            </w:r>
            <w:r>
              <w:rPr>
                <w:b/>
                <w:bCs/>
                <w:kern w:val="2"/>
                <w:sz w:val="21"/>
                <w:szCs w:val="21"/>
              </w:rPr>
              <w:t>P</w:t>
            </w:r>
            <w:r>
              <w:rPr>
                <w:b/>
                <w:bCs/>
                <w:kern w:val="2"/>
                <w:sz w:val="21"/>
                <w:szCs w:val="21"/>
              </w:rPr>
              <w:t>）</w:t>
            </w:r>
          </w:p>
        </w:tc>
      </w:tr>
      <w:tr w:rsidR="003E78AB" w14:paraId="2968B476" w14:textId="77777777">
        <w:trPr>
          <w:trHeight w:val="340"/>
          <w:tblHeader/>
          <w:jc w:val="center"/>
        </w:trPr>
        <w:tc>
          <w:tcPr>
            <w:tcW w:w="1242" w:type="pct"/>
            <w:vMerge/>
            <w:vAlign w:val="center"/>
          </w:tcPr>
          <w:p w14:paraId="3315C337" w14:textId="77777777" w:rsidR="003E78AB" w:rsidRDefault="003E78AB">
            <w:pPr>
              <w:spacing w:line="360" w:lineRule="exact"/>
              <w:ind w:firstLineChars="0" w:firstLine="0"/>
              <w:jc w:val="center"/>
              <w:textAlignment w:val="baseline"/>
              <w:rPr>
                <w:kern w:val="2"/>
                <w:sz w:val="21"/>
                <w:szCs w:val="21"/>
              </w:rPr>
            </w:pPr>
          </w:p>
        </w:tc>
        <w:tc>
          <w:tcPr>
            <w:tcW w:w="960" w:type="pct"/>
            <w:vAlign w:val="center"/>
          </w:tcPr>
          <w:p w14:paraId="64EED378" w14:textId="77777777" w:rsidR="003E78AB" w:rsidRDefault="00010BF9">
            <w:pPr>
              <w:spacing w:line="360" w:lineRule="exact"/>
              <w:ind w:firstLineChars="0" w:firstLine="0"/>
              <w:jc w:val="center"/>
              <w:textAlignment w:val="baseline"/>
              <w:rPr>
                <w:b/>
                <w:bCs/>
                <w:kern w:val="2"/>
                <w:sz w:val="21"/>
                <w:szCs w:val="21"/>
              </w:rPr>
            </w:pPr>
            <w:r>
              <w:rPr>
                <w:b/>
                <w:bCs/>
                <w:kern w:val="2"/>
                <w:sz w:val="21"/>
                <w:szCs w:val="21"/>
              </w:rPr>
              <w:t>极高危害（</w:t>
            </w:r>
            <w:r>
              <w:rPr>
                <w:b/>
                <w:bCs/>
                <w:kern w:val="2"/>
                <w:sz w:val="21"/>
                <w:szCs w:val="21"/>
              </w:rPr>
              <w:t>P1</w:t>
            </w:r>
            <w:r>
              <w:rPr>
                <w:b/>
                <w:bCs/>
                <w:kern w:val="2"/>
                <w:sz w:val="21"/>
                <w:szCs w:val="21"/>
              </w:rPr>
              <w:t>）</w:t>
            </w:r>
          </w:p>
        </w:tc>
        <w:tc>
          <w:tcPr>
            <w:tcW w:w="912" w:type="pct"/>
            <w:vAlign w:val="center"/>
          </w:tcPr>
          <w:p w14:paraId="39338F2A" w14:textId="77777777" w:rsidR="003E78AB" w:rsidRDefault="00010BF9">
            <w:pPr>
              <w:spacing w:line="360" w:lineRule="exact"/>
              <w:ind w:firstLineChars="0" w:firstLine="0"/>
              <w:jc w:val="center"/>
              <w:textAlignment w:val="baseline"/>
              <w:rPr>
                <w:b/>
                <w:bCs/>
                <w:kern w:val="2"/>
                <w:sz w:val="21"/>
                <w:szCs w:val="21"/>
              </w:rPr>
            </w:pPr>
            <w:r>
              <w:rPr>
                <w:b/>
                <w:bCs/>
                <w:kern w:val="2"/>
                <w:sz w:val="21"/>
                <w:szCs w:val="21"/>
              </w:rPr>
              <w:t>高度危害（</w:t>
            </w:r>
            <w:r>
              <w:rPr>
                <w:b/>
                <w:bCs/>
                <w:kern w:val="2"/>
                <w:sz w:val="21"/>
                <w:szCs w:val="21"/>
              </w:rPr>
              <w:t>P2</w:t>
            </w:r>
            <w:r>
              <w:rPr>
                <w:b/>
                <w:bCs/>
                <w:kern w:val="2"/>
                <w:sz w:val="21"/>
                <w:szCs w:val="21"/>
              </w:rPr>
              <w:t>）</w:t>
            </w:r>
          </w:p>
        </w:tc>
        <w:tc>
          <w:tcPr>
            <w:tcW w:w="885" w:type="pct"/>
            <w:vAlign w:val="center"/>
          </w:tcPr>
          <w:p w14:paraId="0A081FAB" w14:textId="77777777" w:rsidR="003E78AB" w:rsidRDefault="00010BF9">
            <w:pPr>
              <w:spacing w:line="360" w:lineRule="exact"/>
              <w:ind w:firstLineChars="0" w:firstLine="0"/>
              <w:jc w:val="center"/>
              <w:textAlignment w:val="baseline"/>
              <w:rPr>
                <w:b/>
                <w:bCs/>
                <w:kern w:val="2"/>
                <w:sz w:val="21"/>
                <w:szCs w:val="21"/>
              </w:rPr>
            </w:pPr>
            <w:r>
              <w:rPr>
                <w:b/>
                <w:bCs/>
                <w:kern w:val="2"/>
                <w:sz w:val="21"/>
                <w:szCs w:val="21"/>
              </w:rPr>
              <w:t>中毒危害（</w:t>
            </w:r>
            <w:r>
              <w:rPr>
                <w:b/>
                <w:bCs/>
                <w:kern w:val="2"/>
                <w:sz w:val="21"/>
                <w:szCs w:val="21"/>
              </w:rPr>
              <w:t>P3</w:t>
            </w:r>
            <w:r>
              <w:rPr>
                <w:b/>
                <w:bCs/>
                <w:kern w:val="2"/>
                <w:sz w:val="21"/>
                <w:szCs w:val="21"/>
              </w:rPr>
              <w:t>）</w:t>
            </w:r>
          </w:p>
        </w:tc>
        <w:tc>
          <w:tcPr>
            <w:tcW w:w="999" w:type="pct"/>
            <w:vAlign w:val="center"/>
          </w:tcPr>
          <w:p w14:paraId="74B39BB0" w14:textId="77777777" w:rsidR="003E78AB" w:rsidRDefault="00010BF9">
            <w:pPr>
              <w:spacing w:line="360" w:lineRule="exact"/>
              <w:ind w:firstLineChars="0" w:firstLine="0"/>
              <w:jc w:val="center"/>
              <w:textAlignment w:val="baseline"/>
              <w:rPr>
                <w:b/>
                <w:bCs/>
                <w:kern w:val="2"/>
                <w:sz w:val="21"/>
                <w:szCs w:val="21"/>
              </w:rPr>
            </w:pPr>
            <w:r>
              <w:rPr>
                <w:b/>
                <w:bCs/>
                <w:kern w:val="2"/>
                <w:sz w:val="21"/>
                <w:szCs w:val="21"/>
              </w:rPr>
              <w:t>轻度危害（</w:t>
            </w:r>
            <w:r>
              <w:rPr>
                <w:b/>
                <w:bCs/>
                <w:kern w:val="2"/>
                <w:sz w:val="21"/>
                <w:szCs w:val="21"/>
              </w:rPr>
              <w:t>P4</w:t>
            </w:r>
            <w:r>
              <w:rPr>
                <w:b/>
                <w:bCs/>
                <w:kern w:val="2"/>
                <w:sz w:val="21"/>
                <w:szCs w:val="21"/>
              </w:rPr>
              <w:t>）</w:t>
            </w:r>
          </w:p>
        </w:tc>
      </w:tr>
      <w:tr w:rsidR="003E78AB" w14:paraId="269B338B" w14:textId="77777777">
        <w:trPr>
          <w:trHeight w:val="340"/>
          <w:jc w:val="center"/>
        </w:trPr>
        <w:tc>
          <w:tcPr>
            <w:tcW w:w="1242" w:type="pct"/>
            <w:vAlign w:val="center"/>
          </w:tcPr>
          <w:p w14:paraId="30DFE0B8" w14:textId="77777777" w:rsidR="003E78AB" w:rsidRDefault="00010BF9">
            <w:pPr>
              <w:spacing w:line="360" w:lineRule="exact"/>
              <w:ind w:firstLineChars="0" w:firstLine="0"/>
              <w:jc w:val="center"/>
              <w:textAlignment w:val="baseline"/>
              <w:rPr>
                <w:kern w:val="2"/>
                <w:sz w:val="21"/>
                <w:szCs w:val="21"/>
              </w:rPr>
            </w:pPr>
            <w:r>
              <w:rPr>
                <w:kern w:val="2"/>
                <w:sz w:val="21"/>
                <w:szCs w:val="21"/>
              </w:rPr>
              <w:t>环境高度敏感区（</w:t>
            </w:r>
            <w:r>
              <w:rPr>
                <w:kern w:val="2"/>
                <w:sz w:val="21"/>
                <w:szCs w:val="21"/>
              </w:rPr>
              <w:t>E1</w:t>
            </w:r>
            <w:r>
              <w:rPr>
                <w:kern w:val="2"/>
                <w:sz w:val="21"/>
                <w:szCs w:val="21"/>
              </w:rPr>
              <w:t>）</w:t>
            </w:r>
          </w:p>
        </w:tc>
        <w:tc>
          <w:tcPr>
            <w:tcW w:w="960" w:type="pct"/>
            <w:vAlign w:val="center"/>
          </w:tcPr>
          <w:p w14:paraId="17BCC21F" w14:textId="77777777" w:rsidR="003E78AB" w:rsidRDefault="00010BF9">
            <w:pPr>
              <w:spacing w:line="360" w:lineRule="exact"/>
              <w:ind w:firstLineChars="0" w:firstLine="0"/>
              <w:jc w:val="center"/>
              <w:textAlignment w:val="baseline"/>
              <w:rPr>
                <w:kern w:val="2"/>
                <w:sz w:val="21"/>
                <w:szCs w:val="21"/>
              </w:rPr>
            </w:pPr>
            <w:r>
              <w:rPr>
                <w:kern w:val="2"/>
                <w:sz w:val="21"/>
                <w:szCs w:val="21"/>
              </w:rPr>
              <w:t>Ⅳ</w:t>
            </w:r>
            <w:r>
              <w:rPr>
                <w:kern w:val="2"/>
                <w:sz w:val="21"/>
                <w:szCs w:val="21"/>
                <w:vertAlign w:val="superscript"/>
              </w:rPr>
              <w:t>+</w:t>
            </w:r>
          </w:p>
        </w:tc>
        <w:tc>
          <w:tcPr>
            <w:tcW w:w="912" w:type="pct"/>
            <w:vAlign w:val="center"/>
          </w:tcPr>
          <w:p w14:paraId="3F6FD97B" w14:textId="77777777" w:rsidR="003E78AB" w:rsidRDefault="00010BF9">
            <w:pPr>
              <w:spacing w:line="360" w:lineRule="exact"/>
              <w:ind w:firstLineChars="0" w:firstLine="0"/>
              <w:jc w:val="center"/>
              <w:textAlignment w:val="baseline"/>
              <w:rPr>
                <w:kern w:val="2"/>
                <w:sz w:val="21"/>
                <w:szCs w:val="21"/>
              </w:rPr>
            </w:pPr>
            <w:r>
              <w:rPr>
                <w:kern w:val="2"/>
                <w:sz w:val="21"/>
                <w:szCs w:val="21"/>
              </w:rPr>
              <w:t>Ⅳ</w:t>
            </w:r>
          </w:p>
        </w:tc>
        <w:tc>
          <w:tcPr>
            <w:tcW w:w="885" w:type="pct"/>
            <w:vAlign w:val="center"/>
          </w:tcPr>
          <w:p w14:paraId="40F722B1" w14:textId="77777777" w:rsidR="003E78AB" w:rsidRDefault="00010BF9">
            <w:pPr>
              <w:spacing w:line="360" w:lineRule="exact"/>
              <w:ind w:firstLineChars="0" w:firstLine="0"/>
              <w:jc w:val="center"/>
              <w:textAlignment w:val="baseline"/>
              <w:rPr>
                <w:kern w:val="2"/>
                <w:sz w:val="21"/>
                <w:szCs w:val="21"/>
              </w:rPr>
            </w:pPr>
            <w:r>
              <w:rPr>
                <w:kern w:val="2"/>
                <w:sz w:val="21"/>
                <w:szCs w:val="21"/>
              </w:rPr>
              <w:t>Ⅲ</w:t>
            </w:r>
          </w:p>
        </w:tc>
        <w:tc>
          <w:tcPr>
            <w:tcW w:w="999" w:type="pct"/>
            <w:vAlign w:val="center"/>
          </w:tcPr>
          <w:p w14:paraId="63FAC66D" w14:textId="77777777" w:rsidR="003E78AB" w:rsidRDefault="00010BF9">
            <w:pPr>
              <w:spacing w:line="360" w:lineRule="exact"/>
              <w:ind w:firstLineChars="0" w:firstLine="0"/>
              <w:jc w:val="center"/>
              <w:textAlignment w:val="baseline"/>
              <w:rPr>
                <w:kern w:val="2"/>
                <w:sz w:val="21"/>
                <w:szCs w:val="21"/>
              </w:rPr>
            </w:pPr>
            <w:r>
              <w:rPr>
                <w:kern w:val="2"/>
                <w:sz w:val="21"/>
                <w:szCs w:val="21"/>
              </w:rPr>
              <w:t>Ⅲ</w:t>
            </w:r>
          </w:p>
        </w:tc>
      </w:tr>
      <w:tr w:rsidR="003E78AB" w14:paraId="58FD55BF" w14:textId="77777777">
        <w:trPr>
          <w:trHeight w:val="340"/>
          <w:jc w:val="center"/>
        </w:trPr>
        <w:tc>
          <w:tcPr>
            <w:tcW w:w="1242" w:type="pct"/>
            <w:vAlign w:val="center"/>
          </w:tcPr>
          <w:p w14:paraId="2B151D36" w14:textId="77777777" w:rsidR="003E78AB" w:rsidRDefault="00010BF9">
            <w:pPr>
              <w:spacing w:line="360" w:lineRule="exact"/>
              <w:ind w:firstLineChars="0" w:firstLine="0"/>
              <w:jc w:val="center"/>
              <w:textAlignment w:val="baseline"/>
              <w:rPr>
                <w:kern w:val="2"/>
                <w:sz w:val="21"/>
                <w:szCs w:val="21"/>
              </w:rPr>
            </w:pPr>
            <w:r>
              <w:rPr>
                <w:kern w:val="2"/>
                <w:sz w:val="21"/>
                <w:szCs w:val="21"/>
              </w:rPr>
              <w:t>环境中度敏感区（</w:t>
            </w:r>
            <w:r>
              <w:rPr>
                <w:kern w:val="2"/>
                <w:sz w:val="21"/>
                <w:szCs w:val="21"/>
              </w:rPr>
              <w:t>E2</w:t>
            </w:r>
            <w:r>
              <w:rPr>
                <w:kern w:val="2"/>
                <w:sz w:val="21"/>
                <w:szCs w:val="21"/>
              </w:rPr>
              <w:t>）</w:t>
            </w:r>
          </w:p>
        </w:tc>
        <w:tc>
          <w:tcPr>
            <w:tcW w:w="960" w:type="pct"/>
            <w:vAlign w:val="center"/>
          </w:tcPr>
          <w:p w14:paraId="640E5F8E" w14:textId="77777777" w:rsidR="003E78AB" w:rsidRDefault="00010BF9">
            <w:pPr>
              <w:spacing w:line="360" w:lineRule="exact"/>
              <w:ind w:firstLineChars="0" w:firstLine="0"/>
              <w:jc w:val="center"/>
              <w:textAlignment w:val="baseline"/>
              <w:rPr>
                <w:kern w:val="2"/>
                <w:sz w:val="21"/>
                <w:szCs w:val="21"/>
              </w:rPr>
            </w:pPr>
            <w:r>
              <w:rPr>
                <w:kern w:val="2"/>
                <w:sz w:val="21"/>
                <w:szCs w:val="21"/>
              </w:rPr>
              <w:t>Ⅳ</w:t>
            </w:r>
          </w:p>
        </w:tc>
        <w:tc>
          <w:tcPr>
            <w:tcW w:w="912" w:type="pct"/>
            <w:vAlign w:val="center"/>
          </w:tcPr>
          <w:p w14:paraId="1674BA9B" w14:textId="77777777" w:rsidR="003E78AB" w:rsidRDefault="00010BF9">
            <w:pPr>
              <w:spacing w:line="360" w:lineRule="exact"/>
              <w:ind w:firstLineChars="0" w:firstLine="0"/>
              <w:jc w:val="center"/>
              <w:textAlignment w:val="baseline"/>
              <w:rPr>
                <w:kern w:val="2"/>
                <w:sz w:val="21"/>
                <w:szCs w:val="21"/>
              </w:rPr>
            </w:pPr>
            <w:r>
              <w:rPr>
                <w:kern w:val="2"/>
                <w:sz w:val="21"/>
                <w:szCs w:val="21"/>
              </w:rPr>
              <w:t>Ⅲ</w:t>
            </w:r>
          </w:p>
        </w:tc>
        <w:tc>
          <w:tcPr>
            <w:tcW w:w="885" w:type="pct"/>
            <w:vAlign w:val="center"/>
          </w:tcPr>
          <w:p w14:paraId="172794FE" w14:textId="77777777" w:rsidR="003E78AB" w:rsidRDefault="00010BF9">
            <w:pPr>
              <w:spacing w:line="360" w:lineRule="exact"/>
              <w:ind w:firstLineChars="0" w:firstLine="0"/>
              <w:jc w:val="center"/>
              <w:textAlignment w:val="baseline"/>
              <w:rPr>
                <w:kern w:val="2"/>
                <w:sz w:val="21"/>
                <w:szCs w:val="21"/>
              </w:rPr>
            </w:pPr>
            <w:r>
              <w:rPr>
                <w:kern w:val="2"/>
                <w:sz w:val="21"/>
                <w:szCs w:val="21"/>
              </w:rPr>
              <w:t>Ⅲ</w:t>
            </w:r>
          </w:p>
        </w:tc>
        <w:tc>
          <w:tcPr>
            <w:tcW w:w="999" w:type="pct"/>
            <w:vAlign w:val="center"/>
          </w:tcPr>
          <w:p w14:paraId="648B8F17" w14:textId="77777777" w:rsidR="003E78AB" w:rsidRDefault="00010BF9">
            <w:pPr>
              <w:spacing w:line="360" w:lineRule="exact"/>
              <w:ind w:firstLineChars="0" w:firstLine="0"/>
              <w:jc w:val="center"/>
              <w:textAlignment w:val="baseline"/>
              <w:rPr>
                <w:kern w:val="2"/>
                <w:sz w:val="21"/>
                <w:szCs w:val="21"/>
              </w:rPr>
            </w:pPr>
            <w:r>
              <w:rPr>
                <w:kern w:val="2"/>
                <w:sz w:val="21"/>
                <w:szCs w:val="21"/>
              </w:rPr>
              <w:t>Ⅱ</w:t>
            </w:r>
          </w:p>
        </w:tc>
      </w:tr>
      <w:tr w:rsidR="003E78AB" w14:paraId="728D2C82" w14:textId="77777777">
        <w:trPr>
          <w:trHeight w:val="340"/>
          <w:jc w:val="center"/>
        </w:trPr>
        <w:tc>
          <w:tcPr>
            <w:tcW w:w="1242" w:type="pct"/>
            <w:shd w:val="clear" w:color="auto" w:fill="auto"/>
            <w:vAlign w:val="center"/>
          </w:tcPr>
          <w:p w14:paraId="09CF6BEA" w14:textId="77777777" w:rsidR="003E78AB" w:rsidRDefault="00010BF9">
            <w:pPr>
              <w:spacing w:line="360" w:lineRule="exact"/>
              <w:ind w:firstLineChars="0" w:firstLine="0"/>
              <w:jc w:val="center"/>
              <w:textAlignment w:val="baseline"/>
              <w:rPr>
                <w:kern w:val="2"/>
                <w:sz w:val="21"/>
                <w:szCs w:val="21"/>
              </w:rPr>
            </w:pPr>
            <w:r>
              <w:rPr>
                <w:kern w:val="2"/>
                <w:sz w:val="21"/>
                <w:szCs w:val="21"/>
              </w:rPr>
              <w:t>环境低度敏感区（</w:t>
            </w:r>
            <w:r>
              <w:rPr>
                <w:kern w:val="2"/>
                <w:sz w:val="21"/>
                <w:szCs w:val="21"/>
              </w:rPr>
              <w:t>E3</w:t>
            </w:r>
            <w:r>
              <w:rPr>
                <w:kern w:val="2"/>
                <w:sz w:val="21"/>
                <w:szCs w:val="21"/>
              </w:rPr>
              <w:t>）</w:t>
            </w:r>
          </w:p>
        </w:tc>
        <w:tc>
          <w:tcPr>
            <w:tcW w:w="960" w:type="pct"/>
            <w:shd w:val="clear" w:color="auto" w:fill="auto"/>
            <w:vAlign w:val="center"/>
          </w:tcPr>
          <w:p w14:paraId="756B9638" w14:textId="77777777" w:rsidR="003E78AB" w:rsidRDefault="00010BF9">
            <w:pPr>
              <w:spacing w:line="360" w:lineRule="exact"/>
              <w:ind w:firstLineChars="0" w:firstLine="0"/>
              <w:jc w:val="center"/>
              <w:textAlignment w:val="baseline"/>
              <w:rPr>
                <w:kern w:val="2"/>
                <w:sz w:val="21"/>
                <w:szCs w:val="21"/>
              </w:rPr>
            </w:pPr>
            <w:r>
              <w:rPr>
                <w:kern w:val="2"/>
                <w:sz w:val="21"/>
                <w:szCs w:val="21"/>
              </w:rPr>
              <w:t>Ⅲ</w:t>
            </w:r>
          </w:p>
        </w:tc>
        <w:tc>
          <w:tcPr>
            <w:tcW w:w="912" w:type="pct"/>
            <w:vAlign w:val="center"/>
          </w:tcPr>
          <w:p w14:paraId="3B6ED49C" w14:textId="77777777" w:rsidR="003E78AB" w:rsidRDefault="00010BF9">
            <w:pPr>
              <w:spacing w:line="360" w:lineRule="exact"/>
              <w:ind w:firstLineChars="0" w:firstLine="0"/>
              <w:jc w:val="center"/>
              <w:textAlignment w:val="baseline"/>
              <w:rPr>
                <w:kern w:val="2"/>
                <w:sz w:val="21"/>
                <w:szCs w:val="21"/>
              </w:rPr>
            </w:pPr>
            <w:r>
              <w:rPr>
                <w:kern w:val="2"/>
                <w:sz w:val="21"/>
                <w:szCs w:val="21"/>
              </w:rPr>
              <w:t>Ⅲ</w:t>
            </w:r>
          </w:p>
        </w:tc>
        <w:tc>
          <w:tcPr>
            <w:tcW w:w="885" w:type="pct"/>
            <w:vAlign w:val="center"/>
          </w:tcPr>
          <w:p w14:paraId="25DF3EAA" w14:textId="77777777" w:rsidR="003E78AB" w:rsidRDefault="00010BF9">
            <w:pPr>
              <w:spacing w:line="360" w:lineRule="exact"/>
              <w:ind w:firstLineChars="0" w:firstLine="0"/>
              <w:jc w:val="center"/>
              <w:textAlignment w:val="baseline"/>
              <w:rPr>
                <w:kern w:val="2"/>
                <w:sz w:val="21"/>
                <w:szCs w:val="21"/>
              </w:rPr>
            </w:pPr>
            <w:r>
              <w:rPr>
                <w:kern w:val="2"/>
                <w:sz w:val="21"/>
                <w:szCs w:val="21"/>
              </w:rPr>
              <w:t>Ⅱ</w:t>
            </w:r>
          </w:p>
        </w:tc>
        <w:tc>
          <w:tcPr>
            <w:tcW w:w="999" w:type="pct"/>
            <w:shd w:val="clear" w:color="auto" w:fill="auto"/>
            <w:vAlign w:val="center"/>
          </w:tcPr>
          <w:p w14:paraId="0073B902" w14:textId="77777777" w:rsidR="003E78AB" w:rsidRDefault="00010BF9">
            <w:pPr>
              <w:spacing w:line="360" w:lineRule="exact"/>
              <w:ind w:firstLineChars="0" w:firstLine="0"/>
              <w:jc w:val="center"/>
              <w:textAlignment w:val="baseline"/>
              <w:rPr>
                <w:kern w:val="2"/>
                <w:sz w:val="21"/>
                <w:szCs w:val="21"/>
              </w:rPr>
            </w:pPr>
            <w:r>
              <w:rPr>
                <w:kern w:val="2"/>
                <w:sz w:val="21"/>
                <w:szCs w:val="21"/>
              </w:rPr>
              <w:t>Ⅰ</w:t>
            </w:r>
          </w:p>
        </w:tc>
      </w:tr>
      <w:tr w:rsidR="003E78AB" w14:paraId="44DEC6ED" w14:textId="77777777">
        <w:trPr>
          <w:trHeight w:val="340"/>
          <w:jc w:val="center"/>
        </w:trPr>
        <w:tc>
          <w:tcPr>
            <w:tcW w:w="5000" w:type="pct"/>
            <w:gridSpan w:val="5"/>
            <w:vAlign w:val="center"/>
          </w:tcPr>
          <w:p w14:paraId="2CF16C91" w14:textId="77777777" w:rsidR="003E78AB" w:rsidRDefault="00010BF9">
            <w:pPr>
              <w:spacing w:line="360" w:lineRule="exact"/>
              <w:ind w:firstLineChars="0" w:firstLine="0"/>
              <w:textAlignment w:val="baseline"/>
              <w:rPr>
                <w:kern w:val="2"/>
                <w:sz w:val="21"/>
                <w:szCs w:val="21"/>
              </w:rPr>
            </w:pPr>
            <w:r>
              <w:rPr>
                <w:kern w:val="2"/>
                <w:sz w:val="21"/>
                <w:szCs w:val="21"/>
              </w:rPr>
              <w:t>注：</w:t>
            </w:r>
            <w:r>
              <w:rPr>
                <w:kern w:val="2"/>
                <w:sz w:val="21"/>
                <w:szCs w:val="21"/>
              </w:rPr>
              <w:t>Ⅳ</w:t>
            </w:r>
            <w:r>
              <w:rPr>
                <w:kern w:val="2"/>
                <w:sz w:val="21"/>
                <w:szCs w:val="21"/>
                <w:vertAlign w:val="superscript"/>
              </w:rPr>
              <w:t>+</w:t>
            </w:r>
            <w:r>
              <w:rPr>
                <w:kern w:val="2"/>
                <w:sz w:val="21"/>
                <w:szCs w:val="21"/>
              </w:rPr>
              <w:t>为极高环境风险</w:t>
            </w:r>
          </w:p>
        </w:tc>
      </w:tr>
    </w:tbl>
    <w:p w14:paraId="31823A2E" w14:textId="77777777" w:rsidR="003E78AB" w:rsidRDefault="00010BF9">
      <w:pPr>
        <w:ind w:firstLine="480"/>
        <w:contextualSpacing/>
        <w:rPr>
          <w:kern w:val="2"/>
        </w:rPr>
      </w:pPr>
      <w:r>
        <w:rPr>
          <w:kern w:val="2"/>
        </w:rPr>
        <w:t>根据本项目实际情况，结合建设项目环境风险潜势划分依据可知，</w:t>
      </w:r>
      <w:r>
        <w:rPr>
          <w:bCs/>
          <w:kern w:val="2"/>
        </w:rPr>
        <w:t>本项目大气环境风险潜势为</w:t>
      </w:r>
      <w:r>
        <w:rPr>
          <w:bCs/>
          <w:kern w:val="2"/>
        </w:rPr>
        <w:t>Ⅲ</w:t>
      </w:r>
      <w:r>
        <w:rPr>
          <w:bCs/>
          <w:kern w:val="2"/>
        </w:rPr>
        <w:t>级，地下水环境风险潜势为</w:t>
      </w:r>
      <w:r>
        <w:rPr>
          <w:bCs/>
          <w:kern w:val="2"/>
        </w:rPr>
        <w:t>Ⅲ</w:t>
      </w:r>
      <w:r>
        <w:rPr>
          <w:bCs/>
          <w:kern w:val="2"/>
        </w:rPr>
        <w:t>级。</w:t>
      </w:r>
    </w:p>
    <w:p w14:paraId="6BFEC682" w14:textId="77777777" w:rsidR="003E78AB" w:rsidRDefault="00010BF9">
      <w:pPr>
        <w:ind w:firstLine="480"/>
        <w:contextualSpacing/>
        <w:rPr>
          <w:kern w:val="2"/>
        </w:rPr>
      </w:pPr>
      <w:r>
        <w:rPr>
          <w:kern w:val="2"/>
        </w:rPr>
        <w:t>（</w:t>
      </w:r>
      <w:r>
        <w:rPr>
          <w:kern w:val="2"/>
        </w:rPr>
        <w:t>4</w:t>
      </w:r>
      <w:r>
        <w:rPr>
          <w:kern w:val="2"/>
        </w:rPr>
        <w:t>）评价等级</w:t>
      </w:r>
    </w:p>
    <w:p w14:paraId="2812543A" w14:textId="77777777" w:rsidR="003E78AB" w:rsidRDefault="00010BF9">
      <w:pPr>
        <w:ind w:firstLine="480"/>
        <w:contextualSpacing/>
        <w:rPr>
          <w:kern w:val="2"/>
        </w:rPr>
      </w:pPr>
      <w:r>
        <w:rPr>
          <w:kern w:val="2"/>
        </w:rPr>
        <w:t>根据《建设项目环境风险评价技术导则》（</w:t>
      </w:r>
      <w:r>
        <w:rPr>
          <w:kern w:val="2"/>
        </w:rPr>
        <w:t>HJ169-2018</w:t>
      </w:r>
      <w:r>
        <w:rPr>
          <w:kern w:val="2"/>
        </w:rPr>
        <w:t>）规定：</w:t>
      </w:r>
      <w:r>
        <w:rPr>
          <w:kern w:val="2"/>
        </w:rPr>
        <w:t>“</w:t>
      </w:r>
      <w:r>
        <w:rPr>
          <w:kern w:val="2"/>
        </w:rPr>
        <w:t>环境风险评价工作是依据建设项目涉及的物质及工艺系统危险性和所在地的环境敏感性确定环境风险潜势进行分级，环境影响评价工作等级划分为一级、二级、三级</w:t>
      </w:r>
      <w:r>
        <w:rPr>
          <w:kern w:val="2"/>
        </w:rPr>
        <w:t>”</w:t>
      </w:r>
      <w:r>
        <w:rPr>
          <w:kern w:val="2"/>
        </w:rPr>
        <w:t>，其具体分级判据见表</w:t>
      </w:r>
      <w:r>
        <w:rPr>
          <w:kern w:val="2"/>
        </w:rPr>
        <w:t>2-25</w:t>
      </w:r>
      <w:r>
        <w:rPr>
          <w:kern w:val="2"/>
        </w:rPr>
        <w:t>。</w:t>
      </w:r>
    </w:p>
    <w:p w14:paraId="6235F73B" w14:textId="77777777" w:rsidR="003E78AB" w:rsidRDefault="00010BF9">
      <w:pPr>
        <w:pStyle w:val="a5"/>
      </w:pPr>
      <w:r>
        <w:t>项目环境影响评价等级判据一览表</w:t>
      </w:r>
    </w:p>
    <w:tbl>
      <w:tblPr>
        <w:tblW w:w="4997"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7"/>
        <w:gridCol w:w="1588"/>
        <w:gridCol w:w="1589"/>
        <w:gridCol w:w="1589"/>
        <w:gridCol w:w="1594"/>
      </w:tblGrid>
      <w:tr w:rsidR="003E78AB" w14:paraId="2CA79C31" w14:textId="77777777">
        <w:trPr>
          <w:trHeight w:val="340"/>
          <w:jc w:val="center"/>
        </w:trPr>
        <w:tc>
          <w:tcPr>
            <w:tcW w:w="1177" w:type="pct"/>
            <w:vAlign w:val="center"/>
          </w:tcPr>
          <w:p w14:paraId="4B5A7B2F" w14:textId="77777777" w:rsidR="003E78AB" w:rsidRDefault="00010BF9">
            <w:pPr>
              <w:spacing w:line="360" w:lineRule="exact"/>
              <w:ind w:firstLineChars="0" w:firstLine="0"/>
              <w:jc w:val="center"/>
              <w:rPr>
                <w:b/>
                <w:bCs/>
                <w:kern w:val="2"/>
                <w:sz w:val="21"/>
                <w:szCs w:val="21"/>
              </w:rPr>
            </w:pPr>
            <w:r>
              <w:rPr>
                <w:b/>
                <w:bCs/>
                <w:kern w:val="2"/>
                <w:sz w:val="21"/>
                <w:szCs w:val="21"/>
              </w:rPr>
              <w:t>环境风险潜势</w:t>
            </w:r>
          </w:p>
        </w:tc>
        <w:tc>
          <w:tcPr>
            <w:tcW w:w="955" w:type="pct"/>
            <w:vAlign w:val="center"/>
          </w:tcPr>
          <w:p w14:paraId="6934915D" w14:textId="77777777" w:rsidR="003E78AB" w:rsidRDefault="00010BF9">
            <w:pPr>
              <w:spacing w:line="360" w:lineRule="exact"/>
              <w:ind w:firstLineChars="0" w:firstLine="0"/>
              <w:jc w:val="center"/>
              <w:rPr>
                <w:b/>
                <w:bCs/>
                <w:kern w:val="2"/>
                <w:sz w:val="21"/>
                <w:szCs w:val="21"/>
              </w:rPr>
            </w:pPr>
            <w:r>
              <w:rPr>
                <w:b/>
                <w:bCs/>
                <w:kern w:val="2"/>
                <w:sz w:val="21"/>
                <w:szCs w:val="21"/>
              </w:rPr>
              <w:t>VI</w:t>
            </w:r>
            <w:r>
              <w:rPr>
                <w:b/>
                <w:bCs/>
                <w:kern w:val="2"/>
                <w:sz w:val="21"/>
                <w:szCs w:val="21"/>
              </w:rPr>
              <w:t>、</w:t>
            </w:r>
            <w:r>
              <w:rPr>
                <w:b/>
                <w:bCs/>
                <w:kern w:val="2"/>
                <w:sz w:val="21"/>
                <w:szCs w:val="21"/>
              </w:rPr>
              <w:t>VI+</w:t>
            </w:r>
          </w:p>
        </w:tc>
        <w:tc>
          <w:tcPr>
            <w:tcW w:w="955" w:type="pct"/>
            <w:vAlign w:val="center"/>
          </w:tcPr>
          <w:p w14:paraId="20B98E14" w14:textId="77777777" w:rsidR="003E78AB" w:rsidRDefault="00010BF9">
            <w:pPr>
              <w:spacing w:line="360" w:lineRule="exact"/>
              <w:ind w:firstLineChars="0" w:firstLine="0"/>
              <w:jc w:val="center"/>
              <w:rPr>
                <w:b/>
                <w:bCs/>
                <w:kern w:val="2"/>
                <w:sz w:val="21"/>
                <w:szCs w:val="21"/>
              </w:rPr>
            </w:pPr>
            <w:r>
              <w:rPr>
                <w:b/>
                <w:bCs/>
                <w:kern w:val="2"/>
                <w:sz w:val="21"/>
                <w:szCs w:val="21"/>
              </w:rPr>
              <w:t>Ⅲ</w:t>
            </w:r>
          </w:p>
        </w:tc>
        <w:tc>
          <w:tcPr>
            <w:tcW w:w="955" w:type="pct"/>
            <w:vAlign w:val="center"/>
          </w:tcPr>
          <w:p w14:paraId="098C6152" w14:textId="77777777" w:rsidR="003E78AB" w:rsidRDefault="00010BF9">
            <w:pPr>
              <w:spacing w:line="360" w:lineRule="exact"/>
              <w:ind w:firstLineChars="0" w:firstLine="0"/>
              <w:jc w:val="center"/>
              <w:rPr>
                <w:b/>
                <w:bCs/>
                <w:kern w:val="2"/>
                <w:sz w:val="21"/>
                <w:szCs w:val="21"/>
              </w:rPr>
            </w:pPr>
            <w:r>
              <w:rPr>
                <w:b/>
                <w:bCs/>
                <w:kern w:val="2"/>
                <w:sz w:val="21"/>
                <w:szCs w:val="21"/>
              </w:rPr>
              <w:t>Ⅱ</w:t>
            </w:r>
          </w:p>
        </w:tc>
        <w:tc>
          <w:tcPr>
            <w:tcW w:w="955" w:type="pct"/>
            <w:vAlign w:val="center"/>
          </w:tcPr>
          <w:p w14:paraId="697E4846" w14:textId="77777777" w:rsidR="003E78AB" w:rsidRDefault="00010BF9">
            <w:pPr>
              <w:spacing w:line="360" w:lineRule="exact"/>
              <w:ind w:firstLineChars="0" w:firstLine="0"/>
              <w:jc w:val="center"/>
              <w:rPr>
                <w:b/>
                <w:bCs/>
                <w:kern w:val="2"/>
                <w:sz w:val="21"/>
                <w:szCs w:val="21"/>
              </w:rPr>
            </w:pPr>
            <w:r>
              <w:rPr>
                <w:b/>
                <w:bCs/>
                <w:kern w:val="2"/>
                <w:sz w:val="21"/>
                <w:szCs w:val="21"/>
              </w:rPr>
              <w:t>Ⅰ</w:t>
            </w:r>
          </w:p>
        </w:tc>
      </w:tr>
      <w:tr w:rsidR="003E78AB" w14:paraId="4FB9419B" w14:textId="77777777">
        <w:trPr>
          <w:trHeight w:val="340"/>
          <w:jc w:val="center"/>
        </w:trPr>
        <w:tc>
          <w:tcPr>
            <w:tcW w:w="1177" w:type="pct"/>
            <w:vAlign w:val="center"/>
          </w:tcPr>
          <w:p w14:paraId="351FD9D2" w14:textId="77777777" w:rsidR="003E78AB" w:rsidRDefault="00010BF9">
            <w:pPr>
              <w:spacing w:line="360" w:lineRule="exact"/>
              <w:ind w:firstLineChars="0" w:firstLine="0"/>
              <w:jc w:val="center"/>
              <w:rPr>
                <w:kern w:val="2"/>
                <w:sz w:val="21"/>
                <w:szCs w:val="21"/>
              </w:rPr>
            </w:pPr>
            <w:r>
              <w:rPr>
                <w:kern w:val="2"/>
                <w:sz w:val="21"/>
                <w:szCs w:val="21"/>
              </w:rPr>
              <w:t>环境风险评价等级</w:t>
            </w:r>
          </w:p>
        </w:tc>
        <w:tc>
          <w:tcPr>
            <w:tcW w:w="955" w:type="pct"/>
            <w:vAlign w:val="center"/>
          </w:tcPr>
          <w:p w14:paraId="21F414D9" w14:textId="77777777" w:rsidR="003E78AB" w:rsidRDefault="00010BF9">
            <w:pPr>
              <w:spacing w:line="360" w:lineRule="exact"/>
              <w:ind w:firstLineChars="0" w:firstLine="0"/>
              <w:jc w:val="center"/>
              <w:rPr>
                <w:kern w:val="2"/>
                <w:sz w:val="21"/>
                <w:szCs w:val="21"/>
              </w:rPr>
            </w:pPr>
            <w:r>
              <w:rPr>
                <w:kern w:val="2"/>
                <w:sz w:val="21"/>
                <w:szCs w:val="21"/>
              </w:rPr>
              <w:t>一</w:t>
            </w:r>
          </w:p>
        </w:tc>
        <w:tc>
          <w:tcPr>
            <w:tcW w:w="955" w:type="pct"/>
            <w:vAlign w:val="center"/>
          </w:tcPr>
          <w:p w14:paraId="2BD08E38" w14:textId="77777777" w:rsidR="003E78AB" w:rsidRDefault="00010BF9">
            <w:pPr>
              <w:spacing w:line="360" w:lineRule="exact"/>
              <w:ind w:firstLineChars="0" w:firstLine="0"/>
              <w:jc w:val="center"/>
              <w:rPr>
                <w:kern w:val="2"/>
                <w:sz w:val="21"/>
                <w:szCs w:val="21"/>
              </w:rPr>
            </w:pPr>
            <w:r>
              <w:rPr>
                <w:kern w:val="2"/>
                <w:sz w:val="21"/>
                <w:szCs w:val="21"/>
              </w:rPr>
              <w:t>二</w:t>
            </w:r>
          </w:p>
        </w:tc>
        <w:tc>
          <w:tcPr>
            <w:tcW w:w="955" w:type="pct"/>
            <w:vAlign w:val="center"/>
          </w:tcPr>
          <w:p w14:paraId="7AECB575" w14:textId="77777777" w:rsidR="003E78AB" w:rsidRDefault="00010BF9">
            <w:pPr>
              <w:spacing w:line="360" w:lineRule="exact"/>
              <w:ind w:firstLineChars="0" w:firstLine="0"/>
              <w:jc w:val="center"/>
              <w:rPr>
                <w:kern w:val="2"/>
                <w:sz w:val="21"/>
                <w:szCs w:val="21"/>
              </w:rPr>
            </w:pPr>
            <w:r>
              <w:rPr>
                <w:kern w:val="2"/>
                <w:sz w:val="21"/>
                <w:szCs w:val="21"/>
              </w:rPr>
              <w:t>三</w:t>
            </w:r>
          </w:p>
        </w:tc>
        <w:tc>
          <w:tcPr>
            <w:tcW w:w="955" w:type="pct"/>
            <w:vAlign w:val="center"/>
          </w:tcPr>
          <w:p w14:paraId="65FA55C5" w14:textId="77777777" w:rsidR="003E78AB" w:rsidRDefault="00010BF9">
            <w:pPr>
              <w:spacing w:line="360" w:lineRule="exact"/>
              <w:ind w:firstLineChars="0" w:firstLine="0"/>
              <w:jc w:val="center"/>
              <w:rPr>
                <w:kern w:val="2"/>
                <w:sz w:val="21"/>
                <w:szCs w:val="21"/>
              </w:rPr>
            </w:pPr>
            <w:r>
              <w:rPr>
                <w:kern w:val="2"/>
                <w:sz w:val="21"/>
                <w:szCs w:val="21"/>
              </w:rPr>
              <w:t>简单分析</w:t>
            </w:r>
            <w:r>
              <w:rPr>
                <w:kern w:val="2"/>
                <w:sz w:val="21"/>
                <w:szCs w:val="21"/>
                <w:vertAlign w:val="superscript"/>
              </w:rPr>
              <w:t>a</w:t>
            </w:r>
          </w:p>
        </w:tc>
      </w:tr>
      <w:tr w:rsidR="003E78AB" w14:paraId="2CD384C8" w14:textId="77777777">
        <w:tblPrEx>
          <w:tblCellMar>
            <w:left w:w="108" w:type="dxa"/>
            <w:right w:w="108" w:type="dxa"/>
          </w:tblCellMar>
        </w:tblPrEx>
        <w:trPr>
          <w:trHeight w:val="340"/>
          <w:jc w:val="center"/>
        </w:trPr>
        <w:tc>
          <w:tcPr>
            <w:tcW w:w="5000" w:type="pct"/>
            <w:gridSpan w:val="5"/>
            <w:vAlign w:val="center"/>
          </w:tcPr>
          <w:p w14:paraId="1116A563" w14:textId="77777777" w:rsidR="003E78AB" w:rsidRDefault="00010BF9">
            <w:pPr>
              <w:spacing w:line="360" w:lineRule="exact"/>
              <w:ind w:firstLineChars="0" w:firstLine="0"/>
              <w:jc w:val="left"/>
              <w:textAlignment w:val="baseline"/>
              <w:rPr>
                <w:kern w:val="2"/>
                <w:sz w:val="21"/>
                <w:szCs w:val="21"/>
              </w:rPr>
            </w:pPr>
            <w:r>
              <w:rPr>
                <w:kern w:val="2"/>
                <w:sz w:val="21"/>
                <w:szCs w:val="21"/>
                <w:vertAlign w:val="superscript"/>
              </w:rPr>
              <w:t>a</w:t>
            </w:r>
            <w:r>
              <w:rPr>
                <w:kern w:val="2"/>
                <w:sz w:val="21"/>
                <w:szCs w:val="21"/>
              </w:rPr>
              <w:t>是相对于详细评价工作内容而言，在描述危险物质、环境影响途径、环境危害后果、风险防范措施等方面给出定性的说明。</w:t>
            </w:r>
          </w:p>
        </w:tc>
      </w:tr>
    </w:tbl>
    <w:p w14:paraId="4999C0E0" w14:textId="77777777" w:rsidR="003E78AB" w:rsidRDefault="00010BF9">
      <w:pPr>
        <w:ind w:firstLine="480"/>
        <w:contextualSpacing/>
        <w:rPr>
          <w:kern w:val="2"/>
        </w:rPr>
      </w:pPr>
      <w:r>
        <w:rPr>
          <w:kern w:val="2"/>
        </w:rPr>
        <w:t>由上表可知，</w:t>
      </w:r>
      <w:r>
        <w:rPr>
          <w:bCs/>
          <w:kern w:val="2"/>
        </w:rPr>
        <w:t>本项目大气、地下水环境风险评价等级均为二级。</w:t>
      </w:r>
    </w:p>
    <w:p w14:paraId="2A893182" w14:textId="77777777" w:rsidR="003E78AB" w:rsidRDefault="00010BF9">
      <w:pPr>
        <w:pStyle w:val="24"/>
        <w:keepNext w:val="0"/>
        <w:keepLines w:val="0"/>
        <w:topLinePunct/>
        <w:spacing w:before="156"/>
        <w:rPr>
          <w:rFonts w:cs="Times New Roman"/>
          <w:b w:val="0"/>
        </w:rPr>
      </w:pPr>
      <w:bookmarkStart w:id="127" w:name="_Toc25013"/>
      <w:bookmarkStart w:id="128" w:name="_Toc13468"/>
      <w:bookmarkStart w:id="129" w:name="_Toc28437"/>
      <w:bookmarkStart w:id="130" w:name="_Toc12119"/>
      <w:bookmarkEnd w:id="115"/>
      <w:r>
        <w:rPr>
          <w:rFonts w:cs="Times New Roman"/>
          <w:b w:val="0"/>
        </w:rPr>
        <w:t>2.5</w:t>
      </w:r>
      <w:r>
        <w:rPr>
          <w:rFonts w:cs="Times New Roman"/>
          <w:b w:val="0"/>
        </w:rPr>
        <w:t>环境影响评价范围的确定</w:t>
      </w:r>
      <w:bookmarkEnd w:id="127"/>
      <w:bookmarkEnd w:id="128"/>
      <w:bookmarkEnd w:id="129"/>
      <w:bookmarkEnd w:id="130"/>
    </w:p>
    <w:p w14:paraId="6C3D23C9" w14:textId="77777777" w:rsidR="003E78AB" w:rsidRDefault="00010BF9">
      <w:pPr>
        <w:spacing w:line="360" w:lineRule="auto"/>
        <w:ind w:firstLineChars="0" w:firstLine="0"/>
        <w:outlineLvl w:val="2"/>
        <w:rPr>
          <w:kern w:val="2"/>
          <w:sz w:val="28"/>
          <w:szCs w:val="20"/>
        </w:rPr>
      </w:pPr>
      <w:r>
        <w:rPr>
          <w:kern w:val="2"/>
          <w:sz w:val="28"/>
          <w:szCs w:val="20"/>
        </w:rPr>
        <w:t>2.5.1</w:t>
      </w:r>
      <w:r>
        <w:rPr>
          <w:kern w:val="2"/>
          <w:sz w:val="28"/>
          <w:szCs w:val="20"/>
        </w:rPr>
        <w:t>大气环境影响评价范围的确定</w:t>
      </w:r>
    </w:p>
    <w:p w14:paraId="0092D4E1" w14:textId="77777777" w:rsidR="003E78AB" w:rsidRDefault="00010BF9">
      <w:pPr>
        <w:ind w:firstLine="480"/>
        <w:contextualSpacing/>
        <w:rPr>
          <w:kern w:val="2"/>
        </w:rPr>
      </w:pPr>
      <w:r>
        <w:rPr>
          <w:bCs/>
          <w:kern w:val="2"/>
        </w:rPr>
        <w:t>根据《环境影响评价技术导则</w:t>
      </w:r>
      <w:r>
        <w:rPr>
          <w:bCs/>
          <w:kern w:val="2"/>
        </w:rPr>
        <w:t xml:space="preserve"> </w:t>
      </w:r>
      <w:r>
        <w:rPr>
          <w:bCs/>
          <w:kern w:val="2"/>
        </w:rPr>
        <w:t>大气环境》（</w:t>
      </w:r>
      <w:r>
        <w:rPr>
          <w:bCs/>
          <w:kern w:val="2"/>
        </w:rPr>
        <w:t>HJ2.2-2018</w:t>
      </w:r>
      <w:r>
        <w:rPr>
          <w:bCs/>
          <w:kern w:val="2"/>
        </w:rPr>
        <w:t>），</w:t>
      </w:r>
      <w:r>
        <w:rPr>
          <w:rFonts w:hint="eastAsia"/>
          <w:bCs/>
          <w:kern w:val="2"/>
        </w:rPr>
        <w:t>一级评价项目根据建设项目排放污染物的最远影响距离（</w:t>
      </w:r>
      <w:r>
        <w:rPr>
          <w:rFonts w:hint="eastAsia"/>
          <w:bCs/>
          <w:kern w:val="2"/>
        </w:rPr>
        <w:t>D10%</w:t>
      </w:r>
      <w:r>
        <w:rPr>
          <w:rFonts w:hint="eastAsia"/>
          <w:bCs/>
          <w:kern w:val="2"/>
        </w:rPr>
        <w:t>）确定大气环境影响评价范围。即以项目厂址为中心区域，自厂界外延</w:t>
      </w:r>
      <w:r>
        <w:rPr>
          <w:rFonts w:hint="eastAsia"/>
          <w:bCs/>
          <w:kern w:val="2"/>
        </w:rPr>
        <w:t>D10%</w:t>
      </w:r>
      <w:r>
        <w:rPr>
          <w:rFonts w:hint="eastAsia"/>
          <w:bCs/>
          <w:kern w:val="2"/>
        </w:rPr>
        <w:t>的矩形区域作为大气环境影响评价范围。当</w:t>
      </w:r>
      <w:r>
        <w:rPr>
          <w:rFonts w:hint="eastAsia"/>
          <w:bCs/>
          <w:kern w:val="2"/>
        </w:rPr>
        <w:t>D10%</w:t>
      </w:r>
      <w:r>
        <w:rPr>
          <w:rFonts w:hint="eastAsia"/>
          <w:bCs/>
          <w:kern w:val="2"/>
        </w:rPr>
        <w:t>超过</w:t>
      </w:r>
      <w:r>
        <w:rPr>
          <w:rFonts w:hint="eastAsia"/>
          <w:bCs/>
          <w:kern w:val="2"/>
        </w:rPr>
        <w:t>25km</w:t>
      </w:r>
      <w:r>
        <w:rPr>
          <w:rFonts w:hint="eastAsia"/>
          <w:bCs/>
          <w:kern w:val="2"/>
        </w:rPr>
        <w:t>时，确定评价范围为边长</w:t>
      </w:r>
      <w:r>
        <w:rPr>
          <w:rFonts w:hint="eastAsia"/>
          <w:bCs/>
          <w:kern w:val="2"/>
        </w:rPr>
        <w:t>50km</w:t>
      </w:r>
      <w:r>
        <w:rPr>
          <w:rFonts w:hint="eastAsia"/>
          <w:bCs/>
          <w:kern w:val="2"/>
        </w:rPr>
        <w:t>的矩形区域；当</w:t>
      </w:r>
      <w:r>
        <w:rPr>
          <w:rFonts w:hint="eastAsia"/>
          <w:bCs/>
          <w:kern w:val="2"/>
        </w:rPr>
        <w:t>D10%</w:t>
      </w:r>
      <w:r>
        <w:rPr>
          <w:rFonts w:hint="eastAsia"/>
          <w:bCs/>
          <w:kern w:val="2"/>
        </w:rPr>
        <w:t>小于</w:t>
      </w:r>
      <w:r>
        <w:rPr>
          <w:rFonts w:hint="eastAsia"/>
          <w:bCs/>
          <w:kern w:val="2"/>
        </w:rPr>
        <w:t>2.5km</w:t>
      </w:r>
      <w:r>
        <w:rPr>
          <w:rFonts w:hint="eastAsia"/>
          <w:bCs/>
          <w:kern w:val="2"/>
        </w:rPr>
        <w:t>时，评价范围边长取</w:t>
      </w:r>
      <w:r>
        <w:rPr>
          <w:rFonts w:hint="eastAsia"/>
          <w:bCs/>
          <w:kern w:val="2"/>
        </w:rPr>
        <w:t>5km</w:t>
      </w:r>
      <w:r>
        <w:rPr>
          <w:rFonts w:hint="eastAsia"/>
          <w:bCs/>
          <w:kern w:val="2"/>
        </w:rPr>
        <w:t>。本项目</w:t>
      </w:r>
      <w:r>
        <w:rPr>
          <w:rFonts w:hint="eastAsia"/>
          <w:bCs/>
          <w:kern w:val="2"/>
        </w:rPr>
        <w:t>D10%=61m</w:t>
      </w:r>
      <w:r>
        <w:rPr>
          <w:rFonts w:hint="eastAsia"/>
          <w:bCs/>
          <w:kern w:val="2"/>
        </w:rPr>
        <w:t>＜</w:t>
      </w:r>
      <w:r>
        <w:rPr>
          <w:rFonts w:hint="eastAsia"/>
          <w:bCs/>
          <w:kern w:val="2"/>
        </w:rPr>
        <w:t>2.5km</w:t>
      </w:r>
      <w:r>
        <w:rPr>
          <w:rFonts w:hint="eastAsia"/>
          <w:bCs/>
          <w:kern w:val="2"/>
        </w:rPr>
        <w:t>，评价范围边长取</w:t>
      </w:r>
      <w:r>
        <w:rPr>
          <w:rFonts w:hint="eastAsia"/>
          <w:bCs/>
          <w:kern w:val="2"/>
        </w:rPr>
        <w:t>5km</w:t>
      </w:r>
      <w:r>
        <w:rPr>
          <w:rFonts w:hint="eastAsia"/>
          <w:bCs/>
          <w:kern w:val="2"/>
        </w:rPr>
        <w:t>，故确定本项目评价范围为：以项目厂区为中心区域，边长为</w:t>
      </w:r>
      <w:r>
        <w:rPr>
          <w:rFonts w:hint="eastAsia"/>
          <w:bCs/>
          <w:kern w:val="2"/>
        </w:rPr>
        <w:t>5km</w:t>
      </w:r>
      <w:r>
        <w:rPr>
          <w:rFonts w:hint="eastAsia"/>
          <w:bCs/>
          <w:kern w:val="2"/>
        </w:rPr>
        <w:t>×</w:t>
      </w:r>
      <w:r>
        <w:rPr>
          <w:rFonts w:hint="eastAsia"/>
          <w:bCs/>
          <w:kern w:val="2"/>
        </w:rPr>
        <w:t>5km</w:t>
      </w:r>
      <w:r>
        <w:rPr>
          <w:rFonts w:hint="eastAsia"/>
          <w:bCs/>
          <w:kern w:val="2"/>
        </w:rPr>
        <w:t>的正方形。</w:t>
      </w:r>
    </w:p>
    <w:p w14:paraId="1BFD5CC9" w14:textId="77777777" w:rsidR="003E78AB" w:rsidRDefault="00010BF9">
      <w:pPr>
        <w:spacing w:line="360" w:lineRule="auto"/>
        <w:ind w:firstLineChars="0" w:firstLine="0"/>
        <w:outlineLvl w:val="2"/>
        <w:rPr>
          <w:kern w:val="2"/>
          <w:sz w:val="28"/>
          <w:szCs w:val="20"/>
        </w:rPr>
      </w:pPr>
      <w:r>
        <w:rPr>
          <w:kern w:val="2"/>
          <w:sz w:val="28"/>
          <w:szCs w:val="20"/>
        </w:rPr>
        <w:t>2.5.2</w:t>
      </w:r>
      <w:r>
        <w:rPr>
          <w:kern w:val="2"/>
          <w:sz w:val="28"/>
          <w:szCs w:val="20"/>
        </w:rPr>
        <w:t>地下水环境影响评价范围的确定</w:t>
      </w:r>
    </w:p>
    <w:p w14:paraId="61DD4277" w14:textId="77777777" w:rsidR="003E78AB" w:rsidRDefault="00010BF9">
      <w:pPr>
        <w:ind w:firstLine="480"/>
        <w:rPr>
          <w:kern w:val="2"/>
        </w:rPr>
      </w:pPr>
      <w:r>
        <w:rPr>
          <w:kern w:val="2"/>
        </w:rPr>
        <w:t>依据项目区域水文地质资料可知，本项目区域内地下水整体流向为</w:t>
      </w:r>
      <w:r>
        <w:rPr>
          <w:kern w:val="2"/>
        </w:rPr>
        <w:t>东北方向向西南方向流动。根据《环境影响评价技术导则</w:t>
      </w:r>
      <w:r>
        <w:rPr>
          <w:kern w:val="2"/>
        </w:rPr>
        <w:t xml:space="preserve"> </w:t>
      </w:r>
      <w:r>
        <w:rPr>
          <w:kern w:val="2"/>
        </w:rPr>
        <w:t>地下水环境》（</w:t>
      </w:r>
      <w:r>
        <w:rPr>
          <w:kern w:val="2"/>
        </w:rPr>
        <w:t>HJ610-2016</w:t>
      </w:r>
      <w:r>
        <w:rPr>
          <w:kern w:val="2"/>
        </w:rPr>
        <w:t>）要求，结合区域地下水的补径排条件调查，本项目地下水环境影响评价等级为二级。本次建设项目地下水环境影响评价范围采用公式计算法并结合查表法确定，地下水环境调查评价范围参照见</w:t>
      </w:r>
      <w:r>
        <w:rPr>
          <w:kern w:val="2"/>
        </w:rPr>
        <w:fldChar w:fldCharType="begin"/>
      </w:r>
      <w:r>
        <w:rPr>
          <w:kern w:val="2"/>
        </w:rPr>
        <w:instrText xml:space="preserve"> REF _Ref7637 \r \h </w:instrText>
      </w:r>
      <w:r>
        <w:rPr>
          <w:kern w:val="2"/>
        </w:rPr>
      </w:r>
      <w:r>
        <w:rPr>
          <w:kern w:val="2"/>
        </w:rPr>
        <w:fldChar w:fldCharType="separate"/>
      </w:r>
      <w:r>
        <w:rPr>
          <w:kern w:val="2"/>
        </w:rPr>
        <w:t>表</w:t>
      </w:r>
      <w:r>
        <w:rPr>
          <w:kern w:val="2"/>
        </w:rPr>
        <w:t>2-26</w:t>
      </w:r>
      <w:r>
        <w:rPr>
          <w:kern w:val="2"/>
        </w:rPr>
        <w:fldChar w:fldCharType="end"/>
      </w:r>
      <w:r>
        <w:rPr>
          <w:kern w:val="2"/>
        </w:rPr>
        <w:t>，计算公式如下：</w:t>
      </w:r>
    </w:p>
    <w:p w14:paraId="004BC476" w14:textId="77777777" w:rsidR="003E78AB" w:rsidRDefault="00010BF9">
      <w:pPr>
        <w:ind w:firstLine="480"/>
        <w:jc w:val="center"/>
        <w:rPr>
          <w:kern w:val="2"/>
        </w:rPr>
      </w:pPr>
      <w:r>
        <w:rPr>
          <w:kern w:val="2"/>
        </w:rPr>
        <w:t>L=α·K·I·T/ne</w:t>
      </w:r>
    </w:p>
    <w:p w14:paraId="75BC89FA" w14:textId="77777777" w:rsidR="003E78AB" w:rsidRDefault="00010BF9">
      <w:pPr>
        <w:ind w:firstLine="480"/>
        <w:rPr>
          <w:kern w:val="2"/>
        </w:rPr>
      </w:pPr>
      <w:r>
        <w:rPr>
          <w:kern w:val="2"/>
        </w:rPr>
        <w:t>其中：</w:t>
      </w:r>
      <w:r>
        <w:rPr>
          <w:kern w:val="2"/>
        </w:rPr>
        <w:t>L——</w:t>
      </w:r>
      <w:r>
        <w:rPr>
          <w:kern w:val="2"/>
        </w:rPr>
        <w:t>下游迁移距离（米）；</w:t>
      </w:r>
    </w:p>
    <w:p w14:paraId="5D0634FB" w14:textId="77777777" w:rsidR="003E78AB" w:rsidRDefault="00010BF9">
      <w:pPr>
        <w:ind w:firstLine="480"/>
        <w:rPr>
          <w:kern w:val="2"/>
        </w:rPr>
      </w:pPr>
      <w:r>
        <w:rPr>
          <w:kern w:val="2"/>
        </w:rPr>
        <w:t>α—</w:t>
      </w:r>
      <w:r>
        <w:rPr>
          <w:kern w:val="2"/>
        </w:rPr>
        <w:t>—</w:t>
      </w:r>
      <w:r>
        <w:rPr>
          <w:kern w:val="2"/>
        </w:rPr>
        <w:t>变化系数，一般取</w:t>
      </w:r>
      <w:r>
        <w:rPr>
          <w:kern w:val="2"/>
        </w:rPr>
        <w:t>2</w:t>
      </w:r>
      <w:r>
        <w:rPr>
          <w:kern w:val="2"/>
        </w:rPr>
        <w:t>；</w:t>
      </w:r>
    </w:p>
    <w:p w14:paraId="522B5E78" w14:textId="77777777" w:rsidR="003E78AB" w:rsidRDefault="00010BF9">
      <w:pPr>
        <w:ind w:firstLine="480"/>
        <w:rPr>
          <w:kern w:val="2"/>
        </w:rPr>
      </w:pPr>
      <w:r>
        <w:rPr>
          <w:kern w:val="2"/>
        </w:rPr>
        <w:t>K——</w:t>
      </w:r>
      <w:r>
        <w:rPr>
          <w:kern w:val="2"/>
        </w:rPr>
        <w:t>渗透系数（</w:t>
      </w:r>
      <w:r>
        <w:rPr>
          <w:kern w:val="2"/>
        </w:rPr>
        <w:t>m/d</w:t>
      </w:r>
      <w:r>
        <w:rPr>
          <w:kern w:val="2"/>
        </w:rPr>
        <w:t>），依据水文地质资料，项目区域渗透系数</w:t>
      </w:r>
      <w:r>
        <w:rPr>
          <w:kern w:val="2"/>
        </w:rPr>
        <w:t>4~6m/d</w:t>
      </w:r>
      <w:r>
        <w:rPr>
          <w:kern w:val="2"/>
        </w:rPr>
        <w:t>，取最大值</w:t>
      </w:r>
      <w:r>
        <w:rPr>
          <w:kern w:val="2"/>
        </w:rPr>
        <w:t>6m/d</w:t>
      </w:r>
      <w:r>
        <w:rPr>
          <w:kern w:val="2"/>
        </w:rPr>
        <w:t>；</w:t>
      </w:r>
    </w:p>
    <w:p w14:paraId="64D400E7" w14:textId="77777777" w:rsidR="003E78AB" w:rsidRDefault="00010BF9">
      <w:pPr>
        <w:ind w:firstLine="480"/>
        <w:rPr>
          <w:kern w:val="2"/>
        </w:rPr>
      </w:pPr>
      <w:r>
        <w:rPr>
          <w:kern w:val="2"/>
        </w:rPr>
        <w:t>I——</w:t>
      </w:r>
      <w:r>
        <w:rPr>
          <w:kern w:val="2"/>
        </w:rPr>
        <w:t>水力坡度，依据水文地质资料取值</w:t>
      </w:r>
      <w:r>
        <w:rPr>
          <w:kern w:val="2"/>
        </w:rPr>
        <w:t>4‰</w:t>
      </w:r>
      <w:r>
        <w:rPr>
          <w:kern w:val="2"/>
        </w:rPr>
        <w:t>。</w:t>
      </w:r>
    </w:p>
    <w:p w14:paraId="3433798E" w14:textId="77777777" w:rsidR="003E78AB" w:rsidRDefault="00010BF9">
      <w:pPr>
        <w:ind w:firstLine="480"/>
        <w:rPr>
          <w:kern w:val="2"/>
        </w:rPr>
      </w:pPr>
      <w:r>
        <w:rPr>
          <w:kern w:val="2"/>
        </w:rPr>
        <w:t>T——</w:t>
      </w:r>
      <w:r>
        <w:rPr>
          <w:kern w:val="2"/>
        </w:rPr>
        <w:t>质点迁移天数，取值</w:t>
      </w:r>
      <w:r>
        <w:rPr>
          <w:kern w:val="2"/>
        </w:rPr>
        <w:t>5000d</w:t>
      </w:r>
      <w:r>
        <w:rPr>
          <w:kern w:val="2"/>
        </w:rPr>
        <w:t>；</w:t>
      </w:r>
    </w:p>
    <w:p w14:paraId="35CB1C0C" w14:textId="77777777" w:rsidR="003E78AB" w:rsidRDefault="00010BF9">
      <w:pPr>
        <w:ind w:firstLine="480"/>
        <w:rPr>
          <w:kern w:val="2"/>
        </w:rPr>
      </w:pPr>
      <w:r>
        <w:rPr>
          <w:kern w:val="2"/>
        </w:rPr>
        <w:t>n</w:t>
      </w:r>
      <w:r>
        <w:rPr>
          <w:kern w:val="2"/>
          <w:vertAlign w:val="subscript"/>
        </w:rPr>
        <w:t>e</w:t>
      </w:r>
      <w:r>
        <w:rPr>
          <w:kern w:val="2"/>
        </w:rPr>
        <w:t>——</w:t>
      </w:r>
      <w:r>
        <w:rPr>
          <w:kern w:val="2"/>
        </w:rPr>
        <w:t>有效孔隙度，依据水文地质资料取</w:t>
      </w:r>
      <w:r>
        <w:rPr>
          <w:kern w:val="2"/>
        </w:rPr>
        <w:t>0.25</w:t>
      </w:r>
      <w:r>
        <w:rPr>
          <w:kern w:val="2"/>
        </w:rPr>
        <w:t>。</w:t>
      </w:r>
    </w:p>
    <w:p w14:paraId="4BFFBB92" w14:textId="77777777" w:rsidR="003E78AB" w:rsidRDefault="00010BF9">
      <w:pPr>
        <w:ind w:firstLine="480"/>
        <w:rPr>
          <w:kern w:val="2"/>
        </w:rPr>
      </w:pPr>
      <w:r>
        <w:rPr>
          <w:kern w:val="2"/>
        </w:rPr>
        <w:t>经计算，质点下游迁移距离约为</w:t>
      </w:r>
      <w:r>
        <w:rPr>
          <w:kern w:val="2"/>
        </w:rPr>
        <w:t>960m</w:t>
      </w:r>
      <w:r>
        <w:rPr>
          <w:kern w:val="2"/>
        </w:rPr>
        <w:t>。</w:t>
      </w:r>
    </w:p>
    <w:p w14:paraId="2CCBA742" w14:textId="77777777" w:rsidR="003E78AB" w:rsidRDefault="00010BF9">
      <w:pPr>
        <w:pStyle w:val="a5"/>
      </w:pPr>
      <w:bookmarkStart w:id="131" w:name="_Ref7637"/>
      <w:r>
        <w:t>地下水环境调查评价范围参照</w:t>
      </w:r>
      <w:bookmarkEnd w:id="131"/>
    </w:p>
    <w:tbl>
      <w:tblPr>
        <w:tblW w:w="4999"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385"/>
        <w:gridCol w:w="4177"/>
        <w:gridCol w:w="2958"/>
      </w:tblGrid>
      <w:tr w:rsidR="003E78AB" w14:paraId="0096148E" w14:textId="77777777">
        <w:trPr>
          <w:trHeight w:val="256"/>
          <w:tblHeader/>
          <w:jc w:val="center"/>
        </w:trPr>
        <w:tc>
          <w:tcPr>
            <w:tcW w:w="812" w:type="pct"/>
            <w:vAlign w:val="center"/>
          </w:tcPr>
          <w:p w14:paraId="1BDC52F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评价等级</w:t>
            </w:r>
          </w:p>
        </w:tc>
        <w:tc>
          <w:tcPr>
            <w:tcW w:w="2451" w:type="pct"/>
            <w:vAlign w:val="center"/>
          </w:tcPr>
          <w:p w14:paraId="6E66915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调查评价面积（</w:t>
            </w:r>
            <w:r>
              <w:rPr>
                <w:rFonts w:ascii="Times New Roman" w:eastAsia="Times New Roman" w:hAnsi="Times New Roman" w:cs="Times New Roman"/>
                <w:b/>
                <w:bCs/>
                <w:sz w:val="21"/>
                <w:szCs w:val="21"/>
              </w:rPr>
              <w:t>km</w:t>
            </w:r>
            <w:r>
              <w:rPr>
                <w:rFonts w:ascii="Times New Roman" w:hAnsi="Times New Roman" w:cs="Times New Roman"/>
                <w:b/>
                <w:bCs/>
                <w:sz w:val="21"/>
                <w:szCs w:val="21"/>
                <w:vertAlign w:val="superscript"/>
              </w:rPr>
              <w:t>2</w:t>
            </w:r>
            <w:r>
              <w:rPr>
                <w:rFonts w:ascii="Times New Roman" w:hAnsi="Times New Roman" w:cs="Times New Roman"/>
                <w:b/>
                <w:bCs/>
                <w:sz w:val="21"/>
                <w:szCs w:val="21"/>
              </w:rPr>
              <w:t>）</w:t>
            </w:r>
          </w:p>
        </w:tc>
        <w:tc>
          <w:tcPr>
            <w:tcW w:w="1736" w:type="pct"/>
            <w:vAlign w:val="center"/>
          </w:tcPr>
          <w:p w14:paraId="6FE35DE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rsidR="003E78AB" w14:paraId="76A26BB9" w14:textId="77777777">
        <w:trPr>
          <w:trHeight w:val="340"/>
          <w:jc w:val="center"/>
        </w:trPr>
        <w:tc>
          <w:tcPr>
            <w:tcW w:w="812" w:type="pct"/>
            <w:vAlign w:val="center"/>
          </w:tcPr>
          <w:p w14:paraId="189F308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一级</w:t>
            </w:r>
          </w:p>
        </w:tc>
        <w:tc>
          <w:tcPr>
            <w:tcW w:w="2451" w:type="pct"/>
            <w:vAlign w:val="center"/>
          </w:tcPr>
          <w:p w14:paraId="2E15739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eastAsia="Times New Roman" w:hAnsi="Times New Roman" w:cs="Times New Roman"/>
                <w:sz w:val="21"/>
                <w:szCs w:val="21"/>
              </w:rPr>
              <w:t>≥20</w:t>
            </w:r>
          </w:p>
        </w:tc>
        <w:tc>
          <w:tcPr>
            <w:tcW w:w="1736" w:type="pct"/>
            <w:vMerge w:val="restart"/>
            <w:vAlign w:val="center"/>
          </w:tcPr>
          <w:p w14:paraId="07FFAD27" w14:textId="77777777" w:rsidR="003E78AB" w:rsidRDefault="00010BF9">
            <w:pPr>
              <w:pStyle w:val="TableParagraph"/>
              <w:topLinePunct/>
              <w:spacing w:before="0" w:beforeAutospacing="0" w:line="360" w:lineRule="exact"/>
              <w:ind w:firstLineChars="0" w:firstLine="0"/>
              <w:jc w:val="both"/>
              <w:rPr>
                <w:rFonts w:ascii="Times New Roman" w:hAnsi="Times New Roman" w:cs="Times New Roman"/>
                <w:sz w:val="21"/>
                <w:szCs w:val="21"/>
              </w:rPr>
            </w:pPr>
            <w:r>
              <w:rPr>
                <w:rFonts w:ascii="Times New Roman" w:hAnsi="Times New Roman" w:cs="Times New Roman"/>
                <w:sz w:val="21"/>
                <w:szCs w:val="21"/>
              </w:rPr>
              <w:t>应包括重要的地下水环境保护目标，必要时适当扩大范围</w:t>
            </w:r>
          </w:p>
        </w:tc>
      </w:tr>
      <w:tr w:rsidR="003E78AB" w14:paraId="484FFB9C" w14:textId="77777777">
        <w:trPr>
          <w:trHeight w:val="340"/>
          <w:jc w:val="center"/>
        </w:trPr>
        <w:tc>
          <w:tcPr>
            <w:tcW w:w="812" w:type="pct"/>
            <w:vAlign w:val="center"/>
          </w:tcPr>
          <w:p w14:paraId="500B8364"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二级</w:t>
            </w:r>
          </w:p>
        </w:tc>
        <w:tc>
          <w:tcPr>
            <w:tcW w:w="2451" w:type="pct"/>
            <w:vAlign w:val="center"/>
          </w:tcPr>
          <w:p w14:paraId="64BC7A34"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eastAsia="Times New Roman" w:hAnsi="Times New Roman" w:cs="Times New Roman"/>
                <w:sz w:val="21"/>
                <w:szCs w:val="21"/>
              </w:rPr>
              <w:t>6</w:t>
            </w:r>
            <w:r>
              <w:rPr>
                <w:rFonts w:ascii="Times New Roman" w:hAnsi="Times New Roman" w:cs="Times New Roman"/>
                <w:sz w:val="21"/>
                <w:szCs w:val="21"/>
              </w:rPr>
              <w:t>～</w:t>
            </w:r>
            <w:r>
              <w:rPr>
                <w:rFonts w:ascii="Times New Roman" w:eastAsia="Times New Roman" w:hAnsi="Times New Roman" w:cs="Times New Roman"/>
                <w:sz w:val="21"/>
                <w:szCs w:val="21"/>
              </w:rPr>
              <w:t>20</w:t>
            </w:r>
          </w:p>
        </w:tc>
        <w:tc>
          <w:tcPr>
            <w:tcW w:w="1736" w:type="pct"/>
            <w:vMerge/>
            <w:vAlign w:val="center"/>
          </w:tcPr>
          <w:p w14:paraId="2DA905CB" w14:textId="77777777" w:rsidR="003E78AB" w:rsidRDefault="003E78AB">
            <w:pPr>
              <w:pStyle w:val="TableParagraph"/>
              <w:topLinePunct/>
              <w:spacing w:beforeAutospacing="0" w:line="360" w:lineRule="exact"/>
              <w:ind w:firstLineChars="0" w:firstLine="0"/>
              <w:jc w:val="center"/>
              <w:rPr>
                <w:rFonts w:ascii="Times New Roman" w:hAnsi="Times New Roman" w:cs="Times New Roman"/>
                <w:sz w:val="21"/>
                <w:szCs w:val="21"/>
              </w:rPr>
            </w:pPr>
          </w:p>
        </w:tc>
      </w:tr>
      <w:tr w:rsidR="003E78AB" w14:paraId="3E5E3C52" w14:textId="77777777">
        <w:trPr>
          <w:trHeight w:val="340"/>
          <w:jc w:val="center"/>
        </w:trPr>
        <w:tc>
          <w:tcPr>
            <w:tcW w:w="812" w:type="pct"/>
            <w:vAlign w:val="center"/>
          </w:tcPr>
          <w:p w14:paraId="3F7478B9"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三级</w:t>
            </w:r>
          </w:p>
        </w:tc>
        <w:tc>
          <w:tcPr>
            <w:tcW w:w="2451" w:type="pct"/>
            <w:vAlign w:val="center"/>
          </w:tcPr>
          <w:p w14:paraId="72481E01"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eastAsia="Times New Roman" w:hAnsi="Times New Roman" w:cs="Times New Roman"/>
                <w:sz w:val="21"/>
                <w:szCs w:val="21"/>
              </w:rPr>
              <w:t>≤6</w:t>
            </w:r>
          </w:p>
        </w:tc>
        <w:tc>
          <w:tcPr>
            <w:tcW w:w="1736" w:type="pct"/>
            <w:vMerge/>
            <w:vAlign w:val="center"/>
          </w:tcPr>
          <w:p w14:paraId="53B41388" w14:textId="77777777" w:rsidR="003E78AB" w:rsidRDefault="003E78AB">
            <w:pPr>
              <w:pStyle w:val="TableParagraph"/>
              <w:topLinePunct/>
              <w:spacing w:beforeAutospacing="0" w:line="360" w:lineRule="exact"/>
              <w:ind w:firstLineChars="0" w:firstLine="0"/>
              <w:jc w:val="center"/>
              <w:rPr>
                <w:rFonts w:ascii="Times New Roman" w:hAnsi="Times New Roman" w:cs="Times New Roman"/>
                <w:sz w:val="21"/>
                <w:szCs w:val="21"/>
              </w:rPr>
            </w:pPr>
          </w:p>
        </w:tc>
      </w:tr>
    </w:tbl>
    <w:p w14:paraId="403CEF8E" w14:textId="77777777" w:rsidR="003E78AB" w:rsidRDefault="00010BF9">
      <w:pPr>
        <w:ind w:firstLine="480"/>
        <w:rPr>
          <w:kern w:val="2"/>
        </w:rPr>
      </w:pPr>
      <w:r>
        <w:rPr>
          <w:kern w:val="2"/>
        </w:rPr>
        <w:t>本次环评结合公式法、查表法及项目所处的环境条件，所确定地下水调查评价范围为：场地东北侧</w:t>
      </w:r>
      <w:r>
        <w:rPr>
          <w:kern w:val="2"/>
        </w:rPr>
        <w:t>1km</w:t>
      </w:r>
      <w:r>
        <w:rPr>
          <w:kern w:val="2"/>
        </w:rPr>
        <w:t>处为地下水调查评价范围的上游边界；场地西南侧</w:t>
      </w:r>
      <w:r>
        <w:rPr>
          <w:kern w:val="2"/>
        </w:rPr>
        <w:t>3km</w:t>
      </w:r>
      <w:r>
        <w:rPr>
          <w:kern w:val="2"/>
        </w:rPr>
        <w:t>处</w:t>
      </w:r>
      <w:r>
        <w:rPr>
          <w:rFonts w:hint="eastAsia"/>
          <w:kern w:val="2"/>
        </w:rPr>
        <w:t>为</w:t>
      </w:r>
      <w:r>
        <w:rPr>
          <w:kern w:val="2"/>
        </w:rPr>
        <w:t>地下水调查评价范围的下游边界；西北、东南侧</w:t>
      </w:r>
      <w:r>
        <w:rPr>
          <w:kern w:val="2"/>
        </w:rPr>
        <w:t>1km</w:t>
      </w:r>
      <w:r>
        <w:rPr>
          <w:kern w:val="2"/>
        </w:rPr>
        <w:t>处为地下水调查评价范围的侧游边界，评价范围</w:t>
      </w:r>
      <w:r>
        <w:rPr>
          <w:kern w:val="2"/>
        </w:rPr>
        <w:t>8km</w:t>
      </w:r>
      <w:r>
        <w:rPr>
          <w:kern w:val="2"/>
          <w:vertAlign w:val="superscript"/>
        </w:rPr>
        <w:t>2</w:t>
      </w:r>
      <w:r>
        <w:rPr>
          <w:kern w:val="2"/>
        </w:rPr>
        <w:t>。</w:t>
      </w:r>
    </w:p>
    <w:p w14:paraId="7CBEE549" w14:textId="77777777" w:rsidR="003E78AB" w:rsidRDefault="00010BF9">
      <w:pPr>
        <w:spacing w:line="360" w:lineRule="auto"/>
        <w:ind w:firstLineChars="0" w:firstLine="0"/>
        <w:outlineLvl w:val="2"/>
        <w:rPr>
          <w:b/>
          <w:kern w:val="2"/>
          <w:sz w:val="28"/>
          <w:szCs w:val="20"/>
        </w:rPr>
      </w:pPr>
      <w:r>
        <w:rPr>
          <w:b/>
          <w:kern w:val="2"/>
          <w:sz w:val="28"/>
          <w:szCs w:val="20"/>
        </w:rPr>
        <w:t>2.5.3</w:t>
      </w:r>
      <w:r>
        <w:rPr>
          <w:b/>
          <w:kern w:val="2"/>
          <w:sz w:val="28"/>
          <w:szCs w:val="20"/>
        </w:rPr>
        <w:t>声环境影响评价范围的确定</w:t>
      </w:r>
    </w:p>
    <w:p w14:paraId="426F2565" w14:textId="77777777" w:rsidR="003E78AB" w:rsidRDefault="00010BF9">
      <w:pPr>
        <w:ind w:firstLine="480"/>
        <w:rPr>
          <w:kern w:val="2"/>
          <w:lang w:val="zh-CN"/>
        </w:rPr>
      </w:pPr>
      <w:r>
        <w:rPr>
          <w:kern w:val="2"/>
          <w:lang w:val="zh-CN"/>
        </w:rPr>
        <w:t>根据评价区域周围环境特点及厂区噪声源分布，确定噪声环境影响评价范围为项目区场界外</w:t>
      </w:r>
      <w:r>
        <w:rPr>
          <w:kern w:val="2"/>
          <w:lang w:val="zh-CN"/>
        </w:rPr>
        <w:t>0.2km</w:t>
      </w:r>
      <w:r>
        <w:rPr>
          <w:kern w:val="2"/>
          <w:lang w:val="zh-CN"/>
        </w:rPr>
        <w:t>范围内。</w:t>
      </w:r>
    </w:p>
    <w:p w14:paraId="3CFA618B" w14:textId="77777777" w:rsidR="003E78AB" w:rsidRDefault="00010BF9">
      <w:pPr>
        <w:spacing w:line="360" w:lineRule="auto"/>
        <w:ind w:firstLineChars="0" w:firstLine="0"/>
        <w:outlineLvl w:val="2"/>
        <w:rPr>
          <w:b/>
          <w:kern w:val="2"/>
          <w:sz w:val="28"/>
          <w:szCs w:val="20"/>
        </w:rPr>
      </w:pPr>
      <w:r>
        <w:rPr>
          <w:b/>
          <w:kern w:val="2"/>
          <w:sz w:val="28"/>
          <w:szCs w:val="20"/>
        </w:rPr>
        <w:t>2.5.4</w:t>
      </w:r>
      <w:r>
        <w:rPr>
          <w:b/>
          <w:kern w:val="2"/>
          <w:sz w:val="28"/>
          <w:szCs w:val="20"/>
        </w:rPr>
        <w:t>生态影响评价范围的确定</w:t>
      </w:r>
    </w:p>
    <w:p w14:paraId="6C7CE0C5" w14:textId="77777777" w:rsidR="003E78AB" w:rsidRDefault="00010BF9">
      <w:pPr>
        <w:ind w:firstLine="480"/>
        <w:rPr>
          <w:kern w:val="2"/>
          <w:lang w:val="zh-CN"/>
        </w:rPr>
      </w:pPr>
      <w:r>
        <w:rPr>
          <w:kern w:val="2"/>
          <w:lang w:val="zh-CN"/>
        </w:rPr>
        <w:t>根据评价区域周围生态环境分布情况，确定本次生态评价范围为厂址及厂界外</w:t>
      </w:r>
      <w:r>
        <w:rPr>
          <w:kern w:val="2"/>
          <w:lang w:val="zh-CN"/>
        </w:rPr>
        <w:t>0.5km</w:t>
      </w:r>
      <w:r>
        <w:rPr>
          <w:kern w:val="2"/>
          <w:lang w:val="zh-CN"/>
        </w:rPr>
        <w:t>范围。</w:t>
      </w:r>
    </w:p>
    <w:p w14:paraId="0DC7C627" w14:textId="77777777" w:rsidR="003E78AB" w:rsidRDefault="00010BF9">
      <w:pPr>
        <w:spacing w:line="360" w:lineRule="auto"/>
        <w:ind w:firstLineChars="0" w:firstLine="0"/>
        <w:outlineLvl w:val="2"/>
        <w:rPr>
          <w:b/>
          <w:kern w:val="2"/>
          <w:sz w:val="28"/>
          <w:szCs w:val="20"/>
        </w:rPr>
      </w:pPr>
      <w:r>
        <w:rPr>
          <w:b/>
          <w:kern w:val="2"/>
          <w:sz w:val="28"/>
          <w:szCs w:val="20"/>
        </w:rPr>
        <w:t>2.5.5</w:t>
      </w:r>
      <w:r>
        <w:rPr>
          <w:b/>
          <w:kern w:val="2"/>
          <w:sz w:val="28"/>
          <w:szCs w:val="20"/>
        </w:rPr>
        <w:t>风险评价范围的确定</w:t>
      </w:r>
    </w:p>
    <w:p w14:paraId="44097EE4" w14:textId="77777777" w:rsidR="003E78AB" w:rsidRDefault="00010BF9">
      <w:pPr>
        <w:ind w:firstLine="480"/>
        <w:rPr>
          <w:kern w:val="2"/>
        </w:rPr>
      </w:pPr>
      <w:r>
        <w:rPr>
          <w:kern w:val="2"/>
        </w:rPr>
        <w:t>根据《建设项目环境风险评价技术导则》（</w:t>
      </w:r>
      <w:r>
        <w:rPr>
          <w:kern w:val="2"/>
        </w:rPr>
        <w:t>HJ169-2018</w:t>
      </w:r>
      <w:r>
        <w:rPr>
          <w:kern w:val="2"/>
        </w:rPr>
        <w:t>）规定，本项目环境风险评价范围为厂址中心半径</w:t>
      </w:r>
      <w:r>
        <w:rPr>
          <w:kern w:val="2"/>
        </w:rPr>
        <w:t>5km</w:t>
      </w:r>
      <w:r>
        <w:rPr>
          <w:kern w:val="2"/>
        </w:rPr>
        <w:t>的区域。</w:t>
      </w:r>
    </w:p>
    <w:p w14:paraId="3B55B790" w14:textId="77777777" w:rsidR="003E78AB" w:rsidRDefault="00010BF9">
      <w:pPr>
        <w:spacing w:line="360" w:lineRule="auto"/>
        <w:ind w:firstLineChars="0" w:firstLine="0"/>
        <w:outlineLvl w:val="2"/>
        <w:rPr>
          <w:b/>
          <w:kern w:val="2"/>
          <w:sz w:val="28"/>
          <w:szCs w:val="20"/>
        </w:rPr>
      </w:pPr>
      <w:r>
        <w:rPr>
          <w:b/>
          <w:kern w:val="2"/>
          <w:sz w:val="28"/>
          <w:szCs w:val="20"/>
        </w:rPr>
        <w:t>2.5.6</w:t>
      </w:r>
      <w:r>
        <w:rPr>
          <w:b/>
          <w:kern w:val="2"/>
          <w:sz w:val="28"/>
          <w:szCs w:val="20"/>
        </w:rPr>
        <w:t>土壤评价范围的确定</w:t>
      </w:r>
    </w:p>
    <w:p w14:paraId="626FD4C5" w14:textId="77777777" w:rsidR="003E78AB" w:rsidRDefault="00010BF9">
      <w:pPr>
        <w:ind w:firstLine="480"/>
        <w:rPr>
          <w:kern w:val="2"/>
        </w:rPr>
      </w:pPr>
      <w:r>
        <w:rPr>
          <w:kern w:val="2"/>
        </w:rPr>
        <w:t>根据《环境影响评价技术导则</w:t>
      </w:r>
      <w:r>
        <w:rPr>
          <w:kern w:val="2"/>
        </w:rPr>
        <w:t xml:space="preserve"> </w:t>
      </w:r>
      <w:r>
        <w:rPr>
          <w:kern w:val="2"/>
        </w:rPr>
        <w:t>土壤环境（试行）》（</w:t>
      </w:r>
      <w:r>
        <w:rPr>
          <w:kern w:val="2"/>
        </w:rPr>
        <w:t>HJ964-2018</w:t>
      </w:r>
      <w:r>
        <w:rPr>
          <w:kern w:val="2"/>
        </w:rPr>
        <w:t>），污染影响型项目土壤二级评价项目评价范围为占地范围外</w:t>
      </w:r>
      <w:r>
        <w:rPr>
          <w:kern w:val="2"/>
        </w:rPr>
        <w:t>0.2km</w:t>
      </w:r>
      <w:r>
        <w:rPr>
          <w:kern w:val="2"/>
        </w:rPr>
        <w:t>范围内。</w:t>
      </w:r>
    </w:p>
    <w:p w14:paraId="77427203" w14:textId="77777777" w:rsidR="003E78AB" w:rsidRDefault="00010BF9">
      <w:pPr>
        <w:ind w:firstLine="480"/>
        <w:rPr>
          <w:kern w:val="2"/>
        </w:rPr>
      </w:pPr>
      <w:r>
        <w:rPr>
          <w:kern w:val="2"/>
        </w:rPr>
        <w:t>综上，项目确定各环节要素评价范围见表</w:t>
      </w:r>
      <w:r>
        <w:rPr>
          <w:kern w:val="2"/>
        </w:rPr>
        <w:t>2-27</w:t>
      </w:r>
      <w:r>
        <w:rPr>
          <w:kern w:val="2"/>
        </w:rPr>
        <w:t>，</w:t>
      </w:r>
      <w:r>
        <w:rPr>
          <w:rFonts w:hint="eastAsia"/>
          <w:kern w:val="2"/>
        </w:rPr>
        <w:t>附图</w:t>
      </w:r>
      <w:r>
        <w:rPr>
          <w:rFonts w:hint="eastAsia"/>
          <w:kern w:val="2"/>
        </w:rPr>
        <w:t>4</w:t>
      </w:r>
      <w:r>
        <w:rPr>
          <w:kern w:val="2"/>
        </w:rPr>
        <w:t>。</w:t>
      </w:r>
    </w:p>
    <w:p w14:paraId="4B1CE53C" w14:textId="77777777" w:rsidR="003E78AB" w:rsidRDefault="00010BF9">
      <w:pPr>
        <w:pStyle w:val="a5"/>
      </w:pPr>
      <w:r>
        <w:t>各环境要素评价范围汇总一览表</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1"/>
        <w:gridCol w:w="1316"/>
        <w:gridCol w:w="6482"/>
      </w:tblGrid>
      <w:tr w:rsidR="003E78AB" w14:paraId="28B3A33F" w14:textId="77777777">
        <w:trPr>
          <w:trHeight w:val="137"/>
          <w:tblHeader/>
          <w:jc w:val="center"/>
        </w:trPr>
        <w:tc>
          <w:tcPr>
            <w:tcW w:w="313" w:type="pct"/>
            <w:vAlign w:val="center"/>
          </w:tcPr>
          <w:p w14:paraId="2E930A49" w14:textId="77777777" w:rsidR="003E78AB" w:rsidRDefault="00010BF9">
            <w:pPr>
              <w:spacing w:line="360" w:lineRule="exact"/>
              <w:ind w:firstLineChars="0" w:firstLine="0"/>
              <w:jc w:val="center"/>
              <w:rPr>
                <w:b/>
                <w:bCs/>
                <w:kern w:val="2"/>
                <w:sz w:val="21"/>
                <w:szCs w:val="21"/>
              </w:rPr>
            </w:pPr>
            <w:r>
              <w:rPr>
                <w:b/>
                <w:bCs/>
                <w:kern w:val="2"/>
                <w:sz w:val="21"/>
                <w:szCs w:val="21"/>
              </w:rPr>
              <w:t>序号</w:t>
            </w:r>
          </w:p>
        </w:tc>
        <w:tc>
          <w:tcPr>
            <w:tcW w:w="791" w:type="pct"/>
            <w:vAlign w:val="center"/>
          </w:tcPr>
          <w:p w14:paraId="59FE640A" w14:textId="77777777" w:rsidR="003E78AB" w:rsidRDefault="00010BF9">
            <w:pPr>
              <w:spacing w:line="360" w:lineRule="exact"/>
              <w:ind w:firstLineChars="0" w:firstLine="0"/>
              <w:jc w:val="center"/>
              <w:rPr>
                <w:b/>
                <w:bCs/>
                <w:kern w:val="2"/>
                <w:sz w:val="21"/>
                <w:szCs w:val="21"/>
              </w:rPr>
            </w:pPr>
            <w:r>
              <w:rPr>
                <w:b/>
                <w:bCs/>
                <w:kern w:val="2"/>
                <w:sz w:val="21"/>
                <w:szCs w:val="21"/>
              </w:rPr>
              <w:t>环境要素</w:t>
            </w:r>
          </w:p>
        </w:tc>
        <w:tc>
          <w:tcPr>
            <w:tcW w:w="3895" w:type="pct"/>
            <w:vAlign w:val="center"/>
          </w:tcPr>
          <w:p w14:paraId="0F50C574" w14:textId="77777777" w:rsidR="003E78AB" w:rsidRDefault="00010BF9">
            <w:pPr>
              <w:spacing w:line="360" w:lineRule="exact"/>
              <w:ind w:firstLineChars="0" w:firstLine="0"/>
              <w:jc w:val="center"/>
              <w:rPr>
                <w:b/>
                <w:bCs/>
                <w:kern w:val="2"/>
                <w:sz w:val="21"/>
                <w:szCs w:val="21"/>
              </w:rPr>
            </w:pPr>
            <w:r>
              <w:rPr>
                <w:b/>
                <w:bCs/>
                <w:kern w:val="2"/>
                <w:sz w:val="21"/>
                <w:szCs w:val="21"/>
              </w:rPr>
              <w:t>评价范围</w:t>
            </w:r>
          </w:p>
        </w:tc>
      </w:tr>
      <w:tr w:rsidR="003E78AB" w14:paraId="6B830C28" w14:textId="77777777">
        <w:trPr>
          <w:trHeight w:val="283"/>
          <w:jc w:val="center"/>
        </w:trPr>
        <w:tc>
          <w:tcPr>
            <w:tcW w:w="313" w:type="pct"/>
            <w:vAlign w:val="center"/>
          </w:tcPr>
          <w:p w14:paraId="0E8A72E5" w14:textId="77777777" w:rsidR="003E78AB" w:rsidRDefault="00010BF9">
            <w:pPr>
              <w:spacing w:line="360" w:lineRule="exact"/>
              <w:ind w:firstLineChars="0" w:firstLine="0"/>
              <w:jc w:val="center"/>
              <w:rPr>
                <w:kern w:val="2"/>
                <w:sz w:val="21"/>
                <w:szCs w:val="21"/>
              </w:rPr>
            </w:pPr>
            <w:r>
              <w:rPr>
                <w:kern w:val="2"/>
                <w:sz w:val="21"/>
                <w:szCs w:val="21"/>
              </w:rPr>
              <w:t>1</w:t>
            </w:r>
          </w:p>
        </w:tc>
        <w:tc>
          <w:tcPr>
            <w:tcW w:w="791" w:type="pct"/>
            <w:vAlign w:val="center"/>
          </w:tcPr>
          <w:p w14:paraId="706667D9" w14:textId="77777777" w:rsidR="003E78AB" w:rsidRDefault="00010BF9">
            <w:pPr>
              <w:spacing w:line="360" w:lineRule="exact"/>
              <w:ind w:firstLineChars="0" w:firstLine="0"/>
              <w:jc w:val="center"/>
              <w:rPr>
                <w:kern w:val="2"/>
                <w:sz w:val="21"/>
                <w:szCs w:val="21"/>
              </w:rPr>
            </w:pPr>
            <w:r>
              <w:rPr>
                <w:kern w:val="2"/>
                <w:sz w:val="21"/>
                <w:szCs w:val="21"/>
              </w:rPr>
              <w:t>大气</w:t>
            </w:r>
          </w:p>
        </w:tc>
        <w:tc>
          <w:tcPr>
            <w:tcW w:w="3895" w:type="pct"/>
            <w:vAlign w:val="center"/>
          </w:tcPr>
          <w:p w14:paraId="23AAD390" w14:textId="77777777" w:rsidR="003E78AB" w:rsidRDefault="00010BF9">
            <w:pPr>
              <w:spacing w:line="360" w:lineRule="exact"/>
              <w:ind w:firstLineChars="0" w:firstLine="0"/>
              <w:rPr>
                <w:kern w:val="2"/>
                <w:sz w:val="21"/>
                <w:szCs w:val="21"/>
              </w:rPr>
            </w:pPr>
            <w:r>
              <w:rPr>
                <w:kern w:val="2"/>
                <w:sz w:val="21"/>
                <w:szCs w:val="21"/>
              </w:rPr>
              <w:t>自厂界</w:t>
            </w:r>
            <w:r>
              <w:rPr>
                <w:rFonts w:hint="eastAsia"/>
                <w:kern w:val="2"/>
                <w:sz w:val="21"/>
                <w:szCs w:val="21"/>
              </w:rPr>
              <w:t>外</w:t>
            </w:r>
            <w:r>
              <w:rPr>
                <w:kern w:val="2"/>
                <w:sz w:val="21"/>
                <w:szCs w:val="21"/>
              </w:rPr>
              <w:t>延</w:t>
            </w:r>
            <w:r>
              <w:rPr>
                <w:rFonts w:hint="eastAsia"/>
                <w:kern w:val="2"/>
                <w:sz w:val="21"/>
                <w:szCs w:val="21"/>
              </w:rPr>
              <w:t>2.5</w:t>
            </w:r>
            <w:r>
              <w:rPr>
                <w:kern w:val="2"/>
                <w:sz w:val="21"/>
                <w:szCs w:val="21"/>
              </w:rPr>
              <w:t>km</w:t>
            </w:r>
            <w:r>
              <w:rPr>
                <w:kern w:val="2"/>
                <w:sz w:val="21"/>
                <w:szCs w:val="21"/>
              </w:rPr>
              <w:t>的矩形区域，即边长约为</w:t>
            </w:r>
            <w:r>
              <w:rPr>
                <w:rFonts w:hint="eastAsia"/>
                <w:kern w:val="2"/>
                <w:sz w:val="21"/>
                <w:szCs w:val="21"/>
              </w:rPr>
              <w:t>5</w:t>
            </w:r>
            <w:r>
              <w:rPr>
                <w:kern w:val="2"/>
                <w:sz w:val="21"/>
                <w:szCs w:val="21"/>
              </w:rPr>
              <w:t>km</w:t>
            </w:r>
            <w:r>
              <w:rPr>
                <w:kern w:val="2"/>
                <w:sz w:val="21"/>
                <w:szCs w:val="21"/>
              </w:rPr>
              <w:t>的矩形区域。</w:t>
            </w:r>
          </w:p>
        </w:tc>
      </w:tr>
      <w:tr w:rsidR="003E78AB" w14:paraId="4563240A" w14:textId="77777777">
        <w:trPr>
          <w:trHeight w:val="283"/>
          <w:jc w:val="center"/>
        </w:trPr>
        <w:tc>
          <w:tcPr>
            <w:tcW w:w="313" w:type="pct"/>
            <w:vAlign w:val="center"/>
          </w:tcPr>
          <w:p w14:paraId="1D765A5D" w14:textId="77777777" w:rsidR="003E78AB" w:rsidRDefault="00010BF9">
            <w:pPr>
              <w:spacing w:line="360" w:lineRule="exact"/>
              <w:ind w:firstLineChars="0" w:firstLine="0"/>
              <w:jc w:val="center"/>
              <w:rPr>
                <w:kern w:val="2"/>
                <w:sz w:val="21"/>
                <w:szCs w:val="21"/>
              </w:rPr>
            </w:pPr>
            <w:r>
              <w:rPr>
                <w:kern w:val="2"/>
                <w:sz w:val="21"/>
                <w:szCs w:val="21"/>
              </w:rPr>
              <w:t>2</w:t>
            </w:r>
          </w:p>
        </w:tc>
        <w:tc>
          <w:tcPr>
            <w:tcW w:w="791" w:type="pct"/>
            <w:vAlign w:val="center"/>
          </w:tcPr>
          <w:p w14:paraId="607550C3" w14:textId="77777777" w:rsidR="003E78AB" w:rsidRDefault="00010BF9">
            <w:pPr>
              <w:spacing w:line="360" w:lineRule="exact"/>
              <w:ind w:firstLineChars="0" w:firstLine="0"/>
              <w:jc w:val="center"/>
              <w:rPr>
                <w:kern w:val="2"/>
                <w:sz w:val="21"/>
                <w:szCs w:val="21"/>
              </w:rPr>
            </w:pPr>
            <w:r>
              <w:rPr>
                <w:kern w:val="2"/>
                <w:sz w:val="21"/>
                <w:szCs w:val="21"/>
              </w:rPr>
              <w:t>地表水</w:t>
            </w:r>
          </w:p>
        </w:tc>
        <w:tc>
          <w:tcPr>
            <w:tcW w:w="3895" w:type="pct"/>
            <w:vAlign w:val="center"/>
          </w:tcPr>
          <w:p w14:paraId="0FA844C6" w14:textId="77777777" w:rsidR="003E78AB" w:rsidRDefault="00010BF9">
            <w:pPr>
              <w:spacing w:line="360" w:lineRule="exact"/>
              <w:ind w:firstLineChars="0" w:firstLine="0"/>
              <w:rPr>
                <w:kern w:val="2"/>
                <w:sz w:val="21"/>
                <w:szCs w:val="21"/>
              </w:rPr>
            </w:pPr>
            <w:r>
              <w:rPr>
                <w:kern w:val="2"/>
                <w:sz w:val="21"/>
                <w:szCs w:val="21"/>
              </w:rPr>
              <w:t>不设评价范围</w:t>
            </w:r>
          </w:p>
        </w:tc>
      </w:tr>
      <w:tr w:rsidR="003E78AB" w14:paraId="4380C285" w14:textId="77777777">
        <w:trPr>
          <w:trHeight w:val="283"/>
          <w:jc w:val="center"/>
        </w:trPr>
        <w:tc>
          <w:tcPr>
            <w:tcW w:w="313" w:type="pct"/>
            <w:vAlign w:val="center"/>
          </w:tcPr>
          <w:p w14:paraId="076A71BF" w14:textId="77777777" w:rsidR="003E78AB" w:rsidRDefault="00010BF9">
            <w:pPr>
              <w:spacing w:line="360" w:lineRule="exact"/>
              <w:ind w:firstLineChars="0" w:firstLine="0"/>
              <w:jc w:val="center"/>
              <w:rPr>
                <w:kern w:val="2"/>
                <w:sz w:val="21"/>
                <w:szCs w:val="21"/>
              </w:rPr>
            </w:pPr>
            <w:r>
              <w:rPr>
                <w:kern w:val="2"/>
                <w:sz w:val="21"/>
                <w:szCs w:val="21"/>
              </w:rPr>
              <w:t>3</w:t>
            </w:r>
          </w:p>
        </w:tc>
        <w:tc>
          <w:tcPr>
            <w:tcW w:w="791" w:type="pct"/>
            <w:vAlign w:val="center"/>
          </w:tcPr>
          <w:p w14:paraId="199A6543" w14:textId="77777777" w:rsidR="003E78AB" w:rsidRDefault="00010BF9">
            <w:pPr>
              <w:spacing w:line="360" w:lineRule="exact"/>
              <w:ind w:firstLineChars="0" w:firstLine="0"/>
              <w:jc w:val="center"/>
              <w:rPr>
                <w:kern w:val="2"/>
                <w:sz w:val="21"/>
                <w:szCs w:val="21"/>
              </w:rPr>
            </w:pPr>
            <w:r>
              <w:rPr>
                <w:kern w:val="2"/>
                <w:sz w:val="21"/>
                <w:szCs w:val="21"/>
              </w:rPr>
              <w:t>地下水</w:t>
            </w:r>
          </w:p>
        </w:tc>
        <w:tc>
          <w:tcPr>
            <w:tcW w:w="3895" w:type="pct"/>
            <w:vAlign w:val="center"/>
          </w:tcPr>
          <w:p w14:paraId="532B69A5" w14:textId="77777777" w:rsidR="003E78AB" w:rsidRDefault="00010BF9">
            <w:pPr>
              <w:spacing w:line="360" w:lineRule="exact"/>
              <w:ind w:firstLineChars="0" w:firstLine="0"/>
              <w:rPr>
                <w:kern w:val="2"/>
                <w:sz w:val="21"/>
                <w:szCs w:val="21"/>
              </w:rPr>
            </w:pPr>
            <w:r>
              <w:rPr>
                <w:kern w:val="2"/>
                <w:sz w:val="21"/>
                <w:szCs w:val="21"/>
              </w:rPr>
              <w:t>场地东北侧</w:t>
            </w:r>
            <w:r>
              <w:rPr>
                <w:kern w:val="2"/>
                <w:sz w:val="21"/>
                <w:szCs w:val="21"/>
              </w:rPr>
              <w:t>1km</w:t>
            </w:r>
            <w:r>
              <w:rPr>
                <w:kern w:val="2"/>
                <w:sz w:val="21"/>
                <w:szCs w:val="21"/>
              </w:rPr>
              <w:t>处为地下水调查评价范围的上游边界；场地西南侧</w:t>
            </w:r>
            <w:r>
              <w:rPr>
                <w:kern w:val="2"/>
                <w:sz w:val="21"/>
                <w:szCs w:val="21"/>
              </w:rPr>
              <w:t>3km</w:t>
            </w:r>
            <w:r>
              <w:rPr>
                <w:kern w:val="2"/>
                <w:sz w:val="21"/>
                <w:szCs w:val="21"/>
              </w:rPr>
              <w:t>处地下水调查评价范围的下游边界；西北、东南侧</w:t>
            </w:r>
            <w:r>
              <w:rPr>
                <w:kern w:val="2"/>
                <w:sz w:val="21"/>
                <w:szCs w:val="21"/>
              </w:rPr>
              <w:t>1km</w:t>
            </w:r>
            <w:r>
              <w:rPr>
                <w:kern w:val="2"/>
                <w:sz w:val="21"/>
                <w:szCs w:val="21"/>
              </w:rPr>
              <w:t>处为地下水调查评价范围的侧游边界，评价范围</w:t>
            </w:r>
            <w:r>
              <w:rPr>
                <w:kern w:val="2"/>
                <w:sz w:val="21"/>
                <w:szCs w:val="21"/>
              </w:rPr>
              <w:t>8km</w:t>
            </w:r>
            <w:r>
              <w:rPr>
                <w:kern w:val="2"/>
                <w:sz w:val="21"/>
                <w:szCs w:val="21"/>
                <w:vertAlign w:val="superscript"/>
              </w:rPr>
              <w:t>2</w:t>
            </w:r>
            <w:r>
              <w:rPr>
                <w:kern w:val="2"/>
                <w:sz w:val="21"/>
                <w:szCs w:val="21"/>
              </w:rPr>
              <w:t>。</w:t>
            </w:r>
          </w:p>
        </w:tc>
      </w:tr>
      <w:tr w:rsidR="003E78AB" w14:paraId="2170FFF3" w14:textId="77777777">
        <w:trPr>
          <w:trHeight w:val="283"/>
          <w:jc w:val="center"/>
        </w:trPr>
        <w:tc>
          <w:tcPr>
            <w:tcW w:w="313" w:type="pct"/>
            <w:vAlign w:val="center"/>
          </w:tcPr>
          <w:p w14:paraId="3DB35184" w14:textId="77777777" w:rsidR="003E78AB" w:rsidRDefault="00010BF9">
            <w:pPr>
              <w:spacing w:line="360" w:lineRule="exact"/>
              <w:ind w:firstLineChars="0" w:firstLine="0"/>
              <w:jc w:val="center"/>
              <w:rPr>
                <w:kern w:val="2"/>
                <w:sz w:val="21"/>
                <w:szCs w:val="21"/>
              </w:rPr>
            </w:pPr>
            <w:r>
              <w:rPr>
                <w:kern w:val="2"/>
                <w:sz w:val="21"/>
                <w:szCs w:val="21"/>
              </w:rPr>
              <w:t>4</w:t>
            </w:r>
          </w:p>
        </w:tc>
        <w:tc>
          <w:tcPr>
            <w:tcW w:w="791" w:type="pct"/>
            <w:vAlign w:val="center"/>
          </w:tcPr>
          <w:p w14:paraId="234B0FB2" w14:textId="77777777" w:rsidR="003E78AB" w:rsidRDefault="00010BF9">
            <w:pPr>
              <w:spacing w:line="360" w:lineRule="exact"/>
              <w:ind w:firstLineChars="0" w:firstLine="0"/>
              <w:jc w:val="center"/>
              <w:rPr>
                <w:kern w:val="2"/>
                <w:sz w:val="21"/>
                <w:szCs w:val="21"/>
              </w:rPr>
            </w:pPr>
            <w:r>
              <w:rPr>
                <w:kern w:val="2"/>
                <w:sz w:val="21"/>
                <w:szCs w:val="21"/>
              </w:rPr>
              <w:t>土壤</w:t>
            </w:r>
          </w:p>
        </w:tc>
        <w:tc>
          <w:tcPr>
            <w:tcW w:w="3895" w:type="pct"/>
            <w:vAlign w:val="center"/>
          </w:tcPr>
          <w:p w14:paraId="11A5D1DF" w14:textId="77777777" w:rsidR="003E78AB" w:rsidRDefault="00010BF9">
            <w:pPr>
              <w:spacing w:line="360" w:lineRule="exact"/>
              <w:ind w:firstLineChars="0" w:firstLine="0"/>
              <w:rPr>
                <w:kern w:val="2"/>
                <w:sz w:val="21"/>
                <w:szCs w:val="21"/>
              </w:rPr>
            </w:pPr>
            <w:r>
              <w:rPr>
                <w:kern w:val="2"/>
                <w:sz w:val="21"/>
                <w:szCs w:val="21"/>
              </w:rPr>
              <w:t>占地范围外</w:t>
            </w:r>
            <w:r>
              <w:rPr>
                <w:kern w:val="2"/>
                <w:sz w:val="21"/>
                <w:szCs w:val="21"/>
              </w:rPr>
              <w:t>0.2km</w:t>
            </w:r>
            <w:r>
              <w:rPr>
                <w:kern w:val="2"/>
                <w:sz w:val="21"/>
                <w:szCs w:val="21"/>
              </w:rPr>
              <w:t>范围内</w:t>
            </w:r>
          </w:p>
        </w:tc>
      </w:tr>
      <w:tr w:rsidR="003E78AB" w14:paraId="529C6BEC" w14:textId="77777777">
        <w:trPr>
          <w:trHeight w:val="283"/>
          <w:jc w:val="center"/>
        </w:trPr>
        <w:tc>
          <w:tcPr>
            <w:tcW w:w="313" w:type="pct"/>
            <w:vAlign w:val="center"/>
          </w:tcPr>
          <w:p w14:paraId="0717E001" w14:textId="77777777" w:rsidR="003E78AB" w:rsidRDefault="00010BF9">
            <w:pPr>
              <w:spacing w:line="360" w:lineRule="exact"/>
              <w:ind w:firstLineChars="0" w:firstLine="0"/>
              <w:jc w:val="center"/>
              <w:rPr>
                <w:kern w:val="2"/>
                <w:sz w:val="21"/>
                <w:szCs w:val="21"/>
              </w:rPr>
            </w:pPr>
            <w:r>
              <w:rPr>
                <w:kern w:val="2"/>
                <w:sz w:val="21"/>
                <w:szCs w:val="21"/>
              </w:rPr>
              <w:t>5</w:t>
            </w:r>
          </w:p>
        </w:tc>
        <w:tc>
          <w:tcPr>
            <w:tcW w:w="791" w:type="pct"/>
            <w:vAlign w:val="center"/>
          </w:tcPr>
          <w:p w14:paraId="39F927DB" w14:textId="77777777" w:rsidR="003E78AB" w:rsidRDefault="00010BF9">
            <w:pPr>
              <w:spacing w:line="360" w:lineRule="exact"/>
              <w:ind w:firstLineChars="0" w:firstLine="0"/>
              <w:jc w:val="center"/>
              <w:rPr>
                <w:kern w:val="2"/>
                <w:sz w:val="21"/>
                <w:szCs w:val="21"/>
              </w:rPr>
            </w:pPr>
            <w:r>
              <w:rPr>
                <w:kern w:val="2"/>
                <w:sz w:val="21"/>
                <w:szCs w:val="21"/>
              </w:rPr>
              <w:t>声环境</w:t>
            </w:r>
          </w:p>
        </w:tc>
        <w:tc>
          <w:tcPr>
            <w:tcW w:w="3895" w:type="pct"/>
            <w:vAlign w:val="center"/>
          </w:tcPr>
          <w:p w14:paraId="267ADDD1" w14:textId="77777777" w:rsidR="003E78AB" w:rsidRDefault="00010BF9">
            <w:pPr>
              <w:spacing w:line="360" w:lineRule="exact"/>
              <w:ind w:firstLineChars="0" w:firstLine="0"/>
              <w:rPr>
                <w:kern w:val="2"/>
                <w:sz w:val="21"/>
                <w:szCs w:val="21"/>
              </w:rPr>
            </w:pPr>
            <w:r>
              <w:rPr>
                <w:kern w:val="2"/>
                <w:sz w:val="21"/>
                <w:szCs w:val="21"/>
              </w:rPr>
              <w:t>项目区场界外</w:t>
            </w:r>
            <w:r>
              <w:rPr>
                <w:kern w:val="2"/>
                <w:sz w:val="21"/>
                <w:szCs w:val="21"/>
              </w:rPr>
              <w:t>0.2km</w:t>
            </w:r>
            <w:r>
              <w:rPr>
                <w:kern w:val="2"/>
                <w:sz w:val="21"/>
                <w:szCs w:val="21"/>
              </w:rPr>
              <w:t>范围内</w:t>
            </w:r>
          </w:p>
        </w:tc>
      </w:tr>
      <w:tr w:rsidR="003E78AB" w14:paraId="5167392C" w14:textId="77777777">
        <w:trPr>
          <w:trHeight w:val="283"/>
          <w:jc w:val="center"/>
        </w:trPr>
        <w:tc>
          <w:tcPr>
            <w:tcW w:w="313" w:type="pct"/>
            <w:vAlign w:val="center"/>
          </w:tcPr>
          <w:p w14:paraId="55E52422" w14:textId="77777777" w:rsidR="003E78AB" w:rsidRDefault="00010BF9">
            <w:pPr>
              <w:spacing w:line="360" w:lineRule="exact"/>
              <w:ind w:firstLineChars="0" w:firstLine="0"/>
              <w:jc w:val="center"/>
              <w:rPr>
                <w:kern w:val="2"/>
                <w:sz w:val="21"/>
                <w:szCs w:val="21"/>
              </w:rPr>
            </w:pPr>
            <w:r>
              <w:rPr>
                <w:kern w:val="2"/>
                <w:sz w:val="21"/>
                <w:szCs w:val="21"/>
              </w:rPr>
              <w:t>6</w:t>
            </w:r>
          </w:p>
        </w:tc>
        <w:tc>
          <w:tcPr>
            <w:tcW w:w="791" w:type="pct"/>
            <w:vAlign w:val="center"/>
          </w:tcPr>
          <w:p w14:paraId="52A81FAA" w14:textId="77777777" w:rsidR="003E78AB" w:rsidRDefault="00010BF9">
            <w:pPr>
              <w:spacing w:line="360" w:lineRule="exact"/>
              <w:ind w:firstLineChars="0" w:firstLine="0"/>
              <w:jc w:val="center"/>
              <w:rPr>
                <w:kern w:val="2"/>
                <w:sz w:val="21"/>
                <w:szCs w:val="21"/>
              </w:rPr>
            </w:pPr>
            <w:r>
              <w:rPr>
                <w:kern w:val="2"/>
                <w:sz w:val="21"/>
                <w:szCs w:val="21"/>
              </w:rPr>
              <w:t>生态</w:t>
            </w:r>
          </w:p>
        </w:tc>
        <w:tc>
          <w:tcPr>
            <w:tcW w:w="3895" w:type="pct"/>
            <w:vAlign w:val="center"/>
          </w:tcPr>
          <w:p w14:paraId="16D3AB81" w14:textId="77777777" w:rsidR="003E78AB" w:rsidRDefault="00010BF9">
            <w:pPr>
              <w:spacing w:line="360" w:lineRule="exact"/>
              <w:ind w:firstLineChars="0" w:firstLine="0"/>
              <w:rPr>
                <w:kern w:val="2"/>
                <w:sz w:val="21"/>
                <w:szCs w:val="21"/>
              </w:rPr>
            </w:pPr>
            <w:r>
              <w:rPr>
                <w:kern w:val="2"/>
                <w:sz w:val="21"/>
                <w:szCs w:val="21"/>
              </w:rPr>
              <w:t>厂址及厂界外</w:t>
            </w:r>
            <w:r>
              <w:rPr>
                <w:kern w:val="2"/>
                <w:sz w:val="21"/>
                <w:szCs w:val="21"/>
              </w:rPr>
              <w:t>0.5km</w:t>
            </w:r>
            <w:r>
              <w:rPr>
                <w:kern w:val="2"/>
                <w:sz w:val="21"/>
                <w:szCs w:val="21"/>
              </w:rPr>
              <w:t>范围</w:t>
            </w:r>
          </w:p>
        </w:tc>
      </w:tr>
      <w:tr w:rsidR="003E78AB" w14:paraId="7E47B554" w14:textId="77777777">
        <w:trPr>
          <w:trHeight w:val="283"/>
          <w:jc w:val="center"/>
        </w:trPr>
        <w:tc>
          <w:tcPr>
            <w:tcW w:w="313" w:type="pct"/>
            <w:vAlign w:val="center"/>
          </w:tcPr>
          <w:p w14:paraId="00092781" w14:textId="77777777" w:rsidR="003E78AB" w:rsidRDefault="00010BF9">
            <w:pPr>
              <w:spacing w:line="360" w:lineRule="exact"/>
              <w:ind w:firstLineChars="0" w:firstLine="0"/>
              <w:jc w:val="center"/>
              <w:rPr>
                <w:kern w:val="2"/>
                <w:sz w:val="21"/>
                <w:szCs w:val="21"/>
              </w:rPr>
            </w:pPr>
            <w:r>
              <w:rPr>
                <w:kern w:val="2"/>
                <w:sz w:val="21"/>
                <w:szCs w:val="21"/>
              </w:rPr>
              <w:t>7</w:t>
            </w:r>
          </w:p>
        </w:tc>
        <w:tc>
          <w:tcPr>
            <w:tcW w:w="791" w:type="pct"/>
            <w:vAlign w:val="center"/>
          </w:tcPr>
          <w:p w14:paraId="7A3D1D28" w14:textId="77777777" w:rsidR="003E78AB" w:rsidRDefault="00010BF9">
            <w:pPr>
              <w:spacing w:line="360" w:lineRule="exact"/>
              <w:ind w:firstLineChars="0" w:firstLine="0"/>
              <w:jc w:val="center"/>
              <w:rPr>
                <w:kern w:val="2"/>
                <w:sz w:val="21"/>
                <w:szCs w:val="21"/>
              </w:rPr>
            </w:pPr>
            <w:r>
              <w:rPr>
                <w:kern w:val="2"/>
                <w:sz w:val="21"/>
                <w:szCs w:val="21"/>
              </w:rPr>
              <w:t>环境风险</w:t>
            </w:r>
          </w:p>
        </w:tc>
        <w:tc>
          <w:tcPr>
            <w:tcW w:w="3895" w:type="pct"/>
            <w:vAlign w:val="center"/>
          </w:tcPr>
          <w:p w14:paraId="15948890" w14:textId="77777777" w:rsidR="003E78AB" w:rsidRDefault="00010BF9">
            <w:pPr>
              <w:spacing w:line="360" w:lineRule="exact"/>
              <w:ind w:firstLineChars="0" w:firstLine="0"/>
              <w:rPr>
                <w:kern w:val="2"/>
                <w:sz w:val="21"/>
                <w:szCs w:val="21"/>
              </w:rPr>
            </w:pPr>
            <w:r>
              <w:rPr>
                <w:kern w:val="2"/>
                <w:sz w:val="21"/>
                <w:szCs w:val="21"/>
              </w:rPr>
              <w:t>厂址中心半径</w:t>
            </w:r>
            <w:r>
              <w:rPr>
                <w:kern w:val="2"/>
                <w:sz w:val="21"/>
                <w:szCs w:val="21"/>
              </w:rPr>
              <w:t>5km</w:t>
            </w:r>
            <w:r>
              <w:rPr>
                <w:kern w:val="2"/>
                <w:sz w:val="21"/>
                <w:szCs w:val="21"/>
              </w:rPr>
              <w:t>的区域</w:t>
            </w:r>
          </w:p>
        </w:tc>
      </w:tr>
    </w:tbl>
    <w:p w14:paraId="2004607D" w14:textId="77777777" w:rsidR="003E78AB" w:rsidRDefault="00010BF9">
      <w:pPr>
        <w:pStyle w:val="24"/>
        <w:keepNext w:val="0"/>
        <w:keepLines w:val="0"/>
        <w:topLinePunct/>
        <w:spacing w:before="156"/>
        <w:rPr>
          <w:rFonts w:cs="Times New Roman"/>
        </w:rPr>
      </w:pPr>
      <w:bookmarkStart w:id="132" w:name="_Toc8919"/>
      <w:bookmarkStart w:id="133" w:name="_Toc17470"/>
      <w:bookmarkStart w:id="134" w:name="_Toc15171"/>
      <w:r>
        <w:rPr>
          <w:rFonts w:cs="Times New Roman"/>
        </w:rPr>
        <w:t>2.</w:t>
      </w:r>
      <w:bookmarkEnd w:id="132"/>
      <w:r>
        <w:rPr>
          <w:rFonts w:cs="Times New Roman"/>
        </w:rPr>
        <w:t>6</w:t>
      </w:r>
      <w:r>
        <w:rPr>
          <w:rFonts w:cs="Times New Roman"/>
        </w:rPr>
        <w:t>环境影响评价标准的确定</w:t>
      </w:r>
      <w:bookmarkEnd w:id="133"/>
      <w:bookmarkEnd w:id="134"/>
    </w:p>
    <w:p w14:paraId="62F65062" w14:textId="77777777" w:rsidR="003E78AB" w:rsidRDefault="00010BF9">
      <w:pPr>
        <w:spacing w:line="480" w:lineRule="exact"/>
        <w:ind w:firstLineChars="0" w:firstLine="0"/>
        <w:outlineLvl w:val="2"/>
        <w:rPr>
          <w:b/>
          <w:kern w:val="2"/>
          <w:sz w:val="28"/>
          <w:szCs w:val="20"/>
        </w:rPr>
      </w:pPr>
      <w:r>
        <w:rPr>
          <w:b/>
          <w:kern w:val="2"/>
          <w:sz w:val="28"/>
          <w:szCs w:val="20"/>
        </w:rPr>
        <w:t>2.6.1</w:t>
      </w:r>
      <w:r>
        <w:rPr>
          <w:b/>
          <w:kern w:val="2"/>
          <w:sz w:val="28"/>
          <w:szCs w:val="20"/>
        </w:rPr>
        <w:t>环境功能区划</w:t>
      </w:r>
    </w:p>
    <w:p w14:paraId="1E76A98D" w14:textId="77777777" w:rsidR="003E78AB" w:rsidRDefault="00010BF9">
      <w:pPr>
        <w:ind w:firstLine="480"/>
        <w:rPr>
          <w:kern w:val="2"/>
          <w:lang w:val="zh-CN"/>
        </w:rPr>
      </w:pPr>
      <w:r>
        <w:rPr>
          <w:kern w:val="2"/>
          <w:lang w:val="zh-CN"/>
        </w:rPr>
        <w:t>（</w:t>
      </w:r>
      <w:r>
        <w:rPr>
          <w:kern w:val="2"/>
          <w:lang w:val="zh-CN"/>
        </w:rPr>
        <w:t>1</w:t>
      </w:r>
      <w:r>
        <w:rPr>
          <w:kern w:val="2"/>
          <w:lang w:val="zh-CN"/>
        </w:rPr>
        <w:t>）环境空气功能区划</w:t>
      </w:r>
    </w:p>
    <w:p w14:paraId="495359EB" w14:textId="77777777" w:rsidR="003E78AB" w:rsidRDefault="00010BF9">
      <w:pPr>
        <w:ind w:firstLine="480"/>
        <w:rPr>
          <w:kern w:val="2"/>
          <w:lang w:val="zh-CN"/>
        </w:rPr>
      </w:pPr>
      <w:r>
        <w:rPr>
          <w:kern w:val="2"/>
          <w:lang w:val="zh-CN"/>
        </w:rPr>
        <w:t>根据《环境空气质量标准》（</w:t>
      </w:r>
      <w:r>
        <w:rPr>
          <w:kern w:val="2"/>
          <w:lang w:val="zh-CN"/>
        </w:rPr>
        <w:t>GB3095-2012</w:t>
      </w:r>
      <w:r>
        <w:rPr>
          <w:kern w:val="2"/>
          <w:lang w:val="zh-CN"/>
        </w:rPr>
        <w:t>）及其修改单中的环境空气质量功能区分类，项目区所在区域环境空气功能为二类区，故本项目执行《环境空气质量标准》（</w:t>
      </w:r>
      <w:r>
        <w:rPr>
          <w:kern w:val="2"/>
          <w:lang w:val="zh-CN"/>
        </w:rPr>
        <w:t>GB3095-2012</w:t>
      </w:r>
      <w:r>
        <w:rPr>
          <w:kern w:val="2"/>
          <w:lang w:val="zh-CN"/>
        </w:rPr>
        <w:t>）及其修改单中的二类区标准。</w:t>
      </w:r>
    </w:p>
    <w:p w14:paraId="1DAD6217" w14:textId="77777777" w:rsidR="003E78AB" w:rsidRDefault="00010BF9">
      <w:pPr>
        <w:ind w:firstLine="480"/>
        <w:rPr>
          <w:kern w:val="2"/>
          <w:lang w:val="zh-CN"/>
        </w:rPr>
      </w:pPr>
      <w:r>
        <w:rPr>
          <w:kern w:val="2"/>
          <w:lang w:val="zh-CN"/>
        </w:rPr>
        <w:t>（</w:t>
      </w:r>
      <w:r>
        <w:rPr>
          <w:kern w:val="2"/>
          <w:lang w:val="zh-CN"/>
        </w:rPr>
        <w:t>2</w:t>
      </w:r>
      <w:r>
        <w:rPr>
          <w:kern w:val="2"/>
          <w:lang w:val="zh-CN"/>
        </w:rPr>
        <w:t>）地下水环境功能区划</w:t>
      </w:r>
    </w:p>
    <w:p w14:paraId="1F98DE67" w14:textId="77777777" w:rsidR="003E78AB" w:rsidRDefault="00010BF9">
      <w:pPr>
        <w:ind w:firstLine="480"/>
        <w:rPr>
          <w:kern w:val="2"/>
          <w:lang w:val="zh-CN"/>
        </w:rPr>
      </w:pPr>
      <w:r>
        <w:rPr>
          <w:kern w:val="2"/>
          <w:lang w:val="zh-CN"/>
        </w:rPr>
        <w:t>根据《地下水质量标准》（</w:t>
      </w:r>
      <w:r>
        <w:rPr>
          <w:kern w:val="2"/>
          <w:lang w:val="zh-CN"/>
        </w:rPr>
        <w:t>GB/T14848-2017</w:t>
      </w:r>
      <w:r>
        <w:rPr>
          <w:kern w:val="2"/>
          <w:lang w:val="zh-CN"/>
        </w:rPr>
        <w:t>）中地下水质量分类，本项目所用地下水以人体健康基准值为依据，适用于工业用水，区域地下水环境功能为</w:t>
      </w:r>
      <w:r>
        <w:rPr>
          <w:kern w:val="2"/>
          <w:lang w:val="zh-CN"/>
        </w:rPr>
        <w:t>Ⅲ</w:t>
      </w:r>
      <w:r>
        <w:rPr>
          <w:kern w:val="2"/>
          <w:lang w:val="zh-CN"/>
        </w:rPr>
        <w:t>类，故本项目所在区域地下水质量执行《地下水质量标准》（</w:t>
      </w:r>
      <w:r>
        <w:rPr>
          <w:kern w:val="2"/>
          <w:lang w:val="zh-CN"/>
        </w:rPr>
        <w:t>GB/T14848-2017</w:t>
      </w:r>
      <w:r>
        <w:rPr>
          <w:kern w:val="2"/>
          <w:lang w:val="zh-CN"/>
        </w:rPr>
        <w:t>）中的</w:t>
      </w:r>
      <w:r>
        <w:rPr>
          <w:kern w:val="2"/>
          <w:lang w:val="zh-CN"/>
        </w:rPr>
        <w:t>Ⅲ</w:t>
      </w:r>
      <w:r>
        <w:rPr>
          <w:kern w:val="2"/>
          <w:lang w:val="zh-CN"/>
        </w:rPr>
        <w:t>类区标准。</w:t>
      </w:r>
    </w:p>
    <w:p w14:paraId="4698EB49" w14:textId="77777777" w:rsidR="003E78AB" w:rsidRDefault="00010BF9">
      <w:pPr>
        <w:ind w:firstLine="480"/>
        <w:rPr>
          <w:kern w:val="2"/>
          <w:lang w:val="zh-CN"/>
        </w:rPr>
      </w:pPr>
      <w:r>
        <w:rPr>
          <w:kern w:val="2"/>
          <w:lang w:val="zh-CN"/>
        </w:rPr>
        <w:t>（</w:t>
      </w:r>
      <w:r>
        <w:rPr>
          <w:kern w:val="2"/>
          <w:lang w:val="zh-CN"/>
        </w:rPr>
        <w:t>3</w:t>
      </w:r>
      <w:r>
        <w:rPr>
          <w:kern w:val="2"/>
          <w:lang w:val="zh-CN"/>
        </w:rPr>
        <w:t>）声环境功能区划</w:t>
      </w:r>
    </w:p>
    <w:p w14:paraId="73872F80" w14:textId="77777777" w:rsidR="003E78AB" w:rsidRDefault="00010BF9">
      <w:pPr>
        <w:ind w:firstLine="480"/>
        <w:rPr>
          <w:kern w:val="2"/>
          <w:lang w:val="zh-CN"/>
        </w:rPr>
      </w:pPr>
      <w:r>
        <w:rPr>
          <w:kern w:val="2"/>
          <w:lang w:val="zh-CN"/>
        </w:rPr>
        <w:t>本</w:t>
      </w:r>
      <w:r>
        <w:rPr>
          <w:kern w:val="2"/>
          <w:lang w:val="zh-CN"/>
        </w:rPr>
        <w:t>项目位于新疆维吾尔自治区哈密市高新技术产业开发区南部循环经济产业园区，依据《声环境质量标准》（</w:t>
      </w:r>
      <w:r>
        <w:rPr>
          <w:kern w:val="2"/>
          <w:lang w:val="zh-CN"/>
        </w:rPr>
        <w:t>GB3096-2008</w:t>
      </w:r>
      <w:r>
        <w:rPr>
          <w:kern w:val="2"/>
          <w:lang w:val="zh-CN"/>
        </w:rPr>
        <w:t>）中声环境功能区分类，本项目声环境功能区划属于</w:t>
      </w:r>
      <w:r>
        <w:rPr>
          <w:kern w:val="2"/>
          <w:lang w:val="zh-CN"/>
        </w:rPr>
        <w:t>3</w:t>
      </w:r>
      <w:r>
        <w:rPr>
          <w:kern w:val="2"/>
          <w:lang w:val="zh-CN"/>
        </w:rPr>
        <w:t>类声环境功能区。</w:t>
      </w:r>
    </w:p>
    <w:p w14:paraId="2436357E" w14:textId="77777777" w:rsidR="003E78AB" w:rsidRDefault="00010BF9">
      <w:pPr>
        <w:ind w:firstLine="480"/>
        <w:rPr>
          <w:kern w:val="2"/>
          <w:lang w:val="zh-CN"/>
        </w:rPr>
      </w:pPr>
      <w:r>
        <w:rPr>
          <w:kern w:val="2"/>
          <w:lang w:val="zh-CN"/>
        </w:rPr>
        <w:t>（</w:t>
      </w:r>
      <w:r>
        <w:rPr>
          <w:kern w:val="2"/>
          <w:lang w:val="zh-CN"/>
        </w:rPr>
        <w:t>4</w:t>
      </w:r>
      <w:r>
        <w:rPr>
          <w:kern w:val="2"/>
          <w:lang w:val="zh-CN"/>
        </w:rPr>
        <w:t>）生态环境功能区划</w:t>
      </w:r>
    </w:p>
    <w:p w14:paraId="4EAEDD24" w14:textId="77777777" w:rsidR="003E78AB" w:rsidRDefault="00010BF9">
      <w:pPr>
        <w:ind w:firstLine="480"/>
        <w:rPr>
          <w:kern w:val="2"/>
          <w:lang w:val="zh-CN"/>
        </w:rPr>
      </w:pPr>
      <w:r>
        <w:rPr>
          <w:kern w:val="2"/>
          <w:lang w:val="zh-CN"/>
        </w:rPr>
        <w:t>根据《新疆生态功能区划》（新疆维吾尔自治区环境保护局编，</w:t>
      </w:r>
      <w:r>
        <w:rPr>
          <w:kern w:val="2"/>
          <w:lang w:val="zh-CN"/>
        </w:rPr>
        <w:t>2004</w:t>
      </w:r>
      <w:r>
        <w:rPr>
          <w:kern w:val="2"/>
          <w:lang w:val="zh-CN"/>
        </w:rPr>
        <w:t>年），项目所在区域属于</w:t>
      </w:r>
      <w:r>
        <w:rPr>
          <w:kern w:val="2"/>
          <w:lang w:val="zh-CN"/>
        </w:rPr>
        <w:t>“Ⅲ</w:t>
      </w:r>
      <w:r>
        <w:rPr>
          <w:kern w:val="2"/>
          <w:lang w:val="zh-CN"/>
        </w:rPr>
        <w:t>天山山地干旱草原</w:t>
      </w:r>
      <w:r>
        <w:rPr>
          <w:kern w:val="2"/>
          <w:lang w:val="zh-CN"/>
        </w:rPr>
        <w:t>-</w:t>
      </w:r>
      <w:r>
        <w:rPr>
          <w:kern w:val="2"/>
          <w:lang w:val="zh-CN"/>
        </w:rPr>
        <w:t>针叶林生态区</w:t>
      </w:r>
      <w:r>
        <w:rPr>
          <w:kern w:val="2"/>
          <w:lang w:val="zh-CN"/>
        </w:rPr>
        <w:t>--Ⅲ4</w:t>
      </w:r>
      <w:r>
        <w:rPr>
          <w:kern w:val="2"/>
          <w:lang w:val="zh-CN"/>
        </w:rPr>
        <w:t>天山南坡吐鲁番</w:t>
      </w:r>
      <w:r>
        <w:rPr>
          <w:kern w:val="2"/>
          <w:lang w:val="zh-CN"/>
        </w:rPr>
        <w:t>—</w:t>
      </w:r>
      <w:r>
        <w:rPr>
          <w:kern w:val="2"/>
          <w:lang w:val="zh-CN"/>
        </w:rPr>
        <w:t>哈密盆地戈壁荒漠、绿洲农业生态亚区</w:t>
      </w:r>
      <w:r>
        <w:rPr>
          <w:kern w:val="2"/>
          <w:lang w:val="zh-CN"/>
        </w:rPr>
        <w:t>--53</w:t>
      </w:r>
      <w:r>
        <w:rPr>
          <w:kern w:val="2"/>
          <w:lang w:val="zh-CN"/>
        </w:rPr>
        <w:t>．嘎顺</w:t>
      </w:r>
      <w:r>
        <w:rPr>
          <w:kern w:val="2"/>
          <w:lang w:val="zh-CN"/>
        </w:rPr>
        <w:t>-</w:t>
      </w:r>
      <w:r>
        <w:rPr>
          <w:kern w:val="2"/>
          <w:lang w:val="zh-CN"/>
        </w:rPr>
        <w:t>南湖戈壁荒漠风蚀敏感生态功能区</w:t>
      </w:r>
      <w:r>
        <w:rPr>
          <w:kern w:val="2"/>
          <w:lang w:val="zh-CN"/>
        </w:rPr>
        <w:t>”</w:t>
      </w:r>
      <w:r>
        <w:rPr>
          <w:kern w:val="2"/>
          <w:lang w:val="zh-CN"/>
        </w:rPr>
        <w:t>。</w:t>
      </w:r>
    </w:p>
    <w:p w14:paraId="25669B07" w14:textId="77777777" w:rsidR="003E78AB" w:rsidRDefault="00010BF9">
      <w:pPr>
        <w:ind w:firstLine="480"/>
        <w:rPr>
          <w:kern w:val="2"/>
          <w:lang w:val="zh-CN"/>
        </w:rPr>
      </w:pPr>
      <w:r>
        <w:rPr>
          <w:kern w:val="2"/>
          <w:lang w:val="zh-CN"/>
        </w:rPr>
        <w:t>根据《全国水土保持规划国家级水土流失重点预防区和重点治理区复核划分成果》（办</w:t>
      </w:r>
      <w:r>
        <w:rPr>
          <w:kern w:val="2"/>
          <w:lang w:val="zh-CN"/>
        </w:rPr>
        <w:t>水保〔</w:t>
      </w:r>
      <w:r>
        <w:rPr>
          <w:kern w:val="2"/>
          <w:lang w:val="zh-CN"/>
        </w:rPr>
        <w:t>20</w:t>
      </w:r>
      <w:r>
        <w:rPr>
          <w:kern w:val="2"/>
        </w:rPr>
        <w:t>13</w:t>
      </w:r>
      <w:r>
        <w:rPr>
          <w:kern w:val="2"/>
          <w:lang w:val="zh-CN"/>
        </w:rPr>
        <w:t>〕</w:t>
      </w:r>
      <w:r>
        <w:rPr>
          <w:kern w:val="2"/>
          <w:lang w:val="zh-CN"/>
        </w:rPr>
        <w:t>188</w:t>
      </w:r>
      <w:r>
        <w:rPr>
          <w:kern w:val="2"/>
          <w:lang w:val="zh-CN"/>
        </w:rPr>
        <w:t>号）及关于印发《新疆自治区级水土流失重点预防区和重点治理区复核划分成果》的通知（新水水保〔</w:t>
      </w:r>
      <w:r>
        <w:rPr>
          <w:kern w:val="2"/>
          <w:lang w:val="zh-CN"/>
        </w:rPr>
        <w:t>20</w:t>
      </w:r>
      <w:r>
        <w:rPr>
          <w:kern w:val="2"/>
        </w:rPr>
        <w:t>19</w:t>
      </w:r>
      <w:r>
        <w:rPr>
          <w:kern w:val="2"/>
          <w:lang w:val="zh-CN"/>
        </w:rPr>
        <w:t>〕</w:t>
      </w:r>
      <w:r>
        <w:rPr>
          <w:kern w:val="2"/>
          <w:lang w:val="zh-CN"/>
        </w:rPr>
        <w:t>4</w:t>
      </w:r>
      <w:r>
        <w:rPr>
          <w:kern w:val="2"/>
          <w:lang w:val="zh-CN"/>
        </w:rPr>
        <w:t>号），本项目不属于国家级及自治区级水土流失重点预防区和重点治理区。</w:t>
      </w:r>
    </w:p>
    <w:p w14:paraId="6C561310" w14:textId="77777777" w:rsidR="003E78AB" w:rsidRDefault="00010BF9">
      <w:pPr>
        <w:spacing w:line="360" w:lineRule="auto"/>
        <w:ind w:firstLineChars="0" w:firstLine="0"/>
        <w:outlineLvl w:val="2"/>
        <w:rPr>
          <w:b/>
          <w:kern w:val="2"/>
          <w:sz w:val="28"/>
          <w:szCs w:val="20"/>
        </w:rPr>
      </w:pPr>
      <w:r>
        <w:rPr>
          <w:b/>
          <w:kern w:val="2"/>
          <w:sz w:val="28"/>
          <w:szCs w:val="20"/>
        </w:rPr>
        <w:t>2.6.2</w:t>
      </w:r>
      <w:r>
        <w:rPr>
          <w:b/>
          <w:kern w:val="2"/>
          <w:sz w:val="28"/>
          <w:szCs w:val="20"/>
        </w:rPr>
        <w:t>环境质量标准</w:t>
      </w:r>
    </w:p>
    <w:p w14:paraId="3D263D81" w14:textId="77777777" w:rsidR="003E78AB" w:rsidRDefault="00010BF9">
      <w:pPr>
        <w:ind w:firstLine="480"/>
        <w:rPr>
          <w:snapToGrid w:val="0"/>
        </w:rPr>
      </w:pPr>
      <w:r>
        <w:rPr>
          <w:snapToGrid w:val="0"/>
        </w:rPr>
        <w:t>（</w:t>
      </w:r>
      <w:r>
        <w:rPr>
          <w:snapToGrid w:val="0"/>
        </w:rPr>
        <w:t>1</w:t>
      </w:r>
      <w:r>
        <w:rPr>
          <w:snapToGrid w:val="0"/>
        </w:rPr>
        <w:t>）大气环境</w:t>
      </w:r>
    </w:p>
    <w:p w14:paraId="7F125EE4" w14:textId="77777777" w:rsidR="003E78AB" w:rsidRDefault="00010BF9">
      <w:pPr>
        <w:ind w:firstLine="480"/>
        <w:rPr>
          <w:kern w:val="2"/>
        </w:rPr>
      </w:pPr>
      <w:r>
        <w:rPr>
          <w:snapToGrid w:val="0"/>
        </w:rPr>
        <w:t>项目所在地位于环境空气质量二类功能区，</w:t>
      </w:r>
      <w:r>
        <w:rPr>
          <w:snapToGrid w:val="0"/>
        </w:rPr>
        <w:t>TSP</w:t>
      </w:r>
      <w:r>
        <w:rPr>
          <w:snapToGrid w:val="0"/>
        </w:rPr>
        <w:t>、</w:t>
      </w:r>
      <w:r>
        <w:rPr>
          <w:snapToGrid w:val="0"/>
        </w:rPr>
        <w:t>SO</w:t>
      </w:r>
      <w:r>
        <w:rPr>
          <w:snapToGrid w:val="0"/>
          <w:vertAlign w:val="subscript"/>
        </w:rPr>
        <w:t>2</w:t>
      </w:r>
      <w:r>
        <w:rPr>
          <w:snapToGrid w:val="0"/>
        </w:rPr>
        <w:t>、</w:t>
      </w:r>
      <w:r>
        <w:rPr>
          <w:snapToGrid w:val="0"/>
        </w:rPr>
        <w:t>NO</w:t>
      </w:r>
      <w:r>
        <w:rPr>
          <w:snapToGrid w:val="0"/>
          <w:vertAlign w:val="subscript"/>
        </w:rPr>
        <w:t>2</w:t>
      </w:r>
      <w:r>
        <w:rPr>
          <w:snapToGrid w:val="0"/>
        </w:rPr>
        <w:t>、</w:t>
      </w:r>
      <w:r>
        <w:rPr>
          <w:kern w:val="2"/>
        </w:rPr>
        <w:t>PM</w:t>
      </w:r>
      <w:r>
        <w:rPr>
          <w:kern w:val="2"/>
          <w:vertAlign w:val="subscript"/>
        </w:rPr>
        <w:t>10</w:t>
      </w:r>
      <w:r>
        <w:rPr>
          <w:kern w:val="2"/>
        </w:rPr>
        <w:t>、</w:t>
      </w:r>
      <w:r>
        <w:rPr>
          <w:kern w:val="2"/>
        </w:rPr>
        <w:t>PM</w:t>
      </w:r>
      <w:r>
        <w:rPr>
          <w:kern w:val="2"/>
          <w:vertAlign w:val="subscript"/>
        </w:rPr>
        <w:t>2.5</w:t>
      </w:r>
      <w:r>
        <w:rPr>
          <w:kern w:val="2"/>
        </w:rPr>
        <w:t>、</w:t>
      </w:r>
      <w:r>
        <w:rPr>
          <w:kern w:val="2"/>
        </w:rPr>
        <w:t>CO</w:t>
      </w:r>
      <w:r>
        <w:rPr>
          <w:kern w:val="2"/>
        </w:rPr>
        <w:t>、</w:t>
      </w:r>
      <w:r>
        <w:rPr>
          <w:kern w:val="2"/>
        </w:rPr>
        <w:t>O</w:t>
      </w:r>
      <w:r>
        <w:rPr>
          <w:kern w:val="2"/>
          <w:vertAlign w:val="subscript"/>
        </w:rPr>
        <w:t>3</w:t>
      </w:r>
      <w:r>
        <w:rPr>
          <w:kern w:val="2"/>
        </w:rPr>
        <w:t>、</w:t>
      </w:r>
      <w:r>
        <w:rPr>
          <w:snapToGrid w:val="0"/>
        </w:rPr>
        <w:t>NOx</w:t>
      </w:r>
      <w:r>
        <w:rPr>
          <w:snapToGrid w:val="0"/>
        </w:rPr>
        <w:t>执行《环境空气质量标准》（</w:t>
      </w:r>
      <w:r>
        <w:rPr>
          <w:snapToGrid w:val="0"/>
        </w:rPr>
        <w:t>GB3095-2012</w:t>
      </w:r>
      <w:r>
        <w:rPr>
          <w:snapToGrid w:val="0"/>
        </w:rPr>
        <w:t>）及其修改单中二级标准，硫酸雾</w:t>
      </w:r>
      <w:r>
        <w:rPr>
          <w:rFonts w:hint="eastAsia"/>
          <w:snapToGrid w:val="0"/>
        </w:rPr>
        <w:t>、</w:t>
      </w:r>
      <w:r>
        <w:rPr>
          <w:rFonts w:hint="eastAsia"/>
          <w:bCs/>
          <w:snapToGrid w:val="0"/>
        </w:rPr>
        <w:t>TVOC</w:t>
      </w:r>
      <w:r>
        <w:rPr>
          <w:snapToGrid w:val="0"/>
        </w:rPr>
        <w:t>执行</w:t>
      </w:r>
      <w:r>
        <w:rPr>
          <w:kern w:val="2"/>
        </w:rPr>
        <w:t>《环境影响评价技术导则</w:t>
      </w:r>
      <w:r>
        <w:rPr>
          <w:kern w:val="2"/>
        </w:rPr>
        <w:t xml:space="preserve"> </w:t>
      </w:r>
      <w:r>
        <w:rPr>
          <w:kern w:val="2"/>
        </w:rPr>
        <w:t>大气环境》（</w:t>
      </w:r>
      <w:r>
        <w:rPr>
          <w:kern w:val="2"/>
        </w:rPr>
        <w:t>HJ2.2-2018</w:t>
      </w:r>
      <w:r>
        <w:rPr>
          <w:kern w:val="2"/>
        </w:rPr>
        <w:t>）中附录</w:t>
      </w:r>
      <w:r>
        <w:rPr>
          <w:kern w:val="2"/>
        </w:rPr>
        <w:t>D“</w:t>
      </w:r>
      <w:r>
        <w:rPr>
          <w:kern w:val="2"/>
        </w:rPr>
        <w:t>表</w:t>
      </w:r>
      <w:r>
        <w:rPr>
          <w:kern w:val="2"/>
        </w:rPr>
        <w:t>D.1</w:t>
      </w:r>
      <w:r>
        <w:rPr>
          <w:kern w:val="2"/>
        </w:rPr>
        <w:t>其他污染物空气质量浓度参考限值</w:t>
      </w:r>
      <w:r>
        <w:rPr>
          <w:kern w:val="2"/>
        </w:rPr>
        <w:t>”</w:t>
      </w:r>
      <w:r>
        <w:rPr>
          <w:kern w:val="2"/>
        </w:rPr>
        <w:t>要求，具体标准值见表</w:t>
      </w:r>
      <w:r>
        <w:rPr>
          <w:kern w:val="2"/>
        </w:rPr>
        <w:t>2-28</w:t>
      </w:r>
      <w:r>
        <w:rPr>
          <w:kern w:val="2"/>
        </w:rPr>
        <w:t>。</w:t>
      </w:r>
    </w:p>
    <w:p w14:paraId="7ECF59A5" w14:textId="77777777" w:rsidR="003E78AB" w:rsidRDefault="00010BF9">
      <w:pPr>
        <w:pStyle w:val="a5"/>
      </w:pPr>
      <w:r>
        <w:t>大气环境质量标准</w:t>
      </w:r>
    </w:p>
    <w:tbl>
      <w:tblPr>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0"/>
        <w:gridCol w:w="972"/>
        <w:gridCol w:w="1129"/>
        <w:gridCol w:w="1010"/>
        <w:gridCol w:w="1142"/>
        <w:gridCol w:w="1084"/>
        <w:gridCol w:w="2713"/>
      </w:tblGrid>
      <w:tr w:rsidR="003E78AB" w14:paraId="5E1C712C" w14:textId="77777777">
        <w:trPr>
          <w:trHeight w:val="283"/>
          <w:tblHeader/>
          <w:jc w:val="center"/>
        </w:trPr>
        <w:tc>
          <w:tcPr>
            <w:tcW w:w="275" w:type="pct"/>
            <w:vMerge w:val="restart"/>
            <w:tcBorders>
              <w:bottom w:val="single" w:sz="4" w:space="0" w:color="auto"/>
              <w:right w:val="single" w:sz="4" w:space="0" w:color="auto"/>
            </w:tcBorders>
            <w:vAlign w:val="center"/>
          </w:tcPr>
          <w:p w14:paraId="73AF02DA" w14:textId="77777777" w:rsidR="003E78AB" w:rsidRDefault="00010BF9">
            <w:pPr>
              <w:spacing w:line="360" w:lineRule="exact"/>
              <w:ind w:firstLineChars="0" w:firstLine="0"/>
              <w:jc w:val="center"/>
              <w:rPr>
                <w:b/>
                <w:bCs/>
                <w:kern w:val="2"/>
                <w:sz w:val="21"/>
                <w:szCs w:val="21"/>
              </w:rPr>
            </w:pPr>
            <w:r>
              <w:rPr>
                <w:b/>
                <w:bCs/>
                <w:kern w:val="2"/>
                <w:sz w:val="21"/>
                <w:szCs w:val="21"/>
              </w:rPr>
              <w:t>序号</w:t>
            </w:r>
          </w:p>
        </w:tc>
        <w:tc>
          <w:tcPr>
            <w:tcW w:w="570" w:type="pct"/>
            <w:vMerge w:val="restart"/>
            <w:tcBorders>
              <w:left w:val="single" w:sz="4" w:space="0" w:color="auto"/>
              <w:bottom w:val="single" w:sz="4" w:space="0" w:color="auto"/>
              <w:right w:val="single" w:sz="4" w:space="0" w:color="auto"/>
            </w:tcBorders>
            <w:vAlign w:val="center"/>
          </w:tcPr>
          <w:p w14:paraId="1C0D6566" w14:textId="77777777" w:rsidR="003E78AB" w:rsidRDefault="00010BF9">
            <w:pPr>
              <w:spacing w:line="360" w:lineRule="exact"/>
              <w:ind w:firstLineChars="0" w:firstLine="0"/>
              <w:jc w:val="center"/>
              <w:rPr>
                <w:b/>
                <w:bCs/>
                <w:kern w:val="2"/>
                <w:sz w:val="21"/>
                <w:szCs w:val="21"/>
              </w:rPr>
            </w:pPr>
            <w:r>
              <w:rPr>
                <w:b/>
                <w:bCs/>
                <w:kern w:val="2"/>
                <w:sz w:val="21"/>
                <w:szCs w:val="21"/>
              </w:rPr>
              <w:t>评价</w:t>
            </w:r>
          </w:p>
          <w:p w14:paraId="48F7CBCD" w14:textId="77777777" w:rsidR="003E78AB" w:rsidRDefault="00010BF9">
            <w:pPr>
              <w:spacing w:line="360" w:lineRule="exact"/>
              <w:ind w:firstLineChars="0" w:firstLine="0"/>
              <w:jc w:val="center"/>
              <w:rPr>
                <w:b/>
                <w:bCs/>
                <w:kern w:val="2"/>
                <w:sz w:val="21"/>
                <w:szCs w:val="21"/>
              </w:rPr>
            </w:pPr>
            <w:r>
              <w:rPr>
                <w:b/>
                <w:bCs/>
                <w:kern w:val="2"/>
                <w:sz w:val="21"/>
                <w:szCs w:val="21"/>
              </w:rPr>
              <w:t>因子</w:t>
            </w:r>
          </w:p>
        </w:tc>
        <w:tc>
          <w:tcPr>
            <w:tcW w:w="2561" w:type="pct"/>
            <w:gridSpan w:val="4"/>
            <w:tcBorders>
              <w:left w:val="single" w:sz="4" w:space="0" w:color="auto"/>
              <w:bottom w:val="single" w:sz="4" w:space="0" w:color="auto"/>
              <w:right w:val="single" w:sz="4" w:space="0" w:color="auto"/>
            </w:tcBorders>
            <w:vAlign w:val="center"/>
          </w:tcPr>
          <w:p w14:paraId="655257D4" w14:textId="77777777" w:rsidR="003E78AB" w:rsidRDefault="00010BF9">
            <w:pPr>
              <w:spacing w:line="360" w:lineRule="exact"/>
              <w:ind w:firstLineChars="0" w:firstLine="0"/>
              <w:jc w:val="center"/>
              <w:rPr>
                <w:b/>
                <w:bCs/>
                <w:kern w:val="2"/>
                <w:sz w:val="21"/>
                <w:szCs w:val="21"/>
              </w:rPr>
            </w:pPr>
            <w:r>
              <w:rPr>
                <w:b/>
                <w:bCs/>
                <w:kern w:val="2"/>
                <w:sz w:val="21"/>
                <w:szCs w:val="21"/>
              </w:rPr>
              <w:t>平均时段及标准值（</w:t>
            </w:r>
            <w:r>
              <w:rPr>
                <w:b/>
                <w:bCs/>
                <w:kern w:val="2"/>
                <w:sz w:val="21"/>
                <w:szCs w:val="21"/>
              </w:rPr>
              <w:t>μg/m</w:t>
            </w:r>
            <w:r>
              <w:rPr>
                <w:b/>
                <w:bCs/>
                <w:kern w:val="2"/>
                <w:sz w:val="21"/>
                <w:szCs w:val="21"/>
                <w:vertAlign w:val="superscript"/>
              </w:rPr>
              <w:t>3</w:t>
            </w:r>
            <w:r>
              <w:rPr>
                <w:b/>
                <w:bCs/>
                <w:kern w:val="2"/>
                <w:sz w:val="21"/>
                <w:szCs w:val="21"/>
              </w:rPr>
              <w:t>）</w:t>
            </w:r>
          </w:p>
        </w:tc>
        <w:tc>
          <w:tcPr>
            <w:tcW w:w="1591" w:type="pct"/>
            <w:vMerge w:val="restart"/>
            <w:tcBorders>
              <w:left w:val="single" w:sz="4" w:space="0" w:color="auto"/>
              <w:bottom w:val="single" w:sz="4" w:space="0" w:color="auto"/>
            </w:tcBorders>
            <w:vAlign w:val="center"/>
          </w:tcPr>
          <w:p w14:paraId="2300507C" w14:textId="77777777" w:rsidR="003E78AB" w:rsidRDefault="00010BF9">
            <w:pPr>
              <w:spacing w:line="360" w:lineRule="exact"/>
              <w:ind w:firstLineChars="0" w:firstLine="0"/>
              <w:jc w:val="center"/>
              <w:rPr>
                <w:kern w:val="2"/>
                <w:sz w:val="21"/>
                <w:szCs w:val="21"/>
              </w:rPr>
            </w:pPr>
            <w:r>
              <w:rPr>
                <w:b/>
                <w:bCs/>
                <w:kern w:val="2"/>
                <w:sz w:val="21"/>
                <w:szCs w:val="21"/>
              </w:rPr>
              <w:t>标准来源</w:t>
            </w:r>
          </w:p>
        </w:tc>
      </w:tr>
      <w:tr w:rsidR="003E78AB" w14:paraId="5888D42F" w14:textId="77777777">
        <w:trPr>
          <w:trHeight w:val="283"/>
          <w:tblHeader/>
          <w:jc w:val="center"/>
        </w:trPr>
        <w:tc>
          <w:tcPr>
            <w:tcW w:w="275" w:type="pct"/>
            <w:vMerge/>
            <w:tcBorders>
              <w:top w:val="single" w:sz="4" w:space="0" w:color="auto"/>
              <w:bottom w:val="single" w:sz="4" w:space="0" w:color="auto"/>
              <w:right w:val="single" w:sz="4" w:space="0" w:color="auto"/>
            </w:tcBorders>
            <w:vAlign w:val="center"/>
          </w:tcPr>
          <w:p w14:paraId="042E93CF" w14:textId="77777777" w:rsidR="003E78AB" w:rsidRDefault="003E78AB">
            <w:pPr>
              <w:spacing w:line="360" w:lineRule="exact"/>
              <w:ind w:firstLineChars="0" w:firstLine="0"/>
              <w:jc w:val="center"/>
              <w:rPr>
                <w:b/>
                <w:bCs/>
                <w:kern w:val="2"/>
                <w:sz w:val="21"/>
                <w:szCs w:val="2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09E9121E" w14:textId="77777777" w:rsidR="003E78AB" w:rsidRDefault="003E78AB">
            <w:pPr>
              <w:spacing w:line="360" w:lineRule="exact"/>
              <w:ind w:firstLineChars="0" w:firstLine="0"/>
              <w:jc w:val="center"/>
              <w:rPr>
                <w:b/>
                <w:bCs/>
                <w:kern w:val="2"/>
                <w:sz w:val="21"/>
                <w:szCs w:val="21"/>
              </w:rPr>
            </w:pPr>
          </w:p>
        </w:tc>
        <w:tc>
          <w:tcPr>
            <w:tcW w:w="662" w:type="pct"/>
            <w:tcBorders>
              <w:top w:val="single" w:sz="4" w:space="0" w:color="auto"/>
              <w:left w:val="single" w:sz="4" w:space="0" w:color="auto"/>
              <w:bottom w:val="single" w:sz="4" w:space="0" w:color="auto"/>
              <w:right w:val="single" w:sz="4" w:space="0" w:color="auto"/>
            </w:tcBorders>
            <w:vAlign w:val="center"/>
          </w:tcPr>
          <w:p w14:paraId="4D68B8ED" w14:textId="77777777" w:rsidR="003E78AB" w:rsidRDefault="00010BF9">
            <w:pPr>
              <w:spacing w:line="360" w:lineRule="exact"/>
              <w:ind w:firstLineChars="0" w:firstLine="0"/>
              <w:jc w:val="center"/>
              <w:rPr>
                <w:b/>
                <w:bCs/>
                <w:kern w:val="2"/>
                <w:sz w:val="21"/>
                <w:szCs w:val="21"/>
              </w:rPr>
            </w:pPr>
            <w:r>
              <w:rPr>
                <w:b/>
                <w:bCs/>
                <w:kern w:val="2"/>
                <w:sz w:val="21"/>
                <w:szCs w:val="21"/>
              </w:rPr>
              <w:t>1h</w:t>
            </w:r>
            <w:r>
              <w:rPr>
                <w:b/>
                <w:bCs/>
                <w:kern w:val="2"/>
                <w:sz w:val="21"/>
                <w:szCs w:val="21"/>
              </w:rPr>
              <w:t>平均</w:t>
            </w:r>
          </w:p>
        </w:tc>
        <w:tc>
          <w:tcPr>
            <w:tcW w:w="593" w:type="pct"/>
            <w:tcBorders>
              <w:top w:val="single" w:sz="4" w:space="0" w:color="auto"/>
              <w:left w:val="single" w:sz="4" w:space="0" w:color="auto"/>
              <w:bottom w:val="single" w:sz="4" w:space="0" w:color="auto"/>
              <w:right w:val="single" w:sz="4" w:space="0" w:color="auto"/>
            </w:tcBorders>
            <w:vAlign w:val="center"/>
          </w:tcPr>
          <w:p w14:paraId="458B467F" w14:textId="77777777" w:rsidR="003E78AB" w:rsidRDefault="00010BF9">
            <w:pPr>
              <w:spacing w:line="360" w:lineRule="exact"/>
              <w:ind w:firstLineChars="0" w:firstLine="0"/>
              <w:jc w:val="center"/>
              <w:rPr>
                <w:b/>
                <w:bCs/>
                <w:kern w:val="2"/>
                <w:sz w:val="21"/>
                <w:szCs w:val="21"/>
              </w:rPr>
            </w:pPr>
            <w:r>
              <w:rPr>
                <w:rFonts w:hint="eastAsia"/>
                <w:b/>
                <w:bCs/>
                <w:kern w:val="2"/>
                <w:sz w:val="21"/>
                <w:szCs w:val="21"/>
                <w:u w:val="single"/>
              </w:rPr>
              <w:t>8h</w:t>
            </w:r>
            <w:r>
              <w:rPr>
                <w:rFonts w:hint="eastAsia"/>
                <w:b/>
                <w:bCs/>
                <w:kern w:val="2"/>
                <w:sz w:val="21"/>
                <w:szCs w:val="21"/>
                <w:u w:val="single"/>
              </w:rPr>
              <w:t>平均</w:t>
            </w:r>
          </w:p>
        </w:tc>
        <w:tc>
          <w:tcPr>
            <w:tcW w:w="670" w:type="pct"/>
            <w:tcBorders>
              <w:top w:val="single" w:sz="4" w:space="0" w:color="auto"/>
              <w:left w:val="single" w:sz="4" w:space="0" w:color="auto"/>
              <w:bottom w:val="single" w:sz="4" w:space="0" w:color="auto"/>
              <w:right w:val="single" w:sz="4" w:space="0" w:color="auto"/>
            </w:tcBorders>
            <w:vAlign w:val="center"/>
          </w:tcPr>
          <w:p w14:paraId="0B1C4D48" w14:textId="77777777" w:rsidR="003E78AB" w:rsidRDefault="00010BF9">
            <w:pPr>
              <w:spacing w:line="360" w:lineRule="exact"/>
              <w:ind w:firstLineChars="0" w:firstLine="0"/>
              <w:jc w:val="center"/>
              <w:rPr>
                <w:b/>
                <w:bCs/>
                <w:kern w:val="2"/>
                <w:sz w:val="21"/>
                <w:szCs w:val="21"/>
              </w:rPr>
            </w:pPr>
            <w:r>
              <w:rPr>
                <w:b/>
                <w:bCs/>
                <w:kern w:val="2"/>
                <w:sz w:val="21"/>
                <w:szCs w:val="21"/>
              </w:rPr>
              <w:t>24h</w:t>
            </w:r>
            <w:r>
              <w:rPr>
                <w:b/>
                <w:bCs/>
                <w:kern w:val="2"/>
                <w:sz w:val="21"/>
                <w:szCs w:val="21"/>
              </w:rPr>
              <w:t>平均</w:t>
            </w:r>
          </w:p>
        </w:tc>
        <w:tc>
          <w:tcPr>
            <w:tcW w:w="635" w:type="pct"/>
            <w:tcBorders>
              <w:top w:val="single" w:sz="4" w:space="0" w:color="auto"/>
              <w:left w:val="single" w:sz="4" w:space="0" w:color="auto"/>
              <w:bottom w:val="single" w:sz="4" w:space="0" w:color="auto"/>
              <w:right w:val="single" w:sz="4" w:space="0" w:color="auto"/>
            </w:tcBorders>
            <w:vAlign w:val="center"/>
          </w:tcPr>
          <w:p w14:paraId="57CD8026" w14:textId="77777777" w:rsidR="003E78AB" w:rsidRDefault="00010BF9">
            <w:pPr>
              <w:spacing w:line="360" w:lineRule="exact"/>
              <w:ind w:firstLineChars="0" w:firstLine="0"/>
              <w:jc w:val="center"/>
              <w:rPr>
                <w:b/>
                <w:bCs/>
                <w:kern w:val="2"/>
                <w:sz w:val="21"/>
                <w:szCs w:val="21"/>
              </w:rPr>
            </w:pPr>
            <w:r>
              <w:rPr>
                <w:b/>
                <w:bCs/>
                <w:kern w:val="2"/>
                <w:sz w:val="21"/>
                <w:szCs w:val="21"/>
              </w:rPr>
              <w:t>年平均</w:t>
            </w:r>
          </w:p>
        </w:tc>
        <w:tc>
          <w:tcPr>
            <w:tcW w:w="1591" w:type="pct"/>
            <w:vMerge/>
            <w:tcBorders>
              <w:top w:val="single" w:sz="4" w:space="0" w:color="auto"/>
              <w:left w:val="single" w:sz="4" w:space="0" w:color="auto"/>
              <w:bottom w:val="single" w:sz="4" w:space="0" w:color="auto"/>
            </w:tcBorders>
            <w:vAlign w:val="center"/>
          </w:tcPr>
          <w:p w14:paraId="01BA061A" w14:textId="77777777" w:rsidR="003E78AB" w:rsidRDefault="003E78AB">
            <w:pPr>
              <w:spacing w:line="360" w:lineRule="exact"/>
              <w:ind w:firstLineChars="0" w:firstLine="0"/>
              <w:jc w:val="center"/>
              <w:rPr>
                <w:kern w:val="2"/>
                <w:sz w:val="21"/>
                <w:szCs w:val="21"/>
              </w:rPr>
            </w:pPr>
          </w:p>
        </w:tc>
      </w:tr>
      <w:tr w:rsidR="003E78AB" w14:paraId="3210507B" w14:textId="77777777">
        <w:trPr>
          <w:trHeight w:val="283"/>
          <w:jc w:val="center"/>
        </w:trPr>
        <w:tc>
          <w:tcPr>
            <w:tcW w:w="275" w:type="pct"/>
            <w:tcBorders>
              <w:top w:val="single" w:sz="4" w:space="0" w:color="auto"/>
              <w:bottom w:val="single" w:sz="4" w:space="0" w:color="auto"/>
              <w:right w:val="single" w:sz="4" w:space="0" w:color="auto"/>
            </w:tcBorders>
            <w:vAlign w:val="center"/>
          </w:tcPr>
          <w:p w14:paraId="1440E685" w14:textId="77777777" w:rsidR="003E78AB" w:rsidRDefault="00010BF9">
            <w:pPr>
              <w:spacing w:line="360" w:lineRule="exact"/>
              <w:ind w:firstLineChars="0" w:firstLine="0"/>
              <w:jc w:val="center"/>
              <w:rPr>
                <w:kern w:val="2"/>
                <w:sz w:val="21"/>
                <w:szCs w:val="21"/>
              </w:rPr>
            </w:pPr>
            <w:r>
              <w:rPr>
                <w:kern w:val="2"/>
                <w:sz w:val="21"/>
                <w:szCs w:val="21"/>
              </w:rPr>
              <w:t>1</w:t>
            </w:r>
          </w:p>
        </w:tc>
        <w:tc>
          <w:tcPr>
            <w:tcW w:w="570" w:type="pct"/>
            <w:tcBorders>
              <w:top w:val="single" w:sz="4" w:space="0" w:color="auto"/>
              <w:left w:val="single" w:sz="4" w:space="0" w:color="auto"/>
              <w:bottom w:val="single" w:sz="4" w:space="0" w:color="auto"/>
              <w:right w:val="single" w:sz="4" w:space="0" w:color="auto"/>
            </w:tcBorders>
            <w:vAlign w:val="center"/>
          </w:tcPr>
          <w:p w14:paraId="18D845D3" w14:textId="77777777" w:rsidR="003E78AB" w:rsidRDefault="00010BF9">
            <w:pPr>
              <w:spacing w:line="360" w:lineRule="exact"/>
              <w:ind w:firstLineChars="0" w:firstLine="0"/>
              <w:jc w:val="center"/>
              <w:rPr>
                <w:kern w:val="2"/>
                <w:sz w:val="21"/>
                <w:szCs w:val="21"/>
              </w:rPr>
            </w:pPr>
            <w:r>
              <w:rPr>
                <w:kern w:val="2"/>
                <w:sz w:val="21"/>
                <w:szCs w:val="21"/>
              </w:rPr>
              <w:t>SO</w:t>
            </w:r>
            <w:r>
              <w:rPr>
                <w:kern w:val="2"/>
                <w:sz w:val="21"/>
                <w:szCs w:val="21"/>
                <w:vertAlign w:val="subscript"/>
              </w:rPr>
              <w:t>2</w:t>
            </w:r>
          </w:p>
        </w:tc>
        <w:tc>
          <w:tcPr>
            <w:tcW w:w="662" w:type="pct"/>
            <w:tcBorders>
              <w:top w:val="single" w:sz="4" w:space="0" w:color="auto"/>
              <w:left w:val="single" w:sz="4" w:space="0" w:color="auto"/>
              <w:bottom w:val="single" w:sz="4" w:space="0" w:color="auto"/>
              <w:right w:val="single" w:sz="4" w:space="0" w:color="auto"/>
            </w:tcBorders>
            <w:vAlign w:val="center"/>
          </w:tcPr>
          <w:p w14:paraId="3BFB6A66" w14:textId="77777777" w:rsidR="003E78AB" w:rsidRDefault="00010BF9">
            <w:pPr>
              <w:spacing w:line="360" w:lineRule="exact"/>
              <w:ind w:firstLineChars="0" w:firstLine="0"/>
              <w:jc w:val="center"/>
              <w:rPr>
                <w:kern w:val="2"/>
                <w:sz w:val="21"/>
                <w:szCs w:val="21"/>
              </w:rPr>
            </w:pPr>
            <w:r>
              <w:rPr>
                <w:kern w:val="2"/>
                <w:sz w:val="21"/>
                <w:szCs w:val="21"/>
              </w:rPr>
              <w:t>500</w:t>
            </w:r>
          </w:p>
        </w:tc>
        <w:tc>
          <w:tcPr>
            <w:tcW w:w="593" w:type="pct"/>
            <w:tcBorders>
              <w:top w:val="single" w:sz="4" w:space="0" w:color="auto"/>
              <w:left w:val="single" w:sz="4" w:space="0" w:color="auto"/>
              <w:bottom w:val="single" w:sz="4" w:space="0" w:color="auto"/>
              <w:right w:val="single" w:sz="4" w:space="0" w:color="auto"/>
            </w:tcBorders>
            <w:vAlign w:val="center"/>
          </w:tcPr>
          <w:p w14:paraId="372D8E1E"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69B1DE2D" w14:textId="77777777" w:rsidR="003E78AB" w:rsidRDefault="00010BF9">
            <w:pPr>
              <w:spacing w:line="360" w:lineRule="exact"/>
              <w:ind w:firstLineChars="0" w:firstLine="0"/>
              <w:jc w:val="center"/>
              <w:rPr>
                <w:kern w:val="2"/>
                <w:sz w:val="21"/>
                <w:szCs w:val="21"/>
              </w:rPr>
            </w:pPr>
            <w:r>
              <w:rPr>
                <w:kern w:val="2"/>
                <w:sz w:val="21"/>
                <w:szCs w:val="21"/>
              </w:rPr>
              <w:t>150</w:t>
            </w:r>
          </w:p>
        </w:tc>
        <w:tc>
          <w:tcPr>
            <w:tcW w:w="635" w:type="pct"/>
            <w:tcBorders>
              <w:top w:val="single" w:sz="4" w:space="0" w:color="auto"/>
              <w:left w:val="single" w:sz="4" w:space="0" w:color="auto"/>
              <w:bottom w:val="single" w:sz="4" w:space="0" w:color="auto"/>
              <w:right w:val="single" w:sz="4" w:space="0" w:color="auto"/>
            </w:tcBorders>
            <w:vAlign w:val="center"/>
          </w:tcPr>
          <w:p w14:paraId="67A556E9" w14:textId="77777777" w:rsidR="003E78AB" w:rsidRDefault="00010BF9">
            <w:pPr>
              <w:spacing w:line="360" w:lineRule="exact"/>
              <w:ind w:firstLineChars="0" w:firstLine="0"/>
              <w:jc w:val="center"/>
              <w:rPr>
                <w:kern w:val="2"/>
                <w:sz w:val="21"/>
                <w:szCs w:val="21"/>
              </w:rPr>
            </w:pPr>
            <w:r>
              <w:rPr>
                <w:kern w:val="2"/>
                <w:sz w:val="21"/>
                <w:szCs w:val="21"/>
              </w:rPr>
              <w:t>60</w:t>
            </w:r>
          </w:p>
        </w:tc>
        <w:tc>
          <w:tcPr>
            <w:tcW w:w="1591" w:type="pct"/>
            <w:vMerge w:val="restart"/>
            <w:tcBorders>
              <w:top w:val="single" w:sz="4" w:space="0" w:color="auto"/>
              <w:left w:val="single" w:sz="4" w:space="0" w:color="auto"/>
            </w:tcBorders>
            <w:vAlign w:val="center"/>
          </w:tcPr>
          <w:p w14:paraId="4D041E6E" w14:textId="77777777" w:rsidR="003E78AB" w:rsidRDefault="00010BF9">
            <w:pPr>
              <w:spacing w:line="360" w:lineRule="exact"/>
              <w:ind w:firstLineChars="0" w:firstLine="0"/>
              <w:jc w:val="center"/>
              <w:rPr>
                <w:kern w:val="2"/>
                <w:sz w:val="21"/>
                <w:szCs w:val="21"/>
              </w:rPr>
            </w:pPr>
            <w:r>
              <w:rPr>
                <w:kern w:val="2"/>
                <w:sz w:val="21"/>
                <w:szCs w:val="21"/>
              </w:rPr>
              <w:t>《环境空气质量标准》（</w:t>
            </w:r>
            <w:r>
              <w:rPr>
                <w:kern w:val="2"/>
                <w:sz w:val="21"/>
                <w:szCs w:val="21"/>
              </w:rPr>
              <w:t>GB3095-2012</w:t>
            </w:r>
            <w:r>
              <w:rPr>
                <w:kern w:val="2"/>
                <w:sz w:val="21"/>
                <w:szCs w:val="21"/>
              </w:rPr>
              <w:t>）及其修改单中二级标准</w:t>
            </w:r>
          </w:p>
        </w:tc>
      </w:tr>
      <w:tr w:rsidR="003E78AB" w14:paraId="016E68C2" w14:textId="77777777">
        <w:trPr>
          <w:trHeight w:val="348"/>
          <w:jc w:val="center"/>
        </w:trPr>
        <w:tc>
          <w:tcPr>
            <w:tcW w:w="275" w:type="pct"/>
            <w:tcBorders>
              <w:top w:val="single" w:sz="4" w:space="0" w:color="auto"/>
              <w:bottom w:val="single" w:sz="4" w:space="0" w:color="auto"/>
              <w:right w:val="single" w:sz="4" w:space="0" w:color="auto"/>
            </w:tcBorders>
            <w:vAlign w:val="center"/>
          </w:tcPr>
          <w:p w14:paraId="36EC5574" w14:textId="77777777" w:rsidR="003E78AB" w:rsidRDefault="00010BF9">
            <w:pPr>
              <w:spacing w:line="360" w:lineRule="exact"/>
              <w:ind w:firstLineChars="0" w:firstLine="0"/>
              <w:jc w:val="center"/>
              <w:rPr>
                <w:kern w:val="2"/>
                <w:sz w:val="21"/>
                <w:szCs w:val="21"/>
              </w:rPr>
            </w:pPr>
            <w:r>
              <w:rPr>
                <w:kern w:val="2"/>
                <w:sz w:val="21"/>
                <w:szCs w:val="21"/>
              </w:rPr>
              <w:t>2</w:t>
            </w:r>
          </w:p>
        </w:tc>
        <w:tc>
          <w:tcPr>
            <w:tcW w:w="570" w:type="pct"/>
            <w:tcBorders>
              <w:top w:val="single" w:sz="4" w:space="0" w:color="auto"/>
              <w:left w:val="single" w:sz="4" w:space="0" w:color="auto"/>
              <w:bottom w:val="single" w:sz="4" w:space="0" w:color="auto"/>
              <w:right w:val="single" w:sz="4" w:space="0" w:color="auto"/>
            </w:tcBorders>
            <w:vAlign w:val="center"/>
          </w:tcPr>
          <w:p w14:paraId="239703A8" w14:textId="77777777" w:rsidR="003E78AB" w:rsidRDefault="00010BF9">
            <w:pPr>
              <w:spacing w:line="360" w:lineRule="exact"/>
              <w:ind w:firstLineChars="0" w:firstLine="0"/>
              <w:jc w:val="center"/>
              <w:rPr>
                <w:kern w:val="2"/>
                <w:sz w:val="21"/>
                <w:szCs w:val="21"/>
              </w:rPr>
            </w:pPr>
            <w:r>
              <w:rPr>
                <w:kern w:val="2"/>
                <w:sz w:val="21"/>
                <w:szCs w:val="21"/>
              </w:rPr>
              <w:t>NO</w:t>
            </w:r>
            <w:r>
              <w:rPr>
                <w:kern w:val="2"/>
                <w:sz w:val="21"/>
                <w:szCs w:val="21"/>
                <w:vertAlign w:val="subscript"/>
              </w:rPr>
              <w:t>2</w:t>
            </w:r>
          </w:p>
        </w:tc>
        <w:tc>
          <w:tcPr>
            <w:tcW w:w="662" w:type="pct"/>
            <w:tcBorders>
              <w:top w:val="single" w:sz="4" w:space="0" w:color="auto"/>
              <w:left w:val="single" w:sz="4" w:space="0" w:color="auto"/>
              <w:bottom w:val="single" w:sz="4" w:space="0" w:color="auto"/>
              <w:right w:val="single" w:sz="4" w:space="0" w:color="auto"/>
            </w:tcBorders>
            <w:vAlign w:val="center"/>
          </w:tcPr>
          <w:p w14:paraId="73740691" w14:textId="77777777" w:rsidR="003E78AB" w:rsidRDefault="00010BF9">
            <w:pPr>
              <w:spacing w:line="360" w:lineRule="exact"/>
              <w:ind w:firstLineChars="0" w:firstLine="0"/>
              <w:jc w:val="center"/>
              <w:rPr>
                <w:kern w:val="2"/>
                <w:sz w:val="21"/>
                <w:szCs w:val="21"/>
              </w:rPr>
            </w:pPr>
            <w:r>
              <w:rPr>
                <w:kern w:val="2"/>
                <w:sz w:val="21"/>
                <w:szCs w:val="21"/>
              </w:rPr>
              <w:t>200</w:t>
            </w:r>
          </w:p>
        </w:tc>
        <w:tc>
          <w:tcPr>
            <w:tcW w:w="593" w:type="pct"/>
            <w:tcBorders>
              <w:top w:val="single" w:sz="4" w:space="0" w:color="auto"/>
              <w:left w:val="single" w:sz="4" w:space="0" w:color="auto"/>
              <w:bottom w:val="single" w:sz="4" w:space="0" w:color="auto"/>
              <w:right w:val="single" w:sz="4" w:space="0" w:color="auto"/>
            </w:tcBorders>
            <w:vAlign w:val="center"/>
          </w:tcPr>
          <w:p w14:paraId="452CCDE7"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62E4000A" w14:textId="77777777" w:rsidR="003E78AB" w:rsidRDefault="00010BF9">
            <w:pPr>
              <w:spacing w:line="360" w:lineRule="exact"/>
              <w:ind w:firstLineChars="0" w:firstLine="0"/>
              <w:jc w:val="center"/>
              <w:rPr>
                <w:kern w:val="2"/>
                <w:sz w:val="21"/>
                <w:szCs w:val="21"/>
              </w:rPr>
            </w:pPr>
            <w:r>
              <w:rPr>
                <w:kern w:val="2"/>
                <w:sz w:val="21"/>
                <w:szCs w:val="21"/>
              </w:rPr>
              <w:t>80</w:t>
            </w:r>
          </w:p>
        </w:tc>
        <w:tc>
          <w:tcPr>
            <w:tcW w:w="635" w:type="pct"/>
            <w:tcBorders>
              <w:top w:val="single" w:sz="4" w:space="0" w:color="auto"/>
              <w:left w:val="single" w:sz="4" w:space="0" w:color="auto"/>
              <w:bottom w:val="single" w:sz="4" w:space="0" w:color="auto"/>
              <w:right w:val="single" w:sz="4" w:space="0" w:color="auto"/>
            </w:tcBorders>
            <w:vAlign w:val="center"/>
          </w:tcPr>
          <w:p w14:paraId="5FE279C4" w14:textId="77777777" w:rsidR="003E78AB" w:rsidRDefault="00010BF9">
            <w:pPr>
              <w:spacing w:line="360" w:lineRule="exact"/>
              <w:ind w:firstLineChars="0" w:firstLine="0"/>
              <w:jc w:val="center"/>
              <w:rPr>
                <w:kern w:val="2"/>
                <w:sz w:val="21"/>
                <w:szCs w:val="21"/>
              </w:rPr>
            </w:pPr>
            <w:r>
              <w:rPr>
                <w:kern w:val="2"/>
                <w:sz w:val="21"/>
                <w:szCs w:val="21"/>
              </w:rPr>
              <w:t>40</w:t>
            </w:r>
          </w:p>
        </w:tc>
        <w:tc>
          <w:tcPr>
            <w:tcW w:w="1591" w:type="pct"/>
            <w:vMerge/>
            <w:tcBorders>
              <w:left w:val="single" w:sz="4" w:space="0" w:color="auto"/>
            </w:tcBorders>
            <w:vAlign w:val="center"/>
          </w:tcPr>
          <w:p w14:paraId="0E6630E5" w14:textId="77777777" w:rsidR="003E78AB" w:rsidRDefault="003E78AB">
            <w:pPr>
              <w:spacing w:line="360" w:lineRule="exact"/>
              <w:ind w:firstLineChars="0" w:firstLine="0"/>
              <w:jc w:val="center"/>
              <w:rPr>
                <w:kern w:val="2"/>
                <w:sz w:val="21"/>
                <w:szCs w:val="21"/>
              </w:rPr>
            </w:pPr>
          </w:p>
        </w:tc>
      </w:tr>
      <w:tr w:rsidR="003E78AB" w14:paraId="308FAF73" w14:textId="77777777">
        <w:trPr>
          <w:trHeight w:val="283"/>
          <w:jc w:val="center"/>
        </w:trPr>
        <w:tc>
          <w:tcPr>
            <w:tcW w:w="275" w:type="pct"/>
            <w:tcBorders>
              <w:top w:val="single" w:sz="4" w:space="0" w:color="auto"/>
              <w:bottom w:val="single" w:sz="4" w:space="0" w:color="auto"/>
              <w:right w:val="single" w:sz="4" w:space="0" w:color="auto"/>
            </w:tcBorders>
            <w:vAlign w:val="center"/>
          </w:tcPr>
          <w:p w14:paraId="03B58A5C" w14:textId="77777777" w:rsidR="003E78AB" w:rsidRDefault="00010BF9">
            <w:pPr>
              <w:spacing w:line="360" w:lineRule="exact"/>
              <w:ind w:firstLineChars="0" w:firstLine="0"/>
              <w:jc w:val="center"/>
              <w:rPr>
                <w:kern w:val="2"/>
                <w:sz w:val="21"/>
                <w:szCs w:val="21"/>
              </w:rPr>
            </w:pPr>
            <w:r>
              <w:rPr>
                <w:kern w:val="2"/>
                <w:sz w:val="21"/>
                <w:szCs w:val="21"/>
              </w:rPr>
              <w:t>3</w:t>
            </w:r>
          </w:p>
        </w:tc>
        <w:tc>
          <w:tcPr>
            <w:tcW w:w="570" w:type="pct"/>
            <w:tcBorders>
              <w:top w:val="single" w:sz="4" w:space="0" w:color="auto"/>
              <w:left w:val="single" w:sz="4" w:space="0" w:color="auto"/>
              <w:bottom w:val="single" w:sz="4" w:space="0" w:color="auto"/>
              <w:right w:val="single" w:sz="4" w:space="0" w:color="auto"/>
            </w:tcBorders>
            <w:vAlign w:val="center"/>
          </w:tcPr>
          <w:p w14:paraId="6689A185" w14:textId="77777777" w:rsidR="003E78AB" w:rsidRDefault="00010BF9">
            <w:pPr>
              <w:spacing w:line="360" w:lineRule="exact"/>
              <w:ind w:firstLineChars="0" w:firstLine="0"/>
              <w:jc w:val="center"/>
              <w:rPr>
                <w:kern w:val="2"/>
                <w:sz w:val="21"/>
                <w:szCs w:val="21"/>
              </w:rPr>
            </w:pPr>
            <w:r>
              <w:rPr>
                <w:kern w:val="2"/>
                <w:sz w:val="21"/>
                <w:szCs w:val="21"/>
              </w:rPr>
              <w:t>CO</w:t>
            </w:r>
          </w:p>
        </w:tc>
        <w:tc>
          <w:tcPr>
            <w:tcW w:w="662" w:type="pct"/>
            <w:tcBorders>
              <w:top w:val="single" w:sz="4" w:space="0" w:color="auto"/>
              <w:left w:val="single" w:sz="4" w:space="0" w:color="auto"/>
              <w:bottom w:val="single" w:sz="4" w:space="0" w:color="auto"/>
              <w:right w:val="single" w:sz="4" w:space="0" w:color="auto"/>
            </w:tcBorders>
            <w:vAlign w:val="center"/>
          </w:tcPr>
          <w:p w14:paraId="49065632" w14:textId="77777777" w:rsidR="003E78AB" w:rsidRDefault="00010BF9">
            <w:pPr>
              <w:spacing w:line="360" w:lineRule="exact"/>
              <w:ind w:firstLineChars="0" w:firstLine="0"/>
              <w:jc w:val="center"/>
              <w:rPr>
                <w:kern w:val="2"/>
                <w:sz w:val="21"/>
                <w:szCs w:val="21"/>
              </w:rPr>
            </w:pPr>
            <w:r>
              <w:rPr>
                <w:kern w:val="2"/>
                <w:sz w:val="21"/>
                <w:szCs w:val="21"/>
              </w:rPr>
              <w:t>10mg/m</w:t>
            </w:r>
            <w:r>
              <w:rPr>
                <w:kern w:val="2"/>
                <w:sz w:val="21"/>
                <w:szCs w:val="21"/>
                <w:vertAlign w:val="superscript"/>
              </w:rPr>
              <w:t>3</w:t>
            </w:r>
          </w:p>
        </w:tc>
        <w:tc>
          <w:tcPr>
            <w:tcW w:w="593" w:type="pct"/>
            <w:tcBorders>
              <w:top w:val="single" w:sz="4" w:space="0" w:color="auto"/>
              <w:left w:val="single" w:sz="4" w:space="0" w:color="auto"/>
              <w:bottom w:val="single" w:sz="4" w:space="0" w:color="auto"/>
              <w:right w:val="single" w:sz="4" w:space="0" w:color="auto"/>
            </w:tcBorders>
            <w:vAlign w:val="center"/>
          </w:tcPr>
          <w:p w14:paraId="1325A5D1"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2656FAC0" w14:textId="77777777" w:rsidR="003E78AB" w:rsidRDefault="00010BF9">
            <w:pPr>
              <w:spacing w:line="360" w:lineRule="exact"/>
              <w:ind w:firstLineChars="0" w:firstLine="0"/>
              <w:jc w:val="center"/>
              <w:rPr>
                <w:kern w:val="2"/>
                <w:sz w:val="21"/>
                <w:szCs w:val="21"/>
              </w:rPr>
            </w:pPr>
            <w:r>
              <w:rPr>
                <w:kern w:val="2"/>
                <w:sz w:val="21"/>
                <w:szCs w:val="21"/>
              </w:rPr>
              <w:t>4mg/m</w:t>
            </w:r>
            <w:r>
              <w:rPr>
                <w:kern w:val="2"/>
                <w:sz w:val="21"/>
                <w:szCs w:val="21"/>
                <w:vertAlign w:val="superscript"/>
              </w:rPr>
              <w:t>3</w:t>
            </w:r>
          </w:p>
        </w:tc>
        <w:tc>
          <w:tcPr>
            <w:tcW w:w="635" w:type="pct"/>
            <w:tcBorders>
              <w:top w:val="single" w:sz="4" w:space="0" w:color="auto"/>
              <w:left w:val="single" w:sz="4" w:space="0" w:color="auto"/>
              <w:bottom w:val="single" w:sz="4" w:space="0" w:color="auto"/>
              <w:right w:val="single" w:sz="4" w:space="0" w:color="auto"/>
            </w:tcBorders>
            <w:vAlign w:val="center"/>
          </w:tcPr>
          <w:p w14:paraId="71DE5796" w14:textId="77777777" w:rsidR="003E78AB" w:rsidRDefault="00010BF9">
            <w:pPr>
              <w:spacing w:line="360" w:lineRule="exact"/>
              <w:ind w:firstLineChars="0" w:firstLine="0"/>
              <w:jc w:val="center"/>
              <w:rPr>
                <w:kern w:val="2"/>
                <w:sz w:val="21"/>
                <w:szCs w:val="21"/>
              </w:rPr>
            </w:pPr>
            <w:r>
              <w:rPr>
                <w:kern w:val="2"/>
                <w:sz w:val="21"/>
                <w:szCs w:val="21"/>
              </w:rPr>
              <w:t>/</w:t>
            </w:r>
          </w:p>
        </w:tc>
        <w:tc>
          <w:tcPr>
            <w:tcW w:w="1591" w:type="pct"/>
            <w:vMerge/>
            <w:tcBorders>
              <w:left w:val="single" w:sz="4" w:space="0" w:color="auto"/>
            </w:tcBorders>
            <w:vAlign w:val="center"/>
          </w:tcPr>
          <w:p w14:paraId="79D30C66" w14:textId="77777777" w:rsidR="003E78AB" w:rsidRDefault="003E78AB">
            <w:pPr>
              <w:spacing w:line="360" w:lineRule="exact"/>
              <w:ind w:firstLineChars="0" w:firstLine="0"/>
              <w:jc w:val="center"/>
              <w:rPr>
                <w:kern w:val="2"/>
                <w:sz w:val="21"/>
                <w:szCs w:val="21"/>
              </w:rPr>
            </w:pPr>
          </w:p>
        </w:tc>
      </w:tr>
      <w:tr w:rsidR="003E78AB" w14:paraId="5A2D245C" w14:textId="77777777">
        <w:trPr>
          <w:trHeight w:val="283"/>
          <w:jc w:val="center"/>
        </w:trPr>
        <w:tc>
          <w:tcPr>
            <w:tcW w:w="275" w:type="pct"/>
            <w:tcBorders>
              <w:top w:val="single" w:sz="4" w:space="0" w:color="auto"/>
              <w:bottom w:val="single" w:sz="4" w:space="0" w:color="auto"/>
              <w:right w:val="single" w:sz="4" w:space="0" w:color="auto"/>
            </w:tcBorders>
            <w:vAlign w:val="center"/>
          </w:tcPr>
          <w:p w14:paraId="134A9523" w14:textId="77777777" w:rsidR="003E78AB" w:rsidRDefault="00010BF9">
            <w:pPr>
              <w:spacing w:line="360" w:lineRule="exact"/>
              <w:ind w:firstLineChars="0" w:firstLine="0"/>
              <w:jc w:val="center"/>
              <w:rPr>
                <w:kern w:val="2"/>
                <w:sz w:val="21"/>
                <w:szCs w:val="21"/>
              </w:rPr>
            </w:pPr>
            <w:r>
              <w:rPr>
                <w:kern w:val="2"/>
                <w:sz w:val="21"/>
                <w:szCs w:val="21"/>
              </w:rPr>
              <w:t>4</w:t>
            </w:r>
          </w:p>
        </w:tc>
        <w:tc>
          <w:tcPr>
            <w:tcW w:w="570" w:type="pct"/>
            <w:tcBorders>
              <w:top w:val="single" w:sz="4" w:space="0" w:color="auto"/>
              <w:left w:val="single" w:sz="4" w:space="0" w:color="auto"/>
              <w:bottom w:val="single" w:sz="4" w:space="0" w:color="auto"/>
              <w:right w:val="single" w:sz="4" w:space="0" w:color="auto"/>
            </w:tcBorders>
            <w:vAlign w:val="center"/>
          </w:tcPr>
          <w:p w14:paraId="2F4828B2" w14:textId="77777777" w:rsidR="003E78AB" w:rsidRDefault="00010BF9">
            <w:pPr>
              <w:spacing w:line="360" w:lineRule="exact"/>
              <w:ind w:firstLineChars="0" w:firstLine="0"/>
              <w:jc w:val="center"/>
              <w:rPr>
                <w:kern w:val="2"/>
                <w:sz w:val="21"/>
                <w:szCs w:val="21"/>
              </w:rPr>
            </w:pPr>
            <w:r>
              <w:rPr>
                <w:kern w:val="2"/>
                <w:sz w:val="21"/>
                <w:szCs w:val="21"/>
              </w:rPr>
              <w:t>PM</w:t>
            </w:r>
            <w:r>
              <w:rPr>
                <w:kern w:val="2"/>
                <w:sz w:val="21"/>
                <w:szCs w:val="21"/>
                <w:vertAlign w:val="subscript"/>
              </w:rPr>
              <w:t>10</w:t>
            </w:r>
          </w:p>
        </w:tc>
        <w:tc>
          <w:tcPr>
            <w:tcW w:w="662" w:type="pct"/>
            <w:tcBorders>
              <w:top w:val="single" w:sz="4" w:space="0" w:color="auto"/>
              <w:left w:val="single" w:sz="4" w:space="0" w:color="auto"/>
              <w:bottom w:val="single" w:sz="4" w:space="0" w:color="auto"/>
              <w:right w:val="single" w:sz="4" w:space="0" w:color="auto"/>
            </w:tcBorders>
            <w:vAlign w:val="center"/>
          </w:tcPr>
          <w:p w14:paraId="7E4E0B5A" w14:textId="77777777" w:rsidR="003E78AB" w:rsidRDefault="00010BF9">
            <w:pPr>
              <w:spacing w:line="360" w:lineRule="exact"/>
              <w:ind w:firstLineChars="0" w:firstLine="0"/>
              <w:jc w:val="center"/>
              <w:rPr>
                <w:bCs/>
                <w:iCs/>
                <w:kern w:val="2"/>
                <w:sz w:val="21"/>
                <w:szCs w:val="21"/>
              </w:rPr>
            </w:pPr>
            <w:r>
              <w:rPr>
                <w:bCs/>
                <w:iCs/>
                <w:kern w:val="2"/>
                <w:sz w:val="21"/>
                <w:szCs w:val="21"/>
              </w:rPr>
              <w:t>/</w:t>
            </w:r>
          </w:p>
        </w:tc>
        <w:tc>
          <w:tcPr>
            <w:tcW w:w="593" w:type="pct"/>
            <w:tcBorders>
              <w:top w:val="single" w:sz="4" w:space="0" w:color="auto"/>
              <w:left w:val="single" w:sz="4" w:space="0" w:color="auto"/>
              <w:bottom w:val="single" w:sz="4" w:space="0" w:color="auto"/>
              <w:right w:val="single" w:sz="4" w:space="0" w:color="auto"/>
            </w:tcBorders>
            <w:vAlign w:val="center"/>
          </w:tcPr>
          <w:p w14:paraId="131681F8"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6184CDC0" w14:textId="77777777" w:rsidR="003E78AB" w:rsidRDefault="00010BF9">
            <w:pPr>
              <w:spacing w:line="360" w:lineRule="exact"/>
              <w:ind w:firstLineChars="0" w:firstLine="0"/>
              <w:jc w:val="center"/>
              <w:rPr>
                <w:kern w:val="2"/>
                <w:sz w:val="21"/>
                <w:szCs w:val="21"/>
              </w:rPr>
            </w:pPr>
            <w:r>
              <w:rPr>
                <w:kern w:val="2"/>
                <w:sz w:val="21"/>
                <w:szCs w:val="21"/>
              </w:rPr>
              <w:t>150</w:t>
            </w:r>
          </w:p>
        </w:tc>
        <w:tc>
          <w:tcPr>
            <w:tcW w:w="635" w:type="pct"/>
            <w:tcBorders>
              <w:top w:val="single" w:sz="4" w:space="0" w:color="auto"/>
              <w:left w:val="single" w:sz="4" w:space="0" w:color="auto"/>
              <w:bottom w:val="single" w:sz="4" w:space="0" w:color="auto"/>
              <w:right w:val="single" w:sz="4" w:space="0" w:color="auto"/>
            </w:tcBorders>
            <w:vAlign w:val="center"/>
          </w:tcPr>
          <w:p w14:paraId="3ED6239B" w14:textId="77777777" w:rsidR="003E78AB" w:rsidRDefault="00010BF9">
            <w:pPr>
              <w:spacing w:line="360" w:lineRule="exact"/>
              <w:ind w:firstLineChars="0" w:firstLine="0"/>
              <w:jc w:val="center"/>
              <w:rPr>
                <w:kern w:val="2"/>
                <w:sz w:val="21"/>
                <w:szCs w:val="21"/>
              </w:rPr>
            </w:pPr>
            <w:r>
              <w:rPr>
                <w:kern w:val="2"/>
                <w:sz w:val="21"/>
                <w:szCs w:val="21"/>
              </w:rPr>
              <w:t>70</w:t>
            </w:r>
          </w:p>
        </w:tc>
        <w:tc>
          <w:tcPr>
            <w:tcW w:w="1591" w:type="pct"/>
            <w:vMerge/>
            <w:tcBorders>
              <w:left w:val="single" w:sz="4" w:space="0" w:color="auto"/>
            </w:tcBorders>
            <w:vAlign w:val="center"/>
          </w:tcPr>
          <w:p w14:paraId="3820B784" w14:textId="77777777" w:rsidR="003E78AB" w:rsidRDefault="003E78AB">
            <w:pPr>
              <w:spacing w:line="360" w:lineRule="exact"/>
              <w:ind w:firstLineChars="0" w:firstLine="0"/>
              <w:jc w:val="center"/>
              <w:rPr>
                <w:kern w:val="2"/>
                <w:sz w:val="21"/>
                <w:szCs w:val="21"/>
              </w:rPr>
            </w:pPr>
          </w:p>
        </w:tc>
      </w:tr>
      <w:tr w:rsidR="003E78AB" w14:paraId="68EED1AC" w14:textId="77777777">
        <w:trPr>
          <w:trHeight w:val="283"/>
          <w:jc w:val="center"/>
        </w:trPr>
        <w:tc>
          <w:tcPr>
            <w:tcW w:w="275" w:type="pct"/>
            <w:tcBorders>
              <w:top w:val="single" w:sz="4" w:space="0" w:color="auto"/>
              <w:bottom w:val="single" w:sz="4" w:space="0" w:color="auto"/>
              <w:right w:val="single" w:sz="4" w:space="0" w:color="auto"/>
            </w:tcBorders>
            <w:vAlign w:val="center"/>
          </w:tcPr>
          <w:p w14:paraId="10D8BC5C" w14:textId="77777777" w:rsidR="003E78AB" w:rsidRDefault="00010BF9">
            <w:pPr>
              <w:spacing w:line="360" w:lineRule="exact"/>
              <w:ind w:firstLineChars="0" w:firstLine="0"/>
              <w:jc w:val="center"/>
              <w:rPr>
                <w:kern w:val="2"/>
                <w:sz w:val="21"/>
                <w:szCs w:val="21"/>
              </w:rPr>
            </w:pPr>
            <w:r>
              <w:rPr>
                <w:kern w:val="2"/>
                <w:sz w:val="21"/>
                <w:szCs w:val="21"/>
              </w:rPr>
              <w:t>5</w:t>
            </w:r>
          </w:p>
        </w:tc>
        <w:tc>
          <w:tcPr>
            <w:tcW w:w="570" w:type="pct"/>
            <w:tcBorders>
              <w:top w:val="single" w:sz="4" w:space="0" w:color="auto"/>
              <w:left w:val="single" w:sz="4" w:space="0" w:color="auto"/>
              <w:bottom w:val="single" w:sz="4" w:space="0" w:color="auto"/>
              <w:right w:val="single" w:sz="4" w:space="0" w:color="auto"/>
            </w:tcBorders>
            <w:vAlign w:val="center"/>
          </w:tcPr>
          <w:p w14:paraId="65BECE37" w14:textId="77777777" w:rsidR="003E78AB" w:rsidRDefault="00010BF9">
            <w:pPr>
              <w:spacing w:line="360" w:lineRule="exact"/>
              <w:ind w:firstLineChars="0" w:firstLine="0"/>
              <w:jc w:val="center"/>
              <w:rPr>
                <w:kern w:val="2"/>
                <w:sz w:val="21"/>
                <w:szCs w:val="21"/>
              </w:rPr>
            </w:pPr>
            <w:r>
              <w:rPr>
                <w:kern w:val="2"/>
                <w:sz w:val="21"/>
                <w:szCs w:val="21"/>
              </w:rPr>
              <w:t>PM</w:t>
            </w:r>
            <w:r>
              <w:rPr>
                <w:kern w:val="2"/>
                <w:sz w:val="21"/>
                <w:szCs w:val="21"/>
                <w:vertAlign w:val="subscript"/>
              </w:rPr>
              <w:t>2.5</w:t>
            </w:r>
          </w:p>
        </w:tc>
        <w:tc>
          <w:tcPr>
            <w:tcW w:w="662" w:type="pct"/>
            <w:tcBorders>
              <w:top w:val="single" w:sz="4" w:space="0" w:color="auto"/>
              <w:left w:val="single" w:sz="4" w:space="0" w:color="auto"/>
              <w:bottom w:val="single" w:sz="4" w:space="0" w:color="auto"/>
              <w:right w:val="single" w:sz="4" w:space="0" w:color="auto"/>
            </w:tcBorders>
            <w:vAlign w:val="center"/>
          </w:tcPr>
          <w:p w14:paraId="63FA080B" w14:textId="77777777" w:rsidR="003E78AB" w:rsidRDefault="00010BF9">
            <w:pPr>
              <w:spacing w:line="360" w:lineRule="exact"/>
              <w:ind w:firstLineChars="0" w:firstLine="0"/>
              <w:jc w:val="center"/>
              <w:rPr>
                <w:kern w:val="2"/>
                <w:sz w:val="21"/>
                <w:szCs w:val="21"/>
              </w:rPr>
            </w:pPr>
            <w:r>
              <w:rPr>
                <w:kern w:val="2"/>
                <w:sz w:val="21"/>
                <w:szCs w:val="21"/>
              </w:rPr>
              <w:t>/</w:t>
            </w:r>
          </w:p>
        </w:tc>
        <w:tc>
          <w:tcPr>
            <w:tcW w:w="593" w:type="pct"/>
            <w:tcBorders>
              <w:top w:val="single" w:sz="4" w:space="0" w:color="auto"/>
              <w:left w:val="single" w:sz="4" w:space="0" w:color="auto"/>
              <w:bottom w:val="single" w:sz="4" w:space="0" w:color="auto"/>
              <w:right w:val="single" w:sz="4" w:space="0" w:color="auto"/>
            </w:tcBorders>
            <w:vAlign w:val="center"/>
          </w:tcPr>
          <w:p w14:paraId="0A1375B3"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2797167E" w14:textId="77777777" w:rsidR="003E78AB" w:rsidRDefault="00010BF9">
            <w:pPr>
              <w:spacing w:line="360" w:lineRule="exact"/>
              <w:ind w:firstLineChars="0" w:firstLine="0"/>
              <w:jc w:val="center"/>
              <w:rPr>
                <w:kern w:val="2"/>
                <w:sz w:val="21"/>
                <w:szCs w:val="21"/>
              </w:rPr>
            </w:pPr>
            <w:r>
              <w:rPr>
                <w:kern w:val="2"/>
                <w:sz w:val="21"/>
                <w:szCs w:val="21"/>
              </w:rPr>
              <w:t>75</w:t>
            </w:r>
          </w:p>
        </w:tc>
        <w:tc>
          <w:tcPr>
            <w:tcW w:w="635" w:type="pct"/>
            <w:tcBorders>
              <w:top w:val="single" w:sz="4" w:space="0" w:color="auto"/>
              <w:left w:val="single" w:sz="4" w:space="0" w:color="auto"/>
              <w:bottom w:val="single" w:sz="4" w:space="0" w:color="auto"/>
              <w:right w:val="single" w:sz="4" w:space="0" w:color="auto"/>
            </w:tcBorders>
            <w:vAlign w:val="center"/>
          </w:tcPr>
          <w:p w14:paraId="6A4697AB" w14:textId="77777777" w:rsidR="003E78AB" w:rsidRDefault="00010BF9">
            <w:pPr>
              <w:spacing w:line="360" w:lineRule="exact"/>
              <w:ind w:firstLineChars="0" w:firstLine="0"/>
              <w:jc w:val="center"/>
              <w:rPr>
                <w:kern w:val="2"/>
                <w:sz w:val="21"/>
                <w:szCs w:val="21"/>
              </w:rPr>
            </w:pPr>
            <w:r>
              <w:rPr>
                <w:kern w:val="2"/>
                <w:sz w:val="21"/>
                <w:szCs w:val="21"/>
              </w:rPr>
              <w:t>35</w:t>
            </w:r>
          </w:p>
        </w:tc>
        <w:tc>
          <w:tcPr>
            <w:tcW w:w="1591" w:type="pct"/>
            <w:vMerge/>
            <w:tcBorders>
              <w:left w:val="single" w:sz="4" w:space="0" w:color="auto"/>
            </w:tcBorders>
            <w:vAlign w:val="center"/>
          </w:tcPr>
          <w:p w14:paraId="3135684B" w14:textId="77777777" w:rsidR="003E78AB" w:rsidRDefault="003E78AB">
            <w:pPr>
              <w:spacing w:line="360" w:lineRule="exact"/>
              <w:ind w:firstLineChars="0" w:firstLine="0"/>
              <w:jc w:val="center"/>
              <w:rPr>
                <w:kern w:val="2"/>
                <w:sz w:val="21"/>
                <w:szCs w:val="21"/>
              </w:rPr>
            </w:pPr>
          </w:p>
        </w:tc>
      </w:tr>
      <w:tr w:rsidR="003E78AB" w14:paraId="2830F373" w14:textId="77777777">
        <w:trPr>
          <w:trHeight w:val="283"/>
          <w:jc w:val="center"/>
        </w:trPr>
        <w:tc>
          <w:tcPr>
            <w:tcW w:w="275" w:type="pct"/>
            <w:tcBorders>
              <w:top w:val="single" w:sz="4" w:space="0" w:color="auto"/>
              <w:bottom w:val="single" w:sz="4" w:space="0" w:color="auto"/>
              <w:right w:val="single" w:sz="4" w:space="0" w:color="auto"/>
            </w:tcBorders>
            <w:vAlign w:val="center"/>
          </w:tcPr>
          <w:p w14:paraId="2CEE97D1" w14:textId="77777777" w:rsidR="003E78AB" w:rsidRDefault="00010BF9">
            <w:pPr>
              <w:spacing w:line="360" w:lineRule="exact"/>
              <w:ind w:firstLineChars="0" w:firstLine="0"/>
              <w:jc w:val="center"/>
              <w:rPr>
                <w:kern w:val="2"/>
                <w:sz w:val="21"/>
                <w:szCs w:val="21"/>
              </w:rPr>
            </w:pPr>
            <w:r>
              <w:rPr>
                <w:kern w:val="2"/>
                <w:sz w:val="21"/>
                <w:szCs w:val="21"/>
              </w:rPr>
              <w:t>6</w:t>
            </w:r>
          </w:p>
        </w:tc>
        <w:tc>
          <w:tcPr>
            <w:tcW w:w="570" w:type="pct"/>
            <w:tcBorders>
              <w:top w:val="single" w:sz="4" w:space="0" w:color="auto"/>
              <w:left w:val="single" w:sz="4" w:space="0" w:color="auto"/>
              <w:bottom w:val="single" w:sz="4" w:space="0" w:color="auto"/>
              <w:right w:val="single" w:sz="4" w:space="0" w:color="auto"/>
            </w:tcBorders>
            <w:vAlign w:val="center"/>
          </w:tcPr>
          <w:p w14:paraId="5842E8B8" w14:textId="77777777" w:rsidR="003E78AB" w:rsidRDefault="00010BF9">
            <w:pPr>
              <w:spacing w:line="360" w:lineRule="exact"/>
              <w:ind w:firstLineChars="0" w:firstLine="0"/>
              <w:jc w:val="center"/>
              <w:rPr>
                <w:kern w:val="2"/>
                <w:sz w:val="21"/>
                <w:szCs w:val="21"/>
              </w:rPr>
            </w:pPr>
            <w:r>
              <w:rPr>
                <w:kern w:val="2"/>
                <w:sz w:val="21"/>
                <w:szCs w:val="21"/>
              </w:rPr>
              <w:t>O</w:t>
            </w:r>
            <w:r>
              <w:rPr>
                <w:kern w:val="2"/>
                <w:sz w:val="21"/>
                <w:szCs w:val="21"/>
                <w:vertAlign w:val="subscript"/>
              </w:rPr>
              <w:t>3</w:t>
            </w:r>
          </w:p>
        </w:tc>
        <w:tc>
          <w:tcPr>
            <w:tcW w:w="662" w:type="pct"/>
            <w:tcBorders>
              <w:top w:val="single" w:sz="4" w:space="0" w:color="auto"/>
              <w:left w:val="single" w:sz="4" w:space="0" w:color="auto"/>
              <w:bottom w:val="single" w:sz="4" w:space="0" w:color="auto"/>
              <w:right w:val="single" w:sz="4" w:space="0" w:color="auto"/>
            </w:tcBorders>
            <w:vAlign w:val="center"/>
          </w:tcPr>
          <w:p w14:paraId="19E6B2BD" w14:textId="77777777" w:rsidR="003E78AB" w:rsidRDefault="00010BF9">
            <w:pPr>
              <w:spacing w:line="360" w:lineRule="exact"/>
              <w:ind w:firstLineChars="0" w:firstLine="0"/>
              <w:jc w:val="center"/>
              <w:rPr>
                <w:bCs/>
                <w:iCs/>
                <w:kern w:val="2"/>
                <w:sz w:val="21"/>
                <w:szCs w:val="21"/>
              </w:rPr>
            </w:pPr>
            <w:r>
              <w:rPr>
                <w:bCs/>
                <w:iCs/>
                <w:kern w:val="2"/>
                <w:sz w:val="21"/>
                <w:szCs w:val="21"/>
              </w:rPr>
              <w:t>200</w:t>
            </w:r>
          </w:p>
        </w:tc>
        <w:tc>
          <w:tcPr>
            <w:tcW w:w="593" w:type="pct"/>
            <w:tcBorders>
              <w:top w:val="single" w:sz="4" w:space="0" w:color="auto"/>
              <w:left w:val="single" w:sz="4" w:space="0" w:color="auto"/>
              <w:bottom w:val="single" w:sz="4" w:space="0" w:color="auto"/>
              <w:right w:val="single" w:sz="4" w:space="0" w:color="auto"/>
            </w:tcBorders>
            <w:vAlign w:val="center"/>
          </w:tcPr>
          <w:p w14:paraId="4263B29C" w14:textId="77777777" w:rsidR="003E78AB" w:rsidRDefault="00010BF9">
            <w:pPr>
              <w:spacing w:line="360" w:lineRule="exact"/>
              <w:ind w:firstLineChars="0" w:firstLine="0"/>
              <w:jc w:val="center"/>
              <w:rPr>
                <w:kern w:val="2"/>
                <w:sz w:val="21"/>
                <w:szCs w:val="21"/>
              </w:rPr>
            </w:pPr>
            <w:r>
              <w:rPr>
                <w:rFonts w:hint="eastAsia"/>
                <w:bCs/>
                <w:kern w:val="2"/>
                <w:sz w:val="21"/>
                <w:szCs w:val="21"/>
              </w:rPr>
              <w:t>160</w:t>
            </w:r>
          </w:p>
        </w:tc>
        <w:tc>
          <w:tcPr>
            <w:tcW w:w="670" w:type="pct"/>
            <w:tcBorders>
              <w:top w:val="single" w:sz="4" w:space="0" w:color="auto"/>
              <w:left w:val="single" w:sz="4" w:space="0" w:color="auto"/>
              <w:bottom w:val="single" w:sz="4" w:space="0" w:color="auto"/>
              <w:right w:val="single" w:sz="4" w:space="0" w:color="auto"/>
            </w:tcBorders>
            <w:vAlign w:val="center"/>
          </w:tcPr>
          <w:p w14:paraId="05C7DC1F"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635" w:type="pct"/>
            <w:tcBorders>
              <w:top w:val="single" w:sz="4" w:space="0" w:color="auto"/>
              <w:left w:val="single" w:sz="4" w:space="0" w:color="auto"/>
              <w:bottom w:val="single" w:sz="4" w:space="0" w:color="auto"/>
              <w:right w:val="single" w:sz="4" w:space="0" w:color="auto"/>
            </w:tcBorders>
            <w:vAlign w:val="center"/>
          </w:tcPr>
          <w:p w14:paraId="5F5455BF" w14:textId="77777777" w:rsidR="003E78AB" w:rsidRDefault="00010BF9">
            <w:pPr>
              <w:spacing w:line="360" w:lineRule="exact"/>
              <w:ind w:firstLineChars="0" w:firstLine="0"/>
              <w:jc w:val="center"/>
              <w:rPr>
                <w:kern w:val="2"/>
                <w:sz w:val="21"/>
                <w:szCs w:val="21"/>
              </w:rPr>
            </w:pPr>
            <w:r>
              <w:rPr>
                <w:kern w:val="2"/>
                <w:sz w:val="21"/>
                <w:szCs w:val="21"/>
              </w:rPr>
              <w:t>/</w:t>
            </w:r>
          </w:p>
        </w:tc>
        <w:tc>
          <w:tcPr>
            <w:tcW w:w="1591" w:type="pct"/>
            <w:vMerge/>
            <w:tcBorders>
              <w:left w:val="single" w:sz="4" w:space="0" w:color="auto"/>
            </w:tcBorders>
            <w:vAlign w:val="center"/>
          </w:tcPr>
          <w:p w14:paraId="416A5AFA" w14:textId="77777777" w:rsidR="003E78AB" w:rsidRDefault="003E78AB">
            <w:pPr>
              <w:spacing w:line="360" w:lineRule="exact"/>
              <w:ind w:firstLineChars="0" w:firstLine="0"/>
              <w:jc w:val="center"/>
              <w:rPr>
                <w:kern w:val="2"/>
                <w:sz w:val="21"/>
                <w:szCs w:val="21"/>
              </w:rPr>
            </w:pPr>
          </w:p>
        </w:tc>
      </w:tr>
      <w:tr w:rsidR="003E78AB" w14:paraId="31FF5590" w14:textId="77777777">
        <w:trPr>
          <w:trHeight w:val="283"/>
          <w:jc w:val="center"/>
        </w:trPr>
        <w:tc>
          <w:tcPr>
            <w:tcW w:w="275" w:type="pct"/>
            <w:tcBorders>
              <w:top w:val="single" w:sz="4" w:space="0" w:color="auto"/>
              <w:bottom w:val="single" w:sz="4" w:space="0" w:color="auto"/>
              <w:right w:val="single" w:sz="4" w:space="0" w:color="auto"/>
            </w:tcBorders>
            <w:vAlign w:val="center"/>
          </w:tcPr>
          <w:p w14:paraId="78F85951" w14:textId="77777777" w:rsidR="003E78AB" w:rsidRDefault="00010BF9">
            <w:pPr>
              <w:spacing w:line="360" w:lineRule="exact"/>
              <w:ind w:firstLineChars="0" w:firstLine="0"/>
              <w:jc w:val="center"/>
              <w:rPr>
                <w:kern w:val="2"/>
                <w:sz w:val="21"/>
                <w:szCs w:val="21"/>
              </w:rPr>
            </w:pPr>
            <w:r>
              <w:rPr>
                <w:kern w:val="2"/>
                <w:sz w:val="21"/>
                <w:szCs w:val="21"/>
              </w:rPr>
              <w:t>7</w:t>
            </w:r>
          </w:p>
        </w:tc>
        <w:tc>
          <w:tcPr>
            <w:tcW w:w="570" w:type="pct"/>
            <w:tcBorders>
              <w:top w:val="single" w:sz="4" w:space="0" w:color="auto"/>
              <w:left w:val="single" w:sz="4" w:space="0" w:color="auto"/>
              <w:bottom w:val="single" w:sz="4" w:space="0" w:color="auto"/>
              <w:right w:val="single" w:sz="4" w:space="0" w:color="auto"/>
            </w:tcBorders>
            <w:vAlign w:val="center"/>
          </w:tcPr>
          <w:p w14:paraId="6A8770C2" w14:textId="77777777" w:rsidR="003E78AB" w:rsidRDefault="00010BF9">
            <w:pPr>
              <w:spacing w:line="360" w:lineRule="exact"/>
              <w:ind w:firstLineChars="0" w:firstLine="0"/>
              <w:jc w:val="center"/>
              <w:rPr>
                <w:kern w:val="2"/>
                <w:sz w:val="21"/>
                <w:szCs w:val="21"/>
              </w:rPr>
            </w:pPr>
            <w:r>
              <w:rPr>
                <w:kern w:val="2"/>
                <w:sz w:val="21"/>
                <w:szCs w:val="21"/>
              </w:rPr>
              <w:t>NOx</w:t>
            </w:r>
          </w:p>
        </w:tc>
        <w:tc>
          <w:tcPr>
            <w:tcW w:w="662" w:type="pct"/>
            <w:tcBorders>
              <w:top w:val="single" w:sz="4" w:space="0" w:color="auto"/>
              <w:left w:val="single" w:sz="4" w:space="0" w:color="auto"/>
              <w:bottom w:val="single" w:sz="4" w:space="0" w:color="auto"/>
              <w:right w:val="single" w:sz="4" w:space="0" w:color="auto"/>
            </w:tcBorders>
            <w:vAlign w:val="center"/>
          </w:tcPr>
          <w:p w14:paraId="68FDB7E3" w14:textId="77777777" w:rsidR="003E78AB" w:rsidRDefault="00010BF9">
            <w:pPr>
              <w:spacing w:line="360" w:lineRule="exact"/>
              <w:ind w:firstLineChars="0" w:firstLine="0"/>
              <w:jc w:val="center"/>
              <w:rPr>
                <w:bCs/>
                <w:iCs/>
                <w:kern w:val="2"/>
                <w:sz w:val="21"/>
                <w:szCs w:val="21"/>
              </w:rPr>
            </w:pPr>
            <w:r>
              <w:rPr>
                <w:bCs/>
                <w:iCs/>
                <w:kern w:val="2"/>
                <w:sz w:val="21"/>
                <w:szCs w:val="21"/>
              </w:rPr>
              <w:t>250</w:t>
            </w:r>
          </w:p>
        </w:tc>
        <w:tc>
          <w:tcPr>
            <w:tcW w:w="593" w:type="pct"/>
            <w:tcBorders>
              <w:top w:val="single" w:sz="4" w:space="0" w:color="auto"/>
              <w:left w:val="single" w:sz="4" w:space="0" w:color="auto"/>
              <w:bottom w:val="single" w:sz="4" w:space="0" w:color="auto"/>
              <w:right w:val="single" w:sz="4" w:space="0" w:color="auto"/>
            </w:tcBorders>
            <w:vAlign w:val="center"/>
          </w:tcPr>
          <w:p w14:paraId="68847181"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3C034D3C" w14:textId="77777777" w:rsidR="003E78AB" w:rsidRDefault="00010BF9">
            <w:pPr>
              <w:spacing w:line="360" w:lineRule="exact"/>
              <w:ind w:firstLineChars="0" w:firstLine="0"/>
              <w:jc w:val="center"/>
              <w:rPr>
                <w:kern w:val="2"/>
                <w:sz w:val="21"/>
                <w:szCs w:val="21"/>
              </w:rPr>
            </w:pPr>
            <w:r>
              <w:rPr>
                <w:kern w:val="2"/>
                <w:sz w:val="21"/>
                <w:szCs w:val="21"/>
              </w:rPr>
              <w:t>100</w:t>
            </w:r>
          </w:p>
        </w:tc>
        <w:tc>
          <w:tcPr>
            <w:tcW w:w="635" w:type="pct"/>
            <w:tcBorders>
              <w:top w:val="single" w:sz="4" w:space="0" w:color="auto"/>
              <w:left w:val="single" w:sz="4" w:space="0" w:color="auto"/>
              <w:bottom w:val="single" w:sz="4" w:space="0" w:color="auto"/>
              <w:right w:val="single" w:sz="4" w:space="0" w:color="auto"/>
            </w:tcBorders>
            <w:vAlign w:val="center"/>
          </w:tcPr>
          <w:p w14:paraId="65B6DBCC" w14:textId="77777777" w:rsidR="003E78AB" w:rsidRDefault="00010BF9">
            <w:pPr>
              <w:spacing w:line="360" w:lineRule="exact"/>
              <w:ind w:firstLineChars="0" w:firstLine="0"/>
              <w:jc w:val="center"/>
              <w:rPr>
                <w:kern w:val="2"/>
                <w:sz w:val="21"/>
                <w:szCs w:val="21"/>
              </w:rPr>
            </w:pPr>
            <w:r>
              <w:rPr>
                <w:kern w:val="2"/>
                <w:sz w:val="21"/>
                <w:szCs w:val="21"/>
              </w:rPr>
              <w:t>50</w:t>
            </w:r>
          </w:p>
        </w:tc>
        <w:tc>
          <w:tcPr>
            <w:tcW w:w="1591" w:type="pct"/>
            <w:vMerge/>
            <w:tcBorders>
              <w:left w:val="single" w:sz="4" w:space="0" w:color="auto"/>
            </w:tcBorders>
            <w:vAlign w:val="center"/>
          </w:tcPr>
          <w:p w14:paraId="331B1B9E" w14:textId="77777777" w:rsidR="003E78AB" w:rsidRDefault="003E78AB">
            <w:pPr>
              <w:spacing w:line="360" w:lineRule="exact"/>
              <w:ind w:firstLineChars="0" w:firstLine="0"/>
              <w:jc w:val="center"/>
              <w:rPr>
                <w:kern w:val="2"/>
                <w:sz w:val="21"/>
                <w:szCs w:val="21"/>
              </w:rPr>
            </w:pPr>
          </w:p>
        </w:tc>
      </w:tr>
      <w:tr w:rsidR="003E78AB" w14:paraId="5354649B" w14:textId="77777777">
        <w:trPr>
          <w:trHeight w:val="283"/>
          <w:jc w:val="center"/>
        </w:trPr>
        <w:tc>
          <w:tcPr>
            <w:tcW w:w="275" w:type="pct"/>
            <w:tcBorders>
              <w:top w:val="single" w:sz="4" w:space="0" w:color="auto"/>
              <w:bottom w:val="single" w:sz="4" w:space="0" w:color="auto"/>
              <w:right w:val="single" w:sz="4" w:space="0" w:color="auto"/>
            </w:tcBorders>
            <w:vAlign w:val="center"/>
          </w:tcPr>
          <w:p w14:paraId="2B8254FF" w14:textId="77777777" w:rsidR="003E78AB" w:rsidRDefault="00010BF9">
            <w:pPr>
              <w:spacing w:line="360" w:lineRule="exact"/>
              <w:ind w:firstLineChars="0" w:firstLine="0"/>
              <w:jc w:val="center"/>
              <w:rPr>
                <w:kern w:val="2"/>
                <w:sz w:val="21"/>
                <w:szCs w:val="21"/>
              </w:rPr>
            </w:pPr>
            <w:r>
              <w:rPr>
                <w:kern w:val="2"/>
                <w:sz w:val="21"/>
                <w:szCs w:val="21"/>
              </w:rPr>
              <w:t>8</w:t>
            </w:r>
          </w:p>
        </w:tc>
        <w:tc>
          <w:tcPr>
            <w:tcW w:w="570" w:type="pct"/>
            <w:tcBorders>
              <w:top w:val="single" w:sz="4" w:space="0" w:color="auto"/>
              <w:left w:val="single" w:sz="4" w:space="0" w:color="auto"/>
              <w:bottom w:val="single" w:sz="4" w:space="0" w:color="auto"/>
              <w:right w:val="single" w:sz="4" w:space="0" w:color="auto"/>
            </w:tcBorders>
            <w:vAlign w:val="center"/>
          </w:tcPr>
          <w:p w14:paraId="420392C1" w14:textId="77777777" w:rsidR="003E78AB" w:rsidRDefault="00010BF9">
            <w:pPr>
              <w:spacing w:line="360" w:lineRule="exact"/>
              <w:ind w:firstLineChars="0" w:firstLine="0"/>
              <w:jc w:val="center"/>
              <w:rPr>
                <w:kern w:val="2"/>
                <w:sz w:val="21"/>
                <w:szCs w:val="21"/>
              </w:rPr>
            </w:pPr>
            <w:r>
              <w:rPr>
                <w:kern w:val="2"/>
                <w:sz w:val="21"/>
                <w:szCs w:val="21"/>
              </w:rPr>
              <w:t>TSP</w:t>
            </w:r>
          </w:p>
        </w:tc>
        <w:tc>
          <w:tcPr>
            <w:tcW w:w="662" w:type="pct"/>
            <w:tcBorders>
              <w:top w:val="single" w:sz="4" w:space="0" w:color="auto"/>
              <w:left w:val="single" w:sz="4" w:space="0" w:color="auto"/>
              <w:bottom w:val="single" w:sz="4" w:space="0" w:color="auto"/>
              <w:right w:val="single" w:sz="4" w:space="0" w:color="auto"/>
            </w:tcBorders>
            <w:vAlign w:val="center"/>
          </w:tcPr>
          <w:p w14:paraId="1E21C0F8" w14:textId="77777777" w:rsidR="003E78AB" w:rsidRDefault="00010BF9">
            <w:pPr>
              <w:spacing w:line="360" w:lineRule="exact"/>
              <w:ind w:firstLineChars="0" w:firstLine="0"/>
              <w:jc w:val="center"/>
              <w:rPr>
                <w:kern w:val="2"/>
                <w:sz w:val="21"/>
                <w:szCs w:val="21"/>
              </w:rPr>
            </w:pPr>
            <w:r>
              <w:rPr>
                <w:bCs/>
                <w:iCs/>
                <w:kern w:val="2"/>
                <w:sz w:val="21"/>
                <w:szCs w:val="21"/>
              </w:rPr>
              <w:t>/</w:t>
            </w:r>
          </w:p>
        </w:tc>
        <w:tc>
          <w:tcPr>
            <w:tcW w:w="593" w:type="pct"/>
            <w:tcBorders>
              <w:top w:val="single" w:sz="4" w:space="0" w:color="auto"/>
              <w:left w:val="single" w:sz="4" w:space="0" w:color="auto"/>
              <w:bottom w:val="single" w:sz="4" w:space="0" w:color="auto"/>
              <w:right w:val="single" w:sz="4" w:space="0" w:color="auto"/>
            </w:tcBorders>
            <w:vAlign w:val="center"/>
          </w:tcPr>
          <w:p w14:paraId="0FF4AF2E"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38F13D52" w14:textId="77777777" w:rsidR="003E78AB" w:rsidRDefault="00010BF9">
            <w:pPr>
              <w:spacing w:line="360" w:lineRule="exact"/>
              <w:ind w:firstLineChars="0" w:firstLine="0"/>
              <w:jc w:val="center"/>
              <w:rPr>
                <w:kern w:val="2"/>
                <w:sz w:val="21"/>
                <w:szCs w:val="21"/>
              </w:rPr>
            </w:pPr>
            <w:r>
              <w:rPr>
                <w:kern w:val="2"/>
                <w:sz w:val="21"/>
                <w:szCs w:val="21"/>
              </w:rPr>
              <w:t>300</w:t>
            </w:r>
          </w:p>
        </w:tc>
        <w:tc>
          <w:tcPr>
            <w:tcW w:w="635" w:type="pct"/>
            <w:tcBorders>
              <w:top w:val="single" w:sz="4" w:space="0" w:color="auto"/>
              <w:left w:val="single" w:sz="4" w:space="0" w:color="auto"/>
              <w:bottom w:val="single" w:sz="4" w:space="0" w:color="auto"/>
              <w:right w:val="single" w:sz="4" w:space="0" w:color="auto"/>
            </w:tcBorders>
            <w:vAlign w:val="center"/>
          </w:tcPr>
          <w:p w14:paraId="19CA42D1" w14:textId="77777777" w:rsidR="003E78AB" w:rsidRDefault="00010BF9">
            <w:pPr>
              <w:spacing w:line="360" w:lineRule="exact"/>
              <w:ind w:firstLineChars="0" w:firstLine="0"/>
              <w:jc w:val="center"/>
              <w:rPr>
                <w:kern w:val="2"/>
                <w:sz w:val="21"/>
                <w:szCs w:val="21"/>
              </w:rPr>
            </w:pPr>
            <w:r>
              <w:rPr>
                <w:kern w:val="2"/>
                <w:sz w:val="21"/>
                <w:szCs w:val="21"/>
              </w:rPr>
              <w:t>200</w:t>
            </w:r>
          </w:p>
        </w:tc>
        <w:tc>
          <w:tcPr>
            <w:tcW w:w="1591" w:type="pct"/>
            <w:vMerge/>
            <w:tcBorders>
              <w:left w:val="single" w:sz="4" w:space="0" w:color="auto"/>
            </w:tcBorders>
            <w:vAlign w:val="center"/>
          </w:tcPr>
          <w:p w14:paraId="7F71FF19" w14:textId="77777777" w:rsidR="003E78AB" w:rsidRDefault="003E78AB">
            <w:pPr>
              <w:spacing w:line="360" w:lineRule="exact"/>
              <w:ind w:firstLineChars="0" w:firstLine="0"/>
              <w:jc w:val="center"/>
              <w:rPr>
                <w:kern w:val="2"/>
                <w:sz w:val="21"/>
                <w:szCs w:val="21"/>
              </w:rPr>
            </w:pPr>
          </w:p>
        </w:tc>
      </w:tr>
      <w:tr w:rsidR="003E78AB" w14:paraId="14CA59EB" w14:textId="77777777">
        <w:trPr>
          <w:trHeight w:val="194"/>
          <w:jc w:val="center"/>
        </w:trPr>
        <w:tc>
          <w:tcPr>
            <w:tcW w:w="275" w:type="pct"/>
            <w:tcBorders>
              <w:top w:val="single" w:sz="4" w:space="0" w:color="auto"/>
              <w:bottom w:val="single" w:sz="4" w:space="0" w:color="auto"/>
              <w:right w:val="single" w:sz="4" w:space="0" w:color="auto"/>
            </w:tcBorders>
            <w:vAlign w:val="center"/>
          </w:tcPr>
          <w:p w14:paraId="67A47854" w14:textId="77777777" w:rsidR="003E78AB" w:rsidRDefault="00010BF9">
            <w:pPr>
              <w:spacing w:line="360" w:lineRule="exact"/>
              <w:ind w:firstLineChars="0" w:firstLine="0"/>
              <w:jc w:val="center"/>
              <w:rPr>
                <w:kern w:val="2"/>
                <w:sz w:val="21"/>
                <w:szCs w:val="21"/>
              </w:rPr>
            </w:pPr>
            <w:r>
              <w:rPr>
                <w:kern w:val="2"/>
                <w:sz w:val="21"/>
                <w:szCs w:val="21"/>
              </w:rPr>
              <w:t>9</w:t>
            </w:r>
          </w:p>
        </w:tc>
        <w:tc>
          <w:tcPr>
            <w:tcW w:w="570" w:type="pct"/>
            <w:tcBorders>
              <w:top w:val="single" w:sz="4" w:space="0" w:color="auto"/>
              <w:left w:val="single" w:sz="4" w:space="0" w:color="auto"/>
              <w:bottom w:val="single" w:sz="4" w:space="0" w:color="auto"/>
              <w:right w:val="single" w:sz="4" w:space="0" w:color="auto"/>
            </w:tcBorders>
            <w:vAlign w:val="center"/>
          </w:tcPr>
          <w:p w14:paraId="2BA92F8B" w14:textId="77777777" w:rsidR="003E78AB" w:rsidRDefault="00010BF9">
            <w:pPr>
              <w:spacing w:line="360" w:lineRule="exact"/>
              <w:ind w:firstLineChars="0" w:firstLine="0"/>
              <w:jc w:val="center"/>
              <w:rPr>
                <w:kern w:val="2"/>
                <w:sz w:val="21"/>
                <w:szCs w:val="21"/>
              </w:rPr>
            </w:pPr>
            <w:r>
              <w:rPr>
                <w:kern w:val="2"/>
                <w:sz w:val="21"/>
                <w:szCs w:val="21"/>
              </w:rPr>
              <w:t>硫酸雾</w:t>
            </w:r>
          </w:p>
        </w:tc>
        <w:tc>
          <w:tcPr>
            <w:tcW w:w="662" w:type="pct"/>
            <w:tcBorders>
              <w:top w:val="single" w:sz="4" w:space="0" w:color="auto"/>
              <w:left w:val="single" w:sz="4" w:space="0" w:color="auto"/>
              <w:bottom w:val="single" w:sz="4" w:space="0" w:color="auto"/>
              <w:right w:val="single" w:sz="4" w:space="0" w:color="auto"/>
            </w:tcBorders>
            <w:vAlign w:val="center"/>
          </w:tcPr>
          <w:p w14:paraId="1491B919" w14:textId="77777777" w:rsidR="003E78AB" w:rsidRDefault="00010BF9">
            <w:pPr>
              <w:spacing w:line="360" w:lineRule="exact"/>
              <w:ind w:firstLineChars="0" w:firstLine="0"/>
              <w:jc w:val="center"/>
              <w:rPr>
                <w:kern w:val="2"/>
                <w:sz w:val="21"/>
                <w:szCs w:val="21"/>
              </w:rPr>
            </w:pPr>
            <w:r>
              <w:rPr>
                <w:kern w:val="2"/>
                <w:sz w:val="21"/>
                <w:szCs w:val="21"/>
              </w:rPr>
              <w:t>300</w:t>
            </w:r>
          </w:p>
        </w:tc>
        <w:tc>
          <w:tcPr>
            <w:tcW w:w="593" w:type="pct"/>
            <w:tcBorders>
              <w:top w:val="single" w:sz="4" w:space="0" w:color="auto"/>
              <w:left w:val="single" w:sz="4" w:space="0" w:color="auto"/>
              <w:bottom w:val="single" w:sz="4" w:space="0" w:color="auto"/>
              <w:right w:val="single" w:sz="4" w:space="0" w:color="auto"/>
            </w:tcBorders>
            <w:vAlign w:val="center"/>
          </w:tcPr>
          <w:p w14:paraId="3576A024" w14:textId="77777777" w:rsidR="003E78AB" w:rsidRDefault="003E78AB">
            <w:pPr>
              <w:spacing w:line="360" w:lineRule="exact"/>
              <w:ind w:firstLineChars="0" w:firstLine="0"/>
              <w:jc w:val="center"/>
              <w:rPr>
                <w:kern w:val="2"/>
                <w:sz w:val="21"/>
                <w:szCs w:val="21"/>
              </w:rPr>
            </w:pPr>
          </w:p>
        </w:tc>
        <w:tc>
          <w:tcPr>
            <w:tcW w:w="670" w:type="pct"/>
            <w:tcBorders>
              <w:top w:val="single" w:sz="4" w:space="0" w:color="auto"/>
              <w:left w:val="single" w:sz="4" w:space="0" w:color="auto"/>
              <w:bottom w:val="single" w:sz="4" w:space="0" w:color="auto"/>
              <w:right w:val="single" w:sz="4" w:space="0" w:color="auto"/>
            </w:tcBorders>
            <w:vAlign w:val="center"/>
          </w:tcPr>
          <w:p w14:paraId="22EA576D" w14:textId="77777777" w:rsidR="003E78AB" w:rsidRDefault="00010BF9">
            <w:pPr>
              <w:spacing w:line="360" w:lineRule="exact"/>
              <w:ind w:firstLineChars="0" w:firstLine="0"/>
              <w:jc w:val="center"/>
              <w:rPr>
                <w:kern w:val="2"/>
                <w:sz w:val="21"/>
                <w:szCs w:val="21"/>
              </w:rPr>
            </w:pPr>
            <w:r>
              <w:rPr>
                <w:kern w:val="2"/>
                <w:sz w:val="21"/>
                <w:szCs w:val="21"/>
              </w:rPr>
              <w:t>100</w:t>
            </w:r>
          </w:p>
        </w:tc>
        <w:tc>
          <w:tcPr>
            <w:tcW w:w="635" w:type="pct"/>
            <w:tcBorders>
              <w:top w:val="single" w:sz="4" w:space="0" w:color="auto"/>
              <w:left w:val="single" w:sz="4" w:space="0" w:color="auto"/>
              <w:bottom w:val="single" w:sz="4" w:space="0" w:color="auto"/>
              <w:right w:val="single" w:sz="4" w:space="0" w:color="auto"/>
            </w:tcBorders>
            <w:vAlign w:val="center"/>
          </w:tcPr>
          <w:p w14:paraId="1328BBFB" w14:textId="77777777" w:rsidR="003E78AB" w:rsidRDefault="00010BF9">
            <w:pPr>
              <w:spacing w:line="360" w:lineRule="exact"/>
              <w:ind w:firstLineChars="0" w:firstLine="0"/>
              <w:jc w:val="center"/>
              <w:rPr>
                <w:kern w:val="2"/>
                <w:sz w:val="21"/>
                <w:szCs w:val="21"/>
              </w:rPr>
            </w:pPr>
            <w:r>
              <w:rPr>
                <w:kern w:val="2"/>
                <w:sz w:val="21"/>
                <w:szCs w:val="21"/>
              </w:rPr>
              <w:t>/</w:t>
            </w:r>
          </w:p>
        </w:tc>
        <w:tc>
          <w:tcPr>
            <w:tcW w:w="1591" w:type="pct"/>
            <w:vMerge w:val="restart"/>
            <w:tcBorders>
              <w:top w:val="single" w:sz="4" w:space="0" w:color="auto"/>
              <w:left w:val="single" w:sz="4" w:space="0" w:color="auto"/>
            </w:tcBorders>
            <w:vAlign w:val="center"/>
          </w:tcPr>
          <w:p w14:paraId="1CC03552" w14:textId="77777777" w:rsidR="003E78AB" w:rsidRDefault="00010BF9">
            <w:pPr>
              <w:spacing w:line="360" w:lineRule="exact"/>
              <w:ind w:firstLineChars="0" w:firstLine="0"/>
              <w:jc w:val="center"/>
              <w:rPr>
                <w:kern w:val="2"/>
                <w:sz w:val="21"/>
                <w:szCs w:val="21"/>
              </w:rPr>
            </w:pPr>
            <w:r>
              <w:rPr>
                <w:kern w:val="2"/>
                <w:sz w:val="21"/>
                <w:szCs w:val="21"/>
              </w:rPr>
              <w:t>《环境影响评价技术导则</w:t>
            </w:r>
            <w:r>
              <w:rPr>
                <w:kern w:val="2"/>
                <w:sz w:val="21"/>
                <w:szCs w:val="21"/>
              </w:rPr>
              <w:t xml:space="preserve"> </w:t>
            </w:r>
            <w:r>
              <w:rPr>
                <w:kern w:val="2"/>
                <w:sz w:val="21"/>
                <w:szCs w:val="21"/>
              </w:rPr>
              <w:t>大气环境》（</w:t>
            </w:r>
            <w:r>
              <w:rPr>
                <w:kern w:val="2"/>
                <w:sz w:val="21"/>
                <w:szCs w:val="21"/>
              </w:rPr>
              <w:t>HJ2.2-2018</w:t>
            </w:r>
            <w:r>
              <w:rPr>
                <w:kern w:val="2"/>
                <w:sz w:val="21"/>
                <w:szCs w:val="21"/>
              </w:rPr>
              <w:t>）表</w:t>
            </w:r>
            <w:r>
              <w:rPr>
                <w:kern w:val="2"/>
                <w:sz w:val="21"/>
                <w:szCs w:val="21"/>
              </w:rPr>
              <w:t>D.1</w:t>
            </w:r>
            <w:r>
              <w:rPr>
                <w:kern w:val="2"/>
                <w:sz w:val="21"/>
                <w:szCs w:val="21"/>
              </w:rPr>
              <w:t>中其他污染物空气质量浓度参考限值</w:t>
            </w:r>
          </w:p>
        </w:tc>
      </w:tr>
      <w:tr w:rsidR="003E78AB" w14:paraId="63C18505" w14:textId="77777777">
        <w:trPr>
          <w:trHeight w:val="283"/>
          <w:jc w:val="center"/>
        </w:trPr>
        <w:tc>
          <w:tcPr>
            <w:tcW w:w="275" w:type="pct"/>
            <w:tcBorders>
              <w:top w:val="single" w:sz="4" w:space="0" w:color="auto"/>
              <w:right w:val="single" w:sz="4" w:space="0" w:color="auto"/>
            </w:tcBorders>
            <w:vAlign w:val="center"/>
          </w:tcPr>
          <w:p w14:paraId="31E838A8" w14:textId="77777777" w:rsidR="003E78AB" w:rsidRDefault="00010BF9">
            <w:pPr>
              <w:spacing w:line="360" w:lineRule="exact"/>
              <w:ind w:firstLineChars="0" w:firstLine="0"/>
              <w:jc w:val="center"/>
              <w:rPr>
                <w:kern w:val="2"/>
                <w:sz w:val="21"/>
                <w:szCs w:val="21"/>
              </w:rPr>
            </w:pPr>
            <w:r>
              <w:rPr>
                <w:kern w:val="2"/>
                <w:sz w:val="21"/>
                <w:szCs w:val="21"/>
              </w:rPr>
              <w:t>10</w:t>
            </w:r>
          </w:p>
        </w:tc>
        <w:tc>
          <w:tcPr>
            <w:tcW w:w="570" w:type="pct"/>
            <w:tcBorders>
              <w:top w:val="single" w:sz="4" w:space="0" w:color="auto"/>
              <w:left w:val="single" w:sz="4" w:space="0" w:color="auto"/>
              <w:right w:val="single" w:sz="4" w:space="0" w:color="auto"/>
            </w:tcBorders>
            <w:vAlign w:val="center"/>
          </w:tcPr>
          <w:p w14:paraId="34D245EC" w14:textId="77777777" w:rsidR="003E78AB" w:rsidRDefault="00010BF9">
            <w:pPr>
              <w:spacing w:line="360" w:lineRule="exact"/>
              <w:ind w:firstLineChars="0" w:firstLine="0"/>
              <w:jc w:val="center"/>
              <w:rPr>
                <w:bCs/>
                <w:kern w:val="2"/>
                <w:sz w:val="21"/>
                <w:szCs w:val="21"/>
              </w:rPr>
            </w:pPr>
            <w:r>
              <w:rPr>
                <w:rFonts w:hint="eastAsia"/>
                <w:bCs/>
                <w:kern w:val="2"/>
                <w:sz w:val="21"/>
                <w:szCs w:val="21"/>
              </w:rPr>
              <w:t>TVOC</w:t>
            </w:r>
          </w:p>
        </w:tc>
        <w:tc>
          <w:tcPr>
            <w:tcW w:w="662" w:type="pct"/>
            <w:tcBorders>
              <w:top w:val="single" w:sz="4" w:space="0" w:color="auto"/>
              <w:left w:val="single" w:sz="4" w:space="0" w:color="auto"/>
              <w:right w:val="single" w:sz="4" w:space="0" w:color="auto"/>
            </w:tcBorders>
            <w:vAlign w:val="center"/>
          </w:tcPr>
          <w:p w14:paraId="01D12DC1"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593" w:type="pct"/>
            <w:tcBorders>
              <w:top w:val="single" w:sz="4" w:space="0" w:color="auto"/>
              <w:left w:val="single" w:sz="4" w:space="0" w:color="auto"/>
              <w:right w:val="single" w:sz="4" w:space="0" w:color="auto"/>
            </w:tcBorders>
            <w:vAlign w:val="center"/>
          </w:tcPr>
          <w:p w14:paraId="50D4EF5F" w14:textId="77777777" w:rsidR="003E78AB" w:rsidRDefault="00010BF9">
            <w:pPr>
              <w:spacing w:line="360" w:lineRule="exact"/>
              <w:ind w:firstLineChars="0" w:firstLine="0"/>
              <w:jc w:val="center"/>
              <w:rPr>
                <w:bCs/>
                <w:kern w:val="2"/>
                <w:sz w:val="21"/>
                <w:szCs w:val="21"/>
              </w:rPr>
            </w:pPr>
            <w:r>
              <w:rPr>
                <w:rFonts w:hint="eastAsia"/>
                <w:bCs/>
                <w:kern w:val="2"/>
                <w:sz w:val="21"/>
                <w:szCs w:val="21"/>
              </w:rPr>
              <w:t>600</w:t>
            </w:r>
          </w:p>
        </w:tc>
        <w:tc>
          <w:tcPr>
            <w:tcW w:w="670" w:type="pct"/>
            <w:tcBorders>
              <w:top w:val="single" w:sz="4" w:space="0" w:color="auto"/>
              <w:left w:val="single" w:sz="4" w:space="0" w:color="auto"/>
              <w:right w:val="single" w:sz="4" w:space="0" w:color="auto"/>
            </w:tcBorders>
            <w:vAlign w:val="center"/>
          </w:tcPr>
          <w:p w14:paraId="13EFFA71"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635" w:type="pct"/>
            <w:tcBorders>
              <w:top w:val="single" w:sz="4" w:space="0" w:color="auto"/>
              <w:left w:val="single" w:sz="4" w:space="0" w:color="auto"/>
              <w:right w:val="single" w:sz="4" w:space="0" w:color="auto"/>
            </w:tcBorders>
            <w:vAlign w:val="center"/>
          </w:tcPr>
          <w:p w14:paraId="78676CE1"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w:t>
            </w:r>
          </w:p>
        </w:tc>
        <w:tc>
          <w:tcPr>
            <w:tcW w:w="1591" w:type="pct"/>
            <w:vMerge/>
            <w:tcBorders>
              <w:left w:val="single" w:sz="4" w:space="0" w:color="auto"/>
            </w:tcBorders>
            <w:vAlign w:val="center"/>
          </w:tcPr>
          <w:p w14:paraId="32C8FDE8" w14:textId="77777777" w:rsidR="003E78AB" w:rsidRDefault="003E78AB">
            <w:pPr>
              <w:spacing w:line="360" w:lineRule="exact"/>
              <w:ind w:firstLineChars="0" w:firstLine="0"/>
              <w:jc w:val="center"/>
              <w:rPr>
                <w:kern w:val="2"/>
                <w:sz w:val="21"/>
                <w:szCs w:val="21"/>
              </w:rPr>
            </w:pPr>
          </w:p>
        </w:tc>
      </w:tr>
    </w:tbl>
    <w:p w14:paraId="1219058F" w14:textId="77777777" w:rsidR="003E78AB" w:rsidRDefault="00010BF9">
      <w:pPr>
        <w:ind w:firstLine="480"/>
        <w:rPr>
          <w:snapToGrid w:val="0"/>
        </w:rPr>
      </w:pPr>
      <w:r>
        <w:rPr>
          <w:snapToGrid w:val="0"/>
        </w:rPr>
        <w:t>（</w:t>
      </w:r>
      <w:r>
        <w:rPr>
          <w:snapToGrid w:val="0"/>
        </w:rPr>
        <w:t>2</w:t>
      </w:r>
      <w:r>
        <w:rPr>
          <w:snapToGrid w:val="0"/>
        </w:rPr>
        <w:t>）地下水</w:t>
      </w:r>
    </w:p>
    <w:p w14:paraId="64F6F246" w14:textId="77777777" w:rsidR="003E78AB" w:rsidRDefault="00010BF9">
      <w:pPr>
        <w:ind w:firstLine="480"/>
        <w:rPr>
          <w:snapToGrid w:val="0"/>
        </w:rPr>
      </w:pPr>
      <w:r>
        <w:rPr>
          <w:snapToGrid w:val="0"/>
        </w:rPr>
        <w:t>项目区域地下水执行《地下水质量标准》（</w:t>
      </w:r>
      <w:r>
        <w:rPr>
          <w:snapToGrid w:val="0"/>
        </w:rPr>
        <w:t>GB/T14848-2017</w:t>
      </w:r>
      <w:r>
        <w:rPr>
          <w:snapToGrid w:val="0"/>
        </w:rPr>
        <w:t>）中的</w:t>
      </w:r>
      <w:r>
        <w:rPr>
          <w:snapToGrid w:val="0"/>
        </w:rPr>
        <w:t>Ⅲ</w:t>
      </w:r>
      <w:r>
        <w:rPr>
          <w:snapToGrid w:val="0"/>
        </w:rPr>
        <w:t>类标准，具体标准值见</w:t>
      </w:r>
      <w:r>
        <w:rPr>
          <w:snapToGrid w:val="0"/>
        </w:rPr>
        <w:fldChar w:fldCharType="begin"/>
      </w:r>
      <w:r>
        <w:rPr>
          <w:snapToGrid w:val="0"/>
        </w:rPr>
        <w:instrText xml:space="preserve"> REF _Ref28451 \r \h </w:instrText>
      </w:r>
      <w:r>
        <w:rPr>
          <w:snapToGrid w:val="0"/>
        </w:rPr>
      </w:r>
      <w:r>
        <w:rPr>
          <w:snapToGrid w:val="0"/>
        </w:rPr>
        <w:fldChar w:fldCharType="separate"/>
      </w:r>
      <w:r>
        <w:rPr>
          <w:snapToGrid w:val="0"/>
        </w:rPr>
        <w:t>表</w:t>
      </w:r>
      <w:r>
        <w:rPr>
          <w:snapToGrid w:val="0"/>
        </w:rPr>
        <w:t>2-26</w:t>
      </w:r>
      <w:r>
        <w:rPr>
          <w:snapToGrid w:val="0"/>
        </w:rPr>
        <w:fldChar w:fldCharType="end"/>
      </w:r>
      <w:r>
        <w:rPr>
          <w:snapToGrid w:val="0"/>
        </w:rPr>
        <w:t>。</w:t>
      </w:r>
    </w:p>
    <w:p w14:paraId="70B95187" w14:textId="77777777" w:rsidR="003E78AB" w:rsidRDefault="00010BF9">
      <w:pPr>
        <w:pStyle w:val="a5"/>
        <w:jc w:val="right"/>
      </w:pPr>
      <w:bookmarkStart w:id="135" w:name="_Ref28451"/>
      <w:r>
        <w:t>地下水环境质量标准</w:t>
      </w:r>
      <w:r>
        <w:t xml:space="preserve">    </w:t>
      </w:r>
      <w:r>
        <w:rPr>
          <w:sz w:val="21"/>
          <w:szCs w:val="21"/>
        </w:rPr>
        <w:t>单位：</w:t>
      </w:r>
      <w:r>
        <w:rPr>
          <w:sz w:val="21"/>
          <w:szCs w:val="21"/>
        </w:rPr>
        <w:t>mg/L</w:t>
      </w:r>
      <w:r>
        <w:rPr>
          <w:sz w:val="21"/>
          <w:szCs w:val="21"/>
        </w:rPr>
        <w:t>，</w:t>
      </w:r>
      <w:r>
        <w:rPr>
          <w:sz w:val="21"/>
          <w:szCs w:val="21"/>
        </w:rPr>
        <w:t>pH</w:t>
      </w:r>
      <w:r>
        <w:rPr>
          <w:sz w:val="21"/>
          <w:szCs w:val="21"/>
        </w:rPr>
        <w:t>无量纲</w:t>
      </w:r>
      <w:bookmarkEnd w:id="13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628"/>
        <w:gridCol w:w="1311"/>
        <w:gridCol w:w="911"/>
        <w:gridCol w:w="1397"/>
        <w:gridCol w:w="1339"/>
      </w:tblGrid>
      <w:tr w:rsidR="003E78AB" w14:paraId="5C76B5C9" w14:textId="77777777">
        <w:trPr>
          <w:trHeight w:val="283"/>
          <w:tblHeader/>
          <w:jc w:val="center"/>
        </w:trPr>
        <w:tc>
          <w:tcPr>
            <w:tcW w:w="546" w:type="pct"/>
            <w:vAlign w:val="center"/>
          </w:tcPr>
          <w:p w14:paraId="107989AE" w14:textId="77777777" w:rsidR="003E78AB" w:rsidRDefault="00010BF9">
            <w:pPr>
              <w:tabs>
                <w:tab w:val="left" w:pos="8648"/>
              </w:tabs>
              <w:spacing w:line="360" w:lineRule="exact"/>
              <w:ind w:firstLineChars="0" w:firstLine="0"/>
              <w:jc w:val="center"/>
              <w:rPr>
                <w:b/>
                <w:bCs/>
                <w:kern w:val="2"/>
                <w:sz w:val="21"/>
                <w:szCs w:val="21"/>
              </w:rPr>
            </w:pPr>
            <w:r>
              <w:rPr>
                <w:b/>
                <w:bCs/>
                <w:kern w:val="2"/>
                <w:sz w:val="21"/>
                <w:szCs w:val="21"/>
              </w:rPr>
              <w:t>序号</w:t>
            </w:r>
          </w:p>
        </w:tc>
        <w:tc>
          <w:tcPr>
            <w:tcW w:w="1541" w:type="pct"/>
            <w:vAlign w:val="center"/>
          </w:tcPr>
          <w:p w14:paraId="21A37F67" w14:textId="77777777" w:rsidR="003E78AB" w:rsidRDefault="00010BF9">
            <w:pPr>
              <w:tabs>
                <w:tab w:val="left" w:pos="8648"/>
              </w:tabs>
              <w:spacing w:line="360" w:lineRule="exact"/>
              <w:ind w:firstLineChars="0" w:firstLine="0"/>
              <w:jc w:val="center"/>
              <w:rPr>
                <w:b/>
                <w:bCs/>
                <w:kern w:val="2"/>
                <w:sz w:val="21"/>
                <w:szCs w:val="21"/>
              </w:rPr>
            </w:pPr>
            <w:r>
              <w:rPr>
                <w:b/>
                <w:bCs/>
                <w:kern w:val="2"/>
                <w:sz w:val="21"/>
                <w:szCs w:val="21"/>
              </w:rPr>
              <w:t>项目</w:t>
            </w:r>
          </w:p>
        </w:tc>
        <w:tc>
          <w:tcPr>
            <w:tcW w:w="769" w:type="pct"/>
            <w:vAlign w:val="center"/>
          </w:tcPr>
          <w:p w14:paraId="185B45D2" w14:textId="77777777" w:rsidR="003E78AB" w:rsidRDefault="00010BF9">
            <w:pPr>
              <w:tabs>
                <w:tab w:val="left" w:pos="8648"/>
              </w:tabs>
              <w:spacing w:line="360" w:lineRule="exact"/>
              <w:ind w:firstLineChars="0" w:firstLine="0"/>
              <w:jc w:val="center"/>
              <w:rPr>
                <w:b/>
                <w:bCs/>
                <w:kern w:val="2"/>
                <w:sz w:val="21"/>
                <w:szCs w:val="21"/>
              </w:rPr>
            </w:pPr>
            <w:r>
              <w:rPr>
                <w:b/>
                <w:bCs/>
                <w:kern w:val="2"/>
                <w:sz w:val="21"/>
                <w:szCs w:val="21"/>
              </w:rPr>
              <w:t>标准值</w:t>
            </w:r>
          </w:p>
        </w:tc>
        <w:tc>
          <w:tcPr>
            <w:tcW w:w="535" w:type="pct"/>
            <w:vAlign w:val="center"/>
          </w:tcPr>
          <w:p w14:paraId="009253FF" w14:textId="77777777" w:rsidR="003E78AB" w:rsidRDefault="00010BF9">
            <w:pPr>
              <w:tabs>
                <w:tab w:val="left" w:pos="8648"/>
              </w:tabs>
              <w:spacing w:line="360" w:lineRule="exact"/>
              <w:ind w:firstLineChars="0" w:firstLine="0"/>
              <w:jc w:val="center"/>
              <w:rPr>
                <w:b/>
                <w:bCs/>
                <w:kern w:val="2"/>
                <w:sz w:val="21"/>
                <w:szCs w:val="21"/>
              </w:rPr>
            </w:pPr>
            <w:r>
              <w:rPr>
                <w:b/>
                <w:bCs/>
                <w:kern w:val="2"/>
                <w:sz w:val="21"/>
                <w:szCs w:val="21"/>
              </w:rPr>
              <w:t>序号</w:t>
            </w:r>
          </w:p>
        </w:tc>
        <w:tc>
          <w:tcPr>
            <w:tcW w:w="820" w:type="pct"/>
            <w:vAlign w:val="center"/>
          </w:tcPr>
          <w:p w14:paraId="08AD14CA" w14:textId="77777777" w:rsidR="003E78AB" w:rsidRDefault="00010BF9">
            <w:pPr>
              <w:tabs>
                <w:tab w:val="left" w:pos="8648"/>
              </w:tabs>
              <w:spacing w:line="360" w:lineRule="exact"/>
              <w:ind w:firstLineChars="0" w:firstLine="0"/>
              <w:jc w:val="center"/>
              <w:rPr>
                <w:b/>
                <w:bCs/>
                <w:kern w:val="2"/>
                <w:sz w:val="21"/>
                <w:szCs w:val="21"/>
              </w:rPr>
            </w:pPr>
            <w:r>
              <w:rPr>
                <w:b/>
                <w:bCs/>
                <w:kern w:val="2"/>
                <w:sz w:val="21"/>
                <w:szCs w:val="21"/>
              </w:rPr>
              <w:t>监测项目</w:t>
            </w:r>
          </w:p>
        </w:tc>
        <w:tc>
          <w:tcPr>
            <w:tcW w:w="786" w:type="pct"/>
            <w:vAlign w:val="center"/>
          </w:tcPr>
          <w:p w14:paraId="730330DE" w14:textId="77777777" w:rsidR="003E78AB" w:rsidRDefault="00010BF9">
            <w:pPr>
              <w:tabs>
                <w:tab w:val="left" w:pos="8648"/>
              </w:tabs>
              <w:spacing w:line="360" w:lineRule="exact"/>
              <w:ind w:firstLineChars="0" w:firstLine="0"/>
              <w:jc w:val="center"/>
              <w:rPr>
                <w:b/>
                <w:bCs/>
                <w:kern w:val="2"/>
                <w:sz w:val="21"/>
                <w:szCs w:val="21"/>
              </w:rPr>
            </w:pPr>
            <w:r>
              <w:rPr>
                <w:b/>
                <w:bCs/>
                <w:kern w:val="2"/>
                <w:sz w:val="21"/>
                <w:szCs w:val="21"/>
              </w:rPr>
              <w:t>标准值</w:t>
            </w:r>
          </w:p>
        </w:tc>
      </w:tr>
      <w:tr w:rsidR="003E78AB" w14:paraId="104D7ADA" w14:textId="77777777">
        <w:trPr>
          <w:trHeight w:val="283"/>
          <w:jc w:val="center"/>
        </w:trPr>
        <w:tc>
          <w:tcPr>
            <w:tcW w:w="546" w:type="pct"/>
            <w:vAlign w:val="center"/>
          </w:tcPr>
          <w:p w14:paraId="5128CF4A" w14:textId="77777777" w:rsidR="003E78AB" w:rsidRDefault="00010BF9">
            <w:pPr>
              <w:spacing w:line="360" w:lineRule="exact"/>
              <w:ind w:firstLineChars="0" w:firstLine="0"/>
              <w:jc w:val="center"/>
              <w:rPr>
                <w:rStyle w:val="aff1"/>
                <w:kern w:val="2"/>
              </w:rPr>
            </w:pPr>
            <w:r>
              <w:rPr>
                <w:rStyle w:val="aff1"/>
                <w:kern w:val="2"/>
              </w:rPr>
              <w:t>1</w:t>
            </w:r>
          </w:p>
        </w:tc>
        <w:tc>
          <w:tcPr>
            <w:tcW w:w="1541" w:type="pct"/>
            <w:vAlign w:val="center"/>
          </w:tcPr>
          <w:p w14:paraId="25A5199C" w14:textId="77777777" w:rsidR="003E78AB" w:rsidRDefault="00010BF9">
            <w:pPr>
              <w:spacing w:line="360" w:lineRule="exact"/>
              <w:ind w:firstLineChars="0" w:firstLine="0"/>
              <w:jc w:val="center"/>
              <w:textAlignment w:val="center"/>
              <w:rPr>
                <w:kern w:val="2"/>
                <w:sz w:val="21"/>
                <w:szCs w:val="21"/>
              </w:rPr>
            </w:pPr>
            <w:r>
              <w:rPr>
                <w:sz w:val="21"/>
                <w:szCs w:val="21"/>
                <w:lang w:bidi="ar"/>
              </w:rPr>
              <w:t>pH</w:t>
            </w:r>
            <w:r>
              <w:rPr>
                <w:sz w:val="21"/>
                <w:szCs w:val="21"/>
                <w:lang w:bidi="ar"/>
              </w:rPr>
              <w:t>（无量纲）</w:t>
            </w:r>
          </w:p>
        </w:tc>
        <w:tc>
          <w:tcPr>
            <w:tcW w:w="769" w:type="pct"/>
            <w:vAlign w:val="center"/>
          </w:tcPr>
          <w:p w14:paraId="49D43356" w14:textId="77777777" w:rsidR="003E78AB" w:rsidRDefault="00010BF9">
            <w:pPr>
              <w:spacing w:line="360" w:lineRule="exact"/>
              <w:ind w:firstLineChars="0" w:firstLine="0"/>
              <w:jc w:val="center"/>
              <w:textAlignment w:val="center"/>
              <w:rPr>
                <w:kern w:val="2"/>
                <w:sz w:val="21"/>
                <w:szCs w:val="21"/>
              </w:rPr>
            </w:pPr>
            <w:r>
              <w:rPr>
                <w:sz w:val="21"/>
                <w:szCs w:val="21"/>
                <w:lang w:bidi="ar"/>
              </w:rPr>
              <w:t>6.5~8.5</w:t>
            </w:r>
          </w:p>
        </w:tc>
        <w:tc>
          <w:tcPr>
            <w:tcW w:w="535" w:type="pct"/>
            <w:vAlign w:val="center"/>
          </w:tcPr>
          <w:p w14:paraId="6CC256E3" w14:textId="77777777" w:rsidR="003E78AB" w:rsidRDefault="00010BF9">
            <w:pPr>
              <w:spacing w:line="360" w:lineRule="exact"/>
              <w:ind w:firstLineChars="0" w:firstLine="0"/>
              <w:jc w:val="center"/>
              <w:rPr>
                <w:kern w:val="2"/>
                <w:sz w:val="21"/>
                <w:szCs w:val="21"/>
              </w:rPr>
            </w:pPr>
            <w:r>
              <w:rPr>
                <w:kern w:val="2"/>
                <w:sz w:val="21"/>
                <w:szCs w:val="21"/>
              </w:rPr>
              <w:t>18</w:t>
            </w:r>
          </w:p>
        </w:tc>
        <w:tc>
          <w:tcPr>
            <w:tcW w:w="820" w:type="pct"/>
            <w:vAlign w:val="center"/>
          </w:tcPr>
          <w:p w14:paraId="768C2AD6" w14:textId="77777777" w:rsidR="003E78AB" w:rsidRDefault="00010BF9">
            <w:pPr>
              <w:spacing w:line="360" w:lineRule="exact"/>
              <w:ind w:firstLineChars="0" w:firstLine="0"/>
              <w:jc w:val="center"/>
              <w:textAlignment w:val="center"/>
              <w:rPr>
                <w:kern w:val="2"/>
                <w:sz w:val="21"/>
                <w:szCs w:val="21"/>
              </w:rPr>
            </w:pPr>
            <w:r>
              <w:rPr>
                <w:sz w:val="21"/>
                <w:szCs w:val="21"/>
                <w:lang w:bidi="ar"/>
              </w:rPr>
              <w:t>氯化物</w:t>
            </w:r>
          </w:p>
        </w:tc>
        <w:tc>
          <w:tcPr>
            <w:tcW w:w="786" w:type="pct"/>
            <w:vAlign w:val="center"/>
          </w:tcPr>
          <w:p w14:paraId="7A5454FE" w14:textId="77777777" w:rsidR="003E78AB" w:rsidRDefault="00010BF9">
            <w:pPr>
              <w:spacing w:line="360" w:lineRule="exact"/>
              <w:ind w:firstLineChars="0" w:firstLine="0"/>
              <w:jc w:val="center"/>
              <w:textAlignment w:val="center"/>
              <w:rPr>
                <w:kern w:val="2"/>
                <w:sz w:val="21"/>
                <w:szCs w:val="21"/>
              </w:rPr>
            </w:pPr>
            <w:r>
              <w:rPr>
                <w:sz w:val="21"/>
                <w:szCs w:val="21"/>
                <w:lang w:bidi="ar"/>
              </w:rPr>
              <w:t>≤250</w:t>
            </w:r>
          </w:p>
        </w:tc>
      </w:tr>
      <w:tr w:rsidR="003E78AB" w14:paraId="1C42BDDF" w14:textId="77777777">
        <w:trPr>
          <w:trHeight w:val="283"/>
          <w:jc w:val="center"/>
        </w:trPr>
        <w:tc>
          <w:tcPr>
            <w:tcW w:w="546" w:type="pct"/>
            <w:vAlign w:val="center"/>
          </w:tcPr>
          <w:p w14:paraId="076ECA4D" w14:textId="77777777" w:rsidR="003E78AB" w:rsidRDefault="00010BF9">
            <w:pPr>
              <w:spacing w:line="360" w:lineRule="exact"/>
              <w:ind w:firstLineChars="0" w:firstLine="0"/>
              <w:jc w:val="center"/>
              <w:rPr>
                <w:kern w:val="2"/>
                <w:sz w:val="21"/>
                <w:szCs w:val="21"/>
              </w:rPr>
            </w:pPr>
            <w:r>
              <w:rPr>
                <w:kern w:val="2"/>
                <w:sz w:val="21"/>
                <w:szCs w:val="21"/>
              </w:rPr>
              <w:t>2</w:t>
            </w:r>
          </w:p>
        </w:tc>
        <w:tc>
          <w:tcPr>
            <w:tcW w:w="1541" w:type="pct"/>
            <w:vAlign w:val="center"/>
          </w:tcPr>
          <w:p w14:paraId="40539BED" w14:textId="77777777" w:rsidR="003E78AB" w:rsidRDefault="00010BF9">
            <w:pPr>
              <w:spacing w:line="360" w:lineRule="exact"/>
              <w:ind w:firstLineChars="0" w:firstLine="0"/>
              <w:jc w:val="center"/>
              <w:textAlignment w:val="center"/>
              <w:rPr>
                <w:kern w:val="2"/>
                <w:sz w:val="21"/>
                <w:szCs w:val="21"/>
              </w:rPr>
            </w:pPr>
            <w:r>
              <w:rPr>
                <w:sz w:val="21"/>
                <w:szCs w:val="21"/>
                <w:lang w:bidi="ar"/>
              </w:rPr>
              <w:t>总硬度</w:t>
            </w:r>
          </w:p>
        </w:tc>
        <w:tc>
          <w:tcPr>
            <w:tcW w:w="769" w:type="pct"/>
            <w:vAlign w:val="center"/>
          </w:tcPr>
          <w:p w14:paraId="6291B687" w14:textId="77777777" w:rsidR="003E78AB" w:rsidRDefault="00010BF9">
            <w:pPr>
              <w:spacing w:line="360" w:lineRule="exact"/>
              <w:ind w:firstLineChars="0" w:firstLine="0"/>
              <w:jc w:val="center"/>
              <w:textAlignment w:val="center"/>
              <w:rPr>
                <w:kern w:val="2"/>
                <w:sz w:val="21"/>
                <w:szCs w:val="21"/>
              </w:rPr>
            </w:pPr>
            <w:r>
              <w:rPr>
                <w:sz w:val="21"/>
                <w:szCs w:val="21"/>
                <w:lang w:bidi="ar"/>
              </w:rPr>
              <w:t>≤450</w:t>
            </w:r>
          </w:p>
        </w:tc>
        <w:tc>
          <w:tcPr>
            <w:tcW w:w="535" w:type="pct"/>
            <w:vAlign w:val="center"/>
          </w:tcPr>
          <w:p w14:paraId="0B14344F" w14:textId="77777777" w:rsidR="003E78AB" w:rsidRDefault="00010BF9">
            <w:pPr>
              <w:spacing w:line="360" w:lineRule="exact"/>
              <w:ind w:firstLineChars="0" w:firstLine="0"/>
              <w:jc w:val="center"/>
              <w:rPr>
                <w:kern w:val="2"/>
                <w:sz w:val="21"/>
                <w:szCs w:val="21"/>
              </w:rPr>
            </w:pPr>
            <w:r>
              <w:rPr>
                <w:kern w:val="2"/>
                <w:sz w:val="21"/>
                <w:szCs w:val="21"/>
              </w:rPr>
              <w:t>19</w:t>
            </w:r>
          </w:p>
        </w:tc>
        <w:tc>
          <w:tcPr>
            <w:tcW w:w="820" w:type="pct"/>
            <w:vAlign w:val="center"/>
          </w:tcPr>
          <w:p w14:paraId="21277752" w14:textId="77777777" w:rsidR="003E78AB" w:rsidRDefault="00010BF9">
            <w:pPr>
              <w:spacing w:line="360" w:lineRule="exact"/>
              <w:ind w:firstLineChars="0" w:firstLine="0"/>
              <w:jc w:val="center"/>
              <w:textAlignment w:val="center"/>
              <w:rPr>
                <w:kern w:val="2"/>
                <w:sz w:val="21"/>
                <w:szCs w:val="21"/>
              </w:rPr>
            </w:pPr>
            <w:r>
              <w:rPr>
                <w:sz w:val="21"/>
                <w:szCs w:val="21"/>
                <w:lang w:bidi="ar"/>
              </w:rPr>
              <w:t>硝酸盐氮</w:t>
            </w:r>
          </w:p>
        </w:tc>
        <w:tc>
          <w:tcPr>
            <w:tcW w:w="786" w:type="pct"/>
            <w:vAlign w:val="center"/>
          </w:tcPr>
          <w:p w14:paraId="0219363F" w14:textId="77777777" w:rsidR="003E78AB" w:rsidRDefault="00010BF9">
            <w:pPr>
              <w:spacing w:line="360" w:lineRule="exact"/>
              <w:ind w:firstLineChars="0" w:firstLine="0"/>
              <w:jc w:val="center"/>
              <w:textAlignment w:val="center"/>
              <w:rPr>
                <w:kern w:val="2"/>
                <w:sz w:val="21"/>
                <w:szCs w:val="21"/>
              </w:rPr>
            </w:pPr>
            <w:r>
              <w:rPr>
                <w:sz w:val="21"/>
                <w:szCs w:val="21"/>
                <w:lang w:bidi="ar"/>
              </w:rPr>
              <w:t>≤20.0</w:t>
            </w:r>
          </w:p>
        </w:tc>
      </w:tr>
      <w:tr w:rsidR="003E78AB" w14:paraId="13DD66CD" w14:textId="77777777">
        <w:trPr>
          <w:trHeight w:val="283"/>
          <w:jc w:val="center"/>
        </w:trPr>
        <w:tc>
          <w:tcPr>
            <w:tcW w:w="546" w:type="pct"/>
            <w:vAlign w:val="center"/>
          </w:tcPr>
          <w:p w14:paraId="477AC338" w14:textId="77777777" w:rsidR="003E78AB" w:rsidRDefault="00010BF9">
            <w:pPr>
              <w:spacing w:line="360" w:lineRule="exact"/>
              <w:ind w:firstLineChars="0" w:firstLine="0"/>
              <w:jc w:val="center"/>
              <w:rPr>
                <w:kern w:val="2"/>
                <w:sz w:val="21"/>
                <w:szCs w:val="21"/>
              </w:rPr>
            </w:pPr>
            <w:r>
              <w:rPr>
                <w:kern w:val="2"/>
                <w:sz w:val="21"/>
                <w:szCs w:val="21"/>
              </w:rPr>
              <w:t>3</w:t>
            </w:r>
          </w:p>
        </w:tc>
        <w:tc>
          <w:tcPr>
            <w:tcW w:w="1541" w:type="pct"/>
            <w:vAlign w:val="center"/>
          </w:tcPr>
          <w:p w14:paraId="4BA01675" w14:textId="77777777" w:rsidR="003E78AB" w:rsidRDefault="00010BF9">
            <w:pPr>
              <w:spacing w:line="360" w:lineRule="exact"/>
              <w:ind w:firstLineChars="0" w:firstLine="0"/>
              <w:jc w:val="center"/>
              <w:textAlignment w:val="center"/>
              <w:rPr>
                <w:kern w:val="2"/>
                <w:sz w:val="21"/>
                <w:szCs w:val="21"/>
              </w:rPr>
            </w:pPr>
            <w:r>
              <w:rPr>
                <w:sz w:val="21"/>
                <w:szCs w:val="21"/>
                <w:lang w:bidi="ar"/>
              </w:rPr>
              <w:t>溶解性总固体</w:t>
            </w:r>
          </w:p>
        </w:tc>
        <w:tc>
          <w:tcPr>
            <w:tcW w:w="769" w:type="pct"/>
            <w:vAlign w:val="center"/>
          </w:tcPr>
          <w:p w14:paraId="578A5B8C" w14:textId="77777777" w:rsidR="003E78AB" w:rsidRDefault="00010BF9">
            <w:pPr>
              <w:spacing w:line="360" w:lineRule="exact"/>
              <w:ind w:firstLineChars="0" w:firstLine="0"/>
              <w:jc w:val="center"/>
              <w:textAlignment w:val="center"/>
              <w:rPr>
                <w:kern w:val="2"/>
                <w:sz w:val="21"/>
                <w:szCs w:val="21"/>
              </w:rPr>
            </w:pPr>
            <w:r>
              <w:rPr>
                <w:sz w:val="21"/>
                <w:szCs w:val="21"/>
                <w:lang w:bidi="ar"/>
              </w:rPr>
              <w:t>≤1000</w:t>
            </w:r>
          </w:p>
        </w:tc>
        <w:tc>
          <w:tcPr>
            <w:tcW w:w="535" w:type="pct"/>
            <w:vAlign w:val="center"/>
          </w:tcPr>
          <w:p w14:paraId="71E6E9EA" w14:textId="77777777" w:rsidR="003E78AB" w:rsidRDefault="00010BF9">
            <w:pPr>
              <w:spacing w:line="360" w:lineRule="exact"/>
              <w:ind w:firstLineChars="0" w:firstLine="0"/>
              <w:jc w:val="center"/>
              <w:rPr>
                <w:kern w:val="2"/>
                <w:sz w:val="21"/>
                <w:szCs w:val="21"/>
              </w:rPr>
            </w:pPr>
            <w:r>
              <w:rPr>
                <w:kern w:val="2"/>
                <w:sz w:val="21"/>
                <w:szCs w:val="21"/>
              </w:rPr>
              <w:t>20</w:t>
            </w:r>
          </w:p>
        </w:tc>
        <w:tc>
          <w:tcPr>
            <w:tcW w:w="820" w:type="pct"/>
            <w:vAlign w:val="center"/>
          </w:tcPr>
          <w:p w14:paraId="42A8B0F7" w14:textId="77777777" w:rsidR="003E78AB" w:rsidRDefault="00010BF9">
            <w:pPr>
              <w:spacing w:line="360" w:lineRule="exact"/>
              <w:ind w:firstLineChars="0" w:firstLine="0"/>
              <w:jc w:val="center"/>
              <w:textAlignment w:val="center"/>
              <w:rPr>
                <w:kern w:val="2"/>
                <w:sz w:val="21"/>
                <w:szCs w:val="21"/>
              </w:rPr>
            </w:pPr>
            <w:r>
              <w:rPr>
                <w:sz w:val="21"/>
                <w:szCs w:val="21"/>
                <w:lang w:bidi="ar"/>
              </w:rPr>
              <w:t>硫酸盐</w:t>
            </w:r>
          </w:p>
        </w:tc>
        <w:tc>
          <w:tcPr>
            <w:tcW w:w="786" w:type="pct"/>
            <w:vAlign w:val="center"/>
          </w:tcPr>
          <w:p w14:paraId="5C99D06A" w14:textId="77777777" w:rsidR="003E78AB" w:rsidRDefault="00010BF9">
            <w:pPr>
              <w:spacing w:line="360" w:lineRule="exact"/>
              <w:ind w:firstLineChars="0" w:firstLine="0"/>
              <w:jc w:val="center"/>
              <w:textAlignment w:val="center"/>
              <w:rPr>
                <w:kern w:val="2"/>
                <w:sz w:val="21"/>
                <w:szCs w:val="21"/>
              </w:rPr>
            </w:pPr>
            <w:r>
              <w:rPr>
                <w:sz w:val="21"/>
                <w:szCs w:val="21"/>
                <w:lang w:bidi="ar"/>
              </w:rPr>
              <w:t>≤250</w:t>
            </w:r>
          </w:p>
        </w:tc>
      </w:tr>
      <w:tr w:rsidR="003E78AB" w14:paraId="33C45990" w14:textId="77777777">
        <w:trPr>
          <w:trHeight w:val="283"/>
          <w:jc w:val="center"/>
        </w:trPr>
        <w:tc>
          <w:tcPr>
            <w:tcW w:w="546" w:type="pct"/>
            <w:vAlign w:val="center"/>
          </w:tcPr>
          <w:p w14:paraId="2FBD765A" w14:textId="77777777" w:rsidR="003E78AB" w:rsidRDefault="00010BF9">
            <w:pPr>
              <w:spacing w:line="360" w:lineRule="exact"/>
              <w:ind w:firstLineChars="0" w:firstLine="0"/>
              <w:jc w:val="center"/>
              <w:rPr>
                <w:kern w:val="2"/>
                <w:sz w:val="21"/>
                <w:szCs w:val="21"/>
              </w:rPr>
            </w:pPr>
            <w:r>
              <w:rPr>
                <w:kern w:val="2"/>
                <w:sz w:val="21"/>
                <w:szCs w:val="21"/>
              </w:rPr>
              <w:t>4</w:t>
            </w:r>
          </w:p>
        </w:tc>
        <w:tc>
          <w:tcPr>
            <w:tcW w:w="1541" w:type="pct"/>
            <w:vAlign w:val="center"/>
          </w:tcPr>
          <w:p w14:paraId="12723729"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769" w:type="pct"/>
            <w:vAlign w:val="center"/>
          </w:tcPr>
          <w:p w14:paraId="42BAD8EA" w14:textId="77777777" w:rsidR="003E78AB" w:rsidRDefault="00010BF9">
            <w:pPr>
              <w:spacing w:line="360" w:lineRule="exact"/>
              <w:ind w:firstLineChars="0" w:firstLine="0"/>
              <w:jc w:val="center"/>
              <w:textAlignment w:val="center"/>
              <w:rPr>
                <w:kern w:val="2"/>
                <w:sz w:val="21"/>
                <w:szCs w:val="21"/>
              </w:rPr>
            </w:pPr>
            <w:r>
              <w:rPr>
                <w:sz w:val="21"/>
                <w:szCs w:val="21"/>
                <w:lang w:bidi="ar"/>
              </w:rPr>
              <w:t>≤0.50</w:t>
            </w:r>
          </w:p>
        </w:tc>
        <w:tc>
          <w:tcPr>
            <w:tcW w:w="535" w:type="pct"/>
            <w:vAlign w:val="center"/>
          </w:tcPr>
          <w:p w14:paraId="15206B9E" w14:textId="77777777" w:rsidR="003E78AB" w:rsidRDefault="00010BF9">
            <w:pPr>
              <w:spacing w:line="360" w:lineRule="exact"/>
              <w:ind w:firstLineChars="0" w:firstLine="0"/>
              <w:jc w:val="center"/>
              <w:rPr>
                <w:kern w:val="2"/>
                <w:sz w:val="21"/>
                <w:szCs w:val="21"/>
              </w:rPr>
            </w:pPr>
            <w:r>
              <w:rPr>
                <w:kern w:val="2"/>
                <w:sz w:val="21"/>
                <w:szCs w:val="21"/>
              </w:rPr>
              <w:t>21</w:t>
            </w:r>
          </w:p>
        </w:tc>
        <w:tc>
          <w:tcPr>
            <w:tcW w:w="820" w:type="pct"/>
            <w:vAlign w:val="center"/>
          </w:tcPr>
          <w:p w14:paraId="17CD4160" w14:textId="77777777" w:rsidR="003E78AB" w:rsidRDefault="00010BF9">
            <w:pPr>
              <w:spacing w:line="360" w:lineRule="exact"/>
              <w:ind w:firstLineChars="0" w:firstLine="0"/>
              <w:jc w:val="center"/>
              <w:textAlignment w:val="center"/>
              <w:rPr>
                <w:kern w:val="2"/>
                <w:sz w:val="21"/>
                <w:szCs w:val="21"/>
              </w:rPr>
            </w:pPr>
            <w:r>
              <w:rPr>
                <w:sz w:val="21"/>
                <w:szCs w:val="21"/>
                <w:lang w:bidi="ar"/>
              </w:rPr>
              <w:t>钙</w:t>
            </w:r>
          </w:p>
        </w:tc>
        <w:tc>
          <w:tcPr>
            <w:tcW w:w="786" w:type="pct"/>
            <w:vAlign w:val="center"/>
          </w:tcPr>
          <w:p w14:paraId="3851C376" w14:textId="77777777" w:rsidR="003E78AB" w:rsidRDefault="00010BF9">
            <w:pPr>
              <w:spacing w:line="360" w:lineRule="exact"/>
              <w:ind w:firstLineChars="0" w:firstLine="0"/>
              <w:jc w:val="center"/>
              <w:textAlignment w:val="center"/>
              <w:rPr>
                <w:kern w:val="2"/>
                <w:sz w:val="21"/>
                <w:szCs w:val="21"/>
              </w:rPr>
            </w:pPr>
            <w:r>
              <w:rPr>
                <w:sz w:val="21"/>
                <w:szCs w:val="21"/>
                <w:lang w:bidi="ar"/>
              </w:rPr>
              <w:t>--</w:t>
            </w:r>
          </w:p>
        </w:tc>
      </w:tr>
      <w:tr w:rsidR="003E78AB" w14:paraId="7F0F7E8E" w14:textId="77777777">
        <w:trPr>
          <w:trHeight w:val="283"/>
          <w:jc w:val="center"/>
        </w:trPr>
        <w:tc>
          <w:tcPr>
            <w:tcW w:w="546" w:type="pct"/>
            <w:vAlign w:val="center"/>
          </w:tcPr>
          <w:p w14:paraId="0EACBF09" w14:textId="77777777" w:rsidR="003E78AB" w:rsidRDefault="00010BF9">
            <w:pPr>
              <w:spacing w:line="360" w:lineRule="exact"/>
              <w:ind w:firstLineChars="0" w:firstLine="0"/>
              <w:jc w:val="center"/>
              <w:rPr>
                <w:kern w:val="2"/>
                <w:sz w:val="21"/>
                <w:szCs w:val="21"/>
              </w:rPr>
            </w:pPr>
            <w:r>
              <w:rPr>
                <w:kern w:val="2"/>
                <w:sz w:val="21"/>
                <w:szCs w:val="21"/>
              </w:rPr>
              <w:t>5</w:t>
            </w:r>
          </w:p>
        </w:tc>
        <w:tc>
          <w:tcPr>
            <w:tcW w:w="1541" w:type="pct"/>
            <w:vAlign w:val="center"/>
          </w:tcPr>
          <w:p w14:paraId="142967F5" w14:textId="77777777" w:rsidR="003E78AB" w:rsidRDefault="00010BF9">
            <w:pPr>
              <w:spacing w:line="360" w:lineRule="exact"/>
              <w:ind w:firstLineChars="0" w:firstLine="0"/>
              <w:jc w:val="center"/>
              <w:textAlignment w:val="center"/>
              <w:rPr>
                <w:kern w:val="2"/>
                <w:sz w:val="21"/>
                <w:szCs w:val="21"/>
              </w:rPr>
            </w:pPr>
            <w:r>
              <w:rPr>
                <w:sz w:val="21"/>
                <w:szCs w:val="21"/>
                <w:lang w:bidi="ar"/>
              </w:rPr>
              <w:t>总氰化物</w:t>
            </w:r>
          </w:p>
        </w:tc>
        <w:tc>
          <w:tcPr>
            <w:tcW w:w="769" w:type="pct"/>
            <w:vAlign w:val="center"/>
          </w:tcPr>
          <w:p w14:paraId="1385D183" w14:textId="77777777" w:rsidR="003E78AB" w:rsidRDefault="00010BF9">
            <w:pPr>
              <w:spacing w:line="360" w:lineRule="exact"/>
              <w:ind w:firstLineChars="0" w:firstLine="0"/>
              <w:jc w:val="center"/>
              <w:textAlignment w:val="center"/>
              <w:rPr>
                <w:kern w:val="2"/>
                <w:sz w:val="21"/>
                <w:szCs w:val="21"/>
              </w:rPr>
            </w:pPr>
            <w:r>
              <w:rPr>
                <w:sz w:val="21"/>
                <w:szCs w:val="21"/>
                <w:lang w:bidi="ar"/>
              </w:rPr>
              <w:t>≤0.05</w:t>
            </w:r>
          </w:p>
        </w:tc>
        <w:tc>
          <w:tcPr>
            <w:tcW w:w="535" w:type="pct"/>
            <w:vAlign w:val="center"/>
          </w:tcPr>
          <w:p w14:paraId="0FC34837" w14:textId="77777777" w:rsidR="003E78AB" w:rsidRDefault="00010BF9">
            <w:pPr>
              <w:spacing w:line="360" w:lineRule="exact"/>
              <w:ind w:firstLineChars="0" w:firstLine="0"/>
              <w:jc w:val="center"/>
              <w:rPr>
                <w:kern w:val="2"/>
                <w:sz w:val="21"/>
                <w:szCs w:val="21"/>
              </w:rPr>
            </w:pPr>
            <w:r>
              <w:rPr>
                <w:kern w:val="2"/>
                <w:sz w:val="21"/>
                <w:szCs w:val="21"/>
              </w:rPr>
              <w:t>22</w:t>
            </w:r>
          </w:p>
        </w:tc>
        <w:tc>
          <w:tcPr>
            <w:tcW w:w="820" w:type="pct"/>
            <w:vAlign w:val="center"/>
          </w:tcPr>
          <w:p w14:paraId="51B60D3E" w14:textId="77777777" w:rsidR="003E78AB" w:rsidRDefault="00010BF9">
            <w:pPr>
              <w:spacing w:line="360" w:lineRule="exact"/>
              <w:ind w:firstLineChars="0" w:firstLine="0"/>
              <w:jc w:val="center"/>
              <w:textAlignment w:val="center"/>
              <w:rPr>
                <w:kern w:val="2"/>
                <w:sz w:val="21"/>
                <w:szCs w:val="21"/>
              </w:rPr>
            </w:pPr>
            <w:r>
              <w:rPr>
                <w:sz w:val="21"/>
                <w:szCs w:val="21"/>
                <w:lang w:bidi="ar"/>
              </w:rPr>
              <w:t>镁</w:t>
            </w:r>
          </w:p>
        </w:tc>
        <w:tc>
          <w:tcPr>
            <w:tcW w:w="786" w:type="pct"/>
            <w:vAlign w:val="center"/>
          </w:tcPr>
          <w:p w14:paraId="5026E441" w14:textId="77777777" w:rsidR="003E78AB" w:rsidRDefault="00010BF9">
            <w:pPr>
              <w:spacing w:line="360" w:lineRule="exact"/>
              <w:ind w:firstLineChars="0" w:firstLine="0"/>
              <w:jc w:val="center"/>
              <w:textAlignment w:val="center"/>
              <w:rPr>
                <w:kern w:val="2"/>
                <w:sz w:val="21"/>
                <w:szCs w:val="21"/>
              </w:rPr>
            </w:pPr>
            <w:r>
              <w:rPr>
                <w:sz w:val="21"/>
                <w:szCs w:val="21"/>
                <w:lang w:bidi="ar"/>
              </w:rPr>
              <w:t>--</w:t>
            </w:r>
          </w:p>
        </w:tc>
      </w:tr>
      <w:tr w:rsidR="003E78AB" w14:paraId="63604C4B" w14:textId="77777777">
        <w:trPr>
          <w:trHeight w:val="283"/>
          <w:jc w:val="center"/>
        </w:trPr>
        <w:tc>
          <w:tcPr>
            <w:tcW w:w="546" w:type="pct"/>
            <w:vAlign w:val="center"/>
          </w:tcPr>
          <w:p w14:paraId="107711D6" w14:textId="77777777" w:rsidR="003E78AB" w:rsidRDefault="00010BF9">
            <w:pPr>
              <w:spacing w:line="360" w:lineRule="exact"/>
              <w:ind w:firstLineChars="0" w:firstLine="0"/>
              <w:jc w:val="center"/>
              <w:rPr>
                <w:kern w:val="2"/>
                <w:sz w:val="21"/>
                <w:szCs w:val="21"/>
              </w:rPr>
            </w:pPr>
            <w:r>
              <w:rPr>
                <w:kern w:val="2"/>
                <w:sz w:val="21"/>
                <w:szCs w:val="21"/>
              </w:rPr>
              <w:t>6</w:t>
            </w:r>
          </w:p>
        </w:tc>
        <w:tc>
          <w:tcPr>
            <w:tcW w:w="1541" w:type="pct"/>
            <w:vAlign w:val="center"/>
          </w:tcPr>
          <w:p w14:paraId="42F40925" w14:textId="77777777" w:rsidR="003E78AB" w:rsidRDefault="00010BF9">
            <w:pPr>
              <w:spacing w:line="360" w:lineRule="exact"/>
              <w:ind w:firstLineChars="0" w:firstLine="0"/>
              <w:jc w:val="center"/>
              <w:textAlignment w:val="center"/>
              <w:rPr>
                <w:kern w:val="2"/>
                <w:sz w:val="21"/>
                <w:szCs w:val="21"/>
              </w:rPr>
            </w:pPr>
            <w:r>
              <w:rPr>
                <w:sz w:val="21"/>
                <w:szCs w:val="21"/>
                <w:lang w:bidi="ar"/>
              </w:rPr>
              <w:t>六价铬</w:t>
            </w:r>
          </w:p>
        </w:tc>
        <w:tc>
          <w:tcPr>
            <w:tcW w:w="769" w:type="pct"/>
            <w:vAlign w:val="center"/>
          </w:tcPr>
          <w:p w14:paraId="270FB872" w14:textId="77777777" w:rsidR="003E78AB" w:rsidRDefault="00010BF9">
            <w:pPr>
              <w:spacing w:line="360" w:lineRule="exact"/>
              <w:ind w:firstLineChars="0" w:firstLine="0"/>
              <w:jc w:val="center"/>
              <w:textAlignment w:val="center"/>
              <w:rPr>
                <w:kern w:val="2"/>
                <w:sz w:val="21"/>
                <w:szCs w:val="21"/>
              </w:rPr>
            </w:pPr>
            <w:r>
              <w:rPr>
                <w:sz w:val="21"/>
                <w:szCs w:val="21"/>
                <w:lang w:bidi="ar"/>
              </w:rPr>
              <w:t>≤0.05</w:t>
            </w:r>
          </w:p>
        </w:tc>
        <w:tc>
          <w:tcPr>
            <w:tcW w:w="535" w:type="pct"/>
            <w:vAlign w:val="center"/>
          </w:tcPr>
          <w:p w14:paraId="2123A563" w14:textId="77777777" w:rsidR="003E78AB" w:rsidRDefault="00010BF9">
            <w:pPr>
              <w:spacing w:line="360" w:lineRule="exact"/>
              <w:ind w:firstLineChars="0" w:firstLine="0"/>
              <w:jc w:val="center"/>
              <w:rPr>
                <w:kern w:val="2"/>
                <w:sz w:val="21"/>
                <w:szCs w:val="21"/>
              </w:rPr>
            </w:pPr>
            <w:r>
              <w:rPr>
                <w:kern w:val="2"/>
                <w:sz w:val="21"/>
                <w:szCs w:val="21"/>
              </w:rPr>
              <w:t>23</w:t>
            </w:r>
          </w:p>
        </w:tc>
        <w:tc>
          <w:tcPr>
            <w:tcW w:w="820" w:type="pct"/>
            <w:vAlign w:val="center"/>
          </w:tcPr>
          <w:p w14:paraId="6F8C94BD" w14:textId="77777777" w:rsidR="003E78AB" w:rsidRDefault="00010BF9">
            <w:pPr>
              <w:spacing w:line="360" w:lineRule="exact"/>
              <w:ind w:firstLineChars="0" w:firstLine="0"/>
              <w:jc w:val="center"/>
              <w:textAlignment w:val="center"/>
              <w:rPr>
                <w:sz w:val="21"/>
                <w:szCs w:val="21"/>
                <w:lang w:bidi="ar"/>
              </w:rPr>
            </w:pPr>
            <w:r>
              <w:rPr>
                <w:sz w:val="21"/>
                <w:szCs w:val="21"/>
                <w:lang w:bidi="ar"/>
              </w:rPr>
              <w:t>钾</w:t>
            </w:r>
          </w:p>
        </w:tc>
        <w:tc>
          <w:tcPr>
            <w:tcW w:w="786" w:type="pct"/>
            <w:vAlign w:val="center"/>
          </w:tcPr>
          <w:p w14:paraId="7F330553"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r>
      <w:tr w:rsidR="003E78AB" w14:paraId="154EF883" w14:textId="77777777">
        <w:trPr>
          <w:trHeight w:val="283"/>
          <w:jc w:val="center"/>
        </w:trPr>
        <w:tc>
          <w:tcPr>
            <w:tcW w:w="546" w:type="pct"/>
            <w:vAlign w:val="center"/>
          </w:tcPr>
          <w:p w14:paraId="005BBEEE" w14:textId="77777777" w:rsidR="003E78AB" w:rsidRDefault="00010BF9">
            <w:pPr>
              <w:spacing w:line="360" w:lineRule="exact"/>
              <w:ind w:firstLineChars="0" w:firstLine="0"/>
              <w:jc w:val="center"/>
              <w:rPr>
                <w:kern w:val="2"/>
                <w:sz w:val="21"/>
                <w:szCs w:val="21"/>
              </w:rPr>
            </w:pPr>
            <w:r>
              <w:rPr>
                <w:kern w:val="2"/>
                <w:sz w:val="21"/>
                <w:szCs w:val="21"/>
              </w:rPr>
              <w:t>7</w:t>
            </w:r>
          </w:p>
        </w:tc>
        <w:tc>
          <w:tcPr>
            <w:tcW w:w="1541" w:type="pct"/>
            <w:vAlign w:val="center"/>
          </w:tcPr>
          <w:p w14:paraId="5AB8503B" w14:textId="77777777" w:rsidR="003E78AB" w:rsidRDefault="00010BF9">
            <w:pPr>
              <w:spacing w:line="360" w:lineRule="exact"/>
              <w:ind w:firstLineChars="0" w:firstLine="0"/>
              <w:jc w:val="center"/>
              <w:textAlignment w:val="center"/>
              <w:rPr>
                <w:kern w:val="2"/>
                <w:sz w:val="21"/>
                <w:szCs w:val="21"/>
              </w:rPr>
            </w:pPr>
            <w:r>
              <w:rPr>
                <w:sz w:val="21"/>
                <w:szCs w:val="21"/>
                <w:lang w:bidi="ar"/>
              </w:rPr>
              <w:t>耗氧量</w:t>
            </w:r>
          </w:p>
        </w:tc>
        <w:tc>
          <w:tcPr>
            <w:tcW w:w="769" w:type="pct"/>
            <w:vAlign w:val="center"/>
          </w:tcPr>
          <w:p w14:paraId="6BEAC1DF" w14:textId="77777777" w:rsidR="003E78AB" w:rsidRDefault="00010BF9">
            <w:pPr>
              <w:spacing w:line="360" w:lineRule="exact"/>
              <w:ind w:firstLineChars="0" w:firstLine="0"/>
              <w:jc w:val="center"/>
              <w:textAlignment w:val="center"/>
              <w:rPr>
                <w:kern w:val="2"/>
                <w:sz w:val="21"/>
                <w:szCs w:val="21"/>
              </w:rPr>
            </w:pPr>
            <w:r>
              <w:rPr>
                <w:sz w:val="21"/>
                <w:szCs w:val="21"/>
                <w:lang w:bidi="ar"/>
              </w:rPr>
              <w:t>≤3.0</w:t>
            </w:r>
          </w:p>
        </w:tc>
        <w:tc>
          <w:tcPr>
            <w:tcW w:w="535" w:type="pct"/>
            <w:vAlign w:val="center"/>
          </w:tcPr>
          <w:p w14:paraId="281C7974" w14:textId="77777777" w:rsidR="003E78AB" w:rsidRDefault="00010BF9">
            <w:pPr>
              <w:spacing w:line="360" w:lineRule="exact"/>
              <w:ind w:firstLineChars="0" w:firstLine="0"/>
              <w:jc w:val="center"/>
              <w:rPr>
                <w:kern w:val="2"/>
                <w:sz w:val="21"/>
                <w:szCs w:val="21"/>
              </w:rPr>
            </w:pPr>
            <w:r>
              <w:rPr>
                <w:kern w:val="2"/>
                <w:sz w:val="21"/>
                <w:szCs w:val="21"/>
              </w:rPr>
              <w:t>24</w:t>
            </w:r>
          </w:p>
        </w:tc>
        <w:tc>
          <w:tcPr>
            <w:tcW w:w="820" w:type="pct"/>
            <w:vAlign w:val="center"/>
          </w:tcPr>
          <w:p w14:paraId="676C3147" w14:textId="77777777" w:rsidR="003E78AB" w:rsidRDefault="00010BF9">
            <w:pPr>
              <w:spacing w:line="360" w:lineRule="exact"/>
              <w:ind w:firstLineChars="0" w:firstLine="0"/>
              <w:jc w:val="center"/>
              <w:textAlignment w:val="center"/>
              <w:rPr>
                <w:kern w:val="2"/>
                <w:sz w:val="21"/>
                <w:szCs w:val="21"/>
              </w:rPr>
            </w:pPr>
            <w:r>
              <w:rPr>
                <w:sz w:val="21"/>
                <w:szCs w:val="21"/>
                <w:lang w:bidi="ar"/>
              </w:rPr>
              <w:t>钠</w:t>
            </w:r>
          </w:p>
        </w:tc>
        <w:tc>
          <w:tcPr>
            <w:tcW w:w="786" w:type="pct"/>
            <w:vAlign w:val="center"/>
          </w:tcPr>
          <w:p w14:paraId="3CAB5E57" w14:textId="77777777" w:rsidR="003E78AB" w:rsidRDefault="00010BF9">
            <w:pPr>
              <w:spacing w:line="360" w:lineRule="exact"/>
              <w:ind w:firstLineChars="0" w:firstLine="0"/>
              <w:jc w:val="center"/>
              <w:textAlignment w:val="center"/>
              <w:rPr>
                <w:kern w:val="2"/>
                <w:sz w:val="21"/>
                <w:szCs w:val="21"/>
              </w:rPr>
            </w:pPr>
            <w:r>
              <w:rPr>
                <w:sz w:val="21"/>
                <w:szCs w:val="21"/>
                <w:lang w:bidi="ar"/>
              </w:rPr>
              <w:t>≤200</w:t>
            </w:r>
          </w:p>
        </w:tc>
      </w:tr>
      <w:tr w:rsidR="003E78AB" w14:paraId="347F7923" w14:textId="77777777">
        <w:trPr>
          <w:trHeight w:val="283"/>
          <w:jc w:val="center"/>
        </w:trPr>
        <w:tc>
          <w:tcPr>
            <w:tcW w:w="546" w:type="pct"/>
            <w:vAlign w:val="center"/>
          </w:tcPr>
          <w:p w14:paraId="11A08951" w14:textId="77777777" w:rsidR="003E78AB" w:rsidRDefault="00010BF9">
            <w:pPr>
              <w:spacing w:line="360" w:lineRule="exact"/>
              <w:ind w:firstLineChars="0" w:firstLine="0"/>
              <w:jc w:val="center"/>
              <w:rPr>
                <w:kern w:val="2"/>
                <w:sz w:val="21"/>
                <w:szCs w:val="21"/>
              </w:rPr>
            </w:pPr>
            <w:r>
              <w:rPr>
                <w:kern w:val="2"/>
                <w:sz w:val="21"/>
                <w:szCs w:val="21"/>
              </w:rPr>
              <w:t>8</w:t>
            </w:r>
          </w:p>
        </w:tc>
        <w:tc>
          <w:tcPr>
            <w:tcW w:w="1541" w:type="pct"/>
            <w:vAlign w:val="center"/>
          </w:tcPr>
          <w:p w14:paraId="56C0A617" w14:textId="77777777" w:rsidR="003E78AB" w:rsidRDefault="00010BF9">
            <w:pPr>
              <w:spacing w:line="360" w:lineRule="exact"/>
              <w:ind w:firstLineChars="0" w:firstLine="0"/>
              <w:jc w:val="center"/>
              <w:textAlignment w:val="center"/>
              <w:rPr>
                <w:kern w:val="2"/>
                <w:sz w:val="21"/>
                <w:szCs w:val="21"/>
              </w:rPr>
            </w:pPr>
            <w:r>
              <w:rPr>
                <w:sz w:val="21"/>
                <w:szCs w:val="21"/>
                <w:lang w:bidi="ar"/>
              </w:rPr>
              <w:t>挥发酚</w:t>
            </w:r>
          </w:p>
        </w:tc>
        <w:tc>
          <w:tcPr>
            <w:tcW w:w="769" w:type="pct"/>
            <w:vAlign w:val="center"/>
          </w:tcPr>
          <w:p w14:paraId="37B0AD01" w14:textId="77777777" w:rsidR="003E78AB" w:rsidRDefault="00010BF9">
            <w:pPr>
              <w:spacing w:line="360" w:lineRule="exact"/>
              <w:ind w:firstLineChars="0" w:firstLine="0"/>
              <w:jc w:val="center"/>
              <w:textAlignment w:val="center"/>
              <w:rPr>
                <w:kern w:val="2"/>
                <w:sz w:val="21"/>
                <w:szCs w:val="21"/>
              </w:rPr>
            </w:pPr>
            <w:r>
              <w:rPr>
                <w:sz w:val="21"/>
                <w:szCs w:val="21"/>
                <w:lang w:bidi="ar"/>
              </w:rPr>
              <w:t>≤0.002</w:t>
            </w:r>
          </w:p>
        </w:tc>
        <w:tc>
          <w:tcPr>
            <w:tcW w:w="535" w:type="pct"/>
            <w:vAlign w:val="center"/>
          </w:tcPr>
          <w:p w14:paraId="0FE9C161" w14:textId="77777777" w:rsidR="003E78AB" w:rsidRDefault="00010BF9">
            <w:pPr>
              <w:spacing w:line="360" w:lineRule="exact"/>
              <w:ind w:firstLineChars="0" w:firstLine="0"/>
              <w:jc w:val="center"/>
              <w:rPr>
                <w:kern w:val="2"/>
                <w:sz w:val="21"/>
                <w:szCs w:val="21"/>
              </w:rPr>
            </w:pPr>
            <w:r>
              <w:rPr>
                <w:kern w:val="2"/>
                <w:sz w:val="21"/>
                <w:szCs w:val="21"/>
              </w:rPr>
              <w:t>25</w:t>
            </w:r>
          </w:p>
        </w:tc>
        <w:tc>
          <w:tcPr>
            <w:tcW w:w="820" w:type="pct"/>
            <w:vAlign w:val="center"/>
          </w:tcPr>
          <w:p w14:paraId="15AC5AB1" w14:textId="77777777" w:rsidR="003E78AB" w:rsidRDefault="00010BF9">
            <w:pPr>
              <w:spacing w:line="360" w:lineRule="exact"/>
              <w:ind w:firstLineChars="0" w:firstLine="0"/>
              <w:jc w:val="center"/>
              <w:textAlignment w:val="center"/>
              <w:rPr>
                <w:kern w:val="2"/>
                <w:sz w:val="21"/>
                <w:szCs w:val="21"/>
              </w:rPr>
            </w:pPr>
            <w:r>
              <w:rPr>
                <w:sz w:val="21"/>
                <w:szCs w:val="21"/>
                <w:lang w:bidi="ar"/>
              </w:rPr>
              <w:t>汞</w:t>
            </w:r>
          </w:p>
        </w:tc>
        <w:tc>
          <w:tcPr>
            <w:tcW w:w="786" w:type="pct"/>
            <w:vAlign w:val="center"/>
          </w:tcPr>
          <w:p w14:paraId="101FF179" w14:textId="77777777" w:rsidR="003E78AB" w:rsidRDefault="00010BF9">
            <w:pPr>
              <w:spacing w:line="360" w:lineRule="exact"/>
              <w:ind w:firstLineChars="0" w:firstLine="0"/>
              <w:jc w:val="center"/>
              <w:textAlignment w:val="center"/>
              <w:rPr>
                <w:kern w:val="2"/>
                <w:sz w:val="21"/>
                <w:szCs w:val="21"/>
              </w:rPr>
            </w:pPr>
            <w:r>
              <w:rPr>
                <w:sz w:val="21"/>
                <w:szCs w:val="21"/>
                <w:lang w:bidi="ar"/>
              </w:rPr>
              <w:t>≤0.001</w:t>
            </w:r>
          </w:p>
        </w:tc>
      </w:tr>
      <w:tr w:rsidR="003E78AB" w14:paraId="4DD14437" w14:textId="77777777">
        <w:trPr>
          <w:trHeight w:val="283"/>
          <w:jc w:val="center"/>
        </w:trPr>
        <w:tc>
          <w:tcPr>
            <w:tcW w:w="546" w:type="pct"/>
            <w:vAlign w:val="center"/>
          </w:tcPr>
          <w:p w14:paraId="195706D0" w14:textId="77777777" w:rsidR="003E78AB" w:rsidRDefault="00010BF9">
            <w:pPr>
              <w:spacing w:line="360" w:lineRule="exact"/>
              <w:ind w:firstLineChars="0" w:firstLine="0"/>
              <w:jc w:val="center"/>
              <w:rPr>
                <w:kern w:val="2"/>
                <w:sz w:val="21"/>
                <w:szCs w:val="21"/>
              </w:rPr>
            </w:pPr>
            <w:r>
              <w:rPr>
                <w:kern w:val="2"/>
                <w:sz w:val="21"/>
                <w:szCs w:val="21"/>
              </w:rPr>
              <w:t>9</w:t>
            </w:r>
          </w:p>
        </w:tc>
        <w:tc>
          <w:tcPr>
            <w:tcW w:w="1541" w:type="pct"/>
            <w:vAlign w:val="center"/>
          </w:tcPr>
          <w:p w14:paraId="3AAD1DE6" w14:textId="77777777" w:rsidR="003E78AB" w:rsidRDefault="00010BF9">
            <w:pPr>
              <w:spacing w:line="360" w:lineRule="exact"/>
              <w:ind w:firstLineChars="0" w:firstLine="0"/>
              <w:jc w:val="center"/>
              <w:textAlignment w:val="center"/>
              <w:rPr>
                <w:kern w:val="2"/>
                <w:sz w:val="21"/>
                <w:szCs w:val="21"/>
              </w:rPr>
            </w:pPr>
            <w:r>
              <w:rPr>
                <w:kern w:val="2"/>
                <w:sz w:val="21"/>
                <w:szCs w:val="21"/>
              </w:rPr>
              <w:t>阴离子表面活性剂</w:t>
            </w:r>
          </w:p>
        </w:tc>
        <w:tc>
          <w:tcPr>
            <w:tcW w:w="769" w:type="pct"/>
            <w:vAlign w:val="center"/>
          </w:tcPr>
          <w:p w14:paraId="1E60CD35" w14:textId="77777777" w:rsidR="003E78AB" w:rsidRDefault="00010BF9">
            <w:pPr>
              <w:spacing w:line="360" w:lineRule="exact"/>
              <w:ind w:firstLineChars="0" w:firstLine="0"/>
              <w:jc w:val="center"/>
              <w:textAlignment w:val="center"/>
              <w:rPr>
                <w:kern w:val="2"/>
                <w:sz w:val="21"/>
                <w:szCs w:val="21"/>
              </w:rPr>
            </w:pPr>
            <w:r>
              <w:rPr>
                <w:sz w:val="21"/>
                <w:szCs w:val="21"/>
                <w:lang w:bidi="ar"/>
              </w:rPr>
              <w:t>≤0.3</w:t>
            </w:r>
          </w:p>
        </w:tc>
        <w:tc>
          <w:tcPr>
            <w:tcW w:w="535" w:type="pct"/>
            <w:vAlign w:val="center"/>
          </w:tcPr>
          <w:p w14:paraId="02AD3D21" w14:textId="77777777" w:rsidR="003E78AB" w:rsidRDefault="00010BF9">
            <w:pPr>
              <w:spacing w:line="360" w:lineRule="exact"/>
              <w:ind w:firstLineChars="0" w:firstLine="0"/>
              <w:jc w:val="center"/>
              <w:rPr>
                <w:kern w:val="2"/>
                <w:sz w:val="21"/>
                <w:szCs w:val="21"/>
              </w:rPr>
            </w:pPr>
            <w:r>
              <w:rPr>
                <w:kern w:val="2"/>
                <w:sz w:val="21"/>
                <w:szCs w:val="21"/>
              </w:rPr>
              <w:t>26</w:t>
            </w:r>
          </w:p>
        </w:tc>
        <w:tc>
          <w:tcPr>
            <w:tcW w:w="820" w:type="pct"/>
            <w:vAlign w:val="center"/>
          </w:tcPr>
          <w:p w14:paraId="4B0ECA6B" w14:textId="77777777" w:rsidR="003E78AB" w:rsidRDefault="00010BF9">
            <w:pPr>
              <w:spacing w:line="360" w:lineRule="exact"/>
              <w:ind w:firstLineChars="0" w:firstLine="0"/>
              <w:jc w:val="center"/>
              <w:textAlignment w:val="center"/>
              <w:rPr>
                <w:kern w:val="2"/>
                <w:sz w:val="21"/>
                <w:szCs w:val="21"/>
              </w:rPr>
            </w:pPr>
            <w:r>
              <w:rPr>
                <w:sz w:val="21"/>
                <w:szCs w:val="21"/>
                <w:lang w:bidi="ar"/>
              </w:rPr>
              <w:t>砷</w:t>
            </w:r>
          </w:p>
        </w:tc>
        <w:tc>
          <w:tcPr>
            <w:tcW w:w="786" w:type="pct"/>
            <w:vAlign w:val="center"/>
          </w:tcPr>
          <w:p w14:paraId="117843E4" w14:textId="77777777" w:rsidR="003E78AB" w:rsidRDefault="00010BF9">
            <w:pPr>
              <w:spacing w:line="360" w:lineRule="exact"/>
              <w:ind w:firstLineChars="0" w:firstLine="0"/>
              <w:jc w:val="center"/>
              <w:textAlignment w:val="center"/>
              <w:rPr>
                <w:kern w:val="2"/>
                <w:sz w:val="21"/>
                <w:szCs w:val="21"/>
              </w:rPr>
            </w:pPr>
            <w:r>
              <w:rPr>
                <w:sz w:val="21"/>
                <w:szCs w:val="21"/>
                <w:lang w:bidi="ar"/>
              </w:rPr>
              <w:t>≤0.01</w:t>
            </w:r>
          </w:p>
        </w:tc>
      </w:tr>
      <w:tr w:rsidR="003E78AB" w14:paraId="2648DE49" w14:textId="77777777">
        <w:trPr>
          <w:trHeight w:val="283"/>
          <w:jc w:val="center"/>
        </w:trPr>
        <w:tc>
          <w:tcPr>
            <w:tcW w:w="546" w:type="pct"/>
            <w:vAlign w:val="center"/>
          </w:tcPr>
          <w:p w14:paraId="7032C945" w14:textId="77777777" w:rsidR="003E78AB" w:rsidRDefault="00010BF9">
            <w:pPr>
              <w:spacing w:line="360" w:lineRule="exact"/>
              <w:ind w:firstLineChars="0" w:firstLine="0"/>
              <w:jc w:val="center"/>
              <w:rPr>
                <w:kern w:val="2"/>
                <w:sz w:val="21"/>
                <w:szCs w:val="21"/>
              </w:rPr>
            </w:pPr>
            <w:r>
              <w:rPr>
                <w:kern w:val="2"/>
                <w:sz w:val="21"/>
                <w:szCs w:val="21"/>
              </w:rPr>
              <w:t>10</w:t>
            </w:r>
          </w:p>
        </w:tc>
        <w:tc>
          <w:tcPr>
            <w:tcW w:w="1541" w:type="pct"/>
            <w:vAlign w:val="center"/>
          </w:tcPr>
          <w:p w14:paraId="67604D5B" w14:textId="77777777" w:rsidR="003E78AB" w:rsidRDefault="00010BF9">
            <w:pPr>
              <w:spacing w:line="360" w:lineRule="exact"/>
              <w:ind w:firstLineChars="0" w:firstLine="0"/>
              <w:jc w:val="center"/>
              <w:textAlignment w:val="center"/>
              <w:rPr>
                <w:kern w:val="2"/>
                <w:sz w:val="21"/>
                <w:szCs w:val="21"/>
              </w:rPr>
            </w:pPr>
            <w:r>
              <w:rPr>
                <w:kern w:val="2"/>
                <w:sz w:val="21"/>
                <w:szCs w:val="21"/>
              </w:rPr>
              <w:t>硫化物</w:t>
            </w:r>
          </w:p>
        </w:tc>
        <w:tc>
          <w:tcPr>
            <w:tcW w:w="769" w:type="pct"/>
            <w:vAlign w:val="center"/>
          </w:tcPr>
          <w:p w14:paraId="74848E79" w14:textId="77777777" w:rsidR="003E78AB" w:rsidRDefault="00010BF9">
            <w:pPr>
              <w:spacing w:line="360" w:lineRule="exact"/>
              <w:ind w:firstLineChars="0" w:firstLine="0"/>
              <w:jc w:val="center"/>
              <w:textAlignment w:val="center"/>
              <w:rPr>
                <w:kern w:val="2"/>
                <w:sz w:val="21"/>
                <w:szCs w:val="21"/>
              </w:rPr>
            </w:pPr>
            <w:r>
              <w:rPr>
                <w:sz w:val="21"/>
                <w:szCs w:val="21"/>
                <w:lang w:bidi="ar"/>
              </w:rPr>
              <w:t>≤0.02</w:t>
            </w:r>
          </w:p>
        </w:tc>
        <w:tc>
          <w:tcPr>
            <w:tcW w:w="535" w:type="pct"/>
            <w:vAlign w:val="center"/>
          </w:tcPr>
          <w:p w14:paraId="1C5A9FCF" w14:textId="77777777" w:rsidR="003E78AB" w:rsidRDefault="00010BF9">
            <w:pPr>
              <w:spacing w:line="360" w:lineRule="exact"/>
              <w:ind w:firstLineChars="0" w:firstLine="0"/>
              <w:jc w:val="center"/>
              <w:rPr>
                <w:kern w:val="2"/>
                <w:sz w:val="21"/>
                <w:szCs w:val="21"/>
              </w:rPr>
            </w:pPr>
            <w:r>
              <w:rPr>
                <w:kern w:val="2"/>
                <w:sz w:val="21"/>
                <w:szCs w:val="21"/>
              </w:rPr>
              <w:t>27</w:t>
            </w:r>
          </w:p>
        </w:tc>
        <w:tc>
          <w:tcPr>
            <w:tcW w:w="820" w:type="pct"/>
            <w:vAlign w:val="center"/>
          </w:tcPr>
          <w:p w14:paraId="5BB198BF" w14:textId="77777777" w:rsidR="003E78AB" w:rsidRDefault="00010BF9">
            <w:pPr>
              <w:spacing w:line="360" w:lineRule="exact"/>
              <w:ind w:firstLineChars="0" w:firstLine="0"/>
              <w:jc w:val="center"/>
              <w:textAlignment w:val="center"/>
              <w:rPr>
                <w:kern w:val="2"/>
                <w:sz w:val="21"/>
                <w:szCs w:val="21"/>
              </w:rPr>
            </w:pPr>
            <w:r>
              <w:rPr>
                <w:sz w:val="21"/>
                <w:szCs w:val="21"/>
                <w:lang w:bidi="ar"/>
              </w:rPr>
              <w:t>铁</w:t>
            </w:r>
          </w:p>
        </w:tc>
        <w:tc>
          <w:tcPr>
            <w:tcW w:w="786" w:type="pct"/>
            <w:vAlign w:val="center"/>
          </w:tcPr>
          <w:p w14:paraId="473DBB57" w14:textId="77777777" w:rsidR="003E78AB" w:rsidRDefault="00010BF9">
            <w:pPr>
              <w:spacing w:line="360" w:lineRule="exact"/>
              <w:ind w:firstLineChars="0" w:firstLine="0"/>
              <w:jc w:val="center"/>
              <w:textAlignment w:val="center"/>
              <w:rPr>
                <w:kern w:val="2"/>
                <w:sz w:val="21"/>
                <w:szCs w:val="21"/>
              </w:rPr>
            </w:pPr>
            <w:r>
              <w:rPr>
                <w:sz w:val="21"/>
                <w:szCs w:val="21"/>
                <w:lang w:bidi="ar"/>
              </w:rPr>
              <w:t>≤0.3</w:t>
            </w:r>
          </w:p>
        </w:tc>
      </w:tr>
      <w:tr w:rsidR="003E78AB" w14:paraId="4C25B8D4" w14:textId="77777777">
        <w:trPr>
          <w:trHeight w:val="283"/>
          <w:jc w:val="center"/>
        </w:trPr>
        <w:tc>
          <w:tcPr>
            <w:tcW w:w="546" w:type="pct"/>
            <w:vAlign w:val="center"/>
          </w:tcPr>
          <w:p w14:paraId="54845CA7" w14:textId="77777777" w:rsidR="003E78AB" w:rsidRDefault="00010BF9">
            <w:pPr>
              <w:spacing w:line="360" w:lineRule="exact"/>
              <w:ind w:firstLineChars="0" w:firstLine="0"/>
              <w:jc w:val="center"/>
              <w:rPr>
                <w:kern w:val="2"/>
                <w:sz w:val="21"/>
                <w:szCs w:val="21"/>
              </w:rPr>
            </w:pPr>
            <w:r>
              <w:rPr>
                <w:kern w:val="2"/>
                <w:sz w:val="21"/>
                <w:szCs w:val="21"/>
              </w:rPr>
              <w:t>11</w:t>
            </w:r>
          </w:p>
        </w:tc>
        <w:tc>
          <w:tcPr>
            <w:tcW w:w="1541" w:type="pct"/>
            <w:vAlign w:val="center"/>
          </w:tcPr>
          <w:p w14:paraId="74E34D1A" w14:textId="77777777" w:rsidR="003E78AB" w:rsidRDefault="00010BF9">
            <w:pPr>
              <w:spacing w:line="360" w:lineRule="exact"/>
              <w:ind w:firstLineChars="0" w:firstLine="0"/>
              <w:jc w:val="center"/>
              <w:textAlignment w:val="center"/>
              <w:rPr>
                <w:kern w:val="2"/>
                <w:sz w:val="21"/>
                <w:szCs w:val="21"/>
              </w:rPr>
            </w:pPr>
            <w:r>
              <w:rPr>
                <w:sz w:val="21"/>
                <w:szCs w:val="21"/>
                <w:lang w:bidi="ar"/>
              </w:rPr>
              <w:t>菌落总数（</w:t>
            </w:r>
            <w:r>
              <w:rPr>
                <w:sz w:val="21"/>
                <w:szCs w:val="21"/>
                <w:lang w:bidi="ar"/>
              </w:rPr>
              <w:t>CFU/ml</w:t>
            </w:r>
            <w:r>
              <w:rPr>
                <w:sz w:val="21"/>
                <w:szCs w:val="21"/>
                <w:lang w:bidi="ar"/>
              </w:rPr>
              <w:t>）</w:t>
            </w:r>
          </w:p>
        </w:tc>
        <w:tc>
          <w:tcPr>
            <w:tcW w:w="769" w:type="pct"/>
            <w:vAlign w:val="center"/>
          </w:tcPr>
          <w:p w14:paraId="4F11E7DD" w14:textId="77777777" w:rsidR="003E78AB" w:rsidRDefault="00010BF9">
            <w:pPr>
              <w:spacing w:line="360" w:lineRule="exact"/>
              <w:ind w:firstLineChars="0" w:firstLine="0"/>
              <w:jc w:val="center"/>
              <w:textAlignment w:val="center"/>
              <w:rPr>
                <w:kern w:val="2"/>
                <w:sz w:val="21"/>
                <w:szCs w:val="21"/>
              </w:rPr>
            </w:pPr>
            <w:r>
              <w:rPr>
                <w:sz w:val="21"/>
                <w:szCs w:val="21"/>
                <w:lang w:bidi="ar"/>
              </w:rPr>
              <w:t>≤100</w:t>
            </w:r>
          </w:p>
        </w:tc>
        <w:tc>
          <w:tcPr>
            <w:tcW w:w="535" w:type="pct"/>
            <w:vAlign w:val="center"/>
          </w:tcPr>
          <w:p w14:paraId="7CF8E837" w14:textId="77777777" w:rsidR="003E78AB" w:rsidRDefault="00010BF9">
            <w:pPr>
              <w:spacing w:line="360" w:lineRule="exact"/>
              <w:ind w:firstLineChars="0" w:firstLine="0"/>
              <w:jc w:val="center"/>
              <w:rPr>
                <w:kern w:val="2"/>
                <w:sz w:val="21"/>
                <w:szCs w:val="21"/>
              </w:rPr>
            </w:pPr>
            <w:r>
              <w:rPr>
                <w:kern w:val="2"/>
                <w:sz w:val="21"/>
                <w:szCs w:val="21"/>
              </w:rPr>
              <w:t>28</w:t>
            </w:r>
          </w:p>
        </w:tc>
        <w:tc>
          <w:tcPr>
            <w:tcW w:w="820" w:type="pct"/>
            <w:vAlign w:val="center"/>
          </w:tcPr>
          <w:p w14:paraId="73F18B80" w14:textId="77777777" w:rsidR="003E78AB" w:rsidRDefault="00010BF9">
            <w:pPr>
              <w:spacing w:line="360" w:lineRule="exact"/>
              <w:ind w:firstLineChars="0" w:firstLine="0"/>
              <w:jc w:val="center"/>
              <w:textAlignment w:val="center"/>
              <w:rPr>
                <w:kern w:val="2"/>
                <w:sz w:val="21"/>
                <w:szCs w:val="21"/>
              </w:rPr>
            </w:pPr>
            <w:r>
              <w:rPr>
                <w:sz w:val="21"/>
                <w:szCs w:val="21"/>
                <w:lang w:bidi="ar"/>
              </w:rPr>
              <w:t>锰</w:t>
            </w:r>
          </w:p>
        </w:tc>
        <w:tc>
          <w:tcPr>
            <w:tcW w:w="786" w:type="pct"/>
            <w:vAlign w:val="center"/>
          </w:tcPr>
          <w:p w14:paraId="1481A1B7" w14:textId="77777777" w:rsidR="003E78AB" w:rsidRDefault="00010BF9">
            <w:pPr>
              <w:spacing w:line="360" w:lineRule="exact"/>
              <w:ind w:firstLineChars="0" w:firstLine="0"/>
              <w:jc w:val="center"/>
              <w:textAlignment w:val="center"/>
              <w:rPr>
                <w:kern w:val="2"/>
                <w:sz w:val="21"/>
                <w:szCs w:val="21"/>
              </w:rPr>
            </w:pPr>
            <w:r>
              <w:rPr>
                <w:sz w:val="21"/>
                <w:szCs w:val="21"/>
                <w:lang w:bidi="ar"/>
              </w:rPr>
              <w:t>≤0.10</w:t>
            </w:r>
          </w:p>
        </w:tc>
      </w:tr>
      <w:tr w:rsidR="003E78AB" w14:paraId="7EBCEFE5" w14:textId="77777777">
        <w:trPr>
          <w:trHeight w:val="283"/>
          <w:jc w:val="center"/>
        </w:trPr>
        <w:tc>
          <w:tcPr>
            <w:tcW w:w="546" w:type="pct"/>
          </w:tcPr>
          <w:p w14:paraId="5E308491" w14:textId="77777777" w:rsidR="003E78AB" w:rsidRDefault="00010BF9">
            <w:pPr>
              <w:spacing w:line="360" w:lineRule="exact"/>
              <w:ind w:firstLineChars="0" w:firstLine="0"/>
              <w:jc w:val="center"/>
              <w:rPr>
                <w:kern w:val="2"/>
                <w:sz w:val="21"/>
                <w:szCs w:val="21"/>
              </w:rPr>
            </w:pPr>
            <w:r>
              <w:rPr>
                <w:kern w:val="2"/>
                <w:sz w:val="21"/>
                <w:szCs w:val="21"/>
              </w:rPr>
              <w:t>13</w:t>
            </w:r>
          </w:p>
        </w:tc>
        <w:tc>
          <w:tcPr>
            <w:tcW w:w="1541" w:type="pct"/>
            <w:vAlign w:val="center"/>
          </w:tcPr>
          <w:p w14:paraId="065A8991" w14:textId="77777777" w:rsidR="003E78AB" w:rsidRDefault="00010BF9">
            <w:pPr>
              <w:spacing w:line="360" w:lineRule="exact"/>
              <w:ind w:firstLineChars="0" w:firstLine="0"/>
              <w:jc w:val="center"/>
              <w:textAlignment w:val="center"/>
              <w:rPr>
                <w:kern w:val="2"/>
                <w:sz w:val="21"/>
                <w:szCs w:val="21"/>
              </w:rPr>
            </w:pPr>
            <w:r>
              <w:rPr>
                <w:sz w:val="21"/>
                <w:szCs w:val="21"/>
                <w:lang w:bidi="ar"/>
              </w:rPr>
              <w:t>总大肠菌群（</w:t>
            </w:r>
            <w:r>
              <w:rPr>
                <w:sz w:val="21"/>
                <w:szCs w:val="21"/>
                <w:lang w:bidi="ar"/>
              </w:rPr>
              <w:t>MPN/100ml</w:t>
            </w:r>
            <w:r>
              <w:rPr>
                <w:sz w:val="21"/>
                <w:szCs w:val="21"/>
                <w:lang w:bidi="ar"/>
              </w:rPr>
              <w:t>）</w:t>
            </w:r>
          </w:p>
        </w:tc>
        <w:tc>
          <w:tcPr>
            <w:tcW w:w="769" w:type="pct"/>
            <w:vAlign w:val="center"/>
          </w:tcPr>
          <w:p w14:paraId="5A5C3FD0" w14:textId="77777777" w:rsidR="003E78AB" w:rsidRDefault="00010BF9">
            <w:pPr>
              <w:spacing w:line="360" w:lineRule="exact"/>
              <w:ind w:firstLineChars="0" w:firstLine="0"/>
              <w:jc w:val="center"/>
              <w:textAlignment w:val="center"/>
              <w:rPr>
                <w:kern w:val="2"/>
                <w:sz w:val="21"/>
                <w:szCs w:val="21"/>
              </w:rPr>
            </w:pPr>
            <w:r>
              <w:rPr>
                <w:sz w:val="21"/>
                <w:szCs w:val="21"/>
                <w:lang w:bidi="ar"/>
              </w:rPr>
              <w:t>≤3.0</w:t>
            </w:r>
          </w:p>
        </w:tc>
        <w:tc>
          <w:tcPr>
            <w:tcW w:w="535" w:type="pct"/>
            <w:vAlign w:val="center"/>
          </w:tcPr>
          <w:p w14:paraId="2008FAFC" w14:textId="77777777" w:rsidR="003E78AB" w:rsidRDefault="00010BF9">
            <w:pPr>
              <w:spacing w:line="360" w:lineRule="exact"/>
              <w:ind w:firstLineChars="0" w:firstLine="0"/>
              <w:jc w:val="center"/>
              <w:rPr>
                <w:kern w:val="2"/>
                <w:sz w:val="21"/>
                <w:szCs w:val="21"/>
              </w:rPr>
            </w:pPr>
            <w:r>
              <w:rPr>
                <w:kern w:val="2"/>
                <w:sz w:val="21"/>
                <w:szCs w:val="21"/>
              </w:rPr>
              <w:t>29</w:t>
            </w:r>
          </w:p>
        </w:tc>
        <w:tc>
          <w:tcPr>
            <w:tcW w:w="820" w:type="pct"/>
            <w:vAlign w:val="center"/>
          </w:tcPr>
          <w:p w14:paraId="13916905" w14:textId="77777777" w:rsidR="003E78AB" w:rsidRDefault="00010BF9">
            <w:pPr>
              <w:spacing w:line="360" w:lineRule="exact"/>
              <w:ind w:firstLineChars="0" w:firstLine="0"/>
              <w:jc w:val="center"/>
              <w:textAlignment w:val="center"/>
              <w:rPr>
                <w:kern w:val="2"/>
                <w:sz w:val="21"/>
                <w:szCs w:val="21"/>
              </w:rPr>
            </w:pPr>
            <w:r>
              <w:rPr>
                <w:kern w:val="2"/>
                <w:sz w:val="21"/>
                <w:szCs w:val="21"/>
              </w:rPr>
              <w:t>铜</w:t>
            </w:r>
          </w:p>
        </w:tc>
        <w:tc>
          <w:tcPr>
            <w:tcW w:w="0" w:type="auto"/>
            <w:vAlign w:val="center"/>
          </w:tcPr>
          <w:p w14:paraId="4C76A5A1" w14:textId="77777777" w:rsidR="003E78AB" w:rsidRDefault="00010BF9">
            <w:pPr>
              <w:spacing w:line="360" w:lineRule="exact"/>
              <w:ind w:firstLineChars="0" w:firstLine="0"/>
              <w:jc w:val="center"/>
              <w:textAlignment w:val="center"/>
              <w:rPr>
                <w:kern w:val="2"/>
                <w:sz w:val="21"/>
                <w:szCs w:val="21"/>
              </w:rPr>
            </w:pPr>
            <w:r>
              <w:rPr>
                <w:sz w:val="21"/>
                <w:szCs w:val="21"/>
                <w:lang w:bidi="ar"/>
              </w:rPr>
              <w:t>≤1.00</w:t>
            </w:r>
          </w:p>
        </w:tc>
      </w:tr>
      <w:tr w:rsidR="003E78AB" w14:paraId="5530DE96" w14:textId="77777777">
        <w:trPr>
          <w:trHeight w:val="283"/>
          <w:jc w:val="center"/>
        </w:trPr>
        <w:tc>
          <w:tcPr>
            <w:tcW w:w="546" w:type="pct"/>
          </w:tcPr>
          <w:p w14:paraId="314C1F4D" w14:textId="77777777" w:rsidR="003E78AB" w:rsidRDefault="00010BF9">
            <w:pPr>
              <w:spacing w:line="360" w:lineRule="exact"/>
              <w:ind w:firstLineChars="0" w:firstLine="0"/>
              <w:jc w:val="center"/>
              <w:rPr>
                <w:kern w:val="2"/>
                <w:sz w:val="21"/>
                <w:szCs w:val="21"/>
              </w:rPr>
            </w:pPr>
            <w:r>
              <w:rPr>
                <w:kern w:val="2"/>
                <w:sz w:val="21"/>
                <w:szCs w:val="21"/>
              </w:rPr>
              <w:t>14</w:t>
            </w:r>
          </w:p>
        </w:tc>
        <w:tc>
          <w:tcPr>
            <w:tcW w:w="1541" w:type="pct"/>
            <w:vAlign w:val="center"/>
          </w:tcPr>
          <w:p w14:paraId="5059913B" w14:textId="77777777" w:rsidR="003E78AB" w:rsidRDefault="00010BF9">
            <w:pPr>
              <w:spacing w:line="360" w:lineRule="exact"/>
              <w:ind w:firstLineChars="0" w:firstLine="0"/>
              <w:jc w:val="center"/>
              <w:textAlignment w:val="center"/>
              <w:rPr>
                <w:kern w:val="2"/>
                <w:sz w:val="21"/>
                <w:szCs w:val="21"/>
              </w:rPr>
            </w:pPr>
            <w:r>
              <w:rPr>
                <w:sz w:val="21"/>
                <w:szCs w:val="21"/>
                <w:lang w:bidi="ar"/>
              </w:rPr>
              <w:t>亚硝酸盐氮</w:t>
            </w:r>
          </w:p>
        </w:tc>
        <w:tc>
          <w:tcPr>
            <w:tcW w:w="769" w:type="pct"/>
            <w:vAlign w:val="center"/>
          </w:tcPr>
          <w:p w14:paraId="1725707C" w14:textId="77777777" w:rsidR="003E78AB" w:rsidRDefault="00010BF9">
            <w:pPr>
              <w:spacing w:line="360" w:lineRule="exact"/>
              <w:ind w:firstLineChars="0" w:firstLine="0"/>
              <w:jc w:val="center"/>
              <w:textAlignment w:val="center"/>
              <w:rPr>
                <w:kern w:val="2"/>
                <w:sz w:val="21"/>
                <w:szCs w:val="21"/>
              </w:rPr>
            </w:pPr>
            <w:r>
              <w:rPr>
                <w:sz w:val="21"/>
                <w:szCs w:val="21"/>
                <w:lang w:bidi="ar"/>
              </w:rPr>
              <w:t>≤1.00</w:t>
            </w:r>
          </w:p>
        </w:tc>
        <w:tc>
          <w:tcPr>
            <w:tcW w:w="535" w:type="pct"/>
          </w:tcPr>
          <w:p w14:paraId="1258F5AE" w14:textId="77777777" w:rsidR="003E78AB" w:rsidRDefault="00010BF9">
            <w:pPr>
              <w:spacing w:line="360" w:lineRule="exact"/>
              <w:ind w:firstLineChars="0" w:firstLine="0"/>
              <w:jc w:val="center"/>
              <w:rPr>
                <w:kern w:val="2"/>
                <w:sz w:val="21"/>
                <w:szCs w:val="21"/>
              </w:rPr>
            </w:pPr>
            <w:r>
              <w:rPr>
                <w:kern w:val="2"/>
                <w:sz w:val="21"/>
                <w:szCs w:val="21"/>
              </w:rPr>
              <w:t>30</w:t>
            </w:r>
          </w:p>
        </w:tc>
        <w:tc>
          <w:tcPr>
            <w:tcW w:w="820" w:type="pct"/>
            <w:vAlign w:val="center"/>
          </w:tcPr>
          <w:p w14:paraId="79D5C343" w14:textId="77777777" w:rsidR="003E78AB" w:rsidRDefault="00010BF9">
            <w:pPr>
              <w:spacing w:line="360" w:lineRule="exact"/>
              <w:ind w:firstLineChars="0" w:firstLine="0"/>
              <w:jc w:val="center"/>
              <w:textAlignment w:val="center"/>
              <w:rPr>
                <w:kern w:val="2"/>
                <w:sz w:val="21"/>
                <w:szCs w:val="21"/>
              </w:rPr>
            </w:pPr>
            <w:r>
              <w:rPr>
                <w:kern w:val="2"/>
                <w:sz w:val="21"/>
                <w:szCs w:val="21"/>
              </w:rPr>
              <w:t>锌</w:t>
            </w:r>
          </w:p>
        </w:tc>
        <w:tc>
          <w:tcPr>
            <w:tcW w:w="0" w:type="auto"/>
            <w:vAlign w:val="center"/>
          </w:tcPr>
          <w:p w14:paraId="18B0E43E" w14:textId="77777777" w:rsidR="003E78AB" w:rsidRDefault="00010BF9">
            <w:pPr>
              <w:spacing w:line="360" w:lineRule="exact"/>
              <w:ind w:firstLineChars="0" w:firstLine="0"/>
              <w:jc w:val="center"/>
              <w:textAlignment w:val="center"/>
              <w:rPr>
                <w:kern w:val="2"/>
                <w:sz w:val="21"/>
                <w:szCs w:val="21"/>
              </w:rPr>
            </w:pPr>
            <w:r>
              <w:rPr>
                <w:sz w:val="21"/>
                <w:szCs w:val="21"/>
                <w:lang w:bidi="ar"/>
              </w:rPr>
              <w:t>≤1.00</w:t>
            </w:r>
          </w:p>
        </w:tc>
      </w:tr>
      <w:tr w:rsidR="003E78AB" w14:paraId="2A0EA23B" w14:textId="77777777">
        <w:trPr>
          <w:trHeight w:val="283"/>
          <w:jc w:val="center"/>
        </w:trPr>
        <w:tc>
          <w:tcPr>
            <w:tcW w:w="546" w:type="pct"/>
          </w:tcPr>
          <w:p w14:paraId="4ED805F2" w14:textId="77777777" w:rsidR="003E78AB" w:rsidRDefault="00010BF9">
            <w:pPr>
              <w:spacing w:line="360" w:lineRule="exact"/>
              <w:ind w:firstLineChars="0" w:firstLine="0"/>
              <w:jc w:val="center"/>
              <w:rPr>
                <w:kern w:val="2"/>
                <w:sz w:val="21"/>
                <w:szCs w:val="21"/>
              </w:rPr>
            </w:pPr>
            <w:r>
              <w:rPr>
                <w:kern w:val="2"/>
                <w:sz w:val="21"/>
                <w:szCs w:val="21"/>
              </w:rPr>
              <w:t>15</w:t>
            </w:r>
          </w:p>
        </w:tc>
        <w:tc>
          <w:tcPr>
            <w:tcW w:w="1541" w:type="pct"/>
            <w:vAlign w:val="center"/>
          </w:tcPr>
          <w:p w14:paraId="5068EC81" w14:textId="77777777" w:rsidR="003E78AB" w:rsidRDefault="00010BF9">
            <w:pPr>
              <w:spacing w:line="360" w:lineRule="exact"/>
              <w:ind w:firstLineChars="0" w:firstLine="0"/>
              <w:jc w:val="center"/>
              <w:textAlignment w:val="center"/>
              <w:rPr>
                <w:sz w:val="21"/>
                <w:szCs w:val="21"/>
                <w:lang w:bidi="ar"/>
              </w:rPr>
            </w:pPr>
            <w:r>
              <w:rPr>
                <w:sz w:val="21"/>
                <w:szCs w:val="21"/>
                <w:lang w:bidi="ar"/>
              </w:rPr>
              <w:t>碳酸盐</w:t>
            </w:r>
          </w:p>
        </w:tc>
        <w:tc>
          <w:tcPr>
            <w:tcW w:w="769" w:type="pct"/>
            <w:vAlign w:val="center"/>
          </w:tcPr>
          <w:p w14:paraId="6445F7AA"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535" w:type="pct"/>
          </w:tcPr>
          <w:p w14:paraId="6B3B16B0" w14:textId="77777777" w:rsidR="003E78AB" w:rsidRDefault="00010BF9">
            <w:pPr>
              <w:spacing w:line="360" w:lineRule="exact"/>
              <w:ind w:firstLineChars="0" w:firstLine="0"/>
              <w:jc w:val="center"/>
              <w:rPr>
                <w:kern w:val="2"/>
                <w:sz w:val="21"/>
                <w:szCs w:val="21"/>
              </w:rPr>
            </w:pPr>
            <w:r>
              <w:rPr>
                <w:kern w:val="2"/>
                <w:sz w:val="21"/>
                <w:szCs w:val="21"/>
              </w:rPr>
              <w:t>31</w:t>
            </w:r>
          </w:p>
        </w:tc>
        <w:tc>
          <w:tcPr>
            <w:tcW w:w="820" w:type="pct"/>
            <w:vAlign w:val="center"/>
          </w:tcPr>
          <w:p w14:paraId="54E24749" w14:textId="77777777" w:rsidR="003E78AB" w:rsidRDefault="00010BF9">
            <w:pPr>
              <w:spacing w:line="360" w:lineRule="exact"/>
              <w:ind w:firstLineChars="0" w:firstLine="0"/>
              <w:jc w:val="center"/>
              <w:textAlignment w:val="center"/>
              <w:rPr>
                <w:kern w:val="2"/>
                <w:sz w:val="21"/>
                <w:szCs w:val="21"/>
              </w:rPr>
            </w:pPr>
            <w:r>
              <w:rPr>
                <w:sz w:val="21"/>
                <w:szCs w:val="21"/>
                <w:lang w:bidi="ar"/>
              </w:rPr>
              <w:t>镉</w:t>
            </w:r>
          </w:p>
        </w:tc>
        <w:tc>
          <w:tcPr>
            <w:tcW w:w="0" w:type="auto"/>
            <w:vAlign w:val="center"/>
          </w:tcPr>
          <w:p w14:paraId="07D5A459" w14:textId="77777777" w:rsidR="003E78AB" w:rsidRDefault="00010BF9">
            <w:pPr>
              <w:spacing w:line="360" w:lineRule="exact"/>
              <w:ind w:firstLineChars="0" w:firstLine="0"/>
              <w:jc w:val="center"/>
              <w:textAlignment w:val="center"/>
              <w:rPr>
                <w:kern w:val="2"/>
                <w:sz w:val="21"/>
                <w:szCs w:val="21"/>
              </w:rPr>
            </w:pPr>
            <w:r>
              <w:rPr>
                <w:sz w:val="21"/>
                <w:szCs w:val="21"/>
                <w:lang w:bidi="ar"/>
              </w:rPr>
              <w:t>≤0.005</w:t>
            </w:r>
          </w:p>
        </w:tc>
      </w:tr>
      <w:tr w:rsidR="003E78AB" w14:paraId="2AF2DADA" w14:textId="77777777">
        <w:trPr>
          <w:trHeight w:val="283"/>
          <w:jc w:val="center"/>
        </w:trPr>
        <w:tc>
          <w:tcPr>
            <w:tcW w:w="546" w:type="pct"/>
          </w:tcPr>
          <w:p w14:paraId="0E72783F" w14:textId="77777777" w:rsidR="003E78AB" w:rsidRDefault="00010BF9">
            <w:pPr>
              <w:spacing w:line="360" w:lineRule="exact"/>
              <w:ind w:firstLineChars="0" w:firstLine="0"/>
              <w:jc w:val="center"/>
              <w:rPr>
                <w:kern w:val="2"/>
                <w:sz w:val="21"/>
                <w:szCs w:val="21"/>
              </w:rPr>
            </w:pPr>
            <w:r>
              <w:rPr>
                <w:kern w:val="2"/>
                <w:sz w:val="21"/>
                <w:szCs w:val="21"/>
              </w:rPr>
              <w:t>16</w:t>
            </w:r>
          </w:p>
        </w:tc>
        <w:tc>
          <w:tcPr>
            <w:tcW w:w="1541" w:type="pct"/>
            <w:vAlign w:val="center"/>
          </w:tcPr>
          <w:p w14:paraId="587BAEF3" w14:textId="77777777" w:rsidR="003E78AB" w:rsidRDefault="00010BF9">
            <w:pPr>
              <w:spacing w:line="360" w:lineRule="exact"/>
              <w:ind w:firstLineChars="0" w:firstLine="0"/>
              <w:jc w:val="center"/>
              <w:textAlignment w:val="center"/>
              <w:rPr>
                <w:sz w:val="21"/>
                <w:szCs w:val="21"/>
                <w:lang w:bidi="ar"/>
              </w:rPr>
            </w:pPr>
            <w:r>
              <w:rPr>
                <w:sz w:val="21"/>
                <w:szCs w:val="21"/>
                <w:lang w:bidi="ar"/>
              </w:rPr>
              <w:t>重碳酸盐</w:t>
            </w:r>
          </w:p>
        </w:tc>
        <w:tc>
          <w:tcPr>
            <w:tcW w:w="769" w:type="pct"/>
            <w:vAlign w:val="center"/>
          </w:tcPr>
          <w:p w14:paraId="1BF3849C"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535" w:type="pct"/>
          </w:tcPr>
          <w:p w14:paraId="68331076" w14:textId="77777777" w:rsidR="003E78AB" w:rsidRDefault="00010BF9">
            <w:pPr>
              <w:spacing w:line="360" w:lineRule="exact"/>
              <w:ind w:firstLineChars="0" w:firstLine="0"/>
              <w:jc w:val="center"/>
              <w:rPr>
                <w:kern w:val="2"/>
                <w:sz w:val="21"/>
                <w:szCs w:val="21"/>
              </w:rPr>
            </w:pPr>
            <w:r>
              <w:rPr>
                <w:kern w:val="2"/>
                <w:sz w:val="21"/>
                <w:szCs w:val="21"/>
              </w:rPr>
              <w:t>32</w:t>
            </w:r>
          </w:p>
        </w:tc>
        <w:tc>
          <w:tcPr>
            <w:tcW w:w="820" w:type="pct"/>
            <w:vAlign w:val="center"/>
          </w:tcPr>
          <w:p w14:paraId="0A0B7D20" w14:textId="77777777" w:rsidR="003E78AB" w:rsidRDefault="00010BF9">
            <w:pPr>
              <w:spacing w:line="360" w:lineRule="exact"/>
              <w:ind w:firstLineChars="0" w:firstLine="0"/>
              <w:jc w:val="center"/>
              <w:textAlignment w:val="center"/>
              <w:rPr>
                <w:kern w:val="2"/>
                <w:sz w:val="21"/>
                <w:szCs w:val="21"/>
              </w:rPr>
            </w:pPr>
            <w:r>
              <w:rPr>
                <w:sz w:val="21"/>
                <w:szCs w:val="21"/>
                <w:lang w:bidi="ar"/>
              </w:rPr>
              <w:t>铅</w:t>
            </w:r>
          </w:p>
        </w:tc>
        <w:tc>
          <w:tcPr>
            <w:tcW w:w="0" w:type="auto"/>
            <w:vAlign w:val="center"/>
          </w:tcPr>
          <w:p w14:paraId="75CBEA92" w14:textId="77777777" w:rsidR="003E78AB" w:rsidRDefault="00010BF9">
            <w:pPr>
              <w:spacing w:line="360" w:lineRule="exact"/>
              <w:ind w:firstLineChars="0" w:firstLine="0"/>
              <w:jc w:val="center"/>
              <w:textAlignment w:val="center"/>
              <w:rPr>
                <w:kern w:val="2"/>
                <w:sz w:val="21"/>
                <w:szCs w:val="21"/>
              </w:rPr>
            </w:pPr>
            <w:r>
              <w:rPr>
                <w:sz w:val="21"/>
                <w:szCs w:val="21"/>
                <w:lang w:bidi="ar"/>
              </w:rPr>
              <w:t>≤0.01</w:t>
            </w:r>
          </w:p>
        </w:tc>
      </w:tr>
      <w:tr w:rsidR="003E78AB" w14:paraId="05360C43" w14:textId="77777777">
        <w:trPr>
          <w:trHeight w:val="283"/>
          <w:jc w:val="center"/>
        </w:trPr>
        <w:tc>
          <w:tcPr>
            <w:tcW w:w="0" w:type="auto"/>
            <w:vAlign w:val="center"/>
          </w:tcPr>
          <w:p w14:paraId="41C2A1C1" w14:textId="77777777" w:rsidR="003E78AB" w:rsidRDefault="00010BF9">
            <w:pPr>
              <w:spacing w:line="360" w:lineRule="exact"/>
              <w:ind w:firstLineChars="0" w:firstLine="0"/>
              <w:jc w:val="center"/>
              <w:rPr>
                <w:kern w:val="2"/>
                <w:sz w:val="21"/>
                <w:szCs w:val="21"/>
              </w:rPr>
            </w:pPr>
            <w:r>
              <w:rPr>
                <w:kern w:val="2"/>
                <w:sz w:val="21"/>
                <w:szCs w:val="21"/>
              </w:rPr>
              <w:t>17</w:t>
            </w:r>
          </w:p>
        </w:tc>
        <w:tc>
          <w:tcPr>
            <w:tcW w:w="1541" w:type="pct"/>
            <w:vAlign w:val="center"/>
          </w:tcPr>
          <w:p w14:paraId="62C44AAB" w14:textId="77777777" w:rsidR="003E78AB" w:rsidRDefault="00010BF9">
            <w:pPr>
              <w:spacing w:line="360" w:lineRule="exact"/>
              <w:ind w:firstLineChars="0" w:firstLine="0"/>
              <w:jc w:val="center"/>
              <w:textAlignment w:val="center"/>
              <w:rPr>
                <w:kern w:val="2"/>
                <w:sz w:val="21"/>
                <w:szCs w:val="21"/>
              </w:rPr>
            </w:pPr>
            <w:r>
              <w:rPr>
                <w:sz w:val="21"/>
                <w:szCs w:val="21"/>
                <w:lang w:bidi="ar"/>
              </w:rPr>
              <w:t>氟化物</w:t>
            </w:r>
          </w:p>
        </w:tc>
        <w:tc>
          <w:tcPr>
            <w:tcW w:w="769" w:type="pct"/>
            <w:vAlign w:val="center"/>
          </w:tcPr>
          <w:p w14:paraId="1F716EFF" w14:textId="77777777" w:rsidR="003E78AB" w:rsidRDefault="00010BF9">
            <w:pPr>
              <w:spacing w:line="360" w:lineRule="exact"/>
              <w:ind w:firstLineChars="0" w:firstLine="0"/>
              <w:jc w:val="center"/>
              <w:textAlignment w:val="center"/>
              <w:rPr>
                <w:kern w:val="2"/>
                <w:sz w:val="21"/>
                <w:szCs w:val="21"/>
              </w:rPr>
            </w:pPr>
            <w:r>
              <w:rPr>
                <w:sz w:val="21"/>
                <w:szCs w:val="21"/>
                <w:lang w:bidi="ar"/>
              </w:rPr>
              <w:t>≤1.0</w:t>
            </w:r>
          </w:p>
        </w:tc>
        <w:tc>
          <w:tcPr>
            <w:tcW w:w="535" w:type="pct"/>
          </w:tcPr>
          <w:p w14:paraId="5DBBDD30" w14:textId="77777777" w:rsidR="003E78AB" w:rsidRDefault="00010BF9">
            <w:pPr>
              <w:spacing w:line="360" w:lineRule="exact"/>
              <w:ind w:firstLineChars="0" w:firstLine="0"/>
              <w:jc w:val="center"/>
              <w:rPr>
                <w:kern w:val="2"/>
                <w:sz w:val="21"/>
                <w:szCs w:val="21"/>
              </w:rPr>
            </w:pPr>
            <w:r>
              <w:rPr>
                <w:rFonts w:hint="eastAsia"/>
                <w:kern w:val="2"/>
                <w:sz w:val="21"/>
                <w:szCs w:val="21"/>
              </w:rPr>
              <w:t>32</w:t>
            </w:r>
          </w:p>
        </w:tc>
        <w:tc>
          <w:tcPr>
            <w:tcW w:w="820" w:type="pct"/>
            <w:vAlign w:val="center"/>
          </w:tcPr>
          <w:p w14:paraId="0B216F41"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钒</w:t>
            </w:r>
          </w:p>
        </w:tc>
        <w:tc>
          <w:tcPr>
            <w:tcW w:w="0" w:type="auto"/>
            <w:vAlign w:val="center"/>
          </w:tcPr>
          <w:p w14:paraId="1CB5CAE9" w14:textId="77777777" w:rsidR="003E78AB" w:rsidRDefault="00010BF9">
            <w:pPr>
              <w:spacing w:line="360" w:lineRule="exact"/>
              <w:ind w:firstLineChars="0" w:firstLine="0"/>
              <w:jc w:val="center"/>
              <w:textAlignment w:val="center"/>
              <w:rPr>
                <w:kern w:val="2"/>
                <w:sz w:val="21"/>
                <w:szCs w:val="21"/>
              </w:rPr>
            </w:pPr>
            <w:r>
              <w:rPr>
                <w:sz w:val="21"/>
                <w:szCs w:val="21"/>
                <w:lang w:bidi="ar"/>
              </w:rPr>
              <w:t>≤</w:t>
            </w:r>
            <w:r>
              <w:rPr>
                <w:rFonts w:hint="eastAsia"/>
                <w:kern w:val="2"/>
                <w:sz w:val="21"/>
                <w:szCs w:val="21"/>
              </w:rPr>
              <w:t>0005</w:t>
            </w:r>
          </w:p>
        </w:tc>
      </w:tr>
    </w:tbl>
    <w:p w14:paraId="058121FD" w14:textId="77777777" w:rsidR="003E78AB" w:rsidRDefault="00010BF9">
      <w:pPr>
        <w:ind w:firstLine="480"/>
        <w:rPr>
          <w:snapToGrid w:val="0"/>
        </w:rPr>
      </w:pPr>
      <w:r>
        <w:rPr>
          <w:snapToGrid w:val="0"/>
        </w:rPr>
        <w:t>（</w:t>
      </w:r>
      <w:r>
        <w:rPr>
          <w:snapToGrid w:val="0"/>
        </w:rPr>
        <w:t>3</w:t>
      </w:r>
      <w:r>
        <w:rPr>
          <w:snapToGrid w:val="0"/>
        </w:rPr>
        <w:t>）声环境</w:t>
      </w:r>
    </w:p>
    <w:p w14:paraId="46018A80" w14:textId="77777777" w:rsidR="003E78AB" w:rsidRDefault="00010BF9">
      <w:pPr>
        <w:ind w:firstLine="480"/>
        <w:rPr>
          <w:snapToGrid w:val="0"/>
        </w:rPr>
      </w:pPr>
      <w:r>
        <w:rPr>
          <w:snapToGrid w:val="0"/>
        </w:rPr>
        <w:t>项目声环境功能区划为</w:t>
      </w:r>
      <w:r>
        <w:rPr>
          <w:snapToGrid w:val="0"/>
        </w:rPr>
        <w:t>3</w:t>
      </w:r>
      <w:r>
        <w:rPr>
          <w:snapToGrid w:val="0"/>
        </w:rPr>
        <w:t>类区，声环境质量应执行《声环境质量标准》（</w:t>
      </w:r>
      <w:r>
        <w:rPr>
          <w:snapToGrid w:val="0"/>
        </w:rPr>
        <w:t>GB3096-2008</w:t>
      </w:r>
      <w:r>
        <w:rPr>
          <w:snapToGrid w:val="0"/>
        </w:rPr>
        <w:t>）中</w:t>
      </w:r>
      <w:r>
        <w:rPr>
          <w:snapToGrid w:val="0"/>
        </w:rPr>
        <w:t>3</w:t>
      </w:r>
      <w:r>
        <w:rPr>
          <w:snapToGrid w:val="0"/>
        </w:rPr>
        <w:t>类环境噪声限值，具体标准值见表</w:t>
      </w:r>
      <w:r>
        <w:rPr>
          <w:snapToGrid w:val="0"/>
        </w:rPr>
        <w:t>2.7-3</w:t>
      </w:r>
      <w:r>
        <w:rPr>
          <w:snapToGrid w:val="0"/>
        </w:rPr>
        <w:t>。</w:t>
      </w:r>
    </w:p>
    <w:p w14:paraId="442B350E" w14:textId="77777777" w:rsidR="003E78AB" w:rsidRDefault="00010BF9">
      <w:pPr>
        <w:pStyle w:val="a5"/>
      </w:pPr>
      <w:r>
        <w:t>声环境质量标准</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1625"/>
        <w:gridCol w:w="1249"/>
        <w:gridCol w:w="1036"/>
        <w:gridCol w:w="1053"/>
      </w:tblGrid>
      <w:tr w:rsidR="003E78AB" w14:paraId="77D32E7D" w14:textId="77777777">
        <w:trPr>
          <w:cantSplit/>
          <w:trHeight w:val="255"/>
          <w:tblHeader/>
          <w:jc w:val="center"/>
        </w:trPr>
        <w:tc>
          <w:tcPr>
            <w:tcW w:w="2086" w:type="pct"/>
            <w:vMerge w:val="restart"/>
            <w:tcBorders>
              <w:top w:val="single" w:sz="4" w:space="0" w:color="auto"/>
              <w:left w:val="single" w:sz="4" w:space="0" w:color="auto"/>
              <w:bottom w:val="single" w:sz="4" w:space="0" w:color="auto"/>
              <w:right w:val="single" w:sz="4" w:space="0" w:color="auto"/>
            </w:tcBorders>
            <w:vAlign w:val="center"/>
          </w:tcPr>
          <w:p w14:paraId="489F2AC9" w14:textId="77777777" w:rsidR="003E78AB" w:rsidRDefault="00010BF9">
            <w:pPr>
              <w:spacing w:line="360" w:lineRule="exact"/>
              <w:ind w:firstLineChars="0" w:firstLine="0"/>
              <w:jc w:val="center"/>
              <w:rPr>
                <w:b/>
                <w:bCs/>
                <w:kern w:val="2"/>
                <w:sz w:val="21"/>
                <w:szCs w:val="21"/>
              </w:rPr>
            </w:pPr>
            <w:r>
              <w:rPr>
                <w:b/>
                <w:bCs/>
                <w:kern w:val="2"/>
                <w:sz w:val="21"/>
                <w:szCs w:val="21"/>
              </w:rPr>
              <w:t>标准名称及级（类）别</w:t>
            </w:r>
          </w:p>
        </w:tc>
        <w:tc>
          <w:tcPr>
            <w:tcW w:w="954" w:type="pct"/>
            <w:vMerge w:val="restart"/>
            <w:tcBorders>
              <w:top w:val="single" w:sz="4" w:space="0" w:color="auto"/>
              <w:left w:val="single" w:sz="4" w:space="0" w:color="auto"/>
              <w:bottom w:val="single" w:sz="4" w:space="0" w:color="auto"/>
              <w:right w:val="single" w:sz="4" w:space="0" w:color="auto"/>
            </w:tcBorders>
            <w:vAlign w:val="center"/>
          </w:tcPr>
          <w:p w14:paraId="1D392C8D" w14:textId="77777777" w:rsidR="003E78AB" w:rsidRDefault="00010BF9">
            <w:pPr>
              <w:spacing w:line="360" w:lineRule="exact"/>
              <w:ind w:firstLineChars="0" w:firstLine="0"/>
              <w:jc w:val="center"/>
              <w:rPr>
                <w:b/>
                <w:bCs/>
                <w:kern w:val="2"/>
                <w:sz w:val="21"/>
                <w:szCs w:val="21"/>
              </w:rPr>
            </w:pPr>
            <w:r>
              <w:rPr>
                <w:b/>
                <w:bCs/>
                <w:kern w:val="2"/>
                <w:sz w:val="21"/>
                <w:szCs w:val="21"/>
              </w:rPr>
              <w:t>项目</w:t>
            </w:r>
          </w:p>
        </w:tc>
        <w:tc>
          <w:tcPr>
            <w:tcW w:w="1959" w:type="pct"/>
            <w:gridSpan w:val="3"/>
            <w:tcBorders>
              <w:top w:val="single" w:sz="4" w:space="0" w:color="auto"/>
              <w:left w:val="single" w:sz="4" w:space="0" w:color="auto"/>
              <w:bottom w:val="single" w:sz="4" w:space="0" w:color="auto"/>
              <w:right w:val="single" w:sz="4" w:space="0" w:color="auto"/>
            </w:tcBorders>
            <w:vAlign w:val="center"/>
          </w:tcPr>
          <w:p w14:paraId="356ED44C" w14:textId="77777777" w:rsidR="003E78AB" w:rsidRDefault="00010BF9">
            <w:pPr>
              <w:spacing w:line="360" w:lineRule="exact"/>
              <w:ind w:firstLineChars="0" w:firstLine="0"/>
              <w:jc w:val="center"/>
              <w:rPr>
                <w:b/>
                <w:bCs/>
                <w:kern w:val="2"/>
                <w:sz w:val="21"/>
                <w:szCs w:val="21"/>
              </w:rPr>
            </w:pPr>
            <w:r>
              <w:rPr>
                <w:b/>
                <w:bCs/>
                <w:kern w:val="2"/>
                <w:sz w:val="21"/>
                <w:szCs w:val="21"/>
              </w:rPr>
              <w:t>标准值</w:t>
            </w:r>
          </w:p>
        </w:tc>
      </w:tr>
      <w:tr w:rsidR="003E78AB" w14:paraId="03AF7B1C" w14:textId="77777777">
        <w:trPr>
          <w:cantSplit/>
          <w:trHeight w:val="255"/>
          <w:tblHeader/>
          <w:jc w:val="center"/>
        </w:trPr>
        <w:tc>
          <w:tcPr>
            <w:tcW w:w="2086" w:type="pct"/>
            <w:vMerge/>
            <w:tcBorders>
              <w:top w:val="single" w:sz="4" w:space="0" w:color="auto"/>
              <w:left w:val="single" w:sz="4" w:space="0" w:color="auto"/>
              <w:bottom w:val="single" w:sz="4" w:space="0" w:color="auto"/>
              <w:right w:val="single" w:sz="4" w:space="0" w:color="auto"/>
            </w:tcBorders>
            <w:vAlign w:val="center"/>
          </w:tcPr>
          <w:p w14:paraId="7BAB6B2A" w14:textId="77777777" w:rsidR="003E78AB" w:rsidRDefault="003E78AB">
            <w:pPr>
              <w:spacing w:line="360" w:lineRule="exact"/>
              <w:ind w:firstLineChars="0" w:firstLine="0"/>
              <w:jc w:val="center"/>
              <w:rPr>
                <w:b/>
                <w:bCs/>
                <w:kern w:val="2"/>
                <w:sz w:val="21"/>
                <w:szCs w:val="21"/>
              </w:rPr>
            </w:pPr>
          </w:p>
        </w:tc>
        <w:tc>
          <w:tcPr>
            <w:tcW w:w="954" w:type="pct"/>
            <w:vMerge/>
            <w:tcBorders>
              <w:top w:val="single" w:sz="4" w:space="0" w:color="auto"/>
              <w:left w:val="single" w:sz="4" w:space="0" w:color="auto"/>
              <w:bottom w:val="single" w:sz="4" w:space="0" w:color="auto"/>
              <w:right w:val="single" w:sz="4" w:space="0" w:color="auto"/>
            </w:tcBorders>
            <w:vAlign w:val="center"/>
          </w:tcPr>
          <w:p w14:paraId="7A3B30E7" w14:textId="77777777" w:rsidR="003E78AB" w:rsidRDefault="003E78AB">
            <w:pPr>
              <w:spacing w:line="360" w:lineRule="exact"/>
              <w:ind w:firstLineChars="0" w:firstLine="0"/>
              <w:jc w:val="center"/>
              <w:rPr>
                <w:b/>
                <w:bCs/>
                <w:kern w:val="2"/>
                <w:sz w:val="21"/>
                <w:szCs w:val="21"/>
              </w:rPr>
            </w:pPr>
          </w:p>
        </w:tc>
        <w:tc>
          <w:tcPr>
            <w:tcW w:w="733" w:type="pct"/>
            <w:tcBorders>
              <w:top w:val="single" w:sz="4" w:space="0" w:color="auto"/>
              <w:left w:val="single" w:sz="4" w:space="0" w:color="auto"/>
              <w:bottom w:val="single" w:sz="4" w:space="0" w:color="auto"/>
              <w:right w:val="single" w:sz="4" w:space="0" w:color="auto"/>
            </w:tcBorders>
            <w:vAlign w:val="center"/>
          </w:tcPr>
          <w:p w14:paraId="4BCFF77E" w14:textId="77777777" w:rsidR="003E78AB" w:rsidRDefault="00010BF9">
            <w:pPr>
              <w:spacing w:line="360" w:lineRule="exact"/>
              <w:ind w:firstLineChars="0" w:firstLine="0"/>
              <w:jc w:val="center"/>
              <w:rPr>
                <w:b/>
                <w:bCs/>
                <w:kern w:val="2"/>
                <w:sz w:val="21"/>
                <w:szCs w:val="21"/>
              </w:rPr>
            </w:pPr>
            <w:r>
              <w:rPr>
                <w:b/>
                <w:bCs/>
                <w:kern w:val="2"/>
                <w:sz w:val="21"/>
                <w:szCs w:val="21"/>
              </w:rPr>
              <w:t>单位</w:t>
            </w:r>
          </w:p>
        </w:tc>
        <w:tc>
          <w:tcPr>
            <w:tcW w:w="1226" w:type="pct"/>
            <w:gridSpan w:val="2"/>
            <w:tcBorders>
              <w:top w:val="single" w:sz="4" w:space="0" w:color="auto"/>
              <w:left w:val="single" w:sz="4" w:space="0" w:color="auto"/>
              <w:bottom w:val="single" w:sz="4" w:space="0" w:color="auto"/>
              <w:right w:val="single" w:sz="4" w:space="0" w:color="auto"/>
            </w:tcBorders>
            <w:vAlign w:val="center"/>
          </w:tcPr>
          <w:p w14:paraId="04567412" w14:textId="77777777" w:rsidR="003E78AB" w:rsidRDefault="00010BF9">
            <w:pPr>
              <w:spacing w:line="360" w:lineRule="exact"/>
              <w:ind w:firstLineChars="0" w:firstLine="0"/>
              <w:jc w:val="center"/>
              <w:rPr>
                <w:b/>
                <w:bCs/>
                <w:kern w:val="2"/>
                <w:sz w:val="21"/>
                <w:szCs w:val="21"/>
              </w:rPr>
            </w:pPr>
            <w:r>
              <w:rPr>
                <w:b/>
                <w:bCs/>
                <w:kern w:val="2"/>
                <w:sz w:val="21"/>
                <w:szCs w:val="21"/>
              </w:rPr>
              <w:t>数值</w:t>
            </w:r>
          </w:p>
        </w:tc>
      </w:tr>
      <w:tr w:rsidR="003E78AB" w14:paraId="65ABC40B" w14:textId="77777777">
        <w:trPr>
          <w:cantSplit/>
          <w:trHeight w:val="255"/>
          <w:jc w:val="center"/>
        </w:trPr>
        <w:tc>
          <w:tcPr>
            <w:tcW w:w="2086" w:type="pct"/>
            <w:vMerge w:val="restart"/>
            <w:tcBorders>
              <w:top w:val="single" w:sz="4" w:space="0" w:color="auto"/>
            </w:tcBorders>
            <w:vAlign w:val="center"/>
          </w:tcPr>
          <w:p w14:paraId="7E1286DB" w14:textId="77777777" w:rsidR="003E78AB" w:rsidRDefault="00010BF9">
            <w:pPr>
              <w:spacing w:line="360" w:lineRule="exact"/>
              <w:ind w:firstLineChars="0" w:firstLine="0"/>
              <w:jc w:val="center"/>
              <w:rPr>
                <w:kern w:val="2"/>
                <w:sz w:val="21"/>
                <w:szCs w:val="21"/>
              </w:rPr>
            </w:pPr>
            <w:r>
              <w:rPr>
                <w:kern w:val="2"/>
                <w:sz w:val="21"/>
                <w:szCs w:val="21"/>
              </w:rPr>
              <w:t>《声环境质量标准》（</w:t>
            </w:r>
            <w:r>
              <w:rPr>
                <w:kern w:val="2"/>
                <w:sz w:val="21"/>
                <w:szCs w:val="21"/>
              </w:rPr>
              <w:t>GB3096-2008</w:t>
            </w:r>
            <w:r>
              <w:rPr>
                <w:kern w:val="2"/>
                <w:sz w:val="21"/>
                <w:szCs w:val="21"/>
              </w:rPr>
              <w:t>）表</w:t>
            </w:r>
            <w:r>
              <w:rPr>
                <w:kern w:val="2"/>
                <w:sz w:val="21"/>
                <w:szCs w:val="21"/>
              </w:rPr>
              <w:t>1</w:t>
            </w:r>
            <w:r>
              <w:rPr>
                <w:kern w:val="2"/>
                <w:sz w:val="21"/>
                <w:szCs w:val="21"/>
              </w:rPr>
              <w:t>环境噪声限值中</w:t>
            </w:r>
            <w:r>
              <w:rPr>
                <w:kern w:val="2"/>
                <w:sz w:val="21"/>
                <w:szCs w:val="21"/>
              </w:rPr>
              <w:t>3</w:t>
            </w:r>
            <w:r>
              <w:rPr>
                <w:kern w:val="2"/>
                <w:sz w:val="21"/>
                <w:szCs w:val="21"/>
              </w:rPr>
              <w:t>类区限值</w:t>
            </w:r>
          </w:p>
        </w:tc>
        <w:tc>
          <w:tcPr>
            <w:tcW w:w="954" w:type="pct"/>
            <w:tcBorders>
              <w:top w:val="single" w:sz="4" w:space="0" w:color="auto"/>
            </w:tcBorders>
            <w:vAlign w:val="center"/>
          </w:tcPr>
          <w:p w14:paraId="27CC8DC6" w14:textId="77777777" w:rsidR="003E78AB" w:rsidRDefault="00010BF9">
            <w:pPr>
              <w:spacing w:line="360" w:lineRule="exact"/>
              <w:ind w:firstLineChars="0" w:firstLine="0"/>
              <w:jc w:val="center"/>
              <w:rPr>
                <w:kern w:val="2"/>
                <w:sz w:val="21"/>
                <w:szCs w:val="21"/>
              </w:rPr>
            </w:pPr>
            <w:r>
              <w:rPr>
                <w:bCs/>
                <w:kern w:val="2"/>
                <w:sz w:val="21"/>
                <w:szCs w:val="21"/>
              </w:rPr>
              <w:t>功能区类别</w:t>
            </w:r>
          </w:p>
        </w:tc>
        <w:tc>
          <w:tcPr>
            <w:tcW w:w="733" w:type="pct"/>
            <w:vMerge w:val="restart"/>
            <w:tcBorders>
              <w:top w:val="single" w:sz="4" w:space="0" w:color="auto"/>
            </w:tcBorders>
            <w:vAlign w:val="center"/>
          </w:tcPr>
          <w:p w14:paraId="6D67B57A" w14:textId="77777777" w:rsidR="003E78AB" w:rsidRDefault="00010BF9">
            <w:pPr>
              <w:spacing w:line="360" w:lineRule="exact"/>
              <w:ind w:firstLineChars="0" w:firstLine="0"/>
              <w:jc w:val="center"/>
              <w:rPr>
                <w:kern w:val="2"/>
                <w:sz w:val="21"/>
                <w:szCs w:val="21"/>
              </w:rPr>
            </w:pPr>
            <w:r>
              <w:rPr>
                <w:kern w:val="2"/>
                <w:sz w:val="21"/>
                <w:szCs w:val="21"/>
              </w:rPr>
              <w:t>dB(A)</w:t>
            </w:r>
          </w:p>
        </w:tc>
        <w:tc>
          <w:tcPr>
            <w:tcW w:w="608" w:type="pct"/>
            <w:tcBorders>
              <w:top w:val="single" w:sz="4" w:space="0" w:color="auto"/>
            </w:tcBorders>
            <w:vAlign w:val="center"/>
          </w:tcPr>
          <w:p w14:paraId="3EA9ED46" w14:textId="77777777" w:rsidR="003E78AB" w:rsidRDefault="00010BF9">
            <w:pPr>
              <w:spacing w:line="360" w:lineRule="exact"/>
              <w:ind w:firstLineChars="0" w:firstLine="0"/>
              <w:jc w:val="center"/>
              <w:rPr>
                <w:kern w:val="2"/>
                <w:sz w:val="21"/>
                <w:szCs w:val="21"/>
              </w:rPr>
            </w:pPr>
            <w:r>
              <w:rPr>
                <w:kern w:val="2"/>
                <w:sz w:val="21"/>
                <w:szCs w:val="21"/>
              </w:rPr>
              <w:t>昼间</w:t>
            </w:r>
          </w:p>
        </w:tc>
        <w:tc>
          <w:tcPr>
            <w:tcW w:w="617" w:type="pct"/>
            <w:tcBorders>
              <w:top w:val="single" w:sz="4" w:space="0" w:color="auto"/>
            </w:tcBorders>
            <w:vAlign w:val="center"/>
          </w:tcPr>
          <w:p w14:paraId="18007C43" w14:textId="77777777" w:rsidR="003E78AB" w:rsidRDefault="00010BF9">
            <w:pPr>
              <w:spacing w:line="360" w:lineRule="exact"/>
              <w:ind w:firstLineChars="0" w:firstLine="0"/>
              <w:jc w:val="center"/>
              <w:rPr>
                <w:kern w:val="2"/>
                <w:sz w:val="21"/>
                <w:szCs w:val="21"/>
              </w:rPr>
            </w:pPr>
            <w:r>
              <w:rPr>
                <w:kern w:val="2"/>
                <w:sz w:val="21"/>
                <w:szCs w:val="21"/>
              </w:rPr>
              <w:t>夜间</w:t>
            </w:r>
          </w:p>
        </w:tc>
      </w:tr>
      <w:tr w:rsidR="003E78AB" w14:paraId="7C312BCD" w14:textId="77777777">
        <w:trPr>
          <w:cantSplit/>
          <w:trHeight w:val="255"/>
          <w:jc w:val="center"/>
        </w:trPr>
        <w:tc>
          <w:tcPr>
            <w:tcW w:w="2086" w:type="pct"/>
            <w:vMerge/>
            <w:vAlign w:val="center"/>
          </w:tcPr>
          <w:p w14:paraId="098CD28F" w14:textId="77777777" w:rsidR="003E78AB" w:rsidRDefault="003E78AB">
            <w:pPr>
              <w:spacing w:line="360" w:lineRule="exact"/>
              <w:ind w:firstLineChars="0" w:firstLine="0"/>
              <w:jc w:val="center"/>
              <w:rPr>
                <w:kern w:val="2"/>
                <w:sz w:val="21"/>
                <w:szCs w:val="21"/>
              </w:rPr>
            </w:pPr>
          </w:p>
        </w:tc>
        <w:tc>
          <w:tcPr>
            <w:tcW w:w="954" w:type="pct"/>
            <w:vAlign w:val="center"/>
          </w:tcPr>
          <w:p w14:paraId="7A767563" w14:textId="77777777" w:rsidR="003E78AB" w:rsidRDefault="00010BF9">
            <w:pPr>
              <w:spacing w:line="360" w:lineRule="exact"/>
              <w:ind w:firstLineChars="0" w:firstLine="0"/>
              <w:jc w:val="center"/>
              <w:rPr>
                <w:kern w:val="2"/>
                <w:sz w:val="21"/>
                <w:szCs w:val="21"/>
              </w:rPr>
            </w:pPr>
            <w:r>
              <w:rPr>
                <w:kern w:val="2"/>
                <w:sz w:val="21"/>
                <w:szCs w:val="21"/>
              </w:rPr>
              <w:t>3</w:t>
            </w:r>
            <w:r>
              <w:rPr>
                <w:kern w:val="2"/>
                <w:sz w:val="21"/>
                <w:szCs w:val="21"/>
              </w:rPr>
              <w:t>类</w:t>
            </w:r>
          </w:p>
        </w:tc>
        <w:tc>
          <w:tcPr>
            <w:tcW w:w="733" w:type="pct"/>
            <w:vMerge/>
            <w:vAlign w:val="center"/>
          </w:tcPr>
          <w:p w14:paraId="2D825512" w14:textId="77777777" w:rsidR="003E78AB" w:rsidRDefault="003E78AB">
            <w:pPr>
              <w:spacing w:line="360" w:lineRule="exact"/>
              <w:ind w:firstLineChars="0" w:firstLine="0"/>
              <w:jc w:val="center"/>
              <w:rPr>
                <w:kern w:val="2"/>
                <w:sz w:val="21"/>
                <w:szCs w:val="21"/>
              </w:rPr>
            </w:pPr>
          </w:p>
        </w:tc>
        <w:tc>
          <w:tcPr>
            <w:tcW w:w="608" w:type="pct"/>
            <w:vAlign w:val="center"/>
          </w:tcPr>
          <w:p w14:paraId="7C0661FC" w14:textId="77777777" w:rsidR="003E78AB" w:rsidRDefault="00010BF9">
            <w:pPr>
              <w:spacing w:line="360" w:lineRule="exact"/>
              <w:ind w:firstLineChars="0" w:firstLine="0"/>
              <w:jc w:val="center"/>
              <w:rPr>
                <w:kern w:val="2"/>
                <w:sz w:val="21"/>
                <w:szCs w:val="21"/>
              </w:rPr>
            </w:pPr>
            <w:r>
              <w:rPr>
                <w:kern w:val="2"/>
                <w:sz w:val="21"/>
                <w:szCs w:val="21"/>
              </w:rPr>
              <w:t>65</w:t>
            </w:r>
          </w:p>
        </w:tc>
        <w:tc>
          <w:tcPr>
            <w:tcW w:w="617" w:type="pct"/>
            <w:vAlign w:val="center"/>
          </w:tcPr>
          <w:p w14:paraId="1BEA0792" w14:textId="77777777" w:rsidR="003E78AB" w:rsidRDefault="00010BF9">
            <w:pPr>
              <w:spacing w:line="360" w:lineRule="exact"/>
              <w:ind w:firstLineChars="0" w:firstLine="0"/>
              <w:jc w:val="center"/>
              <w:rPr>
                <w:kern w:val="2"/>
                <w:sz w:val="21"/>
                <w:szCs w:val="21"/>
              </w:rPr>
            </w:pPr>
            <w:r>
              <w:rPr>
                <w:kern w:val="2"/>
                <w:sz w:val="21"/>
                <w:szCs w:val="21"/>
              </w:rPr>
              <w:t>55</w:t>
            </w:r>
          </w:p>
        </w:tc>
      </w:tr>
    </w:tbl>
    <w:p w14:paraId="056A476B" w14:textId="77777777" w:rsidR="003E78AB" w:rsidRDefault="00010BF9">
      <w:pPr>
        <w:ind w:firstLine="480"/>
        <w:rPr>
          <w:snapToGrid w:val="0"/>
        </w:rPr>
      </w:pPr>
      <w:r>
        <w:rPr>
          <w:snapToGrid w:val="0"/>
        </w:rPr>
        <w:t>（</w:t>
      </w:r>
      <w:r>
        <w:rPr>
          <w:snapToGrid w:val="0"/>
        </w:rPr>
        <w:t>4</w:t>
      </w:r>
      <w:r>
        <w:rPr>
          <w:snapToGrid w:val="0"/>
        </w:rPr>
        <w:t>）土壤</w:t>
      </w:r>
    </w:p>
    <w:p w14:paraId="594295BB" w14:textId="77777777" w:rsidR="003E78AB" w:rsidRDefault="00010BF9">
      <w:pPr>
        <w:ind w:firstLine="480"/>
        <w:rPr>
          <w:snapToGrid w:val="0"/>
        </w:rPr>
      </w:pPr>
      <w:r>
        <w:rPr>
          <w:snapToGrid w:val="0"/>
        </w:rPr>
        <w:t>本次评价土壤环境质量执行《土壤环境质量</w:t>
      </w:r>
      <w:r>
        <w:rPr>
          <w:snapToGrid w:val="0"/>
        </w:rPr>
        <w:t xml:space="preserve"> </w:t>
      </w:r>
      <w:r>
        <w:rPr>
          <w:snapToGrid w:val="0"/>
        </w:rPr>
        <w:t>建设用地土壤污染风险管控标准（试行）》</w:t>
      </w:r>
      <w:hyperlink r:id="rId19" w:history="1">
        <w:r>
          <w:rPr>
            <w:snapToGrid w:val="0"/>
          </w:rPr>
          <w:t>（</w:t>
        </w:r>
        <w:r>
          <w:rPr>
            <w:snapToGrid w:val="0"/>
          </w:rPr>
          <w:t>GB36600-2018</w:t>
        </w:r>
        <w:r>
          <w:rPr>
            <w:snapToGrid w:val="0"/>
          </w:rPr>
          <w:t>）</w:t>
        </w:r>
      </w:hyperlink>
      <w:r>
        <w:rPr>
          <w:snapToGrid w:val="0"/>
        </w:rPr>
        <w:t>第二类用地筛选值。具体标准值见表</w:t>
      </w:r>
      <w:r>
        <w:rPr>
          <w:snapToGrid w:val="0"/>
        </w:rPr>
        <w:t>2.7-4</w:t>
      </w:r>
      <w:r>
        <w:rPr>
          <w:snapToGrid w:val="0"/>
        </w:rPr>
        <w:t>。</w:t>
      </w:r>
    </w:p>
    <w:p w14:paraId="6A771A2C" w14:textId="77777777" w:rsidR="003E78AB" w:rsidRDefault="00010BF9">
      <w:pPr>
        <w:pStyle w:val="a5"/>
        <w:jc w:val="right"/>
      </w:pPr>
      <w:r>
        <w:t>《土壤环境质量标准》（建设用地）</w:t>
      </w:r>
      <w:r>
        <w:t xml:space="preserve">    </w:t>
      </w:r>
      <w:r>
        <w:rPr>
          <w:sz w:val="21"/>
          <w:szCs w:val="21"/>
        </w:rPr>
        <w:t>单位：</w:t>
      </w:r>
      <w:r>
        <w:rPr>
          <w:sz w:val="21"/>
          <w:szCs w:val="21"/>
        </w:rPr>
        <w:t>mg/kg</w:t>
      </w:r>
    </w:p>
    <w:tbl>
      <w:tblPr>
        <w:tblW w:w="499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54"/>
        <w:gridCol w:w="2528"/>
        <w:gridCol w:w="2719"/>
        <w:gridCol w:w="2419"/>
      </w:tblGrid>
      <w:tr w:rsidR="003E78AB" w14:paraId="7E17AD97" w14:textId="77777777">
        <w:trPr>
          <w:trHeight w:val="283"/>
          <w:tblHeader/>
        </w:trPr>
        <w:tc>
          <w:tcPr>
            <w:tcW w:w="393" w:type="pct"/>
            <w:vMerge w:val="restart"/>
            <w:vAlign w:val="center"/>
          </w:tcPr>
          <w:p w14:paraId="7633F1C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1518" w:type="pct"/>
            <w:vMerge w:val="restart"/>
            <w:tcBorders>
              <w:right w:val="single" w:sz="4" w:space="0" w:color="000000"/>
            </w:tcBorders>
            <w:vAlign w:val="center"/>
          </w:tcPr>
          <w:p w14:paraId="41CE8F4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标准项目</w:t>
            </w:r>
          </w:p>
        </w:tc>
        <w:tc>
          <w:tcPr>
            <w:tcW w:w="1633" w:type="pct"/>
            <w:tcBorders>
              <w:left w:val="single" w:sz="4" w:space="0" w:color="000000"/>
            </w:tcBorders>
            <w:vAlign w:val="center"/>
          </w:tcPr>
          <w:p w14:paraId="2C5B243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建设用地风险筛选值</w:t>
            </w:r>
          </w:p>
        </w:tc>
        <w:tc>
          <w:tcPr>
            <w:tcW w:w="1453" w:type="pct"/>
            <w:vAlign w:val="center"/>
          </w:tcPr>
          <w:p w14:paraId="3F88CC7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建设用地风险管制值</w:t>
            </w:r>
          </w:p>
        </w:tc>
      </w:tr>
      <w:tr w:rsidR="003E78AB" w14:paraId="5403D505" w14:textId="77777777">
        <w:trPr>
          <w:trHeight w:val="283"/>
          <w:tblHeader/>
        </w:trPr>
        <w:tc>
          <w:tcPr>
            <w:tcW w:w="393" w:type="pct"/>
            <w:vMerge/>
            <w:tcBorders>
              <w:top w:val="nil"/>
            </w:tcBorders>
            <w:vAlign w:val="center"/>
          </w:tcPr>
          <w:p w14:paraId="6D6B6FF1" w14:textId="77777777" w:rsidR="003E78AB" w:rsidRDefault="003E78AB">
            <w:pPr>
              <w:spacing w:line="360" w:lineRule="exact"/>
              <w:ind w:firstLineChars="0" w:firstLine="0"/>
              <w:jc w:val="center"/>
              <w:rPr>
                <w:b/>
                <w:bCs/>
                <w:kern w:val="2"/>
                <w:sz w:val="21"/>
                <w:szCs w:val="21"/>
              </w:rPr>
            </w:pPr>
          </w:p>
        </w:tc>
        <w:tc>
          <w:tcPr>
            <w:tcW w:w="1518" w:type="pct"/>
            <w:vMerge/>
            <w:tcBorders>
              <w:top w:val="nil"/>
              <w:right w:val="single" w:sz="4" w:space="0" w:color="000000"/>
            </w:tcBorders>
            <w:vAlign w:val="center"/>
          </w:tcPr>
          <w:p w14:paraId="4DB25494" w14:textId="77777777" w:rsidR="003E78AB" w:rsidRDefault="003E78AB">
            <w:pPr>
              <w:spacing w:line="360" w:lineRule="exact"/>
              <w:ind w:firstLineChars="0" w:firstLine="0"/>
              <w:jc w:val="center"/>
              <w:rPr>
                <w:b/>
                <w:bCs/>
                <w:kern w:val="2"/>
                <w:sz w:val="21"/>
                <w:szCs w:val="21"/>
              </w:rPr>
            </w:pPr>
          </w:p>
        </w:tc>
        <w:tc>
          <w:tcPr>
            <w:tcW w:w="1633" w:type="pct"/>
            <w:tcBorders>
              <w:left w:val="single" w:sz="4" w:space="0" w:color="000000"/>
              <w:right w:val="single" w:sz="4" w:space="0" w:color="000000"/>
            </w:tcBorders>
            <w:vAlign w:val="center"/>
          </w:tcPr>
          <w:p w14:paraId="4D639E7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第二类用地</w:t>
            </w:r>
          </w:p>
        </w:tc>
        <w:tc>
          <w:tcPr>
            <w:tcW w:w="1453" w:type="pct"/>
            <w:tcBorders>
              <w:left w:val="single" w:sz="4" w:space="0" w:color="000000"/>
            </w:tcBorders>
            <w:vAlign w:val="center"/>
          </w:tcPr>
          <w:p w14:paraId="01C3EA6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第二类用地</w:t>
            </w:r>
          </w:p>
        </w:tc>
      </w:tr>
      <w:tr w:rsidR="003E78AB" w14:paraId="63A1DCFD" w14:textId="77777777">
        <w:trPr>
          <w:trHeight w:val="283"/>
        </w:trPr>
        <w:tc>
          <w:tcPr>
            <w:tcW w:w="393" w:type="pct"/>
            <w:vAlign w:val="center"/>
          </w:tcPr>
          <w:p w14:paraId="321000B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1518" w:type="pct"/>
            <w:vAlign w:val="center"/>
          </w:tcPr>
          <w:p w14:paraId="2AF8BD3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砷</w:t>
            </w:r>
          </w:p>
        </w:tc>
        <w:tc>
          <w:tcPr>
            <w:tcW w:w="1633" w:type="pct"/>
            <w:vAlign w:val="center"/>
          </w:tcPr>
          <w:p w14:paraId="23805C3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60</w:t>
            </w:r>
          </w:p>
        </w:tc>
        <w:tc>
          <w:tcPr>
            <w:tcW w:w="1453" w:type="pct"/>
            <w:vAlign w:val="center"/>
          </w:tcPr>
          <w:p w14:paraId="0E5EBDB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140</w:t>
            </w:r>
          </w:p>
        </w:tc>
      </w:tr>
      <w:tr w:rsidR="003E78AB" w14:paraId="57EABF39" w14:textId="77777777">
        <w:trPr>
          <w:trHeight w:val="283"/>
        </w:trPr>
        <w:tc>
          <w:tcPr>
            <w:tcW w:w="393" w:type="pct"/>
            <w:vAlign w:val="center"/>
          </w:tcPr>
          <w:p w14:paraId="53A7D43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1518" w:type="pct"/>
            <w:vAlign w:val="center"/>
          </w:tcPr>
          <w:p w14:paraId="68860B7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镉</w:t>
            </w:r>
          </w:p>
        </w:tc>
        <w:tc>
          <w:tcPr>
            <w:tcW w:w="1633" w:type="pct"/>
            <w:vAlign w:val="center"/>
          </w:tcPr>
          <w:p w14:paraId="7971BB6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65</w:t>
            </w:r>
          </w:p>
        </w:tc>
        <w:tc>
          <w:tcPr>
            <w:tcW w:w="1453" w:type="pct"/>
            <w:vAlign w:val="center"/>
          </w:tcPr>
          <w:p w14:paraId="1B2E3D1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172</w:t>
            </w:r>
          </w:p>
        </w:tc>
      </w:tr>
      <w:tr w:rsidR="003E78AB" w14:paraId="342163DC" w14:textId="77777777">
        <w:trPr>
          <w:trHeight w:val="283"/>
        </w:trPr>
        <w:tc>
          <w:tcPr>
            <w:tcW w:w="393" w:type="pct"/>
            <w:vAlign w:val="center"/>
          </w:tcPr>
          <w:p w14:paraId="63B6D10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1518" w:type="pct"/>
            <w:vAlign w:val="center"/>
          </w:tcPr>
          <w:p w14:paraId="777F271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铬（六价）</w:t>
            </w:r>
          </w:p>
        </w:tc>
        <w:tc>
          <w:tcPr>
            <w:tcW w:w="1633" w:type="pct"/>
            <w:vAlign w:val="center"/>
          </w:tcPr>
          <w:p w14:paraId="640C1DE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5.7</w:t>
            </w:r>
          </w:p>
        </w:tc>
        <w:tc>
          <w:tcPr>
            <w:tcW w:w="1453" w:type="pct"/>
            <w:vAlign w:val="center"/>
          </w:tcPr>
          <w:p w14:paraId="3FE44B1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78</w:t>
            </w:r>
          </w:p>
        </w:tc>
      </w:tr>
      <w:tr w:rsidR="003E78AB" w14:paraId="18F83C9E" w14:textId="77777777">
        <w:trPr>
          <w:trHeight w:val="283"/>
        </w:trPr>
        <w:tc>
          <w:tcPr>
            <w:tcW w:w="393" w:type="pct"/>
            <w:vAlign w:val="center"/>
          </w:tcPr>
          <w:p w14:paraId="0000B2B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1518" w:type="pct"/>
            <w:vAlign w:val="center"/>
          </w:tcPr>
          <w:p w14:paraId="35D5988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铜</w:t>
            </w:r>
          </w:p>
        </w:tc>
        <w:tc>
          <w:tcPr>
            <w:tcW w:w="1633" w:type="pct"/>
            <w:vAlign w:val="center"/>
          </w:tcPr>
          <w:p w14:paraId="5E49892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18000</w:t>
            </w:r>
          </w:p>
        </w:tc>
        <w:tc>
          <w:tcPr>
            <w:tcW w:w="1453" w:type="pct"/>
            <w:vAlign w:val="center"/>
          </w:tcPr>
          <w:p w14:paraId="461E719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36000</w:t>
            </w:r>
          </w:p>
        </w:tc>
      </w:tr>
      <w:tr w:rsidR="003E78AB" w14:paraId="0BD26C8B" w14:textId="77777777">
        <w:trPr>
          <w:trHeight w:val="283"/>
        </w:trPr>
        <w:tc>
          <w:tcPr>
            <w:tcW w:w="393" w:type="pct"/>
            <w:vAlign w:val="center"/>
          </w:tcPr>
          <w:p w14:paraId="063A4AE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518" w:type="pct"/>
            <w:vAlign w:val="center"/>
          </w:tcPr>
          <w:p w14:paraId="05590B3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铅</w:t>
            </w:r>
          </w:p>
        </w:tc>
        <w:tc>
          <w:tcPr>
            <w:tcW w:w="1633" w:type="pct"/>
            <w:vAlign w:val="center"/>
          </w:tcPr>
          <w:p w14:paraId="440F06E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800</w:t>
            </w:r>
          </w:p>
        </w:tc>
        <w:tc>
          <w:tcPr>
            <w:tcW w:w="1453" w:type="pct"/>
            <w:vAlign w:val="center"/>
          </w:tcPr>
          <w:p w14:paraId="0F88BD4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2500</w:t>
            </w:r>
          </w:p>
        </w:tc>
      </w:tr>
      <w:tr w:rsidR="003E78AB" w14:paraId="641688B0" w14:textId="77777777">
        <w:trPr>
          <w:trHeight w:val="283"/>
        </w:trPr>
        <w:tc>
          <w:tcPr>
            <w:tcW w:w="393" w:type="pct"/>
            <w:vAlign w:val="center"/>
          </w:tcPr>
          <w:p w14:paraId="229ACDD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w:t>
            </w:r>
          </w:p>
        </w:tc>
        <w:tc>
          <w:tcPr>
            <w:tcW w:w="1518" w:type="pct"/>
            <w:vAlign w:val="center"/>
          </w:tcPr>
          <w:p w14:paraId="27D8680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汞</w:t>
            </w:r>
          </w:p>
        </w:tc>
        <w:tc>
          <w:tcPr>
            <w:tcW w:w="1633" w:type="pct"/>
            <w:vAlign w:val="center"/>
          </w:tcPr>
          <w:p w14:paraId="341CD9F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38</w:t>
            </w:r>
          </w:p>
        </w:tc>
        <w:tc>
          <w:tcPr>
            <w:tcW w:w="1453" w:type="pct"/>
            <w:vAlign w:val="center"/>
          </w:tcPr>
          <w:p w14:paraId="51E1F23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82</w:t>
            </w:r>
          </w:p>
        </w:tc>
      </w:tr>
      <w:tr w:rsidR="003E78AB" w14:paraId="4CD44C03" w14:textId="77777777">
        <w:trPr>
          <w:trHeight w:val="283"/>
        </w:trPr>
        <w:tc>
          <w:tcPr>
            <w:tcW w:w="393" w:type="pct"/>
            <w:vAlign w:val="center"/>
          </w:tcPr>
          <w:p w14:paraId="4F86BE2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w:t>
            </w:r>
          </w:p>
        </w:tc>
        <w:tc>
          <w:tcPr>
            <w:tcW w:w="1518" w:type="pct"/>
            <w:tcBorders>
              <w:right w:val="single" w:sz="4" w:space="0" w:color="000000"/>
            </w:tcBorders>
            <w:vAlign w:val="center"/>
          </w:tcPr>
          <w:p w14:paraId="7F3A8FF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镍</w:t>
            </w:r>
          </w:p>
        </w:tc>
        <w:tc>
          <w:tcPr>
            <w:tcW w:w="1633" w:type="pct"/>
            <w:tcBorders>
              <w:left w:val="single" w:sz="4" w:space="0" w:color="000000"/>
              <w:right w:val="single" w:sz="4" w:space="0" w:color="000000"/>
            </w:tcBorders>
            <w:vAlign w:val="center"/>
          </w:tcPr>
          <w:p w14:paraId="04B141A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900</w:t>
            </w:r>
          </w:p>
        </w:tc>
        <w:tc>
          <w:tcPr>
            <w:tcW w:w="1453" w:type="pct"/>
            <w:tcBorders>
              <w:left w:val="single" w:sz="4" w:space="0" w:color="000000"/>
            </w:tcBorders>
            <w:vAlign w:val="center"/>
          </w:tcPr>
          <w:p w14:paraId="1F31995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2000</w:t>
            </w:r>
          </w:p>
        </w:tc>
      </w:tr>
      <w:tr w:rsidR="003E78AB" w14:paraId="211E3307" w14:textId="77777777">
        <w:trPr>
          <w:trHeight w:val="283"/>
        </w:trPr>
        <w:tc>
          <w:tcPr>
            <w:tcW w:w="393" w:type="pct"/>
            <w:vAlign w:val="center"/>
          </w:tcPr>
          <w:p w14:paraId="0774EBC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w:t>
            </w:r>
          </w:p>
        </w:tc>
        <w:tc>
          <w:tcPr>
            <w:tcW w:w="1518" w:type="pct"/>
            <w:tcBorders>
              <w:right w:val="single" w:sz="4" w:space="0" w:color="000000"/>
            </w:tcBorders>
            <w:vAlign w:val="center"/>
          </w:tcPr>
          <w:p w14:paraId="2B85FF3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钒</w:t>
            </w:r>
          </w:p>
        </w:tc>
        <w:tc>
          <w:tcPr>
            <w:tcW w:w="1633" w:type="pct"/>
            <w:tcBorders>
              <w:left w:val="single" w:sz="4" w:space="0" w:color="000000"/>
              <w:right w:val="single" w:sz="4" w:space="0" w:color="000000"/>
            </w:tcBorders>
            <w:vAlign w:val="center"/>
          </w:tcPr>
          <w:p w14:paraId="4E9CDD9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752</w:t>
            </w:r>
          </w:p>
        </w:tc>
        <w:tc>
          <w:tcPr>
            <w:tcW w:w="1453" w:type="pct"/>
            <w:tcBorders>
              <w:left w:val="single" w:sz="4" w:space="0" w:color="000000"/>
            </w:tcBorders>
            <w:vAlign w:val="center"/>
          </w:tcPr>
          <w:p w14:paraId="72ED9FF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1500</w:t>
            </w:r>
          </w:p>
        </w:tc>
      </w:tr>
      <w:tr w:rsidR="003E78AB" w14:paraId="487C9252" w14:textId="77777777">
        <w:trPr>
          <w:trHeight w:val="283"/>
        </w:trPr>
        <w:tc>
          <w:tcPr>
            <w:tcW w:w="393" w:type="pct"/>
            <w:vAlign w:val="center"/>
          </w:tcPr>
          <w:p w14:paraId="1E984FD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w:t>
            </w:r>
          </w:p>
        </w:tc>
        <w:tc>
          <w:tcPr>
            <w:tcW w:w="1518" w:type="pct"/>
            <w:vAlign w:val="center"/>
          </w:tcPr>
          <w:p w14:paraId="543C8D3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四氯化碳</w:t>
            </w:r>
          </w:p>
        </w:tc>
        <w:tc>
          <w:tcPr>
            <w:tcW w:w="1633" w:type="pct"/>
            <w:vAlign w:val="center"/>
          </w:tcPr>
          <w:p w14:paraId="3202CFE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w:t>
            </w:r>
          </w:p>
        </w:tc>
        <w:tc>
          <w:tcPr>
            <w:tcW w:w="1453" w:type="pct"/>
            <w:vAlign w:val="center"/>
          </w:tcPr>
          <w:p w14:paraId="30EE7EA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36</w:t>
            </w:r>
          </w:p>
        </w:tc>
      </w:tr>
      <w:tr w:rsidR="003E78AB" w14:paraId="6C3483FA" w14:textId="77777777">
        <w:trPr>
          <w:trHeight w:val="283"/>
        </w:trPr>
        <w:tc>
          <w:tcPr>
            <w:tcW w:w="393" w:type="pct"/>
            <w:vAlign w:val="center"/>
          </w:tcPr>
          <w:p w14:paraId="6E06379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1518" w:type="pct"/>
            <w:vAlign w:val="center"/>
          </w:tcPr>
          <w:p w14:paraId="7F8F99F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氯仿</w:t>
            </w:r>
          </w:p>
        </w:tc>
        <w:tc>
          <w:tcPr>
            <w:tcW w:w="1633" w:type="pct"/>
            <w:vAlign w:val="center"/>
          </w:tcPr>
          <w:p w14:paraId="431240D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0.9</w:t>
            </w:r>
          </w:p>
        </w:tc>
        <w:tc>
          <w:tcPr>
            <w:tcW w:w="1453" w:type="pct"/>
            <w:vAlign w:val="center"/>
          </w:tcPr>
          <w:p w14:paraId="2E4D72A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r>
      <w:tr w:rsidR="003E78AB" w14:paraId="04872CCE" w14:textId="77777777">
        <w:trPr>
          <w:trHeight w:val="283"/>
        </w:trPr>
        <w:tc>
          <w:tcPr>
            <w:tcW w:w="393" w:type="pct"/>
            <w:vAlign w:val="center"/>
          </w:tcPr>
          <w:p w14:paraId="35B7EBB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w:t>
            </w:r>
          </w:p>
        </w:tc>
        <w:tc>
          <w:tcPr>
            <w:tcW w:w="1518" w:type="pct"/>
            <w:vAlign w:val="center"/>
          </w:tcPr>
          <w:p w14:paraId="6BDA492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氯甲烷</w:t>
            </w:r>
          </w:p>
        </w:tc>
        <w:tc>
          <w:tcPr>
            <w:tcW w:w="1633" w:type="pct"/>
            <w:vAlign w:val="center"/>
          </w:tcPr>
          <w:p w14:paraId="30356B8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37</w:t>
            </w:r>
          </w:p>
        </w:tc>
        <w:tc>
          <w:tcPr>
            <w:tcW w:w="1453" w:type="pct"/>
            <w:vAlign w:val="center"/>
          </w:tcPr>
          <w:p w14:paraId="0C6B1EB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120</w:t>
            </w:r>
          </w:p>
        </w:tc>
      </w:tr>
      <w:tr w:rsidR="003E78AB" w14:paraId="1733D1AB" w14:textId="77777777">
        <w:trPr>
          <w:trHeight w:val="283"/>
        </w:trPr>
        <w:tc>
          <w:tcPr>
            <w:tcW w:w="393" w:type="pct"/>
            <w:vAlign w:val="center"/>
          </w:tcPr>
          <w:p w14:paraId="50CE7CC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w:t>
            </w:r>
          </w:p>
        </w:tc>
        <w:tc>
          <w:tcPr>
            <w:tcW w:w="1518" w:type="pct"/>
            <w:vAlign w:val="center"/>
          </w:tcPr>
          <w:p w14:paraId="1C95C30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二氯乙烷</w:t>
            </w:r>
          </w:p>
        </w:tc>
        <w:tc>
          <w:tcPr>
            <w:tcW w:w="1633" w:type="pct"/>
            <w:vAlign w:val="center"/>
          </w:tcPr>
          <w:p w14:paraId="38668F4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w:t>
            </w:r>
          </w:p>
        </w:tc>
        <w:tc>
          <w:tcPr>
            <w:tcW w:w="1453" w:type="pct"/>
            <w:vAlign w:val="center"/>
          </w:tcPr>
          <w:p w14:paraId="519333B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100</w:t>
            </w:r>
          </w:p>
        </w:tc>
      </w:tr>
      <w:tr w:rsidR="003E78AB" w14:paraId="2A006A7E" w14:textId="77777777">
        <w:trPr>
          <w:trHeight w:val="283"/>
        </w:trPr>
        <w:tc>
          <w:tcPr>
            <w:tcW w:w="393" w:type="pct"/>
            <w:vAlign w:val="center"/>
          </w:tcPr>
          <w:p w14:paraId="39FF4CF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p>
        </w:tc>
        <w:tc>
          <w:tcPr>
            <w:tcW w:w="1518" w:type="pct"/>
            <w:vAlign w:val="center"/>
          </w:tcPr>
          <w:p w14:paraId="123849E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二氯乙烷</w:t>
            </w:r>
          </w:p>
        </w:tc>
        <w:tc>
          <w:tcPr>
            <w:tcW w:w="1633" w:type="pct"/>
            <w:vAlign w:val="center"/>
          </w:tcPr>
          <w:p w14:paraId="147879F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453" w:type="pct"/>
            <w:vAlign w:val="center"/>
          </w:tcPr>
          <w:p w14:paraId="6CEBB80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21</w:t>
            </w:r>
          </w:p>
        </w:tc>
      </w:tr>
      <w:tr w:rsidR="003E78AB" w14:paraId="51A6559B" w14:textId="77777777">
        <w:trPr>
          <w:trHeight w:val="283"/>
        </w:trPr>
        <w:tc>
          <w:tcPr>
            <w:tcW w:w="393" w:type="pct"/>
            <w:vAlign w:val="center"/>
          </w:tcPr>
          <w:p w14:paraId="6D023E3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14</w:t>
            </w:r>
          </w:p>
        </w:tc>
        <w:tc>
          <w:tcPr>
            <w:tcW w:w="1518" w:type="pct"/>
            <w:vAlign w:val="center"/>
          </w:tcPr>
          <w:p w14:paraId="0A1980A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二氯乙烯</w:t>
            </w:r>
          </w:p>
        </w:tc>
        <w:tc>
          <w:tcPr>
            <w:tcW w:w="1633" w:type="pct"/>
            <w:vAlign w:val="center"/>
          </w:tcPr>
          <w:p w14:paraId="0F6A256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66</w:t>
            </w:r>
          </w:p>
        </w:tc>
        <w:tc>
          <w:tcPr>
            <w:tcW w:w="1453" w:type="pct"/>
            <w:vAlign w:val="center"/>
          </w:tcPr>
          <w:p w14:paraId="762A590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w:t>
            </w:r>
          </w:p>
        </w:tc>
      </w:tr>
      <w:tr w:rsidR="003E78AB" w14:paraId="48E9375B" w14:textId="77777777">
        <w:trPr>
          <w:trHeight w:val="283"/>
        </w:trPr>
        <w:tc>
          <w:tcPr>
            <w:tcW w:w="393" w:type="pct"/>
            <w:vAlign w:val="center"/>
          </w:tcPr>
          <w:p w14:paraId="752F031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c>
          <w:tcPr>
            <w:tcW w:w="1518" w:type="pct"/>
            <w:vAlign w:val="center"/>
          </w:tcPr>
          <w:p w14:paraId="27962C6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顺</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二氯乙烯</w:t>
            </w:r>
          </w:p>
        </w:tc>
        <w:tc>
          <w:tcPr>
            <w:tcW w:w="1633" w:type="pct"/>
            <w:vAlign w:val="center"/>
          </w:tcPr>
          <w:p w14:paraId="4733055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596</w:t>
            </w:r>
          </w:p>
        </w:tc>
        <w:tc>
          <w:tcPr>
            <w:tcW w:w="1453" w:type="pct"/>
            <w:vAlign w:val="center"/>
          </w:tcPr>
          <w:p w14:paraId="0B61FB0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2000</w:t>
            </w:r>
          </w:p>
        </w:tc>
      </w:tr>
      <w:tr w:rsidR="003E78AB" w14:paraId="306F28A8" w14:textId="77777777">
        <w:trPr>
          <w:trHeight w:val="283"/>
        </w:trPr>
        <w:tc>
          <w:tcPr>
            <w:tcW w:w="393" w:type="pct"/>
            <w:vAlign w:val="center"/>
          </w:tcPr>
          <w:p w14:paraId="35FD6DC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w:t>
            </w:r>
          </w:p>
        </w:tc>
        <w:tc>
          <w:tcPr>
            <w:tcW w:w="1518" w:type="pct"/>
            <w:vAlign w:val="center"/>
          </w:tcPr>
          <w:p w14:paraId="566975A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反</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二氯乙烯</w:t>
            </w:r>
          </w:p>
        </w:tc>
        <w:tc>
          <w:tcPr>
            <w:tcW w:w="1633" w:type="pct"/>
            <w:vAlign w:val="center"/>
          </w:tcPr>
          <w:p w14:paraId="26D4A73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54</w:t>
            </w:r>
          </w:p>
        </w:tc>
        <w:tc>
          <w:tcPr>
            <w:tcW w:w="1453" w:type="pct"/>
            <w:vAlign w:val="center"/>
          </w:tcPr>
          <w:p w14:paraId="471FF7B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163</w:t>
            </w:r>
          </w:p>
        </w:tc>
      </w:tr>
      <w:tr w:rsidR="003E78AB" w14:paraId="6A8B9BCC" w14:textId="77777777">
        <w:trPr>
          <w:trHeight w:val="283"/>
        </w:trPr>
        <w:tc>
          <w:tcPr>
            <w:tcW w:w="393" w:type="pct"/>
            <w:vAlign w:val="center"/>
          </w:tcPr>
          <w:p w14:paraId="3377949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17</w:t>
            </w:r>
          </w:p>
        </w:tc>
        <w:tc>
          <w:tcPr>
            <w:tcW w:w="1518" w:type="pct"/>
            <w:vAlign w:val="center"/>
          </w:tcPr>
          <w:p w14:paraId="0D8B48D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二氯甲烷</w:t>
            </w:r>
          </w:p>
        </w:tc>
        <w:tc>
          <w:tcPr>
            <w:tcW w:w="1633" w:type="pct"/>
            <w:vAlign w:val="center"/>
          </w:tcPr>
          <w:p w14:paraId="3376CCA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616</w:t>
            </w:r>
          </w:p>
        </w:tc>
        <w:tc>
          <w:tcPr>
            <w:tcW w:w="1453" w:type="pct"/>
            <w:vAlign w:val="center"/>
          </w:tcPr>
          <w:p w14:paraId="6F960D5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2000</w:t>
            </w:r>
          </w:p>
        </w:tc>
      </w:tr>
      <w:tr w:rsidR="003E78AB" w14:paraId="6A0A0B0F" w14:textId="77777777">
        <w:trPr>
          <w:trHeight w:val="283"/>
        </w:trPr>
        <w:tc>
          <w:tcPr>
            <w:tcW w:w="393" w:type="pct"/>
            <w:vAlign w:val="center"/>
          </w:tcPr>
          <w:p w14:paraId="08E4DA6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18</w:t>
            </w:r>
          </w:p>
        </w:tc>
        <w:tc>
          <w:tcPr>
            <w:tcW w:w="1518" w:type="pct"/>
            <w:vAlign w:val="center"/>
          </w:tcPr>
          <w:p w14:paraId="4E9C17A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二氯丙烷</w:t>
            </w:r>
          </w:p>
        </w:tc>
        <w:tc>
          <w:tcPr>
            <w:tcW w:w="1633" w:type="pct"/>
            <w:vAlign w:val="center"/>
          </w:tcPr>
          <w:p w14:paraId="554376B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453" w:type="pct"/>
            <w:vAlign w:val="center"/>
          </w:tcPr>
          <w:p w14:paraId="182F4F8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47</w:t>
            </w:r>
          </w:p>
        </w:tc>
      </w:tr>
      <w:tr w:rsidR="003E78AB" w14:paraId="031A5D01" w14:textId="77777777">
        <w:trPr>
          <w:trHeight w:val="283"/>
        </w:trPr>
        <w:tc>
          <w:tcPr>
            <w:tcW w:w="393" w:type="pct"/>
            <w:vAlign w:val="center"/>
          </w:tcPr>
          <w:p w14:paraId="1E5740A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19</w:t>
            </w:r>
          </w:p>
        </w:tc>
        <w:tc>
          <w:tcPr>
            <w:tcW w:w="1518" w:type="pct"/>
            <w:vAlign w:val="center"/>
          </w:tcPr>
          <w:p w14:paraId="1458FAD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四氯乙烷</w:t>
            </w:r>
          </w:p>
        </w:tc>
        <w:tc>
          <w:tcPr>
            <w:tcW w:w="1633" w:type="pct"/>
            <w:vAlign w:val="center"/>
          </w:tcPr>
          <w:p w14:paraId="349C340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1453" w:type="pct"/>
            <w:vAlign w:val="center"/>
          </w:tcPr>
          <w:p w14:paraId="6785625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100</w:t>
            </w:r>
          </w:p>
        </w:tc>
      </w:tr>
      <w:tr w:rsidR="003E78AB" w14:paraId="2FF7A17D" w14:textId="77777777">
        <w:trPr>
          <w:trHeight w:val="283"/>
        </w:trPr>
        <w:tc>
          <w:tcPr>
            <w:tcW w:w="393" w:type="pct"/>
            <w:vAlign w:val="center"/>
          </w:tcPr>
          <w:p w14:paraId="256EA81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w:t>
            </w:r>
          </w:p>
        </w:tc>
        <w:tc>
          <w:tcPr>
            <w:tcW w:w="1518" w:type="pct"/>
            <w:vAlign w:val="center"/>
          </w:tcPr>
          <w:p w14:paraId="21331AB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四氯乙烷</w:t>
            </w:r>
          </w:p>
        </w:tc>
        <w:tc>
          <w:tcPr>
            <w:tcW w:w="1633" w:type="pct"/>
            <w:vAlign w:val="center"/>
          </w:tcPr>
          <w:p w14:paraId="40952E0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6.8</w:t>
            </w:r>
          </w:p>
        </w:tc>
        <w:tc>
          <w:tcPr>
            <w:tcW w:w="1453" w:type="pct"/>
            <w:vAlign w:val="center"/>
          </w:tcPr>
          <w:p w14:paraId="3613C84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50</w:t>
            </w:r>
          </w:p>
        </w:tc>
      </w:tr>
      <w:tr w:rsidR="003E78AB" w14:paraId="7736C853" w14:textId="77777777">
        <w:trPr>
          <w:trHeight w:val="283"/>
        </w:trPr>
        <w:tc>
          <w:tcPr>
            <w:tcW w:w="393" w:type="pct"/>
            <w:vAlign w:val="center"/>
          </w:tcPr>
          <w:p w14:paraId="49FB13B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21</w:t>
            </w:r>
          </w:p>
        </w:tc>
        <w:tc>
          <w:tcPr>
            <w:tcW w:w="1518" w:type="pct"/>
            <w:vAlign w:val="center"/>
          </w:tcPr>
          <w:p w14:paraId="4031705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四氯乙烯</w:t>
            </w:r>
          </w:p>
        </w:tc>
        <w:tc>
          <w:tcPr>
            <w:tcW w:w="1633" w:type="pct"/>
            <w:vAlign w:val="center"/>
          </w:tcPr>
          <w:p w14:paraId="43AF66F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53</w:t>
            </w:r>
          </w:p>
        </w:tc>
        <w:tc>
          <w:tcPr>
            <w:tcW w:w="1453" w:type="pct"/>
            <w:vAlign w:val="center"/>
          </w:tcPr>
          <w:p w14:paraId="3B0CDAE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183</w:t>
            </w:r>
          </w:p>
        </w:tc>
      </w:tr>
      <w:tr w:rsidR="003E78AB" w14:paraId="6D169794" w14:textId="77777777">
        <w:trPr>
          <w:trHeight w:val="283"/>
        </w:trPr>
        <w:tc>
          <w:tcPr>
            <w:tcW w:w="393" w:type="pct"/>
            <w:vAlign w:val="center"/>
          </w:tcPr>
          <w:p w14:paraId="0BB0146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22</w:t>
            </w:r>
          </w:p>
        </w:tc>
        <w:tc>
          <w:tcPr>
            <w:tcW w:w="1518" w:type="pct"/>
            <w:vAlign w:val="center"/>
          </w:tcPr>
          <w:p w14:paraId="7D0AD3B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三氯乙烷</w:t>
            </w:r>
          </w:p>
        </w:tc>
        <w:tc>
          <w:tcPr>
            <w:tcW w:w="1633" w:type="pct"/>
            <w:vAlign w:val="center"/>
          </w:tcPr>
          <w:p w14:paraId="2369AED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840</w:t>
            </w:r>
          </w:p>
        </w:tc>
        <w:tc>
          <w:tcPr>
            <w:tcW w:w="1453" w:type="pct"/>
            <w:vAlign w:val="center"/>
          </w:tcPr>
          <w:p w14:paraId="2866069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840</w:t>
            </w:r>
          </w:p>
        </w:tc>
      </w:tr>
      <w:tr w:rsidR="003E78AB" w14:paraId="42678805" w14:textId="77777777">
        <w:trPr>
          <w:trHeight w:val="283"/>
        </w:trPr>
        <w:tc>
          <w:tcPr>
            <w:tcW w:w="393" w:type="pct"/>
            <w:vAlign w:val="center"/>
          </w:tcPr>
          <w:p w14:paraId="16C1FDB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23</w:t>
            </w:r>
          </w:p>
        </w:tc>
        <w:tc>
          <w:tcPr>
            <w:tcW w:w="1518" w:type="pct"/>
            <w:vAlign w:val="center"/>
          </w:tcPr>
          <w:p w14:paraId="2B2FB73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三氯乙烷</w:t>
            </w:r>
          </w:p>
        </w:tc>
        <w:tc>
          <w:tcPr>
            <w:tcW w:w="1633" w:type="pct"/>
            <w:vAlign w:val="center"/>
          </w:tcPr>
          <w:p w14:paraId="609583D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w:t>
            </w:r>
          </w:p>
        </w:tc>
        <w:tc>
          <w:tcPr>
            <w:tcW w:w="1453" w:type="pct"/>
            <w:vAlign w:val="center"/>
          </w:tcPr>
          <w:p w14:paraId="62F093E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w:t>
            </w:r>
          </w:p>
        </w:tc>
      </w:tr>
      <w:tr w:rsidR="003E78AB" w14:paraId="6A6DEC20" w14:textId="77777777">
        <w:trPr>
          <w:trHeight w:val="283"/>
        </w:trPr>
        <w:tc>
          <w:tcPr>
            <w:tcW w:w="393" w:type="pct"/>
            <w:vAlign w:val="center"/>
          </w:tcPr>
          <w:p w14:paraId="18DA060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24</w:t>
            </w:r>
          </w:p>
        </w:tc>
        <w:tc>
          <w:tcPr>
            <w:tcW w:w="1518" w:type="pct"/>
            <w:vAlign w:val="center"/>
          </w:tcPr>
          <w:p w14:paraId="7F25143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三氯乙烯</w:t>
            </w:r>
          </w:p>
        </w:tc>
        <w:tc>
          <w:tcPr>
            <w:tcW w:w="1633" w:type="pct"/>
            <w:vAlign w:val="center"/>
          </w:tcPr>
          <w:p w14:paraId="4C84DF7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w:t>
            </w:r>
          </w:p>
        </w:tc>
        <w:tc>
          <w:tcPr>
            <w:tcW w:w="1453" w:type="pct"/>
            <w:vAlign w:val="center"/>
          </w:tcPr>
          <w:p w14:paraId="207CAFB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w:t>
            </w:r>
          </w:p>
        </w:tc>
      </w:tr>
      <w:tr w:rsidR="003E78AB" w14:paraId="14A5F797" w14:textId="77777777">
        <w:trPr>
          <w:trHeight w:val="283"/>
        </w:trPr>
        <w:tc>
          <w:tcPr>
            <w:tcW w:w="393" w:type="pct"/>
            <w:vAlign w:val="center"/>
          </w:tcPr>
          <w:p w14:paraId="1608700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25</w:t>
            </w:r>
          </w:p>
        </w:tc>
        <w:tc>
          <w:tcPr>
            <w:tcW w:w="1518" w:type="pct"/>
            <w:vAlign w:val="center"/>
          </w:tcPr>
          <w:p w14:paraId="5CBD8AD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三氯丙烷</w:t>
            </w:r>
          </w:p>
        </w:tc>
        <w:tc>
          <w:tcPr>
            <w:tcW w:w="1633" w:type="pct"/>
            <w:vAlign w:val="center"/>
          </w:tcPr>
          <w:p w14:paraId="6E832D1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w:t>
            </w:r>
          </w:p>
        </w:tc>
        <w:tc>
          <w:tcPr>
            <w:tcW w:w="1453" w:type="pct"/>
            <w:vAlign w:val="center"/>
          </w:tcPr>
          <w:p w14:paraId="3965E24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r>
      <w:tr w:rsidR="003E78AB" w14:paraId="6FCF0DE5" w14:textId="77777777">
        <w:trPr>
          <w:trHeight w:val="283"/>
        </w:trPr>
        <w:tc>
          <w:tcPr>
            <w:tcW w:w="393" w:type="pct"/>
            <w:vAlign w:val="center"/>
          </w:tcPr>
          <w:p w14:paraId="3E1807C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26</w:t>
            </w:r>
          </w:p>
        </w:tc>
        <w:tc>
          <w:tcPr>
            <w:tcW w:w="1518" w:type="pct"/>
            <w:vAlign w:val="center"/>
          </w:tcPr>
          <w:p w14:paraId="3AEEAE9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氯乙烯</w:t>
            </w:r>
          </w:p>
        </w:tc>
        <w:tc>
          <w:tcPr>
            <w:tcW w:w="1633" w:type="pct"/>
            <w:vAlign w:val="center"/>
          </w:tcPr>
          <w:p w14:paraId="71AD90A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0.43</w:t>
            </w:r>
          </w:p>
        </w:tc>
        <w:tc>
          <w:tcPr>
            <w:tcW w:w="1453" w:type="pct"/>
            <w:vAlign w:val="center"/>
          </w:tcPr>
          <w:p w14:paraId="2A934BC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4.3</w:t>
            </w:r>
          </w:p>
        </w:tc>
      </w:tr>
      <w:tr w:rsidR="003E78AB" w14:paraId="75ECEA5D" w14:textId="77777777">
        <w:trPr>
          <w:trHeight w:val="283"/>
        </w:trPr>
        <w:tc>
          <w:tcPr>
            <w:tcW w:w="393" w:type="pct"/>
            <w:vAlign w:val="center"/>
          </w:tcPr>
          <w:p w14:paraId="75550D0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27</w:t>
            </w:r>
          </w:p>
        </w:tc>
        <w:tc>
          <w:tcPr>
            <w:tcW w:w="1518" w:type="pct"/>
            <w:vAlign w:val="center"/>
          </w:tcPr>
          <w:p w14:paraId="5AE131F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w:t>
            </w:r>
          </w:p>
        </w:tc>
        <w:tc>
          <w:tcPr>
            <w:tcW w:w="1633" w:type="pct"/>
            <w:vAlign w:val="center"/>
          </w:tcPr>
          <w:p w14:paraId="0C47812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1453" w:type="pct"/>
            <w:vAlign w:val="center"/>
          </w:tcPr>
          <w:p w14:paraId="2E33025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40</w:t>
            </w:r>
          </w:p>
        </w:tc>
      </w:tr>
      <w:tr w:rsidR="003E78AB" w14:paraId="14BDCD27" w14:textId="77777777">
        <w:trPr>
          <w:trHeight w:val="283"/>
        </w:trPr>
        <w:tc>
          <w:tcPr>
            <w:tcW w:w="393" w:type="pct"/>
            <w:vAlign w:val="center"/>
          </w:tcPr>
          <w:p w14:paraId="1CE7E52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w:t>
            </w:r>
          </w:p>
        </w:tc>
        <w:tc>
          <w:tcPr>
            <w:tcW w:w="1518" w:type="pct"/>
            <w:vAlign w:val="center"/>
          </w:tcPr>
          <w:p w14:paraId="074FBEB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氯苯</w:t>
            </w:r>
          </w:p>
        </w:tc>
        <w:tc>
          <w:tcPr>
            <w:tcW w:w="1633" w:type="pct"/>
            <w:vAlign w:val="center"/>
          </w:tcPr>
          <w:p w14:paraId="19539A3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270</w:t>
            </w:r>
          </w:p>
        </w:tc>
        <w:tc>
          <w:tcPr>
            <w:tcW w:w="1453" w:type="pct"/>
            <w:vAlign w:val="center"/>
          </w:tcPr>
          <w:p w14:paraId="37500AD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1000</w:t>
            </w:r>
          </w:p>
        </w:tc>
      </w:tr>
      <w:tr w:rsidR="003E78AB" w14:paraId="47DB1FEA" w14:textId="77777777">
        <w:trPr>
          <w:trHeight w:val="283"/>
        </w:trPr>
        <w:tc>
          <w:tcPr>
            <w:tcW w:w="393" w:type="pct"/>
            <w:vAlign w:val="center"/>
          </w:tcPr>
          <w:p w14:paraId="5074173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29</w:t>
            </w:r>
          </w:p>
        </w:tc>
        <w:tc>
          <w:tcPr>
            <w:tcW w:w="1518" w:type="pct"/>
            <w:vAlign w:val="center"/>
          </w:tcPr>
          <w:p w14:paraId="10ABDF8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二氯苯</w:t>
            </w:r>
          </w:p>
        </w:tc>
        <w:tc>
          <w:tcPr>
            <w:tcW w:w="1633" w:type="pct"/>
            <w:vAlign w:val="center"/>
          </w:tcPr>
          <w:p w14:paraId="2CAB985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560</w:t>
            </w:r>
          </w:p>
        </w:tc>
        <w:tc>
          <w:tcPr>
            <w:tcW w:w="1453" w:type="pct"/>
            <w:vAlign w:val="center"/>
          </w:tcPr>
          <w:p w14:paraId="4DFEED1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560</w:t>
            </w:r>
          </w:p>
        </w:tc>
      </w:tr>
      <w:tr w:rsidR="003E78AB" w14:paraId="024BA726" w14:textId="77777777">
        <w:trPr>
          <w:trHeight w:val="283"/>
        </w:trPr>
        <w:tc>
          <w:tcPr>
            <w:tcW w:w="393" w:type="pct"/>
            <w:vAlign w:val="center"/>
          </w:tcPr>
          <w:p w14:paraId="3C643E8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30</w:t>
            </w:r>
          </w:p>
        </w:tc>
        <w:tc>
          <w:tcPr>
            <w:tcW w:w="1518" w:type="pct"/>
            <w:vAlign w:val="center"/>
          </w:tcPr>
          <w:p w14:paraId="6CC0B2A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二氯苯</w:t>
            </w:r>
          </w:p>
        </w:tc>
        <w:tc>
          <w:tcPr>
            <w:tcW w:w="1633" w:type="pct"/>
            <w:vAlign w:val="center"/>
          </w:tcPr>
          <w:p w14:paraId="3792FED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w:t>
            </w:r>
          </w:p>
        </w:tc>
        <w:tc>
          <w:tcPr>
            <w:tcW w:w="1453" w:type="pct"/>
            <w:vAlign w:val="center"/>
          </w:tcPr>
          <w:p w14:paraId="1D48860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w:t>
            </w:r>
          </w:p>
        </w:tc>
      </w:tr>
      <w:tr w:rsidR="003E78AB" w14:paraId="4D4269D3" w14:textId="77777777">
        <w:trPr>
          <w:trHeight w:val="283"/>
        </w:trPr>
        <w:tc>
          <w:tcPr>
            <w:tcW w:w="393" w:type="pct"/>
            <w:vAlign w:val="center"/>
          </w:tcPr>
          <w:p w14:paraId="2B580B0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31</w:t>
            </w:r>
          </w:p>
        </w:tc>
        <w:tc>
          <w:tcPr>
            <w:tcW w:w="1518" w:type="pct"/>
            <w:vAlign w:val="center"/>
          </w:tcPr>
          <w:p w14:paraId="6BAC34E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乙苯</w:t>
            </w:r>
          </w:p>
        </w:tc>
        <w:tc>
          <w:tcPr>
            <w:tcW w:w="1633" w:type="pct"/>
            <w:vAlign w:val="center"/>
          </w:tcPr>
          <w:p w14:paraId="4875A01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w:t>
            </w:r>
          </w:p>
        </w:tc>
        <w:tc>
          <w:tcPr>
            <w:tcW w:w="1453" w:type="pct"/>
            <w:vAlign w:val="center"/>
          </w:tcPr>
          <w:p w14:paraId="638A574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280</w:t>
            </w:r>
          </w:p>
        </w:tc>
      </w:tr>
      <w:tr w:rsidR="003E78AB" w14:paraId="3EBCFE41" w14:textId="77777777">
        <w:trPr>
          <w:trHeight w:val="283"/>
        </w:trPr>
        <w:tc>
          <w:tcPr>
            <w:tcW w:w="393" w:type="pct"/>
            <w:vAlign w:val="center"/>
          </w:tcPr>
          <w:p w14:paraId="07E29E3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32</w:t>
            </w:r>
          </w:p>
        </w:tc>
        <w:tc>
          <w:tcPr>
            <w:tcW w:w="1518" w:type="pct"/>
            <w:vAlign w:val="center"/>
          </w:tcPr>
          <w:p w14:paraId="1BDD7B2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苯乙烯</w:t>
            </w:r>
          </w:p>
        </w:tc>
        <w:tc>
          <w:tcPr>
            <w:tcW w:w="1633" w:type="pct"/>
            <w:vAlign w:val="center"/>
          </w:tcPr>
          <w:p w14:paraId="1ACA5DB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1290</w:t>
            </w:r>
          </w:p>
        </w:tc>
        <w:tc>
          <w:tcPr>
            <w:tcW w:w="1453" w:type="pct"/>
            <w:vAlign w:val="center"/>
          </w:tcPr>
          <w:p w14:paraId="6079E11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1290</w:t>
            </w:r>
          </w:p>
        </w:tc>
      </w:tr>
      <w:tr w:rsidR="003E78AB" w14:paraId="5B0E71D8" w14:textId="77777777">
        <w:trPr>
          <w:trHeight w:val="283"/>
        </w:trPr>
        <w:tc>
          <w:tcPr>
            <w:tcW w:w="393" w:type="pct"/>
            <w:vAlign w:val="center"/>
          </w:tcPr>
          <w:p w14:paraId="7372E7B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33</w:t>
            </w:r>
          </w:p>
        </w:tc>
        <w:tc>
          <w:tcPr>
            <w:tcW w:w="1518" w:type="pct"/>
            <w:vAlign w:val="center"/>
          </w:tcPr>
          <w:p w14:paraId="1A304B1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甲苯</w:t>
            </w:r>
          </w:p>
        </w:tc>
        <w:tc>
          <w:tcPr>
            <w:tcW w:w="1633" w:type="pct"/>
            <w:vAlign w:val="center"/>
          </w:tcPr>
          <w:p w14:paraId="49BDBC0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1200</w:t>
            </w:r>
          </w:p>
        </w:tc>
        <w:tc>
          <w:tcPr>
            <w:tcW w:w="1453" w:type="pct"/>
            <w:vAlign w:val="center"/>
          </w:tcPr>
          <w:p w14:paraId="0EE3FA8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1200</w:t>
            </w:r>
          </w:p>
        </w:tc>
      </w:tr>
      <w:tr w:rsidR="003E78AB" w14:paraId="2B5D705F" w14:textId="77777777">
        <w:trPr>
          <w:trHeight w:val="283"/>
        </w:trPr>
        <w:tc>
          <w:tcPr>
            <w:tcW w:w="393" w:type="pct"/>
            <w:vAlign w:val="center"/>
          </w:tcPr>
          <w:p w14:paraId="543247C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34</w:t>
            </w:r>
          </w:p>
        </w:tc>
        <w:tc>
          <w:tcPr>
            <w:tcW w:w="1518" w:type="pct"/>
            <w:vAlign w:val="center"/>
          </w:tcPr>
          <w:p w14:paraId="27F8951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间二甲苯</w:t>
            </w:r>
            <w:r>
              <w:rPr>
                <w:rFonts w:ascii="Times New Roman" w:hAnsi="Times New Roman" w:cs="Times New Roman"/>
                <w:sz w:val="21"/>
                <w:szCs w:val="21"/>
              </w:rPr>
              <w:t>+</w:t>
            </w:r>
            <w:r>
              <w:rPr>
                <w:rFonts w:ascii="Times New Roman" w:hAnsi="Times New Roman" w:cs="Times New Roman"/>
                <w:sz w:val="21"/>
                <w:szCs w:val="21"/>
              </w:rPr>
              <w:t>对二甲苯</w:t>
            </w:r>
          </w:p>
        </w:tc>
        <w:tc>
          <w:tcPr>
            <w:tcW w:w="1633" w:type="pct"/>
            <w:vAlign w:val="center"/>
          </w:tcPr>
          <w:p w14:paraId="067CF14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570</w:t>
            </w:r>
          </w:p>
        </w:tc>
        <w:tc>
          <w:tcPr>
            <w:tcW w:w="1453" w:type="pct"/>
            <w:vAlign w:val="center"/>
          </w:tcPr>
          <w:p w14:paraId="0241A4D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570</w:t>
            </w:r>
          </w:p>
        </w:tc>
      </w:tr>
      <w:tr w:rsidR="003E78AB" w14:paraId="444F9E30" w14:textId="77777777">
        <w:trPr>
          <w:trHeight w:val="283"/>
        </w:trPr>
        <w:tc>
          <w:tcPr>
            <w:tcW w:w="393" w:type="pct"/>
            <w:vAlign w:val="center"/>
          </w:tcPr>
          <w:p w14:paraId="3AACC30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35</w:t>
            </w:r>
          </w:p>
        </w:tc>
        <w:tc>
          <w:tcPr>
            <w:tcW w:w="1518" w:type="pct"/>
            <w:tcBorders>
              <w:right w:val="single" w:sz="4" w:space="0" w:color="000000"/>
            </w:tcBorders>
            <w:vAlign w:val="center"/>
          </w:tcPr>
          <w:p w14:paraId="10C3D91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邻二甲苯</w:t>
            </w:r>
          </w:p>
        </w:tc>
        <w:tc>
          <w:tcPr>
            <w:tcW w:w="1633" w:type="pct"/>
            <w:tcBorders>
              <w:left w:val="single" w:sz="4" w:space="0" w:color="000000"/>
              <w:right w:val="single" w:sz="4" w:space="0" w:color="000000"/>
            </w:tcBorders>
            <w:vAlign w:val="center"/>
          </w:tcPr>
          <w:p w14:paraId="446B00A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640</w:t>
            </w:r>
          </w:p>
        </w:tc>
        <w:tc>
          <w:tcPr>
            <w:tcW w:w="1453" w:type="pct"/>
            <w:tcBorders>
              <w:left w:val="single" w:sz="4" w:space="0" w:color="000000"/>
            </w:tcBorders>
            <w:vAlign w:val="center"/>
          </w:tcPr>
          <w:p w14:paraId="58049ED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640</w:t>
            </w:r>
          </w:p>
        </w:tc>
      </w:tr>
      <w:tr w:rsidR="003E78AB" w14:paraId="4B3F0DA3" w14:textId="77777777">
        <w:trPr>
          <w:trHeight w:val="283"/>
        </w:trPr>
        <w:tc>
          <w:tcPr>
            <w:tcW w:w="393" w:type="pct"/>
            <w:vAlign w:val="center"/>
          </w:tcPr>
          <w:p w14:paraId="3D7474B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36</w:t>
            </w:r>
          </w:p>
        </w:tc>
        <w:tc>
          <w:tcPr>
            <w:tcW w:w="1518" w:type="pct"/>
            <w:vAlign w:val="center"/>
          </w:tcPr>
          <w:p w14:paraId="37AEBC8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硝基苯</w:t>
            </w:r>
          </w:p>
        </w:tc>
        <w:tc>
          <w:tcPr>
            <w:tcW w:w="1633" w:type="pct"/>
            <w:vAlign w:val="center"/>
          </w:tcPr>
          <w:p w14:paraId="4582EF9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76</w:t>
            </w:r>
          </w:p>
        </w:tc>
        <w:tc>
          <w:tcPr>
            <w:tcW w:w="1453" w:type="pct"/>
            <w:vAlign w:val="center"/>
          </w:tcPr>
          <w:p w14:paraId="4B2E535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760</w:t>
            </w:r>
          </w:p>
        </w:tc>
      </w:tr>
      <w:tr w:rsidR="003E78AB" w14:paraId="67078A36" w14:textId="77777777">
        <w:trPr>
          <w:trHeight w:val="283"/>
        </w:trPr>
        <w:tc>
          <w:tcPr>
            <w:tcW w:w="393" w:type="pct"/>
            <w:vAlign w:val="center"/>
          </w:tcPr>
          <w:p w14:paraId="4CFAFD6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37</w:t>
            </w:r>
          </w:p>
        </w:tc>
        <w:tc>
          <w:tcPr>
            <w:tcW w:w="1518" w:type="pct"/>
            <w:vAlign w:val="center"/>
          </w:tcPr>
          <w:p w14:paraId="53D94F4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苯胺</w:t>
            </w:r>
          </w:p>
        </w:tc>
        <w:tc>
          <w:tcPr>
            <w:tcW w:w="1633" w:type="pct"/>
            <w:vAlign w:val="center"/>
          </w:tcPr>
          <w:p w14:paraId="52C373B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260</w:t>
            </w:r>
          </w:p>
        </w:tc>
        <w:tc>
          <w:tcPr>
            <w:tcW w:w="1453" w:type="pct"/>
            <w:vAlign w:val="center"/>
          </w:tcPr>
          <w:p w14:paraId="2F3A34C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663</w:t>
            </w:r>
          </w:p>
        </w:tc>
      </w:tr>
      <w:tr w:rsidR="003E78AB" w14:paraId="0EC596BF" w14:textId="77777777">
        <w:trPr>
          <w:trHeight w:val="283"/>
        </w:trPr>
        <w:tc>
          <w:tcPr>
            <w:tcW w:w="393" w:type="pct"/>
            <w:vAlign w:val="center"/>
          </w:tcPr>
          <w:p w14:paraId="274E243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38</w:t>
            </w:r>
          </w:p>
        </w:tc>
        <w:tc>
          <w:tcPr>
            <w:tcW w:w="1518" w:type="pct"/>
            <w:vAlign w:val="center"/>
          </w:tcPr>
          <w:p w14:paraId="7BD1243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氯酚</w:t>
            </w:r>
          </w:p>
        </w:tc>
        <w:tc>
          <w:tcPr>
            <w:tcW w:w="1633" w:type="pct"/>
            <w:vAlign w:val="center"/>
          </w:tcPr>
          <w:p w14:paraId="2166DC3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2256</w:t>
            </w:r>
          </w:p>
        </w:tc>
        <w:tc>
          <w:tcPr>
            <w:tcW w:w="1453" w:type="pct"/>
            <w:vAlign w:val="center"/>
          </w:tcPr>
          <w:p w14:paraId="021C326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4500</w:t>
            </w:r>
          </w:p>
        </w:tc>
      </w:tr>
      <w:tr w:rsidR="003E78AB" w14:paraId="057E25B4" w14:textId="77777777">
        <w:trPr>
          <w:trHeight w:val="283"/>
        </w:trPr>
        <w:tc>
          <w:tcPr>
            <w:tcW w:w="393" w:type="pct"/>
            <w:vAlign w:val="center"/>
          </w:tcPr>
          <w:p w14:paraId="4D34D94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39</w:t>
            </w:r>
          </w:p>
        </w:tc>
        <w:tc>
          <w:tcPr>
            <w:tcW w:w="1518" w:type="pct"/>
            <w:vAlign w:val="center"/>
          </w:tcPr>
          <w:p w14:paraId="7F7F887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蒽</w:t>
            </w:r>
          </w:p>
        </w:tc>
        <w:tc>
          <w:tcPr>
            <w:tcW w:w="1633" w:type="pct"/>
            <w:vAlign w:val="center"/>
          </w:tcPr>
          <w:p w14:paraId="5AA37F7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c>
          <w:tcPr>
            <w:tcW w:w="1453" w:type="pct"/>
            <w:vAlign w:val="center"/>
          </w:tcPr>
          <w:p w14:paraId="4D5D0B0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151</w:t>
            </w:r>
          </w:p>
        </w:tc>
      </w:tr>
      <w:tr w:rsidR="003E78AB" w14:paraId="78BB91C3" w14:textId="77777777">
        <w:trPr>
          <w:trHeight w:val="283"/>
        </w:trPr>
        <w:tc>
          <w:tcPr>
            <w:tcW w:w="393" w:type="pct"/>
            <w:vAlign w:val="center"/>
          </w:tcPr>
          <w:p w14:paraId="5379296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40</w:t>
            </w:r>
          </w:p>
        </w:tc>
        <w:tc>
          <w:tcPr>
            <w:tcW w:w="1518" w:type="pct"/>
            <w:vAlign w:val="center"/>
          </w:tcPr>
          <w:p w14:paraId="6A364B6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芘</w:t>
            </w:r>
          </w:p>
        </w:tc>
        <w:tc>
          <w:tcPr>
            <w:tcW w:w="1633" w:type="pct"/>
            <w:vAlign w:val="center"/>
          </w:tcPr>
          <w:p w14:paraId="3FF7995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c>
          <w:tcPr>
            <w:tcW w:w="1453" w:type="pct"/>
            <w:vAlign w:val="center"/>
          </w:tcPr>
          <w:p w14:paraId="18C2802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r>
      <w:tr w:rsidR="003E78AB" w14:paraId="0940BB4B" w14:textId="77777777">
        <w:trPr>
          <w:trHeight w:val="283"/>
        </w:trPr>
        <w:tc>
          <w:tcPr>
            <w:tcW w:w="393" w:type="pct"/>
            <w:vAlign w:val="center"/>
          </w:tcPr>
          <w:p w14:paraId="4ED3E31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41</w:t>
            </w:r>
          </w:p>
        </w:tc>
        <w:tc>
          <w:tcPr>
            <w:tcW w:w="1518" w:type="pct"/>
            <w:vAlign w:val="center"/>
          </w:tcPr>
          <w:p w14:paraId="31BCEAB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荧蒽</w:t>
            </w:r>
          </w:p>
        </w:tc>
        <w:tc>
          <w:tcPr>
            <w:tcW w:w="1633" w:type="pct"/>
            <w:vAlign w:val="center"/>
          </w:tcPr>
          <w:p w14:paraId="378528C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c>
          <w:tcPr>
            <w:tcW w:w="1453" w:type="pct"/>
            <w:vAlign w:val="center"/>
          </w:tcPr>
          <w:p w14:paraId="0A7A19E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151</w:t>
            </w:r>
          </w:p>
        </w:tc>
      </w:tr>
      <w:tr w:rsidR="003E78AB" w14:paraId="63690981" w14:textId="77777777">
        <w:trPr>
          <w:trHeight w:val="283"/>
        </w:trPr>
        <w:tc>
          <w:tcPr>
            <w:tcW w:w="393" w:type="pct"/>
            <w:vAlign w:val="center"/>
          </w:tcPr>
          <w:p w14:paraId="135DCFD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42</w:t>
            </w:r>
          </w:p>
        </w:tc>
        <w:tc>
          <w:tcPr>
            <w:tcW w:w="1518" w:type="pct"/>
            <w:vAlign w:val="center"/>
          </w:tcPr>
          <w:p w14:paraId="10FB294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[k]</w:t>
            </w:r>
            <w:r>
              <w:rPr>
                <w:rFonts w:ascii="Times New Roman" w:hAnsi="Times New Roman" w:cs="Times New Roman"/>
                <w:sz w:val="21"/>
                <w:szCs w:val="21"/>
              </w:rPr>
              <w:t>荧蒽</w:t>
            </w:r>
          </w:p>
        </w:tc>
        <w:tc>
          <w:tcPr>
            <w:tcW w:w="1633" w:type="pct"/>
            <w:vAlign w:val="center"/>
          </w:tcPr>
          <w:p w14:paraId="0E6C194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151</w:t>
            </w:r>
          </w:p>
        </w:tc>
        <w:tc>
          <w:tcPr>
            <w:tcW w:w="1453" w:type="pct"/>
            <w:vAlign w:val="center"/>
          </w:tcPr>
          <w:p w14:paraId="6413B73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1500</w:t>
            </w:r>
          </w:p>
        </w:tc>
      </w:tr>
      <w:tr w:rsidR="003E78AB" w14:paraId="46781539" w14:textId="77777777">
        <w:trPr>
          <w:trHeight w:val="283"/>
        </w:trPr>
        <w:tc>
          <w:tcPr>
            <w:tcW w:w="393" w:type="pct"/>
            <w:vAlign w:val="center"/>
          </w:tcPr>
          <w:p w14:paraId="4F9E871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43</w:t>
            </w:r>
          </w:p>
        </w:tc>
        <w:tc>
          <w:tcPr>
            <w:tcW w:w="1518" w:type="pct"/>
            <w:vAlign w:val="center"/>
          </w:tcPr>
          <w:p w14:paraId="0FB2109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䓛</w:t>
            </w:r>
          </w:p>
        </w:tc>
        <w:tc>
          <w:tcPr>
            <w:tcW w:w="1633" w:type="pct"/>
            <w:vAlign w:val="center"/>
          </w:tcPr>
          <w:p w14:paraId="3D326AE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1293</w:t>
            </w:r>
          </w:p>
        </w:tc>
        <w:tc>
          <w:tcPr>
            <w:tcW w:w="1453" w:type="pct"/>
            <w:vAlign w:val="center"/>
          </w:tcPr>
          <w:p w14:paraId="523B42A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12900</w:t>
            </w:r>
          </w:p>
        </w:tc>
      </w:tr>
      <w:tr w:rsidR="003E78AB" w14:paraId="3E4B92B3" w14:textId="77777777">
        <w:trPr>
          <w:trHeight w:val="283"/>
        </w:trPr>
        <w:tc>
          <w:tcPr>
            <w:tcW w:w="393" w:type="pct"/>
            <w:vAlign w:val="center"/>
          </w:tcPr>
          <w:p w14:paraId="07D2F36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44</w:t>
            </w:r>
          </w:p>
        </w:tc>
        <w:tc>
          <w:tcPr>
            <w:tcW w:w="1518" w:type="pct"/>
            <w:vAlign w:val="center"/>
          </w:tcPr>
          <w:p w14:paraId="42D0FCD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二苯并</w:t>
            </w:r>
            <w:r>
              <w:rPr>
                <w:rFonts w:ascii="Times New Roman" w:hAnsi="Times New Roman" w:cs="Times New Roman"/>
                <w:sz w:val="21"/>
                <w:szCs w:val="21"/>
              </w:rPr>
              <w:t>[a]</w:t>
            </w:r>
            <w:r>
              <w:rPr>
                <w:rFonts w:ascii="Times New Roman" w:hAnsi="Times New Roman" w:cs="Times New Roman"/>
                <w:sz w:val="21"/>
                <w:szCs w:val="21"/>
              </w:rPr>
              <w:t>蒽</w:t>
            </w:r>
          </w:p>
        </w:tc>
        <w:tc>
          <w:tcPr>
            <w:tcW w:w="1633" w:type="pct"/>
            <w:vAlign w:val="center"/>
          </w:tcPr>
          <w:p w14:paraId="66802A4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c>
          <w:tcPr>
            <w:tcW w:w="1453" w:type="pct"/>
            <w:vAlign w:val="center"/>
          </w:tcPr>
          <w:p w14:paraId="5DE1E64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r>
      <w:tr w:rsidR="003E78AB" w14:paraId="65F928BF" w14:textId="77777777">
        <w:trPr>
          <w:trHeight w:val="283"/>
        </w:trPr>
        <w:tc>
          <w:tcPr>
            <w:tcW w:w="393" w:type="pct"/>
            <w:vAlign w:val="center"/>
          </w:tcPr>
          <w:p w14:paraId="7447A84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45</w:t>
            </w:r>
          </w:p>
        </w:tc>
        <w:tc>
          <w:tcPr>
            <w:tcW w:w="1518" w:type="pct"/>
            <w:vAlign w:val="center"/>
          </w:tcPr>
          <w:p w14:paraId="7C0EAD8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茚并</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w:t>
            </w:r>
            <w:r>
              <w:rPr>
                <w:rFonts w:ascii="Times New Roman" w:hAnsi="Times New Roman" w:cs="Times New Roman"/>
                <w:sz w:val="21"/>
                <w:szCs w:val="21"/>
              </w:rPr>
              <w:t>-cd]</w:t>
            </w:r>
            <w:r>
              <w:rPr>
                <w:rFonts w:ascii="Times New Roman" w:hAnsi="Times New Roman" w:cs="Times New Roman"/>
                <w:sz w:val="21"/>
                <w:szCs w:val="21"/>
              </w:rPr>
              <w:t>芘</w:t>
            </w:r>
          </w:p>
        </w:tc>
        <w:tc>
          <w:tcPr>
            <w:tcW w:w="1633" w:type="pct"/>
            <w:vAlign w:val="center"/>
          </w:tcPr>
          <w:p w14:paraId="5A245E9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w:t>
            </w:r>
          </w:p>
        </w:tc>
        <w:tc>
          <w:tcPr>
            <w:tcW w:w="1453" w:type="pct"/>
            <w:vAlign w:val="center"/>
          </w:tcPr>
          <w:p w14:paraId="404D065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151</w:t>
            </w:r>
          </w:p>
        </w:tc>
      </w:tr>
      <w:tr w:rsidR="003E78AB" w14:paraId="6F7AFB51" w14:textId="77777777">
        <w:trPr>
          <w:trHeight w:val="283"/>
        </w:trPr>
        <w:tc>
          <w:tcPr>
            <w:tcW w:w="393" w:type="pct"/>
            <w:vAlign w:val="center"/>
          </w:tcPr>
          <w:p w14:paraId="229D0BD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46</w:t>
            </w:r>
          </w:p>
        </w:tc>
        <w:tc>
          <w:tcPr>
            <w:tcW w:w="1518" w:type="pct"/>
            <w:vAlign w:val="center"/>
          </w:tcPr>
          <w:p w14:paraId="7DDD0D6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萘</w:t>
            </w:r>
          </w:p>
        </w:tc>
        <w:tc>
          <w:tcPr>
            <w:tcW w:w="1633" w:type="pct"/>
            <w:vAlign w:val="center"/>
          </w:tcPr>
          <w:p w14:paraId="245711E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70</w:t>
            </w:r>
          </w:p>
        </w:tc>
        <w:tc>
          <w:tcPr>
            <w:tcW w:w="1453" w:type="pct"/>
            <w:vAlign w:val="center"/>
          </w:tcPr>
          <w:p w14:paraId="3B560E9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700</w:t>
            </w:r>
          </w:p>
        </w:tc>
      </w:tr>
      <w:tr w:rsidR="003E78AB" w14:paraId="12CCD9DD" w14:textId="77777777">
        <w:trPr>
          <w:trHeight w:val="283"/>
        </w:trPr>
        <w:tc>
          <w:tcPr>
            <w:tcW w:w="393" w:type="pct"/>
            <w:vAlign w:val="center"/>
          </w:tcPr>
          <w:p w14:paraId="5C08364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47</w:t>
            </w:r>
          </w:p>
        </w:tc>
        <w:tc>
          <w:tcPr>
            <w:tcW w:w="1518" w:type="pct"/>
            <w:vAlign w:val="center"/>
          </w:tcPr>
          <w:p w14:paraId="42182D1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石油烃</w:t>
            </w:r>
          </w:p>
        </w:tc>
        <w:tc>
          <w:tcPr>
            <w:tcW w:w="1633" w:type="pct"/>
            <w:vAlign w:val="center"/>
          </w:tcPr>
          <w:p w14:paraId="3487CF7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4500</w:t>
            </w:r>
          </w:p>
        </w:tc>
        <w:tc>
          <w:tcPr>
            <w:tcW w:w="1453" w:type="pct"/>
            <w:vAlign w:val="center"/>
          </w:tcPr>
          <w:p w14:paraId="592F9DF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9000</w:t>
            </w:r>
          </w:p>
        </w:tc>
      </w:tr>
    </w:tbl>
    <w:p w14:paraId="57CEBCCA" w14:textId="77777777" w:rsidR="003E78AB" w:rsidRDefault="00010BF9">
      <w:pPr>
        <w:spacing w:line="360" w:lineRule="auto"/>
        <w:ind w:firstLineChars="0" w:firstLine="0"/>
        <w:outlineLvl w:val="2"/>
        <w:rPr>
          <w:b/>
          <w:kern w:val="2"/>
          <w:sz w:val="28"/>
          <w:szCs w:val="20"/>
        </w:rPr>
      </w:pPr>
      <w:r>
        <w:rPr>
          <w:b/>
          <w:kern w:val="2"/>
          <w:sz w:val="28"/>
          <w:szCs w:val="20"/>
        </w:rPr>
        <w:t>2.6.3</w:t>
      </w:r>
      <w:r>
        <w:rPr>
          <w:b/>
          <w:kern w:val="2"/>
          <w:sz w:val="28"/>
          <w:szCs w:val="20"/>
        </w:rPr>
        <w:t>污染物排放标准</w:t>
      </w:r>
    </w:p>
    <w:p w14:paraId="312D727E" w14:textId="77777777" w:rsidR="003E78AB" w:rsidRDefault="00010BF9">
      <w:pPr>
        <w:ind w:firstLine="480"/>
        <w:rPr>
          <w:kern w:val="2"/>
        </w:rPr>
      </w:pPr>
      <w:r>
        <w:rPr>
          <w:kern w:val="2"/>
        </w:rPr>
        <w:t>《钒工业污染物排放标准》</w:t>
      </w:r>
      <w:r>
        <w:rPr>
          <w:kern w:val="2"/>
        </w:rPr>
        <w:t>(GB26452-2011)</w:t>
      </w:r>
      <w:r>
        <w:rPr>
          <w:kern w:val="2"/>
        </w:rPr>
        <w:t>中钒工业企业的定义</w:t>
      </w:r>
      <w:r>
        <w:rPr>
          <w:kern w:val="2"/>
        </w:rPr>
        <w:t>“</w:t>
      </w:r>
      <w:r>
        <w:rPr>
          <w:kern w:val="2"/>
        </w:rPr>
        <w:t>指以钒渣、石煤、含钒固废或其他含钒二次资源为原料生产</w:t>
      </w:r>
      <w:r>
        <w:rPr>
          <w:kern w:val="2"/>
        </w:rPr>
        <w:t>V</w:t>
      </w:r>
      <w:r>
        <w:rPr>
          <w:kern w:val="2"/>
          <w:vertAlign w:val="subscript"/>
        </w:rPr>
        <w:t>2</w:t>
      </w:r>
      <w:r>
        <w:rPr>
          <w:kern w:val="2"/>
        </w:rPr>
        <w:t>O</w:t>
      </w:r>
      <w:r>
        <w:rPr>
          <w:kern w:val="2"/>
          <w:vertAlign w:val="subscript"/>
        </w:rPr>
        <w:t>3</w:t>
      </w:r>
      <w:r>
        <w:rPr>
          <w:kern w:val="2"/>
        </w:rPr>
        <w:t>、</w:t>
      </w:r>
      <w:r>
        <w:rPr>
          <w:kern w:val="2"/>
        </w:rPr>
        <w:t>V</w:t>
      </w:r>
      <w:r>
        <w:rPr>
          <w:kern w:val="2"/>
          <w:vertAlign w:val="subscript"/>
        </w:rPr>
        <w:t>2</w:t>
      </w:r>
      <w:r>
        <w:rPr>
          <w:kern w:val="2"/>
        </w:rPr>
        <w:t>O</w:t>
      </w:r>
      <w:r>
        <w:rPr>
          <w:kern w:val="2"/>
          <w:vertAlign w:val="subscript"/>
        </w:rPr>
        <w:t>5</w:t>
      </w:r>
      <w:r>
        <w:rPr>
          <w:kern w:val="2"/>
        </w:rPr>
        <w:t>等氧化钒的企业</w:t>
      </w:r>
      <w:r>
        <w:rPr>
          <w:kern w:val="2"/>
        </w:rPr>
        <w:t>”</w:t>
      </w:r>
      <w:r>
        <w:rPr>
          <w:kern w:val="2"/>
        </w:rPr>
        <w:t>，本项目采用</w:t>
      </w:r>
      <w:r>
        <w:rPr>
          <w:kern w:val="2"/>
        </w:rPr>
        <w:t>V</w:t>
      </w:r>
      <w:r>
        <w:rPr>
          <w:kern w:val="2"/>
          <w:vertAlign w:val="subscript"/>
        </w:rPr>
        <w:t>2</w:t>
      </w:r>
      <w:r>
        <w:rPr>
          <w:kern w:val="2"/>
        </w:rPr>
        <w:t>O</w:t>
      </w:r>
      <w:r>
        <w:rPr>
          <w:kern w:val="2"/>
          <w:vertAlign w:val="subscript"/>
        </w:rPr>
        <w:t>5</w:t>
      </w:r>
      <w:r>
        <w:rPr>
          <w:kern w:val="2"/>
        </w:rPr>
        <w:t>作为原料生产钒电解液，行业类别为国民经济行业分类（</w:t>
      </w:r>
      <w:r>
        <w:rPr>
          <w:kern w:val="2"/>
        </w:rPr>
        <w:t>GB/T4754-2017</w:t>
      </w:r>
      <w:r>
        <w:rPr>
          <w:kern w:val="2"/>
        </w:rPr>
        <w:t>）（按第</w:t>
      </w:r>
      <w:r>
        <w:rPr>
          <w:kern w:val="2"/>
        </w:rPr>
        <w:t>1</w:t>
      </w:r>
      <w:r>
        <w:rPr>
          <w:kern w:val="2"/>
        </w:rPr>
        <w:t>号修改单修订）中</w:t>
      </w:r>
      <w:r>
        <w:rPr>
          <w:kern w:val="2"/>
        </w:rPr>
        <w:t>“C2669</w:t>
      </w:r>
      <w:r>
        <w:rPr>
          <w:kern w:val="2"/>
        </w:rPr>
        <w:t>其他专用化学产品制造</w:t>
      </w:r>
      <w:r>
        <w:rPr>
          <w:kern w:val="2"/>
        </w:rPr>
        <w:t>”</w:t>
      </w:r>
      <w:r>
        <w:rPr>
          <w:kern w:val="2"/>
        </w:rPr>
        <w:t>类，不属于</w:t>
      </w:r>
      <w:r>
        <w:rPr>
          <w:kern w:val="2"/>
        </w:rPr>
        <w:t>GB26452</w:t>
      </w:r>
      <w:r>
        <w:rPr>
          <w:rFonts w:hint="eastAsia"/>
          <w:kern w:val="2"/>
        </w:rPr>
        <w:t>中规定的</w:t>
      </w:r>
      <w:r>
        <w:rPr>
          <w:kern w:val="2"/>
        </w:rPr>
        <w:t>钒工业企业。《无机化学工业污染物排放标准》（</w:t>
      </w:r>
      <w:r>
        <w:rPr>
          <w:kern w:val="2"/>
        </w:rPr>
        <w:t>GB31573-2015</w:t>
      </w:r>
      <w:r>
        <w:rPr>
          <w:kern w:val="2"/>
        </w:rPr>
        <w:t>）</w:t>
      </w:r>
      <w:r>
        <w:rPr>
          <w:rFonts w:hint="eastAsia"/>
          <w:kern w:val="2"/>
        </w:rPr>
        <w:t>的无机化学工业是指以天然资源和工业副产物为原料生产无机酸、碱、盐、氧化物、氢氧化物、过氧化物及单质化工产品的工业。包括涉重金属无机化合物工业。因此，</w:t>
      </w:r>
      <w:r>
        <w:rPr>
          <w:kern w:val="2"/>
        </w:rPr>
        <w:t>考虑项目工序及同类项目情况，</w:t>
      </w:r>
      <w:r>
        <w:rPr>
          <w:rFonts w:hint="eastAsia"/>
          <w:kern w:val="2"/>
        </w:rPr>
        <w:t>本项目执行</w:t>
      </w:r>
      <w:r>
        <w:rPr>
          <w:kern w:val="2"/>
        </w:rPr>
        <w:t>《无机化学工业污染物排放标准》（</w:t>
      </w:r>
      <w:r>
        <w:rPr>
          <w:kern w:val="2"/>
        </w:rPr>
        <w:t>GB31573-2015</w:t>
      </w:r>
      <w:r>
        <w:rPr>
          <w:kern w:val="2"/>
        </w:rPr>
        <w:t>）。</w:t>
      </w:r>
    </w:p>
    <w:p w14:paraId="378E0ED6" w14:textId="77777777" w:rsidR="003E78AB" w:rsidRDefault="00010BF9">
      <w:pPr>
        <w:ind w:firstLine="480"/>
        <w:rPr>
          <w:snapToGrid w:val="0"/>
        </w:rPr>
      </w:pPr>
      <w:r>
        <w:rPr>
          <w:snapToGrid w:val="0"/>
        </w:rPr>
        <w:t>（</w:t>
      </w:r>
      <w:r>
        <w:rPr>
          <w:snapToGrid w:val="0"/>
        </w:rPr>
        <w:t>1</w:t>
      </w:r>
      <w:r>
        <w:rPr>
          <w:snapToGrid w:val="0"/>
        </w:rPr>
        <w:t>）废气</w:t>
      </w:r>
    </w:p>
    <w:p w14:paraId="5FDBF105" w14:textId="77777777" w:rsidR="003E78AB" w:rsidRDefault="00010BF9">
      <w:pPr>
        <w:ind w:firstLine="480"/>
        <w:rPr>
          <w:snapToGrid w:val="0"/>
        </w:rPr>
      </w:pPr>
      <w:r>
        <w:rPr>
          <w:snapToGrid w:val="0"/>
        </w:rPr>
        <w:t>①</w:t>
      </w:r>
      <w:r>
        <w:rPr>
          <w:snapToGrid w:val="0"/>
        </w:rPr>
        <w:t>施工期大气污染物排放标准</w:t>
      </w:r>
    </w:p>
    <w:p w14:paraId="13BA3F63" w14:textId="77777777" w:rsidR="003E78AB" w:rsidRDefault="00010BF9">
      <w:pPr>
        <w:ind w:firstLine="480"/>
        <w:rPr>
          <w:snapToGrid w:val="0"/>
        </w:rPr>
      </w:pPr>
      <w:r>
        <w:rPr>
          <w:snapToGrid w:val="0"/>
        </w:rPr>
        <w:t>本项目施工期无组织扬尘排放执行《大气污染物综合排放标准》（</w:t>
      </w:r>
      <w:r>
        <w:rPr>
          <w:snapToGrid w:val="0"/>
        </w:rPr>
        <w:t>GB16297-1996</w:t>
      </w:r>
      <w:r>
        <w:rPr>
          <w:snapToGrid w:val="0"/>
        </w:rPr>
        <w:t>）中无组织排放监控浓度限值要求。具体见表</w:t>
      </w:r>
      <w:r>
        <w:rPr>
          <w:snapToGrid w:val="0"/>
        </w:rPr>
        <w:t>2.7-5</w:t>
      </w:r>
      <w:r>
        <w:rPr>
          <w:snapToGrid w:val="0"/>
        </w:rPr>
        <w:t>。</w:t>
      </w:r>
    </w:p>
    <w:p w14:paraId="6B1E6206" w14:textId="77777777" w:rsidR="003E78AB" w:rsidRDefault="00010BF9">
      <w:pPr>
        <w:pStyle w:val="a5"/>
      </w:pPr>
      <w:r>
        <w:t>《大气污染物综合排放标准》（摘录）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2861"/>
        <w:gridCol w:w="2800"/>
      </w:tblGrid>
      <w:tr w:rsidR="003E78AB" w14:paraId="1533F57F" w14:textId="77777777">
        <w:tc>
          <w:tcPr>
            <w:tcW w:w="1678" w:type="pct"/>
            <w:vAlign w:val="center"/>
          </w:tcPr>
          <w:p w14:paraId="07A36EB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rPr>
            </w:pPr>
            <w:r>
              <w:rPr>
                <w:rFonts w:ascii="Times New Roman" w:hAnsi="Times New Roman" w:cs="Times New Roman"/>
                <w:b/>
                <w:bCs/>
                <w:sz w:val="21"/>
                <w:szCs w:val="21"/>
              </w:rPr>
              <w:t>污染物名称</w:t>
            </w:r>
          </w:p>
        </w:tc>
        <w:tc>
          <w:tcPr>
            <w:tcW w:w="3321" w:type="pct"/>
            <w:gridSpan w:val="2"/>
            <w:vAlign w:val="center"/>
          </w:tcPr>
          <w:p w14:paraId="23DA9FD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rPr>
            </w:pPr>
            <w:r>
              <w:rPr>
                <w:rFonts w:ascii="Times New Roman" w:hAnsi="Times New Roman" w:cs="Times New Roman"/>
                <w:b/>
                <w:bCs/>
                <w:sz w:val="21"/>
                <w:szCs w:val="21"/>
              </w:rPr>
              <w:t>无组织排放监控浓度限值</w:t>
            </w:r>
          </w:p>
        </w:tc>
      </w:tr>
      <w:tr w:rsidR="003E78AB" w14:paraId="5F495058" w14:textId="77777777">
        <w:tc>
          <w:tcPr>
            <w:tcW w:w="1678" w:type="pct"/>
            <w:vMerge w:val="restart"/>
            <w:vAlign w:val="center"/>
          </w:tcPr>
          <w:p w14:paraId="055DC78E" w14:textId="77777777" w:rsidR="003E78AB" w:rsidRDefault="00010BF9">
            <w:pPr>
              <w:spacing w:line="360" w:lineRule="exact"/>
              <w:ind w:firstLineChars="0" w:firstLine="0"/>
              <w:jc w:val="center"/>
              <w:rPr>
                <w:kern w:val="2"/>
                <w:sz w:val="21"/>
                <w:szCs w:val="22"/>
              </w:rPr>
            </w:pPr>
            <w:r>
              <w:rPr>
                <w:kern w:val="2"/>
                <w:sz w:val="21"/>
                <w:szCs w:val="21"/>
              </w:rPr>
              <w:t>颗粒物</w:t>
            </w:r>
          </w:p>
        </w:tc>
        <w:tc>
          <w:tcPr>
            <w:tcW w:w="1678" w:type="pct"/>
            <w:vAlign w:val="center"/>
          </w:tcPr>
          <w:p w14:paraId="79BD51D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rPr>
            </w:pPr>
            <w:r>
              <w:rPr>
                <w:rFonts w:ascii="Times New Roman" w:hAnsi="Times New Roman" w:cs="Times New Roman"/>
                <w:b/>
                <w:bCs/>
                <w:sz w:val="21"/>
                <w:szCs w:val="21"/>
              </w:rPr>
              <w:t>监控点</w:t>
            </w:r>
          </w:p>
        </w:tc>
        <w:tc>
          <w:tcPr>
            <w:tcW w:w="1643" w:type="pct"/>
            <w:vAlign w:val="center"/>
          </w:tcPr>
          <w:p w14:paraId="6EF8F12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rPr>
            </w:pPr>
            <w:r>
              <w:rPr>
                <w:rFonts w:ascii="Times New Roman" w:hAnsi="Times New Roman" w:cs="Times New Roman"/>
                <w:b/>
                <w:bCs/>
                <w:sz w:val="21"/>
                <w:szCs w:val="21"/>
              </w:rPr>
              <w:t>浓度（</w:t>
            </w:r>
            <w:r>
              <w:rPr>
                <w:rFonts w:ascii="Times New Roman" w:hAnsi="Times New Roman" w:cs="Times New Roman"/>
                <w:b/>
                <w:bCs/>
                <w:sz w:val="21"/>
                <w:szCs w:val="21"/>
              </w:rPr>
              <w:t>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r>
      <w:tr w:rsidR="003E78AB" w14:paraId="0432DFB5" w14:textId="77777777">
        <w:tc>
          <w:tcPr>
            <w:tcW w:w="1678" w:type="pct"/>
            <w:vMerge/>
            <w:vAlign w:val="center"/>
          </w:tcPr>
          <w:p w14:paraId="1A9C29B2" w14:textId="77777777" w:rsidR="003E78AB" w:rsidRDefault="003E78AB">
            <w:pPr>
              <w:spacing w:line="360" w:lineRule="exact"/>
              <w:ind w:firstLineChars="0" w:firstLine="0"/>
              <w:jc w:val="center"/>
              <w:rPr>
                <w:kern w:val="2"/>
                <w:sz w:val="21"/>
                <w:szCs w:val="22"/>
              </w:rPr>
            </w:pPr>
          </w:p>
        </w:tc>
        <w:tc>
          <w:tcPr>
            <w:tcW w:w="1678" w:type="pct"/>
            <w:vAlign w:val="center"/>
          </w:tcPr>
          <w:p w14:paraId="73F8507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rPr>
            </w:pPr>
            <w:r>
              <w:rPr>
                <w:rFonts w:ascii="Times New Roman" w:hAnsi="Times New Roman" w:cs="Times New Roman"/>
                <w:sz w:val="21"/>
                <w:szCs w:val="21"/>
              </w:rPr>
              <w:t>周界外浓度最高点</w:t>
            </w:r>
          </w:p>
        </w:tc>
        <w:tc>
          <w:tcPr>
            <w:tcW w:w="1643" w:type="pct"/>
            <w:vAlign w:val="center"/>
          </w:tcPr>
          <w:p w14:paraId="1833543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rPr>
            </w:pPr>
            <w:r>
              <w:rPr>
                <w:rFonts w:ascii="Times New Roman" w:hAnsi="Times New Roman" w:cs="Times New Roman"/>
                <w:sz w:val="21"/>
                <w:szCs w:val="21"/>
              </w:rPr>
              <w:t>1.0</w:t>
            </w:r>
          </w:p>
        </w:tc>
      </w:tr>
    </w:tbl>
    <w:p w14:paraId="2EBCE3CB" w14:textId="77777777" w:rsidR="003E78AB" w:rsidRDefault="00010BF9">
      <w:pPr>
        <w:ind w:firstLine="480"/>
        <w:rPr>
          <w:kern w:val="2"/>
        </w:rPr>
      </w:pPr>
      <w:r>
        <w:rPr>
          <w:kern w:val="2"/>
        </w:rPr>
        <w:t>②</w:t>
      </w:r>
      <w:r>
        <w:rPr>
          <w:kern w:val="2"/>
        </w:rPr>
        <w:t>运营期大气污染物排放标准</w:t>
      </w:r>
    </w:p>
    <w:p w14:paraId="1F7BAFB3" w14:textId="77777777" w:rsidR="003E78AB" w:rsidRDefault="00010BF9">
      <w:pPr>
        <w:ind w:firstLine="480"/>
        <w:rPr>
          <w:kern w:val="2"/>
        </w:rPr>
      </w:pPr>
      <w:r>
        <w:rPr>
          <w:kern w:val="2"/>
        </w:rPr>
        <w:t>颗粒物、硫酸雾</w:t>
      </w:r>
      <w:bookmarkStart w:id="136" w:name="OLE_LINK14"/>
      <w:r>
        <w:rPr>
          <w:rFonts w:hint="eastAsia"/>
          <w:kern w:val="2"/>
        </w:rPr>
        <w:t>执行</w:t>
      </w:r>
      <w:r>
        <w:rPr>
          <w:kern w:val="2"/>
        </w:rPr>
        <w:t>《</w:t>
      </w:r>
      <w:bookmarkStart w:id="137" w:name="OLE_LINK13"/>
      <w:r>
        <w:rPr>
          <w:kern w:val="2"/>
        </w:rPr>
        <w:t>无机化学工业污染物排放标准》（</w:t>
      </w:r>
      <w:r>
        <w:rPr>
          <w:kern w:val="2"/>
        </w:rPr>
        <w:t>GB31573-2015</w:t>
      </w:r>
      <w:r>
        <w:rPr>
          <w:kern w:val="2"/>
        </w:rPr>
        <w:t>）</w:t>
      </w:r>
      <w:bookmarkEnd w:id="136"/>
      <w:bookmarkEnd w:id="137"/>
      <w:r>
        <w:rPr>
          <w:rFonts w:hint="eastAsia"/>
          <w:kern w:val="2"/>
        </w:rPr>
        <w:t>表</w:t>
      </w:r>
      <w:r>
        <w:rPr>
          <w:rFonts w:hint="eastAsia"/>
          <w:kern w:val="2"/>
        </w:rPr>
        <w:t>3</w:t>
      </w:r>
      <w:r>
        <w:rPr>
          <w:kern w:val="2"/>
        </w:rPr>
        <w:t>。</w:t>
      </w:r>
      <w:r>
        <w:rPr>
          <w:rFonts w:hint="eastAsia"/>
        </w:rPr>
        <w:t>VOCs</w:t>
      </w:r>
      <w:r>
        <w:rPr>
          <w:rFonts w:hint="eastAsia"/>
        </w:rPr>
        <w:t>执行</w:t>
      </w:r>
      <w:r>
        <w:rPr>
          <w:kern w:val="2"/>
        </w:rPr>
        <w:t>《挥发性有机物无组织排放控制标准（试行）》（</w:t>
      </w:r>
      <w:r>
        <w:rPr>
          <w:kern w:val="2"/>
        </w:rPr>
        <w:t>GB37822-2019</w:t>
      </w:r>
      <w:r>
        <w:rPr>
          <w:kern w:val="2"/>
        </w:rPr>
        <w:t>）</w:t>
      </w:r>
      <w:r>
        <w:t>。</w:t>
      </w:r>
      <w:r>
        <w:rPr>
          <w:kern w:val="2"/>
        </w:rPr>
        <w:t>燃气锅炉（燃料为天然气）二氧化硫、颗粒物</w:t>
      </w:r>
      <w:r>
        <w:t>排放执行</w:t>
      </w:r>
      <w:bookmarkStart w:id="138" w:name="OLE_LINK11"/>
      <w:r>
        <w:t>《锅炉大气污染物排放标准》（</w:t>
      </w:r>
      <w:r>
        <w:t>GB13271-2014</w:t>
      </w:r>
      <w:r>
        <w:t>）</w:t>
      </w:r>
      <w:bookmarkEnd w:id="138"/>
      <w:r>
        <w:t>表</w:t>
      </w:r>
      <w:r>
        <w:t>2</w:t>
      </w:r>
      <w:r>
        <w:t>新建锅炉大气污染物排放限值，氮氧化物执行《关于开展自治区</w:t>
      </w:r>
      <w:r>
        <w:t>2022</w:t>
      </w:r>
      <w:r>
        <w:t>年度夏秋季大气污染防治</w:t>
      </w:r>
      <w:r>
        <w:t>“</w:t>
      </w:r>
      <w:r>
        <w:t>冬病夏治</w:t>
      </w:r>
      <w:r>
        <w:t>”</w:t>
      </w:r>
      <w:r>
        <w:t>工作的通知》（新环大气函</w:t>
      </w:r>
      <w:bookmarkStart w:id="139" w:name="OLE_LINK16"/>
      <w:r>
        <w:t>〔</w:t>
      </w:r>
      <w:r>
        <w:t>2022</w:t>
      </w:r>
      <w:r>
        <w:t>〕</w:t>
      </w:r>
      <w:bookmarkEnd w:id="139"/>
      <w:r>
        <w:t>483</w:t>
      </w:r>
      <w:r>
        <w:t>号）中</w:t>
      </w:r>
      <w:r>
        <w:t>50</w:t>
      </w:r>
      <w:r>
        <w:rPr>
          <w:kern w:val="2"/>
        </w:rPr>
        <w:t>mg/m</w:t>
      </w:r>
      <w:r>
        <w:rPr>
          <w:kern w:val="2"/>
          <w:vertAlign w:val="superscript"/>
        </w:rPr>
        <w:t>3</w:t>
      </w:r>
      <w:r>
        <w:t>限值要求。</w:t>
      </w:r>
    </w:p>
    <w:p w14:paraId="67102E68" w14:textId="77777777" w:rsidR="003E78AB" w:rsidRDefault="00010BF9">
      <w:pPr>
        <w:ind w:firstLine="480"/>
        <w:rPr>
          <w:kern w:val="2"/>
        </w:rPr>
      </w:pPr>
      <w:r>
        <w:rPr>
          <w:kern w:val="2"/>
        </w:rPr>
        <w:t>详见表</w:t>
      </w:r>
      <w:r>
        <w:rPr>
          <w:kern w:val="2"/>
        </w:rPr>
        <w:t>2-33</w:t>
      </w:r>
      <w:r>
        <w:rPr>
          <w:kern w:val="2"/>
        </w:rPr>
        <w:t>。</w:t>
      </w:r>
    </w:p>
    <w:p w14:paraId="72D13773" w14:textId="77777777" w:rsidR="003E78AB" w:rsidRDefault="00010BF9">
      <w:pPr>
        <w:pStyle w:val="a5"/>
      </w:pPr>
      <w:r>
        <w:t>大气污染物排放标准</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8"/>
        <w:gridCol w:w="459"/>
        <w:gridCol w:w="1162"/>
        <w:gridCol w:w="1104"/>
        <w:gridCol w:w="1162"/>
        <w:gridCol w:w="807"/>
        <w:gridCol w:w="863"/>
        <w:gridCol w:w="2466"/>
      </w:tblGrid>
      <w:tr w:rsidR="003E78AB" w14:paraId="6080544C" w14:textId="77777777">
        <w:trPr>
          <w:trHeight w:val="283"/>
          <w:tblHeader/>
        </w:trPr>
        <w:tc>
          <w:tcPr>
            <w:tcW w:w="230" w:type="pct"/>
            <w:vMerge w:val="restart"/>
            <w:vAlign w:val="center"/>
          </w:tcPr>
          <w:p w14:paraId="5F4937A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73" w:type="pct"/>
            <w:vMerge w:val="restart"/>
            <w:vAlign w:val="center"/>
          </w:tcPr>
          <w:p w14:paraId="16E8EBB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排放形式</w:t>
            </w:r>
          </w:p>
        </w:tc>
        <w:tc>
          <w:tcPr>
            <w:tcW w:w="690" w:type="pct"/>
            <w:vMerge w:val="restart"/>
            <w:vAlign w:val="center"/>
          </w:tcPr>
          <w:p w14:paraId="00A6BFF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污染因子</w:t>
            </w:r>
          </w:p>
        </w:tc>
        <w:tc>
          <w:tcPr>
            <w:tcW w:w="655" w:type="pct"/>
            <w:vMerge w:val="restart"/>
            <w:vAlign w:val="center"/>
          </w:tcPr>
          <w:p w14:paraId="181F385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产污环节</w:t>
            </w:r>
            <w:r>
              <w:rPr>
                <w:rFonts w:ascii="Times New Roman" w:hAnsi="Times New Roman" w:cs="Times New Roman"/>
                <w:b/>
                <w:bCs/>
                <w:sz w:val="21"/>
                <w:szCs w:val="21"/>
              </w:rPr>
              <w:t>/</w:t>
            </w:r>
            <w:r>
              <w:rPr>
                <w:rFonts w:ascii="Times New Roman" w:hAnsi="Times New Roman" w:cs="Times New Roman"/>
                <w:b/>
                <w:bCs/>
                <w:sz w:val="21"/>
                <w:szCs w:val="21"/>
              </w:rPr>
              <w:t>监控点</w:t>
            </w:r>
          </w:p>
        </w:tc>
        <w:tc>
          <w:tcPr>
            <w:tcW w:w="1683" w:type="pct"/>
            <w:gridSpan w:val="3"/>
            <w:vAlign w:val="center"/>
          </w:tcPr>
          <w:p w14:paraId="00C0C0F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排放标准</w:t>
            </w:r>
          </w:p>
        </w:tc>
        <w:tc>
          <w:tcPr>
            <w:tcW w:w="1465" w:type="pct"/>
            <w:vMerge w:val="restart"/>
            <w:vAlign w:val="center"/>
          </w:tcPr>
          <w:p w14:paraId="7DB6950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b/>
                <w:bCs/>
                <w:sz w:val="21"/>
                <w:szCs w:val="21"/>
              </w:rPr>
              <w:t>标准来源</w:t>
            </w:r>
          </w:p>
        </w:tc>
      </w:tr>
      <w:tr w:rsidR="003E78AB" w14:paraId="2470B7D2" w14:textId="77777777">
        <w:trPr>
          <w:trHeight w:val="283"/>
          <w:tblHeader/>
        </w:trPr>
        <w:tc>
          <w:tcPr>
            <w:tcW w:w="230" w:type="pct"/>
            <w:vMerge/>
            <w:vAlign w:val="center"/>
          </w:tcPr>
          <w:p w14:paraId="362EC319"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b/>
                <w:bCs/>
                <w:sz w:val="21"/>
                <w:szCs w:val="21"/>
              </w:rPr>
            </w:pPr>
          </w:p>
        </w:tc>
        <w:tc>
          <w:tcPr>
            <w:tcW w:w="273" w:type="pct"/>
            <w:vMerge/>
            <w:vAlign w:val="center"/>
          </w:tcPr>
          <w:p w14:paraId="3AFF679B"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b/>
                <w:bCs/>
                <w:sz w:val="21"/>
                <w:szCs w:val="21"/>
              </w:rPr>
            </w:pPr>
          </w:p>
        </w:tc>
        <w:tc>
          <w:tcPr>
            <w:tcW w:w="690" w:type="pct"/>
            <w:vMerge/>
            <w:vAlign w:val="center"/>
          </w:tcPr>
          <w:p w14:paraId="733670C2"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b/>
                <w:bCs/>
                <w:sz w:val="21"/>
                <w:szCs w:val="21"/>
              </w:rPr>
            </w:pPr>
          </w:p>
        </w:tc>
        <w:tc>
          <w:tcPr>
            <w:tcW w:w="655" w:type="pct"/>
            <w:vMerge/>
            <w:vAlign w:val="center"/>
          </w:tcPr>
          <w:p w14:paraId="0A90BF50"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b/>
                <w:bCs/>
                <w:sz w:val="21"/>
                <w:szCs w:val="21"/>
              </w:rPr>
            </w:pPr>
          </w:p>
        </w:tc>
        <w:tc>
          <w:tcPr>
            <w:tcW w:w="690" w:type="pct"/>
            <w:vAlign w:val="center"/>
          </w:tcPr>
          <w:p w14:paraId="6E0804D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分类</w:t>
            </w:r>
          </w:p>
        </w:tc>
        <w:tc>
          <w:tcPr>
            <w:tcW w:w="480" w:type="pct"/>
            <w:vAlign w:val="center"/>
          </w:tcPr>
          <w:p w14:paraId="44AF002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单位</w:t>
            </w:r>
          </w:p>
        </w:tc>
        <w:tc>
          <w:tcPr>
            <w:tcW w:w="511" w:type="pct"/>
            <w:vAlign w:val="center"/>
          </w:tcPr>
          <w:p w14:paraId="08A5B3C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标准值</w:t>
            </w:r>
          </w:p>
        </w:tc>
        <w:tc>
          <w:tcPr>
            <w:tcW w:w="1465" w:type="pct"/>
            <w:vMerge/>
            <w:vAlign w:val="center"/>
          </w:tcPr>
          <w:p w14:paraId="57EFC54B"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r>
      <w:tr w:rsidR="003E78AB" w14:paraId="76AD3340" w14:textId="77777777">
        <w:trPr>
          <w:trHeight w:val="90"/>
        </w:trPr>
        <w:tc>
          <w:tcPr>
            <w:tcW w:w="230" w:type="pct"/>
            <w:vAlign w:val="center"/>
          </w:tcPr>
          <w:p w14:paraId="1348CA8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273" w:type="pct"/>
            <w:vMerge w:val="restart"/>
            <w:vAlign w:val="center"/>
          </w:tcPr>
          <w:p w14:paraId="6A8DA12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有组织</w:t>
            </w:r>
          </w:p>
        </w:tc>
        <w:tc>
          <w:tcPr>
            <w:tcW w:w="690" w:type="pct"/>
            <w:vAlign w:val="center"/>
          </w:tcPr>
          <w:p w14:paraId="566D7E9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颗粒物</w:t>
            </w:r>
          </w:p>
        </w:tc>
        <w:tc>
          <w:tcPr>
            <w:tcW w:w="655" w:type="pct"/>
            <w:vAlign w:val="center"/>
          </w:tcPr>
          <w:p w14:paraId="419F0E2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拆包</w:t>
            </w:r>
          </w:p>
        </w:tc>
        <w:tc>
          <w:tcPr>
            <w:tcW w:w="690" w:type="pct"/>
            <w:vAlign w:val="center"/>
          </w:tcPr>
          <w:p w14:paraId="0DEE9BB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排放浓度</w:t>
            </w:r>
          </w:p>
        </w:tc>
        <w:tc>
          <w:tcPr>
            <w:tcW w:w="480" w:type="pct"/>
            <w:vAlign w:val="center"/>
          </w:tcPr>
          <w:p w14:paraId="15D8F2D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511" w:type="pct"/>
            <w:vAlign w:val="center"/>
          </w:tcPr>
          <w:p w14:paraId="3EE89B1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30</w:t>
            </w:r>
          </w:p>
        </w:tc>
        <w:tc>
          <w:tcPr>
            <w:tcW w:w="1465" w:type="pct"/>
            <w:vMerge w:val="restart"/>
            <w:vAlign w:val="center"/>
          </w:tcPr>
          <w:p w14:paraId="7C918BC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bookmarkStart w:id="140" w:name="OLE_LINK15"/>
            <w:r>
              <w:rPr>
                <w:rFonts w:ascii="Times New Roman" w:hAnsi="Times New Roman" w:cs="Times New Roman"/>
                <w:sz w:val="21"/>
                <w:szCs w:val="21"/>
              </w:rPr>
              <w:t>《无机化学工业污染物排放标准》（</w:t>
            </w:r>
            <w:r>
              <w:rPr>
                <w:rFonts w:ascii="Times New Roman" w:hAnsi="Times New Roman" w:cs="Times New Roman"/>
                <w:sz w:val="21"/>
                <w:szCs w:val="21"/>
              </w:rPr>
              <w:t>GB31573-2015</w:t>
            </w:r>
            <w:bookmarkEnd w:id="140"/>
            <w:r>
              <w:rPr>
                <w:rFonts w:ascii="Times New Roman" w:hAnsi="Times New Roman" w:cs="Times New Roman"/>
                <w:sz w:val="21"/>
                <w:szCs w:val="21"/>
              </w:rPr>
              <w:t>）</w:t>
            </w:r>
          </w:p>
        </w:tc>
      </w:tr>
      <w:tr w:rsidR="003E78AB" w14:paraId="276F690D" w14:textId="77777777">
        <w:trPr>
          <w:trHeight w:val="283"/>
        </w:trPr>
        <w:tc>
          <w:tcPr>
            <w:tcW w:w="230" w:type="pct"/>
            <w:vAlign w:val="center"/>
          </w:tcPr>
          <w:p w14:paraId="6D94212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273" w:type="pct"/>
            <w:vMerge/>
            <w:vAlign w:val="center"/>
          </w:tcPr>
          <w:p w14:paraId="66C8953B"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3811DDF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硫酸雾</w:t>
            </w:r>
          </w:p>
        </w:tc>
        <w:tc>
          <w:tcPr>
            <w:tcW w:w="655" w:type="pct"/>
            <w:vMerge w:val="restart"/>
            <w:vAlign w:val="center"/>
          </w:tcPr>
          <w:p w14:paraId="207D04E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工艺废气</w:t>
            </w:r>
          </w:p>
        </w:tc>
        <w:tc>
          <w:tcPr>
            <w:tcW w:w="690" w:type="pct"/>
            <w:vAlign w:val="center"/>
          </w:tcPr>
          <w:p w14:paraId="7732DAC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排放浓度</w:t>
            </w:r>
          </w:p>
        </w:tc>
        <w:tc>
          <w:tcPr>
            <w:tcW w:w="480" w:type="pct"/>
            <w:vAlign w:val="center"/>
          </w:tcPr>
          <w:p w14:paraId="74FFE69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511" w:type="pct"/>
            <w:vAlign w:val="center"/>
          </w:tcPr>
          <w:p w14:paraId="183E616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w:t>
            </w:r>
          </w:p>
        </w:tc>
        <w:tc>
          <w:tcPr>
            <w:tcW w:w="1465" w:type="pct"/>
            <w:vMerge/>
            <w:vAlign w:val="center"/>
          </w:tcPr>
          <w:p w14:paraId="2C2BCD4A"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r>
      <w:tr w:rsidR="003E78AB" w14:paraId="5A439BBA" w14:textId="77777777">
        <w:trPr>
          <w:trHeight w:val="283"/>
        </w:trPr>
        <w:tc>
          <w:tcPr>
            <w:tcW w:w="230" w:type="pct"/>
            <w:vAlign w:val="center"/>
          </w:tcPr>
          <w:p w14:paraId="781DD10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273" w:type="pct"/>
            <w:vMerge/>
            <w:vAlign w:val="center"/>
          </w:tcPr>
          <w:p w14:paraId="2AE96B1D"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57BF026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颗粒物</w:t>
            </w:r>
          </w:p>
        </w:tc>
        <w:tc>
          <w:tcPr>
            <w:tcW w:w="655" w:type="pct"/>
            <w:vMerge w:val="restart"/>
            <w:vAlign w:val="center"/>
          </w:tcPr>
          <w:p w14:paraId="55CB7B6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锅炉废气</w:t>
            </w:r>
          </w:p>
        </w:tc>
        <w:tc>
          <w:tcPr>
            <w:tcW w:w="690" w:type="pct"/>
            <w:vAlign w:val="center"/>
          </w:tcPr>
          <w:p w14:paraId="7A4A571D" w14:textId="77777777" w:rsidR="003E78AB" w:rsidRDefault="00010BF9">
            <w:pPr>
              <w:spacing w:line="360" w:lineRule="exact"/>
              <w:ind w:firstLineChars="0" w:firstLine="0"/>
              <w:jc w:val="center"/>
              <w:rPr>
                <w:kern w:val="2"/>
                <w:sz w:val="21"/>
                <w:szCs w:val="21"/>
              </w:rPr>
            </w:pPr>
            <w:r>
              <w:rPr>
                <w:kern w:val="2"/>
                <w:sz w:val="21"/>
                <w:szCs w:val="21"/>
              </w:rPr>
              <w:t>排放浓度</w:t>
            </w:r>
          </w:p>
        </w:tc>
        <w:tc>
          <w:tcPr>
            <w:tcW w:w="480" w:type="pct"/>
            <w:vAlign w:val="center"/>
          </w:tcPr>
          <w:p w14:paraId="10FCE9E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511" w:type="pct"/>
            <w:vAlign w:val="center"/>
          </w:tcPr>
          <w:p w14:paraId="51A6DC4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w:t>
            </w:r>
          </w:p>
        </w:tc>
        <w:tc>
          <w:tcPr>
            <w:tcW w:w="1465" w:type="pct"/>
            <w:vMerge w:val="restart"/>
            <w:vAlign w:val="center"/>
          </w:tcPr>
          <w:p w14:paraId="095D459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《锅炉大气污染物排放标准》《</w:t>
            </w:r>
            <w:r>
              <w:rPr>
                <w:rFonts w:ascii="Times New Roman" w:hAnsi="Times New Roman" w:cs="Times New Roman"/>
                <w:sz w:val="21"/>
                <w:szCs w:val="21"/>
              </w:rPr>
              <w:t>GB13271-2014</w:t>
            </w:r>
            <w:r>
              <w:rPr>
                <w:rFonts w:ascii="Times New Roman" w:hAnsi="Times New Roman" w:cs="Times New Roman"/>
                <w:sz w:val="21"/>
                <w:szCs w:val="21"/>
              </w:rPr>
              <w:t>》</w:t>
            </w:r>
          </w:p>
        </w:tc>
      </w:tr>
      <w:tr w:rsidR="003E78AB" w14:paraId="01692B65" w14:textId="77777777">
        <w:trPr>
          <w:trHeight w:val="283"/>
        </w:trPr>
        <w:tc>
          <w:tcPr>
            <w:tcW w:w="230" w:type="pct"/>
            <w:vAlign w:val="center"/>
          </w:tcPr>
          <w:p w14:paraId="6EBA21A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273" w:type="pct"/>
            <w:vMerge/>
            <w:vAlign w:val="center"/>
          </w:tcPr>
          <w:p w14:paraId="75AA2A3B"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1C23118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655" w:type="pct"/>
            <w:vMerge/>
            <w:vAlign w:val="center"/>
          </w:tcPr>
          <w:p w14:paraId="0864E1EF"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213C3889" w14:textId="77777777" w:rsidR="003E78AB" w:rsidRDefault="00010BF9">
            <w:pPr>
              <w:spacing w:line="360" w:lineRule="exact"/>
              <w:ind w:firstLineChars="0" w:firstLine="0"/>
              <w:jc w:val="center"/>
              <w:rPr>
                <w:kern w:val="2"/>
                <w:sz w:val="21"/>
                <w:szCs w:val="21"/>
              </w:rPr>
            </w:pPr>
            <w:r>
              <w:rPr>
                <w:kern w:val="2"/>
                <w:sz w:val="21"/>
                <w:szCs w:val="21"/>
              </w:rPr>
              <w:t>排放浓度</w:t>
            </w:r>
          </w:p>
        </w:tc>
        <w:tc>
          <w:tcPr>
            <w:tcW w:w="480" w:type="pct"/>
            <w:vAlign w:val="center"/>
          </w:tcPr>
          <w:p w14:paraId="1E51A7C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511" w:type="pct"/>
            <w:vAlign w:val="center"/>
          </w:tcPr>
          <w:p w14:paraId="3D9E4620"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50</w:t>
            </w:r>
          </w:p>
        </w:tc>
        <w:tc>
          <w:tcPr>
            <w:tcW w:w="1465" w:type="pct"/>
            <w:vMerge/>
            <w:vAlign w:val="center"/>
          </w:tcPr>
          <w:p w14:paraId="7BF50261"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r>
      <w:tr w:rsidR="003E78AB" w14:paraId="4BAF9979" w14:textId="77777777">
        <w:trPr>
          <w:trHeight w:val="283"/>
        </w:trPr>
        <w:tc>
          <w:tcPr>
            <w:tcW w:w="230" w:type="pct"/>
            <w:vAlign w:val="center"/>
          </w:tcPr>
          <w:p w14:paraId="3AB2616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273" w:type="pct"/>
            <w:vMerge/>
            <w:vAlign w:val="center"/>
          </w:tcPr>
          <w:p w14:paraId="684EE66F"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35EB22F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NOx</w:t>
            </w:r>
          </w:p>
        </w:tc>
        <w:tc>
          <w:tcPr>
            <w:tcW w:w="655" w:type="pct"/>
            <w:vMerge/>
            <w:vAlign w:val="center"/>
          </w:tcPr>
          <w:p w14:paraId="18A93420"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2E4173A9" w14:textId="77777777" w:rsidR="003E78AB" w:rsidRDefault="00010BF9">
            <w:pPr>
              <w:spacing w:line="360" w:lineRule="exact"/>
              <w:ind w:firstLineChars="0" w:firstLine="0"/>
              <w:jc w:val="center"/>
              <w:rPr>
                <w:kern w:val="2"/>
                <w:sz w:val="21"/>
                <w:szCs w:val="21"/>
              </w:rPr>
            </w:pPr>
            <w:r>
              <w:rPr>
                <w:kern w:val="2"/>
                <w:sz w:val="21"/>
                <w:szCs w:val="21"/>
              </w:rPr>
              <w:t>排放浓度</w:t>
            </w:r>
          </w:p>
        </w:tc>
        <w:tc>
          <w:tcPr>
            <w:tcW w:w="480" w:type="pct"/>
            <w:vAlign w:val="center"/>
          </w:tcPr>
          <w:p w14:paraId="1FFEF18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511" w:type="pct"/>
            <w:vAlign w:val="center"/>
          </w:tcPr>
          <w:p w14:paraId="1284F82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50</w:t>
            </w:r>
          </w:p>
        </w:tc>
        <w:tc>
          <w:tcPr>
            <w:tcW w:w="1465" w:type="pct"/>
            <w:vAlign w:val="center"/>
          </w:tcPr>
          <w:p w14:paraId="122FB7EC"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bookmarkStart w:id="141" w:name="OLE_LINK18"/>
            <w:r>
              <w:rPr>
                <w:rFonts w:ascii="Times New Roman" w:hAnsi="Times New Roman" w:cs="Times New Roman"/>
                <w:sz w:val="21"/>
                <w:szCs w:val="21"/>
              </w:rPr>
              <w:t>《关于开展自治区</w:t>
            </w:r>
            <w:r>
              <w:rPr>
                <w:rFonts w:ascii="Times New Roman" w:hAnsi="Times New Roman" w:cs="Times New Roman"/>
                <w:sz w:val="21"/>
                <w:szCs w:val="21"/>
              </w:rPr>
              <w:t>2022</w:t>
            </w:r>
            <w:r>
              <w:rPr>
                <w:rFonts w:ascii="Times New Roman" w:hAnsi="Times New Roman" w:cs="Times New Roman"/>
                <w:sz w:val="21"/>
                <w:szCs w:val="21"/>
              </w:rPr>
              <w:t>年度夏秋季大气污染防治</w:t>
            </w:r>
            <w:r>
              <w:rPr>
                <w:rFonts w:ascii="Times New Roman" w:hAnsi="Times New Roman" w:cs="Times New Roman"/>
                <w:sz w:val="21"/>
                <w:szCs w:val="21"/>
              </w:rPr>
              <w:t>“</w:t>
            </w:r>
            <w:r>
              <w:rPr>
                <w:rFonts w:ascii="Times New Roman" w:hAnsi="Times New Roman" w:cs="Times New Roman"/>
                <w:sz w:val="21"/>
                <w:szCs w:val="21"/>
              </w:rPr>
              <w:t>冬病夏治</w:t>
            </w:r>
            <w:r>
              <w:rPr>
                <w:rFonts w:ascii="Times New Roman" w:hAnsi="Times New Roman" w:cs="Times New Roman"/>
                <w:sz w:val="21"/>
                <w:szCs w:val="21"/>
              </w:rPr>
              <w:t>”</w:t>
            </w:r>
            <w:r>
              <w:rPr>
                <w:rFonts w:ascii="Times New Roman" w:hAnsi="Times New Roman" w:cs="Times New Roman"/>
                <w:sz w:val="21"/>
                <w:szCs w:val="21"/>
              </w:rPr>
              <w:t>工作的通知</w:t>
            </w:r>
            <w:bookmarkEnd w:id="141"/>
            <w:r>
              <w:rPr>
                <w:rFonts w:ascii="Times New Roman" w:hAnsi="Times New Roman" w:cs="Times New Roman"/>
                <w:sz w:val="21"/>
                <w:szCs w:val="21"/>
              </w:rPr>
              <w:t>》（新环大气函〔</w:t>
            </w:r>
            <w:r>
              <w:rPr>
                <w:rFonts w:ascii="Times New Roman" w:hAnsi="Times New Roman" w:cs="Times New Roman"/>
                <w:sz w:val="21"/>
                <w:szCs w:val="21"/>
              </w:rPr>
              <w:t>2022</w:t>
            </w:r>
            <w:r>
              <w:rPr>
                <w:rFonts w:ascii="Times New Roman" w:hAnsi="Times New Roman" w:cs="Times New Roman"/>
                <w:sz w:val="21"/>
                <w:szCs w:val="21"/>
              </w:rPr>
              <w:t>〕</w:t>
            </w:r>
            <w:r>
              <w:rPr>
                <w:rFonts w:ascii="Times New Roman" w:hAnsi="Times New Roman" w:cs="Times New Roman"/>
                <w:sz w:val="21"/>
                <w:szCs w:val="21"/>
              </w:rPr>
              <w:t>483</w:t>
            </w:r>
            <w:r>
              <w:rPr>
                <w:rFonts w:ascii="Times New Roman" w:hAnsi="Times New Roman" w:cs="Times New Roman"/>
                <w:sz w:val="21"/>
                <w:szCs w:val="21"/>
              </w:rPr>
              <w:t>号）</w:t>
            </w:r>
          </w:p>
        </w:tc>
      </w:tr>
      <w:tr w:rsidR="003E78AB" w14:paraId="3A6D0EF9" w14:textId="77777777">
        <w:trPr>
          <w:trHeight w:val="283"/>
        </w:trPr>
        <w:tc>
          <w:tcPr>
            <w:tcW w:w="230" w:type="pct"/>
            <w:vAlign w:val="center"/>
          </w:tcPr>
          <w:p w14:paraId="2A9F8E6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bookmarkStart w:id="142" w:name="OLE_LINK17" w:colFirst="2" w:colLast="5"/>
            <w:r>
              <w:rPr>
                <w:rFonts w:ascii="Times New Roman" w:hAnsi="Times New Roman" w:cs="Times New Roman" w:hint="eastAsia"/>
                <w:sz w:val="21"/>
                <w:szCs w:val="21"/>
              </w:rPr>
              <w:t>6</w:t>
            </w:r>
          </w:p>
        </w:tc>
        <w:tc>
          <w:tcPr>
            <w:tcW w:w="273" w:type="pct"/>
            <w:vMerge w:val="restart"/>
            <w:vAlign w:val="center"/>
          </w:tcPr>
          <w:p w14:paraId="4626B7E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无组织</w:t>
            </w:r>
          </w:p>
        </w:tc>
        <w:tc>
          <w:tcPr>
            <w:tcW w:w="690" w:type="pct"/>
            <w:vAlign w:val="center"/>
          </w:tcPr>
          <w:p w14:paraId="566A9C8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硫酸雾</w:t>
            </w:r>
          </w:p>
        </w:tc>
        <w:tc>
          <w:tcPr>
            <w:tcW w:w="655" w:type="pct"/>
            <w:vAlign w:val="center"/>
          </w:tcPr>
          <w:p w14:paraId="5304691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厂界</w:t>
            </w:r>
          </w:p>
        </w:tc>
        <w:tc>
          <w:tcPr>
            <w:tcW w:w="690" w:type="pct"/>
            <w:vAlign w:val="center"/>
          </w:tcPr>
          <w:p w14:paraId="6B40AD6F" w14:textId="77777777" w:rsidR="003E78AB" w:rsidRDefault="00010BF9">
            <w:pPr>
              <w:spacing w:line="360" w:lineRule="exact"/>
              <w:ind w:firstLineChars="0" w:firstLine="0"/>
              <w:jc w:val="center"/>
              <w:rPr>
                <w:kern w:val="2"/>
                <w:sz w:val="21"/>
                <w:szCs w:val="21"/>
              </w:rPr>
            </w:pPr>
            <w:r>
              <w:rPr>
                <w:kern w:val="2"/>
                <w:sz w:val="21"/>
                <w:szCs w:val="21"/>
              </w:rPr>
              <w:t>周界外浓度最高点</w:t>
            </w:r>
          </w:p>
        </w:tc>
        <w:tc>
          <w:tcPr>
            <w:tcW w:w="480" w:type="pct"/>
            <w:vAlign w:val="center"/>
          </w:tcPr>
          <w:p w14:paraId="2B4A74DC" w14:textId="77777777" w:rsidR="003E78AB" w:rsidRDefault="00010BF9">
            <w:pPr>
              <w:spacing w:line="360" w:lineRule="exact"/>
              <w:ind w:firstLineChars="0" w:firstLine="0"/>
              <w:jc w:val="center"/>
              <w:rPr>
                <w:kern w:val="2"/>
                <w:sz w:val="21"/>
                <w:szCs w:val="21"/>
              </w:rPr>
            </w:pPr>
            <w:r>
              <w:rPr>
                <w:kern w:val="2"/>
                <w:sz w:val="21"/>
                <w:szCs w:val="21"/>
              </w:rPr>
              <w:t>mg/m</w:t>
            </w:r>
            <w:r>
              <w:rPr>
                <w:kern w:val="2"/>
                <w:sz w:val="21"/>
                <w:szCs w:val="21"/>
                <w:vertAlign w:val="superscript"/>
              </w:rPr>
              <w:t>3</w:t>
            </w:r>
          </w:p>
        </w:tc>
        <w:tc>
          <w:tcPr>
            <w:tcW w:w="511" w:type="pct"/>
            <w:vAlign w:val="center"/>
          </w:tcPr>
          <w:p w14:paraId="6271E75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0.3</w:t>
            </w:r>
          </w:p>
        </w:tc>
        <w:tc>
          <w:tcPr>
            <w:tcW w:w="1465" w:type="pct"/>
            <w:vAlign w:val="center"/>
          </w:tcPr>
          <w:p w14:paraId="46C62458"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kern w:val="2"/>
                <w:sz w:val="21"/>
                <w:szCs w:val="21"/>
              </w:rPr>
            </w:pPr>
            <w:bookmarkStart w:id="143" w:name="OLE_LINK23"/>
            <w:r>
              <w:rPr>
                <w:rFonts w:ascii="Times New Roman" w:hAnsi="Times New Roman" w:cs="Times New Roman"/>
                <w:sz w:val="21"/>
                <w:szCs w:val="21"/>
              </w:rPr>
              <w:t>《无机化学工业污染物排放标准》（</w:t>
            </w:r>
            <w:r>
              <w:rPr>
                <w:rFonts w:ascii="Times New Roman" w:hAnsi="Times New Roman" w:cs="Times New Roman"/>
                <w:sz w:val="21"/>
                <w:szCs w:val="21"/>
              </w:rPr>
              <w:t>GB31573-2015</w:t>
            </w:r>
            <w:r>
              <w:rPr>
                <w:rFonts w:ascii="Times New Roman" w:hAnsi="Times New Roman" w:cs="Times New Roman"/>
                <w:sz w:val="21"/>
                <w:szCs w:val="21"/>
              </w:rPr>
              <w:t>）</w:t>
            </w:r>
            <w:bookmarkEnd w:id="143"/>
          </w:p>
        </w:tc>
      </w:tr>
      <w:tr w:rsidR="003E78AB" w14:paraId="03DE7BFE" w14:textId="77777777">
        <w:trPr>
          <w:trHeight w:val="283"/>
        </w:trPr>
        <w:tc>
          <w:tcPr>
            <w:tcW w:w="230" w:type="pct"/>
            <w:vAlign w:val="center"/>
          </w:tcPr>
          <w:p w14:paraId="04E4397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7</w:t>
            </w:r>
          </w:p>
        </w:tc>
        <w:tc>
          <w:tcPr>
            <w:tcW w:w="273" w:type="pct"/>
            <w:vMerge/>
            <w:vAlign w:val="center"/>
          </w:tcPr>
          <w:p w14:paraId="427DE10D"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Align w:val="center"/>
          </w:tcPr>
          <w:p w14:paraId="722F807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颗粒物</w:t>
            </w:r>
          </w:p>
        </w:tc>
        <w:tc>
          <w:tcPr>
            <w:tcW w:w="655" w:type="pct"/>
            <w:vAlign w:val="center"/>
          </w:tcPr>
          <w:p w14:paraId="23615AA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厂界</w:t>
            </w:r>
          </w:p>
        </w:tc>
        <w:tc>
          <w:tcPr>
            <w:tcW w:w="690" w:type="pct"/>
            <w:vAlign w:val="center"/>
          </w:tcPr>
          <w:p w14:paraId="68DED23D" w14:textId="77777777" w:rsidR="003E78AB" w:rsidRDefault="00010BF9">
            <w:pPr>
              <w:spacing w:line="360" w:lineRule="exact"/>
              <w:ind w:firstLineChars="0" w:firstLine="0"/>
              <w:jc w:val="center"/>
              <w:rPr>
                <w:kern w:val="2"/>
                <w:sz w:val="21"/>
                <w:szCs w:val="21"/>
              </w:rPr>
            </w:pPr>
            <w:r>
              <w:rPr>
                <w:kern w:val="2"/>
                <w:sz w:val="21"/>
                <w:szCs w:val="21"/>
              </w:rPr>
              <w:t>周界外浓度最高点</w:t>
            </w:r>
          </w:p>
        </w:tc>
        <w:tc>
          <w:tcPr>
            <w:tcW w:w="480" w:type="pct"/>
            <w:vAlign w:val="center"/>
          </w:tcPr>
          <w:p w14:paraId="473462C0" w14:textId="77777777" w:rsidR="003E78AB" w:rsidRDefault="00010BF9">
            <w:pPr>
              <w:spacing w:line="360" w:lineRule="exact"/>
              <w:ind w:firstLineChars="0" w:firstLine="0"/>
              <w:jc w:val="center"/>
              <w:rPr>
                <w:kern w:val="2"/>
                <w:sz w:val="21"/>
                <w:szCs w:val="21"/>
              </w:rPr>
            </w:pPr>
            <w:r>
              <w:rPr>
                <w:kern w:val="2"/>
                <w:sz w:val="21"/>
                <w:szCs w:val="21"/>
              </w:rPr>
              <w:t>mg/m</w:t>
            </w:r>
            <w:r>
              <w:rPr>
                <w:kern w:val="2"/>
                <w:sz w:val="21"/>
                <w:szCs w:val="21"/>
                <w:vertAlign w:val="superscript"/>
              </w:rPr>
              <w:t>3</w:t>
            </w:r>
          </w:p>
        </w:tc>
        <w:tc>
          <w:tcPr>
            <w:tcW w:w="511" w:type="pct"/>
            <w:vAlign w:val="center"/>
          </w:tcPr>
          <w:p w14:paraId="3FBD2B8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1465" w:type="pct"/>
            <w:vMerge w:val="restart"/>
            <w:vAlign w:val="center"/>
          </w:tcPr>
          <w:p w14:paraId="573ABFD7" w14:textId="77777777" w:rsidR="003E78AB" w:rsidRDefault="00010BF9">
            <w:pPr>
              <w:spacing w:line="360" w:lineRule="exact"/>
              <w:ind w:firstLineChars="0" w:firstLine="0"/>
              <w:jc w:val="center"/>
              <w:rPr>
                <w:kern w:val="2"/>
                <w:sz w:val="21"/>
                <w:szCs w:val="21"/>
              </w:rPr>
            </w:pPr>
            <w:r>
              <w:rPr>
                <w:sz w:val="21"/>
                <w:szCs w:val="21"/>
              </w:rPr>
              <w:t>《大气污染物综合排放标准》（</w:t>
            </w:r>
            <w:r>
              <w:rPr>
                <w:sz w:val="21"/>
                <w:szCs w:val="21"/>
              </w:rPr>
              <w:t>GB16297-1996</w:t>
            </w:r>
            <w:r>
              <w:rPr>
                <w:sz w:val="21"/>
                <w:szCs w:val="21"/>
              </w:rPr>
              <w:t>）</w:t>
            </w:r>
          </w:p>
        </w:tc>
      </w:tr>
      <w:bookmarkEnd w:id="142"/>
      <w:tr w:rsidR="003E78AB" w14:paraId="24979E8A" w14:textId="77777777">
        <w:trPr>
          <w:trHeight w:val="283"/>
        </w:trPr>
        <w:tc>
          <w:tcPr>
            <w:tcW w:w="230" w:type="pct"/>
            <w:vMerge w:val="restart"/>
            <w:vAlign w:val="center"/>
          </w:tcPr>
          <w:p w14:paraId="09476D6F"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273" w:type="pct"/>
            <w:vMerge/>
            <w:vAlign w:val="center"/>
          </w:tcPr>
          <w:p w14:paraId="143DEA9B"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Merge w:val="restart"/>
            <w:vAlign w:val="center"/>
          </w:tcPr>
          <w:p w14:paraId="265E0763"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bookmarkStart w:id="144" w:name="OLE_LINK63"/>
            <w:r>
              <w:rPr>
                <w:rFonts w:ascii="Times New Roman" w:hAnsi="Times New Roman" w:cs="Times New Roman" w:hint="eastAsia"/>
                <w:bCs/>
                <w:sz w:val="21"/>
                <w:szCs w:val="21"/>
              </w:rPr>
              <w:t>VOCs</w:t>
            </w:r>
            <w:r>
              <w:rPr>
                <w:rFonts w:ascii="Times New Roman" w:hAnsi="Times New Roman" w:cs="Times New Roman" w:hint="eastAsia"/>
                <w:bCs/>
                <w:sz w:val="21"/>
                <w:szCs w:val="21"/>
              </w:rPr>
              <w:t>（监测项目</w:t>
            </w:r>
            <w:r>
              <w:rPr>
                <w:rFonts w:ascii="Times New Roman" w:hAnsi="Times New Roman" w:cs="Times New Roman" w:hint="eastAsia"/>
                <w:bCs/>
                <w:sz w:val="21"/>
                <w:szCs w:val="21"/>
              </w:rPr>
              <w:t>NMHC</w:t>
            </w:r>
            <w:r>
              <w:rPr>
                <w:rFonts w:ascii="Times New Roman" w:hAnsi="Times New Roman" w:cs="Times New Roman" w:hint="eastAsia"/>
                <w:bCs/>
                <w:sz w:val="21"/>
                <w:szCs w:val="21"/>
              </w:rPr>
              <w:t>）</w:t>
            </w:r>
            <w:bookmarkEnd w:id="144"/>
          </w:p>
        </w:tc>
        <w:tc>
          <w:tcPr>
            <w:tcW w:w="655" w:type="pct"/>
            <w:vAlign w:val="center"/>
          </w:tcPr>
          <w:p w14:paraId="004E3AF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厂界</w:t>
            </w:r>
          </w:p>
        </w:tc>
        <w:tc>
          <w:tcPr>
            <w:tcW w:w="690" w:type="pct"/>
            <w:vAlign w:val="center"/>
          </w:tcPr>
          <w:p w14:paraId="54388240" w14:textId="77777777" w:rsidR="003E78AB" w:rsidRDefault="00010BF9">
            <w:pPr>
              <w:spacing w:line="360" w:lineRule="exact"/>
              <w:ind w:firstLineChars="0" w:firstLine="0"/>
              <w:jc w:val="center"/>
              <w:rPr>
                <w:kern w:val="2"/>
                <w:sz w:val="21"/>
                <w:szCs w:val="21"/>
              </w:rPr>
            </w:pPr>
            <w:r>
              <w:rPr>
                <w:kern w:val="2"/>
                <w:sz w:val="21"/>
                <w:szCs w:val="21"/>
              </w:rPr>
              <w:t>周界外浓度最高点</w:t>
            </w:r>
          </w:p>
        </w:tc>
        <w:tc>
          <w:tcPr>
            <w:tcW w:w="480" w:type="pct"/>
            <w:vAlign w:val="center"/>
          </w:tcPr>
          <w:p w14:paraId="16E9A267" w14:textId="77777777" w:rsidR="003E78AB" w:rsidRDefault="00010BF9">
            <w:pPr>
              <w:spacing w:line="360" w:lineRule="exact"/>
              <w:ind w:firstLineChars="0" w:firstLine="0"/>
              <w:jc w:val="center"/>
              <w:rPr>
                <w:kern w:val="2"/>
                <w:sz w:val="21"/>
                <w:szCs w:val="21"/>
              </w:rPr>
            </w:pPr>
            <w:r>
              <w:rPr>
                <w:kern w:val="2"/>
                <w:sz w:val="21"/>
                <w:szCs w:val="21"/>
              </w:rPr>
              <w:t>mg/m</w:t>
            </w:r>
            <w:r>
              <w:rPr>
                <w:kern w:val="2"/>
                <w:sz w:val="21"/>
                <w:szCs w:val="21"/>
                <w:vertAlign w:val="superscript"/>
              </w:rPr>
              <w:t>3</w:t>
            </w:r>
          </w:p>
        </w:tc>
        <w:tc>
          <w:tcPr>
            <w:tcW w:w="511" w:type="pct"/>
            <w:vAlign w:val="center"/>
          </w:tcPr>
          <w:p w14:paraId="1C08006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4.0</w:t>
            </w:r>
          </w:p>
        </w:tc>
        <w:tc>
          <w:tcPr>
            <w:tcW w:w="1465" w:type="pct"/>
            <w:vMerge/>
            <w:vAlign w:val="center"/>
          </w:tcPr>
          <w:p w14:paraId="7A04C8C8"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kern w:val="2"/>
                <w:sz w:val="21"/>
                <w:szCs w:val="21"/>
              </w:rPr>
            </w:pPr>
          </w:p>
        </w:tc>
      </w:tr>
      <w:tr w:rsidR="003E78AB" w14:paraId="036B2E85" w14:textId="77777777">
        <w:trPr>
          <w:trHeight w:val="283"/>
        </w:trPr>
        <w:tc>
          <w:tcPr>
            <w:tcW w:w="230" w:type="pct"/>
            <w:vMerge/>
            <w:vAlign w:val="center"/>
          </w:tcPr>
          <w:p w14:paraId="67A9CD9A"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273" w:type="pct"/>
            <w:vMerge/>
            <w:vAlign w:val="center"/>
          </w:tcPr>
          <w:p w14:paraId="784172FF"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Merge/>
            <w:vAlign w:val="center"/>
          </w:tcPr>
          <w:p w14:paraId="01E5899E"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55" w:type="pct"/>
            <w:vMerge w:val="restart"/>
            <w:vAlign w:val="center"/>
          </w:tcPr>
          <w:p w14:paraId="5DDD11F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bCs/>
                <w:sz w:val="21"/>
                <w:szCs w:val="21"/>
              </w:rPr>
              <w:t>在厂房外设置监控点</w:t>
            </w:r>
          </w:p>
        </w:tc>
        <w:tc>
          <w:tcPr>
            <w:tcW w:w="690" w:type="pct"/>
            <w:vAlign w:val="center"/>
          </w:tcPr>
          <w:p w14:paraId="05063674" w14:textId="77777777" w:rsidR="003E78AB" w:rsidRDefault="00010BF9">
            <w:pPr>
              <w:spacing w:line="360" w:lineRule="exact"/>
              <w:ind w:firstLineChars="0" w:firstLine="0"/>
              <w:jc w:val="center"/>
              <w:rPr>
                <w:kern w:val="2"/>
                <w:sz w:val="21"/>
                <w:szCs w:val="21"/>
              </w:rPr>
            </w:pPr>
            <w:r>
              <w:rPr>
                <w:kern w:val="2"/>
                <w:sz w:val="21"/>
                <w:szCs w:val="21"/>
              </w:rPr>
              <w:t>监控点处</w:t>
            </w:r>
            <w:r>
              <w:rPr>
                <w:kern w:val="2"/>
                <w:sz w:val="21"/>
                <w:szCs w:val="21"/>
              </w:rPr>
              <w:t>1h</w:t>
            </w:r>
            <w:r>
              <w:rPr>
                <w:kern w:val="2"/>
                <w:sz w:val="21"/>
                <w:szCs w:val="21"/>
              </w:rPr>
              <w:t>平均浓度值排放限值</w:t>
            </w:r>
          </w:p>
        </w:tc>
        <w:tc>
          <w:tcPr>
            <w:tcW w:w="480" w:type="pct"/>
            <w:vAlign w:val="center"/>
          </w:tcPr>
          <w:p w14:paraId="5A63B9D6" w14:textId="77777777" w:rsidR="003E78AB" w:rsidRDefault="00010BF9">
            <w:pPr>
              <w:spacing w:line="360" w:lineRule="exact"/>
              <w:ind w:firstLineChars="0" w:firstLine="0"/>
              <w:jc w:val="center"/>
              <w:rPr>
                <w:kern w:val="2"/>
                <w:sz w:val="21"/>
                <w:szCs w:val="21"/>
              </w:rPr>
            </w:pPr>
            <w:r>
              <w:rPr>
                <w:kern w:val="2"/>
                <w:sz w:val="21"/>
                <w:szCs w:val="21"/>
              </w:rPr>
              <w:t>mg/m</w:t>
            </w:r>
            <w:r>
              <w:rPr>
                <w:kern w:val="2"/>
                <w:sz w:val="21"/>
                <w:szCs w:val="21"/>
                <w:vertAlign w:val="superscript"/>
              </w:rPr>
              <w:t>3</w:t>
            </w:r>
          </w:p>
        </w:tc>
        <w:tc>
          <w:tcPr>
            <w:tcW w:w="511" w:type="pct"/>
            <w:vAlign w:val="center"/>
          </w:tcPr>
          <w:p w14:paraId="3EDD1B56"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1465" w:type="pct"/>
            <w:vMerge w:val="restart"/>
            <w:vAlign w:val="center"/>
          </w:tcPr>
          <w:p w14:paraId="436E8EDB" w14:textId="77777777" w:rsidR="003E78AB" w:rsidRDefault="00010BF9">
            <w:pPr>
              <w:spacing w:line="360" w:lineRule="exact"/>
              <w:ind w:firstLineChars="0" w:firstLine="0"/>
              <w:jc w:val="center"/>
              <w:rPr>
                <w:kern w:val="2"/>
                <w:sz w:val="21"/>
                <w:szCs w:val="21"/>
              </w:rPr>
            </w:pPr>
            <w:r>
              <w:rPr>
                <w:kern w:val="2"/>
                <w:sz w:val="21"/>
                <w:szCs w:val="21"/>
              </w:rPr>
              <w:t>《挥发性有机物无组织排放控制标准</w:t>
            </w:r>
            <w:r>
              <w:rPr>
                <w:rFonts w:hint="eastAsia"/>
                <w:kern w:val="2"/>
                <w:sz w:val="21"/>
                <w:szCs w:val="21"/>
              </w:rPr>
              <w:t>（试行）</w:t>
            </w:r>
            <w:r>
              <w:rPr>
                <w:kern w:val="2"/>
                <w:sz w:val="21"/>
                <w:szCs w:val="21"/>
              </w:rPr>
              <w:t>》（</w:t>
            </w:r>
            <w:r>
              <w:rPr>
                <w:kern w:val="2"/>
                <w:sz w:val="21"/>
                <w:szCs w:val="21"/>
              </w:rPr>
              <w:t>GB37822-2019</w:t>
            </w:r>
            <w:r>
              <w:rPr>
                <w:kern w:val="2"/>
                <w:sz w:val="21"/>
                <w:szCs w:val="21"/>
              </w:rPr>
              <w:t>）</w:t>
            </w:r>
          </w:p>
        </w:tc>
      </w:tr>
      <w:tr w:rsidR="003E78AB" w14:paraId="546F2C15" w14:textId="77777777">
        <w:trPr>
          <w:trHeight w:val="283"/>
        </w:trPr>
        <w:tc>
          <w:tcPr>
            <w:tcW w:w="230" w:type="pct"/>
            <w:vMerge/>
            <w:vAlign w:val="center"/>
          </w:tcPr>
          <w:p w14:paraId="41E45851"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273" w:type="pct"/>
            <w:vMerge/>
          </w:tcPr>
          <w:p w14:paraId="701CF783"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vMerge/>
          </w:tcPr>
          <w:p w14:paraId="22503F7F"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55" w:type="pct"/>
            <w:vMerge/>
          </w:tcPr>
          <w:p w14:paraId="7BA0BBFB" w14:textId="77777777" w:rsidR="003E78AB" w:rsidRDefault="003E78AB">
            <w:pPr>
              <w:pStyle w:val="TableParagraph"/>
              <w:topLinePunct/>
              <w:spacing w:before="0" w:beforeAutospacing="0" w:line="360" w:lineRule="exact"/>
              <w:ind w:firstLineChars="0" w:firstLine="0"/>
              <w:jc w:val="center"/>
              <w:rPr>
                <w:rFonts w:ascii="Times New Roman" w:hAnsi="Times New Roman" w:cs="Times New Roman"/>
                <w:sz w:val="21"/>
                <w:szCs w:val="21"/>
              </w:rPr>
            </w:pPr>
          </w:p>
        </w:tc>
        <w:tc>
          <w:tcPr>
            <w:tcW w:w="690" w:type="pct"/>
          </w:tcPr>
          <w:p w14:paraId="60588C02" w14:textId="77777777" w:rsidR="003E78AB" w:rsidRDefault="00010BF9">
            <w:pPr>
              <w:spacing w:line="360" w:lineRule="exact"/>
              <w:ind w:firstLineChars="0" w:firstLine="0"/>
              <w:jc w:val="center"/>
              <w:rPr>
                <w:kern w:val="2"/>
                <w:sz w:val="21"/>
                <w:szCs w:val="21"/>
              </w:rPr>
            </w:pPr>
            <w:r>
              <w:rPr>
                <w:kern w:val="2"/>
                <w:sz w:val="21"/>
                <w:szCs w:val="21"/>
              </w:rPr>
              <w:t>监控点处任意一次浓度值排放限值</w:t>
            </w:r>
          </w:p>
        </w:tc>
        <w:tc>
          <w:tcPr>
            <w:tcW w:w="480" w:type="pct"/>
            <w:vAlign w:val="center"/>
          </w:tcPr>
          <w:p w14:paraId="4000246F" w14:textId="77777777" w:rsidR="003E78AB" w:rsidRDefault="00010BF9">
            <w:pPr>
              <w:spacing w:line="360" w:lineRule="exact"/>
              <w:ind w:firstLineChars="0" w:firstLine="0"/>
              <w:jc w:val="center"/>
              <w:rPr>
                <w:kern w:val="2"/>
                <w:sz w:val="21"/>
                <w:szCs w:val="21"/>
              </w:rPr>
            </w:pPr>
            <w:r>
              <w:rPr>
                <w:kern w:val="2"/>
                <w:sz w:val="21"/>
                <w:szCs w:val="21"/>
              </w:rPr>
              <w:t>mg/m</w:t>
            </w:r>
            <w:r>
              <w:rPr>
                <w:kern w:val="2"/>
                <w:sz w:val="21"/>
                <w:szCs w:val="21"/>
                <w:vertAlign w:val="superscript"/>
              </w:rPr>
              <w:t>3</w:t>
            </w:r>
          </w:p>
        </w:tc>
        <w:tc>
          <w:tcPr>
            <w:tcW w:w="511" w:type="pct"/>
            <w:vAlign w:val="center"/>
          </w:tcPr>
          <w:p w14:paraId="60828BE4"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30</w:t>
            </w:r>
          </w:p>
        </w:tc>
        <w:tc>
          <w:tcPr>
            <w:tcW w:w="1465" w:type="pct"/>
            <w:vMerge/>
            <w:vAlign w:val="center"/>
          </w:tcPr>
          <w:p w14:paraId="0B3D944E" w14:textId="77777777" w:rsidR="003E78AB" w:rsidRDefault="003E78AB">
            <w:pPr>
              <w:spacing w:line="360" w:lineRule="exact"/>
              <w:ind w:firstLineChars="0" w:firstLine="0"/>
              <w:jc w:val="center"/>
              <w:rPr>
                <w:kern w:val="2"/>
                <w:sz w:val="21"/>
                <w:szCs w:val="21"/>
              </w:rPr>
            </w:pPr>
          </w:p>
        </w:tc>
      </w:tr>
    </w:tbl>
    <w:p w14:paraId="47FB00DD" w14:textId="77777777" w:rsidR="003E78AB" w:rsidRDefault="00010BF9">
      <w:pPr>
        <w:ind w:firstLine="480"/>
        <w:rPr>
          <w:kern w:val="2"/>
        </w:rPr>
      </w:pPr>
      <w:r>
        <w:rPr>
          <w:kern w:val="2"/>
        </w:rPr>
        <w:t>（</w:t>
      </w:r>
      <w:r>
        <w:rPr>
          <w:kern w:val="2"/>
        </w:rPr>
        <w:t>2</w:t>
      </w:r>
      <w:r>
        <w:rPr>
          <w:kern w:val="2"/>
        </w:rPr>
        <w:t>）废水</w:t>
      </w:r>
    </w:p>
    <w:p w14:paraId="035CF2F5" w14:textId="77777777" w:rsidR="003E78AB" w:rsidRDefault="00010BF9">
      <w:pPr>
        <w:ind w:firstLine="480"/>
        <w:rPr>
          <w:kern w:val="2"/>
        </w:rPr>
      </w:pPr>
      <w:r>
        <w:rPr>
          <w:kern w:val="2"/>
        </w:rPr>
        <w:t>本项目无生产废水外排，工艺废气处理废水经蒸发冷凝后回用</w:t>
      </w:r>
      <w:r>
        <w:rPr>
          <w:rFonts w:hint="eastAsia"/>
          <w:kern w:val="2"/>
        </w:rPr>
        <w:t>于淋洗补水配碱</w:t>
      </w:r>
      <w:r>
        <w:rPr>
          <w:kern w:val="2"/>
        </w:rPr>
        <w:t>，</w:t>
      </w:r>
      <w:r>
        <w:rPr>
          <w:rFonts w:hint="eastAsia"/>
          <w:kern w:val="2"/>
        </w:rPr>
        <w:t>实验废水经生产车间</w:t>
      </w:r>
      <w:r>
        <w:rPr>
          <w:rFonts w:hint="eastAsia"/>
          <w:kern w:val="2"/>
        </w:rPr>
        <w:t>15m</w:t>
      </w:r>
      <w:r>
        <w:rPr>
          <w:rFonts w:hint="eastAsia"/>
          <w:kern w:val="2"/>
          <w:vertAlign w:val="superscript"/>
        </w:rPr>
        <w:t>3</w:t>
      </w:r>
      <w:r>
        <w:rPr>
          <w:rFonts w:hint="eastAsia"/>
          <w:kern w:val="2"/>
        </w:rPr>
        <w:t>电解液事故罐收集后回用于生产，</w:t>
      </w:r>
      <w:r>
        <w:rPr>
          <w:kern w:val="2"/>
        </w:rPr>
        <w:t>地面冲洗水、软水制备及纯水制备排浓水、锅炉排水经厂内污水管道收集，生活污水经预处理后，一并经厂区总排口排入园区污水厂进一步处理。废水总排口</w:t>
      </w:r>
      <w:r>
        <w:rPr>
          <w:kern w:val="2"/>
        </w:rPr>
        <w:t>pH</w:t>
      </w:r>
      <w:r>
        <w:rPr>
          <w:kern w:val="2"/>
        </w:rPr>
        <w:t>、</w:t>
      </w:r>
      <w:r>
        <w:rPr>
          <w:kern w:val="2"/>
        </w:rPr>
        <w:t>COD</w:t>
      </w:r>
      <w:r>
        <w:rPr>
          <w:kern w:val="2"/>
          <w:vertAlign w:val="subscript"/>
        </w:rPr>
        <w:t>Cr</w:t>
      </w:r>
      <w:r>
        <w:rPr>
          <w:kern w:val="2"/>
        </w:rPr>
        <w:t>、</w:t>
      </w:r>
      <w:r>
        <w:rPr>
          <w:kern w:val="2"/>
        </w:rPr>
        <w:t>BOD</w:t>
      </w:r>
      <w:r>
        <w:rPr>
          <w:kern w:val="2"/>
          <w:vertAlign w:val="subscript"/>
        </w:rPr>
        <w:t>5</w:t>
      </w:r>
      <w:r>
        <w:rPr>
          <w:kern w:val="2"/>
        </w:rPr>
        <w:t>、</w:t>
      </w:r>
      <w:r>
        <w:rPr>
          <w:kern w:val="2"/>
        </w:rPr>
        <w:t>SS</w:t>
      </w:r>
      <w:r>
        <w:rPr>
          <w:kern w:val="2"/>
        </w:rPr>
        <w:t>、</w:t>
      </w:r>
      <w:r>
        <w:rPr>
          <w:kern w:val="2"/>
        </w:rPr>
        <w:t>NH</w:t>
      </w:r>
      <w:r>
        <w:rPr>
          <w:kern w:val="2"/>
          <w:vertAlign w:val="subscript"/>
        </w:rPr>
        <w:t>3</w:t>
      </w:r>
      <w:r>
        <w:rPr>
          <w:kern w:val="2"/>
        </w:rPr>
        <w:t>-N</w:t>
      </w:r>
      <w:r>
        <w:rPr>
          <w:kern w:val="2"/>
        </w:rPr>
        <w:t>、磷酸盐（以</w:t>
      </w:r>
      <w:r>
        <w:rPr>
          <w:kern w:val="2"/>
        </w:rPr>
        <w:t>P</w:t>
      </w:r>
      <w:r>
        <w:rPr>
          <w:kern w:val="2"/>
        </w:rPr>
        <w:t>计）执行《无机化学工业污染物排放标准》（</w:t>
      </w:r>
      <w:r>
        <w:rPr>
          <w:kern w:val="2"/>
        </w:rPr>
        <w:t>GB31573-2015</w:t>
      </w:r>
      <w:r>
        <w:rPr>
          <w:kern w:val="2"/>
        </w:rPr>
        <w:t>）间接排放标准，同时需满足园区污水处理厂纳管要求即《污水综合排放标准》（</w:t>
      </w:r>
      <w:r>
        <w:rPr>
          <w:kern w:val="2"/>
        </w:rPr>
        <w:t>GB8978-1996</w:t>
      </w:r>
      <w:r>
        <w:rPr>
          <w:kern w:val="2"/>
        </w:rPr>
        <w:t>）中三级标准限值，具体标准值见表</w:t>
      </w:r>
      <w:r>
        <w:rPr>
          <w:kern w:val="2"/>
        </w:rPr>
        <w:t>2-34</w:t>
      </w:r>
      <w:r>
        <w:rPr>
          <w:kern w:val="2"/>
        </w:rPr>
        <w:t>。</w:t>
      </w:r>
    </w:p>
    <w:p w14:paraId="1FE15E39" w14:textId="77777777" w:rsidR="003E78AB" w:rsidRDefault="00010BF9">
      <w:pPr>
        <w:pStyle w:val="a5"/>
        <w:jc w:val="right"/>
      </w:pPr>
      <w:r>
        <w:t>废水排放执行标准限值</w:t>
      </w:r>
      <w:r>
        <w:t xml:space="preserve">    </w:t>
      </w:r>
      <w:r>
        <w:rPr>
          <w:sz w:val="21"/>
          <w:szCs w:val="21"/>
        </w:rPr>
        <w:t>单位：</w:t>
      </w:r>
      <w:r>
        <w:rPr>
          <w:sz w:val="21"/>
          <w:szCs w:val="21"/>
        </w:rPr>
        <w:t>mg/L</w:t>
      </w:r>
      <w:r>
        <w:rPr>
          <w:sz w:val="21"/>
          <w:szCs w:val="21"/>
        </w:rPr>
        <w:t>（</w:t>
      </w:r>
      <w:r>
        <w:rPr>
          <w:sz w:val="21"/>
          <w:szCs w:val="21"/>
        </w:rPr>
        <w:t>pH</w:t>
      </w:r>
      <w:r>
        <w:rPr>
          <w:sz w:val="21"/>
          <w:szCs w:val="21"/>
        </w:rPr>
        <w:t>除外）</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692"/>
        <w:gridCol w:w="2932"/>
        <w:gridCol w:w="3324"/>
      </w:tblGrid>
      <w:tr w:rsidR="003E78AB" w14:paraId="458978B7" w14:textId="77777777">
        <w:trPr>
          <w:trHeight w:val="283"/>
          <w:tblHeader/>
        </w:trPr>
        <w:tc>
          <w:tcPr>
            <w:tcW w:w="335" w:type="pct"/>
            <w:vAlign w:val="center"/>
          </w:tcPr>
          <w:p w14:paraId="23E8738C" w14:textId="77777777" w:rsidR="003E78AB" w:rsidRDefault="00010BF9">
            <w:pPr>
              <w:spacing w:line="240" w:lineRule="auto"/>
              <w:ind w:leftChars="-50" w:left="-120" w:rightChars="-50" w:right="-120" w:firstLineChars="0" w:firstLine="0"/>
              <w:jc w:val="center"/>
              <w:outlineLvl w:val="3"/>
              <w:rPr>
                <w:b/>
                <w:bCs/>
                <w:kern w:val="2"/>
                <w:sz w:val="21"/>
                <w:szCs w:val="21"/>
              </w:rPr>
            </w:pPr>
            <w:r>
              <w:rPr>
                <w:b/>
                <w:bCs/>
                <w:kern w:val="2"/>
                <w:sz w:val="21"/>
                <w:szCs w:val="21"/>
              </w:rPr>
              <w:t>序号</w:t>
            </w:r>
          </w:p>
        </w:tc>
        <w:tc>
          <w:tcPr>
            <w:tcW w:w="993" w:type="pct"/>
            <w:vAlign w:val="center"/>
          </w:tcPr>
          <w:p w14:paraId="27A5763C" w14:textId="77777777" w:rsidR="003E78AB" w:rsidRDefault="00010BF9">
            <w:pPr>
              <w:spacing w:line="240" w:lineRule="auto"/>
              <w:ind w:leftChars="-50" w:left="-120" w:rightChars="-50" w:right="-120" w:firstLineChars="0" w:firstLine="0"/>
              <w:jc w:val="center"/>
              <w:outlineLvl w:val="3"/>
              <w:rPr>
                <w:b/>
                <w:bCs/>
                <w:kern w:val="2"/>
                <w:sz w:val="21"/>
                <w:szCs w:val="21"/>
              </w:rPr>
            </w:pPr>
            <w:r>
              <w:rPr>
                <w:b/>
                <w:bCs/>
                <w:kern w:val="2"/>
                <w:sz w:val="21"/>
                <w:szCs w:val="21"/>
              </w:rPr>
              <w:t>污染物</w:t>
            </w:r>
          </w:p>
        </w:tc>
        <w:tc>
          <w:tcPr>
            <w:tcW w:w="1720" w:type="pct"/>
            <w:vAlign w:val="center"/>
          </w:tcPr>
          <w:p w14:paraId="11B5B45E" w14:textId="77777777" w:rsidR="003E78AB" w:rsidRDefault="00010BF9">
            <w:pPr>
              <w:spacing w:line="240" w:lineRule="auto"/>
              <w:ind w:leftChars="-50" w:left="-120" w:rightChars="-50" w:right="-120" w:firstLineChars="0" w:firstLine="0"/>
              <w:jc w:val="center"/>
              <w:outlineLvl w:val="3"/>
              <w:rPr>
                <w:b/>
                <w:bCs/>
                <w:kern w:val="2"/>
                <w:sz w:val="21"/>
                <w:szCs w:val="21"/>
              </w:rPr>
            </w:pPr>
            <w:r>
              <w:rPr>
                <w:b/>
                <w:bCs/>
                <w:kern w:val="2"/>
                <w:sz w:val="21"/>
                <w:szCs w:val="21"/>
              </w:rPr>
              <w:t>《污水综合排放标准》（</w:t>
            </w:r>
            <w:r>
              <w:rPr>
                <w:b/>
                <w:bCs/>
                <w:kern w:val="2"/>
                <w:sz w:val="21"/>
                <w:szCs w:val="21"/>
              </w:rPr>
              <w:t>GB8978-1996</w:t>
            </w:r>
            <w:r>
              <w:rPr>
                <w:b/>
                <w:bCs/>
                <w:kern w:val="2"/>
                <w:sz w:val="21"/>
                <w:szCs w:val="21"/>
              </w:rPr>
              <w:t>）</w:t>
            </w:r>
            <w:bookmarkStart w:id="145" w:name="OLE_LINK7"/>
            <w:r>
              <w:rPr>
                <w:b/>
                <w:bCs/>
                <w:kern w:val="2"/>
                <w:sz w:val="21"/>
                <w:szCs w:val="21"/>
              </w:rPr>
              <w:t>浓度限值</w:t>
            </w:r>
            <w:bookmarkEnd w:id="145"/>
          </w:p>
        </w:tc>
        <w:tc>
          <w:tcPr>
            <w:tcW w:w="1950" w:type="pct"/>
            <w:vAlign w:val="center"/>
          </w:tcPr>
          <w:p w14:paraId="02D52217" w14:textId="77777777" w:rsidR="003E78AB" w:rsidRDefault="00010BF9">
            <w:pPr>
              <w:spacing w:line="240" w:lineRule="auto"/>
              <w:ind w:leftChars="-50" w:left="-120" w:rightChars="-50" w:right="-120" w:firstLineChars="0" w:firstLine="0"/>
              <w:jc w:val="center"/>
              <w:outlineLvl w:val="3"/>
              <w:rPr>
                <w:b/>
                <w:bCs/>
                <w:kern w:val="2"/>
                <w:sz w:val="21"/>
                <w:szCs w:val="21"/>
              </w:rPr>
            </w:pPr>
            <w:r>
              <w:rPr>
                <w:b/>
                <w:bCs/>
                <w:sz w:val="21"/>
                <w:szCs w:val="21"/>
              </w:rPr>
              <w:t>《无机化学工业污染物排放标准》（</w:t>
            </w:r>
            <w:r>
              <w:rPr>
                <w:b/>
                <w:bCs/>
                <w:sz w:val="21"/>
                <w:szCs w:val="21"/>
              </w:rPr>
              <w:t>GB31573-2015</w:t>
            </w:r>
            <w:r>
              <w:rPr>
                <w:b/>
                <w:bCs/>
                <w:sz w:val="21"/>
                <w:szCs w:val="21"/>
              </w:rPr>
              <w:t>）间接排放</w:t>
            </w:r>
            <w:r>
              <w:rPr>
                <w:b/>
                <w:bCs/>
                <w:kern w:val="2"/>
                <w:sz w:val="21"/>
                <w:szCs w:val="21"/>
              </w:rPr>
              <w:t>浓度限值</w:t>
            </w:r>
          </w:p>
        </w:tc>
      </w:tr>
      <w:tr w:rsidR="003E78AB" w14:paraId="45DF1355" w14:textId="77777777">
        <w:trPr>
          <w:trHeight w:val="283"/>
        </w:trPr>
        <w:tc>
          <w:tcPr>
            <w:tcW w:w="335" w:type="pct"/>
            <w:vAlign w:val="center"/>
          </w:tcPr>
          <w:p w14:paraId="45E8CC57"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1</w:t>
            </w:r>
          </w:p>
        </w:tc>
        <w:tc>
          <w:tcPr>
            <w:tcW w:w="993" w:type="pct"/>
            <w:vAlign w:val="center"/>
          </w:tcPr>
          <w:p w14:paraId="0EF3F781"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pH</w:t>
            </w:r>
          </w:p>
        </w:tc>
        <w:tc>
          <w:tcPr>
            <w:tcW w:w="1720" w:type="pct"/>
            <w:vAlign w:val="center"/>
          </w:tcPr>
          <w:p w14:paraId="406AD7CB" w14:textId="77777777" w:rsidR="003E78AB" w:rsidRDefault="00010BF9">
            <w:pPr>
              <w:spacing w:line="240" w:lineRule="auto"/>
              <w:ind w:leftChars="-50" w:left="-120" w:rightChars="-50" w:right="-120" w:firstLineChars="0" w:firstLine="0"/>
              <w:jc w:val="center"/>
              <w:outlineLvl w:val="3"/>
              <w:rPr>
                <w:kern w:val="2"/>
                <w:sz w:val="21"/>
                <w:szCs w:val="21"/>
              </w:rPr>
            </w:pPr>
            <w:bookmarkStart w:id="146" w:name="OLE_LINK24"/>
            <w:r>
              <w:rPr>
                <w:kern w:val="2"/>
                <w:sz w:val="21"/>
                <w:szCs w:val="21"/>
              </w:rPr>
              <w:t>6~9</w:t>
            </w:r>
            <w:bookmarkEnd w:id="146"/>
          </w:p>
        </w:tc>
        <w:tc>
          <w:tcPr>
            <w:tcW w:w="1950" w:type="pct"/>
            <w:vAlign w:val="center"/>
          </w:tcPr>
          <w:p w14:paraId="5DE56EF8"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6~9</w:t>
            </w:r>
          </w:p>
        </w:tc>
      </w:tr>
      <w:tr w:rsidR="003E78AB" w14:paraId="3B34547F" w14:textId="77777777">
        <w:trPr>
          <w:trHeight w:val="283"/>
        </w:trPr>
        <w:tc>
          <w:tcPr>
            <w:tcW w:w="335" w:type="pct"/>
            <w:vAlign w:val="center"/>
          </w:tcPr>
          <w:p w14:paraId="19F58BA8"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2</w:t>
            </w:r>
          </w:p>
        </w:tc>
        <w:tc>
          <w:tcPr>
            <w:tcW w:w="993" w:type="pct"/>
            <w:vAlign w:val="center"/>
          </w:tcPr>
          <w:p w14:paraId="7BFB7575"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COD</w:t>
            </w:r>
          </w:p>
        </w:tc>
        <w:tc>
          <w:tcPr>
            <w:tcW w:w="1720" w:type="pct"/>
            <w:vAlign w:val="center"/>
          </w:tcPr>
          <w:p w14:paraId="78D60A01"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500</w:t>
            </w:r>
          </w:p>
        </w:tc>
        <w:tc>
          <w:tcPr>
            <w:tcW w:w="1950" w:type="pct"/>
            <w:vAlign w:val="center"/>
          </w:tcPr>
          <w:p w14:paraId="464AB5FC"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200</w:t>
            </w:r>
          </w:p>
        </w:tc>
      </w:tr>
      <w:tr w:rsidR="003E78AB" w14:paraId="17B78B02" w14:textId="77777777">
        <w:trPr>
          <w:trHeight w:val="283"/>
        </w:trPr>
        <w:tc>
          <w:tcPr>
            <w:tcW w:w="335" w:type="pct"/>
            <w:vAlign w:val="center"/>
          </w:tcPr>
          <w:p w14:paraId="619A5EB5"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3</w:t>
            </w:r>
          </w:p>
        </w:tc>
        <w:tc>
          <w:tcPr>
            <w:tcW w:w="993" w:type="pct"/>
            <w:vAlign w:val="center"/>
          </w:tcPr>
          <w:p w14:paraId="7A302609"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BOD</w:t>
            </w:r>
            <w:r>
              <w:rPr>
                <w:kern w:val="2"/>
                <w:sz w:val="21"/>
                <w:szCs w:val="21"/>
                <w:vertAlign w:val="subscript"/>
              </w:rPr>
              <w:t>5</w:t>
            </w:r>
          </w:p>
        </w:tc>
        <w:tc>
          <w:tcPr>
            <w:tcW w:w="1720" w:type="pct"/>
            <w:vAlign w:val="center"/>
          </w:tcPr>
          <w:p w14:paraId="243010C5"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300</w:t>
            </w:r>
          </w:p>
        </w:tc>
        <w:tc>
          <w:tcPr>
            <w:tcW w:w="1950" w:type="pct"/>
            <w:vAlign w:val="center"/>
          </w:tcPr>
          <w:p w14:paraId="630025D0"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w:t>
            </w:r>
          </w:p>
        </w:tc>
      </w:tr>
      <w:tr w:rsidR="003E78AB" w14:paraId="740415A1" w14:textId="77777777">
        <w:trPr>
          <w:trHeight w:val="283"/>
        </w:trPr>
        <w:tc>
          <w:tcPr>
            <w:tcW w:w="335" w:type="pct"/>
            <w:vAlign w:val="center"/>
          </w:tcPr>
          <w:p w14:paraId="775C9B86"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4</w:t>
            </w:r>
          </w:p>
        </w:tc>
        <w:tc>
          <w:tcPr>
            <w:tcW w:w="993" w:type="pct"/>
            <w:vAlign w:val="center"/>
          </w:tcPr>
          <w:p w14:paraId="36C74EAE"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SS</w:t>
            </w:r>
          </w:p>
        </w:tc>
        <w:tc>
          <w:tcPr>
            <w:tcW w:w="1720" w:type="pct"/>
            <w:vAlign w:val="center"/>
          </w:tcPr>
          <w:p w14:paraId="17222B60"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400</w:t>
            </w:r>
          </w:p>
        </w:tc>
        <w:tc>
          <w:tcPr>
            <w:tcW w:w="1950" w:type="pct"/>
            <w:vAlign w:val="center"/>
          </w:tcPr>
          <w:p w14:paraId="14E6C444"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100</w:t>
            </w:r>
          </w:p>
        </w:tc>
      </w:tr>
      <w:tr w:rsidR="003E78AB" w14:paraId="46973CD9" w14:textId="77777777">
        <w:trPr>
          <w:trHeight w:val="283"/>
        </w:trPr>
        <w:tc>
          <w:tcPr>
            <w:tcW w:w="335" w:type="pct"/>
            <w:vAlign w:val="center"/>
          </w:tcPr>
          <w:p w14:paraId="5BBEB2C7"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5</w:t>
            </w:r>
          </w:p>
        </w:tc>
        <w:tc>
          <w:tcPr>
            <w:tcW w:w="993" w:type="pct"/>
            <w:vAlign w:val="center"/>
          </w:tcPr>
          <w:p w14:paraId="3DDD6EB5"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NH</w:t>
            </w:r>
            <w:r>
              <w:rPr>
                <w:rFonts w:hint="eastAsia"/>
                <w:kern w:val="2"/>
                <w:sz w:val="21"/>
                <w:szCs w:val="21"/>
                <w:vertAlign w:val="subscript"/>
              </w:rPr>
              <w:t>3</w:t>
            </w:r>
            <w:r>
              <w:rPr>
                <w:rFonts w:hint="eastAsia"/>
                <w:kern w:val="2"/>
                <w:sz w:val="21"/>
                <w:szCs w:val="21"/>
              </w:rPr>
              <w:t>-N</w:t>
            </w:r>
          </w:p>
        </w:tc>
        <w:tc>
          <w:tcPr>
            <w:tcW w:w="1720" w:type="pct"/>
            <w:vAlign w:val="center"/>
          </w:tcPr>
          <w:p w14:paraId="72ECFD9A"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w:t>
            </w:r>
          </w:p>
        </w:tc>
        <w:tc>
          <w:tcPr>
            <w:tcW w:w="1950" w:type="pct"/>
            <w:vAlign w:val="center"/>
          </w:tcPr>
          <w:p w14:paraId="08C9F3B6"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40</w:t>
            </w:r>
          </w:p>
        </w:tc>
      </w:tr>
      <w:tr w:rsidR="003E78AB" w14:paraId="26295067" w14:textId="77777777">
        <w:trPr>
          <w:trHeight w:val="283"/>
        </w:trPr>
        <w:tc>
          <w:tcPr>
            <w:tcW w:w="335" w:type="pct"/>
            <w:vAlign w:val="center"/>
          </w:tcPr>
          <w:p w14:paraId="33061F5C"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6</w:t>
            </w:r>
          </w:p>
        </w:tc>
        <w:tc>
          <w:tcPr>
            <w:tcW w:w="993" w:type="pct"/>
            <w:vAlign w:val="center"/>
          </w:tcPr>
          <w:p w14:paraId="0CEDCDB0" w14:textId="77777777" w:rsidR="003E78AB" w:rsidRDefault="00010BF9">
            <w:pPr>
              <w:spacing w:line="240" w:lineRule="auto"/>
              <w:ind w:rightChars="-50" w:right="-120" w:firstLineChars="0" w:firstLine="0"/>
              <w:jc w:val="center"/>
              <w:outlineLvl w:val="3"/>
              <w:rPr>
                <w:kern w:val="2"/>
                <w:sz w:val="21"/>
                <w:szCs w:val="21"/>
              </w:rPr>
            </w:pPr>
            <w:r>
              <w:rPr>
                <w:kern w:val="2"/>
                <w:sz w:val="21"/>
                <w:szCs w:val="21"/>
              </w:rPr>
              <w:t>TP</w:t>
            </w:r>
          </w:p>
        </w:tc>
        <w:tc>
          <w:tcPr>
            <w:tcW w:w="1720" w:type="pct"/>
            <w:vAlign w:val="center"/>
          </w:tcPr>
          <w:p w14:paraId="19F8946F"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w:t>
            </w:r>
          </w:p>
        </w:tc>
        <w:tc>
          <w:tcPr>
            <w:tcW w:w="1950" w:type="pct"/>
            <w:vAlign w:val="center"/>
          </w:tcPr>
          <w:p w14:paraId="70632257"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2</w:t>
            </w:r>
          </w:p>
        </w:tc>
      </w:tr>
      <w:tr w:rsidR="003E78AB" w14:paraId="3D35AEE0" w14:textId="77777777">
        <w:trPr>
          <w:trHeight w:val="248"/>
        </w:trPr>
        <w:tc>
          <w:tcPr>
            <w:tcW w:w="335" w:type="pct"/>
            <w:vAlign w:val="center"/>
          </w:tcPr>
          <w:p w14:paraId="19FE4F5E"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7</w:t>
            </w:r>
          </w:p>
        </w:tc>
        <w:tc>
          <w:tcPr>
            <w:tcW w:w="993" w:type="pct"/>
            <w:vAlign w:val="center"/>
          </w:tcPr>
          <w:p w14:paraId="4C379BB8" w14:textId="77777777" w:rsidR="003E78AB" w:rsidRDefault="00010BF9">
            <w:pPr>
              <w:spacing w:line="240" w:lineRule="auto"/>
              <w:ind w:rightChars="-50" w:right="-120" w:firstLineChars="0" w:firstLine="0"/>
              <w:jc w:val="center"/>
              <w:outlineLvl w:val="3"/>
              <w:rPr>
                <w:kern w:val="2"/>
                <w:sz w:val="21"/>
                <w:szCs w:val="21"/>
              </w:rPr>
            </w:pPr>
            <w:r>
              <w:rPr>
                <w:rFonts w:hint="eastAsia"/>
                <w:kern w:val="2"/>
                <w:sz w:val="21"/>
                <w:szCs w:val="21"/>
              </w:rPr>
              <w:t>TN</w:t>
            </w:r>
          </w:p>
        </w:tc>
        <w:tc>
          <w:tcPr>
            <w:tcW w:w="1720" w:type="pct"/>
            <w:vAlign w:val="center"/>
          </w:tcPr>
          <w:p w14:paraId="0C5DC221"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w:t>
            </w:r>
          </w:p>
        </w:tc>
        <w:tc>
          <w:tcPr>
            <w:tcW w:w="1950" w:type="pct"/>
            <w:vAlign w:val="center"/>
          </w:tcPr>
          <w:p w14:paraId="03ED2F21"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60</w:t>
            </w:r>
          </w:p>
        </w:tc>
      </w:tr>
      <w:tr w:rsidR="003E78AB" w14:paraId="604FAB39" w14:textId="77777777">
        <w:trPr>
          <w:trHeight w:val="288"/>
        </w:trPr>
        <w:tc>
          <w:tcPr>
            <w:tcW w:w="335" w:type="pct"/>
            <w:vAlign w:val="center"/>
          </w:tcPr>
          <w:p w14:paraId="4F828F75"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8</w:t>
            </w:r>
          </w:p>
        </w:tc>
        <w:tc>
          <w:tcPr>
            <w:tcW w:w="993" w:type="pct"/>
            <w:vAlign w:val="center"/>
          </w:tcPr>
          <w:p w14:paraId="5EC64B4D" w14:textId="77777777" w:rsidR="003E78AB" w:rsidRDefault="00010BF9">
            <w:pPr>
              <w:spacing w:line="240" w:lineRule="auto"/>
              <w:ind w:rightChars="-50" w:right="-120" w:firstLineChars="0" w:firstLine="0"/>
              <w:jc w:val="center"/>
              <w:outlineLvl w:val="3"/>
              <w:rPr>
                <w:kern w:val="2"/>
                <w:sz w:val="21"/>
                <w:szCs w:val="21"/>
              </w:rPr>
            </w:pPr>
            <w:r>
              <w:rPr>
                <w:rFonts w:hint="eastAsia"/>
                <w:kern w:val="2"/>
                <w:sz w:val="21"/>
                <w:szCs w:val="21"/>
              </w:rPr>
              <w:t>硫酸盐</w:t>
            </w:r>
          </w:p>
        </w:tc>
        <w:tc>
          <w:tcPr>
            <w:tcW w:w="1720" w:type="pct"/>
            <w:vAlign w:val="center"/>
          </w:tcPr>
          <w:p w14:paraId="7843B3F8" w14:textId="77777777" w:rsidR="003E78AB" w:rsidRDefault="00010BF9">
            <w:pPr>
              <w:spacing w:line="240" w:lineRule="auto"/>
              <w:ind w:leftChars="-50" w:left="-120" w:rightChars="-50" w:right="-120" w:firstLineChars="0" w:firstLine="0"/>
              <w:jc w:val="center"/>
              <w:outlineLvl w:val="3"/>
              <w:rPr>
                <w:kern w:val="2"/>
                <w:sz w:val="21"/>
                <w:szCs w:val="21"/>
              </w:rPr>
            </w:pPr>
            <w:r>
              <w:rPr>
                <w:kern w:val="2"/>
                <w:sz w:val="21"/>
                <w:szCs w:val="21"/>
              </w:rPr>
              <w:t>/</w:t>
            </w:r>
          </w:p>
        </w:tc>
        <w:tc>
          <w:tcPr>
            <w:tcW w:w="1950" w:type="pct"/>
            <w:vAlign w:val="center"/>
          </w:tcPr>
          <w:p w14:paraId="585C199E"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w:t>
            </w:r>
          </w:p>
        </w:tc>
      </w:tr>
      <w:tr w:rsidR="003E78AB" w14:paraId="2A6D14A8" w14:textId="77777777">
        <w:trPr>
          <w:trHeight w:val="283"/>
        </w:trPr>
        <w:tc>
          <w:tcPr>
            <w:tcW w:w="335" w:type="pct"/>
            <w:vAlign w:val="center"/>
          </w:tcPr>
          <w:p w14:paraId="6B6887F7"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9</w:t>
            </w:r>
          </w:p>
        </w:tc>
        <w:tc>
          <w:tcPr>
            <w:tcW w:w="993" w:type="pct"/>
            <w:vAlign w:val="center"/>
          </w:tcPr>
          <w:p w14:paraId="2434FBE7" w14:textId="77777777" w:rsidR="003E78AB" w:rsidRDefault="00010BF9">
            <w:pPr>
              <w:spacing w:line="240" w:lineRule="auto"/>
              <w:ind w:rightChars="-50" w:right="-120" w:firstLineChars="0" w:firstLine="0"/>
              <w:jc w:val="center"/>
              <w:outlineLvl w:val="3"/>
              <w:rPr>
                <w:kern w:val="2"/>
                <w:sz w:val="21"/>
                <w:szCs w:val="21"/>
              </w:rPr>
            </w:pPr>
            <w:r>
              <w:rPr>
                <w:rFonts w:hint="eastAsia"/>
                <w:kern w:val="2"/>
                <w:sz w:val="21"/>
                <w:szCs w:val="21"/>
              </w:rPr>
              <w:t>钒</w:t>
            </w:r>
          </w:p>
        </w:tc>
        <w:tc>
          <w:tcPr>
            <w:tcW w:w="1720" w:type="pct"/>
            <w:vAlign w:val="center"/>
          </w:tcPr>
          <w:p w14:paraId="1FB0996C"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w:t>
            </w:r>
          </w:p>
        </w:tc>
        <w:tc>
          <w:tcPr>
            <w:tcW w:w="1950" w:type="pct"/>
            <w:vAlign w:val="center"/>
          </w:tcPr>
          <w:p w14:paraId="54FA892B" w14:textId="77777777" w:rsidR="003E78AB" w:rsidRDefault="00010BF9">
            <w:pPr>
              <w:spacing w:line="240" w:lineRule="auto"/>
              <w:ind w:leftChars="-50" w:left="-120" w:rightChars="-50" w:right="-120" w:firstLineChars="0" w:firstLine="0"/>
              <w:jc w:val="center"/>
              <w:outlineLvl w:val="3"/>
              <w:rPr>
                <w:kern w:val="2"/>
                <w:sz w:val="21"/>
                <w:szCs w:val="21"/>
              </w:rPr>
            </w:pPr>
            <w:r>
              <w:rPr>
                <w:rFonts w:hint="eastAsia"/>
                <w:kern w:val="2"/>
                <w:sz w:val="21"/>
                <w:szCs w:val="21"/>
              </w:rPr>
              <w:t>/</w:t>
            </w:r>
          </w:p>
        </w:tc>
      </w:tr>
    </w:tbl>
    <w:p w14:paraId="35BE494C" w14:textId="77777777" w:rsidR="003E78AB" w:rsidRDefault="00010BF9">
      <w:pPr>
        <w:ind w:firstLine="480"/>
        <w:rPr>
          <w:kern w:val="2"/>
        </w:rPr>
      </w:pPr>
      <w:r>
        <w:rPr>
          <w:kern w:val="2"/>
        </w:rPr>
        <w:t>（</w:t>
      </w:r>
      <w:r>
        <w:rPr>
          <w:kern w:val="2"/>
        </w:rPr>
        <w:t>3</w:t>
      </w:r>
      <w:r>
        <w:rPr>
          <w:kern w:val="2"/>
        </w:rPr>
        <w:t>）噪声</w:t>
      </w:r>
    </w:p>
    <w:p w14:paraId="600EC166" w14:textId="77777777" w:rsidR="003E78AB" w:rsidRDefault="00010BF9">
      <w:pPr>
        <w:ind w:firstLine="480"/>
        <w:rPr>
          <w:kern w:val="2"/>
        </w:rPr>
      </w:pPr>
      <w:r>
        <w:rPr>
          <w:kern w:val="2"/>
        </w:rPr>
        <w:t>施工期噪声执行《建筑施工场界环境噪声排放标准》（</w:t>
      </w:r>
      <w:r>
        <w:rPr>
          <w:kern w:val="2"/>
        </w:rPr>
        <w:t>GB12523-2011</w:t>
      </w:r>
      <w:r>
        <w:rPr>
          <w:kern w:val="2"/>
        </w:rPr>
        <w:t>）相关标准，运营期噪声执行《工业企业厂界环境噪声排放标准》（</w:t>
      </w:r>
      <w:r>
        <w:rPr>
          <w:kern w:val="2"/>
        </w:rPr>
        <w:t>GB12348-2008</w:t>
      </w:r>
      <w:r>
        <w:rPr>
          <w:kern w:val="2"/>
        </w:rPr>
        <w:t>）中</w:t>
      </w:r>
      <w:r>
        <w:rPr>
          <w:kern w:val="2"/>
        </w:rPr>
        <w:t>3</w:t>
      </w:r>
      <w:r>
        <w:rPr>
          <w:kern w:val="2"/>
        </w:rPr>
        <w:t>类区标准。噪声排放标准</w:t>
      </w:r>
      <w:r>
        <w:rPr>
          <w:rFonts w:hint="eastAsia"/>
          <w:kern w:val="2"/>
        </w:rPr>
        <w:t>见</w:t>
      </w:r>
      <w:r>
        <w:rPr>
          <w:kern w:val="2"/>
        </w:rPr>
        <w:t>表</w:t>
      </w:r>
      <w:r>
        <w:rPr>
          <w:kern w:val="2"/>
        </w:rPr>
        <w:t>2-35</w:t>
      </w:r>
      <w:r>
        <w:rPr>
          <w:kern w:val="2"/>
        </w:rPr>
        <w:t>。</w:t>
      </w:r>
    </w:p>
    <w:p w14:paraId="311E4943" w14:textId="77777777" w:rsidR="003E78AB" w:rsidRDefault="00010BF9">
      <w:pPr>
        <w:pStyle w:val="a5"/>
      </w:pPr>
      <w:r>
        <w:t>噪声排放标准限值</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1308"/>
        <w:gridCol w:w="932"/>
        <w:gridCol w:w="1065"/>
        <w:gridCol w:w="685"/>
      </w:tblGrid>
      <w:tr w:rsidR="003E78AB" w14:paraId="596A8910" w14:textId="77777777">
        <w:trPr>
          <w:cantSplit/>
          <w:trHeight w:val="283"/>
          <w:jc w:val="center"/>
        </w:trPr>
        <w:tc>
          <w:tcPr>
            <w:tcW w:w="2656" w:type="pct"/>
            <w:vAlign w:val="center"/>
          </w:tcPr>
          <w:p w14:paraId="71ED55B2" w14:textId="77777777" w:rsidR="003E78AB" w:rsidRDefault="00010BF9">
            <w:pPr>
              <w:spacing w:line="240" w:lineRule="auto"/>
              <w:ind w:firstLineChars="0" w:firstLine="0"/>
              <w:jc w:val="center"/>
              <w:rPr>
                <w:b/>
                <w:bCs/>
                <w:kern w:val="2"/>
                <w:sz w:val="21"/>
                <w:szCs w:val="21"/>
              </w:rPr>
            </w:pPr>
            <w:r>
              <w:rPr>
                <w:b/>
                <w:bCs/>
                <w:kern w:val="2"/>
                <w:sz w:val="21"/>
                <w:szCs w:val="21"/>
              </w:rPr>
              <w:t>标准</w:t>
            </w:r>
          </w:p>
        </w:tc>
        <w:tc>
          <w:tcPr>
            <w:tcW w:w="768" w:type="pct"/>
            <w:vAlign w:val="center"/>
          </w:tcPr>
          <w:p w14:paraId="38FD7D02" w14:textId="77777777" w:rsidR="003E78AB" w:rsidRDefault="00010BF9">
            <w:pPr>
              <w:spacing w:line="240" w:lineRule="auto"/>
              <w:ind w:firstLineChars="0" w:firstLine="0"/>
              <w:jc w:val="center"/>
              <w:rPr>
                <w:b/>
                <w:bCs/>
                <w:kern w:val="2"/>
                <w:sz w:val="21"/>
                <w:szCs w:val="21"/>
              </w:rPr>
            </w:pPr>
            <w:r>
              <w:rPr>
                <w:b/>
                <w:bCs/>
                <w:kern w:val="2"/>
                <w:sz w:val="21"/>
                <w:szCs w:val="21"/>
              </w:rPr>
              <w:t>范围</w:t>
            </w:r>
          </w:p>
        </w:tc>
        <w:tc>
          <w:tcPr>
            <w:tcW w:w="547" w:type="pct"/>
            <w:vAlign w:val="center"/>
          </w:tcPr>
          <w:p w14:paraId="6FB18C91" w14:textId="77777777" w:rsidR="003E78AB" w:rsidRDefault="00010BF9">
            <w:pPr>
              <w:spacing w:line="240" w:lineRule="auto"/>
              <w:ind w:firstLineChars="0" w:firstLine="0"/>
              <w:jc w:val="center"/>
              <w:rPr>
                <w:b/>
                <w:bCs/>
                <w:kern w:val="2"/>
                <w:sz w:val="21"/>
                <w:szCs w:val="21"/>
              </w:rPr>
            </w:pPr>
            <w:r>
              <w:rPr>
                <w:b/>
                <w:bCs/>
                <w:kern w:val="2"/>
                <w:sz w:val="21"/>
                <w:szCs w:val="21"/>
              </w:rPr>
              <w:t>单位</w:t>
            </w:r>
          </w:p>
        </w:tc>
        <w:tc>
          <w:tcPr>
            <w:tcW w:w="625" w:type="pct"/>
            <w:vAlign w:val="center"/>
          </w:tcPr>
          <w:p w14:paraId="096A8486" w14:textId="77777777" w:rsidR="003E78AB" w:rsidRDefault="00010BF9">
            <w:pPr>
              <w:spacing w:line="240" w:lineRule="auto"/>
              <w:ind w:firstLineChars="0" w:firstLine="0"/>
              <w:jc w:val="center"/>
              <w:rPr>
                <w:b/>
                <w:bCs/>
                <w:kern w:val="2"/>
                <w:sz w:val="21"/>
                <w:szCs w:val="21"/>
              </w:rPr>
            </w:pPr>
            <w:r>
              <w:rPr>
                <w:b/>
                <w:bCs/>
                <w:kern w:val="2"/>
                <w:sz w:val="21"/>
                <w:szCs w:val="21"/>
              </w:rPr>
              <w:t>时段</w:t>
            </w:r>
          </w:p>
        </w:tc>
        <w:tc>
          <w:tcPr>
            <w:tcW w:w="402" w:type="pct"/>
            <w:vAlign w:val="center"/>
          </w:tcPr>
          <w:p w14:paraId="566AC73E" w14:textId="77777777" w:rsidR="003E78AB" w:rsidRDefault="00010BF9">
            <w:pPr>
              <w:spacing w:line="240" w:lineRule="auto"/>
              <w:ind w:firstLineChars="0" w:firstLine="0"/>
              <w:jc w:val="center"/>
              <w:rPr>
                <w:b/>
                <w:bCs/>
                <w:kern w:val="2"/>
                <w:sz w:val="21"/>
                <w:szCs w:val="21"/>
              </w:rPr>
            </w:pPr>
            <w:r>
              <w:rPr>
                <w:b/>
                <w:bCs/>
                <w:kern w:val="2"/>
                <w:sz w:val="21"/>
                <w:szCs w:val="21"/>
              </w:rPr>
              <w:t>限值</w:t>
            </w:r>
          </w:p>
        </w:tc>
      </w:tr>
      <w:tr w:rsidR="003E78AB" w14:paraId="2D89B3A9" w14:textId="77777777">
        <w:trPr>
          <w:cantSplit/>
          <w:trHeight w:val="269"/>
          <w:jc w:val="center"/>
        </w:trPr>
        <w:tc>
          <w:tcPr>
            <w:tcW w:w="2656" w:type="pct"/>
            <w:vMerge w:val="restart"/>
            <w:vAlign w:val="center"/>
          </w:tcPr>
          <w:p w14:paraId="67190819" w14:textId="77777777" w:rsidR="003E78AB" w:rsidRDefault="00010BF9">
            <w:pPr>
              <w:spacing w:line="240" w:lineRule="auto"/>
              <w:ind w:firstLineChars="0" w:firstLine="0"/>
              <w:jc w:val="center"/>
              <w:rPr>
                <w:kern w:val="2"/>
                <w:sz w:val="21"/>
                <w:szCs w:val="21"/>
              </w:rPr>
            </w:pPr>
            <w:r>
              <w:rPr>
                <w:kern w:val="2"/>
                <w:sz w:val="21"/>
                <w:szCs w:val="21"/>
              </w:rPr>
              <w:t>《工业企业厂界环境噪声排放标准》</w:t>
            </w:r>
          </w:p>
          <w:p w14:paraId="46588664" w14:textId="77777777" w:rsidR="003E78AB" w:rsidRDefault="00010BF9">
            <w:pPr>
              <w:spacing w:line="240" w:lineRule="auto"/>
              <w:ind w:firstLineChars="0" w:firstLine="0"/>
              <w:jc w:val="center"/>
              <w:rPr>
                <w:kern w:val="2"/>
                <w:sz w:val="21"/>
                <w:szCs w:val="21"/>
              </w:rPr>
            </w:pPr>
            <w:r>
              <w:rPr>
                <w:kern w:val="2"/>
                <w:sz w:val="21"/>
                <w:szCs w:val="21"/>
              </w:rPr>
              <w:t>（</w:t>
            </w:r>
            <w:r>
              <w:rPr>
                <w:kern w:val="2"/>
                <w:sz w:val="21"/>
                <w:szCs w:val="21"/>
              </w:rPr>
              <w:t>GB12348-2008</w:t>
            </w:r>
            <w:r>
              <w:rPr>
                <w:kern w:val="2"/>
                <w:sz w:val="21"/>
                <w:szCs w:val="21"/>
              </w:rPr>
              <w:t>）表</w:t>
            </w:r>
            <w:r>
              <w:rPr>
                <w:kern w:val="2"/>
                <w:sz w:val="21"/>
                <w:szCs w:val="21"/>
              </w:rPr>
              <w:t>1</w:t>
            </w:r>
            <w:r>
              <w:rPr>
                <w:kern w:val="2"/>
                <w:sz w:val="21"/>
                <w:szCs w:val="21"/>
              </w:rPr>
              <w:t>中</w:t>
            </w:r>
            <w:r>
              <w:rPr>
                <w:kern w:val="2"/>
                <w:sz w:val="21"/>
                <w:szCs w:val="21"/>
              </w:rPr>
              <w:t>3</w:t>
            </w:r>
            <w:r>
              <w:rPr>
                <w:kern w:val="2"/>
                <w:sz w:val="21"/>
                <w:szCs w:val="21"/>
              </w:rPr>
              <w:t>类区标准限值</w:t>
            </w:r>
          </w:p>
        </w:tc>
        <w:tc>
          <w:tcPr>
            <w:tcW w:w="768" w:type="pct"/>
            <w:vMerge w:val="restart"/>
            <w:vAlign w:val="center"/>
          </w:tcPr>
          <w:p w14:paraId="4D2885F7" w14:textId="77777777" w:rsidR="003E78AB" w:rsidRDefault="00010BF9">
            <w:pPr>
              <w:spacing w:line="240" w:lineRule="auto"/>
              <w:ind w:firstLineChars="0" w:firstLine="0"/>
              <w:jc w:val="center"/>
              <w:rPr>
                <w:kern w:val="2"/>
                <w:sz w:val="21"/>
                <w:szCs w:val="21"/>
              </w:rPr>
            </w:pPr>
            <w:r>
              <w:rPr>
                <w:kern w:val="2"/>
                <w:sz w:val="21"/>
                <w:szCs w:val="21"/>
              </w:rPr>
              <w:t>厂界噪声</w:t>
            </w:r>
          </w:p>
        </w:tc>
        <w:tc>
          <w:tcPr>
            <w:tcW w:w="547" w:type="pct"/>
            <w:vMerge w:val="restart"/>
            <w:vAlign w:val="center"/>
          </w:tcPr>
          <w:p w14:paraId="26A83431" w14:textId="77777777" w:rsidR="003E78AB" w:rsidRDefault="00010BF9">
            <w:pPr>
              <w:spacing w:line="240" w:lineRule="auto"/>
              <w:ind w:firstLineChars="0" w:firstLine="0"/>
              <w:jc w:val="center"/>
              <w:rPr>
                <w:kern w:val="2"/>
                <w:sz w:val="21"/>
                <w:szCs w:val="21"/>
              </w:rPr>
            </w:pPr>
            <w:r>
              <w:rPr>
                <w:kern w:val="2"/>
                <w:sz w:val="21"/>
                <w:szCs w:val="21"/>
              </w:rPr>
              <w:t>dB</w:t>
            </w:r>
            <w:r>
              <w:rPr>
                <w:rFonts w:hint="eastAsia"/>
                <w:kern w:val="2"/>
                <w:sz w:val="21"/>
                <w:szCs w:val="21"/>
              </w:rPr>
              <w:t>(A)</w:t>
            </w:r>
          </w:p>
        </w:tc>
        <w:tc>
          <w:tcPr>
            <w:tcW w:w="625" w:type="pct"/>
            <w:vAlign w:val="center"/>
          </w:tcPr>
          <w:p w14:paraId="1DE6FF04" w14:textId="77777777" w:rsidR="003E78AB" w:rsidRDefault="00010BF9">
            <w:pPr>
              <w:spacing w:line="240" w:lineRule="auto"/>
              <w:ind w:firstLineChars="0" w:firstLine="0"/>
              <w:jc w:val="center"/>
              <w:rPr>
                <w:kern w:val="2"/>
                <w:sz w:val="21"/>
                <w:szCs w:val="21"/>
              </w:rPr>
            </w:pPr>
            <w:r>
              <w:rPr>
                <w:kern w:val="2"/>
                <w:sz w:val="21"/>
                <w:szCs w:val="21"/>
              </w:rPr>
              <w:t>昼间</w:t>
            </w:r>
          </w:p>
        </w:tc>
        <w:tc>
          <w:tcPr>
            <w:tcW w:w="402" w:type="pct"/>
            <w:vAlign w:val="center"/>
          </w:tcPr>
          <w:p w14:paraId="41D1ED4E" w14:textId="77777777" w:rsidR="003E78AB" w:rsidRDefault="00010BF9">
            <w:pPr>
              <w:spacing w:line="240" w:lineRule="auto"/>
              <w:ind w:firstLineChars="0" w:firstLine="0"/>
              <w:jc w:val="center"/>
              <w:rPr>
                <w:kern w:val="2"/>
                <w:sz w:val="21"/>
                <w:szCs w:val="21"/>
              </w:rPr>
            </w:pPr>
            <w:r>
              <w:rPr>
                <w:kern w:val="2"/>
                <w:sz w:val="21"/>
                <w:szCs w:val="21"/>
              </w:rPr>
              <w:t>65</w:t>
            </w:r>
          </w:p>
        </w:tc>
      </w:tr>
      <w:tr w:rsidR="003E78AB" w14:paraId="5B0EA99F" w14:textId="77777777">
        <w:trPr>
          <w:cantSplit/>
          <w:trHeight w:val="269"/>
          <w:jc w:val="center"/>
        </w:trPr>
        <w:tc>
          <w:tcPr>
            <w:tcW w:w="2656" w:type="pct"/>
            <w:vMerge/>
            <w:vAlign w:val="center"/>
          </w:tcPr>
          <w:p w14:paraId="16BE2A92" w14:textId="77777777" w:rsidR="003E78AB" w:rsidRDefault="003E78AB">
            <w:pPr>
              <w:spacing w:line="240" w:lineRule="auto"/>
              <w:ind w:firstLineChars="0" w:firstLine="0"/>
              <w:jc w:val="center"/>
              <w:rPr>
                <w:kern w:val="2"/>
                <w:sz w:val="21"/>
                <w:szCs w:val="21"/>
              </w:rPr>
            </w:pPr>
          </w:p>
        </w:tc>
        <w:tc>
          <w:tcPr>
            <w:tcW w:w="768" w:type="pct"/>
            <w:vMerge/>
            <w:vAlign w:val="center"/>
          </w:tcPr>
          <w:p w14:paraId="1873E428" w14:textId="77777777" w:rsidR="003E78AB" w:rsidRDefault="003E78AB">
            <w:pPr>
              <w:spacing w:line="240" w:lineRule="auto"/>
              <w:ind w:firstLineChars="0" w:firstLine="0"/>
              <w:jc w:val="center"/>
              <w:rPr>
                <w:kern w:val="2"/>
                <w:sz w:val="21"/>
                <w:szCs w:val="21"/>
              </w:rPr>
            </w:pPr>
          </w:p>
        </w:tc>
        <w:tc>
          <w:tcPr>
            <w:tcW w:w="547" w:type="pct"/>
            <w:vMerge/>
            <w:vAlign w:val="center"/>
          </w:tcPr>
          <w:p w14:paraId="31048017" w14:textId="77777777" w:rsidR="003E78AB" w:rsidRDefault="003E78AB">
            <w:pPr>
              <w:spacing w:line="240" w:lineRule="auto"/>
              <w:ind w:firstLineChars="0" w:firstLine="0"/>
              <w:jc w:val="center"/>
              <w:rPr>
                <w:kern w:val="2"/>
                <w:sz w:val="21"/>
                <w:szCs w:val="21"/>
              </w:rPr>
            </w:pPr>
          </w:p>
        </w:tc>
        <w:tc>
          <w:tcPr>
            <w:tcW w:w="625" w:type="pct"/>
            <w:vAlign w:val="center"/>
          </w:tcPr>
          <w:p w14:paraId="14B2B69E" w14:textId="77777777" w:rsidR="003E78AB" w:rsidRDefault="00010BF9">
            <w:pPr>
              <w:spacing w:line="240" w:lineRule="auto"/>
              <w:ind w:firstLineChars="0" w:firstLine="0"/>
              <w:jc w:val="center"/>
              <w:rPr>
                <w:kern w:val="2"/>
                <w:sz w:val="21"/>
                <w:szCs w:val="21"/>
              </w:rPr>
            </w:pPr>
            <w:r>
              <w:rPr>
                <w:kern w:val="2"/>
                <w:sz w:val="21"/>
                <w:szCs w:val="21"/>
              </w:rPr>
              <w:t>夜间</w:t>
            </w:r>
          </w:p>
        </w:tc>
        <w:tc>
          <w:tcPr>
            <w:tcW w:w="402" w:type="pct"/>
            <w:vAlign w:val="center"/>
          </w:tcPr>
          <w:p w14:paraId="27149115" w14:textId="77777777" w:rsidR="003E78AB" w:rsidRDefault="00010BF9">
            <w:pPr>
              <w:spacing w:line="240" w:lineRule="auto"/>
              <w:ind w:firstLineChars="0" w:firstLine="0"/>
              <w:jc w:val="center"/>
              <w:rPr>
                <w:kern w:val="2"/>
                <w:sz w:val="21"/>
                <w:szCs w:val="21"/>
              </w:rPr>
            </w:pPr>
            <w:r>
              <w:rPr>
                <w:kern w:val="2"/>
                <w:sz w:val="21"/>
                <w:szCs w:val="21"/>
              </w:rPr>
              <w:t>55</w:t>
            </w:r>
          </w:p>
        </w:tc>
      </w:tr>
      <w:tr w:rsidR="003E78AB" w14:paraId="71A6DA18" w14:textId="77777777">
        <w:trPr>
          <w:cantSplit/>
          <w:trHeight w:val="269"/>
          <w:jc w:val="center"/>
        </w:trPr>
        <w:tc>
          <w:tcPr>
            <w:tcW w:w="2656" w:type="pct"/>
            <w:vMerge w:val="restart"/>
            <w:vAlign w:val="center"/>
          </w:tcPr>
          <w:p w14:paraId="5C8E0E2E" w14:textId="77777777" w:rsidR="003E78AB" w:rsidRDefault="00010BF9">
            <w:pPr>
              <w:spacing w:line="240" w:lineRule="auto"/>
              <w:ind w:firstLineChars="0" w:firstLine="0"/>
              <w:jc w:val="center"/>
              <w:rPr>
                <w:kern w:val="2"/>
                <w:sz w:val="21"/>
                <w:szCs w:val="21"/>
              </w:rPr>
            </w:pPr>
            <w:r>
              <w:rPr>
                <w:kern w:val="2"/>
                <w:sz w:val="21"/>
                <w:szCs w:val="21"/>
              </w:rPr>
              <w:t>《建筑施工场界环境噪声排放标准》（</w:t>
            </w:r>
            <w:r>
              <w:rPr>
                <w:kern w:val="2"/>
                <w:sz w:val="21"/>
                <w:szCs w:val="21"/>
              </w:rPr>
              <w:t>12523-2011</w:t>
            </w:r>
            <w:r>
              <w:rPr>
                <w:kern w:val="2"/>
                <w:sz w:val="21"/>
                <w:szCs w:val="21"/>
              </w:rPr>
              <w:t>）中表</w:t>
            </w:r>
            <w:r>
              <w:rPr>
                <w:kern w:val="2"/>
                <w:sz w:val="21"/>
                <w:szCs w:val="21"/>
              </w:rPr>
              <w:t>1</w:t>
            </w:r>
            <w:r>
              <w:rPr>
                <w:kern w:val="2"/>
                <w:sz w:val="21"/>
                <w:szCs w:val="21"/>
              </w:rPr>
              <w:t>建筑施工场界环境噪声排放限值</w:t>
            </w:r>
          </w:p>
        </w:tc>
        <w:tc>
          <w:tcPr>
            <w:tcW w:w="768" w:type="pct"/>
            <w:vMerge w:val="restart"/>
            <w:vAlign w:val="center"/>
          </w:tcPr>
          <w:p w14:paraId="50C2D73F" w14:textId="77777777" w:rsidR="003E78AB" w:rsidRDefault="00010BF9">
            <w:pPr>
              <w:spacing w:line="240" w:lineRule="auto"/>
              <w:ind w:firstLineChars="0" w:firstLine="0"/>
              <w:jc w:val="center"/>
              <w:rPr>
                <w:kern w:val="2"/>
                <w:sz w:val="21"/>
                <w:szCs w:val="21"/>
              </w:rPr>
            </w:pPr>
            <w:r>
              <w:rPr>
                <w:kern w:val="2"/>
                <w:sz w:val="21"/>
                <w:szCs w:val="21"/>
              </w:rPr>
              <w:t>施工场界</w:t>
            </w:r>
          </w:p>
        </w:tc>
        <w:tc>
          <w:tcPr>
            <w:tcW w:w="547" w:type="pct"/>
            <w:vMerge/>
            <w:vAlign w:val="center"/>
          </w:tcPr>
          <w:p w14:paraId="5DC8723D" w14:textId="77777777" w:rsidR="003E78AB" w:rsidRDefault="003E78AB">
            <w:pPr>
              <w:spacing w:line="240" w:lineRule="auto"/>
              <w:ind w:firstLineChars="0" w:firstLine="0"/>
              <w:jc w:val="center"/>
              <w:rPr>
                <w:kern w:val="2"/>
                <w:sz w:val="21"/>
                <w:szCs w:val="21"/>
              </w:rPr>
            </w:pPr>
          </w:p>
        </w:tc>
        <w:tc>
          <w:tcPr>
            <w:tcW w:w="625" w:type="pct"/>
            <w:vAlign w:val="center"/>
          </w:tcPr>
          <w:p w14:paraId="6DD36CA4" w14:textId="77777777" w:rsidR="003E78AB" w:rsidRDefault="00010BF9">
            <w:pPr>
              <w:spacing w:line="240" w:lineRule="auto"/>
              <w:ind w:firstLineChars="0" w:firstLine="0"/>
              <w:jc w:val="center"/>
              <w:rPr>
                <w:kern w:val="2"/>
                <w:sz w:val="21"/>
                <w:szCs w:val="21"/>
              </w:rPr>
            </w:pPr>
            <w:r>
              <w:rPr>
                <w:kern w:val="2"/>
                <w:sz w:val="21"/>
                <w:szCs w:val="21"/>
              </w:rPr>
              <w:t>昼间</w:t>
            </w:r>
          </w:p>
        </w:tc>
        <w:tc>
          <w:tcPr>
            <w:tcW w:w="402" w:type="pct"/>
            <w:vAlign w:val="center"/>
          </w:tcPr>
          <w:p w14:paraId="62FBD1A7" w14:textId="77777777" w:rsidR="003E78AB" w:rsidRDefault="00010BF9">
            <w:pPr>
              <w:spacing w:line="240" w:lineRule="auto"/>
              <w:ind w:firstLineChars="0" w:firstLine="0"/>
              <w:jc w:val="center"/>
              <w:rPr>
                <w:kern w:val="2"/>
                <w:sz w:val="21"/>
                <w:szCs w:val="21"/>
              </w:rPr>
            </w:pPr>
            <w:r>
              <w:rPr>
                <w:kern w:val="2"/>
                <w:sz w:val="21"/>
                <w:szCs w:val="21"/>
              </w:rPr>
              <w:t>70</w:t>
            </w:r>
          </w:p>
        </w:tc>
      </w:tr>
      <w:tr w:rsidR="003E78AB" w14:paraId="580D6D69" w14:textId="77777777">
        <w:trPr>
          <w:cantSplit/>
          <w:trHeight w:val="269"/>
          <w:jc w:val="center"/>
        </w:trPr>
        <w:tc>
          <w:tcPr>
            <w:tcW w:w="2656" w:type="pct"/>
            <w:vMerge/>
            <w:vAlign w:val="center"/>
          </w:tcPr>
          <w:p w14:paraId="2909B02C" w14:textId="77777777" w:rsidR="003E78AB" w:rsidRDefault="003E78AB">
            <w:pPr>
              <w:spacing w:line="240" w:lineRule="auto"/>
              <w:ind w:firstLineChars="0" w:firstLine="0"/>
              <w:jc w:val="center"/>
              <w:rPr>
                <w:kern w:val="2"/>
                <w:sz w:val="21"/>
                <w:szCs w:val="21"/>
              </w:rPr>
            </w:pPr>
          </w:p>
        </w:tc>
        <w:tc>
          <w:tcPr>
            <w:tcW w:w="768" w:type="pct"/>
            <w:vMerge/>
            <w:vAlign w:val="center"/>
          </w:tcPr>
          <w:p w14:paraId="73B85FB9" w14:textId="77777777" w:rsidR="003E78AB" w:rsidRDefault="003E78AB">
            <w:pPr>
              <w:spacing w:line="240" w:lineRule="auto"/>
              <w:ind w:firstLineChars="0" w:firstLine="0"/>
              <w:jc w:val="center"/>
              <w:rPr>
                <w:kern w:val="2"/>
                <w:sz w:val="21"/>
                <w:szCs w:val="21"/>
              </w:rPr>
            </w:pPr>
          </w:p>
        </w:tc>
        <w:tc>
          <w:tcPr>
            <w:tcW w:w="547" w:type="pct"/>
            <w:vMerge/>
            <w:vAlign w:val="center"/>
          </w:tcPr>
          <w:p w14:paraId="033D30F3" w14:textId="77777777" w:rsidR="003E78AB" w:rsidRDefault="003E78AB">
            <w:pPr>
              <w:spacing w:line="240" w:lineRule="auto"/>
              <w:ind w:firstLineChars="0" w:firstLine="0"/>
              <w:jc w:val="center"/>
              <w:rPr>
                <w:kern w:val="2"/>
                <w:sz w:val="21"/>
                <w:szCs w:val="21"/>
              </w:rPr>
            </w:pPr>
          </w:p>
        </w:tc>
        <w:tc>
          <w:tcPr>
            <w:tcW w:w="625" w:type="pct"/>
            <w:vAlign w:val="center"/>
          </w:tcPr>
          <w:p w14:paraId="5D8B8DC0" w14:textId="77777777" w:rsidR="003E78AB" w:rsidRDefault="00010BF9">
            <w:pPr>
              <w:spacing w:line="240" w:lineRule="auto"/>
              <w:ind w:firstLineChars="0" w:firstLine="0"/>
              <w:jc w:val="center"/>
              <w:rPr>
                <w:kern w:val="2"/>
                <w:sz w:val="21"/>
                <w:szCs w:val="21"/>
              </w:rPr>
            </w:pPr>
            <w:r>
              <w:rPr>
                <w:kern w:val="2"/>
                <w:sz w:val="21"/>
                <w:szCs w:val="21"/>
              </w:rPr>
              <w:t>夜间</w:t>
            </w:r>
          </w:p>
        </w:tc>
        <w:tc>
          <w:tcPr>
            <w:tcW w:w="402" w:type="pct"/>
            <w:vAlign w:val="center"/>
          </w:tcPr>
          <w:p w14:paraId="4DC9F6C9" w14:textId="77777777" w:rsidR="003E78AB" w:rsidRDefault="00010BF9">
            <w:pPr>
              <w:spacing w:line="240" w:lineRule="auto"/>
              <w:ind w:firstLineChars="0" w:firstLine="0"/>
              <w:jc w:val="center"/>
              <w:rPr>
                <w:kern w:val="2"/>
                <w:sz w:val="21"/>
                <w:szCs w:val="21"/>
              </w:rPr>
            </w:pPr>
            <w:r>
              <w:rPr>
                <w:kern w:val="2"/>
                <w:sz w:val="21"/>
                <w:szCs w:val="21"/>
              </w:rPr>
              <w:t>55</w:t>
            </w:r>
          </w:p>
        </w:tc>
      </w:tr>
    </w:tbl>
    <w:p w14:paraId="162B40AB" w14:textId="77777777" w:rsidR="003E78AB" w:rsidRDefault="00010BF9">
      <w:pPr>
        <w:ind w:firstLine="480"/>
        <w:rPr>
          <w:kern w:val="2"/>
        </w:rPr>
      </w:pPr>
      <w:r>
        <w:rPr>
          <w:kern w:val="2"/>
        </w:rPr>
        <w:t>（</w:t>
      </w:r>
      <w:r>
        <w:rPr>
          <w:kern w:val="2"/>
        </w:rPr>
        <w:t>4</w:t>
      </w:r>
      <w:r>
        <w:rPr>
          <w:kern w:val="2"/>
        </w:rPr>
        <w:t>）固废</w:t>
      </w:r>
    </w:p>
    <w:p w14:paraId="145CACB3" w14:textId="77777777" w:rsidR="003E78AB" w:rsidRDefault="00010BF9">
      <w:pPr>
        <w:ind w:firstLine="480"/>
        <w:rPr>
          <w:kern w:val="2"/>
        </w:rPr>
      </w:pPr>
      <w:r>
        <w:rPr>
          <w:kern w:val="2"/>
        </w:rPr>
        <w:t>根据本工程产生的各种固体废物的性质和去向，生活垃圾执行《生活垃圾填埋场污染控制标准》（</w:t>
      </w:r>
      <w:r>
        <w:rPr>
          <w:kern w:val="2"/>
        </w:rPr>
        <w:t>GB16889-2008</w:t>
      </w:r>
      <w:r>
        <w:rPr>
          <w:kern w:val="2"/>
        </w:rPr>
        <w:t>）、一般工业固体废物执行《一般工业固体废物贮存和填埋污染控制标准》（</w:t>
      </w:r>
      <w:r>
        <w:rPr>
          <w:kern w:val="2"/>
        </w:rPr>
        <w:t>GB18599-2020</w:t>
      </w:r>
      <w:r>
        <w:rPr>
          <w:kern w:val="2"/>
        </w:rPr>
        <w:t>）。危险废物应按照《国家危险废物名录（</w:t>
      </w:r>
      <w:r>
        <w:rPr>
          <w:kern w:val="2"/>
        </w:rPr>
        <w:t>2025</w:t>
      </w:r>
      <w:r>
        <w:rPr>
          <w:kern w:val="2"/>
        </w:rPr>
        <w:t>年版）》法规，设置规范的分类收集容器（罐、场）进行分类收集，并交给有资质处置相关危险废物的机构实施无害化处置。危险废物在场地内临时贮存、处置执行《危险废物贮存污染控制标准》（</w:t>
      </w:r>
      <w:r>
        <w:rPr>
          <w:kern w:val="2"/>
        </w:rPr>
        <w:t>GB18597-2023</w:t>
      </w:r>
      <w:r>
        <w:rPr>
          <w:kern w:val="2"/>
        </w:rPr>
        <w:t>）；危险废物的转移依照《危险废物转移管理办法》（部令第</w:t>
      </w:r>
      <w:r>
        <w:rPr>
          <w:kern w:val="2"/>
        </w:rPr>
        <w:t>23</w:t>
      </w:r>
      <w:r>
        <w:rPr>
          <w:kern w:val="2"/>
        </w:rPr>
        <w:t>号）进行</w:t>
      </w:r>
      <w:r>
        <w:rPr>
          <w:kern w:val="2"/>
        </w:rPr>
        <w:t>监督和管理。</w:t>
      </w:r>
    </w:p>
    <w:p w14:paraId="425A1AEE" w14:textId="77777777" w:rsidR="003E78AB" w:rsidRDefault="00010BF9">
      <w:pPr>
        <w:pStyle w:val="24"/>
        <w:keepNext w:val="0"/>
        <w:keepLines w:val="0"/>
        <w:topLinePunct/>
        <w:spacing w:before="156"/>
        <w:rPr>
          <w:rFonts w:cs="Times New Roman"/>
        </w:rPr>
      </w:pPr>
      <w:bookmarkStart w:id="147" w:name="_Toc5705"/>
      <w:bookmarkStart w:id="148" w:name="_Toc18764"/>
      <w:r>
        <w:rPr>
          <w:rFonts w:cs="Times New Roman"/>
        </w:rPr>
        <w:t>2.7</w:t>
      </w:r>
      <w:r>
        <w:rPr>
          <w:rFonts w:cs="Times New Roman"/>
        </w:rPr>
        <w:t>环境保护目标的确定</w:t>
      </w:r>
      <w:bookmarkEnd w:id="147"/>
      <w:bookmarkEnd w:id="148"/>
    </w:p>
    <w:p w14:paraId="15C7F661" w14:textId="77777777" w:rsidR="003E78AB" w:rsidRDefault="00010BF9">
      <w:pPr>
        <w:ind w:firstLine="480"/>
        <w:rPr>
          <w:kern w:val="2"/>
        </w:rPr>
      </w:pPr>
      <w:r>
        <w:rPr>
          <w:kern w:val="2"/>
        </w:rPr>
        <w:t>评价区域内无重点保护单位和珍稀动植物资源，无自然保护区、风景名胜区等环境敏感目标。根据工程性质和周围环境特征，评价范围内主要环境保护目标见表</w:t>
      </w:r>
      <w:r>
        <w:rPr>
          <w:kern w:val="2"/>
        </w:rPr>
        <w:t>2-36</w:t>
      </w:r>
      <w:r>
        <w:rPr>
          <w:kern w:val="2"/>
        </w:rPr>
        <w:t>。</w:t>
      </w:r>
    </w:p>
    <w:p w14:paraId="33439984" w14:textId="77777777" w:rsidR="003E78AB" w:rsidRDefault="00010BF9">
      <w:pPr>
        <w:pStyle w:val="a5"/>
      </w:pPr>
      <w:r>
        <w:rPr>
          <w:lang w:val="zh-CN"/>
        </w:rPr>
        <w:t>评价区</w:t>
      </w:r>
      <w:r>
        <w:t>域</w:t>
      </w:r>
      <w:r>
        <w:rPr>
          <w:lang w:val="zh-CN"/>
        </w:rPr>
        <w:t>主要环境保护目标</w:t>
      </w:r>
      <w:r>
        <w:t>表</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986"/>
        <w:gridCol w:w="1799"/>
        <w:gridCol w:w="1195"/>
        <w:gridCol w:w="1271"/>
        <w:gridCol w:w="3164"/>
      </w:tblGrid>
      <w:tr w:rsidR="003E78AB" w14:paraId="22EA1CC0" w14:textId="77777777">
        <w:trPr>
          <w:trHeight w:val="340"/>
          <w:tblHeader/>
          <w:jc w:val="center"/>
        </w:trPr>
        <w:tc>
          <w:tcPr>
            <w:tcW w:w="585" w:type="pct"/>
            <w:vAlign w:val="center"/>
          </w:tcPr>
          <w:p w14:paraId="43653239"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环境</w:t>
            </w:r>
          </w:p>
          <w:p w14:paraId="1C44834F"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类别</w:t>
            </w:r>
          </w:p>
        </w:tc>
        <w:tc>
          <w:tcPr>
            <w:tcW w:w="1068" w:type="pct"/>
            <w:vAlign w:val="center"/>
          </w:tcPr>
          <w:p w14:paraId="0B6E35EF"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保护对象</w:t>
            </w:r>
          </w:p>
        </w:tc>
        <w:tc>
          <w:tcPr>
            <w:tcW w:w="710" w:type="pct"/>
            <w:vAlign w:val="center"/>
          </w:tcPr>
          <w:p w14:paraId="1E17C933"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离厂界方位</w:t>
            </w:r>
          </w:p>
          <w:p w14:paraId="118E65EC"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及最近距离</w:t>
            </w:r>
          </w:p>
        </w:tc>
        <w:tc>
          <w:tcPr>
            <w:tcW w:w="755" w:type="pct"/>
            <w:vAlign w:val="center"/>
          </w:tcPr>
          <w:p w14:paraId="1EE8D1A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环境功能区划</w:t>
            </w:r>
          </w:p>
        </w:tc>
        <w:tc>
          <w:tcPr>
            <w:tcW w:w="1879" w:type="pct"/>
            <w:vAlign w:val="center"/>
          </w:tcPr>
          <w:p w14:paraId="64BF88A5"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保护级别</w:t>
            </w:r>
          </w:p>
        </w:tc>
      </w:tr>
      <w:tr w:rsidR="003E78AB" w14:paraId="6BD162BC" w14:textId="77777777">
        <w:trPr>
          <w:trHeight w:val="340"/>
          <w:jc w:val="center"/>
        </w:trPr>
        <w:tc>
          <w:tcPr>
            <w:tcW w:w="585" w:type="pct"/>
            <w:vAlign w:val="center"/>
          </w:tcPr>
          <w:p w14:paraId="0A5DC06E"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环境空气</w:t>
            </w:r>
          </w:p>
        </w:tc>
        <w:tc>
          <w:tcPr>
            <w:tcW w:w="1068" w:type="pct"/>
            <w:vAlign w:val="center"/>
          </w:tcPr>
          <w:p w14:paraId="49ABE4CC"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评价范围内无敏感目标</w:t>
            </w:r>
          </w:p>
        </w:tc>
        <w:tc>
          <w:tcPr>
            <w:tcW w:w="710" w:type="pct"/>
            <w:vAlign w:val="center"/>
          </w:tcPr>
          <w:p w14:paraId="62753FB9"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w:t>
            </w:r>
          </w:p>
        </w:tc>
        <w:tc>
          <w:tcPr>
            <w:tcW w:w="755" w:type="pct"/>
            <w:vAlign w:val="center"/>
          </w:tcPr>
          <w:p w14:paraId="471A7F5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环境空气二类功能区</w:t>
            </w:r>
          </w:p>
        </w:tc>
        <w:tc>
          <w:tcPr>
            <w:tcW w:w="1879" w:type="pct"/>
            <w:vAlign w:val="center"/>
          </w:tcPr>
          <w:p w14:paraId="5E93EBFE"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《环境空气质量标准》（</w:t>
            </w:r>
            <w:r>
              <w:rPr>
                <w:rFonts w:ascii="Times New Roman" w:hAnsi="Times New Roman" w:cs="Times New Roman"/>
                <w:sz w:val="21"/>
                <w:szCs w:val="21"/>
              </w:rPr>
              <w:t>GB3095-2012</w:t>
            </w:r>
            <w:r>
              <w:rPr>
                <w:rFonts w:ascii="Times New Roman" w:hAnsi="Times New Roman" w:cs="Times New Roman"/>
                <w:sz w:val="21"/>
                <w:szCs w:val="21"/>
              </w:rPr>
              <w:t>）二级标准</w:t>
            </w:r>
          </w:p>
        </w:tc>
      </w:tr>
      <w:tr w:rsidR="003E78AB" w14:paraId="2104248E" w14:textId="77777777">
        <w:trPr>
          <w:trHeight w:val="340"/>
          <w:jc w:val="center"/>
        </w:trPr>
        <w:tc>
          <w:tcPr>
            <w:tcW w:w="585" w:type="pct"/>
            <w:vAlign w:val="center"/>
          </w:tcPr>
          <w:p w14:paraId="5AC5C2FA"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声环境</w:t>
            </w:r>
          </w:p>
        </w:tc>
        <w:tc>
          <w:tcPr>
            <w:tcW w:w="1068" w:type="pct"/>
            <w:vAlign w:val="center"/>
          </w:tcPr>
          <w:p w14:paraId="6FD5D43F"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200m</w:t>
            </w:r>
            <w:r>
              <w:rPr>
                <w:rFonts w:ascii="Times New Roman" w:hAnsi="Times New Roman" w:cs="Times New Roman"/>
                <w:sz w:val="21"/>
                <w:szCs w:val="21"/>
              </w:rPr>
              <w:t>范围内无声环境敏感目标</w:t>
            </w:r>
          </w:p>
        </w:tc>
        <w:tc>
          <w:tcPr>
            <w:tcW w:w="710" w:type="pct"/>
            <w:vAlign w:val="center"/>
          </w:tcPr>
          <w:p w14:paraId="793C7682"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w:t>
            </w:r>
          </w:p>
        </w:tc>
        <w:tc>
          <w:tcPr>
            <w:tcW w:w="755" w:type="pct"/>
            <w:vAlign w:val="center"/>
          </w:tcPr>
          <w:p w14:paraId="1F9B62B9"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类声环境功能区</w:t>
            </w:r>
          </w:p>
        </w:tc>
        <w:tc>
          <w:tcPr>
            <w:tcW w:w="1879" w:type="pct"/>
            <w:vAlign w:val="center"/>
          </w:tcPr>
          <w:p w14:paraId="272712AC"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《声环境质量标准》（</w:t>
            </w:r>
            <w:r>
              <w:rPr>
                <w:rFonts w:ascii="Times New Roman" w:hAnsi="Times New Roman" w:cs="Times New Roman"/>
                <w:sz w:val="21"/>
                <w:szCs w:val="21"/>
              </w:rPr>
              <w:t>GB3096-2008</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类标准限值</w:t>
            </w:r>
          </w:p>
        </w:tc>
      </w:tr>
      <w:tr w:rsidR="003E78AB" w14:paraId="637FCE88" w14:textId="77777777">
        <w:trPr>
          <w:trHeight w:val="340"/>
          <w:jc w:val="center"/>
        </w:trPr>
        <w:tc>
          <w:tcPr>
            <w:tcW w:w="585" w:type="pct"/>
            <w:vMerge w:val="restart"/>
            <w:vAlign w:val="center"/>
          </w:tcPr>
          <w:p w14:paraId="36FB2DC8"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地下水</w:t>
            </w:r>
          </w:p>
        </w:tc>
        <w:tc>
          <w:tcPr>
            <w:tcW w:w="1068" w:type="pct"/>
            <w:vAlign w:val="center"/>
          </w:tcPr>
          <w:p w14:paraId="5D18357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厂址场界外延</w:t>
            </w:r>
            <w:r>
              <w:rPr>
                <w:rFonts w:ascii="Times New Roman" w:hAnsi="Times New Roman" w:cs="Times New Roman"/>
                <w:sz w:val="21"/>
                <w:szCs w:val="21"/>
              </w:rPr>
              <w:t>1km</w:t>
            </w:r>
            <w:r>
              <w:rPr>
                <w:rFonts w:ascii="Times New Roman" w:hAnsi="Times New Roman" w:cs="Times New Roman"/>
                <w:sz w:val="21"/>
                <w:szCs w:val="21"/>
              </w:rPr>
              <w:t>区域浅层地下水</w:t>
            </w:r>
          </w:p>
        </w:tc>
        <w:tc>
          <w:tcPr>
            <w:tcW w:w="710" w:type="pct"/>
            <w:vAlign w:val="center"/>
          </w:tcPr>
          <w:p w14:paraId="04C7C79D"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w:t>
            </w:r>
          </w:p>
        </w:tc>
        <w:tc>
          <w:tcPr>
            <w:tcW w:w="755" w:type="pct"/>
            <w:vMerge w:val="restart"/>
            <w:vAlign w:val="center"/>
          </w:tcPr>
          <w:p w14:paraId="7F417A0B"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Ⅲ</w:t>
            </w:r>
            <w:r>
              <w:rPr>
                <w:rFonts w:ascii="Times New Roman" w:hAnsi="Times New Roman" w:cs="Times New Roman"/>
                <w:sz w:val="21"/>
                <w:szCs w:val="21"/>
              </w:rPr>
              <w:t>类</w:t>
            </w:r>
          </w:p>
        </w:tc>
        <w:tc>
          <w:tcPr>
            <w:tcW w:w="1879" w:type="pct"/>
            <w:vMerge w:val="restart"/>
            <w:vAlign w:val="center"/>
          </w:tcPr>
          <w:p w14:paraId="0DF3F80D"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《地下水质量标准》（</w:t>
            </w:r>
            <w:r>
              <w:rPr>
                <w:rFonts w:ascii="Times New Roman" w:hAnsi="Times New Roman" w:cs="Times New Roman"/>
                <w:sz w:val="21"/>
                <w:szCs w:val="21"/>
              </w:rPr>
              <w:t>GB/T14848-2017</w:t>
            </w:r>
            <w:r>
              <w:rPr>
                <w:rFonts w:ascii="Times New Roman" w:hAnsi="Times New Roman" w:cs="Times New Roman"/>
                <w:sz w:val="21"/>
                <w:szCs w:val="21"/>
              </w:rPr>
              <w:t>）</w:t>
            </w:r>
            <w:r>
              <w:rPr>
                <w:rFonts w:ascii="Times New Roman" w:hAnsi="Times New Roman" w:cs="Times New Roman"/>
                <w:sz w:val="21"/>
                <w:szCs w:val="21"/>
              </w:rPr>
              <w:t>Ⅲ</w:t>
            </w:r>
            <w:r>
              <w:rPr>
                <w:rFonts w:ascii="Times New Roman" w:hAnsi="Times New Roman" w:cs="Times New Roman"/>
                <w:sz w:val="21"/>
                <w:szCs w:val="21"/>
              </w:rPr>
              <w:t>类标准</w:t>
            </w:r>
          </w:p>
        </w:tc>
      </w:tr>
      <w:tr w:rsidR="003E78AB" w14:paraId="7200ACE5" w14:textId="77777777">
        <w:trPr>
          <w:trHeight w:val="340"/>
          <w:jc w:val="center"/>
        </w:trPr>
        <w:tc>
          <w:tcPr>
            <w:tcW w:w="585" w:type="pct"/>
            <w:vMerge/>
            <w:vAlign w:val="center"/>
          </w:tcPr>
          <w:p w14:paraId="39232002"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068" w:type="pct"/>
            <w:vAlign w:val="center"/>
          </w:tcPr>
          <w:p w14:paraId="138FB61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南湖乡地下水源地</w:t>
            </w:r>
          </w:p>
        </w:tc>
        <w:tc>
          <w:tcPr>
            <w:tcW w:w="710" w:type="pct"/>
            <w:vAlign w:val="center"/>
          </w:tcPr>
          <w:p w14:paraId="0B4916CE"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hint="eastAsia"/>
                <w:sz w:val="21"/>
                <w:szCs w:val="21"/>
              </w:rPr>
              <w:t>NE3.44km</w:t>
            </w:r>
          </w:p>
        </w:tc>
        <w:tc>
          <w:tcPr>
            <w:tcW w:w="755" w:type="pct"/>
            <w:vMerge/>
            <w:vAlign w:val="center"/>
          </w:tcPr>
          <w:p w14:paraId="0DFC81C7"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879" w:type="pct"/>
            <w:vMerge/>
            <w:vAlign w:val="center"/>
          </w:tcPr>
          <w:p w14:paraId="2B0B77D3"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r>
      <w:tr w:rsidR="003E78AB" w14:paraId="465090B2" w14:textId="77777777">
        <w:trPr>
          <w:trHeight w:val="340"/>
          <w:jc w:val="center"/>
        </w:trPr>
        <w:tc>
          <w:tcPr>
            <w:tcW w:w="585" w:type="pct"/>
            <w:vMerge w:val="restart"/>
            <w:vAlign w:val="center"/>
          </w:tcPr>
          <w:p w14:paraId="1EF5C5D4"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环境风险</w:t>
            </w:r>
          </w:p>
        </w:tc>
        <w:tc>
          <w:tcPr>
            <w:tcW w:w="1799" w:type="dxa"/>
            <w:vAlign w:val="center"/>
          </w:tcPr>
          <w:p w14:paraId="55B31A93" w14:textId="77777777" w:rsidR="003E78AB" w:rsidRDefault="00010BF9">
            <w:pPr>
              <w:pStyle w:val="aff6"/>
              <w:topLinePunct/>
              <w:rPr>
                <w:bCs/>
              </w:rPr>
            </w:pPr>
            <w:r>
              <w:rPr>
                <w:bCs/>
              </w:rPr>
              <w:t>白土庄子</w:t>
            </w:r>
          </w:p>
        </w:tc>
        <w:tc>
          <w:tcPr>
            <w:tcW w:w="1196" w:type="dxa"/>
            <w:vAlign w:val="center"/>
          </w:tcPr>
          <w:p w14:paraId="530F5AF5" w14:textId="77777777" w:rsidR="003E78AB" w:rsidRDefault="00010BF9">
            <w:pPr>
              <w:pStyle w:val="aff6"/>
              <w:topLinePunct/>
              <w:rPr>
                <w:bCs/>
              </w:rPr>
            </w:pPr>
            <w:r>
              <w:rPr>
                <w:rFonts w:hint="eastAsia"/>
                <w:bCs/>
              </w:rPr>
              <w:t>NE4.7km</w:t>
            </w:r>
          </w:p>
        </w:tc>
        <w:tc>
          <w:tcPr>
            <w:tcW w:w="755" w:type="pct"/>
            <w:vAlign w:val="center"/>
          </w:tcPr>
          <w:p w14:paraId="0F2155E1" w14:textId="77777777" w:rsidR="003E78AB" w:rsidRDefault="00010BF9">
            <w:pPr>
              <w:pStyle w:val="aff6"/>
              <w:topLinePunct/>
              <w:rPr>
                <w:bCs/>
              </w:rPr>
            </w:pPr>
            <w:r>
              <w:rPr>
                <w:bCs/>
              </w:rPr>
              <w:t>集中居住区</w:t>
            </w:r>
          </w:p>
        </w:tc>
        <w:tc>
          <w:tcPr>
            <w:tcW w:w="1879" w:type="pct"/>
            <w:vMerge w:val="restart"/>
            <w:vAlign w:val="center"/>
          </w:tcPr>
          <w:p w14:paraId="0CE8494C"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eastAsiaTheme="minorEastAsia" w:hAnsi="Times New Roman" w:cs="Times New Roman"/>
                <w:sz w:val="21"/>
                <w:szCs w:val="21"/>
              </w:rPr>
              <w:t>环境风险在可控范围内</w:t>
            </w:r>
          </w:p>
        </w:tc>
      </w:tr>
      <w:tr w:rsidR="003E78AB" w14:paraId="13A00EEB" w14:textId="77777777">
        <w:trPr>
          <w:trHeight w:val="340"/>
          <w:jc w:val="center"/>
        </w:trPr>
        <w:tc>
          <w:tcPr>
            <w:tcW w:w="585" w:type="pct"/>
            <w:vMerge/>
            <w:vAlign w:val="center"/>
          </w:tcPr>
          <w:p w14:paraId="1BCBDD53"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vAlign w:val="center"/>
          </w:tcPr>
          <w:p w14:paraId="76F678C3" w14:textId="77777777" w:rsidR="003E78AB" w:rsidRDefault="00010BF9">
            <w:pPr>
              <w:pStyle w:val="aff6"/>
              <w:topLinePunct/>
              <w:rPr>
                <w:bCs/>
              </w:rPr>
            </w:pPr>
            <w:r>
              <w:rPr>
                <w:rFonts w:hint="eastAsia"/>
                <w:bCs/>
              </w:rPr>
              <w:t>杜什吐尔村</w:t>
            </w:r>
          </w:p>
        </w:tc>
        <w:tc>
          <w:tcPr>
            <w:tcW w:w="1196" w:type="dxa"/>
            <w:vAlign w:val="center"/>
          </w:tcPr>
          <w:p w14:paraId="6883D935" w14:textId="77777777" w:rsidR="003E78AB" w:rsidRDefault="00010BF9">
            <w:pPr>
              <w:pStyle w:val="aff6"/>
              <w:topLinePunct/>
              <w:rPr>
                <w:bCs/>
              </w:rPr>
            </w:pPr>
            <w:r>
              <w:rPr>
                <w:rFonts w:hint="eastAsia"/>
                <w:bCs/>
              </w:rPr>
              <w:t>ENE4.6km</w:t>
            </w:r>
          </w:p>
        </w:tc>
        <w:tc>
          <w:tcPr>
            <w:tcW w:w="755" w:type="pct"/>
            <w:vAlign w:val="center"/>
          </w:tcPr>
          <w:p w14:paraId="2530B693" w14:textId="77777777" w:rsidR="003E78AB" w:rsidRDefault="00010BF9">
            <w:pPr>
              <w:pStyle w:val="aff6"/>
              <w:topLinePunct/>
              <w:rPr>
                <w:bCs/>
              </w:rPr>
            </w:pPr>
            <w:r>
              <w:rPr>
                <w:bCs/>
              </w:rPr>
              <w:t>集中居住区</w:t>
            </w:r>
          </w:p>
        </w:tc>
        <w:tc>
          <w:tcPr>
            <w:tcW w:w="1879" w:type="pct"/>
            <w:vMerge/>
            <w:vAlign w:val="center"/>
          </w:tcPr>
          <w:p w14:paraId="58D8E397" w14:textId="77777777" w:rsidR="003E78AB" w:rsidRDefault="003E78AB">
            <w:pPr>
              <w:pStyle w:val="TableParagraph"/>
              <w:topLinePunct/>
              <w:spacing w:before="0" w:beforeAutospacing="0" w:line="360" w:lineRule="exact"/>
              <w:ind w:firstLineChars="0" w:firstLine="0"/>
              <w:contextualSpacing/>
              <w:jc w:val="center"/>
              <w:rPr>
                <w:rFonts w:ascii="Times New Roman" w:eastAsiaTheme="minorEastAsia" w:hAnsi="Times New Roman" w:cs="Times New Roman"/>
                <w:sz w:val="21"/>
                <w:szCs w:val="21"/>
              </w:rPr>
            </w:pPr>
          </w:p>
        </w:tc>
      </w:tr>
      <w:tr w:rsidR="003E78AB" w14:paraId="0D273664" w14:textId="77777777">
        <w:trPr>
          <w:trHeight w:val="340"/>
          <w:jc w:val="center"/>
        </w:trPr>
        <w:tc>
          <w:tcPr>
            <w:tcW w:w="585" w:type="pct"/>
            <w:vMerge/>
            <w:vAlign w:val="center"/>
          </w:tcPr>
          <w:p w14:paraId="7E6918E5"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p w14:paraId="20ED0CFE"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tcPr>
          <w:p w14:paraId="4118333B" w14:textId="77777777" w:rsidR="003E78AB" w:rsidRDefault="00010BF9">
            <w:pPr>
              <w:pStyle w:val="aff6"/>
              <w:topLinePunct/>
              <w:rPr>
                <w:bCs/>
              </w:rPr>
            </w:pPr>
            <w:r>
              <w:rPr>
                <w:rFonts w:hint="eastAsia"/>
                <w:bCs/>
              </w:rPr>
              <w:t>奥依曼吐尔</w:t>
            </w:r>
          </w:p>
        </w:tc>
        <w:tc>
          <w:tcPr>
            <w:tcW w:w="1196" w:type="dxa"/>
            <w:vAlign w:val="center"/>
          </w:tcPr>
          <w:p w14:paraId="587238CC" w14:textId="77777777" w:rsidR="003E78AB" w:rsidRDefault="00010BF9">
            <w:pPr>
              <w:pStyle w:val="aff6"/>
              <w:topLinePunct/>
              <w:rPr>
                <w:bCs/>
              </w:rPr>
            </w:pPr>
            <w:r>
              <w:rPr>
                <w:rFonts w:hint="eastAsia"/>
                <w:bCs/>
              </w:rPr>
              <w:t>ENE4.1km</w:t>
            </w:r>
          </w:p>
        </w:tc>
        <w:tc>
          <w:tcPr>
            <w:tcW w:w="755" w:type="pct"/>
            <w:vAlign w:val="center"/>
          </w:tcPr>
          <w:p w14:paraId="30F9C633" w14:textId="77777777" w:rsidR="003E78AB" w:rsidRDefault="00010BF9">
            <w:pPr>
              <w:pStyle w:val="aff6"/>
              <w:topLinePunct/>
              <w:rPr>
                <w:bCs/>
              </w:rPr>
            </w:pPr>
            <w:r>
              <w:rPr>
                <w:bCs/>
              </w:rPr>
              <w:t>集中居住区</w:t>
            </w:r>
          </w:p>
        </w:tc>
        <w:tc>
          <w:tcPr>
            <w:tcW w:w="1879" w:type="pct"/>
            <w:vMerge/>
            <w:vAlign w:val="center"/>
          </w:tcPr>
          <w:p w14:paraId="79354F11" w14:textId="77777777" w:rsidR="003E78AB" w:rsidRDefault="003E78AB">
            <w:pPr>
              <w:pStyle w:val="TableParagraph"/>
              <w:topLinePunct/>
              <w:spacing w:before="0" w:beforeAutospacing="0" w:line="360" w:lineRule="exact"/>
              <w:ind w:firstLineChars="0" w:firstLine="0"/>
              <w:contextualSpacing/>
              <w:jc w:val="center"/>
              <w:rPr>
                <w:rFonts w:ascii="Times New Roman" w:eastAsiaTheme="minorEastAsia" w:hAnsi="Times New Roman" w:cs="Times New Roman"/>
                <w:sz w:val="21"/>
                <w:szCs w:val="21"/>
              </w:rPr>
            </w:pPr>
          </w:p>
        </w:tc>
      </w:tr>
      <w:tr w:rsidR="003E78AB" w14:paraId="28383917" w14:textId="77777777">
        <w:trPr>
          <w:trHeight w:val="340"/>
          <w:jc w:val="center"/>
        </w:trPr>
        <w:tc>
          <w:tcPr>
            <w:tcW w:w="585" w:type="pct"/>
            <w:vMerge/>
            <w:vAlign w:val="center"/>
          </w:tcPr>
          <w:p w14:paraId="345E4D81"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vAlign w:val="center"/>
          </w:tcPr>
          <w:p w14:paraId="20D02A07" w14:textId="77777777" w:rsidR="003E78AB" w:rsidRDefault="00010BF9">
            <w:pPr>
              <w:pStyle w:val="aff6"/>
              <w:topLinePunct/>
              <w:rPr>
                <w:bCs/>
              </w:rPr>
            </w:pPr>
            <w:r>
              <w:rPr>
                <w:bCs/>
              </w:rPr>
              <w:t>库木吐尔</w:t>
            </w:r>
          </w:p>
        </w:tc>
        <w:tc>
          <w:tcPr>
            <w:tcW w:w="1196" w:type="dxa"/>
            <w:vAlign w:val="center"/>
          </w:tcPr>
          <w:p w14:paraId="6CE9120D" w14:textId="77777777" w:rsidR="003E78AB" w:rsidRDefault="00010BF9">
            <w:pPr>
              <w:pStyle w:val="aff6"/>
              <w:topLinePunct/>
              <w:rPr>
                <w:bCs/>
              </w:rPr>
            </w:pPr>
            <w:r>
              <w:rPr>
                <w:rFonts w:hint="eastAsia"/>
                <w:bCs/>
              </w:rPr>
              <w:t>ENE4.2km</w:t>
            </w:r>
          </w:p>
        </w:tc>
        <w:tc>
          <w:tcPr>
            <w:tcW w:w="755" w:type="pct"/>
            <w:vAlign w:val="center"/>
          </w:tcPr>
          <w:p w14:paraId="44666FD0" w14:textId="77777777" w:rsidR="003E78AB" w:rsidRDefault="00010BF9">
            <w:pPr>
              <w:pStyle w:val="aff6"/>
              <w:topLinePunct/>
              <w:rPr>
                <w:bCs/>
              </w:rPr>
            </w:pPr>
            <w:r>
              <w:rPr>
                <w:bCs/>
              </w:rPr>
              <w:t>集中居住区</w:t>
            </w:r>
          </w:p>
        </w:tc>
        <w:tc>
          <w:tcPr>
            <w:tcW w:w="1879" w:type="pct"/>
            <w:vMerge/>
            <w:vAlign w:val="center"/>
          </w:tcPr>
          <w:p w14:paraId="28DC5867" w14:textId="77777777" w:rsidR="003E78AB" w:rsidRDefault="003E78AB">
            <w:pPr>
              <w:pStyle w:val="TableParagraph"/>
              <w:topLinePunct/>
              <w:spacing w:before="0" w:beforeAutospacing="0" w:line="360" w:lineRule="exact"/>
              <w:ind w:firstLineChars="0" w:firstLine="0"/>
              <w:contextualSpacing/>
              <w:jc w:val="center"/>
              <w:rPr>
                <w:rFonts w:ascii="Times New Roman" w:eastAsiaTheme="minorEastAsia" w:hAnsi="Times New Roman" w:cs="Times New Roman"/>
                <w:sz w:val="21"/>
                <w:szCs w:val="21"/>
              </w:rPr>
            </w:pPr>
          </w:p>
        </w:tc>
      </w:tr>
      <w:tr w:rsidR="003E78AB" w14:paraId="5411A0BF" w14:textId="77777777">
        <w:trPr>
          <w:trHeight w:val="340"/>
          <w:jc w:val="center"/>
        </w:trPr>
        <w:tc>
          <w:tcPr>
            <w:tcW w:w="585" w:type="pct"/>
            <w:vMerge/>
            <w:vAlign w:val="center"/>
          </w:tcPr>
          <w:p w14:paraId="0FF300C0"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tcPr>
          <w:p w14:paraId="78706D9C" w14:textId="77777777" w:rsidR="003E78AB" w:rsidRDefault="00010BF9">
            <w:pPr>
              <w:pStyle w:val="aff6"/>
              <w:topLinePunct/>
              <w:rPr>
                <w:bCs/>
              </w:rPr>
            </w:pPr>
            <w:r>
              <w:rPr>
                <w:rFonts w:hint="eastAsia"/>
                <w:bCs/>
              </w:rPr>
              <w:t>琼吐尔</w:t>
            </w:r>
          </w:p>
        </w:tc>
        <w:tc>
          <w:tcPr>
            <w:tcW w:w="1196" w:type="dxa"/>
            <w:vAlign w:val="center"/>
          </w:tcPr>
          <w:p w14:paraId="0C29EBCB" w14:textId="77777777" w:rsidR="003E78AB" w:rsidRDefault="00010BF9">
            <w:pPr>
              <w:pStyle w:val="aff6"/>
              <w:topLinePunct/>
              <w:rPr>
                <w:bCs/>
              </w:rPr>
            </w:pPr>
            <w:r>
              <w:rPr>
                <w:rFonts w:hint="eastAsia"/>
                <w:bCs/>
              </w:rPr>
              <w:t>E3.7km</w:t>
            </w:r>
          </w:p>
        </w:tc>
        <w:tc>
          <w:tcPr>
            <w:tcW w:w="755" w:type="pct"/>
            <w:vAlign w:val="center"/>
          </w:tcPr>
          <w:p w14:paraId="3F47706F" w14:textId="77777777" w:rsidR="003E78AB" w:rsidRDefault="00010BF9">
            <w:pPr>
              <w:pStyle w:val="aff6"/>
              <w:topLinePunct/>
              <w:rPr>
                <w:bCs/>
              </w:rPr>
            </w:pPr>
            <w:r>
              <w:rPr>
                <w:bCs/>
              </w:rPr>
              <w:t>集中居住区</w:t>
            </w:r>
          </w:p>
        </w:tc>
        <w:tc>
          <w:tcPr>
            <w:tcW w:w="1879" w:type="pct"/>
            <w:vMerge/>
            <w:vAlign w:val="center"/>
          </w:tcPr>
          <w:p w14:paraId="32B13A2D" w14:textId="77777777" w:rsidR="003E78AB" w:rsidRDefault="003E78AB">
            <w:pPr>
              <w:pStyle w:val="TableParagraph"/>
              <w:topLinePunct/>
              <w:spacing w:before="0" w:beforeAutospacing="0" w:line="360" w:lineRule="exact"/>
              <w:ind w:firstLineChars="0" w:firstLine="0"/>
              <w:contextualSpacing/>
              <w:jc w:val="center"/>
              <w:rPr>
                <w:rFonts w:ascii="Times New Roman" w:eastAsiaTheme="minorEastAsia" w:hAnsi="Times New Roman" w:cs="Times New Roman"/>
                <w:sz w:val="21"/>
                <w:szCs w:val="21"/>
              </w:rPr>
            </w:pPr>
          </w:p>
        </w:tc>
      </w:tr>
      <w:tr w:rsidR="003E78AB" w14:paraId="528D1378" w14:textId="77777777">
        <w:trPr>
          <w:trHeight w:val="340"/>
          <w:jc w:val="center"/>
        </w:trPr>
        <w:tc>
          <w:tcPr>
            <w:tcW w:w="585" w:type="pct"/>
            <w:vMerge/>
            <w:vAlign w:val="center"/>
          </w:tcPr>
          <w:p w14:paraId="43509568"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vAlign w:val="center"/>
          </w:tcPr>
          <w:p w14:paraId="05807E57" w14:textId="77777777" w:rsidR="003E78AB" w:rsidRDefault="00010BF9">
            <w:pPr>
              <w:pStyle w:val="aff6"/>
              <w:topLinePunct/>
              <w:rPr>
                <w:bCs/>
              </w:rPr>
            </w:pPr>
            <w:r>
              <w:rPr>
                <w:bCs/>
              </w:rPr>
              <w:t>东花园村</w:t>
            </w:r>
          </w:p>
        </w:tc>
        <w:tc>
          <w:tcPr>
            <w:tcW w:w="1196" w:type="dxa"/>
            <w:vAlign w:val="center"/>
          </w:tcPr>
          <w:p w14:paraId="2D7B94FE" w14:textId="77777777" w:rsidR="003E78AB" w:rsidRDefault="00010BF9">
            <w:pPr>
              <w:pStyle w:val="aff6"/>
              <w:topLinePunct/>
              <w:rPr>
                <w:bCs/>
              </w:rPr>
            </w:pPr>
            <w:r>
              <w:rPr>
                <w:rFonts w:hint="eastAsia"/>
                <w:bCs/>
              </w:rPr>
              <w:t>E3.8km</w:t>
            </w:r>
          </w:p>
        </w:tc>
        <w:tc>
          <w:tcPr>
            <w:tcW w:w="755" w:type="pct"/>
            <w:vAlign w:val="center"/>
          </w:tcPr>
          <w:p w14:paraId="790F8F64" w14:textId="77777777" w:rsidR="003E78AB" w:rsidRDefault="00010BF9">
            <w:pPr>
              <w:pStyle w:val="aff6"/>
              <w:topLinePunct/>
              <w:rPr>
                <w:bCs/>
              </w:rPr>
            </w:pPr>
            <w:r>
              <w:rPr>
                <w:bCs/>
              </w:rPr>
              <w:t>集中居住区</w:t>
            </w:r>
          </w:p>
        </w:tc>
        <w:tc>
          <w:tcPr>
            <w:tcW w:w="1879" w:type="pct"/>
            <w:vMerge/>
            <w:vAlign w:val="center"/>
          </w:tcPr>
          <w:p w14:paraId="64FCD53B" w14:textId="77777777" w:rsidR="003E78AB" w:rsidRDefault="003E78AB">
            <w:pPr>
              <w:pStyle w:val="TableParagraph"/>
              <w:topLinePunct/>
              <w:spacing w:before="0" w:beforeAutospacing="0" w:line="360" w:lineRule="exact"/>
              <w:ind w:firstLineChars="0" w:firstLine="0"/>
              <w:contextualSpacing/>
              <w:jc w:val="center"/>
              <w:rPr>
                <w:rFonts w:ascii="Times New Roman" w:eastAsiaTheme="minorEastAsia" w:hAnsi="Times New Roman" w:cs="Times New Roman"/>
                <w:sz w:val="21"/>
                <w:szCs w:val="21"/>
              </w:rPr>
            </w:pPr>
          </w:p>
        </w:tc>
      </w:tr>
      <w:tr w:rsidR="003E78AB" w14:paraId="521CB38D" w14:textId="77777777">
        <w:trPr>
          <w:trHeight w:val="340"/>
          <w:jc w:val="center"/>
        </w:trPr>
        <w:tc>
          <w:tcPr>
            <w:tcW w:w="585" w:type="pct"/>
            <w:vMerge/>
            <w:vAlign w:val="center"/>
          </w:tcPr>
          <w:p w14:paraId="0930D709"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vAlign w:val="center"/>
          </w:tcPr>
          <w:p w14:paraId="31B63216" w14:textId="77777777" w:rsidR="003E78AB" w:rsidRDefault="00010BF9">
            <w:pPr>
              <w:pStyle w:val="aff6"/>
              <w:topLinePunct/>
              <w:rPr>
                <w:bCs/>
              </w:rPr>
            </w:pPr>
            <w:r>
              <w:rPr>
                <w:rFonts w:hint="eastAsia"/>
                <w:bCs/>
              </w:rPr>
              <w:t>塔孜吐尔</w:t>
            </w:r>
          </w:p>
        </w:tc>
        <w:tc>
          <w:tcPr>
            <w:tcW w:w="1196" w:type="dxa"/>
            <w:vAlign w:val="center"/>
          </w:tcPr>
          <w:p w14:paraId="35AC4A36" w14:textId="77777777" w:rsidR="003E78AB" w:rsidRDefault="00010BF9">
            <w:pPr>
              <w:pStyle w:val="aff6"/>
              <w:topLinePunct/>
              <w:rPr>
                <w:bCs/>
              </w:rPr>
            </w:pPr>
            <w:r>
              <w:rPr>
                <w:rFonts w:hint="eastAsia"/>
                <w:bCs/>
              </w:rPr>
              <w:t>ESE3.8km</w:t>
            </w:r>
          </w:p>
        </w:tc>
        <w:tc>
          <w:tcPr>
            <w:tcW w:w="755" w:type="pct"/>
            <w:vAlign w:val="center"/>
          </w:tcPr>
          <w:p w14:paraId="2DA7D9C0" w14:textId="77777777" w:rsidR="003E78AB" w:rsidRDefault="00010BF9">
            <w:pPr>
              <w:pStyle w:val="aff6"/>
              <w:topLinePunct/>
              <w:rPr>
                <w:bCs/>
              </w:rPr>
            </w:pPr>
            <w:r>
              <w:rPr>
                <w:bCs/>
              </w:rPr>
              <w:t>集中居住区</w:t>
            </w:r>
          </w:p>
        </w:tc>
        <w:tc>
          <w:tcPr>
            <w:tcW w:w="1879" w:type="pct"/>
            <w:vMerge/>
            <w:vAlign w:val="center"/>
          </w:tcPr>
          <w:p w14:paraId="1B597651" w14:textId="77777777" w:rsidR="003E78AB" w:rsidRDefault="003E78AB">
            <w:pPr>
              <w:pStyle w:val="TableParagraph"/>
              <w:topLinePunct/>
              <w:spacing w:before="0" w:beforeAutospacing="0" w:line="360" w:lineRule="exact"/>
              <w:ind w:firstLineChars="0" w:firstLine="0"/>
              <w:contextualSpacing/>
              <w:jc w:val="center"/>
              <w:rPr>
                <w:rFonts w:ascii="Times New Roman" w:eastAsiaTheme="minorEastAsia" w:hAnsi="Times New Roman" w:cs="Times New Roman"/>
                <w:sz w:val="21"/>
                <w:szCs w:val="21"/>
              </w:rPr>
            </w:pPr>
          </w:p>
        </w:tc>
      </w:tr>
      <w:tr w:rsidR="003E78AB" w14:paraId="6C29E006" w14:textId="77777777">
        <w:trPr>
          <w:trHeight w:val="340"/>
          <w:jc w:val="center"/>
        </w:trPr>
        <w:tc>
          <w:tcPr>
            <w:tcW w:w="585" w:type="pct"/>
            <w:vMerge/>
            <w:vAlign w:val="center"/>
          </w:tcPr>
          <w:p w14:paraId="322115EB"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vAlign w:val="center"/>
          </w:tcPr>
          <w:p w14:paraId="3A52AF37" w14:textId="77777777" w:rsidR="003E78AB" w:rsidRDefault="00010BF9">
            <w:pPr>
              <w:pStyle w:val="aff6"/>
              <w:topLinePunct/>
              <w:rPr>
                <w:bCs/>
              </w:rPr>
            </w:pPr>
            <w:r>
              <w:rPr>
                <w:bCs/>
              </w:rPr>
              <w:t>喀拉塔勒村</w:t>
            </w:r>
          </w:p>
        </w:tc>
        <w:tc>
          <w:tcPr>
            <w:tcW w:w="1196" w:type="dxa"/>
            <w:vAlign w:val="center"/>
          </w:tcPr>
          <w:p w14:paraId="11189877" w14:textId="77777777" w:rsidR="003E78AB" w:rsidRDefault="00010BF9">
            <w:pPr>
              <w:pStyle w:val="aff6"/>
              <w:topLinePunct/>
              <w:rPr>
                <w:bCs/>
              </w:rPr>
            </w:pPr>
            <w:r>
              <w:rPr>
                <w:rFonts w:hint="eastAsia"/>
                <w:bCs/>
              </w:rPr>
              <w:t>ESE4.5km</w:t>
            </w:r>
          </w:p>
        </w:tc>
        <w:tc>
          <w:tcPr>
            <w:tcW w:w="755" w:type="pct"/>
            <w:vAlign w:val="center"/>
          </w:tcPr>
          <w:p w14:paraId="779DCBA5" w14:textId="77777777" w:rsidR="003E78AB" w:rsidRDefault="00010BF9">
            <w:pPr>
              <w:pStyle w:val="aff6"/>
              <w:topLinePunct/>
              <w:rPr>
                <w:bCs/>
              </w:rPr>
            </w:pPr>
            <w:r>
              <w:rPr>
                <w:bCs/>
              </w:rPr>
              <w:t>集中居住区</w:t>
            </w:r>
          </w:p>
        </w:tc>
        <w:tc>
          <w:tcPr>
            <w:tcW w:w="1879" w:type="pct"/>
            <w:vMerge/>
            <w:vAlign w:val="center"/>
          </w:tcPr>
          <w:p w14:paraId="7B9A5E8A"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r>
      <w:tr w:rsidR="003E78AB" w14:paraId="3D55AACC" w14:textId="77777777">
        <w:trPr>
          <w:trHeight w:val="340"/>
          <w:jc w:val="center"/>
        </w:trPr>
        <w:tc>
          <w:tcPr>
            <w:tcW w:w="585" w:type="pct"/>
            <w:vMerge/>
            <w:vAlign w:val="center"/>
          </w:tcPr>
          <w:p w14:paraId="1D8424D1"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tcPr>
          <w:p w14:paraId="71852949" w14:textId="77777777" w:rsidR="003E78AB" w:rsidRDefault="00010BF9">
            <w:pPr>
              <w:pStyle w:val="aff6"/>
              <w:topLinePunct/>
              <w:rPr>
                <w:bCs/>
              </w:rPr>
            </w:pPr>
            <w:r>
              <w:rPr>
                <w:rFonts w:hint="eastAsia"/>
                <w:bCs/>
              </w:rPr>
              <w:t>阿克库木</w:t>
            </w:r>
          </w:p>
        </w:tc>
        <w:tc>
          <w:tcPr>
            <w:tcW w:w="1196" w:type="dxa"/>
            <w:vAlign w:val="center"/>
          </w:tcPr>
          <w:p w14:paraId="1C8DBAAD" w14:textId="77777777" w:rsidR="003E78AB" w:rsidRDefault="00010BF9">
            <w:pPr>
              <w:pStyle w:val="aff6"/>
              <w:topLinePunct/>
              <w:rPr>
                <w:bCs/>
              </w:rPr>
            </w:pPr>
            <w:r>
              <w:rPr>
                <w:rFonts w:hint="eastAsia"/>
                <w:bCs/>
              </w:rPr>
              <w:t>SE4.6km</w:t>
            </w:r>
          </w:p>
        </w:tc>
        <w:tc>
          <w:tcPr>
            <w:tcW w:w="755" w:type="pct"/>
            <w:vAlign w:val="center"/>
          </w:tcPr>
          <w:p w14:paraId="043F3AB8" w14:textId="77777777" w:rsidR="003E78AB" w:rsidRDefault="00010BF9">
            <w:pPr>
              <w:pStyle w:val="aff6"/>
              <w:topLinePunct/>
              <w:rPr>
                <w:bCs/>
              </w:rPr>
            </w:pPr>
            <w:r>
              <w:rPr>
                <w:bCs/>
              </w:rPr>
              <w:t>集中居住区</w:t>
            </w:r>
          </w:p>
        </w:tc>
        <w:tc>
          <w:tcPr>
            <w:tcW w:w="1879" w:type="pct"/>
            <w:vMerge/>
            <w:vAlign w:val="center"/>
          </w:tcPr>
          <w:p w14:paraId="08BC5D58"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r>
      <w:tr w:rsidR="003E78AB" w14:paraId="20BEFBFC" w14:textId="77777777">
        <w:trPr>
          <w:trHeight w:val="340"/>
          <w:jc w:val="center"/>
        </w:trPr>
        <w:tc>
          <w:tcPr>
            <w:tcW w:w="585" w:type="pct"/>
            <w:vMerge/>
            <w:vAlign w:val="center"/>
          </w:tcPr>
          <w:p w14:paraId="1A8625EF"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c>
          <w:tcPr>
            <w:tcW w:w="1799" w:type="dxa"/>
          </w:tcPr>
          <w:p w14:paraId="276A02CA" w14:textId="77777777" w:rsidR="003E78AB" w:rsidRDefault="00010BF9">
            <w:pPr>
              <w:pStyle w:val="aff6"/>
              <w:topLinePunct/>
              <w:rPr>
                <w:bCs/>
              </w:rPr>
            </w:pPr>
            <w:r>
              <w:rPr>
                <w:rFonts w:hint="eastAsia"/>
                <w:bCs/>
              </w:rPr>
              <w:t>安居富民小区</w:t>
            </w:r>
          </w:p>
        </w:tc>
        <w:tc>
          <w:tcPr>
            <w:tcW w:w="1196" w:type="dxa"/>
            <w:vAlign w:val="center"/>
          </w:tcPr>
          <w:p w14:paraId="28F9C55E" w14:textId="77777777" w:rsidR="003E78AB" w:rsidRDefault="00010BF9">
            <w:pPr>
              <w:pStyle w:val="aff6"/>
              <w:topLinePunct/>
              <w:rPr>
                <w:bCs/>
                <w:color w:val="0000FF"/>
              </w:rPr>
            </w:pPr>
            <w:r>
              <w:rPr>
                <w:rFonts w:hint="eastAsia"/>
                <w:bCs/>
              </w:rPr>
              <w:t>E3.2km</w:t>
            </w:r>
          </w:p>
        </w:tc>
        <w:tc>
          <w:tcPr>
            <w:tcW w:w="755" w:type="pct"/>
            <w:vAlign w:val="center"/>
          </w:tcPr>
          <w:p w14:paraId="111573A7" w14:textId="77777777" w:rsidR="003E78AB" w:rsidRDefault="00010BF9">
            <w:pPr>
              <w:pStyle w:val="aff6"/>
              <w:topLinePunct/>
              <w:rPr>
                <w:bCs/>
              </w:rPr>
            </w:pPr>
            <w:r>
              <w:rPr>
                <w:bCs/>
              </w:rPr>
              <w:t>集中居住区</w:t>
            </w:r>
          </w:p>
        </w:tc>
        <w:tc>
          <w:tcPr>
            <w:tcW w:w="1879" w:type="pct"/>
            <w:vMerge/>
            <w:vAlign w:val="center"/>
          </w:tcPr>
          <w:p w14:paraId="7F029299"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p>
        </w:tc>
      </w:tr>
      <w:tr w:rsidR="003E78AB" w14:paraId="12732032" w14:textId="77777777">
        <w:trPr>
          <w:trHeight w:val="340"/>
          <w:jc w:val="center"/>
        </w:trPr>
        <w:tc>
          <w:tcPr>
            <w:tcW w:w="585" w:type="pct"/>
            <w:vAlign w:val="center"/>
          </w:tcPr>
          <w:p w14:paraId="59D5A48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土壤</w:t>
            </w:r>
          </w:p>
        </w:tc>
        <w:tc>
          <w:tcPr>
            <w:tcW w:w="1068" w:type="pct"/>
            <w:vAlign w:val="center"/>
          </w:tcPr>
          <w:p w14:paraId="7415886F"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厂址区域土壤</w:t>
            </w:r>
          </w:p>
        </w:tc>
        <w:tc>
          <w:tcPr>
            <w:tcW w:w="710" w:type="pct"/>
            <w:vAlign w:val="center"/>
          </w:tcPr>
          <w:p w14:paraId="79200FC5"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厂址区域</w:t>
            </w:r>
          </w:p>
        </w:tc>
        <w:tc>
          <w:tcPr>
            <w:tcW w:w="755" w:type="pct"/>
            <w:vAlign w:val="center"/>
          </w:tcPr>
          <w:p w14:paraId="5E09E5BC"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879" w:type="pct"/>
            <w:vAlign w:val="center"/>
          </w:tcPr>
          <w:p w14:paraId="3CBF502A"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《土壤环境质量</w:t>
            </w:r>
            <w:r>
              <w:rPr>
                <w:rFonts w:ascii="Times New Roman" w:hAnsi="Times New Roman" w:cs="Times New Roman"/>
                <w:sz w:val="21"/>
                <w:szCs w:val="21"/>
              </w:rPr>
              <w:t xml:space="preserve"> </w:t>
            </w:r>
            <w:r>
              <w:rPr>
                <w:rFonts w:ascii="Times New Roman" w:hAnsi="Times New Roman" w:cs="Times New Roman"/>
                <w:sz w:val="21"/>
                <w:szCs w:val="21"/>
              </w:rPr>
              <w:t>建设用地土壤污染风险管控标准（试行）》（</w:t>
            </w:r>
            <w:r>
              <w:rPr>
                <w:rFonts w:ascii="Times New Roman" w:hAnsi="Times New Roman" w:cs="Times New Roman"/>
                <w:sz w:val="21"/>
                <w:szCs w:val="21"/>
              </w:rPr>
              <w:t>GB36600-2018</w:t>
            </w:r>
            <w:r>
              <w:rPr>
                <w:rFonts w:ascii="Times New Roman" w:hAnsi="Times New Roman" w:cs="Times New Roman"/>
                <w:sz w:val="21"/>
                <w:szCs w:val="21"/>
              </w:rPr>
              <w:t>）第二类用地风险筛选值标准</w:t>
            </w:r>
          </w:p>
        </w:tc>
      </w:tr>
      <w:tr w:rsidR="003E78AB" w14:paraId="72971C97" w14:textId="77777777">
        <w:trPr>
          <w:trHeight w:val="340"/>
          <w:jc w:val="center"/>
        </w:trPr>
        <w:tc>
          <w:tcPr>
            <w:tcW w:w="585" w:type="pct"/>
            <w:vAlign w:val="center"/>
          </w:tcPr>
          <w:p w14:paraId="65A6D5D5"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bookmarkStart w:id="149" w:name="_Toc19182"/>
            <w:bookmarkStart w:id="150" w:name="_Toc16578"/>
            <w:bookmarkStart w:id="151" w:name="_Toc12061"/>
            <w:bookmarkStart w:id="152" w:name="_Toc17957"/>
            <w:bookmarkStart w:id="153" w:name="_Toc414619132"/>
            <w:bookmarkStart w:id="154" w:name="_Toc485640223"/>
            <w:bookmarkStart w:id="155" w:name="_Toc489258990"/>
            <w:bookmarkStart w:id="156" w:name="_Toc22794"/>
            <w:bookmarkStart w:id="157" w:name="_Toc12845"/>
            <w:bookmarkStart w:id="158" w:name="_Toc166615896"/>
            <w:bookmarkStart w:id="159" w:name="_Toc442180946"/>
            <w:r>
              <w:rPr>
                <w:rFonts w:ascii="Times New Roman" w:hAnsi="Times New Roman" w:cs="Times New Roman"/>
                <w:sz w:val="21"/>
                <w:szCs w:val="21"/>
              </w:rPr>
              <w:t>生态环境</w:t>
            </w:r>
          </w:p>
        </w:tc>
        <w:tc>
          <w:tcPr>
            <w:tcW w:w="1068" w:type="pct"/>
            <w:vAlign w:val="center"/>
          </w:tcPr>
          <w:p w14:paraId="4C664B02"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区域生态环境</w:t>
            </w:r>
          </w:p>
        </w:tc>
        <w:tc>
          <w:tcPr>
            <w:tcW w:w="710" w:type="pct"/>
            <w:vAlign w:val="center"/>
          </w:tcPr>
          <w:p w14:paraId="0B586485"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w:t>
            </w:r>
          </w:p>
        </w:tc>
        <w:tc>
          <w:tcPr>
            <w:tcW w:w="755" w:type="pct"/>
            <w:vAlign w:val="center"/>
          </w:tcPr>
          <w:p w14:paraId="5914FF28"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w:t>
            </w:r>
          </w:p>
        </w:tc>
        <w:tc>
          <w:tcPr>
            <w:tcW w:w="1879" w:type="pct"/>
            <w:vAlign w:val="center"/>
          </w:tcPr>
          <w:p w14:paraId="158D8E41"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保护现有生态环境不被破坏</w:t>
            </w:r>
          </w:p>
        </w:tc>
      </w:tr>
    </w:tbl>
    <w:p w14:paraId="2A30C9EA" w14:textId="77777777" w:rsidR="003E78AB" w:rsidRDefault="00010BF9">
      <w:pPr>
        <w:ind w:firstLine="480"/>
        <w:rPr>
          <w:bCs/>
          <w:kern w:val="2"/>
        </w:rPr>
      </w:pPr>
      <w:r>
        <w:rPr>
          <w:bCs/>
          <w:kern w:val="2"/>
        </w:rPr>
        <w:t>根据现场调查，项目所在南部循环经济产业园东侧</w:t>
      </w:r>
      <w:r>
        <w:rPr>
          <w:bCs/>
          <w:kern w:val="2"/>
        </w:rPr>
        <w:t>3.44km</w:t>
      </w:r>
      <w:r>
        <w:rPr>
          <w:bCs/>
          <w:kern w:val="2"/>
        </w:rPr>
        <w:t>处为南湖乡地下水源地，其保护区范围见</w:t>
      </w:r>
      <w:r>
        <w:rPr>
          <w:bCs/>
          <w:kern w:val="2"/>
        </w:rPr>
        <w:fldChar w:fldCharType="begin"/>
      </w:r>
      <w:r>
        <w:rPr>
          <w:bCs/>
          <w:kern w:val="2"/>
        </w:rPr>
        <w:instrText xml:space="preserve"> REF _Ref31883 \r \h  \* MERGEFORMAT </w:instrText>
      </w:r>
      <w:r>
        <w:rPr>
          <w:bCs/>
          <w:kern w:val="2"/>
        </w:rPr>
      </w:r>
      <w:r>
        <w:rPr>
          <w:bCs/>
          <w:kern w:val="2"/>
        </w:rPr>
        <w:fldChar w:fldCharType="separate"/>
      </w:r>
      <w:r>
        <w:rPr>
          <w:bCs/>
          <w:kern w:val="2"/>
        </w:rPr>
        <w:t>表</w:t>
      </w:r>
      <w:r>
        <w:rPr>
          <w:bCs/>
          <w:kern w:val="2"/>
        </w:rPr>
        <w:t>2-34</w:t>
      </w:r>
      <w:r>
        <w:rPr>
          <w:bCs/>
          <w:kern w:val="2"/>
        </w:rPr>
        <w:fldChar w:fldCharType="end"/>
      </w:r>
      <w:r>
        <w:rPr>
          <w:bCs/>
          <w:kern w:val="2"/>
        </w:rPr>
        <w:t>。</w:t>
      </w:r>
    </w:p>
    <w:p w14:paraId="2CBECFA1" w14:textId="77777777" w:rsidR="003E78AB" w:rsidRDefault="00010BF9">
      <w:pPr>
        <w:pStyle w:val="a5"/>
        <w:rPr>
          <w:bCs/>
          <w:lang w:val="zh-CN"/>
        </w:rPr>
      </w:pPr>
      <w:bookmarkStart w:id="160" w:name="_Ref31883"/>
      <w:r>
        <w:rPr>
          <w:bCs/>
          <w:lang w:val="zh-CN"/>
        </w:rPr>
        <w:t>南湖乡水厂水源地</w:t>
      </w:r>
      <w:bookmarkEnd w:id="160"/>
    </w:p>
    <w:tbl>
      <w:tblPr>
        <w:tblW w:w="8460" w:type="dxa"/>
        <w:tblInd w:w="108"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1613"/>
        <w:gridCol w:w="1588"/>
        <w:gridCol w:w="3059"/>
        <w:gridCol w:w="2200"/>
      </w:tblGrid>
      <w:tr w:rsidR="003E78AB" w14:paraId="04FCFB22" w14:textId="77777777">
        <w:trPr>
          <w:trHeight w:val="340"/>
          <w:tblHeader/>
        </w:trPr>
        <w:tc>
          <w:tcPr>
            <w:tcW w:w="1613" w:type="dxa"/>
            <w:tcBorders>
              <w:top w:val="single" w:sz="4" w:space="0" w:color="auto"/>
              <w:left w:val="single" w:sz="4" w:space="0" w:color="auto"/>
              <w:bottom w:val="single" w:sz="4" w:space="0" w:color="auto"/>
              <w:right w:val="single" w:sz="4" w:space="0" w:color="auto"/>
            </w:tcBorders>
            <w:vAlign w:val="center"/>
          </w:tcPr>
          <w:p w14:paraId="2F30211E"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保护区级别</w:t>
            </w:r>
          </w:p>
        </w:tc>
        <w:tc>
          <w:tcPr>
            <w:tcW w:w="1588" w:type="dxa"/>
            <w:tcBorders>
              <w:top w:val="single" w:sz="4" w:space="0" w:color="auto"/>
              <w:left w:val="single" w:sz="4" w:space="0" w:color="auto"/>
              <w:bottom w:val="single" w:sz="4" w:space="0" w:color="auto"/>
              <w:right w:val="single" w:sz="4" w:space="0" w:color="auto"/>
            </w:tcBorders>
            <w:vAlign w:val="center"/>
          </w:tcPr>
          <w:p w14:paraId="64733644"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拐点</w:t>
            </w:r>
          </w:p>
        </w:tc>
        <w:tc>
          <w:tcPr>
            <w:tcW w:w="3059" w:type="dxa"/>
            <w:tcBorders>
              <w:top w:val="single" w:sz="4" w:space="0" w:color="auto"/>
              <w:left w:val="single" w:sz="4" w:space="0" w:color="auto"/>
              <w:bottom w:val="single" w:sz="4" w:space="0" w:color="auto"/>
              <w:right w:val="single" w:sz="4" w:space="0" w:color="auto"/>
            </w:tcBorders>
            <w:vAlign w:val="center"/>
          </w:tcPr>
          <w:p w14:paraId="32F5BBA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经度</w:t>
            </w:r>
          </w:p>
        </w:tc>
        <w:tc>
          <w:tcPr>
            <w:tcW w:w="2200" w:type="dxa"/>
            <w:tcBorders>
              <w:top w:val="single" w:sz="4" w:space="0" w:color="auto"/>
              <w:left w:val="single" w:sz="4" w:space="0" w:color="auto"/>
              <w:bottom w:val="single" w:sz="4" w:space="0" w:color="auto"/>
              <w:right w:val="single" w:sz="4" w:space="0" w:color="auto"/>
            </w:tcBorders>
            <w:vAlign w:val="center"/>
          </w:tcPr>
          <w:p w14:paraId="182CAD31"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纬度</w:t>
            </w:r>
          </w:p>
        </w:tc>
      </w:tr>
      <w:tr w:rsidR="003E78AB" w14:paraId="00C3F8FC" w14:textId="77777777">
        <w:trPr>
          <w:trHeight w:val="340"/>
        </w:trPr>
        <w:tc>
          <w:tcPr>
            <w:tcW w:w="1613" w:type="dxa"/>
            <w:vMerge w:val="restart"/>
            <w:tcBorders>
              <w:top w:val="single" w:sz="4" w:space="0" w:color="auto"/>
              <w:left w:val="single" w:sz="4" w:space="0" w:color="auto"/>
              <w:bottom w:val="single" w:sz="4" w:space="0" w:color="auto"/>
              <w:right w:val="single" w:sz="4" w:space="0" w:color="auto"/>
            </w:tcBorders>
            <w:vAlign w:val="center"/>
          </w:tcPr>
          <w:p w14:paraId="783B0204"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一级保护区</w:t>
            </w:r>
          </w:p>
        </w:tc>
        <w:tc>
          <w:tcPr>
            <w:tcW w:w="1588" w:type="dxa"/>
            <w:tcBorders>
              <w:top w:val="single" w:sz="4" w:space="0" w:color="auto"/>
              <w:left w:val="single" w:sz="4" w:space="0" w:color="auto"/>
              <w:bottom w:val="single" w:sz="4" w:space="0" w:color="auto"/>
              <w:right w:val="single" w:sz="4" w:space="0" w:color="auto"/>
            </w:tcBorders>
            <w:vAlign w:val="center"/>
          </w:tcPr>
          <w:p w14:paraId="0AC95C47"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A1</w:t>
            </w:r>
          </w:p>
        </w:tc>
        <w:tc>
          <w:tcPr>
            <w:tcW w:w="3059" w:type="dxa"/>
            <w:tcBorders>
              <w:top w:val="single" w:sz="4" w:space="0" w:color="auto"/>
              <w:left w:val="single" w:sz="4" w:space="0" w:color="auto"/>
              <w:bottom w:val="single" w:sz="4" w:space="0" w:color="auto"/>
              <w:right w:val="single" w:sz="4" w:space="0" w:color="auto"/>
            </w:tcBorders>
            <w:vAlign w:val="center"/>
          </w:tcPr>
          <w:p w14:paraId="69E5B6FA"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w:t>
            </w:r>
            <w:r>
              <w:rPr>
                <w:rFonts w:ascii="Times New Roman" w:hAnsi="Times New Roman" w:cs="Times New Roman"/>
                <w:bCs/>
                <w:sz w:val="21"/>
                <w:szCs w:val="21"/>
                <w:lang w:val="de-DE"/>
              </w:rPr>
              <w:t>29.19</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2CA994F3"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44.16</w:t>
            </w:r>
            <w:r>
              <w:rPr>
                <w:rFonts w:ascii="Times New Roman" w:hAnsi="Times New Roman" w:cs="Times New Roman"/>
                <w:bCs/>
                <w:sz w:val="21"/>
                <w:szCs w:val="21"/>
                <w:lang w:val="de-DE" w:eastAsia="de-DE"/>
              </w:rPr>
              <w:t>″</w:t>
            </w:r>
          </w:p>
        </w:tc>
      </w:tr>
      <w:tr w:rsidR="003E78AB" w14:paraId="4F22D2BB" w14:textId="77777777">
        <w:trPr>
          <w:trHeight w:val="340"/>
        </w:trPr>
        <w:tc>
          <w:tcPr>
            <w:tcW w:w="1613" w:type="dxa"/>
            <w:vMerge/>
            <w:tcBorders>
              <w:top w:val="single" w:sz="4" w:space="0" w:color="auto"/>
              <w:left w:val="single" w:sz="4" w:space="0" w:color="auto"/>
              <w:bottom w:val="single" w:sz="4" w:space="0" w:color="auto"/>
              <w:right w:val="single" w:sz="4" w:space="0" w:color="auto"/>
            </w:tcBorders>
            <w:vAlign w:val="center"/>
          </w:tcPr>
          <w:p w14:paraId="793392B1"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p>
        </w:tc>
        <w:tc>
          <w:tcPr>
            <w:tcW w:w="1588" w:type="dxa"/>
            <w:tcBorders>
              <w:top w:val="single" w:sz="4" w:space="0" w:color="auto"/>
              <w:left w:val="single" w:sz="4" w:space="0" w:color="auto"/>
              <w:bottom w:val="single" w:sz="4" w:space="0" w:color="auto"/>
              <w:right w:val="single" w:sz="4" w:space="0" w:color="auto"/>
            </w:tcBorders>
            <w:vAlign w:val="center"/>
          </w:tcPr>
          <w:p w14:paraId="4A8F8484"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A2</w:t>
            </w:r>
          </w:p>
        </w:tc>
        <w:tc>
          <w:tcPr>
            <w:tcW w:w="3059" w:type="dxa"/>
            <w:tcBorders>
              <w:top w:val="single" w:sz="4" w:space="0" w:color="auto"/>
              <w:left w:val="single" w:sz="4" w:space="0" w:color="auto"/>
              <w:bottom w:val="single" w:sz="4" w:space="0" w:color="auto"/>
              <w:right w:val="single" w:sz="4" w:space="0" w:color="auto"/>
            </w:tcBorders>
            <w:vAlign w:val="center"/>
          </w:tcPr>
          <w:p w14:paraId="7EDB96D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lang w:val="de-DE" w:eastAsia="de-DE"/>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93º27′35.</w:t>
            </w:r>
            <w:r>
              <w:rPr>
                <w:rFonts w:ascii="Times New Roman" w:hAnsi="Times New Roman" w:cs="Times New Roman"/>
                <w:bCs/>
                <w:sz w:val="21"/>
                <w:szCs w:val="21"/>
                <w:lang w:val="de-DE"/>
              </w:rPr>
              <w:t>94</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49369C9B"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43.31</w:t>
            </w:r>
            <w:r>
              <w:rPr>
                <w:rFonts w:ascii="Times New Roman" w:hAnsi="Times New Roman" w:cs="Times New Roman"/>
                <w:bCs/>
                <w:sz w:val="21"/>
                <w:szCs w:val="21"/>
                <w:lang w:val="de-DE" w:eastAsia="de-DE"/>
              </w:rPr>
              <w:t>″</w:t>
            </w:r>
          </w:p>
        </w:tc>
      </w:tr>
      <w:tr w:rsidR="003E78AB" w14:paraId="088890FC" w14:textId="77777777">
        <w:trPr>
          <w:trHeight w:val="340"/>
        </w:trPr>
        <w:tc>
          <w:tcPr>
            <w:tcW w:w="1613" w:type="dxa"/>
            <w:vMerge/>
            <w:tcBorders>
              <w:top w:val="single" w:sz="4" w:space="0" w:color="auto"/>
              <w:left w:val="single" w:sz="4" w:space="0" w:color="auto"/>
              <w:bottom w:val="single" w:sz="4" w:space="0" w:color="auto"/>
              <w:right w:val="single" w:sz="4" w:space="0" w:color="auto"/>
            </w:tcBorders>
            <w:vAlign w:val="center"/>
          </w:tcPr>
          <w:p w14:paraId="05FB2368"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p>
        </w:tc>
        <w:tc>
          <w:tcPr>
            <w:tcW w:w="1588" w:type="dxa"/>
            <w:tcBorders>
              <w:top w:val="single" w:sz="4" w:space="0" w:color="auto"/>
              <w:left w:val="single" w:sz="4" w:space="0" w:color="auto"/>
              <w:bottom w:val="single" w:sz="4" w:space="0" w:color="auto"/>
              <w:right w:val="single" w:sz="4" w:space="0" w:color="auto"/>
            </w:tcBorders>
            <w:vAlign w:val="center"/>
          </w:tcPr>
          <w:p w14:paraId="0E8A0D99"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A3</w:t>
            </w:r>
          </w:p>
        </w:tc>
        <w:tc>
          <w:tcPr>
            <w:tcW w:w="3059" w:type="dxa"/>
            <w:tcBorders>
              <w:top w:val="single" w:sz="4" w:space="0" w:color="auto"/>
              <w:left w:val="single" w:sz="4" w:space="0" w:color="auto"/>
              <w:bottom w:val="single" w:sz="4" w:space="0" w:color="auto"/>
              <w:right w:val="single" w:sz="4" w:space="0" w:color="auto"/>
            </w:tcBorders>
            <w:vAlign w:val="center"/>
          </w:tcPr>
          <w:p w14:paraId="61385EA0"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93º27′35.</w:t>
            </w:r>
            <w:r>
              <w:rPr>
                <w:rFonts w:ascii="Times New Roman" w:hAnsi="Times New Roman" w:cs="Times New Roman"/>
                <w:bCs/>
                <w:sz w:val="21"/>
                <w:szCs w:val="21"/>
                <w:lang w:val="de-DE"/>
              </w:rPr>
              <w:t>12</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4A931B3B"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39.47</w:t>
            </w:r>
            <w:r>
              <w:rPr>
                <w:rFonts w:ascii="Times New Roman" w:hAnsi="Times New Roman" w:cs="Times New Roman"/>
                <w:bCs/>
                <w:sz w:val="21"/>
                <w:szCs w:val="21"/>
                <w:lang w:val="de-DE" w:eastAsia="de-DE"/>
              </w:rPr>
              <w:t>″</w:t>
            </w:r>
          </w:p>
        </w:tc>
      </w:tr>
      <w:tr w:rsidR="003E78AB" w14:paraId="089945D2" w14:textId="77777777">
        <w:trPr>
          <w:trHeight w:val="340"/>
        </w:trPr>
        <w:tc>
          <w:tcPr>
            <w:tcW w:w="1613" w:type="dxa"/>
            <w:vMerge/>
            <w:tcBorders>
              <w:top w:val="single" w:sz="4" w:space="0" w:color="auto"/>
              <w:left w:val="single" w:sz="4" w:space="0" w:color="auto"/>
              <w:bottom w:val="single" w:sz="4" w:space="0" w:color="auto"/>
              <w:right w:val="single" w:sz="4" w:space="0" w:color="auto"/>
            </w:tcBorders>
            <w:vAlign w:val="center"/>
          </w:tcPr>
          <w:p w14:paraId="7A2ED242"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p>
        </w:tc>
        <w:tc>
          <w:tcPr>
            <w:tcW w:w="1588" w:type="dxa"/>
            <w:tcBorders>
              <w:top w:val="single" w:sz="4" w:space="0" w:color="auto"/>
              <w:left w:val="single" w:sz="4" w:space="0" w:color="auto"/>
              <w:bottom w:val="single" w:sz="4" w:space="0" w:color="auto"/>
              <w:right w:val="single" w:sz="4" w:space="0" w:color="auto"/>
            </w:tcBorders>
            <w:vAlign w:val="center"/>
          </w:tcPr>
          <w:p w14:paraId="71452F73"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A4</w:t>
            </w:r>
          </w:p>
        </w:tc>
        <w:tc>
          <w:tcPr>
            <w:tcW w:w="3059" w:type="dxa"/>
            <w:tcBorders>
              <w:top w:val="single" w:sz="4" w:space="0" w:color="auto"/>
              <w:left w:val="single" w:sz="4" w:space="0" w:color="auto"/>
              <w:bottom w:val="single" w:sz="4" w:space="0" w:color="auto"/>
              <w:right w:val="single" w:sz="4" w:space="0" w:color="auto"/>
            </w:tcBorders>
            <w:vAlign w:val="center"/>
          </w:tcPr>
          <w:p w14:paraId="063A4A30"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93º27′2</w:t>
            </w:r>
            <w:r>
              <w:rPr>
                <w:rFonts w:ascii="Times New Roman" w:hAnsi="Times New Roman" w:cs="Times New Roman"/>
                <w:bCs/>
                <w:sz w:val="21"/>
                <w:szCs w:val="21"/>
                <w:lang w:val="de-DE"/>
              </w:rPr>
              <w:t>8.35</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053CCD3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40.35</w:t>
            </w:r>
            <w:r>
              <w:rPr>
                <w:rFonts w:ascii="Times New Roman" w:hAnsi="Times New Roman" w:cs="Times New Roman"/>
                <w:bCs/>
                <w:sz w:val="21"/>
                <w:szCs w:val="21"/>
                <w:lang w:val="de-DE" w:eastAsia="de-DE"/>
              </w:rPr>
              <w:t>″</w:t>
            </w:r>
          </w:p>
        </w:tc>
      </w:tr>
    </w:tbl>
    <w:p w14:paraId="7B183B6A" w14:textId="77777777" w:rsidR="003E78AB" w:rsidRDefault="00010BF9">
      <w:pPr>
        <w:ind w:firstLine="480"/>
        <w:rPr>
          <w:bCs/>
        </w:rPr>
      </w:pPr>
      <w:r>
        <w:rPr>
          <w:bCs/>
          <w:kern w:val="2"/>
        </w:rPr>
        <w:t>根据现场调查及水文地质勘察资料，区域内地下水整体流向为</w:t>
      </w:r>
      <w:r>
        <w:rPr>
          <w:bCs/>
          <w:kern w:val="2"/>
        </w:rPr>
        <w:t>N20°E</w:t>
      </w:r>
      <w:r>
        <w:rPr>
          <w:bCs/>
          <w:kern w:val="2"/>
        </w:rPr>
        <w:t>方向向</w:t>
      </w:r>
      <w:r>
        <w:rPr>
          <w:bCs/>
          <w:kern w:val="2"/>
        </w:rPr>
        <w:t>S20°W</w:t>
      </w:r>
      <w:r>
        <w:rPr>
          <w:bCs/>
          <w:kern w:val="2"/>
        </w:rPr>
        <w:t>流动，该水源地西</w:t>
      </w:r>
      <w:r>
        <w:rPr>
          <w:rFonts w:hint="eastAsia"/>
          <w:bCs/>
          <w:kern w:val="2"/>
        </w:rPr>
        <w:t>南</w:t>
      </w:r>
      <w:r>
        <w:rPr>
          <w:bCs/>
          <w:kern w:val="2"/>
        </w:rPr>
        <w:t>距本项目</w:t>
      </w:r>
      <w:r>
        <w:rPr>
          <w:rFonts w:hint="eastAsia"/>
          <w:bCs/>
          <w:kern w:val="2"/>
        </w:rPr>
        <w:t>3.44</w:t>
      </w:r>
      <w:r>
        <w:rPr>
          <w:bCs/>
          <w:kern w:val="2"/>
        </w:rPr>
        <w:t>km</w:t>
      </w:r>
      <w:r>
        <w:rPr>
          <w:bCs/>
          <w:kern w:val="2"/>
        </w:rPr>
        <w:t>，位于本项目侧游。本项目建设地点不位于该水源地的补给径流区。</w:t>
      </w:r>
    </w:p>
    <w:p w14:paraId="6BAC3F33" w14:textId="77777777" w:rsidR="003E78AB" w:rsidRDefault="00010BF9">
      <w:pPr>
        <w:pStyle w:val="24"/>
        <w:keepNext w:val="0"/>
        <w:keepLines w:val="0"/>
        <w:topLinePunct/>
        <w:spacing w:before="156"/>
        <w:rPr>
          <w:rFonts w:cs="Times New Roman"/>
        </w:rPr>
      </w:pPr>
      <w:r>
        <w:rPr>
          <w:rFonts w:cs="Times New Roman"/>
        </w:rPr>
        <w:t>2.8</w:t>
      </w:r>
      <w:r>
        <w:rPr>
          <w:rFonts w:cs="Times New Roman"/>
        </w:rPr>
        <w:t>产业政策、相关规划与</w:t>
      </w:r>
      <w:bookmarkEnd w:id="149"/>
      <w:r>
        <w:rPr>
          <w:rFonts w:cs="Times New Roman"/>
        </w:rPr>
        <w:t>行业规范符合性</w:t>
      </w:r>
      <w:bookmarkEnd w:id="150"/>
      <w:bookmarkEnd w:id="151"/>
      <w:bookmarkEnd w:id="152"/>
    </w:p>
    <w:p w14:paraId="4A0184BB" w14:textId="77777777" w:rsidR="003E78AB" w:rsidRDefault="00010BF9">
      <w:pPr>
        <w:pStyle w:val="31"/>
        <w:keepNext w:val="0"/>
        <w:keepLines w:val="0"/>
        <w:topLinePunct/>
        <w:spacing w:before="156"/>
        <w:rPr>
          <w:rFonts w:cs="Times New Roman"/>
        </w:rPr>
      </w:pPr>
      <w:r>
        <w:rPr>
          <w:rFonts w:cs="Times New Roman"/>
        </w:rPr>
        <w:t>2.8.1</w:t>
      </w:r>
      <w:r>
        <w:rPr>
          <w:rFonts w:cs="Times New Roman"/>
        </w:rPr>
        <w:t>产业政策符合性分析</w:t>
      </w:r>
    </w:p>
    <w:p w14:paraId="374DE7D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2.8.1.1</w:t>
      </w:r>
      <w:r>
        <w:rPr>
          <w:rFonts w:ascii="Times New Roman" w:hAnsi="Times New Roman"/>
        </w:rPr>
        <w:t>与《产业结构调整指导目录》（</w:t>
      </w:r>
      <w:r>
        <w:rPr>
          <w:rFonts w:ascii="Times New Roman" w:hAnsi="Times New Roman"/>
        </w:rPr>
        <w:t>2024</w:t>
      </w:r>
      <w:r>
        <w:rPr>
          <w:rFonts w:ascii="Times New Roman" w:hAnsi="Times New Roman"/>
        </w:rPr>
        <w:t>年本）符合性分析</w:t>
      </w:r>
    </w:p>
    <w:p w14:paraId="42C481F1" w14:textId="77777777" w:rsidR="003E78AB" w:rsidRDefault="00010BF9">
      <w:pPr>
        <w:pStyle w:val="aff2"/>
        <w:topLinePunct/>
        <w:spacing w:line="520" w:lineRule="exact"/>
        <w:ind w:firstLine="480"/>
        <w:rPr>
          <w:rFonts w:cs="Times New Roman"/>
          <w:sz w:val="24"/>
          <w:highlight w:val="yellow"/>
        </w:rPr>
      </w:pPr>
      <w:r>
        <w:rPr>
          <w:rFonts w:cs="Times New Roman"/>
          <w:sz w:val="24"/>
        </w:rPr>
        <w:t>本项目产品为</w:t>
      </w:r>
      <w:r>
        <w:rPr>
          <w:rFonts w:cs="Times New Roman"/>
          <w:sz w:val="24"/>
        </w:rPr>
        <w:t>3.5</w:t>
      </w:r>
      <w:r>
        <w:rPr>
          <w:rFonts w:cs="Times New Roman"/>
          <w:sz w:val="24"/>
        </w:rPr>
        <w:t>价</w:t>
      </w:r>
      <w:r>
        <w:rPr>
          <w:rFonts w:cs="Times New Roman" w:hint="eastAsia"/>
          <w:sz w:val="24"/>
        </w:rPr>
        <w:t>（</w:t>
      </w:r>
      <w:r>
        <w:rPr>
          <w:rFonts w:cs="Times New Roman"/>
          <w:sz w:val="24"/>
        </w:rPr>
        <w:t>平均价态</w:t>
      </w:r>
      <w:r>
        <w:rPr>
          <w:rFonts w:cs="Times New Roman" w:hint="eastAsia"/>
          <w:sz w:val="24"/>
        </w:rPr>
        <w:t>）</w:t>
      </w:r>
      <w:r>
        <w:rPr>
          <w:rFonts w:cs="Times New Roman"/>
          <w:sz w:val="24"/>
        </w:rPr>
        <w:t>钒电解液，属于其他专用化学产品制造</w:t>
      </w:r>
      <w:r>
        <w:rPr>
          <w:rFonts w:cs="Times New Roman"/>
          <w:kern w:val="0"/>
          <w:sz w:val="24"/>
          <w:szCs w:val="24"/>
        </w:rPr>
        <w:t>（</w:t>
      </w:r>
      <w:r>
        <w:rPr>
          <w:rFonts w:cs="Times New Roman"/>
          <w:sz w:val="24"/>
        </w:rPr>
        <w:t>C2669</w:t>
      </w:r>
      <w:r>
        <w:rPr>
          <w:rFonts w:cs="Times New Roman"/>
          <w:kern w:val="0"/>
          <w:sz w:val="24"/>
          <w:szCs w:val="24"/>
        </w:rPr>
        <w:t>）</w:t>
      </w:r>
      <w:r>
        <w:rPr>
          <w:rFonts w:cs="Times New Roman"/>
          <w:sz w:val="24"/>
        </w:rPr>
        <w:t>，根据《产业结构调整指导目录</w:t>
      </w:r>
      <w:r>
        <w:rPr>
          <w:rFonts w:cs="Times New Roman"/>
          <w:kern w:val="0"/>
          <w:sz w:val="24"/>
          <w:szCs w:val="24"/>
        </w:rPr>
        <w:t>（</w:t>
      </w:r>
      <w:r>
        <w:rPr>
          <w:rFonts w:cs="Times New Roman"/>
          <w:sz w:val="24"/>
        </w:rPr>
        <w:t>2024</w:t>
      </w:r>
      <w:r>
        <w:rPr>
          <w:rFonts w:cs="Times New Roman"/>
          <w:sz w:val="24"/>
        </w:rPr>
        <w:t>年本</w:t>
      </w:r>
      <w:r>
        <w:rPr>
          <w:rFonts w:cs="Times New Roman"/>
          <w:kern w:val="0"/>
          <w:sz w:val="24"/>
          <w:szCs w:val="24"/>
        </w:rPr>
        <w:t>）</w:t>
      </w:r>
      <w:r>
        <w:rPr>
          <w:rFonts w:cs="Times New Roman"/>
          <w:sz w:val="24"/>
        </w:rPr>
        <w:t>》，本项目不属于</w:t>
      </w:r>
      <w:r>
        <w:rPr>
          <w:rFonts w:cs="Times New Roman"/>
          <w:sz w:val="24"/>
        </w:rPr>
        <w:t>“</w:t>
      </w:r>
      <w:r>
        <w:rPr>
          <w:rFonts w:cs="Times New Roman"/>
          <w:sz w:val="24"/>
        </w:rPr>
        <w:t>淘汰类</w:t>
      </w:r>
      <w:r>
        <w:rPr>
          <w:rFonts w:cs="Times New Roman"/>
          <w:sz w:val="24"/>
        </w:rPr>
        <w:t>”</w:t>
      </w:r>
      <w:r>
        <w:rPr>
          <w:rFonts w:cs="Times New Roman"/>
          <w:sz w:val="24"/>
        </w:rPr>
        <w:t>、</w:t>
      </w:r>
      <w:r>
        <w:rPr>
          <w:rFonts w:cs="Times New Roman"/>
          <w:sz w:val="24"/>
        </w:rPr>
        <w:t>“</w:t>
      </w:r>
      <w:r>
        <w:rPr>
          <w:rFonts w:cs="Times New Roman"/>
          <w:sz w:val="24"/>
        </w:rPr>
        <w:t>限制类</w:t>
      </w:r>
      <w:r>
        <w:rPr>
          <w:rFonts w:cs="Times New Roman"/>
          <w:sz w:val="24"/>
        </w:rPr>
        <w:t>”</w:t>
      </w:r>
      <w:r>
        <w:rPr>
          <w:rFonts w:cs="Times New Roman"/>
          <w:sz w:val="24"/>
        </w:rPr>
        <w:t>中所列项目，属于符合国家产业政策要求的允许类项目，</w:t>
      </w:r>
      <w:r>
        <w:rPr>
          <w:rFonts w:cs="Times New Roman"/>
          <w:kern w:val="0"/>
          <w:sz w:val="24"/>
          <w:szCs w:val="24"/>
        </w:rPr>
        <w:t>本项目已取得哈密高新技术产业开发区管理委员会出具的登记备案证（</w:t>
      </w:r>
      <w:r>
        <w:rPr>
          <w:rFonts w:cs="Times New Roman" w:hint="eastAsia"/>
          <w:kern w:val="0"/>
          <w:sz w:val="24"/>
          <w:szCs w:val="24"/>
        </w:rPr>
        <w:t>备案代码：</w:t>
      </w:r>
      <w:r>
        <w:rPr>
          <w:rFonts w:cs="Times New Roman"/>
          <w:kern w:val="0"/>
          <w:sz w:val="24"/>
          <w:szCs w:val="24"/>
        </w:rPr>
        <w:t>2506-650591-04-01-294721</w:t>
      </w:r>
      <w:r>
        <w:rPr>
          <w:rFonts w:cs="Times New Roman"/>
          <w:kern w:val="0"/>
          <w:sz w:val="24"/>
          <w:szCs w:val="24"/>
        </w:rPr>
        <w:t>）。</w:t>
      </w:r>
    </w:p>
    <w:p w14:paraId="07B9DC0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2.8.1.2</w:t>
      </w:r>
      <w:r>
        <w:rPr>
          <w:rFonts w:ascii="Times New Roman" w:hAnsi="Times New Roman"/>
        </w:rPr>
        <w:t>与《新疆维吾尔自治区国民经济和社会发展第十四个五年规划和</w:t>
      </w:r>
      <w:r>
        <w:rPr>
          <w:rFonts w:ascii="Times New Roman" w:hAnsi="Times New Roman"/>
        </w:rPr>
        <w:t>2035</w:t>
      </w:r>
      <w:r>
        <w:rPr>
          <w:rFonts w:ascii="Times New Roman" w:hAnsi="Times New Roman"/>
        </w:rPr>
        <w:t>年远景目标纲要》符合性分析</w:t>
      </w:r>
    </w:p>
    <w:p w14:paraId="003B04D0" w14:textId="77777777" w:rsidR="003E78AB" w:rsidRDefault="00010BF9">
      <w:pPr>
        <w:ind w:firstLine="480"/>
        <w:rPr>
          <w:kern w:val="2"/>
        </w:rPr>
      </w:pPr>
      <w:r>
        <w:rPr>
          <w:kern w:val="2"/>
        </w:rPr>
        <w:t>《新疆维吾尔自治区国民经济和社会发展第十四个五年规划和</w:t>
      </w:r>
      <w:r>
        <w:rPr>
          <w:kern w:val="2"/>
        </w:rPr>
        <w:t>2035</w:t>
      </w:r>
      <w:r>
        <w:rPr>
          <w:kern w:val="2"/>
        </w:rPr>
        <w:t>年远景目标纲要》中第五篇</w:t>
      </w:r>
      <w:r>
        <w:rPr>
          <w:kern w:val="2"/>
        </w:rPr>
        <w:t>-</w:t>
      </w:r>
      <w:r>
        <w:rPr>
          <w:kern w:val="2"/>
        </w:rPr>
        <w:t>第三章提出：</w:t>
      </w:r>
      <w:r>
        <w:rPr>
          <w:kern w:val="2"/>
        </w:rPr>
        <w:t>“</w:t>
      </w:r>
      <w:r>
        <w:rPr>
          <w:kern w:val="2"/>
        </w:rPr>
        <w:t>加快发展新材料产业。积极发展硅基、铝基、碳基、锆基、铜基、钛基、稀有金属、化工、生物基等新</w:t>
      </w:r>
      <w:r>
        <w:rPr>
          <w:kern w:val="2"/>
        </w:rPr>
        <w:t>材料及复合新材料、前沿新材料，提升新材料产业集群和产业协同效应</w:t>
      </w:r>
      <w:r>
        <w:rPr>
          <w:kern w:val="2"/>
        </w:rPr>
        <w:t>”</w:t>
      </w:r>
      <w:r>
        <w:rPr>
          <w:kern w:val="2"/>
        </w:rPr>
        <w:t>。</w:t>
      </w:r>
    </w:p>
    <w:p w14:paraId="7334543C" w14:textId="77777777" w:rsidR="003E78AB" w:rsidRDefault="00010BF9">
      <w:pPr>
        <w:ind w:firstLine="480"/>
        <w:rPr>
          <w:kern w:val="2"/>
        </w:rPr>
      </w:pPr>
      <w:r>
        <w:rPr>
          <w:kern w:val="2"/>
        </w:rPr>
        <w:t>本项目生产钒电解液产品，属于《新疆维吾尔自治区国民经济和社会发展第十四个五年规划和</w:t>
      </w:r>
      <w:r>
        <w:rPr>
          <w:kern w:val="2"/>
        </w:rPr>
        <w:t>2035</w:t>
      </w:r>
      <w:r>
        <w:rPr>
          <w:kern w:val="2"/>
        </w:rPr>
        <w:t>年远景目标纲要》中积极推动发展类产业，因此符合其相关要求。</w:t>
      </w:r>
    </w:p>
    <w:p w14:paraId="3990763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2.8.1.3</w:t>
      </w:r>
      <w:r>
        <w:rPr>
          <w:rFonts w:ascii="Times New Roman" w:hAnsi="Times New Roman"/>
        </w:rPr>
        <w:t>与《哈密市国民经济和社会发展第十四个五年规划和</w:t>
      </w:r>
      <w:r>
        <w:rPr>
          <w:rFonts w:ascii="Times New Roman" w:hAnsi="Times New Roman"/>
        </w:rPr>
        <w:t>2035</w:t>
      </w:r>
      <w:r>
        <w:rPr>
          <w:rFonts w:ascii="Times New Roman" w:hAnsi="Times New Roman"/>
        </w:rPr>
        <w:t>年远景目标纲要》符合性分析</w:t>
      </w:r>
    </w:p>
    <w:p w14:paraId="7614CE5C" w14:textId="77777777" w:rsidR="003E78AB" w:rsidRDefault="00010BF9">
      <w:pPr>
        <w:ind w:firstLine="480"/>
        <w:rPr>
          <w:kern w:val="2"/>
        </w:rPr>
      </w:pPr>
      <w:r>
        <w:rPr>
          <w:kern w:val="2"/>
        </w:rPr>
        <w:t>《哈密市国民经济和社会发展第十四个五年规划和</w:t>
      </w:r>
      <w:r>
        <w:rPr>
          <w:kern w:val="2"/>
        </w:rPr>
        <w:t>2035</w:t>
      </w:r>
      <w:r>
        <w:rPr>
          <w:kern w:val="2"/>
        </w:rPr>
        <w:t>年远景目标纲要》提出：</w:t>
      </w:r>
      <w:r>
        <w:rPr>
          <w:kern w:val="2"/>
        </w:rPr>
        <w:t>“</w:t>
      </w:r>
      <w:r>
        <w:rPr>
          <w:kern w:val="2"/>
        </w:rPr>
        <w:t>推行绿色循环生产方式：严格执行国家绿色产业指导目录标准，实施生态环境准入清单管理，完善环境保护、节能减排约束性指标管理，优</w:t>
      </w:r>
      <w:r>
        <w:rPr>
          <w:kern w:val="2"/>
        </w:rPr>
        <w:t>化能源消费结构，严控能源消费增量，推动能源清洁低碳安全高效利用。</w:t>
      </w:r>
      <w:r>
        <w:rPr>
          <w:kern w:val="2"/>
        </w:rPr>
        <w:t>……</w:t>
      </w:r>
      <w:r>
        <w:rPr>
          <w:kern w:val="2"/>
        </w:rPr>
        <w:t>围绕能源、化工、冶金、建材等重点行业，构建循环经济产业链条，打造以龙头企业为主体、以产业园区为平台、以产业链条为主线的循环经济发展框架。</w:t>
      </w:r>
      <w:r>
        <w:rPr>
          <w:kern w:val="2"/>
        </w:rPr>
        <w:t>”</w:t>
      </w:r>
    </w:p>
    <w:p w14:paraId="173D9536" w14:textId="77777777" w:rsidR="003E78AB" w:rsidRDefault="00010BF9">
      <w:pPr>
        <w:ind w:firstLine="480"/>
        <w:rPr>
          <w:kern w:val="2"/>
        </w:rPr>
      </w:pPr>
      <w:r>
        <w:rPr>
          <w:kern w:val="2"/>
        </w:rPr>
        <w:t>项目属于绿色产业范畴，深度融入循环经济体系，通过本地钒矿资源开发</w:t>
      </w:r>
      <w:r>
        <w:rPr>
          <w:kern w:val="2"/>
        </w:rPr>
        <w:t>→</w:t>
      </w:r>
      <w:r>
        <w:rPr>
          <w:kern w:val="2"/>
        </w:rPr>
        <w:t>电解液制造</w:t>
      </w:r>
      <w:r>
        <w:rPr>
          <w:kern w:val="2"/>
        </w:rPr>
        <w:t>→</w:t>
      </w:r>
      <w:r>
        <w:rPr>
          <w:kern w:val="2"/>
        </w:rPr>
        <w:t>配套风光储项目的闭环链条，实现资源高效利用与废料再生（如含钒滤渣回收），响应</w:t>
      </w:r>
      <w:r>
        <w:rPr>
          <w:kern w:val="2"/>
        </w:rPr>
        <w:t>"</w:t>
      </w:r>
      <w:r>
        <w:rPr>
          <w:kern w:val="2"/>
        </w:rPr>
        <w:t>构建循环经济产业链</w:t>
      </w:r>
      <w:r>
        <w:rPr>
          <w:kern w:val="2"/>
        </w:rPr>
        <w:t>"</w:t>
      </w:r>
      <w:r>
        <w:rPr>
          <w:kern w:val="2"/>
        </w:rPr>
        <w:t>部署；赋能重点行业转型，产品为煤化工、冶金企业提供安全储能支持，推动能源清洁低碳利用，契合</w:t>
      </w:r>
      <w:r>
        <w:rPr>
          <w:kern w:val="2"/>
        </w:rPr>
        <w:t>"</w:t>
      </w:r>
      <w:r>
        <w:rPr>
          <w:kern w:val="2"/>
        </w:rPr>
        <w:t>以龙头企业为主体发展循环经济</w:t>
      </w:r>
      <w:r>
        <w:rPr>
          <w:kern w:val="2"/>
        </w:rPr>
        <w:t>"</w:t>
      </w:r>
      <w:r>
        <w:rPr>
          <w:kern w:val="2"/>
        </w:rPr>
        <w:t>的战略</w:t>
      </w:r>
      <w:r>
        <w:rPr>
          <w:kern w:val="2"/>
        </w:rPr>
        <w:t>定位。综上，项目从产业属性、技术路线到资源整合均符合《哈密市国民经济和社会发展第十四个五年规划和</w:t>
      </w:r>
      <w:r>
        <w:rPr>
          <w:kern w:val="2"/>
        </w:rPr>
        <w:t>2035</w:t>
      </w:r>
      <w:r>
        <w:rPr>
          <w:kern w:val="2"/>
        </w:rPr>
        <w:t>年远景目标纲要》的产业发展相关要求。</w:t>
      </w:r>
    </w:p>
    <w:p w14:paraId="309200C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2.8.1.4</w:t>
      </w:r>
      <w:r>
        <w:rPr>
          <w:rFonts w:ascii="Times New Roman" w:hAnsi="Times New Roman"/>
        </w:rPr>
        <w:t>与新疆维吾尔自治区</w:t>
      </w:r>
      <w:r>
        <w:rPr>
          <w:rFonts w:ascii="Times New Roman" w:hAnsi="Times New Roman"/>
        </w:rPr>
        <w:t>28</w:t>
      </w:r>
      <w:r>
        <w:rPr>
          <w:rFonts w:ascii="Times New Roman" w:hAnsi="Times New Roman"/>
        </w:rPr>
        <w:t>个国家重点生态功能县市和新增</w:t>
      </w:r>
      <w:r>
        <w:rPr>
          <w:rFonts w:ascii="Times New Roman" w:hAnsi="Times New Roman"/>
        </w:rPr>
        <w:t>17</w:t>
      </w:r>
      <w:r>
        <w:rPr>
          <w:rFonts w:ascii="Times New Roman" w:hAnsi="Times New Roman"/>
        </w:rPr>
        <w:t>个国家重点生态功能区县（市）产业准入负面清单符合性分析</w:t>
      </w:r>
    </w:p>
    <w:p w14:paraId="6C3482B2" w14:textId="77777777" w:rsidR="003E78AB" w:rsidRDefault="00010BF9">
      <w:pPr>
        <w:ind w:firstLine="480"/>
        <w:rPr>
          <w:kern w:val="2"/>
        </w:rPr>
      </w:pPr>
      <w:r>
        <w:rPr>
          <w:kern w:val="2"/>
        </w:rPr>
        <w:t>根据新疆维吾尔自治区发展和改革委员会发布的</w:t>
      </w:r>
      <w:r>
        <w:rPr>
          <w:kern w:val="2"/>
        </w:rPr>
        <w:t>28</w:t>
      </w:r>
      <w:r>
        <w:rPr>
          <w:kern w:val="2"/>
        </w:rPr>
        <w:t>个国家重点生态功能县市和新增</w:t>
      </w:r>
      <w:r>
        <w:rPr>
          <w:kern w:val="2"/>
        </w:rPr>
        <w:t>17</w:t>
      </w:r>
      <w:r>
        <w:rPr>
          <w:kern w:val="2"/>
        </w:rPr>
        <w:t>个国家重点生态功能区县（市）产业准入负面清单，拟建项目位于哈密市，哈密市不属于上述生态重点县名单。因此拟建项目不属于新疆维吾尔自治区</w:t>
      </w:r>
      <w:r>
        <w:rPr>
          <w:kern w:val="2"/>
        </w:rPr>
        <w:t>28</w:t>
      </w:r>
      <w:r>
        <w:rPr>
          <w:kern w:val="2"/>
        </w:rPr>
        <w:t>个国家重点生态功能县市和新增</w:t>
      </w:r>
      <w:r>
        <w:rPr>
          <w:kern w:val="2"/>
        </w:rPr>
        <w:t>17</w:t>
      </w:r>
      <w:r>
        <w:rPr>
          <w:kern w:val="2"/>
        </w:rPr>
        <w:t>个国家重点生态功能区县（市）产业准入负面清单，符合要求。</w:t>
      </w:r>
    </w:p>
    <w:p w14:paraId="3586CD8B" w14:textId="77777777" w:rsidR="003E78AB" w:rsidRDefault="00010BF9">
      <w:pPr>
        <w:pStyle w:val="31"/>
        <w:keepNext w:val="0"/>
        <w:keepLines w:val="0"/>
        <w:topLinePunct/>
        <w:spacing w:before="156"/>
        <w:rPr>
          <w:rFonts w:cs="Times New Roman"/>
        </w:rPr>
      </w:pPr>
      <w:r>
        <w:rPr>
          <w:rFonts w:cs="Times New Roman"/>
        </w:rPr>
        <w:t>2.8.2</w:t>
      </w:r>
      <w:r>
        <w:rPr>
          <w:rFonts w:cs="Times New Roman"/>
        </w:rPr>
        <w:t>相关规划符合性分析</w:t>
      </w:r>
    </w:p>
    <w:p w14:paraId="0F88101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2.8.2.1</w:t>
      </w:r>
      <w:r>
        <w:rPr>
          <w:rFonts w:ascii="Times New Roman" w:hAnsi="Times New Roman"/>
        </w:rPr>
        <w:t>与《哈密市城市总体规划（</w:t>
      </w:r>
      <w:r>
        <w:rPr>
          <w:rFonts w:ascii="Times New Roman" w:hAnsi="Times New Roman"/>
        </w:rPr>
        <w:t>2012-2030</w:t>
      </w:r>
      <w:r>
        <w:rPr>
          <w:rFonts w:ascii="Times New Roman" w:hAnsi="Times New Roman"/>
        </w:rPr>
        <w:t>年）》的符合性</w:t>
      </w:r>
    </w:p>
    <w:p w14:paraId="71DEC801" w14:textId="77777777" w:rsidR="003E78AB" w:rsidRDefault="00010BF9">
      <w:pPr>
        <w:ind w:firstLine="480"/>
        <w:rPr>
          <w:kern w:val="2"/>
        </w:rPr>
      </w:pPr>
      <w:r>
        <w:rPr>
          <w:kern w:val="2"/>
        </w:rPr>
        <w:t>《哈密市城市总体规划（</w:t>
      </w:r>
      <w:r>
        <w:rPr>
          <w:kern w:val="2"/>
        </w:rPr>
        <w:t>2012-2030</w:t>
      </w:r>
      <w:r>
        <w:rPr>
          <w:kern w:val="2"/>
        </w:rPr>
        <w:t>年）》产业布局规划中指出：第二产业规划市域范围划分为四大工业片区。哈密南部工业区：主要包括哈密市重工业园区、二道湖工业园区、大南湖矿区、土屋铜矿及其周边区域。哈密西部工业区：主要包括三道岭加工区、沙尔湖矿区。哈密东部工业区：主要包括骆驼圈子加工区及大南湖东部矿区、哈密市东部矿山区域。哈密广东工业园区：位于哈密市</w:t>
      </w:r>
      <w:r>
        <w:rPr>
          <w:kern w:val="2"/>
        </w:rPr>
        <w:t>中心城区东北。</w:t>
      </w:r>
    </w:p>
    <w:p w14:paraId="0AABB34C" w14:textId="77777777" w:rsidR="003E78AB" w:rsidRDefault="00010BF9">
      <w:pPr>
        <w:ind w:firstLine="480"/>
        <w:rPr>
          <w:kern w:val="2"/>
        </w:rPr>
      </w:pPr>
      <w:r>
        <w:rPr>
          <w:kern w:val="2"/>
        </w:rPr>
        <w:t>本项目位于哈密工业园区南部循环经济产业园</w:t>
      </w:r>
      <w:r>
        <w:t>中的</w:t>
      </w:r>
      <w:r>
        <w:rPr>
          <w:rFonts w:hint="eastAsia"/>
        </w:rPr>
        <w:t>煤化工产业区</w:t>
      </w:r>
      <w:r>
        <w:rPr>
          <w:kern w:val="2"/>
        </w:rPr>
        <w:t>，哈密工业园区综合定位为：高新技术应用、转化为主的产业主导型工业园区。重点做优做强先进装备制造、新材料、化工业三大主导产业；加快培育现代能源产业、医疗器械及卫材、节能环保产业三大新兴产业，提升发展农副产品加工、建材及金属结构件管材、能源资源精深加工三大传统产业，积极配套现代服务业。因此本项目建设符合《哈密市城市总体规划（</w:t>
      </w:r>
      <w:r>
        <w:rPr>
          <w:kern w:val="2"/>
        </w:rPr>
        <w:t>2012-2030</w:t>
      </w:r>
      <w:r>
        <w:rPr>
          <w:kern w:val="2"/>
        </w:rPr>
        <w:t>年）》。</w:t>
      </w:r>
    </w:p>
    <w:p w14:paraId="780A117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2.8.2.2</w:t>
      </w:r>
      <w:r>
        <w:rPr>
          <w:rFonts w:ascii="Times New Roman" w:hAnsi="Times New Roman"/>
        </w:rPr>
        <w:t>与《伊州区国民经济和社会发展第十四个五年规划和</w:t>
      </w:r>
      <w:r>
        <w:rPr>
          <w:rFonts w:ascii="Times New Roman" w:hAnsi="Times New Roman"/>
        </w:rPr>
        <w:t>2035</w:t>
      </w:r>
      <w:r>
        <w:rPr>
          <w:rFonts w:ascii="Times New Roman" w:hAnsi="Times New Roman"/>
        </w:rPr>
        <w:t>年远景目标纲要》的符合</w:t>
      </w:r>
      <w:r>
        <w:rPr>
          <w:rFonts w:ascii="Times New Roman" w:hAnsi="Times New Roman"/>
        </w:rPr>
        <w:t>性</w:t>
      </w:r>
    </w:p>
    <w:p w14:paraId="354E1964" w14:textId="77777777" w:rsidR="003E78AB" w:rsidRDefault="00010BF9">
      <w:pPr>
        <w:ind w:firstLine="480"/>
        <w:rPr>
          <w:kern w:val="2"/>
        </w:rPr>
      </w:pPr>
      <w:r>
        <w:rPr>
          <w:kern w:val="2"/>
        </w:rPr>
        <w:t>文件中提出</w:t>
      </w:r>
      <w:r>
        <w:rPr>
          <w:kern w:val="2"/>
        </w:rPr>
        <w:t>“</w:t>
      </w:r>
      <w:r>
        <w:rPr>
          <w:kern w:val="2"/>
        </w:rPr>
        <w:t>发展新材料产业</w:t>
      </w:r>
      <w:r>
        <w:rPr>
          <w:kern w:val="2"/>
        </w:rPr>
        <w:t>”</w:t>
      </w:r>
      <w:r>
        <w:rPr>
          <w:kern w:val="2"/>
        </w:rPr>
        <w:t>，并强调以</w:t>
      </w:r>
      <w:r>
        <w:rPr>
          <w:kern w:val="2"/>
        </w:rPr>
        <w:t>“</w:t>
      </w:r>
      <w:r>
        <w:rPr>
          <w:kern w:val="2"/>
        </w:rPr>
        <w:t>延链</w:t>
      </w:r>
      <w:r>
        <w:rPr>
          <w:kern w:val="2"/>
        </w:rPr>
        <w:t>”</w:t>
      </w:r>
      <w:r>
        <w:rPr>
          <w:kern w:val="2"/>
        </w:rPr>
        <w:t>为核心，完善钒钛矿等资源的产业链，推动高品质海绵钛等产品的规模化生产，本项目位于伊州区内的哈密工业园区南部循环经济产业园</w:t>
      </w:r>
      <w:r>
        <w:t>中的</w:t>
      </w:r>
      <w:r>
        <w:rPr>
          <w:rFonts w:hint="eastAsia"/>
        </w:rPr>
        <w:t>煤化工产业区</w:t>
      </w:r>
      <w:r>
        <w:rPr>
          <w:kern w:val="2"/>
        </w:rPr>
        <w:t>，其主要产品为钒电解液，用于全钒液流电池生产，全钒液流电池电解液作为钒产业链的延伸，符合伊州区推动新材料产业发展的战略方向，能够充分利用伊州区的钒资源优势，提升资源附加值，形成具有竞争力的产业集群。且本项目作为新能源储能领域的前沿技术，在伊州区新能源和新材料领域可实现创新突破，有助于推动区域产业向高端化、智能化方向发展。因此</w:t>
      </w:r>
      <w:r>
        <w:rPr>
          <w:kern w:val="2"/>
        </w:rPr>
        <w:t>本项目建设符合相关要求。</w:t>
      </w:r>
    </w:p>
    <w:p w14:paraId="1030ECA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2.8.2.3</w:t>
      </w:r>
      <w:r>
        <w:rPr>
          <w:rFonts w:ascii="Times New Roman" w:hAnsi="Times New Roman"/>
        </w:rPr>
        <w:t>与地方生态环境保护</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规划的符合性</w:t>
      </w:r>
    </w:p>
    <w:p w14:paraId="3FF41FB5" w14:textId="77777777" w:rsidR="003E78AB" w:rsidRDefault="00010BF9">
      <w:pPr>
        <w:ind w:firstLine="480"/>
        <w:rPr>
          <w:kern w:val="2"/>
        </w:rPr>
      </w:pPr>
      <w:r>
        <w:rPr>
          <w:kern w:val="2"/>
        </w:rPr>
        <w:t>（</w:t>
      </w:r>
      <w:r>
        <w:rPr>
          <w:kern w:val="2"/>
        </w:rPr>
        <w:t>1</w:t>
      </w:r>
      <w:r>
        <w:rPr>
          <w:kern w:val="2"/>
        </w:rPr>
        <w:t>）与《新疆生态环境保护</w:t>
      </w:r>
      <w:r>
        <w:rPr>
          <w:kern w:val="2"/>
        </w:rPr>
        <w:t>“</w:t>
      </w:r>
      <w:r>
        <w:rPr>
          <w:kern w:val="2"/>
        </w:rPr>
        <w:t>十四五</w:t>
      </w:r>
      <w:r>
        <w:rPr>
          <w:kern w:val="2"/>
        </w:rPr>
        <w:t>”</w:t>
      </w:r>
      <w:r>
        <w:rPr>
          <w:kern w:val="2"/>
        </w:rPr>
        <w:t>规划》的符合性</w:t>
      </w:r>
    </w:p>
    <w:p w14:paraId="13713674" w14:textId="77777777" w:rsidR="003E78AB" w:rsidRDefault="00010BF9">
      <w:pPr>
        <w:ind w:firstLine="480"/>
        <w:rPr>
          <w:kern w:val="2"/>
        </w:rPr>
      </w:pPr>
      <w:r>
        <w:rPr>
          <w:kern w:val="2"/>
        </w:rPr>
        <w:t>《新疆生态环境保护</w:t>
      </w:r>
      <w:r>
        <w:rPr>
          <w:kern w:val="2"/>
        </w:rPr>
        <w:t>“</w:t>
      </w:r>
      <w:r>
        <w:rPr>
          <w:kern w:val="2"/>
        </w:rPr>
        <w:t>十四五</w:t>
      </w:r>
      <w:r>
        <w:rPr>
          <w:kern w:val="2"/>
        </w:rPr>
        <w:t>”</w:t>
      </w:r>
      <w:r>
        <w:rPr>
          <w:kern w:val="2"/>
        </w:rPr>
        <w:t>规划》指出：</w:t>
      </w:r>
      <w:r>
        <w:rPr>
          <w:kern w:val="2"/>
        </w:rPr>
        <w:t>“</w:t>
      </w:r>
      <w:r>
        <w:rPr>
          <w:kern w:val="2"/>
        </w:rPr>
        <w:t>实施最严格的生态保护制度。坚决遏制</w:t>
      </w:r>
      <w:bookmarkStart w:id="161" w:name="OLE_LINK69"/>
      <w:r>
        <w:rPr>
          <w:kern w:val="2"/>
        </w:rPr>
        <w:t>“</w:t>
      </w:r>
      <w:r>
        <w:rPr>
          <w:kern w:val="2"/>
        </w:rPr>
        <w:t>两高</w:t>
      </w:r>
      <w:r>
        <w:rPr>
          <w:kern w:val="2"/>
        </w:rPr>
        <w:t>”</w:t>
      </w:r>
      <w:r>
        <w:rPr>
          <w:kern w:val="2"/>
        </w:rPr>
        <w:t>项目</w:t>
      </w:r>
      <w:bookmarkEnd w:id="161"/>
      <w:r>
        <w:rPr>
          <w:kern w:val="2"/>
        </w:rPr>
        <w:t>盲目发展，严格执行能源、矿产资源开发自治区人民政府</w:t>
      </w:r>
      <w:r>
        <w:rPr>
          <w:kern w:val="2"/>
        </w:rPr>
        <w:t>“</w:t>
      </w:r>
      <w:r>
        <w:rPr>
          <w:kern w:val="2"/>
        </w:rPr>
        <w:t>一支笔</w:t>
      </w:r>
      <w:r>
        <w:rPr>
          <w:kern w:val="2"/>
        </w:rPr>
        <w:t>”</w:t>
      </w:r>
      <w:r>
        <w:rPr>
          <w:kern w:val="2"/>
        </w:rPr>
        <w:t>审批制度、环境保护</w:t>
      </w:r>
      <w:r>
        <w:rPr>
          <w:kern w:val="2"/>
        </w:rPr>
        <w:t>“</w:t>
      </w:r>
      <w:r>
        <w:rPr>
          <w:kern w:val="2"/>
        </w:rPr>
        <w:t>一票否决</w:t>
      </w:r>
      <w:r>
        <w:rPr>
          <w:kern w:val="2"/>
        </w:rPr>
        <w:t>”</w:t>
      </w:r>
      <w:r>
        <w:rPr>
          <w:kern w:val="2"/>
        </w:rPr>
        <w:t>制度，落实</w:t>
      </w:r>
      <w:r>
        <w:rPr>
          <w:kern w:val="2"/>
        </w:rPr>
        <w:t>“</w:t>
      </w:r>
      <w:r>
        <w:rPr>
          <w:kern w:val="2"/>
        </w:rPr>
        <w:t>三线一单</w:t>
      </w:r>
      <w:r>
        <w:rPr>
          <w:kern w:val="2"/>
        </w:rPr>
        <w:t>”</w:t>
      </w:r>
      <w:r>
        <w:rPr>
          <w:kern w:val="2"/>
        </w:rPr>
        <w:t>生态环境分区管控要求，守住生态保护红线、环境质量底线和资源利用上线，实施生态环境准入清单管控</w:t>
      </w:r>
      <w:r>
        <w:rPr>
          <w:kern w:val="2"/>
        </w:rPr>
        <w:t>”</w:t>
      </w:r>
      <w:r>
        <w:rPr>
          <w:kern w:val="2"/>
        </w:rPr>
        <w:t>。</w:t>
      </w:r>
    </w:p>
    <w:p w14:paraId="7942AF7E" w14:textId="77777777" w:rsidR="003E78AB" w:rsidRDefault="00010BF9">
      <w:pPr>
        <w:ind w:firstLine="480"/>
        <w:rPr>
          <w:kern w:val="2"/>
        </w:rPr>
      </w:pPr>
      <w:r>
        <w:rPr>
          <w:kern w:val="2"/>
        </w:rPr>
        <w:t>“</w:t>
      </w:r>
      <w:r>
        <w:rPr>
          <w:kern w:val="2"/>
        </w:rPr>
        <w:t>碳达峰、碳中和目标，强化产业结构、能源结构调整等源头管控措施，探索大气污染物和</w:t>
      </w:r>
      <w:r>
        <w:rPr>
          <w:kern w:val="2"/>
        </w:rPr>
        <w:t>温室气体排放协同控制，推动重点领域、重点行业绿色低碳转型，推行绿色低碳生产、生活方式，统筹协调推进经济和社会发展各领域深入开展应对气候变化工作，切实增强控制温室气体排放能力</w:t>
      </w:r>
      <w:r>
        <w:rPr>
          <w:kern w:val="2"/>
        </w:rPr>
        <w:t>”</w:t>
      </w:r>
      <w:r>
        <w:rPr>
          <w:kern w:val="2"/>
        </w:rPr>
        <w:t>。</w:t>
      </w:r>
    </w:p>
    <w:p w14:paraId="0E536D30" w14:textId="77777777" w:rsidR="003E78AB" w:rsidRDefault="00010BF9">
      <w:pPr>
        <w:ind w:firstLine="480"/>
        <w:rPr>
          <w:kern w:val="2"/>
        </w:rPr>
      </w:pPr>
      <w:r>
        <w:rPr>
          <w:kern w:val="2"/>
        </w:rPr>
        <w:t>本项目为新建项目，位于哈密工业园区南部循环经济产业园</w:t>
      </w:r>
      <w:r>
        <w:t>中的</w:t>
      </w:r>
      <w:r>
        <w:rPr>
          <w:rFonts w:hint="eastAsia"/>
        </w:rPr>
        <w:t>煤化工产业区</w:t>
      </w:r>
      <w:r>
        <w:rPr>
          <w:kern w:val="2"/>
        </w:rPr>
        <w:t>，行业类别属于</w:t>
      </w:r>
      <w:r>
        <w:t>“C2669</w:t>
      </w:r>
      <w:r>
        <w:t>其他专用化学产品制造</w:t>
      </w:r>
      <w:r>
        <w:t>”</w:t>
      </w:r>
      <w:r>
        <w:t>，</w:t>
      </w:r>
      <w:r>
        <w:rPr>
          <w:rFonts w:hint="eastAsia"/>
          <w:bCs/>
        </w:rPr>
        <w:t>经对照</w:t>
      </w:r>
      <w:r>
        <w:rPr>
          <w:bCs/>
        </w:rPr>
        <w:t>不在《自治区</w:t>
      </w:r>
      <w:r>
        <w:rPr>
          <w:bCs/>
        </w:rPr>
        <w:t>“</w:t>
      </w:r>
      <w:r>
        <w:rPr>
          <w:bCs/>
        </w:rPr>
        <w:t>两高</w:t>
      </w:r>
      <w:r>
        <w:rPr>
          <w:bCs/>
        </w:rPr>
        <w:t>”</w:t>
      </w:r>
      <w:r>
        <w:rPr>
          <w:bCs/>
        </w:rPr>
        <w:t>项目管理目录（</w:t>
      </w:r>
      <w:r>
        <w:rPr>
          <w:bCs/>
        </w:rPr>
        <w:t>2024</w:t>
      </w:r>
      <w:r>
        <w:rPr>
          <w:bCs/>
        </w:rPr>
        <w:t>年版）》中</w:t>
      </w:r>
      <w:r>
        <w:t>。本项目所在区域</w:t>
      </w:r>
      <w:r>
        <w:rPr>
          <w:kern w:val="2"/>
        </w:rPr>
        <w:t>不涉及自然保护区、风景名胜区、饮用水源保护区、冰川、森林、湿地、基本农田、基本草原等环境敏感区，经核实，项目不涉及生态</w:t>
      </w:r>
      <w:r>
        <w:rPr>
          <w:rFonts w:hint="eastAsia"/>
          <w:kern w:val="2"/>
        </w:rPr>
        <w:t>保护</w:t>
      </w:r>
      <w:r>
        <w:rPr>
          <w:kern w:val="2"/>
        </w:rPr>
        <w:t>红线区域，已落实</w:t>
      </w:r>
      <w:r>
        <w:rPr>
          <w:kern w:val="2"/>
        </w:rPr>
        <w:t>“</w:t>
      </w:r>
      <w:r>
        <w:rPr>
          <w:kern w:val="2"/>
        </w:rPr>
        <w:t>三线一单</w:t>
      </w:r>
      <w:r>
        <w:rPr>
          <w:kern w:val="2"/>
        </w:rPr>
        <w:t>”</w:t>
      </w:r>
      <w:r>
        <w:rPr>
          <w:kern w:val="2"/>
        </w:rPr>
        <w:t>生态环境分区管控要求。本评价根据《重点行业建设项目碳排放环境影响评价试点技术指南</w:t>
      </w:r>
      <w:r>
        <w:rPr>
          <w:rFonts w:hint="eastAsia"/>
          <w:kern w:val="2"/>
        </w:rPr>
        <w:t>（试行）</w:t>
      </w:r>
      <w:r>
        <w:rPr>
          <w:kern w:val="2"/>
        </w:rPr>
        <w:t>》核算方法，计算本项目实施后全厂碳排放量及碳排放强度，提出项目碳减排建议，并分析整合项目减污降碳措施可行性及碳排放水平。综上所述，本项目符合《新疆生态环境保护</w:t>
      </w:r>
      <w:r>
        <w:rPr>
          <w:kern w:val="2"/>
        </w:rPr>
        <w:t>“</w:t>
      </w:r>
      <w:r>
        <w:rPr>
          <w:kern w:val="2"/>
        </w:rPr>
        <w:t>十四五</w:t>
      </w:r>
      <w:r>
        <w:rPr>
          <w:kern w:val="2"/>
        </w:rPr>
        <w:t>”</w:t>
      </w:r>
      <w:r>
        <w:rPr>
          <w:kern w:val="2"/>
        </w:rPr>
        <w:t>规划》相关要求。</w:t>
      </w:r>
    </w:p>
    <w:p w14:paraId="31907A05" w14:textId="77777777" w:rsidR="003E78AB" w:rsidRDefault="00010BF9">
      <w:pPr>
        <w:ind w:firstLine="480"/>
        <w:rPr>
          <w:kern w:val="2"/>
        </w:rPr>
      </w:pPr>
      <w:r>
        <w:rPr>
          <w:kern w:val="2"/>
        </w:rPr>
        <w:t>（</w:t>
      </w:r>
      <w:r>
        <w:rPr>
          <w:kern w:val="2"/>
        </w:rPr>
        <w:t>2</w:t>
      </w:r>
      <w:r>
        <w:rPr>
          <w:kern w:val="2"/>
        </w:rPr>
        <w:t>）与《哈密市生态环境</w:t>
      </w:r>
      <w:r>
        <w:rPr>
          <w:kern w:val="2"/>
        </w:rPr>
        <w:t>“</w:t>
      </w:r>
      <w:r>
        <w:rPr>
          <w:kern w:val="2"/>
        </w:rPr>
        <w:t>十四五</w:t>
      </w:r>
      <w:r>
        <w:rPr>
          <w:kern w:val="2"/>
        </w:rPr>
        <w:t>”</w:t>
      </w:r>
      <w:r>
        <w:rPr>
          <w:kern w:val="2"/>
        </w:rPr>
        <w:t>规划和</w:t>
      </w:r>
      <w:r>
        <w:rPr>
          <w:kern w:val="2"/>
        </w:rPr>
        <w:t>2035</w:t>
      </w:r>
      <w:r>
        <w:rPr>
          <w:kern w:val="2"/>
        </w:rPr>
        <w:t>年远景目标纲要构建生态环境空间管控体系》符合性分析</w:t>
      </w:r>
    </w:p>
    <w:p w14:paraId="0EA5D268" w14:textId="77777777" w:rsidR="003E78AB" w:rsidRDefault="00010BF9">
      <w:pPr>
        <w:ind w:firstLine="480"/>
        <w:rPr>
          <w:kern w:val="2"/>
        </w:rPr>
      </w:pPr>
      <w:r>
        <w:rPr>
          <w:kern w:val="2"/>
        </w:rPr>
        <w:t>《哈密市生态环境</w:t>
      </w:r>
      <w:r>
        <w:rPr>
          <w:kern w:val="2"/>
        </w:rPr>
        <w:t>“</w:t>
      </w:r>
      <w:r>
        <w:rPr>
          <w:kern w:val="2"/>
        </w:rPr>
        <w:t>十四五</w:t>
      </w:r>
      <w:r>
        <w:rPr>
          <w:kern w:val="2"/>
        </w:rPr>
        <w:t>”</w:t>
      </w:r>
      <w:r>
        <w:rPr>
          <w:kern w:val="2"/>
        </w:rPr>
        <w:t>规划和</w:t>
      </w:r>
      <w:r>
        <w:rPr>
          <w:kern w:val="2"/>
        </w:rPr>
        <w:t>2035</w:t>
      </w:r>
      <w:r>
        <w:rPr>
          <w:kern w:val="2"/>
        </w:rPr>
        <w:t>年远景目标纲要构建生态环境空间管控体系》提出：</w:t>
      </w:r>
      <w:r>
        <w:rPr>
          <w:kern w:val="2"/>
        </w:rPr>
        <w:t>“</w:t>
      </w:r>
      <w:r>
        <w:rPr>
          <w:kern w:val="2"/>
        </w:rPr>
        <w:t>继续开展污染防治行动，</w:t>
      </w:r>
      <w:r>
        <w:rPr>
          <w:kern w:val="2"/>
        </w:rPr>
        <w:t>坚决打好蓝天、碧水、净土保卫战，着力解决环境问题，全力推动全市环境质量持续改善</w:t>
      </w:r>
      <w:r>
        <w:rPr>
          <w:kern w:val="2"/>
        </w:rPr>
        <w:t>”</w:t>
      </w:r>
      <w:r>
        <w:rPr>
          <w:kern w:val="2"/>
        </w:rPr>
        <w:t>、</w:t>
      </w:r>
      <w:r>
        <w:rPr>
          <w:kern w:val="2"/>
        </w:rPr>
        <w:t>“</w:t>
      </w:r>
      <w:r>
        <w:rPr>
          <w:kern w:val="2"/>
        </w:rPr>
        <w:t>践行绿色发展理念，贯彻落实碳达峰碳中和行动方案，优化生产生活方式，构建绿色循环、可持续的生产方式，形成绿色低碳、节约适度的生活方式</w:t>
      </w:r>
      <w:r>
        <w:rPr>
          <w:kern w:val="2"/>
        </w:rPr>
        <w:t>”</w:t>
      </w:r>
      <w:r>
        <w:rPr>
          <w:kern w:val="2"/>
        </w:rPr>
        <w:t>。</w:t>
      </w:r>
    </w:p>
    <w:p w14:paraId="0A85A94A" w14:textId="77777777" w:rsidR="003E78AB" w:rsidRDefault="00010BF9">
      <w:pPr>
        <w:ind w:firstLine="480"/>
        <w:rPr>
          <w:kern w:val="2"/>
        </w:rPr>
      </w:pPr>
      <w:r>
        <w:rPr>
          <w:kern w:val="2"/>
        </w:rPr>
        <w:t>本项目为新建项目，位于哈密工业园区南部循环经济产业园</w:t>
      </w:r>
      <w:r>
        <w:t>中的</w:t>
      </w:r>
      <w:r>
        <w:rPr>
          <w:rFonts w:hint="eastAsia"/>
        </w:rPr>
        <w:t>煤化工产业区</w:t>
      </w:r>
      <w:r>
        <w:rPr>
          <w:kern w:val="2"/>
        </w:rPr>
        <w:t>，行业类别属于</w:t>
      </w:r>
      <w:r>
        <w:t>“C2669</w:t>
      </w:r>
      <w:r>
        <w:t>其他专用化学产品制造</w:t>
      </w:r>
      <w:r>
        <w:t>”</w:t>
      </w:r>
      <w:r>
        <w:t>，</w:t>
      </w:r>
      <w:r>
        <w:rPr>
          <w:bCs/>
        </w:rPr>
        <w:t>不在《自治区</w:t>
      </w:r>
      <w:r>
        <w:rPr>
          <w:bCs/>
        </w:rPr>
        <w:t>“</w:t>
      </w:r>
      <w:r>
        <w:rPr>
          <w:bCs/>
        </w:rPr>
        <w:t>两高</w:t>
      </w:r>
      <w:r>
        <w:rPr>
          <w:bCs/>
        </w:rPr>
        <w:t>”</w:t>
      </w:r>
      <w:r>
        <w:rPr>
          <w:bCs/>
        </w:rPr>
        <w:t>项目管理目录（</w:t>
      </w:r>
      <w:r>
        <w:rPr>
          <w:bCs/>
        </w:rPr>
        <w:t>2024</w:t>
      </w:r>
      <w:r>
        <w:rPr>
          <w:bCs/>
        </w:rPr>
        <w:t>年版）》中</w:t>
      </w:r>
      <w:r>
        <w:t>。</w:t>
      </w:r>
      <w:r>
        <w:rPr>
          <w:kern w:val="2"/>
        </w:rPr>
        <w:t>项目运营期产生废气、废水采取相应措施治理后均可达标排放；项目产生固废在采取相应措施均可有效处置。经核实，项目不涉及生态</w:t>
      </w:r>
      <w:r>
        <w:rPr>
          <w:rFonts w:hint="eastAsia"/>
          <w:kern w:val="2"/>
        </w:rPr>
        <w:t>保护</w:t>
      </w:r>
      <w:r>
        <w:rPr>
          <w:kern w:val="2"/>
        </w:rPr>
        <w:t>红线区域，已落实</w:t>
      </w:r>
      <w:r>
        <w:rPr>
          <w:kern w:val="2"/>
        </w:rPr>
        <w:t>“</w:t>
      </w:r>
      <w:r>
        <w:rPr>
          <w:kern w:val="2"/>
        </w:rPr>
        <w:t>三线一单</w:t>
      </w:r>
      <w:r>
        <w:rPr>
          <w:kern w:val="2"/>
        </w:rPr>
        <w:t>”</w:t>
      </w:r>
      <w:r>
        <w:rPr>
          <w:kern w:val="2"/>
        </w:rPr>
        <w:t>生态环境分区管控要求。本评价根据《重点行业建设项目碳排放环境影响评价试点技术指南</w:t>
      </w:r>
      <w:r>
        <w:rPr>
          <w:rFonts w:hint="eastAsia"/>
          <w:kern w:val="2"/>
        </w:rPr>
        <w:t>（试行）</w:t>
      </w:r>
      <w:r>
        <w:rPr>
          <w:kern w:val="2"/>
        </w:rPr>
        <w:t>》核算方法，计算本项目实施后全厂碳排放量及碳排放强度，提出项目碳减排建议，并分析整合项目减污降碳措施可行性及碳排放水平。综上所述，本项目符合《哈密市生态环境</w:t>
      </w:r>
      <w:r>
        <w:rPr>
          <w:kern w:val="2"/>
        </w:rPr>
        <w:t>“</w:t>
      </w:r>
      <w:r>
        <w:rPr>
          <w:kern w:val="2"/>
        </w:rPr>
        <w:t>十四五</w:t>
      </w:r>
      <w:r>
        <w:rPr>
          <w:kern w:val="2"/>
        </w:rPr>
        <w:t>”</w:t>
      </w:r>
      <w:r>
        <w:rPr>
          <w:kern w:val="2"/>
        </w:rPr>
        <w:t>规划和</w:t>
      </w:r>
      <w:r>
        <w:rPr>
          <w:kern w:val="2"/>
        </w:rPr>
        <w:t>2035</w:t>
      </w:r>
      <w:r>
        <w:rPr>
          <w:kern w:val="2"/>
        </w:rPr>
        <w:t>年远景目标纲要构建生态环境空间管控体系》相关要求。</w:t>
      </w:r>
    </w:p>
    <w:p w14:paraId="44BC36A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2.8.2.4</w:t>
      </w:r>
      <w:r>
        <w:rPr>
          <w:rFonts w:ascii="Times New Roman" w:hAnsi="Times New Roman"/>
        </w:rPr>
        <w:t>与</w:t>
      </w:r>
      <w:r>
        <w:rPr>
          <w:rFonts w:ascii="Times New Roman" w:hAnsi="Times New Roman"/>
          <w:kern w:val="2"/>
        </w:rPr>
        <w:t>《哈密工业园区总体规划（</w:t>
      </w:r>
      <w:r>
        <w:rPr>
          <w:rFonts w:ascii="Times New Roman" w:hAnsi="Times New Roman"/>
          <w:kern w:val="2"/>
        </w:rPr>
        <w:t>2019-2035</w:t>
      </w:r>
      <w:r>
        <w:rPr>
          <w:rFonts w:ascii="Times New Roman" w:hAnsi="Times New Roman"/>
          <w:kern w:val="2"/>
        </w:rPr>
        <w:t>）》</w:t>
      </w:r>
      <w:r>
        <w:rPr>
          <w:rFonts w:ascii="Times New Roman" w:hAnsi="Times New Roman"/>
        </w:rPr>
        <w:t>及其规划环评审查意见符合性</w:t>
      </w:r>
    </w:p>
    <w:p w14:paraId="0388818E" w14:textId="77777777" w:rsidR="003E78AB" w:rsidRDefault="00010BF9">
      <w:pPr>
        <w:ind w:firstLine="480"/>
        <w:rPr>
          <w:kern w:val="2"/>
        </w:rPr>
      </w:pPr>
      <w:r>
        <w:rPr>
          <w:kern w:val="2"/>
        </w:rPr>
        <w:t>（</w:t>
      </w:r>
      <w:r>
        <w:rPr>
          <w:kern w:val="2"/>
        </w:rPr>
        <w:t>1</w:t>
      </w:r>
      <w:r>
        <w:rPr>
          <w:kern w:val="2"/>
        </w:rPr>
        <w:t>）与《哈密工业园区总体规划（</w:t>
      </w:r>
      <w:r>
        <w:rPr>
          <w:kern w:val="2"/>
        </w:rPr>
        <w:t>2019-2035</w:t>
      </w:r>
      <w:r>
        <w:rPr>
          <w:kern w:val="2"/>
        </w:rPr>
        <w:t>）》符合性分析</w:t>
      </w:r>
    </w:p>
    <w:p w14:paraId="26DEC781" w14:textId="77777777" w:rsidR="003E78AB" w:rsidRDefault="00010BF9">
      <w:pPr>
        <w:ind w:firstLine="480"/>
        <w:rPr>
          <w:kern w:val="2"/>
        </w:rPr>
      </w:pPr>
      <w:r>
        <w:rPr>
          <w:kern w:val="2"/>
        </w:rPr>
        <w:t>本项</w:t>
      </w:r>
      <w:r>
        <w:rPr>
          <w:kern w:val="2"/>
        </w:rPr>
        <w:t>目位于新疆维吾尔自治区哈密工业园</w:t>
      </w:r>
      <w:r>
        <w:rPr>
          <w:kern w:val="2"/>
        </w:rPr>
        <w:t>-</w:t>
      </w:r>
      <w:r>
        <w:rPr>
          <w:kern w:val="2"/>
        </w:rPr>
        <w:t>南部循环经济产业园，该园区产业功能区包括：新材料产业区、仓储物流区、化工产业区、能源资源深加工产业区、综合服务及创业孵化区。</w:t>
      </w:r>
      <w:r>
        <w:rPr>
          <w:bCs/>
          <w:kern w:val="2"/>
        </w:rPr>
        <w:t>本项目位于化工产业区。依据《哈密工业园区总体规划（</w:t>
      </w:r>
      <w:r>
        <w:rPr>
          <w:bCs/>
          <w:kern w:val="2"/>
        </w:rPr>
        <w:t>2019-2035</w:t>
      </w:r>
      <w:r>
        <w:rPr>
          <w:bCs/>
          <w:kern w:val="2"/>
        </w:rPr>
        <w:t>）》：化工产业区主要发展精细化工（重点发展环境污染处理专业药剂、医药中间体、农药中间体、染料中间体、表面活性剂、感光材料、偏光材料等高分子功能材料）；石油化工及下游产业（重点发展石油化工及石油化工产业链相关配套产业）。</w:t>
      </w:r>
      <w:r>
        <w:rPr>
          <w:kern w:val="2"/>
        </w:rPr>
        <w:t>本项目为钒电解液生产项目，以高纯五氧化二钒为核心原料，通过化学合成工</w:t>
      </w:r>
      <w:r>
        <w:rPr>
          <w:kern w:val="2"/>
        </w:rPr>
        <w:t>艺制成具有能量存储功能的钒化合物溶液，因此符合园区规划。项目选址符合产业园区整体规划。</w:t>
      </w:r>
    </w:p>
    <w:p w14:paraId="4B986C11" w14:textId="77777777" w:rsidR="003E78AB" w:rsidRDefault="00010BF9">
      <w:pPr>
        <w:ind w:firstLine="480"/>
        <w:rPr>
          <w:lang w:bidi="en-US"/>
        </w:rPr>
      </w:pPr>
      <w:r>
        <w:rPr>
          <w:kern w:val="2"/>
        </w:rPr>
        <w:t>（</w:t>
      </w:r>
      <w:r>
        <w:rPr>
          <w:kern w:val="2"/>
        </w:rPr>
        <w:t>2</w:t>
      </w:r>
      <w:r>
        <w:rPr>
          <w:kern w:val="2"/>
        </w:rPr>
        <w:t>）</w:t>
      </w:r>
      <w:r>
        <w:rPr>
          <w:lang w:bidi="en-US"/>
        </w:rPr>
        <w:t>与规划环评审查意见符合性分析</w:t>
      </w:r>
    </w:p>
    <w:p w14:paraId="3176979A" w14:textId="77777777" w:rsidR="003E78AB" w:rsidRDefault="00010BF9">
      <w:pPr>
        <w:ind w:firstLine="480"/>
        <w:rPr>
          <w:lang w:bidi="en-US"/>
        </w:rPr>
      </w:pPr>
      <w:r>
        <w:rPr>
          <w:lang w:bidi="en-US"/>
        </w:rPr>
        <w:t>根据</w:t>
      </w:r>
      <w:r>
        <w:rPr>
          <w:kern w:val="2"/>
        </w:rPr>
        <w:t>《关于</w:t>
      </w:r>
      <w:r>
        <w:rPr>
          <w:kern w:val="2"/>
        </w:rPr>
        <w:t>&lt;</w:t>
      </w:r>
      <w:r>
        <w:rPr>
          <w:kern w:val="2"/>
        </w:rPr>
        <w:t>哈密工业园区总体规划（</w:t>
      </w:r>
      <w:r>
        <w:rPr>
          <w:kern w:val="2"/>
        </w:rPr>
        <w:t>2019-2035</w:t>
      </w:r>
      <w:r>
        <w:rPr>
          <w:kern w:val="2"/>
        </w:rPr>
        <w:t>年）环境影响报告书</w:t>
      </w:r>
      <w:r>
        <w:rPr>
          <w:kern w:val="2"/>
        </w:rPr>
        <w:t>&gt;</w:t>
      </w:r>
      <w:r>
        <w:rPr>
          <w:kern w:val="2"/>
        </w:rPr>
        <w:t>的审查意见》（新环审</w:t>
      </w:r>
      <w:r>
        <w:t>〔</w:t>
      </w:r>
      <w:r>
        <w:t>2021</w:t>
      </w:r>
      <w:r>
        <w:t>〕</w:t>
      </w:r>
      <w:r>
        <w:rPr>
          <w:kern w:val="2"/>
        </w:rPr>
        <w:t>61</w:t>
      </w:r>
      <w:r>
        <w:rPr>
          <w:kern w:val="2"/>
        </w:rPr>
        <w:t>号）</w:t>
      </w:r>
      <w:r>
        <w:rPr>
          <w:lang w:bidi="en-US"/>
        </w:rPr>
        <w:t>，本项目与该审查意见的符合性分析见下表。</w:t>
      </w:r>
    </w:p>
    <w:p w14:paraId="2DA2B71A" w14:textId="77777777" w:rsidR="003E78AB" w:rsidRDefault="00010BF9">
      <w:pPr>
        <w:pStyle w:val="a5"/>
      </w:pPr>
      <w:r>
        <w:t>本项目与新环审〔</w:t>
      </w:r>
      <w:r>
        <w:t>2021</w:t>
      </w:r>
      <w:r>
        <w:t>〕</w:t>
      </w:r>
      <w:r>
        <w:t>61</w:t>
      </w:r>
      <w:r>
        <w:t>号符合性分析</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3703"/>
        <w:gridCol w:w="950"/>
      </w:tblGrid>
      <w:tr w:rsidR="003E78AB" w14:paraId="1A5C8EB7" w14:textId="77777777">
        <w:trPr>
          <w:trHeight w:val="340"/>
          <w:tblHeader/>
          <w:jc w:val="center"/>
        </w:trPr>
        <w:tc>
          <w:tcPr>
            <w:tcW w:w="2266" w:type="pct"/>
            <w:vAlign w:val="center"/>
          </w:tcPr>
          <w:p w14:paraId="56573736" w14:textId="77777777" w:rsidR="003E78AB" w:rsidRDefault="00010BF9">
            <w:pPr>
              <w:spacing w:line="360" w:lineRule="exact"/>
              <w:ind w:firstLineChars="0" w:firstLine="0"/>
              <w:contextualSpacing/>
              <w:jc w:val="center"/>
              <w:rPr>
                <w:b/>
                <w:bCs/>
                <w:sz w:val="21"/>
                <w:szCs w:val="21"/>
              </w:rPr>
            </w:pPr>
            <w:r>
              <w:rPr>
                <w:b/>
                <w:bCs/>
                <w:sz w:val="21"/>
                <w:szCs w:val="21"/>
              </w:rPr>
              <w:t>新环审〔</w:t>
            </w:r>
            <w:r>
              <w:rPr>
                <w:b/>
                <w:bCs/>
                <w:sz w:val="21"/>
                <w:szCs w:val="21"/>
              </w:rPr>
              <w:t>2021</w:t>
            </w:r>
            <w:r>
              <w:rPr>
                <w:b/>
                <w:bCs/>
                <w:sz w:val="21"/>
                <w:szCs w:val="21"/>
              </w:rPr>
              <w:t>〕</w:t>
            </w:r>
            <w:r>
              <w:rPr>
                <w:b/>
                <w:bCs/>
                <w:sz w:val="21"/>
                <w:szCs w:val="21"/>
              </w:rPr>
              <w:t>61</w:t>
            </w:r>
            <w:r>
              <w:rPr>
                <w:b/>
                <w:bCs/>
                <w:sz w:val="21"/>
                <w:szCs w:val="21"/>
              </w:rPr>
              <w:t>号要求</w:t>
            </w:r>
          </w:p>
        </w:tc>
        <w:tc>
          <w:tcPr>
            <w:tcW w:w="2174" w:type="pct"/>
            <w:vAlign w:val="center"/>
          </w:tcPr>
          <w:p w14:paraId="6AEDF97E" w14:textId="77777777" w:rsidR="003E78AB" w:rsidRDefault="00010BF9">
            <w:pPr>
              <w:spacing w:line="360" w:lineRule="exact"/>
              <w:ind w:firstLineChars="0" w:firstLine="0"/>
              <w:contextualSpacing/>
              <w:jc w:val="center"/>
              <w:rPr>
                <w:b/>
                <w:bCs/>
                <w:sz w:val="21"/>
                <w:szCs w:val="21"/>
              </w:rPr>
            </w:pPr>
            <w:r>
              <w:rPr>
                <w:b/>
                <w:bCs/>
                <w:sz w:val="21"/>
                <w:szCs w:val="21"/>
              </w:rPr>
              <w:t>本项目落实情况</w:t>
            </w:r>
          </w:p>
        </w:tc>
        <w:tc>
          <w:tcPr>
            <w:tcW w:w="558" w:type="pct"/>
            <w:vAlign w:val="center"/>
          </w:tcPr>
          <w:p w14:paraId="46893FAC" w14:textId="77777777" w:rsidR="003E78AB" w:rsidRDefault="00010BF9">
            <w:pPr>
              <w:spacing w:line="360" w:lineRule="exact"/>
              <w:ind w:firstLineChars="0" w:firstLine="0"/>
              <w:contextualSpacing/>
              <w:jc w:val="center"/>
              <w:rPr>
                <w:b/>
                <w:bCs/>
                <w:sz w:val="21"/>
                <w:szCs w:val="21"/>
              </w:rPr>
            </w:pPr>
            <w:r>
              <w:rPr>
                <w:b/>
                <w:bCs/>
                <w:sz w:val="21"/>
                <w:szCs w:val="21"/>
              </w:rPr>
              <w:t>符合性</w:t>
            </w:r>
          </w:p>
        </w:tc>
      </w:tr>
      <w:tr w:rsidR="003E78AB" w14:paraId="2A14AA6B" w14:textId="77777777">
        <w:trPr>
          <w:trHeight w:val="90"/>
          <w:jc w:val="center"/>
        </w:trPr>
        <w:tc>
          <w:tcPr>
            <w:tcW w:w="2266" w:type="pct"/>
            <w:vAlign w:val="center"/>
          </w:tcPr>
          <w:p w14:paraId="6BDBC52A" w14:textId="77777777" w:rsidR="003E78AB" w:rsidRDefault="00010BF9">
            <w:pPr>
              <w:spacing w:line="360" w:lineRule="exact"/>
              <w:ind w:firstLineChars="0" w:firstLine="0"/>
              <w:contextualSpacing/>
              <w:rPr>
                <w:sz w:val="21"/>
                <w:szCs w:val="21"/>
              </w:rPr>
            </w:pPr>
            <w:r>
              <w:rPr>
                <w:sz w:val="21"/>
                <w:szCs w:val="21"/>
              </w:rPr>
              <w:t>坚持绿色发展、协调发展。落实国家、自治区、哈密市发展战略，做好与自治区、哈密市国土空间规划和区域</w:t>
            </w:r>
            <w:r>
              <w:rPr>
                <w:sz w:val="21"/>
                <w:szCs w:val="21"/>
              </w:rPr>
              <w:t>“</w:t>
            </w:r>
            <w:r>
              <w:rPr>
                <w:sz w:val="21"/>
                <w:szCs w:val="21"/>
              </w:rPr>
              <w:t>三线一单</w:t>
            </w:r>
            <w:r>
              <w:rPr>
                <w:sz w:val="21"/>
                <w:szCs w:val="21"/>
              </w:rPr>
              <w:t>”</w:t>
            </w:r>
            <w:r>
              <w:rPr>
                <w:sz w:val="21"/>
                <w:szCs w:val="21"/>
              </w:rPr>
              <w:t>成果的协调衔接，落实、细化园区所在生态环境管控单元的管控要求。坚持以区域环境质量改善为核心，遵循生态保护优先和绿色发展原则，根据区域实际情况及上位规划中对区域的产业定位，综合考虑规划产业发展方向，合理确定园区产业结构，完善生态环境准入清单。</w:t>
            </w:r>
          </w:p>
        </w:tc>
        <w:tc>
          <w:tcPr>
            <w:tcW w:w="2174" w:type="pct"/>
            <w:vAlign w:val="center"/>
          </w:tcPr>
          <w:p w14:paraId="6927CF6C" w14:textId="77777777" w:rsidR="003E78AB" w:rsidRDefault="00010BF9">
            <w:pPr>
              <w:spacing w:line="360" w:lineRule="exact"/>
              <w:ind w:firstLineChars="0" w:firstLine="0"/>
              <w:contextualSpacing/>
              <w:rPr>
                <w:sz w:val="21"/>
                <w:szCs w:val="21"/>
              </w:rPr>
            </w:pPr>
            <w:r>
              <w:rPr>
                <w:sz w:val="21"/>
                <w:szCs w:val="21"/>
              </w:rPr>
              <w:t>本项目位于哈密工业园区南部循环经济产业园</w:t>
            </w:r>
            <w:r>
              <w:rPr>
                <w:rFonts w:hint="eastAsia"/>
                <w:sz w:val="21"/>
                <w:szCs w:val="21"/>
              </w:rPr>
              <w:t>煤化工产业区</w:t>
            </w:r>
            <w:r>
              <w:rPr>
                <w:sz w:val="21"/>
                <w:szCs w:val="21"/>
              </w:rPr>
              <w:t>，占地为三类工业用地，符合园区用地规划；本项目为钒电解液生产项目，以高纯五氧化二钒为核心原料，通过化学合成工艺</w:t>
            </w:r>
            <w:r>
              <w:rPr>
                <w:sz w:val="21"/>
                <w:szCs w:val="21"/>
              </w:rPr>
              <w:t>制成具有能量存储功能的钒化合物溶液，符合规划产业发展方向，符合《</w:t>
            </w:r>
            <w:r>
              <w:rPr>
                <w:rFonts w:hint="eastAsia"/>
                <w:sz w:val="21"/>
                <w:szCs w:val="21"/>
              </w:rPr>
              <w:t>哈密市生态环境准入清单（</w:t>
            </w:r>
            <w:r>
              <w:rPr>
                <w:rFonts w:hint="eastAsia"/>
                <w:sz w:val="21"/>
                <w:szCs w:val="21"/>
              </w:rPr>
              <w:t>2024</w:t>
            </w:r>
            <w:r>
              <w:rPr>
                <w:rFonts w:hint="eastAsia"/>
                <w:sz w:val="21"/>
                <w:szCs w:val="21"/>
              </w:rPr>
              <w:t>版）</w:t>
            </w:r>
            <w:r>
              <w:rPr>
                <w:sz w:val="21"/>
                <w:szCs w:val="21"/>
              </w:rPr>
              <w:t>》要求。</w:t>
            </w:r>
          </w:p>
        </w:tc>
        <w:tc>
          <w:tcPr>
            <w:tcW w:w="558" w:type="pct"/>
            <w:vAlign w:val="center"/>
          </w:tcPr>
          <w:p w14:paraId="374D431E"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r w:rsidR="003E78AB" w14:paraId="0576D78C" w14:textId="77777777">
        <w:trPr>
          <w:trHeight w:val="2909"/>
          <w:jc w:val="center"/>
        </w:trPr>
        <w:tc>
          <w:tcPr>
            <w:tcW w:w="2266" w:type="pct"/>
            <w:vAlign w:val="center"/>
          </w:tcPr>
          <w:p w14:paraId="75DAA083" w14:textId="77777777" w:rsidR="003E78AB" w:rsidRDefault="00010BF9">
            <w:pPr>
              <w:spacing w:line="360" w:lineRule="exact"/>
              <w:ind w:firstLineChars="0" w:firstLine="0"/>
              <w:contextualSpacing/>
              <w:rPr>
                <w:sz w:val="21"/>
                <w:szCs w:val="21"/>
              </w:rPr>
            </w:pPr>
            <w:r>
              <w:rPr>
                <w:sz w:val="21"/>
                <w:szCs w:val="21"/>
              </w:rPr>
              <w:t>优化园区产业结构，加强全过程环境管控。按照国家、自治区、哈密市最新环境管理要求，加快园区产业结构优化，以水定产，限制现有高能耗、高水耗、高污染企业扩能，鼓励其实施节能节水及污染减排改造，推动低能耗、低水耗、低排放的产业入园区，完善循环经济产业链条；对现有不符合产业政策及产业发展定位的项目，按要求和时限进行关停、转产或搬迁。</w:t>
            </w:r>
          </w:p>
        </w:tc>
        <w:tc>
          <w:tcPr>
            <w:tcW w:w="2174" w:type="pct"/>
            <w:vAlign w:val="center"/>
          </w:tcPr>
          <w:p w14:paraId="5F4CB308" w14:textId="77777777" w:rsidR="003E78AB" w:rsidRDefault="00010BF9">
            <w:pPr>
              <w:spacing w:line="360" w:lineRule="exact"/>
              <w:ind w:firstLineChars="0" w:firstLine="0"/>
              <w:contextualSpacing/>
              <w:rPr>
                <w:sz w:val="21"/>
                <w:szCs w:val="21"/>
              </w:rPr>
            </w:pPr>
            <w:r>
              <w:rPr>
                <w:sz w:val="21"/>
                <w:szCs w:val="21"/>
              </w:rPr>
              <w:t>本项目</w:t>
            </w:r>
            <w:r>
              <w:rPr>
                <w:rFonts w:hint="eastAsia"/>
                <w:sz w:val="21"/>
                <w:szCs w:val="21"/>
              </w:rPr>
              <w:t>不在</w:t>
            </w:r>
            <w:r>
              <w:rPr>
                <w:sz w:val="21"/>
                <w:szCs w:val="21"/>
              </w:rPr>
              <w:t>《自治区</w:t>
            </w:r>
            <w:r>
              <w:rPr>
                <w:sz w:val="21"/>
                <w:szCs w:val="21"/>
              </w:rPr>
              <w:t>“</w:t>
            </w:r>
            <w:r>
              <w:rPr>
                <w:sz w:val="21"/>
                <w:szCs w:val="21"/>
              </w:rPr>
              <w:t>两高</w:t>
            </w:r>
            <w:r>
              <w:rPr>
                <w:sz w:val="21"/>
                <w:szCs w:val="21"/>
              </w:rPr>
              <w:t>”</w:t>
            </w:r>
            <w:r>
              <w:rPr>
                <w:sz w:val="21"/>
                <w:szCs w:val="21"/>
              </w:rPr>
              <w:t>项目管理目录（</w:t>
            </w:r>
            <w:r>
              <w:rPr>
                <w:sz w:val="21"/>
                <w:szCs w:val="21"/>
              </w:rPr>
              <w:t>2024</w:t>
            </w:r>
            <w:r>
              <w:rPr>
                <w:sz w:val="21"/>
                <w:szCs w:val="21"/>
              </w:rPr>
              <w:t>年版）》</w:t>
            </w:r>
            <w:r>
              <w:rPr>
                <w:rFonts w:hint="eastAsia"/>
                <w:sz w:val="21"/>
                <w:szCs w:val="21"/>
              </w:rPr>
              <w:t>中</w:t>
            </w:r>
            <w:r>
              <w:rPr>
                <w:sz w:val="21"/>
                <w:szCs w:val="21"/>
              </w:rPr>
              <w:t>。项目采用先进工艺，水耗能耗均控制在国内先进水平，符合产业政策及园区发展定位。</w:t>
            </w:r>
          </w:p>
        </w:tc>
        <w:tc>
          <w:tcPr>
            <w:tcW w:w="558" w:type="pct"/>
            <w:vAlign w:val="center"/>
          </w:tcPr>
          <w:p w14:paraId="1C7D140C"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r w:rsidR="003E78AB" w14:paraId="24128C75" w14:textId="77777777">
        <w:trPr>
          <w:trHeight w:val="2262"/>
          <w:jc w:val="center"/>
        </w:trPr>
        <w:tc>
          <w:tcPr>
            <w:tcW w:w="2266" w:type="pct"/>
            <w:vAlign w:val="center"/>
          </w:tcPr>
          <w:p w14:paraId="3B37B867" w14:textId="77777777" w:rsidR="003E78AB" w:rsidRDefault="00010BF9">
            <w:pPr>
              <w:spacing w:line="360" w:lineRule="exact"/>
              <w:ind w:firstLineChars="0" w:firstLine="0"/>
              <w:contextualSpacing/>
              <w:rPr>
                <w:sz w:val="21"/>
                <w:szCs w:val="21"/>
              </w:rPr>
            </w:pPr>
            <w:r>
              <w:rPr>
                <w:sz w:val="21"/>
                <w:szCs w:val="21"/>
              </w:rPr>
              <w:t>严守环境质量底线，严格污染物排放总量管控。按时限完成现有生态环境问题整改，根据规划区域及周边环境质量现状和保护目标，确定区域污染物排放总量上限，采取有限措施消减污染物排放量，确保实现区域环境质量改善目标；严格落实北部新兴产业园内</w:t>
            </w:r>
            <w:r>
              <w:rPr>
                <w:sz w:val="21"/>
                <w:szCs w:val="21"/>
              </w:rPr>
              <w:t>100</w:t>
            </w:r>
            <w:r>
              <w:rPr>
                <w:sz w:val="21"/>
                <w:szCs w:val="21"/>
              </w:rPr>
              <w:t>米水源保护区防护带、水源保护区</w:t>
            </w:r>
            <w:r>
              <w:rPr>
                <w:sz w:val="21"/>
                <w:szCs w:val="21"/>
              </w:rPr>
              <w:t>500</w:t>
            </w:r>
            <w:r>
              <w:rPr>
                <w:sz w:val="21"/>
                <w:szCs w:val="21"/>
              </w:rPr>
              <w:t>米内用地规划调整的要求，确保人居饮用水安全。</w:t>
            </w:r>
          </w:p>
        </w:tc>
        <w:tc>
          <w:tcPr>
            <w:tcW w:w="2174" w:type="pct"/>
            <w:vAlign w:val="center"/>
          </w:tcPr>
          <w:p w14:paraId="63AA1724" w14:textId="77777777" w:rsidR="003E78AB" w:rsidRDefault="00010BF9">
            <w:pPr>
              <w:spacing w:line="360" w:lineRule="exact"/>
              <w:ind w:firstLineChars="0" w:firstLine="0"/>
              <w:contextualSpacing/>
              <w:rPr>
                <w:sz w:val="21"/>
                <w:szCs w:val="21"/>
              </w:rPr>
            </w:pPr>
            <w:r>
              <w:rPr>
                <w:sz w:val="21"/>
                <w:szCs w:val="21"/>
              </w:rPr>
              <w:t>本项目位于哈密工业园区南部循环经济产业园</w:t>
            </w:r>
            <w:r>
              <w:rPr>
                <w:rFonts w:hint="eastAsia"/>
                <w:sz w:val="21"/>
                <w:szCs w:val="21"/>
              </w:rPr>
              <w:t>煤化工产业区</w:t>
            </w:r>
            <w:r>
              <w:rPr>
                <w:sz w:val="21"/>
                <w:szCs w:val="21"/>
              </w:rPr>
              <w:t>，本项目建成后均采用国内先进工艺生产技术和设备，降低了生产能耗、物耗，三废污染物排放量少，同时配套切实可行的环保措施，各废气污染物均可达标排放，对环境空气质量影响较小，不会降低区域环境空气质量；本项目采取的环保措施能确保污染物对环境质量影响降到最低，不突破所在区域环境质量底线。本项目位于南部循环经济产业园，位于北部新兴产业园涉及的水源地哈密市自来水公司二水厂下游约</w:t>
            </w:r>
            <w:r>
              <w:rPr>
                <w:sz w:val="21"/>
                <w:szCs w:val="21"/>
              </w:rPr>
              <w:t>28km</w:t>
            </w:r>
            <w:r>
              <w:rPr>
                <w:sz w:val="21"/>
                <w:szCs w:val="21"/>
              </w:rPr>
              <w:t>处，不会对其产生影响。</w:t>
            </w:r>
          </w:p>
        </w:tc>
        <w:tc>
          <w:tcPr>
            <w:tcW w:w="558" w:type="pct"/>
            <w:vAlign w:val="center"/>
          </w:tcPr>
          <w:p w14:paraId="0F46A41C"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r w:rsidR="003E78AB" w14:paraId="19CE92EB" w14:textId="77777777">
        <w:trPr>
          <w:trHeight w:val="340"/>
          <w:jc w:val="center"/>
        </w:trPr>
        <w:tc>
          <w:tcPr>
            <w:tcW w:w="2266" w:type="pct"/>
            <w:vAlign w:val="center"/>
          </w:tcPr>
          <w:p w14:paraId="76A32683" w14:textId="77777777" w:rsidR="003E78AB" w:rsidRDefault="00010BF9">
            <w:pPr>
              <w:spacing w:line="360" w:lineRule="exact"/>
              <w:ind w:firstLineChars="0" w:firstLine="0"/>
              <w:contextualSpacing/>
              <w:rPr>
                <w:sz w:val="21"/>
                <w:szCs w:val="21"/>
              </w:rPr>
            </w:pPr>
            <w:r>
              <w:rPr>
                <w:sz w:val="21"/>
                <w:szCs w:val="21"/>
              </w:rPr>
              <w:t>加快园区环境基础设施建设。优化园区供热方案；加快北部新兴产业园污水处理厂、园区排水管网建设，确保污水收集及</w:t>
            </w:r>
            <w:r>
              <w:rPr>
                <w:sz w:val="21"/>
                <w:szCs w:val="21"/>
              </w:rPr>
              <w:t>处理率均达到</w:t>
            </w:r>
            <w:r>
              <w:rPr>
                <w:sz w:val="21"/>
                <w:szCs w:val="21"/>
              </w:rPr>
              <w:t>100%</w:t>
            </w:r>
            <w:r>
              <w:rPr>
                <w:sz w:val="21"/>
                <w:szCs w:val="21"/>
              </w:rPr>
              <w:t>；推进工业节水，积极实现废水深度处理回用，加强中水回用顶层设计，推进中水回用水厂和管网建设，中水回用率达到</w:t>
            </w:r>
            <w:r>
              <w:rPr>
                <w:sz w:val="21"/>
                <w:szCs w:val="21"/>
              </w:rPr>
              <w:t>100%</w:t>
            </w:r>
            <w:r>
              <w:rPr>
                <w:sz w:val="21"/>
                <w:szCs w:val="21"/>
              </w:rPr>
              <w:t>；加快工业固废填埋场规范化建设，确保园区固废无害化处置利用率达到</w:t>
            </w:r>
            <w:r>
              <w:rPr>
                <w:sz w:val="21"/>
                <w:szCs w:val="21"/>
              </w:rPr>
              <w:t>100%</w:t>
            </w:r>
            <w:r>
              <w:rPr>
                <w:sz w:val="21"/>
                <w:szCs w:val="21"/>
              </w:rPr>
              <w:t>，鼓励企业对固体废物实施</w:t>
            </w:r>
            <w:r>
              <w:rPr>
                <w:sz w:val="21"/>
                <w:szCs w:val="21"/>
              </w:rPr>
              <w:t>“</w:t>
            </w:r>
            <w:r>
              <w:rPr>
                <w:sz w:val="21"/>
                <w:szCs w:val="21"/>
              </w:rPr>
              <w:t>减量化</w:t>
            </w:r>
            <w:r>
              <w:rPr>
                <w:sz w:val="21"/>
                <w:szCs w:val="21"/>
              </w:rPr>
              <w:t>”</w:t>
            </w:r>
            <w:r>
              <w:rPr>
                <w:sz w:val="21"/>
                <w:szCs w:val="21"/>
              </w:rPr>
              <w:t>处理和</w:t>
            </w:r>
            <w:r>
              <w:rPr>
                <w:sz w:val="21"/>
                <w:szCs w:val="21"/>
              </w:rPr>
              <w:t>“</w:t>
            </w:r>
            <w:r>
              <w:rPr>
                <w:sz w:val="21"/>
                <w:szCs w:val="21"/>
              </w:rPr>
              <w:t>资源化</w:t>
            </w:r>
            <w:r>
              <w:rPr>
                <w:sz w:val="21"/>
                <w:szCs w:val="21"/>
              </w:rPr>
              <w:t>”</w:t>
            </w:r>
            <w:r>
              <w:rPr>
                <w:sz w:val="21"/>
                <w:szCs w:val="21"/>
              </w:rPr>
              <w:t>利用，危险废物严格依法依规安全处置。</w:t>
            </w:r>
          </w:p>
        </w:tc>
        <w:tc>
          <w:tcPr>
            <w:tcW w:w="2174" w:type="pct"/>
            <w:vAlign w:val="center"/>
          </w:tcPr>
          <w:p w14:paraId="6C0970C4" w14:textId="77777777" w:rsidR="003E78AB" w:rsidRDefault="00010BF9">
            <w:pPr>
              <w:spacing w:line="360" w:lineRule="exact"/>
              <w:ind w:firstLineChars="0" w:firstLine="0"/>
              <w:contextualSpacing/>
              <w:rPr>
                <w:sz w:val="21"/>
                <w:szCs w:val="21"/>
              </w:rPr>
            </w:pPr>
            <w:r>
              <w:rPr>
                <w:sz w:val="21"/>
                <w:szCs w:val="21"/>
              </w:rPr>
              <w:t>本项目位于哈密工业园区南部循环经济产业园化工</w:t>
            </w:r>
            <w:r>
              <w:rPr>
                <w:rFonts w:hint="eastAsia"/>
                <w:sz w:val="21"/>
                <w:szCs w:val="21"/>
              </w:rPr>
              <w:t>产业</w:t>
            </w:r>
            <w:r>
              <w:rPr>
                <w:sz w:val="21"/>
                <w:szCs w:val="21"/>
              </w:rPr>
              <w:t>区。工程运营期本项目无生产废水外排，工艺废气处理废水经蒸发冷凝后回用</w:t>
            </w:r>
            <w:r>
              <w:rPr>
                <w:rFonts w:hint="eastAsia"/>
                <w:sz w:val="21"/>
                <w:szCs w:val="21"/>
              </w:rPr>
              <w:t>于淋洗补水配碱</w:t>
            </w:r>
            <w:r>
              <w:rPr>
                <w:sz w:val="21"/>
                <w:szCs w:val="21"/>
              </w:rPr>
              <w:t>，实验废水经生产车间</w:t>
            </w:r>
            <w:r>
              <w:rPr>
                <w:sz w:val="21"/>
                <w:szCs w:val="21"/>
              </w:rPr>
              <w:t>15m</w:t>
            </w:r>
            <w:r>
              <w:rPr>
                <w:sz w:val="21"/>
                <w:szCs w:val="21"/>
                <w:vertAlign w:val="superscript"/>
              </w:rPr>
              <w:t>3</w:t>
            </w:r>
            <w:r>
              <w:rPr>
                <w:sz w:val="21"/>
                <w:szCs w:val="21"/>
              </w:rPr>
              <w:t>电解液事故罐收集后回用于生产，地面冲洗水、软水制备及纯水制备排浓水、锅炉排水经厂内污水管道收集，生活污水经预处理后，一并经厂区总排口排入园区污水厂进一步处理后作为中水回用于园区企业。对固体废物实施</w:t>
            </w:r>
            <w:r>
              <w:rPr>
                <w:sz w:val="21"/>
                <w:szCs w:val="21"/>
              </w:rPr>
              <w:t>“</w:t>
            </w:r>
            <w:r>
              <w:rPr>
                <w:sz w:val="21"/>
                <w:szCs w:val="21"/>
              </w:rPr>
              <w:t>减量化</w:t>
            </w:r>
            <w:r>
              <w:rPr>
                <w:sz w:val="21"/>
                <w:szCs w:val="21"/>
              </w:rPr>
              <w:t>”</w:t>
            </w:r>
            <w:r>
              <w:rPr>
                <w:sz w:val="21"/>
                <w:szCs w:val="21"/>
              </w:rPr>
              <w:t>处理和</w:t>
            </w:r>
            <w:r>
              <w:rPr>
                <w:sz w:val="21"/>
                <w:szCs w:val="21"/>
              </w:rPr>
              <w:t>“</w:t>
            </w:r>
            <w:r>
              <w:rPr>
                <w:sz w:val="21"/>
                <w:szCs w:val="21"/>
              </w:rPr>
              <w:t>资源化</w:t>
            </w:r>
            <w:r>
              <w:rPr>
                <w:sz w:val="21"/>
                <w:szCs w:val="21"/>
              </w:rPr>
              <w:t>”</w:t>
            </w:r>
            <w:r>
              <w:rPr>
                <w:sz w:val="21"/>
                <w:szCs w:val="21"/>
              </w:rPr>
              <w:t>利用，危险废物依法依规安全处置。</w:t>
            </w:r>
          </w:p>
        </w:tc>
        <w:tc>
          <w:tcPr>
            <w:tcW w:w="558" w:type="pct"/>
            <w:vAlign w:val="center"/>
          </w:tcPr>
          <w:p w14:paraId="4137EEBD"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r w:rsidR="003E78AB" w14:paraId="02B97C73" w14:textId="77777777">
        <w:trPr>
          <w:trHeight w:val="340"/>
          <w:jc w:val="center"/>
        </w:trPr>
        <w:tc>
          <w:tcPr>
            <w:tcW w:w="2266" w:type="pct"/>
            <w:vAlign w:val="center"/>
          </w:tcPr>
          <w:p w14:paraId="24E6F513" w14:textId="77777777" w:rsidR="003E78AB" w:rsidRDefault="00010BF9">
            <w:pPr>
              <w:spacing w:line="360" w:lineRule="exact"/>
              <w:ind w:firstLineChars="0" w:firstLine="0"/>
              <w:contextualSpacing/>
              <w:rPr>
                <w:sz w:val="21"/>
                <w:szCs w:val="21"/>
              </w:rPr>
            </w:pPr>
            <w:r>
              <w:rPr>
                <w:sz w:val="21"/>
                <w:szCs w:val="21"/>
              </w:rPr>
              <w:t>加强入园企业环境管理。严格按照园区生态环境准入清单实施招商引资，入园建设项目必须符合园区规划要求并依法开展环境影响评价，严格执行建设项目</w:t>
            </w:r>
            <w:r>
              <w:rPr>
                <w:sz w:val="21"/>
                <w:szCs w:val="21"/>
              </w:rPr>
              <w:t>“</w:t>
            </w:r>
            <w:r>
              <w:rPr>
                <w:sz w:val="21"/>
                <w:szCs w:val="21"/>
              </w:rPr>
              <w:t>三同时</w:t>
            </w:r>
            <w:r>
              <w:rPr>
                <w:sz w:val="21"/>
                <w:szCs w:val="21"/>
              </w:rPr>
              <w:t>”</w:t>
            </w:r>
            <w:r>
              <w:rPr>
                <w:sz w:val="21"/>
                <w:szCs w:val="21"/>
              </w:rPr>
              <w:t>环境管理制度；实施清洁生产，提高资源综合利用水平，引进项目的生产工艺、设备、污染治理技术，以及单位产品</w:t>
            </w:r>
            <w:r>
              <w:rPr>
                <w:sz w:val="21"/>
                <w:szCs w:val="21"/>
              </w:rPr>
              <w:t>能耗、物耗、污染物排放和资源利用率均应达到同行业国内先进水平。</w:t>
            </w:r>
          </w:p>
        </w:tc>
        <w:tc>
          <w:tcPr>
            <w:tcW w:w="2174" w:type="pct"/>
            <w:vAlign w:val="center"/>
          </w:tcPr>
          <w:p w14:paraId="4B549A1E" w14:textId="77777777" w:rsidR="003E78AB" w:rsidRDefault="00010BF9">
            <w:pPr>
              <w:spacing w:line="360" w:lineRule="exact"/>
              <w:ind w:firstLineChars="0" w:firstLine="0"/>
              <w:contextualSpacing/>
              <w:rPr>
                <w:sz w:val="21"/>
                <w:szCs w:val="21"/>
              </w:rPr>
            </w:pPr>
            <w:r>
              <w:rPr>
                <w:sz w:val="21"/>
                <w:szCs w:val="21"/>
              </w:rPr>
              <w:t>本项目符合园区规划要求，并依法开展了环境影响评价。项目严格执行</w:t>
            </w:r>
            <w:r>
              <w:rPr>
                <w:sz w:val="21"/>
                <w:szCs w:val="21"/>
              </w:rPr>
              <w:t>“</w:t>
            </w:r>
            <w:r>
              <w:rPr>
                <w:sz w:val="21"/>
                <w:szCs w:val="21"/>
              </w:rPr>
              <w:t>三同时</w:t>
            </w:r>
            <w:r>
              <w:rPr>
                <w:sz w:val="21"/>
                <w:szCs w:val="21"/>
              </w:rPr>
              <w:t>”</w:t>
            </w:r>
            <w:r>
              <w:rPr>
                <w:sz w:val="21"/>
                <w:szCs w:val="21"/>
              </w:rPr>
              <w:t>环境管理制度；实施清洁生产，提高资源综合利用水平，项目单位产品能耗、物耗、污染物排放和资源利用率均达到同行业国内先进水平。</w:t>
            </w:r>
          </w:p>
        </w:tc>
        <w:tc>
          <w:tcPr>
            <w:tcW w:w="558" w:type="pct"/>
            <w:vAlign w:val="center"/>
          </w:tcPr>
          <w:p w14:paraId="07A93DEE"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bl>
    <w:p w14:paraId="20E808F8" w14:textId="77777777" w:rsidR="003E78AB" w:rsidRDefault="00010BF9">
      <w:pPr>
        <w:ind w:firstLine="480"/>
        <w:rPr>
          <w:kern w:val="2"/>
        </w:rPr>
      </w:pPr>
      <w:r>
        <w:rPr>
          <w:kern w:val="2"/>
        </w:rPr>
        <w:t>由此可见，本项目符合《关于</w:t>
      </w:r>
      <w:r>
        <w:rPr>
          <w:kern w:val="2"/>
        </w:rPr>
        <w:t>&lt;</w:t>
      </w:r>
      <w:r>
        <w:rPr>
          <w:kern w:val="2"/>
        </w:rPr>
        <w:t>哈密工业园区总体规划（</w:t>
      </w:r>
      <w:r>
        <w:rPr>
          <w:kern w:val="2"/>
        </w:rPr>
        <w:t>2019-2035</w:t>
      </w:r>
      <w:r>
        <w:rPr>
          <w:kern w:val="2"/>
        </w:rPr>
        <w:t>年）环境影响报告书</w:t>
      </w:r>
      <w:r>
        <w:rPr>
          <w:kern w:val="2"/>
        </w:rPr>
        <w:t>&gt;</w:t>
      </w:r>
      <w:r>
        <w:rPr>
          <w:kern w:val="2"/>
        </w:rPr>
        <w:t>的审查意见》（新环审</w:t>
      </w:r>
      <w:r>
        <w:t>〔</w:t>
      </w:r>
      <w:r>
        <w:t>2021</w:t>
      </w:r>
      <w:r>
        <w:t>〕</w:t>
      </w:r>
      <w:r>
        <w:rPr>
          <w:kern w:val="2"/>
        </w:rPr>
        <w:t>61</w:t>
      </w:r>
      <w:r>
        <w:rPr>
          <w:kern w:val="2"/>
        </w:rPr>
        <w:t>号）要求。</w:t>
      </w:r>
    </w:p>
    <w:p w14:paraId="00ACC6A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2.8.2.5</w:t>
      </w:r>
      <w:r>
        <w:rPr>
          <w:rFonts w:ascii="Times New Roman" w:hAnsi="Times New Roman"/>
        </w:rPr>
        <w:t>与《哈密高新区化工产业集中区总体规划（</w:t>
      </w:r>
      <w:r>
        <w:rPr>
          <w:rFonts w:ascii="Times New Roman" w:hAnsi="Times New Roman"/>
        </w:rPr>
        <w:t>2023-2035</w:t>
      </w:r>
      <w:r>
        <w:rPr>
          <w:rFonts w:ascii="Times New Roman" w:hAnsi="Times New Roman"/>
        </w:rPr>
        <w:t>年）》及其规划环评审查意见符合性分析</w:t>
      </w:r>
    </w:p>
    <w:p w14:paraId="7F4C98E6" w14:textId="77777777" w:rsidR="003E78AB" w:rsidRDefault="00010BF9">
      <w:pPr>
        <w:ind w:firstLine="480"/>
        <w:rPr>
          <w:lang w:bidi="en-US"/>
        </w:rPr>
      </w:pPr>
      <w:r>
        <w:rPr>
          <w:lang w:bidi="en-US"/>
        </w:rPr>
        <w:t>（</w:t>
      </w:r>
      <w:r>
        <w:rPr>
          <w:lang w:bidi="en-US"/>
        </w:rPr>
        <w:t>1</w:t>
      </w:r>
      <w:r>
        <w:rPr>
          <w:lang w:bidi="en-US"/>
        </w:rPr>
        <w:t>）与《哈密高新区化工产业集中区总体规划（</w:t>
      </w:r>
      <w:r>
        <w:rPr>
          <w:lang w:bidi="en-US"/>
        </w:rPr>
        <w:t>2023-2035</w:t>
      </w:r>
      <w:r>
        <w:rPr>
          <w:lang w:bidi="en-US"/>
        </w:rPr>
        <w:t>年）》符合性分析</w:t>
      </w:r>
    </w:p>
    <w:p w14:paraId="3892B946" w14:textId="77777777" w:rsidR="003E78AB" w:rsidRDefault="00010BF9">
      <w:pPr>
        <w:ind w:firstLine="480"/>
        <w:rPr>
          <w:lang w:bidi="en-US"/>
        </w:rPr>
      </w:pPr>
      <w:r>
        <w:rPr>
          <w:lang w:bidi="en-US"/>
        </w:rPr>
        <w:t>2023</w:t>
      </w:r>
      <w:r>
        <w:rPr>
          <w:lang w:bidi="en-US"/>
        </w:rPr>
        <w:t>年</w:t>
      </w:r>
      <w:r>
        <w:rPr>
          <w:lang w:bidi="en-US"/>
        </w:rPr>
        <w:t>4</w:t>
      </w:r>
      <w:r>
        <w:rPr>
          <w:lang w:bidi="en-US"/>
        </w:rPr>
        <w:t>月</w:t>
      </w:r>
      <w:r>
        <w:rPr>
          <w:lang w:bidi="en-US"/>
        </w:rPr>
        <w:t>12</w:t>
      </w:r>
      <w:r>
        <w:rPr>
          <w:lang w:bidi="en-US"/>
        </w:rPr>
        <w:t>日哈密市人民政府批准在哈密工业园南部循环经济产业园中划出</w:t>
      </w:r>
      <w:r>
        <w:rPr>
          <w:lang w:bidi="en-US"/>
        </w:rPr>
        <w:t>440.5723</w:t>
      </w:r>
      <w:r>
        <w:rPr>
          <w:lang w:bidi="en-US"/>
        </w:rPr>
        <w:t>公顷设立独立化工产业集中区（以下简称</w:t>
      </w:r>
      <w:r>
        <w:rPr>
          <w:lang w:bidi="en-US"/>
        </w:rPr>
        <w:t>“</w:t>
      </w:r>
      <w:r>
        <w:rPr>
          <w:lang w:bidi="en-US"/>
        </w:rPr>
        <w:t>化工园区</w:t>
      </w:r>
      <w:r>
        <w:rPr>
          <w:lang w:bidi="en-US"/>
        </w:rPr>
        <w:t>”</w:t>
      </w:r>
      <w:r>
        <w:rPr>
          <w:lang w:bidi="en-US"/>
        </w:rPr>
        <w:t>）。</w:t>
      </w:r>
      <w:r>
        <w:rPr>
          <w:lang w:bidi="en-US"/>
        </w:rPr>
        <w:t>2023</w:t>
      </w:r>
      <w:r>
        <w:rPr>
          <w:lang w:bidi="en-US"/>
        </w:rPr>
        <w:t>年</w:t>
      </w:r>
      <w:r>
        <w:rPr>
          <w:lang w:bidi="en-US"/>
        </w:rPr>
        <w:t>10</w:t>
      </w:r>
      <w:r>
        <w:rPr>
          <w:lang w:bidi="en-US"/>
        </w:rPr>
        <w:t>月</w:t>
      </w:r>
      <w:r>
        <w:rPr>
          <w:lang w:bidi="en-US"/>
        </w:rPr>
        <w:t>12</w:t>
      </w:r>
      <w:r>
        <w:rPr>
          <w:lang w:bidi="en-US"/>
        </w:rPr>
        <w:t>日，自治区生态环境厅出具《关于哈密高新区化工产业集中区总体规划（</w:t>
      </w:r>
      <w:r>
        <w:rPr>
          <w:lang w:bidi="en-US"/>
        </w:rPr>
        <w:t>2023-2035</w:t>
      </w:r>
      <w:r>
        <w:rPr>
          <w:lang w:bidi="en-US"/>
        </w:rPr>
        <w:t>年）环境影响报告书的审查意见》（新环审〔</w:t>
      </w:r>
      <w:r>
        <w:rPr>
          <w:lang w:bidi="en-US"/>
        </w:rPr>
        <w:t>2023</w:t>
      </w:r>
      <w:r>
        <w:rPr>
          <w:lang w:bidi="en-US"/>
        </w:rPr>
        <w:t>〕</w:t>
      </w:r>
      <w:r>
        <w:rPr>
          <w:lang w:bidi="en-US"/>
        </w:rPr>
        <w:t>240</w:t>
      </w:r>
      <w:r>
        <w:rPr>
          <w:lang w:bidi="en-US"/>
        </w:rPr>
        <w:t>号）。</w:t>
      </w:r>
      <w:r>
        <w:rPr>
          <w:lang w:bidi="en-US"/>
        </w:rPr>
        <w:t>2023</w:t>
      </w:r>
      <w:r>
        <w:rPr>
          <w:lang w:bidi="en-US"/>
        </w:rPr>
        <w:t>年</w:t>
      </w:r>
      <w:r>
        <w:rPr>
          <w:lang w:bidi="en-US"/>
        </w:rPr>
        <w:t>9</w:t>
      </w:r>
      <w:r>
        <w:rPr>
          <w:lang w:bidi="en-US"/>
        </w:rPr>
        <w:t>月</w:t>
      </w:r>
      <w:r>
        <w:rPr>
          <w:lang w:bidi="en-US"/>
        </w:rPr>
        <w:t>14</w:t>
      </w:r>
      <w:r>
        <w:rPr>
          <w:lang w:bidi="en-US"/>
        </w:rPr>
        <w:t>日，哈密市人民政府印发了《关于对哈密高新区化工产业集中区总体规划（</w:t>
      </w:r>
      <w:r>
        <w:rPr>
          <w:lang w:bidi="en-US"/>
        </w:rPr>
        <w:t>2023-2035</w:t>
      </w:r>
      <w:r>
        <w:rPr>
          <w:lang w:bidi="en-US"/>
        </w:rPr>
        <w:t>年）的批复》（哈政函〔</w:t>
      </w:r>
      <w:r>
        <w:rPr>
          <w:lang w:bidi="en-US"/>
        </w:rPr>
        <w:t>2</w:t>
      </w:r>
      <w:r>
        <w:rPr>
          <w:lang w:bidi="en-US"/>
        </w:rPr>
        <w:t>023</w:t>
      </w:r>
      <w:r>
        <w:rPr>
          <w:lang w:bidi="en-US"/>
        </w:rPr>
        <w:t>〕</w:t>
      </w:r>
      <w:r>
        <w:rPr>
          <w:lang w:bidi="en-US"/>
        </w:rPr>
        <w:t>175</w:t>
      </w:r>
      <w:r>
        <w:rPr>
          <w:lang w:bidi="en-US"/>
        </w:rPr>
        <w:t>号）。</w:t>
      </w:r>
      <w:r>
        <w:rPr>
          <w:lang w:bidi="en-US"/>
        </w:rPr>
        <w:t>2023</w:t>
      </w:r>
      <w:r>
        <w:rPr>
          <w:lang w:bidi="en-US"/>
        </w:rPr>
        <w:t>年</w:t>
      </w:r>
      <w:r>
        <w:rPr>
          <w:lang w:bidi="en-US"/>
        </w:rPr>
        <w:t>8</w:t>
      </w:r>
      <w:r>
        <w:rPr>
          <w:lang w:bidi="en-US"/>
        </w:rPr>
        <w:t>月，哈密高新区化工产业集中区通过第五批化工园区（产业集中区）的认定。</w:t>
      </w:r>
    </w:p>
    <w:p w14:paraId="6FDA9243" w14:textId="77777777" w:rsidR="003E78AB" w:rsidRDefault="00010BF9">
      <w:pPr>
        <w:ind w:firstLine="480"/>
        <w:rPr>
          <w:lang w:bidi="en-US"/>
        </w:rPr>
      </w:pPr>
      <w:bookmarkStart w:id="162" w:name="OLE_LINK44"/>
      <w:r>
        <w:rPr>
          <w:lang w:bidi="en-US"/>
        </w:rPr>
        <w:t>哈密高新区化工产业集中区产业定位为：充分发挥哈密本地煤炭资源优势，围绕哈密现代能源与化工产业示范区建设，重点发展芳烃、聚酯等深加工、化工（硅基）新材料、煤制高端精细化工产品、低阶煤提质及副产物综合利用，积极发展医药、农药、染料、涂料、塑料等中间体，以及环境污染处理专业药剂、表面活性剂等专用化学品。一是依托示范区全力发展煤基新材料，重点发展芳烃、聚酯、醋酸、甲酸、醋酐、乙酸乙酯等精深加工产业；二是适度布局发展</w:t>
      </w:r>
      <w:r>
        <w:rPr>
          <w:lang w:bidi="en-US"/>
        </w:rPr>
        <w:t>化工（硅基）新材料、低阶煤提质及副产物综合利用和煤制高端精细化工产业；三是积极发展医药、农药、染料、涂料、塑料等中间体，引进精胺及中间体建设项目、硫代磷酸酯项目、羧酸及下游一体化建设项目等，重点发展绿色涂料、塑料等系列产品，同时积极引进高性能树脂产业；四是积极发展环境污染处理专业药剂、表面活性剂等专用化学品。</w:t>
      </w:r>
    </w:p>
    <w:bookmarkEnd w:id="162"/>
    <w:p w14:paraId="2F29FA65" w14:textId="77777777" w:rsidR="003E78AB" w:rsidRDefault="00010BF9">
      <w:pPr>
        <w:ind w:firstLine="480"/>
        <w:rPr>
          <w:lang w:bidi="en-US"/>
        </w:rPr>
      </w:pPr>
      <w:r>
        <w:rPr>
          <w:lang w:bidi="en-US"/>
        </w:rPr>
        <w:t>本项目位于哈密高新区化工产业集中区总体规划中的</w:t>
      </w:r>
      <w:r>
        <w:rPr>
          <w:rFonts w:hint="eastAsia"/>
          <w:lang w:bidi="en-US"/>
        </w:rPr>
        <w:t>煤</w:t>
      </w:r>
      <w:r>
        <w:rPr>
          <w:lang w:bidi="en-US"/>
        </w:rPr>
        <w:t>化工</w:t>
      </w:r>
      <w:r>
        <w:rPr>
          <w:rFonts w:hint="eastAsia"/>
          <w:lang w:bidi="en-US"/>
        </w:rPr>
        <w:t>产业</w:t>
      </w:r>
      <w:r>
        <w:rPr>
          <w:lang w:bidi="en-US"/>
        </w:rPr>
        <w:t>区，属于钒电解液生产，钒电解液作为全钒液流电池的核心介质，属于高性能专用化学品范畴，符合园区</w:t>
      </w:r>
      <w:r>
        <w:rPr>
          <w:lang w:bidi="en-US"/>
        </w:rPr>
        <w:t>“</w:t>
      </w:r>
      <w:r>
        <w:rPr>
          <w:lang w:bidi="en-US"/>
        </w:rPr>
        <w:t>积极发展环境污染处理专业药剂、表面活性剂等专用化学品</w:t>
      </w:r>
      <w:r>
        <w:rPr>
          <w:lang w:bidi="en-US"/>
        </w:rPr>
        <w:t>”</w:t>
      </w:r>
      <w:r>
        <w:rPr>
          <w:lang w:bidi="en-US"/>
        </w:rPr>
        <w:t>的导向；同时，项目以高纯五氧化二钒为原料，通过化学还原与电解工艺制备高活性电解液，</w:t>
      </w:r>
      <w:r>
        <w:rPr>
          <w:bCs/>
          <w:lang w:bidi="en-US"/>
        </w:rPr>
        <w:t>属于</w:t>
      </w:r>
      <w:r>
        <w:rPr>
          <w:rFonts w:hint="eastAsia"/>
          <w:bCs/>
          <w:lang w:bidi="en-US"/>
        </w:rPr>
        <w:t>专用化学品</w:t>
      </w:r>
      <w:r>
        <w:rPr>
          <w:bCs/>
          <w:lang w:bidi="en-US"/>
        </w:rPr>
        <w:t>化工新材料，符合园区</w:t>
      </w:r>
      <w:r>
        <w:rPr>
          <w:rFonts w:hint="eastAsia"/>
          <w:bCs/>
          <w:lang w:bidi="en-US"/>
        </w:rPr>
        <w:t>积极发展专用化学品</w:t>
      </w:r>
      <w:r>
        <w:rPr>
          <w:rFonts w:hint="eastAsia"/>
          <w:bCs/>
        </w:rPr>
        <w:t>的产业</w:t>
      </w:r>
      <w:r>
        <w:rPr>
          <w:bCs/>
          <w:lang w:bidi="en-US"/>
        </w:rPr>
        <w:t>定位</w:t>
      </w:r>
      <w:r>
        <w:rPr>
          <w:lang w:bidi="en-US"/>
        </w:rPr>
        <w:t>。</w:t>
      </w:r>
    </w:p>
    <w:p w14:paraId="7877B773" w14:textId="77777777" w:rsidR="003E78AB" w:rsidRDefault="00010BF9">
      <w:pPr>
        <w:numPr>
          <w:ilvl w:val="0"/>
          <w:numId w:val="25"/>
        </w:numPr>
        <w:spacing w:line="460" w:lineRule="exact"/>
        <w:ind w:firstLineChars="0" w:firstLine="480"/>
        <w:rPr>
          <w:lang w:bidi="en-US"/>
        </w:rPr>
      </w:pPr>
      <w:r>
        <w:rPr>
          <w:lang w:bidi="en-US"/>
        </w:rPr>
        <w:t>与规划环评审查意见符合性分析</w:t>
      </w:r>
    </w:p>
    <w:p w14:paraId="23C5B0EA" w14:textId="77777777" w:rsidR="003E78AB" w:rsidRDefault="00010BF9">
      <w:pPr>
        <w:ind w:firstLine="480"/>
        <w:rPr>
          <w:lang w:bidi="en-US"/>
        </w:rPr>
      </w:pPr>
      <w:r>
        <w:rPr>
          <w:lang w:bidi="en-US"/>
        </w:rPr>
        <w:t>根据《关于哈密高新区化工产业集中区总体规划（</w:t>
      </w:r>
      <w:r>
        <w:rPr>
          <w:lang w:bidi="en-US"/>
        </w:rPr>
        <w:t>2023-2035</w:t>
      </w:r>
      <w:r>
        <w:rPr>
          <w:lang w:bidi="en-US"/>
        </w:rPr>
        <w:t>年）环境影响报告书的审查意见》（新环审〔</w:t>
      </w:r>
      <w:r>
        <w:rPr>
          <w:lang w:bidi="en-US"/>
        </w:rPr>
        <w:t>2023</w:t>
      </w:r>
      <w:r>
        <w:rPr>
          <w:lang w:bidi="en-US"/>
        </w:rPr>
        <w:t>〕</w:t>
      </w:r>
      <w:r>
        <w:rPr>
          <w:lang w:bidi="en-US"/>
        </w:rPr>
        <w:t>240</w:t>
      </w:r>
      <w:r>
        <w:rPr>
          <w:lang w:bidi="en-US"/>
        </w:rPr>
        <w:t>号），本项目与该审查意见的符合性分析见下表。</w:t>
      </w:r>
    </w:p>
    <w:p w14:paraId="7220B77A" w14:textId="77777777" w:rsidR="003E78AB" w:rsidRDefault="00010BF9">
      <w:pPr>
        <w:pStyle w:val="a5"/>
      </w:pPr>
      <w:r>
        <w:t>本项目与新环审〔</w:t>
      </w:r>
      <w:r>
        <w:t>202</w:t>
      </w:r>
      <w:r>
        <w:t>3</w:t>
      </w:r>
      <w:r>
        <w:t>〕</w:t>
      </w:r>
      <w:r>
        <w:t>240</w:t>
      </w:r>
      <w:r>
        <w:t>号符合性分析一览表</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3231"/>
        <w:gridCol w:w="969"/>
      </w:tblGrid>
      <w:tr w:rsidR="003E78AB" w14:paraId="48D6E658" w14:textId="77777777">
        <w:trPr>
          <w:trHeight w:val="340"/>
          <w:tblHeader/>
          <w:jc w:val="center"/>
        </w:trPr>
        <w:tc>
          <w:tcPr>
            <w:tcW w:w="2532" w:type="pct"/>
            <w:vAlign w:val="center"/>
          </w:tcPr>
          <w:p w14:paraId="6C2BC58B" w14:textId="77777777" w:rsidR="003E78AB" w:rsidRDefault="00010BF9">
            <w:pPr>
              <w:spacing w:line="360" w:lineRule="exact"/>
              <w:ind w:firstLineChars="0" w:firstLine="0"/>
              <w:contextualSpacing/>
              <w:jc w:val="center"/>
              <w:rPr>
                <w:b/>
                <w:bCs/>
                <w:sz w:val="21"/>
                <w:szCs w:val="21"/>
              </w:rPr>
            </w:pPr>
            <w:r>
              <w:rPr>
                <w:b/>
                <w:bCs/>
                <w:sz w:val="21"/>
                <w:szCs w:val="21"/>
              </w:rPr>
              <w:t>新环审〔</w:t>
            </w:r>
            <w:r>
              <w:rPr>
                <w:b/>
                <w:bCs/>
                <w:sz w:val="21"/>
                <w:szCs w:val="21"/>
              </w:rPr>
              <w:t>2023</w:t>
            </w:r>
            <w:r>
              <w:rPr>
                <w:b/>
                <w:bCs/>
                <w:sz w:val="21"/>
                <w:szCs w:val="21"/>
              </w:rPr>
              <w:t>〕</w:t>
            </w:r>
            <w:r>
              <w:rPr>
                <w:b/>
                <w:bCs/>
                <w:sz w:val="21"/>
                <w:szCs w:val="21"/>
              </w:rPr>
              <w:t>240</w:t>
            </w:r>
            <w:r>
              <w:rPr>
                <w:b/>
                <w:bCs/>
                <w:sz w:val="21"/>
                <w:szCs w:val="21"/>
              </w:rPr>
              <w:t>号要求</w:t>
            </w:r>
          </w:p>
        </w:tc>
        <w:tc>
          <w:tcPr>
            <w:tcW w:w="1898" w:type="pct"/>
            <w:vAlign w:val="center"/>
          </w:tcPr>
          <w:p w14:paraId="66465A02" w14:textId="77777777" w:rsidR="003E78AB" w:rsidRDefault="00010BF9">
            <w:pPr>
              <w:spacing w:line="360" w:lineRule="exact"/>
              <w:ind w:firstLineChars="0" w:firstLine="0"/>
              <w:contextualSpacing/>
              <w:jc w:val="center"/>
              <w:rPr>
                <w:b/>
                <w:bCs/>
                <w:sz w:val="21"/>
                <w:szCs w:val="21"/>
              </w:rPr>
            </w:pPr>
            <w:r>
              <w:rPr>
                <w:b/>
                <w:bCs/>
                <w:sz w:val="21"/>
                <w:szCs w:val="21"/>
              </w:rPr>
              <w:t>本项目落实情况</w:t>
            </w:r>
          </w:p>
        </w:tc>
        <w:tc>
          <w:tcPr>
            <w:tcW w:w="569" w:type="pct"/>
            <w:vAlign w:val="center"/>
          </w:tcPr>
          <w:p w14:paraId="33F7E9F3" w14:textId="77777777" w:rsidR="003E78AB" w:rsidRDefault="00010BF9">
            <w:pPr>
              <w:spacing w:line="360" w:lineRule="exact"/>
              <w:ind w:firstLineChars="0" w:firstLine="0"/>
              <w:contextualSpacing/>
              <w:jc w:val="center"/>
              <w:rPr>
                <w:b/>
                <w:bCs/>
                <w:sz w:val="21"/>
                <w:szCs w:val="21"/>
              </w:rPr>
            </w:pPr>
            <w:r>
              <w:rPr>
                <w:b/>
                <w:bCs/>
                <w:sz w:val="21"/>
                <w:szCs w:val="21"/>
              </w:rPr>
              <w:t>符合性</w:t>
            </w:r>
          </w:p>
        </w:tc>
      </w:tr>
      <w:tr w:rsidR="003E78AB" w14:paraId="1D14918A" w14:textId="77777777">
        <w:trPr>
          <w:trHeight w:val="340"/>
          <w:jc w:val="center"/>
        </w:trPr>
        <w:tc>
          <w:tcPr>
            <w:tcW w:w="2532" w:type="pct"/>
            <w:vAlign w:val="center"/>
          </w:tcPr>
          <w:p w14:paraId="774F9A5A" w14:textId="77777777" w:rsidR="003E78AB" w:rsidRDefault="00010BF9">
            <w:pPr>
              <w:spacing w:line="360" w:lineRule="exact"/>
              <w:ind w:firstLineChars="0" w:firstLine="0"/>
              <w:contextualSpacing/>
              <w:rPr>
                <w:sz w:val="21"/>
                <w:szCs w:val="21"/>
              </w:rPr>
            </w:pPr>
            <w:r>
              <w:rPr>
                <w:sz w:val="21"/>
                <w:szCs w:val="21"/>
              </w:rPr>
              <w:t>坚决遏制</w:t>
            </w:r>
            <w:r>
              <w:rPr>
                <w:sz w:val="21"/>
                <w:szCs w:val="21"/>
              </w:rPr>
              <w:t>“</w:t>
            </w:r>
            <w:r>
              <w:rPr>
                <w:sz w:val="21"/>
                <w:szCs w:val="21"/>
              </w:rPr>
              <w:t>两高</w:t>
            </w:r>
            <w:r>
              <w:rPr>
                <w:sz w:val="21"/>
                <w:szCs w:val="21"/>
              </w:rPr>
              <w:t>”</w:t>
            </w:r>
            <w:r>
              <w:rPr>
                <w:sz w:val="21"/>
                <w:szCs w:val="21"/>
              </w:rPr>
              <w:t>行业盲目发展，优化园区产业结构、规划布局和实施时序，坚持绿色发展。结合区域实际及哈密工业园区产业发展规划（</w:t>
            </w:r>
            <w:r>
              <w:rPr>
                <w:sz w:val="21"/>
                <w:szCs w:val="21"/>
              </w:rPr>
              <w:t>2019-2035</w:t>
            </w:r>
            <w:r>
              <w:rPr>
                <w:sz w:val="21"/>
                <w:szCs w:val="21"/>
              </w:rPr>
              <w:t>年，以下简称</w:t>
            </w:r>
            <w:r>
              <w:rPr>
                <w:sz w:val="21"/>
                <w:szCs w:val="21"/>
              </w:rPr>
              <w:t>“</w:t>
            </w:r>
            <w:r>
              <w:rPr>
                <w:sz w:val="21"/>
                <w:szCs w:val="21"/>
              </w:rPr>
              <w:t>上位规划</w:t>
            </w:r>
            <w:r>
              <w:rPr>
                <w:sz w:val="21"/>
                <w:szCs w:val="21"/>
              </w:rPr>
              <w:t>”</w:t>
            </w:r>
            <w:r>
              <w:rPr>
                <w:sz w:val="21"/>
                <w:szCs w:val="21"/>
              </w:rPr>
              <w:t>），依据所在产业区块功能及环保要求</w:t>
            </w:r>
            <w:r>
              <w:rPr>
                <w:rFonts w:hint="eastAsia"/>
                <w:sz w:val="21"/>
                <w:szCs w:val="21"/>
              </w:rPr>
              <w:t>，</w:t>
            </w:r>
            <w:r>
              <w:rPr>
                <w:sz w:val="21"/>
                <w:szCs w:val="21"/>
              </w:rPr>
              <w:t>合理确定园区产业结构和布局，针对上位规划硅基新材料产业布局与本次园区产业布局不符的问题，应开展上位规划修编工作，以支撑《规划》后续项目落地的必要条件</w:t>
            </w:r>
            <w:r>
              <w:rPr>
                <w:rFonts w:hint="eastAsia"/>
                <w:sz w:val="21"/>
                <w:szCs w:val="21"/>
              </w:rPr>
              <w:t>；</w:t>
            </w:r>
            <w:r>
              <w:rPr>
                <w:sz w:val="21"/>
                <w:szCs w:val="21"/>
              </w:rPr>
              <w:t>进一步论证发展石油化工、精细化工、硅基新材料的条件及规模，同时论证园区发展医药、农药等产业的必要性和可行性以及医药产业布局在园区的合理性。通过调整能源消费结构、加强资源循环利用，统筹协调推进经济和社会发展各领域，深入开展应对气候变化工作，切实增强控制温室气体排放能力。促进经济绿色低碳可持续发展、引导化工产业向绿色低碳方向转型，推动减污降碳协同管控。同时综合考虑园区企业现状情况及环境管理要求，加强环境影响评价事中事后监管，进一步督促园区企业认真执行环境影响评价制度、排污许可制度和环保验收</w:t>
            </w:r>
            <w:r>
              <w:rPr>
                <w:sz w:val="21"/>
                <w:szCs w:val="21"/>
              </w:rPr>
              <w:t>“</w:t>
            </w:r>
            <w:r>
              <w:rPr>
                <w:sz w:val="21"/>
                <w:szCs w:val="21"/>
              </w:rPr>
              <w:t>三同时</w:t>
            </w:r>
            <w:r>
              <w:rPr>
                <w:sz w:val="21"/>
                <w:szCs w:val="21"/>
              </w:rPr>
              <w:t>”</w:t>
            </w:r>
            <w:r>
              <w:rPr>
                <w:sz w:val="21"/>
                <w:szCs w:val="21"/>
              </w:rPr>
              <w:t>制度，及时发</w:t>
            </w:r>
            <w:r>
              <w:rPr>
                <w:sz w:val="21"/>
                <w:szCs w:val="21"/>
              </w:rPr>
              <w:t>现、查处</w:t>
            </w:r>
            <w:r>
              <w:rPr>
                <w:sz w:val="21"/>
                <w:szCs w:val="21"/>
              </w:rPr>
              <w:t>“</w:t>
            </w:r>
            <w:r>
              <w:rPr>
                <w:sz w:val="21"/>
                <w:szCs w:val="21"/>
              </w:rPr>
              <w:t>未批先建</w:t>
            </w:r>
            <w:r>
              <w:rPr>
                <w:sz w:val="21"/>
                <w:szCs w:val="21"/>
              </w:rPr>
              <w:t>”“</w:t>
            </w:r>
            <w:r>
              <w:rPr>
                <w:sz w:val="21"/>
                <w:szCs w:val="21"/>
              </w:rPr>
              <w:t>未验先投</w:t>
            </w:r>
            <w:r>
              <w:rPr>
                <w:sz w:val="21"/>
                <w:szCs w:val="21"/>
              </w:rPr>
              <w:t>”</w:t>
            </w:r>
            <w:r>
              <w:rPr>
                <w:sz w:val="21"/>
                <w:szCs w:val="21"/>
              </w:rPr>
              <w:t>等环境违法违规行为。结合生态环境管控、环境风险防范要求，对园区企业实现清单式管理，制定产业发展负面清单，入园企业应符合规划的产业定位及功能布局要求。</w:t>
            </w:r>
          </w:p>
        </w:tc>
        <w:tc>
          <w:tcPr>
            <w:tcW w:w="1898" w:type="pct"/>
            <w:vAlign w:val="center"/>
          </w:tcPr>
          <w:p w14:paraId="43E16D79" w14:textId="77777777" w:rsidR="003E78AB" w:rsidRDefault="00010BF9">
            <w:pPr>
              <w:spacing w:line="360" w:lineRule="exact"/>
              <w:ind w:firstLineChars="0" w:firstLine="0"/>
              <w:contextualSpacing/>
              <w:rPr>
                <w:sz w:val="21"/>
                <w:szCs w:val="21"/>
              </w:rPr>
            </w:pPr>
            <w:r>
              <w:rPr>
                <w:bCs/>
                <w:sz w:val="21"/>
                <w:szCs w:val="21"/>
              </w:rPr>
              <w:t>经分析，本项目不在《自治区</w:t>
            </w:r>
            <w:r>
              <w:rPr>
                <w:bCs/>
                <w:sz w:val="21"/>
                <w:szCs w:val="21"/>
              </w:rPr>
              <w:t>“</w:t>
            </w:r>
            <w:r>
              <w:rPr>
                <w:bCs/>
                <w:sz w:val="21"/>
                <w:szCs w:val="21"/>
              </w:rPr>
              <w:t>两高</w:t>
            </w:r>
            <w:r>
              <w:rPr>
                <w:bCs/>
                <w:sz w:val="21"/>
                <w:szCs w:val="21"/>
              </w:rPr>
              <w:t>”</w:t>
            </w:r>
            <w:r>
              <w:rPr>
                <w:bCs/>
                <w:sz w:val="21"/>
                <w:szCs w:val="21"/>
              </w:rPr>
              <w:t>项目管理目录（</w:t>
            </w:r>
            <w:r>
              <w:rPr>
                <w:bCs/>
                <w:sz w:val="21"/>
                <w:szCs w:val="21"/>
              </w:rPr>
              <w:t>2024</w:t>
            </w:r>
            <w:r>
              <w:rPr>
                <w:bCs/>
                <w:sz w:val="21"/>
                <w:szCs w:val="21"/>
              </w:rPr>
              <w:t>年版）》中。</w:t>
            </w:r>
            <w:r>
              <w:rPr>
                <w:sz w:val="21"/>
                <w:szCs w:val="21"/>
              </w:rPr>
              <w:t>本项目生产钒电解液，钒电解液作为全钒液流电池的核心介质，属于高性能专用化学品范畴，符合园区</w:t>
            </w:r>
            <w:r>
              <w:rPr>
                <w:sz w:val="21"/>
                <w:szCs w:val="21"/>
              </w:rPr>
              <w:t>“</w:t>
            </w:r>
            <w:r>
              <w:rPr>
                <w:sz w:val="21"/>
                <w:szCs w:val="21"/>
              </w:rPr>
              <w:t>积极发展环境污染处理专业药剂、表面活性剂等专用化学品</w:t>
            </w:r>
            <w:r>
              <w:rPr>
                <w:sz w:val="21"/>
                <w:szCs w:val="21"/>
              </w:rPr>
              <w:t>”</w:t>
            </w:r>
            <w:r>
              <w:rPr>
                <w:sz w:val="21"/>
                <w:szCs w:val="21"/>
              </w:rPr>
              <w:t>的导向；同时，项目以高纯五氧化二钒为原料，通过化学还原与电解工艺制备高活性电解液，属于化工新材料，符合园区</w:t>
            </w:r>
            <w:r>
              <w:rPr>
                <w:sz w:val="21"/>
                <w:szCs w:val="21"/>
                <w:lang w:bidi="en-US"/>
              </w:rPr>
              <w:t>积极发展专</w:t>
            </w:r>
            <w:r>
              <w:rPr>
                <w:sz w:val="21"/>
                <w:szCs w:val="21"/>
                <w:lang w:bidi="en-US"/>
              </w:rPr>
              <w:t>用化学品</w:t>
            </w:r>
            <w:r>
              <w:rPr>
                <w:sz w:val="21"/>
                <w:szCs w:val="21"/>
              </w:rPr>
              <w:t>的产业定位。本项目作为新能源储能领域的前沿技术，在园区新能源和新材料领域可实现创新突破，有助于推动区域产业向绿色低碳方向发展。</w:t>
            </w:r>
          </w:p>
        </w:tc>
        <w:tc>
          <w:tcPr>
            <w:tcW w:w="569" w:type="pct"/>
            <w:vAlign w:val="center"/>
          </w:tcPr>
          <w:p w14:paraId="3A31A1AF" w14:textId="77777777" w:rsidR="003E78AB" w:rsidRDefault="00010BF9">
            <w:pPr>
              <w:spacing w:line="360" w:lineRule="exact"/>
              <w:ind w:firstLineChars="0" w:firstLine="0"/>
              <w:contextualSpacing/>
              <w:jc w:val="center"/>
              <w:rPr>
                <w:b/>
                <w:bCs/>
                <w:sz w:val="21"/>
                <w:szCs w:val="21"/>
              </w:rPr>
            </w:pPr>
            <w:r>
              <w:rPr>
                <w:rFonts w:hint="eastAsia"/>
                <w:sz w:val="21"/>
                <w:szCs w:val="21"/>
              </w:rPr>
              <w:t>相符</w:t>
            </w:r>
          </w:p>
        </w:tc>
      </w:tr>
      <w:tr w:rsidR="003E78AB" w14:paraId="39E579C6" w14:textId="77777777">
        <w:trPr>
          <w:trHeight w:val="90"/>
          <w:jc w:val="center"/>
        </w:trPr>
        <w:tc>
          <w:tcPr>
            <w:tcW w:w="2532" w:type="pct"/>
            <w:vAlign w:val="center"/>
          </w:tcPr>
          <w:p w14:paraId="3920223E" w14:textId="77777777" w:rsidR="003E78AB" w:rsidRDefault="00010BF9">
            <w:pPr>
              <w:spacing w:line="360" w:lineRule="exact"/>
              <w:ind w:firstLineChars="0" w:firstLine="0"/>
              <w:contextualSpacing/>
              <w:rPr>
                <w:sz w:val="21"/>
                <w:szCs w:val="21"/>
              </w:rPr>
            </w:pPr>
            <w:r>
              <w:rPr>
                <w:sz w:val="21"/>
                <w:szCs w:val="21"/>
              </w:rPr>
              <w:t>加强空间管控，严守生态保护红线。衔接哈密市国土空间规划及</w:t>
            </w:r>
            <w:r>
              <w:rPr>
                <w:sz w:val="21"/>
                <w:szCs w:val="21"/>
              </w:rPr>
              <w:t>“</w:t>
            </w:r>
            <w:r>
              <w:rPr>
                <w:sz w:val="21"/>
                <w:szCs w:val="21"/>
              </w:rPr>
              <w:t>三线一单</w:t>
            </w:r>
            <w:r>
              <w:rPr>
                <w:sz w:val="21"/>
                <w:szCs w:val="21"/>
              </w:rPr>
              <w:t>”</w:t>
            </w:r>
            <w:r>
              <w:rPr>
                <w:sz w:val="21"/>
                <w:szCs w:val="21"/>
              </w:rPr>
              <w:t>最新更新成果，进一步优化园区空间布局，完善生态环境各要素保障，重点关注区域大气环境、地下水环境、土壤环境质量，细化园区所在生态环境管控单元的管控要求，保障规划实施不突破区域生态保护红线、环境质量底线和资源利用上线。</w:t>
            </w:r>
          </w:p>
        </w:tc>
        <w:tc>
          <w:tcPr>
            <w:tcW w:w="1898" w:type="pct"/>
            <w:vAlign w:val="center"/>
          </w:tcPr>
          <w:p w14:paraId="20CE6676" w14:textId="77777777" w:rsidR="003E78AB" w:rsidRDefault="00010BF9">
            <w:pPr>
              <w:spacing w:line="360" w:lineRule="exact"/>
              <w:ind w:firstLineChars="0" w:firstLine="0"/>
              <w:contextualSpacing/>
              <w:rPr>
                <w:sz w:val="21"/>
                <w:szCs w:val="21"/>
              </w:rPr>
            </w:pPr>
            <w:r>
              <w:rPr>
                <w:sz w:val="21"/>
                <w:szCs w:val="21"/>
              </w:rPr>
              <w:t>本项目位于哈密高新区化工产业集中区总体规划中的</w:t>
            </w:r>
            <w:r>
              <w:rPr>
                <w:rFonts w:hint="eastAsia"/>
                <w:sz w:val="21"/>
                <w:szCs w:val="21"/>
              </w:rPr>
              <w:t>煤</w:t>
            </w:r>
            <w:r>
              <w:rPr>
                <w:sz w:val="21"/>
                <w:szCs w:val="21"/>
              </w:rPr>
              <w:t>化工</w:t>
            </w:r>
            <w:r>
              <w:rPr>
                <w:rFonts w:hint="eastAsia"/>
                <w:sz w:val="21"/>
                <w:szCs w:val="21"/>
              </w:rPr>
              <w:t>产业</w:t>
            </w:r>
            <w:r>
              <w:rPr>
                <w:sz w:val="21"/>
                <w:szCs w:val="21"/>
              </w:rPr>
              <w:t>区，占地为三类工业用地，符合园区用地规划；经分析本项目符合规划产业发展方向，符合《</w:t>
            </w:r>
            <w:r>
              <w:rPr>
                <w:rFonts w:hint="eastAsia"/>
                <w:sz w:val="21"/>
                <w:szCs w:val="21"/>
              </w:rPr>
              <w:t>哈密市生态环境准入清单（</w:t>
            </w:r>
            <w:r>
              <w:rPr>
                <w:rFonts w:hint="eastAsia"/>
                <w:sz w:val="21"/>
                <w:szCs w:val="21"/>
              </w:rPr>
              <w:t>2024</w:t>
            </w:r>
            <w:r>
              <w:rPr>
                <w:rFonts w:hint="eastAsia"/>
                <w:sz w:val="21"/>
                <w:szCs w:val="21"/>
              </w:rPr>
              <w:t>版）</w:t>
            </w:r>
            <w:r>
              <w:rPr>
                <w:sz w:val="21"/>
                <w:szCs w:val="21"/>
              </w:rPr>
              <w:t>》要求。</w:t>
            </w:r>
          </w:p>
        </w:tc>
        <w:tc>
          <w:tcPr>
            <w:tcW w:w="569" w:type="pct"/>
            <w:vAlign w:val="center"/>
          </w:tcPr>
          <w:p w14:paraId="293D90B7"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r w:rsidR="003E78AB" w14:paraId="0A1E7E22" w14:textId="77777777">
        <w:trPr>
          <w:trHeight w:val="1835"/>
          <w:jc w:val="center"/>
        </w:trPr>
        <w:tc>
          <w:tcPr>
            <w:tcW w:w="2532" w:type="pct"/>
            <w:vAlign w:val="center"/>
          </w:tcPr>
          <w:p w14:paraId="337D6ABC" w14:textId="77777777" w:rsidR="003E78AB" w:rsidRDefault="00010BF9">
            <w:pPr>
              <w:spacing w:line="360" w:lineRule="exact"/>
              <w:ind w:firstLineChars="0" w:firstLine="0"/>
              <w:contextualSpacing/>
              <w:rPr>
                <w:sz w:val="21"/>
                <w:szCs w:val="21"/>
              </w:rPr>
            </w:pPr>
            <w:r>
              <w:rPr>
                <w:sz w:val="21"/>
                <w:szCs w:val="21"/>
              </w:rPr>
              <w:t>坚守环境质量底线，严格污染物总量管控。依据《规划》区域及周边环境质量改善目标，落实重点行业污染防治措施，纳入日常环境管理工作，并建立考核机制。科学核定区域污染物排放总量，提出污染物协同脱除、减污降碳协同控制要求。各类污染物排放须满足国家及自治区最新污染物排放标准要求，落实污染物总量控制和减排任务。</w:t>
            </w:r>
          </w:p>
        </w:tc>
        <w:tc>
          <w:tcPr>
            <w:tcW w:w="1898" w:type="pct"/>
            <w:vAlign w:val="center"/>
          </w:tcPr>
          <w:p w14:paraId="6D7484E9" w14:textId="77777777" w:rsidR="003E78AB" w:rsidRDefault="00010BF9">
            <w:pPr>
              <w:spacing w:line="360" w:lineRule="exact"/>
              <w:ind w:firstLineChars="0" w:firstLine="0"/>
              <w:contextualSpacing/>
              <w:rPr>
                <w:sz w:val="21"/>
                <w:szCs w:val="21"/>
              </w:rPr>
            </w:pPr>
            <w:r>
              <w:rPr>
                <w:sz w:val="21"/>
                <w:szCs w:val="21"/>
              </w:rPr>
              <w:t>项目建设采用先进的密闭生产工艺，可有效减少污染物排放总量，同时将碳排放内容纳入环境影响评价中，提出了污染物协同脱除、减污降碳协同控制要求。各项污染物经治理后均能达标排放，本项目严格按照生态环境部门要求落实总量控制及区域削减。</w:t>
            </w:r>
          </w:p>
        </w:tc>
        <w:tc>
          <w:tcPr>
            <w:tcW w:w="569" w:type="pct"/>
            <w:vAlign w:val="center"/>
          </w:tcPr>
          <w:p w14:paraId="2A1BDDF3"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r w:rsidR="003E78AB" w14:paraId="03245465" w14:textId="77777777">
        <w:trPr>
          <w:trHeight w:val="2262"/>
          <w:jc w:val="center"/>
        </w:trPr>
        <w:tc>
          <w:tcPr>
            <w:tcW w:w="2532" w:type="pct"/>
            <w:vAlign w:val="center"/>
          </w:tcPr>
          <w:p w14:paraId="4ED9A36F" w14:textId="77777777" w:rsidR="003E78AB" w:rsidRDefault="00010BF9">
            <w:pPr>
              <w:spacing w:line="360" w:lineRule="exact"/>
              <w:ind w:firstLineChars="0" w:firstLine="0"/>
              <w:contextualSpacing/>
              <w:rPr>
                <w:sz w:val="21"/>
                <w:szCs w:val="21"/>
              </w:rPr>
            </w:pPr>
            <w:r>
              <w:rPr>
                <w:sz w:val="21"/>
                <w:szCs w:val="21"/>
              </w:rPr>
              <w:t>严格按照规划产业布局入驻企业，结合区域发展定位、开发布局、生态环境保护目标，实行入园企业环保准入审核制度，不符合产业政策、行业准入条件、生态环境准入清单及自治区明令禁止的项目一律不得入驻园区。引进项目的生产工艺、设备、污染治理技术，以及单位产品能耗、物耗、污染物排放和资源利用率</w:t>
            </w:r>
            <w:r>
              <w:rPr>
                <w:sz w:val="21"/>
                <w:szCs w:val="21"/>
              </w:rPr>
              <w:t>均需达到同行业国内先进水平，积极推进产业技术进步和园区循环化建设。园区水资源利用不得突破批准的水资源利用上线指标，土地资源利用不得突破国土空间规划确定的城镇开发边界。</w:t>
            </w:r>
          </w:p>
        </w:tc>
        <w:tc>
          <w:tcPr>
            <w:tcW w:w="1898" w:type="pct"/>
            <w:vAlign w:val="center"/>
          </w:tcPr>
          <w:p w14:paraId="0E5FC54D" w14:textId="77777777" w:rsidR="003E78AB" w:rsidRDefault="00010BF9">
            <w:pPr>
              <w:spacing w:line="360" w:lineRule="exact"/>
              <w:ind w:firstLineChars="0" w:firstLine="0"/>
              <w:contextualSpacing/>
              <w:rPr>
                <w:sz w:val="21"/>
                <w:szCs w:val="21"/>
              </w:rPr>
            </w:pPr>
            <w:r>
              <w:rPr>
                <w:sz w:val="21"/>
                <w:szCs w:val="21"/>
              </w:rPr>
              <w:t>本项目位于哈密高新区化工产业集中区总体规划中的</w:t>
            </w:r>
            <w:r>
              <w:rPr>
                <w:rFonts w:hint="eastAsia"/>
                <w:sz w:val="21"/>
                <w:szCs w:val="21"/>
              </w:rPr>
              <w:t>煤化工产业区</w:t>
            </w:r>
            <w:r>
              <w:rPr>
                <w:sz w:val="21"/>
                <w:szCs w:val="21"/>
              </w:rPr>
              <w:t>，占地为三类工业用地，符合园区开发布局。项目建设满足行业准入条件，生产工艺、设备、污染治理技术均采用国内先进技术。生产能耗、物耗较低，三废污染物排放量少。项目按照园区划定的用地红线建设，不会突破国土空间规划确定的城镇开发边界。</w:t>
            </w:r>
          </w:p>
        </w:tc>
        <w:tc>
          <w:tcPr>
            <w:tcW w:w="569" w:type="pct"/>
            <w:vAlign w:val="center"/>
          </w:tcPr>
          <w:p w14:paraId="0B20C4A3" w14:textId="77777777" w:rsidR="003E78AB" w:rsidRDefault="00010BF9">
            <w:pPr>
              <w:spacing w:line="360" w:lineRule="exact"/>
              <w:ind w:firstLineChars="0" w:firstLine="0"/>
              <w:contextualSpacing/>
              <w:jc w:val="center"/>
              <w:rPr>
                <w:sz w:val="21"/>
                <w:szCs w:val="21"/>
              </w:rPr>
            </w:pPr>
            <w:r>
              <w:rPr>
                <w:rFonts w:hint="eastAsia"/>
                <w:sz w:val="21"/>
                <w:szCs w:val="21"/>
              </w:rPr>
              <w:t>相符</w:t>
            </w:r>
          </w:p>
        </w:tc>
      </w:tr>
    </w:tbl>
    <w:p w14:paraId="23C65C7E" w14:textId="77777777" w:rsidR="003E78AB" w:rsidRDefault="00010BF9">
      <w:pPr>
        <w:ind w:firstLine="480"/>
      </w:pPr>
      <w:r>
        <w:rPr>
          <w:kern w:val="2"/>
        </w:rPr>
        <w:t>由此可见，本项目符合</w:t>
      </w:r>
      <w:r>
        <w:rPr>
          <w:lang w:bidi="en-US"/>
        </w:rPr>
        <w:t>《关于哈密高新区化工产业集中区总体规划（</w:t>
      </w:r>
      <w:r>
        <w:rPr>
          <w:lang w:bidi="en-US"/>
        </w:rPr>
        <w:t>2023-2035</w:t>
      </w:r>
      <w:r>
        <w:rPr>
          <w:lang w:bidi="en-US"/>
        </w:rPr>
        <w:t>年）环境影响报告书的审查意见》（新环审〔</w:t>
      </w:r>
      <w:r>
        <w:rPr>
          <w:lang w:bidi="en-US"/>
        </w:rPr>
        <w:t>2023</w:t>
      </w:r>
      <w:r>
        <w:rPr>
          <w:lang w:bidi="en-US"/>
        </w:rPr>
        <w:t>〕</w:t>
      </w:r>
      <w:r>
        <w:rPr>
          <w:lang w:bidi="en-US"/>
        </w:rPr>
        <w:t>240</w:t>
      </w:r>
      <w:r>
        <w:rPr>
          <w:lang w:bidi="en-US"/>
        </w:rPr>
        <w:t>号）要求</w:t>
      </w:r>
      <w:r>
        <w:rPr>
          <w:kern w:val="2"/>
        </w:rPr>
        <w:t>。</w:t>
      </w:r>
    </w:p>
    <w:p w14:paraId="0BD7114A" w14:textId="77777777" w:rsidR="003E78AB" w:rsidRDefault="00010BF9">
      <w:pPr>
        <w:pStyle w:val="31"/>
        <w:keepNext w:val="0"/>
        <w:keepLines w:val="0"/>
        <w:topLinePunct/>
        <w:spacing w:before="156"/>
        <w:rPr>
          <w:rFonts w:cs="Times New Roman"/>
          <w:b w:val="0"/>
        </w:rPr>
      </w:pPr>
      <w:r>
        <w:rPr>
          <w:rFonts w:cs="Times New Roman"/>
          <w:b w:val="0"/>
        </w:rPr>
        <w:t>2.8.3</w:t>
      </w:r>
      <w:r>
        <w:rPr>
          <w:rFonts w:cs="Times New Roman"/>
          <w:b w:val="0"/>
        </w:rPr>
        <w:t>项目</w:t>
      </w:r>
      <w:r>
        <w:rPr>
          <w:rFonts w:cs="Times New Roman"/>
          <w:b w:val="0"/>
        </w:rPr>
        <w:t>“</w:t>
      </w:r>
      <w:r>
        <w:rPr>
          <w:rFonts w:cs="Times New Roman"/>
          <w:b w:val="0"/>
        </w:rPr>
        <w:t>三线一单</w:t>
      </w:r>
      <w:r>
        <w:rPr>
          <w:rFonts w:cs="Times New Roman"/>
          <w:b w:val="0"/>
        </w:rPr>
        <w:t>”</w:t>
      </w:r>
      <w:r>
        <w:rPr>
          <w:rFonts w:cs="Times New Roman"/>
          <w:b w:val="0"/>
        </w:rPr>
        <w:t>符合性分析</w:t>
      </w:r>
    </w:p>
    <w:p w14:paraId="54BF0140" w14:textId="77777777" w:rsidR="003E78AB" w:rsidRDefault="00010BF9">
      <w:pPr>
        <w:ind w:firstLine="480"/>
        <w:rPr>
          <w:bCs/>
          <w:kern w:val="2"/>
        </w:rPr>
      </w:pPr>
      <w:r>
        <w:rPr>
          <w:bCs/>
          <w:kern w:val="2"/>
        </w:rPr>
        <w:t>根据《关于以改善环境质量为核心加强环境影响评价管理的通知》（环环评〔</w:t>
      </w:r>
      <w:r>
        <w:rPr>
          <w:bCs/>
          <w:kern w:val="2"/>
        </w:rPr>
        <w:t>2016</w:t>
      </w:r>
      <w:r>
        <w:rPr>
          <w:bCs/>
          <w:kern w:val="2"/>
        </w:rPr>
        <w:t>〕</w:t>
      </w:r>
      <w:r>
        <w:rPr>
          <w:bCs/>
          <w:kern w:val="2"/>
        </w:rPr>
        <w:t>150</w:t>
      </w:r>
      <w:r>
        <w:rPr>
          <w:bCs/>
          <w:kern w:val="2"/>
        </w:rPr>
        <w:t>号）：</w:t>
      </w:r>
      <w:r>
        <w:rPr>
          <w:bCs/>
          <w:kern w:val="2"/>
        </w:rPr>
        <w:t>“</w:t>
      </w:r>
      <w:r>
        <w:rPr>
          <w:bCs/>
          <w:kern w:val="2"/>
        </w:rPr>
        <w:t>为适应以改善环境质量为核心的环境管理要求，切实加强环境影响评价管理，落实生态保护红线、环境质量底线、资源利用上线和生态环境准入清单</w:t>
      </w:r>
      <w:r>
        <w:rPr>
          <w:bCs/>
          <w:kern w:val="2"/>
        </w:rPr>
        <w:t>”</w:t>
      </w:r>
      <w:r>
        <w:rPr>
          <w:bCs/>
          <w:kern w:val="2"/>
        </w:rPr>
        <w:t>（以下简称</w:t>
      </w:r>
      <w:r>
        <w:rPr>
          <w:bCs/>
          <w:kern w:val="2"/>
        </w:rPr>
        <w:t>“</w:t>
      </w:r>
      <w:r>
        <w:rPr>
          <w:bCs/>
          <w:kern w:val="2"/>
        </w:rPr>
        <w:t>三线一单</w:t>
      </w:r>
      <w:r>
        <w:rPr>
          <w:bCs/>
          <w:kern w:val="2"/>
        </w:rPr>
        <w:t>”</w:t>
      </w:r>
      <w:r>
        <w:rPr>
          <w:bCs/>
          <w:kern w:val="2"/>
        </w:rPr>
        <w:t>）约束。</w:t>
      </w:r>
    </w:p>
    <w:p w14:paraId="3E9FC506" w14:textId="77777777" w:rsidR="003E78AB" w:rsidRDefault="00010BF9">
      <w:pPr>
        <w:ind w:firstLine="480"/>
        <w:rPr>
          <w:bCs/>
          <w:kern w:val="2"/>
        </w:rPr>
      </w:pPr>
      <w:r>
        <w:rPr>
          <w:bCs/>
          <w:kern w:val="2"/>
        </w:rPr>
        <w:t>（</w:t>
      </w:r>
      <w:r>
        <w:rPr>
          <w:bCs/>
          <w:kern w:val="2"/>
        </w:rPr>
        <w:t>1</w:t>
      </w:r>
      <w:r>
        <w:rPr>
          <w:bCs/>
          <w:kern w:val="2"/>
        </w:rPr>
        <w:t>）与生态保护红线区域规划的相符性</w:t>
      </w:r>
    </w:p>
    <w:p w14:paraId="125649AE" w14:textId="77777777" w:rsidR="003E78AB" w:rsidRDefault="00010BF9">
      <w:pPr>
        <w:ind w:firstLine="480"/>
        <w:rPr>
          <w:bCs/>
          <w:kern w:val="2"/>
        </w:rPr>
      </w:pPr>
      <w:r>
        <w:rPr>
          <w:bCs/>
          <w:kern w:val="2"/>
        </w:rPr>
        <w:t>根据《新疆维吾尔自治区生态环境分区管控动态更新成果》（</w:t>
      </w:r>
      <w:r>
        <w:rPr>
          <w:bCs/>
          <w:kern w:val="2"/>
        </w:rPr>
        <w:t>新环环评发〔</w:t>
      </w:r>
      <w:r>
        <w:rPr>
          <w:bCs/>
          <w:kern w:val="2"/>
        </w:rPr>
        <w:t>2024</w:t>
      </w:r>
      <w:r>
        <w:rPr>
          <w:bCs/>
          <w:kern w:val="2"/>
        </w:rPr>
        <w:t>〕</w:t>
      </w:r>
      <w:r>
        <w:rPr>
          <w:bCs/>
          <w:kern w:val="2"/>
        </w:rPr>
        <w:t>157</w:t>
      </w:r>
      <w:r>
        <w:rPr>
          <w:bCs/>
          <w:kern w:val="2"/>
        </w:rPr>
        <w:t>号）、《新疆维吾尔自治区七大片区</w:t>
      </w:r>
      <w:r>
        <w:rPr>
          <w:bCs/>
          <w:kern w:val="2"/>
        </w:rPr>
        <w:t>“</w:t>
      </w:r>
      <w:r>
        <w:rPr>
          <w:bCs/>
          <w:kern w:val="2"/>
        </w:rPr>
        <w:t>三线一单</w:t>
      </w:r>
      <w:r>
        <w:rPr>
          <w:bCs/>
          <w:kern w:val="2"/>
        </w:rPr>
        <w:t>”</w:t>
      </w:r>
      <w:r>
        <w:rPr>
          <w:bCs/>
          <w:kern w:val="2"/>
        </w:rPr>
        <w:t>生态环境分区管控要求》（</w:t>
      </w:r>
      <w:r>
        <w:rPr>
          <w:bCs/>
          <w:kern w:val="2"/>
        </w:rPr>
        <w:t>2021</w:t>
      </w:r>
      <w:r>
        <w:rPr>
          <w:bCs/>
          <w:kern w:val="2"/>
        </w:rPr>
        <w:t>年版）（新环环评发〔</w:t>
      </w:r>
      <w:r>
        <w:rPr>
          <w:bCs/>
          <w:kern w:val="2"/>
        </w:rPr>
        <w:t>2021</w:t>
      </w:r>
      <w:r>
        <w:rPr>
          <w:bCs/>
          <w:kern w:val="2"/>
        </w:rPr>
        <w:t>〕</w:t>
      </w:r>
      <w:r>
        <w:rPr>
          <w:bCs/>
          <w:kern w:val="2"/>
        </w:rPr>
        <w:t>162</w:t>
      </w:r>
      <w:r>
        <w:rPr>
          <w:bCs/>
          <w:kern w:val="2"/>
        </w:rPr>
        <w:t>号）及《关于印发哈密市生态环境分区管控动态更新成果的通知》（</w:t>
      </w:r>
      <w:r>
        <w:rPr>
          <w:bCs/>
          <w:kern w:val="2"/>
        </w:rPr>
        <w:t>2025</w:t>
      </w:r>
      <w:r>
        <w:rPr>
          <w:bCs/>
          <w:kern w:val="2"/>
        </w:rPr>
        <w:t>年</w:t>
      </w:r>
      <w:r>
        <w:rPr>
          <w:bCs/>
          <w:kern w:val="2"/>
        </w:rPr>
        <w:t>1</w:t>
      </w:r>
      <w:r>
        <w:rPr>
          <w:bCs/>
          <w:kern w:val="2"/>
        </w:rPr>
        <w:t>月</w:t>
      </w:r>
      <w:r>
        <w:rPr>
          <w:bCs/>
          <w:kern w:val="2"/>
        </w:rPr>
        <w:t>10</w:t>
      </w:r>
      <w:r>
        <w:rPr>
          <w:bCs/>
          <w:kern w:val="2"/>
        </w:rPr>
        <w:t>日）开展本项目与区域生态保护红线、环境质量底线、资源利用上线符合性和协调性分析。</w:t>
      </w:r>
    </w:p>
    <w:p w14:paraId="13554B2A" w14:textId="77777777" w:rsidR="003E78AB" w:rsidRDefault="00010BF9">
      <w:pPr>
        <w:ind w:firstLine="480"/>
        <w:rPr>
          <w:bCs/>
          <w:kern w:val="2"/>
        </w:rPr>
      </w:pPr>
      <w:r>
        <w:rPr>
          <w:bCs/>
          <w:kern w:val="2"/>
        </w:rPr>
        <w:t>本项目不在新疆维吾尔自治区及哈密市生态保护红线范围内，也不在一般生态空间范围内，属于生态环境重点管控单元。重点管控单元主要包括城镇建成区、工业园区和工业聚集区等。</w:t>
      </w:r>
    </w:p>
    <w:p w14:paraId="4A315184" w14:textId="77777777" w:rsidR="003E78AB" w:rsidRDefault="00010BF9">
      <w:pPr>
        <w:ind w:firstLine="480"/>
        <w:rPr>
          <w:bCs/>
          <w:kern w:val="2"/>
        </w:rPr>
      </w:pPr>
      <w:r>
        <w:rPr>
          <w:bCs/>
          <w:kern w:val="2"/>
        </w:rPr>
        <w:t>（</w:t>
      </w:r>
      <w:r>
        <w:rPr>
          <w:bCs/>
          <w:kern w:val="2"/>
        </w:rPr>
        <w:t>2</w:t>
      </w:r>
      <w:r>
        <w:rPr>
          <w:bCs/>
          <w:kern w:val="2"/>
        </w:rPr>
        <w:t>）环境质量底线</w:t>
      </w:r>
    </w:p>
    <w:p w14:paraId="611104D3" w14:textId="77777777" w:rsidR="003E78AB" w:rsidRDefault="00010BF9">
      <w:pPr>
        <w:ind w:firstLine="480"/>
        <w:rPr>
          <w:bCs/>
          <w:kern w:val="2"/>
        </w:rPr>
      </w:pPr>
      <w:r>
        <w:rPr>
          <w:bCs/>
          <w:kern w:val="2"/>
        </w:rPr>
        <w:t>大气环境质量底线就是在符合大气环境区域功能区划和大气环境管理的基础上，确保大气污染物排放不对区域功能区划造成影响，污染物排放总量低于大气环境容量。</w:t>
      </w:r>
    </w:p>
    <w:p w14:paraId="64F3049E" w14:textId="77777777" w:rsidR="003E78AB" w:rsidRDefault="00010BF9">
      <w:pPr>
        <w:ind w:firstLine="480"/>
        <w:rPr>
          <w:bCs/>
          <w:kern w:val="2"/>
        </w:rPr>
      </w:pPr>
      <w:r>
        <w:rPr>
          <w:bCs/>
          <w:kern w:val="2"/>
        </w:rPr>
        <w:t>本项目对</w:t>
      </w:r>
      <w:r>
        <w:rPr>
          <w:rFonts w:hint="eastAsia"/>
          <w:bCs/>
          <w:kern w:val="2"/>
        </w:rPr>
        <w:t>产生的废气</w:t>
      </w:r>
      <w:r>
        <w:rPr>
          <w:bCs/>
          <w:kern w:val="2"/>
        </w:rPr>
        <w:t>均采用了成熟可行的措施进行收集、处理后严格按照行业污染物排放限值的要求达标排放，不会对区域大气环境造成明显影响。项目</w:t>
      </w:r>
      <w:r>
        <w:rPr>
          <w:rFonts w:hint="eastAsia"/>
          <w:bCs/>
          <w:kern w:val="2"/>
        </w:rPr>
        <w:t>无生产废水排放，</w:t>
      </w:r>
      <w:r>
        <w:rPr>
          <w:rFonts w:hint="eastAsia"/>
          <w:bCs/>
        </w:rPr>
        <w:t>地面冲洗水、</w:t>
      </w:r>
      <w:r>
        <w:rPr>
          <w:bCs/>
          <w:kern w:val="2"/>
        </w:rPr>
        <w:t>软水制备及纯水制备排浓水、锅炉排水经厂内污水管道收集，生活污水经预处理后，一并经厂区总排口排入园区污水厂进一步处理，不会对周围水体造成影响。本项目产生的主要固体废物根据废物特性均进行妥善处置。通过厂房隔</w:t>
      </w:r>
      <w:r>
        <w:rPr>
          <w:bCs/>
          <w:kern w:val="2"/>
        </w:rPr>
        <w:t>声、基础减振和距离衰减等措施后，厂内生产运行产生的噪声能保证厂界达标排放。</w:t>
      </w:r>
    </w:p>
    <w:p w14:paraId="5A0505CD" w14:textId="77777777" w:rsidR="003E78AB" w:rsidRDefault="00010BF9">
      <w:pPr>
        <w:ind w:firstLine="480"/>
        <w:rPr>
          <w:bCs/>
          <w:kern w:val="2"/>
        </w:rPr>
      </w:pPr>
      <w:r>
        <w:rPr>
          <w:bCs/>
          <w:kern w:val="2"/>
        </w:rPr>
        <w:t>本项目采取的环保措施能确保拟建项目产生的污染物对环境质量的影响降到最小，不突破所在区域环境质量底线。</w:t>
      </w:r>
    </w:p>
    <w:p w14:paraId="0DBC729A" w14:textId="77777777" w:rsidR="003E78AB" w:rsidRDefault="00010BF9">
      <w:pPr>
        <w:ind w:firstLine="480"/>
        <w:rPr>
          <w:bCs/>
          <w:kern w:val="2"/>
        </w:rPr>
      </w:pPr>
      <w:r>
        <w:rPr>
          <w:bCs/>
          <w:kern w:val="2"/>
        </w:rPr>
        <w:t>（</w:t>
      </w:r>
      <w:r>
        <w:rPr>
          <w:bCs/>
          <w:kern w:val="2"/>
        </w:rPr>
        <w:t>3</w:t>
      </w:r>
      <w:r>
        <w:rPr>
          <w:bCs/>
          <w:kern w:val="2"/>
        </w:rPr>
        <w:t>）资源利用上线</w:t>
      </w:r>
    </w:p>
    <w:p w14:paraId="11852B5B" w14:textId="77777777" w:rsidR="003E78AB" w:rsidRDefault="00010BF9">
      <w:pPr>
        <w:ind w:firstLine="480"/>
        <w:rPr>
          <w:bCs/>
          <w:kern w:val="2"/>
        </w:rPr>
      </w:pPr>
      <w:r>
        <w:rPr>
          <w:bCs/>
          <w:kern w:val="2"/>
        </w:rPr>
        <w:t>本项目的主要原料为</w:t>
      </w:r>
      <w:r>
        <w:rPr>
          <w:rFonts w:hint="eastAsia"/>
          <w:bCs/>
          <w:kern w:val="2"/>
        </w:rPr>
        <w:t>五氧化二钒和硫酸</w:t>
      </w:r>
      <w:r>
        <w:rPr>
          <w:bCs/>
          <w:kern w:val="2"/>
        </w:rPr>
        <w:t>等，在</w:t>
      </w:r>
      <w:r>
        <w:rPr>
          <w:rFonts w:hint="eastAsia"/>
          <w:bCs/>
          <w:kern w:val="2"/>
        </w:rPr>
        <w:t>周边区域</w:t>
      </w:r>
      <w:r>
        <w:rPr>
          <w:bCs/>
          <w:kern w:val="2"/>
        </w:rPr>
        <w:t>分布较丰富，项目原料来源能够得到保障。本项目用水、用电由哈密工业园区已建基础设施供应。</w:t>
      </w:r>
    </w:p>
    <w:p w14:paraId="3CDCF862" w14:textId="77777777" w:rsidR="003E78AB" w:rsidRDefault="00010BF9">
      <w:pPr>
        <w:ind w:firstLine="480"/>
        <w:rPr>
          <w:bCs/>
          <w:kern w:val="2"/>
        </w:rPr>
      </w:pPr>
      <w:r>
        <w:rPr>
          <w:bCs/>
          <w:kern w:val="2"/>
        </w:rPr>
        <w:t>项目运行后积极开展清洁生产审核，做好生产中节能降耗工作，符合资源利用上线的要求。</w:t>
      </w:r>
    </w:p>
    <w:p w14:paraId="04319588" w14:textId="77777777" w:rsidR="003E78AB" w:rsidRDefault="00010BF9">
      <w:pPr>
        <w:ind w:firstLine="480"/>
        <w:rPr>
          <w:bCs/>
          <w:kern w:val="2"/>
        </w:rPr>
      </w:pPr>
      <w:r>
        <w:rPr>
          <w:bCs/>
          <w:kern w:val="2"/>
        </w:rPr>
        <w:t>（</w:t>
      </w:r>
      <w:r>
        <w:rPr>
          <w:bCs/>
          <w:kern w:val="2"/>
        </w:rPr>
        <w:t>4</w:t>
      </w:r>
      <w:r>
        <w:rPr>
          <w:bCs/>
          <w:kern w:val="2"/>
        </w:rPr>
        <w:t>）生态环境准入清单</w:t>
      </w:r>
    </w:p>
    <w:p w14:paraId="7D423248" w14:textId="77777777" w:rsidR="003E78AB" w:rsidRDefault="00010BF9">
      <w:pPr>
        <w:ind w:firstLine="480"/>
        <w:rPr>
          <w:bCs/>
          <w:kern w:val="2"/>
        </w:rPr>
      </w:pPr>
      <w:r>
        <w:rPr>
          <w:bCs/>
          <w:kern w:val="2"/>
        </w:rPr>
        <w:t>本项目符合产业政策，不涉及淘汰工艺及落后工艺。</w:t>
      </w:r>
    </w:p>
    <w:p w14:paraId="6F8FF6FA" w14:textId="77777777" w:rsidR="003E78AB" w:rsidRDefault="00010BF9">
      <w:pPr>
        <w:ind w:firstLine="480"/>
        <w:rPr>
          <w:bCs/>
          <w:kern w:val="2"/>
        </w:rPr>
      </w:pPr>
      <w:r>
        <w:rPr>
          <w:bCs/>
          <w:kern w:val="2"/>
        </w:rPr>
        <w:t>对照《新疆维吾尔自治区七</w:t>
      </w:r>
      <w:r>
        <w:rPr>
          <w:bCs/>
          <w:kern w:val="2"/>
        </w:rPr>
        <w:t>大片区</w:t>
      </w:r>
      <w:r>
        <w:rPr>
          <w:bCs/>
          <w:kern w:val="2"/>
        </w:rPr>
        <w:t>“</w:t>
      </w:r>
      <w:r>
        <w:rPr>
          <w:bCs/>
          <w:kern w:val="2"/>
        </w:rPr>
        <w:t>三线一单</w:t>
      </w:r>
      <w:r>
        <w:rPr>
          <w:bCs/>
          <w:kern w:val="2"/>
        </w:rPr>
        <w:t>”</w:t>
      </w:r>
      <w:r>
        <w:rPr>
          <w:bCs/>
          <w:kern w:val="2"/>
        </w:rPr>
        <w:t>生态环境分区管控要求》（</w:t>
      </w:r>
      <w:r>
        <w:rPr>
          <w:bCs/>
          <w:kern w:val="2"/>
        </w:rPr>
        <w:t>2021</w:t>
      </w:r>
      <w:r>
        <w:rPr>
          <w:bCs/>
          <w:kern w:val="2"/>
        </w:rPr>
        <w:t>年版）（新环环评发〔</w:t>
      </w:r>
      <w:r>
        <w:rPr>
          <w:bCs/>
          <w:kern w:val="2"/>
        </w:rPr>
        <w:t>2021</w:t>
      </w:r>
      <w:r>
        <w:rPr>
          <w:bCs/>
          <w:kern w:val="2"/>
        </w:rPr>
        <w:t>〕</w:t>
      </w:r>
      <w:r>
        <w:rPr>
          <w:bCs/>
          <w:kern w:val="2"/>
        </w:rPr>
        <w:t>162</w:t>
      </w:r>
      <w:r>
        <w:rPr>
          <w:bCs/>
          <w:kern w:val="2"/>
        </w:rPr>
        <w:t>号），本项目所在区属于吐哈片区，该片区的管控要求为：</w:t>
      </w:r>
    </w:p>
    <w:p w14:paraId="0102DAB9" w14:textId="77777777" w:rsidR="003E78AB" w:rsidRDefault="00010BF9">
      <w:pPr>
        <w:ind w:firstLine="480"/>
        <w:rPr>
          <w:bCs/>
          <w:kern w:val="2"/>
        </w:rPr>
      </w:pPr>
      <w:r>
        <w:rPr>
          <w:bCs/>
          <w:kern w:val="2"/>
        </w:rPr>
        <w:t>“</w:t>
      </w:r>
      <w:r>
        <w:rPr>
          <w:bCs/>
          <w:kern w:val="2"/>
        </w:rPr>
        <w:t>强化吐哈盆地文物古迹、坎儿井、基本农田、荒漠植被、砾幕、城镇人居环境保护。落实最严格的水资源管理制度，提高水资源集约节约高效利用水平。积极推进吐鲁番鄯善超采区、托克逊超采区和哈密超采区的地下水超采治理，逐步压减超采量，实现地下水采补平衡。</w:t>
      </w:r>
    </w:p>
    <w:p w14:paraId="658D8F19" w14:textId="77777777" w:rsidR="003E78AB" w:rsidRDefault="00010BF9">
      <w:pPr>
        <w:ind w:firstLine="480"/>
        <w:rPr>
          <w:bCs/>
          <w:kern w:val="2"/>
        </w:rPr>
      </w:pPr>
      <w:r>
        <w:rPr>
          <w:bCs/>
          <w:kern w:val="2"/>
        </w:rPr>
        <w:t>强化油（气）资源开发区土壤环境污染综合整治。加强涉重金属行业污染防控与工业废物处理处置。</w:t>
      </w:r>
    </w:p>
    <w:p w14:paraId="02B78C27" w14:textId="77777777" w:rsidR="003E78AB" w:rsidRDefault="00010BF9">
      <w:pPr>
        <w:ind w:firstLine="480"/>
        <w:rPr>
          <w:bCs/>
          <w:kern w:val="2"/>
        </w:rPr>
      </w:pPr>
      <w:r>
        <w:rPr>
          <w:bCs/>
          <w:kern w:val="2"/>
        </w:rPr>
        <w:t>煤炭、石油、天然气开发单位应当制定生态保护和恢复治理方案，并予以实施。生态保护和恢复治理方案内容应当向社会公布，接受社会监督。</w:t>
      </w:r>
      <w:r>
        <w:rPr>
          <w:bCs/>
          <w:kern w:val="2"/>
        </w:rPr>
        <w:t>”</w:t>
      </w:r>
    </w:p>
    <w:p w14:paraId="5688597B" w14:textId="77777777" w:rsidR="003E78AB" w:rsidRDefault="00010BF9">
      <w:pPr>
        <w:ind w:firstLine="480"/>
        <w:rPr>
          <w:bCs/>
          <w:kern w:val="2"/>
        </w:rPr>
      </w:pPr>
      <w:r>
        <w:rPr>
          <w:bCs/>
          <w:kern w:val="2"/>
        </w:rPr>
        <w:t>本项目位于哈密工业园区，用水依托园区供水设施，</w:t>
      </w:r>
      <w:r>
        <w:rPr>
          <w:rFonts w:hint="eastAsia"/>
          <w:bCs/>
          <w:kern w:val="2"/>
        </w:rPr>
        <w:t>公辅及生活污水排入园区污水处理厂</w:t>
      </w:r>
      <w:r>
        <w:rPr>
          <w:bCs/>
          <w:kern w:val="2"/>
        </w:rPr>
        <w:t>，水资源利用水平较高，符合《新疆维吾尔自治区七大片区</w:t>
      </w:r>
      <w:r>
        <w:rPr>
          <w:bCs/>
          <w:kern w:val="2"/>
        </w:rPr>
        <w:t>“</w:t>
      </w:r>
      <w:r>
        <w:rPr>
          <w:bCs/>
          <w:kern w:val="2"/>
        </w:rPr>
        <w:t>三线一单</w:t>
      </w:r>
      <w:r>
        <w:rPr>
          <w:bCs/>
          <w:kern w:val="2"/>
        </w:rPr>
        <w:t>”</w:t>
      </w:r>
      <w:r>
        <w:rPr>
          <w:bCs/>
          <w:kern w:val="2"/>
        </w:rPr>
        <w:t>生态环境分区管控要求》（</w:t>
      </w:r>
      <w:r>
        <w:rPr>
          <w:bCs/>
          <w:kern w:val="2"/>
        </w:rPr>
        <w:t>2021</w:t>
      </w:r>
      <w:r>
        <w:rPr>
          <w:bCs/>
          <w:kern w:val="2"/>
        </w:rPr>
        <w:t>年版）（新环环评发〔</w:t>
      </w:r>
      <w:r>
        <w:rPr>
          <w:bCs/>
          <w:kern w:val="2"/>
        </w:rPr>
        <w:t>2021</w:t>
      </w:r>
      <w:r>
        <w:rPr>
          <w:bCs/>
          <w:kern w:val="2"/>
        </w:rPr>
        <w:t>〕</w:t>
      </w:r>
      <w:r>
        <w:rPr>
          <w:bCs/>
          <w:kern w:val="2"/>
        </w:rPr>
        <w:t>162</w:t>
      </w:r>
      <w:r>
        <w:rPr>
          <w:bCs/>
          <w:kern w:val="2"/>
        </w:rPr>
        <w:t>号）管控要求。</w:t>
      </w:r>
    </w:p>
    <w:p w14:paraId="47DDAF0F" w14:textId="77777777" w:rsidR="003E78AB" w:rsidRDefault="00010BF9">
      <w:pPr>
        <w:ind w:firstLine="480"/>
        <w:rPr>
          <w:b/>
          <w:bCs/>
          <w:kern w:val="2"/>
          <w:u w:val="single"/>
        </w:rPr>
      </w:pPr>
      <w:r>
        <w:rPr>
          <w:bCs/>
          <w:kern w:val="2"/>
        </w:rPr>
        <w:t>本项目位于哈密工业园区，与哈密市生态环境准入清单符合性分析</w:t>
      </w:r>
      <w:r>
        <w:rPr>
          <w:rFonts w:hint="eastAsia"/>
          <w:bCs/>
          <w:kern w:val="2"/>
        </w:rPr>
        <w:t>如下：</w:t>
      </w:r>
    </w:p>
    <w:p w14:paraId="1E91A81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2.8.3.1</w:t>
      </w:r>
      <w:r>
        <w:rPr>
          <w:rFonts w:ascii="Times New Roman" w:hAnsi="Times New Roman"/>
        </w:rPr>
        <w:t>与《哈密市生态环境准入清单（</w:t>
      </w:r>
      <w:r>
        <w:rPr>
          <w:rFonts w:ascii="Times New Roman" w:hAnsi="Times New Roman"/>
        </w:rPr>
        <w:t>2024</w:t>
      </w:r>
      <w:r>
        <w:rPr>
          <w:rFonts w:ascii="Times New Roman" w:hAnsi="Times New Roman"/>
        </w:rPr>
        <w:t>版）》的符合性分析</w:t>
      </w:r>
    </w:p>
    <w:p w14:paraId="54EA6BCC" w14:textId="77777777" w:rsidR="003E78AB" w:rsidRDefault="00010BF9">
      <w:pPr>
        <w:ind w:firstLine="496"/>
        <w:rPr>
          <w:spacing w:val="4"/>
        </w:rPr>
      </w:pPr>
      <w:r>
        <w:rPr>
          <w:spacing w:val="4"/>
        </w:rPr>
        <w:t>根据《</w:t>
      </w:r>
      <w:r>
        <w:rPr>
          <w:rFonts w:hint="eastAsia"/>
          <w:spacing w:val="4"/>
        </w:rPr>
        <w:t>哈密市生态环境</w:t>
      </w:r>
      <w:r>
        <w:rPr>
          <w:rFonts w:hint="eastAsia"/>
          <w:spacing w:val="4"/>
        </w:rPr>
        <w:t>准入清单（</w:t>
      </w:r>
      <w:r>
        <w:rPr>
          <w:rFonts w:hint="eastAsia"/>
          <w:spacing w:val="4"/>
        </w:rPr>
        <w:t>2024</w:t>
      </w:r>
      <w:r>
        <w:rPr>
          <w:rFonts w:hint="eastAsia"/>
          <w:spacing w:val="4"/>
        </w:rPr>
        <w:t>版）</w:t>
      </w:r>
      <w:r>
        <w:rPr>
          <w:spacing w:val="4"/>
        </w:rPr>
        <w:t>》，本项目位于哈密市高新技术产业开发区南部循环经济产业园，属于伊州区南部循环经济产业园重点管控单元（管控单元编码</w:t>
      </w:r>
      <w:r>
        <w:rPr>
          <w:spacing w:val="4"/>
        </w:rPr>
        <w:t>ZH65050220043</w:t>
      </w:r>
      <w:r>
        <w:rPr>
          <w:spacing w:val="4"/>
        </w:rPr>
        <w:t>），本项目的符合性分析一览表，见下表。</w:t>
      </w:r>
    </w:p>
    <w:p w14:paraId="40364B19" w14:textId="77777777" w:rsidR="003E78AB" w:rsidRDefault="00010BF9">
      <w:pPr>
        <w:pStyle w:val="a5"/>
        <w:rPr>
          <w:bCs/>
        </w:rPr>
      </w:pPr>
      <w:r>
        <w:rPr>
          <w:bCs/>
        </w:rPr>
        <w:t>与《</w:t>
      </w:r>
      <w:r>
        <w:rPr>
          <w:rFonts w:hint="eastAsia"/>
          <w:bCs/>
        </w:rPr>
        <w:t>哈密市生态环境准入清单（</w:t>
      </w:r>
      <w:r>
        <w:rPr>
          <w:rFonts w:hint="eastAsia"/>
          <w:bCs/>
        </w:rPr>
        <w:t>2024</w:t>
      </w:r>
      <w:r>
        <w:rPr>
          <w:rFonts w:hint="eastAsia"/>
          <w:bCs/>
        </w:rPr>
        <w:t>版）</w:t>
      </w:r>
      <w:r>
        <w:rPr>
          <w:bCs/>
        </w:rPr>
        <w:t>》符合性分析</w:t>
      </w:r>
    </w:p>
    <w:tbl>
      <w:tblPr>
        <w:tblW w:w="4998" w:type="pct"/>
        <w:jc w:val="center"/>
        <w:tblBorders>
          <w:top w:val="single" w:sz="12" w:space="0" w:color="auto"/>
          <w:bottom w:val="single" w:sz="12"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835"/>
        <w:gridCol w:w="4181"/>
        <w:gridCol w:w="2603"/>
        <w:gridCol w:w="704"/>
      </w:tblGrid>
      <w:tr w:rsidR="003E78AB" w14:paraId="11F3D2B2" w14:textId="77777777">
        <w:trPr>
          <w:trHeight w:val="340"/>
          <w:tblHeader/>
          <w:jc w:val="center"/>
        </w:trPr>
        <w:tc>
          <w:tcPr>
            <w:tcW w:w="3012" w:type="pct"/>
            <w:gridSpan w:val="2"/>
            <w:tcBorders>
              <w:top w:val="single" w:sz="2" w:space="0" w:color="auto"/>
              <w:left w:val="single" w:sz="2" w:space="0" w:color="auto"/>
              <w:bottom w:val="single" w:sz="4" w:space="0" w:color="auto"/>
              <w:right w:val="single" w:sz="4" w:space="0" w:color="auto"/>
            </w:tcBorders>
            <w:vAlign w:val="center"/>
          </w:tcPr>
          <w:p w14:paraId="7DEBDDB0" w14:textId="77777777" w:rsidR="003E78AB" w:rsidRDefault="00010BF9">
            <w:pPr>
              <w:spacing w:line="360" w:lineRule="exact"/>
              <w:ind w:firstLineChars="0" w:firstLine="0"/>
              <w:jc w:val="center"/>
              <w:rPr>
                <w:bCs/>
                <w:sz w:val="21"/>
                <w:szCs w:val="21"/>
              </w:rPr>
            </w:pPr>
            <w:r>
              <w:rPr>
                <w:bCs/>
                <w:sz w:val="21"/>
                <w:szCs w:val="21"/>
              </w:rPr>
              <w:t>“</w:t>
            </w:r>
            <w:r>
              <w:rPr>
                <w:bCs/>
                <w:sz w:val="21"/>
                <w:szCs w:val="21"/>
              </w:rPr>
              <w:t>三线一单</w:t>
            </w:r>
            <w:r>
              <w:rPr>
                <w:bCs/>
                <w:sz w:val="21"/>
                <w:szCs w:val="21"/>
              </w:rPr>
              <w:t>”</w:t>
            </w:r>
            <w:r>
              <w:rPr>
                <w:bCs/>
                <w:sz w:val="21"/>
                <w:szCs w:val="21"/>
              </w:rPr>
              <w:t>中管控要求</w:t>
            </w:r>
          </w:p>
        </w:tc>
        <w:tc>
          <w:tcPr>
            <w:tcW w:w="1563" w:type="pct"/>
            <w:tcBorders>
              <w:top w:val="single" w:sz="2" w:space="0" w:color="auto"/>
              <w:left w:val="single" w:sz="4" w:space="0" w:color="auto"/>
              <w:bottom w:val="single" w:sz="4" w:space="0" w:color="auto"/>
              <w:right w:val="single" w:sz="4" w:space="0" w:color="auto"/>
            </w:tcBorders>
            <w:vAlign w:val="center"/>
          </w:tcPr>
          <w:p w14:paraId="5CA4A072" w14:textId="77777777" w:rsidR="003E78AB" w:rsidRDefault="00010BF9">
            <w:pPr>
              <w:spacing w:line="360" w:lineRule="exact"/>
              <w:ind w:firstLineChars="0" w:firstLine="0"/>
              <w:jc w:val="center"/>
              <w:rPr>
                <w:bCs/>
                <w:sz w:val="21"/>
                <w:szCs w:val="21"/>
              </w:rPr>
            </w:pPr>
            <w:r>
              <w:rPr>
                <w:bCs/>
                <w:sz w:val="21"/>
                <w:szCs w:val="21"/>
              </w:rPr>
              <w:t>本项目情况</w:t>
            </w:r>
          </w:p>
        </w:tc>
        <w:tc>
          <w:tcPr>
            <w:tcW w:w="423" w:type="pct"/>
            <w:tcBorders>
              <w:top w:val="single" w:sz="2" w:space="0" w:color="auto"/>
              <w:left w:val="single" w:sz="4" w:space="0" w:color="auto"/>
              <w:bottom w:val="single" w:sz="4" w:space="0" w:color="auto"/>
              <w:right w:val="single" w:sz="2" w:space="0" w:color="auto"/>
            </w:tcBorders>
            <w:vAlign w:val="center"/>
          </w:tcPr>
          <w:p w14:paraId="32AC2AD4" w14:textId="77777777" w:rsidR="003E78AB" w:rsidRDefault="00010BF9">
            <w:pPr>
              <w:spacing w:line="360" w:lineRule="exact"/>
              <w:ind w:firstLineChars="0" w:firstLine="0"/>
              <w:jc w:val="center"/>
              <w:rPr>
                <w:bCs/>
                <w:sz w:val="21"/>
                <w:szCs w:val="21"/>
              </w:rPr>
            </w:pPr>
            <w:r>
              <w:rPr>
                <w:bCs/>
                <w:sz w:val="21"/>
                <w:szCs w:val="21"/>
              </w:rPr>
              <w:t>符合性</w:t>
            </w:r>
          </w:p>
        </w:tc>
      </w:tr>
      <w:tr w:rsidR="003E78AB" w14:paraId="119E8E70" w14:textId="77777777">
        <w:trPr>
          <w:trHeight w:val="340"/>
          <w:jc w:val="center"/>
        </w:trPr>
        <w:tc>
          <w:tcPr>
            <w:tcW w:w="501" w:type="pct"/>
            <w:tcBorders>
              <w:top w:val="single" w:sz="4" w:space="0" w:color="auto"/>
              <w:left w:val="single" w:sz="2" w:space="0" w:color="auto"/>
              <w:bottom w:val="single" w:sz="4" w:space="0" w:color="auto"/>
              <w:right w:val="single" w:sz="4" w:space="0" w:color="auto"/>
            </w:tcBorders>
            <w:vAlign w:val="center"/>
          </w:tcPr>
          <w:p w14:paraId="51E6BBAC" w14:textId="77777777" w:rsidR="003E78AB" w:rsidRDefault="00010BF9">
            <w:pPr>
              <w:spacing w:line="360" w:lineRule="exact"/>
              <w:ind w:firstLineChars="0" w:firstLine="0"/>
              <w:jc w:val="center"/>
              <w:rPr>
                <w:bCs/>
                <w:sz w:val="21"/>
                <w:szCs w:val="21"/>
              </w:rPr>
            </w:pPr>
            <w:r>
              <w:rPr>
                <w:bCs/>
                <w:sz w:val="21"/>
                <w:szCs w:val="21"/>
              </w:rPr>
              <w:t>空间布局约束</w:t>
            </w:r>
          </w:p>
        </w:tc>
        <w:tc>
          <w:tcPr>
            <w:tcW w:w="2511" w:type="pct"/>
            <w:tcBorders>
              <w:top w:val="single" w:sz="4" w:space="0" w:color="auto"/>
              <w:left w:val="single" w:sz="4" w:space="0" w:color="auto"/>
              <w:bottom w:val="single" w:sz="4" w:space="0" w:color="auto"/>
              <w:right w:val="single" w:sz="4" w:space="0" w:color="auto"/>
            </w:tcBorders>
            <w:vAlign w:val="center"/>
          </w:tcPr>
          <w:p w14:paraId="1BBA9A7E" w14:textId="77777777" w:rsidR="003E78AB" w:rsidRDefault="00010BF9">
            <w:pPr>
              <w:spacing w:line="360" w:lineRule="exact"/>
              <w:ind w:firstLineChars="0" w:firstLine="0"/>
              <w:rPr>
                <w:bCs/>
                <w:sz w:val="21"/>
                <w:szCs w:val="21"/>
              </w:rPr>
            </w:pPr>
            <w:r>
              <w:rPr>
                <w:bCs/>
                <w:sz w:val="21"/>
                <w:szCs w:val="21"/>
              </w:rPr>
              <w:t>以水定产，限制现有单位产品能耗、水耗未达到国家限额标准的高能耗、高水耗</w:t>
            </w:r>
            <w:r>
              <w:rPr>
                <w:rFonts w:hint="eastAsia"/>
                <w:bCs/>
                <w:sz w:val="21"/>
                <w:szCs w:val="21"/>
              </w:rPr>
              <w:t>企业扩能</w:t>
            </w:r>
            <w:r>
              <w:rPr>
                <w:bCs/>
                <w:sz w:val="21"/>
                <w:szCs w:val="21"/>
              </w:rPr>
              <w:t>；对新建项目严格把关，严禁不符</w:t>
            </w:r>
            <w:r>
              <w:rPr>
                <w:rFonts w:hint="eastAsia"/>
                <w:bCs/>
                <w:sz w:val="21"/>
                <w:szCs w:val="21"/>
              </w:rPr>
              <w:t>合</w:t>
            </w:r>
            <w:r>
              <w:rPr>
                <w:bCs/>
                <w:sz w:val="21"/>
                <w:szCs w:val="21"/>
              </w:rPr>
              <w:t>产业政策及产业发展定位的项目准入，对现有项目加强监管，依法依规淘汰落后产能，提升能源综合清洁高效利用效率。</w:t>
            </w:r>
          </w:p>
        </w:tc>
        <w:tc>
          <w:tcPr>
            <w:tcW w:w="1563" w:type="pct"/>
            <w:tcBorders>
              <w:top w:val="single" w:sz="4" w:space="0" w:color="auto"/>
              <w:left w:val="single" w:sz="4" w:space="0" w:color="auto"/>
              <w:bottom w:val="single" w:sz="4" w:space="0" w:color="auto"/>
              <w:right w:val="single" w:sz="4" w:space="0" w:color="auto"/>
            </w:tcBorders>
            <w:vAlign w:val="center"/>
          </w:tcPr>
          <w:p w14:paraId="60C5818E" w14:textId="77777777" w:rsidR="003E78AB" w:rsidRDefault="00010BF9">
            <w:pPr>
              <w:spacing w:line="360" w:lineRule="exact"/>
              <w:ind w:firstLineChars="0" w:firstLine="0"/>
              <w:rPr>
                <w:bCs/>
                <w:sz w:val="21"/>
                <w:szCs w:val="21"/>
              </w:rPr>
            </w:pPr>
            <w:r>
              <w:rPr>
                <w:bCs/>
                <w:sz w:val="21"/>
                <w:szCs w:val="21"/>
              </w:rPr>
              <w:t>本项目符合园区规划，具体分析见园区规划符合性章节。</w:t>
            </w:r>
          </w:p>
        </w:tc>
        <w:tc>
          <w:tcPr>
            <w:tcW w:w="423" w:type="pct"/>
            <w:tcBorders>
              <w:top w:val="single" w:sz="4" w:space="0" w:color="auto"/>
              <w:left w:val="single" w:sz="4" w:space="0" w:color="auto"/>
              <w:bottom w:val="single" w:sz="4" w:space="0" w:color="auto"/>
              <w:right w:val="single" w:sz="2" w:space="0" w:color="auto"/>
            </w:tcBorders>
            <w:vAlign w:val="center"/>
          </w:tcPr>
          <w:p w14:paraId="1407FDC1"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5639AF80" w14:textId="77777777">
        <w:trPr>
          <w:trHeight w:val="340"/>
          <w:jc w:val="center"/>
        </w:trPr>
        <w:tc>
          <w:tcPr>
            <w:tcW w:w="501" w:type="pct"/>
            <w:tcBorders>
              <w:top w:val="single" w:sz="4" w:space="0" w:color="auto"/>
              <w:left w:val="single" w:sz="2" w:space="0" w:color="auto"/>
              <w:bottom w:val="single" w:sz="4" w:space="0" w:color="auto"/>
              <w:right w:val="single" w:sz="4" w:space="0" w:color="auto"/>
            </w:tcBorders>
            <w:vAlign w:val="center"/>
          </w:tcPr>
          <w:p w14:paraId="0ACB1072" w14:textId="77777777" w:rsidR="003E78AB" w:rsidRDefault="00010BF9">
            <w:pPr>
              <w:spacing w:line="360" w:lineRule="exact"/>
              <w:ind w:firstLineChars="0" w:firstLine="0"/>
              <w:jc w:val="center"/>
              <w:rPr>
                <w:bCs/>
                <w:sz w:val="21"/>
                <w:szCs w:val="21"/>
              </w:rPr>
            </w:pPr>
            <w:r>
              <w:rPr>
                <w:bCs/>
                <w:sz w:val="21"/>
                <w:szCs w:val="21"/>
              </w:rPr>
              <w:t>污染物排放管控</w:t>
            </w:r>
          </w:p>
        </w:tc>
        <w:tc>
          <w:tcPr>
            <w:tcW w:w="2511" w:type="pct"/>
            <w:tcBorders>
              <w:top w:val="single" w:sz="4" w:space="0" w:color="auto"/>
              <w:left w:val="single" w:sz="4" w:space="0" w:color="auto"/>
              <w:bottom w:val="single" w:sz="4" w:space="0" w:color="auto"/>
              <w:right w:val="single" w:sz="4" w:space="0" w:color="auto"/>
            </w:tcBorders>
            <w:vAlign w:val="center"/>
          </w:tcPr>
          <w:p w14:paraId="2B4289E8" w14:textId="77777777" w:rsidR="003E78AB" w:rsidRDefault="00010BF9">
            <w:pPr>
              <w:spacing w:line="360" w:lineRule="exact"/>
              <w:ind w:firstLineChars="0" w:firstLine="0"/>
              <w:rPr>
                <w:bCs/>
                <w:sz w:val="21"/>
                <w:szCs w:val="21"/>
              </w:rPr>
            </w:pPr>
            <w:r>
              <w:rPr>
                <w:bCs/>
                <w:sz w:val="21"/>
                <w:szCs w:val="21"/>
              </w:rPr>
              <w:t>园区生活排放达标率</w:t>
            </w:r>
            <w:r>
              <w:rPr>
                <w:bCs/>
                <w:sz w:val="21"/>
                <w:szCs w:val="21"/>
              </w:rPr>
              <w:t>100%</w:t>
            </w:r>
            <w:r>
              <w:rPr>
                <w:bCs/>
                <w:sz w:val="21"/>
                <w:szCs w:val="21"/>
              </w:rPr>
              <w:t>；园区环境敏感目标噪声达标率和声环境达标覆盖率</w:t>
            </w:r>
            <w:r>
              <w:rPr>
                <w:bCs/>
                <w:sz w:val="21"/>
                <w:szCs w:val="21"/>
              </w:rPr>
              <w:t>100%</w:t>
            </w:r>
            <w:r>
              <w:rPr>
                <w:bCs/>
                <w:sz w:val="21"/>
                <w:szCs w:val="21"/>
              </w:rPr>
              <w:t>。危险废物、一般工业固体废物处置率</w:t>
            </w:r>
            <w:r>
              <w:rPr>
                <w:bCs/>
                <w:sz w:val="21"/>
                <w:szCs w:val="21"/>
              </w:rPr>
              <w:t>100%</w:t>
            </w:r>
            <w:r>
              <w:rPr>
                <w:bCs/>
                <w:sz w:val="21"/>
                <w:szCs w:val="21"/>
              </w:rPr>
              <w:t>。</w:t>
            </w:r>
          </w:p>
        </w:tc>
        <w:tc>
          <w:tcPr>
            <w:tcW w:w="1563" w:type="pct"/>
            <w:tcBorders>
              <w:top w:val="single" w:sz="4" w:space="0" w:color="auto"/>
              <w:left w:val="single" w:sz="4" w:space="0" w:color="auto"/>
              <w:bottom w:val="single" w:sz="4" w:space="0" w:color="auto"/>
              <w:right w:val="single" w:sz="4" w:space="0" w:color="auto"/>
            </w:tcBorders>
            <w:vAlign w:val="center"/>
          </w:tcPr>
          <w:p w14:paraId="32B14E5E" w14:textId="77777777" w:rsidR="003E78AB" w:rsidRDefault="00010BF9">
            <w:pPr>
              <w:spacing w:line="360" w:lineRule="exact"/>
              <w:ind w:firstLineChars="0" w:firstLine="0"/>
              <w:rPr>
                <w:bCs/>
                <w:sz w:val="21"/>
                <w:szCs w:val="21"/>
              </w:rPr>
            </w:pPr>
            <w:r>
              <w:rPr>
                <w:bCs/>
                <w:sz w:val="21"/>
                <w:szCs w:val="21"/>
              </w:rPr>
              <w:t>本项目严格按照要求执行</w:t>
            </w:r>
            <w:r>
              <w:rPr>
                <w:rFonts w:hint="eastAsia"/>
                <w:bCs/>
                <w:sz w:val="21"/>
                <w:szCs w:val="21"/>
              </w:rPr>
              <w:t>，</w:t>
            </w:r>
            <w:r>
              <w:rPr>
                <w:bCs/>
                <w:sz w:val="21"/>
                <w:szCs w:val="21"/>
              </w:rPr>
              <w:t>危险废物、一般工业固体废物处置</w:t>
            </w:r>
            <w:r>
              <w:rPr>
                <w:rFonts w:hint="eastAsia"/>
                <w:bCs/>
                <w:sz w:val="21"/>
                <w:szCs w:val="21"/>
              </w:rPr>
              <w:t>率</w:t>
            </w:r>
            <w:r>
              <w:rPr>
                <w:rFonts w:hint="eastAsia"/>
                <w:bCs/>
                <w:sz w:val="21"/>
                <w:szCs w:val="21"/>
              </w:rPr>
              <w:t>100%</w:t>
            </w:r>
            <w:r>
              <w:rPr>
                <w:rFonts w:hint="eastAsia"/>
                <w:bCs/>
                <w:sz w:val="21"/>
                <w:szCs w:val="21"/>
              </w:rPr>
              <w:t>。</w:t>
            </w:r>
          </w:p>
        </w:tc>
        <w:tc>
          <w:tcPr>
            <w:tcW w:w="423" w:type="pct"/>
            <w:tcBorders>
              <w:top w:val="single" w:sz="4" w:space="0" w:color="auto"/>
              <w:left w:val="single" w:sz="4" w:space="0" w:color="auto"/>
              <w:bottom w:val="single" w:sz="4" w:space="0" w:color="auto"/>
              <w:right w:val="single" w:sz="2" w:space="0" w:color="auto"/>
            </w:tcBorders>
            <w:vAlign w:val="center"/>
          </w:tcPr>
          <w:p w14:paraId="571831C1"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6B2A982E" w14:textId="77777777">
        <w:trPr>
          <w:trHeight w:val="340"/>
          <w:jc w:val="center"/>
        </w:trPr>
        <w:tc>
          <w:tcPr>
            <w:tcW w:w="501" w:type="pct"/>
            <w:tcBorders>
              <w:top w:val="single" w:sz="4" w:space="0" w:color="auto"/>
              <w:left w:val="single" w:sz="2" w:space="0" w:color="auto"/>
              <w:bottom w:val="single" w:sz="4" w:space="0" w:color="auto"/>
              <w:right w:val="single" w:sz="4" w:space="0" w:color="auto"/>
            </w:tcBorders>
            <w:vAlign w:val="center"/>
          </w:tcPr>
          <w:p w14:paraId="7E0E9B09" w14:textId="77777777" w:rsidR="003E78AB" w:rsidRDefault="00010BF9">
            <w:pPr>
              <w:spacing w:line="360" w:lineRule="exact"/>
              <w:ind w:firstLineChars="0" w:firstLine="0"/>
              <w:jc w:val="center"/>
              <w:rPr>
                <w:bCs/>
                <w:sz w:val="21"/>
                <w:szCs w:val="21"/>
              </w:rPr>
            </w:pPr>
            <w:r>
              <w:rPr>
                <w:bCs/>
                <w:sz w:val="21"/>
                <w:szCs w:val="21"/>
              </w:rPr>
              <w:t>资源利用要求</w:t>
            </w:r>
          </w:p>
        </w:tc>
        <w:tc>
          <w:tcPr>
            <w:tcW w:w="2511" w:type="pct"/>
            <w:tcBorders>
              <w:top w:val="single" w:sz="4" w:space="0" w:color="auto"/>
              <w:left w:val="single" w:sz="4" w:space="0" w:color="auto"/>
              <w:bottom w:val="single" w:sz="4" w:space="0" w:color="auto"/>
              <w:right w:val="single" w:sz="4" w:space="0" w:color="auto"/>
            </w:tcBorders>
            <w:vAlign w:val="center"/>
          </w:tcPr>
          <w:p w14:paraId="115EAACC" w14:textId="77777777" w:rsidR="003E78AB" w:rsidRDefault="00010BF9">
            <w:pPr>
              <w:spacing w:line="360" w:lineRule="exact"/>
              <w:ind w:firstLineChars="0" w:firstLine="0"/>
              <w:rPr>
                <w:bCs/>
                <w:sz w:val="21"/>
                <w:szCs w:val="21"/>
              </w:rPr>
            </w:pPr>
            <w:r>
              <w:rPr>
                <w:bCs/>
                <w:sz w:val="21"/>
                <w:szCs w:val="21"/>
              </w:rPr>
              <w:t>园区中水回用率达到</w:t>
            </w:r>
            <w:r>
              <w:rPr>
                <w:bCs/>
                <w:sz w:val="21"/>
                <w:szCs w:val="21"/>
              </w:rPr>
              <w:t>100%</w:t>
            </w:r>
            <w:r>
              <w:rPr>
                <w:bCs/>
                <w:sz w:val="21"/>
                <w:szCs w:val="21"/>
              </w:rPr>
              <w:t>；</w:t>
            </w:r>
          </w:p>
        </w:tc>
        <w:tc>
          <w:tcPr>
            <w:tcW w:w="1563" w:type="pct"/>
            <w:tcBorders>
              <w:top w:val="single" w:sz="4" w:space="0" w:color="auto"/>
              <w:left w:val="single" w:sz="4" w:space="0" w:color="auto"/>
              <w:bottom w:val="single" w:sz="4" w:space="0" w:color="auto"/>
              <w:right w:val="single" w:sz="4" w:space="0" w:color="auto"/>
            </w:tcBorders>
            <w:vAlign w:val="center"/>
          </w:tcPr>
          <w:p w14:paraId="77CB17C4" w14:textId="77777777" w:rsidR="003E78AB" w:rsidRDefault="00010BF9">
            <w:pPr>
              <w:spacing w:line="360" w:lineRule="exact"/>
              <w:ind w:firstLineChars="0" w:firstLine="0"/>
              <w:rPr>
                <w:bCs/>
                <w:sz w:val="21"/>
                <w:szCs w:val="21"/>
              </w:rPr>
            </w:pPr>
            <w:r>
              <w:rPr>
                <w:bCs/>
                <w:sz w:val="21"/>
                <w:szCs w:val="21"/>
              </w:rPr>
              <w:t>本项目闭式循环水系统循环水重复利用率＞</w:t>
            </w:r>
            <w:r>
              <w:rPr>
                <w:bCs/>
                <w:sz w:val="21"/>
                <w:szCs w:val="21"/>
              </w:rPr>
              <w:t>98%</w:t>
            </w:r>
            <w:r>
              <w:rPr>
                <w:bCs/>
                <w:sz w:val="21"/>
                <w:szCs w:val="21"/>
              </w:rPr>
              <w:t>。无生产废水外排，工艺废气处理废水经蒸发冷凝后回用</w:t>
            </w:r>
            <w:r>
              <w:rPr>
                <w:rFonts w:hint="eastAsia"/>
                <w:bCs/>
                <w:sz w:val="21"/>
                <w:szCs w:val="21"/>
              </w:rPr>
              <w:t>于淋洗补水配碱</w:t>
            </w:r>
            <w:r>
              <w:rPr>
                <w:bCs/>
                <w:sz w:val="21"/>
                <w:szCs w:val="21"/>
              </w:rPr>
              <w:t>，实验废水经生产车间</w:t>
            </w:r>
            <w:r>
              <w:rPr>
                <w:bCs/>
                <w:sz w:val="21"/>
                <w:szCs w:val="21"/>
              </w:rPr>
              <w:t>15m</w:t>
            </w:r>
            <w:r>
              <w:rPr>
                <w:bCs/>
                <w:sz w:val="21"/>
                <w:szCs w:val="21"/>
                <w:vertAlign w:val="superscript"/>
              </w:rPr>
              <w:t>3</w:t>
            </w:r>
            <w:r>
              <w:rPr>
                <w:bCs/>
                <w:sz w:val="21"/>
                <w:szCs w:val="21"/>
              </w:rPr>
              <w:t>电解液事故罐收集后回用于生产，地面冲洗水、软水制备及纯水制备排浓水、锅炉排水经厂内污水管道收集，生活污水经预处理后，一并经厂区总排口排入园区污水厂进一步处理。</w:t>
            </w:r>
          </w:p>
        </w:tc>
        <w:tc>
          <w:tcPr>
            <w:tcW w:w="423" w:type="pct"/>
            <w:tcBorders>
              <w:top w:val="single" w:sz="4" w:space="0" w:color="auto"/>
              <w:left w:val="single" w:sz="4" w:space="0" w:color="auto"/>
              <w:bottom w:val="single" w:sz="4" w:space="0" w:color="auto"/>
              <w:right w:val="single" w:sz="2" w:space="0" w:color="auto"/>
            </w:tcBorders>
            <w:vAlign w:val="center"/>
          </w:tcPr>
          <w:p w14:paraId="455BBB3B" w14:textId="77777777" w:rsidR="003E78AB" w:rsidRDefault="00010BF9">
            <w:pPr>
              <w:spacing w:line="360" w:lineRule="exact"/>
              <w:ind w:firstLineChars="0" w:firstLine="0"/>
              <w:jc w:val="center"/>
              <w:rPr>
                <w:bCs/>
                <w:sz w:val="21"/>
                <w:szCs w:val="21"/>
              </w:rPr>
            </w:pPr>
            <w:r>
              <w:rPr>
                <w:rFonts w:hint="eastAsia"/>
                <w:bCs/>
                <w:sz w:val="21"/>
                <w:szCs w:val="21"/>
              </w:rPr>
              <w:t>相符</w:t>
            </w:r>
          </w:p>
        </w:tc>
      </w:tr>
    </w:tbl>
    <w:p w14:paraId="5C1CFD1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2.8.8.2</w:t>
      </w:r>
      <w:r>
        <w:rPr>
          <w:rFonts w:ascii="Times New Roman" w:hAnsi="Times New Roman"/>
        </w:rPr>
        <w:t>与《新疆维吾尔自治区七大片区</w:t>
      </w:r>
      <w:r>
        <w:rPr>
          <w:rFonts w:ascii="Times New Roman" w:hAnsi="Times New Roman"/>
        </w:rPr>
        <w:t>“</w:t>
      </w:r>
      <w:r>
        <w:rPr>
          <w:rFonts w:ascii="Times New Roman" w:hAnsi="Times New Roman"/>
        </w:rPr>
        <w:t>三线一单</w:t>
      </w:r>
      <w:r>
        <w:rPr>
          <w:rFonts w:ascii="Times New Roman" w:hAnsi="Times New Roman"/>
        </w:rPr>
        <w:t>”</w:t>
      </w:r>
      <w:r>
        <w:rPr>
          <w:rFonts w:ascii="Times New Roman" w:hAnsi="Times New Roman"/>
        </w:rPr>
        <w:t>生态环境分区管控方案》的符合性分析</w:t>
      </w:r>
    </w:p>
    <w:p w14:paraId="5F2565CB" w14:textId="77777777" w:rsidR="003E78AB" w:rsidRDefault="00010BF9">
      <w:pPr>
        <w:spacing w:line="360" w:lineRule="auto"/>
        <w:ind w:firstLine="496"/>
        <w:rPr>
          <w:spacing w:val="4"/>
        </w:rPr>
      </w:pPr>
      <w:r>
        <w:rPr>
          <w:spacing w:val="4"/>
        </w:rPr>
        <w:t>依据《新疆维吾尔自治区七大片区</w:t>
      </w:r>
      <w:r>
        <w:rPr>
          <w:spacing w:val="4"/>
        </w:rPr>
        <w:t>“</w:t>
      </w:r>
      <w:r>
        <w:rPr>
          <w:spacing w:val="4"/>
        </w:rPr>
        <w:t>三线一单</w:t>
      </w:r>
      <w:r>
        <w:rPr>
          <w:spacing w:val="4"/>
        </w:rPr>
        <w:t>”</w:t>
      </w:r>
      <w:r>
        <w:rPr>
          <w:spacing w:val="4"/>
        </w:rPr>
        <w:t>生态环境分区管控方案》，全区划分为七大片区，包括北疆北部（塔城地区、阿勒泰地</w:t>
      </w:r>
      <w:r>
        <w:rPr>
          <w:spacing w:val="4"/>
        </w:rPr>
        <w:t>区）、伊犁河谷、克奎乌</w:t>
      </w:r>
      <w:r>
        <w:rPr>
          <w:spacing w:val="4"/>
        </w:rPr>
        <w:t>-</w:t>
      </w:r>
      <w:r>
        <w:rPr>
          <w:spacing w:val="4"/>
        </w:rPr>
        <w:t>博州、乌昌石、吐哈、天山南坡（巴州、阿克苏地区）和南疆三地州片区，本项目位于哈密市高新技术产业开发区南部循环经济产业园，处于吐哈片区，本项目与《新疆维吾尔自治区七大片区</w:t>
      </w:r>
      <w:r>
        <w:rPr>
          <w:spacing w:val="4"/>
        </w:rPr>
        <w:t>“</w:t>
      </w:r>
      <w:r>
        <w:rPr>
          <w:spacing w:val="4"/>
        </w:rPr>
        <w:t>三线一单</w:t>
      </w:r>
      <w:r>
        <w:rPr>
          <w:spacing w:val="4"/>
        </w:rPr>
        <w:t>”</w:t>
      </w:r>
      <w:r>
        <w:rPr>
          <w:spacing w:val="4"/>
        </w:rPr>
        <w:t>生态环境分区管控方案》符合性见下表。</w:t>
      </w:r>
    </w:p>
    <w:p w14:paraId="38BEF6D0" w14:textId="77777777" w:rsidR="003E78AB" w:rsidRDefault="00010BF9">
      <w:pPr>
        <w:pStyle w:val="a5"/>
        <w:rPr>
          <w:w w:val="90"/>
        </w:rPr>
      </w:pPr>
      <w:r>
        <w:rPr>
          <w:w w:val="90"/>
        </w:rPr>
        <w:t>与《新疆维吾尔自治区七大片区</w:t>
      </w:r>
      <w:r>
        <w:rPr>
          <w:w w:val="90"/>
        </w:rPr>
        <w:t>“</w:t>
      </w:r>
      <w:r>
        <w:rPr>
          <w:w w:val="90"/>
        </w:rPr>
        <w:t>三线一单</w:t>
      </w:r>
      <w:r>
        <w:rPr>
          <w:w w:val="90"/>
        </w:rPr>
        <w:t>”</w:t>
      </w:r>
      <w:r>
        <w:rPr>
          <w:w w:val="90"/>
        </w:rPr>
        <w:t>生态环境分区管控方案》符合性分析</w:t>
      </w:r>
    </w:p>
    <w:tbl>
      <w:tblPr>
        <w:tblW w:w="4997"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
        <w:gridCol w:w="5062"/>
        <w:gridCol w:w="1915"/>
        <w:gridCol w:w="889"/>
      </w:tblGrid>
      <w:tr w:rsidR="003E78AB" w14:paraId="2C632EBE" w14:textId="77777777">
        <w:trPr>
          <w:trHeight w:val="283"/>
          <w:tblHeader/>
          <w:jc w:val="center"/>
        </w:trPr>
        <w:tc>
          <w:tcPr>
            <w:tcW w:w="326" w:type="pct"/>
            <w:tcMar>
              <w:top w:w="57" w:type="dxa"/>
              <w:left w:w="57" w:type="dxa"/>
              <w:bottom w:w="57" w:type="dxa"/>
              <w:right w:w="57" w:type="dxa"/>
            </w:tcMar>
            <w:vAlign w:val="center"/>
          </w:tcPr>
          <w:p w14:paraId="110F49C7" w14:textId="77777777" w:rsidR="003E78AB" w:rsidRDefault="00010BF9">
            <w:pPr>
              <w:spacing w:line="360" w:lineRule="exact"/>
              <w:ind w:firstLineChars="0" w:firstLine="0"/>
              <w:jc w:val="center"/>
              <w:rPr>
                <w:b/>
                <w:sz w:val="21"/>
                <w:szCs w:val="21"/>
              </w:rPr>
            </w:pPr>
            <w:r>
              <w:rPr>
                <w:b/>
                <w:sz w:val="21"/>
                <w:szCs w:val="21"/>
              </w:rPr>
              <w:t>序号</w:t>
            </w:r>
          </w:p>
        </w:tc>
        <w:tc>
          <w:tcPr>
            <w:tcW w:w="3007" w:type="pct"/>
            <w:tcMar>
              <w:top w:w="57" w:type="dxa"/>
              <w:left w:w="57" w:type="dxa"/>
              <w:bottom w:w="57" w:type="dxa"/>
              <w:right w:w="57" w:type="dxa"/>
            </w:tcMar>
            <w:vAlign w:val="center"/>
          </w:tcPr>
          <w:p w14:paraId="128E2453" w14:textId="77777777" w:rsidR="003E78AB" w:rsidRDefault="00010BF9">
            <w:pPr>
              <w:spacing w:line="360" w:lineRule="exact"/>
              <w:ind w:firstLineChars="0" w:firstLine="0"/>
              <w:jc w:val="center"/>
              <w:rPr>
                <w:b/>
                <w:sz w:val="21"/>
                <w:szCs w:val="21"/>
              </w:rPr>
            </w:pPr>
            <w:r>
              <w:rPr>
                <w:b/>
                <w:sz w:val="21"/>
                <w:szCs w:val="21"/>
              </w:rPr>
              <w:t>管控要求</w:t>
            </w:r>
          </w:p>
        </w:tc>
        <w:tc>
          <w:tcPr>
            <w:tcW w:w="1138" w:type="pct"/>
            <w:tcMar>
              <w:top w:w="57" w:type="dxa"/>
              <w:left w:w="57" w:type="dxa"/>
              <w:bottom w:w="57" w:type="dxa"/>
              <w:right w:w="57" w:type="dxa"/>
            </w:tcMar>
            <w:vAlign w:val="center"/>
          </w:tcPr>
          <w:p w14:paraId="72142D23" w14:textId="77777777" w:rsidR="003E78AB" w:rsidRDefault="00010BF9">
            <w:pPr>
              <w:spacing w:line="360" w:lineRule="exact"/>
              <w:ind w:firstLineChars="0" w:firstLine="0"/>
              <w:jc w:val="center"/>
              <w:rPr>
                <w:b/>
                <w:sz w:val="21"/>
                <w:szCs w:val="21"/>
              </w:rPr>
            </w:pPr>
            <w:r>
              <w:rPr>
                <w:b/>
                <w:sz w:val="21"/>
                <w:szCs w:val="21"/>
              </w:rPr>
              <w:t>本项目</w:t>
            </w:r>
          </w:p>
        </w:tc>
        <w:tc>
          <w:tcPr>
            <w:tcW w:w="528" w:type="pct"/>
            <w:tcMar>
              <w:top w:w="57" w:type="dxa"/>
              <w:left w:w="57" w:type="dxa"/>
              <w:bottom w:w="57" w:type="dxa"/>
              <w:right w:w="57" w:type="dxa"/>
            </w:tcMar>
            <w:vAlign w:val="center"/>
          </w:tcPr>
          <w:p w14:paraId="0B147F45" w14:textId="77777777" w:rsidR="003E78AB" w:rsidRDefault="00010BF9">
            <w:pPr>
              <w:spacing w:line="360" w:lineRule="exact"/>
              <w:ind w:firstLineChars="0" w:firstLine="0"/>
              <w:jc w:val="center"/>
              <w:rPr>
                <w:b/>
                <w:sz w:val="21"/>
                <w:szCs w:val="21"/>
              </w:rPr>
            </w:pPr>
            <w:r>
              <w:rPr>
                <w:b/>
                <w:sz w:val="21"/>
                <w:szCs w:val="21"/>
              </w:rPr>
              <w:t>符合性</w:t>
            </w:r>
          </w:p>
        </w:tc>
      </w:tr>
      <w:tr w:rsidR="003E78AB" w14:paraId="7EC6AB06" w14:textId="77777777">
        <w:trPr>
          <w:trHeight w:val="283"/>
          <w:jc w:val="center"/>
        </w:trPr>
        <w:tc>
          <w:tcPr>
            <w:tcW w:w="326" w:type="pct"/>
            <w:tcMar>
              <w:top w:w="57" w:type="dxa"/>
              <w:left w:w="57" w:type="dxa"/>
              <w:bottom w:w="57" w:type="dxa"/>
              <w:right w:w="57" w:type="dxa"/>
            </w:tcMar>
            <w:vAlign w:val="center"/>
          </w:tcPr>
          <w:p w14:paraId="7404FD19" w14:textId="77777777" w:rsidR="003E78AB" w:rsidRDefault="00010BF9">
            <w:pPr>
              <w:spacing w:line="360" w:lineRule="exact"/>
              <w:ind w:firstLineChars="0" w:firstLine="0"/>
              <w:jc w:val="center"/>
              <w:rPr>
                <w:sz w:val="21"/>
                <w:szCs w:val="21"/>
              </w:rPr>
            </w:pPr>
            <w:r>
              <w:rPr>
                <w:sz w:val="21"/>
                <w:szCs w:val="21"/>
              </w:rPr>
              <w:t>1</w:t>
            </w:r>
          </w:p>
        </w:tc>
        <w:tc>
          <w:tcPr>
            <w:tcW w:w="3007" w:type="pct"/>
            <w:tcMar>
              <w:top w:w="57" w:type="dxa"/>
              <w:left w:w="57" w:type="dxa"/>
              <w:bottom w:w="57" w:type="dxa"/>
              <w:right w:w="57" w:type="dxa"/>
            </w:tcMar>
            <w:vAlign w:val="center"/>
          </w:tcPr>
          <w:p w14:paraId="7E6E8C42" w14:textId="77777777" w:rsidR="003E78AB" w:rsidRDefault="00010BF9">
            <w:pPr>
              <w:spacing w:line="360" w:lineRule="exact"/>
              <w:ind w:firstLineChars="0" w:firstLine="0"/>
              <w:rPr>
                <w:bCs/>
                <w:sz w:val="21"/>
                <w:szCs w:val="21"/>
              </w:rPr>
            </w:pPr>
            <w:r>
              <w:rPr>
                <w:bCs/>
                <w:sz w:val="21"/>
                <w:szCs w:val="21"/>
              </w:rPr>
              <w:t>强化吐哈盆地文物古迹、坎儿井、基本农田、荒漠植被、砾幕、城镇人居环境保护。落实最严格的水资源管理制度，提高水资源集约节约高效利用水平。积极推进吐鲁番都善超采区、托克逊超采区和哈密超采区的地下水超采治理，逐步压减超采量，实现地下水采补平衡。</w:t>
            </w:r>
          </w:p>
        </w:tc>
        <w:tc>
          <w:tcPr>
            <w:tcW w:w="1138" w:type="pct"/>
            <w:tcMar>
              <w:top w:w="57" w:type="dxa"/>
              <w:left w:w="57" w:type="dxa"/>
              <w:bottom w:w="57" w:type="dxa"/>
              <w:right w:w="57" w:type="dxa"/>
            </w:tcMar>
            <w:vAlign w:val="center"/>
          </w:tcPr>
          <w:p w14:paraId="7207BAA2" w14:textId="77777777" w:rsidR="003E78AB" w:rsidRDefault="00010BF9">
            <w:pPr>
              <w:spacing w:line="360" w:lineRule="exact"/>
              <w:ind w:firstLineChars="0" w:firstLine="0"/>
              <w:rPr>
                <w:bCs/>
                <w:sz w:val="21"/>
                <w:szCs w:val="21"/>
              </w:rPr>
            </w:pPr>
            <w:r>
              <w:rPr>
                <w:bCs/>
                <w:sz w:val="21"/>
                <w:szCs w:val="21"/>
              </w:rPr>
              <w:t>本项目位于哈密市高新技术产业开发区南部循环经济产业园，不涉及管控要求中的区域。</w:t>
            </w:r>
          </w:p>
        </w:tc>
        <w:tc>
          <w:tcPr>
            <w:tcW w:w="528" w:type="pct"/>
            <w:tcMar>
              <w:top w:w="57" w:type="dxa"/>
              <w:left w:w="57" w:type="dxa"/>
              <w:bottom w:w="57" w:type="dxa"/>
              <w:right w:w="57" w:type="dxa"/>
            </w:tcMar>
            <w:vAlign w:val="center"/>
          </w:tcPr>
          <w:p w14:paraId="2D8FC007"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1ED429EF" w14:textId="77777777">
        <w:trPr>
          <w:trHeight w:val="283"/>
          <w:jc w:val="center"/>
        </w:trPr>
        <w:tc>
          <w:tcPr>
            <w:tcW w:w="326" w:type="pct"/>
            <w:tcMar>
              <w:top w:w="57" w:type="dxa"/>
              <w:left w:w="57" w:type="dxa"/>
              <w:bottom w:w="57" w:type="dxa"/>
              <w:right w:w="57" w:type="dxa"/>
            </w:tcMar>
            <w:vAlign w:val="center"/>
          </w:tcPr>
          <w:p w14:paraId="269C0742" w14:textId="77777777" w:rsidR="003E78AB" w:rsidRDefault="00010BF9">
            <w:pPr>
              <w:spacing w:line="360" w:lineRule="exact"/>
              <w:ind w:firstLineChars="0" w:firstLine="0"/>
              <w:jc w:val="center"/>
              <w:rPr>
                <w:sz w:val="21"/>
                <w:szCs w:val="21"/>
              </w:rPr>
            </w:pPr>
            <w:r>
              <w:rPr>
                <w:sz w:val="21"/>
                <w:szCs w:val="21"/>
              </w:rPr>
              <w:t>2</w:t>
            </w:r>
          </w:p>
        </w:tc>
        <w:tc>
          <w:tcPr>
            <w:tcW w:w="3007" w:type="pct"/>
            <w:tcMar>
              <w:top w:w="57" w:type="dxa"/>
              <w:left w:w="57" w:type="dxa"/>
              <w:bottom w:w="57" w:type="dxa"/>
              <w:right w:w="57" w:type="dxa"/>
            </w:tcMar>
            <w:vAlign w:val="center"/>
          </w:tcPr>
          <w:p w14:paraId="4ACF2F0A" w14:textId="77777777" w:rsidR="003E78AB" w:rsidRDefault="00010BF9">
            <w:pPr>
              <w:spacing w:line="360" w:lineRule="exact"/>
              <w:ind w:firstLineChars="0" w:firstLine="0"/>
              <w:rPr>
                <w:bCs/>
                <w:sz w:val="21"/>
                <w:szCs w:val="21"/>
              </w:rPr>
            </w:pPr>
            <w:r>
              <w:rPr>
                <w:bCs/>
                <w:sz w:val="21"/>
                <w:szCs w:val="21"/>
              </w:rPr>
              <w:t>强化油（气）资源开发区土壤环境污染综合整治。加强涉重金属行业污染防控与工业废物处理处置。</w:t>
            </w:r>
          </w:p>
        </w:tc>
        <w:tc>
          <w:tcPr>
            <w:tcW w:w="1138" w:type="pct"/>
            <w:tcMar>
              <w:top w:w="57" w:type="dxa"/>
              <w:left w:w="57" w:type="dxa"/>
              <w:bottom w:w="57" w:type="dxa"/>
              <w:right w:w="57" w:type="dxa"/>
            </w:tcMar>
            <w:vAlign w:val="center"/>
          </w:tcPr>
          <w:p w14:paraId="094C7817" w14:textId="77777777" w:rsidR="003E78AB" w:rsidRDefault="00010BF9">
            <w:pPr>
              <w:spacing w:line="360" w:lineRule="exact"/>
              <w:ind w:firstLineChars="0" w:firstLine="0"/>
              <w:rPr>
                <w:bCs/>
                <w:sz w:val="21"/>
                <w:szCs w:val="21"/>
              </w:rPr>
            </w:pPr>
            <w:r>
              <w:rPr>
                <w:bCs/>
                <w:sz w:val="21"/>
                <w:szCs w:val="21"/>
              </w:rPr>
              <w:t>本项目生产过程产生的含钒固废委托危险废物处置单位妥善处置。</w:t>
            </w:r>
          </w:p>
        </w:tc>
        <w:tc>
          <w:tcPr>
            <w:tcW w:w="528" w:type="pct"/>
            <w:tcMar>
              <w:top w:w="57" w:type="dxa"/>
              <w:left w:w="57" w:type="dxa"/>
              <w:bottom w:w="57" w:type="dxa"/>
              <w:right w:w="57" w:type="dxa"/>
            </w:tcMar>
            <w:vAlign w:val="center"/>
          </w:tcPr>
          <w:p w14:paraId="55A7BB95"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42AC1D6A" w14:textId="77777777">
        <w:trPr>
          <w:trHeight w:val="283"/>
          <w:jc w:val="center"/>
        </w:trPr>
        <w:tc>
          <w:tcPr>
            <w:tcW w:w="326" w:type="pct"/>
            <w:tcMar>
              <w:top w:w="57" w:type="dxa"/>
              <w:left w:w="57" w:type="dxa"/>
              <w:bottom w:w="57" w:type="dxa"/>
              <w:right w:w="57" w:type="dxa"/>
            </w:tcMar>
            <w:vAlign w:val="center"/>
          </w:tcPr>
          <w:p w14:paraId="4C597164" w14:textId="77777777" w:rsidR="003E78AB" w:rsidRDefault="00010BF9">
            <w:pPr>
              <w:spacing w:line="360" w:lineRule="exact"/>
              <w:ind w:firstLineChars="0" w:firstLine="0"/>
              <w:jc w:val="center"/>
              <w:rPr>
                <w:sz w:val="21"/>
                <w:szCs w:val="21"/>
              </w:rPr>
            </w:pPr>
            <w:r>
              <w:rPr>
                <w:sz w:val="21"/>
                <w:szCs w:val="21"/>
              </w:rPr>
              <w:t>3</w:t>
            </w:r>
          </w:p>
        </w:tc>
        <w:tc>
          <w:tcPr>
            <w:tcW w:w="3007" w:type="pct"/>
            <w:tcMar>
              <w:top w:w="57" w:type="dxa"/>
              <w:left w:w="57" w:type="dxa"/>
              <w:bottom w:w="57" w:type="dxa"/>
              <w:right w:w="57" w:type="dxa"/>
            </w:tcMar>
            <w:vAlign w:val="center"/>
          </w:tcPr>
          <w:p w14:paraId="1E5FF2AE" w14:textId="77777777" w:rsidR="003E78AB" w:rsidRDefault="00010BF9">
            <w:pPr>
              <w:spacing w:line="360" w:lineRule="exact"/>
              <w:ind w:firstLineChars="0" w:firstLine="0"/>
              <w:rPr>
                <w:bCs/>
                <w:sz w:val="21"/>
                <w:szCs w:val="21"/>
              </w:rPr>
            </w:pPr>
            <w:r>
              <w:rPr>
                <w:bCs/>
                <w:sz w:val="21"/>
                <w:szCs w:val="21"/>
              </w:rPr>
              <w:t>煤炭、石油、天然气开发单位应当制定生态保护和恢复治理方案，并予以实施。生态保护和恢复治理方案内容应当向社会公布，接受社会监督。</w:t>
            </w:r>
          </w:p>
        </w:tc>
        <w:tc>
          <w:tcPr>
            <w:tcW w:w="1138" w:type="pct"/>
            <w:tcMar>
              <w:top w:w="57" w:type="dxa"/>
              <w:left w:w="57" w:type="dxa"/>
              <w:bottom w:w="57" w:type="dxa"/>
              <w:right w:w="57" w:type="dxa"/>
            </w:tcMar>
            <w:vAlign w:val="center"/>
          </w:tcPr>
          <w:p w14:paraId="61EDBF85" w14:textId="77777777" w:rsidR="003E78AB" w:rsidRDefault="00010BF9">
            <w:pPr>
              <w:spacing w:line="360" w:lineRule="exact"/>
              <w:ind w:firstLineChars="0" w:firstLine="0"/>
              <w:rPr>
                <w:bCs/>
                <w:sz w:val="21"/>
                <w:szCs w:val="21"/>
              </w:rPr>
            </w:pPr>
            <w:r>
              <w:rPr>
                <w:bCs/>
                <w:sz w:val="21"/>
                <w:szCs w:val="21"/>
              </w:rPr>
              <w:t>本项目不涉及矿产资源开发。</w:t>
            </w:r>
          </w:p>
        </w:tc>
        <w:tc>
          <w:tcPr>
            <w:tcW w:w="528" w:type="pct"/>
            <w:tcMar>
              <w:top w:w="57" w:type="dxa"/>
              <w:left w:w="57" w:type="dxa"/>
              <w:bottom w:w="57" w:type="dxa"/>
              <w:right w:w="57" w:type="dxa"/>
            </w:tcMar>
            <w:vAlign w:val="center"/>
          </w:tcPr>
          <w:p w14:paraId="78D94800" w14:textId="77777777" w:rsidR="003E78AB" w:rsidRDefault="00010BF9">
            <w:pPr>
              <w:spacing w:line="360" w:lineRule="exact"/>
              <w:ind w:firstLineChars="0" w:firstLine="0"/>
              <w:jc w:val="center"/>
              <w:rPr>
                <w:bCs/>
                <w:sz w:val="21"/>
                <w:szCs w:val="21"/>
              </w:rPr>
            </w:pPr>
            <w:r>
              <w:rPr>
                <w:rFonts w:hint="eastAsia"/>
                <w:bCs/>
                <w:sz w:val="21"/>
                <w:szCs w:val="21"/>
              </w:rPr>
              <w:t>相符</w:t>
            </w:r>
          </w:p>
        </w:tc>
      </w:tr>
    </w:tbl>
    <w:p w14:paraId="5FF13742"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b w:val="0"/>
        </w:rPr>
        <w:t>2.8.3.3</w:t>
      </w:r>
      <w:r>
        <w:rPr>
          <w:rFonts w:ascii="Times New Roman" w:hAnsi="Times New Roman"/>
          <w:b w:val="0"/>
        </w:rPr>
        <w:t>与《新疆维吾尔自治区</w:t>
      </w:r>
      <w:r>
        <w:rPr>
          <w:rFonts w:ascii="Times New Roman" w:hAnsi="Times New Roman"/>
          <w:b w:val="0"/>
        </w:rPr>
        <w:t>“</w:t>
      </w:r>
      <w:r>
        <w:rPr>
          <w:rFonts w:ascii="Times New Roman" w:hAnsi="Times New Roman"/>
          <w:b w:val="0"/>
        </w:rPr>
        <w:t>三线一单</w:t>
      </w:r>
      <w:r>
        <w:rPr>
          <w:rFonts w:ascii="Times New Roman" w:hAnsi="Times New Roman"/>
          <w:b w:val="0"/>
        </w:rPr>
        <w:t>”</w:t>
      </w:r>
      <w:r>
        <w:rPr>
          <w:rFonts w:ascii="Times New Roman" w:hAnsi="Times New Roman"/>
          <w:b w:val="0"/>
        </w:rPr>
        <w:t>生态环境分区管控动态更新成果》（新环环评发〔</w:t>
      </w:r>
      <w:r>
        <w:rPr>
          <w:rFonts w:ascii="Times New Roman" w:hAnsi="Times New Roman"/>
          <w:b w:val="0"/>
        </w:rPr>
        <w:t>2024</w:t>
      </w:r>
      <w:r>
        <w:rPr>
          <w:rFonts w:ascii="Times New Roman" w:hAnsi="Times New Roman"/>
          <w:b w:val="0"/>
        </w:rPr>
        <w:t>〕</w:t>
      </w:r>
      <w:r>
        <w:rPr>
          <w:rFonts w:ascii="Times New Roman" w:hAnsi="Times New Roman"/>
          <w:b w:val="0"/>
        </w:rPr>
        <w:t>157</w:t>
      </w:r>
      <w:r>
        <w:rPr>
          <w:rFonts w:ascii="Times New Roman" w:hAnsi="Times New Roman"/>
          <w:b w:val="0"/>
        </w:rPr>
        <w:t>号）的符合性分析</w:t>
      </w:r>
    </w:p>
    <w:p w14:paraId="43E1D151" w14:textId="77777777" w:rsidR="003E78AB" w:rsidRDefault="00010BF9">
      <w:pPr>
        <w:ind w:firstLine="480"/>
        <w:rPr>
          <w:bCs/>
          <w:kern w:val="2"/>
        </w:rPr>
      </w:pPr>
      <w:r>
        <w:rPr>
          <w:bCs/>
          <w:kern w:val="2"/>
        </w:rPr>
        <w:t>根据《新疆维吾尔自治区</w:t>
      </w:r>
      <w:r>
        <w:rPr>
          <w:bCs/>
          <w:kern w:val="2"/>
        </w:rPr>
        <w:t>“</w:t>
      </w:r>
      <w:r>
        <w:rPr>
          <w:bCs/>
          <w:kern w:val="2"/>
        </w:rPr>
        <w:t>三线一单</w:t>
      </w:r>
      <w:r>
        <w:rPr>
          <w:bCs/>
          <w:kern w:val="2"/>
        </w:rPr>
        <w:t>”</w:t>
      </w:r>
      <w:r>
        <w:rPr>
          <w:bCs/>
          <w:kern w:val="2"/>
        </w:rPr>
        <w:t>生态环境分区管控动态更新成果》（新环环评发〔</w:t>
      </w:r>
      <w:r>
        <w:rPr>
          <w:bCs/>
          <w:kern w:val="2"/>
        </w:rPr>
        <w:t>2024</w:t>
      </w:r>
      <w:r>
        <w:rPr>
          <w:bCs/>
          <w:kern w:val="2"/>
        </w:rPr>
        <w:t>〕</w:t>
      </w:r>
      <w:r>
        <w:rPr>
          <w:bCs/>
          <w:kern w:val="2"/>
        </w:rPr>
        <w:t>157</w:t>
      </w:r>
      <w:r>
        <w:rPr>
          <w:bCs/>
          <w:kern w:val="2"/>
        </w:rPr>
        <w:t>号）中提出的管控</w:t>
      </w:r>
      <w:r>
        <w:rPr>
          <w:rFonts w:hint="eastAsia"/>
          <w:bCs/>
          <w:kern w:val="2"/>
        </w:rPr>
        <w:t>要求</w:t>
      </w:r>
      <w:r>
        <w:rPr>
          <w:bCs/>
          <w:kern w:val="2"/>
        </w:rPr>
        <w:t>，本项目符合性分析一览表见下表。</w:t>
      </w:r>
    </w:p>
    <w:p w14:paraId="4927F14F" w14:textId="77777777" w:rsidR="003E78AB" w:rsidRDefault="00010BF9">
      <w:pPr>
        <w:pStyle w:val="a5"/>
        <w:rPr>
          <w:bCs/>
        </w:rPr>
      </w:pPr>
      <w:r>
        <w:rPr>
          <w:bCs/>
        </w:rPr>
        <w:t>与新环环评发〔</w:t>
      </w:r>
      <w:r>
        <w:rPr>
          <w:bCs/>
        </w:rPr>
        <w:t>2024</w:t>
      </w:r>
      <w:r>
        <w:rPr>
          <w:bCs/>
        </w:rPr>
        <w:t>〕</w:t>
      </w:r>
      <w:r>
        <w:rPr>
          <w:bCs/>
        </w:rPr>
        <w:t>157</w:t>
      </w:r>
      <w:r>
        <w:rPr>
          <w:bCs/>
        </w:rPr>
        <w:t>号符合性分析一览表</w:t>
      </w:r>
    </w:p>
    <w:tbl>
      <w:tblPr>
        <w:tblW w:w="49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800"/>
        <w:gridCol w:w="4084"/>
        <w:gridCol w:w="2780"/>
        <w:gridCol w:w="751"/>
      </w:tblGrid>
      <w:tr w:rsidR="003E78AB" w14:paraId="22BB00E7" w14:textId="77777777">
        <w:trPr>
          <w:tblHeader/>
        </w:trPr>
        <w:tc>
          <w:tcPr>
            <w:tcW w:w="2901" w:type="pct"/>
            <w:gridSpan w:val="2"/>
            <w:vAlign w:val="center"/>
          </w:tcPr>
          <w:p w14:paraId="1C613839" w14:textId="77777777" w:rsidR="003E78AB" w:rsidRDefault="00010BF9">
            <w:pPr>
              <w:spacing w:line="360" w:lineRule="exact"/>
              <w:ind w:firstLineChars="0" w:firstLine="0"/>
              <w:jc w:val="center"/>
              <w:rPr>
                <w:bCs/>
                <w:sz w:val="21"/>
                <w:szCs w:val="21"/>
              </w:rPr>
            </w:pPr>
            <w:r>
              <w:rPr>
                <w:bCs/>
                <w:sz w:val="21"/>
                <w:szCs w:val="21"/>
              </w:rPr>
              <w:t>生态环境分区管控方案要求</w:t>
            </w:r>
          </w:p>
        </w:tc>
        <w:tc>
          <w:tcPr>
            <w:tcW w:w="1652" w:type="pct"/>
            <w:vAlign w:val="center"/>
          </w:tcPr>
          <w:p w14:paraId="58B691FC" w14:textId="77777777" w:rsidR="003E78AB" w:rsidRDefault="00010BF9">
            <w:pPr>
              <w:spacing w:line="360" w:lineRule="exact"/>
              <w:ind w:firstLineChars="0" w:firstLine="0"/>
              <w:jc w:val="center"/>
              <w:rPr>
                <w:bCs/>
                <w:sz w:val="21"/>
                <w:szCs w:val="21"/>
              </w:rPr>
            </w:pPr>
            <w:r>
              <w:rPr>
                <w:bCs/>
                <w:sz w:val="21"/>
                <w:szCs w:val="21"/>
              </w:rPr>
              <w:t>项目情况</w:t>
            </w:r>
          </w:p>
        </w:tc>
        <w:tc>
          <w:tcPr>
            <w:tcW w:w="446" w:type="pct"/>
            <w:vAlign w:val="center"/>
          </w:tcPr>
          <w:p w14:paraId="6F0B61FC" w14:textId="77777777" w:rsidR="003E78AB" w:rsidRDefault="00010BF9">
            <w:pPr>
              <w:spacing w:line="360" w:lineRule="exact"/>
              <w:ind w:firstLineChars="0" w:firstLine="0"/>
              <w:jc w:val="center"/>
              <w:rPr>
                <w:bCs/>
                <w:sz w:val="21"/>
                <w:szCs w:val="21"/>
              </w:rPr>
            </w:pPr>
            <w:r>
              <w:rPr>
                <w:bCs/>
                <w:sz w:val="21"/>
                <w:szCs w:val="21"/>
              </w:rPr>
              <w:t>符合性</w:t>
            </w:r>
          </w:p>
        </w:tc>
      </w:tr>
      <w:tr w:rsidR="003E78AB" w14:paraId="2301DE37" w14:textId="77777777">
        <w:trPr>
          <w:trHeight w:val="172"/>
        </w:trPr>
        <w:tc>
          <w:tcPr>
            <w:tcW w:w="475" w:type="pct"/>
            <w:vMerge w:val="restart"/>
            <w:tcBorders>
              <w:left w:val="single" w:sz="4" w:space="0" w:color="auto"/>
            </w:tcBorders>
            <w:vAlign w:val="center"/>
          </w:tcPr>
          <w:p w14:paraId="7B1E573C" w14:textId="77777777" w:rsidR="003E78AB" w:rsidRDefault="00010BF9">
            <w:pPr>
              <w:spacing w:line="360" w:lineRule="exact"/>
              <w:ind w:firstLineChars="0" w:firstLine="0"/>
              <w:jc w:val="left"/>
              <w:rPr>
                <w:bCs/>
                <w:sz w:val="21"/>
                <w:szCs w:val="21"/>
              </w:rPr>
            </w:pPr>
            <w:r>
              <w:rPr>
                <w:bCs/>
                <w:sz w:val="21"/>
                <w:szCs w:val="21"/>
              </w:rPr>
              <w:t>A1</w:t>
            </w:r>
            <w:r>
              <w:rPr>
                <w:bCs/>
                <w:sz w:val="21"/>
                <w:szCs w:val="21"/>
              </w:rPr>
              <w:t>空间布</w:t>
            </w:r>
          </w:p>
          <w:p w14:paraId="56059746" w14:textId="77777777" w:rsidR="003E78AB" w:rsidRDefault="00010BF9">
            <w:pPr>
              <w:spacing w:line="360" w:lineRule="exact"/>
              <w:ind w:firstLineChars="0" w:firstLine="0"/>
              <w:jc w:val="left"/>
              <w:rPr>
                <w:bCs/>
                <w:sz w:val="21"/>
                <w:szCs w:val="21"/>
              </w:rPr>
            </w:pPr>
            <w:r>
              <w:rPr>
                <w:bCs/>
                <w:sz w:val="21"/>
                <w:szCs w:val="21"/>
              </w:rPr>
              <w:t>局约束</w:t>
            </w:r>
          </w:p>
        </w:tc>
        <w:tc>
          <w:tcPr>
            <w:tcW w:w="2426" w:type="pct"/>
            <w:shd w:val="clear" w:color="auto" w:fill="auto"/>
            <w:vAlign w:val="center"/>
          </w:tcPr>
          <w:p w14:paraId="2F8949A6" w14:textId="77777777" w:rsidR="003E78AB" w:rsidRDefault="00010BF9">
            <w:pPr>
              <w:spacing w:line="360" w:lineRule="exact"/>
              <w:ind w:firstLineChars="0" w:firstLine="0"/>
              <w:rPr>
                <w:bCs/>
                <w:sz w:val="21"/>
                <w:szCs w:val="21"/>
              </w:rPr>
            </w:pPr>
            <w:r>
              <w:rPr>
                <w:bCs/>
                <w:sz w:val="21"/>
                <w:szCs w:val="21"/>
              </w:rPr>
              <w:t>〔</w:t>
            </w:r>
            <w:r>
              <w:rPr>
                <w:bCs/>
                <w:sz w:val="21"/>
                <w:szCs w:val="21"/>
              </w:rPr>
              <w:t>A1.1-1</w:t>
            </w:r>
            <w:r>
              <w:rPr>
                <w:bCs/>
                <w:sz w:val="21"/>
                <w:szCs w:val="21"/>
              </w:rPr>
              <w:t>〕禁止新建、扩建《产业结构调整指导目录</w:t>
            </w:r>
            <w:r>
              <w:rPr>
                <w:bCs/>
                <w:sz w:val="21"/>
                <w:szCs w:val="21"/>
              </w:rPr>
              <w:t>(2024</w:t>
            </w:r>
            <w:r>
              <w:rPr>
                <w:bCs/>
                <w:sz w:val="21"/>
                <w:szCs w:val="21"/>
              </w:rPr>
              <w:t>年本</w:t>
            </w:r>
            <w:r>
              <w:rPr>
                <w:bCs/>
                <w:sz w:val="21"/>
                <w:szCs w:val="21"/>
              </w:rPr>
              <w:t>)</w:t>
            </w:r>
            <w:r>
              <w:rPr>
                <w:bCs/>
                <w:sz w:val="21"/>
                <w:szCs w:val="21"/>
              </w:rPr>
              <w:t>》中淘汰类项目。禁止引入《市场准入负面清单</w:t>
            </w:r>
            <w:r>
              <w:rPr>
                <w:bCs/>
                <w:sz w:val="21"/>
                <w:szCs w:val="21"/>
              </w:rPr>
              <w:t>(2022</w:t>
            </w:r>
            <w:r>
              <w:rPr>
                <w:bCs/>
                <w:sz w:val="21"/>
                <w:szCs w:val="21"/>
              </w:rPr>
              <w:t>年版</w:t>
            </w:r>
            <w:r>
              <w:rPr>
                <w:bCs/>
                <w:sz w:val="21"/>
                <w:szCs w:val="21"/>
              </w:rPr>
              <w:t>)</w:t>
            </w:r>
            <w:r>
              <w:rPr>
                <w:bCs/>
                <w:sz w:val="21"/>
                <w:szCs w:val="21"/>
              </w:rPr>
              <w:t>》禁止准入类事项。</w:t>
            </w:r>
          </w:p>
        </w:tc>
        <w:tc>
          <w:tcPr>
            <w:tcW w:w="1652" w:type="pct"/>
            <w:vAlign w:val="center"/>
          </w:tcPr>
          <w:p w14:paraId="40DB2A64" w14:textId="77777777" w:rsidR="003E78AB" w:rsidRDefault="00010BF9">
            <w:pPr>
              <w:spacing w:line="360" w:lineRule="exact"/>
              <w:ind w:firstLineChars="0" w:firstLine="0"/>
              <w:rPr>
                <w:bCs/>
                <w:sz w:val="21"/>
                <w:szCs w:val="21"/>
              </w:rPr>
            </w:pPr>
            <w:r>
              <w:rPr>
                <w:bCs/>
                <w:sz w:val="21"/>
                <w:szCs w:val="21"/>
              </w:rPr>
              <w:t>本项目不属于《产业结构调整指导目录</w:t>
            </w:r>
            <w:r>
              <w:rPr>
                <w:bCs/>
                <w:sz w:val="21"/>
                <w:szCs w:val="21"/>
              </w:rPr>
              <w:t>(2024</w:t>
            </w:r>
            <w:r>
              <w:rPr>
                <w:bCs/>
                <w:sz w:val="21"/>
                <w:szCs w:val="21"/>
              </w:rPr>
              <w:t>年本</w:t>
            </w:r>
            <w:r>
              <w:rPr>
                <w:bCs/>
                <w:sz w:val="21"/>
                <w:szCs w:val="21"/>
              </w:rPr>
              <w:t>)</w:t>
            </w:r>
            <w:r>
              <w:rPr>
                <w:bCs/>
                <w:sz w:val="21"/>
                <w:szCs w:val="21"/>
              </w:rPr>
              <w:t>》中淘汰类项目</w:t>
            </w:r>
            <w:r>
              <w:rPr>
                <w:rFonts w:hint="eastAsia"/>
                <w:bCs/>
                <w:sz w:val="21"/>
                <w:szCs w:val="21"/>
              </w:rPr>
              <w:t>、不属于</w:t>
            </w:r>
            <w:r>
              <w:rPr>
                <w:bCs/>
                <w:sz w:val="21"/>
                <w:szCs w:val="21"/>
              </w:rPr>
              <w:t>《市场准入负面清单（</w:t>
            </w:r>
            <w:r>
              <w:rPr>
                <w:bCs/>
                <w:sz w:val="21"/>
                <w:szCs w:val="21"/>
              </w:rPr>
              <w:t>2022</w:t>
            </w:r>
            <w:r>
              <w:rPr>
                <w:bCs/>
                <w:sz w:val="21"/>
                <w:szCs w:val="21"/>
              </w:rPr>
              <w:t>版）》中的禁止类及限制类项目</w:t>
            </w:r>
          </w:p>
        </w:tc>
        <w:tc>
          <w:tcPr>
            <w:tcW w:w="446" w:type="pct"/>
            <w:vAlign w:val="center"/>
          </w:tcPr>
          <w:p w14:paraId="32F603F0"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1BF2AABE" w14:textId="77777777">
        <w:tc>
          <w:tcPr>
            <w:tcW w:w="475" w:type="pct"/>
            <w:vMerge/>
            <w:tcBorders>
              <w:left w:val="single" w:sz="4" w:space="0" w:color="auto"/>
            </w:tcBorders>
            <w:vAlign w:val="center"/>
          </w:tcPr>
          <w:p w14:paraId="19B69729" w14:textId="77777777" w:rsidR="003E78AB" w:rsidRDefault="003E78AB">
            <w:pPr>
              <w:spacing w:line="360" w:lineRule="exact"/>
              <w:ind w:firstLineChars="0" w:firstLine="0"/>
              <w:jc w:val="left"/>
              <w:rPr>
                <w:bCs/>
                <w:sz w:val="21"/>
                <w:szCs w:val="21"/>
              </w:rPr>
            </w:pPr>
          </w:p>
        </w:tc>
        <w:tc>
          <w:tcPr>
            <w:tcW w:w="2426" w:type="pct"/>
            <w:shd w:val="clear" w:color="auto" w:fill="auto"/>
            <w:vAlign w:val="center"/>
          </w:tcPr>
          <w:p w14:paraId="0CD1B5B2" w14:textId="77777777" w:rsidR="003E78AB" w:rsidRDefault="00010BF9">
            <w:pPr>
              <w:spacing w:line="360" w:lineRule="exact"/>
              <w:ind w:firstLineChars="0" w:firstLine="0"/>
              <w:rPr>
                <w:bCs/>
                <w:sz w:val="21"/>
                <w:szCs w:val="21"/>
              </w:rPr>
            </w:pPr>
            <w:r>
              <w:rPr>
                <w:bCs/>
                <w:sz w:val="21"/>
                <w:szCs w:val="21"/>
              </w:rPr>
              <w:t>〔</w:t>
            </w:r>
            <w:r>
              <w:rPr>
                <w:bCs/>
                <w:sz w:val="21"/>
                <w:szCs w:val="21"/>
              </w:rPr>
              <w:t>A1.1-2</w:t>
            </w:r>
            <w:r>
              <w:rPr>
                <w:bCs/>
                <w:sz w:val="21"/>
                <w:szCs w:val="21"/>
              </w:rPr>
              <w:t>〕禁止建设不符合国家和自治区环境保护标准的项目。</w:t>
            </w:r>
          </w:p>
        </w:tc>
        <w:tc>
          <w:tcPr>
            <w:tcW w:w="1652" w:type="pct"/>
            <w:vAlign w:val="center"/>
          </w:tcPr>
          <w:p w14:paraId="6434312C" w14:textId="77777777" w:rsidR="003E78AB" w:rsidRDefault="00010BF9">
            <w:pPr>
              <w:spacing w:line="360" w:lineRule="exact"/>
              <w:ind w:firstLineChars="0" w:firstLine="0"/>
              <w:rPr>
                <w:bCs/>
                <w:sz w:val="21"/>
                <w:szCs w:val="21"/>
              </w:rPr>
            </w:pPr>
            <w:r>
              <w:rPr>
                <w:rFonts w:hint="eastAsia"/>
                <w:bCs/>
                <w:sz w:val="21"/>
                <w:szCs w:val="21"/>
              </w:rPr>
              <w:t>本项目</w:t>
            </w:r>
            <w:r>
              <w:rPr>
                <w:bCs/>
                <w:sz w:val="21"/>
                <w:szCs w:val="21"/>
              </w:rPr>
              <w:t>符合国家和自治区环境保护标准</w:t>
            </w:r>
            <w:r>
              <w:rPr>
                <w:rFonts w:hint="eastAsia"/>
                <w:bCs/>
                <w:sz w:val="21"/>
                <w:szCs w:val="21"/>
              </w:rPr>
              <w:t>。</w:t>
            </w:r>
          </w:p>
        </w:tc>
        <w:tc>
          <w:tcPr>
            <w:tcW w:w="446" w:type="pct"/>
            <w:vAlign w:val="center"/>
          </w:tcPr>
          <w:p w14:paraId="414F5813"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3D8B8EE7" w14:textId="77777777">
        <w:trPr>
          <w:trHeight w:val="1616"/>
        </w:trPr>
        <w:tc>
          <w:tcPr>
            <w:tcW w:w="475" w:type="pct"/>
            <w:vMerge/>
            <w:tcBorders>
              <w:left w:val="single" w:sz="4" w:space="0" w:color="auto"/>
            </w:tcBorders>
            <w:vAlign w:val="center"/>
          </w:tcPr>
          <w:p w14:paraId="478D0CB2" w14:textId="77777777" w:rsidR="003E78AB" w:rsidRDefault="003E78AB">
            <w:pPr>
              <w:spacing w:line="360" w:lineRule="exact"/>
              <w:ind w:firstLineChars="0" w:firstLine="0"/>
              <w:jc w:val="left"/>
              <w:rPr>
                <w:bCs/>
                <w:sz w:val="21"/>
                <w:szCs w:val="21"/>
              </w:rPr>
            </w:pPr>
          </w:p>
        </w:tc>
        <w:tc>
          <w:tcPr>
            <w:tcW w:w="2426" w:type="pct"/>
            <w:shd w:val="clear" w:color="auto" w:fill="auto"/>
            <w:vAlign w:val="center"/>
          </w:tcPr>
          <w:p w14:paraId="092CE20F" w14:textId="77777777" w:rsidR="003E78AB" w:rsidRDefault="00010BF9">
            <w:pPr>
              <w:spacing w:line="360" w:lineRule="exact"/>
              <w:ind w:firstLineChars="0" w:firstLine="0"/>
              <w:rPr>
                <w:bCs/>
                <w:sz w:val="21"/>
                <w:szCs w:val="21"/>
              </w:rPr>
            </w:pPr>
            <w:r>
              <w:rPr>
                <w:bCs/>
                <w:sz w:val="21"/>
                <w:szCs w:val="21"/>
              </w:rPr>
              <w:t>〔</w:t>
            </w:r>
            <w:r>
              <w:rPr>
                <w:bCs/>
                <w:sz w:val="21"/>
                <w:szCs w:val="21"/>
              </w:rPr>
              <w:t>A1.1-3</w:t>
            </w:r>
            <w:r>
              <w:rPr>
                <w:bCs/>
                <w:sz w:val="21"/>
                <w:szCs w:val="21"/>
              </w:rPr>
              <w:t>〕禁止在饮用水水源保护区、风景名胜区、自然保护区的核心区和缓冲区、城镇居民区、文化教育科学研究区等人口集中区域以及法律、法规规定的其他禁止养殖区域建设畜禽养殖场、养殖小区。</w:t>
            </w:r>
          </w:p>
        </w:tc>
        <w:tc>
          <w:tcPr>
            <w:tcW w:w="1652" w:type="pct"/>
            <w:vAlign w:val="center"/>
          </w:tcPr>
          <w:p w14:paraId="19E90150" w14:textId="77777777" w:rsidR="003E78AB" w:rsidRDefault="00010BF9">
            <w:pPr>
              <w:spacing w:line="360" w:lineRule="exact"/>
              <w:ind w:firstLineChars="0" w:firstLine="0"/>
              <w:rPr>
                <w:bCs/>
                <w:sz w:val="21"/>
                <w:szCs w:val="21"/>
              </w:rPr>
            </w:pPr>
            <w:r>
              <w:rPr>
                <w:rFonts w:hint="eastAsia"/>
                <w:bCs/>
                <w:sz w:val="21"/>
                <w:szCs w:val="21"/>
              </w:rPr>
              <w:t>本项目所在区域不涉及</w:t>
            </w:r>
            <w:r>
              <w:rPr>
                <w:bCs/>
                <w:sz w:val="21"/>
                <w:szCs w:val="21"/>
              </w:rPr>
              <w:t>饮用水水源保护区、风景名胜区、自然保护区的核心区和缓冲区</w:t>
            </w:r>
            <w:r>
              <w:rPr>
                <w:rFonts w:hint="eastAsia"/>
                <w:bCs/>
                <w:sz w:val="21"/>
                <w:szCs w:val="21"/>
              </w:rPr>
              <w:t>等上述区域。</w:t>
            </w:r>
          </w:p>
        </w:tc>
        <w:tc>
          <w:tcPr>
            <w:tcW w:w="446" w:type="pct"/>
            <w:vAlign w:val="center"/>
          </w:tcPr>
          <w:p w14:paraId="1AE425D1"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5E0DACC4" w14:textId="77777777">
        <w:tc>
          <w:tcPr>
            <w:tcW w:w="475" w:type="pct"/>
            <w:vMerge/>
            <w:tcBorders>
              <w:left w:val="single" w:sz="4" w:space="0" w:color="auto"/>
            </w:tcBorders>
            <w:vAlign w:val="center"/>
          </w:tcPr>
          <w:p w14:paraId="2DF614CD" w14:textId="77777777" w:rsidR="003E78AB" w:rsidRDefault="003E78AB">
            <w:pPr>
              <w:spacing w:line="360" w:lineRule="exact"/>
              <w:ind w:firstLineChars="0" w:firstLine="0"/>
              <w:jc w:val="left"/>
              <w:rPr>
                <w:bCs/>
                <w:sz w:val="21"/>
                <w:szCs w:val="21"/>
              </w:rPr>
            </w:pPr>
          </w:p>
        </w:tc>
        <w:tc>
          <w:tcPr>
            <w:tcW w:w="2426" w:type="pct"/>
            <w:shd w:val="clear" w:color="auto" w:fill="auto"/>
            <w:vAlign w:val="center"/>
          </w:tcPr>
          <w:p w14:paraId="5488D0FE" w14:textId="77777777" w:rsidR="003E78AB" w:rsidRDefault="00010BF9">
            <w:pPr>
              <w:spacing w:line="360" w:lineRule="exact"/>
              <w:ind w:firstLineChars="0" w:firstLine="0"/>
              <w:rPr>
                <w:bCs/>
                <w:sz w:val="21"/>
                <w:szCs w:val="21"/>
              </w:rPr>
            </w:pPr>
            <w:r>
              <w:rPr>
                <w:bCs/>
                <w:sz w:val="21"/>
                <w:szCs w:val="21"/>
              </w:rPr>
              <w:t>〔</w:t>
            </w:r>
            <w:r>
              <w:rPr>
                <w:bCs/>
                <w:sz w:val="21"/>
                <w:szCs w:val="21"/>
              </w:rPr>
              <w:t>A1.1-4</w:t>
            </w:r>
            <w:r>
              <w:rPr>
                <w:bCs/>
                <w:sz w:val="21"/>
                <w:szCs w:val="21"/>
              </w:rPr>
              <w:t>〕禁止在水源涵养区、地下水源、饮用水源、自然保护区、风景名胜区、森林公园、重要湿地及人群密集区等生态敏感区域内进行煤炭、石油、天然气开发。</w:t>
            </w:r>
          </w:p>
        </w:tc>
        <w:tc>
          <w:tcPr>
            <w:tcW w:w="1652" w:type="pct"/>
            <w:vAlign w:val="center"/>
          </w:tcPr>
          <w:p w14:paraId="1FC675EB" w14:textId="77777777" w:rsidR="003E78AB" w:rsidRDefault="00010BF9">
            <w:pPr>
              <w:spacing w:line="360" w:lineRule="exact"/>
              <w:ind w:firstLineChars="0" w:firstLine="0"/>
              <w:rPr>
                <w:bCs/>
                <w:sz w:val="21"/>
                <w:szCs w:val="21"/>
              </w:rPr>
            </w:pPr>
            <w:r>
              <w:rPr>
                <w:bCs/>
                <w:sz w:val="21"/>
                <w:szCs w:val="21"/>
              </w:rPr>
              <w:t>本项目所在区域不涉及上述区域。</w:t>
            </w:r>
          </w:p>
        </w:tc>
        <w:tc>
          <w:tcPr>
            <w:tcW w:w="446" w:type="pct"/>
            <w:vAlign w:val="center"/>
          </w:tcPr>
          <w:p w14:paraId="1BA68374"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7CF95116" w14:textId="77777777">
        <w:tc>
          <w:tcPr>
            <w:tcW w:w="475" w:type="pct"/>
            <w:vMerge/>
            <w:tcBorders>
              <w:left w:val="single" w:sz="4" w:space="0" w:color="auto"/>
            </w:tcBorders>
            <w:vAlign w:val="center"/>
          </w:tcPr>
          <w:p w14:paraId="4DA9BAD0" w14:textId="77777777" w:rsidR="003E78AB" w:rsidRDefault="003E78AB">
            <w:pPr>
              <w:spacing w:line="360" w:lineRule="exact"/>
              <w:ind w:firstLineChars="0" w:firstLine="0"/>
              <w:jc w:val="left"/>
              <w:rPr>
                <w:bCs/>
                <w:sz w:val="21"/>
                <w:szCs w:val="21"/>
              </w:rPr>
            </w:pPr>
          </w:p>
        </w:tc>
        <w:tc>
          <w:tcPr>
            <w:tcW w:w="2426" w:type="pct"/>
            <w:shd w:val="clear" w:color="auto" w:fill="auto"/>
            <w:vAlign w:val="center"/>
          </w:tcPr>
          <w:p w14:paraId="03708EB7" w14:textId="77777777" w:rsidR="003E78AB" w:rsidRDefault="00010BF9">
            <w:pPr>
              <w:spacing w:line="360" w:lineRule="exact"/>
              <w:ind w:firstLineChars="0" w:firstLine="0"/>
              <w:rPr>
                <w:bCs/>
                <w:sz w:val="21"/>
                <w:szCs w:val="21"/>
              </w:rPr>
            </w:pPr>
            <w:r>
              <w:rPr>
                <w:bCs/>
                <w:sz w:val="21"/>
                <w:szCs w:val="21"/>
              </w:rPr>
              <w:t>〔</w:t>
            </w:r>
            <w:r>
              <w:rPr>
                <w:bCs/>
                <w:sz w:val="21"/>
                <w:szCs w:val="21"/>
              </w:rPr>
              <w:t>A1.1-6</w:t>
            </w:r>
            <w:r>
              <w:rPr>
                <w:bCs/>
                <w:sz w:val="21"/>
                <w:szCs w:val="21"/>
              </w:rPr>
              <w:t>〕禁止在自治区行政区域内引进能</w:t>
            </w:r>
            <w:r>
              <w:rPr>
                <w:bCs/>
                <w:sz w:val="21"/>
                <w:szCs w:val="21"/>
              </w:rPr>
              <w:t>(</w:t>
            </w:r>
            <w:r>
              <w:rPr>
                <w:bCs/>
                <w:sz w:val="21"/>
                <w:szCs w:val="21"/>
              </w:rPr>
              <w:t>水</w:t>
            </w:r>
            <w:r>
              <w:rPr>
                <w:bCs/>
                <w:sz w:val="21"/>
                <w:szCs w:val="21"/>
              </w:rPr>
              <w:t>)</w:t>
            </w:r>
            <w:r>
              <w:rPr>
                <w:bCs/>
                <w:sz w:val="21"/>
                <w:szCs w:val="21"/>
              </w:rPr>
              <w:t>耗不符合相关国家标准中准入值要求且污染物排放和环境风险防控不符合国家</w:t>
            </w:r>
            <w:r>
              <w:rPr>
                <w:bCs/>
                <w:sz w:val="21"/>
                <w:szCs w:val="21"/>
              </w:rPr>
              <w:t>(</w:t>
            </w:r>
            <w:r>
              <w:rPr>
                <w:bCs/>
                <w:sz w:val="21"/>
                <w:szCs w:val="21"/>
              </w:rPr>
              <w:t>地方</w:t>
            </w:r>
            <w:r>
              <w:rPr>
                <w:bCs/>
                <w:sz w:val="21"/>
                <w:szCs w:val="21"/>
              </w:rPr>
              <w:t>)</w:t>
            </w:r>
            <w:r>
              <w:rPr>
                <w:bCs/>
                <w:sz w:val="21"/>
                <w:szCs w:val="21"/>
              </w:rPr>
              <w:t>标准及有关产业准入条件的高污染</w:t>
            </w:r>
            <w:r>
              <w:rPr>
                <w:bCs/>
                <w:sz w:val="21"/>
                <w:szCs w:val="21"/>
              </w:rPr>
              <w:t>(</w:t>
            </w:r>
            <w:r>
              <w:rPr>
                <w:bCs/>
                <w:sz w:val="21"/>
                <w:szCs w:val="21"/>
              </w:rPr>
              <w:t>排放</w:t>
            </w:r>
            <w:r>
              <w:rPr>
                <w:bCs/>
                <w:sz w:val="21"/>
                <w:szCs w:val="21"/>
              </w:rPr>
              <w:t>)</w:t>
            </w:r>
            <w:r>
              <w:rPr>
                <w:bCs/>
                <w:sz w:val="21"/>
                <w:szCs w:val="21"/>
              </w:rPr>
              <w:t>、高能</w:t>
            </w:r>
            <w:r>
              <w:rPr>
                <w:bCs/>
                <w:sz w:val="21"/>
                <w:szCs w:val="21"/>
              </w:rPr>
              <w:t>(</w:t>
            </w:r>
            <w:r>
              <w:rPr>
                <w:bCs/>
                <w:sz w:val="21"/>
                <w:szCs w:val="21"/>
              </w:rPr>
              <w:t>水</w:t>
            </w:r>
            <w:r>
              <w:rPr>
                <w:bCs/>
                <w:sz w:val="21"/>
                <w:szCs w:val="21"/>
              </w:rPr>
              <w:t>)</w:t>
            </w:r>
            <w:r>
              <w:rPr>
                <w:bCs/>
                <w:sz w:val="21"/>
                <w:szCs w:val="21"/>
              </w:rPr>
              <w:t>耗、高环境风险的工业项目。</w:t>
            </w:r>
          </w:p>
        </w:tc>
        <w:tc>
          <w:tcPr>
            <w:tcW w:w="1652" w:type="pct"/>
            <w:vAlign w:val="center"/>
          </w:tcPr>
          <w:p w14:paraId="101FAB18" w14:textId="77777777" w:rsidR="003E78AB" w:rsidRDefault="00010BF9">
            <w:pPr>
              <w:spacing w:line="360" w:lineRule="exact"/>
              <w:ind w:firstLineChars="0" w:firstLine="0"/>
              <w:rPr>
                <w:bCs/>
                <w:sz w:val="21"/>
                <w:szCs w:val="21"/>
              </w:rPr>
            </w:pPr>
            <w:r>
              <w:rPr>
                <w:bCs/>
                <w:sz w:val="21"/>
                <w:szCs w:val="21"/>
              </w:rPr>
              <w:t>本项目所属行业</w:t>
            </w:r>
            <w:r>
              <w:rPr>
                <w:rFonts w:hint="eastAsia"/>
                <w:bCs/>
                <w:sz w:val="21"/>
                <w:szCs w:val="21"/>
              </w:rPr>
              <w:t>不在《自治区“两高”项目管理目录（</w:t>
            </w:r>
            <w:r>
              <w:rPr>
                <w:rFonts w:hint="eastAsia"/>
                <w:bCs/>
                <w:sz w:val="21"/>
                <w:szCs w:val="21"/>
              </w:rPr>
              <w:t>2024</w:t>
            </w:r>
            <w:r>
              <w:rPr>
                <w:rFonts w:hint="eastAsia"/>
                <w:bCs/>
                <w:sz w:val="21"/>
                <w:szCs w:val="21"/>
              </w:rPr>
              <w:t>年版）》中。项目符合相关法律法规、法定规划要求；项目总量指标均由区域现有污染源减排计划供给；满足生态环境准入清单，满足园区规划环评要求。</w:t>
            </w:r>
          </w:p>
        </w:tc>
        <w:tc>
          <w:tcPr>
            <w:tcW w:w="446" w:type="pct"/>
            <w:vAlign w:val="center"/>
          </w:tcPr>
          <w:p w14:paraId="29F37C6E"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2CA1D3AD" w14:textId="77777777">
        <w:tc>
          <w:tcPr>
            <w:tcW w:w="475" w:type="pct"/>
            <w:vMerge/>
            <w:tcBorders>
              <w:left w:val="single" w:sz="4" w:space="0" w:color="auto"/>
              <w:bottom w:val="single" w:sz="4" w:space="0" w:color="auto"/>
            </w:tcBorders>
            <w:vAlign w:val="center"/>
          </w:tcPr>
          <w:p w14:paraId="03A8C3FD" w14:textId="77777777" w:rsidR="003E78AB" w:rsidRDefault="003E78AB">
            <w:pPr>
              <w:spacing w:line="360" w:lineRule="exact"/>
              <w:ind w:firstLineChars="0" w:firstLine="0"/>
              <w:jc w:val="left"/>
              <w:rPr>
                <w:bCs/>
                <w:sz w:val="21"/>
                <w:szCs w:val="21"/>
              </w:rPr>
            </w:pPr>
          </w:p>
        </w:tc>
        <w:tc>
          <w:tcPr>
            <w:tcW w:w="2426" w:type="pct"/>
            <w:tcBorders>
              <w:bottom w:val="single" w:sz="4" w:space="0" w:color="auto"/>
            </w:tcBorders>
            <w:shd w:val="clear" w:color="auto" w:fill="auto"/>
            <w:vAlign w:val="center"/>
          </w:tcPr>
          <w:p w14:paraId="7C737249" w14:textId="77777777" w:rsidR="003E78AB" w:rsidRDefault="00010BF9">
            <w:pPr>
              <w:spacing w:line="360" w:lineRule="exact"/>
              <w:ind w:firstLineChars="0" w:firstLine="0"/>
              <w:rPr>
                <w:bCs/>
                <w:sz w:val="21"/>
                <w:szCs w:val="21"/>
              </w:rPr>
            </w:pPr>
            <w:r>
              <w:rPr>
                <w:bCs/>
                <w:sz w:val="21"/>
                <w:szCs w:val="21"/>
              </w:rPr>
              <w:t>〔</w:t>
            </w:r>
            <w:r>
              <w:rPr>
                <w:bCs/>
                <w:sz w:val="21"/>
                <w:szCs w:val="21"/>
              </w:rPr>
              <w:t>A1.1-8</w:t>
            </w:r>
            <w:r>
              <w:rPr>
                <w:bCs/>
                <w:sz w:val="21"/>
                <w:szCs w:val="21"/>
              </w:rPr>
              <w:t>〕严格执行危险化学品</w:t>
            </w:r>
            <w:r>
              <w:rPr>
                <w:bCs/>
                <w:sz w:val="21"/>
                <w:szCs w:val="21"/>
              </w:rPr>
              <w:t>“</w:t>
            </w:r>
            <w:r>
              <w:rPr>
                <w:bCs/>
                <w:sz w:val="21"/>
                <w:szCs w:val="21"/>
              </w:rPr>
              <w:t>禁限控</w:t>
            </w:r>
            <w:r>
              <w:rPr>
                <w:bCs/>
                <w:sz w:val="21"/>
                <w:szCs w:val="21"/>
              </w:rPr>
              <w:t>”</w:t>
            </w:r>
            <w:r>
              <w:rPr>
                <w:bCs/>
                <w:sz w:val="21"/>
                <w:szCs w:val="21"/>
              </w:rPr>
              <w:t>目录，新建危险化学品生产项目必须进入一般或较低安全风险的化工园区</w:t>
            </w:r>
            <w:r>
              <w:rPr>
                <w:bCs/>
                <w:sz w:val="21"/>
                <w:szCs w:val="21"/>
              </w:rPr>
              <w:t>(</w:t>
            </w:r>
            <w:r>
              <w:rPr>
                <w:bCs/>
                <w:sz w:val="21"/>
                <w:szCs w:val="21"/>
              </w:rPr>
              <w:t>与其他行业生产装置配套建设的项目除外</w:t>
            </w:r>
            <w:r>
              <w:rPr>
                <w:bCs/>
                <w:sz w:val="21"/>
                <w:szCs w:val="21"/>
              </w:rPr>
              <w:t>)</w:t>
            </w:r>
            <w:r>
              <w:rPr>
                <w:rFonts w:hint="eastAsia"/>
                <w:bCs/>
                <w:sz w:val="21"/>
                <w:szCs w:val="21"/>
              </w:rPr>
              <w:t>，</w:t>
            </w:r>
            <w:r>
              <w:rPr>
                <w:bCs/>
                <w:sz w:val="21"/>
                <w:szCs w:val="21"/>
              </w:rPr>
              <w:t>引导其他石化化工项目在化工园区发展。</w:t>
            </w:r>
          </w:p>
        </w:tc>
        <w:tc>
          <w:tcPr>
            <w:tcW w:w="1652" w:type="pct"/>
            <w:tcBorders>
              <w:bottom w:val="single" w:sz="4" w:space="0" w:color="auto"/>
            </w:tcBorders>
            <w:vAlign w:val="center"/>
          </w:tcPr>
          <w:p w14:paraId="73F44F41" w14:textId="77777777" w:rsidR="003E78AB" w:rsidRDefault="00010BF9">
            <w:pPr>
              <w:spacing w:line="360" w:lineRule="exact"/>
              <w:ind w:firstLineChars="0" w:firstLine="0"/>
              <w:rPr>
                <w:bCs/>
                <w:sz w:val="21"/>
                <w:szCs w:val="21"/>
              </w:rPr>
            </w:pPr>
            <w:r>
              <w:rPr>
                <w:bCs/>
                <w:sz w:val="21"/>
                <w:szCs w:val="21"/>
              </w:rPr>
              <w:t>本项目设在新疆哈密高新区南部循环经济产业园中的</w:t>
            </w:r>
            <w:r>
              <w:rPr>
                <w:rFonts w:hint="eastAsia"/>
                <w:bCs/>
                <w:sz w:val="21"/>
                <w:szCs w:val="21"/>
              </w:rPr>
              <w:t>煤化工产业</w:t>
            </w:r>
            <w:r>
              <w:rPr>
                <w:bCs/>
                <w:sz w:val="21"/>
                <w:szCs w:val="21"/>
              </w:rPr>
              <w:t>区内，符合园区相关规划、规划环评及其审查意见要求。</w:t>
            </w:r>
          </w:p>
        </w:tc>
        <w:tc>
          <w:tcPr>
            <w:tcW w:w="446" w:type="pct"/>
            <w:tcBorders>
              <w:bottom w:val="single" w:sz="4" w:space="0" w:color="auto"/>
            </w:tcBorders>
            <w:vAlign w:val="center"/>
          </w:tcPr>
          <w:p w14:paraId="7E9170D0"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2B4CF6EF" w14:textId="77777777">
        <w:tc>
          <w:tcPr>
            <w:tcW w:w="475" w:type="pct"/>
            <w:vMerge/>
            <w:tcBorders>
              <w:top w:val="single" w:sz="4" w:space="0" w:color="auto"/>
              <w:left w:val="single" w:sz="4" w:space="0" w:color="auto"/>
              <w:bottom w:val="single" w:sz="4" w:space="0" w:color="auto"/>
              <w:right w:val="single" w:sz="4" w:space="0" w:color="auto"/>
            </w:tcBorders>
            <w:vAlign w:val="center"/>
          </w:tcPr>
          <w:p w14:paraId="57424DEA" w14:textId="77777777" w:rsidR="003E78AB" w:rsidRDefault="003E78AB">
            <w:pPr>
              <w:spacing w:line="360" w:lineRule="exact"/>
              <w:ind w:firstLineChars="0" w:firstLine="0"/>
              <w:jc w:val="left"/>
              <w:rPr>
                <w:bCs/>
                <w:sz w:val="21"/>
                <w:szCs w:val="21"/>
              </w:rPr>
            </w:pP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14:paraId="25B40172" w14:textId="77777777" w:rsidR="003E78AB" w:rsidRDefault="00010BF9">
            <w:pPr>
              <w:spacing w:line="360" w:lineRule="exact"/>
              <w:ind w:firstLineChars="0" w:firstLine="0"/>
              <w:rPr>
                <w:bCs/>
                <w:sz w:val="21"/>
                <w:szCs w:val="21"/>
              </w:rPr>
            </w:pPr>
            <w:r>
              <w:rPr>
                <w:bCs/>
                <w:sz w:val="21"/>
                <w:szCs w:val="21"/>
              </w:rPr>
              <w:t>〔</w:t>
            </w:r>
            <w:r>
              <w:rPr>
                <w:bCs/>
                <w:sz w:val="21"/>
                <w:szCs w:val="21"/>
              </w:rPr>
              <w:t>A1.1-9</w:t>
            </w:r>
            <w:r>
              <w:rPr>
                <w:bCs/>
                <w:sz w:val="21"/>
                <w:szCs w:val="21"/>
              </w:rPr>
              <w:t>〕严禁新建自治区《禁止、控制和限制危险化学品目录》中淘汰类、禁止类危险化学品化工项目。严格执行生态保护红线、永久基本农田管控要求，禁止新</w:t>
            </w:r>
            <w:r>
              <w:rPr>
                <w:bCs/>
                <w:sz w:val="21"/>
                <w:szCs w:val="21"/>
              </w:rPr>
              <w:t>(</w:t>
            </w:r>
            <w:r>
              <w:rPr>
                <w:bCs/>
                <w:sz w:val="21"/>
                <w:szCs w:val="21"/>
              </w:rPr>
              <w:t>改、扩</w:t>
            </w:r>
            <w:r>
              <w:rPr>
                <w:bCs/>
                <w:sz w:val="21"/>
                <w:szCs w:val="21"/>
              </w:rPr>
              <w:t>)</w:t>
            </w:r>
            <w:r>
              <w:rPr>
                <w:bCs/>
                <w:sz w:val="21"/>
                <w:szCs w:val="21"/>
              </w:rPr>
              <w:t>建化工项目违规占用生态保护红线和永久基本农田。在塔里木河、伊犁河、额尔齐斯河干流及主要支流岸线</w:t>
            </w:r>
            <w:r>
              <w:rPr>
                <w:bCs/>
                <w:sz w:val="21"/>
                <w:szCs w:val="21"/>
              </w:rPr>
              <w:t>1</w:t>
            </w:r>
            <w:r>
              <w:rPr>
                <w:bCs/>
                <w:sz w:val="21"/>
                <w:szCs w:val="21"/>
              </w:rPr>
              <w:t>公里范围内，除提升安全、环保、节能、智能化、产品质量水平的技术改造项目外，严格禁止新建、扩建化工项目，不得布局新的化工园区</w:t>
            </w:r>
            <w:r>
              <w:rPr>
                <w:bCs/>
                <w:sz w:val="21"/>
                <w:szCs w:val="21"/>
              </w:rPr>
              <w:t>(</w:t>
            </w:r>
            <w:r>
              <w:rPr>
                <w:bCs/>
                <w:sz w:val="21"/>
                <w:szCs w:val="21"/>
              </w:rPr>
              <w:t>含化工集中区</w:t>
            </w:r>
            <w:r>
              <w:rPr>
                <w:bCs/>
                <w:sz w:val="21"/>
                <w:szCs w:val="21"/>
              </w:rPr>
              <w:t>)</w:t>
            </w:r>
            <w:r>
              <w:rPr>
                <w:bCs/>
                <w:sz w:val="21"/>
                <w:szCs w:val="21"/>
              </w:rPr>
              <w:t>。</w:t>
            </w:r>
          </w:p>
        </w:tc>
        <w:tc>
          <w:tcPr>
            <w:tcW w:w="1652" w:type="pct"/>
            <w:tcBorders>
              <w:top w:val="single" w:sz="4" w:space="0" w:color="auto"/>
              <w:left w:val="single" w:sz="4" w:space="0" w:color="auto"/>
              <w:bottom w:val="single" w:sz="4" w:space="0" w:color="auto"/>
              <w:right w:val="single" w:sz="4" w:space="0" w:color="auto"/>
            </w:tcBorders>
            <w:vAlign w:val="center"/>
          </w:tcPr>
          <w:p w14:paraId="05A83A6D" w14:textId="77777777" w:rsidR="003E78AB" w:rsidRDefault="00010BF9">
            <w:pPr>
              <w:spacing w:line="360" w:lineRule="exact"/>
              <w:ind w:firstLineChars="0" w:firstLine="0"/>
              <w:rPr>
                <w:bCs/>
                <w:sz w:val="21"/>
                <w:szCs w:val="21"/>
              </w:rPr>
            </w:pPr>
            <w:r>
              <w:rPr>
                <w:rFonts w:hint="eastAsia"/>
                <w:bCs/>
                <w:sz w:val="21"/>
                <w:szCs w:val="21"/>
              </w:rPr>
              <w:t>本项目不属于自治区</w:t>
            </w:r>
            <w:r>
              <w:rPr>
                <w:bCs/>
                <w:sz w:val="21"/>
                <w:szCs w:val="21"/>
              </w:rPr>
              <w:t>《禁止、控制和限制危险化学品目录》中淘汰类、禁止类危险化学品化工项目</w:t>
            </w:r>
            <w:r>
              <w:rPr>
                <w:rFonts w:hint="eastAsia"/>
                <w:bCs/>
                <w:sz w:val="21"/>
                <w:szCs w:val="21"/>
              </w:rPr>
              <w:t>。</w:t>
            </w:r>
          </w:p>
        </w:tc>
        <w:tc>
          <w:tcPr>
            <w:tcW w:w="446" w:type="pct"/>
            <w:tcBorders>
              <w:top w:val="single" w:sz="4" w:space="0" w:color="auto"/>
              <w:left w:val="single" w:sz="4" w:space="0" w:color="auto"/>
              <w:bottom w:val="single" w:sz="4" w:space="0" w:color="auto"/>
              <w:right w:val="single" w:sz="4" w:space="0" w:color="auto"/>
            </w:tcBorders>
            <w:vAlign w:val="center"/>
          </w:tcPr>
          <w:p w14:paraId="21D60A11"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0133BA0B" w14:textId="77777777">
        <w:tc>
          <w:tcPr>
            <w:tcW w:w="475" w:type="pct"/>
            <w:vMerge/>
            <w:tcBorders>
              <w:top w:val="single" w:sz="4" w:space="0" w:color="auto"/>
              <w:left w:val="single" w:sz="4" w:space="0" w:color="auto"/>
              <w:bottom w:val="single" w:sz="4" w:space="0" w:color="auto"/>
              <w:right w:val="single" w:sz="4" w:space="0" w:color="auto"/>
            </w:tcBorders>
            <w:vAlign w:val="center"/>
          </w:tcPr>
          <w:p w14:paraId="42A9F09D" w14:textId="77777777" w:rsidR="003E78AB" w:rsidRDefault="003E78AB">
            <w:pPr>
              <w:spacing w:line="360" w:lineRule="exact"/>
              <w:ind w:firstLineChars="0" w:firstLine="0"/>
              <w:rPr>
                <w:bCs/>
                <w:sz w:val="21"/>
                <w:szCs w:val="21"/>
              </w:rPr>
            </w:pP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14:paraId="0C807CF2" w14:textId="77777777" w:rsidR="003E78AB" w:rsidRDefault="00010BF9">
            <w:pPr>
              <w:spacing w:line="360" w:lineRule="exact"/>
              <w:ind w:firstLineChars="0" w:firstLine="0"/>
              <w:rPr>
                <w:bCs/>
                <w:sz w:val="21"/>
                <w:szCs w:val="21"/>
              </w:rPr>
            </w:pPr>
            <w:r>
              <w:rPr>
                <w:bCs/>
                <w:sz w:val="21"/>
                <w:szCs w:val="21"/>
              </w:rPr>
              <w:t>〔</w:t>
            </w:r>
            <w:r>
              <w:rPr>
                <w:bCs/>
                <w:sz w:val="21"/>
                <w:szCs w:val="21"/>
              </w:rPr>
              <w:t>A1.4-2</w:t>
            </w:r>
            <w:r>
              <w:rPr>
                <w:bCs/>
                <w:sz w:val="21"/>
                <w:szCs w:val="21"/>
              </w:rPr>
              <w:t>〕新建、扩建石化、化工、焦化、有色金属冶炼、平板玻璃项目应布设在依法合规设立并经规划环评的产业园区。</w:t>
            </w:r>
          </w:p>
        </w:tc>
        <w:tc>
          <w:tcPr>
            <w:tcW w:w="1652" w:type="pct"/>
            <w:vMerge w:val="restart"/>
            <w:tcBorders>
              <w:top w:val="single" w:sz="4" w:space="0" w:color="auto"/>
              <w:left w:val="single" w:sz="4" w:space="0" w:color="auto"/>
              <w:bottom w:val="single" w:sz="4" w:space="0" w:color="auto"/>
              <w:right w:val="single" w:sz="4" w:space="0" w:color="auto"/>
            </w:tcBorders>
            <w:vAlign w:val="center"/>
          </w:tcPr>
          <w:p w14:paraId="38461573" w14:textId="77777777" w:rsidR="003E78AB" w:rsidRDefault="00010BF9">
            <w:pPr>
              <w:spacing w:line="360" w:lineRule="exact"/>
              <w:ind w:firstLineChars="0" w:firstLine="0"/>
              <w:rPr>
                <w:bCs/>
                <w:sz w:val="21"/>
                <w:szCs w:val="21"/>
              </w:rPr>
            </w:pPr>
            <w:r>
              <w:rPr>
                <w:bCs/>
                <w:sz w:val="21"/>
                <w:szCs w:val="21"/>
              </w:rPr>
              <w:t>本项目设在新疆哈密高新区南部循环经济产业园中的</w:t>
            </w:r>
            <w:r>
              <w:rPr>
                <w:rFonts w:hint="eastAsia"/>
                <w:bCs/>
                <w:sz w:val="21"/>
                <w:szCs w:val="21"/>
              </w:rPr>
              <w:t>煤化工产业</w:t>
            </w:r>
            <w:r>
              <w:rPr>
                <w:bCs/>
                <w:sz w:val="21"/>
                <w:szCs w:val="21"/>
              </w:rPr>
              <w:t>区内，符合园区相关规划、规划环评及其审查意见要求。</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14:paraId="73B1A5D4"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67D8D2D3" w14:textId="77777777">
        <w:tc>
          <w:tcPr>
            <w:tcW w:w="475" w:type="pct"/>
            <w:vMerge/>
            <w:tcBorders>
              <w:top w:val="single" w:sz="4" w:space="0" w:color="auto"/>
              <w:left w:val="single" w:sz="4" w:space="0" w:color="auto"/>
            </w:tcBorders>
            <w:vAlign w:val="center"/>
          </w:tcPr>
          <w:p w14:paraId="3874ED92" w14:textId="77777777" w:rsidR="003E78AB" w:rsidRDefault="003E78AB">
            <w:pPr>
              <w:spacing w:line="360" w:lineRule="exact"/>
              <w:ind w:firstLineChars="0" w:firstLine="0"/>
              <w:rPr>
                <w:bCs/>
                <w:sz w:val="21"/>
                <w:szCs w:val="21"/>
              </w:rPr>
            </w:pPr>
          </w:p>
        </w:tc>
        <w:tc>
          <w:tcPr>
            <w:tcW w:w="2426" w:type="pct"/>
            <w:tcBorders>
              <w:top w:val="single" w:sz="4" w:space="0" w:color="auto"/>
            </w:tcBorders>
            <w:shd w:val="clear" w:color="auto" w:fill="auto"/>
            <w:vAlign w:val="center"/>
          </w:tcPr>
          <w:p w14:paraId="78CACF01" w14:textId="77777777" w:rsidR="003E78AB" w:rsidRDefault="00010BF9">
            <w:pPr>
              <w:spacing w:line="360" w:lineRule="exact"/>
              <w:ind w:firstLineChars="0" w:firstLine="0"/>
              <w:rPr>
                <w:bCs/>
                <w:sz w:val="21"/>
                <w:szCs w:val="21"/>
              </w:rPr>
            </w:pPr>
            <w:r>
              <w:rPr>
                <w:bCs/>
                <w:sz w:val="21"/>
                <w:szCs w:val="21"/>
              </w:rPr>
              <w:t>〔</w:t>
            </w:r>
            <w:r>
              <w:rPr>
                <w:bCs/>
                <w:sz w:val="21"/>
                <w:szCs w:val="21"/>
              </w:rPr>
              <w:t>A1.4-3</w:t>
            </w:r>
            <w:r>
              <w:rPr>
                <w:bCs/>
                <w:sz w:val="21"/>
                <w:szCs w:val="21"/>
              </w:rPr>
              <w:t>〕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1652" w:type="pct"/>
            <w:vMerge/>
            <w:tcBorders>
              <w:top w:val="single" w:sz="4" w:space="0" w:color="auto"/>
            </w:tcBorders>
            <w:vAlign w:val="center"/>
          </w:tcPr>
          <w:p w14:paraId="17746448" w14:textId="77777777" w:rsidR="003E78AB" w:rsidRDefault="003E78AB">
            <w:pPr>
              <w:spacing w:line="360" w:lineRule="exact"/>
              <w:ind w:firstLineChars="0" w:firstLine="0"/>
              <w:rPr>
                <w:bCs/>
                <w:sz w:val="21"/>
                <w:szCs w:val="21"/>
              </w:rPr>
            </w:pPr>
          </w:p>
        </w:tc>
        <w:tc>
          <w:tcPr>
            <w:tcW w:w="446" w:type="pct"/>
            <w:vMerge/>
            <w:tcBorders>
              <w:top w:val="single" w:sz="4" w:space="0" w:color="auto"/>
              <w:right w:val="single" w:sz="4" w:space="0" w:color="auto"/>
            </w:tcBorders>
            <w:vAlign w:val="center"/>
          </w:tcPr>
          <w:p w14:paraId="6737EF00" w14:textId="77777777" w:rsidR="003E78AB" w:rsidRDefault="003E78AB">
            <w:pPr>
              <w:spacing w:line="360" w:lineRule="exact"/>
              <w:ind w:firstLineChars="0" w:firstLine="0"/>
              <w:rPr>
                <w:bCs/>
                <w:sz w:val="21"/>
                <w:szCs w:val="21"/>
              </w:rPr>
            </w:pPr>
          </w:p>
        </w:tc>
      </w:tr>
      <w:tr w:rsidR="003E78AB" w14:paraId="138A5D9E" w14:textId="77777777">
        <w:tc>
          <w:tcPr>
            <w:tcW w:w="475" w:type="pct"/>
            <w:vAlign w:val="center"/>
          </w:tcPr>
          <w:p w14:paraId="041CE437" w14:textId="77777777" w:rsidR="003E78AB" w:rsidRDefault="00010BF9">
            <w:pPr>
              <w:spacing w:line="360" w:lineRule="exact"/>
              <w:ind w:firstLineChars="0" w:firstLine="0"/>
              <w:jc w:val="center"/>
              <w:rPr>
                <w:bCs/>
                <w:sz w:val="21"/>
                <w:szCs w:val="21"/>
              </w:rPr>
            </w:pPr>
            <w:r>
              <w:rPr>
                <w:bCs/>
                <w:spacing w:val="-1"/>
                <w:sz w:val="21"/>
                <w:szCs w:val="21"/>
              </w:rPr>
              <w:t>A2</w:t>
            </w:r>
            <w:r>
              <w:rPr>
                <w:bCs/>
                <w:spacing w:val="-1"/>
                <w:sz w:val="21"/>
                <w:szCs w:val="21"/>
              </w:rPr>
              <w:t>污</w:t>
            </w:r>
            <w:r>
              <w:rPr>
                <w:bCs/>
                <w:spacing w:val="6"/>
                <w:sz w:val="21"/>
                <w:szCs w:val="21"/>
              </w:rPr>
              <w:t>染物</w:t>
            </w:r>
            <w:r>
              <w:rPr>
                <w:bCs/>
                <w:spacing w:val="-5"/>
                <w:sz w:val="21"/>
                <w:szCs w:val="21"/>
              </w:rPr>
              <w:t>排放</w:t>
            </w:r>
            <w:r>
              <w:rPr>
                <w:bCs/>
                <w:spacing w:val="5"/>
                <w:sz w:val="21"/>
                <w:szCs w:val="21"/>
              </w:rPr>
              <w:t>管控</w:t>
            </w:r>
          </w:p>
        </w:tc>
        <w:tc>
          <w:tcPr>
            <w:tcW w:w="2426" w:type="pct"/>
            <w:shd w:val="clear" w:color="auto" w:fill="auto"/>
            <w:vAlign w:val="center"/>
          </w:tcPr>
          <w:p w14:paraId="636BB33F" w14:textId="77777777" w:rsidR="003E78AB" w:rsidRDefault="00010BF9">
            <w:pPr>
              <w:spacing w:line="360" w:lineRule="exact"/>
              <w:ind w:firstLineChars="0" w:firstLine="0"/>
              <w:rPr>
                <w:bCs/>
                <w:sz w:val="21"/>
                <w:szCs w:val="21"/>
              </w:rPr>
            </w:pPr>
            <w:r>
              <w:rPr>
                <w:bCs/>
                <w:sz w:val="21"/>
                <w:szCs w:val="21"/>
              </w:rPr>
              <w:t>〔</w:t>
            </w:r>
            <w:r>
              <w:rPr>
                <w:bCs/>
                <w:sz w:val="21"/>
                <w:szCs w:val="21"/>
              </w:rPr>
              <w:t>A2.1-1</w:t>
            </w:r>
            <w:r>
              <w:rPr>
                <w:bCs/>
                <w:sz w:val="21"/>
                <w:szCs w:val="21"/>
              </w:rPr>
              <w:t>〕新、改、扩建重点行业建设项目应符合</w:t>
            </w:r>
            <w:r>
              <w:rPr>
                <w:bCs/>
                <w:sz w:val="21"/>
                <w:szCs w:val="21"/>
              </w:rPr>
              <w:t>“</w:t>
            </w:r>
            <w:r>
              <w:rPr>
                <w:bCs/>
                <w:sz w:val="21"/>
                <w:szCs w:val="21"/>
              </w:rPr>
              <w:t>三线一单</w:t>
            </w:r>
            <w:r>
              <w:rPr>
                <w:bCs/>
                <w:sz w:val="21"/>
                <w:szCs w:val="21"/>
              </w:rPr>
              <w:t>”</w:t>
            </w:r>
            <w:r>
              <w:rPr>
                <w:bCs/>
                <w:sz w:val="21"/>
                <w:szCs w:val="21"/>
              </w:rPr>
              <w:t>、产业政策、区域环评、规划环评和行业环境准入管控要求。重点区域的新、改、扩建重点行业建设项目应遵循重点重金属污染物排放</w:t>
            </w:r>
            <w:r>
              <w:rPr>
                <w:bCs/>
                <w:sz w:val="21"/>
                <w:szCs w:val="21"/>
              </w:rPr>
              <w:t>“</w:t>
            </w:r>
            <w:r>
              <w:rPr>
                <w:bCs/>
                <w:sz w:val="21"/>
                <w:szCs w:val="21"/>
              </w:rPr>
              <w:t>减量替代</w:t>
            </w:r>
            <w:r>
              <w:rPr>
                <w:bCs/>
                <w:sz w:val="21"/>
                <w:szCs w:val="21"/>
              </w:rPr>
              <w:t>”</w:t>
            </w:r>
            <w:r>
              <w:rPr>
                <w:bCs/>
                <w:sz w:val="21"/>
                <w:szCs w:val="21"/>
              </w:rPr>
              <w:t>原则。</w:t>
            </w:r>
          </w:p>
        </w:tc>
        <w:tc>
          <w:tcPr>
            <w:tcW w:w="1652" w:type="pct"/>
            <w:vAlign w:val="center"/>
          </w:tcPr>
          <w:p w14:paraId="35C86A9A" w14:textId="77777777" w:rsidR="003E78AB" w:rsidRDefault="00010BF9">
            <w:pPr>
              <w:spacing w:line="360" w:lineRule="exact"/>
              <w:ind w:firstLineChars="0" w:firstLine="0"/>
              <w:rPr>
                <w:bCs/>
                <w:sz w:val="21"/>
                <w:szCs w:val="21"/>
              </w:rPr>
            </w:pPr>
            <w:r>
              <w:rPr>
                <w:bCs/>
                <w:sz w:val="21"/>
                <w:szCs w:val="21"/>
              </w:rPr>
              <w:t>本项目符合</w:t>
            </w:r>
            <w:r>
              <w:rPr>
                <w:bCs/>
                <w:sz w:val="21"/>
                <w:szCs w:val="21"/>
              </w:rPr>
              <w:t>“</w:t>
            </w:r>
            <w:r>
              <w:rPr>
                <w:bCs/>
                <w:sz w:val="21"/>
                <w:szCs w:val="21"/>
              </w:rPr>
              <w:t>三线一单</w:t>
            </w:r>
            <w:r>
              <w:rPr>
                <w:bCs/>
                <w:sz w:val="21"/>
                <w:szCs w:val="21"/>
              </w:rPr>
              <w:t>”</w:t>
            </w:r>
            <w:r>
              <w:rPr>
                <w:bCs/>
                <w:sz w:val="21"/>
                <w:szCs w:val="21"/>
              </w:rPr>
              <w:t>、产业政策、区域环评、规划环评和行业环境准入管控要求。本项目涉及钒重金属，但未列入新疆重金属污染防控的</w:t>
            </w:r>
            <w:r>
              <w:rPr>
                <w:bCs/>
                <w:sz w:val="21"/>
                <w:szCs w:val="21"/>
              </w:rPr>
              <w:t>7</w:t>
            </w:r>
            <w:r>
              <w:rPr>
                <w:bCs/>
                <w:sz w:val="21"/>
                <w:szCs w:val="21"/>
              </w:rPr>
              <w:t>类重点重金属污染物和</w:t>
            </w:r>
            <w:r>
              <w:rPr>
                <w:bCs/>
                <w:sz w:val="21"/>
                <w:szCs w:val="21"/>
              </w:rPr>
              <w:t>6</w:t>
            </w:r>
            <w:r>
              <w:rPr>
                <w:bCs/>
                <w:sz w:val="21"/>
                <w:szCs w:val="21"/>
              </w:rPr>
              <w:t>类重点行业（新环固体发〔</w:t>
            </w:r>
            <w:r>
              <w:rPr>
                <w:bCs/>
                <w:sz w:val="21"/>
                <w:szCs w:val="21"/>
              </w:rPr>
              <w:t>2022</w:t>
            </w:r>
            <w:r>
              <w:rPr>
                <w:bCs/>
                <w:sz w:val="21"/>
                <w:szCs w:val="21"/>
              </w:rPr>
              <w:t>〕</w:t>
            </w:r>
            <w:r>
              <w:rPr>
                <w:bCs/>
                <w:sz w:val="21"/>
                <w:szCs w:val="21"/>
              </w:rPr>
              <w:t>88</w:t>
            </w:r>
            <w:r>
              <w:rPr>
                <w:bCs/>
                <w:sz w:val="21"/>
                <w:szCs w:val="21"/>
              </w:rPr>
              <w:t>号），无需重金属总量替代。</w:t>
            </w:r>
          </w:p>
        </w:tc>
        <w:tc>
          <w:tcPr>
            <w:tcW w:w="446" w:type="pct"/>
            <w:vAlign w:val="center"/>
          </w:tcPr>
          <w:p w14:paraId="64AE734E"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13EB8A36" w14:textId="77777777">
        <w:tc>
          <w:tcPr>
            <w:tcW w:w="475" w:type="pct"/>
            <w:vMerge/>
            <w:vAlign w:val="center"/>
          </w:tcPr>
          <w:p w14:paraId="3E36278D" w14:textId="77777777" w:rsidR="003E78AB" w:rsidRDefault="003E78AB">
            <w:pPr>
              <w:spacing w:line="360" w:lineRule="exact"/>
              <w:ind w:firstLineChars="0" w:firstLine="0"/>
              <w:rPr>
                <w:bCs/>
                <w:sz w:val="21"/>
                <w:szCs w:val="21"/>
              </w:rPr>
            </w:pPr>
          </w:p>
        </w:tc>
        <w:tc>
          <w:tcPr>
            <w:tcW w:w="2426" w:type="pct"/>
            <w:shd w:val="clear" w:color="auto" w:fill="auto"/>
            <w:vAlign w:val="center"/>
          </w:tcPr>
          <w:p w14:paraId="3E982C0E" w14:textId="77777777" w:rsidR="003E78AB" w:rsidRDefault="00010BF9">
            <w:pPr>
              <w:spacing w:line="360" w:lineRule="exact"/>
              <w:ind w:firstLineChars="0" w:firstLine="0"/>
              <w:rPr>
                <w:bCs/>
                <w:sz w:val="21"/>
                <w:szCs w:val="21"/>
              </w:rPr>
            </w:pPr>
            <w:r>
              <w:rPr>
                <w:bCs/>
                <w:sz w:val="21"/>
                <w:szCs w:val="21"/>
              </w:rPr>
              <w:t>〔</w:t>
            </w:r>
            <w:r>
              <w:rPr>
                <w:bCs/>
                <w:sz w:val="21"/>
                <w:szCs w:val="21"/>
              </w:rPr>
              <w:t>A2.2-7</w:t>
            </w:r>
            <w:r>
              <w:rPr>
                <w:bCs/>
                <w:sz w:val="21"/>
                <w:szCs w:val="21"/>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652" w:type="pct"/>
            <w:vAlign w:val="center"/>
          </w:tcPr>
          <w:p w14:paraId="6EDEFB23" w14:textId="77777777" w:rsidR="003E78AB" w:rsidRDefault="00010BF9">
            <w:pPr>
              <w:spacing w:line="360" w:lineRule="exact"/>
              <w:ind w:firstLineChars="0" w:firstLine="0"/>
              <w:rPr>
                <w:bCs/>
                <w:sz w:val="21"/>
                <w:szCs w:val="21"/>
              </w:rPr>
            </w:pPr>
            <w:r>
              <w:rPr>
                <w:bCs/>
                <w:sz w:val="21"/>
                <w:szCs w:val="21"/>
              </w:rPr>
              <w:t>本项目涉及危险化学品的</w:t>
            </w:r>
            <w:r>
              <w:rPr>
                <w:rFonts w:hint="eastAsia"/>
                <w:bCs/>
                <w:sz w:val="21"/>
                <w:szCs w:val="21"/>
              </w:rPr>
              <w:t>生产、</w:t>
            </w:r>
            <w:r>
              <w:rPr>
                <w:bCs/>
                <w:sz w:val="21"/>
                <w:szCs w:val="21"/>
              </w:rPr>
              <w:t>使用和储存，项目建成后将按要求开展地下水跟踪监测和调查评估工作。</w:t>
            </w:r>
          </w:p>
        </w:tc>
        <w:tc>
          <w:tcPr>
            <w:tcW w:w="446" w:type="pct"/>
            <w:vAlign w:val="center"/>
          </w:tcPr>
          <w:p w14:paraId="7B5556B0" w14:textId="77777777" w:rsidR="003E78AB" w:rsidRDefault="00010BF9">
            <w:pPr>
              <w:spacing w:line="360" w:lineRule="exact"/>
              <w:ind w:firstLineChars="0" w:firstLine="0"/>
              <w:jc w:val="center"/>
              <w:rPr>
                <w:bCs/>
                <w:sz w:val="21"/>
                <w:szCs w:val="21"/>
              </w:rPr>
            </w:pPr>
            <w:r>
              <w:rPr>
                <w:rFonts w:hint="eastAsia"/>
                <w:bCs/>
                <w:sz w:val="21"/>
                <w:szCs w:val="21"/>
              </w:rPr>
              <w:t>相符</w:t>
            </w:r>
          </w:p>
        </w:tc>
      </w:tr>
      <w:tr w:rsidR="003E78AB" w14:paraId="4BDD5395" w14:textId="77777777">
        <w:tc>
          <w:tcPr>
            <w:tcW w:w="475" w:type="pct"/>
            <w:vAlign w:val="center"/>
          </w:tcPr>
          <w:p w14:paraId="4E21FF3A" w14:textId="77777777" w:rsidR="003E78AB" w:rsidRDefault="00010BF9">
            <w:pPr>
              <w:pStyle w:val="TableText"/>
              <w:spacing w:line="360" w:lineRule="exact"/>
              <w:ind w:firstLineChars="0" w:firstLine="0"/>
              <w:jc w:val="center"/>
              <w:textAlignment w:val="baseline"/>
              <w:rPr>
                <w:rFonts w:ascii="Times New Roman" w:hAnsi="Times New Roman" w:cs="Times New Roman"/>
                <w:bCs/>
                <w:sz w:val="21"/>
                <w:szCs w:val="21"/>
              </w:rPr>
            </w:pPr>
            <w:r>
              <w:rPr>
                <w:rFonts w:ascii="Times New Roman" w:hAnsi="Times New Roman" w:cs="Times New Roman"/>
                <w:bCs/>
                <w:spacing w:val="-1"/>
                <w:sz w:val="21"/>
                <w:szCs w:val="21"/>
              </w:rPr>
              <w:t>A3</w:t>
            </w:r>
            <w:r>
              <w:rPr>
                <w:rFonts w:ascii="Times New Roman" w:hAnsi="Times New Roman" w:cs="Times New Roman"/>
                <w:bCs/>
                <w:spacing w:val="-1"/>
                <w:sz w:val="21"/>
                <w:szCs w:val="21"/>
              </w:rPr>
              <w:t>环</w:t>
            </w:r>
            <w:r>
              <w:rPr>
                <w:rFonts w:ascii="Times New Roman" w:hAnsi="Times New Roman" w:cs="Times New Roman"/>
                <w:bCs/>
                <w:spacing w:val="5"/>
                <w:sz w:val="21"/>
                <w:szCs w:val="21"/>
              </w:rPr>
              <w:t>境风</w:t>
            </w:r>
          </w:p>
          <w:p w14:paraId="09492419" w14:textId="77777777" w:rsidR="003E78AB" w:rsidRDefault="00010BF9">
            <w:pPr>
              <w:spacing w:line="360" w:lineRule="exact"/>
              <w:ind w:firstLineChars="0" w:firstLine="0"/>
              <w:jc w:val="center"/>
              <w:rPr>
                <w:bCs/>
                <w:sz w:val="21"/>
                <w:szCs w:val="21"/>
              </w:rPr>
            </w:pPr>
            <w:r>
              <w:rPr>
                <w:bCs/>
                <w:spacing w:val="6"/>
                <w:sz w:val="21"/>
                <w:szCs w:val="21"/>
              </w:rPr>
              <w:t>险防</w:t>
            </w:r>
            <w:r>
              <w:rPr>
                <w:bCs/>
                <w:sz w:val="21"/>
                <w:szCs w:val="21"/>
              </w:rPr>
              <w:t>控</w:t>
            </w:r>
          </w:p>
        </w:tc>
        <w:tc>
          <w:tcPr>
            <w:tcW w:w="2426" w:type="pct"/>
            <w:shd w:val="clear" w:color="auto" w:fill="auto"/>
            <w:vAlign w:val="center"/>
          </w:tcPr>
          <w:p w14:paraId="55FA8642" w14:textId="77777777" w:rsidR="003E78AB" w:rsidRDefault="00010BF9">
            <w:pPr>
              <w:spacing w:line="360" w:lineRule="exact"/>
              <w:ind w:firstLineChars="0" w:firstLine="0"/>
              <w:rPr>
                <w:bCs/>
                <w:sz w:val="21"/>
                <w:szCs w:val="21"/>
              </w:rPr>
            </w:pPr>
            <w:r>
              <w:rPr>
                <w:bCs/>
                <w:sz w:val="21"/>
                <w:szCs w:val="21"/>
              </w:rPr>
              <w:t>〔</w:t>
            </w:r>
            <w:r>
              <w:rPr>
                <w:bCs/>
                <w:sz w:val="21"/>
                <w:szCs w:val="21"/>
              </w:rPr>
              <w:t>A3.2-5</w:t>
            </w:r>
            <w:r>
              <w:rPr>
                <w:bCs/>
                <w:sz w:val="21"/>
                <w:szCs w:val="21"/>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52" w:type="pct"/>
            <w:shd w:val="clear" w:color="auto" w:fill="auto"/>
            <w:vAlign w:val="center"/>
          </w:tcPr>
          <w:p w14:paraId="06FD6E24" w14:textId="77777777" w:rsidR="003E78AB" w:rsidRDefault="00010BF9">
            <w:pPr>
              <w:spacing w:line="360" w:lineRule="exact"/>
              <w:ind w:firstLineChars="0" w:firstLine="0"/>
              <w:rPr>
                <w:bCs/>
                <w:sz w:val="21"/>
                <w:szCs w:val="21"/>
              </w:rPr>
            </w:pPr>
            <w:r>
              <w:rPr>
                <w:rFonts w:hint="eastAsia"/>
                <w:bCs/>
                <w:sz w:val="21"/>
                <w:szCs w:val="21"/>
              </w:rPr>
              <w:t>本项目配备完备的应急风险防控措施，在项目建成后将编制突发环境事件应急预案并在地方生态环境部门备案。</w:t>
            </w:r>
          </w:p>
        </w:tc>
        <w:tc>
          <w:tcPr>
            <w:tcW w:w="446" w:type="pct"/>
            <w:shd w:val="clear" w:color="auto" w:fill="auto"/>
            <w:vAlign w:val="center"/>
          </w:tcPr>
          <w:p w14:paraId="43771E97" w14:textId="77777777" w:rsidR="003E78AB" w:rsidRDefault="00010BF9">
            <w:pPr>
              <w:spacing w:line="360" w:lineRule="exact"/>
              <w:ind w:firstLineChars="0" w:firstLine="0"/>
              <w:jc w:val="center"/>
              <w:rPr>
                <w:bCs/>
                <w:sz w:val="21"/>
                <w:szCs w:val="21"/>
              </w:rPr>
            </w:pPr>
            <w:r>
              <w:rPr>
                <w:rFonts w:hint="eastAsia"/>
                <w:bCs/>
                <w:sz w:val="21"/>
                <w:szCs w:val="21"/>
              </w:rPr>
              <w:t>相符</w:t>
            </w:r>
          </w:p>
        </w:tc>
      </w:tr>
      <w:bookmarkEnd w:id="0"/>
      <w:tr w:rsidR="003E78AB" w14:paraId="1965752B" w14:textId="77777777">
        <w:tc>
          <w:tcPr>
            <w:tcW w:w="475" w:type="pct"/>
            <w:vAlign w:val="center"/>
          </w:tcPr>
          <w:p w14:paraId="04DC54F9" w14:textId="77777777" w:rsidR="003E78AB" w:rsidRDefault="00010BF9">
            <w:pPr>
              <w:pStyle w:val="TableText"/>
              <w:spacing w:line="360" w:lineRule="exact"/>
              <w:ind w:firstLineChars="0" w:firstLine="0"/>
              <w:jc w:val="center"/>
              <w:textAlignment w:val="baseline"/>
              <w:rPr>
                <w:rFonts w:ascii="Times New Roman" w:hAnsi="Times New Roman" w:cs="Times New Roman"/>
                <w:bCs/>
                <w:sz w:val="21"/>
                <w:szCs w:val="21"/>
              </w:rPr>
            </w:pPr>
            <w:r>
              <w:rPr>
                <w:rFonts w:ascii="Times New Roman" w:hAnsi="Times New Roman" w:cs="Times New Roman"/>
                <w:bCs/>
                <w:spacing w:val="4"/>
                <w:sz w:val="21"/>
                <w:szCs w:val="21"/>
              </w:rPr>
              <w:t>A4</w:t>
            </w:r>
            <w:r>
              <w:rPr>
                <w:rFonts w:ascii="Times New Roman" w:hAnsi="Times New Roman" w:cs="Times New Roman"/>
                <w:bCs/>
                <w:spacing w:val="4"/>
                <w:sz w:val="21"/>
                <w:szCs w:val="21"/>
              </w:rPr>
              <w:t>资源利用要求</w:t>
            </w:r>
          </w:p>
        </w:tc>
        <w:tc>
          <w:tcPr>
            <w:tcW w:w="2426" w:type="pct"/>
            <w:shd w:val="clear" w:color="auto" w:fill="auto"/>
            <w:vAlign w:val="center"/>
          </w:tcPr>
          <w:p w14:paraId="13B47FC5" w14:textId="77777777" w:rsidR="003E78AB" w:rsidRDefault="00010BF9">
            <w:pPr>
              <w:spacing w:line="360" w:lineRule="exact"/>
              <w:ind w:firstLineChars="0" w:firstLine="0"/>
              <w:rPr>
                <w:bCs/>
                <w:sz w:val="21"/>
                <w:szCs w:val="21"/>
              </w:rPr>
            </w:pPr>
            <w:r>
              <w:rPr>
                <w:bCs/>
                <w:sz w:val="21"/>
                <w:szCs w:val="21"/>
              </w:rPr>
              <w:t>〔</w:t>
            </w:r>
            <w:r>
              <w:rPr>
                <w:bCs/>
                <w:sz w:val="21"/>
                <w:szCs w:val="21"/>
              </w:rPr>
              <w:t>A4.5-1</w:t>
            </w:r>
            <w:r>
              <w:rPr>
                <w:bCs/>
                <w:sz w:val="21"/>
                <w:szCs w:val="21"/>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w:t>
            </w:r>
            <w:r>
              <w:rPr>
                <w:bCs/>
                <w:sz w:val="21"/>
                <w:szCs w:val="21"/>
              </w:rPr>
              <w:t>“</w:t>
            </w:r>
            <w:r>
              <w:rPr>
                <w:bCs/>
                <w:sz w:val="21"/>
                <w:szCs w:val="21"/>
              </w:rPr>
              <w:t>逆向回收</w:t>
            </w:r>
            <w:r>
              <w:rPr>
                <w:bCs/>
                <w:sz w:val="21"/>
                <w:szCs w:val="21"/>
              </w:rPr>
              <w:t>”</w:t>
            </w:r>
            <w:r>
              <w:rPr>
                <w:bCs/>
                <w:sz w:val="21"/>
                <w:szCs w:val="21"/>
              </w:rPr>
              <w:t>等模式。以尾矿和共伴生矿、煤研石、炉渣、粉煤灰、脱硫石膏、冶炼渣、建筑垃圾等为重点，持续推进固体废物综合利用和环境整治，不断提高大宗固体废物资源化利用水平。推行生活垃圾分类，加快建设县</w:t>
            </w:r>
            <w:r>
              <w:rPr>
                <w:bCs/>
                <w:sz w:val="21"/>
                <w:szCs w:val="21"/>
              </w:rPr>
              <w:t>(</w:t>
            </w:r>
            <w:r>
              <w:rPr>
                <w:bCs/>
                <w:sz w:val="21"/>
                <w:szCs w:val="21"/>
              </w:rPr>
              <w:t>市</w:t>
            </w:r>
            <w:r>
              <w:rPr>
                <w:bCs/>
                <w:sz w:val="21"/>
                <w:szCs w:val="21"/>
              </w:rPr>
              <w:t>)</w:t>
            </w:r>
            <w:r>
              <w:rPr>
                <w:bCs/>
                <w:sz w:val="21"/>
                <w:szCs w:val="21"/>
              </w:rPr>
              <w:t>生活垃圾处理设施，到</w:t>
            </w:r>
            <w:r>
              <w:rPr>
                <w:bCs/>
                <w:sz w:val="21"/>
                <w:szCs w:val="21"/>
              </w:rPr>
              <w:t>2025</w:t>
            </w:r>
            <w:r>
              <w:rPr>
                <w:bCs/>
                <w:sz w:val="21"/>
                <w:szCs w:val="21"/>
              </w:rPr>
              <w:t>年，全疆城市生活垃圾无害化处理率达到</w:t>
            </w:r>
            <w:r>
              <w:rPr>
                <w:bCs/>
                <w:sz w:val="21"/>
                <w:szCs w:val="21"/>
              </w:rPr>
              <w:t>99%</w:t>
            </w:r>
            <w:r>
              <w:rPr>
                <w:bCs/>
                <w:sz w:val="21"/>
                <w:szCs w:val="21"/>
              </w:rPr>
              <w:t>以上</w:t>
            </w:r>
          </w:p>
        </w:tc>
        <w:tc>
          <w:tcPr>
            <w:tcW w:w="1652" w:type="pct"/>
            <w:vAlign w:val="center"/>
          </w:tcPr>
          <w:p w14:paraId="0E965B99" w14:textId="77777777" w:rsidR="003E78AB" w:rsidRDefault="00010BF9">
            <w:pPr>
              <w:spacing w:line="360" w:lineRule="exact"/>
              <w:ind w:firstLineChars="0" w:firstLine="0"/>
              <w:rPr>
                <w:bCs/>
                <w:sz w:val="21"/>
                <w:szCs w:val="21"/>
              </w:rPr>
            </w:pPr>
            <w:r>
              <w:rPr>
                <w:rFonts w:hint="eastAsia"/>
                <w:bCs/>
                <w:sz w:val="21"/>
                <w:szCs w:val="21"/>
              </w:rPr>
              <w:t>本项目危险废物和一般工业固废均安全处置。</w:t>
            </w:r>
          </w:p>
        </w:tc>
        <w:tc>
          <w:tcPr>
            <w:tcW w:w="446" w:type="pct"/>
            <w:vAlign w:val="center"/>
          </w:tcPr>
          <w:p w14:paraId="3944A472" w14:textId="77777777" w:rsidR="003E78AB" w:rsidRDefault="00010BF9">
            <w:pPr>
              <w:spacing w:line="360" w:lineRule="exact"/>
              <w:ind w:firstLineChars="0" w:firstLine="0"/>
              <w:jc w:val="center"/>
              <w:rPr>
                <w:bCs/>
                <w:sz w:val="21"/>
                <w:szCs w:val="21"/>
              </w:rPr>
            </w:pPr>
            <w:r>
              <w:rPr>
                <w:rFonts w:hint="eastAsia"/>
                <w:bCs/>
                <w:sz w:val="21"/>
                <w:szCs w:val="21"/>
              </w:rPr>
              <w:t>相符</w:t>
            </w:r>
          </w:p>
        </w:tc>
      </w:tr>
    </w:tbl>
    <w:p w14:paraId="644CBE9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2.8.3.</w:t>
      </w:r>
      <w:r>
        <w:rPr>
          <w:rFonts w:ascii="Times New Roman" w:hAnsi="Times New Roman" w:hint="eastAsia"/>
        </w:rPr>
        <w:t>4</w:t>
      </w:r>
      <w:r>
        <w:rPr>
          <w:rFonts w:ascii="Times New Roman" w:hAnsi="Times New Roman"/>
        </w:rPr>
        <w:t>与《新疆维吾尔自治区重点行业生态环境准入条件（</w:t>
      </w:r>
      <w:r>
        <w:rPr>
          <w:rFonts w:ascii="Times New Roman" w:hAnsi="Times New Roman"/>
        </w:rPr>
        <w:t>2024</w:t>
      </w:r>
      <w:r>
        <w:rPr>
          <w:rFonts w:ascii="Times New Roman" w:hAnsi="Times New Roman"/>
        </w:rPr>
        <w:t>年）》的符合性</w:t>
      </w:r>
    </w:p>
    <w:p w14:paraId="6F38D476" w14:textId="77777777" w:rsidR="003E78AB" w:rsidRDefault="00010BF9">
      <w:pPr>
        <w:ind w:firstLine="480"/>
        <w:rPr>
          <w:kern w:val="2"/>
        </w:rPr>
      </w:pPr>
      <w:r>
        <w:rPr>
          <w:kern w:val="2"/>
        </w:rPr>
        <w:t>本项目属于</w:t>
      </w:r>
      <w:r>
        <w:rPr>
          <w:kern w:val="2"/>
        </w:rPr>
        <w:t>“C2669</w:t>
      </w:r>
      <w:r>
        <w:rPr>
          <w:kern w:val="2"/>
        </w:rPr>
        <w:t>其他专用化学产品制造</w:t>
      </w:r>
      <w:r>
        <w:rPr>
          <w:kern w:val="2"/>
        </w:rPr>
        <w:t>”</w:t>
      </w:r>
      <w:r>
        <w:rPr>
          <w:kern w:val="2"/>
        </w:rPr>
        <w:t>项目，经对照，不在《新疆维吾尔自治区重点行业生态环境准入条件（</w:t>
      </w:r>
      <w:r>
        <w:rPr>
          <w:kern w:val="2"/>
        </w:rPr>
        <w:t>2024</w:t>
      </w:r>
      <w:r>
        <w:rPr>
          <w:kern w:val="2"/>
        </w:rPr>
        <w:t>年）》所列的重点行业目录中，因此对照通则进行分析，符合性详见下表。</w:t>
      </w:r>
    </w:p>
    <w:p w14:paraId="723BADBF" w14:textId="77777777" w:rsidR="003E78AB" w:rsidRDefault="00010BF9">
      <w:pPr>
        <w:pStyle w:val="a5"/>
      </w:pPr>
      <w:r>
        <w:rPr>
          <w:w w:val="90"/>
        </w:rPr>
        <w:t>与《新疆维吾尔自治区重点行业生态环境准入条件（</w:t>
      </w:r>
      <w:r>
        <w:rPr>
          <w:w w:val="90"/>
        </w:rPr>
        <w:t>2024</w:t>
      </w:r>
      <w:r>
        <w:rPr>
          <w:w w:val="90"/>
        </w:rPr>
        <w:t>年）》符合性分析</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5"/>
        <w:gridCol w:w="1986"/>
        <w:gridCol w:w="894"/>
      </w:tblGrid>
      <w:tr w:rsidR="003E78AB" w14:paraId="1B0B4D09" w14:textId="77777777">
        <w:trPr>
          <w:trHeight w:val="283"/>
          <w:tblHeader/>
          <w:jc w:val="center"/>
        </w:trPr>
        <w:tc>
          <w:tcPr>
            <w:tcW w:w="3289" w:type="pct"/>
            <w:tcMar>
              <w:left w:w="57" w:type="dxa"/>
              <w:right w:w="57" w:type="dxa"/>
            </w:tcMar>
            <w:vAlign w:val="center"/>
          </w:tcPr>
          <w:p w14:paraId="76857464" w14:textId="77777777" w:rsidR="003E78AB" w:rsidRDefault="00010BF9">
            <w:pPr>
              <w:pStyle w:val="aff6"/>
              <w:topLinePunct/>
              <w:rPr>
                <w:b/>
              </w:rPr>
            </w:pPr>
            <w:r>
              <w:rPr>
                <w:b/>
              </w:rPr>
              <w:t>生态环境准入总体要求</w:t>
            </w:r>
          </w:p>
        </w:tc>
        <w:tc>
          <w:tcPr>
            <w:tcW w:w="1180" w:type="pct"/>
            <w:tcMar>
              <w:left w:w="57" w:type="dxa"/>
              <w:right w:w="57" w:type="dxa"/>
            </w:tcMar>
            <w:vAlign w:val="center"/>
          </w:tcPr>
          <w:p w14:paraId="78CF11D7" w14:textId="77777777" w:rsidR="003E78AB" w:rsidRDefault="00010BF9">
            <w:pPr>
              <w:pStyle w:val="aff6"/>
              <w:topLinePunct/>
              <w:rPr>
                <w:b/>
              </w:rPr>
            </w:pPr>
            <w:r>
              <w:rPr>
                <w:b/>
              </w:rPr>
              <w:t>本项目实际情况</w:t>
            </w:r>
          </w:p>
        </w:tc>
        <w:tc>
          <w:tcPr>
            <w:tcW w:w="529" w:type="pct"/>
            <w:tcMar>
              <w:left w:w="57" w:type="dxa"/>
              <w:right w:w="57" w:type="dxa"/>
            </w:tcMar>
            <w:vAlign w:val="center"/>
          </w:tcPr>
          <w:p w14:paraId="3AEC6C80" w14:textId="77777777" w:rsidR="003E78AB" w:rsidRDefault="00010BF9">
            <w:pPr>
              <w:pStyle w:val="aff6"/>
              <w:topLinePunct/>
              <w:rPr>
                <w:b/>
              </w:rPr>
            </w:pPr>
            <w:r>
              <w:rPr>
                <w:b/>
              </w:rPr>
              <w:t>符合性</w:t>
            </w:r>
          </w:p>
        </w:tc>
      </w:tr>
      <w:tr w:rsidR="003E78AB" w14:paraId="1C47B188" w14:textId="77777777">
        <w:trPr>
          <w:trHeight w:val="283"/>
          <w:jc w:val="center"/>
        </w:trPr>
        <w:tc>
          <w:tcPr>
            <w:tcW w:w="3289" w:type="pct"/>
            <w:tcMar>
              <w:left w:w="57" w:type="dxa"/>
              <w:right w:w="57" w:type="dxa"/>
            </w:tcMar>
            <w:vAlign w:val="center"/>
          </w:tcPr>
          <w:p w14:paraId="1B970047" w14:textId="77777777" w:rsidR="003E78AB" w:rsidRDefault="00010BF9">
            <w:pPr>
              <w:pStyle w:val="aff6"/>
              <w:topLinePunct/>
              <w:jc w:val="both"/>
              <w:rPr>
                <w:bCs/>
              </w:rPr>
            </w:pPr>
            <w:r>
              <w:rPr>
                <w:bCs/>
              </w:rPr>
              <w:t>2.</w:t>
            </w:r>
            <w:r>
              <w:rPr>
                <w:bCs/>
              </w:rPr>
              <w:t>建设项目应符合国家、自治区相关法律法规</w:t>
            </w:r>
            <w:r>
              <w:rPr>
                <w:rFonts w:hint="eastAsia"/>
                <w:bCs/>
              </w:rPr>
              <w:t>和</w:t>
            </w:r>
            <w:r>
              <w:rPr>
                <w:bCs/>
              </w:rPr>
              <w:t>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1180" w:type="pct"/>
            <w:tcMar>
              <w:left w:w="57" w:type="dxa"/>
              <w:right w:w="57" w:type="dxa"/>
            </w:tcMar>
            <w:vAlign w:val="center"/>
          </w:tcPr>
          <w:p w14:paraId="0AF26B81" w14:textId="77777777" w:rsidR="003E78AB" w:rsidRDefault="00010BF9">
            <w:pPr>
              <w:pStyle w:val="aff6"/>
              <w:topLinePunct/>
              <w:jc w:val="both"/>
              <w:rPr>
                <w:bCs/>
              </w:rPr>
            </w:pPr>
            <w:r>
              <w:rPr>
                <w:bCs/>
              </w:rPr>
              <w:t>本项目</w:t>
            </w:r>
            <w:r>
              <w:rPr>
                <w:bCs/>
              </w:rPr>
              <w:t>1km</w:t>
            </w:r>
            <w:r>
              <w:rPr>
                <w:bCs/>
              </w:rPr>
              <w:t>范围内无河流、交通干线、居民集中区、疗养地、医院和食品、药品、电子等企业，由工程分析可知，本项目含钒固废委托危险废物处置单位妥善处置。</w:t>
            </w:r>
          </w:p>
        </w:tc>
        <w:tc>
          <w:tcPr>
            <w:tcW w:w="529" w:type="pct"/>
            <w:tcMar>
              <w:left w:w="57" w:type="dxa"/>
              <w:right w:w="57" w:type="dxa"/>
            </w:tcMar>
            <w:vAlign w:val="center"/>
          </w:tcPr>
          <w:p w14:paraId="1112E0D3" w14:textId="77777777" w:rsidR="003E78AB" w:rsidRDefault="00010BF9">
            <w:pPr>
              <w:pStyle w:val="aff6"/>
              <w:topLinePunct/>
              <w:rPr>
                <w:bCs/>
              </w:rPr>
            </w:pPr>
            <w:r>
              <w:rPr>
                <w:rFonts w:hint="eastAsia"/>
                <w:bCs/>
              </w:rPr>
              <w:t>相符</w:t>
            </w:r>
          </w:p>
        </w:tc>
      </w:tr>
      <w:tr w:rsidR="003E78AB" w14:paraId="472147B0" w14:textId="77777777">
        <w:trPr>
          <w:trHeight w:val="283"/>
          <w:jc w:val="center"/>
        </w:trPr>
        <w:tc>
          <w:tcPr>
            <w:tcW w:w="3289" w:type="pct"/>
            <w:tcMar>
              <w:left w:w="57" w:type="dxa"/>
              <w:right w:w="57" w:type="dxa"/>
            </w:tcMar>
            <w:vAlign w:val="center"/>
          </w:tcPr>
          <w:p w14:paraId="05726EB3" w14:textId="77777777" w:rsidR="003E78AB" w:rsidRDefault="00010BF9">
            <w:pPr>
              <w:pStyle w:val="aff6"/>
              <w:topLinePunct/>
              <w:jc w:val="both"/>
              <w:rPr>
                <w:bCs/>
              </w:rPr>
            </w:pPr>
            <w:r>
              <w:rPr>
                <w:bCs/>
              </w:rPr>
              <w:t>3.</w:t>
            </w:r>
            <w:r>
              <w:rPr>
                <w:bCs/>
              </w:rPr>
              <w:t>一切开发建设活动应符合国家、</w:t>
            </w:r>
            <w:r>
              <w:rPr>
                <w:bCs/>
              </w:rPr>
              <w:t>自治区主体功能区规划、自治区和各地颁布实施的国民经济发展规划、生态功能区划、国土空间规划、产业发展规划等相关规划及生态环境分区管控要求</w:t>
            </w:r>
            <w:r>
              <w:rPr>
                <w:rFonts w:hint="eastAsia"/>
                <w:bCs/>
              </w:rPr>
              <w:t>，</w:t>
            </w:r>
            <w:r>
              <w:rPr>
                <w:bCs/>
              </w:rPr>
              <w:t>符合区域（流域）或产业规划环评及审查意见要求。</w:t>
            </w:r>
          </w:p>
        </w:tc>
        <w:tc>
          <w:tcPr>
            <w:tcW w:w="1180" w:type="pct"/>
            <w:tcMar>
              <w:left w:w="57" w:type="dxa"/>
              <w:right w:w="57" w:type="dxa"/>
            </w:tcMar>
            <w:vAlign w:val="center"/>
          </w:tcPr>
          <w:p w14:paraId="120D76A9" w14:textId="77777777" w:rsidR="003E78AB" w:rsidRDefault="00010BF9">
            <w:pPr>
              <w:pStyle w:val="aff6"/>
              <w:topLinePunct/>
              <w:jc w:val="both"/>
              <w:rPr>
                <w:bCs/>
              </w:rPr>
            </w:pPr>
            <w:r>
              <w:rPr>
                <w:bCs/>
              </w:rPr>
              <w:t>本项目严格按照要求执行。</w:t>
            </w:r>
          </w:p>
        </w:tc>
        <w:tc>
          <w:tcPr>
            <w:tcW w:w="529" w:type="pct"/>
            <w:tcMar>
              <w:left w:w="57" w:type="dxa"/>
              <w:right w:w="57" w:type="dxa"/>
            </w:tcMar>
            <w:vAlign w:val="center"/>
          </w:tcPr>
          <w:p w14:paraId="298DFCA0" w14:textId="77777777" w:rsidR="003E78AB" w:rsidRDefault="00010BF9">
            <w:pPr>
              <w:pStyle w:val="aff6"/>
              <w:topLinePunct/>
              <w:rPr>
                <w:bCs/>
              </w:rPr>
            </w:pPr>
            <w:r>
              <w:rPr>
                <w:rFonts w:hint="eastAsia"/>
                <w:bCs/>
              </w:rPr>
              <w:t>相符</w:t>
            </w:r>
          </w:p>
        </w:tc>
      </w:tr>
      <w:tr w:rsidR="003E78AB" w14:paraId="5EFF74CB" w14:textId="77777777">
        <w:trPr>
          <w:trHeight w:val="283"/>
          <w:jc w:val="center"/>
        </w:trPr>
        <w:tc>
          <w:tcPr>
            <w:tcW w:w="3289" w:type="pct"/>
            <w:tcMar>
              <w:left w:w="57" w:type="dxa"/>
              <w:right w:w="57" w:type="dxa"/>
            </w:tcMar>
            <w:vAlign w:val="center"/>
          </w:tcPr>
          <w:p w14:paraId="62C8024D" w14:textId="77777777" w:rsidR="003E78AB" w:rsidRDefault="00010BF9">
            <w:pPr>
              <w:pStyle w:val="aff6"/>
              <w:topLinePunct/>
              <w:jc w:val="both"/>
              <w:rPr>
                <w:bCs/>
              </w:rPr>
            </w:pPr>
            <w:r>
              <w:rPr>
                <w:bCs/>
              </w:rPr>
              <w:t>4.</w:t>
            </w:r>
            <w:r>
              <w:rPr>
                <w:bCs/>
              </w:rPr>
              <w:t>禁止在自然保护区、世界自然遗产地、风景名胜区、自然公园（森林公园、地质公园、湿地公园、沙漠公园等）、重要湿地、饮用水水源保护区等依法划定禁止开发建设的环境敏感区及其</w:t>
            </w:r>
            <w:r>
              <w:rPr>
                <w:rFonts w:hint="eastAsia"/>
                <w:bCs/>
              </w:rPr>
              <w:t>他</w:t>
            </w:r>
            <w:r>
              <w:rPr>
                <w:bCs/>
              </w:rPr>
              <w:t>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w:t>
            </w:r>
            <w:r>
              <w:rPr>
                <w:bCs/>
              </w:rPr>
              <w:t xml:space="preserve"> </w:t>
            </w:r>
            <w:r>
              <w:rPr>
                <w:bCs/>
              </w:rPr>
              <w:t>生态环境部</w:t>
            </w:r>
            <w:r>
              <w:rPr>
                <w:bCs/>
              </w:rPr>
              <w:t xml:space="preserve"> </w:t>
            </w:r>
            <w:r>
              <w:rPr>
                <w:bCs/>
              </w:rPr>
              <w:t>国家林业和草原局关于加强生态保护红线管理的通知（试行）》（自然资发〔</w:t>
            </w:r>
            <w:r>
              <w:rPr>
                <w:bCs/>
              </w:rPr>
              <w:t>2022</w:t>
            </w:r>
            <w:r>
              <w:rPr>
                <w:bCs/>
              </w:rPr>
              <w:t>〕</w:t>
            </w:r>
            <w:r>
              <w:rPr>
                <w:bCs/>
              </w:rPr>
              <w:t>142</w:t>
            </w:r>
            <w:r>
              <w:rPr>
                <w:bCs/>
              </w:rPr>
              <w:t>号）执行，生态保护红线管控要求调整、更新的，从其规定。</w:t>
            </w:r>
          </w:p>
        </w:tc>
        <w:tc>
          <w:tcPr>
            <w:tcW w:w="1180" w:type="pct"/>
            <w:tcMar>
              <w:left w:w="57" w:type="dxa"/>
              <w:right w:w="57" w:type="dxa"/>
            </w:tcMar>
            <w:vAlign w:val="center"/>
          </w:tcPr>
          <w:p w14:paraId="2E0D3C3C" w14:textId="77777777" w:rsidR="003E78AB" w:rsidRDefault="00010BF9">
            <w:pPr>
              <w:pStyle w:val="aff6"/>
              <w:topLinePunct/>
              <w:jc w:val="both"/>
              <w:rPr>
                <w:bCs/>
              </w:rPr>
            </w:pPr>
            <w:r>
              <w:rPr>
                <w:bCs/>
              </w:rPr>
              <w:t>本项目未在依法划定禁止开发建设的环境敏感区及其</w:t>
            </w:r>
            <w:r>
              <w:rPr>
                <w:rFonts w:hint="eastAsia"/>
                <w:bCs/>
              </w:rPr>
              <w:t>他</w:t>
            </w:r>
            <w:r>
              <w:rPr>
                <w:bCs/>
              </w:rPr>
              <w:t>法律法规规章禁止的区域建设。</w:t>
            </w:r>
          </w:p>
        </w:tc>
        <w:tc>
          <w:tcPr>
            <w:tcW w:w="529" w:type="pct"/>
            <w:tcMar>
              <w:left w:w="57" w:type="dxa"/>
              <w:right w:w="57" w:type="dxa"/>
            </w:tcMar>
            <w:vAlign w:val="center"/>
          </w:tcPr>
          <w:p w14:paraId="4CCC91BA" w14:textId="77777777" w:rsidR="003E78AB" w:rsidRDefault="00010BF9">
            <w:pPr>
              <w:pStyle w:val="aff6"/>
              <w:topLinePunct/>
              <w:rPr>
                <w:bCs/>
              </w:rPr>
            </w:pPr>
            <w:r>
              <w:rPr>
                <w:rFonts w:hint="eastAsia"/>
                <w:bCs/>
              </w:rPr>
              <w:t>相符</w:t>
            </w:r>
          </w:p>
        </w:tc>
      </w:tr>
      <w:tr w:rsidR="003E78AB" w14:paraId="434CB045" w14:textId="77777777">
        <w:trPr>
          <w:trHeight w:val="283"/>
          <w:jc w:val="center"/>
        </w:trPr>
        <w:tc>
          <w:tcPr>
            <w:tcW w:w="3289" w:type="pct"/>
            <w:tcMar>
              <w:left w:w="57" w:type="dxa"/>
              <w:right w:w="57" w:type="dxa"/>
            </w:tcMar>
            <w:vAlign w:val="center"/>
          </w:tcPr>
          <w:p w14:paraId="093082FD" w14:textId="77777777" w:rsidR="003E78AB" w:rsidRDefault="00010BF9">
            <w:pPr>
              <w:pStyle w:val="aff6"/>
              <w:topLinePunct/>
              <w:jc w:val="both"/>
              <w:rPr>
                <w:bCs/>
              </w:rPr>
            </w:pPr>
            <w:r>
              <w:rPr>
                <w:bCs/>
              </w:rPr>
              <w:t>7.</w:t>
            </w:r>
            <w:r>
              <w:rPr>
                <w:bCs/>
              </w:rPr>
              <w:t>新建</w:t>
            </w:r>
            <w:r>
              <w:rPr>
                <w:bCs/>
              </w:rPr>
              <w:t>、扩建工业项目原则上应布置于依法合规设立、环境保护基础设施完善的产业园区、工业聚集区或规划矿区，并符合相关规划、规划环评及其审查意见要求；法律法规规章和政策另有规定的，从其规定。选址和厂区布置不合理的现有污染企业应根据相关要求，通过</w:t>
            </w:r>
            <w:r>
              <w:rPr>
                <w:bCs/>
              </w:rPr>
              <w:t>“</w:t>
            </w:r>
            <w:r>
              <w:rPr>
                <w:bCs/>
              </w:rPr>
              <w:t>搬迁、转产、停产</w:t>
            </w:r>
            <w:r>
              <w:rPr>
                <w:bCs/>
              </w:rPr>
              <w:t>”</w:t>
            </w:r>
            <w:r>
              <w:rPr>
                <w:bCs/>
              </w:rPr>
              <w:t>等方式限期整改，退城进园。</w:t>
            </w:r>
          </w:p>
        </w:tc>
        <w:tc>
          <w:tcPr>
            <w:tcW w:w="1180" w:type="pct"/>
            <w:tcMar>
              <w:left w:w="57" w:type="dxa"/>
              <w:right w:w="57" w:type="dxa"/>
            </w:tcMar>
            <w:vAlign w:val="center"/>
          </w:tcPr>
          <w:p w14:paraId="251DE553" w14:textId="77777777" w:rsidR="003E78AB" w:rsidRDefault="00010BF9">
            <w:pPr>
              <w:pStyle w:val="aff6"/>
              <w:topLinePunct/>
              <w:jc w:val="both"/>
              <w:rPr>
                <w:bCs/>
              </w:rPr>
            </w:pPr>
            <w:r>
              <w:rPr>
                <w:bCs/>
                <w:kern w:val="0"/>
              </w:rPr>
              <w:t>本项目设在新疆哈密高新区南部循环经济产业园中的</w:t>
            </w:r>
            <w:r>
              <w:rPr>
                <w:rFonts w:hint="eastAsia"/>
                <w:bCs/>
                <w:kern w:val="0"/>
              </w:rPr>
              <w:t>煤化工产业区</w:t>
            </w:r>
            <w:r>
              <w:rPr>
                <w:bCs/>
                <w:kern w:val="0"/>
              </w:rPr>
              <w:t>内，符合园区</w:t>
            </w:r>
            <w:r>
              <w:rPr>
                <w:bCs/>
              </w:rPr>
              <w:t>相关规划、规划环评及其审查意见要求。</w:t>
            </w:r>
          </w:p>
        </w:tc>
        <w:tc>
          <w:tcPr>
            <w:tcW w:w="529" w:type="pct"/>
            <w:tcMar>
              <w:left w:w="57" w:type="dxa"/>
              <w:right w:w="57" w:type="dxa"/>
            </w:tcMar>
            <w:vAlign w:val="center"/>
          </w:tcPr>
          <w:p w14:paraId="06F36A96" w14:textId="77777777" w:rsidR="003E78AB" w:rsidRDefault="00010BF9">
            <w:pPr>
              <w:pStyle w:val="aff6"/>
              <w:topLinePunct/>
              <w:rPr>
                <w:bCs/>
              </w:rPr>
            </w:pPr>
            <w:r>
              <w:rPr>
                <w:rFonts w:hint="eastAsia"/>
                <w:bCs/>
              </w:rPr>
              <w:t>相符</w:t>
            </w:r>
          </w:p>
        </w:tc>
      </w:tr>
      <w:tr w:rsidR="003E78AB" w14:paraId="4242FD83" w14:textId="77777777">
        <w:trPr>
          <w:trHeight w:val="283"/>
          <w:jc w:val="center"/>
        </w:trPr>
        <w:tc>
          <w:tcPr>
            <w:tcW w:w="3289" w:type="pct"/>
            <w:tcMar>
              <w:left w:w="57" w:type="dxa"/>
              <w:right w:w="57" w:type="dxa"/>
            </w:tcMar>
            <w:vAlign w:val="center"/>
          </w:tcPr>
          <w:p w14:paraId="70130E3F" w14:textId="77777777" w:rsidR="003E78AB" w:rsidRDefault="00010BF9">
            <w:pPr>
              <w:pStyle w:val="aff6"/>
              <w:topLinePunct/>
              <w:jc w:val="both"/>
              <w:rPr>
                <w:bCs/>
              </w:rPr>
            </w:pPr>
            <w:r>
              <w:rPr>
                <w:bCs/>
              </w:rPr>
              <w:t>8.</w:t>
            </w:r>
            <w:r>
              <w:rPr>
                <w:bCs/>
              </w:rPr>
              <w:t>按照国家和自治区排污许可规定，按期持证排污、按证排污，不得无证排污。新增主要污染物排放总量的建设项目必须落实主要</w:t>
            </w:r>
            <w:r>
              <w:rPr>
                <w:bCs/>
              </w:rPr>
              <w:t>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同时符合国家和地方主要污染物排放总量控制要求。涉</w:t>
            </w:r>
            <w:r>
              <w:rPr>
                <w:bCs/>
              </w:rPr>
              <w:t>重金属的新建、改扩建项目其重金属污染物遵循</w:t>
            </w:r>
            <w:r>
              <w:rPr>
                <w:bCs/>
              </w:rPr>
              <w:t>“</w:t>
            </w:r>
            <w:r>
              <w:rPr>
                <w:bCs/>
              </w:rPr>
              <w:t>等量替代</w:t>
            </w:r>
            <w:r>
              <w:rPr>
                <w:bCs/>
              </w:rPr>
              <w:t>”</w:t>
            </w:r>
            <w:r>
              <w:rPr>
                <w:bCs/>
              </w:rPr>
              <w:t>或</w:t>
            </w:r>
            <w:r>
              <w:rPr>
                <w:bCs/>
              </w:rPr>
              <w:t>“</w:t>
            </w:r>
            <w:r>
              <w:rPr>
                <w:bCs/>
              </w:rPr>
              <w:t>减量替代</w:t>
            </w:r>
            <w:r>
              <w:rPr>
                <w:bCs/>
              </w:rPr>
              <w:t>”</w:t>
            </w:r>
            <w:r>
              <w:rPr>
                <w:bCs/>
              </w:rPr>
              <w:t>原则。</w:t>
            </w:r>
          </w:p>
        </w:tc>
        <w:tc>
          <w:tcPr>
            <w:tcW w:w="1180" w:type="pct"/>
            <w:tcMar>
              <w:left w:w="57" w:type="dxa"/>
              <w:right w:w="57" w:type="dxa"/>
            </w:tcMar>
            <w:vAlign w:val="center"/>
          </w:tcPr>
          <w:p w14:paraId="26167628" w14:textId="77777777" w:rsidR="003E78AB" w:rsidRDefault="00010BF9">
            <w:pPr>
              <w:pStyle w:val="aff6"/>
              <w:topLinePunct/>
              <w:jc w:val="both"/>
              <w:rPr>
                <w:rFonts w:eastAsia="微软雅黑"/>
                <w:bCs/>
              </w:rPr>
            </w:pPr>
            <w:r>
              <w:rPr>
                <w:bCs/>
              </w:rPr>
              <w:t>本项目在正式排污前须办理排污许可证，本项目涉及钒重金属，但未列入新疆重金属污染防控的</w:t>
            </w:r>
            <w:r>
              <w:rPr>
                <w:bCs/>
              </w:rPr>
              <w:t>7</w:t>
            </w:r>
            <w:r>
              <w:rPr>
                <w:bCs/>
              </w:rPr>
              <w:t>类重点重金属污染物和</w:t>
            </w:r>
            <w:r>
              <w:rPr>
                <w:bCs/>
              </w:rPr>
              <w:t>6</w:t>
            </w:r>
            <w:r>
              <w:rPr>
                <w:bCs/>
              </w:rPr>
              <w:t>类重点行业（新环固体发〔</w:t>
            </w:r>
            <w:r>
              <w:rPr>
                <w:bCs/>
              </w:rPr>
              <w:t>2022</w:t>
            </w:r>
            <w:r>
              <w:rPr>
                <w:bCs/>
              </w:rPr>
              <w:t>〕</w:t>
            </w:r>
            <w:r>
              <w:rPr>
                <w:bCs/>
              </w:rPr>
              <w:t>88</w:t>
            </w:r>
            <w:r>
              <w:rPr>
                <w:bCs/>
              </w:rPr>
              <w:t>号），无需重金属总量替代。</w:t>
            </w:r>
          </w:p>
        </w:tc>
        <w:tc>
          <w:tcPr>
            <w:tcW w:w="529" w:type="pct"/>
            <w:tcMar>
              <w:left w:w="57" w:type="dxa"/>
              <w:right w:w="57" w:type="dxa"/>
            </w:tcMar>
            <w:vAlign w:val="center"/>
          </w:tcPr>
          <w:p w14:paraId="46BFAC54" w14:textId="77777777" w:rsidR="003E78AB" w:rsidRDefault="00010BF9">
            <w:pPr>
              <w:pStyle w:val="aff6"/>
              <w:topLinePunct/>
              <w:rPr>
                <w:bCs/>
                <w:kern w:val="0"/>
              </w:rPr>
            </w:pPr>
            <w:r>
              <w:rPr>
                <w:rFonts w:hint="eastAsia"/>
                <w:bCs/>
                <w:kern w:val="0"/>
              </w:rPr>
              <w:t>相符</w:t>
            </w:r>
          </w:p>
        </w:tc>
      </w:tr>
      <w:tr w:rsidR="003E78AB" w14:paraId="54D0897D" w14:textId="77777777">
        <w:trPr>
          <w:trHeight w:val="283"/>
          <w:jc w:val="center"/>
        </w:trPr>
        <w:tc>
          <w:tcPr>
            <w:tcW w:w="3289" w:type="pct"/>
            <w:tcMar>
              <w:left w:w="57" w:type="dxa"/>
              <w:right w:w="57" w:type="dxa"/>
            </w:tcMar>
            <w:vAlign w:val="center"/>
          </w:tcPr>
          <w:p w14:paraId="1F04731E" w14:textId="77777777" w:rsidR="003E78AB" w:rsidRDefault="00010BF9">
            <w:pPr>
              <w:pStyle w:val="aff6"/>
              <w:topLinePunct/>
              <w:jc w:val="both"/>
              <w:rPr>
                <w:bCs/>
              </w:rPr>
            </w:pPr>
            <w:r>
              <w:rPr>
                <w:bCs/>
              </w:rPr>
              <w:t>9.</w:t>
            </w:r>
            <w:r>
              <w:rPr>
                <w:bCs/>
              </w:rPr>
              <w:t>煤电、石化、化工、钢铁、有色金属冶炼、建材等六个行业建设项目应将碳排放影响评价纳入环境影响评价体系，统筹开展污染物和碳排放的源项识别、源强核算、减污降碳措施可行性论证及方案比选，提出协同控制最优方案。</w:t>
            </w:r>
          </w:p>
        </w:tc>
        <w:tc>
          <w:tcPr>
            <w:tcW w:w="1180" w:type="pct"/>
            <w:tcMar>
              <w:left w:w="57" w:type="dxa"/>
              <w:right w:w="57" w:type="dxa"/>
            </w:tcMar>
            <w:vAlign w:val="center"/>
          </w:tcPr>
          <w:p w14:paraId="08C1084A" w14:textId="77777777" w:rsidR="003E78AB" w:rsidRDefault="00010BF9">
            <w:pPr>
              <w:pStyle w:val="aff6"/>
              <w:topLinePunct/>
              <w:jc w:val="both"/>
              <w:rPr>
                <w:bCs/>
              </w:rPr>
            </w:pPr>
            <w:r>
              <w:rPr>
                <w:bCs/>
              </w:rPr>
              <w:t>本项目在环评中设置碳排放影响评价专章。</w:t>
            </w:r>
          </w:p>
        </w:tc>
        <w:tc>
          <w:tcPr>
            <w:tcW w:w="529" w:type="pct"/>
            <w:tcMar>
              <w:left w:w="57" w:type="dxa"/>
              <w:right w:w="57" w:type="dxa"/>
            </w:tcMar>
            <w:vAlign w:val="center"/>
          </w:tcPr>
          <w:p w14:paraId="7067AFCF" w14:textId="77777777" w:rsidR="003E78AB" w:rsidRDefault="00010BF9">
            <w:pPr>
              <w:pStyle w:val="aff6"/>
              <w:topLinePunct/>
              <w:rPr>
                <w:bCs/>
                <w:kern w:val="0"/>
              </w:rPr>
            </w:pPr>
            <w:r>
              <w:rPr>
                <w:rFonts w:hint="eastAsia"/>
                <w:bCs/>
                <w:kern w:val="0"/>
              </w:rPr>
              <w:t>相符</w:t>
            </w:r>
          </w:p>
        </w:tc>
      </w:tr>
      <w:tr w:rsidR="003E78AB" w14:paraId="0D4AC170" w14:textId="77777777">
        <w:trPr>
          <w:trHeight w:val="283"/>
          <w:jc w:val="center"/>
        </w:trPr>
        <w:tc>
          <w:tcPr>
            <w:tcW w:w="3289" w:type="pct"/>
            <w:tcMar>
              <w:left w:w="57" w:type="dxa"/>
              <w:right w:w="57" w:type="dxa"/>
            </w:tcMar>
            <w:vAlign w:val="center"/>
          </w:tcPr>
          <w:p w14:paraId="5F3772D3" w14:textId="77777777" w:rsidR="003E78AB" w:rsidRDefault="00010BF9">
            <w:pPr>
              <w:pStyle w:val="aff6"/>
              <w:topLinePunct/>
              <w:jc w:val="both"/>
              <w:rPr>
                <w:bCs/>
              </w:rPr>
            </w:pPr>
            <w:r>
              <w:rPr>
                <w:bCs/>
              </w:rPr>
              <w:t>10.</w:t>
            </w:r>
            <w:r>
              <w:rPr>
                <w:bCs/>
              </w:rPr>
              <w:t>存在地下水和土壤污染途径的建设项目应采取分区防渗措施，防止地下水和土壤污染。存在环境风险的建设项目，提出有效的环境风险防范措施及环境风险应急预案编制原则和要求，纳入区域环境风险应急联动机制。各类开发区、工业园区和工业聚集区应编制环境风险应急预案，并具备环境风险应急处置能力。未通过认定或不属于一般或较低安全风险的化工园区，不得新建、改扩建危险化学品生产项目（安全、环保、节能和智能化改造和与其他行业生产装置配套建设项目，太阳能、风能等可再生能源电解水制氢项目除外），引导其他石化化工项目在化工园区发展。地方</w:t>
            </w:r>
            <w:r>
              <w:rPr>
                <w:bCs/>
              </w:rPr>
              <w:t>政府要依法依规妥善做好未通过认定化工园区的整改或关闭，以及园区内企业的监管及处置工作。涉及《重点管控新污染物清单》《优先控制化学品名录》所列新污染物（化学物质）生产、加工使用、进出口的建设项目，应当按照国家有关规定采取禁止、限制、限排等环境风险管控措施，对于二噁英、六氯丁二烯、二氯甲烷、三氯甲烷、抗生素等已纳入排放标准的新污染物（化学物质）应进行充分论证和评价，并提出可靠的污染防治措施，确保排放满足相关标准要求，环境影响可接受。</w:t>
            </w:r>
          </w:p>
        </w:tc>
        <w:tc>
          <w:tcPr>
            <w:tcW w:w="1180" w:type="pct"/>
            <w:tcMar>
              <w:left w:w="57" w:type="dxa"/>
              <w:right w:w="57" w:type="dxa"/>
            </w:tcMar>
            <w:vAlign w:val="center"/>
          </w:tcPr>
          <w:p w14:paraId="6D3CF080" w14:textId="77777777" w:rsidR="003E78AB" w:rsidRDefault="00010BF9">
            <w:pPr>
              <w:pStyle w:val="aff6"/>
              <w:topLinePunct/>
              <w:jc w:val="both"/>
              <w:rPr>
                <w:bCs/>
              </w:rPr>
            </w:pPr>
            <w:r>
              <w:rPr>
                <w:bCs/>
                <w:kern w:val="0"/>
              </w:rPr>
              <w:t>本项目设在新疆哈密高新区南部循环经济产业园中的</w:t>
            </w:r>
            <w:r>
              <w:rPr>
                <w:rFonts w:hint="eastAsia"/>
                <w:bCs/>
                <w:kern w:val="0"/>
              </w:rPr>
              <w:t>煤化工产业区</w:t>
            </w:r>
            <w:r>
              <w:rPr>
                <w:bCs/>
                <w:kern w:val="0"/>
              </w:rPr>
              <w:t>内，</w:t>
            </w:r>
            <w:r>
              <w:rPr>
                <w:bCs/>
              </w:rPr>
              <w:t>采取分区防渗，环</w:t>
            </w:r>
            <w:r>
              <w:rPr>
                <w:bCs/>
              </w:rPr>
              <w:t>境风险防范措施完善，项目投产前或运行期间按要求编制突发环境事件应急预案并备案。</w:t>
            </w:r>
          </w:p>
        </w:tc>
        <w:tc>
          <w:tcPr>
            <w:tcW w:w="529" w:type="pct"/>
            <w:tcMar>
              <w:left w:w="57" w:type="dxa"/>
              <w:right w:w="57" w:type="dxa"/>
            </w:tcMar>
            <w:vAlign w:val="center"/>
          </w:tcPr>
          <w:p w14:paraId="55E35543" w14:textId="77777777" w:rsidR="003E78AB" w:rsidRDefault="00010BF9">
            <w:pPr>
              <w:pStyle w:val="aff6"/>
              <w:topLinePunct/>
              <w:rPr>
                <w:bCs/>
                <w:kern w:val="0"/>
              </w:rPr>
            </w:pPr>
            <w:r>
              <w:rPr>
                <w:rFonts w:hint="eastAsia"/>
                <w:bCs/>
                <w:kern w:val="0"/>
              </w:rPr>
              <w:t>相符</w:t>
            </w:r>
          </w:p>
        </w:tc>
      </w:tr>
      <w:tr w:rsidR="003E78AB" w14:paraId="510ABAF4" w14:textId="77777777">
        <w:trPr>
          <w:trHeight w:val="283"/>
          <w:jc w:val="center"/>
        </w:trPr>
        <w:tc>
          <w:tcPr>
            <w:tcW w:w="3289" w:type="pct"/>
            <w:tcMar>
              <w:left w:w="57" w:type="dxa"/>
              <w:right w:w="57" w:type="dxa"/>
            </w:tcMar>
            <w:vAlign w:val="center"/>
          </w:tcPr>
          <w:p w14:paraId="07EB8DDA" w14:textId="77777777" w:rsidR="003E78AB" w:rsidRDefault="00010BF9">
            <w:pPr>
              <w:pStyle w:val="aff6"/>
              <w:topLinePunct/>
              <w:jc w:val="both"/>
              <w:rPr>
                <w:bCs/>
              </w:rPr>
            </w:pPr>
            <w:r>
              <w:rPr>
                <w:bCs/>
              </w:rPr>
              <w:t>11.</w:t>
            </w:r>
            <w:r>
              <w:rPr>
                <w:bCs/>
              </w:rPr>
              <w:t>企业排污车间或工段与环境敏感区距离应满足国家、地方规定或环境影响评价文件提出的大气环境防护距离要求，环境防护距离范围内不应有居民区、学校、医院等环境敏感目标。</w:t>
            </w:r>
          </w:p>
        </w:tc>
        <w:tc>
          <w:tcPr>
            <w:tcW w:w="1180" w:type="pct"/>
            <w:tcMar>
              <w:left w:w="57" w:type="dxa"/>
              <w:right w:w="57" w:type="dxa"/>
            </w:tcMar>
            <w:vAlign w:val="center"/>
          </w:tcPr>
          <w:p w14:paraId="72ADA575" w14:textId="77777777" w:rsidR="003E78AB" w:rsidRDefault="00010BF9">
            <w:pPr>
              <w:pStyle w:val="aff6"/>
              <w:topLinePunct/>
              <w:jc w:val="both"/>
              <w:rPr>
                <w:bCs/>
              </w:rPr>
            </w:pPr>
            <w:r>
              <w:rPr>
                <w:bCs/>
                <w:kern w:val="0"/>
              </w:rPr>
              <w:t>本项目设在新疆哈密高新区南部循环经济产业园中的</w:t>
            </w:r>
            <w:r>
              <w:rPr>
                <w:rFonts w:hint="eastAsia"/>
                <w:bCs/>
                <w:kern w:val="0"/>
              </w:rPr>
              <w:t>煤化工产业区</w:t>
            </w:r>
            <w:r>
              <w:rPr>
                <w:bCs/>
                <w:kern w:val="0"/>
              </w:rPr>
              <w:t>内，不设</w:t>
            </w:r>
            <w:r>
              <w:rPr>
                <w:bCs/>
              </w:rPr>
              <w:t>大气环境防护距离，项目区</w:t>
            </w:r>
            <w:r>
              <w:rPr>
                <w:bCs/>
                <w:kern w:val="0"/>
              </w:rPr>
              <w:t>周边</w:t>
            </w:r>
            <w:r>
              <w:rPr>
                <w:bCs/>
                <w:kern w:val="0"/>
              </w:rPr>
              <w:t>500m</w:t>
            </w:r>
            <w:r>
              <w:rPr>
                <w:bCs/>
                <w:kern w:val="0"/>
              </w:rPr>
              <w:t>内无居住区</w:t>
            </w:r>
            <w:r>
              <w:rPr>
                <w:bCs/>
              </w:rPr>
              <w:t>学校、医院等环境敏感目标。</w:t>
            </w:r>
          </w:p>
        </w:tc>
        <w:tc>
          <w:tcPr>
            <w:tcW w:w="529" w:type="pct"/>
            <w:tcMar>
              <w:left w:w="57" w:type="dxa"/>
              <w:right w:w="57" w:type="dxa"/>
            </w:tcMar>
            <w:vAlign w:val="center"/>
          </w:tcPr>
          <w:p w14:paraId="0AB15B5D" w14:textId="77777777" w:rsidR="003E78AB" w:rsidRDefault="00010BF9">
            <w:pPr>
              <w:pStyle w:val="aff6"/>
              <w:topLinePunct/>
              <w:rPr>
                <w:bCs/>
              </w:rPr>
            </w:pPr>
            <w:r>
              <w:rPr>
                <w:rFonts w:hint="eastAsia"/>
                <w:bCs/>
              </w:rPr>
              <w:t>相符</w:t>
            </w:r>
          </w:p>
        </w:tc>
      </w:tr>
      <w:tr w:rsidR="003E78AB" w14:paraId="4A8A6333" w14:textId="77777777">
        <w:trPr>
          <w:trHeight w:val="283"/>
          <w:jc w:val="center"/>
        </w:trPr>
        <w:tc>
          <w:tcPr>
            <w:tcW w:w="3289" w:type="pct"/>
            <w:tcMar>
              <w:left w:w="57" w:type="dxa"/>
              <w:right w:w="57" w:type="dxa"/>
            </w:tcMar>
            <w:vAlign w:val="center"/>
          </w:tcPr>
          <w:p w14:paraId="23B2F703" w14:textId="77777777" w:rsidR="003E78AB" w:rsidRDefault="00010BF9">
            <w:pPr>
              <w:pStyle w:val="aff6"/>
              <w:topLinePunct/>
              <w:jc w:val="both"/>
              <w:rPr>
                <w:bCs/>
              </w:rPr>
            </w:pPr>
            <w:r>
              <w:rPr>
                <w:bCs/>
              </w:rPr>
              <w:t>14.</w:t>
            </w:r>
            <w:r>
              <w:rPr>
                <w:bCs/>
              </w:rPr>
              <w:t>建设项目清洁生产水平应达到国家清洁生产标准的国际先进、国内领先水平或满足清洁生产评价指标体系中的清洁生产</w:t>
            </w:r>
            <w:r>
              <w:rPr>
                <w:bCs/>
              </w:rPr>
              <w:t>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1180" w:type="pct"/>
            <w:tcMar>
              <w:left w:w="57" w:type="dxa"/>
              <w:right w:w="57" w:type="dxa"/>
            </w:tcMar>
            <w:vAlign w:val="center"/>
          </w:tcPr>
          <w:p w14:paraId="23BAF5CC" w14:textId="77777777" w:rsidR="003E78AB" w:rsidRDefault="00010BF9">
            <w:pPr>
              <w:pStyle w:val="aff6"/>
              <w:topLinePunct/>
              <w:jc w:val="both"/>
              <w:rPr>
                <w:bCs/>
              </w:rPr>
            </w:pPr>
            <w:r>
              <w:rPr>
                <w:bCs/>
              </w:rPr>
              <w:t>项目清洁生产水平可达到国内同行业现有企业先进水平。</w:t>
            </w:r>
          </w:p>
        </w:tc>
        <w:tc>
          <w:tcPr>
            <w:tcW w:w="529" w:type="pct"/>
            <w:tcMar>
              <w:left w:w="57" w:type="dxa"/>
              <w:right w:w="57" w:type="dxa"/>
            </w:tcMar>
            <w:vAlign w:val="center"/>
          </w:tcPr>
          <w:p w14:paraId="5674666E" w14:textId="77777777" w:rsidR="003E78AB" w:rsidRDefault="00010BF9">
            <w:pPr>
              <w:pStyle w:val="aff6"/>
              <w:topLinePunct/>
              <w:rPr>
                <w:bCs/>
              </w:rPr>
            </w:pPr>
            <w:r>
              <w:rPr>
                <w:rFonts w:hint="eastAsia"/>
                <w:bCs/>
              </w:rPr>
              <w:t>相符</w:t>
            </w:r>
          </w:p>
        </w:tc>
      </w:tr>
      <w:tr w:rsidR="003E78AB" w14:paraId="0C90891D" w14:textId="77777777">
        <w:trPr>
          <w:trHeight w:val="283"/>
          <w:jc w:val="center"/>
        </w:trPr>
        <w:tc>
          <w:tcPr>
            <w:tcW w:w="3289" w:type="pct"/>
            <w:tcMar>
              <w:left w:w="57" w:type="dxa"/>
              <w:right w:w="57" w:type="dxa"/>
            </w:tcMar>
            <w:vAlign w:val="center"/>
          </w:tcPr>
          <w:p w14:paraId="3A0C822E" w14:textId="77777777" w:rsidR="003E78AB" w:rsidRDefault="00010BF9">
            <w:pPr>
              <w:pStyle w:val="aff6"/>
              <w:topLinePunct/>
              <w:jc w:val="both"/>
              <w:rPr>
                <w:bCs/>
              </w:rPr>
            </w:pPr>
            <w:r>
              <w:rPr>
                <w:bCs/>
              </w:rPr>
              <w:t>17.</w:t>
            </w:r>
            <w:r>
              <w:rPr>
                <w:bCs/>
              </w:rPr>
              <w:t>落实国家及自治区深入打好污染防治攻坚战和各环境要素污染防治行动计划要求。</w:t>
            </w:r>
          </w:p>
        </w:tc>
        <w:tc>
          <w:tcPr>
            <w:tcW w:w="1180" w:type="pct"/>
            <w:tcMar>
              <w:left w:w="57" w:type="dxa"/>
              <w:right w:w="57" w:type="dxa"/>
            </w:tcMar>
            <w:vAlign w:val="center"/>
          </w:tcPr>
          <w:p w14:paraId="0CEAF2B6" w14:textId="77777777" w:rsidR="003E78AB" w:rsidRDefault="00010BF9">
            <w:pPr>
              <w:pStyle w:val="aff6"/>
              <w:topLinePunct/>
              <w:jc w:val="both"/>
              <w:rPr>
                <w:bCs/>
              </w:rPr>
            </w:pPr>
            <w:r>
              <w:rPr>
                <w:bCs/>
              </w:rPr>
              <w:t>本项目按国家及自治区深入打好污染防治攻坚战和各环境要素污染防治行动计划要求落实各项措施。</w:t>
            </w:r>
          </w:p>
        </w:tc>
        <w:tc>
          <w:tcPr>
            <w:tcW w:w="529" w:type="pct"/>
            <w:tcMar>
              <w:left w:w="57" w:type="dxa"/>
              <w:right w:w="57" w:type="dxa"/>
            </w:tcMar>
            <w:vAlign w:val="center"/>
          </w:tcPr>
          <w:p w14:paraId="2C6DD4FC" w14:textId="77777777" w:rsidR="003E78AB" w:rsidRDefault="00010BF9">
            <w:pPr>
              <w:pStyle w:val="aff6"/>
              <w:topLinePunct/>
              <w:rPr>
                <w:bCs/>
              </w:rPr>
            </w:pPr>
            <w:r>
              <w:rPr>
                <w:rFonts w:hint="eastAsia"/>
                <w:bCs/>
              </w:rPr>
              <w:t>相符</w:t>
            </w:r>
          </w:p>
        </w:tc>
      </w:tr>
      <w:tr w:rsidR="003E78AB" w14:paraId="41485608" w14:textId="77777777">
        <w:trPr>
          <w:trHeight w:val="283"/>
          <w:jc w:val="center"/>
        </w:trPr>
        <w:tc>
          <w:tcPr>
            <w:tcW w:w="5000" w:type="pct"/>
            <w:gridSpan w:val="3"/>
            <w:tcMar>
              <w:left w:w="57" w:type="dxa"/>
              <w:right w:w="57" w:type="dxa"/>
            </w:tcMar>
            <w:vAlign w:val="center"/>
          </w:tcPr>
          <w:p w14:paraId="1FE8CE8A" w14:textId="77777777" w:rsidR="003E78AB" w:rsidRDefault="00010BF9">
            <w:pPr>
              <w:pStyle w:val="aff6"/>
              <w:topLinePunct/>
              <w:jc w:val="left"/>
              <w:rPr>
                <w:bCs/>
              </w:rPr>
            </w:pPr>
            <w:r>
              <w:rPr>
                <w:bCs/>
              </w:rPr>
              <w:t>备注：只摘取与本项目有关的内容进行分析</w:t>
            </w:r>
          </w:p>
        </w:tc>
      </w:tr>
    </w:tbl>
    <w:p w14:paraId="0F1938D7" w14:textId="77777777" w:rsidR="003E78AB" w:rsidRDefault="00010BF9">
      <w:pPr>
        <w:pStyle w:val="31"/>
        <w:keepNext w:val="0"/>
        <w:keepLines w:val="0"/>
        <w:topLinePunct/>
        <w:spacing w:before="156"/>
        <w:rPr>
          <w:rFonts w:cs="Times New Roman"/>
        </w:rPr>
      </w:pPr>
      <w:r>
        <w:rPr>
          <w:rFonts w:cs="Times New Roman"/>
        </w:rPr>
        <w:t>2.8.4</w:t>
      </w:r>
      <w:r>
        <w:rPr>
          <w:rFonts w:cs="Times New Roman"/>
        </w:rPr>
        <w:t>相关行业规范符合性分析</w:t>
      </w:r>
    </w:p>
    <w:p w14:paraId="55A651F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2.8.4.1</w:t>
      </w:r>
      <w:r>
        <w:rPr>
          <w:rFonts w:ascii="Times New Roman" w:hAnsi="Times New Roman"/>
        </w:rPr>
        <w:t>与《</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新型储能发展实施方案》符合性分析</w:t>
      </w:r>
    </w:p>
    <w:p w14:paraId="68A363F8" w14:textId="77777777" w:rsidR="003E78AB" w:rsidRDefault="00010BF9">
      <w:pPr>
        <w:ind w:firstLine="480"/>
        <w:rPr>
          <w:kern w:val="2"/>
        </w:rPr>
      </w:pPr>
      <w:r>
        <w:rPr>
          <w:kern w:val="2"/>
        </w:rPr>
        <w:t>根据《</w:t>
      </w:r>
      <w:r>
        <w:rPr>
          <w:kern w:val="2"/>
        </w:rPr>
        <w:t>“</w:t>
      </w:r>
      <w:r>
        <w:rPr>
          <w:kern w:val="2"/>
        </w:rPr>
        <w:t>十四五</w:t>
      </w:r>
      <w:r>
        <w:rPr>
          <w:kern w:val="2"/>
        </w:rPr>
        <w:t>”</w:t>
      </w:r>
      <w:r>
        <w:rPr>
          <w:kern w:val="2"/>
        </w:rPr>
        <w:t>新型储能发展实施方案》（发改能源</w:t>
      </w:r>
      <w:r>
        <w:rPr>
          <w:lang w:bidi="en-US"/>
        </w:rPr>
        <w:t>〔</w:t>
      </w:r>
      <w:r>
        <w:rPr>
          <w:lang w:bidi="en-US"/>
        </w:rPr>
        <w:t>2022</w:t>
      </w:r>
      <w:r>
        <w:rPr>
          <w:lang w:bidi="en-US"/>
        </w:rPr>
        <w:t>〕</w:t>
      </w:r>
      <w:r>
        <w:rPr>
          <w:kern w:val="2"/>
        </w:rPr>
        <w:t>209</w:t>
      </w:r>
      <w:r>
        <w:rPr>
          <w:kern w:val="2"/>
        </w:rPr>
        <w:t>号）：积极试点示范，稳妥推进新型储能产业化进程。开展不同技术路线分类试点示范，重点建设更大容量的液流电池、飞轮、压缩空气等储能技术试点示范项目。</w:t>
      </w:r>
    </w:p>
    <w:p w14:paraId="5F3F08DE" w14:textId="77777777" w:rsidR="003E78AB" w:rsidRDefault="00010BF9">
      <w:pPr>
        <w:ind w:firstLine="480"/>
        <w:rPr>
          <w:kern w:val="2"/>
        </w:rPr>
      </w:pPr>
      <w:r>
        <w:rPr>
          <w:kern w:val="2"/>
        </w:rPr>
        <w:t>本项目以五氧化二钒等作为原料生产钒电解液，钒液流电池寿命长、成本低、容量大，属于新型储能技术。</w:t>
      </w:r>
    </w:p>
    <w:p w14:paraId="10441C72" w14:textId="77777777" w:rsidR="003E78AB" w:rsidRDefault="00010BF9">
      <w:pPr>
        <w:ind w:firstLine="480"/>
        <w:rPr>
          <w:kern w:val="2"/>
        </w:rPr>
      </w:pPr>
      <w:r>
        <w:rPr>
          <w:kern w:val="2"/>
        </w:rPr>
        <w:t>因此，本项目的建设符合《</w:t>
      </w:r>
      <w:r>
        <w:rPr>
          <w:kern w:val="2"/>
        </w:rPr>
        <w:t>“</w:t>
      </w:r>
      <w:r>
        <w:rPr>
          <w:kern w:val="2"/>
        </w:rPr>
        <w:t>十四五</w:t>
      </w:r>
      <w:r>
        <w:rPr>
          <w:kern w:val="2"/>
        </w:rPr>
        <w:t>”</w:t>
      </w:r>
      <w:r>
        <w:rPr>
          <w:kern w:val="2"/>
        </w:rPr>
        <w:t>新型储能发展实施方案》（发改能源</w:t>
      </w:r>
      <w:r>
        <w:rPr>
          <w:lang w:bidi="en-US"/>
        </w:rPr>
        <w:t>〔</w:t>
      </w:r>
      <w:r>
        <w:rPr>
          <w:lang w:bidi="en-US"/>
        </w:rPr>
        <w:t>2022</w:t>
      </w:r>
      <w:r>
        <w:rPr>
          <w:lang w:bidi="en-US"/>
        </w:rPr>
        <w:t>〕</w:t>
      </w:r>
      <w:r>
        <w:rPr>
          <w:kern w:val="2"/>
        </w:rPr>
        <w:t>209</w:t>
      </w:r>
      <w:r>
        <w:rPr>
          <w:kern w:val="2"/>
        </w:rPr>
        <w:t>号）。</w:t>
      </w:r>
    </w:p>
    <w:p w14:paraId="2003F53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2.8.4.2</w:t>
      </w:r>
      <w:r>
        <w:rPr>
          <w:rFonts w:ascii="Times New Roman" w:hAnsi="Times New Roman"/>
        </w:rPr>
        <w:t>与《关于加快推动新型储能发展的指导意见》（发改能源规〔</w:t>
      </w:r>
      <w:r>
        <w:rPr>
          <w:rFonts w:ascii="Times New Roman" w:hAnsi="Times New Roman"/>
        </w:rPr>
        <w:t>2021</w:t>
      </w:r>
      <w:r>
        <w:rPr>
          <w:rFonts w:ascii="Times New Roman" w:hAnsi="Times New Roman"/>
        </w:rPr>
        <w:t>〕</w:t>
      </w:r>
      <w:r>
        <w:rPr>
          <w:rFonts w:ascii="Times New Roman" w:hAnsi="Times New Roman"/>
        </w:rPr>
        <w:t>1051</w:t>
      </w:r>
      <w:r>
        <w:rPr>
          <w:rFonts w:ascii="Times New Roman" w:hAnsi="Times New Roman"/>
        </w:rPr>
        <w:t>号）符合性分析</w:t>
      </w:r>
    </w:p>
    <w:p w14:paraId="52E21FFB" w14:textId="77777777" w:rsidR="003E78AB" w:rsidRDefault="00010BF9">
      <w:pPr>
        <w:ind w:firstLine="480"/>
        <w:rPr>
          <w:kern w:val="2"/>
        </w:rPr>
      </w:pPr>
      <w:r>
        <w:rPr>
          <w:kern w:val="2"/>
        </w:rPr>
        <w:t>根据《关于加快推动新型储能发展的指导意见》（发改能源规</w:t>
      </w:r>
      <w:r>
        <w:rPr>
          <w:lang w:bidi="en-US"/>
        </w:rPr>
        <w:t>〔</w:t>
      </w:r>
      <w:r>
        <w:rPr>
          <w:lang w:bidi="en-US"/>
        </w:rPr>
        <w:t>2021</w:t>
      </w:r>
      <w:r>
        <w:rPr>
          <w:lang w:bidi="en-US"/>
        </w:rPr>
        <w:t>〕</w:t>
      </w:r>
      <w:r>
        <w:rPr>
          <w:kern w:val="2"/>
        </w:rPr>
        <w:t>1051</w:t>
      </w:r>
      <w:r>
        <w:rPr>
          <w:kern w:val="2"/>
        </w:rPr>
        <w:t>号）的主要目标，</w:t>
      </w:r>
      <w:r>
        <w:rPr>
          <w:kern w:val="2"/>
        </w:rPr>
        <w:t>“</w:t>
      </w:r>
      <w:r>
        <w:rPr>
          <w:kern w:val="2"/>
        </w:rPr>
        <w:t>到</w:t>
      </w:r>
      <w:r>
        <w:rPr>
          <w:kern w:val="2"/>
        </w:rPr>
        <w:t>2025</w:t>
      </w:r>
      <w:r>
        <w:rPr>
          <w:kern w:val="2"/>
        </w:rPr>
        <w:t>年，实现新型储能从商业化初期向规模化发展转变。新型储能技术创新能力显著提高，核心技术装备自主可控水平大幅提升，在高安全、低成本、高可靠、长寿命等方面取得长足进步，标准体系基本完善，产业体系日趋完备，市场环境和商业模式基本成熟，装机规模达</w:t>
      </w:r>
      <w:r>
        <w:rPr>
          <w:kern w:val="2"/>
        </w:rPr>
        <w:t>3000</w:t>
      </w:r>
      <w:r>
        <w:rPr>
          <w:kern w:val="2"/>
        </w:rPr>
        <w:t>万千瓦以上。新型储能在推动能源领域碳达峰碳中和过程中发挥显著作用</w:t>
      </w:r>
      <w:r>
        <w:rPr>
          <w:kern w:val="2"/>
        </w:rPr>
        <w:t>。到</w:t>
      </w:r>
      <w:r>
        <w:rPr>
          <w:kern w:val="2"/>
        </w:rPr>
        <w:t>2030</w:t>
      </w:r>
      <w:r>
        <w:rPr>
          <w:kern w:val="2"/>
        </w:rPr>
        <w:t>年，实现新型储能全面市场化发展</w:t>
      </w:r>
      <w:r>
        <w:rPr>
          <w:kern w:val="2"/>
        </w:rPr>
        <w:t>”</w:t>
      </w:r>
      <w:r>
        <w:rPr>
          <w:kern w:val="2"/>
        </w:rPr>
        <w:t>。</w:t>
      </w:r>
    </w:p>
    <w:p w14:paraId="47F1CF74" w14:textId="77777777" w:rsidR="003E78AB" w:rsidRDefault="00010BF9">
      <w:pPr>
        <w:ind w:firstLine="480"/>
        <w:rPr>
          <w:kern w:val="2"/>
        </w:rPr>
      </w:pPr>
      <w:r>
        <w:rPr>
          <w:kern w:val="2"/>
        </w:rPr>
        <w:t>本项目以五氧化二钒等作为原料生产钒电解液，同时钒液流电池储能属于新型储能技术。</w:t>
      </w:r>
    </w:p>
    <w:p w14:paraId="22B064DE" w14:textId="77777777" w:rsidR="003E78AB" w:rsidRDefault="00010BF9">
      <w:pPr>
        <w:ind w:firstLine="480"/>
        <w:rPr>
          <w:kern w:val="2"/>
        </w:rPr>
      </w:pPr>
      <w:r>
        <w:rPr>
          <w:kern w:val="2"/>
        </w:rPr>
        <w:t>因此，本项目的建设符合《关于加快推动新型储能发展的指导意见》</w:t>
      </w:r>
      <w:r>
        <w:rPr>
          <w:kern w:val="2"/>
        </w:rPr>
        <w:t>(</w:t>
      </w:r>
      <w:r>
        <w:rPr>
          <w:kern w:val="2"/>
        </w:rPr>
        <w:t>发改能源规</w:t>
      </w:r>
      <w:r>
        <w:rPr>
          <w:lang w:bidi="en-US"/>
        </w:rPr>
        <w:t>〔</w:t>
      </w:r>
      <w:r>
        <w:rPr>
          <w:lang w:bidi="en-US"/>
        </w:rPr>
        <w:t>2021</w:t>
      </w:r>
      <w:r>
        <w:rPr>
          <w:lang w:bidi="en-US"/>
        </w:rPr>
        <w:t>〕</w:t>
      </w:r>
      <w:r>
        <w:rPr>
          <w:kern w:val="2"/>
        </w:rPr>
        <w:t>1051</w:t>
      </w:r>
      <w:r>
        <w:rPr>
          <w:kern w:val="2"/>
        </w:rPr>
        <w:t>号）文件要求。</w:t>
      </w:r>
    </w:p>
    <w:p w14:paraId="641A565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2.8.4.3</w:t>
      </w:r>
      <w:r>
        <w:rPr>
          <w:rFonts w:ascii="Times New Roman" w:hAnsi="Times New Roman"/>
        </w:rPr>
        <w:t>与</w:t>
      </w:r>
      <w:bookmarkStart w:id="163" w:name="OLE_LINK47"/>
      <w:r>
        <w:rPr>
          <w:rFonts w:ascii="Times New Roman" w:hAnsi="Times New Roman"/>
        </w:rPr>
        <w:t>《</w:t>
      </w:r>
      <w:bookmarkStart w:id="164" w:name="OLE_LINK46"/>
      <w:r>
        <w:rPr>
          <w:rFonts w:ascii="Times New Roman" w:hAnsi="Times New Roman"/>
        </w:rPr>
        <w:t>新疆维吾尔自治区工业和信息化厅印发自治区关于加快推动制造业绿色化发展实施方案</w:t>
      </w:r>
      <w:bookmarkEnd w:id="164"/>
      <w:r>
        <w:rPr>
          <w:rFonts w:ascii="Times New Roman" w:hAnsi="Times New Roman"/>
        </w:rPr>
        <w:t>》（</w:t>
      </w:r>
      <w:bookmarkStart w:id="165" w:name="OLE_LINK48"/>
      <w:r>
        <w:rPr>
          <w:rFonts w:ascii="Times New Roman" w:hAnsi="Times New Roman"/>
        </w:rPr>
        <w:t>新工信节能〔</w:t>
      </w:r>
      <w:r>
        <w:rPr>
          <w:rFonts w:ascii="Times New Roman" w:hAnsi="Times New Roman"/>
        </w:rPr>
        <w:t>2024</w:t>
      </w:r>
      <w:r>
        <w:rPr>
          <w:rFonts w:ascii="Times New Roman" w:hAnsi="Times New Roman"/>
        </w:rPr>
        <w:t>〕</w:t>
      </w:r>
      <w:r>
        <w:rPr>
          <w:rFonts w:ascii="Times New Roman" w:hAnsi="Times New Roman"/>
        </w:rPr>
        <w:t>17</w:t>
      </w:r>
      <w:r>
        <w:rPr>
          <w:rFonts w:ascii="Times New Roman" w:hAnsi="Times New Roman"/>
        </w:rPr>
        <w:t>号</w:t>
      </w:r>
      <w:bookmarkEnd w:id="165"/>
      <w:r>
        <w:rPr>
          <w:rFonts w:ascii="Times New Roman" w:hAnsi="Times New Roman"/>
        </w:rPr>
        <w:t>）</w:t>
      </w:r>
      <w:bookmarkEnd w:id="163"/>
      <w:r>
        <w:rPr>
          <w:rFonts w:ascii="Times New Roman" w:hAnsi="Times New Roman"/>
        </w:rPr>
        <w:t>符合性分析</w:t>
      </w:r>
    </w:p>
    <w:p w14:paraId="616E27B5" w14:textId="77777777" w:rsidR="003E78AB" w:rsidRDefault="00010BF9">
      <w:pPr>
        <w:ind w:firstLine="480"/>
        <w:rPr>
          <w:kern w:val="2"/>
        </w:rPr>
      </w:pPr>
      <w:r>
        <w:rPr>
          <w:kern w:val="2"/>
        </w:rPr>
        <w:t>实施方案要求</w:t>
      </w:r>
      <w:r>
        <w:rPr>
          <w:kern w:val="2"/>
        </w:rPr>
        <w:t>“</w:t>
      </w:r>
      <w:r>
        <w:rPr>
          <w:kern w:val="2"/>
        </w:rPr>
        <w:t>加强资源耦合和循环利用，鼓励推广短流程工艺技术，推动新能源与储能等产业集群耦合发展等</w:t>
      </w:r>
      <w:r>
        <w:rPr>
          <w:kern w:val="2"/>
        </w:rPr>
        <w:t>”</w:t>
      </w:r>
      <w:r>
        <w:rPr>
          <w:kern w:val="2"/>
        </w:rPr>
        <w:t>，本项目在资源循环利用方面未来依托哈</w:t>
      </w:r>
      <w:r>
        <w:rPr>
          <w:kern w:val="2"/>
        </w:rPr>
        <w:t>密本地</w:t>
      </w:r>
      <w:r>
        <w:rPr>
          <w:kern w:val="2"/>
        </w:rPr>
        <w:t>20</w:t>
      </w:r>
      <w:r>
        <w:rPr>
          <w:kern w:val="2"/>
        </w:rPr>
        <w:t>亿吨钒钛磁铁矿资源，实现资源本地化利用；本项目技术创新方面采用全新短流程电解液生产技术；且未来本项目可用于配套新疆新华的</w:t>
      </w:r>
      <w:r>
        <w:rPr>
          <w:kern w:val="2"/>
        </w:rPr>
        <w:t>1.3GW/5.2GWh</w:t>
      </w:r>
      <w:r>
        <w:rPr>
          <w:kern w:val="2"/>
        </w:rPr>
        <w:t>全钒液流储能项目，服务于新疆风光储大基地，促进新能源消纳，形成产业协同。因此，本项目的建设符合《新疆维吾尔自治区工业和信息化厅印发自治区关于加快推动制造业绿色化发展实施方案》（新工信节能〔</w:t>
      </w:r>
      <w:r>
        <w:rPr>
          <w:kern w:val="2"/>
        </w:rPr>
        <w:t>2024</w:t>
      </w:r>
      <w:r>
        <w:rPr>
          <w:kern w:val="2"/>
        </w:rPr>
        <w:t>〕</w:t>
      </w:r>
      <w:r>
        <w:rPr>
          <w:kern w:val="2"/>
        </w:rPr>
        <w:t>17</w:t>
      </w:r>
      <w:r>
        <w:rPr>
          <w:kern w:val="2"/>
        </w:rPr>
        <w:t>号）主要发展目标。</w:t>
      </w:r>
    </w:p>
    <w:p w14:paraId="59F63321" w14:textId="77777777" w:rsidR="003E78AB" w:rsidRDefault="00010BF9">
      <w:pPr>
        <w:pStyle w:val="31"/>
        <w:keepNext w:val="0"/>
        <w:keepLines w:val="0"/>
        <w:topLinePunct/>
        <w:spacing w:before="156"/>
        <w:rPr>
          <w:rFonts w:cs="Times New Roman"/>
          <w:b w:val="0"/>
        </w:rPr>
      </w:pPr>
      <w:r>
        <w:rPr>
          <w:rFonts w:cs="Times New Roman"/>
          <w:b w:val="0"/>
        </w:rPr>
        <w:t>2.8.5</w:t>
      </w:r>
      <w:r>
        <w:rPr>
          <w:rFonts w:cs="Times New Roman"/>
          <w:b w:val="0"/>
        </w:rPr>
        <w:t>与环境保护相关政策文件符合性分析</w:t>
      </w:r>
    </w:p>
    <w:p w14:paraId="551453CD"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2.8.5.1</w:t>
      </w:r>
      <w:r>
        <w:rPr>
          <w:rFonts w:ascii="Times New Roman" w:hAnsi="Times New Roman"/>
          <w:b w:val="0"/>
        </w:rPr>
        <w:t>与</w:t>
      </w:r>
      <w:r>
        <w:rPr>
          <w:rFonts w:ascii="Times New Roman" w:hAnsi="Times New Roman" w:hint="eastAsia"/>
          <w:b w:val="0"/>
        </w:rPr>
        <w:t>《</w:t>
      </w:r>
      <w:bookmarkStart w:id="166" w:name="OLE_LINK54"/>
      <w:r>
        <w:rPr>
          <w:rFonts w:ascii="Times New Roman" w:hAnsi="Times New Roman" w:hint="eastAsia"/>
          <w:b w:val="0"/>
        </w:rPr>
        <w:t>中共中央</w:t>
      </w:r>
      <w:r>
        <w:rPr>
          <w:rFonts w:ascii="Times New Roman" w:hAnsi="Times New Roman" w:hint="eastAsia"/>
          <w:b w:val="0"/>
        </w:rPr>
        <w:t xml:space="preserve"> </w:t>
      </w:r>
      <w:r>
        <w:rPr>
          <w:rFonts w:ascii="Times New Roman" w:hAnsi="Times New Roman" w:hint="eastAsia"/>
          <w:b w:val="0"/>
        </w:rPr>
        <w:t>国务院关于深入打好污染防治攻坚战的意见</w:t>
      </w:r>
      <w:bookmarkEnd w:id="166"/>
      <w:r>
        <w:rPr>
          <w:rFonts w:ascii="Times New Roman" w:hAnsi="Times New Roman" w:hint="eastAsia"/>
          <w:b w:val="0"/>
        </w:rPr>
        <w:t>》（</w:t>
      </w:r>
      <w:r>
        <w:rPr>
          <w:rFonts w:ascii="Times New Roman" w:hAnsi="Times New Roman" w:hint="eastAsia"/>
          <w:b w:val="0"/>
        </w:rPr>
        <w:t>2021</w:t>
      </w:r>
      <w:r>
        <w:rPr>
          <w:rFonts w:ascii="Times New Roman" w:hAnsi="Times New Roman" w:hint="eastAsia"/>
          <w:b w:val="0"/>
        </w:rPr>
        <w:t>年</w:t>
      </w:r>
      <w:r>
        <w:rPr>
          <w:rFonts w:ascii="Times New Roman" w:hAnsi="Times New Roman" w:hint="eastAsia"/>
          <w:b w:val="0"/>
        </w:rPr>
        <w:t>11</w:t>
      </w:r>
      <w:r>
        <w:rPr>
          <w:rFonts w:ascii="Times New Roman" w:hAnsi="Times New Roman" w:hint="eastAsia"/>
          <w:b w:val="0"/>
        </w:rPr>
        <w:t>月</w:t>
      </w:r>
      <w:r>
        <w:rPr>
          <w:rFonts w:ascii="Times New Roman" w:hAnsi="Times New Roman" w:hint="eastAsia"/>
          <w:b w:val="0"/>
        </w:rPr>
        <w:t>2</w:t>
      </w:r>
      <w:r>
        <w:rPr>
          <w:rFonts w:ascii="Times New Roman" w:hAnsi="Times New Roman" w:hint="eastAsia"/>
          <w:b w:val="0"/>
        </w:rPr>
        <w:t>日）</w:t>
      </w:r>
      <w:r>
        <w:rPr>
          <w:rFonts w:ascii="Times New Roman" w:hAnsi="Times New Roman"/>
          <w:b w:val="0"/>
        </w:rPr>
        <w:t>的符合性分析</w:t>
      </w:r>
    </w:p>
    <w:p w14:paraId="07DFBF03" w14:textId="77777777" w:rsidR="003E78AB" w:rsidRDefault="00010BF9">
      <w:pPr>
        <w:pStyle w:val="a5"/>
        <w:rPr>
          <w:bCs/>
        </w:rPr>
      </w:pPr>
      <w:r>
        <w:rPr>
          <w:bCs/>
        </w:rPr>
        <w:t>本项目与</w:t>
      </w:r>
      <w:r>
        <w:rPr>
          <w:rFonts w:hint="eastAsia"/>
          <w:bCs/>
        </w:rPr>
        <w:t>意见的</w:t>
      </w:r>
      <w:r>
        <w:rPr>
          <w:bCs/>
        </w:rPr>
        <w:t>相符性分析</w:t>
      </w:r>
    </w:p>
    <w:tbl>
      <w:tblPr>
        <w:tblW w:w="5019"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1029"/>
        <w:gridCol w:w="3708"/>
        <w:gridCol w:w="2880"/>
        <w:gridCol w:w="731"/>
      </w:tblGrid>
      <w:tr w:rsidR="003E78AB" w14:paraId="5B49B90D" w14:textId="77777777">
        <w:trPr>
          <w:tblHeader/>
        </w:trPr>
        <w:tc>
          <w:tcPr>
            <w:tcW w:w="2836" w:type="pct"/>
            <w:gridSpan w:val="2"/>
            <w:vAlign w:val="center"/>
          </w:tcPr>
          <w:p w14:paraId="2DAF79E8" w14:textId="77777777" w:rsidR="003E78AB" w:rsidRDefault="00010BF9">
            <w:pPr>
              <w:spacing w:line="360" w:lineRule="exact"/>
              <w:ind w:firstLineChars="0" w:firstLine="0"/>
              <w:jc w:val="center"/>
              <w:textAlignment w:val="center"/>
              <w:rPr>
                <w:bCs/>
                <w:sz w:val="21"/>
                <w:szCs w:val="21"/>
              </w:rPr>
            </w:pPr>
            <w:r>
              <w:rPr>
                <w:bCs/>
                <w:sz w:val="21"/>
                <w:szCs w:val="21"/>
              </w:rPr>
              <w:t>相关要求</w:t>
            </w:r>
          </w:p>
        </w:tc>
        <w:tc>
          <w:tcPr>
            <w:tcW w:w="1725" w:type="pct"/>
            <w:vAlign w:val="center"/>
          </w:tcPr>
          <w:p w14:paraId="3FE48C61"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438" w:type="pct"/>
            <w:vAlign w:val="center"/>
          </w:tcPr>
          <w:p w14:paraId="3DEA2993"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441404DF" w14:textId="77777777">
        <w:tc>
          <w:tcPr>
            <w:tcW w:w="616" w:type="pct"/>
            <w:vMerge w:val="restart"/>
            <w:tcBorders>
              <w:right w:val="single" w:sz="4" w:space="0" w:color="auto"/>
            </w:tcBorders>
            <w:vAlign w:val="center"/>
          </w:tcPr>
          <w:p w14:paraId="364D20F5" w14:textId="77777777" w:rsidR="003E78AB" w:rsidRDefault="00010BF9">
            <w:pPr>
              <w:spacing w:line="360" w:lineRule="exact"/>
              <w:ind w:firstLineChars="0" w:firstLine="0"/>
              <w:jc w:val="center"/>
              <w:textAlignment w:val="center"/>
              <w:rPr>
                <w:bCs/>
                <w:kern w:val="2"/>
                <w:sz w:val="21"/>
              </w:rPr>
            </w:pPr>
            <w:r>
              <w:rPr>
                <w:bCs/>
                <w:kern w:val="2"/>
                <w:sz w:val="21"/>
              </w:rPr>
              <w:t>二、加快推动绿色低碳发展</w:t>
            </w:r>
          </w:p>
        </w:tc>
        <w:tc>
          <w:tcPr>
            <w:tcW w:w="2219" w:type="pct"/>
            <w:tcBorders>
              <w:left w:val="single" w:sz="4" w:space="0" w:color="auto"/>
            </w:tcBorders>
            <w:vAlign w:val="center"/>
          </w:tcPr>
          <w:p w14:paraId="47F62CCC" w14:textId="77777777" w:rsidR="003E78AB" w:rsidRDefault="00010BF9">
            <w:pPr>
              <w:spacing w:line="360" w:lineRule="exact"/>
              <w:ind w:firstLineChars="0" w:firstLine="0"/>
              <w:jc w:val="left"/>
              <w:textAlignment w:val="center"/>
              <w:rPr>
                <w:bCs/>
                <w:kern w:val="2"/>
                <w:sz w:val="21"/>
              </w:rPr>
            </w:pPr>
            <w:r>
              <w:rPr>
                <w:bCs/>
                <w:kern w:val="2"/>
                <w:sz w:val="21"/>
              </w:rPr>
              <w:t>七）坚决遏制高耗能高排放项目盲目发展。严把高耗能高排放项目准入关口，严格落实污染物排放区域削减要求，对不符合规定的项目坚决停批停建。依法依规淘汰落后产能和化解过剩产能。</w:t>
            </w:r>
          </w:p>
        </w:tc>
        <w:tc>
          <w:tcPr>
            <w:tcW w:w="1725" w:type="pct"/>
            <w:vAlign w:val="center"/>
          </w:tcPr>
          <w:p w14:paraId="4A216720"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本项目不在</w:t>
            </w:r>
            <w:r>
              <w:rPr>
                <w:bCs/>
                <w:kern w:val="2"/>
                <w:sz w:val="21"/>
              </w:rPr>
              <w:t>《自治区</w:t>
            </w:r>
            <w:r>
              <w:rPr>
                <w:bCs/>
                <w:kern w:val="2"/>
                <w:sz w:val="21"/>
              </w:rPr>
              <w:t>“</w:t>
            </w:r>
            <w:r>
              <w:rPr>
                <w:bCs/>
                <w:kern w:val="2"/>
                <w:sz w:val="21"/>
              </w:rPr>
              <w:t>两高</w:t>
            </w:r>
            <w:r>
              <w:rPr>
                <w:bCs/>
                <w:kern w:val="2"/>
                <w:sz w:val="21"/>
              </w:rPr>
              <w:t>”</w:t>
            </w:r>
            <w:r>
              <w:rPr>
                <w:bCs/>
                <w:kern w:val="2"/>
                <w:sz w:val="21"/>
              </w:rPr>
              <w:t>项目管理目录（</w:t>
            </w:r>
            <w:r>
              <w:rPr>
                <w:bCs/>
                <w:kern w:val="2"/>
                <w:sz w:val="21"/>
              </w:rPr>
              <w:t>2024</w:t>
            </w:r>
            <w:r>
              <w:rPr>
                <w:bCs/>
                <w:kern w:val="2"/>
                <w:sz w:val="21"/>
              </w:rPr>
              <w:t>年版）》</w:t>
            </w:r>
            <w:r>
              <w:rPr>
                <w:rFonts w:hint="eastAsia"/>
                <w:bCs/>
                <w:kern w:val="2"/>
                <w:sz w:val="21"/>
              </w:rPr>
              <w:t>中</w:t>
            </w:r>
            <w:r>
              <w:rPr>
                <w:bCs/>
                <w:kern w:val="2"/>
                <w:sz w:val="21"/>
              </w:rPr>
              <w:t>。项目采用先进工艺，水耗能耗均控制在国内先进水平，符合产业政策及园区发展定位。</w:t>
            </w:r>
          </w:p>
        </w:tc>
        <w:tc>
          <w:tcPr>
            <w:tcW w:w="438" w:type="pct"/>
            <w:vAlign w:val="center"/>
          </w:tcPr>
          <w:p w14:paraId="7E7E085E"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r w:rsidR="003E78AB" w14:paraId="75D6F1EC" w14:textId="77777777">
        <w:tc>
          <w:tcPr>
            <w:tcW w:w="616" w:type="pct"/>
            <w:vMerge/>
            <w:tcBorders>
              <w:right w:val="single" w:sz="4" w:space="0" w:color="auto"/>
            </w:tcBorders>
            <w:vAlign w:val="center"/>
          </w:tcPr>
          <w:p w14:paraId="4F0BA944" w14:textId="77777777" w:rsidR="003E78AB" w:rsidRDefault="003E78AB">
            <w:pPr>
              <w:spacing w:line="360" w:lineRule="exact"/>
              <w:ind w:firstLineChars="0" w:firstLine="0"/>
              <w:jc w:val="center"/>
              <w:textAlignment w:val="center"/>
              <w:rPr>
                <w:bCs/>
                <w:kern w:val="2"/>
                <w:sz w:val="21"/>
              </w:rPr>
            </w:pPr>
          </w:p>
        </w:tc>
        <w:tc>
          <w:tcPr>
            <w:tcW w:w="2219" w:type="pct"/>
            <w:tcBorders>
              <w:left w:val="single" w:sz="4" w:space="0" w:color="auto"/>
            </w:tcBorders>
            <w:vAlign w:val="center"/>
          </w:tcPr>
          <w:p w14:paraId="0D696FC5" w14:textId="77777777" w:rsidR="003E78AB" w:rsidRDefault="00010BF9">
            <w:pPr>
              <w:spacing w:line="360" w:lineRule="exact"/>
              <w:ind w:firstLineChars="0" w:firstLine="0"/>
              <w:jc w:val="left"/>
              <w:textAlignment w:val="center"/>
              <w:rPr>
                <w:bCs/>
                <w:kern w:val="2"/>
                <w:sz w:val="21"/>
              </w:rPr>
            </w:pPr>
            <w:r>
              <w:rPr>
                <w:bCs/>
                <w:kern w:val="2"/>
                <w:sz w:val="21"/>
              </w:rPr>
              <w:t>（九）加强生态环境分区管控。衔接国土空间规划分区和用途管制要求，将生态保护红线、环境质量底线、资源利用上线的硬约束落实到环境管控单元，建立差别化的生态环境准入清单，加强</w:t>
            </w:r>
            <w:r>
              <w:rPr>
                <w:bCs/>
                <w:kern w:val="2"/>
                <w:sz w:val="21"/>
              </w:rPr>
              <w:t>“</w:t>
            </w:r>
            <w:r>
              <w:rPr>
                <w:bCs/>
                <w:kern w:val="2"/>
                <w:sz w:val="21"/>
              </w:rPr>
              <w:t>三线一单</w:t>
            </w:r>
            <w:r>
              <w:rPr>
                <w:bCs/>
                <w:kern w:val="2"/>
                <w:sz w:val="21"/>
              </w:rPr>
              <w:t>”</w:t>
            </w:r>
            <w:r>
              <w:rPr>
                <w:bCs/>
                <w:kern w:val="2"/>
                <w:sz w:val="21"/>
              </w:rPr>
              <w:t>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r>
              <w:rPr>
                <w:bCs/>
                <w:kern w:val="2"/>
                <w:sz w:val="21"/>
              </w:rPr>
              <w:t xml:space="preserve"> </w:t>
            </w:r>
          </w:p>
        </w:tc>
        <w:tc>
          <w:tcPr>
            <w:tcW w:w="1725" w:type="pct"/>
            <w:vAlign w:val="center"/>
          </w:tcPr>
          <w:p w14:paraId="20F198C8" w14:textId="77777777" w:rsidR="003E78AB" w:rsidRDefault="00010BF9">
            <w:pPr>
              <w:spacing w:line="360" w:lineRule="exact"/>
              <w:ind w:firstLineChars="0" w:firstLine="0"/>
              <w:jc w:val="left"/>
              <w:textAlignment w:val="center"/>
              <w:rPr>
                <w:bCs/>
                <w:kern w:val="2"/>
                <w:sz w:val="21"/>
              </w:rPr>
            </w:pPr>
            <w:r>
              <w:rPr>
                <w:bCs/>
                <w:kern w:val="2"/>
                <w:sz w:val="21"/>
              </w:rPr>
              <w:t>项目选址于哈密工业园南部循环经济产业园</w:t>
            </w:r>
            <w:r>
              <w:rPr>
                <w:rFonts w:hint="eastAsia"/>
                <w:bCs/>
                <w:kern w:val="2"/>
                <w:sz w:val="21"/>
              </w:rPr>
              <w:t>化工产业区</w:t>
            </w:r>
            <w:r>
              <w:rPr>
                <w:bCs/>
                <w:kern w:val="2"/>
                <w:sz w:val="21"/>
              </w:rPr>
              <w:t>，严格遵循园区</w:t>
            </w:r>
            <w:r>
              <w:rPr>
                <w:bCs/>
                <w:kern w:val="2"/>
                <w:sz w:val="21"/>
              </w:rPr>
              <w:t>“</w:t>
            </w:r>
            <w:r>
              <w:rPr>
                <w:bCs/>
                <w:kern w:val="2"/>
                <w:sz w:val="21"/>
              </w:rPr>
              <w:t>三线一单</w:t>
            </w:r>
            <w:r>
              <w:rPr>
                <w:bCs/>
                <w:kern w:val="2"/>
                <w:sz w:val="21"/>
              </w:rPr>
              <w:t>”</w:t>
            </w:r>
            <w:r>
              <w:rPr>
                <w:bCs/>
                <w:kern w:val="2"/>
                <w:sz w:val="21"/>
              </w:rPr>
              <w:t>管控要求，未涉及生态保护红线及环境敏感区。</w:t>
            </w:r>
          </w:p>
        </w:tc>
        <w:tc>
          <w:tcPr>
            <w:tcW w:w="438" w:type="pct"/>
            <w:vAlign w:val="center"/>
          </w:tcPr>
          <w:p w14:paraId="6F7EFDAE"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r w:rsidR="003E78AB" w14:paraId="42CE0BCF" w14:textId="77777777">
        <w:tc>
          <w:tcPr>
            <w:tcW w:w="616" w:type="pct"/>
            <w:tcBorders>
              <w:right w:val="single" w:sz="4" w:space="0" w:color="auto"/>
            </w:tcBorders>
            <w:vAlign w:val="center"/>
          </w:tcPr>
          <w:p w14:paraId="520BD25C" w14:textId="77777777" w:rsidR="003E78AB" w:rsidRDefault="00010BF9">
            <w:pPr>
              <w:spacing w:line="360" w:lineRule="exact"/>
              <w:ind w:firstLineChars="0" w:firstLine="0"/>
              <w:jc w:val="center"/>
              <w:textAlignment w:val="center"/>
              <w:rPr>
                <w:bCs/>
                <w:kern w:val="2"/>
                <w:sz w:val="21"/>
              </w:rPr>
            </w:pPr>
            <w:r>
              <w:rPr>
                <w:bCs/>
                <w:kern w:val="2"/>
                <w:sz w:val="21"/>
              </w:rPr>
              <w:t>五、深入打好净土保卫战</w:t>
            </w:r>
          </w:p>
        </w:tc>
        <w:tc>
          <w:tcPr>
            <w:tcW w:w="2219" w:type="pct"/>
            <w:tcBorders>
              <w:left w:val="single" w:sz="4" w:space="0" w:color="auto"/>
            </w:tcBorders>
            <w:vAlign w:val="center"/>
          </w:tcPr>
          <w:p w14:paraId="2A91F55B" w14:textId="77777777" w:rsidR="003E78AB" w:rsidRDefault="00010BF9">
            <w:pPr>
              <w:spacing w:line="360" w:lineRule="exact"/>
              <w:ind w:firstLineChars="0" w:firstLine="0"/>
              <w:jc w:val="left"/>
              <w:textAlignment w:val="center"/>
              <w:rPr>
                <w:bCs/>
                <w:kern w:val="2"/>
                <w:sz w:val="21"/>
              </w:rPr>
            </w:pPr>
            <w:r>
              <w:rPr>
                <w:bCs/>
                <w:kern w:val="2"/>
                <w:sz w:val="21"/>
              </w:rPr>
              <w:t>（二十六）强化地下水污染协同防治。持续开展地下水环境状况调查评估，划定地下水型饮用水水源补给区并强化保护措施，开展地下水污染防治重点区划定及污染风险管控。健全分级分类的地下水环境监测评价体系。实施水土环境风险协同防控。</w:t>
            </w:r>
          </w:p>
        </w:tc>
        <w:tc>
          <w:tcPr>
            <w:tcW w:w="1725" w:type="pct"/>
            <w:vAlign w:val="center"/>
          </w:tcPr>
          <w:p w14:paraId="3C7E670C" w14:textId="77777777" w:rsidR="003E78AB" w:rsidRDefault="00010BF9">
            <w:pPr>
              <w:spacing w:line="360" w:lineRule="exact"/>
              <w:ind w:firstLineChars="0" w:firstLine="0"/>
              <w:jc w:val="left"/>
              <w:textAlignment w:val="center"/>
              <w:rPr>
                <w:bCs/>
                <w:kern w:val="2"/>
                <w:sz w:val="21"/>
              </w:rPr>
            </w:pPr>
            <w:r>
              <w:rPr>
                <w:bCs/>
                <w:sz w:val="21"/>
                <w:szCs w:val="21"/>
              </w:rPr>
              <w:t>本项目涉及危险化学品的</w:t>
            </w:r>
            <w:r>
              <w:rPr>
                <w:rFonts w:hint="eastAsia"/>
                <w:bCs/>
                <w:sz w:val="21"/>
                <w:szCs w:val="21"/>
              </w:rPr>
              <w:t>生产、</w:t>
            </w:r>
            <w:r>
              <w:rPr>
                <w:bCs/>
                <w:sz w:val="21"/>
                <w:szCs w:val="21"/>
              </w:rPr>
              <w:t>使用和储存，项目建成后将按要求开展地下水跟踪监测和调查评估工作。</w:t>
            </w:r>
          </w:p>
        </w:tc>
        <w:tc>
          <w:tcPr>
            <w:tcW w:w="438" w:type="pct"/>
            <w:vAlign w:val="center"/>
          </w:tcPr>
          <w:p w14:paraId="5843F9AB"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bl>
    <w:p w14:paraId="75A7D33F"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2.8.5.2</w:t>
      </w:r>
      <w:r>
        <w:rPr>
          <w:rFonts w:ascii="Times New Roman" w:hAnsi="Times New Roman"/>
          <w:b w:val="0"/>
        </w:rPr>
        <w:t>与</w:t>
      </w:r>
      <w:r>
        <w:rPr>
          <w:rFonts w:ascii="Times New Roman" w:hAnsi="Times New Roman" w:hint="eastAsia"/>
          <w:b w:val="0"/>
        </w:rPr>
        <w:t>《</w:t>
      </w:r>
      <w:bookmarkStart w:id="167" w:name="OLE_LINK51"/>
      <w:r>
        <w:rPr>
          <w:rFonts w:ascii="Times New Roman" w:hAnsi="Times New Roman" w:hint="eastAsia"/>
          <w:b w:val="0"/>
        </w:rPr>
        <w:t>新疆维吾尔自治区</w:t>
      </w:r>
      <w:r>
        <w:rPr>
          <w:rFonts w:ascii="Times New Roman" w:hAnsi="Times New Roman" w:hint="eastAsia"/>
          <w:b w:val="0"/>
        </w:rPr>
        <w:t>2025</w:t>
      </w:r>
      <w:r>
        <w:rPr>
          <w:rFonts w:ascii="Times New Roman" w:hAnsi="Times New Roman" w:hint="eastAsia"/>
          <w:b w:val="0"/>
        </w:rPr>
        <w:t>年空气质量持续改善行动实施方案</w:t>
      </w:r>
      <w:bookmarkEnd w:id="167"/>
      <w:r>
        <w:rPr>
          <w:rFonts w:ascii="Times New Roman" w:hAnsi="Times New Roman" w:hint="eastAsia"/>
          <w:b w:val="0"/>
        </w:rPr>
        <w:t>》（新政办发〔</w:t>
      </w:r>
      <w:r>
        <w:rPr>
          <w:rFonts w:ascii="Times New Roman" w:hAnsi="Times New Roman" w:hint="eastAsia"/>
          <w:b w:val="0"/>
        </w:rPr>
        <w:t>2024</w:t>
      </w:r>
      <w:r>
        <w:rPr>
          <w:rFonts w:ascii="Times New Roman" w:hAnsi="Times New Roman" w:hint="eastAsia"/>
          <w:b w:val="0"/>
        </w:rPr>
        <w:t>〕</w:t>
      </w:r>
      <w:r>
        <w:rPr>
          <w:rFonts w:ascii="Times New Roman" w:hAnsi="Times New Roman" w:hint="eastAsia"/>
          <w:b w:val="0"/>
        </w:rPr>
        <w:t>58</w:t>
      </w:r>
      <w:r>
        <w:rPr>
          <w:rFonts w:ascii="Times New Roman" w:hAnsi="Times New Roman" w:hint="eastAsia"/>
          <w:b w:val="0"/>
        </w:rPr>
        <w:t>号）</w:t>
      </w:r>
      <w:r>
        <w:rPr>
          <w:rFonts w:ascii="Times New Roman" w:hAnsi="Times New Roman"/>
          <w:b w:val="0"/>
        </w:rPr>
        <w:t>的符合性分析</w:t>
      </w:r>
    </w:p>
    <w:p w14:paraId="426009EE" w14:textId="77777777" w:rsidR="003E78AB" w:rsidRDefault="00010BF9">
      <w:pPr>
        <w:pStyle w:val="a5"/>
        <w:rPr>
          <w:bCs/>
        </w:rPr>
      </w:pPr>
      <w:r>
        <w:rPr>
          <w:bCs/>
        </w:rPr>
        <w:t>本项目与新政办发〔</w:t>
      </w:r>
      <w:r>
        <w:rPr>
          <w:bCs/>
        </w:rPr>
        <w:t>2024</w:t>
      </w:r>
      <w:r>
        <w:rPr>
          <w:bCs/>
        </w:rPr>
        <w:t>〕</w:t>
      </w:r>
      <w:r>
        <w:rPr>
          <w:bCs/>
        </w:rPr>
        <w:t>58</w:t>
      </w:r>
      <w:r>
        <w:rPr>
          <w:bCs/>
        </w:rPr>
        <w:t>号相符性分析</w:t>
      </w:r>
    </w:p>
    <w:tbl>
      <w:tblPr>
        <w:tblW w:w="5007"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1030"/>
        <w:gridCol w:w="3694"/>
        <w:gridCol w:w="2873"/>
        <w:gridCol w:w="731"/>
      </w:tblGrid>
      <w:tr w:rsidR="003E78AB" w14:paraId="52B899E2" w14:textId="77777777">
        <w:trPr>
          <w:tblHeader/>
        </w:trPr>
        <w:tc>
          <w:tcPr>
            <w:tcW w:w="2835" w:type="pct"/>
            <w:gridSpan w:val="2"/>
            <w:vAlign w:val="center"/>
          </w:tcPr>
          <w:p w14:paraId="7969B49E" w14:textId="77777777" w:rsidR="003E78AB" w:rsidRDefault="00010BF9">
            <w:pPr>
              <w:spacing w:line="360" w:lineRule="exact"/>
              <w:ind w:firstLineChars="0" w:firstLine="0"/>
              <w:jc w:val="center"/>
              <w:textAlignment w:val="center"/>
              <w:rPr>
                <w:bCs/>
                <w:sz w:val="21"/>
                <w:szCs w:val="21"/>
              </w:rPr>
            </w:pPr>
            <w:bookmarkStart w:id="168" w:name="OLE_LINK55" w:colFirst="0" w:colLast="3"/>
            <w:r>
              <w:rPr>
                <w:bCs/>
                <w:sz w:val="21"/>
                <w:szCs w:val="21"/>
              </w:rPr>
              <w:t>相关要求</w:t>
            </w:r>
          </w:p>
        </w:tc>
        <w:tc>
          <w:tcPr>
            <w:tcW w:w="1725" w:type="pct"/>
            <w:vAlign w:val="center"/>
          </w:tcPr>
          <w:p w14:paraId="67430456"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439" w:type="pct"/>
            <w:vAlign w:val="center"/>
          </w:tcPr>
          <w:p w14:paraId="110A49A9"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0C3215F6" w14:textId="77777777">
        <w:tc>
          <w:tcPr>
            <w:tcW w:w="618" w:type="pct"/>
            <w:tcBorders>
              <w:right w:val="single" w:sz="4" w:space="0" w:color="auto"/>
            </w:tcBorders>
            <w:vAlign w:val="center"/>
          </w:tcPr>
          <w:p w14:paraId="0EF44381" w14:textId="77777777" w:rsidR="003E78AB" w:rsidRDefault="00010BF9">
            <w:pPr>
              <w:spacing w:line="360" w:lineRule="exact"/>
              <w:ind w:firstLineChars="0" w:firstLine="0"/>
              <w:jc w:val="center"/>
              <w:textAlignment w:val="center"/>
              <w:rPr>
                <w:bCs/>
                <w:kern w:val="2"/>
                <w:sz w:val="21"/>
              </w:rPr>
            </w:pPr>
            <w:r>
              <w:rPr>
                <w:bCs/>
                <w:kern w:val="2"/>
                <w:sz w:val="21"/>
              </w:rPr>
              <w:t>二、持续优化产业结构</w:t>
            </w:r>
          </w:p>
        </w:tc>
        <w:tc>
          <w:tcPr>
            <w:tcW w:w="2217" w:type="pct"/>
            <w:tcBorders>
              <w:left w:val="single" w:sz="4" w:space="0" w:color="auto"/>
            </w:tcBorders>
            <w:vAlign w:val="center"/>
          </w:tcPr>
          <w:p w14:paraId="4BCE5B84" w14:textId="77777777" w:rsidR="003E78AB" w:rsidRDefault="00010BF9">
            <w:pPr>
              <w:spacing w:line="360" w:lineRule="exact"/>
              <w:ind w:firstLineChars="0" w:firstLine="0"/>
              <w:jc w:val="left"/>
              <w:textAlignment w:val="center"/>
              <w:rPr>
                <w:bCs/>
                <w:kern w:val="2"/>
                <w:sz w:val="21"/>
              </w:rPr>
            </w:pPr>
            <w:r>
              <w:rPr>
                <w:bCs/>
                <w:kern w:val="2"/>
                <w:sz w:val="21"/>
              </w:rPr>
              <w:t>（一）坚决遏制高耗能、高排放、低水平项目盲目上马。新改扩建项目严格落实</w:t>
            </w:r>
            <w:bookmarkStart w:id="169" w:name="OLE_LINK53"/>
            <w:r>
              <w:rPr>
                <w:bCs/>
                <w:kern w:val="2"/>
                <w:sz w:val="21"/>
              </w:rPr>
              <w:t>国家和自治区产业规划、产业政策、生态环境分区管控方案、规划环评、项目环评、节能审查、产能置换、重点污染物总量控制、污染物排放区域削减、碳排放达峰目标等相关要求</w:t>
            </w:r>
            <w:bookmarkEnd w:id="169"/>
            <w:r>
              <w:rPr>
                <w:bCs/>
                <w:kern w:val="2"/>
                <w:sz w:val="21"/>
              </w:rPr>
              <w:t>，原则上采用清洁运输方式，达到能效标杆水平、环保绩效</w:t>
            </w:r>
            <w:r>
              <w:rPr>
                <w:bCs/>
                <w:kern w:val="2"/>
                <w:sz w:val="21"/>
              </w:rPr>
              <w:t>A</w:t>
            </w:r>
            <w:r>
              <w:rPr>
                <w:bCs/>
                <w:kern w:val="2"/>
                <w:sz w:val="21"/>
              </w:rPr>
              <w:t>级水平。</w:t>
            </w:r>
            <w:r>
              <w:rPr>
                <w:rFonts w:hint="eastAsia"/>
                <w:bCs/>
                <w:kern w:val="2"/>
                <w:sz w:val="21"/>
              </w:rPr>
              <w:t>……</w:t>
            </w:r>
          </w:p>
        </w:tc>
        <w:tc>
          <w:tcPr>
            <w:tcW w:w="1725" w:type="pct"/>
            <w:vAlign w:val="center"/>
          </w:tcPr>
          <w:p w14:paraId="4699C4DF" w14:textId="77777777" w:rsidR="003E78AB" w:rsidRDefault="00010BF9">
            <w:pPr>
              <w:spacing w:line="360" w:lineRule="exact"/>
              <w:ind w:firstLineChars="0" w:firstLine="0"/>
              <w:jc w:val="left"/>
              <w:textAlignment w:val="center"/>
              <w:rPr>
                <w:bCs/>
                <w:kern w:val="2"/>
                <w:sz w:val="21"/>
              </w:rPr>
            </w:pPr>
            <w:r>
              <w:rPr>
                <w:bCs/>
                <w:sz w:val="21"/>
                <w:szCs w:val="21"/>
              </w:rPr>
              <w:t>本项目不在《自治区</w:t>
            </w:r>
            <w:r>
              <w:rPr>
                <w:bCs/>
                <w:sz w:val="21"/>
                <w:szCs w:val="21"/>
              </w:rPr>
              <w:t>“</w:t>
            </w:r>
            <w:r>
              <w:rPr>
                <w:bCs/>
                <w:sz w:val="21"/>
                <w:szCs w:val="21"/>
              </w:rPr>
              <w:t>两高</w:t>
            </w:r>
            <w:r>
              <w:rPr>
                <w:bCs/>
                <w:sz w:val="21"/>
                <w:szCs w:val="21"/>
              </w:rPr>
              <w:t>”</w:t>
            </w:r>
            <w:r>
              <w:rPr>
                <w:bCs/>
                <w:sz w:val="21"/>
                <w:szCs w:val="21"/>
              </w:rPr>
              <w:t>项目管理目录（</w:t>
            </w:r>
            <w:r>
              <w:rPr>
                <w:bCs/>
                <w:sz w:val="21"/>
                <w:szCs w:val="21"/>
              </w:rPr>
              <w:t>2024</w:t>
            </w:r>
            <w:r>
              <w:rPr>
                <w:bCs/>
                <w:sz w:val="21"/>
                <w:szCs w:val="21"/>
              </w:rPr>
              <w:t>年版）》中</w:t>
            </w:r>
            <w:r>
              <w:rPr>
                <w:rFonts w:hint="eastAsia"/>
                <w:bCs/>
                <w:sz w:val="21"/>
                <w:szCs w:val="21"/>
              </w:rPr>
              <w:t>，经对照，项目建设符合</w:t>
            </w:r>
            <w:r>
              <w:rPr>
                <w:bCs/>
                <w:kern w:val="2"/>
                <w:sz w:val="21"/>
              </w:rPr>
              <w:t>国家和自治区产业规划、产业政策、生态环境分区管控方案、规划环评、项目环评、节能审查、产能置换、重点污染物总量控制、污染物排放区域削减、碳排放达峰目标等相关要求</w:t>
            </w:r>
            <w:r>
              <w:rPr>
                <w:rFonts w:hint="eastAsia"/>
                <w:bCs/>
                <w:kern w:val="2"/>
                <w:sz w:val="21"/>
              </w:rPr>
              <w:t>，运输采用国</w:t>
            </w:r>
            <w:r>
              <w:rPr>
                <w:rFonts w:hint="eastAsia"/>
                <w:bCs/>
                <w:kern w:val="2"/>
                <w:sz w:val="21"/>
              </w:rPr>
              <w:t>V</w:t>
            </w:r>
            <w:r>
              <w:rPr>
                <w:rFonts w:hint="eastAsia"/>
                <w:bCs/>
                <w:kern w:val="2"/>
                <w:sz w:val="21"/>
              </w:rPr>
              <w:t>车辆或新能源车辆。</w:t>
            </w:r>
          </w:p>
        </w:tc>
        <w:tc>
          <w:tcPr>
            <w:tcW w:w="439" w:type="pct"/>
            <w:vAlign w:val="center"/>
          </w:tcPr>
          <w:p w14:paraId="14228AC3"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bookmarkEnd w:id="168"/>
      <w:tr w:rsidR="003E78AB" w14:paraId="7D49C456" w14:textId="77777777">
        <w:tc>
          <w:tcPr>
            <w:tcW w:w="618" w:type="pct"/>
            <w:tcBorders>
              <w:right w:val="single" w:sz="4" w:space="0" w:color="auto"/>
            </w:tcBorders>
            <w:vAlign w:val="center"/>
          </w:tcPr>
          <w:p w14:paraId="78813DE7" w14:textId="77777777" w:rsidR="003E78AB" w:rsidRDefault="00010BF9">
            <w:pPr>
              <w:spacing w:line="360" w:lineRule="exact"/>
              <w:ind w:firstLineChars="0" w:firstLine="0"/>
              <w:jc w:val="center"/>
              <w:textAlignment w:val="center"/>
              <w:rPr>
                <w:bCs/>
                <w:kern w:val="2"/>
                <w:sz w:val="21"/>
              </w:rPr>
            </w:pPr>
            <w:r>
              <w:rPr>
                <w:bCs/>
                <w:kern w:val="2"/>
                <w:sz w:val="21"/>
              </w:rPr>
              <w:t>三、持续优化能源结构</w:t>
            </w:r>
          </w:p>
        </w:tc>
        <w:tc>
          <w:tcPr>
            <w:tcW w:w="2217" w:type="pct"/>
            <w:tcBorders>
              <w:left w:val="single" w:sz="4" w:space="0" w:color="auto"/>
            </w:tcBorders>
            <w:vAlign w:val="center"/>
          </w:tcPr>
          <w:p w14:paraId="1130C853" w14:textId="77777777" w:rsidR="003E78AB" w:rsidRDefault="00010BF9">
            <w:pPr>
              <w:spacing w:line="360" w:lineRule="exact"/>
              <w:ind w:firstLineChars="0" w:firstLine="0"/>
              <w:jc w:val="left"/>
              <w:textAlignment w:val="center"/>
              <w:rPr>
                <w:bCs/>
                <w:kern w:val="2"/>
                <w:sz w:val="21"/>
              </w:rPr>
            </w:pPr>
            <w:r>
              <w:rPr>
                <w:rFonts w:hint="eastAsia"/>
                <w:bCs/>
                <w:kern w:val="2"/>
                <w:sz w:val="21"/>
              </w:rPr>
              <w:t>（十七）强化挥发性有机物和氮氧化物综合治理。优化含</w:t>
            </w:r>
            <w:r>
              <w:rPr>
                <w:rFonts w:hint="eastAsia"/>
                <w:bCs/>
                <w:kern w:val="2"/>
                <w:sz w:val="21"/>
              </w:rPr>
              <w:t>VOCs</w:t>
            </w:r>
            <w:r>
              <w:rPr>
                <w:rFonts w:hint="eastAsia"/>
                <w:bCs/>
                <w:kern w:val="2"/>
                <w:sz w:val="21"/>
              </w:rPr>
              <w:t>原辅材料和产品结构，加快推进含</w:t>
            </w:r>
            <w:r>
              <w:rPr>
                <w:rFonts w:hint="eastAsia"/>
                <w:bCs/>
                <w:kern w:val="2"/>
                <w:sz w:val="21"/>
              </w:rPr>
              <w:t>VOCs</w:t>
            </w:r>
            <w:r>
              <w:rPr>
                <w:rFonts w:hint="eastAsia"/>
                <w:bCs/>
                <w:kern w:val="2"/>
                <w:sz w:val="21"/>
              </w:rPr>
              <w:t>原辅材料源头替代，推广使用低（无）</w:t>
            </w:r>
            <w:r>
              <w:rPr>
                <w:rFonts w:hint="eastAsia"/>
                <w:bCs/>
                <w:kern w:val="2"/>
                <w:sz w:val="21"/>
              </w:rPr>
              <w:t>VOCs</w:t>
            </w:r>
            <w:r>
              <w:rPr>
                <w:rFonts w:hint="eastAsia"/>
                <w:bCs/>
                <w:kern w:val="2"/>
                <w:sz w:val="21"/>
              </w:rPr>
              <w:t>含量涂料，严格执行</w:t>
            </w:r>
            <w:r>
              <w:rPr>
                <w:rFonts w:hint="eastAsia"/>
                <w:bCs/>
                <w:kern w:val="2"/>
                <w:sz w:val="21"/>
              </w:rPr>
              <w:t>VOCs</w:t>
            </w:r>
            <w:r>
              <w:rPr>
                <w:rFonts w:hint="eastAsia"/>
                <w:bCs/>
                <w:kern w:val="2"/>
                <w:sz w:val="21"/>
              </w:rPr>
              <w:t>含量限值标准。实施石化、化工、工业涂装、包装印刷等重点行业及油品储运销（储罐）</w:t>
            </w:r>
            <w:r>
              <w:rPr>
                <w:rFonts w:hint="eastAsia"/>
                <w:bCs/>
                <w:kern w:val="2"/>
                <w:sz w:val="21"/>
              </w:rPr>
              <w:t>VOCs</w:t>
            </w:r>
            <w:r>
              <w:rPr>
                <w:rFonts w:hint="eastAsia"/>
                <w:bCs/>
                <w:kern w:val="2"/>
                <w:sz w:val="21"/>
              </w:rPr>
              <w:t>深度治理。企业开停工、检维修期间，及时收集处理退料、清洗、吹扫等作业产生的</w:t>
            </w:r>
            <w:r>
              <w:rPr>
                <w:rFonts w:hint="eastAsia"/>
                <w:bCs/>
                <w:kern w:val="2"/>
                <w:sz w:val="21"/>
              </w:rPr>
              <w:t>VOCs</w:t>
            </w:r>
            <w:r>
              <w:rPr>
                <w:rFonts w:hint="eastAsia"/>
                <w:bCs/>
                <w:kern w:val="2"/>
                <w:sz w:val="21"/>
              </w:rPr>
              <w:t>废气，不得将火炬燃烧装置作为日常大气污染处理设施。联防联控区石化、化工行业集中的园区，建立统一的泄漏检测与修复信息管理平台。加大锅炉、炉窑及移动源氮氧化物减排力度，有序实施燃气锅炉</w:t>
            </w:r>
            <w:r>
              <w:rPr>
                <w:rFonts w:hint="eastAsia"/>
                <w:bCs/>
                <w:kern w:val="2"/>
                <w:sz w:val="21"/>
              </w:rPr>
              <w:t>低氮燃烧改造。加强氮肥、纯碱等行业大气氨排放治理，强化工业源烟气脱硫脱硝氨逃逸防控。</w:t>
            </w:r>
          </w:p>
        </w:tc>
        <w:tc>
          <w:tcPr>
            <w:tcW w:w="1725" w:type="pct"/>
            <w:vAlign w:val="center"/>
          </w:tcPr>
          <w:p w14:paraId="1781BFF1"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本项目所用原料二水草酸在使用过程可能挥发出少量</w:t>
            </w:r>
            <w:r>
              <w:rPr>
                <w:rFonts w:hint="eastAsia"/>
                <w:bCs/>
                <w:kern w:val="2"/>
                <w:sz w:val="21"/>
              </w:rPr>
              <w:t>VOCs</w:t>
            </w:r>
            <w:r>
              <w:rPr>
                <w:rFonts w:hint="eastAsia"/>
                <w:bCs/>
                <w:kern w:val="2"/>
                <w:sz w:val="21"/>
              </w:rPr>
              <w:t>，经密闭管道收集后进入废气淋洗设施处理。锅炉采用低氮燃烧</w:t>
            </w:r>
            <w:r>
              <w:rPr>
                <w:rFonts w:hint="eastAsia"/>
                <w:bCs/>
                <w:kern w:val="2"/>
                <w:sz w:val="21"/>
              </w:rPr>
              <w:t>+</w:t>
            </w:r>
            <w:r>
              <w:rPr>
                <w:rFonts w:hint="eastAsia"/>
                <w:bCs/>
                <w:kern w:val="2"/>
                <w:sz w:val="21"/>
              </w:rPr>
              <w:t>烟气再循环技术。</w:t>
            </w:r>
          </w:p>
        </w:tc>
        <w:tc>
          <w:tcPr>
            <w:tcW w:w="439" w:type="pct"/>
            <w:vAlign w:val="center"/>
          </w:tcPr>
          <w:p w14:paraId="67AD4555"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r w:rsidR="003E78AB" w14:paraId="315F309C" w14:textId="77777777">
        <w:tc>
          <w:tcPr>
            <w:tcW w:w="618" w:type="pct"/>
            <w:tcBorders>
              <w:right w:val="single" w:sz="4" w:space="0" w:color="auto"/>
            </w:tcBorders>
            <w:vAlign w:val="center"/>
          </w:tcPr>
          <w:p w14:paraId="11FE1E1E" w14:textId="77777777" w:rsidR="003E78AB" w:rsidRDefault="00010BF9">
            <w:pPr>
              <w:spacing w:line="360" w:lineRule="exact"/>
              <w:ind w:firstLineChars="0" w:firstLine="0"/>
              <w:jc w:val="center"/>
              <w:textAlignment w:val="center"/>
              <w:rPr>
                <w:bCs/>
                <w:kern w:val="2"/>
                <w:sz w:val="21"/>
              </w:rPr>
            </w:pPr>
            <w:r>
              <w:rPr>
                <w:bCs/>
                <w:kern w:val="2"/>
                <w:sz w:val="21"/>
              </w:rPr>
              <w:t>六、强化多污染物减排</w:t>
            </w:r>
          </w:p>
        </w:tc>
        <w:tc>
          <w:tcPr>
            <w:tcW w:w="2217" w:type="pct"/>
            <w:tcBorders>
              <w:left w:val="single" w:sz="4" w:space="0" w:color="auto"/>
            </w:tcBorders>
            <w:vAlign w:val="center"/>
          </w:tcPr>
          <w:p w14:paraId="5CD61693" w14:textId="77777777" w:rsidR="003E78AB" w:rsidRDefault="00010BF9">
            <w:pPr>
              <w:spacing w:line="360" w:lineRule="exact"/>
              <w:ind w:firstLineChars="0" w:firstLine="0"/>
              <w:jc w:val="left"/>
              <w:textAlignment w:val="center"/>
              <w:rPr>
                <w:bCs/>
                <w:kern w:val="2"/>
                <w:sz w:val="21"/>
              </w:rPr>
            </w:pPr>
            <w:r>
              <w:rPr>
                <w:bCs/>
                <w:kern w:val="2"/>
                <w:sz w:val="21"/>
              </w:rPr>
              <w:t>（十六）持续开展重点行业污染深度治理。</w:t>
            </w:r>
            <w:r>
              <w:rPr>
                <w:rFonts w:hint="eastAsia"/>
                <w:bCs/>
                <w:kern w:val="2"/>
                <w:sz w:val="21"/>
              </w:rPr>
              <w:t>……</w:t>
            </w:r>
            <w:r>
              <w:rPr>
                <w:bCs/>
                <w:kern w:val="2"/>
                <w:sz w:val="21"/>
              </w:rPr>
              <w:t>扎实推进环保绩效</w:t>
            </w:r>
            <w:r>
              <w:rPr>
                <w:bCs/>
                <w:kern w:val="2"/>
                <w:sz w:val="21"/>
              </w:rPr>
              <w:t>“</w:t>
            </w:r>
            <w:r>
              <w:rPr>
                <w:bCs/>
                <w:kern w:val="2"/>
                <w:sz w:val="21"/>
              </w:rPr>
              <w:t>创</w:t>
            </w:r>
            <w:r>
              <w:rPr>
                <w:bCs/>
                <w:kern w:val="2"/>
                <w:sz w:val="21"/>
              </w:rPr>
              <w:t>A</w:t>
            </w:r>
            <w:r>
              <w:rPr>
                <w:bCs/>
                <w:kern w:val="2"/>
                <w:sz w:val="21"/>
              </w:rPr>
              <w:t>晋</w:t>
            </w:r>
            <w:r>
              <w:rPr>
                <w:bCs/>
                <w:kern w:val="2"/>
                <w:sz w:val="21"/>
              </w:rPr>
              <w:t>B”</w:t>
            </w:r>
            <w:r>
              <w:rPr>
                <w:bCs/>
                <w:kern w:val="2"/>
                <w:sz w:val="21"/>
              </w:rPr>
              <w:t>，各地结合实际制定</w:t>
            </w:r>
            <w:r>
              <w:rPr>
                <w:bCs/>
                <w:kern w:val="2"/>
                <w:sz w:val="21"/>
              </w:rPr>
              <w:t>“</w:t>
            </w:r>
            <w:r>
              <w:rPr>
                <w:bCs/>
                <w:kern w:val="2"/>
                <w:sz w:val="21"/>
              </w:rPr>
              <w:t>一企一策</w:t>
            </w:r>
            <w:r>
              <w:rPr>
                <w:bCs/>
                <w:kern w:val="2"/>
                <w:sz w:val="21"/>
              </w:rPr>
              <w:t>”</w:t>
            </w:r>
            <w:r>
              <w:rPr>
                <w:bCs/>
                <w:kern w:val="2"/>
                <w:sz w:val="21"/>
              </w:rPr>
              <w:t>污染治理方案，提升企业环保绩效水平。强化治污设施运行维护，减少非正常工况排放，逐步取消烟气和含</w:t>
            </w:r>
            <w:r>
              <w:rPr>
                <w:bCs/>
                <w:kern w:val="2"/>
                <w:sz w:val="21"/>
              </w:rPr>
              <w:t>VOCs</w:t>
            </w:r>
            <w:r>
              <w:rPr>
                <w:bCs/>
                <w:kern w:val="2"/>
                <w:sz w:val="21"/>
              </w:rPr>
              <w:t>废气旁路，因安全生产需要无法取消的，安装在线监控系统及备用处置设</w:t>
            </w:r>
            <w:r>
              <w:rPr>
                <w:bCs/>
                <w:kern w:val="2"/>
                <w:sz w:val="21"/>
              </w:rPr>
              <w:t>施。</w:t>
            </w:r>
          </w:p>
        </w:tc>
        <w:tc>
          <w:tcPr>
            <w:tcW w:w="1725" w:type="pct"/>
            <w:vAlign w:val="center"/>
          </w:tcPr>
          <w:p w14:paraId="1C2CEFA7"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本项目对照</w:t>
            </w:r>
            <w:r>
              <w:rPr>
                <w:rFonts w:hint="eastAsia"/>
                <w:bCs/>
                <w:kern w:val="2"/>
                <w:sz w:val="21"/>
              </w:rPr>
              <w:t>A</w:t>
            </w:r>
            <w:r>
              <w:rPr>
                <w:rFonts w:hint="eastAsia"/>
                <w:bCs/>
                <w:kern w:val="2"/>
                <w:sz w:val="21"/>
              </w:rPr>
              <w:t>级环保绩效要求建设。日常运行加强治污</w:t>
            </w:r>
            <w:r>
              <w:rPr>
                <w:bCs/>
                <w:kern w:val="2"/>
                <w:sz w:val="21"/>
              </w:rPr>
              <w:t>设施运行维护，减少非正常工况排放</w:t>
            </w:r>
            <w:r>
              <w:rPr>
                <w:rFonts w:hint="eastAsia"/>
                <w:bCs/>
                <w:kern w:val="2"/>
                <w:sz w:val="21"/>
              </w:rPr>
              <w:t>。</w:t>
            </w:r>
          </w:p>
        </w:tc>
        <w:tc>
          <w:tcPr>
            <w:tcW w:w="439" w:type="pct"/>
            <w:vAlign w:val="center"/>
          </w:tcPr>
          <w:p w14:paraId="02F2A2E1"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bl>
    <w:p w14:paraId="2BD8A439"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2.8.5.3</w:t>
      </w:r>
      <w:r>
        <w:rPr>
          <w:rFonts w:ascii="Times New Roman" w:hAnsi="Times New Roman"/>
          <w:b w:val="0"/>
        </w:rPr>
        <w:t>与</w:t>
      </w:r>
      <w:r>
        <w:rPr>
          <w:rFonts w:ascii="Times New Roman" w:hAnsi="Times New Roman" w:hint="eastAsia"/>
          <w:b w:val="0"/>
        </w:rPr>
        <w:t>《</w:t>
      </w:r>
      <w:bookmarkStart w:id="170" w:name="OLE_LINK37"/>
      <w:r>
        <w:rPr>
          <w:rFonts w:ascii="Times New Roman" w:hAnsi="Times New Roman" w:hint="eastAsia"/>
          <w:b w:val="0"/>
        </w:rPr>
        <w:t>自治区党委自治区人民政府印发</w:t>
      </w:r>
      <w:r>
        <w:rPr>
          <w:rFonts w:ascii="Times New Roman" w:hAnsi="Times New Roman" w:hint="eastAsia"/>
          <w:b w:val="0"/>
        </w:rPr>
        <w:t>&lt;</w:t>
      </w:r>
      <w:r>
        <w:rPr>
          <w:rFonts w:ascii="Times New Roman" w:hAnsi="Times New Roman" w:hint="eastAsia"/>
          <w:b w:val="0"/>
        </w:rPr>
        <w:t>关于深入打好污染防治攻坚战的实施方案</w:t>
      </w:r>
      <w:r>
        <w:rPr>
          <w:rFonts w:ascii="Times New Roman" w:hAnsi="Times New Roman" w:hint="eastAsia"/>
          <w:b w:val="0"/>
        </w:rPr>
        <w:t>&gt;</w:t>
      </w:r>
      <w:r>
        <w:rPr>
          <w:rFonts w:ascii="Times New Roman" w:hAnsi="Times New Roman" w:hint="eastAsia"/>
          <w:b w:val="0"/>
        </w:rPr>
        <w:t>》（新党发〔</w:t>
      </w:r>
      <w:r>
        <w:rPr>
          <w:rFonts w:ascii="Times New Roman" w:hAnsi="Times New Roman" w:hint="eastAsia"/>
          <w:b w:val="0"/>
        </w:rPr>
        <w:t>2022</w:t>
      </w:r>
      <w:r>
        <w:rPr>
          <w:rFonts w:ascii="Times New Roman" w:hAnsi="Times New Roman" w:hint="eastAsia"/>
          <w:b w:val="0"/>
        </w:rPr>
        <w:t>〕</w:t>
      </w:r>
      <w:r>
        <w:rPr>
          <w:rFonts w:ascii="Times New Roman" w:hAnsi="Times New Roman" w:hint="eastAsia"/>
          <w:b w:val="0"/>
        </w:rPr>
        <w:t>14</w:t>
      </w:r>
      <w:r>
        <w:rPr>
          <w:rFonts w:ascii="Times New Roman" w:hAnsi="Times New Roman" w:hint="eastAsia"/>
          <w:b w:val="0"/>
        </w:rPr>
        <w:t>号）</w:t>
      </w:r>
      <w:bookmarkEnd w:id="170"/>
      <w:r>
        <w:rPr>
          <w:rFonts w:ascii="Times New Roman" w:hAnsi="Times New Roman"/>
          <w:b w:val="0"/>
        </w:rPr>
        <w:t>的符合性分析</w:t>
      </w:r>
    </w:p>
    <w:p w14:paraId="3120D721" w14:textId="77777777" w:rsidR="003E78AB" w:rsidRDefault="00010BF9">
      <w:pPr>
        <w:pStyle w:val="a5"/>
        <w:rPr>
          <w:bCs/>
        </w:rPr>
      </w:pPr>
      <w:r>
        <w:rPr>
          <w:bCs/>
        </w:rPr>
        <w:t>本项目与新党发〔</w:t>
      </w:r>
      <w:r>
        <w:rPr>
          <w:bCs/>
        </w:rPr>
        <w:t>2022</w:t>
      </w:r>
      <w:r>
        <w:rPr>
          <w:bCs/>
        </w:rPr>
        <w:t>〕</w:t>
      </w:r>
      <w:r>
        <w:rPr>
          <w:bCs/>
        </w:rPr>
        <w:t>14</w:t>
      </w:r>
      <w:r>
        <w:rPr>
          <w:bCs/>
        </w:rPr>
        <w:t>相符性分析</w:t>
      </w:r>
    </w:p>
    <w:tbl>
      <w:tblPr>
        <w:tblW w:w="5007"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1030"/>
        <w:gridCol w:w="3694"/>
        <w:gridCol w:w="2873"/>
        <w:gridCol w:w="731"/>
      </w:tblGrid>
      <w:tr w:rsidR="003E78AB" w14:paraId="6B88566C" w14:textId="77777777">
        <w:trPr>
          <w:tblHeader/>
        </w:trPr>
        <w:tc>
          <w:tcPr>
            <w:tcW w:w="2835" w:type="pct"/>
            <w:gridSpan w:val="2"/>
            <w:vAlign w:val="center"/>
          </w:tcPr>
          <w:p w14:paraId="53E9DE36" w14:textId="77777777" w:rsidR="003E78AB" w:rsidRDefault="00010BF9">
            <w:pPr>
              <w:spacing w:line="360" w:lineRule="exact"/>
              <w:ind w:firstLineChars="0" w:firstLine="0"/>
              <w:jc w:val="center"/>
              <w:textAlignment w:val="center"/>
              <w:rPr>
                <w:bCs/>
                <w:sz w:val="21"/>
                <w:szCs w:val="21"/>
              </w:rPr>
            </w:pPr>
            <w:bookmarkStart w:id="171" w:name="OLE_LINK52" w:colFirst="0" w:colLast="3"/>
            <w:r>
              <w:rPr>
                <w:bCs/>
                <w:sz w:val="21"/>
                <w:szCs w:val="21"/>
              </w:rPr>
              <w:t>相关要求</w:t>
            </w:r>
          </w:p>
        </w:tc>
        <w:tc>
          <w:tcPr>
            <w:tcW w:w="1725" w:type="pct"/>
            <w:vAlign w:val="center"/>
          </w:tcPr>
          <w:p w14:paraId="4DFE938F"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439" w:type="pct"/>
            <w:vAlign w:val="center"/>
          </w:tcPr>
          <w:p w14:paraId="3A6FBBE7"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08E09515" w14:textId="77777777">
        <w:tc>
          <w:tcPr>
            <w:tcW w:w="618" w:type="pct"/>
            <w:vMerge w:val="restart"/>
            <w:tcBorders>
              <w:right w:val="single" w:sz="4" w:space="0" w:color="auto"/>
            </w:tcBorders>
            <w:vAlign w:val="center"/>
          </w:tcPr>
          <w:p w14:paraId="68684E57" w14:textId="77777777" w:rsidR="003E78AB" w:rsidRDefault="00010BF9">
            <w:pPr>
              <w:spacing w:line="360" w:lineRule="exact"/>
              <w:ind w:firstLineChars="0" w:firstLine="0"/>
              <w:jc w:val="center"/>
              <w:textAlignment w:val="center"/>
              <w:rPr>
                <w:bCs/>
                <w:kern w:val="2"/>
                <w:sz w:val="21"/>
              </w:rPr>
            </w:pPr>
            <w:bookmarkStart w:id="172" w:name="OLE_LINK56" w:colFirst="2" w:colLast="3"/>
            <w:r>
              <w:rPr>
                <w:bCs/>
                <w:kern w:val="2"/>
                <w:sz w:val="21"/>
              </w:rPr>
              <w:t>二、大力推动绿色低碳发展</w:t>
            </w:r>
          </w:p>
        </w:tc>
        <w:tc>
          <w:tcPr>
            <w:tcW w:w="2217" w:type="pct"/>
            <w:tcBorders>
              <w:left w:val="single" w:sz="4" w:space="0" w:color="auto"/>
            </w:tcBorders>
            <w:vAlign w:val="center"/>
          </w:tcPr>
          <w:p w14:paraId="04924909" w14:textId="77777777" w:rsidR="003E78AB" w:rsidRDefault="00010BF9">
            <w:pPr>
              <w:spacing w:line="360" w:lineRule="exact"/>
              <w:ind w:firstLineChars="0" w:firstLine="0"/>
              <w:jc w:val="left"/>
              <w:textAlignment w:val="center"/>
              <w:rPr>
                <w:bCs/>
                <w:kern w:val="2"/>
                <w:sz w:val="21"/>
              </w:rPr>
            </w:pPr>
            <w:r>
              <w:rPr>
                <w:bCs/>
                <w:kern w:val="2"/>
                <w:sz w:val="21"/>
              </w:rPr>
              <w:t>坚决遏制高耗能高排放低水平项目盲目发展。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料、平板玻璃、炼油、电解铝等新建、扩建项目严格实施产能等量或减量置换要求。</w:t>
            </w:r>
          </w:p>
        </w:tc>
        <w:tc>
          <w:tcPr>
            <w:tcW w:w="1725" w:type="pct"/>
            <w:vAlign w:val="center"/>
          </w:tcPr>
          <w:p w14:paraId="7B08812F"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本项目不在</w:t>
            </w:r>
            <w:r>
              <w:rPr>
                <w:bCs/>
                <w:kern w:val="2"/>
                <w:sz w:val="21"/>
              </w:rPr>
              <w:t>《自治区</w:t>
            </w:r>
            <w:r>
              <w:rPr>
                <w:bCs/>
                <w:kern w:val="2"/>
                <w:sz w:val="21"/>
              </w:rPr>
              <w:t>“</w:t>
            </w:r>
            <w:r>
              <w:rPr>
                <w:bCs/>
                <w:kern w:val="2"/>
                <w:sz w:val="21"/>
              </w:rPr>
              <w:t>两高</w:t>
            </w:r>
            <w:r>
              <w:rPr>
                <w:bCs/>
                <w:kern w:val="2"/>
                <w:sz w:val="21"/>
              </w:rPr>
              <w:t>”</w:t>
            </w:r>
            <w:r>
              <w:rPr>
                <w:bCs/>
                <w:kern w:val="2"/>
                <w:sz w:val="21"/>
              </w:rPr>
              <w:t>项目管理目录（</w:t>
            </w:r>
            <w:r>
              <w:rPr>
                <w:bCs/>
                <w:kern w:val="2"/>
                <w:sz w:val="21"/>
              </w:rPr>
              <w:t>2024</w:t>
            </w:r>
            <w:r>
              <w:rPr>
                <w:bCs/>
                <w:kern w:val="2"/>
                <w:sz w:val="21"/>
              </w:rPr>
              <w:t>年版）》</w:t>
            </w:r>
            <w:r>
              <w:rPr>
                <w:rFonts w:hint="eastAsia"/>
                <w:bCs/>
                <w:kern w:val="2"/>
                <w:sz w:val="21"/>
              </w:rPr>
              <w:t>中</w:t>
            </w:r>
            <w:r>
              <w:rPr>
                <w:bCs/>
                <w:kern w:val="2"/>
                <w:sz w:val="21"/>
              </w:rPr>
              <w:t>。项目采用先进工艺，水耗能耗均控制在国内先进水平，符合产业政策及园区发展定位。</w:t>
            </w:r>
          </w:p>
        </w:tc>
        <w:tc>
          <w:tcPr>
            <w:tcW w:w="439" w:type="pct"/>
            <w:vAlign w:val="center"/>
          </w:tcPr>
          <w:p w14:paraId="1050DAA5"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bookmarkEnd w:id="171"/>
      <w:tr w:rsidR="003E78AB" w14:paraId="08FC0DFA" w14:textId="77777777">
        <w:tc>
          <w:tcPr>
            <w:tcW w:w="618" w:type="pct"/>
            <w:vMerge/>
            <w:tcBorders>
              <w:right w:val="single" w:sz="4" w:space="0" w:color="auto"/>
            </w:tcBorders>
            <w:vAlign w:val="center"/>
          </w:tcPr>
          <w:p w14:paraId="2AC3EF64" w14:textId="77777777" w:rsidR="003E78AB" w:rsidRDefault="003E78AB">
            <w:pPr>
              <w:spacing w:line="360" w:lineRule="exact"/>
              <w:ind w:firstLineChars="0" w:firstLine="0"/>
              <w:jc w:val="center"/>
              <w:textAlignment w:val="center"/>
              <w:rPr>
                <w:bCs/>
                <w:kern w:val="2"/>
                <w:sz w:val="21"/>
              </w:rPr>
            </w:pPr>
          </w:p>
        </w:tc>
        <w:tc>
          <w:tcPr>
            <w:tcW w:w="2217" w:type="pct"/>
            <w:tcBorders>
              <w:left w:val="single" w:sz="4" w:space="0" w:color="auto"/>
            </w:tcBorders>
            <w:vAlign w:val="center"/>
          </w:tcPr>
          <w:p w14:paraId="39C3A1FA" w14:textId="77777777" w:rsidR="003E78AB" w:rsidRDefault="00010BF9">
            <w:pPr>
              <w:spacing w:line="360" w:lineRule="exact"/>
              <w:ind w:firstLineChars="0" w:firstLine="0"/>
              <w:jc w:val="left"/>
              <w:textAlignment w:val="center"/>
              <w:rPr>
                <w:bCs/>
                <w:kern w:val="2"/>
                <w:sz w:val="21"/>
              </w:rPr>
            </w:pPr>
            <w:r>
              <w:rPr>
                <w:bCs/>
                <w:kern w:val="2"/>
                <w:sz w:val="21"/>
              </w:rPr>
              <w:t>（九）加强生态环境分区管控。贯彻落实《新疆维吾尔自治区国土空间规划（</w:t>
            </w:r>
            <w:r>
              <w:rPr>
                <w:bCs/>
                <w:kern w:val="2"/>
                <w:sz w:val="21"/>
              </w:rPr>
              <w:t>2021—2035</w:t>
            </w:r>
            <w:r>
              <w:rPr>
                <w:bCs/>
                <w:kern w:val="2"/>
                <w:sz w:val="21"/>
              </w:rPr>
              <w:t>年）》《新疆维吾尔自治区</w:t>
            </w:r>
            <w:r>
              <w:rPr>
                <w:bCs/>
                <w:kern w:val="2"/>
                <w:sz w:val="21"/>
              </w:rPr>
              <w:t>“</w:t>
            </w:r>
            <w:r>
              <w:rPr>
                <w:bCs/>
                <w:kern w:val="2"/>
                <w:sz w:val="21"/>
              </w:rPr>
              <w:t>三线一单</w:t>
            </w:r>
            <w:r>
              <w:rPr>
                <w:bCs/>
                <w:kern w:val="2"/>
                <w:sz w:val="21"/>
              </w:rPr>
              <w:t>”</w:t>
            </w:r>
            <w:r>
              <w:rPr>
                <w:bCs/>
                <w:kern w:val="2"/>
                <w:sz w:val="21"/>
              </w:rPr>
              <w:t>生态环境分区管控方案》相关要求，将生态保护红线、环境质量底线、资源利用上线的硬约束落实到环境管控单元。建立差别化的生态环境准入清单，加强</w:t>
            </w:r>
            <w:r>
              <w:rPr>
                <w:bCs/>
                <w:kern w:val="2"/>
                <w:sz w:val="21"/>
              </w:rPr>
              <w:t>“</w:t>
            </w:r>
            <w:r>
              <w:rPr>
                <w:bCs/>
                <w:kern w:val="2"/>
                <w:sz w:val="21"/>
              </w:rPr>
              <w:t>三线一单</w:t>
            </w:r>
            <w:r>
              <w:rPr>
                <w:bCs/>
                <w:kern w:val="2"/>
                <w:sz w:val="21"/>
              </w:rPr>
              <w:t>”</w:t>
            </w:r>
            <w:r>
              <w:rPr>
                <w:bCs/>
                <w:kern w:val="2"/>
                <w:sz w:val="21"/>
              </w:rPr>
              <w:t>成果在政策制定、环境准入、园区管理、监管执法等方面的应用。健全以环评制度为主体的源头预防体系，严格规划环评审查和项目环评准入，开展重大经济技术政策的生态环境影响分析和重大生态环境政策的社会经济影响评估。</w:t>
            </w:r>
          </w:p>
        </w:tc>
        <w:tc>
          <w:tcPr>
            <w:tcW w:w="1725" w:type="pct"/>
            <w:vAlign w:val="center"/>
          </w:tcPr>
          <w:p w14:paraId="2129B4B6" w14:textId="77777777" w:rsidR="003E78AB" w:rsidRDefault="00010BF9">
            <w:pPr>
              <w:spacing w:line="360" w:lineRule="exact"/>
              <w:ind w:firstLineChars="0" w:firstLine="0"/>
              <w:jc w:val="left"/>
              <w:textAlignment w:val="center"/>
              <w:rPr>
                <w:bCs/>
                <w:kern w:val="2"/>
                <w:sz w:val="21"/>
              </w:rPr>
            </w:pPr>
            <w:r>
              <w:rPr>
                <w:bCs/>
                <w:kern w:val="2"/>
                <w:sz w:val="21"/>
              </w:rPr>
              <w:t>项目选址于哈密工业园南部循环经济产业园</w:t>
            </w:r>
            <w:r>
              <w:rPr>
                <w:rFonts w:hint="eastAsia"/>
                <w:bCs/>
                <w:kern w:val="2"/>
                <w:sz w:val="21"/>
              </w:rPr>
              <w:t>化工产业区</w:t>
            </w:r>
            <w:r>
              <w:rPr>
                <w:bCs/>
                <w:kern w:val="2"/>
                <w:sz w:val="21"/>
              </w:rPr>
              <w:t>，严格遵循园区</w:t>
            </w:r>
            <w:r>
              <w:rPr>
                <w:bCs/>
                <w:kern w:val="2"/>
                <w:sz w:val="21"/>
              </w:rPr>
              <w:t>“</w:t>
            </w:r>
            <w:r>
              <w:rPr>
                <w:bCs/>
                <w:kern w:val="2"/>
                <w:sz w:val="21"/>
              </w:rPr>
              <w:t>三线一单</w:t>
            </w:r>
            <w:r>
              <w:rPr>
                <w:bCs/>
                <w:kern w:val="2"/>
                <w:sz w:val="21"/>
              </w:rPr>
              <w:t>”</w:t>
            </w:r>
            <w:r>
              <w:rPr>
                <w:bCs/>
                <w:kern w:val="2"/>
                <w:sz w:val="21"/>
              </w:rPr>
              <w:t>管控要求，未涉及生态保护红线及环境敏感区。</w:t>
            </w:r>
          </w:p>
        </w:tc>
        <w:tc>
          <w:tcPr>
            <w:tcW w:w="439" w:type="pct"/>
            <w:vAlign w:val="center"/>
          </w:tcPr>
          <w:p w14:paraId="58066921"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bookmarkEnd w:id="172"/>
      <w:tr w:rsidR="003E78AB" w14:paraId="3AF143E0" w14:textId="77777777">
        <w:tc>
          <w:tcPr>
            <w:tcW w:w="618" w:type="pct"/>
            <w:tcBorders>
              <w:right w:val="single" w:sz="4" w:space="0" w:color="auto"/>
            </w:tcBorders>
            <w:vAlign w:val="center"/>
          </w:tcPr>
          <w:p w14:paraId="48B0F461" w14:textId="77777777" w:rsidR="003E78AB" w:rsidRDefault="00010BF9">
            <w:pPr>
              <w:spacing w:line="360" w:lineRule="exact"/>
              <w:ind w:firstLineChars="0" w:firstLine="0"/>
              <w:jc w:val="center"/>
              <w:textAlignment w:val="center"/>
              <w:rPr>
                <w:bCs/>
                <w:kern w:val="2"/>
                <w:sz w:val="21"/>
              </w:rPr>
            </w:pPr>
            <w:r>
              <w:rPr>
                <w:bCs/>
                <w:kern w:val="2"/>
                <w:sz w:val="21"/>
              </w:rPr>
              <w:t>三、深入打好蓝天保卫战</w:t>
            </w:r>
          </w:p>
        </w:tc>
        <w:tc>
          <w:tcPr>
            <w:tcW w:w="2217" w:type="pct"/>
            <w:tcBorders>
              <w:left w:val="single" w:sz="4" w:space="0" w:color="auto"/>
            </w:tcBorders>
            <w:vAlign w:val="center"/>
          </w:tcPr>
          <w:p w14:paraId="479C0ECB" w14:textId="77777777" w:rsidR="003E78AB" w:rsidRDefault="00010BF9">
            <w:pPr>
              <w:spacing w:line="360" w:lineRule="exact"/>
              <w:ind w:firstLineChars="0" w:firstLine="0"/>
              <w:jc w:val="left"/>
              <w:textAlignment w:val="center"/>
              <w:rPr>
                <w:bCs/>
                <w:kern w:val="2"/>
                <w:sz w:val="21"/>
              </w:rPr>
            </w:pPr>
            <w:r>
              <w:rPr>
                <w:bCs/>
                <w:kern w:val="2"/>
                <w:sz w:val="21"/>
              </w:rPr>
              <w:t>（十一）着力打好重污染天气消除攻坚战。聚焦采暖期重污染天气治理，加大重点区域、重点行业结构调整和污染治理力度。</w:t>
            </w:r>
            <w:r>
              <w:rPr>
                <w:rFonts w:hint="eastAsia"/>
                <w:bCs/>
                <w:kern w:val="2"/>
                <w:sz w:val="21"/>
              </w:rPr>
              <w:t>……</w:t>
            </w:r>
            <w:r>
              <w:rPr>
                <w:bCs/>
                <w:kern w:val="2"/>
                <w:sz w:val="21"/>
              </w:rPr>
              <w:t>重点行业企业纳入重污染天气绩效分级，制定</w:t>
            </w:r>
            <w:r>
              <w:rPr>
                <w:bCs/>
                <w:kern w:val="2"/>
                <w:sz w:val="21"/>
              </w:rPr>
              <w:t>“</w:t>
            </w:r>
            <w:r>
              <w:rPr>
                <w:bCs/>
                <w:kern w:val="2"/>
                <w:sz w:val="21"/>
              </w:rPr>
              <w:t>一厂一策</w:t>
            </w:r>
            <w:r>
              <w:rPr>
                <w:bCs/>
                <w:kern w:val="2"/>
                <w:sz w:val="21"/>
              </w:rPr>
              <w:t>”</w:t>
            </w:r>
            <w:r>
              <w:rPr>
                <w:bCs/>
                <w:kern w:val="2"/>
                <w:sz w:val="21"/>
              </w:rPr>
              <w:t>应急减排清单，实现应纳尽纳；引导重点企业在秋冬季安排停产检修计划，减少冬季和采暖期排放。</w:t>
            </w:r>
          </w:p>
        </w:tc>
        <w:tc>
          <w:tcPr>
            <w:tcW w:w="1725" w:type="pct"/>
            <w:vAlign w:val="center"/>
          </w:tcPr>
          <w:p w14:paraId="48F06E9E"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本项目所属园区暂未实施集中供热，本项目采用天然气锅炉供热，属于清洁能源，并配套低氮燃烧和烟气再循环技术。</w:t>
            </w:r>
          </w:p>
        </w:tc>
        <w:tc>
          <w:tcPr>
            <w:tcW w:w="439" w:type="pct"/>
            <w:vAlign w:val="center"/>
          </w:tcPr>
          <w:p w14:paraId="4AD07A51"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r w:rsidR="003E78AB" w14:paraId="4C788D2E" w14:textId="77777777">
        <w:tc>
          <w:tcPr>
            <w:tcW w:w="618" w:type="pct"/>
            <w:tcBorders>
              <w:right w:val="single" w:sz="4" w:space="0" w:color="auto"/>
            </w:tcBorders>
            <w:vAlign w:val="center"/>
          </w:tcPr>
          <w:p w14:paraId="54C5C908" w14:textId="77777777" w:rsidR="003E78AB" w:rsidRDefault="00010BF9">
            <w:pPr>
              <w:spacing w:line="360" w:lineRule="exact"/>
              <w:ind w:firstLineChars="0" w:firstLine="0"/>
              <w:jc w:val="center"/>
              <w:textAlignment w:val="center"/>
              <w:rPr>
                <w:bCs/>
                <w:kern w:val="2"/>
                <w:sz w:val="21"/>
              </w:rPr>
            </w:pPr>
            <w:r>
              <w:rPr>
                <w:bCs/>
                <w:kern w:val="2"/>
                <w:sz w:val="21"/>
              </w:rPr>
              <w:t>五、深入打好净土保卫战</w:t>
            </w:r>
          </w:p>
        </w:tc>
        <w:tc>
          <w:tcPr>
            <w:tcW w:w="2217" w:type="pct"/>
            <w:tcBorders>
              <w:left w:val="single" w:sz="4" w:space="0" w:color="auto"/>
            </w:tcBorders>
            <w:vAlign w:val="center"/>
          </w:tcPr>
          <w:p w14:paraId="42BE1DE2" w14:textId="77777777" w:rsidR="003E78AB" w:rsidRDefault="00010BF9">
            <w:pPr>
              <w:spacing w:line="360" w:lineRule="exact"/>
              <w:ind w:firstLineChars="0" w:firstLine="0"/>
              <w:jc w:val="left"/>
              <w:textAlignment w:val="center"/>
              <w:rPr>
                <w:bCs/>
                <w:kern w:val="2"/>
                <w:sz w:val="21"/>
              </w:rPr>
            </w:pPr>
            <w:r>
              <w:rPr>
                <w:bCs/>
                <w:kern w:val="2"/>
                <w:sz w:val="21"/>
              </w:rPr>
              <w:t>二十四）强化地下水污染协同防治。持续开展地下水环境状况调查评估，实施水土环境风险协同防控，统筹区域地表水、地下水生态环境监管。加强化学品生产企业、工业聚集区、矿山开采区等污染源的地上、地下协同防治与环境风险管控。</w:t>
            </w:r>
          </w:p>
        </w:tc>
        <w:tc>
          <w:tcPr>
            <w:tcW w:w="1725" w:type="pct"/>
            <w:vAlign w:val="center"/>
          </w:tcPr>
          <w:p w14:paraId="128D491C" w14:textId="77777777" w:rsidR="003E78AB" w:rsidRDefault="00010BF9">
            <w:pPr>
              <w:spacing w:line="360" w:lineRule="exact"/>
              <w:ind w:firstLineChars="0" w:firstLine="0"/>
              <w:jc w:val="left"/>
              <w:textAlignment w:val="center"/>
              <w:rPr>
                <w:bCs/>
                <w:kern w:val="2"/>
                <w:sz w:val="21"/>
              </w:rPr>
            </w:pPr>
            <w:r>
              <w:rPr>
                <w:bCs/>
                <w:sz w:val="21"/>
                <w:szCs w:val="21"/>
              </w:rPr>
              <w:t>本项目涉及危险化学品的</w:t>
            </w:r>
            <w:r>
              <w:rPr>
                <w:rFonts w:hint="eastAsia"/>
                <w:bCs/>
                <w:sz w:val="21"/>
                <w:szCs w:val="21"/>
              </w:rPr>
              <w:t>生产、</w:t>
            </w:r>
            <w:r>
              <w:rPr>
                <w:bCs/>
                <w:sz w:val="21"/>
                <w:szCs w:val="21"/>
              </w:rPr>
              <w:t>使用和储存，项目建成后将按要求开展地下水跟踪监测和调查评估工作。</w:t>
            </w:r>
          </w:p>
        </w:tc>
        <w:tc>
          <w:tcPr>
            <w:tcW w:w="439" w:type="pct"/>
            <w:vAlign w:val="center"/>
          </w:tcPr>
          <w:p w14:paraId="513A8120"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bl>
    <w:p w14:paraId="47CCEE69"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2.8.5.4</w:t>
      </w:r>
      <w:r>
        <w:rPr>
          <w:rFonts w:ascii="Times New Roman" w:hAnsi="Times New Roman"/>
          <w:b w:val="0"/>
        </w:rPr>
        <w:t>与</w:t>
      </w:r>
      <w:r>
        <w:rPr>
          <w:rFonts w:ascii="Times New Roman" w:hAnsi="Times New Roman" w:hint="eastAsia"/>
          <w:b w:val="0"/>
        </w:rPr>
        <w:t>《关于“十四五”推动石化化工行业高质量发展的指导意见》（工信部联原〔</w:t>
      </w:r>
      <w:r>
        <w:rPr>
          <w:rFonts w:ascii="Times New Roman" w:hAnsi="Times New Roman" w:hint="eastAsia"/>
          <w:b w:val="0"/>
        </w:rPr>
        <w:t>2022</w:t>
      </w:r>
      <w:r>
        <w:rPr>
          <w:rFonts w:ascii="Times New Roman" w:hAnsi="Times New Roman" w:hint="eastAsia"/>
          <w:b w:val="0"/>
        </w:rPr>
        <w:t>〕</w:t>
      </w:r>
      <w:r>
        <w:rPr>
          <w:rFonts w:ascii="Times New Roman" w:hAnsi="Times New Roman" w:hint="eastAsia"/>
          <w:b w:val="0"/>
        </w:rPr>
        <w:t>34</w:t>
      </w:r>
      <w:r>
        <w:rPr>
          <w:rFonts w:ascii="Times New Roman" w:hAnsi="Times New Roman" w:hint="eastAsia"/>
          <w:b w:val="0"/>
        </w:rPr>
        <w:t>号）</w:t>
      </w:r>
      <w:r>
        <w:rPr>
          <w:rFonts w:ascii="Times New Roman" w:hAnsi="Times New Roman"/>
          <w:b w:val="0"/>
        </w:rPr>
        <w:t>的符合性分析</w:t>
      </w:r>
      <w:r>
        <w:rPr>
          <w:rFonts w:ascii="Times New Roman" w:hAnsi="Times New Roman" w:hint="eastAsia"/>
          <w:b w:val="0"/>
        </w:rPr>
        <w:t>；</w:t>
      </w:r>
    </w:p>
    <w:p w14:paraId="1BE2FDAD" w14:textId="77777777" w:rsidR="003E78AB" w:rsidRDefault="00010BF9">
      <w:pPr>
        <w:pStyle w:val="a5"/>
        <w:rPr>
          <w:bCs/>
        </w:rPr>
      </w:pPr>
      <w:bookmarkStart w:id="173" w:name="OLE_LINK58"/>
      <w:r>
        <w:rPr>
          <w:bCs/>
        </w:rPr>
        <w:t>本项目与工信部联原〔</w:t>
      </w:r>
      <w:r>
        <w:rPr>
          <w:bCs/>
        </w:rPr>
        <w:t>2022</w:t>
      </w:r>
      <w:r>
        <w:rPr>
          <w:bCs/>
        </w:rPr>
        <w:t>〕</w:t>
      </w:r>
      <w:r>
        <w:rPr>
          <w:bCs/>
        </w:rPr>
        <w:t>34</w:t>
      </w:r>
      <w:r>
        <w:rPr>
          <w:bCs/>
        </w:rPr>
        <w:t>号相符性分析</w:t>
      </w:r>
    </w:p>
    <w:tbl>
      <w:tblPr>
        <w:tblW w:w="5004"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1030"/>
        <w:gridCol w:w="3691"/>
        <w:gridCol w:w="2871"/>
        <w:gridCol w:w="731"/>
      </w:tblGrid>
      <w:tr w:rsidR="003E78AB" w14:paraId="6A088BC5" w14:textId="77777777">
        <w:trPr>
          <w:tblHeader/>
        </w:trPr>
        <w:tc>
          <w:tcPr>
            <w:tcW w:w="2835" w:type="pct"/>
            <w:gridSpan w:val="2"/>
            <w:vAlign w:val="center"/>
          </w:tcPr>
          <w:p w14:paraId="6E2A8CEB" w14:textId="77777777" w:rsidR="003E78AB" w:rsidRDefault="00010BF9">
            <w:pPr>
              <w:spacing w:line="360" w:lineRule="exact"/>
              <w:ind w:firstLineChars="0" w:firstLine="0"/>
              <w:jc w:val="center"/>
              <w:textAlignment w:val="center"/>
              <w:rPr>
                <w:bCs/>
                <w:sz w:val="21"/>
                <w:szCs w:val="21"/>
              </w:rPr>
            </w:pPr>
            <w:r>
              <w:rPr>
                <w:bCs/>
                <w:sz w:val="21"/>
                <w:szCs w:val="21"/>
              </w:rPr>
              <w:t>相关要求</w:t>
            </w:r>
          </w:p>
        </w:tc>
        <w:tc>
          <w:tcPr>
            <w:tcW w:w="1725" w:type="pct"/>
            <w:vAlign w:val="center"/>
          </w:tcPr>
          <w:p w14:paraId="716D009D"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439" w:type="pct"/>
            <w:vAlign w:val="center"/>
          </w:tcPr>
          <w:p w14:paraId="7DBD80F1"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3C1FDA81" w14:textId="77777777">
        <w:tc>
          <w:tcPr>
            <w:tcW w:w="618" w:type="pct"/>
            <w:tcBorders>
              <w:right w:val="single" w:sz="4" w:space="0" w:color="auto"/>
            </w:tcBorders>
            <w:vAlign w:val="center"/>
          </w:tcPr>
          <w:p w14:paraId="64E6E5E5" w14:textId="77777777" w:rsidR="003E78AB" w:rsidRDefault="00010BF9">
            <w:pPr>
              <w:spacing w:line="360" w:lineRule="exact"/>
              <w:ind w:firstLineChars="0" w:firstLine="0"/>
              <w:jc w:val="center"/>
              <w:textAlignment w:val="center"/>
              <w:rPr>
                <w:bCs/>
                <w:kern w:val="2"/>
                <w:sz w:val="21"/>
              </w:rPr>
            </w:pPr>
            <w:r>
              <w:rPr>
                <w:bCs/>
                <w:kern w:val="2"/>
                <w:sz w:val="21"/>
              </w:rPr>
              <w:t>二、提升创新发展水平</w:t>
            </w:r>
          </w:p>
        </w:tc>
        <w:tc>
          <w:tcPr>
            <w:tcW w:w="2216" w:type="pct"/>
            <w:tcBorders>
              <w:left w:val="single" w:sz="4" w:space="0" w:color="auto"/>
            </w:tcBorders>
            <w:vAlign w:val="center"/>
          </w:tcPr>
          <w:p w14:paraId="090E8086" w14:textId="77777777" w:rsidR="003E78AB" w:rsidRDefault="00010BF9">
            <w:pPr>
              <w:spacing w:line="360" w:lineRule="exact"/>
              <w:ind w:firstLineChars="0" w:firstLine="0"/>
              <w:jc w:val="left"/>
              <w:textAlignment w:val="center"/>
              <w:rPr>
                <w:bCs/>
                <w:kern w:val="2"/>
                <w:sz w:val="21"/>
              </w:rPr>
            </w:pPr>
            <w:r>
              <w:rPr>
                <w:bCs/>
                <w:kern w:val="2"/>
                <w:sz w:val="21"/>
              </w:rPr>
              <w:t>（三）实施</w:t>
            </w:r>
            <w:r>
              <w:rPr>
                <w:bCs/>
                <w:kern w:val="2"/>
                <w:sz w:val="21"/>
              </w:rPr>
              <w:t>“</w:t>
            </w:r>
            <w:r>
              <w:rPr>
                <w:bCs/>
                <w:kern w:val="2"/>
                <w:sz w:val="21"/>
              </w:rPr>
              <w:t>三品</w:t>
            </w:r>
            <w:r>
              <w:rPr>
                <w:bCs/>
                <w:kern w:val="2"/>
                <w:sz w:val="21"/>
              </w:rPr>
              <w:t>”</w:t>
            </w:r>
            <w:r>
              <w:rPr>
                <w:bCs/>
                <w:kern w:val="2"/>
                <w:sz w:val="21"/>
              </w:rPr>
              <w:t>行动，提升化工产品供给质量。围绕新一代信息技术、生物技术、新能源、高端装备等战略性新兴产业，增加有机氟硅、聚氨酯、聚酰胺等材料品种规格，加快发展高端聚烯烃、电子化学品、工业特种气体、高性能橡塑材料、高性能纤维、生物基材料、专用润滑油脂等产品。</w:t>
            </w:r>
          </w:p>
        </w:tc>
        <w:tc>
          <w:tcPr>
            <w:tcW w:w="1725" w:type="pct"/>
            <w:vAlign w:val="center"/>
          </w:tcPr>
          <w:p w14:paraId="0C65519A"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本项目符合化工行业高质量要求。</w:t>
            </w:r>
          </w:p>
        </w:tc>
        <w:tc>
          <w:tcPr>
            <w:tcW w:w="439" w:type="pct"/>
            <w:vAlign w:val="center"/>
          </w:tcPr>
          <w:p w14:paraId="25F827E9"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bookmarkEnd w:id="173"/>
      <w:tr w:rsidR="003E78AB" w14:paraId="0D3A8D00" w14:textId="77777777">
        <w:tc>
          <w:tcPr>
            <w:tcW w:w="618" w:type="pct"/>
            <w:tcBorders>
              <w:right w:val="single" w:sz="4" w:space="0" w:color="auto"/>
            </w:tcBorders>
            <w:vAlign w:val="center"/>
          </w:tcPr>
          <w:p w14:paraId="2D0E5DEE" w14:textId="77777777" w:rsidR="003E78AB" w:rsidRDefault="00010BF9">
            <w:pPr>
              <w:spacing w:line="360" w:lineRule="exact"/>
              <w:ind w:firstLineChars="0" w:firstLine="0"/>
              <w:jc w:val="center"/>
              <w:textAlignment w:val="center"/>
              <w:rPr>
                <w:bCs/>
                <w:kern w:val="2"/>
                <w:sz w:val="21"/>
              </w:rPr>
            </w:pPr>
            <w:r>
              <w:rPr>
                <w:bCs/>
                <w:kern w:val="2"/>
                <w:sz w:val="21"/>
              </w:rPr>
              <w:t>四、优化调整产业布局</w:t>
            </w:r>
          </w:p>
        </w:tc>
        <w:tc>
          <w:tcPr>
            <w:tcW w:w="2216" w:type="pct"/>
            <w:tcBorders>
              <w:left w:val="single" w:sz="4" w:space="0" w:color="auto"/>
            </w:tcBorders>
            <w:vAlign w:val="center"/>
          </w:tcPr>
          <w:p w14:paraId="1B364FDA" w14:textId="77777777" w:rsidR="003E78AB" w:rsidRDefault="00010BF9">
            <w:pPr>
              <w:spacing w:line="360" w:lineRule="exact"/>
              <w:ind w:firstLineChars="0" w:firstLine="0"/>
              <w:jc w:val="left"/>
              <w:textAlignment w:val="center"/>
              <w:rPr>
                <w:bCs/>
                <w:kern w:val="2"/>
                <w:sz w:val="21"/>
              </w:rPr>
            </w:pPr>
            <w:r>
              <w:rPr>
                <w:bCs/>
                <w:kern w:val="2"/>
                <w:sz w:val="21"/>
              </w:rPr>
              <w:t>（七）引导化工项目进区入园，促进高水平集聚发展。推动化工园区规范化发展，依法依规利用综合标准倒逼园区防范化解安全环境风险，加快园区污染防治等基础设施建设，加强园区污水管网排查整治，提升本质安全和清洁生产水平。引导园区内企业循环生产、产业耦合发展，鼓励化工园区间错位、差异化发展，与冶金、建材、纺织、电子等行业协同布局。鼓励化工园区建设科技创新及科研成果孵化平台、智能化管理系统。严格执行危险化学品</w:t>
            </w:r>
            <w:r>
              <w:rPr>
                <w:bCs/>
                <w:kern w:val="2"/>
                <w:sz w:val="21"/>
              </w:rPr>
              <w:t>“</w:t>
            </w:r>
            <w:r>
              <w:rPr>
                <w:bCs/>
                <w:kern w:val="2"/>
                <w:sz w:val="21"/>
              </w:rPr>
              <w:t>禁限控</w:t>
            </w:r>
            <w:r>
              <w:rPr>
                <w:bCs/>
                <w:kern w:val="2"/>
                <w:sz w:val="21"/>
              </w:rPr>
              <w:t>”</w:t>
            </w:r>
            <w:r>
              <w:rPr>
                <w:bCs/>
                <w:kern w:val="2"/>
                <w:sz w:val="21"/>
              </w:rPr>
              <w:t>目录，新建危险化学品生产项目必须进入一般或较低安全风险的化工园区（与其他行业生产装置配套建设的项目除外），</w:t>
            </w:r>
            <w:r>
              <w:rPr>
                <w:bCs/>
                <w:kern w:val="2"/>
                <w:sz w:val="21"/>
              </w:rPr>
              <w:t>引导其他石化化工项目在化工园区发展。</w:t>
            </w:r>
          </w:p>
        </w:tc>
        <w:tc>
          <w:tcPr>
            <w:tcW w:w="1725" w:type="pct"/>
            <w:vAlign w:val="center"/>
          </w:tcPr>
          <w:p w14:paraId="0DA21040" w14:textId="77777777" w:rsidR="003E78AB" w:rsidRDefault="00010BF9">
            <w:pPr>
              <w:spacing w:line="360" w:lineRule="exact"/>
              <w:ind w:firstLineChars="0" w:firstLine="0"/>
              <w:jc w:val="left"/>
              <w:textAlignment w:val="center"/>
              <w:rPr>
                <w:bCs/>
                <w:kern w:val="2"/>
                <w:sz w:val="21"/>
              </w:rPr>
            </w:pPr>
            <w:r>
              <w:rPr>
                <w:bCs/>
                <w:sz w:val="21"/>
                <w:szCs w:val="21"/>
              </w:rPr>
              <w:t>本项目位于哈密高新区化工产业集中区总体规划中的</w:t>
            </w:r>
            <w:r>
              <w:rPr>
                <w:rFonts w:hint="eastAsia"/>
                <w:bCs/>
                <w:sz w:val="21"/>
                <w:szCs w:val="21"/>
              </w:rPr>
              <w:t>煤化工产业区，符合园区产业布局，且本项目所用危险品不在</w:t>
            </w:r>
            <w:r>
              <w:rPr>
                <w:bCs/>
                <w:kern w:val="2"/>
                <w:sz w:val="21"/>
              </w:rPr>
              <w:t>“</w:t>
            </w:r>
            <w:r>
              <w:rPr>
                <w:bCs/>
                <w:kern w:val="2"/>
                <w:sz w:val="21"/>
              </w:rPr>
              <w:t>禁限控</w:t>
            </w:r>
            <w:r>
              <w:rPr>
                <w:bCs/>
                <w:kern w:val="2"/>
                <w:sz w:val="21"/>
              </w:rPr>
              <w:t>”</w:t>
            </w:r>
            <w:r>
              <w:rPr>
                <w:bCs/>
                <w:kern w:val="2"/>
                <w:sz w:val="21"/>
              </w:rPr>
              <w:t>目录</w:t>
            </w:r>
            <w:r>
              <w:rPr>
                <w:rFonts w:hint="eastAsia"/>
                <w:bCs/>
                <w:kern w:val="2"/>
                <w:sz w:val="21"/>
              </w:rPr>
              <w:t>。</w:t>
            </w:r>
          </w:p>
        </w:tc>
        <w:tc>
          <w:tcPr>
            <w:tcW w:w="439" w:type="pct"/>
            <w:vAlign w:val="center"/>
          </w:tcPr>
          <w:p w14:paraId="1D56279E"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4B85DEFA" w14:textId="77777777">
        <w:tc>
          <w:tcPr>
            <w:tcW w:w="618" w:type="pct"/>
            <w:tcBorders>
              <w:right w:val="single" w:sz="4" w:space="0" w:color="auto"/>
            </w:tcBorders>
            <w:vAlign w:val="center"/>
          </w:tcPr>
          <w:p w14:paraId="1A40001C" w14:textId="77777777" w:rsidR="003E78AB" w:rsidRDefault="00010BF9">
            <w:pPr>
              <w:spacing w:line="360" w:lineRule="exact"/>
              <w:ind w:firstLineChars="0" w:firstLine="0"/>
              <w:jc w:val="center"/>
              <w:textAlignment w:val="center"/>
              <w:rPr>
                <w:bCs/>
                <w:kern w:val="2"/>
                <w:sz w:val="21"/>
              </w:rPr>
            </w:pPr>
            <w:r>
              <w:rPr>
                <w:bCs/>
                <w:kern w:val="2"/>
                <w:sz w:val="21"/>
              </w:rPr>
              <w:t>五、推进产业数字化转型</w:t>
            </w:r>
          </w:p>
        </w:tc>
        <w:tc>
          <w:tcPr>
            <w:tcW w:w="2216" w:type="pct"/>
            <w:tcBorders>
              <w:left w:val="single" w:sz="4" w:space="0" w:color="auto"/>
            </w:tcBorders>
            <w:vAlign w:val="center"/>
          </w:tcPr>
          <w:p w14:paraId="2450F41C" w14:textId="77777777" w:rsidR="003E78AB" w:rsidRDefault="00010BF9">
            <w:pPr>
              <w:spacing w:line="360" w:lineRule="exact"/>
              <w:ind w:firstLineChars="0" w:firstLine="0"/>
              <w:jc w:val="left"/>
              <w:textAlignment w:val="center"/>
              <w:rPr>
                <w:bCs/>
                <w:kern w:val="2"/>
                <w:sz w:val="21"/>
              </w:rPr>
            </w:pPr>
            <w:r>
              <w:rPr>
                <w:bCs/>
                <w:kern w:val="2"/>
                <w:sz w:val="21"/>
              </w:rPr>
              <w:t>（十一）着力发展清洁生产绿色制造，培育壮大生物化工。滚动开展绿色工艺、绿色产品、绿色工厂、绿色供应链和绿色园区认定，构建全生命周期绿色制造体系。鼓励企业采用清洁生产技术装备改造提升，从源头促进工业废物</w:t>
            </w:r>
            <w:r>
              <w:rPr>
                <w:bCs/>
                <w:kern w:val="2"/>
                <w:sz w:val="21"/>
              </w:rPr>
              <w:t>“</w:t>
            </w:r>
            <w:r>
              <w:rPr>
                <w:bCs/>
                <w:kern w:val="2"/>
                <w:sz w:val="21"/>
              </w:rPr>
              <w:t>减量化</w:t>
            </w:r>
            <w:r>
              <w:rPr>
                <w:bCs/>
                <w:kern w:val="2"/>
                <w:sz w:val="21"/>
              </w:rPr>
              <w:t>”</w:t>
            </w:r>
            <w:r>
              <w:rPr>
                <w:bCs/>
                <w:kern w:val="2"/>
                <w:sz w:val="21"/>
              </w:rPr>
              <w:t>。推进全过程挥发性有机物污染治理，加大含盐、高氨氮等废水治理力度，推进氨碱法生产纯碱废渣、废液的环保整治，提升废催</w:t>
            </w:r>
            <w:r>
              <w:rPr>
                <w:bCs/>
                <w:kern w:val="2"/>
                <w:sz w:val="21"/>
              </w:rPr>
              <w:t>化剂、废酸、废盐等危险废物利用处置能力，推进（聚）氯乙烯生产无汞化。</w:t>
            </w:r>
          </w:p>
        </w:tc>
        <w:tc>
          <w:tcPr>
            <w:tcW w:w="1725" w:type="pct"/>
            <w:vAlign w:val="center"/>
          </w:tcPr>
          <w:p w14:paraId="50B1AA04"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本项目采用国内先进的清洁生产技术装备。酸性废气淋洗产生的高盐废水经蒸发结晶处理后冷凝水回用，结晶盐</w:t>
            </w:r>
            <w:r>
              <w:rPr>
                <w:rFonts w:hint="eastAsia"/>
                <w:bCs/>
                <w:kern w:val="2"/>
                <w:sz w:val="21"/>
              </w:rPr>
              <w:t>属性确定</w:t>
            </w:r>
            <w:r>
              <w:rPr>
                <w:rFonts w:hint="eastAsia"/>
                <w:bCs/>
                <w:kern w:val="2"/>
                <w:sz w:val="21"/>
              </w:rPr>
              <w:t>前按危险废物存放、处置。</w:t>
            </w:r>
          </w:p>
        </w:tc>
        <w:tc>
          <w:tcPr>
            <w:tcW w:w="439" w:type="pct"/>
            <w:vAlign w:val="center"/>
          </w:tcPr>
          <w:p w14:paraId="4AD43F1B"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bl>
    <w:p w14:paraId="69C7F36F"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2.8.5.5</w:t>
      </w:r>
      <w:r>
        <w:rPr>
          <w:rFonts w:ascii="Times New Roman" w:hAnsi="Times New Roman"/>
          <w:b w:val="0"/>
        </w:rPr>
        <w:t>与</w:t>
      </w:r>
      <w:r>
        <w:rPr>
          <w:rFonts w:ascii="Times New Roman" w:hAnsi="Times New Roman" w:hint="eastAsia"/>
          <w:b w:val="0"/>
        </w:rPr>
        <w:t>《新疆维吾尔自治区新建化工项目准入条件（试行）》（新工信石化〔</w:t>
      </w:r>
      <w:r>
        <w:rPr>
          <w:rFonts w:ascii="Times New Roman" w:hAnsi="Times New Roman" w:hint="eastAsia"/>
          <w:b w:val="0"/>
        </w:rPr>
        <w:t>2021</w:t>
      </w:r>
      <w:r>
        <w:rPr>
          <w:rFonts w:ascii="Times New Roman" w:hAnsi="Times New Roman" w:hint="eastAsia"/>
          <w:b w:val="0"/>
        </w:rPr>
        <w:t>〕</w:t>
      </w:r>
      <w:r>
        <w:rPr>
          <w:rFonts w:ascii="Times New Roman" w:hAnsi="Times New Roman" w:hint="eastAsia"/>
          <w:b w:val="0"/>
        </w:rPr>
        <w:t>1</w:t>
      </w:r>
      <w:r>
        <w:rPr>
          <w:rFonts w:ascii="Times New Roman" w:hAnsi="Times New Roman" w:hint="eastAsia"/>
          <w:b w:val="0"/>
        </w:rPr>
        <w:t>号）</w:t>
      </w:r>
      <w:r>
        <w:rPr>
          <w:rFonts w:ascii="Times New Roman" w:hAnsi="Times New Roman"/>
          <w:b w:val="0"/>
        </w:rPr>
        <w:t>的符合性分析</w:t>
      </w:r>
    </w:p>
    <w:p w14:paraId="36D2E8A1" w14:textId="77777777" w:rsidR="003E78AB" w:rsidRDefault="00010BF9">
      <w:pPr>
        <w:pStyle w:val="a5"/>
        <w:rPr>
          <w:bCs/>
        </w:rPr>
      </w:pPr>
      <w:r>
        <w:rPr>
          <w:bCs/>
        </w:rPr>
        <w:t>本项目与</w:t>
      </w:r>
      <w:r>
        <w:rPr>
          <w:rFonts w:hint="eastAsia"/>
          <w:bCs/>
        </w:rPr>
        <w:t>新工信石化〔</w:t>
      </w:r>
      <w:r>
        <w:rPr>
          <w:rFonts w:hint="eastAsia"/>
          <w:bCs/>
        </w:rPr>
        <w:t>2021</w:t>
      </w:r>
      <w:r>
        <w:rPr>
          <w:rFonts w:hint="eastAsia"/>
          <w:bCs/>
        </w:rPr>
        <w:t>〕</w:t>
      </w:r>
      <w:r>
        <w:rPr>
          <w:rFonts w:hint="eastAsia"/>
          <w:bCs/>
        </w:rPr>
        <w:t>1</w:t>
      </w:r>
      <w:r>
        <w:rPr>
          <w:rFonts w:hint="eastAsia"/>
          <w:bCs/>
        </w:rPr>
        <w:t>号</w:t>
      </w:r>
      <w:r>
        <w:rPr>
          <w:bCs/>
        </w:rPr>
        <w:t>相符性分析</w:t>
      </w:r>
    </w:p>
    <w:tbl>
      <w:tblPr>
        <w:tblW w:w="5019"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top w:w="104" w:type="dxa"/>
          <w:left w:w="5" w:type="dxa"/>
          <w:right w:w="0" w:type="dxa"/>
        </w:tblCellMar>
        <w:tblLook w:val="04A0" w:firstRow="1" w:lastRow="0" w:firstColumn="1" w:lastColumn="0" w:noHBand="0" w:noVBand="1"/>
      </w:tblPr>
      <w:tblGrid>
        <w:gridCol w:w="613"/>
        <w:gridCol w:w="4762"/>
        <w:gridCol w:w="2127"/>
        <w:gridCol w:w="846"/>
      </w:tblGrid>
      <w:tr w:rsidR="003E78AB" w14:paraId="0B502E7D" w14:textId="77777777">
        <w:trPr>
          <w:tblHeader/>
        </w:trPr>
        <w:tc>
          <w:tcPr>
            <w:tcW w:w="3218" w:type="pct"/>
            <w:gridSpan w:val="2"/>
            <w:vAlign w:val="center"/>
          </w:tcPr>
          <w:p w14:paraId="54333344" w14:textId="77777777" w:rsidR="003E78AB" w:rsidRDefault="00010BF9">
            <w:pPr>
              <w:spacing w:line="360" w:lineRule="exact"/>
              <w:ind w:firstLineChars="0" w:firstLine="0"/>
              <w:jc w:val="center"/>
              <w:textAlignment w:val="center"/>
              <w:rPr>
                <w:bCs/>
                <w:sz w:val="21"/>
                <w:szCs w:val="21"/>
              </w:rPr>
            </w:pPr>
            <w:r>
              <w:rPr>
                <w:bCs/>
                <w:sz w:val="21"/>
                <w:szCs w:val="21"/>
              </w:rPr>
              <w:t>相关要求</w:t>
            </w:r>
          </w:p>
        </w:tc>
        <w:tc>
          <w:tcPr>
            <w:tcW w:w="1273" w:type="pct"/>
            <w:vAlign w:val="center"/>
          </w:tcPr>
          <w:p w14:paraId="4B429C2E"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507" w:type="pct"/>
            <w:vAlign w:val="center"/>
          </w:tcPr>
          <w:p w14:paraId="556E80CD"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3C81EDE4" w14:textId="77777777">
        <w:tc>
          <w:tcPr>
            <w:tcW w:w="367" w:type="pct"/>
            <w:vMerge w:val="restart"/>
            <w:vAlign w:val="center"/>
          </w:tcPr>
          <w:p w14:paraId="1E14281C" w14:textId="77777777" w:rsidR="003E78AB" w:rsidRDefault="00010BF9">
            <w:pPr>
              <w:spacing w:line="360" w:lineRule="exact"/>
              <w:ind w:firstLineChars="0" w:firstLine="0"/>
              <w:jc w:val="center"/>
              <w:textAlignment w:val="center"/>
              <w:rPr>
                <w:bCs/>
                <w:kern w:val="2"/>
                <w:sz w:val="21"/>
              </w:rPr>
            </w:pPr>
            <w:r>
              <w:rPr>
                <w:rFonts w:hint="eastAsia"/>
                <w:bCs/>
                <w:kern w:val="2"/>
                <w:sz w:val="21"/>
              </w:rPr>
              <w:t>一、严格项目源头准入</w:t>
            </w:r>
          </w:p>
        </w:tc>
        <w:tc>
          <w:tcPr>
            <w:tcW w:w="2850" w:type="pct"/>
            <w:vAlign w:val="center"/>
          </w:tcPr>
          <w:p w14:paraId="06538494" w14:textId="77777777" w:rsidR="003E78AB" w:rsidRDefault="00010BF9">
            <w:pPr>
              <w:spacing w:line="360" w:lineRule="exact"/>
              <w:ind w:firstLineChars="0" w:firstLine="0"/>
              <w:jc w:val="left"/>
              <w:textAlignment w:val="center"/>
              <w:rPr>
                <w:bCs/>
                <w:kern w:val="2"/>
                <w:sz w:val="21"/>
              </w:rPr>
            </w:pPr>
            <w:r>
              <w:rPr>
                <w:bCs/>
                <w:kern w:val="2"/>
                <w:sz w:val="21"/>
              </w:rPr>
              <w:t>（一</w:t>
            </w:r>
            <w:r>
              <w:rPr>
                <w:bCs/>
                <w:kern w:val="2"/>
                <w:sz w:val="21"/>
              </w:rPr>
              <w:t>)</w:t>
            </w:r>
            <w:r>
              <w:rPr>
                <w:bCs/>
                <w:kern w:val="2"/>
                <w:sz w:val="21"/>
              </w:rPr>
              <w:t>严格政策规划约束。严禁新建国家《产业结构调整指导目录》、自治区《禁止、控制和限制危险化学品目录》中淘汰类、禁止类危险化学品化工项目。按照国家《产业结构调整指导目录》中限制类产业及自治区《禁止、控制和限制危险化学品目录》控制和限制类危险化学品要求</w:t>
            </w:r>
            <w:r>
              <w:rPr>
                <w:rFonts w:hint="eastAsia"/>
                <w:bCs/>
                <w:kern w:val="2"/>
                <w:sz w:val="21"/>
              </w:rPr>
              <w:t>，</w:t>
            </w:r>
            <w:r>
              <w:rPr>
                <w:bCs/>
                <w:kern w:val="2"/>
                <w:sz w:val="21"/>
              </w:rPr>
              <w:t>严格控制过剩行业新增产能，确有必要建设的项目实行等量或减量置换，严格控制涉及有毒气体和爆炸危险性化学品的建设项目。坚决遏制</w:t>
            </w:r>
            <w:r>
              <w:rPr>
                <w:bCs/>
                <w:kern w:val="2"/>
                <w:sz w:val="21"/>
              </w:rPr>
              <w:t>“</w:t>
            </w:r>
            <w:r>
              <w:rPr>
                <w:bCs/>
                <w:kern w:val="2"/>
                <w:sz w:val="21"/>
              </w:rPr>
              <w:t>两高</w:t>
            </w:r>
            <w:r>
              <w:rPr>
                <w:bCs/>
                <w:kern w:val="2"/>
                <w:sz w:val="21"/>
              </w:rPr>
              <w:t>”</w:t>
            </w:r>
            <w:r>
              <w:rPr>
                <w:bCs/>
                <w:kern w:val="2"/>
                <w:sz w:val="21"/>
              </w:rPr>
              <w:t>项目盲目，发展，石化、现代煤化工项目应纳入国家产业规划。</w:t>
            </w:r>
          </w:p>
        </w:tc>
        <w:tc>
          <w:tcPr>
            <w:tcW w:w="1273" w:type="pct"/>
            <w:vAlign w:val="center"/>
          </w:tcPr>
          <w:p w14:paraId="4D11E367" w14:textId="77777777" w:rsidR="003E78AB" w:rsidRDefault="00010BF9">
            <w:pPr>
              <w:spacing w:line="360" w:lineRule="exact"/>
              <w:ind w:firstLineChars="0" w:firstLine="0"/>
              <w:jc w:val="left"/>
              <w:textAlignment w:val="center"/>
              <w:rPr>
                <w:bCs/>
                <w:kern w:val="2"/>
                <w:sz w:val="21"/>
              </w:rPr>
            </w:pPr>
            <w:r>
              <w:rPr>
                <w:bCs/>
                <w:kern w:val="2"/>
                <w:sz w:val="21"/>
              </w:rPr>
              <w:t>本项目不属于《产业结构调整指导目录》、自治区《禁止、控制和限制危险化学品</w:t>
            </w:r>
            <w:r>
              <w:rPr>
                <w:bCs/>
                <w:kern w:val="2"/>
                <w:sz w:val="21"/>
              </w:rPr>
              <w:t>目录》中淘汰类、禁止类危险化学品化工项目，本项目不属于</w:t>
            </w:r>
            <w:r>
              <w:rPr>
                <w:bCs/>
                <w:kern w:val="2"/>
                <w:sz w:val="21"/>
              </w:rPr>
              <w:t>“</w:t>
            </w:r>
            <w:r>
              <w:rPr>
                <w:bCs/>
                <w:kern w:val="2"/>
                <w:sz w:val="21"/>
              </w:rPr>
              <w:t>两高</w:t>
            </w:r>
            <w:r>
              <w:rPr>
                <w:bCs/>
                <w:kern w:val="2"/>
                <w:sz w:val="21"/>
              </w:rPr>
              <w:t>”</w:t>
            </w:r>
            <w:r>
              <w:rPr>
                <w:bCs/>
                <w:kern w:val="2"/>
                <w:sz w:val="21"/>
              </w:rPr>
              <w:t>项目。</w:t>
            </w:r>
          </w:p>
        </w:tc>
        <w:tc>
          <w:tcPr>
            <w:tcW w:w="507" w:type="pct"/>
            <w:vAlign w:val="center"/>
          </w:tcPr>
          <w:p w14:paraId="424DC4C1"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24C7781C" w14:textId="77777777">
        <w:tc>
          <w:tcPr>
            <w:tcW w:w="367" w:type="pct"/>
            <w:vMerge/>
            <w:vAlign w:val="center"/>
          </w:tcPr>
          <w:p w14:paraId="5F900C22" w14:textId="77777777" w:rsidR="003E78AB" w:rsidRDefault="003E78AB">
            <w:pPr>
              <w:spacing w:line="360" w:lineRule="exact"/>
              <w:ind w:firstLineChars="0" w:firstLine="0"/>
              <w:jc w:val="left"/>
              <w:textAlignment w:val="center"/>
              <w:rPr>
                <w:bCs/>
                <w:kern w:val="2"/>
                <w:sz w:val="21"/>
              </w:rPr>
            </w:pPr>
          </w:p>
        </w:tc>
        <w:tc>
          <w:tcPr>
            <w:tcW w:w="2850" w:type="pct"/>
            <w:vAlign w:val="center"/>
          </w:tcPr>
          <w:p w14:paraId="342E590E" w14:textId="77777777" w:rsidR="003E78AB" w:rsidRDefault="00010BF9">
            <w:pPr>
              <w:spacing w:line="360" w:lineRule="exact"/>
              <w:ind w:firstLineChars="0" w:firstLine="0"/>
              <w:jc w:val="left"/>
              <w:textAlignment w:val="center"/>
              <w:rPr>
                <w:bCs/>
                <w:kern w:val="2"/>
                <w:sz w:val="21"/>
              </w:rPr>
            </w:pPr>
            <w:r>
              <w:rPr>
                <w:bCs/>
                <w:kern w:val="2"/>
                <w:sz w:val="21"/>
              </w:rPr>
              <w:t>（二）严格项目核准备案。各级核准、备案机关要按照国务院《政府核准的投资项目目录（</w:t>
            </w:r>
            <w:r>
              <w:rPr>
                <w:bCs/>
                <w:kern w:val="2"/>
                <w:sz w:val="21"/>
              </w:rPr>
              <w:t>2016</w:t>
            </w:r>
            <w:r>
              <w:rPr>
                <w:bCs/>
                <w:kern w:val="2"/>
                <w:sz w:val="21"/>
              </w:rPr>
              <w:t>年本</w:t>
            </w:r>
            <w:r>
              <w:rPr>
                <w:bCs/>
                <w:kern w:val="2"/>
                <w:sz w:val="21"/>
              </w:rPr>
              <w:t>)</w:t>
            </w:r>
            <w:r>
              <w:rPr>
                <w:bCs/>
                <w:kern w:val="2"/>
                <w:sz w:val="21"/>
              </w:rPr>
              <w:t>》、国家发改委商务部《市场准入负面清单（</w:t>
            </w:r>
            <w:r>
              <w:rPr>
                <w:bCs/>
                <w:kern w:val="2"/>
                <w:sz w:val="21"/>
              </w:rPr>
              <w:t>2020</w:t>
            </w:r>
            <w:r>
              <w:rPr>
                <w:bCs/>
                <w:kern w:val="2"/>
                <w:sz w:val="21"/>
              </w:rPr>
              <w:t>年版</w:t>
            </w:r>
            <w:r>
              <w:rPr>
                <w:bCs/>
                <w:kern w:val="2"/>
                <w:sz w:val="21"/>
              </w:rPr>
              <w:t>)</w:t>
            </w:r>
            <w:r>
              <w:rPr>
                <w:bCs/>
                <w:kern w:val="2"/>
                <w:sz w:val="21"/>
              </w:rPr>
              <w:t>》、《新疆维吾尔自治区政府核准的投资项目目录（</w:t>
            </w:r>
            <w:r>
              <w:rPr>
                <w:bCs/>
                <w:kern w:val="2"/>
                <w:sz w:val="21"/>
              </w:rPr>
              <w:t>2017</w:t>
            </w:r>
            <w:r>
              <w:rPr>
                <w:bCs/>
                <w:kern w:val="2"/>
                <w:sz w:val="21"/>
              </w:rPr>
              <w:t>年本</w:t>
            </w:r>
            <w:r>
              <w:rPr>
                <w:bCs/>
                <w:kern w:val="2"/>
                <w:sz w:val="21"/>
              </w:rPr>
              <w:t>)</w:t>
            </w:r>
            <w:r>
              <w:rPr>
                <w:bCs/>
                <w:kern w:val="2"/>
                <w:sz w:val="21"/>
              </w:rPr>
              <w:t>》等有关规定做好化工项目核准备案工作。涉及</w:t>
            </w:r>
            <w:r>
              <w:rPr>
                <w:bCs/>
                <w:kern w:val="2"/>
                <w:sz w:val="21"/>
              </w:rPr>
              <w:t>“</w:t>
            </w:r>
            <w:r>
              <w:rPr>
                <w:bCs/>
                <w:kern w:val="2"/>
                <w:sz w:val="21"/>
              </w:rPr>
              <w:t>两重点一重大</w:t>
            </w:r>
            <w:r>
              <w:rPr>
                <w:bCs/>
                <w:kern w:val="2"/>
                <w:sz w:val="21"/>
              </w:rPr>
              <w:t>”</w:t>
            </w:r>
            <w:r>
              <w:rPr>
                <w:bCs/>
                <w:kern w:val="2"/>
                <w:sz w:val="21"/>
              </w:rPr>
              <w:t>（重点监管的危险化工工艺、重点监管的危险化学品和危险化学品重大危险源）的危险化学品建设项目按国家有关规定</w:t>
            </w:r>
            <w:r>
              <w:rPr>
                <w:rFonts w:hint="eastAsia"/>
                <w:bCs/>
                <w:kern w:val="2"/>
                <w:sz w:val="21"/>
              </w:rPr>
              <w:t>，</w:t>
            </w:r>
            <w:r>
              <w:rPr>
                <w:bCs/>
                <w:kern w:val="2"/>
                <w:sz w:val="21"/>
              </w:rPr>
              <w:t>明确由自治区政府投资主管部门核准的，由自治区政府投资主管部门牵头，在委托评估的基础上，征求同级工业和信息化、应急管理、生态环境、自然资源等相关部门意见后，依法依规核准</w:t>
            </w:r>
            <w:r>
              <w:rPr>
                <w:bCs/>
                <w:kern w:val="2"/>
                <w:sz w:val="21"/>
              </w:rPr>
              <w:t>;</w:t>
            </w:r>
            <w:r>
              <w:rPr>
                <w:bCs/>
                <w:kern w:val="2"/>
                <w:sz w:val="21"/>
              </w:rPr>
              <w:t>应属地备案的，属地备案部门应依法依规征求同级相关部门意见后，依法依规备案。</w:t>
            </w:r>
          </w:p>
        </w:tc>
        <w:tc>
          <w:tcPr>
            <w:tcW w:w="1273" w:type="pct"/>
            <w:vAlign w:val="center"/>
          </w:tcPr>
          <w:p w14:paraId="711B4CB8" w14:textId="77777777" w:rsidR="003E78AB" w:rsidRDefault="00010BF9">
            <w:pPr>
              <w:spacing w:line="360" w:lineRule="exact"/>
              <w:ind w:firstLineChars="0" w:firstLine="0"/>
              <w:jc w:val="left"/>
              <w:textAlignment w:val="center"/>
              <w:rPr>
                <w:bCs/>
                <w:kern w:val="2"/>
                <w:sz w:val="21"/>
              </w:rPr>
            </w:pPr>
            <w:r>
              <w:rPr>
                <w:bCs/>
                <w:kern w:val="2"/>
                <w:sz w:val="21"/>
              </w:rPr>
              <w:t>本项目已取得哈密高新技术产业开发区管理委员会出具的登记备案证（备案代码：</w:t>
            </w:r>
            <w:r>
              <w:rPr>
                <w:bCs/>
                <w:kern w:val="2"/>
                <w:sz w:val="21"/>
              </w:rPr>
              <w:t>2506-650591-04-01-294721</w:t>
            </w:r>
            <w:r>
              <w:rPr>
                <w:bCs/>
                <w:kern w:val="2"/>
                <w:sz w:val="21"/>
              </w:rPr>
              <w:t>）</w:t>
            </w:r>
            <w:r>
              <w:rPr>
                <w:rFonts w:hint="eastAsia"/>
                <w:bCs/>
                <w:kern w:val="2"/>
                <w:sz w:val="21"/>
              </w:rPr>
              <w:t>，本项目</w:t>
            </w:r>
            <w:r>
              <w:rPr>
                <w:rFonts w:hint="eastAsia"/>
                <w:bCs/>
                <w:sz w:val="21"/>
                <w:szCs w:val="21"/>
              </w:rPr>
              <w:t>不属于</w:t>
            </w:r>
            <w:r>
              <w:rPr>
                <w:bCs/>
                <w:sz w:val="21"/>
                <w:szCs w:val="21"/>
              </w:rPr>
              <w:t>《市场准入负面清单（</w:t>
            </w:r>
            <w:r>
              <w:rPr>
                <w:bCs/>
                <w:sz w:val="21"/>
                <w:szCs w:val="21"/>
              </w:rPr>
              <w:t>2022</w:t>
            </w:r>
            <w:r>
              <w:rPr>
                <w:bCs/>
                <w:sz w:val="21"/>
                <w:szCs w:val="21"/>
              </w:rPr>
              <w:t>版）》中的禁止类及限制类项目</w:t>
            </w:r>
            <w:r>
              <w:rPr>
                <w:rFonts w:hint="eastAsia"/>
                <w:bCs/>
                <w:sz w:val="21"/>
                <w:szCs w:val="21"/>
              </w:rPr>
              <w:t>。</w:t>
            </w:r>
          </w:p>
        </w:tc>
        <w:tc>
          <w:tcPr>
            <w:tcW w:w="507" w:type="pct"/>
            <w:vAlign w:val="center"/>
          </w:tcPr>
          <w:p w14:paraId="3F5B187E"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4C96F7BD" w14:textId="77777777">
        <w:tc>
          <w:tcPr>
            <w:tcW w:w="367" w:type="pct"/>
            <w:vAlign w:val="center"/>
          </w:tcPr>
          <w:p w14:paraId="135797F3" w14:textId="77777777" w:rsidR="003E78AB" w:rsidRDefault="00010BF9">
            <w:pPr>
              <w:spacing w:line="360" w:lineRule="exact"/>
              <w:ind w:firstLineChars="0" w:firstLine="0"/>
              <w:jc w:val="left"/>
              <w:textAlignment w:val="center"/>
              <w:rPr>
                <w:bCs/>
                <w:kern w:val="2"/>
                <w:sz w:val="21"/>
              </w:rPr>
            </w:pPr>
            <w:r>
              <w:rPr>
                <w:bCs/>
                <w:kern w:val="2"/>
                <w:sz w:val="21"/>
              </w:rPr>
              <w:t>二、严格规划空间布局准入</w:t>
            </w:r>
          </w:p>
        </w:tc>
        <w:tc>
          <w:tcPr>
            <w:tcW w:w="2850" w:type="pct"/>
            <w:vAlign w:val="center"/>
          </w:tcPr>
          <w:p w14:paraId="226D0D96" w14:textId="77777777" w:rsidR="003E78AB" w:rsidRDefault="00010BF9">
            <w:pPr>
              <w:spacing w:line="360" w:lineRule="exact"/>
              <w:ind w:firstLineChars="0" w:firstLine="0"/>
              <w:jc w:val="left"/>
              <w:textAlignment w:val="center"/>
              <w:rPr>
                <w:bCs/>
                <w:kern w:val="2"/>
                <w:sz w:val="21"/>
              </w:rPr>
            </w:pPr>
            <w:r>
              <w:rPr>
                <w:bCs/>
                <w:kern w:val="2"/>
                <w:sz w:val="21"/>
              </w:rPr>
              <w:t>(</w:t>
            </w:r>
            <w:r>
              <w:rPr>
                <w:bCs/>
                <w:kern w:val="2"/>
                <w:sz w:val="21"/>
              </w:rPr>
              <w:t>一）严守规划分区管控。严格执行生态保护红线、永久基本农田管控要求，禁止新（改、扩）建化工项目违规占用生态保护红线和永久基本农田。已经建设化工项目涉及违规占用生态保，护红线和永久基本农田的，按照有关规定，限期退出。</w:t>
            </w:r>
          </w:p>
        </w:tc>
        <w:tc>
          <w:tcPr>
            <w:tcW w:w="1273" w:type="pct"/>
            <w:vAlign w:val="center"/>
          </w:tcPr>
          <w:p w14:paraId="4CAEF1D5"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本项目不涉及</w:t>
            </w:r>
            <w:r>
              <w:rPr>
                <w:bCs/>
                <w:kern w:val="2"/>
                <w:sz w:val="21"/>
              </w:rPr>
              <w:t>占用生态保护红线和永久基本农田</w:t>
            </w:r>
            <w:r>
              <w:rPr>
                <w:rFonts w:hint="eastAsia"/>
                <w:bCs/>
                <w:kern w:val="2"/>
                <w:sz w:val="21"/>
              </w:rPr>
              <w:t>。</w:t>
            </w:r>
          </w:p>
        </w:tc>
        <w:tc>
          <w:tcPr>
            <w:tcW w:w="507" w:type="pct"/>
            <w:vAlign w:val="center"/>
          </w:tcPr>
          <w:p w14:paraId="6E805703"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62B52835" w14:textId="77777777">
        <w:tc>
          <w:tcPr>
            <w:tcW w:w="367" w:type="pct"/>
            <w:vAlign w:val="center"/>
          </w:tcPr>
          <w:p w14:paraId="56AAEBFE" w14:textId="77777777" w:rsidR="003E78AB" w:rsidRDefault="00010BF9">
            <w:pPr>
              <w:spacing w:line="360" w:lineRule="exact"/>
              <w:ind w:firstLineChars="0" w:firstLine="0"/>
              <w:jc w:val="center"/>
              <w:textAlignment w:val="center"/>
              <w:rPr>
                <w:bCs/>
                <w:kern w:val="2"/>
                <w:sz w:val="21"/>
              </w:rPr>
            </w:pPr>
            <w:r>
              <w:rPr>
                <w:rFonts w:hint="eastAsia"/>
                <w:bCs/>
                <w:kern w:val="2"/>
                <w:sz w:val="21"/>
              </w:rPr>
              <w:t>三、严格安全环保准入</w:t>
            </w:r>
          </w:p>
        </w:tc>
        <w:tc>
          <w:tcPr>
            <w:tcW w:w="2850" w:type="pct"/>
            <w:vAlign w:val="center"/>
          </w:tcPr>
          <w:p w14:paraId="762C6369" w14:textId="77777777" w:rsidR="003E78AB" w:rsidRDefault="00010BF9">
            <w:pPr>
              <w:spacing w:line="360" w:lineRule="exact"/>
              <w:ind w:firstLineChars="0" w:firstLine="0"/>
              <w:jc w:val="left"/>
              <w:textAlignment w:val="center"/>
              <w:rPr>
                <w:bCs/>
                <w:kern w:val="2"/>
                <w:sz w:val="21"/>
              </w:rPr>
            </w:pPr>
            <w:r>
              <w:rPr>
                <w:bCs/>
                <w:kern w:val="2"/>
                <w:sz w:val="21"/>
              </w:rPr>
              <w:t>(</w:t>
            </w:r>
            <w:r>
              <w:rPr>
                <w:bCs/>
                <w:kern w:val="2"/>
                <w:sz w:val="21"/>
              </w:rPr>
              <w:t>二）严格生态环境准入。新（改、扩）建化工项目应符合</w:t>
            </w:r>
            <w:r>
              <w:rPr>
                <w:bCs/>
                <w:kern w:val="2"/>
                <w:sz w:val="21"/>
              </w:rPr>
              <w:t>“</w:t>
            </w:r>
            <w:r>
              <w:rPr>
                <w:bCs/>
                <w:kern w:val="2"/>
                <w:sz w:val="21"/>
              </w:rPr>
              <w:t>三线一单</w:t>
            </w:r>
            <w:r>
              <w:rPr>
                <w:bCs/>
                <w:kern w:val="2"/>
                <w:sz w:val="21"/>
              </w:rPr>
              <w:t>”</w:t>
            </w:r>
            <w:r>
              <w:rPr>
                <w:bCs/>
                <w:kern w:val="2"/>
                <w:sz w:val="21"/>
              </w:rPr>
              <w:t>（生态保护红线、环境质量底线、资源利用上线和生态环境准入清单）生态环境分区管控要求，并符合园区产业</w:t>
            </w:r>
            <w:r>
              <w:rPr>
                <w:rFonts w:hint="eastAsia"/>
                <w:bCs/>
                <w:kern w:val="2"/>
                <w:sz w:val="21"/>
              </w:rPr>
              <w:t>定位</w:t>
            </w:r>
            <w:r>
              <w:rPr>
                <w:bCs/>
                <w:kern w:val="2"/>
                <w:sz w:val="21"/>
              </w:rPr>
              <w:t>、园区规划及规划环评要求，按照有关规定设置合理的环境防护距离，环境保护距离内不得有居民区、学校、医院等环境敏感目标，避免邻避效应。新（改、扩）建化工项目应按照国家及自治区相关排放标准</w:t>
            </w:r>
            <w:r>
              <w:rPr>
                <w:rFonts w:hint="eastAsia"/>
                <w:bCs/>
                <w:kern w:val="2"/>
                <w:sz w:val="21"/>
              </w:rPr>
              <w:t>，</w:t>
            </w:r>
            <w:r>
              <w:rPr>
                <w:bCs/>
                <w:kern w:val="2"/>
                <w:sz w:val="21"/>
              </w:rPr>
              <w:t>采取有效措施从严控制特征污染物的逸散与排放，无组织排放应达到相应标准，严禁生产废水直接外排，产生的生化污泥或盐泥等固体废物要按照国家及自治区相关标准，收集、贮存、运输、利用和处置，蒸发塘、晒池、氧化塘、暂存池等要严格按照相关标准进行建设。新（改、扩）建化工项目满足重点污染物排放总量控制、相应行业建设项目环境准入条件、环评文件审</w:t>
            </w:r>
            <w:r>
              <w:rPr>
                <w:bCs/>
                <w:kern w:val="2"/>
                <w:sz w:val="21"/>
              </w:rPr>
              <w:t>批原则要求，依据区域环境质量改善目标，制定配套污染物削减方案，采取有效的污染物削减措施，腾出足够的环境容量。</w:t>
            </w:r>
          </w:p>
        </w:tc>
        <w:tc>
          <w:tcPr>
            <w:tcW w:w="1273" w:type="pct"/>
            <w:vAlign w:val="center"/>
          </w:tcPr>
          <w:p w14:paraId="1FEEA1D1"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本项目符合“三线一单”</w:t>
            </w:r>
            <w:r>
              <w:rPr>
                <w:bCs/>
                <w:kern w:val="2"/>
                <w:sz w:val="21"/>
              </w:rPr>
              <w:t>生态环境分区管控要求，并符合园区产业</w:t>
            </w:r>
            <w:r>
              <w:rPr>
                <w:rFonts w:hint="eastAsia"/>
                <w:bCs/>
                <w:kern w:val="2"/>
                <w:sz w:val="21"/>
              </w:rPr>
              <w:t>定位</w:t>
            </w:r>
            <w:r>
              <w:rPr>
                <w:bCs/>
                <w:kern w:val="2"/>
                <w:sz w:val="21"/>
              </w:rPr>
              <w:t>、园区规划及规划环评要求</w:t>
            </w:r>
            <w:r>
              <w:rPr>
                <w:rFonts w:hint="eastAsia"/>
                <w:bCs/>
                <w:kern w:val="2"/>
                <w:sz w:val="21"/>
              </w:rPr>
              <w:t>；经计算本项目不设环境防护距离；本项目废气污染物采取措施后均达标排放，生产废水经蒸发结晶后冷凝水回用，结晶盐属性确定前按危废收集处置；本项目重点污染物进行总量替代。</w:t>
            </w:r>
          </w:p>
        </w:tc>
        <w:tc>
          <w:tcPr>
            <w:tcW w:w="507" w:type="pct"/>
            <w:vAlign w:val="center"/>
          </w:tcPr>
          <w:p w14:paraId="20C28D58"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bl>
    <w:p w14:paraId="5AD45EC8"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2.8.5.6</w:t>
      </w:r>
      <w:r>
        <w:rPr>
          <w:rFonts w:ascii="Times New Roman" w:hAnsi="Times New Roman"/>
          <w:b w:val="0"/>
        </w:rPr>
        <w:t>与</w:t>
      </w:r>
      <w:r>
        <w:rPr>
          <w:rFonts w:ascii="Times New Roman" w:hAnsi="Times New Roman" w:hint="eastAsia"/>
          <w:b w:val="0"/>
        </w:rPr>
        <w:t>《新疆维吾尔自治区大气污染防治条例》（</w:t>
      </w:r>
      <w:r>
        <w:rPr>
          <w:rFonts w:ascii="Times New Roman" w:hAnsi="Times New Roman" w:hint="eastAsia"/>
          <w:b w:val="0"/>
        </w:rPr>
        <w:t>2019</w:t>
      </w:r>
      <w:r>
        <w:rPr>
          <w:rFonts w:ascii="Times New Roman" w:hAnsi="Times New Roman" w:hint="eastAsia"/>
          <w:b w:val="0"/>
        </w:rPr>
        <w:t>年</w:t>
      </w:r>
      <w:r>
        <w:rPr>
          <w:rFonts w:ascii="Times New Roman" w:hAnsi="Times New Roman" w:hint="eastAsia"/>
          <w:b w:val="0"/>
        </w:rPr>
        <w:t>1</w:t>
      </w:r>
      <w:r>
        <w:rPr>
          <w:rFonts w:ascii="Times New Roman" w:hAnsi="Times New Roman" w:hint="eastAsia"/>
          <w:b w:val="0"/>
        </w:rPr>
        <w:t>月</w:t>
      </w:r>
      <w:r>
        <w:rPr>
          <w:rFonts w:ascii="Times New Roman" w:hAnsi="Times New Roman" w:hint="eastAsia"/>
          <w:b w:val="0"/>
        </w:rPr>
        <w:t>1</w:t>
      </w:r>
      <w:r>
        <w:rPr>
          <w:rFonts w:ascii="Times New Roman" w:hAnsi="Times New Roman" w:hint="eastAsia"/>
          <w:b w:val="0"/>
        </w:rPr>
        <w:t>日起施行）</w:t>
      </w:r>
      <w:r>
        <w:rPr>
          <w:rFonts w:ascii="Times New Roman" w:hAnsi="Times New Roman"/>
          <w:b w:val="0"/>
        </w:rPr>
        <w:t>的符合性分析</w:t>
      </w:r>
    </w:p>
    <w:p w14:paraId="2044FD38" w14:textId="77777777" w:rsidR="003E78AB" w:rsidRDefault="00010BF9">
      <w:pPr>
        <w:pStyle w:val="a5"/>
        <w:rPr>
          <w:bCs/>
        </w:rPr>
      </w:pPr>
      <w:r>
        <w:rPr>
          <w:bCs/>
        </w:rPr>
        <w:t>本项目与</w:t>
      </w:r>
      <w:r>
        <w:rPr>
          <w:rFonts w:hint="eastAsia"/>
          <w:bCs/>
        </w:rPr>
        <w:t>条例</w:t>
      </w:r>
      <w:r>
        <w:rPr>
          <w:bCs/>
        </w:rPr>
        <w:t>相符性分析</w:t>
      </w:r>
    </w:p>
    <w:tbl>
      <w:tblPr>
        <w:tblW w:w="5004"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4721"/>
        <w:gridCol w:w="2871"/>
        <w:gridCol w:w="731"/>
      </w:tblGrid>
      <w:tr w:rsidR="003E78AB" w14:paraId="119347A2" w14:textId="77777777">
        <w:trPr>
          <w:tblHeader/>
        </w:trPr>
        <w:tc>
          <w:tcPr>
            <w:tcW w:w="2835" w:type="pct"/>
            <w:vAlign w:val="center"/>
          </w:tcPr>
          <w:p w14:paraId="11B309AA" w14:textId="77777777" w:rsidR="003E78AB" w:rsidRDefault="00010BF9">
            <w:pPr>
              <w:spacing w:line="360" w:lineRule="exact"/>
              <w:ind w:firstLineChars="0" w:firstLine="0"/>
              <w:jc w:val="center"/>
              <w:textAlignment w:val="center"/>
              <w:rPr>
                <w:bCs/>
                <w:sz w:val="21"/>
                <w:szCs w:val="21"/>
              </w:rPr>
            </w:pPr>
            <w:r>
              <w:rPr>
                <w:bCs/>
                <w:sz w:val="21"/>
                <w:szCs w:val="21"/>
              </w:rPr>
              <w:t>相关要求</w:t>
            </w:r>
          </w:p>
        </w:tc>
        <w:tc>
          <w:tcPr>
            <w:tcW w:w="1725" w:type="pct"/>
            <w:vAlign w:val="center"/>
          </w:tcPr>
          <w:p w14:paraId="1C867AB4"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439" w:type="pct"/>
            <w:vAlign w:val="center"/>
          </w:tcPr>
          <w:p w14:paraId="6E1E0ADA"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09EB9B05" w14:textId="77777777">
        <w:tc>
          <w:tcPr>
            <w:tcW w:w="2835" w:type="pct"/>
            <w:vAlign w:val="center"/>
          </w:tcPr>
          <w:p w14:paraId="5A2FBDD5" w14:textId="77777777" w:rsidR="003E78AB" w:rsidRDefault="00010BF9">
            <w:pPr>
              <w:spacing w:line="360" w:lineRule="exact"/>
              <w:ind w:firstLineChars="0" w:firstLine="0"/>
              <w:jc w:val="left"/>
              <w:textAlignment w:val="center"/>
              <w:rPr>
                <w:bCs/>
                <w:kern w:val="2"/>
                <w:sz w:val="21"/>
              </w:rPr>
            </w:pPr>
            <w:r>
              <w:rPr>
                <w:bCs/>
                <w:kern w:val="2"/>
                <w:sz w:val="21"/>
              </w:rPr>
              <w:t>第十六条自治区对大气污染物实行排污许可管理制度。</w:t>
            </w:r>
          </w:p>
          <w:p w14:paraId="7492861E" w14:textId="77777777" w:rsidR="003E78AB" w:rsidRDefault="00010BF9">
            <w:pPr>
              <w:spacing w:line="360" w:lineRule="exact"/>
              <w:ind w:firstLineChars="0" w:firstLine="0"/>
              <w:jc w:val="left"/>
              <w:textAlignment w:val="center"/>
              <w:rPr>
                <w:bCs/>
                <w:kern w:val="2"/>
                <w:sz w:val="21"/>
              </w:rPr>
            </w:pPr>
            <w:r>
              <w:rPr>
                <w:bCs/>
                <w:kern w:val="2"/>
                <w:sz w:val="21"/>
              </w:rPr>
              <w:t>向大气排放工业废气或者排放国家规定的有毒有害大气污染物的企业事业单位、集中供热设施的燃煤热源生产运营单位，以及其他依法实行排污许可管理的单位，应当依法取得排污许可证。</w:t>
            </w:r>
          </w:p>
          <w:p w14:paraId="343022C3" w14:textId="77777777" w:rsidR="003E78AB" w:rsidRDefault="00010BF9">
            <w:pPr>
              <w:spacing w:line="360" w:lineRule="exact"/>
              <w:ind w:firstLineChars="0" w:firstLine="0"/>
              <w:jc w:val="left"/>
              <w:textAlignment w:val="center"/>
              <w:rPr>
                <w:bCs/>
                <w:kern w:val="2"/>
                <w:sz w:val="21"/>
              </w:rPr>
            </w:pPr>
            <w:r>
              <w:rPr>
                <w:bCs/>
                <w:kern w:val="2"/>
                <w:sz w:val="21"/>
              </w:rPr>
              <w:t>向大气排放污染物的排污单位，应当按照国家和自治区的规定，设置大气污染物排放口，并明确其标志。</w:t>
            </w:r>
          </w:p>
        </w:tc>
        <w:tc>
          <w:tcPr>
            <w:tcW w:w="1725" w:type="pct"/>
            <w:vAlign w:val="center"/>
          </w:tcPr>
          <w:p w14:paraId="35B2620A"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w:t>
            </w:r>
            <w:r>
              <w:rPr>
                <w:bCs/>
                <w:kern w:val="2"/>
                <w:sz w:val="21"/>
              </w:rPr>
              <w:t>在正式排污前须办理排污许可证，</w:t>
            </w:r>
            <w:r>
              <w:rPr>
                <w:rFonts w:hint="eastAsia"/>
                <w:bCs/>
                <w:kern w:val="2"/>
                <w:sz w:val="21"/>
              </w:rPr>
              <w:t>并按</w:t>
            </w:r>
            <w:r>
              <w:rPr>
                <w:bCs/>
                <w:kern w:val="2"/>
                <w:sz w:val="21"/>
              </w:rPr>
              <w:t>《排污单位污染物排放口二维码标识技术规范》</w:t>
            </w:r>
            <w:r>
              <w:rPr>
                <w:rFonts w:hint="eastAsia"/>
                <w:bCs/>
                <w:kern w:val="2"/>
                <w:sz w:val="21"/>
              </w:rPr>
              <w:t>等</w:t>
            </w:r>
            <w:r>
              <w:rPr>
                <w:bCs/>
                <w:kern w:val="2"/>
                <w:sz w:val="21"/>
              </w:rPr>
              <w:t>（</w:t>
            </w:r>
            <w:r>
              <w:rPr>
                <w:bCs/>
                <w:kern w:val="2"/>
                <w:sz w:val="21"/>
              </w:rPr>
              <w:t>HJ1297</w:t>
            </w:r>
            <w:r>
              <w:rPr>
                <w:rFonts w:hint="eastAsia"/>
                <w:bCs/>
                <w:kern w:val="2"/>
                <w:sz w:val="21"/>
              </w:rPr>
              <w:t>-</w:t>
            </w:r>
            <w:r>
              <w:rPr>
                <w:bCs/>
                <w:kern w:val="2"/>
                <w:sz w:val="21"/>
              </w:rPr>
              <w:t>2023</w:t>
            </w:r>
            <w:r>
              <w:rPr>
                <w:bCs/>
                <w:kern w:val="2"/>
                <w:sz w:val="21"/>
              </w:rPr>
              <w:t>）中要求</w:t>
            </w:r>
            <w:r>
              <w:rPr>
                <w:rFonts w:hint="eastAsia"/>
                <w:bCs/>
                <w:kern w:val="2"/>
                <w:sz w:val="21"/>
              </w:rPr>
              <w:t>规范化</w:t>
            </w:r>
            <w:r>
              <w:rPr>
                <w:bCs/>
                <w:kern w:val="2"/>
                <w:sz w:val="21"/>
              </w:rPr>
              <w:t>设置标识标牌。</w:t>
            </w:r>
          </w:p>
        </w:tc>
        <w:tc>
          <w:tcPr>
            <w:tcW w:w="439" w:type="pct"/>
            <w:vAlign w:val="center"/>
          </w:tcPr>
          <w:p w14:paraId="1767F340"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636ADEAC" w14:textId="77777777">
        <w:tc>
          <w:tcPr>
            <w:tcW w:w="2835" w:type="pct"/>
            <w:vAlign w:val="center"/>
          </w:tcPr>
          <w:p w14:paraId="2EA6CE35" w14:textId="77777777" w:rsidR="003E78AB" w:rsidRDefault="00010BF9">
            <w:pPr>
              <w:spacing w:line="360" w:lineRule="exact"/>
              <w:ind w:firstLineChars="0" w:firstLine="0"/>
              <w:jc w:val="left"/>
              <w:textAlignment w:val="center"/>
              <w:rPr>
                <w:bCs/>
                <w:kern w:val="2"/>
                <w:sz w:val="21"/>
              </w:rPr>
            </w:pPr>
            <w:r>
              <w:rPr>
                <w:bCs/>
                <w:kern w:val="2"/>
                <w:sz w:val="21"/>
              </w:rPr>
              <w:t>第二十四条推进城市建成区、工业园区实行集中供热，使用清洁燃料。在集中供热管网覆盖区域内，禁止新建、改建、扩建燃煤供热锅炉，集中供热管网覆盖前，已建成使用的燃煤供热锅炉应当限期停止使用。</w:t>
            </w:r>
          </w:p>
          <w:p w14:paraId="5041945B" w14:textId="77777777" w:rsidR="003E78AB" w:rsidRDefault="00010BF9">
            <w:pPr>
              <w:spacing w:line="360" w:lineRule="exact"/>
              <w:ind w:firstLineChars="0" w:firstLine="0"/>
              <w:jc w:val="left"/>
              <w:textAlignment w:val="center"/>
              <w:rPr>
                <w:bCs/>
                <w:kern w:val="2"/>
                <w:sz w:val="21"/>
              </w:rPr>
            </w:pPr>
            <w:r>
              <w:rPr>
                <w:bCs/>
                <w:kern w:val="2"/>
                <w:sz w:val="21"/>
              </w:rPr>
              <w:t>在集中供热未覆盖的区域，鼓励使用清洁能源替代，推广使用高效节能环保型锅炉。</w:t>
            </w:r>
          </w:p>
        </w:tc>
        <w:tc>
          <w:tcPr>
            <w:tcW w:w="1725" w:type="pct"/>
            <w:vAlign w:val="center"/>
          </w:tcPr>
          <w:p w14:paraId="7EE53D5F"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本项目所属园区暂未实施集中供热，本项目采用天然气锅炉供热，属于清洁能源，并配套低氮燃烧和烟气再循环技术。</w:t>
            </w:r>
          </w:p>
        </w:tc>
        <w:tc>
          <w:tcPr>
            <w:tcW w:w="439" w:type="pct"/>
            <w:vAlign w:val="center"/>
          </w:tcPr>
          <w:p w14:paraId="3B706F4E"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4240CED1" w14:textId="77777777">
        <w:tc>
          <w:tcPr>
            <w:tcW w:w="2835" w:type="pct"/>
            <w:vAlign w:val="center"/>
          </w:tcPr>
          <w:p w14:paraId="15ED5670" w14:textId="77777777" w:rsidR="003E78AB" w:rsidRDefault="00010BF9">
            <w:pPr>
              <w:spacing w:line="360" w:lineRule="exact"/>
              <w:ind w:firstLineChars="0" w:firstLine="0"/>
              <w:jc w:val="left"/>
              <w:textAlignment w:val="center"/>
              <w:rPr>
                <w:bCs/>
                <w:kern w:val="2"/>
                <w:sz w:val="21"/>
              </w:rPr>
            </w:pPr>
            <w:r>
              <w:rPr>
                <w:bCs/>
                <w:kern w:val="2"/>
                <w:sz w:val="21"/>
              </w:rPr>
              <w:t>第二十七条禁止在自治区行政区域内引进能（水）耗不符合相关国家标准中准入值要求且污染物排放和环境风险防控不符合国家（地方）标准及有关产业准</w:t>
            </w:r>
            <w:r>
              <w:rPr>
                <w:bCs/>
                <w:kern w:val="2"/>
                <w:sz w:val="21"/>
              </w:rPr>
              <w:t>入条件的高污染（排放）、高能（水）耗、高环境风险的工业项目。</w:t>
            </w:r>
          </w:p>
        </w:tc>
        <w:tc>
          <w:tcPr>
            <w:tcW w:w="1725" w:type="pct"/>
            <w:vAlign w:val="center"/>
          </w:tcPr>
          <w:p w14:paraId="4D19B405" w14:textId="77777777" w:rsidR="003E78AB" w:rsidRDefault="00010BF9">
            <w:pPr>
              <w:spacing w:line="360" w:lineRule="exact"/>
              <w:ind w:firstLineChars="0" w:firstLine="0"/>
              <w:jc w:val="left"/>
              <w:textAlignment w:val="center"/>
              <w:rPr>
                <w:bCs/>
                <w:kern w:val="2"/>
                <w:sz w:val="21"/>
              </w:rPr>
            </w:pPr>
            <w:r>
              <w:rPr>
                <w:bCs/>
                <w:sz w:val="21"/>
                <w:szCs w:val="21"/>
              </w:rPr>
              <w:t>本项目</w:t>
            </w:r>
            <w:r>
              <w:rPr>
                <w:rFonts w:hint="eastAsia"/>
                <w:bCs/>
                <w:sz w:val="21"/>
                <w:szCs w:val="21"/>
              </w:rPr>
              <w:t>不在</w:t>
            </w:r>
            <w:r>
              <w:rPr>
                <w:bCs/>
                <w:sz w:val="21"/>
                <w:szCs w:val="21"/>
              </w:rPr>
              <w:t>《自治区</w:t>
            </w:r>
            <w:r>
              <w:rPr>
                <w:bCs/>
                <w:sz w:val="21"/>
                <w:szCs w:val="21"/>
              </w:rPr>
              <w:t>“</w:t>
            </w:r>
            <w:r>
              <w:rPr>
                <w:bCs/>
                <w:sz w:val="21"/>
                <w:szCs w:val="21"/>
              </w:rPr>
              <w:t>两高</w:t>
            </w:r>
            <w:r>
              <w:rPr>
                <w:bCs/>
                <w:sz w:val="21"/>
                <w:szCs w:val="21"/>
              </w:rPr>
              <w:t>”</w:t>
            </w:r>
            <w:r>
              <w:rPr>
                <w:bCs/>
                <w:sz w:val="21"/>
                <w:szCs w:val="21"/>
              </w:rPr>
              <w:t>项目管理目录（</w:t>
            </w:r>
            <w:r>
              <w:rPr>
                <w:bCs/>
                <w:sz w:val="21"/>
                <w:szCs w:val="21"/>
              </w:rPr>
              <w:t>2024</w:t>
            </w:r>
            <w:r>
              <w:rPr>
                <w:bCs/>
                <w:sz w:val="21"/>
                <w:szCs w:val="21"/>
              </w:rPr>
              <w:t>年版）》</w:t>
            </w:r>
            <w:r>
              <w:rPr>
                <w:rFonts w:hint="eastAsia"/>
                <w:bCs/>
                <w:sz w:val="21"/>
                <w:szCs w:val="21"/>
              </w:rPr>
              <w:t>中</w:t>
            </w:r>
            <w:r>
              <w:rPr>
                <w:bCs/>
                <w:sz w:val="21"/>
                <w:szCs w:val="21"/>
              </w:rPr>
              <w:t>。项目采用先进工艺，水耗能耗均控制在国内先进水平，符合产业政策及园区发展定位。</w:t>
            </w:r>
          </w:p>
        </w:tc>
        <w:tc>
          <w:tcPr>
            <w:tcW w:w="439" w:type="pct"/>
            <w:vAlign w:val="center"/>
          </w:tcPr>
          <w:p w14:paraId="6E1BF988"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698AF052" w14:textId="77777777">
        <w:tc>
          <w:tcPr>
            <w:tcW w:w="2835" w:type="pct"/>
            <w:vAlign w:val="center"/>
          </w:tcPr>
          <w:p w14:paraId="4B4AFDDE" w14:textId="77777777" w:rsidR="003E78AB" w:rsidRDefault="00010BF9">
            <w:pPr>
              <w:spacing w:line="360" w:lineRule="exact"/>
              <w:ind w:firstLineChars="0" w:firstLine="0"/>
              <w:jc w:val="left"/>
              <w:textAlignment w:val="center"/>
              <w:rPr>
                <w:bCs/>
                <w:kern w:val="2"/>
                <w:sz w:val="21"/>
              </w:rPr>
            </w:pPr>
            <w:r>
              <w:rPr>
                <w:bCs/>
                <w:kern w:val="2"/>
                <w:sz w:val="21"/>
              </w:rPr>
              <w:t>第二十八条自治区人民政府工业和信息化、发展和改革、生态环境等部门制定产业结构调整目录时，应当将严重污染大气的工艺、设备、产品列入淘汰目录。</w:t>
            </w:r>
          </w:p>
          <w:p w14:paraId="16FA149A" w14:textId="77777777" w:rsidR="003E78AB" w:rsidRDefault="00010BF9">
            <w:pPr>
              <w:spacing w:line="360" w:lineRule="exact"/>
              <w:ind w:firstLineChars="0" w:firstLine="0"/>
              <w:jc w:val="left"/>
              <w:textAlignment w:val="center"/>
              <w:rPr>
                <w:bCs/>
                <w:kern w:val="2"/>
                <w:sz w:val="21"/>
              </w:rPr>
            </w:pPr>
            <w:r>
              <w:rPr>
                <w:bCs/>
                <w:kern w:val="2"/>
                <w:sz w:val="21"/>
              </w:rPr>
              <w:t>州、市（地）、县（市、区）人民政府（行政公署）应当组织制定现有高污染工业项目标准改造或者关停计划，并组织实施。</w:t>
            </w:r>
          </w:p>
          <w:p w14:paraId="12F52174" w14:textId="77777777" w:rsidR="003E78AB" w:rsidRDefault="00010BF9">
            <w:pPr>
              <w:spacing w:line="360" w:lineRule="exact"/>
              <w:ind w:firstLineChars="0" w:firstLine="0"/>
              <w:jc w:val="left"/>
              <w:textAlignment w:val="center"/>
              <w:rPr>
                <w:bCs/>
                <w:kern w:val="2"/>
                <w:sz w:val="21"/>
              </w:rPr>
            </w:pPr>
            <w:r>
              <w:rPr>
                <w:bCs/>
                <w:kern w:val="2"/>
                <w:sz w:val="21"/>
              </w:rPr>
              <w:t>禁止新建、改建、扩建列入淘汰类目录的高污染工业项目。</w:t>
            </w:r>
            <w:r>
              <w:rPr>
                <w:bCs/>
                <w:kern w:val="2"/>
                <w:sz w:val="21"/>
              </w:rPr>
              <w:t>禁止使用列入淘汰类目录的工艺、设备、产品。</w:t>
            </w:r>
          </w:p>
        </w:tc>
        <w:tc>
          <w:tcPr>
            <w:tcW w:w="1725" w:type="pct"/>
            <w:vAlign w:val="center"/>
          </w:tcPr>
          <w:p w14:paraId="611119E2"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本项目符合产业结构调整目录，不在</w:t>
            </w:r>
            <w:r>
              <w:rPr>
                <w:bCs/>
                <w:kern w:val="2"/>
                <w:sz w:val="21"/>
              </w:rPr>
              <w:t>淘汰类目录的高污染工业项目</w:t>
            </w:r>
            <w:r>
              <w:rPr>
                <w:rFonts w:hint="eastAsia"/>
                <w:bCs/>
                <w:kern w:val="2"/>
                <w:sz w:val="21"/>
              </w:rPr>
              <w:t>中，不使用</w:t>
            </w:r>
            <w:r>
              <w:rPr>
                <w:bCs/>
                <w:kern w:val="2"/>
                <w:sz w:val="21"/>
              </w:rPr>
              <w:t>列入淘汰类目录的工艺、设备、产品</w:t>
            </w:r>
          </w:p>
        </w:tc>
        <w:tc>
          <w:tcPr>
            <w:tcW w:w="439" w:type="pct"/>
            <w:vAlign w:val="center"/>
          </w:tcPr>
          <w:p w14:paraId="681ADC86"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bl>
    <w:p w14:paraId="12326C5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2.8.5.</w:t>
      </w:r>
      <w:r>
        <w:rPr>
          <w:rFonts w:ascii="Times New Roman" w:hAnsi="Times New Roman" w:hint="eastAsia"/>
        </w:rPr>
        <w:t>7</w:t>
      </w:r>
      <w:r>
        <w:rPr>
          <w:rFonts w:ascii="Times New Roman" w:hAnsi="Times New Roman"/>
        </w:rPr>
        <w:t>与《关于加强涉重金属行业污染防控的意见》（环土壤〔</w:t>
      </w:r>
      <w:r>
        <w:rPr>
          <w:rFonts w:ascii="Times New Roman" w:hAnsi="Times New Roman"/>
        </w:rPr>
        <w:t>2018</w:t>
      </w:r>
      <w:r>
        <w:rPr>
          <w:rFonts w:ascii="Times New Roman" w:hAnsi="Times New Roman"/>
        </w:rPr>
        <w:t>〕</w:t>
      </w:r>
      <w:r>
        <w:rPr>
          <w:rFonts w:ascii="Times New Roman" w:hAnsi="Times New Roman"/>
        </w:rPr>
        <w:t>22</w:t>
      </w:r>
      <w:r>
        <w:rPr>
          <w:rFonts w:ascii="Times New Roman" w:hAnsi="Times New Roman"/>
        </w:rPr>
        <w:t>号）的符合性分析</w:t>
      </w:r>
    </w:p>
    <w:p w14:paraId="3373AE7C" w14:textId="77777777" w:rsidR="003E78AB" w:rsidRDefault="00010BF9">
      <w:pPr>
        <w:ind w:left="-11" w:firstLine="480"/>
        <w:rPr>
          <w:bCs/>
        </w:rPr>
      </w:pPr>
      <w:r>
        <w:rPr>
          <w:bCs/>
        </w:rPr>
        <w:t>2018</w:t>
      </w:r>
      <w:r>
        <w:rPr>
          <w:bCs/>
        </w:rPr>
        <w:t>年</w:t>
      </w:r>
      <w:r>
        <w:rPr>
          <w:bCs/>
        </w:rPr>
        <w:t>4</w:t>
      </w:r>
      <w:r>
        <w:rPr>
          <w:bCs/>
        </w:rPr>
        <w:t>月</w:t>
      </w:r>
      <w:r>
        <w:rPr>
          <w:bCs/>
        </w:rPr>
        <w:t>16</w:t>
      </w:r>
      <w:r>
        <w:rPr>
          <w:bCs/>
        </w:rPr>
        <w:t>日，中华人民共和国生态环境部发布《关于加强涉重金属行业污染防控的意见》（环土壤〔</w:t>
      </w:r>
      <w:r>
        <w:rPr>
          <w:bCs/>
        </w:rPr>
        <w:t>2018</w:t>
      </w:r>
      <w:r>
        <w:rPr>
          <w:bCs/>
        </w:rPr>
        <w:t>〕</w:t>
      </w:r>
      <w:r>
        <w:rPr>
          <w:bCs/>
        </w:rPr>
        <w:t>22</w:t>
      </w:r>
      <w:r>
        <w:rPr>
          <w:bCs/>
        </w:rPr>
        <w:t>号）。本项目与之相符性分析详见下表。</w:t>
      </w:r>
    </w:p>
    <w:p w14:paraId="77F99333" w14:textId="77777777" w:rsidR="003E78AB" w:rsidRDefault="00010BF9">
      <w:pPr>
        <w:pStyle w:val="a5"/>
      </w:pPr>
      <w:r>
        <w:t>本项目与环土壤〔</w:t>
      </w:r>
      <w:r>
        <w:t>2018</w:t>
      </w:r>
      <w:r>
        <w:t>〕</w:t>
      </w:r>
      <w:r>
        <w:t>22</w:t>
      </w:r>
      <w:r>
        <w:t>号相符性分析</w:t>
      </w:r>
    </w:p>
    <w:tbl>
      <w:tblPr>
        <w:tblW w:w="5001"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600"/>
        <w:gridCol w:w="4118"/>
        <w:gridCol w:w="2870"/>
        <w:gridCol w:w="730"/>
      </w:tblGrid>
      <w:tr w:rsidR="003E78AB" w14:paraId="1AA189B9" w14:textId="77777777">
        <w:trPr>
          <w:tblHeader/>
        </w:trPr>
        <w:tc>
          <w:tcPr>
            <w:tcW w:w="2835" w:type="pct"/>
            <w:gridSpan w:val="2"/>
            <w:vAlign w:val="center"/>
          </w:tcPr>
          <w:p w14:paraId="3C9108A8" w14:textId="77777777" w:rsidR="003E78AB" w:rsidRDefault="00010BF9">
            <w:pPr>
              <w:spacing w:line="360" w:lineRule="exact"/>
              <w:ind w:firstLineChars="0" w:firstLine="0"/>
              <w:jc w:val="center"/>
              <w:textAlignment w:val="center"/>
              <w:rPr>
                <w:b/>
                <w:sz w:val="21"/>
                <w:szCs w:val="21"/>
              </w:rPr>
            </w:pPr>
            <w:r>
              <w:rPr>
                <w:b/>
                <w:sz w:val="21"/>
                <w:szCs w:val="21"/>
              </w:rPr>
              <w:t>相关要求</w:t>
            </w:r>
          </w:p>
        </w:tc>
        <w:tc>
          <w:tcPr>
            <w:tcW w:w="1725" w:type="pct"/>
            <w:vAlign w:val="center"/>
          </w:tcPr>
          <w:p w14:paraId="2305FC0F" w14:textId="77777777" w:rsidR="003E78AB" w:rsidRDefault="00010BF9">
            <w:pPr>
              <w:spacing w:line="360" w:lineRule="exact"/>
              <w:ind w:firstLineChars="0" w:firstLine="0"/>
              <w:jc w:val="center"/>
              <w:textAlignment w:val="center"/>
              <w:rPr>
                <w:b/>
                <w:sz w:val="21"/>
                <w:szCs w:val="21"/>
              </w:rPr>
            </w:pPr>
            <w:r>
              <w:rPr>
                <w:b/>
                <w:sz w:val="21"/>
                <w:szCs w:val="21"/>
              </w:rPr>
              <w:t>本项目情况</w:t>
            </w:r>
          </w:p>
        </w:tc>
        <w:tc>
          <w:tcPr>
            <w:tcW w:w="439" w:type="pct"/>
            <w:vAlign w:val="center"/>
          </w:tcPr>
          <w:p w14:paraId="37A39BEC" w14:textId="77777777" w:rsidR="003E78AB" w:rsidRDefault="00010BF9">
            <w:pPr>
              <w:spacing w:line="360" w:lineRule="exact"/>
              <w:ind w:firstLineChars="0" w:firstLine="0"/>
              <w:jc w:val="center"/>
              <w:textAlignment w:val="center"/>
              <w:rPr>
                <w:b/>
                <w:sz w:val="21"/>
                <w:szCs w:val="21"/>
              </w:rPr>
            </w:pPr>
            <w:r>
              <w:rPr>
                <w:b/>
                <w:sz w:val="21"/>
                <w:szCs w:val="21"/>
              </w:rPr>
              <w:t>相符性</w:t>
            </w:r>
          </w:p>
        </w:tc>
      </w:tr>
      <w:tr w:rsidR="003E78AB" w14:paraId="4F6A792A" w14:textId="77777777">
        <w:tc>
          <w:tcPr>
            <w:tcW w:w="360" w:type="pct"/>
            <w:tcBorders>
              <w:right w:val="single" w:sz="4" w:space="0" w:color="auto"/>
            </w:tcBorders>
            <w:vAlign w:val="center"/>
          </w:tcPr>
          <w:p w14:paraId="422D41A5" w14:textId="77777777" w:rsidR="003E78AB" w:rsidRDefault="00010BF9">
            <w:pPr>
              <w:spacing w:line="360" w:lineRule="exact"/>
              <w:ind w:firstLineChars="0" w:firstLine="0"/>
              <w:jc w:val="center"/>
              <w:textAlignment w:val="center"/>
              <w:rPr>
                <w:bCs/>
                <w:kern w:val="2"/>
                <w:sz w:val="21"/>
              </w:rPr>
            </w:pPr>
            <w:r>
              <w:rPr>
                <w:bCs/>
                <w:sz w:val="21"/>
              </w:rPr>
              <w:t>工作重点</w:t>
            </w:r>
          </w:p>
        </w:tc>
        <w:tc>
          <w:tcPr>
            <w:tcW w:w="2474" w:type="pct"/>
            <w:tcBorders>
              <w:left w:val="single" w:sz="4" w:space="0" w:color="auto"/>
            </w:tcBorders>
            <w:vAlign w:val="center"/>
          </w:tcPr>
          <w:p w14:paraId="5D3C1CB3" w14:textId="77777777" w:rsidR="003E78AB" w:rsidRDefault="00010BF9">
            <w:pPr>
              <w:spacing w:line="360" w:lineRule="exact"/>
              <w:ind w:firstLineChars="0" w:firstLine="0"/>
              <w:jc w:val="left"/>
              <w:textAlignment w:val="center"/>
              <w:rPr>
                <w:bCs/>
                <w:kern w:val="2"/>
                <w:sz w:val="21"/>
              </w:rPr>
            </w:pPr>
            <w:r>
              <w:rPr>
                <w:bCs/>
                <w:kern w:val="2"/>
                <w:sz w:val="21"/>
              </w:rPr>
              <w:t>重点行业包括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重点重金属污染物包括铅、汞、镉、铬和类金属砷。</w:t>
            </w:r>
          </w:p>
        </w:tc>
        <w:tc>
          <w:tcPr>
            <w:tcW w:w="1725" w:type="pct"/>
            <w:vAlign w:val="center"/>
          </w:tcPr>
          <w:p w14:paraId="6625DCFC" w14:textId="77777777" w:rsidR="003E78AB" w:rsidRDefault="00010BF9">
            <w:pPr>
              <w:spacing w:line="360" w:lineRule="exact"/>
              <w:ind w:firstLineChars="0" w:firstLine="0"/>
              <w:jc w:val="left"/>
              <w:textAlignment w:val="center"/>
              <w:rPr>
                <w:bCs/>
                <w:kern w:val="2"/>
                <w:sz w:val="21"/>
              </w:rPr>
            </w:pPr>
            <w:r>
              <w:rPr>
                <w:bCs/>
                <w:kern w:val="2"/>
                <w:sz w:val="21"/>
              </w:rPr>
              <w:t>本项目属于</w:t>
            </w:r>
            <w:r>
              <w:rPr>
                <w:bCs/>
                <w:kern w:val="2"/>
                <w:sz w:val="21"/>
              </w:rPr>
              <w:t>“C2669</w:t>
            </w:r>
            <w:r>
              <w:rPr>
                <w:bCs/>
                <w:kern w:val="2"/>
                <w:sz w:val="21"/>
              </w:rPr>
              <w:t>其他专用化学产品制造</w:t>
            </w:r>
            <w:r>
              <w:rPr>
                <w:bCs/>
                <w:kern w:val="2"/>
                <w:sz w:val="21"/>
              </w:rPr>
              <w:t>”</w:t>
            </w:r>
            <w:r>
              <w:rPr>
                <w:bCs/>
                <w:kern w:val="2"/>
                <w:sz w:val="21"/>
              </w:rPr>
              <w:t>项目，本项目涉及钒重金属，未列入本文件的重点行业和重点重金属污染物。</w:t>
            </w:r>
          </w:p>
        </w:tc>
        <w:tc>
          <w:tcPr>
            <w:tcW w:w="439" w:type="pct"/>
            <w:vAlign w:val="center"/>
          </w:tcPr>
          <w:p w14:paraId="559BA735"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0655A064" w14:textId="77777777">
        <w:tc>
          <w:tcPr>
            <w:tcW w:w="360" w:type="pct"/>
            <w:tcBorders>
              <w:right w:val="single" w:sz="4" w:space="0" w:color="auto"/>
            </w:tcBorders>
            <w:vAlign w:val="center"/>
          </w:tcPr>
          <w:p w14:paraId="42B72317" w14:textId="77777777" w:rsidR="003E78AB" w:rsidRDefault="00010BF9">
            <w:pPr>
              <w:spacing w:line="360" w:lineRule="exact"/>
              <w:ind w:firstLineChars="0" w:firstLine="0"/>
              <w:jc w:val="center"/>
              <w:textAlignment w:val="center"/>
              <w:rPr>
                <w:bCs/>
                <w:kern w:val="2"/>
                <w:sz w:val="21"/>
              </w:rPr>
            </w:pPr>
            <w:r>
              <w:rPr>
                <w:bCs/>
                <w:sz w:val="21"/>
              </w:rPr>
              <w:t>严格环境准入</w:t>
            </w:r>
          </w:p>
        </w:tc>
        <w:tc>
          <w:tcPr>
            <w:tcW w:w="2474" w:type="pct"/>
            <w:tcBorders>
              <w:left w:val="single" w:sz="4" w:space="0" w:color="auto"/>
            </w:tcBorders>
            <w:vAlign w:val="center"/>
          </w:tcPr>
          <w:p w14:paraId="06C9F33D" w14:textId="77777777" w:rsidR="003E78AB" w:rsidRDefault="00010BF9">
            <w:pPr>
              <w:spacing w:line="360" w:lineRule="exact"/>
              <w:ind w:firstLineChars="0" w:firstLine="0"/>
              <w:jc w:val="left"/>
              <w:textAlignment w:val="center"/>
              <w:rPr>
                <w:bCs/>
                <w:kern w:val="2"/>
                <w:sz w:val="21"/>
              </w:rPr>
            </w:pPr>
            <w:r>
              <w:rPr>
                <w:bCs/>
                <w:kern w:val="2"/>
                <w:sz w:val="21"/>
              </w:rPr>
              <w:t>新、改、扩建涉重金属重点行业建设项目必须遵循重点重金属污染物排放</w:t>
            </w:r>
            <w:r>
              <w:rPr>
                <w:bCs/>
                <w:kern w:val="2"/>
                <w:sz w:val="21"/>
              </w:rPr>
              <w:t>“</w:t>
            </w:r>
            <w:r>
              <w:rPr>
                <w:bCs/>
                <w:kern w:val="2"/>
                <w:sz w:val="21"/>
              </w:rPr>
              <w:t>减量置换</w:t>
            </w:r>
            <w:r>
              <w:rPr>
                <w:bCs/>
                <w:kern w:val="2"/>
                <w:sz w:val="21"/>
              </w:rPr>
              <w:t>”</w:t>
            </w:r>
            <w:r>
              <w:rPr>
                <w:bCs/>
                <w:kern w:val="2"/>
                <w:sz w:val="21"/>
              </w:rPr>
              <w:t>或</w:t>
            </w:r>
            <w:r>
              <w:rPr>
                <w:bCs/>
                <w:kern w:val="2"/>
                <w:sz w:val="21"/>
              </w:rPr>
              <w:t>“</w:t>
            </w:r>
            <w:r>
              <w:rPr>
                <w:bCs/>
                <w:kern w:val="2"/>
                <w:sz w:val="21"/>
              </w:rPr>
              <w:t>等量替换</w:t>
            </w:r>
            <w:r>
              <w:rPr>
                <w:bCs/>
                <w:kern w:val="2"/>
                <w:sz w:val="21"/>
              </w:rPr>
              <w:t>”</w:t>
            </w:r>
            <w:r>
              <w:rPr>
                <w:bCs/>
                <w:kern w:val="2"/>
                <w:sz w:val="21"/>
              </w:rPr>
              <w:t>的原则，应在本省（区、市）行政区域内有明确具体的重金属污染物排放总量来源。无明确具体总量来源的，各级环保部门不得批准相关环境影响评价文件。</w:t>
            </w:r>
          </w:p>
        </w:tc>
        <w:tc>
          <w:tcPr>
            <w:tcW w:w="1725" w:type="pct"/>
            <w:vAlign w:val="center"/>
          </w:tcPr>
          <w:p w14:paraId="0C852263" w14:textId="77777777" w:rsidR="003E78AB" w:rsidRDefault="00010BF9">
            <w:pPr>
              <w:spacing w:line="360" w:lineRule="exact"/>
              <w:ind w:firstLineChars="0" w:firstLine="0"/>
              <w:jc w:val="left"/>
              <w:textAlignment w:val="center"/>
              <w:rPr>
                <w:bCs/>
                <w:kern w:val="2"/>
                <w:sz w:val="21"/>
              </w:rPr>
            </w:pPr>
            <w:r>
              <w:rPr>
                <w:bCs/>
                <w:kern w:val="2"/>
                <w:sz w:val="21"/>
              </w:rPr>
              <w:t>本项目不属于本文件的重点行业和重点重金属污染物，无需区域替代。</w:t>
            </w:r>
          </w:p>
        </w:tc>
        <w:tc>
          <w:tcPr>
            <w:tcW w:w="439" w:type="pct"/>
            <w:vAlign w:val="center"/>
          </w:tcPr>
          <w:p w14:paraId="6A84DE6B"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0ADFC3F0" w14:textId="77777777">
        <w:tc>
          <w:tcPr>
            <w:tcW w:w="360" w:type="pct"/>
            <w:vMerge w:val="restart"/>
            <w:tcBorders>
              <w:right w:val="single" w:sz="4" w:space="0" w:color="auto"/>
            </w:tcBorders>
            <w:vAlign w:val="center"/>
          </w:tcPr>
          <w:p w14:paraId="1DF6D6ED" w14:textId="77777777" w:rsidR="003E78AB" w:rsidRDefault="00010BF9">
            <w:pPr>
              <w:spacing w:line="360" w:lineRule="exact"/>
              <w:ind w:firstLineChars="0" w:firstLine="0"/>
              <w:jc w:val="center"/>
              <w:textAlignment w:val="center"/>
              <w:rPr>
                <w:bCs/>
                <w:kern w:val="2"/>
                <w:sz w:val="21"/>
              </w:rPr>
            </w:pPr>
            <w:r>
              <w:rPr>
                <w:bCs/>
                <w:kern w:val="2"/>
                <w:sz w:val="21"/>
              </w:rPr>
              <w:t>开展重金属污染整治</w:t>
            </w:r>
          </w:p>
        </w:tc>
        <w:tc>
          <w:tcPr>
            <w:tcW w:w="2474" w:type="pct"/>
            <w:tcBorders>
              <w:left w:val="single" w:sz="4" w:space="0" w:color="auto"/>
            </w:tcBorders>
            <w:vAlign w:val="center"/>
          </w:tcPr>
          <w:p w14:paraId="219FF739" w14:textId="77777777" w:rsidR="003E78AB" w:rsidRDefault="00010BF9">
            <w:pPr>
              <w:spacing w:line="360" w:lineRule="exact"/>
              <w:ind w:firstLineChars="0" w:firstLine="0"/>
              <w:jc w:val="left"/>
              <w:textAlignment w:val="center"/>
              <w:rPr>
                <w:bCs/>
                <w:kern w:val="2"/>
                <w:sz w:val="21"/>
              </w:rPr>
            </w:pPr>
            <w:r>
              <w:rPr>
                <w:bCs/>
                <w:kern w:val="2"/>
                <w:sz w:val="21"/>
              </w:rPr>
              <w:t>开展涉镉等重金属行业企业排查整治。各省（区、市）环保厅（局）要以铅锌铜采选、冶炼集中区域及耕地重金属污染突出区域为重点，聚焦涉镉等重金属行业企业，开展污染源排查整治，严厉打击涉重金属非法排污</w:t>
            </w:r>
            <w:r>
              <w:rPr>
                <w:bCs/>
                <w:kern w:val="2"/>
                <w:sz w:val="21"/>
              </w:rPr>
              <w:t>企业，切断重金属污染物进入农田的链条。</w:t>
            </w:r>
          </w:p>
        </w:tc>
        <w:tc>
          <w:tcPr>
            <w:tcW w:w="1725" w:type="pct"/>
            <w:vAlign w:val="center"/>
          </w:tcPr>
          <w:p w14:paraId="10DC173B" w14:textId="77777777" w:rsidR="003E78AB" w:rsidRDefault="00010BF9">
            <w:pPr>
              <w:spacing w:line="360" w:lineRule="exact"/>
              <w:ind w:firstLineChars="0" w:firstLine="0"/>
              <w:jc w:val="left"/>
              <w:textAlignment w:val="center"/>
              <w:rPr>
                <w:bCs/>
                <w:kern w:val="2"/>
                <w:sz w:val="21"/>
              </w:rPr>
            </w:pPr>
            <w:r>
              <w:rPr>
                <w:bCs/>
                <w:kern w:val="2"/>
                <w:sz w:val="21"/>
              </w:rPr>
              <w:t>评价要求建设单位定期开展重金属污染源排查。</w:t>
            </w:r>
          </w:p>
        </w:tc>
        <w:tc>
          <w:tcPr>
            <w:tcW w:w="439" w:type="pct"/>
            <w:vAlign w:val="center"/>
          </w:tcPr>
          <w:p w14:paraId="6673FDE2"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4FF1DD4C" w14:textId="77777777">
        <w:tc>
          <w:tcPr>
            <w:tcW w:w="360" w:type="pct"/>
            <w:vMerge/>
            <w:tcBorders>
              <w:right w:val="single" w:sz="4" w:space="0" w:color="auto"/>
            </w:tcBorders>
            <w:vAlign w:val="center"/>
          </w:tcPr>
          <w:p w14:paraId="456C72D4" w14:textId="77777777" w:rsidR="003E78AB" w:rsidRDefault="003E78AB">
            <w:pPr>
              <w:spacing w:line="360" w:lineRule="exact"/>
              <w:ind w:firstLineChars="0" w:firstLine="0"/>
              <w:jc w:val="center"/>
              <w:textAlignment w:val="center"/>
              <w:rPr>
                <w:bCs/>
                <w:kern w:val="2"/>
                <w:sz w:val="21"/>
              </w:rPr>
            </w:pPr>
          </w:p>
        </w:tc>
        <w:tc>
          <w:tcPr>
            <w:tcW w:w="2474" w:type="pct"/>
            <w:tcBorders>
              <w:left w:val="single" w:sz="4" w:space="0" w:color="auto"/>
            </w:tcBorders>
            <w:vAlign w:val="center"/>
          </w:tcPr>
          <w:p w14:paraId="6C7E0209" w14:textId="77777777" w:rsidR="003E78AB" w:rsidRDefault="00010BF9">
            <w:pPr>
              <w:spacing w:line="360" w:lineRule="exact"/>
              <w:ind w:firstLineChars="0" w:firstLine="0"/>
              <w:jc w:val="left"/>
              <w:textAlignment w:val="center"/>
              <w:rPr>
                <w:bCs/>
                <w:kern w:val="2"/>
                <w:sz w:val="21"/>
              </w:rPr>
            </w:pPr>
            <w:r>
              <w:rPr>
                <w:bCs/>
                <w:kern w:val="2"/>
                <w:sz w:val="21"/>
              </w:rPr>
              <w:t>各省（区、市）环保厅（局）依据《关于实施工业污染源全面达标排放计划的通知》（环环监〔</w:t>
            </w:r>
            <w:r>
              <w:rPr>
                <w:bCs/>
                <w:kern w:val="2"/>
                <w:sz w:val="21"/>
              </w:rPr>
              <w:t>2016</w:t>
            </w:r>
            <w:r>
              <w:rPr>
                <w:bCs/>
                <w:kern w:val="2"/>
                <w:sz w:val="21"/>
              </w:rPr>
              <w:t>〕</w:t>
            </w:r>
            <w:r>
              <w:rPr>
                <w:bCs/>
                <w:kern w:val="2"/>
                <w:sz w:val="21"/>
              </w:rPr>
              <w:t>172</w:t>
            </w:r>
            <w:r>
              <w:rPr>
                <w:bCs/>
                <w:kern w:val="2"/>
                <w:sz w:val="21"/>
              </w:rPr>
              <w:t>号），推动涉重金属企业实现全面达标排放；</w:t>
            </w:r>
          </w:p>
        </w:tc>
        <w:tc>
          <w:tcPr>
            <w:tcW w:w="1725" w:type="pct"/>
            <w:vAlign w:val="center"/>
          </w:tcPr>
          <w:p w14:paraId="3920F700" w14:textId="77777777" w:rsidR="003E78AB" w:rsidRDefault="00010BF9">
            <w:pPr>
              <w:spacing w:line="360" w:lineRule="exact"/>
              <w:ind w:firstLineChars="0" w:firstLine="0"/>
              <w:jc w:val="left"/>
              <w:textAlignment w:val="center"/>
              <w:rPr>
                <w:bCs/>
                <w:kern w:val="2"/>
                <w:sz w:val="21"/>
              </w:rPr>
            </w:pPr>
            <w:r>
              <w:rPr>
                <w:bCs/>
                <w:kern w:val="2"/>
                <w:sz w:val="21"/>
              </w:rPr>
              <w:t>本项目排放的涉钒重金属污染物可实现达标排放。</w:t>
            </w:r>
          </w:p>
        </w:tc>
        <w:tc>
          <w:tcPr>
            <w:tcW w:w="439" w:type="pct"/>
            <w:vAlign w:val="center"/>
          </w:tcPr>
          <w:p w14:paraId="40B08BD9"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6BF92EB4" w14:textId="77777777">
        <w:tc>
          <w:tcPr>
            <w:tcW w:w="360" w:type="pct"/>
            <w:vMerge/>
            <w:tcBorders>
              <w:right w:val="single" w:sz="4" w:space="0" w:color="auto"/>
            </w:tcBorders>
            <w:vAlign w:val="center"/>
          </w:tcPr>
          <w:p w14:paraId="0CC381CE" w14:textId="77777777" w:rsidR="003E78AB" w:rsidRDefault="003E78AB">
            <w:pPr>
              <w:spacing w:line="360" w:lineRule="exact"/>
              <w:ind w:firstLineChars="0" w:firstLine="0"/>
              <w:jc w:val="center"/>
              <w:textAlignment w:val="center"/>
              <w:rPr>
                <w:bCs/>
                <w:kern w:val="2"/>
                <w:sz w:val="21"/>
              </w:rPr>
            </w:pPr>
          </w:p>
        </w:tc>
        <w:tc>
          <w:tcPr>
            <w:tcW w:w="2474" w:type="pct"/>
            <w:tcBorders>
              <w:left w:val="single" w:sz="4" w:space="0" w:color="auto"/>
            </w:tcBorders>
            <w:vAlign w:val="center"/>
          </w:tcPr>
          <w:p w14:paraId="43578378" w14:textId="77777777" w:rsidR="003E78AB" w:rsidRDefault="00010BF9">
            <w:pPr>
              <w:spacing w:line="360" w:lineRule="exact"/>
              <w:ind w:firstLineChars="0" w:firstLine="0"/>
              <w:jc w:val="left"/>
              <w:textAlignment w:val="center"/>
              <w:rPr>
                <w:bCs/>
                <w:kern w:val="2"/>
                <w:sz w:val="21"/>
              </w:rPr>
            </w:pPr>
            <w:r>
              <w:rPr>
                <w:bCs/>
                <w:kern w:val="2"/>
                <w:sz w:val="21"/>
              </w:rPr>
              <w:t>督促涉重金属企业按照排污单位自行监测技术指南总则和分行业指南，开展自行监测，包括对所属涉重金属尾矿库排污口和周边环境进行监测，依法向社会公开重金属污染物排放数据，并对数据真实性负责；</w:t>
            </w:r>
          </w:p>
        </w:tc>
        <w:tc>
          <w:tcPr>
            <w:tcW w:w="1725" w:type="pct"/>
            <w:vAlign w:val="center"/>
          </w:tcPr>
          <w:p w14:paraId="0F5B5EF3" w14:textId="77777777" w:rsidR="003E78AB" w:rsidRDefault="00010BF9">
            <w:pPr>
              <w:spacing w:line="360" w:lineRule="exact"/>
              <w:ind w:firstLineChars="0" w:firstLine="0"/>
              <w:jc w:val="left"/>
              <w:textAlignment w:val="center"/>
              <w:rPr>
                <w:bCs/>
                <w:kern w:val="2"/>
                <w:sz w:val="21"/>
              </w:rPr>
            </w:pPr>
            <w:r>
              <w:rPr>
                <w:bCs/>
                <w:snapToGrid w:val="0"/>
                <w:kern w:val="2"/>
                <w:sz w:val="21"/>
                <w:szCs w:val="21"/>
              </w:rPr>
              <w:t>根据行业分</w:t>
            </w:r>
            <w:r>
              <w:rPr>
                <w:bCs/>
                <w:kern w:val="2"/>
                <w:sz w:val="21"/>
              </w:rPr>
              <w:t>按照监测计划参照《排污许可证申请与</w:t>
            </w:r>
            <w:r>
              <w:rPr>
                <w:bCs/>
                <w:snapToGrid w:val="0"/>
                <w:kern w:val="2"/>
                <w:sz w:val="21"/>
                <w:szCs w:val="21"/>
              </w:rPr>
              <w:t>核发技术规范</w:t>
            </w:r>
            <w:r>
              <w:rPr>
                <w:bCs/>
                <w:snapToGrid w:val="0"/>
                <w:kern w:val="2"/>
                <w:sz w:val="21"/>
                <w:szCs w:val="21"/>
              </w:rPr>
              <w:t xml:space="preserve"> </w:t>
            </w:r>
            <w:r>
              <w:rPr>
                <w:bCs/>
                <w:snapToGrid w:val="0"/>
                <w:kern w:val="2"/>
                <w:sz w:val="21"/>
                <w:szCs w:val="21"/>
              </w:rPr>
              <w:t>总则》（</w:t>
            </w:r>
            <w:r>
              <w:rPr>
                <w:bCs/>
                <w:snapToGrid w:val="0"/>
                <w:kern w:val="2"/>
                <w:sz w:val="21"/>
                <w:szCs w:val="21"/>
              </w:rPr>
              <w:t>HJ819-2017</w:t>
            </w:r>
            <w:r>
              <w:rPr>
                <w:bCs/>
                <w:snapToGrid w:val="0"/>
                <w:kern w:val="2"/>
                <w:sz w:val="21"/>
                <w:szCs w:val="21"/>
              </w:rPr>
              <w:t>）等相关标准规范开展定期自行监测，并</w:t>
            </w:r>
            <w:r>
              <w:rPr>
                <w:bCs/>
                <w:kern w:val="2"/>
                <w:sz w:val="21"/>
              </w:rPr>
              <w:t>依法向社会公开重金属污染物排放数据。</w:t>
            </w:r>
          </w:p>
        </w:tc>
        <w:tc>
          <w:tcPr>
            <w:tcW w:w="439" w:type="pct"/>
            <w:vAlign w:val="center"/>
          </w:tcPr>
          <w:p w14:paraId="3F564746"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r w:rsidR="003E78AB" w14:paraId="0A667D19" w14:textId="77777777">
        <w:tc>
          <w:tcPr>
            <w:tcW w:w="360" w:type="pct"/>
            <w:vMerge/>
            <w:tcBorders>
              <w:right w:val="single" w:sz="4" w:space="0" w:color="auto"/>
            </w:tcBorders>
            <w:vAlign w:val="center"/>
          </w:tcPr>
          <w:p w14:paraId="5181AD45" w14:textId="77777777" w:rsidR="003E78AB" w:rsidRDefault="003E78AB">
            <w:pPr>
              <w:spacing w:line="360" w:lineRule="exact"/>
              <w:ind w:firstLineChars="0" w:firstLine="0"/>
              <w:jc w:val="center"/>
              <w:textAlignment w:val="center"/>
              <w:rPr>
                <w:bCs/>
                <w:kern w:val="2"/>
                <w:sz w:val="21"/>
              </w:rPr>
            </w:pPr>
          </w:p>
        </w:tc>
        <w:tc>
          <w:tcPr>
            <w:tcW w:w="2474" w:type="pct"/>
            <w:tcBorders>
              <w:left w:val="single" w:sz="4" w:space="0" w:color="auto"/>
            </w:tcBorders>
            <w:vAlign w:val="center"/>
          </w:tcPr>
          <w:p w14:paraId="76E10FE6" w14:textId="77777777" w:rsidR="003E78AB" w:rsidRDefault="00010BF9">
            <w:pPr>
              <w:spacing w:line="360" w:lineRule="exact"/>
              <w:ind w:firstLineChars="0" w:firstLine="0"/>
              <w:jc w:val="left"/>
              <w:textAlignment w:val="center"/>
              <w:rPr>
                <w:bCs/>
                <w:kern w:val="2"/>
                <w:sz w:val="21"/>
              </w:rPr>
            </w:pPr>
            <w:r>
              <w:rPr>
                <w:bCs/>
                <w:kern w:val="2"/>
                <w:sz w:val="21"/>
              </w:rPr>
              <w:t>加强铜、锌湿法冶炼行业浸出渣、堆浸渣等废物渣场的规范化管理，采取防渗漏、防雨淋、防流失措施；开展矿山、冶炼厂周边以低品位矿石或废渣为原料进行选冶等加工后废渣无序排放问题的治理。</w:t>
            </w:r>
          </w:p>
        </w:tc>
        <w:tc>
          <w:tcPr>
            <w:tcW w:w="1725" w:type="pct"/>
            <w:vAlign w:val="center"/>
          </w:tcPr>
          <w:p w14:paraId="332BD09C" w14:textId="77777777" w:rsidR="003E78AB" w:rsidRDefault="00010BF9">
            <w:pPr>
              <w:spacing w:line="360" w:lineRule="exact"/>
              <w:ind w:firstLineChars="0" w:firstLine="0"/>
              <w:jc w:val="left"/>
              <w:textAlignment w:val="center"/>
              <w:rPr>
                <w:bCs/>
                <w:kern w:val="2"/>
                <w:sz w:val="21"/>
              </w:rPr>
            </w:pPr>
            <w:r>
              <w:rPr>
                <w:bCs/>
                <w:kern w:val="2"/>
                <w:sz w:val="21"/>
              </w:rPr>
              <w:t>建设单位危险废物均在封闭的危废仓库内存放，仓库采取防渗漏、防雨淋、防流失措施，符合相关规范要求。</w:t>
            </w:r>
          </w:p>
        </w:tc>
        <w:tc>
          <w:tcPr>
            <w:tcW w:w="439" w:type="pct"/>
            <w:vAlign w:val="center"/>
          </w:tcPr>
          <w:p w14:paraId="32EEB36F" w14:textId="77777777" w:rsidR="003E78AB" w:rsidRDefault="00010BF9">
            <w:pPr>
              <w:spacing w:line="360" w:lineRule="exact"/>
              <w:ind w:firstLineChars="0" w:firstLine="0"/>
              <w:jc w:val="center"/>
              <w:textAlignment w:val="center"/>
              <w:rPr>
                <w:bCs/>
                <w:kern w:val="2"/>
                <w:sz w:val="21"/>
              </w:rPr>
            </w:pPr>
            <w:r>
              <w:rPr>
                <w:bCs/>
                <w:kern w:val="2"/>
                <w:sz w:val="21"/>
              </w:rPr>
              <w:t>相符</w:t>
            </w:r>
          </w:p>
        </w:tc>
      </w:tr>
    </w:tbl>
    <w:p w14:paraId="18D9DE68" w14:textId="77777777" w:rsidR="003E78AB" w:rsidRDefault="00010BF9">
      <w:pPr>
        <w:ind w:firstLine="480"/>
        <w:rPr>
          <w:bCs/>
          <w:szCs w:val="18"/>
        </w:rPr>
      </w:pPr>
      <w:r>
        <w:rPr>
          <w:bCs/>
        </w:rPr>
        <w:t>由以上分析可以看出，扩建工程符合《关于加强涉重金属行业污染防控的意见》（环土壤〔</w:t>
      </w:r>
      <w:r>
        <w:rPr>
          <w:bCs/>
        </w:rPr>
        <w:t>2018</w:t>
      </w:r>
      <w:r>
        <w:rPr>
          <w:bCs/>
        </w:rPr>
        <w:t>〕</w:t>
      </w:r>
      <w:r>
        <w:rPr>
          <w:bCs/>
        </w:rPr>
        <w:t>22</w:t>
      </w:r>
      <w:r>
        <w:rPr>
          <w:bCs/>
        </w:rPr>
        <w:t>号）的要求。</w:t>
      </w:r>
    </w:p>
    <w:p w14:paraId="793609B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2.8.5.</w:t>
      </w:r>
      <w:r>
        <w:rPr>
          <w:rFonts w:ascii="Times New Roman" w:hAnsi="Times New Roman" w:hint="eastAsia"/>
        </w:rPr>
        <w:t>8</w:t>
      </w:r>
      <w:r>
        <w:rPr>
          <w:rFonts w:ascii="Times New Roman" w:hAnsi="Times New Roman"/>
        </w:rPr>
        <w:t>与《关于进一步加强重金属污染防控的意见》（环固体〔</w:t>
      </w:r>
      <w:r>
        <w:rPr>
          <w:rFonts w:ascii="Times New Roman" w:hAnsi="Times New Roman"/>
        </w:rPr>
        <w:t>2022</w:t>
      </w:r>
      <w:r>
        <w:rPr>
          <w:rFonts w:ascii="Times New Roman" w:hAnsi="Times New Roman"/>
        </w:rPr>
        <w:t>〕</w:t>
      </w:r>
      <w:r>
        <w:rPr>
          <w:rFonts w:ascii="Times New Roman" w:hAnsi="Times New Roman"/>
        </w:rPr>
        <w:t>17</w:t>
      </w:r>
      <w:r>
        <w:rPr>
          <w:rFonts w:ascii="Times New Roman" w:hAnsi="Times New Roman"/>
        </w:rPr>
        <w:t>号）相符性分析</w:t>
      </w:r>
    </w:p>
    <w:p w14:paraId="291F3B00" w14:textId="77777777" w:rsidR="003E78AB" w:rsidRDefault="00010BF9">
      <w:pPr>
        <w:ind w:firstLine="480"/>
        <w:rPr>
          <w:bCs/>
        </w:rPr>
      </w:pPr>
      <w:r>
        <w:rPr>
          <w:bCs/>
        </w:rPr>
        <w:t>根据《关于进一步加强重金属污染防控的意见》，为进一步强化重金属污染物排放控制，有效防控涉重金属环境风险，生态环境部制定本意见。本项目与其相符性见下表。</w:t>
      </w:r>
    </w:p>
    <w:p w14:paraId="2E27252D" w14:textId="77777777" w:rsidR="003E78AB" w:rsidRDefault="00010BF9">
      <w:pPr>
        <w:pStyle w:val="a5"/>
      </w:pPr>
      <w:r>
        <w:t>与环固体〔</w:t>
      </w:r>
      <w:r>
        <w:t>2022</w:t>
      </w:r>
      <w:r>
        <w:t>〕</w:t>
      </w:r>
      <w:r>
        <w:t>17</w:t>
      </w:r>
      <w:r>
        <w:t>号相符性分析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0"/>
        <w:gridCol w:w="4850"/>
        <w:gridCol w:w="1946"/>
        <w:gridCol w:w="738"/>
      </w:tblGrid>
      <w:tr w:rsidR="003E78AB" w14:paraId="7804D395" w14:textId="77777777">
        <w:trPr>
          <w:trHeight w:val="263"/>
          <w:tblHeader/>
          <w:jc w:val="center"/>
        </w:trPr>
        <w:tc>
          <w:tcPr>
            <w:tcW w:w="3387" w:type="pct"/>
            <w:gridSpan w:val="2"/>
            <w:shd w:val="clear" w:color="auto" w:fill="auto"/>
            <w:vAlign w:val="center"/>
          </w:tcPr>
          <w:p w14:paraId="2EC9EF56" w14:textId="77777777" w:rsidR="003E78AB" w:rsidRDefault="00010BF9">
            <w:pPr>
              <w:spacing w:line="360" w:lineRule="exact"/>
              <w:ind w:firstLineChars="0" w:firstLine="0"/>
              <w:jc w:val="center"/>
              <w:rPr>
                <w:b/>
                <w:kern w:val="2"/>
                <w:sz w:val="21"/>
              </w:rPr>
            </w:pPr>
            <w:r>
              <w:rPr>
                <w:b/>
                <w:kern w:val="2"/>
                <w:sz w:val="21"/>
              </w:rPr>
              <w:t>相关要求</w:t>
            </w:r>
          </w:p>
        </w:tc>
        <w:tc>
          <w:tcPr>
            <w:tcW w:w="1169" w:type="pct"/>
            <w:shd w:val="clear" w:color="auto" w:fill="auto"/>
            <w:vAlign w:val="center"/>
          </w:tcPr>
          <w:p w14:paraId="13EF94BB" w14:textId="77777777" w:rsidR="003E78AB" w:rsidRDefault="00010BF9">
            <w:pPr>
              <w:spacing w:line="360" w:lineRule="exact"/>
              <w:ind w:firstLineChars="0" w:firstLine="0"/>
              <w:jc w:val="center"/>
              <w:rPr>
                <w:b/>
                <w:kern w:val="2"/>
                <w:sz w:val="21"/>
              </w:rPr>
            </w:pPr>
            <w:r>
              <w:rPr>
                <w:b/>
                <w:kern w:val="2"/>
                <w:sz w:val="21"/>
              </w:rPr>
              <w:t>本项目情况</w:t>
            </w:r>
          </w:p>
        </w:tc>
        <w:tc>
          <w:tcPr>
            <w:tcW w:w="443" w:type="pct"/>
            <w:shd w:val="clear" w:color="auto" w:fill="auto"/>
            <w:vAlign w:val="center"/>
          </w:tcPr>
          <w:p w14:paraId="69297F48" w14:textId="77777777" w:rsidR="003E78AB" w:rsidRDefault="00010BF9">
            <w:pPr>
              <w:spacing w:line="360" w:lineRule="exact"/>
              <w:ind w:firstLineChars="0" w:firstLine="0"/>
              <w:jc w:val="center"/>
              <w:rPr>
                <w:b/>
                <w:kern w:val="2"/>
                <w:sz w:val="21"/>
              </w:rPr>
            </w:pPr>
            <w:r>
              <w:rPr>
                <w:b/>
                <w:kern w:val="2"/>
                <w:sz w:val="21"/>
              </w:rPr>
              <w:t>相符性</w:t>
            </w:r>
          </w:p>
        </w:tc>
      </w:tr>
      <w:tr w:rsidR="003E78AB" w14:paraId="743865A7" w14:textId="77777777">
        <w:trPr>
          <w:trHeight w:val="90"/>
          <w:jc w:val="center"/>
        </w:trPr>
        <w:tc>
          <w:tcPr>
            <w:tcW w:w="475" w:type="pct"/>
            <w:vMerge w:val="restart"/>
            <w:shd w:val="clear" w:color="auto" w:fill="auto"/>
            <w:vAlign w:val="center"/>
          </w:tcPr>
          <w:p w14:paraId="6C35E094" w14:textId="77777777" w:rsidR="003E78AB" w:rsidRDefault="00010BF9">
            <w:pPr>
              <w:spacing w:line="360" w:lineRule="exact"/>
              <w:ind w:firstLineChars="0" w:firstLine="0"/>
              <w:jc w:val="center"/>
              <w:rPr>
                <w:bCs/>
                <w:kern w:val="2"/>
                <w:sz w:val="21"/>
              </w:rPr>
            </w:pPr>
            <w:r>
              <w:rPr>
                <w:bCs/>
                <w:kern w:val="2"/>
                <w:sz w:val="21"/>
              </w:rPr>
              <w:t>防控重点</w:t>
            </w:r>
          </w:p>
        </w:tc>
        <w:tc>
          <w:tcPr>
            <w:tcW w:w="2912" w:type="pct"/>
            <w:shd w:val="clear" w:color="auto" w:fill="auto"/>
            <w:vAlign w:val="center"/>
          </w:tcPr>
          <w:p w14:paraId="69F58BDE" w14:textId="77777777" w:rsidR="003E78AB" w:rsidRDefault="00010BF9">
            <w:pPr>
              <w:spacing w:line="360" w:lineRule="exact"/>
              <w:ind w:firstLineChars="0" w:firstLine="0"/>
              <w:jc w:val="left"/>
              <w:rPr>
                <w:bCs/>
                <w:kern w:val="2"/>
                <w:sz w:val="21"/>
              </w:rPr>
            </w:pPr>
            <w:r>
              <w:rPr>
                <w:bCs/>
                <w:sz w:val="21"/>
              </w:rPr>
              <w:t>重点重金属污染物。重点防控的重金属污染物是铅、汞、镉、铬、砷、铊和锑，并对铅、汞、镉、铬和砷五种重点重金属污染物排放量实施总量控制。</w:t>
            </w:r>
          </w:p>
        </w:tc>
        <w:tc>
          <w:tcPr>
            <w:tcW w:w="1169" w:type="pct"/>
            <w:shd w:val="clear" w:color="auto" w:fill="auto"/>
            <w:vAlign w:val="center"/>
          </w:tcPr>
          <w:p w14:paraId="0C03B877" w14:textId="77777777" w:rsidR="003E78AB" w:rsidRDefault="00010BF9">
            <w:pPr>
              <w:spacing w:line="360" w:lineRule="exact"/>
              <w:ind w:firstLineChars="0" w:firstLine="0"/>
              <w:jc w:val="left"/>
              <w:rPr>
                <w:bCs/>
                <w:kern w:val="2"/>
                <w:sz w:val="21"/>
              </w:rPr>
            </w:pPr>
            <w:r>
              <w:rPr>
                <w:bCs/>
                <w:kern w:val="2"/>
                <w:sz w:val="21"/>
              </w:rPr>
              <w:t>本项目不涉及文件所列重点重金属污染物。</w:t>
            </w:r>
          </w:p>
        </w:tc>
        <w:tc>
          <w:tcPr>
            <w:tcW w:w="443" w:type="pct"/>
            <w:shd w:val="clear" w:color="auto" w:fill="auto"/>
            <w:vAlign w:val="center"/>
          </w:tcPr>
          <w:p w14:paraId="05C86787" w14:textId="77777777" w:rsidR="003E78AB" w:rsidRDefault="00010BF9">
            <w:pPr>
              <w:spacing w:line="360" w:lineRule="exact"/>
              <w:ind w:firstLineChars="0" w:firstLine="0"/>
              <w:jc w:val="center"/>
              <w:rPr>
                <w:bCs/>
                <w:kern w:val="2"/>
                <w:sz w:val="21"/>
              </w:rPr>
            </w:pPr>
            <w:r>
              <w:rPr>
                <w:bCs/>
                <w:kern w:val="2"/>
                <w:sz w:val="21"/>
              </w:rPr>
              <w:t>/</w:t>
            </w:r>
          </w:p>
        </w:tc>
      </w:tr>
      <w:tr w:rsidR="003E78AB" w14:paraId="4560D7FA" w14:textId="77777777">
        <w:trPr>
          <w:jc w:val="center"/>
        </w:trPr>
        <w:tc>
          <w:tcPr>
            <w:tcW w:w="475" w:type="pct"/>
            <w:vMerge/>
            <w:shd w:val="clear" w:color="auto" w:fill="auto"/>
            <w:vAlign w:val="center"/>
          </w:tcPr>
          <w:p w14:paraId="32A0C00A" w14:textId="77777777" w:rsidR="003E78AB" w:rsidRDefault="003E78AB">
            <w:pPr>
              <w:spacing w:line="360" w:lineRule="exact"/>
              <w:ind w:firstLineChars="0" w:firstLine="0"/>
              <w:jc w:val="center"/>
              <w:rPr>
                <w:bCs/>
                <w:kern w:val="2"/>
                <w:sz w:val="21"/>
              </w:rPr>
            </w:pPr>
          </w:p>
        </w:tc>
        <w:tc>
          <w:tcPr>
            <w:tcW w:w="2912" w:type="pct"/>
            <w:shd w:val="clear" w:color="auto" w:fill="auto"/>
            <w:vAlign w:val="center"/>
          </w:tcPr>
          <w:p w14:paraId="5BF40996" w14:textId="77777777" w:rsidR="003E78AB" w:rsidRDefault="00010BF9">
            <w:pPr>
              <w:spacing w:line="360" w:lineRule="exact"/>
              <w:ind w:firstLineChars="0" w:firstLine="0"/>
              <w:jc w:val="left"/>
              <w:rPr>
                <w:bCs/>
                <w:kern w:val="2"/>
                <w:sz w:val="21"/>
              </w:rPr>
            </w:pPr>
            <w:r>
              <w:rPr>
                <w:bCs/>
                <w:kern w:val="2"/>
                <w:sz w:val="21"/>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w:t>
            </w:r>
            <w:r>
              <w:rPr>
                <w:bCs/>
                <w:kern w:val="2"/>
                <w:sz w:val="21"/>
              </w:rPr>
              <w:t>6</w:t>
            </w:r>
            <w:r>
              <w:rPr>
                <w:bCs/>
                <w:kern w:val="2"/>
                <w:sz w:val="21"/>
              </w:rPr>
              <w:t>个行业。</w:t>
            </w:r>
          </w:p>
        </w:tc>
        <w:tc>
          <w:tcPr>
            <w:tcW w:w="1169" w:type="pct"/>
            <w:shd w:val="clear" w:color="auto" w:fill="auto"/>
            <w:vAlign w:val="center"/>
          </w:tcPr>
          <w:p w14:paraId="3C20A40C" w14:textId="77777777" w:rsidR="003E78AB" w:rsidRDefault="00010BF9">
            <w:pPr>
              <w:spacing w:line="360" w:lineRule="exact"/>
              <w:ind w:firstLineChars="0" w:firstLine="0"/>
              <w:jc w:val="left"/>
              <w:rPr>
                <w:bCs/>
                <w:kern w:val="2"/>
                <w:sz w:val="21"/>
              </w:rPr>
            </w:pPr>
            <w:r>
              <w:rPr>
                <w:bCs/>
                <w:kern w:val="2"/>
                <w:sz w:val="21"/>
              </w:rPr>
              <w:t>本项目不属于重点行业。</w:t>
            </w:r>
          </w:p>
        </w:tc>
        <w:tc>
          <w:tcPr>
            <w:tcW w:w="443" w:type="pct"/>
            <w:shd w:val="clear" w:color="auto" w:fill="auto"/>
            <w:vAlign w:val="center"/>
          </w:tcPr>
          <w:p w14:paraId="4B42310F" w14:textId="77777777" w:rsidR="003E78AB" w:rsidRDefault="00010BF9">
            <w:pPr>
              <w:spacing w:line="360" w:lineRule="exact"/>
              <w:ind w:firstLineChars="0" w:firstLine="0"/>
              <w:jc w:val="center"/>
              <w:rPr>
                <w:bCs/>
                <w:kern w:val="2"/>
                <w:sz w:val="21"/>
              </w:rPr>
            </w:pPr>
            <w:r>
              <w:rPr>
                <w:bCs/>
                <w:kern w:val="2"/>
                <w:sz w:val="21"/>
              </w:rPr>
              <w:t>/</w:t>
            </w:r>
          </w:p>
        </w:tc>
      </w:tr>
      <w:tr w:rsidR="003E78AB" w14:paraId="0D2F9463" w14:textId="77777777">
        <w:trPr>
          <w:jc w:val="center"/>
        </w:trPr>
        <w:tc>
          <w:tcPr>
            <w:tcW w:w="475" w:type="pct"/>
            <w:vMerge/>
            <w:shd w:val="clear" w:color="auto" w:fill="auto"/>
            <w:vAlign w:val="center"/>
          </w:tcPr>
          <w:p w14:paraId="2F4A6F42" w14:textId="77777777" w:rsidR="003E78AB" w:rsidRDefault="003E78AB">
            <w:pPr>
              <w:spacing w:line="360" w:lineRule="exact"/>
              <w:ind w:firstLineChars="0" w:firstLine="0"/>
              <w:jc w:val="center"/>
              <w:rPr>
                <w:bCs/>
                <w:kern w:val="2"/>
                <w:sz w:val="21"/>
              </w:rPr>
            </w:pPr>
          </w:p>
        </w:tc>
        <w:tc>
          <w:tcPr>
            <w:tcW w:w="2912" w:type="pct"/>
            <w:shd w:val="clear" w:color="auto" w:fill="auto"/>
            <w:vAlign w:val="center"/>
          </w:tcPr>
          <w:p w14:paraId="559AFDDC" w14:textId="77777777" w:rsidR="003E78AB" w:rsidRDefault="00010BF9">
            <w:pPr>
              <w:spacing w:line="360" w:lineRule="exact"/>
              <w:ind w:firstLineChars="0" w:firstLine="0"/>
              <w:jc w:val="left"/>
              <w:rPr>
                <w:bCs/>
                <w:kern w:val="2"/>
                <w:sz w:val="21"/>
              </w:rPr>
            </w:pPr>
            <w:r>
              <w:rPr>
                <w:bCs/>
                <w:kern w:val="2"/>
                <w:sz w:val="21"/>
              </w:rPr>
              <w:t>重点区域。依据重金属污染物排放状况、环境质量改善和环境风险防控需求，划定重金属污染防控重点区域。</w:t>
            </w:r>
          </w:p>
        </w:tc>
        <w:tc>
          <w:tcPr>
            <w:tcW w:w="1169" w:type="pct"/>
            <w:shd w:val="clear" w:color="auto" w:fill="auto"/>
            <w:vAlign w:val="center"/>
          </w:tcPr>
          <w:p w14:paraId="3609B451" w14:textId="77777777" w:rsidR="003E78AB" w:rsidRDefault="00010BF9">
            <w:pPr>
              <w:spacing w:line="360" w:lineRule="exact"/>
              <w:ind w:firstLineChars="0" w:firstLine="0"/>
              <w:jc w:val="left"/>
              <w:rPr>
                <w:bCs/>
                <w:kern w:val="2"/>
                <w:sz w:val="21"/>
              </w:rPr>
            </w:pPr>
            <w:r>
              <w:rPr>
                <w:bCs/>
                <w:kern w:val="2"/>
                <w:sz w:val="21"/>
              </w:rPr>
              <w:t>本项目位于哈密市伊州区，属于重金属污染防控重点区域。</w:t>
            </w:r>
          </w:p>
        </w:tc>
        <w:tc>
          <w:tcPr>
            <w:tcW w:w="443" w:type="pct"/>
            <w:shd w:val="clear" w:color="auto" w:fill="auto"/>
            <w:vAlign w:val="center"/>
          </w:tcPr>
          <w:p w14:paraId="2D5767A3" w14:textId="77777777" w:rsidR="003E78AB" w:rsidRDefault="00010BF9">
            <w:pPr>
              <w:spacing w:line="360" w:lineRule="exact"/>
              <w:ind w:firstLineChars="0" w:firstLine="0"/>
              <w:jc w:val="center"/>
              <w:rPr>
                <w:bCs/>
                <w:kern w:val="2"/>
                <w:sz w:val="21"/>
              </w:rPr>
            </w:pPr>
            <w:r>
              <w:rPr>
                <w:bCs/>
                <w:kern w:val="2"/>
                <w:sz w:val="21"/>
              </w:rPr>
              <w:t>相符</w:t>
            </w:r>
          </w:p>
        </w:tc>
      </w:tr>
      <w:tr w:rsidR="003E78AB" w14:paraId="1CE3DEC7" w14:textId="77777777">
        <w:trPr>
          <w:jc w:val="center"/>
        </w:trPr>
        <w:tc>
          <w:tcPr>
            <w:tcW w:w="475" w:type="pct"/>
            <w:shd w:val="clear" w:color="auto" w:fill="auto"/>
            <w:vAlign w:val="center"/>
          </w:tcPr>
          <w:p w14:paraId="755C47F8" w14:textId="77777777" w:rsidR="003E78AB" w:rsidRDefault="00010BF9">
            <w:pPr>
              <w:spacing w:line="360" w:lineRule="exact"/>
              <w:ind w:firstLineChars="0" w:firstLine="0"/>
              <w:jc w:val="center"/>
              <w:rPr>
                <w:bCs/>
                <w:kern w:val="2"/>
                <w:sz w:val="21"/>
              </w:rPr>
            </w:pPr>
            <w:r>
              <w:rPr>
                <w:bCs/>
                <w:kern w:val="2"/>
                <w:sz w:val="21"/>
              </w:rPr>
              <w:t>严格准入，优化涉重金属产业结构和布局</w:t>
            </w:r>
          </w:p>
        </w:tc>
        <w:tc>
          <w:tcPr>
            <w:tcW w:w="2912" w:type="pct"/>
            <w:shd w:val="clear" w:color="auto" w:fill="auto"/>
            <w:vAlign w:val="center"/>
          </w:tcPr>
          <w:p w14:paraId="7041E329" w14:textId="77777777" w:rsidR="003E78AB" w:rsidRDefault="00010BF9">
            <w:pPr>
              <w:spacing w:line="360" w:lineRule="exact"/>
              <w:ind w:firstLineChars="0" w:firstLine="0"/>
              <w:jc w:val="left"/>
              <w:rPr>
                <w:bCs/>
                <w:kern w:val="2"/>
                <w:sz w:val="21"/>
              </w:rPr>
            </w:pPr>
            <w:r>
              <w:rPr>
                <w:bCs/>
                <w:kern w:val="2"/>
                <w:sz w:val="21"/>
              </w:rPr>
              <w:t>严格重点行业企业准入管理。新、改、扩建重点行业建设项目应符合</w:t>
            </w:r>
            <w:r>
              <w:rPr>
                <w:bCs/>
                <w:kern w:val="2"/>
                <w:sz w:val="21"/>
              </w:rPr>
              <w:t>“</w:t>
            </w:r>
            <w:r>
              <w:rPr>
                <w:bCs/>
                <w:kern w:val="2"/>
                <w:sz w:val="21"/>
              </w:rPr>
              <w:t>三线一单</w:t>
            </w:r>
            <w:r>
              <w:rPr>
                <w:bCs/>
                <w:kern w:val="2"/>
                <w:sz w:val="21"/>
              </w:rPr>
              <w:t>”</w:t>
            </w:r>
            <w:r>
              <w:rPr>
                <w:bCs/>
                <w:kern w:val="2"/>
                <w:sz w:val="21"/>
              </w:rPr>
              <w:t>、产业政策、区域环评、规划环评和行业环境准入管控要求。重点区域的新、改、扩建重点行业建设项目应遵循重点重金属污染物排放</w:t>
            </w:r>
            <w:r>
              <w:rPr>
                <w:bCs/>
                <w:kern w:val="2"/>
                <w:sz w:val="21"/>
              </w:rPr>
              <w:t>“</w:t>
            </w:r>
            <w:r>
              <w:rPr>
                <w:bCs/>
                <w:kern w:val="2"/>
                <w:sz w:val="21"/>
              </w:rPr>
              <w:t>减量替代</w:t>
            </w:r>
            <w:r>
              <w:rPr>
                <w:bCs/>
                <w:kern w:val="2"/>
                <w:sz w:val="21"/>
              </w:rPr>
              <w:t>”</w:t>
            </w:r>
            <w:r>
              <w:rPr>
                <w:bCs/>
                <w:kern w:val="2"/>
                <w:sz w:val="21"/>
              </w:rPr>
              <w:t>原则，减量替代比例不低于</w:t>
            </w:r>
            <w:r>
              <w:rPr>
                <w:bCs/>
                <w:kern w:val="2"/>
                <w:sz w:val="21"/>
              </w:rPr>
              <w:t>1.2:1</w:t>
            </w:r>
            <w:r>
              <w:rPr>
                <w:bCs/>
                <w:kern w:val="2"/>
                <w:sz w:val="21"/>
              </w:rPr>
              <w:t>；其他区域遵循</w:t>
            </w:r>
            <w:r>
              <w:rPr>
                <w:bCs/>
                <w:kern w:val="2"/>
                <w:sz w:val="21"/>
              </w:rPr>
              <w:t>“</w:t>
            </w:r>
            <w:r>
              <w:rPr>
                <w:bCs/>
                <w:kern w:val="2"/>
                <w:sz w:val="21"/>
              </w:rPr>
              <w:t>等量替代</w:t>
            </w:r>
            <w:r>
              <w:rPr>
                <w:bCs/>
                <w:kern w:val="2"/>
                <w:sz w:val="21"/>
              </w:rPr>
              <w:t>”</w:t>
            </w:r>
            <w:r>
              <w:rPr>
                <w:bCs/>
                <w:kern w:val="2"/>
                <w:sz w:val="21"/>
              </w:rPr>
              <w:t>原则。建设单位在提交环境影响评价文件时应明确重点重金</w:t>
            </w:r>
            <w:r>
              <w:rPr>
                <w:bCs/>
                <w:kern w:val="2"/>
                <w:sz w:val="21"/>
              </w:rPr>
              <w:t>属污染物排放总量及来源。无明确具体总量来源的，各级生态环境部门不得批准相关环境影响评价文件。总量来源原则上应是同一重点行业内企业削减的重点重金属污染物排放量，当同一重点行业内企业削减量无法满足时可从其他重点行业调剂。严格重点行业建设项目环境影响评价审批，审慎下放审批权限，不得以改革试点为名降低审批要求。</w:t>
            </w:r>
          </w:p>
        </w:tc>
        <w:tc>
          <w:tcPr>
            <w:tcW w:w="1169" w:type="pct"/>
            <w:shd w:val="clear" w:color="auto" w:fill="auto"/>
            <w:vAlign w:val="center"/>
          </w:tcPr>
          <w:p w14:paraId="2AB495A8" w14:textId="77777777" w:rsidR="003E78AB" w:rsidRDefault="00010BF9">
            <w:pPr>
              <w:spacing w:line="360" w:lineRule="exact"/>
              <w:ind w:firstLineChars="0" w:firstLine="0"/>
              <w:jc w:val="left"/>
              <w:rPr>
                <w:bCs/>
                <w:kern w:val="2"/>
                <w:sz w:val="21"/>
              </w:rPr>
            </w:pPr>
            <w:r>
              <w:rPr>
                <w:bCs/>
                <w:kern w:val="2"/>
                <w:sz w:val="21"/>
              </w:rPr>
              <w:t>本项目位于哈密工业园南部循环经济产业园</w:t>
            </w:r>
            <w:r>
              <w:rPr>
                <w:rFonts w:hint="eastAsia"/>
                <w:bCs/>
                <w:kern w:val="2"/>
                <w:sz w:val="21"/>
              </w:rPr>
              <w:t>化工产业区</w:t>
            </w:r>
            <w:r>
              <w:rPr>
                <w:bCs/>
                <w:kern w:val="2"/>
                <w:sz w:val="21"/>
              </w:rPr>
              <w:t>，经上文分析，项目建设符合</w:t>
            </w:r>
            <w:r>
              <w:rPr>
                <w:bCs/>
                <w:kern w:val="2"/>
                <w:sz w:val="21"/>
              </w:rPr>
              <w:t>“</w:t>
            </w:r>
            <w:r>
              <w:rPr>
                <w:bCs/>
                <w:kern w:val="2"/>
                <w:sz w:val="21"/>
              </w:rPr>
              <w:t>三线一单</w:t>
            </w:r>
            <w:r>
              <w:rPr>
                <w:bCs/>
                <w:kern w:val="2"/>
                <w:sz w:val="21"/>
              </w:rPr>
              <w:t>”</w:t>
            </w:r>
            <w:r>
              <w:rPr>
                <w:bCs/>
                <w:kern w:val="2"/>
                <w:sz w:val="21"/>
              </w:rPr>
              <w:t>、产业政策、区域环评、规划环评和行业环境准入管控要求。</w:t>
            </w:r>
          </w:p>
        </w:tc>
        <w:tc>
          <w:tcPr>
            <w:tcW w:w="443" w:type="pct"/>
            <w:shd w:val="clear" w:color="auto" w:fill="auto"/>
            <w:vAlign w:val="center"/>
          </w:tcPr>
          <w:p w14:paraId="6CDE07F3" w14:textId="77777777" w:rsidR="003E78AB" w:rsidRDefault="00010BF9">
            <w:pPr>
              <w:spacing w:line="360" w:lineRule="exact"/>
              <w:ind w:firstLineChars="0" w:firstLine="0"/>
              <w:jc w:val="center"/>
              <w:rPr>
                <w:bCs/>
                <w:kern w:val="2"/>
                <w:sz w:val="21"/>
              </w:rPr>
            </w:pPr>
            <w:r>
              <w:rPr>
                <w:bCs/>
                <w:kern w:val="2"/>
                <w:sz w:val="21"/>
              </w:rPr>
              <w:t>相符</w:t>
            </w:r>
          </w:p>
        </w:tc>
      </w:tr>
      <w:tr w:rsidR="003E78AB" w14:paraId="44CA2F01" w14:textId="77777777">
        <w:trPr>
          <w:jc w:val="center"/>
        </w:trPr>
        <w:tc>
          <w:tcPr>
            <w:tcW w:w="475" w:type="pct"/>
            <w:shd w:val="clear" w:color="auto" w:fill="auto"/>
            <w:vAlign w:val="center"/>
          </w:tcPr>
          <w:p w14:paraId="6CE6488A" w14:textId="77777777" w:rsidR="003E78AB" w:rsidRDefault="00010BF9">
            <w:pPr>
              <w:spacing w:line="360" w:lineRule="exact"/>
              <w:ind w:firstLineChars="0" w:firstLine="0"/>
              <w:jc w:val="center"/>
              <w:rPr>
                <w:bCs/>
                <w:kern w:val="2"/>
                <w:sz w:val="21"/>
              </w:rPr>
            </w:pPr>
            <w:r>
              <w:rPr>
                <w:bCs/>
                <w:kern w:val="2"/>
                <w:sz w:val="21"/>
              </w:rPr>
              <w:t>突出重点，深化重点行业重金属污染治理</w:t>
            </w:r>
          </w:p>
        </w:tc>
        <w:tc>
          <w:tcPr>
            <w:tcW w:w="2912" w:type="pct"/>
            <w:shd w:val="clear" w:color="auto" w:fill="auto"/>
            <w:vAlign w:val="center"/>
          </w:tcPr>
          <w:p w14:paraId="5979C493" w14:textId="77777777" w:rsidR="003E78AB" w:rsidRDefault="00010BF9">
            <w:pPr>
              <w:spacing w:line="360" w:lineRule="exact"/>
              <w:ind w:firstLineChars="0" w:firstLine="0"/>
              <w:jc w:val="left"/>
              <w:rPr>
                <w:bCs/>
                <w:kern w:val="2"/>
                <w:sz w:val="21"/>
              </w:rPr>
            </w:pPr>
            <w:r>
              <w:rPr>
                <w:bCs/>
                <w:kern w:val="2"/>
                <w:sz w:val="21"/>
              </w:rPr>
              <w:t>加强涉重金属固体废物环境管理。加强重点行业企业废渣场环境管理，完善防渗漏、防流失、防扬散等措施。推动锌湿法冶炼工艺按有关规定配套建设浸出渣无害化处理系统及硫渣处理设施。</w:t>
            </w:r>
          </w:p>
        </w:tc>
        <w:tc>
          <w:tcPr>
            <w:tcW w:w="1169" w:type="pct"/>
            <w:shd w:val="clear" w:color="auto" w:fill="auto"/>
            <w:vAlign w:val="center"/>
          </w:tcPr>
          <w:p w14:paraId="2F7731B7" w14:textId="77777777" w:rsidR="003E78AB" w:rsidRDefault="00010BF9">
            <w:pPr>
              <w:spacing w:line="360" w:lineRule="exact"/>
              <w:ind w:firstLineChars="0" w:firstLine="0"/>
              <w:jc w:val="left"/>
              <w:rPr>
                <w:bCs/>
                <w:kern w:val="2"/>
                <w:sz w:val="21"/>
              </w:rPr>
            </w:pPr>
            <w:r>
              <w:rPr>
                <w:bCs/>
                <w:kern w:val="2"/>
                <w:sz w:val="21"/>
              </w:rPr>
              <w:t>建设单位危险废物均在封闭的危废仓库内存放，仓库采取防渗漏、防雨淋、防流失措施，符合相关规范要求。</w:t>
            </w:r>
          </w:p>
        </w:tc>
        <w:tc>
          <w:tcPr>
            <w:tcW w:w="443" w:type="pct"/>
            <w:shd w:val="clear" w:color="auto" w:fill="auto"/>
            <w:vAlign w:val="center"/>
          </w:tcPr>
          <w:p w14:paraId="0ABB0C0E" w14:textId="77777777" w:rsidR="003E78AB" w:rsidRDefault="00010BF9">
            <w:pPr>
              <w:spacing w:line="360" w:lineRule="exact"/>
              <w:ind w:firstLineChars="0" w:firstLine="0"/>
              <w:jc w:val="center"/>
              <w:rPr>
                <w:bCs/>
                <w:kern w:val="2"/>
                <w:sz w:val="21"/>
              </w:rPr>
            </w:pPr>
            <w:r>
              <w:rPr>
                <w:bCs/>
                <w:kern w:val="2"/>
                <w:sz w:val="21"/>
              </w:rPr>
              <w:t>相符</w:t>
            </w:r>
          </w:p>
        </w:tc>
      </w:tr>
    </w:tbl>
    <w:p w14:paraId="1B7A22DD" w14:textId="77777777" w:rsidR="003E78AB" w:rsidRDefault="00010BF9">
      <w:pPr>
        <w:ind w:firstLine="480"/>
        <w:rPr>
          <w:bCs/>
        </w:rPr>
      </w:pPr>
      <w:r>
        <w:rPr>
          <w:bCs/>
        </w:rPr>
        <w:t>由以上对比分析可以看出，本项目符合《关于进一步加强重金属污染防控的意见》（环固体〔</w:t>
      </w:r>
      <w:r>
        <w:rPr>
          <w:bCs/>
        </w:rPr>
        <w:t>2022</w:t>
      </w:r>
      <w:r>
        <w:rPr>
          <w:bCs/>
        </w:rPr>
        <w:t>〕</w:t>
      </w:r>
      <w:r>
        <w:rPr>
          <w:bCs/>
        </w:rPr>
        <w:t>17</w:t>
      </w:r>
      <w:r>
        <w:rPr>
          <w:bCs/>
        </w:rPr>
        <w:t>号）相关要求。</w:t>
      </w:r>
    </w:p>
    <w:p w14:paraId="3798488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2.8.5.</w:t>
      </w:r>
      <w:r>
        <w:rPr>
          <w:rFonts w:ascii="Times New Roman" w:hAnsi="Times New Roman" w:hint="eastAsia"/>
        </w:rPr>
        <w:t>9</w:t>
      </w:r>
      <w:r>
        <w:rPr>
          <w:rFonts w:ascii="Times New Roman" w:hAnsi="Times New Roman"/>
        </w:rPr>
        <w:t>与《关于印发新疆维吾尔自治区重金属污染防控工作方案的通知》（新环固体发〔</w:t>
      </w:r>
      <w:r>
        <w:rPr>
          <w:rFonts w:ascii="Times New Roman" w:hAnsi="Times New Roman"/>
        </w:rPr>
        <w:t>2022</w:t>
      </w:r>
      <w:r>
        <w:rPr>
          <w:rFonts w:ascii="Times New Roman" w:hAnsi="Times New Roman"/>
        </w:rPr>
        <w:t>〕</w:t>
      </w:r>
      <w:r>
        <w:rPr>
          <w:rFonts w:ascii="Times New Roman" w:hAnsi="Times New Roman"/>
        </w:rPr>
        <w:t>88</w:t>
      </w:r>
      <w:r>
        <w:rPr>
          <w:rFonts w:ascii="Times New Roman" w:hAnsi="Times New Roman"/>
        </w:rPr>
        <w:t>号）的符合性分析</w:t>
      </w:r>
    </w:p>
    <w:p w14:paraId="682377D9" w14:textId="77777777" w:rsidR="003E78AB" w:rsidRDefault="00010BF9">
      <w:pPr>
        <w:ind w:firstLine="480"/>
        <w:rPr>
          <w:bCs/>
        </w:rPr>
      </w:pPr>
      <w:r>
        <w:rPr>
          <w:bCs/>
        </w:rPr>
        <w:t>项目与新环固体发〔</w:t>
      </w:r>
      <w:r>
        <w:rPr>
          <w:bCs/>
        </w:rPr>
        <w:t>2022</w:t>
      </w:r>
      <w:r>
        <w:rPr>
          <w:bCs/>
        </w:rPr>
        <w:t>〕</w:t>
      </w:r>
      <w:r>
        <w:rPr>
          <w:bCs/>
        </w:rPr>
        <w:t>88</w:t>
      </w:r>
      <w:r>
        <w:rPr>
          <w:bCs/>
        </w:rPr>
        <w:t>号相符性见下表。</w:t>
      </w:r>
    </w:p>
    <w:p w14:paraId="33B9B5FF" w14:textId="77777777" w:rsidR="003E78AB" w:rsidRDefault="00010BF9">
      <w:pPr>
        <w:pStyle w:val="a5"/>
      </w:pPr>
      <w:r>
        <w:t>与新环固体发〔</w:t>
      </w:r>
      <w:r>
        <w:t>2022</w:t>
      </w:r>
      <w:r>
        <w:t>〕</w:t>
      </w:r>
      <w:r>
        <w:t>88</w:t>
      </w:r>
      <w:r>
        <w:t>号相符性分析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88"/>
        <w:gridCol w:w="4852"/>
        <w:gridCol w:w="1946"/>
        <w:gridCol w:w="737"/>
      </w:tblGrid>
      <w:tr w:rsidR="003E78AB" w14:paraId="7CAFD978" w14:textId="77777777">
        <w:trPr>
          <w:trHeight w:val="263"/>
          <w:tblHeader/>
          <w:jc w:val="center"/>
        </w:trPr>
        <w:tc>
          <w:tcPr>
            <w:tcW w:w="3387" w:type="pct"/>
            <w:gridSpan w:val="2"/>
            <w:shd w:val="clear" w:color="auto" w:fill="auto"/>
            <w:vAlign w:val="center"/>
          </w:tcPr>
          <w:p w14:paraId="7687BC45" w14:textId="77777777" w:rsidR="003E78AB" w:rsidRDefault="00010BF9">
            <w:pPr>
              <w:spacing w:line="360" w:lineRule="exact"/>
              <w:ind w:firstLineChars="0" w:firstLine="0"/>
              <w:jc w:val="center"/>
              <w:rPr>
                <w:b/>
                <w:kern w:val="2"/>
                <w:sz w:val="21"/>
              </w:rPr>
            </w:pPr>
            <w:r>
              <w:rPr>
                <w:b/>
                <w:kern w:val="2"/>
                <w:sz w:val="21"/>
              </w:rPr>
              <w:t>相关要求</w:t>
            </w:r>
          </w:p>
        </w:tc>
        <w:tc>
          <w:tcPr>
            <w:tcW w:w="1169" w:type="pct"/>
            <w:shd w:val="clear" w:color="auto" w:fill="auto"/>
            <w:vAlign w:val="center"/>
          </w:tcPr>
          <w:p w14:paraId="504E8B97" w14:textId="77777777" w:rsidR="003E78AB" w:rsidRDefault="00010BF9">
            <w:pPr>
              <w:spacing w:line="360" w:lineRule="exact"/>
              <w:ind w:firstLineChars="0" w:firstLine="0"/>
              <w:jc w:val="center"/>
              <w:rPr>
                <w:b/>
                <w:kern w:val="2"/>
                <w:sz w:val="21"/>
              </w:rPr>
            </w:pPr>
            <w:r>
              <w:rPr>
                <w:b/>
                <w:kern w:val="2"/>
                <w:sz w:val="21"/>
              </w:rPr>
              <w:t>本项目情况</w:t>
            </w:r>
          </w:p>
        </w:tc>
        <w:tc>
          <w:tcPr>
            <w:tcW w:w="443" w:type="pct"/>
            <w:shd w:val="clear" w:color="auto" w:fill="auto"/>
            <w:vAlign w:val="center"/>
          </w:tcPr>
          <w:p w14:paraId="704E08AD" w14:textId="77777777" w:rsidR="003E78AB" w:rsidRDefault="00010BF9">
            <w:pPr>
              <w:spacing w:line="360" w:lineRule="exact"/>
              <w:ind w:firstLineChars="0" w:firstLine="0"/>
              <w:jc w:val="center"/>
              <w:rPr>
                <w:b/>
                <w:kern w:val="2"/>
                <w:sz w:val="21"/>
              </w:rPr>
            </w:pPr>
            <w:r>
              <w:rPr>
                <w:b/>
                <w:kern w:val="2"/>
                <w:sz w:val="21"/>
              </w:rPr>
              <w:t>相符性</w:t>
            </w:r>
          </w:p>
        </w:tc>
      </w:tr>
      <w:tr w:rsidR="003E78AB" w14:paraId="564CDAD5" w14:textId="77777777">
        <w:trPr>
          <w:trHeight w:val="90"/>
          <w:jc w:val="center"/>
        </w:trPr>
        <w:tc>
          <w:tcPr>
            <w:tcW w:w="473" w:type="pct"/>
            <w:vMerge w:val="restart"/>
            <w:shd w:val="clear" w:color="auto" w:fill="auto"/>
            <w:vAlign w:val="center"/>
          </w:tcPr>
          <w:p w14:paraId="0136BDEB" w14:textId="77777777" w:rsidR="003E78AB" w:rsidRDefault="00010BF9">
            <w:pPr>
              <w:spacing w:line="360" w:lineRule="exact"/>
              <w:ind w:firstLineChars="0" w:firstLine="0"/>
              <w:jc w:val="center"/>
              <w:rPr>
                <w:bCs/>
                <w:kern w:val="2"/>
                <w:sz w:val="21"/>
              </w:rPr>
            </w:pPr>
            <w:r>
              <w:rPr>
                <w:bCs/>
                <w:kern w:val="2"/>
                <w:sz w:val="21"/>
              </w:rPr>
              <w:t>防控重点</w:t>
            </w:r>
          </w:p>
        </w:tc>
        <w:tc>
          <w:tcPr>
            <w:tcW w:w="2913" w:type="pct"/>
            <w:shd w:val="clear" w:color="auto" w:fill="auto"/>
            <w:vAlign w:val="center"/>
          </w:tcPr>
          <w:p w14:paraId="2C209473" w14:textId="77777777" w:rsidR="003E78AB" w:rsidRDefault="00010BF9">
            <w:pPr>
              <w:spacing w:line="360" w:lineRule="exact"/>
              <w:ind w:firstLineChars="0" w:firstLine="0"/>
              <w:jc w:val="left"/>
              <w:rPr>
                <w:bCs/>
                <w:sz w:val="21"/>
              </w:rPr>
            </w:pPr>
            <w:r>
              <w:rPr>
                <w:bCs/>
                <w:sz w:val="21"/>
              </w:rPr>
              <w:t>（一）重点重金属污染物。重点防控的重金属污染物是铅、汞、镉、铬、砷、铊和锑，并对铅、汞、镉、铬和砷五种重点重金属污染物排放量实施总量控制。</w:t>
            </w:r>
          </w:p>
          <w:p w14:paraId="78EBBC78" w14:textId="77777777" w:rsidR="003E78AB" w:rsidRDefault="003E78AB">
            <w:pPr>
              <w:spacing w:line="360" w:lineRule="exact"/>
              <w:ind w:firstLineChars="0" w:firstLine="0"/>
              <w:jc w:val="left"/>
              <w:rPr>
                <w:bCs/>
                <w:kern w:val="2"/>
                <w:sz w:val="21"/>
              </w:rPr>
            </w:pPr>
          </w:p>
        </w:tc>
        <w:tc>
          <w:tcPr>
            <w:tcW w:w="1169" w:type="pct"/>
            <w:shd w:val="clear" w:color="auto" w:fill="auto"/>
            <w:vAlign w:val="center"/>
          </w:tcPr>
          <w:p w14:paraId="06AA31E2" w14:textId="77777777" w:rsidR="003E78AB" w:rsidRDefault="00010BF9">
            <w:pPr>
              <w:spacing w:line="360" w:lineRule="exact"/>
              <w:ind w:firstLineChars="0" w:firstLine="0"/>
              <w:jc w:val="left"/>
              <w:rPr>
                <w:bCs/>
                <w:kern w:val="2"/>
                <w:sz w:val="21"/>
              </w:rPr>
            </w:pPr>
            <w:r>
              <w:rPr>
                <w:bCs/>
                <w:kern w:val="2"/>
                <w:sz w:val="21"/>
              </w:rPr>
              <w:t>本项目不涉及文件所列重点重金属污染物。</w:t>
            </w:r>
          </w:p>
        </w:tc>
        <w:tc>
          <w:tcPr>
            <w:tcW w:w="443" w:type="pct"/>
            <w:shd w:val="clear" w:color="auto" w:fill="auto"/>
            <w:vAlign w:val="center"/>
          </w:tcPr>
          <w:p w14:paraId="4A4864B9" w14:textId="77777777" w:rsidR="003E78AB" w:rsidRDefault="00010BF9">
            <w:pPr>
              <w:spacing w:line="360" w:lineRule="exact"/>
              <w:ind w:firstLineChars="0" w:firstLine="0"/>
              <w:jc w:val="center"/>
              <w:rPr>
                <w:bCs/>
                <w:kern w:val="2"/>
                <w:sz w:val="21"/>
              </w:rPr>
            </w:pPr>
            <w:r>
              <w:rPr>
                <w:bCs/>
                <w:kern w:val="2"/>
                <w:sz w:val="21"/>
              </w:rPr>
              <w:t>/</w:t>
            </w:r>
          </w:p>
        </w:tc>
      </w:tr>
      <w:tr w:rsidR="003E78AB" w14:paraId="3946115D" w14:textId="77777777">
        <w:trPr>
          <w:trHeight w:val="90"/>
          <w:jc w:val="center"/>
        </w:trPr>
        <w:tc>
          <w:tcPr>
            <w:tcW w:w="473" w:type="pct"/>
            <w:vMerge/>
            <w:shd w:val="clear" w:color="auto" w:fill="auto"/>
            <w:vAlign w:val="center"/>
          </w:tcPr>
          <w:p w14:paraId="5D73FE1C" w14:textId="77777777" w:rsidR="003E78AB" w:rsidRDefault="003E78AB">
            <w:pPr>
              <w:spacing w:line="360" w:lineRule="exact"/>
              <w:ind w:firstLineChars="0" w:firstLine="0"/>
              <w:jc w:val="center"/>
              <w:rPr>
                <w:bCs/>
                <w:kern w:val="2"/>
                <w:sz w:val="21"/>
              </w:rPr>
            </w:pPr>
          </w:p>
        </w:tc>
        <w:tc>
          <w:tcPr>
            <w:tcW w:w="2913" w:type="pct"/>
            <w:shd w:val="clear" w:color="auto" w:fill="auto"/>
            <w:vAlign w:val="center"/>
          </w:tcPr>
          <w:p w14:paraId="45E8651E" w14:textId="77777777" w:rsidR="003E78AB" w:rsidRDefault="00010BF9">
            <w:pPr>
              <w:spacing w:line="360" w:lineRule="exact"/>
              <w:ind w:firstLineChars="0" w:firstLine="0"/>
              <w:jc w:val="left"/>
              <w:rPr>
                <w:bCs/>
                <w:sz w:val="21"/>
              </w:rPr>
            </w:pPr>
            <w:r>
              <w:rPr>
                <w:bCs/>
                <w:sz w:val="21"/>
              </w:rPr>
              <w:t>（二）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以及皮革鞣制加工业等</w:t>
            </w:r>
            <w:r>
              <w:rPr>
                <w:bCs/>
                <w:sz w:val="21"/>
              </w:rPr>
              <w:t>6</w:t>
            </w:r>
            <w:r>
              <w:rPr>
                <w:bCs/>
                <w:sz w:val="21"/>
              </w:rPr>
              <w:t>个行业。</w:t>
            </w:r>
          </w:p>
        </w:tc>
        <w:tc>
          <w:tcPr>
            <w:tcW w:w="1169" w:type="pct"/>
            <w:shd w:val="clear" w:color="auto" w:fill="auto"/>
            <w:vAlign w:val="center"/>
          </w:tcPr>
          <w:p w14:paraId="7F7C0DC8" w14:textId="77777777" w:rsidR="003E78AB" w:rsidRDefault="00010BF9">
            <w:pPr>
              <w:spacing w:line="360" w:lineRule="exact"/>
              <w:ind w:firstLineChars="0" w:firstLine="0"/>
              <w:jc w:val="left"/>
              <w:rPr>
                <w:bCs/>
                <w:kern w:val="2"/>
                <w:sz w:val="21"/>
              </w:rPr>
            </w:pPr>
            <w:r>
              <w:rPr>
                <w:bCs/>
                <w:kern w:val="2"/>
                <w:sz w:val="21"/>
              </w:rPr>
              <w:t>本项目不属于重点行业。</w:t>
            </w:r>
          </w:p>
        </w:tc>
        <w:tc>
          <w:tcPr>
            <w:tcW w:w="443" w:type="pct"/>
            <w:shd w:val="clear" w:color="auto" w:fill="auto"/>
            <w:vAlign w:val="center"/>
          </w:tcPr>
          <w:p w14:paraId="5529A259" w14:textId="77777777" w:rsidR="003E78AB" w:rsidRDefault="00010BF9">
            <w:pPr>
              <w:spacing w:line="360" w:lineRule="exact"/>
              <w:ind w:firstLineChars="0" w:firstLine="0"/>
              <w:jc w:val="center"/>
              <w:rPr>
                <w:bCs/>
                <w:kern w:val="2"/>
                <w:sz w:val="21"/>
              </w:rPr>
            </w:pPr>
            <w:r>
              <w:rPr>
                <w:bCs/>
                <w:kern w:val="2"/>
                <w:sz w:val="21"/>
              </w:rPr>
              <w:t>/</w:t>
            </w:r>
          </w:p>
        </w:tc>
      </w:tr>
      <w:tr w:rsidR="003E78AB" w14:paraId="0EECC6C3" w14:textId="77777777">
        <w:trPr>
          <w:trHeight w:val="90"/>
          <w:jc w:val="center"/>
        </w:trPr>
        <w:tc>
          <w:tcPr>
            <w:tcW w:w="473" w:type="pct"/>
            <w:vMerge w:val="restart"/>
            <w:shd w:val="clear" w:color="auto" w:fill="auto"/>
            <w:vAlign w:val="center"/>
          </w:tcPr>
          <w:p w14:paraId="5014FF3E" w14:textId="77777777" w:rsidR="003E78AB" w:rsidRDefault="00010BF9">
            <w:pPr>
              <w:spacing w:line="360" w:lineRule="exact"/>
              <w:ind w:firstLineChars="0" w:firstLine="0"/>
              <w:jc w:val="center"/>
              <w:rPr>
                <w:bCs/>
                <w:kern w:val="2"/>
                <w:sz w:val="21"/>
              </w:rPr>
            </w:pPr>
            <w:r>
              <w:rPr>
                <w:bCs/>
                <w:kern w:val="2"/>
                <w:sz w:val="21"/>
              </w:rPr>
              <w:t>重点任务</w:t>
            </w:r>
          </w:p>
        </w:tc>
        <w:tc>
          <w:tcPr>
            <w:tcW w:w="2913" w:type="pct"/>
            <w:shd w:val="clear" w:color="auto" w:fill="auto"/>
            <w:vAlign w:val="center"/>
          </w:tcPr>
          <w:p w14:paraId="5090BAEC" w14:textId="77777777" w:rsidR="003E78AB" w:rsidRDefault="00010BF9">
            <w:pPr>
              <w:spacing w:line="360" w:lineRule="exact"/>
              <w:ind w:firstLineChars="0" w:firstLine="0"/>
              <w:jc w:val="left"/>
              <w:rPr>
                <w:bCs/>
                <w:sz w:val="21"/>
              </w:rPr>
            </w:pPr>
            <w:r>
              <w:rPr>
                <w:bCs/>
                <w:sz w:val="21"/>
              </w:rPr>
              <w:t>5.</w:t>
            </w:r>
            <w:r>
              <w:rPr>
                <w:bCs/>
                <w:sz w:val="21"/>
              </w:rPr>
              <w:t>严格重点行业企业准入管理。新、改、扩建重点行业建设项目应符合</w:t>
            </w:r>
            <w:r>
              <w:rPr>
                <w:bCs/>
                <w:sz w:val="21"/>
              </w:rPr>
              <w:t>“</w:t>
            </w:r>
            <w:r>
              <w:rPr>
                <w:bCs/>
                <w:sz w:val="21"/>
              </w:rPr>
              <w:t>三线一单</w:t>
            </w:r>
            <w:r>
              <w:rPr>
                <w:bCs/>
                <w:sz w:val="21"/>
              </w:rPr>
              <w:t>”</w:t>
            </w:r>
            <w:r>
              <w:rPr>
                <w:bCs/>
                <w:sz w:val="21"/>
              </w:rPr>
              <w:t>、产业政策、区域环评、规划环评和行业环境准入管控要求，应遵循重点重金属污染物排放</w:t>
            </w:r>
            <w:r>
              <w:rPr>
                <w:bCs/>
                <w:sz w:val="21"/>
              </w:rPr>
              <w:t>“</w:t>
            </w:r>
            <w:r>
              <w:rPr>
                <w:bCs/>
                <w:sz w:val="21"/>
              </w:rPr>
              <w:t>等量替代</w:t>
            </w:r>
            <w:r>
              <w:rPr>
                <w:bCs/>
                <w:sz w:val="21"/>
              </w:rPr>
              <w:t>”</w:t>
            </w:r>
            <w:r>
              <w:rPr>
                <w:bCs/>
                <w:sz w:val="21"/>
              </w:rPr>
              <w:t>原则。建设单位在提交环境影响评价文件时应明确重点重金属污染物排放总量及来源。无明确具体总量来源的，各级生态环境部门不得批准相关环境影响评价文件。总量来源原则上应是同一重点行业内企业削减的重点重金属污染物排放量，当同一重点行业内企业削减量无法满足时可从其他重点行业调剂。</w:t>
            </w:r>
          </w:p>
        </w:tc>
        <w:tc>
          <w:tcPr>
            <w:tcW w:w="1169" w:type="pct"/>
            <w:shd w:val="clear" w:color="auto" w:fill="auto"/>
            <w:vAlign w:val="center"/>
          </w:tcPr>
          <w:p w14:paraId="5B5FE1EC" w14:textId="77777777" w:rsidR="003E78AB" w:rsidRDefault="00010BF9">
            <w:pPr>
              <w:spacing w:line="360" w:lineRule="exact"/>
              <w:ind w:firstLineChars="0" w:firstLine="0"/>
              <w:jc w:val="left"/>
              <w:rPr>
                <w:bCs/>
                <w:kern w:val="2"/>
                <w:sz w:val="21"/>
              </w:rPr>
            </w:pPr>
            <w:r>
              <w:rPr>
                <w:bCs/>
                <w:kern w:val="2"/>
                <w:sz w:val="21"/>
              </w:rPr>
              <w:t>本项目符合</w:t>
            </w:r>
            <w:r>
              <w:rPr>
                <w:bCs/>
                <w:sz w:val="21"/>
              </w:rPr>
              <w:t>“</w:t>
            </w:r>
            <w:r>
              <w:rPr>
                <w:bCs/>
                <w:sz w:val="21"/>
              </w:rPr>
              <w:t>三线一单</w:t>
            </w:r>
            <w:r>
              <w:rPr>
                <w:bCs/>
                <w:sz w:val="21"/>
              </w:rPr>
              <w:t>”</w:t>
            </w:r>
            <w:r>
              <w:rPr>
                <w:bCs/>
                <w:sz w:val="21"/>
              </w:rPr>
              <w:t>、产业政策、区域环评、规划环评和行业环境准入管控要求</w:t>
            </w:r>
            <w:r>
              <w:rPr>
                <w:bCs/>
                <w:sz w:val="21"/>
              </w:rPr>
              <w:t>；本项目涉及钒，未列入重点重金属污染物，无需总量替代。</w:t>
            </w:r>
          </w:p>
        </w:tc>
        <w:tc>
          <w:tcPr>
            <w:tcW w:w="443" w:type="pct"/>
            <w:shd w:val="clear" w:color="auto" w:fill="auto"/>
            <w:vAlign w:val="center"/>
          </w:tcPr>
          <w:p w14:paraId="086B140C" w14:textId="77777777" w:rsidR="003E78AB" w:rsidRDefault="00010BF9">
            <w:pPr>
              <w:spacing w:line="360" w:lineRule="exact"/>
              <w:ind w:firstLineChars="0" w:firstLine="0"/>
              <w:jc w:val="center"/>
              <w:rPr>
                <w:bCs/>
                <w:kern w:val="2"/>
                <w:sz w:val="21"/>
              </w:rPr>
            </w:pPr>
            <w:r>
              <w:rPr>
                <w:rFonts w:hint="eastAsia"/>
                <w:bCs/>
                <w:kern w:val="2"/>
                <w:sz w:val="21"/>
              </w:rPr>
              <w:t>相符</w:t>
            </w:r>
          </w:p>
        </w:tc>
      </w:tr>
      <w:tr w:rsidR="003E78AB" w14:paraId="07697B59" w14:textId="77777777">
        <w:trPr>
          <w:trHeight w:val="90"/>
          <w:jc w:val="center"/>
        </w:trPr>
        <w:tc>
          <w:tcPr>
            <w:tcW w:w="473" w:type="pct"/>
            <w:vMerge/>
            <w:shd w:val="clear" w:color="auto" w:fill="auto"/>
            <w:vAlign w:val="center"/>
          </w:tcPr>
          <w:p w14:paraId="2C91D55F" w14:textId="77777777" w:rsidR="003E78AB" w:rsidRDefault="003E78AB">
            <w:pPr>
              <w:spacing w:line="360" w:lineRule="exact"/>
              <w:ind w:firstLineChars="0" w:firstLine="0"/>
              <w:jc w:val="center"/>
              <w:rPr>
                <w:bCs/>
                <w:kern w:val="2"/>
                <w:sz w:val="21"/>
              </w:rPr>
            </w:pPr>
          </w:p>
        </w:tc>
        <w:tc>
          <w:tcPr>
            <w:tcW w:w="2913" w:type="pct"/>
            <w:shd w:val="clear" w:color="auto" w:fill="auto"/>
            <w:vAlign w:val="center"/>
          </w:tcPr>
          <w:p w14:paraId="71B36FA1" w14:textId="77777777" w:rsidR="003E78AB" w:rsidRDefault="00010BF9">
            <w:pPr>
              <w:spacing w:line="360" w:lineRule="exact"/>
              <w:ind w:firstLineChars="0" w:firstLine="0"/>
              <w:jc w:val="left"/>
              <w:rPr>
                <w:bCs/>
                <w:sz w:val="21"/>
              </w:rPr>
            </w:pPr>
            <w:r>
              <w:rPr>
                <w:bCs/>
                <w:sz w:val="21"/>
              </w:rPr>
              <w:t>13.</w:t>
            </w:r>
            <w:r>
              <w:rPr>
                <w:bCs/>
                <w:sz w:val="21"/>
              </w:rPr>
              <w:t>强化涉重金属污染应急管理。重点行业企业应依法依规完善环境风险防范和环境安全隐患排查治理措施，制定环境应急预案，储备相关应急物资，定期开展应急演练。</w:t>
            </w:r>
          </w:p>
        </w:tc>
        <w:tc>
          <w:tcPr>
            <w:tcW w:w="1169" w:type="pct"/>
            <w:shd w:val="clear" w:color="auto" w:fill="auto"/>
            <w:vAlign w:val="center"/>
          </w:tcPr>
          <w:p w14:paraId="0BCE76B1" w14:textId="77777777" w:rsidR="003E78AB" w:rsidRDefault="00010BF9">
            <w:pPr>
              <w:spacing w:line="360" w:lineRule="exact"/>
              <w:ind w:firstLineChars="0" w:firstLine="0"/>
              <w:jc w:val="left"/>
              <w:rPr>
                <w:bCs/>
                <w:kern w:val="2"/>
                <w:sz w:val="21"/>
              </w:rPr>
            </w:pPr>
            <w:r>
              <w:rPr>
                <w:bCs/>
                <w:kern w:val="2"/>
                <w:sz w:val="21"/>
              </w:rPr>
              <w:t>本项目按要求制定突发环境事件应急预案，配备应急物资，并定期开展演练</w:t>
            </w:r>
          </w:p>
        </w:tc>
        <w:tc>
          <w:tcPr>
            <w:tcW w:w="443" w:type="pct"/>
            <w:shd w:val="clear" w:color="auto" w:fill="auto"/>
            <w:vAlign w:val="center"/>
          </w:tcPr>
          <w:p w14:paraId="0AAC19E1" w14:textId="77777777" w:rsidR="003E78AB" w:rsidRDefault="00010BF9">
            <w:pPr>
              <w:spacing w:line="360" w:lineRule="exact"/>
              <w:ind w:firstLineChars="0" w:firstLine="0"/>
              <w:jc w:val="center"/>
              <w:rPr>
                <w:bCs/>
                <w:kern w:val="2"/>
                <w:sz w:val="21"/>
              </w:rPr>
            </w:pPr>
            <w:r>
              <w:rPr>
                <w:rFonts w:hint="eastAsia"/>
                <w:bCs/>
                <w:kern w:val="2"/>
                <w:sz w:val="21"/>
              </w:rPr>
              <w:t>相符</w:t>
            </w:r>
          </w:p>
        </w:tc>
      </w:tr>
    </w:tbl>
    <w:p w14:paraId="74ADB80E" w14:textId="77777777" w:rsidR="003E78AB" w:rsidRDefault="00010BF9">
      <w:pPr>
        <w:ind w:firstLine="480"/>
      </w:pPr>
      <w:r>
        <w:rPr>
          <w:bCs/>
        </w:rPr>
        <w:t>由以上对比分析可以看出，本项目符合《关于印发新疆维吾尔自治区重金属污染防控工作方案的通知》（新环固体发〔</w:t>
      </w:r>
      <w:r>
        <w:rPr>
          <w:bCs/>
        </w:rPr>
        <w:t>2022</w:t>
      </w:r>
      <w:r>
        <w:rPr>
          <w:bCs/>
        </w:rPr>
        <w:t>〕</w:t>
      </w:r>
      <w:r>
        <w:rPr>
          <w:bCs/>
        </w:rPr>
        <w:t>88</w:t>
      </w:r>
      <w:r>
        <w:rPr>
          <w:bCs/>
        </w:rPr>
        <w:t>号）相关要求。</w:t>
      </w:r>
    </w:p>
    <w:p w14:paraId="477AF02A" w14:textId="77777777" w:rsidR="003E78AB" w:rsidRDefault="00010BF9">
      <w:pPr>
        <w:pStyle w:val="31"/>
        <w:keepNext w:val="0"/>
        <w:keepLines w:val="0"/>
        <w:topLinePunct/>
        <w:spacing w:before="156"/>
        <w:rPr>
          <w:rFonts w:cs="Times New Roman"/>
        </w:rPr>
      </w:pPr>
      <w:r>
        <w:rPr>
          <w:rFonts w:cs="Times New Roman"/>
        </w:rPr>
        <w:t>2.8.6</w:t>
      </w:r>
      <w:r>
        <w:rPr>
          <w:rFonts w:cs="Times New Roman"/>
        </w:rPr>
        <w:t>与碳排放相关政策文件符合性分析</w:t>
      </w:r>
    </w:p>
    <w:p w14:paraId="525C577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2.8.6.1</w:t>
      </w:r>
      <w:r>
        <w:rPr>
          <w:rFonts w:ascii="Times New Roman" w:hAnsi="Times New Roman"/>
        </w:rPr>
        <w:t>与《关于加强高耗能、高排放建设项目生态环境源头防控的指导意见》（环环评</w:t>
      </w:r>
      <w:r>
        <w:rPr>
          <w:rFonts w:ascii="Times New Roman" w:hAnsi="Times New Roman"/>
          <w:kern w:val="2"/>
        </w:rPr>
        <w:t>〔</w:t>
      </w:r>
      <w:r>
        <w:rPr>
          <w:rFonts w:ascii="Times New Roman" w:hAnsi="Times New Roman"/>
          <w:kern w:val="2"/>
        </w:rPr>
        <w:t>2021</w:t>
      </w:r>
      <w:r>
        <w:rPr>
          <w:rFonts w:ascii="Times New Roman" w:hAnsi="Times New Roman"/>
          <w:kern w:val="2"/>
        </w:rPr>
        <w:t>〕</w:t>
      </w:r>
      <w:r>
        <w:rPr>
          <w:rFonts w:ascii="Times New Roman" w:hAnsi="Times New Roman"/>
        </w:rPr>
        <w:t>45</w:t>
      </w:r>
      <w:r>
        <w:rPr>
          <w:rFonts w:ascii="Times New Roman" w:hAnsi="Times New Roman"/>
        </w:rPr>
        <w:t>号）的符合性</w:t>
      </w:r>
    </w:p>
    <w:p w14:paraId="3B956D9E" w14:textId="77777777" w:rsidR="003E78AB" w:rsidRDefault="00010BF9">
      <w:pPr>
        <w:ind w:firstLine="480"/>
      </w:pPr>
      <w:r>
        <w:t>本项目与《关于加强高耗能、高排放建设项目生态环境源头防控的指导意见》（环环评〔</w:t>
      </w:r>
      <w:r>
        <w:t>2021</w:t>
      </w:r>
      <w:r>
        <w:t>〕</w:t>
      </w:r>
      <w:r>
        <w:t>45</w:t>
      </w:r>
      <w:r>
        <w:t>号）相符性分析见下表。</w:t>
      </w:r>
    </w:p>
    <w:p w14:paraId="6E9B0F00" w14:textId="77777777" w:rsidR="003E78AB" w:rsidRDefault="00010BF9">
      <w:pPr>
        <w:pStyle w:val="a5"/>
      </w:pPr>
      <w:r>
        <w:t>与环环评〔</w:t>
      </w:r>
      <w:r>
        <w:t>2021</w:t>
      </w:r>
      <w:r>
        <w:t>〕</w:t>
      </w:r>
      <w:r>
        <w:t>45</w:t>
      </w:r>
      <w:r>
        <w:t>号符合性分析</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2"/>
        <w:gridCol w:w="3892"/>
        <w:gridCol w:w="2283"/>
        <w:gridCol w:w="836"/>
      </w:tblGrid>
      <w:tr w:rsidR="003E78AB" w14:paraId="093B7D00" w14:textId="77777777">
        <w:trPr>
          <w:trHeight w:val="341"/>
          <w:tblHeader/>
          <w:jc w:val="center"/>
        </w:trPr>
        <w:tc>
          <w:tcPr>
            <w:tcW w:w="808" w:type="pct"/>
            <w:shd w:val="clear" w:color="auto" w:fill="auto"/>
            <w:tcMar>
              <w:left w:w="0" w:type="dxa"/>
              <w:right w:w="0" w:type="dxa"/>
            </w:tcMar>
            <w:vAlign w:val="center"/>
          </w:tcPr>
          <w:p w14:paraId="4D9B7394" w14:textId="77777777" w:rsidR="003E78AB" w:rsidRDefault="00010BF9">
            <w:pPr>
              <w:pStyle w:val="afff"/>
              <w:widowControl w:val="0"/>
              <w:topLinePunct/>
              <w:rPr>
                <w:rFonts w:cs="Times New Roman"/>
                <w:b/>
                <w:bCs/>
                <w:color w:val="auto"/>
              </w:rPr>
            </w:pPr>
            <w:r>
              <w:rPr>
                <w:rFonts w:cs="Times New Roman"/>
                <w:b/>
                <w:bCs/>
                <w:color w:val="auto"/>
              </w:rPr>
              <w:t>项目</w:t>
            </w:r>
          </w:p>
        </w:tc>
        <w:tc>
          <w:tcPr>
            <w:tcW w:w="2326" w:type="pct"/>
            <w:shd w:val="clear" w:color="auto" w:fill="auto"/>
            <w:tcMar>
              <w:left w:w="0" w:type="dxa"/>
              <w:right w:w="0" w:type="dxa"/>
            </w:tcMar>
            <w:vAlign w:val="center"/>
          </w:tcPr>
          <w:p w14:paraId="5FADC2EA" w14:textId="77777777" w:rsidR="003E78AB" w:rsidRDefault="00010BF9">
            <w:pPr>
              <w:pStyle w:val="afff"/>
              <w:widowControl w:val="0"/>
              <w:topLinePunct/>
              <w:rPr>
                <w:rFonts w:cs="Times New Roman"/>
                <w:b/>
                <w:bCs/>
                <w:color w:val="auto"/>
              </w:rPr>
            </w:pPr>
            <w:r>
              <w:rPr>
                <w:rFonts w:cs="Times New Roman"/>
                <w:b/>
                <w:bCs/>
                <w:color w:val="auto"/>
              </w:rPr>
              <w:t>具体要求</w:t>
            </w:r>
          </w:p>
        </w:tc>
        <w:tc>
          <w:tcPr>
            <w:tcW w:w="1364" w:type="pct"/>
            <w:shd w:val="clear" w:color="auto" w:fill="auto"/>
            <w:tcMar>
              <w:left w:w="0" w:type="dxa"/>
              <w:right w:w="0" w:type="dxa"/>
            </w:tcMar>
            <w:vAlign w:val="center"/>
          </w:tcPr>
          <w:p w14:paraId="281B7628" w14:textId="77777777" w:rsidR="003E78AB" w:rsidRDefault="00010BF9">
            <w:pPr>
              <w:pStyle w:val="afff"/>
              <w:widowControl w:val="0"/>
              <w:topLinePunct/>
              <w:rPr>
                <w:rFonts w:cs="Times New Roman"/>
                <w:b/>
                <w:bCs/>
                <w:color w:val="auto"/>
              </w:rPr>
            </w:pPr>
            <w:r>
              <w:rPr>
                <w:rFonts w:cs="Times New Roman"/>
                <w:b/>
                <w:bCs/>
                <w:color w:val="auto"/>
              </w:rPr>
              <w:t>项目相关内容</w:t>
            </w:r>
          </w:p>
        </w:tc>
        <w:tc>
          <w:tcPr>
            <w:tcW w:w="500" w:type="pct"/>
            <w:shd w:val="clear" w:color="auto" w:fill="auto"/>
            <w:tcMar>
              <w:left w:w="0" w:type="dxa"/>
              <w:right w:w="0" w:type="dxa"/>
            </w:tcMar>
            <w:vAlign w:val="center"/>
          </w:tcPr>
          <w:p w14:paraId="4090ACA1" w14:textId="77777777" w:rsidR="003E78AB" w:rsidRDefault="00010BF9">
            <w:pPr>
              <w:pStyle w:val="afff"/>
              <w:widowControl w:val="0"/>
              <w:topLinePunct/>
              <w:rPr>
                <w:rFonts w:cs="Times New Roman"/>
                <w:b/>
                <w:bCs/>
                <w:color w:val="auto"/>
              </w:rPr>
            </w:pPr>
            <w:r>
              <w:rPr>
                <w:rFonts w:cs="Times New Roman"/>
                <w:b/>
                <w:bCs/>
                <w:color w:val="auto"/>
              </w:rPr>
              <w:t>符合性</w:t>
            </w:r>
          </w:p>
        </w:tc>
      </w:tr>
      <w:tr w:rsidR="003E78AB" w14:paraId="00F37373" w14:textId="77777777">
        <w:trPr>
          <w:trHeight w:val="341"/>
          <w:jc w:val="center"/>
        </w:trPr>
        <w:tc>
          <w:tcPr>
            <w:tcW w:w="808" w:type="pct"/>
            <w:shd w:val="clear" w:color="auto" w:fill="auto"/>
            <w:tcMar>
              <w:left w:w="0" w:type="dxa"/>
              <w:right w:w="0" w:type="dxa"/>
            </w:tcMar>
            <w:vAlign w:val="center"/>
          </w:tcPr>
          <w:p w14:paraId="4A371AAD" w14:textId="77777777" w:rsidR="003E78AB" w:rsidRDefault="00010BF9">
            <w:pPr>
              <w:pStyle w:val="afff"/>
              <w:widowControl w:val="0"/>
              <w:topLinePunct/>
              <w:rPr>
                <w:rFonts w:cs="Times New Roman"/>
                <w:color w:val="auto"/>
              </w:rPr>
            </w:pPr>
            <w:r>
              <w:rPr>
                <w:rFonts w:cs="Times New Roman"/>
                <w:color w:val="auto"/>
              </w:rPr>
              <w:t>（三）严把建设项目环境准入关。</w:t>
            </w:r>
          </w:p>
        </w:tc>
        <w:tc>
          <w:tcPr>
            <w:tcW w:w="2326" w:type="pct"/>
            <w:shd w:val="clear" w:color="auto" w:fill="auto"/>
            <w:tcMar>
              <w:left w:w="0" w:type="dxa"/>
              <w:right w:w="0" w:type="dxa"/>
            </w:tcMar>
            <w:vAlign w:val="center"/>
          </w:tcPr>
          <w:p w14:paraId="3F074919" w14:textId="77777777" w:rsidR="003E78AB" w:rsidRDefault="00010BF9">
            <w:pPr>
              <w:pStyle w:val="afff"/>
              <w:widowControl w:val="0"/>
              <w:topLinePunct/>
              <w:jc w:val="left"/>
              <w:rPr>
                <w:rFonts w:cs="Times New Roman"/>
                <w:color w:val="auto"/>
              </w:rPr>
            </w:pPr>
            <w:r>
              <w:rPr>
                <w:rFonts w:cs="Times New Roman"/>
                <w:color w:val="auto"/>
              </w:rPr>
              <w:t>新建、改建、扩建</w:t>
            </w:r>
            <w:r>
              <w:rPr>
                <w:rFonts w:cs="Times New Roman"/>
                <w:color w:val="auto"/>
              </w:rPr>
              <w:t>“</w:t>
            </w:r>
            <w:r>
              <w:rPr>
                <w:rFonts w:cs="Times New Roman"/>
                <w:color w:val="auto"/>
              </w:rPr>
              <w:t>两高</w:t>
            </w:r>
            <w:r>
              <w:rPr>
                <w:rFonts w:cs="Times New Roman"/>
                <w:color w:val="auto"/>
              </w:rPr>
              <w:t>”</w:t>
            </w:r>
            <w:r>
              <w:rPr>
                <w:rFonts w:cs="Times New Roman"/>
                <w:color w:val="auto"/>
              </w:rPr>
              <w:t>项目须符合生态环境保护法律法规和相关法定规划，满足重点污染物排放总量控制、碳排放达峰目标、生态环境准入清单、相关规划环评和相应行业建设项目环境准入条件、环评文件审批原则要求。新建、扩建石化、化工、焦化、有色金属冶炼、平板玻璃项目应布设在依法合规设立并经规划环评的产业园区。</w:t>
            </w:r>
          </w:p>
        </w:tc>
        <w:tc>
          <w:tcPr>
            <w:tcW w:w="1364" w:type="pct"/>
            <w:shd w:val="clear" w:color="auto" w:fill="auto"/>
            <w:tcMar>
              <w:left w:w="0" w:type="dxa"/>
              <w:right w:w="0" w:type="dxa"/>
            </w:tcMar>
            <w:vAlign w:val="center"/>
          </w:tcPr>
          <w:p w14:paraId="158C0D4A" w14:textId="77777777" w:rsidR="003E78AB" w:rsidRDefault="00010BF9">
            <w:pPr>
              <w:pStyle w:val="afff"/>
              <w:widowControl w:val="0"/>
              <w:topLinePunct/>
              <w:jc w:val="left"/>
              <w:rPr>
                <w:rFonts w:cs="Times New Roman"/>
                <w:color w:val="auto"/>
              </w:rPr>
            </w:pPr>
            <w:r>
              <w:rPr>
                <w:rFonts w:cs="Times New Roman" w:hint="eastAsia"/>
                <w:color w:val="auto"/>
              </w:rPr>
              <w:t>本项目所属行业</w:t>
            </w:r>
            <w:r>
              <w:rPr>
                <w:rFonts w:cs="Times New Roman"/>
                <w:color w:val="auto"/>
              </w:rPr>
              <w:t>不在《自治区</w:t>
            </w:r>
            <w:r>
              <w:rPr>
                <w:rFonts w:cs="Times New Roman"/>
                <w:color w:val="auto"/>
              </w:rPr>
              <w:t>“</w:t>
            </w:r>
            <w:r>
              <w:rPr>
                <w:rFonts w:cs="Times New Roman"/>
                <w:color w:val="auto"/>
              </w:rPr>
              <w:t>两高</w:t>
            </w:r>
            <w:r>
              <w:rPr>
                <w:rFonts w:cs="Times New Roman"/>
                <w:color w:val="auto"/>
              </w:rPr>
              <w:t>”</w:t>
            </w:r>
            <w:r>
              <w:rPr>
                <w:rFonts w:cs="Times New Roman"/>
                <w:color w:val="auto"/>
              </w:rPr>
              <w:t>项目管理目录（</w:t>
            </w:r>
            <w:r>
              <w:rPr>
                <w:rFonts w:cs="Times New Roman"/>
                <w:color w:val="auto"/>
              </w:rPr>
              <w:t>2024</w:t>
            </w:r>
            <w:r>
              <w:rPr>
                <w:rFonts w:cs="Times New Roman"/>
                <w:color w:val="auto"/>
              </w:rPr>
              <w:t>年版）》中。项目符合相关法律法规、法定规划要求；项目总量指标均由区域现有污染源减排计划供给；满足生态环境准入清单，满足园区规划环评要求。</w:t>
            </w:r>
          </w:p>
        </w:tc>
        <w:tc>
          <w:tcPr>
            <w:tcW w:w="500" w:type="pct"/>
            <w:shd w:val="clear" w:color="auto" w:fill="auto"/>
            <w:tcMar>
              <w:left w:w="0" w:type="dxa"/>
              <w:right w:w="0" w:type="dxa"/>
            </w:tcMar>
            <w:vAlign w:val="center"/>
          </w:tcPr>
          <w:p w14:paraId="38E6951E" w14:textId="77777777" w:rsidR="003E78AB" w:rsidRDefault="00010BF9">
            <w:pPr>
              <w:pStyle w:val="afff"/>
              <w:widowControl w:val="0"/>
              <w:topLinePunct/>
              <w:rPr>
                <w:rFonts w:cs="Times New Roman"/>
                <w:color w:val="auto"/>
              </w:rPr>
            </w:pPr>
            <w:r>
              <w:rPr>
                <w:rFonts w:cs="Times New Roman" w:hint="eastAsia"/>
                <w:bCs/>
                <w:color w:val="auto"/>
              </w:rPr>
              <w:t>相符</w:t>
            </w:r>
          </w:p>
        </w:tc>
      </w:tr>
      <w:tr w:rsidR="003E78AB" w14:paraId="254AFF0E" w14:textId="77777777">
        <w:trPr>
          <w:trHeight w:val="341"/>
          <w:jc w:val="center"/>
        </w:trPr>
        <w:tc>
          <w:tcPr>
            <w:tcW w:w="808" w:type="pct"/>
            <w:shd w:val="clear" w:color="auto" w:fill="auto"/>
            <w:tcMar>
              <w:left w:w="0" w:type="dxa"/>
              <w:right w:w="0" w:type="dxa"/>
            </w:tcMar>
            <w:vAlign w:val="center"/>
          </w:tcPr>
          <w:p w14:paraId="16A0A433" w14:textId="77777777" w:rsidR="003E78AB" w:rsidRDefault="00010BF9">
            <w:pPr>
              <w:pStyle w:val="afff"/>
              <w:widowControl w:val="0"/>
              <w:topLinePunct/>
              <w:rPr>
                <w:rFonts w:cs="Times New Roman"/>
                <w:color w:val="auto"/>
              </w:rPr>
            </w:pPr>
            <w:r>
              <w:rPr>
                <w:rFonts w:cs="Times New Roman"/>
                <w:color w:val="auto"/>
              </w:rPr>
              <w:t>（四）落实区域削减要求。</w:t>
            </w:r>
          </w:p>
        </w:tc>
        <w:tc>
          <w:tcPr>
            <w:tcW w:w="2326" w:type="pct"/>
            <w:shd w:val="clear" w:color="auto" w:fill="auto"/>
            <w:tcMar>
              <w:left w:w="0" w:type="dxa"/>
              <w:right w:w="0" w:type="dxa"/>
            </w:tcMar>
            <w:vAlign w:val="center"/>
          </w:tcPr>
          <w:p w14:paraId="2BC7EC75" w14:textId="77777777" w:rsidR="003E78AB" w:rsidRDefault="00010BF9">
            <w:pPr>
              <w:pStyle w:val="afff"/>
              <w:widowControl w:val="0"/>
              <w:topLinePunct/>
              <w:jc w:val="left"/>
              <w:rPr>
                <w:rFonts w:cs="Times New Roman"/>
                <w:color w:val="auto"/>
              </w:rPr>
            </w:pPr>
            <w:r>
              <w:rPr>
                <w:rFonts w:cs="Times New Roman"/>
                <w:color w:val="auto"/>
              </w:rPr>
              <w:t>新建</w:t>
            </w:r>
            <w:r>
              <w:rPr>
                <w:rFonts w:cs="Times New Roman"/>
                <w:color w:val="auto"/>
              </w:rPr>
              <w:t>“</w:t>
            </w:r>
            <w:r>
              <w:rPr>
                <w:rFonts w:cs="Times New Roman"/>
                <w:color w:val="auto"/>
              </w:rPr>
              <w:t>两高</w:t>
            </w:r>
            <w:r>
              <w:rPr>
                <w:rFonts w:cs="Times New Roman"/>
                <w:color w:val="auto"/>
              </w:rPr>
              <w:t>”</w:t>
            </w:r>
            <w:r>
              <w:rPr>
                <w:rFonts w:cs="Times New Roman"/>
                <w:color w:val="auto"/>
              </w:rPr>
              <w:t>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364" w:type="pct"/>
            <w:shd w:val="clear" w:color="auto" w:fill="auto"/>
            <w:tcMar>
              <w:left w:w="0" w:type="dxa"/>
              <w:right w:w="0" w:type="dxa"/>
            </w:tcMar>
            <w:vAlign w:val="center"/>
          </w:tcPr>
          <w:p w14:paraId="2FC6FEC3" w14:textId="77777777" w:rsidR="003E78AB" w:rsidRDefault="00010BF9">
            <w:pPr>
              <w:pStyle w:val="afff"/>
              <w:widowControl w:val="0"/>
              <w:topLinePunct/>
              <w:jc w:val="left"/>
              <w:rPr>
                <w:rFonts w:cs="Times New Roman"/>
                <w:color w:val="auto"/>
              </w:rPr>
            </w:pPr>
            <w:r>
              <w:rPr>
                <w:rFonts w:cs="Times New Roman" w:hint="eastAsia"/>
                <w:color w:val="auto"/>
              </w:rPr>
              <w:t>本项目不属于两高，</w:t>
            </w:r>
            <w:r>
              <w:rPr>
                <w:rFonts w:cs="Times New Roman"/>
                <w:color w:val="auto"/>
              </w:rPr>
              <w:t>项目总量控制指标倍量替代来源均由项目区域解决。</w:t>
            </w:r>
          </w:p>
        </w:tc>
        <w:tc>
          <w:tcPr>
            <w:tcW w:w="500" w:type="pct"/>
            <w:shd w:val="clear" w:color="auto" w:fill="auto"/>
            <w:tcMar>
              <w:left w:w="0" w:type="dxa"/>
              <w:right w:w="0" w:type="dxa"/>
            </w:tcMar>
            <w:vAlign w:val="center"/>
          </w:tcPr>
          <w:p w14:paraId="00284E28" w14:textId="77777777" w:rsidR="003E78AB" w:rsidRDefault="00010BF9">
            <w:pPr>
              <w:pStyle w:val="afff"/>
              <w:widowControl w:val="0"/>
              <w:topLinePunct/>
              <w:rPr>
                <w:rFonts w:cs="Times New Roman"/>
                <w:color w:val="auto"/>
              </w:rPr>
            </w:pPr>
            <w:r>
              <w:rPr>
                <w:rFonts w:cs="Times New Roman" w:hint="eastAsia"/>
                <w:bCs/>
                <w:color w:val="auto"/>
              </w:rPr>
              <w:t>相符</w:t>
            </w:r>
          </w:p>
        </w:tc>
      </w:tr>
      <w:tr w:rsidR="003E78AB" w14:paraId="676C8D85" w14:textId="77777777">
        <w:trPr>
          <w:trHeight w:val="341"/>
          <w:jc w:val="center"/>
        </w:trPr>
        <w:tc>
          <w:tcPr>
            <w:tcW w:w="808" w:type="pct"/>
            <w:shd w:val="clear" w:color="auto" w:fill="auto"/>
            <w:tcMar>
              <w:left w:w="0" w:type="dxa"/>
              <w:right w:w="0" w:type="dxa"/>
            </w:tcMar>
            <w:vAlign w:val="center"/>
          </w:tcPr>
          <w:p w14:paraId="492785DB" w14:textId="77777777" w:rsidR="003E78AB" w:rsidRDefault="00010BF9">
            <w:pPr>
              <w:pStyle w:val="afff"/>
              <w:widowControl w:val="0"/>
              <w:topLinePunct/>
              <w:rPr>
                <w:rFonts w:cs="Times New Roman"/>
                <w:color w:val="auto"/>
              </w:rPr>
            </w:pPr>
            <w:r>
              <w:rPr>
                <w:rFonts w:cs="Times New Roman"/>
                <w:color w:val="auto"/>
              </w:rPr>
              <w:t>（六）推进</w:t>
            </w:r>
            <w:r>
              <w:rPr>
                <w:rFonts w:cs="Times New Roman"/>
                <w:color w:val="auto"/>
              </w:rPr>
              <w:t>“</w:t>
            </w:r>
            <w:r>
              <w:rPr>
                <w:rFonts w:cs="Times New Roman"/>
                <w:color w:val="auto"/>
              </w:rPr>
              <w:t>两高</w:t>
            </w:r>
            <w:r>
              <w:rPr>
                <w:rFonts w:cs="Times New Roman"/>
                <w:color w:val="auto"/>
              </w:rPr>
              <w:t>”</w:t>
            </w:r>
            <w:r>
              <w:rPr>
                <w:rFonts w:cs="Times New Roman"/>
                <w:color w:val="auto"/>
              </w:rPr>
              <w:t>行业减污降碳协同控制。</w:t>
            </w:r>
          </w:p>
        </w:tc>
        <w:tc>
          <w:tcPr>
            <w:tcW w:w="2326" w:type="pct"/>
            <w:shd w:val="clear" w:color="auto" w:fill="auto"/>
            <w:tcMar>
              <w:left w:w="0" w:type="dxa"/>
              <w:right w:w="0" w:type="dxa"/>
            </w:tcMar>
            <w:vAlign w:val="center"/>
          </w:tcPr>
          <w:p w14:paraId="0C46F0E6" w14:textId="77777777" w:rsidR="003E78AB" w:rsidRDefault="00010BF9">
            <w:pPr>
              <w:pStyle w:val="afff"/>
              <w:widowControl w:val="0"/>
              <w:topLinePunct/>
              <w:jc w:val="left"/>
              <w:rPr>
                <w:rFonts w:cs="Times New Roman"/>
                <w:color w:val="auto"/>
              </w:rPr>
            </w:pPr>
            <w:r>
              <w:rPr>
                <w:rFonts w:cs="Times New Roman"/>
                <w:color w:val="auto"/>
              </w:rPr>
              <w:t>提升清洁生产和污染防治水平。新建、扩建</w:t>
            </w:r>
            <w:r>
              <w:rPr>
                <w:rFonts w:cs="Times New Roman"/>
                <w:color w:val="auto"/>
              </w:rPr>
              <w:t>“</w:t>
            </w:r>
            <w:r>
              <w:rPr>
                <w:rFonts w:cs="Times New Roman"/>
                <w:color w:val="auto"/>
              </w:rPr>
              <w:t>两高</w:t>
            </w:r>
            <w:r>
              <w:rPr>
                <w:rFonts w:cs="Times New Roman"/>
                <w:color w:val="auto"/>
              </w:rPr>
              <w:t>”</w:t>
            </w:r>
            <w:r>
              <w:rPr>
                <w:rFonts w:cs="Times New Roman"/>
                <w:color w:val="auto"/>
              </w:rPr>
              <w:t>项目应采用先进适用的工业技术和装备，单位产品物耗、能耗、水耗等达到清洁生产先进水平。国家或地方已出台超低排放要求的</w:t>
            </w:r>
            <w:r>
              <w:rPr>
                <w:rFonts w:cs="Times New Roman"/>
                <w:color w:val="auto"/>
              </w:rPr>
              <w:t>“</w:t>
            </w:r>
            <w:r>
              <w:rPr>
                <w:rFonts w:cs="Times New Roman"/>
                <w:color w:val="auto"/>
              </w:rPr>
              <w:t>两高</w:t>
            </w:r>
            <w:r>
              <w:rPr>
                <w:rFonts w:cs="Times New Roman"/>
                <w:color w:val="auto"/>
              </w:rPr>
              <w:t>”</w:t>
            </w:r>
            <w:r>
              <w:rPr>
                <w:rFonts w:cs="Times New Roman"/>
                <w:color w:val="auto"/>
              </w:rPr>
              <w:t>行业建设项目应满足超低排放要求。大宗物料优先采用铁路、管道或水路运输，短途接驳优先使用新能源车辆运输。</w:t>
            </w:r>
          </w:p>
        </w:tc>
        <w:tc>
          <w:tcPr>
            <w:tcW w:w="1364" w:type="pct"/>
            <w:shd w:val="clear" w:color="auto" w:fill="auto"/>
            <w:tcMar>
              <w:left w:w="0" w:type="dxa"/>
              <w:right w:w="0" w:type="dxa"/>
            </w:tcMar>
            <w:vAlign w:val="center"/>
          </w:tcPr>
          <w:p w14:paraId="18946A8B" w14:textId="77777777" w:rsidR="003E78AB" w:rsidRDefault="00010BF9">
            <w:pPr>
              <w:pStyle w:val="afff"/>
              <w:widowControl w:val="0"/>
              <w:topLinePunct/>
              <w:jc w:val="left"/>
              <w:rPr>
                <w:rFonts w:cs="Times New Roman"/>
                <w:color w:val="auto"/>
              </w:rPr>
            </w:pPr>
            <w:r>
              <w:rPr>
                <w:rFonts w:cs="Times New Roman"/>
                <w:color w:val="auto"/>
              </w:rPr>
              <w:t>项目单位产品物耗、能耗、水耗等达到清洁生产国内先进水平</w:t>
            </w:r>
            <w:r>
              <w:rPr>
                <w:rFonts w:cs="Times New Roman" w:hint="eastAsia"/>
                <w:color w:val="auto"/>
              </w:rPr>
              <w:t>。</w:t>
            </w:r>
          </w:p>
        </w:tc>
        <w:tc>
          <w:tcPr>
            <w:tcW w:w="500" w:type="pct"/>
            <w:shd w:val="clear" w:color="auto" w:fill="auto"/>
            <w:tcMar>
              <w:left w:w="0" w:type="dxa"/>
              <w:right w:w="0" w:type="dxa"/>
            </w:tcMar>
            <w:vAlign w:val="center"/>
          </w:tcPr>
          <w:p w14:paraId="10C818D0" w14:textId="77777777" w:rsidR="003E78AB" w:rsidRDefault="00010BF9">
            <w:pPr>
              <w:pStyle w:val="afff"/>
              <w:widowControl w:val="0"/>
              <w:topLinePunct/>
              <w:rPr>
                <w:rFonts w:cs="Times New Roman"/>
                <w:color w:val="auto"/>
              </w:rPr>
            </w:pPr>
            <w:r>
              <w:rPr>
                <w:rFonts w:cs="Times New Roman" w:hint="eastAsia"/>
                <w:bCs/>
                <w:color w:val="auto"/>
              </w:rPr>
              <w:t>相符</w:t>
            </w:r>
          </w:p>
        </w:tc>
      </w:tr>
      <w:tr w:rsidR="003E78AB" w14:paraId="23DFF026" w14:textId="77777777">
        <w:trPr>
          <w:trHeight w:val="341"/>
          <w:jc w:val="center"/>
        </w:trPr>
        <w:tc>
          <w:tcPr>
            <w:tcW w:w="808" w:type="pct"/>
            <w:shd w:val="clear" w:color="auto" w:fill="auto"/>
            <w:tcMar>
              <w:left w:w="0" w:type="dxa"/>
              <w:right w:w="0" w:type="dxa"/>
            </w:tcMar>
            <w:vAlign w:val="center"/>
          </w:tcPr>
          <w:p w14:paraId="4A7E1CBB" w14:textId="77777777" w:rsidR="003E78AB" w:rsidRDefault="00010BF9">
            <w:pPr>
              <w:pStyle w:val="afff"/>
              <w:widowControl w:val="0"/>
              <w:topLinePunct/>
              <w:rPr>
                <w:rFonts w:cs="Times New Roman"/>
                <w:color w:val="auto"/>
              </w:rPr>
            </w:pPr>
            <w:r>
              <w:rPr>
                <w:rFonts w:cs="Times New Roman"/>
                <w:color w:val="auto"/>
              </w:rPr>
              <w:t>（七）将碳排放影响评价纳入环境影响评价体系。</w:t>
            </w:r>
          </w:p>
        </w:tc>
        <w:tc>
          <w:tcPr>
            <w:tcW w:w="2326" w:type="pct"/>
            <w:shd w:val="clear" w:color="auto" w:fill="auto"/>
            <w:tcMar>
              <w:left w:w="0" w:type="dxa"/>
              <w:right w:w="0" w:type="dxa"/>
            </w:tcMar>
            <w:vAlign w:val="center"/>
          </w:tcPr>
          <w:p w14:paraId="6320FD9C" w14:textId="77777777" w:rsidR="003E78AB" w:rsidRDefault="00010BF9">
            <w:pPr>
              <w:pStyle w:val="afff"/>
              <w:widowControl w:val="0"/>
              <w:topLinePunct/>
              <w:jc w:val="left"/>
              <w:rPr>
                <w:rFonts w:cs="Times New Roman"/>
                <w:color w:val="auto"/>
              </w:rPr>
            </w:pPr>
            <w:r>
              <w:rPr>
                <w:rFonts w:cs="Times New Roman"/>
                <w:color w:val="auto"/>
              </w:rPr>
              <w:t>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364" w:type="pct"/>
            <w:shd w:val="clear" w:color="auto" w:fill="auto"/>
            <w:tcMar>
              <w:left w:w="0" w:type="dxa"/>
              <w:right w:w="0" w:type="dxa"/>
            </w:tcMar>
            <w:vAlign w:val="center"/>
          </w:tcPr>
          <w:p w14:paraId="03AE350C" w14:textId="77777777" w:rsidR="003E78AB" w:rsidRDefault="00010BF9">
            <w:pPr>
              <w:pStyle w:val="afff"/>
              <w:widowControl w:val="0"/>
              <w:topLinePunct/>
              <w:jc w:val="left"/>
              <w:rPr>
                <w:rFonts w:cs="Times New Roman"/>
                <w:color w:val="auto"/>
              </w:rPr>
            </w:pPr>
            <w:r>
              <w:rPr>
                <w:rFonts w:cs="Times New Roman"/>
                <w:color w:val="auto"/>
              </w:rPr>
              <w:t>本次评价已将碳排放纳入环境影响评价体系，并按照文件要求进行源项识别、源强核算、减污降碳措施可行性论证，并提出了项目碳减排建议。项目采取了较完善的减污降碳措施，吨产品排放强度相对较低。</w:t>
            </w:r>
          </w:p>
        </w:tc>
        <w:tc>
          <w:tcPr>
            <w:tcW w:w="500" w:type="pct"/>
            <w:shd w:val="clear" w:color="auto" w:fill="auto"/>
            <w:tcMar>
              <w:left w:w="0" w:type="dxa"/>
              <w:right w:w="0" w:type="dxa"/>
            </w:tcMar>
            <w:vAlign w:val="center"/>
          </w:tcPr>
          <w:p w14:paraId="4D35CC00" w14:textId="77777777" w:rsidR="003E78AB" w:rsidRDefault="00010BF9">
            <w:pPr>
              <w:pStyle w:val="afff"/>
              <w:widowControl w:val="0"/>
              <w:topLinePunct/>
              <w:rPr>
                <w:rFonts w:cs="Times New Roman"/>
                <w:color w:val="auto"/>
              </w:rPr>
            </w:pPr>
            <w:r>
              <w:rPr>
                <w:rFonts w:cs="Times New Roman" w:hint="eastAsia"/>
                <w:bCs/>
                <w:color w:val="auto"/>
              </w:rPr>
              <w:t>相符</w:t>
            </w:r>
          </w:p>
        </w:tc>
      </w:tr>
    </w:tbl>
    <w:p w14:paraId="610C949B" w14:textId="77777777" w:rsidR="003E78AB" w:rsidRDefault="00010BF9">
      <w:pPr>
        <w:ind w:firstLine="480"/>
        <w:rPr>
          <w:kern w:val="2"/>
        </w:rPr>
      </w:pPr>
      <w:r>
        <w:rPr>
          <w:kern w:val="2"/>
        </w:rPr>
        <w:t>由上表可知，本项目建设符合《关于加强高耗能、高排放建设项目生态环境源头防控的指导意见》要求。</w:t>
      </w:r>
    </w:p>
    <w:p w14:paraId="3AADDDFE"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b w:val="0"/>
        </w:rPr>
        <w:t>2.8.6.2</w:t>
      </w:r>
      <w:r>
        <w:rPr>
          <w:rFonts w:ascii="Times New Roman" w:hAnsi="Times New Roman" w:hint="eastAsia"/>
          <w:b w:val="0"/>
        </w:rPr>
        <w:t>与《自治区</w:t>
      </w:r>
      <w:r>
        <w:rPr>
          <w:rFonts w:ascii="Times New Roman" w:hAnsi="Times New Roman" w:hint="eastAsia"/>
          <w:b w:val="0"/>
        </w:rPr>
        <w:t>生态环境厅落实高耗能、高排放项目生态环境源头防控的措施》</w:t>
      </w:r>
      <w:r>
        <w:rPr>
          <w:rFonts w:ascii="Times New Roman" w:hAnsi="Times New Roman"/>
          <w:b w:val="0"/>
        </w:rPr>
        <w:t>符合性分析</w:t>
      </w:r>
    </w:p>
    <w:p w14:paraId="3B2A3164" w14:textId="77777777" w:rsidR="003E78AB" w:rsidRDefault="00010BF9">
      <w:pPr>
        <w:pStyle w:val="a5"/>
        <w:rPr>
          <w:bCs/>
        </w:rPr>
      </w:pPr>
      <w:r>
        <w:rPr>
          <w:bCs/>
        </w:rPr>
        <w:t>本项目</w:t>
      </w:r>
      <w:r>
        <w:rPr>
          <w:rFonts w:hint="eastAsia"/>
          <w:bCs/>
        </w:rPr>
        <w:t>措施的</w:t>
      </w:r>
      <w:r>
        <w:rPr>
          <w:bCs/>
        </w:rPr>
        <w:t>相符性分析</w:t>
      </w:r>
    </w:p>
    <w:tbl>
      <w:tblPr>
        <w:tblW w:w="5016"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04" w:type="dxa"/>
          <w:left w:w="5" w:type="dxa"/>
          <w:right w:w="0" w:type="dxa"/>
        </w:tblCellMar>
        <w:tblLook w:val="04A0" w:firstRow="1" w:lastRow="0" w:firstColumn="1" w:lastColumn="0" w:noHBand="0" w:noVBand="1"/>
      </w:tblPr>
      <w:tblGrid>
        <w:gridCol w:w="5318"/>
        <w:gridCol w:w="2294"/>
        <w:gridCol w:w="731"/>
      </w:tblGrid>
      <w:tr w:rsidR="003E78AB" w14:paraId="7A055AE2" w14:textId="77777777">
        <w:trPr>
          <w:tblHeader/>
        </w:trPr>
        <w:tc>
          <w:tcPr>
            <w:tcW w:w="3186" w:type="pct"/>
            <w:vAlign w:val="center"/>
          </w:tcPr>
          <w:p w14:paraId="5CB5942E" w14:textId="77777777" w:rsidR="003E78AB" w:rsidRDefault="00010BF9">
            <w:pPr>
              <w:spacing w:line="360" w:lineRule="exact"/>
              <w:ind w:firstLineChars="0" w:firstLine="0"/>
              <w:jc w:val="center"/>
              <w:textAlignment w:val="center"/>
              <w:rPr>
                <w:bCs/>
                <w:sz w:val="21"/>
                <w:szCs w:val="21"/>
              </w:rPr>
            </w:pPr>
            <w:r>
              <w:rPr>
                <w:bCs/>
                <w:sz w:val="21"/>
                <w:szCs w:val="21"/>
              </w:rPr>
              <w:t>相关要求</w:t>
            </w:r>
          </w:p>
        </w:tc>
        <w:tc>
          <w:tcPr>
            <w:tcW w:w="1375" w:type="pct"/>
            <w:vAlign w:val="center"/>
          </w:tcPr>
          <w:p w14:paraId="3D029429" w14:textId="77777777" w:rsidR="003E78AB" w:rsidRDefault="00010BF9">
            <w:pPr>
              <w:spacing w:line="360" w:lineRule="exact"/>
              <w:ind w:firstLineChars="0" w:firstLine="0"/>
              <w:jc w:val="center"/>
              <w:textAlignment w:val="center"/>
              <w:rPr>
                <w:bCs/>
                <w:sz w:val="21"/>
                <w:szCs w:val="21"/>
              </w:rPr>
            </w:pPr>
            <w:r>
              <w:rPr>
                <w:bCs/>
                <w:sz w:val="21"/>
                <w:szCs w:val="21"/>
              </w:rPr>
              <w:t>本项目情况</w:t>
            </w:r>
          </w:p>
        </w:tc>
        <w:tc>
          <w:tcPr>
            <w:tcW w:w="438" w:type="pct"/>
            <w:vAlign w:val="center"/>
          </w:tcPr>
          <w:p w14:paraId="26FAAE81" w14:textId="77777777" w:rsidR="003E78AB" w:rsidRDefault="00010BF9">
            <w:pPr>
              <w:spacing w:line="360" w:lineRule="exact"/>
              <w:ind w:firstLineChars="0" w:firstLine="0"/>
              <w:jc w:val="center"/>
              <w:textAlignment w:val="center"/>
              <w:rPr>
                <w:bCs/>
                <w:sz w:val="21"/>
                <w:szCs w:val="21"/>
              </w:rPr>
            </w:pPr>
            <w:r>
              <w:rPr>
                <w:bCs/>
                <w:sz w:val="21"/>
                <w:szCs w:val="21"/>
              </w:rPr>
              <w:t>相符性</w:t>
            </w:r>
          </w:p>
        </w:tc>
      </w:tr>
      <w:tr w:rsidR="003E78AB" w14:paraId="44B82634" w14:textId="77777777">
        <w:tc>
          <w:tcPr>
            <w:tcW w:w="3186" w:type="pct"/>
            <w:vAlign w:val="center"/>
          </w:tcPr>
          <w:p w14:paraId="3A7C9001" w14:textId="77777777" w:rsidR="003E78AB" w:rsidRDefault="00010BF9">
            <w:pPr>
              <w:pStyle w:val="aff6"/>
              <w:topLinePunct/>
              <w:jc w:val="both"/>
              <w:rPr>
                <w:bCs/>
              </w:rPr>
            </w:pPr>
            <w:r>
              <w:rPr>
                <w:bCs/>
              </w:rPr>
              <w:t>一、</w:t>
            </w:r>
            <w:r>
              <w:rPr>
                <w:rFonts w:hint="eastAsia"/>
                <w:bCs/>
              </w:rPr>
              <w:t>严格落实“三线一单”生态环境分区管控要求。加强生态环境分区管控和规划约束，运用“三线一单”成果指导、规范、约束“两高”行业发展。将生态保护红线作为空间管控要求，将环境质量底线和资源利用上线作为容量管控和环境准入要求，加快推进“三线一单”在“两高”行业产业布局、结构调整和重大项目选址中的应用，将“三线一单”管控要求作为“两高”行业项目环境准入的硬约束条件。在规划层面，强化规划引领作用，严格涉“两高”行业的综合性规划和工业、能源等专项规划、园区规划等环评审查，重点关注“两高”项目与制定规划的符合性分析，严格控制</w:t>
            </w:r>
            <w:r>
              <w:rPr>
                <w:rFonts w:hint="eastAsia"/>
                <w:bCs/>
              </w:rPr>
              <w:t>“两高”项目发展规模，优化产业布局、产业结构和实施时序，特别要防止为“两高”项目“开绿灯”而盲目、频繁地修编规划。</w:t>
            </w:r>
          </w:p>
        </w:tc>
        <w:tc>
          <w:tcPr>
            <w:tcW w:w="1375" w:type="pct"/>
            <w:vMerge w:val="restart"/>
            <w:vAlign w:val="center"/>
          </w:tcPr>
          <w:p w14:paraId="57AD5299" w14:textId="77777777" w:rsidR="003E78AB" w:rsidRDefault="00010BF9">
            <w:pPr>
              <w:spacing w:line="360" w:lineRule="exact"/>
              <w:ind w:firstLineChars="0" w:firstLine="0"/>
              <w:jc w:val="left"/>
              <w:textAlignment w:val="center"/>
              <w:rPr>
                <w:bCs/>
                <w:kern w:val="2"/>
                <w:sz w:val="21"/>
              </w:rPr>
            </w:pPr>
            <w:r>
              <w:rPr>
                <w:bCs/>
                <w:sz w:val="21"/>
                <w:szCs w:val="21"/>
              </w:rPr>
              <w:t>本项目符合</w:t>
            </w:r>
            <w:r>
              <w:rPr>
                <w:bCs/>
                <w:sz w:val="21"/>
                <w:szCs w:val="21"/>
              </w:rPr>
              <w:t>“</w:t>
            </w:r>
            <w:r>
              <w:rPr>
                <w:bCs/>
                <w:sz w:val="21"/>
                <w:szCs w:val="21"/>
              </w:rPr>
              <w:t>三线一单</w:t>
            </w:r>
            <w:r>
              <w:rPr>
                <w:bCs/>
                <w:sz w:val="21"/>
                <w:szCs w:val="21"/>
              </w:rPr>
              <w:t>”</w:t>
            </w:r>
            <w:r>
              <w:rPr>
                <w:bCs/>
                <w:sz w:val="21"/>
                <w:szCs w:val="21"/>
              </w:rPr>
              <w:t>、产业政策、区域环评、规划环评和行业环境准入管控要求。</w:t>
            </w:r>
            <w:r>
              <w:rPr>
                <w:rFonts w:hint="eastAsia"/>
                <w:bCs/>
                <w:kern w:val="2"/>
                <w:sz w:val="21"/>
              </w:rPr>
              <w:t>本项目不在</w:t>
            </w:r>
            <w:r>
              <w:rPr>
                <w:bCs/>
                <w:kern w:val="2"/>
                <w:sz w:val="21"/>
              </w:rPr>
              <w:t>《自治区</w:t>
            </w:r>
            <w:r>
              <w:rPr>
                <w:bCs/>
                <w:kern w:val="2"/>
                <w:sz w:val="21"/>
              </w:rPr>
              <w:t>“</w:t>
            </w:r>
            <w:r>
              <w:rPr>
                <w:bCs/>
                <w:kern w:val="2"/>
                <w:sz w:val="21"/>
              </w:rPr>
              <w:t>两高</w:t>
            </w:r>
            <w:r>
              <w:rPr>
                <w:bCs/>
                <w:kern w:val="2"/>
                <w:sz w:val="21"/>
              </w:rPr>
              <w:t>”</w:t>
            </w:r>
            <w:r>
              <w:rPr>
                <w:bCs/>
                <w:kern w:val="2"/>
                <w:sz w:val="21"/>
              </w:rPr>
              <w:t>项目管理目录（</w:t>
            </w:r>
            <w:r>
              <w:rPr>
                <w:bCs/>
                <w:kern w:val="2"/>
                <w:sz w:val="21"/>
              </w:rPr>
              <w:t>2024</w:t>
            </w:r>
            <w:r>
              <w:rPr>
                <w:bCs/>
                <w:kern w:val="2"/>
                <w:sz w:val="21"/>
              </w:rPr>
              <w:t>年版）》</w:t>
            </w:r>
            <w:r>
              <w:rPr>
                <w:rFonts w:hint="eastAsia"/>
                <w:bCs/>
                <w:kern w:val="2"/>
                <w:sz w:val="21"/>
              </w:rPr>
              <w:t>中。</w:t>
            </w:r>
          </w:p>
        </w:tc>
        <w:tc>
          <w:tcPr>
            <w:tcW w:w="438" w:type="pct"/>
            <w:vAlign w:val="center"/>
          </w:tcPr>
          <w:p w14:paraId="2F46A86D" w14:textId="77777777" w:rsidR="003E78AB" w:rsidRDefault="00010BF9">
            <w:pPr>
              <w:spacing w:line="360" w:lineRule="exact"/>
              <w:ind w:firstLineChars="0" w:firstLine="0"/>
              <w:jc w:val="center"/>
              <w:textAlignment w:val="center"/>
              <w:rPr>
                <w:bCs/>
                <w:kern w:val="2"/>
                <w:sz w:val="21"/>
              </w:rPr>
            </w:pPr>
            <w:r>
              <w:rPr>
                <w:rFonts w:hint="eastAsia"/>
                <w:bCs/>
                <w:kern w:val="2"/>
                <w:sz w:val="21"/>
              </w:rPr>
              <w:t>相符</w:t>
            </w:r>
          </w:p>
        </w:tc>
      </w:tr>
      <w:tr w:rsidR="003E78AB" w14:paraId="0A862245" w14:textId="77777777">
        <w:tc>
          <w:tcPr>
            <w:tcW w:w="3186" w:type="pct"/>
            <w:vAlign w:val="center"/>
          </w:tcPr>
          <w:p w14:paraId="679E731A" w14:textId="77777777" w:rsidR="003E78AB" w:rsidRDefault="00010BF9">
            <w:pPr>
              <w:pStyle w:val="aff6"/>
              <w:topLinePunct/>
              <w:jc w:val="both"/>
              <w:rPr>
                <w:bCs/>
              </w:rPr>
            </w:pPr>
            <w:r>
              <w:rPr>
                <w:rFonts w:hint="eastAsia"/>
                <w:bCs/>
              </w:rPr>
              <w:t>二、严格“两高”项目生态环境准入。对照相关法律法规和法定规划、重点污染物排放总量控制要求、区域和行业碳达峰目标、生态环境准入清单要求、园区规划及行业准入条件、审批原则等严格把关，特别注意区域污染削减替代措施可靠性。对不满足审批条件的，依法坚决不予审批。按照《关于加强重点行业建设项目区域削减措施监督管理的通知》（环办环评</w:t>
            </w:r>
            <w:r>
              <w:rPr>
                <w:rFonts w:hint="eastAsia"/>
                <w:bCs/>
              </w:rPr>
              <w:t>36</w:t>
            </w:r>
            <w:r>
              <w:rPr>
                <w:rFonts w:hint="eastAsia"/>
                <w:bCs/>
              </w:rPr>
              <w:t>号）要求，新建、扩建“两高”项目应按照区域削减有关规定，在环评文件报批前制定配套区域污染物削减方案，采取措施腾出足够的环境容量，并作为环评文件的附件一并上报审批。</w:t>
            </w:r>
          </w:p>
        </w:tc>
        <w:tc>
          <w:tcPr>
            <w:tcW w:w="1375" w:type="pct"/>
            <w:vMerge/>
            <w:vAlign w:val="center"/>
          </w:tcPr>
          <w:p w14:paraId="44B2A0F5" w14:textId="77777777" w:rsidR="003E78AB" w:rsidRDefault="003E78AB">
            <w:pPr>
              <w:spacing w:line="360" w:lineRule="exact"/>
              <w:ind w:firstLineChars="0" w:firstLine="0"/>
              <w:jc w:val="left"/>
              <w:textAlignment w:val="center"/>
              <w:rPr>
                <w:bCs/>
                <w:kern w:val="2"/>
                <w:sz w:val="21"/>
              </w:rPr>
            </w:pPr>
          </w:p>
        </w:tc>
        <w:tc>
          <w:tcPr>
            <w:tcW w:w="438" w:type="pct"/>
            <w:vAlign w:val="center"/>
          </w:tcPr>
          <w:p w14:paraId="13D5C228" w14:textId="77777777" w:rsidR="003E78AB" w:rsidRDefault="00010BF9">
            <w:pPr>
              <w:spacing w:line="360" w:lineRule="exact"/>
              <w:ind w:firstLineChars="0" w:firstLine="0"/>
              <w:jc w:val="center"/>
              <w:textAlignment w:val="center"/>
              <w:rPr>
                <w:bCs/>
                <w:kern w:val="2"/>
                <w:sz w:val="21"/>
              </w:rPr>
            </w:pPr>
            <w:r>
              <w:rPr>
                <w:rFonts w:hint="eastAsia"/>
                <w:bCs/>
              </w:rPr>
              <w:t>相符</w:t>
            </w:r>
          </w:p>
        </w:tc>
      </w:tr>
      <w:tr w:rsidR="003E78AB" w14:paraId="0725AC5D" w14:textId="77777777">
        <w:tc>
          <w:tcPr>
            <w:tcW w:w="3186" w:type="pct"/>
            <w:vAlign w:val="center"/>
          </w:tcPr>
          <w:p w14:paraId="56DD6B36" w14:textId="77777777" w:rsidR="003E78AB" w:rsidRDefault="00010BF9">
            <w:pPr>
              <w:pStyle w:val="aff6"/>
              <w:topLinePunct/>
              <w:jc w:val="both"/>
              <w:rPr>
                <w:bCs/>
              </w:rPr>
            </w:pPr>
            <w:r>
              <w:rPr>
                <w:bCs/>
              </w:rPr>
              <w:t>三、</w:t>
            </w:r>
            <w:r>
              <w:rPr>
                <w:rFonts w:hint="eastAsia"/>
                <w:bCs/>
              </w:rPr>
              <w:t>优化行业结构，推进减污降碳、协同控制。在审批“两高”项目时，不仅确保企业满足基本审批条件，同时督促企业提升项目清洁生产和污染防治、环境风险防控措施。在工程分析时，对能源消耗进行分析。密切关注行业、产业政策变动，走绿色发展道路，采取措施控制“碳排放”。衔接落实有关区域和行业碳达峰行动方案、清洁能源替代、清洁运输、煤炭消费总量控制等政策要求，通过环评工作协同推进减污降碳。</w:t>
            </w:r>
          </w:p>
        </w:tc>
        <w:tc>
          <w:tcPr>
            <w:tcW w:w="1375" w:type="pct"/>
            <w:vAlign w:val="center"/>
          </w:tcPr>
          <w:p w14:paraId="0766CEA9" w14:textId="77777777" w:rsidR="003E78AB" w:rsidRDefault="00010BF9">
            <w:pPr>
              <w:spacing w:line="360" w:lineRule="exact"/>
              <w:ind w:firstLineChars="0" w:firstLine="0"/>
              <w:jc w:val="left"/>
              <w:textAlignment w:val="center"/>
              <w:rPr>
                <w:bCs/>
                <w:kern w:val="2"/>
                <w:sz w:val="21"/>
              </w:rPr>
            </w:pPr>
            <w:r>
              <w:rPr>
                <w:rFonts w:hint="eastAsia"/>
                <w:bCs/>
                <w:kern w:val="2"/>
                <w:sz w:val="21"/>
              </w:rPr>
              <w:t>本项目不在</w:t>
            </w:r>
            <w:r>
              <w:rPr>
                <w:bCs/>
                <w:kern w:val="2"/>
                <w:sz w:val="21"/>
              </w:rPr>
              <w:t>《自治区</w:t>
            </w:r>
            <w:r>
              <w:rPr>
                <w:bCs/>
                <w:kern w:val="2"/>
                <w:sz w:val="21"/>
              </w:rPr>
              <w:t>“</w:t>
            </w:r>
            <w:r>
              <w:rPr>
                <w:bCs/>
                <w:kern w:val="2"/>
                <w:sz w:val="21"/>
              </w:rPr>
              <w:t>两高</w:t>
            </w:r>
            <w:r>
              <w:rPr>
                <w:bCs/>
                <w:kern w:val="2"/>
                <w:sz w:val="21"/>
              </w:rPr>
              <w:t>”</w:t>
            </w:r>
            <w:r>
              <w:rPr>
                <w:bCs/>
                <w:kern w:val="2"/>
                <w:sz w:val="21"/>
              </w:rPr>
              <w:t>项目管理目录（</w:t>
            </w:r>
            <w:r>
              <w:rPr>
                <w:bCs/>
                <w:kern w:val="2"/>
                <w:sz w:val="21"/>
              </w:rPr>
              <w:t>2024</w:t>
            </w:r>
            <w:r>
              <w:rPr>
                <w:bCs/>
                <w:kern w:val="2"/>
                <w:sz w:val="21"/>
              </w:rPr>
              <w:t>年版）》</w:t>
            </w:r>
            <w:r>
              <w:rPr>
                <w:rFonts w:hint="eastAsia"/>
                <w:bCs/>
                <w:kern w:val="2"/>
                <w:sz w:val="21"/>
              </w:rPr>
              <w:t>中</w:t>
            </w:r>
            <w:r>
              <w:rPr>
                <w:bCs/>
                <w:kern w:val="2"/>
                <w:sz w:val="21"/>
              </w:rPr>
              <w:t>。项目采用先进工艺，水耗能耗均控制在国内先进水平，符合产业政策及园区发展定位。</w:t>
            </w:r>
          </w:p>
        </w:tc>
        <w:tc>
          <w:tcPr>
            <w:tcW w:w="438" w:type="pct"/>
            <w:vAlign w:val="center"/>
          </w:tcPr>
          <w:p w14:paraId="0E12ED48" w14:textId="77777777" w:rsidR="003E78AB" w:rsidRDefault="00010BF9">
            <w:pPr>
              <w:spacing w:line="360" w:lineRule="exact"/>
              <w:ind w:firstLineChars="0" w:firstLine="0"/>
              <w:jc w:val="center"/>
              <w:textAlignment w:val="center"/>
              <w:rPr>
                <w:bCs/>
                <w:kern w:val="2"/>
                <w:sz w:val="21"/>
              </w:rPr>
            </w:pPr>
            <w:r>
              <w:rPr>
                <w:rFonts w:hint="eastAsia"/>
                <w:bCs/>
              </w:rPr>
              <w:t>相</w:t>
            </w:r>
            <w:r>
              <w:rPr>
                <w:rFonts w:hint="eastAsia"/>
                <w:bCs/>
              </w:rPr>
              <w:t>符</w:t>
            </w:r>
          </w:p>
        </w:tc>
      </w:tr>
    </w:tbl>
    <w:p w14:paraId="4B523105"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2.8.6.3</w:t>
      </w:r>
      <w:r>
        <w:rPr>
          <w:rFonts w:ascii="Times New Roman" w:hAnsi="Times New Roman"/>
          <w:b w:val="0"/>
        </w:rPr>
        <w:t>与符合性分析《</w:t>
      </w:r>
      <w:bookmarkStart w:id="174" w:name="OLE_LINK45"/>
      <w:r>
        <w:rPr>
          <w:rFonts w:ascii="Times New Roman" w:hAnsi="Times New Roman"/>
          <w:b w:val="0"/>
        </w:rPr>
        <w:t>自治区发展改革委关于严格执行产业政策遏制</w:t>
      </w:r>
      <w:r>
        <w:rPr>
          <w:rFonts w:ascii="Times New Roman" w:hAnsi="Times New Roman"/>
          <w:b w:val="0"/>
        </w:rPr>
        <w:t>“</w:t>
      </w:r>
      <w:r>
        <w:rPr>
          <w:rFonts w:ascii="Times New Roman" w:hAnsi="Times New Roman"/>
          <w:b w:val="0"/>
        </w:rPr>
        <w:t>两高</w:t>
      </w:r>
      <w:r>
        <w:rPr>
          <w:rFonts w:ascii="Times New Roman" w:hAnsi="Times New Roman"/>
          <w:b w:val="0"/>
        </w:rPr>
        <w:t>”</w:t>
      </w:r>
      <w:r>
        <w:rPr>
          <w:rFonts w:ascii="Times New Roman" w:hAnsi="Times New Roman"/>
          <w:b w:val="0"/>
        </w:rPr>
        <w:t>项目盲目发展的通知</w:t>
      </w:r>
      <w:bookmarkEnd w:id="174"/>
      <w:r>
        <w:rPr>
          <w:rFonts w:ascii="Times New Roman" w:hAnsi="Times New Roman"/>
          <w:b w:val="0"/>
        </w:rPr>
        <w:t>》符合性分析</w:t>
      </w:r>
    </w:p>
    <w:p w14:paraId="2B2F605D" w14:textId="77777777" w:rsidR="003E78AB" w:rsidRDefault="00010BF9">
      <w:pPr>
        <w:pStyle w:val="a5"/>
        <w:rPr>
          <w:spacing w:val="-20"/>
          <w:w w:val="90"/>
        </w:rPr>
      </w:pPr>
      <w:r>
        <w:rPr>
          <w:spacing w:val="-20"/>
          <w:w w:val="90"/>
        </w:rPr>
        <w:t>与《自治区发展改革委关于严格执行产业政策遏制</w:t>
      </w:r>
      <w:r>
        <w:rPr>
          <w:spacing w:val="-20"/>
          <w:w w:val="90"/>
        </w:rPr>
        <w:t>“</w:t>
      </w:r>
      <w:r>
        <w:rPr>
          <w:spacing w:val="-20"/>
          <w:w w:val="90"/>
        </w:rPr>
        <w:t>两高</w:t>
      </w:r>
      <w:r>
        <w:rPr>
          <w:spacing w:val="-20"/>
          <w:w w:val="90"/>
        </w:rPr>
        <w:t>”</w:t>
      </w:r>
      <w:r>
        <w:rPr>
          <w:spacing w:val="-20"/>
          <w:w w:val="90"/>
        </w:rPr>
        <w:t>项目盲目发展的通知》符合性分析</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2637"/>
        <w:gridCol w:w="3687"/>
        <w:gridCol w:w="890"/>
      </w:tblGrid>
      <w:tr w:rsidR="003E78AB" w14:paraId="308E0ADC" w14:textId="77777777">
        <w:trPr>
          <w:trHeight w:val="283"/>
          <w:tblHeader/>
          <w:jc w:val="center"/>
        </w:trPr>
        <w:tc>
          <w:tcPr>
            <w:tcW w:w="2279" w:type="pct"/>
            <w:gridSpan w:val="2"/>
            <w:tcMar>
              <w:left w:w="57" w:type="dxa"/>
              <w:right w:w="57" w:type="dxa"/>
            </w:tcMar>
            <w:vAlign w:val="center"/>
          </w:tcPr>
          <w:p w14:paraId="53909791" w14:textId="77777777" w:rsidR="003E78AB" w:rsidRDefault="00010BF9">
            <w:pPr>
              <w:pStyle w:val="aff6"/>
              <w:topLinePunct/>
              <w:rPr>
                <w:b/>
              </w:rPr>
            </w:pPr>
            <w:r>
              <w:rPr>
                <w:b/>
              </w:rPr>
              <w:t>相关要求</w:t>
            </w:r>
          </w:p>
        </w:tc>
        <w:tc>
          <w:tcPr>
            <w:tcW w:w="2190" w:type="pct"/>
            <w:tcMar>
              <w:left w:w="57" w:type="dxa"/>
              <w:right w:w="57" w:type="dxa"/>
            </w:tcMar>
            <w:vAlign w:val="center"/>
          </w:tcPr>
          <w:p w14:paraId="6D136FF6" w14:textId="77777777" w:rsidR="003E78AB" w:rsidRDefault="00010BF9">
            <w:pPr>
              <w:pStyle w:val="aff6"/>
              <w:topLinePunct/>
              <w:rPr>
                <w:b/>
              </w:rPr>
            </w:pPr>
            <w:r>
              <w:rPr>
                <w:b/>
              </w:rPr>
              <w:t>本项目实际情况</w:t>
            </w:r>
          </w:p>
        </w:tc>
        <w:tc>
          <w:tcPr>
            <w:tcW w:w="529" w:type="pct"/>
            <w:tcMar>
              <w:left w:w="57" w:type="dxa"/>
              <w:right w:w="57" w:type="dxa"/>
            </w:tcMar>
            <w:vAlign w:val="center"/>
          </w:tcPr>
          <w:p w14:paraId="1DBB2BDA" w14:textId="77777777" w:rsidR="003E78AB" w:rsidRDefault="00010BF9">
            <w:pPr>
              <w:pStyle w:val="aff6"/>
              <w:topLinePunct/>
              <w:rPr>
                <w:b/>
              </w:rPr>
            </w:pPr>
            <w:r>
              <w:rPr>
                <w:b/>
              </w:rPr>
              <w:t>符合性</w:t>
            </w:r>
          </w:p>
        </w:tc>
      </w:tr>
      <w:tr w:rsidR="003E78AB" w14:paraId="74501CC5" w14:textId="77777777">
        <w:trPr>
          <w:trHeight w:val="283"/>
          <w:jc w:val="center"/>
        </w:trPr>
        <w:tc>
          <w:tcPr>
            <w:tcW w:w="713" w:type="pct"/>
            <w:tcMar>
              <w:left w:w="57" w:type="dxa"/>
              <w:right w:w="57" w:type="dxa"/>
            </w:tcMar>
            <w:vAlign w:val="center"/>
          </w:tcPr>
          <w:p w14:paraId="54436A65" w14:textId="77777777" w:rsidR="003E78AB" w:rsidRDefault="00010BF9">
            <w:pPr>
              <w:pStyle w:val="aff6"/>
              <w:topLinePunct/>
              <w:jc w:val="both"/>
              <w:rPr>
                <w:bCs/>
              </w:rPr>
            </w:pPr>
            <w:r>
              <w:rPr>
                <w:bCs/>
              </w:rPr>
              <w:t>严格投资审批事项管理。</w:t>
            </w:r>
          </w:p>
        </w:tc>
        <w:tc>
          <w:tcPr>
            <w:tcW w:w="1566" w:type="pct"/>
            <w:tcMar>
              <w:left w:w="57" w:type="dxa"/>
              <w:right w:w="57" w:type="dxa"/>
            </w:tcMar>
            <w:vAlign w:val="center"/>
          </w:tcPr>
          <w:p w14:paraId="395581AE" w14:textId="77777777" w:rsidR="003E78AB" w:rsidRDefault="00010BF9">
            <w:pPr>
              <w:pStyle w:val="aff6"/>
              <w:topLinePunct/>
              <w:jc w:val="both"/>
              <w:rPr>
                <w:bCs/>
              </w:rPr>
            </w:pPr>
            <w:r>
              <w:rPr>
                <w:bCs/>
              </w:rPr>
              <w:t>对有明确法律法规依据的审批事项，各地方应在《全国投资项目在线审批监管平台投资审批管理事项统一名称和申请材料清单》（发改投资﹝</w:t>
            </w:r>
            <w:r>
              <w:rPr>
                <w:bCs/>
              </w:rPr>
              <w:t>2019</w:t>
            </w:r>
            <w:r>
              <w:rPr>
                <w:bCs/>
              </w:rPr>
              <w:t>﹞</w:t>
            </w:r>
            <w:r>
              <w:rPr>
                <w:bCs/>
              </w:rPr>
              <w:t>268</w:t>
            </w:r>
            <w:r>
              <w:rPr>
                <w:bCs/>
              </w:rPr>
              <w:t>号）基础上，梳理形成本省区域内统一的投资审批清单和申报材料清单。</w:t>
            </w:r>
          </w:p>
        </w:tc>
        <w:tc>
          <w:tcPr>
            <w:tcW w:w="2190" w:type="pct"/>
            <w:tcMar>
              <w:left w:w="57" w:type="dxa"/>
              <w:right w:w="57" w:type="dxa"/>
            </w:tcMar>
            <w:vAlign w:val="center"/>
          </w:tcPr>
          <w:p w14:paraId="205CB3A6" w14:textId="77777777" w:rsidR="003E78AB" w:rsidRDefault="00010BF9">
            <w:pPr>
              <w:pStyle w:val="aff6"/>
              <w:topLinePunct/>
              <w:jc w:val="both"/>
              <w:rPr>
                <w:bCs/>
              </w:rPr>
            </w:pPr>
            <w:r>
              <w:rPr>
                <w:bCs/>
              </w:rPr>
              <w:t>本项目为新建项目，位于哈密工业园区南部循环经济产业园中的煤化工产业区，行业类别属于</w:t>
            </w:r>
            <w:r>
              <w:rPr>
                <w:bCs/>
              </w:rPr>
              <w:t>“C2669</w:t>
            </w:r>
            <w:r>
              <w:rPr>
                <w:bCs/>
              </w:rPr>
              <w:t>其他专用化学产品制造</w:t>
            </w:r>
            <w:r>
              <w:rPr>
                <w:bCs/>
              </w:rPr>
              <w:t>”</w:t>
            </w:r>
            <w:r>
              <w:rPr>
                <w:bCs/>
              </w:rPr>
              <w:t>，不在《自治区</w:t>
            </w:r>
            <w:r>
              <w:rPr>
                <w:bCs/>
              </w:rPr>
              <w:t>“</w:t>
            </w:r>
            <w:r>
              <w:rPr>
                <w:bCs/>
              </w:rPr>
              <w:t>两高</w:t>
            </w:r>
            <w:r>
              <w:rPr>
                <w:bCs/>
              </w:rPr>
              <w:t>”</w:t>
            </w:r>
            <w:r>
              <w:rPr>
                <w:bCs/>
              </w:rPr>
              <w:t>项目管理目录（</w:t>
            </w:r>
            <w:r>
              <w:rPr>
                <w:bCs/>
              </w:rPr>
              <w:t>2024</w:t>
            </w:r>
            <w:r>
              <w:rPr>
                <w:bCs/>
              </w:rPr>
              <w:t>年版）》中。。本项目已取得了哈密市发展和改革委员会出具的《哈密市企业投资项目登记备案证》（备案代码：</w:t>
            </w:r>
            <w:r>
              <w:rPr>
                <w:bCs/>
              </w:rPr>
              <w:t>2506-650591-04-01-294721</w:t>
            </w:r>
            <w:r>
              <w:rPr>
                <w:bCs/>
              </w:rPr>
              <w:t>）</w:t>
            </w:r>
            <w:r>
              <w:rPr>
                <w:rFonts w:hint="eastAsia"/>
                <w:bCs/>
              </w:rPr>
              <w:t>，后续应按地方要求开展节能审查。</w:t>
            </w:r>
          </w:p>
        </w:tc>
        <w:tc>
          <w:tcPr>
            <w:tcW w:w="529" w:type="pct"/>
            <w:tcMar>
              <w:left w:w="57" w:type="dxa"/>
              <w:right w:w="57" w:type="dxa"/>
            </w:tcMar>
            <w:vAlign w:val="center"/>
          </w:tcPr>
          <w:p w14:paraId="1F64AD11" w14:textId="77777777" w:rsidR="003E78AB" w:rsidRDefault="00010BF9">
            <w:pPr>
              <w:pStyle w:val="aff6"/>
              <w:topLinePunct/>
              <w:rPr>
                <w:bCs/>
              </w:rPr>
            </w:pPr>
            <w:r>
              <w:rPr>
                <w:rFonts w:hint="eastAsia"/>
              </w:rPr>
              <w:t>相符</w:t>
            </w:r>
          </w:p>
        </w:tc>
      </w:tr>
    </w:tbl>
    <w:p w14:paraId="406CA93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2.8.6.</w:t>
      </w:r>
      <w:r>
        <w:rPr>
          <w:rFonts w:ascii="Times New Roman" w:hAnsi="Times New Roman" w:hint="eastAsia"/>
        </w:rPr>
        <w:t>4</w:t>
      </w:r>
      <w:r>
        <w:rPr>
          <w:rFonts w:ascii="Times New Roman" w:hAnsi="Times New Roman"/>
        </w:rPr>
        <w:t>与《新疆维吾尔自治区关于印发自治区减污降碳协同增效实施方案的通知》（新环气候发〔</w:t>
      </w:r>
      <w:r>
        <w:rPr>
          <w:rFonts w:ascii="Times New Roman" w:hAnsi="Times New Roman"/>
        </w:rPr>
        <w:t>2023</w:t>
      </w:r>
      <w:r>
        <w:rPr>
          <w:rFonts w:ascii="Times New Roman" w:hAnsi="Times New Roman"/>
        </w:rPr>
        <w:t>〕</w:t>
      </w:r>
      <w:r>
        <w:rPr>
          <w:rFonts w:ascii="Times New Roman" w:hAnsi="Times New Roman"/>
        </w:rPr>
        <w:t>19</w:t>
      </w:r>
      <w:r>
        <w:rPr>
          <w:rFonts w:ascii="Times New Roman" w:hAnsi="Times New Roman"/>
        </w:rPr>
        <w:t>号）符合性分析</w:t>
      </w:r>
    </w:p>
    <w:p w14:paraId="23A4F30F" w14:textId="77777777" w:rsidR="003E78AB" w:rsidRDefault="00010BF9">
      <w:pPr>
        <w:ind w:firstLine="480"/>
      </w:pPr>
      <w:r>
        <w:t>本项目与《新疆维吾尔自治区关于印发自治区减污降碳协同增效实施方案的通知》（新环气候发〔</w:t>
      </w:r>
      <w:r>
        <w:t>2023</w:t>
      </w:r>
      <w:r>
        <w:t>〕</w:t>
      </w:r>
      <w:r>
        <w:t>19</w:t>
      </w:r>
      <w:r>
        <w:t>号）相符性分析见下表。</w:t>
      </w:r>
    </w:p>
    <w:p w14:paraId="0A0D49E3" w14:textId="77777777" w:rsidR="003E78AB" w:rsidRDefault="00010BF9">
      <w:pPr>
        <w:pStyle w:val="a5"/>
      </w:pPr>
      <w:r>
        <w:t>与新环气候发〔</w:t>
      </w:r>
      <w:r>
        <w:t>2023</w:t>
      </w:r>
      <w:r>
        <w:t>〕</w:t>
      </w:r>
      <w:r>
        <w:t>19</w:t>
      </w:r>
      <w:r>
        <w:t>号符合性分析</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7"/>
        <w:gridCol w:w="4246"/>
        <w:gridCol w:w="1965"/>
        <w:gridCol w:w="843"/>
      </w:tblGrid>
      <w:tr w:rsidR="003E78AB" w14:paraId="2B504C7D" w14:textId="77777777">
        <w:trPr>
          <w:trHeight w:val="341"/>
          <w:tblHeader/>
          <w:jc w:val="center"/>
        </w:trPr>
        <w:tc>
          <w:tcPr>
            <w:tcW w:w="806" w:type="pct"/>
            <w:shd w:val="clear" w:color="auto" w:fill="auto"/>
            <w:tcMar>
              <w:left w:w="0" w:type="dxa"/>
              <w:right w:w="0" w:type="dxa"/>
            </w:tcMar>
            <w:vAlign w:val="center"/>
          </w:tcPr>
          <w:p w14:paraId="3AD84F39" w14:textId="77777777" w:rsidR="003E78AB" w:rsidRDefault="00010BF9">
            <w:pPr>
              <w:pStyle w:val="afff"/>
              <w:widowControl w:val="0"/>
              <w:topLinePunct/>
              <w:rPr>
                <w:rFonts w:cs="Times New Roman"/>
                <w:b/>
                <w:bCs/>
                <w:color w:val="auto"/>
              </w:rPr>
            </w:pPr>
            <w:r>
              <w:rPr>
                <w:rFonts w:cs="Times New Roman"/>
                <w:b/>
                <w:bCs/>
                <w:color w:val="auto"/>
              </w:rPr>
              <w:t>项目</w:t>
            </w:r>
          </w:p>
        </w:tc>
        <w:tc>
          <w:tcPr>
            <w:tcW w:w="2523" w:type="pct"/>
            <w:shd w:val="clear" w:color="auto" w:fill="auto"/>
            <w:tcMar>
              <w:left w:w="0" w:type="dxa"/>
              <w:right w:w="0" w:type="dxa"/>
            </w:tcMar>
            <w:vAlign w:val="center"/>
          </w:tcPr>
          <w:p w14:paraId="17641BAB" w14:textId="77777777" w:rsidR="003E78AB" w:rsidRDefault="00010BF9">
            <w:pPr>
              <w:pStyle w:val="afff"/>
              <w:widowControl w:val="0"/>
              <w:topLinePunct/>
              <w:rPr>
                <w:rFonts w:cs="Times New Roman"/>
                <w:b/>
                <w:bCs/>
                <w:color w:val="auto"/>
              </w:rPr>
            </w:pPr>
            <w:r>
              <w:rPr>
                <w:rFonts w:cs="Times New Roman"/>
                <w:b/>
                <w:bCs/>
                <w:color w:val="auto"/>
              </w:rPr>
              <w:t>具体要求</w:t>
            </w:r>
          </w:p>
        </w:tc>
        <w:tc>
          <w:tcPr>
            <w:tcW w:w="1168" w:type="pct"/>
            <w:shd w:val="clear" w:color="auto" w:fill="auto"/>
            <w:tcMar>
              <w:left w:w="0" w:type="dxa"/>
              <w:right w:w="0" w:type="dxa"/>
            </w:tcMar>
            <w:vAlign w:val="center"/>
          </w:tcPr>
          <w:p w14:paraId="7686406A" w14:textId="77777777" w:rsidR="003E78AB" w:rsidRDefault="00010BF9">
            <w:pPr>
              <w:pStyle w:val="afff"/>
              <w:widowControl w:val="0"/>
              <w:topLinePunct/>
              <w:rPr>
                <w:rFonts w:cs="Times New Roman"/>
                <w:b/>
                <w:bCs/>
                <w:color w:val="auto"/>
              </w:rPr>
            </w:pPr>
            <w:r>
              <w:rPr>
                <w:rFonts w:cs="Times New Roman"/>
                <w:b/>
                <w:bCs/>
                <w:color w:val="auto"/>
              </w:rPr>
              <w:t>项目相关内容</w:t>
            </w:r>
          </w:p>
        </w:tc>
        <w:tc>
          <w:tcPr>
            <w:tcW w:w="501" w:type="pct"/>
            <w:shd w:val="clear" w:color="auto" w:fill="auto"/>
            <w:tcMar>
              <w:left w:w="0" w:type="dxa"/>
              <w:right w:w="0" w:type="dxa"/>
            </w:tcMar>
            <w:vAlign w:val="center"/>
          </w:tcPr>
          <w:p w14:paraId="176225C9" w14:textId="77777777" w:rsidR="003E78AB" w:rsidRDefault="00010BF9">
            <w:pPr>
              <w:pStyle w:val="afff"/>
              <w:widowControl w:val="0"/>
              <w:topLinePunct/>
              <w:rPr>
                <w:rFonts w:cs="Times New Roman"/>
                <w:b/>
                <w:bCs/>
                <w:color w:val="auto"/>
              </w:rPr>
            </w:pPr>
            <w:r>
              <w:rPr>
                <w:rFonts w:cs="Times New Roman"/>
                <w:b/>
                <w:bCs/>
                <w:color w:val="auto"/>
              </w:rPr>
              <w:t>符合性</w:t>
            </w:r>
          </w:p>
        </w:tc>
      </w:tr>
      <w:tr w:rsidR="003E78AB" w14:paraId="777D1259" w14:textId="77777777">
        <w:trPr>
          <w:trHeight w:val="341"/>
          <w:jc w:val="center"/>
        </w:trPr>
        <w:tc>
          <w:tcPr>
            <w:tcW w:w="806" w:type="pct"/>
            <w:shd w:val="clear" w:color="auto" w:fill="auto"/>
            <w:tcMar>
              <w:left w:w="0" w:type="dxa"/>
              <w:right w:w="0" w:type="dxa"/>
            </w:tcMar>
            <w:vAlign w:val="center"/>
          </w:tcPr>
          <w:p w14:paraId="4293214A" w14:textId="77777777" w:rsidR="003E78AB" w:rsidRDefault="00010BF9">
            <w:pPr>
              <w:pStyle w:val="afff"/>
              <w:widowControl w:val="0"/>
              <w:topLinePunct/>
              <w:jc w:val="left"/>
              <w:rPr>
                <w:rFonts w:cs="Times New Roman"/>
                <w:color w:val="auto"/>
              </w:rPr>
            </w:pPr>
            <w:r>
              <w:rPr>
                <w:rFonts w:cs="Times New Roman"/>
                <w:color w:val="auto"/>
              </w:rPr>
              <w:t>(</w:t>
            </w:r>
            <w:r>
              <w:rPr>
                <w:rFonts w:cs="Times New Roman"/>
                <w:color w:val="auto"/>
              </w:rPr>
              <w:t>四</w:t>
            </w:r>
            <w:r>
              <w:rPr>
                <w:rFonts w:cs="Times New Roman"/>
                <w:color w:val="auto"/>
              </w:rPr>
              <w:t>)</w:t>
            </w:r>
            <w:r>
              <w:rPr>
                <w:rFonts w:cs="Times New Roman"/>
                <w:color w:val="auto"/>
              </w:rPr>
              <w:t>加强生态环境分区管控</w:t>
            </w:r>
          </w:p>
        </w:tc>
        <w:tc>
          <w:tcPr>
            <w:tcW w:w="2523" w:type="pct"/>
            <w:shd w:val="clear" w:color="auto" w:fill="auto"/>
            <w:tcMar>
              <w:left w:w="0" w:type="dxa"/>
              <w:right w:w="0" w:type="dxa"/>
            </w:tcMar>
            <w:vAlign w:val="center"/>
          </w:tcPr>
          <w:p w14:paraId="2170F178" w14:textId="77777777" w:rsidR="003E78AB" w:rsidRDefault="00010BF9">
            <w:pPr>
              <w:pStyle w:val="afff"/>
              <w:widowControl w:val="0"/>
              <w:topLinePunct/>
              <w:jc w:val="left"/>
              <w:rPr>
                <w:rFonts w:cs="Times New Roman"/>
                <w:color w:val="auto"/>
              </w:rPr>
            </w:pPr>
            <w:r>
              <w:rPr>
                <w:rFonts w:cs="Times New Roman"/>
                <w:color w:val="auto"/>
              </w:rPr>
              <w:t>严格落实城市化地区、农产品主产区减污降碳政策。衔接国土空间规划分区和用途管制要求，通过试点，逐步探索将碳达峰碳中和要求纳入</w:t>
            </w:r>
            <w:r>
              <w:rPr>
                <w:rFonts w:cs="Times New Roman"/>
                <w:color w:val="auto"/>
              </w:rPr>
              <w:t>“</w:t>
            </w:r>
            <w:r>
              <w:rPr>
                <w:rFonts w:cs="Times New Roman"/>
                <w:color w:val="auto"/>
              </w:rPr>
              <w:t>三线一单</w:t>
            </w:r>
            <w:r>
              <w:rPr>
                <w:rFonts w:cs="Times New Roman"/>
                <w:color w:val="auto"/>
              </w:rPr>
              <w:t>”(</w:t>
            </w:r>
            <w:r>
              <w:rPr>
                <w:rFonts w:cs="Times New Roman"/>
                <w:color w:val="auto"/>
              </w:rPr>
              <w:t>生态保护红线、环境质量底线资源利用上线和生态环境准入清单</w:t>
            </w:r>
            <w:r>
              <w:rPr>
                <w:rFonts w:cs="Times New Roman"/>
                <w:color w:val="auto"/>
              </w:rPr>
              <w:t>)</w:t>
            </w:r>
            <w:r>
              <w:rPr>
                <w:rFonts w:cs="Times New Roman"/>
                <w:color w:val="auto"/>
              </w:rPr>
              <w:t>分区管控体系，建立差别化的生态环境准入清单，细化生态环境管控要求。增强区域环境质量改善目标及资源利用红线对能源和产业布局的引导约束作用，严格落实以区域环境质量改善和碳达峰目标为导向的产业准入及退出清单制度。大气污染防治重点区域严禁新增钢铁、水泥熟料、平板玻璃、煤化工产能，严控新增炼油产能，其他地区钢铁、水泥熟料、平板</w:t>
            </w:r>
            <w:r>
              <w:rPr>
                <w:rFonts w:cs="Times New Roman"/>
                <w:color w:val="auto"/>
              </w:rPr>
              <w:t>玻璃、炼油、电解铝等新建、扩建项目严格实施产能等量或减量置换要求。加大结构调整和布局优化力度，严格落实《产业结构调整指导目录》淘汰限制类标准、单位产品能耗限额标准、污染物排放等国家及自治区最新政策标准，加快推动重点区域、重点流域落后产能淘汰和过剩产能压减退出。依法加快城市建成区重污染企业搬迁改造或关闭退出。</w:t>
            </w:r>
          </w:p>
        </w:tc>
        <w:tc>
          <w:tcPr>
            <w:tcW w:w="1168" w:type="pct"/>
            <w:shd w:val="clear" w:color="auto" w:fill="auto"/>
            <w:tcMar>
              <w:left w:w="0" w:type="dxa"/>
              <w:right w:w="0" w:type="dxa"/>
            </w:tcMar>
            <w:vAlign w:val="center"/>
          </w:tcPr>
          <w:p w14:paraId="04EC5D6B" w14:textId="77777777" w:rsidR="003E78AB" w:rsidRDefault="00010BF9">
            <w:pPr>
              <w:pStyle w:val="afff"/>
              <w:widowControl w:val="0"/>
              <w:topLinePunct/>
              <w:jc w:val="left"/>
              <w:rPr>
                <w:rFonts w:cs="Times New Roman"/>
                <w:color w:val="auto"/>
              </w:rPr>
            </w:pPr>
            <w:r>
              <w:rPr>
                <w:rFonts w:cs="Times New Roman"/>
                <w:color w:val="auto"/>
              </w:rPr>
              <w:t>项目选址于哈密工业园南部循环经济产业园</w:t>
            </w:r>
            <w:r>
              <w:rPr>
                <w:rFonts w:cs="Times New Roman" w:hint="eastAsia"/>
                <w:color w:val="auto"/>
              </w:rPr>
              <w:t>化工产业区</w:t>
            </w:r>
            <w:r>
              <w:rPr>
                <w:rFonts w:cs="Times New Roman"/>
                <w:color w:val="auto"/>
              </w:rPr>
              <w:t>，严格遵循园区</w:t>
            </w:r>
            <w:r>
              <w:rPr>
                <w:rFonts w:cs="Times New Roman"/>
                <w:color w:val="auto"/>
              </w:rPr>
              <w:t>“</w:t>
            </w:r>
            <w:r>
              <w:rPr>
                <w:rFonts w:cs="Times New Roman"/>
                <w:color w:val="auto"/>
              </w:rPr>
              <w:t>三线一单</w:t>
            </w:r>
            <w:r>
              <w:rPr>
                <w:rFonts w:cs="Times New Roman"/>
                <w:color w:val="auto"/>
              </w:rPr>
              <w:t>”</w:t>
            </w:r>
            <w:r>
              <w:rPr>
                <w:rFonts w:cs="Times New Roman"/>
                <w:color w:val="auto"/>
              </w:rPr>
              <w:t>管控要求，未涉及生态保护红线及环境敏感区。</w:t>
            </w:r>
          </w:p>
        </w:tc>
        <w:tc>
          <w:tcPr>
            <w:tcW w:w="501" w:type="pct"/>
            <w:shd w:val="clear" w:color="auto" w:fill="auto"/>
            <w:tcMar>
              <w:left w:w="0" w:type="dxa"/>
              <w:right w:w="0" w:type="dxa"/>
            </w:tcMar>
            <w:vAlign w:val="center"/>
          </w:tcPr>
          <w:p w14:paraId="7AC876A8" w14:textId="77777777" w:rsidR="003E78AB" w:rsidRDefault="00010BF9">
            <w:pPr>
              <w:pStyle w:val="afff"/>
              <w:widowControl w:val="0"/>
              <w:topLinePunct/>
              <w:rPr>
                <w:rFonts w:cs="Times New Roman"/>
                <w:color w:val="auto"/>
              </w:rPr>
            </w:pPr>
            <w:r>
              <w:rPr>
                <w:rFonts w:cs="Times New Roman" w:hint="eastAsia"/>
                <w:color w:val="auto"/>
              </w:rPr>
              <w:t>相符</w:t>
            </w:r>
          </w:p>
        </w:tc>
      </w:tr>
      <w:tr w:rsidR="003E78AB" w14:paraId="1DADFE59" w14:textId="77777777">
        <w:trPr>
          <w:trHeight w:val="341"/>
          <w:jc w:val="center"/>
        </w:trPr>
        <w:tc>
          <w:tcPr>
            <w:tcW w:w="806" w:type="pct"/>
            <w:shd w:val="clear" w:color="auto" w:fill="auto"/>
            <w:tcMar>
              <w:left w:w="0" w:type="dxa"/>
              <w:right w:w="0" w:type="dxa"/>
            </w:tcMar>
            <w:vAlign w:val="center"/>
          </w:tcPr>
          <w:p w14:paraId="1435E256" w14:textId="77777777" w:rsidR="003E78AB" w:rsidRDefault="00010BF9">
            <w:pPr>
              <w:pStyle w:val="afff"/>
              <w:widowControl w:val="0"/>
              <w:topLinePunct/>
              <w:jc w:val="left"/>
              <w:rPr>
                <w:rFonts w:cs="Times New Roman"/>
                <w:color w:val="auto"/>
              </w:rPr>
            </w:pPr>
            <w:r>
              <w:rPr>
                <w:rFonts w:cs="Times New Roman"/>
                <w:color w:val="auto"/>
              </w:rPr>
              <w:t>(</w:t>
            </w:r>
            <w:r>
              <w:rPr>
                <w:rFonts w:cs="Times New Roman"/>
                <w:color w:val="auto"/>
              </w:rPr>
              <w:t>五</w:t>
            </w:r>
            <w:r>
              <w:rPr>
                <w:rFonts w:cs="Times New Roman"/>
                <w:color w:val="auto"/>
              </w:rPr>
              <w:t>)</w:t>
            </w:r>
            <w:r>
              <w:rPr>
                <w:rFonts w:cs="Times New Roman"/>
                <w:color w:val="auto"/>
              </w:rPr>
              <w:t>加强生态环境准入管理</w:t>
            </w:r>
          </w:p>
        </w:tc>
        <w:tc>
          <w:tcPr>
            <w:tcW w:w="2523" w:type="pct"/>
            <w:shd w:val="clear" w:color="auto" w:fill="auto"/>
            <w:tcMar>
              <w:left w:w="0" w:type="dxa"/>
              <w:right w:w="0" w:type="dxa"/>
            </w:tcMar>
            <w:vAlign w:val="center"/>
          </w:tcPr>
          <w:p w14:paraId="7238B669" w14:textId="77777777" w:rsidR="003E78AB" w:rsidRDefault="00010BF9">
            <w:pPr>
              <w:pStyle w:val="afff"/>
              <w:widowControl w:val="0"/>
              <w:topLinePunct/>
              <w:jc w:val="left"/>
              <w:rPr>
                <w:rFonts w:cs="Times New Roman"/>
                <w:color w:val="auto"/>
              </w:rPr>
            </w:pPr>
            <w:r>
              <w:rPr>
                <w:rFonts w:cs="Times New Roman"/>
                <w:color w:val="auto"/>
              </w:rPr>
              <w:t>坚决遏制高耗能、高排放、低水平项目盲目发展，新</w:t>
            </w:r>
            <w:r>
              <w:rPr>
                <w:rFonts w:cs="Times New Roman"/>
                <w:color w:val="auto"/>
              </w:rPr>
              <w:t>(</w:t>
            </w:r>
            <w:r>
              <w:rPr>
                <w:rFonts w:cs="Times New Roman"/>
                <w:color w:val="auto"/>
              </w:rPr>
              <w:t>改、扩建高耗能、高排放项目，要严格落实国家、自治区产业规划、产业政策、</w:t>
            </w:r>
            <w:r>
              <w:rPr>
                <w:rFonts w:cs="Times New Roman"/>
                <w:color w:val="auto"/>
              </w:rPr>
              <w:t>“</w:t>
            </w:r>
            <w:r>
              <w:rPr>
                <w:rFonts w:cs="Times New Roman"/>
                <w:color w:val="auto"/>
              </w:rPr>
              <w:t>三线一单</w:t>
            </w:r>
            <w:r>
              <w:rPr>
                <w:rFonts w:cs="Times New Roman"/>
                <w:color w:val="auto"/>
              </w:rPr>
              <w:t>”</w:t>
            </w:r>
            <w:r>
              <w:rPr>
                <w:rFonts w:cs="Times New Roman"/>
                <w:color w:val="auto"/>
              </w:rPr>
              <w:t>、环评审批、取水许可审批、节能审查以及产能置换、煤炭消费减量替代、污染物区域削减替代等相关要求，采取先进适用的工艺技术和装备，提升能耗准入标准，能耗、物耗、水耗要达到清洁生产先进水平。严格落实国家优化生态环境影响相关评价方法和准入要求的措施，推动在沙漠、戈壁、荒漠地区加快规划建设大型风电光伏基地项目。</w:t>
            </w:r>
          </w:p>
        </w:tc>
        <w:tc>
          <w:tcPr>
            <w:tcW w:w="1168" w:type="pct"/>
            <w:shd w:val="clear" w:color="auto" w:fill="auto"/>
            <w:tcMar>
              <w:left w:w="0" w:type="dxa"/>
              <w:right w:w="0" w:type="dxa"/>
            </w:tcMar>
            <w:vAlign w:val="center"/>
          </w:tcPr>
          <w:p w14:paraId="04BACAB1" w14:textId="77777777" w:rsidR="003E78AB" w:rsidRDefault="00010BF9">
            <w:pPr>
              <w:pStyle w:val="afff"/>
              <w:widowControl w:val="0"/>
              <w:topLinePunct/>
              <w:jc w:val="left"/>
              <w:rPr>
                <w:rFonts w:cs="Times New Roman"/>
                <w:color w:val="auto"/>
              </w:rPr>
            </w:pPr>
            <w:r>
              <w:rPr>
                <w:rFonts w:cs="Times New Roman"/>
                <w:color w:val="auto"/>
              </w:rPr>
              <w:t>项目不属于高耗能、高排放、低水平项目，项目建设符合产业规划、产业政策、</w:t>
            </w:r>
            <w:r>
              <w:rPr>
                <w:rFonts w:cs="Times New Roman"/>
                <w:color w:val="auto"/>
              </w:rPr>
              <w:t>“</w:t>
            </w:r>
            <w:r>
              <w:rPr>
                <w:rFonts w:cs="Times New Roman"/>
                <w:color w:val="auto"/>
              </w:rPr>
              <w:t>三线一单</w:t>
            </w:r>
            <w:r>
              <w:rPr>
                <w:rFonts w:cs="Times New Roman"/>
                <w:color w:val="auto"/>
              </w:rPr>
              <w:t>”</w:t>
            </w:r>
            <w:r>
              <w:rPr>
                <w:rFonts w:cs="Times New Roman"/>
                <w:color w:val="auto"/>
              </w:rPr>
              <w:t>，并按要求开展环评、节能审查和污染物区域削减</w:t>
            </w:r>
            <w:r>
              <w:rPr>
                <w:rFonts w:cs="Times New Roman"/>
                <w:color w:val="auto"/>
              </w:rPr>
              <w:t>替代，单位产品水耗、物耗、能耗达清洁生产先进水平，并采用密闭化生产设备及高效废气处理系统。</w:t>
            </w:r>
          </w:p>
        </w:tc>
        <w:tc>
          <w:tcPr>
            <w:tcW w:w="501" w:type="pct"/>
            <w:shd w:val="clear" w:color="auto" w:fill="auto"/>
            <w:tcMar>
              <w:left w:w="0" w:type="dxa"/>
              <w:right w:w="0" w:type="dxa"/>
            </w:tcMar>
            <w:vAlign w:val="center"/>
          </w:tcPr>
          <w:p w14:paraId="0CFE9530" w14:textId="77777777" w:rsidR="003E78AB" w:rsidRDefault="00010BF9">
            <w:pPr>
              <w:pStyle w:val="afff"/>
              <w:widowControl w:val="0"/>
              <w:topLinePunct/>
              <w:rPr>
                <w:rFonts w:cs="Times New Roman"/>
                <w:color w:val="auto"/>
              </w:rPr>
            </w:pPr>
            <w:r>
              <w:rPr>
                <w:rFonts w:cs="Times New Roman"/>
                <w:color w:val="auto"/>
              </w:rPr>
              <w:t>符合</w:t>
            </w:r>
          </w:p>
        </w:tc>
      </w:tr>
      <w:tr w:rsidR="003E78AB" w14:paraId="0282E117" w14:textId="77777777">
        <w:trPr>
          <w:trHeight w:val="341"/>
          <w:jc w:val="center"/>
        </w:trPr>
        <w:tc>
          <w:tcPr>
            <w:tcW w:w="806" w:type="pct"/>
            <w:shd w:val="clear" w:color="auto" w:fill="auto"/>
            <w:tcMar>
              <w:left w:w="0" w:type="dxa"/>
              <w:right w:w="0" w:type="dxa"/>
            </w:tcMar>
            <w:vAlign w:val="center"/>
          </w:tcPr>
          <w:p w14:paraId="370360BE" w14:textId="77777777" w:rsidR="003E78AB" w:rsidRDefault="00010BF9">
            <w:pPr>
              <w:pStyle w:val="afff"/>
              <w:widowControl w:val="0"/>
              <w:topLinePunct/>
              <w:jc w:val="left"/>
              <w:rPr>
                <w:rFonts w:cs="Times New Roman"/>
                <w:color w:val="auto"/>
              </w:rPr>
            </w:pPr>
            <w:r>
              <w:rPr>
                <w:rFonts w:cs="Times New Roman"/>
                <w:color w:val="auto"/>
              </w:rPr>
              <w:t>(</w:t>
            </w:r>
            <w:r>
              <w:rPr>
                <w:rFonts w:cs="Times New Roman"/>
                <w:color w:val="auto"/>
              </w:rPr>
              <w:t>八</w:t>
            </w:r>
            <w:r>
              <w:rPr>
                <w:rFonts w:cs="Times New Roman"/>
                <w:color w:val="auto"/>
              </w:rPr>
              <w:t>)</w:t>
            </w:r>
            <w:r>
              <w:rPr>
                <w:rFonts w:cs="Times New Roman"/>
                <w:color w:val="auto"/>
              </w:rPr>
              <w:t>推进工业领域协同增效</w:t>
            </w:r>
          </w:p>
        </w:tc>
        <w:tc>
          <w:tcPr>
            <w:tcW w:w="2523" w:type="pct"/>
            <w:shd w:val="clear" w:color="auto" w:fill="auto"/>
            <w:tcMar>
              <w:left w:w="0" w:type="dxa"/>
              <w:right w:w="0" w:type="dxa"/>
            </w:tcMar>
            <w:vAlign w:val="center"/>
          </w:tcPr>
          <w:p w14:paraId="17A32CA5" w14:textId="77777777" w:rsidR="003E78AB" w:rsidRDefault="00010BF9">
            <w:pPr>
              <w:pStyle w:val="afff"/>
              <w:widowControl w:val="0"/>
              <w:topLinePunct/>
              <w:jc w:val="left"/>
              <w:rPr>
                <w:rFonts w:cs="Times New Roman"/>
                <w:color w:val="auto"/>
              </w:rPr>
            </w:pPr>
            <w:r>
              <w:rPr>
                <w:rFonts w:cs="Times New Roman"/>
                <w:color w:val="auto"/>
              </w:rPr>
              <w:t>全面推行绿色制造，实施绿色制造工程，支持企业创建绿色工厂、绿色供应链和开发绿色产品，推动绿色园区建设，培育绿色制造示范单位，持续推进绿色制造体系建设。推动资源高效循环利用，实施工业固废源头减量和高值化利用工程，深入推进工业资源综合利用基地建设。积极开展能效对标，推动重点企业能源管理体系建设，开展重点行业能效领跑者行动。依法实施</w:t>
            </w:r>
            <w:r>
              <w:rPr>
                <w:rFonts w:cs="Times New Roman"/>
                <w:color w:val="auto"/>
              </w:rPr>
              <w:t>“</w:t>
            </w:r>
            <w:r>
              <w:rPr>
                <w:rFonts w:cs="Times New Roman"/>
                <w:color w:val="auto"/>
              </w:rPr>
              <w:t>双超双有高耗能</w:t>
            </w:r>
            <w:r>
              <w:rPr>
                <w:rFonts w:cs="Times New Roman"/>
                <w:color w:val="auto"/>
              </w:rPr>
              <w:t>”</w:t>
            </w:r>
            <w:r>
              <w:rPr>
                <w:rFonts w:cs="Times New Roman"/>
                <w:color w:val="auto"/>
              </w:rPr>
              <w:t>企业强制性清洁生产审核，开展重点行业清</w:t>
            </w:r>
            <w:r>
              <w:rPr>
                <w:rFonts w:cs="Times New Roman"/>
                <w:color w:val="auto"/>
              </w:rPr>
              <w:t>洁生产改造，推动一批重点企业达到领先水平。</w:t>
            </w:r>
            <w:r>
              <w:rPr>
                <w:rFonts w:cs="Times New Roman"/>
                <w:color w:val="auto"/>
              </w:rPr>
              <w:t>……</w:t>
            </w:r>
            <w:r>
              <w:rPr>
                <w:rFonts w:cs="Times New Roman"/>
                <w:color w:val="auto"/>
              </w:rPr>
              <w:t>石化、化工行业优化产品与能源结构，着力推动减油增化，推进炼化一体化发展。电解铝行业提高再生铝比例，推广高效低碳铝电解技术，加快用能转型和循环再生，统筹安全和节能稳步推进自备电向网电转化。推动冶炼副产能源资源与建材、石化、化工行业深度耦合发展。鼓励重点行业企业探索多污染物和温室气体协同控制技术工艺，开展协同创新示范。在煤化工、石油石化等行业推动碳捕集、利用与封存示范项目建设。</w:t>
            </w:r>
          </w:p>
        </w:tc>
        <w:tc>
          <w:tcPr>
            <w:tcW w:w="1168" w:type="pct"/>
            <w:shd w:val="clear" w:color="auto" w:fill="auto"/>
            <w:tcMar>
              <w:left w:w="0" w:type="dxa"/>
              <w:right w:w="0" w:type="dxa"/>
            </w:tcMar>
            <w:vAlign w:val="center"/>
          </w:tcPr>
          <w:p w14:paraId="69F484B0" w14:textId="77777777" w:rsidR="003E78AB" w:rsidRDefault="00010BF9">
            <w:pPr>
              <w:pStyle w:val="afff"/>
              <w:widowControl w:val="0"/>
              <w:topLinePunct/>
              <w:jc w:val="left"/>
              <w:rPr>
                <w:rFonts w:cs="Times New Roman"/>
                <w:color w:val="auto"/>
              </w:rPr>
            </w:pPr>
            <w:r>
              <w:rPr>
                <w:rFonts w:cs="Times New Roman"/>
                <w:color w:val="auto"/>
              </w:rPr>
              <w:t>本项目按绿色工厂标准建设，按管理要求开展清洁生产审核工作，本次环评已开展碳排放评价。</w:t>
            </w:r>
          </w:p>
        </w:tc>
        <w:tc>
          <w:tcPr>
            <w:tcW w:w="501" w:type="pct"/>
            <w:shd w:val="clear" w:color="auto" w:fill="auto"/>
            <w:tcMar>
              <w:left w:w="0" w:type="dxa"/>
              <w:right w:w="0" w:type="dxa"/>
            </w:tcMar>
            <w:vAlign w:val="center"/>
          </w:tcPr>
          <w:p w14:paraId="64935077" w14:textId="77777777" w:rsidR="003E78AB" w:rsidRDefault="00010BF9">
            <w:pPr>
              <w:pStyle w:val="afff"/>
              <w:widowControl w:val="0"/>
              <w:topLinePunct/>
              <w:rPr>
                <w:rFonts w:cs="Times New Roman"/>
                <w:color w:val="auto"/>
              </w:rPr>
            </w:pPr>
            <w:r>
              <w:rPr>
                <w:rFonts w:cs="Times New Roman"/>
                <w:color w:val="auto"/>
              </w:rPr>
              <w:t>符合</w:t>
            </w:r>
          </w:p>
        </w:tc>
      </w:tr>
    </w:tbl>
    <w:p w14:paraId="7201EC7F" w14:textId="77777777" w:rsidR="003E78AB" w:rsidRDefault="00010BF9">
      <w:pPr>
        <w:ind w:firstLine="480"/>
      </w:pPr>
      <w:r>
        <w:rPr>
          <w:kern w:val="2"/>
        </w:rPr>
        <w:t>由上表可知，本项目建设符合</w:t>
      </w:r>
      <w:r>
        <w:t>《新疆维吾尔自治区关于印发自治区减污降碳协同增效实施方案的通知》（新环气候发〔</w:t>
      </w:r>
      <w:r>
        <w:t>2023</w:t>
      </w:r>
      <w:r>
        <w:t>〕</w:t>
      </w:r>
      <w:r>
        <w:t>19</w:t>
      </w:r>
      <w:r>
        <w:t>号）</w:t>
      </w:r>
      <w:r>
        <w:rPr>
          <w:kern w:val="2"/>
        </w:rPr>
        <w:t>要求。</w:t>
      </w:r>
    </w:p>
    <w:p w14:paraId="4EDAA65F" w14:textId="77777777" w:rsidR="003E78AB" w:rsidRDefault="00010BF9">
      <w:pPr>
        <w:pStyle w:val="31"/>
        <w:keepNext w:val="0"/>
        <w:keepLines w:val="0"/>
        <w:topLinePunct/>
        <w:spacing w:before="156"/>
        <w:rPr>
          <w:rFonts w:cs="Times New Roman"/>
        </w:rPr>
      </w:pPr>
      <w:r>
        <w:rPr>
          <w:rFonts w:cs="Times New Roman"/>
        </w:rPr>
        <w:t>2.8.7</w:t>
      </w:r>
      <w:r>
        <w:rPr>
          <w:rFonts w:cs="Times New Roman"/>
        </w:rPr>
        <w:t>选址合理性分析</w:t>
      </w:r>
    </w:p>
    <w:p w14:paraId="352D5A0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2.8.7.1</w:t>
      </w:r>
      <w:r>
        <w:rPr>
          <w:rFonts w:ascii="Times New Roman" w:hAnsi="Times New Roman"/>
        </w:rPr>
        <w:t>地理位置、土地利用现状及周边环境基本情况</w:t>
      </w:r>
    </w:p>
    <w:p w14:paraId="27E2F437" w14:textId="77777777" w:rsidR="003E78AB" w:rsidRDefault="00010BF9">
      <w:pPr>
        <w:ind w:firstLine="480"/>
        <w:rPr>
          <w:kern w:val="2"/>
        </w:rPr>
      </w:pPr>
      <w:r>
        <w:rPr>
          <w:kern w:val="2"/>
        </w:rPr>
        <w:t>本项目位于哈密市高新技术产业开发区南部循环经济产业园，项目用地性质为三类工业用地，本次为新建项目新征用地，项目南邻友谊大道、东邻松花江路、西邻黄河路、北侧</w:t>
      </w:r>
      <w:r>
        <w:rPr>
          <w:kern w:val="2"/>
        </w:rPr>
        <w:t>250m</w:t>
      </w:r>
      <w:r>
        <w:rPr>
          <w:kern w:val="2"/>
        </w:rPr>
        <w:t>为星光大道，四周均为空地。经现场调查，</w:t>
      </w:r>
      <w:r>
        <w:rPr>
          <w:bCs/>
          <w:kern w:val="2"/>
        </w:rPr>
        <w:t>项目区周边</w:t>
      </w:r>
      <w:r>
        <w:rPr>
          <w:rFonts w:hint="eastAsia"/>
          <w:bCs/>
          <w:kern w:val="2"/>
        </w:rPr>
        <w:t>5</w:t>
      </w:r>
      <w:r>
        <w:rPr>
          <w:bCs/>
          <w:kern w:val="2"/>
        </w:rPr>
        <w:t>km</w:t>
      </w:r>
      <w:r>
        <w:rPr>
          <w:bCs/>
          <w:kern w:val="2"/>
        </w:rPr>
        <w:t>范围内</w:t>
      </w:r>
      <w:r>
        <w:rPr>
          <w:rFonts w:hint="eastAsia"/>
          <w:bCs/>
          <w:kern w:val="2"/>
        </w:rPr>
        <w:t>涉及</w:t>
      </w:r>
      <w:r>
        <w:rPr>
          <w:rFonts w:hint="eastAsia"/>
          <w:bCs/>
          <w:kern w:val="2"/>
        </w:rPr>
        <w:t>10</w:t>
      </w:r>
      <w:r>
        <w:rPr>
          <w:rFonts w:hint="eastAsia"/>
          <w:bCs/>
          <w:kern w:val="2"/>
        </w:rPr>
        <w:t>处集中居住区和</w:t>
      </w:r>
      <w:r>
        <w:rPr>
          <w:bCs/>
          <w:kern w:val="2"/>
        </w:rPr>
        <w:t>南湖乡地下水源地</w:t>
      </w:r>
      <w:r>
        <w:rPr>
          <w:kern w:val="2"/>
        </w:rPr>
        <w:t>，未占用基本农田、草地等，选址未</w:t>
      </w:r>
      <w:r>
        <w:rPr>
          <w:kern w:val="2"/>
        </w:rPr>
        <w:t>选在人口密集点、饮用水水源保护区、重要湿地等敏感区域，评价区内无国家法律、法规、行政规章及规划确定或县级以上人民政府批准的饮用水水源地保护区、自然保护区、风景名胜区、历史遗迹、生态功能保护区等需要特殊保护的地区，区域内无特殊自然观赏价值较高的景观，属于非敏感区。按</w:t>
      </w:r>
      <w:r>
        <w:rPr>
          <w:rFonts w:hint="eastAsia"/>
          <w:kern w:val="2"/>
        </w:rPr>
        <w:t>生态环境部</w:t>
      </w:r>
      <w:r>
        <w:rPr>
          <w:kern w:val="2"/>
        </w:rPr>
        <w:t>制定的《建设项目环境保护分类管理名录》中关于环境敏感因素的界定原则，经调查本项目选址地区不属于特殊保护地区、社会关注区和特殊地貌景观区，也无重点保护生态品种及濒危生物物种、文物古迹等。哈密市主导风向为东北风，本项目所处位置在哈密市居民区的</w:t>
      </w:r>
      <w:r>
        <w:rPr>
          <w:kern w:val="2"/>
        </w:rPr>
        <w:t>下风向，运行期对周边环境影响较小。</w:t>
      </w:r>
    </w:p>
    <w:p w14:paraId="48BFB4A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2.8.7.2</w:t>
      </w:r>
      <w:r>
        <w:rPr>
          <w:rFonts w:ascii="Times New Roman" w:hAnsi="Times New Roman"/>
        </w:rPr>
        <w:t>项目所在园区基础设施状况及项目依托可行性</w:t>
      </w:r>
    </w:p>
    <w:p w14:paraId="7D81455F" w14:textId="77777777" w:rsidR="003E78AB" w:rsidRDefault="00010BF9">
      <w:pPr>
        <w:ind w:firstLine="480"/>
        <w:rPr>
          <w:kern w:val="2"/>
        </w:rPr>
      </w:pPr>
      <w:r>
        <w:rPr>
          <w:kern w:val="2"/>
        </w:rPr>
        <w:t>经核实，哈密市高新技术产业开发区南部循环经济产业园供电、供水、排水、通讯等基础设施完善，可满足项目需求，不会影响项目投产运营；项目区生活、生产废水经处理后均回收利用，无废水外排；园区一般工业固体废物填埋场已建成并投入运行且相关环保手续齐全，本项目建成后依托可行。</w:t>
      </w:r>
    </w:p>
    <w:p w14:paraId="634F5940" w14:textId="77777777" w:rsidR="003E78AB" w:rsidRDefault="00010BF9">
      <w:pPr>
        <w:ind w:firstLine="480"/>
        <w:rPr>
          <w:kern w:val="2"/>
        </w:rPr>
      </w:pPr>
      <w:r>
        <w:rPr>
          <w:kern w:val="2"/>
        </w:rPr>
        <w:t>项目区南邻友谊大道、东邻松花江路、西邻黄河路、北侧</w:t>
      </w:r>
      <w:r>
        <w:rPr>
          <w:kern w:val="2"/>
        </w:rPr>
        <w:t>250m</w:t>
      </w:r>
      <w:r>
        <w:rPr>
          <w:kern w:val="2"/>
        </w:rPr>
        <w:t>为星光大道，通往主干道中途不经过居民区等环境敏感点，项目区周边交通便利，可为项目运行提供便利条件。</w:t>
      </w:r>
    </w:p>
    <w:p w14:paraId="761FE34F" w14:textId="77777777" w:rsidR="003E78AB" w:rsidRDefault="00010BF9">
      <w:pPr>
        <w:ind w:firstLine="480"/>
        <w:rPr>
          <w:kern w:val="2"/>
        </w:rPr>
      </w:pPr>
      <w:r>
        <w:rPr>
          <w:kern w:val="2"/>
        </w:rPr>
        <w:t>综上，本项目选址符合新疆维吾尔自治区重点行业中选址要求，符合</w:t>
      </w:r>
      <w:r>
        <w:t>《哈密工业园区产业发展规划（</w:t>
      </w:r>
      <w:r>
        <w:t>2019-2035</w:t>
      </w:r>
      <w:r>
        <w:t>年）》</w:t>
      </w:r>
      <w:r>
        <w:t>及规划环评和审查意见、</w:t>
      </w:r>
      <w:r>
        <w:t>《</w:t>
      </w:r>
      <w:r>
        <w:rPr>
          <w:rFonts w:hint="eastAsia"/>
        </w:rPr>
        <w:t>哈密高新区化工产业集中区总体规划</w:t>
      </w:r>
      <w:r>
        <w:rPr>
          <w:rFonts w:hint="eastAsia"/>
        </w:rPr>
        <w:t>2023-2035</w:t>
      </w:r>
      <w:r>
        <w:rPr>
          <w:rFonts w:hint="eastAsia"/>
        </w:rPr>
        <w:t>年</w:t>
      </w:r>
      <w:r>
        <w:rPr>
          <w:rFonts w:hint="eastAsia"/>
        </w:rPr>
        <w:t>)</w:t>
      </w:r>
      <w:r>
        <w:t>）》</w:t>
      </w:r>
      <w:r>
        <w:t>及规划环评和审</w:t>
      </w:r>
      <w:r>
        <w:rPr>
          <w:rFonts w:hint="eastAsia"/>
        </w:rPr>
        <w:t>查意见</w:t>
      </w:r>
      <w:r>
        <w:rPr>
          <w:kern w:val="2"/>
        </w:rPr>
        <w:t>中有关选址的要求，项目正常生产对环境的影响不大，环境风险水平可接受，结合环境影响预测评价结果综合分析，厂址选择是合理可行的。</w:t>
      </w:r>
    </w:p>
    <w:p w14:paraId="40603F97" w14:textId="77777777" w:rsidR="003E78AB" w:rsidRDefault="00010BF9">
      <w:pPr>
        <w:pStyle w:val="24"/>
        <w:keepNext w:val="0"/>
        <w:keepLines w:val="0"/>
        <w:topLinePunct/>
        <w:spacing w:before="156"/>
        <w:rPr>
          <w:rFonts w:cs="Times New Roman"/>
        </w:rPr>
      </w:pPr>
      <w:bookmarkStart w:id="175" w:name="_Toc29677"/>
      <w:r>
        <w:rPr>
          <w:rFonts w:cs="Times New Roman"/>
        </w:rPr>
        <w:t>2.9</w:t>
      </w:r>
      <w:r>
        <w:rPr>
          <w:rFonts w:cs="Times New Roman"/>
        </w:rPr>
        <w:t>评价内容与评价重点</w:t>
      </w:r>
      <w:bookmarkEnd w:id="153"/>
      <w:bookmarkEnd w:id="154"/>
      <w:bookmarkEnd w:id="155"/>
      <w:bookmarkEnd w:id="156"/>
      <w:bookmarkEnd w:id="157"/>
      <w:bookmarkEnd w:id="158"/>
      <w:bookmarkEnd w:id="159"/>
      <w:bookmarkEnd w:id="175"/>
    </w:p>
    <w:p w14:paraId="4774614A" w14:textId="77777777" w:rsidR="003E78AB" w:rsidRDefault="00010BF9">
      <w:pPr>
        <w:spacing w:line="360" w:lineRule="auto"/>
        <w:ind w:firstLineChars="0" w:firstLine="0"/>
        <w:outlineLvl w:val="2"/>
        <w:rPr>
          <w:b/>
          <w:kern w:val="2"/>
          <w:sz w:val="28"/>
          <w:szCs w:val="20"/>
        </w:rPr>
      </w:pPr>
      <w:bookmarkStart w:id="176" w:name="_Toc410564943"/>
      <w:bookmarkStart w:id="177" w:name="_Toc11958"/>
      <w:bookmarkStart w:id="178" w:name="_Toc414619133"/>
      <w:r>
        <w:rPr>
          <w:b/>
          <w:kern w:val="2"/>
          <w:sz w:val="28"/>
          <w:szCs w:val="20"/>
        </w:rPr>
        <w:t>2.9.1</w:t>
      </w:r>
      <w:r>
        <w:rPr>
          <w:b/>
          <w:kern w:val="2"/>
          <w:sz w:val="28"/>
          <w:szCs w:val="20"/>
        </w:rPr>
        <w:t>评价内容</w:t>
      </w:r>
      <w:bookmarkEnd w:id="176"/>
      <w:bookmarkEnd w:id="177"/>
      <w:bookmarkEnd w:id="178"/>
    </w:p>
    <w:p w14:paraId="56C54121" w14:textId="77777777" w:rsidR="003E78AB" w:rsidRDefault="00010BF9">
      <w:pPr>
        <w:pStyle w:val="B0"/>
        <w:widowControl w:val="0"/>
        <w:ind w:firstLine="480"/>
        <w:rPr>
          <w:rFonts w:cs="Times New Roman"/>
        </w:rPr>
      </w:pPr>
      <w:r>
        <w:rPr>
          <w:rFonts w:cs="Times New Roman"/>
        </w:rPr>
        <w:t>本次评价工作的主要内容为：工程分析、环境质量现状调查及评价、施工期环境影响评价、运营期环境影响评价、污染防治措施可行性论证分析、清洁生产分析与总量控制、公众参与、环境风险评价等；此外，产业政策及规划符合性分析、环境管理与环境监测计划及环境经济损益分析等也将在报告书中予以论述。</w:t>
      </w:r>
      <w:bookmarkStart w:id="179" w:name="_Toc410564944"/>
      <w:bookmarkStart w:id="180" w:name="_Toc17023"/>
      <w:bookmarkStart w:id="181" w:name="_Toc414619134"/>
    </w:p>
    <w:p w14:paraId="68606262" w14:textId="77777777" w:rsidR="003E78AB" w:rsidRDefault="00010BF9">
      <w:pPr>
        <w:spacing w:line="360" w:lineRule="auto"/>
        <w:ind w:firstLineChars="0" w:firstLine="0"/>
        <w:outlineLvl w:val="2"/>
        <w:rPr>
          <w:b/>
          <w:kern w:val="2"/>
          <w:sz w:val="28"/>
          <w:szCs w:val="20"/>
        </w:rPr>
      </w:pPr>
      <w:r>
        <w:rPr>
          <w:b/>
          <w:kern w:val="2"/>
          <w:sz w:val="28"/>
          <w:szCs w:val="20"/>
        </w:rPr>
        <w:t>2.9.2</w:t>
      </w:r>
      <w:r>
        <w:rPr>
          <w:b/>
          <w:kern w:val="2"/>
          <w:sz w:val="28"/>
          <w:szCs w:val="20"/>
        </w:rPr>
        <w:t>评价重点</w:t>
      </w:r>
      <w:bookmarkEnd w:id="179"/>
      <w:bookmarkEnd w:id="180"/>
      <w:bookmarkEnd w:id="181"/>
    </w:p>
    <w:p w14:paraId="54AB29CF" w14:textId="77777777" w:rsidR="003E78AB" w:rsidRDefault="00010BF9">
      <w:pPr>
        <w:pStyle w:val="B0"/>
        <w:widowControl w:val="0"/>
        <w:ind w:firstLine="480"/>
        <w:rPr>
          <w:rFonts w:cs="Times New Roman"/>
        </w:rPr>
      </w:pPr>
      <w:r>
        <w:rPr>
          <w:rFonts w:cs="Times New Roman"/>
        </w:rPr>
        <w:t>在污染源调查、综合分析的基础上，把工程分析、大气环境影响评价、污染防治对策、环境风险评价作为评价重点。</w:t>
      </w:r>
    </w:p>
    <w:p w14:paraId="456FCCBB" w14:textId="77777777" w:rsidR="003E78AB" w:rsidRDefault="003E78AB">
      <w:pPr>
        <w:ind w:firstLine="480"/>
        <w:sectPr w:rsidR="003E78AB">
          <w:pgSz w:w="11906" w:h="16838"/>
          <w:pgMar w:top="1440" w:right="1800" w:bottom="1440" w:left="1800" w:header="851" w:footer="992" w:gutter="0"/>
          <w:cols w:space="425"/>
          <w:docGrid w:type="lines" w:linePitch="312"/>
        </w:sectPr>
      </w:pPr>
    </w:p>
    <w:p w14:paraId="6D0DF64D" w14:textId="77777777" w:rsidR="003E78AB" w:rsidRDefault="00010BF9">
      <w:pPr>
        <w:pStyle w:val="10"/>
        <w:keepNext w:val="0"/>
        <w:numPr>
          <w:ilvl w:val="0"/>
          <w:numId w:val="26"/>
        </w:numPr>
        <w:spacing w:before="120" w:after="120" w:line="520" w:lineRule="exact"/>
        <w:jc w:val="center"/>
        <w:rPr>
          <w:rFonts w:eastAsia="黑体"/>
          <w:bCs/>
          <w:snapToGrid w:val="0"/>
          <w:spacing w:val="2"/>
          <w:kern w:val="44"/>
          <w:sz w:val="35"/>
          <w:szCs w:val="35"/>
        </w:rPr>
      </w:pPr>
      <w:r>
        <w:rPr>
          <w:rFonts w:eastAsia="黑体"/>
          <w:bCs/>
          <w:snapToGrid w:val="0"/>
          <w:spacing w:val="2"/>
          <w:kern w:val="44"/>
          <w:sz w:val="35"/>
          <w:szCs w:val="35"/>
        </w:rPr>
        <w:t xml:space="preserve"> </w:t>
      </w:r>
      <w:bookmarkStart w:id="182" w:name="_Toc29198"/>
      <w:r>
        <w:rPr>
          <w:rFonts w:eastAsia="黑体"/>
          <w:bCs/>
          <w:snapToGrid w:val="0"/>
          <w:spacing w:val="2"/>
          <w:kern w:val="44"/>
          <w:sz w:val="35"/>
          <w:szCs w:val="35"/>
        </w:rPr>
        <w:t>工程分析</w:t>
      </w:r>
      <w:bookmarkEnd w:id="182"/>
    </w:p>
    <w:p w14:paraId="4BAED60B" w14:textId="77777777" w:rsidR="003E78AB" w:rsidRDefault="00010BF9">
      <w:pPr>
        <w:pStyle w:val="24"/>
        <w:keepNext w:val="0"/>
        <w:keepLines w:val="0"/>
        <w:topLinePunct/>
        <w:spacing w:before="120"/>
        <w:rPr>
          <w:rFonts w:cs="Times New Roman"/>
        </w:rPr>
      </w:pPr>
      <w:bookmarkStart w:id="183" w:name="_Toc17391"/>
      <w:bookmarkStart w:id="184" w:name="_Toc8157"/>
      <w:r>
        <w:rPr>
          <w:rFonts w:cs="Times New Roman"/>
        </w:rPr>
        <w:t>3.1</w:t>
      </w:r>
      <w:r>
        <w:rPr>
          <w:rFonts w:cs="Times New Roman"/>
        </w:rPr>
        <w:t>建设项目概况</w:t>
      </w:r>
      <w:bookmarkEnd w:id="183"/>
      <w:bookmarkEnd w:id="184"/>
    </w:p>
    <w:p w14:paraId="0D563765" w14:textId="77777777" w:rsidR="003E78AB" w:rsidRDefault="00010BF9">
      <w:pPr>
        <w:pStyle w:val="31"/>
        <w:keepNext w:val="0"/>
        <w:keepLines w:val="0"/>
        <w:topLinePunct/>
        <w:spacing w:before="120"/>
        <w:rPr>
          <w:rFonts w:cs="Times New Roman"/>
        </w:rPr>
      </w:pPr>
      <w:bookmarkStart w:id="185" w:name="_Toc18773"/>
      <w:bookmarkStart w:id="186" w:name="_Toc1060"/>
      <w:bookmarkStart w:id="187" w:name="_Toc3042"/>
      <w:bookmarkStart w:id="188" w:name="_Toc32214"/>
      <w:bookmarkStart w:id="189" w:name="_Toc30572"/>
      <w:bookmarkStart w:id="190" w:name="_Toc19019"/>
      <w:bookmarkStart w:id="191" w:name="_Toc25315"/>
      <w:bookmarkStart w:id="192" w:name="_Toc24311"/>
      <w:bookmarkStart w:id="193" w:name="_Toc20691"/>
      <w:bookmarkStart w:id="194" w:name="_Toc15883"/>
      <w:bookmarkStart w:id="195" w:name="_Toc18323"/>
      <w:bookmarkStart w:id="196" w:name="_Toc23431"/>
      <w:r>
        <w:rPr>
          <w:rFonts w:cs="Times New Roman"/>
        </w:rPr>
        <w:t>3.1.1</w:t>
      </w:r>
      <w:r>
        <w:rPr>
          <w:rFonts w:cs="Times New Roman"/>
        </w:rPr>
        <w:t>基本情况</w:t>
      </w:r>
      <w:bookmarkEnd w:id="185"/>
      <w:bookmarkEnd w:id="186"/>
      <w:bookmarkEnd w:id="187"/>
      <w:bookmarkEnd w:id="188"/>
      <w:bookmarkEnd w:id="189"/>
      <w:bookmarkEnd w:id="190"/>
      <w:bookmarkEnd w:id="191"/>
      <w:bookmarkEnd w:id="192"/>
      <w:bookmarkEnd w:id="193"/>
      <w:bookmarkEnd w:id="194"/>
      <w:bookmarkEnd w:id="195"/>
      <w:bookmarkEnd w:id="196"/>
    </w:p>
    <w:p w14:paraId="3F97D789"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1</w:t>
      </w:r>
      <w:r>
        <w:rPr>
          <w:rFonts w:cs="Times New Roman"/>
          <w:sz w:val="24"/>
        </w:rPr>
        <w:t>）项目名称：</w:t>
      </w:r>
      <w:r>
        <w:rPr>
          <w:rFonts w:cs="Times New Roman" w:hint="eastAsia"/>
          <w:sz w:val="24"/>
        </w:rPr>
        <w:t>星辰新能</w:t>
      </w:r>
      <w:r>
        <w:rPr>
          <w:rFonts w:cs="Times New Roman" w:hint="eastAsia"/>
          <w:sz w:val="24"/>
        </w:rPr>
        <w:t>(</w:t>
      </w:r>
      <w:r>
        <w:rPr>
          <w:rFonts w:cs="Times New Roman" w:hint="eastAsia"/>
          <w:sz w:val="24"/>
        </w:rPr>
        <w:t>哈密</w:t>
      </w:r>
      <w:r>
        <w:rPr>
          <w:rFonts w:cs="Times New Roman" w:hint="eastAsia"/>
          <w:sz w:val="24"/>
        </w:rPr>
        <w:t>)</w:t>
      </w:r>
      <w:r>
        <w:rPr>
          <w:rFonts w:cs="Times New Roman" w:hint="eastAsia"/>
          <w:sz w:val="24"/>
        </w:rPr>
        <w:t>科技有限公司</w:t>
      </w:r>
      <w:r>
        <w:rPr>
          <w:rFonts w:cs="Times New Roman"/>
          <w:sz w:val="24"/>
        </w:rPr>
        <w:t>高活性全钒液流电池电解液生产项目（一期）</w:t>
      </w:r>
    </w:p>
    <w:p w14:paraId="3F34854D"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2</w:t>
      </w:r>
      <w:r>
        <w:rPr>
          <w:rFonts w:cs="Times New Roman"/>
          <w:sz w:val="24"/>
        </w:rPr>
        <w:t>）建设性质：新建</w:t>
      </w:r>
    </w:p>
    <w:p w14:paraId="5CEAAF57"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3</w:t>
      </w:r>
      <w:r>
        <w:rPr>
          <w:rFonts w:cs="Times New Roman"/>
          <w:sz w:val="24"/>
        </w:rPr>
        <w:t>）项目建设单位：</w:t>
      </w:r>
      <w:r>
        <w:rPr>
          <w:rFonts w:cs="Times New Roman" w:hint="eastAsia"/>
          <w:sz w:val="24"/>
        </w:rPr>
        <w:t>星辰新能</w:t>
      </w:r>
      <w:r>
        <w:rPr>
          <w:rFonts w:cs="Times New Roman" w:hint="eastAsia"/>
          <w:sz w:val="24"/>
        </w:rPr>
        <w:t>(</w:t>
      </w:r>
      <w:r>
        <w:rPr>
          <w:rFonts w:cs="Times New Roman" w:hint="eastAsia"/>
          <w:sz w:val="24"/>
        </w:rPr>
        <w:t>哈密</w:t>
      </w:r>
      <w:r>
        <w:rPr>
          <w:rFonts w:cs="Times New Roman" w:hint="eastAsia"/>
          <w:sz w:val="24"/>
        </w:rPr>
        <w:t>)</w:t>
      </w:r>
      <w:r>
        <w:rPr>
          <w:rFonts w:cs="Times New Roman" w:hint="eastAsia"/>
          <w:sz w:val="24"/>
        </w:rPr>
        <w:t>科技有限公司</w:t>
      </w:r>
    </w:p>
    <w:p w14:paraId="32558AAD"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4</w:t>
      </w:r>
      <w:r>
        <w:rPr>
          <w:rFonts w:cs="Times New Roman"/>
          <w:sz w:val="24"/>
        </w:rPr>
        <w:t>）国民经济行业类别：</w:t>
      </w:r>
      <w:r>
        <w:rPr>
          <w:rFonts w:cs="Times New Roman"/>
          <w:kern w:val="0"/>
          <w:sz w:val="24"/>
          <w:szCs w:val="24"/>
        </w:rPr>
        <w:t>C2669</w:t>
      </w:r>
      <w:r>
        <w:rPr>
          <w:rFonts w:cs="Times New Roman"/>
          <w:kern w:val="0"/>
          <w:sz w:val="24"/>
          <w:szCs w:val="24"/>
        </w:rPr>
        <w:t>其他专用化学产品制造</w:t>
      </w:r>
    </w:p>
    <w:p w14:paraId="16B5E22C"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5</w:t>
      </w:r>
      <w:r>
        <w:rPr>
          <w:rFonts w:cs="Times New Roman"/>
          <w:sz w:val="24"/>
        </w:rPr>
        <w:t>）建设地点：本项目位于新疆维吾尔自治区哈密市高新技术产业开发区南部循环经济产业园区。厂区北侧为空地，南侧为友谊大道，东西两侧为园区道路。项目地理中心坐标：</w:t>
      </w:r>
      <w:r>
        <w:rPr>
          <w:rFonts w:cs="Times New Roman"/>
          <w:sz w:val="24"/>
        </w:rPr>
        <w:t>93°25′11.500″E</w:t>
      </w:r>
      <w:r>
        <w:rPr>
          <w:rFonts w:cs="Times New Roman"/>
          <w:sz w:val="24"/>
        </w:rPr>
        <w:t>，</w:t>
      </w:r>
      <w:r>
        <w:rPr>
          <w:rFonts w:cs="Times New Roman"/>
          <w:sz w:val="24"/>
        </w:rPr>
        <w:t>42°41′35.672″N</w:t>
      </w:r>
      <w:r>
        <w:rPr>
          <w:rFonts w:cs="Times New Roman"/>
          <w:sz w:val="24"/>
        </w:rPr>
        <w:t>。项目地</w:t>
      </w:r>
    </w:p>
    <w:p w14:paraId="5AB264DC" w14:textId="77777777" w:rsidR="003E78AB" w:rsidRDefault="00010BF9">
      <w:pPr>
        <w:pStyle w:val="aff2"/>
        <w:topLinePunct/>
        <w:spacing w:line="520" w:lineRule="exact"/>
        <w:ind w:firstLine="480"/>
        <w:rPr>
          <w:rFonts w:cs="Times New Roman"/>
          <w:sz w:val="24"/>
        </w:rPr>
      </w:pPr>
      <w:r>
        <w:rPr>
          <w:rFonts w:cs="Times New Roman"/>
          <w:sz w:val="24"/>
        </w:rPr>
        <w:t>理位置见附图</w:t>
      </w:r>
      <w:r>
        <w:rPr>
          <w:rFonts w:cs="Times New Roman"/>
          <w:sz w:val="24"/>
        </w:rPr>
        <w:t>1</w:t>
      </w:r>
      <w:r>
        <w:rPr>
          <w:rFonts w:cs="Times New Roman"/>
          <w:sz w:val="24"/>
        </w:rPr>
        <w:t>，项目四至关系图见附图</w:t>
      </w:r>
      <w:r>
        <w:rPr>
          <w:rFonts w:cs="Times New Roman"/>
          <w:sz w:val="24"/>
        </w:rPr>
        <w:t>2</w:t>
      </w:r>
      <w:r>
        <w:rPr>
          <w:rFonts w:cs="Times New Roman"/>
          <w:sz w:val="24"/>
        </w:rPr>
        <w:t>。</w:t>
      </w:r>
    </w:p>
    <w:p w14:paraId="08D43294"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6</w:t>
      </w:r>
      <w:r>
        <w:rPr>
          <w:rFonts w:cs="Times New Roman"/>
          <w:sz w:val="24"/>
        </w:rPr>
        <w:t>）项目投资及资金来源：一期投资</w:t>
      </w:r>
      <w:r>
        <w:rPr>
          <w:rFonts w:cs="Times New Roman"/>
          <w:sz w:val="24"/>
        </w:rPr>
        <w:t>34125.20</w:t>
      </w:r>
      <w:r>
        <w:rPr>
          <w:rFonts w:cs="Times New Roman"/>
          <w:sz w:val="24"/>
        </w:rPr>
        <w:t>万元。</w:t>
      </w:r>
    </w:p>
    <w:p w14:paraId="4FA50565"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7</w:t>
      </w:r>
      <w:r>
        <w:rPr>
          <w:rFonts w:cs="Times New Roman"/>
          <w:sz w:val="24"/>
        </w:rPr>
        <w:t>）占地面积：占地</w:t>
      </w:r>
      <w:r>
        <w:rPr>
          <w:rFonts w:cs="Times New Roman"/>
          <w:sz w:val="24"/>
        </w:rPr>
        <w:t>76022.77m</w:t>
      </w:r>
      <w:r>
        <w:rPr>
          <w:rFonts w:cs="Times New Roman"/>
          <w:sz w:val="24"/>
          <w:vertAlign w:val="superscript"/>
        </w:rPr>
        <w:t>2</w:t>
      </w:r>
      <w:r>
        <w:rPr>
          <w:rFonts w:cs="Times New Roman"/>
          <w:sz w:val="24"/>
        </w:rPr>
        <w:t>。</w:t>
      </w:r>
    </w:p>
    <w:p w14:paraId="08CCE549"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8</w:t>
      </w:r>
      <w:r>
        <w:rPr>
          <w:rFonts w:cs="Times New Roman"/>
          <w:sz w:val="24"/>
        </w:rPr>
        <w:t>）劳动定员和工作制度：新增劳动定员为</w:t>
      </w:r>
      <w:r>
        <w:rPr>
          <w:rFonts w:cs="Times New Roman"/>
          <w:sz w:val="24"/>
        </w:rPr>
        <w:t>94</w:t>
      </w:r>
      <w:r>
        <w:rPr>
          <w:rFonts w:cs="Times New Roman"/>
          <w:sz w:val="24"/>
        </w:rPr>
        <w:t>人，实行三班运转制，每天生产</w:t>
      </w:r>
      <w:r>
        <w:rPr>
          <w:rFonts w:cs="Times New Roman"/>
          <w:sz w:val="24"/>
        </w:rPr>
        <w:t>24h</w:t>
      </w:r>
      <w:r>
        <w:rPr>
          <w:rFonts w:cs="Times New Roman"/>
          <w:sz w:val="24"/>
        </w:rPr>
        <w:t>，年工作</w:t>
      </w:r>
      <w:r>
        <w:rPr>
          <w:rFonts w:cs="Times New Roman"/>
          <w:sz w:val="24"/>
        </w:rPr>
        <w:t>330d</w:t>
      </w:r>
      <w:r>
        <w:rPr>
          <w:rFonts w:cs="Times New Roman"/>
          <w:sz w:val="24"/>
        </w:rPr>
        <w:t>。</w:t>
      </w:r>
    </w:p>
    <w:p w14:paraId="3784E315" w14:textId="77777777" w:rsidR="003E78AB" w:rsidRDefault="00010BF9">
      <w:pPr>
        <w:pStyle w:val="31"/>
        <w:keepNext w:val="0"/>
        <w:keepLines w:val="0"/>
        <w:topLinePunct/>
        <w:spacing w:before="120"/>
        <w:rPr>
          <w:rFonts w:cs="Times New Roman"/>
        </w:rPr>
      </w:pPr>
      <w:r>
        <w:rPr>
          <w:rFonts w:cs="Times New Roman"/>
        </w:rPr>
        <w:t>3.1.2</w:t>
      </w:r>
      <w:r>
        <w:rPr>
          <w:rFonts w:cs="Times New Roman"/>
        </w:rPr>
        <w:t>项目组成</w:t>
      </w:r>
    </w:p>
    <w:p w14:paraId="00087400" w14:textId="77777777" w:rsidR="003E78AB" w:rsidRDefault="00010BF9">
      <w:pPr>
        <w:pStyle w:val="aff2"/>
        <w:topLinePunct/>
        <w:spacing w:line="520" w:lineRule="exact"/>
        <w:ind w:firstLine="480"/>
        <w:rPr>
          <w:rFonts w:cs="Times New Roman"/>
          <w:sz w:val="24"/>
        </w:rPr>
      </w:pPr>
      <w:r>
        <w:rPr>
          <w:rFonts w:cs="Times New Roman"/>
          <w:sz w:val="24"/>
        </w:rPr>
        <w:t>本项目包含</w:t>
      </w:r>
      <w:r>
        <w:rPr>
          <w:rFonts w:cs="Times New Roman"/>
          <w:sz w:val="24"/>
        </w:rPr>
        <w:t>2</w:t>
      </w:r>
      <w:r>
        <w:rPr>
          <w:rFonts w:cs="Times New Roman"/>
          <w:sz w:val="24"/>
        </w:rPr>
        <w:t>条生产线，每条生产线高活性全钒液流电池电解液年产能均为</w:t>
      </w:r>
      <w:r>
        <w:rPr>
          <w:rFonts w:cs="Times New Roman"/>
          <w:sz w:val="24"/>
        </w:rPr>
        <w:t>2.5</w:t>
      </w:r>
      <w:r>
        <w:rPr>
          <w:rFonts w:cs="Times New Roman"/>
          <w:sz w:val="24"/>
        </w:rPr>
        <w:t>万</w:t>
      </w:r>
      <w:r>
        <w:rPr>
          <w:rFonts w:cs="Times New Roman"/>
          <w:sz w:val="24"/>
        </w:rPr>
        <w:t>m</w:t>
      </w:r>
      <w:r>
        <w:rPr>
          <w:rFonts w:cs="Times New Roman"/>
          <w:sz w:val="24"/>
          <w:vertAlign w:val="superscript"/>
        </w:rPr>
        <w:t>3</w:t>
      </w:r>
      <w:r>
        <w:rPr>
          <w:rFonts w:cs="Times New Roman"/>
          <w:sz w:val="24"/>
        </w:rPr>
        <w:t>，总计</w:t>
      </w:r>
      <w:bookmarkStart w:id="197" w:name="OLE_LINK26"/>
      <w:r>
        <w:rPr>
          <w:rFonts w:cs="Times New Roman"/>
          <w:sz w:val="24"/>
        </w:rPr>
        <w:t>年产</w:t>
      </w:r>
      <w:r>
        <w:rPr>
          <w:rFonts w:cs="Times New Roman"/>
          <w:sz w:val="24"/>
        </w:rPr>
        <w:t>5</w:t>
      </w:r>
      <w:r>
        <w:rPr>
          <w:rFonts w:cs="Times New Roman"/>
          <w:sz w:val="24"/>
        </w:rPr>
        <w:t>万</w:t>
      </w:r>
      <w:r>
        <w:rPr>
          <w:rFonts w:cs="Times New Roman"/>
          <w:sz w:val="24"/>
        </w:rPr>
        <w:t>m</w:t>
      </w:r>
      <w:r>
        <w:rPr>
          <w:rFonts w:cs="Times New Roman"/>
          <w:sz w:val="24"/>
          <w:vertAlign w:val="superscript"/>
        </w:rPr>
        <w:t>3</w:t>
      </w:r>
      <w:r>
        <w:rPr>
          <w:rFonts w:cs="Times New Roman"/>
          <w:sz w:val="24"/>
        </w:rPr>
        <w:t>高活性全钒液流电池电解液</w:t>
      </w:r>
      <w:bookmarkEnd w:id="197"/>
      <w:r>
        <w:rPr>
          <w:rFonts w:cs="Times New Roman"/>
          <w:sz w:val="24"/>
        </w:rPr>
        <w:t>。主要建设内容包括研发中心、动力车间、生产车间一、生产车间二、丙类仓库一、丙类仓库二、机修车间、液体库、环保设施及应急设施等。</w:t>
      </w:r>
    </w:p>
    <w:p w14:paraId="5F56CF88" w14:textId="77777777" w:rsidR="003E78AB" w:rsidRDefault="00010BF9">
      <w:pPr>
        <w:pStyle w:val="a1"/>
        <w:spacing w:line="520" w:lineRule="exact"/>
        <w:rPr>
          <w:spacing w:val="-1"/>
        </w:rPr>
      </w:pPr>
      <w:r>
        <w:rPr>
          <w:spacing w:val="-1"/>
        </w:rPr>
        <w:t>项目组成及建设内容一览表</w:t>
      </w:r>
    </w:p>
    <w:tbl>
      <w:tblPr>
        <w:tblW w:w="4998" w:type="pct"/>
        <w:tblLook w:val="04A0" w:firstRow="1" w:lastRow="0" w:firstColumn="1" w:lastColumn="0" w:noHBand="0" w:noVBand="1"/>
      </w:tblPr>
      <w:tblGrid>
        <w:gridCol w:w="1085"/>
        <w:gridCol w:w="1085"/>
        <w:gridCol w:w="1085"/>
        <w:gridCol w:w="4326"/>
        <w:gridCol w:w="852"/>
      </w:tblGrid>
      <w:tr w:rsidR="003E78AB" w14:paraId="33D459C6" w14:textId="77777777">
        <w:trPr>
          <w:trHeight w:val="575"/>
          <w:tblHeader/>
        </w:trPr>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482B4" w14:textId="77777777" w:rsidR="003E78AB" w:rsidRDefault="00010BF9">
            <w:pPr>
              <w:spacing w:line="360" w:lineRule="exact"/>
              <w:ind w:firstLineChars="0" w:firstLine="0"/>
              <w:jc w:val="center"/>
              <w:textAlignment w:val="center"/>
              <w:rPr>
                <w:b/>
                <w:bCs/>
                <w:sz w:val="21"/>
                <w:szCs w:val="21"/>
              </w:rPr>
            </w:pPr>
            <w:r>
              <w:rPr>
                <w:b/>
                <w:bCs/>
                <w:sz w:val="21"/>
                <w:szCs w:val="21"/>
                <w:lang w:bidi="ar"/>
              </w:rPr>
              <w:t>工程类别</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F702E4" w14:textId="77777777" w:rsidR="003E78AB" w:rsidRDefault="00010BF9">
            <w:pPr>
              <w:spacing w:line="360" w:lineRule="exact"/>
              <w:ind w:firstLineChars="0" w:firstLine="0"/>
              <w:jc w:val="center"/>
              <w:textAlignment w:val="center"/>
              <w:rPr>
                <w:b/>
                <w:bCs/>
                <w:sz w:val="21"/>
                <w:szCs w:val="21"/>
              </w:rPr>
            </w:pPr>
            <w:r>
              <w:rPr>
                <w:b/>
                <w:bCs/>
                <w:sz w:val="21"/>
                <w:szCs w:val="21"/>
                <w:lang w:bidi="ar"/>
              </w:rPr>
              <w:t>工程名称</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6B3F5" w14:textId="77777777" w:rsidR="003E78AB" w:rsidRDefault="00010BF9">
            <w:pPr>
              <w:spacing w:line="360" w:lineRule="exact"/>
              <w:ind w:firstLineChars="0" w:firstLine="0"/>
              <w:jc w:val="center"/>
              <w:textAlignment w:val="center"/>
              <w:rPr>
                <w:b/>
                <w:bCs/>
                <w:sz w:val="21"/>
                <w:szCs w:val="21"/>
              </w:rPr>
            </w:pPr>
            <w:r>
              <w:rPr>
                <w:b/>
                <w:bCs/>
                <w:sz w:val="21"/>
                <w:szCs w:val="21"/>
                <w:lang w:bidi="ar"/>
              </w:rPr>
              <w:t>建设内容及规模</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26A4A" w14:textId="77777777" w:rsidR="003E78AB" w:rsidRDefault="00010BF9">
            <w:pPr>
              <w:spacing w:line="360" w:lineRule="exact"/>
              <w:ind w:firstLineChars="0" w:firstLine="0"/>
              <w:jc w:val="center"/>
              <w:textAlignment w:val="center"/>
              <w:rPr>
                <w:b/>
                <w:bCs/>
                <w:sz w:val="21"/>
                <w:szCs w:val="21"/>
              </w:rPr>
            </w:pPr>
            <w:r>
              <w:rPr>
                <w:b/>
                <w:bCs/>
                <w:sz w:val="21"/>
                <w:szCs w:val="21"/>
                <w:lang w:bidi="ar"/>
              </w:rPr>
              <w:t>备注</w:t>
            </w:r>
          </w:p>
        </w:tc>
      </w:tr>
      <w:tr w:rsidR="003E78AB" w14:paraId="53975684" w14:textId="77777777">
        <w:trPr>
          <w:trHeight w:val="226"/>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84CB71" w14:textId="77777777" w:rsidR="003E78AB" w:rsidRDefault="00010BF9">
            <w:pPr>
              <w:spacing w:line="360" w:lineRule="exact"/>
              <w:ind w:firstLineChars="0" w:firstLine="0"/>
              <w:jc w:val="center"/>
              <w:textAlignment w:val="center"/>
              <w:rPr>
                <w:sz w:val="21"/>
                <w:szCs w:val="21"/>
              </w:rPr>
            </w:pPr>
            <w:r>
              <w:rPr>
                <w:sz w:val="21"/>
                <w:szCs w:val="21"/>
                <w:lang w:bidi="ar"/>
              </w:rPr>
              <w:t>主体工程</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7DB3B0" w14:textId="77777777" w:rsidR="003E78AB" w:rsidRDefault="00010BF9">
            <w:pPr>
              <w:spacing w:line="360" w:lineRule="exact"/>
              <w:ind w:firstLineChars="0" w:firstLine="0"/>
              <w:jc w:val="center"/>
              <w:textAlignment w:val="center"/>
              <w:rPr>
                <w:sz w:val="21"/>
                <w:szCs w:val="21"/>
              </w:rPr>
            </w:pPr>
            <w:r>
              <w:rPr>
                <w:sz w:val="21"/>
                <w:szCs w:val="21"/>
                <w:lang w:bidi="ar"/>
              </w:rPr>
              <w:t>生产车间一</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32BF2" w14:textId="77777777" w:rsidR="003E78AB" w:rsidRDefault="00010BF9">
            <w:pPr>
              <w:spacing w:line="360" w:lineRule="exact"/>
              <w:ind w:firstLineChars="0" w:firstLine="0"/>
              <w:jc w:val="left"/>
              <w:textAlignment w:val="center"/>
              <w:rPr>
                <w:sz w:val="21"/>
                <w:szCs w:val="21"/>
              </w:rPr>
            </w:pPr>
            <w:r>
              <w:rPr>
                <w:sz w:val="21"/>
                <w:szCs w:val="21"/>
                <w:lang w:bidi="ar"/>
              </w:rPr>
              <w:t>1F</w:t>
            </w:r>
            <w:r>
              <w:rPr>
                <w:sz w:val="21"/>
                <w:szCs w:val="21"/>
                <w:lang w:bidi="ar"/>
              </w:rPr>
              <w:t>，占地面积</w:t>
            </w:r>
            <w:r>
              <w:rPr>
                <w:sz w:val="21"/>
                <w:szCs w:val="21"/>
                <w:lang w:bidi="ar"/>
              </w:rPr>
              <w:t>11258.57m</w:t>
            </w:r>
            <w:r>
              <w:rPr>
                <w:sz w:val="21"/>
                <w:szCs w:val="21"/>
                <w:vertAlign w:val="superscript"/>
                <w:lang w:bidi="ar"/>
              </w:rPr>
              <w:t>2</w:t>
            </w:r>
            <w:r>
              <w:rPr>
                <w:sz w:val="21"/>
                <w:szCs w:val="21"/>
                <w:lang w:bidi="ar"/>
              </w:rPr>
              <w:t>，高度</w:t>
            </w:r>
            <w:r>
              <w:rPr>
                <w:sz w:val="21"/>
                <w:szCs w:val="21"/>
                <w:lang w:bidi="ar"/>
              </w:rPr>
              <w:t>17.5m</w:t>
            </w:r>
            <w:r>
              <w:rPr>
                <w:sz w:val="21"/>
                <w:szCs w:val="21"/>
                <w:lang w:bidi="ar"/>
              </w:rPr>
              <w:t>，门式刚架结构，东半幅用于布设钒电解液的生产、成品储存和灌装设施等。西半幅为预留车间。</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9C7EC"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3AD28800"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EDF1D"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226195" w14:textId="77777777" w:rsidR="003E78AB" w:rsidRDefault="00010BF9">
            <w:pPr>
              <w:spacing w:line="360" w:lineRule="exact"/>
              <w:ind w:firstLineChars="0" w:firstLine="0"/>
              <w:jc w:val="center"/>
              <w:textAlignment w:val="center"/>
              <w:rPr>
                <w:sz w:val="21"/>
                <w:szCs w:val="21"/>
              </w:rPr>
            </w:pPr>
            <w:r>
              <w:rPr>
                <w:sz w:val="21"/>
                <w:szCs w:val="21"/>
                <w:lang w:bidi="ar"/>
              </w:rPr>
              <w:t>生产车间二</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66952" w14:textId="77777777" w:rsidR="003E78AB" w:rsidRDefault="00010BF9">
            <w:pPr>
              <w:spacing w:line="360" w:lineRule="exact"/>
              <w:ind w:firstLineChars="0" w:firstLine="0"/>
              <w:jc w:val="left"/>
              <w:textAlignment w:val="center"/>
              <w:rPr>
                <w:sz w:val="21"/>
                <w:szCs w:val="21"/>
              </w:rPr>
            </w:pPr>
            <w:r>
              <w:rPr>
                <w:sz w:val="21"/>
                <w:szCs w:val="21"/>
                <w:lang w:bidi="ar"/>
              </w:rPr>
              <w:t>1F</w:t>
            </w:r>
            <w:r>
              <w:rPr>
                <w:sz w:val="21"/>
                <w:szCs w:val="21"/>
                <w:lang w:bidi="ar"/>
              </w:rPr>
              <w:t>，占地面积</w:t>
            </w:r>
            <w:r>
              <w:rPr>
                <w:sz w:val="21"/>
                <w:szCs w:val="21"/>
                <w:lang w:bidi="ar"/>
              </w:rPr>
              <w:t>2750.63m</w:t>
            </w:r>
            <w:r>
              <w:rPr>
                <w:sz w:val="21"/>
                <w:szCs w:val="21"/>
                <w:vertAlign w:val="superscript"/>
                <w:lang w:bidi="ar"/>
              </w:rPr>
              <w:t>2</w:t>
            </w:r>
            <w:r>
              <w:rPr>
                <w:sz w:val="21"/>
                <w:szCs w:val="21"/>
                <w:lang w:bidi="ar"/>
              </w:rPr>
              <w:t>，高度</w:t>
            </w:r>
            <w:r>
              <w:rPr>
                <w:sz w:val="21"/>
                <w:szCs w:val="21"/>
                <w:lang w:bidi="ar"/>
              </w:rPr>
              <w:t>11.5m</w:t>
            </w:r>
            <w:r>
              <w:rPr>
                <w:sz w:val="21"/>
                <w:szCs w:val="21"/>
                <w:lang w:bidi="ar"/>
              </w:rPr>
              <w:t>，门式刚架结构，作为预留车间备用</w:t>
            </w:r>
            <w:r>
              <w:rPr>
                <w:rStyle w:val="font01"/>
                <w:rFonts w:ascii="Times New Roman" w:hAnsi="Times New Roman" w:cs="Times New Roman" w:hint="default"/>
                <w:color w:val="auto"/>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3409B"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5AC176CF" w14:textId="77777777">
        <w:trPr>
          <w:trHeight w:val="810"/>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B82E0F" w14:textId="77777777" w:rsidR="003E78AB" w:rsidRDefault="00010BF9">
            <w:pPr>
              <w:spacing w:line="360" w:lineRule="exact"/>
              <w:ind w:firstLineChars="0" w:firstLine="0"/>
              <w:jc w:val="center"/>
              <w:textAlignment w:val="center"/>
              <w:rPr>
                <w:sz w:val="21"/>
                <w:szCs w:val="21"/>
              </w:rPr>
            </w:pPr>
            <w:r>
              <w:rPr>
                <w:sz w:val="21"/>
                <w:szCs w:val="21"/>
                <w:lang w:bidi="ar"/>
              </w:rPr>
              <w:t>储运工程</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BC8EB" w14:textId="77777777" w:rsidR="003E78AB" w:rsidRDefault="00010BF9">
            <w:pPr>
              <w:spacing w:line="360" w:lineRule="exact"/>
              <w:ind w:firstLineChars="0" w:firstLine="0"/>
              <w:jc w:val="center"/>
              <w:textAlignment w:val="center"/>
              <w:rPr>
                <w:sz w:val="21"/>
                <w:szCs w:val="21"/>
              </w:rPr>
            </w:pPr>
            <w:r>
              <w:rPr>
                <w:sz w:val="21"/>
                <w:szCs w:val="21"/>
                <w:lang w:bidi="ar"/>
              </w:rPr>
              <w:t>液</w:t>
            </w:r>
            <w:r>
              <w:rPr>
                <w:rStyle w:val="font11"/>
                <w:rFonts w:ascii="Times New Roman" w:hAnsi="Times New Roman" w:cs="Times New Roman" w:hint="default"/>
                <w:color w:val="auto"/>
                <w:sz w:val="21"/>
                <w:szCs w:val="21"/>
                <w:lang w:bidi="ar"/>
              </w:rPr>
              <w:t>体库</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7C68C" w14:textId="77777777" w:rsidR="003E78AB" w:rsidRDefault="00010BF9">
            <w:pPr>
              <w:spacing w:line="360" w:lineRule="exact"/>
              <w:ind w:firstLineChars="0" w:firstLine="0"/>
              <w:jc w:val="left"/>
              <w:textAlignment w:val="center"/>
              <w:rPr>
                <w:sz w:val="21"/>
                <w:szCs w:val="21"/>
              </w:rPr>
            </w:pPr>
            <w:r>
              <w:rPr>
                <w:sz w:val="21"/>
                <w:szCs w:val="21"/>
                <w:lang w:bidi="ar"/>
              </w:rPr>
              <w:t>1F</w:t>
            </w:r>
            <w:r>
              <w:rPr>
                <w:sz w:val="21"/>
                <w:szCs w:val="21"/>
                <w:lang w:bidi="ar"/>
              </w:rPr>
              <w:t>，占地面积</w:t>
            </w:r>
            <w:r>
              <w:rPr>
                <w:sz w:val="21"/>
                <w:szCs w:val="21"/>
                <w:lang w:bidi="ar"/>
              </w:rPr>
              <w:t>654.71m</w:t>
            </w:r>
            <w:r>
              <w:rPr>
                <w:sz w:val="21"/>
                <w:szCs w:val="21"/>
                <w:vertAlign w:val="superscript"/>
                <w:lang w:bidi="ar"/>
              </w:rPr>
              <w:t>2</w:t>
            </w:r>
            <w:r>
              <w:rPr>
                <w:sz w:val="21"/>
                <w:szCs w:val="21"/>
                <w:lang w:bidi="ar"/>
              </w:rPr>
              <w:t>，高度</w:t>
            </w:r>
            <w:r>
              <w:rPr>
                <w:sz w:val="21"/>
                <w:szCs w:val="21"/>
                <w:lang w:bidi="ar"/>
              </w:rPr>
              <w:t>11.2m</w:t>
            </w:r>
            <w:r>
              <w:rPr>
                <w:sz w:val="21"/>
                <w:szCs w:val="21"/>
                <w:lang w:bidi="ar"/>
              </w:rPr>
              <w:t>，门式刚架结构，主要设有</w:t>
            </w:r>
            <w:r>
              <w:rPr>
                <w:sz w:val="21"/>
                <w:szCs w:val="21"/>
                <w:lang w:bidi="ar"/>
              </w:rPr>
              <w:t>4</w:t>
            </w:r>
            <w:r>
              <w:rPr>
                <w:sz w:val="21"/>
                <w:szCs w:val="21"/>
                <w:lang w:bidi="ar"/>
              </w:rPr>
              <w:t>座</w:t>
            </w:r>
            <w:r>
              <w:rPr>
                <w:sz w:val="21"/>
                <w:szCs w:val="21"/>
                <w:lang w:bidi="ar"/>
              </w:rPr>
              <w:t>200m</w:t>
            </w:r>
            <w:r>
              <w:rPr>
                <w:sz w:val="21"/>
                <w:szCs w:val="21"/>
                <w:vertAlign w:val="superscript"/>
                <w:lang w:bidi="ar"/>
              </w:rPr>
              <w:t>3</w:t>
            </w:r>
            <w:r>
              <w:rPr>
                <w:sz w:val="21"/>
                <w:szCs w:val="21"/>
                <w:lang w:bidi="ar"/>
              </w:rPr>
              <w:t>浓硫酸储罐（</w:t>
            </w:r>
            <w:r>
              <w:rPr>
                <w:sz w:val="21"/>
                <w:szCs w:val="21"/>
                <w:lang w:bidi="ar"/>
              </w:rPr>
              <w:t>3</w:t>
            </w:r>
            <w:r>
              <w:rPr>
                <w:sz w:val="21"/>
                <w:szCs w:val="21"/>
                <w:lang w:bidi="ar"/>
              </w:rPr>
              <w:t>用</w:t>
            </w:r>
            <w:r>
              <w:rPr>
                <w:sz w:val="21"/>
                <w:szCs w:val="21"/>
                <w:lang w:bidi="ar"/>
              </w:rPr>
              <w:t>1</w:t>
            </w:r>
            <w:r>
              <w:rPr>
                <w:sz w:val="21"/>
                <w:szCs w:val="21"/>
                <w:lang w:bidi="ar"/>
              </w:rPr>
              <w:t>备），</w:t>
            </w:r>
            <w:r>
              <w:rPr>
                <w:sz w:val="21"/>
                <w:szCs w:val="21"/>
                <w:lang w:bidi="ar"/>
              </w:rPr>
              <w:t>1</w:t>
            </w:r>
            <w:r>
              <w:rPr>
                <w:sz w:val="21"/>
                <w:szCs w:val="21"/>
                <w:lang w:bidi="ar"/>
              </w:rPr>
              <w:t>座</w:t>
            </w:r>
            <w:r>
              <w:rPr>
                <w:sz w:val="21"/>
                <w:szCs w:val="21"/>
                <w:lang w:bidi="ar"/>
              </w:rPr>
              <w:t>70m</w:t>
            </w:r>
            <w:r>
              <w:rPr>
                <w:sz w:val="21"/>
                <w:szCs w:val="21"/>
                <w:vertAlign w:val="superscript"/>
                <w:lang w:bidi="ar"/>
              </w:rPr>
              <w:t>3</w:t>
            </w:r>
            <w:r>
              <w:rPr>
                <w:sz w:val="21"/>
                <w:szCs w:val="21"/>
                <w:lang w:bidi="ar"/>
              </w:rPr>
              <w:t>磷酸储罐和</w:t>
            </w:r>
            <w:r>
              <w:rPr>
                <w:sz w:val="21"/>
                <w:szCs w:val="21"/>
                <w:lang w:bidi="ar"/>
              </w:rPr>
              <w:t>1</w:t>
            </w:r>
            <w:r>
              <w:rPr>
                <w:sz w:val="21"/>
                <w:szCs w:val="21"/>
                <w:lang w:bidi="ar"/>
              </w:rPr>
              <w:t>座</w:t>
            </w:r>
            <w:r>
              <w:rPr>
                <w:sz w:val="21"/>
                <w:szCs w:val="21"/>
                <w:lang w:bidi="ar"/>
              </w:rPr>
              <w:t>70m</w:t>
            </w:r>
            <w:r>
              <w:rPr>
                <w:sz w:val="21"/>
                <w:szCs w:val="21"/>
                <w:vertAlign w:val="superscript"/>
                <w:lang w:bidi="ar"/>
              </w:rPr>
              <w:t>3</w:t>
            </w:r>
            <w:r>
              <w:rPr>
                <w:sz w:val="21"/>
                <w:szCs w:val="21"/>
                <w:lang w:bidi="ar"/>
              </w:rPr>
              <w:t>备用罐。</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8C745"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5E004525"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7CDBF"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9CFD78" w14:textId="77777777" w:rsidR="003E78AB" w:rsidRDefault="00010BF9">
            <w:pPr>
              <w:spacing w:line="360" w:lineRule="exact"/>
              <w:ind w:firstLineChars="0" w:firstLine="0"/>
              <w:jc w:val="center"/>
              <w:textAlignment w:val="center"/>
              <w:rPr>
                <w:sz w:val="21"/>
                <w:szCs w:val="21"/>
              </w:rPr>
            </w:pPr>
            <w:r>
              <w:rPr>
                <w:sz w:val="21"/>
                <w:szCs w:val="21"/>
                <w:lang w:bidi="ar"/>
              </w:rPr>
              <w:t>丙</w:t>
            </w:r>
            <w:r>
              <w:rPr>
                <w:rStyle w:val="font11"/>
                <w:rFonts w:ascii="Times New Roman" w:hAnsi="Times New Roman" w:cs="Times New Roman" w:hint="default"/>
                <w:color w:val="auto"/>
                <w:sz w:val="21"/>
                <w:szCs w:val="21"/>
                <w:lang w:bidi="ar"/>
              </w:rPr>
              <w:t>类仓库一</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49957" w14:textId="77777777" w:rsidR="003E78AB" w:rsidRDefault="00010BF9">
            <w:pPr>
              <w:spacing w:line="360" w:lineRule="exact"/>
              <w:ind w:firstLineChars="0" w:firstLine="0"/>
              <w:jc w:val="left"/>
              <w:textAlignment w:val="center"/>
              <w:rPr>
                <w:sz w:val="21"/>
                <w:szCs w:val="21"/>
              </w:rPr>
            </w:pPr>
            <w:r>
              <w:rPr>
                <w:sz w:val="21"/>
                <w:szCs w:val="21"/>
                <w:lang w:bidi="ar"/>
              </w:rPr>
              <w:t>1F</w:t>
            </w:r>
            <w:r>
              <w:rPr>
                <w:sz w:val="21"/>
                <w:szCs w:val="21"/>
                <w:lang w:bidi="ar"/>
              </w:rPr>
              <w:t>，占地面积</w:t>
            </w:r>
            <w:r>
              <w:rPr>
                <w:sz w:val="21"/>
                <w:szCs w:val="21"/>
                <w:lang w:bidi="ar"/>
              </w:rPr>
              <w:t>2613.99m</w:t>
            </w:r>
            <w:r>
              <w:rPr>
                <w:sz w:val="21"/>
                <w:szCs w:val="21"/>
                <w:vertAlign w:val="superscript"/>
                <w:lang w:bidi="ar"/>
              </w:rPr>
              <w:t>2</w:t>
            </w:r>
            <w:r>
              <w:rPr>
                <w:sz w:val="21"/>
                <w:szCs w:val="21"/>
                <w:lang w:bidi="ar"/>
              </w:rPr>
              <w:t>，高度</w:t>
            </w:r>
            <w:r>
              <w:rPr>
                <w:sz w:val="21"/>
                <w:szCs w:val="21"/>
                <w:lang w:bidi="ar"/>
              </w:rPr>
              <w:t>6.65m</w:t>
            </w:r>
            <w:r>
              <w:rPr>
                <w:sz w:val="21"/>
                <w:szCs w:val="21"/>
                <w:lang w:bidi="ar"/>
              </w:rPr>
              <w:t>，门式刚架结构，用于存放原料（草酸和五氧化二钒等）。</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B9A02"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4BFA5F50"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69978C"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E7C069" w14:textId="77777777" w:rsidR="003E78AB" w:rsidRDefault="00010BF9">
            <w:pPr>
              <w:spacing w:line="360" w:lineRule="exact"/>
              <w:ind w:firstLineChars="0" w:firstLine="0"/>
              <w:jc w:val="center"/>
              <w:textAlignment w:val="center"/>
              <w:rPr>
                <w:sz w:val="21"/>
                <w:szCs w:val="21"/>
              </w:rPr>
            </w:pPr>
            <w:r>
              <w:rPr>
                <w:sz w:val="21"/>
                <w:szCs w:val="21"/>
                <w:lang w:bidi="ar"/>
              </w:rPr>
              <w:t>丙</w:t>
            </w:r>
            <w:r>
              <w:rPr>
                <w:rStyle w:val="font11"/>
                <w:rFonts w:ascii="Times New Roman" w:hAnsi="Times New Roman" w:cs="Times New Roman" w:hint="default"/>
                <w:color w:val="auto"/>
                <w:sz w:val="21"/>
                <w:szCs w:val="21"/>
                <w:lang w:bidi="ar"/>
              </w:rPr>
              <w:t>类仓库二</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D3ADC" w14:textId="77777777" w:rsidR="003E78AB" w:rsidRDefault="00010BF9">
            <w:pPr>
              <w:spacing w:line="360" w:lineRule="exact"/>
              <w:ind w:firstLineChars="0" w:firstLine="0"/>
              <w:jc w:val="left"/>
              <w:textAlignment w:val="center"/>
              <w:rPr>
                <w:sz w:val="21"/>
                <w:szCs w:val="21"/>
              </w:rPr>
            </w:pPr>
            <w:r>
              <w:rPr>
                <w:sz w:val="21"/>
                <w:szCs w:val="21"/>
                <w:lang w:bidi="ar"/>
              </w:rPr>
              <w:t>1F</w:t>
            </w:r>
            <w:r>
              <w:rPr>
                <w:sz w:val="21"/>
                <w:szCs w:val="21"/>
                <w:lang w:bidi="ar"/>
              </w:rPr>
              <w:t>，占地面积</w:t>
            </w:r>
            <w:r>
              <w:rPr>
                <w:sz w:val="21"/>
                <w:szCs w:val="21"/>
                <w:lang w:bidi="ar"/>
              </w:rPr>
              <w:t>2354.15m</w:t>
            </w:r>
            <w:r>
              <w:rPr>
                <w:sz w:val="21"/>
                <w:szCs w:val="21"/>
                <w:vertAlign w:val="superscript"/>
                <w:lang w:bidi="ar"/>
              </w:rPr>
              <w:t>2</w:t>
            </w:r>
            <w:r>
              <w:rPr>
                <w:sz w:val="21"/>
                <w:szCs w:val="21"/>
                <w:lang w:bidi="ar"/>
              </w:rPr>
              <w:t>，高度</w:t>
            </w:r>
            <w:r>
              <w:rPr>
                <w:sz w:val="21"/>
                <w:szCs w:val="21"/>
                <w:lang w:bidi="ar"/>
              </w:rPr>
              <w:t>6.65m</w:t>
            </w:r>
            <w:r>
              <w:rPr>
                <w:sz w:val="21"/>
                <w:szCs w:val="21"/>
                <w:lang w:bidi="ar"/>
              </w:rPr>
              <w:t>，门式刚架结构，用于存放原料（</w:t>
            </w:r>
            <w:r>
              <w:rPr>
                <w:rFonts w:hint="eastAsia"/>
                <w:sz w:val="21"/>
                <w:szCs w:val="21"/>
                <w:lang w:bidi="ar"/>
              </w:rPr>
              <w:t>二水</w:t>
            </w:r>
            <w:r>
              <w:rPr>
                <w:sz w:val="21"/>
                <w:szCs w:val="21"/>
                <w:lang w:bidi="ar"/>
              </w:rPr>
              <w:t>草酸和五氧化二钒等）。</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7E509"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15FC650B" w14:textId="77777777">
        <w:trPr>
          <w:trHeight w:val="28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27601E" w14:textId="77777777" w:rsidR="003E78AB" w:rsidRDefault="00010BF9">
            <w:pPr>
              <w:spacing w:line="360" w:lineRule="exact"/>
              <w:ind w:firstLineChars="0" w:firstLine="0"/>
              <w:jc w:val="center"/>
              <w:rPr>
                <w:sz w:val="21"/>
                <w:szCs w:val="21"/>
              </w:rPr>
            </w:pPr>
            <w:r>
              <w:rPr>
                <w:rFonts w:hint="eastAsia"/>
              </w:rPr>
              <w:t>及</w:t>
            </w:r>
          </w:p>
        </w:tc>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9F59DC" w14:textId="77777777" w:rsidR="003E78AB" w:rsidRDefault="00010BF9">
            <w:pPr>
              <w:spacing w:line="360" w:lineRule="exact"/>
              <w:ind w:firstLineChars="0" w:firstLine="0"/>
              <w:jc w:val="center"/>
              <w:textAlignment w:val="center"/>
              <w:rPr>
                <w:sz w:val="21"/>
                <w:szCs w:val="21"/>
              </w:rPr>
            </w:pPr>
            <w:r>
              <w:rPr>
                <w:sz w:val="21"/>
                <w:szCs w:val="21"/>
                <w:lang w:bidi="ar"/>
              </w:rPr>
              <w:t>运输系统</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7032B" w14:textId="77777777" w:rsidR="003E78AB" w:rsidRDefault="00010BF9">
            <w:pPr>
              <w:spacing w:line="360" w:lineRule="exact"/>
              <w:ind w:firstLineChars="0" w:firstLine="0"/>
              <w:jc w:val="center"/>
              <w:textAlignment w:val="center"/>
              <w:rPr>
                <w:sz w:val="21"/>
                <w:szCs w:val="21"/>
              </w:rPr>
            </w:pPr>
            <w:r>
              <w:rPr>
                <w:sz w:val="21"/>
                <w:szCs w:val="21"/>
                <w:lang w:bidi="ar"/>
              </w:rPr>
              <w:t>厂内运输</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175F0" w14:textId="77777777" w:rsidR="003E78AB" w:rsidRDefault="00010BF9">
            <w:pPr>
              <w:spacing w:line="360" w:lineRule="exact"/>
              <w:ind w:firstLineChars="0" w:firstLine="0"/>
              <w:jc w:val="left"/>
              <w:textAlignment w:val="center"/>
              <w:rPr>
                <w:sz w:val="21"/>
                <w:szCs w:val="21"/>
              </w:rPr>
            </w:pPr>
            <w:r>
              <w:rPr>
                <w:sz w:val="21"/>
                <w:szCs w:val="21"/>
                <w:lang w:bidi="ar"/>
              </w:rPr>
              <w:t>主要依靠管道和专用车辆运输</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678FE"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24D11126" w14:textId="77777777">
        <w:trPr>
          <w:trHeight w:val="28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BD1664" w14:textId="77777777" w:rsidR="003E78AB" w:rsidRDefault="003E78AB">
            <w:pPr>
              <w:spacing w:line="360" w:lineRule="exact"/>
              <w:ind w:firstLineChars="0" w:firstLine="0"/>
              <w:jc w:val="center"/>
              <w:rPr>
                <w:sz w:val="21"/>
                <w:szCs w:val="21"/>
              </w:rPr>
            </w:pPr>
          </w:p>
        </w:tc>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10A112"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FDF7F" w14:textId="77777777" w:rsidR="003E78AB" w:rsidRDefault="00010BF9">
            <w:pPr>
              <w:spacing w:line="360" w:lineRule="exact"/>
              <w:ind w:firstLineChars="0" w:firstLine="0"/>
              <w:jc w:val="center"/>
              <w:textAlignment w:val="center"/>
              <w:rPr>
                <w:sz w:val="21"/>
                <w:szCs w:val="21"/>
              </w:rPr>
            </w:pPr>
            <w:r>
              <w:rPr>
                <w:sz w:val="21"/>
                <w:szCs w:val="21"/>
                <w:lang w:bidi="ar"/>
              </w:rPr>
              <w:t>厂外运输</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DC834" w14:textId="77777777" w:rsidR="003E78AB" w:rsidRDefault="00010BF9">
            <w:pPr>
              <w:spacing w:line="360" w:lineRule="exact"/>
              <w:ind w:firstLineChars="0" w:firstLine="0"/>
              <w:jc w:val="left"/>
              <w:textAlignment w:val="center"/>
              <w:rPr>
                <w:sz w:val="21"/>
                <w:szCs w:val="21"/>
              </w:rPr>
            </w:pPr>
            <w:r>
              <w:rPr>
                <w:sz w:val="21"/>
                <w:szCs w:val="21"/>
                <w:lang w:bidi="ar"/>
              </w:rPr>
              <w:t>采用汽车运输</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64E27" w14:textId="77777777" w:rsidR="003E78AB" w:rsidRDefault="00010BF9">
            <w:pPr>
              <w:spacing w:line="360" w:lineRule="exact"/>
              <w:ind w:firstLineChars="0" w:firstLine="0"/>
              <w:jc w:val="center"/>
              <w:textAlignment w:val="center"/>
              <w:rPr>
                <w:sz w:val="21"/>
                <w:szCs w:val="21"/>
              </w:rPr>
            </w:pPr>
            <w:r>
              <w:rPr>
                <w:sz w:val="21"/>
                <w:szCs w:val="21"/>
                <w:lang w:bidi="ar"/>
              </w:rPr>
              <w:t>/</w:t>
            </w:r>
          </w:p>
        </w:tc>
      </w:tr>
      <w:tr w:rsidR="003E78AB" w14:paraId="68D9B971" w14:textId="77777777">
        <w:trPr>
          <w:trHeight w:val="810"/>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8BB6A0" w14:textId="77777777" w:rsidR="003E78AB" w:rsidRDefault="00010BF9">
            <w:pPr>
              <w:spacing w:line="360" w:lineRule="exact"/>
              <w:ind w:firstLineChars="0" w:firstLine="0"/>
              <w:jc w:val="center"/>
              <w:textAlignment w:val="center"/>
              <w:rPr>
                <w:sz w:val="21"/>
                <w:szCs w:val="21"/>
              </w:rPr>
            </w:pPr>
            <w:r>
              <w:rPr>
                <w:sz w:val="21"/>
                <w:szCs w:val="21"/>
                <w:lang w:bidi="ar"/>
              </w:rPr>
              <w:t>辅助工程</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E9C71B" w14:textId="77777777" w:rsidR="003E78AB" w:rsidRDefault="00010BF9">
            <w:pPr>
              <w:spacing w:line="360" w:lineRule="exact"/>
              <w:ind w:firstLineChars="0" w:firstLine="0"/>
              <w:jc w:val="center"/>
              <w:textAlignment w:val="center"/>
              <w:rPr>
                <w:sz w:val="21"/>
                <w:szCs w:val="21"/>
              </w:rPr>
            </w:pPr>
            <w:r>
              <w:rPr>
                <w:sz w:val="21"/>
                <w:szCs w:val="21"/>
                <w:lang w:bidi="ar"/>
              </w:rPr>
              <w:t>动力车间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82C61" w14:textId="77777777" w:rsidR="003E78AB" w:rsidRDefault="00010BF9">
            <w:pPr>
              <w:spacing w:line="360" w:lineRule="exact"/>
              <w:ind w:firstLineChars="0" w:firstLine="0"/>
              <w:jc w:val="left"/>
              <w:textAlignment w:val="center"/>
              <w:rPr>
                <w:sz w:val="21"/>
                <w:szCs w:val="21"/>
              </w:rPr>
            </w:pPr>
            <w:r>
              <w:rPr>
                <w:sz w:val="21"/>
                <w:szCs w:val="21"/>
                <w:lang w:bidi="ar"/>
              </w:rPr>
              <w:t>1F</w:t>
            </w:r>
            <w:r>
              <w:rPr>
                <w:sz w:val="21"/>
                <w:szCs w:val="21"/>
                <w:lang w:bidi="ar"/>
              </w:rPr>
              <w:t>，占地面积</w:t>
            </w:r>
            <w:r>
              <w:rPr>
                <w:sz w:val="21"/>
                <w:szCs w:val="21"/>
                <w:lang w:bidi="ar"/>
              </w:rPr>
              <w:t>2367.27m</w:t>
            </w:r>
            <w:r>
              <w:rPr>
                <w:sz w:val="21"/>
                <w:szCs w:val="21"/>
                <w:vertAlign w:val="superscript"/>
                <w:lang w:bidi="ar"/>
              </w:rPr>
              <w:t>2</w:t>
            </w:r>
            <w:r>
              <w:rPr>
                <w:sz w:val="21"/>
                <w:szCs w:val="21"/>
                <w:lang w:bidi="ar"/>
              </w:rPr>
              <w:t>，高度</w:t>
            </w:r>
            <w:r>
              <w:rPr>
                <w:sz w:val="21"/>
                <w:szCs w:val="21"/>
                <w:lang w:bidi="ar"/>
              </w:rPr>
              <w:t>7.5m</w:t>
            </w:r>
            <w:r>
              <w:rPr>
                <w:sz w:val="21"/>
                <w:szCs w:val="21"/>
                <w:lang w:bidi="ar"/>
              </w:rPr>
              <w:t>，门式刚架结构，设</w:t>
            </w:r>
            <w:bookmarkStart w:id="198" w:name="OLE_LINK9"/>
            <w:r>
              <w:rPr>
                <w:sz w:val="21"/>
                <w:szCs w:val="21"/>
                <w:lang w:bidi="ar"/>
              </w:rPr>
              <w:t>锅炉房、</w:t>
            </w:r>
            <w:r>
              <w:rPr>
                <w:sz w:val="21"/>
                <w:szCs w:val="21"/>
                <w:lang w:bidi="ar"/>
              </w:rPr>
              <w:t>10kV</w:t>
            </w:r>
            <w:r>
              <w:rPr>
                <w:sz w:val="21"/>
                <w:szCs w:val="21"/>
                <w:lang w:bidi="ar"/>
              </w:rPr>
              <w:t>配电室、备用柴油发电机房、制冷系统设备、空压系统设备等，车间外设循环水系统。</w:t>
            </w:r>
            <w:bookmarkEnd w:id="198"/>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B495A"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3EA4C447" w14:textId="77777777">
        <w:trPr>
          <w:trHeight w:val="81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AC034A"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06DC2F" w14:textId="77777777" w:rsidR="003E78AB" w:rsidRDefault="00010BF9">
            <w:pPr>
              <w:spacing w:line="360" w:lineRule="exact"/>
              <w:ind w:firstLineChars="0" w:firstLine="0"/>
              <w:jc w:val="center"/>
              <w:textAlignment w:val="center"/>
              <w:rPr>
                <w:sz w:val="21"/>
                <w:szCs w:val="21"/>
              </w:rPr>
            </w:pPr>
            <w:r>
              <w:rPr>
                <w:sz w:val="21"/>
                <w:szCs w:val="21"/>
                <w:lang w:bidi="ar"/>
              </w:rPr>
              <w:t>研</w:t>
            </w:r>
            <w:r>
              <w:rPr>
                <w:rStyle w:val="font11"/>
                <w:rFonts w:ascii="Times New Roman" w:hAnsi="Times New Roman" w:cs="Times New Roman" w:hint="default"/>
                <w:color w:val="auto"/>
                <w:sz w:val="21"/>
                <w:szCs w:val="21"/>
                <w:lang w:bidi="ar"/>
              </w:rPr>
              <w:t>发中心</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A0105" w14:textId="77777777" w:rsidR="003E78AB" w:rsidRDefault="00010BF9">
            <w:pPr>
              <w:spacing w:line="360" w:lineRule="exact"/>
              <w:ind w:firstLineChars="0" w:firstLine="0"/>
              <w:jc w:val="left"/>
              <w:textAlignment w:val="center"/>
              <w:rPr>
                <w:sz w:val="21"/>
                <w:szCs w:val="21"/>
              </w:rPr>
            </w:pPr>
            <w:r>
              <w:rPr>
                <w:sz w:val="21"/>
                <w:szCs w:val="21"/>
                <w:lang w:bidi="ar"/>
              </w:rPr>
              <w:t>2F</w:t>
            </w:r>
            <w:r>
              <w:rPr>
                <w:sz w:val="21"/>
                <w:szCs w:val="21"/>
                <w:lang w:bidi="ar"/>
              </w:rPr>
              <w:t>，占地面积</w:t>
            </w:r>
            <w:r>
              <w:rPr>
                <w:sz w:val="21"/>
                <w:szCs w:val="21"/>
                <w:lang w:bidi="ar"/>
              </w:rPr>
              <w:t>2274.38m</w:t>
            </w:r>
            <w:r>
              <w:rPr>
                <w:sz w:val="21"/>
                <w:szCs w:val="21"/>
                <w:vertAlign w:val="superscript"/>
                <w:lang w:bidi="ar"/>
              </w:rPr>
              <w:t>2</w:t>
            </w:r>
            <w:r>
              <w:rPr>
                <w:sz w:val="21"/>
                <w:szCs w:val="21"/>
                <w:lang w:bidi="ar"/>
              </w:rPr>
              <w:t>，高度</w:t>
            </w:r>
            <w:r>
              <w:rPr>
                <w:sz w:val="21"/>
                <w:szCs w:val="21"/>
                <w:lang w:bidi="ar"/>
              </w:rPr>
              <w:t>11.85m</w:t>
            </w:r>
            <w:r>
              <w:rPr>
                <w:sz w:val="21"/>
                <w:szCs w:val="21"/>
                <w:lang w:bidi="ar"/>
              </w:rPr>
              <w:t>，钢筋砼框架，用于行政办公、</w:t>
            </w:r>
            <w:r>
              <w:rPr>
                <w:rFonts w:hint="eastAsia"/>
                <w:bCs/>
                <w:sz w:val="21"/>
                <w:szCs w:val="21"/>
                <w:lang w:bidi="ar"/>
              </w:rPr>
              <w:t>电脑研发模拟实验</w:t>
            </w:r>
            <w:r>
              <w:rPr>
                <w:sz w:val="21"/>
                <w:szCs w:val="21"/>
                <w:lang w:bidi="ar"/>
              </w:rPr>
              <w:t>、分析化验、职工食堂等。</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5DFBB"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408DCF42"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0AAC3D"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7E6ED5" w14:textId="77777777" w:rsidR="003E78AB" w:rsidRDefault="00010BF9">
            <w:pPr>
              <w:spacing w:line="360" w:lineRule="exact"/>
              <w:ind w:firstLineChars="0" w:firstLine="0"/>
              <w:jc w:val="center"/>
              <w:textAlignment w:val="center"/>
              <w:rPr>
                <w:sz w:val="21"/>
                <w:szCs w:val="21"/>
              </w:rPr>
            </w:pPr>
            <w:r>
              <w:rPr>
                <w:sz w:val="21"/>
                <w:szCs w:val="21"/>
                <w:lang w:bidi="ar"/>
              </w:rPr>
              <w:t>机</w:t>
            </w:r>
            <w:r>
              <w:rPr>
                <w:rStyle w:val="font11"/>
                <w:rFonts w:ascii="Times New Roman" w:hAnsi="Times New Roman" w:cs="Times New Roman" w:hint="default"/>
                <w:color w:val="auto"/>
                <w:sz w:val="21"/>
                <w:szCs w:val="21"/>
                <w:lang w:bidi="ar"/>
              </w:rPr>
              <w:t>修车间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ED6F1" w14:textId="77777777" w:rsidR="003E78AB" w:rsidRDefault="00010BF9">
            <w:pPr>
              <w:spacing w:line="360" w:lineRule="exact"/>
              <w:ind w:firstLineChars="0" w:firstLine="0"/>
              <w:jc w:val="left"/>
              <w:textAlignment w:val="center"/>
              <w:rPr>
                <w:sz w:val="21"/>
                <w:szCs w:val="21"/>
              </w:rPr>
            </w:pPr>
            <w:r>
              <w:rPr>
                <w:sz w:val="21"/>
                <w:szCs w:val="21"/>
                <w:lang w:bidi="ar"/>
              </w:rPr>
              <w:t>2F</w:t>
            </w:r>
            <w:r>
              <w:rPr>
                <w:sz w:val="21"/>
                <w:szCs w:val="21"/>
                <w:lang w:bidi="ar"/>
              </w:rPr>
              <w:t>，占地面积</w:t>
            </w:r>
            <w:r>
              <w:rPr>
                <w:sz w:val="21"/>
                <w:szCs w:val="21"/>
                <w:lang w:bidi="ar"/>
              </w:rPr>
              <w:t>2142.23m</w:t>
            </w:r>
            <w:r>
              <w:rPr>
                <w:sz w:val="21"/>
                <w:szCs w:val="21"/>
                <w:vertAlign w:val="superscript"/>
                <w:lang w:bidi="ar"/>
              </w:rPr>
              <w:t>2</w:t>
            </w:r>
            <w:r>
              <w:rPr>
                <w:sz w:val="21"/>
                <w:szCs w:val="21"/>
                <w:lang w:bidi="ar"/>
              </w:rPr>
              <w:t>，高度</w:t>
            </w:r>
            <w:r>
              <w:rPr>
                <w:sz w:val="21"/>
                <w:szCs w:val="21"/>
                <w:lang w:bidi="ar"/>
              </w:rPr>
              <w:t>9.85m</w:t>
            </w:r>
            <w:r>
              <w:rPr>
                <w:sz w:val="21"/>
                <w:szCs w:val="21"/>
                <w:lang w:bidi="ar"/>
              </w:rPr>
              <w:t>，钢筋砼框架，用于日常机械设备、仪表、电气的中小修理。</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8B53D"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69887EB3" w14:textId="77777777">
        <w:trPr>
          <w:trHeight w:val="540"/>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54F89C" w14:textId="77777777" w:rsidR="003E78AB" w:rsidRDefault="00010BF9">
            <w:pPr>
              <w:spacing w:line="360" w:lineRule="exact"/>
              <w:ind w:firstLineChars="0" w:firstLine="0"/>
              <w:jc w:val="center"/>
              <w:textAlignment w:val="center"/>
              <w:rPr>
                <w:sz w:val="21"/>
                <w:szCs w:val="21"/>
              </w:rPr>
            </w:pPr>
            <w:r>
              <w:rPr>
                <w:sz w:val="21"/>
                <w:szCs w:val="21"/>
                <w:lang w:bidi="ar"/>
              </w:rPr>
              <w:t>公用工程</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24626" w14:textId="77777777" w:rsidR="003E78AB" w:rsidRDefault="00010BF9">
            <w:pPr>
              <w:spacing w:line="360" w:lineRule="exact"/>
              <w:ind w:firstLineChars="0" w:firstLine="0"/>
              <w:jc w:val="center"/>
              <w:textAlignment w:val="center"/>
              <w:rPr>
                <w:sz w:val="21"/>
                <w:szCs w:val="21"/>
              </w:rPr>
            </w:pPr>
            <w:r>
              <w:rPr>
                <w:sz w:val="21"/>
                <w:szCs w:val="21"/>
                <w:lang w:bidi="ar"/>
              </w:rPr>
              <w:t>供水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9F29B" w14:textId="77777777" w:rsidR="003E78AB" w:rsidRDefault="00010BF9">
            <w:pPr>
              <w:spacing w:line="360" w:lineRule="exact"/>
              <w:ind w:firstLineChars="0" w:firstLine="0"/>
              <w:jc w:val="left"/>
              <w:textAlignment w:val="center"/>
              <w:rPr>
                <w:sz w:val="21"/>
                <w:szCs w:val="21"/>
              </w:rPr>
            </w:pPr>
            <w:r>
              <w:rPr>
                <w:sz w:val="21"/>
                <w:szCs w:val="21"/>
                <w:lang w:bidi="ar"/>
              </w:rPr>
              <w:t>项目供水管线接入哈密市高新技术产业开发区南部循环经济产业园供水管网。</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CCCC5"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059A142C"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190C4"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CB6CB9" w14:textId="77777777" w:rsidR="003E78AB" w:rsidRDefault="00010BF9">
            <w:pPr>
              <w:spacing w:line="360" w:lineRule="exact"/>
              <w:ind w:firstLineChars="0" w:firstLine="0"/>
              <w:jc w:val="center"/>
              <w:textAlignment w:val="center"/>
              <w:rPr>
                <w:sz w:val="21"/>
                <w:szCs w:val="21"/>
              </w:rPr>
            </w:pPr>
            <w:r>
              <w:rPr>
                <w:sz w:val="21"/>
                <w:szCs w:val="21"/>
                <w:lang w:bidi="ar"/>
              </w:rPr>
              <w:t>排水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6AD8E" w14:textId="77777777" w:rsidR="003E78AB" w:rsidRDefault="00010BF9">
            <w:pPr>
              <w:spacing w:line="360" w:lineRule="exact"/>
              <w:ind w:firstLineChars="0" w:firstLine="0"/>
              <w:jc w:val="left"/>
              <w:textAlignment w:val="center"/>
              <w:rPr>
                <w:sz w:val="21"/>
                <w:szCs w:val="21"/>
              </w:rPr>
            </w:pPr>
            <w:r>
              <w:rPr>
                <w:sz w:val="21"/>
                <w:szCs w:val="21"/>
                <w:lang w:bidi="ar"/>
              </w:rPr>
              <w:t>处理达标后排入产业园污水管网</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CEAD7"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10C76510"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049C34"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91D8D" w14:textId="77777777" w:rsidR="003E78AB" w:rsidRDefault="00010BF9">
            <w:pPr>
              <w:spacing w:line="360" w:lineRule="exact"/>
              <w:ind w:firstLineChars="0" w:firstLine="0"/>
              <w:jc w:val="center"/>
              <w:textAlignment w:val="center"/>
              <w:rPr>
                <w:b/>
                <w:bCs/>
                <w:sz w:val="21"/>
                <w:szCs w:val="21"/>
                <w:u w:val="single"/>
                <w:lang w:bidi="ar"/>
              </w:rPr>
            </w:pPr>
            <w:r>
              <w:rPr>
                <w:b/>
                <w:bCs/>
                <w:sz w:val="21"/>
                <w:szCs w:val="21"/>
                <w:u w:val="single"/>
                <w:lang w:bidi="ar"/>
              </w:rPr>
              <w:t>供气</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F9FF0" w14:textId="77777777" w:rsidR="003E78AB" w:rsidRDefault="00010BF9">
            <w:pPr>
              <w:spacing w:line="360" w:lineRule="exact"/>
              <w:ind w:firstLineChars="0" w:firstLine="0"/>
              <w:jc w:val="left"/>
              <w:textAlignment w:val="center"/>
              <w:rPr>
                <w:bCs/>
                <w:sz w:val="21"/>
                <w:szCs w:val="21"/>
                <w:lang w:bidi="ar"/>
              </w:rPr>
            </w:pPr>
            <w:r>
              <w:rPr>
                <w:bCs/>
                <w:sz w:val="21"/>
                <w:szCs w:val="21"/>
                <w:lang w:bidi="ar"/>
              </w:rPr>
              <w:t>接园区天然气管网</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7926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新建</w:t>
            </w:r>
          </w:p>
        </w:tc>
      </w:tr>
      <w:tr w:rsidR="003E78AB" w14:paraId="4EF3897A" w14:textId="77777777">
        <w:trPr>
          <w:trHeight w:val="28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7CD7C6"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6EB346" w14:textId="77777777" w:rsidR="003E78AB" w:rsidRDefault="00010BF9">
            <w:pPr>
              <w:spacing w:line="360" w:lineRule="exact"/>
              <w:ind w:firstLineChars="0" w:firstLine="0"/>
              <w:jc w:val="center"/>
              <w:textAlignment w:val="center"/>
              <w:rPr>
                <w:b/>
                <w:bCs/>
                <w:sz w:val="21"/>
                <w:szCs w:val="21"/>
                <w:u w:val="single"/>
              </w:rPr>
            </w:pPr>
            <w:r>
              <w:rPr>
                <w:rFonts w:hint="eastAsia"/>
                <w:b/>
                <w:bCs/>
                <w:sz w:val="21"/>
                <w:szCs w:val="21"/>
                <w:u w:val="single"/>
                <w:lang w:bidi="ar"/>
              </w:rPr>
              <w:t>供热</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0774B" w14:textId="77777777" w:rsidR="003E78AB" w:rsidRDefault="00010BF9">
            <w:pPr>
              <w:spacing w:line="360" w:lineRule="exact"/>
              <w:ind w:firstLineChars="0" w:firstLine="0"/>
              <w:jc w:val="left"/>
              <w:textAlignment w:val="center"/>
              <w:rPr>
                <w:bCs/>
                <w:sz w:val="21"/>
                <w:szCs w:val="21"/>
              </w:rPr>
            </w:pPr>
            <w:r>
              <w:rPr>
                <w:bCs/>
                <w:sz w:val="21"/>
                <w:szCs w:val="21"/>
                <w:lang w:bidi="ar"/>
              </w:rPr>
              <w:t>2</w:t>
            </w:r>
            <w:r>
              <w:rPr>
                <w:bCs/>
                <w:sz w:val="21"/>
                <w:szCs w:val="21"/>
                <w:lang w:bidi="ar"/>
              </w:rPr>
              <w:t>台</w:t>
            </w:r>
            <w:r>
              <w:rPr>
                <w:bCs/>
                <w:sz w:val="21"/>
                <w:szCs w:val="21"/>
                <w:lang w:bidi="ar"/>
              </w:rPr>
              <w:t>3t/h</w:t>
            </w:r>
            <w:r>
              <w:rPr>
                <w:bCs/>
                <w:sz w:val="21"/>
                <w:szCs w:val="21"/>
                <w:lang w:bidi="ar"/>
              </w:rPr>
              <w:t>燃气热水锅炉为生产和生活供热，功率</w:t>
            </w:r>
            <w:r>
              <w:rPr>
                <w:bCs/>
                <w:sz w:val="21"/>
                <w:szCs w:val="21"/>
                <w:lang w:bidi="ar"/>
              </w:rPr>
              <w:t>2.1MW</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D639E"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6A243D7B" w14:textId="77777777">
        <w:trPr>
          <w:trHeight w:val="28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DE86E" w14:textId="77777777" w:rsidR="003E78AB" w:rsidRDefault="003E78AB">
            <w:pPr>
              <w:spacing w:line="360" w:lineRule="exact"/>
              <w:ind w:firstLineChars="0" w:firstLine="0"/>
              <w:jc w:val="center"/>
              <w:rPr>
                <w:sz w:val="21"/>
                <w:szCs w:val="21"/>
              </w:rPr>
            </w:pPr>
          </w:p>
        </w:tc>
        <w:tc>
          <w:tcPr>
            <w:tcW w:w="128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FABF5F" w14:textId="77777777" w:rsidR="003E78AB" w:rsidRDefault="00010BF9">
            <w:pPr>
              <w:spacing w:line="360" w:lineRule="exact"/>
              <w:ind w:firstLineChars="0" w:firstLine="0"/>
              <w:jc w:val="center"/>
              <w:textAlignment w:val="center"/>
              <w:rPr>
                <w:sz w:val="21"/>
                <w:szCs w:val="21"/>
              </w:rPr>
            </w:pPr>
            <w:r>
              <w:rPr>
                <w:sz w:val="21"/>
                <w:szCs w:val="21"/>
                <w:lang w:bidi="ar"/>
              </w:rPr>
              <w:t>供电</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C5947" w14:textId="77777777" w:rsidR="003E78AB" w:rsidRDefault="00010BF9">
            <w:pPr>
              <w:spacing w:line="360" w:lineRule="exact"/>
              <w:ind w:firstLineChars="0" w:firstLine="0"/>
              <w:jc w:val="left"/>
              <w:textAlignment w:val="center"/>
              <w:rPr>
                <w:sz w:val="21"/>
                <w:szCs w:val="21"/>
              </w:rPr>
            </w:pPr>
            <w:r>
              <w:rPr>
                <w:sz w:val="21"/>
                <w:szCs w:val="21"/>
                <w:lang w:bidi="ar"/>
              </w:rPr>
              <w:t>接自园区已有</w:t>
            </w:r>
            <w:r>
              <w:rPr>
                <w:rStyle w:val="font51"/>
                <w:rFonts w:ascii="Times New Roman" w:hAnsi="Times New Roman" w:cs="Times New Roman"/>
                <w:color w:val="auto"/>
                <w:lang w:bidi="ar"/>
              </w:rPr>
              <w:t>10kV</w:t>
            </w:r>
            <w:r>
              <w:rPr>
                <w:rStyle w:val="font41"/>
                <w:rFonts w:ascii="Times New Roman" w:hAnsi="Times New Roman" w:cs="Times New Roman" w:hint="default"/>
                <w:color w:val="auto"/>
                <w:lang w:bidi="ar"/>
              </w:rPr>
              <w:t>架空线路</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9FAB9"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42805283" w14:textId="77777777">
        <w:trPr>
          <w:trHeight w:val="280"/>
        </w:trPr>
        <w:tc>
          <w:tcPr>
            <w:tcW w:w="6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79352" w14:textId="77777777" w:rsidR="003E78AB" w:rsidRDefault="003E78AB">
            <w:pPr>
              <w:spacing w:line="360" w:lineRule="exact"/>
              <w:ind w:firstLineChars="0" w:firstLine="0"/>
              <w:jc w:val="center"/>
              <w:rPr>
                <w:sz w:val="21"/>
                <w:szCs w:val="21"/>
              </w:rPr>
            </w:pPr>
          </w:p>
        </w:tc>
        <w:tc>
          <w:tcPr>
            <w:tcW w:w="1286"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B5907" w14:textId="77777777" w:rsidR="003E78AB" w:rsidRDefault="003E78AB">
            <w:pPr>
              <w:spacing w:line="360" w:lineRule="exact"/>
              <w:ind w:firstLineChars="0" w:firstLine="0"/>
              <w:jc w:val="center"/>
              <w:rPr>
                <w:sz w:val="21"/>
                <w:szCs w:val="21"/>
              </w:rPr>
            </w:pP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329C6" w14:textId="77777777" w:rsidR="003E78AB" w:rsidRDefault="00010BF9">
            <w:pPr>
              <w:spacing w:line="360" w:lineRule="exact"/>
              <w:ind w:firstLineChars="0" w:firstLine="0"/>
              <w:jc w:val="left"/>
              <w:textAlignment w:val="center"/>
              <w:rPr>
                <w:sz w:val="21"/>
                <w:szCs w:val="21"/>
              </w:rPr>
            </w:pPr>
            <w:r>
              <w:rPr>
                <w:sz w:val="21"/>
                <w:szCs w:val="21"/>
                <w:lang w:bidi="ar"/>
              </w:rPr>
              <w:t>在动力车间设一间柴油发电机房，作为低压备用电源</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66EAB"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338F449C" w14:textId="77777777">
        <w:trPr>
          <w:trHeight w:val="540"/>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A54DD" w14:textId="77777777" w:rsidR="003E78AB" w:rsidRDefault="00010BF9">
            <w:pPr>
              <w:spacing w:line="360" w:lineRule="exact"/>
              <w:ind w:firstLineChars="0" w:firstLine="0"/>
              <w:jc w:val="center"/>
              <w:textAlignment w:val="center"/>
              <w:rPr>
                <w:sz w:val="21"/>
                <w:szCs w:val="21"/>
              </w:rPr>
            </w:pPr>
            <w:r>
              <w:rPr>
                <w:noProof/>
                <w:sz w:val="21"/>
                <w:szCs w:val="21"/>
                <w:bdr w:val="single" w:sz="4" w:space="0" w:color="00000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0" cy="120650"/>
                  <wp:effectExtent l="0" t="0" r="0" b="5715"/>
                  <wp:wrapNone/>
                  <wp:docPr id="44" name="图片_1"/>
                  <wp:cNvGraphicFramePr/>
                  <a:graphic xmlns:a="http://schemas.openxmlformats.org/drawingml/2006/main">
                    <a:graphicData uri="http://schemas.openxmlformats.org/drawingml/2006/picture">
                      <pic:pic xmlns:pic="http://schemas.openxmlformats.org/drawingml/2006/picture">
                        <pic:nvPicPr>
                          <pic:cNvPr id="44" name="图片_1"/>
                          <pic:cNvPicPr/>
                        </pic:nvPicPr>
                        <pic:blipFill>
                          <a:blip r:embed="rId20"/>
                          <a:stretch>
                            <a:fillRect/>
                          </a:stretch>
                        </pic:blipFill>
                        <pic:spPr>
                          <a:xfrm>
                            <a:off x="0" y="0"/>
                            <a:ext cx="101600" cy="120650"/>
                          </a:xfrm>
                          <a:prstGeom prst="rect">
                            <a:avLst/>
                          </a:prstGeom>
                          <a:noFill/>
                          <a:ln>
                            <a:noFill/>
                          </a:ln>
                        </pic:spPr>
                      </pic:pic>
                    </a:graphicData>
                  </a:graphic>
                </wp:anchor>
              </w:drawing>
            </w:r>
            <w:r>
              <w:rPr>
                <w:sz w:val="21"/>
                <w:szCs w:val="21"/>
                <w:lang w:bidi="ar"/>
              </w:rPr>
              <w:t>环保工程</w:t>
            </w:r>
          </w:p>
        </w:tc>
        <w:tc>
          <w:tcPr>
            <w:tcW w:w="643" w:type="pct"/>
            <w:vMerge w:val="restart"/>
            <w:tcBorders>
              <w:top w:val="single" w:sz="4" w:space="0" w:color="000000"/>
              <w:left w:val="single" w:sz="4" w:space="0" w:color="000000"/>
              <w:right w:val="single" w:sz="4" w:space="0" w:color="000000"/>
            </w:tcBorders>
            <w:shd w:val="clear" w:color="auto" w:fill="auto"/>
            <w:vAlign w:val="center"/>
          </w:tcPr>
          <w:p w14:paraId="6BC683FD" w14:textId="77777777" w:rsidR="003E78AB" w:rsidRDefault="00010BF9">
            <w:pPr>
              <w:spacing w:line="360" w:lineRule="exact"/>
              <w:ind w:firstLineChars="0" w:firstLine="0"/>
              <w:jc w:val="center"/>
              <w:textAlignment w:val="center"/>
              <w:rPr>
                <w:sz w:val="21"/>
                <w:szCs w:val="21"/>
              </w:rPr>
            </w:pPr>
            <w:r>
              <w:rPr>
                <w:sz w:val="21"/>
                <w:szCs w:val="21"/>
                <w:lang w:bidi="ar"/>
              </w:rPr>
              <w:t>废气</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27BB8" w14:textId="77777777" w:rsidR="003E78AB" w:rsidRDefault="00010BF9">
            <w:pPr>
              <w:spacing w:line="360" w:lineRule="exact"/>
              <w:ind w:firstLineChars="0" w:firstLine="0"/>
              <w:jc w:val="center"/>
              <w:textAlignment w:val="center"/>
              <w:rPr>
                <w:sz w:val="21"/>
                <w:szCs w:val="21"/>
              </w:rPr>
            </w:pPr>
            <w:r>
              <w:rPr>
                <w:sz w:val="21"/>
                <w:szCs w:val="21"/>
                <w:lang w:bidi="ar"/>
              </w:rPr>
              <w:t>投料粉尘</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11097" w14:textId="77777777" w:rsidR="003E78AB" w:rsidRDefault="00010BF9">
            <w:pPr>
              <w:spacing w:line="360" w:lineRule="exact"/>
              <w:ind w:firstLineChars="0" w:firstLine="0"/>
              <w:jc w:val="left"/>
              <w:textAlignment w:val="center"/>
              <w:rPr>
                <w:sz w:val="21"/>
                <w:szCs w:val="21"/>
              </w:rPr>
            </w:pPr>
            <w:r>
              <w:rPr>
                <w:sz w:val="21"/>
                <w:szCs w:val="21"/>
                <w:lang w:bidi="ar"/>
              </w:rPr>
              <w:t>五氧化二钒和</w:t>
            </w:r>
            <w:r>
              <w:rPr>
                <w:rFonts w:hint="eastAsia"/>
                <w:sz w:val="21"/>
                <w:szCs w:val="21"/>
                <w:lang w:bidi="ar"/>
              </w:rPr>
              <w:t>二水草酸拆包</w:t>
            </w:r>
            <w:r>
              <w:rPr>
                <w:sz w:val="21"/>
                <w:szCs w:val="21"/>
                <w:lang w:bidi="ar"/>
              </w:rPr>
              <w:t>投料产生的粉尘经</w:t>
            </w:r>
            <w:r>
              <w:rPr>
                <w:rFonts w:hint="eastAsia"/>
                <w:sz w:val="21"/>
                <w:szCs w:val="21"/>
                <w:lang w:bidi="ar"/>
              </w:rPr>
              <w:t>各自配套的</w:t>
            </w:r>
            <w:r>
              <w:rPr>
                <w:sz w:val="21"/>
                <w:szCs w:val="21"/>
                <w:lang w:bidi="ar"/>
              </w:rPr>
              <w:t>布袋除尘器处理后达标排放</w:t>
            </w:r>
            <w:r>
              <w:rPr>
                <w:rFonts w:hint="eastAsia"/>
                <w:sz w:val="21"/>
                <w:szCs w:val="21"/>
                <w:lang w:bidi="ar"/>
              </w:rPr>
              <w:t>（</w:t>
            </w:r>
            <w:r>
              <w:rPr>
                <w:rFonts w:hint="eastAsia"/>
                <w:sz w:val="21"/>
                <w:szCs w:val="21"/>
                <w:lang w:bidi="ar"/>
              </w:rPr>
              <w:t>DA001</w:t>
            </w:r>
            <w:r>
              <w:rPr>
                <w:rFonts w:hint="eastAsia"/>
                <w:sz w:val="21"/>
                <w:szCs w:val="21"/>
                <w:lang w:bidi="ar"/>
              </w:rPr>
              <w:t>、</w:t>
            </w:r>
            <w:r>
              <w:rPr>
                <w:rFonts w:hint="eastAsia"/>
                <w:sz w:val="21"/>
                <w:szCs w:val="21"/>
                <w:lang w:bidi="ar"/>
              </w:rPr>
              <w:t>DA002</w:t>
            </w:r>
            <w:r>
              <w:rPr>
                <w:rFonts w:hint="eastAsia"/>
                <w:sz w:val="21"/>
                <w:szCs w:val="21"/>
                <w:lang w:bidi="ar"/>
              </w:rPr>
              <w:t>）</w:t>
            </w:r>
            <w:r>
              <w:rPr>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66D63"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2E747BB7" w14:textId="77777777">
        <w:trPr>
          <w:trHeight w:val="9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DFC1" w14:textId="77777777" w:rsidR="003E78AB" w:rsidRDefault="003E78AB">
            <w:pPr>
              <w:spacing w:line="360" w:lineRule="exact"/>
              <w:ind w:firstLineChars="0" w:firstLine="0"/>
              <w:jc w:val="center"/>
              <w:rPr>
                <w:sz w:val="21"/>
                <w:szCs w:val="21"/>
              </w:rPr>
            </w:pPr>
          </w:p>
        </w:tc>
        <w:tc>
          <w:tcPr>
            <w:tcW w:w="643" w:type="pct"/>
            <w:vMerge/>
            <w:tcBorders>
              <w:left w:val="single" w:sz="4" w:space="0" w:color="000000"/>
              <w:right w:val="single" w:sz="4" w:space="0" w:color="000000"/>
            </w:tcBorders>
            <w:shd w:val="clear" w:color="auto" w:fill="auto"/>
            <w:vAlign w:val="center"/>
          </w:tcPr>
          <w:p w14:paraId="525FA2BD"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30C45" w14:textId="77777777" w:rsidR="003E78AB" w:rsidRDefault="00010BF9">
            <w:pPr>
              <w:spacing w:line="360" w:lineRule="exact"/>
              <w:ind w:firstLineChars="0" w:firstLine="0"/>
              <w:jc w:val="center"/>
              <w:textAlignment w:val="center"/>
              <w:rPr>
                <w:sz w:val="21"/>
                <w:szCs w:val="21"/>
              </w:rPr>
            </w:pPr>
            <w:r>
              <w:rPr>
                <w:rFonts w:hint="eastAsia"/>
                <w:sz w:val="21"/>
                <w:szCs w:val="21"/>
                <w:lang w:bidi="ar"/>
              </w:rPr>
              <w:t>工艺</w:t>
            </w:r>
            <w:r>
              <w:rPr>
                <w:sz w:val="21"/>
                <w:szCs w:val="21"/>
                <w:lang w:bidi="ar"/>
              </w:rPr>
              <w:t>废气</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A8437" w14:textId="77777777" w:rsidR="003E78AB" w:rsidRDefault="00010BF9">
            <w:pPr>
              <w:spacing w:line="360" w:lineRule="exact"/>
              <w:ind w:firstLineChars="0" w:firstLine="0"/>
              <w:jc w:val="left"/>
              <w:textAlignment w:val="center"/>
              <w:rPr>
                <w:sz w:val="21"/>
                <w:szCs w:val="21"/>
              </w:rPr>
            </w:pPr>
            <w:r>
              <w:rPr>
                <w:sz w:val="21"/>
                <w:szCs w:val="21"/>
                <w:lang w:bidi="ar"/>
              </w:rPr>
              <w:t>生产车间溶解还原</w:t>
            </w:r>
            <w:r>
              <w:rPr>
                <w:rFonts w:hint="eastAsia"/>
                <w:sz w:val="21"/>
                <w:szCs w:val="21"/>
                <w:lang w:bidi="ar"/>
              </w:rPr>
              <w:t>、硫酸稀释、电解及成品装卸</w:t>
            </w:r>
            <w:r>
              <w:rPr>
                <w:sz w:val="21"/>
                <w:szCs w:val="21"/>
                <w:lang w:bidi="ar"/>
              </w:rPr>
              <w:t>等工序</w:t>
            </w:r>
            <w:r>
              <w:rPr>
                <w:rFonts w:hint="eastAsia"/>
                <w:sz w:val="21"/>
                <w:szCs w:val="21"/>
                <w:lang w:bidi="ar"/>
              </w:rPr>
              <w:t>产生的</w:t>
            </w:r>
            <w:r>
              <w:rPr>
                <w:sz w:val="21"/>
                <w:szCs w:val="21"/>
                <w:lang w:bidi="ar"/>
              </w:rPr>
              <w:t>酸性气体</w:t>
            </w:r>
            <w:r>
              <w:rPr>
                <w:rFonts w:hint="eastAsia"/>
                <w:sz w:val="21"/>
                <w:szCs w:val="21"/>
                <w:lang w:bidi="ar"/>
              </w:rPr>
              <w:t>、</w:t>
            </w:r>
            <w:r>
              <w:rPr>
                <w:rFonts w:hint="eastAsia"/>
                <w:sz w:val="21"/>
                <w:szCs w:val="21"/>
                <w:lang w:bidi="ar"/>
              </w:rPr>
              <w:t>VOC</w:t>
            </w:r>
            <w:r>
              <w:rPr>
                <w:sz w:val="21"/>
                <w:szCs w:val="21"/>
                <w:lang w:bidi="ar"/>
              </w:rPr>
              <w:t>和磷酸装卸及大小呼吸废气等通过风机引入</w:t>
            </w:r>
            <w:r>
              <w:rPr>
                <w:sz w:val="21"/>
                <w:szCs w:val="21"/>
                <w:lang w:bidi="ar"/>
              </w:rPr>
              <w:t>1</w:t>
            </w:r>
            <w:r>
              <w:rPr>
                <w:sz w:val="21"/>
                <w:szCs w:val="21"/>
                <w:lang w:bidi="ar"/>
              </w:rPr>
              <w:t>套废气</w:t>
            </w:r>
            <w:r>
              <w:rPr>
                <w:rFonts w:hint="eastAsia"/>
                <w:sz w:val="21"/>
                <w:szCs w:val="21"/>
                <w:lang w:bidi="ar"/>
              </w:rPr>
              <w:t>淋洗</w:t>
            </w:r>
            <w:r>
              <w:rPr>
                <w:sz w:val="21"/>
                <w:szCs w:val="21"/>
                <w:lang w:bidi="ar"/>
              </w:rPr>
              <w:t>设施（一级碱洗塔</w:t>
            </w:r>
            <w:r>
              <w:rPr>
                <w:sz w:val="21"/>
                <w:szCs w:val="21"/>
                <w:lang w:bidi="ar"/>
              </w:rPr>
              <w:t>+</w:t>
            </w:r>
            <w:r>
              <w:rPr>
                <w:sz w:val="21"/>
                <w:szCs w:val="21"/>
                <w:lang w:bidi="ar"/>
              </w:rPr>
              <w:t>一级水洗塔）处理后达标排放</w:t>
            </w:r>
            <w:r>
              <w:rPr>
                <w:rFonts w:hint="eastAsia"/>
                <w:sz w:val="21"/>
                <w:szCs w:val="21"/>
                <w:lang w:bidi="ar"/>
              </w:rPr>
              <w:t>（</w:t>
            </w:r>
            <w:r>
              <w:rPr>
                <w:rFonts w:hint="eastAsia"/>
                <w:sz w:val="21"/>
                <w:szCs w:val="21"/>
                <w:lang w:bidi="ar"/>
              </w:rPr>
              <w:t>DA003</w:t>
            </w:r>
            <w:r>
              <w:rPr>
                <w:rFonts w:hint="eastAsia"/>
                <w:sz w:val="21"/>
                <w:szCs w:val="21"/>
                <w:lang w:bidi="ar"/>
              </w:rPr>
              <w:t>）</w:t>
            </w:r>
            <w:r>
              <w:rPr>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F00F4"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364101C9" w14:textId="77777777">
        <w:trPr>
          <w:trHeight w:val="9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AE49C" w14:textId="77777777" w:rsidR="003E78AB" w:rsidRDefault="003E78AB">
            <w:pPr>
              <w:spacing w:line="360" w:lineRule="exact"/>
              <w:ind w:firstLineChars="0" w:firstLine="0"/>
              <w:jc w:val="center"/>
              <w:rPr>
                <w:sz w:val="21"/>
                <w:szCs w:val="21"/>
              </w:rPr>
            </w:pPr>
          </w:p>
        </w:tc>
        <w:tc>
          <w:tcPr>
            <w:tcW w:w="643" w:type="pct"/>
            <w:vMerge/>
            <w:tcBorders>
              <w:left w:val="single" w:sz="4" w:space="0" w:color="000000"/>
              <w:bottom w:val="single" w:sz="4" w:space="0" w:color="000000"/>
              <w:right w:val="single" w:sz="4" w:space="0" w:color="000000"/>
            </w:tcBorders>
            <w:shd w:val="clear" w:color="auto" w:fill="auto"/>
            <w:vAlign w:val="center"/>
          </w:tcPr>
          <w:p w14:paraId="2DE1194D"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476A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锅炉烟气</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838FB" w14:textId="77777777" w:rsidR="003E78AB" w:rsidRDefault="00010BF9">
            <w:pPr>
              <w:spacing w:line="360" w:lineRule="exact"/>
              <w:ind w:firstLineChars="0" w:firstLine="0"/>
              <w:jc w:val="left"/>
              <w:textAlignment w:val="center"/>
              <w:rPr>
                <w:sz w:val="21"/>
                <w:szCs w:val="21"/>
                <w:lang w:bidi="ar"/>
              </w:rPr>
            </w:pPr>
            <w:r>
              <w:rPr>
                <w:rFonts w:hint="eastAsia"/>
                <w:sz w:val="21"/>
                <w:szCs w:val="21"/>
                <w:lang w:bidi="ar"/>
              </w:rPr>
              <w:t>2</w:t>
            </w:r>
            <w:r>
              <w:rPr>
                <w:sz w:val="21"/>
                <w:szCs w:val="21"/>
                <w:lang w:bidi="ar"/>
              </w:rPr>
              <w:t>台锅炉</w:t>
            </w:r>
            <w:r>
              <w:rPr>
                <w:rFonts w:hint="eastAsia"/>
                <w:sz w:val="21"/>
                <w:szCs w:val="21"/>
                <w:lang w:bidi="ar"/>
              </w:rPr>
              <w:t>各自配备</w:t>
            </w:r>
            <w:r>
              <w:rPr>
                <w:sz w:val="21"/>
                <w:szCs w:val="21"/>
                <w:lang w:bidi="ar"/>
              </w:rPr>
              <w:t>低氮燃烧技术</w:t>
            </w:r>
            <w:r>
              <w:rPr>
                <w:sz w:val="21"/>
                <w:szCs w:val="21"/>
                <w:lang w:bidi="ar"/>
              </w:rPr>
              <w:t>+</w:t>
            </w:r>
            <w:r>
              <w:rPr>
                <w:sz w:val="21"/>
                <w:szCs w:val="21"/>
                <w:lang w:bidi="ar"/>
              </w:rPr>
              <w:t>烟气再循环技术，合并一根排气筒</w:t>
            </w:r>
            <w:r>
              <w:rPr>
                <w:rFonts w:hint="eastAsia"/>
                <w:sz w:val="21"/>
                <w:szCs w:val="21"/>
                <w:lang w:bidi="ar"/>
              </w:rPr>
              <w:t>排放（</w:t>
            </w:r>
            <w:r>
              <w:rPr>
                <w:sz w:val="21"/>
                <w:szCs w:val="21"/>
                <w:lang w:bidi="ar"/>
              </w:rPr>
              <w:t>DA004</w:t>
            </w:r>
            <w:r>
              <w:rPr>
                <w:rFonts w:hint="eastAsia"/>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EF95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新建</w:t>
            </w:r>
          </w:p>
        </w:tc>
      </w:tr>
      <w:tr w:rsidR="003E78AB" w14:paraId="21AEF8A8"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E3ACE" w14:textId="77777777" w:rsidR="003E78AB" w:rsidRDefault="003E78AB">
            <w:pPr>
              <w:spacing w:line="360" w:lineRule="exact"/>
              <w:ind w:firstLineChars="0" w:firstLine="0"/>
              <w:jc w:val="center"/>
              <w:rPr>
                <w:sz w:val="21"/>
                <w:szCs w:val="21"/>
              </w:rPr>
            </w:pPr>
          </w:p>
        </w:tc>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2F948" w14:textId="77777777" w:rsidR="003E78AB" w:rsidRDefault="00010BF9">
            <w:pPr>
              <w:spacing w:line="360" w:lineRule="exact"/>
              <w:ind w:firstLineChars="0" w:firstLine="0"/>
              <w:jc w:val="center"/>
              <w:textAlignment w:val="center"/>
              <w:rPr>
                <w:sz w:val="21"/>
                <w:szCs w:val="21"/>
              </w:rPr>
            </w:pPr>
            <w:r>
              <w:rPr>
                <w:sz w:val="21"/>
                <w:szCs w:val="21"/>
                <w:lang w:bidi="ar"/>
              </w:rPr>
              <w:t>废水</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21028" w14:textId="77777777" w:rsidR="003E78AB" w:rsidRDefault="00010BF9">
            <w:pPr>
              <w:spacing w:line="360" w:lineRule="exact"/>
              <w:ind w:firstLineChars="0" w:firstLine="0"/>
              <w:jc w:val="center"/>
              <w:textAlignment w:val="center"/>
              <w:rPr>
                <w:sz w:val="21"/>
                <w:szCs w:val="21"/>
              </w:rPr>
            </w:pPr>
            <w:r>
              <w:rPr>
                <w:rFonts w:hint="eastAsia"/>
                <w:sz w:val="21"/>
                <w:szCs w:val="21"/>
              </w:rPr>
              <w:t>淋洗废水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28F92" w14:textId="77777777" w:rsidR="003E78AB" w:rsidRDefault="00010BF9">
            <w:pPr>
              <w:spacing w:line="360" w:lineRule="exact"/>
              <w:ind w:firstLineChars="0" w:firstLine="0"/>
              <w:jc w:val="left"/>
              <w:textAlignment w:val="center"/>
              <w:rPr>
                <w:sz w:val="21"/>
                <w:szCs w:val="21"/>
                <w:lang w:bidi="ar"/>
              </w:rPr>
            </w:pPr>
            <w:r>
              <w:rPr>
                <w:sz w:val="21"/>
                <w:szCs w:val="21"/>
                <w:lang w:bidi="ar"/>
              </w:rPr>
              <w:t>工艺废气处理废水经蒸发冷凝后回用</w:t>
            </w:r>
            <w:r>
              <w:rPr>
                <w:rFonts w:hint="eastAsia"/>
                <w:sz w:val="21"/>
                <w:szCs w:val="21"/>
                <w:lang w:bidi="ar"/>
              </w:rPr>
              <w:t>于淋洗补水配碱。</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AA0FD"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161D36E8"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60A7D" w14:textId="77777777" w:rsidR="003E78AB" w:rsidRDefault="003E78AB">
            <w:pPr>
              <w:spacing w:line="360" w:lineRule="exact"/>
              <w:ind w:firstLineChars="0" w:firstLine="0"/>
              <w:jc w:val="center"/>
              <w:rPr>
                <w:sz w:val="21"/>
                <w:szCs w:val="21"/>
              </w:rPr>
            </w:pPr>
          </w:p>
        </w:tc>
        <w:tc>
          <w:tcPr>
            <w:tcW w:w="643" w:type="pct"/>
            <w:vMerge/>
            <w:tcBorders>
              <w:left w:val="single" w:sz="4" w:space="0" w:color="000000"/>
              <w:right w:val="single" w:sz="4" w:space="0" w:color="000000"/>
            </w:tcBorders>
            <w:shd w:val="clear" w:color="auto" w:fill="auto"/>
            <w:noWrap/>
            <w:vAlign w:val="center"/>
          </w:tcPr>
          <w:p w14:paraId="414D45DC" w14:textId="77777777" w:rsidR="003E78AB" w:rsidRDefault="003E78AB">
            <w:pPr>
              <w:spacing w:line="360" w:lineRule="exact"/>
              <w:ind w:firstLineChars="0" w:firstLine="0"/>
              <w:jc w:val="center"/>
              <w:textAlignment w:val="center"/>
              <w:rPr>
                <w:sz w:val="21"/>
                <w:szCs w:val="21"/>
                <w:lang w:bidi="ar"/>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DEAB4" w14:textId="77777777" w:rsidR="003E78AB" w:rsidRDefault="00010BF9">
            <w:pPr>
              <w:spacing w:line="360" w:lineRule="exact"/>
              <w:ind w:firstLineChars="0" w:firstLine="0"/>
              <w:jc w:val="center"/>
              <w:textAlignment w:val="center"/>
              <w:rPr>
                <w:sz w:val="21"/>
                <w:szCs w:val="21"/>
              </w:rPr>
            </w:pPr>
            <w:r>
              <w:rPr>
                <w:sz w:val="21"/>
                <w:szCs w:val="21"/>
                <w:lang w:bidi="ar"/>
              </w:rPr>
              <w:t>实验废水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1D6CE" w14:textId="77777777" w:rsidR="003E78AB" w:rsidRDefault="00010BF9">
            <w:pPr>
              <w:spacing w:line="360" w:lineRule="exact"/>
              <w:ind w:firstLineChars="0" w:firstLine="0"/>
              <w:jc w:val="left"/>
              <w:textAlignment w:val="center"/>
              <w:rPr>
                <w:sz w:val="21"/>
                <w:szCs w:val="21"/>
                <w:lang w:bidi="ar"/>
              </w:rPr>
            </w:pPr>
            <w:r>
              <w:rPr>
                <w:sz w:val="21"/>
                <w:szCs w:val="21"/>
                <w:lang w:bidi="ar"/>
              </w:rPr>
              <w:t>经生产车间</w:t>
            </w:r>
            <w:r>
              <w:rPr>
                <w:sz w:val="21"/>
                <w:szCs w:val="21"/>
                <w:lang w:bidi="ar"/>
              </w:rPr>
              <w:t>15m</w:t>
            </w:r>
            <w:r>
              <w:rPr>
                <w:sz w:val="21"/>
                <w:szCs w:val="21"/>
                <w:vertAlign w:val="superscript"/>
                <w:lang w:bidi="ar"/>
              </w:rPr>
              <w:t>3</w:t>
            </w:r>
            <w:r>
              <w:rPr>
                <w:sz w:val="21"/>
                <w:szCs w:val="21"/>
                <w:lang w:bidi="ar"/>
              </w:rPr>
              <w:t>电解液事故罐收集后回用于生产</w:t>
            </w:r>
            <w:r>
              <w:rPr>
                <w:rFonts w:hint="eastAsia"/>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A676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新建</w:t>
            </w:r>
          </w:p>
        </w:tc>
      </w:tr>
      <w:tr w:rsidR="003E78AB" w14:paraId="7248663E"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1228" w14:textId="77777777" w:rsidR="003E78AB" w:rsidRDefault="003E78AB">
            <w:pPr>
              <w:spacing w:line="360" w:lineRule="exact"/>
              <w:ind w:firstLineChars="0" w:firstLine="0"/>
              <w:jc w:val="center"/>
              <w:rPr>
                <w:sz w:val="21"/>
                <w:szCs w:val="21"/>
              </w:rPr>
            </w:pPr>
          </w:p>
        </w:tc>
        <w:tc>
          <w:tcPr>
            <w:tcW w:w="643" w:type="pct"/>
            <w:vMerge/>
            <w:tcBorders>
              <w:left w:val="single" w:sz="4" w:space="0" w:color="000000"/>
              <w:right w:val="single" w:sz="4" w:space="0" w:color="000000"/>
            </w:tcBorders>
            <w:shd w:val="clear" w:color="auto" w:fill="auto"/>
            <w:noWrap/>
            <w:vAlign w:val="center"/>
          </w:tcPr>
          <w:p w14:paraId="3E558B5B" w14:textId="77777777" w:rsidR="003E78AB" w:rsidRDefault="003E78AB">
            <w:pPr>
              <w:spacing w:line="360" w:lineRule="exact"/>
              <w:ind w:firstLineChars="0" w:firstLine="0"/>
              <w:jc w:val="center"/>
              <w:textAlignment w:val="center"/>
              <w:rPr>
                <w:sz w:val="21"/>
                <w:szCs w:val="21"/>
                <w:lang w:bidi="ar"/>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00197" w14:textId="77777777" w:rsidR="003E78AB" w:rsidRDefault="00010BF9">
            <w:pPr>
              <w:spacing w:line="360" w:lineRule="exact"/>
              <w:ind w:firstLineChars="0" w:firstLine="0"/>
              <w:jc w:val="center"/>
              <w:textAlignment w:val="center"/>
              <w:rPr>
                <w:sz w:val="21"/>
                <w:szCs w:val="21"/>
              </w:rPr>
            </w:pPr>
            <w:r>
              <w:rPr>
                <w:rFonts w:hint="eastAsia"/>
                <w:sz w:val="21"/>
                <w:szCs w:val="21"/>
                <w:lang w:bidi="ar"/>
              </w:rPr>
              <w:t>水制备、</w:t>
            </w:r>
            <w:r>
              <w:rPr>
                <w:sz w:val="21"/>
                <w:szCs w:val="21"/>
                <w:lang w:bidi="ar"/>
              </w:rPr>
              <w:t>锅炉排水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9EE66" w14:textId="77777777" w:rsidR="003E78AB" w:rsidRDefault="00010BF9">
            <w:pPr>
              <w:spacing w:line="360" w:lineRule="exact"/>
              <w:ind w:firstLineChars="0" w:firstLine="0"/>
              <w:jc w:val="left"/>
              <w:textAlignment w:val="center"/>
              <w:rPr>
                <w:sz w:val="21"/>
                <w:szCs w:val="21"/>
                <w:lang w:bidi="ar"/>
              </w:rPr>
            </w:pPr>
            <w:r>
              <w:rPr>
                <w:sz w:val="21"/>
                <w:szCs w:val="21"/>
                <w:lang w:bidi="ar"/>
              </w:rPr>
              <w:t>地面冲洗水、软水制备及纯水制备排浓水、锅炉排水经厂内污水管道收集经厂区总排口排入园区污水厂进一步处理</w:t>
            </w:r>
            <w:r>
              <w:rPr>
                <w:rFonts w:hint="eastAsia"/>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B924D" w14:textId="77777777" w:rsidR="003E78AB" w:rsidRDefault="00010BF9">
            <w:pPr>
              <w:spacing w:line="360" w:lineRule="exact"/>
              <w:ind w:firstLineChars="0" w:firstLine="0"/>
              <w:jc w:val="center"/>
              <w:textAlignment w:val="center"/>
              <w:rPr>
                <w:sz w:val="21"/>
                <w:szCs w:val="21"/>
                <w:lang w:bidi="ar"/>
              </w:rPr>
            </w:pPr>
            <w:r>
              <w:rPr>
                <w:sz w:val="21"/>
                <w:szCs w:val="21"/>
                <w:lang w:bidi="ar"/>
              </w:rPr>
              <w:t>新建</w:t>
            </w:r>
          </w:p>
        </w:tc>
      </w:tr>
      <w:tr w:rsidR="003E78AB" w14:paraId="729FC953"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434B" w14:textId="77777777" w:rsidR="003E78AB" w:rsidRDefault="003E78AB">
            <w:pPr>
              <w:spacing w:line="360" w:lineRule="exact"/>
              <w:ind w:firstLineChars="0" w:firstLine="0"/>
              <w:jc w:val="center"/>
              <w:rPr>
                <w:sz w:val="21"/>
                <w:szCs w:val="21"/>
              </w:rPr>
            </w:pPr>
          </w:p>
        </w:tc>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D8E4F" w14:textId="77777777" w:rsidR="003E78AB" w:rsidRDefault="003E78AB">
            <w:pPr>
              <w:spacing w:line="360" w:lineRule="exact"/>
              <w:ind w:firstLineChars="0" w:firstLine="0"/>
              <w:jc w:val="center"/>
              <w:textAlignment w:val="center"/>
              <w:rPr>
                <w:sz w:val="21"/>
                <w:szCs w:val="21"/>
                <w:lang w:bidi="ar"/>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91C0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生活污水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61723" w14:textId="77777777" w:rsidR="003E78AB" w:rsidRDefault="00010BF9">
            <w:pPr>
              <w:spacing w:line="360" w:lineRule="exact"/>
              <w:ind w:firstLineChars="0" w:firstLine="0"/>
              <w:jc w:val="left"/>
              <w:textAlignment w:val="center"/>
              <w:rPr>
                <w:sz w:val="21"/>
                <w:szCs w:val="21"/>
                <w:lang w:bidi="ar"/>
              </w:rPr>
            </w:pPr>
            <w:r>
              <w:rPr>
                <w:sz w:val="21"/>
                <w:szCs w:val="21"/>
                <w:lang w:bidi="ar"/>
              </w:rPr>
              <w:t>生活污水经预处理后，经厂区总排口排入园区污水厂进一步处理</w:t>
            </w:r>
            <w:r>
              <w:rPr>
                <w:rFonts w:hint="eastAsia"/>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24938" w14:textId="77777777" w:rsidR="003E78AB" w:rsidRDefault="00010BF9">
            <w:pPr>
              <w:spacing w:line="360" w:lineRule="exact"/>
              <w:ind w:firstLineChars="0" w:firstLine="0"/>
              <w:jc w:val="center"/>
              <w:textAlignment w:val="center"/>
              <w:rPr>
                <w:sz w:val="21"/>
                <w:szCs w:val="21"/>
              </w:rPr>
            </w:pPr>
            <w:r>
              <w:rPr>
                <w:sz w:val="21"/>
                <w:szCs w:val="21"/>
                <w:lang w:bidi="ar"/>
              </w:rPr>
              <w:t>新建</w:t>
            </w:r>
          </w:p>
        </w:tc>
      </w:tr>
      <w:tr w:rsidR="003E78AB" w14:paraId="069403BD" w14:textId="77777777">
        <w:trPr>
          <w:trHeight w:val="285"/>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6923" w14:textId="77777777" w:rsidR="003E78AB" w:rsidRDefault="003E78AB">
            <w:pPr>
              <w:spacing w:line="360" w:lineRule="exact"/>
              <w:ind w:firstLineChars="0" w:firstLine="0"/>
              <w:jc w:val="center"/>
              <w:rPr>
                <w:sz w:val="21"/>
                <w:szCs w:val="21"/>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FD6AD0" w14:textId="77777777" w:rsidR="003E78AB" w:rsidRDefault="00010BF9">
            <w:pPr>
              <w:spacing w:line="360" w:lineRule="exact"/>
              <w:ind w:firstLineChars="0" w:firstLine="0"/>
              <w:jc w:val="center"/>
              <w:textAlignment w:val="center"/>
              <w:rPr>
                <w:sz w:val="21"/>
                <w:szCs w:val="21"/>
                <w:lang w:bidi="ar"/>
              </w:rPr>
            </w:pPr>
            <w:r>
              <w:rPr>
                <w:sz w:val="21"/>
                <w:szCs w:val="21"/>
                <w:lang w:bidi="ar"/>
              </w:rPr>
              <w:t>噪声</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77439" w14:textId="77777777" w:rsidR="003E78AB" w:rsidRDefault="00010BF9">
            <w:pPr>
              <w:spacing w:line="360" w:lineRule="exact"/>
              <w:ind w:firstLineChars="0" w:firstLine="0"/>
              <w:jc w:val="left"/>
              <w:textAlignment w:val="bottom"/>
              <w:rPr>
                <w:sz w:val="21"/>
                <w:szCs w:val="21"/>
              </w:rPr>
            </w:pPr>
            <w:r>
              <w:rPr>
                <w:sz w:val="21"/>
                <w:szCs w:val="21"/>
                <w:lang w:bidi="ar"/>
              </w:rPr>
              <w:t>采用低噪声设备、隔声、减振、消声等降噪措施。</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26D34"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r w:rsidR="003E78AB" w14:paraId="0D3A46E8" w14:textId="77777777">
        <w:trPr>
          <w:trHeight w:val="825"/>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24B4" w14:textId="77777777" w:rsidR="003E78AB" w:rsidRDefault="003E78AB">
            <w:pPr>
              <w:spacing w:line="360" w:lineRule="exact"/>
              <w:ind w:firstLineChars="0" w:firstLine="0"/>
              <w:jc w:val="center"/>
              <w:rPr>
                <w:sz w:val="21"/>
                <w:szCs w:val="21"/>
              </w:rPr>
            </w:pPr>
          </w:p>
        </w:tc>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CF7D2" w14:textId="77777777" w:rsidR="003E78AB" w:rsidRDefault="00010BF9">
            <w:pPr>
              <w:spacing w:line="360" w:lineRule="exact"/>
              <w:ind w:firstLineChars="0" w:firstLine="0"/>
              <w:jc w:val="center"/>
              <w:textAlignment w:val="center"/>
              <w:rPr>
                <w:sz w:val="21"/>
                <w:szCs w:val="21"/>
                <w:lang w:bidi="ar"/>
              </w:rPr>
            </w:pPr>
            <w:r>
              <w:rPr>
                <w:sz w:val="21"/>
                <w:szCs w:val="21"/>
                <w:lang w:bidi="ar"/>
              </w:rPr>
              <w:t>固体废物</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C1990" w14:textId="77777777" w:rsidR="003E78AB" w:rsidRDefault="00010BF9">
            <w:pPr>
              <w:spacing w:line="360" w:lineRule="exact"/>
              <w:ind w:firstLineChars="0" w:firstLine="0"/>
              <w:jc w:val="center"/>
              <w:textAlignment w:val="center"/>
              <w:rPr>
                <w:sz w:val="21"/>
                <w:szCs w:val="21"/>
                <w:lang w:bidi="ar"/>
              </w:rPr>
            </w:pPr>
            <w:r>
              <w:rPr>
                <w:sz w:val="21"/>
                <w:szCs w:val="21"/>
                <w:lang w:bidi="ar"/>
              </w:rPr>
              <w:t>一般固废仓库</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DA731" w14:textId="77777777" w:rsidR="003E78AB" w:rsidRDefault="00010BF9">
            <w:pPr>
              <w:spacing w:line="360" w:lineRule="exact"/>
              <w:ind w:firstLineChars="0" w:firstLine="0"/>
              <w:jc w:val="left"/>
              <w:textAlignment w:val="center"/>
              <w:rPr>
                <w:sz w:val="21"/>
                <w:szCs w:val="21"/>
              </w:rPr>
            </w:pPr>
            <w:bookmarkStart w:id="199" w:name="OLE_LINK43"/>
            <w:r>
              <w:rPr>
                <w:sz w:val="21"/>
                <w:szCs w:val="21"/>
                <w:lang w:bidi="ar"/>
              </w:rPr>
              <w:t>设在仓库一，</w:t>
            </w:r>
            <w:bookmarkEnd w:id="199"/>
            <w:r>
              <w:rPr>
                <w:sz w:val="21"/>
                <w:szCs w:val="21"/>
                <w:lang w:bidi="ar"/>
              </w:rPr>
              <w:t>约</w:t>
            </w:r>
            <w:r>
              <w:rPr>
                <w:sz w:val="21"/>
                <w:szCs w:val="21"/>
                <w:lang w:bidi="ar"/>
              </w:rPr>
              <w:t>60m</w:t>
            </w:r>
            <w:r>
              <w:rPr>
                <w:sz w:val="21"/>
                <w:szCs w:val="21"/>
                <w:vertAlign w:val="superscript"/>
                <w:lang w:bidi="ar"/>
              </w:rPr>
              <w:t>3</w:t>
            </w:r>
            <w:r>
              <w:rPr>
                <w:sz w:val="21"/>
                <w:szCs w:val="21"/>
                <w:lang w:bidi="ar"/>
              </w:rPr>
              <w:t>，收集暂存一般固废，其中纯水及软水制备固废（废滤芯、废过滤膜）由生产厂家回收利用；废包装物（未沾染有毒有害物质的）</w:t>
            </w:r>
            <w:r>
              <w:rPr>
                <w:rFonts w:hint="eastAsia"/>
                <w:sz w:val="21"/>
                <w:szCs w:val="21"/>
                <w:lang w:bidi="ar"/>
              </w:rPr>
              <w:t>外售综合利用</w:t>
            </w:r>
            <w:r>
              <w:rPr>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3E2A2"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r w:rsidR="003E78AB" w14:paraId="2E5DECB5" w14:textId="77777777">
        <w:trPr>
          <w:trHeight w:val="1095"/>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EF4E5" w14:textId="77777777" w:rsidR="003E78AB" w:rsidRDefault="003E78AB">
            <w:pPr>
              <w:spacing w:line="360" w:lineRule="exact"/>
              <w:ind w:firstLineChars="0" w:firstLine="0"/>
              <w:jc w:val="center"/>
              <w:rPr>
                <w:sz w:val="21"/>
                <w:szCs w:val="21"/>
              </w:rPr>
            </w:pPr>
          </w:p>
        </w:tc>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5BB07"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4BA1B" w14:textId="77777777" w:rsidR="003E78AB" w:rsidRDefault="00010BF9">
            <w:pPr>
              <w:spacing w:line="360" w:lineRule="exact"/>
              <w:ind w:firstLineChars="0" w:firstLine="0"/>
              <w:jc w:val="center"/>
              <w:textAlignment w:val="center"/>
              <w:rPr>
                <w:sz w:val="21"/>
                <w:szCs w:val="21"/>
              </w:rPr>
            </w:pPr>
            <w:r>
              <w:rPr>
                <w:rFonts w:hint="eastAsia"/>
                <w:sz w:val="21"/>
                <w:szCs w:val="21"/>
                <w:lang w:bidi="ar"/>
              </w:rPr>
              <w:t>危险废物暂存间</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49159" w14:textId="77777777" w:rsidR="003E78AB" w:rsidRDefault="00010BF9">
            <w:pPr>
              <w:spacing w:line="360" w:lineRule="exact"/>
              <w:ind w:firstLineChars="0" w:firstLine="0"/>
              <w:jc w:val="left"/>
              <w:textAlignment w:val="center"/>
              <w:rPr>
                <w:sz w:val="21"/>
                <w:szCs w:val="21"/>
              </w:rPr>
            </w:pPr>
            <w:r>
              <w:rPr>
                <w:sz w:val="21"/>
                <w:szCs w:val="21"/>
                <w:lang w:bidi="ar"/>
              </w:rPr>
              <w:t>设在仓库一，约</w:t>
            </w:r>
            <w:r>
              <w:rPr>
                <w:sz w:val="21"/>
                <w:szCs w:val="21"/>
                <w:lang w:bidi="ar"/>
              </w:rPr>
              <w:t>60m</w:t>
            </w:r>
            <w:r>
              <w:rPr>
                <w:sz w:val="21"/>
                <w:szCs w:val="21"/>
                <w:vertAlign w:val="superscript"/>
                <w:lang w:bidi="ar"/>
              </w:rPr>
              <w:t>3</w:t>
            </w:r>
            <w:r>
              <w:rPr>
                <w:sz w:val="21"/>
                <w:szCs w:val="21"/>
                <w:lang w:bidi="ar"/>
              </w:rPr>
              <w:t>，收集暂存危险废物，其中</w:t>
            </w:r>
            <w:r>
              <w:rPr>
                <w:rFonts w:hint="eastAsia"/>
                <w:sz w:val="21"/>
                <w:szCs w:val="21"/>
                <w:lang w:bidi="ar"/>
              </w:rPr>
              <w:t>车间沉降灰、废包装袋内衬（沾染有毒有害物质的）、实验室废液、废试剂瓶、废润滑油、废包装桶、沾染物料的废抹布及劳保用品</w:t>
            </w:r>
            <w:r>
              <w:rPr>
                <w:sz w:val="21"/>
                <w:szCs w:val="21"/>
                <w:lang w:bidi="ar"/>
              </w:rPr>
              <w:t>等危险废物暂存于厂区危废暂存库，定期委托有资质单位处理。</w:t>
            </w:r>
            <w:r>
              <w:rPr>
                <w:rFonts w:hint="eastAsia"/>
                <w:sz w:val="21"/>
                <w:szCs w:val="21"/>
                <w:lang w:bidi="ar"/>
              </w:rPr>
              <w:t>结晶盐为固体废物，属性确定前按危废收集处置</w:t>
            </w:r>
            <w:r>
              <w:rPr>
                <w:rFonts w:hint="eastAsia"/>
                <w:sz w:val="21"/>
                <w:szCs w:val="21"/>
                <w:lang w:bidi="ar"/>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8E09E"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r w:rsidR="003E78AB" w14:paraId="567BF87A" w14:textId="77777777">
        <w:trPr>
          <w:trHeight w:val="28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EB764" w14:textId="77777777" w:rsidR="003E78AB" w:rsidRDefault="003E78AB">
            <w:pPr>
              <w:spacing w:line="360" w:lineRule="exact"/>
              <w:ind w:firstLineChars="0" w:firstLine="0"/>
              <w:jc w:val="center"/>
              <w:rPr>
                <w:sz w:val="21"/>
                <w:szCs w:val="21"/>
              </w:rPr>
            </w:pPr>
          </w:p>
        </w:tc>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E56CA"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44697" w14:textId="77777777" w:rsidR="003E78AB" w:rsidRDefault="00010BF9">
            <w:pPr>
              <w:spacing w:line="360" w:lineRule="exact"/>
              <w:ind w:firstLineChars="0" w:firstLine="0"/>
              <w:jc w:val="center"/>
              <w:textAlignment w:val="center"/>
              <w:rPr>
                <w:sz w:val="21"/>
                <w:szCs w:val="21"/>
              </w:rPr>
            </w:pPr>
            <w:r>
              <w:rPr>
                <w:sz w:val="21"/>
                <w:szCs w:val="21"/>
                <w:lang w:bidi="ar"/>
              </w:rPr>
              <w:t>生活垃圾</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50C6F" w14:textId="77777777" w:rsidR="003E78AB" w:rsidRDefault="00010BF9">
            <w:pPr>
              <w:spacing w:line="360" w:lineRule="exact"/>
              <w:ind w:firstLineChars="0" w:firstLine="0"/>
              <w:jc w:val="left"/>
              <w:textAlignment w:val="center"/>
              <w:rPr>
                <w:sz w:val="21"/>
                <w:szCs w:val="21"/>
              </w:rPr>
            </w:pPr>
            <w:r>
              <w:rPr>
                <w:sz w:val="21"/>
                <w:szCs w:val="21"/>
                <w:lang w:bidi="ar"/>
              </w:rPr>
              <w:t>生活垃圾集中收集后交由园区环卫部门统一处理。</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AE8A7"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r w:rsidR="003E78AB" w14:paraId="737179EE"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47CB" w14:textId="77777777" w:rsidR="003E78AB" w:rsidRDefault="003E78AB">
            <w:pPr>
              <w:spacing w:line="360" w:lineRule="exact"/>
              <w:ind w:firstLineChars="0" w:firstLine="0"/>
              <w:jc w:val="center"/>
              <w:rPr>
                <w:sz w:val="21"/>
                <w:szCs w:val="21"/>
              </w:rPr>
            </w:pPr>
          </w:p>
        </w:tc>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73108" w14:textId="77777777" w:rsidR="003E78AB" w:rsidRDefault="00010BF9">
            <w:pPr>
              <w:spacing w:line="360" w:lineRule="exact"/>
              <w:ind w:firstLineChars="0" w:firstLine="0"/>
              <w:jc w:val="center"/>
              <w:textAlignment w:val="center"/>
              <w:rPr>
                <w:sz w:val="21"/>
                <w:szCs w:val="21"/>
              </w:rPr>
            </w:pPr>
            <w:r>
              <w:rPr>
                <w:sz w:val="21"/>
                <w:szCs w:val="21"/>
                <w:lang w:bidi="ar"/>
              </w:rPr>
              <w:t>环境风险</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0C42B" w14:textId="77777777" w:rsidR="003E78AB" w:rsidRDefault="00010BF9">
            <w:pPr>
              <w:spacing w:line="360" w:lineRule="exact"/>
              <w:ind w:firstLineChars="0" w:firstLine="0"/>
              <w:jc w:val="center"/>
              <w:textAlignment w:val="center"/>
              <w:rPr>
                <w:sz w:val="21"/>
                <w:szCs w:val="21"/>
              </w:rPr>
            </w:pPr>
            <w:r>
              <w:rPr>
                <w:sz w:val="21"/>
                <w:szCs w:val="21"/>
                <w:lang w:bidi="ar"/>
              </w:rPr>
              <w:t>事故池</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26B4F" w14:textId="77777777" w:rsidR="003E78AB" w:rsidRDefault="00010BF9">
            <w:pPr>
              <w:spacing w:line="360" w:lineRule="exact"/>
              <w:ind w:firstLineChars="0" w:firstLine="0"/>
              <w:jc w:val="left"/>
              <w:textAlignment w:val="center"/>
              <w:rPr>
                <w:sz w:val="21"/>
                <w:szCs w:val="21"/>
              </w:rPr>
            </w:pPr>
            <w:r>
              <w:rPr>
                <w:sz w:val="21"/>
                <w:szCs w:val="21"/>
                <w:lang w:bidi="ar"/>
              </w:rPr>
              <w:t>位于厂区东南处，容积</w:t>
            </w:r>
            <w:r>
              <w:rPr>
                <w:sz w:val="21"/>
                <w:szCs w:val="21"/>
                <w:lang w:bidi="ar"/>
              </w:rPr>
              <w:t>900m</w:t>
            </w:r>
            <w:r>
              <w:rPr>
                <w:sz w:val="21"/>
                <w:szCs w:val="21"/>
                <w:vertAlign w:val="superscript"/>
                <w:lang w:bidi="ar"/>
              </w:rPr>
              <w:t>3</w:t>
            </w:r>
            <w:r>
              <w:rPr>
                <w:sz w:val="21"/>
                <w:szCs w:val="21"/>
                <w:lang w:bidi="ar"/>
              </w:rPr>
              <w:t>，深度约</w:t>
            </w:r>
            <w:r>
              <w:rPr>
                <w:sz w:val="21"/>
                <w:szCs w:val="21"/>
                <w:lang w:bidi="ar"/>
              </w:rPr>
              <w:t>3.3m</w:t>
            </w:r>
            <w:r>
              <w:rPr>
                <w:sz w:val="21"/>
                <w:szCs w:val="21"/>
                <w:lang w:bidi="ar"/>
              </w:rPr>
              <w:t>，用于事故水的应急存放。</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B6653"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r w:rsidR="003E78AB" w14:paraId="7AB1DD63" w14:textId="77777777">
        <w:trPr>
          <w:trHeight w:val="54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FA25C" w14:textId="77777777" w:rsidR="003E78AB" w:rsidRDefault="003E78AB">
            <w:pPr>
              <w:spacing w:line="360" w:lineRule="exact"/>
              <w:ind w:firstLineChars="0" w:firstLine="0"/>
              <w:jc w:val="center"/>
              <w:rPr>
                <w:sz w:val="21"/>
                <w:szCs w:val="21"/>
              </w:rPr>
            </w:pPr>
          </w:p>
        </w:tc>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489D9"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92F48" w14:textId="77777777" w:rsidR="003E78AB" w:rsidRDefault="00010BF9">
            <w:pPr>
              <w:spacing w:line="360" w:lineRule="exact"/>
              <w:ind w:firstLineChars="0" w:firstLine="0"/>
              <w:jc w:val="center"/>
              <w:textAlignment w:val="center"/>
              <w:rPr>
                <w:sz w:val="21"/>
                <w:szCs w:val="21"/>
              </w:rPr>
            </w:pPr>
            <w:r>
              <w:rPr>
                <w:sz w:val="21"/>
                <w:szCs w:val="21"/>
                <w:lang w:bidi="ar"/>
              </w:rPr>
              <w:t>初期雨水池</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7DB1C" w14:textId="77777777" w:rsidR="003E78AB" w:rsidRDefault="00010BF9">
            <w:pPr>
              <w:spacing w:line="360" w:lineRule="exact"/>
              <w:ind w:firstLineChars="0" w:firstLine="0"/>
              <w:jc w:val="left"/>
              <w:textAlignment w:val="center"/>
              <w:rPr>
                <w:sz w:val="21"/>
                <w:szCs w:val="21"/>
              </w:rPr>
            </w:pPr>
            <w:r>
              <w:rPr>
                <w:sz w:val="21"/>
                <w:szCs w:val="21"/>
                <w:lang w:bidi="ar"/>
              </w:rPr>
              <w:t>位于厂区东南处，容积</w:t>
            </w:r>
            <w:r>
              <w:rPr>
                <w:sz w:val="21"/>
                <w:szCs w:val="21"/>
                <w:lang w:bidi="ar"/>
              </w:rPr>
              <w:t>110m</w:t>
            </w:r>
            <w:r>
              <w:rPr>
                <w:sz w:val="21"/>
                <w:szCs w:val="21"/>
                <w:vertAlign w:val="superscript"/>
                <w:lang w:bidi="ar"/>
              </w:rPr>
              <w:t>3</w:t>
            </w:r>
            <w:r>
              <w:rPr>
                <w:sz w:val="21"/>
                <w:szCs w:val="21"/>
                <w:lang w:bidi="ar"/>
              </w:rPr>
              <w:t>，深度约</w:t>
            </w:r>
            <w:r>
              <w:rPr>
                <w:sz w:val="21"/>
                <w:szCs w:val="21"/>
                <w:lang w:bidi="ar"/>
              </w:rPr>
              <w:t>3.3m</w:t>
            </w:r>
            <w:r>
              <w:rPr>
                <w:sz w:val="21"/>
                <w:szCs w:val="21"/>
                <w:lang w:bidi="ar"/>
              </w:rPr>
              <w:t>，用于厂区初期雨水的收集。</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DA7F9"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r w:rsidR="003E78AB" w14:paraId="7F003C07" w14:textId="77777777">
        <w:trPr>
          <w:trHeight w:val="520"/>
        </w:trPr>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70851" w14:textId="77777777" w:rsidR="003E78AB" w:rsidRDefault="003E78AB">
            <w:pPr>
              <w:spacing w:line="360" w:lineRule="exact"/>
              <w:ind w:firstLineChars="0" w:firstLine="0"/>
              <w:jc w:val="center"/>
              <w:rPr>
                <w:sz w:val="21"/>
                <w:szCs w:val="21"/>
              </w:rPr>
            </w:pPr>
          </w:p>
        </w:tc>
        <w:tc>
          <w:tcPr>
            <w:tcW w:w="64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6CDE4" w14:textId="77777777" w:rsidR="003E78AB" w:rsidRDefault="003E78AB">
            <w:pPr>
              <w:spacing w:line="360" w:lineRule="exact"/>
              <w:ind w:firstLineChars="0" w:firstLine="0"/>
              <w:jc w:val="center"/>
              <w:rPr>
                <w:sz w:val="21"/>
                <w:szCs w:val="21"/>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55BB9" w14:textId="77777777" w:rsidR="003E78AB" w:rsidRDefault="00010BF9">
            <w:pPr>
              <w:spacing w:line="360" w:lineRule="exact"/>
              <w:ind w:firstLineChars="0" w:firstLine="0"/>
              <w:jc w:val="center"/>
              <w:textAlignment w:val="center"/>
              <w:rPr>
                <w:sz w:val="21"/>
                <w:szCs w:val="21"/>
              </w:rPr>
            </w:pPr>
            <w:r>
              <w:rPr>
                <w:sz w:val="21"/>
                <w:szCs w:val="21"/>
                <w:lang w:bidi="ar"/>
              </w:rPr>
              <w:t>其他</w:t>
            </w:r>
          </w:p>
        </w:tc>
        <w:tc>
          <w:tcPr>
            <w:tcW w:w="2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CB560" w14:textId="77777777" w:rsidR="003E78AB" w:rsidRDefault="00010BF9">
            <w:pPr>
              <w:spacing w:line="360" w:lineRule="exact"/>
              <w:ind w:firstLineChars="0" w:firstLine="0"/>
              <w:jc w:val="left"/>
              <w:textAlignment w:val="center"/>
              <w:rPr>
                <w:sz w:val="21"/>
                <w:szCs w:val="21"/>
              </w:rPr>
            </w:pPr>
            <w:r>
              <w:rPr>
                <w:sz w:val="21"/>
                <w:szCs w:val="21"/>
                <w:lang w:bidi="ar"/>
              </w:rPr>
              <w:t>消防水系统、</w:t>
            </w:r>
            <w:r>
              <w:rPr>
                <w:sz w:val="21"/>
                <w:szCs w:val="21"/>
                <w:lang w:bidi="ar"/>
              </w:rPr>
              <w:t>2</w:t>
            </w:r>
            <w:r>
              <w:rPr>
                <w:sz w:val="21"/>
                <w:szCs w:val="21"/>
                <w:lang w:bidi="ar"/>
              </w:rPr>
              <w:t>座消防水池（总容积</w:t>
            </w:r>
            <w:r>
              <w:rPr>
                <w:sz w:val="21"/>
                <w:szCs w:val="21"/>
                <w:lang w:bidi="ar"/>
              </w:rPr>
              <w:t>900m</w:t>
            </w:r>
            <w:r>
              <w:rPr>
                <w:sz w:val="21"/>
                <w:szCs w:val="21"/>
                <w:vertAlign w:val="superscript"/>
                <w:lang w:bidi="ar"/>
              </w:rPr>
              <w:t>3</w:t>
            </w:r>
            <w:r>
              <w:rPr>
                <w:sz w:val="21"/>
                <w:szCs w:val="21"/>
                <w:lang w:bidi="ar"/>
              </w:rPr>
              <w:t>）、全厂火灾自动报警系统等。</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716BD" w14:textId="77777777" w:rsidR="003E78AB" w:rsidRDefault="00010BF9">
            <w:pPr>
              <w:spacing w:line="360" w:lineRule="exact"/>
              <w:ind w:firstLineChars="0" w:firstLine="0"/>
              <w:jc w:val="center"/>
              <w:textAlignment w:val="bottom"/>
              <w:rPr>
                <w:sz w:val="21"/>
                <w:szCs w:val="21"/>
              </w:rPr>
            </w:pPr>
            <w:r>
              <w:rPr>
                <w:sz w:val="21"/>
                <w:szCs w:val="21"/>
                <w:lang w:bidi="ar"/>
              </w:rPr>
              <w:t>新建</w:t>
            </w:r>
          </w:p>
        </w:tc>
      </w:tr>
    </w:tbl>
    <w:p w14:paraId="470BE3E9" w14:textId="77777777" w:rsidR="003E78AB" w:rsidRDefault="00010BF9">
      <w:pPr>
        <w:pStyle w:val="31"/>
        <w:keepNext w:val="0"/>
        <w:keepLines w:val="0"/>
        <w:topLinePunct/>
        <w:spacing w:before="120"/>
        <w:rPr>
          <w:rFonts w:cs="Times New Roman"/>
        </w:rPr>
      </w:pPr>
      <w:bookmarkStart w:id="200" w:name="_Toc27891"/>
      <w:bookmarkStart w:id="201" w:name="_Toc23511"/>
      <w:bookmarkStart w:id="202" w:name="_Toc29559"/>
      <w:bookmarkStart w:id="203" w:name="_Toc13937"/>
      <w:bookmarkStart w:id="204" w:name="_Toc28241"/>
      <w:bookmarkStart w:id="205" w:name="_Toc27618"/>
      <w:bookmarkStart w:id="206" w:name="_Toc9803"/>
      <w:bookmarkStart w:id="207" w:name="_Toc770"/>
      <w:r>
        <w:rPr>
          <w:rFonts w:cs="Times New Roman"/>
        </w:rPr>
        <w:t>3.1.3</w:t>
      </w:r>
      <w:r>
        <w:rPr>
          <w:rFonts w:cs="Times New Roman"/>
        </w:rPr>
        <w:t>产品方案</w:t>
      </w:r>
    </w:p>
    <w:p w14:paraId="2E3335CA" w14:textId="77777777" w:rsidR="003E78AB" w:rsidRDefault="00010BF9">
      <w:pPr>
        <w:pStyle w:val="aff2"/>
        <w:topLinePunct/>
        <w:spacing w:line="520" w:lineRule="exact"/>
        <w:ind w:firstLine="480"/>
        <w:rPr>
          <w:rFonts w:cs="Times New Roman"/>
          <w:sz w:val="24"/>
        </w:rPr>
      </w:pPr>
      <w:r>
        <w:rPr>
          <w:rFonts w:cs="Times New Roman" w:hint="eastAsia"/>
          <w:sz w:val="24"/>
        </w:rPr>
        <w:t>本项目为一期工程，</w:t>
      </w:r>
      <w:r>
        <w:rPr>
          <w:rFonts w:cs="Times New Roman"/>
          <w:sz w:val="24"/>
        </w:rPr>
        <w:t>一期工程设计产能为</w:t>
      </w:r>
      <w:bookmarkStart w:id="208" w:name="OLE_LINK27"/>
      <w:r>
        <w:rPr>
          <w:rFonts w:cs="Times New Roman"/>
          <w:sz w:val="24"/>
        </w:rPr>
        <w:t>高活性</w:t>
      </w:r>
      <w:bookmarkStart w:id="209" w:name="OLE_LINK29"/>
      <w:r>
        <w:rPr>
          <w:rFonts w:cs="Times New Roman"/>
          <w:sz w:val="24"/>
        </w:rPr>
        <w:t>全钒液流电池</w:t>
      </w:r>
      <w:bookmarkEnd w:id="209"/>
      <w:r>
        <w:rPr>
          <w:rFonts w:cs="Times New Roman"/>
          <w:sz w:val="24"/>
        </w:rPr>
        <w:t>电解液</w:t>
      </w:r>
      <w:bookmarkEnd w:id="208"/>
      <w:r>
        <w:rPr>
          <w:rFonts w:cs="Times New Roman"/>
          <w:sz w:val="24"/>
        </w:rPr>
        <w:t>年产</w:t>
      </w:r>
      <w:r>
        <w:rPr>
          <w:rFonts w:cs="Times New Roman"/>
          <w:sz w:val="24"/>
        </w:rPr>
        <w:t>5</w:t>
      </w:r>
      <w:r>
        <w:rPr>
          <w:rFonts w:cs="Times New Roman"/>
          <w:sz w:val="24"/>
        </w:rPr>
        <w:t>万</w:t>
      </w:r>
      <w:bookmarkStart w:id="210" w:name="OLE_LINK28"/>
      <w:r>
        <w:rPr>
          <w:rFonts w:cs="Times New Roman"/>
          <w:sz w:val="24"/>
        </w:rPr>
        <w:t>m</w:t>
      </w:r>
      <w:r>
        <w:rPr>
          <w:rFonts w:cs="Times New Roman"/>
          <w:sz w:val="24"/>
          <w:vertAlign w:val="superscript"/>
        </w:rPr>
        <w:t>3</w:t>
      </w:r>
      <w:bookmarkEnd w:id="210"/>
      <w:r>
        <w:rPr>
          <w:rFonts w:cs="Times New Roman"/>
          <w:sz w:val="24"/>
        </w:rPr>
        <w:t>，具体见</w:t>
      </w:r>
      <w:r>
        <w:rPr>
          <w:rFonts w:cs="Times New Roman"/>
          <w:sz w:val="24"/>
        </w:rPr>
        <w:fldChar w:fldCharType="begin"/>
      </w:r>
      <w:r>
        <w:rPr>
          <w:rFonts w:cs="Times New Roman"/>
          <w:sz w:val="24"/>
        </w:rPr>
        <w:instrText xml:space="preserve"> REF _Ref21750 \r \h </w:instrText>
      </w:r>
      <w:r>
        <w:rPr>
          <w:rFonts w:cs="Times New Roman"/>
          <w:sz w:val="24"/>
        </w:rPr>
      </w:r>
      <w:r>
        <w:rPr>
          <w:rFonts w:cs="Times New Roman"/>
          <w:sz w:val="24"/>
        </w:rPr>
        <w:fldChar w:fldCharType="separate"/>
      </w:r>
      <w:r>
        <w:rPr>
          <w:rFonts w:cs="Times New Roman"/>
          <w:sz w:val="24"/>
        </w:rPr>
        <w:t>表</w:t>
      </w:r>
      <w:r>
        <w:rPr>
          <w:rFonts w:cs="Times New Roman"/>
          <w:sz w:val="24"/>
        </w:rPr>
        <w:t>3-2</w:t>
      </w:r>
      <w:r>
        <w:rPr>
          <w:rFonts w:cs="Times New Roman"/>
          <w:sz w:val="24"/>
        </w:rPr>
        <w:fldChar w:fldCharType="end"/>
      </w:r>
      <w:r>
        <w:rPr>
          <w:rFonts w:cs="Times New Roman"/>
          <w:sz w:val="24"/>
        </w:rPr>
        <w:t>。</w:t>
      </w:r>
    </w:p>
    <w:p w14:paraId="7DA35F8B" w14:textId="77777777" w:rsidR="003E78AB" w:rsidRDefault="00010BF9">
      <w:pPr>
        <w:pStyle w:val="a1"/>
        <w:spacing w:line="520" w:lineRule="exact"/>
        <w:rPr>
          <w:spacing w:val="-1"/>
        </w:rPr>
      </w:pPr>
      <w:bookmarkStart w:id="211" w:name="_Ref21750"/>
      <w:bookmarkStart w:id="212" w:name="OLE_LINK32"/>
      <w:r>
        <w:rPr>
          <w:spacing w:val="-1"/>
        </w:rPr>
        <w:t>产品方案一览表</w:t>
      </w:r>
      <w:bookmarkEnd w:id="211"/>
    </w:p>
    <w:bookmarkEnd w:id="212"/>
    <w:p w14:paraId="7F955D8A" w14:textId="77777777" w:rsidR="003E78AB" w:rsidRDefault="003E78AB">
      <w:pPr>
        <w:spacing w:line="22" w:lineRule="exact"/>
        <w:ind w:firstLine="480"/>
      </w:pPr>
    </w:p>
    <w:tbl>
      <w:tblPr>
        <w:tblStyle w:val="TableNormal"/>
        <w:tblW w:w="4997"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32"/>
        <w:gridCol w:w="2135"/>
        <w:gridCol w:w="1396"/>
        <w:gridCol w:w="616"/>
        <w:gridCol w:w="744"/>
        <w:gridCol w:w="1254"/>
        <w:gridCol w:w="1254"/>
      </w:tblGrid>
      <w:tr w:rsidR="003E78AB" w14:paraId="6630393C" w14:textId="77777777">
        <w:trPr>
          <w:trHeight w:val="231"/>
          <w:tblHeader/>
        </w:trPr>
        <w:tc>
          <w:tcPr>
            <w:tcW w:w="505" w:type="pct"/>
            <w:tcBorders>
              <w:top w:val="single" w:sz="2" w:space="0" w:color="000000"/>
              <w:bottom w:val="single" w:sz="2" w:space="0" w:color="000000"/>
            </w:tcBorders>
            <w:vAlign w:val="center"/>
          </w:tcPr>
          <w:p w14:paraId="203275B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时期</w:t>
            </w:r>
          </w:p>
        </w:tc>
        <w:tc>
          <w:tcPr>
            <w:tcW w:w="1296" w:type="pct"/>
            <w:tcBorders>
              <w:top w:val="single" w:sz="2" w:space="0" w:color="000000"/>
              <w:bottom w:val="single" w:sz="2" w:space="0" w:color="000000"/>
            </w:tcBorders>
            <w:vAlign w:val="center"/>
          </w:tcPr>
          <w:p w14:paraId="4AD9B2D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产品名称</w:t>
            </w:r>
          </w:p>
        </w:tc>
        <w:tc>
          <w:tcPr>
            <w:tcW w:w="847" w:type="pct"/>
            <w:tcBorders>
              <w:top w:val="single" w:sz="2" w:space="0" w:color="000000"/>
              <w:bottom w:val="single" w:sz="2" w:space="0" w:color="000000"/>
            </w:tcBorders>
            <w:vAlign w:val="center"/>
          </w:tcPr>
          <w:p w14:paraId="1CAE83AD"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品种</w:t>
            </w:r>
          </w:p>
        </w:tc>
        <w:tc>
          <w:tcPr>
            <w:tcW w:w="374" w:type="pct"/>
            <w:tcBorders>
              <w:top w:val="single" w:sz="2" w:space="0" w:color="000000"/>
              <w:bottom w:val="single" w:sz="2" w:space="0" w:color="000000"/>
            </w:tcBorders>
            <w:vAlign w:val="center"/>
          </w:tcPr>
          <w:p w14:paraId="6DFE45B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单位</w:t>
            </w:r>
          </w:p>
        </w:tc>
        <w:tc>
          <w:tcPr>
            <w:tcW w:w="452" w:type="pct"/>
            <w:tcBorders>
              <w:top w:val="single" w:sz="2" w:space="0" w:color="000000"/>
              <w:bottom w:val="single" w:sz="2" w:space="0" w:color="000000"/>
            </w:tcBorders>
            <w:vAlign w:val="center"/>
          </w:tcPr>
          <w:p w14:paraId="4EC523FE"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规模</w:t>
            </w:r>
          </w:p>
        </w:tc>
        <w:tc>
          <w:tcPr>
            <w:tcW w:w="761" w:type="pct"/>
            <w:tcBorders>
              <w:top w:val="single" w:sz="2" w:space="0" w:color="000000"/>
              <w:bottom w:val="single" w:sz="2" w:space="0" w:color="000000"/>
            </w:tcBorders>
            <w:vAlign w:val="center"/>
          </w:tcPr>
          <w:p w14:paraId="7C02AF32"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用途</w:t>
            </w:r>
          </w:p>
        </w:tc>
        <w:tc>
          <w:tcPr>
            <w:tcW w:w="761" w:type="pct"/>
            <w:tcBorders>
              <w:top w:val="single" w:sz="2" w:space="0" w:color="000000"/>
              <w:bottom w:val="single" w:sz="2" w:space="0" w:color="000000"/>
            </w:tcBorders>
            <w:vAlign w:val="center"/>
          </w:tcPr>
          <w:p w14:paraId="0E080EE6"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备注</w:t>
            </w:r>
          </w:p>
        </w:tc>
      </w:tr>
      <w:tr w:rsidR="003E78AB" w14:paraId="174D0F7C" w14:textId="77777777">
        <w:trPr>
          <w:trHeight w:val="468"/>
          <w:tblHeader/>
        </w:trPr>
        <w:tc>
          <w:tcPr>
            <w:tcW w:w="505" w:type="pct"/>
            <w:tcBorders>
              <w:top w:val="single" w:sz="2" w:space="0" w:color="000000"/>
              <w:bottom w:val="single" w:sz="2" w:space="0" w:color="000000"/>
            </w:tcBorders>
            <w:vAlign w:val="center"/>
          </w:tcPr>
          <w:p w14:paraId="6310AF07" w14:textId="77777777" w:rsidR="003E78AB" w:rsidRDefault="00010BF9">
            <w:pPr>
              <w:spacing w:line="360" w:lineRule="exact"/>
              <w:ind w:firstLineChars="0" w:firstLine="0"/>
              <w:jc w:val="center"/>
              <w:textAlignment w:val="center"/>
              <w:rPr>
                <w:sz w:val="21"/>
                <w:szCs w:val="21"/>
                <w:lang w:bidi="ar"/>
              </w:rPr>
            </w:pPr>
            <w:r>
              <w:rPr>
                <w:sz w:val="21"/>
                <w:szCs w:val="21"/>
                <w:lang w:bidi="ar"/>
              </w:rPr>
              <w:t>一期工程</w:t>
            </w:r>
          </w:p>
        </w:tc>
        <w:tc>
          <w:tcPr>
            <w:tcW w:w="1296" w:type="pct"/>
            <w:tcBorders>
              <w:top w:val="single" w:sz="2" w:space="0" w:color="000000"/>
              <w:bottom w:val="single" w:sz="2" w:space="0" w:color="000000"/>
            </w:tcBorders>
            <w:vAlign w:val="center"/>
          </w:tcPr>
          <w:p w14:paraId="12177F87" w14:textId="77777777" w:rsidR="003E78AB" w:rsidRDefault="00010BF9">
            <w:pPr>
              <w:spacing w:line="360" w:lineRule="exact"/>
              <w:ind w:firstLineChars="0" w:firstLine="0"/>
              <w:jc w:val="center"/>
              <w:textAlignment w:val="center"/>
              <w:rPr>
                <w:sz w:val="21"/>
                <w:szCs w:val="21"/>
                <w:lang w:bidi="ar"/>
              </w:rPr>
            </w:pPr>
            <w:r>
              <w:rPr>
                <w:sz w:val="21"/>
                <w:szCs w:val="21"/>
              </w:rPr>
              <w:t>高活性全钒液流电池电解液</w:t>
            </w:r>
          </w:p>
        </w:tc>
        <w:tc>
          <w:tcPr>
            <w:tcW w:w="847" w:type="pct"/>
            <w:tcBorders>
              <w:top w:val="single" w:sz="2" w:space="0" w:color="000000"/>
              <w:bottom w:val="single" w:sz="2" w:space="0" w:color="000000"/>
            </w:tcBorders>
            <w:vAlign w:val="center"/>
          </w:tcPr>
          <w:p w14:paraId="2A842BAC" w14:textId="77777777" w:rsidR="003E78AB" w:rsidRDefault="00010BF9">
            <w:pPr>
              <w:spacing w:line="360" w:lineRule="exact"/>
              <w:ind w:firstLineChars="0" w:firstLine="0"/>
              <w:jc w:val="center"/>
              <w:textAlignment w:val="center"/>
              <w:rPr>
                <w:sz w:val="21"/>
                <w:szCs w:val="21"/>
                <w:lang w:bidi="ar"/>
              </w:rPr>
            </w:pPr>
            <w:r>
              <w:rPr>
                <w:rFonts w:eastAsia="Times New Roman"/>
                <w:spacing w:val="-1"/>
                <w:sz w:val="21"/>
                <w:szCs w:val="21"/>
              </w:rPr>
              <w:t>3.5</w:t>
            </w:r>
            <w:r>
              <w:rPr>
                <w:spacing w:val="-1"/>
                <w:sz w:val="21"/>
                <w:szCs w:val="21"/>
              </w:rPr>
              <w:t>价钒</w:t>
            </w:r>
            <w:r>
              <w:rPr>
                <w:sz w:val="21"/>
                <w:szCs w:val="21"/>
              </w:rPr>
              <w:t>电解液</w:t>
            </w:r>
          </w:p>
        </w:tc>
        <w:tc>
          <w:tcPr>
            <w:tcW w:w="374" w:type="pct"/>
            <w:tcBorders>
              <w:top w:val="single" w:sz="2" w:space="0" w:color="000000"/>
              <w:bottom w:val="single" w:sz="2" w:space="0" w:color="000000"/>
            </w:tcBorders>
            <w:vAlign w:val="center"/>
          </w:tcPr>
          <w:p w14:paraId="2B8C1FDB" w14:textId="77777777" w:rsidR="003E78AB" w:rsidRDefault="00010BF9">
            <w:pPr>
              <w:spacing w:line="360" w:lineRule="exact"/>
              <w:ind w:firstLineChars="0" w:firstLine="0"/>
              <w:jc w:val="center"/>
              <w:textAlignment w:val="center"/>
              <w:rPr>
                <w:sz w:val="21"/>
                <w:szCs w:val="21"/>
                <w:lang w:bidi="ar"/>
              </w:rPr>
            </w:pPr>
            <w:r>
              <w:rPr>
                <w:sz w:val="21"/>
                <w:szCs w:val="21"/>
              </w:rPr>
              <w:t>m</w:t>
            </w:r>
            <w:r>
              <w:rPr>
                <w:sz w:val="21"/>
                <w:szCs w:val="21"/>
                <w:vertAlign w:val="superscript"/>
              </w:rPr>
              <w:t>3</w:t>
            </w:r>
          </w:p>
        </w:tc>
        <w:tc>
          <w:tcPr>
            <w:tcW w:w="452" w:type="pct"/>
            <w:tcBorders>
              <w:top w:val="single" w:sz="2" w:space="0" w:color="000000"/>
              <w:bottom w:val="single" w:sz="2" w:space="0" w:color="000000"/>
            </w:tcBorders>
            <w:vAlign w:val="center"/>
          </w:tcPr>
          <w:p w14:paraId="39AEDB24" w14:textId="77777777" w:rsidR="003E78AB" w:rsidRDefault="00010BF9">
            <w:pPr>
              <w:spacing w:line="360" w:lineRule="exact"/>
              <w:ind w:firstLineChars="0" w:firstLine="0"/>
              <w:jc w:val="center"/>
              <w:textAlignment w:val="center"/>
              <w:rPr>
                <w:sz w:val="21"/>
                <w:szCs w:val="21"/>
                <w:lang w:bidi="ar"/>
              </w:rPr>
            </w:pPr>
            <w:r>
              <w:rPr>
                <w:sz w:val="21"/>
                <w:szCs w:val="21"/>
                <w:lang w:bidi="ar"/>
              </w:rPr>
              <w:t>50000</w:t>
            </w:r>
          </w:p>
        </w:tc>
        <w:tc>
          <w:tcPr>
            <w:tcW w:w="761" w:type="pct"/>
            <w:tcBorders>
              <w:top w:val="single" w:sz="2" w:space="0" w:color="000000"/>
              <w:bottom w:val="single" w:sz="2" w:space="0" w:color="000000"/>
            </w:tcBorders>
            <w:vAlign w:val="center"/>
          </w:tcPr>
          <w:p w14:paraId="0419D1F8" w14:textId="77777777" w:rsidR="003E78AB" w:rsidRDefault="00010BF9">
            <w:pPr>
              <w:spacing w:line="360" w:lineRule="exact"/>
              <w:ind w:firstLineChars="0" w:firstLine="0"/>
              <w:jc w:val="center"/>
              <w:textAlignment w:val="center"/>
              <w:rPr>
                <w:sz w:val="21"/>
                <w:szCs w:val="21"/>
                <w:lang w:bidi="ar"/>
              </w:rPr>
            </w:pPr>
            <w:r>
              <w:rPr>
                <w:sz w:val="21"/>
                <w:szCs w:val="21"/>
              </w:rPr>
              <w:t>生产全钒液流电池</w:t>
            </w:r>
          </w:p>
        </w:tc>
        <w:tc>
          <w:tcPr>
            <w:tcW w:w="761" w:type="pct"/>
            <w:tcBorders>
              <w:top w:val="single" w:sz="2" w:space="0" w:color="000000"/>
              <w:bottom w:val="single" w:sz="2" w:space="0" w:color="000000"/>
            </w:tcBorders>
            <w:vAlign w:val="center"/>
          </w:tcPr>
          <w:p w14:paraId="6D98BB0F" w14:textId="77777777" w:rsidR="003E78AB" w:rsidRDefault="00010BF9">
            <w:pPr>
              <w:spacing w:line="360" w:lineRule="exact"/>
              <w:ind w:firstLineChars="0" w:firstLine="0"/>
              <w:jc w:val="center"/>
              <w:textAlignment w:val="center"/>
              <w:rPr>
                <w:sz w:val="21"/>
                <w:szCs w:val="21"/>
              </w:rPr>
            </w:pPr>
            <w:r>
              <w:rPr>
                <w:rFonts w:hint="eastAsia"/>
                <w:sz w:val="21"/>
                <w:szCs w:val="21"/>
                <w:lang w:bidi="ar"/>
              </w:rPr>
              <w:t>密度</w:t>
            </w:r>
            <w:r>
              <w:rPr>
                <w:rFonts w:hint="eastAsia"/>
                <w:sz w:val="21"/>
                <w:szCs w:val="21"/>
                <w:lang w:bidi="ar"/>
              </w:rPr>
              <w:t>1.4kg/m</w:t>
            </w:r>
            <w:r>
              <w:rPr>
                <w:rFonts w:hint="eastAsia"/>
                <w:sz w:val="21"/>
                <w:szCs w:val="21"/>
                <w:vertAlign w:val="superscript"/>
                <w:lang w:bidi="ar"/>
              </w:rPr>
              <w:t>3</w:t>
            </w:r>
          </w:p>
        </w:tc>
      </w:tr>
    </w:tbl>
    <w:p w14:paraId="0257C438" w14:textId="77777777" w:rsidR="003E78AB" w:rsidRDefault="00010BF9">
      <w:pPr>
        <w:pStyle w:val="aff2"/>
        <w:topLinePunct/>
        <w:spacing w:line="520" w:lineRule="exact"/>
        <w:ind w:firstLine="480"/>
        <w:rPr>
          <w:rFonts w:cs="Times New Roman"/>
          <w:sz w:val="24"/>
        </w:rPr>
      </w:pPr>
      <w:r>
        <w:rPr>
          <w:rFonts w:cs="Times New Roman"/>
          <w:sz w:val="24"/>
        </w:rPr>
        <w:t>项目产品主要成分含量执行《全钒液流电池用电解液》</w:t>
      </w:r>
      <w:r>
        <w:rPr>
          <w:rFonts w:cs="Times New Roman"/>
          <w:sz w:val="24"/>
        </w:rPr>
        <w:t>(GB/T37204-2018)</w:t>
      </w:r>
      <w:r>
        <w:rPr>
          <w:rFonts w:cs="Times New Roman"/>
          <w:sz w:val="24"/>
        </w:rPr>
        <w:t>中表</w:t>
      </w:r>
      <w:r>
        <w:rPr>
          <w:rFonts w:cs="Times New Roman"/>
          <w:sz w:val="24"/>
        </w:rPr>
        <w:t>1</w:t>
      </w:r>
      <w:r>
        <w:rPr>
          <w:rFonts w:cs="Times New Roman"/>
          <w:sz w:val="24"/>
        </w:rPr>
        <w:t>的</w:t>
      </w:r>
      <w:r>
        <w:rPr>
          <w:rFonts w:cs="Times New Roman"/>
          <w:sz w:val="24"/>
        </w:rPr>
        <w:t>3.5</w:t>
      </w:r>
      <w:r>
        <w:rPr>
          <w:rFonts w:cs="Times New Roman"/>
          <w:sz w:val="24"/>
        </w:rPr>
        <w:t>价电解液产品要求，见</w:t>
      </w:r>
      <w:r>
        <w:rPr>
          <w:rFonts w:cs="Times New Roman"/>
          <w:sz w:val="24"/>
        </w:rPr>
        <w:fldChar w:fldCharType="begin"/>
      </w:r>
      <w:r>
        <w:rPr>
          <w:rFonts w:cs="Times New Roman"/>
          <w:sz w:val="24"/>
        </w:rPr>
        <w:instrText xml:space="preserve"> REF _Ref21691 \r \h </w:instrText>
      </w:r>
      <w:r>
        <w:rPr>
          <w:rFonts w:cs="Times New Roman"/>
          <w:sz w:val="24"/>
        </w:rPr>
      </w:r>
      <w:r>
        <w:rPr>
          <w:rFonts w:cs="Times New Roman"/>
          <w:sz w:val="24"/>
        </w:rPr>
        <w:fldChar w:fldCharType="separate"/>
      </w:r>
      <w:r>
        <w:rPr>
          <w:rFonts w:cs="Times New Roman"/>
          <w:sz w:val="24"/>
        </w:rPr>
        <w:t>表</w:t>
      </w:r>
      <w:r>
        <w:rPr>
          <w:rFonts w:cs="Times New Roman"/>
          <w:sz w:val="24"/>
        </w:rPr>
        <w:t>3-3</w:t>
      </w:r>
      <w:r>
        <w:rPr>
          <w:rFonts w:cs="Times New Roman"/>
          <w:sz w:val="24"/>
        </w:rPr>
        <w:fldChar w:fldCharType="end"/>
      </w:r>
      <w:r>
        <w:rPr>
          <w:rFonts w:cs="Times New Roman"/>
          <w:sz w:val="24"/>
        </w:rPr>
        <w:t>。</w:t>
      </w:r>
    </w:p>
    <w:p w14:paraId="7C0F4659" w14:textId="77777777" w:rsidR="003E78AB" w:rsidRDefault="00010BF9">
      <w:pPr>
        <w:pStyle w:val="a1"/>
        <w:spacing w:line="520" w:lineRule="exact"/>
        <w:rPr>
          <w:spacing w:val="-1"/>
        </w:rPr>
      </w:pPr>
      <w:bookmarkStart w:id="213" w:name="_Ref21691"/>
      <w:r>
        <w:rPr>
          <w:spacing w:val="-1"/>
        </w:rPr>
        <w:t>钒电解液主成分含量</w:t>
      </w:r>
      <w:bookmarkEnd w:id="213"/>
    </w:p>
    <w:p w14:paraId="710AB267" w14:textId="77777777" w:rsidR="003E78AB" w:rsidRDefault="00010BF9">
      <w:pPr>
        <w:spacing w:line="25" w:lineRule="exact"/>
        <w:ind w:firstLine="476"/>
      </w:pPr>
      <w:r>
        <w:rPr>
          <w:rFonts w:eastAsia="黑体"/>
          <w:spacing w:val="-1"/>
        </w:rPr>
        <w:t>·</w:t>
      </w:r>
    </w:p>
    <w:tbl>
      <w:tblPr>
        <w:tblStyle w:val="TableNormal"/>
        <w:tblW w:w="503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84"/>
        <w:gridCol w:w="1687"/>
        <w:gridCol w:w="2262"/>
        <w:gridCol w:w="2460"/>
      </w:tblGrid>
      <w:tr w:rsidR="003E78AB" w14:paraId="0B90E264" w14:textId="77777777">
        <w:trPr>
          <w:trHeight w:val="344"/>
          <w:tblHeader/>
        </w:trPr>
        <w:tc>
          <w:tcPr>
            <w:tcW w:w="1136" w:type="pct"/>
            <w:vMerge w:val="restart"/>
            <w:tcBorders>
              <w:top w:val="single" w:sz="4" w:space="0" w:color="auto"/>
              <w:left w:val="single" w:sz="4" w:space="0" w:color="auto"/>
            </w:tcBorders>
            <w:vAlign w:val="center"/>
          </w:tcPr>
          <w:p w14:paraId="426B03BE"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产品品种</w:t>
            </w:r>
          </w:p>
        </w:tc>
        <w:tc>
          <w:tcPr>
            <w:tcW w:w="2380" w:type="pct"/>
            <w:gridSpan w:val="2"/>
            <w:tcBorders>
              <w:top w:val="single" w:sz="4" w:space="0" w:color="auto"/>
              <w:right w:val="single" w:sz="4" w:space="0" w:color="auto"/>
            </w:tcBorders>
            <w:vAlign w:val="center"/>
          </w:tcPr>
          <w:p w14:paraId="1E7B604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成分</w:t>
            </w:r>
          </w:p>
        </w:tc>
        <w:tc>
          <w:tcPr>
            <w:tcW w:w="1482" w:type="pct"/>
            <w:vMerge w:val="restart"/>
            <w:tcBorders>
              <w:top w:val="single" w:sz="4" w:space="0" w:color="auto"/>
              <w:right w:val="single" w:sz="4" w:space="0" w:color="auto"/>
            </w:tcBorders>
            <w:vAlign w:val="center"/>
          </w:tcPr>
          <w:p w14:paraId="7E292582"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允许偏差</w:t>
            </w:r>
          </w:p>
        </w:tc>
      </w:tr>
      <w:tr w:rsidR="003E78AB" w14:paraId="420570BF" w14:textId="77777777">
        <w:trPr>
          <w:trHeight w:val="344"/>
          <w:tblHeader/>
        </w:trPr>
        <w:tc>
          <w:tcPr>
            <w:tcW w:w="1136" w:type="pct"/>
            <w:vMerge/>
            <w:tcBorders>
              <w:left w:val="single" w:sz="4" w:space="0" w:color="auto"/>
            </w:tcBorders>
            <w:vAlign w:val="center"/>
          </w:tcPr>
          <w:p w14:paraId="5049DB09" w14:textId="77777777" w:rsidR="003E78AB" w:rsidRDefault="003E78AB">
            <w:pPr>
              <w:spacing w:line="360" w:lineRule="exact"/>
              <w:ind w:firstLineChars="0" w:firstLine="0"/>
              <w:jc w:val="center"/>
              <w:textAlignment w:val="center"/>
              <w:rPr>
                <w:b/>
                <w:bCs/>
                <w:sz w:val="21"/>
                <w:szCs w:val="21"/>
                <w:lang w:bidi="ar"/>
              </w:rPr>
            </w:pPr>
          </w:p>
        </w:tc>
        <w:tc>
          <w:tcPr>
            <w:tcW w:w="1017" w:type="pct"/>
            <w:tcBorders>
              <w:top w:val="single" w:sz="4" w:space="0" w:color="auto"/>
              <w:right w:val="single" w:sz="4" w:space="0" w:color="auto"/>
            </w:tcBorders>
            <w:vAlign w:val="center"/>
          </w:tcPr>
          <w:p w14:paraId="3C64D7C3"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元素</w:t>
            </w:r>
          </w:p>
        </w:tc>
        <w:tc>
          <w:tcPr>
            <w:tcW w:w="1363" w:type="pct"/>
            <w:tcBorders>
              <w:top w:val="single" w:sz="4" w:space="0" w:color="auto"/>
              <w:right w:val="single" w:sz="4" w:space="0" w:color="auto"/>
            </w:tcBorders>
          </w:tcPr>
          <w:p w14:paraId="03B63879"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标准限值</w:t>
            </w:r>
          </w:p>
        </w:tc>
        <w:tc>
          <w:tcPr>
            <w:tcW w:w="1482" w:type="pct"/>
            <w:vMerge/>
            <w:tcBorders>
              <w:right w:val="single" w:sz="4" w:space="0" w:color="auto"/>
            </w:tcBorders>
          </w:tcPr>
          <w:p w14:paraId="00A12B44" w14:textId="77777777" w:rsidR="003E78AB" w:rsidRDefault="003E78AB">
            <w:pPr>
              <w:spacing w:line="360" w:lineRule="exact"/>
              <w:ind w:firstLineChars="0" w:firstLine="0"/>
              <w:jc w:val="center"/>
              <w:textAlignment w:val="center"/>
              <w:rPr>
                <w:b/>
                <w:bCs/>
                <w:sz w:val="21"/>
                <w:szCs w:val="21"/>
                <w:lang w:bidi="ar"/>
              </w:rPr>
            </w:pPr>
          </w:p>
        </w:tc>
      </w:tr>
      <w:tr w:rsidR="003E78AB" w14:paraId="4667D2A1" w14:textId="77777777">
        <w:trPr>
          <w:trHeight w:val="344"/>
        </w:trPr>
        <w:tc>
          <w:tcPr>
            <w:tcW w:w="1136" w:type="pct"/>
            <w:vMerge w:val="restart"/>
            <w:tcBorders>
              <w:left w:val="single" w:sz="4" w:space="0" w:color="auto"/>
              <w:bottom w:val="nil"/>
            </w:tcBorders>
            <w:vAlign w:val="center"/>
          </w:tcPr>
          <w:p w14:paraId="65C32D32" w14:textId="77777777" w:rsidR="003E78AB" w:rsidRDefault="00010BF9">
            <w:pPr>
              <w:spacing w:line="360" w:lineRule="exact"/>
              <w:ind w:firstLineChars="0" w:firstLine="0"/>
              <w:jc w:val="center"/>
              <w:textAlignment w:val="center"/>
              <w:rPr>
                <w:sz w:val="21"/>
                <w:szCs w:val="21"/>
                <w:lang w:bidi="ar"/>
              </w:rPr>
            </w:pPr>
            <w:r>
              <w:rPr>
                <w:sz w:val="21"/>
                <w:szCs w:val="21"/>
                <w:lang w:bidi="ar"/>
              </w:rPr>
              <w:t>3.5</w:t>
            </w:r>
            <w:r>
              <w:rPr>
                <w:sz w:val="21"/>
                <w:szCs w:val="21"/>
                <w:lang w:bidi="ar"/>
              </w:rPr>
              <w:t>价电解液</w:t>
            </w:r>
          </w:p>
        </w:tc>
        <w:tc>
          <w:tcPr>
            <w:tcW w:w="1017" w:type="pct"/>
            <w:vAlign w:val="center"/>
          </w:tcPr>
          <w:p w14:paraId="0BA9CC5B" w14:textId="77777777" w:rsidR="003E78AB" w:rsidRDefault="00010BF9">
            <w:pPr>
              <w:spacing w:line="360" w:lineRule="exact"/>
              <w:ind w:firstLineChars="0" w:firstLine="0"/>
              <w:jc w:val="center"/>
              <w:textAlignment w:val="center"/>
              <w:rPr>
                <w:sz w:val="21"/>
                <w:szCs w:val="21"/>
                <w:lang w:bidi="ar"/>
              </w:rPr>
            </w:pPr>
            <w:r>
              <w:rPr>
                <w:sz w:val="21"/>
                <w:szCs w:val="21"/>
                <w:lang w:bidi="ar"/>
              </w:rPr>
              <w:t>V</w:t>
            </w:r>
          </w:p>
        </w:tc>
        <w:tc>
          <w:tcPr>
            <w:tcW w:w="1363" w:type="pct"/>
            <w:tcBorders>
              <w:right w:val="single" w:sz="4" w:space="0" w:color="auto"/>
            </w:tcBorders>
            <w:vAlign w:val="center"/>
          </w:tcPr>
          <w:p w14:paraId="0C1175D6" w14:textId="77777777" w:rsidR="003E78AB" w:rsidRDefault="00010BF9">
            <w:pPr>
              <w:spacing w:line="360" w:lineRule="exact"/>
              <w:ind w:firstLineChars="0" w:firstLine="0"/>
              <w:jc w:val="center"/>
              <w:textAlignment w:val="center"/>
              <w:rPr>
                <w:sz w:val="21"/>
                <w:szCs w:val="21"/>
                <w:lang w:bidi="ar"/>
              </w:rPr>
            </w:pPr>
            <w:r>
              <w:rPr>
                <w:sz w:val="21"/>
                <w:szCs w:val="21"/>
                <w:lang w:bidi="ar"/>
              </w:rPr>
              <w:t>≥1.50mol/L</w:t>
            </w:r>
          </w:p>
        </w:tc>
        <w:tc>
          <w:tcPr>
            <w:tcW w:w="1482" w:type="pct"/>
            <w:tcBorders>
              <w:right w:val="single" w:sz="4" w:space="0" w:color="auto"/>
            </w:tcBorders>
            <w:vAlign w:val="center"/>
          </w:tcPr>
          <w:p w14:paraId="14E23DC1" w14:textId="77777777" w:rsidR="003E78AB" w:rsidRDefault="00010BF9">
            <w:pPr>
              <w:spacing w:line="360" w:lineRule="exact"/>
              <w:ind w:firstLineChars="0" w:firstLine="0"/>
              <w:jc w:val="center"/>
              <w:textAlignment w:val="center"/>
              <w:rPr>
                <w:sz w:val="21"/>
                <w:szCs w:val="21"/>
                <w:lang w:bidi="ar"/>
              </w:rPr>
            </w:pPr>
            <w:bookmarkStart w:id="214" w:name="OLE_LINK30"/>
            <w:r>
              <w:rPr>
                <w:sz w:val="21"/>
                <w:szCs w:val="21"/>
                <w:lang w:bidi="ar"/>
              </w:rPr>
              <w:t>±0.5mol/L</w:t>
            </w:r>
            <w:bookmarkEnd w:id="214"/>
          </w:p>
        </w:tc>
      </w:tr>
      <w:tr w:rsidR="003E78AB" w14:paraId="55E89256" w14:textId="77777777">
        <w:trPr>
          <w:trHeight w:val="344"/>
        </w:trPr>
        <w:tc>
          <w:tcPr>
            <w:tcW w:w="1136" w:type="pct"/>
            <w:vMerge/>
            <w:tcBorders>
              <w:top w:val="nil"/>
              <w:left w:val="single" w:sz="4" w:space="0" w:color="auto"/>
              <w:bottom w:val="nil"/>
            </w:tcBorders>
            <w:vAlign w:val="center"/>
          </w:tcPr>
          <w:p w14:paraId="18084933" w14:textId="77777777" w:rsidR="003E78AB" w:rsidRDefault="003E78AB">
            <w:pPr>
              <w:spacing w:line="360" w:lineRule="exact"/>
              <w:ind w:firstLineChars="0" w:firstLine="0"/>
              <w:jc w:val="center"/>
              <w:textAlignment w:val="center"/>
              <w:rPr>
                <w:sz w:val="21"/>
                <w:szCs w:val="21"/>
                <w:lang w:bidi="ar"/>
              </w:rPr>
            </w:pPr>
          </w:p>
        </w:tc>
        <w:tc>
          <w:tcPr>
            <w:tcW w:w="1017" w:type="pct"/>
            <w:vAlign w:val="center"/>
          </w:tcPr>
          <w:p w14:paraId="10ECF3C9" w14:textId="77777777" w:rsidR="003E78AB" w:rsidRDefault="00010BF9">
            <w:pPr>
              <w:spacing w:line="360" w:lineRule="exact"/>
              <w:ind w:firstLineChars="0" w:firstLine="0"/>
              <w:jc w:val="center"/>
              <w:textAlignment w:val="center"/>
              <w:rPr>
                <w:sz w:val="21"/>
                <w:szCs w:val="21"/>
                <w:lang w:bidi="ar"/>
              </w:rPr>
            </w:pPr>
            <w:r>
              <w:rPr>
                <w:sz w:val="21"/>
                <w:szCs w:val="21"/>
                <w:lang w:bidi="ar"/>
              </w:rPr>
              <w:t>SO</w:t>
            </w:r>
            <w:r>
              <w:rPr>
                <w:sz w:val="21"/>
                <w:szCs w:val="21"/>
                <w:vertAlign w:val="subscript"/>
                <w:lang w:bidi="ar"/>
              </w:rPr>
              <w:t>4</w:t>
            </w:r>
            <w:r>
              <w:rPr>
                <w:sz w:val="21"/>
                <w:szCs w:val="21"/>
                <w:vertAlign w:val="superscript"/>
                <w:lang w:bidi="ar"/>
              </w:rPr>
              <w:t>2-</w:t>
            </w:r>
          </w:p>
        </w:tc>
        <w:tc>
          <w:tcPr>
            <w:tcW w:w="1363" w:type="pct"/>
            <w:tcBorders>
              <w:right w:val="single" w:sz="4" w:space="0" w:color="auto"/>
            </w:tcBorders>
            <w:vAlign w:val="center"/>
          </w:tcPr>
          <w:p w14:paraId="6D5119B8" w14:textId="77777777" w:rsidR="003E78AB" w:rsidRDefault="00010BF9">
            <w:pPr>
              <w:spacing w:line="360" w:lineRule="exact"/>
              <w:ind w:firstLineChars="0" w:firstLine="0"/>
              <w:jc w:val="center"/>
              <w:textAlignment w:val="center"/>
              <w:rPr>
                <w:sz w:val="21"/>
                <w:szCs w:val="21"/>
                <w:lang w:bidi="ar"/>
              </w:rPr>
            </w:pPr>
            <w:r>
              <w:rPr>
                <w:sz w:val="21"/>
                <w:szCs w:val="21"/>
                <w:lang w:bidi="ar"/>
              </w:rPr>
              <w:t>≥2.30mol/L</w:t>
            </w:r>
          </w:p>
        </w:tc>
        <w:tc>
          <w:tcPr>
            <w:tcW w:w="1482" w:type="pct"/>
            <w:tcBorders>
              <w:right w:val="single" w:sz="4" w:space="0" w:color="auto"/>
            </w:tcBorders>
            <w:vAlign w:val="center"/>
          </w:tcPr>
          <w:p w14:paraId="5B548E6B" w14:textId="77777777" w:rsidR="003E78AB" w:rsidRDefault="00010BF9">
            <w:pPr>
              <w:spacing w:line="360" w:lineRule="exact"/>
              <w:ind w:firstLineChars="0" w:firstLine="0"/>
              <w:jc w:val="center"/>
              <w:textAlignment w:val="center"/>
              <w:rPr>
                <w:sz w:val="21"/>
                <w:szCs w:val="21"/>
                <w:lang w:bidi="ar"/>
              </w:rPr>
            </w:pPr>
            <w:bookmarkStart w:id="215" w:name="OLE_LINK31"/>
            <w:r>
              <w:rPr>
                <w:sz w:val="21"/>
                <w:szCs w:val="21"/>
                <w:lang w:bidi="ar"/>
              </w:rPr>
              <w:t>±</w:t>
            </w:r>
            <w:bookmarkEnd w:id="215"/>
            <w:r>
              <w:rPr>
                <w:sz w:val="21"/>
                <w:szCs w:val="21"/>
                <w:lang w:bidi="ar"/>
              </w:rPr>
              <w:t>0.10mol/L</w:t>
            </w:r>
          </w:p>
        </w:tc>
      </w:tr>
      <w:tr w:rsidR="003E78AB" w14:paraId="188ABF81" w14:textId="77777777">
        <w:trPr>
          <w:trHeight w:val="358"/>
        </w:trPr>
        <w:tc>
          <w:tcPr>
            <w:tcW w:w="1136" w:type="pct"/>
            <w:vMerge/>
            <w:tcBorders>
              <w:top w:val="nil"/>
              <w:left w:val="single" w:sz="4" w:space="0" w:color="auto"/>
              <w:bottom w:val="single" w:sz="4" w:space="0" w:color="auto"/>
            </w:tcBorders>
            <w:vAlign w:val="center"/>
          </w:tcPr>
          <w:p w14:paraId="5642C38F" w14:textId="77777777" w:rsidR="003E78AB" w:rsidRDefault="003E78AB">
            <w:pPr>
              <w:spacing w:line="360" w:lineRule="exact"/>
              <w:ind w:firstLineChars="0" w:firstLine="0"/>
              <w:jc w:val="center"/>
              <w:textAlignment w:val="center"/>
              <w:rPr>
                <w:sz w:val="21"/>
                <w:szCs w:val="21"/>
                <w:lang w:bidi="ar"/>
              </w:rPr>
            </w:pPr>
          </w:p>
        </w:tc>
        <w:tc>
          <w:tcPr>
            <w:tcW w:w="1017" w:type="pct"/>
            <w:tcBorders>
              <w:bottom w:val="single" w:sz="4" w:space="0" w:color="auto"/>
            </w:tcBorders>
            <w:vAlign w:val="center"/>
          </w:tcPr>
          <w:p w14:paraId="5A552861" w14:textId="77777777" w:rsidR="003E78AB" w:rsidRDefault="00010BF9">
            <w:pPr>
              <w:spacing w:line="360" w:lineRule="exact"/>
              <w:ind w:firstLineChars="0" w:firstLine="0"/>
              <w:jc w:val="center"/>
              <w:textAlignment w:val="center"/>
              <w:rPr>
                <w:sz w:val="21"/>
                <w:szCs w:val="21"/>
                <w:lang w:bidi="ar"/>
              </w:rPr>
            </w:pPr>
            <w:r>
              <w:rPr>
                <w:sz w:val="21"/>
                <w:szCs w:val="21"/>
                <w:lang w:bidi="ar"/>
              </w:rPr>
              <w:t>V</w:t>
            </w:r>
            <w:r>
              <w:rPr>
                <w:sz w:val="21"/>
                <w:szCs w:val="21"/>
                <w:vertAlign w:val="superscript"/>
                <w:lang w:bidi="ar"/>
              </w:rPr>
              <w:t>3+</w:t>
            </w:r>
            <w:r>
              <w:rPr>
                <w:sz w:val="21"/>
                <w:szCs w:val="21"/>
                <w:lang w:bidi="ar"/>
              </w:rPr>
              <w:t>：</w:t>
            </w:r>
            <w:r>
              <w:rPr>
                <w:sz w:val="21"/>
                <w:szCs w:val="21"/>
                <w:lang w:bidi="ar"/>
              </w:rPr>
              <w:t>VO</w:t>
            </w:r>
            <w:r>
              <w:rPr>
                <w:sz w:val="21"/>
                <w:szCs w:val="21"/>
                <w:vertAlign w:val="superscript"/>
                <w:lang w:bidi="ar"/>
              </w:rPr>
              <w:t>2+</w:t>
            </w:r>
          </w:p>
        </w:tc>
        <w:tc>
          <w:tcPr>
            <w:tcW w:w="1363" w:type="pct"/>
            <w:tcBorders>
              <w:bottom w:val="single" w:sz="4" w:space="0" w:color="auto"/>
              <w:right w:val="single" w:sz="4" w:space="0" w:color="auto"/>
            </w:tcBorders>
            <w:vAlign w:val="center"/>
          </w:tcPr>
          <w:p w14:paraId="0FFAEC81" w14:textId="77777777" w:rsidR="003E78AB" w:rsidRDefault="00010BF9">
            <w:pPr>
              <w:spacing w:line="360" w:lineRule="exact"/>
              <w:ind w:firstLineChars="0" w:firstLine="0"/>
              <w:jc w:val="center"/>
              <w:textAlignment w:val="center"/>
              <w:rPr>
                <w:sz w:val="21"/>
                <w:szCs w:val="21"/>
                <w:lang w:bidi="ar"/>
              </w:rPr>
            </w:pPr>
            <w:r>
              <w:rPr>
                <w:sz w:val="21"/>
                <w:szCs w:val="21"/>
                <w:lang w:bidi="ar"/>
              </w:rPr>
              <w:t>1.0</w:t>
            </w:r>
          </w:p>
        </w:tc>
        <w:tc>
          <w:tcPr>
            <w:tcW w:w="1482" w:type="pct"/>
            <w:tcBorders>
              <w:bottom w:val="single" w:sz="4" w:space="0" w:color="auto"/>
              <w:right w:val="single" w:sz="4" w:space="0" w:color="auto"/>
            </w:tcBorders>
            <w:vAlign w:val="center"/>
          </w:tcPr>
          <w:p w14:paraId="284FCD7B" w14:textId="77777777" w:rsidR="003E78AB" w:rsidRDefault="00010BF9">
            <w:pPr>
              <w:spacing w:line="360" w:lineRule="exact"/>
              <w:ind w:firstLineChars="0" w:firstLine="0"/>
              <w:jc w:val="center"/>
              <w:textAlignment w:val="center"/>
              <w:rPr>
                <w:sz w:val="21"/>
                <w:szCs w:val="21"/>
                <w:lang w:bidi="ar"/>
              </w:rPr>
            </w:pPr>
            <w:r>
              <w:rPr>
                <w:sz w:val="21"/>
                <w:szCs w:val="21"/>
                <w:lang w:bidi="ar"/>
              </w:rPr>
              <w:t>±0.10</w:t>
            </w:r>
          </w:p>
        </w:tc>
      </w:tr>
    </w:tbl>
    <w:p w14:paraId="1DE166D9" w14:textId="77777777" w:rsidR="003E78AB" w:rsidRDefault="00010BF9">
      <w:pPr>
        <w:ind w:firstLine="480"/>
      </w:pPr>
      <w:r>
        <w:t>杂质元素含量执行《全钒液流电池用电解液》（</w:t>
      </w:r>
      <w:r>
        <w:t>GB/T37204-2018</w:t>
      </w:r>
      <w:r>
        <w:t>）中表</w:t>
      </w:r>
      <w:r>
        <w:t>2</w:t>
      </w:r>
      <w:r>
        <w:t>的品级要求。具体数值见</w:t>
      </w:r>
      <w:r>
        <w:fldChar w:fldCharType="begin"/>
      </w:r>
      <w:r>
        <w:instrText xml:space="preserve"> REF _Ref21717 \r \h </w:instrText>
      </w:r>
      <w:r>
        <w:fldChar w:fldCharType="separate"/>
      </w:r>
      <w:r>
        <w:t>表</w:t>
      </w:r>
      <w:r>
        <w:t>3-4</w:t>
      </w:r>
      <w:r>
        <w:fldChar w:fldCharType="end"/>
      </w:r>
      <w:r>
        <w:t>。</w:t>
      </w:r>
    </w:p>
    <w:p w14:paraId="6B334209" w14:textId="77777777" w:rsidR="003E78AB" w:rsidRDefault="00010BF9">
      <w:pPr>
        <w:pStyle w:val="a1"/>
        <w:spacing w:line="520" w:lineRule="exact"/>
        <w:rPr>
          <w:spacing w:val="-1"/>
        </w:rPr>
      </w:pPr>
      <w:bookmarkStart w:id="216" w:name="_Ref21717"/>
      <w:r>
        <w:rPr>
          <w:rFonts w:hint="eastAsia"/>
          <w:spacing w:val="-1"/>
        </w:rPr>
        <w:t>杂质元素含量</w:t>
      </w:r>
      <w:bookmarkEnd w:id="216"/>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677"/>
        <w:gridCol w:w="630"/>
        <w:gridCol w:w="675"/>
        <w:gridCol w:w="762"/>
        <w:gridCol w:w="866"/>
        <w:gridCol w:w="757"/>
        <w:gridCol w:w="792"/>
        <w:gridCol w:w="721"/>
        <w:gridCol w:w="866"/>
      </w:tblGrid>
      <w:tr w:rsidR="003E78AB" w14:paraId="63C74A2E" w14:textId="77777777">
        <w:trPr>
          <w:trHeight w:val="525"/>
        </w:trPr>
        <w:tc>
          <w:tcPr>
            <w:tcW w:w="996" w:type="pct"/>
            <w:shd w:val="clear" w:color="auto" w:fill="auto"/>
            <w:vAlign w:val="center"/>
          </w:tcPr>
          <w:p w14:paraId="28793DB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杂质元素</w:t>
            </w:r>
          </w:p>
        </w:tc>
        <w:tc>
          <w:tcPr>
            <w:tcW w:w="401" w:type="pct"/>
            <w:shd w:val="clear" w:color="auto" w:fill="auto"/>
            <w:vAlign w:val="center"/>
          </w:tcPr>
          <w:p w14:paraId="4E42803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Al</w:t>
            </w:r>
          </w:p>
        </w:tc>
        <w:tc>
          <w:tcPr>
            <w:tcW w:w="373" w:type="pct"/>
            <w:shd w:val="clear" w:color="auto" w:fill="auto"/>
            <w:vAlign w:val="center"/>
          </w:tcPr>
          <w:p w14:paraId="683D5774"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As</w:t>
            </w:r>
          </w:p>
        </w:tc>
        <w:tc>
          <w:tcPr>
            <w:tcW w:w="400" w:type="pct"/>
            <w:shd w:val="clear" w:color="auto" w:fill="auto"/>
            <w:vAlign w:val="center"/>
          </w:tcPr>
          <w:p w14:paraId="1450F40E"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Au</w:t>
            </w:r>
          </w:p>
        </w:tc>
        <w:tc>
          <w:tcPr>
            <w:tcW w:w="452" w:type="pct"/>
            <w:shd w:val="clear" w:color="auto" w:fill="auto"/>
            <w:vAlign w:val="center"/>
          </w:tcPr>
          <w:p w14:paraId="00AF7AAE"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Ca</w:t>
            </w:r>
          </w:p>
        </w:tc>
        <w:tc>
          <w:tcPr>
            <w:tcW w:w="513" w:type="pct"/>
            <w:shd w:val="clear" w:color="auto" w:fill="auto"/>
            <w:vAlign w:val="center"/>
          </w:tcPr>
          <w:p w14:paraId="6702248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Cl</w:t>
            </w:r>
          </w:p>
        </w:tc>
        <w:tc>
          <w:tcPr>
            <w:tcW w:w="449" w:type="pct"/>
            <w:shd w:val="clear" w:color="auto" w:fill="auto"/>
            <w:vAlign w:val="center"/>
          </w:tcPr>
          <w:p w14:paraId="5840152D"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Cr</w:t>
            </w:r>
          </w:p>
        </w:tc>
        <w:tc>
          <w:tcPr>
            <w:tcW w:w="470" w:type="pct"/>
            <w:shd w:val="clear" w:color="auto" w:fill="auto"/>
            <w:vAlign w:val="center"/>
          </w:tcPr>
          <w:p w14:paraId="2D79454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Cu</w:t>
            </w:r>
          </w:p>
        </w:tc>
        <w:tc>
          <w:tcPr>
            <w:tcW w:w="428" w:type="pct"/>
            <w:shd w:val="clear" w:color="auto" w:fill="auto"/>
            <w:vAlign w:val="center"/>
          </w:tcPr>
          <w:p w14:paraId="2062834A"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Fe</w:t>
            </w:r>
          </w:p>
        </w:tc>
        <w:tc>
          <w:tcPr>
            <w:tcW w:w="513" w:type="pct"/>
            <w:shd w:val="clear" w:color="auto" w:fill="auto"/>
            <w:vAlign w:val="center"/>
          </w:tcPr>
          <w:p w14:paraId="7E537BF4"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K</w:t>
            </w:r>
          </w:p>
        </w:tc>
      </w:tr>
      <w:tr w:rsidR="003E78AB" w14:paraId="22870829" w14:textId="77777777">
        <w:trPr>
          <w:trHeight w:val="525"/>
        </w:trPr>
        <w:tc>
          <w:tcPr>
            <w:tcW w:w="996" w:type="pct"/>
            <w:shd w:val="clear" w:color="auto" w:fill="auto"/>
            <w:vAlign w:val="center"/>
          </w:tcPr>
          <w:p w14:paraId="6F75C15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一级品不大于（</w:t>
            </w:r>
            <w:r>
              <w:rPr>
                <w:rFonts w:hint="eastAsia"/>
                <w:sz w:val="21"/>
                <w:szCs w:val="21"/>
                <w:lang w:bidi="ar"/>
              </w:rPr>
              <w:t>mg/L</w:t>
            </w:r>
            <w:r>
              <w:rPr>
                <w:rFonts w:hint="eastAsia"/>
                <w:sz w:val="21"/>
                <w:szCs w:val="21"/>
                <w:lang w:bidi="ar"/>
              </w:rPr>
              <w:t>）</w:t>
            </w:r>
          </w:p>
        </w:tc>
        <w:tc>
          <w:tcPr>
            <w:tcW w:w="401" w:type="pct"/>
            <w:shd w:val="clear" w:color="auto" w:fill="auto"/>
            <w:vAlign w:val="center"/>
          </w:tcPr>
          <w:p w14:paraId="13881A41"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c>
          <w:tcPr>
            <w:tcW w:w="373" w:type="pct"/>
            <w:shd w:val="clear" w:color="auto" w:fill="auto"/>
            <w:vAlign w:val="center"/>
          </w:tcPr>
          <w:p w14:paraId="6763E0B0"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400" w:type="pct"/>
            <w:shd w:val="clear" w:color="auto" w:fill="auto"/>
            <w:vAlign w:val="center"/>
          </w:tcPr>
          <w:p w14:paraId="7DAFBF2A"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452" w:type="pct"/>
            <w:shd w:val="clear" w:color="auto" w:fill="auto"/>
            <w:vAlign w:val="center"/>
          </w:tcPr>
          <w:p w14:paraId="5A45986E" w14:textId="77777777" w:rsidR="003E78AB" w:rsidRDefault="00010BF9">
            <w:pPr>
              <w:spacing w:line="360" w:lineRule="exact"/>
              <w:ind w:firstLineChars="0" w:firstLine="0"/>
              <w:jc w:val="center"/>
              <w:textAlignment w:val="center"/>
              <w:rPr>
                <w:sz w:val="21"/>
                <w:szCs w:val="21"/>
                <w:lang w:bidi="ar"/>
              </w:rPr>
            </w:pPr>
            <w:r>
              <w:rPr>
                <w:sz w:val="21"/>
                <w:szCs w:val="21"/>
                <w:lang w:bidi="ar"/>
              </w:rPr>
              <w:t>30</w:t>
            </w:r>
          </w:p>
        </w:tc>
        <w:tc>
          <w:tcPr>
            <w:tcW w:w="513" w:type="pct"/>
            <w:shd w:val="clear" w:color="auto" w:fill="auto"/>
            <w:vAlign w:val="center"/>
          </w:tcPr>
          <w:p w14:paraId="3AF59CA3" w14:textId="77777777" w:rsidR="003E78AB" w:rsidRDefault="00010BF9">
            <w:pPr>
              <w:spacing w:line="360" w:lineRule="exact"/>
              <w:ind w:firstLineChars="0" w:firstLine="0"/>
              <w:jc w:val="center"/>
              <w:textAlignment w:val="center"/>
              <w:rPr>
                <w:sz w:val="21"/>
                <w:szCs w:val="21"/>
                <w:lang w:bidi="ar"/>
              </w:rPr>
            </w:pPr>
            <w:r>
              <w:rPr>
                <w:sz w:val="21"/>
                <w:szCs w:val="21"/>
                <w:lang w:bidi="ar"/>
              </w:rPr>
              <w:t>100</w:t>
            </w:r>
          </w:p>
        </w:tc>
        <w:tc>
          <w:tcPr>
            <w:tcW w:w="449" w:type="pct"/>
            <w:shd w:val="clear" w:color="auto" w:fill="auto"/>
            <w:vAlign w:val="center"/>
          </w:tcPr>
          <w:p w14:paraId="7B86E989" w14:textId="77777777" w:rsidR="003E78AB" w:rsidRDefault="00010BF9">
            <w:pPr>
              <w:spacing w:line="360" w:lineRule="exact"/>
              <w:ind w:firstLineChars="0" w:firstLine="0"/>
              <w:jc w:val="center"/>
              <w:textAlignment w:val="center"/>
              <w:rPr>
                <w:sz w:val="21"/>
                <w:szCs w:val="21"/>
                <w:lang w:bidi="ar"/>
              </w:rPr>
            </w:pPr>
            <w:r>
              <w:rPr>
                <w:sz w:val="21"/>
                <w:szCs w:val="21"/>
                <w:lang w:bidi="ar"/>
              </w:rPr>
              <w:t>15</w:t>
            </w:r>
          </w:p>
        </w:tc>
        <w:tc>
          <w:tcPr>
            <w:tcW w:w="470" w:type="pct"/>
            <w:shd w:val="clear" w:color="auto" w:fill="auto"/>
            <w:vAlign w:val="center"/>
          </w:tcPr>
          <w:p w14:paraId="01BA2230"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428" w:type="pct"/>
            <w:shd w:val="clear" w:color="auto" w:fill="auto"/>
            <w:vAlign w:val="center"/>
          </w:tcPr>
          <w:p w14:paraId="5CBE30D3"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c>
          <w:tcPr>
            <w:tcW w:w="513" w:type="pct"/>
            <w:shd w:val="clear" w:color="auto" w:fill="auto"/>
            <w:vAlign w:val="center"/>
          </w:tcPr>
          <w:p w14:paraId="07640100" w14:textId="77777777" w:rsidR="003E78AB" w:rsidRDefault="00010BF9">
            <w:pPr>
              <w:spacing w:line="360" w:lineRule="exact"/>
              <w:ind w:firstLineChars="0" w:firstLine="0"/>
              <w:jc w:val="center"/>
              <w:textAlignment w:val="center"/>
              <w:rPr>
                <w:sz w:val="21"/>
                <w:szCs w:val="21"/>
                <w:lang w:bidi="ar"/>
              </w:rPr>
            </w:pPr>
            <w:r>
              <w:rPr>
                <w:sz w:val="21"/>
                <w:szCs w:val="21"/>
                <w:lang w:bidi="ar"/>
              </w:rPr>
              <w:t>100</w:t>
            </w:r>
          </w:p>
        </w:tc>
      </w:tr>
      <w:tr w:rsidR="003E78AB" w14:paraId="5EF3A0C4" w14:textId="77777777">
        <w:trPr>
          <w:trHeight w:val="525"/>
        </w:trPr>
        <w:tc>
          <w:tcPr>
            <w:tcW w:w="996" w:type="pct"/>
            <w:shd w:val="clear" w:color="auto" w:fill="auto"/>
            <w:vAlign w:val="center"/>
          </w:tcPr>
          <w:p w14:paraId="3150D859" w14:textId="77777777" w:rsidR="003E78AB" w:rsidRDefault="00010BF9">
            <w:pPr>
              <w:spacing w:line="360" w:lineRule="exact"/>
              <w:ind w:firstLineChars="0" w:firstLine="0"/>
              <w:jc w:val="center"/>
              <w:textAlignment w:val="center"/>
              <w:rPr>
                <w:sz w:val="21"/>
                <w:szCs w:val="21"/>
                <w:lang w:bidi="ar"/>
              </w:rPr>
            </w:pPr>
            <w:r>
              <w:rPr>
                <w:rFonts w:hint="eastAsia"/>
                <w:b/>
                <w:bCs/>
                <w:sz w:val="21"/>
                <w:szCs w:val="21"/>
                <w:lang w:bidi="ar"/>
              </w:rPr>
              <w:t>杂质元素</w:t>
            </w:r>
          </w:p>
        </w:tc>
        <w:tc>
          <w:tcPr>
            <w:tcW w:w="401" w:type="pct"/>
            <w:shd w:val="clear" w:color="auto" w:fill="auto"/>
            <w:vAlign w:val="center"/>
          </w:tcPr>
          <w:p w14:paraId="0588A4CE"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Mg</w:t>
            </w:r>
          </w:p>
        </w:tc>
        <w:tc>
          <w:tcPr>
            <w:tcW w:w="373" w:type="pct"/>
            <w:shd w:val="clear" w:color="auto" w:fill="auto"/>
            <w:vAlign w:val="center"/>
          </w:tcPr>
          <w:p w14:paraId="66271779"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Mn</w:t>
            </w:r>
          </w:p>
        </w:tc>
        <w:tc>
          <w:tcPr>
            <w:tcW w:w="400" w:type="pct"/>
            <w:shd w:val="clear" w:color="auto" w:fill="auto"/>
            <w:vAlign w:val="center"/>
          </w:tcPr>
          <w:p w14:paraId="04BC7658"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Mo</w:t>
            </w:r>
          </w:p>
        </w:tc>
        <w:tc>
          <w:tcPr>
            <w:tcW w:w="452" w:type="pct"/>
            <w:shd w:val="clear" w:color="auto" w:fill="auto"/>
            <w:vAlign w:val="center"/>
          </w:tcPr>
          <w:p w14:paraId="4D14CB56"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NH</w:t>
            </w:r>
            <w:r>
              <w:rPr>
                <w:rFonts w:hint="eastAsia"/>
                <w:b/>
                <w:bCs/>
                <w:sz w:val="21"/>
                <w:szCs w:val="21"/>
                <w:vertAlign w:val="subscript"/>
                <w:lang w:bidi="ar"/>
              </w:rPr>
              <w:t>4</w:t>
            </w:r>
            <w:r>
              <w:rPr>
                <w:b/>
                <w:bCs/>
                <w:sz w:val="21"/>
                <w:szCs w:val="21"/>
                <w:vertAlign w:val="superscript"/>
                <w:lang w:bidi="ar"/>
              </w:rPr>
              <w:t>+</w:t>
            </w:r>
          </w:p>
        </w:tc>
        <w:tc>
          <w:tcPr>
            <w:tcW w:w="513" w:type="pct"/>
            <w:shd w:val="clear" w:color="auto" w:fill="auto"/>
            <w:vAlign w:val="center"/>
          </w:tcPr>
          <w:p w14:paraId="31C97304"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Na</w:t>
            </w:r>
          </w:p>
        </w:tc>
        <w:tc>
          <w:tcPr>
            <w:tcW w:w="449" w:type="pct"/>
            <w:shd w:val="clear" w:color="auto" w:fill="auto"/>
            <w:vAlign w:val="center"/>
          </w:tcPr>
          <w:p w14:paraId="184E32F4"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Ni</w:t>
            </w:r>
          </w:p>
        </w:tc>
        <w:tc>
          <w:tcPr>
            <w:tcW w:w="470" w:type="pct"/>
            <w:shd w:val="clear" w:color="auto" w:fill="auto"/>
            <w:vAlign w:val="center"/>
          </w:tcPr>
          <w:p w14:paraId="0B056D98"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Pd</w:t>
            </w:r>
          </w:p>
        </w:tc>
        <w:tc>
          <w:tcPr>
            <w:tcW w:w="428" w:type="pct"/>
            <w:shd w:val="clear" w:color="auto" w:fill="auto"/>
            <w:vAlign w:val="center"/>
          </w:tcPr>
          <w:p w14:paraId="6A4A2779"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Pt</w:t>
            </w:r>
          </w:p>
        </w:tc>
        <w:tc>
          <w:tcPr>
            <w:tcW w:w="513" w:type="pct"/>
            <w:shd w:val="clear" w:color="auto" w:fill="auto"/>
            <w:vAlign w:val="center"/>
          </w:tcPr>
          <w:p w14:paraId="39D94332" w14:textId="77777777" w:rsidR="003E78AB" w:rsidRDefault="00010BF9">
            <w:pPr>
              <w:spacing w:line="360" w:lineRule="exact"/>
              <w:ind w:firstLineChars="0" w:firstLine="0"/>
              <w:jc w:val="center"/>
              <w:textAlignment w:val="center"/>
              <w:rPr>
                <w:sz w:val="21"/>
                <w:szCs w:val="21"/>
                <w:lang w:bidi="ar"/>
              </w:rPr>
            </w:pPr>
            <w:r>
              <w:rPr>
                <w:b/>
                <w:bCs/>
                <w:sz w:val="21"/>
                <w:szCs w:val="21"/>
                <w:lang w:bidi="ar"/>
              </w:rPr>
              <w:t>Si</w:t>
            </w:r>
          </w:p>
        </w:tc>
      </w:tr>
      <w:tr w:rsidR="003E78AB" w14:paraId="3C004737" w14:textId="77777777">
        <w:trPr>
          <w:trHeight w:val="525"/>
        </w:trPr>
        <w:tc>
          <w:tcPr>
            <w:tcW w:w="996" w:type="pct"/>
            <w:shd w:val="clear" w:color="auto" w:fill="auto"/>
            <w:vAlign w:val="center"/>
          </w:tcPr>
          <w:p w14:paraId="436B639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一级品不大于（</w:t>
            </w:r>
            <w:r>
              <w:rPr>
                <w:rFonts w:hint="eastAsia"/>
                <w:sz w:val="21"/>
                <w:szCs w:val="21"/>
                <w:lang w:bidi="ar"/>
              </w:rPr>
              <w:t>mg/L</w:t>
            </w:r>
            <w:r>
              <w:rPr>
                <w:rFonts w:hint="eastAsia"/>
                <w:sz w:val="21"/>
                <w:szCs w:val="21"/>
                <w:lang w:bidi="ar"/>
              </w:rPr>
              <w:t>）</w:t>
            </w:r>
          </w:p>
        </w:tc>
        <w:tc>
          <w:tcPr>
            <w:tcW w:w="401" w:type="pct"/>
            <w:shd w:val="clear" w:color="auto" w:fill="auto"/>
            <w:vAlign w:val="center"/>
          </w:tcPr>
          <w:p w14:paraId="09D91A70" w14:textId="77777777" w:rsidR="003E78AB" w:rsidRDefault="00010BF9">
            <w:pPr>
              <w:spacing w:line="360" w:lineRule="exact"/>
              <w:ind w:firstLineChars="0" w:firstLine="0"/>
              <w:jc w:val="center"/>
              <w:textAlignment w:val="center"/>
              <w:rPr>
                <w:sz w:val="21"/>
                <w:szCs w:val="21"/>
                <w:lang w:bidi="ar"/>
              </w:rPr>
            </w:pPr>
            <w:r>
              <w:rPr>
                <w:sz w:val="21"/>
                <w:szCs w:val="21"/>
                <w:lang w:bidi="ar"/>
              </w:rPr>
              <w:t>30</w:t>
            </w:r>
          </w:p>
        </w:tc>
        <w:tc>
          <w:tcPr>
            <w:tcW w:w="373" w:type="pct"/>
            <w:shd w:val="clear" w:color="auto" w:fill="auto"/>
            <w:vAlign w:val="center"/>
          </w:tcPr>
          <w:p w14:paraId="68D7E818" w14:textId="77777777" w:rsidR="003E78AB" w:rsidRDefault="00010BF9">
            <w:pPr>
              <w:spacing w:line="360" w:lineRule="exact"/>
              <w:ind w:firstLineChars="0" w:firstLine="0"/>
              <w:jc w:val="center"/>
              <w:textAlignment w:val="center"/>
              <w:rPr>
                <w:sz w:val="21"/>
                <w:szCs w:val="21"/>
                <w:lang w:bidi="ar"/>
              </w:rPr>
            </w:pPr>
            <w:r>
              <w:rPr>
                <w:sz w:val="21"/>
                <w:szCs w:val="21"/>
                <w:lang w:bidi="ar"/>
              </w:rPr>
              <w:t>5</w:t>
            </w:r>
          </w:p>
        </w:tc>
        <w:tc>
          <w:tcPr>
            <w:tcW w:w="400" w:type="pct"/>
            <w:shd w:val="clear" w:color="auto" w:fill="auto"/>
            <w:vAlign w:val="center"/>
          </w:tcPr>
          <w:p w14:paraId="3DEFBD68" w14:textId="77777777" w:rsidR="003E78AB" w:rsidRDefault="00010BF9">
            <w:pPr>
              <w:spacing w:line="360" w:lineRule="exact"/>
              <w:ind w:firstLineChars="0" w:firstLine="0"/>
              <w:jc w:val="center"/>
              <w:textAlignment w:val="center"/>
              <w:rPr>
                <w:sz w:val="21"/>
                <w:szCs w:val="21"/>
                <w:lang w:bidi="ar"/>
              </w:rPr>
            </w:pPr>
            <w:r>
              <w:rPr>
                <w:sz w:val="21"/>
                <w:szCs w:val="21"/>
                <w:lang w:bidi="ar"/>
              </w:rPr>
              <w:t>20</w:t>
            </w:r>
          </w:p>
        </w:tc>
        <w:tc>
          <w:tcPr>
            <w:tcW w:w="452" w:type="pct"/>
            <w:shd w:val="clear" w:color="auto" w:fill="auto"/>
            <w:vAlign w:val="center"/>
          </w:tcPr>
          <w:p w14:paraId="31420CB5" w14:textId="77777777" w:rsidR="003E78AB" w:rsidRDefault="00010BF9">
            <w:pPr>
              <w:spacing w:line="360" w:lineRule="exact"/>
              <w:ind w:firstLineChars="0" w:firstLine="0"/>
              <w:jc w:val="center"/>
              <w:textAlignment w:val="center"/>
              <w:rPr>
                <w:sz w:val="21"/>
                <w:szCs w:val="21"/>
                <w:lang w:bidi="ar"/>
              </w:rPr>
            </w:pPr>
            <w:r>
              <w:rPr>
                <w:sz w:val="21"/>
                <w:szCs w:val="21"/>
                <w:lang w:bidi="ar"/>
              </w:rPr>
              <w:t>20</w:t>
            </w:r>
          </w:p>
        </w:tc>
        <w:tc>
          <w:tcPr>
            <w:tcW w:w="513" w:type="pct"/>
            <w:shd w:val="clear" w:color="auto" w:fill="auto"/>
            <w:vAlign w:val="center"/>
          </w:tcPr>
          <w:p w14:paraId="4DEE51FF" w14:textId="77777777" w:rsidR="003E78AB" w:rsidRDefault="00010BF9">
            <w:pPr>
              <w:spacing w:line="360" w:lineRule="exact"/>
              <w:ind w:firstLineChars="0" w:firstLine="0"/>
              <w:jc w:val="center"/>
              <w:textAlignment w:val="center"/>
              <w:rPr>
                <w:sz w:val="21"/>
                <w:szCs w:val="21"/>
                <w:lang w:bidi="ar"/>
              </w:rPr>
            </w:pPr>
            <w:r>
              <w:rPr>
                <w:sz w:val="21"/>
                <w:szCs w:val="21"/>
                <w:lang w:bidi="ar"/>
              </w:rPr>
              <w:t>80</w:t>
            </w:r>
          </w:p>
        </w:tc>
        <w:tc>
          <w:tcPr>
            <w:tcW w:w="449" w:type="pct"/>
            <w:shd w:val="clear" w:color="auto" w:fill="auto"/>
            <w:vAlign w:val="center"/>
          </w:tcPr>
          <w:p w14:paraId="4ACC8019" w14:textId="77777777" w:rsidR="003E78AB" w:rsidRDefault="00010BF9">
            <w:pPr>
              <w:spacing w:line="360" w:lineRule="exact"/>
              <w:ind w:firstLineChars="0" w:firstLine="0"/>
              <w:jc w:val="center"/>
              <w:textAlignment w:val="center"/>
              <w:rPr>
                <w:sz w:val="21"/>
                <w:szCs w:val="21"/>
                <w:lang w:bidi="ar"/>
              </w:rPr>
            </w:pPr>
            <w:r>
              <w:rPr>
                <w:sz w:val="21"/>
                <w:szCs w:val="21"/>
                <w:lang w:bidi="ar"/>
              </w:rPr>
              <w:t>20</w:t>
            </w:r>
          </w:p>
        </w:tc>
        <w:tc>
          <w:tcPr>
            <w:tcW w:w="470" w:type="pct"/>
            <w:shd w:val="clear" w:color="auto" w:fill="auto"/>
            <w:vAlign w:val="center"/>
          </w:tcPr>
          <w:p w14:paraId="225B1E78"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428" w:type="pct"/>
            <w:shd w:val="clear" w:color="auto" w:fill="auto"/>
            <w:vAlign w:val="center"/>
          </w:tcPr>
          <w:p w14:paraId="1CAC9DD7"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513" w:type="pct"/>
            <w:shd w:val="clear" w:color="auto" w:fill="auto"/>
            <w:vAlign w:val="center"/>
          </w:tcPr>
          <w:p w14:paraId="252FF615" w14:textId="77777777" w:rsidR="003E78AB" w:rsidRDefault="00010BF9">
            <w:pPr>
              <w:spacing w:line="360" w:lineRule="exact"/>
              <w:ind w:firstLineChars="0" w:firstLine="0"/>
              <w:jc w:val="center"/>
              <w:textAlignment w:val="center"/>
              <w:rPr>
                <w:sz w:val="21"/>
                <w:szCs w:val="21"/>
                <w:lang w:bidi="ar"/>
              </w:rPr>
            </w:pPr>
            <w:r>
              <w:rPr>
                <w:sz w:val="21"/>
                <w:szCs w:val="21"/>
                <w:lang w:bidi="ar"/>
              </w:rPr>
              <w:t>10</w:t>
            </w:r>
          </w:p>
        </w:tc>
      </w:tr>
    </w:tbl>
    <w:p w14:paraId="71B8DCAC" w14:textId="77777777" w:rsidR="003E78AB" w:rsidRDefault="00010BF9">
      <w:pPr>
        <w:pStyle w:val="31"/>
        <w:keepNext w:val="0"/>
        <w:keepLines w:val="0"/>
        <w:topLinePunct/>
        <w:spacing w:before="120"/>
        <w:rPr>
          <w:rFonts w:cs="Times New Roman"/>
        </w:rPr>
      </w:pPr>
      <w:r>
        <w:rPr>
          <w:rFonts w:cs="Times New Roman"/>
        </w:rPr>
        <w:t>3.1.</w:t>
      </w:r>
      <w:bookmarkEnd w:id="200"/>
      <w:bookmarkEnd w:id="201"/>
      <w:bookmarkEnd w:id="202"/>
      <w:bookmarkEnd w:id="203"/>
      <w:bookmarkEnd w:id="204"/>
      <w:bookmarkEnd w:id="205"/>
      <w:bookmarkEnd w:id="206"/>
      <w:r>
        <w:rPr>
          <w:rFonts w:cs="Times New Roman"/>
        </w:rPr>
        <w:t>4</w:t>
      </w:r>
      <w:r>
        <w:rPr>
          <w:rFonts w:cs="Times New Roman"/>
        </w:rPr>
        <w:t>原辅材料</w:t>
      </w:r>
      <w:bookmarkEnd w:id="207"/>
    </w:p>
    <w:p w14:paraId="5BF6AE90" w14:textId="77777777" w:rsidR="003E78AB" w:rsidRDefault="00010BF9">
      <w:pPr>
        <w:pStyle w:val="aff2"/>
        <w:topLinePunct/>
        <w:spacing w:line="520" w:lineRule="exact"/>
        <w:ind w:firstLine="480"/>
        <w:rPr>
          <w:rFonts w:cs="Times New Roman"/>
          <w:sz w:val="24"/>
        </w:rPr>
      </w:pPr>
      <w:r>
        <w:rPr>
          <w:rFonts w:cs="Times New Roman"/>
          <w:sz w:val="24"/>
        </w:rPr>
        <w:t>本项目主要原辅材料及能源消耗见</w:t>
      </w:r>
      <w:r>
        <w:rPr>
          <w:rFonts w:cs="Times New Roman"/>
          <w:sz w:val="24"/>
        </w:rPr>
        <w:fldChar w:fldCharType="begin"/>
      </w:r>
      <w:r>
        <w:rPr>
          <w:rFonts w:cs="Times New Roman"/>
          <w:sz w:val="24"/>
        </w:rPr>
        <w:instrText xml:space="preserve"> REF _Ref21658 \r \h </w:instrText>
      </w:r>
      <w:r>
        <w:rPr>
          <w:rFonts w:cs="Times New Roman"/>
          <w:sz w:val="24"/>
        </w:rPr>
      </w:r>
      <w:r>
        <w:rPr>
          <w:rFonts w:cs="Times New Roman"/>
          <w:sz w:val="24"/>
        </w:rPr>
        <w:fldChar w:fldCharType="separate"/>
      </w:r>
      <w:r>
        <w:rPr>
          <w:rFonts w:cs="Times New Roman"/>
          <w:sz w:val="24"/>
        </w:rPr>
        <w:t>表</w:t>
      </w:r>
      <w:r>
        <w:rPr>
          <w:rFonts w:cs="Times New Roman"/>
          <w:sz w:val="24"/>
        </w:rPr>
        <w:t>3-5</w:t>
      </w:r>
      <w:r>
        <w:rPr>
          <w:rFonts w:cs="Times New Roman"/>
          <w:sz w:val="24"/>
        </w:rPr>
        <w:fldChar w:fldCharType="end"/>
      </w:r>
      <w:r>
        <w:rPr>
          <w:rFonts w:cs="Times New Roman"/>
          <w:sz w:val="24"/>
        </w:rPr>
        <w:t>。</w:t>
      </w:r>
    </w:p>
    <w:p w14:paraId="2193C2B9" w14:textId="77777777" w:rsidR="003E78AB" w:rsidRDefault="00010BF9">
      <w:pPr>
        <w:pStyle w:val="a1"/>
        <w:spacing w:line="520" w:lineRule="exact"/>
        <w:rPr>
          <w:spacing w:val="-1"/>
        </w:rPr>
      </w:pPr>
      <w:bookmarkStart w:id="217" w:name="_Ref21658"/>
      <w:r>
        <w:rPr>
          <w:spacing w:val="-1"/>
        </w:rPr>
        <w:t>项目主要原辅材料及能源消耗一览表</w:t>
      </w:r>
      <w:bookmarkEnd w:id="217"/>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177"/>
        <w:gridCol w:w="513"/>
        <w:gridCol w:w="1017"/>
        <w:gridCol w:w="769"/>
        <w:gridCol w:w="938"/>
        <w:gridCol w:w="1253"/>
        <w:gridCol w:w="2058"/>
      </w:tblGrid>
      <w:tr w:rsidR="003E78AB" w14:paraId="3D032677" w14:textId="77777777">
        <w:trPr>
          <w:trHeight w:val="340"/>
          <w:tblHeader/>
          <w:jc w:val="center"/>
        </w:trPr>
        <w:tc>
          <w:tcPr>
            <w:tcW w:w="419" w:type="pct"/>
            <w:tcBorders>
              <w:bottom w:val="single" w:sz="6" w:space="0" w:color="auto"/>
              <w:right w:val="single" w:sz="4" w:space="0" w:color="auto"/>
            </w:tcBorders>
            <w:vAlign w:val="center"/>
          </w:tcPr>
          <w:p w14:paraId="3CA20913"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序号</w:t>
            </w:r>
          </w:p>
        </w:tc>
        <w:tc>
          <w:tcPr>
            <w:tcW w:w="697" w:type="pct"/>
            <w:tcBorders>
              <w:left w:val="single" w:sz="4" w:space="0" w:color="auto"/>
              <w:bottom w:val="single" w:sz="6" w:space="0" w:color="auto"/>
              <w:right w:val="single" w:sz="4" w:space="0" w:color="auto"/>
            </w:tcBorders>
            <w:vAlign w:val="center"/>
          </w:tcPr>
          <w:p w14:paraId="2F42FDE3"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类别</w:t>
            </w:r>
          </w:p>
        </w:tc>
        <w:tc>
          <w:tcPr>
            <w:tcW w:w="907" w:type="pct"/>
            <w:gridSpan w:val="2"/>
            <w:tcBorders>
              <w:left w:val="single" w:sz="4" w:space="0" w:color="auto"/>
              <w:bottom w:val="single" w:sz="6" w:space="0" w:color="auto"/>
              <w:right w:val="single" w:sz="4" w:space="0" w:color="auto"/>
            </w:tcBorders>
            <w:vAlign w:val="center"/>
          </w:tcPr>
          <w:p w14:paraId="3812BB1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名称</w:t>
            </w:r>
          </w:p>
        </w:tc>
        <w:tc>
          <w:tcPr>
            <w:tcW w:w="456" w:type="pct"/>
            <w:tcBorders>
              <w:left w:val="single" w:sz="4" w:space="0" w:color="auto"/>
              <w:bottom w:val="single" w:sz="6" w:space="0" w:color="auto"/>
              <w:right w:val="single" w:sz="4" w:space="0" w:color="auto"/>
            </w:tcBorders>
            <w:vAlign w:val="center"/>
          </w:tcPr>
          <w:p w14:paraId="41A0421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状态</w:t>
            </w:r>
          </w:p>
        </w:tc>
        <w:tc>
          <w:tcPr>
            <w:tcW w:w="556" w:type="pct"/>
            <w:tcBorders>
              <w:left w:val="single" w:sz="4" w:space="0" w:color="auto"/>
              <w:bottom w:val="single" w:sz="6" w:space="0" w:color="auto"/>
              <w:right w:val="single" w:sz="4" w:space="0" w:color="auto"/>
            </w:tcBorders>
            <w:vAlign w:val="center"/>
          </w:tcPr>
          <w:p w14:paraId="3C1432F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单位</w:t>
            </w:r>
          </w:p>
        </w:tc>
        <w:tc>
          <w:tcPr>
            <w:tcW w:w="742" w:type="pct"/>
            <w:tcBorders>
              <w:left w:val="single" w:sz="4" w:space="0" w:color="auto"/>
              <w:bottom w:val="single" w:sz="6" w:space="0" w:color="auto"/>
              <w:right w:val="single" w:sz="4" w:space="0" w:color="auto"/>
            </w:tcBorders>
            <w:vAlign w:val="center"/>
          </w:tcPr>
          <w:p w14:paraId="6DF2FF12"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消耗量</w:t>
            </w:r>
          </w:p>
        </w:tc>
        <w:tc>
          <w:tcPr>
            <w:tcW w:w="1219" w:type="pct"/>
            <w:tcBorders>
              <w:left w:val="single" w:sz="4" w:space="0" w:color="auto"/>
              <w:bottom w:val="single" w:sz="6" w:space="0" w:color="auto"/>
            </w:tcBorders>
            <w:vAlign w:val="center"/>
          </w:tcPr>
          <w:p w14:paraId="1E30463C"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贮存及运输</w:t>
            </w:r>
          </w:p>
        </w:tc>
      </w:tr>
      <w:tr w:rsidR="003E78AB" w14:paraId="3A003838" w14:textId="77777777">
        <w:trPr>
          <w:trHeight w:val="340"/>
          <w:jc w:val="center"/>
        </w:trPr>
        <w:tc>
          <w:tcPr>
            <w:tcW w:w="419" w:type="pct"/>
            <w:tcBorders>
              <w:top w:val="single" w:sz="6" w:space="0" w:color="auto"/>
              <w:bottom w:val="single" w:sz="6" w:space="0" w:color="auto"/>
              <w:right w:val="single" w:sz="4" w:space="0" w:color="auto"/>
            </w:tcBorders>
            <w:vAlign w:val="center"/>
          </w:tcPr>
          <w:p w14:paraId="3CE785B0"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697" w:type="pct"/>
            <w:vMerge w:val="restart"/>
            <w:tcBorders>
              <w:top w:val="single" w:sz="6" w:space="0" w:color="auto"/>
              <w:left w:val="single" w:sz="4" w:space="0" w:color="auto"/>
              <w:right w:val="single" w:sz="4" w:space="0" w:color="auto"/>
            </w:tcBorders>
            <w:vAlign w:val="center"/>
          </w:tcPr>
          <w:p w14:paraId="19007E57" w14:textId="77777777" w:rsidR="003E78AB" w:rsidRDefault="00010BF9">
            <w:pPr>
              <w:spacing w:line="360" w:lineRule="exact"/>
              <w:ind w:firstLineChars="0" w:firstLine="0"/>
              <w:jc w:val="center"/>
              <w:textAlignment w:val="center"/>
              <w:rPr>
                <w:sz w:val="21"/>
                <w:szCs w:val="21"/>
                <w:lang w:bidi="ar"/>
              </w:rPr>
            </w:pPr>
            <w:r>
              <w:rPr>
                <w:sz w:val="21"/>
                <w:szCs w:val="21"/>
                <w:lang w:bidi="ar"/>
              </w:rPr>
              <w:t>原料</w:t>
            </w: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42FB9B6F" w14:textId="77777777" w:rsidR="003E78AB" w:rsidRDefault="00010BF9">
            <w:pPr>
              <w:spacing w:line="360" w:lineRule="exact"/>
              <w:ind w:firstLineChars="0" w:firstLine="0"/>
              <w:jc w:val="center"/>
              <w:textAlignment w:val="center"/>
              <w:rPr>
                <w:sz w:val="21"/>
                <w:szCs w:val="21"/>
                <w:lang w:bidi="ar"/>
              </w:rPr>
            </w:pPr>
            <w:r>
              <w:rPr>
                <w:sz w:val="21"/>
                <w:szCs w:val="21"/>
                <w:lang w:bidi="ar"/>
              </w:rPr>
              <w:t>五氧化二钒</w:t>
            </w:r>
          </w:p>
        </w:tc>
        <w:tc>
          <w:tcPr>
            <w:tcW w:w="456" w:type="pct"/>
            <w:tcBorders>
              <w:top w:val="single" w:sz="6" w:space="0" w:color="auto"/>
              <w:left w:val="single" w:sz="4" w:space="0" w:color="auto"/>
              <w:bottom w:val="single" w:sz="6" w:space="0" w:color="auto"/>
              <w:right w:val="single" w:sz="4" w:space="0" w:color="auto"/>
            </w:tcBorders>
            <w:vAlign w:val="center"/>
          </w:tcPr>
          <w:p w14:paraId="4986C445" w14:textId="77777777" w:rsidR="003E78AB" w:rsidRDefault="00010BF9">
            <w:pPr>
              <w:spacing w:line="360" w:lineRule="exact"/>
              <w:ind w:firstLineChars="0" w:firstLine="0"/>
              <w:jc w:val="center"/>
              <w:textAlignment w:val="center"/>
              <w:rPr>
                <w:sz w:val="21"/>
                <w:szCs w:val="21"/>
                <w:lang w:bidi="ar"/>
              </w:rPr>
            </w:pPr>
            <w:r>
              <w:rPr>
                <w:sz w:val="21"/>
                <w:szCs w:val="21"/>
                <w:lang w:bidi="ar"/>
              </w:rPr>
              <w:t>固态</w:t>
            </w:r>
          </w:p>
        </w:tc>
        <w:tc>
          <w:tcPr>
            <w:tcW w:w="556" w:type="pct"/>
            <w:tcBorders>
              <w:top w:val="single" w:sz="6" w:space="0" w:color="auto"/>
              <w:left w:val="single" w:sz="4" w:space="0" w:color="auto"/>
              <w:bottom w:val="single" w:sz="6" w:space="0" w:color="auto"/>
              <w:right w:val="single" w:sz="4" w:space="0" w:color="auto"/>
            </w:tcBorders>
            <w:vAlign w:val="center"/>
          </w:tcPr>
          <w:p w14:paraId="522467D4" w14:textId="77777777" w:rsidR="003E78AB" w:rsidRDefault="00010BF9">
            <w:pPr>
              <w:spacing w:line="360" w:lineRule="exact"/>
              <w:ind w:firstLineChars="0" w:firstLine="0"/>
              <w:jc w:val="center"/>
              <w:textAlignment w:val="center"/>
              <w:rPr>
                <w:sz w:val="21"/>
                <w:szCs w:val="21"/>
                <w:lang w:bidi="ar"/>
              </w:rPr>
            </w:pPr>
            <w:r>
              <w:rPr>
                <w:noProof/>
                <w:sz w:val="21"/>
                <w:szCs w:val="21"/>
              </w:rPr>
              <mc:AlternateContent>
                <mc:Choice Requires="wps">
                  <w:drawing>
                    <wp:anchor distT="0" distB="0" distL="114300" distR="114300" simplePos="0" relativeHeight="251663360" behindDoc="0" locked="0" layoutInCell="1" allowOverlap="1">
                      <wp:simplePos x="0" y="0"/>
                      <wp:positionH relativeFrom="page">
                        <wp:posOffset>748665</wp:posOffset>
                      </wp:positionH>
                      <wp:positionV relativeFrom="page">
                        <wp:posOffset>15875</wp:posOffset>
                      </wp:positionV>
                      <wp:extent cx="88265" cy="1797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8265" cy="179705"/>
                              </a:xfrm>
                              <a:prstGeom prst="rect">
                                <a:avLst/>
                              </a:prstGeom>
                              <a:noFill/>
                              <a:ln>
                                <a:noFill/>
                              </a:ln>
                            </wps:spPr>
                            <wps:txbx>
                              <w:txbxContent>
                                <w:p w14:paraId="2824D77F" w14:textId="77777777" w:rsidR="003E78AB" w:rsidRDefault="00010BF9">
                                  <w:pPr>
                                    <w:spacing w:before="20" w:line="242" w:lineRule="exact"/>
                                    <w:ind w:left="20" w:firstLine="340"/>
                                    <w:rPr>
                                      <w:rFonts w:eastAsia="Times New Roman"/>
                                      <w:sz w:val="17"/>
                                      <w:szCs w:val="17"/>
                                    </w:rPr>
                                  </w:pPr>
                                  <w:r>
                                    <w:rPr>
                                      <w:rFonts w:eastAsia="Times New Roman"/>
                                      <w:position w:val="1"/>
                                      <w:sz w:val="17"/>
                                      <w:szCs w:val="17"/>
                                    </w:rPr>
                                    <w:t>t</w:t>
                                  </w:r>
                                  <w:r>
                                    <w:rPr>
                                      <w:rFonts w:eastAsia="Times New Roman"/>
                                      <w:spacing w:val="4"/>
                                      <w:position w:val="1"/>
                                      <w:sz w:val="17"/>
                                      <w:szCs w:val="17"/>
                                    </w:rPr>
                                    <w:t>/</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58.95pt;margin-top:1.25pt;width:6.95pt;height:14.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" filled="f" stroked="f">
                      <v:textbox inset="0,0,0,0">
                        <w:txbxContent>
                          <w:p w14:paraId="2824D77F" w14:textId="77777777" w:rsidR="003E78AB" w:rsidRDefault="00010BF9">
                            <w:pPr>
                              <w:spacing w:before="20" w:line="242" w:lineRule="exact"/>
                              <w:ind w:left="20" w:firstLine="340"/>
                              <w:rPr>
                                <w:rFonts w:eastAsia="Times New Roman"/>
                                <w:sz w:val="17"/>
                                <w:szCs w:val="17"/>
                              </w:rPr>
                            </w:pPr>
                            <w:r>
                              <w:rPr>
                                <w:rFonts w:eastAsia="Times New Roman"/>
                                <w:position w:val="1"/>
                                <w:sz w:val="17"/>
                                <w:szCs w:val="17"/>
                              </w:rPr>
                              <w:t>t</w:t>
                            </w:r>
                            <w:r>
                              <w:rPr>
                                <w:rFonts w:eastAsia="Times New Roman"/>
                                <w:spacing w:val="4"/>
                                <w:position w:val="1"/>
                                <w:sz w:val="17"/>
                                <w:szCs w:val="17"/>
                              </w:rPr>
                              <w:t>/</w:t>
                            </w:r>
                          </w:p>
                        </w:txbxContent>
                      </v:textbox>
                      <w10:wrap anchorx="page" anchory="page"/>
                    </v:shape>
                  </w:pict>
                </mc:Fallback>
              </mc:AlternateContent>
            </w:r>
            <w:r>
              <w:rPr>
                <w:sz w:val="21"/>
                <w:szCs w:val="21"/>
                <w:lang w:bidi="ar"/>
              </w:rPr>
              <w:t>t/a</w:t>
            </w:r>
          </w:p>
        </w:tc>
        <w:tc>
          <w:tcPr>
            <w:tcW w:w="1252" w:type="dxa"/>
            <w:tcBorders>
              <w:top w:val="single" w:sz="6" w:space="0" w:color="auto"/>
              <w:left w:val="single" w:sz="4" w:space="0" w:color="auto"/>
              <w:bottom w:val="single" w:sz="6" w:space="0" w:color="auto"/>
              <w:right w:val="single" w:sz="4" w:space="0" w:color="auto"/>
            </w:tcBorders>
            <w:vAlign w:val="center"/>
          </w:tcPr>
          <w:p w14:paraId="286BF14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8643.08</w:t>
            </w:r>
          </w:p>
        </w:tc>
        <w:tc>
          <w:tcPr>
            <w:tcW w:w="1219" w:type="pct"/>
            <w:tcBorders>
              <w:top w:val="single" w:sz="6" w:space="0" w:color="auto"/>
              <w:left w:val="single" w:sz="4" w:space="0" w:color="auto"/>
              <w:bottom w:val="single" w:sz="6" w:space="0" w:color="auto"/>
            </w:tcBorders>
            <w:vAlign w:val="center"/>
          </w:tcPr>
          <w:p w14:paraId="501468AB" w14:textId="77777777" w:rsidR="003E78AB" w:rsidRDefault="00010BF9">
            <w:pPr>
              <w:spacing w:line="360" w:lineRule="exact"/>
              <w:ind w:firstLineChars="0" w:firstLine="0"/>
              <w:jc w:val="center"/>
              <w:textAlignment w:val="center"/>
              <w:rPr>
                <w:sz w:val="21"/>
                <w:szCs w:val="21"/>
                <w:lang w:bidi="ar"/>
              </w:rPr>
            </w:pPr>
            <w:r>
              <w:rPr>
                <w:sz w:val="21"/>
                <w:szCs w:val="21"/>
                <w:lang w:bidi="ar"/>
              </w:rPr>
              <w:t>吨包，汽运</w:t>
            </w:r>
          </w:p>
        </w:tc>
      </w:tr>
      <w:tr w:rsidR="003E78AB" w14:paraId="7AECEAA1" w14:textId="77777777">
        <w:trPr>
          <w:trHeight w:val="340"/>
          <w:jc w:val="center"/>
        </w:trPr>
        <w:tc>
          <w:tcPr>
            <w:tcW w:w="419" w:type="pct"/>
            <w:tcBorders>
              <w:top w:val="single" w:sz="6" w:space="0" w:color="auto"/>
              <w:bottom w:val="single" w:sz="6" w:space="0" w:color="auto"/>
              <w:right w:val="single" w:sz="4" w:space="0" w:color="auto"/>
            </w:tcBorders>
            <w:vAlign w:val="center"/>
          </w:tcPr>
          <w:p w14:paraId="35799CDA"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697" w:type="pct"/>
            <w:vMerge/>
            <w:tcBorders>
              <w:left w:val="single" w:sz="4" w:space="0" w:color="auto"/>
              <w:right w:val="single" w:sz="4" w:space="0" w:color="auto"/>
            </w:tcBorders>
            <w:vAlign w:val="center"/>
          </w:tcPr>
          <w:p w14:paraId="15832F3D"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64B7FB0B" w14:textId="77777777" w:rsidR="003E78AB" w:rsidRDefault="00010BF9">
            <w:pPr>
              <w:spacing w:line="360" w:lineRule="exact"/>
              <w:ind w:firstLineChars="0" w:firstLine="0"/>
              <w:jc w:val="center"/>
              <w:textAlignment w:val="center"/>
              <w:rPr>
                <w:sz w:val="21"/>
                <w:szCs w:val="21"/>
                <w:lang w:bidi="ar"/>
              </w:rPr>
            </w:pPr>
            <w:r>
              <w:rPr>
                <w:sz w:val="21"/>
                <w:szCs w:val="21"/>
                <w:lang w:bidi="ar"/>
              </w:rPr>
              <w:t>高纯硫酸</w:t>
            </w:r>
          </w:p>
        </w:tc>
        <w:tc>
          <w:tcPr>
            <w:tcW w:w="456" w:type="pct"/>
            <w:tcBorders>
              <w:top w:val="single" w:sz="6" w:space="0" w:color="auto"/>
              <w:left w:val="single" w:sz="4" w:space="0" w:color="auto"/>
              <w:bottom w:val="single" w:sz="6" w:space="0" w:color="auto"/>
              <w:right w:val="single" w:sz="4" w:space="0" w:color="auto"/>
            </w:tcBorders>
            <w:vAlign w:val="center"/>
          </w:tcPr>
          <w:p w14:paraId="0126C492"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556" w:type="pct"/>
            <w:tcBorders>
              <w:top w:val="single" w:sz="6" w:space="0" w:color="auto"/>
              <w:left w:val="single" w:sz="4" w:space="0" w:color="auto"/>
              <w:bottom w:val="single" w:sz="6" w:space="0" w:color="auto"/>
              <w:right w:val="single" w:sz="4" w:space="0" w:color="auto"/>
            </w:tcBorders>
            <w:vAlign w:val="center"/>
          </w:tcPr>
          <w:p w14:paraId="474FB3E9" w14:textId="77777777" w:rsidR="003E78AB" w:rsidRDefault="00010BF9">
            <w:pPr>
              <w:spacing w:line="360" w:lineRule="exact"/>
              <w:ind w:firstLineChars="0" w:firstLine="0"/>
              <w:jc w:val="center"/>
              <w:textAlignment w:val="center"/>
              <w:rPr>
                <w:sz w:val="21"/>
                <w:szCs w:val="21"/>
                <w:lang w:bidi="ar"/>
              </w:rPr>
            </w:pPr>
            <w:r>
              <w:rPr>
                <w:sz w:val="21"/>
                <w:szCs w:val="21"/>
                <w:lang w:bidi="ar"/>
              </w:rPr>
              <w:t>t/a</w:t>
            </w:r>
          </w:p>
        </w:tc>
        <w:tc>
          <w:tcPr>
            <w:tcW w:w="1252" w:type="dxa"/>
            <w:tcBorders>
              <w:top w:val="single" w:sz="6" w:space="0" w:color="auto"/>
              <w:left w:val="single" w:sz="4" w:space="0" w:color="auto"/>
              <w:bottom w:val="single" w:sz="6" w:space="0" w:color="auto"/>
              <w:right w:val="single" w:sz="4" w:space="0" w:color="auto"/>
            </w:tcBorders>
            <w:vAlign w:val="center"/>
          </w:tcPr>
          <w:p w14:paraId="57B5C53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23780.7</w:t>
            </w:r>
          </w:p>
        </w:tc>
        <w:tc>
          <w:tcPr>
            <w:tcW w:w="1219" w:type="pct"/>
            <w:tcBorders>
              <w:top w:val="single" w:sz="6" w:space="0" w:color="auto"/>
              <w:left w:val="single" w:sz="4" w:space="0" w:color="auto"/>
              <w:bottom w:val="single" w:sz="6" w:space="0" w:color="auto"/>
            </w:tcBorders>
            <w:vAlign w:val="center"/>
          </w:tcPr>
          <w:p w14:paraId="735ABC0B" w14:textId="77777777" w:rsidR="003E78AB" w:rsidRDefault="00010BF9">
            <w:pPr>
              <w:spacing w:line="360" w:lineRule="exact"/>
              <w:ind w:firstLineChars="0" w:firstLine="0"/>
              <w:jc w:val="center"/>
              <w:textAlignment w:val="center"/>
              <w:rPr>
                <w:sz w:val="21"/>
                <w:szCs w:val="21"/>
                <w:lang w:bidi="ar"/>
              </w:rPr>
            </w:pPr>
            <w:r>
              <w:rPr>
                <w:sz w:val="21"/>
                <w:szCs w:val="21"/>
                <w:lang w:bidi="ar"/>
              </w:rPr>
              <w:t>98%</w:t>
            </w:r>
            <w:r>
              <w:rPr>
                <w:sz w:val="21"/>
                <w:szCs w:val="21"/>
                <w:lang w:bidi="ar"/>
              </w:rPr>
              <w:t>浓度，罐车运输</w:t>
            </w:r>
          </w:p>
        </w:tc>
      </w:tr>
      <w:tr w:rsidR="003E78AB" w14:paraId="5105F965" w14:textId="77777777">
        <w:trPr>
          <w:trHeight w:val="340"/>
          <w:jc w:val="center"/>
        </w:trPr>
        <w:tc>
          <w:tcPr>
            <w:tcW w:w="419" w:type="pct"/>
            <w:tcBorders>
              <w:top w:val="single" w:sz="6" w:space="0" w:color="auto"/>
              <w:bottom w:val="single" w:sz="6" w:space="0" w:color="auto"/>
              <w:right w:val="single" w:sz="4" w:space="0" w:color="auto"/>
            </w:tcBorders>
            <w:vAlign w:val="center"/>
          </w:tcPr>
          <w:p w14:paraId="6DF20D69"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697" w:type="pct"/>
            <w:vMerge/>
            <w:tcBorders>
              <w:left w:val="single" w:sz="4" w:space="0" w:color="auto"/>
              <w:right w:val="single" w:sz="4" w:space="0" w:color="auto"/>
            </w:tcBorders>
            <w:vAlign w:val="center"/>
          </w:tcPr>
          <w:p w14:paraId="79F956C6"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6D82DDD7"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w:t>
            </w:r>
          </w:p>
        </w:tc>
        <w:tc>
          <w:tcPr>
            <w:tcW w:w="456" w:type="pct"/>
            <w:tcBorders>
              <w:top w:val="single" w:sz="6" w:space="0" w:color="auto"/>
              <w:left w:val="single" w:sz="4" w:space="0" w:color="auto"/>
              <w:bottom w:val="single" w:sz="6" w:space="0" w:color="auto"/>
              <w:right w:val="single" w:sz="4" w:space="0" w:color="auto"/>
            </w:tcBorders>
            <w:vAlign w:val="center"/>
          </w:tcPr>
          <w:p w14:paraId="5085814F"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556" w:type="pct"/>
            <w:tcBorders>
              <w:top w:val="single" w:sz="6" w:space="0" w:color="auto"/>
              <w:left w:val="single" w:sz="4" w:space="0" w:color="auto"/>
              <w:bottom w:val="single" w:sz="6" w:space="0" w:color="auto"/>
              <w:right w:val="single" w:sz="4" w:space="0" w:color="auto"/>
            </w:tcBorders>
            <w:vAlign w:val="center"/>
          </w:tcPr>
          <w:p w14:paraId="2CBE8573" w14:textId="77777777" w:rsidR="003E78AB" w:rsidRDefault="00010BF9">
            <w:pPr>
              <w:spacing w:line="360" w:lineRule="exact"/>
              <w:ind w:firstLineChars="0" w:firstLine="0"/>
              <w:jc w:val="center"/>
              <w:textAlignment w:val="center"/>
              <w:rPr>
                <w:sz w:val="21"/>
                <w:szCs w:val="21"/>
                <w:lang w:bidi="ar"/>
              </w:rPr>
            </w:pPr>
            <w:r>
              <w:rPr>
                <w:sz w:val="21"/>
                <w:szCs w:val="21"/>
                <w:lang w:bidi="ar"/>
              </w:rPr>
              <w:t>t/a</w:t>
            </w:r>
          </w:p>
        </w:tc>
        <w:tc>
          <w:tcPr>
            <w:tcW w:w="1252" w:type="dxa"/>
            <w:tcBorders>
              <w:top w:val="single" w:sz="6" w:space="0" w:color="auto"/>
              <w:left w:val="single" w:sz="4" w:space="0" w:color="auto"/>
              <w:bottom w:val="single" w:sz="6" w:space="0" w:color="auto"/>
              <w:right w:val="single" w:sz="4" w:space="0" w:color="auto"/>
            </w:tcBorders>
            <w:vAlign w:val="bottom"/>
          </w:tcPr>
          <w:p w14:paraId="241246C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576.47</w:t>
            </w:r>
          </w:p>
        </w:tc>
        <w:tc>
          <w:tcPr>
            <w:tcW w:w="1219" w:type="pct"/>
            <w:tcBorders>
              <w:top w:val="single" w:sz="6" w:space="0" w:color="auto"/>
              <w:left w:val="single" w:sz="4" w:space="0" w:color="auto"/>
              <w:bottom w:val="single" w:sz="6" w:space="0" w:color="auto"/>
            </w:tcBorders>
            <w:vAlign w:val="center"/>
          </w:tcPr>
          <w:p w14:paraId="6C31E408" w14:textId="77777777" w:rsidR="003E78AB" w:rsidRDefault="00010BF9">
            <w:pPr>
              <w:spacing w:line="360" w:lineRule="exact"/>
              <w:ind w:firstLineChars="0" w:firstLine="0"/>
              <w:jc w:val="center"/>
              <w:textAlignment w:val="center"/>
              <w:rPr>
                <w:sz w:val="21"/>
                <w:szCs w:val="21"/>
                <w:lang w:bidi="ar"/>
              </w:rPr>
            </w:pPr>
            <w:r>
              <w:rPr>
                <w:sz w:val="21"/>
                <w:szCs w:val="21"/>
                <w:lang w:bidi="ar"/>
              </w:rPr>
              <w:t>85%</w:t>
            </w:r>
            <w:r>
              <w:rPr>
                <w:sz w:val="21"/>
                <w:szCs w:val="21"/>
                <w:lang w:bidi="ar"/>
              </w:rPr>
              <w:t>浓度，罐车运输</w:t>
            </w:r>
          </w:p>
        </w:tc>
      </w:tr>
      <w:tr w:rsidR="003E78AB" w14:paraId="05E2457F" w14:textId="77777777">
        <w:trPr>
          <w:trHeight w:val="340"/>
          <w:jc w:val="center"/>
        </w:trPr>
        <w:tc>
          <w:tcPr>
            <w:tcW w:w="419" w:type="pct"/>
            <w:tcBorders>
              <w:top w:val="single" w:sz="6" w:space="0" w:color="auto"/>
              <w:bottom w:val="single" w:sz="6" w:space="0" w:color="auto"/>
              <w:right w:val="single" w:sz="4" w:space="0" w:color="auto"/>
            </w:tcBorders>
            <w:vAlign w:val="center"/>
          </w:tcPr>
          <w:p w14:paraId="6D3D8682"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697" w:type="pct"/>
            <w:vMerge/>
            <w:tcBorders>
              <w:left w:val="single" w:sz="4" w:space="0" w:color="auto"/>
              <w:bottom w:val="single" w:sz="6" w:space="0" w:color="auto"/>
              <w:right w:val="single" w:sz="4" w:space="0" w:color="auto"/>
            </w:tcBorders>
            <w:vAlign w:val="center"/>
          </w:tcPr>
          <w:p w14:paraId="6C5E1BDD"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715FEA30" w14:textId="77777777" w:rsidR="003E78AB" w:rsidRDefault="00010BF9">
            <w:pPr>
              <w:spacing w:line="360" w:lineRule="exact"/>
              <w:ind w:firstLineChars="0" w:firstLine="0"/>
              <w:jc w:val="center"/>
              <w:textAlignment w:val="center"/>
              <w:rPr>
                <w:sz w:val="21"/>
                <w:szCs w:val="21"/>
                <w:lang w:bidi="ar"/>
              </w:rPr>
            </w:pPr>
            <w:r>
              <w:rPr>
                <w:sz w:val="21"/>
                <w:szCs w:val="21"/>
                <w:lang w:bidi="ar"/>
              </w:rPr>
              <w:t>二水草酸</w:t>
            </w:r>
          </w:p>
        </w:tc>
        <w:tc>
          <w:tcPr>
            <w:tcW w:w="456" w:type="pct"/>
            <w:tcBorders>
              <w:top w:val="single" w:sz="6" w:space="0" w:color="auto"/>
              <w:left w:val="single" w:sz="4" w:space="0" w:color="auto"/>
              <w:bottom w:val="single" w:sz="6" w:space="0" w:color="auto"/>
              <w:right w:val="single" w:sz="4" w:space="0" w:color="auto"/>
            </w:tcBorders>
            <w:vAlign w:val="center"/>
          </w:tcPr>
          <w:p w14:paraId="07A82BDA" w14:textId="77777777" w:rsidR="003E78AB" w:rsidRDefault="00010BF9">
            <w:pPr>
              <w:spacing w:line="360" w:lineRule="exact"/>
              <w:ind w:firstLineChars="0" w:firstLine="0"/>
              <w:jc w:val="center"/>
              <w:textAlignment w:val="center"/>
              <w:rPr>
                <w:sz w:val="21"/>
                <w:szCs w:val="21"/>
                <w:lang w:bidi="ar"/>
              </w:rPr>
            </w:pPr>
            <w:r>
              <w:rPr>
                <w:sz w:val="21"/>
                <w:szCs w:val="21"/>
                <w:lang w:bidi="ar"/>
              </w:rPr>
              <w:t>固态</w:t>
            </w:r>
          </w:p>
        </w:tc>
        <w:tc>
          <w:tcPr>
            <w:tcW w:w="556" w:type="pct"/>
            <w:tcBorders>
              <w:top w:val="single" w:sz="6" w:space="0" w:color="auto"/>
              <w:left w:val="single" w:sz="4" w:space="0" w:color="auto"/>
              <w:bottom w:val="single" w:sz="6" w:space="0" w:color="auto"/>
              <w:right w:val="single" w:sz="4" w:space="0" w:color="auto"/>
            </w:tcBorders>
            <w:vAlign w:val="center"/>
          </w:tcPr>
          <w:p w14:paraId="59A6F9C6" w14:textId="77777777" w:rsidR="003E78AB" w:rsidRDefault="00010BF9">
            <w:pPr>
              <w:spacing w:line="360" w:lineRule="exact"/>
              <w:ind w:firstLineChars="0" w:firstLine="0"/>
              <w:jc w:val="center"/>
              <w:textAlignment w:val="center"/>
              <w:rPr>
                <w:sz w:val="21"/>
                <w:szCs w:val="21"/>
                <w:lang w:bidi="ar"/>
              </w:rPr>
            </w:pPr>
            <w:r>
              <w:rPr>
                <w:sz w:val="21"/>
                <w:szCs w:val="21"/>
                <w:lang w:bidi="ar"/>
              </w:rPr>
              <w:t>t/a</w:t>
            </w:r>
          </w:p>
        </w:tc>
        <w:tc>
          <w:tcPr>
            <w:tcW w:w="1252" w:type="dxa"/>
            <w:tcBorders>
              <w:top w:val="single" w:sz="6" w:space="0" w:color="auto"/>
              <w:left w:val="single" w:sz="4" w:space="0" w:color="auto"/>
              <w:bottom w:val="single" w:sz="6" w:space="0" w:color="auto"/>
              <w:right w:val="single" w:sz="4" w:space="0" w:color="auto"/>
            </w:tcBorders>
            <w:vAlign w:val="center"/>
          </w:tcPr>
          <w:p w14:paraId="75C907E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6588.36</w:t>
            </w:r>
          </w:p>
        </w:tc>
        <w:tc>
          <w:tcPr>
            <w:tcW w:w="1219" w:type="pct"/>
            <w:tcBorders>
              <w:top w:val="single" w:sz="6" w:space="0" w:color="auto"/>
              <w:left w:val="single" w:sz="4" w:space="0" w:color="auto"/>
              <w:bottom w:val="single" w:sz="6" w:space="0" w:color="auto"/>
            </w:tcBorders>
            <w:vAlign w:val="center"/>
          </w:tcPr>
          <w:p w14:paraId="3C40329B" w14:textId="77777777" w:rsidR="003E78AB" w:rsidRDefault="00010BF9">
            <w:pPr>
              <w:spacing w:line="360" w:lineRule="exact"/>
              <w:ind w:firstLineChars="0" w:firstLine="0"/>
              <w:jc w:val="center"/>
              <w:textAlignment w:val="center"/>
              <w:rPr>
                <w:sz w:val="21"/>
                <w:szCs w:val="21"/>
                <w:lang w:bidi="ar"/>
              </w:rPr>
            </w:pPr>
            <w:r>
              <w:rPr>
                <w:sz w:val="21"/>
                <w:szCs w:val="21"/>
                <w:lang w:bidi="ar"/>
              </w:rPr>
              <w:t>吨包</w:t>
            </w:r>
            <w:bookmarkStart w:id="218" w:name="OLE_LINK10"/>
            <w:r>
              <w:rPr>
                <w:sz w:val="21"/>
                <w:szCs w:val="21"/>
                <w:lang w:bidi="ar"/>
              </w:rPr>
              <w:t>，汽运</w:t>
            </w:r>
            <w:bookmarkEnd w:id="218"/>
          </w:p>
        </w:tc>
      </w:tr>
      <w:tr w:rsidR="003E78AB" w14:paraId="11D632B7" w14:textId="77777777">
        <w:trPr>
          <w:trHeight w:val="340"/>
          <w:jc w:val="center"/>
        </w:trPr>
        <w:tc>
          <w:tcPr>
            <w:tcW w:w="419" w:type="pct"/>
            <w:tcBorders>
              <w:top w:val="single" w:sz="6" w:space="0" w:color="auto"/>
              <w:bottom w:val="single" w:sz="6" w:space="0" w:color="auto"/>
              <w:right w:val="single" w:sz="4" w:space="0" w:color="auto"/>
            </w:tcBorders>
            <w:vAlign w:val="center"/>
          </w:tcPr>
          <w:p w14:paraId="5490BCCD" w14:textId="77777777" w:rsidR="003E78AB" w:rsidRDefault="00010BF9">
            <w:pPr>
              <w:spacing w:line="360" w:lineRule="exact"/>
              <w:ind w:firstLineChars="0" w:firstLine="0"/>
              <w:jc w:val="center"/>
              <w:textAlignment w:val="center"/>
              <w:rPr>
                <w:sz w:val="21"/>
                <w:szCs w:val="21"/>
                <w:lang w:bidi="ar"/>
              </w:rPr>
            </w:pPr>
            <w:r>
              <w:rPr>
                <w:sz w:val="21"/>
                <w:szCs w:val="21"/>
                <w:lang w:bidi="ar"/>
              </w:rPr>
              <w:t>5</w:t>
            </w:r>
          </w:p>
        </w:tc>
        <w:tc>
          <w:tcPr>
            <w:tcW w:w="697" w:type="pct"/>
            <w:tcBorders>
              <w:top w:val="single" w:sz="6" w:space="0" w:color="auto"/>
              <w:left w:val="single" w:sz="4" w:space="0" w:color="auto"/>
              <w:right w:val="single" w:sz="4" w:space="0" w:color="auto"/>
            </w:tcBorders>
            <w:vAlign w:val="center"/>
          </w:tcPr>
          <w:p w14:paraId="4FA7EFFE" w14:textId="77777777" w:rsidR="003E78AB" w:rsidRDefault="00010BF9">
            <w:pPr>
              <w:spacing w:line="360" w:lineRule="exact"/>
              <w:ind w:firstLineChars="0" w:firstLine="0"/>
              <w:jc w:val="center"/>
              <w:textAlignment w:val="center"/>
              <w:rPr>
                <w:sz w:val="21"/>
                <w:szCs w:val="21"/>
                <w:lang w:bidi="ar"/>
              </w:rPr>
            </w:pPr>
            <w:r>
              <w:rPr>
                <w:sz w:val="21"/>
                <w:szCs w:val="21"/>
                <w:lang w:bidi="ar"/>
              </w:rPr>
              <w:t>辅料</w:t>
            </w: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78AED636" w14:textId="77777777" w:rsidR="003E78AB" w:rsidRDefault="00010BF9">
            <w:pPr>
              <w:spacing w:line="360" w:lineRule="exact"/>
              <w:ind w:firstLineChars="0" w:firstLine="0"/>
              <w:jc w:val="center"/>
              <w:textAlignment w:val="center"/>
              <w:rPr>
                <w:sz w:val="21"/>
                <w:szCs w:val="21"/>
                <w:lang w:bidi="ar"/>
              </w:rPr>
            </w:pPr>
            <w:r>
              <w:rPr>
                <w:sz w:val="21"/>
                <w:szCs w:val="21"/>
                <w:lang w:bidi="ar"/>
              </w:rPr>
              <w:t>氢氧化钠</w:t>
            </w:r>
          </w:p>
        </w:tc>
        <w:tc>
          <w:tcPr>
            <w:tcW w:w="456" w:type="pct"/>
            <w:tcBorders>
              <w:top w:val="single" w:sz="6" w:space="0" w:color="auto"/>
              <w:left w:val="single" w:sz="4" w:space="0" w:color="auto"/>
              <w:bottom w:val="single" w:sz="6" w:space="0" w:color="auto"/>
              <w:right w:val="single" w:sz="4" w:space="0" w:color="auto"/>
            </w:tcBorders>
            <w:vAlign w:val="center"/>
          </w:tcPr>
          <w:p w14:paraId="665CC7E1" w14:textId="77777777" w:rsidR="003E78AB" w:rsidRDefault="00010BF9">
            <w:pPr>
              <w:spacing w:line="360" w:lineRule="exact"/>
              <w:ind w:firstLineChars="0" w:firstLine="0"/>
              <w:jc w:val="center"/>
              <w:textAlignment w:val="center"/>
              <w:rPr>
                <w:sz w:val="21"/>
                <w:szCs w:val="21"/>
                <w:lang w:bidi="ar"/>
              </w:rPr>
            </w:pPr>
            <w:r>
              <w:rPr>
                <w:sz w:val="21"/>
                <w:szCs w:val="21"/>
                <w:lang w:bidi="ar"/>
              </w:rPr>
              <w:t>固态</w:t>
            </w:r>
          </w:p>
        </w:tc>
        <w:tc>
          <w:tcPr>
            <w:tcW w:w="556" w:type="pct"/>
            <w:tcBorders>
              <w:top w:val="single" w:sz="6" w:space="0" w:color="auto"/>
              <w:left w:val="single" w:sz="4" w:space="0" w:color="auto"/>
              <w:bottom w:val="single" w:sz="6" w:space="0" w:color="auto"/>
              <w:right w:val="single" w:sz="4" w:space="0" w:color="auto"/>
            </w:tcBorders>
            <w:vAlign w:val="center"/>
          </w:tcPr>
          <w:p w14:paraId="106D0318" w14:textId="77777777" w:rsidR="003E78AB" w:rsidRDefault="00010BF9">
            <w:pPr>
              <w:spacing w:line="360" w:lineRule="exact"/>
              <w:ind w:firstLineChars="0" w:firstLine="0"/>
              <w:jc w:val="center"/>
              <w:textAlignment w:val="center"/>
              <w:rPr>
                <w:sz w:val="21"/>
                <w:szCs w:val="21"/>
                <w:lang w:bidi="ar"/>
              </w:rPr>
            </w:pPr>
            <w:r>
              <w:rPr>
                <w:sz w:val="21"/>
                <w:szCs w:val="21"/>
                <w:lang w:bidi="ar"/>
              </w:rPr>
              <w:t>t/a</w:t>
            </w:r>
          </w:p>
        </w:tc>
        <w:tc>
          <w:tcPr>
            <w:tcW w:w="742" w:type="pct"/>
            <w:tcBorders>
              <w:top w:val="single" w:sz="6" w:space="0" w:color="auto"/>
              <w:left w:val="single" w:sz="4" w:space="0" w:color="auto"/>
              <w:bottom w:val="single" w:sz="6" w:space="0" w:color="auto"/>
              <w:right w:val="single" w:sz="4" w:space="0" w:color="auto"/>
            </w:tcBorders>
            <w:vAlign w:val="center"/>
          </w:tcPr>
          <w:p w14:paraId="411C68F7" w14:textId="77777777" w:rsidR="003E78AB" w:rsidRDefault="00010BF9">
            <w:pPr>
              <w:spacing w:line="360" w:lineRule="exact"/>
              <w:ind w:firstLineChars="0" w:firstLine="0"/>
              <w:jc w:val="center"/>
              <w:textAlignment w:val="center"/>
              <w:rPr>
                <w:sz w:val="21"/>
                <w:szCs w:val="21"/>
                <w:lang w:bidi="ar"/>
              </w:rPr>
            </w:pPr>
            <w:r>
              <w:rPr>
                <w:sz w:val="21"/>
                <w:szCs w:val="21"/>
                <w:lang w:bidi="ar"/>
              </w:rPr>
              <w:t>209.3</w:t>
            </w:r>
          </w:p>
        </w:tc>
        <w:tc>
          <w:tcPr>
            <w:tcW w:w="1219" w:type="pct"/>
            <w:tcBorders>
              <w:top w:val="single" w:sz="6" w:space="0" w:color="auto"/>
              <w:left w:val="single" w:sz="4" w:space="0" w:color="auto"/>
              <w:bottom w:val="single" w:sz="6" w:space="0" w:color="auto"/>
            </w:tcBorders>
            <w:vAlign w:val="center"/>
          </w:tcPr>
          <w:p w14:paraId="79F39CE0" w14:textId="77777777" w:rsidR="003E78AB" w:rsidRDefault="00010BF9">
            <w:pPr>
              <w:spacing w:line="360" w:lineRule="exact"/>
              <w:ind w:firstLineChars="0" w:firstLine="0"/>
              <w:jc w:val="center"/>
              <w:textAlignment w:val="center"/>
              <w:rPr>
                <w:sz w:val="21"/>
                <w:szCs w:val="21"/>
                <w:lang w:bidi="ar"/>
              </w:rPr>
            </w:pPr>
            <w:r>
              <w:rPr>
                <w:sz w:val="21"/>
                <w:szCs w:val="21"/>
                <w:lang w:bidi="ar"/>
              </w:rPr>
              <w:t>袋装，汽运</w:t>
            </w:r>
          </w:p>
        </w:tc>
      </w:tr>
      <w:tr w:rsidR="003E78AB" w14:paraId="07B18FAB" w14:textId="77777777">
        <w:trPr>
          <w:trHeight w:val="340"/>
          <w:jc w:val="center"/>
        </w:trPr>
        <w:tc>
          <w:tcPr>
            <w:tcW w:w="419" w:type="pct"/>
            <w:tcBorders>
              <w:top w:val="single" w:sz="6" w:space="0" w:color="auto"/>
              <w:bottom w:val="single" w:sz="6" w:space="0" w:color="auto"/>
              <w:right w:val="single" w:sz="4" w:space="0" w:color="auto"/>
            </w:tcBorders>
            <w:vAlign w:val="center"/>
          </w:tcPr>
          <w:p w14:paraId="61645B56" w14:textId="77777777" w:rsidR="003E78AB" w:rsidRDefault="00010BF9">
            <w:pPr>
              <w:spacing w:line="360" w:lineRule="exact"/>
              <w:ind w:firstLineChars="0" w:firstLine="0"/>
              <w:jc w:val="center"/>
              <w:textAlignment w:val="center"/>
              <w:rPr>
                <w:sz w:val="21"/>
                <w:szCs w:val="21"/>
                <w:lang w:bidi="ar"/>
              </w:rPr>
            </w:pPr>
            <w:r>
              <w:rPr>
                <w:sz w:val="21"/>
                <w:szCs w:val="21"/>
                <w:lang w:bidi="ar"/>
              </w:rPr>
              <w:t>7</w:t>
            </w:r>
          </w:p>
        </w:tc>
        <w:tc>
          <w:tcPr>
            <w:tcW w:w="697" w:type="pct"/>
            <w:vMerge w:val="restart"/>
            <w:tcBorders>
              <w:top w:val="single" w:sz="6" w:space="0" w:color="auto"/>
              <w:left w:val="single" w:sz="4" w:space="0" w:color="auto"/>
              <w:right w:val="single" w:sz="4" w:space="0" w:color="auto"/>
            </w:tcBorders>
            <w:vAlign w:val="center"/>
          </w:tcPr>
          <w:p w14:paraId="6210EFAC" w14:textId="77777777" w:rsidR="003E78AB" w:rsidRDefault="00010BF9">
            <w:pPr>
              <w:spacing w:line="360" w:lineRule="exact"/>
              <w:ind w:firstLineChars="0" w:firstLine="0"/>
              <w:jc w:val="center"/>
              <w:textAlignment w:val="center"/>
              <w:rPr>
                <w:sz w:val="21"/>
                <w:szCs w:val="21"/>
                <w:lang w:bidi="ar"/>
              </w:rPr>
            </w:pPr>
            <w:r>
              <w:rPr>
                <w:sz w:val="21"/>
                <w:szCs w:val="21"/>
                <w:lang w:bidi="ar"/>
              </w:rPr>
              <w:t>实验室药剂</w:t>
            </w: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3EC775DF"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w:t>
            </w:r>
          </w:p>
        </w:tc>
        <w:tc>
          <w:tcPr>
            <w:tcW w:w="456" w:type="pct"/>
            <w:tcBorders>
              <w:top w:val="single" w:sz="6" w:space="0" w:color="auto"/>
              <w:left w:val="single" w:sz="4" w:space="0" w:color="auto"/>
              <w:bottom w:val="single" w:sz="6" w:space="0" w:color="auto"/>
              <w:right w:val="single" w:sz="4" w:space="0" w:color="auto"/>
            </w:tcBorders>
            <w:vAlign w:val="center"/>
          </w:tcPr>
          <w:p w14:paraId="0501C46E"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947" w:type="dxa"/>
            <w:tcBorders>
              <w:top w:val="single" w:sz="6" w:space="0" w:color="auto"/>
              <w:left w:val="single" w:sz="4" w:space="0" w:color="auto"/>
              <w:bottom w:val="single" w:sz="6" w:space="0" w:color="auto"/>
              <w:right w:val="single" w:sz="4" w:space="0" w:color="auto"/>
            </w:tcBorders>
            <w:vAlign w:val="center"/>
          </w:tcPr>
          <w:p w14:paraId="2FD97053" w14:textId="77777777" w:rsidR="003E78AB" w:rsidRDefault="00010BF9">
            <w:pPr>
              <w:spacing w:line="360" w:lineRule="exact"/>
              <w:ind w:firstLineChars="0" w:firstLine="0"/>
              <w:jc w:val="center"/>
              <w:textAlignment w:val="center"/>
              <w:rPr>
                <w:sz w:val="21"/>
                <w:szCs w:val="21"/>
                <w:lang w:bidi="ar"/>
              </w:rPr>
            </w:pPr>
            <w:r>
              <w:rPr>
                <w:sz w:val="21"/>
                <w:szCs w:val="21"/>
                <w:lang w:bidi="ar"/>
              </w:rPr>
              <w:t>L/a</w:t>
            </w:r>
          </w:p>
        </w:tc>
        <w:tc>
          <w:tcPr>
            <w:tcW w:w="1265" w:type="dxa"/>
            <w:tcBorders>
              <w:top w:val="single" w:sz="6" w:space="0" w:color="auto"/>
              <w:left w:val="single" w:sz="4" w:space="0" w:color="auto"/>
              <w:bottom w:val="single" w:sz="6" w:space="0" w:color="auto"/>
              <w:right w:val="single" w:sz="4" w:space="0" w:color="auto"/>
            </w:tcBorders>
            <w:vAlign w:val="center"/>
          </w:tcPr>
          <w:p w14:paraId="43B6FB1E" w14:textId="77777777" w:rsidR="003E78AB" w:rsidRDefault="00010BF9">
            <w:pPr>
              <w:spacing w:line="360" w:lineRule="exact"/>
              <w:ind w:firstLineChars="0" w:firstLine="0"/>
              <w:jc w:val="center"/>
              <w:textAlignment w:val="center"/>
              <w:rPr>
                <w:sz w:val="21"/>
                <w:szCs w:val="21"/>
                <w:lang w:bidi="ar"/>
              </w:rPr>
            </w:pPr>
            <w:r>
              <w:rPr>
                <w:sz w:val="21"/>
                <w:szCs w:val="21"/>
                <w:lang w:bidi="ar"/>
              </w:rPr>
              <w:t>1000</w:t>
            </w:r>
          </w:p>
        </w:tc>
        <w:tc>
          <w:tcPr>
            <w:tcW w:w="1219" w:type="pct"/>
            <w:tcBorders>
              <w:top w:val="single" w:sz="6" w:space="0" w:color="auto"/>
              <w:left w:val="single" w:sz="4" w:space="0" w:color="auto"/>
              <w:bottom w:val="single" w:sz="6" w:space="0" w:color="auto"/>
            </w:tcBorders>
            <w:vAlign w:val="center"/>
          </w:tcPr>
          <w:p w14:paraId="5DCC7501" w14:textId="77777777" w:rsidR="003E78AB" w:rsidRDefault="00010BF9">
            <w:pPr>
              <w:spacing w:line="360" w:lineRule="exact"/>
              <w:ind w:firstLineChars="0" w:firstLine="0"/>
              <w:jc w:val="center"/>
              <w:textAlignment w:val="center"/>
              <w:rPr>
                <w:sz w:val="21"/>
                <w:szCs w:val="21"/>
                <w:lang w:bidi="ar"/>
              </w:rPr>
            </w:pPr>
            <w:r>
              <w:rPr>
                <w:sz w:val="21"/>
                <w:szCs w:val="21"/>
                <w:lang w:bidi="ar"/>
              </w:rPr>
              <w:t>分析纯，瓶装，汽运</w:t>
            </w:r>
          </w:p>
        </w:tc>
      </w:tr>
      <w:tr w:rsidR="003E78AB" w14:paraId="2571DC6D" w14:textId="77777777">
        <w:trPr>
          <w:trHeight w:val="340"/>
          <w:jc w:val="center"/>
        </w:trPr>
        <w:tc>
          <w:tcPr>
            <w:tcW w:w="419" w:type="pct"/>
            <w:tcBorders>
              <w:top w:val="single" w:sz="6" w:space="0" w:color="auto"/>
              <w:bottom w:val="single" w:sz="6" w:space="0" w:color="auto"/>
              <w:right w:val="single" w:sz="4" w:space="0" w:color="auto"/>
            </w:tcBorders>
            <w:vAlign w:val="center"/>
          </w:tcPr>
          <w:p w14:paraId="41E1409A" w14:textId="77777777" w:rsidR="003E78AB" w:rsidRDefault="00010BF9">
            <w:pPr>
              <w:spacing w:line="360" w:lineRule="exact"/>
              <w:ind w:firstLineChars="0" w:firstLine="0"/>
              <w:jc w:val="center"/>
              <w:textAlignment w:val="center"/>
              <w:rPr>
                <w:sz w:val="21"/>
                <w:szCs w:val="21"/>
                <w:lang w:bidi="ar"/>
              </w:rPr>
            </w:pPr>
            <w:r>
              <w:rPr>
                <w:sz w:val="21"/>
                <w:szCs w:val="21"/>
                <w:lang w:bidi="ar"/>
              </w:rPr>
              <w:t>8</w:t>
            </w:r>
          </w:p>
        </w:tc>
        <w:tc>
          <w:tcPr>
            <w:tcW w:w="697" w:type="pct"/>
            <w:vMerge/>
            <w:tcBorders>
              <w:left w:val="single" w:sz="4" w:space="0" w:color="auto"/>
              <w:right w:val="single" w:sz="4" w:space="0" w:color="auto"/>
            </w:tcBorders>
            <w:vAlign w:val="center"/>
          </w:tcPr>
          <w:p w14:paraId="79783799"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13F9D8C1" w14:textId="77777777" w:rsidR="003E78AB" w:rsidRDefault="00010BF9">
            <w:pPr>
              <w:spacing w:line="360" w:lineRule="exact"/>
              <w:ind w:firstLineChars="0" w:firstLine="0"/>
              <w:jc w:val="center"/>
              <w:textAlignment w:val="center"/>
              <w:rPr>
                <w:sz w:val="21"/>
                <w:szCs w:val="21"/>
                <w:lang w:bidi="ar"/>
              </w:rPr>
            </w:pPr>
            <w:r>
              <w:rPr>
                <w:sz w:val="21"/>
                <w:szCs w:val="21"/>
                <w:lang w:bidi="ar"/>
              </w:rPr>
              <w:t>硝酸</w:t>
            </w:r>
          </w:p>
        </w:tc>
        <w:tc>
          <w:tcPr>
            <w:tcW w:w="456" w:type="pct"/>
            <w:tcBorders>
              <w:top w:val="single" w:sz="6" w:space="0" w:color="auto"/>
              <w:left w:val="single" w:sz="4" w:space="0" w:color="auto"/>
              <w:bottom w:val="single" w:sz="6" w:space="0" w:color="auto"/>
              <w:right w:val="single" w:sz="4" w:space="0" w:color="auto"/>
            </w:tcBorders>
            <w:vAlign w:val="center"/>
          </w:tcPr>
          <w:p w14:paraId="72FD1470"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947" w:type="dxa"/>
            <w:tcBorders>
              <w:top w:val="single" w:sz="6" w:space="0" w:color="auto"/>
              <w:left w:val="single" w:sz="4" w:space="0" w:color="auto"/>
              <w:bottom w:val="single" w:sz="6" w:space="0" w:color="auto"/>
              <w:right w:val="single" w:sz="4" w:space="0" w:color="auto"/>
            </w:tcBorders>
            <w:vAlign w:val="center"/>
          </w:tcPr>
          <w:p w14:paraId="720612F5" w14:textId="77777777" w:rsidR="003E78AB" w:rsidRDefault="00010BF9">
            <w:pPr>
              <w:spacing w:line="360" w:lineRule="exact"/>
              <w:ind w:firstLineChars="0" w:firstLine="0"/>
              <w:jc w:val="center"/>
              <w:textAlignment w:val="center"/>
              <w:rPr>
                <w:sz w:val="21"/>
                <w:szCs w:val="21"/>
                <w:lang w:bidi="ar"/>
              </w:rPr>
            </w:pPr>
            <w:r>
              <w:rPr>
                <w:sz w:val="21"/>
                <w:szCs w:val="21"/>
                <w:lang w:bidi="ar"/>
              </w:rPr>
              <w:t>L/a</w:t>
            </w:r>
          </w:p>
        </w:tc>
        <w:tc>
          <w:tcPr>
            <w:tcW w:w="1265" w:type="dxa"/>
            <w:tcBorders>
              <w:top w:val="single" w:sz="6" w:space="0" w:color="auto"/>
              <w:left w:val="single" w:sz="4" w:space="0" w:color="auto"/>
              <w:bottom w:val="single" w:sz="6" w:space="0" w:color="auto"/>
              <w:right w:val="single" w:sz="4" w:space="0" w:color="auto"/>
            </w:tcBorders>
            <w:vAlign w:val="center"/>
          </w:tcPr>
          <w:p w14:paraId="6E122E06" w14:textId="77777777" w:rsidR="003E78AB" w:rsidRDefault="00010BF9">
            <w:pPr>
              <w:spacing w:line="360" w:lineRule="exact"/>
              <w:ind w:firstLineChars="0" w:firstLine="0"/>
              <w:jc w:val="center"/>
              <w:textAlignment w:val="center"/>
              <w:rPr>
                <w:sz w:val="21"/>
                <w:szCs w:val="21"/>
                <w:lang w:bidi="ar"/>
              </w:rPr>
            </w:pPr>
            <w:r>
              <w:rPr>
                <w:sz w:val="21"/>
                <w:szCs w:val="21"/>
                <w:lang w:bidi="ar"/>
              </w:rPr>
              <w:t>500</w:t>
            </w:r>
          </w:p>
        </w:tc>
        <w:tc>
          <w:tcPr>
            <w:tcW w:w="1219" w:type="pct"/>
            <w:tcBorders>
              <w:top w:val="single" w:sz="6" w:space="0" w:color="auto"/>
              <w:left w:val="single" w:sz="4" w:space="0" w:color="auto"/>
              <w:bottom w:val="single" w:sz="6" w:space="0" w:color="auto"/>
            </w:tcBorders>
            <w:vAlign w:val="center"/>
          </w:tcPr>
          <w:p w14:paraId="4A7C811C" w14:textId="77777777" w:rsidR="003E78AB" w:rsidRDefault="00010BF9">
            <w:pPr>
              <w:spacing w:line="360" w:lineRule="exact"/>
              <w:ind w:firstLineChars="0" w:firstLine="0"/>
              <w:jc w:val="center"/>
              <w:textAlignment w:val="center"/>
              <w:rPr>
                <w:sz w:val="21"/>
                <w:szCs w:val="21"/>
                <w:lang w:bidi="ar"/>
              </w:rPr>
            </w:pPr>
            <w:r>
              <w:rPr>
                <w:sz w:val="21"/>
                <w:szCs w:val="21"/>
                <w:lang w:bidi="ar"/>
              </w:rPr>
              <w:t>分析纯，瓶装，汽运</w:t>
            </w:r>
          </w:p>
        </w:tc>
      </w:tr>
      <w:tr w:rsidR="003E78AB" w14:paraId="795D0946" w14:textId="77777777">
        <w:trPr>
          <w:trHeight w:val="340"/>
          <w:jc w:val="center"/>
        </w:trPr>
        <w:tc>
          <w:tcPr>
            <w:tcW w:w="419" w:type="pct"/>
            <w:tcBorders>
              <w:top w:val="single" w:sz="6" w:space="0" w:color="auto"/>
              <w:bottom w:val="single" w:sz="6" w:space="0" w:color="auto"/>
              <w:right w:val="single" w:sz="4" w:space="0" w:color="auto"/>
            </w:tcBorders>
            <w:vAlign w:val="center"/>
          </w:tcPr>
          <w:p w14:paraId="1C21FF7E" w14:textId="77777777" w:rsidR="003E78AB" w:rsidRDefault="00010BF9">
            <w:pPr>
              <w:spacing w:line="360" w:lineRule="exact"/>
              <w:ind w:firstLineChars="0" w:firstLine="0"/>
              <w:jc w:val="center"/>
              <w:textAlignment w:val="center"/>
              <w:rPr>
                <w:sz w:val="21"/>
                <w:szCs w:val="21"/>
                <w:lang w:bidi="ar"/>
              </w:rPr>
            </w:pPr>
            <w:r>
              <w:rPr>
                <w:sz w:val="21"/>
                <w:szCs w:val="21"/>
                <w:lang w:bidi="ar"/>
              </w:rPr>
              <w:t>9</w:t>
            </w:r>
          </w:p>
        </w:tc>
        <w:tc>
          <w:tcPr>
            <w:tcW w:w="697" w:type="pct"/>
            <w:vMerge/>
            <w:tcBorders>
              <w:left w:val="single" w:sz="4" w:space="0" w:color="auto"/>
              <w:right w:val="single" w:sz="4" w:space="0" w:color="auto"/>
            </w:tcBorders>
            <w:vAlign w:val="center"/>
          </w:tcPr>
          <w:p w14:paraId="5F533999"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16D57E99"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w:t>
            </w:r>
          </w:p>
        </w:tc>
        <w:tc>
          <w:tcPr>
            <w:tcW w:w="456" w:type="pct"/>
            <w:tcBorders>
              <w:top w:val="single" w:sz="6" w:space="0" w:color="auto"/>
              <w:left w:val="single" w:sz="4" w:space="0" w:color="auto"/>
              <w:bottom w:val="single" w:sz="6" w:space="0" w:color="auto"/>
              <w:right w:val="single" w:sz="4" w:space="0" w:color="auto"/>
            </w:tcBorders>
            <w:vAlign w:val="center"/>
          </w:tcPr>
          <w:p w14:paraId="17666929"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947" w:type="dxa"/>
            <w:tcBorders>
              <w:top w:val="single" w:sz="6" w:space="0" w:color="auto"/>
              <w:left w:val="single" w:sz="4" w:space="0" w:color="auto"/>
              <w:bottom w:val="single" w:sz="6" w:space="0" w:color="auto"/>
              <w:right w:val="single" w:sz="4" w:space="0" w:color="auto"/>
            </w:tcBorders>
            <w:vAlign w:val="center"/>
          </w:tcPr>
          <w:p w14:paraId="4EDCF880" w14:textId="77777777" w:rsidR="003E78AB" w:rsidRDefault="00010BF9">
            <w:pPr>
              <w:spacing w:line="360" w:lineRule="exact"/>
              <w:ind w:firstLineChars="0" w:firstLine="0"/>
              <w:jc w:val="center"/>
              <w:textAlignment w:val="center"/>
              <w:rPr>
                <w:sz w:val="21"/>
                <w:szCs w:val="21"/>
                <w:lang w:bidi="ar"/>
              </w:rPr>
            </w:pPr>
            <w:r>
              <w:rPr>
                <w:sz w:val="21"/>
                <w:szCs w:val="21"/>
                <w:lang w:bidi="ar"/>
              </w:rPr>
              <w:t>L/a</w:t>
            </w:r>
          </w:p>
        </w:tc>
        <w:tc>
          <w:tcPr>
            <w:tcW w:w="1265" w:type="dxa"/>
            <w:tcBorders>
              <w:top w:val="single" w:sz="6" w:space="0" w:color="auto"/>
              <w:left w:val="single" w:sz="4" w:space="0" w:color="auto"/>
              <w:bottom w:val="single" w:sz="6" w:space="0" w:color="auto"/>
              <w:right w:val="single" w:sz="4" w:space="0" w:color="auto"/>
            </w:tcBorders>
            <w:vAlign w:val="center"/>
          </w:tcPr>
          <w:p w14:paraId="0E361F98" w14:textId="77777777" w:rsidR="003E78AB" w:rsidRDefault="00010BF9">
            <w:pPr>
              <w:spacing w:line="360" w:lineRule="exact"/>
              <w:ind w:firstLineChars="0" w:firstLine="0"/>
              <w:jc w:val="center"/>
              <w:textAlignment w:val="center"/>
              <w:rPr>
                <w:sz w:val="21"/>
                <w:szCs w:val="21"/>
                <w:lang w:bidi="ar"/>
              </w:rPr>
            </w:pPr>
            <w:r>
              <w:rPr>
                <w:sz w:val="21"/>
                <w:szCs w:val="21"/>
                <w:lang w:bidi="ar"/>
              </w:rPr>
              <w:t>800</w:t>
            </w:r>
          </w:p>
        </w:tc>
        <w:tc>
          <w:tcPr>
            <w:tcW w:w="1219" w:type="pct"/>
            <w:tcBorders>
              <w:top w:val="single" w:sz="6" w:space="0" w:color="auto"/>
              <w:left w:val="single" w:sz="4" w:space="0" w:color="auto"/>
              <w:bottom w:val="single" w:sz="6" w:space="0" w:color="auto"/>
            </w:tcBorders>
            <w:vAlign w:val="center"/>
          </w:tcPr>
          <w:p w14:paraId="4D66BC92" w14:textId="77777777" w:rsidR="003E78AB" w:rsidRDefault="00010BF9">
            <w:pPr>
              <w:spacing w:line="360" w:lineRule="exact"/>
              <w:ind w:firstLineChars="0" w:firstLine="0"/>
              <w:jc w:val="center"/>
              <w:textAlignment w:val="center"/>
              <w:rPr>
                <w:sz w:val="21"/>
                <w:szCs w:val="21"/>
                <w:lang w:bidi="ar"/>
              </w:rPr>
            </w:pPr>
            <w:r>
              <w:rPr>
                <w:sz w:val="21"/>
                <w:szCs w:val="21"/>
                <w:lang w:bidi="ar"/>
              </w:rPr>
              <w:t>分析纯，瓶装，汽运</w:t>
            </w:r>
          </w:p>
        </w:tc>
      </w:tr>
      <w:tr w:rsidR="003E78AB" w14:paraId="26A717F7" w14:textId="77777777">
        <w:trPr>
          <w:trHeight w:val="340"/>
          <w:jc w:val="center"/>
        </w:trPr>
        <w:tc>
          <w:tcPr>
            <w:tcW w:w="419" w:type="pct"/>
            <w:tcBorders>
              <w:top w:val="single" w:sz="6" w:space="0" w:color="auto"/>
              <w:bottom w:val="single" w:sz="6" w:space="0" w:color="auto"/>
              <w:right w:val="single" w:sz="4" w:space="0" w:color="auto"/>
            </w:tcBorders>
            <w:vAlign w:val="center"/>
          </w:tcPr>
          <w:p w14:paraId="0139B347" w14:textId="77777777" w:rsidR="003E78AB" w:rsidRDefault="00010BF9">
            <w:pPr>
              <w:spacing w:line="360" w:lineRule="exact"/>
              <w:ind w:firstLineChars="0" w:firstLine="0"/>
              <w:jc w:val="center"/>
              <w:textAlignment w:val="center"/>
              <w:rPr>
                <w:sz w:val="21"/>
                <w:szCs w:val="21"/>
                <w:lang w:bidi="ar"/>
              </w:rPr>
            </w:pPr>
            <w:r>
              <w:rPr>
                <w:sz w:val="21"/>
                <w:szCs w:val="21"/>
                <w:lang w:bidi="ar"/>
              </w:rPr>
              <w:t>10</w:t>
            </w:r>
          </w:p>
        </w:tc>
        <w:tc>
          <w:tcPr>
            <w:tcW w:w="697" w:type="pct"/>
            <w:vMerge/>
            <w:tcBorders>
              <w:left w:val="single" w:sz="4" w:space="0" w:color="auto"/>
              <w:right w:val="single" w:sz="4" w:space="0" w:color="auto"/>
            </w:tcBorders>
            <w:vAlign w:val="center"/>
          </w:tcPr>
          <w:p w14:paraId="1D9F4D30"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0360EC3B" w14:textId="77777777" w:rsidR="003E78AB" w:rsidRDefault="00010BF9">
            <w:pPr>
              <w:spacing w:line="360" w:lineRule="exact"/>
              <w:ind w:firstLineChars="0" w:firstLine="0"/>
              <w:jc w:val="center"/>
              <w:textAlignment w:val="center"/>
              <w:rPr>
                <w:sz w:val="21"/>
                <w:szCs w:val="21"/>
                <w:lang w:bidi="ar"/>
              </w:rPr>
            </w:pPr>
            <w:r>
              <w:rPr>
                <w:sz w:val="21"/>
                <w:szCs w:val="21"/>
                <w:lang w:bidi="ar"/>
              </w:rPr>
              <w:t>盐酸</w:t>
            </w:r>
          </w:p>
        </w:tc>
        <w:tc>
          <w:tcPr>
            <w:tcW w:w="456" w:type="pct"/>
            <w:tcBorders>
              <w:top w:val="single" w:sz="6" w:space="0" w:color="auto"/>
              <w:left w:val="single" w:sz="4" w:space="0" w:color="auto"/>
              <w:bottom w:val="single" w:sz="6" w:space="0" w:color="auto"/>
              <w:right w:val="single" w:sz="4" w:space="0" w:color="auto"/>
            </w:tcBorders>
            <w:vAlign w:val="center"/>
          </w:tcPr>
          <w:p w14:paraId="38533E7B"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947" w:type="dxa"/>
            <w:tcBorders>
              <w:top w:val="single" w:sz="6" w:space="0" w:color="auto"/>
              <w:left w:val="single" w:sz="4" w:space="0" w:color="auto"/>
              <w:bottom w:val="single" w:sz="6" w:space="0" w:color="auto"/>
              <w:right w:val="single" w:sz="4" w:space="0" w:color="auto"/>
            </w:tcBorders>
            <w:vAlign w:val="center"/>
          </w:tcPr>
          <w:p w14:paraId="6C90C8DD" w14:textId="77777777" w:rsidR="003E78AB" w:rsidRDefault="00010BF9">
            <w:pPr>
              <w:spacing w:line="360" w:lineRule="exact"/>
              <w:ind w:firstLineChars="0" w:firstLine="0"/>
              <w:jc w:val="center"/>
              <w:textAlignment w:val="center"/>
              <w:rPr>
                <w:sz w:val="21"/>
                <w:szCs w:val="21"/>
                <w:lang w:bidi="ar"/>
              </w:rPr>
            </w:pPr>
            <w:r>
              <w:rPr>
                <w:sz w:val="21"/>
                <w:szCs w:val="21"/>
                <w:lang w:bidi="ar"/>
              </w:rPr>
              <w:t>L/a</w:t>
            </w:r>
          </w:p>
        </w:tc>
        <w:tc>
          <w:tcPr>
            <w:tcW w:w="1265" w:type="dxa"/>
            <w:tcBorders>
              <w:top w:val="single" w:sz="6" w:space="0" w:color="auto"/>
              <w:left w:val="single" w:sz="4" w:space="0" w:color="auto"/>
              <w:bottom w:val="single" w:sz="6" w:space="0" w:color="auto"/>
              <w:right w:val="single" w:sz="4" w:space="0" w:color="auto"/>
            </w:tcBorders>
            <w:vAlign w:val="center"/>
          </w:tcPr>
          <w:p w14:paraId="0976B615" w14:textId="77777777" w:rsidR="003E78AB" w:rsidRDefault="00010BF9">
            <w:pPr>
              <w:spacing w:line="360" w:lineRule="exact"/>
              <w:ind w:firstLineChars="0" w:firstLine="0"/>
              <w:jc w:val="center"/>
              <w:textAlignment w:val="center"/>
              <w:rPr>
                <w:sz w:val="21"/>
                <w:szCs w:val="21"/>
                <w:lang w:bidi="ar"/>
              </w:rPr>
            </w:pPr>
            <w:r>
              <w:rPr>
                <w:sz w:val="21"/>
                <w:szCs w:val="21"/>
                <w:lang w:bidi="ar"/>
              </w:rPr>
              <w:t>800</w:t>
            </w:r>
          </w:p>
        </w:tc>
        <w:tc>
          <w:tcPr>
            <w:tcW w:w="1219" w:type="pct"/>
            <w:tcBorders>
              <w:top w:val="single" w:sz="6" w:space="0" w:color="auto"/>
              <w:left w:val="single" w:sz="4" w:space="0" w:color="auto"/>
              <w:bottom w:val="single" w:sz="6" w:space="0" w:color="auto"/>
            </w:tcBorders>
            <w:vAlign w:val="center"/>
          </w:tcPr>
          <w:p w14:paraId="2A33F768" w14:textId="77777777" w:rsidR="003E78AB" w:rsidRDefault="00010BF9">
            <w:pPr>
              <w:spacing w:line="360" w:lineRule="exact"/>
              <w:ind w:firstLineChars="0" w:firstLine="0"/>
              <w:jc w:val="center"/>
              <w:textAlignment w:val="center"/>
              <w:rPr>
                <w:sz w:val="21"/>
                <w:szCs w:val="21"/>
                <w:lang w:bidi="ar"/>
              </w:rPr>
            </w:pPr>
            <w:r>
              <w:rPr>
                <w:sz w:val="21"/>
                <w:szCs w:val="21"/>
                <w:lang w:bidi="ar"/>
              </w:rPr>
              <w:t>分析纯，瓶装，汽运</w:t>
            </w:r>
          </w:p>
        </w:tc>
      </w:tr>
      <w:tr w:rsidR="003E78AB" w14:paraId="290E36C3" w14:textId="77777777">
        <w:trPr>
          <w:trHeight w:val="340"/>
          <w:jc w:val="center"/>
        </w:trPr>
        <w:tc>
          <w:tcPr>
            <w:tcW w:w="419" w:type="pct"/>
            <w:tcBorders>
              <w:top w:val="single" w:sz="6" w:space="0" w:color="auto"/>
              <w:bottom w:val="single" w:sz="6" w:space="0" w:color="auto"/>
              <w:right w:val="single" w:sz="4" w:space="0" w:color="auto"/>
            </w:tcBorders>
            <w:vAlign w:val="center"/>
          </w:tcPr>
          <w:p w14:paraId="734F27A2" w14:textId="77777777" w:rsidR="003E78AB" w:rsidRDefault="00010BF9">
            <w:pPr>
              <w:spacing w:line="360" w:lineRule="exact"/>
              <w:ind w:firstLineChars="0" w:firstLine="0"/>
              <w:jc w:val="center"/>
              <w:textAlignment w:val="center"/>
              <w:rPr>
                <w:sz w:val="21"/>
                <w:szCs w:val="21"/>
                <w:lang w:bidi="ar"/>
              </w:rPr>
            </w:pPr>
            <w:r>
              <w:rPr>
                <w:sz w:val="21"/>
                <w:szCs w:val="21"/>
                <w:lang w:bidi="ar"/>
              </w:rPr>
              <w:t>11</w:t>
            </w:r>
          </w:p>
        </w:tc>
        <w:tc>
          <w:tcPr>
            <w:tcW w:w="697" w:type="pct"/>
            <w:vMerge/>
            <w:tcBorders>
              <w:left w:val="single" w:sz="4" w:space="0" w:color="auto"/>
              <w:right w:val="single" w:sz="4" w:space="0" w:color="auto"/>
            </w:tcBorders>
            <w:vAlign w:val="center"/>
          </w:tcPr>
          <w:p w14:paraId="3EB067F0"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10904638"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硫酸亚铁铵</w:t>
            </w:r>
          </w:p>
        </w:tc>
        <w:tc>
          <w:tcPr>
            <w:tcW w:w="456" w:type="pct"/>
            <w:tcBorders>
              <w:top w:val="single" w:sz="6" w:space="0" w:color="auto"/>
              <w:left w:val="single" w:sz="4" w:space="0" w:color="auto"/>
              <w:bottom w:val="single" w:sz="6" w:space="0" w:color="auto"/>
              <w:right w:val="single" w:sz="4" w:space="0" w:color="auto"/>
            </w:tcBorders>
            <w:vAlign w:val="center"/>
          </w:tcPr>
          <w:p w14:paraId="09E298A1" w14:textId="77777777" w:rsidR="003E78AB" w:rsidRDefault="00010BF9">
            <w:pPr>
              <w:spacing w:line="360" w:lineRule="exact"/>
              <w:ind w:firstLineChars="0" w:firstLine="0"/>
              <w:jc w:val="center"/>
              <w:textAlignment w:val="center"/>
              <w:rPr>
                <w:sz w:val="21"/>
                <w:szCs w:val="21"/>
                <w:lang w:bidi="ar"/>
              </w:rPr>
            </w:pPr>
            <w:r>
              <w:rPr>
                <w:sz w:val="21"/>
                <w:szCs w:val="21"/>
                <w:lang w:bidi="ar"/>
              </w:rPr>
              <w:t>固态</w:t>
            </w:r>
          </w:p>
        </w:tc>
        <w:tc>
          <w:tcPr>
            <w:tcW w:w="947" w:type="dxa"/>
            <w:tcBorders>
              <w:top w:val="single" w:sz="6" w:space="0" w:color="auto"/>
              <w:left w:val="single" w:sz="4" w:space="0" w:color="auto"/>
              <w:bottom w:val="single" w:sz="6" w:space="0" w:color="auto"/>
              <w:right w:val="single" w:sz="4" w:space="0" w:color="auto"/>
            </w:tcBorders>
            <w:vAlign w:val="center"/>
          </w:tcPr>
          <w:p w14:paraId="55061A80" w14:textId="77777777" w:rsidR="003E78AB" w:rsidRDefault="00010BF9">
            <w:pPr>
              <w:spacing w:line="360" w:lineRule="exact"/>
              <w:ind w:firstLineChars="0" w:firstLine="0"/>
              <w:jc w:val="center"/>
              <w:textAlignment w:val="center"/>
              <w:rPr>
                <w:sz w:val="21"/>
                <w:szCs w:val="21"/>
                <w:lang w:bidi="ar"/>
              </w:rPr>
            </w:pPr>
            <w:r>
              <w:rPr>
                <w:sz w:val="21"/>
                <w:szCs w:val="21"/>
                <w:lang w:bidi="ar"/>
              </w:rPr>
              <w:t>g/a</w:t>
            </w:r>
          </w:p>
        </w:tc>
        <w:tc>
          <w:tcPr>
            <w:tcW w:w="1265" w:type="dxa"/>
            <w:tcBorders>
              <w:top w:val="single" w:sz="6" w:space="0" w:color="auto"/>
              <w:left w:val="single" w:sz="4" w:space="0" w:color="auto"/>
              <w:bottom w:val="single" w:sz="6" w:space="0" w:color="auto"/>
              <w:right w:val="single" w:sz="4" w:space="0" w:color="auto"/>
            </w:tcBorders>
            <w:vAlign w:val="center"/>
          </w:tcPr>
          <w:p w14:paraId="66337B50" w14:textId="77777777" w:rsidR="003E78AB" w:rsidRDefault="00010BF9">
            <w:pPr>
              <w:spacing w:line="360" w:lineRule="exact"/>
              <w:ind w:firstLineChars="0" w:firstLine="0"/>
              <w:jc w:val="center"/>
              <w:textAlignment w:val="center"/>
              <w:rPr>
                <w:sz w:val="21"/>
                <w:szCs w:val="21"/>
                <w:lang w:bidi="ar"/>
              </w:rPr>
            </w:pPr>
            <w:r>
              <w:rPr>
                <w:sz w:val="21"/>
                <w:szCs w:val="21"/>
                <w:lang w:bidi="ar"/>
              </w:rPr>
              <w:t>3500</w:t>
            </w:r>
          </w:p>
        </w:tc>
        <w:tc>
          <w:tcPr>
            <w:tcW w:w="1219" w:type="pct"/>
            <w:tcBorders>
              <w:top w:val="single" w:sz="6" w:space="0" w:color="auto"/>
              <w:left w:val="single" w:sz="4" w:space="0" w:color="auto"/>
              <w:bottom w:val="single" w:sz="6" w:space="0" w:color="auto"/>
            </w:tcBorders>
            <w:vAlign w:val="center"/>
          </w:tcPr>
          <w:p w14:paraId="600E8B98" w14:textId="77777777" w:rsidR="003E78AB" w:rsidRDefault="00010BF9">
            <w:pPr>
              <w:spacing w:line="360" w:lineRule="exact"/>
              <w:ind w:firstLineChars="0" w:firstLine="0"/>
              <w:jc w:val="center"/>
              <w:textAlignment w:val="center"/>
              <w:rPr>
                <w:sz w:val="21"/>
                <w:szCs w:val="21"/>
                <w:lang w:bidi="ar"/>
              </w:rPr>
            </w:pPr>
            <w:r>
              <w:rPr>
                <w:sz w:val="21"/>
                <w:szCs w:val="21"/>
                <w:lang w:bidi="ar"/>
              </w:rPr>
              <w:t>瓶装，汽运</w:t>
            </w:r>
          </w:p>
        </w:tc>
      </w:tr>
      <w:tr w:rsidR="003E78AB" w14:paraId="772492AC" w14:textId="77777777">
        <w:trPr>
          <w:trHeight w:val="340"/>
          <w:jc w:val="center"/>
        </w:trPr>
        <w:tc>
          <w:tcPr>
            <w:tcW w:w="419" w:type="pct"/>
            <w:tcBorders>
              <w:top w:val="single" w:sz="6" w:space="0" w:color="auto"/>
              <w:bottom w:val="single" w:sz="6" w:space="0" w:color="auto"/>
              <w:right w:val="single" w:sz="4" w:space="0" w:color="auto"/>
            </w:tcBorders>
            <w:vAlign w:val="center"/>
          </w:tcPr>
          <w:p w14:paraId="2157A9F0" w14:textId="77777777" w:rsidR="003E78AB" w:rsidRDefault="00010BF9">
            <w:pPr>
              <w:spacing w:line="360" w:lineRule="exact"/>
              <w:ind w:firstLineChars="0" w:firstLine="0"/>
              <w:jc w:val="center"/>
              <w:textAlignment w:val="center"/>
              <w:rPr>
                <w:sz w:val="21"/>
                <w:szCs w:val="21"/>
                <w:lang w:bidi="ar"/>
              </w:rPr>
            </w:pPr>
            <w:r>
              <w:rPr>
                <w:sz w:val="21"/>
                <w:szCs w:val="21"/>
                <w:lang w:bidi="ar"/>
              </w:rPr>
              <w:t>12</w:t>
            </w:r>
          </w:p>
        </w:tc>
        <w:tc>
          <w:tcPr>
            <w:tcW w:w="697" w:type="pct"/>
            <w:vMerge/>
            <w:tcBorders>
              <w:left w:val="single" w:sz="4" w:space="0" w:color="auto"/>
              <w:right w:val="single" w:sz="4" w:space="0" w:color="auto"/>
            </w:tcBorders>
            <w:vAlign w:val="center"/>
          </w:tcPr>
          <w:p w14:paraId="3B1F2086"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342F8155" w14:textId="77777777" w:rsidR="003E78AB" w:rsidRDefault="00010BF9">
            <w:pPr>
              <w:spacing w:line="360" w:lineRule="exact"/>
              <w:ind w:firstLineChars="0" w:firstLine="0"/>
              <w:jc w:val="center"/>
              <w:textAlignment w:val="center"/>
              <w:rPr>
                <w:sz w:val="21"/>
                <w:szCs w:val="21"/>
                <w:lang w:bidi="ar"/>
              </w:rPr>
            </w:pPr>
            <w:r>
              <w:rPr>
                <w:sz w:val="21"/>
                <w:szCs w:val="21"/>
                <w:lang w:bidi="ar"/>
              </w:rPr>
              <w:t>高锰酸钾</w:t>
            </w:r>
          </w:p>
        </w:tc>
        <w:tc>
          <w:tcPr>
            <w:tcW w:w="456" w:type="pct"/>
            <w:tcBorders>
              <w:top w:val="single" w:sz="6" w:space="0" w:color="auto"/>
              <w:left w:val="single" w:sz="4" w:space="0" w:color="auto"/>
              <w:bottom w:val="single" w:sz="6" w:space="0" w:color="auto"/>
              <w:right w:val="single" w:sz="4" w:space="0" w:color="auto"/>
            </w:tcBorders>
            <w:vAlign w:val="center"/>
          </w:tcPr>
          <w:p w14:paraId="1D816CC1" w14:textId="77777777" w:rsidR="003E78AB" w:rsidRDefault="00010BF9">
            <w:pPr>
              <w:spacing w:line="360" w:lineRule="exact"/>
              <w:ind w:firstLineChars="0" w:firstLine="0"/>
              <w:jc w:val="center"/>
              <w:textAlignment w:val="center"/>
              <w:rPr>
                <w:sz w:val="21"/>
                <w:szCs w:val="21"/>
                <w:lang w:bidi="ar"/>
              </w:rPr>
            </w:pPr>
            <w:r>
              <w:rPr>
                <w:sz w:val="21"/>
                <w:szCs w:val="21"/>
                <w:lang w:bidi="ar"/>
              </w:rPr>
              <w:t>固态</w:t>
            </w:r>
          </w:p>
        </w:tc>
        <w:tc>
          <w:tcPr>
            <w:tcW w:w="947" w:type="dxa"/>
            <w:tcBorders>
              <w:top w:val="single" w:sz="6" w:space="0" w:color="auto"/>
              <w:left w:val="single" w:sz="4" w:space="0" w:color="auto"/>
              <w:bottom w:val="single" w:sz="6" w:space="0" w:color="auto"/>
              <w:right w:val="single" w:sz="4" w:space="0" w:color="auto"/>
            </w:tcBorders>
            <w:vAlign w:val="center"/>
          </w:tcPr>
          <w:p w14:paraId="0935D78C" w14:textId="77777777" w:rsidR="003E78AB" w:rsidRDefault="00010BF9">
            <w:pPr>
              <w:spacing w:line="360" w:lineRule="exact"/>
              <w:ind w:firstLineChars="0" w:firstLine="0"/>
              <w:jc w:val="center"/>
              <w:textAlignment w:val="center"/>
              <w:rPr>
                <w:sz w:val="21"/>
                <w:szCs w:val="21"/>
                <w:lang w:bidi="ar"/>
              </w:rPr>
            </w:pPr>
            <w:r>
              <w:rPr>
                <w:sz w:val="21"/>
                <w:szCs w:val="21"/>
                <w:lang w:bidi="ar"/>
              </w:rPr>
              <w:t>g/a</w:t>
            </w:r>
          </w:p>
        </w:tc>
        <w:tc>
          <w:tcPr>
            <w:tcW w:w="1265" w:type="dxa"/>
            <w:tcBorders>
              <w:top w:val="single" w:sz="6" w:space="0" w:color="auto"/>
              <w:left w:val="single" w:sz="4" w:space="0" w:color="auto"/>
              <w:bottom w:val="single" w:sz="6" w:space="0" w:color="auto"/>
              <w:right w:val="single" w:sz="4" w:space="0" w:color="auto"/>
            </w:tcBorders>
            <w:vAlign w:val="center"/>
          </w:tcPr>
          <w:p w14:paraId="719AC882" w14:textId="77777777" w:rsidR="003E78AB" w:rsidRDefault="00010BF9">
            <w:pPr>
              <w:spacing w:line="360" w:lineRule="exact"/>
              <w:ind w:firstLineChars="0" w:firstLine="0"/>
              <w:jc w:val="center"/>
              <w:textAlignment w:val="center"/>
              <w:rPr>
                <w:sz w:val="21"/>
                <w:szCs w:val="21"/>
                <w:lang w:bidi="ar"/>
              </w:rPr>
            </w:pPr>
            <w:r>
              <w:rPr>
                <w:sz w:val="21"/>
                <w:szCs w:val="21"/>
                <w:lang w:bidi="ar"/>
              </w:rPr>
              <w:t>2000</w:t>
            </w:r>
          </w:p>
        </w:tc>
        <w:tc>
          <w:tcPr>
            <w:tcW w:w="1219" w:type="pct"/>
            <w:tcBorders>
              <w:top w:val="single" w:sz="6" w:space="0" w:color="auto"/>
              <w:left w:val="single" w:sz="4" w:space="0" w:color="auto"/>
              <w:bottom w:val="single" w:sz="6" w:space="0" w:color="auto"/>
            </w:tcBorders>
            <w:vAlign w:val="center"/>
          </w:tcPr>
          <w:p w14:paraId="5A0B1B56" w14:textId="77777777" w:rsidR="003E78AB" w:rsidRDefault="00010BF9">
            <w:pPr>
              <w:spacing w:line="360" w:lineRule="exact"/>
              <w:ind w:firstLineChars="0" w:firstLine="0"/>
              <w:jc w:val="center"/>
              <w:textAlignment w:val="center"/>
              <w:rPr>
                <w:sz w:val="21"/>
                <w:szCs w:val="21"/>
                <w:lang w:bidi="ar"/>
              </w:rPr>
            </w:pPr>
            <w:r>
              <w:rPr>
                <w:sz w:val="21"/>
                <w:szCs w:val="21"/>
                <w:lang w:bidi="ar"/>
              </w:rPr>
              <w:t>瓶装，汽运</w:t>
            </w:r>
          </w:p>
        </w:tc>
      </w:tr>
      <w:tr w:rsidR="003E78AB" w14:paraId="46A0F405" w14:textId="77777777">
        <w:trPr>
          <w:trHeight w:val="340"/>
          <w:jc w:val="center"/>
        </w:trPr>
        <w:tc>
          <w:tcPr>
            <w:tcW w:w="419" w:type="pct"/>
            <w:tcBorders>
              <w:top w:val="single" w:sz="6" w:space="0" w:color="auto"/>
              <w:bottom w:val="single" w:sz="6" w:space="0" w:color="auto"/>
              <w:right w:val="single" w:sz="4" w:space="0" w:color="auto"/>
            </w:tcBorders>
            <w:vAlign w:val="center"/>
          </w:tcPr>
          <w:p w14:paraId="511BC7EB" w14:textId="77777777" w:rsidR="003E78AB" w:rsidRDefault="00010BF9">
            <w:pPr>
              <w:spacing w:line="360" w:lineRule="exact"/>
              <w:ind w:firstLineChars="0" w:firstLine="0"/>
              <w:jc w:val="center"/>
              <w:textAlignment w:val="center"/>
              <w:rPr>
                <w:sz w:val="21"/>
                <w:szCs w:val="21"/>
                <w:lang w:bidi="ar"/>
              </w:rPr>
            </w:pPr>
            <w:r>
              <w:rPr>
                <w:sz w:val="21"/>
                <w:szCs w:val="21"/>
                <w:lang w:bidi="ar"/>
              </w:rPr>
              <w:t>13</w:t>
            </w:r>
          </w:p>
        </w:tc>
        <w:tc>
          <w:tcPr>
            <w:tcW w:w="697" w:type="pct"/>
            <w:vMerge/>
            <w:tcBorders>
              <w:left w:val="single" w:sz="4" w:space="0" w:color="auto"/>
              <w:bottom w:val="single" w:sz="6" w:space="0" w:color="auto"/>
              <w:right w:val="single" w:sz="4" w:space="0" w:color="auto"/>
            </w:tcBorders>
            <w:vAlign w:val="center"/>
          </w:tcPr>
          <w:p w14:paraId="31D170E4"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4AE4B198" w14:textId="77777777" w:rsidR="003E78AB" w:rsidRDefault="00010BF9">
            <w:pPr>
              <w:spacing w:line="360" w:lineRule="exact"/>
              <w:ind w:firstLineChars="0" w:firstLine="0"/>
              <w:jc w:val="center"/>
              <w:textAlignment w:val="center"/>
              <w:rPr>
                <w:sz w:val="21"/>
                <w:szCs w:val="21"/>
                <w:lang w:bidi="ar"/>
              </w:rPr>
            </w:pPr>
            <w:r>
              <w:rPr>
                <w:sz w:val="21"/>
                <w:szCs w:val="21"/>
                <w:lang w:bidi="ar"/>
              </w:rPr>
              <w:t>亚硝酸钠</w:t>
            </w:r>
          </w:p>
        </w:tc>
        <w:tc>
          <w:tcPr>
            <w:tcW w:w="456" w:type="pct"/>
            <w:tcBorders>
              <w:top w:val="single" w:sz="6" w:space="0" w:color="auto"/>
              <w:left w:val="single" w:sz="4" w:space="0" w:color="auto"/>
              <w:bottom w:val="single" w:sz="6" w:space="0" w:color="auto"/>
              <w:right w:val="single" w:sz="4" w:space="0" w:color="auto"/>
            </w:tcBorders>
            <w:vAlign w:val="center"/>
          </w:tcPr>
          <w:p w14:paraId="427DFB18" w14:textId="77777777" w:rsidR="003E78AB" w:rsidRDefault="00010BF9">
            <w:pPr>
              <w:spacing w:line="360" w:lineRule="exact"/>
              <w:ind w:firstLineChars="0" w:firstLine="0"/>
              <w:jc w:val="center"/>
              <w:textAlignment w:val="center"/>
              <w:rPr>
                <w:sz w:val="21"/>
                <w:szCs w:val="21"/>
                <w:lang w:bidi="ar"/>
              </w:rPr>
            </w:pPr>
            <w:r>
              <w:rPr>
                <w:sz w:val="21"/>
                <w:szCs w:val="21"/>
                <w:lang w:bidi="ar"/>
              </w:rPr>
              <w:t>固态</w:t>
            </w:r>
          </w:p>
        </w:tc>
        <w:tc>
          <w:tcPr>
            <w:tcW w:w="947" w:type="dxa"/>
            <w:tcBorders>
              <w:top w:val="single" w:sz="6" w:space="0" w:color="auto"/>
              <w:left w:val="single" w:sz="4" w:space="0" w:color="auto"/>
              <w:bottom w:val="single" w:sz="6" w:space="0" w:color="auto"/>
              <w:right w:val="single" w:sz="4" w:space="0" w:color="auto"/>
            </w:tcBorders>
            <w:vAlign w:val="center"/>
          </w:tcPr>
          <w:p w14:paraId="7616B09E" w14:textId="77777777" w:rsidR="003E78AB" w:rsidRDefault="00010BF9">
            <w:pPr>
              <w:spacing w:line="360" w:lineRule="exact"/>
              <w:ind w:firstLineChars="0" w:firstLine="0"/>
              <w:jc w:val="center"/>
              <w:textAlignment w:val="center"/>
              <w:rPr>
                <w:sz w:val="21"/>
                <w:szCs w:val="21"/>
                <w:lang w:bidi="ar"/>
              </w:rPr>
            </w:pPr>
            <w:r>
              <w:rPr>
                <w:sz w:val="21"/>
                <w:szCs w:val="21"/>
                <w:lang w:bidi="ar"/>
              </w:rPr>
              <w:t>g/a</w:t>
            </w:r>
          </w:p>
        </w:tc>
        <w:tc>
          <w:tcPr>
            <w:tcW w:w="1265" w:type="dxa"/>
            <w:tcBorders>
              <w:top w:val="single" w:sz="6" w:space="0" w:color="auto"/>
              <w:left w:val="single" w:sz="4" w:space="0" w:color="auto"/>
              <w:bottom w:val="single" w:sz="6" w:space="0" w:color="auto"/>
              <w:right w:val="single" w:sz="4" w:space="0" w:color="auto"/>
            </w:tcBorders>
            <w:vAlign w:val="center"/>
          </w:tcPr>
          <w:p w14:paraId="5F8282A0" w14:textId="77777777" w:rsidR="003E78AB" w:rsidRDefault="00010BF9">
            <w:pPr>
              <w:spacing w:line="360" w:lineRule="exact"/>
              <w:ind w:firstLineChars="0" w:firstLine="0"/>
              <w:jc w:val="center"/>
              <w:textAlignment w:val="center"/>
              <w:rPr>
                <w:sz w:val="21"/>
                <w:szCs w:val="21"/>
                <w:lang w:bidi="ar"/>
              </w:rPr>
            </w:pPr>
            <w:r>
              <w:rPr>
                <w:sz w:val="21"/>
                <w:szCs w:val="21"/>
                <w:lang w:bidi="ar"/>
              </w:rPr>
              <w:t>2000</w:t>
            </w:r>
          </w:p>
        </w:tc>
        <w:tc>
          <w:tcPr>
            <w:tcW w:w="1219" w:type="pct"/>
            <w:tcBorders>
              <w:top w:val="single" w:sz="6" w:space="0" w:color="auto"/>
              <w:left w:val="single" w:sz="4" w:space="0" w:color="auto"/>
              <w:bottom w:val="single" w:sz="6" w:space="0" w:color="auto"/>
            </w:tcBorders>
            <w:vAlign w:val="center"/>
          </w:tcPr>
          <w:p w14:paraId="2CDA1D40" w14:textId="77777777" w:rsidR="003E78AB" w:rsidRDefault="00010BF9">
            <w:pPr>
              <w:spacing w:line="360" w:lineRule="exact"/>
              <w:ind w:firstLineChars="0" w:firstLine="0"/>
              <w:jc w:val="center"/>
              <w:textAlignment w:val="center"/>
              <w:rPr>
                <w:sz w:val="21"/>
                <w:szCs w:val="21"/>
                <w:lang w:bidi="ar"/>
              </w:rPr>
            </w:pPr>
            <w:r>
              <w:rPr>
                <w:sz w:val="21"/>
                <w:szCs w:val="21"/>
                <w:lang w:bidi="ar"/>
              </w:rPr>
              <w:t>瓶装，汽运</w:t>
            </w:r>
          </w:p>
        </w:tc>
      </w:tr>
      <w:tr w:rsidR="003E78AB" w14:paraId="5933B799" w14:textId="77777777">
        <w:trPr>
          <w:trHeight w:val="340"/>
          <w:jc w:val="center"/>
        </w:trPr>
        <w:tc>
          <w:tcPr>
            <w:tcW w:w="419" w:type="pct"/>
            <w:vMerge w:val="restart"/>
            <w:tcBorders>
              <w:top w:val="single" w:sz="6" w:space="0" w:color="auto"/>
              <w:right w:val="single" w:sz="4" w:space="0" w:color="auto"/>
            </w:tcBorders>
            <w:vAlign w:val="center"/>
          </w:tcPr>
          <w:p w14:paraId="27BE4081" w14:textId="77777777" w:rsidR="003E78AB" w:rsidRDefault="00010BF9">
            <w:pPr>
              <w:spacing w:line="360" w:lineRule="exact"/>
              <w:ind w:firstLineChars="0" w:firstLine="0"/>
              <w:jc w:val="center"/>
              <w:textAlignment w:val="center"/>
              <w:rPr>
                <w:sz w:val="21"/>
                <w:szCs w:val="21"/>
                <w:lang w:bidi="ar"/>
              </w:rPr>
            </w:pPr>
            <w:r>
              <w:rPr>
                <w:sz w:val="21"/>
                <w:szCs w:val="21"/>
                <w:lang w:bidi="ar"/>
              </w:rPr>
              <w:t>14</w:t>
            </w:r>
          </w:p>
        </w:tc>
        <w:tc>
          <w:tcPr>
            <w:tcW w:w="697" w:type="pct"/>
            <w:vMerge w:val="restart"/>
            <w:tcBorders>
              <w:top w:val="single" w:sz="6" w:space="0" w:color="auto"/>
              <w:left w:val="single" w:sz="4" w:space="0" w:color="auto"/>
              <w:right w:val="single" w:sz="4" w:space="0" w:color="auto"/>
            </w:tcBorders>
            <w:vAlign w:val="center"/>
          </w:tcPr>
          <w:p w14:paraId="48BD62CA" w14:textId="77777777" w:rsidR="003E78AB" w:rsidRDefault="00010BF9">
            <w:pPr>
              <w:spacing w:line="360" w:lineRule="exact"/>
              <w:ind w:firstLineChars="0" w:firstLine="0"/>
              <w:jc w:val="center"/>
              <w:textAlignment w:val="center"/>
              <w:rPr>
                <w:sz w:val="21"/>
                <w:szCs w:val="21"/>
                <w:lang w:bidi="ar"/>
              </w:rPr>
            </w:pPr>
            <w:r>
              <w:rPr>
                <w:sz w:val="21"/>
                <w:szCs w:val="21"/>
                <w:lang w:bidi="ar"/>
              </w:rPr>
              <w:t>公用工程</w:t>
            </w:r>
          </w:p>
        </w:tc>
        <w:tc>
          <w:tcPr>
            <w:tcW w:w="304" w:type="pct"/>
            <w:vMerge w:val="restart"/>
            <w:tcBorders>
              <w:top w:val="single" w:sz="6" w:space="0" w:color="auto"/>
              <w:left w:val="single" w:sz="4" w:space="0" w:color="auto"/>
              <w:right w:val="single" w:sz="4" w:space="0" w:color="auto"/>
            </w:tcBorders>
            <w:vAlign w:val="center"/>
          </w:tcPr>
          <w:p w14:paraId="2483B5A1" w14:textId="77777777" w:rsidR="003E78AB" w:rsidRDefault="00010BF9">
            <w:pPr>
              <w:spacing w:line="360" w:lineRule="exact"/>
              <w:ind w:firstLineChars="0" w:firstLine="0"/>
              <w:jc w:val="center"/>
              <w:textAlignment w:val="center"/>
              <w:rPr>
                <w:sz w:val="21"/>
                <w:szCs w:val="21"/>
                <w:lang w:bidi="ar"/>
              </w:rPr>
            </w:pPr>
            <w:r>
              <w:rPr>
                <w:sz w:val="21"/>
                <w:szCs w:val="21"/>
                <w:lang w:bidi="ar"/>
              </w:rPr>
              <w:t>新鲜水</w:t>
            </w:r>
          </w:p>
        </w:tc>
        <w:tc>
          <w:tcPr>
            <w:tcW w:w="603" w:type="pct"/>
            <w:tcBorders>
              <w:top w:val="single" w:sz="6" w:space="0" w:color="auto"/>
              <w:left w:val="single" w:sz="4" w:space="0" w:color="auto"/>
              <w:bottom w:val="single" w:sz="6" w:space="0" w:color="auto"/>
              <w:right w:val="single" w:sz="4" w:space="0" w:color="auto"/>
            </w:tcBorders>
            <w:vAlign w:val="center"/>
          </w:tcPr>
          <w:p w14:paraId="6BDB9796" w14:textId="77777777" w:rsidR="003E78AB" w:rsidRDefault="00010BF9">
            <w:pPr>
              <w:spacing w:line="360" w:lineRule="exact"/>
              <w:ind w:firstLineChars="0" w:firstLine="0"/>
              <w:jc w:val="center"/>
              <w:textAlignment w:val="center"/>
              <w:rPr>
                <w:sz w:val="21"/>
                <w:szCs w:val="21"/>
                <w:lang w:bidi="ar"/>
              </w:rPr>
            </w:pPr>
            <w:r>
              <w:rPr>
                <w:sz w:val="21"/>
                <w:szCs w:val="21"/>
                <w:lang w:bidi="ar"/>
              </w:rPr>
              <w:t>生活</w:t>
            </w:r>
          </w:p>
        </w:tc>
        <w:tc>
          <w:tcPr>
            <w:tcW w:w="456" w:type="pct"/>
            <w:tcBorders>
              <w:top w:val="single" w:sz="6" w:space="0" w:color="auto"/>
              <w:left w:val="single" w:sz="4" w:space="0" w:color="auto"/>
              <w:bottom w:val="single" w:sz="6" w:space="0" w:color="auto"/>
              <w:right w:val="single" w:sz="4" w:space="0" w:color="auto"/>
            </w:tcBorders>
            <w:vAlign w:val="center"/>
          </w:tcPr>
          <w:p w14:paraId="625334E0"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556" w:type="pct"/>
            <w:tcBorders>
              <w:top w:val="single" w:sz="6" w:space="0" w:color="auto"/>
              <w:left w:val="single" w:sz="4" w:space="0" w:color="auto"/>
              <w:bottom w:val="single" w:sz="6" w:space="0" w:color="auto"/>
              <w:right w:val="single" w:sz="4" w:space="0" w:color="auto"/>
            </w:tcBorders>
            <w:vAlign w:val="center"/>
          </w:tcPr>
          <w:p w14:paraId="2D20580F" w14:textId="77777777" w:rsidR="003E78AB" w:rsidRDefault="00010BF9">
            <w:pPr>
              <w:spacing w:line="360" w:lineRule="exact"/>
              <w:ind w:firstLineChars="0" w:firstLine="0"/>
              <w:jc w:val="center"/>
              <w:textAlignment w:val="center"/>
              <w:rPr>
                <w:sz w:val="21"/>
                <w:szCs w:val="21"/>
                <w:lang w:bidi="ar"/>
              </w:rPr>
            </w:pPr>
            <w:r>
              <w:rPr>
                <w:sz w:val="21"/>
                <w:szCs w:val="21"/>
                <w:lang w:bidi="ar"/>
              </w:rPr>
              <w:t>m</w:t>
            </w:r>
            <w:r>
              <w:rPr>
                <w:sz w:val="21"/>
                <w:szCs w:val="21"/>
                <w:vertAlign w:val="superscript"/>
                <w:lang w:bidi="ar"/>
              </w:rPr>
              <w:t>3</w:t>
            </w:r>
            <w:r>
              <w:rPr>
                <w:sz w:val="21"/>
                <w:szCs w:val="21"/>
                <w:lang w:bidi="ar"/>
              </w:rPr>
              <w:t>/a</w:t>
            </w:r>
          </w:p>
        </w:tc>
        <w:tc>
          <w:tcPr>
            <w:tcW w:w="742" w:type="pct"/>
            <w:tcBorders>
              <w:top w:val="single" w:sz="6" w:space="0" w:color="auto"/>
              <w:left w:val="single" w:sz="4" w:space="0" w:color="auto"/>
              <w:bottom w:val="single" w:sz="6" w:space="0" w:color="auto"/>
              <w:right w:val="single" w:sz="4" w:space="0" w:color="auto"/>
            </w:tcBorders>
            <w:vAlign w:val="center"/>
          </w:tcPr>
          <w:p w14:paraId="4CDEF36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3102</w:t>
            </w:r>
          </w:p>
        </w:tc>
        <w:tc>
          <w:tcPr>
            <w:tcW w:w="1219" w:type="pct"/>
            <w:vMerge w:val="restart"/>
            <w:tcBorders>
              <w:top w:val="single" w:sz="6" w:space="0" w:color="auto"/>
              <w:left w:val="single" w:sz="4" w:space="0" w:color="auto"/>
            </w:tcBorders>
            <w:vAlign w:val="center"/>
          </w:tcPr>
          <w:p w14:paraId="202C2928" w14:textId="77777777" w:rsidR="003E78AB" w:rsidRDefault="00010BF9">
            <w:pPr>
              <w:spacing w:line="360" w:lineRule="exact"/>
              <w:ind w:firstLineChars="0" w:firstLine="0"/>
              <w:jc w:val="center"/>
              <w:textAlignment w:val="center"/>
              <w:rPr>
                <w:sz w:val="21"/>
                <w:szCs w:val="21"/>
                <w:lang w:bidi="ar"/>
              </w:rPr>
            </w:pPr>
            <w:r>
              <w:rPr>
                <w:sz w:val="21"/>
                <w:szCs w:val="21"/>
                <w:lang w:bidi="ar"/>
              </w:rPr>
              <w:t>园区供水管网</w:t>
            </w:r>
          </w:p>
        </w:tc>
      </w:tr>
      <w:tr w:rsidR="003E78AB" w14:paraId="7F357A91" w14:textId="77777777">
        <w:trPr>
          <w:trHeight w:val="340"/>
          <w:jc w:val="center"/>
        </w:trPr>
        <w:tc>
          <w:tcPr>
            <w:tcW w:w="419" w:type="pct"/>
            <w:vMerge/>
            <w:tcBorders>
              <w:bottom w:val="single" w:sz="6" w:space="0" w:color="auto"/>
              <w:right w:val="single" w:sz="4" w:space="0" w:color="auto"/>
            </w:tcBorders>
            <w:vAlign w:val="center"/>
          </w:tcPr>
          <w:p w14:paraId="30176125" w14:textId="77777777" w:rsidR="003E78AB" w:rsidRDefault="003E78AB">
            <w:pPr>
              <w:spacing w:line="360" w:lineRule="exact"/>
              <w:ind w:firstLineChars="0" w:firstLine="0"/>
              <w:jc w:val="center"/>
              <w:textAlignment w:val="center"/>
              <w:rPr>
                <w:sz w:val="21"/>
                <w:szCs w:val="21"/>
                <w:lang w:bidi="ar"/>
              </w:rPr>
            </w:pPr>
          </w:p>
        </w:tc>
        <w:tc>
          <w:tcPr>
            <w:tcW w:w="697" w:type="pct"/>
            <w:vMerge/>
            <w:tcBorders>
              <w:left w:val="single" w:sz="4" w:space="0" w:color="auto"/>
              <w:right w:val="single" w:sz="4" w:space="0" w:color="auto"/>
            </w:tcBorders>
            <w:vAlign w:val="center"/>
          </w:tcPr>
          <w:p w14:paraId="0BF685E3" w14:textId="77777777" w:rsidR="003E78AB" w:rsidRDefault="003E78AB">
            <w:pPr>
              <w:spacing w:line="360" w:lineRule="exact"/>
              <w:ind w:firstLineChars="0" w:firstLine="0"/>
              <w:jc w:val="center"/>
              <w:textAlignment w:val="center"/>
              <w:rPr>
                <w:sz w:val="21"/>
                <w:szCs w:val="21"/>
                <w:lang w:bidi="ar"/>
              </w:rPr>
            </w:pPr>
          </w:p>
        </w:tc>
        <w:tc>
          <w:tcPr>
            <w:tcW w:w="304" w:type="pct"/>
            <w:vMerge/>
            <w:tcBorders>
              <w:left w:val="single" w:sz="4" w:space="0" w:color="auto"/>
              <w:bottom w:val="single" w:sz="6" w:space="0" w:color="auto"/>
              <w:right w:val="single" w:sz="4" w:space="0" w:color="auto"/>
            </w:tcBorders>
            <w:vAlign w:val="center"/>
          </w:tcPr>
          <w:p w14:paraId="0B7B06D9" w14:textId="77777777" w:rsidR="003E78AB" w:rsidRDefault="003E78AB">
            <w:pPr>
              <w:spacing w:line="360" w:lineRule="exact"/>
              <w:ind w:firstLineChars="0" w:firstLine="0"/>
              <w:jc w:val="center"/>
              <w:textAlignment w:val="center"/>
              <w:rPr>
                <w:sz w:val="21"/>
                <w:szCs w:val="21"/>
                <w:lang w:bidi="ar"/>
              </w:rPr>
            </w:pPr>
          </w:p>
        </w:tc>
        <w:tc>
          <w:tcPr>
            <w:tcW w:w="603" w:type="pct"/>
            <w:tcBorders>
              <w:top w:val="single" w:sz="6" w:space="0" w:color="auto"/>
              <w:left w:val="single" w:sz="4" w:space="0" w:color="auto"/>
              <w:bottom w:val="single" w:sz="6" w:space="0" w:color="auto"/>
              <w:right w:val="single" w:sz="4" w:space="0" w:color="auto"/>
            </w:tcBorders>
            <w:vAlign w:val="center"/>
          </w:tcPr>
          <w:p w14:paraId="09C25AD9" w14:textId="77777777" w:rsidR="003E78AB" w:rsidRDefault="00010BF9">
            <w:pPr>
              <w:spacing w:line="360" w:lineRule="exact"/>
              <w:ind w:firstLineChars="0" w:firstLine="0"/>
              <w:jc w:val="center"/>
              <w:textAlignment w:val="center"/>
              <w:rPr>
                <w:sz w:val="21"/>
                <w:szCs w:val="21"/>
                <w:lang w:bidi="ar"/>
              </w:rPr>
            </w:pPr>
            <w:r>
              <w:rPr>
                <w:sz w:val="21"/>
                <w:szCs w:val="21"/>
                <w:lang w:bidi="ar"/>
              </w:rPr>
              <w:t>生产</w:t>
            </w:r>
          </w:p>
        </w:tc>
        <w:tc>
          <w:tcPr>
            <w:tcW w:w="456" w:type="pct"/>
            <w:tcBorders>
              <w:top w:val="single" w:sz="6" w:space="0" w:color="auto"/>
              <w:left w:val="single" w:sz="4" w:space="0" w:color="auto"/>
              <w:bottom w:val="single" w:sz="6" w:space="0" w:color="auto"/>
              <w:right w:val="single" w:sz="4" w:space="0" w:color="auto"/>
            </w:tcBorders>
            <w:vAlign w:val="center"/>
          </w:tcPr>
          <w:p w14:paraId="0023EA2A" w14:textId="77777777" w:rsidR="003E78AB" w:rsidRDefault="00010BF9">
            <w:pPr>
              <w:spacing w:line="360" w:lineRule="exact"/>
              <w:ind w:firstLineChars="0" w:firstLine="0"/>
              <w:jc w:val="center"/>
              <w:textAlignment w:val="center"/>
              <w:rPr>
                <w:sz w:val="21"/>
                <w:szCs w:val="21"/>
                <w:lang w:bidi="ar"/>
              </w:rPr>
            </w:pPr>
            <w:r>
              <w:rPr>
                <w:sz w:val="21"/>
                <w:szCs w:val="21"/>
                <w:lang w:bidi="ar"/>
              </w:rPr>
              <w:t>液态</w:t>
            </w:r>
          </w:p>
        </w:tc>
        <w:tc>
          <w:tcPr>
            <w:tcW w:w="556" w:type="pct"/>
            <w:tcBorders>
              <w:top w:val="single" w:sz="6" w:space="0" w:color="auto"/>
              <w:left w:val="single" w:sz="4" w:space="0" w:color="auto"/>
              <w:bottom w:val="single" w:sz="6" w:space="0" w:color="auto"/>
              <w:right w:val="single" w:sz="4" w:space="0" w:color="auto"/>
            </w:tcBorders>
            <w:vAlign w:val="center"/>
          </w:tcPr>
          <w:p w14:paraId="7CDAEAA0" w14:textId="77777777" w:rsidR="003E78AB" w:rsidRDefault="00010BF9">
            <w:pPr>
              <w:spacing w:line="360" w:lineRule="exact"/>
              <w:ind w:firstLineChars="0" w:firstLine="0"/>
              <w:jc w:val="center"/>
              <w:textAlignment w:val="center"/>
              <w:rPr>
                <w:sz w:val="21"/>
                <w:szCs w:val="21"/>
                <w:lang w:bidi="ar"/>
              </w:rPr>
            </w:pPr>
            <w:r>
              <w:rPr>
                <w:sz w:val="21"/>
                <w:szCs w:val="21"/>
                <w:lang w:bidi="ar"/>
              </w:rPr>
              <w:t>m</w:t>
            </w:r>
            <w:r>
              <w:rPr>
                <w:sz w:val="21"/>
                <w:szCs w:val="21"/>
                <w:vertAlign w:val="superscript"/>
                <w:lang w:bidi="ar"/>
              </w:rPr>
              <w:t>3</w:t>
            </w:r>
            <w:r>
              <w:rPr>
                <w:sz w:val="21"/>
                <w:szCs w:val="21"/>
                <w:lang w:bidi="ar"/>
              </w:rPr>
              <w:t>/a</w:t>
            </w:r>
          </w:p>
        </w:tc>
        <w:tc>
          <w:tcPr>
            <w:tcW w:w="742" w:type="pct"/>
            <w:tcBorders>
              <w:top w:val="single" w:sz="6" w:space="0" w:color="auto"/>
              <w:left w:val="single" w:sz="4" w:space="0" w:color="auto"/>
              <w:bottom w:val="single" w:sz="6" w:space="0" w:color="auto"/>
              <w:right w:val="single" w:sz="4" w:space="0" w:color="auto"/>
            </w:tcBorders>
            <w:vAlign w:val="center"/>
          </w:tcPr>
          <w:p w14:paraId="7568041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67713.13</w:t>
            </w:r>
          </w:p>
        </w:tc>
        <w:tc>
          <w:tcPr>
            <w:tcW w:w="1219" w:type="pct"/>
            <w:vMerge/>
            <w:tcBorders>
              <w:left w:val="single" w:sz="4" w:space="0" w:color="auto"/>
              <w:bottom w:val="single" w:sz="6" w:space="0" w:color="auto"/>
            </w:tcBorders>
            <w:vAlign w:val="center"/>
          </w:tcPr>
          <w:p w14:paraId="3272F533" w14:textId="77777777" w:rsidR="003E78AB" w:rsidRDefault="003E78AB">
            <w:pPr>
              <w:spacing w:line="360" w:lineRule="exact"/>
              <w:ind w:firstLineChars="0" w:firstLine="0"/>
              <w:jc w:val="center"/>
              <w:textAlignment w:val="center"/>
              <w:rPr>
                <w:sz w:val="21"/>
                <w:szCs w:val="21"/>
                <w:lang w:bidi="ar"/>
              </w:rPr>
            </w:pPr>
          </w:p>
        </w:tc>
      </w:tr>
      <w:tr w:rsidR="003E78AB" w14:paraId="5508C2D9" w14:textId="77777777">
        <w:trPr>
          <w:trHeight w:val="90"/>
          <w:jc w:val="center"/>
        </w:trPr>
        <w:tc>
          <w:tcPr>
            <w:tcW w:w="419" w:type="pct"/>
            <w:tcBorders>
              <w:top w:val="single" w:sz="6" w:space="0" w:color="auto"/>
              <w:bottom w:val="single" w:sz="6" w:space="0" w:color="auto"/>
              <w:right w:val="single" w:sz="4" w:space="0" w:color="auto"/>
            </w:tcBorders>
            <w:vAlign w:val="center"/>
          </w:tcPr>
          <w:p w14:paraId="41AC1319" w14:textId="77777777" w:rsidR="003E78AB" w:rsidRDefault="00010BF9">
            <w:pPr>
              <w:spacing w:line="360" w:lineRule="exact"/>
              <w:ind w:firstLineChars="0" w:firstLine="0"/>
              <w:jc w:val="center"/>
              <w:textAlignment w:val="center"/>
              <w:rPr>
                <w:sz w:val="21"/>
                <w:szCs w:val="21"/>
                <w:lang w:bidi="ar"/>
              </w:rPr>
            </w:pPr>
            <w:r>
              <w:rPr>
                <w:sz w:val="21"/>
                <w:szCs w:val="21"/>
                <w:lang w:bidi="ar"/>
              </w:rPr>
              <w:t>15</w:t>
            </w:r>
          </w:p>
        </w:tc>
        <w:tc>
          <w:tcPr>
            <w:tcW w:w="697" w:type="pct"/>
            <w:vMerge/>
            <w:tcBorders>
              <w:left w:val="single" w:sz="4" w:space="0" w:color="auto"/>
              <w:right w:val="single" w:sz="4" w:space="0" w:color="auto"/>
            </w:tcBorders>
            <w:vAlign w:val="center"/>
          </w:tcPr>
          <w:p w14:paraId="01657AD4"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bottom w:val="single" w:sz="6" w:space="0" w:color="auto"/>
              <w:right w:val="single" w:sz="4" w:space="0" w:color="auto"/>
            </w:tcBorders>
            <w:vAlign w:val="center"/>
          </w:tcPr>
          <w:p w14:paraId="2D25DB34" w14:textId="77777777" w:rsidR="003E78AB" w:rsidRDefault="00010BF9">
            <w:pPr>
              <w:spacing w:line="360" w:lineRule="exact"/>
              <w:ind w:firstLineChars="0" w:firstLine="0"/>
              <w:jc w:val="center"/>
              <w:textAlignment w:val="center"/>
              <w:rPr>
                <w:sz w:val="21"/>
                <w:szCs w:val="21"/>
                <w:lang w:bidi="ar"/>
              </w:rPr>
            </w:pPr>
            <w:r>
              <w:rPr>
                <w:sz w:val="21"/>
                <w:szCs w:val="21"/>
                <w:lang w:bidi="ar"/>
              </w:rPr>
              <w:t>电</w:t>
            </w:r>
          </w:p>
        </w:tc>
        <w:tc>
          <w:tcPr>
            <w:tcW w:w="456" w:type="pct"/>
            <w:tcBorders>
              <w:top w:val="single" w:sz="6" w:space="0" w:color="auto"/>
              <w:left w:val="single" w:sz="4" w:space="0" w:color="auto"/>
              <w:bottom w:val="single" w:sz="6" w:space="0" w:color="auto"/>
              <w:right w:val="single" w:sz="4" w:space="0" w:color="auto"/>
            </w:tcBorders>
            <w:vAlign w:val="center"/>
          </w:tcPr>
          <w:p w14:paraId="2057189C"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556" w:type="pct"/>
            <w:tcBorders>
              <w:top w:val="single" w:sz="6" w:space="0" w:color="auto"/>
              <w:left w:val="single" w:sz="4" w:space="0" w:color="auto"/>
              <w:bottom w:val="single" w:sz="6" w:space="0" w:color="auto"/>
              <w:right w:val="single" w:sz="4" w:space="0" w:color="auto"/>
            </w:tcBorders>
            <w:vAlign w:val="center"/>
          </w:tcPr>
          <w:p w14:paraId="4857D8EC" w14:textId="77777777" w:rsidR="003E78AB" w:rsidRDefault="00010BF9">
            <w:pPr>
              <w:spacing w:line="360" w:lineRule="exact"/>
              <w:ind w:firstLineChars="0" w:firstLine="0"/>
              <w:jc w:val="center"/>
              <w:textAlignment w:val="center"/>
              <w:rPr>
                <w:sz w:val="21"/>
                <w:szCs w:val="21"/>
                <w:lang w:bidi="ar"/>
              </w:rPr>
            </w:pPr>
            <w:r>
              <w:rPr>
                <w:sz w:val="21"/>
                <w:szCs w:val="21"/>
                <w:lang w:bidi="ar"/>
              </w:rPr>
              <w:t>万</w:t>
            </w:r>
            <w:r>
              <w:rPr>
                <w:sz w:val="21"/>
                <w:szCs w:val="21"/>
                <w:lang w:bidi="ar"/>
              </w:rPr>
              <w:t>kWh/a</w:t>
            </w:r>
          </w:p>
        </w:tc>
        <w:tc>
          <w:tcPr>
            <w:tcW w:w="742" w:type="pct"/>
            <w:tcBorders>
              <w:top w:val="single" w:sz="6" w:space="0" w:color="auto"/>
              <w:left w:val="single" w:sz="4" w:space="0" w:color="auto"/>
              <w:bottom w:val="single" w:sz="6" w:space="0" w:color="auto"/>
              <w:right w:val="single" w:sz="4" w:space="0" w:color="auto"/>
            </w:tcBorders>
            <w:vAlign w:val="center"/>
          </w:tcPr>
          <w:p w14:paraId="6D29B96D" w14:textId="77777777" w:rsidR="003E78AB" w:rsidRDefault="00010BF9">
            <w:pPr>
              <w:spacing w:line="360" w:lineRule="exact"/>
              <w:ind w:firstLineChars="0" w:firstLine="0"/>
              <w:jc w:val="center"/>
              <w:textAlignment w:val="center"/>
              <w:rPr>
                <w:sz w:val="21"/>
                <w:szCs w:val="21"/>
                <w:lang w:bidi="ar"/>
              </w:rPr>
            </w:pPr>
            <w:r>
              <w:rPr>
                <w:rFonts w:eastAsia="Times New Roman"/>
                <w:spacing w:val="2"/>
                <w:position w:val="1"/>
                <w:sz w:val="20"/>
                <w:szCs w:val="20"/>
              </w:rPr>
              <w:t>1.55</w:t>
            </w:r>
            <w:r>
              <w:rPr>
                <w:spacing w:val="2"/>
                <w:position w:val="1"/>
                <w:sz w:val="20"/>
                <w:szCs w:val="20"/>
              </w:rPr>
              <w:t>×</w:t>
            </w:r>
            <w:r>
              <w:rPr>
                <w:rFonts w:eastAsia="Times New Roman"/>
                <w:spacing w:val="2"/>
                <w:position w:val="1"/>
                <w:sz w:val="20"/>
                <w:szCs w:val="20"/>
              </w:rPr>
              <w:t>10</w:t>
            </w:r>
            <w:r>
              <w:rPr>
                <w:rFonts w:eastAsia="Times New Roman"/>
                <w:spacing w:val="2"/>
                <w:position w:val="7"/>
                <w:sz w:val="13"/>
                <w:szCs w:val="13"/>
              </w:rPr>
              <w:t>7</w:t>
            </w:r>
          </w:p>
        </w:tc>
        <w:tc>
          <w:tcPr>
            <w:tcW w:w="1219" w:type="pct"/>
            <w:tcBorders>
              <w:top w:val="single" w:sz="6" w:space="0" w:color="auto"/>
              <w:left w:val="single" w:sz="4" w:space="0" w:color="auto"/>
              <w:bottom w:val="single" w:sz="6" w:space="0" w:color="auto"/>
            </w:tcBorders>
            <w:vAlign w:val="center"/>
          </w:tcPr>
          <w:p w14:paraId="74BB6B1A" w14:textId="77777777" w:rsidR="003E78AB" w:rsidRDefault="00010BF9">
            <w:pPr>
              <w:spacing w:line="360" w:lineRule="exact"/>
              <w:ind w:firstLineChars="0" w:firstLine="0"/>
              <w:jc w:val="center"/>
              <w:textAlignment w:val="center"/>
              <w:rPr>
                <w:sz w:val="21"/>
                <w:szCs w:val="21"/>
                <w:lang w:bidi="ar"/>
              </w:rPr>
            </w:pPr>
            <w:r>
              <w:rPr>
                <w:sz w:val="21"/>
                <w:szCs w:val="21"/>
                <w:lang w:bidi="ar"/>
              </w:rPr>
              <w:t>园区供电网</w:t>
            </w:r>
          </w:p>
        </w:tc>
      </w:tr>
      <w:tr w:rsidR="003E78AB" w14:paraId="36D10C7D" w14:textId="77777777">
        <w:trPr>
          <w:trHeight w:val="340"/>
          <w:jc w:val="center"/>
        </w:trPr>
        <w:tc>
          <w:tcPr>
            <w:tcW w:w="419" w:type="pct"/>
            <w:tcBorders>
              <w:top w:val="single" w:sz="6" w:space="0" w:color="auto"/>
              <w:right w:val="single" w:sz="4" w:space="0" w:color="auto"/>
            </w:tcBorders>
            <w:vAlign w:val="center"/>
          </w:tcPr>
          <w:p w14:paraId="4C27E928"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697" w:type="pct"/>
            <w:vMerge/>
            <w:tcBorders>
              <w:left w:val="single" w:sz="4" w:space="0" w:color="auto"/>
              <w:right w:val="single" w:sz="4" w:space="0" w:color="auto"/>
            </w:tcBorders>
            <w:vAlign w:val="center"/>
          </w:tcPr>
          <w:p w14:paraId="322873B5" w14:textId="77777777" w:rsidR="003E78AB" w:rsidRDefault="003E78AB">
            <w:pPr>
              <w:spacing w:line="360" w:lineRule="exact"/>
              <w:ind w:firstLineChars="0" w:firstLine="0"/>
              <w:jc w:val="center"/>
              <w:textAlignment w:val="center"/>
              <w:rPr>
                <w:sz w:val="21"/>
                <w:szCs w:val="21"/>
                <w:lang w:bidi="ar"/>
              </w:rPr>
            </w:pPr>
          </w:p>
        </w:tc>
        <w:tc>
          <w:tcPr>
            <w:tcW w:w="907" w:type="pct"/>
            <w:gridSpan w:val="2"/>
            <w:tcBorders>
              <w:top w:val="single" w:sz="6" w:space="0" w:color="auto"/>
              <w:left w:val="single" w:sz="4" w:space="0" w:color="auto"/>
              <w:right w:val="single" w:sz="4" w:space="0" w:color="auto"/>
            </w:tcBorders>
            <w:vAlign w:val="center"/>
          </w:tcPr>
          <w:p w14:paraId="54EBA7DE" w14:textId="77777777" w:rsidR="003E78AB" w:rsidRDefault="00010BF9">
            <w:pPr>
              <w:spacing w:line="360" w:lineRule="exact"/>
              <w:ind w:firstLineChars="0" w:firstLine="0"/>
              <w:jc w:val="center"/>
              <w:textAlignment w:val="center"/>
              <w:rPr>
                <w:sz w:val="21"/>
                <w:szCs w:val="21"/>
                <w:lang w:bidi="ar"/>
              </w:rPr>
            </w:pPr>
            <w:r>
              <w:rPr>
                <w:sz w:val="21"/>
                <w:szCs w:val="21"/>
                <w:lang w:bidi="ar"/>
              </w:rPr>
              <w:t>天然气</w:t>
            </w:r>
          </w:p>
        </w:tc>
        <w:tc>
          <w:tcPr>
            <w:tcW w:w="456" w:type="pct"/>
            <w:tcBorders>
              <w:top w:val="single" w:sz="6" w:space="0" w:color="auto"/>
              <w:left w:val="single" w:sz="4" w:space="0" w:color="auto"/>
              <w:right w:val="single" w:sz="4" w:space="0" w:color="auto"/>
            </w:tcBorders>
            <w:vAlign w:val="center"/>
          </w:tcPr>
          <w:p w14:paraId="6F93C391" w14:textId="77777777" w:rsidR="003E78AB" w:rsidRDefault="00010BF9">
            <w:pPr>
              <w:spacing w:line="360" w:lineRule="exact"/>
              <w:ind w:firstLineChars="0" w:firstLine="0"/>
              <w:jc w:val="center"/>
              <w:textAlignment w:val="center"/>
              <w:rPr>
                <w:sz w:val="21"/>
                <w:szCs w:val="21"/>
                <w:lang w:bidi="ar"/>
              </w:rPr>
            </w:pPr>
            <w:r>
              <w:rPr>
                <w:sz w:val="21"/>
                <w:szCs w:val="21"/>
                <w:lang w:bidi="ar"/>
              </w:rPr>
              <w:t>气态</w:t>
            </w:r>
          </w:p>
        </w:tc>
        <w:tc>
          <w:tcPr>
            <w:tcW w:w="556" w:type="pct"/>
            <w:tcBorders>
              <w:top w:val="single" w:sz="6" w:space="0" w:color="auto"/>
              <w:left w:val="single" w:sz="4" w:space="0" w:color="auto"/>
              <w:right w:val="single" w:sz="4" w:space="0" w:color="auto"/>
            </w:tcBorders>
            <w:vAlign w:val="center"/>
          </w:tcPr>
          <w:p w14:paraId="12C27C4D" w14:textId="77777777" w:rsidR="003E78AB" w:rsidRDefault="00010BF9">
            <w:pPr>
              <w:spacing w:line="360" w:lineRule="exact"/>
              <w:ind w:firstLineChars="0" w:firstLine="0"/>
              <w:jc w:val="center"/>
              <w:textAlignment w:val="center"/>
              <w:rPr>
                <w:sz w:val="21"/>
                <w:szCs w:val="21"/>
                <w:lang w:bidi="ar"/>
              </w:rPr>
            </w:pPr>
            <w:r>
              <w:rPr>
                <w:sz w:val="21"/>
                <w:szCs w:val="21"/>
                <w:lang w:bidi="ar"/>
              </w:rPr>
              <w:t>Nm</w:t>
            </w:r>
            <w:r>
              <w:rPr>
                <w:sz w:val="21"/>
                <w:szCs w:val="21"/>
                <w:vertAlign w:val="superscript"/>
                <w:lang w:bidi="ar"/>
              </w:rPr>
              <w:t>3</w:t>
            </w:r>
            <w:r>
              <w:rPr>
                <w:sz w:val="21"/>
                <w:szCs w:val="21"/>
                <w:lang w:bidi="ar"/>
              </w:rPr>
              <w:t>/a</w:t>
            </w:r>
          </w:p>
        </w:tc>
        <w:tc>
          <w:tcPr>
            <w:tcW w:w="742" w:type="pct"/>
            <w:tcBorders>
              <w:top w:val="single" w:sz="6" w:space="0" w:color="auto"/>
              <w:left w:val="single" w:sz="4" w:space="0" w:color="auto"/>
              <w:right w:val="single" w:sz="4" w:space="0" w:color="auto"/>
            </w:tcBorders>
            <w:vAlign w:val="center"/>
          </w:tcPr>
          <w:p w14:paraId="4A275BBB" w14:textId="77777777" w:rsidR="003E78AB" w:rsidRDefault="00010BF9">
            <w:pPr>
              <w:spacing w:line="360" w:lineRule="exact"/>
              <w:ind w:firstLineChars="0" w:firstLine="0"/>
              <w:jc w:val="center"/>
              <w:textAlignment w:val="center"/>
              <w:rPr>
                <w:sz w:val="21"/>
                <w:szCs w:val="21"/>
                <w:lang w:bidi="ar"/>
              </w:rPr>
            </w:pPr>
            <w:r>
              <w:rPr>
                <w:rFonts w:eastAsia="Times New Roman"/>
                <w:spacing w:val="7"/>
                <w:sz w:val="20"/>
                <w:szCs w:val="20"/>
              </w:rPr>
              <w:t>2</w:t>
            </w:r>
            <w:r>
              <w:rPr>
                <w:rFonts w:eastAsia="Times New Roman"/>
                <w:spacing w:val="4"/>
                <w:sz w:val="20"/>
                <w:szCs w:val="20"/>
              </w:rPr>
              <w:t>001024</w:t>
            </w:r>
          </w:p>
        </w:tc>
        <w:tc>
          <w:tcPr>
            <w:tcW w:w="1219" w:type="pct"/>
            <w:tcBorders>
              <w:top w:val="single" w:sz="6" w:space="0" w:color="auto"/>
              <w:left w:val="single" w:sz="4" w:space="0" w:color="auto"/>
            </w:tcBorders>
            <w:vAlign w:val="center"/>
          </w:tcPr>
          <w:p w14:paraId="62F6F2E4" w14:textId="77777777" w:rsidR="003E78AB" w:rsidRDefault="00010BF9">
            <w:pPr>
              <w:spacing w:line="360" w:lineRule="exact"/>
              <w:ind w:firstLineChars="0" w:firstLine="0"/>
              <w:jc w:val="center"/>
              <w:textAlignment w:val="center"/>
              <w:rPr>
                <w:sz w:val="21"/>
                <w:szCs w:val="21"/>
                <w:lang w:bidi="ar"/>
              </w:rPr>
            </w:pPr>
            <w:r>
              <w:rPr>
                <w:sz w:val="21"/>
                <w:szCs w:val="21"/>
                <w:lang w:bidi="ar"/>
              </w:rPr>
              <w:t>园区供气网</w:t>
            </w:r>
          </w:p>
        </w:tc>
      </w:tr>
    </w:tbl>
    <w:p w14:paraId="0CD8F453" w14:textId="77777777" w:rsidR="003E78AB" w:rsidRDefault="00010BF9">
      <w:pPr>
        <w:pStyle w:val="aff2"/>
        <w:topLinePunct/>
        <w:spacing w:line="520" w:lineRule="exact"/>
        <w:ind w:firstLine="480"/>
        <w:rPr>
          <w:rFonts w:cs="Times New Roman"/>
          <w:sz w:val="24"/>
        </w:rPr>
      </w:pPr>
      <w:bookmarkStart w:id="219" w:name="OLE_LINK22"/>
      <w:r>
        <w:rPr>
          <w:rFonts w:cs="Times New Roman" w:hint="eastAsia"/>
          <w:sz w:val="24"/>
        </w:rPr>
        <w:t>（</w:t>
      </w:r>
      <w:r>
        <w:rPr>
          <w:rFonts w:cs="Times New Roman" w:hint="eastAsia"/>
          <w:sz w:val="24"/>
        </w:rPr>
        <w:t>1</w:t>
      </w:r>
      <w:r>
        <w:rPr>
          <w:rFonts w:cs="Times New Roman" w:hint="eastAsia"/>
          <w:sz w:val="24"/>
        </w:rPr>
        <w:t>）</w:t>
      </w:r>
      <w:r>
        <w:rPr>
          <w:rFonts w:cs="Times New Roman"/>
          <w:sz w:val="24"/>
        </w:rPr>
        <w:t>五氧化二钒</w:t>
      </w:r>
    </w:p>
    <w:p w14:paraId="7A21D09E" w14:textId="77777777" w:rsidR="003E78AB" w:rsidRDefault="00010BF9">
      <w:pPr>
        <w:pStyle w:val="aff2"/>
        <w:topLinePunct/>
        <w:spacing w:line="520" w:lineRule="exact"/>
        <w:ind w:firstLine="480"/>
        <w:rPr>
          <w:rFonts w:cs="Times New Roman"/>
          <w:sz w:val="24"/>
        </w:rPr>
      </w:pPr>
      <w:r>
        <w:rPr>
          <w:rFonts w:cs="Times New Roman"/>
          <w:sz w:val="24"/>
        </w:rPr>
        <w:t>项目原料五氧化二钒为</w:t>
      </w:r>
      <w:r>
        <w:rPr>
          <w:rFonts w:cs="Times New Roman"/>
          <w:sz w:val="24"/>
        </w:rPr>
        <w:t>99.5%</w:t>
      </w:r>
      <w:r>
        <w:rPr>
          <w:rFonts w:cs="Times New Roman"/>
          <w:sz w:val="24"/>
        </w:rPr>
        <w:t>粉钒，其主要化学成分符合《五氧化二钒》（</w:t>
      </w:r>
      <w:r>
        <w:rPr>
          <w:rFonts w:cs="Times New Roman"/>
          <w:sz w:val="24"/>
        </w:rPr>
        <w:t>YB/T5304-2017</w:t>
      </w:r>
      <w:r>
        <w:rPr>
          <w:rFonts w:cs="Times New Roman"/>
          <w:sz w:val="24"/>
        </w:rPr>
        <w:t>）中表</w:t>
      </w:r>
      <w:r>
        <w:rPr>
          <w:rFonts w:cs="Times New Roman"/>
          <w:sz w:val="24"/>
        </w:rPr>
        <w:t>1</w:t>
      </w:r>
      <w:r>
        <w:rPr>
          <w:rFonts w:cs="Times New Roman"/>
          <w:sz w:val="24"/>
        </w:rPr>
        <w:t>要求，根据建设单位提供的原料五氧化二钒成分检测报告，对比情况详见</w:t>
      </w:r>
      <w:r>
        <w:rPr>
          <w:rFonts w:cs="Times New Roman"/>
          <w:sz w:val="24"/>
        </w:rPr>
        <w:fldChar w:fldCharType="begin"/>
      </w:r>
      <w:r>
        <w:rPr>
          <w:rFonts w:cs="Times New Roman"/>
          <w:sz w:val="24"/>
        </w:rPr>
        <w:instrText xml:space="preserve"> REF _Ref21622 \r \h </w:instrText>
      </w:r>
      <w:r>
        <w:rPr>
          <w:rFonts w:cs="Times New Roman"/>
          <w:sz w:val="24"/>
        </w:rPr>
      </w:r>
      <w:r>
        <w:rPr>
          <w:rFonts w:cs="Times New Roman"/>
          <w:sz w:val="24"/>
        </w:rPr>
        <w:fldChar w:fldCharType="separate"/>
      </w:r>
      <w:r>
        <w:rPr>
          <w:rFonts w:cs="Times New Roman"/>
          <w:sz w:val="24"/>
        </w:rPr>
        <w:t>表</w:t>
      </w:r>
      <w:r>
        <w:rPr>
          <w:rFonts w:cs="Times New Roman"/>
          <w:sz w:val="24"/>
        </w:rPr>
        <w:t>3-6</w:t>
      </w:r>
      <w:r>
        <w:rPr>
          <w:rFonts w:cs="Times New Roman"/>
          <w:sz w:val="24"/>
        </w:rPr>
        <w:fldChar w:fldCharType="end"/>
      </w:r>
      <w:r>
        <w:rPr>
          <w:rFonts w:cs="Times New Roman"/>
          <w:sz w:val="24"/>
        </w:rPr>
        <w:t>。</w:t>
      </w:r>
    </w:p>
    <w:p w14:paraId="7E4D2DA3" w14:textId="77777777" w:rsidR="003E78AB" w:rsidRDefault="00010BF9">
      <w:pPr>
        <w:pStyle w:val="a1"/>
        <w:spacing w:line="520" w:lineRule="exact"/>
        <w:rPr>
          <w:spacing w:val="-1"/>
        </w:rPr>
      </w:pPr>
      <w:bookmarkStart w:id="220" w:name="_Ref21622"/>
      <w:r>
        <w:rPr>
          <w:spacing w:val="-1"/>
        </w:rPr>
        <w:t>五氧化二钒化学成分一览表</w:t>
      </w:r>
      <w:bookmarkEnd w:id="220"/>
    </w:p>
    <w:p w14:paraId="71DCCA50" w14:textId="77777777" w:rsidR="003E78AB" w:rsidRDefault="003E78AB">
      <w:pPr>
        <w:spacing w:line="26" w:lineRule="exact"/>
        <w:ind w:firstLine="480"/>
      </w:pPr>
    </w:p>
    <w:tbl>
      <w:tblPr>
        <w:tblStyle w:val="TableNormal"/>
        <w:tblW w:w="501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1052"/>
        <w:gridCol w:w="1152"/>
        <w:gridCol w:w="632"/>
        <w:gridCol w:w="632"/>
        <w:gridCol w:w="721"/>
        <w:gridCol w:w="878"/>
        <w:gridCol w:w="878"/>
        <w:gridCol w:w="1017"/>
        <w:gridCol w:w="898"/>
      </w:tblGrid>
      <w:tr w:rsidR="003E78AB" w14:paraId="327B47FF" w14:textId="77777777">
        <w:trPr>
          <w:trHeight w:val="275"/>
        </w:trPr>
        <w:tc>
          <w:tcPr>
            <w:tcW w:w="874" w:type="pct"/>
            <w:gridSpan w:val="2"/>
            <w:vMerge w:val="restart"/>
            <w:vAlign w:val="center"/>
          </w:tcPr>
          <w:p w14:paraId="3E4A41E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类别和牌号</w:t>
            </w:r>
          </w:p>
        </w:tc>
        <w:tc>
          <w:tcPr>
            <w:tcW w:w="4125" w:type="pct"/>
            <w:gridSpan w:val="8"/>
            <w:vAlign w:val="center"/>
          </w:tcPr>
          <w:p w14:paraId="41CEB82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化学成分</w:t>
            </w:r>
            <w:r>
              <w:rPr>
                <w:b/>
                <w:bCs/>
                <w:sz w:val="21"/>
                <w:szCs w:val="21"/>
                <w:lang w:bidi="ar"/>
              </w:rPr>
              <w:t>(</w:t>
            </w:r>
            <w:r>
              <w:rPr>
                <w:b/>
                <w:bCs/>
                <w:sz w:val="21"/>
                <w:szCs w:val="21"/>
                <w:lang w:bidi="ar"/>
              </w:rPr>
              <w:t>质量分数</w:t>
            </w:r>
            <w:r>
              <w:rPr>
                <w:b/>
                <w:bCs/>
                <w:sz w:val="21"/>
                <w:szCs w:val="21"/>
                <w:lang w:bidi="ar"/>
              </w:rPr>
              <w:t>)/%</w:t>
            </w:r>
          </w:p>
        </w:tc>
      </w:tr>
      <w:tr w:rsidR="003E78AB" w14:paraId="68D6B320" w14:textId="77777777">
        <w:trPr>
          <w:trHeight w:val="483"/>
        </w:trPr>
        <w:tc>
          <w:tcPr>
            <w:tcW w:w="874" w:type="pct"/>
            <w:gridSpan w:val="2"/>
            <w:vMerge/>
            <w:vAlign w:val="center"/>
          </w:tcPr>
          <w:p w14:paraId="3E85D256" w14:textId="77777777" w:rsidR="003E78AB" w:rsidRDefault="003E78AB">
            <w:pPr>
              <w:spacing w:line="360" w:lineRule="exact"/>
              <w:ind w:firstLineChars="0" w:firstLine="0"/>
              <w:jc w:val="center"/>
              <w:textAlignment w:val="center"/>
              <w:rPr>
                <w:b/>
                <w:bCs/>
                <w:sz w:val="21"/>
                <w:szCs w:val="21"/>
                <w:lang w:bidi="ar"/>
              </w:rPr>
            </w:pPr>
          </w:p>
        </w:tc>
        <w:tc>
          <w:tcPr>
            <w:tcW w:w="700" w:type="pct"/>
            <w:vAlign w:val="center"/>
          </w:tcPr>
          <w:p w14:paraId="2EE2F8C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TV</w:t>
            </w:r>
          </w:p>
          <w:p w14:paraId="546E7B0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w:t>
            </w:r>
            <w:r>
              <w:rPr>
                <w:b/>
                <w:bCs/>
                <w:sz w:val="21"/>
                <w:szCs w:val="21"/>
                <w:lang w:bidi="ar"/>
              </w:rPr>
              <w:t>以</w:t>
            </w:r>
            <w:r>
              <w:rPr>
                <w:b/>
                <w:bCs/>
                <w:sz w:val="21"/>
                <w:szCs w:val="21"/>
                <w:lang w:bidi="ar"/>
              </w:rPr>
              <w:t>V</w:t>
            </w:r>
            <w:r>
              <w:rPr>
                <w:b/>
                <w:bCs/>
                <w:sz w:val="21"/>
                <w:szCs w:val="21"/>
                <w:vertAlign w:val="subscript"/>
                <w:lang w:bidi="ar"/>
              </w:rPr>
              <w:t>2</w:t>
            </w:r>
            <w:r>
              <w:rPr>
                <w:b/>
                <w:bCs/>
                <w:sz w:val="21"/>
                <w:szCs w:val="21"/>
                <w:lang w:bidi="ar"/>
              </w:rPr>
              <w:t>O</w:t>
            </w:r>
            <w:r>
              <w:rPr>
                <w:b/>
                <w:bCs/>
                <w:sz w:val="21"/>
                <w:szCs w:val="21"/>
                <w:vertAlign w:val="subscript"/>
                <w:lang w:bidi="ar"/>
              </w:rPr>
              <w:t>5</w:t>
            </w:r>
            <w:r>
              <w:rPr>
                <w:b/>
                <w:bCs/>
                <w:sz w:val="21"/>
                <w:szCs w:val="21"/>
                <w:lang w:bidi="ar"/>
              </w:rPr>
              <w:t>计</w:t>
            </w:r>
            <w:r>
              <w:rPr>
                <w:b/>
                <w:bCs/>
                <w:sz w:val="21"/>
                <w:szCs w:val="21"/>
                <w:lang w:bidi="ar"/>
              </w:rPr>
              <w:t>)</w:t>
            </w:r>
          </w:p>
        </w:tc>
        <w:tc>
          <w:tcPr>
            <w:tcW w:w="384" w:type="pct"/>
            <w:vAlign w:val="center"/>
          </w:tcPr>
          <w:p w14:paraId="2D719C3F"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Si</w:t>
            </w:r>
          </w:p>
        </w:tc>
        <w:tc>
          <w:tcPr>
            <w:tcW w:w="384" w:type="pct"/>
            <w:vAlign w:val="center"/>
          </w:tcPr>
          <w:p w14:paraId="7A83F04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Fe</w:t>
            </w:r>
          </w:p>
        </w:tc>
        <w:tc>
          <w:tcPr>
            <w:tcW w:w="438" w:type="pct"/>
            <w:vAlign w:val="center"/>
          </w:tcPr>
          <w:p w14:paraId="32A5DA5E"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P</w:t>
            </w:r>
          </w:p>
        </w:tc>
        <w:tc>
          <w:tcPr>
            <w:tcW w:w="533" w:type="pct"/>
            <w:vAlign w:val="center"/>
          </w:tcPr>
          <w:p w14:paraId="1FB70451"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S</w:t>
            </w:r>
          </w:p>
        </w:tc>
        <w:tc>
          <w:tcPr>
            <w:tcW w:w="533" w:type="pct"/>
            <w:vAlign w:val="center"/>
          </w:tcPr>
          <w:p w14:paraId="4B2D6BCB"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As</w:t>
            </w:r>
          </w:p>
        </w:tc>
        <w:tc>
          <w:tcPr>
            <w:tcW w:w="608" w:type="pct"/>
            <w:vAlign w:val="center"/>
          </w:tcPr>
          <w:p w14:paraId="288D38D1"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Na</w:t>
            </w:r>
            <w:r>
              <w:rPr>
                <w:b/>
                <w:bCs/>
                <w:sz w:val="21"/>
                <w:szCs w:val="21"/>
                <w:vertAlign w:val="subscript"/>
                <w:lang w:bidi="ar"/>
              </w:rPr>
              <w:t>2</w:t>
            </w:r>
            <w:r>
              <w:rPr>
                <w:b/>
                <w:bCs/>
                <w:sz w:val="21"/>
                <w:szCs w:val="21"/>
                <w:lang w:bidi="ar"/>
              </w:rPr>
              <w:t>O+K</w:t>
            </w:r>
            <w:r>
              <w:rPr>
                <w:b/>
                <w:bCs/>
                <w:sz w:val="21"/>
                <w:szCs w:val="21"/>
                <w:vertAlign w:val="subscript"/>
                <w:lang w:bidi="ar"/>
              </w:rPr>
              <w:t>2</w:t>
            </w:r>
            <w:r>
              <w:rPr>
                <w:b/>
                <w:bCs/>
                <w:sz w:val="21"/>
                <w:szCs w:val="21"/>
                <w:lang w:bidi="ar"/>
              </w:rPr>
              <w:t>O</w:t>
            </w:r>
          </w:p>
        </w:tc>
        <w:tc>
          <w:tcPr>
            <w:tcW w:w="542" w:type="pct"/>
            <w:vAlign w:val="center"/>
          </w:tcPr>
          <w:p w14:paraId="4CC97D3F"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V</w:t>
            </w:r>
            <w:r>
              <w:rPr>
                <w:b/>
                <w:bCs/>
                <w:sz w:val="21"/>
                <w:szCs w:val="21"/>
                <w:vertAlign w:val="subscript"/>
                <w:lang w:bidi="ar"/>
              </w:rPr>
              <w:t>2</w:t>
            </w:r>
            <w:r>
              <w:rPr>
                <w:b/>
                <w:bCs/>
                <w:sz w:val="21"/>
                <w:szCs w:val="21"/>
                <w:lang w:bidi="ar"/>
              </w:rPr>
              <w:t>O</w:t>
            </w:r>
            <w:r>
              <w:rPr>
                <w:b/>
                <w:bCs/>
                <w:sz w:val="21"/>
                <w:szCs w:val="21"/>
                <w:vertAlign w:val="subscript"/>
                <w:lang w:bidi="ar"/>
              </w:rPr>
              <w:t>4</w:t>
            </w:r>
          </w:p>
        </w:tc>
      </w:tr>
      <w:tr w:rsidR="003E78AB" w14:paraId="29262499" w14:textId="77777777">
        <w:trPr>
          <w:trHeight w:val="265"/>
        </w:trPr>
        <w:tc>
          <w:tcPr>
            <w:tcW w:w="874" w:type="pct"/>
            <w:gridSpan w:val="2"/>
            <w:vMerge/>
            <w:vAlign w:val="center"/>
          </w:tcPr>
          <w:p w14:paraId="0FA2B948" w14:textId="77777777" w:rsidR="003E78AB" w:rsidRDefault="003E78AB">
            <w:pPr>
              <w:spacing w:line="360" w:lineRule="exact"/>
              <w:ind w:firstLineChars="0" w:firstLine="0"/>
              <w:jc w:val="center"/>
              <w:textAlignment w:val="center"/>
              <w:rPr>
                <w:sz w:val="21"/>
                <w:szCs w:val="21"/>
                <w:lang w:bidi="ar"/>
              </w:rPr>
            </w:pPr>
          </w:p>
        </w:tc>
        <w:tc>
          <w:tcPr>
            <w:tcW w:w="700" w:type="pct"/>
            <w:vAlign w:val="center"/>
          </w:tcPr>
          <w:p w14:paraId="70AAACC9" w14:textId="77777777" w:rsidR="003E78AB" w:rsidRDefault="00010BF9">
            <w:pPr>
              <w:spacing w:line="360" w:lineRule="exact"/>
              <w:ind w:firstLineChars="0" w:firstLine="0"/>
              <w:jc w:val="center"/>
              <w:textAlignment w:val="center"/>
              <w:rPr>
                <w:sz w:val="21"/>
                <w:szCs w:val="21"/>
                <w:lang w:bidi="ar"/>
              </w:rPr>
            </w:pPr>
            <w:r>
              <w:rPr>
                <w:sz w:val="21"/>
                <w:szCs w:val="21"/>
                <w:lang w:bidi="ar"/>
              </w:rPr>
              <w:t>不小于</w:t>
            </w:r>
          </w:p>
        </w:tc>
        <w:tc>
          <w:tcPr>
            <w:tcW w:w="3424" w:type="pct"/>
            <w:gridSpan w:val="7"/>
            <w:vAlign w:val="center"/>
          </w:tcPr>
          <w:p w14:paraId="5EB38C9C" w14:textId="77777777" w:rsidR="003E78AB" w:rsidRDefault="00010BF9">
            <w:pPr>
              <w:spacing w:line="360" w:lineRule="exact"/>
              <w:ind w:firstLineChars="0" w:firstLine="0"/>
              <w:jc w:val="center"/>
              <w:textAlignment w:val="center"/>
              <w:rPr>
                <w:sz w:val="21"/>
                <w:szCs w:val="21"/>
                <w:lang w:bidi="ar"/>
              </w:rPr>
            </w:pPr>
            <w:r>
              <w:rPr>
                <w:sz w:val="21"/>
                <w:szCs w:val="21"/>
                <w:lang w:bidi="ar"/>
              </w:rPr>
              <w:t>不大于</w:t>
            </w:r>
          </w:p>
        </w:tc>
      </w:tr>
      <w:tr w:rsidR="003E78AB" w14:paraId="700C54EE" w14:textId="77777777">
        <w:trPr>
          <w:trHeight w:val="291"/>
        </w:trPr>
        <w:tc>
          <w:tcPr>
            <w:tcW w:w="235" w:type="pct"/>
            <w:vMerge w:val="restart"/>
            <w:vAlign w:val="center"/>
          </w:tcPr>
          <w:p w14:paraId="3756D8F3" w14:textId="77777777" w:rsidR="003E78AB" w:rsidRDefault="00010BF9">
            <w:pPr>
              <w:spacing w:line="360" w:lineRule="exact"/>
              <w:ind w:firstLineChars="0" w:firstLine="0"/>
              <w:jc w:val="center"/>
              <w:textAlignment w:val="center"/>
              <w:rPr>
                <w:sz w:val="21"/>
                <w:szCs w:val="21"/>
                <w:lang w:bidi="ar"/>
              </w:rPr>
            </w:pPr>
            <w:r>
              <w:rPr>
                <w:sz w:val="21"/>
                <w:szCs w:val="21"/>
                <w:lang w:bidi="ar"/>
              </w:rPr>
              <w:t>粉钒</w:t>
            </w:r>
          </w:p>
        </w:tc>
        <w:tc>
          <w:tcPr>
            <w:tcW w:w="639" w:type="pct"/>
            <w:vAlign w:val="center"/>
          </w:tcPr>
          <w:p w14:paraId="19CDB42D" w14:textId="77777777" w:rsidR="003E78AB" w:rsidRDefault="00010BF9">
            <w:pPr>
              <w:spacing w:line="360" w:lineRule="exact"/>
              <w:ind w:firstLineChars="0" w:firstLine="0"/>
              <w:jc w:val="center"/>
              <w:textAlignment w:val="center"/>
              <w:rPr>
                <w:sz w:val="21"/>
                <w:szCs w:val="21"/>
                <w:lang w:bidi="ar"/>
              </w:rPr>
            </w:pPr>
            <w:r>
              <w:rPr>
                <w:sz w:val="21"/>
                <w:szCs w:val="21"/>
                <w:lang w:bidi="ar"/>
              </w:rPr>
              <w:t>检测报告</w:t>
            </w:r>
          </w:p>
        </w:tc>
        <w:tc>
          <w:tcPr>
            <w:tcW w:w="700" w:type="pct"/>
            <w:vAlign w:val="center"/>
          </w:tcPr>
          <w:p w14:paraId="0385EA48" w14:textId="77777777" w:rsidR="003E78AB" w:rsidRDefault="00010BF9">
            <w:pPr>
              <w:spacing w:line="360" w:lineRule="exact"/>
              <w:ind w:firstLineChars="0" w:firstLine="0"/>
              <w:jc w:val="center"/>
              <w:textAlignment w:val="center"/>
              <w:rPr>
                <w:sz w:val="21"/>
                <w:szCs w:val="21"/>
                <w:lang w:bidi="ar"/>
              </w:rPr>
            </w:pPr>
            <w:r>
              <w:rPr>
                <w:sz w:val="21"/>
                <w:szCs w:val="21"/>
                <w:lang w:bidi="ar"/>
              </w:rPr>
              <w:t>99.82</w:t>
            </w:r>
          </w:p>
        </w:tc>
        <w:tc>
          <w:tcPr>
            <w:tcW w:w="384" w:type="pct"/>
            <w:vAlign w:val="center"/>
          </w:tcPr>
          <w:p w14:paraId="43798E05" w14:textId="77777777" w:rsidR="003E78AB" w:rsidRDefault="00010BF9">
            <w:pPr>
              <w:spacing w:line="360" w:lineRule="exact"/>
              <w:ind w:firstLineChars="0" w:firstLine="0"/>
              <w:jc w:val="center"/>
              <w:textAlignment w:val="center"/>
              <w:rPr>
                <w:sz w:val="21"/>
                <w:szCs w:val="21"/>
                <w:lang w:bidi="ar"/>
              </w:rPr>
            </w:pPr>
            <w:r>
              <w:rPr>
                <w:sz w:val="21"/>
                <w:szCs w:val="21"/>
                <w:lang w:bidi="ar"/>
              </w:rPr>
              <w:t>0.0120</w:t>
            </w:r>
          </w:p>
        </w:tc>
        <w:tc>
          <w:tcPr>
            <w:tcW w:w="384" w:type="pct"/>
            <w:vAlign w:val="center"/>
          </w:tcPr>
          <w:p w14:paraId="294A22B2" w14:textId="77777777" w:rsidR="003E78AB" w:rsidRDefault="00010BF9">
            <w:pPr>
              <w:spacing w:line="360" w:lineRule="exact"/>
              <w:ind w:firstLineChars="0" w:firstLine="0"/>
              <w:jc w:val="center"/>
              <w:textAlignment w:val="center"/>
              <w:rPr>
                <w:sz w:val="21"/>
                <w:szCs w:val="21"/>
                <w:lang w:bidi="ar"/>
              </w:rPr>
            </w:pPr>
            <w:r>
              <w:rPr>
                <w:sz w:val="21"/>
                <w:szCs w:val="21"/>
                <w:lang w:bidi="ar"/>
              </w:rPr>
              <w:t>0.0012</w:t>
            </w:r>
          </w:p>
        </w:tc>
        <w:tc>
          <w:tcPr>
            <w:tcW w:w="438" w:type="pct"/>
            <w:vAlign w:val="center"/>
          </w:tcPr>
          <w:p w14:paraId="1C21C81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533" w:type="pct"/>
            <w:vAlign w:val="center"/>
          </w:tcPr>
          <w:p w14:paraId="570570B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533" w:type="pct"/>
            <w:vAlign w:val="center"/>
          </w:tcPr>
          <w:p w14:paraId="06C136CE" w14:textId="77777777" w:rsidR="003E78AB" w:rsidRDefault="00010BF9">
            <w:pPr>
              <w:spacing w:line="360" w:lineRule="exact"/>
              <w:ind w:firstLineChars="0" w:firstLine="0"/>
              <w:jc w:val="center"/>
              <w:textAlignment w:val="center"/>
              <w:rPr>
                <w:sz w:val="21"/>
                <w:szCs w:val="21"/>
                <w:lang w:bidi="ar"/>
              </w:rPr>
            </w:pPr>
            <w:r>
              <w:rPr>
                <w:sz w:val="21"/>
                <w:szCs w:val="21"/>
                <w:lang w:bidi="ar"/>
              </w:rPr>
              <w:t>0.0039</w:t>
            </w:r>
          </w:p>
        </w:tc>
        <w:tc>
          <w:tcPr>
            <w:tcW w:w="608" w:type="pct"/>
            <w:vAlign w:val="center"/>
          </w:tcPr>
          <w:p w14:paraId="3D604405" w14:textId="77777777" w:rsidR="003E78AB" w:rsidRDefault="00010BF9">
            <w:pPr>
              <w:spacing w:line="360" w:lineRule="exact"/>
              <w:ind w:firstLineChars="0" w:firstLine="0"/>
              <w:jc w:val="center"/>
              <w:textAlignment w:val="center"/>
              <w:rPr>
                <w:sz w:val="21"/>
                <w:szCs w:val="21"/>
                <w:lang w:bidi="ar"/>
              </w:rPr>
            </w:pPr>
            <w:r>
              <w:rPr>
                <w:sz w:val="21"/>
                <w:szCs w:val="21"/>
                <w:lang w:bidi="ar"/>
              </w:rPr>
              <w:t>0.024</w:t>
            </w:r>
          </w:p>
        </w:tc>
        <w:tc>
          <w:tcPr>
            <w:tcW w:w="542" w:type="pct"/>
            <w:vAlign w:val="center"/>
          </w:tcPr>
          <w:p w14:paraId="311E3CB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75DD3893" w14:textId="77777777">
        <w:trPr>
          <w:trHeight w:val="291"/>
        </w:trPr>
        <w:tc>
          <w:tcPr>
            <w:tcW w:w="235" w:type="pct"/>
            <w:vMerge/>
            <w:vAlign w:val="center"/>
          </w:tcPr>
          <w:p w14:paraId="2423127E" w14:textId="77777777" w:rsidR="003E78AB" w:rsidRDefault="003E78AB">
            <w:pPr>
              <w:spacing w:line="360" w:lineRule="exact"/>
              <w:ind w:firstLineChars="0" w:firstLine="0"/>
              <w:jc w:val="center"/>
              <w:textAlignment w:val="center"/>
              <w:rPr>
                <w:sz w:val="21"/>
                <w:szCs w:val="21"/>
                <w:lang w:bidi="ar"/>
              </w:rPr>
            </w:pPr>
          </w:p>
        </w:tc>
        <w:tc>
          <w:tcPr>
            <w:tcW w:w="639" w:type="pct"/>
            <w:vAlign w:val="center"/>
          </w:tcPr>
          <w:p w14:paraId="70893221" w14:textId="77777777" w:rsidR="003E78AB" w:rsidRDefault="00010BF9">
            <w:pPr>
              <w:spacing w:line="360" w:lineRule="exact"/>
              <w:ind w:firstLineChars="0" w:firstLine="0"/>
              <w:jc w:val="center"/>
              <w:textAlignment w:val="center"/>
              <w:rPr>
                <w:sz w:val="21"/>
                <w:szCs w:val="21"/>
                <w:lang w:bidi="ar"/>
              </w:rPr>
            </w:pPr>
            <w:r>
              <w:rPr>
                <w:sz w:val="21"/>
                <w:szCs w:val="21"/>
                <w:lang w:bidi="ar"/>
              </w:rPr>
              <w:t>标准</w:t>
            </w:r>
            <w:r>
              <w:rPr>
                <w:sz w:val="21"/>
                <w:szCs w:val="21"/>
                <w:lang w:bidi="ar"/>
              </w:rPr>
              <w:t>V</w:t>
            </w:r>
            <w:r>
              <w:rPr>
                <w:sz w:val="21"/>
                <w:szCs w:val="21"/>
                <w:vertAlign w:val="subscript"/>
                <w:lang w:bidi="ar"/>
              </w:rPr>
              <w:t>2</w:t>
            </w:r>
            <w:r>
              <w:rPr>
                <w:sz w:val="21"/>
                <w:szCs w:val="21"/>
                <w:lang w:bidi="ar"/>
              </w:rPr>
              <w:t>O</w:t>
            </w:r>
            <w:r>
              <w:rPr>
                <w:sz w:val="21"/>
                <w:szCs w:val="21"/>
                <w:vertAlign w:val="subscript"/>
                <w:lang w:bidi="ar"/>
              </w:rPr>
              <w:t>5</w:t>
            </w:r>
            <w:r>
              <w:rPr>
                <w:sz w:val="21"/>
                <w:szCs w:val="21"/>
                <w:lang w:bidi="ar"/>
              </w:rPr>
              <w:t>99.5-P</w:t>
            </w:r>
          </w:p>
        </w:tc>
        <w:tc>
          <w:tcPr>
            <w:tcW w:w="700" w:type="pct"/>
            <w:vAlign w:val="center"/>
          </w:tcPr>
          <w:p w14:paraId="5A550B55" w14:textId="77777777" w:rsidR="003E78AB" w:rsidRDefault="00010BF9">
            <w:pPr>
              <w:spacing w:line="360" w:lineRule="exact"/>
              <w:ind w:firstLineChars="0" w:firstLine="0"/>
              <w:jc w:val="center"/>
              <w:textAlignment w:val="center"/>
              <w:rPr>
                <w:sz w:val="21"/>
                <w:szCs w:val="21"/>
                <w:lang w:bidi="ar"/>
              </w:rPr>
            </w:pPr>
            <w:r>
              <w:rPr>
                <w:sz w:val="21"/>
                <w:szCs w:val="21"/>
                <w:lang w:bidi="ar"/>
              </w:rPr>
              <w:t>99.5</w:t>
            </w:r>
          </w:p>
        </w:tc>
        <w:tc>
          <w:tcPr>
            <w:tcW w:w="384" w:type="pct"/>
            <w:vAlign w:val="center"/>
          </w:tcPr>
          <w:p w14:paraId="0BA092B9" w14:textId="77777777" w:rsidR="003E78AB" w:rsidRDefault="00010BF9">
            <w:pPr>
              <w:spacing w:line="360" w:lineRule="exact"/>
              <w:ind w:firstLineChars="0" w:firstLine="0"/>
              <w:jc w:val="center"/>
              <w:textAlignment w:val="center"/>
              <w:rPr>
                <w:sz w:val="21"/>
                <w:szCs w:val="21"/>
                <w:lang w:bidi="ar"/>
              </w:rPr>
            </w:pPr>
            <w:r>
              <w:rPr>
                <w:sz w:val="21"/>
                <w:szCs w:val="21"/>
                <w:lang w:bidi="ar"/>
              </w:rPr>
              <w:t>0.08</w:t>
            </w:r>
          </w:p>
        </w:tc>
        <w:tc>
          <w:tcPr>
            <w:tcW w:w="384" w:type="pct"/>
            <w:vAlign w:val="center"/>
          </w:tcPr>
          <w:p w14:paraId="2A298AB1" w14:textId="77777777" w:rsidR="003E78AB" w:rsidRDefault="00010BF9">
            <w:pPr>
              <w:spacing w:line="360" w:lineRule="exact"/>
              <w:ind w:firstLineChars="0" w:firstLine="0"/>
              <w:jc w:val="center"/>
              <w:textAlignment w:val="center"/>
              <w:rPr>
                <w:sz w:val="21"/>
                <w:szCs w:val="21"/>
                <w:lang w:bidi="ar"/>
              </w:rPr>
            </w:pPr>
            <w:r>
              <w:rPr>
                <w:sz w:val="21"/>
                <w:szCs w:val="21"/>
                <w:lang w:bidi="ar"/>
              </w:rPr>
              <w:t>0.06</w:t>
            </w:r>
          </w:p>
        </w:tc>
        <w:tc>
          <w:tcPr>
            <w:tcW w:w="438" w:type="pct"/>
            <w:vAlign w:val="center"/>
          </w:tcPr>
          <w:p w14:paraId="16BA66B8" w14:textId="77777777" w:rsidR="003E78AB" w:rsidRDefault="00010BF9">
            <w:pPr>
              <w:spacing w:line="360" w:lineRule="exact"/>
              <w:ind w:firstLineChars="0" w:firstLine="0"/>
              <w:jc w:val="center"/>
              <w:textAlignment w:val="center"/>
              <w:rPr>
                <w:sz w:val="21"/>
                <w:szCs w:val="21"/>
                <w:lang w:bidi="ar"/>
              </w:rPr>
            </w:pPr>
            <w:r>
              <w:rPr>
                <w:sz w:val="21"/>
                <w:szCs w:val="21"/>
                <w:lang w:bidi="ar"/>
              </w:rPr>
              <w:t>0.02</w:t>
            </w:r>
          </w:p>
        </w:tc>
        <w:tc>
          <w:tcPr>
            <w:tcW w:w="533" w:type="pct"/>
            <w:vAlign w:val="center"/>
          </w:tcPr>
          <w:p w14:paraId="08036016" w14:textId="77777777" w:rsidR="003E78AB" w:rsidRDefault="00010BF9">
            <w:pPr>
              <w:spacing w:line="360" w:lineRule="exact"/>
              <w:ind w:firstLineChars="0" w:firstLine="0"/>
              <w:jc w:val="center"/>
              <w:textAlignment w:val="center"/>
              <w:rPr>
                <w:sz w:val="21"/>
                <w:szCs w:val="21"/>
                <w:lang w:bidi="ar"/>
              </w:rPr>
            </w:pPr>
            <w:r>
              <w:rPr>
                <w:sz w:val="21"/>
                <w:szCs w:val="21"/>
                <w:lang w:bidi="ar"/>
              </w:rPr>
              <w:t>0.05</w:t>
            </w:r>
          </w:p>
        </w:tc>
        <w:tc>
          <w:tcPr>
            <w:tcW w:w="533" w:type="pct"/>
            <w:vAlign w:val="center"/>
          </w:tcPr>
          <w:p w14:paraId="0489EB29" w14:textId="77777777" w:rsidR="003E78AB" w:rsidRDefault="00010BF9">
            <w:pPr>
              <w:spacing w:line="360" w:lineRule="exact"/>
              <w:ind w:firstLineChars="0" w:firstLine="0"/>
              <w:jc w:val="center"/>
              <w:textAlignment w:val="center"/>
              <w:rPr>
                <w:sz w:val="21"/>
                <w:szCs w:val="21"/>
                <w:lang w:bidi="ar"/>
              </w:rPr>
            </w:pPr>
            <w:r>
              <w:rPr>
                <w:sz w:val="21"/>
                <w:szCs w:val="21"/>
                <w:lang w:bidi="ar"/>
              </w:rPr>
              <w:t>0.01</w:t>
            </w:r>
          </w:p>
        </w:tc>
        <w:tc>
          <w:tcPr>
            <w:tcW w:w="608" w:type="pct"/>
            <w:vAlign w:val="center"/>
          </w:tcPr>
          <w:p w14:paraId="3A0F3C17" w14:textId="77777777" w:rsidR="003E78AB" w:rsidRDefault="00010BF9">
            <w:pPr>
              <w:spacing w:line="360" w:lineRule="exact"/>
              <w:ind w:firstLineChars="0" w:firstLine="0"/>
              <w:jc w:val="center"/>
              <w:textAlignment w:val="center"/>
              <w:rPr>
                <w:sz w:val="21"/>
                <w:szCs w:val="21"/>
                <w:lang w:bidi="ar"/>
              </w:rPr>
            </w:pPr>
            <w:r>
              <w:rPr>
                <w:sz w:val="21"/>
                <w:szCs w:val="21"/>
                <w:lang w:bidi="ar"/>
              </w:rPr>
              <w:t>0.30</w:t>
            </w:r>
          </w:p>
        </w:tc>
        <w:tc>
          <w:tcPr>
            <w:tcW w:w="542" w:type="pct"/>
            <w:vAlign w:val="center"/>
          </w:tcPr>
          <w:p w14:paraId="75812108" w14:textId="77777777" w:rsidR="003E78AB" w:rsidRDefault="00010BF9">
            <w:pPr>
              <w:spacing w:line="360" w:lineRule="exact"/>
              <w:ind w:firstLineChars="0" w:firstLine="0"/>
              <w:jc w:val="center"/>
              <w:textAlignment w:val="center"/>
              <w:rPr>
                <w:sz w:val="21"/>
                <w:szCs w:val="21"/>
                <w:lang w:bidi="ar"/>
              </w:rPr>
            </w:pPr>
            <w:r>
              <w:rPr>
                <w:sz w:val="21"/>
                <w:szCs w:val="21"/>
                <w:lang w:bidi="ar"/>
              </w:rPr>
              <w:t>1.0</w:t>
            </w:r>
          </w:p>
        </w:tc>
      </w:tr>
    </w:tbl>
    <w:p w14:paraId="42D0453B" w14:textId="77777777" w:rsidR="003E78AB" w:rsidRDefault="00010BF9">
      <w:pPr>
        <w:pStyle w:val="aff2"/>
        <w:topLinePunct/>
        <w:spacing w:line="520" w:lineRule="exact"/>
        <w:ind w:firstLine="480"/>
        <w:rPr>
          <w:rFonts w:cs="Times New Roman"/>
          <w:sz w:val="24"/>
        </w:rPr>
      </w:pPr>
      <w:r>
        <w:rPr>
          <w:rFonts w:cs="Times New Roman" w:hint="eastAsia"/>
          <w:sz w:val="24"/>
        </w:rPr>
        <w:t>本项目在钒电解液制备过程需要投加硫酸和磷酸，且在溶解还原后生成四价钒，故所使用的五氧化二钒不考核</w:t>
      </w:r>
      <w:r>
        <w:rPr>
          <w:rFonts w:cs="Times New Roman" w:hint="eastAsia"/>
          <w:sz w:val="24"/>
        </w:rPr>
        <w:t>P</w:t>
      </w:r>
      <w:r>
        <w:rPr>
          <w:rFonts w:cs="Times New Roman" w:hint="eastAsia"/>
          <w:sz w:val="24"/>
        </w:rPr>
        <w:t>、</w:t>
      </w:r>
      <w:r>
        <w:rPr>
          <w:rFonts w:cs="Times New Roman" w:hint="eastAsia"/>
          <w:sz w:val="24"/>
        </w:rPr>
        <w:t>S</w:t>
      </w:r>
      <w:r>
        <w:rPr>
          <w:rFonts w:cs="Times New Roman" w:hint="eastAsia"/>
          <w:sz w:val="24"/>
        </w:rPr>
        <w:t>元素及</w:t>
      </w:r>
      <w:r>
        <w:rPr>
          <w:rFonts w:cs="Times New Roman" w:hint="eastAsia"/>
          <w:sz w:val="24"/>
        </w:rPr>
        <w:t>V</w:t>
      </w:r>
      <w:r>
        <w:rPr>
          <w:rFonts w:cs="Times New Roman" w:hint="eastAsia"/>
          <w:sz w:val="24"/>
          <w:vertAlign w:val="subscript"/>
        </w:rPr>
        <w:t>2</w:t>
      </w:r>
      <w:r>
        <w:rPr>
          <w:rFonts w:cs="Times New Roman" w:hint="eastAsia"/>
          <w:sz w:val="24"/>
        </w:rPr>
        <w:t>O</w:t>
      </w:r>
      <w:r>
        <w:rPr>
          <w:rFonts w:cs="Times New Roman" w:hint="eastAsia"/>
          <w:sz w:val="24"/>
          <w:vertAlign w:val="subscript"/>
        </w:rPr>
        <w:t>4</w:t>
      </w:r>
      <w:r>
        <w:rPr>
          <w:rFonts w:cs="Times New Roman" w:hint="eastAsia"/>
          <w:sz w:val="24"/>
        </w:rPr>
        <w:t>指标。</w:t>
      </w:r>
      <w:r>
        <w:rPr>
          <w:rFonts w:cs="Times New Roman"/>
          <w:sz w:val="24"/>
        </w:rPr>
        <w:t>通过对比可知，本项目外购五氧化二钒（粉钒）</w:t>
      </w:r>
      <w:r>
        <w:rPr>
          <w:rFonts w:cs="Times New Roman" w:hint="eastAsia"/>
          <w:sz w:val="24"/>
        </w:rPr>
        <w:t>其他指标可</w:t>
      </w:r>
      <w:r>
        <w:rPr>
          <w:rFonts w:cs="Times New Roman"/>
          <w:sz w:val="24"/>
        </w:rPr>
        <w:t>满足《五氧化二钒》（</w:t>
      </w:r>
      <w:r>
        <w:rPr>
          <w:rFonts w:cs="Times New Roman"/>
          <w:sz w:val="24"/>
        </w:rPr>
        <w:t>YB/T5304-2017</w:t>
      </w:r>
      <w:r>
        <w:rPr>
          <w:rFonts w:cs="Times New Roman"/>
          <w:sz w:val="24"/>
        </w:rPr>
        <w:t>）标准要求。</w:t>
      </w:r>
    </w:p>
    <w:p w14:paraId="4AFCBC94"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2</w:t>
      </w:r>
      <w:r>
        <w:rPr>
          <w:rFonts w:cs="Times New Roman"/>
          <w:sz w:val="24"/>
        </w:rPr>
        <w:t>）浓硫酸：是一种无机化合物，化学式为</w:t>
      </w:r>
      <w:r>
        <w:rPr>
          <w:rFonts w:cs="Times New Roman"/>
          <w:sz w:val="24"/>
        </w:rPr>
        <w:t>H</w:t>
      </w:r>
      <w:r>
        <w:rPr>
          <w:rFonts w:cs="Times New Roman"/>
          <w:sz w:val="24"/>
          <w:vertAlign w:val="subscript"/>
        </w:rPr>
        <w:t>2</w:t>
      </w:r>
      <w:r>
        <w:rPr>
          <w:rFonts w:cs="Times New Roman"/>
          <w:sz w:val="24"/>
        </w:rPr>
        <w:t>SO</w:t>
      </w:r>
      <w:r>
        <w:rPr>
          <w:rFonts w:cs="Times New Roman"/>
          <w:sz w:val="24"/>
          <w:vertAlign w:val="subscript"/>
        </w:rPr>
        <w:t>4</w:t>
      </w:r>
      <w:r>
        <w:rPr>
          <w:rFonts w:cs="Times New Roman"/>
          <w:sz w:val="24"/>
        </w:rPr>
        <w:t>，分子量</w:t>
      </w:r>
      <w:r>
        <w:rPr>
          <w:rFonts w:cs="Times New Roman"/>
          <w:sz w:val="24"/>
        </w:rPr>
        <w:t>98.078</w:t>
      </w:r>
      <w:r>
        <w:rPr>
          <w:rFonts w:cs="Times New Roman"/>
          <w:sz w:val="24"/>
        </w:rPr>
        <w:t>。浓硫酸是质量分数大于或等于</w:t>
      </w:r>
      <w:r>
        <w:rPr>
          <w:rFonts w:cs="Times New Roman"/>
          <w:sz w:val="24"/>
        </w:rPr>
        <w:t>70%</w:t>
      </w:r>
      <w:r>
        <w:rPr>
          <w:rFonts w:cs="Times New Roman"/>
          <w:sz w:val="24"/>
        </w:rPr>
        <w:t>的硫酸水溶液</w:t>
      </w:r>
      <w:r>
        <w:rPr>
          <w:rFonts w:cs="Times New Roman" w:hint="eastAsia"/>
          <w:sz w:val="24"/>
        </w:rPr>
        <w:t>，</w:t>
      </w:r>
      <w:r>
        <w:rPr>
          <w:rFonts w:cs="Times New Roman"/>
          <w:sz w:val="24"/>
        </w:rPr>
        <w:t>无色黏稠、油状液体</w:t>
      </w:r>
      <w:r>
        <w:rPr>
          <w:rFonts w:cs="Times New Roman" w:hint="eastAsia"/>
          <w:sz w:val="24"/>
        </w:rPr>
        <w:t>，</w:t>
      </w:r>
      <w:r>
        <w:rPr>
          <w:rFonts w:cs="Times New Roman"/>
          <w:sz w:val="24"/>
        </w:rPr>
        <w:t>熔点</w:t>
      </w:r>
      <w:r>
        <w:rPr>
          <w:rFonts w:cs="Times New Roman"/>
          <w:sz w:val="24"/>
        </w:rPr>
        <w:t>10.37℃</w:t>
      </w:r>
      <w:r>
        <w:rPr>
          <w:rFonts w:cs="Times New Roman"/>
          <w:sz w:val="24"/>
        </w:rPr>
        <w:t>、沸点</w:t>
      </w:r>
      <w:r>
        <w:rPr>
          <w:rFonts w:cs="Times New Roman"/>
          <w:sz w:val="24"/>
        </w:rPr>
        <w:t>337℃</w:t>
      </w:r>
      <w:r>
        <w:rPr>
          <w:rFonts w:cs="Times New Roman"/>
          <w:sz w:val="24"/>
        </w:rPr>
        <w:t>、密度</w:t>
      </w:r>
      <w:r>
        <w:rPr>
          <w:rFonts w:cs="Times New Roman"/>
          <w:sz w:val="24"/>
        </w:rPr>
        <w:t>1.84g/cm</w:t>
      </w:r>
      <w:r>
        <w:rPr>
          <w:rFonts w:cs="Times New Roman"/>
          <w:sz w:val="24"/>
          <w:vertAlign w:val="superscript"/>
        </w:rPr>
        <w:t>3</w:t>
      </w:r>
      <w:r>
        <w:rPr>
          <w:rFonts w:cs="Times New Roman"/>
          <w:sz w:val="24"/>
        </w:rPr>
        <w:t>；与水能任意比互溶</w:t>
      </w:r>
      <w:r>
        <w:rPr>
          <w:rFonts w:cs="Times New Roman"/>
          <w:sz w:val="24"/>
        </w:rPr>
        <w:t>:</w:t>
      </w:r>
      <w:r>
        <w:rPr>
          <w:rFonts w:cs="Times New Roman"/>
          <w:sz w:val="24"/>
        </w:rPr>
        <w:t>具有强腐蚀性，还具有脱水性、吸水性、强氧化性、难挥发性、酸性等；是</w:t>
      </w:r>
      <w:r>
        <w:rPr>
          <w:rFonts w:cs="Times New Roman"/>
          <w:sz w:val="24"/>
        </w:rPr>
        <w:t>一种重要的工业原料，广泛应用于工业、农业、日常家居等各个行业。</w:t>
      </w:r>
    </w:p>
    <w:p w14:paraId="5CDB52EE"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3</w:t>
      </w:r>
      <w:r>
        <w:rPr>
          <w:rFonts w:cs="Times New Roman"/>
          <w:sz w:val="24"/>
        </w:rPr>
        <w:t>）二水草酸：别名草酸二水合物，是一种有机物，化学式为</w:t>
      </w:r>
      <w:r>
        <w:rPr>
          <w:rFonts w:cs="Times New Roman"/>
          <w:sz w:val="24"/>
        </w:rPr>
        <w:t>H</w:t>
      </w:r>
      <w:r>
        <w:rPr>
          <w:rFonts w:cs="Times New Roman"/>
          <w:sz w:val="24"/>
          <w:vertAlign w:val="subscript"/>
        </w:rPr>
        <w:t>2</w:t>
      </w:r>
      <w:r>
        <w:rPr>
          <w:rFonts w:cs="Times New Roman"/>
          <w:sz w:val="24"/>
        </w:rPr>
        <w:t>C</w:t>
      </w:r>
      <w:r>
        <w:rPr>
          <w:rFonts w:cs="Times New Roman"/>
          <w:sz w:val="24"/>
          <w:vertAlign w:val="subscript"/>
        </w:rPr>
        <w:t>2</w:t>
      </w:r>
      <w:r>
        <w:rPr>
          <w:rFonts w:cs="Times New Roman"/>
          <w:sz w:val="24"/>
        </w:rPr>
        <w:t>O</w:t>
      </w:r>
      <w:r>
        <w:rPr>
          <w:rFonts w:cs="Times New Roman"/>
          <w:sz w:val="24"/>
          <w:vertAlign w:val="subscript"/>
        </w:rPr>
        <w:t>4</w:t>
      </w:r>
      <w:r>
        <w:rPr>
          <w:rFonts w:cs="Times New Roman"/>
          <w:sz w:val="24"/>
        </w:rPr>
        <w:t>·2H</w:t>
      </w:r>
      <w:r>
        <w:rPr>
          <w:rFonts w:cs="Times New Roman"/>
          <w:sz w:val="24"/>
          <w:vertAlign w:val="subscript"/>
        </w:rPr>
        <w:t>2</w:t>
      </w:r>
      <w:r>
        <w:rPr>
          <w:rFonts w:cs="Times New Roman"/>
          <w:sz w:val="24"/>
        </w:rPr>
        <w:t>O</w:t>
      </w:r>
      <w:r>
        <w:rPr>
          <w:rFonts w:cs="Times New Roman"/>
          <w:sz w:val="24"/>
        </w:rPr>
        <w:t>，分子量</w:t>
      </w:r>
      <w:r>
        <w:rPr>
          <w:rFonts w:cs="Times New Roman"/>
          <w:sz w:val="24"/>
        </w:rPr>
        <w:t>126.06</w:t>
      </w:r>
      <w:r>
        <w:rPr>
          <w:rFonts w:cs="Times New Roman"/>
          <w:sz w:val="24"/>
        </w:rPr>
        <w:t>。外观为无色单斜片状或棱柱体</w:t>
      </w:r>
      <w:r>
        <w:rPr>
          <w:rFonts w:cs="Times New Roman" w:hint="eastAsia"/>
          <w:sz w:val="24"/>
        </w:rPr>
        <w:t>结晶</w:t>
      </w:r>
      <w:r>
        <w:rPr>
          <w:rFonts w:cs="Times New Roman"/>
          <w:sz w:val="24"/>
        </w:rPr>
        <w:t>或白色粉末，熔点</w:t>
      </w:r>
      <w:r>
        <w:rPr>
          <w:rFonts w:cs="Times New Roman"/>
          <w:sz w:val="24"/>
        </w:rPr>
        <w:t>104-106℃℃</w:t>
      </w:r>
      <w:r>
        <w:rPr>
          <w:rFonts w:cs="Times New Roman"/>
          <w:sz w:val="24"/>
        </w:rPr>
        <w:t>、沸点</w:t>
      </w:r>
      <w:r>
        <w:rPr>
          <w:rFonts w:cs="Times New Roman"/>
          <w:sz w:val="24"/>
        </w:rPr>
        <w:t>108~109℃</w:t>
      </w:r>
      <w:r>
        <w:rPr>
          <w:rFonts w:cs="Times New Roman"/>
          <w:sz w:val="24"/>
        </w:rPr>
        <w:t>、闪点</w:t>
      </w:r>
      <w:r>
        <w:rPr>
          <w:rFonts w:cs="Times New Roman"/>
          <w:sz w:val="24"/>
        </w:rPr>
        <w:t>157℃</w:t>
      </w:r>
      <w:r>
        <w:rPr>
          <w:rFonts w:cs="Times New Roman"/>
          <w:sz w:val="24"/>
        </w:rPr>
        <w:t>、</w:t>
      </w:r>
      <w:r>
        <w:rPr>
          <w:rFonts w:cs="Times New Roman"/>
          <w:sz w:val="24"/>
        </w:rPr>
        <w:t>150~160℃</w:t>
      </w:r>
      <w:r>
        <w:rPr>
          <w:rFonts w:cs="Times New Roman"/>
          <w:sz w:val="24"/>
        </w:rPr>
        <w:t>升华。在高热干燥空气中能风化密度</w:t>
      </w:r>
      <w:r>
        <w:rPr>
          <w:rFonts w:cs="Times New Roman"/>
          <w:sz w:val="24"/>
        </w:rPr>
        <w:t>1.65g/cm</w:t>
      </w:r>
      <w:r>
        <w:rPr>
          <w:rFonts w:cs="Times New Roman"/>
          <w:sz w:val="24"/>
          <w:vertAlign w:val="superscript"/>
        </w:rPr>
        <w:t>3</w:t>
      </w:r>
      <w:r>
        <w:rPr>
          <w:rFonts w:cs="Times New Roman"/>
          <w:sz w:val="24"/>
        </w:rPr>
        <w:t>；溶于水、乙醇、乙醚，不溶于苯、</w:t>
      </w:r>
      <w:r>
        <w:rPr>
          <w:rFonts w:cs="Times New Roman" w:hint="eastAsia"/>
          <w:sz w:val="24"/>
        </w:rPr>
        <w:t>氯</w:t>
      </w:r>
      <w:r>
        <w:rPr>
          <w:rFonts w:cs="Times New Roman"/>
          <w:sz w:val="24"/>
        </w:rPr>
        <w:t>仿、石油醚等有机溶剂</w:t>
      </w:r>
      <w:bookmarkStart w:id="221" w:name="OLE_LINK34"/>
      <w:r>
        <w:rPr>
          <w:rFonts w:cs="Times New Roman"/>
          <w:sz w:val="24"/>
        </w:rPr>
        <w:t>；</w:t>
      </w:r>
      <w:bookmarkEnd w:id="221"/>
      <w:r>
        <w:rPr>
          <w:rFonts w:cs="Times New Roman"/>
          <w:sz w:val="24"/>
        </w:rPr>
        <w:t>低毒，半数致死量（免</w:t>
      </w:r>
      <w:r>
        <w:rPr>
          <w:rFonts w:cs="Times New Roman" w:hint="eastAsia"/>
          <w:sz w:val="24"/>
        </w:rPr>
        <w:t>，</w:t>
      </w:r>
      <w:r>
        <w:rPr>
          <w:rFonts w:cs="Times New Roman"/>
          <w:sz w:val="24"/>
        </w:rPr>
        <w:t>经皮）</w:t>
      </w:r>
      <w:r>
        <w:rPr>
          <w:rFonts w:cs="Times New Roman"/>
          <w:sz w:val="24"/>
        </w:rPr>
        <w:t>2000mg/kg</w:t>
      </w:r>
      <w:r>
        <w:rPr>
          <w:rFonts w:cs="Times New Roman"/>
          <w:sz w:val="24"/>
        </w:rPr>
        <w:t>。</w:t>
      </w:r>
    </w:p>
    <w:p w14:paraId="65095424" w14:textId="77777777" w:rsidR="003E78AB" w:rsidRDefault="00010BF9">
      <w:pPr>
        <w:pStyle w:val="aff2"/>
        <w:topLinePunct/>
        <w:spacing w:line="520" w:lineRule="exact"/>
        <w:ind w:firstLine="480"/>
        <w:rPr>
          <w:rFonts w:cs="Times New Roman"/>
          <w:sz w:val="24"/>
        </w:rPr>
      </w:pPr>
      <w:r>
        <w:rPr>
          <w:rFonts w:cs="Times New Roman"/>
          <w:sz w:val="24"/>
        </w:rPr>
        <w:t>本项目外购纯度为</w:t>
      </w:r>
      <w:r>
        <w:rPr>
          <w:rFonts w:cs="Times New Roman"/>
          <w:sz w:val="24"/>
        </w:rPr>
        <w:t>99.5%</w:t>
      </w:r>
      <w:r>
        <w:rPr>
          <w:rFonts w:cs="Times New Roman"/>
          <w:sz w:val="24"/>
        </w:rPr>
        <w:t>的成品二水草酸进行生产，其质量执行《工业用草酸》</w:t>
      </w:r>
      <w:r>
        <w:rPr>
          <w:rFonts w:cs="Times New Roman"/>
          <w:sz w:val="24"/>
        </w:rPr>
        <w:t>（</w:t>
      </w:r>
      <w:r>
        <w:rPr>
          <w:rFonts w:cs="Times New Roman"/>
          <w:sz w:val="24"/>
        </w:rPr>
        <w:t>GB/T1626-2008</w:t>
      </w:r>
      <w:r>
        <w:rPr>
          <w:rFonts w:cs="Times New Roman"/>
          <w:sz w:val="24"/>
        </w:rPr>
        <w:t>）标准。</w:t>
      </w:r>
    </w:p>
    <w:p w14:paraId="31EDE78F"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4</w:t>
      </w:r>
      <w:r>
        <w:rPr>
          <w:rFonts w:cs="Times New Roman"/>
          <w:sz w:val="24"/>
        </w:rPr>
        <w:t>）磷酸：又名正磷酸，是一种常见的无机酸，是中强酸，化学式为</w:t>
      </w:r>
      <w:r>
        <w:rPr>
          <w:rFonts w:cs="Times New Roman"/>
          <w:sz w:val="24"/>
        </w:rPr>
        <w:t>H</w:t>
      </w:r>
      <w:r>
        <w:rPr>
          <w:rFonts w:cs="Times New Roman"/>
          <w:sz w:val="24"/>
          <w:vertAlign w:val="subscript"/>
        </w:rPr>
        <w:t>3</w:t>
      </w:r>
      <w:r>
        <w:rPr>
          <w:rFonts w:cs="Times New Roman"/>
          <w:sz w:val="24"/>
        </w:rPr>
        <w:t>PO</w:t>
      </w:r>
      <w:r>
        <w:rPr>
          <w:rFonts w:cs="Times New Roman"/>
          <w:sz w:val="24"/>
          <w:vertAlign w:val="subscript"/>
        </w:rPr>
        <w:t>4</w:t>
      </w:r>
      <w:r>
        <w:rPr>
          <w:rFonts w:cs="Times New Roman"/>
          <w:sz w:val="24"/>
        </w:rPr>
        <w:t>，分子量为</w:t>
      </w:r>
      <w:r>
        <w:rPr>
          <w:rFonts w:cs="Times New Roman"/>
          <w:sz w:val="24"/>
        </w:rPr>
        <w:t>97.995</w:t>
      </w:r>
      <w:r>
        <w:rPr>
          <w:rFonts w:cs="Times New Roman"/>
          <w:sz w:val="24"/>
        </w:rPr>
        <w:t>。不易挥发、不易分解、几乎没有</w:t>
      </w:r>
      <w:bookmarkStart w:id="222" w:name="OLE_LINK33"/>
      <w:r>
        <w:rPr>
          <w:rFonts w:cs="Times New Roman"/>
          <w:sz w:val="24"/>
        </w:rPr>
        <w:t>氧</w:t>
      </w:r>
      <w:bookmarkEnd w:id="222"/>
      <w:r>
        <w:rPr>
          <w:rFonts w:cs="Times New Roman"/>
          <w:sz w:val="24"/>
        </w:rPr>
        <w:t>化性，是三元弱酸，其酸性比盐酸、硫酸、硝酸弱，但比醋酸、硼酸等强。磷酸在空气中容易潮解，加热会失水得到焦磷酸，再进一步失水得到偏磷酸。磷酸主要用于制药、食品、肥料等工业，包括作为防锈剂、食品添加剂、</w:t>
      </w:r>
      <w:r>
        <w:rPr>
          <w:rFonts w:cs="Times New Roman"/>
          <w:sz w:val="24"/>
        </w:rPr>
        <w:t>EDIC</w:t>
      </w:r>
      <w:r>
        <w:rPr>
          <w:rFonts w:cs="Times New Roman"/>
          <w:sz w:val="24"/>
        </w:rPr>
        <w:t>腐蚀剂、电解质、工业腐蚀剂、肥料的原料和组件家居清洁产品，也可用作化学试剂。</w:t>
      </w:r>
    </w:p>
    <w:p w14:paraId="0ED923CE" w14:textId="77777777" w:rsidR="003E78AB" w:rsidRDefault="00010BF9">
      <w:pPr>
        <w:pStyle w:val="31"/>
        <w:keepNext w:val="0"/>
        <w:keepLines w:val="0"/>
        <w:topLinePunct/>
        <w:spacing w:before="120"/>
      </w:pPr>
      <w:r>
        <w:t>3.1.5</w:t>
      </w:r>
      <w:r>
        <w:t>主要生产设备</w:t>
      </w:r>
    </w:p>
    <w:p w14:paraId="3B3F5AEC" w14:textId="77777777" w:rsidR="003E78AB" w:rsidRDefault="00010BF9">
      <w:pPr>
        <w:pStyle w:val="aff2"/>
        <w:topLinePunct/>
        <w:spacing w:line="520" w:lineRule="exact"/>
        <w:ind w:firstLine="480"/>
        <w:rPr>
          <w:rFonts w:cs="Times New Roman"/>
          <w:sz w:val="24"/>
        </w:rPr>
      </w:pPr>
      <w:r>
        <w:rPr>
          <w:rFonts w:cs="Times New Roman"/>
          <w:sz w:val="24"/>
        </w:rPr>
        <w:t>项目主要设备见</w:t>
      </w:r>
      <w:r>
        <w:rPr>
          <w:rFonts w:cs="Times New Roman"/>
          <w:sz w:val="24"/>
        </w:rPr>
        <w:fldChar w:fldCharType="begin"/>
      </w:r>
      <w:r>
        <w:rPr>
          <w:rFonts w:cs="Times New Roman"/>
          <w:sz w:val="24"/>
        </w:rPr>
        <w:instrText xml:space="preserve"> REF _Ref2186</w:instrText>
      </w:r>
      <w:r>
        <w:rPr>
          <w:rFonts w:cs="Times New Roman"/>
          <w:sz w:val="24"/>
        </w:rPr>
        <w:instrText xml:space="preserve">4 \r \h </w:instrText>
      </w:r>
      <w:r>
        <w:rPr>
          <w:rFonts w:cs="Times New Roman"/>
          <w:sz w:val="24"/>
        </w:rPr>
      </w:r>
      <w:r>
        <w:rPr>
          <w:rFonts w:cs="Times New Roman"/>
          <w:sz w:val="24"/>
        </w:rPr>
        <w:fldChar w:fldCharType="separate"/>
      </w:r>
      <w:r>
        <w:rPr>
          <w:rFonts w:cs="Times New Roman"/>
          <w:sz w:val="24"/>
        </w:rPr>
        <w:t>表</w:t>
      </w:r>
      <w:r>
        <w:rPr>
          <w:rFonts w:cs="Times New Roman"/>
          <w:sz w:val="24"/>
        </w:rPr>
        <w:t>3-7</w:t>
      </w:r>
      <w:r>
        <w:rPr>
          <w:rFonts w:cs="Times New Roman"/>
          <w:sz w:val="24"/>
        </w:rPr>
        <w:fldChar w:fldCharType="end"/>
      </w:r>
      <w:r>
        <w:rPr>
          <w:rFonts w:cs="Times New Roman"/>
          <w:sz w:val="24"/>
        </w:rPr>
        <w:t>。</w:t>
      </w:r>
    </w:p>
    <w:p w14:paraId="088FD559" w14:textId="77777777" w:rsidR="003E78AB" w:rsidRDefault="00010BF9">
      <w:pPr>
        <w:pStyle w:val="a1"/>
        <w:spacing w:line="520" w:lineRule="exact"/>
        <w:rPr>
          <w:spacing w:val="-1"/>
        </w:rPr>
      </w:pPr>
      <w:bookmarkStart w:id="223" w:name="_Ref21864"/>
      <w:r>
        <w:rPr>
          <w:spacing w:val="-1"/>
        </w:rPr>
        <w:t>项目主要设备一览表</w:t>
      </w:r>
      <w:bookmarkEnd w:id="223"/>
    </w:p>
    <w:p w14:paraId="10F860FF" w14:textId="77777777" w:rsidR="003E78AB" w:rsidRDefault="003E78AB">
      <w:pPr>
        <w:spacing w:line="22" w:lineRule="exact"/>
        <w:ind w:firstLine="480"/>
      </w:pPr>
    </w:p>
    <w:tbl>
      <w:tblPr>
        <w:tblStyle w:val="TableNormal"/>
        <w:tblW w:w="508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27"/>
        <w:gridCol w:w="946"/>
        <w:gridCol w:w="1414"/>
        <w:gridCol w:w="4214"/>
        <w:gridCol w:w="613"/>
        <w:gridCol w:w="554"/>
      </w:tblGrid>
      <w:tr w:rsidR="003E78AB" w14:paraId="0CC15477" w14:textId="77777777">
        <w:trPr>
          <w:trHeight w:val="781"/>
          <w:tblHeader/>
        </w:trPr>
        <w:tc>
          <w:tcPr>
            <w:tcW w:w="374" w:type="pct"/>
            <w:tcBorders>
              <w:top w:val="single" w:sz="2" w:space="0" w:color="000000"/>
              <w:bottom w:val="single" w:sz="2" w:space="0" w:color="000000"/>
            </w:tcBorders>
            <w:vAlign w:val="center"/>
          </w:tcPr>
          <w:p w14:paraId="23ADC9D1"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序号</w:t>
            </w:r>
          </w:p>
        </w:tc>
        <w:tc>
          <w:tcPr>
            <w:tcW w:w="565" w:type="pct"/>
            <w:tcBorders>
              <w:top w:val="single" w:sz="2" w:space="0" w:color="000000"/>
              <w:bottom w:val="single" w:sz="2" w:space="0" w:color="000000"/>
            </w:tcBorders>
            <w:vAlign w:val="center"/>
          </w:tcPr>
          <w:p w14:paraId="5D240CB9"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所在车间</w:t>
            </w:r>
          </w:p>
        </w:tc>
        <w:tc>
          <w:tcPr>
            <w:tcW w:w="845" w:type="pct"/>
            <w:tcBorders>
              <w:top w:val="single" w:sz="2" w:space="0" w:color="000000"/>
              <w:bottom w:val="single" w:sz="2" w:space="0" w:color="000000"/>
            </w:tcBorders>
            <w:vAlign w:val="center"/>
          </w:tcPr>
          <w:p w14:paraId="4B08FF1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设备名称</w:t>
            </w:r>
          </w:p>
        </w:tc>
        <w:tc>
          <w:tcPr>
            <w:tcW w:w="2517" w:type="pct"/>
            <w:tcBorders>
              <w:top w:val="single" w:sz="2" w:space="0" w:color="000000"/>
              <w:bottom w:val="single" w:sz="2" w:space="0" w:color="000000"/>
            </w:tcBorders>
            <w:vAlign w:val="center"/>
          </w:tcPr>
          <w:p w14:paraId="332E955B"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规格型号</w:t>
            </w:r>
          </w:p>
        </w:tc>
        <w:tc>
          <w:tcPr>
            <w:tcW w:w="366" w:type="pct"/>
            <w:tcBorders>
              <w:top w:val="single" w:sz="2" w:space="0" w:color="000000"/>
              <w:bottom w:val="single" w:sz="2" w:space="0" w:color="000000"/>
            </w:tcBorders>
            <w:vAlign w:val="center"/>
          </w:tcPr>
          <w:p w14:paraId="1D249DE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数量</w:t>
            </w:r>
          </w:p>
        </w:tc>
        <w:tc>
          <w:tcPr>
            <w:tcW w:w="331" w:type="pct"/>
            <w:tcBorders>
              <w:top w:val="single" w:sz="2" w:space="0" w:color="000000"/>
              <w:bottom w:val="single" w:sz="2" w:space="0" w:color="000000"/>
            </w:tcBorders>
            <w:vAlign w:val="center"/>
          </w:tcPr>
          <w:p w14:paraId="20CA523B"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所属工序</w:t>
            </w:r>
          </w:p>
        </w:tc>
      </w:tr>
      <w:bookmarkEnd w:id="219"/>
      <w:tr w:rsidR="003E78AB" w14:paraId="754FA921" w14:textId="77777777">
        <w:trPr>
          <w:trHeight w:val="472"/>
        </w:trPr>
        <w:tc>
          <w:tcPr>
            <w:tcW w:w="374" w:type="pct"/>
            <w:tcBorders>
              <w:top w:val="single" w:sz="2" w:space="0" w:color="000000"/>
              <w:bottom w:val="single" w:sz="2" w:space="0" w:color="000000"/>
            </w:tcBorders>
            <w:vAlign w:val="center"/>
          </w:tcPr>
          <w:p w14:paraId="6FD20117"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565" w:type="pct"/>
            <w:vMerge w:val="restart"/>
            <w:tcBorders>
              <w:top w:val="single" w:sz="2" w:space="0" w:color="000000"/>
            </w:tcBorders>
            <w:vAlign w:val="center"/>
          </w:tcPr>
          <w:p w14:paraId="6680C178" w14:textId="77777777" w:rsidR="003E78AB" w:rsidRDefault="00010BF9">
            <w:pPr>
              <w:spacing w:line="360" w:lineRule="exact"/>
              <w:ind w:firstLineChars="0" w:firstLine="0"/>
              <w:jc w:val="center"/>
              <w:textAlignment w:val="center"/>
              <w:rPr>
                <w:sz w:val="21"/>
                <w:szCs w:val="21"/>
                <w:lang w:bidi="ar"/>
              </w:rPr>
            </w:pPr>
            <w:r>
              <w:rPr>
                <w:sz w:val="21"/>
                <w:szCs w:val="21"/>
                <w:lang w:bidi="ar"/>
              </w:rPr>
              <w:t>生产车间一</w:t>
            </w:r>
          </w:p>
        </w:tc>
        <w:tc>
          <w:tcPr>
            <w:tcW w:w="845" w:type="pct"/>
            <w:tcBorders>
              <w:top w:val="single" w:sz="2" w:space="0" w:color="000000"/>
              <w:bottom w:val="single" w:sz="2" w:space="0" w:color="000000"/>
            </w:tcBorders>
            <w:vAlign w:val="center"/>
          </w:tcPr>
          <w:p w14:paraId="748B0B02" w14:textId="77777777" w:rsidR="003E78AB" w:rsidRDefault="00010BF9">
            <w:pPr>
              <w:spacing w:line="360" w:lineRule="exact"/>
              <w:ind w:firstLineChars="0" w:firstLine="0"/>
              <w:jc w:val="center"/>
              <w:textAlignment w:val="center"/>
              <w:rPr>
                <w:sz w:val="21"/>
                <w:szCs w:val="21"/>
                <w:lang w:bidi="ar"/>
              </w:rPr>
            </w:pPr>
            <w:r>
              <w:rPr>
                <w:sz w:val="21"/>
                <w:szCs w:val="21"/>
                <w:lang w:bidi="ar"/>
              </w:rPr>
              <w:t>五氧化二钒拆包机</w:t>
            </w:r>
          </w:p>
        </w:tc>
        <w:tc>
          <w:tcPr>
            <w:tcW w:w="2517" w:type="pct"/>
            <w:tcBorders>
              <w:top w:val="single" w:sz="2" w:space="0" w:color="000000"/>
              <w:bottom w:val="single" w:sz="2" w:space="0" w:color="000000"/>
            </w:tcBorders>
            <w:vAlign w:val="center"/>
          </w:tcPr>
          <w:p w14:paraId="15323395" w14:textId="77777777" w:rsidR="003E78AB" w:rsidRDefault="00010BF9">
            <w:pPr>
              <w:spacing w:line="360" w:lineRule="exact"/>
              <w:ind w:firstLineChars="0" w:firstLine="0"/>
              <w:jc w:val="center"/>
              <w:textAlignment w:val="center"/>
              <w:rPr>
                <w:sz w:val="21"/>
                <w:szCs w:val="21"/>
                <w:lang w:bidi="ar"/>
              </w:rPr>
            </w:pPr>
            <w:r>
              <w:rPr>
                <w:sz w:val="21"/>
                <w:szCs w:val="21"/>
                <w:lang w:bidi="ar"/>
              </w:rPr>
              <w:t>一小时</w:t>
            </w:r>
            <w:r>
              <w:rPr>
                <w:sz w:val="21"/>
                <w:szCs w:val="21"/>
                <w:lang w:bidi="ar"/>
              </w:rPr>
              <w:t>5</w:t>
            </w:r>
            <w:r>
              <w:rPr>
                <w:sz w:val="21"/>
                <w:szCs w:val="21"/>
                <w:lang w:bidi="ar"/>
              </w:rPr>
              <w:t>包（</w:t>
            </w:r>
            <w:r>
              <w:rPr>
                <w:sz w:val="21"/>
                <w:szCs w:val="21"/>
                <w:lang w:bidi="ar"/>
              </w:rPr>
              <w:t>1t</w:t>
            </w:r>
            <w:r>
              <w:rPr>
                <w:sz w:val="21"/>
                <w:szCs w:val="21"/>
                <w:lang w:bidi="ar"/>
              </w:rPr>
              <w:t>吨包，堆密度</w:t>
            </w:r>
            <w:r>
              <w:rPr>
                <w:sz w:val="21"/>
                <w:szCs w:val="21"/>
                <w:lang w:bidi="ar"/>
              </w:rPr>
              <w:t>0.8</w:t>
            </w:r>
            <w:r>
              <w:rPr>
                <w:sz w:val="21"/>
                <w:szCs w:val="21"/>
                <w:lang w:bidi="ar"/>
              </w:rPr>
              <w:t>），物料不与任何金属材质接触</w:t>
            </w:r>
          </w:p>
        </w:tc>
        <w:tc>
          <w:tcPr>
            <w:tcW w:w="366" w:type="pct"/>
            <w:tcBorders>
              <w:top w:val="single" w:sz="2" w:space="0" w:color="000000"/>
              <w:bottom w:val="single" w:sz="2" w:space="0" w:color="000000"/>
            </w:tcBorders>
            <w:vAlign w:val="center"/>
          </w:tcPr>
          <w:p w14:paraId="41F1855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w:t>
            </w:r>
          </w:p>
        </w:tc>
        <w:tc>
          <w:tcPr>
            <w:tcW w:w="331" w:type="pct"/>
            <w:vMerge w:val="restart"/>
            <w:tcBorders>
              <w:top w:val="single" w:sz="2" w:space="0" w:color="000000"/>
            </w:tcBorders>
            <w:vAlign w:val="center"/>
          </w:tcPr>
          <w:p w14:paraId="69943204" w14:textId="77777777" w:rsidR="003E78AB" w:rsidRDefault="00010BF9">
            <w:pPr>
              <w:spacing w:line="360" w:lineRule="exact"/>
              <w:ind w:firstLineChars="0" w:firstLine="0"/>
              <w:jc w:val="center"/>
              <w:textAlignment w:val="center"/>
              <w:rPr>
                <w:sz w:val="21"/>
                <w:szCs w:val="21"/>
                <w:lang w:bidi="ar"/>
              </w:rPr>
            </w:pPr>
            <w:r>
              <w:rPr>
                <w:sz w:val="21"/>
                <w:szCs w:val="21"/>
                <w:lang w:bidi="ar"/>
              </w:rPr>
              <w:t>拆包工序</w:t>
            </w:r>
          </w:p>
        </w:tc>
      </w:tr>
      <w:tr w:rsidR="003E78AB" w14:paraId="072EF36A" w14:textId="77777777">
        <w:trPr>
          <w:trHeight w:val="472"/>
        </w:trPr>
        <w:tc>
          <w:tcPr>
            <w:tcW w:w="374" w:type="pct"/>
            <w:tcBorders>
              <w:top w:val="single" w:sz="2" w:space="0" w:color="000000"/>
              <w:bottom w:val="single" w:sz="2" w:space="0" w:color="000000"/>
            </w:tcBorders>
            <w:vAlign w:val="center"/>
          </w:tcPr>
          <w:p w14:paraId="0C18437D"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565" w:type="pct"/>
            <w:vMerge/>
            <w:vAlign w:val="center"/>
          </w:tcPr>
          <w:p w14:paraId="19E1C67D"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588661B" w14:textId="77777777" w:rsidR="003E78AB" w:rsidRDefault="00010BF9">
            <w:pPr>
              <w:spacing w:line="360" w:lineRule="exact"/>
              <w:ind w:firstLineChars="0" w:firstLine="0"/>
              <w:jc w:val="center"/>
              <w:textAlignment w:val="center"/>
              <w:rPr>
                <w:sz w:val="21"/>
                <w:szCs w:val="21"/>
                <w:lang w:bidi="ar"/>
              </w:rPr>
            </w:pPr>
            <w:r>
              <w:rPr>
                <w:sz w:val="21"/>
                <w:szCs w:val="21"/>
                <w:lang w:bidi="ar"/>
              </w:rPr>
              <w:t>草酸拆包机</w:t>
            </w:r>
          </w:p>
        </w:tc>
        <w:tc>
          <w:tcPr>
            <w:tcW w:w="2517" w:type="pct"/>
            <w:tcBorders>
              <w:top w:val="single" w:sz="2" w:space="0" w:color="000000"/>
              <w:bottom w:val="single" w:sz="2" w:space="0" w:color="000000"/>
            </w:tcBorders>
            <w:vAlign w:val="center"/>
          </w:tcPr>
          <w:p w14:paraId="5CC1D23A" w14:textId="77777777" w:rsidR="003E78AB" w:rsidRDefault="00010BF9">
            <w:pPr>
              <w:spacing w:line="360" w:lineRule="exact"/>
              <w:ind w:firstLineChars="0" w:firstLine="0"/>
              <w:jc w:val="center"/>
              <w:textAlignment w:val="center"/>
              <w:rPr>
                <w:sz w:val="21"/>
                <w:szCs w:val="21"/>
                <w:lang w:bidi="ar"/>
              </w:rPr>
            </w:pPr>
            <w:r>
              <w:rPr>
                <w:sz w:val="21"/>
                <w:szCs w:val="21"/>
                <w:lang w:bidi="ar"/>
              </w:rPr>
              <w:t>一小时</w:t>
            </w:r>
            <w:r>
              <w:rPr>
                <w:sz w:val="21"/>
                <w:szCs w:val="21"/>
                <w:lang w:bidi="ar"/>
              </w:rPr>
              <w:t>5</w:t>
            </w:r>
            <w:r>
              <w:rPr>
                <w:sz w:val="21"/>
                <w:szCs w:val="21"/>
                <w:lang w:bidi="ar"/>
              </w:rPr>
              <w:t>包（</w:t>
            </w:r>
            <w:r>
              <w:rPr>
                <w:sz w:val="21"/>
                <w:szCs w:val="21"/>
                <w:lang w:bidi="ar"/>
              </w:rPr>
              <w:t>1t</w:t>
            </w:r>
            <w:r>
              <w:rPr>
                <w:sz w:val="21"/>
                <w:szCs w:val="21"/>
                <w:lang w:bidi="ar"/>
              </w:rPr>
              <w:t>吨包，堆密度</w:t>
            </w:r>
            <w:r>
              <w:rPr>
                <w:sz w:val="21"/>
                <w:szCs w:val="21"/>
                <w:lang w:bidi="ar"/>
              </w:rPr>
              <w:t>1</w:t>
            </w:r>
            <w:r>
              <w:rPr>
                <w:sz w:val="21"/>
                <w:szCs w:val="21"/>
                <w:lang w:bidi="ar"/>
              </w:rPr>
              <w:t>），物料不与任何金属材质接触</w:t>
            </w:r>
          </w:p>
        </w:tc>
        <w:tc>
          <w:tcPr>
            <w:tcW w:w="366" w:type="pct"/>
            <w:tcBorders>
              <w:top w:val="single" w:sz="2" w:space="0" w:color="000000"/>
              <w:bottom w:val="single" w:sz="2" w:space="0" w:color="000000"/>
            </w:tcBorders>
            <w:vAlign w:val="center"/>
          </w:tcPr>
          <w:p w14:paraId="12AAF2A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w:t>
            </w:r>
          </w:p>
        </w:tc>
        <w:tc>
          <w:tcPr>
            <w:tcW w:w="331" w:type="pct"/>
            <w:vMerge/>
            <w:vAlign w:val="center"/>
          </w:tcPr>
          <w:p w14:paraId="432BECF9" w14:textId="77777777" w:rsidR="003E78AB" w:rsidRDefault="003E78AB">
            <w:pPr>
              <w:spacing w:line="360" w:lineRule="exact"/>
              <w:ind w:firstLineChars="0" w:firstLine="0"/>
              <w:jc w:val="center"/>
              <w:textAlignment w:val="center"/>
              <w:rPr>
                <w:sz w:val="21"/>
                <w:szCs w:val="21"/>
                <w:lang w:bidi="ar"/>
              </w:rPr>
            </w:pPr>
          </w:p>
        </w:tc>
      </w:tr>
      <w:tr w:rsidR="003E78AB" w14:paraId="0B949B0F" w14:textId="77777777">
        <w:trPr>
          <w:trHeight w:val="315"/>
        </w:trPr>
        <w:tc>
          <w:tcPr>
            <w:tcW w:w="374" w:type="pct"/>
            <w:tcBorders>
              <w:top w:val="single" w:sz="2" w:space="0" w:color="000000"/>
              <w:bottom w:val="single" w:sz="2" w:space="0" w:color="000000"/>
            </w:tcBorders>
            <w:vAlign w:val="center"/>
          </w:tcPr>
          <w:p w14:paraId="2F3CCCA7"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565" w:type="pct"/>
            <w:vMerge/>
            <w:vAlign w:val="center"/>
          </w:tcPr>
          <w:p w14:paraId="4A83DD6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FD1EE92" w14:textId="77777777" w:rsidR="003E78AB" w:rsidRDefault="00010BF9">
            <w:pPr>
              <w:spacing w:line="360" w:lineRule="exact"/>
              <w:ind w:firstLineChars="0" w:firstLine="0"/>
              <w:jc w:val="center"/>
              <w:textAlignment w:val="center"/>
              <w:rPr>
                <w:sz w:val="21"/>
                <w:szCs w:val="21"/>
                <w:lang w:bidi="ar"/>
              </w:rPr>
            </w:pPr>
            <w:r>
              <w:rPr>
                <w:sz w:val="21"/>
                <w:szCs w:val="21"/>
                <w:lang w:bidi="ar"/>
              </w:rPr>
              <w:t>五氧化二钒料仓</w:t>
            </w:r>
          </w:p>
        </w:tc>
        <w:tc>
          <w:tcPr>
            <w:tcW w:w="2517" w:type="pct"/>
            <w:tcBorders>
              <w:top w:val="single" w:sz="2" w:space="0" w:color="000000"/>
              <w:bottom w:val="single" w:sz="2" w:space="0" w:color="000000"/>
            </w:tcBorders>
            <w:vAlign w:val="center"/>
          </w:tcPr>
          <w:p w14:paraId="73BA2051" w14:textId="77777777" w:rsidR="003E78AB" w:rsidRDefault="00010BF9">
            <w:pPr>
              <w:spacing w:line="360" w:lineRule="exact"/>
              <w:ind w:firstLineChars="0" w:firstLine="0"/>
              <w:jc w:val="center"/>
              <w:textAlignment w:val="center"/>
              <w:rPr>
                <w:sz w:val="21"/>
                <w:szCs w:val="21"/>
                <w:lang w:bidi="ar"/>
              </w:rPr>
            </w:pPr>
            <w:r>
              <w:rPr>
                <w:sz w:val="21"/>
                <w:szCs w:val="21"/>
                <w:lang w:bidi="ar"/>
              </w:rPr>
              <w:t>30m</w:t>
            </w:r>
            <w:r>
              <w:rPr>
                <w:sz w:val="21"/>
                <w:szCs w:val="21"/>
                <w:vertAlign w:val="superscript"/>
                <w:lang w:bidi="ar"/>
              </w:rPr>
              <w:t>3</w:t>
            </w:r>
            <w:r>
              <w:rPr>
                <w:sz w:val="21"/>
                <w:szCs w:val="21"/>
                <w:lang w:bidi="ar"/>
              </w:rPr>
              <w:t>，</w:t>
            </w:r>
            <w:r>
              <w:rPr>
                <w:sz w:val="21"/>
                <w:szCs w:val="21"/>
                <w:lang w:bidi="ar"/>
              </w:rPr>
              <w:t>DN3000×3600</w:t>
            </w:r>
            <w:r>
              <w:rPr>
                <w:sz w:val="21"/>
                <w:szCs w:val="21"/>
                <w:lang w:bidi="ar"/>
              </w:rPr>
              <w:t>，上封头、下锥底，</w:t>
            </w:r>
            <w:r>
              <w:rPr>
                <w:sz w:val="21"/>
                <w:szCs w:val="21"/>
                <w:lang w:bidi="ar"/>
              </w:rPr>
              <w:t>60°</w:t>
            </w:r>
            <w:r>
              <w:rPr>
                <w:sz w:val="21"/>
                <w:szCs w:val="21"/>
                <w:lang w:bidi="ar"/>
              </w:rPr>
              <w:t>，衬</w:t>
            </w:r>
            <w:r>
              <w:rPr>
                <w:sz w:val="21"/>
                <w:szCs w:val="21"/>
                <w:lang w:bidi="ar"/>
              </w:rPr>
              <w:t>PE</w:t>
            </w:r>
          </w:p>
        </w:tc>
        <w:tc>
          <w:tcPr>
            <w:tcW w:w="366" w:type="pct"/>
            <w:tcBorders>
              <w:top w:val="single" w:sz="2" w:space="0" w:color="000000"/>
              <w:bottom w:val="single" w:sz="2" w:space="0" w:color="000000"/>
            </w:tcBorders>
            <w:vAlign w:val="center"/>
          </w:tcPr>
          <w:p w14:paraId="4676B5FE"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5330A0C6" w14:textId="77777777" w:rsidR="003E78AB" w:rsidRDefault="003E78AB">
            <w:pPr>
              <w:spacing w:line="360" w:lineRule="exact"/>
              <w:ind w:firstLineChars="0" w:firstLine="0"/>
              <w:jc w:val="center"/>
              <w:textAlignment w:val="center"/>
              <w:rPr>
                <w:sz w:val="21"/>
                <w:szCs w:val="21"/>
                <w:lang w:bidi="ar"/>
              </w:rPr>
            </w:pPr>
          </w:p>
        </w:tc>
      </w:tr>
      <w:tr w:rsidR="003E78AB" w14:paraId="2E07F9B7" w14:textId="77777777">
        <w:trPr>
          <w:trHeight w:val="315"/>
        </w:trPr>
        <w:tc>
          <w:tcPr>
            <w:tcW w:w="374" w:type="pct"/>
            <w:tcBorders>
              <w:top w:val="single" w:sz="2" w:space="0" w:color="000000"/>
              <w:bottom w:val="single" w:sz="2" w:space="0" w:color="000000"/>
            </w:tcBorders>
            <w:vAlign w:val="center"/>
          </w:tcPr>
          <w:p w14:paraId="5F0D3ABB"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565" w:type="pct"/>
            <w:vMerge/>
            <w:vAlign w:val="center"/>
          </w:tcPr>
          <w:p w14:paraId="1992FF30"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7549374" w14:textId="77777777" w:rsidR="003E78AB" w:rsidRDefault="00010BF9">
            <w:pPr>
              <w:spacing w:line="360" w:lineRule="exact"/>
              <w:ind w:firstLineChars="0" w:firstLine="0"/>
              <w:jc w:val="center"/>
              <w:textAlignment w:val="center"/>
              <w:rPr>
                <w:sz w:val="21"/>
                <w:szCs w:val="21"/>
                <w:lang w:bidi="ar"/>
              </w:rPr>
            </w:pPr>
            <w:r>
              <w:rPr>
                <w:sz w:val="21"/>
                <w:szCs w:val="21"/>
                <w:lang w:bidi="ar"/>
              </w:rPr>
              <w:t>草酸料仓</w:t>
            </w:r>
          </w:p>
        </w:tc>
        <w:tc>
          <w:tcPr>
            <w:tcW w:w="2517" w:type="pct"/>
            <w:tcBorders>
              <w:top w:val="single" w:sz="2" w:space="0" w:color="000000"/>
              <w:bottom w:val="single" w:sz="2" w:space="0" w:color="000000"/>
            </w:tcBorders>
            <w:vAlign w:val="center"/>
          </w:tcPr>
          <w:p w14:paraId="42A999C3" w14:textId="77777777" w:rsidR="003E78AB" w:rsidRDefault="00010BF9">
            <w:pPr>
              <w:spacing w:line="360" w:lineRule="exact"/>
              <w:ind w:firstLineChars="0" w:firstLine="0"/>
              <w:jc w:val="center"/>
              <w:textAlignment w:val="center"/>
              <w:rPr>
                <w:sz w:val="21"/>
                <w:szCs w:val="21"/>
                <w:lang w:bidi="ar"/>
              </w:rPr>
            </w:pPr>
            <w:r>
              <w:rPr>
                <w:sz w:val="21"/>
                <w:szCs w:val="21"/>
                <w:lang w:bidi="ar"/>
              </w:rPr>
              <w:t>30m</w:t>
            </w:r>
            <w:r>
              <w:rPr>
                <w:sz w:val="21"/>
                <w:szCs w:val="21"/>
                <w:vertAlign w:val="superscript"/>
                <w:lang w:bidi="ar"/>
              </w:rPr>
              <w:t>3</w:t>
            </w:r>
            <w:r>
              <w:rPr>
                <w:sz w:val="21"/>
                <w:szCs w:val="21"/>
                <w:lang w:bidi="ar"/>
              </w:rPr>
              <w:t>，</w:t>
            </w:r>
            <w:r>
              <w:rPr>
                <w:sz w:val="21"/>
                <w:szCs w:val="21"/>
                <w:lang w:bidi="ar"/>
              </w:rPr>
              <w:t>DN3000×3600</w:t>
            </w:r>
            <w:r>
              <w:rPr>
                <w:sz w:val="21"/>
                <w:szCs w:val="21"/>
                <w:lang w:bidi="ar"/>
              </w:rPr>
              <w:t>，上封头、下锥底，</w:t>
            </w:r>
            <w:r>
              <w:rPr>
                <w:sz w:val="21"/>
                <w:szCs w:val="21"/>
                <w:lang w:bidi="ar"/>
              </w:rPr>
              <w:t>60°</w:t>
            </w:r>
            <w:r>
              <w:rPr>
                <w:sz w:val="21"/>
                <w:szCs w:val="21"/>
                <w:lang w:bidi="ar"/>
              </w:rPr>
              <w:t>，钢衬</w:t>
            </w:r>
            <w:r>
              <w:rPr>
                <w:sz w:val="21"/>
                <w:szCs w:val="21"/>
                <w:lang w:bidi="ar"/>
              </w:rPr>
              <w:t>PE</w:t>
            </w:r>
          </w:p>
        </w:tc>
        <w:tc>
          <w:tcPr>
            <w:tcW w:w="366" w:type="pct"/>
            <w:tcBorders>
              <w:top w:val="single" w:sz="2" w:space="0" w:color="000000"/>
              <w:bottom w:val="single" w:sz="2" w:space="0" w:color="000000"/>
            </w:tcBorders>
            <w:vAlign w:val="center"/>
          </w:tcPr>
          <w:p w14:paraId="7F7CB8C2"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2" w:space="0" w:color="000000"/>
            </w:tcBorders>
            <w:vAlign w:val="center"/>
          </w:tcPr>
          <w:p w14:paraId="6EC8F265" w14:textId="77777777" w:rsidR="003E78AB" w:rsidRDefault="003E78AB">
            <w:pPr>
              <w:spacing w:line="360" w:lineRule="exact"/>
              <w:ind w:firstLineChars="0" w:firstLine="0"/>
              <w:jc w:val="center"/>
              <w:textAlignment w:val="center"/>
              <w:rPr>
                <w:sz w:val="21"/>
                <w:szCs w:val="21"/>
                <w:lang w:bidi="ar"/>
              </w:rPr>
            </w:pPr>
          </w:p>
        </w:tc>
      </w:tr>
      <w:tr w:rsidR="003E78AB" w14:paraId="1BFFE95C" w14:textId="77777777">
        <w:trPr>
          <w:trHeight w:val="472"/>
        </w:trPr>
        <w:tc>
          <w:tcPr>
            <w:tcW w:w="374" w:type="pct"/>
            <w:tcBorders>
              <w:top w:val="single" w:sz="2" w:space="0" w:color="000000"/>
              <w:bottom w:val="single" w:sz="2" w:space="0" w:color="000000"/>
            </w:tcBorders>
            <w:vAlign w:val="center"/>
          </w:tcPr>
          <w:p w14:paraId="0303A00D" w14:textId="77777777" w:rsidR="003E78AB" w:rsidRDefault="00010BF9">
            <w:pPr>
              <w:spacing w:line="360" w:lineRule="exact"/>
              <w:ind w:firstLineChars="0" w:firstLine="0"/>
              <w:jc w:val="center"/>
              <w:textAlignment w:val="center"/>
              <w:rPr>
                <w:sz w:val="21"/>
                <w:szCs w:val="21"/>
                <w:lang w:bidi="ar"/>
              </w:rPr>
            </w:pPr>
            <w:r>
              <w:rPr>
                <w:sz w:val="21"/>
                <w:szCs w:val="21"/>
                <w:lang w:bidi="ar"/>
              </w:rPr>
              <w:t>5</w:t>
            </w:r>
          </w:p>
        </w:tc>
        <w:tc>
          <w:tcPr>
            <w:tcW w:w="565" w:type="pct"/>
            <w:vMerge/>
            <w:vAlign w:val="center"/>
          </w:tcPr>
          <w:p w14:paraId="3D1FB98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51D9A10" w14:textId="77777777" w:rsidR="003E78AB" w:rsidRDefault="00010BF9">
            <w:pPr>
              <w:spacing w:line="360" w:lineRule="exact"/>
              <w:ind w:firstLineChars="0" w:firstLine="0"/>
              <w:jc w:val="center"/>
              <w:textAlignment w:val="center"/>
              <w:rPr>
                <w:sz w:val="21"/>
                <w:szCs w:val="21"/>
                <w:lang w:bidi="ar"/>
              </w:rPr>
            </w:pPr>
            <w:r>
              <w:rPr>
                <w:sz w:val="21"/>
                <w:szCs w:val="21"/>
                <w:lang w:bidi="ar"/>
              </w:rPr>
              <w:t>五氧化二钒计量料仓</w:t>
            </w:r>
          </w:p>
        </w:tc>
        <w:tc>
          <w:tcPr>
            <w:tcW w:w="2517" w:type="pct"/>
            <w:tcBorders>
              <w:top w:val="single" w:sz="2" w:space="0" w:color="000000"/>
              <w:bottom w:val="single" w:sz="2" w:space="0" w:color="000000"/>
            </w:tcBorders>
            <w:vAlign w:val="center"/>
          </w:tcPr>
          <w:p w14:paraId="5BAC0165" w14:textId="77777777" w:rsidR="003E78AB" w:rsidRDefault="00010BF9">
            <w:pPr>
              <w:spacing w:line="360" w:lineRule="exact"/>
              <w:ind w:firstLineChars="0" w:firstLine="0"/>
              <w:jc w:val="center"/>
              <w:textAlignment w:val="center"/>
              <w:rPr>
                <w:sz w:val="21"/>
                <w:szCs w:val="21"/>
                <w:lang w:bidi="ar"/>
              </w:rPr>
            </w:pPr>
            <w:r>
              <w:rPr>
                <w:sz w:val="21"/>
                <w:szCs w:val="21"/>
                <w:lang w:bidi="ar"/>
              </w:rPr>
              <w:t>2m</w:t>
            </w:r>
            <w:r>
              <w:rPr>
                <w:sz w:val="21"/>
                <w:szCs w:val="21"/>
                <w:vertAlign w:val="superscript"/>
                <w:lang w:bidi="ar"/>
              </w:rPr>
              <w:t>3</w:t>
            </w:r>
            <w:r>
              <w:rPr>
                <w:sz w:val="21"/>
                <w:szCs w:val="21"/>
                <w:lang w:bidi="ar"/>
              </w:rPr>
              <w:t>，</w:t>
            </w:r>
            <w:r>
              <w:rPr>
                <w:sz w:val="21"/>
                <w:szCs w:val="21"/>
                <w:lang w:bidi="ar"/>
              </w:rPr>
              <w:t>DN1200×1500</w:t>
            </w:r>
            <w:r>
              <w:rPr>
                <w:sz w:val="21"/>
                <w:szCs w:val="21"/>
                <w:lang w:bidi="ar"/>
              </w:rPr>
              <w:t>，上封头、下锥底，</w:t>
            </w:r>
            <w:r>
              <w:rPr>
                <w:sz w:val="21"/>
                <w:szCs w:val="21"/>
                <w:lang w:bidi="ar"/>
              </w:rPr>
              <w:t>60°</w:t>
            </w:r>
            <w:r>
              <w:rPr>
                <w:sz w:val="21"/>
                <w:szCs w:val="21"/>
                <w:lang w:bidi="ar"/>
              </w:rPr>
              <w:t>带称重模块，出料口装星型卸料阀，衬</w:t>
            </w:r>
            <w:r>
              <w:rPr>
                <w:sz w:val="21"/>
                <w:szCs w:val="21"/>
                <w:lang w:bidi="ar"/>
              </w:rPr>
              <w:t>PTFE</w:t>
            </w:r>
          </w:p>
        </w:tc>
        <w:tc>
          <w:tcPr>
            <w:tcW w:w="366" w:type="pct"/>
            <w:tcBorders>
              <w:top w:val="single" w:sz="2" w:space="0" w:color="000000"/>
              <w:bottom w:val="single" w:sz="2" w:space="0" w:color="000000"/>
            </w:tcBorders>
            <w:vAlign w:val="center"/>
          </w:tcPr>
          <w:p w14:paraId="70BE789F" w14:textId="77777777" w:rsidR="003E78AB" w:rsidRDefault="00010BF9">
            <w:pPr>
              <w:spacing w:line="360" w:lineRule="exact"/>
              <w:ind w:firstLineChars="0" w:firstLine="0"/>
              <w:jc w:val="center"/>
              <w:textAlignment w:val="center"/>
              <w:rPr>
                <w:sz w:val="21"/>
                <w:szCs w:val="21"/>
                <w:lang w:bidi="ar"/>
              </w:rPr>
            </w:pPr>
            <w:r>
              <w:rPr>
                <w:sz w:val="21"/>
                <w:szCs w:val="21"/>
                <w:lang w:bidi="ar"/>
              </w:rPr>
              <w:t>12</w:t>
            </w:r>
          </w:p>
        </w:tc>
        <w:tc>
          <w:tcPr>
            <w:tcW w:w="331" w:type="pct"/>
            <w:vMerge w:val="restart"/>
            <w:tcBorders>
              <w:top w:val="single" w:sz="2" w:space="0" w:color="000000"/>
            </w:tcBorders>
            <w:vAlign w:val="center"/>
          </w:tcPr>
          <w:p w14:paraId="56267268" w14:textId="77777777" w:rsidR="003E78AB" w:rsidRDefault="00010BF9">
            <w:pPr>
              <w:spacing w:line="360" w:lineRule="exact"/>
              <w:ind w:firstLineChars="0" w:firstLine="0"/>
              <w:jc w:val="center"/>
              <w:textAlignment w:val="center"/>
              <w:rPr>
                <w:sz w:val="21"/>
                <w:szCs w:val="21"/>
                <w:lang w:bidi="ar"/>
              </w:rPr>
            </w:pPr>
            <w:r>
              <w:rPr>
                <w:sz w:val="21"/>
                <w:szCs w:val="21"/>
                <w:lang w:bidi="ar"/>
              </w:rPr>
              <w:t>溶解还原工序</w:t>
            </w:r>
          </w:p>
        </w:tc>
      </w:tr>
      <w:tr w:rsidR="003E78AB" w14:paraId="7370F24C" w14:textId="77777777">
        <w:trPr>
          <w:trHeight w:val="470"/>
        </w:trPr>
        <w:tc>
          <w:tcPr>
            <w:tcW w:w="374" w:type="pct"/>
            <w:tcBorders>
              <w:top w:val="single" w:sz="2" w:space="0" w:color="000000"/>
              <w:bottom w:val="single" w:sz="2" w:space="0" w:color="000000"/>
            </w:tcBorders>
            <w:vAlign w:val="center"/>
          </w:tcPr>
          <w:p w14:paraId="43A81F46" w14:textId="77777777" w:rsidR="003E78AB" w:rsidRDefault="00010BF9">
            <w:pPr>
              <w:spacing w:line="360" w:lineRule="exact"/>
              <w:ind w:firstLineChars="0" w:firstLine="0"/>
              <w:jc w:val="center"/>
              <w:textAlignment w:val="center"/>
              <w:rPr>
                <w:sz w:val="21"/>
                <w:szCs w:val="21"/>
                <w:lang w:bidi="ar"/>
              </w:rPr>
            </w:pPr>
            <w:r>
              <w:rPr>
                <w:sz w:val="21"/>
                <w:szCs w:val="21"/>
                <w:lang w:bidi="ar"/>
              </w:rPr>
              <w:t>6</w:t>
            </w:r>
          </w:p>
        </w:tc>
        <w:tc>
          <w:tcPr>
            <w:tcW w:w="565" w:type="pct"/>
            <w:vMerge/>
            <w:vAlign w:val="center"/>
          </w:tcPr>
          <w:p w14:paraId="23C4AAC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4AD77E49" w14:textId="77777777" w:rsidR="003E78AB" w:rsidRDefault="00010BF9">
            <w:pPr>
              <w:spacing w:line="360" w:lineRule="exact"/>
              <w:ind w:firstLineChars="0" w:firstLine="0"/>
              <w:jc w:val="center"/>
              <w:textAlignment w:val="center"/>
              <w:rPr>
                <w:sz w:val="21"/>
                <w:szCs w:val="21"/>
                <w:lang w:bidi="ar"/>
              </w:rPr>
            </w:pPr>
            <w:r>
              <w:rPr>
                <w:sz w:val="21"/>
                <w:szCs w:val="21"/>
                <w:lang w:bidi="ar"/>
              </w:rPr>
              <w:t>草酸计量料仓</w:t>
            </w:r>
          </w:p>
        </w:tc>
        <w:tc>
          <w:tcPr>
            <w:tcW w:w="2517" w:type="pct"/>
            <w:tcBorders>
              <w:top w:val="single" w:sz="2" w:space="0" w:color="000000"/>
              <w:bottom w:val="single" w:sz="2" w:space="0" w:color="000000"/>
            </w:tcBorders>
            <w:vAlign w:val="center"/>
          </w:tcPr>
          <w:p w14:paraId="48149DFF" w14:textId="77777777" w:rsidR="003E78AB" w:rsidRDefault="00010BF9">
            <w:pPr>
              <w:spacing w:line="360" w:lineRule="exact"/>
              <w:ind w:firstLineChars="0" w:firstLine="0"/>
              <w:jc w:val="center"/>
              <w:textAlignment w:val="center"/>
              <w:rPr>
                <w:sz w:val="21"/>
                <w:szCs w:val="21"/>
                <w:lang w:bidi="ar"/>
              </w:rPr>
            </w:pPr>
            <w:r>
              <w:rPr>
                <w:sz w:val="21"/>
                <w:szCs w:val="21"/>
                <w:lang w:bidi="ar"/>
              </w:rPr>
              <w:t>1m</w:t>
            </w:r>
            <w:r>
              <w:rPr>
                <w:sz w:val="21"/>
                <w:szCs w:val="21"/>
                <w:vertAlign w:val="superscript"/>
                <w:lang w:bidi="ar"/>
              </w:rPr>
              <w:t>3</w:t>
            </w:r>
            <w:r>
              <w:rPr>
                <w:sz w:val="21"/>
                <w:szCs w:val="21"/>
                <w:lang w:bidi="ar"/>
              </w:rPr>
              <w:t>，</w:t>
            </w:r>
            <w:r>
              <w:rPr>
                <w:sz w:val="21"/>
                <w:szCs w:val="21"/>
                <w:lang w:bidi="ar"/>
              </w:rPr>
              <w:t>DN1000×1000</w:t>
            </w:r>
            <w:r>
              <w:rPr>
                <w:sz w:val="21"/>
                <w:szCs w:val="21"/>
                <w:lang w:bidi="ar"/>
              </w:rPr>
              <w:t>，上封头、下锥底，</w:t>
            </w:r>
            <w:r>
              <w:rPr>
                <w:sz w:val="21"/>
                <w:szCs w:val="21"/>
                <w:lang w:bidi="ar"/>
              </w:rPr>
              <w:t>60°</w:t>
            </w:r>
            <w:r>
              <w:rPr>
                <w:sz w:val="21"/>
                <w:szCs w:val="21"/>
                <w:lang w:bidi="ar"/>
              </w:rPr>
              <w:t>带称重模块，出料口装星型卸料阀，衬</w:t>
            </w:r>
            <w:r>
              <w:rPr>
                <w:sz w:val="21"/>
                <w:szCs w:val="21"/>
                <w:lang w:bidi="ar"/>
              </w:rPr>
              <w:t>PTFE</w:t>
            </w:r>
          </w:p>
        </w:tc>
        <w:tc>
          <w:tcPr>
            <w:tcW w:w="366" w:type="pct"/>
            <w:tcBorders>
              <w:top w:val="single" w:sz="2" w:space="0" w:color="000000"/>
              <w:bottom w:val="single" w:sz="2" w:space="0" w:color="000000"/>
            </w:tcBorders>
            <w:vAlign w:val="center"/>
          </w:tcPr>
          <w:p w14:paraId="59FE138E" w14:textId="77777777" w:rsidR="003E78AB" w:rsidRDefault="00010BF9">
            <w:pPr>
              <w:spacing w:line="360" w:lineRule="exact"/>
              <w:ind w:firstLineChars="0" w:firstLine="0"/>
              <w:jc w:val="center"/>
              <w:textAlignment w:val="center"/>
              <w:rPr>
                <w:sz w:val="21"/>
                <w:szCs w:val="21"/>
                <w:lang w:bidi="ar"/>
              </w:rPr>
            </w:pPr>
            <w:r>
              <w:rPr>
                <w:sz w:val="21"/>
                <w:szCs w:val="21"/>
                <w:lang w:bidi="ar"/>
              </w:rPr>
              <w:t>12</w:t>
            </w:r>
          </w:p>
        </w:tc>
        <w:tc>
          <w:tcPr>
            <w:tcW w:w="331" w:type="pct"/>
            <w:vMerge/>
            <w:vAlign w:val="center"/>
          </w:tcPr>
          <w:p w14:paraId="03411937" w14:textId="77777777" w:rsidR="003E78AB" w:rsidRDefault="003E78AB">
            <w:pPr>
              <w:spacing w:line="360" w:lineRule="exact"/>
              <w:ind w:firstLineChars="0" w:firstLine="0"/>
              <w:jc w:val="center"/>
              <w:textAlignment w:val="center"/>
              <w:rPr>
                <w:sz w:val="21"/>
                <w:szCs w:val="21"/>
                <w:lang w:bidi="ar"/>
              </w:rPr>
            </w:pPr>
          </w:p>
        </w:tc>
      </w:tr>
      <w:tr w:rsidR="003E78AB" w14:paraId="1DDD57F8" w14:textId="77777777">
        <w:trPr>
          <w:trHeight w:val="90"/>
        </w:trPr>
        <w:tc>
          <w:tcPr>
            <w:tcW w:w="374" w:type="pct"/>
            <w:tcBorders>
              <w:top w:val="single" w:sz="2" w:space="0" w:color="000000"/>
              <w:bottom w:val="single" w:sz="2" w:space="0" w:color="000000"/>
            </w:tcBorders>
            <w:vAlign w:val="center"/>
          </w:tcPr>
          <w:p w14:paraId="4F0C4AF7" w14:textId="77777777" w:rsidR="003E78AB" w:rsidRDefault="00010BF9">
            <w:pPr>
              <w:spacing w:line="360" w:lineRule="exact"/>
              <w:ind w:firstLineChars="0" w:firstLine="0"/>
              <w:jc w:val="center"/>
              <w:textAlignment w:val="center"/>
              <w:rPr>
                <w:sz w:val="21"/>
                <w:szCs w:val="21"/>
                <w:lang w:bidi="ar"/>
              </w:rPr>
            </w:pPr>
            <w:r>
              <w:rPr>
                <w:sz w:val="21"/>
                <w:szCs w:val="21"/>
                <w:lang w:bidi="ar"/>
              </w:rPr>
              <w:t>7</w:t>
            </w:r>
          </w:p>
        </w:tc>
        <w:tc>
          <w:tcPr>
            <w:tcW w:w="565" w:type="pct"/>
            <w:vMerge/>
            <w:vAlign w:val="center"/>
          </w:tcPr>
          <w:p w14:paraId="25A4D227"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F1EF5A3" w14:textId="77777777" w:rsidR="003E78AB" w:rsidRDefault="00010BF9">
            <w:pPr>
              <w:spacing w:line="360" w:lineRule="exact"/>
              <w:ind w:firstLineChars="0" w:firstLine="0"/>
              <w:jc w:val="center"/>
              <w:textAlignment w:val="center"/>
              <w:rPr>
                <w:sz w:val="21"/>
                <w:szCs w:val="21"/>
                <w:lang w:bidi="ar"/>
              </w:rPr>
            </w:pPr>
            <w:r>
              <w:rPr>
                <w:sz w:val="21"/>
                <w:szCs w:val="21"/>
                <w:lang w:bidi="ar"/>
              </w:rPr>
              <w:t>溶解还原釜</w:t>
            </w:r>
          </w:p>
        </w:tc>
        <w:tc>
          <w:tcPr>
            <w:tcW w:w="2517" w:type="pct"/>
            <w:tcBorders>
              <w:top w:val="single" w:sz="2" w:space="0" w:color="000000"/>
              <w:bottom w:val="single" w:sz="2" w:space="0" w:color="000000"/>
            </w:tcBorders>
            <w:vAlign w:val="center"/>
          </w:tcPr>
          <w:p w14:paraId="21C25565" w14:textId="77777777" w:rsidR="003E78AB" w:rsidRDefault="00010BF9">
            <w:pPr>
              <w:spacing w:line="360" w:lineRule="exact"/>
              <w:ind w:firstLineChars="0" w:firstLine="0"/>
              <w:jc w:val="center"/>
              <w:textAlignment w:val="center"/>
              <w:rPr>
                <w:sz w:val="21"/>
                <w:szCs w:val="21"/>
                <w:lang w:bidi="ar"/>
              </w:rPr>
            </w:pPr>
            <w:r>
              <w:rPr>
                <w:sz w:val="21"/>
                <w:szCs w:val="21"/>
                <w:lang w:bidi="ar"/>
              </w:rPr>
              <w:t>10m</w:t>
            </w:r>
            <w:r>
              <w:rPr>
                <w:sz w:val="21"/>
                <w:szCs w:val="21"/>
                <w:vertAlign w:val="superscript"/>
                <w:lang w:bidi="ar"/>
              </w:rPr>
              <w:t>3</w:t>
            </w:r>
            <w:r>
              <w:rPr>
                <w:sz w:val="21"/>
                <w:szCs w:val="21"/>
                <w:lang w:bidi="ar"/>
              </w:rPr>
              <w:t>搪瓷釜，外夹套接</w:t>
            </w:r>
            <w:r>
              <w:rPr>
                <w:sz w:val="21"/>
                <w:szCs w:val="21"/>
                <w:lang w:bidi="ar"/>
              </w:rPr>
              <w:t>7℃</w:t>
            </w:r>
            <w:r>
              <w:rPr>
                <w:sz w:val="21"/>
                <w:szCs w:val="21"/>
                <w:lang w:bidi="ar"/>
              </w:rPr>
              <w:t>水，带搅拌，锚式搅拌，</w:t>
            </w:r>
            <w:r>
              <w:rPr>
                <w:sz w:val="21"/>
                <w:szCs w:val="21"/>
                <w:lang w:bidi="ar"/>
              </w:rPr>
              <w:t>30r/min</w:t>
            </w:r>
            <w:r>
              <w:rPr>
                <w:sz w:val="21"/>
                <w:szCs w:val="21"/>
                <w:lang w:bidi="ar"/>
              </w:rPr>
              <w:t>变频，反应温度</w:t>
            </w:r>
            <w:r>
              <w:rPr>
                <w:sz w:val="21"/>
                <w:szCs w:val="21"/>
                <w:lang w:bidi="ar"/>
              </w:rPr>
              <w:t>80℃</w:t>
            </w:r>
            <w:r>
              <w:rPr>
                <w:sz w:val="21"/>
                <w:szCs w:val="21"/>
                <w:lang w:bidi="ar"/>
              </w:rPr>
              <w:t>，微正压，排气采用呼吸阀，进空气管道加过滤器，将物料降温至</w:t>
            </w:r>
            <w:r>
              <w:rPr>
                <w:sz w:val="21"/>
                <w:szCs w:val="21"/>
                <w:lang w:bidi="ar"/>
              </w:rPr>
              <w:t>30℃</w:t>
            </w:r>
          </w:p>
        </w:tc>
        <w:tc>
          <w:tcPr>
            <w:tcW w:w="366" w:type="pct"/>
            <w:tcBorders>
              <w:top w:val="single" w:sz="2" w:space="0" w:color="000000"/>
              <w:bottom w:val="single" w:sz="2" w:space="0" w:color="000000"/>
            </w:tcBorders>
            <w:vAlign w:val="center"/>
          </w:tcPr>
          <w:p w14:paraId="3752BBBD" w14:textId="77777777" w:rsidR="003E78AB" w:rsidRDefault="00010BF9">
            <w:pPr>
              <w:spacing w:line="360" w:lineRule="exact"/>
              <w:ind w:firstLineChars="0" w:firstLine="0"/>
              <w:jc w:val="center"/>
              <w:textAlignment w:val="center"/>
              <w:rPr>
                <w:sz w:val="21"/>
                <w:szCs w:val="21"/>
                <w:lang w:bidi="ar"/>
              </w:rPr>
            </w:pPr>
            <w:r>
              <w:rPr>
                <w:sz w:val="21"/>
                <w:szCs w:val="21"/>
                <w:lang w:bidi="ar"/>
              </w:rPr>
              <w:t>12</w:t>
            </w:r>
          </w:p>
        </w:tc>
        <w:tc>
          <w:tcPr>
            <w:tcW w:w="331" w:type="pct"/>
            <w:vMerge/>
            <w:vAlign w:val="center"/>
          </w:tcPr>
          <w:p w14:paraId="7BF91667" w14:textId="77777777" w:rsidR="003E78AB" w:rsidRDefault="003E78AB">
            <w:pPr>
              <w:spacing w:line="360" w:lineRule="exact"/>
              <w:ind w:firstLineChars="0" w:firstLine="0"/>
              <w:jc w:val="center"/>
              <w:textAlignment w:val="center"/>
              <w:rPr>
                <w:sz w:val="21"/>
                <w:szCs w:val="21"/>
                <w:lang w:bidi="ar"/>
              </w:rPr>
            </w:pPr>
          </w:p>
        </w:tc>
      </w:tr>
      <w:tr w:rsidR="003E78AB" w14:paraId="21E585FC" w14:textId="77777777">
        <w:trPr>
          <w:trHeight w:val="704"/>
        </w:trPr>
        <w:tc>
          <w:tcPr>
            <w:tcW w:w="374" w:type="pct"/>
            <w:tcBorders>
              <w:top w:val="single" w:sz="2" w:space="0" w:color="000000"/>
              <w:bottom w:val="single" w:sz="2" w:space="0" w:color="000000"/>
            </w:tcBorders>
            <w:vAlign w:val="center"/>
          </w:tcPr>
          <w:p w14:paraId="4F8483F5" w14:textId="77777777" w:rsidR="003E78AB" w:rsidRDefault="00010BF9">
            <w:pPr>
              <w:spacing w:line="360" w:lineRule="exact"/>
              <w:ind w:firstLineChars="0" w:firstLine="0"/>
              <w:jc w:val="center"/>
              <w:textAlignment w:val="center"/>
              <w:rPr>
                <w:sz w:val="21"/>
                <w:szCs w:val="21"/>
                <w:lang w:bidi="ar"/>
              </w:rPr>
            </w:pPr>
            <w:r>
              <w:rPr>
                <w:sz w:val="21"/>
                <w:szCs w:val="21"/>
                <w:lang w:bidi="ar"/>
              </w:rPr>
              <w:t>8</w:t>
            </w:r>
          </w:p>
        </w:tc>
        <w:tc>
          <w:tcPr>
            <w:tcW w:w="565" w:type="pct"/>
            <w:vMerge/>
            <w:vAlign w:val="center"/>
          </w:tcPr>
          <w:p w14:paraId="29C7370E"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A97E0E3" w14:textId="77777777" w:rsidR="003E78AB" w:rsidRDefault="00010BF9">
            <w:pPr>
              <w:spacing w:line="360" w:lineRule="exact"/>
              <w:ind w:firstLineChars="0" w:firstLine="0"/>
              <w:jc w:val="center"/>
              <w:textAlignment w:val="center"/>
              <w:rPr>
                <w:sz w:val="21"/>
                <w:szCs w:val="21"/>
                <w:lang w:bidi="ar"/>
              </w:rPr>
            </w:pPr>
            <w:r>
              <w:rPr>
                <w:sz w:val="21"/>
                <w:szCs w:val="21"/>
                <w:lang w:bidi="ar"/>
              </w:rPr>
              <w:t>还原釜转料泵</w:t>
            </w:r>
          </w:p>
        </w:tc>
        <w:tc>
          <w:tcPr>
            <w:tcW w:w="2517" w:type="pct"/>
            <w:tcBorders>
              <w:top w:val="single" w:sz="2" w:space="0" w:color="000000"/>
              <w:bottom w:val="single" w:sz="2" w:space="0" w:color="000000"/>
            </w:tcBorders>
            <w:vAlign w:val="center"/>
          </w:tcPr>
          <w:p w14:paraId="0F9B4547" w14:textId="77777777" w:rsidR="003E78AB" w:rsidRDefault="00010BF9">
            <w:pPr>
              <w:spacing w:line="360" w:lineRule="exact"/>
              <w:ind w:firstLineChars="0" w:firstLine="0"/>
              <w:jc w:val="center"/>
              <w:textAlignment w:val="center"/>
              <w:rPr>
                <w:sz w:val="21"/>
                <w:szCs w:val="21"/>
                <w:lang w:bidi="ar"/>
              </w:rPr>
            </w:pPr>
            <w:r>
              <w:rPr>
                <w:sz w:val="21"/>
                <w:szCs w:val="21"/>
                <w:lang w:bidi="ar"/>
              </w:rPr>
              <w:t>Q=12.5m</w:t>
            </w:r>
            <w:r>
              <w:rPr>
                <w:sz w:val="21"/>
                <w:szCs w:val="21"/>
                <w:vertAlign w:val="superscript"/>
                <w:lang w:bidi="ar"/>
              </w:rPr>
              <w:t>3</w:t>
            </w:r>
            <w:r>
              <w:rPr>
                <w:sz w:val="21"/>
                <w:szCs w:val="21"/>
                <w:lang w:bidi="ar"/>
              </w:rPr>
              <w:t>/h</w:t>
            </w:r>
            <w:r>
              <w:rPr>
                <w:sz w:val="21"/>
                <w:szCs w:val="21"/>
                <w:lang w:bidi="ar"/>
              </w:rPr>
              <w:t>，</w:t>
            </w:r>
            <w:r>
              <w:rPr>
                <w:sz w:val="21"/>
                <w:szCs w:val="21"/>
                <w:lang w:bidi="ar"/>
              </w:rPr>
              <w:t>H=50m</w:t>
            </w:r>
            <w:r>
              <w:rPr>
                <w:sz w:val="21"/>
                <w:szCs w:val="21"/>
                <w:lang w:bidi="ar"/>
              </w:rPr>
              <w:t>，物料密度</w:t>
            </w:r>
            <w:r>
              <w:rPr>
                <w:sz w:val="21"/>
                <w:szCs w:val="21"/>
                <w:lang w:bidi="ar"/>
              </w:rPr>
              <w:t>1.33</w:t>
            </w:r>
            <w:r>
              <w:rPr>
                <w:sz w:val="21"/>
                <w:szCs w:val="21"/>
                <w:lang w:bidi="ar"/>
              </w:rPr>
              <w:t>，粘度近似于水，双端面离心泵，半敞开式叶轮。</w:t>
            </w:r>
          </w:p>
        </w:tc>
        <w:tc>
          <w:tcPr>
            <w:tcW w:w="366" w:type="pct"/>
            <w:tcBorders>
              <w:top w:val="single" w:sz="2" w:space="0" w:color="000000"/>
              <w:bottom w:val="single" w:sz="2" w:space="0" w:color="000000"/>
            </w:tcBorders>
            <w:vAlign w:val="center"/>
          </w:tcPr>
          <w:p w14:paraId="52BD5BFB" w14:textId="77777777" w:rsidR="003E78AB" w:rsidRDefault="00010BF9">
            <w:pPr>
              <w:spacing w:line="360" w:lineRule="exact"/>
              <w:ind w:firstLineChars="0" w:firstLine="0"/>
              <w:jc w:val="center"/>
              <w:textAlignment w:val="center"/>
              <w:rPr>
                <w:sz w:val="21"/>
                <w:szCs w:val="21"/>
                <w:lang w:bidi="ar"/>
              </w:rPr>
            </w:pPr>
            <w:r>
              <w:rPr>
                <w:sz w:val="21"/>
                <w:szCs w:val="21"/>
                <w:lang w:bidi="ar"/>
              </w:rPr>
              <w:t>12</w:t>
            </w:r>
          </w:p>
        </w:tc>
        <w:tc>
          <w:tcPr>
            <w:tcW w:w="331" w:type="pct"/>
            <w:vMerge/>
            <w:vAlign w:val="center"/>
          </w:tcPr>
          <w:p w14:paraId="457E85F3" w14:textId="77777777" w:rsidR="003E78AB" w:rsidRDefault="003E78AB">
            <w:pPr>
              <w:spacing w:line="360" w:lineRule="exact"/>
              <w:ind w:firstLineChars="0" w:firstLine="0"/>
              <w:jc w:val="center"/>
              <w:textAlignment w:val="center"/>
              <w:rPr>
                <w:sz w:val="21"/>
                <w:szCs w:val="21"/>
                <w:lang w:bidi="ar"/>
              </w:rPr>
            </w:pPr>
          </w:p>
        </w:tc>
      </w:tr>
      <w:tr w:rsidR="003E78AB" w14:paraId="240EEFA4" w14:textId="77777777">
        <w:trPr>
          <w:trHeight w:val="472"/>
        </w:trPr>
        <w:tc>
          <w:tcPr>
            <w:tcW w:w="374" w:type="pct"/>
            <w:tcBorders>
              <w:top w:val="single" w:sz="2" w:space="0" w:color="000000"/>
              <w:bottom w:val="single" w:sz="2" w:space="0" w:color="000000"/>
            </w:tcBorders>
            <w:vAlign w:val="center"/>
          </w:tcPr>
          <w:p w14:paraId="7D51CBB1" w14:textId="77777777" w:rsidR="003E78AB" w:rsidRDefault="00010BF9">
            <w:pPr>
              <w:spacing w:line="360" w:lineRule="exact"/>
              <w:ind w:firstLineChars="0" w:firstLine="0"/>
              <w:jc w:val="center"/>
              <w:textAlignment w:val="center"/>
              <w:rPr>
                <w:sz w:val="21"/>
                <w:szCs w:val="21"/>
                <w:lang w:bidi="ar"/>
              </w:rPr>
            </w:pPr>
            <w:r>
              <w:rPr>
                <w:sz w:val="21"/>
                <w:szCs w:val="21"/>
                <w:lang w:bidi="ar"/>
              </w:rPr>
              <w:t>9</w:t>
            </w:r>
          </w:p>
        </w:tc>
        <w:tc>
          <w:tcPr>
            <w:tcW w:w="565" w:type="pct"/>
            <w:vMerge/>
            <w:vAlign w:val="center"/>
          </w:tcPr>
          <w:p w14:paraId="46003984"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1AB4C4E" w14:textId="77777777" w:rsidR="003E78AB" w:rsidRDefault="00010BF9">
            <w:pPr>
              <w:spacing w:line="360" w:lineRule="exact"/>
              <w:ind w:firstLineChars="0" w:firstLine="0"/>
              <w:jc w:val="center"/>
              <w:textAlignment w:val="center"/>
              <w:rPr>
                <w:sz w:val="21"/>
                <w:szCs w:val="21"/>
                <w:lang w:bidi="ar"/>
              </w:rPr>
            </w:pPr>
            <w:r>
              <w:rPr>
                <w:sz w:val="21"/>
                <w:szCs w:val="21"/>
                <w:lang w:bidi="ar"/>
              </w:rPr>
              <w:t>精密过滤器</w:t>
            </w:r>
          </w:p>
        </w:tc>
        <w:tc>
          <w:tcPr>
            <w:tcW w:w="2517" w:type="pct"/>
            <w:tcBorders>
              <w:top w:val="single" w:sz="2" w:space="0" w:color="000000"/>
              <w:bottom w:val="single" w:sz="2" w:space="0" w:color="000000"/>
            </w:tcBorders>
            <w:vAlign w:val="center"/>
          </w:tcPr>
          <w:p w14:paraId="739B0D85" w14:textId="77777777" w:rsidR="003E78AB" w:rsidRDefault="00010BF9">
            <w:pPr>
              <w:spacing w:line="360" w:lineRule="exact"/>
              <w:ind w:firstLineChars="0" w:firstLine="0"/>
              <w:jc w:val="center"/>
              <w:textAlignment w:val="center"/>
              <w:rPr>
                <w:sz w:val="21"/>
                <w:szCs w:val="21"/>
                <w:lang w:bidi="ar"/>
              </w:rPr>
            </w:pPr>
            <w:r>
              <w:rPr>
                <w:sz w:val="21"/>
                <w:szCs w:val="21"/>
                <w:lang w:bidi="ar"/>
              </w:rPr>
              <w:t>Q=10m</w:t>
            </w:r>
            <w:r>
              <w:rPr>
                <w:sz w:val="21"/>
                <w:szCs w:val="21"/>
                <w:vertAlign w:val="superscript"/>
                <w:lang w:bidi="ar"/>
              </w:rPr>
              <w:t>3</w:t>
            </w:r>
            <w:r>
              <w:rPr>
                <w:sz w:val="21"/>
                <w:szCs w:val="21"/>
                <w:lang w:bidi="ar"/>
              </w:rPr>
              <w:t>/h</w:t>
            </w:r>
            <w:r>
              <w:rPr>
                <w:sz w:val="21"/>
                <w:szCs w:val="21"/>
                <w:lang w:bidi="ar"/>
              </w:rPr>
              <w:t>，过滤精度</w:t>
            </w:r>
            <w:r>
              <w:rPr>
                <w:sz w:val="21"/>
                <w:szCs w:val="21"/>
                <w:lang w:bidi="ar"/>
              </w:rPr>
              <w:t>=200</w:t>
            </w:r>
            <w:r>
              <w:rPr>
                <w:sz w:val="21"/>
                <w:szCs w:val="21"/>
                <w:lang w:bidi="ar"/>
              </w:rPr>
              <w:t>目，过滤温度：常温，金属</w:t>
            </w:r>
            <w:r>
              <w:rPr>
                <w:sz w:val="21"/>
                <w:szCs w:val="21"/>
                <w:lang w:bidi="ar"/>
              </w:rPr>
              <w:t>+PP</w:t>
            </w:r>
          </w:p>
        </w:tc>
        <w:tc>
          <w:tcPr>
            <w:tcW w:w="366" w:type="pct"/>
            <w:tcBorders>
              <w:top w:val="single" w:sz="2" w:space="0" w:color="000000"/>
              <w:bottom w:val="single" w:sz="2" w:space="0" w:color="000000"/>
            </w:tcBorders>
            <w:vAlign w:val="center"/>
          </w:tcPr>
          <w:p w14:paraId="1E62A892" w14:textId="77777777" w:rsidR="003E78AB" w:rsidRDefault="00010BF9">
            <w:pPr>
              <w:spacing w:line="360" w:lineRule="exact"/>
              <w:ind w:firstLineChars="0" w:firstLine="0"/>
              <w:jc w:val="center"/>
              <w:textAlignment w:val="center"/>
              <w:rPr>
                <w:sz w:val="21"/>
                <w:szCs w:val="21"/>
                <w:lang w:bidi="ar"/>
              </w:rPr>
            </w:pPr>
            <w:r>
              <w:rPr>
                <w:sz w:val="21"/>
                <w:szCs w:val="21"/>
                <w:lang w:bidi="ar"/>
              </w:rPr>
              <w:t>24</w:t>
            </w:r>
          </w:p>
        </w:tc>
        <w:tc>
          <w:tcPr>
            <w:tcW w:w="331" w:type="pct"/>
            <w:vMerge/>
            <w:vAlign w:val="center"/>
          </w:tcPr>
          <w:p w14:paraId="49E9A941" w14:textId="77777777" w:rsidR="003E78AB" w:rsidRDefault="003E78AB">
            <w:pPr>
              <w:spacing w:line="360" w:lineRule="exact"/>
              <w:ind w:firstLineChars="0" w:firstLine="0"/>
              <w:jc w:val="center"/>
              <w:textAlignment w:val="center"/>
              <w:rPr>
                <w:sz w:val="21"/>
                <w:szCs w:val="21"/>
                <w:lang w:bidi="ar"/>
              </w:rPr>
            </w:pPr>
          </w:p>
        </w:tc>
      </w:tr>
      <w:tr w:rsidR="003E78AB" w14:paraId="26DBDBD0" w14:textId="77777777">
        <w:trPr>
          <w:trHeight w:val="472"/>
        </w:trPr>
        <w:tc>
          <w:tcPr>
            <w:tcW w:w="374" w:type="pct"/>
            <w:tcBorders>
              <w:top w:val="single" w:sz="2" w:space="0" w:color="000000"/>
              <w:bottom w:val="single" w:sz="2" w:space="0" w:color="000000"/>
            </w:tcBorders>
            <w:vAlign w:val="center"/>
          </w:tcPr>
          <w:p w14:paraId="6C0C35ED" w14:textId="77777777" w:rsidR="003E78AB" w:rsidRDefault="00010BF9">
            <w:pPr>
              <w:spacing w:line="360" w:lineRule="exact"/>
              <w:ind w:firstLineChars="0" w:firstLine="0"/>
              <w:jc w:val="center"/>
              <w:textAlignment w:val="center"/>
              <w:rPr>
                <w:sz w:val="21"/>
                <w:szCs w:val="21"/>
                <w:lang w:bidi="ar"/>
              </w:rPr>
            </w:pPr>
            <w:r>
              <w:rPr>
                <w:sz w:val="21"/>
                <w:szCs w:val="21"/>
                <w:lang w:bidi="ar"/>
              </w:rPr>
              <w:t>10</w:t>
            </w:r>
          </w:p>
        </w:tc>
        <w:tc>
          <w:tcPr>
            <w:tcW w:w="565" w:type="pct"/>
            <w:vMerge/>
            <w:vAlign w:val="center"/>
          </w:tcPr>
          <w:p w14:paraId="2B7DACA6"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F553759"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r>
              <w:rPr>
                <w:sz w:val="21"/>
                <w:szCs w:val="21"/>
                <w:lang w:bidi="ar"/>
              </w:rPr>
              <w:t>价电解液罐</w:t>
            </w:r>
          </w:p>
        </w:tc>
        <w:tc>
          <w:tcPr>
            <w:tcW w:w="2517" w:type="pct"/>
            <w:tcBorders>
              <w:top w:val="single" w:sz="2" w:space="0" w:color="000000"/>
              <w:bottom w:val="single" w:sz="2" w:space="0" w:color="000000"/>
            </w:tcBorders>
            <w:vAlign w:val="center"/>
          </w:tcPr>
          <w:p w14:paraId="5338F90B" w14:textId="77777777" w:rsidR="003E78AB" w:rsidRDefault="00010BF9">
            <w:pPr>
              <w:spacing w:line="360" w:lineRule="exact"/>
              <w:ind w:firstLineChars="0" w:firstLine="0"/>
              <w:jc w:val="center"/>
              <w:textAlignment w:val="center"/>
              <w:rPr>
                <w:sz w:val="21"/>
                <w:szCs w:val="21"/>
                <w:lang w:bidi="ar"/>
              </w:rPr>
            </w:pPr>
            <w:r>
              <w:rPr>
                <w:sz w:val="21"/>
                <w:szCs w:val="21"/>
                <w:lang w:bidi="ar"/>
              </w:rPr>
              <w:t>DN3600×4500</w:t>
            </w:r>
            <w:r>
              <w:rPr>
                <w:sz w:val="21"/>
                <w:szCs w:val="21"/>
                <w:lang w:bidi="ar"/>
              </w:rPr>
              <w:t>，全容积</w:t>
            </w:r>
            <w:r>
              <w:rPr>
                <w:sz w:val="21"/>
                <w:szCs w:val="21"/>
                <w:lang w:bidi="ar"/>
              </w:rPr>
              <w:t>45m</w:t>
            </w:r>
            <w:r>
              <w:rPr>
                <w:sz w:val="21"/>
                <w:szCs w:val="21"/>
                <w:vertAlign w:val="superscript"/>
                <w:lang w:bidi="ar"/>
              </w:rPr>
              <w:t>3</w:t>
            </w:r>
            <w:r>
              <w:rPr>
                <w:sz w:val="21"/>
                <w:szCs w:val="21"/>
                <w:lang w:bidi="ar"/>
              </w:rPr>
              <w:t>，平顶斜底，</w:t>
            </w:r>
            <w:r>
              <w:rPr>
                <w:sz w:val="21"/>
                <w:szCs w:val="21"/>
                <w:lang w:bidi="ar"/>
              </w:rPr>
              <w:t>5°</w:t>
            </w:r>
            <w:r>
              <w:rPr>
                <w:sz w:val="21"/>
                <w:szCs w:val="21"/>
                <w:lang w:bidi="ar"/>
              </w:rPr>
              <w:t>坡度</w:t>
            </w:r>
          </w:p>
        </w:tc>
        <w:tc>
          <w:tcPr>
            <w:tcW w:w="366" w:type="pct"/>
            <w:tcBorders>
              <w:top w:val="single" w:sz="2" w:space="0" w:color="000000"/>
              <w:bottom w:val="single" w:sz="2" w:space="0" w:color="000000"/>
            </w:tcBorders>
            <w:vAlign w:val="center"/>
          </w:tcPr>
          <w:p w14:paraId="4BB6FF2D"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31" w:type="pct"/>
            <w:vMerge/>
            <w:vAlign w:val="center"/>
          </w:tcPr>
          <w:p w14:paraId="46683591" w14:textId="77777777" w:rsidR="003E78AB" w:rsidRDefault="003E78AB">
            <w:pPr>
              <w:spacing w:line="360" w:lineRule="exact"/>
              <w:ind w:firstLineChars="0" w:firstLine="0"/>
              <w:jc w:val="center"/>
              <w:textAlignment w:val="center"/>
              <w:rPr>
                <w:sz w:val="21"/>
                <w:szCs w:val="21"/>
                <w:lang w:bidi="ar"/>
              </w:rPr>
            </w:pPr>
          </w:p>
        </w:tc>
      </w:tr>
      <w:tr w:rsidR="003E78AB" w14:paraId="68012AC6" w14:textId="77777777">
        <w:trPr>
          <w:trHeight w:val="472"/>
        </w:trPr>
        <w:tc>
          <w:tcPr>
            <w:tcW w:w="374" w:type="pct"/>
            <w:tcBorders>
              <w:top w:val="single" w:sz="2" w:space="0" w:color="000000"/>
              <w:bottom w:val="single" w:sz="2" w:space="0" w:color="000000"/>
            </w:tcBorders>
            <w:vAlign w:val="center"/>
          </w:tcPr>
          <w:p w14:paraId="5B8C6FC3" w14:textId="77777777" w:rsidR="003E78AB" w:rsidRDefault="00010BF9">
            <w:pPr>
              <w:spacing w:line="360" w:lineRule="exact"/>
              <w:ind w:firstLineChars="0" w:firstLine="0"/>
              <w:jc w:val="center"/>
              <w:textAlignment w:val="center"/>
              <w:rPr>
                <w:sz w:val="21"/>
                <w:szCs w:val="21"/>
                <w:lang w:bidi="ar"/>
              </w:rPr>
            </w:pPr>
            <w:r>
              <w:rPr>
                <w:sz w:val="21"/>
                <w:szCs w:val="21"/>
                <w:lang w:bidi="ar"/>
              </w:rPr>
              <w:t>11</w:t>
            </w:r>
          </w:p>
        </w:tc>
        <w:tc>
          <w:tcPr>
            <w:tcW w:w="565" w:type="pct"/>
            <w:vMerge/>
            <w:vAlign w:val="center"/>
          </w:tcPr>
          <w:p w14:paraId="35A86455"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81DD837" w14:textId="77777777" w:rsidR="003E78AB" w:rsidRDefault="00010BF9">
            <w:pPr>
              <w:spacing w:line="360" w:lineRule="exact"/>
              <w:ind w:firstLineChars="0" w:firstLine="0"/>
              <w:jc w:val="center"/>
              <w:textAlignment w:val="center"/>
              <w:rPr>
                <w:sz w:val="21"/>
                <w:szCs w:val="21"/>
                <w:lang w:bidi="ar"/>
              </w:rPr>
            </w:pPr>
            <w:r>
              <w:rPr>
                <w:sz w:val="21"/>
                <w:szCs w:val="21"/>
                <w:lang w:bidi="ar"/>
              </w:rPr>
              <w:t>电解液转料泵</w:t>
            </w:r>
          </w:p>
        </w:tc>
        <w:tc>
          <w:tcPr>
            <w:tcW w:w="2517" w:type="pct"/>
            <w:tcBorders>
              <w:top w:val="single" w:sz="2" w:space="0" w:color="000000"/>
              <w:bottom w:val="single" w:sz="2" w:space="0" w:color="000000"/>
            </w:tcBorders>
            <w:vAlign w:val="center"/>
          </w:tcPr>
          <w:p w14:paraId="4BFC6675" w14:textId="77777777" w:rsidR="003E78AB" w:rsidRDefault="00010BF9">
            <w:pPr>
              <w:spacing w:line="360" w:lineRule="exact"/>
              <w:ind w:firstLineChars="0" w:firstLine="0"/>
              <w:jc w:val="center"/>
              <w:textAlignment w:val="center"/>
              <w:rPr>
                <w:sz w:val="21"/>
                <w:szCs w:val="21"/>
                <w:lang w:bidi="ar"/>
              </w:rPr>
            </w:pPr>
            <w:r>
              <w:rPr>
                <w:sz w:val="21"/>
                <w:szCs w:val="21"/>
                <w:lang w:bidi="ar"/>
              </w:rPr>
              <w:t>Q=25m</w:t>
            </w:r>
            <w:r>
              <w:rPr>
                <w:sz w:val="21"/>
                <w:szCs w:val="21"/>
                <w:vertAlign w:val="superscript"/>
                <w:lang w:bidi="ar"/>
              </w:rPr>
              <w:t>3</w:t>
            </w:r>
            <w:r>
              <w:rPr>
                <w:sz w:val="21"/>
                <w:szCs w:val="21"/>
                <w:lang w:bidi="ar"/>
              </w:rPr>
              <w:t>/h</w:t>
            </w:r>
            <w:r>
              <w:rPr>
                <w:sz w:val="21"/>
                <w:szCs w:val="21"/>
                <w:lang w:bidi="ar"/>
              </w:rPr>
              <w:t>，</w:t>
            </w:r>
            <w:r>
              <w:rPr>
                <w:sz w:val="21"/>
                <w:szCs w:val="21"/>
                <w:lang w:bidi="ar"/>
              </w:rPr>
              <w:t>H=25m</w:t>
            </w:r>
            <w:r>
              <w:rPr>
                <w:sz w:val="21"/>
                <w:szCs w:val="21"/>
                <w:lang w:bidi="ar"/>
              </w:rPr>
              <w:t>。磁力泵</w:t>
            </w:r>
          </w:p>
        </w:tc>
        <w:tc>
          <w:tcPr>
            <w:tcW w:w="366" w:type="pct"/>
            <w:tcBorders>
              <w:top w:val="single" w:sz="2" w:space="0" w:color="000000"/>
              <w:bottom w:val="single" w:sz="2" w:space="0" w:color="000000"/>
            </w:tcBorders>
            <w:vAlign w:val="center"/>
          </w:tcPr>
          <w:p w14:paraId="2CF3845A"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31" w:type="pct"/>
            <w:vMerge/>
            <w:vAlign w:val="center"/>
          </w:tcPr>
          <w:p w14:paraId="15292F1D" w14:textId="77777777" w:rsidR="003E78AB" w:rsidRDefault="003E78AB">
            <w:pPr>
              <w:spacing w:line="360" w:lineRule="exact"/>
              <w:ind w:firstLineChars="0" w:firstLine="0"/>
              <w:jc w:val="center"/>
              <w:textAlignment w:val="center"/>
              <w:rPr>
                <w:sz w:val="21"/>
                <w:szCs w:val="21"/>
                <w:lang w:bidi="ar"/>
              </w:rPr>
            </w:pPr>
          </w:p>
        </w:tc>
      </w:tr>
      <w:tr w:rsidR="003E78AB" w14:paraId="3FB6B294" w14:textId="77777777">
        <w:trPr>
          <w:trHeight w:hRule="exact" w:val="377"/>
        </w:trPr>
        <w:tc>
          <w:tcPr>
            <w:tcW w:w="374" w:type="pct"/>
            <w:tcBorders>
              <w:top w:val="single" w:sz="2" w:space="0" w:color="000000"/>
              <w:bottom w:val="single" w:sz="2" w:space="0" w:color="000000"/>
            </w:tcBorders>
            <w:vAlign w:val="center"/>
          </w:tcPr>
          <w:p w14:paraId="0FD2D376" w14:textId="77777777" w:rsidR="003E78AB" w:rsidRDefault="00010BF9">
            <w:pPr>
              <w:spacing w:line="360" w:lineRule="exact"/>
              <w:ind w:firstLineChars="0" w:firstLine="0"/>
              <w:jc w:val="center"/>
              <w:textAlignment w:val="center"/>
              <w:rPr>
                <w:sz w:val="21"/>
                <w:szCs w:val="21"/>
                <w:lang w:bidi="ar"/>
              </w:rPr>
            </w:pPr>
            <w:r>
              <w:rPr>
                <w:sz w:val="21"/>
                <w:szCs w:val="21"/>
                <w:lang w:bidi="ar"/>
              </w:rPr>
              <w:t>12</w:t>
            </w:r>
          </w:p>
        </w:tc>
        <w:tc>
          <w:tcPr>
            <w:tcW w:w="565" w:type="pct"/>
            <w:vMerge/>
            <w:vAlign w:val="center"/>
          </w:tcPr>
          <w:p w14:paraId="26070E1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7B35E7D" w14:textId="77777777" w:rsidR="003E78AB" w:rsidRDefault="00010BF9">
            <w:pPr>
              <w:spacing w:line="360" w:lineRule="exact"/>
              <w:ind w:firstLineChars="0" w:firstLine="0"/>
              <w:jc w:val="center"/>
              <w:textAlignment w:val="center"/>
              <w:rPr>
                <w:sz w:val="21"/>
                <w:szCs w:val="21"/>
                <w:lang w:bidi="ar"/>
              </w:rPr>
            </w:pPr>
            <w:r>
              <w:rPr>
                <w:sz w:val="21"/>
                <w:szCs w:val="21"/>
                <w:lang w:bidi="ar"/>
              </w:rPr>
              <w:t>超精密过滤器</w:t>
            </w:r>
          </w:p>
        </w:tc>
        <w:tc>
          <w:tcPr>
            <w:tcW w:w="2517" w:type="pct"/>
            <w:tcBorders>
              <w:top w:val="single" w:sz="2" w:space="0" w:color="000000"/>
              <w:bottom w:val="single" w:sz="2" w:space="0" w:color="000000"/>
            </w:tcBorders>
            <w:vAlign w:val="center"/>
          </w:tcPr>
          <w:p w14:paraId="373CEA15" w14:textId="77777777" w:rsidR="003E78AB" w:rsidRDefault="00010BF9">
            <w:pPr>
              <w:spacing w:line="360" w:lineRule="exact"/>
              <w:ind w:firstLineChars="0" w:firstLine="0"/>
              <w:jc w:val="center"/>
              <w:textAlignment w:val="center"/>
              <w:rPr>
                <w:sz w:val="21"/>
                <w:szCs w:val="21"/>
                <w:lang w:bidi="ar"/>
              </w:rPr>
            </w:pPr>
            <w:r>
              <w:rPr>
                <w:sz w:val="21"/>
                <w:szCs w:val="21"/>
                <w:lang w:bidi="ar"/>
              </w:rPr>
              <w:t>Q=25m</w:t>
            </w:r>
            <w:r>
              <w:rPr>
                <w:sz w:val="21"/>
                <w:szCs w:val="21"/>
                <w:vertAlign w:val="superscript"/>
                <w:lang w:bidi="ar"/>
              </w:rPr>
              <w:t>3</w:t>
            </w:r>
            <w:r>
              <w:rPr>
                <w:sz w:val="21"/>
                <w:szCs w:val="21"/>
                <w:lang w:bidi="ar"/>
              </w:rPr>
              <w:t>/h</w:t>
            </w:r>
            <w:r>
              <w:rPr>
                <w:sz w:val="21"/>
                <w:szCs w:val="21"/>
                <w:lang w:bidi="ar"/>
              </w:rPr>
              <w:t>，过滤精度</w:t>
            </w:r>
            <w:r>
              <w:rPr>
                <w:sz w:val="21"/>
                <w:szCs w:val="21"/>
                <w:lang w:bidi="ar"/>
              </w:rPr>
              <w:t>0.45μm</w:t>
            </w:r>
          </w:p>
        </w:tc>
        <w:tc>
          <w:tcPr>
            <w:tcW w:w="366" w:type="pct"/>
            <w:tcBorders>
              <w:top w:val="single" w:sz="2" w:space="0" w:color="000000"/>
              <w:bottom w:val="single" w:sz="2" w:space="0" w:color="000000"/>
            </w:tcBorders>
            <w:vAlign w:val="center"/>
          </w:tcPr>
          <w:p w14:paraId="36ECE718"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31" w:type="pct"/>
            <w:vMerge/>
            <w:tcBorders>
              <w:bottom w:val="single" w:sz="2" w:space="0" w:color="000000"/>
            </w:tcBorders>
            <w:vAlign w:val="center"/>
          </w:tcPr>
          <w:p w14:paraId="396A57CA" w14:textId="77777777" w:rsidR="003E78AB" w:rsidRDefault="003E78AB">
            <w:pPr>
              <w:spacing w:line="360" w:lineRule="exact"/>
              <w:ind w:firstLineChars="0" w:firstLine="0"/>
              <w:jc w:val="center"/>
              <w:textAlignment w:val="center"/>
              <w:rPr>
                <w:sz w:val="21"/>
                <w:szCs w:val="21"/>
                <w:lang w:bidi="ar"/>
              </w:rPr>
            </w:pPr>
          </w:p>
        </w:tc>
      </w:tr>
      <w:tr w:rsidR="003E78AB" w14:paraId="4CA624ED" w14:textId="77777777">
        <w:trPr>
          <w:trHeight w:val="472"/>
        </w:trPr>
        <w:tc>
          <w:tcPr>
            <w:tcW w:w="374" w:type="pct"/>
            <w:tcBorders>
              <w:top w:val="single" w:sz="2" w:space="0" w:color="000000"/>
              <w:bottom w:val="single" w:sz="2" w:space="0" w:color="000000"/>
            </w:tcBorders>
            <w:vAlign w:val="center"/>
          </w:tcPr>
          <w:p w14:paraId="5EEDBB92" w14:textId="77777777" w:rsidR="003E78AB" w:rsidRDefault="00010BF9">
            <w:pPr>
              <w:spacing w:line="360" w:lineRule="exact"/>
              <w:ind w:firstLineChars="0" w:firstLine="0"/>
              <w:jc w:val="center"/>
              <w:textAlignment w:val="center"/>
              <w:rPr>
                <w:sz w:val="21"/>
                <w:szCs w:val="21"/>
                <w:lang w:bidi="ar"/>
              </w:rPr>
            </w:pPr>
            <w:r>
              <w:rPr>
                <w:sz w:val="21"/>
                <w:szCs w:val="21"/>
                <w:lang w:bidi="ar"/>
              </w:rPr>
              <w:t>13</w:t>
            </w:r>
          </w:p>
        </w:tc>
        <w:tc>
          <w:tcPr>
            <w:tcW w:w="565" w:type="pct"/>
            <w:vMerge/>
            <w:vAlign w:val="center"/>
          </w:tcPr>
          <w:p w14:paraId="6141A7C7"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ECE7208" w14:textId="77777777" w:rsidR="003E78AB" w:rsidRDefault="00010BF9">
            <w:pPr>
              <w:spacing w:line="360" w:lineRule="exact"/>
              <w:ind w:firstLineChars="0" w:firstLine="0"/>
              <w:jc w:val="center"/>
              <w:textAlignment w:val="center"/>
              <w:rPr>
                <w:sz w:val="21"/>
                <w:szCs w:val="21"/>
                <w:lang w:bidi="ar"/>
              </w:rPr>
            </w:pPr>
            <w:r>
              <w:rPr>
                <w:sz w:val="21"/>
                <w:szCs w:val="21"/>
                <w:lang w:bidi="ar"/>
              </w:rPr>
              <w:t>阴极罐</w:t>
            </w:r>
          </w:p>
        </w:tc>
        <w:tc>
          <w:tcPr>
            <w:tcW w:w="2517" w:type="pct"/>
            <w:tcBorders>
              <w:top w:val="single" w:sz="2" w:space="0" w:color="000000"/>
              <w:bottom w:val="single" w:sz="2" w:space="0" w:color="000000"/>
            </w:tcBorders>
            <w:vAlign w:val="center"/>
          </w:tcPr>
          <w:p w14:paraId="40F97698" w14:textId="77777777" w:rsidR="003E78AB" w:rsidRDefault="00010BF9">
            <w:pPr>
              <w:spacing w:line="360" w:lineRule="exact"/>
              <w:ind w:firstLineChars="0" w:firstLine="0"/>
              <w:jc w:val="center"/>
              <w:textAlignment w:val="center"/>
              <w:rPr>
                <w:sz w:val="21"/>
                <w:szCs w:val="21"/>
                <w:lang w:bidi="ar"/>
              </w:rPr>
            </w:pPr>
            <w:r>
              <w:rPr>
                <w:sz w:val="21"/>
                <w:szCs w:val="21"/>
                <w:lang w:bidi="ar"/>
              </w:rPr>
              <w:t>全容积</w:t>
            </w:r>
            <w:r>
              <w:rPr>
                <w:sz w:val="21"/>
                <w:szCs w:val="21"/>
                <w:lang w:bidi="ar"/>
              </w:rPr>
              <w:t>15m</w:t>
            </w:r>
            <w:r>
              <w:rPr>
                <w:sz w:val="21"/>
                <w:szCs w:val="21"/>
                <w:vertAlign w:val="superscript"/>
                <w:lang w:bidi="ar"/>
              </w:rPr>
              <w:t>3</w:t>
            </w:r>
            <w:r>
              <w:rPr>
                <w:sz w:val="21"/>
                <w:szCs w:val="21"/>
                <w:lang w:bidi="ar"/>
              </w:rPr>
              <w:t>，单层桨式搅拌，转速</w:t>
            </w:r>
            <w:r>
              <w:rPr>
                <w:sz w:val="21"/>
                <w:szCs w:val="21"/>
                <w:lang w:bidi="ar"/>
              </w:rPr>
              <w:t>60~80r/min</w:t>
            </w:r>
            <w:r>
              <w:rPr>
                <w:sz w:val="21"/>
                <w:szCs w:val="21"/>
                <w:lang w:bidi="ar"/>
              </w:rPr>
              <w:t>。上中下三个取样口</w:t>
            </w:r>
          </w:p>
        </w:tc>
        <w:tc>
          <w:tcPr>
            <w:tcW w:w="366" w:type="pct"/>
            <w:tcBorders>
              <w:top w:val="single" w:sz="2" w:space="0" w:color="000000"/>
              <w:bottom w:val="single" w:sz="2" w:space="0" w:color="000000"/>
            </w:tcBorders>
            <w:vAlign w:val="center"/>
          </w:tcPr>
          <w:p w14:paraId="3D478F51"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331" w:type="pct"/>
            <w:vMerge w:val="restart"/>
            <w:tcBorders>
              <w:top w:val="single" w:sz="2" w:space="0" w:color="000000"/>
            </w:tcBorders>
            <w:vAlign w:val="center"/>
          </w:tcPr>
          <w:p w14:paraId="7D51F80E" w14:textId="77777777" w:rsidR="003E78AB" w:rsidRDefault="00010BF9">
            <w:pPr>
              <w:spacing w:line="360" w:lineRule="exact"/>
              <w:ind w:firstLineChars="0" w:firstLine="0"/>
              <w:jc w:val="center"/>
              <w:textAlignment w:val="center"/>
              <w:rPr>
                <w:sz w:val="21"/>
                <w:szCs w:val="21"/>
                <w:lang w:bidi="ar"/>
              </w:rPr>
            </w:pPr>
            <w:r>
              <w:rPr>
                <w:sz w:val="21"/>
                <w:szCs w:val="21"/>
                <w:lang w:bidi="ar"/>
              </w:rPr>
              <w:t>电解工序</w:t>
            </w:r>
          </w:p>
        </w:tc>
      </w:tr>
      <w:tr w:rsidR="003E78AB" w14:paraId="02FE49AE" w14:textId="77777777">
        <w:trPr>
          <w:trHeight w:val="471"/>
        </w:trPr>
        <w:tc>
          <w:tcPr>
            <w:tcW w:w="374" w:type="pct"/>
            <w:tcBorders>
              <w:top w:val="single" w:sz="2" w:space="0" w:color="000000"/>
              <w:bottom w:val="single" w:sz="2" w:space="0" w:color="000000"/>
            </w:tcBorders>
            <w:vAlign w:val="center"/>
          </w:tcPr>
          <w:p w14:paraId="1CE36B0C" w14:textId="77777777" w:rsidR="003E78AB" w:rsidRDefault="00010BF9">
            <w:pPr>
              <w:spacing w:line="360" w:lineRule="exact"/>
              <w:ind w:firstLineChars="0" w:firstLine="0"/>
              <w:jc w:val="center"/>
              <w:textAlignment w:val="center"/>
              <w:rPr>
                <w:sz w:val="21"/>
                <w:szCs w:val="21"/>
                <w:lang w:bidi="ar"/>
              </w:rPr>
            </w:pPr>
            <w:r>
              <w:rPr>
                <w:sz w:val="21"/>
                <w:szCs w:val="21"/>
                <w:lang w:bidi="ar"/>
              </w:rPr>
              <w:t>14</w:t>
            </w:r>
          </w:p>
        </w:tc>
        <w:tc>
          <w:tcPr>
            <w:tcW w:w="565" w:type="pct"/>
            <w:vMerge/>
            <w:vAlign w:val="center"/>
          </w:tcPr>
          <w:p w14:paraId="5B8E61C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0492460" w14:textId="77777777" w:rsidR="003E78AB" w:rsidRDefault="00010BF9">
            <w:pPr>
              <w:spacing w:line="360" w:lineRule="exact"/>
              <w:ind w:firstLineChars="0" w:firstLine="0"/>
              <w:jc w:val="center"/>
              <w:textAlignment w:val="center"/>
              <w:rPr>
                <w:sz w:val="21"/>
                <w:szCs w:val="21"/>
                <w:lang w:bidi="ar"/>
              </w:rPr>
            </w:pPr>
            <w:r>
              <w:rPr>
                <w:sz w:val="21"/>
                <w:szCs w:val="21"/>
                <w:lang w:bidi="ar"/>
              </w:rPr>
              <w:t>阴极液换热器</w:t>
            </w:r>
          </w:p>
        </w:tc>
        <w:tc>
          <w:tcPr>
            <w:tcW w:w="2517" w:type="pct"/>
            <w:tcBorders>
              <w:top w:val="single" w:sz="2" w:space="0" w:color="000000"/>
              <w:bottom w:val="single" w:sz="2" w:space="0" w:color="000000"/>
            </w:tcBorders>
            <w:vAlign w:val="center"/>
          </w:tcPr>
          <w:p w14:paraId="110522A3" w14:textId="77777777" w:rsidR="003E78AB" w:rsidRDefault="00010BF9">
            <w:pPr>
              <w:spacing w:line="360" w:lineRule="exact"/>
              <w:ind w:firstLineChars="0" w:firstLine="0"/>
              <w:jc w:val="center"/>
              <w:textAlignment w:val="center"/>
              <w:rPr>
                <w:sz w:val="21"/>
                <w:szCs w:val="21"/>
                <w:lang w:bidi="ar"/>
              </w:rPr>
            </w:pPr>
            <w:r>
              <w:rPr>
                <w:sz w:val="21"/>
                <w:szCs w:val="21"/>
                <w:lang w:bidi="ar"/>
              </w:rPr>
              <w:t>F=60m</w:t>
            </w:r>
            <w:r>
              <w:rPr>
                <w:sz w:val="21"/>
                <w:szCs w:val="21"/>
                <w:vertAlign w:val="superscript"/>
                <w:lang w:bidi="ar"/>
              </w:rPr>
              <w:t>2</w:t>
            </w:r>
            <w:r>
              <w:rPr>
                <w:sz w:val="21"/>
                <w:szCs w:val="21"/>
                <w:lang w:bidi="ar"/>
              </w:rPr>
              <w:t>，列管式卧式换热器，管程电解液，壳程</w:t>
            </w:r>
            <w:r>
              <w:rPr>
                <w:sz w:val="21"/>
                <w:szCs w:val="21"/>
                <w:lang w:bidi="ar"/>
              </w:rPr>
              <w:t>7℃</w:t>
            </w:r>
          </w:p>
        </w:tc>
        <w:tc>
          <w:tcPr>
            <w:tcW w:w="366" w:type="pct"/>
            <w:tcBorders>
              <w:top w:val="single" w:sz="2" w:space="0" w:color="000000"/>
              <w:bottom w:val="single" w:sz="2" w:space="0" w:color="000000"/>
            </w:tcBorders>
            <w:vAlign w:val="center"/>
          </w:tcPr>
          <w:p w14:paraId="0D0E7DB1"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331" w:type="pct"/>
            <w:vMerge/>
            <w:vAlign w:val="center"/>
          </w:tcPr>
          <w:p w14:paraId="7FF8B32A" w14:textId="77777777" w:rsidR="003E78AB" w:rsidRDefault="003E78AB">
            <w:pPr>
              <w:spacing w:line="360" w:lineRule="exact"/>
              <w:ind w:firstLineChars="0" w:firstLine="0"/>
              <w:jc w:val="center"/>
              <w:textAlignment w:val="center"/>
              <w:rPr>
                <w:sz w:val="21"/>
                <w:szCs w:val="21"/>
                <w:lang w:bidi="ar"/>
              </w:rPr>
            </w:pPr>
          </w:p>
        </w:tc>
      </w:tr>
      <w:tr w:rsidR="003E78AB" w14:paraId="07AE75D9" w14:textId="77777777">
        <w:trPr>
          <w:trHeight w:val="472"/>
        </w:trPr>
        <w:tc>
          <w:tcPr>
            <w:tcW w:w="374" w:type="pct"/>
            <w:tcBorders>
              <w:top w:val="single" w:sz="2" w:space="0" w:color="000000"/>
              <w:bottom w:val="single" w:sz="2" w:space="0" w:color="000000"/>
            </w:tcBorders>
            <w:vAlign w:val="center"/>
          </w:tcPr>
          <w:p w14:paraId="705D41CB" w14:textId="77777777" w:rsidR="003E78AB" w:rsidRDefault="00010BF9">
            <w:pPr>
              <w:spacing w:line="360" w:lineRule="exact"/>
              <w:ind w:firstLineChars="0" w:firstLine="0"/>
              <w:jc w:val="center"/>
              <w:textAlignment w:val="center"/>
              <w:rPr>
                <w:sz w:val="21"/>
                <w:szCs w:val="21"/>
                <w:lang w:bidi="ar"/>
              </w:rPr>
            </w:pPr>
            <w:r>
              <w:rPr>
                <w:sz w:val="21"/>
                <w:szCs w:val="21"/>
                <w:lang w:bidi="ar"/>
              </w:rPr>
              <w:t>15</w:t>
            </w:r>
          </w:p>
        </w:tc>
        <w:tc>
          <w:tcPr>
            <w:tcW w:w="565" w:type="pct"/>
            <w:vMerge/>
            <w:vAlign w:val="center"/>
          </w:tcPr>
          <w:p w14:paraId="44B201AF"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BF76792" w14:textId="77777777" w:rsidR="003E78AB" w:rsidRDefault="00010BF9">
            <w:pPr>
              <w:spacing w:line="360" w:lineRule="exact"/>
              <w:ind w:firstLineChars="0" w:firstLine="0"/>
              <w:jc w:val="center"/>
              <w:textAlignment w:val="center"/>
              <w:rPr>
                <w:sz w:val="21"/>
                <w:szCs w:val="21"/>
                <w:lang w:bidi="ar"/>
              </w:rPr>
            </w:pPr>
            <w:r>
              <w:rPr>
                <w:sz w:val="21"/>
                <w:szCs w:val="21"/>
                <w:lang w:bidi="ar"/>
              </w:rPr>
              <w:t>紫外分光光度检测仪</w:t>
            </w:r>
          </w:p>
        </w:tc>
        <w:tc>
          <w:tcPr>
            <w:tcW w:w="2517" w:type="pct"/>
            <w:tcBorders>
              <w:top w:val="single" w:sz="2" w:space="0" w:color="000000"/>
              <w:bottom w:val="single" w:sz="2" w:space="0" w:color="000000"/>
            </w:tcBorders>
            <w:vAlign w:val="center"/>
          </w:tcPr>
          <w:p w14:paraId="5D4D3370"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366" w:type="pct"/>
            <w:tcBorders>
              <w:top w:val="single" w:sz="2" w:space="0" w:color="000000"/>
              <w:bottom w:val="single" w:sz="2" w:space="0" w:color="000000"/>
            </w:tcBorders>
            <w:vAlign w:val="center"/>
          </w:tcPr>
          <w:p w14:paraId="75BB4300"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2C0645BF" w14:textId="77777777" w:rsidR="003E78AB" w:rsidRDefault="003E78AB">
            <w:pPr>
              <w:spacing w:line="360" w:lineRule="exact"/>
              <w:ind w:firstLineChars="0" w:firstLine="0"/>
              <w:jc w:val="center"/>
              <w:textAlignment w:val="center"/>
              <w:rPr>
                <w:sz w:val="21"/>
                <w:szCs w:val="21"/>
                <w:lang w:bidi="ar"/>
              </w:rPr>
            </w:pPr>
          </w:p>
        </w:tc>
      </w:tr>
      <w:tr w:rsidR="003E78AB" w14:paraId="6C8818F8" w14:textId="77777777">
        <w:trPr>
          <w:trHeight w:val="472"/>
        </w:trPr>
        <w:tc>
          <w:tcPr>
            <w:tcW w:w="374" w:type="pct"/>
            <w:tcBorders>
              <w:top w:val="single" w:sz="2" w:space="0" w:color="000000"/>
              <w:bottom w:val="single" w:sz="2" w:space="0" w:color="000000"/>
            </w:tcBorders>
            <w:vAlign w:val="center"/>
          </w:tcPr>
          <w:p w14:paraId="4AEBC7EB"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565" w:type="pct"/>
            <w:vMerge/>
            <w:vAlign w:val="center"/>
          </w:tcPr>
          <w:p w14:paraId="52616427"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D4C0794" w14:textId="77777777" w:rsidR="003E78AB" w:rsidRDefault="00010BF9">
            <w:pPr>
              <w:spacing w:line="360" w:lineRule="exact"/>
              <w:ind w:firstLineChars="0" w:firstLine="0"/>
              <w:jc w:val="center"/>
              <w:textAlignment w:val="center"/>
              <w:rPr>
                <w:sz w:val="21"/>
                <w:szCs w:val="21"/>
                <w:lang w:bidi="ar"/>
              </w:rPr>
            </w:pPr>
            <w:r>
              <w:rPr>
                <w:sz w:val="21"/>
                <w:szCs w:val="21"/>
                <w:lang w:bidi="ar"/>
              </w:rPr>
              <w:t>阴极罐循环泵</w:t>
            </w:r>
          </w:p>
        </w:tc>
        <w:tc>
          <w:tcPr>
            <w:tcW w:w="2517" w:type="pct"/>
            <w:tcBorders>
              <w:top w:val="single" w:sz="2" w:space="0" w:color="000000"/>
              <w:bottom w:val="single" w:sz="2" w:space="0" w:color="000000"/>
            </w:tcBorders>
            <w:vAlign w:val="center"/>
          </w:tcPr>
          <w:p w14:paraId="68CBA9AE" w14:textId="77777777" w:rsidR="003E78AB" w:rsidRDefault="00010BF9">
            <w:pPr>
              <w:spacing w:line="360" w:lineRule="exact"/>
              <w:ind w:firstLineChars="0" w:firstLine="0"/>
              <w:jc w:val="center"/>
              <w:textAlignment w:val="center"/>
              <w:rPr>
                <w:sz w:val="21"/>
                <w:szCs w:val="21"/>
                <w:lang w:bidi="ar"/>
              </w:rPr>
            </w:pPr>
            <w:r>
              <w:rPr>
                <w:sz w:val="21"/>
                <w:szCs w:val="21"/>
                <w:lang w:bidi="ar"/>
              </w:rPr>
              <w:t>Q=4.8m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68396E39"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331" w:type="pct"/>
            <w:vMerge/>
            <w:vAlign w:val="center"/>
          </w:tcPr>
          <w:p w14:paraId="7E465DC4" w14:textId="77777777" w:rsidR="003E78AB" w:rsidRDefault="003E78AB">
            <w:pPr>
              <w:spacing w:line="360" w:lineRule="exact"/>
              <w:ind w:firstLineChars="0" w:firstLine="0"/>
              <w:jc w:val="center"/>
              <w:textAlignment w:val="center"/>
              <w:rPr>
                <w:sz w:val="21"/>
                <w:szCs w:val="21"/>
                <w:lang w:bidi="ar"/>
              </w:rPr>
            </w:pPr>
          </w:p>
        </w:tc>
      </w:tr>
      <w:tr w:rsidR="003E78AB" w14:paraId="7E7172E9" w14:textId="77777777">
        <w:trPr>
          <w:trHeight w:val="471"/>
        </w:trPr>
        <w:tc>
          <w:tcPr>
            <w:tcW w:w="374" w:type="pct"/>
            <w:tcBorders>
              <w:top w:val="single" w:sz="2" w:space="0" w:color="000000"/>
              <w:bottom w:val="single" w:sz="2" w:space="0" w:color="000000"/>
            </w:tcBorders>
            <w:vAlign w:val="center"/>
          </w:tcPr>
          <w:p w14:paraId="3C32CA2B" w14:textId="77777777" w:rsidR="003E78AB" w:rsidRDefault="00010BF9">
            <w:pPr>
              <w:spacing w:line="360" w:lineRule="exact"/>
              <w:ind w:firstLineChars="0" w:firstLine="0"/>
              <w:jc w:val="center"/>
              <w:textAlignment w:val="center"/>
              <w:rPr>
                <w:sz w:val="21"/>
                <w:szCs w:val="21"/>
                <w:lang w:bidi="ar"/>
              </w:rPr>
            </w:pPr>
            <w:r>
              <w:rPr>
                <w:sz w:val="21"/>
                <w:szCs w:val="21"/>
                <w:lang w:bidi="ar"/>
              </w:rPr>
              <w:t>17</w:t>
            </w:r>
          </w:p>
        </w:tc>
        <w:tc>
          <w:tcPr>
            <w:tcW w:w="565" w:type="pct"/>
            <w:vMerge/>
            <w:vAlign w:val="center"/>
          </w:tcPr>
          <w:p w14:paraId="0382B90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4900059F" w14:textId="77777777" w:rsidR="003E78AB" w:rsidRDefault="00010BF9">
            <w:pPr>
              <w:spacing w:line="360" w:lineRule="exact"/>
              <w:ind w:firstLineChars="0" w:firstLine="0"/>
              <w:jc w:val="center"/>
              <w:textAlignment w:val="center"/>
              <w:rPr>
                <w:sz w:val="21"/>
                <w:szCs w:val="21"/>
                <w:lang w:bidi="ar"/>
              </w:rPr>
            </w:pPr>
            <w:r>
              <w:rPr>
                <w:sz w:val="21"/>
                <w:szCs w:val="21"/>
                <w:lang w:bidi="ar"/>
              </w:rPr>
              <w:t>阴极罐转料泵</w:t>
            </w:r>
          </w:p>
        </w:tc>
        <w:tc>
          <w:tcPr>
            <w:tcW w:w="2517" w:type="pct"/>
            <w:tcBorders>
              <w:top w:val="single" w:sz="2" w:space="0" w:color="000000"/>
              <w:bottom w:val="single" w:sz="2" w:space="0" w:color="000000"/>
            </w:tcBorders>
            <w:vAlign w:val="center"/>
          </w:tcPr>
          <w:p w14:paraId="20E48FB0" w14:textId="77777777" w:rsidR="003E78AB" w:rsidRDefault="00010BF9">
            <w:pPr>
              <w:spacing w:line="360" w:lineRule="exact"/>
              <w:ind w:firstLineChars="0" w:firstLine="0"/>
              <w:jc w:val="center"/>
              <w:textAlignment w:val="center"/>
              <w:rPr>
                <w:sz w:val="21"/>
                <w:szCs w:val="21"/>
                <w:lang w:bidi="ar"/>
              </w:rPr>
            </w:pPr>
            <w:r>
              <w:rPr>
                <w:sz w:val="21"/>
                <w:szCs w:val="21"/>
                <w:lang w:bidi="ar"/>
              </w:rPr>
              <w:t>Q=25m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7B690E21" w14:textId="77777777" w:rsidR="003E78AB" w:rsidRDefault="00010BF9">
            <w:pPr>
              <w:spacing w:line="360" w:lineRule="exact"/>
              <w:ind w:firstLineChars="0" w:firstLine="0"/>
              <w:jc w:val="center"/>
              <w:textAlignment w:val="center"/>
              <w:rPr>
                <w:sz w:val="21"/>
                <w:szCs w:val="21"/>
                <w:lang w:bidi="ar"/>
              </w:rPr>
            </w:pPr>
            <w:r>
              <w:rPr>
                <w:sz w:val="21"/>
                <w:szCs w:val="21"/>
                <w:lang w:bidi="ar"/>
              </w:rPr>
              <w:t>8</w:t>
            </w:r>
          </w:p>
        </w:tc>
        <w:tc>
          <w:tcPr>
            <w:tcW w:w="331" w:type="pct"/>
            <w:vMerge/>
            <w:vAlign w:val="center"/>
          </w:tcPr>
          <w:p w14:paraId="084FF4DD" w14:textId="77777777" w:rsidR="003E78AB" w:rsidRDefault="003E78AB">
            <w:pPr>
              <w:spacing w:line="360" w:lineRule="exact"/>
              <w:ind w:firstLineChars="0" w:firstLine="0"/>
              <w:jc w:val="center"/>
              <w:textAlignment w:val="center"/>
              <w:rPr>
                <w:sz w:val="21"/>
                <w:szCs w:val="21"/>
                <w:lang w:bidi="ar"/>
              </w:rPr>
            </w:pPr>
          </w:p>
        </w:tc>
      </w:tr>
      <w:tr w:rsidR="003E78AB" w14:paraId="34C25853" w14:textId="77777777">
        <w:trPr>
          <w:trHeight w:val="315"/>
        </w:trPr>
        <w:tc>
          <w:tcPr>
            <w:tcW w:w="374" w:type="pct"/>
            <w:tcBorders>
              <w:top w:val="single" w:sz="2" w:space="0" w:color="000000"/>
              <w:bottom w:val="single" w:sz="2" w:space="0" w:color="000000"/>
            </w:tcBorders>
            <w:vAlign w:val="center"/>
          </w:tcPr>
          <w:p w14:paraId="6152506D" w14:textId="77777777" w:rsidR="003E78AB" w:rsidRDefault="00010BF9">
            <w:pPr>
              <w:spacing w:line="360" w:lineRule="exact"/>
              <w:ind w:firstLineChars="0" w:firstLine="0"/>
              <w:jc w:val="center"/>
              <w:textAlignment w:val="center"/>
              <w:rPr>
                <w:sz w:val="21"/>
                <w:szCs w:val="21"/>
                <w:lang w:bidi="ar"/>
              </w:rPr>
            </w:pPr>
            <w:r>
              <w:rPr>
                <w:sz w:val="21"/>
                <w:szCs w:val="21"/>
                <w:lang w:bidi="ar"/>
              </w:rPr>
              <w:t>18</w:t>
            </w:r>
          </w:p>
        </w:tc>
        <w:tc>
          <w:tcPr>
            <w:tcW w:w="565" w:type="pct"/>
            <w:vMerge/>
            <w:vAlign w:val="center"/>
          </w:tcPr>
          <w:p w14:paraId="2DE44223"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8C9F8B5" w14:textId="77777777" w:rsidR="003E78AB" w:rsidRDefault="00010BF9">
            <w:pPr>
              <w:spacing w:line="360" w:lineRule="exact"/>
              <w:ind w:firstLineChars="0" w:firstLine="0"/>
              <w:jc w:val="center"/>
              <w:textAlignment w:val="center"/>
              <w:rPr>
                <w:sz w:val="21"/>
                <w:szCs w:val="21"/>
                <w:lang w:bidi="ar"/>
              </w:rPr>
            </w:pPr>
            <w:r>
              <w:rPr>
                <w:sz w:val="21"/>
                <w:szCs w:val="21"/>
                <w:lang w:bidi="ar"/>
              </w:rPr>
              <w:t>超精密过滤器</w:t>
            </w:r>
          </w:p>
        </w:tc>
        <w:tc>
          <w:tcPr>
            <w:tcW w:w="2517" w:type="pct"/>
            <w:tcBorders>
              <w:top w:val="single" w:sz="2" w:space="0" w:color="000000"/>
              <w:bottom w:val="single" w:sz="2" w:space="0" w:color="000000"/>
            </w:tcBorders>
            <w:vAlign w:val="center"/>
          </w:tcPr>
          <w:p w14:paraId="6756EFE0" w14:textId="77777777" w:rsidR="003E78AB" w:rsidRDefault="00010BF9">
            <w:pPr>
              <w:spacing w:line="360" w:lineRule="exact"/>
              <w:ind w:firstLineChars="0" w:firstLine="0"/>
              <w:jc w:val="center"/>
              <w:textAlignment w:val="center"/>
              <w:rPr>
                <w:sz w:val="21"/>
                <w:szCs w:val="21"/>
                <w:lang w:bidi="ar"/>
              </w:rPr>
            </w:pPr>
            <w:r>
              <w:rPr>
                <w:sz w:val="21"/>
                <w:szCs w:val="21"/>
                <w:lang w:bidi="ar"/>
              </w:rPr>
              <w:t>Q=10m</w:t>
            </w:r>
            <w:r>
              <w:rPr>
                <w:sz w:val="21"/>
                <w:szCs w:val="21"/>
                <w:vertAlign w:val="superscript"/>
                <w:lang w:bidi="ar"/>
              </w:rPr>
              <w:t>3</w:t>
            </w:r>
            <w:r>
              <w:rPr>
                <w:sz w:val="21"/>
                <w:szCs w:val="21"/>
                <w:lang w:bidi="ar"/>
              </w:rPr>
              <w:t>/h</w:t>
            </w:r>
            <w:r>
              <w:rPr>
                <w:sz w:val="21"/>
                <w:szCs w:val="21"/>
                <w:lang w:bidi="ar"/>
              </w:rPr>
              <w:t>，过滤精度</w:t>
            </w:r>
            <w:r>
              <w:rPr>
                <w:sz w:val="21"/>
                <w:szCs w:val="21"/>
                <w:lang w:bidi="ar"/>
              </w:rPr>
              <w:t>0.45μm</w:t>
            </w:r>
          </w:p>
        </w:tc>
        <w:tc>
          <w:tcPr>
            <w:tcW w:w="366" w:type="pct"/>
            <w:tcBorders>
              <w:top w:val="single" w:sz="2" w:space="0" w:color="000000"/>
              <w:bottom w:val="single" w:sz="2" w:space="0" w:color="000000"/>
            </w:tcBorders>
            <w:vAlign w:val="center"/>
          </w:tcPr>
          <w:p w14:paraId="0D3D4017"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331" w:type="pct"/>
            <w:vMerge/>
            <w:vAlign w:val="center"/>
          </w:tcPr>
          <w:p w14:paraId="01D0726C" w14:textId="77777777" w:rsidR="003E78AB" w:rsidRDefault="003E78AB">
            <w:pPr>
              <w:spacing w:line="360" w:lineRule="exact"/>
              <w:ind w:firstLineChars="0" w:firstLine="0"/>
              <w:jc w:val="center"/>
              <w:textAlignment w:val="center"/>
              <w:rPr>
                <w:sz w:val="21"/>
                <w:szCs w:val="21"/>
                <w:lang w:bidi="ar"/>
              </w:rPr>
            </w:pPr>
          </w:p>
        </w:tc>
      </w:tr>
      <w:tr w:rsidR="003E78AB" w14:paraId="57F2FB95" w14:textId="77777777">
        <w:trPr>
          <w:trHeight w:val="315"/>
        </w:trPr>
        <w:tc>
          <w:tcPr>
            <w:tcW w:w="374" w:type="pct"/>
            <w:tcBorders>
              <w:top w:val="single" w:sz="2" w:space="0" w:color="000000"/>
              <w:bottom w:val="single" w:sz="2" w:space="0" w:color="000000"/>
            </w:tcBorders>
            <w:vAlign w:val="center"/>
          </w:tcPr>
          <w:p w14:paraId="1EC33FC0" w14:textId="77777777" w:rsidR="003E78AB" w:rsidRDefault="00010BF9">
            <w:pPr>
              <w:spacing w:line="360" w:lineRule="exact"/>
              <w:ind w:firstLineChars="0" w:firstLine="0"/>
              <w:jc w:val="center"/>
              <w:textAlignment w:val="center"/>
              <w:rPr>
                <w:sz w:val="21"/>
                <w:szCs w:val="21"/>
                <w:lang w:bidi="ar"/>
              </w:rPr>
            </w:pPr>
            <w:r>
              <w:rPr>
                <w:sz w:val="21"/>
                <w:szCs w:val="21"/>
                <w:lang w:bidi="ar"/>
              </w:rPr>
              <w:t>19</w:t>
            </w:r>
          </w:p>
        </w:tc>
        <w:tc>
          <w:tcPr>
            <w:tcW w:w="565" w:type="pct"/>
            <w:vMerge/>
            <w:vAlign w:val="center"/>
          </w:tcPr>
          <w:p w14:paraId="437159D4"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E8FF2E1" w14:textId="77777777" w:rsidR="003E78AB" w:rsidRDefault="00010BF9">
            <w:pPr>
              <w:spacing w:line="360" w:lineRule="exact"/>
              <w:ind w:firstLineChars="0" w:firstLine="0"/>
              <w:jc w:val="center"/>
              <w:textAlignment w:val="center"/>
              <w:rPr>
                <w:sz w:val="21"/>
                <w:szCs w:val="21"/>
                <w:lang w:bidi="ar"/>
              </w:rPr>
            </w:pPr>
            <w:r>
              <w:rPr>
                <w:sz w:val="21"/>
                <w:szCs w:val="21"/>
                <w:lang w:bidi="ar"/>
              </w:rPr>
              <w:t>阳极罐</w:t>
            </w:r>
          </w:p>
        </w:tc>
        <w:tc>
          <w:tcPr>
            <w:tcW w:w="2517" w:type="pct"/>
            <w:tcBorders>
              <w:top w:val="single" w:sz="2" w:space="0" w:color="000000"/>
              <w:bottom w:val="single" w:sz="2" w:space="0" w:color="000000"/>
            </w:tcBorders>
            <w:vAlign w:val="center"/>
          </w:tcPr>
          <w:p w14:paraId="23658BEA" w14:textId="77777777" w:rsidR="003E78AB" w:rsidRDefault="00010BF9">
            <w:pPr>
              <w:spacing w:line="360" w:lineRule="exact"/>
              <w:ind w:firstLineChars="0" w:firstLine="0"/>
              <w:jc w:val="center"/>
              <w:textAlignment w:val="center"/>
              <w:rPr>
                <w:sz w:val="21"/>
                <w:szCs w:val="21"/>
                <w:lang w:bidi="ar"/>
              </w:rPr>
            </w:pPr>
            <w:r>
              <w:rPr>
                <w:sz w:val="21"/>
                <w:szCs w:val="21"/>
                <w:lang w:bidi="ar"/>
              </w:rPr>
              <w:t>全容积</w:t>
            </w:r>
            <w:r>
              <w:rPr>
                <w:sz w:val="21"/>
                <w:szCs w:val="21"/>
                <w:lang w:bidi="ar"/>
              </w:rPr>
              <w:t>15m</w:t>
            </w:r>
            <w:r>
              <w:rPr>
                <w:sz w:val="21"/>
                <w:szCs w:val="21"/>
                <w:vertAlign w:val="superscript"/>
                <w:lang w:bidi="ar"/>
              </w:rPr>
              <w:t>3</w:t>
            </w:r>
          </w:p>
        </w:tc>
        <w:tc>
          <w:tcPr>
            <w:tcW w:w="366" w:type="pct"/>
            <w:tcBorders>
              <w:top w:val="single" w:sz="2" w:space="0" w:color="000000"/>
              <w:bottom w:val="single" w:sz="2" w:space="0" w:color="000000"/>
            </w:tcBorders>
            <w:vAlign w:val="center"/>
          </w:tcPr>
          <w:p w14:paraId="09B55253"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31" w:type="pct"/>
            <w:vMerge/>
            <w:vAlign w:val="center"/>
          </w:tcPr>
          <w:p w14:paraId="0C23E41E" w14:textId="77777777" w:rsidR="003E78AB" w:rsidRDefault="003E78AB">
            <w:pPr>
              <w:spacing w:line="360" w:lineRule="exact"/>
              <w:ind w:firstLineChars="0" w:firstLine="0"/>
              <w:jc w:val="center"/>
              <w:textAlignment w:val="center"/>
              <w:rPr>
                <w:sz w:val="21"/>
                <w:szCs w:val="21"/>
                <w:lang w:bidi="ar"/>
              </w:rPr>
            </w:pPr>
          </w:p>
        </w:tc>
      </w:tr>
      <w:tr w:rsidR="003E78AB" w14:paraId="670BCE18" w14:textId="77777777">
        <w:trPr>
          <w:trHeight w:val="472"/>
        </w:trPr>
        <w:tc>
          <w:tcPr>
            <w:tcW w:w="374" w:type="pct"/>
            <w:tcBorders>
              <w:top w:val="single" w:sz="2" w:space="0" w:color="000000"/>
              <w:bottom w:val="single" w:sz="2" w:space="0" w:color="000000"/>
            </w:tcBorders>
            <w:vAlign w:val="center"/>
          </w:tcPr>
          <w:p w14:paraId="1FAA752C" w14:textId="77777777" w:rsidR="003E78AB" w:rsidRDefault="00010BF9">
            <w:pPr>
              <w:spacing w:line="360" w:lineRule="exact"/>
              <w:ind w:firstLineChars="0" w:firstLine="0"/>
              <w:jc w:val="center"/>
              <w:textAlignment w:val="center"/>
              <w:rPr>
                <w:sz w:val="21"/>
                <w:szCs w:val="21"/>
                <w:lang w:bidi="ar"/>
              </w:rPr>
            </w:pPr>
            <w:r>
              <w:rPr>
                <w:sz w:val="21"/>
                <w:szCs w:val="21"/>
                <w:lang w:bidi="ar"/>
              </w:rPr>
              <w:t>20</w:t>
            </w:r>
          </w:p>
        </w:tc>
        <w:tc>
          <w:tcPr>
            <w:tcW w:w="565" w:type="pct"/>
            <w:vMerge/>
            <w:vAlign w:val="center"/>
          </w:tcPr>
          <w:p w14:paraId="695DDDFE"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11A3E47" w14:textId="77777777" w:rsidR="003E78AB" w:rsidRDefault="00010BF9">
            <w:pPr>
              <w:spacing w:line="360" w:lineRule="exact"/>
              <w:ind w:firstLineChars="0" w:firstLine="0"/>
              <w:jc w:val="center"/>
              <w:textAlignment w:val="center"/>
              <w:rPr>
                <w:sz w:val="21"/>
                <w:szCs w:val="21"/>
                <w:lang w:bidi="ar"/>
              </w:rPr>
            </w:pPr>
            <w:r>
              <w:rPr>
                <w:sz w:val="21"/>
                <w:szCs w:val="21"/>
                <w:lang w:bidi="ar"/>
              </w:rPr>
              <w:t>阳极罐循环泵</w:t>
            </w:r>
          </w:p>
        </w:tc>
        <w:tc>
          <w:tcPr>
            <w:tcW w:w="2517" w:type="pct"/>
            <w:tcBorders>
              <w:top w:val="single" w:sz="2" w:space="0" w:color="000000"/>
              <w:bottom w:val="single" w:sz="2" w:space="0" w:color="000000"/>
            </w:tcBorders>
            <w:vAlign w:val="center"/>
          </w:tcPr>
          <w:p w14:paraId="76D3FDEF" w14:textId="77777777" w:rsidR="003E78AB" w:rsidRDefault="00010BF9">
            <w:pPr>
              <w:spacing w:line="360" w:lineRule="exact"/>
              <w:ind w:firstLineChars="0" w:firstLine="0"/>
              <w:jc w:val="center"/>
              <w:textAlignment w:val="center"/>
              <w:rPr>
                <w:sz w:val="21"/>
                <w:szCs w:val="21"/>
                <w:lang w:bidi="ar"/>
              </w:rPr>
            </w:pPr>
            <w:r>
              <w:rPr>
                <w:sz w:val="21"/>
                <w:szCs w:val="21"/>
                <w:lang w:bidi="ar"/>
              </w:rPr>
              <w:t>Q=5.4m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3DC1B95A"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331" w:type="pct"/>
            <w:vMerge/>
            <w:vAlign w:val="center"/>
          </w:tcPr>
          <w:p w14:paraId="4BF09187" w14:textId="77777777" w:rsidR="003E78AB" w:rsidRDefault="003E78AB">
            <w:pPr>
              <w:spacing w:line="360" w:lineRule="exact"/>
              <w:ind w:firstLineChars="0" w:firstLine="0"/>
              <w:jc w:val="center"/>
              <w:textAlignment w:val="center"/>
              <w:rPr>
                <w:sz w:val="21"/>
                <w:szCs w:val="21"/>
                <w:lang w:bidi="ar"/>
              </w:rPr>
            </w:pPr>
          </w:p>
        </w:tc>
      </w:tr>
      <w:tr w:rsidR="003E78AB" w14:paraId="5CB6ED69" w14:textId="77777777">
        <w:trPr>
          <w:trHeight w:val="315"/>
        </w:trPr>
        <w:tc>
          <w:tcPr>
            <w:tcW w:w="374" w:type="pct"/>
            <w:tcBorders>
              <w:top w:val="single" w:sz="2" w:space="0" w:color="000000"/>
              <w:bottom w:val="single" w:sz="2" w:space="0" w:color="000000"/>
            </w:tcBorders>
            <w:vAlign w:val="center"/>
          </w:tcPr>
          <w:p w14:paraId="4AEE57B1" w14:textId="77777777" w:rsidR="003E78AB" w:rsidRDefault="00010BF9">
            <w:pPr>
              <w:spacing w:line="360" w:lineRule="exact"/>
              <w:ind w:firstLineChars="0" w:firstLine="0"/>
              <w:jc w:val="center"/>
              <w:textAlignment w:val="center"/>
              <w:rPr>
                <w:sz w:val="21"/>
                <w:szCs w:val="21"/>
                <w:lang w:bidi="ar"/>
              </w:rPr>
            </w:pPr>
            <w:r>
              <w:rPr>
                <w:sz w:val="21"/>
                <w:szCs w:val="21"/>
                <w:lang w:bidi="ar"/>
              </w:rPr>
              <w:t>21</w:t>
            </w:r>
          </w:p>
        </w:tc>
        <w:tc>
          <w:tcPr>
            <w:tcW w:w="565" w:type="pct"/>
            <w:vMerge/>
            <w:vAlign w:val="center"/>
          </w:tcPr>
          <w:p w14:paraId="34A70D80"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7BDA612" w14:textId="77777777" w:rsidR="003E78AB" w:rsidRDefault="00010BF9">
            <w:pPr>
              <w:spacing w:line="360" w:lineRule="exact"/>
              <w:ind w:firstLineChars="0" w:firstLine="0"/>
              <w:jc w:val="center"/>
              <w:textAlignment w:val="center"/>
              <w:rPr>
                <w:sz w:val="21"/>
                <w:szCs w:val="21"/>
                <w:lang w:bidi="ar"/>
              </w:rPr>
            </w:pPr>
            <w:r>
              <w:rPr>
                <w:sz w:val="21"/>
                <w:szCs w:val="21"/>
                <w:lang w:bidi="ar"/>
              </w:rPr>
              <w:t>超精密过滤器</w:t>
            </w:r>
          </w:p>
        </w:tc>
        <w:tc>
          <w:tcPr>
            <w:tcW w:w="2517" w:type="pct"/>
            <w:tcBorders>
              <w:top w:val="single" w:sz="2" w:space="0" w:color="000000"/>
              <w:bottom w:val="single" w:sz="2" w:space="0" w:color="000000"/>
            </w:tcBorders>
            <w:vAlign w:val="center"/>
          </w:tcPr>
          <w:p w14:paraId="1198A75B" w14:textId="77777777" w:rsidR="003E78AB" w:rsidRDefault="00010BF9">
            <w:pPr>
              <w:spacing w:line="360" w:lineRule="exact"/>
              <w:ind w:firstLineChars="0" w:firstLine="0"/>
              <w:jc w:val="center"/>
              <w:textAlignment w:val="center"/>
              <w:rPr>
                <w:sz w:val="21"/>
                <w:szCs w:val="21"/>
                <w:lang w:bidi="ar"/>
              </w:rPr>
            </w:pPr>
            <w:r>
              <w:rPr>
                <w:sz w:val="21"/>
                <w:szCs w:val="21"/>
                <w:lang w:bidi="ar"/>
              </w:rPr>
              <w:t>Q=10m</w:t>
            </w:r>
            <w:r>
              <w:rPr>
                <w:sz w:val="21"/>
                <w:szCs w:val="21"/>
                <w:vertAlign w:val="superscript"/>
                <w:lang w:bidi="ar"/>
              </w:rPr>
              <w:t>3</w:t>
            </w:r>
            <w:r>
              <w:rPr>
                <w:sz w:val="21"/>
                <w:szCs w:val="21"/>
                <w:lang w:bidi="ar"/>
              </w:rPr>
              <w:t>/h</w:t>
            </w:r>
            <w:r>
              <w:rPr>
                <w:sz w:val="21"/>
                <w:szCs w:val="21"/>
                <w:lang w:bidi="ar"/>
              </w:rPr>
              <w:t>，过滤精度</w:t>
            </w:r>
            <w:r>
              <w:rPr>
                <w:sz w:val="21"/>
                <w:szCs w:val="21"/>
                <w:lang w:bidi="ar"/>
              </w:rPr>
              <w:t>0.45μm</w:t>
            </w:r>
          </w:p>
        </w:tc>
        <w:tc>
          <w:tcPr>
            <w:tcW w:w="366" w:type="pct"/>
            <w:tcBorders>
              <w:top w:val="single" w:sz="2" w:space="0" w:color="000000"/>
              <w:bottom w:val="single" w:sz="2" w:space="0" w:color="000000"/>
            </w:tcBorders>
            <w:vAlign w:val="center"/>
          </w:tcPr>
          <w:p w14:paraId="285904FC"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31" w:type="pct"/>
            <w:vMerge/>
            <w:vAlign w:val="center"/>
          </w:tcPr>
          <w:p w14:paraId="7A20F07D" w14:textId="77777777" w:rsidR="003E78AB" w:rsidRDefault="003E78AB">
            <w:pPr>
              <w:spacing w:line="360" w:lineRule="exact"/>
              <w:ind w:firstLineChars="0" w:firstLine="0"/>
              <w:jc w:val="center"/>
              <w:textAlignment w:val="center"/>
              <w:rPr>
                <w:sz w:val="21"/>
                <w:szCs w:val="21"/>
                <w:lang w:bidi="ar"/>
              </w:rPr>
            </w:pPr>
          </w:p>
        </w:tc>
      </w:tr>
      <w:tr w:rsidR="003E78AB" w14:paraId="6CF59954" w14:textId="77777777">
        <w:trPr>
          <w:trHeight w:val="315"/>
        </w:trPr>
        <w:tc>
          <w:tcPr>
            <w:tcW w:w="374" w:type="pct"/>
            <w:tcBorders>
              <w:top w:val="single" w:sz="2" w:space="0" w:color="000000"/>
              <w:bottom w:val="single" w:sz="2" w:space="0" w:color="000000"/>
            </w:tcBorders>
            <w:vAlign w:val="center"/>
          </w:tcPr>
          <w:p w14:paraId="70BEB4AD" w14:textId="77777777" w:rsidR="003E78AB" w:rsidRDefault="00010BF9">
            <w:pPr>
              <w:spacing w:line="360" w:lineRule="exact"/>
              <w:ind w:firstLineChars="0" w:firstLine="0"/>
              <w:jc w:val="center"/>
              <w:textAlignment w:val="center"/>
              <w:rPr>
                <w:sz w:val="21"/>
                <w:szCs w:val="21"/>
                <w:lang w:bidi="ar"/>
              </w:rPr>
            </w:pPr>
            <w:r>
              <w:rPr>
                <w:sz w:val="21"/>
                <w:szCs w:val="21"/>
                <w:lang w:bidi="ar"/>
              </w:rPr>
              <w:t>22</w:t>
            </w:r>
          </w:p>
        </w:tc>
        <w:tc>
          <w:tcPr>
            <w:tcW w:w="565" w:type="pct"/>
            <w:vMerge/>
            <w:vAlign w:val="center"/>
          </w:tcPr>
          <w:p w14:paraId="5F264163"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9A76C92" w14:textId="77777777" w:rsidR="003E78AB" w:rsidRDefault="00010BF9">
            <w:pPr>
              <w:spacing w:line="360" w:lineRule="exact"/>
              <w:ind w:firstLineChars="0" w:firstLine="0"/>
              <w:jc w:val="center"/>
              <w:textAlignment w:val="center"/>
              <w:rPr>
                <w:sz w:val="21"/>
                <w:szCs w:val="21"/>
                <w:lang w:bidi="ar"/>
              </w:rPr>
            </w:pPr>
            <w:r>
              <w:rPr>
                <w:sz w:val="21"/>
                <w:szCs w:val="21"/>
                <w:lang w:bidi="ar"/>
              </w:rPr>
              <w:t>电解液事故罐</w:t>
            </w:r>
          </w:p>
        </w:tc>
        <w:tc>
          <w:tcPr>
            <w:tcW w:w="2517" w:type="pct"/>
            <w:tcBorders>
              <w:top w:val="single" w:sz="2" w:space="0" w:color="000000"/>
              <w:bottom w:val="single" w:sz="2" w:space="0" w:color="000000"/>
            </w:tcBorders>
            <w:vAlign w:val="center"/>
          </w:tcPr>
          <w:p w14:paraId="06FD15AD" w14:textId="77777777" w:rsidR="003E78AB" w:rsidRDefault="00010BF9">
            <w:pPr>
              <w:spacing w:line="360" w:lineRule="exact"/>
              <w:ind w:firstLineChars="0" w:firstLine="0"/>
              <w:jc w:val="center"/>
              <w:textAlignment w:val="center"/>
              <w:rPr>
                <w:sz w:val="21"/>
                <w:szCs w:val="21"/>
                <w:lang w:bidi="ar"/>
              </w:rPr>
            </w:pPr>
            <w:r>
              <w:rPr>
                <w:sz w:val="21"/>
                <w:szCs w:val="21"/>
                <w:lang w:bidi="ar"/>
              </w:rPr>
              <w:t>全容积</w:t>
            </w:r>
            <w:r>
              <w:rPr>
                <w:sz w:val="21"/>
                <w:szCs w:val="21"/>
                <w:lang w:bidi="ar"/>
              </w:rPr>
              <w:t>15m</w:t>
            </w:r>
            <w:r>
              <w:rPr>
                <w:sz w:val="21"/>
                <w:szCs w:val="21"/>
                <w:vertAlign w:val="superscript"/>
                <w:lang w:bidi="ar"/>
              </w:rPr>
              <w:t>3</w:t>
            </w:r>
          </w:p>
        </w:tc>
        <w:tc>
          <w:tcPr>
            <w:tcW w:w="366" w:type="pct"/>
            <w:tcBorders>
              <w:top w:val="single" w:sz="2" w:space="0" w:color="000000"/>
              <w:bottom w:val="single" w:sz="2" w:space="0" w:color="000000"/>
            </w:tcBorders>
            <w:vAlign w:val="center"/>
          </w:tcPr>
          <w:p w14:paraId="36355242"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36A18199" w14:textId="77777777" w:rsidR="003E78AB" w:rsidRDefault="003E78AB">
            <w:pPr>
              <w:spacing w:line="360" w:lineRule="exact"/>
              <w:ind w:firstLineChars="0" w:firstLine="0"/>
              <w:jc w:val="center"/>
              <w:textAlignment w:val="center"/>
              <w:rPr>
                <w:sz w:val="21"/>
                <w:szCs w:val="21"/>
                <w:lang w:bidi="ar"/>
              </w:rPr>
            </w:pPr>
          </w:p>
        </w:tc>
      </w:tr>
      <w:tr w:rsidR="003E78AB" w14:paraId="45908B89" w14:textId="77777777">
        <w:trPr>
          <w:trHeight w:val="472"/>
        </w:trPr>
        <w:tc>
          <w:tcPr>
            <w:tcW w:w="374" w:type="pct"/>
            <w:tcBorders>
              <w:top w:val="single" w:sz="2" w:space="0" w:color="000000"/>
              <w:bottom w:val="single" w:sz="2" w:space="0" w:color="000000"/>
            </w:tcBorders>
            <w:vAlign w:val="center"/>
          </w:tcPr>
          <w:p w14:paraId="2508280C" w14:textId="77777777" w:rsidR="003E78AB" w:rsidRDefault="00010BF9">
            <w:pPr>
              <w:spacing w:line="360" w:lineRule="exact"/>
              <w:ind w:firstLineChars="0" w:firstLine="0"/>
              <w:jc w:val="center"/>
              <w:textAlignment w:val="center"/>
              <w:rPr>
                <w:sz w:val="21"/>
                <w:szCs w:val="21"/>
                <w:lang w:bidi="ar"/>
              </w:rPr>
            </w:pPr>
            <w:r>
              <w:rPr>
                <w:sz w:val="21"/>
                <w:szCs w:val="21"/>
                <w:lang w:bidi="ar"/>
              </w:rPr>
              <w:t>23</w:t>
            </w:r>
          </w:p>
        </w:tc>
        <w:tc>
          <w:tcPr>
            <w:tcW w:w="565" w:type="pct"/>
            <w:vMerge/>
            <w:vAlign w:val="center"/>
          </w:tcPr>
          <w:p w14:paraId="44F52A0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C593372" w14:textId="77777777" w:rsidR="003E78AB" w:rsidRDefault="00010BF9">
            <w:pPr>
              <w:spacing w:line="360" w:lineRule="exact"/>
              <w:ind w:firstLineChars="0" w:firstLine="0"/>
              <w:jc w:val="center"/>
              <w:textAlignment w:val="center"/>
              <w:rPr>
                <w:sz w:val="21"/>
                <w:szCs w:val="21"/>
                <w:lang w:bidi="ar"/>
              </w:rPr>
            </w:pPr>
            <w:r>
              <w:rPr>
                <w:sz w:val="21"/>
                <w:szCs w:val="21"/>
                <w:lang w:bidi="ar"/>
              </w:rPr>
              <w:t>事故罐输送泵</w:t>
            </w:r>
          </w:p>
        </w:tc>
        <w:tc>
          <w:tcPr>
            <w:tcW w:w="2517" w:type="pct"/>
            <w:tcBorders>
              <w:top w:val="single" w:sz="2" w:space="0" w:color="000000"/>
              <w:bottom w:val="single" w:sz="2" w:space="0" w:color="000000"/>
            </w:tcBorders>
            <w:vAlign w:val="center"/>
          </w:tcPr>
          <w:p w14:paraId="5517500A" w14:textId="77777777" w:rsidR="003E78AB" w:rsidRDefault="00010BF9">
            <w:pPr>
              <w:spacing w:line="360" w:lineRule="exact"/>
              <w:ind w:firstLineChars="0" w:firstLine="0"/>
              <w:jc w:val="center"/>
              <w:textAlignment w:val="center"/>
              <w:rPr>
                <w:sz w:val="21"/>
                <w:szCs w:val="21"/>
                <w:lang w:bidi="ar"/>
              </w:rPr>
            </w:pPr>
            <w:r>
              <w:rPr>
                <w:sz w:val="21"/>
                <w:szCs w:val="21"/>
                <w:lang w:bidi="ar"/>
              </w:rPr>
              <w:t>Q=3m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7A666F3D"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46C66EAC" w14:textId="77777777" w:rsidR="003E78AB" w:rsidRDefault="003E78AB">
            <w:pPr>
              <w:spacing w:line="360" w:lineRule="exact"/>
              <w:ind w:firstLineChars="0" w:firstLine="0"/>
              <w:jc w:val="center"/>
              <w:textAlignment w:val="center"/>
              <w:rPr>
                <w:sz w:val="21"/>
                <w:szCs w:val="21"/>
                <w:lang w:bidi="ar"/>
              </w:rPr>
            </w:pPr>
          </w:p>
        </w:tc>
      </w:tr>
      <w:tr w:rsidR="003E78AB" w14:paraId="68DEDA5C" w14:textId="77777777">
        <w:trPr>
          <w:trHeight w:val="315"/>
        </w:trPr>
        <w:tc>
          <w:tcPr>
            <w:tcW w:w="374" w:type="pct"/>
            <w:tcBorders>
              <w:top w:val="single" w:sz="2" w:space="0" w:color="000000"/>
              <w:bottom w:val="single" w:sz="2" w:space="0" w:color="000000"/>
            </w:tcBorders>
            <w:vAlign w:val="center"/>
          </w:tcPr>
          <w:p w14:paraId="5545D272" w14:textId="77777777" w:rsidR="003E78AB" w:rsidRDefault="00010BF9">
            <w:pPr>
              <w:spacing w:line="360" w:lineRule="exact"/>
              <w:ind w:firstLineChars="0" w:firstLine="0"/>
              <w:jc w:val="center"/>
              <w:textAlignment w:val="center"/>
              <w:rPr>
                <w:sz w:val="21"/>
                <w:szCs w:val="21"/>
                <w:lang w:bidi="ar"/>
              </w:rPr>
            </w:pPr>
            <w:r>
              <w:rPr>
                <w:sz w:val="21"/>
                <w:szCs w:val="21"/>
                <w:lang w:bidi="ar"/>
              </w:rPr>
              <w:t>24</w:t>
            </w:r>
          </w:p>
        </w:tc>
        <w:tc>
          <w:tcPr>
            <w:tcW w:w="565" w:type="pct"/>
            <w:vMerge/>
            <w:vAlign w:val="center"/>
          </w:tcPr>
          <w:p w14:paraId="72A74AC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6ECE607" w14:textId="77777777" w:rsidR="003E78AB" w:rsidRDefault="00010BF9">
            <w:pPr>
              <w:spacing w:line="360" w:lineRule="exact"/>
              <w:ind w:firstLineChars="0" w:firstLine="0"/>
              <w:jc w:val="center"/>
              <w:textAlignment w:val="center"/>
              <w:rPr>
                <w:sz w:val="21"/>
                <w:szCs w:val="21"/>
                <w:lang w:bidi="ar"/>
              </w:rPr>
            </w:pPr>
            <w:r>
              <w:rPr>
                <w:sz w:val="21"/>
                <w:szCs w:val="21"/>
                <w:lang w:bidi="ar"/>
              </w:rPr>
              <w:t>电解堆</w:t>
            </w:r>
          </w:p>
        </w:tc>
        <w:tc>
          <w:tcPr>
            <w:tcW w:w="2517" w:type="pct"/>
            <w:tcBorders>
              <w:top w:val="single" w:sz="2" w:space="0" w:color="000000"/>
              <w:bottom w:val="single" w:sz="2" w:space="0" w:color="000000"/>
            </w:tcBorders>
            <w:vAlign w:val="center"/>
          </w:tcPr>
          <w:p w14:paraId="19414854" w14:textId="77777777" w:rsidR="003E78AB" w:rsidRDefault="003E78AB">
            <w:pPr>
              <w:spacing w:line="360" w:lineRule="exact"/>
              <w:ind w:firstLineChars="0" w:firstLine="0"/>
              <w:jc w:val="center"/>
              <w:textAlignment w:val="center"/>
              <w:rPr>
                <w:sz w:val="21"/>
                <w:szCs w:val="21"/>
                <w:lang w:bidi="ar"/>
              </w:rPr>
            </w:pPr>
          </w:p>
        </w:tc>
        <w:tc>
          <w:tcPr>
            <w:tcW w:w="366" w:type="pct"/>
            <w:tcBorders>
              <w:top w:val="single" w:sz="2" w:space="0" w:color="000000"/>
              <w:bottom w:val="single" w:sz="2" w:space="0" w:color="000000"/>
            </w:tcBorders>
            <w:vAlign w:val="center"/>
          </w:tcPr>
          <w:p w14:paraId="78807150" w14:textId="77777777" w:rsidR="003E78AB" w:rsidRDefault="00010BF9">
            <w:pPr>
              <w:spacing w:line="360" w:lineRule="exact"/>
              <w:ind w:firstLineChars="0" w:firstLine="0"/>
              <w:jc w:val="center"/>
              <w:textAlignment w:val="center"/>
              <w:rPr>
                <w:sz w:val="21"/>
                <w:szCs w:val="21"/>
                <w:lang w:bidi="ar"/>
              </w:rPr>
            </w:pPr>
            <w:r>
              <w:rPr>
                <w:sz w:val="21"/>
                <w:szCs w:val="21"/>
                <w:lang w:bidi="ar"/>
              </w:rPr>
              <w:t>16</w:t>
            </w:r>
          </w:p>
        </w:tc>
        <w:tc>
          <w:tcPr>
            <w:tcW w:w="331" w:type="pct"/>
            <w:vMerge/>
            <w:vAlign w:val="center"/>
          </w:tcPr>
          <w:p w14:paraId="7288101B" w14:textId="77777777" w:rsidR="003E78AB" w:rsidRDefault="003E78AB">
            <w:pPr>
              <w:spacing w:line="360" w:lineRule="exact"/>
              <w:ind w:firstLineChars="0" w:firstLine="0"/>
              <w:jc w:val="center"/>
              <w:textAlignment w:val="center"/>
              <w:rPr>
                <w:sz w:val="21"/>
                <w:szCs w:val="21"/>
                <w:lang w:bidi="ar"/>
              </w:rPr>
            </w:pPr>
          </w:p>
        </w:tc>
      </w:tr>
      <w:tr w:rsidR="003E78AB" w14:paraId="41A55AB3" w14:textId="77777777">
        <w:trPr>
          <w:trHeight w:val="708"/>
        </w:trPr>
        <w:tc>
          <w:tcPr>
            <w:tcW w:w="374" w:type="pct"/>
            <w:tcBorders>
              <w:top w:val="single" w:sz="2" w:space="0" w:color="000000"/>
              <w:bottom w:val="single" w:sz="2" w:space="0" w:color="000000"/>
            </w:tcBorders>
            <w:vAlign w:val="center"/>
          </w:tcPr>
          <w:p w14:paraId="486BF3AE" w14:textId="77777777" w:rsidR="003E78AB" w:rsidRDefault="00010BF9">
            <w:pPr>
              <w:spacing w:line="360" w:lineRule="exact"/>
              <w:ind w:firstLineChars="0" w:firstLine="0"/>
              <w:jc w:val="center"/>
              <w:textAlignment w:val="center"/>
              <w:rPr>
                <w:sz w:val="21"/>
                <w:szCs w:val="21"/>
                <w:lang w:bidi="ar"/>
              </w:rPr>
            </w:pPr>
            <w:r>
              <w:rPr>
                <w:sz w:val="21"/>
                <w:szCs w:val="21"/>
                <w:lang w:bidi="ar"/>
              </w:rPr>
              <w:t>25</w:t>
            </w:r>
          </w:p>
        </w:tc>
        <w:tc>
          <w:tcPr>
            <w:tcW w:w="565" w:type="pct"/>
            <w:vMerge/>
            <w:vAlign w:val="center"/>
          </w:tcPr>
          <w:p w14:paraId="7070488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E9A6517" w14:textId="77777777" w:rsidR="003E78AB" w:rsidRDefault="00010BF9">
            <w:pPr>
              <w:spacing w:line="360" w:lineRule="exact"/>
              <w:ind w:firstLineChars="0" w:firstLine="0"/>
              <w:jc w:val="center"/>
              <w:textAlignment w:val="center"/>
              <w:rPr>
                <w:sz w:val="21"/>
                <w:szCs w:val="21"/>
                <w:lang w:bidi="ar"/>
              </w:rPr>
            </w:pPr>
            <w:r>
              <w:rPr>
                <w:sz w:val="21"/>
                <w:szCs w:val="21"/>
                <w:lang w:bidi="ar"/>
              </w:rPr>
              <w:t>定容釜</w:t>
            </w:r>
          </w:p>
        </w:tc>
        <w:tc>
          <w:tcPr>
            <w:tcW w:w="2517" w:type="pct"/>
            <w:tcBorders>
              <w:top w:val="single" w:sz="2" w:space="0" w:color="000000"/>
              <w:bottom w:val="single" w:sz="2" w:space="0" w:color="000000"/>
            </w:tcBorders>
            <w:vAlign w:val="center"/>
          </w:tcPr>
          <w:p w14:paraId="2424F04F" w14:textId="77777777" w:rsidR="003E78AB" w:rsidRDefault="00010BF9">
            <w:pPr>
              <w:spacing w:line="360" w:lineRule="exact"/>
              <w:ind w:firstLineChars="0" w:firstLine="0"/>
              <w:jc w:val="center"/>
              <w:textAlignment w:val="center"/>
              <w:rPr>
                <w:sz w:val="21"/>
                <w:szCs w:val="21"/>
                <w:lang w:bidi="ar"/>
              </w:rPr>
            </w:pPr>
            <w:r>
              <w:rPr>
                <w:sz w:val="21"/>
                <w:szCs w:val="21"/>
                <w:lang w:bidi="ar"/>
              </w:rPr>
              <w:t>DN3200×4500</w:t>
            </w:r>
            <w:r>
              <w:rPr>
                <w:sz w:val="21"/>
                <w:szCs w:val="21"/>
                <w:lang w:bidi="ar"/>
              </w:rPr>
              <w:t>，液位高度</w:t>
            </w:r>
            <w:r>
              <w:rPr>
                <w:sz w:val="21"/>
                <w:szCs w:val="21"/>
                <w:lang w:bidi="ar"/>
              </w:rPr>
              <w:t>3900</w:t>
            </w:r>
            <w:r>
              <w:rPr>
                <w:sz w:val="21"/>
                <w:szCs w:val="21"/>
                <w:lang w:bidi="ar"/>
              </w:rPr>
              <w:t>，全容积</w:t>
            </w:r>
            <w:r>
              <w:rPr>
                <w:sz w:val="21"/>
                <w:szCs w:val="21"/>
                <w:lang w:bidi="ar"/>
              </w:rPr>
              <w:t>36.2m</w:t>
            </w:r>
            <w:r>
              <w:rPr>
                <w:sz w:val="21"/>
                <w:szCs w:val="21"/>
                <w:vertAlign w:val="superscript"/>
                <w:lang w:bidi="ar"/>
              </w:rPr>
              <w:t>3</w:t>
            </w:r>
            <w:r>
              <w:rPr>
                <w:sz w:val="21"/>
                <w:szCs w:val="21"/>
                <w:lang w:bidi="ar"/>
              </w:rPr>
              <w:t>；进料量</w:t>
            </w:r>
            <w:r>
              <w:rPr>
                <w:sz w:val="21"/>
                <w:szCs w:val="21"/>
                <w:lang w:bidi="ar"/>
              </w:rPr>
              <w:t>24m</w:t>
            </w:r>
            <w:r>
              <w:rPr>
                <w:sz w:val="21"/>
                <w:szCs w:val="21"/>
                <w:vertAlign w:val="superscript"/>
                <w:lang w:bidi="ar"/>
              </w:rPr>
              <w:t>3</w:t>
            </w:r>
            <w:r>
              <w:rPr>
                <w:sz w:val="21"/>
                <w:szCs w:val="21"/>
                <w:lang w:bidi="ar"/>
              </w:rPr>
              <w:t>，定容后物料量</w:t>
            </w:r>
            <w:r>
              <w:rPr>
                <w:sz w:val="21"/>
                <w:szCs w:val="21"/>
                <w:lang w:bidi="ar"/>
              </w:rPr>
              <w:t>31m</w:t>
            </w:r>
            <w:r>
              <w:rPr>
                <w:sz w:val="21"/>
                <w:szCs w:val="21"/>
                <w:vertAlign w:val="superscript"/>
                <w:lang w:bidi="ar"/>
              </w:rPr>
              <w:t>3</w:t>
            </w:r>
            <w:r>
              <w:rPr>
                <w:sz w:val="21"/>
                <w:szCs w:val="21"/>
                <w:lang w:bidi="ar"/>
              </w:rPr>
              <w:t>，带搅拌，双层桨叶式搅拌，转速</w:t>
            </w:r>
            <w:r>
              <w:rPr>
                <w:sz w:val="21"/>
                <w:szCs w:val="21"/>
                <w:lang w:bidi="ar"/>
              </w:rPr>
              <w:t>60r/min</w:t>
            </w:r>
          </w:p>
        </w:tc>
        <w:tc>
          <w:tcPr>
            <w:tcW w:w="366" w:type="pct"/>
            <w:tcBorders>
              <w:top w:val="single" w:sz="2" w:space="0" w:color="000000"/>
              <w:bottom w:val="single" w:sz="2" w:space="0" w:color="000000"/>
            </w:tcBorders>
            <w:vAlign w:val="center"/>
          </w:tcPr>
          <w:p w14:paraId="3823CF15" w14:textId="77777777" w:rsidR="003E78AB" w:rsidRDefault="00010BF9">
            <w:pPr>
              <w:spacing w:line="360" w:lineRule="exact"/>
              <w:ind w:firstLineChars="0" w:firstLine="0"/>
              <w:jc w:val="center"/>
              <w:textAlignment w:val="center"/>
              <w:rPr>
                <w:sz w:val="21"/>
                <w:szCs w:val="21"/>
                <w:lang w:bidi="ar"/>
              </w:rPr>
            </w:pPr>
            <w:r>
              <w:rPr>
                <w:sz w:val="21"/>
                <w:szCs w:val="21"/>
                <w:lang w:bidi="ar"/>
              </w:rPr>
              <w:t>8</w:t>
            </w:r>
          </w:p>
        </w:tc>
        <w:tc>
          <w:tcPr>
            <w:tcW w:w="331" w:type="pct"/>
            <w:vMerge/>
            <w:vAlign w:val="center"/>
          </w:tcPr>
          <w:p w14:paraId="50CC1DF0" w14:textId="77777777" w:rsidR="003E78AB" w:rsidRDefault="003E78AB">
            <w:pPr>
              <w:spacing w:line="360" w:lineRule="exact"/>
              <w:ind w:firstLineChars="0" w:firstLine="0"/>
              <w:jc w:val="center"/>
              <w:textAlignment w:val="center"/>
              <w:rPr>
                <w:sz w:val="21"/>
                <w:szCs w:val="21"/>
                <w:lang w:bidi="ar"/>
              </w:rPr>
            </w:pPr>
          </w:p>
        </w:tc>
      </w:tr>
      <w:tr w:rsidR="003E78AB" w14:paraId="73244FF4" w14:textId="77777777">
        <w:trPr>
          <w:trHeight w:val="471"/>
        </w:trPr>
        <w:tc>
          <w:tcPr>
            <w:tcW w:w="374" w:type="pct"/>
            <w:tcBorders>
              <w:top w:val="single" w:sz="2" w:space="0" w:color="000000"/>
              <w:bottom w:val="single" w:sz="2" w:space="0" w:color="000000"/>
            </w:tcBorders>
            <w:vAlign w:val="center"/>
          </w:tcPr>
          <w:p w14:paraId="7F956F0C" w14:textId="77777777" w:rsidR="003E78AB" w:rsidRDefault="00010BF9">
            <w:pPr>
              <w:spacing w:line="360" w:lineRule="exact"/>
              <w:ind w:firstLineChars="0" w:firstLine="0"/>
              <w:jc w:val="center"/>
              <w:textAlignment w:val="center"/>
              <w:rPr>
                <w:sz w:val="21"/>
                <w:szCs w:val="21"/>
                <w:lang w:bidi="ar"/>
              </w:rPr>
            </w:pPr>
            <w:r>
              <w:rPr>
                <w:sz w:val="21"/>
                <w:szCs w:val="21"/>
                <w:lang w:bidi="ar"/>
              </w:rPr>
              <w:t>26</w:t>
            </w:r>
          </w:p>
        </w:tc>
        <w:tc>
          <w:tcPr>
            <w:tcW w:w="565" w:type="pct"/>
            <w:vMerge/>
            <w:vAlign w:val="center"/>
          </w:tcPr>
          <w:p w14:paraId="22D22063"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23147B5" w14:textId="77777777" w:rsidR="003E78AB" w:rsidRDefault="00010BF9">
            <w:pPr>
              <w:spacing w:line="360" w:lineRule="exact"/>
              <w:ind w:firstLineChars="0" w:firstLine="0"/>
              <w:jc w:val="center"/>
              <w:textAlignment w:val="center"/>
              <w:rPr>
                <w:sz w:val="21"/>
                <w:szCs w:val="21"/>
                <w:lang w:bidi="ar"/>
              </w:rPr>
            </w:pPr>
            <w:r>
              <w:rPr>
                <w:sz w:val="21"/>
                <w:szCs w:val="21"/>
                <w:lang w:bidi="ar"/>
              </w:rPr>
              <w:t>定容釜转料泵</w:t>
            </w:r>
          </w:p>
        </w:tc>
        <w:tc>
          <w:tcPr>
            <w:tcW w:w="2517" w:type="pct"/>
            <w:tcBorders>
              <w:top w:val="single" w:sz="2" w:space="0" w:color="000000"/>
              <w:bottom w:val="single" w:sz="2" w:space="0" w:color="000000"/>
            </w:tcBorders>
            <w:vAlign w:val="center"/>
          </w:tcPr>
          <w:p w14:paraId="6798F179" w14:textId="77777777" w:rsidR="003E78AB" w:rsidRDefault="00010BF9">
            <w:pPr>
              <w:spacing w:line="360" w:lineRule="exact"/>
              <w:ind w:firstLineChars="0" w:firstLine="0"/>
              <w:jc w:val="center"/>
              <w:textAlignment w:val="center"/>
              <w:rPr>
                <w:sz w:val="21"/>
                <w:szCs w:val="21"/>
                <w:lang w:bidi="ar"/>
              </w:rPr>
            </w:pPr>
            <w:r>
              <w:rPr>
                <w:sz w:val="21"/>
                <w:szCs w:val="21"/>
                <w:lang w:bidi="ar"/>
              </w:rPr>
              <w:t>Q=25m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71749F92"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221AA478" w14:textId="77777777" w:rsidR="003E78AB" w:rsidRDefault="003E78AB">
            <w:pPr>
              <w:spacing w:line="360" w:lineRule="exact"/>
              <w:ind w:firstLineChars="0" w:firstLine="0"/>
              <w:jc w:val="center"/>
              <w:textAlignment w:val="center"/>
              <w:rPr>
                <w:sz w:val="21"/>
                <w:szCs w:val="21"/>
                <w:lang w:bidi="ar"/>
              </w:rPr>
            </w:pPr>
          </w:p>
        </w:tc>
      </w:tr>
      <w:tr w:rsidR="003E78AB" w14:paraId="6D8990DF" w14:textId="77777777">
        <w:trPr>
          <w:trHeight w:val="315"/>
        </w:trPr>
        <w:tc>
          <w:tcPr>
            <w:tcW w:w="374" w:type="pct"/>
            <w:tcBorders>
              <w:top w:val="single" w:sz="2" w:space="0" w:color="000000"/>
              <w:bottom w:val="single" w:sz="2" w:space="0" w:color="000000"/>
            </w:tcBorders>
            <w:vAlign w:val="center"/>
          </w:tcPr>
          <w:p w14:paraId="531C44F7" w14:textId="77777777" w:rsidR="003E78AB" w:rsidRDefault="00010BF9">
            <w:pPr>
              <w:spacing w:line="360" w:lineRule="exact"/>
              <w:ind w:firstLineChars="0" w:firstLine="0"/>
              <w:jc w:val="center"/>
              <w:textAlignment w:val="center"/>
              <w:rPr>
                <w:sz w:val="21"/>
                <w:szCs w:val="21"/>
                <w:lang w:bidi="ar"/>
              </w:rPr>
            </w:pPr>
            <w:r>
              <w:rPr>
                <w:sz w:val="21"/>
                <w:szCs w:val="21"/>
                <w:lang w:bidi="ar"/>
              </w:rPr>
              <w:t>27</w:t>
            </w:r>
          </w:p>
        </w:tc>
        <w:tc>
          <w:tcPr>
            <w:tcW w:w="565" w:type="pct"/>
            <w:vMerge/>
            <w:vAlign w:val="center"/>
          </w:tcPr>
          <w:p w14:paraId="7E8EA55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416A3D92"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磷酸计量罐</w:t>
            </w:r>
          </w:p>
        </w:tc>
        <w:tc>
          <w:tcPr>
            <w:tcW w:w="2517" w:type="pct"/>
            <w:tcBorders>
              <w:top w:val="single" w:sz="2" w:space="0" w:color="000000"/>
              <w:bottom w:val="single" w:sz="2" w:space="0" w:color="000000"/>
            </w:tcBorders>
            <w:vAlign w:val="center"/>
          </w:tcPr>
          <w:p w14:paraId="23C8D5CB" w14:textId="77777777" w:rsidR="003E78AB" w:rsidRDefault="00010BF9">
            <w:pPr>
              <w:spacing w:line="360" w:lineRule="exact"/>
              <w:ind w:firstLineChars="0" w:firstLine="0"/>
              <w:jc w:val="center"/>
              <w:textAlignment w:val="center"/>
              <w:rPr>
                <w:sz w:val="21"/>
                <w:szCs w:val="21"/>
                <w:lang w:bidi="ar"/>
              </w:rPr>
            </w:pPr>
            <w:r>
              <w:rPr>
                <w:sz w:val="21"/>
                <w:szCs w:val="21"/>
                <w:lang w:bidi="ar"/>
              </w:rPr>
              <w:t>DN700×800</w:t>
            </w:r>
            <w:r>
              <w:rPr>
                <w:sz w:val="21"/>
                <w:szCs w:val="21"/>
                <w:lang w:bidi="ar"/>
              </w:rPr>
              <w:t>，容积</w:t>
            </w:r>
            <w:r>
              <w:rPr>
                <w:sz w:val="21"/>
                <w:szCs w:val="21"/>
                <w:lang w:bidi="ar"/>
              </w:rPr>
              <w:t>0.3m</w:t>
            </w:r>
            <w:r>
              <w:rPr>
                <w:sz w:val="21"/>
                <w:szCs w:val="21"/>
                <w:vertAlign w:val="superscript"/>
                <w:lang w:bidi="ar"/>
              </w:rPr>
              <w:t>3</w:t>
            </w:r>
            <w:r>
              <w:rPr>
                <w:sz w:val="21"/>
                <w:szCs w:val="21"/>
                <w:lang w:bidi="ar"/>
              </w:rPr>
              <w:t>，平顶下封头</w:t>
            </w:r>
          </w:p>
        </w:tc>
        <w:tc>
          <w:tcPr>
            <w:tcW w:w="366" w:type="pct"/>
            <w:tcBorders>
              <w:top w:val="single" w:sz="2" w:space="0" w:color="000000"/>
              <w:bottom w:val="single" w:sz="2" w:space="0" w:color="000000"/>
            </w:tcBorders>
            <w:vAlign w:val="center"/>
          </w:tcPr>
          <w:p w14:paraId="6ABE98B9" w14:textId="77777777" w:rsidR="003E78AB" w:rsidRDefault="00010BF9">
            <w:pPr>
              <w:spacing w:line="360" w:lineRule="exact"/>
              <w:ind w:firstLineChars="0" w:firstLine="0"/>
              <w:jc w:val="center"/>
              <w:textAlignment w:val="center"/>
              <w:rPr>
                <w:sz w:val="21"/>
                <w:szCs w:val="21"/>
                <w:lang w:bidi="ar"/>
              </w:rPr>
            </w:pPr>
            <w:r>
              <w:rPr>
                <w:sz w:val="21"/>
                <w:szCs w:val="21"/>
                <w:lang w:bidi="ar"/>
              </w:rPr>
              <w:t>8</w:t>
            </w:r>
          </w:p>
        </w:tc>
        <w:tc>
          <w:tcPr>
            <w:tcW w:w="331" w:type="pct"/>
            <w:vMerge/>
            <w:tcBorders>
              <w:bottom w:val="single" w:sz="2" w:space="0" w:color="000000"/>
            </w:tcBorders>
            <w:vAlign w:val="center"/>
          </w:tcPr>
          <w:p w14:paraId="2CF5D217" w14:textId="77777777" w:rsidR="003E78AB" w:rsidRDefault="003E78AB">
            <w:pPr>
              <w:spacing w:line="360" w:lineRule="exact"/>
              <w:ind w:firstLineChars="0" w:firstLine="0"/>
              <w:jc w:val="center"/>
              <w:textAlignment w:val="center"/>
              <w:rPr>
                <w:sz w:val="21"/>
                <w:szCs w:val="21"/>
                <w:lang w:bidi="ar"/>
              </w:rPr>
            </w:pPr>
          </w:p>
        </w:tc>
      </w:tr>
      <w:tr w:rsidR="003E78AB" w14:paraId="5DA03ADF" w14:textId="77777777">
        <w:trPr>
          <w:trHeight w:val="315"/>
        </w:trPr>
        <w:tc>
          <w:tcPr>
            <w:tcW w:w="374" w:type="pct"/>
            <w:tcBorders>
              <w:top w:val="single" w:sz="2" w:space="0" w:color="000000"/>
              <w:bottom w:val="single" w:sz="2" w:space="0" w:color="000000"/>
            </w:tcBorders>
            <w:vAlign w:val="center"/>
          </w:tcPr>
          <w:p w14:paraId="5187B704" w14:textId="77777777" w:rsidR="003E78AB" w:rsidRDefault="00010BF9">
            <w:pPr>
              <w:spacing w:line="360" w:lineRule="exact"/>
              <w:ind w:firstLineChars="0" w:firstLine="0"/>
              <w:jc w:val="center"/>
              <w:textAlignment w:val="center"/>
              <w:rPr>
                <w:sz w:val="21"/>
                <w:szCs w:val="21"/>
                <w:lang w:bidi="ar"/>
              </w:rPr>
            </w:pPr>
            <w:r>
              <w:rPr>
                <w:sz w:val="21"/>
                <w:szCs w:val="21"/>
                <w:lang w:bidi="ar"/>
              </w:rPr>
              <w:t>28</w:t>
            </w:r>
          </w:p>
        </w:tc>
        <w:tc>
          <w:tcPr>
            <w:tcW w:w="565" w:type="pct"/>
            <w:vMerge/>
            <w:vAlign w:val="center"/>
          </w:tcPr>
          <w:p w14:paraId="5E8505F8"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042DC0D" w14:textId="77777777" w:rsidR="003E78AB" w:rsidRDefault="00010BF9">
            <w:pPr>
              <w:spacing w:line="360" w:lineRule="exact"/>
              <w:ind w:firstLineChars="0" w:firstLine="0"/>
              <w:jc w:val="center"/>
              <w:textAlignment w:val="center"/>
              <w:rPr>
                <w:sz w:val="21"/>
                <w:szCs w:val="21"/>
                <w:lang w:bidi="ar"/>
              </w:rPr>
            </w:pPr>
            <w:r>
              <w:rPr>
                <w:sz w:val="21"/>
                <w:szCs w:val="21"/>
                <w:lang w:bidi="ar"/>
              </w:rPr>
              <w:t>水环真空泵组</w:t>
            </w:r>
          </w:p>
        </w:tc>
        <w:tc>
          <w:tcPr>
            <w:tcW w:w="2517" w:type="pct"/>
            <w:tcBorders>
              <w:top w:val="single" w:sz="2" w:space="0" w:color="000000"/>
              <w:bottom w:val="single" w:sz="2" w:space="0" w:color="000000"/>
            </w:tcBorders>
            <w:vAlign w:val="center"/>
          </w:tcPr>
          <w:p w14:paraId="1000BA37" w14:textId="77777777" w:rsidR="003E78AB" w:rsidRDefault="00010BF9">
            <w:pPr>
              <w:spacing w:line="360" w:lineRule="exact"/>
              <w:ind w:firstLineChars="0" w:firstLine="0"/>
              <w:jc w:val="center"/>
              <w:textAlignment w:val="center"/>
              <w:rPr>
                <w:sz w:val="21"/>
                <w:szCs w:val="21"/>
                <w:lang w:bidi="ar"/>
              </w:rPr>
            </w:pPr>
            <w:r>
              <w:rPr>
                <w:sz w:val="21"/>
                <w:szCs w:val="21"/>
                <w:lang w:bidi="ar"/>
              </w:rPr>
              <w:t>Q=50m</w:t>
            </w:r>
            <w:r>
              <w:rPr>
                <w:sz w:val="21"/>
                <w:szCs w:val="21"/>
                <w:vertAlign w:val="superscript"/>
                <w:lang w:bidi="ar"/>
              </w:rPr>
              <w:t>3</w:t>
            </w:r>
            <w:r>
              <w:rPr>
                <w:sz w:val="21"/>
                <w:szCs w:val="21"/>
                <w:lang w:bidi="ar"/>
              </w:rPr>
              <w:t>/min</w:t>
            </w:r>
          </w:p>
        </w:tc>
        <w:tc>
          <w:tcPr>
            <w:tcW w:w="366" w:type="pct"/>
            <w:tcBorders>
              <w:top w:val="single" w:sz="2" w:space="0" w:color="000000"/>
              <w:bottom w:val="single" w:sz="2" w:space="0" w:color="000000"/>
            </w:tcBorders>
            <w:vAlign w:val="center"/>
          </w:tcPr>
          <w:p w14:paraId="06F47B25"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restart"/>
            <w:tcBorders>
              <w:top w:val="single" w:sz="2" w:space="0" w:color="000000"/>
            </w:tcBorders>
            <w:vAlign w:val="center"/>
          </w:tcPr>
          <w:p w14:paraId="6C24DF87" w14:textId="77777777" w:rsidR="003E78AB" w:rsidRDefault="00010BF9">
            <w:pPr>
              <w:spacing w:line="360" w:lineRule="exact"/>
              <w:ind w:firstLineChars="0" w:firstLine="0"/>
              <w:jc w:val="center"/>
              <w:textAlignment w:val="center"/>
              <w:rPr>
                <w:sz w:val="21"/>
                <w:szCs w:val="21"/>
                <w:lang w:bidi="ar"/>
              </w:rPr>
            </w:pPr>
            <w:r>
              <w:rPr>
                <w:sz w:val="21"/>
                <w:szCs w:val="21"/>
                <w:lang w:bidi="ar"/>
              </w:rPr>
              <w:t>公用工程</w:t>
            </w:r>
          </w:p>
        </w:tc>
      </w:tr>
      <w:tr w:rsidR="003E78AB" w14:paraId="797F248B" w14:textId="77777777">
        <w:trPr>
          <w:trHeight w:val="315"/>
        </w:trPr>
        <w:tc>
          <w:tcPr>
            <w:tcW w:w="374" w:type="pct"/>
            <w:tcBorders>
              <w:top w:val="single" w:sz="2" w:space="0" w:color="000000"/>
              <w:bottom w:val="single" w:sz="2" w:space="0" w:color="000000"/>
            </w:tcBorders>
            <w:vAlign w:val="center"/>
          </w:tcPr>
          <w:p w14:paraId="66FF6E87" w14:textId="77777777" w:rsidR="003E78AB" w:rsidRDefault="00010BF9">
            <w:pPr>
              <w:spacing w:line="360" w:lineRule="exact"/>
              <w:ind w:firstLineChars="0" w:firstLine="0"/>
              <w:jc w:val="center"/>
              <w:textAlignment w:val="center"/>
              <w:rPr>
                <w:sz w:val="21"/>
                <w:szCs w:val="21"/>
                <w:lang w:bidi="ar"/>
              </w:rPr>
            </w:pPr>
            <w:r>
              <w:rPr>
                <w:sz w:val="21"/>
                <w:szCs w:val="21"/>
                <w:lang w:bidi="ar"/>
              </w:rPr>
              <w:t>29</w:t>
            </w:r>
          </w:p>
        </w:tc>
        <w:tc>
          <w:tcPr>
            <w:tcW w:w="565" w:type="pct"/>
            <w:vMerge/>
            <w:vAlign w:val="center"/>
          </w:tcPr>
          <w:p w14:paraId="704011FF"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4FF657C" w14:textId="77777777" w:rsidR="003E78AB" w:rsidRDefault="00010BF9">
            <w:pPr>
              <w:spacing w:line="360" w:lineRule="exact"/>
              <w:ind w:firstLineChars="0" w:firstLine="0"/>
              <w:jc w:val="center"/>
              <w:textAlignment w:val="center"/>
              <w:rPr>
                <w:sz w:val="21"/>
                <w:szCs w:val="21"/>
                <w:lang w:bidi="ar"/>
              </w:rPr>
            </w:pPr>
            <w:r>
              <w:rPr>
                <w:sz w:val="21"/>
                <w:szCs w:val="21"/>
                <w:lang w:bidi="ar"/>
              </w:rPr>
              <w:t>碱洗塔</w:t>
            </w:r>
          </w:p>
        </w:tc>
        <w:tc>
          <w:tcPr>
            <w:tcW w:w="2517" w:type="pct"/>
            <w:tcBorders>
              <w:top w:val="single" w:sz="2" w:space="0" w:color="000000"/>
              <w:bottom w:val="single" w:sz="2" w:space="0" w:color="000000"/>
            </w:tcBorders>
            <w:vAlign w:val="center"/>
          </w:tcPr>
          <w:p w14:paraId="34E53E02" w14:textId="77777777" w:rsidR="003E78AB" w:rsidRDefault="00010BF9">
            <w:pPr>
              <w:spacing w:line="360" w:lineRule="exact"/>
              <w:ind w:firstLineChars="0" w:firstLine="0"/>
              <w:jc w:val="center"/>
              <w:textAlignment w:val="center"/>
              <w:rPr>
                <w:sz w:val="21"/>
                <w:szCs w:val="21"/>
                <w:lang w:bidi="ar"/>
              </w:rPr>
            </w:pPr>
            <w:r>
              <w:rPr>
                <w:sz w:val="21"/>
                <w:szCs w:val="21"/>
                <w:lang w:bidi="ar"/>
              </w:rPr>
              <w:t>DN800</w:t>
            </w:r>
            <w:r>
              <w:rPr>
                <w:sz w:val="21"/>
                <w:szCs w:val="21"/>
                <w:lang w:bidi="ar"/>
              </w:rPr>
              <w:t>，玻璃钢</w:t>
            </w:r>
          </w:p>
        </w:tc>
        <w:tc>
          <w:tcPr>
            <w:tcW w:w="366" w:type="pct"/>
            <w:tcBorders>
              <w:top w:val="single" w:sz="2" w:space="0" w:color="000000"/>
              <w:bottom w:val="single" w:sz="2" w:space="0" w:color="000000"/>
            </w:tcBorders>
            <w:vAlign w:val="center"/>
          </w:tcPr>
          <w:p w14:paraId="5988A525"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6A347526" w14:textId="77777777" w:rsidR="003E78AB" w:rsidRDefault="003E78AB">
            <w:pPr>
              <w:spacing w:line="360" w:lineRule="exact"/>
              <w:ind w:firstLineChars="0" w:firstLine="0"/>
              <w:jc w:val="center"/>
              <w:textAlignment w:val="center"/>
              <w:rPr>
                <w:sz w:val="21"/>
                <w:szCs w:val="21"/>
                <w:lang w:bidi="ar"/>
              </w:rPr>
            </w:pPr>
          </w:p>
        </w:tc>
      </w:tr>
      <w:tr w:rsidR="003E78AB" w14:paraId="16B79F10" w14:textId="77777777">
        <w:trPr>
          <w:trHeight w:val="315"/>
        </w:trPr>
        <w:tc>
          <w:tcPr>
            <w:tcW w:w="374" w:type="pct"/>
            <w:tcBorders>
              <w:top w:val="single" w:sz="2" w:space="0" w:color="000000"/>
              <w:bottom w:val="single" w:sz="2" w:space="0" w:color="000000"/>
            </w:tcBorders>
            <w:vAlign w:val="center"/>
          </w:tcPr>
          <w:p w14:paraId="1DA9DE5C" w14:textId="77777777" w:rsidR="003E78AB" w:rsidRDefault="00010BF9">
            <w:pPr>
              <w:spacing w:line="360" w:lineRule="exact"/>
              <w:ind w:firstLineChars="0" w:firstLine="0"/>
              <w:jc w:val="center"/>
              <w:textAlignment w:val="center"/>
              <w:rPr>
                <w:sz w:val="21"/>
                <w:szCs w:val="21"/>
                <w:lang w:bidi="ar"/>
              </w:rPr>
            </w:pPr>
            <w:r>
              <w:rPr>
                <w:sz w:val="21"/>
                <w:szCs w:val="21"/>
                <w:lang w:bidi="ar"/>
              </w:rPr>
              <w:t>30</w:t>
            </w:r>
          </w:p>
        </w:tc>
        <w:tc>
          <w:tcPr>
            <w:tcW w:w="565" w:type="pct"/>
            <w:vMerge/>
            <w:vAlign w:val="center"/>
          </w:tcPr>
          <w:p w14:paraId="18C43EA0"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BA33360" w14:textId="77777777" w:rsidR="003E78AB" w:rsidRDefault="00010BF9">
            <w:pPr>
              <w:spacing w:line="360" w:lineRule="exact"/>
              <w:ind w:firstLineChars="0" w:firstLine="0"/>
              <w:jc w:val="center"/>
              <w:textAlignment w:val="center"/>
              <w:rPr>
                <w:sz w:val="21"/>
                <w:szCs w:val="21"/>
                <w:lang w:bidi="ar"/>
              </w:rPr>
            </w:pPr>
            <w:r>
              <w:rPr>
                <w:sz w:val="21"/>
                <w:szCs w:val="21"/>
                <w:lang w:bidi="ar"/>
              </w:rPr>
              <w:t>水洗塔</w:t>
            </w:r>
          </w:p>
        </w:tc>
        <w:tc>
          <w:tcPr>
            <w:tcW w:w="2517" w:type="pct"/>
            <w:tcBorders>
              <w:top w:val="single" w:sz="2" w:space="0" w:color="000000"/>
              <w:bottom w:val="single" w:sz="2" w:space="0" w:color="000000"/>
            </w:tcBorders>
            <w:vAlign w:val="center"/>
          </w:tcPr>
          <w:p w14:paraId="7EF6CD00" w14:textId="77777777" w:rsidR="003E78AB" w:rsidRDefault="00010BF9">
            <w:pPr>
              <w:spacing w:line="360" w:lineRule="exact"/>
              <w:ind w:firstLineChars="0" w:firstLine="0"/>
              <w:jc w:val="center"/>
              <w:textAlignment w:val="center"/>
              <w:rPr>
                <w:sz w:val="21"/>
                <w:szCs w:val="21"/>
                <w:lang w:bidi="ar"/>
              </w:rPr>
            </w:pPr>
            <w:r>
              <w:rPr>
                <w:sz w:val="21"/>
                <w:szCs w:val="21"/>
                <w:lang w:bidi="ar"/>
              </w:rPr>
              <w:t>DN800</w:t>
            </w:r>
            <w:r>
              <w:rPr>
                <w:sz w:val="21"/>
                <w:szCs w:val="21"/>
                <w:lang w:bidi="ar"/>
              </w:rPr>
              <w:t>，玻璃钢</w:t>
            </w:r>
          </w:p>
        </w:tc>
        <w:tc>
          <w:tcPr>
            <w:tcW w:w="366" w:type="pct"/>
            <w:tcBorders>
              <w:top w:val="single" w:sz="2" w:space="0" w:color="000000"/>
              <w:bottom w:val="single" w:sz="2" w:space="0" w:color="000000"/>
            </w:tcBorders>
            <w:vAlign w:val="center"/>
          </w:tcPr>
          <w:p w14:paraId="5D23851D"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36B69D27" w14:textId="77777777" w:rsidR="003E78AB" w:rsidRDefault="003E78AB">
            <w:pPr>
              <w:spacing w:line="360" w:lineRule="exact"/>
              <w:ind w:firstLineChars="0" w:firstLine="0"/>
              <w:jc w:val="center"/>
              <w:textAlignment w:val="center"/>
              <w:rPr>
                <w:sz w:val="21"/>
                <w:szCs w:val="21"/>
                <w:lang w:bidi="ar"/>
              </w:rPr>
            </w:pPr>
          </w:p>
        </w:tc>
      </w:tr>
      <w:tr w:rsidR="003E78AB" w14:paraId="5EE139CA" w14:textId="77777777">
        <w:trPr>
          <w:trHeight w:val="315"/>
        </w:trPr>
        <w:tc>
          <w:tcPr>
            <w:tcW w:w="374" w:type="pct"/>
            <w:tcBorders>
              <w:top w:val="single" w:sz="2" w:space="0" w:color="000000"/>
              <w:bottom w:val="single" w:sz="2" w:space="0" w:color="000000"/>
            </w:tcBorders>
            <w:vAlign w:val="center"/>
          </w:tcPr>
          <w:p w14:paraId="1D5DDDA4" w14:textId="77777777" w:rsidR="003E78AB" w:rsidRDefault="00010BF9">
            <w:pPr>
              <w:spacing w:line="360" w:lineRule="exact"/>
              <w:ind w:firstLineChars="0" w:firstLine="0"/>
              <w:jc w:val="center"/>
              <w:textAlignment w:val="center"/>
              <w:rPr>
                <w:sz w:val="21"/>
                <w:szCs w:val="21"/>
                <w:lang w:bidi="ar"/>
              </w:rPr>
            </w:pPr>
            <w:r>
              <w:rPr>
                <w:sz w:val="21"/>
                <w:szCs w:val="21"/>
                <w:lang w:bidi="ar"/>
              </w:rPr>
              <w:t>31</w:t>
            </w:r>
          </w:p>
        </w:tc>
        <w:tc>
          <w:tcPr>
            <w:tcW w:w="565" w:type="pct"/>
            <w:vMerge/>
            <w:vAlign w:val="center"/>
          </w:tcPr>
          <w:p w14:paraId="350C923A"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E529702" w14:textId="77777777" w:rsidR="003E78AB" w:rsidRDefault="00010BF9">
            <w:pPr>
              <w:spacing w:line="360" w:lineRule="exact"/>
              <w:ind w:firstLineChars="0" w:firstLine="0"/>
              <w:jc w:val="center"/>
              <w:textAlignment w:val="center"/>
              <w:rPr>
                <w:sz w:val="21"/>
                <w:szCs w:val="21"/>
                <w:lang w:bidi="ar"/>
              </w:rPr>
            </w:pPr>
            <w:r>
              <w:rPr>
                <w:sz w:val="21"/>
                <w:szCs w:val="21"/>
                <w:lang w:bidi="ar"/>
              </w:rPr>
              <w:t>碱洗塔循环泵</w:t>
            </w:r>
          </w:p>
        </w:tc>
        <w:tc>
          <w:tcPr>
            <w:tcW w:w="2517" w:type="pct"/>
            <w:tcBorders>
              <w:top w:val="single" w:sz="2" w:space="0" w:color="000000"/>
              <w:bottom w:val="single" w:sz="2" w:space="0" w:color="000000"/>
            </w:tcBorders>
            <w:vAlign w:val="center"/>
          </w:tcPr>
          <w:p w14:paraId="0177FCB3" w14:textId="77777777" w:rsidR="003E78AB" w:rsidRDefault="00010BF9">
            <w:pPr>
              <w:spacing w:line="360" w:lineRule="exact"/>
              <w:ind w:firstLineChars="0" w:firstLine="0"/>
              <w:jc w:val="center"/>
              <w:textAlignment w:val="center"/>
              <w:rPr>
                <w:sz w:val="21"/>
                <w:szCs w:val="21"/>
                <w:lang w:bidi="ar"/>
              </w:rPr>
            </w:pPr>
            <w:r>
              <w:rPr>
                <w:sz w:val="21"/>
                <w:szCs w:val="21"/>
                <w:lang w:bidi="ar"/>
              </w:rPr>
              <w:t>Q=12.5m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，卧式离心泵</w:t>
            </w:r>
          </w:p>
        </w:tc>
        <w:tc>
          <w:tcPr>
            <w:tcW w:w="366" w:type="pct"/>
            <w:tcBorders>
              <w:top w:val="single" w:sz="2" w:space="0" w:color="000000"/>
              <w:bottom w:val="single" w:sz="2" w:space="0" w:color="000000"/>
            </w:tcBorders>
            <w:vAlign w:val="center"/>
          </w:tcPr>
          <w:p w14:paraId="732611C0"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1683F1D5" w14:textId="77777777" w:rsidR="003E78AB" w:rsidRDefault="003E78AB">
            <w:pPr>
              <w:spacing w:line="360" w:lineRule="exact"/>
              <w:ind w:firstLineChars="0" w:firstLine="0"/>
              <w:jc w:val="center"/>
              <w:textAlignment w:val="center"/>
              <w:rPr>
                <w:sz w:val="21"/>
                <w:szCs w:val="21"/>
                <w:lang w:bidi="ar"/>
              </w:rPr>
            </w:pPr>
          </w:p>
        </w:tc>
      </w:tr>
      <w:tr w:rsidR="003E78AB" w14:paraId="1A3A4B24" w14:textId="77777777">
        <w:trPr>
          <w:trHeight w:val="315"/>
        </w:trPr>
        <w:tc>
          <w:tcPr>
            <w:tcW w:w="374" w:type="pct"/>
            <w:tcBorders>
              <w:top w:val="single" w:sz="2" w:space="0" w:color="000000"/>
              <w:bottom w:val="single" w:sz="2" w:space="0" w:color="000000"/>
            </w:tcBorders>
            <w:vAlign w:val="center"/>
          </w:tcPr>
          <w:p w14:paraId="0172EA2E" w14:textId="77777777" w:rsidR="003E78AB" w:rsidRDefault="00010BF9">
            <w:pPr>
              <w:spacing w:line="360" w:lineRule="exact"/>
              <w:ind w:firstLineChars="0" w:firstLine="0"/>
              <w:jc w:val="center"/>
              <w:textAlignment w:val="center"/>
              <w:rPr>
                <w:sz w:val="21"/>
                <w:szCs w:val="21"/>
                <w:lang w:bidi="ar"/>
              </w:rPr>
            </w:pPr>
            <w:r>
              <w:rPr>
                <w:sz w:val="21"/>
                <w:szCs w:val="21"/>
                <w:lang w:bidi="ar"/>
              </w:rPr>
              <w:t>32</w:t>
            </w:r>
          </w:p>
        </w:tc>
        <w:tc>
          <w:tcPr>
            <w:tcW w:w="565" w:type="pct"/>
            <w:vMerge/>
            <w:vAlign w:val="center"/>
          </w:tcPr>
          <w:p w14:paraId="308E9A7D"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9C97497" w14:textId="77777777" w:rsidR="003E78AB" w:rsidRDefault="00010BF9">
            <w:pPr>
              <w:spacing w:line="360" w:lineRule="exact"/>
              <w:ind w:firstLineChars="0" w:firstLine="0"/>
              <w:jc w:val="center"/>
              <w:textAlignment w:val="center"/>
              <w:rPr>
                <w:sz w:val="21"/>
                <w:szCs w:val="21"/>
                <w:lang w:bidi="ar"/>
              </w:rPr>
            </w:pPr>
            <w:r>
              <w:rPr>
                <w:sz w:val="21"/>
                <w:szCs w:val="21"/>
                <w:lang w:bidi="ar"/>
              </w:rPr>
              <w:t>水洗塔循环泵</w:t>
            </w:r>
          </w:p>
        </w:tc>
        <w:tc>
          <w:tcPr>
            <w:tcW w:w="2517" w:type="pct"/>
            <w:tcBorders>
              <w:top w:val="single" w:sz="2" w:space="0" w:color="000000"/>
              <w:bottom w:val="single" w:sz="2" w:space="0" w:color="000000"/>
            </w:tcBorders>
            <w:vAlign w:val="center"/>
          </w:tcPr>
          <w:p w14:paraId="708ABF9F" w14:textId="77777777" w:rsidR="003E78AB" w:rsidRDefault="00010BF9">
            <w:pPr>
              <w:spacing w:line="360" w:lineRule="exact"/>
              <w:ind w:firstLineChars="0" w:firstLine="0"/>
              <w:jc w:val="center"/>
              <w:textAlignment w:val="center"/>
              <w:rPr>
                <w:sz w:val="21"/>
                <w:szCs w:val="21"/>
                <w:lang w:bidi="ar"/>
              </w:rPr>
            </w:pPr>
            <w:r>
              <w:rPr>
                <w:sz w:val="21"/>
                <w:szCs w:val="21"/>
                <w:lang w:bidi="ar"/>
              </w:rPr>
              <w:t>Q=12.5m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，卧式离心泵</w:t>
            </w:r>
          </w:p>
        </w:tc>
        <w:tc>
          <w:tcPr>
            <w:tcW w:w="366" w:type="pct"/>
            <w:tcBorders>
              <w:top w:val="single" w:sz="2" w:space="0" w:color="000000"/>
              <w:bottom w:val="single" w:sz="2" w:space="0" w:color="000000"/>
            </w:tcBorders>
            <w:vAlign w:val="center"/>
          </w:tcPr>
          <w:p w14:paraId="15E63B8A"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3C86CB84" w14:textId="77777777" w:rsidR="003E78AB" w:rsidRDefault="003E78AB">
            <w:pPr>
              <w:spacing w:line="360" w:lineRule="exact"/>
              <w:ind w:firstLineChars="0" w:firstLine="0"/>
              <w:jc w:val="center"/>
              <w:textAlignment w:val="center"/>
              <w:rPr>
                <w:sz w:val="21"/>
                <w:szCs w:val="21"/>
                <w:lang w:bidi="ar"/>
              </w:rPr>
            </w:pPr>
          </w:p>
        </w:tc>
      </w:tr>
      <w:tr w:rsidR="003E78AB" w14:paraId="30668C48" w14:textId="77777777">
        <w:trPr>
          <w:trHeight w:val="315"/>
        </w:trPr>
        <w:tc>
          <w:tcPr>
            <w:tcW w:w="374" w:type="pct"/>
            <w:tcBorders>
              <w:top w:val="single" w:sz="2" w:space="0" w:color="000000"/>
              <w:bottom w:val="single" w:sz="2" w:space="0" w:color="000000"/>
            </w:tcBorders>
            <w:vAlign w:val="center"/>
          </w:tcPr>
          <w:p w14:paraId="496162CB" w14:textId="77777777" w:rsidR="003E78AB" w:rsidRDefault="00010BF9">
            <w:pPr>
              <w:spacing w:line="360" w:lineRule="exact"/>
              <w:ind w:firstLineChars="0" w:firstLine="0"/>
              <w:jc w:val="center"/>
              <w:textAlignment w:val="center"/>
              <w:rPr>
                <w:sz w:val="21"/>
                <w:szCs w:val="21"/>
                <w:lang w:bidi="ar"/>
              </w:rPr>
            </w:pPr>
            <w:r>
              <w:rPr>
                <w:sz w:val="21"/>
                <w:szCs w:val="21"/>
                <w:lang w:bidi="ar"/>
              </w:rPr>
              <w:t>33</w:t>
            </w:r>
          </w:p>
        </w:tc>
        <w:tc>
          <w:tcPr>
            <w:tcW w:w="565" w:type="pct"/>
            <w:vMerge/>
            <w:vAlign w:val="center"/>
          </w:tcPr>
          <w:p w14:paraId="3817E0DC"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71A2CF8" w14:textId="77777777" w:rsidR="003E78AB" w:rsidRDefault="00010BF9">
            <w:pPr>
              <w:spacing w:line="360" w:lineRule="exact"/>
              <w:ind w:firstLineChars="0" w:firstLine="0"/>
              <w:jc w:val="center"/>
              <w:textAlignment w:val="center"/>
              <w:rPr>
                <w:sz w:val="21"/>
                <w:szCs w:val="21"/>
                <w:lang w:bidi="ar"/>
              </w:rPr>
            </w:pPr>
            <w:r>
              <w:rPr>
                <w:sz w:val="21"/>
                <w:szCs w:val="21"/>
                <w:lang w:bidi="ar"/>
              </w:rPr>
              <w:t>洗气塔风机</w:t>
            </w:r>
          </w:p>
        </w:tc>
        <w:tc>
          <w:tcPr>
            <w:tcW w:w="2517" w:type="pct"/>
            <w:tcBorders>
              <w:top w:val="single" w:sz="2" w:space="0" w:color="000000"/>
              <w:bottom w:val="single" w:sz="2" w:space="0" w:color="000000"/>
            </w:tcBorders>
            <w:vAlign w:val="center"/>
          </w:tcPr>
          <w:p w14:paraId="123BDFCB" w14:textId="77777777" w:rsidR="003E78AB" w:rsidRDefault="00010BF9">
            <w:pPr>
              <w:spacing w:line="360" w:lineRule="exact"/>
              <w:ind w:firstLineChars="0" w:firstLine="0"/>
              <w:jc w:val="center"/>
              <w:textAlignment w:val="center"/>
              <w:rPr>
                <w:sz w:val="21"/>
                <w:szCs w:val="21"/>
                <w:lang w:bidi="ar"/>
              </w:rPr>
            </w:pPr>
            <w:r>
              <w:rPr>
                <w:sz w:val="21"/>
                <w:szCs w:val="21"/>
                <w:lang w:bidi="ar"/>
              </w:rPr>
              <w:t>风机气量</w:t>
            </w:r>
            <w:r>
              <w:rPr>
                <w:sz w:val="21"/>
                <w:szCs w:val="21"/>
                <w:lang w:bidi="ar"/>
              </w:rPr>
              <w:t>Q=1600m</w:t>
            </w:r>
            <w:r>
              <w:rPr>
                <w:sz w:val="21"/>
                <w:szCs w:val="21"/>
                <w:vertAlign w:val="superscript"/>
                <w:lang w:bidi="ar"/>
              </w:rPr>
              <w:t>3</w:t>
            </w:r>
            <w:r>
              <w:rPr>
                <w:sz w:val="21"/>
                <w:szCs w:val="21"/>
                <w:lang w:bidi="ar"/>
              </w:rPr>
              <w:t>/h</w:t>
            </w:r>
            <w:r>
              <w:rPr>
                <w:sz w:val="21"/>
                <w:szCs w:val="21"/>
                <w:lang w:bidi="ar"/>
              </w:rPr>
              <w:t>，变频风机，玻璃钢</w:t>
            </w:r>
          </w:p>
        </w:tc>
        <w:tc>
          <w:tcPr>
            <w:tcW w:w="366" w:type="pct"/>
            <w:tcBorders>
              <w:top w:val="single" w:sz="2" w:space="0" w:color="000000"/>
              <w:bottom w:val="single" w:sz="2" w:space="0" w:color="000000"/>
            </w:tcBorders>
            <w:vAlign w:val="center"/>
          </w:tcPr>
          <w:p w14:paraId="1E051CFB"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tcBorders>
              <w:bottom w:val="single" w:sz="2" w:space="0" w:color="000000"/>
            </w:tcBorders>
            <w:vAlign w:val="center"/>
          </w:tcPr>
          <w:p w14:paraId="45357F6F" w14:textId="77777777" w:rsidR="003E78AB" w:rsidRDefault="003E78AB">
            <w:pPr>
              <w:spacing w:line="360" w:lineRule="exact"/>
              <w:ind w:firstLineChars="0" w:firstLine="0"/>
              <w:jc w:val="center"/>
              <w:textAlignment w:val="center"/>
              <w:rPr>
                <w:sz w:val="21"/>
                <w:szCs w:val="21"/>
                <w:lang w:bidi="ar"/>
              </w:rPr>
            </w:pPr>
          </w:p>
        </w:tc>
      </w:tr>
      <w:tr w:rsidR="003E78AB" w14:paraId="690AF93A" w14:textId="77777777">
        <w:trPr>
          <w:trHeight w:val="315"/>
        </w:trPr>
        <w:tc>
          <w:tcPr>
            <w:tcW w:w="374" w:type="pct"/>
            <w:tcBorders>
              <w:top w:val="single" w:sz="2" w:space="0" w:color="000000"/>
              <w:bottom w:val="single" w:sz="2" w:space="0" w:color="000000"/>
            </w:tcBorders>
            <w:vAlign w:val="center"/>
          </w:tcPr>
          <w:p w14:paraId="69208085" w14:textId="77777777" w:rsidR="003E78AB" w:rsidRDefault="00010BF9">
            <w:pPr>
              <w:spacing w:line="360" w:lineRule="exact"/>
              <w:ind w:firstLineChars="0" w:firstLine="0"/>
              <w:jc w:val="center"/>
              <w:textAlignment w:val="center"/>
              <w:rPr>
                <w:sz w:val="21"/>
                <w:szCs w:val="21"/>
                <w:lang w:bidi="ar"/>
              </w:rPr>
            </w:pPr>
            <w:r>
              <w:rPr>
                <w:sz w:val="21"/>
                <w:szCs w:val="21"/>
                <w:lang w:bidi="ar"/>
              </w:rPr>
              <w:t>34</w:t>
            </w:r>
          </w:p>
        </w:tc>
        <w:tc>
          <w:tcPr>
            <w:tcW w:w="565" w:type="pct"/>
            <w:vMerge/>
            <w:vAlign w:val="center"/>
          </w:tcPr>
          <w:p w14:paraId="1EEF4A68"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D063452"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硫酸稀释釜</w:t>
            </w:r>
          </w:p>
        </w:tc>
        <w:tc>
          <w:tcPr>
            <w:tcW w:w="2517" w:type="pct"/>
            <w:tcBorders>
              <w:top w:val="single" w:sz="2" w:space="0" w:color="000000"/>
              <w:bottom w:val="single" w:sz="2" w:space="0" w:color="000000"/>
            </w:tcBorders>
            <w:vAlign w:val="center"/>
          </w:tcPr>
          <w:p w14:paraId="52122500" w14:textId="77777777" w:rsidR="003E78AB" w:rsidRDefault="00010BF9">
            <w:pPr>
              <w:spacing w:line="360" w:lineRule="exact"/>
              <w:ind w:firstLineChars="0" w:firstLine="0"/>
              <w:jc w:val="center"/>
              <w:textAlignment w:val="center"/>
              <w:rPr>
                <w:sz w:val="21"/>
                <w:szCs w:val="21"/>
                <w:lang w:bidi="ar"/>
              </w:rPr>
            </w:pPr>
            <w:r>
              <w:rPr>
                <w:sz w:val="21"/>
                <w:szCs w:val="21"/>
                <w:lang w:bidi="ar"/>
              </w:rPr>
              <w:t>2m</w:t>
            </w:r>
            <w:r>
              <w:rPr>
                <w:sz w:val="21"/>
                <w:szCs w:val="21"/>
                <w:vertAlign w:val="superscript"/>
                <w:lang w:bidi="ar"/>
              </w:rPr>
              <w:t>3</w:t>
            </w:r>
            <w:r>
              <w:rPr>
                <w:sz w:val="21"/>
                <w:szCs w:val="21"/>
                <w:lang w:bidi="ar"/>
              </w:rPr>
              <w:t>搪瓷釜，带搅拌，夹套</w:t>
            </w:r>
          </w:p>
        </w:tc>
        <w:tc>
          <w:tcPr>
            <w:tcW w:w="366" w:type="pct"/>
            <w:tcBorders>
              <w:top w:val="single" w:sz="2" w:space="0" w:color="000000"/>
              <w:bottom w:val="single" w:sz="2" w:space="0" w:color="000000"/>
            </w:tcBorders>
            <w:vAlign w:val="center"/>
          </w:tcPr>
          <w:p w14:paraId="1D224A78"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restart"/>
            <w:tcBorders>
              <w:top w:val="single" w:sz="2" w:space="0" w:color="000000"/>
            </w:tcBorders>
            <w:vAlign w:val="center"/>
          </w:tcPr>
          <w:p w14:paraId="478F8C6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硫酸稀释</w:t>
            </w:r>
          </w:p>
        </w:tc>
      </w:tr>
      <w:tr w:rsidR="003E78AB" w14:paraId="06EF85B7" w14:textId="77777777">
        <w:trPr>
          <w:trHeight w:val="472"/>
        </w:trPr>
        <w:tc>
          <w:tcPr>
            <w:tcW w:w="374" w:type="pct"/>
            <w:tcBorders>
              <w:top w:val="single" w:sz="2" w:space="0" w:color="000000"/>
              <w:bottom w:val="single" w:sz="2" w:space="0" w:color="000000"/>
            </w:tcBorders>
            <w:vAlign w:val="center"/>
          </w:tcPr>
          <w:p w14:paraId="650818C9" w14:textId="77777777" w:rsidR="003E78AB" w:rsidRDefault="00010BF9">
            <w:pPr>
              <w:spacing w:line="360" w:lineRule="exact"/>
              <w:ind w:firstLineChars="0" w:firstLine="0"/>
              <w:jc w:val="center"/>
              <w:textAlignment w:val="center"/>
              <w:rPr>
                <w:sz w:val="21"/>
                <w:szCs w:val="21"/>
                <w:lang w:bidi="ar"/>
              </w:rPr>
            </w:pPr>
            <w:r>
              <w:rPr>
                <w:sz w:val="21"/>
                <w:szCs w:val="21"/>
                <w:lang w:bidi="ar"/>
              </w:rPr>
              <w:t>35</w:t>
            </w:r>
          </w:p>
        </w:tc>
        <w:tc>
          <w:tcPr>
            <w:tcW w:w="565" w:type="pct"/>
            <w:vMerge/>
            <w:vAlign w:val="center"/>
          </w:tcPr>
          <w:p w14:paraId="02ABB46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033D385" w14:textId="77777777" w:rsidR="003E78AB" w:rsidRDefault="00010BF9">
            <w:pPr>
              <w:spacing w:line="360" w:lineRule="exact"/>
              <w:ind w:firstLineChars="0" w:firstLine="0"/>
              <w:jc w:val="center"/>
              <w:textAlignment w:val="center"/>
              <w:rPr>
                <w:sz w:val="21"/>
                <w:szCs w:val="21"/>
                <w:lang w:bidi="ar"/>
              </w:rPr>
            </w:pPr>
            <w:r>
              <w:rPr>
                <w:sz w:val="21"/>
                <w:szCs w:val="21"/>
                <w:lang w:bidi="ar"/>
              </w:rPr>
              <w:t>稀硫酸转料泵</w:t>
            </w:r>
          </w:p>
        </w:tc>
        <w:tc>
          <w:tcPr>
            <w:tcW w:w="2517" w:type="pct"/>
            <w:tcBorders>
              <w:top w:val="single" w:sz="2" w:space="0" w:color="000000"/>
              <w:bottom w:val="single" w:sz="2" w:space="0" w:color="000000"/>
            </w:tcBorders>
            <w:vAlign w:val="center"/>
          </w:tcPr>
          <w:p w14:paraId="2F464679" w14:textId="77777777" w:rsidR="003E78AB" w:rsidRDefault="00010BF9">
            <w:pPr>
              <w:spacing w:line="360" w:lineRule="exact"/>
              <w:ind w:firstLineChars="0" w:firstLine="0"/>
              <w:jc w:val="center"/>
              <w:textAlignment w:val="center"/>
              <w:rPr>
                <w:sz w:val="21"/>
                <w:szCs w:val="21"/>
                <w:lang w:bidi="ar"/>
              </w:rPr>
            </w:pPr>
            <w:r>
              <w:rPr>
                <w:sz w:val="21"/>
                <w:szCs w:val="21"/>
                <w:lang w:bidi="ar"/>
              </w:rPr>
              <w:t>Q=4.8m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360A606E"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4" w:space="0" w:color="auto"/>
            </w:tcBorders>
            <w:vAlign w:val="center"/>
          </w:tcPr>
          <w:p w14:paraId="472238F2" w14:textId="77777777" w:rsidR="003E78AB" w:rsidRDefault="003E78AB">
            <w:pPr>
              <w:spacing w:line="360" w:lineRule="exact"/>
              <w:ind w:firstLineChars="0" w:firstLine="0"/>
              <w:jc w:val="center"/>
              <w:textAlignment w:val="center"/>
              <w:rPr>
                <w:sz w:val="21"/>
                <w:szCs w:val="21"/>
                <w:lang w:bidi="ar"/>
              </w:rPr>
            </w:pPr>
          </w:p>
        </w:tc>
      </w:tr>
      <w:tr w:rsidR="003E78AB" w14:paraId="11C29624" w14:textId="77777777">
        <w:trPr>
          <w:trHeight w:val="315"/>
        </w:trPr>
        <w:tc>
          <w:tcPr>
            <w:tcW w:w="374" w:type="pct"/>
            <w:tcBorders>
              <w:top w:val="single" w:sz="2" w:space="0" w:color="000000"/>
              <w:bottom w:val="single" w:sz="2" w:space="0" w:color="000000"/>
            </w:tcBorders>
            <w:vAlign w:val="center"/>
          </w:tcPr>
          <w:p w14:paraId="2DE9833D" w14:textId="77777777" w:rsidR="003E78AB" w:rsidRDefault="00010BF9">
            <w:pPr>
              <w:spacing w:line="360" w:lineRule="exact"/>
              <w:ind w:firstLineChars="0" w:firstLine="0"/>
              <w:jc w:val="center"/>
              <w:textAlignment w:val="center"/>
              <w:rPr>
                <w:sz w:val="21"/>
                <w:szCs w:val="21"/>
                <w:lang w:bidi="ar"/>
              </w:rPr>
            </w:pPr>
            <w:bookmarkStart w:id="224" w:name="OLE_LINK64" w:colFirst="2" w:colLast="3"/>
            <w:r>
              <w:rPr>
                <w:sz w:val="21"/>
                <w:szCs w:val="21"/>
                <w:lang w:bidi="ar"/>
              </w:rPr>
              <w:t>36</w:t>
            </w:r>
          </w:p>
        </w:tc>
        <w:tc>
          <w:tcPr>
            <w:tcW w:w="565" w:type="pct"/>
            <w:vMerge/>
            <w:vAlign w:val="center"/>
          </w:tcPr>
          <w:p w14:paraId="725C991E"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56B0B8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蒸发结晶</w:t>
            </w:r>
            <w:r>
              <w:rPr>
                <w:sz w:val="21"/>
                <w:szCs w:val="21"/>
                <w:lang w:bidi="ar"/>
              </w:rPr>
              <w:t>釜</w:t>
            </w:r>
          </w:p>
        </w:tc>
        <w:tc>
          <w:tcPr>
            <w:tcW w:w="2517" w:type="pct"/>
            <w:tcBorders>
              <w:top w:val="single" w:sz="2" w:space="0" w:color="000000"/>
              <w:bottom w:val="single" w:sz="2" w:space="0" w:color="000000"/>
            </w:tcBorders>
            <w:vAlign w:val="center"/>
          </w:tcPr>
          <w:p w14:paraId="56A749E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φ</w:t>
            </w:r>
            <w:r>
              <w:rPr>
                <w:rFonts w:hint="eastAsia"/>
                <w:sz w:val="21"/>
                <w:szCs w:val="21"/>
                <w:lang w:bidi="ar"/>
              </w:rPr>
              <w:t>1880mm</w:t>
            </w:r>
            <w:r>
              <w:rPr>
                <w:rFonts w:hint="eastAsia"/>
                <w:sz w:val="21"/>
                <w:szCs w:val="21"/>
                <w:lang w:bidi="ar"/>
              </w:rPr>
              <w:t>，</w:t>
            </w:r>
            <w:r>
              <w:rPr>
                <w:rFonts w:hint="eastAsia"/>
                <w:sz w:val="21"/>
                <w:szCs w:val="21"/>
                <w:lang w:bidi="ar"/>
              </w:rPr>
              <w:t>1m</w:t>
            </w:r>
            <w:r>
              <w:rPr>
                <w:rFonts w:hint="eastAsia"/>
                <w:sz w:val="21"/>
                <w:szCs w:val="21"/>
                <w:vertAlign w:val="superscript"/>
                <w:lang w:bidi="ar"/>
              </w:rPr>
              <w:t>3</w:t>
            </w:r>
            <w:r>
              <w:rPr>
                <w:sz w:val="21"/>
                <w:szCs w:val="21"/>
                <w:lang w:bidi="ar"/>
              </w:rPr>
              <w:t>搪瓷釜，带搅拌，夹套</w:t>
            </w:r>
          </w:p>
        </w:tc>
        <w:tc>
          <w:tcPr>
            <w:tcW w:w="366" w:type="pct"/>
            <w:tcBorders>
              <w:top w:val="single" w:sz="2" w:space="0" w:color="000000"/>
              <w:bottom w:val="single" w:sz="2" w:space="0" w:color="000000"/>
            </w:tcBorders>
            <w:vAlign w:val="center"/>
          </w:tcPr>
          <w:p w14:paraId="6ACC3F9F"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restart"/>
            <w:tcBorders>
              <w:top w:val="single" w:sz="4" w:space="0" w:color="auto"/>
            </w:tcBorders>
            <w:vAlign w:val="center"/>
          </w:tcPr>
          <w:p w14:paraId="38B1A2E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蒸发结晶</w:t>
            </w:r>
          </w:p>
        </w:tc>
      </w:tr>
      <w:tr w:rsidR="003E78AB" w14:paraId="5D7E303D" w14:textId="77777777">
        <w:trPr>
          <w:trHeight w:val="315"/>
        </w:trPr>
        <w:tc>
          <w:tcPr>
            <w:tcW w:w="374" w:type="pct"/>
            <w:tcBorders>
              <w:top w:val="single" w:sz="2" w:space="0" w:color="000000"/>
              <w:bottom w:val="single" w:sz="2" w:space="0" w:color="000000"/>
            </w:tcBorders>
            <w:vAlign w:val="center"/>
          </w:tcPr>
          <w:p w14:paraId="710694FA" w14:textId="77777777" w:rsidR="003E78AB" w:rsidRDefault="00010BF9">
            <w:pPr>
              <w:spacing w:line="360" w:lineRule="exact"/>
              <w:ind w:firstLineChars="0" w:firstLine="0"/>
              <w:jc w:val="center"/>
              <w:textAlignment w:val="center"/>
              <w:rPr>
                <w:sz w:val="21"/>
                <w:szCs w:val="21"/>
                <w:lang w:bidi="ar"/>
              </w:rPr>
            </w:pPr>
            <w:r>
              <w:rPr>
                <w:sz w:val="21"/>
                <w:szCs w:val="21"/>
                <w:lang w:bidi="ar"/>
              </w:rPr>
              <w:t>37</w:t>
            </w:r>
          </w:p>
        </w:tc>
        <w:tc>
          <w:tcPr>
            <w:tcW w:w="565" w:type="pct"/>
            <w:vMerge/>
            <w:vAlign w:val="center"/>
          </w:tcPr>
          <w:p w14:paraId="248E39FA"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F52E8BC" w14:textId="77777777" w:rsidR="003E78AB" w:rsidRDefault="00010BF9">
            <w:pPr>
              <w:spacing w:line="360" w:lineRule="exact"/>
              <w:ind w:firstLineChars="0" w:firstLine="0"/>
              <w:jc w:val="center"/>
              <w:textAlignment w:val="center"/>
              <w:rPr>
                <w:sz w:val="21"/>
                <w:szCs w:val="21"/>
                <w:lang w:bidi="ar"/>
              </w:rPr>
            </w:pPr>
            <w:r>
              <w:rPr>
                <w:sz w:val="21"/>
                <w:szCs w:val="21"/>
                <w:lang w:bidi="ar"/>
              </w:rPr>
              <w:t>循环电加热器</w:t>
            </w:r>
          </w:p>
        </w:tc>
        <w:tc>
          <w:tcPr>
            <w:tcW w:w="2517" w:type="pct"/>
            <w:tcBorders>
              <w:top w:val="single" w:sz="2" w:space="0" w:color="000000"/>
              <w:bottom w:val="single" w:sz="2" w:space="0" w:color="000000"/>
            </w:tcBorders>
            <w:vAlign w:val="center"/>
          </w:tcPr>
          <w:p w14:paraId="2AB767FD" w14:textId="77777777" w:rsidR="003E78AB" w:rsidRDefault="003E78AB">
            <w:pPr>
              <w:spacing w:line="360" w:lineRule="exact"/>
              <w:ind w:firstLineChars="0" w:firstLine="0"/>
              <w:jc w:val="center"/>
              <w:textAlignment w:val="center"/>
              <w:rPr>
                <w:sz w:val="21"/>
                <w:szCs w:val="21"/>
                <w:lang w:bidi="ar"/>
              </w:rPr>
            </w:pPr>
          </w:p>
        </w:tc>
        <w:tc>
          <w:tcPr>
            <w:tcW w:w="366" w:type="pct"/>
            <w:tcBorders>
              <w:top w:val="single" w:sz="2" w:space="0" w:color="000000"/>
              <w:bottom w:val="single" w:sz="2" w:space="0" w:color="000000"/>
            </w:tcBorders>
            <w:vAlign w:val="center"/>
          </w:tcPr>
          <w:p w14:paraId="591D19C5"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4C7271A2" w14:textId="77777777" w:rsidR="003E78AB" w:rsidRDefault="003E78AB">
            <w:pPr>
              <w:spacing w:line="360" w:lineRule="exact"/>
              <w:ind w:firstLineChars="0" w:firstLine="0"/>
              <w:jc w:val="center"/>
              <w:textAlignment w:val="center"/>
              <w:rPr>
                <w:sz w:val="21"/>
                <w:szCs w:val="21"/>
                <w:lang w:bidi="ar"/>
              </w:rPr>
            </w:pPr>
          </w:p>
        </w:tc>
      </w:tr>
      <w:tr w:rsidR="003E78AB" w14:paraId="1EF88350" w14:textId="77777777">
        <w:trPr>
          <w:trHeight w:val="315"/>
        </w:trPr>
        <w:tc>
          <w:tcPr>
            <w:tcW w:w="374" w:type="pct"/>
            <w:tcBorders>
              <w:top w:val="single" w:sz="2" w:space="0" w:color="000000"/>
              <w:bottom w:val="single" w:sz="2" w:space="0" w:color="000000"/>
            </w:tcBorders>
            <w:vAlign w:val="center"/>
          </w:tcPr>
          <w:p w14:paraId="4D0D6C93" w14:textId="77777777" w:rsidR="003E78AB" w:rsidRDefault="00010BF9">
            <w:pPr>
              <w:spacing w:line="360" w:lineRule="exact"/>
              <w:ind w:firstLineChars="0" w:firstLine="0"/>
              <w:jc w:val="center"/>
              <w:textAlignment w:val="center"/>
              <w:rPr>
                <w:sz w:val="21"/>
                <w:szCs w:val="21"/>
                <w:lang w:bidi="ar"/>
              </w:rPr>
            </w:pPr>
            <w:r>
              <w:rPr>
                <w:sz w:val="21"/>
                <w:szCs w:val="21"/>
                <w:lang w:bidi="ar"/>
              </w:rPr>
              <w:t>38</w:t>
            </w:r>
          </w:p>
        </w:tc>
        <w:tc>
          <w:tcPr>
            <w:tcW w:w="565" w:type="pct"/>
            <w:vMerge/>
            <w:vAlign w:val="center"/>
          </w:tcPr>
          <w:p w14:paraId="170B2A2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25C0EF4" w14:textId="77777777" w:rsidR="003E78AB" w:rsidRDefault="00010BF9">
            <w:pPr>
              <w:spacing w:line="360" w:lineRule="exact"/>
              <w:ind w:firstLineChars="0" w:firstLine="0"/>
              <w:jc w:val="center"/>
              <w:textAlignment w:val="center"/>
              <w:rPr>
                <w:sz w:val="21"/>
                <w:szCs w:val="21"/>
                <w:lang w:bidi="ar"/>
              </w:rPr>
            </w:pPr>
            <w:r>
              <w:rPr>
                <w:sz w:val="21"/>
                <w:szCs w:val="21"/>
                <w:lang w:bidi="ar"/>
              </w:rPr>
              <w:t>循环泵</w:t>
            </w:r>
          </w:p>
        </w:tc>
        <w:tc>
          <w:tcPr>
            <w:tcW w:w="2517" w:type="pct"/>
            <w:tcBorders>
              <w:top w:val="single" w:sz="2" w:space="0" w:color="000000"/>
              <w:bottom w:val="single" w:sz="2" w:space="0" w:color="000000"/>
            </w:tcBorders>
            <w:vAlign w:val="center"/>
          </w:tcPr>
          <w:p w14:paraId="40B66DBF" w14:textId="77777777" w:rsidR="003E78AB" w:rsidRDefault="00010BF9">
            <w:pPr>
              <w:spacing w:line="360" w:lineRule="exact"/>
              <w:ind w:firstLineChars="0" w:firstLine="0"/>
              <w:jc w:val="center"/>
              <w:textAlignment w:val="center"/>
              <w:rPr>
                <w:sz w:val="21"/>
                <w:szCs w:val="21"/>
                <w:lang w:bidi="ar"/>
              </w:rPr>
            </w:pPr>
            <w:r>
              <w:rPr>
                <w:sz w:val="21"/>
                <w:szCs w:val="21"/>
                <w:lang w:bidi="ar"/>
              </w:rPr>
              <w:t>Q=12.5m</w:t>
            </w:r>
            <w:r>
              <w:rPr>
                <w:sz w:val="21"/>
                <w:szCs w:val="21"/>
                <w:vertAlign w:val="superscript"/>
                <w:lang w:bidi="ar"/>
              </w:rPr>
              <w:t>3</w:t>
            </w:r>
            <w:r>
              <w:rPr>
                <w:sz w:val="21"/>
                <w:szCs w:val="21"/>
                <w:lang w:bidi="ar"/>
              </w:rPr>
              <w:t>/h</w:t>
            </w:r>
            <w:r>
              <w:rPr>
                <w:sz w:val="21"/>
                <w:szCs w:val="21"/>
                <w:lang w:bidi="ar"/>
              </w:rPr>
              <w:t>，</w:t>
            </w:r>
            <w:r>
              <w:rPr>
                <w:sz w:val="21"/>
                <w:szCs w:val="21"/>
                <w:lang w:bidi="ar"/>
              </w:rPr>
              <w:t>H=20m</w:t>
            </w:r>
          </w:p>
        </w:tc>
        <w:tc>
          <w:tcPr>
            <w:tcW w:w="366" w:type="pct"/>
            <w:tcBorders>
              <w:top w:val="single" w:sz="2" w:space="0" w:color="000000"/>
              <w:bottom w:val="single" w:sz="2" w:space="0" w:color="000000"/>
            </w:tcBorders>
            <w:vAlign w:val="center"/>
          </w:tcPr>
          <w:p w14:paraId="319D20B0"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73FBD3C8" w14:textId="77777777" w:rsidR="003E78AB" w:rsidRDefault="003E78AB">
            <w:pPr>
              <w:spacing w:line="360" w:lineRule="exact"/>
              <w:ind w:firstLineChars="0" w:firstLine="0"/>
              <w:jc w:val="center"/>
              <w:textAlignment w:val="center"/>
              <w:rPr>
                <w:sz w:val="21"/>
                <w:szCs w:val="21"/>
                <w:lang w:bidi="ar"/>
              </w:rPr>
            </w:pPr>
          </w:p>
        </w:tc>
      </w:tr>
      <w:tr w:rsidR="003E78AB" w14:paraId="077F5337" w14:textId="77777777">
        <w:trPr>
          <w:trHeight w:val="315"/>
        </w:trPr>
        <w:tc>
          <w:tcPr>
            <w:tcW w:w="374" w:type="pct"/>
            <w:tcBorders>
              <w:top w:val="single" w:sz="2" w:space="0" w:color="000000"/>
              <w:bottom w:val="single" w:sz="2" w:space="0" w:color="000000"/>
            </w:tcBorders>
            <w:vAlign w:val="center"/>
          </w:tcPr>
          <w:p w14:paraId="3ED25E04" w14:textId="77777777" w:rsidR="003E78AB" w:rsidRDefault="00010BF9">
            <w:pPr>
              <w:spacing w:line="360" w:lineRule="exact"/>
              <w:ind w:firstLineChars="0" w:firstLine="0"/>
              <w:jc w:val="center"/>
              <w:textAlignment w:val="center"/>
              <w:rPr>
                <w:sz w:val="21"/>
                <w:szCs w:val="21"/>
                <w:lang w:bidi="ar"/>
              </w:rPr>
            </w:pPr>
            <w:r>
              <w:rPr>
                <w:sz w:val="21"/>
                <w:szCs w:val="21"/>
                <w:lang w:bidi="ar"/>
              </w:rPr>
              <w:t>39</w:t>
            </w:r>
          </w:p>
        </w:tc>
        <w:tc>
          <w:tcPr>
            <w:tcW w:w="565" w:type="pct"/>
            <w:vMerge/>
            <w:vAlign w:val="center"/>
          </w:tcPr>
          <w:p w14:paraId="276DA40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439B16D" w14:textId="77777777" w:rsidR="003E78AB" w:rsidRDefault="00010BF9">
            <w:pPr>
              <w:spacing w:line="360" w:lineRule="exact"/>
              <w:ind w:firstLineChars="0" w:firstLine="0"/>
              <w:jc w:val="center"/>
              <w:textAlignment w:val="center"/>
              <w:rPr>
                <w:sz w:val="21"/>
                <w:szCs w:val="21"/>
                <w:lang w:bidi="ar"/>
              </w:rPr>
            </w:pPr>
            <w:r>
              <w:rPr>
                <w:sz w:val="21"/>
                <w:szCs w:val="21"/>
                <w:lang w:bidi="ar"/>
              </w:rPr>
              <w:t>冷凝器</w:t>
            </w:r>
          </w:p>
        </w:tc>
        <w:tc>
          <w:tcPr>
            <w:tcW w:w="2517" w:type="pct"/>
            <w:tcBorders>
              <w:top w:val="single" w:sz="2" w:space="0" w:color="000000"/>
              <w:bottom w:val="single" w:sz="2" w:space="0" w:color="000000"/>
            </w:tcBorders>
            <w:vAlign w:val="center"/>
          </w:tcPr>
          <w:p w14:paraId="24586E21" w14:textId="77777777" w:rsidR="003E78AB" w:rsidRDefault="00010BF9">
            <w:pPr>
              <w:spacing w:line="360" w:lineRule="exact"/>
              <w:ind w:firstLineChars="0" w:firstLine="0"/>
              <w:jc w:val="center"/>
              <w:textAlignment w:val="center"/>
              <w:rPr>
                <w:sz w:val="21"/>
                <w:szCs w:val="21"/>
                <w:lang w:bidi="ar"/>
              </w:rPr>
            </w:pPr>
            <w:r>
              <w:rPr>
                <w:sz w:val="21"/>
                <w:szCs w:val="21"/>
                <w:lang w:bidi="ar"/>
              </w:rPr>
              <w:t>F=10m</w:t>
            </w:r>
            <w:r>
              <w:rPr>
                <w:sz w:val="21"/>
                <w:szCs w:val="21"/>
                <w:vertAlign w:val="superscript"/>
                <w:lang w:bidi="ar"/>
              </w:rPr>
              <w:t>2</w:t>
            </w:r>
            <w:r>
              <w:rPr>
                <w:sz w:val="21"/>
                <w:szCs w:val="21"/>
                <w:lang w:bidi="ar"/>
              </w:rPr>
              <w:t>，板式换热器</w:t>
            </w:r>
          </w:p>
        </w:tc>
        <w:tc>
          <w:tcPr>
            <w:tcW w:w="366" w:type="pct"/>
            <w:tcBorders>
              <w:top w:val="single" w:sz="2" w:space="0" w:color="000000"/>
              <w:bottom w:val="single" w:sz="2" w:space="0" w:color="000000"/>
            </w:tcBorders>
            <w:vAlign w:val="center"/>
          </w:tcPr>
          <w:p w14:paraId="6F859F0F"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7433EFB1" w14:textId="77777777" w:rsidR="003E78AB" w:rsidRDefault="003E78AB">
            <w:pPr>
              <w:spacing w:line="360" w:lineRule="exact"/>
              <w:ind w:firstLineChars="0" w:firstLine="0"/>
              <w:jc w:val="center"/>
              <w:textAlignment w:val="center"/>
              <w:rPr>
                <w:sz w:val="21"/>
                <w:szCs w:val="21"/>
                <w:lang w:bidi="ar"/>
              </w:rPr>
            </w:pPr>
          </w:p>
        </w:tc>
      </w:tr>
      <w:tr w:rsidR="003E78AB" w14:paraId="0771569B" w14:textId="77777777">
        <w:trPr>
          <w:trHeight w:val="315"/>
        </w:trPr>
        <w:tc>
          <w:tcPr>
            <w:tcW w:w="374" w:type="pct"/>
            <w:tcBorders>
              <w:top w:val="single" w:sz="2" w:space="0" w:color="000000"/>
              <w:bottom w:val="single" w:sz="2" w:space="0" w:color="000000"/>
            </w:tcBorders>
            <w:vAlign w:val="center"/>
          </w:tcPr>
          <w:p w14:paraId="3AA80679" w14:textId="77777777" w:rsidR="003E78AB" w:rsidRDefault="00010BF9">
            <w:pPr>
              <w:spacing w:line="360" w:lineRule="exact"/>
              <w:ind w:firstLineChars="0" w:firstLine="0"/>
              <w:jc w:val="center"/>
              <w:textAlignment w:val="center"/>
              <w:rPr>
                <w:sz w:val="21"/>
                <w:szCs w:val="21"/>
                <w:lang w:bidi="ar"/>
              </w:rPr>
            </w:pPr>
            <w:r>
              <w:rPr>
                <w:sz w:val="21"/>
                <w:szCs w:val="21"/>
                <w:lang w:bidi="ar"/>
              </w:rPr>
              <w:t>40</w:t>
            </w:r>
          </w:p>
        </w:tc>
        <w:tc>
          <w:tcPr>
            <w:tcW w:w="565" w:type="pct"/>
            <w:vMerge/>
            <w:vAlign w:val="center"/>
          </w:tcPr>
          <w:p w14:paraId="5B0D3136"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425DBFB" w14:textId="77777777" w:rsidR="003E78AB" w:rsidRDefault="00010BF9">
            <w:pPr>
              <w:spacing w:line="360" w:lineRule="exact"/>
              <w:ind w:firstLineChars="0" w:firstLine="0"/>
              <w:jc w:val="center"/>
              <w:textAlignment w:val="center"/>
              <w:rPr>
                <w:sz w:val="21"/>
                <w:szCs w:val="21"/>
                <w:lang w:bidi="ar"/>
              </w:rPr>
            </w:pPr>
            <w:r>
              <w:rPr>
                <w:sz w:val="21"/>
                <w:szCs w:val="21"/>
                <w:lang w:bidi="ar"/>
              </w:rPr>
              <w:t>水接收罐</w:t>
            </w:r>
          </w:p>
        </w:tc>
        <w:tc>
          <w:tcPr>
            <w:tcW w:w="2517" w:type="pct"/>
            <w:tcBorders>
              <w:top w:val="single" w:sz="2" w:space="0" w:color="000000"/>
              <w:bottom w:val="single" w:sz="2" w:space="0" w:color="000000"/>
            </w:tcBorders>
            <w:vAlign w:val="center"/>
          </w:tcPr>
          <w:p w14:paraId="5B74ED38" w14:textId="77777777" w:rsidR="003E78AB" w:rsidRDefault="00010BF9">
            <w:pPr>
              <w:spacing w:line="360" w:lineRule="exact"/>
              <w:ind w:firstLineChars="0" w:firstLine="0"/>
              <w:jc w:val="center"/>
              <w:textAlignment w:val="center"/>
              <w:rPr>
                <w:sz w:val="21"/>
                <w:szCs w:val="21"/>
                <w:lang w:bidi="ar"/>
              </w:rPr>
            </w:pPr>
            <w:r>
              <w:rPr>
                <w:sz w:val="21"/>
                <w:szCs w:val="21"/>
                <w:lang w:bidi="ar"/>
              </w:rPr>
              <w:t>1m</w:t>
            </w:r>
            <w:r>
              <w:rPr>
                <w:sz w:val="21"/>
                <w:szCs w:val="21"/>
                <w:vertAlign w:val="superscript"/>
                <w:lang w:bidi="ar"/>
              </w:rPr>
              <w:t>3</w:t>
            </w:r>
          </w:p>
        </w:tc>
        <w:tc>
          <w:tcPr>
            <w:tcW w:w="366" w:type="pct"/>
            <w:tcBorders>
              <w:top w:val="single" w:sz="2" w:space="0" w:color="000000"/>
              <w:bottom w:val="single" w:sz="2" w:space="0" w:color="000000"/>
            </w:tcBorders>
            <w:vAlign w:val="center"/>
          </w:tcPr>
          <w:p w14:paraId="2FBD70A9"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1197CBC7" w14:textId="77777777" w:rsidR="003E78AB" w:rsidRDefault="003E78AB">
            <w:pPr>
              <w:spacing w:line="360" w:lineRule="exact"/>
              <w:ind w:firstLineChars="0" w:firstLine="0"/>
              <w:jc w:val="center"/>
              <w:textAlignment w:val="center"/>
              <w:rPr>
                <w:sz w:val="21"/>
                <w:szCs w:val="21"/>
                <w:lang w:bidi="ar"/>
              </w:rPr>
            </w:pPr>
          </w:p>
        </w:tc>
      </w:tr>
      <w:tr w:rsidR="003E78AB" w14:paraId="17656A91" w14:textId="77777777">
        <w:trPr>
          <w:trHeight w:val="471"/>
        </w:trPr>
        <w:tc>
          <w:tcPr>
            <w:tcW w:w="374" w:type="pct"/>
            <w:tcBorders>
              <w:top w:val="single" w:sz="2" w:space="0" w:color="000000"/>
              <w:bottom w:val="single" w:sz="2" w:space="0" w:color="000000"/>
            </w:tcBorders>
            <w:vAlign w:val="center"/>
          </w:tcPr>
          <w:p w14:paraId="22142C76" w14:textId="77777777" w:rsidR="003E78AB" w:rsidRDefault="00010BF9">
            <w:pPr>
              <w:spacing w:line="360" w:lineRule="exact"/>
              <w:ind w:firstLineChars="0" w:firstLine="0"/>
              <w:jc w:val="center"/>
              <w:textAlignment w:val="center"/>
              <w:rPr>
                <w:sz w:val="21"/>
                <w:szCs w:val="21"/>
                <w:lang w:bidi="ar"/>
              </w:rPr>
            </w:pPr>
            <w:r>
              <w:rPr>
                <w:sz w:val="21"/>
                <w:szCs w:val="21"/>
                <w:lang w:bidi="ar"/>
              </w:rPr>
              <w:t>41</w:t>
            </w:r>
          </w:p>
        </w:tc>
        <w:tc>
          <w:tcPr>
            <w:tcW w:w="565" w:type="pct"/>
            <w:vMerge/>
            <w:vAlign w:val="center"/>
          </w:tcPr>
          <w:p w14:paraId="7AFA6E86"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46F0BB4" w14:textId="77777777" w:rsidR="003E78AB" w:rsidRDefault="00010BF9">
            <w:pPr>
              <w:spacing w:line="360" w:lineRule="exact"/>
              <w:ind w:firstLineChars="0" w:firstLine="0"/>
              <w:jc w:val="center"/>
              <w:textAlignment w:val="center"/>
              <w:rPr>
                <w:sz w:val="21"/>
                <w:szCs w:val="21"/>
                <w:lang w:bidi="ar"/>
              </w:rPr>
            </w:pPr>
            <w:r>
              <w:rPr>
                <w:sz w:val="21"/>
                <w:szCs w:val="21"/>
                <w:lang w:bidi="ar"/>
              </w:rPr>
              <w:t>输送泵</w:t>
            </w:r>
          </w:p>
        </w:tc>
        <w:tc>
          <w:tcPr>
            <w:tcW w:w="2517" w:type="pct"/>
            <w:tcBorders>
              <w:top w:val="single" w:sz="2" w:space="0" w:color="000000"/>
              <w:bottom w:val="single" w:sz="2" w:space="0" w:color="000000"/>
            </w:tcBorders>
            <w:vAlign w:val="center"/>
          </w:tcPr>
          <w:p w14:paraId="6320F080" w14:textId="77777777" w:rsidR="003E78AB" w:rsidRDefault="00010BF9">
            <w:pPr>
              <w:spacing w:line="360" w:lineRule="exact"/>
              <w:ind w:firstLineChars="0" w:firstLine="0"/>
              <w:jc w:val="center"/>
              <w:textAlignment w:val="center"/>
              <w:rPr>
                <w:sz w:val="21"/>
                <w:szCs w:val="21"/>
                <w:lang w:bidi="ar"/>
              </w:rPr>
            </w:pPr>
            <w:r>
              <w:rPr>
                <w:sz w:val="21"/>
                <w:szCs w:val="21"/>
                <w:lang w:bidi="ar"/>
              </w:rPr>
              <w:t>Q=6.3m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，离心泵</w:t>
            </w:r>
          </w:p>
        </w:tc>
        <w:tc>
          <w:tcPr>
            <w:tcW w:w="366" w:type="pct"/>
            <w:tcBorders>
              <w:top w:val="single" w:sz="2" w:space="0" w:color="000000"/>
              <w:bottom w:val="single" w:sz="2" w:space="0" w:color="000000"/>
            </w:tcBorders>
            <w:vAlign w:val="center"/>
          </w:tcPr>
          <w:p w14:paraId="01B73EF0"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2" w:space="0" w:color="000000"/>
            </w:tcBorders>
            <w:vAlign w:val="center"/>
          </w:tcPr>
          <w:p w14:paraId="6DF627E5" w14:textId="77777777" w:rsidR="003E78AB" w:rsidRDefault="003E78AB">
            <w:pPr>
              <w:spacing w:line="360" w:lineRule="exact"/>
              <w:ind w:firstLineChars="0" w:firstLine="0"/>
              <w:jc w:val="center"/>
              <w:textAlignment w:val="center"/>
              <w:rPr>
                <w:sz w:val="21"/>
                <w:szCs w:val="21"/>
                <w:lang w:bidi="ar"/>
              </w:rPr>
            </w:pPr>
          </w:p>
        </w:tc>
      </w:tr>
      <w:bookmarkEnd w:id="224"/>
      <w:tr w:rsidR="003E78AB" w14:paraId="47763869" w14:textId="77777777">
        <w:trPr>
          <w:trHeight w:val="419"/>
        </w:trPr>
        <w:tc>
          <w:tcPr>
            <w:tcW w:w="374" w:type="pct"/>
            <w:tcBorders>
              <w:top w:val="single" w:sz="2" w:space="0" w:color="000000"/>
              <w:bottom w:val="single" w:sz="2" w:space="0" w:color="000000"/>
            </w:tcBorders>
            <w:vAlign w:val="center"/>
          </w:tcPr>
          <w:p w14:paraId="28B5F626" w14:textId="77777777" w:rsidR="003E78AB" w:rsidRDefault="00010BF9">
            <w:pPr>
              <w:spacing w:line="360" w:lineRule="exact"/>
              <w:ind w:firstLineChars="0" w:firstLine="0"/>
              <w:jc w:val="center"/>
              <w:textAlignment w:val="center"/>
              <w:rPr>
                <w:sz w:val="21"/>
                <w:szCs w:val="21"/>
                <w:lang w:bidi="ar"/>
              </w:rPr>
            </w:pPr>
            <w:r>
              <w:rPr>
                <w:sz w:val="21"/>
                <w:szCs w:val="21"/>
                <w:lang w:bidi="ar"/>
              </w:rPr>
              <w:t>42</w:t>
            </w:r>
          </w:p>
        </w:tc>
        <w:tc>
          <w:tcPr>
            <w:tcW w:w="565" w:type="pct"/>
            <w:vMerge/>
            <w:vAlign w:val="center"/>
          </w:tcPr>
          <w:p w14:paraId="67B0CF7E"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514FDC0" w14:textId="77777777" w:rsidR="003E78AB" w:rsidRDefault="00010BF9">
            <w:pPr>
              <w:spacing w:line="360" w:lineRule="exact"/>
              <w:ind w:firstLineChars="0" w:firstLine="0"/>
              <w:jc w:val="center"/>
              <w:textAlignment w:val="center"/>
              <w:rPr>
                <w:sz w:val="21"/>
                <w:szCs w:val="21"/>
                <w:lang w:bidi="ar"/>
              </w:rPr>
            </w:pPr>
            <w:r>
              <w:rPr>
                <w:sz w:val="21"/>
                <w:szCs w:val="21"/>
                <w:lang w:bidi="ar"/>
              </w:rPr>
              <w:t>成品罐</w:t>
            </w:r>
          </w:p>
        </w:tc>
        <w:tc>
          <w:tcPr>
            <w:tcW w:w="2517" w:type="pct"/>
            <w:tcBorders>
              <w:top w:val="single" w:sz="2" w:space="0" w:color="000000"/>
              <w:bottom w:val="single" w:sz="2" w:space="0" w:color="000000"/>
            </w:tcBorders>
            <w:vAlign w:val="center"/>
          </w:tcPr>
          <w:p w14:paraId="11577496" w14:textId="77777777" w:rsidR="003E78AB" w:rsidRDefault="00010BF9">
            <w:pPr>
              <w:spacing w:line="360" w:lineRule="exact"/>
              <w:ind w:firstLineChars="0" w:firstLine="0"/>
              <w:jc w:val="center"/>
              <w:textAlignment w:val="center"/>
              <w:rPr>
                <w:sz w:val="21"/>
                <w:szCs w:val="21"/>
                <w:lang w:bidi="ar"/>
              </w:rPr>
            </w:pPr>
            <w:r>
              <w:rPr>
                <w:sz w:val="21"/>
                <w:szCs w:val="21"/>
                <w:lang w:bidi="ar"/>
              </w:rPr>
              <w:t>200m</w:t>
            </w:r>
            <w:r>
              <w:rPr>
                <w:sz w:val="21"/>
                <w:szCs w:val="21"/>
                <w:vertAlign w:val="superscript"/>
                <w:lang w:bidi="ar"/>
              </w:rPr>
              <w:t>3</w:t>
            </w:r>
            <w:r>
              <w:rPr>
                <w:sz w:val="21"/>
                <w:szCs w:val="21"/>
                <w:lang w:bidi="ar"/>
              </w:rPr>
              <w:t>，钢衬</w:t>
            </w:r>
            <w:r>
              <w:rPr>
                <w:sz w:val="21"/>
                <w:szCs w:val="21"/>
                <w:lang w:bidi="ar"/>
              </w:rPr>
              <w:t>PE</w:t>
            </w:r>
          </w:p>
        </w:tc>
        <w:tc>
          <w:tcPr>
            <w:tcW w:w="366" w:type="pct"/>
            <w:tcBorders>
              <w:top w:val="single" w:sz="2" w:space="0" w:color="000000"/>
              <w:bottom w:val="single" w:sz="2" w:space="0" w:color="000000"/>
            </w:tcBorders>
            <w:vAlign w:val="center"/>
          </w:tcPr>
          <w:p w14:paraId="63205D0E" w14:textId="77777777" w:rsidR="003E78AB" w:rsidRDefault="00010BF9">
            <w:pPr>
              <w:spacing w:line="360" w:lineRule="exact"/>
              <w:ind w:firstLineChars="0" w:firstLine="0"/>
              <w:jc w:val="center"/>
              <w:textAlignment w:val="center"/>
              <w:rPr>
                <w:sz w:val="21"/>
                <w:szCs w:val="21"/>
                <w:lang w:bidi="ar"/>
              </w:rPr>
            </w:pPr>
            <w:r>
              <w:rPr>
                <w:sz w:val="21"/>
                <w:szCs w:val="21"/>
                <w:lang w:bidi="ar"/>
              </w:rPr>
              <w:t>10</w:t>
            </w:r>
          </w:p>
        </w:tc>
        <w:tc>
          <w:tcPr>
            <w:tcW w:w="331" w:type="pct"/>
            <w:vMerge w:val="restart"/>
            <w:tcBorders>
              <w:top w:val="single" w:sz="2" w:space="0" w:color="000000"/>
            </w:tcBorders>
            <w:vAlign w:val="center"/>
          </w:tcPr>
          <w:p w14:paraId="6B9ED59F" w14:textId="77777777" w:rsidR="003E78AB" w:rsidRDefault="00010BF9">
            <w:pPr>
              <w:spacing w:line="360" w:lineRule="exact"/>
              <w:ind w:firstLineChars="0" w:firstLine="0"/>
              <w:jc w:val="center"/>
              <w:textAlignment w:val="center"/>
              <w:rPr>
                <w:sz w:val="21"/>
                <w:szCs w:val="21"/>
                <w:lang w:bidi="ar"/>
              </w:rPr>
            </w:pPr>
            <w:r>
              <w:rPr>
                <w:sz w:val="21"/>
                <w:szCs w:val="21"/>
                <w:lang w:bidi="ar"/>
              </w:rPr>
              <w:t>成品仓库及灌装</w:t>
            </w:r>
          </w:p>
        </w:tc>
      </w:tr>
      <w:tr w:rsidR="003E78AB" w14:paraId="33637128" w14:textId="77777777">
        <w:trPr>
          <w:trHeight w:val="315"/>
        </w:trPr>
        <w:tc>
          <w:tcPr>
            <w:tcW w:w="374" w:type="pct"/>
            <w:tcBorders>
              <w:top w:val="single" w:sz="2" w:space="0" w:color="000000"/>
              <w:bottom w:val="single" w:sz="2" w:space="0" w:color="000000"/>
            </w:tcBorders>
            <w:vAlign w:val="center"/>
          </w:tcPr>
          <w:p w14:paraId="1D5EF388" w14:textId="77777777" w:rsidR="003E78AB" w:rsidRDefault="00010BF9">
            <w:pPr>
              <w:spacing w:line="360" w:lineRule="exact"/>
              <w:ind w:firstLineChars="0" w:firstLine="0"/>
              <w:jc w:val="center"/>
              <w:textAlignment w:val="center"/>
              <w:rPr>
                <w:sz w:val="21"/>
                <w:szCs w:val="21"/>
                <w:lang w:bidi="ar"/>
              </w:rPr>
            </w:pPr>
            <w:r>
              <w:rPr>
                <w:sz w:val="21"/>
                <w:szCs w:val="21"/>
                <w:lang w:bidi="ar"/>
              </w:rPr>
              <w:t>43</w:t>
            </w:r>
          </w:p>
        </w:tc>
        <w:tc>
          <w:tcPr>
            <w:tcW w:w="565" w:type="pct"/>
            <w:vMerge/>
            <w:vAlign w:val="center"/>
          </w:tcPr>
          <w:p w14:paraId="5EB164A6"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66F0FA4" w14:textId="77777777" w:rsidR="003E78AB" w:rsidRDefault="00010BF9">
            <w:pPr>
              <w:spacing w:line="360" w:lineRule="exact"/>
              <w:ind w:firstLineChars="0" w:firstLine="0"/>
              <w:jc w:val="center"/>
              <w:textAlignment w:val="center"/>
              <w:rPr>
                <w:sz w:val="21"/>
                <w:szCs w:val="21"/>
                <w:lang w:bidi="ar"/>
              </w:rPr>
            </w:pPr>
            <w:r>
              <w:rPr>
                <w:sz w:val="21"/>
                <w:szCs w:val="21"/>
                <w:lang w:bidi="ar"/>
              </w:rPr>
              <w:t>成品灌装机</w:t>
            </w:r>
          </w:p>
        </w:tc>
        <w:tc>
          <w:tcPr>
            <w:tcW w:w="2517" w:type="pct"/>
            <w:tcBorders>
              <w:top w:val="single" w:sz="2" w:space="0" w:color="000000"/>
              <w:bottom w:val="single" w:sz="2" w:space="0" w:color="000000"/>
            </w:tcBorders>
            <w:vAlign w:val="center"/>
          </w:tcPr>
          <w:p w14:paraId="7DB7F086" w14:textId="77777777" w:rsidR="003E78AB" w:rsidRDefault="00010BF9">
            <w:pPr>
              <w:spacing w:line="360" w:lineRule="exact"/>
              <w:ind w:firstLineChars="0" w:firstLine="0"/>
              <w:jc w:val="center"/>
              <w:textAlignment w:val="center"/>
              <w:rPr>
                <w:sz w:val="21"/>
                <w:szCs w:val="21"/>
                <w:lang w:bidi="ar"/>
              </w:rPr>
            </w:pPr>
            <w:r>
              <w:rPr>
                <w:sz w:val="21"/>
                <w:szCs w:val="21"/>
                <w:lang w:bidi="ar"/>
              </w:rPr>
              <w:t>100m</w:t>
            </w:r>
            <w:r>
              <w:rPr>
                <w:sz w:val="21"/>
                <w:szCs w:val="21"/>
                <w:vertAlign w:val="superscript"/>
                <w:lang w:bidi="ar"/>
              </w:rPr>
              <w:t>3</w:t>
            </w:r>
            <w:r>
              <w:rPr>
                <w:sz w:val="21"/>
                <w:szCs w:val="21"/>
                <w:lang w:bidi="ar"/>
              </w:rPr>
              <w:t>/d</w:t>
            </w:r>
          </w:p>
        </w:tc>
        <w:tc>
          <w:tcPr>
            <w:tcW w:w="366" w:type="pct"/>
            <w:tcBorders>
              <w:top w:val="single" w:sz="2" w:space="0" w:color="000000"/>
              <w:bottom w:val="single" w:sz="2" w:space="0" w:color="000000"/>
            </w:tcBorders>
            <w:vAlign w:val="center"/>
          </w:tcPr>
          <w:p w14:paraId="14933EBE"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6FDAAE73" w14:textId="77777777" w:rsidR="003E78AB" w:rsidRDefault="003E78AB">
            <w:pPr>
              <w:spacing w:line="360" w:lineRule="exact"/>
              <w:ind w:firstLineChars="0" w:firstLine="0"/>
              <w:jc w:val="center"/>
              <w:textAlignment w:val="center"/>
              <w:rPr>
                <w:sz w:val="21"/>
                <w:szCs w:val="21"/>
                <w:lang w:bidi="ar"/>
              </w:rPr>
            </w:pPr>
          </w:p>
        </w:tc>
      </w:tr>
      <w:tr w:rsidR="003E78AB" w14:paraId="38188DD8" w14:textId="77777777">
        <w:trPr>
          <w:trHeight w:val="315"/>
        </w:trPr>
        <w:tc>
          <w:tcPr>
            <w:tcW w:w="374" w:type="pct"/>
            <w:tcBorders>
              <w:top w:val="single" w:sz="2" w:space="0" w:color="000000"/>
              <w:bottom w:val="single" w:sz="2" w:space="0" w:color="000000"/>
            </w:tcBorders>
            <w:vAlign w:val="center"/>
          </w:tcPr>
          <w:p w14:paraId="08F8DD48" w14:textId="77777777" w:rsidR="003E78AB" w:rsidRDefault="00010BF9">
            <w:pPr>
              <w:spacing w:line="360" w:lineRule="exact"/>
              <w:ind w:firstLineChars="0" w:firstLine="0"/>
              <w:jc w:val="center"/>
              <w:textAlignment w:val="center"/>
              <w:rPr>
                <w:sz w:val="21"/>
                <w:szCs w:val="21"/>
                <w:lang w:bidi="ar"/>
              </w:rPr>
            </w:pPr>
            <w:r>
              <w:rPr>
                <w:sz w:val="21"/>
                <w:szCs w:val="21"/>
                <w:lang w:bidi="ar"/>
              </w:rPr>
              <w:t>44</w:t>
            </w:r>
          </w:p>
        </w:tc>
        <w:tc>
          <w:tcPr>
            <w:tcW w:w="565" w:type="pct"/>
            <w:vMerge/>
            <w:vAlign w:val="center"/>
          </w:tcPr>
          <w:p w14:paraId="4E4DCD26"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9C41B46" w14:textId="77777777" w:rsidR="003E78AB" w:rsidRDefault="00010BF9">
            <w:pPr>
              <w:spacing w:line="360" w:lineRule="exact"/>
              <w:ind w:firstLineChars="0" w:firstLine="0"/>
              <w:jc w:val="center"/>
              <w:textAlignment w:val="center"/>
              <w:rPr>
                <w:sz w:val="21"/>
                <w:szCs w:val="21"/>
                <w:lang w:bidi="ar"/>
              </w:rPr>
            </w:pPr>
            <w:r>
              <w:rPr>
                <w:sz w:val="21"/>
                <w:szCs w:val="21"/>
                <w:lang w:bidi="ar"/>
              </w:rPr>
              <w:t>灌装泵</w:t>
            </w:r>
          </w:p>
        </w:tc>
        <w:tc>
          <w:tcPr>
            <w:tcW w:w="2517" w:type="pct"/>
            <w:tcBorders>
              <w:top w:val="single" w:sz="2" w:space="0" w:color="000000"/>
              <w:bottom w:val="single" w:sz="2" w:space="0" w:color="000000"/>
            </w:tcBorders>
            <w:vAlign w:val="center"/>
          </w:tcPr>
          <w:p w14:paraId="1357188F" w14:textId="77777777" w:rsidR="003E78AB" w:rsidRDefault="00010BF9">
            <w:pPr>
              <w:spacing w:line="360" w:lineRule="exact"/>
              <w:ind w:firstLineChars="0" w:firstLine="0"/>
              <w:jc w:val="center"/>
              <w:textAlignment w:val="center"/>
              <w:rPr>
                <w:sz w:val="21"/>
                <w:szCs w:val="21"/>
                <w:lang w:bidi="ar"/>
              </w:rPr>
            </w:pPr>
            <w:r>
              <w:rPr>
                <w:sz w:val="21"/>
                <w:szCs w:val="21"/>
                <w:lang w:bidi="ar"/>
              </w:rPr>
              <w:t>厂家提供参数</w:t>
            </w:r>
          </w:p>
        </w:tc>
        <w:tc>
          <w:tcPr>
            <w:tcW w:w="366" w:type="pct"/>
            <w:tcBorders>
              <w:top w:val="single" w:sz="2" w:space="0" w:color="000000"/>
              <w:bottom w:val="single" w:sz="2" w:space="0" w:color="000000"/>
            </w:tcBorders>
            <w:vAlign w:val="center"/>
          </w:tcPr>
          <w:p w14:paraId="0F55EE68"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331" w:type="pct"/>
            <w:vMerge/>
            <w:vAlign w:val="center"/>
          </w:tcPr>
          <w:p w14:paraId="6EA7D80E" w14:textId="77777777" w:rsidR="003E78AB" w:rsidRDefault="003E78AB">
            <w:pPr>
              <w:spacing w:line="360" w:lineRule="exact"/>
              <w:ind w:firstLineChars="0" w:firstLine="0"/>
              <w:jc w:val="center"/>
              <w:textAlignment w:val="center"/>
              <w:rPr>
                <w:sz w:val="21"/>
                <w:szCs w:val="21"/>
                <w:lang w:bidi="ar"/>
              </w:rPr>
            </w:pPr>
          </w:p>
        </w:tc>
      </w:tr>
      <w:tr w:rsidR="003E78AB" w14:paraId="060D9C2C" w14:textId="77777777">
        <w:trPr>
          <w:trHeight w:val="470"/>
        </w:trPr>
        <w:tc>
          <w:tcPr>
            <w:tcW w:w="374" w:type="pct"/>
            <w:tcBorders>
              <w:top w:val="single" w:sz="2" w:space="0" w:color="000000"/>
              <w:bottom w:val="single" w:sz="2" w:space="0" w:color="000000"/>
            </w:tcBorders>
            <w:vAlign w:val="center"/>
          </w:tcPr>
          <w:p w14:paraId="21065B95" w14:textId="77777777" w:rsidR="003E78AB" w:rsidRDefault="00010BF9">
            <w:pPr>
              <w:spacing w:line="360" w:lineRule="exact"/>
              <w:ind w:firstLineChars="0" w:firstLine="0"/>
              <w:jc w:val="center"/>
              <w:textAlignment w:val="center"/>
              <w:rPr>
                <w:sz w:val="21"/>
                <w:szCs w:val="21"/>
                <w:lang w:bidi="ar"/>
              </w:rPr>
            </w:pPr>
            <w:r>
              <w:rPr>
                <w:sz w:val="21"/>
                <w:szCs w:val="21"/>
                <w:lang w:bidi="ar"/>
              </w:rPr>
              <w:t>45</w:t>
            </w:r>
          </w:p>
        </w:tc>
        <w:tc>
          <w:tcPr>
            <w:tcW w:w="565" w:type="pct"/>
            <w:vMerge/>
            <w:tcBorders>
              <w:bottom w:val="single" w:sz="2" w:space="0" w:color="000000"/>
            </w:tcBorders>
            <w:vAlign w:val="center"/>
          </w:tcPr>
          <w:p w14:paraId="0BF41AE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EB7E29C" w14:textId="77777777" w:rsidR="003E78AB" w:rsidRDefault="00010BF9">
            <w:pPr>
              <w:spacing w:line="360" w:lineRule="exact"/>
              <w:ind w:firstLineChars="0" w:firstLine="0"/>
              <w:jc w:val="center"/>
              <w:textAlignment w:val="center"/>
              <w:rPr>
                <w:sz w:val="21"/>
                <w:szCs w:val="21"/>
                <w:lang w:bidi="ar"/>
              </w:rPr>
            </w:pPr>
            <w:r>
              <w:rPr>
                <w:sz w:val="21"/>
                <w:szCs w:val="21"/>
                <w:lang w:bidi="ar"/>
              </w:rPr>
              <w:t>装车泵</w:t>
            </w:r>
          </w:p>
        </w:tc>
        <w:tc>
          <w:tcPr>
            <w:tcW w:w="2517" w:type="pct"/>
            <w:tcBorders>
              <w:top w:val="single" w:sz="2" w:space="0" w:color="000000"/>
              <w:bottom w:val="single" w:sz="2" w:space="0" w:color="000000"/>
            </w:tcBorders>
            <w:vAlign w:val="center"/>
          </w:tcPr>
          <w:p w14:paraId="5F7D4F57" w14:textId="77777777" w:rsidR="003E78AB" w:rsidRDefault="00010BF9">
            <w:pPr>
              <w:spacing w:line="360" w:lineRule="exact"/>
              <w:ind w:firstLineChars="0" w:firstLine="0"/>
              <w:jc w:val="center"/>
              <w:textAlignment w:val="center"/>
              <w:rPr>
                <w:sz w:val="21"/>
                <w:szCs w:val="21"/>
                <w:lang w:bidi="ar"/>
              </w:rPr>
            </w:pPr>
            <w:r>
              <w:rPr>
                <w:sz w:val="21"/>
                <w:szCs w:val="21"/>
                <w:lang w:bidi="ar"/>
              </w:rPr>
              <w:t>Q=30m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6559A02F"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tcBorders>
              <w:bottom w:val="single" w:sz="2" w:space="0" w:color="000000"/>
            </w:tcBorders>
            <w:vAlign w:val="center"/>
          </w:tcPr>
          <w:p w14:paraId="3A631446" w14:textId="77777777" w:rsidR="003E78AB" w:rsidRDefault="003E78AB">
            <w:pPr>
              <w:spacing w:line="360" w:lineRule="exact"/>
              <w:ind w:firstLineChars="0" w:firstLine="0"/>
              <w:jc w:val="center"/>
              <w:textAlignment w:val="center"/>
              <w:rPr>
                <w:sz w:val="21"/>
                <w:szCs w:val="21"/>
                <w:lang w:bidi="ar"/>
              </w:rPr>
            </w:pPr>
          </w:p>
        </w:tc>
      </w:tr>
      <w:tr w:rsidR="003E78AB" w14:paraId="2E7ABA09" w14:textId="77777777">
        <w:trPr>
          <w:trHeight w:val="315"/>
        </w:trPr>
        <w:tc>
          <w:tcPr>
            <w:tcW w:w="374" w:type="pct"/>
            <w:tcBorders>
              <w:top w:val="single" w:sz="2" w:space="0" w:color="000000"/>
              <w:bottom w:val="single" w:sz="2" w:space="0" w:color="000000"/>
            </w:tcBorders>
            <w:vAlign w:val="center"/>
          </w:tcPr>
          <w:p w14:paraId="532CF62F" w14:textId="77777777" w:rsidR="003E78AB" w:rsidRDefault="00010BF9">
            <w:pPr>
              <w:spacing w:line="360" w:lineRule="exact"/>
              <w:ind w:firstLineChars="0" w:firstLine="0"/>
              <w:jc w:val="center"/>
              <w:textAlignment w:val="center"/>
              <w:rPr>
                <w:sz w:val="21"/>
                <w:szCs w:val="21"/>
                <w:lang w:bidi="ar"/>
              </w:rPr>
            </w:pPr>
            <w:r>
              <w:rPr>
                <w:sz w:val="21"/>
                <w:szCs w:val="21"/>
                <w:lang w:bidi="ar"/>
              </w:rPr>
              <w:t>46</w:t>
            </w:r>
          </w:p>
        </w:tc>
        <w:tc>
          <w:tcPr>
            <w:tcW w:w="565" w:type="pct"/>
            <w:vMerge w:val="restart"/>
            <w:tcBorders>
              <w:top w:val="single" w:sz="2" w:space="0" w:color="000000"/>
            </w:tcBorders>
            <w:vAlign w:val="center"/>
          </w:tcPr>
          <w:p w14:paraId="7EED5DBC" w14:textId="77777777" w:rsidR="003E78AB" w:rsidRDefault="00010BF9">
            <w:pPr>
              <w:spacing w:line="360" w:lineRule="exact"/>
              <w:ind w:firstLineChars="0" w:firstLine="0"/>
              <w:jc w:val="center"/>
              <w:textAlignment w:val="center"/>
              <w:rPr>
                <w:sz w:val="21"/>
                <w:szCs w:val="21"/>
                <w:lang w:bidi="ar"/>
              </w:rPr>
            </w:pPr>
            <w:r>
              <w:rPr>
                <w:sz w:val="21"/>
                <w:szCs w:val="21"/>
                <w:lang w:bidi="ar"/>
              </w:rPr>
              <w:t>动力车间</w:t>
            </w:r>
          </w:p>
        </w:tc>
        <w:tc>
          <w:tcPr>
            <w:tcW w:w="845" w:type="pct"/>
            <w:tcBorders>
              <w:top w:val="single" w:sz="2" w:space="0" w:color="000000"/>
              <w:bottom w:val="single" w:sz="2" w:space="0" w:color="000000"/>
            </w:tcBorders>
            <w:vAlign w:val="center"/>
          </w:tcPr>
          <w:p w14:paraId="7331EE61" w14:textId="77777777" w:rsidR="003E78AB" w:rsidRDefault="00010BF9">
            <w:pPr>
              <w:spacing w:line="360" w:lineRule="exact"/>
              <w:ind w:firstLineChars="0" w:firstLine="0"/>
              <w:jc w:val="center"/>
              <w:textAlignment w:val="center"/>
              <w:rPr>
                <w:sz w:val="21"/>
                <w:szCs w:val="21"/>
                <w:lang w:bidi="ar"/>
              </w:rPr>
            </w:pPr>
            <w:r>
              <w:rPr>
                <w:sz w:val="21"/>
                <w:szCs w:val="21"/>
                <w:lang w:bidi="ar"/>
              </w:rPr>
              <w:t>超纯水机组</w:t>
            </w:r>
          </w:p>
        </w:tc>
        <w:tc>
          <w:tcPr>
            <w:tcW w:w="2517" w:type="pct"/>
            <w:tcBorders>
              <w:top w:val="single" w:sz="2" w:space="0" w:color="000000"/>
              <w:bottom w:val="single" w:sz="2" w:space="0" w:color="000000"/>
            </w:tcBorders>
            <w:vAlign w:val="center"/>
          </w:tcPr>
          <w:p w14:paraId="5D92ED75" w14:textId="77777777" w:rsidR="003E78AB" w:rsidRDefault="00010BF9">
            <w:pPr>
              <w:spacing w:line="360" w:lineRule="exact"/>
              <w:ind w:firstLineChars="0" w:firstLine="0"/>
              <w:jc w:val="center"/>
              <w:textAlignment w:val="center"/>
              <w:rPr>
                <w:sz w:val="21"/>
                <w:szCs w:val="21"/>
                <w:lang w:bidi="ar"/>
              </w:rPr>
            </w:pPr>
            <w:r>
              <w:rPr>
                <w:sz w:val="21"/>
                <w:szCs w:val="21"/>
                <w:lang w:bidi="ar"/>
              </w:rPr>
              <w:t>一期制水能力：</w:t>
            </w:r>
            <w:r>
              <w:rPr>
                <w:sz w:val="21"/>
                <w:szCs w:val="21"/>
                <w:lang w:bidi="ar"/>
              </w:rPr>
              <w:t>8t/h</w:t>
            </w:r>
          </w:p>
        </w:tc>
        <w:tc>
          <w:tcPr>
            <w:tcW w:w="366" w:type="pct"/>
            <w:tcBorders>
              <w:top w:val="single" w:sz="2" w:space="0" w:color="000000"/>
              <w:bottom w:val="single" w:sz="2" w:space="0" w:color="000000"/>
            </w:tcBorders>
            <w:vAlign w:val="center"/>
          </w:tcPr>
          <w:p w14:paraId="68AC82D5"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restart"/>
            <w:tcBorders>
              <w:top w:val="single" w:sz="2" w:space="0" w:color="000000"/>
            </w:tcBorders>
            <w:vAlign w:val="center"/>
          </w:tcPr>
          <w:p w14:paraId="3D2423B5" w14:textId="77777777" w:rsidR="003E78AB" w:rsidRDefault="003E78AB">
            <w:pPr>
              <w:spacing w:line="360" w:lineRule="exact"/>
              <w:ind w:firstLineChars="0" w:firstLine="0"/>
              <w:jc w:val="center"/>
              <w:textAlignment w:val="center"/>
              <w:rPr>
                <w:sz w:val="21"/>
                <w:szCs w:val="21"/>
                <w:lang w:bidi="ar"/>
              </w:rPr>
            </w:pPr>
          </w:p>
        </w:tc>
      </w:tr>
      <w:tr w:rsidR="003E78AB" w14:paraId="1C36AE30" w14:textId="77777777">
        <w:trPr>
          <w:trHeight w:val="315"/>
        </w:trPr>
        <w:tc>
          <w:tcPr>
            <w:tcW w:w="374" w:type="pct"/>
            <w:tcBorders>
              <w:top w:val="single" w:sz="2" w:space="0" w:color="000000"/>
              <w:bottom w:val="single" w:sz="2" w:space="0" w:color="000000"/>
            </w:tcBorders>
            <w:vAlign w:val="center"/>
          </w:tcPr>
          <w:p w14:paraId="353FB899" w14:textId="77777777" w:rsidR="003E78AB" w:rsidRDefault="00010BF9">
            <w:pPr>
              <w:spacing w:line="360" w:lineRule="exact"/>
              <w:ind w:firstLineChars="0" w:firstLine="0"/>
              <w:jc w:val="center"/>
              <w:textAlignment w:val="center"/>
              <w:rPr>
                <w:sz w:val="21"/>
                <w:szCs w:val="21"/>
                <w:lang w:bidi="ar"/>
              </w:rPr>
            </w:pPr>
            <w:r>
              <w:rPr>
                <w:sz w:val="21"/>
                <w:szCs w:val="21"/>
                <w:lang w:bidi="ar"/>
              </w:rPr>
              <w:t>47</w:t>
            </w:r>
          </w:p>
        </w:tc>
        <w:tc>
          <w:tcPr>
            <w:tcW w:w="565" w:type="pct"/>
            <w:vMerge/>
            <w:vAlign w:val="center"/>
          </w:tcPr>
          <w:p w14:paraId="68998A70"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560E81E" w14:textId="77777777" w:rsidR="003E78AB" w:rsidRDefault="00010BF9">
            <w:pPr>
              <w:spacing w:line="360" w:lineRule="exact"/>
              <w:ind w:firstLineChars="0" w:firstLine="0"/>
              <w:jc w:val="center"/>
              <w:textAlignment w:val="center"/>
              <w:rPr>
                <w:sz w:val="21"/>
                <w:szCs w:val="21"/>
                <w:lang w:bidi="ar"/>
              </w:rPr>
            </w:pPr>
            <w:r>
              <w:rPr>
                <w:sz w:val="21"/>
                <w:szCs w:val="21"/>
                <w:lang w:bidi="ar"/>
              </w:rPr>
              <w:t>超纯水机组</w:t>
            </w:r>
          </w:p>
        </w:tc>
        <w:tc>
          <w:tcPr>
            <w:tcW w:w="2517" w:type="pct"/>
            <w:tcBorders>
              <w:top w:val="single" w:sz="2" w:space="0" w:color="000000"/>
              <w:bottom w:val="single" w:sz="2" w:space="0" w:color="000000"/>
            </w:tcBorders>
            <w:vAlign w:val="center"/>
          </w:tcPr>
          <w:p w14:paraId="51B5A349" w14:textId="77777777" w:rsidR="003E78AB" w:rsidRDefault="00010BF9">
            <w:pPr>
              <w:spacing w:line="360" w:lineRule="exact"/>
              <w:ind w:firstLineChars="0" w:firstLine="0"/>
              <w:jc w:val="center"/>
              <w:textAlignment w:val="center"/>
              <w:rPr>
                <w:sz w:val="21"/>
                <w:szCs w:val="21"/>
                <w:lang w:bidi="ar"/>
              </w:rPr>
            </w:pPr>
            <w:r>
              <w:rPr>
                <w:sz w:val="21"/>
                <w:szCs w:val="21"/>
                <w:lang w:bidi="ar"/>
              </w:rPr>
              <w:t>二期制水能力：</w:t>
            </w:r>
            <w:r>
              <w:rPr>
                <w:sz w:val="21"/>
                <w:szCs w:val="21"/>
                <w:lang w:bidi="ar"/>
              </w:rPr>
              <w:t>10t/h</w:t>
            </w:r>
          </w:p>
        </w:tc>
        <w:tc>
          <w:tcPr>
            <w:tcW w:w="366" w:type="pct"/>
            <w:tcBorders>
              <w:top w:val="single" w:sz="2" w:space="0" w:color="000000"/>
              <w:bottom w:val="single" w:sz="2" w:space="0" w:color="000000"/>
            </w:tcBorders>
            <w:vAlign w:val="center"/>
          </w:tcPr>
          <w:p w14:paraId="4045FFEF"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2" w:space="0" w:color="000000"/>
            </w:tcBorders>
            <w:vAlign w:val="center"/>
          </w:tcPr>
          <w:p w14:paraId="58785A8D" w14:textId="77777777" w:rsidR="003E78AB" w:rsidRDefault="003E78AB">
            <w:pPr>
              <w:spacing w:line="360" w:lineRule="exact"/>
              <w:ind w:firstLineChars="0" w:firstLine="0"/>
              <w:jc w:val="center"/>
              <w:textAlignment w:val="center"/>
              <w:rPr>
                <w:sz w:val="21"/>
                <w:szCs w:val="21"/>
                <w:lang w:bidi="ar"/>
              </w:rPr>
            </w:pPr>
          </w:p>
        </w:tc>
      </w:tr>
      <w:tr w:rsidR="003E78AB" w14:paraId="07BF7192" w14:textId="77777777">
        <w:trPr>
          <w:trHeight w:val="315"/>
        </w:trPr>
        <w:tc>
          <w:tcPr>
            <w:tcW w:w="374" w:type="pct"/>
            <w:tcBorders>
              <w:top w:val="single" w:sz="2" w:space="0" w:color="000000"/>
              <w:bottom w:val="single" w:sz="2" w:space="0" w:color="000000"/>
            </w:tcBorders>
            <w:vAlign w:val="center"/>
          </w:tcPr>
          <w:p w14:paraId="78C52E8B" w14:textId="77777777" w:rsidR="003E78AB" w:rsidRDefault="00010BF9">
            <w:pPr>
              <w:spacing w:line="360" w:lineRule="exact"/>
              <w:ind w:firstLineChars="0" w:firstLine="0"/>
              <w:jc w:val="center"/>
              <w:textAlignment w:val="center"/>
              <w:rPr>
                <w:sz w:val="21"/>
                <w:szCs w:val="21"/>
                <w:lang w:bidi="ar"/>
              </w:rPr>
            </w:pPr>
            <w:r>
              <w:rPr>
                <w:sz w:val="21"/>
                <w:szCs w:val="21"/>
                <w:lang w:bidi="ar"/>
              </w:rPr>
              <w:t>48</w:t>
            </w:r>
          </w:p>
        </w:tc>
        <w:tc>
          <w:tcPr>
            <w:tcW w:w="565" w:type="pct"/>
            <w:vMerge/>
            <w:vAlign w:val="center"/>
          </w:tcPr>
          <w:p w14:paraId="3F9772CC"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01BCFF5" w14:textId="77777777" w:rsidR="003E78AB" w:rsidRDefault="00010BF9">
            <w:pPr>
              <w:spacing w:line="360" w:lineRule="exact"/>
              <w:ind w:firstLineChars="0" w:firstLine="0"/>
              <w:jc w:val="center"/>
              <w:textAlignment w:val="center"/>
              <w:rPr>
                <w:sz w:val="21"/>
                <w:szCs w:val="21"/>
                <w:lang w:bidi="ar"/>
              </w:rPr>
            </w:pPr>
            <w:r>
              <w:rPr>
                <w:sz w:val="21"/>
                <w:szCs w:val="21"/>
                <w:lang w:bidi="ar"/>
              </w:rPr>
              <w:t>闭式冷却塔</w:t>
            </w:r>
          </w:p>
        </w:tc>
        <w:tc>
          <w:tcPr>
            <w:tcW w:w="2517" w:type="pct"/>
            <w:tcBorders>
              <w:top w:val="single" w:sz="2" w:space="0" w:color="000000"/>
              <w:bottom w:val="single" w:sz="2" w:space="0" w:color="000000"/>
            </w:tcBorders>
            <w:vAlign w:val="center"/>
          </w:tcPr>
          <w:p w14:paraId="3605A74C" w14:textId="77777777" w:rsidR="003E78AB" w:rsidRDefault="00010BF9">
            <w:pPr>
              <w:spacing w:line="360" w:lineRule="exact"/>
              <w:ind w:firstLineChars="0" w:firstLine="0"/>
              <w:jc w:val="center"/>
              <w:textAlignment w:val="center"/>
              <w:rPr>
                <w:sz w:val="21"/>
                <w:szCs w:val="21"/>
                <w:lang w:bidi="ar"/>
              </w:rPr>
            </w:pPr>
            <w:r>
              <w:rPr>
                <w:sz w:val="21"/>
                <w:szCs w:val="21"/>
                <w:lang w:bidi="ar"/>
              </w:rPr>
              <w:t>每台处理量为</w:t>
            </w:r>
            <w:r>
              <w:rPr>
                <w:sz w:val="21"/>
                <w:szCs w:val="21"/>
                <w:lang w:bidi="ar"/>
              </w:rPr>
              <w:t>400m³/h</w:t>
            </w:r>
          </w:p>
        </w:tc>
        <w:tc>
          <w:tcPr>
            <w:tcW w:w="366" w:type="pct"/>
            <w:tcBorders>
              <w:top w:val="single" w:sz="2" w:space="0" w:color="000000"/>
              <w:bottom w:val="single" w:sz="2" w:space="0" w:color="000000"/>
            </w:tcBorders>
            <w:vAlign w:val="center"/>
          </w:tcPr>
          <w:p w14:paraId="11EFD86B"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tcBorders>
              <w:bottom w:val="single" w:sz="2" w:space="0" w:color="000000"/>
            </w:tcBorders>
            <w:vAlign w:val="center"/>
          </w:tcPr>
          <w:p w14:paraId="394E3120" w14:textId="77777777" w:rsidR="003E78AB" w:rsidRDefault="003E78AB">
            <w:pPr>
              <w:spacing w:line="360" w:lineRule="exact"/>
              <w:ind w:firstLineChars="0" w:firstLine="0"/>
              <w:jc w:val="center"/>
              <w:textAlignment w:val="center"/>
              <w:rPr>
                <w:sz w:val="21"/>
                <w:szCs w:val="21"/>
                <w:lang w:bidi="ar"/>
              </w:rPr>
            </w:pPr>
          </w:p>
        </w:tc>
      </w:tr>
      <w:tr w:rsidR="003E78AB" w14:paraId="56BB2F17" w14:textId="77777777">
        <w:trPr>
          <w:trHeight w:val="315"/>
        </w:trPr>
        <w:tc>
          <w:tcPr>
            <w:tcW w:w="374" w:type="pct"/>
            <w:tcBorders>
              <w:top w:val="single" w:sz="2" w:space="0" w:color="000000"/>
              <w:bottom w:val="single" w:sz="2" w:space="0" w:color="000000"/>
            </w:tcBorders>
            <w:vAlign w:val="center"/>
          </w:tcPr>
          <w:p w14:paraId="56749274" w14:textId="77777777" w:rsidR="003E78AB" w:rsidRDefault="00010BF9">
            <w:pPr>
              <w:spacing w:line="360" w:lineRule="exact"/>
              <w:ind w:firstLineChars="0" w:firstLine="0"/>
              <w:jc w:val="center"/>
              <w:textAlignment w:val="center"/>
              <w:rPr>
                <w:sz w:val="21"/>
                <w:szCs w:val="21"/>
                <w:lang w:bidi="ar"/>
              </w:rPr>
            </w:pPr>
            <w:r>
              <w:rPr>
                <w:sz w:val="21"/>
                <w:szCs w:val="21"/>
                <w:lang w:bidi="ar"/>
              </w:rPr>
              <w:t>49</w:t>
            </w:r>
          </w:p>
        </w:tc>
        <w:tc>
          <w:tcPr>
            <w:tcW w:w="565" w:type="pct"/>
            <w:vMerge/>
            <w:vAlign w:val="center"/>
          </w:tcPr>
          <w:p w14:paraId="5123509E"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2D8AD7E" w14:textId="77777777" w:rsidR="003E78AB" w:rsidRDefault="00010BF9">
            <w:pPr>
              <w:spacing w:line="360" w:lineRule="exact"/>
              <w:ind w:firstLineChars="0" w:firstLine="0"/>
              <w:jc w:val="center"/>
              <w:textAlignment w:val="center"/>
              <w:rPr>
                <w:sz w:val="21"/>
                <w:szCs w:val="21"/>
                <w:lang w:bidi="ar"/>
              </w:rPr>
            </w:pPr>
            <w:r>
              <w:rPr>
                <w:sz w:val="21"/>
                <w:szCs w:val="21"/>
                <w:lang w:bidi="ar"/>
              </w:rPr>
              <w:t>循环水泵</w:t>
            </w:r>
          </w:p>
        </w:tc>
        <w:tc>
          <w:tcPr>
            <w:tcW w:w="2517" w:type="pct"/>
            <w:tcBorders>
              <w:top w:val="single" w:sz="2" w:space="0" w:color="000000"/>
              <w:bottom w:val="single" w:sz="2" w:space="0" w:color="000000"/>
            </w:tcBorders>
            <w:vAlign w:val="center"/>
          </w:tcPr>
          <w:p w14:paraId="5D848A6C"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r>
              <w:rPr>
                <w:sz w:val="21"/>
                <w:szCs w:val="21"/>
                <w:lang w:bidi="ar"/>
              </w:rPr>
              <w:t>用</w:t>
            </w:r>
            <w:r>
              <w:rPr>
                <w:sz w:val="21"/>
                <w:szCs w:val="21"/>
                <w:lang w:bidi="ar"/>
              </w:rPr>
              <w:t>1</w:t>
            </w:r>
            <w:r>
              <w:rPr>
                <w:sz w:val="21"/>
                <w:szCs w:val="21"/>
                <w:lang w:bidi="ar"/>
              </w:rPr>
              <w:t>备，单泵流量</w:t>
            </w:r>
            <w:r>
              <w:rPr>
                <w:sz w:val="21"/>
                <w:szCs w:val="21"/>
                <w:lang w:bidi="ar"/>
              </w:rPr>
              <w:t>400m³/h</w:t>
            </w:r>
            <w:r>
              <w:rPr>
                <w:sz w:val="21"/>
                <w:szCs w:val="21"/>
                <w:lang w:bidi="ar"/>
              </w:rPr>
              <w:t>，扬程</w:t>
            </w:r>
            <w:r>
              <w:rPr>
                <w:sz w:val="21"/>
                <w:szCs w:val="21"/>
                <w:lang w:bidi="ar"/>
              </w:rPr>
              <w:t>25m</w:t>
            </w:r>
          </w:p>
        </w:tc>
        <w:tc>
          <w:tcPr>
            <w:tcW w:w="366" w:type="pct"/>
            <w:tcBorders>
              <w:top w:val="single" w:sz="2" w:space="0" w:color="000000"/>
              <w:bottom w:val="single" w:sz="2" w:space="0" w:color="000000"/>
            </w:tcBorders>
            <w:vAlign w:val="center"/>
          </w:tcPr>
          <w:p w14:paraId="40BF2E4C"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331" w:type="pct"/>
            <w:tcBorders>
              <w:bottom w:val="single" w:sz="2" w:space="0" w:color="000000"/>
            </w:tcBorders>
            <w:vAlign w:val="center"/>
          </w:tcPr>
          <w:p w14:paraId="015FE404" w14:textId="77777777" w:rsidR="003E78AB" w:rsidRDefault="003E78AB">
            <w:pPr>
              <w:spacing w:line="360" w:lineRule="exact"/>
              <w:ind w:firstLineChars="0" w:firstLine="0"/>
              <w:jc w:val="center"/>
              <w:textAlignment w:val="center"/>
              <w:rPr>
                <w:sz w:val="21"/>
                <w:szCs w:val="21"/>
                <w:lang w:bidi="ar"/>
              </w:rPr>
            </w:pPr>
          </w:p>
        </w:tc>
      </w:tr>
      <w:tr w:rsidR="003E78AB" w14:paraId="696D43D7" w14:textId="77777777">
        <w:trPr>
          <w:trHeight w:val="315"/>
        </w:trPr>
        <w:tc>
          <w:tcPr>
            <w:tcW w:w="374" w:type="pct"/>
            <w:tcBorders>
              <w:top w:val="single" w:sz="2" w:space="0" w:color="000000"/>
              <w:bottom w:val="single" w:sz="2" w:space="0" w:color="000000"/>
            </w:tcBorders>
            <w:vAlign w:val="center"/>
          </w:tcPr>
          <w:p w14:paraId="660A63B0"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c>
          <w:tcPr>
            <w:tcW w:w="565" w:type="pct"/>
            <w:vMerge/>
            <w:vAlign w:val="center"/>
          </w:tcPr>
          <w:p w14:paraId="379F568B"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6C7D2C8" w14:textId="77777777" w:rsidR="003E78AB" w:rsidRDefault="00010BF9">
            <w:pPr>
              <w:spacing w:line="360" w:lineRule="exact"/>
              <w:ind w:firstLineChars="0" w:firstLine="0"/>
              <w:jc w:val="center"/>
              <w:textAlignment w:val="center"/>
              <w:rPr>
                <w:sz w:val="21"/>
                <w:szCs w:val="21"/>
                <w:lang w:bidi="ar"/>
              </w:rPr>
            </w:pPr>
            <w:r>
              <w:rPr>
                <w:sz w:val="21"/>
                <w:szCs w:val="21"/>
                <w:lang w:bidi="ar"/>
              </w:rPr>
              <w:t>定压补水装置</w:t>
            </w:r>
          </w:p>
        </w:tc>
        <w:tc>
          <w:tcPr>
            <w:tcW w:w="2517" w:type="pct"/>
            <w:tcBorders>
              <w:top w:val="single" w:sz="2" w:space="0" w:color="000000"/>
              <w:bottom w:val="single" w:sz="2" w:space="0" w:color="000000"/>
            </w:tcBorders>
            <w:vAlign w:val="center"/>
          </w:tcPr>
          <w:p w14:paraId="6AEE3D03" w14:textId="77777777" w:rsidR="003E78AB" w:rsidRDefault="00010BF9">
            <w:pPr>
              <w:spacing w:line="360" w:lineRule="exact"/>
              <w:ind w:firstLineChars="0" w:firstLine="0"/>
              <w:jc w:val="center"/>
              <w:textAlignment w:val="center"/>
              <w:rPr>
                <w:sz w:val="21"/>
                <w:szCs w:val="21"/>
                <w:lang w:bidi="ar"/>
              </w:rPr>
            </w:pPr>
            <w:r>
              <w:rPr>
                <w:sz w:val="21"/>
                <w:szCs w:val="21"/>
                <w:lang w:bidi="ar"/>
              </w:rPr>
              <w:t>水源采用纯化水；外部循环采用市政自来水补水，补充水量约为</w:t>
            </w:r>
            <w:r>
              <w:rPr>
                <w:sz w:val="21"/>
                <w:szCs w:val="21"/>
                <w:lang w:bidi="ar"/>
              </w:rPr>
              <w:t>1.6m³/h</w:t>
            </w:r>
          </w:p>
        </w:tc>
        <w:tc>
          <w:tcPr>
            <w:tcW w:w="366" w:type="pct"/>
            <w:tcBorders>
              <w:top w:val="single" w:sz="2" w:space="0" w:color="000000"/>
              <w:bottom w:val="single" w:sz="2" w:space="0" w:color="000000"/>
            </w:tcBorders>
            <w:vAlign w:val="center"/>
          </w:tcPr>
          <w:p w14:paraId="50A78DC1"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tcBorders>
              <w:bottom w:val="single" w:sz="2" w:space="0" w:color="000000"/>
            </w:tcBorders>
            <w:vAlign w:val="center"/>
          </w:tcPr>
          <w:p w14:paraId="46F61415" w14:textId="77777777" w:rsidR="003E78AB" w:rsidRDefault="003E78AB">
            <w:pPr>
              <w:spacing w:line="360" w:lineRule="exact"/>
              <w:ind w:firstLineChars="0" w:firstLine="0"/>
              <w:jc w:val="center"/>
              <w:textAlignment w:val="center"/>
              <w:rPr>
                <w:sz w:val="21"/>
                <w:szCs w:val="21"/>
                <w:lang w:bidi="ar"/>
              </w:rPr>
            </w:pPr>
          </w:p>
        </w:tc>
      </w:tr>
      <w:tr w:rsidR="003E78AB" w14:paraId="23071F04" w14:textId="77777777">
        <w:trPr>
          <w:trHeight w:val="315"/>
        </w:trPr>
        <w:tc>
          <w:tcPr>
            <w:tcW w:w="374" w:type="pct"/>
            <w:tcBorders>
              <w:top w:val="single" w:sz="2" w:space="0" w:color="000000"/>
              <w:bottom w:val="single" w:sz="2" w:space="0" w:color="000000"/>
            </w:tcBorders>
            <w:vAlign w:val="center"/>
          </w:tcPr>
          <w:p w14:paraId="1FD0839F" w14:textId="77777777" w:rsidR="003E78AB" w:rsidRDefault="00010BF9">
            <w:pPr>
              <w:spacing w:line="360" w:lineRule="exact"/>
              <w:ind w:firstLineChars="0" w:firstLine="0"/>
              <w:jc w:val="center"/>
              <w:textAlignment w:val="center"/>
              <w:rPr>
                <w:sz w:val="21"/>
                <w:szCs w:val="21"/>
                <w:lang w:bidi="ar"/>
              </w:rPr>
            </w:pPr>
            <w:r>
              <w:rPr>
                <w:sz w:val="21"/>
                <w:szCs w:val="21"/>
                <w:lang w:bidi="ar"/>
              </w:rPr>
              <w:t>51</w:t>
            </w:r>
          </w:p>
        </w:tc>
        <w:tc>
          <w:tcPr>
            <w:tcW w:w="565" w:type="pct"/>
            <w:vMerge/>
            <w:vAlign w:val="center"/>
          </w:tcPr>
          <w:p w14:paraId="1D562F8C"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E6ADDF6" w14:textId="77777777" w:rsidR="003E78AB" w:rsidRDefault="00010BF9">
            <w:pPr>
              <w:spacing w:line="360" w:lineRule="exact"/>
              <w:ind w:firstLineChars="0" w:firstLine="0"/>
              <w:jc w:val="center"/>
              <w:textAlignment w:val="center"/>
              <w:rPr>
                <w:sz w:val="21"/>
                <w:szCs w:val="21"/>
                <w:lang w:bidi="ar"/>
              </w:rPr>
            </w:pPr>
            <w:r>
              <w:rPr>
                <w:sz w:val="21"/>
                <w:szCs w:val="21"/>
                <w:lang w:bidi="ar"/>
              </w:rPr>
              <w:t>空压机</w:t>
            </w:r>
          </w:p>
        </w:tc>
        <w:tc>
          <w:tcPr>
            <w:tcW w:w="2517" w:type="pct"/>
            <w:tcBorders>
              <w:top w:val="single" w:sz="2" w:space="0" w:color="000000"/>
              <w:bottom w:val="single" w:sz="2" w:space="0" w:color="000000"/>
            </w:tcBorders>
            <w:vAlign w:val="center"/>
          </w:tcPr>
          <w:p w14:paraId="34D1E083" w14:textId="77777777" w:rsidR="003E78AB" w:rsidRDefault="00010BF9">
            <w:pPr>
              <w:spacing w:line="360" w:lineRule="exact"/>
              <w:ind w:firstLineChars="0" w:firstLine="0"/>
              <w:jc w:val="center"/>
              <w:textAlignment w:val="center"/>
              <w:rPr>
                <w:sz w:val="21"/>
                <w:szCs w:val="21"/>
                <w:lang w:bidi="ar"/>
              </w:rPr>
            </w:pPr>
            <w:r>
              <w:rPr>
                <w:sz w:val="21"/>
                <w:szCs w:val="21"/>
                <w:lang w:bidi="ar"/>
              </w:rPr>
              <w:t>300Nm</w:t>
            </w:r>
            <w:r>
              <w:rPr>
                <w:sz w:val="21"/>
                <w:szCs w:val="21"/>
                <w:vertAlign w:val="superscript"/>
                <w:lang w:bidi="ar"/>
              </w:rPr>
              <w:t>3</w:t>
            </w:r>
            <w:r>
              <w:rPr>
                <w:sz w:val="21"/>
                <w:szCs w:val="21"/>
                <w:lang w:bidi="ar"/>
              </w:rPr>
              <w:t>/h</w:t>
            </w:r>
            <w:r>
              <w:rPr>
                <w:sz w:val="21"/>
                <w:szCs w:val="21"/>
                <w:lang w:bidi="ar"/>
              </w:rPr>
              <w:t>，出气口压力</w:t>
            </w:r>
            <w:r>
              <w:rPr>
                <w:sz w:val="21"/>
                <w:szCs w:val="21"/>
                <w:lang w:bidi="ar"/>
              </w:rPr>
              <w:t>0.8MPa</w:t>
            </w:r>
          </w:p>
        </w:tc>
        <w:tc>
          <w:tcPr>
            <w:tcW w:w="366" w:type="pct"/>
            <w:tcBorders>
              <w:top w:val="single" w:sz="2" w:space="0" w:color="000000"/>
              <w:bottom w:val="single" w:sz="2" w:space="0" w:color="000000"/>
            </w:tcBorders>
            <w:vAlign w:val="center"/>
          </w:tcPr>
          <w:p w14:paraId="729ED9A1"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tcBorders>
              <w:top w:val="single" w:sz="2" w:space="0" w:color="000000"/>
              <w:bottom w:val="single" w:sz="2" w:space="0" w:color="000000"/>
            </w:tcBorders>
            <w:vAlign w:val="center"/>
          </w:tcPr>
          <w:p w14:paraId="530FDFBC" w14:textId="77777777" w:rsidR="003E78AB" w:rsidRDefault="003E78AB">
            <w:pPr>
              <w:spacing w:line="360" w:lineRule="exact"/>
              <w:ind w:firstLineChars="0" w:firstLine="0"/>
              <w:jc w:val="center"/>
              <w:textAlignment w:val="center"/>
              <w:rPr>
                <w:sz w:val="21"/>
                <w:szCs w:val="21"/>
                <w:lang w:bidi="ar"/>
              </w:rPr>
            </w:pPr>
          </w:p>
        </w:tc>
      </w:tr>
      <w:tr w:rsidR="003E78AB" w14:paraId="1DFD61B7" w14:textId="77777777">
        <w:trPr>
          <w:trHeight w:val="315"/>
        </w:trPr>
        <w:tc>
          <w:tcPr>
            <w:tcW w:w="374" w:type="pct"/>
            <w:tcBorders>
              <w:top w:val="single" w:sz="2" w:space="0" w:color="000000"/>
              <w:bottom w:val="single" w:sz="2" w:space="0" w:color="000000"/>
            </w:tcBorders>
            <w:vAlign w:val="center"/>
          </w:tcPr>
          <w:p w14:paraId="633DAF9F" w14:textId="77777777" w:rsidR="003E78AB" w:rsidRDefault="00010BF9">
            <w:pPr>
              <w:spacing w:line="360" w:lineRule="exact"/>
              <w:ind w:firstLineChars="0" w:firstLine="0"/>
              <w:jc w:val="center"/>
              <w:textAlignment w:val="center"/>
              <w:rPr>
                <w:sz w:val="21"/>
                <w:szCs w:val="21"/>
                <w:lang w:bidi="ar"/>
              </w:rPr>
            </w:pPr>
            <w:r>
              <w:rPr>
                <w:sz w:val="21"/>
                <w:szCs w:val="21"/>
                <w:lang w:bidi="ar"/>
              </w:rPr>
              <w:t>52</w:t>
            </w:r>
          </w:p>
        </w:tc>
        <w:tc>
          <w:tcPr>
            <w:tcW w:w="565" w:type="pct"/>
            <w:vMerge/>
            <w:vAlign w:val="center"/>
          </w:tcPr>
          <w:p w14:paraId="5087586D"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tcPr>
          <w:p w14:paraId="73583C7D" w14:textId="77777777" w:rsidR="003E78AB" w:rsidRDefault="00010BF9">
            <w:pPr>
              <w:spacing w:line="360" w:lineRule="exact"/>
              <w:ind w:firstLineChars="0" w:firstLine="0"/>
              <w:jc w:val="center"/>
              <w:textAlignment w:val="center"/>
              <w:rPr>
                <w:sz w:val="21"/>
                <w:szCs w:val="21"/>
                <w:lang w:bidi="ar"/>
              </w:rPr>
            </w:pPr>
            <w:r>
              <w:rPr>
                <w:sz w:val="21"/>
                <w:szCs w:val="21"/>
                <w:lang w:bidi="ar"/>
              </w:rPr>
              <w:t>柴油发电机组</w:t>
            </w:r>
          </w:p>
        </w:tc>
        <w:tc>
          <w:tcPr>
            <w:tcW w:w="2517" w:type="pct"/>
            <w:tcBorders>
              <w:top w:val="single" w:sz="2" w:space="0" w:color="000000"/>
              <w:bottom w:val="single" w:sz="2" w:space="0" w:color="000000"/>
            </w:tcBorders>
          </w:tcPr>
          <w:p w14:paraId="1B158105" w14:textId="77777777" w:rsidR="003E78AB" w:rsidRDefault="00010BF9">
            <w:pPr>
              <w:spacing w:line="360" w:lineRule="exact"/>
              <w:ind w:firstLineChars="0" w:firstLine="0"/>
              <w:jc w:val="center"/>
              <w:textAlignment w:val="center"/>
              <w:rPr>
                <w:sz w:val="21"/>
                <w:szCs w:val="21"/>
                <w:lang w:bidi="ar"/>
              </w:rPr>
            </w:pPr>
            <w:r>
              <w:rPr>
                <w:sz w:val="21"/>
                <w:szCs w:val="21"/>
                <w:lang w:bidi="ar"/>
              </w:rPr>
              <w:t>500kW</w:t>
            </w:r>
          </w:p>
        </w:tc>
        <w:tc>
          <w:tcPr>
            <w:tcW w:w="366" w:type="pct"/>
            <w:tcBorders>
              <w:top w:val="single" w:sz="2" w:space="0" w:color="000000"/>
              <w:bottom w:val="single" w:sz="2" w:space="0" w:color="000000"/>
            </w:tcBorders>
          </w:tcPr>
          <w:p w14:paraId="23036F2A"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tcBorders>
              <w:top w:val="single" w:sz="2" w:space="0" w:color="000000"/>
              <w:bottom w:val="single" w:sz="2" w:space="0" w:color="000000"/>
            </w:tcBorders>
            <w:vAlign w:val="center"/>
          </w:tcPr>
          <w:p w14:paraId="55CC69A2" w14:textId="77777777" w:rsidR="003E78AB" w:rsidRDefault="003E78AB">
            <w:pPr>
              <w:spacing w:line="360" w:lineRule="exact"/>
              <w:ind w:firstLineChars="0" w:firstLine="0"/>
              <w:jc w:val="center"/>
              <w:textAlignment w:val="center"/>
              <w:rPr>
                <w:sz w:val="21"/>
                <w:szCs w:val="21"/>
                <w:lang w:bidi="ar"/>
              </w:rPr>
            </w:pPr>
          </w:p>
        </w:tc>
      </w:tr>
      <w:tr w:rsidR="003E78AB" w14:paraId="5937C592" w14:textId="77777777">
        <w:trPr>
          <w:trHeight w:val="315"/>
        </w:trPr>
        <w:tc>
          <w:tcPr>
            <w:tcW w:w="374" w:type="pct"/>
            <w:tcBorders>
              <w:top w:val="single" w:sz="2" w:space="0" w:color="000000"/>
              <w:bottom w:val="single" w:sz="2" w:space="0" w:color="000000"/>
            </w:tcBorders>
            <w:vAlign w:val="center"/>
          </w:tcPr>
          <w:p w14:paraId="1C9A789B" w14:textId="77777777" w:rsidR="003E78AB" w:rsidRDefault="00010BF9">
            <w:pPr>
              <w:spacing w:line="360" w:lineRule="exact"/>
              <w:ind w:firstLineChars="0" w:firstLine="0"/>
              <w:jc w:val="center"/>
              <w:textAlignment w:val="center"/>
              <w:rPr>
                <w:sz w:val="21"/>
                <w:szCs w:val="21"/>
                <w:lang w:bidi="ar"/>
              </w:rPr>
            </w:pPr>
            <w:r>
              <w:rPr>
                <w:sz w:val="21"/>
                <w:szCs w:val="21"/>
                <w:lang w:bidi="ar"/>
              </w:rPr>
              <w:t>53</w:t>
            </w:r>
          </w:p>
        </w:tc>
        <w:tc>
          <w:tcPr>
            <w:tcW w:w="565" w:type="pct"/>
            <w:vMerge/>
            <w:vAlign w:val="center"/>
          </w:tcPr>
          <w:p w14:paraId="6D11A4F4"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8F20BE4" w14:textId="77777777" w:rsidR="003E78AB" w:rsidRDefault="00010BF9">
            <w:pPr>
              <w:spacing w:line="360" w:lineRule="exact"/>
              <w:ind w:firstLineChars="0" w:firstLine="0"/>
              <w:jc w:val="center"/>
              <w:textAlignment w:val="center"/>
              <w:rPr>
                <w:sz w:val="21"/>
                <w:szCs w:val="21"/>
                <w:lang w:bidi="ar"/>
              </w:rPr>
            </w:pPr>
            <w:r>
              <w:rPr>
                <w:sz w:val="21"/>
                <w:szCs w:val="21"/>
                <w:lang w:bidi="ar"/>
              </w:rPr>
              <w:t>燃气热水锅炉</w:t>
            </w:r>
          </w:p>
        </w:tc>
        <w:tc>
          <w:tcPr>
            <w:tcW w:w="2517" w:type="pct"/>
            <w:tcBorders>
              <w:top w:val="single" w:sz="2" w:space="0" w:color="000000"/>
              <w:bottom w:val="single" w:sz="2" w:space="0" w:color="000000"/>
            </w:tcBorders>
            <w:vAlign w:val="center"/>
          </w:tcPr>
          <w:p w14:paraId="58BF0F5B" w14:textId="77777777" w:rsidR="003E78AB" w:rsidRDefault="00010BF9">
            <w:pPr>
              <w:spacing w:line="360" w:lineRule="exact"/>
              <w:ind w:firstLineChars="0" w:firstLine="0"/>
              <w:jc w:val="center"/>
              <w:textAlignment w:val="center"/>
              <w:rPr>
                <w:sz w:val="21"/>
                <w:szCs w:val="21"/>
                <w:lang w:bidi="ar"/>
              </w:rPr>
            </w:pPr>
            <w:r>
              <w:rPr>
                <w:sz w:val="21"/>
                <w:szCs w:val="21"/>
                <w:lang w:bidi="ar"/>
              </w:rPr>
              <w:t>额定热功率：</w:t>
            </w:r>
            <w:r>
              <w:rPr>
                <w:sz w:val="21"/>
                <w:szCs w:val="21"/>
                <w:lang w:bidi="ar"/>
              </w:rPr>
              <w:t>2.1MW</w:t>
            </w:r>
            <w:r>
              <w:rPr>
                <w:sz w:val="21"/>
                <w:szCs w:val="21"/>
                <w:lang w:bidi="ar"/>
              </w:rPr>
              <w:t>；额定进出水温度：</w:t>
            </w:r>
            <w:r>
              <w:rPr>
                <w:sz w:val="21"/>
                <w:szCs w:val="21"/>
                <w:lang w:bidi="ar"/>
              </w:rPr>
              <w:t>70/95°C</w:t>
            </w:r>
            <w:r>
              <w:rPr>
                <w:sz w:val="21"/>
                <w:szCs w:val="21"/>
                <w:lang w:bidi="ar"/>
              </w:rPr>
              <w:t>；燃料耗量：</w:t>
            </w:r>
            <w:r>
              <w:rPr>
                <w:sz w:val="21"/>
                <w:szCs w:val="21"/>
                <w:lang w:bidi="ar"/>
              </w:rPr>
              <w:t>231.6Nm</w:t>
            </w:r>
            <w:r>
              <w:rPr>
                <w:sz w:val="21"/>
                <w:szCs w:val="21"/>
                <w:vertAlign w:val="superscript"/>
                <w:lang w:bidi="ar"/>
              </w:rPr>
              <w:t>3</w:t>
            </w:r>
            <w:r>
              <w:rPr>
                <w:sz w:val="21"/>
                <w:szCs w:val="21"/>
                <w:lang w:bidi="ar"/>
              </w:rPr>
              <w:t>/h</w:t>
            </w:r>
            <w:r>
              <w:rPr>
                <w:sz w:val="21"/>
                <w:szCs w:val="21"/>
                <w:lang w:bidi="ar"/>
              </w:rPr>
              <w:t>，天然气</w:t>
            </w:r>
            <w:r>
              <w:rPr>
                <w:sz w:val="21"/>
                <w:szCs w:val="21"/>
                <w:lang w:bidi="ar"/>
              </w:rPr>
              <w:t>(</w:t>
            </w:r>
            <w:r>
              <w:rPr>
                <w:sz w:val="21"/>
                <w:szCs w:val="21"/>
                <w:lang w:bidi="ar"/>
              </w:rPr>
              <w:t>供气压力：</w:t>
            </w:r>
            <w:r>
              <w:rPr>
                <w:sz w:val="21"/>
                <w:szCs w:val="21"/>
                <w:lang w:bidi="ar"/>
              </w:rPr>
              <w:t>7~20kPa)</w:t>
            </w:r>
            <w:r>
              <w:rPr>
                <w:sz w:val="21"/>
                <w:szCs w:val="21"/>
                <w:lang w:bidi="ar"/>
              </w:rPr>
              <w:t>，锅炉配套风机</w:t>
            </w:r>
            <w:r>
              <w:rPr>
                <w:sz w:val="21"/>
                <w:szCs w:val="21"/>
                <w:lang w:bidi="ar"/>
              </w:rPr>
              <w:t>N=6.5kW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34BCF49E"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restart"/>
            <w:tcBorders>
              <w:top w:val="single" w:sz="2" w:space="0" w:color="000000"/>
            </w:tcBorders>
            <w:vAlign w:val="center"/>
          </w:tcPr>
          <w:p w14:paraId="50013414" w14:textId="77777777" w:rsidR="003E78AB" w:rsidRDefault="00010BF9">
            <w:pPr>
              <w:spacing w:line="360" w:lineRule="exact"/>
              <w:ind w:firstLineChars="0" w:firstLine="0"/>
              <w:jc w:val="center"/>
              <w:textAlignment w:val="center"/>
              <w:rPr>
                <w:sz w:val="21"/>
                <w:szCs w:val="21"/>
                <w:lang w:bidi="ar"/>
              </w:rPr>
            </w:pPr>
            <w:r>
              <w:rPr>
                <w:sz w:val="21"/>
                <w:szCs w:val="21"/>
                <w:lang w:bidi="ar"/>
              </w:rPr>
              <w:t>锅炉房</w:t>
            </w:r>
          </w:p>
        </w:tc>
      </w:tr>
      <w:tr w:rsidR="003E78AB" w14:paraId="614959EE" w14:textId="77777777">
        <w:trPr>
          <w:trHeight w:val="315"/>
        </w:trPr>
        <w:tc>
          <w:tcPr>
            <w:tcW w:w="374" w:type="pct"/>
            <w:tcBorders>
              <w:top w:val="single" w:sz="2" w:space="0" w:color="000000"/>
              <w:bottom w:val="single" w:sz="2" w:space="0" w:color="000000"/>
            </w:tcBorders>
            <w:vAlign w:val="center"/>
          </w:tcPr>
          <w:p w14:paraId="4BA357DE" w14:textId="77777777" w:rsidR="003E78AB" w:rsidRDefault="00010BF9">
            <w:pPr>
              <w:spacing w:line="360" w:lineRule="exact"/>
              <w:ind w:firstLineChars="0" w:firstLine="0"/>
              <w:jc w:val="center"/>
              <w:textAlignment w:val="center"/>
              <w:rPr>
                <w:sz w:val="21"/>
                <w:szCs w:val="21"/>
                <w:lang w:bidi="ar"/>
              </w:rPr>
            </w:pPr>
            <w:r>
              <w:rPr>
                <w:sz w:val="21"/>
                <w:szCs w:val="21"/>
                <w:lang w:bidi="ar"/>
              </w:rPr>
              <w:t>54</w:t>
            </w:r>
          </w:p>
        </w:tc>
        <w:tc>
          <w:tcPr>
            <w:tcW w:w="565" w:type="pct"/>
            <w:vMerge/>
            <w:vAlign w:val="center"/>
          </w:tcPr>
          <w:p w14:paraId="546EB3B8"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5F16C0B" w14:textId="77777777" w:rsidR="003E78AB" w:rsidRDefault="00010BF9">
            <w:pPr>
              <w:spacing w:line="360" w:lineRule="exact"/>
              <w:ind w:firstLineChars="0" w:firstLine="0"/>
              <w:jc w:val="center"/>
              <w:textAlignment w:val="center"/>
              <w:rPr>
                <w:sz w:val="21"/>
                <w:szCs w:val="21"/>
                <w:lang w:bidi="ar"/>
              </w:rPr>
            </w:pPr>
            <w:r>
              <w:rPr>
                <w:sz w:val="21"/>
                <w:szCs w:val="21"/>
                <w:lang w:bidi="ar"/>
              </w:rPr>
              <w:t>锅炉配套给水泵</w:t>
            </w:r>
          </w:p>
        </w:tc>
        <w:tc>
          <w:tcPr>
            <w:tcW w:w="2517" w:type="pct"/>
            <w:tcBorders>
              <w:top w:val="single" w:sz="2" w:space="0" w:color="000000"/>
              <w:bottom w:val="single" w:sz="2" w:space="0" w:color="000000"/>
            </w:tcBorders>
            <w:vAlign w:val="center"/>
          </w:tcPr>
          <w:p w14:paraId="09CA9F71" w14:textId="77777777" w:rsidR="003E78AB" w:rsidRDefault="00010BF9">
            <w:pPr>
              <w:spacing w:line="360" w:lineRule="exact"/>
              <w:ind w:firstLineChars="0" w:firstLine="0"/>
              <w:jc w:val="center"/>
              <w:textAlignment w:val="center"/>
              <w:rPr>
                <w:sz w:val="21"/>
                <w:szCs w:val="21"/>
                <w:lang w:bidi="ar"/>
              </w:rPr>
            </w:pPr>
            <w:r>
              <w:rPr>
                <w:sz w:val="21"/>
                <w:szCs w:val="21"/>
                <w:lang w:bidi="ar"/>
              </w:rPr>
              <w:t>N=7.5kW</w:t>
            </w:r>
            <w:r>
              <w:rPr>
                <w:sz w:val="21"/>
                <w:szCs w:val="21"/>
                <w:lang w:bidi="ar"/>
              </w:rPr>
              <w:t>，</w:t>
            </w:r>
            <w:r>
              <w:rPr>
                <w:sz w:val="21"/>
                <w:szCs w:val="21"/>
                <w:lang w:bidi="ar"/>
              </w:rPr>
              <w:t>380V(</w:t>
            </w:r>
            <w:r>
              <w:rPr>
                <w:sz w:val="21"/>
                <w:szCs w:val="21"/>
                <w:lang w:bidi="ar"/>
              </w:rPr>
              <w:t>水泵流量及扬程由厂家确定</w:t>
            </w:r>
            <w:r>
              <w:rPr>
                <w:sz w:val="21"/>
                <w:szCs w:val="21"/>
                <w:lang w:bidi="ar"/>
              </w:rPr>
              <w:t>)</w:t>
            </w:r>
          </w:p>
        </w:tc>
        <w:tc>
          <w:tcPr>
            <w:tcW w:w="366" w:type="pct"/>
            <w:tcBorders>
              <w:top w:val="single" w:sz="2" w:space="0" w:color="000000"/>
              <w:bottom w:val="single" w:sz="2" w:space="0" w:color="000000"/>
            </w:tcBorders>
            <w:vAlign w:val="center"/>
          </w:tcPr>
          <w:p w14:paraId="3D53636E"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331" w:type="pct"/>
            <w:vMerge/>
            <w:vAlign w:val="center"/>
          </w:tcPr>
          <w:p w14:paraId="431A4156" w14:textId="77777777" w:rsidR="003E78AB" w:rsidRDefault="003E78AB">
            <w:pPr>
              <w:spacing w:line="360" w:lineRule="exact"/>
              <w:ind w:firstLineChars="0" w:firstLine="0"/>
              <w:jc w:val="center"/>
              <w:textAlignment w:val="center"/>
              <w:rPr>
                <w:sz w:val="21"/>
                <w:szCs w:val="21"/>
                <w:lang w:bidi="ar"/>
              </w:rPr>
            </w:pPr>
          </w:p>
        </w:tc>
      </w:tr>
      <w:tr w:rsidR="003E78AB" w14:paraId="4921B248" w14:textId="77777777">
        <w:trPr>
          <w:trHeight w:val="315"/>
        </w:trPr>
        <w:tc>
          <w:tcPr>
            <w:tcW w:w="374" w:type="pct"/>
            <w:tcBorders>
              <w:top w:val="single" w:sz="2" w:space="0" w:color="000000"/>
              <w:bottom w:val="single" w:sz="2" w:space="0" w:color="000000"/>
            </w:tcBorders>
            <w:vAlign w:val="center"/>
          </w:tcPr>
          <w:p w14:paraId="560BE98F" w14:textId="77777777" w:rsidR="003E78AB" w:rsidRDefault="00010BF9">
            <w:pPr>
              <w:spacing w:line="360" w:lineRule="exact"/>
              <w:ind w:firstLineChars="0" w:firstLine="0"/>
              <w:jc w:val="center"/>
              <w:textAlignment w:val="center"/>
              <w:rPr>
                <w:sz w:val="21"/>
                <w:szCs w:val="21"/>
                <w:lang w:bidi="ar"/>
              </w:rPr>
            </w:pPr>
            <w:r>
              <w:rPr>
                <w:sz w:val="21"/>
                <w:szCs w:val="21"/>
                <w:lang w:bidi="ar"/>
              </w:rPr>
              <w:t>55</w:t>
            </w:r>
          </w:p>
        </w:tc>
        <w:tc>
          <w:tcPr>
            <w:tcW w:w="565" w:type="pct"/>
            <w:vMerge/>
            <w:vAlign w:val="center"/>
          </w:tcPr>
          <w:p w14:paraId="220BF495"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FB2C59B" w14:textId="77777777" w:rsidR="003E78AB" w:rsidRDefault="00010BF9">
            <w:pPr>
              <w:spacing w:line="360" w:lineRule="exact"/>
              <w:ind w:firstLineChars="0" w:firstLine="0"/>
              <w:jc w:val="center"/>
              <w:textAlignment w:val="center"/>
              <w:rPr>
                <w:sz w:val="21"/>
                <w:szCs w:val="21"/>
                <w:lang w:bidi="ar"/>
              </w:rPr>
            </w:pPr>
            <w:r>
              <w:rPr>
                <w:sz w:val="21"/>
                <w:szCs w:val="21"/>
                <w:lang w:bidi="ar"/>
              </w:rPr>
              <w:t>落地囊式气压罐定压补水装置</w:t>
            </w:r>
          </w:p>
        </w:tc>
        <w:tc>
          <w:tcPr>
            <w:tcW w:w="2517" w:type="pct"/>
            <w:tcBorders>
              <w:top w:val="single" w:sz="2" w:space="0" w:color="000000"/>
              <w:bottom w:val="single" w:sz="2" w:space="0" w:color="000000"/>
            </w:tcBorders>
            <w:vAlign w:val="center"/>
          </w:tcPr>
          <w:p w14:paraId="48539E1B" w14:textId="77777777" w:rsidR="003E78AB" w:rsidRDefault="00010BF9">
            <w:pPr>
              <w:spacing w:line="360" w:lineRule="exact"/>
              <w:ind w:firstLineChars="0" w:firstLine="0"/>
              <w:jc w:val="center"/>
              <w:textAlignment w:val="center"/>
              <w:rPr>
                <w:sz w:val="21"/>
                <w:szCs w:val="21"/>
                <w:lang w:bidi="ar"/>
              </w:rPr>
            </w:pPr>
            <w:r>
              <w:rPr>
                <w:sz w:val="21"/>
                <w:szCs w:val="21"/>
                <w:lang w:bidi="ar"/>
              </w:rPr>
              <w:t>补水泵流量：</w:t>
            </w:r>
            <w:r>
              <w:rPr>
                <w:sz w:val="21"/>
                <w:szCs w:val="21"/>
                <w:lang w:bidi="ar"/>
              </w:rPr>
              <w:t>2m</w:t>
            </w:r>
            <w:r>
              <w:rPr>
                <w:sz w:val="21"/>
                <w:szCs w:val="21"/>
                <w:vertAlign w:val="superscript"/>
                <w:lang w:bidi="ar"/>
              </w:rPr>
              <w:t>3</w:t>
            </w:r>
            <w:r>
              <w:rPr>
                <w:sz w:val="21"/>
                <w:szCs w:val="21"/>
                <w:lang w:bidi="ar"/>
              </w:rPr>
              <w:t>/h</w:t>
            </w:r>
            <w:r>
              <w:rPr>
                <w:sz w:val="21"/>
                <w:szCs w:val="21"/>
                <w:lang w:bidi="ar"/>
              </w:rPr>
              <w:t>，补水泵扬程：</w:t>
            </w:r>
            <w:r>
              <w:rPr>
                <w:sz w:val="21"/>
                <w:szCs w:val="21"/>
                <w:lang w:bidi="ar"/>
              </w:rPr>
              <w:t>35m</w:t>
            </w:r>
            <w:r>
              <w:rPr>
                <w:sz w:val="21"/>
                <w:szCs w:val="21"/>
                <w:lang w:bidi="ar"/>
              </w:rPr>
              <w:t>，补水泵功率</w:t>
            </w:r>
            <w:r>
              <w:rPr>
                <w:sz w:val="21"/>
                <w:szCs w:val="21"/>
                <w:lang w:bidi="ar"/>
              </w:rPr>
              <w:t>N=2.2kW</w:t>
            </w:r>
            <w:r>
              <w:rPr>
                <w:sz w:val="21"/>
                <w:szCs w:val="21"/>
                <w:lang w:bidi="ar"/>
              </w:rPr>
              <w:t>，</w:t>
            </w:r>
            <w:r>
              <w:rPr>
                <w:sz w:val="21"/>
                <w:szCs w:val="21"/>
                <w:lang w:bidi="ar"/>
              </w:rPr>
              <w:t>380V</w:t>
            </w:r>
            <w:r>
              <w:rPr>
                <w:sz w:val="21"/>
                <w:szCs w:val="21"/>
                <w:lang w:bidi="ar"/>
              </w:rPr>
              <w:t>补水泵</w:t>
            </w:r>
            <w:r>
              <w:rPr>
                <w:sz w:val="21"/>
                <w:szCs w:val="21"/>
                <w:lang w:bidi="ar"/>
              </w:rPr>
              <w:t>2</w:t>
            </w:r>
            <w:r>
              <w:rPr>
                <w:sz w:val="21"/>
                <w:szCs w:val="21"/>
                <w:lang w:bidi="ar"/>
              </w:rPr>
              <w:t>台，平时</w:t>
            </w:r>
            <w:r>
              <w:rPr>
                <w:sz w:val="21"/>
                <w:szCs w:val="21"/>
                <w:lang w:bidi="ar"/>
              </w:rPr>
              <w:t>1</w:t>
            </w:r>
            <w:r>
              <w:rPr>
                <w:sz w:val="21"/>
                <w:szCs w:val="21"/>
                <w:lang w:bidi="ar"/>
              </w:rPr>
              <w:t>台工作，初期上水，或事故补水时</w:t>
            </w:r>
            <w:r>
              <w:rPr>
                <w:sz w:val="21"/>
                <w:szCs w:val="21"/>
                <w:lang w:bidi="ar"/>
              </w:rPr>
              <w:t>2</w:t>
            </w:r>
            <w:r>
              <w:rPr>
                <w:sz w:val="21"/>
                <w:szCs w:val="21"/>
                <w:lang w:bidi="ar"/>
              </w:rPr>
              <w:t>台同时开启气压罐尺寸：</w:t>
            </w:r>
            <w:r>
              <w:rPr>
                <w:sz w:val="21"/>
                <w:szCs w:val="21"/>
                <w:lang w:bidi="ar"/>
              </w:rPr>
              <w:t>800×2310</w:t>
            </w:r>
            <w:r>
              <w:rPr>
                <w:sz w:val="21"/>
                <w:szCs w:val="21"/>
                <w:lang w:bidi="ar"/>
              </w:rPr>
              <w:t>，调节容积</w:t>
            </w:r>
            <w:r>
              <w:rPr>
                <w:sz w:val="21"/>
                <w:szCs w:val="21"/>
                <w:lang w:bidi="ar"/>
              </w:rPr>
              <w:t>26m</w:t>
            </w:r>
            <w:r>
              <w:rPr>
                <w:sz w:val="21"/>
                <w:szCs w:val="21"/>
                <w:vertAlign w:val="superscript"/>
                <w:lang w:bidi="ar"/>
              </w:rPr>
              <w:t>3</w:t>
            </w:r>
            <w:r>
              <w:rPr>
                <w:sz w:val="21"/>
                <w:szCs w:val="21"/>
                <w:lang w:bidi="ar"/>
              </w:rPr>
              <w:t>，总容积</w:t>
            </w:r>
            <w:r>
              <w:rPr>
                <w:sz w:val="21"/>
                <w:szCs w:val="21"/>
                <w:lang w:bidi="ar"/>
              </w:rPr>
              <w:t>82m</w:t>
            </w:r>
            <w:r>
              <w:rPr>
                <w:sz w:val="21"/>
                <w:szCs w:val="21"/>
                <w:vertAlign w:val="superscript"/>
                <w:lang w:bidi="ar"/>
              </w:rPr>
              <w:t>3</w:t>
            </w:r>
          </w:p>
        </w:tc>
        <w:tc>
          <w:tcPr>
            <w:tcW w:w="366" w:type="pct"/>
            <w:tcBorders>
              <w:top w:val="single" w:sz="2" w:space="0" w:color="000000"/>
              <w:bottom w:val="single" w:sz="2" w:space="0" w:color="000000"/>
            </w:tcBorders>
            <w:vAlign w:val="center"/>
          </w:tcPr>
          <w:p w14:paraId="4AE540A2"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57ED63FC" w14:textId="77777777" w:rsidR="003E78AB" w:rsidRDefault="003E78AB">
            <w:pPr>
              <w:spacing w:line="360" w:lineRule="exact"/>
              <w:ind w:firstLineChars="0" w:firstLine="0"/>
              <w:jc w:val="center"/>
              <w:textAlignment w:val="center"/>
              <w:rPr>
                <w:sz w:val="21"/>
                <w:szCs w:val="21"/>
                <w:lang w:bidi="ar"/>
              </w:rPr>
            </w:pPr>
          </w:p>
        </w:tc>
      </w:tr>
      <w:tr w:rsidR="003E78AB" w14:paraId="406A6AD8" w14:textId="77777777">
        <w:trPr>
          <w:trHeight w:val="315"/>
        </w:trPr>
        <w:tc>
          <w:tcPr>
            <w:tcW w:w="374" w:type="pct"/>
            <w:tcBorders>
              <w:top w:val="single" w:sz="2" w:space="0" w:color="000000"/>
              <w:bottom w:val="single" w:sz="2" w:space="0" w:color="000000"/>
            </w:tcBorders>
            <w:vAlign w:val="center"/>
          </w:tcPr>
          <w:p w14:paraId="2CC1580A" w14:textId="77777777" w:rsidR="003E78AB" w:rsidRDefault="00010BF9">
            <w:pPr>
              <w:spacing w:line="360" w:lineRule="exact"/>
              <w:ind w:firstLineChars="0" w:firstLine="0"/>
              <w:jc w:val="center"/>
              <w:textAlignment w:val="center"/>
              <w:rPr>
                <w:sz w:val="21"/>
                <w:szCs w:val="21"/>
                <w:lang w:bidi="ar"/>
              </w:rPr>
            </w:pPr>
            <w:r>
              <w:rPr>
                <w:sz w:val="21"/>
                <w:szCs w:val="21"/>
                <w:lang w:bidi="ar"/>
              </w:rPr>
              <w:t>56</w:t>
            </w:r>
          </w:p>
        </w:tc>
        <w:tc>
          <w:tcPr>
            <w:tcW w:w="565" w:type="pct"/>
            <w:vMerge/>
            <w:vAlign w:val="center"/>
          </w:tcPr>
          <w:p w14:paraId="105B2FFB"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54C7A71" w14:textId="77777777" w:rsidR="003E78AB" w:rsidRDefault="00010BF9">
            <w:pPr>
              <w:spacing w:line="360" w:lineRule="exact"/>
              <w:ind w:firstLineChars="0" w:firstLine="0"/>
              <w:jc w:val="center"/>
              <w:textAlignment w:val="center"/>
              <w:rPr>
                <w:sz w:val="21"/>
                <w:szCs w:val="21"/>
                <w:lang w:bidi="ar"/>
              </w:rPr>
            </w:pPr>
            <w:r>
              <w:rPr>
                <w:sz w:val="21"/>
                <w:szCs w:val="21"/>
                <w:lang w:bidi="ar"/>
              </w:rPr>
              <w:t>装配式不锈钢软化水箱</w:t>
            </w:r>
          </w:p>
        </w:tc>
        <w:tc>
          <w:tcPr>
            <w:tcW w:w="2517" w:type="pct"/>
            <w:tcBorders>
              <w:top w:val="single" w:sz="2" w:space="0" w:color="000000"/>
              <w:bottom w:val="single" w:sz="2" w:space="0" w:color="000000"/>
            </w:tcBorders>
            <w:vAlign w:val="center"/>
          </w:tcPr>
          <w:p w14:paraId="3201F4C1" w14:textId="77777777" w:rsidR="003E78AB" w:rsidRDefault="00010BF9">
            <w:pPr>
              <w:spacing w:line="360" w:lineRule="exact"/>
              <w:ind w:firstLineChars="0" w:firstLine="0"/>
              <w:jc w:val="center"/>
              <w:textAlignment w:val="center"/>
              <w:rPr>
                <w:sz w:val="21"/>
                <w:szCs w:val="21"/>
                <w:lang w:bidi="ar"/>
              </w:rPr>
            </w:pPr>
            <w:r>
              <w:rPr>
                <w:sz w:val="21"/>
                <w:szCs w:val="21"/>
                <w:lang w:bidi="ar"/>
              </w:rPr>
              <w:t>尺寸</w:t>
            </w:r>
            <w:r>
              <w:rPr>
                <w:sz w:val="21"/>
                <w:szCs w:val="21"/>
                <w:lang w:bidi="ar"/>
              </w:rPr>
              <w:t>3000×2000×2000(H)</w:t>
            </w:r>
            <w:r>
              <w:rPr>
                <w:sz w:val="21"/>
                <w:szCs w:val="21"/>
                <w:lang w:bidi="ar"/>
              </w:rPr>
              <w:t>，公称容积：</w:t>
            </w:r>
            <w:r>
              <w:rPr>
                <w:sz w:val="21"/>
                <w:szCs w:val="21"/>
                <w:lang w:bidi="ar"/>
              </w:rPr>
              <w:t>12m</w:t>
            </w:r>
            <w:r>
              <w:rPr>
                <w:sz w:val="21"/>
                <w:szCs w:val="21"/>
                <w:vertAlign w:val="superscript"/>
                <w:lang w:bidi="ar"/>
              </w:rPr>
              <w:t>3</w:t>
            </w:r>
          </w:p>
        </w:tc>
        <w:tc>
          <w:tcPr>
            <w:tcW w:w="366" w:type="pct"/>
            <w:tcBorders>
              <w:top w:val="single" w:sz="2" w:space="0" w:color="000000"/>
              <w:bottom w:val="single" w:sz="2" w:space="0" w:color="000000"/>
            </w:tcBorders>
            <w:vAlign w:val="center"/>
          </w:tcPr>
          <w:p w14:paraId="10175055"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6971738A" w14:textId="77777777" w:rsidR="003E78AB" w:rsidRDefault="003E78AB">
            <w:pPr>
              <w:spacing w:line="360" w:lineRule="exact"/>
              <w:ind w:firstLineChars="0" w:firstLine="0"/>
              <w:jc w:val="center"/>
              <w:textAlignment w:val="center"/>
              <w:rPr>
                <w:sz w:val="21"/>
                <w:szCs w:val="21"/>
                <w:lang w:bidi="ar"/>
              </w:rPr>
            </w:pPr>
          </w:p>
        </w:tc>
      </w:tr>
      <w:tr w:rsidR="003E78AB" w14:paraId="614EC639" w14:textId="77777777">
        <w:trPr>
          <w:trHeight w:val="315"/>
        </w:trPr>
        <w:tc>
          <w:tcPr>
            <w:tcW w:w="374" w:type="pct"/>
            <w:tcBorders>
              <w:top w:val="single" w:sz="2" w:space="0" w:color="000000"/>
              <w:bottom w:val="single" w:sz="2" w:space="0" w:color="000000"/>
            </w:tcBorders>
            <w:vAlign w:val="center"/>
          </w:tcPr>
          <w:p w14:paraId="4D91C805" w14:textId="77777777" w:rsidR="003E78AB" w:rsidRDefault="00010BF9">
            <w:pPr>
              <w:spacing w:line="360" w:lineRule="exact"/>
              <w:ind w:firstLineChars="0" w:firstLine="0"/>
              <w:jc w:val="center"/>
              <w:textAlignment w:val="center"/>
              <w:rPr>
                <w:sz w:val="21"/>
                <w:szCs w:val="21"/>
                <w:lang w:bidi="ar"/>
              </w:rPr>
            </w:pPr>
            <w:r>
              <w:rPr>
                <w:sz w:val="21"/>
                <w:szCs w:val="21"/>
                <w:lang w:bidi="ar"/>
              </w:rPr>
              <w:t>57</w:t>
            </w:r>
          </w:p>
        </w:tc>
        <w:tc>
          <w:tcPr>
            <w:tcW w:w="565" w:type="pct"/>
            <w:vMerge/>
            <w:vAlign w:val="center"/>
          </w:tcPr>
          <w:p w14:paraId="6CB342B4"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412D9E5" w14:textId="77777777" w:rsidR="003E78AB" w:rsidRDefault="00010BF9">
            <w:pPr>
              <w:spacing w:line="360" w:lineRule="exact"/>
              <w:ind w:firstLineChars="0" w:firstLine="0"/>
              <w:jc w:val="center"/>
              <w:textAlignment w:val="center"/>
              <w:rPr>
                <w:sz w:val="21"/>
                <w:szCs w:val="21"/>
                <w:lang w:bidi="ar"/>
              </w:rPr>
            </w:pPr>
            <w:r>
              <w:rPr>
                <w:sz w:val="21"/>
                <w:szCs w:val="21"/>
                <w:lang w:bidi="ar"/>
              </w:rPr>
              <w:t>全自动软化水装置</w:t>
            </w:r>
          </w:p>
        </w:tc>
        <w:tc>
          <w:tcPr>
            <w:tcW w:w="2517" w:type="pct"/>
            <w:tcBorders>
              <w:top w:val="single" w:sz="2" w:space="0" w:color="000000"/>
              <w:bottom w:val="single" w:sz="2" w:space="0" w:color="000000"/>
            </w:tcBorders>
            <w:vAlign w:val="center"/>
          </w:tcPr>
          <w:p w14:paraId="523DEC40" w14:textId="77777777" w:rsidR="003E78AB" w:rsidRDefault="00010BF9">
            <w:pPr>
              <w:spacing w:line="360" w:lineRule="exact"/>
              <w:ind w:firstLineChars="0" w:firstLine="0"/>
              <w:jc w:val="center"/>
              <w:textAlignment w:val="center"/>
              <w:rPr>
                <w:sz w:val="21"/>
                <w:szCs w:val="21"/>
                <w:lang w:bidi="ar"/>
              </w:rPr>
            </w:pPr>
            <w:r>
              <w:rPr>
                <w:sz w:val="21"/>
                <w:szCs w:val="21"/>
                <w:lang w:bidi="ar"/>
              </w:rPr>
              <w:t>额定产水量</w:t>
            </w:r>
            <w:r>
              <w:rPr>
                <w:sz w:val="21"/>
                <w:szCs w:val="21"/>
                <w:lang w:bidi="ar"/>
              </w:rPr>
              <w:t>4~6m</w:t>
            </w:r>
            <w:r>
              <w:rPr>
                <w:sz w:val="21"/>
                <w:szCs w:val="21"/>
                <w:vertAlign w:val="superscript"/>
                <w:lang w:bidi="ar"/>
              </w:rPr>
              <w:t>3</w:t>
            </w:r>
            <w:r>
              <w:rPr>
                <w:sz w:val="21"/>
                <w:szCs w:val="21"/>
                <w:lang w:bidi="ar"/>
              </w:rPr>
              <w:t>/h</w:t>
            </w:r>
            <w:r>
              <w:rPr>
                <w:sz w:val="21"/>
                <w:szCs w:val="21"/>
                <w:lang w:bidi="ar"/>
              </w:rPr>
              <w:t>，</w:t>
            </w:r>
            <w:r>
              <w:rPr>
                <w:sz w:val="21"/>
                <w:szCs w:val="21"/>
                <w:lang w:bidi="ar"/>
              </w:rPr>
              <w:t>N=50W</w:t>
            </w:r>
            <w:r>
              <w:rPr>
                <w:sz w:val="21"/>
                <w:szCs w:val="21"/>
                <w:lang w:bidi="ar"/>
              </w:rPr>
              <w:t>，</w:t>
            </w:r>
            <w:r>
              <w:rPr>
                <w:sz w:val="21"/>
                <w:szCs w:val="21"/>
                <w:lang w:bidi="ar"/>
              </w:rPr>
              <w:t>220V</w:t>
            </w:r>
          </w:p>
        </w:tc>
        <w:tc>
          <w:tcPr>
            <w:tcW w:w="366" w:type="pct"/>
            <w:tcBorders>
              <w:top w:val="single" w:sz="2" w:space="0" w:color="000000"/>
              <w:bottom w:val="single" w:sz="2" w:space="0" w:color="000000"/>
            </w:tcBorders>
            <w:vAlign w:val="center"/>
          </w:tcPr>
          <w:p w14:paraId="2C9D26B9"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2" w:space="0" w:color="000000"/>
            </w:tcBorders>
            <w:vAlign w:val="center"/>
          </w:tcPr>
          <w:p w14:paraId="23E34806" w14:textId="77777777" w:rsidR="003E78AB" w:rsidRDefault="003E78AB">
            <w:pPr>
              <w:spacing w:line="360" w:lineRule="exact"/>
              <w:ind w:firstLineChars="0" w:firstLine="0"/>
              <w:jc w:val="center"/>
              <w:textAlignment w:val="center"/>
              <w:rPr>
                <w:sz w:val="21"/>
                <w:szCs w:val="21"/>
                <w:lang w:bidi="ar"/>
              </w:rPr>
            </w:pPr>
          </w:p>
        </w:tc>
      </w:tr>
      <w:tr w:rsidR="003E78AB" w14:paraId="45316CB3" w14:textId="77777777">
        <w:trPr>
          <w:trHeight w:val="315"/>
        </w:trPr>
        <w:tc>
          <w:tcPr>
            <w:tcW w:w="374" w:type="pct"/>
            <w:tcBorders>
              <w:top w:val="single" w:sz="2" w:space="0" w:color="000000"/>
              <w:bottom w:val="single" w:sz="2" w:space="0" w:color="000000"/>
            </w:tcBorders>
            <w:vAlign w:val="center"/>
          </w:tcPr>
          <w:p w14:paraId="261773D1" w14:textId="77777777" w:rsidR="003E78AB" w:rsidRDefault="00010BF9">
            <w:pPr>
              <w:spacing w:line="360" w:lineRule="exact"/>
              <w:ind w:firstLineChars="0" w:firstLine="0"/>
              <w:jc w:val="center"/>
              <w:textAlignment w:val="center"/>
              <w:rPr>
                <w:sz w:val="21"/>
                <w:szCs w:val="21"/>
                <w:lang w:bidi="ar"/>
              </w:rPr>
            </w:pPr>
            <w:r>
              <w:rPr>
                <w:sz w:val="21"/>
                <w:szCs w:val="21"/>
                <w:lang w:bidi="ar"/>
              </w:rPr>
              <w:t>58</w:t>
            </w:r>
          </w:p>
        </w:tc>
        <w:tc>
          <w:tcPr>
            <w:tcW w:w="565" w:type="pct"/>
            <w:vMerge/>
            <w:vAlign w:val="center"/>
          </w:tcPr>
          <w:p w14:paraId="6CC2DD1C"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AA96041" w14:textId="77777777" w:rsidR="003E78AB" w:rsidRDefault="00010BF9">
            <w:pPr>
              <w:spacing w:line="360" w:lineRule="exact"/>
              <w:ind w:firstLineChars="0" w:firstLine="0"/>
              <w:jc w:val="center"/>
              <w:textAlignment w:val="center"/>
              <w:rPr>
                <w:sz w:val="21"/>
                <w:szCs w:val="21"/>
                <w:lang w:bidi="ar"/>
              </w:rPr>
            </w:pPr>
            <w:r>
              <w:rPr>
                <w:sz w:val="21"/>
                <w:szCs w:val="21"/>
                <w:lang w:bidi="ar"/>
              </w:rPr>
              <w:t>高效变频离心冷水机组</w:t>
            </w:r>
          </w:p>
        </w:tc>
        <w:tc>
          <w:tcPr>
            <w:tcW w:w="2517" w:type="pct"/>
            <w:tcBorders>
              <w:top w:val="single" w:sz="2" w:space="0" w:color="000000"/>
              <w:bottom w:val="single" w:sz="2" w:space="0" w:color="000000"/>
            </w:tcBorders>
            <w:vAlign w:val="center"/>
          </w:tcPr>
          <w:p w14:paraId="1EDE5271" w14:textId="77777777" w:rsidR="003E78AB" w:rsidRDefault="00010BF9">
            <w:pPr>
              <w:spacing w:line="360" w:lineRule="exact"/>
              <w:ind w:firstLineChars="0" w:firstLine="0"/>
              <w:jc w:val="center"/>
              <w:textAlignment w:val="center"/>
              <w:rPr>
                <w:sz w:val="21"/>
                <w:szCs w:val="21"/>
                <w:lang w:bidi="ar"/>
              </w:rPr>
            </w:pPr>
            <w:r>
              <w:rPr>
                <w:sz w:val="21"/>
                <w:szCs w:val="21"/>
                <w:lang w:bidi="ar"/>
              </w:rPr>
              <w:t>制冷量：</w:t>
            </w:r>
            <w:r>
              <w:rPr>
                <w:sz w:val="21"/>
                <w:szCs w:val="21"/>
                <w:lang w:bidi="ar"/>
              </w:rPr>
              <w:t>1801kW</w:t>
            </w:r>
            <w:r>
              <w:rPr>
                <w:sz w:val="21"/>
                <w:szCs w:val="21"/>
                <w:lang w:bidi="ar"/>
              </w:rPr>
              <w:t>，冷却水流量：</w:t>
            </w:r>
            <w:r>
              <w:rPr>
                <w:sz w:val="21"/>
                <w:szCs w:val="21"/>
                <w:lang w:bidi="ar"/>
              </w:rPr>
              <w:t>387m</w:t>
            </w:r>
            <w:r>
              <w:rPr>
                <w:sz w:val="21"/>
                <w:szCs w:val="21"/>
                <w:vertAlign w:val="superscript"/>
                <w:lang w:bidi="ar"/>
              </w:rPr>
              <w:t>3</w:t>
            </w:r>
            <w:r>
              <w:rPr>
                <w:sz w:val="21"/>
                <w:szCs w:val="21"/>
                <w:lang w:bidi="ar"/>
              </w:rPr>
              <w:t>/h</w:t>
            </w:r>
            <w:r>
              <w:rPr>
                <w:sz w:val="21"/>
                <w:szCs w:val="21"/>
                <w:lang w:bidi="ar"/>
              </w:rPr>
              <w:t>，冷冻水流量：</w:t>
            </w:r>
            <w:r>
              <w:rPr>
                <w:sz w:val="21"/>
                <w:szCs w:val="21"/>
                <w:lang w:bidi="ar"/>
              </w:rPr>
              <w:t>310m</w:t>
            </w:r>
            <w:r>
              <w:rPr>
                <w:sz w:val="21"/>
                <w:szCs w:val="21"/>
                <w:vertAlign w:val="superscript"/>
                <w:lang w:bidi="ar"/>
              </w:rPr>
              <w:t>3</w:t>
            </w:r>
            <w:r>
              <w:rPr>
                <w:sz w:val="21"/>
                <w:szCs w:val="21"/>
                <w:lang w:bidi="ar"/>
              </w:rPr>
              <w:t>/h</w:t>
            </w:r>
            <w:r>
              <w:rPr>
                <w:sz w:val="21"/>
                <w:szCs w:val="21"/>
                <w:lang w:bidi="ar"/>
              </w:rPr>
              <w:t>，</w:t>
            </w:r>
            <w:r>
              <w:rPr>
                <w:sz w:val="21"/>
                <w:szCs w:val="21"/>
                <w:lang w:bidi="ar"/>
              </w:rPr>
              <w:t>N=303.1kW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520D6EB3"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restart"/>
            <w:vAlign w:val="center"/>
          </w:tcPr>
          <w:p w14:paraId="685CA4F6" w14:textId="77777777" w:rsidR="003E78AB" w:rsidRDefault="00010BF9">
            <w:pPr>
              <w:spacing w:line="360" w:lineRule="exact"/>
              <w:ind w:firstLineChars="0" w:firstLine="0"/>
              <w:jc w:val="center"/>
              <w:textAlignment w:val="center"/>
              <w:rPr>
                <w:sz w:val="21"/>
                <w:szCs w:val="21"/>
                <w:lang w:bidi="ar"/>
              </w:rPr>
            </w:pPr>
            <w:r>
              <w:rPr>
                <w:sz w:val="21"/>
                <w:szCs w:val="21"/>
                <w:lang w:bidi="ar"/>
              </w:rPr>
              <w:t>冷冻站</w:t>
            </w:r>
          </w:p>
        </w:tc>
      </w:tr>
      <w:tr w:rsidR="003E78AB" w14:paraId="419F5808" w14:textId="77777777">
        <w:trPr>
          <w:trHeight w:val="315"/>
        </w:trPr>
        <w:tc>
          <w:tcPr>
            <w:tcW w:w="374" w:type="pct"/>
            <w:tcBorders>
              <w:top w:val="single" w:sz="2" w:space="0" w:color="000000"/>
              <w:bottom w:val="single" w:sz="2" w:space="0" w:color="000000"/>
            </w:tcBorders>
            <w:vAlign w:val="center"/>
          </w:tcPr>
          <w:p w14:paraId="1423E81F" w14:textId="77777777" w:rsidR="003E78AB" w:rsidRDefault="00010BF9">
            <w:pPr>
              <w:spacing w:line="360" w:lineRule="exact"/>
              <w:ind w:firstLineChars="0" w:firstLine="0"/>
              <w:jc w:val="center"/>
              <w:textAlignment w:val="center"/>
              <w:rPr>
                <w:sz w:val="21"/>
                <w:szCs w:val="21"/>
                <w:lang w:bidi="ar"/>
              </w:rPr>
            </w:pPr>
            <w:r>
              <w:rPr>
                <w:sz w:val="21"/>
                <w:szCs w:val="21"/>
                <w:lang w:bidi="ar"/>
              </w:rPr>
              <w:t>59</w:t>
            </w:r>
          </w:p>
        </w:tc>
        <w:tc>
          <w:tcPr>
            <w:tcW w:w="565" w:type="pct"/>
            <w:vMerge/>
            <w:vAlign w:val="center"/>
          </w:tcPr>
          <w:p w14:paraId="408C9F9D"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DD42645" w14:textId="77777777" w:rsidR="003E78AB" w:rsidRDefault="00010BF9">
            <w:pPr>
              <w:spacing w:line="360" w:lineRule="exact"/>
              <w:ind w:firstLineChars="0" w:firstLine="0"/>
              <w:jc w:val="center"/>
              <w:textAlignment w:val="center"/>
              <w:rPr>
                <w:sz w:val="21"/>
                <w:szCs w:val="21"/>
                <w:lang w:bidi="ar"/>
              </w:rPr>
            </w:pPr>
            <w:r>
              <w:rPr>
                <w:sz w:val="21"/>
                <w:szCs w:val="21"/>
                <w:lang w:bidi="ar"/>
              </w:rPr>
              <w:t>制冷水循环泵</w:t>
            </w:r>
            <w:r>
              <w:rPr>
                <w:sz w:val="21"/>
                <w:szCs w:val="21"/>
                <w:lang w:bidi="ar"/>
              </w:rPr>
              <w:t>(</w:t>
            </w:r>
            <w:r>
              <w:rPr>
                <w:sz w:val="21"/>
                <w:szCs w:val="21"/>
                <w:lang w:bidi="ar"/>
              </w:rPr>
              <w:t>卧式离心</w:t>
            </w:r>
            <w:r>
              <w:rPr>
                <w:sz w:val="21"/>
                <w:szCs w:val="21"/>
                <w:lang w:bidi="ar"/>
              </w:rPr>
              <w:t>)</w:t>
            </w:r>
          </w:p>
        </w:tc>
        <w:tc>
          <w:tcPr>
            <w:tcW w:w="2517" w:type="pct"/>
            <w:tcBorders>
              <w:top w:val="single" w:sz="2" w:space="0" w:color="000000"/>
              <w:bottom w:val="single" w:sz="2" w:space="0" w:color="000000"/>
            </w:tcBorders>
            <w:vAlign w:val="center"/>
          </w:tcPr>
          <w:p w14:paraId="7ECD15E8" w14:textId="77777777" w:rsidR="003E78AB" w:rsidRDefault="00010BF9">
            <w:pPr>
              <w:spacing w:line="360" w:lineRule="exact"/>
              <w:ind w:firstLineChars="0" w:firstLine="0"/>
              <w:jc w:val="center"/>
              <w:textAlignment w:val="center"/>
              <w:rPr>
                <w:sz w:val="21"/>
                <w:szCs w:val="21"/>
                <w:lang w:bidi="ar"/>
              </w:rPr>
            </w:pPr>
            <w:r>
              <w:rPr>
                <w:sz w:val="21"/>
                <w:szCs w:val="21"/>
                <w:lang w:bidi="ar"/>
              </w:rPr>
              <w:t>流量：</w:t>
            </w:r>
            <w:r>
              <w:rPr>
                <w:sz w:val="21"/>
                <w:szCs w:val="21"/>
                <w:lang w:bidi="ar"/>
              </w:rPr>
              <w:t>340m</w:t>
            </w:r>
            <w:r>
              <w:rPr>
                <w:sz w:val="21"/>
                <w:szCs w:val="21"/>
                <w:vertAlign w:val="superscript"/>
                <w:lang w:bidi="ar"/>
              </w:rPr>
              <w:t>3</w:t>
            </w:r>
            <w:r>
              <w:rPr>
                <w:sz w:val="21"/>
                <w:szCs w:val="21"/>
                <w:lang w:bidi="ar"/>
              </w:rPr>
              <w:t>/h</w:t>
            </w:r>
            <w:r>
              <w:rPr>
                <w:sz w:val="21"/>
                <w:szCs w:val="21"/>
                <w:lang w:bidi="ar"/>
              </w:rPr>
              <w:t>，扬程：</w:t>
            </w:r>
            <w:r>
              <w:rPr>
                <w:sz w:val="21"/>
                <w:szCs w:val="21"/>
                <w:lang w:bidi="ar"/>
              </w:rPr>
              <w:t>35mN=55kW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1CCE5467"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3288B548" w14:textId="77777777" w:rsidR="003E78AB" w:rsidRDefault="003E78AB">
            <w:pPr>
              <w:spacing w:line="360" w:lineRule="exact"/>
              <w:ind w:firstLineChars="0" w:firstLine="0"/>
              <w:jc w:val="center"/>
              <w:textAlignment w:val="center"/>
              <w:rPr>
                <w:sz w:val="21"/>
                <w:szCs w:val="21"/>
                <w:lang w:bidi="ar"/>
              </w:rPr>
            </w:pPr>
          </w:p>
        </w:tc>
      </w:tr>
      <w:tr w:rsidR="003E78AB" w14:paraId="09164BA1" w14:textId="77777777">
        <w:trPr>
          <w:trHeight w:val="315"/>
        </w:trPr>
        <w:tc>
          <w:tcPr>
            <w:tcW w:w="374" w:type="pct"/>
            <w:tcBorders>
              <w:top w:val="single" w:sz="2" w:space="0" w:color="000000"/>
              <w:bottom w:val="single" w:sz="2" w:space="0" w:color="000000"/>
            </w:tcBorders>
            <w:vAlign w:val="center"/>
          </w:tcPr>
          <w:p w14:paraId="190112AF" w14:textId="77777777" w:rsidR="003E78AB" w:rsidRDefault="00010BF9">
            <w:pPr>
              <w:spacing w:line="360" w:lineRule="exact"/>
              <w:ind w:firstLineChars="0" w:firstLine="0"/>
              <w:jc w:val="center"/>
              <w:textAlignment w:val="center"/>
              <w:rPr>
                <w:sz w:val="21"/>
                <w:szCs w:val="21"/>
                <w:lang w:bidi="ar"/>
              </w:rPr>
            </w:pPr>
            <w:r>
              <w:rPr>
                <w:sz w:val="21"/>
                <w:szCs w:val="21"/>
                <w:lang w:bidi="ar"/>
              </w:rPr>
              <w:t>60</w:t>
            </w:r>
          </w:p>
        </w:tc>
        <w:tc>
          <w:tcPr>
            <w:tcW w:w="565" w:type="pct"/>
            <w:vMerge/>
            <w:vAlign w:val="center"/>
          </w:tcPr>
          <w:p w14:paraId="59368D0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1CCC3981" w14:textId="77777777" w:rsidR="003E78AB" w:rsidRDefault="00010BF9">
            <w:pPr>
              <w:spacing w:line="360" w:lineRule="exact"/>
              <w:ind w:firstLineChars="0" w:firstLine="0"/>
              <w:jc w:val="center"/>
              <w:textAlignment w:val="center"/>
              <w:rPr>
                <w:sz w:val="21"/>
                <w:szCs w:val="21"/>
                <w:lang w:bidi="ar"/>
              </w:rPr>
            </w:pPr>
            <w:r>
              <w:rPr>
                <w:sz w:val="21"/>
                <w:szCs w:val="21"/>
                <w:lang w:bidi="ar"/>
              </w:rPr>
              <w:t>制冷水循环泵</w:t>
            </w:r>
            <w:r>
              <w:rPr>
                <w:sz w:val="21"/>
                <w:szCs w:val="21"/>
                <w:lang w:bidi="ar"/>
              </w:rPr>
              <w:t>(</w:t>
            </w:r>
            <w:r>
              <w:rPr>
                <w:sz w:val="21"/>
                <w:szCs w:val="21"/>
                <w:lang w:bidi="ar"/>
              </w:rPr>
              <w:t>卧式离心</w:t>
            </w:r>
            <w:r>
              <w:rPr>
                <w:sz w:val="21"/>
                <w:szCs w:val="21"/>
                <w:lang w:bidi="ar"/>
              </w:rPr>
              <w:t>)</w:t>
            </w:r>
          </w:p>
        </w:tc>
        <w:tc>
          <w:tcPr>
            <w:tcW w:w="2517" w:type="pct"/>
            <w:tcBorders>
              <w:top w:val="single" w:sz="2" w:space="0" w:color="000000"/>
              <w:bottom w:val="single" w:sz="2" w:space="0" w:color="000000"/>
            </w:tcBorders>
            <w:vAlign w:val="center"/>
          </w:tcPr>
          <w:p w14:paraId="61C6D10B" w14:textId="77777777" w:rsidR="003E78AB" w:rsidRDefault="00010BF9">
            <w:pPr>
              <w:spacing w:line="360" w:lineRule="exact"/>
              <w:ind w:firstLineChars="0" w:firstLine="0"/>
              <w:jc w:val="center"/>
              <w:textAlignment w:val="center"/>
              <w:rPr>
                <w:sz w:val="21"/>
                <w:szCs w:val="21"/>
                <w:lang w:bidi="ar"/>
              </w:rPr>
            </w:pPr>
            <w:r>
              <w:rPr>
                <w:sz w:val="21"/>
                <w:szCs w:val="21"/>
                <w:lang w:bidi="ar"/>
              </w:rPr>
              <w:t>流量：</w:t>
            </w:r>
            <w:r>
              <w:rPr>
                <w:sz w:val="21"/>
                <w:szCs w:val="21"/>
                <w:lang w:bidi="ar"/>
              </w:rPr>
              <w:t>340m</w:t>
            </w:r>
            <w:r>
              <w:rPr>
                <w:sz w:val="21"/>
                <w:szCs w:val="21"/>
                <w:vertAlign w:val="superscript"/>
                <w:lang w:bidi="ar"/>
              </w:rPr>
              <w:t>3</w:t>
            </w:r>
            <w:r>
              <w:rPr>
                <w:sz w:val="21"/>
                <w:szCs w:val="21"/>
                <w:lang w:bidi="ar"/>
              </w:rPr>
              <w:t>/h</w:t>
            </w:r>
            <w:r>
              <w:rPr>
                <w:sz w:val="21"/>
                <w:szCs w:val="21"/>
                <w:lang w:bidi="ar"/>
              </w:rPr>
              <w:t>，扬程：</w:t>
            </w:r>
            <w:r>
              <w:rPr>
                <w:sz w:val="21"/>
                <w:szCs w:val="21"/>
                <w:lang w:bidi="ar"/>
              </w:rPr>
              <w:t>35mN=55kW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234E8244"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15E83A6E" w14:textId="77777777" w:rsidR="003E78AB" w:rsidRDefault="003E78AB">
            <w:pPr>
              <w:spacing w:line="360" w:lineRule="exact"/>
              <w:ind w:firstLineChars="0" w:firstLine="0"/>
              <w:jc w:val="center"/>
              <w:textAlignment w:val="center"/>
              <w:rPr>
                <w:sz w:val="21"/>
                <w:szCs w:val="21"/>
                <w:lang w:bidi="ar"/>
              </w:rPr>
            </w:pPr>
          </w:p>
        </w:tc>
      </w:tr>
      <w:tr w:rsidR="003E78AB" w14:paraId="7F4EB8F3" w14:textId="77777777">
        <w:trPr>
          <w:trHeight w:val="315"/>
        </w:trPr>
        <w:tc>
          <w:tcPr>
            <w:tcW w:w="374" w:type="pct"/>
            <w:tcBorders>
              <w:top w:val="single" w:sz="2" w:space="0" w:color="000000"/>
              <w:bottom w:val="single" w:sz="2" w:space="0" w:color="000000"/>
            </w:tcBorders>
            <w:vAlign w:val="center"/>
          </w:tcPr>
          <w:p w14:paraId="376025C6" w14:textId="77777777" w:rsidR="003E78AB" w:rsidRDefault="00010BF9">
            <w:pPr>
              <w:spacing w:line="360" w:lineRule="exact"/>
              <w:ind w:firstLineChars="0" w:firstLine="0"/>
              <w:jc w:val="center"/>
              <w:textAlignment w:val="center"/>
              <w:rPr>
                <w:sz w:val="21"/>
                <w:szCs w:val="21"/>
                <w:lang w:bidi="ar"/>
              </w:rPr>
            </w:pPr>
            <w:r>
              <w:rPr>
                <w:sz w:val="21"/>
                <w:szCs w:val="21"/>
                <w:lang w:bidi="ar"/>
              </w:rPr>
              <w:t>61</w:t>
            </w:r>
          </w:p>
        </w:tc>
        <w:tc>
          <w:tcPr>
            <w:tcW w:w="565" w:type="pct"/>
            <w:vMerge/>
            <w:vAlign w:val="center"/>
          </w:tcPr>
          <w:p w14:paraId="7E95DEF0"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6969E5D" w14:textId="77777777" w:rsidR="003E78AB" w:rsidRDefault="00010BF9">
            <w:pPr>
              <w:spacing w:line="360" w:lineRule="exact"/>
              <w:ind w:firstLineChars="0" w:firstLine="0"/>
              <w:jc w:val="center"/>
              <w:textAlignment w:val="center"/>
              <w:rPr>
                <w:sz w:val="21"/>
                <w:szCs w:val="21"/>
                <w:lang w:bidi="ar"/>
              </w:rPr>
            </w:pPr>
            <w:r>
              <w:rPr>
                <w:sz w:val="21"/>
                <w:szCs w:val="21"/>
                <w:lang w:bidi="ar"/>
              </w:rPr>
              <w:t>落地囊式气压罐定压补水装置</w:t>
            </w:r>
          </w:p>
        </w:tc>
        <w:tc>
          <w:tcPr>
            <w:tcW w:w="2517" w:type="pct"/>
            <w:tcBorders>
              <w:top w:val="single" w:sz="2" w:space="0" w:color="000000"/>
              <w:bottom w:val="single" w:sz="2" w:space="0" w:color="000000"/>
            </w:tcBorders>
            <w:vAlign w:val="center"/>
          </w:tcPr>
          <w:p w14:paraId="6B463551" w14:textId="77777777" w:rsidR="003E78AB" w:rsidRDefault="00010BF9">
            <w:pPr>
              <w:spacing w:line="360" w:lineRule="exact"/>
              <w:ind w:firstLineChars="0" w:firstLine="0"/>
              <w:jc w:val="center"/>
              <w:textAlignment w:val="center"/>
              <w:rPr>
                <w:sz w:val="21"/>
                <w:szCs w:val="21"/>
                <w:lang w:bidi="ar"/>
              </w:rPr>
            </w:pPr>
            <w:r>
              <w:rPr>
                <w:sz w:val="21"/>
                <w:szCs w:val="21"/>
                <w:lang w:bidi="ar"/>
              </w:rPr>
              <w:t>补水泵流量：</w:t>
            </w:r>
            <w:r>
              <w:rPr>
                <w:sz w:val="21"/>
                <w:szCs w:val="21"/>
                <w:lang w:bidi="ar"/>
              </w:rPr>
              <w:t>3m</w:t>
            </w:r>
            <w:r>
              <w:rPr>
                <w:sz w:val="21"/>
                <w:szCs w:val="21"/>
                <w:vertAlign w:val="superscript"/>
                <w:lang w:bidi="ar"/>
              </w:rPr>
              <w:t>3</w:t>
            </w:r>
            <w:r>
              <w:rPr>
                <w:sz w:val="21"/>
                <w:szCs w:val="21"/>
                <w:lang w:bidi="ar"/>
              </w:rPr>
              <w:t>/h</w:t>
            </w:r>
            <w:r>
              <w:rPr>
                <w:sz w:val="21"/>
                <w:szCs w:val="21"/>
                <w:lang w:bidi="ar"/>
              </w:rPr>
              <w:t>，补水泵扬程：</w:t>
            </w:r>
            <w:r>
              <w:rPr>
                <w:sz w:val="21"/>
                <w:szCs w:val="21"/>
                <w:lang w:bidi="ar"/>
              </w:rPr>
              <w:t>35m</w:t>
            </w:r>
            <w:r>
              <w:rPr>
                <w:sz w:val="21"/>
                <w:szCs w:val="21"/>
                <w:lang w:bidi="ar"/>
              </w:rPr>
              <w:t>，补水泵功率</w:t>
            </w:r>
            <w:r>
              <w:rPr>
                <w:sz w:val="21"/>
                <w:szCs w:val="21"/>
                <w:lang w:bidi="ar"/>
              </w:rPr>
              <w:t>N=2.2kW</w:t>
            </w:r>
            <w:r>
              <w:rPr>
                <w:sz w:val="21"/>
                <w:szCs w:val="21"/>
                <w:lang w:bidi="ar"/>
              </w:rPr>
              <w:t>，</w:t>
            </w:r>
            <w:r>
              <w:rPr>
                <w:sz w:val="21"/>
                <w:szCs w:val="21"/>
                <w:lang w:bidi="ar"/>
              </w:rPr>
              <w:t>380V</w:t>
            </w:r>
            <w:r>
              <w:rPr>
                <w:sz w:val="21"/>
                <w:szCs w:val="21"/>
                <w:lang w:bidi="ar"/>
              </w:rPr>
              <w:t>补水泵</w:t>
            </w:r>
            <w:r>
              <w:rPr>
                <w:sz w:val="21"/>
                <w:szCs w:val="21"/>
                <w:lang w:bidi="ar"/>
              </w:rPr>
              <w:t>2</w:t>
            </w:r>
            <w:r>
              <w:rPr>
                <w:sz w:val="21"/>
                <w:szCs w:val="21"/>
                <w:lang w:bidi="ar"/>
              </w:rPr>
              <w:t>台，平时</w:t>
            </w:r>
            <w:r>
              <w:rPr>
                <w:sz w:val="21"/>
                <w:szCs w:val="21"/>
                <w:lang w:bidi="ar"/>
              </w:rPr>
              <w:t>1</w:t>
            </w:r>
            <w:r>
              <w:rPr>
                <w:sz w:val="21"/>
                <w:szCs w:val="21"/>
                <w:lang w:bidi="ar"/>
              </w:rPr>
              <w:t>台工作，初期上水或事故补水时</w:t>
            </w:r>
            <w:r>
              <w:rPr>
                <w:sz w:val="21"/>
                <w:szCs w:val="21"/>
                <w:lang w:bidi="ar"/>
              </w:rPr>
              <w:t>2</w:t>
            </w:r>
            <w:r>
              <w:rPr>
                <w:sz w:val="21"/>
                <w:szCs w:val="21"/>
                <w:lang w:bidi="ar"/>
              </w:rPr>
              <w:t>台同时开启气压罐尺寸：</w:t>
            </w:r>
            <w:r>
              <w:rPr>
                <w:sz w:val="21"/>
                <w:szCs w:val="21"/>
                <w:lang w:bidi="ar"/>
              </w:rPr>
              <w:t>800×2310</w:t>
            </w:r>
            <w:r>
              <w:rPr>
                <w:sz w:val="21"/>
                <w:szCs w:val="21"/>
                <w:lang w:bidi="ar"/>
              </w:rPr>
              <w:t>，调节容积</w:t>
            </w:r>
            <w:r>
              <w:rPr>
                <w:sz w:val="21"/>
                <w:szCs w:val="21"/>
                <w:lang w:bidi="ar"/>
              </w:rPr>
              <w:t>0.26m</w:t>
            </w:r>
            <w:r>
              <w:rPr>
                <w:sz w:val="21"/>
                <w:szCs w:val="21"/>
                <w:vertAlign w:val="superscript"/>
                <w:lang w:bidi="ar"/>
              </w:rPr>
              <w:t>3</w:t>
            </w:r>
            <w:r>
              <w:rPr>
                <w:sz w:val="21"/>
                <w:szCs w:val="21"/>
                <w:lang w:bidi="ar"/>
              </w:rPr>
              <w:t>，总容积</w:t>
            </w:r>
            <w:r>
              <w:rPr>
                <w:sz w:val="21"/>
                <w:szCs w:val="21"/>
                <w:lang w:bidi="ar"/>
              </w:rPr>
              <w:t>0.82m</w:t>
            </w:r>
            <w:r>
              <w:rPr>
                <w:sz w:val="21"/>
                <w:szCs w:val="21"/>
                <w:vertAlign w:val="superscript"/>
                <w:lang w:bidi="ar"/>
              </w:rPr>
              <w:t>3</w:t>
            </w:r>
          </w:p>
        </w:tc>
        <w:tc>
          <w:tcPr>
            <w:tcW w:w="366" w:type="pct"/>
            <w:tcBorders>
              <w:top w:val="single" w:sz="2" w:space="0" w:color="000000"/>
              <w:bottom w:val="single" w:sz="2" w:space="0" w:color="000000"/>
            </w:tcBorders>
            <w:vAlign w:val="center"/>
          </w:tcPr>
          <w:p w14:paraId="7F7854F7"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46608157" w14:textId="77777777" w:rsidR="003E78AB" w:rsidRDefault="003E78AB">
            <w:pPr>
              <w:spacing w:line="360" w:lineRule="exact"/>
              <w:ind w:firstLineChars="0" w:firstLine="0"/>
              <w:jc w:val="center"/>
              <w:textAlignment w:val="center"/>
              <w:rPr>
                <w:sz w:val="21"/>
                <w:szCs w:val="21"/>
                <w:lang w:bidi="ar"/>
              </w:rPr>
            </w:pPr>
          </w:p>
        </w:tc>
      </w:tr>
      <w:tr w:rsidR="003E78AB" w14:paraId="52761E42" w14:textId="77777777">
        <w:trPr>
          <w:trHeight w:val="315"/>
        </w:trPr>
        <w:tc>
          <w:tcPr>
            <w:tcW w:w="374" w:type="pct"/>
            <w:tcBorders>
              <w:top w:val="single" w:sz="2" w:space="0" w:color="000000"/>
              <w:bottom w:val="single" w:sz="2" w:space="0" w:color="000000"/>
            </w:tcBorders>
            <w:vAlign w:val="center"/>
          </w:tcPr>
          <w:p w14:paraId="0A1A3406" w14:textId="77777777" w:rsidR="003E78AB" w:rsidRDefault="00010BF9">
            <w:pPr>
              <w:spacing w:line="360" w:lineRule="exact"/>
              <w:ind w:firstLineChars="0" w:firstLine="0"/>
              <w:jc w:val="center"/>
              <w:textAlignment w:val="center"/>
              <w:rPr>
                <w:sz w:val="21"/>
                <w:szCs w:val="21"/>
                <w:lang w:bidi="ar"/>
              </w:rPr>
            </w:pPr>
            <w:r>
              <w:rPr>
                <w:sz w:val="21"/>
                <w:szCs w:val="21"/>
                <w:lang w:bidi="ar"/>
              </w:rPr>
              <w:t>62</w:t>
            </w:r>
          </w:p>
        </w:tc>
        <w:tc>
          <w:tcPr>
            <w:tcW w:w="565" w:type="pct"/>
            <w:vMerge/>
            <w:tcBorders>
              <w:bottom w:val="single" w:sz="2" w:space="0" w:color="000000"/>
            </w:tcBorders>
            <w:vAlign w:val="center"/>
          </w:tcPr>
          <w:p w14:paraId="2A4A7378"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53C794C" w14:textId="77777777" w:rsidR="003E78AB" w:rsidRDefault="00010BF9">
            <w:pPr>
              <w:spacing w:line="360" w:lineRule="exact"/>
              <w:ind w:firstLineChars="0" w:firstLine="0"/>
              <w:jc w:val="center"/>
              <w:textAlignment w:val="center"/>
              <w:rPr>
                <w:sz w:val="21"/>
                <w:szCs w:val="21"/>
                <w:lang w:bidi="ar"/>
              </w:rPr>
            </w:pPr>
            <w:r>
              <w:rPr>
                <w:sz w:val="21"/>
                <w:szCs w:val="21"/>
                <w:lang w:bidi="ar"/>
              </w:rPr>
              <w:t>装配式不锈钢软化水箱</w:t>
            </w:r>
          </w:p>
        </w:tc>
        <w:tc>
          <w:tcPr>
            <w:tcW w:w="2517" w:type="pct"/>
            <w:tcBorders>
              <w:top w:val="single" w:sz="2" w:space="0" w:color="000000"/>
              <w:bottom w:val="single" w:sz="2" w:space="0" w:color="000000"/>
            </w:tcBorders>
            <w:vAlign w:val="center"/>
          </w:tcPr>
          <w:p w14:paraId="7C05FCA6" w14:textId="77777777" w:rsidR="003E78AB" w:rsidRDefault="00010BF9">
            <w:pPr>
              <w:spacing w:line="360" w:lineRule="exact"/>
              <w:ind w:firstLineChars="0" w:firstLine="0"/>
              <w:jc w:val="center"/>
              <w:textAlignment w:val="center"/>
              <w:rPr>
                <w:sz w:val="21"/>
                <w:szCs w:val="21"/>
                <w:lang w:bidi="ar"/>
              </w:rPr>
            </w:pPr>
            <w:r>
              <w:rPr>
                <w:sz w:val="21"/>
                <w:szCs w:val="21"/>
                <w:lang w:bidi="ar"/>
              </w:rPr>
              <w:t>尺寸</w:t>
            </w:r>
            <w:r>
              <w:rPr>
                <w:sz w:val="21"/>
                <w:szCs w:val="21"/>
                <w:lang w:bidi="ar"/>
              </w:rPr>
              <w:t>1500×1500×1000(H)</w:t>
            </w:r>
            <w:r>
              <w:rPr>
                <w:sz w:val="21"/>
                <w:szCs w:val="21"/>
                <w:lang w:bidi="ar"/>
              </w:rPr>
              <w:t>，公称容积：</w:t>
            </w:r>
            <w:r>
              <w:rPr>
                <w:sz w:val="21"/>
                <w:szCs w:val="21"/>
                <w:lang w:bidi="ar"/>
              </w:rPr>
              <w:t>2.25m</w:t>
            </w:r>
            <w:r>
              <w:rPr>
                <w:sz w:val="21"/>
                <w:szCs w:val="21"/>
                <w:vertAlign w:val="superscript"/>
                <w:lang w:bidi="ar"/>
              </w:rPr>
              <w:t>3</w:t>
            </w:r>
          </w:p>
        </w:tc>
        <w:tc>
          <w:tcPr>
            <w:tcW w:w="366" w:type="pct"/>
            <w:tcBorders>
              <w:top w:val="single" w:sz="2" w:space="0" w:color="000000"/>
              <w:bottom w:val="single" w:sz="2" w:space="0" w:color="000000"/>
            </w:tcBorders>
            <w:vAlign w:val="center"/>
          </w:tcPr>
          <w:p w14:paraId="0CBA544F"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2" w:space="0" w:color="000000"/>
            </w:tcBorders>
            <w:vAlign w:val="center"/>
          </w:tcPr>
          <w:p w14:paraId="634112AB" w14:textId="77777777" w:rsidR="003E78AB" w:rsidRDefault="003E78AB">
            <w:pPr>
              <w:spacing w:line="360" w:lineRule="exact"/>
              <w:ind w:firstLineChars="0" w:firstLine="0"/>
              <w:jc w:val="center"/>
              <w:textAlignment w:val="center"/>
              <w:rPr>
                <w:sz w:val="21"/>
                <w:szCs w:val="21"/>
                <w:lang w:bidi="ar"/>
              </w:rPr>
            </w:pPr>
          </w:p>
        </w:tc>
      </w:tr>
      <w:tr w:rsidR="003E78AB" w14:paraId="30E25661" w14:textId="77777777">
        <w:trPr>
          <w:trHeight w:val="419"/>
        </w:trPr>
        <w:tc>
          <w:tcPr>
            <w:tcW w:w="374" w:type="pct"/>
            <w:tcBorders>
              <w:top w:val="single" w:sz="2" w:space="0" w:color="000000"/>
              <w:bottom w:val="single" w:sz="2" w:space="0" w:color="000000"/>
            </w:tcBorders>
            <w:vAlign w:val="center"/>
          </w:tcPr>
          <w:p w14:paraId="1873B8A6" w14:textId="77777777" w:rsidR="003E78AB" w:rsidRDefault="00010BF9">
            <w:pPr>
              <w:spacing w:line="360" w:lineRule="exact"/>
              <w:ind w:firstLineChars="0" w:firstLine="0"/>
              <w:jc w:val="center"/>
              <w:textAlignment w:val="center"/>
              <w:rPr>
                <w:sz w:val="21"/>
                <w:szCs w:val="21"/>
                <w:lang w:bidi="ar"/>
              </w:rPr>
            </w:pPr>
            <w:r>
              <w:rPr>
                <w:sz w:val="21"/>
                <w:szCs w:val="21"/>
                <w:lang w:bidi="ar"/>
              </w:rPr>
              <w:t>63</w:t>
            </w:r>
          </w:p>
        </w:tc>
        <w:tc>
          <w:tcPr>
            <w:tcW w:w="565" w:type="pct"/>
            <w:vMerge w:val="restart"/>
            <w:tcBorders>
              <w:top w:val="single" w:sz="2" w:space="0" w:color="000000"/>
            </w:tcBorders>
            <w:vAlign w:val="center"/>
          </w:tcPr>
          <w:p w14:paraId="2A7F76A6" w14:textId="77777777" w:rsidR="003E78AB" w:rsidRDefault="00010BF9">
            <w:pPr>
              <w:spacing w:line="360" w:lineRule="exact"/>
              <w:ind w:firstLineChars="0" w:firstLine="0"/>
              <w:jc w:val="center"/>
              <w:textAlignment w:val="center"/>
              <w:rPr>
                <w:sz w:val="21"/>
                <w:szCs w:val="21"/>
                <w:lang w:bidi="ar"/>
              </w:rPr>
            </w:pPr>
            <w:r>
              <w:rPr>
                <w:sz w:val="21"/>
                <w:szCs w:val="21"/>
                <w:lang w:bidi="ar"/>
              </w:rPr>
              <w:t>液体库</w:t>
            </w:r>
          </w:p>
        </w:tc>
        <w:tc>
          <w:tcPr>
            <w:tcW w:w="845" w:type="pct"/>
            <w:tcBorders>
              <w:top w:val="single" w:sz="2" w:space="0" w:color="000000"/>
              <w:bottom w:val="single" w:sz="2" w:space="0" w:color="000000"/>
            </w:tcBorders>
            <w:vAlign w:val="center"/>
          </w:tcPr>
          <w:p w14:paraId="76F77693" w14:textId="77777777" w:rsidR="003E78AB" w:rsidRDefault="00010BF9">
            <w:pPr>
              <w:spacing w:line="360" w:lineRule="exact"/>
              <w:ind w:firstLineChars="0" w:firstLine="0"/>
              <w:jc w:val="center"/>
              <w:textAlignment w:val="center"/>
              <w:rPr>
                <w:sz w:val="21"/>
                <w:szCs w:val="21"/>
                <w:lang w:bidi="ar"/>
              </w:rPr>
            </w:pPr>
            <w:r>
              <w:rPr>
                <w:sz w:val="21"/>
                <w:szCs w:val="21"/>
                <w:lang w:bidi="ar"/>
              </w:rPr>
              <w:t>浓硫酸储罐</w:t>
            </w:r>
          </w:p>
        </w:tc>
        <w:tc>
          <w:tcPr>
            <w:tcW w:w="2517" w:type="pct"/>
            <w:tcBorders>
              <w:top w:val="single" w:sz="2" w:space="0" w:color="000000"/>
              <w:bottom w:val="single" w:sz="2" w:space="0" w:color="000000"/>
            </w:tcBorders>
            <w:vAlign w:val="center"/>
          </w:tcPr>
          <w:p w14:paraId="0E8CCF0E" w14:textId="77777777" w:rsidR="003E78AB" w:rsidRDefault="00010BF9">
            <w:pPr>
              <w:spacing w:line="360" w:lineRule="exact"/>
              <w:ind w:firstLineChars="0" w:firstLine="0"/>
              <w:jc w:val="center"/>
              <w:textAlignment w:val="center"/>
              <w:rPr>
                <w:sz w:val="21"/>
                <w:szCs w:val="21"/>
                <w:lang w:bidi="ar"/>
              </w:rPr>
            </w:pPr>
            <w:r>
              <w:rPr>
                <w:sz w:val="21"/>
                <w:szCs w:val="21"/>
                <w:lang w:bidi="ar"/>
              </w:rPr>
              <w:t>200m</w:t>
            </w:r>
            <w:r>
              <w:rPr>
                <w:sz w:val="21"/>
                <w:szCs w:val="21"/>
                <w:vertAlign w:val="superscript"/>
                <w:lang w:bidi="ar"/>
              </w:rPr>
              <w:t>3</w:t>
            </w:r>
          </w:p>
        </w:tc>
        <w:tc>
          <w:tcPr>
            <w:tcW w:w="366" w:type="pct"/>
            <w:tcBorders>
              <w:top w:val="single" w:sz="2" w:space="0" w:color="000000"/>
              <w:bottom w:val="single" w:sz="2" w:space="0" w:color="000000"/>
            </w:tcBorders>
            <w:vAlign w:val="center"/>
          </w:tcPr>
          <w:p w14:paraId="4AF0040F"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31" w:type="pct"/>
            <w:vMerge w:val="restart"/>
            <w:tcBorders>
              <w:top w:val="single" w:sz="2" w:space="0" w:color="000000"/>
            </w:tcBorders>
            <w:vAlign w:val="center"/>
          </w:tcPr>
          <w:p w14:paraId="74D88139" w14:textId="77777777" w:rsidR="003E78AB" w:rsidRDefault="00010BF9">
            <w:pPr>
              <w:spacing w:line="360" w:lineRule="exact"/>
              <w:ind w:firstLineChars="0" w:firstLine="0"/>
              <w:jc w:val="center"/>
              <w:textAlignment w:val="center"/>
              <w:rPr>
                <w:sz w:val="21"/>
                <w:szCs w:val="21"/>
                <w:lang w:bidi="ar"/>
              </w:rPr>
            </w:pPr>
            <w:r>
              <w:rPr>
                <w:sz w:val="21"/>
                <w:szCs w:val="21"/>
                <w:lang w:bidi="ar"/>
              </w:rPr>
              <w:t>原料储存</w:t>
            </w:r>
          </w:p>
        </w:tc>
      </w:tr>
      <w:tr w:rsidR="003E78AB" w14:paraId="5ED44AAA" w14:textId="77777777">
        <w:trPr>
          <w:trHeight w:val="315"/>
        </w:trPr>
        <w:tc>
          <w:tcPr>
            <w:tcW w:w="374" w:type="pct"/>
            <w:tcBorders>
              <w:top w:val="single" w:sz="2" w:space="0" w:color="000000"/>
              <w:bottom w:val="single" w:sz="2" w:space="0" w:color="000000"/>
            </w:tcBorders>
            <w:vAlign w:val="center"/>
          </w:tcPr>
          <w:p w14:paraId="761885A7" w14:textId="77777777" w:rsidR="003E78AB" w:rsidRDefault="00010BF9">
            <w:pPr>
              <w:spacing w:line="360" w:lineRule="exact"/>
              <w:ind w:firstLineChars="0" w:firstLine="0"/>
              <w:jc w:val="center"/>
              <w:textAlignment w:val="center"/>
              <w:rPr>
                <w:sz w:val="21"/>
                <w:szCs w:val="21"/>
                <w:lang w:bidi="ar"/>
              </w:rPr>
            </w:pPr>
            <w:r>
              <w:rPr>
                <w:sz w:val="21"/>
                <w:szCs w:val="21"/>
                <w:lang w:bidi="ar"/>
              </w:rPr>
              <w:t>64</w:t>
            </w:r>
          </w:p>
        </w:tc>
        <w:tc>
          <w:tcPr>
            <w:tcW w:w="565" w:type="pct"/>
            <w:vMerge/>
            <w:vAlign w:val="center"/>
          </w:tcPr>
          <w:p w14:paraId="25CC3D46"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7576599"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磷酸储罐</w:t>
            </w:r>
          </w:p>
        </w:tc>
        <w:tc>
          <w:tcPr>
            <w:tcW w:w="2517" w:type="pct"/>
            <w:tcBorders>
              <w:top w:val="single" w:sz="2" w:space="0" w:color="000000"/>
              <w:bottom w:val="single" w:sz="2" w:space="0" w:color="000000"/>
            </w:tcBorders>
            <w:vAlign w:val="center"/>
          </w:tcPr>
          <w:p w14:paraId="5EE156C7" w14:textId="77777777" w:rsidR="003E78AB" w:rsidRDefault="00010BF9">
            <w:pPr>
              <w:spacing w:line="360" w:lineRule="exact"/>
              <w:ind w:firstLineChars="0" w:firstLine="0"/>
              <w:jc w:val="center"/>
              <w:textAlignment w:val="center"/>
              <w:rPr>
                <w:sz w:val="21"/>
                <w:szCs w:val="21"/>
                <w:lang w:bidi="ar"/>
              </w:rPr>
            </w:pPr>
            <w:r>
              <w:rPr>
                <w:sz w:val="21"/>
                <w:szCs w:val="21"/>
                <w:lang w:bidi="ar"/>
              </w:rPr>
              <w:t>70m</w:t>
            </w:r>
            <w:r>
              <w:rPr>
                <w:sz w:val="21"/>
                <w:szCs w:val="21"/>
                <w:vertAlign w:val="superscript"/>
                <w:lang w:bidi="ar"/>
              </w:rPr>
              <w:t>3</w:t>
            </w:r>
          </w:p>
        </w:tc>
        <w:tc>
          <w:tcPr>
            <w:tcW w:w="366" w:type="pct"/>
            <w:tcBorders>
              <w:top w:val="single" w:sz="2" w:space="0" w:color="000000"/>
              <w:bottom w:val="single" w:sz="2" w:space="0" w:color="000000"/>
            </w:tcBorders>
            <w:vAlign w:val="center"/>
          </w:tcPr>
          <w:p w14:paraId="05CAF2FA"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55D81CC3" w14:textId="77777777" w:rsidR="003E78AB" w:rsidRDefault="003E78AB">
            <w:pPr>
              <w:spacing w:line="360" w:lineRule="exact"/>
              <w:ind w:firstLineChars="0" w:firstLine="0"/>
              <w:jc w:val="center"/>
              <w:textAlignment w:val="center"/>
              <w:rPr>
                <w:sz w:val="21"/>
                <w:szCs w:val="21"/>
                <w:lang w:bidi="ar"/>
              </w:rPr>
            </w:pPr>
          </w:p>
        </w:tc>
      </w:tr>
      <w:tr w:rsidR="003E78AB" w14:paraId="3F7D1760" w14:textId="77777777">
        <w:trPr>
          <w:trHeight w:val="315"/>
        </w:trPr>
        <w:tc>
          <w:tcPr>
            <w:tcW w:w="374" w:type="pct"/>
            <w:tcBorders>
              <w:top w:val="single" w:sz="2" w:space="0" w:color="000000"/>
              <w:bottom w:val="single" w:sz="2" w:space="0" w:color="000000"/>
            </w:tcBorders>
            <w:vAlign w:val="center"/>
          </w:tcPr>
          <w:p w14:paraId="11415632" w14:textId="77777777" w:rsidR="003E78AB" w:rsidRDefault="00010BF9">
            <w:pPr>
              <w:spacing w:line="360" w:lineRule="exact"/>
              <w:ind w:firstLineChars="0" w:firstLine="0"/>
              <w:jc w:val="center"/>
              <w:textAlignment w:val="center"/>
              <w:rPr>
                <w:sz w:val="21"/>
                <w:szCs w:val="21"/>
                <w:lang w:bidi="ar"/>
              </w:rPr>
            </w:pPr>
            <w:r>
              <w:rPr>
                <w:sz w:val="21"/>
                <w:szCs w:val="21"/>
                <w:lang w:bidi="ar"/>
              </w:rPr>
              <w:t>65</w:t>
            </w:r>
          </w:p>
        </w:tc>
        <w:tc>
          <w:tcPr>
            <w:tcW w:w="565" w:type="pct"/>
            <w:vMerge/>
            <w:vAlign w:val="center"/>
          </w:tcPr>
          <w:p w14:paraId="12946800"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2668570" w14:textId="77777777" w:rsidR="003E78AB" w:rsidRDefault="00010BF9">
            <w:pPr>
              <w:spacing w:line="360" w:lineRule="exact"/>
              <w:ind w:firstLineChars="0" w:firstLine="0"/>
              <w:jc w:val="center"/>
              <w:textAlignment w:val="center"/>
              <w:rPr>
                <w:sz w:val="21"/>
                <w:szCs w:val="21"/>
                <w:lang w:bidi="ar"/>
              </w:rPr>
            </w:pPr>
            <w:r>
              <w:rPr>
                <w:sz w:val="21"/>
                <w:szCs w:val="21"/>
                <w:lang w:bidi="ar"/>
              </w:rPr>
              <w:t>预留罐</w:t>
            </w:r>
          </w:p>
        </w:tc>
        <w:tc>
          <w:tcPr>
            <w:tcW w:w="2517" w:type="pct"/>
            <w:tcBorders>
              <w:top w:val="single" w:sz="2" w:space="0" w:color="000000"/>
              <w:bottom w:val="single" w:sz="2" w:space="0" w:color="000000"/>
            </w:tcBorders>
            <w:vAlign w:val="center"/>
          </w:tcPr>
          <w:p w14:paraId="121A17CC" w14:textId="77777777" w:rsidR="003E78AB" w:rsidRDefault="00010BF9">
            <w:pPr>
              <w:spacing w:line="360" w:lineRule="exact"/>
              <w:ind w:firstLineChars="0" w:firstLine="0"/>
              <w:jc w:val="center"/>
              <w:textAlignment w:val="center"/>
              <w:rPr>
                <w:sz w:val="21"/>
                <w:szCs w:val="21"/>
                <w:lang w:bidi="ar"/>
              </w:rPr>
            </w:pPr>
            <w:r>
              <w:rPr>
                <w:sz w:val="21"/>
                <w:szCs w:val="21"/>
                <w:lang w:bidi="ar"/>
              </w:rPr>
              <w:t>70m</w:t>
            </w:r>
            <w:r>
              <w:rPr>
                <w:sz w:val="21"/>
                <w:szCs w:val="21"/>
                <w:vertAlign w:val="superscript"/>
                <w:lang w:bidi="ar"/>
              </w:rPr>
              <w:t>3</w:t>
            </w:r>
          </w:p>
        </w:tc>
        <w:tc>
          <w:tcPr>
            <w:tcW w:w="366" w:type="pct"/>
            <w:tcBorders>
              <w:top w:val="single" w:sz="2" w:space="0" w:color="000000"/>
              <w:bottom w:val="single" w:sz="2" w:space="0" w:color="000000"/>
            </w:tcBorders>
            <w:vAlign w:val="center"/>
          </w:tcPr>
          <w:p w14:paraId="0E0F9520"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06D89FF4" w14:textId="77777777" w:rsidR="003E78AB" w:rsidRDefault="003E78AB">
            <w:pPr>
              <w:spacing w:line="360" w:lineRule="exact"/>
              <w:ind w:firstLineChars="0" w:firstLine="0"/>
              <w:jc w:val="center"/>
              <w:textAlignment w:val="center"/>
              <w:rPr>
                <w:sz w:val="21"/>
                <w:szCs w:val="21"/>
                <w:lang w:bidi="ar"/>
              </w:rPr>
            </w:pPr>
          </w:p>
        </w:tc>
      </w:tr>
      <w:tr w:rsidR="003E78AB" w14:paraId="21AD992F" w14:textId="77777777">
        <w:trPr>
          <w:trHeight w:val="472"/>
        </w:trPr>
        <w:tc>
          <w:tcPr>
            <w:tcW w:w="374" w:type="pct"/>
            <w:tcBorders>
              <w:top w:val="single" w:sz="2" w:space="0" w:color="000000"/>
              <w:bottom w:val="single" w:sz="2" w:space="0" w:color="000000"/>
            </w:tcBorders>
            <w:vAlign w:val="center"/>
          </w:tcPr>
          <w:p w14:paraId="3CF69F82" w14:textId="77777777" w:rsidR="003E78AB" w:rsidRDefault="00010BF9">
            <w:pPr>
              <w:spacing w:line="360" w:lineRule="exact"/>
              <w:ind w:firstLineChars="0" w:firstLine="0"/>
              <w:jc w:val="center"/>
              <w:textAlignment w:val="center"/>
              <w:rPr>
                <w:sz w:val="21"/>
                <w:szCs w:val="21"/>
                <w:lang w:bidi="ar"/>
              </w:rPr>
            </w:pPr>
            <w:r>
              <w:rPr>
                <w:sz w:val="21"/>
                <w:szCs w:val="21"/>
                <w:lang w:bidi="ar"/>
              </w:rPr>
              <w:t>66</w:t>
            </w:r>
          </w:p>
        </w:tc>
        <w:tc>
          <w:tcPr>
            <w:tcW w:w="565" w:type="pct"/>
            <w:vMerge/>
            <w:vAlign w:val="center"/>
          </w:tcPr>
          <w:p w14:paraId="5C520BB3"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297CB30"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硫酸卸车泵</w:t>
            </w:r>
          </w:p>
        </w:tc>
        <w:tc>
          <w:tcPr>
            <w:tcW w:w="2517" w:type="pct"/>
            <w:tcBorders>
              <w:top w:val="single" w:sz="2" w:space="0" w:color="000000"/>
              <w:bottom w:val="single" w:sz="2" w:space="0" w:color="000000"/>
            </w:tcBorders>
            <w:vAlign w:val="center"/>
          </w:tcPr>
          <w:p w14:paraId="245ABF44" w14:textId="77777777" w:rsidR="003E78AB" w:rsidRDefault="00010BF9">
            <w:pPr>
              <w:spacing w:line="360" w:lineRule="exact"/>
              <w:ind w:firstLineChars="0" w:firstLine="0"/>
              <w:jc w:val="center"/>
              <w:textAlignment w:val="center"/>
              <w:rPr>
                <w:sz w:val="21"/>
                <w:szCs w:val="21"/>
                <w:lang w:bidi="ar"/>
              </w:rPr>
            </w:pPr>
            <w:r>
              <w:rPr>
                <w:sz w:val="21"/>
                <w:szCs w:val="21"/>
                <w:lang w:bidi="ar"/>
              </w:rPr>
              <w:t>Q=33m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48684A7A"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63FDFBB1" w14:textId="77777777" w:rsidR="003E78AB" w:rsidRDefault="003E78AB">
            <w:pPr>
              <w:spacing w:line="360" w:lineRule="exact"/>
              <w:ind w:firstLineChars="0" w:firstLine="0"/>
              <w:jc w:val="center"/>
              <w:textAlignment w:val="center"/>
              <w:rPr>
                <w:sz w:val="21"/>
                <w:szCs w:val="21"/>
                <w:lang w:bidi="ar"/>
              </w:rPr>
            </w:pPr>
          </w:p>
        </w:tc>
      </w:tr>
      <w:tr w:rsidR="003E78AB" w14:paraId="3AD3F4F2" w14:textId="77777777">
        <w:trPr>
          <w:trHeight w:val="472"/>
        </w:trPr>
        <w:tc>
          <w:tcPr>
            <w:tcW w:w="374" w:type="pct"/>
            <w:tcBorders>
              <w:top w:val="single" w:sz="2" w:space="0" w:color="000000"/>
              <w:bottom w:val="single" w:sz="2" w:space="0" w:color="000000"/>
            </w:tcBorders>
            <w:vAlign w:val="center"/>
          </w:tcPr>
          <w:p w14:paraId="1BDA586C" w14:textId="77777777" w:rsidR="003E78AB" w:rsidRDefault="00010BF9">
            <w:pPr>
              <w:spacing w:line="360" w:lineRule="exact"/>
              <w:ind w:firstLineChars="0" w:firstLine="0"/>
              <w:jc w:val="center"/>
              <w:textAlignment w:val="center"/>
              <w:rPr>
                <w:sz w:val="21"/>
                <w:szCs w:val="21"/>
                <w:lang w:bidi="ar"/>
              </w:rPr>
            </w:pPr>
            <w:r>
              <w:rPr>
                <w:sz w:val="21"/>
                <w:szCs w:val="21"/>
                <w:lang w:bidi="ar"/>
              </w:rPr>
              <w:t>67</w:t>
            </w:r>
          </w:p>
        </w:tc>
        <w:tc>
          <w:tcPr>
            <w:tcW w:w="565" w:type="pct"/>
            <w:vMerge/>
            <w:vAlign w:val="center"/>
          </w:tcPr>
          <w:p w14:paraId="227EF17E"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7B032278"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磷酸卸车泵</w:t>
            </w:r>
          </w:p>
        </w:tc>
        <w:tc>
          <w:tcPr>
            <w:tcW w:w="2517" w:type="pct"/>
            <w:tcBorders>
              <w:top w:val="single" w:sz="2" w:space="0" w:color="000000"/>
              <w:bottom w:val="single" w:sz="2" w:space="0" w:color="000000"/>
            </w:tcBorders>
            <w:vAlign w:val="center"/>
          </w:tcPr>
          <w:p w14:paraId="424E6289" w14:textId="77777777" w:rsidR="003E78AB" w:rsidRDefault="00010BF9">
            <w:pPr>
              <w:spacing w:line="360" w:lineRule="exact"/>
              <w:ind w:firstLineChars="0" w:firstLine="0"/>
              <w:jc w:val="center"/>
              <w:textAlignment w:val="center"/>
              <w:rPr>
                <w:sz w:val="21"/>
                <w:szCs w:val="21"/>
                <w:lang w:bidi="ar"/>
              </w:rPr>
            </w:pPr>
            <w:r>
              <w:rPr>
                <w:sz w:val="21"/>
                <w:szCs w:val="21"/>
                <w:lang w:bidi="ar"/>
              </w:rPr>
              <w:t>Q=25m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5426EEDF"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74A6B754" w14:textId="77777777" w:rsidR="003E78AB" w:rsidRDefault="003E78AB">
            <w:pPr>
              <w:spacing w:line="360" w:lineRule="exact"/>
              <w:ind w:firstLineChars="0" w:firstLine="0"/>
              <w:jc w:val="center"/>
              <w:textAlignment w:val="center"/>
              <w:rPr>
                <w:sz w:val="21"/>
                <w:szCs w:val="21"/>
                <w:lang w:bidi="ar"/>
              </w:rPr>
            </w:pPr>
          </w:p>
        </w:tc>
      </w:tr>
      <w:tr w:rsidR="003E78AB" w14:paraId="66ECC61F" w14:textId="77777777">
        <w:trPr>
          <w:trHeight w:val="472"/>
        </w:trPr>
        <w:tc>
          <w:tcPr>
            <w:tcW w:w="374" w:type="pct"/>
            <w:tcBorders>
              <w:top w:val="single" w:sz="2" w:space="0" w:color="000000"/>
              <w:bottom w:val="single" w:sz="2" w:space="0" w:color="000000"/>
            </w:tcBorders>
            <w:vAlign w:val="center"/>
          </w:tcPr>
          <w:p w14:paraId="7068C340" w14:textId="77777777" w:rsidR="003E78AB" w:rsidRDefault="00010BF9">
            <w:pPr>
              <w:spacing w:line="360" w:lineRule="exact"/>
              <w:ind w:firstLineChars="0" w:firstLine="0"/>
              <w:jc w:val="center"/>
              <w:textAlignment w:val="center"/>
              <w:rPr>
                <w:sz w:val="21"/>
                <w:szCs w:val="21"/>
                <w:lang w:bidi="ar"/>
              </w:rPr>
            </w:pPr>
            <w:r>
              <w:rPr>
                <w:sz w:val="21"/>
                <w:szCs w:val="21"/>
                <w:lang w:bidi="ar"/>
              </w:rPr>
              <w:t>68</w:t>
            </w:r>
          </w:p>
        </w:tc>
        <w:tc>
          <w:tcPr>
            <w:tcW w:w="565" w:type="pct"/>
            <w:vMerge/>
            <w:vAlign w:val="center"/>
          </w:tcPr>
          <w:p w14:paraId="7E17583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09F705F"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硫酸输送泵</w:t>
            </w:r>
          </w:p>
        </w:tc>
        <w:tc>
          <w:tcPr>
            <w:tcW w:w="2517" w:type="pct"/>
            <w:tcBorders>
              <w:top w:val="single" w:sz="2" w:space="0" w:color="000000"/>
              <w:bottom w:val="single" w:sz="2" w:space="0" w:color="000000"/>
            </w:tcBorders>
            <w:vAlign w:val="center"/>
          </w:tcPr>
          <w:p w14:paraId="5FA6D03D" w14:textId="77777777" w:rsidR="003E78AB" w:rsidRDefault="00010BF9">
            <w:pPr>
              <w:spacing w:line="360" w:lineRule="exact"/>
              <w:ind w:firstLineChars="0" w:firstLine="0"/>
              <w:jc w:val="center"/>
              <w:textAlignment w:val="center"/>
              <w:rPr>
                <w:sz w:val="21"/>
                <w:szCs w:val="21"/>
                <w:lang w:bidi="ar"/>
              </w:rPr>
            </w:pPr>
            <w:r>
              <w:rPr>
                <w:sz w:val="21"/>
                <w:szCs w:val="21"/>
                <w:lang w:bidi="ar"/>
              </w:rPr>
              <w:t>Q=33m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1D8FAB4C"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2BAB551B" w14:textId="77777777" w:rsidR="003E78AB" w:rsidRDefault="003E78AB">
            <w:pPr>
              <w:spacing w:line="360" w:lineRule="exact"/>
              <w:ind w:firstLineChars="0" w:firstLine="0"/>
              <w:jc w:val="center"/>
              <w:textAlignment w:val="center"/>
              <w:rPr>
                <w:sz w:val="21"/>
                <w:szCs w:val="21"/>
                <w:lang w:bidi="ar"/>
              </w:rPr>
            </w:pPr>
          </w:p>
        </w:tc>
      </w:tr>
      <w:tr w:rsidR="003E78AB" w14:paraId="383ED86F" w14:textId="77777777">
        <w:trPr>
          <w:trHeight w:val="471"/>
        </w:trPr>
        <w:tc>
          <w:tcPr>
            <w:tcW w:w="374" w:type="pct"/>
            <w:tcBorders>
              <w:top w:val="single" w:sz="2" w:space="0" w:color="000000"/>
              <w:bottom w:val="single" w:sz="2" w:space="0" w:color="000000"/>
            </w:tcBorders>
            <w:vAlign w:val="center"/>
          </w:tcPr>
          <w:p w14:paraId="247980E2"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c>
          <w:tcPr>
            <w:tcW w:w="565" w:type="pct"/>
            <w:vMerge/>
            <w:vAlign w:val="center"/>
          </w:tcPr>
          <w:p w14:paraId="64522DF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3FBA9B6C"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磷酸输送泵</w:t>
            </w:r>
          </w:p>
        </w:tc>
        <w:tc>
          <w:tcPr>
            <w:tcW w:w="2517" w:type="pct"/>
            <w:tcBorders>
              <w:top w:val="single" w:sz="2" w:space="0" w:color="000000"/>
              <w:bottom w:val="single" w:sz="2" w:space="0" w:color="000000"/>
            </w:tcBorders>
            <w:vAlign w:val="center"/>
          </w:tcPr>
          <w:p w14:paraId="74E962A3" w14:textId="77777777" w:rsidR="003E78AB" w:rsidRDefault="00010BF9">
            <w:pPr>
              <w:spacing w:line="360" w:lineRule="exact"/>
              <w:ind w:firstLineChars="0" w:firstLine="0"/>
              <w:jc w:val="center"/>
              <w:textAlignment w:val="center"/>
              <w:rPr>
                <w:sz w:val="21"/>
                <w:szCs w:val="21"/>
                <w:lang w:bidi="ar"/>
              </w:rPr>
            </w:pPr>
            <w:r>
              <w:rPr>
                <w:sz w:val="21"/>
                <w:szCs w:val="21"/>
                <w:lang w:bidi="ar"/>
              </w:rPr>
              <w:t>Q=3.6m</w:t>
            </w:r>
            <w:r>
              <w:rPr>
                <w:sz w:val="21"/>
                <w:szCs w:val="21"/>
                <w:vertAlign w:val="superscript"/>
                <w:lang w:bidi="ar"/>
              </w:rPr>
              <w:t>3</w:t>
            </w:r>
            <w:r>
              <w:rPr>
                <w:sz w:val="21"/>
                <w:szCs w:val="21"/>
                <w:lang w:bidi="ar"/>
              </w:rPr>
              <w:t>/h</w:t>
            </w:r>
            <w:r>
              <w:rPr>
                <w:sz w:val="21"/>
                <w:szCs w:val="21"/>
                <w:lang w:bidi="ar"/>
              </w:rPr>
              <w:t>，</w:t>
            </w:r>
            <w:r>
              <w:rPr>
                <w:sz w:val="21"/>
                <w:szCs w:val="21"/>
                <w:lang w:bidi="ar"/>
              </w:rPr>
              <w:t>H=20m</w:t>
            </w:r>
            <w:r>
              <w:rPr>
                <w:sz w:val="21"/>
                <w:szCs w:val="21"/>
                <w:lang w:bidi="ar"/>
              </w:rPr>
              <w:t>，磁力泵</w:t>
            </w:r>
          </w:p>
        </w:tc>
        <w:tc>
          <w:tcPr>
            <w:tcW w:w="366" w:type="pct"/>
            <w:tcBorders>
              <w:top w:val="single" w:sz="2" w:space="0" w:color="000000"/>
              <w:bottom w:val="single" w:sz="2" w:space="0" w:color="000000"/>
            </w:tcBorders>
            <w:vAlign w:val="center"/>
          </w:tcPr>
          <w:p w14:paraId="3879F057"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39060D73" w14:textId="77777777" w:rsidR="003E78AB" w:rsidRDefault="003E78AB">
            <w:pPr>
              <w:spacing w:line="360" w:lineRule="exact"/>
              <w:ind w:firstLineChars="0" w:firstLine="0"/>
              <w:jc w:val="center"/>
              <w:textAlignment w:val="center"/>
              <w:rPr>
                <w:sz w:val="21"/>
                <w:szCs w:val="21"/>
                <w:lang w:bidi="ar"/>
              </w:rPr>
            </w:pPr>
          </w:p>
        </w:tc>
      </w:tr>
      <w:tr w:rsidR="003E78AB" w14:paraId="5EDF5F4B" w14:textId="77777777">
        <w:trPr>
          <w:trHeight w:val="319"/>
        </w:trPr>
        <w:tc>
          <w:tcPr>
            <w:tcW w:w="374" w:type="pct"/>
            <w:tcBorders>
              <w:top w:val="single" w:sz="2" w:space="0" w:color="000000"/>
              <w:bottom w:val="single" w:sz="2" w:space="0" w:color="000000"/>
            </w:tcBorders>
            <w:vAlign w:val="center"/>
          </w:tcPr>
          <w:p w14:paraId="5E01E421" w14:textId="77777777" w:rsidR="003E78AB" w:rsidRDefault="00010BF9">
            <w:pPr>
              <w:spacing w:line="360" w:lineRule="exact"/>
              <w:ind w:firstLineChars="0" w:firstLine="0"/>
              <w:jc w:val="center"/>
              <w:textAlignment w:val="center"/>
              <w:rPr>
                <w:sz w:val="21"/>
                <w:szCs w:val="21"/>
                <w:lang w:bidi="ar"/>
              </w:rPr>
            </w:pPr>
            <w:r>
              <w:rPr>
                <w:sz w:val="21"/>
                <w:szCs w:val="21"/>
                <w:lang w:bidi="ar"/>
              </w:rPr>
              <w:t>70</w:t>
            </w:r>
          </w:p>
        </w:tc>
        <w:tc>
          <w:tcPr>
            <w:tcW w:w="565" w:type="pct"/>
            <w:vMerge/>
            <w:vAlign w:val="center"/>
          </w:tcPr>
          <w:p w14:paraId="09999C9C"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519BF3F" w14:textId="77777777" w:rsidR="003E78AB" w:rsidRDefault="00010BF9">
            <w:pPr>
              <w:spacing w:line="360" w:lineRule="exact"/>
              <w:ind w:firstLineChars="0" w:firstLine="0"/>
              <w:jc w:val="center"/>
              <w:textAlignment w:val="center"/>
              <w:rPr>
                <w:sz w:val="21"/>
                <w:szCs w:val="21"/>
                <w:lang w:bidi="ar"/>
              </w:rPr>
            </w:pPr>
            <w:r>
              <w:rPr>
                <w:sz w:val="21"/>
                <w:szCs w:val="21"/>
                <w:lang w:bidi="ar"/>
              </w:rPr>
              <w:t>鹤管</w:t>
            </w:r>
          </w:p>
        </w:tc>
        <w:tc>
          <w:tcPr>
            <w:tcW w:w="2517" w:type="pct"/>
            <w:tcBorders>
              <w:top w:val="single" w:sz="2" w:space="0" w:color="000000"/>
              <w:bottom w:val="single" w:sz="2" w:space="0" w:color="000000"/>
            </w:tcBorders>
            <w:vAlign w:val="center"/>
          </w:tcPr>
          <w:p w14:paraId="27CAC508" w14:textId="77777777" w:rsidR="003E78AB" w:rsidRDefault="003E78AB">
            <w:pPr>
              <w:spacing w:line="360" w:lineRule="exact"/>
              <w:ind w:firstLineChars="0" w:firstLine="0"/>
              <w:jc w:val="center"/>
              <w:textAlignment w:val="center"/>
              <w:rPr>
                <w:sz w:val="21"/>
                <w:szCs w:val="21"/>
                <w:lang w:bidi="ar"/>
              </w:rPr>
            </w:pPr>
          </w:p>
        </w:tc>
        <w:tc>
          <w:tcPr>
            <w:tcW w:w="366" w:type="pct"/>
            <w:tcBorders>
              <w:top w:val="single" w:sz="2" w:space="0" w:color="000000"/>
              <w:bottom w:val="single" w:sz="2" w:space="0" w:color="000000"/>
            </w:tcBorders>
            <w:vAlign w:val="center"/>
          </w:tcPr>
          <w:p w14:paraId="28F58206"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tcBorders>
              <w:bottom w:val="single" w:sz="2" w:space="0" w:color="000000"/>
            </w:tcBorders>
            <w:vAlign w:val="center"/>
          </w:tcPr>
          <w:p w14:paraId="6D89E9E8" w14:textId="77777777" w:rsidR="003E78AB" w:rsidRDefault="003E78AB">
            <w:pPr>
              <w:spacing w:line="360" w:lineRule="exact"/>
              <w:ind w:firstLineChars="0" w:firstLine="0"/>
              <w:jc w:val="center"/>
              <w:textAlignment w:val="center"/>
              <w:rPr>
                <w:sz w:val="21"/>
                <w:szCs w:val="21"/>
                <w:lang w:bidi="ar"/>
              </w:rPr>
            </w:pPr>
          </w:p>
        </w:tc>
      </w:tr>
      <w:tr w:rsidR="003E78AB" w14:paraId="4891FB31" w14:textId="77777777">
        <w:trPr>
          <w:trHeight w:val="319"/>
        </w:trPr>
        <w:tc>
          <w:tcPr>
            <w:tcW w:w="374" w:type="pct"/>
            <w:tcBorders>
              <w:top w:val="single" w:sz="2" w:space="0" w:color="000000"/>
              <w:bottom w:val="single" w:sz="2" w:space="0" w:color="000000"/>
            </w:tcBorders>
            <w:vAlign w:val="center"/>
          </w:tcPr>
          <w:p w14:paraId="3A579D62" w14:textId="77777777" w:rsidR="003E78AB" w:rsidRDefault="00010BF9">
            <w:pPr>
              <w:spacing w:line="360" w:lineRule="exact"/>
              <w:ind w:firstLineChars="0" w:firstLine="0"/>
              <w:jc w:val="center"/>
              <w:textAlignment w:val="center"/>
              <w:rPr>
                <w:sz w:val="21"/>
                <w:szCs w:val="21"/>
                <w:lang w:bidi="ar"/>
              </w:rPr>
            </w:pPr>
            <w:r>
              <w:rPr>
                <w:sz w:val="21"/>
                <w:szCs w:val="21"/>
                <w:lang w:bidi="ar"/>
              </w:rPr>
              <w:t>71</w:t>
            </w:r>
          </w:p>
        </w:tc>
        <w:tc>
          <w:tcPr>
            <w:tcW w:w="565" w:type="pct"/>
            <w:vMerge w:val="restart"/>
            <w:vAlign w:val="center"/>
          </w:tcPr>
          <w:p w14:paraId="4E3D89F9" w14:textId="77777777" w:rsidR="003E78AB" w:rsidRDefault="00010BF9">
            <w:pPr>
              <w:spacing w:line="360" w:lineRule="exact"/>
              <w:ind w:firstLineChars="0" w:firstLine="0"/>
              <w:jc w:val="center"/>
              <w:textAlignment w:val="center"/>
              <w:rPr>
                <w:sz w:val="21"/>
                <w:szCs w:val="21"/>
                <w:lang w:bidi="ar"/>
              </w:rPr>
            </w:pPr>
            <w:r>
              <w:rPr>
                <w:sz w:val="21"/>
                <w:szCs w:val="21"/>
                <w:lang w:bidi="ar"/>
              </w:rPr>
              <w:t>研发中心</w:t>
            </w:r>
          </w:p>
        </w:tc>
        <w:tc>
          <w:tcPr>
            <w:tcW w:w="845" w:type="pct"/>
            <w:tcBorders>
              <w:top w:val="single" w:sz="2" w:space="0" w:color="000000"/>
              <w:bottom w:val="single" w:sz="2" w:space="0" w:color="000000"/>
            </w:tcBorders>
            <w:vAlign w:val="center"/>
          </w:tcPr>
          <w:p w14:paraId="29E2F957" w14:textId="77777777" w:rsidR="003E78AB" w:rsidRDefault="00010BF9">
            <w:pPr>
              <w:spacing w:line="360" w:lineRule="exact"/>
              <w:ind w:firstLineChars="0" w:firstLine="0"/>
              <w:jc w:val="center"/>
              <w:textAlignment w:val="center"/>
              <w:rPr>
                <w:sz w:val="21"/>
                <w:szCs w:val="21"/>
                <w:lang w:bidi="ar"/>
              </w:rPr>
            </w:pPr>
            <w:r>
              <w:rPr>
                <w:sz w:val="21"/>
                <w:szCs w:val="21"/>
                <w:lang w:bidi="ar"/>
              </w:rPr>
              <w:t>ICP-MS</w:t>
            </w:r>
          </w:p>
        </w:tc>
        <w:tc>
          <w:tcPr>
            <w:tcW w:w="2517" w:type="pct"/>
            <w:tcBorders>
              <w:top w:val="single" w:sz="2" w:space="0" w:color="000000"/>
              <w:bottom w:val="single" w:sz="2" w:space="0" w:color="000000"/>
            </w:tcBorders>
            <w:vAlign w:val="center"/>
          </w:tcPr>
          <w:p w14:paraId="038436F5"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3 Kw</w:t>
            </w:r>
            <w:r>
              <w:rPr>
                <w:sz w:val="21"/>
                <w:szCs w:val="21"/>
                <w:lang w:bidi="ar"/>
              </w:rPr>
              <w:t>，</w:t>
            </w:r>
            <w:r>
              <w:rPr>
                <w:sz w:val="21"/>
                <w:szCs w:val="21"/>
                <w:lang w:bidi="ar"/>
              </w:rPr>
              <w:t>220v</w:t>
            </w:r>
          </w:p>
        </w:tc>
        <w:tc>
          <w:tcPr>
            <w:tcW w:w="366" w:type="pct"/>
            <w:tcBorders>
              <w:top w:val="single" w:sz="2" w:space="0" w:color="000000"/>
              <w:bottom w:val="single" w:sz="2" w:space="0" w:color="000000"/>
            </w:tcBorders>
            <w:vAlign w:val="center"/>
          </w:tcPr>
          <w:p w14:paraId="023CF8E6"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restart"/>
            <w:tcBorders>
              <w:top w:val="single" w:sz="2" w:space="0" w:color="000000"/>
            </w:tcBorders>
            <w:vAlign w:val="center"/>
          </w:tcPr>
          <w:p w14:paraId="78254341" w14:textId="77777777" w:rsidR="003E78AB" w:rsidRDefault="00010BF9">
            <w:pPr>
              <w:spacing w:line="360" w:lineRule="exact"/>
              <w:ind w:firstLineChars="0" w:firstLine="0"/>
              <w:jc w:val="center"/>
              <w:textAlignment w:val="center"/>
              <w:rPr>
                <w:sz w:val="21"/>
                <w:szCs w:val="21"/>
                <w:lang w:bidi="ar"/>
              </w:rPr>
            </w:pPr>
            <w:r>
              <w:rPr>
                <w:sz w:val="21"/>
                <w:szCs w:val="21"/>
                <w:lang w:bidi="ar"/>
              </w:rPr>
              <w:t>实验室</w:t>
            </w:r>
          </w:p>
        </w:tc>
      </w:tr>
      <w:tr w:rsidR="003E78AB" w14:paraId="1A161D79" w14:textId="77777777">
        <w:trPr>
          <w:trHeight w:val="319"/>
        </w:trPr>
        <w:tc>
          <w:tcPr>
            <w:tcW w:w="374" w:type="pct"/>
            <w:tcBorders>
              <w:top w:val="single" w:sz="2" w:space="0" w:color="000000"/>
              <w:bottom w:val="single" w:sz="2" w:space="0" w:color="000000"/>
            </w:tcBorders>
            <w:vAlign w:val="center"/>
          </w:tcPr>
          <w:p w14:paraId="235E6AD5" w14:textId="77777777" w:rsidR="003E78AB" w:rsidRDefault="00010BF9">
            <w:pPr>
              <w:spacing w:line="360" w:lineRule="exact"/>
              <w:ind w:firstLineChars="0" w:firstLine="0"/>
              <w:jc w:val="center"/>
              <w:textAlignment w:val="center"/>
              <w:rPr>
                <w:sz w:val="21"/>
                <w:szCs w:val="21"/>
                <w:lang w:bidi="ar"/>
              </w:rPr>
            </w:pPr>
            <w:r>
              <w:rPr>
                <w:sz w:val="21"/>
                <w:szCs w:val="21"/>
                <w:lang w:bidi="ar"/>
              </w:rPr>
              <w:t>72</w:t>
            </w:r>
          </w:p>
        </w:tc>
        <w:tc>
          <w:tcPr>
            <w:tcW w:w="565" w:type="pct"/>
            <w:vMerge/>
            <w:vAlign w:val="center"/>
          </w:tcPr>
          <w:p w14:paraId="783533A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C0BC2C5" w14:textId="77777777" w:rsidR="003E78AB" w:rsidRDefault="00010BF9">
            <w:pPr>
              <w:spacing w:line="360" w:lineRule="exact"/>
              <w:ind w:firstLineChars="0" w:firstLine="0"/>
              <w:jc w:val="center"/>
              <w:textAlignment w:val="center"/>
              <w:rPr>
                <w:sz w:val="21"/>
                <w:szCs w:val="21"/>
                <w:lang w:bidi="ar"/>
              </w:rPr>
            </w:pPr>
            <w:r>
              <w:rPr>
                <w:sz w:val="21"/>
                <w:szCs w:val="21"/>
                <w:lang w:bidi="ar"/>
              </w:rPr>
              <w:t>蒸馏装置</w:t>
            </w:r>
          </w:p>
        </w:tc>
        <w:tc>
          <w:tcPr>
            <w:tcW w:w="2517" w:type="pct"/>
            <w:tcBorders>
              <w:top w:val="single" w:sz="2" w:space="0" w:color="000000"/>
              <w:bottom w:val="single" w:sz="2" w:space="0" w:color="000000"/>
            </w:tcBorders>
            <w:vAlign w:val="center"/>
          </w:tcPr>
          <w:p w14:paraId="5A3BDA74"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5Kw</w:t>
            </w:r>
            <w:r>
              <w:rPr>
                <w:sz w:val="21"/>
                <w:szCs w:val="21"/>
                <w:lang w:bidi="ar"/>
              </w:rPr>
              <w:t>，</w:t>
            </w:r>
            <w:r>
              <w:rPr>
                <w:sz w:val="21"/>
                <w:szCs w:val="21"/>
                <w:lang w:bidi="ar"/>
              </w:rPr>
              <w:t>220v</w:t>
            </w:r>
          </w:p>
        </w:tc>
        <w:tc>
          <w:tcPr>
            <w:tcW w:w="366" w:type="pct"/>
            <w:tcBorders>
              <w:top w:val="single" w:sz="2" w:space="0" w:color="000000"/>
              <w:bottom w:val="single" w:sz="2" w:space="0" w:color="000000"/>
            </w:tcBorders>
            <w:vAlign w:val="center"/>
          </w:tcPr>
          <w:p w14:paraId="45387AA4"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22C5D200" w14:textId="77777777" w:rsidR="003E78AB" w:rsidRDefault="003E78AB">
            <w:pPr>
              <w:spacing w:line="360" w:lineRule="exact"/>
              <w:ind w:firstLineChars="0" w:firstLine="0"/>
              <w:jc w:val="center"/>
              <w:textAlignment w:val="center"/>
              <w:rPr>
                <w:sz w:val="21"/>
                <w:szCs w:val="21"/>
                <w:lang w:bidi="ar"/>
              </w:rPr>
            </w:pPr>
          </w:p>
        </w:tc>
      </w:tr>
      <w:tr w:rsidR="003E78AB" w14:paraId="44685CC8" w14:textId="77777777">
        <w:trPr>
          <w:trHeight w:val="319"/>
        </w:trPr>
        <w:tc>
          <w:tcPr>
            <w:tcW w:w="374" w:type="pct"/>
            <w:tcBorders>
              <w:top w:val="single" w:sz="2" w:space="0" w:color="000000"/>
              <w:bottom w:val="single" w:sz="2" w:space="0" w:color="000000"/>
            </w:tcBorders>
            <w:vAlign w:val="center"/>
          </w:tcPr>
          <w:p w14:paraId="5D756BC5" w14:textId="77777777" w:rsidR="003E78AB" w:rsidRDefault="00010BF9">
            <w:pPr>
              <w:spacing w:line="360" w:lineRule="exact"/>
              <w:ind w:firstLineChars="0" w:firstLine="0"/>
              <w:jc w:val="center"/>
              <w:textAlignment w:val="center"/>
              <w:rPr>
                <w:sz w:val="21"/>
                <w:szCs w:val="21"/>
                <w:lang w:bidi="ar"/>
              </w:rPr>
            </w:pPr>
            <w:r>
              <w:rPr>
                <w:sz w:val="21"/>
                <w:szCs w:val="21"/>
                <w:lang w:bidi="ar"/>
              </w:rPr>
              <w:t>73</w:t>
            </w:r>
          </w:p>
        </w:tc>
        <w:tc>
          <w:tcPr>
            <w:tcW w:w="565" w:type="pct"/>
            <w:vMerge/>
            <w:vAlign w:val="center"/>
          </w:tcPr>
          <w:p w14:paraId="7CB442F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A7A4591" w14:textId="77777777" w:rsidR="003E78AB" w:rsidRDefault="00010BF9">
            <w:pPr>
              <w:spacing w:line="360" w:lineRule="exact"/>
              <w:ind w:firstLineChars="0" w:firstLine="0"/>
              <w:jc w:val="center"/>
              <w:textAlignment w:val="center"/>
              <w:rPr>
                <w:sz w:val="21"/>
                <w:szCs w:val="21"/>
                <w:lang w:bidi="ar"/>
              </w:rPr>
            </w:pPr>
            <w:r>
              <w:rPr>
                <w:sz w:val="21"/>
                <w:szCs w:val="21"/>
                <w:lang w:bidi="ar"/>
              </w:rPr>
              <w:t>纯水机</w:t>
            </w:r>
          </w:p>
        </w:tc>
        <w:tc>
          <w:tcPr>
            <w:tcW w:w="2517" w:type="pct"/>
            <w:tcBorders>
              <w:top w:val="single" w:sz="2" w:space="0" w:color="000000"/>
              <w:bottom w:val="single" w:sz="2" w:space="0" w:color="000000"/>
            </w:tcBorders>
            <w:vAlign w:val="center"/>
          </w:tcPr>
          <w:p w14:paraId="2FCB8FF0"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5kw</w:t>
            </w:r>
            <w:r>
              <w:rPr>
                <w:sz w:val="21"/>
                <w:szCs w:val="21"/>
                <w:lang w:bidi="ar"/>
              </w:rPr>
              <w:t>，</w:t>
            </w:r>
            <w:r>
              <w:rPr>
                <w:sz w:val="21"/>
                <w:szCs w:val="21"/>
                <w:lang w:bidi="ar"/>
              </w:rPr>
              <w:t>380v</w:t>
            </w:r>
            <w:r>
              <w:rPr>
                <w:sz w:val="21"/>
                <w:szCs w:val="21"/>
                <w:lang w:bidi="ar"/>
              </w:rPr>
              <w:t>，进水常温压力</w:t>
            </w:r>
            <w:r>
              <w:rPr>
                <w:sz w:val="21"/>
                <w:szCs w:val="21"/>
                <w:lang w:bidi="ar"/>
              </w:rPr>
              <w:t>5</w:t>
            </w:r>
            <w:r>
              <w:rPr>
                <w:sz w:val="21"/>
                <w:szCs w:val="21"/>
                <w:lang w:bidi="ar"/>
              </w:rPr>
              <w:t>公斤，出水常温</w:t>
            </w:r>
            <w:r>
              <w:rPr>
                <w:sz w:val="21"/>
                <w:szCs w:val="21"/>
                <w:lang w:bidi="ar"/>
              </w:rPr>
              <w:t>1m³/H</w:t>
            </w:r>
          </w:p>
        </w:tc>
        <w:tc>
          <w:tcPr>
            <w:tcW w:w="366" w:type="pct"/>
            <w:tcBorders>
              <w:top w:val="single" w:sz="2" w:space="0" w:color="000000"/>
              <w:bottom w:val="single" w:sz="2" w:space="0" w:color="000000"/>
            </w:tcBorders>
            <w:vAlign w:val="center"/>
          </w:tcPr>
          <w:p w14:paraId="2F5DAFDF"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3830D501" w14:textId="77777777" w:rsidR="003E78AB" w:rsidRDefault="003E78AB">
            <w:pPr>
              <w:spacing w:line="360" w:lineRule="exact"/>
              <w:ind w:firstLineChars="0" w:firstLine="0"/>
              <w:jc w:val="center"/>
              <w:textAlignment w:val="center"/>
              <w:rPr>
                <w:sz w:val="21"/>
                <w:szCs w:val="21"/>
                <w:lang w:bidi="ar"/>
              </w:rPr>
            </w:pPr>
          </w:p>
        </w:tc>
      </w:tr>
      <w:tr w:rsidR="003E78AB" w14:paraId="5B2406F2" w14:textId="77777777">
        <w:trPr>
          <w:trHeight w:val="319"/>
        </w:trPr>
        <w:tc>
          <w:tcPr>
            <w:tcW w:w="374" w:type="pct"/>
            <w:tcBorders>
              <w:top w:val="single" w:sz="2" w:space="0" w:color="000000"/>
              <w:bottom w:val="single" w:sz="2" w:space="0" w:color="000000"/>
            </w:tcBorders>
            <w:vAlign w:val="center"/>
          </w:tcPr>
          <w:p w14:paraId="72BC4131" w14:textId="77777777" w:rsidR="003E78AB" w:rsidRDefault="00010BF9">
            <w:pPr>
              <w:spacing w:line="360" w:lineRule="exact"/>
              <w:ind w:firstLineChars="0" w:firstLine="0"/>
              <w:jc w:val="center"/>
              <w:textAlignment w:val="center"/>
              <w:rPr>
                <w:sz w:val="21"/>
                <w:szCs w:val="21"/>
                <w:lang w:bidi="ar"/>
              </w:rPr>
            </w:pPr>
            <w:r>
              <w:rPr>
                <w:sz w:val="21"/>
                <w:szCs w:val="21"/>
                <w:lang w:bidi="ar"/>
              </w:rPr>
              <w:t>74</w:t>
            </w:r>
          </w:p>
        </w:tc>
        <w:tc>
          <w:tcPr>
            <w:tcW w:w="565" w:type="pct"/>
            <w:vMerge/>
            <w:vAlign w:val="center"/>
          </w:tcPr>
          <w:p w14:paraId="3B1DDB27"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36D45CE" w14:textId="77777777" w:rsidR="003E78AB" w:rsidRDefault="00010BF9">
            <w:pPr>
              <w:spacing w:line="360" w:lineRule="exact"/>
              <w:ind w:firstLineChars="0" w:firstLine="0"/>
              <w:jc w:val="center"/>
              <w:textAlignment w:val="center"/>
              <w:rPr>
                <w:sz w:val="21"/>
                <w:szCs w:val="21"/>
                <w:lang w:bidi="ar"/>
              </w:rPr>
            </w:pPr>
            <w:r>
              <w:rPr>
                <w:sz w:val="21"/>
                <w:szCs w:val="21"/>
                <w:lang w:bidi="ar"/>
              </w:rPr>
              <w:t>马弗炉</w:t>
            </w:r>
          </w:p>
        </w:tc>
        <w:tc>
          <w:tcPr>
            <w:tcW w:w="2517" w:type="pct"/>
            <w:tcBorders>
              <w:top w:val="single" w:sz="2" w:space="0" w:color="000000"/>
              <w:bottom w:val="single" w:sz="2" w:space="0" w:color="000000"/>
            </w:tcBorders>
            <w:vAlign w:val="center"/>
          </w:tcPr>
          <w:p w14:paraId="121BB320"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6~10 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4BB38A72"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31" w:type="pct"/>
            <w:vMerge/>
            <w:vAlign w:val="center"/>
          </w:tcPr>
          <w:p w14:paraId="41D31D9E" w14:textId="77777777" w:rsidR="003E78AB" w:rsidRDefault="003E78AB">
            <w:pPr>
              <w:spacing w:line="360" w:lineRule="exact"/>
              <w:ind w:firstLineChars="0" w:firstLine="0"/>
              <w:jc w:val="center"/>
              <w:textAlignment w:val="center"/>
              <w:rPr>
                <w:sz w:val="21"/>
                <w:szCs w:val="21"/>
                <w:lang w:bidi="ar"/>
              </w:rPr>
            </w:pPr>
          </w:p>
        </w:tc>
      </w:tr>
      <w:tr w:rsidR="003E78AB" w14:paraId="6B16FCD5" w14:textId="77777777">
        <w:trPr>
          <w:trHeight w:val="319"/>
        </w:trPr>
        <w:tc>
          <w:tcPr>
            <w:tcW w:w="374" w:type="pct"/>
            <w:tcBorders>
              <w:top w:val="single" w:sz="2" w:space="0" w:color="000000"/>
              <w:bottom w:val="single" w:sz="2" w:space="0" w:color="000000"/>
            </w:tcBorders>
            <w:vAlign w:val="center"/>
          </w:tcPr>
          <w:p w14:paraId="102B55DF" w14:textId="77777777" w:rsidR="003E78AB" w:rsidRDefault="00010BF9">
            <w:pPr>
              <w:spacing w:line="360" w:lineRule="exact"/>
              <w:ind w:firstLineChars="0" w:firstLine="0"/>
              <w:jc w:val="center"/>
              <w:textAlignment w:val="center"/>
              <w:rPr>
                <w:sz w:val="21"/>
                <w:szCs w:val="21"/>
                <w:lang w:bidi="ar"/>
              </w:rPr>
            </w:pPr>
            <w:r>
              <w:rPr>
                <w:sz w:val="21"/>
                <w:szCs w:val="21"/>
                <w:lang w:bidi="ar"/>
              </w:rPr>
              <w:t>76</w:t>
            </w:r>
          </w:p>
        </w:tc>
        <w:tc>
          <w:tcPr>
            <w:tcW w:w="565" w:type="pct"/>
            <w:vMerge/>
            <w:vAlign w:val="center"/>
          </w:tcPr>
          <w:p w14:paraId="698A0B53"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6FE15BA5" w14:textId="77777777" w:rsidR="003E78AB" w:rsidRDefault="00010BF9">
            <w:pPr>
              <w:spacing w:line="360" w:lineRule="exact"/>
              <w:ind w:firstLineChars="0" w:firstLine="0"/>
              <w:jc w:val="center"/>
              <w:textAlignment w:val="center"/>
              <w:rPr>
                <w:sz w:val="21"/>
                <w:szCs w:val="21"/>
                <w:lang w:bidi="ar"/>
              </w:rPr>
            </w:pPr>
            <w:r>
              <w:rPr>
                <w:sz w:val="21"/>
                <w:szCs w:val="21"/>
                <w:lang w:bidi="ar"/>
              </w:rPr>
              <w:t>真空干燥箱</w:t>
            </w:r>
          </w:p>
        </w:tc>
        <w:tc>
          <w:tcPr>
            <w:tcW w:w="2517" w:type="pct"/>
            <w:tcBorders>
              <w:top w:val="single" w:sz="2" w:space="0" w:color="000000"/>
              <w:bottom w:val="single" w:sz="2" w:space="0" w:color="000000"/>
            </w:tcBorders>
            <w:vAlign w:val="center"/>
          </w:tcPr>
          <w:p w14:paraId="3385C9BF"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450w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2E996128"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4D30FAEC" w14:textId="77777777" w:rsidR="003E78AB" w:rsidRDefault="003E78AB">
            <w:pPr>
              <w:spacing w:line="360" w:lineRule="exact"/>
              <w:ind w:firstLineChars="0" w:firstLine="0"/>
              <w:jc w:val="center"/>
              <w:textAlignment w:val="center"/>
              <w:rPr>
                <w:sz w:val="21"/>
                <w:szCs w:val="21"/>
                <w:lang w:bidi="ar"/>
              </w:rPr>
            </w:pPr>
          </w:p>
        </w:tc>
      </w:tr>
      <w:tr w:rsidR="003E78AB" w14:paraId="418055E8" w14:textId="77777777">
        <w:trPr>
          <w:trHeight w:val="319"/>
        </w:trPr>
        <w:tc>
          <w:tcPr>
            <w:tcW w:w="374" w:type="pct"/>
            <w:tcBorders>
              <w:top w:val="single" w:sz="2" w:space="0" w:color="000000"/>
              <w:bottom w:val="single" w:sz="2" w:space="0" w:color="000000"/>
            </w:tcBorders>
            <w:vAlign w:val="center"/>
          </w:tcPr>
          <w:p w14:paraId="6BEE740F" w14:textId="77777777" w:rsidR="003E78AB" w:rsidRDefault="00010BF9">
            <w:pPr>
              <w:spacing w:line="360" w:lineRule="exact"/>
              <w:ind w:firstLineChars="0" w:firstLine="0"/>
              <w:jc w:val="center"/>
              <w:textAlignment w:val="center"/>
              <w:rPr>
                <w:sz w:val="21"/>
                <w:szCs w:val="21"/>
                <w:lang w:bidi="ar"/>
              </w:rPr>
            </w:pPr>
            <w:r>
              <w:rPr>
                <w:sz w:val="21"/>
                <w:szCs w:val="21"/>
                <w:lang w:bidi="ar"/>
              </w:rPr>
              <w:t>77</w:t>
            </w:r>
          </w:p>
        </w:tc>
        <w:tc>
          <w:tcPr>
            <w:tcW w:w="565" w:type="pct"/>
            <w:vMerge/>
            <w:vAlign w:val="center"/>
          </w:tcPr>
          <w:p w14:paraId="35E746E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4970114" w14:textId="77777777" w:rsidR="003E78AB" w:rsidRDefault="00010BF9">
            <w:pPr>
              <w:spacing w:line="360" w:lineRule="exact"/>
              <w:ind w:firstLineChars="0" w:firstLine="0"/>
              <w:jc w:val="center"/>
              <w:textAlignment w:val="center"/>
              <w:rPr>
                <w:sz w:val="21"/>
                <w:szCs w:val="21"/>
                <w:lang w:bidi="ar"/>
              </w:rPr>
            </w:pPr>
            <w:r>
              <w:rPr>
                <w:sz w:val="21"/>
                <w:szCs w:val="21"/>
                <w:lang w:bidi="ar"/>
              </w:rPr>
              <w:t>鼓风烘干机</w:t>
            </w:r>
          </w:p>
        </w:tc>
        <w:tc>
          <w:tcPr>
            <w:tcW w:w="2517" w:type="pct"/>
            <w:tcBorders>
              <w:top w:val="single" w:sz="2" w:space="0" w:color="000000"/>
              <w:bottom w:val="single" w:sz="2" w:space="0" w:color="000000"/>
            </w:tcBorders>
            <w:vAlign w:val="center"/>
          </w:tcPr>
          <w:p w14:paraId="30111FDA"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2.5 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1BFFC1E5"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3DBE1D8C" w14:textId="77777777" w:rsidR="003E78AB" w:rsidRDefault="003E78AB">
            <w:pPr>
              <w:spacing w:line="360" w:lineRule="exact"/>
              <w:ind w:firstLineChars="0" w:firstLine="0"/>
              <w:jc w:val="center"/>
              <w:textAlignment w:val="center"/>
              <w:rPr>
                <w:sz w:val="21"/>
                <w:szCs w:val="21"/>
                <w:lang w:bidi="ar"/>
              </w:rPr>
            </w:pPr>
          </w:p>
        </w:tc>
      </w:tr>
      <w:tr w:rsidR="003E78AB" w14:paraId="6324B19B" w14:textId="77777777">
        <w:trPr>
          <w:trHeight w:val="319"/>
        </w:trPr>
        <w:tc>
          <w:tcPr>
            <w:tcW w:w="374" w:type="pct"/>
            <w:tcBorders>
              <w:top w:val="single" w:sz="2" w:space="0" w:color="000000"/>
              <w:bottom w:val="single" w:sz="2" w:space="0" w:color="000000"/>
            </w:tcBorders>
            <w:vAlign w:val="center"/>
          </w:tcPr>
          <w:p w14:paraId="736C7B25" w14:textId="77777777" w:rsidR="003E78AB" w:rsidRDefault="00010BF9">
            <w:pPr>
              <w:spacing w:line="360" w:lineRule="exact"/>
              <w:ind w:firstLineChars="0" w:firstLine="0"/>
              <w:jc w:val="center"/>
              <w:textAlignment w:val="center"/>
              <w:rPr>
                <w:sz w:val="21"/>
                <w:szCs w:val="21"/>
                <w:lang w:bidi="ar"/>
              </w:rPr>
            </w:pPr>
            <w:r>
              <w:rPr>
                <w:sz w:val="21"/>
                <w:szCs w:val="21"/>
                <w:lang w:bidi="ar"/>
              </w:rPr>
              <w:t>78</w:t>
            </w:r>
          </w:p>
        </w:tc>
        <w:tc>
          <w:tcPr>
            <w:tcW w:w="565" w:type="pct"/>
            <w:vMerge/>
            <w:vAlign w:val="center"/>
          </w:tcPr>
          <w:p w14:paraId="23BD40CA"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2E6B5316" w14:textId="77777777" w:rsidR="003E78AB" w:rsidRDefault="00010BF9">
            <w:pPr>
              <w:spacing w:line="360" w:lineRule="exact"/>
              <w:ind w:firstLineChars="0" w:firstLine="0"/>
              <w:jc w:val="center"/>
              <w:textAlignment w:val="center"/>
              <w:rPr>
                <w:sz w:val="21"/>
                <w:szCs w:val="21"/>
                <w:lang w:bidi="ar"/>
              </w:rPr>
            </w:pPr>
            <w:r>
              <w:rPr>
                <w:sz w:val="21"/>
                <w:szCs w:val="21"/>
                <w:lang w:bidi="ar"/>
              </w:rPr>
              <w:t>电动研磨机</w:t>
            </w:r>
          </w:p>
        </w:tc>
        <w:tc>
          <w:tcPr>
            <w:tcW w:w="2517" w:type="pct"/>
            <w:tcBorders>
              <w:top w:val="single" w:sz="2" w:space="0" w:color="000000"/>
              <w:bottom w:val="single" w:sz="2" w:space="0" w:color="000000"/>
            </w:tcBorders>
            <w:vAlign w:val="center"/>
          </w:tcPr>
          <w:p w14:paraId="665F3454"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1.5 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6D676356"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325ADEDE" w14:textId="77777777" w:rsidR="003E78AB" w:rsidRDefault="003E78AB">
            <w:pPr>
              <w:spacing w:line="360" w:lineRule="exact"/>
              <w:ind w:firstLineChars="0" w:firstLine="0"/>
              <w:jc w:val="center"/>
              <w:textAlignment w:val="center"/>
              <w:rPr>
                <w:sz w:val="21"/>
                <w:szCs w:val="21"/>
                <w:lang w:bidi="ar"/>
              </w:rPr>
            </w:pPr>
          </w:p>
        </w:tc>
      </w:tr>
      <w:tr w:rsidR="003E78AB" w14:paraId="34A8A60A" w14:textId="77777777">
        <w:trPr>
          <w:trHeight w:val="319"/>
        </w:trPr>
        <w:tc>
          <w:tcPr>
            <w:tcW w:w="374" w:type="pct"/>
            <w:tcBorders>
              <w:top w:val="single" w:sz="2" w:space="0" w:color="000000"/>
              <w:bottom w:val="single" w:sz="2" w:space="0" w:color="000000"/>
            </w:tcBorders>
            <w:vAlign w:val="center"/>
          </w:tcPr>
          <w:p w14:paraId="11BE61AD" w14:textId="77777777" w:rsidR="003E78AB" w:rsidRDefault="00010BF9">
            <w:pPr>
              <w:spacing w:line="360" w:lineRule="exact"/>
              <w:ind w:firstLineChars="0" w:firstLine="0"/>
              <w:jc w:val="center"/>
              <w:textAlignment w:val="center"/>
              <w:rPr>
                <w:sz w:val="21"/>
                <w:szCs w:val="21"/>
                <w:lang w:bidi="ar"/>
              </w:rPr>
            </w:pPr>
            <w:r>
              <w:rPr>
                <w:sz w:val="21"/>
                <w:szCs w:val="21"/>
                <w:lang w:bidi="ar"/>
              </w:rPr>
              <w:t>79</w:t>
            </w:r>
          </w:p>
        </w:tc>
        <w:tc>
          <w:tcPr>
            <w:tcW w:w="565" w:type="pct"/>
            <w:vMerge/>
            <w:vAlign w:val="center"/>
          </w:tcPr>
          <w:p w14:paraId="4FB5DF9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F4EC6F3" w14:textId="77777777" w:rsidR="003E78AB" w:rsidRDefault="00010BF9">
            <w:pPr>
              <w:spacing w:line="360" w:lineRule="exact"/>
              <w:ind w:firstLineChars="0" w:firstLine="0"/>
              <w:jc w:val="center"/>
              <w:textAlignment w:val="center"/>
              <w:rPr>
                <w:sz w:val="21"/>
                <w:szCs w:val="21"/>
                <w:lang w:bidi="ar"/>
              </w:rPr>
            </w:pPr>
            <w:r>
              <w:rPr>
                <w:sz w:val="21"/>
                <w:szCs w:val="21"/>
                <w:lang w:bidi="ar"/>
              </w:rPr>
              <w:t>颚式破碎机</w:t>
            </w:r>
          </w:p>
        </w:tc>
        <w:tc>
          <w:tcPr>
            <w:tcW w:w="2517" w:type="pct"/>
            <w:tcBorders>
              <w:top w:val="single" w:sz="2" w:space="0" w:color="000000"/>
              <w:bottom w:val="single" w:sz="2" w:space="0" w:color="000000"/>
            </w:tcBorders>
            <w:vAlign w:val="center"/>
          </w:tcPr>
          <w:p w14:paraId="5C3302C3"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3 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2BFDCC4E"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4293A188" w14:textId="77777777" w:rsidR="003E78AB" w:rsidRDefault="003E78AB">
            <w:pPr>
              <w:spacing w:line="360" w:lineRule="exact"/>
              <w:ind w:firstLineChars="0" w:firstLine="0"/>
              <w:jc w:val="center"/>
              <w:textAlignment w:val="center"/>
              <w:rPr>
                <w:sz w:val="21"/>
                <w:szCs w:val="21"/>
                <w:lang w:bidi="ar"/>
              </w:rPr>
            </w:pPr>
          </w:p>
        </w:tc>
      </w:tr>
      <w:tr w:rsidR="003E78AB" w14:paraId="33419743" w14:textId="77777777">
        <w:trPr>
          <w:trHeight w:val="319"/>
        </w:trPr>
        <w:tc>
          <w:tcPr>
            <w:tcW w:w="374" w:type="pct"/>
            <w:tcBorders>
              <w:top w:val="single" w:sz="2" w:space="0" w:color="000000"/>
              <w:bottom w:val="single" w:sz="2" w:space="0" w:color="000000"/>
            </w:tcBorders>
            <w:vAlign w:val="center"/>
          </w:tcPr>
          <w:p w14:paraId="44F699FC" w14:textId="77777777" w:rsidR="003E78AB" w:rsidRDefault="00010BF9">
            <w:pPr>
              <w:spacing w:line="360" w:lineRule="exact"/>
              <w:ind w:firstLineChars="0" w:firstLine="0"/>
              <w:jc w:val="center"/>
              <w:textAlignment w:val="center"/>
              <w:rPr>
                <w:sz w:val="21"/>
                <w:szCs w:val="21"/>
                <w:lang w:bidi="ar"/>
              </w:rPr>
            </w:pPr>
            <w:r>
              <w:rPr>
                <w:sz w:val="21"/>
                <w:szCs w:val="21"/>
                <w:lang w:bidi="ar"/>
              </w:rPr>
              <w:t>80</w:t>
            </w:r>
          </w:p>
        </w:tc>
        <w:tc>
          <w:tcPr>
            <w:tcW w:w="565" w:type="pct"/>
            <w:vMerge/>
            <w:vAlign w:val="center"/>
          </w:tcPr>
          <w:p w14:paraId="437E35E8"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BE6EB8F" w14:textId="77777777" w:rsidR="003E78AB" w:rsidRDefault="00010BF9">
            <w:pPr>
              <w:spacing w:line="360" w:lineRule="exact"/>
              <w:ind w:firstLineChars="0" w:firstLine="0"/>
              <w:jc w:val="center"/>
              <w:textAlignment w:val="center"/>
              <w:rPr>
                <w:sz w:val="21"/>
                <w:szCs w:val="21"/>
                <w:lang w:bidi="ar"/>
              </w:rPr>
            </w:pPr>
            <w:r>
              <w:rPr>
                <w:sz w:val="21"/>
                <w:szCs w:val="21"/>
                <w:lang w:bidi="ar"/>
              </w:rPr>
              <w:t>震动筛</w:t>
            </w:r>
          </w:p>
        </w:tc>
        <w:tc>
          <w:tcPr>
            <w:tcW w:w="2517" w:type="pct"/>
            <w:tcBorders>
              <w:top w:val="single" w:sz="2" w:space="0" w:color="000000"/>
              <w:bottom w:val="single" w:sz="2" w:space="0" w:color="000000"/>
            </w:tcBorders>
            <w:vAlign w:val="center"/>
          </w:tcPr>
          <w:p w14:paraId="44E7A477"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1 Kw</w:t>
            </w:r>
            <w:r>
              <w:rPr>
                <w:sz w:val="21"/>
                <w:szCs w:val="21"/>
                <w:lang w:bidi="ar"/>
              </w:rPr>
              <w:t>，</w:t>
            </w:r>
            <w:r>
              <w:rPr>
                <w:sz w:val="21"/>
                <w:szCs w:val="21"/>
                <w:lang w:bidi="ar"/>
              </w:rPr>
              <w:t>380v</w:t>
            </w:r>
          </w:p>
        </w:tc>
        <w:tc>
          <w:tcPr>
            <w:tcW w:w="366" w:type="pct"/>
            <w:tcBorders>
              <w:top w:val="single" w:sz="2" w:space="0" w:color="000000"/>
              <w:bottom w:val="single" w:sz="2" w:space="0" w:color="000000"/>
            </w:tcBorders>
            <w:vAlign w:val="center"/>
          </w:tcPr>
          <w:p w14:paraId="059D4911"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7E08D0DD" w14:textId="77777777" w:rsidR="003E78AB" w:rsidRDefault="003E78AB">
            <w:pPr>
              <w:spacing w:line="360" w:lineRule="exact"/>
              <w:ind w:firstLineChars="0" w:firstLine="0"/>
              <w:jc w:val="center"/>
              <w:textAlignment w:val="center"/>
              <w:rPr>
                <w:sz w:val="21"/>
                <w:szCs w:val="21"/>
                <w:lang w:bidi="ar"/>
              </w:rPr>
            </w:pPr>
          </w:p>
        </w:tc>
      </w:tr>
      <w:tr w:rsidR="003E78AB" w14:paraId="2CC56AA7" w14:textId="77777777">
        <w:trPr>
          <w:trHeight w:val="319"/>
        </w:trPr>
        <w:tc>
          <w:tcPr>
            <w:tcW w:w="374" w:type="pct"/>
            <w:tcBorders>
              <w:top w:val="single" w:sz="2" w:space="0" w:color="000000"/>
              <w:bottom w:val="single" w:sz="2" w:space="0" w:color="000000"/>
            </w:tcBorders>
            <w:vAlign w:val="center"/>
          </w:tcPr>
          <w:p w14:paraId="7654AB3F" w14:textId="77777777" w:rsidR="003E78AB" w:rsidRDefault="00010BF9">
            <w:pPr>
              <w:spacing w:line="360" w:lineRule="exact"/>
              <w:ind w:firstLineChars="0" w:firstLine="0"/>
              <w:jc w:val="center"/>
              <w:textAlignment w:val="center"/>
              <w:rPr>
                <w:sz w:val="21"/>
                <w:szCs w:val="21"/>
                <w:lang w:bidi="ar"/>
              </w:rPr>
            </w:pPr>
            <w:r>
              <w:rPr>
                <w:sz w:val="21"/>
                <w:szCs w:val="21"/>
                <w:lang w:bidi="ar"/>
              </w:rPr>
              <w:t>81</w:t>
            </w:r>
          </w:p>
        </w:tc>
        <w:tc>
          <w:tcPr>
            <w:tcW w:w="565" w:type="pct"/>
            <w:vMerge/>
            <w:vAlign w:val="center"/>
          </w:tcPr>
          <w:p w14:paraId="293A7BC9"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43AB9713" w14:textId="77777777" w:rsidR="003E78AB" w:rsidRDefault="00010BF9">
            <w:pPr>
              <w:spacing w:line="360" w:lineRule="exact"/>
              <w:ind w:firstLineChars="0" w:firstLine="0"/>
              <w:jc w:val="center"/>
              <w:textAlignment w:val="center"/>
              <w:rPr>
                <w:sz w:val="21"/>
                <w:szCs w:val="21"/>
                <w:lang w:bidi="ar"/>
              </w:rPr>
            </w:pPr>
            <w:r>
              <w:rPr>
                <w:sz w:val="21"/>
                <w:szCs w:val="21"/>
                <w:lang w:bidi="ar"/>
              </w:rPr>
              <w:t>充放电测试仪</w:t>
            </w:r>
          </w:p>
        </w:tc>
        <w:tc>
          <w:tcPr>
            <w:tcW w:w="2517" w:type="pct"/>
            <w:tcBorders>
              <w:top w:val="single" w:sz="2" w:space="0" w:color="000000"/>
              <w:bottom w:val="single" w:sz="2" w:space="0" w:color="000000"/>
            </w:tcBorders>
            <w:vAlign w:val="center"/>
          </w:tcPr>
          <w:p w14:paraId="28CF9190"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2 Kw</w:t>
            </w:r>
            <w:r>
              <w:rPr>
                <w:sz w:val="21"/>
                <w:szCs w:val="21"/>
                <w:lang w:bidi="ar"/>
              </w:rPr>
              <w:t>，</w:t>
            </w:r>
            <w:r>
              <w:rPr>
                <w:sz w:val="21"/>
                <w:szCs w:val="21"/>
                <w:lang w:bidi="ar"/>
              </w:rPr>
              <w:t>220v</w:t>
            </w:r>
          </w:p>
        </w:tc>
        <w:tc>
          <w:tcPr>
            <w:tcW w:w="366" w:type="pct"/>
            <w:tcBorders>
              <w:top w:val="single" w:sz="2" w:space="0" w:color="000000"/>
              <w:bottom w:val="single" w:sz="2" w:space="0" w:color="000000"/>
            </w:tcBorders>
            <w:vAlign w:val="center"/>
          </w:tcPr>
          <w:p w14:paraId="3E101D1A"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0B39357B" w14:textId="77777777" w:rsidR="003E78AB" w:rsidRDefault="003E78AB">
            <w:pPr>
              <w:spacing w:line="360" w:lineRule="exact"/>
              <w:ind w:firstLineChars="0" w:firstLine="0"/>
              <w:jc w:val="center"/>
              <w:textAlignment w:val="center"/>
              <w:rPr>
                <w:sz w:val="21"/>
                <w:szCs w:val="21"/>
                <w:lang w:bidi="ar"/>
              </w:rPr>
            </w:pPr>
          </w:p>
        </w:tc>
      </w:tr>
      <w:tr w:rsidR="003E78AB" w14:paraId="675A8E8B" w14:textId="77777777">
        <w:trPr>
          <w:trHeight w:val="319"/>
        </w:trPr>
        <w:tc>
          <w:tcPr>
            <w:tcW w:w="374" w:type="pct"/>
            <w:tcBorders>
              <w:top w:val="single" w:sz="2" w:space="0" w:color="000000"/>
              <w:bottom w:val="single" w:sz="2" w:space="0" w:color="000000"/>
            </w:tcBorders>
            <w:vAlign w:val="center"/>
          </w:tcPr>
          <w:p w14:paraId="2C9960A3" w14:textId="77777777" w:rsidR="003E78AB" w:rsidRDefault="00010BF9">
            <w:pPr>
              <w:spacing w:line="360" w:lineRule="exact"/>
              <w:ind w:firstLineChars="0" w:firstLine="0"/>
              <w:jc w:val="center"/>
              <w:textAlignment w:val="center"/>
              <w:rPr>
                <w:sz w:val="21"/>
                <w:szCs w:val="21"/>
                <w:lang w:bidi="ar"/>
              </w:rPr>
            </w:pPr>
            <w:r>
              <w:rPr>
                <w:sz w:val="21"/>
                <w:szCs w:val="21"/>
                <w:lang w:bidi="ar"/>
              </w:rPr>
              <w:t>82</w:t>
            </w:r>
          </w:p>
        </w:tc>
        <w:tc>
          <w:tcPr>
            <w:tcW w:w="565" w:type="pct"/>
            <w:vMerge/>
            <w:vAlign w:val="center"/>
          </w:tcPr>
          <w:p w14:paraId="131D0A22"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5C1A87AD" w14:textId="77777777" w:rsidR="003E78AB" w:rsidRDefault="00010BF9">
            <w:pPr>
              <w:spacing w:line="360" w:lineRule="exact"/>
              <w:ind w:firstLineChars="0" w:firstLine="0"/>
              <w:jc w:val="center"/>
              <w:textAlignment w:val="center"/>
              <w:rPr>
                <w:sz w:val="21"/>
                <w:szCs w:val="21"/>
                <w:lang w:bidi="ar"/>
              </w:rPr>
            </w:pPr>
            <w:r>
              <w:rPr>
                <w:sz w:val="21"/>
                <w:szCs w:val="21"/>
                <w:lang w:bidi="ar"/>
              </w:rPr>
              <w:t>电化学分析仪</w:t>
            </w:r>
          </w:p>
        </w:tc>
        <w:tc>
          <w:tcPr>
            <w:tcW w:w="2517" w:type="pct"/>
            <w:tcBorders>
              <w:top w:val="single" w:sz="2" w:space="0" w:color="000000"/>
              <w:bottom w:val="single" w:sz="2" w:space="0" w:color="000000"/>
            </w:tcBorders>
            <w:vAlign w:val="center"/>
          </w:tcPr>
          <w:p w14:paraId="00D3E313"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5w</w:t>
            </w:r>
            <w:r>
              <w:rPr>
                <w:sz w:val="21"/>
                <w:szCs w:val="21"/>
                <w:lang w:bidi="ar"/>
              </w:rPr>
              <w:t>，</w:t>
            </w:r>
            <w:r>
              <w:rPr>
                <w:sz w:val="21"/>
                <w:szCs w:val="21"/>
                <w:lang w:bidi="ar"/>
              </w:rPr>
              <w:t>220v</w:t>
            </w:r>
          </w:p>
        </w:tc>
        <w:tc>
          <w:tcPr>
            <w:tcW w:w="366" w:type="pct"/>
            <w:tcBorders>
              <w:top w:val="single" w:sz="2" w:space="0" w:color="000000"/>
              <w:bottom w:val="single" w:sz="2" w:space="0" w:color="000000"/>
            </w:tcBorders>
            <w:vAlign w:val="center"/>
          </w:tcPr>
          <w:p w14:paraId="5BBB009B"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vAlign w:val="center"/>
          </w:tcPr>
          <w:p w14:paraId="301316B3" w14:textId="77777777" w:rsidR="003E78AB" w:rsidRDefault="003E78AB">
            <w:pPr>
              <w:spacing w:line="360" w:lineRule="exact"/>
              <w:ind w:firstLineChars="0" w:firstLine="0"/>
              <w:jc w:val="center"/>
              <w:textAlignment w:val="center"/>
              <w:rPr>
                <w:sz w:val="21"/>
                <w:szCs w:val="21"/>
                <w:lang w:bidi="ar"/>
              </w:rPr>
            </w:pPr>
          </w:p>
        </w:tc>
      </w:tr>
      <w:tr w:rsidR="003E78AB" w14:paraId="76F55EAE" w14:textId="77777777">
        <w:trPr>
          <w:trHeight w:val="319"/>
        </w:trPr>
        <w:tc>
          <w:tcPr>
            <w:tcW w:w="374" w:type="pct"/>
            <w:tcBorders>
              <w:top w:val="single" w:sz="2" w:space="0" w:color="000000"/>
              <w:bottom w:val="single" w:sz="2" w:space="0" w:color="000000"/>
            </w:tcBorders>
            <w:vAlign w:val="center"/>
          </w:tcPr>
          <w:p w14:paraId="181B4935" w14:textId="77777777" w:rsidR="003E78AB" w:rsidRDefault="00010BF9">
            <w:pPr>
              <w:spacing w:line="360" w:lineRule="exact"/>
              <w:ind w:firstLineChars="0" w:firstLine="0"/>
              <w:jc w:val="center"/>
              <w:textAlignment w:val="center"/>
              <w:rPr>
                <w:sz w:val="21"/>
                <w:szCs w:val="21"/>
                <w:lang w:bidi="ar"/>
              </w:rPr>
            </w:pPr>
            <w:r>
              <w:rPr>
                <w:sz w:val="21"/>
                <w:szCs w:val="21"/>
                <w:lang w:bidi="ar"/>
              </w:rPr>
              <w:t>83</w:t>
            </w:r>
          </w:p>
        </w:tc>
        <w:tc>
          <w:tcPr>
            <w:tcW w:w="565" w:type="pct"/>
            <w:vMerge/>
            <w:vAlign w:val="center"/>
          </w:tcPr>
          <w:p w14:paraId="69D44081" w14:textId="77777777" w:rsidR="003E78AB" w:rsidRDefault="003E78AB">
            <w:pPr>
              <w:spacing w:line="360" w:lineRule="exact"/>
              <w:ind w:firstLineChars="0" w:firstLine="0"/>
              <w:jc w:val="center"/>
              <w:textAlignment w:val="center"/>
              <w:rPr>
                <w:sz w:val="21"/>
                <w:szCs w:val="21"/>
                <w:lang w:bidi="ar"/>
              </w:rPr>
            </w:pPr>
          </w:p>
        </w:tc>
        <w:tc>
          <w:tcPr>
            <w:tcW w:w="845" w:type="pct"/>
            <w:tcBorders>
              <w:top w:val="single" w:sz="2" w:space="0" w:color="000000"/>
              <w:bottom w:val="single" w:sz="2" w:space="0" w:color="000000"/>
            </w:tcBorders>
            <w:vAlign w:val="center"/>
          </w:tcPr>
          <w:p w14:paraId="0EBB954B" w14:textId="77777777" w:rsidR="003E78AB" w:rsidRDefault="00010BF9">
            <w:pPr>
              <w:spacing w:line="360" w:lineRule="exact"/>
              <w:ind w:firstLineChars="0" w:firstLine="0"/>
              <w:jc w:val="center"/>
              <w:textAlignment w:val="center"/>
              <w:rPr>
                <w:sz w:val="21"/>
                <w:szCs w:val="21"/>
                <w:lang w:bidi="ar"/>
              </w:rPr>
            </w:pPr>
            <w:r>
              <w:rPr>
                <w:sz w:val="21"/>
                <w:szCs w:val="21"/>
                <w:lang w:bidi="ar"/>
              </w:rPr>
              <w:t>恒温水浴锅</w:t>
            </w:r>
          </w:p>
        </w:tc>
        <w:tc>
          <w:tcPr>
            <w:tcW w:w="2517" w:type="pct"/>
            <w:tcBorders>
              <w:top w:val="single" w:sz="2" w:space="0" w:color="000000"/>
              <w:bottom w:val="single" w:sz="2" w:space="0" w:color="000000"/>
            </w:tcBorders>
            <w:vAlign w:val="center"/>
          </w:tcPr>
          <w:p w14:paraId="4D5B1E76" w14:textId="77777777" w:rsidR="003E78AB" w:rsidRDefault="00010BF9">
            <w:pPr>
              <w:spacing w:line="360" w:lineRule="exact"/>
              <w:ind w:firstLineChars="0" w:firstLine="0"/>
              <w:jc w:val="center"/>
              <w:textAlignment w:val="center"/>
              <w:rPr>
                <w:sz w:val="21"/>
                <w:szCs w:val="21"/>
                <w:lang w:bidi="ar"/>
              </w:rPr>
            </w:pPr>
            <w:r>
              <w:rPr>
                <w:sz w:val="21"/>
                <w:szCs w:val="21"/>
                <w:lang w:bidi="ar"/>
              </w:rPr>
              <w:t>功率</w:t>
            </w:r>
            <w:r>
              <w:rPr>
                <w:sz w:val="21"/>
                <w:szCs w:val="21"/>
                <w:lang w:bidi="ar"/>
              </w:rPr>
              <w:t>300w</w:t>
            </w:r>
            <w:r>
              <w:rPr>
                <w:sz w:val="21"/>
                <w:szCs w:val="21"/>
                <w:lang w:bidi="ar"/>
              </w:rPr>
              <w:t>，</w:t>
            </w:r>
            <w:r>
              <w:rPr>
                <w:sz w:val="21"/>
                <w:szCs w:val="21"/>
                <w:lang w:bidi="ar"/>
              </w:rPr>
              <w:t>220v</w:t>
            </w:r>
            <w:r>
              <w:rPr>
                <w:sz w:val="21"/>
                <w:szCs w:val="21"/>
                <w:lang w:bidi="ar"/>
              </w:rPr>
              <w:t>容积</w:t>
            </w:r>
            <w:r>
              <w:rPr>
                <w:sz w:val="21"/>
                <w:szCs w:val="21"/>
                <w:lang w:bidi="ar"/>
              </w:rPr>
              <w:t>3.3L</w:t>
            </w:r>
            <w:r>
              <w:rPr>
                <w:sz w:val="21"/>
                <w:szCs w:val="21"/>
                <w:lang w:bidi="ar"/>
              </w:rPr>
              <w:t>使用自来水，一次加入</w:t>
            </w:r>
          </w:p>
        </w:tc>
        <w:tc>
          <w:tcPr>
            <w:tcW w:w="366" w:type="pct"/>
            <w:tcBorders>
              <w:top w:val="single" w:sz="2" w:space="0" w:color="000000"/>
              <w:bottom w:val="single" w:sz="2" w:space="0" w:color="000000"/>
            </w:tcBorders>
            <w:vAlign w:val="center"/>
          </w:tcPr>
          <w:p w14:paraId="3BAC61E5"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31" w:type="pct"/>
            <w:vMerge/>
            <w:tcBorders>
              <w:bottom w:val="single" w:sz="2" w:space="0" w:color="000000"/>
            </w:tcBorders>
            <w:vAlign w:val="center"/>
          </w:tcPr>
          <w:p w14:paraId="5F345D8A" w14:textId="77777777" w:rsidR="003E78AB" w:rsidRDefault="003E78AB">
            <w:pPr>
              <w:spacing w:line="360" w:lineRule="exact"/>
              <w:ind w:firstLineChars="0" w:firstLine="0"/>
              <w:jc w:val="center"/>
              <w:textAlignment w:val="center"/>
              <w:rPr>
                <w:sz w:val="21"/>
                <w:szCs w:val="21"/>
                <w:lang w:bidi="ar"/>
              </w:rPr>
            </w:pPr>
          </w:p>
        </w:tc>
      </w:tr>
    </w:tbl>
    <w:p w14:paraId="3E3E3A76" w14:textId="77777777" w:rsidR="003E78AB" w:rsidRDefault="00010BF9">
      <w:pPr>
        <w:pStyle w:val="31"/>
        <w:keepNext w:val="0"/>
        <w:keepLines w:val="0"/>
        <w:topLinePunct/>
        <w:spacing w:before="120"/>
      </w:pPr>
      <w:bookmarkStart w:id="225" w:name="_Toc31961"/>
      <w:bookmarkStart w:id="226" w:name="_Toc29589"/>
      <w:bookmarkStart w:id="227" w:name="_Toc213685150"/>
      <w:bookmarkStart w:id="228" w:name="_Toc16378"/>
      <w:bookmarkStart w:id="229" w:name="_Toc214704883"/>
      <w:bookmarkStart w:id="230" w:name="_Toc196210699"/>
      <w:r>
        <w:t>3.1.6</w:t>
      </w:r>
      <w:r>
        <w:t>平面布置</w:t>
      </w:r>
    </w:p>
    <w:p w14:paraId="7455A771" w14:textId="77777777" w:rsidR="003E78AB" w:rsidRDefault="00010BF9">
      <w:pPr>
        <w:pStyle w:val="B0"/>
        <w:widowControl w:val="0"/>
        <w:ind w:firstLine="480"/>
        <w:rPr>
          <w:rFonts w:cs="Times New Roman"/>
        </w:rPr>
      </w:pPr>
      <w:r>
        <w:rPr>
          <w:rFonts w:cs="Times New Roman"/>
        </w:rPr>
        <w:t>本项目用地为新增用地，厂区北侧为空地，南侧为友谊大道，东西两侧为园区道路。本项目依据厂区的地理位置，交通运输、地形、地质、气象等条件，在遵循国家消防、安全、卫生等规范及工业企业总平面设计规定的前提下，本着利于生产，方便管理，确保安全，保护环境，节约用地的原则布置全厂总平面布局，总平面布置分为五个功能分区。厂前区位于厂区南侧中部，主要包括研发中心、人流门卫及停车场，厂前区设置绿化隔离带，便于厂区生产管理；生产区位于厂前区北侧及西侧，分别为生产车间一、生产车间二；公辅区位于厂区西侧中部及厂区东南角，其中厂区西侧</w:t>
      </w:r>
      <w:r>
        <w:rPr>
          <w:rFonts w:cs="Times New Roman"/>
        </w:rPr>
        <w:t>公辅区主要包括动力车间、生产消防水池及循环水塔，靠近生产区布置，管线便捷，东南角公辅区布置机修车间、初期雨水及事故池；仓储区位于厂区北侧，主要包括丙类仓库一、丙类仓库二、液体库及物流门卫；环保设施位于厂区西北角。</w:t>
      </w:r>
    </w:p>
    <w:p w14:paraId="15058D71" w14:textId="77777777" w:rsidR="003E78AB" w:rsidRDefault="00010BF9">
      <w:pPr>
        <w:pStyle w:val="31"/>
        <w:keepNext w:val="0"/>
        <w:keepLines w:val="0"/>
        <w:topLinePunct/>
        <w:spacing w:before="120"/>
      </w:pPr>
      <w:r>
        <w:t>3.1.7</w:t>
      </w:r>
      <w:r>
        <w:t>劳动组织定员及工作制度</w:t>
      </w:r>
    </w:p>
    <w:p w14:paraId="110FF767" w14:textId="77777777" w:rsidR="003E78AB" w:rsidRDefault="00010BF9">
      <w:pPr>
        <w:pStyle w:val="B0"/>
        <w:widowControl w:val="0"/>
        <w:ind w:firstLine="480"/>
        <w:rPr>
          <w:rFonts w:cs="Times New Roman"/>
        </w:rPr>
      </w:pPr>
      <w:r>
        <w:rPr>
          <w:rFonts w:cs="Times New Roman"/>
        </w:rPr>
        <w:t>本项目劳动定员为</w:t>
      </w:r>
      <w:r>
        <w:rPr>
          <w:rFonts w:cs="Times New Roman"/>
        </w:rPr>
        <w:t>94</w:t>
      </w:r>
      <w:r>
        <w:rPr>
          <w:rFonts w:cs="Times New Roman"/>
        </w:rPr>
        <w:t>人，其中管理人员</w:t>
      </w:r>
      <w:r>
        <w:rPr>
          <w:rFonts w:cs="Times New Roman"/>
        </w:rPr>
        <w:t>40</w:t>
      </w:r>
      <w:r>
        <w:rPr>
          <w:rFonts w:cs="Times New Roman"/>
        </w:rPr>
        <w:t>人，工人</w:t>
      </w:r>
      <w:r>
        <w:rPr>
          <w:rFonts w:cs="Times New Roman"/>
        </w:rPr>
        <w:t>54</w:t>
      </w:r>
      <w:r>
        <w:rPr>
          <w:rFonts w:cs="Times New Roman"/>
        </w:rPr>
        <w:t>人。全年工作日为</w:t>
      </w:r>
      <w:r>
        <w:rPr>
          <w:rFonts w:cs="Times New Roman"/>
        </w:rPr>
        <w:t>330</w:t>
      </w:r>
      <w:r>
        <w:rPr>
          <w:rFonts w:cs="Times New Roman"/>
        </w:rPr>
        <w:t>天。管理人员实行一班制，技术人员及生产工人实行四班三运转制，每班</w:t>
      </w:r>
      <w:r>
        <w:rPr>
          <w:rFonts w:cs="Times New Roman"/>
        </w:rPr>
        <w:t>8h</w:t>
      </w:r>
      <w:r>
        <w:rPr>
          <w:rFonts w:cs="Times New Roman"/>
        </w:rPr>
        <w:t>。年生产时间</w:t>
      </w:r>
      <w:r>
        <w:rPr>
          <w:rFonts w:cs="Times New Roman"/>
        </w:rPr>
        <w:t>7920h</w:t>
      </w:r>
      <w:r>
        <w:rPr>
          <w:rFonts w:cs="Times New Roman"/>
        </w:rPr>
        <w:t>。</w:t>
      </w:r>
    </w:p>
    <w:p w14:paraId="2C92EB9B" w14:textId="77777777" w:rsidR="003E78AB" w:rsidRDefault="00010BF9">
      <w:pPr>
        <w:pStyle w:val="31"/>
        <w:keepNext w:val="0"/>
        <w:keepLines w:val="0"/>
        <w:topLinePunct/>
        <w:spacing w:before="120"/>
      </w:pPr>
      <w:r>
        <w:t>3.1.8</w:t>
      </w:r>
      <w:r>
        <w:t>公辅工程及依托设施可行性</w:t>
      </w:r>
    </w:p>
    <w:p w14:paraId="1B65743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3.1.8.1</w:t>
      </w:r>
      <w:r>
        <w:rPr>
          <w:rFonts w:ascii="Times New Roman" w:hAnsi="Times New Roman"/>
        </w:rPr>
        <w:t>公辅工程</w:t>
      </w:r>
    </w:p>
    <w:p w14:paraId="1E2788AB" w14:textId="77777777" w:rsidR="003E78AB" w:rsidRDefault="00010BF9">
      <w:pPr>
        <w:pStyle w:val="B0"/>
        <w:widowControl w:val="0"/>
        <w:ind w:firstLine="480"/>
        <w:rPr>
          <w:rFonts w:cs="Times New Roman"/>
        </w:rPr>
      </w:pPr>
      <w:r>
        <w:rPr>
          <w:rFonts w:cs="Times New Roman"/>
        </w:rPr>
        <w:t>（</w:t>
      </w:r>
      <w:r>
        <w:rPr>
          <w:rFonts w:cs="Times New Roman"/>
        </w:rPr>
        <w:t>1</w:t>
      </w:r>
      <w:r>
        <w:rPr>
          <w:rFonts w:cs="Times New Roman"/>
        </w:rPr>
        <w:t>）给水</w:t>
      </w:r>
    </w:p>
    <w:p w14:paraId="6DB2CE2D" w14:textId="77777777" w:rsidR="003E78AB" w:rsidRDefault="00010BF9">
      <w:pPr>
        <w:pStyle w:val="B0"/>
        <w:widowControl w:val="0"/>
        <w:ind w:firstLine="480"/>
        <w:rPr>
          <w:rFonts w:cs="Times New Roman"/>
        </w:rPr>
      </w:pPr>
      <w:r>
        <w:rPr>
          <w:rFonts w:cs="Times New Roman"/>
        </w:rPr>
        <w:t>本项目用水量</w:t>
      </w:r>
      <w:r>
        <w:rPr>
          <w:rFonts w:cs="Times New Roman" w:hint="eastAsia"/>
          <w:spacing w:val="1"/>
        </w:rPr>
        <w:t>70815.13</w:t>
      </w:r>
      <w:r>
        <w:rPr>
          <w:rFonts w:cs="Times New Roman"/>
          <w:spacing w:val="2"/>
          <w:position w:val="1"/>
        </w:rPr>
        <w:t>m</w:t>
      </w:r>
      <w:r>
        <w:rPr>
          <w:rFonts w:cs="Times New Roman"/>
          <w:spacing w:val="2"/>
          <w:position w:val="1"/>
          <w:vertAlign w:val="superscript"/>
        </w:rPr>
        <w:t>3</w:t>
      </w:r>
      <w:r>
        <w:rPr>
          <w:rFonts w:cs="Times New Roman"/>
          <w:spacing w:val="2"/>
          <w:position w:val="1"/>
        </w:rPr>
        <w:t>/a</w:t>
      </w:r>
      <w:r>
        <w:rPr>
          <w:rFonts w:cs="Times New Roman"/>
          <w:spacing w:val="2"/>
          <w:position w:val="1"/>
        </w:rPr>
        <w:t>（折合约</w:t>
      </w:r>
      <w:r>
        <w:rPr>
          <w:rFonts w:cs="Times New Roman" w:hint="eastAsia"/>
          <w:spacing w:val="2"/>
          <w:position w:val="1"/>
        </w:rPr>
        <w:t>214.59</w:t>
      </w:r>
      <w:r>
        <w:rPr>
          <w:rFonts w:cs="Times New Roman"/>
          <w:spacing w:val="2"/>
          <w:position w:val="1"/>
        </w:rPr>
        <w:t>m</w:t>
      </w:r>
      <w:r>
        <w:rPr>
          <w:rFonts w:cs="Times New Roman"/>
          <w:spacing w:val="2"/>
          <w:position w:val="1"/>
          <w:vertAlign w:val="superscript"/>
        </w:rPr>
        <w:t>3</w:t>
      </w:r>
      <w:r>
        <w:rPr>
          <w:rFonts w:cs="Times New Roman"/>
          <w:spacing w:val="2"/>
          <w:position w:val="1"/>
        </w:rPr>
        <w:t>/d</w:t>
      </w:r>
      <w:r>
        <w:rPr>
          <w:rFonts w:cs="Times New Roman"/>
          <w:spacing w:val="2"/>
          <w:position w:val="1"/>
        </w:rPr>
        <w:t>），</w:t>
      </w:r>
      <w:r>
        <w:rPr>
          <w:rFonts w:cs="Times New Roman"/>
        </w:rPr>
        <w:t>用于纯水制备、软水制备、冷却塔补水和生活用水等。项目用水水源为哈密市三水厂，现状供水能力</w:t>
      </w:r>
      <w:r>
        <w:rPr>
          <w:rFonts w:cs="Times New Roman"/>
        </w:rPr>
        <w:t>8</w:t>
      </w:r>
      <w:r>
        <w:rPr>
          <w:rFonts w:cs="Times New Roman"/>
        </w:rPr>
        <w:t>万</w:t>
      </w:r>
      <w:r>
        <w:rPr>
          <w:rFonts w:cs="Times New Roman"/>
        </w:rPr>
        <w:t>m</w:t>
      </w:r>
      <w:bookmarkStart w:id="231" w:name="OLE_LINK35"/>
      <w:r>
        <w:rPr>
          <w:rFonts w:cs="Times New Roman"/>
          <w:vertAlign w:val="superscript"/>
        </w:rPr>
        <w:t>3</w:t>
      </w:r>
      <w:bookmarkEnd w:id="231"/>
      <w:r>
        <w:rPr>
          <w:rFonts w:cs="Times New Roman"/>
        </w:rPr>
        <w:t>/d</w:t>
      </w:r>
      <w:r>
        <w:rPr>
          <w:rFonts w:cs="Times New Roman"/>
        </w:rPr>
        <w:t>，通过园区现有输水管路接入厂区各用水单元，满足本项目用水需求。</w:t>
      </w:r>
    </w:p>
    <w:p w14:paraId="7F9C8E2D" w14:textId="77777777" w:rsidR="003E78AB" w:rsidRDefault="00010BF9">
      <w:pPr>
        <w:pStyle w:val="B0"/>
        <w:widowControl w:val="0"/>
        <w:ind w:firstLine="480"/>
        <w:rPr>
          <w:rFonts w:cs="Times New Roman"/>
        </w:rPr>
      </w:pPr>
      <w:r>
        <w:rPr>
          <w:rFonts w:cs="Times New Roman"/>
        </w:rPr>
        <w:t>（</w:t>
      </w:r>
      <w:r>
        <w:rPr>
          <w:rFonts w:cs="Times New Roman"/>
        </w:rPr>
        <w:t>2</w:t>
      </w:r>
      <w:r>
        <w:rPr>
          <w:rFonts w:cs="Times New Roman"/>
        </w:rPr>
        <w:t>）排水</w:t>
      </w:r>
    </w:p>
    <w:p w14:paraId="3407620A" w14:textId="77777777" w:rsidR="003E78AB" w:rsidRDefault="00010BF9">
      <w:pPr>
        <w:pStyle w:val="B0"/>
        <w:widowControl w:val="0"/>
        <w:ind w:firstLine="480"/>
        <w:rPr>
          <w:rFonts w:cs="Times New Roman"/>
          <w:bCs/>
        </w:rPr>
      </w:pPr>
      <w:r>
        <w:rPr>
          <w:rFonts w:cs="Times New Roman"/>
          <w:bCs/>
        </w:rPr>
        <w:t>生产车间一的</w:t>
      </w:r>
      <w:r>
        <w:rPr>
          <w:rFonts w:cs="Times New Roman" w:hint="eastAsia"/>
          <w:bCs/>
        </w:rPr>
        <w:t>废气喷淋系统</w:t>
      </w:r>
      <w:r>
        <w:rPr>
          <w:rFonts w:cs="Times New Roman"/>
          <w:bCs/>
        </w:rPr>
        <w:t>定期补水，工艺废气处理废水</w:t>
      </w:r>
      <w:r>
        <w:rPr>
          <w:rFonts w:cs="Times New Roman" w:hint="eastAsia"/>
          <w:bCs/>
        </w:rPr>
        <w:t>经蒸发冷凝后回用于淋洗补水配碱，</w:t>
      </w:r>
      <w:r>
        <w:rPr>
          <w:rFonts w:cs="Times New Roman"/>
          <w:bCs/>
        </w:rPr>
        <w:t>不外排；</w:t>
      </w:r>
      <w:r>
        <w:rPr>
          <w:rFonts w:cs="Times New Roman" w:hint="eastAsia"/>
          <w:bCs/>
        </w:rPr>
        <w:t>地面冲洗</w:t>
      </w:r>
      <w:r>
        <w:rPr>
          <w:rFonts w:cs="Times New Roman"/>
          <w:bCs/>
        </w:rPr>
        <w:t>水、锅炉排污水、软水制备和超纯水制备工序浓水直接经厂区总排口排入园区下水管网；食堂废水经隔油池预处理后与生活污水一并进入化粪池处理后</w:t>
      </w:r>
      <w:r>
        <w:rPr>
          <w:rFonts w:cs="Times New Roman" w:hint="eastAsia"/>
          <w:bCs/>
        </w:rPr>
        <w:t>经厂区废水总排口</w:t>
      </w:r>
      <w:r>
        <w:rPr>
          <w:rFonts w:cs="Times New Roman"/>
          <w:bCs/>
        </w:rPr>
        <w:t>排入园区下水管网，最终进入园区污水</w:t>
      </w:r>
      <w:r>
        <w:rPr>
          <w:rFonts w:cs="Times New Roman"/>
          <w:bCs/>
        </w:rPr>
        <w:t>处理厂。</w:t>
      </w:r>
    </w:p>
    <w:p w14:paraId="1A48DFB2" w14:textId="77777777" w:rsidR="003E78AB" w:rsidRDefault="00010BF9">
      <w:pPr>
        <w:pStyle w:val="B0"/>
        <w:widowControl w:val="0"/>
        <w:ind w:firstLine="480"/>
        <w:rPr>
          <w:rFonts w:cs="Times New Roman"/>
        </w:rPr>
      </w:pPr>
      <w:r>
        <w:rPr>
          <w:rFonts w:cs="Times New Roman"/>
        </w:rPr>
        <w:t>园区现状污水处理厂位于园区南侧</w:t>
      </w:r>
      <w:r>
        <w:rPr>
          <w:rFonts w:cs="Times New Roman"/>
        </w:rPr>
        <w:t>2</w:t>
      </w:r>
      <w:r>
        <w:rPr>
          <w:rFonts w:cs="Times New Roman"/>
        </w:rPr>
        <w:t>公里处，处理规模为</w:t>
      </w:r>
      <w:r>
        <w:rPr>
          <w:rFonts w:cs="Times New Roman"/>
        </w:rPr>
        <w:t>5000m</w:t>
      </w:r>
      <w:r>
        <w:rPr>
          <w:rFonts w:cs="Times New Roman"/>
          <w:vertAlign w:val="superscript"/>
        </w:rPr>
        <w:t>3</w:t>
      </w:r>
      <w:r>
        <w:rPr>
          <w:rFonts w:cs="Times New Roman"/>
        </w:rPr>
        <w:t>/d</w:t>
      </w:r>
      <w:r>
        <w:rPr>
          <w:rFonts w:cs="Times New Roman"/>
        </w:rPr>
        <w:t>（其中格栅、沉砂池处理规模为</w:t>
      </w:r>
      <w:r>
        <w:rPr>
          <w:rFonts w:cs="Times New Roman"/>
        </w:rPr>
        <w:t>10000m</w:t>
      </w:r>
      <w:r>
        <w:rPr>
          <w:rFonts w:cs="Times New Roman"/>
          <w:vertAlign w:val="superscript"/>
        </w:rPr>
        <w:t>3</w:t>
      </w:r>
      <w:r>
        <w:rPr>
          <w:rFonts w:cs="Times New Roman"/>
        </w:rPr>
        <w:t>/d</w:t>
      </w:r>
      <w:r>
        <w:rPr>
          <w:rFonts w:cs="Times New Roman"/>
        </w:rPr>
        <w:t>），现状污水处理厂出水水质达到一级</w:t>
      </w:r>
      <w:r>
        <w:rPr>
          <w:rFonts w:cs="Times New Roman"/>
        </w:rPr>
        <w:t>A</w:t>
      </w:r>
      <w:r>
        <w:rPr>
          <w:rFonts w:cs="Times New Roman"/>
        </w:rPr>
        <w:t>类标准后为中水回用于下游大南湖基地电厂等企业。</w:t>
      </w:r>
    </w:p>
    <w:p w14:paraId="78BA5CC5" w14:textId="77777777" w:rsidR="003E78AB" w:rsidRDefault="00010BF9">
      <w:pPr>
        <w:pStyle w:val="B0"/>
        <w:widowControl w:val="0"/>
        <w:ind w:firstLine="480"/>
        <w:rPr>
          <w:rFonts w:cs="Times New Roman"/>
        </w:rPr>
      </w:pPr>
      <w:r>
        <w:rPr>
          <w:rFonts w:cs="Times New Roman"/>
        </w:rPr>
        <w:t>（</w:t>
      </w:r>
      <w:r>
        <w:rPr>
          <w:rFonts w:cs="Times New Roman"/>
        </w:rPr>
        <w:t>3</w:t>
      </w:r>
      <w:r>
        <w:rPr>
          <w:rFonts w:cs="Times New Roman"/>
        </w:rPr>
        <w:t>）供电</w:t>
      </w:r>
    </w:p>
    <w:p w14:paraId="2085D8BF" w14:textId="77777777" w:rsidR="003E78AB" w:rsidRDefault="00010BF9">
      <w:pPr>
        <w:pStyle w:val="B0"/>
        <w:widowControl w:val="0"/>
        <w:ind w:firstLine="480"/>
        <w:rPr>
          <w:rFonts w:cs="Times New Roman"/>
        </w:rPr>
      </w:pPr>
      <w:r>
        <w:rPr>
          <w:rFonts w:cs="Times New Roman"/>
        </w:rPr>
        <w:t>本项目年耗电量约</w:t>
      </w:r>
      <w:r>
        <w:rPr>
          <w:rFonts w:cs="Times New Roman"/>
        </w:rPr>
        <w:t>1.55×10</w:t>
      </w:r>
      <w:r>
        <w:rPr>
          <w:rFonts w:cs="Times New Roman"/>
          <w:vertAlign w:val="superscript"/>
        </w:rPr>
        <w:t>7</w:t>
      </w:r>
      <w:r>
        <w:rPr>
          <w:rFonts w:cs="Times New Roman"/>
        </w:rPr>
        <w:t>kWh</w:t>
      </w:r>
      <w:r>
        <w:rPr>
          <w:rFonts w:cs="Times New Roman"/>
        </w:rPr>
        <w:t>，用电由园区</w:t>
      </w:r>
      <w:r>
        <w:rPr>
          <w:rFonts w:cs="Times New Roman"/>
        </w:rPr>
        <w:t>220KV</w:t>
      </w:r>
      <w:r>
        <w:rPr>
          <w:rFonts w:cs="Times New Roman"/>
        </w:rPr>
        <w:t>变电站引入，本项目引</w:t>
      </w:r>
      <w:r>
        <w:rPr>
          <w:rFonts w:cs="Times New Roman"/>
        </w:rPr>
        <w:t>1</w:t>
      </w:r>
      <w:r>
        <w:rPr>
          <w:rFonts w:cs="Times New Roman"/>
        </w:rPr>
        <w:t>路</w:t>
      </w:r>
      <w:r>
        <w:rPr>
          <w:rFonts w:cs="Times New Roman"/>
        </w:rPr>
        <w:t>10kV</w:t>
      </w:r>
      <w:r>
        <w:rPr>
          <w:rFonts w:cs="Times New Roman"/>
        </w:rPr>
        <w:t>电源，供电容量约</w:t>
      </w:r>
      <w:r>
        <w:rPr>
          <w:rFonts w:cs="Times New Roman"/>
        </w:rPr>
        <w:t>7000kVA</w:t>
      </w:r>
      <w:r>
        <w:rPr>
          <w:rFonts w:cs="Times New Roman"/>
        </w:rPr>
        <w:t>，可</w:t>
      </w:r>
      <w:r>
        <w:rPr>
          <w:rFonts w:cs="Times New Roman" w:hint="eastAsia"/>
        </w:rPr>
        <w:t>为</w:t>
      </w:r>
      <w:r>
        <w:rPr>
          <w:rFonts w:cs="Times New Roman"/>
        </w:rPr>
        <w:t>本项目用电提供保障。</w:t>
      </w:r>
    </w:p>
    <w:p w14:paraId="49D8CF82" w14:textId="77777777" w:rsidR="003E78AB" w:rsidRDefault="00010BF9">
      <w:pPr>
        <w:pStyle w:val="B0"/>
        <w:widowControl w:val="0"/>
        <w:ind w:firstLine="480"/>
        <w:rPr>
          <w:rFonts w:cs="Times New Roman"/>
        </w:rPr>
      </w:pPr>
      <w:r>
        <w:rPr>
          <w:rFonts w:cs="Times New Roman"/>
        </w:rPr>
        <w:t>（</w:t>
      </w:r>
      <w:r>
        <w:rPr>
          <w:rFonts w:cs="Times New Roman"/>
        </w:rPr>
        <w:t>4</w:t>
      </w:r>
      <w:r>
        <w:rPr>
          <w:rFonts w:cs="Times New Roman"/>
        </w:rPr>
        <w:t>）供热</w:t>
      </w:r>
    </w:p>
    <w:p w14:paraId="1D9D89F1" w14:textId="77777777" w:rsidR="003E78AB" w:rsidRDefault="00010BF9">
      <w:pPr>
        <w:pStyle w:val="B0"/>
        <w:widowControl w:val="0"/>
        <w:ind w:firstLine="480"/>
        <w:rPr>
          <w:rFonts w:cs="Times New Roman"/>
        </w:rPr>
      </w:pPr>
      <w:r>
        <w:rPr>
          <w:rFonts w:cs="Times New Roman"/>
        </w:rPr>
        <w:t>园区尚无集中供热设施，本项目生产及生活</w:t>
      </w:r>
      <w:r>
        <w:rPr>
          <w:rFonts w:cs="Times New Roman" w:hint="eastAsia"/>
        </w:rPr>
        <w:t>供暖</w:t>
      </w:r>
      <w:r>
        <w:rPr>
          <w:rFonts w:cs="Times New Roman"/>
        </w:rPr>
        <w:t>用热由自建</w:t>
      </w:r>
      <w:r>
        <w:rPr>
          <w:rFonts w:cs="Times New Roman"/>
        </w:rPr>
        <w:t>2</w:t>
      </w:r>
      <w:r>
        <w:rPr>
          <w:rFonts w:cs="Times New Roman"/>
        </w:rPr>
        <w:t>台</w:t>
      </w:r>
      <w:r>
        <w:rPr>
          <w:rFonts w:cs="Times New Roman"/>
        </w:rPr>
        <w:t>3t/h</w:t>
      </w:r>
      <w:r>
        <w:rPr>
          <w:rFonts w:cs="Times New Roman"/>
        </w:rPr>
        <w:t>燃气蒸汽锅炉供给</w:t>
      </w:r>
      <w:r>
        <w:rPr>
          <w:rFonts w:cs="Times New Roman" w:hint="eastAsia"/>
        </w:rPr>
        <w:t>，采暖期</w:t>
      </w:r>
      <w:r>
        <w:rPr>
          <w:rFonts w:cs="Times New Roman" w:hint="eastAsia"/>
        </w:rPr>
        <w:t>180</w:t>
      </w:r>
      <w:r>
        <w:rPr>
          <w:rFonts w:cs="Times New Roman" w:hint="eastAsia"/>
        </w:rPr>
        <w:t>天</w:t>
      </w:r>
      <w:r>
        <w:rPr>
          <w:rFonts w:cs="Times New Roman"/>
        </w:rPr>
        <w:t>。</w:t>
      </w:r>
    </w:p>
    <w:p w14:paraId="3FC1A29D" w14:textId="77777777" w:rsidR="003E78AB" w:rsidRDefault="00010BF9">
      <w:pPr>
        <w:pStyle w:val="B0"/>
        <w:widowControl w:val="0"/>
        <w:ind w:firstLine="480"/>
        <w:rPr>
          <w:rFonts w:cs="Times New Roman"/>
        </w:rPr>
      </w:pPr>
      <w:r>
        <w:rPr>
          <w:rFonts w:cs="Times New Roman"/>
        </w:rPr>
        <w:t>（</w:t>
      </w:r>
      <w:r>
        <w:rPr>
          <w:rFonts w:cs="Times New Roman"/>
        </w:rPr>
        <w:t>5</w:t>
      </w:r>
      <w:r>
        <w:rPr>
          <w:rFonts w:cs="Times New Roman"/>
        </w:rPr>
        <w:t>）供气</w:t>
      </w:r>
    </w:p>
    <w:p w14:paraId="0288467E" w14:textId="77777777" w:rsidR="003E78AB" w:rsidRDefault="00010BF9">
      <w:pPr>
        <w:pStyle w:val="B0"/>
        <w:widowControl w:val="0"/>
        <w:ind w:firstLine="480"/>
        <w:rPr>
          <w:rFonts w:cs="Times New Roman"/>
          <w:highlight w:val="yellow"/>
        </w:rPr>
      </w:pPr>
      <w:r>
        <w:rPr>
          <w:rFonts w:cs="Times New Roman" w:hint="eastAsia"/>
        </w:rPr>
        <w:t>①天然气：</w:t>
      </w:r>
      <w:r>
        <w:rPr>
          <w:rFonts w:cs="Times New Roman"/>
        </w:rPr>
        <w:t>项目所用天</w:t>
      </w:r>
      <w:r>
        <w:rPr>
          <w:rFonts w:cs="Times New Roman"/>
        </w:rPr>
        <w:t>然气由园区现有新捷燃气管网供给，供气规模</w:t>
      </w:r>
      <w:r>
        <w:rPr>
          <w:rFonts w:cs="Times New Roman"/>
        </w:rPr>
        <w:t>2.5</w:t>
      </w:r>
      <w:r>
        <w:rPr>
          <w:rFonts w:cs="Times New Roman"/>
        </w:rPr>
        <w:t>万</w:t>
      </w:r>
      <w:r>
        <w:rPr>
          <w:rFonts w:cs="Times New Roman"/>
        </w:rPr>
        <w:t>m</w:t>
      </w:r>
      <w:r>
        <w:rPr>
          <w:rFonts w:cs="Times New Roman"/>
          <w:vertAlign w:val="superscript"/>
        </w:rPr>
        <w:t>3</w:t>
      </w:r>
      <w:r>
        <w:rPr>
          <w:rFonts w:cs="Times New Roman"/>
        </w:rPr>
        <w:t>/h</w:t>
      </w:r>
      <w:r>
        <w:rPr>
          <w:rFonts w:cs="Times New Roman"/>
        </w:rPr>
        <w:t>，压力</w:t>
      </w:r>
      <w:r>
        <w:rPr>
          <w:rFonts w:cs="Times New Roman"/>
        </w:rPr>
        <w:t>6.3MPa</w:t>
      </w:r>
      <w:r>
        <w:rPr>
          <w:rFonts w:cs="Times New Roman"/>
        </w:rPr>
        <w:t>。</w:t>
      </w:r>
      <w:r>
        <w:rPr>
          <w:rFonts w:cs="Times New Roman" w:hint="eastAsia"/>
        </w:rPr>
        <w:t>本项目供气需求</w:t>
      </w:r>
      <w:r>
        <w:rPr>
          <w:rFonts w:cs="Times New Roman" w:hint="eastAsia"/>
        </w:rPr>
        <w:t>231.6Nm</w:t>
      </w:r>
      <w:r>
        <w:rPr>
          <w:rFonts w:cs="Times New Roman" w:hint="eastAsia"/>
          <w:vertAlign w:val="superscript"/>
        </w:rPr>
        <w:t>3</w:t>
      </w:r>
      <w:r>
        <w:rPr>
          <w:rFonts w:cs="Times New Roman" w:hint="eastAsia"/>
        </w:rPr>
        <w:t>/h</w:t>
      </w:r>
      <w:r>
        <w:rPr>
          <w:rFonts w:cs="Times New Roman"/>
        </w:rPr>
        <w:t>，可本项目用</w:t>
      </w:r>
      <w:r>
        <w:rPr>
          <w:rFonts w:cs="Times New Roman" w:hint="eastAsia"/>
        </w:rPr>
        <w:t>天然气</w:t>
      </w:r>
      <w:r>
        <w:rPr>
          <w:rFonts w:cs="Times New Roman"/>
        </w:rPr>
        <w:t>提供保障。</w:t>
      </w:r>
    </w:p>
    <w:p w14:paraId="41050100" w14:textId="77777777" w:rsidR="003E78AB" w:rsidRDefault="00010BF9">
      <w:pPr>
        <w:pStyle w:val="B0"/>
        <w:widowControl w:val="0"/>
        <w:ind w:firstLine="480"/>
        <w:rPr>
          <w:rFonts w:cs="Times New Roman"/>
        </w:rPr>
      </w:pPr>
      <w:r>
        <w:rPr>
          <w:rFonts w:cs="Times New Roman" w:hint="eastAsia"/>
        </w:rPr>
        <w:t>②</w:t>
      </w:r>
      <w:r>
        <w:rPr>
          <w:rFonts w:cs="Times New Roman"/>
        </w:rPr>
        <w:t>压缩空气</w:t>
      </w:r>
      <w:r>
        <w:rPr>
          <w:rFonts w:cs="Times New Roman" w:hint="eastAsia"/>
        </w:rPr>
        <w:t>：</w:t>
      </w:r>
      <w:r>
        <w:rPr>
          <w:rFonts w:cs="Times New Roman"/>
        </w:rPr>
        <w:t>本项目</w:t>
      </w:r>
      <w:bookmarkStart w:id="232" w:name="OLE_LINK36"/>
      <w:r>
        <w:rPr>
          <w:rFonts w:cs="Times New Roman"/>
        </w:rPr>
        <w:t>压缩空气</w:t>
      </w:r>
      <w:bookmarkEnd w:id="232"/>
      <w:r>
        <w:rPr>
          <w:rFonts w:cs="Times New Roman"/>
        </w:rPr>
        <w:t>最大需求为</w:t>
      </w:r>
      <w:r>
        <w:rPr>
          <w:rFonts w:cs="Times New Roman"/>
        </w:rPr>
        <w:t>500Nm</w:t>
      </w:r>
      <w:r>
        <w:rPr>
          <w:rFonts w:cs="Times New Roman"/>
          <w:vertAlign w:val="superscript"/>
        </w:rPr>
        <w:t>3</w:t>
      </w:r>
      <w:r>
        <w:rPr>
          <w:rFonts w:cs="Times New Roman"/>
        </w:rPr>
        <w:t>/h</w:t>
      </w:r>
      <w:r>
        <w:rPr>
          <w:rFonts w:cs="Times New Roman"/>
        </w:rPr>
        <w:t>，不使用氮气。压缩空气主要用于仪表供气，由动力车间空气压缩机提供，仪表供气系统压力为</w:t>
      </w:r>
      <w:r>
        <w:rPr>
          <w:rFonts w:cs="Times New Roman"/>
        </w:rPr>
        <w:t>0.5~0.7MPa</w:t>
      </w:r>
      <w:r>
        <w:rPr>
          <w:rFonts w:cs="Times New Roman"/>
        </w:rPr>
        <w:t>。</w:t>
      </w:r>
    </w:p>
    <w:p w14:paraId="780443CD" w14:textId="77777777" w:rsidR="003E78AB" w:rsidRDefault="00010BF9">
      <w:pPr>
        <w:pStyle w:val="B0"/>
        <w:widowControl w:val="0"/>
        <w:ind w:firstLine="480"/>
        <w:rPr>
          <w:rFonts w:cs="Times New Roman"/>
        </w:rPr>
      </w:pPr>
      <w:r>
        <w:rPr>
          <w:rFonts w:cs="Times New Roman"/>
        </w:rPr>
        <w:t>（</w:t>
      </w:r>
      <w:r>
        <w:rPr>
          <w:rFonts w:cs="Times New Roman" w:hint="eastAsia"/>
        </w:rPr>
        <w:t>6</w:t>
      </w:r>
      <w:r>
        <w:rPr>
          <w:rFonts w:cs="Times New Roman"/>
        </w:rPr>
        <w:t>）循环水系统</w:t>
      </w:r>
    </w:p>
    <w:p w14:paraId="56AA0868" w14:textId="77777777" w:rsidR="003E78AB" w:rsidRDefault="00010BF9">
      <w:pPr>
        <w:pStyle w:val="B0"/>
        <w:widowControl w:val="0"/>
        <w:ind w:firstLine="480"/>
        <w:rPr>
          <w:rFonts w:cs="Times New Roman"/>
        </w:rPr>
      </w:pPr>
      <w:r>
        <w:rPr>
          <w:rFonts w:cs="Times New Roman"/>
        </w:rPr>
        <w:t>本项目循环水用量为</w:t>
      </w:r>
      <w:r>
        <w:rPr>
          <w:rFonts w:cs="Times New Roman"/>
        </w:rPr>
        <w:t>800m³/h</w:t>
      </w:r>
      <w:r>
        <w:rPr>
          <w:rFonts w:cs="Times New Roman"/>
        </w:rPr>
        <w:t>，在动力车间室外设置干湿两用节能型闭式冷却塔</w:t>
      </w:r>
      <w:r>
        <w:rPr>
          <w:rFonts w:cs="Times New Roman"/>
        </w:rPr>
        <w:t>2</w:t>
      </w:r>
      <w:r>
        <w:rPr>
          <w:rFonts w:cs="Times New Roman"/>
        </w:rPr>
        <w:t>台，每台处理量为</w:t>
      </w:r>
      <w:r>
        <w:rPr>
          <w:rFonts w:cs="Times New Roman"/>
        </w:rPr>
        <w:t>400m³/h</w:t>
      </w:r>
      <w:r>
        <w:rPr>
          <w:rFonts w:cs="Times New Roman"/>
        </w:rPr>
        <w:t>，变频运行，配套循环水泵</w:t>
      </w:r>
      <w:r>
        <w:rPr>
          <w:rFonts w:cs="Times New Roman"/>
        </w:rPr>
        <w:t>3</w:t>
      </w:r>
      <w:r>
        <w:rPr>
          <w:rFonts w:cs="Times New Roman"/>
        </w:rPr>
        <w:t>台</w:t>
      </w:r>
      <w:r>
        <w:rPr>
          <w:rFonts w:cs="Times New Roman"/>
        </w:rPr>
        <w:t>(2</w:t>
      </w:r>
      <w:r>
        <w:rPr>
          <w:rFonts w:cs="Times New Roman"/>
        </w:rPr>
        <w:t>用</w:t>
      </w:r>
      <w:r>
        <w:rPr>
          <w:rFonts w:cs="Times New Roman"/>
        </w:rPr>
        <w:t>1</w:t>
      </w:r>
      <w:r>
        <w:rPr>
          <w:rFonts w:cs="Times New Roman"/>
        </w:rPr>
        <w:t>备</w:t>
      </w:r>
      <w:r>
        <w:rPr>
          <w:rFonts w:cs="Times New Roman"/>
        </w:rPr>
        <w:t>)</w:t>
      </w:r>
      <w:r>
        <w:rPr>
          <w:rFonts w:cs="Times New Roman"/>
        </w:rPr>
        <w:t>，单泵流量</w:t>
      </w:r>
      <w:r>
        <w:rPr>
          <w:rFonts w:cs="Times New Roman"/>
        </w:rPr>
        <w:t>400m³/h</w:t>
      </w:r>
      <w:r>
        <w:rPr>
          <w:rFonts w:cs="Times New Roman"/>
        </w:rPr>
        <w:t>，扬程</w:t>
      </w:r>
      <w:r>
        <w:rPr>
          <w:rFonts w:cs="Times New Roman"/>
        </w:rPr>
        <w:t>25m</w:t>
      </w:r>
      <w:r>
        <w:rPr>
          <w:rFonts w:cs="Times New Roman"/>
        </w:rPr>
        <w:t>；供水温度为</w:t>
      </w:r>
      <w:r>
        <w:rPr>
          <w:rFonts w:cs="Times New Roman"/>
        </w:rPr>
        <w:t>32℃</w:t>
      </w:r>
      <w:r>
        <w:rPr>
          <w:rFonts w:cs="Times New Roman"/>
        </w:rPr>
        <w:t>，回水温度为</w:t>
      </w:r>
      <w:r>
        <w:rPr>
          <w:rFonts w:cs="Times New Roman"/>
        </w:rPr>
        <w:t>37℃</w:t>
      </w:r>
      <w:r>
        <w:rPr>
          <w:rFonts w:cs="Times New Roman"/>
        </w:rPr>
        <w:t>。冷却塔夏季供动力车间冷机使用，冬季切换至厂区车间工艺使用。</w:t>
      </w:r>
    </w:p>
    <w:p w14:paraId="54115E37" w14:textId="77777777" w:rsidR="003E78AB" w:rsidRDefault="00010BF9">
      <w:pPr>
        <w:pStyle w:val="B0"/>
        <w:widowControl w:val="0"/>
        <w:ind w:firstLine="480"/>
        <w:rPr>
          <w:rFonts w:cs="Times New Roman"/>
        </w:rPr>
      </w:pPr>
      <w:bookmarkStart w:id="233" w:name="OLE_LINK40"/>
      <w:r>
        <w:rPr>
          <w:rFonts w:cs="Times New Roman"/>
        </w:rPr>
        <w:t>闭式循环水系统设置定压补水装置一台，水源采用纯化水。冷却塔外部循环采用市政自来水补水，在补水管上加装流量计进行计量，补充水量约为</w:t>
      </w:r>
      <w:r>
        <w:rPr>
          <w:rFonts w:cs="Times New Roman"/>
        </w:rPr>
        <w:t>1.6m³/h</w:t>
      </w:r>
      <w:r>
        <w:rPr>
          <w:rFonts w:cs="Times New Roman"/>
        </w:rPr>
        <w:t>，</w:t>
      </w:r>
      <w:bookmarkEnd w:id="233"/>
      <w:r>
        <w:rPr>
          <w:rFonts w:cs="Times New Roman"/>
        </w:rPr>
        <w:t>可以满足项目需求。</w:t>
      </w:r>
    </w:p>
    <w:p w14:paraId="3958350E" w14:textId="77777777" w:rsidR="003E78AB" w:rsidRDefault="00010BF9">
      <w:pPr>
        <w:pStyle w:val="B0"/>
        <w:widowControl w:val="0"/>
        <w:ind w:firstLine="480"/>
        <w:rPr>
          <w:rFonts w:cs="Times New Roman"/>
        </w:rPr>
      </w:pPr>
      <w:r>
        <w:rPr>
          <w:rFonts w:cs="Times New Roman"/>
        </w:rPr>
        <w:t>（</w:t>
      </w:r>
      <w:r>
        <w:rPr>
          <w:rFonts w:cs="Times New Roman" w:hint="eastAsia"/>
        </w:rPr>
        <w:t>7</w:t>
      </w:r>
      <w:r>
        <w:rPr>
          <w:rFonts w:cs="Times New Roman"/>
        </w:rPr>
        <w:t>）</w:t>
      </w:r>
      <w:bookmarkStart w:id="234" w:name="OLE_LINK41"/>
      <w:r>
        <w:rPr>
          <w:rFonts w:cs="Times New Roman"/>
        </w:rPr>
        <w:t>制冷系统</w:t>
      </w:r>
      <w:bookmarkEnd w:id="234"/>
    </w:p>
    <w:p w14:paraId="07F82219" w14:textId="77777777" w:rsidR="003E78AB" w:rsidRDefault="00010BF9">
      <w:pPr>
        <w:pStyle w:val="B0"/>
        <w:widowControl w:val="0"/>
        <w:ind w:firstLine="480"/>
        <w:rPr>
          <w:rFonts w:cs="Times New Roman"/>
        </w:rPr>
      </w:pPr>
      <w:r>
        <w:rPr>
          <w:rFonts w:cs="Times New Roman"/>
        </w:rPr>
        <w:t>本项目设置</w:t>
      </w:r>
      <w:r>
        <w:rPr>
          <w:rFonts w:cs="Times New Roman"/>
        </w:rPr>
        <w:t>7/12℃</w:t>
      </w:r>
      <w:r>
        <w:rPr>
          <w:rFonts w:cs="Times New Roman"/>
        </w:rPr>
        <w:t>制冷系统</w:t>
      </w:r>
      <w:r>
        <w:rPr>
          <w:rFonts w:cs="Times New Roman"/>
        </w:rPr>
        <w:t>1</w:t>
      </w:r>
      <w:r>
        <w:rPr>
          <w:rFonts w:cs="Times New Roman"/>
        </w:rPr>
        <w:t>套，其中包含高效离心</w:t>
      </w:r>
      <w:r>
        <w:rPr>
          <w:rFonts w:cs="Times New Roman"/>
        </w:rPr>
        <w:t>冷水机组</w:t>
      </w:r>
      <w:r>
        <w:rPr>
          <w:rFonts w:cs="Times New Roman"/>
        </w:rPr>
        <w:t>2</w:t>
      </w:r>
      <w:r>
        <w:rPr>
          <w:rFonts w:cs="Times New Roman"/>
        </w:rPr>
        <w:t>台，水泵</w:t>
      </w:r>
      <w:r>
        <w:rPr>
          <w:rFonts w:cs="Times New Roman"/>
        </w:rPr>
        <w:t>3</w:t>
      </w:r>
      <w:r>
        <w:rPr>
          <w:rFonts w:cs="Times New Roman"/>
        </w:rPr>
        <w:t>台（</w:t>
      </w:r>
      <w:r>
        <w:rPr>
          <w:rFonts w:cs="Times New Roman"/>
        </w:rPr>
        <w:t>2</w:t>
      </w:r>
      <w:r>
        <w:rPr>
          <w:rFonts w:cs="Times New Roman"/>
        </w:rPr>
        <w:t>用</w:t>
      </w:r>
      <w:r>
        <w:rPr>
          <w:rFonts w:cs="Times New Roman"/>
        </w:rPr>
        <w:t>1</w:t>
      </w:r>
      <w:r>
        <w:rPr>
          <w:rFonts w:cs="Times New Roman"/>
        </w:rPr>
        <w:t>备）；制冷系统均采用闭式循环，循环量共</w:t>
      </w:r>
      <w:r>
        <w:rPr>
          <w:rFonts w:cs="Times New Roman"/>
        </w:rPr>
        <w:t>548t/h</w:t>
      </w:r>
      <w:r>
        <w:rPr>
          <w:rFonts w:cs="Times New Roman"/>
        </w:rPr>
        <w:t>。系统内设置定压补水装置</w:t>
      </w:r>
      <w:r>
        <w:rPr>
          <w:rFonts w:cs="Times New Roman"/>
        </w:rPr>
        <w:t>1</w:t>
      </w:r>
      <w:r>
        <w:rPr>
          <w:rFonts w:cs="Times New Roman"/>
        </w:rPr>
        <w:t>套，系统补水采用软化水，由全自动软化水装置提供。</w:t>
      </w:r>
    </w:p>
    <w:p w14:paraId="5540BB8C" w14:textId="77777777" w:rsidR="003E78AB" w:rsidRDefault="00010BF9">
      <w:pPr>
        <w:pStyle w:val="B0"/>
        <w:widowControl w:val="0"/>
        <w:ind w:firstLine="480"/>
        <w:rPr>
          <w:rFonts w:cs="Times New Roman"/>
        </w:rPr>
      </w:pPr>
      <w:r>
        <w:rPr>
          <w:rFonts w:cs="Times New Roman"/>
        </w:rPr>
        <w:t>（</w:t>
      </w:r>
      <w:r>
        <w:rPr>
          <w:rFonts w:cs="Times New Roman" w:hint="eastAsia"/>
        </w:rPr>
        <w:t>8</w:t>
      </w:r>
      <w:r>
        <w:rPr>
          <w:rFonts w:cs="Times New Roman"/>
        </w:rPr>
        <w:t>）分析化验</w:t>
      </w:r>
    </w:p>
    <w:p w14:paraId="2F67D8FB" w14:textId="77777777" w:rsidR="003E78AB" w:rsidRDefault="00010BF9">
      <w:pPr>
        <w:pStyle w:val="B0"/>
        <w:widowControl w:val="0"/>
        <w:ind w:firstLine="480"/>
        <w:rPr>
          <w:rFonts w:cs="Times New Roman"/>
        </w:rPr>
      </w:pPr>
      <w:r>
        <w:rPr>
          <w:rFonts w:cs="Times New Roman"/>
        </w:rPr>
        <w:t>本项目在</w:t>
      </w:r>
      <w:r>
        <w:rPr>
          <w:rFonts w:cs="Times New Roman" w:hint="eastAsia"/>
        </w:rPr>
        <w:t>研发中心</w:t>
      </w:r>
      <w:r>
        <w:rPr>
          <w:rFonts w:cs="Times New Roman"/>
        </w:rPr>
        <w:t>设置分析实验室，主要进行产品纯度及原料抽检，主要实验类型为色谱及简单的理化试验。</w:t>
      </w:r>
    </w:p>
    <w:p w14:paraId="3DFBD6F9" w14:textId="77777777" w:rsidR="003E78AB" w:rsidRDefault="00010BF9">
      <w:pPr>
        <w:pStyle w:val="B0"/>
        <w:widowControl w:val="0"/>
        <w:ind w:firstLine="480"/>
        <w:rPr>
          <w:rFonts w:cs="Times New Roman"/>
        </w:rPr>
      </w:pPr>
      <w:r>
        <w:rPr>
          <w:rFonts w:cs="Times New Roman" w:hint="eastAsia"/>
        </w:rPr>
        <w:t>（</w:t>
      </w:r>
      <w:r>
        <w:rPr>
          <w:rFonts w:cs="Times New Roman" w:hint="eastAsia"/>
        </w:rPr>
        <w:t>9</w:t>
      </w:r>
      <w:r>
        <w:rPr>
          <w:rFonts w:cs="Times New Roman" w:hint="eastAsia"/>
        </w:rPr>
        <w:t>）设备维修</w:t>
      </w:r>
    </w:p>
    <w:p w14:paraId="0172D45F" w14:textId="77777777" w:rsidR="003E78AB" w:rsidRDefault="00010BF9">
      <w:pPr>
        <w:pStyle w:val="B0"/>
        <w:widowControl w:val="0"/>
        <w:ind w:firstLine="480"/>
        <w:rPr>
          <w:rFonts w:cs="Times New Roman"/>
        </w:rPr>
      </w:pPr>
      <w:r>
        <w:rPr>
          <w:rFonts w:cs="Times New Roman" w:hint="eastAsia"/>
        </w:rPr>
        <w:t>本项目在厂区东南区域设置一座机修车间，用于日常机械设备维修、仪表修理、电气修理等。</w:t>
      </w:r>
    </w:p>
    <w:p w14:paraId="2D49DFAF" w14:textId="77777777" w:rsidR="003E78AB" w:rsidRDefault="00010BF9">
      <w:pPr>
        <w:pStyle w:val="B0"/>
        <w:widowControl w:val="0"/>
        <w:ind w:firstLine="480"/>
        <w:rPr>
          <w:rFonts w:cs="Times New Roman"/>
        </w:rPr>
      </w:pPr>
      <w:r>
        <w:rPr>
          <w:rFonts w:cs="Times New Roman" w:hint="eastAsia"/>
        </w:rPr>
        <w:t>（</w:t>
      </w:r>
      <w:r>
        <w:rPr>
          <w:rFonts w:cs="Times New Roman" w:hint="eastAsia"/>
        </w:rPr>
        <w:t>10</w:t>
      </w:r>
      <w:r>
        <w:rPr>
          <w:rFonts w:cs="Times New Roman" w:hint="eastAsia"/>
        </w:rPr>
        <w:t>）生活办公</w:t>
      </w:r>
    </w:p>
    <w:p w14:paraId="061705A2" w14:textId="77777777" w:rsidR="003E78AB" w:rsidRDefault="00010BF9">
      <w:pPr>
        <w:pStyle w:val="B0"/>
        <w:widowControl w:val="0"/>
        <w:ind w:firstLine="480"/>
        <w:rPr>
          <w:rFonts w:cs="Times New Roman"/>
        </w:rPr>
      </w:pPr>
      <w:r>
        <w:rPr>
          <w:rFonts w:cs="Times New Roman" w:hint="eastAsia"/>
        </w:rPr>
        <w:t>本项目设一座研发中心用于办公生活，设有行政办公室、食堂、生产中控室、消防控制室、分析化验室等。</w:t>
      </w:r>
    </w:p>
    <w:p w14:paraId="3C3FDAA7" w14:textId="77777777" w:rsidR="003E78AB" w:rsidRDefault="00010BF9">
      <w:pPr>
        <w:pStyle w:val="B0"/>
        <w:widowControl w:val="0"/>
        <w:ind w:firstLine="480"/>
        <w:rPr>
          <w:rFonts w:cs="Times New Roman"/>
        </w:rPr>
      </w:pPr>
      <w:r>
        <w:rPr>
          <w:rFonts w:cs="Times New Roman" w:hint="eastAsia"/>
        </w:rPr>
        <w:t>（</w:t>
      </w:r>
      <w:r>
        <w:rPr>
          <w:rFonts w:cs="Times New Roman" w:hint="eastAsia"/>
        </w:rPr>
        <w:t>11</w:t>
      </w:r>
      <w:r>
        <w:rPr>
          <w:rFonts w:cs="Times New Roman" w:hint="eastAsia"/>
        </w:rPr>
        <w:t>）</w:t>
      </w:r>
      <w:r>
        <w:rPr>
          <w:rFonts w:cs="Times New Roman"/>
        </w:rPr>
        <w:t>消防</w:t>
      </w:r>
    </w:p>
    <w:p w14:paraId="78B3FCBD" w14:textId="77777777" w:rsidR="003E78AB" w:rsidRDefault="00010BF9">
      <w:pPr>
        <w:pStyle w:val="B0"/>
        <w:widowControl w:val="0"/>
        <w:ind w:firstLine="480"/>
        <w:rPr>
          <w:rFonts w:cs="Times New Roman"/>
        </w:rPr>
      </w:pPr>
      <w:r>
        <w:rPr>
          <w:rFonts w:cs="Times New Roman"/>
        </w:rPr>
        <w:t>本项目拟在南部厂区西北角新建消防水池两座，单座容积为</w:t>
      </w:r>
      <w:r>
        <w:rPr>
          <w:rFonts w:cs="Times New Roman"/>
        </w:rPr>
        <w:t>850m</w:t>
      </w:r>
      <w:r>
        <w:rPr>
          <w:rFonts w:cs="Times New Roman"/>
          <w:vertAlign w:val="superscript"/>
        </w:rPr>
        <w:t>3</w:t>
      </w:r>
      <w:r>
        <w:rPr>
          <w:rFonts w:cs="Times New Roman"/>
        </w:rPr>
        <w:t>，设置消防水泵</w:t>
      </w:r>
      <w:r>
        <w:rPr>
          <w:rFonts w:cs="Times New Roman"/>
        </w:rPr>
        <w:t>2</w:t>
      </w:r>
      <w:r>
        <w:rPr>
          <w:rFonts w:cs="Times New Roman"/>
        </w:rPr>
        <w:t>台，流量</w:t>
      </w:r>
      <w:r>
        <w:rPr>
          <w:rFonts w:cs="Times New Roman"/>
        </w:rPr>
        <w:t>150L/s</w:t>
      </w:r>
      <w:r>
        <w:rPr>
          <w:rFonts w:cs="Times New Roman"/>
        </w:rPr>
        <w:t>，扬程</w:t>
      </w:r>
      <w:r>
        <w:rPr>
          <w:rFonts w:cs="Times New Roman"/>
        </w:rPr>
        <w:t>60m</w:t>
      </w:r>
      <w:r>
        <w:rPr>
          <w:rFonts w:cs="Times New Roman"/>
        </w:rPr>
        <w:t>，消防稳压泵</w:t>
      </w:r>
      <w:r>
        <w:rPr>
          <w:rFonts w:cs="Times New Roman"/>
        </w:rPr>
        <w:t>2</w:t>
      </w:r>
      <w:r>
        <w:rPr>
          <w:rFonts w:cs="Times New Roman"/>
        </w:rPr>
        <w:t>台，流量</w:t>
      </w:r>
      <w:r>
        <w:rPr>
          <w:rFonts w:cs="Times New Roman"/>
        </w:rPr>
        <w:t>1.1L/s</w:t>
      </w:r>
      <w:r>
        <w:rPr>
          <w:rFonts w:cs="Times New Roman"/>
        </w:rPr>
        <w:t>，扬程</w:t>
      </w:r>
      <w:r>
        <w:rPr>
          <w:rFonts w:cs="Times New Roman"/>
        </w:rPr>
        <w:t>66m</w:t>
      </w:r>
      <w:r>
        <w:rPr>
          <w:rFonts w:cs="Times New Roman"/>
        </w:rPr>
        <w:t>，同时环状布置厂区内消防管网。</w:t>
      </w:r>
    </w:p>
    <w:p w14:paraId="2BF3CC8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3.1.8.2</w:t>
      </w:r>
      <w:r>
        <w:rPr>
          <w:rFonts w:ascii="Times New Roman" w:hAnsi="Times New Roman"/>
        </w:rPr>
        <w:t>依托工程现状、规划及可行性</w:t>
      </w:r>
    </w:p>
    <w:p w14:paraId="42F955CB" w14:textId="77777777" w:rsidR="003E78AB" w:rsidRDefault="00010BF9">
      <w:pPr>
        <w:pStyle w:val="B0"/>
        <w:widowControl w:val="0"/>
        <w:ind w:firstLine="480"/>
        <w:rPr>
          <w:rFonts w:cs="Times New Roman"/>
        </w:rPr>
      </w:pPr>
      <w:r>
        <w:rPr>
          <w:rFonts w:cs="Times New Roman"/>
        </w:rPr>
        <w:t>项目主要依托工程为园区供水、供电、供气、排水等系统，依托设施现状、规划及依托可行性分析见下表。</w:t>
      </w:r>
    </w:p>
    <w:p w14:paraId="725D19EB" w14:textId="77777777" w:rsidR="003E78AB" w:rsidRDefault="00010BF9">
      <w:pPr>
        <w:pStyle w:val="a1"/>
        <w:spacing w:line="520" w:lineRule="exact"/>
        <w:rPr>
          <w:spacing w:val="-1"/>
        </w:rPr>
      </w:pPr>
      <w:r>
        <w:rPr>
          <w:spacing w:val="-1"/>
        </w:rPr>
        <w:t>依托设施可行性分析表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4"/>
        <w:gridCol w:w="506"/>
        <w:gridCol w:w="3386"/>
        <w:gridCol w:w="1307"/>
        <w:gridCol w:w="1309"/>
        <w:gridCol w:w="1251"/>
      </w:tblGrid>
      <w:tr w:rsidR="003E78AB" w14:paraId="0F527B27" w14:textId="77777777">
        <w:trPr>
          <w:trHeight w:val="340"/>
          <w:tblHeader/>
          <w:jc w:val="center"/>
        </w:trPr>
        <w:tc>
          <w:tcPr>
            <w:tcW w:w="310" w:type="pct"/>
            <w:vAlign w:val="center"/>
          </w:tcPr>
          <w:p w14:paraId="78B85004"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序号</w:t>
            </w:r>
          </w:p>
        </w:tc>
        <w:tc>
          <w:tcPr>
            <w:tcW w:w="305" w:type="pct"/>
            <w:vAlign w:val="center"/>
          </w:tcPr>
          <w:p w14:paraId="51E2AF33"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依托设施</w:t>
            </w:r>
          </w:p>
        </w:tc>
        <w:tc>
          <w:tcPr>
            <w:tcW w:w="2045" w:type="pct"/>
            <w:vAlign w:val="center"/>
          </w:tcPr>
          <w:p w14:paraId="00681A3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依托设施现状</w:t>
            </w:r>
          </w:p>
        </w:tc>
        <w:tc>
          <w:tcPr>
            <w:tcW w:w="790" w:type="pct"/>
            <w:vAlign w:val="center"/>
          </w:tcPr>
          <w:p w14:paraId="34C2459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依托设施规划</w:t>
            </w:r>
          </w:p>
        </w:tc>
        <w:tc>
          <w:tcPr>
            <w:tcW w:w="791" w:type="pct"/>
            <w:vAlign w:val="center"/>
          </w:tcPr>
          <w:p w14:paraId="1BF364C8"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本项目需求</w:t>
            </w:r>
          </w:p>
        </w:tc>
        <w:tc>
          <w:tcPr>
            <w:tcW w:w="756" w:type="pct"/>
            <w:vAlign w:val="center"/>
          </w:tcPr>
          <w:p w14:paraId="636E08BF"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可行性分析</w:t>
            </w:r>
          </w:p>
        </w:tc>
      </w:tr>
      <w:tr w:rsidR="003E78AB" w14:paraId="61E2C48E" w14:textId="77777777">
        <w:trPr>
          <w:trHeight w:val="340"/>
          <w:jc w:val="center"/>
        </w:trPr>
        <w:tc>
          <w:tcPr>
            <w:tcW w:w="310" w:type="pct"/>
            <w:vAlign w:val="center"/>
          </w:tcPr>
          <w:p w14:paraId="6A4B52FE"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c>
          <w:tcPr>
            <w:tcW w:w="305" w:type="pct"/>
            <w:vAlign w:val="center"/>
          </w:tcPr>
          <w:p w14:paraId="66BBD395" w14:textId="77777777" w:rsidR="003E78AB" w:rsidRDefault="00010BF9">
            <w:pPr>
              <w:spacing w:line="360" w:lineRule="exact"/>
              <w:ind w:firstLineChars="0" w:firstLine="0"/>
              <w:jc w:val="center"/>
              <w:textAlignment w:val="center"/>
              <w:rPr>
                <w:sz w:val="21"/>
                <w:szCs w:val="21"/>
                <w:lang w:bidi="ar"/>
              </w:rPr>
            </w:pPr>
            <w:r>
              <w:rPr>
                <w:sz w:val="21"/>
                <w:szCs w:val="21"/>
                <w:lang w:bidi="ar"/>
              </w:rPr>
              <w:t>供水</w:t>
            </w:r>
          </w:p>
        </w:tc>
        <w:tc>
          <w:tcPr>
            <w:tcW w:w="2045" w:type="pct"/>
            <w:vAlign w:val="center"/>
          </w:tcPr>
          <w:p w14:paraId="4EB0D7E4" w14:textId="77777777" w:rsidR="003E78AB" w:rsidRDefault="00010BF9">
            <w:pPr>
              <w:spacing w:line="360" w:lineRule="exact"/>
              <w:ind w:firstLineChars="0" w:firstLine="0"/>
              <w:jc w:val="left"/>
              <w:textAlignment w:val="center"/>
              <w:rPr>
                <w:sz w:val="21"/>
                <w:szCs w:val="21"/>
                <w:lang w:bidi="ar"/>
              </w:rPr>
            </w:pPr>
            <w:r>
              <w:rPr>
                <w:sz w:val="21"/>
                <w:szCs w:val="21"/>
                <w:lang w:bidi="ar"/>
              </w:rPr>
              <w:t>园区的水源由哈密市三水厂提供。三水厂位于</w:t>
            </w:r>
            <w:r>
              <w:rPr>
                <w:sz w:val="21"/>
                <w:szCs w:val="21"/>
                <w:lang w:bidi="ar"/>
              </w:rPr>
              <w:t>G30</w:t>
            </w:r>
            <w:r>
              <w:rPr>
                <w:sz w:val="21"/>
                <w:szCs w:val="21"/>
                <w:lang w:bidi="ar"/>
              </w:rPr>
              <w:t>国道和</w:t>
            </w:r>
            <w:r>
              <w:rPr>
                <w:sz w:val="21"/>
                <w:szCs w:val="21"/>
                <w:lang w:bidi="ar"/>
              </w:rPr>
              <w:t>Z504</w:t>
            </w:r>
            <w:r>
              <w:rPr>
                <w:sz w:val="21"/>
                <w:szCs w:val="21"/>
                <w:lang w:bidi="ar"/>
              </w:rPr>
              <w:t>省道西北角，哈巴公路以西的位置，占地面积约为</w:t>
            </w:r>
            <w:r>
              <w:rPr>
                <w:sz w:val="21"/>
                <w:szCs w:val="21"/>
                <w:lang w:bidi="ar"/>
              </w:rPr>
              <w:t>7</w:t>
            </w:r>
            <w:r>
              <w:rPr>
                <w:sz w:val="21"/>
                <w:szCs w:val="21"/>
                <w:lang w:bidi="ar"/>
              </w:rPr>
              <w:t>公顷，水源为榆树沟水库地表水和及自备地下水源井，供水能力</w:t>
            </w:r>
            <w:r>
              <w:rPr>
                <w:sz w:val="21"/>
                <w:szCs w:val="21"/>
                <w:lang w:bidi="ar"/>
              </w:rPr>
              <w:t>8</w:t>
            </w:r>
            <w:r>
              <w:rPr>
                <w:sz w:val="21"/>
                <w:szCs w:val="21"/>
                <w:lang w:bidi="ar"/>
              </w:rPr>
              <w:t>万</w:t>
            </w:r>
            <w:r>
              <w:rPr>
                <w:sz w:val="21"/>
                <w:szCs w:val="21"/>
                <w:lang w:bidi="ar"/>
              </w:rPr>
              <w:t>m</w:t>
            </w:r>
            <w:r>
              <w:rPr>
                <w:sz w:val="21"/>
                <w:szCs w:val="21"/>
                <w:vertAlign w:val="superscript"/>
                <w:lang w:bidi="ar"/>
              </w:rPr>
              <w:t>3</w:t>
            </w:r>
            <w:r>
              <w:rPr>
                <w:sz w:val="21"/>
                <w:szCs w:val="21"/>
                <w:lang w:bidi="ar"/>
              </w:rPr>
              <w:t>/d</w:t>
            </w:r>
            <w:r>
              <w:rPr>
                <w:sz w:val="21"/>
                <w:szCs w:val="21"/>
                <w:lang w:bidi="ar"/>
              </w:rPr>
              <w:t>，其中地表水</w:t>
            </w:r>
            <w:r>
              <w:rPr>
                <w:sz w:val="21"/>
                <w:szCs w:val="21"/>
                <w:lang w:bidi="ar"/>
              </w:rPr>
              <w:t>6.5m</w:t>
            </w:r>
            <w:r>
              <w:rPr>
                <w:sz w:val="21"/>
                <w:szCs w:val="21"/>
                <w:vertAlign w:val="superscript"/>
                <w:lang w:bidi="ar"/>
              </w:rPr>
              <w:t>3</w:t>
            </w:r>
            <w:r>
              <w:rPr>
                <w:sz w:val="21"/>
                <w:szCs w:val="21"/>
                <w:lang w:bidi="ar"/>
              </w:rPr>
              <w:t>/d</w:t>
            </w:r>
            <w:r>
              <w:rPr>
                <w:sz w:val="21"/>
                <w:szCs w:val="21"/>
                <w:lang w:bidi="ar"/>
              </w:rPr>
              <w:t>，地下水</w:t>
            </w:r>
            <w:r>
              <w:rPr>
                <w:sz w:val="21"/>
                <w:szCs w:val="21"/>
                <w:lang w:bidi="ar"/>
              </w:rPr>
              <w:t>1.5</w:t>
            </w:r>
            <w:r>
              <w:rPr>
                <w:sz w:val="21"/>
                <w:szCs w:val="21"/>
                <w:lang w:bidi="ar"/>
              </w:rPr>
              <w:t>万</w:t>
            </w:r>
            <w:r>
              <w:rPr>
                <w:sz w:val="21"/>
                <w:szCs w:val="21"/>
                <w:lang w:bidi="ar"/>
              </w:rPr>
              <w:t>m</w:t>
            </w:r>
            <w:r>
              <w:rPr>
                <w:sz w:val="21"/>
                <w:szCs w:val="21"/>
                <w:vertAlign w:val="superscript"/>
                <w:lang w:bidi="ar"/>
              </w:rPr>
              <w:t>3</w:t>
            </w:r>
            <w:r>
              <w:rPr>
                <w:sz w:val="21"/>
                <w:szCs w:val="21"/>
                <w:lang w:bidi="ar"/>
              </w:rPr>
              <w:t>/d</w:t>
            </w:r>
            <w:r>
              <w:rPr>
                <w:sz w:val="21"/>
                <w:szCs w:val="21"/>
                <w:lang w:bidi="ar"/>
              </w:rPr>
              <w:t>。现状供水规模</w:t>
            </w:r>
            <w:r>
              <w:rPr>
                <w:sz w:val="21"/>
                <w:szCs w:val="21"/>
                <w:lang w:bidi="ar"/>
              </w:rPr>
              <w:t>5.5m</w:t>
            </w:r>
            <w:r>
              <w:rPr>
                <w:sz w:val="21"/>
                <w:szCs w:val="21"/>
                <w:vertAlign w:val="superscript"/>
                <w:lang w:bidi="ar"/>
              </w:rPr>
              <w:t>3</w:t>
            </w:r>
            <w:r>
              <w:rPr>
                <w:sz w:val="21"/>
                <w:szCs w:val="21"/>
                <w:lang w:bidi="ar"/>
              </w:rPr>
              <w:t>/d</w:t>
            </w:r>
            <w:r>
              <w:rPr>
                <w:sz w:val="21"/>
                <w:szCs w:val="21"/>
                <w:lang w:bidi="ar"/>
              </w:rPr>
              <w:t>。</w:t>
            </w:r>
          </w:p>
        </w:tc>
        <w:tc>
          <w:tcPr>
            <w:tcW w:w="790" w:type="pct"/>
            <w:vAlign w:val="center"/>
          </w:tcPr>
          <w:p w14:paraId="71571AB8" w14:textId="77777777" w:rsidR="003E78AB" w:rsidRDefault="00010BF9">
            <w:pPr>
              <w:spacing w:line="360" w:lineRule="exact"/>
              <w:ind w:firstLineChars="0" w:firstLine="0"/>
              <w:jc w:val="left"/>
              <w:textAlignment w:val="center"/>
              <w:rPr>
                <w:sz w:val="21"/>
                <w:szCs w:val="21"/>
                <w:lang w:bidi="ar"/>
              </w:rPr>
            </w:pPr>
            <w:r>
              <w:rPr>
                <w:sz w:val="21"/>
                <w:szCs w:val="21"/>
                <w:lang w:bidi="ar"/>
              </w:rPr>
              <w:t>规划</w:t>
            </w:r>
            <w:r>
              <w:rPr>
                <w:sz w:val="21"/>
                <w:szCs w:val="21"/>
                <w:lang w:bidi="ar"/>
              </w:rPr>
              <w:t>2026</w:t>
            </w:r>
            <w:r>
              <w:rPr>
                <w:sz w:val="21"/>
                <w:szCs w:val="21"/>
                <w:lang w:bidi="ar"/>
              </w:rPr>
              <w:t>年</w:t>
            </w:r>
            <w:r>
              <w:rPr>
                <w:sz w:val="21"/>
                <w:szCs w:val="21"/>
                <w:lang w:bidi="ar"/>
              </w:rPr>
              <w:t>~2035</w:t>
            </w:r>
            <w:r>
              <w:rPr>
                <w:sz w:val="21"/>
                <w:szCs w:val="21"/>
                <w:lang w:bidi="ar"/>
              </w:rPr>
              <w:t>年，将水厂供水规模提高至</w:t>
            </w:r>
            <w:r>
              <w:rPr>
                <w:sz w:val="21"/>
                <w:szCs w:val="21"/>
                <w:lang w:bidi="ar"/>
              </w:rPr>
              <w:t>15</w:t>
            </w:r>
            <w:r>
              <w:rPr>
                <w:sz w:val="21"/>
                <w:szCs w:val="21"/>
                <w:lang w:bidi="ar"/>
              </w:rPr>
              <w:t>万</w:t>
            </w:r>
            <w:r>
              <w:rPr>
                <w:sz w:val="21"/>
                <w:szCs w:val="21"/>
                <w:lang w:bidi="ar"/>
              </w:rPr>
              <w:t>m</w:t>
            </w:r>
            <w:r>
              <w:rPr>
                <w:sz w:val="21"/>
                <w:szCs w:val="21"/>
                <w:vertAlign w:val="superscript"/>
                <w:lang w:bidi="ar"/>
              </w:rPr>
              <w:t>3</w:t>
            </w:r>
            <w:r>
              <w:rPr>
                <w:sz w:val="21"/>
                <w:szCs w:val="21"/>
                <w:lang w:bidi="ar"/>
              </w:rPr>
              <w:t>/d</w:t>
            </w:r>
            <w:r>
              <w:rPr>
                <w:sz w:val="21"/>
                <w:szCs w:val="21"/>
                <w:lang w:bidi="ar"/>
              </w:rPr>
              <w:t>。</w:t>
            </w:r>
          </w:p>
        </w:tc>
        <w:tc>
          <w:tcPr>
            <w:tcW w:w="791" w:type="pct"/>
            <w:vAlign w:val="center"/>
          </w:tcPr>
          <w:p w14:paraId="35A8FD54" w14:textId="77777777" w:rsidR="003E78AB" w:rsidRDefault="00010BF9">
            <w:pPr>
              <w:spacing w:line="360" w:lineRule="exact"/>
              <w:ind w:firstLineChars="0" w:firstLine="0"/>
              <w:jc w:val="left"/>
              <w:textAlignment w:val="center"/>
              <w:rPr>
                <w:sz w:val="21"/>
                <w:szCs w:val="21"/>
                <w:lang w:bidi="ar"/>
              </w:rPr>
            </w:pPr>
            <w:r>
              <w:rPr>
                <w:sz w:val="21"/>
                <w:szCs w:val="21"/>
                <w:lang w:bidi="ar"/>
              </w:rPr>
              <w:t>供水余量</w:t>
            </w:r>
            <w:r>
              <w:rPr>
                <w:sz w:val="21"/>
                <w:szCs w:val="21"/>
                <w:lang w:bidi="ar"/>
              </w:rPr>
              <w:t>2.5</w:t>
            </w:r>
            <w:r>
              <w:rPr>
                <w:sz w:val="21"/>
                <w:szCs w:val="21"/>
                <w:lang w:bidi="ar"/>
              </w:rPr>
              <w:t>万</w:t>
            </w:r>
            <w:r>
              <w:rPr>
                <w:sz w:val="21"/>
                <w:szCs w:val="21"/>
                <w:lang w:bidi="ar"/>
              </w:rPr>
              <w:t>m</w:t>
            </w:r>
            <w:r>
              <w:rPr>
                <w:sz w:val="21"/>
                <w:szCs w:val="21"/>
                <w:vertAlign w:val="superscript"/>
                <w:lang w:bidi="ar"/>
              </w:rPr>
              <w:t>3</w:t>
            </w:r>
            <w:r>
              <w:rPr>
                <w:sz w:val="21"/>
                <w:szCs w:val="21"/>
                <w:lang w:bidi="ar"/>
              </w:rPr>
              <w:t>/d</w:t>
            </w:r>
            <w:r>
              <w:rPr>
                <w:sz w:val="21"/>
                <w:szCs w:val="21"/>
                <w:lang w:bidi="ar"/>
              </w:rPr>
              <w:t>大于本项目需求</w:t>
            </w:r>
            <w:r>
              <w:rPr>
                <w:rFonts w:hint="eastAsia"/>
                <w:sz w:val="21"/>
                <w:szCs w:val="21"/>
                <w:lang w:bidi="ar"/>
              </w:rPr>
              <w:t>214.59</w:t>
            </w:r>
            <w:r>
              <w:rPr>
                <w:sz w:val="21"/>
                <w:szCs w:val="21"/>
                <w:lang w:bidi="ar"/>
              </w:rPr>
              <w:t>m</w:t>
            </w:r>
            <w:r>
              <w:rPr>
                <w:sz w:val="21"/>
                <w:szCs w:val="21"/>
                <w:vertAlign w:val="superscript"/>
                <w:lang w:bidi="ar"/>
              </w:rPr>
              <w:t>3</w:t>
            </w:r>
            <w:r>
              <w:rPr>
                <w:sz w:val="21"/>
                <w:szCs w:val="21"/>
                <w:lang w:bidi="ar"/>
              </w:rPr>
              <w:t>/d</w:t>
            </w:r>
          </w:p>
        </w:tc>
        <w:tc>
          <w:tcPr>
            <w:tcW w:w="756" w:type="pct"/>
            <w:vAlign w:val="center"/>
          </w:tcPr>
          <w:p w14:paraId="2F0B5C5A" w14:textId="77777777" w:rsidR="003E78AB" w:rsidRDefault="00010BF9">
            <w:pPr>
              <w:spacing w:line="360" w:lineRule="exact"/>
              <w:ind w:firstLineChars="0" w:firstLine="0"/>
              <w:jc w:val="left"/>
              <w:textAlignment w:val="center"/>
              <w:rPr>
                <w:sz w:val="21"/>
                <w:szCs w:val="21"/>
                <w:lang w:bidi="ar"/>
              </w:rPr>
            </w:pPr>
            <w:r>
              <w:rPr>
                <w:sz w:val="21"/>
                <w:szCs w:val="21"/>
                <w:lang w:bidi="ar"/>
              </w:rPr>
              <w:t>现状供水余量可以满足本项目所需，依托设施可行。</w:t>
            </w:r>
          </w:p>
        </w:tc>
      </w:tr>
      <w:tr w:rsidR="003E78AB" w14:paraId="7BB9A691" w14:textId="77777777">
        <w:trPr>
          <w:trHeight w:val="340"/>
          <w:jc w:val="center"/>
        </w:trPr>
        <w:tc>
          <w:tcPr>
            <w:tcW w:w="310" w:type="pct"/>
            <w:vAlign w:val="center"/>
          </w:tcPr>
          <w:p w14:paraId="539B6FF3" w14:textId="77777777" w:rsidR="003E78AB" w:rsidRDefault="00010BF9">
            <w:pPr>
              <w:spacing w:line="360" w:lineRule="exact"/>
              <w:ind w:firstLineChars="0" w:firstLine="0"/>
              <w:jc w:val="center"/>
              <w:textAlignment w:val="center"/>
              <w:rPr>
                <w:sz w:val="21"/>
                <w:szCs w:val="21"/>
                <w:lang w:bidi="ar"/>
              </w:rPr>
            </w:pPr>
            <w:r>
              <w:rPr>
                <w:sz w:val="21"/>
                <w:szCs w:val="21"/>
                <w:lang w:bidi="ar"/>
              </w:rPr>
              <w:t>2</w:t>
            </w:r>
          </w:p>
        </w:tc>
        <w:tc>
          <w:tcPr>
            <w:tcW w:w="305" w:type="pct"/>
            <w:vAlign w:val="center"/>
          </w:tcPr>
          <w:p w14:paraId="0D229A7E" w14:textId="77777777" w:rsidR="003E78AB" w:rsidRDefault="00010BF9">
            <w:pPr>
              <w:spacing w:line="360" w:lineRule="exact"/>
              <w:ind w:firstLineChars="0" w:firstLine="0"/>
              <w:jc w:val="center"/>
              <w:textAlignment w:val="center"/>
              <w:rPr>
                <w:sz w:val="21"/>
                <w:szCs w:val="21"/>
                <w:lang w:bidi="ar"/>
              </w:rPr>
            </w:pPr>
            <w:r>
              <w:rPr>
                <w:sz w:val="21"/>
                <w:szCs w:val="21"/>
                <w:lang w:bidi="ar"/>
              </w:rPr>
              <w:t>排水</w:t>
            </w:r>
          </w:p>
        </w:tc>
        <w:tc>
          <w:tcPr>
            <w:tcW w:w="2045" w:type="pct"/>
            <w:vAlign w:val="center"/>
          </w:tcPr>
          <w:p w14:paraId="038D85C1" w14:textId="77777777" w:rsidR="003E78AB" w:rsidRDefault="00010BF9">
            <w:pPr>
              <w:spacing w:line="360" w:lineRule="exact"/>
              <w:ind w:firstLineChars="0" w:firstLine="0"/>
              <w:jc w:val="left"/>
              <w:textAlignment w:val="center"/>
              <w:rPr>
                <w:sz w:val="21"/>
                <w:szCs w:val="21"/>
                <w:lang w:bidi="ar"/>
              </w:rPr>
            </w:pPr>
            <w:r>
              <w:rPr>
                <w:sz w:val="21"/>
                <w:szCs w:val="21"/>
                <w:lang w:bidi="ar"/>
              </w:rPr>
              <w:t>南部循环经济产业园污水处理厂位于哈密工业园区南侧</w:t>
            </w:r>
            <w:r>
              <w:rPr>
                <w:sz w:val="21"/>
                <w:szCs w:val="21"/>
                <w:lang w:bidi="ar"/>
              </w:rPr>
              <w:t>1km</w:t>
            </w:r>
            <w:r>
              <w:rPr>
                <w:sz w:val="21"/>
                <w:szCs w:val="21"/>
                <w:lang w:bidi="ar"/>
              </w:rPr>
              <w:t>处的低洼地，污水接纳要求为《污水综合排放标准》（</w:t>
            </w:r>
            <w:r>
              <w:rPr>
                <w:sz w:val="21"/>
                <w:szCs w:val="21"/>
                <w:lang w:bidi="ar"/>
              </w:rPr>
              <w:t>GB8978-1996</w:t>
            </w:r>
            <w:r>
              <w:rPr>
                <w:sz w:val="21"/>
                <w:szCs w:val="21"/>
                <w:lang w:bidi="ar"/>
              </w:rPr>
              <w:t>）三级排放标准，处理规模为</w:t>
            </w:r>
            <w:r>
              <w:rPr>
                <w:sz w:val="21"/>
                <w:szCs w:val="21"/>
                <w:lang w:bidi="ar"/>
              </w:rPr>
              <w:t>5000m</w:t>
            </w:r>
            <w:r>
              <w:rPr>
                <w:sz w:val="21"/>
                <w:szCs w:val="21"/>
                <w:vertAlign w:val="superscript"/>
                <w:lang w:bidi="ar"/>
              </w:rPr>
              <w:t>3</w:t>
            </w:r>
            <w:r>
              <w:rPr>
                <w:sz w:val="21"/>
                <w:szCs w:val="21"/>
                <w:lang w:bidi="ar"/>
              </w:rPr>
              <w:t>/d</w:t>
            </w:r>
            <w:r>
              <w:rPr>
                <w:sz w:val="21"/>
                <w:szCs w:val="21"/>
                <w:lang w:bidi="ar"/>
              </w:rPr>
              <w:t>（其中格栅、沉砂池处理规模为</w:t>
            </w:r>
            <w:r>
              <w:rPr>
                <w:sz w:val="21"/>
                <w:szCs w:val="21"/>
                <w:lang w:bidi="ar"/>
              </w:rPr>
              <w:t>10000m</w:t>
            </w:r>
            <w:r>
              <w:rPr>
                <w:sz w:val="21"/>
                <w:szCs w:val="21"/>
                <w:vertAlign w:val="superscript"/>
                <w:lang w:bidi="ar"/>
              </w:rPr>
              <w:t>3</w:t>
            </w:r>
            <w:r>
              <w:rPr>
                <w:sz w:val="21"/>
                <w:szCs w:val="21"/>
                <w:lang w:bidi="ar"/>
              </w:rPr>
              <w:t>/d</w:t>
            </w:r>
            <w:r>
              <w:rPr>
                <w:sz w:val="21"/>
                <w:szCs w:val="21"/>
                <w:lang w:bidi="ar"/>
              </w:rPr>
              <w:t>），现状实际每天处理规模</w:t>
            </w:r>
            <w:r>
              <w:rPr>
                <w:sz w:val="21"/>
                <w:szCs w:val="21"/>
                <w:lang w:bidi="ar"/>
              </w:rPr>
              <w:t>1267m</w:t>
            </w:r>
            <w:r>
              <w:rPr>
                <w:sz w:val="21"/>
                <w:szCs w:val="21"/>
                <w:vertAlign w:val="superscript"/>
                <w:lang w:bidi="ar"/>
              </w:rPr>
              <w:t>3</w:t>
            </w:r>
            <w:r>
              <w:rPr>
                <w:sz w:val="21"/>
                <w:szCs w:val="21"/>
                <w:lang w:bidi="ar"/>
              </w:rPr>
              <w:t>/d</w:t>
            </w:r>
            <w:r>
              <w:rPr>
                <w:sz w:val="21"/>
                <w:szCs w:val="21"/>
                <w:lang w:bidi="ar"/>
              </w:rPr>
              <w:t>，采用</w:t>
            </w:r>
            <w:r>
              <w:rPr>
                <w:sz w:val="21"/>
                <w:szCs w:val="21"/>
                <w:lang w:bidi="ar"/>
              </w:rPr>
              <w:t>“</w:t>
            </w:r>
            <w:r>
              <w:rPr>
                <w:sz w:val="21"/>
                <w:szCs w:val="21"/>
                <w:lang w:bidi="ar"/>
              </w:rPr>
              <w:t>粗格栅</w:t>
            </w:r>
            <w:r>
              <w:rPr>
                <w:sz w:val="21"/>
                <w:szCs w:val="21"/>
                <w:lang w:bidi="ar"/>
              </w:rPr>
              <w:t>+</w:t>
            </w:r>
            <w:r>
              <w:rPr>
                <w:sz w:val="21"/>
                <w:szCs w:val="21"/>
                <w:lang w:bidi="ar"/>
              </w:rPr>
              <w:t>提升泵</w:t>
            </w:r>
            <w:r>
              <w:rPr>
                <w:sz w:val="21"/>
                <w:szCs w:val="21"/>
                <w:lang w:bidi="ar"/>
              </w:rPr>
              <w:t>+</w:t>
            </w:r>
            <w:r>
              <w:rPr>
                <w:sz w:val="21"/>
                <w:szCs w:val="21"/>
                <w:lang w:bidi="ar"/>
              </w:rPr>
              <w:t>细格栅</w:t>
            </w:r>
            <w:r>
              <w:rPr>
                <w:sz w:val="21"/>
                <w:szCs w:val="21"/>
                <w:lang w:bidi="ar"/>
              </w:rPr>
              <w:t>+</w:t>
            </w:r>
            <w:r>
              <w:rPr>
                <w:sz w:val="21"/>
                <w:szCs w:val="21"/>
                <w:lang w:bidi="ar"/>
              </w:rPr>
              <w:t>旋流沉砂池</w:t>
            </w:r>
            <w:r>
              <w:rPr>
                <w:sz w:val="21"/>
                <w:szCs w:val="21"/>
                <w:lang w:bidi="ar"/>
              </w:rPr>
              <w:t>+</w:t>
            </w:r>
            <w:r>
              <w:rPr>
                <w:sz w:val="21"/>
                <w:szCs w:val="21"/>
                <w:lang w:bidi="ar"/>
              </w:rPr>
              <w:t>水解酸化池</w:t>
            </w:r>
            <w:r>
              <w:rPr>
                <w:sz w:val="21"/>
                <w:szCs w:val="21"/>
                <w:lang w:bidi="ar"/>
              </w:rPr>
              <w:t>+A</w:t>
            </w:r>
            <w:r>
              <w:rPr>
                <w:sz w:val="21"/>
                <w:szCs w:val="21"/>
                <w:vertAlign w:val="superscript"/>
                <w:lang w:bidi="ar"/>
              </w:rPr>
              <w:t>2</w:t>
            </w:r>
            <w:r>
              <w:rPr>
                <w:sz w:val="21"/>
                <w:szCs w:val="21"/>
                <w:lang w:bidi="ar"/>
              </w:rPr>
              <w:t>/O</w:t>
            </w:r>
            <w:r>
              <w:rPr>
                <w:sz w:val="21"/>
                <w:szCs w:val="21"/>
                <w:lang w:bidi="ar"/>
              </w:rPr>
              <w:t>池</w:t>
            </w:r>
            <w:r>
              <w:rPr>
                <w:sz w:val="21"/>
                <w:szCs w:val="21"/>
                <w:lang w:bidi="ar"/>
              </w:rPr>
              <w:t>+</w:t>
            </w:r>
            <w:r>
              <w:rPr>
                <w:sz w:val="21"/>
                <w:szCs w:val="21"/>
                <w:lang w:bidi="ar"/>
              </w:rPr>
              <w:t>曝气生物滤池</w:t>
            </w:r>
            <w:r>
              <w:rPr>
                <w:sz w:val="21"/>
                <w:szCs w:val="21"/>
                <w:lang w:bidi="ar"/>
              </w:rPr>
              <w:t>+</w:t>
            </w:r>
            <w:r>
              <w:rPr>
                <w:sz w:val="21"/>
                <w:szCs w:val="21"/>
                <w:lang w:bidi="ar"/>
              </w:rPr>
              <w:t>二沉池</w:t>
            </w:r>
            <w:r>
              <w:rPr>
                <w:sz w:val="21"/>
                <w:szCs w:val="21"/>
                <w:lang w:bidi="ar"/>
              </w:rPr>
              <w:t>+</w:t>
            </w:r>
            <w:r>
              <w:rPr>
                <w:sz w:val="21"/>
                <w:szCs w:val="21"/>
                <w:lang w:bidi="ar"/>
              </w:rPr>
              <w:t>二氧化氯消毒</w:t>
            </w:r>
            <w:r>
              <w:rPr>
                <w:sz w:val="21"/>
                <w:szCs w:val="21"/>
                <w:lang w:bidi="ar"/>
              </w:rPr>
              <w:t>”</w:t>
            </w:r>
            <w:r>
              <w:rPr>
                <w:sz w:val="21"/>
                <w:szCs w:val="21"/>
                <w:lang w:bidi="ar"/>
              </w:rPr>
              <w:t>，尾水达到《城镇污水处理厂污染物排放标准》（</w:t>
            </w:r>
            <w:r>
              <w:rPr>
                <w:sz w:val="21"/>
                <w:szCs w:val="21"/>
                <w:lang w:bidi="ar"/>
              </w:rPr>
              <w:t>GB18918-2002</w:t>
            </w:r>
            <w:r>
              <w:rPr>
                <w:sz w:val="21"/>
                <w:szCs w:val="21"/>
                <w:lang w:bidi="ar"/>
              </w:rPr>
              <w:t>）中的一级</w:t>
            </w:r>
            <w:r>
              <w:rPr>
                <w:sz w:val="21"/>
                <w:szCs w:val="21"/>
                <w:lang w:bidi="ar"/>
              </w:rPr>
              <w:t>A</w:t>
            </w:r>
            <w:r>
              <w:rPr>
                <w:sz w:val="21"/>
                <w:szCs w:val="21"/>
                <w:lang w:bidi="ar"/>
              </w:rPr>
              <w:t>标准和《城市污水再生利用工业用水水质》（</w:t>
            </w:r>
            <w:r>
              <w:rPr>
                <w:sz w:val="21"/>
                <w:szCs w:val="21"/>
                <w:lang w:bidi="ar"/>
              </w:rPr>
              <w:t>GB/T19923-2005</w:t>
            </w:r>
            <w:r>
              <w:rPr>
                <w:sz w:val="21"/>
                <w:szCs w:val="21"/>
                <w:lang w:bidi="ar"/>
              </w:rPr>
              <w:t>）标准，</w:t>
            </w:r>
            <w:r>
              <w:rPr>
                <w:sz w:val="21"/>
                <w:szCs w:val="21"/>
                <w:lang w:bidi="ar"/>
              </w:rPr>
              <w:t>全部排至污水厂东侧的中水管网，最终进入大南湖煤电基地作为工业用水回用。该污水处理厂于</w:t>
            </w:r>
            <w:r>
              <w:rPr>
                <w:sz w:val="21"/>
                <w:szCs w:val="21"/>
                <w:lang w:bidi="ar"/>
              </w:rPr>
              <w:t>2019</w:t>
            </w:r>
            <w:r>
              <w:rPr>
                <w:sz w:val="21"/>
                <w:szCs w:val="21"/>
                <w:lang w:bidi="ar"/>
              </w:rPr>
              <w:t>年</w:t>
            </w:r>
            <w:r>
              <w:rPr>
                <w:sz w:val="21"/>
                <w:szCs w:val="21"/>
                <w:lang w:bidi="ar"/>
              </w:rPr>
              <w:t>10</w:t>
            </w:r>
            <w:r>
              <w:rPr>
                <w:sz w:val="21"/>
                <w:szCs w:val="21"/>
                <w:lang w:bidi="ar"/>
              </w:rPr>
              <w:t>月</w:t>
            </w:r>
            <w:r>
              <w:rPr>
                <w:sz w:val="21"/>
                <w:szCs w:val="21"/>
                <w:lang w:bidi="ar"/>
              </w:rPr>
              <w:t>13</w:t>
            </w:r>
            <w:r>
              <w:rPr>
                <w:sz w:val="21"/>
                <w:szCs w:val="21"/>
                <w:lang w:bidi="ar"/>
              </w:rPr>
              <w:t>日通过项目竣工环境保护验收，目前运行正常，尾水达标排放。</w:t>
            </w:r>
          </w:p>
        </w:tc>
        <w:tc>
          <w:tcPr>
            <w:tcW w:w="790" w:type="pct"/>
            <w:vAlign w:val="center"/>
          </w:tcPr>
          <w:p w14:paraId="6750F682" w14:textId="77777777" w:rsidR="003E78AB" w:rsidRDefault="00010BF9">
            <w:pPr>
              <w:spacing w:line="360" w:lineRule="exact"/>
              <w:ind w:firstLineChars="0" w:firstLine="0"/>
              <w:jc w:val="left"/>
              <w:textAlignment w:val="center"/>
              <w:rPr>
                <w:sz w:val="21"/>
                <w:szCs w:val="21"/>
                <w:lang w:bidi="ar"/>
              </w:rPr>
            </w:pPr>
            <w:r>
              <w:rPr>
                <w:sz w:val="21"/>
                <w:szCs w:val="21"/>
                <w:lang w:bidi="ar"/>
              </w:rPr>
              <w:t>规划</w:t>
            </w:r>
            <w:r>
              <w:rPr>
                <w:sz w:val="21"/>
                <w:szCs w:val="21"/>
                <w:lang w:bidi="ar"/>
              </w:rPr>
              <w:t>2026</w:t>
            </w:r>
            <w:r>
              <w:rPr>
                <w:sz w:val="21"/>
                <w:szCs w:val="21"/>
                <w:lang w:bidi="ar"/>
              </w:rPr>
              <w:t>年</w:t>
            </w:r>
            <w:r>
              <w:rPr>
                <w:sz w:val="21"/>
                <w:szCs w:val="21"/>
                <w:lang w:bidi="ar"/>
              </w:rPr>
              <w:t>~2035</w:t>
            </w:r>
            <w:r>
              <w:rPr>
                <w:sz w:val="21"/>
                <w:szCs w:val="21"/>
                <w:lang w:bidi="ar"/>
              </w:rPr>
              <w:t>年，将污水厂处理规模提高至</w:t>
            </w:r>
            <w:r>
              <w:rPr>
                <w:sz w:val="21"/>
                <w:szCs w:val="21"/>
                <w:lang w:bidi="ar"/>
              </w:rPr>
              <w:t>2</w:t>
            </w:r>
            <w:r>
              <w:rPr>
                <w:sz w:val="21"/>
                <w:szCs w:val="21"/>
                <w:lang w:bidi="ar"/>
              </w:rPr>
              <w:t>万立方米</w:t>
            </w:r>
            <w:r>
              <w:rPr>
                <w:sz w:val="21"/>
                <w:szCs w:val="21"/>
                <w:lang w:bidi="ar"/>
              </w:rPr>
              <w:t>/</w:t>
            </w:r>
            <w:r>
              <w:rPr>
                <w:sz w:val="21"/>
                <w:szCs w:val="21"/>
                <w:lang w:bidi="ar"/>
              </w:rPr>
              <w:t>日。</w:t>
            </w:r>
          </w:p>
        </w:tc>
        <w:tc>
          <w:tcPr>
            <w:tcW w:w="791" w:type="pct"/>
            <w:vAlign w:val="center"/>
          </w:tcPr>
          <w:p w14:paraId="280DB850" w14:textId="77777777" w:rsidR="003E78AB" w:rsidRDefault="00010BF9">
            <w:pPr>
              <w:spacing w:line="360" w:lineRule="exact"/>
              <w:ind w:firstLineChars="0" w:firstLine="0"/>
              <w:jc w:val="left"/>
              <w:textAlignment w:val="center"/>
              <w:rPr>
                <w:sz w:val="21"/>
                <w:szCs w:val="21"/>
                <w:lang w:bidi="ar"/>
              </w:rPr>
            </w:pPr>
            <w:r>
              <w:rPr>
                <w:sz w:val="21"/>
                <w:szCs w:val="21"/>
                <w:lang w:bidi="ar"/>
              </w:rPr>
              <w:t>现状处理余量</w:t>
            </w:r>
            <w:r>
              <w:rPr>
                <w:sz w:val="21"/>
                <w:szCs w:val="21"/>
                <w:lang w:bidi="ar"/>
              </w:rPr>
              <w:t>3733m</w:t>
            </w:r>
            <w:r>
              <w:rPr>
                <w:sz w:val="21"/>
                <w:szCs w:val="21"/>
                <w:vertAlign w:val="superscript"/>
                <w:lang w:bidi="ar"/>
              </w:rPr>
              <w:t>3</w:t>
            </w:r>
            <w:r>
              <w:rPr>
                <w:sz w:val="21"/>
                <w:szCs w:val="21"/>
                <w:lang w:bidi="ar"/>
              </w:rPr>
              <w:t>/d</w:t>
            </w:r>
            <w:r>
              <w:rPr>
                <w:sz w:val="21"/>
                <w:szCs w:val="21"/>
                <w:lang w:bidi="ar"/>
              </w:rPr>
              <w:t>，大于本项目排水量</w:t>
            </w:r>
            <w:r>
              <w:rPr>
                <w:rFonts w:hint="eastAsia"/>
                <w:sz w:val="21"/>
                <w:szCs w:val="21"/>
                <w:lang w:bidi="ar"/>
              </w:rPr>
              <w:t>49.9</w:t>
            </w:r>
            <w:r>
              <w:rPr>
                <w:sz w:val="21"/>
                <w:szCs w:val="21"/>
                <w:lang w:bidi="ar"/>
              </w:rPr>
              <w:t>m</w:t>
            </w:r>
            <w:r>
              <w:rPr>
                <w:sz w:val="21"/>
                <w:szCs w:val="21"/>
                <w:vertAlign w:val="superscript"/>
                <w:lang w:bidi="ar"/>
              </w:rPr>
              <w:t>3</w:t>
            </w:r>
            <w:r>
              <w:rPr>
                <w:sz w:val="21"/>
                <w:szCs w:val="21"/>
                <w:lang w:bidi="ar"/>
              </w:rPr>
              <w:t>/d</w:t>
            </w:r>
            <w:r>
              <w:rPr>
                <w:sz w:val="21"/>
                <w:szCs w:val="21"/>
                <w:lang w:bidi="ar"/>
              </w:rPr>
              <w:t>。</w:t>
            </w:r>
          </w:p>
        </w:tc>
        <w:tc>
          <w:tcPr>
            <w:tcW w:w="756" w:type="pct"/>
            <w:vAlign w:val="center"/>
          </w:tcPr>
          <w:p w14:paraId="31649BCC" w14:textId="77777777" w:rsidR="003E78AB" w:rsidRDefault="00010BF9">
            <w:pPr>
              <w:spacing w:line="360" w:lineRule="exact"/>
              <w:ind w:firstLineChars="0" w:firstLine="0"/>
              <w:jc w:val="left"/>
              <w:textAlignment w:val="center"/>
              <w:rPr>
                <w:sz w:val="21"/>
                <w:szCs w:val="21"/>
                <w:lang w:bidi="ar"/>
              </w:rPr>
            </w:pPr>
            <w:r>
              <w:rPr>
                <w:sz w:val="21"/>
                <w:szCs w:val="21"/>
                <w:lang w:bidi="ar"/>
              </w:rPr>
              <w:t>现状处理余量可以满足本项目所需，依托设施可行。</w:t>
            </w:r>
          </w:p>
        </w:tc>
      </w:tr>
      <w:tr w:rsidR="003E78AB" w14:paraId="05824B12" w14:textId="77777777">
        <w:trPr>
          <w:trHeight w:val="340"/>
          <w:jc w:val="center"/>
        </w:trPr>
        <w:tc>
          <w:tcPr>
            <w:tcW w:w="310" w:type="pct"/>
            <w:vAlign w:val="center"/>
          </w:tcPr>
          <w:p w14:paraId="1C37F121"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305" w:type="pct"/>
            <w:vAlign w:val="center"/>
          </w:tcPr>
          <w:p w14:paraId="292A3A8F" w14:textId="77777777" w:rsidR="003E78AB" w:rsidRDefault="00010BF9">
            <w:pPr>
              <w:spacing w:line="360" w:lineRule="exact"/>
              <w:ind w:firstLineChars="0" w:firstLine="0"/>
              <w:jc w:val="center"/>
              <w:textAlignment w:val="center"/>
              <w:rPr>
                <w:sz w:val="21"/>
                <w:szCs w:val="21"/>
                <w:lang w:bidi="ar"/>
              </w:rPr>
            </w:pPr>
            <w:r>
              <w:rPr>
                <w:sz w:val="21"/>
                <w:szCs w:val="21"/>
                <w:lang w:bidi="ar"/>
              </w:rPr>
              <w:t>供电</w:t>
            </w:r>
          </w:p>
        </w:tc>
        <w:tc>
          <w:tcPr>
            <w:tcW w:w="2045" w:type="pct"/>
            <w:vAlign w:val="center"/>
          </w:tcPr>
          <w:p w14:paraId="541542EF" w14:textId="77777777" w:rsidR="003E78AB" w:rsidRDefault="00010BF9">
            <w:pPr>
              <w:spacing w:line="360" w:lineRule="exact"/>
              <w:ind w:firstLineChars="0" w:firstLine="0"/>
              <w:jc w:val="left"/>
              <w:textAlignment w:val="center"/>
              <w:rPr>
                <w:sz w:val="21"/>
                <w:szCs w:val="21"/>
                <w:lang w:bidi="ar"/>
              </w:rPr>
            </w:pPr>
            <w:r>
              <w:rPr>
                <w:sz w:val="21"/>
                <w:szCs w:val="21"/>
                <w:lang w:bidi="ar"/>
              </w:rPr>
              <w:t>现状已建成公网</w:t>
            </w:r>
            <w:r>
              <w:rPr>
                <w:sz w:val="21"/>
                <w:szCs w:val="21"/>
                <w:lang w:bidi="ar"/>
              </w:rPr>
              <w:t>110</w:t>
            </w:r>
            <w:r>
              <w:rPr>
                <w:sz w:val="21"/>
                <w:szCs w:val="21"/>
                <w:lang w:bidi="ar"/>
              </w:rPr>
              <w:t>千伏及以上变电站</w:t>
            </w:r>
            <w:r>
              <w:rPr>
                <w:sz w:val="21"/>
                <w:szCs w:val="21"/>
                <w:lang w:bidi="ar"/>
              </w:rPr>
              <w:t>3</w:t>
            </w:r>
            <w:r>
              <w:rPr>
                <w:sz w:val="21"/>
                <w:szCs w:val="21"/>
                <w:lang w:bidi="ar"/>
              </w:rPr>
              <w:t>座，分别为</w:t>
            </w:r>
            <w:r>
              <w:rPr>
                <w:sz w:val="21"/>
                <w:szCs w:val="21"/>
                <w:lang w:bidi="ar"/>
              </w:rPr>
              <w:t>220</w:t>
            </w:r>
            <w:r>
              <w:rPr>
                <w:sz w:val="21"/>
                <w:szCs w:val="21"/>
                <w:lang w:bidi="ar"/>
              </w:rPr>
              <w:t>千伏银河路变（</w:t>
            </w:r>
            <w:r>
              <w:rPr>
                <w:sz w:val="21"/>
                <w:szCs w:val="21"/>
                <w:lang w:bidi="ar"/>
              </w:rPr>
              <w:t>2×18</w:t>
            </w:r>
            <w:r>
              <w:rPr>
                <w:sz w:val="21"/>
                <w:szCs w:val="21"/>
                <w:lang w:bidi="ar"/>
              </w:rPr>
              <w:t>万千伏安）、</w:t>
            </w:r>
            <w:r>
              <w:rPr>
                <w:sz w:val="21"/>
                <w:szCs w:val="21"/>
                <w:lang w:bidi="ar"/>
              </w:rPr>
              <w:t>110</w:t>
            </w:r>
            <w:r>
              <w:rPr>
                <w:sz w:val="21"/>
                <w:szCs w:val="21"/>
                <w:lang w:bidi="ar"/>
              </w:rPr>
              <w:t>千伏南园变（</w:t>
            </w:r>
            <w:r>
              <w:rPr>
                <w:sz w:val="21"/>
                <w:szCs w:val="21"/>
                <w:lang w:bidi="ar"/>
              </w:rPr>
              <w:t>2×4</w:t>
            </w:r>
            <w:r>
              <w:rPr>
                <w:sz w:val="21"/>
                <w:szCs w:val="21"/>
                <w:lang w:bidi="ar"/>
              </w:rPr>
              <w:t>万千伏安）、</w:t>
            </w:r>
            <w:r>
              <w:rPr>
                <w:sz w:val="21"/>
                <w:szCs w:val="21"/>
                <w:lang w:bidi="ar"/>
              </w:rPr>
              <w:t>110</w:t>
            </w:r>
            <w:r>
              <w:rPr>
                <w:sz w:val="21"/>
                <w:szCs w:val="21"/>
                <w:lang w:bidi="ar"/>
              </w:rPr>
              <w:t>千伏重工业园变（</w:t>
            </w:r>
            <w:r>
              <w:rPr>
                <w:sz w:val="21"/>
                <w:szCs w:val="21"/>
                <w:lang w:bidi="ar"/>
              </w:rPr>
              <w:t>1×5</w:t>
            </w:r>
            <w:r>
              <w:rPr>
                <w:sz w:val="21"/>
                <w:szCs w:val="21"/>
                <w:lang w:bidi="ar"/>
              </w:rPr>
              <w:t>万千</w:t>
            </w:r>
            <w:r>
              <w:rPr>
                <w:sz w:val="21"/>
                <w:szCs w:val="21"/>
                <w:lang w:bidi="ar"/>
              </w:rPr>
              <w:t>伏安），</w:t>
            </w:r>
            <w:r>
              <w:rPr>
                <w:sz w:val="21"/>
                <w:szCs w:val="21"/>
                <w:lang w:bidi="ar"/>
              </w:rPr>
              <w:t>220</w:t>
            </w:r>
            <w:r>
              <w:rPr>
                <w:sz w:val="21"/>
                <w:szCs w:val="21"/>
                <w:lang w:bidi="ar"/>
              </w:rPr>
              <w:t>千伏变电总容量</w:t>
            </w:r>
            <w:r>
              <w:rPr>
                <w:sz w:val="21"/>
                <w:szCs w:val="21"/>
                <w:lang w:bidi="ar"/>
              </w:rPr>
              <w:t>36</w:t>
            </w:r>
            <w:r>
              <w:rPr>
                <w:sz w:val="21"/>
                <w:szCs w:val="21"/>
                <w:lang w:bidi="ar"/>
              </w:rPr>
              <w:t>万千伏安、</w:t>
            </w:r>
            <w:r>
              <w:rPr>
                <w:sz w:val="21"/>
                <w:szCs w:val="21"/>
                <w:lang w:bidi="ar"/>
              </w:rPr>
              <w:t>110</w:t>
            </w:r>
            <w:r>
              <w:rPr>
                <w:sz w:val="21"/>
                <w:szCs w:val="21"/>
                <w:lang w:bidi="ar"/>
              </w:rPr>
              <w:t>千伏变电总容量</w:t>
            </w:r>
            <w:r>
              <w:rPr>
                <w:sz w:val="21"/>
                <w:szCs w:val="21"/>
                <w:lang w:bidi="ar"/>
              </w:rPr>
              <w:t>13</w:t>
            </w:r>
            <w:r>
              <w:rPr>
                <w:sz w:val="21"/>
                <w:szCs w:val="21"/>
                <w:lang w:bidi="ar"/>
              </w:rPr>
              <w:t>万千伏安。</w:t>
            </w:r>
          </w:p>
        </w:tc>
        <w:tc>
          <w:tcPr>
            <w:tcW w:w="790" w:type="pct"/>
            <w:vAlign w:val="center"/>
          </w:tcPr>
          <w:p w14:paraId="4EB5B380" w14:textId="77777777" w:rsidR="003E78AB" w:rsidRDefault="00010BF9">
            <w:pPr>
              <w:spacing w:line="360" w:lineRule="exact"/>
              <w:ind w:firstLineChars="0" w:firstLine="0"/>
              <w:jc w:val="left"/>
              <w:textAlignment w:val="center"/>
              <w:rPr>
                <w:sz w:val="21"/>
                <w:szCs w:val="21"/>
                <w:lang w:bidi="ar"/>
              </w:rPr>
            </w:pPr>
            <w:r>
              <w:rPr>
                <w:sz w:val="21"/>
                <w:szCs w:val="21"/>
                <w:lang w:bidi="ar"/>
              </w:rPr>
              <w:t>规划新建</w:t>
            </w:r>
            <w:r>
              <w:rPr>
                <w:sz w:val="21"/>
                <w:szCs w:val="21"/>
                <w:lang w:bidi="ar"/>
              </w:rPr>
              <w:t>220</w:t>
            </w:r>
            <w:r>
              <w:rPr>
                <w:sz w:val="21"/>
                <w:szCs w:val="21"/>
                <w:lang w:bidi="ar"/>
              </w:rPr>
              <w:t>千伏变电站，规划主变容量（</w:t>
            </w:r>
            <w:r>
              <w:rPr>
                <w:sz w:val="21"/>
                <w:szCs w:val="21"/>
                <w:lang w:bidi="ar"/>
              </w:rPr>
              <w:t>2×18</w:t>
            </w:r>
            <w:r>
              <w:rPr>
                <w:sz w:val="21"/>
                <w:szCs w:val="21"/>
                <w:lang w:bidi="ar"/>
              </w:rPr>
              <w:t>）万千伏安。</w:t>
            </w:r>
          </w:p>
        </w:tc>
        <w:tc>
          <w:tcPr>
            <w:tcW w:w="791" w:type="pct"/>
            <w:vAlign w:val="center"/>
          </w:tcPr>
          <w:p w14:paraId="2BB405D3" w14:textId="77777777" w:rsidR="003E78AB" w:rsidRDefault="00010BF9">
            <w:pPr>
              <w:spacing w:line="360" w:lineRule="exact"/>
              <w:ind w:firstLineChars="0" w:firstLine="0"/>
              <w:jc w:val="left"/>
              <w:textAlignment w:val="center"/>
              <w:rPr>
                <w:sz w:val="21"/>
                <w:szCs w:val="21"/>
                <w:lang w:bidi="ar"/>
              </w:rPr>
            </w:pPr>
            <w:r>
              <w:rPr>
                <w:sz w:val="21"/>
                <w:szCs w:val="21"/>
                <w:lang w:bidi="ar"/>
              </w:rPr>
              <w:t>本项目用电由现状</w:t>
            </w:r>
            <w:r>
              <w:rPr>
                <w:sz w:val="21"/>
                <w:szCs w:val="21"/>
                <w:lang w:bidi="ar"/>
              </w:rPr>
              <w:t>220kV</w:t>
            </w:r>
            <w:r>
              <w:rPr>
                <w:sz w:val="21"/>
                <w:szCs w:val="21"/>
                <w:lang w:bidi="ar"/>
              </w:rPr>
              <w:t>变电站引入。</w:t>
            </w:r>
          </w:p>
        </w:tc>
        <w:tc>
          <w:tcPr>
            <w:tcW w:w="756" w:type="pct"/>
            <w:vAlign w:val="center"/>
          </w:tcPr>
          <w:p w14:paraId="34503EB4" w14:textId="77777777" w:rsidR="003E78AB" w:rsidRDefault="00010BF9">
            <w:pPr>
              <w:spacing w:line="360" w:lineRule="exact"/>
              <w:ind w:firstLineChars="0" w:firstLine="0"/>
              <w:jc w:val="left"/>
              <w:textAlignment w:val="center"/>
              <w:rPr>
                <w:sz w:val="21"/>
                <w:szCs w:val="21"/>
                <w:lang w:bidi="ar"/>
              </w:rPr>
            </w:pPr>
            <w:r>
              <w:rPr>
                <w:sz w:val="21"/>
                <w:szCs w:val="21"/>
                <w:lang w:bidi="ar"/>
              </w:rPr>
              <w:t>供电规模可以满足本项目所需，依托设施可行。</w:t>
            </w:r>
          </w:p>
        </w:tc>
      </w:tr>
      <w:tr w:rsidR="003E78AB" w14:paraId="2D1AE9A7" w14:textId="77777777">
        <w:trPr>
          <w:trHeight w:val="340"/>
          <w:jc w:val="center"/>
        </w:trPr>
        <w:tc>
          <w:tcPr>
            <w:tcW w:w="310" w:type="pct"/>
            <w:vAlign w:val="center"/>
          </w:tcPr>
          <w:p w14:paraId="7286B68C" w14:textId="77777777" w:rsidR="003E78AB" w:rsidRDefault="00010BF9">
            <w:pPr>
              <w:spacing w:line="360" w:lineRule="exact"/>
              <w:ind w:firstLineChars="0" w:firstLine="0"/>
              <w:jc w:val="center"/>
              <w:textAlignment w:val="center"/>
              <w:rPr>
                <w:sz w:val="21"/>
                <w:szCs w:val="21"/>
                <w:lang w:bidi="ar"/>
              </w:rPr>
            </w:pPr>
            <w:r>
              <w:rPr>
                <w:sz w:val="21"/>
                <w:szCs w:val="21"/>
                <w:lang w:bidi="ar"/>
              </w:rPr>
              <w:t>4</w:t>
            </w:r>
          </w:p>
        </w:tc>
        <w:tc>
          <w:tcPr>
            <w:tcW w:w="305" w:type="pct"/>
            <w:vAlign w:val="center"/>
          </w:tcPr>
          <w:p w14:paraId="3515FDDD" w14:textId="77777777" w:rsidR="003E78AB" w:rsidRDefault="00010BF9">
            <w:pPr>
              <w:spacing w:line="360" w:lineRule="exact"/>
              <w:ind w:firstLineChars="0" w:firstLine="0"/>
              <w:jc w:val="center"/>
              <w:textAlignment w:val="center"/>
              <w:rPr>
                <w:sz w:val="21"/>
                <w:szCs w:val="21"/>
                <w:lang w:bidi="ar"/>
              </w:rPr>
            </w:pPr>
            <w:r>
              <w:rPr>
                <w:sz w:val="21"/>
                <w:szCs w:val="21"/>
                <w:lang w:bidi="ar"/>
              </w:rPr>
              <w:t>供气</w:t>
            </w:r>
          </w:p>
        </w:tc>
        <w:tc>
          <w:tcPr>
            <w:tcW w:w="2045" w:type="pct"/>
            <w:vAlign w:val="center"/>
          </w:tcPr>
          <w:p w14:paraId="27B8DB6E" w14:textId="77777777" w:rsidR="003E78AB" w:rsidRDefault="00010BF9">
            <w:pPr>
              <w:spacing w:line="360" w:lineRule="exact"/>
              <w:ind w:firstLineChars="0" w:firstLine="0"/>
              <w:jc w:val="left"/>
              <w:textAlignment w:val="center"/>
              <w:rPr>
                <w:sz w:val="21"/>
                <w:szCs w:val="21"/>
                <w:lang w:bidi="ar"/>
              </w:rPr>
            </w:pPr>
            <w:r>
              <w:rPr>
                <w:sz w:val="21"/>
                <w:szCs w:val="21"/>
                <w:lang w:bidi="ar"/>
              </w:rPr>
              <w:t>园区供气由北侧恒星大道有现状燃气调压站（新捷燃气建设）一座，规模为</w:t>
            </w:r>
            <w:r>
              <w:rPr>
                <w:sz w:val="21"/>
                <w:szCs w:val="21"/>
                <w:lang w:bidi="ar"/>
              </w:rPr>
              <w:t>2.5</w:t>
            </w:r>
            <w:r>
              <w:rPr>
                <w:sz w:val="21"/>
                <w:szCs w:val="21"/>
                <w:lang w:bidi="ar"/>
              </w:rPr>
              <w:t>万</w:t>
            </w:r>
            <w:r>
              <w:rPr>
                <w:sz w:val="21"/>
                <w:szCs w:val="21"/>
                <w:lang w:bidi="ar"/>
              </w:rPr>
              <w:t>m</w:t>
            </w:r>
            <w:r>
              <w:rPr>
                <w:sz w:val="21"/>
                <w:szCs w:val="21"/>
                <w:vertAlign w:val="superscript"/>
                <w:lang w:bidi="ar"/>
              </w:rPr>
              <w:t>3</w:t>
            </w:r>
            <w:r>
              <w:rPr>
                <w:sz w:val="21"/>
                <w:szCs w:val="21"/>
                <w:lang w:bidi="ar"/>
              </w:rPr>
              <w:t>/h</w:t>
            </w:r>
            <w:r>
              <w:rPr>
                <w:sz w:val="21"/>
                <w:szCs w:val="21"/>
                <w:lang w:bidi="ar"/>
              </w:rPr>
              <w:t>，压力</w:t>
            </w:r>
            <w:r>
              <w:rPr>
                <w:sz w:val="21"/>
                <w:szCs w:val="21"/>
                <w:lang w:bidi="ar"/>
              </w:rPr>
              <w:t>6.3</w:t>
            </w:r>
            <w:r>
              <w:rPr>
                <w:sz w:val="21"/>
                <w:szCs w:val="21"/>
                <w:lang w:bidi="ar"/>
              </w:rPr>
              <w:t>兆帕，进口管径</w:t>
            </w:r>
            <w:r>
              <w:rPr>
                <w:sz w:val="21"/>
                <w:szCs w:val="21"/>
                <w:lang w:bidi="ar"/>
              </w:rPr>
              <w:t>110mm</w:t>
            </w:r>
            <w:r>
              <w:rPr>
                <w:sz w:val="21"/>
                <w:szCs w:val="21"/>
                <w:lang w:bidi="ar"/>
              </w:rPr>
              <w:t>，出口管径</w:t>
            </w:r>
            <w:r>
              <w:rPr>
                <w:sz w:val="21"/>
                <w:szCs w:val="21"/>
                <w:lang w:bidi="ar"/>
              </w:rPr>
              <w:t>160mm</w:t>
            </w:r>
            <w:r>
              <w:rPr>
                <w:sz w:val="21"/>
                <w:szCs w:val="21"/>
                <w:lang w:bidi="ar"/>
              </w:rPr>
              <w:t>。现状供气量</w:t>
            </w:r>
            <w:r>
              <w:rPr>
                <w:sz w:val="21"/>
                <w:szCs w:val="21"/>
                <w:lang w:bidi="ar"/>
              </w:rPr>
              <w:t>193553m</w:t>
            </w:r>
            <w:r>
              <w:rPr>
                <w:sz w:val="21"/>
                <w:szCs w:val="21"/>
                <w:vertAlign w:val="superscript"/>
                <w:lang w:bidi="ar"/>
              </w:rPr>
              <w:t>3</w:t>
            </w:r>
            <w:r>
              <w:rPr>
                <w:sz w:val="21"/>
                <w:szCs w:val="21"/>
                <w:lang w:bidi="ar"/>
              </w:rPr>
              <w:t>/d</w:t>
            </w:r>
            <w:r>
              <w:rPr>
                <w:sz w:val="21"/>
                <w:szCs w:val="21"/>
                <w:lang w:bidi="ar"/>
              </w:rPr>
              <w:t>。</w:t>
            </w:r>
          </w:p>
        </w:tc>
        <w:tc>
          <w:tcPr>
            <w:tcW w:w="790" w:type="pct"/>
            <w:vAlign w:val="center"/>
          </w:tcPr>
          <w:p w14:paraId="79C6E41F" w14:textId="77777777" w:rsidR="003E78AB" w:rsidRDefault="00010BF9">
            <w:pPr>
              <w:spacing w:line="360" w:lineRule="exact"/>
              <w:ind w:firstLineChars="0" w:firstLine="0"/>
              <w:jc w:val="left"/>
              <w:textAlignment w:val="center"/>
              <w:rPr>
                <w:sz w:val="21"/>
                <w:szCs w:val="21"/>
                <w:lang w:bidi="ar"/>
              </w:rPr>
            </w:pPr>
            <w:r>
              <w:rPr>
                <w:sz w:val="21"/>
                <w:szCs w:val="21"/>
                <w:lang w:bidi="ar"/>
              </w:rPr>
              <w:t>规划</w:t>
            </w:r>
            <w:r>
              <w:rPr>
                <w:sz w:val="21"/>
                <w:szCs w:val="21"/>
                <w:lang w:bidi="ar"/>
              </w:rPr>
              <w:t>2026</w:t>
            </w:r>
            <w:r>
              <w:rPr>
                <w:sz w:val="21"/>
                <w:szCs w:val="21"/>
                <w:lang w:bidi="ar"/>
              </w:rPr>
              <w:t>年</w:t>
            </w:r>
            <w:r>
              <w:rPr>
                <w:sz w:val="21"/>
                <w:szCs w:val="21"/>
                <w:lang w:bidi="ar"/>
              </w:rPr>
              <w:t>~2035</w:t>
            </w:r>
            <w:r>
              <w:rPr>
                <w:sz w:val="21"/>
                <w:szCs w:val="21"/>
                <w:lang w:bidi="ar"/>
              </w:rPr>
              <w:t>年新增西气东输二线气源，联网供气。</w:t>
            </w:r>
          </w:p>
        </w:tc>
        <w:tc>
          <w:tcPr>
            <w:tcW w:w="791" w:type="pct"/>
            <w:vAlign w:val="center"/>
          </w:tcPr>
          <w:p w14:paraId="5E2A7F4F" w14:textId="77777777" w:rsidR="003E78AB" w:rsidRDefault="00010BF9">
            <w:pPr>
              <w:spacing w:line="360" w:lineRule="exact"/>
              <w:ind w:firstLineChars="0" w:firstLine="0"/>
              <w:jc w:val="left"/>
              <w:textAlignment w:val="center"/>
              <w:rPr>
                <w:sz w:val="21"/>
                <w:szCs w:val="21"/>
                <w:lang w:bidi="ar"/>
              </w:rPr>
            </w:pPr>
            <w:r>
              <w:rPr>
                <w:sz w:val="21"/>
                <w:szCs w:val="21"/>
                <w:lang w:bidi="ar"/>
              </w:rPr>
              <w:t>现状供气余量</w:t>
            </w:r>
            <w:r>
              <w:rPr>
                <w:sz w:val="21"/>
                <w:szCs w:val="21"/>
                <w:lang w:bidi="ar"/>
              </w:rPr>
              <w:t>17000m</w:t>
            </w:r>
            <w:r>
              <w:rPr>
                <w:sz w:val="21"/>
                <w:szCs w:val="21"/>
                <w:vertAlign w:val="superscript"/>
                <w:lang w:bidi="ar"/>
              </w:rPr>
              <w:t>3</w:t>
            </w:r>
            <w:r>
              <w:rPr>
                <w:sz w:val="21"/>
                <w:szCs w:val="21"/>
                <w:lang w:bidi="ar"/>
              </w:rPr>
              <w:t>/h</w:t>
            </w:r>
            <w:r>
              <w:rPr>
                <w:sz w:val="21"/>
                <w:szCs w:val="21"/>
                <w:lang w:bidi="ar"/>
              </w:rPr>
              <w:t>大于本项目需求量</w:t>
            </w:r>
            <w:r>
              <w:rPr>
                <w:sz w:val="21"/>
                <w:szCs w:val="21"/>
                <w:lang w:bidi="ar"/>
              </w:rPr>
              <w:t>2</w:t>
            </w:r>
            <w:r>
              <w:rPr>
                <w:rFonts w:hint="eastAsia"/>
                <w:sz w:val="21"/>
                <w:szCs w:val="21"/>
                <w:lang w:bidi="ar"/>
              </w:rPr>
              <w:t>31.6</w:t>
            </w:r>
            <w:r>
              <w:rPr>
                <w:sz w:val="21"/>
                <w:szCs w:val="21"/>
                <w:lang w:bidi="ar"/>
              </w:rPr>
              <w:t>m</w:t>
            </w:r>
            <w:r>
              <w:rPr>
                <w:sz w:val="21"/>
                <w:szCs w:val="21"/>
                <w:vertAlign w:val="superscript"/>
                <w:lang w:bidi="ar"/>
              </w:rPr>
              <w:t>3</w:t>
            </w:r>
            <w:r>
              <w:rPr>
                <w:sz w:val="21"/>
                <w:szCs w:val="21"/>
                <w:lang w:bidi="ar"/>
              </w:rPr>
              <w:t>/h</w:t>
            </w:r>
          </w:p>
        </w:tc>
        <w:tc>
          <w:tcPr>
            <w:tcW w:w="756" w:type="pct"/>
            <w:vAlign w:val="center"/>
          </w:tcPr>
          <w:p w14:paraId="1F62D1E4" w14:textId="77777777" w:rsidR="003E78AB" w:rsidRDefault="00010BF9">
            <w:pPr>
              <w:spacing w:line="360" w:lineRule="exact"/>
              <w:ind w:firstLineChars="0" w:firstLine="0"/>
              <w:jc w:val="left"/>
              <w:textAlignment w:val="center"/>
              <w:rPr>
                <w:sz w:val="21"/>
                <w:szCs w:val="21"/>
                <w:lang w:bidi="ar"/>
              </w:rPr>
            </w:pPr>
            <w:r>
              <w:rPr>
                <w:sz w:val="21"/>
                <w:szCs w:val="21"/>
                <w:lang w:bidi="ar"/>
              </w:rPr>
              <w:t>供气规模可以满足本项目所需，依托设施可行。</w:t>
            </w:r>
          </w:p>
        </w:tc>
      </w:tr>
      <w:tr w:rsidR="003E78AB" w14:paraId="43EE2D66" w14:textId="77777777">
        <w:trPr>
          <w:trHeight w:val="340"/>
          <w:jc w:val="center"/>
        </w:trPr>
        <w:tc>
          <w:tcPr>
            <w:tcW w:w="310" w:type="pct"/>
            <w:vAlign w:val="center"/>
          </w:tcPr>
          <w:p w14:paraId="7C826CA1" w14:textId="77777777" w:rsidR="003E78AB" w:rsidRDefault="00010BF9">
            <w:pPr>
              <w:spacing w:line="360" w:lineRule="exact"/>
              <w:ind w:firstLineChars="0" w:firstLine="0"/>
              <w:jc w:val="center"/>
              <w:textAlignment w:val="center"/>
              <w:rPr>
                <w:sz w:val="21"/>
                <w:szCs w:val="21"/>
                <w:lang w:bidi="ar"/>
              </w:rPr>
            </w:pPr>
            <w:r>
              <w:rPr>
                <w:sz w:val="21"/>
                <w:szCs w:val="21"/>
                <w:lang w:bidi="ar"/>
              </w:rPr>
              <w:t>5</w:t>
            </w:r>
          </w:p>
        </w:tc>
        <w:tc>
          <w:tcPr>
            <w:tcW w:w="305" w:type="pct"/>
            <w:vAlign w:val="center"/>
          </w:tcPr>
          <w:p w14:paraId="328E48D6" w14:textId="77777777" w:rsidR="003E78AB" w:rsidRDefault="00010BF9">
            <w:pPr>
              <w:spacing w:line="360" w:lineRule="exact"/>
              <w:ind w:firstLineChars="0" w:firstLine="0"/>
              <w:jc w:val="center"/>
              <w:textAlignment w:val="center"/>
              <w:rPr>
                <w:sz w:val="21"/>
                <w:szCs w:val="21"/>
                <w:lang w:bidi="ar"/>
              </w:rPr>
            </w:pPr>
            <w:r>
              <w:rPr>
                <w:sz w:val="21"/>
                <w:szCs w:val="21"/>
                <w:lang w:bidi="ar"/>
              </w:rPr>
              <w:t>固体废物处置</w:t>
            </w:r>
          </w:p>
        </w:tc>
        <w:tc>
          <w:tcPr>
            <w:tcW w:w="2045" w:type="pct"/>
            <w:vAlign w:val="center"/>
          </w:tcPr>
          <w:p w14:paraId="178D0666" w14:textId="77777777" w:rsidR="003E78AB" w:rsidRDefault="00010BF9">
            <w:pPr>
              <w:spacing w:line="360" w:lineRule="exact"/>
              <w:ind w:firstLineChars="0" w:firstLine="0"/>
              <w:jc w:val="left"/>
              <w:textAlignment w:val="center"/>
              <w:rPr>
                <w:sz w:val="21"/>
                <w:szCs w:val="21"/>
                <w:lang w:bidi="ar"/>
              </w:rPr>
            </w:pPr>
            <w:r>
              <w:rPr>
                <w:sz w:val="21"/>
                <w:szCs w:val="21"/>
                <w:lang w:bidi="ar"/>
              </w:rPr>
              <w:t>一般固体废物填埋场位于西南约</w:t>
            </w:r>
            <w:r>
              <w:rPr>
                <w:sz w:val="21"/>
                <w:szCs w:val="21"/>
                <w:lang w:bidi="ar"/>
              </w:rPr>
              <w:t>10km</w:t>
            </w:r>
            <w:r>
              <w:rPr>
                <w:sz w:val="21"/>
                <w:szCs w:val="21"/>
                <w:lang w:bidi="ar"/>
              </w:rPr>
              <w:t>的沟谷处，建设规模为年处理固废量约</w:t>
            </w:r>
            <w:r>
              <w:rPr>
                <w:sz w:val="21"/>
                <w:szCs w:val="21"/>
                <w:lang w:bidi="ar"/>
              </w:rPr>
              <w:t>40</w:t>
            </w:r>
            <w:r>
              <w:rPr>
                <w:sz w:val="21"/>
                <w:szCs w:val="21"/>
                <w:lang w:bidi="ar"/>
              </w:rPr>
              <w:t>万吨，设计运营期</w:t>
            </w:r>
            <w:r>
              <w:rPr>
                <w:sz w:val="21"/>
                <w:szCs w:val="21"/>
                <w:lang w:bidi="ar"/>
              </w:rPr>
              <w:t>10</w:t>
            </w:r>
            <w:r>
              <w:rPr>
                <w:sz w:val="21"/>
                <w:szCs w:val="21"/>
                <w:lang w:bidi="ar"/>
              </w:rPr>
              <w:t>年，设计总库容</w:t>
            </w:r>
            <w:r>
              <w:rPr>
                <w:sz w:val="21"/>
                <w:szCs w:val="21"/>
                <w:lang w:bidi="ar"/>
              </w:rPr>
              <w:t>35</w:t>
            </w:r>
            <w:r>
              <w:rPr>
                <w:sz w:val="21"/>
                <w:szCs w:val="21"/>
                <w:lang w:bidi="ar"/>
              </w:rPr>
              <w:t>万立方米。固废填埋场项目环境影响报告书已于</w:t>
            </w:r>
            <w:r>
              <w:rPr>
                <w:sz w:val="21"/>
                <w:szCs w:val="21"/>
                <w:lang w:bidi="ar"/>
              </w:rPr>
              <w:t>2020</w:t>
            </w:r>
            <w:r>
              <w:rPr>
                <w:sz w:val="21"/>
                <w:szCs w:val="21"/>
                <w:lang w:bidi="ar"/>
              </w:rPr>
              <w:t>年</w:t>
            </w:r>
            <w:r>
              <w:rPr>
                <w:sz w:val="21"/>
                <w:szCs w:val="21"/>
                <w:lang w:bidi="ar"/>
              </w:rPr>
              <w:t>3</w:t>
            </w:r>
            <w:r>
              <w:rPr>
                <w:sz w:val="21"/>
                <w:szCs w:val="21"/>
                <w:lang w:bidi="ar"/>
              </w:rPr>
              <w:t>月</w:t>
            </w:r>
            <w:r>
              <w:rPr>
                <w:sz w:val="21"/>
                <w:szCs w:val="21"/>
                <w:lang w:bidi="ar"/>
              </w:rPr>
              <w:t>23</w:t>
            </w:r>
            <w:r>
              <w:rPr>
                <w:sz w:val="21"/>
                <w:szCs w:val="21"/>
                <w:lang w:bidi="ar"/>
              </w:rPr>
              <w:t>日取得原哈密市生态环境局批复（哈地环监函〔</w:t>
            </w:r>
            <w:r>
              <w:rPr>
                <w:sz w:val="21"/>
                <w:szCs w:val="21"/>
                <w:lang w:bidi="ar"/>
              </w:rPr>
              <w:t>2020</w:t>
            </w:r>
            <w:r>
              <w:rPr>
                <w:sz w:val="21"/>
                <w:szCs w:val="21"/>
                <w:lang w:bidi="ar"/>
              </w:rPr>
              <w:t>〕</w:t>
            </w:r>
            <w:r>
              <w:rPr>
                <w:sz w:val="21"/>
                <w:szCs w:val="21"/>
                <w:lang w:bidi="ar"/>
              </w:rPr>
              <w:t>6</w:t>
            </w:r>
            <w:r>
              <w:rPr>
                <w:sz w:val="21"/>
                <w:szCs w:val="21"/>
                <w:lang w:bidi="ar"/>
              </w:rPr>
              <w:t>号），项目已于</w:t>
            </w:r>
            <w:r>
              <w:rPr>
                <w:sz w:val="21"/>
                <w:szCs w:val="21"/>
                <w:lang w:bidi="ar"/>
              </w:rPr>
              <w:t>2022</w:t>
            </w:r>
            <w:r>
              <w:rPr>
                <w:sz w:val="21"/>
                <w:szCs w:val="21"/>
                <w:lang w:bidi="ar"/>
              </w:rPr>
              <w:t>年</w:t>
            </w:r>
            <w:r>
              <w:rPr>
                <w:sz w:val="21"/>
                <w:szCs w:val="21"/>
                <w:lang w:bidi="ar"/>
              </w:rPr>
              <w:t>1</w:t>
            </w:r>
            <w:r>
              <w:rPr>
                <w:sz w:val="21"/>
                <w:szCs w:val="21"/>
                <w:lang w:bidi="ar"/>
              </w:rPr>
              <w:t>月</w:t>
            </w:r>
            <w:r>
              <w:rPr>
                <w:sz w:val="21"/>
                <w:szCs w:val="21"/>
                <w:lang w:bidi="ar"/>
              </w:rPr>
              <w:t>8</w:t>
            </w:r>
            <w:r>
              <w:rPr>
                <w:sz w:val="21"/>
                <w:szCs w:val="21"/>
                <w:lang w:bidi="ar"/>
              </w:rPr>
              <w:t>日通过环保验收，目前正常运行。</w:t>
            </w:r>
          </w:p>
        </w:tc>
        <w:tc>
          <w:tcPr>
            <w:tcW w:w="790" w:type="pct"/>
            <w:vAlign w:val="center"/>
          </w:tcPr>
          <w:p w14:paraId="183B2391"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791" w:type="pct"/>
            <w:vAlign w:val="center"/>
          </w:tcPr>
          <w:p w14:paraId="2FD0211B" w14:textId="77777777" w:rsidR="003E78AB" w:rsidRDefault="00010BF9">
            <w:pPr>
              <w:spacing w:line="360" w:lineRule="exact"/>
              <w:ind w:firstLineChars="0" w:firstLine="0"/>
              <w:jc w:val="left"/>
              <w:textAlignment w:val="center"/>
              <w:rPr>
                <w:sz w:val="21"/>
                <w:szCs w:val="21"/>
                <w:lang w:bidi="ar"/>
              </w:rPr>
            </w:pPr>
            <w:r>
              <w:rPr>
                <w:sz w:val="21"/>
                <w:szCs w:val="21"/>
                <w:lang w:bidi="ar"/>
              </w:rPr>
              <w:t>该填埋场可以满足本项目固体废物填埋需求</w:t>
            </w:r>
            <w:r>
              <w:rPr>
                <w:rFonts w:hint="eastAsia"/>
                <w:sz w:val="21"/>
                <w:szCs w:val="21"/>
                <w:lang w:bidi="ar"/>
              </w:rPr>
              <w:t>。</w:t>
            </w:r>
          </w:p>
        </w:tc>
        <w:tc>
          <w:tcPr>
            <w:tcW w:w="756" w:type="pct"/>
            <w:vAlign w:val="center"/>
          </w:tcPr>
          <w:p w14:paraId="5E92E1D2" w14:textId="77777777" w:rsidR="003E78AB" w:rsidRDefault="00010BF9">
            <w:pPr>
              <w:spacing w:line="360" w:lineRule="exact"/>
              <w:ind w:firstLineChars="0" w:firstLine="0"/>
              <w:jc w:val="left"/>
              <w:textAlignment w:val="center"/>
              <w:rPr>
                <w:sz w:val="21"/>
                <w:szCs w:val="21"/>
                <w:lang w:bidi="ar"/>
              </w:rPr>
            </w:pPr>
            <w:r>
              <w:rPr>
                <w:sz w:val="21"/>
                <w:szCs w:val="21"/>
                <w:lang w:bidi="ar"/>
              </w:rPr>
              <w:t>可以满足本项目固体废物处理所需。</w:t>
            </w:r>
          </w:p>
        </w:tc>
      </w:tr>
    </w:tbl>
    <w:p w14:paraId="2350826A" w14:textId="77777777" w:rsidR="003E78AB" w:rsidRDefault="00010BF9">
      <w:pPr>
        <w:ind w:firstLine="480"/>
      </w:pPr>
      <w:r>
        <w:rPr>
          <w:lang w:bidi="en-US"/>
        </w:rPr>
        <w:t>综上，本项目各依托设施可行。</w:t>
      </w:r>
    </w:p>
    <w:p w14:paraId="62A7E69C" w14:textId="77777777" w:rsidR="003E78AB" w:rsidRDefault="00010BF9">
      <w:pPr>
        <w:pStyle w:val="24"/>
        <w:keepNext w:val="0"/>
        <w:keepLines w:val="0"/>
        <w:topLinePunct/>
        <w:spacing w:before="120"/>
        <w:rPr>
          <w:rFonts w:cs="Times New Roman"/>
        </w:rPr>
      </w:pPr>
      <w:bookmarkStart w:id="235" w:name="_Toc365"/>
      <w:r>
        <w:rPr>
          <w:rFonts w:cs="Times New Roman"/>
        </w:rPr>
        <w:t>3.2</w:t>
      </w:r>
      <w:r>
        <w:rPr>
          <w:rFonts w:cs="Times New Roman"/>
        </w:rPr>
        <w:t>生产工艺流程及产污环节</w:t>
      </w:r>
      <w:bookmarkEnd w:id="235"/>
    </w:p>
    <w:p w14:paraId="5E46E129" w14:textId="77777777" w:rsidR="003E78AB" w:rsidRDefault="00010BF9">
      <w:pPr>
        <w:pStyle w:val="31"/>
        <w:keepNext w:val="0"/>
        <w:keepLines w:val="0"/>
        <w:topLinePunct/>
        <w:spacing w:before="120"/>
      </w:pPr>
      <w:r>
        <w:t>3.2.1</w:t>
      </w:r>
      <w:r>
        <w:t>施工期工艺流程及产污节点</w:t>
      </w:r>
    </w:p>
    <w:p w14:paraId="6038D0B6" w14:textId="77777777" w:rsidR="003E78AB" w:rsidRDefault="00010BF9">
      <w:pPr>
        <w:ind w:firstLine="480"/>
        <w:rPr>
          <w:lang w:bidi="en-US"/>
        </w:rPr>
      </w:pPr>
      <w:r>
        <w:rPr>
          <w:lang w:bidi="en-US"/>
        </w:rPr>
        <w:t>本项目现状为未利用地，在项目建设过程中将产生噪声、扬尘、固体废弃物、施工废水和生活污水等，其排放量随工期和施工强度不同而有所变化。其施工期间主要施工流程及污染物产生环节如图</w:t>
      </w:r>
      <w:r>
        <w:rPr>
          <w:rFonts w:hint="eastAsia"/>
          <w:lang w:bidi="en-US"/>
        </w:rPr>
        <w:t>3</w:t>
      </w:r>
      <w:r>
        <w:rPr>
          <w:lang w:bidi="en-US"/>
        </w:rPr>
        <w:t>-1</w:t>
      </w:r>
      <w:r>
        <w:rPr>
          <w:lang w:bidi="en-US"/>
        </w:rPr>
        <w:t>。</w:t>
      </w:r>
    </w:p>
    <w:p w14:paraId="7EABC8C1" w14:textId="77777777" w:rsidR="003E78AB" w:rsidRDefault="00010BF9">
      <w:pPr>
        <w:spacing w:line="240" w:lineRule="atLeast"/>
        <w:ind w:firstLineChars="0" w:firstLine="0"/>
        <w:jc w:val="center"/>
        <w:rPr>
          <w:rFonts w:eastAsia="黑体"/>
          <w:bCs/>
        </w:rPr>
      </w:pPr>
      <w:r>
        <w:rPr>
          <w:rFonts w:eastAsia="华文中宋"/>
          <w:szCs w:val="20"/>
        </w:rPr>
        <w:object w:dxaOrig="8577" w:dyaOrig="3991" w14:anchorId="5A4C9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85pt;height:199.55pt" o:ole="">
            <v:imagedata r:id="rId21" o:title=""/>
          </v:shape>
          <o:OLEObject Type="Embed" ProgID="Visio.Drawing.11" ShapeID="_x0000_i1025" DrawAspect="Content" ObjectID="_1814684974" r:id="rId22"/>
        </w:object>
      </w:r>
      <w:r>
        <w:rPr>
          <w:rFonts w:eastAsia="黑体"/>
          <w:bCs/>
        </w:rPr>
        <w:t>图</w:t>
      </w:r>
      <w:r>
        <w:rPr>
          <w:rFonts w:eastAsia="黑体" w:hint="eastAsia"/>
          <w:bCs/>
        </w:rPr>
        <w:t xml:space="preserve">3-1  </w:t>
      </w:r>
      <w:r>
        <w:rPr>
          <w:rFonts w:eastAsia="黑体"/>
          <w:bCs/>
        </w:rPr>
        <w:t>项目施工期工艺流程及产污节点图</w:t>
      </w:r>
    </w:p>
    <w:p w14:paraId="46DA04BE" w14:textId="77777777" w:rsidR="003E78AB" w:rsidRDefault="003E78AB">
      <w:pPr>
        <w:spacing w:line="240" w:lineRule="atLeast"/>
        <w:ind w:firstLineChars="0" w:firstLine="0"/>
        <w:jc w:val="center"/>
        <w:rPr>
          <w:rStyle w:val="Char"/>
          <w:b w:val="0"/>
          <w:bCs/>
          <w:sz w:val="24"/>
          <w:szCs w:val="24"/>
        </w:rPr>
        <w:sectPr w:rsidR="003E78AB">
          <w:pgSz w:w="11906" w:h="16838"/>
          <w:pgMar w:top="1440" w:right="1701" w:bottom="1440" w:left="1985" w:header="851" w:footer="992" w:gutter="0"/>
          <w:cols w:space="720"/>
          <w:docGrid w:linePitch="312"/>
        </w:sectPr>
      </w:pPr>
    </w:p>
    <w:p w14:paraId="34F4C597" w14:textId="77777777" w:rsidR="003E78AB" w:rsidRDefault="00010BF9">
      <w:pPr>
        <w:pStyle w:val="31"/>
        <w:keepNext w:val="0"/>
        <w:keepLines w:val="0"/>
        <w:topLinePunct/>
        <w:spacing w:before="120"/>
      </w:pPr>
      <w:r>
        <w:t>3.2.2</w:t>
      </w:r>
      <w:r>
        <w:t>运营期工艺流程及产污节点</w:t>
      </w:r>
    </w:p>
    <w:p w14:paraId="2D4D002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3.2.2.1</w:t>
      </w:r>
      <w:r>
        <w:rPr>
          <w:rFonts w:ascii="Times New Roman" w:hAnsi="Times New Roman"/>
        </w:rPr>
        <w:t>工艺流程</w:t>
      </w:r>
    </w:p>
    <w:p w14:paraId="7E0BD140" w14:textId="77777777" w:rsidR="003E78AB" w:rsidRDefault="00010BF9">
      <w:pPr>
        <w:spacing w:line="240" w:lineRule="atLeast"/>
        <w:ind w:firstLineChars="0" w:firstLine="0"/>
        <w:rPr>
          <w:rStyle w:val="Char"/>
          <w:b w:val="0"/>
          <w:bCs/>
          <w:sz w:val="24"/>
          <w:szCs w:val="24"/>
        </w:rPr>
      </w:pPr>
      <w:r>
        <w:rPr>
          <w:rStyle w:val="Char"/>
          <w:rFonts w:hint="eastAsia"/>
          <w:b w:val="0"/>
          <w:bCs/>
          <w:sz w:val="24"/>
          <w:szCs w:val="24"/>
        </w:rPr>
        <w:object w:dxaOrig="13952" w:dyaOrig="6209" w14:anchorId="1624850C">
          <v:shape id="_x0000_i1026" type="#_x0000_t75" style="width:697.6pt;height:310.45pt" o:ole="">
            <v:imagedata r:id="rId23" o:title=""/>
            <o:lock v:ext="edit" aspectratio="f"/>
          </v:shape>
          <o:OLEObject Type="Embed" ProgID="Visio.Drawing.15" ShapeID="_x0000_i1026" DrawAspect="Content" ObjectID="_1814684975" r:id="rId24"/>
        </w:object>
      </w:r>
    </w:p>
    <w:p w14:paraId="2CC35569" w14:textId="77777777" w:rsidR="003E78AB" w:rsidRDefault="00010BF9">
      <w:pPr>
        <w:spacing w:line="240" w:lineRule="atLeast"/>
        <w:ind w:firstLineChars="0" w:firstLine="0"/>
        <w:jc w:val="center"/>
        <w:rPr>
          <w:lang w:bidi="en-US"/>
        </w:rPr>
      </w:pPr>
      <w:r>
        <w:rPr>
          <w:rStyle w:val="Char"/>
          <w:rFonts w:hint="eastAsia"/>
          <w:b w:val="0"/>
          <w:bCs/>
          <w:sz w:val="24"/>
          <w:szCs w:val="24"/>
        </w:rPr>
        <w:t>图</w:t>
      </w:r>
      <w:r>
        <w:rPr>
          <w:rStyle w:val="Char"/>
          <w:rFonts w:hint="eastAsia"/>
          <w:b w:val="0"/>
          <w:bCs/>
          <w:sz w:val="24"/>
          <w:szCs w:val="24"/>
        </w:rPr>
        <w:t xml:space="preserve">3-2  </w:t>
      </w:r>
      <w:r>
        <w:rPr>
          <w:rStyle w:val="Char"/>
          <w:b w:val="0"/>
          <w:bCs/>
          <w:sz w:val="24"/>
          <w:szCs w:val="24"/>
        </w:rPr>
        <w:t>工艺流程</w:t>
      </w:r>
      <w:r>
        <w:rPr>
          <w:rStyle w:val="Char"/>
          <w:rFonts w:hint="eastAsia"/>
          <w:b w:val="0"/>
          <w:bCs/>
          <w:sz w:val="24"/>
          <w:szCs w:val="24"/>
        </w:rPr>
        <w:t>及产污环节</w:t>
      </w:r>
      <w:r>
        <w:rPr>
          <w:rStyle w:val="Char"/>
          <w:b w:val="0"/>
          <w:bCs/>
          <w:sz w:val="24"/>
          <w:szCs w:val="24"/>
        </w:rPr>
        <w:t>图</w:t>
      </w:r>
    </w:p>
    <w:p w14:paraId="5CB07988" w14:textId="77777777" w:rsidR="003E78AB" w:rsidRDefault="003E78AB">
      <w:pPr>
        <w:ind w:firstLine="480"/>
        <w:rPr>
          <w:lang w:bidi="en-US"/>
        </w:rPr>
        <w:sectPr w:rsidR="003E78AB">
          <w:pgSz w:w="16838" w:h="11906" w:orient="landscape"/>
          <w:pgMar w:top="1985" w:right="1440" w:bottom="1701" w:left="1440" w:header="851" w:footer="992" w:gutter="0"/>
          <w:cols w:space="720"/>
          <w:docGrid w:linePitch="312"/>
        </w:sectPr>
      </w:pPr>
    </w:p>
    <w:p w14:paraId="79332ED2" w14:textId="77777777" w:rsidR="003E78AB" w:rsidRDefault="00010BF9">
      <w:pPr>
        <w:ind w:firstLine="480"/>
        <w:rPr>
          <w:lang w:bidi="en-US"/>
        </w:rPr>
      </w:pPr>
      <w:r>
        <w:rPr>
          <w:lang w:bidi="en-US"/>
        </w:rPr>
        <w:t>1.</w:t>
      </w:r>
      <w:r>
        <w:rPr>
          <w:lang w:bidi="en-US"/>
        </w:rPr>
        <w:t>原料储存与预处理</w:t>
      </w:r>
    </w:p>
    <w:p w14:paraId="3B981504" w14:textId="77777777" w:rsidR="003E78AB" w:rsidRDefault="00010BF9">
      <w:pPr>
        <w:ind w:firstLine="480"/>
        <w:rPr>
          <w:lang w:bidi="en-US"/>
        </w:rPr>
      </w:pPr>
      <w:r>
        <w:rPr>
          <w:lang w:bidi="en-US"/>
        </w:rPr>
        <w:t>（</w:t>
      </w:r>
      <w:r>
        <w:rPr>
          <w:lang w:bidi="en-US"/>
        </w:rPr>
        <w:t>1</w:t>
      </w:r>
      <w:r>
        <w:rPr>
          <w:lang w:bidi="en-US"/>
        </w:rPr>
        <w:t>）五氧化二钒投加</w:t>
      </w:r>
    </w:p>
    <w:p w14:paraId="546B157D" w14:textId="77777777" w:rsidR="003E78AB" w:rsidRDefault="00010BF9">
      <w:pPr>
        <w:ind w:firstLine="480"/>
        <w:rPr>
          <w:lang w:bidi="en-US"/>
        </w:rPr>
      </w:pPr>
      <w:r>
        <w:rPr>
          <w:lang w:bidi="en-US"/>
        </w:rPr>
        <w:t>袋装高纯五氧化二钒经汽车运输至原料库暂存，</w:t>
      </w:r>
      <w:r>
        <w:rPr>
          <w:rFonts w:hint="eastAsia"/>
          <w:lang w:bidi="en-US"/>
        </w:rPr>
        <w:t>由叉车输送至自动拆包机，</w:t>
      </w:r>
      <w:r>
        <w:rPr>
          <w:lang w:bidi="en-US"/>
        </w:rPr>
        <w:t>物料在负压</w:t>
      </w:r>
      <w:r>
        <w:rPr>
          <w:rFonts w:hint="eastAsia"/>
          <w:lang w:bidi="en-US"/>
        </w:rPr>
        <w:t>状态</w:t>
      </w:r>
      <w:r>
        <w:rPr>
          <w:lang w:bidi="en-US"/>
        </w:rPr>
        <w:t>下落入料仓（防粉尘逸散）；采用真空上料系统将物料</w:t>
      </w:r>
      <w:r>
        <w:rPr>
          <w:rFonts w:hint="eastAsia"/>
          <w:lang w:bidi="en-US"/>
        </w:rPr>
        <w:t>密闭</w:t>
      </w:r>
      <w:r>
        <w:rPr>
          <w:lang w:bidi="en-US"/>
        </w:rPr>
        <w:t>输送至计量料仓，经重力称量后定量投入溶解还原釜</w:t>
      </w:r>
      <w:r>
        <w:rPr>
          <w:rFonts w:hint="eastAsia"/>
          <w:lang w:bidi="en-US"/>
        </w:rPr>
        <w:t>。</w:t>
      </w:r>
      <w:bookmarkStart w:id="236" w:name="OLE_LINK42"/>
    </w:p>
    <w:p w14:paraId="2B2450DA" w14:textId="77777777" w:rsidR="003E78AB" w:rsidRDefault="00010BF9">
      <w:pPr>
        <w:ind w:firstLine="480"/>
        <w:rPr>
          <w:lang w:bidi="en-US"/>
        </w:rPr>
      </w:pPr>
      <w:r>
        <w:rPr>
          <w:rFonts w:hint="eastAsia"/>
          <w:lang w:bidi="en-US"/>
        </w:rPr>
        <w:t>拆包过程有粉尘产生，拆包机在拆袋卸料时将物料袋置于完全密封的空间内部，通过设备割刀装置直接在内部进行破袋，使粉尘限制在设备内部，拆包机与袋式除尘器（</w:t>
      </w:r>
      <w:r>
        <w:rPr>
          <w:rFonts w:hint="eastAsia"/>
          <w:lang w:bidi="en-US"/>
        </w:rPr>
        <w:t>TA001</w:t>
      </w:r>
      <w:r>
        <w:rPr>
          <w:rFonts w:hint="eastAsia"/>
          <w:lang w:bidi="en-US"/>
        </w:rPr>
        <w:t>）相连，</w:t>
      </w:r>
      <w:r>
        <w:rPr>
          <w:lang w:bidi="en-US"/>
        </w:rPr>
        <w:t>处理后</w:t>
      </w:r>
      <w:r>
        <w:rPr>
          <w:rFonts w:hint="eastAsia"/>
          <w:lang w:bidi="en-US"/>
        </w:rPr>
        <w:t>的粉尘</w:t>
      </w:r>
      <w:r>
        <w:rPr>
          <w:lang w:bidi="en-US"/>
        </w:rPr>
        <w:t>经</w:t>
      </w:r>
      <w:r>
        <w:rPr>
          <w:lang w:bidi="en-US"/>
        </w:rPr>
        <w:t>15m</w:t>
      </w:r>
      <w:r>
        <w:rPr>
          <w:lang w:bidi="en-US"/>
        </w:rPr>
        <w:t>高排气筒排放（</w:t>
      </w:r>
      <w:r>
        <w:rPr>
          <w:lang w:bidi="en-US"/>
        </w:rPr>
        <w:t>DA001</w:t>
      </w:r>
      <w:r>
        <w:rPr>
          <w:lang w:bidi="en-US"/>
        </w:rPr>
        <w:t>）。</w:t>
      </w:r>
    </w:p>
    <w:bookmarkEnd w:id="236"/>
    <w:p w14:paraId="2B3E7903" w14:textId="77777777" w:rsidR="003E78AB" w:rsidRDefault="00010BF9">
      <w:pPr>
        <w:ind w:firstLine="480"/>
        <w:rPr>
          <w:lang w:bidi="en-US"/>
        </w:rPr>
      </w:pPr>
      <w:r>
        <w:rPr>
          <w:lang w:bidi="en-US"/>
        </w:rPr>
        <w:t>（</w:t>
      </w:r>
      <w:r>
        <w:rPr>
          <w:lang w:bidi="en-US"/>
        </w:rPr>
        <w:t>2</w:t>
      </w:r>
      <w:r>
        <w:rPr>
          <w:lang w:bidi="en-US"/>
        </w:rPr>
        <w:t>）草酸投加</w:t>
      </w:r>
    </w:p>
    <w:p w14:paraId="16B53C50" w14:textId="77777777" w:rsidR="003E78AB" w:rsidRDefault="00010BF9">
      <w:pPr>
        <w:ind w:firstLine="480"/>
        <w:rPr>
          <w:lang w:bidi="en-US"/>
        </w:rPr>
      </w:pPr>
      <w:r>
        <w:rPr>
          <w:lang w:bidi="en-US"/>
        </w:rPr>
        <w:t>高纯</w:t>
      </w:r>
      <w:r>
        <w:rPr>
          <w:rFonts w:hint="eastAsia"/>
          <w:lang w:bidi="en-US"/>
        </w:rPr>
        <w:t>二水草酸</w:t>
      </w:r>
      <w:r>
        <w:rPr>
          <w:lang w:bidi="en-US"/>
        </w:rPr>
        <w:t>袋装原料经同样流程（拆包</w:t>
      </w:r>
      <w:r>
        <w:rPr>
          <w:lang w:bidi="en-US"/>
        </w:rPr>
        <w:t>→</w:t>
      </w:r>
      <w:r>
        <w:rPr>
          <w:lang w:bidi="en-US"/>
        </w:rPr>
        <w:t>真空上料</w:t>
      </w:r>
      <w:r>
        <w:rPr>
          <w:lang w:bidi="en-US"/>
        </w:rPr>
        <w:t>→</w:t>
      </w:r>
      <w:r>
        <w:rPr>
          <w:lang w:bidi="en-US"/>
        </w:rPr>
        <w:t>计量称量）投入溶解还原釜，投加速度与釜内液位联锁控制，防止反应溢流。</w:t>
      </w:r>
    </w:p>
    <w:p w14:paraId="41D782D5" w14:textId="77777777" w:rsidR="003E78AB" w:rsidRDefault="00010BF9">
      <w:pPr>
        <w:ind w:firstLine="480"/>
        <w:rPr>
          <w:lang w:bidi="en-US"/>
        </w:rPr>
      </w:pPr>
      <w:r>
        <w:rPr>
          <w:rFonts w:hint="eastAsia"/>
          <w:lang w:bidi="en-US"/>
        </w:rPr>
        <w:t>二水草酸拆包过程产生草酸粉尘，同时考虑到草酸拆包机与袋式除尘器（</w:t>
      </w:r>
      <w:r>
        <w:rPr>
          <w:rFonts w:hint="eastAsia"/>
          <w:lang w:bidi="en-US"/>
        </w:rPr>
        <w:t>TA002</w:t>
      </w:r>
      <w:r>
        <w:rPr>
          <w:rFonts w:hint="eastAsia"/>
          <w:lang w:bidi="en-US"/>
        </w:rPr>
        <w:t>）相连，</w:t>
      </w:r>
      <w:r>
        <w:rPr>
          <w:lang w:bidi="en-US"/>
        </w:rPr>
        <w:t>处理后</w:t>
      </w:r>
      <w:r>
        <w:rPr>
          <w:rFonts w:hint="eastAsia"/>
          <w:lang w:bidi="en-US"/>
        </w:rPr>
        <w:t>的粉尘</w:t>
      </w:r>
      <w:r>
        <w:rPr>
          <w:lang w:bidi="en-US"/>
        </w:rPr>
        <w:t>经</w:t>
      </w:r>
      <w:r>
        <w:rPr>
          <w:lang w:bidi="en-US"/>
        </w:rPr>
        <w:t>15m</w:t>
      </w:r>
      <w:r>
        <w:rPr>
          <w:lang w:bidi="en-US"/>
        </w:rPr>
        <w:t>高排气筒排放（</w:t>
      </w:r>
      <w:r>
        <w:rPr>
          <w:lang w:bidi="en-US"/>
        </w:rPr>
        <w:t>DA00</w:t>
      </w:r>
      <w:r>
        <w:rPr>
          <w:rFonts w:hint="eastAsia"/>
          <w:lang w:bidi="en-US"/>
        </w:rPr>
        <w:t>2</w:t>
      </w:r>
      <w:r>
        <w:rPr>
          <w:lang w:bidi="en-US"/>
        </w:rPr>
        <w:t>）。</w:t>
      </w:r>
    </w:p>
    <w:p w14:paraId="03C300F2" w14:textId="77777777" w:rsidR="003E78AB" w:rsidRDefault="00010BF9">
      <w:pPr>
        <w:ind w:firstLine="480"/>
        <w:rPr>
          <w:lang w:bidi="en-US"/>
        </w:rPr>
      </w:pPr>
      <w:r>
        <w:rPr>
          <w:lang w:bidi="en-US"/>
        </w:rPr>
        <w:t>项目五氧化二钒</w:t>
      </w:r>
      <w:r>
        <w:rPr>
          <w:rFonts w:hint="eastAsia"/>
          <w:lang w:bidi="en-US"/>
        </w:rPr>
        <w:t>及草酸</w:t>
      </w:r>
      <w:r>
        <w:rPr>
          <w:lang w:bidi="en-US"/>
        </w:rPr>
        <w:t>投料桶上方</w:t>
      </w:r>
      <w:r>
        <w:rPr>
          <w:rFonts w:hint="eastAsia"/>
          <w:lang w:bidi="en-US"/>
        </w:rPr>
        <w:t>分别</w:t>
      </w:r>
      <w:r>
        <w:rPr>
          <w:lang w:bidi="en-US"/>
        </w:rPr>
        <w:t>设置覆膜滤料袋式除尘器，除尘器定期脉冲喷吹清灰，将附着在滤袋表面的粉尘抖落下来，落入灰斗，除尘灰通过翻板阀、管道落入投料桶，本次除尘系统产生的</w:t>
      </w:r>
      <w:r>
        <w:rPr>
          <w:rFonts w:hint="eastAsia"/>
          <w:lang w:bidi="en-US"/>
        </w:rPr>
        <w:t>收尘灰</w:t>
      </w:r>
      <w:r>
        <w:rPr>
          <w:lang w:bidi="en-US"/>
        </w:rPr>
        <w:t>不再作为生产固废进行识别</w:t>
      </w:r>
      <w:r>
        <w:rPr>
          <w:rFonts w:hint="eastAsia"/>
          <w:lang w:bidi="en-US"/>
        </w:rPr>
        <w:t>。但拆包投料过程考虑了少量的无组织逸散，逸散</w:t>
      </w:r>
      <w:r>
        <w:rPr>
          <w:rFonts w:hint="eastAsia"/>
          <w:lang w:bidi="en-US"/>
        </w:rPr>
        <w:t>的粉尘在车间内沉降，清扫收集的沉降灰不再回用，作为危险废物处理。</w:t>
      </w:r>
    </w:p>
    <w:p w14:paraId="6B07F60A" w14:textId="77777777" w:rsidR="003E78AB" w:rsidRDefault="00010BF9">
      <w:pPr>
        <w:ind w:firstLine="480"/>
        <w:rPr>
          <w:lang w:bidi="en-US"/>
        </w:rPr>
      </w:pPr>
      <w:r>
        <w:rPr>
          <w:lang w:bidi="en-US"/>
        </w:rPr>
        <w:t>（</w:t>
      </w:r>
      <w:r>
        <w:rPr>
          <w:lang w:bidi="en-US"/>
        </w:rPr>
        <w:t>3</w:t>
      </w:r>
      <w:r>
        <w:rPr>
          <w:lang w:bidi="en-US"/>
        </w:rPr>
        <w:t>）硫酸稀释</w:t>
      </w:r>
    </w:p>
    <w:p w14:paraId="2B76CB54" w14:textId="77777777" w:rsidR="003E78AB" w:rsidRDefault="00010BF9">
      <w:pPr>
        <w:ind w:firstLine="480"/>
        <w:rPr>
          <w:lang w:bidi="en-US"/>
        </w:rPr>
      </w:pPr>
      <w:r>
        <w:rPr>
          <w:rFonts w:hint="eastAsia"/>
          <w:lang w:bidi="en-US"/>
        </w:rPr>
        <w:t>98%</w:t>
      </w:r>
      <w:r>
        <w:rPr>
          <w:rFonts w:hint="eastAsia"/>
          <w:lang w:bidi="en-US"/>
        </w:rPr>
        <w:t>的浓</w:t>
      </w:r>
      <w:r>
        <w:rPr>
          <w:lang w:bidi="en-US"/>
        </w:rPr>
        <w:t>硫酸从</w:t>
      </w:r>
      <w:r>
        <w:rPr>
          <w:rFonts w:hint="eastAsia"/>
          <w:lang w:bidi="en-US"/>
        </w:rPr>
        <w:t>液体库的硫酸</w:t>
      </w:r>
      <w:r>
        <w:rPr>
          <w:lang w:bidi="en-US"/>
        </w:rPr>
        <w:t>储罐经泵输送至</w:t>
      </w:r>
      <w:r>
        <w:rPr>
          <w:rFonts w:hint="eastAsia"/>
          <w:lang w:bidi="en-US"/>
        </w:rPr>
        <w:t>生产车间一的</w:t>
      </w:r>
      <w:r>
        <w:rPr>
          <w:lang w:bidi="en-US"/>
        </w:rPr>
        <w:t>硫酸稀释釜，与超纯水按比例混合（流量计联锁控制），配制成所需浓度稀硫酸</w:t>
      </w:r>
      <w:r>
        <w:rPr>
          <w:rFonts w:hint="eastAsia"/>
          <w:lang w:bidi="en-US"/>
        </w:rPr>
        <w:t>，用于溶解还原工序和电解还原工序</w:t>
      </w:r>
      <w:r>
        <w:rPr>
          <w:lang w:bidi="en-US"/>
        </w:rPr>
        <w:t>。</w:t>
      </w:r>
    </w:p>
    <w:p w14:paraId="07632C5C" w14:textId="77777777" w:rsidR="003E78AB" w:rsidRDefault="00010BF9">
      <w:pPr>
        <w:ind w:firstLine="480"/>
        <w:rPr>
          <w:lang w:bidi="en-US"/>
        </w:rPr>
      </w:pPr>
      <w:r>
        <w:rPr>
          <w:lang w:bidi="en-US"/>
        </w:rPr>
        <w:t>因硫酸本身具有难挥发性，硫酸储罐的法兰接口采用双密封防漏设计，呼吸阀主要为空气，可对空排放。硫酸稀释过程放热产生的硫酸雾经管道收集后接入碱洗塔</w:t>
      </w:r>
      <w:r>
        <w:rPr>
          <w:lang w:bidi="en-US"/>
        </w:rPr>
        <w:t>+</w:t>
      </w:r>
      <w:r>
        <w:rPr>
          <w:lang w:bidi="en-US"/>
        </w:rPr>
        <w:t>水洗塔处理后排放（</w:t>
      </w:r>
      <w:r>
        <w:rPr>
          <w:lang w:bidi="en-US"/>
        </w:rPr>
        <w:t>DA00</w:t>
      </w:r>
      <w:r>
        <w:rPr>
          <w:rFonts w:hint="eastAsia"/>
          <w:lang w:bidi="en-US"/>
        </w:rPr>
        <w:t>3</w:t>
      </w:r>
      <w:r>
        <w:rPr>
          <w:lang w:bidi="en-US"/>
        </w:rPr>
        <w:t>）。</w:t>
      </w:r>
    </w:p>
    <w:p w14:paraId="02A98CE8" w14:textId="77777777" w:rsidR="003E78AB" w:rsidRDefault="00010BF9">
      <w:pPr>
        <w:ind w:firstLine="480"/>
        <w:rPr>
          <w:lang w:bidi="en-US"/>
        </w:rPr>
      </w:pPr>
      <w:r>
        <w:rPr>
          <w:lang w:bidi="en-US"/>
        </w:rPr>
        <w:t>2.</w:t>
      </w:r>
      <w:r>
        <w:rPr>
          <w:lang w:bidi="en-US"/>
        </w:rPr>
        <w:t>溶解还原工序</w:t>
      </w:r>
    </w:p>
    <w:p w14:paraId="3D8F5EB2" w14:textId="77777777" w:rsidR="003E78AB" w:rsidRDefault="00010BF9">
      <w:pPr>
        <w:ind w:firstLine="480"/>
        <w:rPr>
          <w:lang w:bidi="en-US"/>
        </w:rPr>
      </w:pPr>
      <w:r>
        <w:rPr>
          <w:lang w:bidi="en-US"/>
        </w:rPr>
        <w:t>（</w:t>
      </w:r>
      <w:r>
        <w:rPr>
          <w:lang w:bidi="en-US"/>
        </w:rPr>
        <w:t>1</w:t>
      </w:r>
      <w:r>
        <w:rPr>
          <w:lang w:bidi="en-US"/>
        </w:rPr>
        <w:t>）制浆与还原反应</w:t>
      </w:r>
    </w:p>
    <w:p w14:paraId="4030B845" w14:textId="77777777" w:rsidR="003E78AB" w:rsidRDefault="00010BF9">
      <w:pPr>
        <w:ind w:firstLine="480"/>
        <w:rPr>
          <w:lang w:bidi="en-US"/>
        </w:rPr>
      </w:pPr>
      <w:r>
        <w:rPr>
          <w:lang w:bidi="en-US"/>
        </w:rPr>
        <w:t>超纯水与稀硫酸按比例泵入溶解还原釜，搅拌</w:t>
      </w:r>
      <w:r>
        <w:rPr>
          <w:lang w:bidi="en-US"/>
        </w:rPr>
        <w:t>20</w:t>
      </w:r>
      <w:r>
        <w:rPr>
          <w:lang w:bidi="en-US"/>
        </w:rPr>
        <w:t>分钟混合均匀，夹套冷却系统降温至</w:t>
      </w:r>
      <w:r>
        <w:rPr>
          <w:lang w:bidi="en-US"/>
        </w:rPr>
        <w:t>70-80℃</w:t>
      </w:r>
      <w:r>
        <w:rPr>
          <w:lang w:bidi="en-US"/>
        </w:rPr>
        <w:t>；再投入五氧化二钒，搅拌形成浆料；缓慢加入草酸（控速防暴沸），在</w:t>
      </w:r>
      <w:r>
        <w:rPr>
          <w:lang w:bidi="en-US"/>
        </w:rPr>
        <w:t>70-80℃</w:t>
      </w:r>
      <w:r>
        <w:rPr>
          <w:lang w:bidi="en-US"/>
        </w:rPr>
        <w:t>下反应</w:t>
      </w:r>
      <w:r>
        <w:rPr>
          <w:lang w:bidi="en-US"/>
        </w:rPr>
        <w:t>3</w:t>
      </w:r>
      <w:r>
        <w:rPr>
          <w:lang w:bidi="en-US"/>
        </w:rPr>
        <w:t>小时，发生还原反应：</w:t>
      </w:r>
    </w:p>
    <w:p w14:paraId="281A053C" w14:textId="77777777" w:rsidR="003E78AB" w:rsidRDefault="00010BF9">
      <w:pPr>
        <w:ind w:firstLine="480"/>
        <w:rPr>
          <w:lang w:bidi="en-US"/>
        </w:rPr>
      </w:pPr>
      <w:r>
        <w:rPr>
          <w:lang w:bidi="en-US"/>
        </w:rPr>
        <w:t>2 V</w:t>
      </w:r>
      <w:r>
        <w:rPr>
          <w:vertAlign w:val="subscript"/>
          <w:lang w:bidi="en-US"/>
        </w:rPr>
        <w:t>2</w:t>
      </w:r>
      <w:r>
        <w:rPr>
          <w:lang w:bidi="en-US"/>
        </w:rPr>
        <w:t>O</w:t>
      </w:r>
      <w:r>
        <w:rPr>
          <w:vertAlign w:val="subscript"/>
          <w:lang w:bidi="en-US"/>
        </w:rPr>
        <w:t>5</w:t>
      </w:r>
      <w:r>
        <w:rPr>
          <w:lang w:bidi="en-US"/>
        </w:rPr>
        <w:t>+2 H</w:t>
      </w:r>
      <w:r>
        <w:rPr>
          <w:vertAlign w:val="subscript"/>
          <w:lang w:bidi="en-US"/>
        </w:rPr>
        <w:t>2</w:t>
      </w:r>
      <w:r>
        <w:rPr>
          <w:lang w:bidi="en-US"/>
        </w:rPr>
        <w:t>C</w:t>
      </w:r>
      <w:r>
        <w:rPr>
          <w:vertAlign w:val="subscript"/>
          <w:lang w:bidi="en-US"/>
        </w:rPr>
        <w:t>2</w:t>
      </w:r>
      <w:r>
        <w:rPr>
          <w:lang w:bidi="en-US"/>
        </w:rPr>
        <w:t>O</w:t>
      </w:r>
      <w:r>
        <w:rPr>
          <w:vertAlign w:val="subscript"/>
          <w:lang w:bidi="en-US"/>
        </w:rPr>
        <w:t>4</w:t>
      </w:r>
      <w:r>
        <w:rPr>
          <w:lang w:bidi="en-US"/>
        </w:rPr>
        <w:t>→4 VO</w:t>
      </w:r>
      <w:r>
        <w:rPr>
          <w:vertAlign w:val="subscript"/>
          <w:lang w:bidi="en-US"/>
        </w:rPr>
        <w:t>2</w:t>
      </w:r>
      <w:r>
        <w:rPr>
          <w:lang w:bidi="en-US"/>
        </w:rPr>
        <w:t>+2 CO</w:t>
      </w:r>
      <w:r>
        <w:rPr>
          <w:vertAlign w:val="subscript"/>
          <w:lang w:bidi="en-US"/>
        </w:rPr>
        <w:t>2</w:t>
      </w:r>
      <w:r>
        <w:rPr>
          <w:rFonts w:hint="eastAsia"/>
          <w:kern w:val="2"/>
        </w:rPr>
        <w:t>↑</w:t>
      </w:r>
      <w:r>
        <w:rPr>
          <w:lang w:bidi="en-US"/>
        </w:rPr>
        <w:t>+2 H</w:t>
      </w:r>
      <w:r>
        <w:rPr>
          <w:vertAlign w:val="subscript"/>
          <w:lang w:bidi="en-US"/>
        </w:rPr>
        <w:t>2</w:t>
      </w:r>
      <w:r>
        <w:rPr>
          <w:lang w:bidi="en-US"/>
        </w:rPr>
        <w:t>O</w:t>
      </w:r>
    </w:p>
    <w:p w14:paraId="0947A44B" w14:textId="77777777" w:rsidR="003E78AB" w:rsidRDefault="00010BF9">
      <w:pPr>
        <w:ind w:firstLine="480"/>
        <w:rPr>
          <w:lang w:bidi="en-US"/>
        </w:rPr>
      </w:pPr>
      <w:r>
        <w:rPr>
          <w:lang w:bidi="en-US"/>
        </w:rPr>
        <w:t>生产</w:t>
      </w:r>
      <w:r>
        <w:rPr>
          <w:lang w:bidi="en-US"/>
        </w:rPr>
        <w:t>1m³</w:t>
      </w:r>
      <w:r>
        <w:rPr>
          <w:lang w:bidi="en-US"/>
        </w:rPr>
        <w:t>钒电解液</w:t>
      </w:r>
      <w:r>
        <w:rPr>
          <w:rFonts w:hint="eastAsia"/>
          <w:lang w:bidi="en-US"/>
        </w:rPr>
        <w:t>的</w:t>
      </w:r>
      <w:r>
        <w:rPr>
          <w:lang w:bidi="en-US"/>
        </w:rPr>
        <w:t>钒浓度</w:t>
      </w:r>
      <w:r>
        <w:rPr>
          <w:rFonts w:hint="eastAsia"/>
          <w:lang w:bidi="en-US"/>
        </w:rPr>
        <w:t>为</w:t>
      </w:r>
      <w:r>
        <w:rPr>
          <w:lang w:bidi="en-US"/>
        </w:rPr>
        <w:t>2.2mol/L</w:t>
      </w:r>
      <w:r>
        <w:rPr>
          <w:lang w:bidi="en-US"/>
        </w:rPr>
        <w:t>，硫酸</w:t>
      </w:r>
      <w:r>
        <w:rPr>
          <w:lang w:bidi="en-US"/>
        </w:rPr>
        <w:t>4.6mol/L</w:t>
      </w:r>
      <w:r>
        <w:rPr>
          <w:lang w:bidi="en-US"/>
        </w:rPr>
        <w:t>。</w:t>
      </w:r>
    </w:p>
    <w:p w14:paraId="1C768E64" w14:textId="77777777" w:rsidR="003E78AB" w:rsidRDefault="00010BF9">
      <w:pPr>
        <w:ind w:firstLine="480"/>
        <w:rPr>
          <w:lang w:bidi="en-US"/>
        </w:rPr>
      </w:pPr>
      <w:r>
        <w:rPr>
          <w:rFonts w:hint="eastAsia"/>
          <w:lang w:bidi="en-US"/>
        </w:rPr>
        <w:t>结合二水草酸的物理化学性质，草酸‌初始分解阶段为</w:t>
      </w:r>
      <w:r>
        <w:rPr>
          <w:rFonts w:hint="eastAsia"/>
          <w:lang w:bidi="en-US"/>
        </w:rPr>
        <w:t>100</w:t>
      </w:r>
      <w:r>
        <w:rPr>
          <w:rFonts w:hint="eastAsia"/>
          <w:lang w:bidi="en-US"/>
        </w:rPr>
        <w:t>℃时草酸开始升华，</w:t>
      </w:r>
      <w:r>
        <w:rPr>
          <w:rFonts w:hint="eastAsia"/>
          <w:lang w:bidi="en-US"/>
        </w:rPr>
        <w:t>125</w:t>
      </w:r>
      <w:r>
        <w:rPr>
          <w:rFonts w:hint="eastAsia"/>
          <w:lang w:bidi="en-US"/>
        </w:rPr>
        <w:t>℃时迅速升华，</w:t>
      </w:r>
      <w:r>
        <w:rPr>
          <w:rFonts w:hint="eastAsia"/>
          <w:lang w:bidi="en-US"/>
        </w:rPr>
        <w:t>157</w:t>
      </w:r>
      <w:r>
        <w:rPr>
          <w:rFonts w:hint="eastAsia"/>
          <w:lang w:bidi="en-US"/>
        </w:rPr>
        <w:t>℃大量升华并伴随分解（甲酸、</w:t>
      </w:r>
      <w:r>
        <w:rPr>
          <w:rFonts w:hint="eastAsia"/>
          <w:lang w:bidi="en-US"/>
        </w:rPr>
        <w:t>CO</w:t>
      </w:r>
      <w:r>
        <w:rPr>
          <w:rFonts w:hint="eastAsia"/>
          <w:vertAlign w:val="subscript"/>
          <w:lang w:bidi="en-US"/>
        </w:rPr>
        <w:t>2</w:t>
      </w:r>
      <w:r>
        <w:rPr>
          <w:rFonts w:hint="eastAsia"/>
          <w:lang w:bidi="en-US"/>
        </w:rPr>
        <w:t>）；‌完全分解温度为</w:t>
      </w:r>
      <w:r>
        <w:rPr>
          <w:rFonts w:hint="eastAsia"/>
          <w:lang w:bidi="en-US"/>
        </w:rPr>
        <w:t>175</w:t>
      </w:r>
      <w:r>
        <w:rPr>
          <w:rFonts w:hint="eastAsia"/>
          <w:lang w:bidi="en-US"/>
        </w:rPr>
        <w:t>℃时草酸晶体分解（二水合物脱水后），</w:t>
      </w:r>
      <w:r>
        <w:rPr>
          <w:rFonts w:hint="eastAsia"/>
          <w:lang w:bidi="en-US"/>
        </w:rPr>
        <w:t>189.5</w:t>
      </w:r>
      <w:r>
        <w:rPr>
          <w:rFonts w:hint="eastAsia"/>
          <w:lang w:bidi="en-US"/>
        </w:rPr>
        <w:t>℃或遇浓硫酸时彻底分解为气体产物（</w:t>
      </w:r>
      <w:r>
        <w:rPr>
          <w:rFonts w:hint="eastAsia"/>
          <w:lang w:bidi="en-US"/>
        </w:rPr>
        <w:t>CO</w:t>
      </w:r>
      <w:r>
        <w:rPr>
          <w:rFonts w:hint="eastAsia"/>
          <w:vertAlign w:val="subscript"/>
          <w:lang w:bidi="en-US"/>
        </w:rPr>
        <w:t>2</w:t>
      </w:r>
      <w:r>
        <w:rPr>
          <w:rFonts w:hint="eastAsia"/>
          <w:lang w:bidi="en-US"/>
        </w:rPr>
        <w:t>、</w:t>
      </w:r>
      <w:r>
        <w:rPr>
          <w:rFonts w:hint="eastAsia"/>
          <w:lang w:bidi="en-US"/>
        </w:rPr>
        <w:t>CO</w:t>
      </w:r>
      <w:r>
        <w:rPr>
          <w:rFonts w:hint="eastAsia"/>
          <w:lang w:bidi="en-US"/>
        </w:rPr>
        <w:t>、</w:t>
      </w:r>
      <w:r>
        <w:rPr>
          <w:rFonts w:hint="eastAsia"/>
          <w:lang w:bidi="en-US"/>
        </w:rPr>
        <w:t>H</w:t>
      </w:r>
      <w:r>
        <w:rPr>
          <w:rFonts w:hint="eastAsia"/>
          <w:vertAlign w:val="subscript"/>
          <w:lang w:bidi="en-US"/>
        </w:rPr>
        <w:t>2</w:t>
      </w:r>
      <w:r>
        <w:rPr>
          <w:rFonts w:hint="eastAsia"/>
          <w:lang w:bidi="en-US"/>
        </w:rPr>
        <w:t>O</w:t>
      </w:r>
      <w:r>
        <w:rPr>
          <w:rFonts w:hint="eastAsia"/>
          <w:lang w:bidi="en-US"/>
        </w:rPr>
        <w:t>）。本公司反应温度整体控制在</w:t>
      </w:r>
      <w:r>
        <w:rPr>
          <w:lang w:bidi="en-US"/>
        </w:rPr>
        <w:t>70-80℃</w:t>
      </w:r>
      <w:r>
        <w:rPr>
          <w:rFonts w:hint="eastAsia"/>
          <w:lang w:bidi="en-US"/>
        </w:rPr>
        <w:t>，考虑到化学反应过程造成局部温度波动可能产生草酸蒸汽（酸性气体）、甲酸（</w:t>
      </w:r>
      <w:r>
        <w:rPr>
          <w:rFonts w:hint="eastAsia"/>
          <w:lang w:bidi="en-US"/>
        </w:rPr>
        <w:t>TVOC</w:t>
      </w:r>
      <w:r>
        <w:rPr>
          <w:rFonts w:hint="eastAsia"/>
          <w:lang w:bidi="en-US"/>
        </w:rPr>
        <w:t>）等。</w:t>
      </w:r>
    </w:p>
    <w:p w14:paraId="0B414E33" w14:textId="77777777" w:rsidR="003E78AB" w:rsidRDefault="00010BF9">
      <w:pPr>
        <w:ind w:firstLine="480"/>
        <w:rPr>
          <w:lang w:bidi="en-US"/>
        </w:rPr>
      </w:pPr>
      <w:r>
        <w:rPr>
          <w:lang w:bidi="en-US"/>
        </w:rPr>
        <w:t>搅拌及反应过程产生的废气</w:t>
      </w:r>
      <w:r>
        <w:rPr>
          <w:rFonts w:hint="eastAsia"/>
          <w:lang w:bidi="en-US"/>
        </w:rPr>
        <w:t>（酸性废气、</w:t>
      </w:r>
      <w:r>
        <w:rPr>
          <w:rFonts w:hint="eastAsia"/>
          <w:lang w:bidi="en-US"/>
        </w:rPr>
        <w:t>TVOC</w:t>
      </w:r>
      <w:r>
        <w:rPr>
          <w:rFonts w:hint="eastAsia"/>
          <w:lang w:bidi="en-US"/>
        </w:rPr>
        <w:t>、</w:t>
      </w:r>
      <w:r>
        <w:rPr>
          <w:rFonts w:hint="eastAsia"/>
          <w:lang w:bidi="en-US"/>
        </w:rPr>
        <w:t>CO</w:t>
      </w:r>
      <w:r>
        <w:rPr>
          <w:rFonts w:hint="eastAsia"/>
          <w:vertAlign w:val="subscript"/>
          <w:lang w:bidi="en-US"/>
        </w:rPr>
        <w:t>2</w:t>
      </w:r>
      <w:r>
        <w:rPr>
          <w:rFonts w:hint="eastAsia"/>
          <w:lang w:bidi="en-US"/>
        </w:rPr>
        <w:t>和水汽等）</w:t>
      </w:r>
      <w:r>
        <w:rPr>
          <w:lang w:bidi="en-US"/>
        </w:rPr>
        <w:t>经一级碱洗塔（</w:t>
      </w:r>
      <w:r>
        <w:rPr>
          <w:lang w:bidi="en-US"/>
        </w:rPr>
        <w:t>NaOH</w:t>
      </w:r>
      <w:r>
        <w:rPr>
          <w:lang w:bidi="en-US"/>
        </w:rPr>
        <w:t>溶液）</w:t>
      </w:r>
      <w:r>
        <w:rPr>
          <w:lang w:bidi="en-US"/>
        </w:rPr>
        <w:t>+</w:t>
      </w:r>
      <w:r>
        <w:rPr>
          <w:lang w:bidi="en-US"/>
        </w:rPr>
        <w:t>一级水洗塔处理后经</w:t>
      </w:r>
      <w:r>
        <w:rPr>
          <w:lang w:bidi="en-US"/>
        </w:rPr>
        <w:t>1</w:t>
      </w:r>
      <w:r>
        <w:rPr>
          <w:lang w:bidi="en-US"/>
        </w:rPr>
        <w:t>根</w:t>
      </w:r>
      <w:r>
        <w:rPr>
          <w:lang w:bidi="en-US"/>
        </w:rPr>
        <w:t>15m</w:t>
      </w:r>
      <w:r>
        <w:rPr>
          <w:lang w:bidi="en-US"/>
        </w:rPr>
        <w:t>排气筒排放（</w:t>
      </w:r>
      <w:r>
        <w:rPr>
          <w:lang w:bidi="en-US"/>
        </w:rPr>
        <w:t>DA003</w:t>
      </w:r>
      <w:r>
        <w:rPr>
          <w:lang w:bidi="en-US"/>
        </w:rPr>
        <w:t>）。</w:t>
      </w:r>
    </w:p>
    <w:p w14:paraId="6361B305" w14:textId="77777777" w:rsidR="003E78AB" w:rsidRDefault="00010BF9">
      <w:pPr>
        <w:ind w:firstLine="480"/>
        <w:rPr>
          <w:lang w:bidi="en-US"/>
        </w:rPr>
      </w:pPr>
      <w:r>
        <w:rPr>
          <w:lang w:bidi="en-US"/>
        </w:rPr>
        <w:t>温度超限自动联锁停料。</w:t>
      </w:r>
    </w:p>
    <w:p w14:paraId="361DC55F" w14:textId="77777777" w:rsidR="003E78AB" w:rsidRDefault="00010BF9">
      <w:pPr>
        <w:ind w:firstLine="480"/>
        <w:rPr>
          <w:lang w:bidi="en-US"/>
        </w:rPr>
      </w:pPr>
      <w:r>
        <w:rPr>
          <w:lang w:bidi="en-US"/>
        </w:rPr>
        <w:t>（</w:t>
      </w:r>
      <w:r>
        <w:rPr>
          <w:lang w:bidi="en-US"/>
        </w:rPr>
        <w:t>2</w:t>
      </w:r>
      <w:r>
        <w:rPr>
          <w:lang w:bidi="en-US"/>
        </w:rPr>
        <w:t>）冷却与过滤</w:t>
      </w:r>
    </w:p>
    <w:p w14:paraId="2F299F56" w14:textId="77777777" w:rsidR="003E78AB" w:rsidRDefault="00010BF9">
      <w:pPr>
        <w:ind w:firstLine="480"/>
        <w:rPr>
          <w:lang w:bidi="en-US"/>
        </w:rPr>
      </w:pPr>
      <w:r>
        <w:rPr>
          <w:lang w:bidi="en-US"/>
        </w:rPr>
        <w:t>反应结束，夹套通</w:t>
      </w:r>
      <w:r>
        <w:rPr>
          <w:lang w:bidi="en-US"/>
        </w:rPr>
        <w:t>7℃</w:t>
      </w:r>
      <w:r>
        <w:rPr>
          <w:lang w:bidi="en-US"/>
        </w:rPr>
        <w:t>冷水降温至</w:t>
      </w:r>
      <w:r>
        <w:rPr>
          <w:lang w:bidi="en-US"/>
        </w:rPr>
        <w:t>30℃</w:t>
      </w:r>
      <w:r>
        <w:rPr>
          <w:lang w:bidi="en-US"/>
        </w:rPr>
        <w:t>以下，物料经转料泵输送至精密过滤</w:t>
      </w:r>
      <w:r>
        <w:rPr>
          <w:lang w:bidi="en-US"/>
        </w:rPr>
        <w:t>器，滤除未反应固体杂质。滤液（</w:t>
      </w:r>
      <w:r>
        <w:rPr>
          <w:lang w:bidi="en-US"/>
        </w:rPr>
        <w:t>4</w:t>
      </w:r>
      <w:r>
        <w:rPr>
          <w:lang w:bidi="en-US"/>
        </w:rPr>
        <w:t>价钒电解液）泵入中间储罐（</w:t>
      </w:r>
      <w:r>
        <w:rPr>
          <w:lang w:bidi="en-US"/>
        </w:rPr>
        <w:t>4</w:t>
      </w:r>
      <w:r>
        <w:rPr>
          <w:lang w:bidi="en-US"/>
        </w:rPr>
        <w:t>价电解液罐）。</w:t>
      </w:r>
    </w:p>
    <w:p w14:paraId="6AD26734" w14:textId="77777777" w:rsidR="003E78AB" w:rsidRDefault="00010BF9">
      <w:pPr>
        <w:ind w:firstLine="480"/>
        <w:rPr>
          <w:lang w:bidi="en-US"/>
        </w:rPr>
      </w:pPr>
      <w:r>
        <w:rPr>
          <w:lang w:bidi="en-US"/>
        </w:rPr>
        <w:t>过滤过程产生</w:t>
      </w:r>
      <w:r>
        <w:rPr>
          <w:rFonts w:hint="eastAsia"/>
          <w:lang w:bidi="en-US"/>
        </w:rPr>
        <w:t>钒渣回用继续至溶解还原釜</w:t>
      </w:r>
      <w:r>
        <w:rPr>
          <w:lang w:bidi="en-US"/>
        </w:rPr>
        <w:t>。</w:t>
      </w:r>
    </w:p>
    <w:p w14:paraId="24CE223D" w14:textId="77777777" w:rsidR="003E78AB" w:rsidRDefault="00010BF9">
      <w:pPr>
        <w:ind w:firstLine="480"/>
        <w:rPr>
          <w:lang w:bidi="en-US"/>
        </w:rPr>
      </w:pPr>
      <w:r>
        <w:rPr>
          <w:lang w:bidi="en-US"/>
        </w:rPr>
        <w:t>3.</w:t>
      </w:r>
      <w:r>
        <w:rPr>
          <w:lang w:bidi="en-US"/>
        </w:rPr>
        <w:t>电解还原工序</w:t>
      </w:r>
    </w:p>
    <w:p w14:paraId="13044AD1" w14:textId="77777777" w:rsidR="003E78AB" w:rsidRDefault="00010BF9">
      <w:pPr>
        <w:ind w:firstLine="480"/>
        <w:rPr>
          <w:lang w:bidi="en-US"/>
        </w:rPr>
      </w:pPr>
      <w:r>
        <w:rPr>
          <w:lang w:bidi="en-US"/>
        </w:rPr>
        <w:t>（</w:t>
      </w:r>
      <w:r>
        <w:rPr>
          <w:lang w:bidi="en-US"/>
        </w:rPr>
        <w:t>1</w:t>
      </w:r>
      <w:r>
        <w:rPr>
          <w:lang w:bidi="en-US"/>
        </w:rPr>
        <w:t>）电解系统准备</w:t>
      </w:r>
    </w:p>
    <w:p w14:paraId="26B6E06F" w14:textId="77777777" w:rsidR="003E78AB" w:rsidRDefault="00010BF9">
      <w:pPr>
        <w:ind w:firstLine="480"/>
        <w:rPr>
          <w:lang w:bidi="en-US"/>
        </w:rPr>
      </w:pPr>
      <w:r>
        <w:rPr>
          <w:lang w:bidi="en-US"/>
        </w:rPr>
        <w:t>阴极区：</w:t>
      </w:r>
      <w:r>
        <w:rPr>
          <w:lang w:bidi="en-US"/>
        </w:rPr>
        <w:t>4</w:t>
      </w:r>
      <w:r>
        <w:rPr>
          <w:lang w:bidi="en-US"/>
        </w:rPr>
        <w:t>价钒电解液经超精密过滤器（</w:t>
      </w:r>
      <w:r>
        <w:rPr>
          <w:lang w:bidi="en-US"/>
        </w:rPr>
        <w:t>0.1μm</w:t>
      </w:r>
      <w:r>
        <w:rPr>
          <w:lang w:bidi="en-US"/>
        </w:rPr>
        <w:t>）净化后注入阴极罐。</w:t>
      </w:r>
    </w:p>
    <w:p w14:paraId="50CCD81E" w14:textId="77777777" w:rsidR="003E78AB" w:rsidRDefault="00010BF9">
      <w:pPr>
        <w:ind w:firstLine="480"/>
        <w:rPr>
          <w:lang w:bidi="en-US"/>
        </w:rPr>
      </w:pPr>
      <w:r>
        <w:rPr>
          <w:lang w:bidi="en-US"/>
        </w:rPr>
        <w:t>阳极区：稀硫酸溶液（由硫酸稀释釜配置）泵入阳极罐。</w:t>
      </w:r>
    </w:p>
    <w:p w14:paraId="5D8BCFE9" w14:textId="77777777" w:rsidR="003E78AB" w:rsidRDefault="00010BF9">
      <w:pPr>
        <w:ind w:firstLine="480"/>
        <w:rPr>
          <w:lang w:bidi="en-US"/>
        </w:rPr>
      </w:pPr>
      <w:r>
        <w:rPr>
          <w:lang w:bidi="en-US"/>
        </w:rPr>
        <w:t>（</w:t>
      </w:r>
      <w:r>
        <w:rPr>
          <w:lang w:bidi="en-US"/>
        </w:rPr>
        <w:t>2</w:t>
      </w:r>
      <w:r>
        <w:rPr>
          <w:lang w:bidi="en-US"/>
        </w:rPr>
        <w:t>）电解过程</w:t>
      </w:r>
    </w:p>
    <w:p w14:paraId="57B415C1" w14:textId="77777777" w:rsidR="003E78AB" w:rsidRDefault="00010BF9">
      <w:pPr>
        <w:ind w:firstLine="480"/>
        <w:rPr>
          <w:lang w:bidi="en-US"/>
        </w:rPr>
      </w:pPr>
      <w:r>
        <w:rPr>
          <w:lang w:bidi="en-US"/>
        </w:rPr>
        <w:t>阴阳极溶液在电堆</w:t>
      </w:r>
      <w:r>
        <w:rPr>
          <w:lang w:bidi="en-US"/>
        </w:rPr>
        <w:t>-</w:t>
      </w:r>
      <w:r>
        <w:rPr>
          <w:lang w:bidi="en-US"/>
        </w:rPr>
        <w:t>储罐间闭路循环</w:t>
      </w:r>
      <w:r>
        <w:rPr>
          <w:rFonts w:hint="eastAsia"/>
          <w:lang w:bidi="en-US"/>
        </w:rPr>
        <w:t>组成电池</w:t>
      </w:r>
      <w:r>
        <w:rPr>
          <w:lang w:bidi="en-US"/>
        </w:rPr>
        <w:t>，通直流电电解：</w:t>
      </w:r>
    </w:p>
    <w:p w14:paraId="32B36D79" w14:textId="77777777" w:rsidR="003E78AB" w:rsidRDefault="00010BF9">
      <w:pPr>
        <w:ind w:firstLine="480"/>
        <w:rPr>
          <w:lang w:bidi="en-US"/>
        </w:rPr>
      </w:pPr>
      <w:r>
        <w:rPr>
          <w:lang w:bidi="en-US"/>
        </w:rPr>
        <w:t>阴极：</w:t>
      </w:r>
      <w:r>
        <w:rPr>
          <w:lang w:bidi="en-US"/>
        </w:rPr>
        <w:t>VO</w:t>
      </w:r>
      <w:r>
        <w:rPr>
          <w:vertAlign w:val="superscript"/>
          <w:lang w:bidi="en-US"/>
        </w:rPr>
        <w:t>2+</w:t>
      </w:r>
      <w:r>
        <w:rPr>
          <w:lang w:bidi="en-US"/>
        </w:rPr>
        <w:t>+2 H</w:t>
      </w:r>
      <w:r>
        <w:rPr>
          <w:vertAlign w:val="superscript"/>
          <w:lang w:bidi="en-US"/>
        </w:rPr>
        <w:t>+</w:t>
      </w:r>
      <w:r>
        <w:rPr>
          <w:lang w:bidi="en-US"/>
        </w:rPr>
        <w:t>+e</w:t>
      </w:r>
      <w:r>
        <w:rPr>
          <w:vertAlign w:val="superscript"/>
          <w:lang w:bidi="en-US"/>
        </w:rPr>
        <w:t>−</w:t>
      </w:r>
      <w:r>
        <w:rPr>
          <w:lang w:bidi="en-US"/>
        </w:rPr>
        <w:t>→V</w:t>
      </w:r>
      <w:r>
        <w:rPr>
          <w:vertAlign w:val="superscript"/>
          <w:lang w:bidi="en-US"/>
        </w:rPr>
        <w:t>3+</w:t>
      </w:r>
      <w:r>
        <w:rPr>
          <w:lang w:bidi="en-US"/>
        </w:rPr>
        <w:t>+H</w:t>
      </w:r>
      <w:r>
        <w:rPr>
          <w:vertAlign w:val="subscript"/>
          <w:lang w:bidi="en-US"/>
        </w:rPr>
        <w:t>2</w:t>
      </w:r>
      <w:r>
        <w:rPr>
          <w:lang w:bidi="en-US"/>
        </w:rPr>
        <w:t xml:space="preserve">O  </w:t>
      </w:r>
      <w:r>
        <w:rPr>
          <w:lang w:bidi="en-US"/>
        </w:rPr>
        <w:t>阳极：</w:t>
      </w:r>
      <w:r>
        <w:rPr>
          <w:lang w:bidi="en-US"/>
        </w:rPr>
        <w:t>2 H</w:t>
      </w:r>
      <w:r>
        <w:rPr>
          <w:vertAlign w:val="subscript"/>
          <w:lang w:bidi="en-US"/>
        </w:rPr>
        <w:t>2</w:t>
      </w:r>
      <w:r>
        <w:rPr>
          <w:lang w:bidi="en-US"/>
        </w:rPr>
        <w:t>O→O</w:t>
      </w:r>
      <w:r>
        <w:rPr>
          <w:vertAlign w:val="subscript"/>
          <w:lang w:bidi="en-US"/>
        </w:rPr>
        <w:t>2</w:t>
      </w:r>
      <w:r>
        <w:rPr>
          <w:rFonts w:hint="eastAsia"/>
          <w:kern w:val="2"/>
        </w:rPr>
        <w:t>↑</w:t>
      </w:r>
      <w:r>
        <w:rPr>
          <w:lang w:bidi="en-US"/>
        </w:rPr>
        <w:t>+4 H</w:t>
      </w:r>
      <w:r>
        <w:rPr>
          <w:vertAlign w:val="superscript"/>
          <w:lang w:bidi="en-US"/>
        </w:rPr>
        <w:t>+</w:t>
      </w:r>
      <w:r>
        <w:rPr>
          <w:lang w:bidi="en-US"/>
        </w:rPr>
        <w:t>+4 e</w:t>
      </w:r>
      <w:r>
        <w:rPr>
          <w:vertAlign w:val="superscript"/>
          <w:lang w:bidi="en-US"/>
        </w:rPr>
        <w:t>-</w:t>
      </w:r>
    </w:p>
    <w:p w14:paraId="287B8510" w14:textId="77777777" w:rsidR="003E78AB" w:rsidRDefault="00010BF9">
      <w:pPr>
        <w:ind w:firstLine="480"/>
        <w:rPr>
          <w:lang w:bidi="en-US"/>
        </w:rPr>
      </w:pPr>
      <w:r>
        <w:rPr>
          <w:lang w:bidi="en-US"/>
        </w:rPr>
        <w:t>紫外分光光度计在线监测钒离子价态，达</w:t>
      </w:r>
      <w:r>
        <w:rPr>
          <w:lang w:bidi="en-US"/>
        </w:rPr>
        <w:t>3.5</w:t>
      </w:r>
      <w:r>
        <w:rPr>
          <w:lang w:bidi="en-US"/>
        </w:rPr>
        <w:t>价（</w:t>
      </w:r>
      <w:r>
        <w:rPr>
          <w:lang w:bidi="en-US"/>
        </w:rPr>
        <w:t>V³⁺/VO²⁺</w:t>
      </w:r>
      <w:r>
        <w:rPr>
          <w:lang w:bidi="en-US"/>
        </w:rPr>
        <w:t>混合态</w:t>
      </w:r>
      <w:r>
        <w:rPr>
          <w:lang w:bidi="en-US"/>
        </w:rPr>
        <w:t>）时停止电解。</w:t>
      </w:r>
    </w:p>
    <w:p w14:paraId="25AC82F1" w14:textId="77777777" w:rsidR="003E78AB" w:rsidRDefault="00010BF9">
      <w:pPr>
        <w:ind w:firstLine="480"/>
        <w:rPr>
          <w:lang w:bidi="en-US"/>
        </w:rPr>
      </w:pPr>
      <w:r>
        <w:rPr>
          <w:lang w:bidi="en-US"/>
        </w:rPr>
        <w:t>电解槽封闭运行，闭路循环：阳极罐</w:t>
      </w:r>
      <w:r>
        <w:rPr>
          <w:lang w:bidi="en-US"/>
        </w:rPr>
        <w:t>→</w:t>
      </w:r>
      <w:r>
        <w:rPr>
          <w:lang w:bidi="en-US"/>
        </w:rPr>
        <w:t>电解槽</w:t>
      </w:r>
      <w:r>
        <w:rPr>
          <w:lang w:bidi="en-US"/>
        </w:rPr>
        <w:t>→</w:t>
      </w:r>
      <w:r>
        <w:rPr>
          <w:lang w:bidi="en-US"/>
        </w:rPr>
        <w:t>阳极罐（通过耐酸泵强制循环）</w:t>
      </w:r>
      <w:r>
        <w:rPr>
          <w:rFonts w:hint="eastAsia"/>
          <w:lang w:bidi="en-US"/>
        </w:rPr>
        <w:t>，</w:t>
      </w:r>
      <w:r>
        <w:rPr>
          <w:lang w:bidi="en-US"/>
        </w:rPr>
        <w:t>循环目的</w:t>
      </w:r>
      <w:r>
        <w:rPr>
          <w:rFonts w:hint="eastAsia"/>
          <w:lang w:bidi="en-US"/>
        </w:rPr>
        <w:t>系</w:t>
      </w:r>
      <w:r>
        <w:rPr>
          <w:lang w:bidi="en-US"/>
        </w:rPr>
        <w:t>维持阳极区硫酸浓度稳定，保障析氧反应持续进行</w:t>
      </w:r>
      <w:r>
        <w:rPr>
          <w:rFonts w:hint="eastAsia"/>
          <w:lang w:bidi="en-US"/>
        </w:rPr>
        <w:t>。循环过程</w:t>
      </w:r>
      <w:r>
        <w:rPr>
          <w:lang w:bidi="en-US"/>
        </w:rPr>
        <w:t>阴极区钒离子（</w:t>
      </w:r>
      <w:r>
        <w:rPr>
          <w:lang w:bidi="en-US"/>
        </w:rPr>
        <w:t>VO²⁺/V³⁺</w:t>
      </w:r>
      <w:r>
        <w:rPr>
          <w:lang w:bidi="en-US"/>
        </w:rPr>
        <w:t>）会通过离子交换膜渗透至阳极区（渗透率约</w:t>
      </w:r>
      <w:r>
        <w:rPr>
          <w:lang w:bidi="en-US"/>
        </w:rPr>
        <w:t>0.5%/</w:t>
      </w:r>
      <w:r>
        <w:rPr>
          <w:lang w:bidi="en-US"/>
        </w:rPr>
        <w:t>天），导致阳极液含钒量逐渐升高，影响电解效率。</w:t>
      </w:r>
      <w:r>
        <w:rPr>
          <w:rFonts w:hint="eastAsia"/>
          <w:lang w:bidi="en-US"/>
        </w:rPr>
        <w:t>因此要在一定条件下（如硫酸浓度≥</w:t>
      </w:r>
      <w:r>
        <w:rPr>
          <w:rFonts w:hint="eastAsia"/>
          <w:lang w:bidi="en-US"/>
        </w:rPr>
        <w:t>5.5mol/L</w:t>
      </w:r>
      <w:r>
        <w:rPr>
          <w:rFonts w:hint="eastAsia"/>
          <w:lang w:bidi="en-US"/>
        </w:rPr>
        <w:t>、钒离子浓度≥</w:t>
      </w:r>
      <w:r>
        <w:rPr>
          <w:rFonts w:hint="eastAsia"/>
          <w:lang w:bidi="en-US"/>
        </w:rPr>
        <w:t>50ppm</w:t>
      </w:r>
      <w:r>
        <w:rPr>
          <w:rFonts w:hint="eastAsia"/>
          <w:lang w:bidi="en-US"/>
        </w:rPr>
        <w:t>）排放阳极液，每次排放阳极液总量的</w:t>
      </w:r>
      <w:r>
        <w:rPr>
          <w:rFonts w:hint="eastAsia"/>
          <w:lang w:bidi="en-US"/>
        </w:rPr>
        <w:t>10</w:t>
      </w:r>
      <w:r>
        <w:rPr>
          <w:rFonts w:hint="eastAsia"/>
          <w:lang w:bidi="en-US"/>
        </w:rPr>
        <w:t>—</w:t>
      </w:r>
      <w:r>
        <w:rPr>
          <w:rFonts w:hint="eastAsia"/>
          <w:lang w:bidi="en-US"/>
        </w:rPr>
        <w:t>15%</w:t>
      </w:r>
      <w:r>
        <w:rPr>
          <w:rFonts w:hint="eastAsia"/>
          <w:lang w:bidi="en-US"/>
        </w:rPr>
        <w:t>（约</w:t>
      </w:r>
      <w:r>
        <w:rPr>
          <w:rFonts w:hint="eastAsia"/>
          <w:lang w:bidi="en-US"/>
        </w:rPr>
        <w:t>200-300L/</w:t>
      </w:r>
      <w:r>
        <w:rPr>
          <w:rFonts w:hint="eastAsia"/>
          <w:lang w:bidi="en-US"/>
        </w:rPr>
        <w:t>次），排放后补充等量新鲜稀硫酸（</w:t>
      </w:r>
      <w:r>
        <w:rPr>
          <w:rFonts w:hint="eastAsia"/>
          <w:lang w:bidi="en-US"/>
        </w:rPr>
        <w:t>4.6mol/L</w:t>
      </w:r>
      <w:r>
        <w:rPr>
          <w:rFonts w:hint="eastAsia"/>
          <w:lang w:bidi="en-US"/>
        </w:rPr>
        <w:t>）。排放的阳极液回溶解还原釜使用。</w:t>
      </w:r>
    </w:p>
    <w:p w14:paraId="66282001" w14:textId="77777777" w:rsidR="003E78AB" w:rsidRDefault="00010BF9">
      <w:pPr>
        <w:ind w:firstLine="480"/>
        <w:rPr>
          <w:lang w:bidi="en-US"/>
        </w:rPr>
      </w:pPr>
      <w:r>
        <w:rPr>
          <w:lang w:bidi="en-US"/>
        </w:rPr>
        <w:t>阳极区析氧携带的硫酸雾经负压抽吸至碱洗塔</w:t>
      </w:r>
      <w:r>
        <w:rPr>
          <w:lang w:bidi="en-US"/>
        </w:rPr>
        <w:t>+</w:t>
      </w:r>
      <w:r>
        <w:rPr>
          <w:lang w:bidi="en-US"/>
        </w:rPr>
        <w:t>水洗塔处理后排放。</w:t>
      </w:r>
    </w:p>
    <w:p w14:paraId="2C60B901" w14:textId="77777777" w:rsidR="003E78AB" w:rsidRDefault="00010BF9">
      <w:pPr>
        <w:ind w:firstLine="480"/>
        <w:rPr>
          <w:lang w:bidi="en-US"/>
        </w:rPr>
      </w:pPr>
      <w:r>
        <w:rPr>
          <w:lang w:bidi="en-US"/>
        </w:rPr>
        <w:t>4.</w:t>
      </w:r>
      <w:r>
        <w:rPr>
          <w:lang w:bidi="en-US"/>
        </w:rPr>
        <w:t>定容与包装</w:t>
      </w:r>
    </w:p>
    <w:p w14:paraId="15A631C2" w14:textId="77777777" w:rsidR="003E78AB" w:rsidRDefault="00010BF9">
      <w:pPr>
        <w:ind w:firstLine="480"/>
        <w:rPr>
          <w:lang w:bidi="en-US"/>
        </w:rPr>
      </w:pPr>
      <w:r>
        <w:rPr>
          <w:lang w:bidi="en-US"/>
        </w:rPr>
        <w:t>（</w:t>
      </w:r>
      <w:r>
        <w:rPr>
          <w:lang w:bidi="en-US"/>
        </w:rPr>
        <w:t>1</w:t>
      </w:r>
      <w:r>
        <w:rPr>
          <w:lang w:bidi="en-US"/>
        </w:rPr>
        <w:t>）定容调配</w:t>
      </w:r>
    </w:p>
    <w:p w14:paraId="23CFA383" w14:textId="77777777" w:rsidR="003E78AB" w:rsidRDefault="00010BF9">
      <w:pPr>
        <w:ind w:firstLine="480"/>
        <w:rPr>
          <w:lang w:bidi="en-US"/>
        </w:rPr>
      </w:pPr>
      <w:r>
        <w:rPr>
          <w:lang w:bidi="en-US"/>
        </w:rPr>
        <w:t>3.5</w:t>
      </w:r>
      <w:r>
        <w:rPr>
          <w:lang w:bidi="en-US"/>
        </w:rPr>
        <w:t>价电解液输送至定容罐，取样分析并计算配制标准钒电解液</w:t>
      </w:r>
      <w:r>
        <w:rPr>
          <w:rFonts w:hint="eastAsia"/>
          <w:lang w:bidi="en-US"/>
        </w:rPr>
        <w:t>，</w:t>
      </w:r>
      <w:r>
        <w:rPr>
          <w:lang w:bidi="en-US"/>
        </w:rPr>
        <w:t>补加：</w:t>
      </w:r>
    </w:p>
    <w:p w14:paraId="6FC0AFBB" w14:textId="77777777" w:rsidR="003E78AB" w:rsidRDefault="00010BF9">
      <w:pPr>
        <w:ind w:firstLine="480"/>
        <w:rPr>
          <w:lang w:bidi="en-US"/>
        </w:rPr>
      </w:pPr>
      <w:r>
        <w:rPr>
          <w:rFonts w:hint="eastAsia"/>
          <w:lang w:bidi="en-US"/>
        </w:rPr>
        <w:t>①</w:t>
      </w:r>
      <w:r>
        <w:rPr>
          <w:lang w:bidi="en-US"/>
        </w:rPr>
        <w:t>超纯水</w:t>
      </w:r>
      <w:r>
        <w:rPr>
          <w:lang w:bidi="en-US"/>
        </w:rPr>
        <w:t>/</w:t>
      </w:r>
      <w:r>
        <w:rPr>
          <w:lang w:bidi="en-US"/>
        </w:rPr>
        <w:t>硫酸：流量计定量加入；</w:t>
      </w:r>
    </w:p>
    <w:p w14:paraId="4E227C4A" w14:textId="77777777" w:rsidR="003E78AB" w:rsidRDefault="00010BF9">
      <w:pPr>
        <w:ind w:firstLine="480"/>
        <w:rPr>
          <w:lang w:bidi="en-US"/>
        </w:rPr>
      </w:pPr>
      <w:r>
        <w:rPr>
          <w:rFonts w:hint="eastAsia"/>
          <w:lang w:bidi="en-US"/>
        </w:rPr>
        <w:t>②添加剂</w:t>
      </w:r>
      <w:r>
        <w:rPr>
          <w:lang w:bidi="en-US"/>
        </w:rPr>
        <w:t>磷酸：计量槽称重后加入（提升电解液稳定性）。</w:t>
      </w:r>
    </w:p>
    <w:p w14:paraId="1C06F754" w14:textId="77777777" w:rsidR="003E78AB" w:rsidRDefault="00010BF9">
      <w:pPr>
        <w:ind w:firstLine="480"/>
        <w:rPr>
          <w:lang w:bidi="en-US"/>
        </w:rPr>
      </w:pPr>
      <w:r>
        <w:rPr>
          <w:lang w:bidi="en-US"/>
        </w:rPr>
        <w:t>搅拌</w:t>
      </w:r>
      <w:r>
        <w:rPr>
          <w:lang w:bidi="en-US"/>
        </w:rPr>
        <w:t>30</w:t>
      </w:r>
      <w:r>
        <w:rPr>
          <w:lang w:bidi="en-US"/>
        </w:rPr>
        <w:t>分钟混匀，取样检测合格后泵入产品储罐。</w:t>
      </w:r>
    </w:p>
    <w:p w14:paraId="524B2031" w14:textId="77777777" w:rsidR="003E78AB" w:rsidRDefault="00010BF9">
      <w:pPr>
        <w:ind w:firstLine="480"/>
        <w:rPr>
          <w:lang w:bidi="en-US"/>
        </w:rPr>
      </w:pPr>
      <w:r>
        <w:rPr>
          <w:lang w:bidi="en-US"/>
        </w:rPr>
        <w:t>磷酸储罐设双层罐壁，磷酸装卸和储存过程呼吸阀产生的含磷酸的废气经密闭管道连接至生产车间一的碱洗塔</w:t>
      </w:r>
      <w:r>
        <w:rPr>
          <w:lang w:bidi="en-US"/>
        </w:rPr>
        <w:t>+</w:t>
      </w:r>
      <w:r>
        <w:rPr>
          <w:lang w:bidi="en-US"/>
        </w:rPr>
        <w:t>水洗塔处理后排放；搅拌过程产生的废气冷凝回收后接入碱洗塔</w:t>
      </w:r>
      <w:r>
        <w:rPr>
          <w:lang w:bidi="en-US"/>
        </w:rPr>
        <w:t>+</w:t>
      </w:r>
      <w:r>
        <w:rPr>
          <w:lang w:bidi="en-US"/>
        </w:rPr>
        <w:t>水洗塔处理后合并排放</w:t>
      </w:r>
      <w:r>
        <w:rPr>
          <w:rFonts w:hint="eastAsia"/>
          <w:lang w:bidi="en-US"/>
        </w:rPr>
        <w:t>（</w:t>
      </w:r>
      <w:r>
        <w:rPr>
          <w:rFonts w:hint="eastAsia"/>
          <w:lang w:bidi="en-US"/>
        </w:rPr>
        <w:t>DA003</w:t>
      </w:r>
      <w:r>
        <w:rPr>
          <w:rFonts w:hint="eastAsia"/>
          <w:lang w:bidi="en-US"/>
        </w:rPr>
        <w:t>）</w:t>
      </w:r>
      <w:r>
        <w:rPr>
          <w:lang w:bidi="en-US"/>
        </w:rPr>
        <w:t>。</w:t>
      </w:r>
    </w:p>
    <w:p w14:paraId="271EC700" w14:textId="77777777" w:rsidR="003E78AB" w:rsidRDefault="00010BF9">
      <w:pPr>
        <w:ind w:firstLine="480"/>
        <w:rPr>
          <w:lang w:bidi="en-US"/>
        </w:rPr>
      </w:pPr>
      <w:r>
        <w:rPr>
          <w:lang w:bidi="en-US"/>
        </w:rPr>
        <w:t>（</w:t>
      </w:r>
      <w:r>
        <w:rPr>
          <w:lang w:bidi="en-US"/>
        </w:rPr>
        <w:t>2</w:t>
      </w:r>
      <w:r>
        <w:rPr>
          <w:lang w:bidi="en-US"/>
        </w:rPr>
        <w:t>）产品包装</w:t>
      </w:r>
    </w:p>
    <w:p w14:paraId="62C5249D" w14:textId="77777777" w:rsidR="003E78AB" w:rsidRDefault="00010BF9">
      <w:pPr>
        <w:ind w:firstLine="480"/>
        <w:rPr>
          <w:lang w:bidi="en-US"/>
        </w:rPr>
      </w:pPr>
      <w:r>
        <w:rPr>
          <w:lang w:bidi="en-US"/>
        </w:rPr>
        <w:t>合格</w:t>
      </w:r>
      <w:r>
        <w:rPr>
          <w:lang w:bidi="en-US"/>
        </w:rPr>
        <w:t>电解液分两条路径输出：</w:t>
      </w:r>
    </w:p>
    <w:p w14:paraId="401A7E2A" w14:textId="77777777" w:rsidR="003E78AB" w:rsidRDefault="00010BF9">
      <w:pPr>
        <w:ind w:firstLine="480"/>
        <w:rPr>
          <w:lang w:bidi="en-US"/>
        </w:rPr>
      </w:pPr>
      <w:r>
        <w:rPr>
          <w:lang w:bidi="en-US"/>
        </w:rPr>
        <w:t>装车泵：槽罐车外运（用于大型储能项目）；</w:t>
      </w:r>
    </w:p>
    <w:p w14:paraId="5366F702" w14:textId="77777777" w:rsidR="003E78AB" w:rsidRDefault="00010BF9">
      <w:pPr>
        <w:ind w:firstLine="480"/>
        <w:rPr>
          <w:lang w:bidi="en-US"/>
        </w:rPr>
      </w:pPr>
      <w:r>
        <w:rPr>
          <w:lang w:bidi="en-US"/>
        </w:rPr>
        <w:t>灌装泵：桶装（</w:t>
      </w:r>
      <w:r>
        <w:rPr>
          <w:lang w:bidi="en-US"/>
        </w:rPr>
        <w:t>25L/</w:t>
      </w:r>
      <w:r>
        <w:rPr>
          <w:lang w:bidi="en-US"/>
        </w:rPr>
        <w:t>桶，用于实验室或小型系统）。</w:t>
      </w:r>
    </w:p>
    <w:p w14:paraId="301EFB31" w14:textId="77777777" w:rsidR="003E78AB" w:rsidRDefault="00010BF9">
      <w:pPr>
        <w:ind w:firstLine="480"/>
        <w:rPr>
          <w:lang w:bidi="en-US"/>
        </w:rPr>
      </w:pPr>
      <w:r>
        <w:rPr>
          <w:lang w:bidi="en-US"/>
        </w:rPr>
        <w:t>灌装区设成品灌装机，为真空封闭系统</w:t>
      </w:r>
      <w:r>
        <w:rPr>
          <w:rFonts w:hint="eastAsia"/>
          <w:lang w:bidi="en-US"/>
        </w:rPr>
        <w:t>；装车设鹤管。</w:t>
      </w:r>
      <w:r>
        <w:rPr>
          <w:lang w:bidi="en-US"/>
        </w:rPr>
        <w:t>产生的</w:t>
      </w:r>
      <w:r>
        <w:rPr>
          <w:rFonts w:hint="eastAsia"/>
          <w:lang w:bidi="en-US"/>
        </w:rPr>
        <w:t>装卸</w:t>
      </w:r>
      <w:r>
        <w:rPr>
          <w:lang w:bidi="en-US"/>
        </w:rPr>
        <w:t>废气接入碱洗塔</w:t>
      </w:r>
      <w:r>
        <w:rPr>
          <w:lang w:bidi="en-US"/>
        </w:rPr>
        <w:t>+</w:t>
      </w:r>
      <w:r>
        <w:rPr>
          <w:lang w:bidi="en-US"/>
        </w:rPr>
        <w:t>水洗塔处理后合并排放</w:t>
      </w:r>
      <w:r>
        <w:rPr>
          <w:rFonts w:hint="eastAsia"/>
          <w:lang w:bidi="en-US"/>
        </w:rPr>
        <w:t>（</w:t>
      </w:r>
      <w:r>
        <w:rPr>
          <w:rFonts w:hint="eastAsia"/>
          <w:lang w:bidi="en-US"/>
        </w:rPr>
        <w:t>DA003</w:t>
      </w:r>
      <w:r>
        <w:rPr>
          <w:rFonts w:hint="eastAsia"/>
          <w:lang w:bidi="en-US"/>
        </w:rPr>
        <w:t>）</w:t>
      </w:r>
      <w:r>
        <w:rPr>
          <w:lang w:bidi="en-US"/>
        </w:rPr>
        <w:t>。碱洗塔</w:t>
      </w:r>
      <w:r>
        <w:rPr>
          <w:lang w:bidi="en-US"/>
        </w:rPr>
        <w:t>+</w:t>
      </w:r>
      <w:r>
        <w:rPr>
          <w:lang w:bidi="en-US"/>
        </w:rPr>
        <w:t>水洗塔</w:t>
      </w:r>
      <w:r>
        <w:rPr>
          <w:rFonts w:hint="eastAsia"/>
          <w:lang w:bidi="en-US"/>
        </w:rPr>
        <w:t>内的碱液和喷淋水循环使用，定期排盐，高浓度含盐废水进</w:t>
      </w:r>
      <w:r>
        <w:rPr>
          <w:rFonts w:hint="eastAsia"/>
          <w:lang w:bidi="en-US"/>
        </w:rPr>
        <w:t>1m</w:t>
      </w:r>
      <w:r>
        <w:rPr>
          <w:rFonts w:hint="eastAsia"/>
          <w:vertAlign w:val="superscript"/>
          <w:lang w:bidi="en-US"/>
        </w:rPr>
        <w:t>3</w:t>
      </w:r>
      <w:r>
        <w:rPr>
          <w:rFonts w:hint="eastAsia"/>
          <w:lang w:bidi="en-US"/>
        </w:rPr>
        <w:t>蒸发釜（电加热）按批次间歇处理，蒸馏水回用配置碱液或水洗塔补水，蒸发的结晶盐为固体废物，属性确定前按危废收集处置。</w:t>
      </w:r>
    </w:p>
    <w:p w14:paraId="2F975D1F" w14:textId="77777777" w:rsidR="003E78AB" w:rsidRDefault="00010BF9">
      <w:pPr>
        <w:ind w:firstLine="480"/>
        <w:rPr>
          <w:bCs/>
          <w:lang w:bidi="en-US"/>
        </w:rPr>
      </w:pPr>
      <w:r>
        <w:rPr>
          <w:rFonts w:hint="eastAsia"/>
          <w:bCs/>
          <w:lang w:bidi="en-US"/>
        </w:rPr>
        <w:t>5.</w:t>
      </w:r>
      <w:r>
        <w:rPr>
          <w:rFonts w:hint="eastAsia"/>
          <w:bCs/>
          <w:lang w:bidi="en-US"/>
        </w:rPr>
        <w:t>分析化验与研发</w:t>
      </w:r>
    </w:p>
    <w:p w14:paraId="5CDC2B54" w14:textId="77777777" w:rsidR="003E78AB" w:rsidRDefault="00010BF9">
      <w:pPr>
        <w:ind w:firstLine="480"/>
        <w:rPr>
          <w:bCs/>
        </w:rPr>
      </w:pPr>
      <w:r>
        <w:rPr>
          <w:rFonts w:hint="eastAsia"/>
          <w:bCs/>
        </w:rPr>
        <w:t>研发中心</w:t>
      </w:r>
      <w:r>
        <w:rPr>
          <w:bCs/>
        </w:rPr>
        <w:t>设置分析实验室，主要进行产品纯度及原料抽检，主要实验类型为色谱及简单的理化试验。</w:t>
      </w:r>
      <w:r>
        <w:rPr>
          <w:rFonts w:hint="eastAsia"/>
          <w:bCs/>
        </w:rPr>
        <w:t>化验过程在通风柜内进行，化验室废经</w:t>
      </w:r>
      <w:r>
        <w:rPr>
          <w:rFonts w:hint="eastAsia"/>
          <w:bCs/>
        </w:rPr>
        <w:tab/>
      </w:r>
      <w:r>
        <w:rPr>
          <w:rFonts w:hint="eastAsia"/>
          <w:bCs/>
        </w:rPr>
        <w:t>通风柜收集在化验室楼顶排放。实验室运行过程中配置试剂及化验用水为纯水，经管道收集后流入生产车间的</w:t>
      </w:r>
      <w:r>
        <w:rPr>
          <w:rFonts w:hint="eastAsia"/>
          <w:bCs/>
        </w:rPr>
        <w:t>15m</w:t>
      </w:r>
      <w:r>
        <w:rPr>
          <w:rFonts w:hint="eastAsia"/>
          <w:bCs/>
          <w:vertAlign w:val="superscript"/>
        </w:rPr>
        <w:t>3</w:t>
      </w:r>
      <w:r>
        <w:rPr>
          <w:rFonts w:hint="eastAsia"/>
          <w:bCs/>
        </w:rPr>
        <w:t>电解液事故罐，回用于生产。</w:t>
      </w:r>
    </w:p>
    <w:p w14:paraId="057710C8" w14:textId="77777777" w:rsidR="003E78AB" w:rsidRDefault="00010BF9">
      <w:pPr>
        <w:ind w:firstLine="480"/>
        <w:rPr>
          <w:b/>
          <w:bCs/>
          <w:u w:val="single"/>
          <w:lang w:bidi="en-US"/>
        </w:rPr>
      </w:pPr>
      <w:r>
        <w:rPr>
          <w:rFonts w:hint="eastAsia"/>
          <w:bCs/>
        </w:rPr>
        <w:t>技术研发主要采用电脑进行曲线模拟，无产排污。</w:t>
      </w:r>
    </w:p>
    <w:p w14:paraId="43CB854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3.2.2.2</w:t>
      </w:r>
      <w:r>
        <w:rPr>
          <w:rFonts w:ascii="Times New Roman" w:hAnsi="Times New Roman"/>
        </w:rPr>
        <w:t>产污环节分析</w:t>
      </w:r>
    </w:p>
    <w:p w14:paraId="71C4A63E" w14:textId="77777777" w:rsidR="003E78AB" w:rsidRDefault="00010BF9">
      <w:pPr>
        <w:ind w:firstLine="480"/>
        <w:rPr>
          <w:lang w:bidi="en-US"/>
        </w:rPr>
      </w:pPr>
      <w:r>
        <w:rPr>
          <w:rFonts w:hint="eastAsia"/>
          <w:lang w:bidi="en-US"/>
        </w:rPr>
        <w:t>本</w:t>
      </w:r>
      <w:r>
        <w:rPr>
          <w:lang w:bidi="en-US"/>
        </w:rPr>
        <w:t>项目产污环节及治理措施见</w:t>
      </w:r>
      <w:r>
        <w:rPr>
          <w:lang w:bidi="en-US"/>
        </w:rPr>
        <w:fldChar w:fldCharType="begin"/>
      </w:r>
      <w:r>
        <w:rPr>
          <w:lang w:bidi="en-US"/>
        </w:rPr>
        <w:instrText xml:space="preserve"> REF _Ref21991 \r \h </w:instrText>
      </w:r>
      <w:r>
        <w:rPr>
          <w:lang w:bidi="en-US"/>
        </w:rPr>
      </w:r>
      <w:r>
        <w:rPr>
          <w:lang w:bidi="en-US"/>
        </w:rPr>
        <w:fldChar w:fldCharType="separate"/>
      </w:r>
      <w:r>
        <w:rPr>
          <w:lang w:bidi="en-US"/>
        </w:rPr>
        <w:t>表</w:t>
      </w:r>
      <w:r>
        <w:rPr>
          <w:lang w:bidi="en-US"/>
        </w:rPr>
        <w:t>3-9</w:t>
      </w:r>
      <w:r>
        <w:rPr>
          <w:lang w:bidi="en-US"/>
        </w:rPr>
        <w:fldChar w:fldCharType="end"/>
      </w:r>
      <w:r>
        <w:rPr>
          <w:lang w:bidi="en-US"/>
        </w:rPr>
        <w:t>。</w:t>
      </w:r>
    </w:p>
    <w:p w14:paraId="202A943B" w14:textId="77777777" w:rsidR="003E78AB" w:rsidRDefault="00010BF9">
      <w:pPr>
        <w:pStyle w:val="a1"/>
      </w:pPr>
      <w:bookmarkStart w:id="237" w:name="_Ref21991"/>
      <w:r>
        <w:t>项目产污环节及治理措施一览表</w:t>
      </w:r>
      <w:bookmarkEnd w:id="237"/>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960"/>
        <w:gridCol w:w="2231"/>
        <w:gridCol w:w="2005"/>
        <w:gridCol w:w="847"/>
        <w:gridCol w:w="1029"/>
        <w:gridCol w:w="933"/>
      </w:tblGrid>
      <w:tr w:rsidR="003E78AB" w14:paraId="2F0C1B82" w14:textId="77777777">
        <w:trPr>
          <w:trHeight w:val="340"/>
          <w:tblHeader/>
        </w:trPr>
        <w:tc>
          <w:tcPr>
            <w:tcW w:w="253" w:type="pct"/>
          </w:tcPr>
          <w:p w14:paraId="1C857114"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类别</w:t>
            </w:r>
          </w:p>
        </w:tc>
        <w:tc>
          <w:tcPr>
            <w:tcW w:w="569" w:type="pct"/>
          </w:tcPr>
          <w:p w14:paraId="464FD758"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生产线</w:t>
            </w:r>
          </w:p>
        </w:tc>
        <w:tc>
          <w:tcPr>
            <w:tcW w:w="1322" w:type="pct"/>
          </w:tcPr>
          <w:p w14:paraId="000524F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产污节点</w:t>
            </w:r>
          </w:p>
        </w:tc>
        <w:tc>
          <w:tcPr>
            <w:tcW w:w="1188" w:type="pct"/>
          </w:tcPr>
          <w:p w14:paraId="6067AA9C"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污染物</w:t>
            </w:r>
            <w:r>
              <w:rPr>
                <w:rFonts w:hint="eastAsia"/>
                <w:b/>
                <w:bCs/>
                <w:sz w:val="21"/>
                <w:szCs w:val="21"/>
                <w:lang w:bidi="ar"/>
              </w:rPr>
              <w:t>成分</w:t>
            </w:r>
          </w:p>
        </w:tc>
        <w:tc>
          <w:tcPr>
            <w:tcW w:w="502" w:type="pct"/>
          </w:tcPr>
          <w:p w14:paraId="04091A3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排放方式</w:t>
            </w:r>
          </w:p>
        </w:tc>
        <w:tc>
          <w:tcPr>
            <w:tcW w:w="1163" w:type="pct"/>
            <w:gridSpan w:val="2"/>
          </w:tcPr>
          <w:p w14:paraId="6C3E59E8"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治理措施</w:t>
            </w:r>
          </w:p>
        </w:tc>
      </w:tr>
      <w:tr w:rsidR="003E78AB" w14:paraId="79DDF48C" w14:textId="77777777">
        <w:trPr>
          <w:trHeight w:val="340"/>
        </w:trPr>
        <w:tc>
          <w:tcPr>
            <w:tcW w:w="253" w:type="pct"/>
            <w:vMerge w:val="restart"/>
          </w:tcPr>
          <w:p w14:paraId="7E881860" w14:textId="77777777" w:rsidR="003E78AB" w:rsidRDefault="00010BF9">
            <w:pPr>
              <w:spacing w:line="360" w:lineRule="exact"/>
              <w:ind w:firstLineChars="0" w:firstLine="0"/>
              <w:jc w:val="center"/>
              <w:textAlignment w:val="center"/>
              <w:rPr>
                <w:sz w:val="21"/>
                <w:szCs w:val="21"/>
                <w:lang w:bidi="ar"/>
              </w:rPr>
            </w:pPr>
            <w:r>
              <w:rPr>
                <w:sz w:val="21"/>
                <w:szCs w:val="21"/>
                <w:lang w:bidi="ar"/>
              </w:rPr>
              <w:t>废气</w:t>
            </w:r>
          </w:p>
        </w:tc>
        <w:tc>
          <w:tcPr>
            <w:tcW w:w="569" w:type="pct"/>
            <w:vMerge w:val="restart"/>
          </w:tcPr>
          <w:p w14:paraId="461C0606" w14:textId="77777777" w:rsidR="003E78AB" w:rsidRDefault="00010BF9">
            <w:pPr>
              <w:spacing w:line="360" w:lineRule="exact"/>
              <w:ind w:firstLineChars="0" w:firstLine="0"/>
              <w:jc w:val="center"/>
              <w:textAlignment w:val="center"/>
              <w:rPr>
                <w:spacing w:val="-4"/>
                <w:sz w:val="21"/>
                <w:szCs w:val="21"/>
              </w:rPr>
            </w:pPr>
            <w:r>
              <w:rPr>
                <w:spacing w:val="-4"/>
                <w:sz w:val="21"/>
                <w:szCs w:val="21"/>
              </w:rPr>
              <w:t>投料废气</w:t>
            </w:r>
          </w:p>
        </w:tc>
        <w:tc>
          <w:tcPr>
            <w:tcW w:w="1322" w:type="pct"/>
          </w:tcPr>
          <w:p w14:paraId="3C1FE46E" w14:textId="77777777" w:rsidR="003E78AB" w:rsidRDefault="00010BF9">
            <w:pPr>
              <w:spacing w:line="360" w:lineRule="exact"/>
              <w:ind w:firstLineChars="0" w:firstLine="0"/>
              <w:jc w:val="center"/>
              <w:textAlignment w:val="center"/>
              <w:rPr>
                <w:spacing w:val="-4"/>
                <w:sz w:val="21"/>
                <w:szCs w:val="21"/>
              </w:rPr>
            </w:pPr>
            <w:r>
              <w:rPr>
                <w:spacing w:val="-4"/>
                <w:sz w:val="21"/>
                <w:szCs w:val="21"/>
              </w:rPr>
              <w:t>G1-1</w:t>
            </w:r>
            <w:r>
              <w:rPr>
                <w:spacing w:val="-4"/>
                <w:sz w:val="21"/>
                <w:szCs w:val="21"/>
              </w:rPr>
              <w:t>五氧化二钒</w:t>
            </w:r>
            <w:r>
              <w:rPr>
                <w:rFonts w:hint="eastAsia"/>
                <w:spacing w:val="-4"/>
                <w:sz w:val="21"/>
                <w:szCs w:val="21"/>
              </w:rPr>
              <w:t>拆包</w:t>
            </w:r>
            <w:r>
              <w:rPr>
                <w:spacing w:val="-4"/>
                <w:sz w:val="21"/>
                <w:szCs w:val="21"/>
              </w:rPr>
              <w:t>投料</w:t>
            </w:r>
            <w:r>
              <w:rPr>
                <w:rFonts w:hint="eastAsia"/>
                <w:spacing w:val="-4"/>
                <w:sz w:val="21"/>
                <w:szCs w:val="21"/>
              </w:rPr>
              <w:t>粉尘</w:t>
            </w:r>
          </w:p>
        </w:tc>
        <w:tc>
          <w:tcPr>
            <w:tcW w:w="1188" w:type="pct"/>
          </w:tcPr>
          <w:p w14:paraId="2E8B180B" w14:textId="77777777" w:rsidR="003E78AB" w:rsidRDefault="00010BF9">
            <w:pPr>
              <w:spacing w:line="360" w:lineRule="exact"/>
              <w:ind w:firstLineChars="0" w:firstLine="0"/>
              <w:jc w:val="center"/>
              <w:textAlignment w:val="center"/>
              <w:rPr>
                <w:spacing w:val="-4"/>
                <w:sz w:val="21"/>
                <w:szCs w:val="21"/>
              </w:rPr>
            </w:pPr>
            <w:r>
              <w:rPr>
                <w:spacing w:val="-4"/>
                <w:sz w:val="21"/>
                <w:szCs w:val="21"/>
              </w:rPr>
              <w:t>颗粒物</w:t>
            </w:r>
            <w:r>
              <w:rPr>
                <w:rFonts w:hint="eastAsia"/>
                <w:spacing w:val="-4"/>
                <w:sz w:val="21"/>
                <w:szCs w:val="21"/>
              </w:rPr>
              <w:t>（五氧化二钒）</w:t>
            </w:r>
          </w:p>
        </w:tc>
        <w:tc>
          <w:tcPr>
            <w:tcW w:w="502" w:type="pct"/>
          </w:tcPr>
          <w:p w14:paraId="29262DCC" w14:textId="77777777" w:rsidR="003E78AB" w:rsidRDefault="00010BF9">
            <w:pPr>
              <w:spacing w:line="360" w:lineRule="exact"/>
              <w:ind w:firstLineChars="0" w:firstLine="0"/>
              <w:jc w:val="center"/>
              <w:textAlignment w:val="center"/>
              <w:rPr>
                <w:spacing w:val="-4"/>
                <w:sz w:val="21"/>
                <w:szCs w:val="21"/>
              </w:rPr>
            </w:pPr>
            <w:r>
              <w:rPr>
                <w:spacing w:val="-4"/>
                <w:sz w:val="21"/>
                <w:szCs w:val="21"/>
              </w:rPr>
              <w:t>间断</w:t>
            </w:r>
          </w:p>
        </w:tc>
        <w:tc>
          <w:tcPr>
            <w:tcW w:w="1163" w:type="pct"/>
            <w:gridSpan w:val="2"/>
          </w:tcPr>
          <w:p w14:paraId="38B7AFBF" w14:textId="77777777" w:rsidR="003E78AB" w:rsidRDefault="00010BF9">
            <w:pPr>
              <w:spacing w:line="360" w:lineRule="exact"/>
              <w:ind w:firstLineChars="0" w:firstLine="0"/>
              <w:jc w:val="center"/>
              <w:textAlignment w:val="center"/>
              <w:rPr>
                <w:sz w:val="21"/>
                <w:szCs w:val="21"/>
                <w:lang w:bidi="ar"/>
              </w:rPr>
            </w:pPr>
            <w:r>
              <w:rPr>
                <w:spacing w:val="-4"/>
                <w:sz w:val="21"/>
                <w:szCs w:val="21"/>
              </w:rPr>
              <w:t>密闭</w:t>
            </w:r>
            <w:r>
              <w:rPr>
                <w:rFonts w:hint="eastAsia"/>
                <w:spacing w:val="-4"/>
                <w:sz w:val="21"/>
                <w:szCs w:val="21"/>
              </w:rPr>
              <w:t>拆包</w:t>
            </w:r>
            <w:r>
              <w:rPr>
                <w:spacing w:val="-4"/>
                <w:sz w:val="21"/>
                <w:szCs w:val="21"/>
              </w:rPr>
              <w:t>投料</w:t>
            </w:r>
            <w:r>
              <w:rPr>
                <w:spacing w:val="-4"/>
                <w:sz w:val="21"/>
                <w:szCs w:val="21"/>
              </w:rPr>
              <w:t>+</w:t>
            </w:r>
            <w:r>
              <w:rPr>
                <w:rFonts w:eastAsia="Times New Roman"/>
                <w:spacing w:val="-4"/>
                <w:sz w:val="21"/>
                <w:szCs w:val="21"/>
              </w:rPr>
              <w:t>1</w:t>
            </w:r>
            <w:r>
              <w:rPr>
                <w:spacing w:val="-4"/>
                <w:sz w:val="21"/>
                <w:szCs w:val="21"/>
              </w:rPr>
              <w:t>套</w:t>
            </w:r>
            <w:r>
              <w:rPr>
                <w:spacing w:val="-2"/>
                <w:sz w:val="21"/>
                <w:szCs w:val="21"/>
              </w:rPr>
              <w:t>袋式除尘器</w:t>
            </w:r>
            <w:r>
              <w:rPr>
                <w:rFonts w:eastAsia="Times New Roman"/>
                <w:spacing w:val="-1"/>
                <w:sz w:val="21"/>
                <w:szCs w:val="21"/>
              </w:rPr>
              <w:t>+</w:t>
            </w:r>
            <w:r>
              <w:rPr>
                <w:rFonts w:eastAsia="Times New Roman"/>
                <w:sz w:val="21"/>
                <w:szCs w:val="21"/>
              </w:rPr>
              <w:t>1</w:t>
            </w:r>
            <w:r>
              <w:rPr>
                <w:sz w:val="21"/>
                <w:szCs w:val="21"/>
              </w:rPr>
              <w:t>根</w:t>
            </w:r>
            <w:r>
              <w:rPr>
                <w:sz w:val="21"/>
                <w:szCs w:val="21"/>
              </w:rPr>
              <w:t>1</w:t>
            </w:r>
            <w:r>
              <w:rPr>
                <w:sz w:val="21"/>
                <w:szCs w:val="21"/>
                <w:lang w:bidi="ar"/>
              </w:rPr>
              <w:t>5m</w:t>
            </w:r>
            <w:r>
              <w:rPr>
                <w:sz w:val="21"/>
                <w:szCs w:val="21"/>
                <w:lang w:bidi="ar"/>
              </w:rPr>
              <w:t>排气筒</w:t>
            </w:r>
            <w:r>
              <w:rPr>
                <w:sz w:val="21"/>
                <w:szCs w:val="21"/>
                <w:lang w:bidi="ar"/>
              </w:rPr>
              <w:t>DA001</w:t>
            </w:r>
          </w:p>
        </w:tc>
      </w:tr>
      <w:tr w:rsidR="003E78AB" w14:paraId="2F60265A" w14:textId="77777777">
        <w:trPr>
          <w:trHeight w:val="340"/>
        </w:trPr>
        <w:tc>
          <w:tcPr>
            <w:tcW w:w="253" w:type="pct"/>
            <w:vMerge/>
          </w:tcPr>
          <w:p w14:paraId="52FB879C"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168E431E" w14:textId="77777777" w:rsidR="003E78AB" w:rsidRDefault="003E78AB">
            <w:pPr>
              <w:spacing w:line="360" w:lineRule="exact"/>
              <w:ind w:firstLineChars="0" w:firstLine="0"/>
              <w:jc w:val="center"/>
              <w:textAlignment w:val="center"/>
              <w:rPr>
                <w:spacing w:val="-4"/>
                <w:sz w:val="21"/>
                <w:szCs w:val="21"/>
              </w:rPr>
            </w:pPr>
          </w:p>
        </w:tc>
        <w:tc>
          <w:tcPr>
            <w:tcW w:w="1322" w:type="pct"/>
          </w:tcPr>
          <w:p w14:paraId="6AB18866" w14:textId="77777777" w:rsidR="003E78AB" w:rsidRDefault="00010BF9">
            <w:pPr>
              <w:spacing w:line="360" w:lineRule="exact"/>
              <w:ind w:firstLineChars="0" w:firstLine="0"/>
              <w:jc w:val="center"/>
              <w:textAlignment w:val="center"/>
              <w:rPr>
                <w:spacing w:val="-4"/>
                <w:sz w:val="21"/>
                <w:szCs w:val="21"/>
              </w:rPr>
            </w:pPr>
            <w:r>
              <w:rPr>
                <w:spacing w:val="-4"/>
                <w:sz w:val="21"/>
                <w:szCs w:val="21"/>
              </w:rPr>
              <w:t>G1-2</w:t>
            </w:r>
            <w:r>
              <w:rPr>
                <w:spacing w:val="-4"/>
                <w:sz w:val="21"/>
                <w:szCs w:val="21"/>
              </w:rPr>
              <w:t>草酸</w:t>
            </w:r>
            <w:r>
              <w:rPr>
                <w:rFonts w:hint="eastAsia"/>
                <w:spacing w:val="-4"/>
                <w:sz w:val="21"/>
                <w:szCs w:val="21"/>
              </w:rPr>
              <w:t>拆包</w:t>
            </w:r>
            <w:r>
              <w:rPr>
                <w:spacing w:val="-4"/>
                <w:sz w:val="21"/>
                <w:szCs w:val="21"/>
              </w:rPr>
              <w:t>投料</w:t>
            </w:r>
            <w:r>
              <w:rPr>
                <w:rFonts w:hint="eastAsia"/>
                <w:spacing w:val="-4"/>
                <w:sz w:val="21"/>
                <w:szCs w:val="21"/>
              </w:rPr>
              <w:t>粉尘</w:t>
            </w:r>
          </w:p>
        </w:tc>
        <w:tc>
          <w:tcPr>
            <w:tcW w:w="1188" w:type="pct"/>
          </w:tcPr>
          <w:p w14:paraId="37CA9B3B" w14:textId="77777777" w:rsidR="003E78AB" w:rsidRDefault="00010BF9">
            <w:pPr>
              <w:spacing w:line="360" w:lineRule="exact"/>
              <w:ind w:firstLineChars="0" w:firstLine="0"/>
              <w:jc w:val="center"/>
              <w:textAlignment w:val="center"/>
              <w:rPr>
                <w:spacing w:val="-4"/>
                <w:sz w:val="21"/>
                <w:szCs w:val="21"/>
              </w:rPr>
            </w:pPr>
            <w:r>
              <w:rPr>
                <w:spacing w:val="-4"/>
                <w:sz w:val="21"/>
                <w:szCs w:val="21"/>
              </w:rPr>
              <w:t>颗粒物</w:t>
            </w:r>
            <w:r>
              <w:rPr>
                <w:rFonts w:hint="eastAsia"/>
                <w:spacing w:val="-4"/>
                <w:sz w:val="21"/>
                <w:szCs w:val="21"/>
              </w:rPr>
              <w:t>（草酸）</w:t>
            </w:r>
          </w:p>
        </w:tc>
        <w:tc>
          <w:tcPr>
            <w:tcW w:w="502" w:type="pct"/>
          </w:tcPr>
          <w:p w14:paraId="72B1E8AB" w14:textId="77777777" w:rsidR="003E78AB" w:rsidRDefault="00010BF9">
            <w:pPr>
              <w:spacing w:line="360" w:lineRule="exact"/>
              <w:ind w:firstLineChars="0" w:firstLine="0"/>
              <w:jc w:val="center"/>
              <w:textAlignment w:val="center"/>
              <w:rPr>
                <w:spacing w:val="-4"/>
                <w:sz w:val="21"/>
                <w:szCs w:val="21"/>
              </w:rPr>
            </w:pPr>
            <w:r>
              <w:rPr>
                <w:spacing w:val="-4"/>
                <w:sz w:val="21"/>
                <w:szCs w:val="21"/>
              </w:rPr>
              <w:t>间断</w:t>
            </w:r>
          </w:p>
        </w:tc>
        <w:tc>
          <w:tcPr>
            <w:tcW w:w="1163" w:type="pct"/>
            <w:gridSpan w:val="2"/>
          </w:tcPr>
          <w:p w14:paraId="2E37D7D7" w14:textId="77777777" w:rsidR="003E78AB" w:rsidRDefault="00010BF9">
            <w:pPr>
              <w:spacing w:line="360" w:lineRule="exact"/>
              <w:ind w:firstLineChars="0" w:firstLine="0"/>
              <w:jc w:val="center"/>
              <w:textAlignment w:val="center"/>
              <w:rPr>
                <w:sz w:val="21"/>
                <w:szCs w:val="21"/>
                <w:lang w:bidi="ar"/>
              </w:rPr>
            </w:pPr>
            <w:r>
              <w:rPr>
                <w:spacing w:val="-4"/>
                <w:sz w:val="21"/>
                <w:szCs w:val="21"/>
              </w:rPr>
              <w:t>密闭</w:t>
            </w:r>
            <w:r>
              <w:rPr>
                <w:rFonts w:hint="eastAsia"/>
                <w:spacing w:val="-4"/>
                <w:sz w:val="21"/>
                <w:szCs w:val="21"/>
              </w:rPr>
              <w:t>拆包</w:t>
            </w:r>
            <w:r>
              <w:rPr>
                <w:spacing w:val="-4"/>
                <w:sz w:val="21"/>
                <w:szCs w:val="21"/>
              </w:rPr>
              <w:t>投料</w:t>
            </w:r>
            <w:r>
              <w:rPr>
                <w:spacing w:val="-4"/>
                <w:sz w:val="21"/>
                <w:szCs w:val="21"/>
              </w:rPr>
              <w:t>+</w:t>
            </w:r>
            <w:r>
              <w:rPr>
                <w:rFonts w:eastAsia="Times New Roman"/>
                <w:spacing w:val="-4"/>
                <w:sz w:val="21"/>
                <w:szCs w:val="21"/>
              </w:rPr>
              <w:t>1</w:t>
            </w:r>
            <w:r>
              <w:rPr>
                <w:spacing w:val="-4"/>
                <w:sz w:val="21"/>
                <w:szCs w:val="21"/>
              </w:rPr>
              <w:t>套</w:t>
            </w:r>
            <w:r>
              <w:rPr>
                <w:spacing w:val="-2"/>
                <w:sz w:val="21"/>
                <w:szCs w:val="21"/>
              </w:rPr>
              <w:t>袋式除尘器</w:t>
            </w:r>
            <w:r>
              <w:rPr>
                <w:rFonts w:eastAsia="Times New Roman"/>
                <w:spacing w:val="-1"/>
                <w:sz w:val="21"/>
                <w:szCs w:val="21"/>
              </w:rPr>
              <w:t>+</w:t>
            </w:r>
            <w:r>
              <w:rPr>
                <w:rFonts w:eastAsia="Times New Roman"/>
                <w:sz w:val="21"/>
                <w:szCs w:val="21"/>
              </w:rPr>
              <w:t>1</w:t>
            </w:r>
            <w:r>
              <w:rPr>
                <w:sz w:val="21"/>
                <w:szCs w:val="21"/>
              </w:rPr>
              <w:t>根</w:t>
            </w:r>
            <w:r>
              <w:rPr>
                <w:sz w:val="21"/>
                <w:szCs w:val="21"/>
              </w:rPr>
              <w:t>1</w:t>
            </w:r>
            <w:r>
              <w:rPr>
                <w:sz w:val="21"/>
                <w:szCs w:val="21"/>
                <w:lang w:bidi="ar"/>
              </w:rPr>
              <w:t>5m</w:t>
            </w:r>
            <w:r>
              <w:rPr>
                <w:sz w:val="21"/>
                <w:szCs w:val="21"/>
                <w:lang w:bidi="ar"/>
              </w:rPr>
              <w:t>排气筒</w:t>
            </w:r>
            <w:r>
              <w:rPr>
                <w:sz w:val="21"/>
                <w:szCs w:val="21"/>
                <w:lang w:bidi="ar"/>
              </w:rPr>
              <w:t>DA002</w:t>
            </w:r>
          </w:p>
        </w:tc>
      </w:tr>
      <w:tr w:rsidR="003E78AB" w14:paraId="5854D9D7" w14:textId="77777777">
        <w:trPr>
          <w:trHeight w:val="340"/>
        </w:trPr>
        <w:tc>
          <w:tcPr>
            <w:tcW w:w="253" w:type="pct"/>
            <w:vMerge/>
          </w:tcPr>
          <w:p w14:paraId="16AC1CF8" w14:textId="77777777" w:rsidR="003E78AB" w:rsidRDefault="003E78AB">
            <w:pPr>
              <w:spacing w:line="360" w:lineRule="exact"/>
              <w:ind w:firstLineChars="0" w:firstLine="0"/>
              <w:jc w:val="center"/>
              <w:textAlignment w:val="center"/>
              <w:rPr>
                <w:sz w:val="21"/>
                <w:szCs w:val="21"/>
                <w:lang w:bidi="ar"/>
              </w:rPr>
            </w:pPr>
          </w:p>
        </w:tc>
        <w:tc>
          <w:tcPr>
            <w:tcW w:w="569" w:type="pct"/>
            <w:vMerge w:val="restart"/>
          </w:tcPr>
          <w:p w14:paraId="63E01A80" w14:textId="77777777" w:rsidR="003E78AB" w:rsidRDefault="00010BF9">
            <w:pPr>
              <w:spacing w:line="360" w:lineRule="exact"/>
              <w:ind w:firstLineChars="0" w:firstLine="0"/>
              <w:jc w:val="center"/>
              <w:textAlignment w:val="center"/>
              <w:rPr>
                <w:spacing w:val="-4"/>
                <w:sz w:val="21"/>
                <w:szCs w:val="21"/>
              </w:rPr>
            </w:pPr>
            <w:r>
              <w:rPr>
                <w:spacing w:val="-4"/>
                <w:sz w:val="21"/>
                <w:szCs w:val="21"/>
              </w:rPr>
              <w:t>生产工艺废气</w:t>
            </w:r>
          </w:p>
        </w:tc>
        <w:tc>
          <w:tcPr>
            <w:tcW w:w="1322" w:type="pct"/>
          </w:tcPr>
          <w:p w14:paraId="27659A7C" w14:textId="77777777" w:rsidR="003E78AB" w:rsidRDefault="00010BF9">
            <w:pPr>
              <w:spacing w:line="360" w:lineRule="exact"/>
              <w:ind w:firstLineChars="0" w:firstLine="0"/>
              <w:jc w:val="center"/>
              <w:textAlignment w:val="center"/>
              <w:rPr>
                <w:spacing w:val="-4"/>
                <w:sz w:val="21"/>
                <w:szCs w:val="21"/>
              </w:rPr>
            </w:pPr>
            <w:r>
              <w:rPr>
                <w:spacing w:val="-4"/>
                <w:sz w:val="21"/>
                <w:szCs w:val="21"/>
              </w:rPr>
              <w:t>G2-1</w:t>
            </w:r>
            <w:r>
              <w:rPr>
                <w:spacing w:val="-4"/>
                <w:sz w:val="21"/>
                <w:szCs w:val="21"/>
              </w:rPr>
              <w:t>硫酸稀释过程</w:t>
            </w:r>
            <w:r>
              <w:rPr>
                <w:rFonts w:hint="eastAsia"/>
                <w:spacing w:val="-4"/>
                <w:sz w:val="21"/>
                <w:szCs w:val="21"/>
              </w:rPr>
              <w:t>酸性废气</w:t>
            </w:r>
          </w:p>
        </w:tc>
        <w:tc>
          <w:tcPr>
            <w:tcW w:w="1188" w:type="pct"/>
          </w:tcPr>
          <w:p w14:paraId="7FE455CB" w14:textId="77777777" w:rsidR="003E78AB" w:rsidRDefault="00010BF9">
            <w:pPr>
              <w:spacing w:line="360" w:lineRule="exact"/>
              <w:ind w:firstLineChars="0" w:firstLine="0"/>
              <w:jc w:val="center"/>
              <w:textAlignment w:val="center"/>
              <w:rPr>
                <w:spacing w:val="-4"/>
                <w:sz w:val="21"/>
                <w:szCs w:val="21"/>
              </w:rPr>
            </w:pPr>
            <w:r>
              <w:rPr>
                <w:sz w:val="21"/>
                <w:szCs w:val="21"/>
                <w:lang w:bidi="ar"/>
              </w:rPr>
              <w:t>硫酸雾</w:t>
            </w:r>
          </w:p>
        </w:tc>
        <w:tc>
          <w:tcPr>
            <w:tcW w:w="502" w:type="pct"/>
          </w:tcPr>
          <w:p w14:paraId="75BC4946"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vMerge w:val="restart"/>
          </w:tcPr>
          <w:p w14:paraId="5353FE6F" w14:textId="77777777" w:rsidR="003E78AB" w:rsidRDefault="00010BF9">
            <w:pPr>
              <w:spacing w:line="360" w:lineRule="exact"/>
              <w:ind w:firstLineChars="0" w:firstLine="0"/>
              <w:jc w:val="center"/>
              <w:textAlignment w:val="center"/>
              <w:rPr>
                <w:sz w:val="21"/>
                <w:szCs w:val="21"/>
                <w:lang w:bidi="ar"/>
              </w:rPr>
            </w:pPr>
            <w:r>
              <w:rPr>
                <w:sz w:val="21"/>
                <w:szCs w:val="21"/>
                <w:lang w:bidi="ar"/>
              </w:rPr>
              <w:t>一级</w:t>
            </w:r>
            <w:r>
              <w:rPr>
                <w:rFonts w:hint="eastAsia"/>
                <w:sz w:val="21"/>
                <w:szCs w:val="21"/>
                <w:lang w:bidi="ar"/>
              </w:rPr>
              <w:t>碱洗</w:t>
            </w:r>
            <w:r>
              <w:rPr>
                <w:sz w:val="21"/>
                <w:szCs w:val="21"/>
                <w:lang w:bidi="ar"/>
              </w:rPr>
              <w:t>+</w:t>
            </w:r>
            <w:r>
              <w:rPr>
                <w:sz w:val="21"/>
                <w:szCs w:val="21"/>
                <w:lang w:bidi="ar"/>
              </w:rPr>
              <w:t>一级水洗</w:t>
            </w:r>
            <w:r>
              <w:rPr>
                <w:sz w:val="21"/>
                <w:szCs w:val="21"/>
                <w:lang w:bidi="ar"/>
              </w:rPr>
              <w:t>+15m</w:t>
            </w:r>
            <w:r>
              <w:rPr>
                <w:sz w:val="21"/>
                <w:szCs w:val="21"/>
                <w:lang w:bidi="ar"/>
              </w:rPr>
              <w:t>排气筒</w:t>
            </w:r>
            <w:r>
              <w:rPr>
                <w:sz w:val="21"/>
                <w:szCs w:val="21"/>
                <w:lang w:bidi="ar"/>
              </w:rPr>
              <w:t>DA003</w:t>
            </w:r>
          </w:p>
        </w:tc>
      </w:tr>
      <w:tr w:rsidR="003E78AB" w14:paraId="3728848D" w14:textId="77777777">
        <w:trPr>
          <w:trHeight w:val="340"/>
        </w:trPr>
        <w:tc>
          <w:tcPr>
            <w:tcW w:w="253" w:type="pct"/>
            <w:vMerge/>
          </w:tcPr>
          <w:p w14:paraId="4A35EE10"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11FAB74E" w14:textId="77777777" w:rsidR="003E78AB" w:rsidRDefault="003E78AB">
            <w:pPr>
              <w:spacing w:line="360" w:lineRule="exact"/>
              <w:ind w:firstLineChars="0" w:firstLine="0"/>
              <w:jc w:val="center"/>
              <w:textAlignment w:val="center"/>
              <w:rPr>
                <w:spacing w:val="-4"/>
                <w:sz w:val="21"/>
                <w:szCs w:val="21"/>
              </w:rPr>
            </w:pPr>
          </w:p>
        </w:tc>
        <w:tc>
          <w:tcPr>
            <w:tcW w:w="1322" w:type="pct"/>
          </w:tcPr>
          <w:p w14:paraId="5A56D67E" w14:textId="77777777" w:rsidR="003E78AB" w:rsidRDefault="00010BF9">
            <w:pPr>
              <w:spacing w:line="360" w:lineRule="exact"/>
              <w:ind w:firstLineChars="0" w:firstLine="0"/>
              <w:jc w:val="center"/>
              <w:textAlignment w:val="center"/>
              <w:rPr>
                <w:spacing w:val="-4"/>
                <w:sz w:val="21"/>
                <w:szCs w:val="21"/>
              </w:rPr>
            </w:pPr>
            <w:bookmarkStart w:id="238" w:name="OLE_LINK59"/>
            <w:r>
              <w:rPr>
                <w:spacing w:val="-4"/>
                <w:sz w:val="21"/>
                <w:szCs w:val="21"/>
              </w:rPr>
              <w:t>G2-2</w:t>
            </w:r>
            <w:r>
              <w:rPr>
                <w:spacing w:val="-4"/>
                <w:sz w:val="21"/>
                <w:szCs w:val="21"/>
              </w:rPr>
              <w:t>溶解还原釜搅拌和反应过程</w:t>
            </w:r>
            <w:r>
              <w:rPr>
                <w:rFonts w:hint="eastAsia"/>
                <w:spacing w:val="-4"/>
                <w:sz w:val="21"/>
                <w:szCs w:val="21"/>
              </w:rPr>
              <w:t>的酸性废气</w:t>
            </w:r>
            <w:bookmarkEnd w:id="238"/>
            <w:r>
              <w:rPr>
                <w:rFonts w:hint="eastAsia"/>
                <w:bCs/>
                <w:spacing w:val="-4"/>
                <w:sz w:val="21"/>
                <w:szCs w:val="21"/>
              </w:rPr>
              <w:t>（</w:t>
            </w:r>
            <w:r>
              <w:rPr>
                <w:rFonts w:hint="eastAsia"/>
                <w:bCs/>
                <w:spacing w:val="-4"/>
                <w:sz w:val="21"/>
                <w:szCs w:val="21"/>
              </w:rPr>
              <w:t>VOC</w:t>
            </w:r>
            <w:r>
              <w:rPr>
                <w:rFonts w:hint="eastAsia"/>
                <w:bCs/>
                <w:spacing w:val="-4"/>
                <w:sz w:val="21"/>
                <w:szCs w:val="21"/>
              </w:rPr>
              <w:t>）</w:t>
            </w:r>
          </w:p>
        </w:tc>
        <w:tc>
          <w:tcPr>
            <w:tcW w:w="1188" w:type="pct"/>
          </w:tcPr>
          <w:p w14:paraId="506F9197" w14:textId="77777777" w:rsidR="003E78AB" w:rsidRDefault="00010BF9">
            <w:pPr>
              <w:spacing w:line="360" w:lineRule="exact"/>
              <w:ind w:firstLineChars="0" w:firstLine="0"/>
              <w:jc w:val="center"/>
              <w:textAlignment w:val="center"/>
              <w:rPr>
                <w:sz w:val="21"/>
                <w:szCs w:val="21"/>
                <w:lang w:bidi="ar"/>
              </w:rPr>
            </w:pPr>
            <w:r>
              <w:rPr>
                <w:rFonts w:hint="eastAsia"/>
                <w:spacing w:val="-4"/>
                <w:sz w:val="21"/>
                <w:szCs w:val="21"/>
              </w:rPr>
              <w:t>草酸雾（</w:t>
            </w:r>
            <w:r>
              <w:rPr>
                <w:rFonts w:hint="eastAsia"/>
                <w:spacing w:val="-4"/>
                <w:sz w:val="21"/>
                <w:szCs w:val="21"/>
              </w:rPr>
              <w:t>VOC</w:t>
            </w:r>
            <w:r>
              <w:rPr>
                <w:rFonts w:hint="eastAsia"/>
                <w:spacing w:val="-4"/>
                <w:sz w:val="21"/>
                <w:szCs w:val="21"/>
              </w:rPr>
              <w:t>）、甲酸、</w:t>
            </w:r>
            <w:r>
              <w:rPr>
                <w:rFonts w:hint="eastAsia"/>
                <w:spacing w:val="-4"/>
                <w:sz w:val="21"/>
                <w:szCs w:val="21"/>
              </w:rPr>
              <w:t>CO</w:t>
            </w:r>
            <w:r>
              <w:rPr>
                <w:rFonts w:hint="eastAsia"/>
                <w:spacing w:val="-4"/>
                <w:sz w:val="21"/>
                <w:szCs w:val="21"/>
                <w:vertAlign w:val="subscript"/>
              </w:rPr>
              <w:t>2</w:t>
            </w:r>
          </w:p>
        </w:tc>
        <w:tc>
          <w:tcPr>
            <w:tcW w:w="502" w:type="pct"/>
          </w:tcPr>
          <w:p w14:paraId="63312452"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vMerge/>
          </w:tcPr>
          <w:p w14:paraId="6F4B4F27" w14:textId="77777777" w:rsidR="003E78AB" w:rsidRDefault="003E78AB">
            <w:pPr>
              <w:spacing w:line="360" w:lineRule="exact"/>
              <w:ind w:firstLineChars="0" w:firstLine="0"/>
              <w:jc w:val="center"/>
              <w:textAlignment w:val="center"/>
              <w:rPr>
                <w:sz w:val="21"/>
                <w:szCs w:val="21"/>
                <w:lang w:bidi="ar"/>
              </w:rPr>
            </w:pPr>
          </w:p>
        </w:tc>
      </w:tr>
      <w:tr w:rsidR="003E78AB" w14:paraId="1B337533" w14:textId="77777777">
        <w:trPr>
          <w:trHeight w:val="340"/>
        </w:trPr>
        <w:tc>
          <w:tcPr>
            <w:tcW w:w="253" w:type="pct"/>
            <w:vMerge/>
          </w:tcPr>
          <w:p w14:paraId="2871F8F4"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3768796A" w14:textId="77777777" w:rsidR="003E78AB" w:rsidRDefault="003E78AB">
            <w:pPr>
              <w:spacing w:line="360" w:lineRule="exact"/>
              <w:ind w:firstLineChars="0" w:firstLine="0"/>
              <w:jc w:val="center"/>
              <w:textAlignment w:val="center"/>
              <w:rPr>
                <w:spacing w:val="-4"/>
                <w:sz w:val="21"/>
                <w:szCs w:val="21"/>
              </w:rPr>
            </w:pPr>
          </w:p>
        </w:tc>
        <w:tc>
          <w:tcPr>
            <w:tcW w:w="1322" w:type="pct"/>
          </w:tcPr>
          <w:p w14:paraId="3E06AA01" w14:textId="77777777" w:rsidR="003E78AB" w:rsidRDefault="00010BF9">
            <w:pPr>
              <w:spacing w:line="360" w:lineRule="exact"/>
              <w:ind w:firstLineChars="0" w:firstLine="0"/>
              <w:jc w:val="center"/>
              <w:textAlignment w:val="center"/>
              <w:rPr>
                <w:spacing w:val="-4"/>
                <w:sz w:val="21"/>
                <w:szCs w:val="21"/>
              </w:rPr>
            </w:pPr>
            <w:r>
              <w:rPr>
                <w:spacing w:val="-4"/>
                <w:sz w:val="21"/>
                <w:szCs w:val="21"/>
              </w:rPr>
              <w:t>G2-3</w:t>
            </w:r>
            <w:r>
              <w:rPr>
                <w:spacing w:val="-4"/>
                <w:sz w:val="21"/>
                <w:szCs w:val="21"/>
              </w:rPr>
              <w:t>电解</w:t>
            </w:r>
            <w:r>
              <w:rPr>
                <w:rFonts w:hint="eastAsia"/>
                <w:spacing w:val="-4"/>
                <w:sz w:val="21"/>
                <w:szCs w:val="21"/>
              </w:rPr>
              <w:t>投料及电解</w:t>
            </w:r>
            <w:r>
              <w:rPr>
                <w:spacing w:val="-4"/>
                <w:sz w:val="21"/>
                <w:szCs w:val="21"/>
              </w:rPr>
              <w:t>过程</w:t>
            </w:r>
            <w:r>
              <w:rPr>
                <w:rFonts w:hint="eastAsia"/>
                <w:spacing w:val="-4"/>
                <w:sz w:val="21"/>
                <w:szCs w:val="21"/>
              </w:rPr>
              <w:t>的酸性废气</w:t>
            </w:r>
          </w:p>
        </w:tc>
        <w:tc>
          <w:tcPr>
            <w:tcW w:w="1188" w:type="pct"/>
          </w:tcPr>
          <w:p w14:paraId="20B4C1AE"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r>
              <w:rPr>
                <w:rFonts w:hint="eastAsia"/>
                <w:sz w:val="21"/>
                <w:szCs w:val="21"/>
                <w:lang w:bidi="ar"/>
              </w:rPr>
              <w:t>、</w:t>
            </w:r>
            <w:r>
              <w:rPr>
                <w:rFonts w:hint="eastAsia"/>
                <w:sz w:val="21"/>
                <w:szCs w:val="21"/>
                <w:lang w:bidi="ar"/>
              </w:rPr>
              <w:t>O</w:t>
            </w:r>
            <w:r>
              <w:rPr>
                <w:rFonts w:hint="eastAsia"/>
                <w:sz w:val="21"/>
                <w:szCs w:val="21"/>
                <w:vertAlign w:val="subscript"/>
                <w:lang w:bidi="ar"/>
              </w:rPr>
              <w:t>2</w:t>
            </w:r>
          </w:p>
        </w:tc>
        <w:tc>
          <w:tcPr>
            <w:tcW w:w="502" w:type="pct"/>
          </w:tcPr>
          <w:p w14:paraId="5176F778"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vMerge/>
          </w:tcPr>
          <w:p w14:paraId="5C008677" w14:textId="77777777" w:rsidR="003E78AB" w:rsidRDefault="003E78AB">
            <w:pPr>
              <w:spacing w:line="360" w:lineRule="exact"/>
              <w:ind w:firstLineChars="0" w:firstLine="0"/>
              <w:jc w:val="center"/>
              <w:textAlignment w:val="center"/>
              <w:rPr>
                <w:sz w:val="21"/>
                <w:szCs w:val="21"/>
                <w:lang w:bidi="ar"/>
              </w:rPr>
            </w:pPr>
          </w:p>
        </w:tc>
      </w:tr>
      <w:tr w:rsidR="003E78AB" w14:paraId="4396DF1F" w14:textId="77777777">
        <w:trPr>
          <w:trHeight w:val="340"/>
        </w:trPr>
        <w:tc>
          <w:tcPr>
            <w:tcW w:w="253" w:type="pct"/>
            <w:vMerge/>
          </w:tcPr>
          <w:p w14:paraId="2023E392"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1BDE1ACD" w14:textId="77777777" w:rsidR="003E78AB" w:rsidRDefault="003E78AB">
            <w:pPr>
              <w:spacing w:line="360" w:lineRule="exact"/>
              <w:ind w:firstLineChars="0" w:firstLine="0"/>
              <w:jc w:val="center"/>
              <w:textAlignment w:val="center"/>
              <w:rPr>
                <w:spacing w:val="-4"/>
                <w:sz w:val="21"/>
                <w:szCs w:val="21"/>
              </w:rPr>
            </w:pPr>
          </w:p>
        </w:tc>
        <w:tc>
          <w:tcPr>
            <w:tcW w:w="1322" w:type="pct"/>
          </w:tcPr>
          <w:p w14:paraId="32B6FE3E" w14:textId="77777777" w:rsidR="003E78AB" w:rsidRDefault="00010BF9">
            <w:pPr>
              <w:spacing w:line="360" w:lineRule="exact"/>
              <w:ind w:firstLineChars="0" w:firstLine="0"/>
              <w:jc w:val="center"/>
              <w:textAlignment w:val="center"/>
              <w:rPr>
                <w:spacing w:val="-4"/>
                <w:sz w:val="21"/>
                <w:szCs w:val="21"/>
              </w:rPr>
            </w:pPr>
            <w:r>
              <w:rPr>
                <w:spacing w:val="-4"/>
                <w:sz w:val="21"/>
                <w:szCs w:val="21"/>
              </w:rPr>
              <w:t>G2-</w:t>
            </w:r>
            <w:r>
              <w:rPr>
                <w:rFonts w:hint="eastAsia"/>
                <w:spacing w:val="-4"/>
                <w:sz w:val="21"/>
                <w:szCs w:val="21"/>
              </w:rPr>
              <w:t>4</w:t>
            </w:r>
            <w:r>
              <w:rPr>
                <w:rFonts w:hint="eastAsia"/>
                <w:spacing w:val="-4"/>
                <w:sz w:val="21"/>
                <w:szCs w:val="21"/>
              </w:rPr>
              <w:t>调制定容</w:t>
            </w:r>
            <w:r>
              <w:rPr>
                <w:spacing w:val="-4"/>
                <w:sz w:val="21"/>
                <w:szCs w:val="21"/>
              </w:rPr>
              <w:t>过程</w:t>
            </w:r>
            <w:r>
              <w:rPr>
                <w:rFonts w:hint="eastAsia"/>
                <w:spacing w:val="-4"/>
                <w:sz w:val="21"/>
                <w:szCs w:val="21"/>
              </w:rPr>
              <w:t>的酸性废气</w:t>
            </w:r>
          </w:p>
        </w:tc>
        <w:tc>
          <w:tcPr>
            <w:tcW w:w="1188" w:type="pct"/>
          </w:tcPr>
          <w:p w14:paraId="31446D3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磷酸雾</w:t>
            </w:r>
          </w:p>
        </w:tc>
        <w:tc>
          <w:tcPr>
            <w:tcW w:w="502" w:type="pct"/>
          </w:tcPr>
          <w:p w14:paraId="291E7E8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连续</w:t>
            </w:r>
          </w:p>
        </w:tc>
        <w:tc>
          <w:tcPr>
            <w:tcW w:w="1163" w:type="pct"/>
            <w:gridSpan w:val="2"/>
            <w:vMerge/>
          </w:tcPr>
          <w:p w14:paraId="11E970BE" w14:textId="77777777" w:rsidR="003E78AB" w:rsidRDefault="003E78AB">
            <w:pPr>
              <w:spacing w:line="360" w:lineRule="exact"/>
              <w:ind w:firstLineChars="0" w:firstLine="0"/>
              <w:jc w:val="center"/>
              <w:textAlignment w:val="center"/>
              <w:rPr>
                <w:sz w:val="21"/>
                <w:szCs w:val="21"/>
                <w:lang w:bidi="ar"/>
              </w:rPr>
            </w:pPr>
          </w:p>
        </w:tc>
      </w:tr>
      <w:tr w:rsidR="003E78AB" w14:paraId="76806836" w14:textId="77777777">
        <w:trPr>
          <w:trHeight w:val="340"/>
        </w:trPr>
        <w:tc>
          <w:tcPr>
            <w:tcW w:w="253" w:type="pct"/>
            <w:vMerge/>
          </w:tcPr>
          <w:p w14:paraId="0DFA87A6"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5F32A78C" w14:textId="77777777" w:rsidR="003E78AB" w:rsidRDefault="003E78AB">
            <w:pPr>
              <w:spacing w:line="360" w:lineRule="exact"/>
              <w:ind w:firstLineChars="0" w:firstLine="0"/>
              <w:jc w:val="center"/>
              <w:textAlignment w:val="center"/>
              <w:rPr>
                <w:spacing w:val="-4"/>
                <w:sz w:val="21"/>
                <w:szCs w:val="21"/>
              </w:rPr>
            </w:pPr>
          </w:p>
        </w:tc>
        <w:tc>
          <w:tcPr>
            <w:tcW w:w="1322" w:type="pct"/>
          </w:tcPr>
          <w:p w14:paraId="35528133" w14:textId="77777777" w:rsidR="003E78AB" w:rsidRDefault="00010BF9">
            <w:pPr>
              <w:spacing w:line="360" w:lineRule="exact"/>
              <w:ind w:firstLineChars="0" w:firstLine="0"/>
              <w:jc w:val="center"/>
              <w:textAlignment w:val="center"/>
              <w:rPr>
                <w:spacing w:val="-4"/>
                <w:sz w:val="21"/>
                <w:szCs w:val="21"/>
              </w:rPr>
            </w:pPr>
            <w:r>
              <w:rPr>
                <w:spacing w:val="-4"/>
                <w:sz w:val="21"/>
                <w:szCs w:val="21"/>
              </w:rPr>
              <w:t>G2-</w:t>
            </w:r>
            <w:r>
              <w:rPr>
                <w:rFonts w:hint="eastAsia"/>
                <w:spacing w:val="-4"/>
                <w:sz w:val="21"/>
                <w:szCs w:val="21"/>
              </w:rPr>
              <w:t>5</w:t>
            </w:r>
            <w:r>
              <w:rPr>
                <w:rFonts w:hint="eastAsia"/>
                <w:spacing w:val="-4"/>
                <w:sz w:val="21"/>
                <w:szCs w:val="21"/>
              </w:rPr>
              <w:t>成品装卸</w:t>
            </w:r>
            <w:r>
              <w:rPr>
                <w:spacing w:val="-4"/>
                <w:sz w:val="21"/>
                <w:szCs w:val="21"/>
              </w:rPr>
              <w:t>过程</w:t>
            </w:r>
            <w:r>
              <w:rPr>
                <w:rFonts w:hint="eastAsia"/>
                <w:spacing w:val="-4"/>
                <w:sz w:val="21"/>
                <w:szCs w:val="21"/>
              </w:rPr>
              <w:t>的酸性废气</w:t>
            </w:r>
          </w:p>
        </w:tc>
        <w:tc>
          <w:tcPr>
            <w:tcW w:w="1188" w:type="pct"/>
          </w:tcPr>
          <w:p w14:paraId="3933451D"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r>
              <w:rPr>
                <w:rFonts w:hint="eastAsia"/>
                <w:sz w:val="21"/>
                <w:szCs w:val="21"/>
                <w:lang w:bidi="ar"/>
              </w:rPr>
              <w:t>、磷酸雾</w:t>
            </w:r>
          </w:p>
        </w:tc>
        <w:tc>
          <w:tcPr>
            <w:tcW w:w="502" w:type="pct"/>
          </w:tcPr>
          <w:p w14:paraId="7EEF3D3A"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vMerge/>
          </w:tcPr>
          <w:p w14:paraId="3B0CD627" w14:textId="77777777" w:rsidR="003E78AB" w:rsidRDefault="003E78AB">
            <w:pPr>
              <w:spacing w:line="360" w:lineRule="exact"/>
              <w:ind w:firstLineChars="0" w:firstLine="0"/>
              <w:jc w:val="center"/>
              <w:textAlignment w:val="center"/>
              <w:rPr>
                <w:sz w:val="21"/>
                <w:szCs w:val="21"/>
                <w:lang w:bidi="ar"/>
              </w:rPr>
            </w:pPr>
          </w:p>
        </w:tc>
      </w:tr>
      <w:tr w:rsidR="003E78AB" w14:paraId="58E93DD0" w14:textId="77777777">
        <w:trPr>
          <w:trHeight w:val="340"/>
        </w:trPr>
        <w:tc>
          <w:tcPr>
            <w:tcW w:w="253" w:type="pct"/>
            <w:vMerge/>
          </w:tcPr>
          <w:p w14:paraId="372ADBD9" w14:textId="77777777" w:rsidR="003E78AB" w:rsidRDefault="003E78AB">
            <w:pPr>
              <w:spacing w:line="360" w:lineRule="exact"/>
              <w:ind w:firstLineChars="0" w:firstLine="0"/>
              <w:jc w:val="center"/>
              <w:textAlignment w:val="center"/>
              <w:rPr>
                <w:sz w:val="21"/>
                <w:szCs w:val="21"/>
                <w:lang w:bidi="ar"/>
              </w:rPr>
            </w:pPr>
          </w:p>
        </w:tc>
        <w:tc>
          <w:tcPr>
            <w:tcW w:w="569" w:type="pct"/>
            <w:vMerge w:val="restart"/>
            <w:shd w:val="clear" w:color="auto" w:fill="auto"/>
          </w:tcPr>
          <w:p w14:paraId="0240F3F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液体库</w:t>
            </w:r>
          </w:p>
        </w:tc>
        <w:tc>
          <w:tcPr>
            <w:tcW w:w="1322" w:type="pct"/>
            <w:shd w:val="clear" w:color="auto" w:fill="auto"/>
          </w:tcPr>
          <w:p w14:paraId="10DC264C" w14:textId="77777777" w:rsidR="003E78AB" w:rsidRDefault="00010BF9">
            <w:pPr>
              <w:spacing w:line="360" w:lineRule="exact"/>
              <w:ind w:firstLineChars="0" w:firstLine="0"/>
              <w:jc w:val="center"/>
              <w:textAlignment w:val="center"/>
              <w:rPr>
                <w:sz w:val="21"/>
                <w:szCs w:val="21"/>
                <w:lang w:bidi="ar"/>
              </w:rPr>
            </w:pPr>
            <w:r>
              <w:rPr>
                <w:sz w:val="21"/>
                <w:szCs w:val="21"/>
                <w:lang w:bidi="ar"/>
              </w:rPr>
              <w:t>G3-1</w:t>
            </w:r>
            <w:r>
              <w:rPr>
                <w:sz w:val="21"/>
                <w:szCs w:val="21"/>
                <w:lang w:bidi="ar"/>
              </w:rPr>
              <w:t>磷酸储罐呼吸废气</w:t>
            </w:r>
          </w:p>
        </w:tc>
        <w:tc>
          <w:tcPr>
            <w:tcW w:w="1188" w:type="pct"/>
            <w:shd w:val="clear" w:color="auto" w:fill="auto"/>
          </w:tcPr>
          <w:p w14:paraId="68B5E3BD"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磷酸雾</w:t>
            </w:r>
          </w:p>
        </w:tc>
        <w:tc>
          <w:tcPr>
            <w:tcW w:w="502" w:type="pct"/>
          </w:tcPr>
          <w:p w14:paraId="24EEA7FF"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vMerge/>
          </w:tcPr>
          <w:p w14:paraId="72AFAF69" w14:textId="77777777" w:rsidR="003E78AB" w:rsidRDefault="003E78AB">
            <w:pPr>
              <w:spacing w:line="360" w:lineRule="exact"/>
              <w:ind w:firstLineChars="0" w:firstLine="0"/>
              <w:jc w:val="center"/>
              <w:textAlignment w:val="center"/>
              <w:rPr>
                <w:sz w:val="21"/>
                <w:szCs w:val="21"/>
                <w:lang w:bidi="ar"/>
              </w:rPr>
            </w:pPr>
          </w:p>
        </w:tc>
      </w:tr>
      <w:tr w:rsidR="003E78AB" w14:paraId="70D3B6B9" w14:textId="77777777">
        <w:trPr>
          <w:trHeight w:val="340"/>
        </w:trPr>
        <w:tc>
          <w:tcPr>
            <w:tcW w:w="253" w:type="pct"/>
            <w:vMerge/>
          </w:tcPr>
          <w:p w14:paraId="06F53958" w14:textId="77777777" w:rsidR="003E78AB" w:rsidRDefault="003E78AB">
            <w:pPr>
              <w:spacing w:line="360" w:lineRule="exact"/>
              <w:ind w:firstLineChars="0" w:firstLine="0"/>
              <w:jc w:val="center"/>
              <w:textAlignment w:val="center"/>
              <w:rPr>
                <w:sz w:val="21"/>
                <w:szCs w:val="21"/>
                <w:lang w:bidi="ar"/>
              </w:rPr>
            </w:pPr>
          </w:p>
        </w:tc>
        <w:tc>
          <w:tcPr>
            <w:tcW w:w="569" w:type="pct"/>
            <w:vMerge/>
            <w:shd w:val="clear" w:color="auto" w:fill="auto"/>
          </w:tcPr>
          <w:p w14:paraId="08A5A436" w14:textId="77777777" w:rsidR="003E78AB" w:rsidRDefault="003E78AB">
            <w:pPr>
              <w:spacing w:line="360" w:lineRule="exact"/>
              <w:ind w:firstLineChars="0" w:firstLine="0"/>
              <w:jc w:val="center"/>
              <w:textAlignment w:val="center"/>
              <w:rPr>
                <w:sz w:val="21"/>
                <w:szCs w:val="21"/>
                <w:lang w:bidi="ar"/>
              </w:rPr>
            </w:pPr>
          </w:p>
        </w:tc>
        <w:tc>
          <w:tcPr>
            <w:tcW w:w="1322" w:type="pct"/>
            <w:shd w:val="clear" w:color="auto" w:fill="auto"/>
          </w:tcPr>
          <w:p w14:paraId="55996AC8" w14:textId="77777777" w:rsidR="003E78AB" w:rsidRDefault="00010BF9">
            <w:pPr>
              <w:spacing w:line="360" w:lineRule="exact"/>
              <w:ind w:firstLineChars="0" w:firstLine="0"/>
              <w:jc w:val="center"/>
              <w:textAlignment w:val="center"/>
              <w:rPr>
                <w:sz w:val="21"/>
                <w:szCs w:val="21"/>
                <w:lang w:bidi="ar"/>
              </w:rPr>
            </w:pPr>
            <w:r>
              <w:rPr>
                <w:sz w:val="21"/>
                <w:szCs w:val="21"/>
                <w:lang w:bidi="ar"/>
              </w:rPr>
              <w:t>G3-2</w:t>
            </w:r>
            <w:r>
              <w:rPr>
                <w:sz w:val="21"/>
                <w:szCs w:val="21"/>
                <w:lang w:bidi="ar"/>
              </w:rPr>
              <w:t>硫酸储罐呼吸废气</w:t>
            </w:r>
          </w:p>
        </w:tc>
        <w:tc>
          <w:tcPr>
            <w:tcW w:w="1188" w:type="pct"/>
            <w:shd w:val="clear" w:color="auto" w:fill="auto"/>
          </w:tcPr>
          <w:p w14:paraId="79A25936"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p>
        </w:tc>
        <w:tc>
          <w:tcPr>
            <w:tcW w:w="502" w:type="pct"/>
          </w:tcPr>
          <w:p w14:paraId="644575A9"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tcPr>
          <w:p w14:paraId="57BFB6C6" w14:textId="77777777" w:rsidR="003E78AB" w:rsidRDefault="00010BF9">
            <w:pPr>
              <w:spacing w:line="360" w:lineRule="exact"/>
              <w:ind w:firstLineChars="0" w:firstLine="0"/>
              <w:jc w:val="center"/>
              <w:textAlignment w:val="center"/>
              <w:rPr>
                <w:sz w:val="21"/>
                <w:szCs w:val="21"/>
                <w:lang w:bidi="ar"/>
              </w:rPr>
            </w:pPr>
            <w:r>
              <w:rPr>
                <w:sz w:val="21"/>
                <w:szCs w:val="21"/>
                <w:lang w:bidi="ar"/>
              </w:rPr>
              <w:t>罐顶排空</w:t>
            </w:r>
          </w:p>
        </w:tc>
      </w:tr>
      <w:tr w:rsidR="003E78AB" w14:paraId="513A9004" w14:textId="77777777">
        <w:trPr>
          <w:trHeight w:val="340"/>
        </w:trPr>
        <w:tc>
          <w:tcPr>
            <w:tcW w:w="253" w:type="pct"/>
            <w:vMerge/>
          </w:tcPr>
          <w:p w14:paraId="0515CD86"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307A39F7" w14:textId="77777777" w:rsidR="003E78AB" w:rsidRDefault="00010BF9">
            <w:pPr>
              <w:spacing w:line="360" w:lineRule="exact"/>
              <w:ind w:firstLineChars="0" w:firstLine="0"/>
              <w:jc w:val="center"/>
              <w:textAlignment w:val="center"/>
              <w:rPr>
                <w:sz w:val="21"/>
                <w:szCs w:val="21"/>
                <w:lang w:bidi="ar"/>
              </w:rPr>
            </w:pPr>
            <w:r>
              <w:rPr>
                <w:sz w:val="21"/>
                <w:szCs w:val="21"/>
                <w:lang w:bidi="ar"/>
              </w:rPr>
              <w:t>燃气锅炉</w:t>
            </w:r>
          </w:p>
        </w:tc>
        <w:tc>
          <w:tcPr>
            <w:tcW w:w="1322" w:type="pct"/>
            <w:shd w:val="clear" w:color="auto" w:fill="auto"/>
          </w:tcPr>
          <w:p w14:paraId="5C0E799E" w14:textId="77777777" w:rsidR="003E78AB" w:rsidRDefault="00010BF9">
            <w:pPr>
              <w:spacing w:line="360" w:lineRule="exact"/>
              <w:ind w:firstLineChars="0" w:firstLine="0"/>
              <w:jc w:val="center"/>
              <w:textAlignment w:val="center"/>
              <w:rPr>
                <w:sz w:val="21"/>
                <w:szCs w:val="21"/>
                <w:lang w:bidi="ar"/>
              </w:rPr>
            </w:pPr>
            <w:r>
              <w:rPr>
                <w:sz w:val="21"/>
                <w:szCs w:val="21"/>
                <w:lang w:bidi="ar"/>
              </w:rPr>
              <w:t>G4</w:t>
            </w:r>
            <w:r>
              <w:rPr>
                <w:sz w:val="21"/>
                <w:szCs w:val="21"/>
                <w:lang w:bidi="ar"/>
              </w:rPr>
              <w:t>锅炉烟气</w:t>
            </w:r>
          </w:p>
        </w:tc>
        <w:tc>
          <w:tcPr>
            <w:tcW w:w="1188" w:type="pct"/>
            <w:shd w:val="clear" w:color="auto" w:fill="auto"/>
          </w:tcPr>
          <w:p w14:paraId="325C87C7" w14:textId="77777777" w:rsidR="003E78AB" w:rsidRDefault="00010BF9">
            <w:pPr>
              <w:spacing w:line="360" w:lineRule="exact"/>
              <w:ind w:firstLineChars="0" w:firstLine="0"/>
              <w:jc w:val="center"/>
              <w:textAlignment w:val="center"/>
              <w:rPr>
                <w:sz w:val="21"/>
                <w:szCs w:val="21"/>
                <w:lang w:bidi="ar"/>
              </w:rPr>
            </w:pPr>
            <w:r>
              <w:rPr>
                <w:sz w:val="21"/>
                <w:szCs w:val="21"/>
                <w:lang w:bidi="ar"/>
              </w:rPr>
              <w:t>颗粒物、</w:t>
            </w:r>
            <w:r>
              <w:rPr>
                <w:sz w:val="21"/>
                <w:szCs w:val="21"/>
                <w:lang w:bidi="ar"/>
              </w:rPr>
              <w:t>SO</w:t>
            </w:r>
            <w:r>
              <w:rPr>
                <w:sz w:val="21"/>
                <w:szCs w:val="21"/>
                <w:vertAlign w:val="subscript"/>
                <w:lang w:bidi="ar"/>
              </w:rPr>
              <w:t>2</w:t>
            </w:r>
            <w:r>
              <w:rPr>
                <w:sz w:val="21"/>
                <w:szCs w:val="21"/>
                <w:lang w:bidi="ar"/>
              </w:rPr>
              <w:t>、</w:t>
            </w:r>
            <w:r>
              <w:rPr>
                <w:sz w:val="21"/>
                <w:szCs w:val="21"/>
                <w:lang w:bidi="ar"/>
              </w:rPr>
              <w:t>NOx</w:t>
            </w:r>
            <w:r>
              <w:rPr>
                <w:sz w:val="21"/>
                <w:szCs w:val="21"/>
                <w:lang w:bidi="ar"/>
              </w:rPr>
              <w:t>、林格曼黑度</w:t>
            </w:r>
          </w:p>
        </w:tc>
        <w:tc>
          <w:tcPr>
            <w:tcW w:w="502" w:type="pct"/>
            <w:shd w:val="clear" w:color="auto" w:fill="auto"/>
          </w:tcPr>
          <w:p w14:paraId="22D1ADEB"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shd w:val="clear" w:color="auto" w:fill="auto"/>
          </w:tcPr>
          <w:p w14:paraId="6109D4EE" w14:textId="77777777" w:rsidR="003E78AB" w:rsidRDefault="00010BF9">
            <w:pPr>
              <w:spacing w:line="360" w:lineRule="exact"/>
              <w:ind w:firstLineChars="0" w:firstLine="0"/>
              <w:jc w:val="center"/>
              <w:textAlignment w:val="center"/>
              <w:rPr>
                <w:sz w:val="21"/>
                <w:szCs w:val="21"/>
                <w:lang w:bidi="ar"/>
              </w:rPr>
            </w:pPr>
            <w:r>
              <w:rPr>
                <w:sz w:val="21"/>
                <w:szCs w:val="21"/>
                <w:lang w:bidi="ar"/>
              </w:rPr>
              <w:t>每台锅炉低氮燃烧技术</w:t>
            </w:r>
            <w:r>
              <w:rPr>
                <w:sz w:val="21"/>
                <w:szCs w:val="21"/>
                <w:lang w:bidi="ar"/>
              </w:rPr>
              <w:t>+</w:t>
            </w:r>
            <w:r>
              <w:rPr>
                <w:sz w:val="21"/>
                <w:szCs w:val="21"/>
                <w:lang w:bidi="ar"/>
              </w:rPr>
              <w:t>烟气再循环技术，合并一根</w:t>
            </w:r>
            <w:r>
              <w:rPr>
                <w:sz w:val="21"/>
                <w:szCs w:val="21"/>
                <w:lang w:bidi="ar"/>
              </w:rPr>
              <w:t>15m</w:t>
            </w:r>
            <w:r>
              <w:rPr>
                <w:sz w:val="21"/>
                <w:szCs w:val="21"/>
                <w:lang w:bidi="ar"/>
              </w:rPr>
              <w:t>排气筒</w:t>
            </w:r>
            <w:r>
              <w:rPr>
                <w:sz w:val="21"/>
                <w:szCs w:val="21"/>
                <w:lang w:bidi="ar"/>
              </w:rPr>
              <w:t>DA004</w:t>
            </w:r>
          </w:p>
        </w:tc>
      </w:tr>
      <w:tr w:rsidR="003E78AB" w14:paraId="1F288596" w14:textId="77777777">
        <w:trPr>
          <w:trHeight w:val="340"/>
        </w:trPr>
        <w:tc>
          <w:tcPr>
            <w:tcW w:w="253" w:type="pct"/>
            <w:vMerge/>
          </w:tcPr>
          <w:p w14:paraId="4EB3D653" w14:textId="77777777" w:rsidR="003E78AB" w:rsidRDefault="003E78AB">
            <w:pPr>
              <w:spacing w:line="360" w:lineRule="exact"/>
              <w:ind w:firstLineChars="0" w:firstLine="0"/>
              <w:jc w:val="center"/>
              <w:textAlignment w:val="center"/>
              <w:rPr>
                <w:sz w:val="21"/>
                <w:szCs w:val="21"/>
                <w:lang w:bidi="ar"/>
              </w:rPr>
            </w:pPr>
          </w:p>
        </w:tc>
        <w:tc>
          <w:tcPr>
            <w:tcW w:w="569" w:type="pct"/>
          </w:tcPr>
          <w:p w14:paraId="64320511" w14:textId="77777777" w:rsidR="003E78AB" w:rsidRDefault="00010BF9">
            <w:pPr>
              <w:spacing w:line="360" w:lineRule="exact"/>
              <w:ind w:firstLineChars="0" w:firstLine="0"/>
              <w:jc w:val="center"/>
              <w:textAlignment w:val="center"/>
              <w:rPr>
                <w:sz w:val="21"/>
                <w:szCs w:val="21"/>
                <w:lang w:bidi="ar"/>
              </w:rPr>
            </w:pPr>
            <w:r>
              <w:rPr>
                <w:sz w:val="21"/>
                <w:szCs w:val="21"/>
                <w:lang w:bidi="ar"/>
              </w:rPr>
              <w:t>实验室</w:t>
            </w:r>
          </w:p>
        </w:tc>
        <w:tc>
          <w:tcPr>
            <w:tcW w:w="1322" w:type="pct"/>
          </w:tcPr>
          <w:p w14:paraId="6DF951FD" w14:textId="77777777" w:rsidR="003E78AB" w:rsidRDefault="00010BF9">
            <w:pPr>
              <w:spacing w:line="360" w:lineRule="exact"/>
              <w:ind w:firstLineChars="0" w:firstLine="0"/>
              <w:jc w:val="center"/>
              <w:textAlignment w:val="center"/>
              <w:rPr>
                <w:sz w:val="21"/>
                <w:szCs w:val="21"/>
                <w:lang w:bidi="ar"/>
              </w:rPr>
            </w:pPr>
            <w:r>
              <w:rPr>
                <w:sz w:val="21"/>
                <w:szCs w:val="21"/>
                <w:lang w:bidi="ar"/>
              </w:rPr>
              <w:t>G5</w:t>
            </w:r>
            <w:r>
              <w:rPr>
                <w:sz w:val="21"/>
                <w:szCs w:val="21"/>
                <w:lang w:bidi="ar"/>
              </w:rPr>
              <w:t>实验废气</w:t>
            </w:r>
          </w:p>
        </w:tc>
        <w:tc>
          <w:tcPr>
            <w:tcW w:w="1188" w:type="pct"/>
          </w:tcPr>
          <w:p w14:paraId="10CB3792" w14:textId="77777777" w:rsidR="003E78AB" w:rsidRDefault="00010BF9">
            <w:pPr>
              <w:spacing w:line="360" w:lineRule="exact"/>
              <w:ind w:firstLineChars="0" w:firstLine="0"/>
              <w:jc w:val="center"/>
              <w:textAlignment w:val="center"/>
              <w:rPr>
                <w:sz w:val="21"/>
                <w:szCs w:val="21"/>
                <w:lang w:bidi="ar"/>
              </w:rPr>
            </w:pPr>
            <w:r>
              <w:rPr>
                <w:sz w:val="21"/>
                <w:szCs w:val="21"/>
                <w:lang w:bidi="ar"/>
              </w:rPr>
              <w:t>颗粒物、硫酸雾、</w:t>
            </w:r>
            <w:r>
              <w:rPr>
                <w:sz w:val="21"/>
                <w:szCs w:val="21"/>
                <w:lang w:bidi="ar"/>
              </w:rPr>
              <w:t>HCl</w:t>
            </w:r>
            <w:r>
              <w:rPr>
                <w:sz w:val="21"/>
                <w:szCs w:val="21"/>
                <w:lang w:bidi="ar"/>
              </w:rPr>
              <w:t>、硝酸雾</w:t>
            </w:r>
          </w:p>
        </w:tc>
        <w:tc>
          <w:tcPr>
            <w:tcW w:w="502" w:type="pct"/>
          </w:tcPr>
          <w:p w14:paraId="5F1F9BCD" w14:textId="77777777" w:rsidR="003E78AB" w:rsidRDefault="00010BF9">
            <w:pPr>
              <w:spacing w:line="360" w:lineRule="exact"/>
              <w:ind w:firstLineChars="0" w:firstLine="0"/>
              <w:jc w:val="center"/>
              <w:textAlignment w:val="center"/>
              <w:rPr>
                <w:spacing w:val="-1"/>
                <w:sz w:val="21"/>
                <w:szCs w:val="21"/>
              </w:rPr>
            </w:pPr>
            <w:r>
              <w:rPr>
                <w:spacing w:val="-4"/>
                <w:sz w:val="21"/>
                <w:szCs w:val="21"/>
              </w:rPr>
              <w:t>间断</w:t>
            </w:r>
          </w:p>
        </w:tc>
        <w:tc>
          <w:tcPr>
            <w:tcW w:w="1163" w:type="pct"/>
            <w:gridSpan w:val="2"/>
          </w:tcPr>
          <w:p w14:paraId="5AA8F76A" w14:textId="77777777" w:rsidR="003E78AB" w:rsidRDefault="00010BF9">
            <w:pPr>
              <w:spacing w:line="360" w:lineRule="exact"/>
              <w:ind w:firstLineChars="0" w:firstLine="0"/>
              <w:jc w:val="center"/>
              <w:textAlignment w:val="center"/>
              <w:rPr>
                <w:sz w:val="21"/>
                <w:szCs w:val="21"/>
                <w:lang w:bidi="ar"/>
              </w:rPr>
            </w:pPr>
            <w:r>
              <w:rPr>
                <w:spacing w:val="-1"/>
                <w:sz w:val="21"/>
                <w:szCs w:val="21"/>
              </w:rPr>
              <w:t>通风柜收集化验室楼顶排</w:t>
            </w:r>
            <w:r>
              <w:rPr>
                <w:sz w:val="21"/>
                <w:szCs w:val="21"/>
              </w:rPr>
              <w:t>放</w:t>
            </w:r>
          </w:p>
        </w:tc>
      </w:tr>
      <w:tr w:rsidR="003E78AB" w14:paraId="0ED99D78" w14:textId="77777777">
        <w:trPr>
          <w:trHeight w:val="340"/>
        </w:trPr>
        <w:tc>
          <w:tcPr>
            <w:tcW w:w="253" w:type="pct"/>
            <w:vMerge w:val="restart"/>
          </w:tcPr>
          <w:p w14:paraId="70998A6E" w14:textId="77777777" w:rsidR="003E78AB" w:rsidRDefault="00010BF9">
            <w:pPr>
              <w:spacing w:line="360" w:lineRule="exact"/>
              <w:ind w:firstLineChars="0" w:firstLine="0"/>
              <w:jc w:val="center"/>
              <w:textAlignment w:val="center"/>
              <w:rPr>
                <w:sz w:val="21"/>
                <w:szCs w:val="21"/>
                <w:lang w:bidi="ar"/>
              </w:rPr>
            </w:pPr>
            <w:r>
              <w:rPr>
                <w:sz w:val="21"/>
                <w:szCs w:val="21"/>
                <w:lang w:bidi="ar"/>
              </w:rPr>
              <w:t>废水</w:t>
            </w:r>
          </w:p>
        </w:tc>
        <w:tc>
          <w:tcPr>
            <w:tcW w:w="569" w:type="pct"/>
          </w:tcPr>
          <w:p w14:paraId="4D608DF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工艺废气处理</w:t>
            </w:r>
          </w:p>
        </w:tc>
        <w:tc>
          <w:tcPr>
            <w:tcW w:w="1322" w:type="pct"/>
          </w:tcPr>
          <w:p w14:paraId="0C339EF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W2-1</w:t>
            </w:r>
            <w:r>
              <w:rPr>
                <w:rFonts w:hint="eastAsia"/>
                <w:sz w:val="21"/>
                <w:szCs w:val="21"/>
                <w:lang w:bidi="ar"/>
              </w:rPr>
              <w:t>淋洗塔排水</w:t>
            </w:r>
          </w:p>
        </w:tc>
        <w:tc>
          <w:tcPr>
            <w:tcW w:w="1188" w:type="pct"/>
          </w:tcPr>
          <w:p w14:paraId="3365455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502" w:type="pct"/>
          </w:tcPr>
          <w:p w14:paraId="4F21E083"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1163" w:type="pct"/>
            <w:gridSpan w:val="2"/>
          </w:tcPr>
          <w:p w14:paraId="61AEED7C" w14:textId="77777777" w:rsidR="003E78AB" w:rsidRDefault="00010BF9">
            <w:pPr>
              <w:spacing w:line="360" w:lineRule="exact"/>
              <w:ind w:firstLineChars="0" w:firstLine="0"/>
              <w:jc w:val="center"/>
              <w:textAlignment w:val="center"/>
              <w:rPr>
                <w:sz w:val="21"/>
                <w:szCs w:val="21"/>
                <w:lang w:bidi="ar"/>
              </w:rPr>
            </w:pPr>
            <w:r>
              <w:rPr>
                <w:sz w:val="21"/>
                <w:szCs w:val="21"/>
                <w:lang w:bidi="ar"/>
              </w:rPr>
              <w:t>经蒸发冷凝后回用</w:t>
            </w:r>
          </w:p>
        </w:tc>
      </w:tr>
      <w:tr w:rsidR="003E78AB" w14:paraId="5F2333A4" w14:textId="77777777">
        <w:trPr>
          <w:trHeight w:val="340"/>
        </w:trPr>
        <w:tc>
          <w:tcPr>
            <w:tcW w:w="253" w:type="pct"/>
            <w:vMerge/>
          </w:tcPr>
          <w:p w14:paraId="4D7ABBE4"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7886F59D" w14:textId="77777777" w:rsidR="003E78AB" w:rsidRDefault="00010BF9">
            <w:pPr>
              <w:spacing w:line="360" w:lineRule="exact"/>
              <w:ind w:firstLineChars="0" w:firstLine="0"/>
              <w:jc w:val="center"/>
              <w:textAlignment w:val="center"/>
              <w:rPr>
                <w:sz w:val="21"/>
                <w:szCs w:val="21"/>
                <w:lang w:bidi="ar"/>
              </w:rPr>
            </w:pPr>
            <w:r>
              <w:rPr>
                <w:sz w:val="21"/>
                <w:szCs w:val="21"/>
                <w:lang w:bidi="ar"/>
              </w:rPr>
              <w:t>实验室</w:t>
            </w:r>
          </w:p>
        </w:tc>
        <w:tc>
          <w:tcPr>
            <w:tcW w:w="1322" w:type="pct"/>
            <w:shd w:val="clear" w:color="auto" w:fill="auto"/>
          </w:tcPr>
          <w:p w14:paraId="6C89756E" w14:textId="77777777" w:rsidR="003E78AB" w:rsidRDefault="00010BF9">
            <w:pPr>
              <w:spacing w:line="360" w:lineRule="exact"/>
              <w:ind w:firstLineChars="0" w:firstLine="0"/>
              <w:jc w:val="center"/>
              <w:textAlignment w:val="center"/>
              <w:rPr>
                <w:sz w:val="21"/>
                <w:szCs w:val="21"/>
                <w:lang w:bidi="ar"/>
              </w:rPr>
            </w:pPr>
            <w:r>
              <w:rPr>
                <w:sz w:val="21"/>
                <w:szCs w:val="21"/>
                <w:lang w:bidi="ar"/>
              </w:rPr>
              <w:t>W4-4</w:t>
            </w:r>
            <w:r>
              <w:rPr>
                <w:sz w:val="21"/>
                <w:szCs w:val="21"/>
                <w:lang w:bidi="ar"/>
              </w:rPr>
              <w:t>实验废水</w:t>
            </w:r>
          </w:p>
        </w:tc>
        <w:tc>
          <w:tcPr>
            <w:tcW w:w="1188" w:type="pct"/>
            <w:shd w:val="clear" w:color="auto" w:fill="auto"/>
          </w:tcPr>
          <w:p w14:paraId="706ADE4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502" w:type="pct"/>
            <w:shd w:val="clear" w:color="auto" w:fill="auto"/>
          </w:tcPr>
          <w:p w14:paraId="4EDEBB49" w14:textId="77777777" w:rsidR="003E78AB" w:rsidRDefault="00010BF9">
            <w:pPr>
              <w:spacing w:line="360" w:lineRule="exact"/>
              <w:ind w:firstLineChars="0" w:firstLine="0"/>
              <w:jc w:val="center"/>
              <w:textAlignment w:val="center"/>
              <w:rPr>
                <w:spacing w:val="-4"/>
                <w:sz w:val="21"/>
                <w:szCs w:val="21"/>
              </w:rPr>
            </w:pPr>
            <w:r>
              <w:rPr>
                <w:spacing w:val="-4"/>
                <w:sz w:val="21"/>
                <w:szCs w:val="21"/>
              </w:rPr>
              <w:t>间断</w:t>
            </w:r>
          </w:p>
        </w:tc>
        <w:tc>
          <w:tcPr>
            <w:tcW w:w="1163" w:type="pct"/>
            <w:gridSpan w:val="2"/>
          </w:tcPr>
          <w:p w14:paraId="51C3C9D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收集后回用</w:t>
            </w:r>
          </w:p>
        </w:tc>
      </w:tr>
      <w:tr w:rsidR="003E78AB" w14:paraId="19962F31" w14:textId="77777777">
        <w:trPr>
          <w:trHeight w:val="340"/>
        </w:trPr>
        <w:tc>
          <w:tcPr>
            <w:tcW w:w="253" w:type="pct"/>
            <w:vMerge/>
          </w:tcPr>
          <w:p w14:paraId="6481020D" w14:textId="77777777" w:rsidR="003E78AB" w:rsidRDefault="003E78AB">
            <w:pPr>
              <w:spacing w:line="360" w:lineRule="exact"/>
              <w:ind w:firstLineChars="0" w:firstLine="0"/>
              <w:jc w:val="center"/>
              <w:textAlignment w:val="center"/>
              <w:rPr>
                <w:sz w:val="21"/>
                <w:szCs w:val="21"/>
                <w:lang w:bidi="ar"/>
              </w:rPr>
            </w:pPr>
          </w:p>
        </w:tc>
        <w:tc>
          <w:tcPr>
            <w:tcW w:w="569" w:type="pct"/>
          </w:tcPr>
          <w:p w14:paraId="4438A70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地面冲洗</w:t>
            </w:r>
          </w:p>
        </w:tc>
        <w:tc>
          <w:tcPr>
            <w:tcW w:w="1322" w:type="pct"/>
          </w:tcPr>
          <w:p w14:paraId="4C6BBBF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W2-2</w:t>
            </w:r>
            <w:r>
              <w:rPr>
                <w:rFonts w:hint="eastAsia"/>
                <w:sz w:val="21"/>
                <w:szCs w:val="21"/>
                <w:lang w:bidi="ar"/>
              </w:rPr>
              <w:t>地面冲洗水</w:t>
            </w:r>
          </w:p>
        </w:tc>
        <w:tc>
          <w:tcPr>
            <w:tcW w:w="1188" w:type="pct"/>
          </w:tcPr>
          <w:p w14:paraId="5C179E9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pH</w:t>
            </w:r>
            <w:r>
              <w:rPr>
                <w:rFonts w:hint="eastAsia"/>
                <w:sz w:val="21"/>
                <w:szCs w:val="21"/>
                <w:lang w:bidi="ar"/>
              </w:rPr>
              <w:t>、</w:t>
            </w:r>
            <w:r>
              <w:rPr>
                <w:rFonts w:hint="eastAsia"/>
                <w:sz w:val="21"/>
                <w:szCs w:val="21"/>
                <w:lang w:bidi="ar"/>
              </w:rPr>
              <w:t>TP</w:t>
            </w:r>
            <w:r>
              <w:rPr>
                <w:rFonts w:hint="eastAsia"/>
                <w:sz w:val="21"/>
                <w:szCs w:val="21"/>
                <w:lang w:bidi="ar"/>
              </w:rPr>
              <w:t>、总钒</w:t>
            </w:r>
          </w:p>
        </w:tc>
        <w:tc>
          <w:tcPr>
            <w:tcW w:w="502" w:type="pct"/>
          </w:tcPr>
          <w:p w14:paraId="112C043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间断</w:t>
            </w:r>
          </w:p>
        </w:tc>
        <w:tc>
          <w:tcPr>
            <w:tcW w:w="610" w:type="pct"/>
          </w:tcPr>
          <w:p w14:paraId="60AA610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车间沉淀池</w:t>
            </w:r>
          </w:p>
        </w:tc>
        <w:tc>
          <w:tcPr>
            <w:tcW w:w="553" w:type="pct"/>
            <w:vMerge w:val="restart"/>
          </w:tcPr>
          <w:p w14:paraId="035972CF" w14:textId="77777777" w:rsidR="003E78AB" w:rsidRDefault="00010BF9">
            <w:pPr>
              <w:spacing w:line="360" w:lineRule="exact"/>
              <w:ind w:firstLineChars="0" w:firstLine="0"/>
              <w:jc w:val="center"/>
              <w:textAlignment w:val="center"/>
              <w:rPr>
                <w:sz w:val="21"/>
                <w:szCs w:val="21"/>
                <w:lang w:bidi="ar"/>
              </w:rPr>
            </w:pPr>
            <w:r>
              <w:rPr>
                <w:sz w:val="21"/>
                <w:szCs w:val="21"/>
                <w:lang w:bidi="ar"/>
              </w:rPr>
              <w:t>经厂区总排口排入园区下水管网</w:t>
            </w:r>
          </w:p>
        </w:tc>
      </w:tr>
      <w:tr w:rsidR="003E78AB" w14:paraId="22649B09" w14:textId="77777777">
        <w:trPr>
          <w:trHeight w:val="340"/>
        </w:trPr>
        <w:tc>
          <w:tcPr>
            <w:tcW w:w="253" w:type="pct"/>
            <w:vMerge/>
          </w:tcPr>
          <w:p w14:paraId="319D22EC" w14:textId="77777777" w:rsidR="003E78AB" w:rsidRDefault="003E78AB">
            <w:pPr>
              <w:spacing w:line="360" w:lineRule="exact"/>
              <w:ind w:firstLineChars="0" w:firstLine="0"/>
              <w:jc w:val="center"/>
              <w:textAlignment w:val="center"/>
              <w:rPr>
                <w:sz w:val="21"/>
                <w:szCs w:val="21"/>
                <w:lang w:bidi="ar"/>
              </w:rPr>
            </w:pPr>
          </w:p>
        </w:tc>
        <w:tc>
          <w:tcPr>
            <w:tcW w:w="569" w:type="pct"/>
          </w:tcPr>
          <w:p w14:paraId="74519372" w14:textId="77777777" w:rsidR="003E78AB" w:rsidRDefault="00010BF9">
            <w:pPr>
              <w:spacing w:line="360" w:lineRule="exact"/>
              <w:ind w:firstLineChars="0" w:firstLine="0"/>
              <w:jc w:val="center"/>
              <w:textAlignment w:val="center"/>
              <w:rPr>
                <w:sz w:val="21"/>
                <w:szCs w:val="21"/>
                <w:lang w:bidi="ar"/>
              </w:rPr>
            </w:pPr>
            <w:r>
              <w:rPr>
                <w:sz w:val="21"/>
                <w:szCs w:val="21"/>
                <w:lang w:bidi="ar"/>
              </w:rPr>
              <w:t>软水制备</w:t>
            </w:r>
          </w:p>
        </w:tc>
        <w:tc>
          <w:tcPr>
            <w:tcW w:w="1322" w:type="pct"/>
          </w:tcPr>
          <w:p w14:paraId="789262D7" w14:textId="77777777" w:rsidR="003E78AB" w:rsidRDefault="00010BF9">
            <w:pPr>
              <w:spacing w:line="360" w:lineRule="exact"/>
              <w:ind w:firstLineChars="0" w:firstLine="0"/>
              <w:jc w:val="center"/>
              <w:textAlignment w:val="center"/>
              <w:rPr>
                <w:sz w:val="21"/>
                <w:szCs w:val="21"/>
                <w:lang w:bidi="ar"/>
              </w:rPr>
            </w:pPr>
            <w:r>
              <w:rPr>
                <w:sz w:val="21"/>
                <w:szCs w:val="21"/>
                <w:lang w:bidi="ar"/>
              </w:rPr>
              <w:t>W4-1</w:t>
            </w:r>
            <w:r>
              <w:rPr>
                <w:sz w:val="21"/>
                <w:szCs w:val="21"/>
                <w:lang w:bidi="ar"/>
              </w:rPr>
              <w:t>浓水</w:t>
            </w:r>
          </w:p>
        </w:tc>
        <w:tc>
          <w:tcPr>
            <w:tcW w:w="1188" w:type="pct"/>
          </w:tcPr>
          <w:p w14:paraId="22E6B7A3"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r>
              <w:rPr>
                <w:sz w:val="21"/>
                <w:szCs w:val="21"/>
                <w:lang w:bidi="ar"/>
              </w:rPr>
              <w:t>、</w:t>
            </w:r>
            <w:r>
              <w:rPr>
                <w:sz w:val="21"/>
                <w:szCs w:val="21"/>
                <w:lang w:bidi="ar"/>
              </w:rPr>
              <w:t>COD</w:t>
            </w:r>
            <w:r>
              <w:rPr>
                <w:sz w:val="21"/>
                <w:szCs w:val="21"/>
                <w:lang w:bidi="ar"/>
              </w:rPr>
              <w:t>、溶解性总固体</w:t>
            </w:r>
          </w:p>
        </w:tc>
        <w:tc>
          <w:tcPr>
            <w:tcW w:w="502" w:type="pct"/>
          </w:tcPr>
          <w:p w14:paraId="081FA07D"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610" w:type="pct"/>
            <w:vMerge w:val="restart"/>
          </w:tcPr>
          <w:p w14:paraId="405C9EB2"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553" w:type="pct"/>
            <w:vMerge/>
          </w:tcPr>
          <w:p w14:paraId="3C40F0D9" w14:textId="77777777" w:rsidR="003E78AB" w:rsidRDefault="003E78AB">
            <w:pPr>
              <w:spacing w:line="360" w:lineRule="exact"/>
              <w:ind w:firstLineChars="0" w:firstLine="0"/>
              <w:jc w:val="center"/>
              <w:textAlignment w:val="center"/>
              <w:rPr>
                <w:sz w:val="21"/>
                <w:szCs w:val="21"/>
                <w:lang w:bidi="ar"/>
              </w:rPr>
            </w:pPr>
          </w:p>
        </w:tc>
      </w:tr>
      <w:tr w:rsidR="003E78AB" w14:paraId="0FF6929C" w14:textId="77777777">
        <w:trPr>
          <w:trHeight w:val="90"/>
        </w:trPr>
        <w:tc>
          <w:tcPr>
            <w:tcW w:w="253" w:type="pct"/>
            <w:vMerge/>
          </w:tcPr>
          <w:p w14:paraId="089C78D2"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75D3CDE1" w14:textId="77777777" w:rsidR="003E78AB" w:rsidRDefault="00010BF9">
            <w:pPr>
              <w:spacing w:line="360" w:lineRule="exact"/>
              <w:ind w:firstLineChars="0" w:firstLine="0"/>
              <w:jc w:val="center"/>
              <w:textAlignment w:val="center"/>
              <w:rPr>
                <w:sz w:val="21"/>
                <w:szCs w:val="21"/>
                <w:lang w:bidi="ar"/>
              </w:rPr>
            </w:pPr>
            <w:r>
              <w:rPr>
                <w:sz w:val="21"/>
                <w:szCs w:val="21"/>
                <w:lang w:bidi="ar"/>
              </w:rPr>
              <w:t>纯水制备设施</w:t>
            </w:r>
          </w:p>
        </w:tc>
        <w:tc>
          <w:tcPr>
            <w:tcW w:w="1322" w:type="pct"/>
            <w:shd w:val="clear" w:color="auto" w:fill="auto"/>
          </w:tcPr>
          <w:p w14:paraId="598E166A" w14:textId="77777777" w:rsidR="003E78AB" w:rsidRDefault="00010BF9">
            <w:pPr>
              <w:spacing w:line="360" w:lineRule="exact"/>
              <w:ind w:firstLineChars="0" w:firstLine="0"/>
              <w:jc w:val="center"/>
              <w:textAlignment w:val="center"/>
              <w:rPr>
                <w:sz w:val="21"/>
                <w:szCs w:val="21"/>
                <w:lang w:bidi="ar"/>
              </w:rPr>
            </w:pPr>
            <w:r>
              <w:rPr>
                <w:sz w:val="21"/>
                <w:szCs w:val="21"/>
                <w:lang w:bidi="ar"/>
              </w:rPr>
              <w:t>W4-2</w:t>
            </w:r>
            <w:r>
              <w:rPr>
                <w:sz w:val="21"/>
                <w:szCs w:val="21"/>
                <w:lang w:bidi="ar"/>
              </w:rPr>
              <w:t>浓水</w:t>
            </w:r>
          </w:p>
        </w:tc>
        <w:tc>
          <w:tcPr>
            <w:tcW w:w="1188" w:type="pct"/>
            <w:shd w:val="clear" w:color="auto" w:fill="auto"/>
          </w:tcPr>
          <w:p w14:paraId="3AFECD14"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r>
              <w:rPr>
                <w:sz w:val="21"/>
                <w:szCs w:val="21"/>
                <w:lang w:bidi="ar"/>
              </w:rPr>
              <w:t>、</w:t>
            </w:r>
            <w:r>
              <w:rPr>
                <w:sz w:val="21"/>
                <w:szCs w:val="21"/>
                <w:lang w:bidi="ar"/>
              </w:rPr>
              <w:t>COD</w:t>
            </w:r>
            <w:r>
              <w:rPr>
                <w:sz w:val="21"/>
                <w:szCs w:val="21"/>
                <w:lang w:bidi="ar"/>
              </w:rPr>
              <w:t>、溶解性总固体</w:t>
            </w:r>
          </w:p>
        </w:tc>
        <w:tc>
          <w:tcPr>
            <w:tcW w:w="502" w:type="pct"/>
          </w:tcPr>
          <w:p w14:paraId="5C0E59AC"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610" w:type="pct"/>
            <w:vMerge/>
          </w:tcPr>
          <w:p w14:paraId="2D92FA6C" w14:textId="77777777" w:rsidR="003E78AB" w:rsidRDefault="003E78AB">
            <w:pPr>
              <w:spacing w:line="360" w:lineRule="exact"/>
              <w:ind w:firstLineChars="0" w:firstLine="0"/>
              <w:jc w:val="center"/>
              <w:textAlignment w:val="center"/>
              <w:rPr>
                <w:sz w:val="21"/>
                <w:szCs w:val="21"/>
                <w:lang w:bidi="ar"/>
              </w:rPr>
            </w:pPr>
          </w:p>
        </w:tc>
        <w:tc>
          <w:tcPr>
            <w:tcW w:w="553" w:type="pct"/>
            <w:vMerge/>
          </w:tcPr>
          <w:p w14:paraId="7A9DBA07" w14:textId="77777777" w:rsidR="003E78AB" w:rsidRDefault="003E78AB">
            <w:pPr>
              <w:spacing w:line="360" w:lineRule="exact"/>
              <w:ind w:firstLineChars="0" w:firstLine="0"/>
              <w:jc w:val="center"/>
              <w:textAlignment w:val="center"/>
              <w:rPr>
                <w:sz w:val="21"/>
                <w:szCs w:val="21"/>
                <w:lang w:bidi="ar"/>
              </w:rPr>
            </w:pPr>
          </w:p>
        </w:tc>
      </w:tr>
      <w:tr w:rsidR="003E78AB" w14:paraId="39300BE1" w14:textId="77777777">
        <w:trPr>
          <w:trHeight w:val="340"/>
        </w:trPr>
        <w:tc>
          <w:tcPr>
            <w:tcW w:w="253" w:type="pct"/>
            <w:vMerge/>
          </w:tcPr>
          <w:p w14:paraId="01632C17"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549F116C" w14:textId="77777777" w:rsidR="003E78AB" w:rsidRDefault="00010BF9">
            <w:pPr>
              <w:spacing w:line="360" w:lineRule="exact"/>
              <w:ind w:firstLineChars="0" w:firstLine="0"/>
              <w:jc w:val="center"/>
              <w:textAlignment w:val="center"/>
              <w:rPr>
                <w:sz w:val="21"/>
                <w:szCs w:val="21"/>
                <w:lang w:bidi="ar"/>
              </w:rPr>
            </w:pPr>
            <w:r>
              <w:rPr>
                <w:sz w:val="21"/>
                <w:szCs w:val="21"/>
                <w:lang w:bidi="ar"/>
              </w:rPr>
              <w:t>锅炉</w:t>
            </w:r>
          </w:p>
        </w:tc>
        <w:tc>
          <w:tcPr>
            <w:tcW w:w="1322" w:type="pct"/>
            <w:shd w:val="clear" w:color="auto" w:fill="auto"/>
          </w:tcPr>
          <w:p w14:paraId="756C365F" w14:textId="77777777" w:rsidR="003E78AB" w:rsidRDefault="00010BF9">
            <w:pPr>
              <w:spacing w:line="360" w:lineRule="exact"/>
              <w:ind w:firstLineChars="0" w:firstLine="0"/>
              <w:jc w:val="center"/>
              <w:textAlignment w:val="center"/>
              <w:rPr>
                <w:sz w:val="21"/>
                <w:szCs w:val="21"/>
                <w:lang w:bidi="ar"/>
              </w:rPr>
            </w:pPr>
            <w:r>
              <w:rPr>
                <w:sz w:val="21"/>
                <w:szCs w:val="21"/>
                <w:lang w:bidi="ar"/>
              </w:rPr>
              <w:t>W4-3</w:t>
            </w:r>
            <w:r>
              <w:rPr>
                <w:sz w:val="21"/>
                <w:szCs w:val="21"/>
                <w:lang w:bidi="ar"/>
              </w:rPr>
              <w:t>锅炉排污水</w:t>
            </w:r>
          </w:p>
        </w:tc>
        <w:tc>
          <w:tcPr>
            <w:tcW w:w="1188" w:type="pct"/>
            <w:shd w:val="clear" w:color="auto" w:fill="auto"/>
          </w:tcPr>
          <w:p w14:paraId="536ED385"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r>
              <w:rPr>
                <w:sz w:val="21"/>
                <w:szCs w:val="21"/>
                <w:lang w:bidi="ar"/>
              </w:rPr>
              <w:t>、</w:t>
            </w:r>
            <w:r>
              <w:rPr>
                <w:sz w:val="21"/>
                <w:szCs w:val="21"/>
                <w:lang w:bidi="ar"/>
              </w:rPr>
              <w:t>COD</w:t>
            </w:r>
            <w:r>
              <w:rPr>
                <w:sz w:val="21"/>
                <w:szCs w:val="21"/>
                <w:lang w:bidi="ar"/>
              </w:rPr>
              <w:t>、溶解性总固体</w:t>
            </w:r>
          </w:p>
        </w:tc>
        <w:tc>
          <w:tcPr>
            <w:tcW w:w="502" w:type="pct"/>
          </w:tcPr>
          <w:p w14:paraId="5DB57CA4"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610" w:type="pct"/>
            <w:vMerge/>
          </w:tcPr>
          <w:p w14:paraId="167B8BED" w14:textId="77777777" w:rsidR="003E78AB" w:rsidRDefault="003E78AB">
            <w:pPr>
              <w:spacing w:line="360" w:lineRule="exact"/>
              <w:ind w:firstLineChars="0" w:firstLine="0"/>
              <w:jc w:val="center"/>
              <w:textAlignment w:val="center"/>
              <w:rPr>
                <w:sz w:val="21"/>
                <w:szCs w:val="21"/>
                <w:lang w:bidi="ar"/>
              </w:rPr>
            </w:pPr>
          </w:p>
        </w:tc>
        <w:tc>
          <w:tcPr>
            <w:tcW w:w="553" w:type="pct"/>
            <w:vMerge/>
          </w:tcPr>
          <w:p w14:paraId="1CB3CF9A" w14:textId="77777777" w:rsidR="003E78AB" w:rsidRDefault="003E78AB">
            <w:pPr>
              <w:spacing w:line="360" w:lineRule="exact"/>
              <w:ind w:firstLineChars="0" w:firstLine="0"/>
              <w:jc w:val="center"/>
              <w:textAlignment w:val="center"/>
              <w:rPr>
                <w:sz w:val="21"/>
                <w:szCs w:val="21"/>
                <w:lang w:bidi="ar"/>
              </w:rPr>
            </w:pPr>
          </w:p>
        </w:tc>
      </w:tr>
      <w:tr w:rsidR="003E78AB" w14:paraId="237DCF86" w14:textId="77777777">
        <w:trPr>
          <w:trHeight w:val="340"/>
        </w:trPr>
        <w:tc>
          <w:tcPr>
            <w:tcW w:w="253" w:type="pct"/>
            <w:vMerge/>
          </w:tcPr>
          <w:p w14:paraId="034494C7" w14:textId="77777777" w:rsidR="003E78AB" w:rsidRDefault="003E78AB">
            <w:pPr>
              <w:spacing w:line="360" w:lineRule="exact"/>
              <w:ind w:firstLineChars="0" w:firstLine="0"/>
              <w:jc w:val="center"/>
              <w:textAlignment w:val="center"/>
              <w:rPr>
                <w:sz w:val="21"/>
                <w:szCs w:val="21"/>
                <w:lang w:bidi="ar"/>
              </w:rPr>
            </w:pPr>
          </w:p>
        </w:tc>
        <w:tc>
          <w:tcPr>
            <w:tcW w:w="569" w:type="pct"/>
            <w:vMerge w:val="restart"/>
            <w:shd w:val="clear" w:color="auto" w:fill="auto"/>
          </w:tcPr>
          <w:p w14:paraId="790C4831" w14:textId="77777777" w:rsidR="003E78AB" w:rsidRDefault="00010BF9">
            <w:pPr>
              <w:spacing w:line="360" w:lineRule="exact"/>
              <w:ind w:firstLineChars="0" w:firstLine="0"/>
              <w:jc w:val="center"/>
              <w:textAlignment w:val="center"/>
              <w:rPr>
                <w:sz w:val="21"/>
                <w:szCs w:val="21"/>
                <w:lang w:bidi="ar"/>
              </w:rPr>
            </w:pPr>
            <w:r>
              <w:rPr>
                <w:sz w:val="21"/>
                <w:szCs w:val="21"/>
                <w:lang w:bidi="ar"/>
              </w:rPr>
              <w:t>职工生活</w:t>
            </w:r>
          </w:p>
        </w:tc>
        <w:tc>
          <w:tcPr>
            <w:tcW w:w="1322" w:type="pct"/>
            <w:shd w:val="clear" w:color="auto" w:fill="auto"/>
          </w:tcPr>
          <w:p w14:paraId="673A7EF4" w14:textId="77777777" w:rsidR="003E78AB" w:rsidRDefault="00010BF9">
            <w:pPr>
              <w:spacing w:line="360" w:lineRule="exact"/>
              <w:ind w:firstLineChars="0" w:firstLine="0"/>
              <w:jc w:val="center"/>
              <w:textAlignment w:val="center"/>
              <w:rPr>
                <w:sz w:val="21"/>
                <w:szCs w:val="21"/>
                <w:lang w:bidi="ar"/>
              </w:rPr>
            </w:pPr>
            <w:r>
              <w:rPr>
                <w:sz w:val="21"/>
                <w:szCs w:val="21"/>
                <w:lang w:bidi="ar"/>
              </w:rPr>
              <w:t>W4-5</w:t>
            </w:r>
            <w:r>
              <w:rPr>
                <w:sz w:val="21"/>
                <w:szCs w:val="21"/>
                <w:lang w:bidi="ar"/>
              </w:rPr>
              <w:t>食堂废水</w:t>
            </w:r>
          </w:p>
        </w:tc>
        <w:tc>
          <w:tcPr>
            <w:tcW w:w="1188" w:type="pct"/>
            <w:shd w:val="clear" w:color="auto" w:fill="auto"/>
          </w:tcPr>
          <w:p w14:paraId="4A2550D9"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r>
              <w:rPr>
                <w:sz w:val="21"/>
                <w:szCs w:val="21"/>
                <w:lang w:bidi="ar"/>
              </w:rPr>
              <w:t>、</w:t>
            </w:r>
            <w:r>
              <w:rPr>
                <w:sz w:val="21"/>
                <w:szCs w:val="21"/>
                <w:lang w:bidi="ar"/>
              </w:rPr>
              <w:t>CODcr</w:t>
            </w:r>
            <w:r>
              <w:rPr>
                <w:sz w:val="21"/>
                <w:szCs w:val="21"/>
                <w:lang w:bidi="ar"/>
              </w:rPr>
              <w:t>、</w:t>
            </w:r>
            <w:r>
              <w:rPr>
                <w:sz w:val="21"/>
                <w:szCs w:val="21"/>
                <w:lang w:bidi="ar"/>
              </w:rPr>
              <w:t>BOD</w:t>
            </w:r>
            <w:r>
              <w:rPr>
                <w:sz w:val="21"/>
                <w:szCs w:val="21"/>
                <w:vertAlign w:val="subscript"/>
                <w:lang w:bidi="ar"/>
              </w:rPr>
              <w:t>5</w:t>
            </w:r>
            <w:r>
              <w:rPr>
                <w:sz w:val="21"/>
                <w:szCs w:val="21"/>
                <w:lang w:bidi="ar"/>
              </w:rPr>
              <w:t>、</w:t>
            </w:r>
            <w:r>
              <w:rPr>
                <w:sz w:val="21"/>
                <w:szCs w:val="21"/>
                <w:lang w:bidi="ar"/>
              </w:rPr>
              <w:t>SS</w:t>
            </w:r>
            <w:r>
              <w:rPr>
                <w:sz w:val="21"/>
                <w:szCs w:val="21"/>
                <w:lang w:bidi="ar"/>
              </w:rPr>
              <w:t>、</w:t>
            </w:r>
            <w:r>
              <w:rPr>
                <w:sz w:val="21"/>
                <w:szCs w:val="21"/>
                <w:lang w:bidi="ar"/>
              </w:rPr>
              <w:t>NH</w:t>
            </w:r>
            <w:r>
              <w:rPr>
                <w:sz w:val="21"/>
                <w:szCs w:val="21"/>
                <w:vertAlign w:val="subscript"/>
                <w:lang w:bidi="ar"/>
              </w:rPr>
              <w:t>3</w:t>
            </w:r>
            <w:r>
              <w:rPr>
                <w:sz w:val="21"/>
                <w:szCs w:val="21"/>
                <w:lang w:bidi="ar"/>
              </w:rPr>
              <w:t>-N</w:t>
            </w:r>
            <w:r>
              <w:rPr>
                <w:sz w:val="21"/>
                <w:szCs w:val="21"/>
                <w:lang w:bidi="ar"/>
              </w:rPr>
              <w:t>、动植物油</w:t>
            </w:r>
          </w:p>
        </w:tc>
        <w:tc>
          <w:tcPr>
            <w:tcW w:w="502" w:type="pct"/>
          </w:tcPr>
          <w:p w14:paraId="149B787D" w14:textId="77777777" w:rsidR="003E78AB" w:rsidRDefault="00010BF9">
            <w:pPr>
              <w:spacing w:line="360" w:lineRule="exact"/>
              <w:ind w:firstLineChars="0" w:firstLine="0"/>
              <w:jc w:val="center"/>
              <w:textAlignment w:val="center"/>
              <w:rPr>
                <w:spacing w:val="-4"/>
                <w:sz w:val="21"/>
                <w:szCs w:val="21"/>
              </w:rPr>
            </w:pPr>
            <w:r>
              <w:rPr>
                <w:spacing w:val="-4"/>
                <w:sz w:val="21"/>
                <w:szCs w:val="21"/>
              </w:rPr>
              <w:t>间断</w:t>
            </w:r>
          </w:p>
        </w:tc>
        <w:tc>
          <w:tcPr>
            <w:tcW w:w="610" w:type="pct"/>
          </w:tcPr>
          <w:p w14:paraId="2B6A1D37" w14:textId="77777777" w:rsidR="003E78AB" w:rsidRDefault="00010BF9">
            <w:pPr>
              <w:spacing w:line="360" w:lineRule="exact"/>
              <w:ind w:firstLineChars="0" w:firstLine="0"/>
              <w:jc w:val="center"/>
              <w:textAlignment w:val="center"/>
              <w:rPr>
                <w:sz w:val="21"/>
                <w:szCs w:val="21"/>
                <w:lang w:bidi="ar"/>
              </w:rPr>
            </w:pPr>
            <w:r>
              <w:rPr>
                <w:sz w:val="21"/>
                <w:szCs w:val="21"/>
                <w:lang w:bidi="ar"/>
              </w:rPr>
              <w:t>隔油池</w:t>
            </w:r>
            <w:r>
              <w:rPr>
                <w:sz w:val="21"/>
                <w:szCs w:val="21"/>
                <w:lang w:bidi="ar"/>
              </w:rPr>
              <w:t>+</w:t>
            </w:r>
            <w:r>
              <w:rPr>
                <w:sz w:val="21"/>
                <w:szCs w:val="21"/>
                <w:lang w:bidi="ar"/>
              </w:rPr>
              <w:t>化粪池</w:t>
            </w:r>
          </w:p>
        </w:tc>
        <w:tc>
          <w:tcPr>
            <w:tcW w:w="553" w:type="pct"/>
            <w:vMerge/>
          </w:tcPr>
          <w:p w14:paraId="20EF9D9A" w14:textId="77777777" w:rsidR="003E78AB" w:rsidRDefault="003E78AB">
            <w:pPr>
              <w:spacing w:line="360" w:lineRule="exact"/>
              <w:ind w:firstLineChars="0" w:firstLine="0"/>
              <w:jc w:val="center"/>
              <w:textAlignment w:val="center"/>
              <w:rPr>
                <w:sz w:val="21"/>
                <w:szCs w:val="21"/>
                <w:lang w:bidi="ar"/>
              </w:rPr>
            </w:pPr>
          </w:p>
        </w:tc>
      </w:tr>
      <w:tr w:rsidR="003E78AB" w14:paraId="4D3732C6" w14:textId="77777777">
        <w:trPr>
          <w:trHeight w:val="340"/>
        </w:trPr>
        <w:tc>
          <w:tcPr>
            <w:tcW w:w="253" w:type="pct"/>
            <w:vMerge/>
          </w:tcPr>
          <w:p w14:paraId="2C8F1276" w14:textId="77777777" w:rsidR="003E78AB" w:rsidRDefault="003E78AB">
            <w:pPr>
              <w:spacing w:line="360" w:lineRule="exact"/>
              <w:ind w:firstLineChars="0" w:firstLine="0"/>
              <w:jc w:val="center"/>
              <w:textAlignment w:val="center"/>
              <w:rPr>
                <w:sz w:val="21"/>
                <w:szCs w:val="21"/>
                <w:lang w:bidi="ar"/>
              </w:rPr>
            </w:pPr>
          </w:p>
        </w:tc>
        <w:tc>
          <w:tcPr>
            <w:tcW w:w="569" w:type="pct"/>
            <w:vMerge/>
            <w:shd w:val="clear" w:color="auto" w:fill="auto"/>
          </w:tcPr>
          <w:p w14:paraId="07C3F6FD" w14:textId="77777777" w:rsidR="003E78AB" w:rsidRDefault="003E78AB">
            <w:pPr>
              <w:spacing w:line="360" w:lineRule="exact"/>
              <w:ind w:firstLineChars="0" w:firstLine="0"/>
              <w:jc w:val="center"/>
              <w:textAlignment w:val="center"/>
              <w:rPr>
                <w:sz w:val="21"/>
                <w:szCs w:val="21"/>
                <w:lang w:bidi="ar"/>
              </w:rPr>
            </w:pPr>
          </w:p>
        </w:tc>
        <w:tc>
          <w:tcPr>
            <w:tcW w:w="1322" w:type="pct"/>
            <w:shd w:val="clear" w:color="auto" w:fill="auto"/>
          </w:tcPr>
          <w:p w14:paraId="03E6EB48" w14:textId="77777777" w:rsidR="003E78AB" w:rsidRDefault="00010BF9">
            <w:pPr>
              <w:spacing w:line="360" w:lineRule="exact"/>
              <w:ind w:firstLineChars="0" w:firstLine="0"/>
              <w:jc w:val="center"/>
              <w:textAlignment w:val="center"/>
              <w:rPr>
                <w:sz w:val="21"/>
                <w:szCs w:val="21"/>
                <w:lang w:bidi="ar"/>
              </w:rPr>
            </w:pPr>
            <w:r>
              <w:rPr>
                <w:sz w:val="21"/>
                <w:szCs w:val="21"/>
                <w:lang w:bidi="ar"/>
              </w:rPr>
              <w:t>W4-5</w:t>
            </w:r>
            <w:r>
              <w:rPr>
                <w:sz w:val="21"/>
                <w:szCs w:val="21"/>
                <w:lang w:bidi="ar"/>
              </w:rPr>
              <w:t>生活污水</w:t>
            </w:r>
          </w:p>
        </w:tc>
        <w:tc>
          <w:tcPr>
            <w:tcW w:w="1188" w:type="pct"/>
            <w:shd w:val="clear" w:color="auto" w:fill="auto"/>
          </w:tcPr>
          <w:p w14:paraId="4CDCD271"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r>
              <w:rPr>
                <w:sz w:val="21"/>
                <w:szCs w:val="21"/>
                <w:lang w:bidi="ar"/>
              </w:rPr>
              <w:t>、</w:t>
            </w:r>
            <w:r>
              <w:rPr>
                <w:sz w:val="21"/>
                <w:szCs w:val="21"/>
                <w:lang w:bidi="ar"/>
              </w:rPr>
              <w:t>CODcr</w:t>
            </w:r>
            <w:r>
              <w:rPr>
                <w:sz w:val="21"/>
                <w:szCs w:val="21"/>
                <w:lang w:bidi="ar"/>
              </w:rPr>
              <w:t>、</w:t>
            </w:r>
            <w:r>
              <w:rPr>
                <w:sz w:val="21"/>
                <w:szCs w:val="21"/>
                <w:lang w:bidi="ar"/>
              </w:rPr>
              <w:t>BOD</w:t>
            </w:r>
            <w:r>
              <w:rPr>
                <w:sz w:val="21"/>
                <w:szCs w:val="21"/>
                <w:vertAlign w:val="subscript"/>
                <w:lang w:bidi="ar"/>
              </w:rPr>
              <w:t>5</w:t>
            </w:r>
            <w:r>
              <w:rPr>
                <w:sz w:val="21"/>
                <w:szCs w:val="21"/>
                <w:lang w:bidi="ar"/>
              </w:rPr>
              <w:t>、</w:t>
            </w:r>
            <w:r>
              <w:rPr>
                <w:sz w:val="21"/>
                <w:szCs w:val="21"/>
                <w:lang w:bidi="ar"/>
              </w:rPr>
              <w:t>SS</w:t>
            </w:r>
            <w:r>
              <w:rPr>
                <w:sz w:val="21"/>
                <w:szCs w:val="21"/>
                <w:lang w:bidi="ar"/>
              </w:rPr>
              <w:t>、</w:t>
            </w:r>
            <w:r>
              <w:rPr>
                <w:sz w:val="21"/>
                <w:szCs w:val="21"/>
                <w:lang w:bidi="ar"/>
              </w:rPr>
              <w:t>NH</w:t>
            </w:r>
            <w:r>
              <w:rPr>
                <w:sz w:val="21"/>
                <w:szCs w:val="21"/>
                <w:vertAlign w:val="subscript"/>
                <w:lang w:bidi="ar"/>
              </w:rPr>
              <w:t>3</w:t>
            </w:r>
            <w:r>
              <w:rPr>
                <w:sz w:val="21"/>
                <w:szCs w:val="21"/>
                <w:lang w:bidi="ar"/>
              </w:rPr>
              <w:t>-N</w:t>
            </w:r>
          </w:p>
        </w:tc>
        <w:tc>
          <w:tcPr>
            <w:tcW w:w="502" w:type="pct"/>
          </w:tcPr>
          <w:p w14:paraId="4E82161C"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610" w:type="pct"/>
          </w:tcPr>
          <w:p w14:paraId="6F9720F0" w14:textId="77777777" w:rsidR="003E78AB" w:rsidRDefault="00010BF9">
            <w:pPr>
              <w:spacing w:line="360" w:lineRule="exact"/>
              <w:ind w:firstLineChars="0" w:firstLine="0"/>
              <w:jc w:val="center"/>
              <w:textAlignment w:val="center"/>
              <w:rPr>
                <w:sz w:val="21"/>
                <w:szCs w:val="21"/>
                <w:lang w:bidi="ar"/>
              </w:rPr>
            </w:pPr>
            <w:r>
              <w:rPr>
                <w:sz w:val="21"/>
                <w:szCs w:val="21"/>
                <w:lang w:bidi="ar"/>
              </w:rPr>
              <w:t>化粪池</w:t>
            </w:r>
          </w:p>
        </w:tc>
        <w:tc>
          <w:tcPr>
            <w:tcW w:w="553" w:type="pct"/>
            <w:vMerge/>
          </w:tcPr>
          <w:p w14:paraId="13D77F31" w14:textId="77777777" w:rsidR="003E78AB" w:rsidRDefault="003E78AB">
            <w:pPr>
              <w:spacing w:line="360" w:lineRule="exact"/>
              <w:ind w:firstLineChars="0" w:firstLine="0"/>
              <w:jc w:val="center"/>
              <w:textAlignment w:val="center"/>
              <w:rPr>
                <w:sz w:val="21"/>
                <w:szCs w:val="21"/>
                <w:lang w:bidi="ar"/>
              </w:rPr>
            </w:pPr>
          </w:p>
        </w:tc>
      </w:tr>
      <w:tr w:rsidR="003E78AB" w14:paraId="50EB7741" w14:textId="77777777">
        <w:trPr>
          <w:trHeight w:val="340"/>
        </w:trPr>
        <w:tc>
          <w:tcPr>
            <w:tcW w:w="253" w:type="pct"/>
          </w:tcPr>
          <w:p w14:paraId="59A3A3B4" w14:textId="77777777" w:rsidR="003E78AB" w:rsidRDefault="00010BF9">
            <w:pPr>
              <w:spacing w:line="360" w:lineRule="exact"/>
              <w:ind w:firstLineChars="0" w:firstLine="0"/>
              <w:jc w:val="center"/>
              <w:textAlignment w:val="center"/>
              <w:rPr>
                <w:sz w:val="21"/>
                <w:szCs w:val="21"/>
                <w:lang w:bidi="ar"/>
              </w:rPr>
            </w:pPr>
            <w:r>
              <w:rPr>
                <w:sz w:val="21"/>
                <w:szCs w:val="21"/>
                <w:lang w:bidi="ar"/>
              </w:rPr>
              <w:t>噪声</w:t>
            </w:r>
          </w:p>
        </w:tc>
        <w:tc>
          <w:tcPr>
            <w:tcW w:w="569" w:type="pct"/>
          </w:tcPr>
          <w:p w14:paraId="75CC1F0F"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322" w:type="pct"/>
          </w:tcPr>
          <w:p w14:paraId="32D06727" w14:textId="77777777" w:rsidR="003E78AB" w:rsidRDefault="00010BF9">
            <w:pPr>
              <w:spacing w:line="360" w:lineRule="exact"/>
              <w:ind w:firstLineChars="0" w:firstLine="0"/>
              <w:jc w:val="center"/>
              <w:textAlignment w:val="center"/>
              <w:rPr>
                <w:sz w:val="21"/>
                <w:szCs w:val="21"/>
                <w:lang w:bidi="ar"/>
              </w:rPr>
            </w:pPr>
            <w:r>
              <w:rPr>
                <w:sz w:val="21"/>
                <w:szCs w:val="21"/>
                <w:lang w:bidi="ar"/>
              </w:rPr>
              <w:t>N</w:t>
            </w:r>
            <w:r>
              <w:rPr>
                <w:sz w:val="21"/>
                <w:szCs w:val="21"/>
                <w:lang w:bidi="ar"/>
              </w:rPr>
              <w:t>生产设备</w:t>
            </w:r>
          </w:p>
        </w:tc>
        <w:tc>
          <w:tcPr>
            <w:tcW w:w="1188" w:type="pct"/>
          </w:tcPr>
          <w:p w14:paraId="001221CE" w14:textId="77777777" w:rsidR="003E78AB" w:rsidRDefault="00010BF9">
            <w:pPr>
              <w:spacing w:line="360" w:lineRule="exact"/>
              <w:ind w:firstLineChars="0" w:firstLine="0"/>
              <w:jc w:val="center"/>
              <w:textAlignment w:val="center"/>
              <w:rPr>
                <w:sz w:val="21"/>
                <w:szCs w:val="21"/>
                <w:lang w:bidi="ar"/>
              </w:rPr>
            </w:pPr>
            <w:r>
              <w:rPr>
                <w:sz w:val="21"/>
                <w:szCs w:val="21"/>
                <w:lang w:bidi="ar"/>
              </w:rPr>
              <w:t>机械噪声</w:t>
            </w:r>
          </w:p>
        </w:tc>
        <w:tc>
          <w:tcPr>
            <w:tcW w:w="502" w:type="pct"/>
          </w:tcPr>
          <w:p w14:paraId="52A79F1F" w14:textId="77777777" w:rsidR="003E78AB" w:rsidRDefault="00010BF9">
            <w:pPr>
              <w:spacing w:line="360" w:lineRule="exact"/>
              <w:ind w:firstLineChars="0" w:firstLine="0"/>
              <w:jc w:val="center"/>
              <w:textAlignment w:val="center"/>
              <w:rPr>
                <w:sz w:val="21"/>
                <w:szCs w:val="21"/>
                <w:lang w:bidi="ar"/>
              </w:rPr>
            </w:pPr>
            <w:r>
              <w:rPr>
                <w:sz w:val="21"/>
                <w:szCs w:val="21"/>
                <w:lang w:bidi="ar"/>
              </w:rPr>
              <w:t>连续</w:t>
            </w:r>
          </w:p>
        </w:tc>
        <w:tc>
          <w:tcPr>
            <w:tcW w:w="1163" w:type="pct"/>
            <w:gridSpan w:val="2"/>
          </w:tcPr>
          <w:p w14:paraId="03904674" w14:textId="77777777" w:rsidR="003E78AB" w:rsidRDefault="00010BF9">
            <w:pPr>
              <w:spacing w:line="360" w:lineRule="exact"/>
              <w:ind w:firstLineChars="0" w:firstLine="0"/>
              <w:jc w:val="center"/>
              <w:textAlignment w:val="center"/>
              <w:rPr>
                <w:sz w:val="21"/>
                <w:szCs w:val="21"/>
                <w:lang w:bidi="ar"/>
              </w:rPr>
            </w:pPr>
            <w:r>
              <w:rPr>
                <w:sz w:val="21"/>
                <w:szCs w:val="21"/>
                <w:lang w:bidi="ar"/>
              </w:rPr>
              <w:t>基础减震、厂房隔声</w:t>
            </w:r>
          </w:p>
        </w:tc>
      </w:tr>
      <w:tr w:rsidR="003E78AB" w14:paraId="6A119741" w14:textId="77777777">
        <w:trPr>
          <w:trHeight w:val="340"/>
        </w:trPr>
        <w:tc>
          <w:tcPr>
            <w:tcW w:w="253" w:type="pct"/>
            <w:vMerge w:val="restart"/>
          </w:tcPr>
          <w:p w14:paraId="744ACB68" w14:textId="77777777" w:rsidR="003E78AB" w:rsidRDefault="00010BF9">
            <w:pPr>
              <w:spacing w:line="360" w:lineRule="exact"/>
              <w:ind w:firstLineChars="0" w:firstLine="0"/>
              <w:jc w:val="center"/>
              <w:textAlignment w:val="center"/>
              <w:rPr>
                <w:sz w:val="21"/>
                <w:szCs w:val="21"/>
                <w:lang w:bidi="ar"/>
              </w:rPr>
            </w:pPr>
            <w:r>
              <w:rPr>
                <w:sz w:val="21"/>
                <w:szCs w:val="21"/>
                <w:lang w:bidi="ar"/>
              </w:rPr>
              <w:t>固体废物</w:t>
            </w:r>
          </w:p>
        </w:tc>
        <w:tc>
          <w:tcPr>
            <w:tcW w:w="569" w:type="pct"/>
            <w:shd w:val="clear" w:color="auto" w:fill="auto"/>
          </w:tcPr>
          <w:p w14:paraId="746A49F7" w14:textId="77777777" w:rsidR="003E78AB" w:rsidRDefault="00010BF9">
            <w:pPr>
              <w:spacing w:line="360" w:lineRule="exact"/>
              <w:ind w:firstLineChars="0" w:firstLine="0"/>
              <w:jc w:val="center"/>
              <w:textAlignment w:val="center"/>
              <w:rPr>
                <w:sz w:val="21"/>
                <w:szCs w:val="21"/>
                <w:lang w:bidi="ar"/>
              </w:rPr>
            </w:pPr>
            <w:r>
              <w:rPr>
                <w:sz w:val="21"/>
                <w:szCs w:val="21"/>
                <w:lang w:bidi="ar"/>
              </w:rPr>
              <w:t>五氧化二钒投料</w:t>
            </w:r>
          </w:p>
        </w:tc>
        <w:tc>
          <w:tcPr>
            <w:tcW w:w="1322" w:type="pct"/>
            <w:shd w:val="clear" w:color="auto" w:fill="auto"/>
          </w:tcPr>
          <w:p w14:paraId="2CA48C3B" w14:textId="77777777" w:rsidR="003E78AB" w:rsidRDefault="00010BF9">
            <w:pPr>
              <w:spacing w:line="360" w:lineRule="exact"/>
              <w:ind w:firstLineChars="0" w:firstLine="0"/>
              <w:jc w:val="center"/>
              <w:textAlignment w:val="center"/>
              <w:rPr>
                <w:sz w:val="21"/>
                <w:szCs w:val="21"/>
                <w:lang w:bidi="ar"/>
              </w:rPr>
            </w:pPr>
            <w:r>
              <w:rPr>
                <w:sz w:val="21"/>
                <w:szCs w:val="21"/>
                <w:lang w:bidi="ar"/>
              </w:rPr>
              <w:t>S1-1</w:t>
            </w:r>
            <w:r>
              <w:rPr>
                <w:rFonts w:hint="eastAsia"/>
                <w:sz w:val="21"/>
                <w:szCs w:val="21"/>
                <w:lang w:bidi="ar"/>
              </w:rPr>
              <w:t>沉降</w:t>
            </w:r>
            <w:r>
              <w:rPr>
                <w:sz w:val="21"/>
                <w:szCs w:val="21"/>
                <w:lang w:bidi="ar"/>
              </w:rPr>
              <w:t>灰</w:t>
            </w:r>
          </w:p>
        </w:tc>
        <w:tc>
          <w:tcPr>
            <w:tcW w:w="1188" w:type="pct"/>
          </w:tcPr>
          <w:p w14:paraId="3FA484E2" w14:textId="77777777" w:rsidR="003E78AB" w:rsidRDefault="00010BF9">
            <w:pPr>
              <w:spacing w:line="360" w:lineRule="exact"/>
              <w:ind w:firstLineChars="0" w:firstLine="0"/>
              <w:jc w:val="center"/>
              <w:textAlignment w:val="center"/>
              <w:rPr>
                <w:sz w:val="21"/>
                <w:szCs w:val="21"/>
                <w:lang w:bidi="ar"/>
              </w:rPr>
            </w:pPr>
            <w:r>
              <w:rPr>
                <w:spacing w:val="-1"/>
                <w:sz w:val="21"/>
                <w:szCs w:val="21"/>
              </w:rPr>
              <w:t>危险废物</w:t>
            </w:r>
            <w:r>
              <w:rPr>
                <w:rFonts w:hint="eastAsia"/>
                <w:spacing w:val="-1"/>
                <w:sz w:val="21"/>
                <w:szCs w:val="21"/>
              </w:rPr>
              <w:t xml:space="preserve"> </w:t>
            </w:r>
            <w:r>
              <w:rPr>
                <w:rFonts w:eastAsia="Times New Roman"/>
                <w:spacing w:val="-1"/>
                <w:sz w:val="21"/>
                <w:szCs w:val="21"/>
              </w:rPr>
              <w:t>H</w:t>
            </w:r>
            <w:r>
              <w:rPr>
                <w:rFonts w:eastAsia="Times New Roman"/>
                <w:sz w:val="21"/>
                <w:szCs w:val="21"/>
              </w:rPr>
              <w:t>W</w:t>
            </w:r>
            <w:r>
              <w:rPr>
                <w:rFonts w:eastAsia="Times New Roman"/>
                <w:spacing w:val="-1"/>
                <w:sz w:val="21"/>
                <w:szCs w:val="21"/>
              </w:rPr>
              <w:t>49</w:t>
            </w:r>
            <w:r>
              <w:rPr>
                <w:spacing w:val="-1"/>
                <w:sz w:val="21"/>
                <w:szCs w:val="21"/>
              </w:rPr>
              <w:t xml:space="preserve"> 900-</w:t>
            </w:r>
            <w:r>
              <w:rPr>
                <w:rFonts w:hint="eastAsia"/>
                <w:spacing w:val="-1"/>
                <w:sz w:val="21"/>
                <w:szCs w:val="21"/>
              </w:rPr>
              <w:t>99</w:t>
            </w:r>
            <w:r>
              <w:rPr>
                <w:spacing w:val="-1"/>
                <w:sz w:val="21"/>
                <w:szCs w:val="21"/>
              </w:rPr>
              <w:t>9-49</w:t>
            </w:r>
          </w:p>
        </w:tc>
        <w:tc>
          <w:tcPr>
            <w:tcW w:w="502" w:type="pct"/>
          </w:tcPr>
          <w:p w14:paraId="258A9697" w14:textId="77777777" w:rsidR="003E78AB" w:rsidRDefault="00010BF9">
            <w:pPr>
              <w:spacing w:line="360" w:lineRule="exact"/>
              <w:ind w:firstLineChars="0" w:firstLine="0"/>
              <w:jc w:val="center"/>
              <w:textAlignment w:val="center"/>
              <w:rPr>
                <w:sz w:val="21"/>
                <w:szCs w:val="21"/>
                <w:lang w:bidi="ar"/>
              </w:rPr>
            </w:pPr>
            <w:r>
              <w:rPr>
                <w:spacing w:val="-4"/>
                <w:sz w:val="21"/>
                <w:szCs w:val="21"/>
              </w:rPr>
              <w:t>间断</w:t>
            </w:r>
          </w:p>
        </w:tc>
        <w:tc>
          <w:tcPr>
            <w:tcW w:w="1163" w:type="pct"/>
            <w:gridSpan w:val="2"/>
            <w:vMerge w:val="restart"/>
          </w:tcPr>
          <w:p w14:paraId="50BFD314" w14:textId="77777777" w:rsidR="003E78AB" w:rsidRDefault="00010BF9">
            <w:pPr>
              <w:spacing w:line="360" w:lineRule="exact"/>
              <w:ind w:firstLineChars="0" w:firstLine="0"/>
              <w:jc w:val="center"/>
              <w:textAlignment w:val="center"/>
              <w:rPr>
                <w:sz w:val="21"/>
                <w:szCs w:val="21"/>
                <w:lang w:bidi="ar"/>
              </w:rPr>
            </w:pPr>
            <w:r>
              <w:rPr>
                <w:sz w:val="21"/>
                <w:szCs w:val="21"/>
                <w:lang w:bidi="ar"/>
              </w:rPr>
              <w:t>在企业危险废物暂存间收集后交有资质的单位清运处置</w:t>
            </w:r>
          </w:p>
        </w:tc>
      </w:tr>
      <w:tr w:rsidR="003E78AB" w14:paraId="6E53BDDB" w14:textId="77777777">
        <w:trPr>
          <w:trHeight w:val="340"/>
        </w:trPr>
        <w:tc>
          <w:tcPr>
            <w:tcW w:w="253" w:type="pct"/>
            <w:vMerge/>
          </w:tcPr>
          <w:p w14:paraId="3FE49585"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3F48E14A" w14:textId="77777777" w:rsidR="003E78AB" w:rsidRDefault="00010BF9">
            <w:pPr>
              <w:spacing w:line="360" w:lineRule="exact"/>
              <w:ind w:firstLineChars="0" w:firstLine="0"/>
              <w:jc w:val="center"/>
              <w:textAlignment w:val="center"/>
              <w:rPr>
                <w:sz w:val="21"/>
                <w:szCs w:val="21"/>
                <w:lang w:bidi="ar"/>
              </w:rPr>
            </w:pPr>
            <w:r>
              <w:rPr>
                <w:sz w:val="21"/>
                <w:szCs w:val="21"/>
                <w:lang w:bidi="ar"/>
              </w:rPr>
              <w:t>草酸投料</w:t>
            </w:r>
          </w:p>
        </w:tc>
        <w:tc>
          <w:tcPr>
            <w:tcW w:w="1322" w:type="pct"/>
            <w:shd w:val="clear" w:color="auto" w:fill="auto"/>
          </w:tcPr>
          <w:p w14:paraId="69F7A2C8" w14:textId="77777777" w:rsidR="003E78AB" w:rsidRDefault="00010BF9">
            <w:pPr>
              <w:spacing w:line="360" w:lineRule="exact"/>
              <w:ind w:firstLineChars="0" w:firstLine="0"/>
              <w:jc w:val="center"/>
              <w:textAlignment w:val="center"/>
              <w:rPr>
                <w:sz w:val="21"/>
                <w:szCs w:val="21"/>
                <w:lang w:bidi="ar"/>
              </w:rPr>
            </w:pPr>
            <w:r>
              <w:rPr>
                <w:sz w:val="21"/>
                <w:szCs w:val="21"/>
                <w:lang w:bidi="ar"/>
              </w:rPr>
              <w:t>S1-2</w:t>
            </w:r>
            <w:r>
              <w:rPr>
                <w:rFonts w:hint="eastAsia"/>
                <w:sz w:val="21"/>
                <w:szCs w:val="21"/>
                <w:lang w:bidi="ar"/>
              </w:rPr>
              <w:t>沉降</w:t>
            </w:r>
            <w:r>
              <w:rPr>
                <w:sz w:val="21"/>
                <w:szCs w:val="21"/>
                <w:lang w:bidi="ar"/>
              </w:rPr>
              <w:t>灰</w:t>
            </w:r>
          </w:p>
        </w:tc>
        <w:tc>
          <w:tcPr>
            <w:tcW w:w="1188" w:type="pct"/>
          </w:tcPr>
          <w:p w14:paraId="5C2CB6C2" w14:textId="77777777" w:rsidR="003E78AB" w:rsidRDefault="00010BF9">
            <w:pPr>
              <w:spacing w:line="360" w:lineRule="exact"/>
              <w:ind w:firstLineChars="0" w:firstLine="0"/>
              <w:jc w:val="center"/>
              <w:textAlignment w:val="center"/>
              <w:rPr>
                <w:sz w:val="21"/>
                <w:szCs w:val="21"/>
                <w:lang w:bidi="ar"/>
              </w:rPr>
            </w:pPr>
            <w:r>
              <w:rPr>
                <w:spacing w:val="-1"/>
                <w:sz w:val="21"/>
                <w:szCs w:val="21"/>
              </w:rPr>
              <w:t>危险废物</w:t>
            </w:r>
            <w:r>
              <w:rPr>
                <w:rFonts w:hint="eastAsia"/>
                <w:spacing w:val="-1"/>
                <w:sz w:val="21"/>
                <w:szCs w:val="21"/>
              </w:rPr>
              <w:t xml:space="preserve"> </w:t>
            </w:r>
            <w:r>
              <w:rPr>
                <w:rFonts w:eastAsia="Times New Roman"/>
                <w:spacing w:val="-1"/>
                <w:sz w:val="21"/>
                <w:szCs w:val="21"/>
              </w:rPr>
              <w:t>H</w:t>
            </w:r>
            <w:r>
              <w:rPr>
                <w:rFonts w:eastAsia="Times New Roman"/>
                <w:sz w:val="21"/>
                <w:szCs w:val="21"/>
              </w:rPr>
              <w:t>W</w:t>
            </w:r>
            <w:r>
              <w:rPr>
                <w:rFonts w:eastAsia="Times New Roman"/>
                <w:spacing w:val="-1"/>
                <w:sz w:val="21"/>
                <w:szCs w:val="21"/>
              </w:rPr>
              <w:t>49</w:t>
            </w:r>
            <w:r>
              <w:rPr>
                <w:spacing w:val="-1"/>
                <w:sz w:val="21"/>
                <w:szCs w:val="21"/>
              </w:rPr>
              <w:t xml:space="preserve"> 900-</w:t>
            </w:r>
            <w:r>
              <w:rPr>
                <w:rFonts w:hint="eastAsia"/>
                <w:spacing w:val="-1"/>
                <w:sz w:val="21"/>
                <w:szCs w:val="21"/>
              </w:rPr>
              <w:t>999</w:t>
            </w:r>
            <w:r>
              <w:rPr>
                <w:spacing w:val="-1"/>
                <w:sz w:val="21"/>
                <w:szCs w:val="21"/>
              </w:rPr>
              <w:t>-49</w:t>
            </w:r>
          </w:p>
        </w:tc>
        <w:tc>
          <w:tcPr>
            <w:tcW w:w="502" w:type="pct"/>
          </w:tcPr>
          <w:p w14:paraId="3A6C2417" w14:textId="77777777" w:rsidR="003E78AB" w:rsidRDefault="00010BF9">
            <w:pPr>
              <w:spacing w:line="360" w:lineRule="exact"/>
              <w:ind w:firstLineChars="0" w:firstLine="0"/>
              <w:jc w:val="center"/>
              <w:textAlignment w:val="center"/>
              <w:rPr>
                <w:sz w:val="21"/>
                <w:szCs w:val="21"/>
                <w:lang w:bidi="ar"/>
              </w:rPr>
            </w:pPr>
            <w:r>
              <w:rPr>
                <w:spacing w:val="-4"/>
                <w:sz w:val="21"/>
                <w:szCs w:val="21"/>
              </w:rPr>
              <w:t>间断</w:t>
            </w:r>
          </w:p>
        </w:tc>
        <w:tc>
          <w:tcPr>
            <w:tcW w:w="1163" w:type="pct"/>
            <w:gridSpan w:val="2"/>
            <w:vMerge/>
          </w:tcPr>
          <w:p w14:paraId="61B16A9C" w14:textId="77777777" w:rsidR="003E78AB" w:rsidRDefault="003E78AB">
            <w:pPr>
              <w:spacing w:line="360" w:lineRule="exact"/>
              <w:ind w:firstLineChars="0" w:firstLine="0"/>
              <w:jc w:val="center"/>
              <w:textAlignment w:val="center"/>
              <w:rPr>
                <w:sz w:val="21"/>
                <w:szCs w:val="21"/>
                <w:lang w:bidi="ar"/>
              </w:rPr>
            </w:pPr>
          </w:p>
        </w:tc>
      </w:tr>
      <w:tr w:rsidR="003E78AB" w14:paraId="14D8E31F" w14:textId="77777777">
        <w:trPr>
          <w:trHeight w:val="340"/>
        </w:trPr>
        <w:tc>
          <w:tcPr>
            <w:tcW w:w="253" w:type="pct"/>
            <w:vMerge/>
          </w:tcPr>
          <w:p w14:paraId="1DA77CF0"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3D70B8C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投料</w:t>
            </w:r>
          </w:p>
        </w:tc>
        <w:tc>
          <w:tcPr>
            <w:tcW w:w="1322" w:type="pct"/>
            <w:shd w:val="clear" w:color="auto" w:fill="auto"/>
          </w:tcPr>
          <w:p w14:paraId="286CE5CF" w14:textId="77777777" w:rsidR="003E78AB" w:rsidRDefault="00010BF9">
            <w:pPr>
              <w:spacing w:line="360" w:lineRule="exact"/>
              <w:ind w:firstLineChars="0" w:firstLine="0"/>
              <w:jc w:val="center"/>
              <w:textAlignment w:val="center"/>
              <w:rPr>
                <w:sz w:val="21"/>
                <w:szCs w:val="21"/>
                <w:lang w:bidi="ar"/>
              </w:rPr>
            </w:pPr>
            <w:r>
              <w:rPr>
                <w:sz w:val="21"/>
                <w:szCs w:val="21"/>
                <w:lang w:bidi="ar"/>
              </w:rPr>
              <w:t>S</w:t>
            </w:r>
            <w:r>
              <w:rPr>
                <w:rFonts w:hint="eastAsia"/>
                <w:sz w:val="21"/>
                <w:szCs w:val="21"/>
                <w:lang w:bidi="ar"/>
              </w:rPr>
              <w:t>1-3</w:t>
            </w:r>
            <w:r>
              <w:rPr>
                <w:sz w:val="21"/>
                <w:szCs w:val="21"/>
                <w:lang w:bidi="ar"/>
              </w:rPr>
              <w:t>废外包装物（未沾染有毒有害物质的）</w:t>
            </w:r>
          </w:p>
        </w:tc>
        <w:tc>
          <w:tcPr>
            <w:tcW w:w="1188" w:type="pct"/>
          </w:tcPr>
          <w:p w14:paraId="74B90F49" w14:textId="77777777" w:rsidR="003E78AB" w:rsidRDefault="00010BF9">
            <w:pPr>
              <w:spacing w:line="360" w:lineRule="exact"/>
              <w:ind w:firstLineChars="0" w:firstLine="0"/>
              <w:jc w:val="center"/>
              <w:textAlignment w:val="center"/>
              <w:rPr>
                <w:sz w:val="21"/>
                <w:szCs w:val="21"/>
                <w:lang w:bidi="ar"/>
              </w:rPr>
            </w:pPr>
            <w:r>
              <w:rPr>
                <w:sz w:val="21"/>
                <w:szCs w:val="21"/>
                <w:lang w:bidi="ar"/>
              </w:rPr>
              <w:t>一般固体废物</w:t>
            </w:r>
            <w:r>
              <w:rPr>
                <w:sz w:val="21"/>
                <w:szCs w:val="21"/>
                <w:lang w:bidi="ar"/>
              </w:rPr>
              <w:t xml:space="preserve"> SW17</w:t>
            </w:r>
          </w:p>
          <w:p w14:paraId="7A8C6298" w14:textId="77777777" w:rsidR="003E78AB" w:rsidRDefault="00010BF9">
            <w:pPr>
              <w:spacing w:line="360" w:lineRule="exact"/>
              <w:ind w:firstLineChars="0" w:firstLine="0"/>
              <w:jc w:val="center"/>
              <w:textAlignment w:val="center"/>
              <w:rPr>
                <w:sz w:val="21"/>
                <w:szCs w:val="21"/>
                <w:lang w:bidi="ar"/>
              </w:rPr>
            </w:pPr>
            <w:r>
              <w:rPr>
                <w:sz w:val="21"/>
                <w:szCs w:val="21"/>
                <w:lang w:bidi="ar"/>
              </w:rPr>
              <w:t>900-003-S17</w:t>
            </w:r>
          </w:p>
        </w:tc>
        <w:tc>
          <w:tcPr>
            <w:tcW w:w="502" w:type="pct"/>
          </w:tcPr>
          <w:p w14:paraId="76AF63D1" w14:textId="77777777" w:rsidR="003E78AB" w:rsidRDefault="00010BF9">
            <w:pPr>
              <w:spacing w:line="360" w:lineRule="exact"/>
              <w:ind w:firstLineChars="0" w:firstLine="0"/>
              <w:jc w:val="center"/>
              <w:textAlignment w:val="center"/>
              <w:rPr>
                <w:spacing w:val="-4"/>
                <w:sz w:val="21"/>
                <w:szCs w:val="21"/>
              </w:rPr>
            </w:pPr>
            <w:r>
              <w:rPr>
                <w:sz w:val="21"/>
                <w:szCs w:val="21"/>
                <w:lang w:bidi="ar"/>
              </w:rPr>
              <w:t>间断</w:t>
            </w:r>
          </w:p>
        </w:tc>
        <w:tc>
          <w:tcPr>
            <w:tcW w:w="1163" w:type="pct"/>
            <w:gridSpan w:val="2"/>
          </w:tcPr>
          <w:p w14:paraId="419539D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外售综合利用</w:t>
            </w:r>
          </w:p>
        </w:tc>
      </w:tr>
      <w:tr w:rsidR="003E78AB" w14:paraId="6F232857" w14:textId="77777777">
        <w:trPr>
          <w:trHeight w:val="340"/>
        </w:trPr>
        <w:tc>
          <w:tcPr>
            <w:tcW w:w="253" w:type="pct"/>
            <w:vMerge/>
          </w:tcPr>
          <w:p w14:paraId="5F8DD2F5"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5EE2F1C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废气处理</w:t>
            </w:r>
          </w:p>
        </w:tc>
        <w:tc>
          <w:tcPr>
            <w:tcW w:w="1322" w:type="pct"/>
            <w:shd w:val="clear" w:color="auto" w:fill="auto"/>
          </w:tcPr>
          <w:p w14:paraId="4361FA9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S2-1</w:t>
            </w:r>
            <w:r>
              <w:rPr>
                <w:rFonts w:hint="eastAsia"/>
                <w:sz w:val="21"/>
                <w:szCs w:val="21"/>
                <w:lang w:bidi="ar"/>
              </w:rPr>
              <w:t>蒸发结晶盐</w:t>
            </w:r>
          </w:p>
        </w:tc>
        <w:tc>
          <w:tcPr>
            <w:tcW w:w="1188" w:type="pct"/>
          </w:tcPr>
          <w:p w14:paraId="20D66B0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固体废物</w:t>
            </w:r>
          </w:p>
        </w:tc>
        <w:tc>
          <w:tcPr>
            <w:tcW w:w="502" w:type="pct"/>
          </w:tcPr>
          <w:p w14:paraId="5CD41FD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间断</w:t>
            </w:r>
          </w:p>
        </w:tc>
        <w:tc>
          <w:tcPr>
            <w:tcW w:w="1163" w:type="pct"/>
            <w:gridSpan w:val="2"/>
          </w:tcPr>
          <w:p w14:paraId="50D74FF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属性确定</w:t>
            </w:r>
            <w:r>
              <w:rPr>
                <w:rFonts w:hint="eastAsia"/>
                <w:sz w:val="21"/>
                <w:szCs w:val="21"/>
                <w:lang w:bidi="ar"/>
              </w:rPr>
              <w:t>前按危险废物收集处置</w:t>
            </w:r>
          </w:p>
        </w:tc>
      </w:tr>
      <w:tr w:rsidR="003E78AB" w14:paraId="6075FF9E" w14:textId="77777777">
        <w:trPr>
          <w:trHeight w:val="340"/>
        </w:trPr>
        <w:tc>
          <w:tcPr>
            <w:tcW w:w="253" w:type="pct"/>
            <w:vMerge/>
          </w:tcPr>
          <w:p w14:paraId="32CF969B" w14:textId="77777777" w:rsidR="003E78AB" w:rsidRDefault="003E78AB">
            <w:pPr>
              <w:spacing w:line="360" w:lineRule="exact"/>
              <w:ind w:firstLineChars="0" w:firstLine="0"/>
              <w:jc w:val="center"/>
              <w:textAlignment w:val="center"/>
              <w:rPr>
                <w:sz w:val="21"/>
                <w:szCs w:val="21"/>
                <w:lang w:bidi="ar"/>
              </w:rPr>
            </w:pPr>
          </w:p>
        </w:tc>
        <w:tc>
          <w:tcPr>
            <w:tcW w:w="569" w:type="pct"/>
            <w:shd w:val="clear" w:color="auto" w:fill="auto"/>
          </w:tcPr>
          <w:p w14:paraId="60D17BAB" w14:textId="77777777" w:rsidR="003E78AB" w:rsidRDefault="00010BF9">
            <w:pPr>
              <w:spacing w:line="360" w:lineRule="exact"/>
              <w:ind w:firstLineChars="0" w:firstLine="0"/>
              <w:jc w:val="center"/>
              <w:textAlignment w:val="center"/>
              <w:rPr>
                <w:sz w:val="21"/>
                <w:szCs w:val="21"/>
                <w:lang w:bidi="ar"/>
              </w:rPr>
            </w:pPr>
            <w:r>
              <w:rPr>
                <w:sz w:val="21"/>
                <w:szCs w:val="21"/>
                <w:lang w:bidi="ar"/>
              </w:rPr>
              <w:t>纯水</w:t>
            </w:r>
            <w:r>
              <w:rPr>
                <w:sz w:val="21"/>
                <w:szCs w:val="21"/>
                <w:lang w:bidi="ar"/>
              </w:rPr>
              <w:t>/</w:t>
            </w:r>
            <w:r>
              <w:rPr>
                <w:sz w:val="21"/>
                <w:szCs w:val="21"/>
                <w:lang w:bidi="ar"/>
              </w:rPr>
              <w:t>软水制备</w:t>
            </w:r>
          </w:p>
        </w:tc>
        <w:tc>
          <w:tcPr>
            <w:tcW w:w="1322" w:type="pct"/>
            <w:shd w:val="clear" w:color="auto" w:fill="auto"/>
          </w:tcPr>
          <w:p w14:paraId="5F823446" w14:textId="77777777" w:rsidR="003E78AB" w:rsidRDefault="00010BF9">
            <w:pPr>
              <w:spacing w:line="360" w:lineRule="exact"/>
              <w:ind w:firstLineChars="0" w:firstLine="0"/>
              <w:jc w:val="center"/>
              <w:textAlignment w:val="center"/>
              <w:rPr>
                <w:sz w:val="21"/>
                <w:szCs w:val="21"/>
                <w:lang w:bidi="ar"/>
              </w:rPr>
            </w:pPr>
            <w:r>
              <w:rPr>
                <w:sz w:val="21"/>
                <w:szCs w:val="21"/>
                <w:lang w:bidi="ar"/>
              </w:rPr>
              <w:t>S3-1</w:t>
            </w:r>
            <w:r>
              <w:rPr>
                <w:spacing w:val="-1"/>
                <w:sz w:val="21"/>
                <w:szCs w:val="21"/>
              </w:rPr>
              <w:t>废滤芯、</w:t>
            </w:r>
            <w:r>
              <w:rPr>
                <w:sz w:val="21"/>
                <w:szCs w:val="21"/>
                <w:lang w:bidi="ar"/>
              </w:rPr>
              <w:t>废过滤膜</w:t>
            </w:r>
          </w:p>
        </w:tc>
        <w:tc>
          <w:tcPr>
            <w:tcW w:w="1188" w:type="pct"/>
            <w:shd w:val="clear" w:color="auto" w:fill="auto"/>
          </w:tcPr>
          <w:p w14:paraId="211C4383" w14:textId="77777777" w:rsidR="003E78AB" w:rsidRDefault="00010BF9">
            <w:pPr>
              <w:spacing w:line="360" w:lineRule="exact"/>
              <w:ind w:firstLineChars="0" w:firstLine="0"/>
              <w:jc w:val="center"/>
              <w:textAlignment w:val="center"/>
              <w:rPr>
                <w:sz w:val="21"/>
                <w:szCs w:val="21"/>
                <w:lang w:bidi="ar"/>
              </w:rPr>
            </w:pPr>
            <w:r>
              <w:rPr>
                <w:sz w:val="21"/>
                <w:szCs w:val="21"/>
                <w:lang w:bidi="ar"/>
              </w:rPr>
              <w:t>一般固体废物</w:t>
            </w:r>
            <w:r>
              <w:rPr>
                <w:sz w:val="21"/>
                <w:szCs w:val="21"/>
                <w:lang w:bidi="ar"/>
              </w:rPr>
              <w:t xml:space="preserve"> SW59</w:t>
            </w:r>
          </w:p>
          <w:p w14:paraId="5456C983" w14:textId="77777777" w:rsidR="003E78AB" w:rsidRDefault="00010BF9">
            <w:pPr>
              <w:spacing w:line="360" w:lineRule="exact"/>
              <w:ind w:firstLineChars="0" w:firstLine="0"/>
              <w:jc w:val="center"/>
              <w:textAlignment w:val="center"/>
              <w:rPr>
                <w:sz w:val="21"/>
                <w:szCs w:val="21"/>
                <w:lang w:bidi="ar"/>
              </w:rPr>
            </w:pPr>
            <w:r>
              <w:rPr>
                <w:sz w:val="21"/>
                <w:szCs w:val="21"/>
                <w:lang w:bidi="ar"/>
              </w:rPr>
              <w:t>900-009-S59</w:t>
            </w:r>
          </w:p>
        </w:tc>
        <w:tc>
          <w:tcPr>
            <w:tcW w:w="502" w:type="pct"/>
            <w:shd w:val="clear" w:color="auto" w:fill="auto"/>
          </w:tcPr>
          <w:p w14:paraId="207D8706" w14:textId="77777777" w:rsidR="003E78AB" w:rsidRDefault="00010BF9">
            <w:pPr>
              <w:spacing w:line="360" w:lineRule="exact"/>
              <w:ind w:firstLineChars="0" w:firstLine="0"/>
              <w:jc w:val="center"/>
              <w:textAlignment w:val="center"/>
              <w:rPr>
                <w:sz w:val="21"/>
                <w:szCs w:val="21"/>
                <w:lang w:bidi="ar"/>
              </w:rPr>
            </w:pPr>
            <w:r>
              <w:rPr>
                <w:spacing w:val="-4"/>
                <w:sz w:val="21"/>
                <w:szCs w:val="21"/>
              </w:rPr>
              <w:t>间断</w:t>
            </w:r>
          </w:p>
        </w:tc>
        <w:tc>
          <w:tcPr>
            <w:tcW w:w="1163" w:type="pct"/>
            <w:gridSpan w:val="2"/>
            <w:shd w:val="clear" w:color="auto" w:fill="auto"/>
          </w:tcPr>
          <w:p w14:paraId="0AB1C241" w14:textId="77777777" w:rsidR="003E78AB" w:rsidRDefault="00010BF9">
            <w:pPr>
              <w:spacing w:line="360" w:lineRule="exact"/>
              <w:ind w:firstLineChars="0" w:firstLine="0"/>
              <w:jc w:val="center"/>
              <w:textAlignment w:val="center"/>
              <w:rPr>
                <w:sz w:val="21"/>
                <w:szCs w:val="21"/>
                <w:lang w:bidi="ar"/>
              </w:rPr>
            </w:pPr>
            <w:r>
              <w:rPr>
                <w:sz w:val="21"/>
                <w:szCs w:val="21"/>
                <w:lang w:bidi="ar"/>
              </w:rPr>
              <w:t>由设备供应厂家更换回收</w:t>
            </w:r>
          </w:p>
        </w:tc>
      </w:tr>
      <w:tr w:rsidR="003E78AB" w14:paraId="2084F8F6" w14:textId="77777777">
        <w:trPr>
          <w:trHeight w:val="340"/>
        </w:trPr>
        <w:tc>
          <w:tcPr>
            <w:tcW w:w="253" w:type="pct"/>
            <w:vMerge/>
          </w:tcPr>
          <w:p w14:paraId="29DC3F98" w14:textId="77777777" w:rsidR="003E78AB" w:rsidRDefault="003E78AB">
            <w:pPr>
              <w:spacing w:line="360" w:lineRule="exact"/>
              <w:ind w:firstLineChars="0" w:firstLine="0"/>
              <w:jc w:val="center"/>
              <w:textAlignment w:val="center"/>
              <w:rPr>
                <w:sz w:val="21"/>
                <w:szCs w:val="21"/>
                <w:lang w:bidi="ar"/>
              </w:rPr>
            </w:pPr>
          </w:p>
        </w:tc>
        <w:tc>
          <w:tcPr>
            <w:tcW w:w="569" w:type="pct"/>
            <w:vMerge w:val="restart"/>
          </w:tcPr>
          <w:p w14:paraId="018072FA" w14:textId="77777777" w:rsidR="003E78AB" w:rsidRDefault="00010BF9">
            <w:pPr>
              <w:spacing w:line="360" w:lineRule="exact"/>
              <w:ind w:firstLineChars="0" w:firstLine="0"/>
              <w:jc w:val="center"/>
              <w:textAlignment w:val="center"/>
              <w:rPr>
                <w:sz w:val="21"/>
                <w:szCs w:val="21"/>
                <w:lang w:bidi="ar"/>
              </w:rPr>
            </w:pPr>
            <w:r>
              <w:rPr>
                <w:sz w:val="21"/>
                <w:szCs w:val="21"/>
                <w:lang w:bidi="ar"/>
              </w:rPr>
              <w:t>投料</w:t>
            </w:r>
          </w:p>
        </w:tc>
        <w:tc>
          <w:tcPr>
            <w:tcW w:w="1322" w:type="pct"/>
          </w:tcPr>
          <w:p w14:paraId="37C7A29C" w14:textId="77777777" w:rsidR="003E78AB" w:rsidRDefault="00010BF9">
            <w:pPr>
              <w:spacing w:line="360" w:lineRule="exact"/>
              <w:ind w:firstLineChars="0" w:firstLine="0"/>
              <w:jc w:val="center"/>
              <w:textAlignment w:val="center"/>
              <w:rPr>
                <w:sz w:val="21"/>
                <w:szCs w:val="21"/>
                <w:lang w:bidi="ar"/>
              </w:rPr>
            </w:pPr>
            <w:r>
              <w:rPr>
                <w:sz w:val="21"/>
                <w:szCs w:val="21"/>
                <w:lang w:bidi="ar"/>
              </w:rPr>
              <w:t>S1-3</w:t>
            </w:r>
            <w:r>
              <w:rPr>
                <w:sz w:val="21"/>
                <w:szCs w:val="21"/>
                <w:lang w:bidi="ar"/>
              </w:rPr>
              <w:t>废滤袋</w:t>
            </w:r>
          </w:p>
        </w:tc>
        <w:tc>
          <w:tcPr>
            <w:tcW w:w="1188" w:type="pct"/>
          </w:tcPr>
          <w:p w14:paraId="00B60096" w14:textId="77777777" w:rsidR="003E78AB" w:rsidRDefault="00010BF9">
            <w:pPr>
              <w:spacing w:line="360" w:lineRule="exact"/>
              <w:ind w:firstLineChars="0" w:firstLine="0"/>
              <w:jc w:val="center"/>
              <w:textAlignment w:val="center"/>
              <w:rPr>
                <w:sz w:val="21"/>
                <w:szCs w:val="21"/>
                <w:lang w:bidi="ar"/>
              </w:rPr>
            </w:pPr>
            <w:r>
              <w:rPr>
                <w:spacing w:val="-1"/>
                <w:sz w:val="21"/>
                <w:szCs w:val="21"/>
              </w:rPr>
              <w:t>危险废物</w:t>
            </w:r>
            <w:r>
              <w:rPr>
                <w:spacing w:val="-1"/>
                <w:sz w:val="21"/>
                <w:szCs w:val="21"/>
              </w:rPr>
              <w:t xml:space="preserve"> </w:t>
            </w:r>
            <w:r>
              <w:rPr>
                <w:rFonts w:eastAsia="Times New Roman"/>
                <w:spacing w:val="-1"/>
                <w:sz w:val="21"/>
                <w:szCs w:val="21"/>
              </w:rPr>
              <w:t>H</w:t>
            </w:r>
            <w:r>
              <w:rPr>
                <w:rFonts w:eastAsia="Times New Roman"/>
                <w:sz w:val="21"/>
                <w:szCs w:val="21"/>
              </w:rPr>
              <w:t>W</w:t>
            </w:r>
            <w:r>
              <w:rPr>
                <w:rFonts w:eastAsia="Times New Roman"/>
                <w:spacing w:val="-1"/>
                <w:sz w:val="21"/>
                <w:szCs w:val="21"/>
              </w:rPr>
              <w:t>49</w:t>
            </w:r>
            <w:r>
              <w:rPr>
                <w:spacing w:val="-1"/>
                <w:sz w:val="21"/>
                <w:szCs w:val="21"/>
              </w:rPr>
              <w:t xml:space="preserve"> </w:t>
            </w:r>
            <w:r>
              <w:rPr>
                <w:rFonts w:eastAsia="Times New Roman"/>
                <w:spacing w:val="-1"/>
                <w:sz w:val="21"/>
                <w:szCs w:val="21"/>
              </w:rPr>
              <w:t>900-041</w:t>
            </w:r>
            <w:r>
              <w:rPr>
                <w:rFonts w:eastAsia="Times New Roman"/>
                <w:sz w:val="21"/>
                <w:szCs w:val="21"/>
              </w:rPr>
              <w:t>-49</w:t>
            </w:r>
          </w:p>
        </w:tc>
        <w:tc>
          <w:tcPr>
            <w:tcW w:w="502" w:type="pct"/>
          </w:tcPr>
          <w:p w14:paraId="61412520" w14:textId="77777777" w:rsidR="003E78AB" w:rsidRDefault="00010BF9">
            <w:pPr>
              <w:spacing w:line="360" w:lineRule="exact"/>
              <w:ind w:firstLineChars="0" w:firstLine="0"/>
              <w:jc w:val="center"/>
              <w:textAlignment w:val="center"/>
              <w:rPr>
                <w:sz w:val="21"/>
                <w:szCs w:val="21"/>
                <w:lang w:bidi="ar"/>
              </w:rPr>
            </w:pPr>
            <w:r>
              <w:rPr>
                <w:spacing w:val="-4"/>
                <w:sz w:val="21"/>
                <w:szCs w:val="21"/>
              </w:rPr>
              <w:t>间断</w:t>
            </w:r>
          </w:p>
        </w:tc>
        <w:tc>
          <w:tcPr>
            <w:tcW w:w="1163" w:type="pct"/>
            <w:gridSpan w:val="2"/>
            <w:vMerge w:val="restart"/>
          </w:tcPr>
          <w:p w14:paraId="1B3A2408" w14:textId="77777777" w:rsidR="003E78AB" w:rsidRDefault="00010BF9">
            <w:pPr>
              <w:spacing w:line="360" w:lineRule="exact"/>
              <w:ind w:firstLineChars="0" w:firstLine="0"/>
              <w:jc w:val="center"/>
              <w:textAlignment w:val="center"/>
              <w:rPr>
                <w:sz w:val="21"/>
                <w:szCs w:val="21"/>
                <w:lang w:bidi="ar"/>
              </w:rPr>
            </w:pPr>
            <w:r>
              <w:rPr>
                <w:sz w:val="21"/>
                <w:szCs w:val="21"/>
                <w:lang w:bidi="ar"/>
              </w:rPr>
              <w:t>在企业危险废物暂存间收集后交有资质的单位清运处置</w:t>
            </w:r>
          </w:p>
        </w:tc>
      </w:tr>
      <w:tr w:rsidR="003E78AB" w14:paraId="301BDDF9" w14:textId="77777777">
        <w:trPr>
          <w:trHeight w:val="340"/>
        </w:trPr>
        <w:tc>
          <w:tcPr>
            <w:tcW w:w="253" w:type="pct"/>
            <w:vMerge/>
          </w:tcPr>
          <w:p w14:paraId="284FB5BB" w14:textId="77777777" w:rsidR="003E78AB" w:rsidRDefault="003E78AB">
            <w:pPr>
              <w:spacing w:line="360" w:lineRule="exact"/>
              <w:ind w:firstLineChars="0" w:firstLine="0"/>
              <w:jc w:val="center"/>
              <w:textAlignment w:val="center"/>
              <w:rPr>
                <w:sz w:val="21"/>
                <w:szCs w:val="21"/>
                <w:lang w:bidi="ar"/>
              </w:rPr>
            </w:pPr>
          </w:p>
        </w:tc>
        <w:tc>
          <w:tcPr>
            <w:tcW w:w="569" w:type="pct"/>
            <w:vMerge/>
            <w:shd w:val="clear" w:color="auto" w:fill="auto"/>
          </w:tcPr>
          <w:p w14:paraId="14FBA1E6" w14:textId="77777777" w:rsidR="003E78AB" w:rsidRDefault="003E78AB">
            <w:pPr>
              <w:spacing w:line="360" w:lineRule="exact"/>
              <w:ind w:firstLineChars="0" w:firstLine="0"/>
              <w:jc w:val="center"/>
              <w:textAlignment w:val="center"/>
              <w:rPr>
                <w:sz w:val="21"/>
                <w:szCs w:val="21"/>
                <w:lang w:bidi="ar"/>
              </w:rPr>
            </w:pPr>
          </w:p>
        </w:tc>
        <w:tc>
          <w:tcPr>
            <w:tcW w:w="1322" w:type="pct"/>
            <w:shd w:val="clear" w:color="auto" w:fill="auto"/>
          </w:tcPr>
          <w:p w14:paraId="147EBBAA" w14:textId="77777777" w:rsidR="003E78AB" w:rsidRDefault="00010BF9">
            <w:pPr>
              <w:spacing w:line="360" w:lineRule="exact"/>
              <w:ind w:firstLineChars="0" w:firstLine="0"/>
              <w:jc w:val="center"/>
              <w:textAlignment w:val="center"/>
              <w:rPr>
                <w:sz w:val="21"/>
                <w:szCs w:val="21"/>
                <w:lang w:bidi="ar"/>
              </w:rPr>
            </w:pPr>
            <w:r>
              <w:rPr>
                <w:sz w:val="21"/>
                <w:szCs w:val="21"/>
                <w:lang w:bidi="ar"/>
              </w:rPr>
              <w:t>S</w:t>
            </w:r>
            <w:r>
              <w:rPr>
                <w:rFonts w:hint="eastAsia"/>
                <w:sz w:val="21"/>
                <w:szCs w:val="21"/>
                <w:lang w:bidi="ar"/>
              </w:rPr>
              <w:t>1-4</w:t>
            </w:r>
            <w:r>
              <w:rPr>
                <w:sz w:val="21"/>
                <w:szCs w:val="21"/>
                <w:lang w:bidi="ar"/>
              </w:rPr>
              <w:t>废包装袋内衬（沾染有毒有害物质的）</w:t>
            </w:r>
          </w:p>
        </w:tc>
        <w:tc>
          <w:tcPr>
            <w:tcW w:w="1188" w:type="pct"/>
            <w:shd w:val="clear" w:color="auto" w:fill="auto"/>
          </w:tcPr>
          <w:p w14:paraId="5CF22AB1" w14:textId="77777777" w:rsidR="003E78AB" w:rsidRDefault="00010BF9">
            <w:pPr>
              <w:spacing w:line="360" w:lineRule="exact"/>
              <w:ind w:firstLineChars="0" w:firstLine="0"/>
              <w:jc w:val="center"/>
              <w:textAlignment w:val="center"/>
              <w:rPr>
                <w:sz w:val="21"/>
                <w:szCs w:val="21"/>
                <w:lang w:bidi="ar"/>
              </w:rPr>
            </w:pPr>
            <w:r>
              <w:rPr>
                <w:sz w:val="21"/>
                <w:szCs w:val="21"/>
                <w:lang w:bidi="ar"/>
              </w:rPr>
              <w:t>危险废物</w:t>
            </w:r>
            <w:r>
              <w:rPr>
                <w:sz w:val="21"/>
                <w:szCs w:val="21"/>
                <w:lang w:bidi="ar"/>
              </w:rPr>
              <w:t xml:space="preserve"> HW49</w:t>
            </w:r>
          </w:p>
          <w:p w14:paraId="515CC282" w14:textId="77777777" w:rsidR="003E78AB" w:rsidRDefault="00010BF9">
            <w:pPr>
              <w:spacing w:line="360" w:lineRule="exact"/>
              <w:ind w:firstLineChars="0" w:firstLine="0"/>
              <w:jc w:val="center"/>
              <w:textAlignment w:val="center"/>
              <w:rPr>
                <w:sz w:val="21"/>
                <w:szCs w:val="21"/>
                <w:lang w:bidi="ar"/>
              </w:rPr>
            </w:pPr>
            <w:r>
              <w:rPr>
                <w:sz w:val="21"/>
                <w:szCs w:val="21"/>
                <w:lang w:bidi="ar"/>
              </w:rPr>
              <w:t>900-041-49</w:t>
            </w:r>
          </w:p>
        </w:tc>
        <w:tc>
          <w:tcPr>
            <w:tcW w:w="502" w:type="pct"/>
            <w:shd w:val="clear" w:color="auto" w:fill="auto"/>
          </w:tcPr>
          <w:p w14:paraId="6E9ED8E1" w14:textId="77777777" w:rsidR="003E78AB" w:rsidRDefault="00010BF9">
            <w:pPr>
              <w:spacing w:line="360" w:lineRule="exact"/>
              <w:ind w:firstLineChars="0" w:firstLine="0"/>
              <w:jc w:val="center"/>
              <w:textAlignment w:val="center"/>
              <w:rPr>
                <w:sz w:val="21"/>
                <w:szCs w:val="21"/>
                <w:lang w:bidi="ar"/>
              </w:rPr>
            </w:pPr>
            <w:r>
              <w:rPr>
                <w:spacing w:val="-4"/>
                <w:sz w:val="21"/>
                <w:szCs w:val="21"/>
              </w:rPr>
              <w:t>间断</w:t>
            </w:r>
          </w:p>
        </w:tc>
        <w:tc>
          <w:tcPr>
            <w:tcW w:w="1163" w:type="pct"/>
            <w:gridSpan w:val="2"/>
            <w:vMerge/>
          </w:tcPr>
          <w:p w14:paraId="5EF31FE8" w14:textId="77777777" w:rsidR="003E78AB" w:rsidRDefault="003E78AB">
            <w:pPr>
              <w:spacing w:line="360" w:lineRule="exact"/>
              <w:ind w:firstLineChars="0" w:firstLine="0"/>
              <w:jc w:val="center"/>
              <w:textAlignment w:val="center"/>
              <w:rPr>
                <w:sz w:val="21"/>
                <w:szCs w:val="21"/>
                <w:lang w:bidi="ar"/>
              </w:rPr>
            </w:pPr>
          </w:p>
        </w:tc>
      </w:tr>
      <w:tr w:rsidR="003E78AB" w14:paraId="3B0ECD90" w14:textId="77777777">
        <w:trPr>
          <w:trHeight w:val="340"/>
        </w:trPr>
        <w:tc>
          <w:tcPr>
            <w:tcW w:w="253" w:type="pct"/>
            <w:vMerge/>
          </w:tcPr>
          <w:p w14:paraId="381F795E" w14:textId="77777777" w:rsidR="003E78AB" w:rsidRDefault="003E78AB">
            <w:pPr>
              <w:spacing w:line="360" w:lineRule="exact"/>
              <w:ind w:firstLineChars="0" w:firstLine="0"/>
              <w:jc w:val="center"/>
              <w:textAlignment w:val="center"/>
              <w:rPr>
                <w:sz w:val="21"/>
                <w:szCs w:val="21"/>
                <w:lang w:bidi="ar"/>
              </w:rPr>
            </w:pPr>
          </w:p>
        </w:tc>
        <w:tc>
          <w:tcPr>
            <w:tcW w:w="569" w:type="pct"/>
            <w:vMerge w:val="restart"/>
          </w:tcPr>
          <w:p w14:paraId="2A7FD1CF" w14:textId="77777777" w:rsidR="003E78AB" w:rsidRDefault="00010BF9">
            <w:pPr>
              <w:spacing w:line="360" w:lineRule="exact"/>
              <w:ind w:firstLineChars="0" w:firstLine="0"/>
              <w:jc w:val="center"/>
              <w:textAlignment w:val="center"/>
              <w:rPr>
                <w:sz w:val="21"/>
                <w:szCs w:val="21"/>
                <w:lang w:bidi="ar"/>
              </w:rPr>
            </w:pPr>
            <w:r>
              <w:rPr>
                <w:sz w:val="21"/>
                <w:szCs w:val="21"/>
                <w:lang w:bidi="ar"/>
              </w:rPr>
              <w:t>实验室</w:t>
            </w:r>
          </w:p>
        </w:tc>
        <w:tc>
          <w:tcPr>
            <w:tcW w:w="1322" w:type="pct"/>
          </w:tcPr>
          <w:p w14:paraId="04A0B0B2" w14:textId="77777777" w:rsidR="003E78AB" w:rsidRDefault="00010BF9">
            <w:pPr>
              <w:spacing w:line="360" w:lineRule="exact"/>
              <w:ind w:firstLineChars="0" w:firstLine="0"/>
              <w:jc w:val="center"/>
              <w:textAlignment w:val="center"/>
              <w:rPr>
                <w:sz w:val="21"/>
                <w:szCs w:val="21"/>
                <w:lang w:bidi="ar"/>
              </w:rPr>
            </w:pPr>
            <w:r>
              <w:rPr>
                <w:sz w:val="21"/>
                <w:szCs w:val="21"/>
                <w:lang w:bidi="ar"/>
              </w:rPr>
              <w:t>S4-1</w:t>
            </w:r>
            <w:r>
              <w:rPr>
                <w:sz w:val="21"/>
                <w:szCs w:val="21"/>
                <w:lang w:bidi="ar"/>
              </w:rPr>
              <w:t>实验室废液</w:t>
            </w:r>
          </w:p>
        </w:tc>
        <w:tc>
          <w:tcPr>
            <w:tcW w:w="1188" w:type="pct"/>
          </w:tcPr>
          <w:p w14:paraId="23A73C83" w14:textId="77777777" w:rsidR="003E78AB" w:rsidRDefault="00010BF9">
            <w:pPr>
              <w:spacing w:line="360" w:lineRule="exact"/>
              <w:ind w:firstLineChars="0" w:firstLine="0"/>
              <w:jc w:val="center"/>
              <w:textAlignment w:val="center"/>
              <w:rPr>
                <w:sz w:val="21"/>
                <w:szCs w:val="21"/>
                <w:lang w:bidi="ar"/>
              </w:rPr>
            </w:pPr>
            <w:r>
              <w:rPr>
                <w:sz w:val="21"/>
                <w:szCs w:val="21"/>
                <w:lang w:bidi="ar"/>
              </w:rPr>
              <w:t>危险废物</w:t>
            </w:r>
            <w:r>
              <w:rPr>
                <w:sz w:val="21"/>
                <w:szCs w:val="21"/>
                <w:lang w:bidi="ar"/>
              </w:rPr>
              <w:t xml:space="preserve"> HW49</w:t>
            </w:r>
          </w:p>
          <w:p w14:paraId="61C928A2" w14:textId="77777777" w:rsidR="003E78AB" w:rsidRDefault="00010BF9">
            <w:pPr>
              <w:spacing w:line="360" w:lineRule="exact"/>
              <w:ind w:firstLineChars="0" w:firstLine="0"/>
              <w:jc w:val="center"/>
              <w:textAlignment w:val="center"/>
              <w:rPr>
                <w:sz w:val="21"/>
                <w:szCs w:val="21"/>
                <w:lang w:bidi="ar"/>
              </w:rPr>
            </w:pPr>
            <w:r>
              <w:rPr>
                <w:sz w:val="21"/>
                <w:szCs w:val="21"/>
                <w:lang w:bidi="ar"/>
              </w:rPr>
              <w:t>900-047-49</w:t>
            </w:r>
          </w:p>
        </w:tc>
        <w:tc>
          <w:tcPr>
            <w:tcW w:w="502" w:type="pct"/>
          </w:tcPr>
          <w:p w14:paraId="7D28ADC8"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1163" w:type="pct"/>
            <w:gridSpan w:val="2"/>
          </w:tcPr>
          <w:p w14:paraId="1C9FD72E" w14:textId="77777777" w:rsidR="003E78AB" w:rsidRDefault="00010BF9">
            <w:pPr>
              <w:spacing w:line="360" w:lineRule="exact"/>
              <w:ind w:firstLineChars="0" w:firstLine="0"/>
              <w:jc w:val="center"/>
              <w:textAlignment w:val="center"/>
              <w:rPr>
                <w:sz w:val="21"/>
                <w:szCs w:val="21"/>
                <w:lang w:bidi="ar"/>
              </w:rPr>
            </w:pPr>
            <w:r>
              <w:rPr>
                <w:sz w:val="21"/>
                <w:szCs w:val="21"/>
                <w:lang w:bidi="ar"/>
              </w:rPr>
              <w:t>在实验室内专用容器贮存，交由有资质的单位清运处置</w:t>
            </w:r>
          </w:p>
        </w:tc>
      </w:tr>
      <w:tr w:rsidR="003E78AB" w14:paraId="18323EBA" w14:textId="77777777">
        <w:trPr>
          <w:trHeight w:val="340"/>
        </w:trPr>
        <w:tc>
          <w:tcPr>
            <w:tcW w:w="253" w:type="pct"/>
            <w:vMerge/>
          </w:tcPr>
          <w:p w14:paraId="41F0DC96"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504B4713" w14:textId="77777777" w:rsidR="003E78AB" w:rsidRDefault="003E78AB">
            <w:pPr>
              <w:spacing w:line="360" w:lineRule="exact"/>
              <w:ind w:firstLineChars="0" w:firstLine="0"/>
              <w:jc w:val="center"/>
              <w:textAlignment w:val="center"/>
              <w:rPr>
                <w:sz w:val="21"/>
                <w:szCs w:val="21"/>
                <w:lang w:bidi="ar"/>
              </w:rPr>
            </w:pPr>
          </w:p>
        </w:tc>
        <w:tc>
          <w:tcPr>
            <w:tcW w:w="1322" w:type="pct"/>
          </w:tcPr>
          <w:p w14:paraId="72F282E9" w14:textId="77777777" w:rsidR="003E78AB" w:rsidRDefault="00010BF9">
            <w:pPr>
              <w:spacing w:line="360" w:lineRule="exact"/>
              <w:ind w:firstLineChars="0" w:firstLine="0"/>
              <w:jc w:val="center"/>
              <w:textAlignment w:val="center"/>
              <w:rPr>
                <w:sz w:val="21"/>
                <w:szCs w:val="21"/>
                <w:lang w:bidi="ar"/>
              </w:rPr>
            </w:pPr>
            <w:r>
              <w:rPr>
                <w:sz w:val="21"/>
                <w:szCs w:val="21"/>
                <w:lang w:bidi="ar"/>
              </w:rPr>
              <w:t>S4-2</w:t>
            </w:r>
            <w:r>
              <w:rPr>
                <w:sz w:val="21"/>
                <w:szCs w:val="21"/>
                <w:lang w:bidi="ar"/>
              </w:rPr>
              <w:t>废试剂瓶</w:t>
            </w:r>
          </w:p>
        </w:tc>
        <w:tc>
          <w:tcPr>
            <w:tcW w:w="1188" w:type="pct"/>
          </w:tcPr>
          <w:p w14:paraId="5C950AC5" w14:textId="77777777" w:rsidR="003E78AB" w:rsidRDefault="00010BF9">
            <w:pPr>
              <w:spacing w:line="360" w:lineRule="exact"/>
              <w:ind w:firstLineChars="0" w:firstLine="0"/>
              <w:jc w:val="center"/>
              <w:textAlignment w:val="center"/>
              <w:rPr>
                <w:sz w:val="21"/>
                <w:szCs w:val="21"/>
                <w:lang w:bidi="ar"/>
              </w:rPr>
            </w:pPr>
            <w:r>
              <w:rPr>
                <w:sz w:val="21"/>
                <w:szCs w:val="21"/>
                <w:lang w:bidi="ar"/>
              </w:rPr>
              <w:t>危险废物</w:t>
            </w:r>
            <w:r>
              <w:rPr>
                <w:sz w:val="21"/>
                <w:szCs w:val="21"/>
                <w:lang w:bidi="ar"/>
              </w:rPr>
              <w:t xml:space="preserve"> HW49</w:t>
            </w:r>
          </w:p>
          <w:p w14:paraId="5CCB1795" w14:textId="77777777" w:rsidR="003E78AB" w:rsidRDefault="00010BF9">
            <w:pPr>
              <w:spacing w:line="360" w:lineRule="exact"/>
              <w:ind w:firstLineChars="0" w:firstLine="0"/>
              <w:jc w:val="center"/>
              <w:textAlignment w:val="center"/>
              <w:rPr>
                <w:sz w:val="21"/>
                <w:szCs w:val="21"/>
                <w:lang w:bidi="ar"/>
              </w:rPr>
            </w:pPr>
            <w:r>
              <w:rPr>
                <w:sz w:val="21"/>
                <w:szCs w:val="21"/>
                <w:lang w:bidi="ar"/>
              </w:rPr>
              <w:t>900-041-49</w:t>
            </w:r>
          </w:p>
        </w:tc>
        <w:tc>
          <w:tcPr>
            <w:tcW w:w="502" w:type="pct"/>
          </w:tcPr>
          <w:p w14:paraId="76549E2B" w14:textId="77777777" w:rsidR="003E78AB" w:rsidRDefault="00010BF9">
            <w:pPr>
              <w:spacing w:line="360" w:lineRule="exact"/>
              <w:ind w:firstLineChars="0" w:firstLine="0"/>
              <w:jc w:val="center"/>
              <w:textAlignment w:val="center"/>
              <w:rPr>
                <w:sz w:val="21"/>
                <w:szCs w:val="21"/>
                <w:lang w:bidi="ar"/>
              </w:rPr>
            </w:pPr>
            <w:r>
              <w:rPr>
                <w:spacing w:val="-4"/>
                <w:sz w:val="21"/>
                <w:szCs w:val="21"/>
              </w:rPr>
              <w:t>间断</w:t>
            </w:r>
          </w:p>
        </w:tc>
        <w:tc>
          <w:tcPr>
            <w:tcW w:w="1163" w:type="pct"/>
            <w:gridSpan w:val="2"/>
            <w:vMerge w:val="restart"/>
          </w:tcPr>
          <w:p w14:paraId="2744DF2B" w14:textId="77777777" w:rsidR="003E78AB" w:rsidRDefault="00010BF9">
            <w:pPr>
              <w:spacing w:line="360" w:lineRule="exact"/>
              <w:ind w:firstLineChars="0" w:firstLine="0"/>
              <w:jc w:val="center"/>
              <w:textAlignment w:val="center"/>
              <w:rPr>
                <w:sz w:val="21"/>
                <w:szCs w:val="21"/>
                <w:lang w:bidi="ar"/>
              </w:rPr>
            </w:pPr>
            <w:r>
              <w:rPr>
                <w:sz w:val="21"/>
                <w:szCs w:val="21"/>
                <w:lang w:bidi="ar"/>
              </w:rPr>
              <w:t>在企业危险废物暂存间收集后交有资质的单位清运处置</w:t>
            </w:r>
          </w:p>
        </w:tc>
      </w:tr>
      <w:tr w:rsidR="003E78AB" w14:paraId="2CB32B18" w14:textId="77777777">
        <w:trPr>
          <w:trHeight w:val="340"/>
        </w:trPr>
        <w:tc>
          <w:tcPr>
            <w:tcW w:w="253" w:type="pct"/>
            <w:vMerge/>
          </w:tcPr>
          <w:p w14:paraId="5A9D31B2" w14:textId="77777777" w:rsidR="003E78AB" w:rsidRDefault="003E78AB">
            <w:pPr>
              <w:spacing w:line="360" w:lineRule="exact"/>
              <w:ind w:firstLineChars="0" w:firstLine="0"/>
              <w:jc w:val="center"/>
              <w:textAlignment w:val="center"/>
              <w:rPr>
                <w:sz w:val="21"/>
                <w:szCs w:val="21"/>
                <w:lang w:bidi="ar"/>
              </w:rPr>
            </w:pPr>
          </w:p>
        </w:tc>
        <w:tc>
          <w:tcPr>
            <w:tcW w:w="569" w:type="pct"/>
            <w:vMerge w:val="restart"/>
          </w:tcPr>
          <w:p w14:paraId="5B88687B" w14:textId="77777777" w:rsidR="003E78AB" w:rsidRDefault="00010BF9">
            <w:pPr>
              <w:spacing w:line="360" w:lineRule="exact"/>
              <w:ind w:firstLineChars="0" w:firstLine="0"/>
              <w:jc w:val="center"/>
              <w:textAlignment w:val="center"/>
              <w:rPr>
                <w:sz w:val="21"/>
                <w:szCs w:val="21"/>
                <w:lang w:bidi="ar"/>
              </w:rPr>
            </w:pPr>
            <w:r>
              <w:rPr>
                <w:sz w:val="21"/>
                <w:szCs w:val="21"/>
                <w:lang w:bidi="ar"/>
              </w:rPr>
              <w:t>设备维护</w:t>
            </w:r>
          </w:p>
        </w:tc>
        <w:tc>
          <w:tcPr>
            <w:tcW w:w="1322" w:type="pct"/>
          </w:tcPr>
          <w:p w14:paraId="1B1D2954" w14:textId="77777777" w:rsidR="003E78AB" w:rsidRDefault="00010BF9">
            <w:pPr>
              <w:spacing w:line="360" w:lineRule="exact"/>
              <w:ind w:firstLineChars="0" w:firstLine="0"/>
              <w:jc w:val="center"/>
              <w:textAlignment w:val="center"/>
              <w:rPr>
                <w:sz w:val="21"/>
                <w:szCs w:val="21"/>
                <w:lang w:bidi="ar"/>
              </w:rPr>
            </w:pPr>
            <w:r>
              <w:rPr>
                <w:sz w:val="21"/>
                <w:szCs w:val="21"/>
                <w:lang w:bidi="ar"/>
              </w:rPr>
              <w:t>S5-1</w:t>
            </w:r>
            <w:r>
              <w:rPr>
                <w:sz w:val="21"/>
                <w:szCs w:val="21"/>
                <w:lang w:bidi="ar"/>
              </w:rPr>
              <w:t>废润滑油</w:t>
            </w:r>
          </w:p>
        </w:tc>
        <w:tc>
          <w:tcPr>
            <w:tcW w:w="1188" w:type="pct"/>
          </w:tcPr>
          <w:p w14:paraId="48C72B8B" w14:textId="77777777" w:rsidR="003E78AB" w:rsidRDefault="00010BF9">
            <w:pPr>
              <w:spacing w:line="360" w:lineRule="exact"/>
              <w:ind w:firstLineChars="0" w:firstLine="0"/>
              <w:jc w:val="center"/>
              <w:textAlignment w:val="center"/>
              <w:rPr>
                <w:sz w:val="21"/>
                <w:szCs w:val="21"/>
                <w:lang w:bidi="ar"/>
              </w:rPr>
            </w:pPr>
            <w:r>
              <w:rPr>
                <w:sz w:val="21"/>
                <w:szCs w:val="21"/>
                <w:lang w:bidi="ar"/>
              </w:rPr>
              <w:t>危险废物</w:t>
            </w:r>
            <w:r>
              <w:rPr>
                <w:sz w:val="21"/>
                <w:szCs w:val="21"/>
                <w:lang w:bidi="ar"/>
              </w:rPr>
              <w:t xml:space="preserve"> HW08</w:t>
            </w:r>
          </w:p>
          <w:p w14:paraId="1BDE5DE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900-217-08</w:t>
            </w:r>
          </w:p>
        </w:tc>
        <w:tc>
          <w:tcPr>
            <w:tcW w:w="502" w:type="pct"/>
          </w:tcPr>
          <w:p w14:paraId="3CC4F155"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1163" w:type="pct"/>
            <w:gridSpan w:val="2"/>
            <w:vMerge/>
          </w:tcPr>
          <w:p w14:paraId="6A6B2D3B" w14:textId="77777777" w:rsidR="003E78AB" w:rsidRDefault="003E78AB">
            <w:pPr>
              <w:spacing w:line="360" w:lineRule="exact"/>
              <w:ind w:firstLineChars="0" w:firstLine="0"/>
              <w:jc w:val="center"/>
              <w:textAlignment w:val="center"/>
              <w:rPr>
                <w:sz w:val="21"/>
                <w:szCs w:val="21"/>
                <w:lang w:bidi="ar"/>
              </w:rPr>
            </w:pPr>
          </w:p>
        </w:tc>
      </w:tr>
      <w:tr w:rsidR="003E78AB" w14:paraId="13DBC31A" w14:textId="77777777">
        <w:trPr>
          <w:trHeight w:val="340"/>
        </w:trPr>
        <w:tc>
          <w:tcPr>
            <w:tcW w:w="253" w:type="pct"/>
            <w:vMerge/>
          </w:tcPr>
          <w:p w14:paraId="7088F874"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51B077F2" w14:textId="77777777" w:rsidR="003E78AB" w:rsidRDefault="003E78AB">
            <w:pPr>
              <w:spacing w:line="360" w:lineRule="exact"/>
              <w:ind w:firstLineChars="0" w:firstLine="0"/>
              <w:jc w:val="center"/>
              <w:textAlignment w:val="center"/>
              <w:rPr>
                <w:sz w:val="21"/>
                <w:szCs w:val="21"/>
                <w:lang w:bidi="ar"/>
              </w:rPr>
            </w:pPr>
          </w:p>
        </w:tc>
        <w:tc>
          <w:tcPr>
            <w:tcW w:w="1322" w:type="pct"/>
          </w:tcPr>
          <w:p w14:paraId="79F657DA" w14:textId="77777777" w:rsidR="003E78AB" w:rsidRDefault="00010BF9">
            <w:pPr>
              <w:spacing w:line="360" w:lineRule="exact"/>
              <w:ind w:firstLineChars="0" w:firstLine="0"/>
              <w:jc w:val="center"/>
              <w:textAlignment w:val="center"/>
              <w:rPr>
                <w:sz w:val="21"/>
                <w:szCs w:val="21"/>
                <w:lang w:bidi="ar"/>
              </w:rPr>
            </w:pPr>
            <w:r>
              <w:rPr>
                <w:sz w:val="21"/>
                <w:szCs w:val="21"/>
                <w:lang w:bidi="ar"/>
              </w:rPr>
              <w:t>S5-2</w:t>
            </w:r>
            <w:r>
              <w:rPr>
                <w:sz w:val="21"/>
                <w:szCs w:val="21"/>
                <w:lang w:bidi="ar"/>
              </w:rPr>
              <w:t>废包装桶</w:t>
            </w:r>
          </w:p>
        </w:tc>
        <w:tc>
          <w:tcPr>
            <w:tcW w:w="1188" w:type="pct"/>
          </w:tcPr>
          <w:p w14:paraId="7A953755" w14:textId="77777777" w:rsidR="003E78AB" w:rsidRDefault="00010BF9">
            <w:pPr>
              <w:spacing w:line="360" w:lineRule="exact"/>
              <w:ind w:firstLineChars="0" w:firstLine="0"/>
              <w:jc w:val="center"/>
              <w:textAlignment w:val="center"/>
              <w:rPr>
                <w:sz w:val="21"/>
                <w:szCs w:val="21"/>
                <w:lang w:bidi="ar"/>
              </w:rPr>
            </w:pPr>
            <w:r>
              <w:rPr>
                <w:sz w:val="21"/>
                <w:szCs w:val="21"/>
                <w:lang w:bidi="ar"/>
              </w:rPr>
              <w:t>危险废物</w:t>
            </w:r>
            <w:r>
              <w:rPr>
                <w:sz w:val="21"/>
                <w:szCs w:val="21"/>
                <w:lang w:bidi="ar"/>
              </w:rPr>
              <w:t xml:space="preserve"> HW49</w:t>
            </w:r>
          </w:p>
          <w:p w14:paraId="4978C2DF" w14:textId="77777777" w:rsidR="003E78AB" w:rsidRDefault="00010BF9">
            <w:pPr>
              <w:spacing w:line="360" w:lineRule="exact"/>
              <w:ind w:firstLineChars="0" w:firstLine="0"/>
              <w:jc w:val="center"/>
              <w:textAlignment w:val="center"/>
              <w:rPr>
                <w:sz w:val="21"/>
                <w:szCs w:val="21"/>
                <w:lang w:bidi="ar"/>
              </w:rPr>
            </w:pPr>
            <w:r>
              <w:rPr>
                <w:sz w:val="21"/>
                <w:szCs w:val="21"/>
                <w:lang w:bidi="ar"/>
              </w:rPr>
              <w:t>900-041-49</w:t>
            </w:r>
          </w:p>
        </w:tc>
        <w:tc>
          <w:tcPr>
            <w:tcW w:w="502" w:type="pct"/>
          </w:tcPr>
          <w:p w14:paraId="38D8BCC1"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1163" w:type="pct"/>
            <w:gridSpan w:val="2"/>
            <w:vMerge/>
          </w:tcPr>
          <w:p w14:paraId="6DCE067C" w14:textId="77777777" w:rsidR="003E78AB" w:rsidRDefault="003E78AB">
            <w:pPr>
              <w:spacing w:line="360" w:lineRule="exact"/>
              <w:ind w:firstLineChars="0" w:firstLine="0"/>
              <w:jc w:val="center"/>
              <w:textAlignment w:val="center"/>
              <w:rPr>
                <w:sz w:val="21"/>
                <w:szCs w:val="21"/>
                <w:lang w:bidi="ar"/>
              </w:rPr>
            </w:pPr>
          </w:p>
        </w:tc>
      </w:tr>
      <w:tr w:rsidR="003E78AB" w14:paraId="13947114" w14:textId="77777777">
        <w:trPr>
          <w:trHeight w:val="340"/>
        </w:trPr>
        <w:tc>
          <w:tcPr>
            <w:tcW w:w="253" w:type="pct"/>
            <w:vMerge/>
          </w:tcPr>
          <w:p w14:paraId="70D88041" w14:textId="77777777" w:rsidR="003E78AB" w:rsidRDefault="003E78AB">
            <w:pPr>
              <w:spacing w:line="360" w:lineRule="exact"/>
              <w:ind w:firstLineChars="0" w:firstLine="0"/>
              <w:jc w:val="center"/>
              <w:textAlignment w:val="center"/>
              <w:rPr>
                <w:sz w:val="21"/>
                <w:szCs w:val="21"/>
                <w:lang w:bidi="ar"/>
              </w:rPr>
            </w:pPr>
          </w:p>
        </w:tc>
        <w:tc>
          <w:tcPr>
            <w:tcW w:w="569" w:type="pct"/>
            <w:vMerge/>
          </w:tcPr>
          <w:p w14:paraId="3CBD2637" w14:textId="77777777" w:rsidR="003E78AB" w:rsidRDefault="003E78AB">
            <w:pPr>
              <w:spacing w:line="360" w:lineRule="exact"/>
              <w:ind w:firstLineChars="0" w:firstLine="0"/>
              <w:jc w:val="center"/>
              <w:textAlignment w:val="center"/>
              <w:rPr>
                <w:sz w:val="21"/>
                <w:szCs w:val="21"/>
                <w:lang w:bidi="ar"/>
              </w:rPr>
            </w:pPr>
          </w:p>
        </w:tc>
        <w:tc>
          <w:tcPr>
            <w:tcW w:w="1322" w:type="pct"/>
          </w:tcPr>
          <w:p w14:paraId="3F6FD556" w14:textId="77777777" w:rsidR="003E78AB" w:rsidRDefault="00010BF9">
            <w:pPr>
              <w:spacing w:line="360" w:lineRule="exact"/>
              <w:ind w:firstLineChars="0" w:firstLine="0"/>
              <w:jc w:val="center"/>
              <w:textAlignment w:val="center"/>
              <w:rPr>
                <w:sz w:val="21"/>
                <w:szCs w:val="21"/>
                <w:lang w:bidi="ar"/>
              </w:rPr>
            </w:pPr>
            <w:r>
              <w:rPr>
                <w:sz w:val="21"/>
                <w:szCs w:val="21"/>
                <w:lang w:bidi="ar"/>
              </w:rPr>
              <w:t>S5-3</w:t>
            </w:r>
            <w:r>
              <w:rPr>
                <w:sz w:val="21"/>
                <w:szCs w:val="21"/>
                <w:lang w:bidi="ar"/>
              </w:rPr>
              <w:t>沾染物料的废抹布及劳保用品</w:t>
            </w:r>
          </w:p>
        </w:tc>
        <w:tc>
          <w:tcPr>
            <w:tcW w:w="1188" w:type="pct"/>
          </w:tcPr>
          <w:p w14:paraId="4058176A" w14:textId="77777777" w:rsidR="003E78AB" w:rsidRDefault="00010BF9">
            <w:pPr>
              <w:spacing w:line="360" w:lineRule="exact"/>
              <w:ind w:firstLineChars="0" w:firstLine="0"/>
              <w:jc w:val="center"/>
              <w:textAlignment w:val="center"/>
              <w:rPr>
                <w:sz w:val="21"/>
                <w:szCs w:val="21"/>
                <w:lang w:bidi="ar"/>
              </w:rPr>
            </w:pPr>
            <w:r>
              <w:rPr>
                <w:sz w:val="21"/>
                <w:szCs w:val="21"/>
                <w:lang w:bidi="ar"/>
              </w:rPr>
              <w:t>危险废物</w:t>
            </w:r>
            <w:r>
              <w:rPr>
                <w:sz w:val="21"/>
                <w:szCs w:val="21"/>
                <w:lang w:bidi="ar"/>
              </w:rPr>
              <w:t xml:space="preserve"> HW49</w:t>
            </w:r>
          </w:p>
          <w:p w14:paraId="0E8708D0" w14:textId="77777777" w:rsidR="003E78AB" w:rsidRDefault="00010BF9">
            <w:pPr>
              <w:spacing w:line="360" w:lineRule="exact"/>
              <w:ind w:firstLineChars="0" w:firstLine="0"/>
              <w:jc w:val="center"/>
              <w:textAlignment w:val="center"/>
              <w:rPr>
                <w:sz w:val="21"/>
                <w:szCs w:val="21"/>
                <w:lang w:bidi="ar"/>
              </w:rPr>
            </w:pPr>
            <w:r>
              <w:rPr>
                <w:sz w:val="21"/>
                <w:szCs w:val="21"/>
                <w:lang w:bidi="ar"/>
              </w:rPr>
              <w:t>900-041-49</w:t>
            </w:r>
          </w:p>
        </w:tc>
        <w:tc>
          <w:tcPr>
            <w:tcW w:w="502" w:type="pct"/>
          </w:tcPr>
          <w:p w14:paraId="6D69DC17"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1163" w:type="pct"/>
            <w:gridSpan w:val="2"/>
            <w:vMerge/>
          </w:tcPr>
          <w:p w14:paraId="112D57F8" w14:textId="77777777" w:rsidR="003E78AB" w:rsidRDefault="003E78AB">
            <w:pPr>
              <w:spacing w:line="360" w:lineRule="exact"/>
              <w:ind w:firstLineChars="0" w:firstLine="0"/>
              <w:jc w:val="center"/>
              <w:textAlignment w:val="center"/>
              <w:rPr>
                <w:sz w:val="21"/>
                <w:szCs w:val="21"/>
                <w:lang w:bidi="ar"/>
              </w:rPr>
            </w:pPr>
          </w:p>
        </w:tc>
      </w:tr>
      <w:tr w:rsidR="003E78AB" w14:paraId="189E0477" w14:textId="77777777">
        <w:trPr>
          <w:trHeight w:val="340"/>
        </w:trPr>
        <w:tc>
          <w:tcPr>
            <w:tcW w:w="253" w:type="pct"/>
            <w:vMerge/>
          </w:tcPr>
          <w:p w14:paraId="40C2D7A5" w14:textId="77777777" w:rsidR="003E78AB" w:rsidRDefault="003E78AB">
            <w:pPr>
              <w:spacing w:line="360" w:lineRule="exact"/>
              <w:ind w:firstLineChars="0" w:firstLine="0"/>
              <w:jc w:val="center"/>
              <w:textAlignment w:val="center"/>
              <w:rPr>
                <w:sz w:val="21"/>
                <w:szCs w:val="21"/>
                <w:lang w:bidi="ar"/>
              </w:rPr>
            </w:pPr>
          </w:p>
        </w:tc>
        <w:tc>
          <w:tcPr>
            <w:tcW w:w="569" w:type="pct"/>
          </w:tcPr>
          <w:p w14:paraId="0DD7A472" w14:textId="77777777" w:rsidR="003E78AB" w:rsidRDefault="00010BF9">
            <w:pPr>
              <w:spacing w:line="360" w:lineRule="exact"/>
              <w:ind w:firstLineChars="0" w:firstLine="0"/>
              <w:jc w:val="center"/>
              <w:textAlignment w:val="center"/>
              <w:rPr>
                <w:sz w:val="21"/>
                <w:szCs w:val="21"/>
                <w:lang w:bidi="ar"/>
              </w:rPr>
            </w:pPr>
            <w:r>
              <w:rPr>
                <w:sz w:val="21"/>
                <w:szCs w:val="21"/>
                <w:lang w:bidi="ar"/>
              </w:rPr>
              <w:t>职工生活</w:t>
            </w:r>
          </w:p>
        </w:tc>
        <w:tc>
          <w:tcPr>
            <w:tcW w:w="1322" w:type="pct"/>
          </w:tcPr>
          <w:p w14:paraId="24CC522D" w14:textId="77777777" w:rsidR="003E78AB" w:rsidRDefault="00010BF9">
            <w:pPr>
              <w:spacing w:line="360" w:lineRule="exact"/>
              <w:ind w:firstLineChars="0" w:firstLine="0"/>
              <w:jc w:val="center"/>
              <w:textAlignment w:val="center"/>
              <w:rPr>
                <w:sz w:val="21"/>
                <w:szCs w:val="21"/>
                <w:lang w:bidi="ar"/>
              </w:rPr>
            </w:pPr>
            <w:r>
              <w:rPr>
                <w:sz w:val="21"/>
                <w:szCs w:val="21"/>
                <w:lang w:bidi="ar"/>
              </w:rPr>
              <w:t>S6-1</w:t>
            </w:r>
            <w:r>
              <w:rPr>
                <w:sz w:val="21"/>
                <w:szCs w:val="21"/>
                <w:lang w:bidi="ar"/>
              </w:rPr>
              <w:t>生活垃圾</w:t>
            </w:r>
          </w:p>
        </w:tc>
        <w:tc>
          <w:tcPr>
            <w:tcW w:w="1188" w:type="pct"/>
          </w:tcPr>
          <w:p w14:paraId="4D795AFE" w14:textId="77777777" w:rsidR="003E78AB" w:rsidRDefault="00010BF9">
            <w:pPr>
              <w:spacing w:line="360" w:lineRule="exact"/>
              <w:ind w:firstLineChars="0" w:firstLine="0"/>
              <w:jc w:val="center"/>
              <w:textAlignment w:val="center"/>
              <w:rPr>
                <w:sz w:val="21"/>
                <w:szCs w:val="21"/>
                <w:lang w:bidi="ar"/>
              </w:rPr>
            </w:pPr>
            <w:r>
              <w:rPr>
                <w:sz w:val="21"/>
                <w:szCs w:val="21"/>
                <w:lang w:bidi="ar"/>
              </w:rPr>
              <w:t>一般固体废物</w:t>
            </w:r>
            <w:r>
              <w:rPr>
                <w:sz w:val="21"/>
                <w:szCs w:val="21"/>
                <w:lang w:bidi="ar"/>
              </w:rPr>
              <w:t>SW64</w:t>
            </w:r>
          </w:p>
          <w:p w14:paraId="43A4A986" w14:textId="77777777" w:rsidR="003E78AB" w:rsidRDefault="00010BF9">
            <w:pPr>
              <w:spacing w:line="360" w:lineRule="exact"/>
              <w:ind w:firstLineChars="0" w:firstLine="0"/>
              <w:jc w:val="center"/>
              <w:textAlignment w:val="center"/>
              <w:rPr>
                <w:sz w:val="21"/>
                <w:szCs w:val="21"/>
                <w:lang w:bidi="ar"/>
              </w:rPr>
            </w:pPr>
            <w:r>
              <w:rPr>
                <w:sz w:val="21"/>
                <w:szCs w:val="21"/>
                <w:lang w:bidi="ar"/>
              </w:rPr>
              <w:t>900-099-S64</w:t>
            </w:r>
          </w:p>
        </w:tc>
        <w:tc>
          <w:tcPr>
            <w:tcW w:w="502" w:type="pct"/>
          </w:tcPr>
          <w:p w14:paraId="1F085F0F" w14:textId="77777777" w:rsidR="003E78AB" w:rsidRDefault="00010BF9">
            <w:pPr>
              <w:spacing w:line="360" w:lineRule="exact"/>
              <w:ind w:firstLineChars="0" w:firstLine="0"/>
              <w:jc w:val="center"/>
              <w:textAlignment w:val="center"/>
              <w:rPr>
                <w:sz w:val="21"/>
                <w:szCs w:val="21"/>
                <w:lang w:bidi="ar"/>
              </w:rPr>
            </w:pPr>
            <w:r>
              <w:rPr>
                <w:sz w:val="21"/>
                <w:szCs w:val="21"/>
                <w:lang w:bidi="ar"/>
              </w:rPr>
              <w:t>间断</w:t>
            </w:r>
          </w:p>
        </w:tc>
        <w:tc>
          <w:tcPr>
            <w:tcW w:w="1163" w:type="pct"/>
            <w:gridSpan w:val="2"/>
          </w:tcPr>
          <w:p w14:paraId="1F339313" w14:textId="77777777" w:rsidR="003E78AB" w:rsidRDefault="00010BF9">
            <w:pPr>
              <w:spacing w:line="360" w:lineRule="exact"/>
              <w:ind w:firstLineChars="0" w:firstLine="0"/>
              <w:jc w:val="center"/>
              <w:textAlignment w:val="center"/>
              <w:rPr>
                <w:sz w:val="21"/>
                <w:szCs w:val="21"/>
                <w:lang w:bidi="ar"/>
              </w:rPr>
            </w:pPr>
            <w:r>
              <w:rPr>
                <w:sz w:val="21"/>
                <w:szCs w:val="21"/>
                <w:lang w:bidi="ar"/>
              </w:rPr>
              <w:t>收集后由环卫部门清运处置</w:t>
            </w:r>
          </w:p>
        </w:tc>
      </w:tr>
    </w:tbl>
    <w:p w14:paraId="011E046E" w14:textId="77777777" w:rsidR="003E78AB" w:rsidRDefault="00010BF9">
      <w:pPr>
        <w:pStyle w:val="24"/>
        <w:keepNext w:val="0"/>
        <w:keepLines w:val="0"/>
        <w:topLinePunct/>
        <w:spacing w:before="120"/>
        <w:rPr>
          <w:rFonts w:cs="Times New Roman"/>
        </w:rPr>
      </w:pPr>
      <w:bookmarkStart w:id="239" w:name="_Toc10179"/>
      <w:bookmarkStart w:id="240" w:name="_Toc10175"/>
      <w:r>
        <w:rPr>
          <w:rFonts w:cs="Times New Roman"/>
        </w:rPr>
        <w:t>3.3</w:t>
      </w:r>
      <w:r>
        <w:rPr>
          <w:rFonts w:cs="Times New Roman"/>
        </w:rPr>
        <w:t>平衡分析</w:t>
      </w:r>
      <w:bookmarkEnd w:id="239"/>
      <w:bookmarkEnd w:id="240"/>
    </w:p>
    <w:p w14:paraId="779C901A" w14:textId="77777777" w:rsidR="003E78AB" w:rsidRDefault="00010BF9">
      <w:pPr>
        <w:pStyle w:val="31"/>
        <w:keepNext w:val="0"/>
        <w:keepLines w:val="0"/>
        <w:topLinePunct/>
        <w:spacing w:before="120"/>
      </w:pPr>
      <w:r>
        <w:t>3.3.1</w:t>
      </w:r>
      <w:r>
        <w:t>物料平衡</w:t>
      </w:r>
    </w:p>
    <w:p w14:paraId="4C5132BA" w14:textId="77777777" w:rsidR="003E78AB" w:rsidRDefault="00010BF9">
      <w:pPr>
        <w:ind w:firstLine="480"/>
        <w:rPr>
          <w:lang w:bidi="en-US"/>
        </w:rPr>
      </w:pPr>
      <w:r>
        <w:rPr>
          <w:rFonts w:hint="eastAsia"/>
          <w:lang w:bidi="en-US"/>
        </w:rPr>
        <w:t>本</w:t>
      </w:r>
      <w:r>
        <w:rPr>
          <w:lang w:bidi="en-US"/>
        </w:rPr>
        <w:t>项目</w:t>
      </w:r>
      <w:r>
        <w:rPr>
          <w:rFonts w:hint="eastAsia"/>
          <w:lang w:bidi="en-US"/>
        </w:rPr>
        <w:t>物料平衡</w:t>
      </w:r>
      <w:r>
        <w:rPr>
          <w:lang w:bidi="en-US"/>
        </w:rPr>
        <w:t>见</w:t>
      </w:r>
      <w:r>
        <w:rPr>
          <w:lang w:bidi="en-US"/>
        </w:rPr>
        <w:fldChar w:fldCharType="begin"/>
      </w:r>
      <w:r>
        <w:rPr>
          <w:lang w:bidi="en-US"/>
        </w:rPr>
        <w:instrText xml:space="preserve"> REF _Ref22030 \r \h </w:instrText>
      </w:r>
      <w:r>
        <w:rPr>
          <w:lang w:bidi="en-US"/>
        </w:rPr>
      </w:r>
      <w:r>
        <w:rPr>
          <w:lang w:bidi="en-US"/>
        </w:rPr>
        <w:fldChar w:fldCharType="separate"/>
      </w:r>
      <w:r>
        <w:rPr>
          <w:lang w:bidi="en-US"/>
        </w:rPr>
        <w:t>表</w:t>
      </w:r>
      <w:r>
        <w:rPr>
          <w:lang w:bidi="en-US"/>
        </w:rPr>
        <w:t>3-10</w:t>
      </w:r>
      <w:r>
        <w:rPr>
          <w:lang w:bidi="en-US"/>
        </w:rPr>
        <w:fldChar w:fldCharType="end"/>
      </w:r>
      <w:r>
        <w:rPr>
          <w:lang w:bidi="en-US"/>
        </w:rPr>
        <w:t>。</w:t>
      </w:r>
    </w:p>
    <w:p w14:paraId="6213E38F" w14:textId="77777777" w:rsidR="003E78AB" w:rsidRDefault="00010BF9">
      <w:pPr>
        <w:pStyle w:val="a1"/>
      </w:pPr>
      <w:bookmarkStart w:id="241" w:name="_Ref22030"/>
      <w:r>
        <w:rPr>
          <w:rFonts w:hint="eastAsia"/>
        </w:rPr>
        <w:t>物料平衡表</w:t>
      </w:r>
      <w:bookmarkEnd w:id="241"/>
    </w:p>
    <w:tbl>
      <w:tblPr>
        <w:tblW w:w="4998" w:type="pct"/>
        <w:tblLook w:val="04A0" w:firstRow="1" w:lastRow="0" w:firstColumn="1" w:lastColumn="0" w:noHBand="0" w:noVBand="1"/>
      </w:tblPr>
      <w:tblGrid>
        <w:gridCol w:w="1523"/>
        <w:gridCol w:w="1604"/>
        <w:gridCol w:w="970"/>
        <w:gridCol w:w="2567"/>
        <w:gridCol w:w="1769"/>
      </w:tblGrid>
      <w:tr w:rsidR="003E78AB" w14:paraId="2C5E550F" w14:textId="77777777">
        <w:trPr>
          <w:trHeight w:val="340"/>
          <w:tblHeader/>
        </w:trPr>
        <w:tc>
          <w:tcPr>
            <w:tcW w:w="18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0DC48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入方</w:t>
            </w:r>
          </w:p>
        </w:tc>
        <w:tc>
          <w:tcPr>
            <w:tcW w:w="314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3A7319"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出方</w:t>
            </w:r>
          </w:p>
        </w:tc>
      </w:tr>
      <w:tr w:rsidR="003E78AB" w14:paraId="5BA82D0E" w14:textId="77777777">
        <w:trPr>
          <w:trHeight w:val="360"/>
          <w:tblHeader/>
        </w:trPr>
        <w:tc>
          <w:tcPr>
            <w:tcW w:w="9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F1E529"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物料名称</w:t>
            </w:r>
          </w:p>
        </w:tc>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F11F07"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投料量（</w:t>
            </w:r>
            <w:r>
              <w:rPr>
                <w:rFonts w:hint="eastAsia"/>
                <w:b/>
                <w:bCs/>
                <w:sz w:val="21"/>
                <w:szCs w:val="21"/>
                <w:lang w:bidi="ar"/>
              </w:rPr>
              <w:t>kg</w:t>
            </w:r>
            <w:r>
              <w:rPr>
                <w:b/>
                <w:bCs/>
                <w:sz w:val="21"/>
                <w:szCs w:val="21"/>
                <w:lang w:bidi="ar"/>
              </w:rPr>
              <w:t>/a</w:t>
            </w:r>
            <w:r>
              <w:rPr>
                <w:rFonts w:hint="eastAsia"/>
                <w:b/>
                <w:bCs/>
                <w:sz w:val="21"/>
                <w:szCs w:val="21"/>
                <w:lang w:bidi="ar"/>
              </w:rPr>
              <w:t>）</w:t>
            </w:r>
          </w:p>
        </w:tc>
        <w:tc>
          <w:tcPr>
            <w:tcW w:w="20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400DC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物料名称</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5E95DE"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出料量（</w:t>
            </w:r>
            <w:r>
              <w:rPr>
                <w:rFonts w:hint="eastAsia"/>
                <w:b/>
                <w:bCs/>
                <w:sz w:val="21"/>
                <w:szCs w:val="21"/>
                <w:lang w:bidi="ar"/>
              </w:rPr>
              <w:t>kg</w:t>
            </w:r>
            <w:r>
              <w:rPr>
                <w:b/>
                <w:bCs/>
                <w:sz w:val="21"/>
                <w:szCs w:val="21"/>
                <w:lang w:bidi="ar"/>
              </w:rPr>
              <w:t>/a</w:t>
            </w:r>
            <w:r>
              <w:rPr>
                <w:rFonts w:hint="eastAsia"/>
                <w:b/>
                <w:bCs/>
                <w:sz w:val="21"/>
                <w:szCs w:val="21"/>
                <w:lang w:bidi="ar"/>
              </w:rPr>
              <w:t>）</w:t>
            </w:r>
          </w:p>
        </w:tc>
      </w:tr>
      <w:tr w:rsidR="003E78AB" w14:paraId="18703CBF" w14:textId="77777777">
        <w:trPr>
          <w:trHeight w:val="360"/>
          <w:tblHeader/>
        </w:trPr>
        <w:tc>
          <w:tcPr>
            <w:tcW w:w="9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54FE5" w14:textId="77777777" w:rsidR="003E78AB" w:rsidRDefault="003E78AB">
            <w:pPr>
              <w:spacing w:line="360" w:lineRule="exact"/>
              <w:ind w:firstLineChars="0" w:firstLine="0"/>
              <w:jc w:val="center"/>
              <w:textAlignment w:val="center"/>
              <w:rPr>
                <w:sz w:val="21"/>
                <w:szCs w:val="21"/>
                <w:lang w:bidi="ar"/>
              </w:rPr>
            </w:pPr>
          </w:p>
        </w:tc>
        <w:tc>
          <w:tcPr>
            <w:tcW w:w="95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66EDEA" w14:textId="77777777" w:rsidR="003E78AB" w:rsidRDefault="003E78AB">
            <w:pPr>
              <w:spacing w:line="360" w:lineRule="exact"/>
              <w:ind w:firstLineChars="0" w:firstLine="0"/>
              <w:jc w:val="center"/>
              <w:textAlignment w:val="center"/>
              <w:rPr>
                <w:sz w:val="21"/>
                <w:szCs w:val="21"/>
                <w:lang w:bidi="ar"/>
              </w:rPr>
            </w:pPr>
          </w:p>
        </w:tc>
        <w:tc>
          <w:tcPr>
            <w:tcW w:w="2097"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C20F2A" w14:textId="77777777" w:rsidR="003E78AB" w:rsidRDefault="003E78AB">
            <w:pPr>
              <w:spacing w:line="360" w:lineRule="exact"/>
              <w:ind w:firstLineChars="0" w:firstLine="0"/>
              <w:jc w:val="center"/>
              <w:textAlignment w:val="center"/>
              <w:rPr>
                <w:sz w:val="21"/>
                <w:szCs w:val="21"/>
                <w:lang w:bidi="ar"/>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CC79FA" w14:textId="77777777" w:rsidR="003E78AB" w:rsidRDefault="003E78AB">
            <w:pPr>
              <w:spacing w:line="360" w:lineRule="exact"/>
              <w:ind w:firstLineChars="0" w:firstLine="0"/>
              <w:jc w:val="center"/>
              <w:textAlignment w:val="center"/>
              <w:rPr>
                <w:sz w:val="21"/>
                <w:szCs w:val="21"/>
                <w:lang w:bidi="ar"/>
              </w:rPr>
            </w:pPr>
          </w:p>
        </w:tc>
      </w:tr>
      <w:tr w:rsidR="003E78AB" w14:paraId="0ACC5478" w14:textId="77777777">
        <w:trPr>
          <w:trHeight w:val="31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72575" w14:textId="77777777" w:rsidR="003E78AB" w:rsidRDefault="00010BF9">
            <w:pPr>
              <w:spacing w:line="360" w:lineRule="exact"/>
              <w:ind w:firstLineChars="0" w:firstLine="0"/>
              <w:jc w:val="center"/>
              <w:textAlignment w:val="center"/>
              <w:rPr>
                <w:sz w:val="21"/>
                <w:szCs w:val="21"/>
                <w:lang w:bidi="ar"/>
              </w:rPr>
            </w:pPr>
            <w:r>
              <w:rPr>
                <w:sz w:val="21"/>
                <w:szCs w:val="21"/>
                <w:lang w:bidi="ar"/>
              </w:rPr>
              <w:t>五氧化二钒</w:t>
            </w:r>
          </w:p>
        </w:tc>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4CA93" w14:textId="77777777" w:rsidR="003E78AB" w:rsidRDefault="00010BF9">
            <w:pPr>
              <w:spacing w:line="360" w:lineRule="exact"/>
              <w:ind w:firstLineChars="0" w:firstLine="0"/>
              <w:jc w:val="center"/>
              <w:textAlignment w:val="center"/>
              <w:rPr>
                <w:sz w:val="21"/>
                <w:szCs w:val="21"/>
                <w:lang w:bidi="ar"/>
              </w:rPr>
            </w:pPr>
            <w:r>
              <w:rPr>
                <w:sz w:val="21"/>
                <w:szCs w:val="21"/>
                <w:lang w:bidi="ar"/>
              </w:rPr>
              <w:t>8643080.1600</w:t>
            </w:r>
          </w:p>
        </w:tc>
        <w:tc>
          <w:tcPr>
            <w:tcW w:w="20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9C57C5" w14:textId="77777777" w:rsidR="003E78AB" w:rsidRDefault="00010BF9">
            <w:pPr>
              <w:spacing w:line="360" w:lineRule="exact"/>
              <w:ind w:firstLineChars="0" w:firstLine="0"/>
              <w:jc w:val="center"/>
              <w:textAlignment w:val="center"/>
              <w:rPr>
                <w:sz w:val="21"/>
                <w:szCs w:val="21"/>
                <w:lang w:bidi="ar"/>
              </w:rPr>
            </w:pPr>
            <w:r>
              <w:rPr>
                <w:sz w:val="21"/>
                <w:szCs w:val="21"/>
                <w:lang w:bidi="ar"/>
              </w:rPr>
              <w:t>产品</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00FD7" w14:textId="77777777" w:rsidR="003E78AB" w:rsidRDefault="00010BF9">
            <w:pPr>
              <w:spacing w:line="360" w:lineRule="exact"/>
              <w:ind w:firstLineChars="0" w:firstLine="0"/>
              <w:jc w:val="center"/>
              <w:textAlignment w:val="center"/>
              <w:rPr>
                <w:sz w:val="21"/>
                <w:szCs w:val="21"/>
                <w:lang w:bidi="ar"/>
              </w:rPr>
            </w:pPr>
            <w:r>
              <w:rPr>
                <w:sz w:val="21"/>
                <w:szCs w:val="21"/>
                <w:lang w:bidi="ar"/>
              </w:rPr>
              <w:t>69654595.3752</w:t>
            </w:r>
          </w:p>
        </w:tc>
      </w:tr>
      <w:tr w:rsidR="003E78AB" w14:paraId="3E18FFF2" w14:textId="77777777">
        <w:trPr>
          <w:trHeight w:val="54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13D4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二水草酸</w:t>
            </w:r>
          </w:p>
        </w:tc>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7F9A0" w14:textId="77777777" w:rsidR="003E78AB" w:rsidRDefault="00010BF9">
            <w:pPr>
              <w:spacing w:line="360" w:lineRule="exact"/>
              <w:ind w:firstLineChars="0" w:firstLine="0"/>
              <w:jc w:val="center"/>
              <w:textAlignment w:val="center"/>
              <w:rPr>
                <w:sz w:val="21"/>
                <w:szCs w:val="21"/>
                <w:lang w:bidi="ar"/>
              </w:rPr>
            </w:pPr>
            <w:r>
              <w:rPr>
                <w:sz w:val="21"/>
                <w:szCs w:val="21"/>
                <w:lang w:bidi="ar"/>
              </w:rPr>
              <w:t>6588362.8800</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A03122" w14:textId="77777777" w:rsidR="003E78AB" w:rsidRDefault="00010BF9">
            <w:pPr>
              <w:spacing w:line="360" w:lineRule="exact"/>
              <w:ind w:firstLineChars="0" w:firstLine="0"/>
              <w:jc w:val="center"/>
              <w:textAlignment w:val="center"/>
              <w:rPr>
                <w:sz w:val="21"/>
                <w:szCs w:val="21"/>
                <w:lang w:bidi="ar"/>
              </w:rPr>
            </w:pPr>
            <w:r>
              <w:rPr>
                <w:sz w:val="21"/>
                <w:szCs w:val="21"/>
                <w:lang w:bidi="ar"/>
              </w:rPr>
              <w:t>废气</w:t>
            </w: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9E687" w14:textId="77777777" w:rsidR="003E78AB" w:rsidRDefault="00010BF9">
            <w:pPr>
              <w:spacing w:line="360" w:lineRule="exact"/>
              <w:ind w:firstLineChars="0" w:firstLine="0"/>
              <w:jc w:val="center"/>
              <w:textAlignment w:val="center"/>
              <w:rPr>
                <w:sz w:val="21"/>
                <w:szCs w:val="21"/>
                <w:lang w:bidi="ar"/>
              </w:rPr>
            </w:pPr>
            <w:r>
              <w:rPr>
                <w:sz w:val="21"/>
                <w:szCs w:val="21"/>
                <w:lang w:bidi="ar"/>
              </w:rPr>
              <w:t>含钒粉尘有组织</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DA893" w14:textId="77777777" w:rsidR="003E78AB" w:rsidRDefault="00010BF9">
            <w:pPr>
              <w:spacing w:line="360" w:lineRule="exact"/>
              <w:ind w:firstLineChars="0" w:firstLine="0"/>
              <w:jc w:val="center"/>
              <w:textAlignment w:val="center"/>
              <w:rPr>
                <w:sz w:val="21"/>
                <w:szCs w:val="21"/>
                <w:lang w:bidi="ar"/>
              </w:rPr>
            </w:pPr>
            <w:r>
              <w:rPr>
                <w:sz w:val="21"/>
                <w:szCs w:val="21"/>
                <w:lang w:bidi="ar"/>
              </w:rPr>
              <w:t>137.9436</w:t>
            </w:r>
          </w:p>
        </w:tc>
      </w:tr>
      <w:tr w:rsidR="003E78AB" w14:paraId="3C899E1A" w14:textId="77777777">
        <w:trPr>
          <w:trHeight w:val="54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FBA02" w14:textId="77777777" w:rsidR="003E78AB" w:rsidRDefault="00010BF9">
            <w:pPr>
              <w:spacing w:line="360" w:lineRule="exact"/>
              <w:ind w:firstLineChars="0" w:firstLine="0"/>
              <w:jc w:val="center"/>
              <w:textAlignment w:val="center"/>
              <w:rPr>
                <w:sz w:val="21"/>
                <w:szCs w:val="21"/>
                <w:lang w:bidi="ar"/>
              </w:rPr>
            </w:pPr>
            <w:r>
              <w:rPr>
                <w:sz w:val="21"/>
                <w:szCs w:val="21"/>
                <w:lang w:bidi="ar"/>
              </w:rPr>
              <w:t>纯水</w:t>
            </w:r>
          </w:p>
        </w:tc>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FC96D" w14:textId="77777777" w:rsidR="003E78AB" w:rsidRDefault="00010BF9">
            <w:pPr>
              <w:spacing w:line="360" w:lineRule="exact"/>
              <w:ind w:firstLineChars="0" w:firstLine="0"/>
              <w:jc w:val="center"/>
              <w:textAlignment w:val="center"/>
              <w:rPr>
                <w:sz w:val="21"/>
                <w:szCs w:val="21"/>
                <w:lang w:bidi="ar"/>
              </w:rPr>
            </w:pPr>
            <w:r>
              <w:rPr>
                <w:sz w:val="21"/>
                <w:szCs w:val="21"/>
                <w:lang w:bidi="ar"/>
              </w:rPr>
              <w:t>32570486.3718</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4F2741" w14:textId="77777777" w:rsidR="003E78AB" w:rsidRDefault="003E78AB">
            <w:pPr>
              <w:spacing w:line="360" w:lineRule="exact"/>
              <w:ind w:firstLineChars="0" w:firstLine="0"/>
              <w:jc w:val="center"/>
              <w:textAlignment w:val="center"/>
              <w:rPr>
                <w:sz w:val="21"/>
                <w:szCs w:val="21"/>
                <w:lang w:bidi="ar"/>
              </w:rPr>
            </w:pP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1951F" w14:textId="77777777" w:rsidR="003E78AB" w:rsidRDefault="00010BF9">
            <w:pPr>
              <w:spacing w:line="360" w:lineRule="exact"/>
              <w:ind w:firstLineChars="0" w:firstLine="0"/>
              <w:jc w:val="center"/>
              <w:textAlignment w:val="center"/>
              <w:rPr>
                <w:sz w:val="21"/>
                <w:szCs w:val="21"/>
                <w:lang w:bidi="ar"/>
              </w:rPr>
            </w:pPr>
            <w:r>
              <w:rPr>
                <w:sz w:val="21"/>
                <w:szCs w:val="21"/>
                <w:lang w:bidi="ar"/>
              </w:rPr>
              <w:t>草酸粉尘有组织</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9C0F" w14:textId="77777777" w:rsidR="003E78AB" w:rsidRDefault="00010BF9">
            <w:pPr>
              <w:spacing w:line="360" w:lineRule="exact"/>
              <w:ind w:firstLineChars="0" w:firstLine="0"/>
              <w:jc w:val="center"/>
              <w:textAlignment w:val="center"/>
              <w:rPr>
                <w:sz w:val="21"/>
                <w:szCs w:val="21"/>
                <w:lang w:bidi="ar"/>
              </w:rPr>
            </w:pPr>
            <w:r>
              <w:rPr>
                <w:sz w:val="21"/>
                <w:szCs w:val="21"/>
                <w:lang w:bidi="ar"/>
              </w:rPr>
              <w:t>70.1002</w:t>
            </w:r>
          </w:p>
        </w:tc>
      </w:tr>
      <w:tr w:rsidR="003E78AB" w14:paraId="77EA2573" w14:textId="77777777">
        <w:trPr>
          <w:trHeight w:val="54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31D32" w14:textId="77777777" w:rsidR="003E78AB" w:rsidRDefault="00010BF9">
            <w:pPr>
              <w:spacing w:line="360" w:lineRule="exact"/>
              <w:ind w:firstLineChars="0" w:firstLine="0"/>
              <w:jc w:val="center"/>
              <w:textAlignment w:val="center"/>
              <w:rPr>
                <w:sz w:val="21"/>
                <w:szCs w:val="21"/>
                <w:lang w:bidi="ar"/>
              </w:rPr>
            </w:pPr>
            <w:r>
              <w:rPr>
                <w:sz w:val="21"/>
                <w:szCs w:val="21"/>
                <w:lang w:bidi="ar"/>
              </w:rPr>
              <w:t>浓硫酸</w:t>
            </w:r>
          </w:p>
        </w:tc>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3C128" w14:textId="77777777" w:rsidR="003E78AB" w:rsidRDefault="00010BF9">
            <w:pPr>
              <w:spacing w:line="360" w:lineRule="exact"/>
              <w:ind w:firstLineChars="0" w:firstLine="0"/>
              <w:jc w:val="center"/>
              <w:textAlignment w:val="center"/>
              <w:rPr>
                <w:sz w:val="21"/>
                <w:szCs w:val="21"/>
                <w:lang w:bidi="ar"/>
              </w:rPr>
            </w:pPr>
            <w:r>
              <w:rPr>
                <w:sz w:val="21"/>
                <w:szCs w:val="21"/>
                <w:lang w:bidi="ar"/>
              </w:rPr>
              <w:t>23780697.6000</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60BFF" w14:textId="77777777" w:rsidR="003E78AB" w:rsidRDefault="003E78AB">
            <w:pPr>
              <w:spacing w:line="360" w:lineRule="exact"/>
              <w:ind w:firstLineChars="0" w:firstLine="0"/>
              <w:jc w:val="center"/>
              <w:textAlignment w:val="center"/>
              <w:rPr>
                <w:sz w:val="21"/>
                <w:szCs w:val="21"/>
                <w:lang w:bidi="ar"/>
              </w:rPr>
            </w:pP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72834" w14:textId="77777777" w:rsidR="003E78AB" w:rsidRDefault="00010BF9">
            <w:pPr>
              <w:spacing w:line="360" w:lineRule="exact"/>
              <w:ind w:firstLineChars="0" w:firstLine="0"/>
              <w:jc w:val="center"/>
              <w:textAlignment w:val="center"/>
              <w:rPr>
                <w:sz w:val="21"/>
                <w:szCs w:val="21"/>
                <w:lang w:bidi="ar"/>
              </w:rPr>
            </w:pPr>
            <w:r>
              <w:rPr>
                <w:sz w:val="21"/>
                <w:szCs w:val="21"/>
                <w:lang w:bidi="ar"/>
              </w:rPr>
              <w:t>无组织粉尘排放量</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E2265" w14:textId="77777777" w:rsidR="003E78AB" w:rsidRDefault="00010BF9">
            <w:pPr>
              <w:spacing w:line="360" w:lineRule="exact"/>
              <w:ind w:firstLineChars="0" w:firstLine="0"/>
              <w:jc w:val="center"/>
              <w:textAlignment w:val="center"/>
              <w:rPr>
                <w:sz w:val="21"/>
                <w:szCs w:val="21"/>
                <w:lang w:bidi="ar"/>
              </w:rPr>
            </w:pPr>
            <w:r>
              <w:rPr>
                <w:sz w:val="21"/>
                <w:szCs w:val="21"/>
                <w:lang w:bidi="ar"/>
              </w:rPr>
              <w:t>217.8056</w:t>
            </w:r>
          </w:p>
        </w:tc>
      </w:tr>
      <w:tr w:rsidR="003E78AB" w14:paraId="3C8194EF" w14:textId="77777777">
        <w:trPr>
          <w:trHeight w:val="54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BA5C9"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w:t>
            </w:r>
          </w:p>
        </w:tc>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3F759" w14:textId="77777777" w:rsidR="003E78AB" w:rsidRDefault="00010BF9">
            <w:pPr>
              <w:spacing w:line="360" w:lineRule="exact"/>
              <w:ind w:firstLineChars="0" w:firstLine="0"/>
              <w:jc w:val="center"/>
              <w:textAlignment w:val="center"/>
              <w:rPr>
                <w:sz w:val="21"/>
                <w:szCs w:val="21"/>
                <w:lang w:bidi="ar"/>
              </w:rPr>
            </w:pPr>
            <w:r>
              <w:rPr>
                <w:sz w:val="21"/>
                <w:szCs w:val="21"/>
                <w:lang w:bidi="ar"/>
              </w:rPr>
              <w:t>576470.5882</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34D765" w14:textId="77777777" w:rsidR="003E78AB" w:rsidRDefault="003E78AB">
            <w:pPr>
              <w:spacing w:line="360" w:lineRule="exact"/>
              <w:ind w:firstLineChars="0" w:firstLine="0"/>
              <w:jc w:val="center"/>
              <w:textAlignment w:val="center"/>
              <w:rPr>
                <w:sz w:val="21"/>
                <w:szCs w:val="21"/>
                <w:lang w:bidi="ar"/>
              </w:rPr>
            </w:pP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7EACD" w14:textId="77777777" w:rsidR="003E78AB" w:rsidRDefault="00010BF9">
            <w:pPr>
              <w:spacing w:line="360" w:lineRule="exact"/>
              <w:ind w:firstLineChars="0" w:firstLine="0"/>
              <w:jc w:val="center"/>
              <w:textAlignment w:val="center"/>
              <w:rPr>
                <w:sz w:val="21"/>
                <w:szCs w:val="21"/>
                <w:lang w:bidi="ar"/>
              </w:rPr>
            </w:pPr>
            <w:r>
              <w:rPr>
                <w:sz w:val="21"/>
                <w:szCs w:val="21"/>
                <w:lang w:bidi="ar"/>
              </w:rPr>
              <w:t>酸性废气有组织产生量</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77B4B" w14:textId="77777777" w:rsidR="003E78AB" w:rsidRDefault="00010BF9">
            <w:pPr>
              <w:spacing w:line="360" w:lineRule="exact"/>
              <w:ind w:firstLineChars="0" w:firstLine="0"/>
              <w:jc w:val="center"/>
              <w:textAlignment w:val="center"/>
              <w:rPr>
                <w:sz w:val="21"/>
                <w:szCs w:val="21"/>
                <w:lang w:bidi="ar"/>
              </w:rPr>
            </w:pPr>
            <w:r>
              <w:rPr>
                <w:sz w:val="21"/>
                <w:szCs w:val="21"/>
                <w:lang w:bidi="ar"/>
              </w:rPr>
              <w:t>33971.4899</w:t>
            </w:r>
          </w:p>
        </w:tc>
      </w:tr>
      <w:tr w:rsidR="003E78AB" w14:paraId="61E10CBF" w14:textId="77777777">
        <w:trPr>
          <w:trHeight w:val="540"/>
        </w:trPr>
        <w:tc>
          <w:tcPr>
            <w:tcW w:w="1854" w:type="pct"/>
            <w:gridSpan w:val="2"/>
            <w:vMerge w:val="restart"/>
            <w:tcBorders>
              <w:top w:val="single" w:sz="4" w:space="0" w:color="000000"/>
              <w:left w:val="single" w:sz="4" w:space="0" w:color="000000"/>
              <w:right w:val="single" w:sz="4" w:space="0" w:color="000000"/>
            </w:tcBorders>
            <w:shd w:val="clear" w:color="auto" w:fill="auto"/>
            <w:vAlign w:val="center"/>
          </w:tcPr>
          <w:p w14:paraId="523B608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1F9DF" w14:textId="77777777" w:rsidR="003E78AB" w:rsidRDefault="003E78AB">
            <w:pPr>
              <w:spacing w:line="360" w:lineRule="exact"/>
              <w:ind w:firstLineChars="0" w:firstLine="0"/>
              <w:jc w:val="center"/>
              <w:textAlignment w:val="center"/>
              <w:rPr>
                <w:sz w:val="21"/>
                <w:szCs w:val="21"/>
                <w:lang w:bidi="ar"/>
              </w:rPr>
            </w:pP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BC504" w14:textId="77777777" w:rsidR="003E78AB" w:rsidRDefault="00010BF9">
            <w:pPr>
              <w:spacing w:line="360" w:lineRule="exact"/>
              <w:ind w:firstLineChars="0" w:firstLine="0"/>
              <w:jc w:val="center"/>
              <w:textAlignment w:val="center"/>
              <w:rPr>
                <w:sz w:val="21"/>
                <w:szCs w:val="21"/>
                <w:lang w:bidi="ar"/>
              </w:rPr>
            </w:pPr>
            <w:r>
              <w:rPr>
                <w:sz w:val="21"/>
                <w:szCs w:val="21"/>
                <w:lang w:bidi="ar"/>
              </w:rPr>
              <w:t>酸性废气无组织产生量</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1FE9A"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r>
              <w:rPr>
                <w:rFonts w:hint="eastAsia"/>
                <w:sz w:val="21"/>
                <w:szCs w:val="21"/>
                <w:lang w:bidi="ar"/>
              </w:rPr>
              <w:t>.</w:t>
            </w:r>
            <w:r>
              <w:rPr>
                <w:sz w:val="21"/>
                <w:szCs w:val="21"/>
                <w:lang w:bidi="ar"/>
              </w:rPr>
              <w:t>6623</w:t>
            </w:r>
          </w:p>
        </w:tc>
      </w:tr>
      <w:tr w:rsidR="003E78AB" w14:paraId="406057D5" w14:textId="77777777">
        <w:trPr>
          <w:trHeight w:val="310"/>
        </w:trPr>
        <w:tc>
          <w:tcPr>
            <w:tcW w:w="1854" w:type="pct"/>
            <w:gridSpan w:val="2"/>
            <w:vMerge/>
            <w:tcBorders>
              <w:left w:val="single" w:sz="4" w:space="0" w:color="000000"/>
              <w:right w:val="single" w:sz="4" w:space="0" w:color="000000"/>
            </w:tcBorders>
            <w:shd w:val="clear" w:color="auto" w:fill="auto"/>
            <w:vAlign w:val="center"/>
          </w:tcPr>
          <w:p w14:paraId="11B2DB13" w14:textId="77777777" w:rsidR="003E78AB" w:rsidRDefault="003E78AB">
            <w:pPr>
              <w:spacing w:line="360" w:lineRule="exact"/>
              <w:ind w:firstLineChars="0" w:firstLine="0"/>
              <w:jc w:val="center"/>
              <w:textAlignment w:val="center"/>
              <w:rPr>
                <w:sz w:val="21"/>
                <w:szCs w:val="21"/>
                <w:lang w:bidi="ar"/>
              </w:rPr>
            </w:pP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B19A8" w14:textId="77777777" w:rsidR="003E78AB" w:rsidRDefault="003E78AB">
            <w:pPr>
              <w:spacing w:line="360" w:lineRule="exact"/>
              <w:ind w:firstLineChars="0" w:firstLine="0"/>
              <w:jc w:val="center"/>
              <w:textAlignment w:val="center"/>
              <w:rPr>
                <w:sz w:val="21"/>
                <w:szCs w:val="21"/>
                <w:lang w:bidi="ar"/>
              </w:rPr>
            </w:pP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40CE3" w14:textId="77777777" w:rsidR="003E78AB" w:rsidRDefault="00010BF9">
            <w:pPr>
              <w:spacing w:line="360" w:lineRule="exact"/>
              <w:ind w:firstLineChars="0" w:firstLine="0"/>
              <w:jc w:val="center"/>
              <w:textAlignment w:val="center"/>
              <w:rPr>
                <w:sz w:val="21"/>
                <w:szCs w:val="21"/>
                <w:lang w:bidi="ar"/>
              </w:rPr>
            </w:pPr>
            <w:r>
              <w:rPr>
                <w:sz w:val="21"/>
                <w:szCs w:val="21"/>
                <w:lang w:bidi="ar"/>
              </w:rPr>
              <w:t>CO</w:t>
            </w:r>
            <w:r>
              <w:rPr>
                <w:sz w:val="21"/>
                <w:szCs w:val="21"/>
                <w:vertAlign w:val="subscript"/>
                <w:lang w:bidi="ar"/>
              </w:rPr>
              <w:t>2</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F258C" w14:textId="77777777" w:rsidR="003E78AB" w:rsidRDefault="00010BF9">
            <w:pPr>
              <w:spacing w:line="360" w:lineRule="exact"/>
              <w:ind w:firstLineChars="0" w:firstLine="0"/>
              <w:jc w:val="center"/>
              <w:textAlignment w:val="center"/>
              <w:rPr>
                <w:sz w:val="21"/>
                <w:szCs w:val="21"/>
                <w:lang w:bidi="ar"/>
              </w:rPr>
            </w:pPr>
            <w:r>
              <w:rPr>
                <w:sz w:val="21"/>
                <w:szCs w:val="21"/>
                <w:lang w:bidi="ar"/>
              </w:rPr>
              <w:t>2089502.5139</w:t>
            </w:r>
          </w:p>
        </w:tc>
      </w:tr>
      <w:tr w:rsidR="003E78AB" w14:paraId="6D012F13" w14:textId="77777777">
        <w:trPr>
          <w:trHeight w:val="310"/>
        </w:trPr>
        <w:tc>
          <w:tcPr>
            <w:tcW w:w="1854" w:type="pct"/>
            <w:gridSpan w:val="2"/>
            <w:vMerge/>
            <w:tcBorders>
              <w:left w:val="single" w:sz="4" w:space="0" w:color="000000"/>
              <w:right w:val="single" w:sz="4" w:space="0" w:color="000000"/>
            </w:tcBorders>
            <w:shd w:val="clear" w:color="auto" w:fill="auto"/>
            <w:vAlign w:val="center"/>
          </w:tcPr>
          <w:p w14:paraId="4B165667" w14:textId="77777777" w:rsidR="003E78AB" w:rsidRDefault="003E78AB">
            <w:pPr>
              <w:spacing w:line="360" w:lineRule="exact"/>
              <w:ind w:firstLineChars="0" w:firstLine="0"/>
              <w:jc w:val="center"/>
              <w:textAlignment w:val="center"/>
              <w:rPr>
                <w:sz w:val="21"/>
                <w:szCs w:val="21"/>
                <w:lang w:bidi="ar"/>
              </w:rPr>
            </w:pP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FD86F5" w14:textId="77777777" w:rsidR="003E78AB" w:rsidRDefault="003E78AB">
            <w:pPr>
              <w:spacing w:line="360" w:lineRule="exact"/>
              <w:ind w:firstLineChars="0" w:firstLine="0"/>
              <w:jc w:val="center"/>
              <w:textAlignment w:val="center"/>
              <w:rPr>
                <w:sz w:val="21"/>
                <w:szCs w:val="21"/>
                <w:lang w:bidi="ar"/>
              </w:rPr>
            </w:pP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F412A" w14:textId="77777777" w:rsidR="003E78AB" w:rsidRDefault="00010BF9">
            <w:pPr>
              <w:spacing w:line="360" w:lineRule="exact"/>
              <w:ind w:firstLineChars="0" w:firstLine="0"/>
              <w:jc w:val="center"/>
              <w:textAlignment w:val="center"/>
              <w:rPr>
                <w:sz w:val="21"/>
                <w:szCs w:val="21"/>
                <w:lang w:bidi="ar"/>
              </w:rPr>
            </w:pPr>
            <w:r>
              <w:rPr>
                <w:sz w:val="21"/>
                <w:szCs w:val="21"/>
                <w:lang w:bidi="ar"/>
              </w:rPr>
              <w:t>O</w:t>
            </w:r>
            <w:r>
              <w:rPr>
                <w:sz w:val="21"/>
                <w:szCs w:val="21"/>
                <w:vertAlign w:val="subscript"/>
                <w:lang w:bidi="ar"/>
              </w:rPr>
              <w:t>2</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3D223" w14:textId="77777777" w:rsidR="003E78AB" w:rsidRDefault="00010BF9">
            <w:pPr>
              <w:spacing w:line="360" w:lineRule="exact"/>
              <w:ind w:firstLineChars="0" w:firstLine="0"/>
              <w:jc w:val="center"/>
              <w:textAlignment w:val="center"/>
              <w:rPr>
                <w:sz w:val="21"/>
                <w:szCs w:val="21"/>
                <w:lang w:bidi="ar"/>
              </w:rPr>
            </w:pPr>
            <w:r>
              <w:rPr>
                <w:sz w:val="21"/>
                <w:szCs w:val="21"/>
                <w:lang w:bidi="ar"/>
              </w:rPr>
              <w:t>380149.4708</w:t>
            </w:r>
          </w:p>
        </w:tc>
      </w:tr>
      <w:tr w:rsidR="003E78AB" w14:paraId="0F673DF2" w14:textId="77777777">
        <w:trPr>
          <w:trHeight w:val="90"/>
        </w:trPr>
        <w:tc>
          <w:tcPr>
            <w:tcW w:w="1854" w:type="pct"/>
            <w:gridSpan w:val="2"/>
            <w:vMerge/>
            <w:tcBorders>
              <w:left w:val="single" w:sz="4" w:space="0" w:color="000000"/>
              <w:bottom w:val="single" w:sz="4" w:space="0" w:color="000000"/>
              <w:right w:val="single" w:sz="4" w:space="0" w:color="000000"/>
            </w:tcBorders>
            <w:shd w:val="clear" w:color="auto" w:fill="auto"/>
            <w:vAlign w:val="center"/>
          </w:tcPr>
          <w:p w14:paraId="6177EC1A" w14:textId="77777777" w:rsidR="003E78AB" w:rsidRDefault="003E78AB">
            <w:pPr>
              <w:spacing w:line="360" w:lineRule="exact"/>
              <w:ind w:firstLineChars="0" w:firstLine="0"/>
              <w:jc w:val="center"/>
              <w:textAlignment w:val="center"/>
              <w:rPr>
                <w:sz w:val="21"/>
                <w:szCs w:val="21"/>
                <w:lang w:bidi="ar"/>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9998E" w14:textId="77777777" w:rsidR="003E78AB" w:rsidRDefault="00010BF9">
            <w:pPr>
              <w:spacing w:line="360" w:lineRule="exact"/>
              <w:ind w:firstLineChars="0" w:firstLine="0"/>
              <w:jc w:val="center"/>
              <w:textAlignment w:val="center"/>
              <w:rPr>
                <w:sz w:val="21"/>
                <w:szCs w:val="21"/>
                <w:lang w:bidi="ar"/>
              </w:rPr>
            </w:pPr>
            <w:r>
              <w:rPr>
                <w:sz w:val="21"/>
                <w:szCs w:val="21"/>
                <w:lang w:bidi="ar"/>
              </w:rPr>
              <w:t>固体废物</w:t>
            </w:r>
          </w:p>
        </w:tc>
        <w:tc>
          <w:tcPr>
            <w:tcW w:w="1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4BCF2" w14:textId="77777777" w:rsidR="003E78AB" w:rsidRDefault="00010BF9">
            <w:pPr>
              <w:spacing w:line="360" w:lineRule="exact"/>
              <w:ind w:firstLineChars="0" w:firstLine="0"/>
              <w:jc w:val="center"/>
              <w:textAlignment w:val="center"/>
              <w:rPr>
                <w:sz w:val="21"/>
                <w:szCs w:val="21"/>
                <w:lang w:bidi="ar"/>
              </w:rPr>
            </w:pPr>
            <w:r>
              <w:rPr>
                <w:sz w:val="21"/>
                <w:szCs w:val="21"/>
                <w:lang w:bidi="ar"/>
              </w:rPr>
              <w:t>沉降灰</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15A05" w14:textId="77777777" w:rsidR="003E78AB" w:rsidRDefault="00010BF9">
            <w:pPr>
              <w:spacing w:line="360" w:lineRule="exact"/>
              <w:ind w:firstLineChars="0" w:firstLine="0"/>
              <w:jc w:val="center"/>
              <w:textAlignment w:val="center"/>
              <w:rPr>
                <w:sz w:val="21"/>
                <w:szCs w:val="21"/>
                <w:lang w:bidi="ar"/>
              </w:rPr>
            </w:pPr>
            <w:r>
              <w:rPr>
                <w:sz w:val="21"/>
                <w:szCs w:val="21"/>
                <w:lang w:bidi="ar"/>
              </w:rPr>
              <w:t>383.2385</w:t>
            </w:r>
          </w:p>
        </w:tc>
      </w:tr>
      <w:tr w:rsidR="003E78AB" w14:paraId="4EA28BA8" w14:textId="77777777">
        <w:trPr>
          <w:trHeight w:val="31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0356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合计</w:t>
            </w:r>
          </w:p>
        </w:tc>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C49C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72159097.6000</w:t>
            </w:r>
          </w:p>
        </w:tc>
        <w:tc>
          <w:tcPr>
            <w:tcW w:w="20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7A0C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合计</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B65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72159097.6000</w:t>
            </w:r>
          </w:p>
        </w:tc>
      </w:tr>
      <w:tr w:rsidR="003E78AB" w14:paraId="118D9D43" w14:textId="77777777">
        <w:trPr>
          <w:trHeight w:val="31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D48F63" w14:textId="77777777" w:rsidR="003E78AB" w:rsidRDefault="00010BF9">
            <w:pPr>
              <w:spacing w:line="360" w:lineRule="exact"/>
              <w:ind w:firstLineChars="0" w:firstLine="0"/>
              <w:textAlignment w:val="center"/>
              <w:rPr>
                <w:sz w:val="21"/>
                <w:szCs w:val="21"/>
                <w:lang w:bidi="ar"/>
              </w:rPr>
            </w:pPr>
            <w:r>
              <w:rPr>
                <w:rFonts w:hint="eastAsia"/>
                <w:sz w:val="21"/>
                <w:szCs w:val="21"/>
                <w:lang w:bidi="ar"/>
              </w:rPr>
              <w:t>注：</w:t>
            </w:r>
            <w:r>
              <w:rPr>
                <w:rFonts w:hint="eastAsia"/>
                <w:sz w:val="21"/>
                <w:szCs w:val="21"/>
                <w:lang w:bidi="ar"/>
              </w:rPr>
              <w:t>3.5</w:t>
            </w:r>
            <w:r>
              <w:rPr>
                <w:rFonts w:hint="eastAsia"/>
                <w:sz w:val="21"/>
                <w:szCs w:val="21"/>
                <w:lang w:bidi="ar"/>
              </w:rPr>
              <w:t>价钒电解液密度为</w:t>
            </w:r>
            <w:r>
              <w:rPr>
                <w:rFonts w:hint="eastAsia"/>
                <w:sz w:val="21"/>
                <w:szCs w:val="21"/>
                <w:lang w:bidi="ar"/>
              </w:rPr>
              <w:t>1.4kg/m</w:t>
            </w:r>
            <w:r>
              <w:rPr>
                <w:rFonts w:hint="eastAsia"/>
                <w:sz w:val="21"/>
                <w:szCs w:val="21"/>
                <w:vertAlign w:val="superscript"/>
                <w:lang w:bidi="ar"/>
              </w:rPr>
              <w:t>3</w:t>
            </w:r>
          </w:p>
        </w:tc>
      </w:tr>
    </w:tbl>
    <w:p w14:paraId="00D6D415" w14:textId="77777777" w:rsidR="003E78AB" w:rsidRDefault="00010BF9">
      <w:pPr>
        <w:ind w:firstLine="480"/>
        <w:rPr>
          <w:lang w:bidi="en-US"/>
        </w:rPr>
        <w:sectPr w:rsidR="003E78AB">
          <w:pgSz w:w="11906" w:h="16838"/>
          <w:pgMar w:top="1440" w:right="1701" w:bottom="1440" w:left="1985" w:header="851" w:footer="992" w:gutter="0"/>
          <w:cols w:space="720"/>
          <w:docGrid w:linePitch="312"/>
        </w:sectPr>
      </w:pPr>
      <w:r>
        <w:rPr>
          <w:rFonts w:hint="eastAsia"/>
          <w:lang w:bidi="en-US"/>
        </w:rPr>
        <w:t>物料平衡图见下图。</w:t>
      </w:r>
    </w:p>
    <w:p w14:paraId="4C92DAB5" w14:textId="77777777" w:rsidR="003E78AB" w:rsidRDefault="00010BF9">
      <w:pPr>
        <w:spacing w:line="240" w:lineRule="atLeast"/>
        <w:ind w:firstLineChars="0" w:firstLine="0"/>
      </w:pPr>
      <w:r>
        <w:object w:dxaOrig="13953" w:dyaOrig="7769" w14:anchorId="2AE00D05">
          <v:shape id="_x0000_i1027" type="#_x0000_t75" style="width:697.65pt;height:388.45pt" o:ole="">
            <v:imagedata r:id="rId25" o:title=""/>
            <o:lock v:ext="edit" aspectratio="f"/>
          </v:shape>
          <o:OLEObject Type="Embed" ProgID="Visio.Drawing.15" ShapeID="_x0000_i1027" DrawAspect="Content" ObjectID="_1814684976" r:id="rId26"/>
        </w:object>
      </w:r>
    </w:p>
    <w:p w14:paraId="37E004C5" w14:textId="77777777" w:rsidR="003E78AB" w:rsidRDefault="00010BF9">
      <w:pPr>
        <w:pStyle w:val="aff3"/>
        <w:topLinePunct/>
        <w:rPr>
          <w:rStyle w:val="Char"/>
          <w:b/>
          <w:bCs/>
          <w:sz w:val="24"/>
          <w:szCs w:val="24"/>
        </w:rPr>
        <w:sectPr w:rsidR="003E78AB">
          <w:pgSz w:w="16838" w:h="11906" w:orient="landscape"/>
          <w:pgMar w:top="1587" w:right="1440" w:bottom="1587" w:left="1440" w:header="851" w:footer="992" w:gutter="0"/>
          <w:cols w:space="720"/>
          <w:docGrid w:linePitch="312"/>
        </w:sectPr>
      </w:pPr>
      <w:r>
        <w:rPr>
          <w:rStyle w:val="Char"/>
          <w:rFonts w:hint="eastAsia"/>
          <w:bCs/>
          <w:sz w:val="24"/>
          <w:szCs w:val="24"/>
        </w:rPr>
        <w:t>图</w:t>
      </w:r>
      <w:r>
        <w:rPr>
          <w:rStyle w:val="Char"/>
          <w:rFonts w:hint="eastAsia"/>
          <w:bCs/>
          <w:sz w:val="24"/>
          <w:szCs w:val="24"/>
        </w:rPr>
        <w:t xml:space="preserve">3-3  </w:t>
      </w:r>
      <w:r>
        <w:rPr>
          <w:rStyle w:val="Char"/>
          <w:rFonts w:hint="eastAsia"/>
          <w:bCs/>
          <w:sz w:val="24"/>
          <w:szCs w:val="24"/>
        </w:rPr>
        <w:t>物料平衡图</w:t>
      </w:r>
    </w:p>
    <w:p w14:paraId="2823B895" w14:textId="77777777" w:rsidR="003E78AB" w:rsidRDefault="00010BF9">
      <w:pPr>
        <w:pStyle w:val="31"/>
        <w:keepNext w:val="0"/>
        <w:keepLines w:val="0"/>
        <w:topLinePunct/>
        <w:spacing w:before="120"/>
      </w:pPr>
      <w:r>
        <w:t>3.3.</w:t>
      </w:r>
      <w:r>
        <w:rPr>
          <w:rFonts w:hint="eastAsia"/>
        </w:rPr>
        <w:t>2</w:t>
      </w:r>
      <w:r>
        <w:rPr>
          <w:rFonts w:hint="eastAsia"/>
        </w:rPr>
        <w:t>钒</w:t>
      </w:r>
      <w:r>
        <w:t>平衡</w:t>
      </w:r>
    </w:p>
    <w:p w14:paraId="7D6CFCC0" w14:textId="77777777" w:rsidR="003E78AB" w:rsidRDefault="00010BF9">
      <w:pPr>
        <w:ind w:firstLine="480"/>
        <w:rPr>
          <w:lang w:bidi="en-US"/>
        </w:rPr>
      </w:pPr>
      <w:r>
        <w:rPr>
          <w:rFonts w:hint="eastAsia"/>
          <w:lang w:bidi="en-US"/>
        </w:rPr>
        <w:t>本</w:t>
      </w:r>
      <w:r>
        <w:rPr>
          <w:lang w:bidi="en-US"/>
        </w:rPr>
        <w:t>项目</w:t>
      </w:r>
      <w:r>
        <w:rPr>
          <w:rFonts w:hint="eastAsia"/>
          <w:lang w:bidi="en-US"/>
        </w:rPr>
        <w:t>钒平衡</w:t>
      </w:r>
      <w:r>
        <w:rPr>
          <w:lang w:bidi="en-US"/>
        </w:rPr>
        <w:t>见</w:t>
      </w:r>
      <w:r>
        <w:rPr>
          <w:lang w:bidi="en-US"/>
        </w:rPr>
        <w:fldChar w:fldCharType="begin"/>
      </w:r>
      <w:r>
        <w:rPr>
          <w:lang w:bidi="en-US"/>
        </w:rPr>
        <w:instrText xml:space="preserve"> REF _Ref22076 \r \h </w:instrText>
      </w:r>
      <w:r>
        <w:rPr>
          <w:lang w:bidi="en-US"/>
        </w:rPr>
      </w:r>
      <w:r>
        <w:rPr>
          <w:lang w:bidi="en-US"/>
        </w:rPr>
        <w:fldChar w:fldCharType="separate"/>
      </w:r>
      <w:r>
        <w:rPr>
          <w:lang w:bidi="en-US"/>
        </w:rPr>
        <w:t>表</w:t>
      </w:r>
      <w:r>
        <w:rPr>
          <w:lang w:bidi="en-US"/>
        </w:rPr>
        <w:t>3-11</w:t>
      </w:r>
      <w:r>
        <w:rPr>
          <w:lang w:bidi="en-US"/>
        </w:rPr>
        <w:fldChar w:fldCharType="end"/>
      </w:r>
      <w:r>
        <w:rPr>
          <w:lang w:bidi="en-US"/>
        </w:rPr>
        <w:t>。</w:t>
      </w:r>
    </w:p>
    <w:p w14:paraId="59293CAC" w14:textId="77777777" w:rsidR="003E78AB" w:rsidRDefault="00010BF9">
      <w:pPr>
        <w:pStyle w:val="a1"/>
      </w:pPr>
      <w:bookmarkStart w:id="242" w:name="_Ref22076"/>
      <w:r>
        <w:rPr>
          <w:rFonts w:hint="eastAsia"/>
        </w:rPr>
        <w:t>钒元素平衡表</w:t>
      </w:r>
      <w:bookmarkEnd w:id="242"/>
    </w:p>
    <w:tbl>
      <w:tblPr>
        <w:tblW w:w="4998" w:type="pct"/>
        <w:tblLayout w:type="fixed"/>
        <w:tblLook w:val="04A0" w:firstRow="1" w:lastRow="0" w:firstColumn="1" w:lastColumn="0" w:noHBand="0" w:noVBand="1"/>
      </w:tblPr>
      <w:tblGrid>
        <w:gridCol w:w="1225"/>
        <w:gridCol w:w="1522"/>
        <w:gridCol w:w="884"/>
        <w:gridCol w:w="1862"/>
        <w:gridCol w:w="1542"/>
        <w:gridCol w:w="1909"/>
      </w:tblGrid>
      <w:tr w:rsidR="003E78AB" w14:paraId="4C66C662" w14:textId="77777777">
        <w:trPr>
          <w:trHeight w:val="315"/>
        </w:trPr>
        <w:tc>
          <w:tcPr>
            <w:tcW w:w="15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09741E" w14:textId="77777777" w:rsidR="003E78AB" w:rsidRDefault="00010BF9">
            <w:pPr>
              <w:pStyle w:val="aff6"/>
              <w:topLinePunct/>
              <w:rPr>
                <w:b/>
                <w:bCs/>
              </w:rPr>
            </w:pPr>
            <w:r>
              <w:rPr>
                <w:rFonts w:hint="eastAsia"/>
                <w:b/>
                <w:bCs/>
              </w:rPr>
              <w:t>入方</w:t>
            </w:r>
          </w:p>
        </w:tc>
        <w:tc>
          <w:tcPr>
            <w:tcW w:w="239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B8705F" w14:textId="77777777" w:rsidR="003E78AB" w:rsidRDefault="00010BF9">
            <w:pPr>
              <w:pStyle w:val="aff6"/>
              <w:topLinePunct/>
              <w:rPr>
                <w:b/>
                <w:bCs/>
              </w:rPr>
            </w:pPr>
            <w:r>
              <w:rPr>
                <w:rFonts w:hint="eastAsia"/>
                <w:b/>
                <w:bCs/>
              </w:rPr>
              <w:t>出方</w:t>
            </w:r>
          </w:p>
        </w:tc>
        <w:tc>
          <w:tcPr>
            <w:tcW w:w="1067" w:type="pct"/>
            <w:vMerge w:val="restart"/>
            <w:tcBorders>
              <w:top w:val="single" w:sz="4" w:space="0" w:color="000000"/>
              <w:left w:val="single" w:sz="4" w:space="0" w:color="000000"/>
              <w:right w:val="single" w:sz="4" w:space="0" w:color="000000"/>
            </w:tcBorders>
            <w:shd w:val="clear" w:color="auto" w:fill="auto"/>
            <w:vAlign w:val="center"/>
          </w:tcPr>
          <w:p w14:paraId="1DBBE5AC" w14:textId="77777777" w:rsidR="003E78AB" w:rsidRDefault="00010BF9">
            <w:pPr>
              <w:pStyle w:val="aff6"/>
              <w:topLinePunct/>
              <w:rPr>
                <w:b/>
                <w:bCs/>
              </w:rPr>
            </w:pPr>
            <w:r>
              <w:rPr>
                <w:rFonts w:hint="eastAsia"/>
                <w:b/>
                <w:bCs/>
              </w:rPr>
              <w:t>备注</w:t>
            </w:r>
          </w:p>
        </w:tc>
      </w:tr>
      <w:tr w:rsidR="003E78AB" w14:paraId="5E3A52CC" w14:textId="77777777">
        <w:trPr>
          <w:trHeight w:val="315"/>
        </w:trPr>
        <w:tc>
          <w:tcPr>
            <w:tcW w:w="6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581B5" w14:textId="77777777" w:rsidR="003E78AB" w:rsidRDefault="00010BF9">
            <w:pPr>
              <w:pStyle w:val="aff6"/>
              <w:topLinePunct/>
              <w:rPr>
                <w:b/>
                <w:bCs/>
              </w:rPr>
            </w:pPr>
            <w:r>
              <w:rPr>
                <w:rFonts w:hint="eastAsia"/>
                <w:b/>
                <w:bCs/>
              </w:rPr>
              <w:t>物料名称</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DCA02" w14:textId="77777777" w:rsidR="003E78AB" w:rsidRDefault="00010BF9">
            <w:pPr>
              <w:pStyle w:val="aff6"/>
              <w:topLinePunct/>
              <w:rPr>
                <w:b/>
                <w:bCs/>
              </w:rPr>
            </w:pPr>
            <w:r>
              <w:rPr>
                <w:rFonts w:hint="eastAsia"/>
                <w:b/>
                <w:bCs/>
              </w:rPr>
              <w:t>投料量（</w:t>
            </w:r>
            <w:r>
              <w:rPr>
                <w:rFonts w:hint="eastAsia"/>
                <w:b/>
                <w:bCs/>
              </w:rPr>
              <w:t>kg</w:t>
            </w:r>
            <w:r>
              <w:rPr>
                <w:b/>
                <w:bCs/>
              </w:rPr>
              <w:t>/a</w:t>
            </w:r>
            <w:r>
              <w:rPr>
                <w:rFonts w:hint="eastAsia"/>
                <w:b/>
                <w:bCs/>
              </w:rPr>
              <w:t>）</w:t>
            </w:r>
          </w:p>
        </w:tc>
        <w:tc>
          <w:tcPr>
            <w:tcW w:w="15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B6C9E" w14:textId="77777777" w:rsidR="003E78AB" w:rsidRDefault="00010BF9">
            <w:pPr>
              <w:pStyle w:val="aff6"/>
              <w:topLinePunct/>
              <w:rPr>
                <w:b/>
                <w:bCs/>
              </w:rPr>
            </w:pPr>
            <w:r>
              <w:rPr>
                <w:rFonts w:hint="eastAsia"/>
                <w:b/>
                <w:bCs/>
              </w:rPr>
              <w:t>物料名称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2C496" w14:textId="77777777" w:rsidR="003E78AB" w:rsidRDefault="00010BF9">
            <w:pPr>
              <w:pStyle w:val="aff6"/>
              <w:topLinePunct/>
              <w:rPr>
                <w:b/>
                <w:bCs/>
              </w:rPr>
            </w:pPr>
            <w:r>
              <w:rPr>
                <w:rFonts w:hint="eastAsia"/>
                <w:b/>
                <w:bCs/>
              </w:rPr>
              <w:t>出料量（</w:t>
            </w:r>
            <w:r>
              <w:rPr>
                <w:rFonts w:hint="eastAsia"/>
                <w:b/>
                <w:bCs/>
              </w:rPr>
              <w:t>kg</w:t>
            </w:r>
            <w:r>
              <w:rPr>
                <w:b/>
                <w:bCs/>
              </w:rPr>
              <w:t>/a</w:t>
            </w:r>
            <w:r>
              <w:rPr>
                <w:rFonts w:hint="eastAsia"/>
                <w:b/>
                <w:bCs/>
              </w:rPr>
              <w:t>）</w:t>
            </w:r>
          </w:p>
        </w:tc>
        <w:tc>
          <w:tcPr>
            <w:tcW w:w="1067" w:type="pct"/>
            <w:vMerge/>
            <w:tcBorders>
              <w:left w:val="single" w:sz="4" w:space="0" w:color="000000"/>
              <w:right w:val="single" w:sz="4" w:space="0" w:color="000000"/>
            </w:tcBorders>
            <w:shd w:val="clear" w:color="auto" w:fill="auto"/>
            <w:vAlign w:val="center"/>
          </w:tcPr>
          <w:p w14:paraId="295C8A81" w14:textId="77777777" w:rsidR="003E78AB" w:rsidRDefault="003E78AB">
            <w:pPr>
              <w:pStyle w:val="aff6"/>
              <w:topLinePunct/>
            </w:pPr>
          </w:p>
        </w:tc>
      </w:tr>
      <w:tr w:rsidR="003E78AB" w14:paraId="182C7E5B" w14:textId="77777777">
        <w:trPr>
          <w:trHeight w:val="315"/>
        </w:trPr>
        <w:tc>
          <w:tcPr>
            <w:tcW w:w="684" w:type="pct"/>
            <w:vMerge w:val="restart"/>
            <w:tcBorders>
              <w:top w:val="single" w:sz="4" w:space="0" w:color="000000"/>
              <w:left w:val="single" w:sz="4" w:space="0" w:color="000000"/>
              <w:right w:val="single" w:sz="4" w:space="0" w:color="000000"/>
            </w:tcBorders>
            <w:shd w:val="clear" w:color="auto" w:fill="auto"/>
            <w:vAlign w:val="center"/>
          </w:tcPr>
          <w:p w14:paraId="7E875770" w14:textId="77777777" w:rsidR="003E78AB" w:rsidRDefault="00010BF9">
            <w:pPr>
              <w:pStyle w:val="aff6"/>
              <w:topLinePunct/>
            </w:pPr>
            <w:r>
              <w:t>五氧化二钒</w:t>
            </w:r>
            <w:r>
              <w:rPr>
                <w:rFonts w:hint="eastAsia"/>
              </w:rPr>
              <w:t>中的钒</w:t>
            </w:r>
          </w:p>
        </w:tc>
        <w:tc>
          <w:tcPr>
            <w:tcW w:w="850" w:type="pct"/>
            <w:vMerge w:val="restart"/>
            <w:tcBorders>
              <w:top w:val="single" w:sz="4" w:space="0" w:color="000000"/>
              <w:left w:val="single" w:sz="4" w:space="0" w:color="000000"/>
              <w:right w:val="single" w:sz="4" w:space="0" w:color="000000"/>
            </w:tcBorders>
            <w:shd w:val="clear" w:color="auto" w:fill="auto"/>
            <w:vAlign w:val="center"/>
          </w:tcPr>
          <w:p w14:paraId="29326324" w14:textId="77777777" w:rsidR="003E78AB" w:rsidRDefault="00010BF9">
            <w:pPr>
              <w:pStyle w:val="aff6"/>
              <w:topLinePunct/>
            </w:pPr>
            <w:r>
              <w:t>2417602.4912</w:t>
            </w:r>
          </w:p>
        </w:tc>
        <w:tc>
          <w:tcPr>
            <w:tcW w:w="15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1234DF" w14:textId="77777777" w:rsidR="003E78AB" w:rsidRDefault="00010BF9">
            <w:pPr>
              <w:pStyle w:val="aff6"/>
              <w:topLinePunct/>
            </w:pPr>
            <w:r>
              <w:t>产品</w:t>
            </w:r>
            <w:r>
              <w:rPr>
                <w:rFonts w:hint="eastAsia"/>
              </w:rPr>
              <w:t>中的钒</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30BDB" w14:textId="77777777" w:rsidR="003E78AB" w:rsidRDefault="00010BF9">
            <w:pPr>
              <w:pStyle w:val="aff6"/>
              <w:topLinePunct/>
            </w:pPr>
            <w:r>
              <w:t>2417444.8670</w:t>
            </w:r>
          </w:p>
        </w:tc>
        <w:tc>
          <w:tcPr>
            <w:tcW w:w="10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A96EA" w14:textId="77777777" w:rsidR="003E78AB" w:rsidRDefault="00010BF9">
            <w:pPr>
              <w:pStyle w:val="aff6"/>
              <w:topLinePunct/>
            </w:pPr>
            <w:r>
              <w:rPr>
                <w:rFonts w:hint="eastAsia"/>
              </w:rPr>
              <w:t>原料五氧化二钒含量</w:t>
            </w:r>
            <w:r>
              <w:rPr>
                <w:rFonts w:hint="eastAsia"/>
              </w:rPr>
              <w:t>99.82%</w:t>
            </w:r>
          </w:p>
        </w:tc>
      </w:tr>
      <w:tr w:rsidR="003E78AB" w14:paraId="5E029B23" w14:textId="77777777">
        <w:trPr>
          <w:trHeight w:val="510"/>
        </w:trPr>
        <w:tc>
          <w:tcPr>
            <w:tcW w:w="684" w:type="pct"/>
            <w:vMerge/>
            <w:tcBorders>
              <w:left w:val="single" w:sz="4" w:space="0" w:color="000000"/>
              <w:right w:val="single" w:sz="4" w:space="0" w:color="000000"/>
            </w:tcBorders>
            <w:shd w:val="clear" w:color="auto" w:fill="auto"/>
            <w:vAlign w:val="center"/>
          </w:tcPr>
          <w:p w14:paraId="7DF81962" w14:textId="77777777" w:rsidR="003E78AB" w:rsidRDefault="003E78AB">
            <w:pPr>
              <w:pStyle w:val="aff6"/>
              <w:topLinePunct/>
            </w:pPr>
          </w:p>
        </w:tc>
        <w:tc>
          <w:tcPr>
            <w:tcW w:w="850" w:type="pct"/>
            <w:vMerge/>
            <w:tcBorders>
              <w:left w:val="single" w:sz="4" w:space="0" w:color="000000"/>
              <w:right w:val="single" w:sz="4" w:space="0" w:color="000000"/>
            </w:tcBorders>
            <w:shd w:val="clear" w:color="auto" w:fill="auto"/>
            <w:vAlign w:val="center"/>
          </w:tcPr>
          <w:p w14:paraId="31F2CAE0" w14:textId="77777777" w:rsidR="003E78AB" w:rsidRDefault="003E78AB">
            <w:pPr>
              <w:pStyle w:val="aff6"/>
              <w:topLinePunct/>
            </w:pPr>
          </w:p>
        </w:tc>
        <w:tc>
          <w:tcPr>
            <w:tcW w:w="4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5DBA08" w14:textId="77777777" w:rsidR="003E78AB" w:rsidRDefault="00010BF9">
            <w:pPr>
              <w:pStyle w:val="aff6"/>
              <w:topLinePunct/>
            </w:pPr>
            <w:r>
              <w:t>废气</w:t>
            </w:r>
          </w:p>
        </w:tc>
        <w:tc>
          <w:tcPr>
            <w:tcW w:w="1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6A9C3" w14:textId="77777777" w:rsidR="003E78AB" w:rsidRDefault="00010BF9">
            <w:pPr>
              <w:pStyle w:val="aff6"/>
              <w:topLinePunct/>
            </w:pPr>
            <w:r>
              <w:t>含钒粉尘有组织</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B640C" w14:textId="77777777" w:rsidR="003E78AB" w:rsidRDefault="00010BF9">
            <w:pPr>
              <w:pStyle w:val="aff6"/>
              <w:topLinePunct/>
            </w:pPr>
            <w:r>
              <w:t>38.5849</w:t>
            </w:r>
          </w:p>
        </w:tc>
        <w:tc>
          <w:tcPr>
            <w:tcW w:w="10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A01C3" w14:textId="77777777" w:rsidR="003E78AB" w:rsidRDefault="003E78AB">
            <w:pPr>
              <w:pStyle w:val="aff6"/>
              <w:topLinePunct/>
            </w:pPr>
          </w:p>
        </w:tc>
      </w:tr>
      <w:tr w:rsidR="003E78AB" w14:paraId="4EA94C68" w14:textId="77777777">
        <w:trPr>
          <w:trHeight w:val="315"/>
        </w:trPr>
        <w:tc>
          <w:tcPr>
            <w:tcW w:w="684" w:type="pct"/>
            <w:vMerge/>
            <w:tcBorders>
              <w:left w:val="single" w:sz="4" w:space="0" w:color="000000"/>
              <w:right w:val="single" w:sz="4" w:space="0" w:color="000000"/>
            </w:tcBorders>
            <w:shd w:val="clear" w:color="auto" w:fill="auto"/>
            <w:vAlign w:val="center"/>
          </w:tcPr>
          <w:p w14:paraId="25066CF3" w14:textId="77777777" w:rsidR="003E78AB" w:rsidRDefault="003E78AB">
            <w:pPr>
              <w:pStyle w:val="aff6"/>
              <w:topLinePunct/>
            </w:pPr>
          </w:p>
        </w:tc>
        <w:tc>
          <w:tcPr>
            <w:tcW w:w="850" w:type="pct"/>
            <w:vMerge/>
            <w:tcBorders>
              <w:left w:val="single" w:sz="4" w:space="0" w:color="000000"/>
              <w:right w:val="single" w:sz="4" w:space="0" w:color="000000"/>
            </w:tcBorders>
            <w:shd w:val="clear" w:color="auto" w:fill="auto"/>
            <w:vAlign w:val="center"/>
          </w:tcPr>
          <w:p w14:paraId="028E7AF3" w14:textId="77777777" w:rsidR="003E78AB" w:rsidRDefault="003E78AB">
            <w:pPr>
              <w:pStyle w:val="aff6"/>
              <w:topLinePunct/>
            </w:pPr>
          </w:p>
        </w:tc>
        <w:tc>
          <w:tcPr>
            <w:tcW w:w="4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F797F" w14:textId="77777777" w:rsidR="003E78AB" w:rsidRDefault="003E78AB">
            <w:pPr>
              <w:pStyle w:val="aff6"/>
              <w:topLinePunct/>
            </w:pPr>
          </w:p>
        </w:tc>
        <w:tc>
          <w:tcPr>
            <w:tcW w:w="1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4BFF9" w14:textId="77777777" w:rsidR="003E78AB" w:rsidRDefault="00010BF9">
            <w:pPr>
              <w:pStyle w:val="aff6"/>
              <w:topLinePunct/>
            </w:pPr>
            <w:r>
              <w:t>无组织粉尘排放量</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5A533" w14:textId="77777777" w:rsidR="003E78AB" w:rsidRDefault="00010BF9">
            <w:pPr>
              <w:pStyle w:val="aff6"/>
              <w:topLinePunct/>
            </w:pPr>
            <w:r>
              <w:t>30.4618</w:t>
            </w:r>
          </w:p>
        </w:tc>
        <w:tc>
          <w:tcPr>
            <w:tcW w:w="10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F652E" w14:textId="77777777" w:rsidR="003E78AB" w:rsidRDefault="003E78AB">
            <w:pPr>
              <w:pStyle w:val="aff6"/>
              <w:topLinePunct/>
            </w:pPr>
          </w:p>
        </w:tc>
      </w:tr>
      <w:tr w:rsidR="003E78AB" w14:paraId="6F0B0A09" w14:textId="77777777">
        <w:trPr>
          <w:trHeight w:val="510"/>
        </w:trPr>
        <w:tc>
          <w:tcPr>
            <w:tcW w:w="684" w:type="pct"/>
            <w:vMerge/>
            <w:tcBorders>
              <w:left w:val="single" w:sz="4" w:space="0" w:color="000000"/>
              <w:right w:val="single" w:sz="4" w:space="0" w:color="000000"/>
            </w:tcBorders>
            <w:shd w:val="clear" w:color="auto" w:fill="auto"/>
            <w:vAlign w:val="center"/>
          </w:tcPr>
          <w:p w14:paraId="4FE5228C" w14:textId="77777777" w:rsidR="003E78AB" w:rsidRDefault="003E78AB">
            <w:pPr>
              <w:pStyle w:val="aff6"/>
              <w:topLinePunct/>
            </w:pPr>
          </w:p>
        </w:tc>
        <w:tc>
          <w:tcPr>
            <w:tcW w:w="850" w:type="pct"/>
            <w:vMerge/>
            <w:tcBorders>
              <w:left w:val="single" w:sz="4" w:space="0" w:color="000000"/>
              <w:right w:val="single" w:sz="4" w:space="0" w:color="000000"/>
            </w:tcBorders>
            <w:shd w:val="clear" w:color="auto" w:fill="auto"/>
            <w:vAlign w:val="center"/>
          </w:tcPr>
          <w:p w14:paraId="246B3CDD" w14:textId="77777777" w:rsidR="003E78AB" w:rsidRDefault="003E78AB">
            <w:pPr>
              <w:pStyle w:val="aff6"/>
              <w:topLinePunct/>
            </w:pPr>
          </w:p>
        </w:tc>
        <w:tc>
          <w:tcPr>
            <w:tcW w:w="4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0AA242" w14:textId="77777777" w:rsidR="003E78AB" w:rsidRDefault="003E78AB">
            <w:pPr>
              <w:pStyle w:val="aff6"/>
              <w:topLinePunct/>
            </w:pPr>
          </w:p>
        </w:tc>
        <w:tc>
          <w:tcPr>
            <w:tcW w:w="1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F8BC0" w14:textId="77777777" w:rsidR="003E78AB" w:rsidRDefault="00010BF9">
            <w:pPr>
              <w:pStyle w:val="aff6"/>
              <w:topLinePunct/>
            </w:pPr>
            <w:r>
              <w:t>CO</w:t>
            </w:r>
            <w:r>
              <w:rPr>
                <w:vertAlign w:val="subscript"/>
              </w:rPr>
              <w:t>2</w:t>
            </w:r>
            <w:r>
              <w:rPr>
                <w:rFonts w:hint="eastAsia"/>
              </w:rPr>
              <w:t>夹带</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1336C" w14:textId="77777777" w:rsidR="003E78AB" w:rsidRDefault="00010BF9">
            <w:pPr>
              <w:pStyle w:val="aff6"/>
              <w:topLinePunct/>
            </w:pPr>
            <w:r>
              <w:t>14.8063</w:t>
            </w:r>
          </w:p>
        </w:tc>
        <w:tc>
          <w:tcPr>
            <w:tcW w:w="1067" w:type="pct"/>
            <w:vMerge w:val="restart"/>
            <w:tcBorders>
              <w:top w:val="single" w:sz="4" w:space="0" w:color="000000"/>
              <w:left w:val="single" w:sz="4" w:space="0" w:color="000000"/>
              <w:right w:val="single" w:sz="4" w:space="0" w:color="000000"/>
            </w:tcBorders>
            <w:shd w:val="clear" w:color="auto" w:fill="auto"/>
            <w:vAlign w:val="center"/>
          </w:tcPr>
          <w:p w14:paraId="583E7493" w14:textId="77777777" w:rsidR="003E78AB" w:rsidRDefault="00010BF9">
            <w:pPr>
              <w:pStyle w:val="aff6"/>
              <w:topLinePunct/>
            </w:pPr>
            <w:r>
              <w:rPr>
                <w:rFonts w:hint="eastAsia"/>
              </w:rPr>
              <w:t>进入废气淋洗系统后进结晶盐</w:t>
            </w:r>
          </w:p>
        </w:tc>
      </w:tr>
      <w:tr w:rsidR="003E78AB" w14:paraId="3E2D7E62" w14:textId="77777777">
        <w:trPr>
          <w:trHeight w:val="315"/>
        </w:trPr>
        <w:tc>
          <w:tcPr>
            <w:tcW w:w="684" w:type="pct"/>
            <w:vMerge/>
            <w:tcBorders>
              <w:left w:val="single" w:sz="4" w:space="0" w:color="000000"/>
              <w:right w:val="single" w:sz="4" w:space="0" w:color="000000"/>
            </w:tcBorders>
            <w:shd w:val="clear" w:color="auto" w:fill="auto"/>
            <w:vAlign w:val="center"/>
          </w:tcPr>
          <w:p w14:paraId="158CE4EC" w14:textId="77777777" w:rsidR="003E78AB" w:rsidRDefault="003E78AB">
            <w:pPr>
              <w:pStyle w:val="aff6"/>
              <w:topLinePunct/>
            </w:pPr>
          </w:p>
        </w:tc>
        <w:tc>
          <w:tcPr>
            <w:tcW w:w="850" w:type="pct"/>
            <w:vMerge/>
            <w:tcBorders>
              <w:left w:val="single" w:sz="4" w:space="0" w:color="000000"/>
              <w:right w:val="single" w:sz="4" w:space="0" w:color="000000"/>
            </w:tcBorders>
            <w:shd w:val="clear" w:color="auto" w:fill="auto"/>
            <w:vAlign w:val="center"/>
          </w:tcPr>
          <w:p w14:paraId="5936E9B4" w14:textId="77777777" w:rsidR="003E78AB" w:rsidRDefault="003E78AB">
            <w:pPr>
              <w:pStyle w:val="aff6"/>
              <w:topLinePunct/>
            </w:pPr>
          </w:p>
        </w:tc>
        <w:tc>
          <w:tcPr>
            <w:tcW w:w="4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09288" w14:textId="77777777" w:rsidR="003E78AB" w:rsidRDefault="003E78AB">
            <w:pPr>
              <w:pStyle w:val="aff6"/>
              <w:topLinePunct/>
            </w:pPr>
          </w:p>
        </w:tc>
        <w:tc>
          <w:tcPr>
            <w:tcW w:w="1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233B6" w14:textId="77777777" w:rsidR="003E78AB" w:rsidRDefault="00010BF9">
            <w:pPr>
              <w:pStyle w:val="aff6"/>
              <w:topLinePunct/>
            </w:pPr>
            <w:r>
              <w:t>O</w:t>
            </w:r>
            <w:r>
              <w:rPr>
                <w:vertAlign w:val="subscript"/>
              </w:rPr>
              <w:t>2</w:t>
            </w:r>
            <w:r>
              <w:rPr>
                <w:rFonts w:hint="eastAsia"/>
              </w:rPr>
              <w:t>夹带</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6B1D2" w14:textId="77777777" w:rsidR="003E78AB" w:rsidRDefault="00010BF9">
            <w:pPr>
              <w:pStyle w:val="aff6"/>
              <w:topLinePunct/>
            </w:pPr>
            <w:r>
              <w:t>2.6937</w:t>
            </w:r>
          </w:p>
        </w:tc>
        <w:tc>
          <w:tcPr>
            <w:tcW w:w="1067" w:type="pct"/>
            <w:vMerge/>
            <w:tcBorders>
              <w:left w:val="single" w:sz="4" w:space="0" w:color="000000"/>
              <w:bottom w:val="single" w:sz="4" w:space="0" w:color="000000"/>
              <w:right w:val="single" w:sz="4" w:space="0" w:color="000000"/>
            </w:tcBorders>
            <w:shd w:val="clear" w:color="auto" w:fill="auto"/>
            <w:vAlign w:val="center"/>
          </w:tcPr>
          <w:p w14:paraId="6BD0A3EC" w14:textId="77777777" w:rsidR="003E78AB" w:rsidRDefault="003E78AB">
            <w:pPr>
              <w:pStyle w:val="aff6"/>
              <w:topLinePunct/>
            </w:pPr>
          </w:p>
        </w:tc>
      </w:tr>
      <w:tr w:rsidR="003E78AB" w14:paraId="31ECA27D" w14:textId="77777777">
        <w:trPr>
          <w:trHeight w:val="315"/>
        </w:trPr>
        <w:tc>
          <w:tcPr>
            <w:tcW w:w="684" w:type="pct"/>
            <w:vMerge/>
            <w:tcBorders>
              <w:left w:val="single" w:sz="4" w:space="0" w:color="000000"/>
              <w:bottom w:val="single" w:sz="4" w:space="0" w:color="000000"/>
              <w:right w:val="single" w:sz="4" w:space="0" w:color="000000"/>
            </w:tcBorders>
            <w:shd w:val="clear" w:color="auto" w:fill="auto"/>
            <w:vAlign w:val="center"/>
          </w:tcPr>
          <w:p w14:paraId="725653EF" w14:textId="77777777" w:rsidR="003E78AB" w:rsidRDefault="003E78AB">
            <w:pPr>
              <w:pStyle w:val="aff6"/>
              <w:topLinePunct/>
            </w:pPr>
          </w:p>
        </w:tc>
        <w:tc>
          <w:tcPr>
            <w:tcW w:w="850" w:type="pct"/>
            <w:vMerge/>
            <w:tcBorders>
              <w:left w:val="single" w:sz="4" w:space="0" w:color="000000"/>
              <w:bottom w:val="single" w:sz="4" w:space="0" w:color="000000"/>
              <w:right w:val="single" w:sz="4" w:space="0" w:color="000000"/>
            </w:tcBorders>
            <w:shd w:val="clear" w:color="auto" w:fill="auto"/>
            <w:vAlign w:val="center"/>
          </w:tcPr>
          <w:p w14:paraId="74DEEBF6" w14:textId="77777777" w:rsidR="003E78AB" w:rsidRDefault="003E78AB">
            <w:pPr>
              <w:pStyle w:val="aff6"/>
              <w:topLinePunct/>
            </w:pP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F2B30" w14:textId="77777777" w:rsidR="003E78AB" w:rsidRDefault="00010BF9">
            <w:pPr>
              <w:pStyle w:val="aff6"/>
              <w:topLinePunct/>
            </w:pPr>
            <w:r>
              <w:t>固体废物</w:t>
            </w:r>
          </w:p>
        </w:tc>
        <w:tc>
          <w:tcPr>
            <w:tcW w:w="1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89CCB" w14:textId="77777777" w:rsidR="003E78AB" w:rsidRDefault="00010BF9">
            <w:pPr>
              <w:pStyle w:val="aff6"/>
              <w:topLinePunct/>
            </w:pPr>
            <w:r>
              <w:t>沉降灰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3CEBE" w14:textId="77777777" w:rsidR="003E78AB" w:rsidRDefault="00010BF9">
            <w:pPr>
              <w:pStyle w:val="aff6"/>
              <w:topLinePunct/>
            </w:pPr>
            <w:r>
              <w:t>71.0775</w:t>
            </w:r>
          </w:p>
        </w:tc>
        <w:tc>
          <w:tcPr>
            <w:tcW w:w="10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F354D" w14:textId="77777777" w:rsidR="003E78AB" w:rsidRDefault="003E78AB">
            <w:pPr>
              <w:pStyle w:val="aff6"/>
              <w:topLinePunct/>
            </w:pPr>
          </w:p>
        </w:tc>
      </w:tr>
      <w:tr w:rsidR="003E78AB" w14:paraId="38AB45A9" w14:textId="77777777">
        <w:trPr>
          <w:trHeight w:val="315"/>
        </w:trPr>
        <w:tc>
          <w:tcPr>
            <w:tcW w:w="6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2753E" w14:textId="77777777" w:rsidR="003E78AB" w:rsidRDefault="00010BF9">
            <w:pPr>
              <w:pStyle w:val="aff6"/>
              <w:topLinePunct/>
            </w:pPr>
            <w:r>
              <w:rPr>
                <w:rFonts w:hint="eastAsia"/>
              </w:rPr>
              <w:t>合计</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8B193" w14:textId="77777777" w:rsidR="003E78AB" w:rsidRDefault="00010BF9">
            <w:pPr>
              <w:pStyle w:val="aff6"/>
              <w:topLinePunct/>
            </w:pPr>
            <w:r>
              <w:rPr>
                <w:rFonts w:hint="eastAsia"/>
              </w:rPr>
              <w:t>2417602.4912</w:t>
            </w:r>
          </w:p>
        </w:tc>
        <w:tc>
          <w:tcPr>
            <w:tcW w:w="15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C13D60" w14:textId="77777777" w:rsidR="003E78AB" w:rsidRDefault="00010BF9">
            <w:pPr>
              <w:pStyle w:val="aff6"/>
              <w:topLinePunct/>
            </w:pPr>
            <w:r>
              <w:rPr>
                <w:rFonts w:hint="eastAsia"/>
              </w:rPr>
              <w:t>合计</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7825" w14:textId="77777777" w:rsidR="003E78AB" w:rsidRDefault="00010BF9">
            <w:pPr>
              <w:pStyle w:val="aff6"/>
              <w:topLinePunct/>
            </w:pPr>
            <w:r>
              <w:rPr>
                <w:rFonts w:hint="eastAsia"/>
              </w:rPr>
              <w:t>2417602.4912</w:t>
            </w:r>
          </w:p>
        </w:tc>
        <w:tc>
          <w:tcPr>
            <w:tcW w:w="10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A0F56" w14:textId="77777777" w:rsidR="003E78AB" w:rsidRDefault="003E78AB">
            <w:pPr>
              <w:pStyle w:val="aff6"/>
              <w:topLinePunct/>
            </w:pPr>
          </w:p>
        </w:tc>
      </w:tr>
    </w:tbl>
    <w:p w14:paraId="1D9C4222" w14:textId="77777777" w:rsidR="003E78AB" w:rsidRDefault="00010BF9">
      <w:pPr>
        <w:ind w:firstLine="480"/>
        <w:rPr>
          <w:bCs/>
        </w:rPr>
      </w:pPr>
      <w:r>
        <w:rPr>
          <w:rFonts w:hint="eastAsia"/>
          <w:bCs/>
        </w:rPr>
        <w:t>五氧化二钒中钒含量的计算：</w:t>
      </w:r>
    </w:p>
    <w:p w14:paraId="0EA1CEBF" w14:textId="77777777" w:rsidR="003E78AB" w:rsidRDefault="00010BF9">
      <w:pPr>
        <w:ind w:firstLine="480"/>
        <w:rPr>
          <w:bCs/>
        </w:rPr>
      </w:pPr>
      <w:r>
        <w:rPr>
          <w:rFonts w:hint="eastAsia"/>
          <w:bCs/>
        </w:rPr>
        <w:t>五氧化二钒分子量</w:t>
      </w:r>
      <w:r>
        <w:rPr>
          <w:rFonts w:hint="eastAsia"/>
          <w:bCs/>
        </w:rPr>
        <w:t>181</w:t>
      </w:r>
      <w:r>
        <w:rPr>
          <w:rFonts w:hint="eastAsia"/>
          <w:bCs/>
        </w:rPr>
        <w:t>，钒分子量</w:t>
      </w:r>
      <w:r>
        <w:rPr>
          <w:rFonts w:hint="eastAsia"/>
          <w:bCs/>
        </w:rPr>
        <w:t>52</w:t>
      </w:r>
      <w:r>
        <w:rPr>
          <w:rFonts w:hint="eastAsia"/>
          <w:bCs/>
        </w:rPr>
        <w:t>，根据前文</w:t>
      </w:r>
      <w:r>
        <w:rPr>
          <w:rFonts w:hint="eastAsia"/>
          <w:bCs/>
        </w:rPr>
        <w:t>3.1.4</w:t>
      </w:r>
      <w:r>
        <w:rPr>
          <w:rFonts w:hint="eastAsia"/>
          <w:bCs/>
        </w:rPr>
        <w:t>章节五氧化二钒检测报告，总钒（以五氧化二钒计）含量为</w:t>
      </w:r>
      <w:r>
        <w:rPr>
          <w:rFonts w:hint="eastAsia"/>
          <w:bCs/>
        </w:rPr>
        <w:t>99.82%</w:t>
      </w:r>
      <w:r>
        <w:rPr>
          <w:rFonts w:hint="eastAsia"/>
          <w:bCs/>
        </w:rPr>
        <w:t>，本项目五氧化二钒总用量</w:t>
      </w:r>
      <w:r>
        <w:rPr>
          <w:rFonts w:hint="eastAsia"/>
          <w:bCs/>
        </w:rPr>
        <w:t>8643080.16kg/a</w:t>
      </w:r>
      <w:r>
        <w:rPr>
          <w:rFonts w:hint="eastAsia"/>
          <w:bCs/>
        </w:rPr>
        <w:t>，由此计算出钒量为</w:t>
      </w:r>
      <w:r>
        <w:rPr>
          <w:rFonts w:hint="eastAsia"/>
          <w:bCs/>
        </w:rPr>
        <w:t>2417602.4912kg/a</w:t>
      </w:r>
      <w:r>
        <w:rPr>
          <w:rFonts w:hint="eastAsia"/>
          <w:bCs/>
        </w:rPr>
        <w:t>。</w:t>
      </w:r>
    </w:p>
    <w:p w14:paraId="7085384C" w14:textId="77777777" w:rsidR="003E78AB" w:rsidRDefault="003E78AB">
      <w:pPr>
        <w:spacing w:line="240" w:lineRule="atLeast"/>
        <w:ind w:firstLineChars="0" w:firstLine="0"/>
        <w:sectPr w:rsidR="003E78AB">
          <w:pgSz w:w="11906" w:h="16838"/>
          <w:pgMar w:top="1440" w:right="1587" w:bottom="1440" w:left="1587" w:header="851" w:footer="992" w:gutter="0"/>
          <w:cols w:space="720"/>
          <w:docGrid w:linePitch="312"/>
        </w:sectPr>
      </w:pPr>
    </w:p>
    <w:p w14:paraId="41CD9D51" w14:textId="77777777" w:rsidR="003E78AB" w:rsidRDefault="00010BF9">
      <w:pPr>
        <w:spacing w:line="240" w:lineRule="atLeast"/>
        <w:ind w:firstLineChars="0" w:firstLine="0"/>
      </w:pPr>
      <w:r>
        <w:object w:dxaOrig="13952" w:dyaOrig="7786" w14:anchorId="3B8B35A5">
          <v:shape id="_x0000_i1028" type="#_x0000_t75" style="width:697.6pt;height:389.3pt" o:ole="">
            <v:imagedata r:id="rId27" o:title=""/>
            <o:lock v:ext="edit" aspectratio="f"/>
          </v:shape>
          <o:OLEObject Type="Embed" ProgID="Visio.Drawing.15" ShapeID="_x0000_i1028" DrawAspect="Content" ObjectID="_1814684977" r:id="rId28"/>
        </w:object>
      </w:r>
    </w:p>
    <w:p w14:paraId="1EDCB9A3" w14:textId="77777777" w:rsidR="003E78AB" w:rsidRDefault="00010BF9">
      <w:pPr>
        <w:pStyle w:val="aff3"/>
        <w:topLinePunct/>
        <w:rPr>
          <w:rStyle w:val="Char"/>
          <w:b/>
          <w:bCs/>
          <w:sz w:val="24"/>
          <w:szCs w:val="24"/>
        </w:rPr>
        <w:sectPr w:rsidR="003E78AB">
          <w:pgSz w:w="16838" w:h="11906" w:orient="landscape"/>
          <w:pgMar w:top="1587" w:right="1440" w:bottom="1587" w:left="1440" w:header="851" w:footer="992" w:gutter="0"/>
          <w:cols w:space="720"/>
          <w:docGrid w:linePitch="312"/>
        </w:sectPr>
      </w:pPr>
      <w:r>
        <w:rPr>
          <w:rStyle w:val="Char"/>
          <w:rFonts w:hint="eastAsia"/>
          <w:bCs/>
          <w:sz w:val="24"/>
          <w:szCs w:val="24"/>
        </w:rPr>
        <w:t>图</w:t>
      </w:r>
      <w:r>
        <w:rPr>
          <w:rStyle w:val="Char"/>
          <w:rFonts w:hint="eastAsia"/>
          <w:bCs/>
          <w:sz w:val="24"/>
          <w:szCs w:val="24"/>
        </w:rPr>
        <w:t xml:space="preserve">3-4  </w:t>
      </w:r>
      <w:r>
        <w:rPr>
          <w:rStyle w:val="Char"/>
          <w:rFonts w:hint="eastAsia"/>
          <w:bCs/>
          <w:sz w:val="24"/>
          <w:szCs w:val="24"/>
        </w:rPr>
        <w:t>钒元素平衡图</w:t>
      </w:r>
    </w:p>
    <w:p w14:paraId="14CA746A" w14:textId="77777777" w:rsidR="003E78AB" w:rsidRDefault="00010BF9">
      <w:pPr>
        <w:pStyle w:val="31"/>
        <w:keepNext w:val="0"/>
        <w:keepLines w:val="0"/>
        <w:topLinePunct/>
        <w:spacing w:before="120"/>
      </w:pPr>
      <w:r>
        <w:t>3.3.</w:t>
      </w:r>
      <w:r>
        <w:rPr>
          <w:rFonts w:hint="eastAsia"/>
        </w:rPr>
        <w:t>3</w:t>
      </w:r>
      <w:r>
        <w:t>水平衡</w:t>
      </w:r>
    </w:p>
    <w:p w14:paraId="35E0C3F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3.3.</w:t>
      </w:r>
      <w:r>
        <w:rPr>
          <w:rFonts w:ascii="Times New Roman" w:hAnsi="Times New Roman" w:hint="eastAsia"/>
        </w:rPr>
        <w:t>3</w:t>
      </w:r>
      <w:r>
        <w:rPr>
          <w:rFonts w:ascii="Times New Roman" w:hAnsi="Times New Roman"/>
        </w:rPr>
        <w:t>.</w:t>
      </w:r>
      <w:r>
        <w:rPr>
          <w:rFonts w:ascii="Times New Roman" w:hAnsi="Times New Roman" w:hint="eastAsia"/>
        </w:rPr>
        <w:t>1</w:t>
      </w:r>
      <w:r>
        <w:rPr>
          <w:rFonts w:ascii="Times New Roman" w:hAnsi="Times New Roman" w:hint="eastAsia"/>
        </w:rPr>
        <w:t>用水量</w:t>
      </w:r>
    </w:p>
    <w:p w14:paraId="0ACA1906" w14:textId="77777777" w:rsidR="003E78AB" w:rsidRDefault="00010BF9">
      <w:pPr>
        <w:pStyle w:val="B0"/>
        <w:widowControl w:val="0"/>
        <w:ind w:firstLine="480"/>
        <w:rPr>
          <w:rFonts w:cs="Times New Roman"/>
        </w:rPr>
      </w:pPr>
      <w:bookmarkStart w:id="243" w:name="OLE_LINK39"/>
      <w:r>
        <w:rPr>
          <w:rFonts w:cs="Times New Roman" w:hint="eastAsia"/>
        </w:rPr>
        <w:t>经核算，本项目新鲜水用水总量</w:t>
      </w:r>
      <w:r>
        <w:rPr>
          <w:rFonts w:cs="Times New Roman" w:hint="eastAsia"/>
        </w:rPr>
        <w:t>70815.13m</w:t>
      </w:r>
      <w:r>
        <w:rPr>
          <w:rFonts w:cs="Times New Roman" w:hint="eastAsia"/>
          <w:vertAlign w:val="superscript"/>
        </w:rPr>
        <w:t>3</w:t>
      </w:r>
      <w:r>
        <w:rPr>
          <w:rFonts w:cs="Times New Roman" w:hint="eastAsia"/>
        </w:rPr>
        <w:t>/a</w:t>
      </w:r>
      <w:r>
        <w:rPr>
          <w:rFonts w:cs="Times New Roman" w:hint="eastAsia"/>
        </w:rPr>
        <w:t>。</w:t>
      </w:r>
    </w:p>
    <w:p w14:paraId="062EA332" w14:textId="77777777" w:rsidR="003E78AB" w:rsidRDefault="00010BF9">
      <w:pPr>
        <w:pStyle w:val="B0"/>
        <w:widowControl w:val="0"/>
        <w:ind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rPr>
        <w:t>超纯水制备</w:t>
      </w:r>
      <w:bookmarkEnd w:id="243"/>
    </w:p>
    <w:p w14:paraId="4637687D" w14:textId="77777777" w:rsidR="003E78AB" w:rsidRDefault="00010BF9">
      <w:pPr>
        <w:pStyle w:val="B0"/>
        <w:widowControl w:val="0"/>
        <w:ind w:firstLine="480"/>
        <w:rPr>
          <w:rFonts w:cs="Times New Roman"/>
        </w:rPr>
      </w:pPr>
      <w:bookmarkStart w:id="244" w:name="OLE_LINK38"/>
      <w:r>
        <w:rPr>
          <w:rFonts w:cs="Times New Roman"/>
        </w:rPr>
        <w:t>本项目在动力车间设超纯水机组两套，用于工艺用水补水和闭式循环水系统内部补水，制水能力分别为</w:t>
      </w:r>
      <w:r>
        <w:rPr>
          <w:rFonts w:cs="Times New Roman"/>
        </w:rPr>
        <w:t>8t/h</w:t>
      </w:r>
      <w:r>
        <w:rPr>
          <w:rFonts w:cs="Times New Roman"/>
        </w:rPr>
        <w:t>和</w:t>
      </w:r>
      <w:r>
        <w:rPr>
          <w:rFonts w:cs="Times New Roman"/>
        </w:rPr>
        <w:t>10t/h</w:t>
      </w:r>
      <w:r>
        <w:rPr>
          <w:rFonts w:cs="Times New Roman"/>
        </w:rPr>
        <w:t>。</w:t>
      </w:r>
      <w:r>
        <w:rPr>
          <w:rFonts w:cs="Times New Roman" w:hint="eastAsia"/>
        </w:rPr>
        <w:t>根据生产用水核算，本项目纯水用量</w:t>
      </w:r>
      <w:r>
        <w:rPr>
          <w:rFonts w:cs="Times New Roman" w:hint="eastAsia"/>
        </w:rPr>
        <w:t>32590.49</w:t>
      </w:r>
      <w:r>
        <w:rPr>
          <w:rFonts w:cs="Times New Roman"/>
        </w:rPr>
        <w:t>m</w:t>
      </w:r>
      <w:r>
        <w:rPr>
          <w:rFonts w:cs="Times New Roman"/>
          <w:vertAlign w:val="superscript"/>
        </w:rPr>
        <w:t>3</w:t>
      </w:r>
      <w:r>
        <w:rPr>
          <w:rFonts w:cs="Times New Roman"/>
        </w:rPr>
        <w:t>/</w:t>
      </w:r>
      <w:r>
        <w:rPr>
          <w:rFonts w:cs="Times New Roman" w:hint="eastAsia"/>
        </w:rPr>
        <w:t>a</w:t>
      </w:r>
      <w:r>
        <w:rPr>
          <w:rFonts w:cs="Times New Roman" w:hint="eastAsia"/>
        </w:rPr>
        <w:t>，纯水制备率一般为</w:t>
      </w:r>
      <w:r>
        <w:rPr>
          <w:rFonts w:cs="Times New Roman" w:hint="eastAsia"/>
        </w:rPr>
        <w:t>75%</w:t>
      </w:r>
      <w:r>
        <w:rPr>
          <w:rFonts w:cs="Times New Roman" w:hint="eastAsia"/>
        </w:rPr>
        <w:t>，则制纯水所用新鲜水量</w:t>
      </w:r>
      <w:r>
        <w:rPr>
          <w:rFonts w:cs="Times New Roman" w:hint="eastAsia"/>
        </w:rPr>
        <w:t>43453.98</w:t>
      </w:r>
      <w:r>
        <w:rPr>
          <w:rFonts w:cs="Times New Roman"/>
        </w:rPr>
        <w:t>m</w:t>
      </w:r>
      <w:r>
        <w:rPr>
          <w:rFonts w:cs="Times New Roman"/>
          <w:vertAlign w:val="superscript"/>
        </w:rPr>
        <w:t>3</w:t>
      </w:r>
      <w:r>
        <w:rPr>
          <w:rFonts w:cs="Times New Roman"/>
        </w:rPr>
        <w:t>/</w:t>
      </w:r>
      <w:r>
        <w:rPr>
          <w:rFonts w:cs="Times New Roman" w:hint="eastAsia"/>
        </w:rPr>
        <w:t>a</w:t>
      </w:r>
      <w:r>
        <w:rPr>
          <w:rFonts w:cs="Times New Roman" w:hint="eastAsia"/>
        </w:rPr>
        <w:t>。生产过程还原生成水分、析氧消耗水分，均带入钒电解液产品，带入量共</w:t>
      </w:r>
      <w:r>
        <w:rPr>
          <w:rFonts w:cs="Times New Roman" w:hint="eastAsia"/>
        </w:rPr>
        <w:t>33852.41</w:t>
      </w:r>
      <w:r>
        <w:rPr>
          <w:rFonts w:cs="Times New Roman"/>
        </w:rPr>
        <w:t>m</w:t>
      </w:r>
      <w:r>
        <w:rPr>
          <w:rFonts w:cs="Times New Roman"/>
          <w:vertAlign w:val="superscript"/>
        </w:rPr>
        <w:t>3</w:t>
      </w:r>
      <w:r>
        <w:rPr>
          <w:rFonts w:cs="Times New Roman"/>
        </w:rPr>
        <w:t>/</w:t>
      </w:r>
      <w:r>
        <w:rPr>
          <w:rFonts w:cs="Times New Roman" w:hint="eastAsia"/>
        </w:rPr>
        <w:t>a</w:t>
      </w:r>
      <w:r>
        <w:rPr>
          <w:rFonts w:cs="Times New Roman" w:hint="eastAsia"/>
        </w:rPr>
        <w:t>。</w:t>
      </w:r>
    </w:p>
    <w:p w14:paraId="56B06D82" w14:textId="77777777" w:rsidR="003E78AB" w:rsidRDefault="00010BF9">
      <w:pPr>
        <w:pStyle w:val="B0"/>
        <w:widowControl w:val="0"/>
        <w:ind w:firstLine="480"/>
        <w:rPr>
          <w:rFonts w:cs="Times New Roman"/>
        </w:rPr>
      </w:pPr>
      <w:r>
        <w:rPr>
          <w:rFonts w:cs="Times New Roman" w:hint="eastAsia"/>
        </w:rPr>
        <w:t>（</w:t>
      </w:r>
      <w:r>
        <w:rPr>
          <w:rFonts w:cs="Times New Roman" w:hint="eastAsia"/>
        </w:rPr>
        <w:t>2</w:t>
      </w:r>
      <w:r>
        <w:rPr>
          <w:rFonts w:cs="Times New Roman" w:hint="eastAsia"/>
        </w:rPr>
        <w:t>）</w:t>
      </w:r>
      <w:r>
        <w:rPr>
          <w:rFonts w:cs="Times New Roman"/>
        </w:rPr>
        <w:t>软化水制备</w:t>
      </w:r>
    </w:p>
    <w:p w14:paraId="4965F5DC" w14:textId="77777777" w:rsidR="003E78AB" w:rsidRDefault="00010BF9">
      <w:pPr>
        <w:pStyle w:val="B0"/>
        <w:widowControl w:val="0"/>
        <w:ind w:firstLine="480"/>
        <w:rPr>
          <w:rFonts w:cs="Times New Roman"/>
        </w:rPr>
      </w:pPr>
      <w:r>
        <w:rPr>
          <w:rFonts w:cs="Times New Roman"/>
        </w:rPr>
        <w:t>本项目设一套全自动软化水装置，制水能力为产水量</w:t>
      </w:r>
      <w:r>
        <w:rPr>
          <w:rFonts w:cs="Times New Roman"/>
        </w:rPr>
        <w:t>4~6m</w:t>
      </w:r>
      <w:r>
        <w:rPr>
          <w:rFonts w:cs="Times New Roman"/>
          <w:vertAlign w:val="superscript"/>
        </w:rPr>
        <w:t>3</w:t>
      </w:r>
      <w:r>
        <w:rPr>
          <w:rFonts w:cs="Times New Roman"/>
        </w:rPr>
        <w:t>/h</w:t>
      </w:r>
      <w:r>
        <w:rPr>
          <w:rFonts w:cs="Times New Roman"/>
        </w:rPr>
        <w:t>，用于锅炉补水和制冷系统补水等；</w:t>
      </w:r>
      <w:r>
        <w:rPr>
          <w:rFonts w:cs="Times New Roman" w:hint="eastAsia"/>
        </w:rPr>
        <w:t>根据锅炉系统排污水倒推，锅炉系统补水量</w:t>
      </w:r>
      <w:r>
        <w:rPr>
          <w:rFonts w:cs="Times New Roman" w:hint="eastAsia"/>
        </w:rPr>
        <w:t>1973</w:t>
      </w:r>
      <w:r>
        <w:rPr>
          <w:rFonts w:cs="Times New Roman"/>
        </w:rPr>
        <w:t>m</w:t>
      </w:r>
      <w:r>
        <w:rPr>
          <w:rFonts w:cs="Times New Roman"/>
          <w:vertAlign w:val="superscript"/>
        </w:rPr>
        <w:t>3</w:t>
      </w:r>
      <w:r>
        <w:rPr>
          <w:rFonts w:cs="Times New Roman"/>
        </w:rPr>
        <w:t>/</w:t>
      </w:r>
      <w:r>
        <w:rPr>
          <w:rFonts w:cs="Times New Roman" w:hint="eastAsia"/>
        </w:rPr>
        <w:t>a</w:t>
      </w:r>
      <w:r>
        <w:rPr>
          <w:rFonts w:cs="Times New Roman" w:hint="eastAsia"/>
        </w:rPr>
        <w:t>，制冷系统补水量</w:t>
      </w:r>
      <w:r>
        <w:rPr>
          <w:rFonts w:cs="Times New Roman" w:hint="eastAsia"/>
        </w:rPr>
        <w:t>3</w:t>
      </w:r>
      <w:r>
        <w:rPr>
          <w:rFonts w:cs="Times New Roman"/>
        </w:rPr>
        <w:t>m</w:t>
      </w:r>
      <w:r>
        <w:rPr>
          <w:rFonts w:cs="Times New Roman"/>
          <w:vertAlign w:val="superscript"/>
        </w:rPr>
        <w:t>3</w:t>
      </w:r>
      <w:r>
        <w:rPr>
          <w:rFonts w:cs="Times New Roman"/>
        </w:rPr>
        <w:t>/h</w:t>
      </w:r>
      <w:r>
        <w:rPr>
          <w:rFonts w:cs="Times New Roman" w:hint="eastAsia"/>
        </w:rPr>
        <w:t>（制冷天数按</w:t>
      </w:r>
      <w:r>
        <w:rPr>
          <w:rFonts w:cs="Times New Roman" w:hint="eastAsia"/>
        </w:rPr>
        <w:t>90d/a</w:t>
      </w:r>
      <w:r>
        <w:rPr>
          <w:rFonts w:cs="Times New Roman" w:hint="eastAsia"/>
        </w:rPr>
        <w:t>），则本项目软化水用量</w:t>
      </w:r>
      <w:r>
        <w:rPr>
          <w:rFonts w:cs="Times New Roman" w:hint="eastAsia"/>
        </w:rPr>
        <w:t>6480</w:t>
      </w:r>
      <w:r>
        <w:rPr>
          <w:rFonts w:cs="Times New Roman"/>
        </w:rPr>
        <w:t>m</w:t>
      </w:r>
      <w:r>
        <w:rPr>
          <w:rFonts w:cs="Times New Roman"/>
          <w:vertAlign w:val="superscript"/>
        </w:rPr>
        <w:t>3</w:t>
      </w:r>
      <w:r>
        <w:rPr>
          <w:rFonts w:cs="Times New Roman"/>
        </w:rPr>
        <w:t>/</w:t>
      </w:r>
      <w:r>
        <w:rPr>
          <w:rFonts w:cs="Times New Roman" w:hint="eastAsia"/>
        </w:rPr>
        <w:t>a</w:t>
      </w:r>
      <w:r>
        <w:rPr>
          <w:rFonts w:cs="Times New Roman" w:hint="eastAsia"/>
        </w:rPr>
        <w:t>。软化水制备率一般为</w:t>
      </w:r>
      <w:r>
        <w:rPr>
          <w:rFonts w:cs="Times New Roman" w:hint="eastAsia"/>
        </w:rPr>
        <w:t>90%</w:t>
      </w:r>
      <w:r>
        <w:rPr>
          <w:rFonts w:cs="Times New Roman" w:hint="eastAsia"/>
        </w:rPr>
        <w:t>，则制软化水所用新鲜水量</w:t>
      </w:r>
      <w:r>
        <w:rPr>
          <w:rFonts w:cs="Times New Roman" w:hint="eastAsia"/>
        </w:rPr>
        <w:t>9392.22</w:t>
      </w:r>
      <w:r>
        <w:rPr>
          <w:rFonts w:cs="Times New Roman"/>
        </w:rPr>
        <w:t>m</w:t>
      </w:r>
      <w:r>
        <w:rPr>
          <w:rFonts w:cs="Times New Roman"/>
          <w:vertAlign w:val="superscript"/>
        </w:rPr>
        <w:t>3</w:t>
      </w:r>
      <w:r>
        <w:rPr>
          <w:rFonts w:cs="Times New Roman"/>
        </w:rPr>
        <w:t>/</w:t>
      </w:r>
      <w:r>
        <w:rPr>
          <w:rFonts w:cs="Times New Roman" w:hint="eastAsia"/>
        </w:rPr>
        <w:t>a</w:t>
      </w:r>
      <w:r>
        <w:rPr>
          <w:rFonts w:cs="Times New Roman" w:hint="eastAsia"/>
        </w:rPr>
        <w:t>。</w:t>
      </w:r>
    </w:p>
    <w:p w14:paraId="6795C665" w14:textId="77777777" w:rsidR="003E78AB" w:rsidRDefault="00010BF9">
      <w:pPr>
        <w:pStyle w:val="B0"/>
        <w:widowControl w:val="0"/>
        <w:ind w:firstLine="480"/>
        <w:rPr>
          <w:rFonts w:cs="Times New Roman"/>
        </w:rPr>
      </w:pPr>
      <w:r>
        <w:rPr>
          <w:rFonts w:cs="Times New Roman" w:hint="eastAsia"/>
        </w:rPr>
        <w:t>（</w:t>
      </w:r>
      <w:r>
        <w:rPr>
          <w:rFonts w:cs="Times New Roman" w:hint="eastAsia"/>
        </w:rPr>
        <w:t>3</w:t>
      </w:r>
      <w:r>
        <w:rPr>
          <w:rFonts w:cs="Times New Roman" w:hint="eastAsia"/>
        </w:rPr>
        <w:t>）</w:t>
      </w:r>
      <w:r>
        <w:rPr>
          <w:rFonts w:cs="Times New Roman"/>
        </w:rPr>
        <w:t>冷却塔补水</w:t>
      </w:r>
    </w:p>
    <w:p w14:paraId="77E909D9" w14:textId="77777777" w:rsidR="003E78AB" w:rsidRDefault="00010BF9">
      <w:pPr>
        <w:pStyle w:val="B0"/>
        <w:widowControl w:val="0"/>
        <w:ind w:firstLine="480"/>
        <w:rPr>
          <w:rFonts w:cs="Times New Roman"/>
        </w:rPr>
      </w:pPr>
      <w:r>
        <w:rPr>
          <w:rFonts w:cs="Times New Roman"/>
        </w:rPr>
        <w:t>闭式循环系统的外部冷却为市政自来水，补水量</w:t>
      </w:r>
      <w:r>
        <w:rPr>
          <w:rFonts w:cs="Times New Roman"/>
        </w:rPr>
        <w:t>1.6m³/h</w:t>
      </w:r>
      <w:r>
        <w:rPr>
          <w:rFonts w:cs="Times New Roman"/>
        </w:rPr>
        <w:t>（折合</w:t>
      </w:r>
      <w:r>
        <w:rPr>
          <w:rFonts w:cs="Times New Roman"/>
        </w:rPr>
        <w:t>12672m</w:t>
      </w:r>
      <w:r>
        <w:rPr>
          <w:rFonts w:cs="Times New Roman"/>
          <w:vertAlign w:val="superscript"/>
        </w:rPr>
        <w:t>3</w:t>
      </w:r>
      <w:r>
        <w:rPr>
          <w:rFonts w:cs="Times New Roman"/>
        </w:rPr>
        <w:t>/a</w:t>
      </w:r>
      <w:r>
        <w:rPr>
          <w:rFonts w:cs="Times New Roman"/>
        </w:rPr>
        <w:t>）</w:t>
      </w:r>
      <w:r>
        <w:rPr>
          <w:rFonts w:cs="Times New Roman" w:hint="eastAsia"/>
        </w:rPr>
        <w:t>，补水量按循环用水量的</w:t>
      </w:r>
      <w:r>
        <w:rPr>
          <w:rFonts w:cs="Times New Roman" w:hint="eastAsia"/>
        </w:rPr>
        <w:t>2%</w:t>
      </w:r>
      <w:r>
        <w:rPr>
          <w:rFonts w:cs="Times New Roman" w:hint="eastAsia"/>
        </w:rPr>
        <w:t>，则循环量</w:t>
      </w:r>
      <w:r>
        <w:rPr>
          <w:rFonts w:cs="Times New Roman" w:hint="eastAsia"/>
        </w:rPr>
        <w:t>620928</w:t>
      </w:r>
      <w:r>
        <w:rPr>
          <w:rFonts w:cs="Times New Roman"/>
        </w:rPr>
        <w:t>m</w:t>
      </w:r>
      <w:r>
        <w:rPr>
          <w:rFonts w:cs="Times New Roman"/>
          <w:vertAlign w:val="superscript"/>
        </w:rPr>
        <w:t>3</w:t>
      </w:r>
      <w:r>
        <w:rPr>
          <w:rFonts w:cs="Times New Roman"/>
        </w:rPr>
        <w:t>/a</w:t>
      </w:r>
      <w:r>
        <w:rPr>
          <w:rFonts w:cs="Times New Roman"/>
        </w:rPr>
        <w:t>。</w:t>
      </w:r>
    </w:p>
    <w:bookmarkEnd w:id="244"/>
    <w:p w14:paraId="422BBF05" w14:textId="77777777" w:rsidR="003E78AB" w:rsidRDefault="00010BF9">
      <w:pPr>
        <w:pStyle w:val="B0"/>
        <w:widowControl w:val="0"/>
        <w:ind w:firstLine="480"/>
        <w:rPr>
          <w:rFonts w:cs="Times New Roman"/>
        </w:rPr>
      </w:pPr>
      <w:r>
        <w:rPr>
          <w:rFonts w:cs="Times New Roman"/>
        </w:rPr>
        <w:t>（</w:t>
      </w:r>
      <w:r>
        <w:rPr>
          <w:rFonts w:cs="Times New Roman" w:hint="eastAsia"/>
        </w:rPr>
        <w:t>4</w:t>
      </w:r>
      <w:r>
        <w:rPr>
          <w:rFonts w:cs="Times New Roman"/>
        </w:rPr>
        <w:t>）</w:t>
      </w:r>
      <w:r>
        <w:rPr>
          <w:rFonts w:cs="Times New Roman" w:hint="eastAsia"/>
        </w:rPr>
        <w:t>生产系统补充</w:t>
      </w:r>
    </w:p>
    <w:p w14:paraId="234BFFF4" w14:textId="77777777" w:rsidR="003E78AB" w:rsidRDefault="00010BF9">
      <w:pPr>
        <w:pStyle w:val="B0"/>
        <w:widowControl w:val="0"/>
        <w:ind w:firstLine="480"/>
        <w:rPr>
          <w:rFonts w:cs="Times New Roman"/>
        </w:rPr>
      </w:pPr>
      <w:r>
        <w:rPr>
          <w:rFonts w:cs="Times New Roman" w:hint="eastAsia"/>
        </w:rPr>
        <w:t>生产系统使用超纯水参与浓硫酸稀释、阳极罐加水、调制加水，需用水量</w:t>
      </w:r>
      <w:r>
        <w:rPr>
          <w:rFonts w:cs="Times New Roman" w:hint="eastAsia"/>
        </w:rPr>
        <w:t>32570.49</w:t>
      </w:r>
      <w:r>
        <w:rPr>
          <w:rFonts w:cs="Times New Roman"/>
        </w:rPr>
        <w:t>m</w:t>
      </w:r>
      <w:r>
        <w:rPr>
          <w:rFonts w:cs="Times New Roman"/>
          <w:vertAlign w:val="superscript"/>
        </w:rPr>
        <w:t>3</w:t>
      </w:r>
      <w:r>
        <w:rPr>
          <w:rFonts w:cs="Times New Roman"/>
        </w:rPr>
        <w:t>/a</w:t>
      </w:r>
      <w:r>
        <w:rPr>
          <w:rFonts w:cs="Times New Roman" w:hint="eastAsia"/>
        </w:rPr>
        <w:t>，溶解还原过程生成水分、阳极罐析氧反应消耗水分，折合反应带入产品的水量为</w:t>
      </w:r>
      <w:r>
        <w:rPr>
          <w:rFonts w:cs="Times New Roman" w:hint="eastAsia"/>
        </w:rPr>
        <w:t>1281.92</w:t>
      </w:r>
      <w:r>
        <w:rPr>
          <w:rFonts w:cs="Times New Roman"/>
        </w:rPr>
        <w:t>m</w:t>
      </w:r>
      <w:r>
        <w:rPr>
          <w:rFonts w:cs="Times New Roman"/>
          <w:vertAlign w:val="superscript"/>
        </w:rPr>
        <w:t>3</w:t>
      </w:r>
      <w:r>
        <w:rPr>
          <w:rFonts w:cs="Times New Roman"/>
        </w:rPr>
        <w:t>/a</w:t>
      </w:r>
      <w:r>
        <w:rPr>
          <w:rFonts w:cs="Times New Roman" w:hint="eastAsia"/>
        </w:rPr>
        <w:t>。</w:t>
      </w:r>
    </w:p>
    <w:p w14:paraId="35A70504" w14:textId="77777777" w:rsidR="003E78AB" w:rsidRDefault="00010BF9">
      <w:pPr>
        <w:ind w:firstLine="480"/>
      </w:pPr>
      <w:r>
        <w:rPr>
          <w:rFonts w:hint="eastAsia"/>
        </w:rPr>
        <w:t>（</w:t>
      </w:r>
      <w:r>
        <w:rPr>
          <w:rFonts w:hint="eastAsia"/>
        </w:rPr>
        <w:t>5</w:t>
      </w:r>
      <w:r>
        <w:rPr>
          <w:rFonts w:hint="eastAsia"/>
        </w:rPr>
        <w:t>）</w:t>
      </w:r>
      <w:r>
        <w:t>废气喷淋系统补充水</w:t>
      </w:r>
    </w:p>
    <w:p w14:paraId="637827F8" w14:textId="77777777" w:rsidR="003E78AB" w:rsidRDefault="00010BF9">
      <w:pPr>
        <w:ind w:firstLine="480"/>
      </w:pPr>
      <w:r>
        <w:t>本项目废气治理过程使用了碱洗、水洗等设施，其运行过程需要定期排污并补充新水，</w:t>
      </w:r>
      <w:r>
        <w:rPr>
          <w:rFonts w:hint="eastAsia"/>
        </w:rPr>
        <w:t>经核算</w:t>
      </w:r>
      <w:r>
        <w:t>新水补充量约为</w:t>
      </w:r>
      <w:r>
        <w:rPr>
          <w:rFonts w:hint="eastAsia"/>
        </w:rPr>
        <w:t>1930.93</w:t>
      </w:r>
      <w:r>
        <w:t>m</w:t>
      </w:r>
      <w:r>
        <w:rPr>
          <w:vertAlign w:val="superscript"/>
        </w:rPr>
        <w:t>3</w:t>
      </w:r>
      <w:r>
        <w:t>/a</w:t>
      </w:r>
      <w:r>
        <w:t>。</w:t>
      </w:r>
      <w:r>
        <w:rPr>
          <w:rFonts w:hint="eastAsia"/>
        </w:rPr>
        <w:t>具体核算情况如下：</w:t>
      </w:r>
    </w:p>
    <w:p w14:paraId="13A233CE" w14:textId="77777777" w:rsidR="003E78AB" w:rsidRDefault="00010BF9">
      <w:pPr>
        <w:ind w:firstLine="480"/>
      </w:pPr>
      <w:r>
        <w:rPr>
          <w:rFonts w:hint="eastAsia"/>
        </w:rPr>
        <w:t>本项目使用</w:t>
      </w:r>
      <w:r>
        <w:rPr>
          <w:rFonts w:hint="eastAsia"/>
        </w:rPr>
        <w:t>209.3t/a</w:t>
      </w:r>
      <w:r>
        <w:rPr>
          <w:rFonts w:hint="eastAsia"/>
        </w:rPr>
        <w:t>的</w:t>
      </w:r>
      <w:r>
        <w:rPr>
          <w:rFonts w:hint="eastAsia"/>
        </w:rPr>
        <w:t>NaOH</w:t>
      </w:r>
      <w:r>
        <w:rPr>
          <w:rFonts w:hint="eastAsia"/>
        </w:rPr>
        <w:t>配置碱液，根据物料平衡中酸性气体（硫酸雾、磷酸雾、甲酸雾、草酸雾等）成分核算出处理效率条件下所需的</w:t>
      </w:r>
      <w:r>
        <w:rPr>
          <w:rFonts w:hint="eastAsia"/>
        </w:rPr>
        <w:t>NaOH</w:t>
      </w:r>
      <w:r>
        <w:rPr>
          <w:rFonts w:hint="eastAsia"/>
        </w:rPr>
        <w:t>量</w:t>
      </w:r>
      <w:r>
        <w:rPr>
          <w:rFonts w:hint="eastAsia"/>
        </w:rPr>
        <w:t>28.88t/a</w:t>
      </w:r>
      <w:r>
        <w:rPr>
          <w:rFonts w:hint="eastAsia"/>
        </w:rPr>
        <w:t>，为保证处理效率，考虑到尾气中含有大量的</w:t>
      </w:r>
      <w:r>
        <w:rPr>
          <w:rFonts w:hint="eastAsia"/>
        </w:rPr>
        <w:t>CO</w:t>
      </w:r>
      <w:r>
        <w:rPr>
          <w:rFonts w:hint="eastAsia"/>
          <w:vertAlign w:val="subscript"/>
        </w:rPr>
        <w:t>2</w:t>
      </w:r>
      <w:r>
        <w:rPr>
          <w:rFonts w:hint="eastAsia"/>
        </w:rPr>
        <w:t>，</w:t>
      </w:r>
      <w:r>
        <w:rPr>
          <w:rFonts w:hint="eastAsia"/>
        </w:rPr>
        <w:t>CO</w:t>
      </w:r>
      <w:r>
        <w:rPr>
          <w:rFonts w:hint="eastAsia"/>
          <w:vertAlign w:val="subscript"/>
        </w:rPr>
        <w:t>2</w:t>
      </w:r>
      <w:r>
        <w:rPr>
          <w:rFonts w:hint="eastAsia"/>
        </w:rPr>
        <w:t>与</w:t>
      </w:r>
      <w:r>
        <w:rPr>
          <w:rFonts w:hint="eastAsia"/>
        </w:rPr>
        <w:t>NaOH</w:t>
      </w:r>
      <w:r>
        <w:rPr>
          <w:rFonts w:hint="eastAsia"/>
        </w:rPr>
        <w:t>生成</w:t>
      </w:r>
      <w:r>
        <w:rPr>
          <w:rFonts w:hint="eastAsia"/>
        </w:rPr>
        <w:t>NaHCO</w:t>
      </w:r>
      <w:r>
        <w:rPr>
          <w:rFonts w:hint="eastAsia"/>
          <w:vertAlign w:val="subscript"/>
        </w:rPr>
        <w:t>3</w:t>
      </w:r>
      <w:r>
        <w:rPr>
          <w:rFonts w:hint="eastAsia"/>
        </w:rPr>
        <w:t>，剩余</w:t>
      </w:r>
      <w:r>
        <w:rPr>
          <w:rFonts w:hint="eastAsia"/>
        </w:rPr>
        <w:t>NaOH</w:t>
      </w:r>
      <w:r>
        <w:rPr>
          <w:rFonts w:hint="eastAsia"/>
        </w:rPr>
        <w:t>量</w:t>
      </w:r>
      <w:r>
        <w:rPr>
          <w:rFonts w:hint="eastAsia"/>
        </w:rPr>
        <w:t>180.42t/a</w:t>
      </w:r>
      <w:r>
        <w:rPr>
          <w:rFonts w:hint="eastAsia"/>
        </w:rPr>
        <w:t>主要参与了与</w:t>
      </w:r>
      <w:r>
        <w:rPr>
          <w:rFonts w:hint="eastAsia"/>
        </w:rPr>
        <w:t>CO</w:t>
      </w:r>
      <w:r>
        <w:rPr>
          <w:rFonts w:hint="eastAsia"/>
          <w:vertAlign w:val="subscript"/>
        </w:rPr>
        <w:t>2</w:t>
      </w:r>
      <w:r>
        <w:rPr>
          <w:rFonts w:hint="eastAsia"/>
        </w:rPr>
        <w:t>的反应。由此推算出析出的盐量由</w:t>
      </w:r>
      <w:r>
        <w:rPr>
          <w:rFonts w:hint="eastAsia"/>
        </w:rPr>
        <w:t>288.93t/a</w:t>
      </w:r>
      <w:r>
        <w:rPr>
          <w:rFonts w:hint="eastAsia"/>
        </w:rPr>
        <w:t>。</w:t>
      </w:r>
    </w:p>
    <w:p w14:paraId="50AA3017" w14:textId="77777777" w:rsidR="003E78AB" w:rsidRDefault="00010BF9">
      <w:pPr>
        <w:ind w:firstLine="480"/>
      </w:pPr>
      <w:r>
        <w:rPr>
          <w:rFonts w:hint="eastAsia"/>
        </w:rPr>
        <w:t>本项目配套</w:t>
      </w:r>
      <w:r>
        <w:rPr>
          <w:rFonts w:hint="eastAsia"/>
        </w:rPr>
        <w:t>1m</w:t>
      </w:r>
      <w:r>
        <w:rPr>
          <w:rFonts w:hint="eastAsia"/>
          <w:vertAlign w:val="superscript"/>
        </w:rPr>
        <w:t>3</w:t>
      </w:r>
      <w:r>
        <w:rPr>
          <w:rFonts w:hint="eastAsia"/>
        </w:rPr>
        <w:t>蒸发釜处理碱洗塔高浓度循环水，当循环水含盐量超过</w:t>
      </w:r>
      <w:r>
        <w:rPr>
          <w:rFonts w:hint="eastAsia"/>
        </w:rPr>
        <w:t>20%</w:t>
      </w:r>
      <w:r>
        <w:rPr>
          <w:rFonts w:hint="eastAsia"/>
        </w:rPr>
        <w:t>时，启动蒸发釜处置。可蒸发结晶</w:t>
      </w:r>
      <w:r>
        <w:rPr>
          <w:rFonts w:hint="eastAsia"/>
        </w:rPr>
        <w:t>250kg</w:t>
      </w:r>
      <w:r>
        <w:rPr>
          <w:rFonts w:hint="eastAsia"/>
        </w:rPr>
        <w:t>湿盐（</w:t>
      </w:r>
      <w:r>
        <w:t>盐</w:t>
      </w:r>
      <w:r>
        <w:t>200kg+</w:t>
      </w:r>
      <w:r>
        <w:t>水</w:t>
      </w:r>
      <w:r>
        <w:t>50kg</w:t>
      </w:r>
      <w:r>
        <w:rPr>
          <w:rFonts w:hint="eastAsia"/>
        </w:rPr>
        <w:t>）</w:t>
      </w:r>
      <w:r>
        <w:rPr>
          <w:rFonts w:hint="eastAsia"/>
        </w:rPr>
        <w:t>+750kg</w:t>
      </w:r>
      <w:r>
        <w:rPr>
          <w:rFonts w:hint="eastAsia"/>
        </w:rPr>
        <w:t>蒸馏水。由此推算出蒸发釜年理论运行批次为</w:t>
      </w:r>
      <w:r>
        <w:rPr>
          <w:rFonts w:hint="eastAsia"/>
        </w:rPr>
        <w:t>288930kg/200kg/</w:t>
      </w:r>
      <w:r>
        <w:rPr>
          <w:rFonts w:hint="eastAsia"/>
        </w:rPr>
        <w:t>批</w:t>
      </w:r>
      <w:r>
        <w:rPr>
          <w:rFonts w:hint="eastAsia"/>
        </w:rPr>
        <w:t>=1445</w:t>
      </w:r>
      <w:r>
        <w:rPr>
          <w:rFonts w:hint="eastAsia"/>
        </w:rPr>
        <w:t>批，每批次处理时间约</w:t>
      </w:r>
      <w:r>
        <w:rPr>
          <w:rFonts w:hint="eastAsia"/>
        </w:rPr>
        <w:t>5.48h</w:t>
      </w:r>
      <w:r>
        <w:rPr>
          <w:rFonts w:hint="eastAsia"/>
        </w:rPr>
        <w:t>，可结合实际情况连续运行多个批次。每年产生的湿盐量：</w:t>
      </w:r>
      <w:r>
        <w:rPr>
          <w:rFonts w:hint="eastAsia"/>
        </w:rPr>
        <w:t>1445</w:t>
      </w:r>
      <w:r>
        <w:rPr>
          <w:rFonts w:hint="eastAsia"/>
        </w:rPr>
        <w:t>批</w:t>
      </w:r>
      <w:r>
        <w:rPr>
          <w:rFonts w:hint="eastAsia"/>
        </w:rPr>
        <w:t>*250kg/</w:t>
      </w:r>
      <w:r>
        <w:rPr>
          <w:rFonts w:hint="eastAsia"/>
        </w:rPr>
        <w:t>批</w:t>
      </w:r>
      <w:r>
        <w:rPr>
          <w:rFonts w:hint="eastAsia"/>
        </w:rPr>
        <w:t>=361.25t/a</w:t>
      </w:r>
      <w:r>
        <w:rPr>
          <w:rFonts w:hint="eastAsia"/>
        </w:rPr>
        <w:t>（其中干盐</w:t>
      </w:r>
      <w:r>
        <w:rPr>
          <w:rFonts w:hint="eastAsia"/>
        </w:rPr>
        <w:t>288.93t/a</w:t>
      </w:r>
      <w:r>
        <w:rPr>
          <w:rFonts w:hint="eastAsia"/>
        </w:rPr>
        <w:t>，水</w:t>
      </w:r>
      <w:r>
        <w:rPr>
          <w:rFonts w:hint="eastAsia"/>
        </w:rPr>
        <w:t>72.32t/a</w:t>
      </w:r>
      <w:r>
        <w:rPr>
          <w:rFonts w:hint="eastAsia"/>
        </w:rPr>
        <w:t>）。</w:t>
      </w:r>
    </w:p>
    <w:p w14:paraId="2C03BC6C" w14:textId="77777777" w:rsidR="003E78AB" w:rsidRDefault="00010BF9">
      <w:pPr>
        <w:ind w:firstLine="480"/>
      </w:pPr>
      <w:r>
        <w:rPr>
          <w:rFonts w:hint="eastAsia"/>
        </w:rPr>
        <w:t>则散失水量</w:t>
      </w:r>
      <w:r>
        <w:rPr>
          <w:rFonts w:hint="eastAsia"/>
        </w:rPr>
        <w:t>1695.92m</w:t>
      </w:r>
      <w:r>
        <w:rPr>
          <w:rFonts w:hint="eastAsia"/>
          <w:vertAlign w:val="superscript"/>
        </w:rPr>
        <w:t>3</w:t>
      </w:r>
      <w:r>
        <w:rPr>
          <w:rFonts w:hint="eastAsia"/>
        </w:rPr>
        <w:t>/a</w:t>
      </w:r>
      <w:r>
        <w:rPr>
          <w:rFonts w:hint="eastAsia"/>
        </w:rPr>
        <w:t>：</w:t>
      </w:r>
    </w:p>
    <w:p w14:paraId="26603B73" w14:textId="77777777" w:rsidR="003E78AB" w:rsidRDefault="00010BF9">
      <w:pPr>
        <w:ind w:firstLine="480"/>
      </w:pPr>
      <w:r>
        <w:rPr>
          <w:rFonts w:hint="eastAsia"/>
        </w:rPr>
        <w:t>①湿盐带走水分</w:t>
      </w:r>
      <w:r>
        <w:rPr>
          <w:rFonts w:hint="eastAsia"/>
        </w:rPr>
        <w:t>72.32m</w:t>
      </w:r>
      <w:r>
        <w:rPr>
          <w:rFonts w:hint="eastAsia"/>
          <w:vertAlign w:val="superscript"/>
        </w:rPr>
        <w:t>3</w:t>
      </w:r>
      <w:r>
        <w:rPr>
          <w:rFonts w:hint="eastAsia"/>
        </w:rPr>
        <w:t>/a</w:t>
      </w:r>
      <w:r>
        <w:rPr>
          <w:rFonts w:hint="eastAsia"/>
        </w:rPr>
        <w:t>；</w:t>
      </w:r>
    </w:p>
    <w:p w14:paraId="54D577CD" w14:textId="77777777" w:rsidR="003E78AB" w:rsidRDefault="00010BF9">
      <w:pPr>
        <w:ind w:firstLine="480"/>
      </w:pPr>
      <w:r>
        <w:rPr>
          <w:rFonts w:hint="eastAsia"/>
        </w:rPr>
        <w:t>②碱液塔蒸发水量</w:t>
      </w:r>
      <w:r>
        <w:rPr>
          <w:rFonts w:hint="eastAsia"/>
        </w:rPr>
        <w:t>=12.5m</w:t>
      </w:r>
      <w:r>
        <w:rPr>
          <w:rFonts w:hint="eastAsia"/>
          <w:vertAlign w:val="superscript"/>
        </w:rPr>
        <w:t>3</w:t>
      </w:r>
      <w:r>
        <w:rPr>
          <w:rFonts w:hint="eastAsia"/>
        </w:rPr>
        <w:t>/h</w:t>
      </w:r>
      <w:r>
        <w:rPr>
          <w:rFonts w:hint="eastAsia"/>
        </w:rPr>
        <w:t>循环泵流量</w:t>
      </w:r>
      <w:r>
        <w:rPr>
          <w:rFonts w:hint="eastAsia"/>
        </w:rPr>
        <w:t>*7920h/a*1.2%</w:t>
      </w:r>
      <w:r>
        <w:rPr>
          <w:rFonts w:hint="eastAsia"/>
        </w:rPr>
        <w:t>损失率</w:t>
      </w:r>
      <w:r>
        <w:rPr>
          <w:rFonts w:hint="eastAsia"/>
        </w:rPr>
        <w:t>*1.2</w:t>
      </w:r>
      <w:r>
        <w:rPr>
          <w:rFonts w:hint="eastAsia"/>
        </w:rPr>
        <w:t>（含盐废水密度）</w:t>
      </w:r>
      <w:r>
        <w:rPr>
          <w:rFonts w:hint="eastAsia"/>
        </w:rPr>
        <w:t>=1425.6m</w:t>
      </w:r>
      <w:r>
        <w:rPr>
          <w:rFonts w:hint="eastAsia"/>
          <w:vertAlign w:val="superscript"/>
        </w:rPr>
        <w:t>3</w:t>
      </w:r>
      <w:r>
        <w:rPr>
          <w:rFonts w:hint="eastAsia"/>
        </w:rPr>
        <w:t>/a</w:t>
      </w:r>
      <w:r>
        <w:rPr>
          <w:rFonts w:hint="eastAsia"/>
        </w:rPr>
        <w:t>；</w:t>
      </w:r>
    </w:p>
    <w:p w14:paraId="1C61E930" w14:textId="77777777" w:rsidR="003E78AB" w:rsidRDefault="00010BF9">
      <w:pPr>
        <w:ind w:firstLine="480"/>
      </w:pPr>
      <w:r>
        <w:rPr>
          <w:rFonts w:hint="eastAsia"/>
        </w:rPr>
        <w:t>②水洗塔蒸发水量</w:t>
      </w:r>
      <w:r>
        <w:rPr>
          <w:rFonts w:hint="eastAsia"/>
        </w:rPr>
        <w:t>=12.5m</w:t>
      </w:r>
      <w:r>
        <w:rPr>
          <w:rFonts w:hint="eastAsia"/>
          <w:vertAlign w:val="superscript"/>
        </w:rPr>
        <w:t>3</w:t>
      </w:r>
      <w:r>
        <w:rPr>
          <w:rFonts w:hint="eastAsia"/>
        </w:rPr>
        <w:t>/h</w:t>
      </w:r>
      <w:r>
        <w:rPr>
          <w:rFonts w:hint="eastAsia"/>
        </w:rPr>
        <w:t>循环泵流量</w:t>
      </w:r>
      <w:r>
        <w:rPr>
          <w:rFonts w:hint="eastAsia"/>
        </w:rPr>
        <w:t>*7920h/a*0.2%</w:t>
      </w:r>
      <w:r>
        <w:rPr>
          <w:rFonts w:hint="eastAsia"/>
        </w:rPr>
        <w:t>损失率</w:t>
      </w:r>
      <w:r>
        <w:rPr>
          <w:rFonts w:hint="eastAsia"/>
        </w:rPr>
        <w:t>=198m</w:t>
      </w:r>
      <w:r>
        <w:rPr>
          <w:rFonts w:hint="eastAsia"/>
          <w:vertAlign w:val="superscript"/>
        </w:rPr>
        <w:t>3</w:t>
      </w:r>
      <w:r>
        <w:rPr>
          <w:rFonts w:hint="eastAsia"/>
        </w:rPr>
        <w:t>/a</w:t>
      </w:r>
      <w:r>
        <w:rPr>
          <w:rFonts w:hint="eastAsia"/>
        </w:rPr>
        <w:t>；</w:t>
      </w:r>
    </w:p>
    <w:p w14:paraId="733B979F" w14:textId="77777777" w:rsidR="003E78AB" w:rsidRDefault="00010BF9">
      <w:pPr>
        <w:ind w:firstLine="480"/>
      </w:pPr>
      <w:r>
        <w:rPr>
          <w:rFonts w:hint="eastAsia"/>
        </w:rPr>
        <w:t>反应生成水量</w:t>
      </w:r>
      <w:r>
        <w:rPr>
          <w:rFonts w:hint="eastAsia"/>
        </w:rPr>
        <w:t>1137.67m</w:t>
      </w:r>
      <w:r>
        <w:rPr>
          <w:rFonts w:hint="eastAsia"/>
          <w:vertAlign w:val="superscript"/>
        </w:rPr>
        <w:t>3</w:t>
      </w:r>
      <w:r>
        <w:rPr>
          <w:rFonts w:hint="eastAsia"/>
        </w:rPr>
        <w:t>/a</w:t>
      </w:r>
      <w:r>
        <w:rPr>
          <w:rFonts w:hint="eastAsia"/>
        </w:rPr>
        <w:t>：</w:t>
      </w:r>
    </w:p>
    <w:p w14:paraId="5034B003" w14:textId="77777777" w:rsidR="003E78AB" w:rsidRDefault="00010BF9">
      <w:pPr>
        <w:ind w:firstLine="480"/>
      </w:pPr>
      <w:r>
        <w:rPr>
          <w:rFonts w:hint="eastAsia"/>
        </w:rPr>
        <w:t>①</w:t>
      </w:r>
      <w:r>
        <w:rPr>
          <w:rFonts w:hint="eastAsia"/>
        </w:rPr>
        <w:t>CO</w:t>
      </w:r>
      <w:r>
        <w:rPr>
          <w:rFonts w:hint="eastAsia"/>
          <w:vertAlign w:val="subscript"/>
        </w:rPr>
        <w:t>2</w:t>
      </w:r>
      <w:r>
        <w:rPr>
          <w:rFonts w:hint="eastAsia"/>
        </w:rPr>
        <w:t>和酸性废气与</w:t>
      </w:r>
      <w:r>
        <w:rPr>
          <w:rFonts w:hint="eastAsia"/>
        </w:rPr>
        <w:t>NaOH</w:t>
      </w:r>
      <w:r>
        <w:rPr>
          <w:rFonts w:hint="eastAsia"/>
        </w:rPr>
        <w:t>中和后生成水量理论值</w:t>
      </w:r>
      <w:r>
        <w:rPr>
          <w:rFonts w:hint="eastAsia"/>
        </w:rPr>
        <w:t>53.92m</w:t>
      </w:r>
      <w:r>
        <w:rPr>
          <w:rFonts w:hint="eastAsia"/>
          <w:vertAlign w:val="superscript"/>
        </w:rPr>
        <w:t>3</w:t>
      </w:r>
      <w:r>
        <w:rPr>
          <w:rFonts w:hint="eastAsia"/>
        </w:rPr>
        <w:t>/a</w:t>
      </w:r>
      <w:r>
        <w:rPr>
          <w:rFonts w:hint="eastAsia"/>
        </w:rPr>
        <w:t>；</w:t>
      </w:r>
    </w:p>
    <w:p w14:paraId="105149AB" w14:textId="77777777" w:rsidR="003E78AB" w:rsidRDefault="00010BF9">
      <w:pPr>
        <w:ind w:firstLine="480"/>
      </w:pPr>
      <w:r>
        <w:rPr>
          <w:rFonts w:hint="eastAsia"/>
        </w:rPr>
        <w:t>②蒸发釜蒸馏水产出量</w:t>
      </w:r>
      <w:r>
        <w:rPr>
          <w:rFonts w:hint="eastAsia"/>
        </w:rPr>
        <w:t>0.75m</w:t>
      </w:r>
      <w:r>
        <w:rPr>
          <w:rFonts w:hint="eastAsia"/>
          <w:vertAlign w:val="superscript"/>
        </w:rPr>
        <w:t>3</w:t>
      </w:r>
      <w:r>
        <w:rPr>
          <w:rFonts w:hint="eastAsia"/>
        </w:rPr>
        <w:t>/</w:t>
      </w:r>
      <w:r>
        <w:rPr>
          <w:rFonts w:hint="eastAsia"/>
        </w:rPr>
        <w:t>批</w:t>
      </w:r>
      <w:r>
        <w:rPr>
          <w:rFonts w:hint="eastAsia"/>
        </w:rPr>
        <w:t>*1445</w:t>
      </w:r>
      <w:r>
        <w:rPr>
          <w:rFonts w:hint="eastAsia"/>
        </w:rPr>
        <w:t>批</w:t>
      </w:r>
      <w:r>
        <w:rPr>
          <w:rFonts w:hint="eastAsia"/>
        </w:rPr>
        <w:t>/a=1083.75m</w:t>
      </w:r>
      <w:r>
        <w:rPr>
          <w:rFonts w:hint="eastAsia"/>
          <w:vertAlign w:val="superscript"/>
        </w:rPr>
        <w:t>3</w:t>
      </w:r>
      <w:r>
        <w:rPr>
          <w:rFonts w:hint="eastAsia"/>
        </w:rPr>
        <w:t>/a</w:t>
      </w:r>
      <w:r>
        <w:rPr>
          <w:rFonts w:hint="eastAsia"/>
        </w:rPr>
        <w:t>，作为补水配置碱洗塔碱液或水洗塔补水。</w:t>
      </w:r>
    </w:p>
    <w:p w14:paraId="1983F226" w14:textId="77777777" w:rsidR="003E78AB" w:rsidRDefault="00010BF9">
      <w:pPr>
        <w:ind w:firstLine="480"/>
      </w:pPr>
      <w:r>
        <w:rPr>
          <w:rFonts w:hint="eastAsia"/>
        </w:rPr>
        <w:t>由此核算出淋洗塔新鲜水补水量</w:t>
      </w:r>
      <w:r>
        <w:rPr>
          <w:rFonts w:hint="eastAsia"/>
        </w:rPr>
        <w:t>1930.93m</w:t>
      </w:r>
      <w:r>
        <w:rPr>
          <w:rFonts w:hint="eastAsia"/>
          <w:vertAlign w:val="superscript"/>
        </w:rPr>
        <w:t>3</w:t>
      </w:r>
      <w:r>
        <w:rPr>
          <w:rFonts w:hint="eastAsia"/>
        </w:rPr>
        <w:t>/a</w:t>
      </w:r>
      <w:r>
        <w:rPr>
          <w:rFonts w:hint="eastAsia"/>
        </w:rPr>
        <w:t>。</w:t>
      </w:r>
    </w:p>
    <w:p w14:paraId="75ED6B27" w14:textId="77777777" w:rsidR="003E78AB" w:rsidRDefault="00010BF9">
      <w:pPr>
        <w:pStyle w:val="B0"/>
        <w:widowControl w:val="0"/>
        <w:ind w:firstLine="480"/>
        <w:rPr>
          <w:rFonts w:cs="Times New Roman"/>
        </w:rPr>
      </w:pPr>
      <w:r>
        <w:rPr>
          <w:rFonts w:cs="Times New Roman" w:hint="eastAsia"/>
        </w:rPr>
        <w:t>（</w:t>
      </w:r>
      <w:r>
        <w:rPr>
          <w:rFonts w:cs="Times New Roman" w:hint="eastAsia"/>
        </w:rPr>
        <w:t>5</w:t>
      </w:r>
      <w:r>
        <w:rPr>
          <w:rFonts w:cs="Times New Roman" w:hint="eastAsia"/>
        </w:rPr>
        <w:t>）实验室用水</w:t>
      </w:r>
    </w:p>
    <w:p w14:paraId="30349EB8" w14:textId="77777777" w:rsidR="003E78AB" w:rsidRDefault="00010BF9">
      <w:pPr>
        <w:pStyle w:val="B0"/>
        <w:widowControl w:val="0"/>
        <w:ind w:firstLine="480"/>
        <w:rPr>
          <w:rFonts w:cs="Times New Roman"/>
        </w:rPr>
      </w:pPr>
      <w:r>
        <w:rPr>
          <w:rFonts w:cs="Times New Roman" w:hint="eastAsia"/>
        </w:rPr>
        <w:t>项目实验室运行过程中配置试剂及化验用水为纯水，用量约</w:t>
      </w:r>
      <w:r>
        <w:rPr>
          <w:rFonts w:cs="Times New Roman" w:hint="eastAsia"/>
        </w:rPr>
        <w:t>100m</w:t>
      </w:r>
      <w:r>
        <w:rPr>
          <w:rFonts w:cs="Times New Roman" w:hint="eastAsia"/>
          <w:vertAlign w:val="superscript"/>
        </w:rPr>
        <w:t>3</w:t>
      </w:r>
      <w:r>
        <w:rPr>
          <w:rFonts w:cs="Times New Roman" w:hint="eastAsia"/>
        </w:rPr>
        <w:t>/a</w:t>
      </w:r>
      <w:r>
        <w:rPr>
          <w:rFonts w:cs="Times New Roman" w:hint="eastAsia"/>
        </w:rPr>
        <w:t>。</w:t>
      </w:r>
    </w:p>
    <w:p w14:paraId="6DB9D3E1" w14:textId="77777777" w:rsidR="003E78AB" w:rsidRDefault="00010BF9">
      <w:pPr>
        <w:pStyle w:val="B0"/>
        <w:widowControl w:val="0"/>
        <w:ind w:firstLine="480"/>
        <w:rPr>
          <w:rFonts w:cs="Times New Roman"/>
        </w:rPr>
      </w:pPr>
      <w:r>
        <w:rPr>
          <w:rFonts w:cs="Times New Roman" w:hint="eastAsia"/>
        </w:rPr>
        <w:t>（</w:t>
      </w:r>
      <w:r>
        <w:rPr>
          <w:rFonts w:cs="Times New Roman" w:hint="eastAsia"/>
        </w:rPr>
        <w:t>6</w:t>
      </w:r>
      <w:r>
        <w:rPr>
          <w:rFonts w:cs="Times New Roman" w:hint="eastAsia"/>
        </w:rPr>
        <w:t>）</w:t>
      </w:r>
      <w:r>
        <w:rPr>
          <w:rFonts w:cs="Times New Roman"/>
        </w:rPr>
        <w:t>生活用水</w:t>
      </w:r>
    </w:p>
    <w:p w14:paraId="0D02532E" w14:textId="77777777" w:rsidR="003E78AB" w:rsidRDefault="00010BF9">
      <w:pPr>
        <w:pStyle w:val="B0"/>
        <w:widowControl w:val="0"/>
        <w:ind w:firstLine="480"/>
        <w:rPr>
          <w:rFonts w:cs="Times New Roman"/>
        </w:rPr>
      </w:pPr>
      <w:r>
        <w:rPr>
          <w:rFonts w:cs="Times New Roman"/>
        </w:rPr>
        <w:t>项目劳动定员</w:t>
      </w:r>
      <w:r>
        <w:rPr>
          <w:rFonts w:cs="Times New Roman"/>
        </w:rPr>
        <w:t>94</w:t>
      </w:r>
      <w:r>
        <w:rPr>
          <w:rFonts w:cs="Times New Roman"/>
        </w:rPr>
        <w:t>人，根据《新疆维吾尔自治区工业和生活用水定额》，每人每天用水量为</w:t>
      </w:r>
      <w:r>
        <w:rPr>
          <w:rFonts w:cs="Times New Roman"/>
        </w:rPr>
        <w:t>100L</w:t>
      </w:r>
      <w:r>
        <w:rPr>
          <w:rFonts w:cs="Times New Roman"/>
        </w:rPr>
        <w:t>，故项目生活用水量为</w:t>
      </w:r>
      <w:r>
        <w:rPr>
          <w:rFonts w:cs="Times New Roman"/>
        </w:rPr>
        <w:t>3102m</w:t>
      </w:r>
      <w:r>
        <w:rPr>
          <w:rFonts w:cs="Times New Roman"/>
          <w:vertAlign w:val="superscript"/>
        </w:rPr>
        <w:t>3</w:t>
      </w:r>
      <w:r>
        <w:rPr>
          <w:rFonts w:cs="Times New Roman"/>
        </w:rPr>
        <w:t>/a</w:t>
      </w:r>
      <w:r>
        <w:rPr>
          <w:rFonts w:cs="Times New Roman"/>
        </w:rPr>
        <w:t>。</w:t>
      </w:r>
    </w:p>
    <w:p w14:paraId="2D3DC9A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3.3.4.3</w:t>
      </w:r>
      <w:r>
        <w:rPr>
          <w:rFonts w:ascii="Times New Roman" w:hAnsi="Times New Roman"/>
        </w:rPr>
        <w:t>排水量（损失水量）</w:t>
      </w:r>
    </w:p>
    <w:p w14:paraId="366ED401" w14:textId="77777777" w:rsidR="003E78AB" w:rsidRDefault="00010BF9">
      <w:pPr>
        <w:ind w:firstLine="480"/>
      </w:pPr>
      <w:r>
        <w:t>（</w:t>
      </w:r>
      <w:r>
        <w:rPr>
          <w:rFonts w:hint="eastAsia"/>
        </w:rPr>
        <w:t>1</w:t>
      </w:r>
      <w:r>
        <w:t>）纯水制备装置浓水</w:t>
      </w:r>
    </w:p>
    <w:p w14:paraId="54C80241" w14:textId="77777777" w:rsidR="003E78AB" w:rsidRDefault="00010BF9">
      <w:pPr>
        <w:ind w:firstLine="480"/>
      </w:pPr>
      <w:r>
        <w:t>纯水制备装置采用多介质过滤器</w:t>
      </w:r>
      <w:r>
        <w:t>+</w:t>
      </w:r>
      <w:r>
        <w:t>超滤工艺系统，纯水产率</w:t>
      </w:r>
      <w:r>
        <w:t>大于</w:t>
      </w:r>
      <w:r>
        <w:rPr>
          <w:rFonts w:hint="eastAsia"/>
        </w:rPr>
        <w:t>75</w:t>
      </w:r>
      <w:r>
        <w:t>%</w:t>
      </w:r>
      <w:r>
        <w:t>，则浓水产量为</w:t>
      </w:r>
      <w:r>
        <w:rPr>
          <w:rFonts w:hint="eastAsia"/>
        </w:rPr>
        <w:t>10863.50</w:t>
      </w:r>
      <w:r>
        <w:t>m</w:t>
      </w:r>
      <w:r>
        <w:rPr>
          <w:vertAlign w:val="superscript"/>
        </w:rPr>
        <w:t>3</w:t>
      </w:r>
      <w:r>
        <w:t>/a</w:t>
      </w:r>
      <w:r>
        <w:t>，</w:t>
      </w:r>
      <w:r>
        <w:rPr>
          <w:rFonts w:hint="eastAsia"/>
        </w:rPr>
        <w:t>属于清净下水，</w:t>
      </w:r>
      <w:r>
        <w:t>排入厂区污水管网，经总排口排入园区污水管网。</w:t>
      </w:r>
    </w:p>
    <w:p w14:paraId="180B53ED" w14:textId="77777777" w:rsidR="003E78AB" w:rsidRDefault="00010BF9">
      <w:pPr>
        <w:ind w:firstLine="480"/>
      </w:pPr>
      <w:r>
        <w:t>（</w:t>
      </w:r>
      <w:r>
        <w:rPr>
          <w:rFonts w:hint="eastAsia"/>
        </w:rPr>
        <w:t>2</w:t>
      </w:r>
      <w:r>
        <w:t>）软水制备装置浓水</w:t>
      </w:r>
    </w:p>
    <w:p w14:paraId="059F7C8C" w14:textId="77777777" w:rsidR="003E78AB" w:rsidRDefault="00010BF9">
      <w:pPr>
        <w:ind w:firstLine="480"/>
      </w:pPr>
      <w:r>
        <w:rPr>
          <w:rFonts w:hint="eastAsia"/>
        </w:rPr>
        <w:t>软化水</w:t>
      </w:r>
      <w:r>
        <w:t>制备装置采用</w:t>
      </w:r>
      <w:r>
        <w:rPr>
          <w:rFonts w:hint="eastAsia"/>
        </w:rPr>
        <w:t>钠离子交换法</w:t>
      </w:r>
      <w:r>
        <w:t>，</w:t>
      </w:r>
      <w:r>
        <w:rPr>
          <w:rFonts w:hint="eastAsia"/>
        </w:rPr>
        <w:t>软化水</w:t>
      </w:r>
      <w:r>
        <w:t>产率大于</w:t>
      </w:r>
      <w:r>
        <w:rPr>
          <w:rFonts w:hint="eastAsia"/>
        </w:rPr>
        <w:t>90</w:t>
      </w:r>
      <w:r>
        <w:t>%</w:t>
      </w:r>
      <w:r>
        <w:t>，则浓水产量为</w:t>
      </w:r>
      <w:r>
        <w:rPr>
          <w:rFonts w:hint="eastAsia"/>
        </w:rPr>
        <w:t>939.22</w:t>
      </w:r>
      <w:r>
        <w:t>m</w:t>
      </w:r>
      <w:r>
        <w:rPr>
          <w:vertAlign w:val="superscript"/>
        </w:rPr>
        <w:t>3</w:t>
      </w:r>
      <w:r>
        <w:t>/a</w:t>
      </w:r>
      <w:r>
        <w:t>，</w:t>
      </w:r>
      <w:r>
        <w:rPr>
          <w:rFonts w:hint="eastAsia"/>
        </w:rPr>
        <w:t>属于清净下水，</w:t>
      </w:r>
      <w:r>
        <w:t>排入厂区污水管网，经总排口排入园区污水管网。</w:t>
      </w:r>
    </w:p>
    <w:p w14:paraId="5279CB58" w14:textId="77777777" w:rsidR="003E78AB" w:rsidRDefault="00010BF9">
      <w:pPr>
        <w:tabs>
          <w:tab w:val="left" w:pos="2463"/>
        </w:tabs>
        <w:ind w:firstLine="480"/>
      </w:pPr>
      <w:r>
        <w:t>（</w:t>
      </w:r>
      <w:r>
        <w:rPr>
          <w:rFonts w:hint="eastAsia"/>
        </w:rPr>
        <w:t>3</w:t>
      </w:r>
      <w:r>
        <w:t>）</w:t>
      </w:r>
      <w:r>
        <w:rPr>
          <w:rFonts w:hint="eastAsia"/>
        </w:rPr>
        <w:t>闭式</w:t>
      </w:r>
      <w:r>
        <w:t>冷却循环水损失</w:t>
      </w:r>
    </w:p>
    <w:p w14:paraId="257AC98F" w14:textId="77777777" w:rsidR="003E78AB" w:rsidRDefault="00010BF9">
      <w:pPr>
        <w:ind w:firstLine="480"/>
      </w:pPr>
      <w:r>
        <w:t>本项目闭式冷却循环水系统采用</w:t>
      </w:r>
      <w:r>
        <w:rPr>
          <w:rFonts w:hint="eastAsia"/>
        </w:rPr>
        <w:t>新鲜水</w:t>
      </w:r>
      <w:r>
        <w:t>间接冷却，不与生产过程中的直接物料接触，在换热过程部分水量会蒸发损失，损失量等于补水量，约</w:t>
      </w:r>
      <w:r>
        <w:t>1.6m³/h</w:t>
      </w:r>
      <w:r>
        <w:t>（折合</w:t>
      </w:r>
      <w:r>
        <w:t>12672m</w:t>
      </w:r>
      <w:r>
        <w:rPr>
          <w:vertAlign w:val="superscript"/>
        </w:rPr>
        <w:t>3</w:t>
      </w:r>
      <w:r>
        <w:t>/a</w:t>
      </w:r>
      <w:r>
        <w:t>）。</w:t>
      </w:r>
    </w:p>
    <w:p w14:paraId="72933D93" w14:textId="77777777" w:rsidR="003E78AB" w:rsidRDefault="00010BF9">
      <w:pPr>
        <w:tabs>
          <w:tab w:val="left" w:pos="2463"/>
        </w:tabs>
        <w:ind w:firstLine="480"/>
      </w:pPr>
      <w:r>
        <w:rPr>
          <w:rFonts w:hint="eastAsia"/>
        </w:rPr>
        <w:t>（</w:t>
      </w:r>
      <w:r>
        <w:rPr>
          <w:rFonts w:hint="eastAsia"/>
        </w:rPr>
        <w:t>4</w:t>
      </w:r>
      <w:r>
        <w:rPr>
          <w:rFonts w:hint="eastAsia"/>
        </w:rPr>
        <w:t>）制冷系统</w:t>
      </w:r>
      <w:r>
        <w:t>损失</w:t>
      </w:r>
    </w:p>
    <w:p w14:paraId="15AE2D50" w14:textId="77777777" w:rsidR="003E78AB" w:rsidRDefault="00010BF9">
      <w:pPr>
        <w:ind w:firstLine="480"/>
      </w:pPr>
      <w:r>
        <w:t>本项目</w:t>
      </w:r>
      <w:r>
        <w:rPr>
          <w:rFonts w:hint="eastAsia"/>
        </w:rPr>
        <w:t>制冷系统</w:t>
      </w:r>
      <w:r>
        <w:t>换热过程部分水量会蒸发损失，</w:t>
      </w:r>
      <w:r>
        <w:rPr>
          <w:rFonts w:hint="eastAsia"/>
        </w:rPr>
        <w:t>制冷按</w:t>
      </w:r>
      <w:r>
        <w:rPr>
          <w:rFonts w:hint="eastAsia"/>
        </w:rPr>
        <w:t>90d/a</w:t>
      </w:r>
      <w:r>
        <w:rPr>
          <w:rFonts w:hint="eastAsia"/>
        </w:rPr>
        <w:t>，</w:t>
      </w:r>
      <w:r>
        <w:t>损失量等于补水量，约</w:t>
      </w:r>
      <w:r>
        <w:rPr>
          <w:rFonts w:hint="eastAsia"/>
        </w:rPr>
        <w:t>3</w:t>
      </w:r>
      <w:r>
        <w:t>m³/h</w:t>
      </w:r>
      <w:r>
        <w:t>（折合</w:t>
      </w:r>
      <w:r>
        <w:rPr>
          <w:rFonts w:hint="eastAsia"/>
        </w:rPr>
        <w:t>6480</w:t>
      </w:r>
      <w:r>
        <w:t>m</w:t>
      </w:r>
      <w:r>
        <w:rPr>
          <w:vertAlign w:val="superscript"/>
        </w:rPr>
        <w:t>3</w:t>
      </w:r>
      <w:r>
        <w:t>/a</w:t>
      </w:r>
      <w:r>
        <w:t>）</w:t>
      </w:r>
    </w:p>
    <w:p w14:paraId="560D01BF" w14:textId="77777777" w:rsidR="003E78AB" w:rsidRDefault="00010BF9">
      <w:pPr>
        <w:ind w:firstLine="480"/>
      </w:pPr>
      <w:r>
        <w:rPr>
          <w:rFonts w:hint="eastAsia"/>
        </w:rPr>
        <w:t>（</w:t>
      </w:r>
      <w:r>
        <w:rPr>
          <w:rFonts w:hint="eastAsia"/>
        </w:rPr>
        <w:t>5</w:t>
      </w:r>
      <w:r>
        <w:rPr>
          <w:rFonts w:hint="eastAsia"/>
        </w:rPr>
        <w:t>）生产系统水损失</w:t>
      </w:r>
    </w:p>
    <w:p w14:paraId="4C08D241" w14:textId="77777777" w:rsidR="003E78AB" w:rsidRDefault="00010BF9">
      <w:pPr>
        <w:ind w:firstLine="480"/>
      </w:pPr>
      <w:r>
        <w:rPr>
          <w:rFonts w:hint="eastAsia"/>
        </w:rPr>
        <w:t>生产系统补水全部进入钒电解液产品，进产品的水量</w:t>
      </w:r>
      <w:r>
        <w:rPr>
          <w:rFonts w:hint="eastAsia"/>
        </w:rPr>
        <w:t>33852.41</w:t>
      </w:r>
      <w:r>
        <w:t>m</w:t>
      </w:r>
      <w:r>
        <w:rPr>
          <w:vertAlign w:val="superscript"/>
        </w:rPr>
        <w:t>3</w:t>
      </w:r>
      <w:r>
        <w:t>/a</w:t>
      </w:r>
      <w:r>
        <w:t>。</w:t>
      </w:r>
    </w:p>
    <w:p w14:paraId="0976E79A" w14:textId="77777777" w:rsidR="003E78AB" w:rsidRDefault="00010BF9">
      <w:pPr>
        <w:ind w:firstLine="480"/>
      </w:pPr>
      <w:r>
        <w:t>（</w:t>
      </w:r>
      <w:r>
        <w:rPr>
          <w:rFonts w:hint="eastAsia"/>
        </w:rPr>
        <w:t>6</w:t>
      </w:r>
      <w:r>
        <w:t>）锅炉排污水</w:t>
      </w:r>
    </w:p>
    <w:p w14:paraId="319FA635" w14:textId="77777777" w:rsidR="003E78AB" w:rsidRDefault="00010BF9">
      <w:pPr>
        <w:ind w:firstLine="480"/>
      </w:pPr>
      <w:r>
        <w:t>根据《工业源产排污核算方法和系数手册》（公告</w:t>
      </w:r>
      <w:r>
        <w:t>2021</w:t>
      </w:r>
      <w:r>
        <w:t>年第</w:t>
      </w:r>
      <w:r>
        <w:t>24</w:t>
      </w:r>
      <w:r>
        <w:t>号）中</w:t>
      </w:r>
      <w:r>
        <w:t>“4430</w:t>
      </w:r>
      <w:r>
        <w:t>工业锅炉（热力供应）行业系数手册</w:t>
      </w:r>
      <w:r>
        <w:t>”</w:t>
      </w:r>
      <w:r>
        <w:t>中内容，锅内水处理：是指通过向锅炉内投入一定数量的软水剂，使锅炉给水中的结垢物质转变成泥垢</w:t>
      </w:r>
      <w:r>
        <w:rPr>
          <w:rFonts w:hint="eastAsia"/>
        </w:rPr>
        <w:t>，</w:t>
      </w:r>
      <w:r>
        <w:t>然后通过锅炉排污将沉渣排出锅炉，从而达到减缓或防止水垢结生的目的。锅内水处理只有锅炉排污水产生</w:t>
      </w:r>
      <w:r>
        <w:rPr>
          <w:rFonts w:hint="eastAsia"/>
        </w:rPr>
        <w:t>，</w:t>
      </w:r>
      <w:r>
        <w:rPr>
          <w:rFonts w:hint="eastAsia"/>
        </w:rPr>
        <w:t>属于清净下水。</w:t>
      </w:r>
      <w:r>
        <w:t>根据系数表中内容，以天然气</w:t>
      </w:r>
      <w:r>
        <w:t>/</w:t>
      </w:r>
      <w:r>
        <w:t>高炉煤气</w:t>
      </w:r>
      <w:r>
        <w:t>/</w:t>
      </w:r>
      <w:r>
        <w:t>转炉煤气</w:t>
      </w:r>
      <w:r>
        <w:t>/</w:t>
      </w:r>
      <w:r>
        <w:t>焦炉煤气</w:t>
      </w:r>
      <w:r>
        <w:t>/</w:t>
      </w:r>
      <w:r>
        <w:t>炼厂干气为燃料的蒸汽锅炉，锅炉排污水产生量为</w:t>
      </w:r>
      <w:r>
        <w:t>9.86t/</w:t>
      </w:r>
      <w:r>
        <w:t>万</w:t>
      </w:r>
      <w:r>
        <w:t>m</w:t>
      </w:r>
      <w:r>
        <w:rPr>
          <w:vertAlign w:val="superscript"/>
        </w:rPr>
        <w:t>3</w:t>
      </w:r>
      <w:r>
        <w:t>-</w:t>
      </w:r>
      <w:r>
        <w:t>原料。项目锅炉年消耗天然气</w:t>
      </w:r>
      <w:r>
        <w:t>200.1024</w:t>
      </w:r>
      <w:r>
        <w:t>万</w:t>
      </w:r>
      <w:r>
        <w:t>m</w:t>
      </w:r>
      <w:r>
        <w:rPr>
          <w:vertAlign w:val="superscript"/>
        </w:rPr>
        <w:t>3</w:t>
      </w:r>
      <w:r>
        <w:t>/a</w:t>
      </w:r>
      <w:r>
        <w:t>，则项目锅炉排污水产生量为</w:t>
      </w:r>
      <w:r>
        <w:t>1973m</w:t>
      </w:r>
      <w:r>
        <w:rPr>
          <w:vertAlign w:val="superscript"/>
        </w:rPr>
        <w:t>3</w:t>
      </w:r>
      <w:r>
        <w:t>/a</w:t>
      </w:r>
      <w:r>
        <w:t>。</w:t>
      </w:r>
    </w:p>
    <w:p w14:paraId="54B81FFC" w14:textId="77777777" w:rsidR="003E78AB" w:rsidRDefault="00010BF9">
      <w:pPr>
        <w:ind w:firstLine="480"/>
      </w:pPr>
      <w:r>
        <w:rPr>
          <w:rFonts w:hint="eastAsia"/>
        </w:rPr>
        <w:t>（</w:t>
      </w:r>
      <w:r>
        <w:rPr>
          <w:rFonts w:hint="eastAsia"/>
        </w:rPr>
        <w:t>7</w:t>
      </w:r>
      <w:r>
        <w:rPr>
          <w:rFonts w:hint="eastAsia"/>
        </w:rPr>
        <w:t>）废气喷淋系统</w:t>
      </w:r>
    </w:p>
    <w:p w14:paraId="36AFF37E" w14:textId="77777777" w:rsidR="003E78AB" w:rsidRDefault="00010BF9">
      <w:pPr>
        <w:ind w:firstLine="480"/>
      </w:pPr>
      <w:r>
        <w:rPr>
          <w:rFonts w:hint="eastAsia"/>
        </w:rPr>
        <w:t>由上文分析可知，工艺废气喷淋系统定期排盐，需使用蒸发釜处理</w:t>
      </w:r>
      <w:r>
        <w:rPr>
          <w:rFonts w:hint="eastAsia"/>
        </w:rPr>
        <w:t>1445</w:t>
      </w:r>
      <w:r>
        <w:rPr>
          <w:rFonts w:hint="eastAsia"/>
        </w:rPr>
        <w:t>批次，每批次</w:t>
      </w:r>
      <w:r>
        <w:rPr>
          <w:rFonts w:hint="eastAsia"/>
        </w:rPr>
        <w:t>1m</w:t>
      </w:r>
      <w:r>
        <w:rPr>
          <w:rFonts w:hint="eastAsia"/>
          <w:vertAlign w:val="superscript"/>
        </w:rPr>
        <w:t>3</w:t>
      </w:r>
      <w:r>
        <w:rPr>
          <w:rFonts w:hint="eastAsia"/>
        </w:rPr>
        <w:t>，处理后排盐量</w:t>
      </w:r>
      <w:r>
        <w:rPr>
          <w:rFonts w:hint="eastAsia"/>
        </w:rPr>
        <w:t>361.25t/a</w:t>
      </w:r>
      <w:r>
        <w:rPr>
          <w:rFonts w:hint="eastAsia"/>
        </w:rPr>
        <w:t>（其中干盐</w:t>
      </w:r>
      <w:r>
        <w:rPr>
          <w:rFonts w:hint="eastAsia"/>
        </w:rPr>
        <w:t>288.93t/a</w:t>
      </w:r>
      <w:r>
        <w:rPr>
          <w:rFonts w:hint="eastAsia"/>
        </w:rPr>
        <w:t>，水</w:t>
      </w:r>
      <w:r>
        <w:rPr>
          <w:rFonts w:hint="eastAsia"/>
        </w:rPr>
        <w:t>72.32t/a</w:t>
      </w:r>
      <w:r>
        <w:rPr>
          <w:rFonts w:hint="eastAsia"/>
        </w:rPr>
        <w:t>），蒸馏出</w:t>
      </w:r>
      <w:r>
        <w:rPr>
          <w:rFonts w:hint="eastAsia"/>
        </w:rPr>
        <w:t>1083.75</w:t>
      </w:r>
      <w:r>
        <w:t>m</w:t>
      </w:r>
      <w:r>
        <w:rPr>
          <w:vertAlign w:val="superscript"/>
        </w:rPr>
        <w:t>3</w:t>
      </w:r>
      <w:r>
        <w:t>/a</w:t>
      </w:r>
      <w:r>
        <w:rPr>
          <w:rFonts w:hint="eastAsia"/>
        </w:rPr>
        <w:t>蒸馏水作为补水配置碱洗塔碱液或水洗塔补水。</w:t>
      </w:r>
    </w:p>
    <w:p w14:paraId="171D06A9" w14:textId="77777777" w:rsidR="003E78AB" w:rsidRDefault="00010BF9">
      <w:pPr>
        <w:ind w:firstLine="480"/>
      </w:pPr>
      <w:r>
        <w:t>（</w:t>
      </w:r>
      <w:r>
        <w:t>8</w:t>
      </w:r>
      <w:r>
        <w:t>）</w:t>
      </w:r>
      <w:r>
        <w:rPr>
          <w:rFonts w:hint="eastAsia"/>
        </w:rPr>
        <w:t>地面冲洗水</w:t>
      </w:r>
    </w:p>
    <w:p w14:paraId="4F954BB9" w14:textId="77777777" w:rsidR="003E78AB" w:rsidRDefault="00010BF9">
      <w:pPr>
        <w:ind w:firstLine="480"/>
      </w:pPr>
      <w:r>
        <w:t>项目运行期车间地面一般每半个月清洗</w:t>
      </w:r>
      <w:r>
        <w:t>1</w:t>
      </w:r>
      <w:r>
        <w:t>次，全年清洗次数为</w:t>
      </w:r>
      <w:r>
        <w:t>24</w:t>
      </w:r>
      <w:r>
        <w:t>次，用水量按照</w:t>
      </w:r>
      <w:r>
        <w:t>0.002m</w:t>
      </w:r>
      <w:r>
        <w:rPr>
          <w:vertAlign w:val="superscript"/>
        </w:rPr>
        <w:t>3</w:t>
      </w:r>
      <w:r>
        <w:t>/m</w:t>
      </w:r>
      <w:r>
        <w:rPr>
          <w:vertAlign w:val="superscript"/>
        </w:rPr>
        <w:t>2</w:t>
      </w:r>
      <w:r>
        <w:t>·</w:t>
      </w:r>
      <w:r>
        <w:t>次计，项目使用生产车间</w:t>
      </w:r>
      <w:r>
        <w:rPr>
          <w:rFonts w:hint="eastAsia"/>
        </w:rPr>
        <w:t>一东半幅的</w:t>
      </w:r>
      <w:r>
        <w:t>建筑面积为</w:t>
      </w:r>
      <w:r>
        <w:rPr>
          <w:rFonts w:hint="eastAsia"/>
        </w:rPr>
        <w:t>5629.285</w:t>
      </w:r>
      <w:r>
        <w:t>m</w:t>
      </w:r>
      <w:r>
        <w:rPr>
          <w:vertAlign w:val="superscript"/>
        </w:rPr>
        <w:t>2</w:t>
      </w:r>
      <w:r>
        <w:t>，使用清洗面积按</w:t>
      </w:r>
      <w:r>
        <w:rPr>
          <w:rFonts w:hint="eastAsia"/>
        </w:rPr>
        <w:t>50</w:t>
      </w:r>
      <w:r>
        <w:t>00m</w:t>
      </w:r>
      <w:r>
        <w:rPr>
          <w:vertAlign w:val="superscript"/>
        </w:rPr>
        <w:t>2</w:t>
      </w:r>
      <w:r>
        <w:t>计，则车间地面清洗用水量约为</w:t>
      </w:r>
      <w:r>
        <w:rPr>
          <w:rFonts w:hint="eastAsia"/>
        </w:rPr>
        <w:t>264</w:t>
      </w:r>
      <w:r>
        <w:t>m</w:t>
      </w:r>
      <w:r>
        <w:rPr>
          <w:vertAlign w:val="superscript"/>
        </w:rPr>
        <w:t>3</w:t>
      </w:r>
      <w:r>
        <w:t>/a</w:t>
      </w:r>
      <w:r>
        <w:t>，排放系数以</w:t>
      </w:r>
      <w:r>
        <w:t>80%</w:t>
      </w:r>
      <w:r>
        <w:t>计，排放量为</w:t>
      </w:r>
      <w:r>
        <w:rPr>
          <w:rFonts w:hint="eastAsia"/>
        </w:rPr>
        <w:t>211.2</w:t>
      </w:r>
      <w:r>
        <w:t>m</w:t>
      </w:r>
      <w:r>
        <w:rPr>
          <w:vertAlign w:val="superscript"/>
        </w:rPr>
        <w:t>3</w:t>
      </w:r>
      <w:r>
        <w:t>/a</w:t>
      </w:r>
      <w:r>
        <w:t>。</w:t>
      </w:r>
    </w:p>
    <w:p w14:paraId="2D86D93E" w14:textId="77777777" w:rsidR="003E78AB" w:rsidRDefault="00010BF9">
      <w:pPr>
        <w:ind w:firstLine="480"/>
      </w:pPr>
      <w:r>
        <w:rPr>
          <w:rFonts w:hint="eastAsia"/>
        </w:rPr>
        <w:t>（</w:t>
      </w:r>
      <w:r>
        <w:rPr>
          <w:rFonts w:hint="eastAsia"/>
        </w:rPr>
        <w:t>9</w:t>
      </w:r>
      <w:r>
        <w:rPr>
          <w:rFonts w:hint="eastAsia"/>
        </w:rPr>
        <w:t>）实验废水</w:t>
      </w:r>
    </w:p>
    <w:p w14:paraId="2948DB9E" w14:textId="77777777" w:rsidR="003E78AB" w:rsidRDefault="00010BF9">
      <w:pPr>
        <w:ind w:firstLine="480"/>
      </w:pPr>
      <w:r>
        <w:t>项目分析实验室主要进行产品及原料抽样检测等试验化验，废水产生量按用水量</w:t>
      </w:r>
      <w:r>
        <w:t>80%</w:t>
      </w:r>
      <w:r>
        <w:t>计，约</w:t>
      </w:r>
      <w:r>
        <w:rPr>
          <w:rFonts w:hint="eastAsia"/>
        </w:rPr>
        <w:t>8</w:t>
      </w:r>
      <w:r>
        <w:t>0m</w:t>
      </w:r>
      <w:r>
        <w:rPr>
          <w:vertAlign w:val="superscript"/>
        </w:rPr>
        <w:t>3</w:t>
      </w:r>
      <w:r>
        <w:t>/a</w:t>
      </w:r>
      <w:r>
        <w:t>。</w:t>
      </w:r>
      <w:r>
        <w:rPr>
          <w:rFonts w:hint="eastAsia"/>
        </w:rPr>
        <w:t>管道收集后流入生产车间的</w:t>
      </w:r>
      <w:r>
        <w:rPr>
          <w:rFonts w:hint="eastAsia"/>
        </w:rPr>
        <w:t>15m</w:t>
      </w:r>
      <w:r>
        <w:rPr>
          <w:rFonts w:hint="eastAsia"/>
          <w:vertAlign w:val="superscript"/>
        </w:rPr>
        <w:t>3</w:t>
      </w:r>
      <w:r>
        <w:rPr>
          <w:rFonts w:hint="eastAsia"/>
        </w:rPr>
        <w:t>电解液事故罐，回用于生产。</w:t>
      </w:r>
    </w:p>
    <w:p w14:paraId="6B1E09CC" w14:textId="77777777" w:rsidR="003E78AB" w:rsidRDefault="00010BF9">
      <w:pPr>
        <w:ind w:firstLine="480"/>
      </w:pPr>
      <w:r>
        <w:t>（</w:t>
      </w:r>
      <w:r>
        <w:rPr>
          <w:rFonts w:hint="eastAsia"/>
        </w:rPr>
        <w:t>10</w:t>
      </w:r>
      <w:r>
        <w:t>）生活污水</w:t>
      </w:r>
    </w:p>
    <w:p w14:paraId="7A6AC94C" w14:textId="77777777" w:rsidR="003E78AB" w:rsidRDefault="00010BF9">
      <w:pPr>
        <w:ind w:firstLine="480"/>
      </w:pPr>
      <w:r>
        <w:t>本项目生活污水包括食堂废水和其他洗漱等生活</w:t>
      </w:r>
      <w:r>
        <w:t>污水，总量以生活用水的</w:t>
      </w:r>
      <w:r>
        <w:t>80%</w:t>
      </w:r>
      <w:r>
        <w:t>计，为</w:t>
      </w:r>
      <w:r>
        <w:t>2481.6m</w:t>
      </w:r>
      <w:r>
        <w:rPr>
          <w:vertAlign w:val="superscript"/>
        </w:rPr>
        <w:t>3</w:t>
      </w:r>
      <w:r>
        <w:t>/a</w:t>
      </w:r>
      <w:r>
        <w:t>，食堂废水经隔油池预处理后与其他生活污水进入化粪池，处理后经厂区总排口排入园区污水管网。</w:t>
      </w:r>
    </w:p>
    <w:p w14:paraId="6DB961EA" w14:textId="77777777" w:rsidR="003E78AB" w:rsidRDefault="00010BF9">
      <w:pPr>
        <w:ind w:firstLine="480"/>
      </w:pPr>
      <w:r>
        <w:t>（</w:t>
      </w:r>
      <w:r>
        <w:rPr>
          <w:rFonts w:hint="eastAsia"/>
        </w:rPr>
        <w:t>10</w:t>
      </w:r>
      <w:r>
        <w:t>）初期雨水</w:t>
      </w:r>
    </w:p>
    <w:p w14:paraId="7BEE5134" w14:textId="77777777" w:rsidR="003E78AB" w:rsidRDefault="00010BF9">
      <w:pPr>
        <w:pStyle w:val="af4"/>
        <w:autoSpaceDE/>
        <w:autoSpaceDN/>
        <w:adjustRightInd/>
        <w:spacing w:line="520" w:lineRule="exact"/>
        <w:ind w:firstLine="480"/>
        <w:rPr>
          <w:rFonts w:ascii="Times New Roman" w:hAnsi="Times New Roman" w:cs="Times New Roman" w:hint="default"/>
          <w:color w:val="auto"/>
          <w:szCs w:val="24"/>
        </w:rPr>
      </w:pPr>
      <w:r>
        <w:rPr>
          <w:rFonts w:ascii="Times New Roman" w:hAnsi="Times New Roman" w:cs="Times New Roman" w:hint="default"/>
          <w:color w:val="auto"/>
        </w:rPr>
        <w:t>项目为化工企业，项目区初期雨水中可能会含有部分有害物质，</w:t>
      </w:r>
      <w:r>
        <w:rPr>
          <w:rFonts w:ascii="Times New Roman" w:hAnsi="Times New Roman" w:cs="Times New Roman" w:hint="default"/>
          <w:color w:val="auto"/>
          <w:szCs w:val="24"/>
        </w:rPr>
        <w:t>需经过处理后方能重复利用。项目雨水采用重力自流方式经雨水管路收集，本次评价采取满流管渠流量计算公式计算，设计初期雨水时间为</w:t>
      </w:r>
      <w:r>
        <w:rPr>
          <w:rFonts w:ascii="Times New Roman" w:hAnsi="Times New Roman" w:cs="Times New Roman" w:hint="default"/>
          <w:color w:val="auto"/>
          <w:szCs w:val="24"/>
        </w:rPr>
        <w:t>30min</w:t>
      </w:r>
      <w:r>
        <w:rPr>
          <w:rFonts w:ascii="Times New Roman" w:hAnsi="Times New Roman" w:cs="Times New Roman" w:hint="default"/>
          <w:color w:val="auto"/>
          <w:szCs w:val="24"/>
        </w:rPr>
        <w:t>：</w:t>
      </w:r>
    </w:p>
    <w:p w14:paraId="00AE3A32"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position w:val="-10"/>
        </w:rPr>
        <w:object w:dxaOrig="1440" w:dyaOrig="1440" w14:anchorId="36FB3ED8">
          <v:shape id="_x0000_s1026" type="#_x0000_t75" style="position:absolute;left:0;text-align:left;margin-left:0;margin-top:.6pt;width:75.5pt;height:22.8pt;z-index:251664384;mso-wrap-distance-top:0;mso-wrap-distance-bottom:0;mso-position-horizontal:center;mso-width-relative:page;mso-height-relative:page">
            <v:imagedata r:id="rId29" o:title=""/>
            <w10:wrap type="topAndBottom"/>
          </v:shape>
          <o:OLEObject Type="Embed" ProgID="Equation.3" ShapeID="_x0000_s1026" DrawAspect="Content" ObjectID="_1814684990" r:id="rId30"/>
        </w:object>
      </w:r>
      <w:r>
        <w:rPr>
          <w:rFonts w:ascii="Times New Roman" w:hAnsi="Times New Roman" w:cs="Times New Roman"/>
        </w:rPr>
        <w:t>式中：</w:t>
      </w:r>
      <w:r>
        <w:rPr>
          <w:rFonts w:ascii="Times New Roman" w:hAnsi="Times New Roman" w:cs="Times New Roman"/>
          <w:i/>
          <w:iCs/>
        </w:rPr>
        <w:t>Q</w:t>
      </w:r>
      <w:r>
        <w:rPr>
          <w:rFonts w:ascii="Times New Roman" w:hAnsi="Times New Roman" w:cs="Times New Roman"/>
        </w:rPr>
        <w:t>—</w:t>
      </w:r>
      <w:r>
        <w:rPr>
          <w:rFonts w:ascii="Times New Roman" w:hAnsi="Times New Roman" w:cs="Times New Roman"/>
        </w:rPr>
        <w:t>初期雨水产生量，</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p>
    <w:p w14:paraId="462938D8"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F</w:t>
      </w:r>
      <w:r>
        <w:rPr>
          <w:rFonts w:ascii="Times New Roman" w:hAnsi="Times New Roman" w:cs="Times New Roman"/>
        </w:rPr>
        <w:t>—</w:t>
      </w:r>
      <w:r>
        <w:rPr>
          <w:rFonts w:ascii="Times New Roman" w:hAnsi="Times New Roman" w:cs="Times New Roman"/>
        </w:rPr>
        <w:t>汇水面积，</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，本次评价主要区域面积</w:t>
      </w:r>
      <w:r>
        <w:rPr>
          <w:rFonts w:ascii="Times New Roman" w:hAnsi="Times New Roman" w:cs="Times New Roman"/>
        </w:rPr>
        <w:t>76022.77m</w:t>
      </w:r>
      <w:r>
        <w:rPr>
          <w:rFonts w:ascii="Times New Roman" w:hAnsi="Times New Roman" w:cs="Times New Roman"/>
          <w:vertAlign w:val="superscript"/>
        </w:rPr>
        <w:t>2</w:t>
      </w:r>
      <w:r>
        <w:rPr>
          <w:rFonts w:ascii="Times New Roman" w:hAnsi="Times New Roman" w:cs="Times New Roman"/>
        </w:rPr>
        <w:t>；</w:t>
      </w:r>
    </w:p>
    <w:p w14:paraId="367690D6"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φ</w:t>
      </w:r>
      <w:r>
        <w:rPr>
          <w:rFonts w:ascii="Times New Roman" w:hAnsi="Times New Roman" w:cs="Times New Roman"/>
        </w:rPr>
        <w:t>—</w:t>
      </w:r>
      <w:r>
        <w:rPr>
          <w:rFonts w:ascii="Times New Roman" w:hAnsi="Times New Roman" w:cs="Times New Roman"/>
        </w:rPr>
        <w:t>径流系数（</w:t>
      </w:r>
      <w:r>
        <w:rPr>
          <w:rFonts w:ascii="Times New Roman" w:hAnsi="Times New Roman" w:cs="Times New Roman"/>
        </w:rPr>
        <w:t>0.4-0.9</w:t>
      </w:r>
      <w:r>
        <w:rPr>
          <w:rFonts w:ascii="Times New Roman" w:hAnsi="Times New Roman" w:cs="Times New Roman"/>
        </w:rPr>
        <w:t>），取</w:t>
      </w:r>
      <w:r>
        <w:rPr>
          <w:rFonts w:ascii="Times New Roman" w:hAnsi="Times New Roman" w:cs="Times New Roman"/>
        </w:rPr>
        <w:t>0.6</w:t>
      </w:r>
      <w:r>
        <w:rPr>
          <w:rFonts w:ascii="Times New Roman" w:hAnsi="Times New Roman" w:cs="Times New Roman"/>
        </w:rPr>
        <w:t>；</w:t>
      </w:r>
    </w:p>
    <w:p w14:paraId="7D9F2E77"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T</w:t>
      </w:r>
      <w:r>
        <w:rPr>
          <w:rFonts w:ascii="Times New Roman" w:hAnsi="Times New Roman" w:cs="Times New Roman"/>
        </w:rPr>
        <w:t>—</w:t>
      </w:r>
      <w:r>
        <w:rPr>
          <w:rFonts w:ascii="Times New Roman" w:hAnsi="Times New Roman" w:cs="Times New Roman"/>
        </w:rPr>
        <w:t>收水时间，本次评价取</w:t>
      </w:r>
      <w:r>
        <w:rPr>
          <w:rFonts w:ascii="Times New Roman" w:hAnsi="Times New Roman" w:cs="Times New Roman"/>
        </w:rPr>
        <w:t>15min</w:t>
      </w:r>
      <w:r>
        <w:rPr>
          <w:rFonts w:ascii="Times New Roman" w:hAnsi="Times New Roman" w:cs="Times New Roman"/>
        </w:rPr>
        <w:t>；</w:t>
      </w:r>
    </w:p>
    <w:p w14:paraId="5EC68B6E" w14:textId="77777777" w:rsidR="003E78AB" w:rsidRDefault="00010BF9">
      <w:pPr>
        <w:pStyle w:val="af4"/>
        <w:autoSpaceDE/>
        <w:autoSpaceDN/>
        <w:adjustRightInd/>
        <w:spacing w:line="520" w:lineRule="exact"/>
        <w:ind w:firstLine="480"/>
        <w:rPr>
          <w:rFonts w:ascii="Times New Roman" w:hAnsi="Times New Roman" w:cs="Times New Roman" w:hint="default"/>
          <w:color w:val="auto"/>
          <w:szCs w:val="24"/>
        </w:rPr>
      </w:pPr>
      <w:r>
        <w:rPr>
          <w:rFonts w:ascii="Times New Roman" w:hAnsi="Times New Roman" w:cs="Times New Roman" w:hint="default"/>
          <w:color w:val="auto"/>
          <w:szCs w:val="24"/>
        </w:rPr>
        <w:t>由于哈密市无暴雨强度公式，故本次暴雨强度公式参照</w:t>
      </w:r>
      <w:r>
        <w:rPr>
          <w:rFonts w:ascii="Times New Roman" w:hAnsi="Times New Roman" w:cs="Times New Roman" w:hint="default"/>
          <w:color w:val="auto"/>
          <w:szCs w:val="24"/>
        </w:rPr>
        <w:t>2014</w:t>
      </w:r>
      <w:r>
        <w:rPr>
          <w:rFonts w:ascii="Times New Roman" w:hAnsi="Times New Roman" w:cs="Times New Roman" w:hint="default"/>
          <w:color w:val="auto"/>
          <w:szCs w:val="24"/>
        </w:rPr>
        <w:t>年发布的乌鲁木齐市城建局编制的类似区域暴雨强度公式：</w:t>
      </w:r>
    </w:p>
    <w:p w14:paraId="01DFF313"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position w:val="-10"/>
        </w:rPr>
        <w:object w:dxaOrig="1440" w:dyaOrig="1440" w14:anchorId="077CD9E7">
          <v:shape id="_x0000_s1027" type="#_x0000_t75" style="position:absolute;left:0;text-align:left;margin-left:110.45pt;margin-top:12.75pt;width:201.25pt;height:37.1pt;z-index:251665408;mso-wrap-distance-top:0;mso-wrap-distance-bottom:0;mso-width-relative:page;mso-height-relative:page">
            <v:imagedata r:id="rId31" o:title=""/>
            <w10:wrap type="topAndBottom"/>
          </v:shape>
          <o:OLEObject Type="Embed" ProgID="Equation.3" ShapeID="_x0000_s1027" DrawAspect="Content" ObjectID="_1814684991" r:id="rId32"/>
        </w:object>
      </w:r>
      <w:r>
        <w:rPr>
          <w:rFonts w:ascii="Times New Roman" w:hAnsi="Times New Roman" w:cs="Times New Roman"/>
        </w:rPr>
        <w:t>式中：</w:t>
      </w:r>
      <w:r>
        <w:rPr>
          <w:rFonts w:ascii="Times New Roman" w:hAnsi="Times New Roman" w:cs="Times New Roman"/>
          <w:i/>
          <w:iCs/>
        </w:rPr>
        <w:t>q</w:t>
      </w:r>
      <w:r>
        <w:rPr>
          <w:rFonts w:ascii="Times New Roman" w:hAnsi="Times New Roman" w:cs="Times New Roman"/>
        </w:rPr>
        <w:t>—</w:t>
      </w:r>
      <w:r>
        <w:rPr>
          <w:rFonts w:ascii="Times New Roman" w:hAnsi="Times New Roman" w:cs="Times New Roman"/>
        </w:rPr>
        <w:t>暴雨强度，</w:t>
      </w:r>
      <w:r>
        <w:rPr>
          <w:rFonts w:ascii="Times New Roman" w:hAnsi="Times New Roman" w:cs="Times New Roman"/>
        </w:rPr>
        <w:t>mm/min</w:t>
      </w:r>
      <w:r>
        <w:rPr>
          <w:rFonts w:ascii="Times New Roman" w:hAnsi="Times New Roman" w:cs="Times New Roman"/>
        </w:rPr>
        <w:t>；</w:t>
      </w:r>
    </w:p>
    <w:p w14:paraId="599B9AEC"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w:t>
      </w:r>
      <w:r>
        <w:rPr>
          <w:rFonts w:ascii="Times New Roman" w:hAnsi="Times New Roman" w:cs="Times New Roman"/>
        </w:rPr>
        <w:t>设计暴雨重现期，</w:t>
      </w:r>
      <w:r>
        <w:rPr>
          <w:rFonts w:ascii="Times New Roman" w:hAnsi="Times New Roman" w:cs="Times New Roman"/>
        </w:rPr>
        <w:t>a</w:t>
      </w:r>
      <w:r>
        <w:rPr>
          <w:rFonts w:ascii="Times New Roman" w:hAnsi="Times New Roman" w:cs="Times New Roman"/>
        </w:rPr>
        <w:t>，本次评价取</w:t>
      </w:r>
      <w:r>
        <w:rPr>
          <w:rFonts w:ascii="Times New Roman" w:hAnsi="Times New Roman" w:cs="Times New Roman"/>
        </w:rPr>
        <w:t>1</w:t>
      </w:r>
      <w:r>
        <w:rPr>
          <w:rFonts w:ascii="Times New Roman" w:hAnsi="Times New Roman" w:cs="Times New Roman"/>
        </w:rPr>
        <w:t>次；</w:t>
      </w:r>
    </w:p>
    <w:p w14:paraId="41932B39" w14:textId="77777777" w:rsidR="003E78AB" w:rsidRDefault="00010BF9">
      <w:pPr>
        <w:pStyle w:val="affe"/>
        <w:spacing w:line="52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t</w:t>
      </w:r>
      <w:r>
        <w:rPr>
          <w:rFonts w:ascii="Times New Roman" w:hAnsi="Times New Roman" w:cs="Times New Roman"/>
        </w:rPr>
        <w:t>—</w:t>
      </w:r>
      <w:r>
        <w:rPr>
          <w:rFonts w:ascii="Times New Roman" w:hAnsi="Times New Roman" w:cs="Times New Roman"/>
        </w:rPr>
        <w:t>设计降雨历时，本次评价取</w:t>
      </w:r>
      <w:r>
        <w:rPr>
          <w:rFonts w:ascii="Times New Roman" w:hAnsi="Times New Roman" w:cs="Times New Roman"/>
        </w:rPr>
        <w:t>30min</w:t>
      </w:r>
      <w:r>
        <w:rPr>
          <w:rFonts w:ascii="Times New Roman" w:hAnsi="Times New Roman" w:cs="Times New Roman"/>
        </w:rPr>
        <w:t>；</w:t>
      </w:r>
    </w:p>
    <w:p w14:paraId="45EDFB3B" w14:textId="77777777" w:rsidR="003E78AB" w:rsidRDefault="00010BF9">
      <w:pPr>
        <w:ind w:firstLine="480"/>
      </w:pPr>
      <w:r>
        <w:t>经计算，项目初期雨水产生量为</w:t>
      </w:r>
      <w:r>
        <w:t>23.13m</w:t>
      </w:r>
      <w:r>
        <w:rPr>
          <w:vertAlign w:val="superscript"/>
        </w:rPr>
        <w:t>3</w:t>
      </w:r>
      <w:r>
        <w:t>，该部分雨水经厂区东南角设置的雨水池（</w:t>
      </w:r>
      <w:r>
        <w:t>110m</w:t>
      </w:r>
      <w:r>
        <w:rPr>
          <w:vertAlign w:val="superscript"/>
        </w:rPr>
        <w:t>3</w:t>
      </w:r>
      <w:r>
        <w:t>）收集后，经检测达标后排入园区污水管网，进入园区污水处理厂深度处理；检测不达标的初期雨水经协商送有周边有能力处置的企业有偿处置。</w:t>
      </w:r>
    </w:p>
    <w:p w14:paraId="55CBD1E3" w14:textId="77777777" w:rsidR="003E78AB" w:rsidRDefault="00010BF9">
      <w:pPr>
        <w:ind w:firstLine="480"/>
      </w:pPr>
      <w:r>
        <w:t>项目全厂水平衡见</w:t>
      </w:r>
      <w:r>
        <w:rPr>
          <w:rFonts w:hint="eastAsia"/>
        </w:rPr>
        <w:fldChar w:fldCharType="begin"/>
      </w:r>
      <w:r>
        <w:rPr>
          <w:rFonts w:hint="eastAsia"/>
        </w:rPr>
        <w:instrText xml:space="preserve"> REF _Ref22161 \r \h </w:instrText>
      </w:r>
      <w:r>
        <w:rPr>
          <w:rFonts w:hint="eastAsia"/>
        </w:rPr>
      </w:r>
      <w:r>
        <w:rPr>
          <w:rFonts w:hint="eastAsia"/>
        </w:rPr>
        <w:fldChar w:fldCharType="separate"/>
      </w:r>
      <w:r>
        <w:rPr>
          <w:rFonts w:hint="eastAsia"/>
        </w:rPr>
        <w:t>表</w:t>
      </w:r>
      <w:r>
        <w:rPr>
          <w:rFonts w:hint="eastAsia"/>
        </w:rPr>
        <w:t>3-12</w:t>
      </w:r>
      <w:r>
        <w:rPr>
          <w:rFonts w:hint="eastAsia"/>
        </w:rPr>
        <w:fldChar w:fldCharType="end"/>
      </w:r>
      <w:r>
        <w:t>，水平衡图见</w:t>
      </w:r>
      <w:r>
        <w:rPr>
          <w:rFonts w:hint="eastAsia"/>
        </w:rPr>
        <w:t>下图</w:t>
      </w:r>
      <w:r>
        <w:t>。</w:t>
      </w:r>
    </w:p>
    <w:p w14:paraId="073FC7F0" w14:textId="77777777" w:rsidR="003E78AB" w:rsidRDefault="003E78AB">
      <w:pPr>
        <w:ind w:firstLineChars="0" w:firstLine="0"/>
      </w:pPr>
    </w:p>
    <w:p w14:paraId="34E5E6D4" w14:textId="77777777" w:rsidR="003E78AB" w:rsidRDefault="003E78AB">
      <w:pPr>
        <w:ind w:firstLine="480"/>
        <w:sectPr w:rsidR="003E78AB">
          <w:pgSz w:w="11906" w:h="16838"/>
          <w:pgMar w:top="1440" w:right="1701" w:bottom="1440" w:left="1985" w:header="851" w:footer="992" w:gutter="0"/>
          <w:cols w:space="720"/>
          <w:docGrid w:linePitch="312"/>
        </w:sectPr>
      </w:pPr>
    </w:p>
    <w:p w14:paraId="72D52609" w14:textId="77777777" w:rsidR="003E78AB" w:rsidRDefault="00010BF9">
      <w:pPr>
        <w:pStyle w:val="a1"/>
        <w:jc w:val="right"/>
      </w:pPr>
      <w:bookmarkStart w:id="245" w:name="_Ref22161"/>
      <w:r>
        <w:t>项目水平衡一览表</w:t>
      </w:r>
      <w:r>
        <w:rPr>
          <w:rFonts w:hint="eastAsia"/>
        </w:rPr>
        <w:t xml:space="preserve">                                  </w:t>
      </w:r>
      <w:r>
        <w:rPr>
          <w:rFonts w:hint="eastAsia"/>
        </w:rPr>
        <w:t>单位：</w:t>
      </w:r>
      <w:r>
        <w:rPr>
          <w:rFonts w:eastAsia="宋体"/>
          <w:lang w:bidi="ar"/>
        </w:rPr>
        <w:t>m</w:t>
      </w:r>
      <w:r>
        <w:rPr>
          <w:rFonts w:eastAsia="宋体"/>
          <w:vertAlign w:val="superscript"/>
          <w:lang w:bidi="ar"/>
        </w:rPr>
        <w:t>3</w:t>
      </w:r>
      <w:r>
        <w:rPr>
          <w:rFonts w:eastAsia="宋体"/>
          <w:lang w:bidi="ar"/>
        </w:rPr>
        <w:t>/a</w:t>
      </w:r>
      <w:bookmarkEnd w:id="245"/>
    </w:p>
    <w:tbl>
      <w:tblPr>
        <w:tblW w:w="5000" w:type="pct"/>
        <w:jc w:val="center"/>
        <w:tblLayout w:type="fixed"/>
        <w:tblLook w:val="04A0" w:firstRow="1" w:lastRow="0" w:firstColumn="1" w:lastColumn="0" w:noHBand="0" w:noVBand="1"/>
      </w:tblPr>
      <w:tblGrid>
        <w:gridCol w:w="412"/>
        <w:gridCol w:w="1506"/>
        <w:gridCol w:w="1140"/>
        <w:gridCol w:w="1057"/>
        <w:gridCol w:w="904"/>
        <w:gridCol w:w="1035"/>
        <w:gridCol w:w="799"/>
        <w:gridCol w:w="859"/>
        <w:gridCol w:w="921"/>
        <w:gridCol w:w="1021"/>
        <w:gridCol w:w="1009"/>
        <w:gridCol w:w="680"/>
        <w:gridCol w:w="856"/>
        <w:gridCol w:w="1057"/>
        <w:gridCol w:w="918"/>
      </w:tblGrid>
      <w:tr w:rsidR="003E78AB" w14:paraId="06BD213C" w14:textId="77777777">
        <w:trPr>
          <w:trHeight w:val="325"/>
          <w:jc w:val="center"/>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210AFF" w14:textId="77777777" w:rsidR="003E78AB" w:rsidRDefault="00010BF9">
            <w:pPr>
              <w:spacing w:line="360" w:lineRule="exact"/>
              <w:ind w:firstLineChars="0" w:firstLine="0"/>
              <w:jc w:val="center"/>
              <w:textAlignment w:val="center"/>
              <w:rPr>
                <w:b/>
                <w:bCs/>
                <w:sz w:val="21"/>
                <w:szCs w:val="21"/>
              </w:rPr>
            </w:pPr>
            <w:r>
              <w:rPr>
                <w:b/>
                <w:bCs/>
                <w:sz w:val="21"/>
                <w:szCs w:val="21"/>
                <w:lang w:bidi="ar"/>
              </w:rPr>
              <w:t>项目</w:t>
            </w:r>
          </w:p>
        </w:tc>
        <w:tc>
          <w:tcPr>
            <w:tcW w:w="5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AFCFD8" w14:textId="77777777" w:rsidR="003E78AB" w:rsidRDefault="00010BF9">
            <w:pPr>
              <w:spacing w:line="360" w:lineRule="exact"/>
              <w:ind w:firstLineChars="0" w:firstLine="0"/>
              <w:jc w:val="center"/>
              <w:textAlignment w:val="center"/>
              <w:rPr>
                <w:b/>
                <w:bCs/>
                <w:sz w:val="21"/>
                <w:szCs w:val="21"/>
              </w:rPr>
            </w:pPr>
            <w:r>
              <w:rPr>
                <w:b/>
                <w:bCs/>
                <w:sz w:val="21"/>
                <w:szCs w:val="21"/>
                <w:lang w:bidi="ar"/>
              </w:rPr>
              <w:t>用水工序</w:t>
            </w:r>
          </w:p>
        </w:tc>
        <w:tc>
          <w:tcPr>
            <w:tcW w:w="2369"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C5915F" w14:textId="77777777" w:rsidR="003E78AB" w:rsidRDefault="00010BF9">
            <w:pPr>
              <w:spacing w:line="360" w:lineRule="exact"/>
              <w:ind w:firstLineChars="0" w:firstLine="0"/>
              <w:jc w:val="center"/>
              <w:textAlignment w:val="center"/>
              <w:rPr>
                <w:b/>
                <w:bCs/>
                <w:sz w:val="21"/>
                <w:szCs w:val="21"/>
              </w:rPr>
            </w:pPr>
            <w:r>
              <w:rPr>
                <w:b/>
                <w:bCs/>
                <w:sz w:val="21"/>
                <w:szCs w:val="21"/>
                <w:lang w:bidi="ar"/>
              </w:rPr>
              <w:t>用水</w:t>
            </w:r>
          </w:p>
        </w:tc>
        <w:tc>
          <w:tcPr>
            <w:tcW w:w="195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966C5C0" w14:textId="77777777" w:rsidR="003E78AB" w:rsidRDefault="00010BF9">
            <w:pPr>
              <w:spacing w:line="360" w:lineRule="exact"/>
              <w:ind w:firstLineChars="0" w:firstLine="0"/>
              <w:jc w:val="center"/>
              <w:textAlignment w:val="center"/>
              <w:rPr>
                <w:b/>
                <w:bCs/>
                <w:sz w:val="21"/>
                <w:szCs w:val="21"/>
              </w:rPr>
            </w:pPr>
            <w:r>
              <w:rPr>
                <w:b/>
                <w:bCs/>
                <w:sz w:val="21"/>
                <w:szCs w:val="21"/>
                <w:lang w:bidi="ar"/>
              </w:rPr>
              <w:t>排水及损失水</w:t>
            </w:r>
          </w:p>
        </w:tc>
      </w:tr>
      <w:tr w:rsidR="003E78AB" w14:paraId="14FC5A6A" w14:textId="77777777">
        <w:trPr>
          <w:trHeight w:val="44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B09D0B" w14:textId="77777777" w:rsidR="003E78AB" w:rsidRDefault="003E78AB">
            <w:pPr>
              <w:spacing w:line="360" w:lineRule="exact"/>
              <w:ind w:firstLineChars="0" w:firstLine="0"/>
              <w:jc w:val="center"/>
              <w:rPr>
                <w:b/>
                <w:bCs/>
                <w:sz w:val="21"/>
                <w:szCs w:val="21"/>
              </w:rPr>
            </w:pPr>
          </w:p>
        </w:tc>
        <w:tc>
          <w:tcPr>
            <w:tcW w:w="5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562D9" w14:textId="77777777" w:rsidR="003E78AB" w:rsidRDefault="003E78AB">
            <w:pPr>
              <w:spacing w:line="360" w:lineRule="exact"/>
              <w:ind w:firstLineChars="0" w:firstLine="0"/>
              <w:jc w:val="center"/>
              <w:rPr>
                <w:b/>
                <w:bCs/>
                <w:sz w:val="21"/>
                <w:szCs w:val="21"/>
              </w:rPr>
            </w:pPr>
          </w:p>
        </w:tc>
        <w:tc>
          <w:tcPr>
            <w:tcW w:w="402" w:type="pct"/>
            <w:vMerge w:val="restart"/>
            <w:tcBorders>
              <w:top w:val="single" w:sz="4" w:space="0" w:color="000000"/>
              <w:left w:val="single" w:sz="4" w:space="0" w:color="000000"/>
              <w:right w:val="single" w:sz="4" w:space="0" w:color="000000"/>
            </w:tcBorders>
            <w:shd w:val="clear" w:color="auto" w:fill="auto"/>
            <w:vAlign w:val="center"/>
          </w:tcPr>
          <w:p w14:paraId="422DECFC" w14:textId="77777777" w:rsidR="003E78AB" w:rsidRDefault="00010BF9">
            <w:pPr>
              <w:spacing w:line="360" w:lineRule="exact"/>
              <w:ind w:firstLineChars="0" w:firstLine="0"/>
              <w:jc w:val="center"/>
              <w:textAlignment w:val="center"/>
              <w:rPr>
                <w:b/>
                <w:bCs/>
                <w:sz w:val="21"/>
                <w:szCs w:val="21"/>
              </w:rPr>
            </w:pPr>
            <w:r>
              <w:rPr>
                <w:b/>
                <w:bCs/>
                <w:sz w:val="21"/>
                <w:szCs w:val="21"/>
                <w:lang w:bidi="ar"/>
              </w:rPr>
              <w:t>用水总量</w:t>
            </w:r>
          </w:p>
        </w:tc>
        <w:tc>
          <w:tcPr>
            <w:tcW w:w="1967"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6E94454" w14:textId="77777777" w:rsidR="003E78AB" w:rsidRDefault="00010BF9">
            <w:pPr>
              <w:spacing w:line="360" w:lineRule="exact"/>
              <w:ind w:firstLineChars="0" w:firstLine="0"/>
              <w:jc w:val="center"/>
              <w:textAlignment w:val="center"/>
              <w:rPr>
                <w:sz w:val="21"/>
                <w:szCs w:val="21"/>
              </w:rPr>
            </w:pPr>
            <w:r>
              <w:rPr>
                <w:sz w:val="21"/>
                <w:szCs w:val="21"/>
                <w:lang w:bidi="ar"/>
              </w:rPr>
              <w:t>其中</w:t>
            </w:r>
          </w:p>
        </w:tc>
        <w:tc>
          <w:tcPr>
            <w:tcW w:w="3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EF40FA" w14:textId="77777777" w:rsidR="003E78AB" w:rsidRDefault="00010BF9">
            <w:pPr>
              <w:spacing w:line="360" w:lineRule="exact"/>
              <w:ind w:firstLineChars="0" w:firstLine="0"/>
              <w:jc w:val="center"/>
              <w:textAlignment w:val="center"/>
              <w:rPr>
                <w:sz w:val="21"/>
                <w:szCs w:val="21"/>
              </w:rPr>
            </w:pPr>
            <w:r>
              <w:rPr>
                <w:sz w:val="21"/>
                <w:szCs w:val="21"/>
                <w:lang w:bidi="ar"/>
              </w:rPr>
              <w:t>排水量</w:t>
            </w:r>
          </w:p>
        </w:tc>
        <w:tc>
          <w:tcPr>
            <w:tcW w:w="3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9C9768" w14:textId="77777777" w:rsidR="003E78AB" w:rsidRDefault="00010BF9">
            <w:pPr>
              <w:spacing w:line="360" w:lineRule="exact"/>
              <w:ind w:firstLineChars="0" w:firstLine="0"/>
              <w:jc w:val="center"/>
              <w:textAlignment w:val="center"/>
              <w:rPr>
                <w:sz w:val="21"/>
                <w:szCs w:val="21"/>
              </w:rPr>
            </w:pPr>
            <w:r>
              <w:rPr>
                <w:sz w:val="21"/>
                <w:szCs w:val="21"/>
                <w:lang w:bidi="ar"/>
              </w:rPr>
              <w:t>损失</w:t>
            </w:r>
            <w:r>
              <w:rPr>
                <w:sz w:val="21"/>
                <w:szCs w:val="21"/>
                <w:lang w:bidi="ar"/>
              </w:rPr>
              <w:t>/</w:t>
            </w:r>
            <w:r>
              <w:rPr>
                <w:sz w:val="21"/>
                <w:szCs w:val="21"/>
                <w:lang w:bidi="ar"/>
              </w:rPr>
              <w:t>带出水量</w:t>
            </w:r>
          </w:p>
        </w:tc>
        <w:tc>
          <w:tcPr>
            <w:tcW w:w="2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692981" w14:textId="77777777" w:rsidR="003E78AB" w:rsidRDefault="00010BF9">
            <w:pPr>
              <w:spacing w:line="360" w:lineRule="exact"/>
              <w:ind w:firstLineChars="0" w:firstLine="0"/>
              <w:jc w:val="center"/>
              <w:textAlignment w:val="center"/>
              <w:rPr>
                <w:sz w:val="21"/>
                <w:szCs w:val="21"/>
              </w:rPr>
            </w:pPr>
            <w:r>
              <w:rPr>
                <w:sz w:val="21"/>
                <w:szCs w:val="21"/>
                <w:lang w:bidi="ar"/>
              </w:rPr>
              <w:t>回用量</w:t>
            </w:r>
          </w:p>
        </w:tc>
        <w:tc>
          <w:tcPr>
            <w:tcW w:w="30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6A0098" w14:textId="77777777" w:rsidR="003E78AB" w:rsidRDefault="00010BF9">
            <w:pPr>
              <w:spacing w:line="360" w:lineRule="exact"/>
              <w:ind w:firstLineChars="0" w:firstLine="0"/>
              <w:jc w:val="center"/>
              <w:textAlignment w:val="center"/>
              <w:rPr>
                <w:sz w:val="21"/>
                <w:szCs w:val="21"/>
              </w:rPr>
            </w:pPr>
            <w:r>
              <w:rPr>
                <w:sz w:val="21"/>
                <w:szCs w:val="21"/>
                <w:lang w:bidi="ar"/>
              </w:rPr>
              <w:t>循环水量</w:t>
            </w:r>
          </w:p>
        </w:tc>
        <w:tc>
          <w:tcPr>
            <w:tcW w:w="3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A5B30B" w14:textId="77777777" w:rsidR="003E78AB" w:rsidRDefault="00010BF9">
            <w:pPr>
              <w:spacing w:line="360" w:lineRule="exact"/>
              <w:ind w:firstLineChars="0" w:firstLine="0"/>
              <w:jc w:val="center"/>
              <w:textAlignment w:val="center"/>
              <w:rPr>
                <w:sz w:val="21"/>
                <w:szCs w:val="21"/>
              </w:rPr>
            </w:pPr>
            <w:r>
              <w:rPr>
                <w:sz w:val="21"/>
                <w:szCs w:val="21"/>
                <w:lang w:bidi="ar"/>
              </w:rPr>
              <w:t>纯水产量</w:t>
            </w:r>
          </w:p>
        </w:tc>
        <w:tc>
          <w:tcPr>
            <w:tcW w:w="31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D26F16" w14:textId="77777777" w:rsidR="003E78AB" w:rsidRDefault="00010BF9">
            <w:pPr>
              <w:spacing w:line="360" w:lineRule="exact"/>
              <w:ind w:firstLineChars="0" w:firstLine="0"/>
              <w:jc w:val="center"/>
              <w:textAlignment w:val="center"/>
              <w:rPr>
                <w:sz w:val="21"/>
                <w:szCs w:val="21"/>
              </w:rPr>
            </w:pPr>
            <w:r>
              <w:rPr>
                <w:sz w:val="21"/>
                <w:szCs w:val="21"/>
                <w:lang w:bidi="ar"/>
              </w:rPr>
              <w:t>软化水产量</w:t>
            </w:r>
          </w:p>
        </w:tc>
      </w:tr>
      <w:tr w:rsidR="003E78AB" w14:paraId="4A8084DF" w14:textId="77777777">
        <w:trPr>
          <w:trHeight w:val="9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25498F" w14:textId="77777777" w:rsidR="003E78AB" w:rsidRDefault="003E78AB">
            <w:pPr>
              <w:spacing w:line="360" w:lineRule="exact"/>
              <w:ind w:firstLineChars="0" w:firstLine="0"/>
              <w:jc w:val="center"/>
              <w:rPr>
                <w:sz w:val="21"/>
                <w:szCs w:val="21"/>
              </w:rPr>
            </w:pPr>
          </w:p>
        </w:tc>
        <w:tc>
          <w:tcPr>
            <w:tcW w:w="5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83BD81" w14:textId="77777777" w:rsidR="003E78AB" w:rsidRDefault="003E78AB">
            <w:pPr>
              <w:spacing w:line="360" w:lineRule="exact"/>
              <w:ind w:firstLineChars="0" w:firstLine="0"/>
              <w:jc w:val="center"/>
              <w:rPr>
                <w:sz w:val="21"/>
                <w:szCs w:val="21"/>
              </w:rPr>
            </w:pPr>
          </w:p>
        </w:tc>
        <w:tc>
          <w:tcPr>
            <w:tcW w:w="402" w:type="pct"/>
            <w:vMerge/>
            <w:tcBorders>
              <w:left w:val="single" w:sz="4" w:space="0" w:color="000000"/>
              <w:bottom w:val="single" w:sz="4" w:space="0" w:color="000000"/>
              <w:right w:val="single" w:sz="4" w:space="0" w:color="000000"/>
            </w:tcBorders>
            <w:shd w:val="clear" w:color="auto" w:fill="auto"/>
            <w:vAlign w:val="center"/>
          </w:tcPr>
          <w:p w14:paraId="5609CD70" w14:textId="77777777" w:rsidR="003E78AB" w:rsidRDefault="003E78AB">
            <w:pPr>
              <w:spacing w:line="360" w:lineRule="exact"/>
              <w:ind w:firstLineChars="0" w:firstLine="0"/>
              <w:jc w:val="center"/>
              <w:rPr>
                <w:sz w:val="21"/>
                <w:szCs w:val="21"/>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B17C8" w14:textId="77777777" w:rsidR="003E78AB" w:rsidRDefault="00010BF9">
            <w:pPr>
              <w:spacing w:line="360" w:lineRule="exact"/>
              <w:ind w:firstLineChars="0" w:firstLine="0"/>
              <w:jc w:val="center"/>
              <w:textAlignment w:val="center"/>
              <w:rPr>
                <w:sz w:val="21"/>
                <w:szCs w:val="21"/>
              </w:rPr>
            </w:pPr>
            <w:r>
              <w:rPr>
                <w:sz w:val="21"/>
                <w:szCs w:val="21"/>
                <w:lang w:bidi="ar"/>
              </w:rPr>
              <w:t>新鲜水</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C222F" w14:textId="77777777" w:rsidR="003E78AB" w:rsidRDefault="00010BF9">
            <w:pPr>
              <w:spacing w:line="360" w:lineRule="exact"/>
              <w:ind w:firstLineChars="0" w:firstLine="0"/>
              <w:jc w:val="center"/>
              <w:textAlignment w:val="center"/>
              <w:rPr>
                <w:sz w:val="21"/>
                <w:szCs w:val="21"/>
              </w:rPr>
            </w:pPr>
            <w:r>
              <w:rPr>
                <w:sz w:val="21"/>
                <w:szCs w:val="21"/>
                <w:lang w:bidi="ar"/>
              </w:rPr>
              <w:t>回用水</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2657" w14:textId="77777777" w:rsidR="003E78AB" w:rsidRDefault="00010BF9">
            <w:pPr>
              <w:spacing w:line="360" w:lineRule="exact"/>
              <w:ind w:firstLineChars="0" w:firstLine="0"/>
              <w:jc w:val="center"/>
              <w:textAlignment w:val="center"/>
              <w:rPr>
                <w:sz w:val="21"/>
                <w:szCs w:val="21"/>
              </w:rPr>
            </w:pPr>
            <w:r>
              <w:rPr>
                <w:sz w:val="21"/>
                <w:szCs w:val="21"/>
                <w:lang w:bidi="ar"/>
              </w:rPr>
              <w:t>纯水</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39318" w14:textId="77777777" w:rsidR="003E78AB" w:rsidRDefault="00010BF9">
            <w:pPr>
              <w:spacing w:line="360" w:lineRule="exact"/>
              <w:ind w:firstLineChars="0" w:firstLine="0"/>
              <w:jc w:val="center"/>
              <w:textAlignment w:val="center"/>
              <w:rPr>
                <w:sz w:val="21"/>
                <w:szCs w:val="21"/>
              </w:rPr>
            </w:pPr>
            <w:r>
              <w:rPr>
                <w:sz w:val="21"/>
                <w:szCs w:val="21"/>
                <w:lang w:bidi="ar"/>
              </w:rPr>
              <w:t>软化水</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F0876" w14:textId="77777777" w:rsidR="003E78AB" w:rsidRDefault="00010BF9">
            <w:pPr>
              <w:spacing w:line="360" w:lineRule="exact"/>
              <w:ind w:firstLineChars="0" w:firstLine="0"/>
              <w:jc w:val="center"/>
              <w:textAlignment w:val="center"/>
              <w:rPr>
                <w:sz w:val="21"/>
                <w:szCs w:val="21"/>
              </w:rPr>
            </w:pPr>
            <w:r>
              <w:rPr>
                <w:sz w:val="21"/>
                <w:szCs w:val="21"/>
                <w:lang w:bidi="ar"/>
              </w:rPr>
              <w:t>循环水</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483BD" w14:textId="77777777" w:rsidR="003E78AB" w:rsidRDefault="00010BF9">
            <w:pPr>
              <w:spacing w:line="360" w:lineRule="exact"/>
              <w:ind w:firstLineChars="0" w:firstLine="0"/>
              <w:jc w:val="center"/>
              <w:textAlignment w:val="center"/>
              <w:rPr>
                <w:sz w:val="21"/>
                <w:szCs w:val="21"/>
              </w:rPr>
            </w:pPr>
            <w:r>
              <w:rPr>
                <w:sz w:val="21"/>
                <w:szCs w:val="21"/>
                <w:lang w:bidi="ar"/>
              </w:rPr>
              <w:t>生成</w:t>
            </w:r>
            <w:r>
              <w:rPr>
                <w:sz w:val="21"/>
                <w:szCs w:val="21"/>
                <w:lang w:bidi="ar"/>
              </w:rPr>
              <w:t>/</w:t>
            </w:r>
            <w:r>
              <w:rPr>
                <w:sz w:val="21"/>
                <w:szCs w:val="21"/>
                <w:lang w:bidi="ar"/>
              </w:rPr>
              <w:t>带入水</w:t>
            </w:r>
          </w:p>
        </w:tc>
        <w:tc>
          <w:tcPr>
            <w:tcW w:w="36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EEC093" w14:textId="77777777" w:rsidR="003E78AB" w:rsidRDefault="003E78AB">
            <w:pPr>
              <w:spacing w:line="360" w:lineRule="exact"/>
              <w:ind w:firstLineChars="0" w:firstLine="0"/>
              <w:jc w:val="center"/>
              <w:rPr>
                <w:sz w:val="21"/>
                <w:szCs w:val="21"/>
              </w:rPr>
            </w:pPr>
          </w:p>
        </w:tc>
        <w:tc>
          <w:tcPr>
            <w:tcW w:w="3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5EBC38" w14:textId="77777777" w:rsidR="003E78AB" w:rsidRDefault="003E78AB">
            <w:pPr>
              <w:spacing w:line="360" w:lineRule="exact"/>
              <w:ind w:firstLineChars="0" w:firstLine="0"/>
              <w:jc w:val="center"/>
              <w:rPr>
                <w:sz w:val="21"/>
                <w:szCs w:val="21"/>
              </w:rPr>
            </w:pPr>
          </w:p>
        </w:tc>
        <w:tc>
          <w:tcPr>
            <w:tcW w:w="2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76AB6" w14:textId="77777777" w:rsidR="003E78AB" w:rsidRDefault="003E78AB">
            <w:pPr>
              <w:spacing w:line="360" w:lineRule="exact"/>
              <w:ind w:firstLineChars="0" w:firstLine="0"/>
              <w:jc w:val="center"/>
              <w:rPr>
                <w:sz w:val="21"/>
                <w:szCs w:val="21"/>
              </w:rPr>
            </w:pPr>
          </w:p>
        </w:tc>
        <w:tc>
          <w:tcPr>
            <w:tcW w:w="30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75B510" w14:textId="77777777" w:rsidR="003E78AB" w:rsidRDefault="003E78AB">
            <w:pPr>
              <w:spacing w:line="360" w:lineRule="exact"/>
              <w:ind w:firstLineChars="0" w:firstLine="0"/>
              <w:jc w:val="center"/>
              <w:rPr>
                <w:sz w:val="21"/>
                <w:szCs w:val="21"/>
              </w:rPr>
            </w:pPr>
          </w:p>
        </w:tc>
        <w:tc>
          <w:tcPr>
            <w:tcW w:w="3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B004D9" w14:textId="77777777" w:rsidR="003E78AB" w:rsidRDefault="003E78AB">
            <w:pPr>
              <w:spacing w:line="360" w:lineRule="exact"/>
              <w:ind w:firstLineChars="0" w:firstLine="0"/>
              <w:jc w:val="center"/>
              <w:rPr>
                <w:sz w:val="21"/>
                <w:szCs w:val="21"/>
              </w:rPr>
            </w:pPr>
          </w:p>
        </w:tc>
        <w:tc>
          <w:tcPr>
            <w:tcW w:w="31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B6D119" w14:textId="77777777" w:rsidR="003E78AB" w:rsidRDefault="003E78AB">
            <w:pPr>
              <w:spacing w:line="360" w:lineRule="exact"/>
              <w:ind w:firstLineChars="0" w:firstLine="0"/>
              <w:jc w:val="center"/>
              <w:rPr>
                <w:sz w:val="21"/>
                <w:szCs w:val="21"/>
              </w:rPr>
            </w:pPr>
          </w:p>
        </w:tc>
      </w:tr>
      <w:tr w:rsidR="003E78AB" w14:paraId="54E8A078" w14:textId="77777777">
        <w:trPr>
          <w:trHeight w:val="280"/>
          <w:jc w:val="center"/>
        </w:trPr>
        <w:tc>
          <w:tcPr>
            <w:tcW w:w="1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64238" w14:textId="77777777" w:rsidR="003E78AB" w:rsidRDefault="00010BF9">
            <w:pPr>
              <w:spacing w:line="360" w:lineRule="exact"/>
              <w:ind w:firstLineChars="0" w:firstLine="0"/>
              <w:jc w:val="center"/>
              <w:textAlignment w:val="center"/>
              <w:rPr>
                <w:sz w:val="21"/>
                <w:szCs w:val="21"/>
              </w:rPr>
            </w:pPr>
            <w:r>
              <w:rPr>
                <w:sz w:val="21"/>
                <w:szCs w:val="21"/>
                <w:lang w:bidi="ar"/>
              </w:rPr>
              <w:t>生活</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724B4" w14:textId="77777777" w:rsidR="003E78AB" w:rsidRDefault="00010BF9">
            <w:pPr>
              <w:spacing w:line="360" w:lineRule="exact"/>
              <w:ind w:firstLineChars="0" w:firstLine="0"/>
              <w:jc w:val="center"/>
              <w:textAlignment w:val="center"/>
              <w:rPr>
                <w:sz w:val="21"/>
                <w:szCs w:val="21"/>
              </w:rPr>
            </w:pPr>
            <w:r>
              <w:rPr>
                <w:sz w:val="21"/>
                <w:szCs w:val="21"/>
                <w:lang w:bidi="ar"/>
              </w:rPr>
              <w:t>生活用水</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7D65E" w14:textId="77777777" w:rsidR="003E78AB" w:rsidRDefault="00010BF9">
            <w:pPr>
              <w:spacing w:line="360" w:lineRule="exact"/>
              <w:ind w:firstLineChars="0" w:firstLine="0"/>
              <w:jc w:val="center"/>
              <w:textAlignment w:val="center"/>
              <w:rPr>
                <w:sz w:val="21"/>
                <w:szCs w:val="21"/>
                <w:lang w:bidi="ar"/>
              </w:rPr>
            </w:pPr>
            <w:r>
              <w:rPr>
                <w:sz w:val="21"/>
                <w:szCs w:val="21"/>
                <w:lang w:bidi="ar"/>
              </w:rPr>
              <w:t>3102</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7D135" w14:textId="77777777" w:rsidR="003E78AB" w:rsidRDefault="00010BF9">
            <w:pPr>
              <w:spacing w:line="360" w:lineRule="exact"/>
              <w:ind w:firstLineChars="0" w:firstLine="0"/>
              <w:jc w:val="center"/>
              <w:textAlignment w:val="center"/>
              <w:rPr>
                <w:sz w:val="21"/>
                <w:szCs w:val="21"/>
                <w:lang w:bidi="ar"/>
              </w:rPr>
            </w:pPr>
            <w:r>
              <w:rPr>
                <w:sz w:val="21"/>
                <w:szCs w:val="21"/>
                <w:lang w:bidi="ar"/>
              </w:rPr>
              <w:t>3102</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197E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3A0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9F2B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DCE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81A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A174" w14:textId="77777777" w:rsidR="003E78AB" w:rsidRDefault="00010BF9">
            <w:pPr>
              <w:spacing w:line="360" w:lineRule="exact"/>
              <w:ind w:firstLineChars="0" w:firstLine="0"/>
              <w:jc w:val="center"/>
              <w:textAlignment w:val="center"/>
              <w:rPr>
                <w:sz w:val="21"/>
                <w:szCs w:val="21"/>
                <w:lang w:bidi="ar"/>
              </w:rPr>
            </w:pPr>
            <w:r>
              <w:rPr>
                <w:sz w:val="21"/>
                <w:szCs w:val="21"/>
                <w:lang w:bidi="ar"/>
              </w:rPr>
              <w:t>2481.6</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EC02C" w14:textId="77777777" w:rsidR="003E78AB" w:rsidRDefault="00010BF9">
            <w:pPr>
              <w:spacing w:line="360" w:lineRule="exact"/>
              <w:ind w:firstLineChars="0" w:firstLine="0"/>
              <w:jc w:val="center"/>
              <w:textAlignment w:val="center"/>
              <w:rPr>
                <w:sz w:val="21"/>
                <w:szCs w:val="21"/>
                <w:lang w:bidi="ar"/>
              </w:rPr>
            </w:pPr>
            <w:r>
              <w:rPr>
                <w:sz w:val="21"/>
                <w:szCs w:val="21"/>
                <w:lang w:bidi="ar"/>
              </w:rPr>
              <w:t>620.4</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F3A7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1CE75"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03F7"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140B"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293E4190" w14:textId="77777777">
        <w:trPr>
          <w:trHeight w:val="280"/>
          <w:jc w:val="center"/>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60F774" w14:textId="77777777" w:rsidR="003E78AB" w:rsidRDefault="00010BF9">
            <w:pPr>
              <w:spacing w:line="360" w:lineRule="exact"/>
              <w:ind w:firstLineChars="0" w:firstLine="0"/>
              <w:jc w:val="center"/>
              <w:textAlignment w:val="center"/>
              <w:rPr>
                <w:sz w:val="21"/>
                <w:szCs w:val="21"/>
              </w:rPr>
            </w:pPr>
            <w:r>
              <w:rPr>
                <w:sz w:val="21"/>
                <w:szCs w:val="21"/>
                <w:lang w:bidi="ar"/>
              </w:rPr>
              <w:t>生产</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21181" w14:textId="77777777" w:rsidR="003E78AB" w:rsidRDefault="00010BF9">
            <w:pPr>
              <w:spacing w:line="360" w:lineRule="exact"/>
              <w:ind w:firstLineChars="0" w:firstLine="0"/>
              <w:jc w:val="center"/>
              <w:textAlignment w:val="center"/>
              <w:rPr>
                <w:sz w:val="21"/>
                <w:szCs w:val="21"/>
              </w:rPr>
            </w:pPr>
            <w:r>
              <w:rPr>
                <w:sz w:val="21"/>
                <w:szCs w:val="21"/>
                <w:lang w:bidi="ar"/>
              </w:rPr>
              <w:t>纯水制备装置</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5F26"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43453.98 </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D141D"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43453.98 </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9782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40F7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14B9F"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F106B"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A3E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C9B65"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10863.50 </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2556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3E10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BDC38"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C5006"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32590.49 </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BD7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18605505"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65FCEA"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48169" w14:textId="77777777" w:rsidR="003E78AB" w:rsidRDefault="00010BF9">
            <w:pPr>
              <w:spacing w:line="360" w:lineRule="exact"/>
              <w:ind w:firstLineChars="0" w:firstLine="0"/>
              <w:jc w:val="center"/>
              <w:textAlignment w:val="center"/>
              <w:rPr>
                <w:sz w:val="21"/>
                <w:szCs w:val="21"/>
              </w:rPr>
            </w:pPr>
            <w:r>
              <w:rPr>
                <w:sz w:val="21"/>
                <w:szCs w:val="21"/>
                <w:lang w:bidi="ar"/>
              </w:rPr>
              <w:t>软水制备装置</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58245"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9392.22 </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64D6"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9392.22 </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0426E"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143E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31B5"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C937"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D225E"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C2C64"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939.22 </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FD3AB"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0AB5"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F957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5327E"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042F" w14:textId="77777777" w:rsidR="003E78AB" w:rsidRDefault="00010BF9">
            <w:pPr>
              <w:spacing w:line="360" w:lineRule="exact"/>
              <w:ind w:firstLineChars="0" w:firstLine="0"/>
              <w:jc w:val="center"/>
              <w:textAlignment w:val="center"/>
              <w:rPr>
                <w:sz w:val="21"/>
                <w:szCs w:val="21"/>
                <w:lang w:bidi="ar"/>
              </w:rPr>
            </w:pPr>
            <w:r>
              <w:rPr>
                <w:sz w:val="21"/>
                <w:szCs w:val="21"/>
                <w:lang w:bidi="ar"/>
              </w:rPr>
              <w:t>8453</w:t>
            </w:r>
          </w:p>
        </w:tc>
      </w:tr>
      <w:tr w:rsidR="003E78AB" w14:paraId="4A3C335B" w14:textId="77777777">
        <w:trPr>
          <w:trHeight w:val="34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AA6168"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79C4A" w14:textId="77777777" w:rsidR="003E78AB" w:rsidRDefault="00010BF9">
            <w:pPr>
              <w:spacing w:line="360" w:lineRule="exact"/>
              <w:ind w:firstLineChars="0" w:firstLine="0"/>
              <w:jc w:val="center"/>
              <w:textAlignment w:val="center"/>
              <w:rPr>
                <w:sz w:val="21"/>
                <w:szCs w:val="21"/>
              </w:rPr>
            </w:pPr>
            <w:r>
              <w:rPr>
                <w:sz w:val="21"/>
                <w:szCs w:val="21"/>
                <w:lang w:bidi="ar"/>
              </w:rPr>
              <w:t>闭式冷却循环系统</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37DA1" w14:textId="77777777" w:rsidR="003E78AB" w:rsidRDefault="00010BF9">
            <w:pPr>
              <w:spacing w:line="360" w:lineRule="exact"/>
              <w:ind w:firstLineChars="0" w:firstLine="0"/>
              <w:jc w:val="center"/>
              <w:textAlignment w:val="center"/>
              <w:rPr>
                <w:sz w:val="21"/>
                <w:szCs w:val="21"/>
                <w:lang w:bidi="ar"/>
              </w:rPr>
            </w:pPr>
            <w:r>
              <w:rPr>
                <w:sz w:val="21"/>
                <w:szCs w:val="21"/>
                <w:lang w:bidi="ar"/>
              </w:rPr>
              <w:t>633600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74C8C" w14:textId="77777777" w:rsidR="003E78AB" w:rsidRDefault="00010BF9">
            <w:pPr>
              <w:spacing w:line="360" w:lineRule="exact"/>
              <w:ind w:firstLineChars="0" w:firstLine="0"/>
              <w:jc w:val="center"/>
              <w:textAlignment w:val="center"/>
              <w:rPr>
                <w:sz w:val="21"/>
                <w:szCs w:val="21"/>
                <w:lang w:bidi="ar"/>
              </w:rPr>
            </w:pPr>
            <w:r>
              <w:rPr>
                <w:sz w:val="21"/>
                <w:szCs w:val="21"/>
                <w:lang w:bidi="ar"/>
              </w:rPr>
              <w:t>12672</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0868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CF36"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4E57"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4609" w14:textId="77777777" w:rsidR="003E78AB" w:rsidRDefault="00010BF9">
            <w:pPr>
              <w:spacing w:line="360" w:lineRule="exact"/>
              <w:ind w:firstLineChars="0" w:firstLine="0"/>
              <w:jc w:val="center"/>
              <w:textAlignment w:val="center"/>
              <w:rPr>
                <w:sz w:val="21"/>
                <w:szCs w:val="21"/>
                <w:lang w:bidi="ar"/>
              </w:rPr>
            </w:pPr>
            <w:r>
              <w:rPr>
                <w:sz w:val="21"/>
                <w:szCs w:val="21"/>
                <w:lang w:bidi="ar"/>
              </w:rPr>
              <w:t>620928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B865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E4F0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A0CE4" w14:textId="77777777" w:rsidR="003E78AB" w:rsidRDefault="00010BF9">
            <w:pPr>
              <w:spacing w:line="360" w:lineRule="exact"/>
              <w:ind w:firstLineChars="0" w:firstLine="0"/>
              <w:jc w:val="center"/>
              <w:textAlignment w:val="center"/>
              <w:rPr>
                <w:sz w:val="21"/>
                <w:szCs w:val="21"/>
                <w:lang w:bidi="ar"/>
              </w:rPr>
            </w:pPr>
            <w:r>
              <w:rPr>
                <w:sz w:val="21"/>
                <w:szCs w:val="21"/>
                <w:lang w:bidi="ar"/>
              </w:rPr>
              <w:t>12672</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D68C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8C3E6" w14:textId="77777777" w:rsidR="003E78AB" w:rsidRDefault="00010BF9">
            <w:pPr>
              <w:spacing w:line="360" w:lineRule="exact"/>
              <w:ind w:firstLineChars="0" w:firstLine="0"/>
              <w:jc w:val="center"/>
              <w:textAlignment w:val="center"/>
              <w:rPr>
                <w:sz w:val="21"/>
                <w:szCs w:val="21"/>
                <w:lang w:bidi="ar"/>
              </w:rPr>
            </w:pPr>
            <w:r>
              <w:rPr>
                <w:sz w:val="21"/>
                <w:szCs w:val="21"/>
                <w:lang w:bidi="ar"/>
              </w:rPr>
              <w:t>620928</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3E3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EF6BA"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6EA09FE1"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B1895"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ABC89" w14:textId="77777777" w:rsidR="003E78AB" w:rsidRDefault="00010BF9">
            <w:pPr>
              <w:spacing w:line="360" w:lineRule="exact"/>
              <w:ind w:firstLineChars="0" w:firstLine="0"/>
              <w:jc w:val="center"/>
              <w:textAlignment w:val="center"/>
              <w:rPr>
                <w:sz w:val="21"/>
                <w:szCs w:val="21"/>
              </w:rPr>
            </w:pPr>
            <w:r>
              <w:rPr>
                <w:sz w:val="21"/>
                <w:szCs w:val="21"/>
                <w:lang w:bidi="ar"/>
              </w:rPr>
              <w:t>生产用水</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F9449"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33852.41 </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88E10"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EB19C" w14:textId="77777777" w:rsidR="003E78AB" w:rsidRDefault="00010BF9">
            <w:pPr>
              <w:spacing w:line="360" w:lineRule="exact"/>
              <w:ind w:firstLineChars="0" w:firstLine="0"/>
              <w:jc w:val="center"/>
              <w:textAlignment w:val="center"/>
              <w:rPr>
                <w:sz w:val="21"/>
                <w:szCs w:val="21"/>
                <w:lang w:bidi="ar"/>
              </w:rPr>
            </w:pPr>
            <w:r>
              <w:rPr>
                <w:sz w:val="21"/>
                <w:szCs w:val="21"/>
                <w:lang w:bidi="ar"/>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0978C"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32490.49 </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A296"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2E55"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448E"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1281.92 </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CAE9E"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38B42"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33852.41 </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25518"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745B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9E8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4356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0158BC40"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226C2F"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CFAD9" w14:textId="77777777" w:rsidR="003E78AB" w:rsidRDefault="00010BF9">
            <w:pPr>
              <w:spacing w:line="360" w:lineRule="exact"/>
              <w:ind w:firstLineChars="0" w:firstLine="0"/>
              <w:jc w:val="center"/>
              <w:textAlignment w:val="center"/>
              <w:rPr>
                <w:sz w:val="21"/>
                <w:szCs w:val="21"/>
              </w:rPr>
            </w:pPr>
            <w:r>
              <w:rPr>
                <w:sz w:val="21"/>
                <w:szCs w:val="21"/>
                <w:lang w:bidi="ar"/>
              </w:rPr>
              <w:t>制冷系统</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04460" w14:textId="77777777" w:rsidR="003E78AB" w:rsidRDefault="00010BF9">
            <w:pPr>
              <w:spacing w:line="360" w:lineRule="exact"/>
              <w:ind w:firstLineChars="0" w:firstLine="0"/>
              <w:jc w:val="center"/>
              <w:textAlignment w:val="center"/>
              <w:rPr>
                <w:sz w:val="21"/>
                <w:szCs w:val="21"/>
                <w:lang w:bidi="ar"/>
              </w:rPr>
            </w:pPr>
            <w:r>
              <w:rPr>
                <w:sz w:val="21"/>
                <w:szCs w:val="21"/>
                <w:lang w:bidi="ar"/>
              </w:rPr>
              <w:t>6480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064B"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48F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EA7F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8B76" w14:textId="77777777" w:rsidR="003E78AB" w:rsidRDefault="00010BF9">
            <w:pPr>
              <w:spacing w:line="360" w:lineRule="exact"/>
              <w:ind w:firstLineChars="0" w:firstLine="0"/>
              <w:jc w:val="center"/>
              <w:textAlignment w:val="center"/>
              <w:rPr>
                <w:sz w:val="21"/>
                <w:szCs w:val="21"/>
                <w:lang w:bidi="ar"/>
              </w:rPr>
            </w:pPr>
            <w:r>
              <w:rPr>
                <w:sz w:val="21"/>
                <w:szCs w:val="21"/>
                <w:lang w:bidi="ar"/>
              </w:rPr>
              <w:t>6480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C0F93" w14:textId="77777777" w:rsidR="003E78AB" w:rsidRDefault="003E78AB">
            <w:pPr>
              <w:spacing w:line="360" w:lineRule="exact"/>
              <w:ind w:firstLineChars="0" w:firstLine="0"/>
              <w:jc w:val="center"/>
              <w:textAlignment w:val="center"/>
              <w:rPr>
                <w:sz w:val="21"/>
                <w:szCs w:val="21"/>
                <w:lang w:bidi="ar"/>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E4ED8"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3A98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AF93" w14:textId="77777777" w:rsidR="003E78AB" w:rsidRDefault="00010BF9">
            <w:pPr>
              <w:spacing w:line="360" w:lineRule="exact"/>
              <w:ind w:firstLineChars="0" w:firstLine="0"/>
              <w:jc w:val="center"/>
              <w:textAlignment w:val="center"/>
              <w:rPr>
                <w:sz w:val="21"/>
                <w:szCs w:val="21"/>
                <w:lang w:bidi="ar"/>
              </w:rPr>
            </w:pPr>
            <w:r>
              <w:rPr>
                <w:sz w:val="21"/>
                <w:szCs w:val="21"/>
                <w:lang w:bidi="ar"/>
              </w:rPr>
              <w:t>6480</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E81F4"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48AE"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D0949"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A19B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0CA17A9A"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3A9D05"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6A462" w14:textId="77777777" w:rsidR="003E78AB" w:rsidRDefault="00010BF9">
            <w:pPr>
              <w:spacing w:line="360" w:lineRule="exact"/>
              <w:ind w:firstLineChars="0" w:firstLine="0"/>
              <w:jc w:val="center"/>
              <w:textAlignment w:val="center"/>
              <w:rPr>
                <w:sz w:val="21"/>
                <w:szCs w:val="21"/>
              </w:rPr>
            </w:pPr>
            <w:r>
              <w:rPr>
                <w:sz w:val="21"/>
                <w:szCs w:val="21"/>
                <w:lang w:bidi="ar"/>
              </w:rPr>
              <w:t>燃气锅炉</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0131" w14:textId="77777777" w:rsidR="003E78AB" w:rsidRDefault="00010BF9">
            <w:pPr>
              <w:spacing w:line="360" w:lineRule="exact"/>
              <w:ind w:firstLineChars="0" w:firstLine="0"/>
              <w:jc w:val="center"/>
              <w:textAlignment w:val="center"/>
              <w:rPr>
                <w:sz w:val="21"/>
                <w:szCs w:val="21"/>
                <w:lang w:bidi="ar"/>
              </w:rPr>
            </w:pPr>
            <w:r>
              <w:rPr>
                <w:sz w:val="21"/>
                <w:szCs w:val="21"/>
                <w:lang w:bidi="ar"/>
              </w:rPr>
              <w:t>27893</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9A7A"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A26E5"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2DA4F"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DEE9A" w14:textId="77777777" w:rsidR="003E78AB" w:rsidRDefault="00010BF9">
            <w:pPr>
              <w:spacing w:line="360" w:lineRule="exact"/>
              <w:ind w:firstLineChars="0" w:firstLine="0"/>
              <w:jc w:val="center"/>
              <w:textAlignment w:val="center"/>
              <w:rPr>
                <w:sz w:val="21"/>
                <w:szCs w:val="21"/>
                <w:lang w:bidi="ar"/>
              </w:rPr>
            </w:pPr>
            <w:r>
              <w:rPr>
                <w:sz w:val="21"/>
                <w:szCs w:val="21"/>
                <w:lang w:bidi="ar"/>
              </w:rPr>
              <w:t>1973</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764FD" w14:textId="77777777" w:rsidR="003E78AB" w:rsidRDefault="00010BF9">
            <w:pPr>
              <w:spacing w:line="360" w:lineRule="exact"/>
              <w:ind w:firstLineChars="0" w:firstLine="0"/>
              <w:jc w:val="center"/>
              <w:textAlignment w:val="center"/>
              <w:rPr>
                <w:sz w:val="21"/>
                <w:szCs w:val="21"/>
                <w:lang w:bidi="ar"/>
              </w:rPr>
            </w:pPr>
            <w:r>
              <w:rPr>
                <w:sz w:val="21"/>
                <w:szCs w:val="21"/>
                <w:lang w:bidi="ar"/>
              </w:rPr>
              <w:t>25920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9E59F"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AE8F1" w14:textId="77777777" w:rsidR="003E78AB" w:rsidRDefault="00010BF9">
            <w:pPr>
              <w:spacing w:line="360" w:lineRule="exact"/>
              <w:ind w:firstLineChars="0" w:firstLine="0"/>
              <w:jc w:val="center"/>
              <w:textAlignment w:val="center"/>
              <w:rPr>
                <w:sz w:val="21"/>
                <w:szCs w:val="21"/>
                <w:lang w:bidi="ar"/>
              </w:rPr>
            </w:pPr>
            <w:r>
              <w:rPr>
                <w:sz w:val="21"/>
                <w:szCs w:val="21"/>
                <w:lang w:bidi="ar"/>
              </w:rPr>
              <w:t>1973</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739C6"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01AB4"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2098" w14:textId="77777777" w:rsidR="003E78AB" w:rsidRDefault="00010BF9">
            <w:pPr>
              <w:spacing w:line="360" w:lineRule="exact"/>
              <w:ind w:firstLineChars="0" w:firstLine="0"/>
              <w:jc w:val="center"/>
              <w:textAlignment w:val="center"/>
              <w:rPr>
                <w:sz w:val="21"/>
                <w:szCs w:val="21"/>
                <w:lang w:bidi="ar"/>
              </w:rPr>
            </w:pPr>
            <w:r>
              <w:rPr>
                <w:sz w:val="21"/>
                <w:szCs w:val="21"/>
                <w:lang w:bidi="ar"/>
              </w:rPr>
              <w:t>25920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81958"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132AA"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7DF5C215"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E92D6E"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09360" w14:textId="77777777" w:rsidR="003E78AB" w:rsidRDefault="00010BF9">
            <w:pPr>
              <w:spacing w:line="360" w:lineRule="exact"/>
              <w:ind w:firstLineChars="0" w:firstLine="0"/>
              <w:jc w:val="center"/>
              <w:textAlignment w:val="center"/>
              <w:rPr>
                <w:sz w:val="21"/>
                <w:szCs w:val="21"/>
              </w:rPr>
            </w:pPr>
            <w:r>
              <w:rPr>
                <w:sz w:val="21"/>
                <w:szCs w:val="21"/>
                <w:lang w:bidi="ar"/>
              </w:rPr>
              <w:t>废气喷淋系统</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2AF7A" w14:textId="77777777" w:rsidR="003E78AB" w:rsidRDefault="00010BF9">
            <w:pPr>
              <w:spacing w:line="360" w:lineRule="exact"/>
              <w:ind w:firstLineChars="0" w:firstLine="0"/>
              <w:jc w:val="center"/>
              <w:textAlignment w:val="center"/>
              <w:rPr>
                <w:sz w:val="21"/>
                <w:szCs w:val="21"/>
                <w:lang w:bidi="ar"/>
              </w:rPr>
            </w:pPr>
            <w:r>
              <w:rPr>
                <w:sz w:val="21"/>
                <w:szCs w:val="21"/>
                <w:lang w:bidi="ar"/>
              </w:rPr>
              <w:t>3068.6</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C0D9" w14:textId="77777777" w:rsidR="003E78AB" w:rsidRDefault="00010BF9">
            <w:pPr>
              <w:spacing w:line="360" w:lineRule="exact"/>
              <w:ind w:firstLineChars="0" w:firstLine="0"/>
              <w:jc w:val="center"/>
              <w:textAlignment w:val="center"/>
              <w:rPr>
                <w:sz w:val="21"/>
                <w:szCs w:val="21"/>
                <w:lang w:bidi="ar"/>
              </w:rPr>
            </w:pPr>
            <w:r>
              <w:rPr>
                <w:sz w:val="21"/>
                <w:szCs w:val="21"/>
                <w:lang w:bidi="ar"/>
              </w:rPr>
              <w:t>1930.93</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D2378" w14:textId="77777777" w:rsidR="003E78AB" w:rsidRDefault="00010BF9">
            <w:pPr>
              <w:spacing w:line="360" w:lineRule="exact"/>
              <w:ind w:firstLineChars="0" w:firstLine="0"/>
              <w:jc w:val="center"/>
              <w:textAlignment w:val="center"/>
              <w:rPr>
                <w:sz w:val="21"/>
                <w:szCs w:val="21"/>
                <w:lang w:bidi="ar"/>
              </w:rPr>
            </w:pPr>
            <w:r>
              <w:rPr>
                <w:sz w:val="21"/>
                <w:szCs w:val="21"/>
                <w:lang w:bidi="ar"/>
              </w:rPr>
              <w:t>1083.75</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675E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16EC" w14:textId="77777777" w:rsidR="003E78AB" w:rsidRDefault="003E78AB">
            <w:pPr>
              <w:spacing w:line="360" w:lineRule="exact"/>
              <w:ind w:firstLineChars="0" w:firstLine="0"/>
              <w:jc w:val="center"/>
              <w:textAlignment w:val="center"/>
              <w:rPr>
                <w:sz w:val="21"/>
                <w:szCs w:val="21"/>
                <w:lang w:bidi="ar"/>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41F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764BC" w14:textId="77777777" w:rsidR="003E78AB" w:rsidRDefault="00010BF9">
            <w:pPr>
              <w:spacing w:line="360" w:lineRule="exact"/>
              <w:ind w:firstLineChars="0" w:firstLine="0"/>
              <w:jc w:val="center"/>
              <w:textAlignment w:val="center"/>
              <w:rPr>
                <w:sz w:val="21"/>
                <w:szCs w:val="21"/>
                <w:lang w:bidi="ar"/>
              </w:rPr>
            </w:pPr>
            <w:r>
              <w:rPr>
                <w:sz w:val="21"/>
                <w:szCs w:val="21"/>
                <w:lang w:bidi="ar"/>
              </w:rPr>
              <w:t>53.92</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06440" w14:textId="77777777" w:rsidR="003E78AB" w:rsidRDefault="00010BF9">
            <w:pPr>
              <w:spacing w:line="360" w:lineRule="exact"/>
              <w:ind w:firstLineChars="0" w:firstLine="0"/>
              <w:jc w:val="center"/>
              <w:textAlignment w:val="center"/>
              <w:rPr>
                <w:sz w:val="21"/>
                <w:szCs w:val="21"/>
                <w:lang w:bidi="ar"/>
              </w:rPr>
            </w:pPr>
            <w:r>
              <w:rPr>
                <w:sz w:val="21"/>
                <w:szCs w:val="21"/>
                <w:lang w:bidi="ar"/>
              </w:rPr>
              <w:t>1445</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D0ED" w14:textId="77777777" w:rsidR="003E78AB" w:rsidRDefault="00010BF9">
            <w:pPr>
              <w:spacing w:line="360" w:lineRule="exact"/>
              <w:ind w:firstLineChars="0" w:firstLine="0"/>
              <w:jc w:val="center"/>
              <w:textAlignment w:val="center"/>
              <w:rPr>
                <w:sz w:val="21"/>
                <w:szCs w:val="21"/>
                <w:lang w:bidi="ar"/>
              </w:rPr>
            </w:pPr>
            <w:r>
              <w:rPr>
                <w:sz w:val="21"/>
                <w:szCs w:val="21"/>
                <w:lang w:bidi="ar"/>
              </w:rPr>
              <w:t>1623.6</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600AC" w14:textId="77777777" w:rsidR="003E78AB" w:rsidRDefault="003E78AB">
            <w:pPr>
              <w:spacing w:line="360" w:lineRule="exact"/>
              <w:ind w:firstLineChars="0" w:firstLine="0"/>
              <w:jc w:val="center"/>
              <w:textAlignment w:val="center"/>
              <w:rPr>
                <w:sz w:val="21"/>
                <w:szCs w:val="21"/>
                <w:lang w:bidi="ar"/>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819A"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D6D9"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B1DDF"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346026CF"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23AA2C"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42E4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生产车间地面冲洗</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040E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264</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68A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264</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E7B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41A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98C4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6FC6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E8E6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9F71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211.2</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8CF8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52.8</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E1AE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C85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2A8E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395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r>
      <w:tr w:rsidR="003E78AB" w14:paraId="123EE6ED" w14:textId="77777777">
        <w:trPr>
          <w:trHeight w:val="280"/>
          <w:jc w:val="cent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DA971" w14:textId="77777777" w:rsidR="003E78AB" w:rsidRDefault="003E78AB">
            <w:pPr>
              <w:spacing w:line="360" w:lineRule="exact"/>
              <w:ind w:firstLineChars="0" w:firstLine="0"/>
              <w:jc w:val="center"/>
              <w:rPr>
                <w:sz w:val="21"/>
                <w:szCs w:val="21"/>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A3082" w14:textId="77777777" w:rsidR="003E78AB" w:rsidRDefault="00010BF9">
            <w:pPr>
              <w:spacing w:line="360" w:lineRule="exact"/>
              <w:ind w:firstLineChars="0" w:firstLine="0"/>
              <w:jc w:val="center"/>
              <w:textAlignment w:val="center"/>
              <w:rPr>
                <w:sz w:val="21"/>
                <w:szCs w:val="21"/>
              </w:rPr>
            </w:pPr>
            <w:r>
              <w:rPr>
                <w:sz w:val="21"/>
                <w:szCs w:val="21"/>
                <w:lang w:bidi="ar"/>
              </w:rPr>
              <w:t>分析实验室</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F0F9" w14:textId="77777777" w:rsidR="003E78AB" w:rsidRDefault="00010BF9">
            <w:pPr>
              <w:spacing w:line="360" w:lineRule="exact"/>
              <w:ind w:firstLineChars="0" w:firstLine="0"/>
              <w:jc w:val="center"/>
              <w:textAlignment w:val="center"/>
              <w:rPr>
                <w:sz w:val="21"/>
                <w:szCs w:val="21"/>
                <w:lang w:bidi="ar"/>
              </w:rPr>
            </w:pPr>
            <w:r>
              <w:rPr>
                <w:sz w:val="21"/>
                <w:szCs w:val="21"/>
                <w:lang w:bidi="ar"/>
              </w:rPr>
              <w:t>100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0632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1818"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3D84" w14:textId="77777777" w:rsidR="003E78AB" w:rsidRDefault="00010BF9">
            <w:pPr>
              <w:spacing w:line="360" w:lineRule="exact"/>
              <w:ind w:firstLineChars="0" w:firstLine="0"/>
              <w:jc w:val="center"/>
              <w:textAlignment w:val="center"/>
              <w:rPr>
                <w:sz w:val="21"/>
                <w:szCs w:val="21"/>
                <w:lang w:bidi="ar"/>
              </w:rPr>
            </w:pPr>
            <w:r>
              <w:rPr>
                <w:sz w:val="21"/>
                <w:szCs w:val="21"/>
                <w:lang w:bidi="ar"/>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C0E7" w14:textId="77777777" w:rsidR="003E78AB" w:rsidRDefault="003E78AB">
            <w:pPr>
              <w:spacing w:line="360" w:lineRule="exact"/>
              <w:ind w:firstLineChars="0" w:firstLine="0"/>
              <w:jc w:val="center"/>
              <w:textAlignment w:val="center"/>
              <w:rPr>
                <w:sz w:val="21"/>
                <w:szCs w:val="21"/>
                <w:lang w:bidi="ar"/>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2307C"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B0BB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6EDF" w14:textId="77777777" w:rsidR="003E78AB" w:rsidRDefault="003E78AB">
            <w:pPr>
              <w:spacing w:line="360" w:lineRule="exact"/>
              <w:ind w:firstLineChars="0" w:firstLine="0"/>
              <w:jc w:val="center"/>
              <w:textAlignment w:val="center"/>
              <w:rPr>
                <w:sz w:val="21"/>
                <w:szCs w:val="21"/>
                <w:lang w:bidi="ar"/>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65E97" w14:textId="77777777" w:rsidR="003E78AB" w:rsidRDefault="00010BF9">
            <w:pPr>
              <w:spacing w:line="360" w:lineRule="exact"/>
              <w:ind w:firstLineChars="0" w:firstLine="0"/>
              <w:jc w:val="center"/>
              <w:textAlignment w:val="center"/>
              <w:rPr>
                <w:sz w:val="21"/>
                <w:szCs w:val="21"/>
                <w:lang w:bidi="ar"/>
              </w:rPr>
            </w:pPr>
            <w:r>
              <w:rPr>
                <w:sz w:val="21"/>
                <w:szCs w:val="21"/>
                <w:lang w:bidi="ar"/>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7B12D" w14:textId="77777777" w:rsidR="003E78AB" w:rsidRDefault="00010BF9">
            <w:pPr>
              <w:spacing w:line="360" w:lineRule="exact"/>
              <w:ind w:firstLineChars="0" w:firstLine="0"/>
              <w:jc w:val="center"/>
              <w:textAlignment w:val="center"/>
              <w:rPr>
                <w:sz w:val="21"/>
                <w:szCs w:val="21"/>
                <w:lang w:bidi="ar"/>
              </w:rPr>
            </w:pPr>
            <w:r>
              <w:rPr>
                <w:sz w:val="21"/>
                <w:szCs w:val="21"/>
                <w:lang w:bidi="ar"/>
              </w:rPr>
              <w:t>80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01E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622BA"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F1B81"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4E13D305" w14:textId="77777777">
        <w:trPr>
          <w:trHeight w:val="280"/>
          <w:jc w:val="center"/>
        </w:trPr>
        <w:tc>
          <w:tcPr>
            <w:tcW w:w="1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DDB61" w14:textId="77777777" w:rsidR="003E78AB" w:rsidRDefault="00010BF9">
            <w:pPr>
              <w:spacing w:line="360" w:lineRule="exact"/>
              <w:ind w:firstLineChars="0" w:firstLine="0"/>
              <w:jc w:val="center"/>
              <w:textAlignment w:val="center"/>
              <w:rPr>
                <w:sz w:val="21"/>
                <w:szCs w:val="21"/>
              </w:rPr>
            </w:pPr>
            <w:r>
              <w:rPr>
                <w:sz w:val="21"/>
                <w:szCs w:val="21"/>
                <w:lang w:bidi="ar"/>
              </w:rPr>
              <w:t>其他</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5E472" w14:textId="77777777" w:rsidR="003E78AB" w:rsidRDefault="00010BF9">
            <w:pPr>
              <w:spacing w:line="360" w:lineRule="exact"/>
              <w:ind w:firstLineChars="0" w:firstLine="0"/>
              <w:jc w:val="center"/>
              <w:textAlignment w:val="center"/>
              <w:rPr>
                <w:sz w:val="21"/>
                <w:szCs w:val="21"/>
              </w:rPr>
            </w:pPr>
            <w:r>
              <w:rPr>
                <w:sz w:val="21"/>
                <w:szCs w:val="21"/>
                <w:lang w:bidi="ar"/>
              </w:rPr>
              <w:t>初期雨水</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9927A"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51A79"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59117"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BE005"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DF04A" w14:textId="77777777" w:rsidR="003E78AB" w:rsidRDefault="003E78AB">
            <w:pPr>
              <w:spacing w:line="360" w:lineRule="exact"/>
              <w:ind w:firstLineChars="0" w:firstLine="0"/>
              <w:jc w:val="center"/>
              <w:textAlignment w:val="center"/>
              <w:rPr>
                <w:sz w:val="21"/>
                <w:szCs w:val="21"/>
                <w:lang w:bidi="ar"/>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23DE"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4E573"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3288"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68FBB"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4CA6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4D616"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E494"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EF2C2"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r>
      <w:tr w:rsidR="003E78AB" w14:paraId="1A9D52F2" w14:textId="77777777">
        <w:trPr>
          <w:trHeight w:val="310"/>
          <w:jc w:val="center"/>
        </w:trPr>
        <w:tc>
          <w:tcPr>
            <w:tcW w:w="6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9338C9" w14:textId="77777777" w:rsidR="003E78AB" w:rsidRDefault="00010BF9">
            <w:pPr>
              <w:spacing w:line="360" w:lineRule="exact"/>
              <w:ind w:firstLineChars="0" w:firstLine="0"/>
              <w:jc w:val="center"/>
              <w:textAlignment w:val="center"/>
              <w:rPr>
                <w:sz w:val="21"/>
                <w:szCs w:val="21"/>
              </w:rPr>
            </w:pPr>
            <w:r>
              <w:rPr>
                <w:sz w:val="21"/>
                <w:szCs w:val="21"/>
                <w:lang w:bidi="ar"/>
              </w:rPr>
              <w:t>合计</w:t>
            </w:r>
            <w:r>
              <w:rPr>
                <w:sz w:val="21"/>
                <w:szCs w:val="21"/>
                <w:lang w:bidi="ar"/>
              </w:rPr>
              <w:t>m</w:t>
            </w:r>
            <w:r>
              <w:rPr>
                <w:sz w:val="21"/>
                <w:szCs w:val="21"/>
                <w:vertAlign w:val="superscript"/>
                <w:lang w:bidi="ar"/>
              </w:rPr>
              <w:t>3</w:t>
            </w:r>
            <w:r>
              <w:rPr>
                <w:sz w:val="21"/>
                <w:szCs w:val="21"/>
                <w:lang w:bidi="ar"/>
              </w:rPr>
              <w:t>/a</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66C48"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761206.22 </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4EA43"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70815.13 </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BD997"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1163.75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75A1D"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32590.49 </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8BF5D" w14:textId="77777777" w:rsidR="003E78AB" w:rsidRDefault="00010BF9">
            <w:pPr>
              <w:spacing w:line="360" w:lineRule="exact"/>
              <w:ind w:firstLineChars="0" w:firstLine="0"/>
              <w:jc w:val="center"/>
              <w:textAlignment w:val="center"/>
              <w:rPr>
                <w:sz w:val="21"/>
                <w:szCs w:val="21"/>
                <w:lang w:bidi="ar"/>
              </w:rPr>
            </w:pPr>
            <w:r>
              <w:rPr>
                <w:sz w:val="21"/>
                <w:szCs w:val="21"/>
                <w:lang w:bidi="ar"/>
              </w:rPr>
              <w:t>8453</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20870" w14:textId="77777777" w:rsidR="003E78AB" w:rsidRDefault="00010BF9">
            <w:pPr>
              <w:spacing w:line="360" w:lineRule="exact"/>
              <w:ind w:firstLineChars="0" w:firstLine="0"/>
              <w:jc w:val="center"/>
              <w:textAlignment w:val="center"/>
              <w:rPr>
                <w:sz w:val="21"/>
                <w:szCs w:val="21"/>
                <w:lang w:bidi="ar"/>
              </w:rPr>
            </w:pPr>
            <w:r>
              <w:rPr>
                <w:sz w:val="21"/>
                <w:szCs w:val="21"/>
                <w:lang w:bidi="ar"/>
              </w:rPr>
              <w:t>646848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A71C3"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1335.84 </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B2974"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17913.52 </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246F8"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55321.21 </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96D4A" w14:textId="77777777" w:rsidR="003E78AB" w:rsidRDefault="00010BF9">
            <w:pPr>
              <w:spacing w:line="360" w:lineRule="exact"/>
              <w:ind w:firstLineChars="0" w:firstLine="0"/>
              <w:jc w:val="center"/>
              <w:textAlignment w:val="center"/>
              <w:rPr>
                <w:sz w:val="21"/>
                <w:szCs w:val="21"/>
                <w:lang w:bidi="ar"/>
              </w:rPr>
            </w:pPr>
            <w:r>
              <w:rPr>
                <w:sz w:val="21"/>
                <w:szCs w:val="21"/>
                <w:lang w:bidi="ar"/>
              </w:rPr>
              <w:t>80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27785" w14:textId="77777777" w:rsidR="003E78AB" w:rsidRDefault="00010BF9">
            <w:pPr>
              <w:spacing w:line="360" w:lineRule="exact"/>
              <w:ind w:firstLineChars="0" w:firstLine="0"/>
              <w:jc w:val="center"/>
              <w:textAlignment w:val="center"/>
              <w:rPr>
                <w:sz w:val="21"/>
                <w:szCs w:val="21"/>
                <w:lang w:bidi="ar"/>
              </w:rPr>
            </w:pPr>
            <w:r>
              <w:rPr>
                <w:sz w:val="21"/>
                <w:szCs w:val="21"/>
                <w:lang w:bidi="ar"/>
              </w:rPr>
              <w:t>646848</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FCF4E" w14:textId="77777777" w:rsidR="003E78AB" w:rsidRDefault="00010BF9">
            <w:pPr>
              <w:spacing w:line="360" w:lineRule="exact"/>
              <w:ind w:firstLineChars="0" w:firstLine="0"/>
              <w:jc w:val="center"/>
              <w:textAlignment w:val="center"/>
              <w:rPr>
                <w:sz w:val="21"/>
                <w:szCs w:val="21"/>
                <w:lang w:bidi="ar"/>
              </w:rPr>
            </w:pPr>
            <w:r>
              <w:rPr>
                <w:sz w:val="21"/>
                <w:szCs w:val="21"/>
                <w:lang w:bidi="ar"/>
              </w:rPr>
              <w:t xml:space="preserve">32590.49 </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0C0B2" w14:textId="77777777" w:rsidR="003E78AB" w:rsidRDefault="00010BF9">
            <w:pPr>
              <w:spacing w:line="360" w:lineRule="exact"/>
              <w:ind w:firstLineChars="0" w:firstLine="0"/>
              <w:jc w:val="center"/>
              <w:textAlignment w:val="center"/>
              <w:rPr>
                <w:sz w:val="21"/>
                <w:szCs w:val="21"/>
                <w:lang w:bidi="ar"/>
              </w:rPr>
            </w:pPr>
            <w:r>
              <w:rPr>
                <w:sz w:val="21"/>
                <w:szCs w:val="21"/>
                <w:lang w:bidi="ar"/>
              </w:rPr>
              <w:t>8453</w:t>
            </w:r>
          </w:p>
        </w:tc>
      </w:tr>
      <w:tr w:rsidR="003E78AB" w14:paraId="7945CF02" w14:textId="77777777">
        <w:trPr>
          <w:trHeight w:val="310"/>
          <w:jc w:val="center"/>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2083BF12" w14:textId="77777777" w:rsidR="003E78AB" w:rsidRDefault="00010BF9">
            <w:pPr>
              <w:spacing w:line="360" w:lineRule="exact"/>
              <w:ind w:firstLineChars="0" w:firstLine="0"/>
              <w:textAlignment w:val="center"/>
              <w:rPr>
                <w:rFonts w:eastAsia="等线"/>
                <w:sz w:val="21"/>
                <w:szCs w:val="21"/>
                <w:lang w:bidi="ar"/>
              </w:rPr>
            </w:pPr>
            <w:r>
              <w:rPr>
                <w:rFonts w:asciiTheme="minorEastAsia" w:eastAsiaTheme="minorEastAsia" w:hAnsiTheme="minorEastAsia" w:cstheme="minorEastAsia" w:hint="eastAsia"/>
                <w:sz w:val="21"/>
                <w:szCs w:val="21"/>
                <w:lang w:bidi="ar"/>
              </w:rPr>
              <w:t>注：</w:t>
            </w:r>
            <w:r>
              <w:rPr>
                <w:rFonts w:asciiTheme="minorEastAsia" w:eastAsiaTheme="minorEastAsia" w:hAnsiTheme="minorEastAsia" w:cstheme="minorEastAsia" w:hint="eastAsia"/>
                <w:sz w:val="21"/>
                <w:szCs w:val="21"/>
                <w:lang w:bidi="ar"/>
              </w:rPr>
              <w:t>*</w:t>
            </w:r>
            <w:r>
              <w:rPr>
                <w:rFonts w:asciiTheme="minorEastAsia" w:eastAsiaTheme="minorEastAsia" w:hAnsiTheme="minorEastAsia" w:cstheme="minorEastAsia" w:hint="eastAsia"/>
                <w:sz w:val="21"/>
                <w:szCs w:val="21"/>
                <w:lang w:bidi="ar"/>
              </w:rPr>
              <w:t>废气喷淋系统排水为排</w:t>
            </w:r>
            <w:r>
              <w:rPr>
                <w:rFonts w:eastAsia="等线"/>
                <w:sz w:val="21"/>
                <w:szCs w:val="21"/>
                <w:lang w:bidi="ar"/>
              </w:rPr>
              <w:t>浓水</w:t>
            </w:r>
            <w:r>
              <w:rPr>
                <w:rFonts w:eastAsia="等线"/>
                <w:sz w:val="21"/>
                <w:szCs w:val="21"/>
                <w:lang w:bidi="ar"/>
              </w:rPr>
              <w:t>1445m</w:t>
            </w:r>
            <w:r>
              <w:rPr>
                <w:rFonts w:eastAsia="等线"/>
                <w:sz w:val="21"/>
                <w:szCs w:val="21"/>
                <w:vertAlign w:val="superscript"/>
                <w:lang w:bidi="ar"/>
              </w:rPr>
              <w:t>3</w:t>
            </w:r>
            <w:r>
              <w:rPr>
                <w:rFonts w:eastAsia="等线"/>
                <w:sz w:val="21"/>
                <w:szCs w:val="21"/>
                <w:lang w:bidi="ar"/>
              </w:rPr>
              <w:t>/a</w:t>
            </w:r>
            <w:r>
              <w:rPr>
                <w:rFonts w:eastAsia="等线"/>
                <w:sz w:val="21"/>
                <w:szCs w:val="21"/>
                <w:lang w:bidi="ar"/>
              </w:rPr>
              <w:t>去蒸发釜，水平衡中总排水量为</w:t>
            </w:r>
            <w:r>
              <w:rPr>
                <w:rFonts w:eastAsia="等线" w:hint="eastAsia"/>
                <w:sz w:val="21"/>
                <w:szCs w:val="21"/>
                <w:lang w:bidi="ar"/>
              </w:rPr>
              <w:t>16468.52</w:t>
            </w:r>
            <w:r>
              <w:rPr>
                <w:rFonts w:eastAsia="等线"/>
                <w:sz w:val="21"/>
                <w:szCs w:val="21"/>
                <w:lang w:bidi="ar"/>
              </w:rPr>
              <w:t>m</w:t>
            </w:r>
            <w:r>
              <w:rPr>
                <w:rFonts w:eastAsia="等线"/>
                <w:sz w:val="21"/>
                <w:szCs w:val="21"/>
                <w:vertAlign w:val="superscript"/>
                <w:lang w:bidi="ar"/>
              </w:rPr>
              <w:t>3</w:t>
            </w:r>
            <w:r>
              <w:rPr>
                <w:rFonts w:eastAsia="等线"/>
                <w:sz w:val="21"/>
                <w:szCs w:val="21"/>
                <w:lang w:bidi="ar"/>
              </w:rPr>
              <w:t>/a</w:t>
            </w:r>
            <w:r>
              <w:rPr>
                <w:rFonts w:eastAsia="等线"/>
                <w:sz w:val="21"/>
                <w:szCs w:val="21"/>
                <w:lang w:bidi="ar"/>
              </w:rPr>
              <w:t>。</w:t>
            </w:r>
          </w:p>
        </w:tc>
      </w:tr>
    </w:tbl>
    <w:p w14:paraId="062365C8" w14:textId="77777777" w:rsidR="003E78AB" w:rsidRDefault="003E78AB">
      <w:pPr>
        <w:ind w:firstLine="480"/>
        <w:sectPr w:rsidR="003E78AB">
          <w:pgSz w:w="16838" w:h="11906" w:orient="landscape"/>
          <w:pgMar w:top="1985" w:right="1440" w:bottom="1701" w:left="1440" w:header="851" w:footer="992" w:gutter="0"/>
          <w:cols w:space="720"/>
          <w:docGrid w:linePitch="312"/>
        </w:sectPr>
      </w:pPr>
    </w:p>
    <w:bookmarkStart w:id="246" w:name="_Toc407"/>
    <w:p w14:paraId="17046C6C" w14:textId="77777777" w:rsidR="003E78AB" w:rsidRDefault="00010BF9">
      <w:pPr>
        <w:pStyle w:val="aff3"/>
        <w:topLinePunct/>
        <w:rPr>
          <w:rStyle w:val="Char"/>
          <w:bCs/>
          <w:sz w:val="24"/>
          <w:szCs w:val="24"/>
        </w:rPr>
      </w:pPr>
      <w:r>
        <w:object w:dxaOrig="8284" w:dyaOrig="9498" w14:anchorId="01647666">
          <v:shape id="_x0000_i1031" type="#_x0000_t75" style="width:414.2pt;height:474.9pt" o:ole="">
            <v:imagedata r:id="rId33" o:title=""/>
            <o:lock v:ext="edit" aspectratio="f"/>
          </v:shape>
          <o:OLEObject Type="Embed" ProgID="Visio.Drawing.15" ShapeID="_x0000_i1031" DrawAspect="Content" ObjectID="_1814684978" r:id="rId34"/>
        </w:object>
      </w:r>
      <w:r>
        <w:rPr>
          <w:rStyle w:val="Char"/>
          <w:rFonts w:hint="eastAsia"/>
          <w:bCs/>
          <w:sz w:val="24"/>
          <w:szCs w:val="24"/>
        </w:rPr>
        <w:t>图</w:t>
      </w:r>
      <w:r>
        <w:rPr>
          <w:rStyle w:val="Char"/>
          <w:rFonts w:hint="eastAsia"/>
          <w:bCs/>
          <w:sz w:val="24"/>
          <w:szCs w:val="24"/>
        </w:rPr>
        <w:t xml:space="preserve">3-5  </w:t>
      </w:r>
      <w:r>
        <w:rPr>
          <w:rStyle w:val="Char"/>
          <w:rFonts w:hint="eastAsia"/>
          <w:bCs/>
          <w:sz w:val="24"/>
          <w:szCs w:val="24"/>
        </w:rPr>
        <w:t>水平衡图</w:t>
      </w:r>
    </w:p>
    <w:p w14:paraId="69871B82" w14:textId="77777777" w:rsidR="003E78AB" w:rsidRDefault="00010BF9">
      <w:pPr>
        <w:pStyle w:val="31"/>
        <w:keepNext w:val="0"/>
        <w:keepLines w:val="0"/>
        <w:topLinePunct/>
        <w:spacing w:before="156"/>
      </w:pPr>
      <w:r>
        <w:t>3.3.</w:t>
      </w:r>
      <w:r>
        <w:rPr>
          <w:rFonts w:hint="eastAsia"/>
        </w:rPr>
        <w:t>4</w:t>
      </w:r>
      <w:r>
        <w:rPr>
          <w:rFonts w:hint="eastAsia"/>
        </w:rPr>
        <w:t>淋洗废水蒸发结晶</w:t>
      </w:r>
      <w:r>
        <w:t>平衡</w:t>
      </w:r>
    </w:p>
    <w:p w14:paraId="7F37310F" w14:textId="77777777" w:rsidR="003E78AB" w:rsidRDefault="00010BF9">
      <w:pPr>
        <w:ind w:firstLine="480"/>
        <w:rPr>
          <w:lang w:bidi="en-US"/>
        </w:rPr>
      </w:pPr>
      <w:r>
        <w:rPr>
          <w:rFonts w:hint="eastAsia"/>
          <w:lang w:bidi="en-US"/>
        </w:rPr>
        <w:t>本</w:t>
      </w:r>
      <w:r>
        <w:rPr>
          <w:lang w:bidi="en-US"/>
        </w:rPr>
        <w:t>项目</w:t>
      </w:r>
      <w:r>
        <w:rPr>
          <w:rFonts w:hint="eastAsia"/>
          <w:lang w:bidi="en-US"/>
        </w:rPr>
        <w:t>生产工艺在溶解还原和电解过程产生的雾沫可能会夹带一部分的含钒物质，随工艺尾气管道进入淋洗设施，淋洗水经循环浓缩后定期</w:t>
      </w:r>
      <w:r>
        <w:rPr>
          <w:rFonts w:hint="eastAsia"/>
        </w:rPr>
        <w:t>排高浓度含盐废水，经蒸发釜蒸发结晶，</w:t>
      </w:r>
      <w:r>
        <w:rPr>
          <w:rFonts w:hint="eastAsia"/>
          <w:lang w:bidi="en-US"/>
        </w:rPr>
        <w:t>最终以结晶盐的形式排出。</w:t>
      </w:r>
    </w:p>
    <w:p w14:paraId="0361FD72" w14:textId="77777777" w:rsidR="003E78AB" w:rsidRDefault="00010BF9">
      <w:pPr>
        <w:ind w:firstLine="480"/>
      </w:pPr>
      <w:r>
        <w:rPr>
          <w:rFonts w:hint="eastAsia"/>
          <w:lang w:bidi="en-US"/>
        </w:rPr>
        <w:t>根据水平衡分析，进蒸发结晶系统的水量为</w:t>
      </w:r>
      <w:r>
        <w:rPr>
          <w:rFonts w:hint="eastAsia"/>
          <w:lang w:bidi="en-US"/>
        </w:rPr>
        <w:t>1445m3/a</w:t>
      </w:r>
      <w:r>
        <w:rPr>
          <w:rFonts w:hint="eastAsia"/>
          <w:lang w:bidi="en-US"/>
        </w:rPr>
        <w:t>，产生</w:t>
      </w:r>
      <w:r>
        <w:rPr>
          <w:rFonts w:hint="eastAsia"/>
        </w:rPr>
        <w:t>湿盐量</w:t>
      </w:r>
      <w:r>
        <w:rPr>
          <w:rFonts w:hint="eastAsia"/>
        </w:rPr>
        <w:t>361.25t/a</w:t>
      </w:r>
      <w:r>
        <w:rPr>
          <w:rFonts w:hint="eastAsia"/>
        </w:rPr>
        <w:t>（其中干盐</w:t>
      </w:r>
      <w:r>
        <w:rPr>
          <w:rFonts w:hint="eastAsia"/>
        </w:rPr>
        <w:t>288.93t/a</w:t>
      </w:r>
      <w:r>
        <w:rPr>
          <w:rFonts w:hint="eastAsia"/>
        </w:rPr>
        <w:t>，水</w:t>
      </w:r>
      <w:r>
        <w:rPr>
          <w:rFonts w:hint="eastAsia"/>
        </w:rPr>
        <w:t>72.32t/a</w:t>
      </w:r>
      <w:r>
        <w:rPr>
          <w:rFonts w:hint="eastAsia"/>
        </w:rPr>
        <w:t>），蒸发釜蒸馏水产出量</w:t>
      </w:r>
      <w:r>
        <w:rPr>
          <w:rFonts w:hint="eastAsia"/>
        </w:rPr>
        <w:t>1083.75m</w:t>
      </w:r>
      <w:r>
        <w:rPr>
          <w:rFonts w:hint="eastAsia"/>
          <w:vertAlign w:val="superscript"/>
        </w:rPr>
        <w:t>3</w:t>
      </w:r>
      <w:r>
        <w:rPr>
          <w:rFonts w:hint="eastAsia"/>
        </w:rPr>
        <w:t>/a</w:t>
      </w:r>
      <w:r>
        <w:rPr>
          <w:rFonts w:hint="eastAsia"/>
        </w:rPr>
        <w:t>，作为补水配置碱洗塔碱液或水洗塔补水。</w:t>
      </w:r>
    </w:p>
    <w:p w14:paraId="6144AE97" w14:textId="77777777" w:rsidR="003E78AB" w:rsidRDefault="00010BF9">
      <w:pPr>
        <w:ind w:firstLine="480"/>
        <w:rPr>
          <w:lang w:bidi="en-US"/>
        </w:rPr>
      </w:pPr>
      <w:r>
        <w:rPr>
          <w:rFonts w:hint="eastAsia"/>
          <w:lang w:bidi="en-US"/>
        </w:rPr>
        <w:t>淋洗废水蒸发结晶平衡</w:t>
      </w:r>
      <w:r>
        <w:rPr>
          <w:lang w:bidi="en-US"/>
        </w:rPr>
        <w:t>见</w:t>
      </w:r>
      <w:r>
        <w:rPr>
          <w:lang w:bidi="en-US"/>
        </w:rPr>
        <w:fldChar w:fldCharType="begin"/>
      </w:r>
      <w:r>
        <w:rPr>
          <w:lang w:bidi="en-US"/>
        </w:rPr>
        <w:instrText xml:space="preserve"> REF _Ref22252 \r \h </w:instrText>
      </w:r>
      <w:r>
        <w:rPr>
          <w:lang w:bidi="en-US"/>
        </w:rPr>
      </w:r>
      <w:r>
        <w:rPr>
          <w:lang w:bidi="en-US"/>
        </w:rPr>
        <w:fldChar w:fldCharType="separate"/>
      </w:r>
      <w:r>
        <w:rPr>
          <w:lang w:bidi="en-US"/>
        </w:rPr>
        <w:t>表</w:t>
      </w:r>
      <w:r>
        <w:rPr>
          <w:lang w:bidi="en-US"/>
        </w:rPr>
        <w:t>3-13</w:t>
      </w:r>
      <w:r>
        <w:rPr>
          <w:lang w:bidi="en-US"/>
        </w:rPr>
        <w:fldChar w:fldCharType="end"/>
      </w:r>
      <w:r>
        <w:rPr>
          <w:lang w:bidi="en-US"/>
        </w:rPr>
        <w:t>。</w:t>
      </w:r>
    </w:p>
    <w:p w14:paraId="22EACF31" w14:textId="77777777" w:rsidR="003E78AB" w:rsidRDefault="00010BF9">
      <w:pPr>
        <w:pStyle w:val="a1"/>
      </w:pPr>
      <w:bookmarkStart w:id="247" w:name="_Ref22252"/>
      <w:r>
        <w:rPr>
          <w:rFonts w:hint="eastAsia"/>
        </w:rPr>
        <w:t>蒸发结晶平衡表</w:t>
      </w:r>
      <w:bookmarkEnd w:id="247"/>
    </w:p>
    <w:tbl>
      <w:tblPr>
        <w:tblW w:w="4998" w:type="pct"/>
        <w:tblLook w:val="04A0" w:firstRow="1" w:lastRow="0" w:firstColumn="1" w:lastColumn="0" w:noHBand="0" w:noVBand="1"/>
      </w:tblPr>
      <w:tblGrid>
        <w:gridCol w:w="1423"/>
        <w:gridCol w:w="1488"/>
        <w:gridCol w:w="1003"/>
        <w:gridCol w:w="1440"/>
        <w:gridCol w:w="1410"/>
        <w:gridCol w:w="1749"/>
      </w:tblGrid>
      <w:tr w:rsidR="003E78AB" w14:paraId="17D7419B" w14:textId="77777777">
        <w:trPr>
          <w:trHeight w:val="330"/>
        </w:trPr>
        <w:tc>
          <w:tcPr>
            <w:tcW w:w="1709"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51B59B4"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入方</w:t>
            </w:r>
          </w:p>
        </w:tc>
        <w:tc>
          <w:tcPr>
            <w:tcW w:w="3290" w:type="pct"/>
            <w:gridSpan w:val="4"/>
            <w:tcBorders>
              <w:top w:val="single" w:sz="8" w:space="0" w:color="000000"/>
              <w:left w:val="nil"/>
              <w:bottom w:val="single" w:sz="8" w:space="0" w:color="000000"/>
              <w:right w:val="single" w:sz="8" w:space="0" w:color="000000"/>
            </w:tcBorders>
            <w:shd w:val="clear" w:color="auto" w:fill="auto"/>
            <w:vAlign w:val="center"/>
          </w:tcPr>
          <w:p w14:paraId="254D0C22"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出方</w:t>
            </w:r>
          </w:p>
        </w:tc>
      </w:tr>
      <w:tr w:rsidR="003E78AB" w14:paraId="55386115" w14:textId="77777777">
        <w:trPr>
          <w:trHeight w:val="330"/>
        </w:trPr>
        <w:tc>
          <w:tcPr>
            <w:tcW w:w="835" w:type="pct"/>
            <w:tcBorders>
              <w:top w:val="nil"/>
              <w:left w:val="single" w:sz="8" w:space="0" w:color="000000"/>
              <w:bottom w:val="single" w:sz="8" w:space="0" w:color="000000"/>
              <w:right w:val="single" w:sz="8" w:space="0" w:color="000000"/>
            </w:tcBorders>
            <w:shd w:val="clear" w:color="auto" w:fill="auto"/>
            <w:vAlign w:val="center"/>
          </w:tcPr>
          <w:p w14:paraId="37FC9533"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物料名称</w:t>
            </w:r>
          </w:p>
        </w:tc>
        <w:tc>
          <w:tcPr>
            <w:tcW w:w="873" w:type="pct"/>
            <w:tcBorders>
              <w:top w:val="nil"/>
              <w:left w:val="nil"/>
              <w:bottom w:val="single" w:sz="8" w:space="0" w:color="000000"/>
              <w:right w:val="single" w:sz="8" w:space="0" w:color="000000"/>
            </w:tcBorders>
            <w:shd w:val="clear" w:color="auto" w:fill="auto"/>
            <w:vAlign w:val="center"/>
          </w:tcPr>
          <w:p w14:paraId="6FF4A0B6"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投料量（</w:t>
            </w:r>
            <w:r>
              <w:rPr>
                <w:b/>
                <w:bCs/>
                <w:sz w:val="21"/>
                <w:szCs w:val="21"/>
                <w:lang w:bidi="ar"/>
              </w:rPr>
              <w:t>t</w:t>
            </w:r>
            <w:r>
              <w:rPr>
                <w:rFonts w:hint="eastAsia"/>
                <w:b/>
                <w:bCs/>
                <w:sz w:val="21"/>
                <w:szCs w:val="21"/>
                <w:lang w:bidi="ar"/>
              </w:rPr>
              <w:t>/a</w:t>
            </w:r>
            <w:r>
              <w:rPr>
                <w:rFonts w:hint="eastAsia"/>
                <w:b/>
                <w:bCs/>
                <w:sz w:val="21"/>
                <w:szCs w:val="21"/>
                <w:lang w:bidi="ar"/>
              </w:rPr>
              <w:t>）</w:t>
            </w:r>
          </w:p>
        </w:tc>
        <w:tc>
          <w:tcPr>
            <w:tcW w:w="1435" w:type="pct"/>
            <w:gridSpan w:val="2"/>
            <w:tcBorders>
              <w:top w:val="single" w:sz="8" w:space="0" w:color="000000"/>
              <w:left w:val="nil"/>
              <w:bottom w:val="single" w:sz="8" w:space="0" w:color="000000"/>
              <w:right w:val="single" w:sz="8" w:space="0" w:color="000000"/>
            </w:tcBorders>
            <w:shd w:val="clear" w:color="auto" w:fill="auto"/>
            <w:vAlign w:val="center"/>
          </w:tcPr>
          <w:p w14:paraId="16C6687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物料名称</w:t>
            </w:r>
          </w:p>
        </w:tc>
        <w:tc>
          <w:tcPr>
            <w:tcW w:w="828" w:type="pct"/>
            <w:tcBorders>
              <w:top w:val="single" w:sz="8" w:space="0" w:color="000000"/>
              <w:left w:val="nil"/>
              <w:bottom w:val="single" w:sz="8" w:space="0" w:color="000000"/>
              <w:right w:val="single" w:sz="8" w:space="0" w:color="000000"/>
            </w:tcBorders>
            <w:shd w:val="clear" w:color="auto" w:fill="auto"/>
            <w:vAlign w:val="center"/>
          </w:tcPr>
          <w:p w14:paraId="54A385B6"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出料量（</w:t>
            </w:r>
            <w:r>
              <w:rPr>
                <w:b/>
                <w:bCs/>
                <w:sz w:val="21"/>
                <w:szCs w:val="21"/>
                <w:lang w:bidi="ar"/>
              </w:rPr>
              <w:t>t</w:t>
            </w:r>
            <w:r>
              <w:rPr>
                <w:rFonts w:hint="eastAsia"/>
                <w:b/>
                <w:bCs/>
                <w:sz w:val="21"/>
                <w:szCs w:val="21"/>
                <w:lang w:bidi="ar"/>
              </w:rPr>
              <w:t>/a</w:t>
            </w:r>
            <w:r>
              <w:rPr>
                <w:rFonts w:hint="eastAsia"/>
                <w:b/>
                <w:bCs/>
                <w:sz w:val="21"/>
                <w:szCs w:val="21"/>
                <w:lang w:bidi="ar"/>
              </w:rPr>
              <w:t>）</w:t>
            </w:r>
          </w:p>
        </w:tc>
        <w:tc>
          <w:tcPr>
            <w:tcW w:w="1027" w:type="pct"/>
            <w:tcBorders>
              <w:top w:val="single" w:sz="8" w:space="0" w:color="000000"/>
              <w:left w:val="nil"/>
              <w:bottom w:val="single" w:sz="8" w:space="0" w:color="000000"/>
              <w:right w:val="single" w:sz="8" w:space="0" w:color="000000"/>
            </w:tcBorders>
            <w:shd w:val="clear" w:color="auto" w:fill="auto"/>
            <w:vAlign w:val="center"/>
          </w:tcPr>
          <w:p w14:paraId="204D6C17"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备注</w:t>
            </w:r>
          </w:p>
        </w:tc>
      </w:tr>
      <w:tr w:rsidR="003E78AB" w14:paraId="11F774B5" w14:textId="77777777">
        <w:trPr>
          <w:trHeight w:val="330"/>
        </w:trPr>
        <w:tc>
          <w:tcPr>
            <w:tcW w:w="835" w:type="pct"/>
            <w:vMerge w:val="restart"/>
            <w:tcBorders>
              <w:top w:val="nil"/>
              <w:left w:val="single" w:sz="8" w:space="0" w:color="000000"/>
              <w:bottom w:val="nil"/>
              <w:right w:val="single" w:sz="8" w:space="0" w:color="000000"/>
            </w:tcBorders>
            <w:shd w:val="clear" w:color="auto" w:fill="auto"/>
            <w:vAlign w:val="center"/>
          </w:tcPr>
          <w:p w14:paraId="6EF13B5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含盐废水</w:t>
            </w:r>
          </w:p>
        </w:tc>
        <w:tc>
          <w:tcPr>
            <w:tcW w:w="873" w:type="pct"/>
            <w:vMerge w:val="restart"/>
            <w:tcBorders>
              <w:top w:val="nil"/>
              <w:left w:val="nil"/>
              <w:bottom w:val="single" w:sz="8" w:space="0" w:color="000000"/>
              <w:right w:val="single" w:sz="8" w:space="0" w:color="000000"/>
            </w:tcBorders>
            <w:shd w:val="clear" w:color="auto" w:fill="auto"/>
            <w:vAlign w:val="center"/>
          </w:tcPr>
          <w:p w14:paraId="377E7B3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1445</w:t>
            </w:r>
          </w:p>
        </w:tc>
        <w:tc>
          <w:tcPr>
            <w:tcW w:w="1435" w:type="pct"/>
            <w:gridSpan w:val="2"/>
            <w:tcBorders>
              <w:top w:val="nil"/>
              <w:left w:val="nil"/>
              <w:bottom w:val="single" w:sz="8" w:space="0" w:color="000000"/>
              <w:right w:val="single" w:sz="8" w:space="0" w:color="000000"/>
            </w:tcBorders>
            <w:shd w:val="clear" w:color="auto" w:fill="auto"/>
            <w:vAlign w:val="center"/>
          </w:tcPr>
          <w:p w14:paraId="0A496AD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冷凝水</w:t>
            </w:r>
          </w:p>
        </w:tc>
        <w:tc>
          <w:tcPr>
            <w:tcW w:w="828" w:type="pct"/>
            <w:tcBorders>
              <w:top w:val="nil"/>
              <w:left w:val="nil"/>
              <w:bottom w:val="single" w:sz="8" w:space="0" w:color="000000"/>
              <w:right w:val="single" w:sz="8" w:space="0" w:color="000000"/>
            </w:tcBorders>
            <w:shd w:val="clear" w:color="auto" w:fill="auto"/>
            <w:vAlign w:val="center"/>
          </w:tcPr>
          <w:p w14:paraId="3D9356C6" w14:textId="77777777" w:rsidR="003E78AB" w:rsidRDefault="00010BF9">
            <w:pPr>
              <w:spacing w:line="360" w:lineRule="exact"/>
              <w:ind w:firstLineChars="0" w:firstLine="0"/>
              <w:jc w:val="center"/>
              <w:textAlignment w:val="center"/>
              <w:rPr>
                <w:sz w:val="21"/>
                <w:szCs w:val="21"/>
                <w:lang w:bidi="ar"/>
              </w:rPr>
            </w:pPr>
            <w:r>
              <w:rPr>
                <w:sz w:val="21"/>
                <w:szCs w:val="21"/>
                <w:lang w:bidi="ar"/>
              </w:rPr>
              <w:t>1083.75</w:t>
            </w:r>
          </w:p>
        </w:tc>
        <w:tc>
          <w:tcPr>
            <w:tcW w:w="1027" w:type="pct"/>
            <w:tcBorders>
              <w:top w:val="single" w:sz="8" w:space="0" w:color="000000"/>
              <w:left w:val="nil"/>
              <w:bottom w:val="single" w:sz="8" w:space="0" w:color="000000"/>
              <w:right w:val="single" w:sz="8" w:space="0" w:color="000000"/>
            </w:tcBorders>
            <w:shd w:val="clear" w:color="auto" w:fill="auto"/>
            <w:vAlign w:val="center"/>
          </w:tcPr>
          <w:p w14:paraId="5874C005"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r>
      <w:tr w:rsidR="003E78AB" w14:paraId="3D03194C"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5D450504"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3BDE4C4F" w14:textId="77777777" w:rsidR="003E78AB" w:rsidRDefault="003E78AB">
            <w:pPr>
              <w:spacing w:line="360" w:lineRule="exact"/>
              <w:ind w:firstLineChars="0" w:firstLine="0"/>
              <w:jc w:val="center"/>
              <w:textAlignment w:val="center"/>
              <w:rPr>
                <w:sz w:val="21"/>
                <w:szCs w:val="21"/>
                <w:lang w:bidi="ar"/>
              </w:rPr>
            </w:pPr>
          </w:p>
        </w:tc>
        <w:tc>
          <w:tcPr>
            <w:tcW w:w="589" w:type="pct"/>
            <w:vMerge w:val="restart"/>
            <w:tcBorders>
              <w:top w:val="nil"/>
              <w:left w:val="nil"/>
              <w:bottom w:val="nil"/>
              <w:right w:val="single" w:sz="8" w:space="0" w:color="000000"/>
            </w:tcBorders>
            <w:shd w:val="clear" w:color="auto" w:fill="auto"/>
            <w:vAlign w:val="center"/>
          </w:tcPr>
          <w:p w14:paraId="5A22551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结晶盐</w:t>
            </w:r>
          </w:p>
        </w:tc>
        <w:tc>
          <w:tcPr>
            <w:tcW w:w="846" w:type="pct"/>
            <w:tcBorders>
              <w:top w:val="nil"/>
              <w:left w:val="nil"/>
              <w:bottom w:val="single" w:sz="8" w:space="0" w:color="000000"/>
              <w:right w:val="single" w:sz="8" w:space="0" w:color="000000"/>
            </w:tcBorders>
            <w:shd w:val="clear" w:color="auto" w:fill="auto"/>
            <w:vAlign w:val="center"/>
          </w:tcPr>
          <w:p w14:paraId="7226CD0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水</w:t>
            </w:r>
          </w:p>
        </w:tc>
        <w:tc>
          <w:tcPr>
            <w:tcW w:w="828" w:type="pct"/>
            <w:tcBorders>
              <w:top w:val="nil"/>
              <w:left w:val="nil"/>
              <w:bottom w:val="single" w:sz="8" w:space="0" w:color="000000"/>
              <w:right w:val="single" w:sz="8" w:space="0" w:color="000000"/>
            </w:tcBorders>
            <w:shd w:val="clear" w:color="auto" w:fill="auto"/>
            <w:vAlign w:val="center"/>
          </w:tcPr>
          <w:p w14:paraId="5595AEC3" w14:textId="77777777" w:rsidR="003E78AB" w:rsidRDefault="00010BF9">
            <w:pPr>
              <w:spacing w:line="360" w:lineRule="exact"/>
              <w:ind w:firstLineChars="0" w:firstLine="0"/>
              <w:jc w:val="center"/>
              <w:textAlignment w:val="center"/>
              <w:rPr>
                <w:sz w:val="21"/>
                <w:szCs w:val="21"/>
                <w:lang w:bidi="ar"/>
              </w:rPr>
            </w:pPr>
            <w:r>
              <w:rPr>
                <w:sz w:val="21"/>
                <w:szCs w:val="21"/>
                <w:lang w:bidi="ar"/>
              </w:rPr>
              <w:t>72.32</w:t>
            </w:r>
          </w:p>
        </w:tc>
        <w:tc>
          <w:tcPr>
            <w:tcW w:w="1027" w:type="pct"/>
            <w:tcBorders>
              <w:top w:val="single" w:sz="8" w:space="0" w:color="000000"/>
              <w:left w:val="nil"/>
              <w:bottom w:val="single" w:sz="8" w:space="0" w:color="000000"/>
              <w:right w:val="single" w:sz="8" w:space="0" w:color="000000"/>
            </w:tcBorders>
            <w:shd w:val="clear" w:color="auto" w:fill="auto"/>
            <w:vAlign w:val="center"/>
          </w:tcPr>
          <w:p w14:paraId="6A5E417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含水率</w:t>
            </w:r>
            <w:r>
              <w:rPr>
                <w:sz w:val="21"/>
                <w:szCs w:val="21"/>
                <w:lang w:bidi="ar"/>
              </w:rPr>
              <w:t>5%</w:t>
            </w:r>
          </w:p>
        </w:tc>
      </w:tr>
      <w:tr w:rsidR="003E78AB" w14:paraId="14513458" w14:textId="77777777">
        <w:trPr>
          <w:trHeight w:val="360"/>
        </w:trPr>
        <w:tc>
          <w:tcPr>
            <w:tcW w:w="835" w:type="pct"/>
            <w:vMerge/>
            <w:tcBorders>
              <w:top w:val="nil"/>
              <w:left w:val="single" w:sz="8" w:space="0" w:color="000000"/>
              <w:bottom w:val="nil"/>
              <w:right w:val="single" w:sz="8" w:space="0" w:color="000000"/>
            </w:tcBorders>
            <w:shd w:val="clear" w:color="auto" w:fill="auto"/>
            <w:vAlign w:val="center"/>
          </w:tcPr>
          <w:p w14:paraId="3AEE5DFD"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65988388"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26FAE355"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01EFEF1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碳酸钠</w:t>
            </w:r>
          </w:p>
        </w:tc>
        <w:tc>
          <w:tcPr>
            <w:tcW w:w="828" w:type="pct"/>
            <w:tcBorders>
              <w:top w:val="nil"/>
              <w:left w:val="nil"/>
              <w:bottom w:val="single" w:sz="8" w:space="0" w:color="000000"/>
              <w:right w:val="single" w:sz="8" w:space="0" w:color="000000"/>
            </w:tcBorders>
            <w:shd w:val="clear" w:color="auto" w:fill="auto"/>
            <w:vAlign w:val="center"/>
          </w:tcPr>
          <w:p w14:paraId="6CB37268" w14:textId="77777777" w:rsidR="003E78AB" w:rsidRDefault="00010BF9">
            <w:pPr>
              <w:spacing w:line="360" w:lineRule="exact"/>
              <w:ind w:firstLineChars="0" w:firstLine="0"/>
              <w:jc w:val="center"/>
              <w:textAlignment w:val="center"/>
              <w:rPr>
                <w:sz w:val="21"/>
                <w:szCs w:val="21"/>
                <w:lang w:bidi="ar"/>
              </w:rPr>
            </w:pPr>
            <w:r>
              <w:rPr>
                <w:sz w:val="21"/>
                <w:szCs w:val="21"/>
                <w:lang w:bidi="ar"/>
              </w:rPr>
              <w:t>239.11</w:t>
            </w:r>
          </w:p>
        </w:tc>
        <w:tc>
          <w:tcPr>
            <w:tcW w:w="1027" w:type="pct"/>
            <w:tcBorders>
              <w:top w:val="nil"/>
              <w:left w:val="nil"/>
              <w:bottom w:val="single" w:sz="8" w:space="0" w:color="000000"/>
              <w:right w:val="single" w:sz="8" w:space="0" w:color="000000"/>
            </w:tcBorders>
            <w:shd w:val="clear" w:color="auto" w:fill="auto"/>
            <w:vAlign w:val="center"/>
          </w:tcPr>
          <w:p w14:paraId="3B38FD10" w14:textId="77777777" w:rsidR="003E78AB" w:rsidRDefault="00010BF9">
            <w:pPr>
              <w:spacing w:line="360" w:lineRule="exact"/>
              <w:ind w:firstLineChars="0" w:firstLine="0"/>
              <w:jc w:val="center"/>
              <w:textAlignment w:val="center"/>
              <w:rPr>
                <w:sz w:val="21"/>
                <w:szCs w:val="21"/>
                <w:lang w:bidi="ar"/>
              </w:rPr>
            </w:pPr>
            <w:r>
              <w:rPr>
                <w:sz w:val="21"/>
                <w:szCs w:val="21"/>
                <w:lang w:bidi="ar"/>
              </w:rPr>
              <w:t>CO</w:t>
            </w:r>
            <w:r>
              <w:rPr>
                <w:rFonts w:hint="eastAsia"/>
                <w:sz w:val="21"/>
                <w:szCs w:val="21"/>
                <w:vertAlign w:val="subscript"/>
                <w:lang w:bidi="ar"/>
              </w:rPr>
              <w:t>2</w:t>
            </w:r>
            <w:r>
              <w:rPr>
                <w:rFonts w:hint="eastAsia"/>
                <w:sz w:val="21"/>
                <w:szCs w:val="21"/>
                <w:lang w:bidi="ar"/>
              </w:rPr>
              <w:t>中和</w:t>
            </w:r>
          </w:p>
        </w:tc>
      </w:tr>
      <w:tr w:rsidR="003E78AB" w14:paraId="4E7AB5F2"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0A51CC2B"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7F1249EF"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7BAB5E7D"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7854ED9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硫酸钠</w:t>
            </w:r>
          </w:p>
        </w:tc>
        <w:tc>
          <w:tcPr>
            <w:tcW w:w="828" w:type="pct"/>
            <w:tcBorders>
              <w:top w:val="nil"/>
              <w:left w:val="nil"/>
              <w:bottom w:val="single" w:sz="8" w:space="0" w:color="000000"/>
              <w:right w:val="single" w:sz="8" w:space="0" w:color="000000"/>
            </w:tcBorders>
            <w:shd w:val="clear" w:color="auto" w:fill="auto"/>
            <w:vAlign w:val="center"/>
          </w:tcPr>
          <w:p w14:paraId="6D2C0116" w14:textId="77777777" w:rsidR="003E78AB" w:rsidRDefault="00010BF9">
            <w:pPr>
              <w:spacing w:line="360" w:lineRule="exact"/>
              <w:ind w:firstLineChars="0" w:firstLine="0"/>
              <w:jc w:val="center"/>
              <w:textAlignment w:val="center"/>
              <w:rPr>
                <w:sz w:val="21"/>
                <w:szCs w:val="21"/>
                <w:lang w:bidi="ar"/>
              </w:rPr>
            </w:pPr>
            <w:r>
              <w:rPr>
                <w:sz w:val="21"/>
                <w:szCs w:val="21"/>
                <w:lang w:bidi="ar"/>
              </w:rPr>
              <w:t>38.68</w:t>
            </w:r>
          </w:p>
        </w:tc>
        <w:tc>
          <w:tcPr>
            <w:tcW w:w="1027" w:type="pct"/>
            <w:tcBorders>
              <w:top w:val="nil"/>
              <w:left w:val="nil"/>
              <w:bottom w:val="single" w:sz="8" w:space="0" w:color="000000"/>
              <w:right w:val="single" w:sz="8" w:space="0" w:color="000000"/>
            </w:tcBorders>
            <w:shd w:val="clear" w:color="auto" w:fill="auto"/>
            <w:vAlign w:val="center"/>
          </w:tcPr>
          <w:p w14:paraId="4C32A89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硫酸雾中和</w:t>
            </w:r>
          </w:p>
        </w:tc>
      </w:tr>
      <w:tr w:rsidR="003E78AB" w14:paraId="6F7A4573"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54A2DFE0"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077381D9"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754923C4"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11EE106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磷酸钠</w:t>
            </w:r>
          </w:p>
        </w:tc>
        <w:tc>
          <w:tcPr>
            <w:tcW w:w="828" w:type="pct"/>
            <w:tcBorders>
              <w:top w:val="nil"/>
              <w:left w:val="nil"/>
              <w:bottom w:val="single" w:sz="8" w:space="0" w:color="000000"/>
              <w:right w:val="single" w:sz="8" w:space="0" w:color="000000"/>
            </w:tcBorders>
            <w:shd w:val="clear" w:color="auto" w:fill="auto"/>
            <w:vAlign w:val="center"/>
          </w:tcPr>
          <w:p w14:paraId="74F86FDF" w14:textId="77777777" w:rsidR="003E78AB" w:rsidRDefault="00010BF9">
            <w:pPr>
              <w:spacing w:line="360" w:lineRule="exact"/>
              <w:ind w:firstLineChars="0" w:firstLine="0"/>
              <w:jc w:val="center"/>
              <w:textAlignment w:val="center"/>
              <w:rPr>
                <w:sz w:val="21"/>
                <w:szCs w:val="21"/>
                <w:lang w:bidi="ar"/>
              </w:rPr>
            </w:pPr>
            <w:r>
              <w:rPr>
                <w:sz w:val="21"/>
                <w:szCs w:val="21"/>
                <w:lang w:bidi="ar"/>
              </w:rPr>
              <w:t>3.6</w:t>
            </w:r>
          </w:p>
        </w:tc>
        <w:tc>
          <w:tcPr>
            <w:tcW w:w="1027" w:type="pct"/>
            <w:tcBorders>
              <w:top w:val="nil"/>
              <w:left w:val="nil"/>
              <w:bottom w:val="single" w:sz="8" w:space="0" w:color="000000"/>
              <w:right w:val="single" w:sz="8" w:space="0" w:color="000000"/>
            </w:tcBorders>
            <w:shd w:val="clear" w:color="auto" w:fill="auto"/>
            <w:vAlign w:val="center"/>
          </w:tcPr>
          <w:p w14:paraId="79E8B52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磷酸雾中和</w:t>
            </w:r>
          </w:p>
        </w:tc>
      </w:tr>
      <w:tr w:rsidR="003E78AB" w14:paraId="19B98C63"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40C7341B"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3526B5DE"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291BD91F"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2C653B1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草酸钠</w:t>
            </w:r>
          </w:p>
        </w:tc>
        <w:tc>
          <w:tcPr>
            <w:tcW w:w="828" w:type="pct"/>
            <w:tcBorders>
              <w:top w:val="nil"/>
              <w:left w:val="nil"/>
              <w:bottom w:val="single" w:sz="8" w:space="0" w:color="000000"/>
              <w:right w:val="single" w:sz="8" w:space="0" w:color="000000"/>
            </w:tcBorders>
            <w:shd w:val="clear" w:color="auto" w:fill="auto"/>
            <w:vAlign w:val="center"/>
          </w:tcPr>
          <w:p w14:paraId="42982650" w14:textId="77777777" w:rsidR="003E78AB" w:rsidRDefault="00010BF9">
            <w:pPr>
              <w:spacing w:line="360" w:lineRule="exact"/>
              <w:ind w:firstLineChars="0" w:firstLine="0"/>
              <w:jc w:val="center"/>
              <w:textAlignment w:val="center"/>
              <w:rPr>
                <w:sz w:val="21"/>
                <w:szCs w:val="21"/>
                <w:lang w:bidi="ar"/>
              </w:rPr>
            </w:pPr>
            <w:r>
              <w:rPr>
                <w:sz w:val="21"/>
                <w:szCs w:val="21"/>
                <w:lang w:bidi="ar"/>
              </w:rPr>
              <w:t>3.81</w:t>
            </w:r>
          </w:p>
        </w:tc>
        <w:tc>
          <w:tcPr>
            <w:tcW w:w="1027" w:type="pct"/>
            <w:tcBorders>
              <w:top w:val="nil"/>
              <w:left w:val="nil"/>
              <w:bottom w:val="single" w:sz="8" w:space="0" w:color="000000"/>
              <w:right w:val="single" w:sz="8" w:space="0" w:color="000000"/>
            </w:tcBorders>
            <w:shd w:val="clear" w:color="auto" w:fill="auto"/>
            <w:vAlign w:val="center"/>
          </w:tcPr>
          <w:p w14:paraId="62029FC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草酸雾中和</w:t>
            </w:r>
          </w:p>
        </w:tc>
      </w:tr>
      <w:tr w:rsidR="003E78AB" w14:paraId="21795774"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7E4B70AD"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2F2E9E53"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2A7CAB33"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0BC07D3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甲酸钠</w:t>
            </w:r>
          </w:p>
        </w:tc>
        <w:tc>
          <w:tcPr>
            <w:tcW w:w="828" w:type="pct"/>
            <w:tcBorders>
              <w:top w:val="nil"/>
              <w:left w:val="nil"/>
              <w:bottom w:val="single" w:sz="8" w:space="0" w:color="000000"/>
              <w:right w:val="single" w:sz="8" w:space="0" w:color="000000"/>
            </w:tcBorders>
            <w:shd w:val="clear" w:color="auto" w:fill="auto"/>
            <w:vAlign w:val="center"/>
          </w:tcPr>
          <w:p w14:paraId="7290C84C" w14:textId="77777777" w:rsidR="003E78AB" w:rsidRDefault="00010BF9">
            <w:pPr>
              <w:spacing w:line="360" w:lineRule="exact"/>
              <w:ind w:firstLineChars="0" w:firstLine="0"/>
              <w:jc w:val="center"/>
              <w:textAlignment w:val="center"/>
              <w:rPr>
                <w:sz w:val="21"/>
                <w:szCs w:val="21"/>
                <w:lang w:bidi="ar"/>
              </w:rPr>
            </w:pPr>
            <w:r>
              <w:rPr>
                <w:sz w:val="21"/>
                <w:szCs w:val="21"/>
                <w:lang w:bidi="ar"/>
              </w:rPr>
              <w:t>1.28</w:t>
            </w:r>
          </w:p>
        </w:tc>
        <w:tc>
          <w:tcPr>
            <w:tcW w:w="1027" w:type="pct"/>
            <w:tcBorders>
              <w:top w:val="nil"/>
              <w:left w:val="nil"/>
              <w:bottom w:val="single" w:sz="8" w:space="0" w:color="000000"/>
              <w:right w:val="single" w:sz="8" w:space="0" w:color="000000"/>
            </w:tcBorders>
            <w:shd w:val="clear" w:color="auto" w:fill="auto"/>
            <w:vAlign w:val="center"/>
          </w:tcPr>
          <w:p w14:paraId="37610E9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甲酸雾中和</w:t>
            </w:r>
          </w:p>
        </w:tc>
      </w:tr>
      <w:tr w:rsidR="003E78AB" w14:paraId="74C7E8C1"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471CB124"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32C48E2B"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398EC42A"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3508501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多钒酸钠</w:t>
            </w:r>
          </w:p>
        </w:tc>
        <w:tc>
          <w:tcPr>
            <w:tcW w:w="828" w:type="pct"/>
            <w:tcBorders>
              <w:top w:val="nil"/>
              <w:left w:val="nil"/>
              <w:bottom w:val="single" w:sz="8" w:space="0" w:color="000000"/>
              <w:right w:val="single" w:sz="8" w:space="0" w:color="000000"/>
            </w:tcBorders>
            <w:shd w:val="clear" w:color="auto" w:fill="auto"/>
            <w:vAlign w:val="center"/>
          </w:tcPr>
          <w:p w14:paraId="1AF5F547" w14:textId="77777777" w:rsidR="003E78AB" w:rsidRDefault="00010BF9">
            <w:pPr>
              <w:spacing w:line="360" w:lineRule="exact"/>
              <w:ind w:firstLineChars="0" w:firstLine="0"/>
              <w:jc w:val="center"/>
              <w:textAlignment w:val="center"/>
              <w:rPr>
                <w:sz w:val="21"/>
                <w:szCs w:val="21"/>
                <w:lang w:bidi="ar"/>
              </w:rPr>
            </w:pPr>
            <w:r>
              <w:rPr>
                <w:sz w:val="21"/>
                <w:szCs w:val="21"/>
                <w:lang w:bidi="ar"/>
              </w:rPr>
              <w:t>0.01101</w:t>
            </w:r>
          </w:p>
        </w:tc>
        <w:tc>
          <w:tcPr>
            <w:tcW w:w="1027" w:type="pct"/>
            <w:vMerge w:val="restart"/>
            <w:tcBorders>
              <w:top w:val="nil"/>
              <w:left w:val="nil"/>
              <w:bottom w:val="single" w:sz="8" w:space="0" w:color="000000"/>
              <w:right w:val="single" w:sz="8" w:space="0" w:color="000000"/>
            </w:tcBorders>
            <w:shd w:val="clear" w:color="auto" w:fill="auto"/>
            <w:vAlign w:val="center"/>
          </w:tcPr>
          <w:p w14:paraId="68CF539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含钒杂质</w:t>
            </w:r>
          </w:p>
        </w:tc>
      </w:tr>
      <w:tr w:rsidR="003E78AB" w14:paraId="37CF1B56"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343926D4"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0F937074"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264DD906"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138B8E9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钒酸钙</w:t>
            </w:r>
          </w:p>
        </w:tc>
        <w:tc>
          <w:tcPr>
            <w:tcW w:w="828" w:type="pct"/>
            <w:tcBorders>
              <w:top w:val="nil"/>
              <w:left w:val="nil"/>
              <w:bottom w:val="single" w:sz="8" w:space="0" w:color="000000"/>
              <w:right w:val="single" w:sz="8" w:space="0" w:color="000000"/>
            </w:tcBorders>
            <w:shd w:val="clear" w:color="auto" w:fill="auto"/>
            <w:vAlign w:val="center"/>
          </w:tcPr>
          <w:p w14:paraId="6BE97D9C" w14:textId="77777777" w:rsidR="003E78AB" w:rsidRDefault="00010BF9">
            <w:pPr>
              <w:spacing w:line="360" w:lineRule="exact"/>
              <w:ind w:firstLineChars="0" w:firstLine="0"/>
              <w:jc w:val="center"/>
              <w:textAlignment w:val="center"/>
              <w:rPr>
                <w:sz w:val="21"/>
                <w:szCs w:val="21"/>
                <w:lang w:bidi="ar"/>
              </w:rPr>
            </w:pPr>
            <w:r>
              <w:rPr>
                <w:sz w:val="21"/>
                <w:szCs w:val="21"/>
                <w:lang w:bidi="ar"/>
              </w:rPr>
              <w:t>0.00501</w:t>
            </w:r>
          </w:p>
        </w:tc>
        <w:tc>
          <w:tcPr>
            <w:tcW w:w="1027" w:type="pct"/>
            <w:vMerge/>
            <w:tcBorders>
              <w:top w:val="nil"/>
              <w:left w:val="nil"/>
              <w:bottom w:val="single" w:sz="8" w:space="0" w:color="000000"/>
              <w:right w:val="single" w:sz="8" w:space="0" w:color="000000"/>
            </w:tcBorders>
            <w:shd w:val="clear" w:color="auto" w:fill="auto"/>
            <w:vAlign w:val="center"/>
          </w:tcPr>
          <w:p w14:paraId="7784AC33" w14:textId="77777777" w:rsidR="003E78AB" w:rsidRDefault="003E78AB">
            <w:pPr>
              <w:spacing w:line="360" w:lineRule="exact"/>
              <w:ind w:firstLineChars="0" w:firstLine="0"/>
              <w:jc w:val="center"/>
              <w:textAlignment w:val="center"/>
              <w:rPr>
                <w:sz w:val="21"/>
                <w:szCs w:val="21"/>
                <w:lang w:bidi="ar"/>
              </w:rPr>
            </w:pPr>
          </w:p>
        </w:tc>
      </w:tr>
      <w:tr w:rsidR="003E78AB" w14:paraId="0833AF71"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1F5880FF"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21596671"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7DBBD28A"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2989020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偏钒酸铵</w:t>
            </w:r>
          </w:p>
        </w:tc>
        <w:tc>
          <w:tcPr>
            <w:tcW w:w="828" w:type="pct"/>
            <w:tcBorders>
              <w:top w:val="nil"/>
              <w:left w:val="nil"/>
              <w:bottom w:val="single" w:sz="8" w:space="0" w:color="000000"/>
              <w:right w:val="single" w:sz="8" w:space="0" w:color="000000"/>
            </w:tcBorders>
            <w:shd w:val="clear" w:color="auto" w:fill="auto"/>
            <w:vAlign w:val="center"/>
          </w:tcPr>
          <w:p w14:paraId="081E9C3C" w14:textId="77777777" w:rsidR="003E78AB" w:rsidRDefault="00010BF9">
            <w:pPr>
              <w:spacing w:line="360" w:lineRule="exact"/>
              <w:ind w:firstLineChars="0" w:firstLine="0"/>
              <w:jc w:val="center"/>
              <w:textAlignment w:val="center"/>
              <w:rPr>
                <w:sz w:val="21"/>
                <w:szCs w:val="21"/>
                <w:lang w:bidi="ar"/>
              </w:rPr>
            </w:pPr>
            <w:r>
              <w:rPr>
                <w:sz w:val="21"/>
                <w:szCs w:val="21"/>
                <w:lang w:bidi="ar"/>
              </w:rPr>
              <w:t>0.0011</w:t>
            </w:r>
          </w:p>
        </w:tc>
        <w:tc>
          <w:tcPr>
            <w:tcW w:w="1027" w:type="pct"/>
            <w:vMerge/>
            <w:tcBorders>
              <w:top w:val="nil"/>
              <w:left w:val="nil"/>
              <w:bottom w:val="single" w:sz="8" w:space="0" w:color="000000"/>
              <w:right w:val="single" w:sz="8" w:space="0" w:color="000000"/>
            </w:tcBorders>
            <w:shd w:val="clear" w:color="auto" w:fill="auto"/>
            <w:vAlign w:val="center"/>
          </w:tcPr>
          <w:p w14:paraId="195C624C" w14:textId="77777777" w:rsidR="003E78AB" w:rsidRDefault="003E78AB">
            <w:pPr>
              <w:spacing w:line="360" w:lineRule="exact"/>
              <w:ind w:firstLineChars="0" w:firstLine="0"/>
              <w:jc w:val="center"/>
              <w:textAlignment w:val="center"/>
              <w:rPr>
                <w:sz w:val="21"/>
                <w:szCs w:val="21"/>
                <w:lang w:bidi="ar"/>
              </w:rPr>
            </w:pPr>
          </w:p>
        </w:tc>
      </w:tr>
      <w:tr w:rsidR="003E78AB" w14:paraId="177AA1E8" w14:textId="77777777">
        <w:trPr>
          <w:trHeight w:val="315"/>
        </w:trPr>
        <w:tc>
          <w:tcPr>
            <w:tcW w:w="835" w:type="pct"/>
            <w:vMerge/>
            <w:tcBorders>
              <w:top w:val="nil"/>
              <w:left w:val="single" w:sz="8" w:space="0" w:color="000000"/>
              <w:bottom w:val="nil"/>
              <w:right w:val="single" w:sz="8" w:space="0" w:color="000000"/>
            </w:tcBorders>
            <w:shd w:val="clear" w:color="auto" w:fill="auto"/>
            <w:vAlign w:val="center"/>
          </w:tcPr>
          <w:p w14:paraId="41DE2D82"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8" w:space="0" w:color="000000"/>
              <w:right w:val="single" w:sz="8" w:space="0" w:color="000000"/>
            </w:tcBorders>
            <w:shd w:val="clear" w:color="auto" w:fill="auto"/>
            <w:vAlign w:val="center"/>
          </w:tcPr>
          <w:p w14:paraId="0384BB8F"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nil"/>
              <w:right w:val="single" w:sz="8" w:space="0" w:color="000000"/>
            </w:tcBorders>
            <w:shd w:val="clear" w:color="auto" w:fill="auto"/>
            <w:vAlign w:val="center"/>
          </w:tcPr>
          <w:p w14:paraId="161BFC92"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8" w:space="0" w:color="000000"/>
              <w:right w:val="single" w:sz="8" w:space="0" w:color="000000"/>
            </w:tcBorders>
            <w:shd w:val="clear" w:color="auto" w:fill="auto"/>
            <w:vAlign w:val="center"/>
          </w:tcPr>
          <w:p w14:paraId="4AB5398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包裹态钒</w:t>
            </w:r>
          </w:p>
        </w:tc>
        <w:tc>
          <w:tcPr>
            <w:tcW w:w="828" w:type="pct"/>
            <w:tcBorders>
              <w:top w:val="nil"/>
              <w:left w:val="nil"/>
              <w:bottom w:val="single" w:sz="8" w:space="0" w:color="000000"/>
              <w:right w:val="single" w:sz="8" w:space="0" w:color="000000"/>
            </w:tcBorders>
            <w:shd w:val="clear" w:color="auto" w:fill="auto"/>
            <w:vAlign w:val="center"/>
          </w:tcPr>
          <w:p w14:paraId="256D4E6F" w14:textId="77777777" w:rsidR="003E78AB" w:rsidRDefault="00010BF9">
            <w:pPr>
              <w:spacing w:line="360" w:lineRule="exact"/>
              <w:ind w:firstLineChars="0" w:firstLine="0"/>
              <w:jc w:val="center"/>
              <w:textAlignment w:val="center"/>
              <w:rPr>
                <w:sz w:val="21"/>
                <w:szCs w:val="21"/>
                <w:lang w:bidi="ar"/>
              </w:rPr>
            </w:pPr>
            <w:r>
              <w:rPr>
                <w:sz w:val="21"/>
                <w:szCs w:val="21"/>
                <w:lang w:bidi="ar"/>
              </w:rPr>
              <w:t>0.00038</w:t>
            </w:r>
          </w:p>
        </w:tc>
        <w:tc>
          <w:tcPr>
            <w:tcW w:w="1027" w:type="pct"/>
            <w:vMerge/>
            <w:tcBorders>
              <w:top w:val="nil"/>
              <w:left w:val="nil"/>
              <w:bottom w:val="single" w:sz="8" w:space="0" w:color="000000"/>
              <w:right w:val="single" w:sz="8" w:space="0" w:color="000000"/>
            </w:tcBorders>
            <w:shd w:val="clear" w:color="auto" w:fill="auto"/>
            <w:vAlign w:val="center"/>
          </w:tcPr>
          <w:p w14:paraId="6D66AFFE" w14:textId="77777777" w:rsidR="003E78AB" w:rsidRDefault="003E78AB">
            <w:pPr>
              <w:spacing w:line="360" w:lineRule="exact"/>
              <w:ind w:firstLineChars="0" w:firstLine="0"/>
              <w:jc w:val="center"/>
              <w:textAlignment w:val="center"/>
              <w:rPr>
                <w:sz w:val="21"/>
                <w:szCs w:val="21"/>
                <w:lang w:bidi="ar"/>
              </w:rPr>
            </w:pPr>
          </w:p>
        </w:tc>
      </w:tr>
      <w:tr w:rsidR="003E78AB" w14:paraId="34528D57" w14:textId="77777777">
        <w:trPr>
          <w:trHeight w:val="360"/>
        </w:trPr>
        <w:tc>
          <w:tcPr>
            <w:tcW w:w="835" w:type="pct"/>
            <w:vMerge/>
            <w:tcBorders>
              <w:top w:val="nil"/>
              <w:left w:val="single" w:sz="8" w:space="0" w:color="000000"/>
              <w:bottom w:val="single" w:sz="4" w:space="0" w:color="auto"/>
              <w:right w:val="single" w:sz="8" w:space="0" w:color="000000"/>
            </w:tcBorders>
            <w:shd w:val="clear" w:color="auto" w:fill="auto"/>
            <w:vAlign w:val="center"/>
          </w:tcPr>
          <w:p w14:paraId="56A1F3DB" w14:textId="77777777" w:rsidR="003E78AB" w:rsidRDefault="003E78AB">
            <w:pPr>
              <w:spacing w:line="360" w:lineRule="exact"/>
              <w:ind w:firstLineChars="0" w:firstLine="0"/>
              <w:jc w:val="center"/>
              <w:textAlignment w:val="center"/>
              <w:rPr>
                <w:sz w:val="21"/>
                <w:szCs w:val="21"/>
                <w:lang w:bidi="ar"/>
              </w:rPr>
            </w:pPr>
          </w:p>
        </w:tc>
        <w:tc>
          <w:tcPr>
            <w:tcW w:w="873" w:type="pct"/>
            <w:vMerge/>
            <w:tcBorders>
              <w:top w:val="nil"/>
              <w:left w:val="nil"/>
              <w:bottom w:val="single" w:sz="4" w:space="0" w:color="auto"/>
              <w:right w:val="single" w:sz="8" w:space="0" w:color="000000"/>
            </w:tcBorders>
            <w:shd w:val="clear" w:color="auto" w:fill="auto"/>
            <w:vAlign w:val="center"/>
          </w:tcPr>
          <w:p w14:paraId="1E1509B4" w14:textId="77777777" w:rsidR="003E78AB" w:rsidRDefault="003E78AB">
            <w:pPr>
              <w:spacing w:line="360" w:lineRule="exact"/>
              <w:ind w:firstLineChars="0" w:firstLine="0"/>
              <w:jc w:val="center"/>
              <w:textAlignment w:val="center"/>
              <w:rPr>
                <w:sz w:val="21"/>
                <w:szCs w:val="21"/>
                <w:lang w:bidi="ar"/>
              </w:rPr>
            </w:pPr>
          </w:p>
        </w:tc>
        <w:tc>
          <w:tcPr>
            <w:tcW w:w="589" w:type="pct"/>
            <w:vMerge/>
            <w:tcBorders>
              <w:top w:val="nil"/>
              <w:left w:val="nil"/>
              <w:bottom w:val="single" w:sz="4" w:space="0" w:color="auto"/>
              <w:right w:val="single" w:sz="8" w:space="0" w:color="000000"/>
            </w:tcBorders>
            <w:shd w:val="clear" w:color="auto" w:fill="auto"/>
            <w:vAlign w:val="center"/>
          </w:tcPr>
          <w:p w14:paraId="2821FC82" w14:textId="77777777" w:rsidR="003E78AB" w:rsidRDefault="003E78AB">
            <w:pPr>
              <w:spacing w:line="360" w:lineRule="exact"/>
              <w:ind w:firstLineChars="0" w:firstLine="0"/>
              <w:jc w:val="center"/>
              <w:textAlignment w:val="center"/>
              <w:rPr>
                <w:sz w:val="21"/>
                <w:szCs w:val="21"/>
                <w:lang w:bidi="ar"/>
              </w:rPr>
            </w:pPr>
          </w:p>
        </w:tc>
        <w:tc>
          <w:tcPr>
            <w:tcW w:w="846" w:type="pct"/>
            <w:tcBorders>
              <w:top w:val="nil"/>
              <w:left w:val="nil"/>
              <w:bottom w:val="single" w:sz="4" w:space="0" w:color="auto"/>
              <w:right w:val="single" w:sz="8" w:space="0" w:color="000000"/>
            </w:tcBorders>
            <w:shd w:val="clear" w:color="auto" w:fill="auto"/>
            <w:vAlign w:val="center"/>
          </w:tcPr>
          <w:p w14:paraId="3AE0D0F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其他杂质</w:t>
            </w:r>
          </w:p>
        </w:tc>
        <w:tc>
          <w:tcPr>
            <w:tcW w:w="828" w:type="pct"/>
            <w:tcBorders>
              <w:top w:val="nil"/>
              <w:left w:val="nil"/>
              <w:bottom w:val="single" w:sz="4" w:space="0" w:color="auto"/>
              <w:right w:val="single" w:sz="8" w:space="0" w:color="000000"/>
            </w:tcBorders>
            <w:shd w:val="clear" w:color="auto" w:fill="auto"/>
            <w:vAlign w:val="center"/>
          </w:tcPr>
          <w:p w14:paraId="5DBD16A7" w14:textId="77777777" w:rsidR="003E78AB" w:rsidRDefault="00010BF9">
            <w:pPr>
              <w:spacing w:line="360" w:lineRule="exact"/>
              <w:ind w:firstLineChars="0" w:firstLine="0"/>
              <w:jc w:val="center"/>
              <w:textAlignment w:val="center"/>
              <w:rPr>
                <w:sz w:val="21"/>
                <w:szCs w:val="21"/>
                <w:lang w:bidi="ar"/>
              </w:rPr>
            </w:pPr>
            <w:r>
              <w:rPr>
                <w:sz w:val="21"/>
                <w:szCs w:val="21"/>
                <w:lang w:bidi="ar"/>
              </w:rPr>
              <w:t>2.4325</w:t>
            </w:r>
          </w:p>
        </w:tc>
        <w:tc>
          <w:tcPr>
            <w:tcW w:w="1027" w:type="pct"/>
            <w:tcBorders>
              <w:top w:val="nil"/>
              <w:left w:val="nil"/>
              <w:bottom w:val="single" w:sz="4" w:space="0" w:color="auto"/>
              <w:right w:val="single" w:sz="8" w:space="0" w:color="000000"/>
            </w:tcBorders>
            <w:shd w:val="clear" w:color="auto" w:fill="auto"/>
            <w:vAlign w:val="center"/>
          </w:tcPr>
          <w:p w14:paraId="3A1AE1BB" w14:textId="77777777" w:rsidR="003E78AB" w:rsidRDefault="00010BF9">
            <w:pPr>
              <w:spacing w:line="360" w:lineRule="exact"/>
              <w:ind w:firstLineChars="0" w:firstLine="0"/>
              <w:jc w:val="center"/>
              <w:textAlignment w:val="center"/>
              <w:rPr>
                <w:sz w:val="21"/>
                <w:szCs w:val="21"/>
                <w:lang w:bidi="ar"/>
              </w:rPr>
            </w:pPr>
            <w:r>
              <w:rPr>
                <w:sz w:val="21"/>
                <w:szCs w:val="21"/>
                <w:lang w:bidi="ar"/>
              </w:rPr>
              <w:t>Cl</w:t>
            </w:r>
            <w:r>
              <w:rPr>
                <w:rFonts w:hint="eastAsia"/>
                <w:sz w:val="21"/>
                <w:szCs w:val="21"/>
                <w:vertAlign w:val="superscript"/>
                <w:lang w:bidi="ar"/>
              </w:rPr>
              <w:t>-</w:t>
            </w:r>
            <w:r>
              <w:rPr>
                <w:sz w:val="21"/>
                <w:szCs w:val="21"/>
                <w:lang w:bidi="ar"/>
              </w:rPr>
              <w:t>/F</w:t>
            </w:r>
            <w:r>
              <w:rPr>
                <w:rFonts w:hint="eastAsia"/>
                <w:sz w:val="21"/>
                <w:szCs w:val="21"/>
                <w:vertAlign w:val="superscript"/>
                <w:lang w:bidi="ar"/>
              </w:rPr>
              <w:t>-</w:t>
            </w:r>
            <w:r>
              <w:rPr>
                <w:sz w:val="21"/>
                <w:szCs w:val="21"/>
                <w:lang w:bidi="ar"/>
              </w:rPr>
              <w:t>/SiO</w:t>
            </w:r>
            <w:r>
              <w:rPr>
                <w:rFonts w:hint="eastAsia"/>
                <w:sz w:val="21"/>
                <w:szCs w:val="21"/>
                <w:vertAlign w:val="subscript"/>
                <w:lang w:bidi="ar"/>
              </w:rPr>
              <w:t>2</w:t>
            </w:r>
            <w:r>
              <w:rPr>
                <w:rFonts w:hint="eastAsia"/>
                <w:sz w:val="21"/>
                <w:szCs w:val="21"/>
                <w:lang w:bidi="ar"/>
              </w:rPr>
              <w:t>等</w:t>
            </w:r>
          </w:p>
        </w:tc>
      </w:tr>
      <w:tr w:rsidR="003E78AB" w14:paraId="192863FB" w14:textId="77777777">
        <w:trPr>
          <w:trHeight w:val="315"/>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E05043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合计</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01809CD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1445</w:t>
            </w:r>
          </w:p>
        </w:tc>
        <w:tc>
          <w:tcPr>
            <w:tcW w:w="1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E71B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合计</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B2CA85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1445</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2B50D" w14:textId="77777777" w:rsidR="003E78AB" w:rsidRDefault="003E78AB">
            <w:pPr>
              <w:spacing w:line="360" w:lineRule="exact"/>
              <w:ind w:firstLineChars="0" w:firstLine="0"/>
              <w:jc w:val="center"/>
              <w:textAlignment w:val="center"/>
              <w:rPr>
                <w:sz w:val="21"/>
                <w:szCs w:val="21"/>
                <w:lang w:bidi="ar"/>
              </w:rPr>
            </w:pPr>
          </w:p>
        </w:tc>
      </w:tr>
    </w:tbl>
    <w:p w14:paraId="3D9046C3" w14:textId="77777777" w:rsidR="003E78AB" w:rsidRDefault="00010BF9">
      <w:pPr>
        <w:pStyle w:val="24"/>
        <w:keepNext w:val="0"/>
        <w:keepLines w:val="0"/>
        <w:topLinePunct/>
        <w:spacing w:before="156"/>
        <w:rPr>
          <w:rFonts w:cs="Times New Roman"/>
        </w:rPr>
      </w:pPr>
      <w:bookmarkStart w:id="248" w:name="_Toc28612"/>
      <w:r>
        <w:rPr>
          <w:rFonts w:cs="Times New Roman"/>
        </w:rPr>
        <w:t>3.4</w:t>
      </w:r>
      <w:r>
        <w:rPr>
          <w:rFonts w:cs="Times New Roman"/>
        </w:rPr>
        <w:t>主要污染源及污染物分析</w:t>
      </w:r>
      <w:bookmarkEnd w:id="246"/>
      <w:bookmarkEnd w:id="248"/>
    </w:p>
    <w:p w14:paraId="62F7719E" w14:textId="77777777" w:rsidR="003E78AB" w:rsidRDefault="00010BF9">
      <w:pPr>
        <w:pStyle w:val="31"/>
        <w:keepNext w:val="0"/>
        <w:keepLines w:val="0"/>
        <w:topLinePunct/>
        <w:spacing w:before="156"/>
      </w:pPr>
      <w:r>
        <w:t>3.4.1</w:t>
      </w:r>
      <w:r>
        <w:t>施工期污染源及污染物分析</w:t>
      </w:r>
    </w:p>
    <w:p w14:paraId="49CE9EE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3.4.1.1</w:t>
      </w:r>
      <w:r>
        <w:rPr>
          <w:rFonts w:ascii="Times New Roman" w:hAnsi="Times New Roman"/>
        </w:rPr>
        <w:t>大气污染源分析</w:t>
      </w:r>
    </w:p>
    <w:p w14:paraId="16B1E778" w14:textId="77777777" w:rsidR="003E78AB" w:rsidRDefault="00010BF9">
      <w:pPr>
        <w:ind w:firstLine="480"/>
      </w:pPr>
      <w:r>
        <w:t>（</w:t>
      </w:r>
      <w:r>
        <w:t>1</w:t>
      </w:r>
      <w:r>
        <w:t>）车辆行驶扬尘</w:t>
      </w:r>
    </w:p>
    <w:p w14:paraId="4209B63E" w14:textId="77777777" w:rsidR="003E78AB" w:rsidRDefault="00010BF9">
      <w:pPr>
        <w:ind w:firstLine="480"/>
      </w:pPr>
      <w:r>
        <w:t>本项目施工期间车辆主要包括物料运输车辆和施工车辆，运输过程中物料或砂石洒落容易导致扬尘，车辆行驶会导致二次扬尘。施工过程中，车辆行驶产生的扬尘量占扬尘总量的</w:t>
      </w:r>
      <w:r>
        <w:t>60%</w:t>
      </w:r>
      <w:r>
        <w:t>以上。车辆在行驶过程中产生的扬尘，在完全干燥的情况下，可按下列经验公式计算：</w:t>
      </w:r>
    </w:p>
    <w:p w14:paraId="09A14597" w14:textId="77777777" w:rsidR="003E78AB" w:rsidRDefault="00010BF9">
      <w:pPr>
        <w:ind w:firstLine="480"/>
        <w:rPr>
          <w:i/>
        </w:rPr>
      </w:pPr>
      <m:oMathPara>
        <m:oMath>
          <m:r>
            <w:rPr>
              <w:rFonts w:ascii="Cambria Math" w:hAnsi="Cambria Math"/>
            </w:rPr>
            <m:t>Q</m:t>
          </m:r>
          <m:r>
            <w:rPr>
              <w:rFonts w:ascii="Cambria Math" w:hAnsi="Cambria Math"/>
            </w:rPr>
            <m:t>=0.123</m:t>
          </m:r>
          <m:d>
            <m:dPr>
              <m:ctrlPr>
                <w:rPr>
                  <w:rFonts w:ascii="Cambria Math" w:hAnsi="Cambria Math"/>
                  <w:i/>
                </w:rPr>
              </m:ctrlPr>
            </m:dPr>
            <m:e>
              <m:f>
                <m:fPr>
                  <m:type m:val="skw"/>
                  <m:ctrlPr>
                    <w:rPr>
                      <w:rFonts w:ascii="Cambria Math" w:hAnsi="Cambria Math"/>
                      <w:i/>
                    </w:rPr>
                  </m:ctrlPr>
                </m:fPr>
                <m:num>
                  <m:r>
                    <w:rPr>
                      <w:rFonts w:ascii="Cambria Math" w:hAnsi="Cambria Math"/>
                    </w:rPr>
                    <m:t>V</m:t>
                  </m:r>
                </m:num>
                <m:den>
                  <m:r>
                    <w:rPr>
                      <w:rFonts w:ascii="Cambria Math" w:hAnsi="Cambria Math"/>
                    </w:rPr>
                    <m:t>5</m:t>
                  </m:r>
                </m:den>
              </m:f>
            </m:e>
          </m:d>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r>
                        <w:rPr>
                          <w:rFonts w:ascii="Cambria Math" w:hAnsi="Cambria Math"/>
                        </w:rPr>
                        <m:t>W</m:t>
                      </m:r>
                    </m:num>
                    <m:den>
                      <m:r>
                        <w:rPr>
                          <w:rFonts w:ascii="Cambria Math" w:hAnsi="Cambria Math"/>
                        </w:rPr>
                        <m:t>6.8</m:t>
                      </m:r>
                    </m:den>
                  </m:f>
                </m:e>
              </m:d>
            </m:e>
            <m:sup>
              <m:r>
                <w:rPr>
                  <w:rFonts w:ascii="Cambria Math" w:hAnsi="Cambria Math"/>
                </w:rPr>
                <m:t>0.85</m:t>
              </m:r>
            </m:sup>
          </m:sSup>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r>
                        <w:rPr>
                          <w:rFonts w:ascii="Cambria Math" w:hAnsi="Cambria Math"/>
                        </w:rPr>
                        <m:t>P</m:t>
                      </m:r>
                    </m:num>
                    <m:den>
                      <m:r>
                        <w:rPr>
                          <w:rFonts w:ascii="Cambria Math" w:hAnsi="Cambria Math"/>
                        </w:rPr>
                        <m:t>0.5</m:t>
                      </m:r>
                    </m:den>
                  </m:f>
                </m:e>
              </m:d>
            </m:e>
            <m:sup>
              <m:r>
                <w:rPr>
                  <w:rFonts w:ascii="Cambria Math" w:hAnsi="Cambria Math"/>
                </w:rPr>
                <m:t>0.75</m:t>
              </m:r>
            </m:sup>
          </m:sSup>
        </m:oMath>
      </m:oMathPara>
    </w:p>
    <w:p w14:paraId="42CF839E" w14:textId="77777777" w:rsidR="003E78AB" w:rsidRDefault="00010BF9">
      <w:pPr>
        <w:ind w:firstLine="480"/>
      </w:pPr>
      <w:r>
        <w:t>式中：</w:t>
      </w:r>
      <w:r>
        <w:rPr>
          <w:i/>
        </w:rPr>
        <w:t>Q</w:t>
      </w:r>
      <w:r>
        <w:t>——</w:t>
      </w:r>
      <w:r>
        <w:t>汽车行驶的扬尘，</w:t>
      </w:r>
      <w:r>
        <w:t>kg/km·</w:t>
      </w:r>
      <w:r>
        <w:t>辆；</w:t>
      </w:r>
    </w:p>
    <w:p w14:paraId="2DF90ECE" w14:textId="77777777" w:rsidR="003E78AB" w:rsidRDefault="00010BF9">
      <w:pPr>
        <w:ind w:firstLine="480"/>
      </w:pPr>
      <w:r>
        <w:t xml:space="preserve">      </w:t>
      </w:r>
      <w:r>
        <w:rPr>
          <w:i/>
        </w:rPr>
        <w:t>V</w:t>
      </w:r>
      <w:r>
        <w:t>——</w:t>
      </w:r>
      <w:r>
        <w:t>汽车速度，</w:t>
      </w:r>
      <w:r>
        <w:t>km/hr</w:t>
      </w:r>
      <w:r>
        <w:t>；</w:t>
      </w:r>
    </w:p>
    <w:p w14:paraId="46B9B679" w14:textId="77777777" w:rsidR="003E78AB" w:rsidRDefault="00010BF9">
      <w:pPr>
        <w:ind w:firstLine="480"/>
      </w:pPr>
      <w:r>
        <w:t xml:space="preserve">      </w:t>
      </w:r>
      <w:r>
        <w:rPr>
          <w:i/>
        </w:rPr>
        <w:t>W</w:t>
      </w:r>
      <w:r>
        <w:t>——</w:t>
      </w:r>
      <w:r>
        <w:t>汽车载重量，</w:t>
      </w:r>
      <w:r>
        <w:t>t</w:t>
      </w:r>
      <w:r>
        <w:t>；</w:t>
      </w:r>
    </w:p>
    <w:p w14:paraId="5D9A1E4A" w14:textId="77777777" w:rsidR="003E78AB" w:rsidRDefault="00010BF9">
      <w:pPr>
        <w:ind w:firstLine="480"/>
      </w:pPr>
      <w:r>
        <w:t xml:space="preserve">      </w:t>
      </w:r>
      <w:r>
        <w:rPr>
          <w:i/>
        </w:rPr>
        <w:t>P</w:t>
      </w:r>
      <w:r>
        <w:t>——</w:t>
      </w:r>
      <w:r>
        <w:t>道路表面粉尘量，</w:t>
      </w:r>
      <w:r>
        <w:t>kg/m</w:t>
      </w:r>
      <w:r>
        <w:rPr>
          <w:vertAlign w:val="superscript"/>
        </w:rPr>
        <w:t>2</w:t>
      </w:r>
      <w:r>
        <w:t>。</w:t>
      </w:r>
    </w:p>
    <w:p w14:paraId="7C88F105" w14:textId="77777777" w:rsidR="003E78AB" w:rsidRDefault="00010BF9">
      <w:pPr>
        <w:ind w:firstLine="480"/>
        <w:rPr>
          <w:bCs/>
        </w:rPr>
      </w:pPr>
      <w:r>
        <w:rPr>
          <w:bCs/>
        </w:rPr>
        <w:fldChar w:fldCharType="begin"/>
      </w:r>
      <w:r>
        <w:rPr>
          <w:bCs/>
        </w:rPr>
        <w:instrText xml:space="preserve"> REF _Ref18572 \r \h </w:instrText>
      </w:r>
      <w:r>
        <w:rPr>
          <w:bCs/>
        </w:rPr>
      </w:r>
      <w:r>
        <w:rPr>
          <w:bCs/>
        </w:rPr>
        <w:fldChar w:fldCharType="separate"/>
      </w:r>
      <w:r>
        <w:rPr>
          <w:bCs/>
        </w:rPr>
        <w:t>表</w:t>
      </w:r>
      <w:r>
        <w:rPr>
          <w:bCs/>
        </w:rPr>
        <w:t>3-14</w:t>
      </w:r>
      <w:r>
        <w:rPr>
          <w:bCs/>
        </w:rPr>
        <w:fldChar w:fldCharType="end"/>
      </w:r>
      <w:r>
        <w:rPr>
          <w:bCs/>
        </w:rPr>
        <w:t>为一辆</w:t>
      </w:r>
      <w:r>
        <w:rPr>
          <w:bCs/>
        </w:rPr>
        <w:t>10t</w:t>
      </w:r>
      <w:r>
        <w:rPr>
          <w:bCs/>
        </w:rPr>
        <w:t>卡车，通过一段长度为</w:t>
      </w:r>
      <w:r>
        <w:rPr>
          <w:bCs/>
        </w:rPr>
        <w:t>1km</w:t>
      </w:r>
      <w:r>
        <w:rPr>
          <w:bCs/>
        </w:rPr>
        <w:t>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14:paraId="2C933B7D" w14:textId="77777777" w:rsidR="003E78AB" w:rsidRDefault="00010BF9">
      <w:pPr>
        <w:pStyle w:val="a1"/>
        <w:jc w:val="right"/>
      </w:pPr>
      <w:bookmarkStart w:id="249" w:name="_Ref18572"/>
      <w:r>
        <w:t>在不同车速和地面清洁程度的汽车扬尘</w:t>
      </w:r>
      <w:r>
        <w:t xml:space="preserve">     </w:t>
      </w:r>
      <w:r>
        <w:t>单位：</w:t>
      </w:r>
      <w:r>
        <w:t>kg/</w:t>
      </w:r>
      <w:r>
        <w:t>辆</w:t>
      </w:r>
      <w:r>
        <w:t>·km</w:t>
      </w:r>
      <w:bookmarkEnd w:id="249"/>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72"/>
        <w:gridCol w:w="1303"/>
        <w:gridCol w:w="1128"/>
        <w:gridCol w:w="1216"/>
        <w:gridCol w:w="1190"/>
        <w:gridCol w:w="1152"/>
        <w:gridCol w:w="950"/>
      </w:tblGrid>
      <w:tr w:rsidR="003E78AB" w14:paraId="76757547" w14:textId="77777777">
        <w:trPr>
          <w:trHeight w:val="340"/>
          <w:jc w:val="center"/>
        </w:trPr>
        <w:tc>
          <w:tcPr>
            <w:tcW w:w="922" w:type="pct"/>
            <w:tcBorders>
              <w:top w:val="single" w:sz="4" w:space="0" w:color="auto"/>
              <w:left w:val="single" w:sz="4" w:space="0" w:color="auto"/>
              <w:bottom w:val="single" w:sz="4" w:space="0" w:color="auto"/>
              <w:right w:val="single" w:sz="4" w:space="0" w:color="auto"/>
              <w:tl2br w:val="single" w:sz="4" w:space="0" w:color="auto"/>
            </w:tcBorders>
            <w:vAlign w:val="center"/>
          </w:tcPr>
          <w:p w14:paraId="275DE8D4" w14:textId="77777777" w:rsidR="003E78AB" w:rsidRDefault="00010BF9">
            <w:pPr>
              <w:spacing w:line="360" w:lineRule="exact"/>
              <w:ind w:firstLineChars="0" w:firstLine="0"/>
              <w:jc w:val="right"/>
              <w:rPr>
                <w:b/>
                <w:sz w:val="21"/>
                <w:szCs w:val="21"/>
              </w:rPr>
            </w:pPr>
            <w:r>
              <w:rPr>
                <w:b/>
                <w:sz w:val="21"/>
                <w:szCs w:val="21"/>
              </w:rPr>
              <w:t>P</w:t>
            </w:r>
          </w:p>
          <w:p w14:paraId="58B9CC41" w14:textId="77777777" w:rsidR="003E78AB" w:rsidRDefault="00010BF9">
            <w:pPr>
              <w:spacing w:line="360" w:lineRule="exact"/>
              <w:ind w:firstLineChars="0" w:firstLine="0"/>
              <w:jc w:val="left"/>
              <w:rPr>
                <w:b/>
                <w:sz w:val="21"/>
                <w:szCs w:val="21"/>
              </w:rPr>
            </w:pPr>
            <w:r>
              <w:rPr>
                <w:b/>
                <w:sz w:val="21"/>
                <w:szCs w:val="21"/>
              </w:rPr>
              <w:t>车速</w:t>
            </w:r>
          </w:p>
        </w:tc>
        <w:tc>
          <w:tcPr>
            <w:tcW w:w="765" w:type="pct"/>
            <w:tcBorders>
              <w:top w:val="single" w:sz="4" w:space="0" w:color="auto"/>
              <w:left w:val="single" w:sz="4" w:space="0" w:color="auto"/>
              <w:bottom w:val="single" w:sz="4" w:space="0" w:color="auto"/>
              <w:right w:val="single" w:sz="4" w:space="0" w:color="auto"/>
            </w:tcBorders>
            <w:vAlign w:val="center"/>
          </w:tcPr>
          <w:p w14:paraId="6ADDBF24" w14:textId="77777777" w:rsidR="003E78AB" w:rsidRDefault="00010BF9">
            <w:pPr>
              <w:spacing w:line="360" w:lineRule="exact"/>
              <w:ind w:firstLineChars="0" w:firstLine="0"/>
              <w:jc w:val="center"/>
              <w:rPr>
                <w:b/>
                <w:sz w:val="21"/>
                <w:szCs w:val="21"/>
              </w:rPr>
            </w:pPr>
            <w:r>
              <w:rPr>
                <w:b/>
                <w:sz w:val="21"/>
                <w:szCs w:val="21"/>
              </w:rPr>
              <w:t>0.</w:t>
            </w:r>
            <w:r>
              <w:rPr>
                <w:b/>
                <w:sz w:val="21"/>
                <w:szCs w:val="21"/>
              </w:rPr>
              <w:t>1kg/m</w:t>
            </w:r>
            <w:r>
              <w:rPr>
                <w:b/>
                <w:sz w:val="21"/>
                <w:szCs w:val="21"/>
                <w:vertAlign w:val="superscript"/>
              </w:rPr>
              <w:t>2</w:t>
            </w:r>
          </w:p>
        </w:tc>
        <w:tc>
          <w:tcPr>
            <w:tcW w:w="662" w:type="pct"/>
            <w:tcBorders>
              <w:top w:val="single" w:sz="4" w:space="0" w:color="auto"/>
              <w:left w:val="single" w:sz="4" w:space="0" w:color="auto"/>
              <w:bottom w:val="single" w:sz="4" w:space="0" w:color="auto"/>
              <w:right w:val="single" w:sz="4" w:space="0" w:color="auto"/>
            </w:tcBorders>
            <w:vAlign w:val="center"/>
          </w:tcPr>
          <w:p w14:paraId="57FAA6A3" w14:textId="77777777" w:rsidR="003E78AB" w:rsidRDefault="00010BF9">
            <w:pPr>
              <w:spacing w:line="360" w:lineRule="exact"/>
              <w:ind w:firstLineChars="0" w:firstLine="0"/>
              <w:jc w:val="center"/>
              <w:rPr>
                <w:b/>
                <w:sz w:val="21"/>
                <w:szCs w:val="21"/>
              </w:rPr>
            </w:pPr>
            <w:r>
              <w:rPr>
                <w:b/>
                <w:sz w:val="21"/>
                <w:szCs w:val="21"/>
              </w:rPr>
              <w:t>0.2kg/m</w:t>
            </w:r>
            <w:r>
              <w:rPr>
                <w:b/>
                <w:sz w:val="21"/>
                <w:szCs w:val="21"/>
                <w:vertAlign w:val="superscript"/>
              </w:rPr>
              <w:t>2</w:t>
            </w:r>
          </w:p>
        </w:tc>
        <w:tc>
          <w:tcPr>
            <w:tcW w:w="714" w:type="pct"/>
            <w:tcBorders>
              <w:top w:val="single" w:sz="4" w:space="0" w:color="auto"/>
              <w:left w:val="single" w:sz="4" w:space="0" w:color="auto"/>
              <w:bottom w:val="single" w:sz="4" w:space="0" w:color="auto"/>
              <w:right w:val="single" w:sz="4" w:space="0" w:color="auto"/>
            </w:tcBorders>
            <w:vAlign w:val="center"/>
          </w:tcPr>
          <w:p w14:paraId="45D79E0C" w14:textId="77777777" w:rsidR="003E78AB" w:rsidRDefault="00010BF9">
            <w:pPr>
              <w:spacing w:line="360" w:lineRule="exact"/>
              <w:ind w:firstLineChars="0" w:firstLine="0"/>
              <w:jc w:val="center"/>
              <w:rPr>
                <w:b/>
                <w:sz w:val="21"/>
                <w:szCs w:val="21"/>
              </w:rPr>
            </w:pPr>
            <w:r>
              <w:rPr>
                <w:b/>
                <w:sz w:val="21"/>
                <w:szCs w:val="21"/>
              </w:rPr>
              <w:t>0.3kg/m</w:t>
            </w:r>
            <w:r>
              <w:rPr>
                <w:b/>
                <w:sz w:val="21"/>
                <w:szCs w:val="21"/>
                <w:vertAlign w:val="superscript"/>
              </w:rPr>
              <w:t>2</w:t>
            </w:r>
          </w:p>
        </w:tc>
        <w:tc>
          <w:tcPr>
            <w:tcW w:w="699" w:type="pct"/>
            <w:tcBorders>
              <w:top w:val="single" w:sz="4" w:space="0" w:color="auto"/>
              <w:left w:val="single" w:sz="4" w:space="0" w:color="auto"/>
              <w:bottom w:val="single" w:sz="4" w:space="0" w:color="auto"/>
              <w:right w:val="single" w:sz="4" w:space="0" w:color="auto"/>
            </w:tcBorders>
            <w:vAlign w:val="center"/>
          </w:tcPr>
          <w:p w14:paraId="7BD6FC3C" w14:textId="77777777" w:rsidR="003E78AB" w:rsidRDefault="00010BF9">
            <w:pPr>
              <w:spacing w:line="360" w:lineRule="exact"/>
              <w:ind w:firstLineChars="0" w:firstLine="0"/>
              <w:jc w:val="center"/>
              <w:rPr>
                <w:b/>
                <w:sz w:val="21"/>
                <w:szCs w:val="21"/>
              </w:rPr>
            </w:pPr>
            <w:r>
              <w:rPr>
                <w:b/>
                <w:sz w:val="21"/>
                <w:szCs w:val="21"/>
              </w:rPr>
              <w:t>0.4kg/m</w:t>
            </w:r>
            <w:r>
              <w:rPr>
                <w:b/>
                <w:sz w:val="21"/>
                <w:szCs w:val="21"/>
                <w:vertAlign w:val="superscript"/>
              </w:rPr>
              <w:t>2</w:t>
            </w:r>
          </w:p>
        </w:tc>
        <w:tc>
          <w:tcPr>
            <w:tcW w:w="677" w:type="pct"/>
            <w:tcBorders>
              <w:top w:val="single" w:sz="4" w:space="0" w:color="auto"/>
              <w:left w:val="single" w:sz="4" w:space="0" w:color="auto"/>
              <w:bottom w:val="single" w:sz="4" w:space="0" w:color="auto"/>
              <w:right w:val="single" w:sz="4" w:space="0" w:color="auto"/>
            </w:tcBorders>
            <w:vAlign w:val="center"/>
          </w:tcPr>
          <w:p w14:paraId="01978DC0" w14:textId="77777777" w:rsidR="003E78AB" w:rsidRDefault="00010BF9">
            <w:pPr>
              <w:spacing w:line="360" w:lineRule="exact"/>
              <w:ind w:firstLineChars="0" w:firstLine="0"/>
              <w:jc w:val="center"/>
              <w:rPr>
                <w:b/>
                <w:sz w:val="21"/>
                <w:szCs w:val="21"/>
              </w:rPr>
            </w:pPr>
            <w:r>
              <w:rPr>
                <w:b/>
                <w:sz w:val="21"/>
                <w:szCs w:val="21"/>
              </w:rPr>
              <w:t>0.5kg/m</w:t>
            </w:r>
            <w:r>
              <w:rPr>
                <w:b/>
                <w:sz w:val="21"/>
                <w:szCs w:val="21"/>
                <w:vertAlign w:val="superscript"/>
              </w:rPr>
              <w:t>2</w:t>
            </w:r>
          </w:p>
        </w:tc>
        <w:tc>
          <w:tcPr>
            <w:tcW w:w="558" w:type="pct"/>
            <w:tcBorders>
              <w:top w:val="single" w:sz="4" w:space="0" w:color="auto"/>
              <w:left w:val="single" w:sz="4" w:space="0" w:color="auto"/>
              <w:bottom w:val="single" w:sz="4" w:space="0" w:color="auto"/>
              <w:right w:val="single" w:sz="4" w:space="0" w:color="auto"/>
            </w:tcBorders>
            <w:vAlign w:val="center"/>
          </w:tcPr>
          <w:p w14:paraId="2E25AD48" w14:textId="77777777" w:rsidR="003E78AB" w:rsidRDefault="00010BF9">
            <w:pPr>
              <w:spacing w:line="360" w:lineRule="exact"/>
              <w:ind w:firstLineChars="0" w:firstLine="0"/>
              <w:jc w:val="center"/>
              <w:rPr>
                <w:b/>
                <w:sz w:val="21"/>
                <w:szCs w:val="21"/>
              </w:rPr>
            </w:pPr>
            <w:r>
              <w:rPr>
                <w:b/>
                <w:sz w:val="21"/>
                <w:szCs w:val="21"/>
              </w:rPr>
              <w:t>1kg/m</w:t>
            </w:r>
            <w:r>
              <w:rPr>
                <w:b/>
                <w:sz w:val="21"/>
                <w:szCs w:val="21"/>
                <w:vertAlign w:val="superscript"/>
              </w:rPr>
              <w:t>2</w:t>
            </w:r>
          </w:p>
        </w:tc>
      </w:tr>
      <w:tr w:rsidR="003E78AB" w14:paraId="1F73124A" w14:textId="77777777">
        <w:trPr>
          <w:trHeight w:val="340"/>
          <w:jc w:val="center"/>
        </w:trPr>
        <w:tc>
          <w:tcPr>
            <w:tcW w:w="922" w:type="pct"/>
            <w:tcBorders>
              <w:top w:val="single" w:sz="4" w:space="0" w:color="auto"/>
              <w:left w:val="single" w:sz="4" w:space="0" w:color="auto"/>
              <w:bottom w:val="single" w:sz="4" w:space="0" w:color="auto"/>
              <w:right w:val="single" w:sz="4" w:space="0" w:color="auto"/>
            </w:tcBorders>
            <w:vAlign w:val="center"/>
          </w:tcPr>
          <w:p w14:paraId="13210D22" w14:textId="77777777" w:rsidR="003E78AB" w:rsidRDefault="00010BF9">
            <w:pPr>
              <w:spacing w:line="360" w:lineRule="exact"/>
              <w:ind w:firstLineChars="0" w:firstLine="0"/>
              <w:jc w:val="center"/>
              <w:rPr>
                <w:bCs/>
                <w:sz w:val="21"/>
                <w:szCs w:val="21"/>
              </w:rPr>
            </w:pPr>
            <w:r>
              <w:rPr>
                <w:bCs/>
                <w:sz w:val="21"/>
                <w:szCs w:val="21"/>
              </w:rPr>
              <w:t>5</w:t>
            </w:r>
            <w:r>
              <w:rPr>
                <w:bCs/>
                <w:sz w:val="21"/>
                <w:szCs w:val="21"/>
              </w:rPr>
              <w:t>（</w:t>
            </w:r>
            <w:r>
              <w:rPr>
                <w:bCs/>
                <w:sz w:val="21"/>
                <w:szCs w:val="21"/>
              </w:rPr>
              <w:t>km/h</w:t>
            </w:r>
            <w:r>
              <w:rPr>
                <w:bCs/>
                <w:sz w:val="21"/>
                <w:szCs w:val="21"/>
              </w:rPr>
              <w:t>）</w:t>
            </w:r>
          </w:p>
        </w:tc>
        <w:tc>
          <w:tcPr>
            <w:tcW w:w="765" w:type="pct"/>
            <w:tcBorders>
              <w:top w:val="single" w:sz="4" w:space="0" w:color="auto"/>
              <w:left w:val="single" w:sz="4" w:space="0" w:color="auto"/>
              <w:bottom w:val="single" w:sz="4" w:space="0" w:color="auto"/>
              <w:right w:val="single" w:sz="4" w:space="0" w:color="auto"/>
            </w:tcBorders>
            <w:vAlign w:val="center"/>
          </w:tcPr>
          <w:p w14:paraId="7601959C" w14:textId="77777777" w:rsidR="003E78AB" w:rsidRDefault="00010BF9">
            <w:pPr>
              <w:spacing w:line="360" w:lineRule="exact"/>
              <w:ind w:firstLineChars="0" w:firstLine="0"/>
              <w:jc w:val="center"/>
              <w:rPr>
                <w:bCs/>
                <w:sz w:val="21"/>
                <w:szCs w:val="21"/>
              </w:rPr>
            </w:pPr>
            <w:r>
              <w:rPr>
                <w:bCs/>
                <w:sz w:val="21"/>
                <w:szCs w:val="21"/>
              </w:rPr>
              <w:t>0.05</w:t>
            </w:r>
          </w:p>
        </w:tc>
        <w:tc>
          <w:tcPr>
            <w:tcW w:w="662" w:type="pct"/>
            <w:tcBorders>
              <w:top w:val="single" w:sz="4" w:space="0" w:color="auto"/>
              <w:left w:val="single" w:sz="4" w:space="0" w:color="auto"/>
              <w:bottom w:val="single" w:sz="4" w:space="0" w:color="auto"/>
              <w:right w:val="single" w:sz="4" w:space="0" w:color="auto"/>
            </w:tcBorders>
            <w:vAlign w:val="center"/>
          </w:tcPr>
          <w:p w14:paraId="35D56DB8" w14:textId="77777777" w:rsidR="003E78AB" w:rsidRDefault="00010BF9">
            <w:pPr>
              <w:spacing w:line="360" w:lineRule="exact"/>
              <w:ind w:firstLineChars="0" w:firstLine="0"/>
              <w:jc w:val="center"/>
              <w:rPr>
                <w:bCs/>
                <w:sz w:val="21"/>
                <w:szCs w:val="21"/>
              </w:rPr>
            </w:pPr>
            <w:r>
              <w:rPr>
                <w:bCs/>
                <w:sz w:val="21"/>
                <w:szCs w:val="21"/>
              </w:rPr>
              <w:t>0.08</w:t>
            </w:r>
          </w:p>
        </w:tc>
        <w:tc>
          <w:tcPr>
            <w:tcW w:w="714" w:type="pct"/>
            <w:tcBorders>
              <w:top w:val="single" w:sz="4" w:space="0" w:color="auto"/>
              <w:left w:val="single" w:sz="4" w:space="0" w:color="auto"/>
              <w:bottom w:val="single" w:sz="4" w:space="0" w:color="auto"/>
              <w:right w:val="single" w:sz="4" w:space="0" w:color="auto"/>
            </w:tcBorders>
            <w:vAlign w:val="center"/>
          </w:tcPr>
          <w:p w14:paraId="57DF02FC" w14:textId="77777777" w:rsidR="003E78AB" w:rsidRDefault="00010BF9">
            <w:pPr>
              <w:spacing w:line="360" w:lineRule="exact"/>
              <w:ind w:firstLineChars="0" w:firstLine="0"/>
              <w:jc w:val="center"/>
              <w:rPr>
                <w:bCs/>
                <w:sz w:val="21"/>
                <w:szCs w:val="21"/>
              </w:rPr>
            </w:pPr>
            <w:r>
              <w:rPr>
                <w:bCs/>
                <w:sz w:val="21"/>
                <w:szCs w:val="21"/>
              </w:rPr>
              <w:t>0.11</w:t>
            </w:r>
          </w:p>
        </w:tc>
        <w:tc>
          <w:tcPr>
            <w:tcW w:w="699" w:type="pct"/>
            <w:tcBorders>
              <w:top w:val="single" w:sz="4" w:space="0" w:color="auto"/>
              <w:left w:val="single" w:sz="4" w:space="0" w:color="auto"/>
              <w:bottom w:val="single" w:sz="4" w:space="0" w:color="auto"/>
              <w:right w:val="single" w:sz="4" w:space="0" w:color="auto"/>
            </w:tcBorders>
            <w:vAlign w:val="center"/>
          </w:tcPr>
          <w:p w14:paraId="218260E7" w14:textId="77777777" w:rsidR="003E78AB" w:rsidRDefault="00010BF9">
            <w:pPr>
              <w:spacing w:line="360" w:lineRule="exact"/>
              <w:ind w:firstLineChars="0" w:firstLine="0"/>
              <w:jc w:val="center"/>
              <w:rPr>
                <w:bCs/>
                <w:sz w:val="21"/>
                <w:szCs w:val="21"/>
              </w:rPr>
            </w:pPr>
            <w:r>
              <w:rPr>
                <w:bCs/>
                <w:sz w:val="21"/>
                <w:szCs w:val="21"/>
              </w:rPr>
              <w:t>0.14</w:t>
            </w:r>
          </w:p>
        </w:tc>
        <w:tc>
          <w:tcPr>
            <w:tcW w:w="677" w:type="pct"/>
            <w:tcBorders>
              <w:top w:val="single" w:sz="4" w:space="0" w:color="auto"/>
              <w:left w:val="single" w:sz="4" w:space="0" w:color="auto"/>
              <w:bottom w:val="single" w:sz="4" w:space="0" w:color="auto"/>
              <w:right w:val="single" w:sz="4" w:space="0" w:color="auto"/>
            </w:tcBorders>
            <w:vAlign w:val="center"/>
          </w:tcPr>
          <w:p w14:paraId="21CC5237" w14:textId="77777777" w:rsidR="003E78AB" w:rsidRDefault="00010BF9">
            <w:pPr>
              <w:spacing w:line="360" w:lineRule="exact"/>
              <w:ind w:firstLineChars="0" w:firstLine="0"/>
              <w:jc w:val="center"/>
              <w:rPr>
                <w:bCs/>
                <w:sz w:val="21"/>
                <w:szCs w:val="21"/>
              </w:rPr>
            </w:pPr>
            <w:r>
              <w:rPr>
                <w:bCs/>
                <w:sz w:val="21"/>
                <w:szCs w:val="21"/>
              </w:rPr>
              <w:t>0.17</w:t>
            </w:r>
          </w:p>
        </w:tc>
        <w:tc>
          <w:tcPr>
            <w:tcW w:w="558" w:type="pct"/>
            <w:tcBorders>
              <w:top w:val="single" w:sz="4" w:space="0" w:color="auto"/>
              <w:left w:val="single" w:sz="4" w:space="0" w:color="auto"/>
              <w:bottom w:val="single" w:sz="4" w:space="0" w:color="auto"/>
              <w:right w:val="single" w:sz="4" w:space="0" w:color="auto"/>
            </w:tcBorders>
            <w:vAlign w:val="center"/>
          </w:tcPr>
          <w:p w14:paraId="367AC8B8" w14:textId="77777777" w:rsidR="003E78AB" w:rsidRDefault="00010BF9">
            <w:pPr>
              <w:spacing w:line="360" w:lineRule="exact"/>
              <w:ind w:firstLineChars="0" w:firstLine="0"/>
              <w:jc w:val="center"/>
              <w:rPr>
                <w:bCs/>
                <w:sz w:val="21"/>
                <w:szCs w:val="21"/>
              </w:rPr>
            </w:pPr>
            <w:r>
              <w:rPr>
                <w:bCs/>
                <w:sz w:val="21"/>
                <w:szCs w:val="21"/>
              </w:rPr>
              <w:t>0.2</w:t>
            </w:r>
          </w:p>
        </w:tc>
      </w:tr>
      <w:tr w:rsidR="003E78AB" w14:paraId="251B94D3" w14:textId="77777777">
        <w:trPr>
          <w:trHeight w:val="340"/>
          <w:jc w:val="center"/>
        </w:trPr>
        <w:tc>
          <w:tcPr>
            <w:tcW w:w="922" w:type="pct"/>
            <w:tcBorders>
              <w:top w:val="single" w:sz="4" w:space="0" w:color="auto"/>
              <w:left w:val="single" w:sz="4" w:space="0" w:color="auto"/>
              <w:bottom w:val="single" w:sz="4" w:space="0" w:color="auto"/>
              <w:right w:val="single" w:sz="4" w:space="0" w:color="auto"/>
            </w:tcBorders>
            <w:vAlign w:val="center"/>
          </w:tcPr>
          <w:p w14:paraId="1C915363" w14:textId="77777777" w:rsidR="003E78AB" w:rsidRDefault="00010BF9">
            <w:pPr>
              <w:spacing w:line="360" w:lineRule="exact"/>
              <w:ind w:firstLineChars="0" w:firstLine="0"/>
              <w:jc w:val="center"/>
              <w:rPr>
                <w:bCs/>
                <w:sz w:val="21"/>
                <w:szCs w:val="21"/>
              </w:rPr>
            </w:pPr>
            <w:r>
              <w:rPr>
                <w:bCs/>
                <w:sz w:val="21"/>
                <w:szCs w:val="21"/>
              </w:rPr>
              <w:t>10</w:t>
            </w:r>
            <w:r>
              <w:rPr>
                <w:bCs/>
                <w:sz w:val="21"/>
                <w:szCs w:val="21"/>
              </w:rPr>
              <w:t>（</w:t>
            </w:r>
            <w:r>
              <w:rPr>
                <w:bCs/>
                <w:sz w:val="21"/>
                <w:szCs w:val="21"/>
              </w:rPr>
              <w:t>km/h</w:t>
            </w:r>
            <w:r>
              <w:rPr>
                <w:bCs/>
                <w:sz w:val="21"/>
                <w:szCs w:val="21"/>
              </w:rPr>
              <w:t>）</w:t>
            </w:r>
          </w:p>
        </w:tc>
        <w:tc>
          <w:tcPr>
            <w:tcW w:w="765" w:type="pct"/>
            <w:tcBorders>
              <w:top w:val="single" w:sz="4" w:space="0" w:color="auto"/>
              <w:left w:val="single" w:sz="4" w:space="0" w:color="auto"/>
              <w:bottom w:val="single" w:sz="4" w:space="0" w:color="auto"/>
              <w:right w:val="single" w:sz="4" w:space="0" w:color="auto"/>
            </w:tcBorders>
            <w:vAlign w:val="center"/>
          </w:tcPr>
          <w:p w14:paraId="0E38C0C7" w14:textId="77777777" w:rsidR="003E78AB" w:rsidRDefault="00010BF9">
            <w:pPr>
              <w:spacing w:line="360" w:lineRule="exact"/>
              <w:ind w:firstLineChars="0" w:firstLine="0"/>
              <w:jc w:val="center"/>
              <w:rPr>
                <w:bCs/>
                <w:sz w:val="21"/>
                <w:szCs w:val="21"/>
              </w:rPr>
            </w:pPr>
            <w:r>
              <w:rPr>
                <w:bCs/>
                <w:sz w:val="21"/>
                <w:szCs w:val="21"/>
              </w:rPr>
              <w:t>0.10</w:t>
            </w:r>
          </w:p>
        </w:tc>
        <w:tc>
          <w:tcPr>
            <w:tcW w:w="662" w:type="pct"/>
            <w:tcBorders>
              <w:top w:val="single" w:sz="4" w:space="0" w:color="auto"/>
              <w:left w:val="single" w:sz="4" w:space="0" w:color="auto"/>
              <w:bottom w:val="single" w:sz="4" w:space="0" w:color="auto"/>
              <w:right w:val="single" w:sz="4" w:space="0" w:color="auto"/>
            </w:tcBorders>
            <w:vAlign w:val="center"/>
          </w:tcPr>
          <w:p w14:paraId="32485488" w14:textId="77777777" w:rsidR="003E78AB" w:rsidRDefault="00010BF9">
            <w:pPr>
              <w:spacing w:line="360" w:lineRule="exact"/>
              <w:ind w:firstLineChars="0" w:firstLine="0"/>
              <w:jc w:val="center"/>
              <w:rPr>
                <w:bCs/>
                <w:sz w:val="21"/>
                <w:szCs w:val="21"/>
              </w:rPr>
            </w:pPr>
            <w:r>
              <w:rPr>
                <w:bCs/>
                <w:sz w:val="21"/>
                <w:szCs w:val="21"/>
              </w:rPr>
              <w:t>0.17</w:t>
            </w:r>
          </w:p>
        </w:tc>
        <w:tc>
          <w:tcPr>
            <w:tcW w:w="714" w:type="pct"/>
            <w:tcBorders>
              <w:top w:val="single" w:sz="4" w:space="0" w:color="auto"/>
              <w:left w:val="single" w:sz="4" w:space="0" w:color="auto"/>
              <w:bottom w:val="single" w:sz="4" w:space="0" w:color="auto"/>
              <w:right w:val="single" w:sz="4" w:space="0" w:color="auto"/>
            </w:tcBorders>
            <w:vAlign w:val="center"/>
          </w:tcPr>
          <w:p w14:paraId="1BDFAEC3" w14:textId="77777777" w:rsidR="003E78AB" w:rsidRDefault="00010BF9">
            <w:pPr>
              <w:spacing w:line="360" w:lineRule="exact"/>
              <w:ind w:firstLineChars="0" w:firstLine="0"/>
              <w:jc w:val="center"/>
              <w:rPr>
                <w:bCs/>
                <w:sz w:val="21"/>
                <w:szCs w:val="21"/>
              </w:rPr>
            </w:pPr>
            <w:r>
              <w:rPr>
                <w:bCs/>
                <w:sz w:val="21"/>
                <w:szCs w:val="21"/>
              </w:rPr>
              <w:t>0.23</w:t>
            </w:r>
          </w:p>
        </w:tc>
        <w:tc>
          <w:tcPr>
            <w:tcW w:w="699" w:type="pct"/>
            <w:tcBorders>
              <w:top w:val="single" w:sz="4" w:space="0" w:color="auto"/>
              <w:left w:val="single" w:sz="4" w:space="0" w:color="auto"/>
              <w:bottom w:val="single" w:sz="4" w:space="0" w:color="auto"/>
              <w:right w:val="single" w:sz="4" w:space="0" w:color="auto"/>
            </w:tcBorders>
            <w:vAlign w:val="center"/>
          </w:tcPr>
          <w:p w14:paraId="6F404202" w14:textId="77777777" w:rsidR="003E78AB" w:rsidRDefault="00010BF9">
            <w:pPr>
              <w:spacing w:line="360" w:lineRule="exact"/>
              <w:ind w:firstLineChars="0" w:firstLine="0"/>
              <w:jc w:val="center"/>
              <w:rPr>
                <w:bCs/>
                <w:sz w:val="21"/>
                <w:szCs w:val="21"/>
              </w:rPr>
            </w:pPr>
            <w:r>
              <w:rPr>
                <w:bCs/>
                <w:sz w:val="21"/>
                <w:szCs w:val="21"/>
              </w:rPr>
              <w:t>0.8</w:t>
            </w:r>
          </w:p>
        </w:tc>
        <w:tc>
          <w:tcPr>
            <w:tcW w:w="677" w:type="pct"/>
            <w:tcBorders>
              <w:top w:val="single" w:sz="4" w:space="0" w:color="auto"/>
              <w:left w:val="single" w:sz="4" w:space="0" w:color="auto"/>
              <w:bottom w:val="single" w:sz="4" w:space="0" w:color="auto"/>
              <w:right w:val="single" w:sz="4" w:space="0" w:color="auto"/>
            </w:tcBorders>
            <w:vAlign w:val="center"/>
          </w:tcPr>
          <w:p w14:paraId="0F313865" w14:textId="77777777" w:rsidR="003E78AB" w:rsidRDefault="00010BF9">
            <w:pPr>
              <w:spacing w:line="360" w:lineRule="exact"/>
              <w:ind w:firstLineChars="0" w:firstLine="0"/>
              <w:jc w:val="center"/>
              <w:rPr>
                <w:bCs/>
                <w:sz w:val="21"/>
                <w:szCs w:val="21"/>
              </w:rPr>
            </w:pPr>
            <w:r>
              <w:rPr>
                <w:bCs/>
                <w:sz w:val="21"/>
                <w:szCs w:val="21"/>
              </w:rPr>
              <w:t>0.34</w:t>
            </w:r>
          </w:p>
        </w:tc>
        <w:tc>
          <w:tcPr>
            <w:tcW w:w="558" w:type="pct"/>
            <w:tcBorders>
              <w:top w:val="single" w:sz="4" w:space="0" w:color="auto"/>
              <w:left w:val="single" w:sz="4" w:space="0" w:color="auto"/>
              <w:bottom w:val="single" w:sz="4" w:space="0" w:color="auto"/>
              <w:right w:val="single" w:sz="4" w:space="0" w:color="auto"/>
            </w:tcBorders>
            <w:vAlign w:val="center"/>
          </w:tcPr>
          <w:p w14:paraId="6E4D434B" w14:textId="77777777" w:rsidR="003E78AB" w:rsidRDefault="00010BF9">
            <w:pPr>
              <w:spacing w:line="360" w:lineRule="exact"/>
              <w:ind w:firstLineChars="0" w:firstLine="0"/>
              <w:jc w:val="center"/>
              <w:rPr>
                <w:bCs/>
                <w:sz w:val="21"/>
                <w:szCs w:val="21"/>
              </w:rPr>
            </w:pPr>
            <w:r>
              <w:rPr>
                <w:bCs/>
                <w:sz w:val="21"/>
                <w:szCs w:val="21"/>
              </w:rPr>
              <w:t>0.5</w:t>
            </w:r>
          </w:p>
        </w:tc>
      </w:tr>
      <w:tr w:rsidR="003E78AB" w14:paraId="165CCD50" w14:textId="77777777">
        <w:trPr>
          <w:trHeight w:val="340"/>
          <w:jc w:val="center"/>
        </w:trPr>
        <w:tc>
          <w:tcPr>
            <w:tcW w:w="922" w:type="pct"/>
            <w:tcBorders>
              <w:top w:val="single" w:sz="4" w:space="0" w:color="auto"/>
              <w:left w:val="single" w:sz="4" w:space="0" w:color="auto"/>
              <w:bottom w:val="single" w:sz="4" w:space="0" w:color="auto"/>
              <w:right w:val="single" w:sz="4" w:space="0" w:color="auto"/>
            </w:tcBorders>
            <w:vAlign w:val="center"/>
          </w:tcPr>
          <w:p w14:paraId="2E2930CE" w14:textId="77777777" w:rsidR="003E78AB" w:rsidRDefault="00010BF9">
            <w:pPr>
              <w:spacing w:line="360" w:lineRule="exact"/>
              <w:ind w:firstLineChars="0" w:firstLine="0"/>
              <w:jc w:val="center"/>
              <w:rPr>
                <w:bCs/>
                <w:sz w:val="21"/>
                <w:szCs w:val="21"/>
              </w:rPr>
            </w:pPr>
            <w:r>
              <w:rPr>
                <w:bCs/>
                <w:sz w:val="21"/>
                <w:szCs w:val="21"/>
              </w:rPr>
              <w:t>15</w:t>
            </w:r>
            <w:r>
              <w:rPr>
                <w:bCs/>
                <w:sz w:val="21"/>
                <w:szCs w:val="21"/>
              </w:rPr>
              <w:t>（</w:t>
            </w:r>
            <w:r>
              <w:rPr>
                <w:bCs/>
                <w:sz w:val="21"/>
                <w:szCs w:val="21"/>
              </w:rPr>
              <w:t>km/h</w:t>
            </w:r>
            <w:r>
              <w:rPr>
                <w:bCs/>
                <w:sz w:val="21"/>
                <w:szCs w:val="21"/>
              </w:rPr>
              <w:t>）</w:t>
            </w:r>
          </w:p>
        </w:tc>
        <w:tc>
          <w:tcPr>
            <w:tcW w:w="765" w:type="pct"/>
            <w:tcBorders>
              <w:top w:val="single" w:sz="4" w:space="0" w:color="auto"/>
              <w:left w:val="single" w:sz="4" w:space="0" w:color="auto"/>
              <w:bottom w:val="single" w:sz="4" w:space="0" w:color="auto"/>
              <w:right w:val="single" w:sz="4" w:space="0" w:color="auto"/>
            </w:tcBorders>
            <w:vAlign w:val="center"/>
          </w:tcPr>
          <w:p w14:paraId="7D42139E" w14:textId="77777777" w:rsidR="003E78AB" w:rsidRDefault="00010BF9">
            <w:pPr>
              <w:spacing w:line="360" w:lineRule="exact"/>
              <w:ind w:firstLineChars="0" w:firstLine="0"/>
              <w:jc w:val="center"/>
              <w:rPr>
                <w:bCs/>
                <w:sz w:val="21"/>
                <w:szCs w:val="21"/>
              </w:rPr>
            </w:pPr>
            <w:r>
              <w:rPr>
                <w:bCs/>
                <w:sz w:val="21"/>
                <w:szCs w:val="21"/>
              </w:rPr>
              <w:t>0.15</w:t>
            </w:r>
          </w:p>
        </w:tc>
        <w:tc>
          <w:tcPr>
            <w:tcW w:w="662" w:type="pct"/>
            <w:tcBorders>
              <w:top w:val="single" w:sz="4" w:space="0" w:color="auto"/>
              <w:left w:val="single" w:sz="4" w:space="0" w:color="auto"/>
              <w:bottom w:val="single" w:sz="4" w:space="0" w:color="auto"/>
              <w:right w:val="single" w:sz="4" w:space="0" w:color="auto"/>
            </w:tcBorders>
            <w:vAlign w:val="center"/>
          </w:tcPr>
          <w:p w14:paraId="6AF78ADC" w14:textId="77777777" w:rsidR="003E78AB" w:rsidRDefault="00010BF9">
            <w:pPr>
              <w:spacing w:line="360" w:lineRule="exact"/>
              <w:ind w:firstLineChars="0" w:firstLine="0"/>
              <w:jc w:val="center"/>
              <w:rPr>
                <w:bCs/>
                <w:sz w:val="21"/>
                <w:szCs w:val="21"/>
              </w:rPr>
            </w:pPr>
            <w:r>
              <w:rPr>
                <w:bCs/>
                <w:sz w:val="21"/>
                <w:szCs w:val="21"/>
              </w:rPr>
              <w:t>0.25</w:t>
            </w:r>
          </w:p>
        </w:tc>
        <w:tc>
          <w:tcPr>
            <w:tcW w:w="714" w:type="pct"/>
            <w:tcBorders>
              <w:top w:val="single" w:sz="4" w:space="0" w:color="auto"/>
              <w:left w:val="single" w:sz="4" w:space="0" w:color="auto"/>
              <w:bottom w:val="single" w:sz="4" w:space="0" w:color="auto"/>
              <w:right w:val="single" w:sz="4" w:space="0" w:color="auto"/>
            </w:tcBorders>
            <w:vAlign w:val="center"/>
          </w:tcPr>
          <w:p w14:paraId="3596FA81" w14:textId="77777777" w:rsidR="003E78AB" w:rsidRDefault="00010BF9">
            <w:pPr>
              <w:spacing w:line="360" w:lineRule="exact"/>
              <w:ind w:firstLineChars="0" w:firstLine="0"/>
              <w:jc w:val="center"/>
              <w:rPr>
                <w:bCs/>
                <w:sz w:val="21"/>
                <w:szCs w:val="21"/>
              </w:rPr>
            </w:pPr>
            <w:r>
              <w:rPr>
                <w:bCs/>
                <w:sz w:val="21"/>
                <w:szCs w:val="21"/>
              </w:rPr>
              <w:t>0.34</w:t>
            </w:r>
          </w:p>
        </w:tc>
        <w:tc>
          <w:tcPr>
            <w:tcW w:w="699" w:type="pct"/>
            <w:tcBorders>
              <w:top w:val="single" w:sz="4" w:space="0" w:color="auto"/>
              <w:left w:val="single" w:sz="4" w:space="0" w:color="auto"/>
              <w:bottom w:val="single" w:sz="4" w:space="0" w:color="auto"/>
              <w:right w:val="single" w:sz="4" w:space="0" w:color="auto"/>
            </w:tcBorders>
            <w:vAlign w:val="center"/>
          </w:tcPr>
          <w:p w14:paraId="7C1505F2" w14:textId="77777777" w:rsidR="003E78AB" w:rsidRDefault="00010BF9">
            <w:pPr>
              <w:spacing w:line="360" w:lineRule="exact"/>
              <w:ind w:firstLineChars="0" w:firstLine="0"/>
              <w:jc w:val="center"/>
              <w:rPr>
                <w:bCs/>
                <w:sz w:val="21"/>
                <w:szCs w:val="21"/>
              </w:rPr>
            </w:pPr>
            <w:r>
              <w:rPr>
                <w:bCs/>
                <w:sz w:val="21"/>
                <w:szCs w:val="21"/>
              </w:rPr>
              <w:t>0.43</w:t>
            </w:r>
          </w:p>
        </w:tc>
        <w:tc>
          <w:tcPr>
            <w:tcW w:w="677" w:type="pct"/>
            <w:tcBorders>
              <w:top w:val="single" w:sz="4" w:space="0" w:color="auto"/>
              <w:left w:val="single" w:sz="4" w:space="0" w:color="auto"/>
              <w:bottom w:val="single" w:sz="4" w:space="0" w:color="auto"/>
              <w:right w:val="single" w:sz="4" w:space="0" w:color="auto"/>
            </w:tcBorders>
            <w:vAlign w:val="center"/>
          </w:tcPr>
          <w:p w14:paraId="4D920202" w14:textId="77777777" w:rsidR="003E78AB" w:rsidRDefault="00010BF9">
            <w:pPr>
              <w:spacing w:line="360" w:lineRule="exact"/>
              <w:ind w:firstLineChars="0" w:firstLine="0"/>
              <w:jc w:val="center"/>
              <w:rPr>
                <w:bCs/>
                <w:sz w:val="21"/>
                <w:szCs w:val="21"/>
              </w:rPr>
            </w:pPr>
            <w:r>
              <w:rPr>
                <w:bCs/>
                <w:sz w:val="21"/>
                <w:szCs w:val="21"/>
              </w:rPr>
              <w:t>0.51</w:t>
            </w:r>
          </w:p>
        </w:tc>
        <w:tc>
          <w:tcPr>
            <w:tcW w:w="558" w:type="pct"/>
            <w:tcBorders>
              <w:top w:val="single" w:sz="4" w:space="0" w:color="auto"/>
              <w:left w:val="single" w:sz="4" w:space="0" w:color="auto"/>
              <w:bottom w:val="single" w:sz="4" w:space="0" w:color="auto"/>
              <w:right w:val="single" w:sz="4" w:space="0" w:color="auto"/>
            </w:tcBorders>
            <w:vAlign w:val="center"/>
          </w:tcPr>
          <w:p w14:paraId="7563F28C" w14:textId="77777777" w:rsidR="003E78AB" w:rsidRDefault="00010BF9">
            <w:pPr>
              <w:spacing w:line="360" w:lineRule="exact"/>
              <w:ind w:firstLineChars="0" w:firstLine="0"/>
              <w:jc w:val="center"/>
              <w:rPr>
                <w:bCs/>
                <w:sz w:val="21"/>
                <w:szCs w:val="21"/>
              </w:rPr>
            </w:pPr>
            <w:r>
              <w:rPr>
                <w:bCs/>
                <w:sz w:val="21"/>
                <w:szCs w:val="21"/>
              </w:rPr>
              <w:t>0.8</w:t>
            </w:r>
          </w:p>
        </w:tc>
      </w:tr>
      <w:tr w:rsidR="003E78AB" w14:paraId="0DF77783" w14:textId="77777777">
        <w:trPr>
          <w:trHeight w:val="340"/>
          <w:jc w:val="center"/>
        </w:trPr>
        <w:tc>
          <w:tcPr>
            <w:tcW w:w="922" w:type="pct"/>
            <w:tcBorders>
              <w:top w:val="single" w:sz="4" w:space="0" w:color="auto"/>
              <w:left w:val="single" w:sz="4" w:space="0" w:color="auto"/>
              <w:bottom w:val="single" w:sz="4" w:space="0" w:color="auto"/>
              <w:right w:val="single" w:sz="4" w:space="0" w:color="auto"/>
            </w:tcBorders>
            <w:vAlign w:val="center"/>
          </w:tcPr>
          <w:p w14:paraId="013D31A2" w14:textId="77777777" w:rsidR="003E78AB" w:rsidRDefault="00010BF9">
            <w:pPr>
              <w:spacing w:line="360" w:lineRule="exact"/>
              <w:ind w:firstLineChars="0" w:firstLine="0"/>
              <w:jc w:val="center"/>
              <w:rPr>
                <w:bCs/>
                <w:sz w:val="21"/>
                <w:szCs w:val="21"/>
              </w:rPr>
            </w:pPr>
            <w:r>
              <w:rPr>
                <w:bCs/>
                <w:sz w:val="21"/>
                <w:szCs w:val="21"/>
              </w:rPr>
              <w:t>20</w:t>
            </w:r>
            <w:r>
              <w:rPr>
                <w:bCs/>
                <w:sz w:val="21"/>
                <w:szCs w:val="21"/>
              </w:rPr>
              <w:t>（</w:t>
            </w:r>
            <w:r>
              <w:rPr>
                <w:bCs/>
                <w:sz w:val="21"/>
                <w:szCs w:val="21"/>
              </w:rPr>
              <w:t>km/h</w:t>
            </w:r>
            <w:r>
              <w:rPr>
                <w:bCs/>
                <w:sz w:val="21"/>
                <w:szCs w:val="21"/>
              </w:rPr>
              <w:t>）</w:t>
            </w:r>
          </w:p>
        </w:tc>
        <w:tc>
          <w:tcPr>
            <w:tcW w:w="765" w:type="pct"/>
            <w:tcBorders>
              <w:top w:val="single" w:sz="4" w:space="0" w:color="auto"/>
              <w:left w:val="single" w:sz="4" w:space="0" w:color="auto"/>
              <w:bottom w:val="single" w:sz="4" w:space="0" w:color="auto"/>
              <w:right w:val="single" w:sz="4" w:space="0" w:color="auto"/>
            </w:tcBorders>
            <w:vAlign w:val="center"/>
          </w:tcPr>
          <w:p w14:paraId="23A5D6D7" w14:textId="77777777" w:rsidR="003E78AB" w:rsidRDefault="00010BF9">
            <w:pPr>
              <w:spacing w:line="360" w:lineRule="exact"/>
              <w:ind w:firstLineChars="0" w:firstLine="0"/>
              <w:jc w:val="center"/>
              <w:rPr>
                <w:bCs/>
                <w:sz w:val="21"/>
                <w:szCs w:val="21"/>
              </w:rPr>
            </w:pPr>
            <w:r>
              <w:rPr>
                <w:bCs/>
                <w:sz w:val="21"/>
                <w:szCs w:val="21"/>
              </w:rPr>
              <w:t>0.25</w:t>
            </w:r>
          </w:p>
        </w:tc>
        <w:tc>
          <w:tcPr>
            <w:tcW w:w="662" w:type="pct"/>
            <w:tcBorders>
              <w:top w:val="single" w:sz="4" w:space="0" w:color="auto"/>
              <w:left w:val="single" w:sz="4" w:space="0" w:color="auto"/>
              <w:bottom w:val="single" w:sz="4" w:space="0" w:color="auto"/>
              <w:right w:val="single" w:sz="4" w:space="0" w:color="auto"/>
            </w:tcBorders>
            <w:vAlign w:val="center"/>
          </w:tcPr>
          <w:p w14:paraId="2C2FB86B" w14:textId="77777777" w:rsidR="003E78AB" w:rsidRDefault="00010BF9">
            <w:pPr>
              <w:spacing w:line="360" w:lineRule="exact"/>
              <w:ind w:firstLineChars="0" w:firstLine="0"/>
              <w:jc w:val="center"/>
              <w:rPr>
                <w:bCs/>
                <w:sz w:val="21"/>
                <w:szCs w:val="21"/>
              </w:rPr>
            </w:pPr>
            <w:r>
              <w:rPr>
                <w:bCs/>
                <w:sz w:val="21"/>
                <w:szCs w:val="21"/>
              </w:rPr>
              <w:t>0.42</w:t>
            </w:r>
          </w:p>
        </w:tc>
        <w:tc>
          <w:tcPr>
            <w:tcW w:w="714" w:type="pct"/>
            <w:tcBorders>
              <w:top w:val="single" w:sz="4" w:space="0" w:color="auto"/>
              <w:left w:val="single" w:sz="4" w:space="0" w:color="auto"/>
              <w:bottom w:val="single" w:sz="4" w:space="0" w:color="auto"/>
              <w:right w:val="single" w:sz="4" w:space="0" w:color="auto"/>
            </w:tcBorders>
            <w:vAlign w:val="center"/>
          </w:tcPr>
          <w:p w14:paraId="3DC2BCB2" w14:textId="77777777" w:rsidR="003E78AB" w:rsidRDefault="00010BF9">
            <w:pPr>
              <w:spacing w:line="360" w:lineRule="exact"/>
              <w:ind w:firstLineChars="0" w:firstLine="0"/>
              <w:jc w:val="center"/>
              <w:rPr>
                <w:bCs/>
                <w:sz w:val="21"/>
                <w:szCs w:val="21"/>
              </w:rPr>
            </w:pPr>
            <w:r>
              <w:rPr>
                <w:bCs/>
                <w:sz w:val="21"/>
                <w:szCs w:val="21"/>
              </w:rPr>
              <w:t>0.58</w:t>
            </w:r>
          </w:p>
        </w:tc>
        <w:tc>
          <w:tcPr>
            <w:tcW w:w="699" w:type="pct"/>
            <w:tcBorders>
              <w:top w:val="single" w:sz="4" w:space="0" w:color="auto"/>
              <w:left w:val="single" w:sz="4" w:space="0" w:color="auto"/>
              <w:bottom w:val="single" w:sz="4" w:space="0" w:color="auto"/>
              <w:right w:val="single" w:sz="4" w:space="0" w:color="auto"/>
            </w:tcBorders>
            <w:vAlign w:val="center"/>
          </w:tcPr>
          <w:p w14:paraId="72CDD65C" w14:textId="77777777" w:rsidR="003E78AB" w:rsidRDefault="00010BF9">
            <w:pPr>
              <w:spacing w:line="360" w:lineRule="exact"/>
              <w:ind w:firstLineChars="0" w:firstLine="0"/>
              <w:jc w:val="center"/>
              <w:rPr>
                <w:bCs/>
                <w:sz w:val="21"/>
                <w:szCs w:val="21"/>
              </w:rPr>
            </w:pPr>
            <w:r>
              <w:rPr>
                <w:bCs/>
                <w:sz w:val="21"/>
                <w:szCs w:val="21"/>
              </w:rPr>
              <w:t>0.72</w:t>
            </w:r>
          </w:p>
        </w:tc>
        <w:tc>
          <w:tcPr>
            <w:tcW w:w="677" w:type="pct"/>
            <w:tcBorders>
              <w:top w:val="single" w:sz="4" w:space="0" w:color="auto"/>
              <w:left w:val="single" w:sz="4" w:space="0" w:color="auto"/>
              <w:bottom w:val="single" w:sz="4" w:space="0" w:color="auto"/>
              <w:right w:val="single" w:sz="4" w:space="0" w:color="auto"/>
            </w:tcBorders>
            <w:vAlign w:val="center"/>
          </w:tcPr>
          <w:p w14:paraId="5DA579E9" w14:textId="77777777" w:rsidR="003E78AB" w:rsidRDefault="00010BF9">
            <w:pPr>
              <w:spacing w:line="360" w:lineRule="exact"/>
              <w:ind w:firstLineChars="0" w:firstLine="0"/>
              <w:jc w:val="center"/>
              <w:rPr>
                <w:bCs/>
                <w:sz w:val="21"/>
                <w:szCs w:val="21"/>
              </w:rPr>
            </w:pPr>
            <w:r>
              <w:rPr>
                <w:bCs/>
                <w:sz w:val="21"/>
                <w:szCs w:val="21"/>
              </w:rPr>
              <w:t>0.85</w:t>
            </w:r>
          </w:p>
        </w:tc>
        <w:tc>
          <w:tcPr>
            <w:tcW w:w="558" w:type="pct"/>
            <w:tcBorders>
              <w:top w:val="single" w:sz="4" w:space="0" w:color="auto"/>
              <w:left w:val="single" w:sz="4" w:space="0" w:color="auto"/>
              <w:bottom w:val="single" w:sz="4" w:space="0" w:color="auto"/>
              <w:right w:val="single" w:sz="4" w:space="0" w:color="auto"/>
            </w:tcBorders>
            <w:vAlign w:val="center"/>
          </w:tcPr>
          <w:p w14:paraId="3042CE77" w14:textId="77777777" w:rsidR="003E78AB" w:rsidRDefault="00010BF9">
            <w:pPr>
              <w:spacing w:line="360" w:lineRule="exact"/>
              <w:ind w:firstLineChars="0" w:firstLine="0"/>
              <w:jc w:val="center"/>
              <w:rPr>
                <w:bCs/>
                <w:sz w:val="21"/>
                <w:szCs w:val="21"/>
              </w:rPr>
            </w:pPr>
            <w:r>
              <w:rPr>
                <w:bCs/>
                <w:sz w:val="21"/>
                <w:szCs w:val="21"/>
              </w:rPr>
              <w:t>1.4</w:t>
            </w:r>
          </w:p>
        </w:tc>
      </w:tr>
    </w:tbl>
    <w:p w14:paraId="69B08C9E" w14:textId="77777777" w:rsidR="003E78AB" w:rsidRDefault="00010BF9">
      <w:pPr>
        <w:ind w:firstLine="480"/>
        <w:rPr>
          <w:bCs/>
        </w:rPr>
      </w:pPr>
      <w:r>
        <w:rPr>
          <w:bCs/>
        </w:rPr>
        <w:t>（</w:t>
      </w:r>
      <w:r>
        <w:rPr>
          <w:bCs/>
        </w:rPr>
        <w:t>2</w:t>
      </w:r>
      <w:r>
        <w:rPr>
          <w:bCs/>
        </w:rPr>
        <w:t>）土石方堆放及裸露地面扬尘</w:t>
      </w:r>
    </w:p>
    <w:p w14:paraId="350F73CC" w14:textId="77777777" w:rsidR="003E78AB" w:rsidRDefault="00010BF9">
      <w:pPr>
        <w:ind w:firstLine="480"/>
        <w:rPr>
          <w:bCs/>
        </w:rPr>
      </w:pPr>
      <w:r>
        <w:rPr>
          <w:bCs/>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14:paraId="2CDA3041" w14:textId="77777777" w:rsidR="003E78AB" w:rsidRDefault="00010BF9">
      <w:pPr>
        <w:ind w:firstLine="480"/>
        <w:rPr>
          <w:i/>
        </w:rPr>
      </w:pPr>
      <m:oMathPara>
        <m:oMath>
          <m:r>
            <w:rPr>
              <w:rFonts w:ascii="Cambria Math" w:hAnsi="Cambria Math"/>
            </w:rPr>
            <m:t>Q</m:t>
          </m:r>
          <m:r>
            <w:rPr>
              <w:rFonts w:ascii="Cambria Math" w:hAnsi="Cambria Math"/>
            </w:rPr>
            <m:t>=2.1</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e>
              </m:d>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1.023</m:t>
              </m:r>
              <m:r>
                <w:rPr>
                  <w:rFonts w:ascii="Cambria Math" w:hAnsi="Cambria Math"/>
                </w:rPr>
                <m:t>W</m:t>
              </m:r>
            </m:sup>
          </m:sSup>
        </m:oMath>
      </m:oMathPara>
    </w:p>
    <w:p w14:paraId="6B397F87" w14:textId="77777777" w:rsidR="003E78AB" w:rsidRDefault="00010BF9">
      <w:pPr>
        <w:ind w:firstLine="480"/>
        <w:rPr>
          <w:bCs/>
        </w:rPr>
      </w:pPr>
      <w:r>
        <w:rPr>
          <w:bCs/>
        </w:rPr>
        <w:t>其中：</w:t>
      </w:r>
      <w:r>
        <w:rPr>
          <w:bCs/>
          <w:i/>
        </w:rPr>
        <w:t>Q</w:t>
      </w:r>
      <w:r>
        <w:rPr>
          <w:bCs/>
        </w:rPr>
        <w:t>——</w:t>
      </w:r>
      <w:r>
        <w:rPr>
          <w:bCs/>
        </w:rPr>
        <w:t>起尘量，</w:t>
      </w:r>
      <w:r>
        <w:rPr>
          <w:bCs/>
        </w:rPr>
        <w:t>kg/t·a</w:t>
      </w:r>
      <w:r>
        <w:rPr>
          <w:bCs/>
        </w:rPr>
        <w:t>；</w:t>
      </w:r>
    </w:p>
    <w:p w14:paraId="17DE3F9A" w14:textId="77777777" w:rsidR="003E78AB" w:rsidRDefault="00010BF9">
      <w:pPr>
        <w:ind w:firstLine="480"/>
        <w:rPr>
          <w:bCs/>
        </w:rPr>
      </w:pPr>
      <w:r>
        <w:rPr>
          <w:bCs/>
        </w:rPr>
        <w:t xml:space="preserve">      </w:t>
      </w:r>
      <w:r>
        <w:rPr>
          <w:bCs/>
          <w:i/>
        </w:rPr>
        <w:t>V</w:t>
      </w:r>
      <w:r>
        <w:rPr>
          <w:bCs/>
          <w:i/>
          <w:vertAlign w:val="subscript"/>
        </w:rPr>
        <w:t>50</w:t>
      </w:r>
      <w:r>
        <w:rPr>
          <w:bCs/>
        </w:rPr>
        <w:t>——</w:t>
      </w:r>
      <w:r>
        <w:rPr>
          <w:bCs/>
        </w:rPr>
        <w:t>距地面</w:t>
      </w:r>
      <w:r>
        <w:rPr>
          <w:bCs/>
        </w:rPr>
        <w:t>50m</w:t>
      </w:r>
      <w:r>
        <w:rPr>
          <w:bCs/>
        </w:rPr>
        <w:t>处风速，</w:t>
      </w:r>
      <w:r>
        <w:rPr>
          <w:bCs/>
        </w:rPr>
        <w:t>m/s</w:t>
      </w:r>
      <w:r>
        <w:rPr>
          <w:bCs/>
        </w:rPr>
        <w:t>；</w:t>
      </w:r>
    </w:p>
    <w:p w14:paraId="443ABD9A" w14:textId="77777777" w:rsidR="003E78AB" w:rsidRDefault="00010BF9">
      <w:pPr>
        <w:ind w:firstLine="480"/>
        <w:rPr>
          <w:bCs/>
        </w:rPr>
      </w:pPr>
      <w:r>
        <w:rPr>
          <w:bCs/>
        </w:rPr>
        <w:t xml:space="preserve">      </w:t>
      </w:r>
      <w:r>
        <w:rPr>
          <w:bCs/>
          <w:i/>
        </w:rPr>
        <w:t>V</w:t>
      </w:r>
      <w:r>
        <w:rPr>
          <w:bCs/>
          <w:i/>
          <w:vertAlign w:val="subscript"/>
        </w:rPr>
        <w:t>0</w:t>
      </w:r>
      <w:r>
        <w:rPr>
          <w:bCs/>
        </w:rPr>
        <w:t>——</w:t>
      </w:r>
      <w:r>
        <w:rPr>
          <w:bCs/>
        </w:rPr>
        <w:t>起尘</w:t>
      </w:r>
      <w:bookmarkStart w:id="250" w:name="_Hlt9132753"/>
      <w:bookmarkEnd w:id="250"/>
      <w:r>
        <w:rPr>
          <w:bCs/>
        </w:rPr>
        <w:t>风速，</w:t>
      </w:r>
      <w:r>
        <w:rPr>
          <w:bCs/>
        </w:rPr>
        <w:t>m/s</w:t>
      </w:r>
      <w:r>
        <w:rPr>
          <w:bCs/>
        </w:rPr>
        <w:t>；</w:t>
      </w:r>
    </w:p>
    <w:p w14:paraId="1C88A1CD" w14:textId="77777777" w:rsidR="003E78AB" w:rsidRDefault="00010BF9">
      <w:pPr>
        <w:ind w:firstLine="480"/>
        <w:rPr>
          <w:bCs/>
        </w:rPr>
      </w:pPr>
      <w:r>
        <w:rPr>
          <w:bCs/>
        </w:rPr>
        <w:t xml:space="preserve">      </w:t>
      </w:r>
      <w:r>
        <w:rPr>
          <w:bCs/>
          <w:i/>
        </w:rPr>
        <w:t>W</w:t>
      </w:r>
      <w:r>
        <w:rPr>
          <w:bCs/>
        </w:rPr>
        <w:t>——</w:t>
      </w:r>
      <w:r>
        <w:rPr>
          <w:bCs/>
        </w:rPr>
        <w:t>尘粒的含水率，</w:t>
      </w:r>
      <w:r>
        <w:rPr>
          <w:bCs/>
        </w:rPr>
        <w:t>%</w:t>
      </w:r>
      <w:r>
        <w:rPr>
          <w:bCs/>
        </w:rPr>
        <w:t>。</w:t>
      </w:r>
    </w:p>
    <w:p w14:paraId="40B3FBAE" w14:textId="77777777" w:rsidR="003E78AB" w:rsidRDefault="00010BF9">
      <w:pPr>
        <w:ind w:firstLine="480"/>
        <w:rPr>
          <w:bCs/>
        </w:rPr>
      </w:pPr>
      <w:r>
        <w:rPr>
          <w:bCs/>
        </w:rPr>
        <w:t>V</w:t>
      </w:r>
      <w:r>
        <w:rPr>
          <w:bCs/>
          <w:vertAlign w:val="subscript"/>
        </w:rPr>
        <w:t>0</w:t>
      </w:r>
      <w:r>
        <w:rPr>
          <w:bCs/>
        </w:rPr>
        <w:t>与粒径和含水率有关，因此，减少露天堆放和保证一定的含水率及减少裸露地面是减少风力起尘的</w:t>
      </w:r>
      <w:r>
        <w:rPr>
          <w:bCs/>
        </w:rPr>
        <w:t>有效手段。</w:t>
      </w:r>
    </w:p>
    <w:p w14:paraId="53CB239E" w14:textId="77777777" w:rsidR="003E78AB" w:rsidRDefault="00010BF9">
      <w:pPr>
        <w:ind w:firstLine="480"/>
        <w:rPr>
          <w:bCs/>
        </w:rPr>
      </w:pPr>
      <w:r>
        <w:rPr>
          <w:bCs/>
        </w:rPr>
        <w:t>由于平整场地、建材装卸等施工作业，建筑施工将引起扬尘污染。扬尘将使周围空气中的</w:t>
      </w:r>
      <w:r>
        <w:rPr>
          <w:bCs/>
        </w:rPr>
        <w:t>TSP</w:t>
      </w:r>
      <w:r>
        <w:rPr>
          <w:bCs/>
        </w:rPr>
        <w:t>和</w:t>
      </w:r>
      <w:r>
        <w:rPr>
          <w:bCs/>
        </w:rPr>
        <w:t>PM</w:t>
      </w:r>
      <w:r>
        <w:rPr>
          <w:bCs/>
          <w:vertAlign w:val="subscript"/>
        </w:rPr>
        <w:t>10</w:t>
      </w:r>
      <w:r>
        <w:rPr>
          <w:bCs/>
        </w:rPr>
        <w:t>浓度升高，扬尘中的</w:t>
      </w:r>
      <w:r>
        <w:rPr>
          <w:bCs/>
        </w:rPr>
        <w:t>TSP</w:t>
      </w:r>
      <w:r>
        <w:rPr>
          <w:bCs/>
        </w:rPr>
        <w:t>对环境影响较大，但其中不含有毒有害的特殊污染物，对施工环境有一定的污染。项目的扬尘主要是由平整场地、取土及地基开挖、建材装卸等施工作业，以及施工形成的裸土面而产生，其次是施工车辆运送材料也可能引起较大的扬尘及道路粉尘。扬尘呈无组织排放，其产生强度与施工方式、气象条件有关，一般风大时产生扬尘较多，影响较大。</w:t>
      </w:r>
    </w:p>
    <w:p w14:paraId="33224355" w14:textId="77777777" w:rsidR="003E78AB" w:rsidRDefault="00010BF9">
      <w:pPr>
        <w:ind w:firstLine="480"/>
        <w:rPr>
          <w:bCs/>
        </w:rPr>
      </w:pPr>
      <w:r>
        <w:rPr>
          <w:bCs/>
        </w:rPr>
        <w:t>施工期由于地表状况的改变，场地裸露，地基挖掘，运输车辆以及局部气流扰动，将</w:t>
      </w:r>
      <w:r>
        <w:rPr>
          <w:bCs/>
        </w:rPr>
        <w:t>产生二次扬尘。根据有关资料，在风速为</w:t>
      </w:r>
      <w:r>
        <w:rPr>
          <w:bCs/>
        </w:rPr>
        <w:t>2.4m/s</w:t>
      </w:r>
      <w:r>
        <w:rPr>
          <w:bCs/>
        </w:rPr>
        <w:t>时，建筑施工扬尘严重，工地内</w:t>
      </w:r>
      <w:r>
        <w:rPr>
          <w:bCs/>
        </w:rPr>
        <w:t>TSP</w:t>
      </w:r>
      <w:r>
        <w:rPr>
          <w:bCs/>
        </w:rPr>
        <w:t>浓度相当于《环境空气质量标准》（</w:t>
      </w:r>
      <w:r>
        <w:rPr>
          <w:bCs/>
        </w:rPr>
        <w:t>GB3095-2012</w:t>
      </w:r>
      <w:r>
        <w:rPr>
          <w:bCs/>
        </w:rPr>
        <w:t>）二级标准大气环境标准的</w:t>
      </w:r>
      <w:r>
        <w:rPr>
          <w:bCs/>
        </w:rPr>
        <w:t>1.4</w:t>
      </w:r>
      <w:r>
        <w:rPr>
          <w:bCs/>
        </w:rPr>
        <w:t>～</w:t>
      </w:r>
      <w:r>
        <w:rPr>
          <w:bCs/>
        </w:rPr>
        <w:t>2.5</w:t>
      </w:r>
      <w:r>
        <w:rPr>
          <w:bCs/>
        </w:rPr>
        <w:t>倍，施工扬尘的影响范围达到下风向</w:t>
      </w:r>
      <w:r>
        <w:rPr>
          <w:bCs/>
        </w:rPr>
        <w:t>150m</w:t>
      </w:r>
      <w:r>
        <w:rPr>
          <w:bCs/>
        </w:rPr>
        <w:t>处。施工及运输车辆引起的扬尘对路边</w:t>
      </w:r>
      <w:r>
        <w:rPr>
          <w:bCs/>
        </w:rPr>
        <w:t>30m</w:t>
      </w:r>
      <w:r>
        <w:rPr>
          <w:bCs/>
        </w:rPr>
        <w:t>范围以内影响较大，路边的</w:t>
      </w:r>
      <w:r>
        <w:rPr>
          <w:bCs/>
        </w:rPr>
        <w:t>TSP</w:t>
      </w:r>
      <w:r>
        <w:rPr>
          <w:bCs/>
        </w:rPr>
        <w:t>浓度可达</w:t>
      </w:r>
      <w:r>
        <w:rPr>
          <w:bCs/>
        </w:rPr>
        <w:t>10mg/m³</w:t>
      </w:r>
      <w:r>
        <w:rPr>
          <w:bCs/>
        </w:rPr>
        <w:t>以上。在整个施工期间，产生扬尘的环节主要有土地平整、建材运输、露天堆放、装卸等过程，如遇干旱无雨季节，遇到大风时，施工扬尘将更集中。</w:t>
      </w:r>
    </w:p>
    <w:p w14:paraId="447DF30A" w14:textId="77777777" w:rsidR="003E78AB" w:rsidRDefault="00010BF9">
      <w:pPr>
        <w:ind w:firstLine="480"/>
        <w:rPr>
          <w:bCs/>
        </w:rPr>
      </w:pPr>
      <w:r>
        <w:rPr>
          <w:bCs/>
        </w:rPr>
        <w:t>（</w:t>
      </w:r>
      <w:r>
        <w:rPr>
          <w:bCs/>
        </w:rPr>
        <w:t>3</w:t>
      </w:r>
      <w:r>
        <w:rPr>
          <w:bCs/>
        </w:rPr>
        <w:t>）机械尾气</w:t>
      </w:r>
    </w:p>
    <w:p w14:paraId="2EE19456" w14:textId="77777777" w:rsidR="003E78AB" w:rsidRDefault="00010BF9">
      <w:pPr>
        <w:ind w:firstLine="480"/>
        <w:rPr>
          <w:bCs/>
        </w:rPr>
      </w:pPr>
      <w:r>
        <w:rPr>
          <w:bCs/>
        </w:rPr>
        <w:t>施工机械一般采用柴油作为燃料，燃油烟气直接在场地内无组织</w:t>
      </w:r>
      <w:r>
        <w:rPr>
          <w:bCs/>
        </w:rPr>
        <w:t>排放，主要污染物包括非甲烷总烃、</w:t>
      </w:r>
      <w:r>
        <w:rPr>
          <w:bCs/>
        </w:rPr>
        <w:t>SO</w:t>
      </w:r>
      <w:r>
        <w:rPr>
          <w:bCs/>
          <w:vertAlign w:val="subscript"/>
        </w:rPr>
        <w:t>2</w:t>
      </w:r>
      <w:r>
        <w:rPr>
          <w:bCs/>
        </w:rPr>
        <w:t>、</w:t>
      </w:r>
      <w:r>
        <w:rPr>
          <w:bCs/>
        </w:rPr>
        <w:t>NO</w:t>
      </w:r>
      <w:r>
        <w:rPr>
          <w:bCs/>
          <w:vertAlign w:val="subscript"/>
        </w:rPr>
        <w:t>2</w:t>
      </w:r>
      <w:r>
        <w:rPr>
          <w:bCs/>
        </w:rPr>
        <w:t>，根据《环境保护实用数据手册》，柴油机尾气排口各污染物排放浓度约为非甲烷总烃＜</w:t>
      </w:r>
      <w:r>
        <w:rPr>
          <w:bCs/>
        </w:rPr>
        <w:t>1800mg/m</w:t>
      </w:r>
      <w:r>
        <w:rPr>
          <w:bCs/>
          <w:vertAlign w:val="superscript"/>
        </w:rPr>
        <w:t>3</w:t>
      </w:r>
      <w:r>
        <w:rPr>
          <w:bCs/>
        </w:rPr>
        <w:t>、</w:t>
      </w:r>
      <w:r>
        <w:rPr>
          <w:bCs/>
        </w:rPr>
        <w:t>SO</w:t>
      </w:r>
      <w:r>
        <w:rPr>
          <w:bCs/>
          <w:vertAlign w:val="subscript"/>
        </w:rPr>
        <w:t>2</w:t>
      </w:r>
      <w:r>
        <w:rPr>
          <w:bCs/>
        </w:rPr>
        <w:t>＜</w:t>
      </w:r>
      <w:r>
        <w:rPr>
          <w:bCs/>
        </w:rPr>
        <w:t>270mg/m</w:t>
      </w:r>
      <w:r>
        <w:rPr>
          <w:bCs/>
          <w:vertAlign w:val="superscript"/>
        </w:rPr>
        <w:t>3</w:t>
      </w:r>
      <w:r>
        <w:rPr>
          <w:bCs/>
        </w:rPr>
        <w:t>、</w:t>
      </w:r>
      <w:r>
        <w:rPr>
          <w:bCs/>
        </w:rPr>
        <w:t>NO</w:t>
      </w:r>
      <w:r>
        <w:rPr>
          <w:bCs/>
          <w:vertAlign w:val="subscript"/>
        </w:rPr>
        <w:t>2</w:t>
      </w:r>
      <w:r>
        <w:rPr>
          <w:bCs/>
        </w:rPr>
        <w:t>＜</w:t>
      </w:r>
      <w:r>
        <w:rPr>
          <w:bCs/>
        </w:rPr>
        <w:t>2500mg/m</w:t>
      </w:r>
      <w:r>
        <w:rPr>
          <w:bCs/>
          <w:vertAlign w:val="superscript"/>
        </w:rPr>
        <w:t>3</w:t>
      </w:r>
      <w:r>
        <w:rPr>
          <w:bCs/>
        </w:rPr>
        <w:t>。</w:t>
      </w:r>
    </w:p>
    <w:p w14:paraId="1F046895" w14:textId="77777777" w:rsidR="003E78AB" w:rsidRDefault="00010BF9">
      <w:pPr>
        <w:ind w:firstLine="480"/>
        <w:rPr>
          <w:bCs/>
        </w:rPr>
      </w:pPr>
      <w:r>
        <w:rPr>
          <w:bCs/>
        </w:rPr>
        <w:t>场地内汽车来往排放的尾气主要污染物包括非甲烷总烃、</w:t>
      </w:r>
      <w:r>
        <w:rPr>
          <w:bCs/>
        </w:rPr>
        <w:t>SO</w:t>
      </w:r>
      <w:r>
        <w:rPr>
          <w:bCs/>
          <w:vertAlign w:val="subscript"/>
        </w:rPr>
        <w:t>2</w:t>
      </w:r>
      <w:r>
        <w:rPr>
          <w:bCs/>
        </w:rPr>
        <w:t>、</w:t>
      </w:r>
      <w:r>
        <w:rPr>
          <w:bCs/>
        </w:rPr>
        <w:t>NO</w:t>
      </w:r>
      <w:r>
        <w:rPr>
          <w:bCs/>
          <w:vertAlign w:val="subscript"/>
        </w:rPr>
        <w:t>2</w:t>
      </w:r>
      <w:r>
        <w:rPr>
          <w:bCs/>
        </w:rPr>
        <w:t>。根据《环境保护实用数据手册》，载重汽车尾气主要污染物排放浓度约为非甲烷总烃</w:t>
      </w:r>
      <w:r>
        <w:rPr>
          <w:bCs/>
        </w:rPr>
        <w:t>4.4g/L</w:t>
      </w:r>
      <w:r>
        <w:rPr>
          <w:bCs/>
        </w:rPr>
        <w:t>、</w:t>
      </w:r>
      <w:r>
        <w:rPr>
          <w:bCs/>
        </w:rPr>
        <w:t>SO</w:t>
      </w:r>
      <w:r>
        <w:rPr>
          <w:bCs/>
          <w:vertAlign w:val="subscript"/>
        </w:rPr>
        <w:t>2</w:t>
      </w:r>
      <w:r>
        <w:rPr>
          <w:bCs/>
        </w:rPr>
        <w:t>3.24g/L</w:t>
      </w:r>
      <w:r>
        <w:rPr>
          <w:bCs/>
        </w:rPr>
        <w:t>、</w:t>
      </w:r>
      <w:r>
        <w:rPr>
          <w:bCs/>
        </w:rPr>
        <w:t>NO</w:t>
      </w:r>
      <w:r>
        <w:rPr>
          <w:bCs/>
          <w:vertAlign w:val="subscript"/>
        </w:rPr>
        <w:t>2</w:t>
      </w:r>
      <w:r>
        <w:rPr>
          <w:bCs/>
        </w:rPr>
        <w:t>44.4g/L</w:t>
      </w:r>
      <w:r>
        <w:rPr>
          <w:bCs/>
        </w:rPr>
        <w:t>。</w:t>
      </w:r>
    </w:p>
    <w:p w14:paraId="072CDE9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3.4.1.2</w:t>
      </w:r>
      <w:r>
        <w:rPr>
          <w:rFonts w:ascii="Times New Roman" w:hAnsi="Times New Roman"/>
        </w:rPr>
        <w:t>水污染源分析</w:t>
      </w:r>
    </w:p>
    <w:p w14:paraId="5F64251D" w14:textId="77777777" w:rsidR="003E78AB" w:rsidRDefault="00010BF9">
      <w:pPr>
        <w:ind w:firstLine="480"/>
      </w:pPr>
      <w:r>
        <w:t>项目施工期间产生的废水主要为施工人员生活污水、施工废水。</w:t>
      </w:r>
    </w:p>
    <w:p w14:paraId="1FF0B6B5" w14:textId="77777777" w:rsidR="003E78AB" w:rsidRDefault="00010BF9">
      <w:pPr>
        <w:ind w:firstLine="480"/>
      </w:pPr>
      <w:r>
        <w:t>（</w:t>
      </w:r>
      <w:r>
        <w:t>1</w:t>
      </w:r>
      <w:r>
        <w:t>）生活污水</w:t>
      </w:r>
    </w:p>
    <w:p w14:paraId="709E0A2E" w14:textId="77777777" w:rsidR="003E78AB" w:rsidRDefault="00010BF9">
      <w:pPr>
        <w:ind w:firstLine="480"/>
      </w:pPr>
      <w:r>
        <w:t>项目施工期施工人员约</w:t>
      </w:r>
      <w:r>
        <w:t>80</w:t>
      </w:r>
      <w:r>
        <w:t>人，施工时间为</w:t>
      </w:r>
      <w:r>
        <w:t>12</w:t>
      </w:r>
      <w:r>
        <w:t>个月，施工人员生活用水量按</w:t>
      </w:r>
      <w:r>
        <w:t>80L/</w:t>
      </w:r>
      <w:r>
        <w:t>人</w:t>
      </w:r>
      <w:r>
        <w:t>·d</w:t>
      </w:r>
      <w:r>
        <w:t>计算，则施工人员用水量为</w:t>
      </w:r>
      <w:r>
        <w:t>6.4m</w:t>
      </w:r>
      <w:r>
        <w:rPr>
          <w:vertAlign w:val="superscript"/>
        </w:rPr>
        <w:t>3</w:t>
      </w:r>
      <w:r>
        <w:t>/d</w:t>
      </w:r>
      <w:r>
        <w:t>（</w:t>
      </w:r>
      <w:r>
        <w:t>2304m</w:t>
      </w:r>
      <w:r>
        <w:rPr>
          <w:vertAlign w:val="superscript"/>
        </w:rPr>
        <w:t>3</w:t>
      </w:r>
      <w:r>
        <w:t>），生活污水的排放量按用水量的</w:t>
      </w:r>
      <w:r>
        <w:t>80%</w:t>
      </w:r>
      <w:r>
        <w:t>计，则施工人员生活污水产生量为</w:t>
      </w:r>
      <w:r>
        <w:t>5.12m</w:t>
      </w:r>
      <w:r>
        <w:rPr>
          <w:vertAlign w:val="superscript"/>
        </w:rPr>
        <w:t>3</w:t>
      </w:r>
      <w:r>
        <w:t>/d</w:t>
      </w:r>
      <w:r>
        <w:t>（</w:t>
      </w:r>
      <w:r>
        <w:t>1843.2m</w:t>
      </w:r>
      <w:r>
        <w:rPr>
          <w:vertAlign w:val="superscript"/>
        </w:rPr>
        <w:t>3</w:t>
      </w:r>
      <w:r>
        <w:t>）。施工期间产生的生活污水通过施工营地建设的排水系统收集后排入园区下水管网。</w:t>
      </w:r>
    </w:p>
    <w:p w14:paraId="79F96B09" w14:textId="77777777" w:rsidR="003E78AB" w:rsidRDefault="00010BF9">
      <w:pPr>
        <w:ind w:firstLine="480"/>
      </w:pPr>
      <w:r>
        <w:t>（</w:t>
      </w:r>
      <w:r>
        <w:t>2</w:t>
      </w:r>
      <w:r>
        <w:t>）施工废水</w:t>
      </w:r>
    </w:p>
    <w:p w14:paraId="708C40DC" w14:textId="77777777" w:rsidR="003E78AB" w:rsidRDefault="00010BF9">
      <w:pPr>
        <w:ind w:firstLine="480"/>
      </w:pPr>
      <w:r>
        <w:t>本项目建设过程采用少量商品混凝土，由商品混凝土公司负责配送，商品混凝土运输车辆不在厂区清洗。因此项目施工废水主要为混凝土结构养护废水以及车辆冲洗废水。施工期间在施工场地设置临时沉淀池用</w:t>
      </w:r>
      <w:r>
        <w:t>于收集施工期间产生的施工废水，废水经沉淀池澄清后可用于施工场地洒水降尘。总体而言，项目施工期产生的施工废水量很小，施工期短，对水环境影响很小。</w:t>
      </w:r>
    </w:p>
    <w:p w14:paraId="4FA13D3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3.4.1.3</w:t>
      </w:r>
      <w:r>
        <w:rPr>
          <w:rFonts w:ascii="Times New Roman" w:hAnsi="Times New Roman"/>
        </w:rPr>
        <w:t>噪声污染源分析</w:t>
      </w:r>
    </w:p>
    <w:p w14:paraId="77B66C93" w14:textId="77777777" w:rsidR="003E78AB" w:rsidRDefault="00010BF9">
      <w:pPr>
        <w:ind w:firstLine="480"/>
      </w:pPr>
      <w:r>
        <w:t>建设期噪声主要来自施工机械噪声、施工作业噪声和运输车辆噪声。施工机械噪声由施工机械所造成，如挖土机械、混凝土搅拌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14:paraId="2C703E70" w14:textId="77777777" w:rsidR="003E78AB" w:rsidRDefault="00010BF9">
      <w:pPr>
        <w:ind w:firstLine="480"/>
      </w:pPr>
      <w:r>
        <w:t>建设期主要施工机械设备</w:t>
      </w:r>
      <w:r>
        <w:t>的噪声源强见下表，当多台机械设备同时作业时，产生噪声叠加，根据类比调查，叠加后的噪声增</w:t>
      </w:r>
      <w:r>
        <w:t>3</w:t>
      </w:r>
      <w:r>
        <w:t>～</w:t>
      </w:r>
      <w:r>
        <w:t>8dB(A)</w:t>
      </w:r>
      <w:r>
        <w:t>，一般不会超过</w:t>
      </w:r>
      <w:r>
        <w:t>10dB(A)</w:t>
      </w:r>
      <w:r>
        <w:t>。</w:t>
      </w:r>
    </w:p>
    <w:p w14:paraId="69180C0D" w14:textId="77777777" w:rsidR="003E78AB" w:rsidRDefault="00010BF9">
      <w:pPr>
        <w:pStyle w:val="a1"/>
      </w:pPr>
      <w:r>
        <w:t>施工期机械及车辆噪声源强</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9"/>
        <w:gridCol w:w="2129"/>
        <w:gridCol w:w="2129"/>
      </w:tblGrid>
      <w:tr w:rsidR="003E78AB" w14:paraId="41734D8A" w14:textId="77777777">
        <w:trPr>
          <w:trHeight w:val="340"/>
          <w:tblHeader/>
          <w:jc w:val="center"/>
        </w:trPr>
        <w:tc>
          <w:tcPr>
            <w:tcW w:w="1249" w:type="pct"/>
            <w:vAlign w:val="center"/>
          </w:tcPr>
          <w:p w14:paraId="5A9345DB" w14:textId="77777777" w:rsidR="003E78AB" w:rsidRDefault="00010BF9">
            <w:pPr>
              <w:spacing w:line="360" w:lineRule="exact"/>
              <w:ind w:firstLineChars="0" w:firstLine="0"/>
              <w:jc w:val="center"/>
              <w:rPr>
                <w:b/>
                <w:sz w:val="21"/>
                <w:szCs w:val="21"/>
              </w:rPr>
            </w:pPr>
            <w:r>
              <w:rPr>
                <w:b/>
                <w:sz w:val="21"/>
                <w:szCs w:val="21"/>
              </w:rPr>
              <w:t>施工机械设备名称</w:t>
            </w:r>
          </w:p>
        </w:tc>
        <w:tc>
          <w:tcPr>
            <w:tcW w:w="1250" w:type="pct"/>
            <w:vAlign w:val="center"/>
          </w:tcPr>
          <w:p w14:paraId="5EEBDB6B" w14:textId="77777777" w:rsidR="003E78AB" w:rsidRDefault="00010BF9">
            <w:pPr>
              <w:spacing w:line="360" w:lineRule="exact"/>
              <w:ind w:firstLineChars="0" w:firstLine="0"/>
              <w:jc w:val="center"/>
              <w:rPr>
                <w:b/>
                <w:sz w:val="21"/>
                <w:szCs w:val="21"/>
              </w:rPr>
            </w:pPr>
            <w:r>
              <w:rPr>
                <w:b/>
                <w:sz w:val="21"/>
                <w:szCs w:val="21"/>
              </w:rPr>
              <w:t>噪声强度</w:t>
            </w:r>
            <w:r>
              <w:rPr>
                <w:b/>
                <w:sz w:val="21"/>
                <w:szCs w:val="21"/>
              </w:rPr>
              <w:t>[dB(A)]</w:t>
            </w:r>
          </w:p>
        </w:tc>
        <w:tc>
          <w:tcPr>
            <w:tcW w:w="1250" w:type="pct"/>
            <w:vAlign w:val="center"/>
          </w:tcPr>
          <w:p w14:paraId="194D7130" w14:textId="77777777" w:rsidR="003E78AB" w:rsidRDefault="00010BF9">
            <w:pPr>
              <w:spacing w:line="360" w:lineRule="exact"/>
              <w:ind w:firstLineChars="0" w:firstLine="0"/>
              <w:jc w:val="center"/>
              <w:rPr>
                <w:b/>
                <w:sz w:val="21"/>
                <w:szCs w:val="21"/>
              </w:rPr>
            </w:pPr>
            <w:r>
              <w:rPr>
                <w:b/>
                <w:sz w:val="21"/>
                <w:szCs w:val="21"/>
              </w:rPr>
              <w:t>运输车辆名称</w:t>
            </w:r>
          </w:p>
        </w:tc>
        <w:tc>
          <w:tcPr>
            <w:tcW w:w="1250" w:type="pct"/>
            <w:vAlign w:val="center"/>
          </w:tcPr>
          <w:p w14:paraId="4AFC05B2" w14:textId="77777777" w:rsidR="003E78AB" w:rsidRDefault="00010BF9">
            <w:pPr>
              <w:spacing w:line="360" w:lineRule="exact"/>
              <w:ind w:firstLineChars="0" w:firstLine="0"/>
              <w:jc w:val="center"/>
              <w:rPr>
                <w:b/>
                <w:sz w:val="21"/>
                <w:szCs w:val="21"/>
              </w:rPr>
            </w:pPr>
            <w:r>
              <w:rPr>
                <w:b/>
                <w:sz w:val="21"/>
                <w:szCs w:val="21"/>
              </w:rPr>
              <w:t>噪声强度</w:t>
            </w:r>
            <w:r>
              <w:rPr>
                <w:b/>
                <w:sz w:val="21"/>
                <w:szCs w:val="21"/>
              </w:rPr>
              <w:t>[dB(A)]</w:t>
            </w:r>
          </w:p>
        </w:tc>
      </w:tr>
      <w:tr w:rsidR="003E78AB" w14:paraId="46F3F0E0" w14:textId="77777777">
        <w:trPr>
          <w:trHeight w:val="340"/>
          <w:jc w:val="center"/>
        </w:trPr>
        <w:tc>
          <w:tcPr>
            <w:tcW w:w="1249" w:type="pct"/>
            <w:vAlign w:val="center"/>
          </w:tcPr>
          <w:p w14:paraId="7F7272BB" w14:textId="77777777" w:rsidR="003E78AB" w:rsidRDefault="00010BF9">
            <w:pPr>
              <w:spacing w:line="360" w:lineRule="exact"/>
              <w:ind w:firstLineChars="0" w:firstLine="0"/>
              <w:jc w:val="center"/>
              <w:rPr>
                <w:bCs/>
                <w:sz w:val="21"/>
                <w:szCs w:val="21"/>
              </w:rPr>
            </w:pPr>
            <w:r>
              <w:rPr>
                <w:bCs/>
                <w:sz w:val="21"/>
                <w:szCs w:val="21"/>
              </w:rPr>
              <w:t>挖掘机</w:t>
            </w:r>
          </w:p>
        </w:tc>
        <w:tc>
          <w:tcPr>
            <w:tcW w:w="1250" w:type="pct"/>
            <w:vAlign w:val="center"/>
          </w:tcPr>
          <w:p w14:paraId="64A87AB3" w14:textId="77777777" w:rsidR="003E78AB" w:rsidRDefault="00010BF9">
            <w:pPr>
              <w:spacing w:line="360" w:lineRule="exact"/>
              <w:ind w:firstLineChars="0" w:firstLine="0"/>
              <w:jc w:val="center"/>
              <w:rPr>
                <w:bCs/>
                <w:sz w:val="21"/>
                <w:szCs w:val="21"/>
              </w:rPr>
            </w:pPr>
            <w:r>
              <w:rPr>
                <w:bCs/>
                <w:sz w:val="21"/>
                <w:szCs w:val="21"/>
              </w:rPr>
              <w:t>85</w:t>
            </w:r>
          </w:p>
        </w:tc>
        <w:tc>
          <w:tcPr>
            <w:tcW w:w="1250" w:type="pct"/>
            <w:vAlign w:val="center"/>
          </w:tcPr>
          <w:p w14:paraId="2E780E27" w14:textId="77777777" w:rsidR="003E78AB" w:rsidRDefault="00010BF9">
            <w:pPr>
              <w:spacing w:line="360" w:lineRule="exact"/>
              <w:ind w:firstLineChars="0" w:firstLine="0"/>
              <w:jc w:val="center"/>
              <w:rPr>
                <w:bCs/>
                <w:sz w:val="21"/>
                <w:szCs w:val="21"/>
              </w:rPr>
            </w:pPr>
            <w:r>
              <w:rPr>
                <w:bCs/>
                <w:sz w:val="21"/>
                <w:szCs w:val="21"/>
              </w:rPr>
              <w:t>自卸汽车</w:t>
            </w:r>
          </w:p>
        </w:tc>
        <w:tc>
          <w:tcPr>
            <w:tcW w:w="1250" w:type="pct"/>
            <w:vAlign w:val="center"/>
          </w:tcPr>
          <w:p w14:paraId="4EC3C1F0" w14:textId="77777777" w:rsidR="003E78AB" w:rsidRDefault="00010BF9">
            <w:pPr>
              <w:spacing w:line="360" w:lineRule="exact"/>
              <w:ind w:firstLineChars="0" w:firstLine="0"/>
              <w:jc w:val="center"/>
              <w:rPr>
                <w:bCs/>
                <w:sz w:val="21"/>
                <w:szCs w:val="21"/>
              </w:rPr>
            </w:pPr>
            <w:r>
              <w:rPr>
                <w:bCs/>
                <w:sz w:val="21"/>
                <w:szCs w:val="21"/>
              </w:rPr>
              <w:t>80</w:t>
            </w:r>
          </w:p>
        </w:tc>
      </w:tr>
      <w:tr w:rsidR="003E78AB" w14:paraId="7EEC63ED" w14:textId="77777777">
        <w:trPr>
          <w:trHeight w:val="340"/>
          <w:jc w:val="center"/>
        </w:trPr>
        <w:tc>
          <w:tcPr>
            <w:tcW w:w="1249" w:type="pct"/>
            <w:vAlign w:val="center"/>
          </w:tcPr>
          <w:p w14:paraId="176C8F4E" w14:textId="77777777" w:rsidR="003E78AB" w:rsidRDefault="00010BF9">
            <w:pPr>
              <w:spacing w:line="360" w:lineRule="exact"/>
              <w:ind w:firstLineChars="0" w:firstLine="0"/>
              <w:jc w:val="center"/>
              <w:rPr>
                <w:bCs/>
                <w:sz w:val="21"/>
                <w:szCs w:val="21"/>
              </w:rPr>
            </w:pPr>
            <w:r>
              <w:rPr>
                <w:bCs/>
                <w:sz w:val="21"/>
                <w:szCs w:val="21"/>
              </w:rPr>
              <w:t>推土机</w:t>
            </w:r>
          </w:p>
        </w:tc>
        <w:tc>
          <w:tcPr>
            <w:tcW w:w="1250" w:type="pct"/>
            <w:vAlign w:val="center"/>
          </w:tcPr>
          <w:p w14:paraId="3AC25337" w14:textId="77777777" w:rsidR="003E78AB" w:rsidRDefault="00010BF9">
            <w:pPr>
              <w:spacing w:line="360" w:lineRule="exact"/>
              <w:ind w:firstLineChars="0" w:firstLine="0"/>
              <w:jc w:val="center"/>
              <w:rPr>
                <w:bCs/>
                <w:sz w:val="21"/>
                <w:szCs w:val="21"/>
              </w:rPr>
            </w:pPr>
            <w:r>
              <w:rPr>
                <w:bCs/>
                <w:sz w:val="21"/>
                <w:szCs w:val="21"/>
              </w:rPr>
              <w:t>85</w:t>
            </w:r>
          </w:p>
        </w:tc>
        <w:tc>
          <w:tcPr>
            <w:tcW w:w="1250" w:type="pct"/>
            <w:vAlign w:val="center"/>
          </w:tcPr>
          <w:p w14:paraId="4BFF4171" w14:textId="77777777" w:rsidR="003E78AB" w:rsidRDefault="00010BF9">
            <w:pPr>
              <w:spacing w:line="360" w:lineRule="exact"/>
              <w:ind w:firstLineChars="0" w:firstLine="0"/>
              <w:jc w:val="center"/>
              <w:rPr>
                <w:bCs/>
                <w:sz w:val="21"/>
                <w:szCs w:val="21"/>
              </w:rPr>
            </w:pPr>
            <w:r>
              <w:rPr>
                <w:bCs/>
                <w:sz w:val="21"/>
                <w:szCs w:val="21"/>
              </w:rPr>
              <w:t>混凝土搅拌运输车</w:t>
            </w:r>
          </w:p>
        </w:tc>
        <w:tc>
          <w:tcPr>
            <w:tcW w:w="1250" w:type="pct"/>
            <w:vAlign w:val="center"/>
          </w:tcPr>
          <w:p w14:paraId="1A7E6B70" w14:textId="77777777" w:rsidR="003E78AB" w:rsidRDefault="00010BF9">
            <w:pPr>
              <w:spacing w:line="360" w:lineRule="exact"/>
              <w:ind w:firstLineChars="0" w:firstLine="0"/>
              <w:jc w:val="center"/>
              <w:rPr>
                <w:bCs/>
                <w:sz w:val="21"/>
                <w:szCs w:val="21"/>
              </w:rPr>
            </w:pPr>
            <w:r>
              <w:rPr>
                <w:bCs/>
                <w:sz w:val="21"/>
                <w:szCs w:val="21"/>
              </w:rPr>
              <w:t>72</w:t>
            </w:r>
          </w:p>
        </w:tc>
      </w:tr>
      <w:tr w:rsidR="003E78AB" w14:paraId="2BB41725" w14:textId="77777777">
        <w:trPr>
          <w:trHeight w:val="340"/>
          <w:jc w:val="center"/>
        </w:trPr>
        <w:tc>
          <w:tcPr>
            <w:tcW w:w="1249" w:type="pct"/>
            <w:vAlign w:val="center"/>
          </w:tcPr>
          <w:p w14:paraId="4DC27CCC" w14:textId="77777777" w:rsidR="003E78AB" w:rsidRDefault="00010BF9">
            <w:pPr>
              <w:spacing w:line="360" w:lineRule="exact"/>
              <w:ind w:firstLineChars="0" w:firstLine="0"/>
              <w:jc w:val="center"/>
              <w:rPr>
                <w:bCs/>
                <w:sz w:val="21"/>
                <w:szCs w:val="21"/>
              </w:rPr>
            </w:pPr>
            <w:r>
              <w:rPr>
                <w:bCs/>
                <w:sz w:val="21"/>
                <w:szCs w:val="21"/>
              </w:rPr>
              <w:t>打夯机</w:t>
            </w:r>
          </w:p>
        </w:tc>
        <w:tc>
          <w:tcPr>
            <w:tcW w:w="1250" w:type="pct"/>
            <w:vAlign w:val="center"/>
          </w:tcPr>
          <w:p w14:paraId="393A8822" w14:textId="77777777" w:rsidR="003E78AB" w:rsidRDefault="00010BF9">
            <w:pPr>
              <w:spacing w:line="360" w:lineRule="exact"/>
              <w:ind w:firstLineChars="0" w:firstLine="0"/>
              <w:jc w:val="center"/>
              <w:rPr>
                <w:bCs/>
                <w:sz w:val="21"/>
                <w:szCs w:val="21"/>
              </w:rPr>
            </w:pPr>
            <w:r>
              <w:rPr>
                <w:bCs/>
                <w:sz w:val="21"/>
                <w:szCs w:val="21"/>
              </w:rPr>
              <w:t>95</w:t>
            </w:r>
          </w:p>
        </w:tc>
        <w:tc>
          <w:tcPr>
            <w:tcW w:w="1250" w:type="pct"/>
            <w:vAlign w:val="center"/>
          </w:tcPr>
          <w:p w14:paraId="15855B05" w14:textId="77777777" w:rsidR="003E78AB" w:rsidRDefault="00010BF9">
            <w:pPr>
              <w:spacing w:line="360" w:lineRule="exact"/>
              <w:ind w:firstLineChars="0" w:firstLine="0"/>
              <w:jc w:val="center"/>
              <w:rPr>
                <w:bCs/>
                <w:sz w:val="21"/>
                <w:szCs w:val="21"/>
              </w:rPr>
            </w:pPr>
            <w:r>
              <w:rPr>
                <w:bCs/>
                <w:sz w:val="21"/>
                <w:szCs w:val="21"/>
              </w:rPr>
              <w:t>装载机</w:t>
            </w:r>
          </w:p>
        </w:tc>
        <w:tc>
          <w:tcPr>
            <w:tcW w:w="1250" w:type="pct"/>
            <w:vAlign w:val="center"/>
          </w:tcPr>
          <w:p w14:paraId="38017A0D" w14:textId="77777777" w:rsidR="003E78AB" w:rsidRDefault="00010BF9">
            <w:pPr>
              <w:spacing w:line="360" w:lineRule="exact"/>
              <w:ind w:firstLineChars="0" w:firstLine="0"/>
              <w:jc w:val="center"/>
              <w:rPr>
                <w:bCs/>
                <w:sz w:val="21"/>
                <w:szCs w:val="21"/>
              </w:rPr>
            </w:pPr>
            <w:r>
              <w:rPr>
                <w:bCs/>
                <w:sz w:val="21"/>
                <w:szCs w:val="21"/>
              </w:rPr>
              <w:t>75</w:t>
            </w:r>
          </w:p>
        </w:tc>
      </w:tr>
      <w:tr w:rsidR="003E78AB" w14:paraId="6FE22094" w14:textId="77777777">
        <w:trPr>
          <w:trHeight w:val="340"/>
          <w:jc w:val="center"/>
        </w:trPr>
        <w:tc>
          <w:tcPr>
            <w:tcW w:w="1249" w:type="pct"/>
            <w:vAlign w:val="center"/>
          </w:tcPr>
          <w:p w14:paraId="36E8B8CA" w14:textId="77777777" w:rsidR="003E78AB" w:rsidRDefault="00010BF9">
            <w:pPr>
              <w:pStyle w:val="00"/>
              <w:spacing w:line="360" w:lineRule="exact"/>
              <w:ind w:firstLineChars="0" w:firstLine="0"/>
              <w:rPr>
                <w:sz w:val="21"/>
                <w:szCs w:val="21"/>
              </w:rPr>
            </w:pPr>
            <w:r>
              <w:rPr>
                <w:sz w:val="21"/>
                <w:szCs w:val="21"/>
              </w:rPr>
              <w:t>振捣棒</w:t>
            </w:r>
            <w:r>
              <w:rPr>
                <w:sz w:val="21"/>
                <w:szCs w:val="21"/>
              </w:rPr>
              <w:t>50mm</w:t>
            </w:r>
          </w:p>
        </w:tc>
        <w:tc>
          <w:tcPr>
            <w:tcW w:w="1250" w:type="pct"/>
            <w:vAlign w:val="center"/>
          </w:tcPr>
          <w:p w14:paraId="1905E8C3" w14:textId="77777777" w:rsidR="003E78AB" w:rsidRDefault="00010BF9">
            <w:pPr>
              <w:pStyle w:val="00"/>
              <w:spacing w:line="360" w:lineRule="exact"/>
              <w:ind w:firstLineChars="0" w:firstLine="0"/>
              <w:rPr>
                <w:sz w:val="21"/>
                <w:szCs w:val="21"/>
              </w:rPr>
            </w:pPr>
            <w:r>
              <w:rPr>
                <w:sz w:val="21"/>
                <w:szCs w:val="21"/>
              </w:rPr>
              <w:t>87</w:t>
            </w:r>
          </w:p>
        </w:tc>
        <w:tc>
          <w:tcPr>
            <w:tcW w:w="1250" w:type="pct"/>
            <w:vAlign w:val="center"/>
          </w:tcPr>
          <w:p w14:paraId="12BF5058" w14:textId="77777777" w:rsidR="003E78AB" w:rsidRDefault="00010BF9">
            <w:pPr>
              <w:spacing w:line="360" w:lineRule="exact"/>
              <w:ind w:firstLineChars="0" w:firstLine="0"/>
              <w:jc w:val="center"/>
              <w:rPr>
                <w:bCs/>
                <w:sz w:val="21"/>
                <w:szCs w:val="21"/>
              </w:rPr>
            </w:pPr>
            <w:r>
              <w:rPr>
                <w:bCs/>
                <w:sz w:val="21"/>
                <w:szCs w:val="21"/>
              </w:rPr>
              <w:t>吊车</w:t>
            </w:r>
          </w:p>
        </w:tc>
        <w:tc>
          <w:tcPr>
            <w:tcW w:w="1250" w:type="pct"/>
            <w:vAlign w:val="center"/>
          </w:tcPr>
          <w:p w14:paraId="5079E8BB" w14:textId="77777777" w:rsidR="003E78AB" w:rsidRDefault="00010BF9">
            <w:pPr>
              <w:spacing w:line="360" w:lineRule="exact"/>
              <w:ind w:firstLineChars="0" w:firstLine="0"/>
              <w:jc w:val="center"/>
              <w:rPr>
                <w:bCs/>
                <w:sz w:val="21"/>
                <w:szCs w:val="21"/>
              </w:rPr>
            </w:pPr>
            <w:r>
              <w:rPr>
                <w:bCs/>
                <w:sz w:val="21"/>
                <w:szCs w:val="21"/>
              </w:rPr>
              <w:t>85</w:t>
            </w:r>
          </w:p>
        </w:tc>
      </w:tr>
      <w:tr w:rsidR="003E78AB" w14:paraId="35C3B8B3" w14:textId="77777777">
        <w:trPr>
          <w:trHeight w:val="340"/>
          <w:jc w:val="center"/>
        </w:trPr>
        <w:tc>
          <w:tcPr>
            <w:tcW w:w="1249" w:type="pct"/>
            <w:vAlign w:val="center"/>
          </w:tcPr>
          <w:p w14:paraId="5108B504" w14:textId="77777777" w:rsidR="003E78AB" w:rsidRDefault="00010BF9">
            <w:pPr>
              <w:pStyle w:val="00"/>
              <w:spacing w:line="360" w:lineRule="exact"/>
              <w:ind w:firstLineChars="0" w:firstLine="0"/>
              <w:rPr>
                <w:sz w:val="21"/>
                <w:szCs w:val="21"/>
              </w:rPr>
            </w:pPr>
            <w:r>
              <w:rPr>
                <w:sz w:val="21"/>
                <w:szCs w:val="21"/>
              </w:rPr>
              <w:t>平板式振动器</w:t>
            </w:r>
          </w:p>
        </w:tc>
        <w:tc>
          <w:tcPr>
            <w:tcW w:w="1250" w:type="pct"/>
            <w:vAlign w:val="center"/>
          </w:tcPr>
          <w:p w14:paraId="56153FFB" w14:textId="77777777" w:rsidR="003E78AB" w:rsidRDefault="00010BF9">
            <w:pPr>
              <w:pStyle w:val="00"/>
              <w:spacing w:line="360" w:lineRule="exact"/>
              <w:ind w:firstLineChars="0" w:firstLine="0"/>
              <w:rPr>
                <w:sz w:val="21"/>
                <w:szCs w:val="21"/>
              </w:rPr>
            </w:pPr>
            <w:r>
              <w:rPr>
                <w:sz w:val="21"/>
                <w:szCs w:val="21"/>
              </w:rPr>
              <w:t>85</w:t>
            </w:r>
          </w:p>
        </w:tc>
        <w:tc>
          <w:tcPr>
            <w:tcW w:w="1250" w:type="pct"/>
            <w:vAlign w:val="center"/>
          </w:tcPr>
          <w:p w14:paraId="08445EBF" w14:textId="77777777" w:rsidR="003E78AB" w:rsidRDefault="003E78AB">
            <w:pPr>
              <w:spacing w:line="360" w:lineRule="exact"/>
              <w:ind w:firstLineChars="0" w:firstLine="0"/>
              <w:jc w:val="center"/>
              <w:rPr>
                <w:sz w:val="21"/>
                <w:szCs w:val="21"/>
              </w:rPr>
            </w:pPr>
          </w:p>
        </w:tc>
        <w:tc>
          <w:tcPr>
            <w:tcW w:w="1250" w:type="pct"/>
            <w:vAlign w:val="center"/>
          </w:tcPr>
          <w:p w14:paraId="41F381B4" w14:textId="77777777" w:rsidR="003E78AB" w:rsidRDefault="003E78AB">
            <w:pPr>
              <w:spacing w:line="360" w:lineRule="exact"/>
              <w:ind w:firstLineChars="0" w:firstLine="0"/>
              <w:jc w:val="center"/>
              <w:rPr>
                <w:sz w:val="21"/>
                <w:szCs w:val="21"/>
              </w:rPr>
            </w:pPr>
          </w:p>
        </w:tc>
      </w:tr>
    </w:tbl>
    <w:p w14:paraId="30916A7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3.4.1.4</w:t>
      </w:r>
      <w:r>
        <w:rPr>
          <w:rFonts w:ascii="Times New Roman" w:hAnsi="Times New Roman"/>
        </w:rPr>
        <w:t>固体废物</w:t>
      </w:r>
      <w:r>
        <w:rPr>
          <w:rFonts w:ascii="Times New Roman" w:hAnsi="Times New Roman" w:hint="eastAsia"/>
        </w:rPr>
        <w:t>污染源分析</w:t>
      </w:r>
    </w:p>
    <w:p w14:paraId="55AF37D8" w14:textId="77777777" w:rsidR="003E78AB" w:rsidRDefault="00010BF9">
      <w:pPr>
        <w:ind w:firstLine="480"/>
      </w:pPr>
      <w:r>
        <w:t>施工期产生的固体废物主要有废弃建筑垃圾以及施工活动产生的弃土石方和施工生活垃圾。建筑垃圾主要成分以废混凝土、废砖瓦、废木料、废钢材等为主。弃土和建筑垃圾若处置不当，则会造成占用土地、破坏景观、引发粉尘等二次污染以及引发水土流失不利影响，因此，项目必须采取相应的处置措施。</w:t>
      </w:r>
    </w:p>
    <w:p w14:paraId="3DFE2BAA" w14:textId="77777777" w:rsidR="003E78AB" w:rsidRDefault="00010BF9">
      <w:pPr>
        <w:ind w:firstLine="480"/>
      </w:pPr>
      <w:r>
        <w:t>（</w:t>
      </w:r>
      <w:r>
        <w:t>1</w:t>
      </w:r>
      <w:r>
        <w:t>）建筑垃圾</w:t>
      </w:r>
    </w:p>
    <w:p w14:paraId="5ADDFC90" w14:textId="77777777" w:rsidR="003E78AB" w:rsidRDefault="00010BF9">
      <w:pPr>
        <w:ind w:firstLine="480"/>
      </w:pPr>
      <w:r>
        <w:t>施工期建筑垃圾主要包括施工过程中产生废钢筋、各种废钢配件、金属管线废料、各种装饰材料的包装箱、包装袋等废弃物。</w:t>
      </w:r>
      <w:r>
        <w:rPr>
          <w:iCs/>
        </w:rPr>
        <w:t>根据调查相关资料，建筑垃圾按每</w:t>
      </w:r>
      <w:r>
        <w:rPr>
          <w:iCs/>
        </w:rPr>
        <w:t>100m</w:t>
      </w:r>
      <w:r>
        <w:rPr>
          <w:iCs/>
          <w:vertAlign w:val="superscript"/>
        </w:rPr>
        <w:t>2</w:t>
      </w:r>
      <w:r>
        <w:rPr>
          <w:iCs/>
        </w:rPr>
        <w:t>建筑面积产生</w:t>
      </w:r>
      <w:r>
        <w:rPr>
          <w:iCs/>
        </w:rPr>
        <w:t>1t</w:t>
      </w:r>
      <w:r>
        <w:rPr>
          <w:iCs/>
        </w:rPr>
        <w:t>计算，本项目</w:t>
      </w:r>
      <w:r>
        <w:rPr>
          <w:iCs/>
          <w:lang w:bidi="en-US"/>
        </w:rPr>
        <w:t>总建筑面积为</w:t>
      </w:r>
      <w:r>
        <w:rPr>
          <w:iCs/>
          <w:lang w:bidi="en-US"/>
        </w:rPr>
        <w:t>90000m</w:t>
      </w:r>
      <w:r>
        <w:rPr>
          <w:iCs/>
          <w:vertAlign w:val="superscript"/>
          <w:lang w:bidi="en-US"/>
        </w:rPr>
        <w:t>2</w:t>
      </w:r>
      <w:r>
        <w:rPr>
          <w:iCs/>
        </w:rPr>
        <w:t>，产生建筑垃圾约为</w:t>
      </w:r>
      <w:r>
        <w:rPr>
          <w:iCs/>
        </w:rPr>
        <w:t>9</w:t>
      </w:r>
      <w:r>
        <w:rPr>
          <w:iCs/>
        </w:rPr>
        <w:t>00t</w:t>
      </w:r>
      <w:r>
        <w:rPr>
          <w:iCs/>
        </w:rPr>
        <w:t>。项目施工中产生的建筑垃圾采用分类收集的方式进行收集，可再生利用部分收集后出售，不可再生部分收集后送往伊州区城北建筑垃圾填埋场处置。</w:t>
      </w:r>
    </w:p>
    <w:p w14:paraId="112EF80F" w14:textId="77777777" w:rsidR="003E78AB" w:rsidRDefault="00010BF9">
      <w:pPr>
        <w:ind w:firstLine="480"/>
      </w:pPr>
      <w:r>
        <w:t>（</w:t>
      </w:r>
      <w:r>
        <w:t>2</w:t>
      </w:r>
      <w:r>
        <w:t>）土石方</w:t>
      </w:r>
    </w:p>
    <w:p w14:paraId="51EEFF76" w14:textId="77777777" w:rsidR="003E78AB" w:rsidRDefault="00010BF9">
      <w:pPr>
        <w:ind w:firstLine="480"/>
      </w:pPr>
      <w:r>
        <w:t>项目在建设过程会产生土石方，根据项目区实际勘查及设计计算，项目区土地较平整，产生的挖方均在场区内回填使用，无废弃土石方外运处置。</w:t>
      </w:r>
    </w:p>
    <w:p w14:paraId="58CB2B8E" w14:textId="77777777" w:rsidR="003E78AB" w:rsidRDefault="00010BF9">
      <w:pPr>
        <w:ind w:firstLine="480"/>
      </w:pPr>
      <w:r>
        <w:t>（</w:t>
      </w:r>
      <w:r>
        <w:t>3</w:t>
      </w:r>
      <w:r>
        <w:t>）生活垃圾</w:t>
      </w:r>
    </w:p>
    <w:p w14:paraId="0552D0B0" w14:textId="77777777" w:rsidR="003E78AB" w:rsidRDefault="00010BF9">
      <w:pPr>
        <w:ind w:firstLine="480"/>
      </w:pPr>
      <w:r>
        <w:t>项目施工人员均依托厂区现有生活设施居住，预计施工时平均人员为</w:t>
      </w:r>
      <w:r>
        <w:t>80</w:t>
      </w:r>
      <w:r>
        <w:t>人，施工时间为</w:t>
      </w:r>
      <w:r>
        <w:t>12</w:t>
      </w:r>
      <w:r>
        <w:t>个月。施工人员按每人每天产生垃圾量</w:t>
      </w:r>
      <w:r>
        <w:t>1kg</w:t>
      </w:r>
      <w:r>
        <w:t>计算，则工程施工期产生的生活垃圾约为</w:t>
      </w:r>
      <w:r>
        <w:t>28.8t</w:t>
      </w:r>
      <w:r>
        <w:t>，经施工营地设置的垃圾箱收集后由当地环卫部门</w:t>
      </w:r>
      <w:r>
        <w:t>统一清运至哈密市生活垃圾填埋场处置。</w:t>
      </w:r>
    </w:p>
    <w:p w14:paraId="551CAB34" w14:textId="77777777" w:rsidR="003E78AB" w:rsidRDefault="00010BF9">
      <w:pPr>
        <w:pStyle w:val="31"/>
        <w:keepNext w:val="0"/>
        <w:keepLines w:val="0"/>
        <w:topLinePunct/>
        <w:spacing w:before="156"/>
      </w:pPr>
      <w:r>
        <w:t>3.4.2</w:t>
      </w:r>
      <w:r>
        <w:t>运营期污染源及污染物分析</w:t>
      </w:r>
    </w:p>
    <w:p w14:paraId="47E0DDB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3.4.2.1</w:t>
      </w:r>
      <w:r>
        <w:rPr>
          <w:rFonts w:ascii="Times New Roman" w:hAnsi="Times New Roman"/>
        </w:rPr>
        <w:t>废气污染源及污染物分析</w:t>
      </w:r>
    </w:p>
    <w:p w14:paraId="18A721BB" w14:textId="77777777" w:rsidR="003E78AB" w:rsidRDefault="00010BF9">
      <w:pPr>
        <w:ind w:firstLine="480"/>
      </w:pPr>
      <w:r>
        <w:rPr>
          <w:rFonts w:hint="eastAsia"/>
        </w:rPr>
        <w:t>本项目产生的废气主要有拆包投料废气、工艺废气、储罐废气、锅炉废气和实验室废气等。其中投料废气包含</w:t>
      </w:r>
      <w:r>
        <w:rPr>
          <w:rFonts w:hint="eastAsia"/>
        </w:rPr>
        <w:t>G1-1</w:t>
      </w:r>
      <w:r>
        <w:rPr>
          <w:rFonts w:hint="eastAsia"/>
        </w:rPr>
        <w:t>五氧化二钒拆包投料废气、</w:t>
      </w:r>
      <w:r>
        <w:rPr>
          <w:rFonts w:hint="eastAsia"/>
        </w:rPr>
        <w:t>G1-2</w:t>
      </w:r>
      <w:r>
        <w:rPr>
          <w:rFonts w:hint="eastAsia"/>
        </w:rPr>
        <w:t>草酸拆包投料废气，生产工艺废气包括</w:t>
      </w:r>
      <w:r>
        <w:rPr>
          <w:rFonts w:hint="eastAsia"/>
        </w:rPr>
        <w:t>G2-1</w:t>
      </w:r>
      <w:r>
        <w:rPr>
          <w:rFonts w:hint="eastAsia"/>
        </w:rPr>
        <w:t>硫酸稀释过程产生的硫酸雾、</w:t>
      </w:r>
      <w:r>
        <w:rPr>
          <w:rFonts w:hint="eastAsia"/>
        </w:rPr>
        <w:t>G2-2</w:t>
      </w:r>
      <w:r>
        <w:rPr>
          <w:rFonts w:hint="eastAsia"/>
        </w:rPr>
        <w:t>溶解还原釜搅拌和反应过程产生的废气、</w:t>
      </w:r>
      <w:r>
        <w:rPr>
          <w:rFonts w:hint="eastAsia"/>
        </w:rPr>
        <w:t>G2-3</w:t>
      </w:r>
      <w:r>
        <w:rPr>
          <w:rFonts w:hint="eastAsia"/>
        </w:rPr>
        <w:t>电解投料和电解过程产生的酸性废气、</w:t>
      </w:r>
      <w:r>
        <w:rPr>
          <w:rFonts w:hint="eastAsia"/>
        </w:rPr>
        <w:t>G2-4</w:t>
      </w:r>
      <w:r>
        <w:rPr>
          <w:rFonts w:hint="eastAsia"/>
        </w:rPr>
        <w:t>调制定容过程产生的酸性废气、</w:t>
      </w:r>
      <w:r>
        <w:rPr>
          <w:rFonts w:hint="eastAsia"/>
        </w:rPr>
        <w:t>G2-5</w:t>
      </w:r>
      <w:r>
        <w:rPr>
          <w:rFonts w:hint="eastAsia"/>
        </w:rPr>
        <w:t>成品装卸过程产生的酸性废气，</w:t>
      </w:r>
      <w:r>
        <w:rPr>
          <w:rFonts w:hint="eastAsia"/>
        </w:rPr>
        <w:t>G3</w:t>
      </w:r>
      <w:r>
        <w:rPr>
          <w:rFonts w:hint="eastAsia"/>
        </w:rPr>
        <w:t>液体库硫酸和磷酸储罐物料储罐装卸呼</w:t>
      </w:r>
      <w:r>
        <w:rPr>
          <w:rFonts w:hint="eastAsia"/>
        </w:rPr>
        <w:t>吸废气，</w:t>
      </w:r>
      <w:r>
        <w:rPr>
          <w:rFonts w:hint="eastAsia"/>
        </w:rPr>
        <w:t>G4-1</w:t>
      </w:r>
      <w:r>
        <w:rPr>
          <w:rFonts w:hint="eastAsia"/>
        </w:rPr>
        <w:t>天然气锅炉燃烧烟气，</w:t>
      </w:r>
      <w:r>
        <w:rPr>
          <w:rFonts w:hint="eastAsia"/>
        </w:rPr>
        <w:t>G5-1</w:t>
      </w:r>
      <w:r>
        <w:rPr>
          <w:rFonts w:hint="eastAsia"/>
        </w:rPr>
        <w:t>实验废气。</w:t>
      </w:r>
    </w:p>
    <w:p w14:paraId="5EC5D1C2" w14:textId="77777777" w:rsidR="003E78AB" w:rsidRDefault="00010BF9">
      <w:pPr>
        <w:ind w:firstLine="480"/>
      </w:pPr>
      <w:r>
        <w:rPr>
          <w:rFonts w:hint="eastAsia"/>
        </w:rPr>
        <w:t>本项目生产全钒液流电池电解液，经查询，国内暂无同类型项目竣工环保验收数据可参照，且因技术工艺涉密未公开污染物核算取值依据，因此，本次评价按照《关于发布计算污染物排放量的排污系数和物料衡算方法的公告》（环境保护部公告</w:t>
      </w:r>
      <w:r>
        <w:rPr>
          <w:rFonts w:hint="eastAsia"/>
        </w:rPr>
        <w:t>2017</w:t>
      </w:r>
      <w:r>
        <w:rPr>
          <w:rFonts w:hint="eastAsia"/>
        </w:rPr>
        <w:t>年第</w:t>
      </w:r>
      <w:r>
        <w:rPr>
          <w:rFonts w:hint="eastAsia"/>
        </w:rPr>
        <w:t>81</w:t>
      </w:r>
      <w:r>
        <w:rPr>
          <w:rFonts w:hint="eastAsia"/>
        </w:rPr>
        <w:t>号）及《污染源源强核算技术指南</w:t>
      </w:r>
      <w:r>
        <w:rPr>
          <w:rFonts w:hint="eastAsia"/>
        </w:rPr>
        <w:t xml:space="preserve"> </w:t>
      </w:r>
      <w:r>
        <w:rPr>
          <w:rFonts w:hint="eastAsia"/>
        </w:rPr>
        <w:t>准则》进行核算本项目污染源产生情况，本次评价采用物料衡算法计算本工程废气源强。</w:t>
      </w:r>
    </w:p>
    <w:p w14:paraId="660CDC9C" w14:textId="77777777" w:rsidR="003E78AB" w:rsidRDefault="00010BF9">
      <w:pPr>
        <w:pStyle w:val="a1"/>
      </w:pPr>
      <w:r>
        <w:t>废气产排污核算依据</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4"/>
        <w:gridCol w:w="1972"/>
        <w:gridCol w:w="1657"/>
        <w:gridCol w:w="1246"/>
        <w:gridCol w:w="2618"/>
      </w:tblGrid>
      <w:tr w:rsidR="003E78AB" w14:paraId="7E7A20DF" w14:textId="77777777">
        <w:trPr>
          <w:trHeight w:val="90"/>
          <w:tblHeader/>
          <w:jc w:val="center"/>
        </w:trPr>
        <w:tc>
          <w:tcPr>
            <w:tcW w:w="1684" w:type="pct"/>
            <w:gridSpan w:val="2"/>
            <w:vAlign w:val="center"/>
          </w:tcPr>
          <w:p w14:paraId="16784469" w14:textId="77777777" w:rsidR="003E78AB" w:rsidRDefault="00010BF9">
            <w:pPr>
              <w:pStyle w:val="aff4"/>
              <w:rPr>
                <w:rFonts w:hint="default"/>
                <w:b/>
                <w:bCs/>
              </w:rPr>
            </w:pPr>
            <w:r>
              <w:rPr>
                <w:rFonts w:hint="default"/>
                <w:b/>
                <w:bCs/>
              </w:rPr>
              <w:t>产污环节</w:t>
            </w:r>
          </w:p>
        </w:tc>
        <w:tc>
          <w:tcPr>
            <w:tcW w:w="995" w:type="pct"/>
            <w:vAlign w:val="center"/>
          </w:tcPr>
          <w:p w14:paraId="1EE52DAA" w14:textId="77777777" w:rsidR="003E78AB" w:rsidRDefault="00010BF9">
            <w:pPr>
              <w:pStyle w:val="aff4"/>
              <w:rPr>
                <w:rFonts w:hint="default"/>
                <w:b/>
                <w:bCs/>
              </w:rPr>
            </w:pPr>
            <w:r>
              <w:rPr>
                <w:rFonts w:hint="default"/>
                <w:b/>
                <w:bCs/>
              </w:rPr>
              <w:t>污染物</w:t>
            </w:r>
          </w:p>
        </w:tc>
        <w:tc>
          <w:tcPr>
            <w:tcW w:w="748" w:type="pct"/>
            <w:vAlign w:val="center"/>
          </w:tcPr>
          <w:p w14:paraId="59158B1A" w14:textId="77777777" w:rsidR="003E78AB" w:rsidRDefault="00010BF9">
            <w:pPr>
              <w:pStyle w:val="aff4"/>
              <w:rPr>
                <w:rFonts w:hint="default"/>
                <w:b/>
                <w:bCs/>
              </w:rPr>
            </w:pPr>
            <w:r>
              <w:rPr>
                <w:rFonts w:hint="default"/>
                <w:b/>
                <w:bCs/>
              </w:rPr>
              <w:t>核算方法</w:t>
            </w:r>
          </w:p>
        </w:tc>
        <w:tc>
          <w:tcPr>
            <w:tcW w:w="1571" w:type="pct"/>
            <w:vAlign w:val="center"/>
          </w:tcPr>
          <w:p w14:paraId="2A865510" w14:textId="77777777" w:rsidR="003E78AB" w:rsidRDefault="00010BF9">
            <w:pPr>
              <w:pStyle w:val="aff4"/>
              <w:rPr>
                <w:rFonts w:hint="default"/>
                <w:b/>
                <w:bCs/>
              </w:rPr>
            </w:pPr>
            <w:r>
              <w:rPr>
                <w:b/>
                <w:bCs/>
              </w:rPr>
              <w:t>取值方法</w:t>
            </w:r>
          </w:p>
        </w:tc>
      </w:tr>
      <w:tr w:rsidR="003E78AB" w14:paraId="42ECE042" w14:textId="77777777">
        <w:trPr>
          <w:jc w:val="center"/>
        </w:trPr>
        <w:tc>
          <w:tcPr>
            <w:tcW w:w="500" w:type="pct"/>
            <w:vMerge w:val="restart"/>
            <w:vAlign w:val="center"/>
          </w:tcPr>
          <w:p w14:paraId="2E4C17F4" w14:textId="77777777" w:rsidR="003E78AB" w:rsidRDefault="00010BF9">
            <w:pPr>
              <w:spacing w:line="360" w:lineRule="exact"/>
              <w:ind w:firstLineChars="0" w:firstLine="0"/>
              <w:jc w:val="center"/>
              <w:textAlignment w:val="center"/>
            </w:pPr>
            <w:r>
              <w:rPr>
                <w:spacing w:val="-4"/>
                <w:sz w:val="21"/>
                <w:szCs w:val="21"/>
              </w:rPr>
              <w:t>投料废气</w:t>
            </w:r>
          </w:p>
        </w:tc>
        <w:tc>
          <w:tcPr>
            <w:tcW w:w="1184" w:type="pct"/>
            <w:vAlign w:val="center"/>
          </w:tcPr>
          <w:p w14:paraId="383FB8BE" w14:textId="77777777" w:rsidR="003E78AB" w:rsidRDefault="00010BF9">
            <w:pPr>
              <w:spacing w:line="360" w:lineRule="exact"/>
              <w:ind w:firstLineChars="0" w:firstLine="0"/>
              <w:jc w:val="center"/>
              <w:textAlignment w:val="center"/>
              <w:rPr>
                <w:kern w:val="2"/>
                <w:sz w:val="21"/>
              </w:rPr>
            </w:pPr>
            <w:r>
              <w:rPr>
                <w:spacing w:val="-4"/>
                <w:sz w:val="21"/>
                <w:szCs w:val="21"/>
              </w:rPr>
              <w:t>G1-1</w:t>
            </w:r>
            <w:r>
              <w:rPr>
                <w:spacing w:val="-4"/>
                <w:sz w:val="21"/>
                <w:szCs w:val="21"/>
              </w:rPr>
              <w:t>五氧化二钒</w:t>
            </w:r>
            <w:r>
              <w:rPr>
                <w:rFonts w:hint="eastAsia"/>
                <w:spacing w:val="-4"/>
                <w:sz w:val="21"/>
                <w:szCs w:val="21"/>
              </w:rPr>
              <w:t>拆包</w:t>
            </w:r>
            <w:r>
              <w:rPr>
                <w:spacing w:val="-4"/>
                <w:sz w:val="21"/>
                <w:szCs w:val="21"/>
              </w:rPr>
              <w:t>投料</w:t>
            </w:r>
            <w:r>
              <w:rPr>
                <w:rFonts w:hint="eastAsia"/>
                <w:spacing w:val="-4"/>
                <w:sz w:val="21"/>
                <w:szCs w:val="21"/>
              </w:rPr>
              <w:t>粉尘</w:t>
            </w:r>
          </w:p>
        </w:tc>
        <w:tc>
          <w:tcPr>
            <w:tcW w:w="995" w:type="pct"/>
            <w:vAlign w:val="center"/>
          </w:tcPr>
          <w:p w14:paraId="7F9F2756" w14:textId="77777777" w:rsidR="003E78AB" w:rsidRDefault="00010BF9">
            <w:pPr>
              <w:spacing w:line="360" w:lineRule="exact"/>
              <w:ind w:firstLineChars="0" w:firstLine="0"/>
              <w:jc w:val="center"/>
              <w:textAlignment w:val="center"/>
            </w:pPr>
            <w:r>
              <w:rPr>
                <w:spacing w:val="-4"/>
                <w:sz w:val="21"/>
                <w:szCs w:val="21"/>
              </w:rPr>
              <w:t>颗粒物</w:t>
            </w:r>
            <w:r>
              <w:rPr>
                <w:rFonts w:hint="eastAsia"/>
                <w:spacing w:val="-4"/>
                <w:sz w:val="21"/>
                <w:szCs w:val="21"/>
              </w:rPr>
              <w:t>（五氧化二钒）</w:t>
            </w:r>
          </w:p>
        </w:tc>
        <w:tc>
          <w:tcPr>
            <w:tcW w:w="748" w:type="pct"/>
            <w:vAlign w:val="center"/>
          </w:tcPr>
          <w:p w14:paraId="17B5180A"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Merge w:val="restart"/>
            <w:vAlign w:val="center"/>
          </w:tcPr>
          <w:p w14:paraId="1967EC9C" w14:textId="77777777" w:rsidR="003E78AB" w:rsidRDefault="00010BF9">
            <w:pPr>
              <w:pStyle w:val="aff4"/>
              <w:rPr>
                <w:rFonts w:hint="default"/>
              </w:rPr>
            </w:pPr>
            <w:r>
              <w:t>《粉体物料投料粉尘产生系数研究报告》</w:t>
            </w:r>
          </w:p>
        </w:tc>
      </w:tr>
      <w:tr w:rsidR="003E78AB" w14:paraId="683D9D2A" w14:textId="77777777">
        <w:trPr>
          <w:jc w:val="center"/>
        </w:trPr>
        <w:tc>
          <w:tcPr>
            <w:tcW w:w="500" w:type="pct"/>
            <w:vMerge/>
            <w:vAlign w:val="center"/>
          </w:tcPr>
          <w:p w14:paraId="146417AD" w14:textId="77777777" w:rsidR="003E78AB" w:rsidRDefault="003E78AB">
            <w:pPr>
              <w:spacing w:line="360" w:lineRule="exact"/>
              <w:ind w:firstLineChars="0" w:firstLine="0"/>
              <w:jc w:val="center"/>
              <w:textAlignment w:val="center"/>
            </w:pPr>
          </w:p>
        </w:tc>
        <w:tc>
          <w:tcPr>
            <w:tcW w:w="1184" w:type="pct"/>
            <w:vAlign w:val="center"/>
          </w:tcPr>
          <w:p w14:paraId="5EECF733" w14:textId="77777777" w:rsidR="003E78AB" w:rsidRDefault="00010BF9">
            <w:pPr>
              <w:spacing w:line="360" w:lineRule="exact"/>
              <w:ind w:firstLineChars="0" w:firstLine="0"/>
              <w:jc w:val="center"/>
              <w:textAlignment w:val="center"/>
            </w:pPr>
            <w:r>
              <w:rPr>
                <w:spacing w:val="-4"/>
                <w:sz w:val="21"/>
                <w:szCs w:val="21"/>
              </w:rPr>
              <w:t>G1-2</w:t>
            </w:r>
            <w:r>
              <w:rPr>
                <w:spacing w:val="-4"/>
                <w:sz w:val="21"/>
                <w:szCs w:val="21"/>
              </w:rPr>
              <w:t>草酸</w:t>
            </w:r>
            <w:r>
              <w:rPr>
                <w:rFonts w:hint="eastAsia"/>
                <w:spacing w:val="-4"/>
                <w:sz w:val="21"/>
                <w:szCs w:val="21"/>
              </w:rPr>
              <w:t>拆包</w:t>
            </w:r>
            <w:r>
              <w:rPr>
                <w:spacing w:val="-4"/>
                <w:sz w:val="21"/>
                <w:szCs w:val="21"/>
              </w:rPr>
              <w:t>投料</w:t>
            </w:r>
            <w:r>
              <w:rPr>
                <w:rFonts w:hint="eastAsia"/>
                <w:spacing w:val="-4"/>
                <w:sz w:val="21"/>
                <w:szCs w:val="21"/>
              </w:rPr>
              <w:t>粉尘</w:t>
            </w:r>
          </w:p>
        </w:tc>
        <w:tc>
          <w:tcPr>
            <w:tcW w:w="995" w:type="pct"/>
            <w:vAlign w:val="center"/>
          </w:tcPr>
          <w:p w14:paraId="43D457F0" w14:textId="77777777" w:rsidR="003E78AB" w:rsidRDefault="00010BF9">
            <w:pPr>
              <w:spacing w:line="360" w:lineRule="exact"/>
              <w:ind w:firstLineChars="0" w:firstLine="0"/>
              <w:jc w:val="center"/>
              <w:textAlignment w:val="center"/>
            </w:pPr>
            <w:r>
              <w:rPr>
                <w:spacing w:val="-4"/>
                <w:sz w:val="21"/>
                <w:szCs w:val="21"/>
              </w:rPr>
              <w:t>颗粒物</w:t>
            </w:r>
            <w:r>
              <w:rPr>
                <w:rFonts w:hint="eastAsia"/>
                <w:spacing w:val="-4"/>
                <w:sz w:val="21"/>
                <w:szCs w:val="21"/>
              </w:rPr>
              <w:t>（草酸）</w:t>
            </w:r>
          </w:p>
        </w:tc>
        <w:tc>
          <w:tcPr>
            <w:tcW w:w="748" w:type="pct"/>
            <w:vAlign w:val="center"/>
          </w:tcPr>
          <w:p w14:paraId="443E680E"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Merge/>
            <w:vAlign w:val="center"/>
          </w:tcPr>
          <w:p w14:paraId="292AC112" w14:textId="77777777" w:rsidR="003E78AB" w:rsidRDefault="003E78AB">
            <w:pPr>
              <w:pStyle w:val="aff4"/>
              <w:rPr>
                <w:rFonts w:hint="default"/>
              </w:rPr>
            </w:pPr>
          </w:p>
        </w:tc>
      </w:tr>
      <w:tr w:rsidR="003E78AB" w14:paraId="60A6098A" w14:textId="77777777">
        <w:trPr>
          <w:jc w:val="center"/>
        </w:trPr>
        <w:tc>
          <w:tcPr>
            <w:tcW w:w="500" w:type="pct"/>
            <w:vMerge w:val="restart"/>
            <w:vAlign w:val="center"/>
          </w:tcPr>
          <w:p w14:paraId="1EC334FE" w14:textId="77777777" w:rsidR="003E78AB" w:rsidRDefault="00010BF9">
            <w:pPr>
              <w:spacing w:line="360" w:lineRule="exact"/>
              <w:ind w:firstLineChars="0" w:firstLine="0"/>
              <w:jc w:val="center"/>
              <w:textAlignment w:val="center"/>
            </w:pPr>
            <w:r>
              <w:rPr>
                <w:spacing w:val="-4"/>
                <w:sz w:val="21"/>
                <w:szCs w:val="21"/>
              </w:rPr>
              <w:t>生产工艺废气</w:t>
            </w:r>
          </w:p>
        </w:tc>
        <w:tc>
          <w:tcPr>
            <w:tcW w:w="1184" w:type="pct"/>
            <w:vAlign w:val="center"/>
          </w:tcPr>
          <w:p w14:paraId="41D4BADB" w14:textId="77777777" w:rsidR="003E78AB" w:rsidRDefault="00010BF9">
            <w:pPr>
              <w:spacing w:line="360" w:lineRule="exact"/>
              <w:ind w:firstLineChars="0" w:firstLine="0"/>
              <w:jc w:val="center"/>
              <w:textAlignment w:val="center"/>
              <w:rPr>
                <w:spacing w:val="-4"/>
                <w:sz w:val="21"/>
                <w:szCs w:val="21"/>
              </w:rPr>
            </w:pPr>
            <w:r>
              <w:rPr>
                <w:spacing w:val="-4"/>
                <w:sz w:val="21"/>
                <w:szCs w:val="21"/>
              </w:rPr>
              <w:t>G2-1</w:t>
            </w:r>
            <w:r>
              <w:rPr>
                <w:spacing w:val="-4"/>
                <w:sz w:val="21"/>
                <w:szCs w:val="21"/>
              </w:rPr>
              <w:t>硫酸稀释过程</w:t>
            </w:r>
            <w:r>
              <w:rPr>
                <w:rFonts w:hint="eastAsia"/>
                <w:spacing w:val="-4"/>
                <w:sz w:val="21"/>
                <w:szCs w:val="21"/>
              </w:rPr>
              <w:t>酸性废气</w:t>
            </w:r>
          </w:p>
        </w:tc>
        <w:tc>
          <w:tcPr>
            <w:tcW w:w="995" w:type="pct"/>
            <w:vAlign w:val="center"/>
          </w:tcPr>
          <w:p w14:paraId="19114172" w14:textId="77777777" w:rsidR="003E78AB" w:rsidRDefault="00010BF9">
            <w:pPr>
              <w:spacing w:line="360" w:lineRule="exact"/>
              <w:ind w:firstLineChars="0" w:firstLine="0"/>
              <w:jc w:val="center"/>
              <w:textAlignment w:val="center"/>
              <w:rPr>
                <w:spacing w:val="-4"/>
                <w:sz w:val="21"/>
                <w:szCs w:val="21"/>
              </w:rPr>
            </w:pPr>
            <w:r>
              <w:rPr>
                <w:sz w:val="21"/>
                <w:szCs w:val="21"/>
                <w:lang w:bidi="ar"/>
              </w:rPr>
              <w:t>硫酸雾</w:t>
            </w:r>
          </w:p>
        </w:tc>
        <w:tc>
          <w:tcPr>
            <w:tcW w:w="748" w:type="pct"/>
            <w:vAlign w:val="center"/>
          </w:tcPr>
          <w:p w14:paraId="46087CBE"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Align w:val="center"/>
          </w:tcPr>
          <w:p w14:paraId="4EA6660E" w14:textId="77777777" w:rsidR="003E78AB" w:rsidRDefault="00010BF9">
            <w:pPr>
              <w:pStyle w:val="aff4"/>
              <w:jc w:val="left"/>
              <w:rPr>
                <w:rFonts w:hint="default"/>
              </w:rPr>
            </w:pPr>
            <w:r>
              <w:t>设计</w:t>
            </w:r>
            <w:r>
              <w:rPr>
                <w:rFonts w:hint="default"/>
              </w:rPr>
              <w:t>密闭容器稀释</w:t>
            </w:r>
            <w:r>
              <w:t>时取经验系数：</w:t>
            </w:r>
            <w:r>
              <w:rPr>
                <w:rFonts w:hint="default"/>
              </w:rPr>
              <w:t>硫酸雾产生系数</w:t>
            </w:r>
            <w:r>
              <w:rPr>
                <w:rFonts w:hint="default"/>
              </w:rPr>
              <w:t>0.05%~0.08%</w:t>
            </w:r>
            <w:r>
              <w:rPr>
                <w:rFonts w:hint="default"/>
              </w:rPr>
              <w:t>（按浓硫酸质量计）</w:t>
            </w:r>
            <w:r>
              <w:t>，本次取</w:t>
            </w:r>
            <w:r>
              <w:t>0.08%</w:t>
            </w:r>
          </w:p>
        </w:tc>
      </w:tr>
      <w:tr w:rsidR="003E78AB" w14:paraId="0C655B13" w14:textId="77777777">
        <w:trPr>
          <w:jc w:val="center"/>
        </w:trPr>
        <w:tc>
          <w:tcPr>
            <w:tcW w:w="500" w:type="pct"/>
            <w:vMerge/>
            <w:vAlign w:val="center"/>
          </w:tcPr>
          <w:p w14:paraId="5CC8E6E5" w14:textId="77777777" w:rsidR="003E78AB" w:rsidRDefault="003E78AB">
            <w:pPr>
              <w:pStyle w:val="aff4"/>
              <w:rPr>
                <w:rFonts w:hint="default"/>
              </w:rPr>
            </w:pPr>
          </w:p>
        </w:tc>
        <w:tc>
          <w:tcPr>
            <w:tcW w:w="1184" w:type="pct"/>
            <w:vAlign w:val="center"/>
          </w:tcPr>
          <w:p w14:paraId="224ED162" w14:textId="77777777" w:rsidR="003E78AB" w:rsidRDefault="00010BF9">
            <w:pPr>
              <w:spacing w:line="360" w:lineRule="exact"/>
              <w:ind w:firstLineChars="0" w:firstLine="0"/>
              <w:jc w:val="center"/>
              <w:textAlignment w:val="center"/>
              <w:rPr>
                <w:spacing w:val="-4"/>
                <w:sz w:val="21"/>
                <w:szCs w:val="21"/>
              </w:rPr>
            </w:pPr>
            <w:r>
              <w:rPr>
                <w:spacing w:val="-4"/>
                <w:sz w:val="21"/>
                <w:szCs w:val="21"/>
              </w:rPr>
              <w:t>G2-2</w:t>
            </w:r>
            <w:r>
              <w:rPr>
                <w:spacing w:val="-4"/>
                <w:sz w:val="21"/>
                <w:szCs w:val="21"/>
              </w:rPr>
              <w:t>溶解还原釜搅拌和反应过程</w:t>
            </w:r>
            <w:r>
              <w:rPr>
                <w:rFonts w:hint="eastAsia"/>
                <w:spacing w:val="-4"/>
                <w:sz w:val="21"/>
                <w:szCs w:val="21"/>
              </w:rPr>
              <w:t>的酸性废气和</w:t>
            </w:r>
            <w:r>
              <w:rPr>
                <w:rFonts w:hint="eastAsia"/>
                <w:bCs/>
                <w:spacing w:val="-4"/>
                <w:sz w:val="21"/>
                <w:szCs w:val="21"/>
              </w:rPr>
              <w:t>VOC</w:t>
            </w:r>
          </w:p>
        </w:tc>
        <w:tc>
          <w:tcPr>
            <w:tcW w:w="995" w:type="pct"/>
            <w:vAlign w:val="center"/>
          </w:tcPr>
          <w:p w14:paraId="44C36F8C" w14:textId="77777777" w:rsidR="003E78AB" w:rsidRDefault="00010BF9">
            <w:pPr>
              <w:spacing w:line="360" w:lineRule="exact"/>
              <w:ind w:firstLineChars="0" w:firstLine="0"/>
              <w:jc w:val="center"/>
              <w:textAlignment w:val="center"/>
              <w:rPr>
                <w:sz w:val="21"/>
                <w:szCs w:val="21"/>
                <w:lang w:bidi="ar"/>
              </w:rPr>
            </w:pPr>
            <w:r>
              <w:rPr>
                <w:rFonts w:hint="eastAsia"/>
                <w:spacing w:val="-4"/>
                <w:sz w:val="21"/>
                <w:szCs w:val="21"/>
              </w:rPr>
              <w:t>草酸雾、甲酸雾、</w:t>
            </w:r>
            <w:r>
              <w:rPr>
                <w:rFonts w:hint="eastAsia"/>
                <w:spacing w:val="-4"/>
                <w:sz w:val="21"/>
                <w:szCs w:val="21"/>
              </w:rPr>
              <w:t>CO</w:t>
            </w:r>
            <w:r>
              <w:rPr>
                <w:rFonts w:hint="eastAsia"/>
                <w:spacing w:val="-4"/>
                <w:sz w:val="21"/>
                <w:szCs w:val="21"/>
                <w:vertAlign w:val="subscript"/>
              </w:rPr>
              <w:t>2</w:t>
            </w:r>
          </w:p>
        </w:tc>
        <w:tc>
          <w:tcPr>
            <w:tcW w:w="748" w:type="pct"/>
            <w:vAlign w:val="center"/>
          </w:tcPr>
          <w:p w14:paraId="189B2AA0"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Align w:val="center"/>
          </w:tcPr>
          <w:p w14:paraId="13BEEAA9"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①根据反应方程式核算五氧化二钒完全反应消耗的草酸量，计算出未反应的草酸量；</w:t>
            </w:r>
          </w:p>
          <w:p w14:paraId="1E3D0128"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②未反应的草酸受热挥发出草酸雾，设计挥发系数取未反应草酸量的</w:t>
            </w:r>
            <w:r>
              <w:rPr>
                <w:rFonts w:hint="eastAsia"/>
                <w:spacing w:val="-4"/>
                <w:sz w:val="21"/>
                <w:szCs w:val="21"/>
              </w:rPr>
              <w:t>0.015%</w:t>
            </w:r>
            <w:r>
              <w:rPr>
                <w:rFonts w:hint="eastAsia"/>
                <w:spacing w:val="-4"/>
                <w:sz w:val="21"/>
                <w:szCs w:val="21"/>
              </w:rPr>
              <w:t>；</w:t>
            </w:r>
          </w:p>
          <w:p w14:paraId="25621202"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③草酸在反应釜中发生部分分解出甲酸，设计分解率取投料量的</w:t>
            </w:r>
            <w:r>
              <w:rPr>
                <w:rFonts w:hint="eastAsia"/>
                <w:spacing w:val="-4"/>
                <w:sz w:val="21"/>
                <w:szCs w:val="21"/>
              </w:rPr>
              <w:t>0.5%</w:t>
            </w:r>
            <w:r>
              <w:rPr>
                <w:rFonts w:hint="eastAsia"/>
                <w:spacing w:val="-4"/>
                <w:sz w:val="21"/>
                <w:szCs w:val="21"/>
              </w:rPr>
              <w:t>；</w:t>
            </w:r>
          </w:p>
          <w:p w14:paraId="3E598C3A"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④</w:t>
            </w:r>
            <w:r>
              <w:rPr>
                <w:rFonts w:hint="eastAsia"/>
                <w:spacing w:val="-4"/>
                <w:sz w:val="21"/>
                <w:szCs w:val="21"/>
              </w:rPr>
              <w:t>CO</w:t>
            </w:r>
            <w:r>
              <w:rPr>
                <w:rFonts w:hint="eastAsia"/>
                <w:spacing w:val="-4"/>
                <w:sz w:val="21"/>
                <w:szCs w:val="21"/>
                <w:vertAlign w:val="subscript"/>
              </w:rPr>
              <w:t>2</w:t>
            </w:r>
            <w:r>
              <w:rPr>
                <w:rFonts w:hint="eastAsia"/>
                <w:spacing w:val="-4"/>
                <w:sz w:val="21"/>
                <w:szCs w:val="21"/>
              </w:rPr>
              <w:t>依据五氧化二钒完全反应时反应方程式计。</w:t>
            </w:r>
          </w:p>
        </w:tc>
      </w:tr>
      <w:tr w:rsidR="003E78AB" w14:paraId="1C9007DB" w14:textId="77777777">
        <w:trPr>
          <w:jc w:val="center"/>
        </w:trPr>
        <w:tc>
          <w:tcPr>
            <w:tcW w:w="500" w:type="pct"/>
            <w:vMerge/>
            <w:vAlign w:val="center"/>
          </w:tcPr>
          <w:p w14:paraId="27639EC0" w14:textId="77777777" w:rsidR="003E78AB" w:rsidRDefault="003E78AB">
            <w:pPr>
              <w:pStyle w:val="aff4"/>
              <w:rPr>
                <w:rFonts w:hint="default"/>
              </w:rPr>
            </w:pPr>
          </w:p>
        </w:tc>
        <w:tc>
          <w:tcPr>
            <w:tcW w:w="1184" w:type="pct"/>
            <w:vAlign w:val="center"/>
          </w:tcPr>
          <w:p w14:paraId="33CE0417" w14:textId="77777777" w:rsidR="003E78AB" w:rsidRDefault="00010BF9">
            <w:pPr>
              <w:spacing w:line="360" w:lineRule="exact"/>
              <w:ind w:firstLineChars="0" w:firstLine="0"/>
              <w:jc w:val="center"/>
              <w:textAlignment w:val="center"/>
              <w:rPr>
                <w:spacing w:val="-4"/>
                <w:sz w:val="21"/>
                <w:szCs w:val="21"/>
              </w:rPr>
            </w:pPr>
            <w:r>
              <w:rPr>
                <w:spacing w:val="-4"/>
                <w:sz w:val="21"/>
                <w:szCs w:val="21"/>
              </w:rPr>
              <w:t>G2-3</w:t>
            </w:r>
            <w:r>
              <w:rPr>
                <w:spacing w:val="-4"/>
                <w:sz w:val="21"/>
                <w:szCs w:val="21"/>
              </w:rPr>
              <w:t>电解</w:t>
            </w:r>
            <w:r>
              <w:rPr>
                <w:rFonts w:hint="eastAsia"/>
                <w:spacing w:val="-4"/>
                <w:sz w:val="21"/>
                <w:szCs w:val="21"/>
              </w:rPr>
              <w:t>投料及电解</w:t>
            </w:r>
            <w:r>
              <w:rPr>
                <w:spacing w:val="-4"/>
                <w:sz w:val="21"/>
                <w:szCs w:val="21"/>
              </w:rPr>
              <w:t>过程</w:t>
            </w:r>
            <w:r>
              <w:rPr>
                <w:rFonts w:hint="eastAsia"/>
                <w:spacing w:val="-4"/>
                <w:sz w:val="21"/>
                <w:szCs w:val="21"/>
              </w:rPr>
              <w:t>的酸性废气</w:t>
            </w:r>
          </w:p>
        </w:tc>
        <w:tc>
          <w:tcPr>
            <w:tcW w:w="995" w:type="pct"/>
            <w:vAlign w:val="center"/>
          </w:tcPr>
          <w:p w14:paraId="017FC61E"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r>
              <w:rPr>
                <w:rFonts w:hint="eastAsia"/>
                <w:sz w:val="21"/>
                <w:szCs w:val="21"/>
                <w:lang w:bidi="ar"/>
              </w:rPr>
              <w:t>、</w:t>
            </w:r>
            <w:r>
              <w:rPr>
                <w:rFonts w:hint="eastAsia"/>
                <w:sz w:val="21"/>
                <w:szCs w:val="21"/>
                <w:lang w:bidi="ar"/>
              </w:rPr>
              <w:t>O</w:t>
            </w:r>
            <w:r>
              <w:rPr>
                <w:rFonts w:hint="eastAsia"/>
                <w:sz w:val="21"/>
                <w:szCs w:val="21"/>
                <w:vertAlign w:val="subscript"/>
                <w:lang w:bidi="ar"/>
              </w:rPr>
              <w:t>2</w:t>
            </w:r>
          </w:p>
        </w:tc>
        <w:tc>
          <w:tcPr>
            <w:tcW w:w="748" w:type="pct"/>
            <w:vAlign w:val="center"/>
          </w:tcPr>
          <w:p w14:paraId="1DE0259F"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Align w:val="center"/>
          </w:tcPr>
          <w:p w14:paraId="3B100B7F"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①阳极罐硫酸投料稀释时放热，硫酸雾产生系数同上</w:t>
            </w:r>
            <w:bookmarkStart w:id="251" w:name="OLE_LINK50"/>
            <w:r>
              <w:rPr>
                <w:rFonts w:hint="eastAsia"/>
                <w:spacing w:val="-4"/>
                <w:sz w:val="21"/>
                <w:szCs w:val="21"/>
              </w:rPr>
              <w:t>，取</w:t>
            </w:r>
            <w:r>
              <w:rPr>
                <w:rFonts w:hint="eastAsia"/>
                <w:spacing w:val="-4"/>
                <w:sz w:val="21"/>
                <w:szCs w:val="21"/>
              </w:rPr>
              <w:t>0.08%</w:t>
            </w:r>
            <w:bookmarkEnd w:id="251"/>
            <w:r>
              <w:rPr>
                <w:rFonts w:hint="eastAsia"/>
                <w:spacing w:val="-4"/>
                <w:sz w:val="21"/>
                <w:szCs w:val="21"/>
              </w:rPr>
              <w:t>；</w:t>
            </w:r>
          </w:p>
          <w:p w14:paraId="7195D818"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②阳极反应时产生的氧气会夹带硫酸雾，设计夹带率取阳极罐投料量的</w:t>
            </w:r>
            <w:r>
              <w:rPr>
                <w:rFonts w:hint="eastAsia"/>
                <w:spacing w:val="-4"/>
                <w:sz w:val="21"/>
                <w:szCs w:val="21"/>
              </w:rPr>
              <w:t>0.15%</w:t>
            </w:r>
            <w:r>
              <w:rPr>
                <w:rFonts w:hint="eastAsia"/>
                <w:spacing w:val="-4"/>
                <w:sz w:val="21"/>
                <w:szCs w:val="21"/>
              </w:rPr>
              <w:t>，氧气量根据反应方程式计。</w:t>
            </w:r>
          </w:p>
        </w:tc>
      </w:tr>
      <w:tr w:rsidR="003E78AB" w14:paraId="423E226B" w14:textId="77777777">
        <w:trPr>
          <w:jc w:val="center"/>
        </w:trPr>
        <w:tc>
          <w:tcPr>
            <w:tcW w:w="500" w:type="pct"/>
            <w:vMerge/>
            <w:vAlign w:val="center"/>
          </w:tcPr>
          <w:p w14:paraId="5C8A2F34" w14:textId="77777777" w:rsidR="003E78AB" w:rsidRDefault="003E78AB">
            <w:pPr>
              <w:pStyle w:val="aff4"/>
              <w:rPr>
                <w:rFonts w:hint="default"/>
              </w:rPr>
            </w:pPr>
          </w:p>
        </w:tc>
        <w:tc>
          <w:tcPr>
            <w:tcW w:w="1184" w:type="pct"/>
            <w:vAlign w:val="center"/>
          </w:tcPr>
          <w:p w14:paraId="3C41C524" w14:textId="77777777" w:rsidR="003E78AB" w:rsidRDefault="00010BF9">
            <w:pPr>
              <w:spacing w:line="360" w:lineRule="exact"/>
              <w:ind w:firstLineChars="0" w:firstLine="0"/>
              <w:jc w:val="center"/>
              <w:textAlignment w:val="center"/>
              <w:rPr>
                <w:spacing w:val="-4"/>
                <w:sz w:val="21"/>
                <w:szCs w:val="21"/>
              </w:rPr>
            </w:pPr>
            <w:r>
              <w:rPr>
                <w:spacing w:val="-4"/>
                <w:sz w:val="21"/>
                <w:szCs w:val="21"/>
              </w:rPr>
              <w:t>G2-</w:t>
            </w:r>
            <w:r>
              <w:rPr>
                <w:rFonts w:hint="eastAsia"/>
                <w:spacing w:val="-4"/>
                <w:sz w:val="21"/>
                <w:szCs w:val="21"/>
              </w:rPr>
              <w:t>4</w:t>
            </w:r>
            <w:r>
              <w:rPr>
                <w:rFonts w:hint="eastAsia"/>
                <w:spacing w:val="-4"/>
                <w:sz w:val="21"/>
                <w:szCs w:val="21"/>
              </w:rPr>
              <w:t>调制定容</w:t>
            </w:r>
            <w:r>
              <w:rPr>
                <w:spacing w:val="-4"/>
                <w:sz w:val="21"/>
                <w:szCs w:val="21"/>
              </w:rPr>
              <w:t>过程</w:t>
            </w:r>
            <w:r>
              <w:rPr>
                <w:rFonts w:hint="eastAsia"/>
                <w:spacing w:val="-4"/>
                <w:sz w:val="21"/>
                <w:szCs w:val="21"/>
              </w:rPr>
              <w:t>的酸性废气</w:t>
            </w:r>
          </w:p>
        </w:tc>
        <w:tc>
          <w:tcPr>
            <w:tcW w:w="995" w:type="pct"/>
            <w:vAlign w:val="center"/>
          </w:tcPr>
          <w:p w14:paraId="4234DB7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硫酸雾、磷酸雾</w:t>
            </w:r>
          </w:p>
        </w:tc>
        <w:tc>
          <w:tcPr>
            <w:tcW w:w="748" w:type="pct"/>
            <w:vAlign w:val="center"/>
          </w:tcPr>
          <w:p w14:paraId="00D3E822"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Align w:val="center"/>
          </w:tcPr>
          <w:p w14:paraId="5C7CFE8C"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设计硫酸雾的产生系数按电解液总量的</w:t>
            </w:r>
            <w:r>
              <w:rPr>
                <w:rFonts w:hint="eastAsia"/>
                <w:spacing w:val="-4"/>
                <w:sz w:val="21"/>
                <w:szCs w:val="21"/>
              </w:rPr>
              <w:t>0.005%</w:t>
            </w:r>
            <w:r>
              <w:rPr>
                <w:rFonts w:hint="eastAsia"/>
                <w:spacing w:val="-4"/>
                <w:sz w:val="21"/>
                <w:szCs w:val="21"/>
              </w:rPr>
              <w:t>计；磷酸在定容搅拌时可能产生磷酸的气溶胶，设计磷酸雾产生系数</w:t>
            </w:r>
            <w:r>
              <w:rPr>
                <w:rFonts w:hint="eastAsia"/>
                <w:spacing w:val="-4"/>
                <w:sz w:val="21"/>
                <w:szCs w:val="21"/>
              </w:rPr>
              <w:t>0.03%</w:t>
            </w:r>
            <w:r>
              <w:rPr>
                <w:rFonts w:hint="eastAsia"/>
                <w:spacing w:val="-4"/>
                <w:sz w:val="21"/>
                <w:szCs w:val="21"/>
              </w:rPr>
              <w:t>。</w:t>
            </w:r>
          </w:p>
        </w:tc>
      </w:tr>
      <w:tr w:rsidR="003E78AB" w14:paraId="670B6052" w14:textId="77777777">
        <w:trPr>
          <w:jc w:val="center"/>
        </w:trPr>
        <w:tc>
          <w:tcPr>
            <w:tcW w:w="500" w:type="pct"/>
            <w:vMerge/>
            <w:vAlign w:val="center"/>
          </w:tcPr>
          <w:p w14:paraId="64BB34D7" w14:textId="77777777" w:rsidR="003E78AB" w:rsidRDefault="003E78AB">
            <w:pPr>
              <w:pStyle w:val="aff4"/>
              <w:rPr>
                <w:rFonts w:hint="default"/>
              </w:rPr>
            </w:pPr>
          </w:p>
        </w:tc>
        <w:tc>
          <w:tcPr>
            <w:tcW w:w="1184" w:type="pct"/>
            <w:vAlign w:val="center"/>
          </w:tcPr>
          <w:p w14:paraId="7CE7115D" w14:textId="77777777" w:rsidR="003E78AB" w:rsidRDefault="00010BF9">
            <w:pPr>
              <w:spacing w:line="360" w:lineRule="exact"/>
              <w:ind w:firstLineChars="0" w:firstLine="0"/>
              <w:jc w:val="center"/>
              <w:textAlignment w:val="center"/>
              <w:rPr>
                <w:spacing w:val="-4"/>
                <w:sz w:val="21"/>
                <w:szCs w:val="21"/>
              </w:rPr>
            </w:pPr>
            <w:r>
              <w:rPr>
                <w:spacing w:val="-4"/>
                <w:sz w:val="21"/>
                <w:szCs w:val="21"/>
              </w:rPr>
              <w:t>G2-</w:t>
            </w:r>
            <w:r>
              <w:rPr>
                <w:rFonts w:hint="eastAsia"/>
                <w:spacing w:val="-4"/>
                <w:sz w:val="21"/>
                <w:szCs w:val="21"/>
              </w:rPr>
              <w:t>5</w:t>
            </w:r>
            <w:r>
              <w:rPr>
                <w:rFonts w:hint="eastAsia"/>
                <w:spacing w:val="-4"/>
                <w:sz w:val="21"/>
                <w:szCs w:val="21"/>
              </w:rPr>
              <w:t>成品装卸</w:t>
            </w:r>
            <w:r>
              <w:rPr>
                <w:spacing w:val="-4"/>
                <w:sz w:val="21"/>
                <w:szCs w:val="21"/>
              </w:rPr>
              <w:t>过程</w:t>
            </w:r>
            <w:r>
              <w:rPr>
                <w:rFonts w:hint="eastAsia"/>
                <w:spacing w:val="-4"/>
                <w:sz w:val="21"/>
                <w:szCs w:val="21"/>
              </w:rPr>
              <w:t>的酸性废气</w:t>
            </w:r>
          </w:p>
        </w:tc>
        <w:tc>
          <w:tcPr>
            <w:tcW w:w="995" w:type="pct"/>
            <w:vAlign w:val="center"/>
          </w:tcPr>
          <w:p w14:paraId="47922741"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r>
              <w:rPr>
                <w:rFonts w:hint="eastAsia"/>
                <w:sz w:val="21"/>
                <w:szCs w:val="21"/>
                <w:lang w:bidi="ar"/>
              </w:rPr>
              <w:t>、磷酸雾</w:t>
            </w:r>
          </w:p>
        </w:tc>
        <w:tc>
          <w:tcPr>
            <w:tcW w:w="748" w:type="pct"/>
            <w:vAlign w:val="center"/>
          </w:tcPr>
          <w:p w14:paraId="4CF8B5DD"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Align w:val="center"/>
          </w:tcPr>
          <w:p w14:paraId="7C65C389" w14:textId="77777777" w:rsidR="003E78AB" w:rsidRDefault="00010BF9">
            <w:pPr>
              <w:spacing w:line="360" w:lineRule="exact"/>
              <w:ind w:firstLineChars="0" w:firstLine="0"/>
              <w:jc w:val="left"/>
              <w:textAlignment w:val="center"/>
              <w:rPr>
                <w:spacing w:val="-4"/>
                <w:sz w:val="21"/>
                <w:szCs w:val="21"/>
              </w:rPr>
            </w:pPr>
            <w:r>
              <w:rPr>
                <w:rFonts w:hint="eastAsia"/>
                <w:spacing w:val="-4"/>
                <w:sz w:val="21"/>
                <w:szCs w:val="21"/>
              </w:rPr>
              <w:t>设计硫酸雾挥发系数取成品电解液的</w:t>
            </w:r>
            <w:r>
              <w:rPr>
                <w:rFonts w:hint="eastAsia"/>
                <w:spacing w:val="-4"/>
                <w:sz w:val="21"/>
                <w:szCs w:val="21"/>
              </w:rPr>
              <w:t>0.008%</w:t>
            </w:r>
            <w:r>
              <w:rPr>
                <w:rFonts w:hint="eastAsia"/>
                <w:spacing w:val="-4"/>
                <w:sz w:val="21"/>
                <w:szCs w:val="21"/>
              </w:rPr>
              <w:t>、磷酸雾取</w:t>
            </w:r>
            <w:r>
              <w:rPr>
                <w:rFonts w:hint="eastAsia"/>
                <w:spacing w:val="-4"/>
                <w:sz w:val="21"/>
                <w:szCs w:val="21"/>
              </w:rPr>
              <w:t>0.003%</w:t>
            </w:r>
            <w:r>
              <w:rPr>
                <w:rFonts w:hint="eastAsia"/>
                <w:spacing w:val="-4"/>
                <w:sz w:val="21"/>
                <w:szCs w:val="21"/>
              </w:rPr>
              <w:t>。</w:t>
            </w:r>
          </w:p>
        </w:tc>
      </w:tr>
      <w:tr w:rsidR="003E78AB" w14:paraId="2C526441" w14:textId="77777777">
        <w:trPr>
          <w:jc w:val="center"/>
        </w:trPr>
        <w:tc>
          <w:tcPr>
            <w:tcW w:w="500" w:type="pct"/>
            <w:vMerge/>
            <w:vAlign w:val="center"/>
          </w:tcPr>
          <w:p w14:paraId="3A7B05E0" w14:textId="77777777" w:rsidR="003E78AB" w:rsidRDefault="003E78AB">
            <w:pPr>
              <w:pStyle w:val="aff4"/>
              <w:rPr>
                <w:rFonts w:hint="default"/>
              </w:rPr>
            </w:pPr>
          </w:p>
        </w:tc>
        <w:tc>
          <w:tcPr>
            <w:tcW w:w="1184" w:type="pct"/>
            <w:vAlign w:val="center"/>
          </w:tcPr>
          <w:p w14:paraId="1C9D4548" w14:textId="77777777" w:rsidR="003E78AB" w:rsidRDefault="00010BF9">
            <w:pPr>
              <w:spacing w:line="360" w:lineRule="exact"/>
              <w:ind w:firstLineChars="0" w:firstLine="0"/>
              <w:jc w:val="center"/>
              <w:textAlignment w:val="center"/>
              <w:rPr>
                <w:spacing w:val="-4"/>
                <w:sz w:val="21"/>
                <w:szCs w:val="21"/>
              </w:rPr>
            </w:pPr>
            <w:r>
              <w:rPr>
                <w:rFonts w:hint="eastAsia"/>
                <w:spacing w:val="-4"/>
                <w:sz w:val="21"/>
                <w:szCs w:val="21"/>
              </w:rPr>
              <w:t>无组织</w:t>
            </w:r>
          </w:p>
        </w:tc>
        <w:tc>
          <w:tcPr>
            <w:tcW w:w="995" w:type="pct"/>
            <w:vAlign w:val="center"/>
          </w:tcPr>
          <w:p w14:paraId="5877AC0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硫酸雾</w:t>
            </w:r>
          </w:p>
        </w:tc>
        <w:tc>
          <w:tcPr>
            <w:tcW w:w="748" w:type="pct"/>
            <w:vAlign w:val="center"/>
          </w:tcPr>
          <w:p w14:paraId="020E7BD5" w14:textId="77777777" w:rsidR="003E78AB" w:rsidRDefault="00010BF9">
            <w:pPr>
              <w:spacing w:line="360" w:lineRule="exact"/>
              <w:ind w:firstLineChars="0" w:firstLine="0"/>
              <w:jc w:val="center"/>
              <w:textAlignment w:val="center"/>
              <w:rPr>
                <w:spacing w:val="-4"/>
                <w:sz w:val="21"/>
                <w:szCs w:val="21"/>
              </w:rPr>
            </w:pPr>
            <w:r>
              <w:rPr>
                <w:spacing w:val="-4"/>
                <w:sz w:val="21"/>
                <w:szCs w:val="21"/>
              </w:rPr>
              <w:t>物料衡算法</w:t>
            </w:r>
          </w:p>
        </w:tc>
        <w:tc>
          <w:tcPr>
            <w:tcW w:w="1571" w:type="pct"/>
            <w:vAlign w:val="center"/>
          </w:tcPr>
          <w:p w14:paraId="00B14937" w14:textId="77777777" w:rsidR="003E78AB" w:rsidRDefault="00010BF9">
            <w:pPr>
              <w:spacing w:line="360" w:lineRule="exact"/>
              <w:ind w:firstLineChars="0" w:firstLine="0"/>
              <w:jc w:val="left"/>
              <w:textAlignment w:val="center"/>
              <w:rPr>
                <w:spacing w:val="-4"/>
                <w:sz w:val="21"/>
                <w:szCs w:val="21"/>
              </w:rPr>
            </w:pPr>
            <w:r>
              <w:rPr>
                <w:rFonts w:hint="eastAsia"/>
                <w:sz w:val="21"/>
                <w:szCs w:val="21"/>
                <w:lang w:bidi="ar"/>
              </w:rPr>
              <w:t>设计无组织排放系数</w:t>
            </w:r>
            <w:r>
              <w:rPr>
                <w:rFonts w:hint="eastAsia"/>
                <w:sz w:val="21"/>
                <w:szCs w:val="21"/>
                <w:lang w:bidi="ar"/>
              </w:rPr>
              <w:t>10g/t</w:t>
            </w:r>
            <w:r>
              <w:rPr>
                <w:rFonts w:hint="eastAsia"/>
                <w:sz w:val="21"/>
                <w:szCs w:val="21"/>
                <w:lang w:bidi="ar"/>
              </w:rPr>
              <w:t>产品。</w:t>
            </w:r>
          </w:p>
        </w:tc>
      </w:tr>
      <w:tr w:rsidR="003E78AB" w14:paraId="2748F8D1" w14:textId="77777777">
        <w:trPr>
          <w:jc w:val="center"/>
        </w:trPr>
        <w:tc>
          <w:tcPr>
            <w:tcW w:w="500" w:type="pct"/>
            <w:vMerge w:val="restart"/>
            <w:vAlign w:val="center"/>
          </w:tcPr>
          <w:p w14:paraId="6FDCCE99" w14:textId="77777777" w:rsidR="003E78AB" w:rsidRDefault="00010BF9">
            <w:pPr>
              <w:pStyle w:val="aff4"/>
              <w:rPr>
                <w:rFonts w:hint="default"/>
              </w:rPr>
            </w:pPr>
            <w:r>
              <w:rPr>
                <w:szCs w:val="21"/>
                <w:lang w:bidi="ar"/>
              </w:rPr>
              <w:t>液体库</w:t>
            </w:r>
          </w:p>
        </w:tc>
        <w:tc>
          <w:tcPr>
            <w:tcW w:w="1184" w:type="pct"/>
            <w:vAlign w:val="center"/>
          </w:tcPr>
          <w:p w14:paraId="04EEAB19" w14:textId="77777777" w:rsidR="003E78AB" w:rsidRDefault="00010BF9">
            <w:pPr>
              <w:spacing w:line="360" w:lineRule="exact"/>
              <w:ind w:firstLineChars="0" w:firstLine="0"/>
              <w:jc w:val="center"/>
              <w:textAlignment w:val="center"/>
              <w:rPr>
                <w:sz w:val="21"/>
                <w:szCs w:val="21"/>
                <w:lang w:bidi="ar"/>
              </w:rPr>
            </w:pPr>
            <w:r>
              <w:rPr>
                <w:sz w:val="21"/>
                <w:szCs w:val="21"/>
                <w:lang w:bidi="ar"/>
              </w:rPr>
              <w:t>G3-1</w:t>
            </w:r>
            <w:r>
              <w:rPr>
                <w:sz w:val="21"/>
                <w:szCs w:val="21"/>
                <w:lang w:bidi="ar"/>
              </w:rPr>
              <w:t>磷酸储罐呼吸废气</w:t>
            </w:r>
          </w:p>
        </w:tc>
        <w:tc>
          <w:tcPr>
            <w:tcW w:w="995" w:type="pct"/>
            <w:vAlign w:val="center"/>
          </w:tcPr>
          <w:p w14:paraId="5326A257"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磷酸雾</w:t>
            </w:r>
          </w:p>
        </w:tc>
        <w:tc>
          <w:tcPr>
            <w:tcW w:w="748" w:type="pct"/>
            <w:vAlign w:val="center"/>
          </w:tcPr>
          <w:p w14:paraId="0C2ECFA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计入</w:t>
            </w:r>
            <w:r>
              <w:rPr>
                <w:rFonts w:hint="eastAsia"/>
                <w:sz w:val="21"/>
                <w:szCs w:val="21"/>
                <w:lang w:bidi="ar"/>
              </w:rPr>
              <w:t>G2-4</w:t>
            </w:r>
          </w:p>
        </w:tc>
        <w:tc>
          <w:tcPr>
            <w:tcW w:w="1571" w:type="pct"/>
            <w:vAlign w:val="center"/>
          </w:tcPr>
          <w:p w14:paraId="7AE110A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52183A11" w14:textId="77777777">
        <w:trPr>
          <w:jc w:val="center"/>
        </w:trPr>
        <w:tc>
          <w:tcPr>
            <w:tcW w:w="500" w:type="pct"/>
            <w:vMerge/>
            <w:vAlign w:val="center"/>
          </w:tcPr>
          <w:p w14:paraId="357E201A" w14:textId="77777777" w:rsidR="003E78AB" w:rsidRDefault="003E78AB">
            <w:pPr>
              <w:pStyle w:val="aff4"/>
              <w:rPr>
                <w:rFonts w:hint="default"/>
              </w:rPr>
            </w:pPr>
          </w:p>
        </w:tc>
        <w:tc>
          <w:tcPr>
            <w:tcW w:w="1184" w:type="pct"/>
            <w:vAlign w:val="center"/>
          </w:tcPr>
          <w:p w14:paraId="42A2456F" w14:textId="77777777" w:rsidR="003E78AB" w:rsidRDefault="00010BF9">
            <w:pPr>
              <w:spacing w:line="360" w:lineRule="exact"/>
              <w:ind w:firstLineChars="0" w:firstLine="0"/>
              <w:jc w:val="center"/>
              <w:textAlignment w:val="center"/>
              <w:rPr>
                <w:sz w:val="21"/>
                <w:szCs w:val="21"/>
                <w:lang w:bidi="ar"/>
              </w:rPr>
            </w:pPr>
            <w:r>
              <w:rPr>
                <w:sz w:val="21"/>
                <w:szCs w:val="21"/>
                <w:lang w:bidi="ar"/>
              </w:rPr>
              <w:t>G3-2</w:t>
            </w:r>
            <w:r>
              <w:rPr>
                <w:sz w:val="21"/>
                <w:szCs w:val="21"/>
                <w:lang w:bidi="ar"/>
              </w:rPr>
              <w:t>硫酸储罐呼吸废气</w:t>
            </w:r>
          </w:p>
        </w:tc>
        <w:tc>
          <w:tcPr>
            <w:tcW w:w="995" w:type="pct"/>
            <w:vAlign w:val="center"/>
          </w:tcPr>
          <w:p w14:paraId="664E91CF"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p>
        </w:tc>
        <w:tc>
          <w:tcPr>
            <w:tcW w:w="748" w:type="pct"/>
            <w:vAlign w:val="center"/>
          </w:tcPr>
          <w:p w14:paraId="6F3C8DE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不计</w:t>
            </w:r>
          </w:p>
        </w:tc>
        <w:tc>
          <w:tcPr>
            <w:tcW w:w="1571" w:type="pct"/>
            <w:vAlign w:val="center"/>
          </w:tcPr>
          <w:p w14:paraId="011D0A1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31092F45" w14:textId="77777777">
        <w:trPr>
          <w:jc w:val="center"/>
        </w:trPr>
        <w:tc>
          <w:tcPr>
            <w:tcW w:w="500" w:type="pct"/>
            <w:vAlign w:val="center"/>
          </w:tcPr>
          <w:p w14:paraId="06787CBE" w14:textId="77777777" w:rsidR="003E78AB" w:rsidRDefault="00010BF9">
            <w:pPr>
              <w:spacing w:line="360" w:lineRule="exact"/>
              <w:ind w:firstLineChars="0" w:firstLine="0"/>
              <w:jc w:val="center"/>
              <w:textAlignment w:val="center"/>
            </w:pPr>
            <w:r>
              <w:rPr>
                <w:sz w:val="21"/>
                <w:szCs w:val="21"/>
                <w:lang w:bidi="ar"/>
              </w:rPr>
              <w:t>燃气锅炉</w:t>
            </w:r>
          </w:p>
        </w:tc>
        <w:tc>
          <w:tcPr>
            <w:tcW w:w="1184" w:type="pct"/>
            <w:vAlign w:val="center"/>
          </w:tcPr>
          <w:p w14:paraId="57562671" w14:textId="77777777" w:rsidR="003E78AB" w:rsidRDefault="00010BF9">
            <w:pPr>
              <w:spacing w:line="360" w:lineRule="exact"/>
              <w:ind w:firstLineChars="0" w:firstLine="0"/>
              <w:jc w:val="center"/>
              <w:textAlignment w:val="center"/>
            </w:pPr>
            <w:r>
              <w:rPr>
                <w:sz w:val="21"/>
                <w:szCs w:val="21"/>
                <w:lang w:bidi="ar"/>
              </w:rPr>
              <w:t>G4</w:t>
            </w:r>
            <w:r>
              <w:rPr>
                <w:sz w:val="21"/>
                <w:szCs w:val="21"/>
                <w:lang w:bidi="ar"/>
              </w:rPr>
              <w:t>锅炉烟气</w:t>
            </w:r>
          </w:p>
        </w:tc>
        <w:tc>
          <w:tcPr>
            <w:tcW w:w="995" w:type="pct"/>
            <w:vAlign w:val="center"/>
          </w:tcPr>
          <w:p w14:paraId="1F0D9757" w14:textId="77777777" w:rsidR="003E78AB" w:rsidRDefault="00010BF9">
            <w:pPr>
              <w:spacing w:line="360" w:lineRule="exact"/>
              <w:ind w:firstLineChars="0" w:firstLine="0"/>
              <w:jc w:val="center"/>
              <w:textAlignment w:val="center"/>
            </w:pPr>
            <w:r>
              <w:rPr>
                <w:sz w:val="21"/>
                <w:szCs w:val="21"/>
                <w:lang w:bidi="ar"/>
              </w:rPr>
              <w:t>颗粒物、</w:t>
            </w:r>
            <w:r>
              <w:rPr>
                <w:sz w:val="21"/>
                <w:szCs w:val="21"/>
                <w:lang w:bidi="ar"/>
              </w:rPr>
              <w:t>SO</w:t>
            </w:r>
            <w:r>
              <w:rPr>
                <w:sz w:val="21"/>
                <w:szCs w:val="21"/>
                <w:vertAlign w:val="subscript"/>
                <w:lang w:bidi="ar"/>
              </w:rPr>
              <w:t>2</w:t>
            </w:r>
            <w:r>
              <w:rPr>
                <w:sz w:val="21"/>
                <w:szCs w:val="21"/>
                <w:lang w:bidi="ar"/>
              </w:rPr>
              <w:t>、</w:t>
            </w:r>
            <w:r>
              <w:rPr>
                <w:sz w:val="21"/>
                <w:szCs w:val="21"/>
                <w:lang w:bidi="ar"/>
              </w:rPr>
              <w:t>NOx</w:t>
            </w:r>
            <w:r>
              <w:rPr>
                <w:sz w:val="21"/>
                <w:szCs w:val="21"/>
                <w:lang w:bidi="ar"/>
              </w:rPr>
              <w:t>、林格曼黑度</w:t>
            </w:r>
          </w:p>
        </w:tc>
        <w:tc>
          <w:tcPr>
            <w:tcW w:w="748" w:type="pct"/>
            <w:vAlign w:val="center"/>
          </w:tcPr>
          <w:p w14:paraId="6773B9B9" w14:textId="77777777" w:rsidR="003E78AB" w:rsidRDefault="00010BF9">
            <w:pPr>
              <w:pStyle w:val="aff4"/>
              <w:rPr>
                <w:rFonts w:hint="default"/>
              </w:rPr>
            </w:pPr>
            <w:r>
              <w:rPr>
                <w:rFonts w:hint="default"/>
              </w:rPr>
              <w:t>类比法</w:t>
            </w:r>
          </w:p>
        </w:tc>
        <w:tc>
          <w:tcPr>
            <w:tcW w:w="1571" w:type="pct"/>
            <w:vAlign w:val="center"/>
          </w:tcPr>
          <w:p w14:paraId="5DA8D53B" w14:textId="77777777" w:rsidR="003E78AB" w:rsidRDefault="003E78AB">
            <w:pPr>
              <w:pStyle w:val="aff4"/>
              <w:rPr>
                <w:rFonts w:hint="default"/>
              </w:rPr>
            </w:pPr>
          </w:p>
        </w:tc>
      </w:tr>
      <w:tr w:rsidR="003E78AB" w14:paraId="2B4B2CDC" w14:textId="77777777">
        <w:trPr>
          <w:jc w:val="center"/>
        </w:trPr>
        <w:tc>
          <w:tcPr>
            <w:tcW w:w="500" w:type="pct"/>
            <w:vAlign w:val="center"/>
          </w:tcPr>
          <w:p w14:paraId="4867470D" w14:textId="77777777" w:rsidR="003E78AB" w:rsidRDefault="00010BF9">
            <w:pPr>
              <w:spacing w:line="360" w:lineRule="exact"/>
              <w:ind w:firstLineChars="0" w:firstLine="0"/>
              <w:jc w:val="center"/>
              <w:textAlignment w:val="center"/>
            </w:pPr>
            <w:r>
              <w:rPr>
                <w:sz w:val="21"/>
                <w:szCs w:val="21"/>
                <w:lang w:bidi="ar"/>
              </w:rPr>
              <w:t>实验室</w:t>
            </w:r>
          </w:p>
        </w:tc>
        <w:tc>
          <w:tcPr>
            <w:tcW w:w="1184" w:type="pct"/>
            <w:vAlign w:val="center"/>
          </w:tcPr>
          <w:p w14:paraId="3D1DA786" w14:textId="77777777" w:rsidR="003E78AB" w:rsidRDefault="00010BF9">
            <w:pPr>
              <w:spacing w:line="360" w:lineRule="exact"/>
              <w:ind w:firstLineChars="0" w:firstLine="0"/>
              <w:jc w:val="center"/>
              <w:textAlignment w:val="center"/>
            </w:pPr>
            <w:r>
              <w:rPr>
                <w:sz w:val="21"/>
                <w:szCs w:val="21"/>
                <w:lang w:bidi="ar"/>
              </w:rPr>
              <w:t>G5</w:t>
            </w:r>
            <w:r>
              <w:rPr>
                <w:sz w:val="21"/>
                <w:szCs w:val="21"/>
                <w:lang w:bidi="ar"/>
              </w:rPr>
              <w:t>实验废气</w:t>
            </w:r>
          </w:p>
        </w:tc>
        <w:tc>
          <w:tcPr>
            <w:tcW w:w="995" w:type="pct"/>
            <w:vAlign w:val="center"/>
          </w:tcPr>
          <w:p w14:paraId="35B08570" w14:textId="77777777" w:rsidR="003E78AB" w:rsidRDefault="00010BF9">
            <w:pPr>
              <w:spacing w:line="360" w:lineRule="exact"/>
              <w:ind w:firstLineChars="0" w:firstLine="0"/>
              <w:jc w:val="center"/>
              <w:textAlignment w:val="center"/>
            </w:pPr>
            <w:r>
              <w:rPr>
                <w:sz w:val="21"/>
                <w:szCs w:val="21"/>
                <w:lang w:bidi="ar"/>
              </w:rPr>
              <w:t>颗粒物、硫酸雾、</w:t>
            </w:r>
            <w:r>
              <w:rPr>
                <w:sz w:val="21"/>
                <w:szCs w:val="21"/>
                <w:lang w:bidi="ar"/>
              </w:rPr>
              <w:t>HCl</w:t>
            </w:r>
            <w:r>
              <w:rPr>
                <w:sz w:val="21"/>
                <w:szCs w:val="21"/>
                <w:lang w:bidi="ar"/>
              </w:rPr>
              <w:t>、硝酸雾</w:t>
            </w:r>
          </w:p>
        </w:tc>
        <w:tc>
          <w:tcPr>
            <w:tcW w:w="748" w:type="pct"/>
            <w:vAlign w:val="center"/>
          </w:tcPr>
          <w:p w14:paraId="4FFBF7A6" w14:textId="77777777" w:rsidR="003E78AB" w:rsidRDefault="00010BF9">
            <w:pPr>
              <w:pStyle w:val="aff4"/>
              <w:rPr>
                <w:rFonts w:hint="default"/>
              </w:rPr>
            </w:pPr>
            <w:r>
              <w:t>不计</w:t>
            </w:r>
          </w:p>
        </w:tc>
        <w:tc>
          <w:tcPr>
            <w:tcW w:w="1571" w:type="pct"/>
            <w:vAlign w:val="center"/>
          </w:tcPr>
          <w:p w14:paraId="10586C9B" w14:textId="77777777" w:rsidR="003E78AB" w:rsidRDefault="00010BF9">
            <w:pPr>
              <w:pStyle w:val="aff4"/>
              <w:rPr>
                <w:rFonts w:hint="default"/>
              </w:rPr>
            </w:pPr>
            <w:r>
              <w:t>/</w:t>
            </w:r>
          </w:p>
        </w:tc>
      </w:tr>
      <w:tr w:rsidR="003E78AB" w14:paraId="1675D39E" w14:textId="77777777">
        <w:trPr>
          <w:trHeight w:val="90"/>
          <w:jc w:val="center"/>
        </w:trPr>
        <w:tc>
          <w:tcPr>
            <w:tcW w:w="500" w:type="pct"/>
            <w:vMerge w:val="restart"/>
            <w:vAlign w:val="center"/>
          </w:tcPr>
          <w:p w14:paraId="7E04B063" w14:textId="77777777" w:rsidR="003E78AB" w:rsidRDefault="00010BF9">
            <w:pPr>
              <w:pStyle w:val="aff4"/>
              <w:rPr>
                <w:rFonts w:hint="default"/>
              </w:rPr>
            </w:pPr>
            <w:r>
              <w:rPr>
                <w:rFonts w:hint="default"/>
              </w:rPr>
              <w:t>无组织废气</w:t>
            </w:r>
          </w:p>
        </w:tc>
        <w:tc>
          <w:tcPr>
            <w:tcW w:w="1184" w:type="pct"/>
            <w:vAlign w:val="center"/>
          </w:tcPr>
          <w:p w14:paraId="14EFB636" w14:textId="77777777" w:rsidR="003E78AB" w:rsidRDefault="00010BF9">
            <w:pPr>
              <w:pStyle w:val="aff4"/>
              <w:rPr>
                <w:rFonts w:hint="default"/>
              </w:rPr>
            </w:pPr>
            <w:r>
              <w:t>生产</w:t>
            </w:r>
            <w:r>
              <w:rPr>
                <w:rFonts w:hint="default"/>
              </w:rPr>
              <w:t>车间</w:t>
            </w:r>
          </w:p>
        </w:tc>
        <w:tc>
          <w:tcPr>
            <w:tcW w:w="995" w:type="pct"/>
            <w:vAlign w:val="center"/>
          </w:tcPr>
          <w:p w14:paraId="4B2DECFD" w14:textId="77777777" w:rsidR="003E78AB" w:rsidRDefault="00010BF9">
            <w:pPr>
              <w:pStyle w:val="aff4"/>
              <w:rPr>
                <w:rFonts w:hint="default"/>
              </w:rPr>
            </w:pPr>
            <w:r>
              <w:rPr>
                <w:rFonts w:hint="default"/>
              </w:rPr>
              <w:t>粉尘、</w:t>
            </w:r>
            <w:r>
              <w:t>硫酸雾、磷酸雾、</w:t>
            </w:r>
            <w:r>
              <w:rPr>
                <w:bCs/>
              </w:rPr>
              <w:t>VOC</w:t>
            </w:r>
          </w:p>
        </w:tc>
        <w:tc>
          <w:tcPr>
            <w:tcW w:w="748" w:type="pct"/>
            <w:vAlign w:val="center"/>
          </w:tcPr>
          <w:p w14:paraId="3BE988AB" w14:textId="77777777" w:rsidR="003E78AB" w:rsidRDefault="00010BF9">
            <w:pPr>
              <w:pStyle w:val="aff4"/>
              <w:rPr>
                <w:rFonts w:hint="default"/>
                <w:kern w:val="2"/>
              </w:rPr>
            </w:pPr>
            <w:r>
              <w:rPr>
                <w:rFonts w:hint="default"/>
              </w:rPr>
              <w:t>物料衡算法</w:t>
            </w:r>
          </w:p>
        </w:tc>
        <w:tc>
          <w:tcPr>
            <w:tcW w:w="1571" w:type="pct"/>
            <w:vAlign w:val="center"/>
          </w:tcPr>
          <w:p w14:paraId="092CCB09" w14:textId="77777777" w:rsidR="003E78AB" w:rsidRDefault="003E78AB">
            <w:pPr>
              <w:pStyle w:val="aff4"/>
              <w:rPr>
                <w:rFonts w:hint="default"/>
              </w:rPr>
            </w:pPr>
          </w:p>
        </w:tc>
      </w:tr>
      <w:tr w:rsidR="003E78AB" w14:paraId="1C9CEE1E" w14:textId="77777777">
        <w:trPr>
          <w:jc w:val="center"/>
        </w:trPr>
        <w:tc>
          <w:tcPr>
            <w:tcW w:w="500" w:type="pct"/>
            <w:vMerge/>
            <w:vAlign w:val="center"/>
          </w:tcPr>
          <w:p w14:paraId="4144027B" w14:textId="77777777" w:rsidR="003E78AB" w:rsidRDefault="003E78AB">
            <w:pPr>
              <w:pStyle w:val="aff4"/>
              <w:rPr>
                <w:rFonts w:hint="default"/>
              </w:rPr>
            </w:pPr>
          </w:p>
        </w:tc>
        <w:tc>
          <w:tcPr>
            <w:tcW w:w="1184" w:type="pct"/>
            <w:vAlign w:val="center"/>
          </w:tcPr>
          <w:p w14:paraId="691FF75B" w14:textId="77777777" w:rsidR="003E78AB" w:rsidRDefault="00010BF9">
            <w:pPr>
              <w:pStyle w:val="aff4"/>
              <w:rPr>
                <w:rFonts w:hint="default"/>
              </w:rPr>
            </w:pPr>
            <w:r>
              <w:t>液体库</w:t>
            </w:r>
          </w:p>
        </w:tc>
        <w:tc>
          <w:tcPr>
            <w:tcW w:w="995" w:type="pct"/>
            <w:vAlign w:val="center"/>
          </w:tcPr>
          <w:p w14:paraId="0A6153A0" w14:textId="77777777" w:rsidR="003E78AB" w:rsidRDefault="00010BF9">
            <w:pPr>
              <w:pStyle w:val="aff4"/>
              <w:rPr>
                <w:rFonts w:hint="default"/>
                <w:kern w:val="2"/>
              </w:rPr>
            </w:pPr>
            <w:r>
              <w:rPr>
                <w:kern w:val="2"/>
              </w:rPr>
              <w:t>硫酸雾、磷酸雾</w:t>
            </w:r>
          </w:p>
        </w:tc>
        <w:tc>
          <w:tcPr>
            <w:tcW w:w="748" w:type="pct"/>
            <w:vAlign w:val="center"/>
          </w:tcPr>
          <w:p w14:paraId="52D1D460" w14:textId="77777777" w:rsidR="003E78AB" w:rsidRDefault="00010BF9">
            <w:pPr>
              <w:pStyle w:val="aff4"/>
              <w:rPr>
                <w:rFonts w:hint="default"/>
              </w:rPr>
            </w:pPr>
            <w:r>
              <w:rPr>
                <w:rFonts w:hint="default"/>
              </w:rPr>
              <w:t>物料衡算法</w:t>
            </w:r>
          </w:p>
        </w:tc>
        <w:tc>
          <w:tcPr>
            <w:tcW w:w="1571" w:type="pct"/>
            <w:vAlign w:val="center"/>
          </w:tcPr>
          <w:p w14:paraId="56CD4A01" w14:textId="77777777" w:rsidR="003E78AB" w:rsidRDefault="003E78AB">
            <w:pPr>
              <w:pStyle w:val="aff4"/>
              <w:rPr>
                <w:rFonts w:hint="default"/>
              </w:rPr>
            </w:pPr>
          </w:p>
        </w:tc>
      </w:tr>
    </w:tbl>
    <w:p w14:paraId="4B67C200" w14:textId="77777777" w:rsidR="003E78AB" w:rsidRDefault="00010BF9">
      <w:pPr>
        <w:ind w:firstLine="480"/>
        <w:rPr>
          <w:lang w:bidi="ar"/>
        </w:rPr>
      </w:pPr>
      <w:r>
        <w:t>具体核算情况如下：</w:t>
      </w:r>
    </w:p>
    <w:p w14:paraId="668A5051" w14:textId="77777777" w:rsidR="003E78AB" w:rsidRDefault="00010BF9">
      <w:pPr>
        <w:ind w:firstLineChars="0" w:firstLine="0"/>
        <w:rPr>
          <w:kern w:val="2"/>
        </w:rPr>
      </w:pPr>
      <w:r>
        <w:rPr>
          <w:rFonts w:hint="eastAsia"/>
          <w:kern w:val="2"/>
        </w:rPr>
        <w:t>1.</w:t>
      </w:r>
      <w:r>
        <w:rPr>
          <w:rFonts w:hint="eastAsia"/>
          <w:kern w:val="2"/>
        </w:rPr>
        <w:t>投料废气</w:t>
      </w:r>
    </w:p>
    <w:p w14:paraId="633816DB" w14:textId="77777777" w:rsidR="003E78AB" w:rsidRDefault="00010BF9">
      <w:pPr>
        <w:ind w:firstLine="480"/>
        <w:rPr>
          <w:kern w:val="2"/>
        </w:rPr>
      </w:pPr>
      <w:r>
        <w:rPr>
          <w:rFonts w:hint="eastAsia"/>
          <w:kern w:val="2"/>
        </w:rPr>
        <w:t>根据《粉体物料投料粉尘产生系数研究报告》（</w:t>
      </w:r>
      <w:r>
        <w:rPr>
          <w:rFonts w:hint="eastAsia"/>
          <w:kern w:val="2"/>
        </w:rPr>
        <w:t>CNKI</w:t>
      </w:r>
      <w:r>
        <w:rPr>
          <w:rFonts w:hint="eastAsia"/>
          <w:kern w:val="2"/>
        </w:rPr>
        <w:t>）</w:t>
      </w:r>
      <w:r>
        <w:rPr>
          <w:rFonts w:hint="eastAsia"/>
          <w:kern w:val="2"/>
        </w:rPr>
        <w:t>EPA AP-42</w:t>
      </w:r>
      <w:r>
        <w:rPr>
          <w:rFonts w:hint="eastAsia"/>
          <w:kern w:val="2"/>
        </w:rPr>
        <w:t>第</w:t>
      </w:r>
      <w:r>
        <w:rPr>
          <w:rFonts w:hint="eastAsia"/>
          <w:kern w:val="2"/>
        </w:rPr>
        <w:t>13.2.4</w:t>
      </w:r>
      <w:r>
        <w:rPr>
          <w:rFonts w:hint="eastAsia"/>
          <w:kern w:val="2"/>
        </w:rPr>
        <w:t>章（散装物料操作排放因子）：</w:t>
      </w:r>
    </w:p>
    <w:p w14:paraId="79D1AAD1" w14:textId="77777777" w:rsidR="003E78AB" w:rsidRDefault="00010BF9">
      <w:pPr>
        <w:ind w:firstLine="480"/>
        <w:rPr>
          <w:kern w:val="2"/>
        </w:rPr>
      </w:pPr>
      <w:r>
        <w:rPr>
          <w:rFonts w:hint="eastAsia"/>
          <w:kern w:val="2"/>
        </w:rPr>
        <w:t>粉尘产生量公式：</w:t>
      </w:r>
    </w:p>
    <w:p w14:paraId="7B931D44" w14:textId="77777777" w:rsidR="003E78AB" w:rsidRDefault="00010BF9">
      <w:pPr>
        <w:ind w:firstLineChars="0" w:firstLine="0"/>
        <w:jc w:val="center"/>
        <w:rPr>
          <w:kern w:val="2"/>
        </w:rPr>
      </w:pPr>
      <w:r>
        <w:rPr>
          <w:rFonts w:hint="eastAsia"/>
          <w:kern w:val="2"/>
        </w:rPr>
        <w:t>Q</w:t>
      </w:r>
      <w:r>
        <w:rPr>
          <w:rFonts w:hint="eastAsia"/>
          <w:kern w:val="2"/>
          <w:vertAlign w:val="subscript"/>
        </w:rPr>
        <w:t>dust</w:t>
      </w:r>
      <w:r>
        <w:rPr>
          <w:rFonts w:hint="eastAsia"/>
          <w:kern w:val="2"/>
        </w:rPr>
        <w:t>=M</w:t>
      </w:r>
      <w:r>
        <w:rPr>
          <w:rFonts w:hint="eastAsia"/>
          <w:kern w:val="2"/>
        </w:rPr>
        <w:t>×</w:t>
      </w:r>
      <w:r>
        <w:rPr>
          <w:kern w:val="2"/>
        </w:rPr>
        <w:t>η</w:t>
      </w:r>
      <w:r>
        <w:rPr>
          <w:rFonts w:hint="eastAsia"/>
          <w:kern w:val="2"/>
        </w:rPr>
        <w:t>×</w:t>
      </w:r>
      <w:r>
        <w:rPr>
          <w:rFonts w:hint="eastAsia"/>
          <w:kern w:val="2"/>
        </w:rPr>
        <w:t>KQ</w:t>
      </w:r>
      <w:r>
        <w:rPr>
          <w:rFonts w:hint="eastAsia"/>
          <w:kern w:val="2"/>
          <w:vertAlign w:val="subscript"/>
        </w:rPr>
        <w:t>dust</w:t>
      </w:r>
    </w:p>
    <w:p w14:paraId="55D6B7F5" w14:textId="77777777" w:rsidR="003E78AB" w:rsidRDefault="00010BF9">
      <w:pPr>
        <w:ind w:firstLineChars="0" w:firstLine="0"/>
        <w:rPr>
          <w:kern w:val="2"/>
        </w:rPr>
      </w:pPr>
      <w:r>
        <w:rPr>
          <w:kern w:val="2"/>
        </w:rPr>
        <w:t>式中：</w:t>
      </w:r>
      <w:r>
        <w:rPr>
          <w:kern w:val="2"/>
        </w:rPr>
        <w:t>Q</w:t>
      </w:r>
      <w:r>
        <w:rPr>
          <w:kern w:val="2"/>
          <w:vertAlign w:val="subscript"/>
        </w:rPr>
        <w:t>dust</w:t>
      </w:r>
      <w:r>
        <w:rPr>
          <w:kern w:val="2"/>
        </w:rPr>
        <w:t>——</w:t>
      </w:r>
      <w:r>
        <w:rPr>
          <w:kern w:val="2"/>
        </w:rPr>
        <w:t>年粉尘产生量</w:t>
      </w:r>
      <w:r>
        <w:rPr>
          <w:kern w:val="2"/>
        </w:rPr>
        <w:t>(kg/a)</w:t>
      </w:r>
      <w:r>
        <w:rPr>
          <w:rFonts w:hint="eastAsia"/>
          <w:kern w:val="2"/>
        </w:rPr>
        <w:t>；</w:t>
      </w:r>
    </w:p>
    <w:p w14:paraId="295C0E64" w14:textId="77777777" w:rsidR="003E78AB" w:rsidRDefault="00010BF9">
      <w:pPr>
        <w:ind w:firstLineChars="300" w:firstLine="720"/>
        <w:rPr>
          <w:kern w:val="2"/>
        </w:rPr>
      </w:pPr>
      <w:r>
        <w:rPr>
          <w:kern w:val="2"/>
        </w:rPr>
        <w:t>M——</w:t>
      </w:r>
      <w:r>
        <w:rPr>
          <w:kern w:val="2"/>
        </w:rPr>
        <w:t>年物料投加量</w:t>
      </w:r>
      <w:r>
        <w:rPr>
          <w:kern w:val="2"/>
        </w:rPr>
        <w:t>(kg/a)</w:t>
      </w:r>
      <w:r>
        <w:rPr>
          <w:rFonts w:hint="eastAsia"/>
          <w:kern w:val="2"/>
        </w:rPr>
        <w:t>；</w:t>
      </w:r>
    </w:p>
    <w:p w14:paraId="4BA0EABE" w14:textId="77777777" w:rsidR="003E78AB" w:rsidRDefault="00010BF9">
      <w:pPr>
        <w:ind w:firstLineChars="300" w:firstLine="720"/>
        <w:rPr>
          <w:kern w:val="2"/>
        </w:rPr>
      </w:pPr>
      <w:r>
        <w:rPr>
          <w:kern w:val="2"/>
        </w:rPr>
        <w:t>η——</w:t>
      </w:r>
      <w:r>
        <w:rPr>
          <w:kern w:val="2"/>
        </w:rPr>
        <w:t>粉尘产生系数</w:t>
      </w:r>
      <w:r>
        <w:rPr>
          <w:rFonts w:hint="eastAsia"/>
          <w:kern w:val="2"/>
        </w:rPr>
        <w:t>，五氧化二钒取</w:t>
      </w:r>
      <w:r>
        <w:rPr>
          <w:rFonts w:hint="eastAsia"/>
          <w:kern w:val="2"/>
        </w:rPr>
        <w:t>0.012%</w:t>
      </w:r>
      <w:r>
        <w:rPr>
          <w:rFonts w:hint="eastAsia"/>
          <w:kern w:val="2"/>
        </w:rPr>
        <w:t>，草酸取</w:t>
      </w:r>
      <w:r>
        <w:rPr>
          <w:rFonts w:hint="eastAsia"/>
          <w:kern w:val="2"/>
        </w:rPr>
        <w:t>0.08%</w:t>
      </w:r>
      <w:r>
        <w:rPr>
          <w:rFonts w:hint="eastAsia"/>
          <w:kern w:val="2"/>
        </w:rPr>
        <w:t>；</w:t>
      </w:r>
    </w:p>
    <w:p w14:paraId="775A61BF" w14:textId="77777777" w:rsidR="003E78AB" w:rsidRDefault="00010BF9">
      <w:pPr>
        <w:ind w:firstLineChars="300" w:firstLine="720"/>
        <w:rPr>
          <w:kern w:val="2"/>
        </w:rPr>
      </w:pPr>
      <w:r>
        <w:rPr>
          <w:kern w:val="2"/>
        </w:rPr>
        <w:t>K——</w:t>
      </w:r>
      <w:r>
        <w:rPr>
          <w:kern w:val="2"/>
        </w:rPr>
        <w:t>操作修正系数（真空上料取</w:t>
      </w:r>
      <w:r>
        <w:rPr>
          <w:kern w:val="2"/>
        </w:rPr>
        <w:t>0.7</w:t>
      </w:r>
      <w:r>
        <w:rPr>
          <w:kern w:val="2"/>
        </w:rPr>
        <w:t>）</w:t>
      </w:r>
      <w:r>
        <w:rPr>
          <w:rFonts w:hint="eastAsia"/>
          <w:kern w:val="2"/>
        </w:rPr>
        <w:t>；</w:t>
      </w:r>
    </w:p>
    <w:p w14:paraId="6164DDB6" w14:textId="77777777" w:rsidR="003E78AB" w:rsidRDefault="00010BF9">
      <w:pPr>
        <w:ind w:firstLine="480"/>
        <w:rPr>
          <w:kern w:val="2"/>
        </w:rPr>
      </w:pPr>
      <w:r>
        <w:rPr>
          <w:rFonts w:hint="eastAsia"/>
          <w:kern w:val="2"/>
        </w:rPr>
        <w:t>五氧化二钒拆包投料和草酸拆包投料分别配套真空投料系统，产生的粉尘经各自配套的高效覆膜袋式除尘器处理后经各自的排气筒排放。拆包投料的粉尘逸散率按</w:t>
      </w:r>
      <w:r>
        <w:rPr>
          <w:rFonts w:hint="eastAsia"/>
          <w:kern w:val="2"/>
        </w:rPr>
        <w:t>5%</w:t>
      </w:r>
      <w:r>
        <w:rPr>
          <w:rFonts w:hint="eastAsia"/>
          <w:kern w:val="2"/>
        </w:rPr>
        <w:t>计，袋式除尘器处理效率按</w:t>
      </w:r>
      <w:r>
        <w:rPr>
          <w:rFonts w:hint="eastAsia"/>
          <w:kern w:val="2"/>
        </w:rPr>
        <w:t>98%</w:t>
      </w:r>
      <w:r>
        <w:rPr>
          <w:rFonts w:hint="eastAsia"/>
          <w:kern w:val="2"/>
        </w:rPr>
        <w:t>计，</w:t>
      </w:r>
      <w:r>
        <w:rPr>
          <w:kern w:val="2"/>
        </w:rPr>
        <w:t>拆包投料时间按</w:t>
      </w:r>
      <w:r>
        <w:rPr>
          <w:kern w:val="2"/>
        </w:rPr>
        <w:t>15~17min/</w:t>
      </w:r>
      <w:r>
        <w:rPr>
          <w:kern w:val="2"/>
        </w:rPr>
        <w:t>袋计，核算出五氧化二钒和草酸投料时间分别取整为</w:t>
      </w:r>
      <w:r>
        <w:rPr>
          <w:kern w:val="2"/>
        </w:rPr>
        <w:t>2500h/a</w:t>
      </w:r>
      <w:r>
        <w:rPr>
          <w:kern w:val="2"/>
        </w:rPr>
        <w:t>、</w:t>
      </w:r>
      <w:r>
        <w:rPr>
          <w:kern w:val="2"/>
        </w:rPr>
        <w:t>1800h/a</w:t>
      </w:r>
      <w:r>
        <w:rPr>
          <w:rFonts w:hint="eastAsia"/>
          <w:kern w:val="2"/>
        </w:rPr>
        <w:t>。</w:t>
      </w:r>
    </w:p>
    <w:p w14:paraId="759A7CBC" w14:textId="77777777" w:rsidR="003E78AB" w:rsidRDefault="00010BF9">
      <w:pPr>
        <w:ind w:firstLine="480"/>
        <w:rPr>
          <w:kern w:val="2"/>
        </w:rPr>
      </w:pPr>
      <w:bookmarkStart w:id="252" w:name="OLE_LINK49"/>
      <w:r>
        <w:rPr>
          <w:rFonts w:hint="eastAsia"/>
          <w:kern w:val="2"/>
        </w:rPr>
        <w:t>G1-1</w:t>
      </w:r>
      <w:bookmarkEnd w:id="252"/>
      <w:r>
        <w:rPr>
          <w:rFonts w:hint="eastAsia"/>
          <w:kern w:val="2"/>
        </w:rPr>
        <w:t>五氧化二钒投料废气和</w:t>
      </w:r>
      <w:r>
        <w:rPr>
          <w:rFonts w:hint="eastAsia"/>
          <w:kern w:val="2"/>
        </w:rPr>
        <w:t>G1-2</w:t>
      </w:r>
      <w:r>
        <w:rPr>
          <w:rFonts w:hint="eastAsia"/>
          <w:kern w:val="2"/>
        </w:rPr>
        <w:t>草酸投料废气核算结果如下：</w:t>
      </w:r>
    </w:p>
    <w:p w14:paraId="42B02E89" w14:textId="77777777" w:rsidR="003E78AB" w:rsidRDefault="00010BF9">
      <w:pPr>
        <w:pStyle w:val="a1"/>
      </w:pPr>
      <w:r>
        <w:rPr>
          <w:rFonts w:hint="eastAsia"/>
        </w:rPr>
        <w:t>投料废气产排情况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810"/>
        <w:gridCol w:w="922"/>
        <w:gridCol w:w="699"/>
        <w:gridCol w:w="670"/>
        <w:gridCol w:w="621"/>
        <w:gridCol w:w="669"/>
        <w:gridCol w:w="789"/>
        <w:gridCol w:w="680"/>
        <w:gridCol w:w="829"/>
        <w:gridCol w:w="678"/>
      </w:tblGrid>
      <w:tr w:rsidR="003E78AB" w14:paraId="7A64929B" w14:textId="77777777">
        <w:trPr>
          <w:trHeight w:val="310"/>
        </w:trPr>
        <w:tc>
          <w:tcPr>
            <w:tcW w:w="673" w:type="pct"/>
            <w:shd w:val="clear" w:color="auto" w:fill="auto"/>
            <w:noWrap/>
            <w:vAlign w:val="center"/>
          </w:tcPr>
          <w:p w14:paraId="7BF60985"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污染源</w:t>
            </w:r>
          </w:p>
        </w:tc>
        <w:tc>
          <w:tcPr>
            <w:tcW w:w="475" w:type="pct"/>
            <w:shd w:val="clear" w:color="auto" w:fill="auto"/>
            <w:noWrap/>
            <w:vAlign w:val="center"/>
          </w:tcPr>
          <w:p w14:paraId="28D825A9"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投料量</w:t>
            </w:r>
            <w:r>
              <w:rPr>
                <w:b/>
                <w:bCs/>
                <w:sz w:val="15"/>
                <w:szCs w:val="15"/>
                <w:lang w:bidi="ar"/>
              </w:rPr>
              <w:t>t/a</w:t>
            </w:r>
          </w:p>
        </w:tc>
        <w:tc>
          <w:tcPr>
            <w:tcW w:w="540" w:type="pct"/>
            <w:shd w:val="clear" w:color="auto" w:fill="auto"/>
            <w:noWrap/>
            <w:vAlign w:val="center"/>
          </w:tcPr>
          <w:p w14:paraId="07297F11"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产尘量</w:t>
            </w:r>
            <w:r>
              <w:rPr>
                <w:b/>
                <w:bCs/>
                <w:sz w:val="15"/>
                <w:szCs w:val="15"/>
                <w:lang w:bidi="ar"/>
              </w:rPr>
              <w:t>kg/a</w:t>
            </w:r>
          </w:p>
        </w:tc>
        <w:tc>
          <w:tcPr>
            <w:tcW w:w="410" w:type="pct"/>
            <w:shd w:val="clear" w:color="auto" w:fill="auto"/>
            <w:noWrap/>
            <w:vAlign w:val="center"/>
          </w:tcPr>
          <w:p w14:paraId="5DFC6B44"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收集效率</w:t>
            </w:r>
            <w:r>
              <w:rPr>
                <w:kern w:val="2"/>
                <w:sz w:val="15"/>
                <w:szCs w:val="15"/>
              </w:rPr>
              <w:t>%</w:t>
            </w:r>
          </w:p>
        </w:tc>
        <w:tc>
          <w:tcPr>
            <w:tcW w:w="393" w:type="pct"/>
            <w:shd w:val="clear" w:color="auto" w:fill="auto"/>
            <w:noWrap/>
            <w:vAlign w:val="center"/>
          </w:tcPr>
          <w:p w14:paraId="37AC0378"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处理效率</w:t>
            </w:r>
            <w:r>
              <w:rPr>
                <w:kern w:val="2"/>
                <w:sz w:val="15"/>
                <w:szCs w:val="15"/>
              </w:rPr>
              <w:t>%</w:t>
            </w:r>
          </w:p>
        </w:tc>
        <w:tc>
          <w:tcPr>
            <w:tcW w:w="364" w:type="pct"/>
            <w:shd w:val="clear" w:color="auto" w:fill="auto"/>
            <w:noWrap/>
            <w:vAlign w:val="center"/>
          </w:tcPr>
          <w:p w14:paraId="5D0DDE6B"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风量</w:t>
            </w:r>
            <w:r>
              <w:rPr>
                <w:b/>
                <w:bCs/>
                <w:sz w:val="15"/>
                <w:szCs w:val="15"/>
                <w:lang w:bidi="ar"/>
              </w:rPr>
              <w:t>m</w:t>
            </w:r>
            <w:r>
              <w:rPr>
                <w:b/>
                <w:bCs/>
                <w:sz w:val="15"/>
                <w:szCs w:val="15"/>
                <w:vertAlign w:val="superscript"/>
                <w:lang w:bidi="ar"/>
              </w:rPr>
              <w:t>3</w:t>
            </w:r>
            <w:r>
              <w:rPr>
                <w:b/>
                <w:bCs/>
                <w:sz w:val="15"/>
                <w:szCs w:val="15"/>
                <w:lang w:bidi="ar"/>
              </w:rPr>
              <w:t>/h</w:t>
            </w:r>
          </w:p>
        </w:tc>
        <w:tc>
          <w:tcPr>
            <w:tcW w:w="393" w:type="pct"/>
            <w:shd w:val="clear" w:color="auto" w:fill="auto"/>
            <w:noWrap/>
            <w:vAlign w:val="center"/>
          </w:tcPr>
          <w:p w14:paraId="781AA82D"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运行时间</w:t>
            </w:r>
            <w:r>
              <w:rPr>
                <w:rFonts w:hint="eastAsia"/>
                <w:b/>
                <w:bCs/>
                <w:sz w:val="15"/>
                <w:szCs w:val="15"/>
                <w:lang w:bidi="ar"/>
              </w:rPr>
              <w:t>*</w:t>
            </w:r>
            <w:r>
              <w:rPr>
                <w:b/>
                <w:bCs/>
                <w:sz w:val="15"/>
                <w:szCs w:val="15"/>
                <w:lang w:bidi="ar"/>
              </w:rPr>
              <w:t>h/a</w:t>
            </w:r>
          </w:p>
        </w:tc>
        <w:tc>
          <w:tcPr>
            <w:tcW w:w="463" w:type="pct"/>
            <w:shd w:val="clear" w:color="auto" w:fill="auto"/>
            <w:noWrap/>
            <w:vAlign w:val="center"/>
          </w:tcPr>
          <w:p w14:paraId="31B2C979"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排放量</w:t>
            </w:r>
            <w:r>
              <w:rPr>
                <w:b/>
                <w:bCs/>
                <w:sz w:val="15"/>
                <w:szCs w:val="15"/>
                <w:lang w:bidi="ar"/>
              </w:rPr>
              <w:t>kg/a</w:t>
            </w:r>
          </w:p>
        </w:tc>
        <w:tc>
          <w:tcPr>
            <w:tcW w:w="399" w:type="pct"/>
            <w:shd w:val="clear" w:color="auto" w:fill="auto"/>
            <w:noWrap/>
            <w:vAlign w:val="center"/>
          </w:tcPr>
          <w:p w14:paraId="32E7FC00" w14:textId="77777777" w:rsidR="003E78AB" w:rsidRDefault="00010BF9">
            <w:pPr>
              <w:spacing w:line="360" w:lineRule="exact"/>
              <w:ind w:firstLineChars="0" w:firstLine="0"/>
              <w:jc w:val="center"/>
              <w:textAlignment w:val="center"/>
              <w:rPr>
                <w:b/>
                <w:bCs/>
                <w:sz w:val="15"/>
                <w:szCs w:val="15"/>
                <w:lang w:bidi="ar"/>
              </w:rPr>
            </w:pPr>
            <w:r>
              <w:rPr>
                <w:rFonts w:hint="eastAsia"/>
                <w:b/>
                <w:bCs/>
                <w:sz w:val="15"/>
                <w:szCs w:val="15"/>
                <w:lang w:bidi="ar"/>
              </w:rPr>
              <w:t>排放速率</w:t>
            </w:r>
            <w:r>
              <w:rPr>
                <w:rFonts w:hint="eastAsia"/>
                <w:b/>
                <w:bCs/>
                <w:sz w:val="15"/>
                <w:szCs w:val="15"/>
                <w:lang w:bidi="ar"/>
              </w:rPr>
              <w:t>kg/h</w:t>
            </w:r>
          </w:p>
        </w:tc>
        <w:tc>
          <w:tcPr>
            <w:tcW w:w="487" w:type="pct"/>
            <w:shd w:val="clear" w:color="auto" w:fill="auto"/>
            <w:noWrap/>
            <w:vAlign w:val="center"/>
          </w:tcPr>
          <w:p w14:paraId="08BB6C10"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排放浓度</w:t>
            </w:r>
            <w:r>
              <w:rPr>
                <w:b/>
                <w:bCs/>
                <w:sz w:val="15"/>
                <w:szCs w:val="15"/>
                <w:lang w:bidi="ar"/>
              </w:rPr>
              <w:t>mg/m</w:t>
            </w:r>
            <w:r>
              <w:rPr>
                <w:b/>
                <w:bCs/>
                <w:sz w:val="15"/>
                <w:szCs w:val="15"/>
                <w:vertAlign w:val="superscript"/>
                <w:lang w:bidi="ar"/>
              </w:rPr>
              <w:t>3</w:t>
            </w:r>
          </w:p>
        </w:tc>
        <w:tc>
          <w:tcPr>
            <w:tcW w:w="398" w:type="pct"/>
            <w:shd w:val="clear" w:color="auto" w:fill="auto"/>
            <w:noWrap/>
            <w:vAlign w:val="center"/>
          </w:tcPr>
          <w:p w14:paraId="192D500C" w14:textId="77777777" w:rsidR="003E78AB" w:rsidRDefault="00010BF9">
            <w:pPr>
              <w:spacing w:line="360" w:lineRule="exact"/>
              <w:ind w:firstLineChars="0" w:firstLine="0"/>
              <w:jc w:val="center"/>
              <w:textAlignment w:val="center"/>
              <w:rPr>
                <w:b/>
                <w:bCs/>
                <w:sz w:val="15"/>
                <w:szCs w:val="15"/>
                <w:lang w:bidi="ar"/>
              </w:rPr>
            </w:pPr>
            <w:r>
              <w:rPr>
                <w:b/>
                <w:bCs/>
                <w:sz w:val="15"/>
                <w:szCs w:val="15"/>
                <w:lang w:bidi="ar"/>
              </w:rPr>
              <w:t>排气筒</w:t>
            </w:r>
          </w:p>
        </w:tc>
      </w:tr>
      <w:tr w:rsidR="003E78AB" w14:paraId="177FC6B5" w14:textId="77777777">
        <w:trPr>
          <w:trHeight w:val="310"/>
        </w:trPr>
        <w:tc>
          <w:tcPr>
            <w:tcW w:w="673" w:type="pct"/>
            <w:shd w:val="clear" w:color="auto" w:fill="auto"/>
            <w:noWrap/>
            <w:vAlign w:val="center"/>
          </w:tcPr>
          <w:p w14:paraId="7F5931A0" w14:textId="77777777" w:rsidR="003E78AB" w:rsidRDefault="00010BF9">
            <w:pPr>
              <w:spacing w:line="360" w:lineRule="exact"/>
              <w:ind w:firstLineChars="0" w:firstLine="0"/>
              <w:jc w:val="center"/>
              <w:textAlignment w:val="center"/>
              <w:rPr>
                <w:sz w:val="15"/>
                <w:szCs w:val="15"/>
                <w:lang w:bidi="ar"/>
              </w:rPr>
            </w:pPr>
            <w:r>
              <w:rPr>
                <w:kern w:val="2"/>
                <w:sz w:val="15"/>
                <w:szCs w:val="15"/>
              </w:rPr>
              <w:t>G1-1</w:t>
            </w:r>
            <w:r>
              <w:rPr>
                <w:kern w:val="2"/>
                <w:sz w:val="15"/>
                <w:szCs w:val="15"/>
              </w:rPr>
              <w:t>五氧化二钒投料废气</w:t>
            </w:r>
          </w:p>
        </w:tc>
        <w:tc>
          <w:tcPr>
            <w:tcW w:w="475" w:type="pct"/>
            <w:shd w:val="clear" w:color="auto" w:fill="auto"/>
            <w:noWrap/>
            <w:vAlign w:val="center"/>
          </w:tcPr>
          <w:p w14:paraId="1BD1C7EE" w14:textId="77777777" w:rsidR="003E78AB" w:rsidRDefault="00010BF9">
            <w:pPr>
              <w:spacing w:line="360" w:lineRule="exact"/>
              <w:ind w:firstLineChars="0" w:firstLine="0"/>
              <w:jc w:val="center"/>
              <w:textAlignment w:val="center"/>
              <w:rPr>
                <w:sz w:val="15"/>
                <w:szCs w:val="15"/>
                <w:lang w:bidi="ar"/>
              </w:rPr>
            </w:pPr>
            <w:r>
              <w:rPr>
                <w:sz w:val="15"/>
                <w:szCs w:val="15"/>
                <w:lang w:bidi="ar"/>
              </w:rPr>
              <w:t>864.3080</w:t>
            </w:r>
          </w:p>
        </w:tc>
        <w:tc>
          <w:tcPr>
            <w:tcW w:w="540" w:type="pct"/>
            <w:shd w:val="clear" w:color="auto" w:fill="auto"/>
            <w:noWrap/>
            <w:vAlign w:val="center"/>
          </w:tcPr>
          <w:p w14:paraId="59EFB23A" w14:textId="77777777" w:rsidR="003E78AB" w:rsidRDefault="00010BF9">
            <w:pPr>
              <w:spacing w:line="360" w:lineRule="exact"/>
              <w:ind w:firstLineChars="0" w:firstLine="0"/>
              <w:jc w:val="center"/>
              <w:textAlignment w:val="center"/>
              <w:rPr>
                <w:kern w:val="2"/>
                <w:sz w:val="15"/>
                <w:szCs w:val="15"/>
              </w:rPr>
            </w:pPr>
            <w:r>
              <w:rPr>
                <w:kern w:val="2"/>
                <w:sz w:val="15"/>
                <w:szCs w:val="15"/>
              </w:rPr>
              <w:t>7260.1</w:t>
            </w:r>
            <w:r>
              <w:rPr>
                <w:rFonts w:hint="eastAsia"/>
                <w:kern w:val="2"/>
                <w:sz w:val="15"/>
                <w:szCs w:val="15"/>
              </w:rPr>
              <w:t>9</w:t>
            </w:r>
          </w:p>
        </w:tc>
        <w:tc>
          <w:tcPr>
            <w:tcW w:w="410" w:type="pct"/>
            <w:shd w:val="clear" w:color="auto" w:fill="auto"/>
            <w:noWrap/>
            <w:vAlign w:val="center"/>
          </w:tcPr>
          <w:p w14:paraId="5B9540D2"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95</w:t>
            </w:r>
          </w:p>
        </w:tc>
        <w:tc>
          <w:tcPr>
            <w:tcW w:w="393" w:type="pct"/>
            <w:shd w:val="clear" w:color="auto" w:fill="auto"/>
            <w:noWrap/>
            <w:vAlign w:val="center"/>
          </w:tcPr>
          <w:p w14:paraId="07E4ABC2" w14:textId="77777777" w:rsidR="003E78AB" w:rsidRDefault="00010BF9">
            <w:pPr>
              <w:spacing w:line="360" w:lineRule="exact"/>
              <w:ind w:firstLineChars="0" w:firstLine="0"/>
              <w:jc w:val="center"/>
              <w:textAlignment w:val="center"/>
              <w:rPr>
                <w:kern w:val="2"/>
                <w:sz w:val="15"/>
                <w:szCs w:val="15"/>
              </w:rPr>
            </w:pPr>
            <w:r>
              <w:rPr>
                <w:kern w:val="2"/>
                <w:sz w:val="15"/>
                <w:szCs w:val="15"/>
              </w:rPr>
              <w:t>98</w:t>
            </w:r>
          </w:p>
        </w:tc>
        <w:tc>
          <w:tcPr>
            <w:tcW w:w="364" w:type="pct"/>
            <w:shd w:val="clear" w:color="auto" w:fill="auto"/>
            <w:noWrap/>
            <w:vAlign w:val="center"/>
          </w:tcPr>
          <w:p w14:paraId="6A9DE16E" w14:textId="77777777" w:rsidR="003E78AB" w:rsidRDefault="00010BF9">
            <w:pPr>
              <w:spacing w:line="360" w:lineRule="exact"/>
              <w:ind w:firstLineChars="0" w:firstLine="0"/>
              <w:jc w:val="center"/>
              <w:textAlignment w:val="center"/>
              <w:rPr>
                <w:kern w:val="2"/>
                <w:sz w:val="15"/>
                <w:szCs w:val="15"/>
              </w:rPr>
            </w:pPr>
            <w:r>
              <w:rPr>
                <w:kern w:val="2"/>
                <w:sz w:val="15"/>
                <w:szCs w:val="15"/>
              </w:rPr>
              <w:t>8000</w:t>
            </w:r>
          </w:p>
        </w:tc>
        <w:tc>
          <w:tcPr>
            <w:tcW w:w="393" w:type="pct"/>
            <w:shd w:val="clear" w:color="auto" w:fill="auto"/>
            <w:noWrap/>
            <w:vAlign w:val="center"/>
          </w:tcPr>
          <w:p w14:paraId="45DE1C64" w14:textId="77777777" w:rsidR="003E78AB" w:rsidRDefault="00010BF9">
            <w:pPr>
              <w:spacing w:line="360" w:lineRule="exact"/>
              <w:ind w:firstLineChars="0" w:firstLine="0"/>
              <w:jc w:val="center"/>
              <w:textAlignment w:val="center"/>
              <w:rPr>
                <w:kern w:val="2"/>
                <w:sz w:val="15"/>
                <w:szCs w:val="15"/>
              </w:rPr>
            </w:pPr>
            <w:r>
              <w:rPr>
                <w:kern w:val="2"/>
                <w:sz w:val="15"/>
                <w:szCs w:val="15"/>
              </w:rPr>
              <w:t>2500</w:t>
            </w:r>
          </w:p>
        </w:tc>
        <w:tc>
          <w:tcPr>
            <w:tcW w:w="463" w:type="pct"/>
            <w:shd w:val="clear" w:color="auto" w:fill="auto"/>
            <w:noWrap/>
            <w:vAlign w:val="center"/>
          </w:tcPr>
          <w:p w14:paraId="74F40396"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137.9436</w:t>
            </w:r>
          </w:p>
        </w:tc>
        <w:tc>
          <w:tcPr>
            <w:tcW w:w="399" w:type="pct"/>
            <w:shd w:val="clear" w:color="auto" w:fill="auto"/>
            <w:noWrap/>
            <w:vAlign w:val="center"/>
          </w:tcPr>
          <w:p w14:paraId="503A9AD6"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0.0552</w:t>
            </w:r>
          </w:p>
        </w:tc>
        <w:tc>
          <w:tcPr>
            <w:tcW w:w="487" w:type="pct"/>
            <w:shd w:val="clear" w:color="auto" w:fill="auto"/>
            <w:noWrap/>
            <w:vAlign w:val="center"/>
          </w:tcPr>
          <w:p w14:paraId="7352DBA1"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6.90</w:t>
            </w:r>
          </w:p>
        </w:tc>
        <w:tc>
          <w:tcPr>
            <w:tcW w:w="398" w:type="pct"/>
            <w:shd w:val="clear" w:color="auto" w:fill="auto"/>
            <w:noWrap/>
            <w:vAlign w:val="center"/>
          </w:tcPr>
          <w:p w14:paraId="4CC0B22A"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DA001</w:t>
            </w:r>
          </w:p>
        </w:tc>
      </w:tr>
      <w:tr w:rsidR="003E78AB" w14:paraId="27329D1B" w14:textId="77777777">
        <w:trPr>
          <w:trHeight w:val="220"/>
        </w:trPr>
        <w:tc>
          <w:tcPr>
            <w:tcW w:w="673" w:type="pct"/>
            <w:shd w:val="clear" w:color="auto" w:fill="auto"/>
            <w:noWrap/>
            <w:vAlign w:val="center"/>
          </w:tcPr>
          <w:p w14:paraId="1BF6D23E" w14:textId="77777777" w:rsidR="003E78AB" w:rsidRDefault="00010BF9">
            <w:pPr>
              <w:spacing w:line="360" w:lineRule="exact"/>
              <w:ind w:firstLineChars="0" w:firstLine="0"/>
              <w:jc w:val="center"/>
              <w:textAlignment w:val="center"/>
              <w:rPr>
                <w:kern w:val="2"/>
                <w:sz w:val="15"/>
                <w:szCs w:val="15"/>
              </w:rPr>
            </w:pPr>
            <w:r>
              <w:rPr>
                <w:kern w:val="2"/>
                <w:sz w:val="15"/>
                <w:szCs w:val="15"/>
              </w:rPr>
              <w:t>G1-1</w:t>
            </w:r>
            <w:r>
              <w:rPr>
                <w:rFonts w:hint="eastAsia"/>
                <w:kern w:val="2"/>
                <w:sz w:val="15"/>
                <w:szCs w:val="15"/>
              </w:rPr>
              <w:t>草酸</w:t>
            </w:r>
            <w:r>
              <w:rPr>
                <w:kern w:val="2"/>
                <w:sz w:val="15"/>
                <w:szCs w:val="15"/>
              </w:rPr>
              <w:t>投料废气</w:t>
            </w:r>
          </w:p>
        </w:tc>
        <w:tc>
          <w:tcPr>
            <w:tcW w:w="475" w:type="pct"/>
            <w:shd w:val="clear" w:color="auto" w:fill="auto"/>
            <w:noWrap/>
            <w:vAlign w:val="center"/>
          </w:tcPr>
          <w:p w14:paraId="66EC48BF" w14:textId="77777777" w:rsidR="003E78AB" w:rsidRDefault="00010BF9">
            <w:pPr>
              <w:spacing w:line="360" w:lineRule="exact"/>
              <w:ind w:firstLineChars="0" w:firstLine="0"/>
              <w:jc w:val="center"/>
              <w:textAlignment w:val="center"/>
              <w:rPr>
                <w:sz w:val="15"/>
                <w:szCs w:val="15"/>
                <w:lang w:bidi="ar"/>
              </w:rPr>
            </w:pPr>
            <w:r>
              <w:rPr>
                <w:sz w:val="15"/>
                <w:szCs w:val="15"/>
                <w:lang w:bidi="ar"/>
              </w:rPr>
              <w:t>658.8363</w:t>
            </w:r>
          </w:p>
        </w:tc>
        <w:tc>
          <w:tcPr>
            <w:tcW w:w="540" w:type="pct"/>
            <w:shd w:val="clear" w:color="auto" w:fill="auto"/>
            <w:noWrap/>
            <w:vAlign w:val="center"/>
          </w:tcPr>
          <w:p w14:paraId="11AFB862" w14:textId="77777777" w:rsidR="003E78AB" w:rsidRDefault="00010BF9">
            <w:pPr>
              <w:spacing w:line="360" w:lineRule="exact"/>
              <w:ind w:firstLineChars="0" w:firstLine="0"/>
              <w:jc w:val="center"/>
              <w:textAlignment w:val="center"/>
              <w:rPr>
                <w:kern w:val="2"/>
                <w:sz w:val="15"/>
                <w:szCs w:val="15"/>
              </w:rPr>
            </w:pPr>
            <w:r>
              <w:rPr>
                <w:kern w:val="2"/>
                <w:sz w:val="15"/>
                <w:szCs w:val="15"/>
              </w:rPr>
              <w:t>3689.48</w:t>
            </w:r>
          </w:p>
        </w:tc>
        <w:tc>
          <w:tcPr>
            <w:tcW w:w="410" w:type="pct"/>
            <w:shd w:val="clear" w:color="auto" w:fill="auto"/>
            <w:noWrap/>
            <w:vAlign w:val="center"/>
          </w:tcPr>
          <w:p w14:paraId="1D4137C8"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95</w:t>
            </w:r>
          </w:p>
        </w:tc>
        <w:tc>
          <w:tcPr>
            <w:tcW w:w="393" w:type="pct"/>
            <w:shd w:val="clear" w:color="auto" w:fill="auto"/>
            <w:noWrap/>
            <w:vAlign w:val="center"/>
          </w:tcPr>
          <w:p w14:paraId="6A05C5A0" w14:textId="77777777" w:rsidR="003E78AB" w:rsidRDefault="00010BF9">
            <w:pPr>
              <w:spacing w:line="360" w:lineRule="exact"/>
              <w:ind w:firstLineChars="0" w:firstLine="0"/>
              <w:jc w:val="center"/>
              <w:textAlignment w:val="center"/>
              <w:rPr>
                <w:kern w:val="2"/>
                <w:sz w:val="15"/>
                <w:szCs w:val="15"/>
              </w:rPr>
            </w:pPr>
            <w:r>
              <w:rPr>
                <w:kern w:val="2"/>
                <w:sz w:val="15"/>
                <w:szCs w:val="15"/>
              </w:rPr>
              <w:t>98</w:t>
            </w:r>
          </w:p>
        </w:tc>
        <w:tc>
          <w:tcPr>
            <w:tcW w:w="364" w:type="pct"/>
            <w:shd w:val="clear" w:color="auto" w:fill="auto"/>
            <w:noWrap/>
            <w:vAlign w:val="center"/>
          </w:tcPr>
          <w:p w14:paraId="7A7B8062" w14:textId="77777777" w:rsidR="003E78AB" w:rsidRDefault="00010BF9">
            <w:pPr>
              <w:spacing w:line="360" w:lineRule="exact"/>
              <w:ind w:firstLineChars="0" w:firstLine="0"/>
              <w:jc w:val="center"/>
              <w:textAlignment w:val="center"/>
              <w:rPr>
                <w:kern w:val="2"/>
                <w:sz w:val="15"/>
                <w:szCs w:val="15"/>
              </w:rPr>
            </w:pPr>
            <w:r>
              <w:rPr>
                <w:kern w:val="2"/>
                <w:sz w:val="15"/>
                <w:szCs w:val="15"/>
              </w:rPr>
              <w:t>8000</w:t>
            </w:r>
          </w:p>
        </w:tc>
        <w:tc>
          <w:tcPr>
            <w:tcW w:w="393" w:type="pct"/>
            <w:shd w:val="clear" w:color="auto" w:fill="auto"/>
            <w:noWrap/>
            <w:vAlign w:val="center"/>
          </w:tcPr>
          <w:p w14:paraId="6EF93A11" w14:textId="77777777" w:rsidR="003E78AB" w:rsidRDefault="00010BF9">
            <w:pPr>
              <w:spacing w:line="360" w:lineRule="exact"/>
              <w:ind w:firstLineChars="0" w:firstLine="0"/>
              <w:jc w:val="center"/>
              <w:textAlignment w:val="center"/>
              <w:rPr>
                <w:kern w:val="2"/>
                <w:sz w:val="15"/>
                <w:szCs w:val="15"/>
              </w:rPr>
            </w:pPr>
            <w:r>
              <w:rPr>
                <w:kern w:val="2"/>
                <w:sz w:val="15"/>
                <w:szCs w:val="15"/>
              </w:rPr>
              <w:t>1800</w:t>
            </w:r>
          </w:p>
        </w:tc>
        <w:tc>
          <w:tcPr>
            <w:tcW w:w="463" w:type="pct"/>
            <w:shd w:val="clear" w:color="auto" w:fill="auto"/>
            <w:noWrap/>
            <w:vAlign w:val="center"/>
          </w:tcPr>
          <w:p w14:paraId="6A3591CA"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70.1002</w:t>
            </w:r>
          </w:p>
        </w:tc>
        <w:tc>
          <w:tcPr>
            <w:tcW w:w="399" w:type="pct"/>
            <w:shd w:val="clear" w:color="auto" w:fill="auto"/>
            <w:noWrap/>
            <w:vAlign w:val="center"/>
          </w:tcPr>
          <w:p w14:paraId="2426D6B7"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0.0389</w:t>
            </w:r>
          </w:p>
        </w:tc>
        <w:tc>
          <w:tcPr>
            <w:tcW w:w="487" w:type="pct"/>
            <w:shd w:val="clear" w:color="auto" w:fill="auto"/>
            <w:noWrap/>
            <w:vAlign w:val="center"/>
          </w:tcPr>
          <w:p w14:paraId="0107E647"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4.88</w:t>
            </w:r>
          </w:p>
        </w:tc>
        <w:tc>
          <w:tcPr>
            <w:tcW w:w="398" w:type="pct"/>
            <w:shd w:val="clear" w:color="auto" w:fill="auto"/>
            <w:noWrap/>
            <w:vAlign w:val="center"/>
          </w:tcPr>
          <w:p w14:paraId="2719E353"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DA002</w:t>
            </w:r>
          </w:p>
        </w:tc>
      </w:tr>
      <w:tr w:rsidR="003E78AB" w14:paraId="5C94C954" w14:textId="77777777">
        <w:trPr>
          <w:trHeight w:val="310"/>
        </w:trPr>
        <w:tc>
          <w:tcPr>
            <w:tcW w:w="673" w:type="pct"/>
            <w:shd w:val="clear" w:color="auto" w:fill="auto"/>
            <w:noWrap/>
            <w:vAlign w:val="center"/>
          </w:tcPr>
          <w:p w14:paraId="5BC1CB64"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无组织</w:t>
            </w:r>
          </w:p>
        </w:tc>
        <w:tc>
          <w:tcPr>
            <w:tcW w:w="475" w:type="pct"/>
            <w:shd w:val="clear" w:color="auto" w:fill="auto"/>
            <w:noWrap/>
            <w:vAlign w:val="center"/>
          </w:tcPr>
          <w:p w14:paraId="34A4B4D3" w14:textId="77777777" w:rsidR="003E78AB" w:rsidRDefault="00010BF9">
            <w:pPr>
              <w:spacing w:line="360" w:lineRule="exact"/>
              <w:ind w:firstLineChars="0" w:firstLine="0"/>
              <w:jc w:val="center"/>
              <w:textAlignment w:val="center"/>
              <w:rPr>
                <w:sz w:val="15"/>
                <w:szCs w:val="15"/>
                <w:lang w:bidi="ar"/>
              </w:rPr>
            </w:pPr>
            <w:r>
              <w:rPr>
                <w:rFonts w:hint="eastAsia"/>
                <w:sz w:val="15"/>
                <w:szCs w:val="15"/>
                <w:lang w:bidi="ar"/>
              </w:rPr>
              <w:t>/</w:t>
            </w:r>
          </w:p>
        </w:tc>
        <w:tc>
          <w:tcPr>
            <w:tcW w:w="540" w:type="pct"/>
            <w:shd w:val="clear" w:color="auto" w:fill="auto"/>
            <w:noWrap/>
            <w:vAlign w:val="center"/>
          </w:tcPr>
          <w:p w14:paraId="2DB9DD9E"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547.4835</w:t>
            </w:r>
          </w:p>
        </w:tc>
        <w:tc>
          <w:tcPr>
            <w:tcW w:w="410" w:type="pct"/>
            <w:shd w:val="clear" w:color="auto" w:fill="auto"/>
            <w:noWrap/>
            <w:vAlign w:val="center"/>
          </w:tcPr>
          <w:p w14:paraId="4E77BD81"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w:t>
            </w:r>
          </w:p>
        </w:tc>
        <w:tc>
          <w:tcPr>
            <w:tcW w:w="393" w:type="pct"/>
            <w:shd w:val="clear" w:color="auto" w:fill="auto"/>
            <w:noWrap/>
            <w:vAlign w:val="center"/>
          </w:tcPr>
          <w:p w14:paraId="62ADE629"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70</w:t>
            </w:r>
          </w:p>
        </w:tc>
        <w:tc>
          <w:tcPr>
            <w:tcW w:w="364" w:type="pct"/>
            <w:shd w:val="clear" w:color="auto" w:fill="auto"/>
            <w:noWrap/>
            <w:vAlign w:val="center"/>
          </w:tcPr>
          <w:p w14:paraId="4463AD1A"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w:t>
            </w:r>
          </w:p>
        </w:tc>
        <w:tc>
          <w:tcPr>
            <w:tcW w:w="393" w:type="pct"/>
            <w:shd w:val="clear" w:color="auto" w:fill="auto"/>
            <w:noWrap/>
            <w:vAlign w:val="center"/>
          </w:tcPr>
          <w:p w14:paraId="3EF4A21A"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w:t>
            </w:r>
          </w:p>
        </w:tc>
        <w:tc>
          <w:tcPr>
            <w:tcW w:w="463" w:type="pct"/>
            <w:shd w:val="clear" w:color="auto" w:fill="auto"/>
            <w:noWrap/>
            <w:vAlign w:val="center"/>
          </w:tcPr>
          <w:p w14:paraId="49FB8940"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164.2451</w:t>
            </w:r>
          </w:p>
        </w:tc>
        <w:tc>
          <w:tcPr>
            <w:tcW w:w="399" w:type="pct"/>
            <w:shd w:val="clear" w:color="auto" w:fill="auto"/>
            <w:noWrap/>
            <w:vAlign w:val="center"/>
          </w:tcPr>
          <w:p w14:paraId="51CD32DE"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0.0743</w:t>
            </w:r>
          </w:p>
        </w:tc>
        <w:tc>
          <w:tcPr>
            <w:tcW w:w="487" w:type="pct"/>
            <w:shd w:val="clear" w:color="auto" w:fill="auto"/>
            <w:noWrap/>
            <w:vAlign w:val="center"/>
          </w:tcPr>
          <w:p w14:paraId="48254797"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w:t>
            </w:r>
          </w:p>
        </w:tc>
        <w:tc>
          <w:tcPr>
            <w:tcW w:w="398" w:type="pct"/>
            <w:shd w:val="clear" w:color="auto" w:fill="auto"/>
            <w:noWrap/>
            <w:vAlign w:val="center"/>
          </w:tcPr>
          <w:p w14:paraId="593836A2" w14:textId="77777777" w:rsidR="003E78AB" w:rsidRDefault="00010BF9">
            <w:pPr>
              <w:spacing w:line="360" w:lineRule="exact"/>
              <w:ind w:firstLineChars="0" w:firstLine="0"/>
              <w:jc w:val="center"/>
              <w:textAlignment w:val="center"/>
              <w:rPr>
                <w:kern w:val="2"/>
                <w:sz w:val="15"/>
                <w:szCs w:val="15"/>
              </w:rPr>
            </w:pPr>
            <w:r>
              <w:rPr>
                <w:rFonts w:hint="eastAsia"/>
                <w:kern w:val="2"/>
                <w:sz w:val="15"/>
                <w:szCs w:val="15"/>
              </w:rPr>
              <w:t>/</w:t>
            </w:r>
          </w:p>
        </w:tc>
      </w:tr>
    </w:tbl>
    <w:p w14:paraId="52FC8B9C" w14:textId="77777777" w:rsidR="003E78AB" w:rsidRDefault="00010BF9">
      <w:pPr>
        <w:ind w:firstLineChars="0" w:firstLine="0"/>
        <w:rPr>
          <w:kern w:val="2"/>
        </w:rPr>
      </w:pPr>
      <w:r>
        <w:rPr>
          <w:rFonts w:hint="eastAsia"/>
          <w:kern w:val="2"/>
        </w:rPr>
        <w:t>2.</w:t>
      </w:r>
      <w:r>
        <w:rPr>
          <w:rFonts w:hint="eastAsia"/>
          <w:kern w:val="2"/>
        </w:rPr>
        <w:t>生产工艺废气</w:t>
      </w:r>
    </w:p>
    <w:p w14:paraId="3D84AF52" w14:textId="77777777" w:rsidR="003E78AB" w:rsidRDefault="00010BF9">
      <w:pPr>
        <w:ind w:firstLine="480"/>
        <w:rPr>
          <w:kern w:val="2"/>
        </w:rPr>
      </w:pPr>
      <w:r>
        <w:rPr>
          <w:rFonts w:hint="eastAsia"/>
          <w:kern w:val="2"/>
        </w:rPr>
        <w:t>生产工艺环节产生的废气</w:t>
      </w:r>
      <w:r>
        <w:rPr>
          <w:rFonts w:hint="eastAsia"/>
          <w:kern w:val="2"/>
        </w:rPr>
        <w:t>G2</w:t>
      </w:r>
      <w:r>
        <w:rPr>
          <w:rFonts w:hint="eastAsia"/>
          <w:kern w:val="2"/>
        </w:rPr>
        <w:t>经尾气管道收集后一并进入生产车间一西侧的废气处理设施，经过一级碱洗</w:t>
      </w:r>
      <w:r>
        <w:rPr>
          <w:rFonts w:hint="eastAsia"/>
          <w:kern w:val="2"/>
        </w:rPr>
        <w:t>+</w:t>
      </w:r>
      <w:r>
        <w:rPr>
          <w:rFonts w:hint="eastAsia"/>
          <w:kern w:val="2"/>
        </w:rPr>
        <w:t>一级水洗后排放。液体库磷酸罐装卸等产生的呼吸废气计入磷酸投加定容罐废气；因浓硫酸中硫酸分子挥发性极低，故不考虑装卸等硫酸罐呼吸产生的酸雾。</w:t>
      </w:r>
    </w:p>
    <w:p w14:paraId="2646B9DA" w14:textId="77777777" w:rsidR="003E78AB" w:rsidRDefault="00010BF9">
      <w:pPr>
        <w:ind w:firstLine="480"/>
        <w:rPr>
          <w:kern w:val="2"/>
        </w:rPr>
      </w:pPr>
      <w:r>
        <w:rPr>
          <w:rFonts w:hint="eastAsia"/>
          <w:kern w:val="2"/>
        </w:rPr>
        <w:t>（</w:t>
      </w:r>
      <w:r>
        <w:rPr>
          <w:rFonts w:hint="eastAsia"/>
          <w:kern w:val="2"/>
        </w:rPr>
        <w:t>1</w:t>
      </w:r>
      <w:r>
        <w:rPr>
          <w:rFonts w:hint="eastAsia"/>
          <w:kern w:val="2"/>
        </w:rPr>
        <w:t>）</w:t>
      </w:r>
      <w:r>
        <w:rPr>
          <w:rFonts w:hint="eastAsia"/>
          <w:kern w:val="2"/>
        </w:rPr>
        <w:t>G2-1</w:t>
      </w:r>
      <w:r>
        <w:rPr>
          <w:rFonts w:hint="eastAsia"/>
          <w:kern w:val="2"/>
        </w:rPr>
        <w:t>硫酸稀释过程酸性废气</w:t>
      </w:r>
    </w:p>
    <w:p w14:paraId="0254AA9A" w14:textId="77777777" w:rsidR="003E78AB" w:rsidRDefault="00010BF9">
      <w:pPr>
        <w:ind w:firstLine="480"/>
        <w:rPr>
          <w:kern w:val="2"/>
        </w:rPr>
      </w:pPr>
      <w:r>
        <w:rPr>
          <w:rFonts w:hint="eastAsia"/>
          <w:kern w:val="2"/>
        </w:rPr>
        <w:t>浓硫酸（</w:t>
      </w:r>
      <w:r>
        <w:rPr>
          <w:rFonts w:hint="eastAsia"/>
          <w:kern w:val="2"/>
        </w:rPr>
        <w:t>98%</w:t>
      </w:r>
      <w:r>
        <w:rPr>
          <w:rFonts w:hint="eastAsia"/>
          <w:kern w:val="2"/>
        </w:rPr>
        <w:t>）稀释时发生剧烈放热反应，放热量导致局部高温（可达</w:t>
      </w:r>
      <w:r>
        <w:rPr>
          <w:rFonts w:hint="eastAsia"/>
          <w:kern w:val="2"/>
        </w:rPr>
        <w:t>120</w:t>
      </w:r>
      <w:r>
        <w:rPr>
          <w:rFonts w:hint="eastAsia"/>
          <w:kern w:val="2"/>
        </w:rPr>
        <w:t>℃），使水分蒸发并夹带硫酸液滴形成硫酸雾。因密闭容器稀释，硫酸雾产生系数</w:t>
      </w:r>
      <w:r>
        <w:rPr>
          <w:rFonts w:hint="eastAsia"/>
          <w:kern w:val="2"/>
        </w:rPr>
        <w:t>0.05%~0.08%</w:t>
      </w:r>
      <w:r>
        <w:rPr>
          <w:rFonts w:hint="eastAsia"/>
          <w:kern w:val="2"/>
        </w:rPr>
        <w:t>（按浓硫酸质量计），本次取保守值</w:t>
      </w:r>
      <w:r>
        <w:rPr>
          <w:rFonts w:hint="eastAsia"/>
          <w:kern w:val="2"/>
        </w:rPr>
        <w:t>0.08%</w:t>
      </w:r>
      <w:r>
        <w:rPr>
          <w:rFonts w:hint="eastAsia"/>
          <w:kern w:val="2"/>
        </w:rPr>
        <w:t>。溶剂还原工序的浓硫酸投加量</w:t>
      </w:r>
      <w:r>
        <w:rPr>
          <w:rFonts w:hint="eastAsia"/>
          <w:kern w:val="2"/>
        </w:rPr>
        <w:t>2376</w:t>
      </w:r>
      <w:r>
        <w:rPr>
          <w:rFonts w:hint="eastAsia"/>
          <w:kern w:val="2"/>
        </w:rPr>
        <w:t>t/a</w:t>
      </w:r>
      <w:r>
        <w:rPr>
          <w:rFonts w:hint="eastAsia"/>
          <w:kern w:val="2"/>
        </w:rPr>
        <w:t>，硫酸稀释过程硫酸雾产生量</w:t>
      </w:r>
      <w:r>
        <w:rPr>
          <w:rFonts w:hint="eastAsia"/>
          <w:kern w:val="2"/>
        </w:rPr>
        <w:t>19008kg/a</w:t>
      </w:r>
      <w:r>
        <w:rPr>
          <w:rFonts w:hint="eastAsia"/>
          <w:kern w:val="2"/>
        </w:rPr>
        <w:t>。</w:t>
      </w:r>
    </w:p>
    <w:p w14:paraId="05219796" w14:textId="77777777" w:rsidR="003E78AB" w:rsidRDefault="00010BF9">
      <w:pPr>
        <w:ind w:firstLine="480"/>
        <w:rPr>
          <w:kern w:val="2"/>
        </w:rPr>
      </w:pPr>
      <w:r>
        <w:rPr>
          <w:rFonts w:hint="eastAsia"/>
          <w:kern w:val="2"/>
        </w:rPr>
        <w:t>（</w:t>
      </w:r>
      <w:r>
        <w:rPr>
          <w:rFonts w:hint="eastAsia"/>
          <w:kern w:val="2"/>
        </w:rPr>
        <w:t>2</w:t>
      </w:r>
      <w:r>
        <w:rPr>
          <w:rFonts w:hint="eastAsia"/>
          <w:kern w:val="2"/>
        </w:rPr>
        <w:t>）</w:t>
      </w:r>
      <w:r>
        <w:rPr>
          <w:rFonts w:hint="eastAsia"/>
          <w:kern w:val="2"/>
        </w:rPr>
        <w:t>G2-2</w:t>
      </w:r>
      <w:r>
        <w:rPr>
          <w:rFonts w:hint="eastAsia"/>
          <w:kern w:val="2"/>
        </w:rPr>
        <w:t>溶解还原釜搅拌和反应过程的酸性废气和</w:t>
      </w:r>
      <w:r>
        <w:rPr>
          <w:rFonts w:hint="eastAsia"/>
          <w:bCs/>
          <w:kern w:val="2"/>
        </w:rPr>
        <w:t>VOC</w:t>
      </w:r>
    </w:p>
    <w:p w14:paraId="74C10D77" w14:textId="77777777" w:rsidR="003E78AB" w:rsidRDefault="00010BF9">
      <w:pPr>
        <w:ind w:firstLine="480"/>
        <w:rPr>
          <w:kern w:val="2"/>
        </w:rPr>
      </w:pPr>
      <w:r>
        <w:rPr>
          <w:rFonts w:hint="eastAsia"/>
          <w:kern w:val="2"/>
        </w:rPr>
        <w:t>溶剂还原过程五氧化二钒和草酸反应生成四价钒电解液和</w:t>
      </w:r>
      <w:r>
        <w:rPr>
          <w:rFonts w:hint="eastAsia"/>
          <w:kern w:val="2"/>
        </w:rPr>
        <w:t>CO</w:t>
      </w:r>
      <w:r>
        <w:rPr>
          <w:rFonts w:hint="eastAsia"/>
          <w:kern w:val="2"/>
          <w:vertAlign w:val="subscript"/>
        </w:rPr>
        <w:t>2</w:t>
      </w:r>
      <w:r>
        <w:rPr>
          <w:rFonts w:hint="eastAsia"/>
          <w:kern w:val="2"/>
        </w:rPr>
        <w:t>，为保证五氧化二钒完全转化（大于</w:t>
      </w:r>
      <w:r>
        <w:rPr>
          <w:rFonts w:hint="eastAsia"/>
          <w:kern w:val="2"/>
        </w:rPr>
        <w:t>99.99%</w:t>
      </w:r>
      <w:r>
        <w:rPr>
          <w:rFonts w:hint="eastAsia"/>
          <w:kern w:val="2"/>
        </w:rPr>
        <w:t>），实际草酸物料投加量大于五氧化二钒量。根据化学反应方程式，计算在五氧化二钒全部反应下消耗的草酸量和未反应的草酸量。</w:t>
      </w:r>
    </w:p>
    <w:p w14:paraId="2D2E7300" w14:textId="77777777" w:rsidR="003E78AB" w:rsidRDefault="00010BF9">
      <w:pPr>
        <w:ind w:firstLine="480"/>
        <w:rPr>
          <w:kern w:val="2"/>
        </w:rPr>
      </w:pPr>
      <w:r>
        <w:rPr>
          <w:rFonts w:hint="eastAsia"/>
          <w:kern w:val="2"/>
        </w:rPr>
        <w:t>考虑化学反应的过程复杂性，溶解还原釜控制温度为</w:t>
      </w:r>
      <w:r>
        <w:rPr>
          <w:rFonts w:hint="eastAsia"/>
          <w:kern w:val="2"/>
        </w:rPr>
        <w:t>70~80</w:t>
      </w:r>
      <w:r>
        <w:rPr>
          <w:rFonts w:hint="eastAsia"/>
          <w:kern w:val="2"/>
        </w:rPr>
        <w:t>℃，草酸在</w:t>
      </w:r>
      <w:r>
        <w:rPr>
          <w:rFonts w:hint="eastAsia"/>
          <w:kern w:val="2"/>
        </w:rPr>
        <w:t>101.5</w:t>
      </w:r>
      <w:r>
        <w:rPr>
          <w:rFonts w:hint="eastAsia"/>
          <w:kern w:val="2"/>
        </w:rPr>
        <w:t>℃分解，但在</w:t>
      </w:r>
      <w:r>
        <w:rPr>
          <w:rFonts w:hint="eastAsia"/>
          <w:kern w:val="2"/>
        </w:rPr>
        <w:t>70-80</w:t>
      </w:r>
      <w:r>
        <w:rPr>
          <w:rFonts w:hint="eastAsia"/>
          <w:kern w:val="2"/>
        </w:rPr>
        <w:t>℃下因温度未到分解温度，但存在局部过热和反应放热，草酸可能发生分解反应（实际分解产物可能有多种，但主要考虑甲酸）：</w:t>
      </w:r>
    </w:p>
    <w:p w14:paraId="69FE9D64" w14:textId="77777777" w:rsidR="003E78AB" w:rsidRDefault="00010BF9">
      <w:pPr>
        <w:ind w:firstLine="480"/>
        <w:jc w:val="center"/>
        <w:rPr>
          <w:kern w:val="2"/>
        </w:rPr>
      </w:pPr>
      <w:r>
        <w:rPr>
          <w:rFonts w:hint="eastAsia"/>
          <w:kern w:val="2"/>
        </w:rPr>
        <w:t>H</w:t>
      </w:r>
      <w:r>
        <w:rPr>
          <w:rFonts w:hint="eastAsia"/>
          <w:kern w:val="2"/>
          <w:vertAlign w:val="subscript"/>
        </w:rPr>
        <w:t>2</w:t>
      </w:r>
      <w:r>
        <w:rPr>
          <w:rFonts w:hint="eastAsia"/>
          <w:kern w:val="2"/>
        </w:rPr>
        <w:t>C</w:t>
      </w:r>
      <w:r>
        <w:rPr>
          <w:rFonts w:hint="eastAsia"/>
          <w:kern w:val="2"/>
          <w:vertAlign w:val="subscript"/>
        </w:rPr>
        <w:t>2</w:t>
      </w:r>
      <w:r>
        <w:rPr>
          <w:rFonts w:hint="eastAsia"/>
          <w:kern w:val="2"/>
        </w:rPr>
        <w:t>O</w:t>
      </w:r>
      <w:r>
        <w:rPr>
          <w:rFonts w:hint="eastAsia"/>
          <w:kern w:val="2"/>
          <w:vertAlign w:val="subscript"/>
        </w:rPr>
        <w:t>4</w:t>
      </w:r>
      <w:r>
        <w:rPr>
          <w:rFonts w:hint="eastAsia"/>
          <w:kern w:val="2"/>
        </w:rPr>
        <w:t>→</w:t>
      </w:r>
      <w:r>
        <w:rPr>
          <w:rFonts w:hint="eastAsia"/>
          <w:kern w:val="2"/>
        </w:rPr>
        <w:t>HCOOH+CO</w:t>
      </w:r>
      <w:r>
        <w:rPr>
          <w:rFonts w:hint="eastAsia"/>
          <w:kern w:val="2"/>
          <w:vertAlign w:val="subscript"/>
        </w:rPr>
        <w:t>2</w:t>
      </w:r>
      <w:r>
        <w:rPr>
          <w:rFonts w:hint="eastAsia"/>
          <w:kern w:val="2"/>
        </w:rPr>
        <w:t>↑（或者：</w:t>
      </w:r>
      <w:r>
        <w:rPr>
          <w:rFonts w:hint="eastAsia"/>
          <w:kern w:val="2"/>
        </w:rPr>
        <w:t>H</w:t>
      </w:r>
      <w:r>
        <w:rPr>
          <w:rFonts w:hint="eastAsia"/>
          <w:kern w:val="2"/>
          <w:vertAlign w:val="subscript"/>
        </w:rPr>
        <w:t>2</w:t>
      </w:r>
      <w:r>
        <w:rPr>
          <w:rFonts w:hint="eastAsia"/>
          <w:kern w:val="2"/>
        </w:rPr>
        <w:t>C</w:t>
      </w:r>
      <w:r>
        <w:rPr>
          <w:rFonts w:hint="eastAsia"/>
          <w:kern w:val="2"/>
          <w:vertAlign w:val="subscript"/>
        </w:rPr>
        <w:t>2</w:t>
      </w:r>
      <w:r>
        <w:rPr>
          <w:rFonts w:hint="eastAsia"/>
          <w:kern w:val="2"/>
        </w:rPr>
        <w:t>O</w:t>
      </w:r>
      <w:r>
        <w:rPr>
          <w:rFonts w:hint="eastAsia"/>
          <w:kern w:val="2"/>
          <w:vertAlign w:val="subscript"/>
        </w:rPr>
        <w:t>4</w:t>
      </w:r>
      <w:r>
        <w:rPr>
          <w:rFonts w:hint="eastAsia"/>
          <w:kern w:val="2"/>
        </w:rPr>
        <w:t>→</w:t>
      </w:r>
      <w:r>
        <w:rPr>
          <w:rFonts w:hint="eastAsia"/>
          <w:kern w:val="2"/>
        </w:rPr>
        <w:t>CO</w:t>
      </w:r>
      <w:r>
        <w:rPr>
          <w:rFonts w:hint="eastAsia"/>
          <w:kern w:val="2"/>
        </w:rPr>
        <w:t>↑</w:t>
      </w:r>
      <w:r>
        <w:rPr>
          <w:rFonts w:hint="eastAsia"/>
          <w:kern w:val="2"/>
        </w:rPr>
        <w:t>+CO</w:t>
      </w:r>
      <w:r>
        <w:rPr>
          <w:rFonts w:hint="eastAsia"/>
          <w:kern w:val="2"/>
          <w:vertAlign w:val="subscript"/>
        </w:rPr>
        <w:t>2</w:t>
      </w:r>
      <w:r>
        <w:rPr>
          <w:rFonts w:hint="eastAsia"/>
          <w:kern w:val="2"/>
        </w:rPr>
        <w:t>↑</w:t>
      </w:r>
      <w:r>
        <w:rPr>
          <w:rFonts w:hint="eastAsia"/>
          <w:kern w:val="2"/>
        </w:rPr>
        <w:t>+H</w:t>
      </w:r>
      <w:r>
        <w:rPr>
          <w:rFonts w:hint="eastAsia"/>
          <w:kern w:val="2"/>
          <w:vertAlign w:val="subscript"/>
        </w:rPr>
        <w:t>2</w:t>
      </w:r>
      <w:r>
        <w:rPr>
          <w:rFonts w:hint="eastAsia"/>
          <w:kern w:val="2"/>
        </w:rPr>
        <w:t>O</w:t>
      </w:r>
      <w:r>
        <w:rPr>
          <w:rFonts w:hint="eastAsia"/>
          <w:kern w:val="2"/>
        </w:rPr>
        <w:t>）</w:t>
      </w:r>
    </w:p>
    <w:p w14:paraId="67E8EFB9" w14:textId="77777777" w:rsidR="003E78AB" w:rsidRDefault="00010BF9">
      <w:pPr>
        <w:ind w:firstLine="480"/>
        <w:rPr>
          <w:kern w:val="2"/>
        </w:rPr>
      </w:pPr>
      <w:r>
        <w:rPr>
          <w:rFonts w:hint="eastAsia"/>
          <w:kern w:val="2"/>
        </w:rPr>
        <w:t>草酸分解量按草酸投加量的</w:t>
      </w:r>
      <w:r>
        <w:rPr>
          <w:rFonts w:hint="eastAsia"/>
          <w:kern w:val="2"/>
        </w:rPr>
        <w:t>0.8%</w:t>
      </w:r>
      <w:r>
        <w:rPr>
          <w:rFonts w:hint="eastAsia"/>
          <w:kern w:val="2"/>
        </w:rPr>
        <w:t>计。</w:t>
      </w:r>
    </w:p>
    <w:p w14:paraId="6E4189B6" w14:textId="77777777" w:rsidR="003E78AB" w:rsidRDefault="00010BF9">
      <w:pPr>
        <w:ind w:firstLine="480"/>
        <w:rPr>
          <w:kern w:val="2"/>
        </w:rPr>
      </w:pPr>
      <w:r>
        <w:rPr>
          <w:rFonts w:hint="eastAsia"/>
          <w:kern w:val="2"/>
        </w:rPr>
        <w:t>未反应的草酸因局部受热可能产生草酸蒸汽，产生量按未反应草酸量的</w:t>
      </w:r>
      <w:r>
        <w:rPr>
          <w:rFonts w:hint="eastAsia"/>
          <w:kern w:val="2"/>
        </w:rPr>
        <w:t>0.15%</w:t>
      </w:r>
      <w:r>
        <w:rPr>
          <w:rFonts w:hint="eastAsia"/>
          <w:kern w:val="2"/>
        </w:rPr>
        <w:t>计。</w:t>
      </w:r>
    </w:p>
    <w:p w14:paraId="634CEE78" w14:textId="77777777" w:rsidR="003E78AB" w:rsidRDefault="00010BF9">
      <w:pPr>
        <w:ind w:firstLine="480"/>
        <w:rPr>
          <w:kern w:val="2"/>
        </w:rPr>
      </w:pPr>
      <w:r>
        <w:rPr>
          <w:rFonts w:hint="eastAsia"/>
          <w:bCs/>
          <w:kern w:val="2"/>
        </w:rPr>
        <w:t>草酸蒸汽和分解出的甲酸为有机废气，计入</w:t>
      </w:r>
      <w:r>
        <w:rPr>
          <w:rFonts w:hint="eastAsia"/>
          <w:bCs/>
          <w:kern w:val="2"/>
        </w:rPr>
        <w:t>VOCs</w:t>
      </w:r>
      <w:r>
        <w:rPr>
          <w:rFonts w:hint="eastAsia"/>
          <w:bCs/>
          <w:kern w:val="2"/>
        </w:rPr>
        <w:t>；</w:t>
      </w:r>
      <w:r>
        <w:rPr>
          <w:rFonts w:hint="eastAsia"/>
          <w:kern w:val="2"/>
        </w:rPr>
        <w:t>呈酸性，可并入工艺废气处理设施一并处理。</w:t>
      </w:r>
    </w:p>
    <w:p w14:paraId="19656C67" w14:textId="77777777" w:rsidR="003E78AB" w:rsidRDefault="00010BF9">
      <w:pPr>
        <w:ind w:firstLine="480"/>
        <w:rPr>
          <w:kern w:val="2"/>
        </w:rPr>
      </w:pPr>
      <w:r>
        <w:rPr>
          <w:rFonts w:hint="eastAsia"/>
          <w:kern w:val="2"/>
        </w:rPr>
        <w:t>根据物料平衡核算出，草酸雾产生量</w:t>
      </w:r>
      <w:r>
        <w:rPr>
          <w:rFonts w:hint="eastAsia"/>
          <w:kern w:val="2"/>
        </w:rPr>
        <w:t>907.08kg/a</w:t>
      </w:r>
      <w:r>
        <w:rPr>
          <w:rFonts w:hint="eastAsia"/>
          <w:kern w:val="2"/>
        </w:rPr>
        <w:t>、甲酸雾产生量</w:t>
      </w:r>
      <w:r>
        <w:rPr>
          <w:rFonts w:hint="eastAsia"/>
          <w:kern w:val="2"/>
        </w:rPr>
        <w:t>2693.88kg/a</w:t>
      </w:r>
      <w:r>
        <w:rPr>
          <w:rFonts w:hint="eastAsia"/>
          <w:kern w:val="2"/>
        </w:rPr>
        <w:t>、</w:t>
      </w:r>
      <w:r>
        <w:rPr>
          <w:rFonts w:hint="eastAsia"/>
          <w:kern w:val="2"/>
        </w:rPr>
        <w:t>CO</w:t>
      </w:r>
      <w:r>
        <w:rPr>
          <w:rFonts w:hint="eastAsia"/>
          <w:kern w:val="2"/>
          <w:vertAlign w:val="subscript"/>
        </w:rPr>
        <w:t>2</w:t>
      </w:r>
      <w:r>
        <w:rPr>
          <w:rFonts w:hint="eastAsia"/>
          <w:kern w:val="2"/>
        </w:rPr>
        <w:t>产生量</w:t>
      </w:r>
      <w:r>
        <w:rPr>
          <w:rFonts w:hint="eastAsia"/>
          <w:kern w:val="2"/>
        </w:rPr>
        <w:t>208.95t/a</w:t>
      </w:r>
      <w:r>
        <w:rPr>
          <w:rFonts w:hint="eastAsia"/>
          <w:kern w:val="2"/>
        </w:rPr>
        <w:t>。</w:t>
      </w:r>
    </w:p>
    <w:p w14:paraId="62FC7A17" w14:textId="77777777" w:rsidR="003E78AB" w:rsidRDefault="00010BF9">
      <w:pPr>
        <w:ind w:firstLine="480"/>
        <w:rPr>
          <w:kern w:val="2"/>
        </w:rPr>
      </w:pPr>
      <w:r>
        <w:rPr>
          <w:rFonts w:hint="eastAsia"/>
          <w:kern w:val="2"/>
        </w:rPr>
        <w:t>（</w:t>
      </w:r>
      <w:r>
        <w:rPr>
          <w:rFonts w:hint="eastAsia"/>
          <w:kern w:val="2"/>
        </w:rPr>
        <w:t>3</w:t>
      </w:r>
      <w:r>
        <w:rPr>
          <w:rFonts w:hint="eastAsia"/>
          <w:kern w:val="2"/>
        </w:rPr>
        <w:t>）</w:t>
      </w:r>
      <w:r>
        <w:rPr>
          <w:rFonts w:hint="eastAsia"/>
          <w:kern w:val="2"/>
        </w:rPr>
        <w:t>G2-3</w:t>
      </w:r>
      <w:r>
        <w:rPr>
          <w:rFonts w:hint="eastAsia"/>
          <w:kern w:val="2"/>
        </w:rPr>
        <w:t>电解投料及电解过程的酸性废气</w:t>
      </w:r>
    </w:p>
    <w:p w14:paraId="0AE4B9EC" w14:textId="77777777" w:rsidR="003E78AB" w:rsidRDefault="00010BF9">
      <w:pPr>
        <w:ind w:firstLine="480"/>
        <w:rPr>
          <w:kern w:val="2"/>
        </w:rPr>
      </w:pPr>
      <w:r>
        <w:rPr>
          <w:rFonts w:hint="eastAsia"/>
          <w:kern w:val="2"/>
        </w:rPr>
        <w:t>电解过程阳极罐投料浓硫酸和纯水，投料硫酸稀释过程发热挥发系数同上取</w:t>
      </w:r>
      <w:r>
        <w:rPr>
          <w:rFonts w:hint="eastAsia"/>
          <w:kern w:val="2"/>
        </w:rPr>
        <w:t>0.08%</w:t>
      </w:r>
      <w:r>
        <w:rPr>
          <w:rFonts w:hint="eastAsia"/>
          <w:kern w:val="2"/>
        </w:rPr>
        <w:t>，挥发量</w:t>
      </w:r>
      <w:r>
        <w:rPr>
          <w:rFonts w:hint="eastAsia"/>
          <w:kern w:val="2"/>
        </w:rPr>
        <w:t>12.4186kg/a</w:t>
      </w:r>
      <w:r>
        <w:rPr>
          <w:rFonts w:hint="eastAsia"/>
          <w:kern w:val="2"/>
        </w:rPr>
        <w:t>。</w:t>
      </w:r>
    </w:p>
    <w:p w14:paraId="03BD45FD" w14:textId="77777777" w:rsidR="003E78AB" w:rsidRDefault="00010BF9">
      <w:pPr>
        <w:ind w:firstLine="480"/>
        <w:rPr>
          <w:kern w:val="2"/>
        </w:rPr>
      </w:pPr>
      <w:r>
        <w:rPr>
          <w:rFonts w:hint="eastAsia"/>
          <w:kern w:val="2"/>
        </w:rPr>
        <w:t>阳极发生析氧反应，反应产生氧气，氧气夹带少量硫酸雾排出，夹带率取氧气量的</w:t>
      </w:r>
      <w:r>
        <w:rPr>
          <w:rFonts w:hint="eastAsia"/>
          <w:kern w:val="2"/>
        </w:rPr>
        <w:t>0.15%</w:t>
      </w:r>
      <w:r>
        <w:rPr>
          <w:rFonts w:hint="eastAsia"/>
          <w:kern w:val="2"/>
        </w:rPr>
        <w:t>。</w:t>
      </w:r>
    </w:p>
    <w:p w14:paraId="0F32B7AE" w14:textId="77777777" w:rsidR="003E78AB" w:rsidRDefault="00010BF9">
      <w:pPr>
        <w:ind w:firstLine="480"/>
        <w:jc w:val="center"/>
        <w:rPr>
          <w:lang w:bidi="en-US"/>
        </w:rPr>
      </w:pPr>
      <w:r>
        <w:rPr>
          <w:lang w:bidi="en-US"/>
        </w:rPr>
        <w:t>2 H</w:t>
      </w:r>
      <w:r>
        <w:rPr>
          <w:vertAlign w:val="subscript"/>
          <w:lang w:bidi="en-US"/>
        </w:rPr>
        <w:t>2</w:t>
      </w:r>
      <w:r>
        <w:rPr>
          <w:lang w:bidi="en-US"/>
        </w:rPr>
        <w:t>O→O</w:t>
      </w:r>
      <w:r>
        <w:rPr>
          <w:vertAlign w:val="subscript"/>
          <w:lang w:bidi="en-US"/>
        </w:rPr>
        <w:t>2</w:t>
      </w:r>
      <w:r>
        <w:rPr>
          <w:rFonts w:hint="eastAsia"/>
          <w:kern w:val="2"/>
        </w:rPr>
        <w:t>↑</w:t>
      </w:r>
      <w:r>
        <w:rPr>
          <w:lang w:bidi="en-US"/>
        </w:rPr>
        <w:t>+4 H</w:t>
      </w:r>
      <w:r>
        <w:rPr>
          <w:vertAlign w:val="superscript"/>
          <w:lang w:bidi="en-US"/>
        </w:rPr>
        <w:t>+</w:t>
      </w:r>
      <w:r>
        <w:rPr>
          <w:lang w:bidi="en-US"/>
        </w:rPr>
        <w:t>+4 e</w:t>
      </w:r>
      <w:r>
        <w:rPr>
          <w:vertAlign w:val="superscript"/>
          <w:lang w:bidi="en-US"/>
        </w:rPr>
        <w:t>-</w:t>
      </w:r>
    </w:p>
    <w:p w14:paraId="27BD4D9A" w14:textId="77777777" w:rsidR="003E78AB" w:rsidRDefault="00010BF9">
      <w:pPr>
        <w:ind w:firstLine="480"/>
        <w:rPr>
          <w:kern w:val="2"/>
        </w:rPr>
      </w:pPr>
      <w:r>
        <w:rPr>
          <w:rFonts w:hint="eastAsia"/>
          <w:kern w:val="2"/>
        </w:rPr>
        <w:t>根据化学反应方程式，核算出阳极反应氧气产生量</w:t>
      </w:r>
      <w:r>
        <w:rPr>
          <w:rFonts w:hint="eastAsia"/>
          <w:kern w:val="2"/>
        </w:rPr>
        <w:t>380149.47kg/a</w:t>
      </w:r>
      <w:r>
        <w:rPr>
          <w:rFonts w:hint="eastAsia"/>
          <w:kern w:val="2"/>
        </w:rPr>
        <w:t>，夹带挥发出的硫酸雾</w:t>
      </w:r>
      <w:r>
        <w:rPr>
          <w:rFonts w:hint="eastAsia"/>
          <w:kern w:val="2"/>
        </w:rPr>
        <w:t>31.03kg/a</w:t>
      </w:r>
      <w:r>
        <w:rPr>
          <w:rFonts w:hint="eastAsia"/>
          <w:kern w:val="2"/>
        </w:rPr>
        <w:t>。</w:t>
      </w:r>
    </w:p>
    <w:p w14:paraId="2456DA0C" w14:textId="77777777" w:rsidR="003E78AB" w:rsidRDefault="00010BF9">
      <w:pPr>
        <w:ind w:firstLine="480"/>
        <w:rPr>
          <w:kern w:val="2"/>
        </w:rPr>
      </w:pPr>
      <w:r>
        <w:rPr>
          <w:rFonts w:hint="eastAsia"/>
          <w:kern w:val="2"/>
        </w:rPr>
        <w:t>（</w:t>
      </w:r>
      <w:r>
        <w:rPr>
          <w:rFonts w:hint="eastAsia"/>
          <w:kern w:val="2"/>
        </w:rPr>
        <w:t>4</w:t>
      </w:r>
      <w:r>
        <w:rPr>
          <w:rFonts w:hint="eastAsia"/>
          <w:kern w:val="2"/>
        </w:rPr>
        <w:t>）</w:t>
      </w:r>
      <w:r>
        <w:rPr>
          <w:rFonts w:hint="eastAsia"/>
          <w:kern w:val="2"/>
        </w:rPr>
        <w:t>G2-4</w:t>
      </w:r>
      <w:r>
        <w:rPr>
          <w:rFonts w:hint="eastAsia"/>
          <w:kern w:val="2"/>
        </w:rPr>
        <w:t>调制定容过程的酸性废气</w:t>
      </w:r>
    </w:p>
    <w:p w14:paraId="32F7D4AE" w14:textId="77777777" w:rsidR="003E78AB" w:rsidRDefault="00010BF9">
      <w:pPr>
        <w:ind w:firstLine="480"/>
        <w:rPr>
          <w:kern w:val="2"/>
        </w:rPr>
      </w:pPr>
      <w:r>
        <w:rPr>
          <w:rFonts w:hint="eastAsia"/>
          <w:kern w:val="2"/>
        </w:rPr>
        <w:t>调制定容需加入磷酸，磷酸雾投料及大小呼吸的产生系数取</w:t>
      </w:r>
      <w:r>
        <w:rPr>
          <w:rFonts w:hint="eastAsia"/>
          <w:kern w:val="2"/>
        </w:rPr>
        <w:t>0.03%</w:t>
      </w:r>
      <w:r>
        <w:rPr>
          <w:rFonts w:hint="eastAsia"/>
          <w:kern w:val="2"/>
        </w:rPr>
        <w:t>，根据磷酸投加量核算出磷酸雾产生量</w:t>
      </w:r>
      <w:r>
        <w:rPr>
          <w:rFonts w:hint="eastAsia"/>
          <w:kern w:val="2"/>
        </w:rPr>
        <w:t>172.94kg/a</w:t>
      </w:r>
      <w:r>
        <w:rPr>
          <w:rFonts w:hint="eastAsia"/>
          <w:kern w:val="2"/>
        </w:rPr>
        <w:t>。</w:t>
      </w:r>
    </w:p>
    <w:p w14:paraId="68A6D446" w14:textId="77777777" w:rsidR="003E78AB" w:rsidRDefault="00010BF9">
      <w:pPr>
        <w:ind w:firstLine="480"/>
        <w:rPr>
          <w:kern w:val="2"/>
        </w:rPr>
      </w:pPr>
      <w:r>
        <w:rPr>
          <w:rFonts w:hint="eastAsia"/>
          <w:kern w:val="2"/>
        </w:rPr>
        <w:t>定容搅拌硫酸雾产生系数按电解液的</w:t>
      </w:r>
      <w:r>
        <w:rPr>
          <w:rFonts w:hint="eastAsia"/>
          <w:kern w:val="2"/>
        </w:rPr>
        <w:t>0.005%</w:t>
      </w:r>
      <w:r>
        <w:rPr>
          <w:rFonts w:hint="eastAsia"/>
          <w:kern w:val="2"/>
        </w:rPr>
        <w:t>取，硫酸雾产生量</w:t>
      </w:r>
      <w:r>
        <w:rPr>
          <w:rFonts w:hint="eastAsia"/>
          <w:kern w:val="2"/>
        </w:rPr>
        <w:t>3483.29kg/a</w:t>
      </w:r>
      <w:r>
        <w:rPr>
          <w:rFonts w:hint="eastAsia"/>
          <w:kern w:val="2"/>
        </w:rPr>
        <w:t>。</w:t>
      </w:r>
    </w:p>
    <w:p w14:paraId="632A830E" w14:textId="77777777" w:rsidR="003E78AB" w:rsidRDefault="00010BF9">
      <w:pPr>
        <w:ind w:firstLine="480"/>
        <w:rPr>
          <w:kern w:val="2"/>
        </w:rPr>
      </w:pPr>
      <w:r>
        <w:rPr>
          <w:rFonts w:hint="eastAsia"/>
          <w:kern w:val="2"/>
        </w:rPr>
        <w:t>（</w:t>
      </w:r>
      <w:r>
        <w:rPr>
          <w:rFonts w:hint="eastAsia"/>
          <w:kern w:val="2"/>
        </w:rPr>
        <w:t>5</w:t>
      </w:r>
      <w:r>
        <w:rPr>
          <w:rFonts w:hint="eastAsia"/>
          <w:kern w:val="2"/>
        </w:rPr>
        <w:t>）</w:t>
      </w:r>
      <w:r>
        <w:rPr>
          <w:rFonts w:hint="eastAsia"/>
          <w:kern w:val="2"/>
        </w:rPr>
        <w:t>G2-5</w:t>
      </w:r>
      <w:r>
        <w:rPr>
          <w:rFonts w:hint="eastAsia"/>
          <w:kern w:val="2"/>
        </w:rPr>
        <w:t>成品装卸过程的酸性废气</w:t>
      </w:r>
    </w:p>
    <w:p w14:paraId="70F29310" w14:textId="77777777" w:rsidR="003E78AB" w:rsidRDefault="00010BF9">
      <w:pPr>
        <w:ind w:firstLine="480"/>
        <w:rPr>
          <w:kern w:val="2"/>
        </w:rPr>
      </w:pPr>
      <w:r>
        <w:rPr>
          <w:rFonts w:hint="eastAsia"/>
          <w:kern w:val="2"/>
        </w:rPr>
        <w:t>3.5</w:t>
      </w:r>
      <w:r>
        <w:rPr>
          <w:rFonts w:hint="eastAsia"/>
          <w:kern w:val="2"/>
        </w:rPr>
        <w:t>价成品钒电解液装卸过程产生少量硫酸雾和磷酸雾，产生系数硫酸雾</w:t>
      </w:r>
      <w:r>
        <w:rPr>
          <w:rFonts w:hint="eastAsia"/>
          <w:kern w:val="2"/>
        </w:rPr>
        <w:t>0.008%</w:t>
      </w:r>
      <w:r>
        <w:rPr>
          <w:rFonts w:hint="eastAsia"/>
          <w:kern w:val="2"/>
        </w:rPr>
        <w:t>、磷酸雾</w:t>
      </w:r>
      <w:r>
        <w:rPr>
          <w:rFonts w:hint="eastAsia"/>
          <w:kern w:val="2"/>
        </w:rPr>
        <w:t>0.003%</w:t>
      </w:r>
      <w:r>
        <w:rPr>
          <w:rFonts w:hint="eastAsia"/>
          <w:kern w:val="2"/>
        </w:rPr>
        <w:t>，由此核算出硫酸雾产生量</w:t>
      </w:r>
      <w:r>
        <w:rPr>
          <w:rFonts w:hint="eastAsia"/>
          <w:kern w:val="2"/>
        </w:rPr>
        <w:t>5572.99kg/a</w:t>
      </w:r>
      <w:r>
        <w:rPr>
          <w:rFonts w:hint="eastAsia"/>
          <w:kern w:val="2"/>
        </w:rPr>
        <w:t>、磷酸雾</w:t>
      </w:r>
      <w:r>
        <w:rPr>
          <w:rFonts w:hint="eastAsia"/>
          <w:kern w:val="2"/>
        </w:rPr>
        <w:t>2089.87kg/a</w:t>
      </w:r>
      <w:r>
        <w:rPr>
          <w:rFonts w:hint="eastAsia"/>
          <w:kern w:val="2"/>
        </w:rPr>
        <w:t>。</w:t>
      </w:r>
    </w:p>
    <w:p w14:paraId="2500CAFE" w14:textId="77777777" w:rsidR="003E78AB" w:rsidRDefault="00010BF9">
      <w:pPr>
        <w:ind w:firstLine="480"/>
        <w:jc w:val="left"/>
        <w:rPr>
          <w:kern w:val="2"/>
        </w:rPr>
      </w:pPr>
      <w:r>
        <w:rPr>
          <w:rFonts w:hint="eastAsia"/>
        </w:rPr>
        <w:t>以上</w:t>
      </w:r>
      <w:r>
        <w:rPr>
          <w:rFonts w:hint="eastAsia"/>
          <w:kern w:val="2"/>
        </w:rPr>
        <w:t>生产工艺废气经尾气管道收集后，经过一级碱洗</w:t>
      </w:r>
      <w:r>
        <w:rPr>
          <w:rFonts w:hint="eastAsia"/>
          <w:kern w:val="2"/>
        </w:rPr>
        <w:t>+</w:t>
      </w:r>
      <w:r>
        <w:rPr>
          <w:rFonts w:hint="eastAsia"/>
          <w:kern w:val="2"/>
        </w:rPr>
        <w:t>一级水洗，碱洗采用</w:t>
      </w:r>
      <w:r>
        <w:rPr>
          <w:rFonts w:hint="eastAsia"/>
          <w:kern w:val="2"/>
        </w:rPr>
        <w:t>15</w:t>
      </w:r>
      <w:r>
        <w:rPr>
          <w:rFonts w:hint="eastAsia"/>
          <w:kern w:val="2"/>
        </w:rPr>
        <w:t>—</w:t>
      </w:r>
      <w:r>
        <w:rPr>
          <w:rFonts w:hint="eastAsia"/>
          <w:kern w:val="2"/>
        </w:rPr>
        <w:t>20%</w:t>
      </w:r>
      <w:r>
        <w:rPr>
          <w:rFonts w:hint="eastAsia"/>
          <w:kern w:val="2"/>
        </w:rPr>
        <w:t>的氢氧化钠溶液，水洗采用新鲜纯水，循环使用，定期补充，浓液返回生产系统。碱洗和水洗对不同酸性气体存在处理效率差异，</w:t>
      </w:r>
      <w:r>
        <w:rPr>
          <w:rFonts w:hint="eastAsia"/>
          <w:b/>
          <w:bCs/>
          <w:kern w:val="2"/>
          <w:u w:val="single"/>
        </w:rPr>
        <w:t>本项目分别考虑，综合处理效率硫酸雾取</w:t>
      </w:r>
      <w:r>
        <w:rPr>
          <w:rFonts w:hint="eastAsia"/>
          <w:b/>
          <w:bCs/>
          <w:kern w:val="2"/>
          <w:u w:val="single"/>
        </w:rPr>
        <w:t>96%</w:t>
      </w:r>
      <w:r>
        <w:rPr>
          <w:rFonts w:hint="eastAsia"/>
          <w:b/>
          <w:bCs/>
          <w:kern w:val="2"/>
          <w:u w:val="single"/>
        </w:rPr>
        <w:t>、磷酸雾取</w:t>
      </w:r>
      <w:r>
        <w:rPr>
          <w:rFonts w:hint="eastAsia"/>
          <w:b/>
          <w:bCs/>
          <w:kern w:val="2"/>
          <w:u w:val="single"/>
        </w:rPr>
        <w:t>92%</w:t>
      </w:r>
      <w:r>
        <w:rPr>
          <w:rFonts w:hint="eastAsia"/>
          <w:b/>
          <w:bCs/>
          <w:kern w:val="2"/>
          <w:u w:val="single"/>
        </w:rPr>
        <w:t>、草酸雾取</w:t>
      </w:r>
      <w:r>
        <w:rPr>
          <w:rFonts w:hint="eastAsia"/>
          <w:b/>
          <w:bCs/>
          <w:kern w:val="2"/>
          <w:u w:val="single"/>
        </w:rPr>
        <w:t>86.5%</w:t>
      </w:r>
      <w:r>
        <w:rPr>
          <w:rFonts w:hint="eastAsia"/>
          <w:b/>
          <w:bCs/>
          <w:kern w:val="2"/>
          <w:u w:val="single"/>
        </w:rPr>
        <w:t>、甲酸雾取</w:t>
      </w:r>
      <w:r>
        <w:rPr>
          <w:rFonts w:hint="eastAsia"/>
          <w:b/>
          <w:bCs/>
          <w:kern w:val="2"/>
          <w:u w:val="single"/>
        </w:rPr>
        <w:t>91%</w:t>
      </w:r>
      <w:r>
        <w:rPr>
          <w:rFonts w:hint="eastAsia"/>
          <w:b/>
          <w:bCs/>
          <w:kern w:val="2"/>
          <w:u w:val="single"/>
        </w:rPr>
        <w:t>。</w:t>
      </w:r>
    </w:p>
    <w:p w14:paraId="2A78479E" w14:textId="77777777" w:rsidR="003E78AB" w:rsidRDefault="00010BF9">
      <w:pPr>
        <w:spacing w:line="460" w:lineRule="exact"/>
        <w:ind w:firstLine="480"/>
      </w:pPr>
      <w:r>
        <w:rPr>
          <w:rFonts w:hint="eastAsia"/>
          <w:kern w:val="2"/>
        </w:rPr>
        <w:t>本项目生产车间无组织废气主要来源为生产过程设备管道动静密封点、装卸等无组织逸散，以酸性气体的形式表征，经查阅资料，低浓度的硫酸常温下挥发性极低，本次设计按硫酸雾无组织挥发量为产品电解液的</w:t>
      </w:r>
      <w:r>
        <w:rPr>
          <w:rFonts w:hint="eastAsia"/>
          <w:kern w:val="2"/>
        </w:rPr>
        <w:t>10g/t</w:t>
      </w:r>
      <w:r>
        <w:rPr>
          <w:rFonts w:hint="eastAsia"/>
          <w:kern w:val="2"/>
        </w:rPr>
        <w:t>产品计。</w:t>
      </w:r>
    </w:p>
    <w:p w14:paraId="63604DF7" w14:textId="77777777" w:rsidR="003E78AB" w:rsidRDefault="00010BF9">
      <w:pPr>
        <w:pStyle w:val="a1"/>
      </w:pPr>
      <w:r>
        <w:rPr>
          <w:rFonts w:hint="eastAsia"/>
        </w:rPr>
        <w:t>工艺废气污染源强汇总表</w:t>
      </w:r>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267"/>
        <w:gridCol w:w="1081"/>
        <w:gridCol w:w="916"/>
        <w:gridCol w:w="1192"/>
        <w:gridCol w:w="1204"/>
      </w:tblGrid>
      <w:tr w:rsidR="003E78AB" w14:paraId="54B5381D" w14:textId="77777777">
        <w:trPr>
          <w:tblHeader/>
        </w:trPr>
        <w:tc>
          <w:tcPr>
            <w:tcW w:w="1674" w:type="pct"/>
          </w:tcPr>
          <w:p w14:paraId="009BE735"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污染源</w:t>
            </w:r>
          </w:p>
        </w:tc>
        <w:tc>
          <w:tcPr>
            <w:tcW w:w="744" w:type="pct"/>
          </w:tcPr>
          <w:p w14:paraId="780193FF"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成分</w:t>
            </w:r>
          </w:p>
        </w:tc>
        <w:tc>
          <w:tcPr>
            <w:tcW w:w="635" w:type="pct"/>
          </w:tcPr>
          <w:p w14:paraId="6F97A33C"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产生量（</w:t>
            </w:r>
            <w:r>
              <w:rPr>
                <w:b/>
                <w:bCs/>
                <w:sz w:val="21"/>
                <w:szCs w:val="21"/>
                <w:lang w:bidi="ar"/>
              </w:rPr>
              <w:t>kg/a</w:t>
            </w:r>
            <w:r>
              <w:rPr>
                <w:b/>
                <w:bCs/>
                <w:sz w:val="21"/>
                <w:szCs w:val="21"/>
                <w:lang w:bidi="ar"/>
              </w:rPr>
              <w:t>）</w:t>
            </w:r>
          </w:p>
        </w:tc>
        <w:tc>
          <w:tcPr>
            <w:tcW w:w="538" w:type="pct"/>
          </w:tcPr>
          <w:p w14:paraId="275E1515"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处理</w:t>
            </w:r>
            <w:r>
              <w:rPr>
                <w:b/>
                <w:bCs/>
                <w:sz w:val="21"/>
                <w:szCs w:val="21"/>
                <w:lang w:bidi="ar"/>
              </w:rPr>
              <w:t>效率</w:t>
            </w:r>
          </w:p>
        </w:tc>
        <w:tc>
          <w:tcPr>
            <w:tcW w:w="700" w:type="pct"/>
          </w:tcPr>
          <w:p w14:paraId="5F5B89D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风量（</w:t>
            </w:r>
            <w:r>
              <w:rPr>
                <w:b/>
                <w:bCs/>
                <w:sz w:val="21"/>
                <w:szCs w:val="21"/>
                <w:lang w:bidi="ar"/>
              </w:rPr>
              <w:t>m</w:t>
            </w:r>
            <w:r>
              <w:rPr>
                <w:b/>
                <w:bCs/>
                <w:sz w:val="21"/>
                <w:szCs w:val="21"/>
                <w:vertAlign w:val="superscript"/>
                <w:lang w:bidi="ar"/>
              </w:rPr>
              <w:t>3</w:t>
            </w:r>
            <w:r>
              <w:rPr>
                <w:b/>
                <w:bCs/>
                <w:sz w:val="21"/>
                <w:szCs w:val="21"/>
                <w:lang w:bidi="ar"/>
              </w:rPr>
              <w:t>/h</w:t>
            </w:r>
            <w:r>
              <w:rPr>
                <w:b/>
                <w:bCs/>
                <w:sz w:val="21"/>
                <w:szCs w:val="21"/>
                <w:lang w:bidi="ar"/>
              </w:rPr>
              <w:t>）</w:t>
            </w:r>
          </w:p>
        </w:tc>
        <w:tc>
          <w:tcPr>
            <w:tcW w:w="707" w:type="pct"/>
          </w:tcPr>
          <w:p w14:paraId="55C3D452"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运行时间（</w:t>
            </w:r>
            <w:r>
              <w:rPr>
                <w:b/>
                <w:bCs/>
                <w:sz w:val="21"/>
                <w:szCs w:val="21"/>
                <w:lang w:bidi="ar"/>
              </w:rPr>
              <w:t>h/a</w:t>
            </w:r>
            <w:r>
              <w:rPr>
                <w:b/>
                <w:bCs/>
                <w:sz w:val="21"/>
                <w:szCs w:val="21"/>
                <w:lang w:bidi="ar"/>
              </w:rPr>
              <w:t>）</w:t>
            </w:r>
          </w:p>
        </w:tc>
      </w:tr>
      <w:tr w:rsidR="003E78AB" w14:paraId="4EFFB7B2" w14:textId="77777777">
        <w:tc>
          <w:tcPr>
            <w:tcW w:w="1674" w:type="pct"/>
          </w:tcPr>
          <w:p w14:paraId="473680B5" w14:textId="77777777" w:rsidR="003E78AB" w:rsidRDefault="00010BF9">
            <w:pPr>
              <w:spacing w:line="360" w:lineRule="exact"/>
              <w:ind w:firstLineChars="0" w:firstLine="0"/>
              <w:jc w:val="center"/>
              <w:textAlignment w:val="center"/>
              <w:rPr>
                <w:sz w:val="21"/>
                <w:szCs w:val="21"/>
                <w:lang w:bidi="ar"/>
              </w:rPr>
            </w:pPr>
            <w:r>
              <w:rPr>
                <w:sz w:val="21"/>
                <w:szCs w:val="21"/>
                <w:lang w:bidi="ar"/>
              </w:rPr>
              <w:t>G2-1</w:t>
            </w:r>
            <w:r>
              <w:rPr>
                <w:sz w:val="21"/>
                <w:szCs w:val="21"/>
                <w:lang w:bidi="ar"/>
              </w:rPr>
              <w:t>硫酸稀释过程酸性废气</w:t>
            </w:r>
          </w:p>
        </w:tc>
        <w:tc>
          <w:tcPr>
            <w:tcW w:w="744" w:type="pct"/>
          </w:tcPr>
          <w:p w14:paraId="10F4873C"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p>
        </w:tc>
        <w:tc>
          <w:tcPr>
            <w:tcW w:w="635" w:type="pct"/>
          </w:tcPr>
          <w:p w14:paraId="0FF4B65B" w14:textId="77777777" w:rsidR="003E78AB" w:rsidRDefault="00010BF9">
            <w:pPr>
              <w:spacing w:line="360" w:lineRule="exact"/>
              <w:ind w:firstLineChars="0" w:firstLine="0"/>
              <w:jc w:val="center"/>
              <w:textAlignment w:val="center"/>
              <w:rPr>
                <w:sz w:val="21"/>
                <w:szCs w:val="21"/>
                <w:lang w:bidi="ar"/>
              </w:rPr>
            </w:pPr>
            <w:r>
              <w:rPr>
                <w:sz w:val="21"/>
                <w:szCs w:val="21"/>
                <w:lang w:bidi="ar"/>
              </w:rPr>
              <w:t>19008</w:t>
            </w:r>
          </w:p>
        </w:tc>
        <w:tc>
          <w:tcPr>
            <w:tcW w:w="538" w:type="pct"/>
          </w:tcPr>
          <w:p w14:paraId="3A048552"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96%</w:t>
            </w:r>
          </w:p>
        </w:tc>
        <w:tc>
          <w:tcPr>
            <w:tcW w:w="700" w:type="pct"/>
            <w:vMerge w:val="restart"/>
          </w:tcPr>
          <w:p w14:paraId="5A7B607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10000</w:t>
            </w:r>
          </w:p>
        </w:tc>
        <w:tc>
          <w:tcPr>
            <w:tcW w:w="707" w:type="pct"/>
            <w:vMerge w:val="restart"/>
          </w:tcPr>
          <w:p w14:paraId="4A30D8F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7920</w:t>
            </w:r>
          </w:p>
        </w:tc>
      </w:tr>
      <w:tr w:rsidR="003E78AB" w14:paraId="505B0367" w14:textId="77777777">
        <w:tc>
          <w:tcPr>
            <w:tcW w:w="1674" w:type="pct"/>
            <w:vMerge w:val="restart"/>
          </w:tcPr>
          <w:p w14:paraId="43370433" w14:textId="77777777" w:rsidR="003E78AB" w:rsidRDefault="00010BF9">
            <w:pPr>
              <w:spacing w:line="360" w:lineRule="exact"/>
              <w:ind w:firstLineChars="0" w:firstLine="0"/>
              <w:jc w:val="center"/>
              <w:textAlignment w:val="center"/>
              <w:rPr>
                <w:sz w:val="21"/>
                <w:szCs w:val="21"/>
                <w:lang w:bidi="ar"/>
              </w:rPr>
            </w:pPr>
            <w:r>
              <w:rPr>
                <w:bCs/>
                <w:kern w:val="2"/>
                <w:sz w:val="21"/>
                <w:szCs w:val="21"/>
              </w:rPr>
              <w:t>G2-2</w:t>
            </w:r>
            <w:r>
              <w:rPr>
                <w:bCs/>
                <w:kern w:val="2"/>
                <w:sz w:val="21"/>
                <w:szCs w:val="21"/>
              </w:rPr>
              <w:t>溶解还原釜搅拌和反应过程的酸性废气</w:t>
            </w:r>
          </w:p>
        </w:tc>
        <w:tc>
          <w:tcPr>
            <w:tcW w:w="744" w:type="pct"/>
          </w:tcPr>
          <w:p w14:paraId="30A8FEE1" w14:textId="77777777" w:rsidR="003E78AB" w:rsidRDefault="00010BF9">
            <w:pPr>
              <w:spacing w:line="360" w:lineRule="exact"/>
              <w:ind w:firstLineChars="0" w:firstLine="0"/>
              <w:jc w:val="center"/>
              <w:textAlignment w:val="center"/>
              <w:rPr>
                <w:sz w:val="21"/>
                <w:szCs w:val="21"/>
                <w:lang w:bidi="ar"/>
              </w:rPr>
            </w:pPr>
            <w:r>
              <w:rPr>
                <w:sz w:val="21"/>
                <w:szCs w:val="21"/>
                <w:lang w:bidi="ar"/>
              </w:rPr>
              <w:t>草酸雾</w:t>
            </w:r>
          </w:p>
        </w:tc>
        <w:tc>
          <w:tcPr>
            <w:tcW w:w="635" w:type="pct"/>
          </w:tcPr>
          <w:p w14:paraId="5E46DC39" w14:textId="77777777" w:rsidR="003E78AB" w:rsidRDefault="00010BF9">
            <w:pPr>
              <w:spacing w:line="360" w:lineRule="exact"/>
              <w:ind w:firstLineChars="0" w:firstLine="0"/>
              <w:jc w:val="center"/>
              <w:textAlignment w:val="center"/>
              <w:rPr>
                <w:kern w:val="2"/>
                <w:sz w:val="21"/>
                <w:szCs w:val="21"/>
              </w:rPr>
            </w:pPr>
            <w:r>
              <w:rPr>
                <w:kern w:val="2"/>
                <w:sz w:val="21"/>
                <w:szCs w:val="21"/>
              </w:rPr>
              <w:t>907.08</w:t>
            </w:r>
          </w:p>
        </w:tc>
        <w:tc>
          <w:tcPr>
            <w:tcW w:w="538" w:type="pct"/>
          </w:tcPr>
          <w:p w14:paraId="5F7B526B"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86.5%</w:t>
            </w:r>
          </w:p>
        </w:tc>
        <w:tc>
          <w:tcPr>
            <w:tcW w:w="700" w:type="pct"/>
            <w:vMerge/>
          </w:tcPr>
          <w:p w14:paraId="1915B94D"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71727E0F" w14:textId="77777777" w:rsidR="003E78AB" w:rsidRDefault="003E78AB">
            <w:pPr>
              <w:spacing w:line="360" w:lineRule="exact"/>
              <w:ind w:firstLineChars="0" w:firstLine="0"/>
              <w:jc w:val="center"/>
              <w:textAlignment w:val="center"/>
              <w:rPr>
                <w:sz w:val="21"/>
                <w:szCs w:val="21"/>
                <w:lang w:bidi="ar"/>
              </w:rPr>
            </w:pPr>
          </w:p>
        </w:tc>
      </w:tr>
      <w:tr w:rsidR="003E78AB" w14:paraId="49E4A991" w14:textId="77777777">
        <w:tc>
          <w:tcPr>
            <w:tcW w:w="1674" w:type="pct"/>
            <w:vMerge/>
          </w:tcPr>
          <w:p w14:paraId="4E9E6D4B" w14:textId="77777777" w:rsidR="003E78AB" w:rsidRDefault="003E78AB">
            <w:pPr>
              <w:spacing w:line="360" w:lineRule="exact"/>
              <w:ind w:firstLineChars="0" w:firstLine="0"/>
              <w:jc w:val="center"/>
              <w:textAlignment w:val="center"/>
              <w:rPr>
                <w:sz w:val="21"/>
                <w:szCs w:val="21"/>
                <w:lang w:bidi="ar"/>
              </w:rPr>
            </w:pPr>
          </w:p>
        </w:tc>
        <w:tc>
          <w:tcPr>
            <w:tcW w:w="744" w:type="pct"/>
          </w:tcPr>
          <w:p w14:paraId="2ED3BF26" w14:textId="77777777" w:rsidR="003E78AB" w:rsidRDefault="00010BF9">
            <w:pPr>
              <w:spacing w:line="360" w:lineRule="exact"/>
              <w:ind w:firstLineChars="0" w:firstLine="0"/>
              <w:jc w:val="center"/>
              <w:textAlignment w:val="center"/>
              <w:rPr>
                <w:sz w:val="21"/>
                <w:szCs w:val="21"/>
                <w:lang w:bidi="ar"/>
              </w:rPr>
            </w:pPr>
            <w:r>
              <w:rPr>
                <w:sz w:val="21"/>
                <w:szCs w:val="21"/>
                <w:lang w:bidi="ar"/>
              </w:rPr>
              <w:t>甲酸雾</w:t>
            </w:r>
          </w:p>
        </w:tc>
        <w:tc>
          <w:tcPr>
            <w:tcW w:w="635" w:type="pct"/>
          </w:tcPr>
          <w:p w14:paraId="0C58D3AC" w14:textId="77777777" w:rsidR="003E78AB" w:rsidRDefault="00010BF9">
            <w:pPr>
              <w:spacing w:line="360" w:lineRule="exact"/>
              <w:ind w:firstLineChars="0" w:firstLine="0"/>
              <w:jc w:val="center"/>
              <w:textAlignment w:val="center"/>
              <w:rPr>
                <w:kern w:val="2"/>
                <w:sz w:val="21"/>
                <w:szCs w:val="21"/>
              </w:rPr>
            </w:pPr>
            <w:r>
              <w:rPr>
                <w:kern w:val="2"/>
                <w:sz w:val="21"/>
                <w:szCs w:val="21"/>
              </w:rPr>
              <w:t>2693.88</w:t>
            </w:r>
          </w:p>
        </w:tc>
        <w:tc>
          <w:tcPr>
            <w:tcW w:w="538" w:type="pct"/>
          </w:tcPr>
          <w:p w14:paraId="46BD302C"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91%</w:t>
            </w:r>
          </w:p>
        </w:tc>
        <w:tc>
          <w:tcPr>
            <w:tcW w:w="700" w:type="pct"/>
            <w:vMerge/>
          </w:tcPr>
          <w:p w14:paraId="62EDD4C9"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590903D3" w14:textId="77777777" w:rsidR="003E78AB" w:rsidRDefault="003E78AB">
            <w:pPr>
              <w:spacing w:line="360" w:lineRule="exact"/>
              <w:ind w:firstLineChars="0" w:firstLine="0"/>
              <w:jc w:val="center"/>
              <w:textAlignment w:val="center"/>
              <w:rPr>
                <w:sz w:val="21"/>
                <w:szCs w:val="21"/>
                <w:lang w:bidi="ar"/>
              </w:rPr>
            </w:pPr>
          </w:p>
        </w:tc>
      </w:tr>
      <w:tr w:rsidR="003E78AB" w14:paraId="6A6ECD26" w14:textId="77777777">
        <w:tc>
          <w:tcPr>
            <w:tcW w:w="1674" w:type="pct"/>
          </w:tcPr>
          <w:p w14:paraId="6449F970" w14:textId="77777777" w:rsidR="003E78AB" w:rsidRDefault="00010BF9">
            <w:pPr>
              <w:spacing w:line="360" w:lineRule="exact"/>
              <w:ind w:firstLineChars="0" w:firstLine="0"/>
              <w:jc w:val="center"/>
              <w:textAlignment w:val="center"/>
              <w:rPr>
                <w:sz w:val="21"/>
                <w:szCs w:val="21"/>
                <w:lang w:bidi="ar"/>
              </w:rPr>
            </w:pPr>
            <w:r>
              <w:rPr>
                <w:kern w:val="2"/>
                <w:sz w:val="21"/>
                <w:szCs w:val="21"/>
              </w:rPr>
              <w:t>G2-3</w:t>
            </w:r>
            <w:r>
              <w:rPr>
                <w:kern w:val="2"/>
                <w:sz w:val="21"/>
                <w:szCs w:val="21"/>
              </w:rPr>
              <w:t>电解投料及电解过程的酸性废气</w:t>
            </w:r>
          </w:p>
        </w:tc>
        <w:tc>
          <w:tcPr>
            <w:tcW w:w="744" w:type="pct"/>
          </w:tcPr>
          <w:p w14:paraId="04F32EC2"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p>
        </w:tc>
        <w:tc>
          <w:tcPr>
            <w:tcW w:w="635" w:type="pct"/>
          </w:tcPr>
          <w:p w14:paraId="00557FA1" w14:textId="77777777" w:rsidR="003E78AB" w:rsidRDefault="00010BF9">
            <w:pPr>
              <w:spacing w:line="360" w:lineRule="exact"/>
              <w:ind w:firstLineChars="0" w:firstLine="0"/>
              <w:jc w:val="center"/>
              <w:textAlignment w:val="center"/>
              <w:rPr>
                <w:kern w:val="2"/>
                <w:sz w:val="21"/>
                <w:szCs w:val="21"/>
              </w:rPr>
            </w:pPr>
            <w:r>
              <w:rPr>
                <w:kern w:val="2"/>
                <w:sz w:val="21"/>
                <w:szCs w:val="21"/>
              </w:rPr>
              <w:t>31.03</w:t>
            </w:r>
          </w:p>
        </w:tc>
        <w:tc>
          <w:tcPr>
            <w:tcW w:w="538" w:type="pct"/>
          </w:tcPr>
          <w:p w14:paraId="6B0DEAF9"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96%</w:t>
            </w:r>
          </w:p>
        </w:tc>
        <w:tc>
          <w:tcPr>
            <w:tcW w:w="700" w:type="pct"/>
            <w:vMerge/>
          </w:tcPr>
          <w:p w14:paraId="0FFC4819"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5C66AFB0" w14:textId="77777777" w:rsidR="003E78AB" w:rsidRDefault="003E78AB">
            <w:pPr>
              <w:spacing w:line="360" w:lineRule="exact"/>
              <w:ind w:firstLineChars="0" w:firstLine="0"/>
              <w:jc w:val="center"/>
              <w:textAlignment w:val="center"/>
              <w:rPr>
                <w:sz w:val="21"/>
                <w:szCs w:val="21"/>
                <w:lang w:bidi="ar"/>
              </w:rPr>
            </w:pPr>
          </w:p>
        </w:tc>
      </w:tr>
      <w:tr w:rsidR="003E78AB" w14:paraId="0006C35A" w14:textId="77777777">
        <w:tc>
          <w:tcPr>
            <w:tcW w:w="1674" w:type="pct"/>
            <w:vMerge w:val="restart"/>
          </w:tcPr>
          <w:p w14:paraId="37C11F52" w14:textId="77777777" w:rsidR="003E78AB" w:rsidRDefault="00010BF9">
            <w:pPr>
              <w:spacing w:line="360" w:lineRule="exact"/>
              <w:ind w:firstLineChars="0" w:firstLine="0"/>
              <w:jc w:val="center"/>
              <w:textAlignment w:val="center"/>
              <w:rPr>
                <w:sz w:val="21"/>
                <w:szCs w:val="21"/>
                <w:lang w:bidi="ar"/>
              </w:rPr>
            </w:pPr>
            <w:r>
              <w:rPr>
                <w:kern w:val="2"/>
                <w:sz w:val="21"/>
                <w:szCs w:val="21"/>
              </w:rPr>
              <w:t>G2-4</w:t>
            </w:r>
            <w:r>
              <w:rPr>
                <w:kern w:val="2"/>
                <w:sz w:val="21"/>
                <w:szCs w:val="21"/>
              </w:rPr>
              <w:t>调制定容过程的酸性废气</w:t>
            </w:r>
          </w:p>
        </w:tc>
        <w:tc>
          <w:tcPr>
            <w:tcW w:w="744" w:type="pct"/>
          </w:tcPr>
          <w:p w14:paraId="06DB5194"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磷酸雾</w:t>
            </w:r>
          </w:p>
        </w:tc>
        <w:tc>
          <w:tcPr>
            <w:tcW w:w="635" w:type="pct"/>
          </w:tcPr>
          <w:p w14:paraId="26D54481" w14:textId="77777777" w:rsidR="003E78AB" w:rsidRDefault="00010BF9">
            <w:pPr>
              <w:spacing w:line="360" w:lineRule="exact"/>
              <w:ind w:firstLineChars="0" w:firstLine="0"/>
              <w:jc w:val="center"/>
              <w:textAlignment w:val="center"/>
              <w:rPr>
                <w:kern w:val="2"/>
                <w:sz w:val="21"/>
                <w:szCs w:val="21"/>
              </w:rPr>
            </w:pPr>
            <w:r>
              <w:rPr>
                <w:kern w:val="2"/>
                <w:sz w:val="21"/>
                <w:szCs w:val="21"/>
              </w:rPr>
              <w:t>172.94</w:t>
            </w:r>
          </w:p>
        </w:tc>
        <w:tc>
          <w:tcPr>
            <w:tcW w:w="538" w:type="pct"/>
          </w:tcPr>
          <w:p w14:paraId="5EB1C302"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92%</w:t>
            </w:r>
          </w:p>
        </w:tc>
        <w:tc>
          <w:tcPr>
            <w:tcW w:w="700" w:type="pct"/>
            <w:vMerge/>
          </w:tcPr>
          <w:p w14:paraId="6492FBC4"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75D17873" w14:textId="77777777" w:rsidR="003E78AB" w:rsidRDefault="003E78AB">
            <w:pPr>
              <w:spacing w:line="360" w:lineRule="exact"/>
              <w:ind w:firstLineChars="0" w:firstLine="0"/>
              <w:jc w:val="center"/>
              <w:textAlignment w:val="center"/>
              <w:rPr>
                <w:sz w:val="21"/>
                <w:szCs w:val="21"/>
                <w:lang w:bidi="ar"/>
              </w:rPr>
            </w:pPr>
          </w:p>
        </w:tc>
      </w:tr>
      <w:tr w:rsidR="003E78AB" w14:paraId="403FEE61" w14:textId="77777777">
        <w:tc>
          <w:tcPr>
            <w:tcW w:w="1674" w:type="pct"/>
            <w:vMerge/>
          </w:tcPr>
          <w:p w14:paraId="1E80F2A5" w14:textId="77777777" w:rsidR="003E78AB" w:rsidRDefault="003E78AB">
            <w:pPr>
              <w:spacing w:line="360" w:lineRule="exact"/>
              <w:ind w:firstLineChars="0" w:firstLine="0"/>
              <w:jc w:val="center"/>
              <w:textAlignment w:val="center"/>
              <w:rPr>
                <w:kern w:val="2"/>
                <w:sz w:val="21"/>
                <w:szCs w:val="21"/>
              </w:rPr>
            </w:pPr>
          </w:p>
        </w:tc>
        <w:tc>
          <w:tcPr>
            <w:tcW w:w="744" w:type="pct"/>
          </w:tcPr>
          <w:p w14:paraId="53E95818"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p>
        </w:tc>
        <w:tc>
          <w:tcPr>
            <w:tcW w:w="635" w:type="pct"/>
          </w:tcPr>
          <w:p w14:paraId="39E56204" w14:textId="77777777" w:rsidR="003E78AB" w:rsidRDefault="00010BF9">
            <w:pPr>
              <w:spacing w:line="360" w:lineRule="exact"/>
              <w:ind w:firstLineChars="0" w:firstLine="0"/>
              <w:jc w:val="center"/>
              <w:textAlignment w:val="center"/>
              <w:rPr>
                <w:kern w:val="2"/>
                <w:sz w:val="21"/>
                <w:szCs w:val="21"/>
              </w:rPr>
            </w:pPr>
            <w:r>
              <w:rPr>
                <w:kern w:val="2"/>
                <w:sz w:val="21"/>
                <w:szCs w:val="21"/>
              </w:rPr>
              <w:t>3483.</w:t>
            </w:r>
            <w:r>
              <w:rPr>
                <w:rFonts w:hint="eastAsia"/>
                <w:kern w:val="2"/>
                <w:sz w:val="21"/>
                <w:szCs w:val="21"/>
              </w:rPr>
              <w:t>29</w:t>
            </w:r>
          </w:p>
        </w:tc>
        <w:tc>
          <w:tcPr>
            <w:tcW w:w="538" w:type="pct"/>
          </w:tcPr>
          <w:p w14:paraId="2FEE105E"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96%</w:t>
            </w:r>
          </w:p>
        </w:tc>
        <w:tc>
          <w:tcPr>
            <w:tcW w:w="700" w:type="pct"/>
            <w:vMerge/>
          </w:tcPr>
          <w:p w14:paraId="5AF6A29D"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42C95147" w14:textId="77777777" w:rsidR="003E78AB" w:rsidRDefault="003E78AB">
            <w:pPr>
              <w:spacing w:line="360" w:lineRule="exact"/>
              <w:ind w:firstLineChars="0" w:firstLine="0"/>
              <w:jc w:val="center"/>
              <w:textAlignment w:val="center"/>
              <w:rPr>
                <w:sz w:val="21"/>
                <w:szCs w:val="21"/>
                <w:lang w:bidi="ar"/>
              </w:rPr>
            </w:pPr>
          </w:p>
        </w:tc>
      </w:tr>
      <w:tr w:rsidR="003E78AB" w14:paraId="4B49E82A" w14:textId="77777777">
        <w:tc>
          <w:tcPr>
            <w:tcW w:w="1674" w:type="pct"/>
            <w:vMerge w:val="restart"/>
          </w:tcPr>
          <w:p w14:paraId="6FA8D40E" w14:textId="77777777" w:rsidR="003E78AB" w:rsidRDefault="00010BF9">
            <w:pPr>
              <w:spacing w:line="360" w:lineRule="exact"/>
              <w:ind w:firstLineChars="0" w:firstLine="0"/>
              <w:jc w:val="center"/>
              <w:textAlignment w:val="center"/>
              <w:rPr>
                <w:kern w:val="2"/>
                <w:sz w:val="21"/>
                <w:szCs w:val="21"/>
              </w:rPr>
            </w:pPr>
            <w:r>
              <w:rPr>
                <w:kern w:val="2"/>
                <w:sz w:val="21"/>
                <w:szCs w:val="21"/>
              </w:rPr>
              <w:t>G2-5</w:t>
            </w:r>
            <w:r>
              <w:rPr>
                <w:kern w:val="2"/>
                <w:sz w:val="21"/>
                <w:szCs w:val="21"/>
              </w:rPr>
              <w:t>成品装卸过程的酸性废气</w:t>
            </w:r>
          </w:p>
        </w:tc>
        <w:tc>
          <w:tcPr>
            <w:tcW w:w="744" w:type="pct"/>
          </w:tcPr>
          <w:p w14:paraId="3ADC0E9A" w14:textId="77777777" w:rsidR="003E78AB" w:rsidRDefault="00010BF9">
            <w:pPr>
              <w:spacing w:line="360" w:lineRule="exact"/>
              <w:ind w:firstLineChars="0" w:firstLine="0"/>
              <w:jc w:val="center"/>
              <w:textAlignment w:val="center"/>
              <w:rPr>
                <w:sz w:val="21"/>
                <w:szCs w:val="21"/>
                <w:lang w:bidi="ar"/>
              </w:rPr>
            </w:pPr>
            <w:r>
              <w:rPr>
                <w:sz w:val="21"/>
                <w:szCs w:val="21"/>
                <w:lang w:bidi="ar"/>
              </w:rPr>
              <w:t>磷酸雾</w:t>
            </w:r>
          </w:p>
        </w:tc>
        <w:tc>
          <w:tcPr>
            <w:tcW w:w="635" w:type="pct"/>
          </w:tcPr>
          <w:p w14:paraId="27290AFB" w14:textId="77777777" w:rsidR="003E78AB" w:rsidRDefault="00010BF9">
            <w:pPr>
              <w:spacing w:line="360" w:lineRule="exact"/>
              <w:ind w:firstLineChars="0" w:firstLine="0"/>
              <w:jc w:val="center"/>
              <w:textAlignment w:val="center"/>
              <w:rPr>
                <w:kern w:val="2"/>
                <w:sz w:val="21"/>
                <w:szCs w:val="21"/>
              </w:rPr>
            </w:pPr>
            <w:r>
              <w:rPr>
                <w:kern w:val="2"/>
                <w:sz w:val="21"/>
                <w:szCs w:val="21"/>
              </w:rPr>
              <w:t>2089.8</w:t>
            </w:r>
            <w:r>
              <w:rPr>
                <w:rFonts w:hint="eastAsia"/>
                <w:kern w:val="2"/>
                <w:sz w:val="21"/>
                <w:szCs w:val="21"/>
              </w:rPr>
              <w:t>7</w:t>
            </w:r>
          </w:p>
        </w:tc>
        <w:tc>
          <w:tcPr>
            <w:tcW w:w="538" w:type="pct"/>
          </w:tcPr>
          <w:p w14:paraId="6C96FB46"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92%</w:t>
            </w:r>
          </w:p>
        </w:tc>
        <w:tc>
          <w:tcPr>
            <w:tcW w:w="700" w:type="pct"/>
            <w:vMerge/>
          </w:tcPr>
          <w:p w14:paraId="7732A031"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6C386A10" w14:textId="77777777" w:rsidR="003E78AB" w:rsidRDefault="003E78AB">
            <w:pPr>
              <w:spacing w:line="360" w:lineRule="exact"/>
              <w:ind w:firstLineChars="0" w:firstLine="0"/>
              <w:jc w:val="center"/>
              <w:textAlignment w:val="center"/>
              <w:rPr>
                <w:sz w:val="21"/>
                <w:szCs w:val="21"/>
                <w:lang w:bidi="ar"/>
              </w:rPr>
            </w:pPr>
          </w:p>
        </w:tc>
      </w:tr>
      <w:tr w:rsidR="003E78AB" w14:paraId="695A5F84" w14:textId="77777777">
        <w:tc>
          <w:tcPr>
            <w:tcW w:w="1674" w:type="pct"/>
            <w:vMerge/>
          </w:tcPr>
          <w:p w14:paraId="6D5C72F0" w14:textId="77777777" w:rsidR="003E78AB" w:rsidRDefault="003E78AB">
            <w:pPr>
              <w:spacing w:line="360" w:lineRule="exact"/>
              <w:ind w:firstLineChars="0" w:firstLine="0"/>
              <w:jc w:val="center"/>
              <w:textAlignment w:val="center"/>
              <w:rPr>
                <w:kern w:val="2"/>
                <w:sz w:val="21"/>
                <w:szCs w:val="21"/>
              </w:rPr>
            </w:pPr>
          </w:p>
        </w:tc>
        <w:tc>
          <w:tcPr>
            <w:tcW w:w="744" w:type="pct"/>
          </w:tcPr>
          <w:p w14:paraId="0EB25FAB" w14:textId="77777777" w:rsidR="003E78AB" w:rsidRDefault="00010BF9">
            <w:pPr>
              <w:spacing w:line="360" w:lineRule="exact"/>
              <w:ind w:firstLineChars="0" w:firstLine="0"/>
              <w:jc w:val="center"/>
              <w:textAlignment w:val="center"/>
              <w:rPr>
                <w:sz w:val="21"/>
                <w:szCs w:val="21"/>
                <w:lang w:bidi="ar"/>
              </w:rPr>
            </w:pPr>
            <w:r>
              <w:rPr>
                <w:sz w:val="21"/>
                <w:szCs w:val="21"/>
                <w:lang w:bidi="ar"/>
              </w:rPr>
              <w:t>硫酸雾</w:t>
            </w:r>
          </w:p>
        </w:tc>
        <w:tc>
          <w:tcPr>
            <w:tcW w:w="635" w:type="pct"/>
          </w:tcPr>
          <w:p w14:paraId="6C0CEDF9" w14:textId="77777777" w:rsidR="003E78AB" w:rsidRDefault="00010BF9">
            <w:pPr>
              <w:spacing w:line="360" w:lineRule="exact"/>
              <w:ind w:firstLineChars="0" w:firstLine="0"/>
              <w:jc w:val="center"/>
              <w:textAlignment w:val="center"/>
              <w:rPr>
                <w:kern w:val="2"/>
                <w:sz w:val="21"/>
                <w:szCs w:val="21"/>
              </w:rPr>
            </w:pPr>
            <w:r>
              <w:rPr>
                <w:kern w:val="2"/>
                <w:sz w:val="21"/>
                <w:szCs w:val="21"/>
              </w:rPr>
              <w:t>557</w:t>
            </w:r>
            <w:r>
              <w:rPr>
                <w:rFonts w:hint="eastAsia"/>
                <w:kern w:val="2"/>
                <w:sz w:val="21"/>
                <w:szCs w:val="21"/>
              </w:rPr>
              <w:t>2.99</w:t>
            </w:r>
          </w:p>
        </w:tc>
        <w:tc>
          <w:tcPr>
            <w:tcW w:w="538" w:type="pct"/>
          </w:tcPr>
          <w:p w14:paraId="471254E7"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96%</w:t>
            </w:r>
          </w:p>
        </w:tc>
        <w:tc>
          <w:tcPr>
            <w:tcW w:w="700" w:type="pct"/>
            <w:vMerge/>
          </w:tcPr>
          <w:p w14:paraId="25500E0B" w14:textId="77777777" w:rsidR="003E78AB" w:rsidRDefault="003E78AB">
            <w:pPr>
              <w:spacing w:line="360" w:lineRule="exact"/>
              <w:ind w:firstLineChars="0" w:firstLine="0"/>
              <w:jc w:val="center"/>
              <w:textAlignment w:val="center"/>
              <w:rPr>
                <w:sz w:val="21"/>
                <w:szCs w:val="21"/>
                <w:lang w:bidi="ar"/>
              </w:rPr>
            </w:pPr>
          </w:p>
        </w:tc>
        <w:tc>
          <w:tcPr>
            <w:tcW w:w="707" w:type="pct"/>
            <w:vMerge/>
          </w:tcPr>
          <w:p w14:paraId="0B377399" w14:textId="77777777" w:rsidR="003E78AB" w:rsidRDefault="003E78AB">
            <w:pPr>
              <w:spacing w:line="360" w:lineRule="exact"/>
              <w:ind w:firstLineChars="0" w:firstLine="0"/>
              <w:jc w:val="center"/>
              <w:textAlignment w:val="center"/>
              <w:rPr>
                <w:sz w:val="21"/>
                <w:szCs w:val="21"/>
                <w:lang w:bidi="ar"/>
              </w:rPr>
            </w:pPr>
          </w:p>
        </w:tc>
      </w:tr>
      <w:tr w:rsidR="003E78AB" w14:paraId="65FC61E7" w14:textId="77777777">
        <w:tc>
          <w:tcPr>
            <w:tcW w:w="1674" w:type="pct"/>
          </w:tcPr>
          <w:p w14:paraId="4B0F27DD"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车间无组织</w:t>
            </w:r>
          </w:p>
        </w:tc>
        <w:tc>
          <w:tcPr>
            <w:tcW w:w="744" w:type="pct"/>
          </w:tcPr>
          <w:p w14:paraId="1F792C1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硫酸雾</w:t>
            </w:r>
          </w:p>
        </w:tc>
        <w:tc>
          <w:tcPr>
            <w:tcW w:w="635" w:type="pct"/>
            <w:shd w:val="clear" w:color="auto" w:fill="auto"/>
            <w:vAlign w:val="bottom"/>
          </w:tcPr>
          <w:p w14:paraId="069E44C8" w14:textId="77777777" w:rsidR="003E78AB" w:rsidRDefault="00010BF9">
            <w:pPr>
              <w:spacing w:line="360" w:lineRule="exact"/>
              <w:ind w:firstLineChars="0" w:firstLine="0"/>
              <w:jc w:val="center"/>
              <w:textAlignment w:val="center"/>
              <w:rPr>
                <w:kern w:val="2"/>
                <w:sz w:val="21"/>
                <w:szCs w:val="21"/>
              </w:rPr>
            </w:pPr>
            <w:r>
              <w:rPr>
                <w:rFonts w:hint="eastAsia"/>
                <w:kern w:val="2"/>
                <w:sz w:val="21"/>
                <w:szCs w:val="21"/>
              </w:rPr>
              <w:t>69.66</w:t>
            </w:r>
          </w:p>
        </w:tc>
        <w:tc>
          <w:tcPr>
            <w:tcW w:w="538" w:type="pct"/>
          </w:tcPr>
          <w:p w14:paraId="00C163E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700" w:type="pct"/>
          </w:tcPr>
          <w:p w14:paraId="1621838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707" w:type="pct"/>
          </w:tcPr>
          <w:p w14:paraId="1EC0D01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7920</w:t>
            </w:r>
          </w:p>
        </w:tc>
      </w:tr>
    </w:tbl>
    <w:p w14:paraId="1E44C50E" w14:textId="77777777" w:rsidR="003E78AB" w:rsidRDefault="00010BF9">
      <w:pPr>
        <w:pStyle w:val="a1"/>
      </w:pPr>
      <w:r>
        <w:rPr>
          <w:rFonts w:hint="eastAsia"/>
        </w:rPr>
        <w:t>工艺废气产排情况</w:t>
      </w:r>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974"/>
        <w:gridCol w:w="1004"/>
        <w:gridCol w:w="960"/>
        <w:gridCol w:w="1192"/>
        <w:gridCol w:w="1306"/>
        <w:gridCol w:w="1185"/>
        <w:gridCol w:w="835"/>
      </w:tblGrid>
      <w:tr w:rsidR="003E78AB" w14:paraId="6F6E1EDA" w14:textId="77777777">
        <w:tc>
          <w:tcPr>
            <w:tcW w:w="565" w:type="pct"/>
          </w:tcPr>
          <w:p w14:paraId="4F487C0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污染源</w:t>
            </w:r>
          </w:p>
        </w:tc>
        <w:tc>
          <w:tcPr>
            <w:tcW w:w="584" w:type="pct"/>
          </w:tcPr>
          <w:p w14:paraId="2ACC1A5A"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成分</w:t>
            </w:r>
          </w:p>
        </w:tc>
        <w:tc>
          <w:tcPr>
            <w:tcW w:w="589" w:type="pct"/>
          </w:tcPr>
          <w:p w14:paraId="731BAC6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产生量</w:t>
            </w:r>
            <w:r>
              <w:rPr>
                <w:b/>
                <w:bCs/>
                <w:sz w:val="21"/>
                <w:szCs w:val="21"/>
                <w:lang w:bidi="ar"/>
              </w:rPr>
              <w:t>（</w:t>
            </w:r>
            <w:r>
              <w:rPr>
                <w:rFonts w:hint="eastAsia"/>
                <w:b/>
                <w:bCs/>
                <w:sz w:val="21"/>
                <w:szCs w:val="21"/>
                <w:lang w:bidi="ar"/>
              </w:rPr>
              <w:t>kg</w:t>
            </w:r>
            <w:r>
              <w:rPr>
                <w:b/>
                <w:bCs/>
                <w:sz w:val="21"/>
                <w:szCs w:val="21"/>
                <w:lang w:bidi="ar"/>
              </w:rPr>
              <w:t>/a</w:t>
            </w:r>
            <w:r>
              <w:rPr>
                <w:b/>
                <w:bCs/>
                <w:sz w:val="21"/>
                <w:szCs w:val="21"/>
                <w:lang w:bidi="ar"/>
              </w:rPr>
              <w:t>）</w:t>
            </w:r>
          </w:p>
        </w:tc>
        <w:tc>
          <w:tcPr>
            <w:tcW w:w="575" w:type="pct"/>
          </w:tcPr>
          <w:p w14:paraId="07B311F1"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处理效率</w:t>
            </w:r>
          </w:p>
        </w:tc>
        <w:tc>
          <w:tcPr>
            <w:tcW w:w="710" w:type="pct"/>
          </w:tcPr>
          <w:p w14:paraId="7BC40883"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排放量（</w:t>
            </w:r>
            <w:r>
              <w:rPr>
                <w:rFonts w:hint="eastAsia"/>
                <w:b/>
                <w:bCs/>
                <w:sz w:val="21"/>
                <w:szCs w:val="21"/>
                <w:lang w:bidi="ar"/>
              </w:rPr>
              <w:t>kg</w:t>
            </w:r>
            <w:r>
              <w:rPr>
                <w:b/>
                <w:bCs/>
                <w:sz w:val="21"/>
                <w:szCs w:val="21"/>
                <w:lang w:bidi="ar"/>
              </w:rPr>
              <w:t>/a</w:t>
            </w:r>
            <w:r>
              <w:rPr>
                <w:b/>
                <w:bCs/>
                <w:sz w:val="21"/>
                <w:szCs w:val="21"/>
                <w:lang w:bidi="ar"/>
              </w:rPr>
              <w:t>）</w:t>
            </w:r>
          </w:p>
        </w:tc>
        <w:tc>
          <w:tcPr>
            <w:tcW w:w="777" w:type="pct"/>
          </w:tcPr>
          <w:p w14:paraId="2A87921C"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排放速率（</w:t>
            </w:r>
            <w:r>
              <w:rPr>
                <w:rFonts w:hint="eastAsia"/>
                <w:b/>
                <w:bCs/>
                <w:sz w:val="21"/>
                <w:szCs w:val="21"/>
                <w:lang w:bidi="ar"/>
              </w:rPr>
              <w:t>kg/h</w:t>
            </w:r>
            <w:r>
              <w:rPr>
                <w:rFonts w:hint="eastAsia"/>
                <w:b/>
                <w:bCs/>
                <w:sz w:val="21"/>
                <w:szCs w:val="21"/>
                <w:lang w:bidi="ar"/>
              </w:rPr>
              <w:t>）</w:t>
            </w:r>
          </w:p>
        </w:tc>
        <w:tc>
          <w:tcPr>
            <w:tcW w:w="706" w:type="pct"/>
          </w:tcPr>
          <w:p w14:paraId="2DFD143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排放浓度（</w:t>
            </w:r>
            <w:r>
              <w:rPr>
                <w:b/>
                <w:bCs/>
                <w:sz w:val="21"/>
                <w:szCs w:val="21"/>
                <w:lang w:bidi="ar"/>
              </w:rPr>
              <w:t>mg/m</w:t>
            </w:r>
            <w:r>
              <w:rPr>
                <w:b/>
                <w:bCs/>
                <w:sz w:val="21"/>
                <w:szCs w:val="21"/>
                <w:vertAlign w:val="superscript"/>
                <w:lang w:bidi="ar"/>
              </w:rPr>
              <w:t>3</w:t>
            </w:r>
            <w:r>
              <w:rPr>
                <w:b/>
                <w:bCs/>
                <w:sz w:val="21"/>
                <w:szCs w:val="21"/>
                <w:lang w:bidi="ar"/>
              </w:rPr>
              <w:t>）</w:t>
            </w:r>
          </w:p>
        </w:tc>
        <w:tc>
          <w:tcPr>
            <w:tcW w:w="490" w:type="pct"/>
          </w:tcPr>
          <w:p w14:paraId="60FD45DD"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排气筒</w:t>
            </w:r>
          </w:p>
        </w:tc>
      </w:tr>
      <w:tr w:rsidR="003E78AB" w14:paraId="62B62B53" w14:textId="77777777">
        <w:tc>
          <w:tcPr>
            <w:tcW w:w="565" w:type="pct"/>
            <w:vMerge w:val="restart"/>
          </w:tcPr>
          <w:p w14:paraId="6EA27CC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酸性废气</w:t>
            </w:r>
          </w:p>
        </w:tc>
        <w:tc>
          <w:tcPr>
            <w:tcW w:w="584" w:type="pct"/>
          </w:tcPr>
          <w:p w14:paraId="6A9A4B4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硫酸雾</w:t>
            </w:r>
          </w:p>
        </w:tc>
        <w:tc>
          <w:tcPr>
            <w:tcW w:w="589" w:type="pct"/>
            <w:vAlign w:val="bottom"/>
          </w:tcPr>
          <w:p w14:paraId="3C47441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28107.72</w:t>
            </w:r>
          </w:p>
        </w:tc>
        <w:tc>
          <w:tcPr>
            <w:tcW w:w="575" w:type="pct"/>
          </w:tcPr>
          <w:p w14:paraId="150C7AB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96%</w:t>
            </w:r>
          </w:p>
        </w:tc>
        <w:tc>
          <w:tcPr>
            <w:tcW w:w="710" w:type="pct"/>
            <w:vAlign w:val="bottom"/>
          </w:tcPr>
          <w:p w14:paraId="1ACC1C6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1124.31</w:t>
            </w:r>
          </w:p>
        </w:tc>
        <w:tc>
          <w:tcPr>
            <w:tcW w:w="777" w:type="pct"/>
            <w:vAlign w:val="bottom"/>
          </w:tcPr>
          <w:p w14:paraId="2369E95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0.1420</w:t>
            </w:r>
          </w:p>
        </w:tc>
        <w:tc>
          <w:tcPr>
            <w:tcW w:w="706" w:type="pct"/>
            <w:vAlign w:val="bottom"/>
          </w:tcPr>
          <w:p w14:paraId="312A881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14.20</w:t>
            </w:r>
          </w:p>
        </w:tc>
        <w:tc>
          <w:tcPr>
            <w:tcW w:w="490" w:type="pct"/>
            <w:vMerge w:val="restart"/>
          </w:tcPr>
          <w:p w14:paraId="47B415D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DA003</w:t>
            </w:r>
          </w:p>
        </w:tc>
      </w:tr>
      <w:tr w:rsidR="003E78AB" w14:paraId="608BAD08" w14:textId="77777777">
        <w:tc>
          <w:tcPr>
            <w:tcW w:w="565" w:type="pct"/>
            <w:vMerge/>
          </w:tcPr>
          <w:p w14:paraId="01A8E9AB" w14:textId="77777777" w:rsidR="003E78AB" w:rsidRDefault="003E78AB">
            <w:pPr>
              <w:spacing w:line="360" w:lineRule="exact"/>
              <w:ind w:firstLineChars="0" w:firstLine="0"/>
              <w:jc w:val="center"/>
              <w:textAlignment w:val="center"/>
              <w:rPr>
                <w:sz w:val="21"/>
                <w:szCs w:val="21"/>
                <w:lang w:bidi="ar"/>
              </w:rPr>
            </w:pPr>
          </w:p>
        </w:tc>
        <w:tc>
          <w:tcPr>
            <w:tcW w:w="584" w:type="pct"/>
          </w:tcPr>
          <w:p w14:paraId="481908C8"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磷酸雾</w:t>
            </w:r>
          </w:p>
        </w:tc>
        <w:tc>
          <w:tcPr>
            <w:tcW w:w="589" w:type="pct"/>
            <w:vAlign w:val="bottom"/>
          </w:tcPr>
          <w:p w14:paraId="0372BB53"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2262.81</w:t>
            </w:r>
          </w:p>
        </w:tc>
        <w:tc>
          <w:tcPr>
            <w:tcW w:w="575" w:type="pct"/>
          </w:tcPr>
          <w:p w14:paraId="638915D9"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92%</w:t>
            </w:r>
          </w:p>
        </w:tc>
        <w:tc>
          <w:tcPr>
            <w:tcW w:w="710" w:type="pct"/>
            <w:vAlign w:val="bottom"/>
          </w:tcPr>
          <w:p w14:paraId="1D18169A" w14:textId="77777777" w:rsidR="003E78AB" w:rsidRDefault="00010BF9">
            <w:pPr>
              <w:spacing w:line="360" w:lineRule="exact"/>
              <w:ind w:firstLineChars="0" w:firstLine="0"/>
              <w:jc w:val="center"/>
              <w:textAlignment w:val="center"/>
              <w:rPr>
                <w:bCs/>
                <w:sz w:val="21"/>
                <w:szCs w:val="21"/>
                <w:lang w:bidi="ar"/>
              </w:rPr>
            </w:pPr>
            <w:r>
              <w:rPr>
                <w:bCs/>
                <w:kern w:val="2"/>
              </w:rPr>
              <w:t>0.1810</w:t>
            </w:r>
          </w:p>
        </w:tc>
        <w:tc>
          <w:tcPr>
            <w:tcW w:w="777" w:type="pct"/>
            <w:vAlign w:val="bottom"/>
          </w:tcPr>
          <w:p w14:paraId="4027D395" w14:textId="77777777" w:rsidR="003E78AB" w:rsidRDefault="00010BF9">
            <w:pPr>
              <w:spacing w:line="360" w:lineRule="exact"/>
              <w:ind w:firstLineChars="0" w:firstLine="0"/>
              <w:jc w:val="center"/>
              <w:textAlignment w:val="center"/>
              <w:rPr>
                <w:bCs/>
                <w:sz w:val="21"/>
                <w:szCs w:val="21"/>
                <w:lang w:bidi="ar"/>
              </w:rPr>
            </w:pPr>
            <w:r>
              <w:rPr>
                <w:bCs/>
                <w:kern w:val="2"/>
              </w:rPr>
              <w:t>0.0229</w:t>
            </w:r>
          </w:p>
        </w:tc>
        <w:tc>
          <w:tcPr>
            <w:tcW w:w="706" w:type="pct"/>
            <w:vAlign w:val="bottom"/>
          </w:tcPr>
          <w:p w14:paraId="52ECD976" w14:textId="77777777" w:rsidR="003E78AB" w:rsidRDefault="00010BF9">
            <w:pPr>
              <w:spacing w:line="360" w:lineRule="exact"/>
              <w:ind w:firstLineChars="0" w:firstLine="0"/>
              <w:jc w:val="center"/>
              <w:textAlignment w:val="center"/>
              <w:rPr>
                <w:bCs/>
                <w:sz w:val="21"/>
                <w:szCs w:val="21"/>
                <w:lang w:bidi="ar"/>
              </w:rPr>
            </w:pPr>
            <w:r>
              <w:rPr>
                <w:bCs/>
                <w:kern w:val="2"/>
              </w:rPr>
              <w:t xml:space="preserve">2.29 </w:t>
            </w:r>
          </w:p>
        </w:tc>
        <w:tc>
          <w:tcPr>
            <w:tcW w:w="490" w:type="pct"/>
            <w:vMerge/>
          </w:tcPr>
          <w:p w14:paraId="635F7801" w14:textId="77777777" w:rsidR="003E78AB" w:rsidRDefault="003E78AB">
            <w:pPr>
              <w:spacing w:line="360" w:lineRule="exact"/>
              <w:ind w:firstLineChars="0" w:firstLine="0"/>
              <w:jc w:val="center"/>
              <w:textAlignment w:val="center"/>
              <w:rPr>
                <w:sz w:val="21"/>
                <w:szCs w:val="21"/>
                <w:lang w:bidi="ar"/>
              </w:rPr>
            </w:pPr>
          </w:p>
        </w:tc>
      </w:tr>
      <w:tr w:rsidR="003E78AB" w14:paraId="6A92923A" w14:textId="77777777">
        <w:tc>
          <w:tcPr>
            <w:tcW w:w="565" w:type="pct"/>
            <w:vMerge w:val="restart"/>
          </w:tcPr>
          <w:p w14:paraId="6979F09C"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酸性废气（</w:t>
            </w:r>
            <w:r>
              <w:rPr>
                <w:rFonts w:hint="eastAsia"/>
                <w:bCs/>
                <w:sz w:val="21"/>
                <w:szCs w:val="21"/>
                <w:lang w:bidi="ar"/>
              </w:rPr>
              <w:t>VOCs</w:t>
            </w:r>
            <w:r>
              <w:rPr>
                <w:rFonts w:hint="eastAsia"/>
                <w:bCs/>
                <w:sz w:val="21"/>
                <w:szCs w:val="21"/>
                <w:lang w:bidi="ar"/>
              </w:rPr>
              <w:t>）</w:t>
            </w:r>
          </w:p>
        </w:tc>
        <w:tc>
          <w:tcPr>
            <w:tcW w:w="584" w:type="pct"/>
          </w:tcPr>
          <w:p w14:paraId="06106F4F"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甲酸雾</w:t>
            </w:r>
          </w:p>
        </w:tc>
        <w:tc>
          <w:tcPr>
            <w:tcW w:w="589" w:type="pct"/>
            <w:vAlign w:val="bottom"/>
          </w:tcPr>
          <w:p w14:paraId="3F8AECFC"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2693.88</w:t>
            </w:r>
          </w:p>
        </w:tc>
        <w:tc>
          <w:tcPr>
            <w:tcW w:w="575" w:type="pct"/>
          </w:tcPr>
          <w:p w14:paraId="4FB25DBB"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91%</w:t>
            </w:r>
          </w:p>
        </w:tc>
        <w:tc>
          <w:tcPr>
            <w:tcW w:w="710" w:type="pct"/>
            <w:vMerge w:val="restart"/>
          </w:tcPr>
          <w:p w14:paraId="08C2B524" w14:textId="77777777" w:rsidR="003E78AB" w:rsidRDefault="00010BF9">
            <w:pPr>
              <w:spacing w:line="360" w:lineRule="exact"/>
              <w:ind w:firstLineChars="0" w:firstLine="0"/>
              <w:jc w:val="center"/>
              <w:textAlignment w:val="center"/>
              <w:rPr>
                <w:bCs/>
                <w:sz w:val="21"/>
                <w:szCs w:val="21"/>
                <w:lang w:bidi="ar"/>
              </w:rPr>
            </w:pPr>
            <w:r>
              <w:rPr>
                <w:bCs/>
                <w:kern w:val="2"/>
              </w:rPr>
              <w:t>0.3649</w:t>
            </w:r>
          </w:p>
        </w:tc>
        <w:tc>
          <w:tcPr>
            <w:tcW w:w="777" w:type="pct"/>
            <w:vMerge w:val="restart"/>
          </w:tcPr>
          <w:p w14:paraId="30ABD044" w14:textId="77777777" w:rsidR="003E78AB" w:rsidRDefault="00010BF9">
            <w:pPr>
              <w:spacing w:line="360" w:lineRule="exact"/>
              <w:ind w:firstLineChars="0" w:firstLine="0"/>
              <w:jc w:val="center"/>
              <w:textAlignment w:val="center"/>
              <w:rPr>
                <w:bCs/>
                <w:sz w:val="21"/>
                <w:szCs w:val="21"/>
                <w:lang w:bidi="ar"/>
              </w:rPr>
            </w:pPr>
            <w:r>
              <w:rPr>
                <w:bCs/>
                <w:kern w:val="2"/>
              </w:rPr>
              <w:t>0.0461</w:t>
            </w:r>
          </w:p>
        </w:tc>
        <w:tc>
          <w:tcPr>
            <w:tcW w:w="706" w:type="pct"/>
            <w:vMerge w:val="restart"/>
          </w:tcPr>
          <w:p w14:paraId="4A617E4B" w14:textId="77777777" w:rsidR="003E78AB" w:rsidRDefault="00010BF9">
            <w:pPr>
              <w:spacing w:line="360" w:lineRule="exact"/>
              <w:ind w:firstLineChars="0" w:firstLine="0"/>
              <w:jc w:val="center"/>
              <w:textAlignment w:val="center"/>
              <w:rPr>
                <w:bCs/>
                <w:sz w:val="21"/>
                <w:szCs w:val="21"/>
                <w:lang w:bidi="ar"/>
              </w:rPr>
            </w:pPr>
            <w:r>
              <w:rPr>
                <w:bCs/>
                <w:kern w:val="2"/>
              </w:rPr>
              <w:t>4.61</w:t>
            </w:r>
          </w:p>
        </w:tc>
        <w:tc>
          <w:tcPr>
            <w:tcW w:w="490" w:type="pct"/>
            <w:vMerge/>
          </w:tcPr>
          <w:p w14:paraId="1936E8ED" w14:textId="77777777" w:rsidR="003E78AB" w:rsidRDefault="003E78AB">
            <w:pPr>
              <w:spacing w:line="360" w:lineRule="exact"/>
              <w:ind w:firstLineChars="0" w:firstLine="0"/>
              <w:jc w:val="center"/>
              <w:textAlignment w:val="center"/>
              <w:rPr>
                <w:sz w:val="21"/>
                <w:szCs w:val="21"/>
                <w:lang w:bidi="ar"/>
              </w:rPr>
            </w:pPr>
          </w:p>
        </w:tc>
      </w:tr>
      <w:tr w:rsidR="003E78AB" w14:paraId="41270CBD" w14:textId="77777777">
        <w:tc>
          <w:tcPr>
            <w:tcW w:w="565" w:type="pct"/>
            <w:vMerge/>
          </w:tcPr>
          <w:p w14:paraId="1400BBE0" w14:textId="77777777" w:rsidR="003E78AB" w:rsidRDefault="003E78AB">
            <w:pPr>
              <w:spacing w:line="360" w:lineRule="exact"/>
              <w:ind w:firstLineChars="0" w:firstLine="0"/>
              <w:jc w:val="center"/>
              <w:textAlignment w:val="center"/>
              <w:rPr>
                <w:bCs/>
                <w:sz w:val="21"/>
                <w:szCs w:val="21"/>
                <w:lang w:bidi="ar"/>
              </w:rPr>
            </w:pPr>
          </w:p>
        </w:tc>
        <w:tc>
          <w:tcPr>
            <w:tcW w:w="584" w:type="pct"/>
          </w:tcPr>
          <w:p w14:paraId="7B343D10"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草酸雾</w:t>
            </w:r>
          </w:p>
        </w:tc>
        <w:tc>
          <w:tcPr>
            <w:tcW w:w="589" w:type="pct"/>
            <w:shd w:val="clear" w:color="auto" w:fill="auto"/>
          </w:tcPr>
          <w:p w14:paraId="1E1793F6"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907.08</w:t>
            </w:r>
          </w:p>
        </w:tc>
        <w:tc>
          <w:tcPr>
            <w:tcW w:w="575" w:type="pct"/>
          </w:tcPr>
          <w:p w14:paraId="099415AB" w14:textId="77777777" w:rsidR="003E78AB" w:rsidRDefault="00010BF9">
            <w:pPr>
              <w:spacing w:line="360" w:lineRule="exact"/>
              <w:ind w:firstLineChars="0" w:firstLine="0"/>
              <w:jc w:val="center"/>
              <w:textAlignment w:val="center"/>
              <w:rPr>
                <w:bCs/>
                <w:sz w:val="21"/>
                <w:szCs w:val="21"/>
                <w:lang w:bidi="ar"/>
              </w:rPr>
            </w:pPr>
            <w:r>
              <w:rPr>
                <w:rFonts w:hint="eastAsia"/>
                <w:bCs/>
                <w:sz w:val="21"/>
                <w:szCs w:val="21"/>
                <w:lang w:bidi="ar"/>
              </w:rPr>
              <w:t>86.5%</w:t>
            </w:r>
          </w:p>
        </w:tc>
        <w:tc>
          <w:tcPr>
            <w:tcW w:w="710" w:type="pct"/>
            <w:vMerge/>
          </w:tcPr>
          <w:p w14:paraId="110FF7AC" w14:textId="77777777" w:rsidR="003E78AB" w:rsidRDefault="003E78AB">
            <w:pPr>
              <w:spacing w:line="360" w:lineRule="exact"/>
              <w:ind w:firstLineChars="0" w:firstLine="0"/>
              <w:jc w:val="center"/>
              <w:textAlignment w:val="center"/>
              <w:rPr>
                <w:sz w:val="21"/>
                <w:szCs w:val="21"/>
                <w:lang w:bidi="ar"/>
              </w:rPr>
            </w:pPr>
          </w:p>
        </w:tc>
        <w:tc>
          <w:tcPr>
            <w:tcW w:w="777" w:type="pct"/>
            <w:vMerge/>
          </w:tcPr>
          <w:p w14:paraId="2C9D3DF4" w14:textId="77777777" w:rsidR="003E78AB" w:rsidRDefault="003E78AB">
            <w:pPr>
              <w:spacing w:line="360" w:lineRule="exact"/>
              <w:ind w:firstLineChars="0" w:firstLine="0"/>
              <w:jc w:val="center"/>
              <w:textAlignment w:val="center"/>
              <w:rPr>
                <w:sz w:val="21"/>
                <w:szCs w:val="21"/>
                <w:lang w:bidi="ar"/>
              </w:rPr>
            </w:pPr>
          </w:p>
        </w:tc>
        <w:tc>
          <w:tcPr>
            <w:tcW w:w="706" w:type="pct"/>
            <w:vMerge/>
          </w:tcPr>
          <w:p w14:paraId="275E8386" w14:textId="77777777" w:rsidR="003E78AB" w:rsidRDefault="003E78AB">
            <w:pPr>
              <w:spacing w:line="360" w:lineRule="exact"/>
              <w:ind w:firstLineChars="0" w:firstLine="0"/>
              <w:jc w:val="center"/>
              <w:textAlignment w:val="center"/>
              <w:rPr>
                <w:sz w:val="21"/>
                <w:szCs w:val="21"/>
                <w:lang w:bidi="ar"/>
              </w:rPr>
            </w:pPr>
          </w:p>
        </w:tc>
        <w:tc>
          <w:tcPr>
            <w:tcW w:w="490" w:type="pct"/>
            <w:vMerge/>
          </w:tcPr>
          <w:p w14:paraId="6FE862E6" w14:textId="77777777" w:rsidR="003E78AB" w:rsidRDefault="003E78AB">
            <w:pPr>
              <w:spacing w:line="360" w:lineRule="exact"/>
              <w:ind w:firstLineChars="0" w:firstLine="0"/>
              <w:jc w:val="center"/>
              <w:textAlignment w:val="center"/>
              <w:rPr>
                <w:sz w:val="21"/>
                <w:szCs w:val="21"/>
                <w:lang w:bidi="ar"/>
              </w:rPr>
            </w:pPr>
          </w:p>
        </w:tc>
      </w:tr>
      <w:tr w:rsidR="003E78AB" w14:paraId="0E8FCA34" w14:textId="77777777">
        <w:tc>
          <w:tcPr>
            <w:tcW w:w="565" w:type="pct"/>
          </w:tcPr>
          <w:p w14:paraId="122079D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无组织</w:t>
            </w:r>
          </w:p>
        </w:tc>
        <w:tc>
          <w:tcPr>
            <w:tcW w:w="584" w:type="pct"/>
          </w:tcPr>
          <w:p w14:paraId="02EE018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硫酸雾</w:t>
            </w:r>
          </w:p>
        </w:tc>
        <w:tc>
          <w:tcPr>
            <w:tcW w:w="589" w:type="pct"/>
            <w:shd w:val="clear" w:color="auto" w:fill="auto"/>
          </w:tcPr>
          <w:p w14:paraId="7FBD26CD" w14:textId="77777777" w:rsidR="003E78AB" w:rsidRDefault="00010BF9">
            <w:pPr>
              <w:spacing w:line="360" w:lineRule="exact"/>
              <w:ind w:firstLineChars="0" w:firstLine="0"/>
              <w:jc w:val="center"/>
              <w:textAlignment w:val="center"/>
              <w:rPr>
                <w:sz w:val="21"/>
                <w:szCs w:val="21"/>
                <w:lang w:bidi="ar"/>
              </w:rPr>
            </w:pPr>
            <w:r>
              <w:rPr>
                <w:rFonts w:hint="eastAsia"/>
                <w:kern w:val="2"/>
                <w:sz w:val="21"/>
                <w:szCs w:val="21"/>
              </w:rPr>
              <w:t>69.66</w:t>
            </w:r>
          </w:p>
        </w:tc>
        <w:tc>
          <w:tcPr>
            <w:tcW w:w="575" w:type="pct"/>
          </w:tcPr>
          <w:p w14:paraId="16867E5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710" w:type="pct"/>
          </w:tcPr>
          <w:p w14:paraId="40AA71F4" w14:textId="77777777" w:rsidR="003E78AB" w:rsidRDefault="00010BF9">
            <w:pPr>
              <w:spacing w:line="360" w:lineRule="exact"/>
              <w:ind w:firstLineChars="0" w:firstLine="0"/>
              <w:jc w:val="center"/>
              <w:textAlignment w:val="center"/>
              <w:rPr>
                <w:sz w:val="21"/>
                <w:szCs w:val="21"/>
                <w:lang w:bidi="ar"/>
              </w:rPr>
            </w:pPr>
            <w:r>
              <w:rPr>
                <w:rFonts w:hint="eastAsia"/>
                <w:kern w:val="2"/>
                <w:sz w:val="21"/>
                <w:szCs w:val="21"/>
              </w:rPr>
              <w:t>69.66</w:t>
            </w:r>
          </w:p>
        </w:tc>
        <w:tc>
          <w:tcPr>
            <w:tcW w:w="777" w:type="pct"/>
          </w:tcPr>
          <w:p w14:paraId="65E2720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0.0088</w:t>
            </w:r>
          </w:p>
        </w:tc>
        <w:tc>
          <w:tcPr>
            <w:tcW w:w="706" w:type="pct"/>
          </w:tcPr>
          <w:p w14:paraId="3B3CA4C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490" w:type="pct"/>
          </w:tcPr>
          <w:p w14:paraId="208AF96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bl>
    <w:p w14:paraId="3D4CED2E" w14:textId="77777777" w:rsidR="003E78AB" w:rsidRDefault="00010BF9">
      <w:pPr>
        <w:ind w:firstLineChars="0" w:firstLine="0"/>
        <w:rPr>
          <w:kern w:val="2"/>
        </w:rPr>
      </w:pPr>
      <w:r>
        <w:rPr>
          <w:rFonts w:hint="eastAsia"/>
          <w:kern w:val="2"/>
        </w:rPr>
        <w:t>（</w:t>
      </w:r>
      <w:r>
        <w:rPr>
          <w:rFonts w:hint="eastAsia"/>
          <w:kern w:val="2"/>
        </w:rPr>
        <w:t>3</w:t>
      </w:r>
      <w:r>
        <w:rPr>
          <w:rFonts w:hint="eastAsia"/>
          <w:kern w:val="2"/>
        </w:rPr>
        <w:t>）</w:t>
      </w:r>
      <w:r>
        <w:rPr>
          <w:kern w:val="2"/>
        </w:rPr>
        <w:t>锅炉烟气</w:t>
      </w:r>
      <w:r>
        <w:rPr>
          <w:kern w:val="2"/>
        </w:rPr>
        <w:t>G4</w:t>
      </w:r>
    </w:p>
    <w:p w14:paraId="4B33D1B5" w14:textId="77777777" w:rsidR="003E78AB" w:rsidRDefault="00010BF9">
      <w:pPr>
        <w:ind w:firstLine="480"/>
        <w:rPr>
          <w:kern w:val="2"/>
        </w:rPr>
      </w:pPr>
      <w:r>
        <w:rPr>
          <w:kern w:val="2"/>
        </w:rPr>
        <w:t>本次评价根据《污染源源强核算技术指南</w:t>
      </w:r>
      <w:r>
        <w:rPr>
          <w:kern w:val="2"/>
        </w:rPr>
        <w:t xml:space="preserve"> </w:t>
      </w:r>
      <w:r>
        <w:rPr>
          <w:kern w:val="2"/>
        </w:rPr>
        <w:t>锅炉》（</w:t>
      </w:r>
      <w:r>
        <w:rPr>
          <w:kern w:val="2"/>
        </w:rPr>
        <w:t>HJ991-2018</w:t>
      </w:r>
      <w:r>
        <w:rPr>
          <w:kern w:val="2"/>
        </w:rPr>
        <w:t>）中内容核算锅炉烟气中污染物含量，核算方法的选择见</w:t>
      </w:r>
      <w:r>
        <w:rPr>
          <w:kern w:val="2"/>
        </w:rPr>
        <w:fldChar w:fldCharType="begin"/>
      </w:r>
      <w:r>
        <w:rPr>
          <w:kern w:val="2"/>
        </w:rPr>
        <w:instrText xml:space="preserve"> REF _Ref22426 \r \h </w:instrText>
      </w:r>
      <w:r>
        <w:rPr>
          <w:kern w:val="2"/>
        </w:rPr>
      </w:r>
      <w:r>
        <w:rPr>
          <w:kern w:val="2"/>
        </w:rPr>
        <w:fldChar w:fldCharType="separate"/>
      </w:r>
      <w:r>
        <w:rPr>
          <w:kern w:val="2"/>
        </w:rPr>
        <w:t>表</w:t>
      </w:r>
      <w:r>
        <w:rPr>
          <w:kern w:val="2"/>
        </w:rPr>
        <w:t>3-20</w:t>
      </w:r>
      <w:r>
        <w:rPr>
          <w:kern w:val="2"/>
        </w:rPr>
        <w:fldChar w:fldCharType="end"/>
      </w:r>
      <w:r>
        <w:rPr>
          <w:kern w:val="2"/>
        </w:rPr>
        <w:t>。</w:t>
      </w:r>
    </w:p>
    <w:p w14:paraId="1E00D7FC" w14:textId="77777777" w:rsidR="003E78AB" w:rsidRDefault="00010BF9">
      <w:pPr>
        <w:pStyle w:val="a1"/>
      </w:pPr>
      <w:bookmarkStart w:id="253" w:name="_Ref22426"/>
      <w:r>
        <w:t>项目锅炉废气污染物核算方法选择表</w:t>
      </w:r>
      <w:bookmarkEnd w:id="253"/>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074"/>
        <w:gridCol w:w="1325"/>
        <w:gridCol w:w="3046"/>
        <w:gridCol w:w="1325"/>
      </w:tblGrid>
      <w:tr w:rsidR="003E78AB" w14:paraId="016EAEF9" w14:textId="77777777">
        <w:trPr>
          <w:trHeight w:val="403"/>
        </w:trPr>
        <w:tc>
          <w:tcPr>
            <w:tcW w:w="1024" w:type="pct"/>
            <w:vMerge w:val="restart"/>
          </w:tcPr>
          <w:p w14:paraId="216AA01C"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依据</w:t>
            </w:r>
          </w:p>
        </w:tc>
        <w:tc>
          <w:tcPr>
            <w:tcW w:w="631" w:type="pct"/>
            <w:vMerge w:val="restart"/>
          </w:tcPr>
          <w:p w14:paraId="128D298B"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污染源</w:t>
            </w:r>
          </w:p>
        </w:tc>
        <w:tc>
          <w:tcPr>
            <w:tcW w:w="778" w:type="pct"/>
            <w:vMerge w:val="restart"/>
          </w:tcPr>
          <w:p w14:paraId="4C7F650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污染物项目</w:t>
            </w:r>
          </w:p>
        </w:tc>
        <w:tc>
          <w:tcPr>
            <w:tcW w:w="1789" w:type="pct"/>
          </w:tcPr>
          <w:p w14:paraId="4E53ABD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规范中推荐核算方法</w:t>
            </w:r>
          </w:p>
        </w:tc>
        <w:tc>
          <w:tcPr>
            <w:tcW w:w="775" w:type="pct"/>
            <w:vMerge w:val="restart"/>
          </w:tcPr>
          <w:p w14:paraId="7AF418F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本项目选择的核算方法</w:t>
            </w:r>
          </w:p>
        </w:tc>
      </w:tr>
      <w:tr w:rsidR="003E78AB" w14:paraId="7D8954D6" w14:textId="77777777">
        <w:trPr>
          <w:trHeight w:val="403"/>
        </w:trPr>
        <w:tc>
          <w:tcPr>
            <w:tcW w:w="1024" w:type="pct"/>
            <w:vMerge/>
          </w:tcPr>
          <w:p w14:paraId="0E3B4806" w14:textId="77777777" w:rsidR="003E78AB" w:rsidRDefault="003E78AB">
            <w:pPr>
              <w:spacing w:line="360" w:lineRule="exact"/>
              <w:ind w:firstLineChars="0" w:firstLine="0"/>
              <w:jc w:val="center"/>
              <w:textAlignment w:val="center"/>
              <w:rPr>
                <w:sz w:val="21"/>
                <w:szCs w:val="21"/>
                <w:lang w:bidi="ar"/>
              </w:rPr>
            </w:pPr>
          </w:p>
        </w:tc>
        <w:tc>
          <w:tcPr>
            <w:tcW w:w="631" w:type="pct"/>
            <w:vMerge/>
          </w:tcPr>
          <w:p w14:paraId="1346BF30" w14:textId="77777777" w:rsidR="003E78AB" w:rsidRDefault="003E78AB">
            <w:pPr>
              <w:spacing w:line="360" w:lineRule="exact"/>
              <w:ind w:firstLineChars="0" w:firstLine="0"/>
              <w:jc w:val="center"/>
              <w:textAlignment w:val="center"/>
              <w:rPr>
                <w:sz w:val="21"/>
                <w:szCs w:val="21"/>
                <w:lang w:bidi="ar"/>
              </w:rPr>
            </w:pPr>
          </w:p>
        </w:tc>
        <w:tc>
          <w:tcPr>
            <w:tcW w:w="778" w:type="pct"/>
            <w:vMerge/>
          </w:tcPr>
          <w:p w14:paraId="1C214B7A" w14:textId="77777777" w:rsidR="003E78AB" w:rsidRDefault="003E78AB">
            <w:pPr>
              <w:spacing w:line="360" w:lineRule="exact"/>
              <w:ind w:firstLineChars="0" w:firstLine="0"/>
              <w:jc w:val="center"/>
              <w:textAlignment w:val="center"/>
              <w:rPr>
                <w:sz w:val="21"/>
                <w:szCs w:val="21"/>
                <w:lang w:bidi="ar"/>
              </w:rPr>
            </w:pPr>
          </w:p>
        </w:tc>
        <w:tc>
          <w:tcPr>
            <w:tcW w:w="1789" w:type="pct"/>
          </w:tcPr>
          <w:p w14:paraId="44593789"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新（改、扩建）工程污染源核算方法及选取优先次序</w:t>
            </w:r>
          </w:p>
        </w:tc>
        <w:tc>
          <w:tcPr>
            <w:tcW w:w="775" w:type="pct"/>
            <w:vMerge/>
          </w:tcPr>
          <w:p w14:paraId="2DB46B69" w14:textId="77777777" w:rsidR="003E78AB" w:rsidRDefault="003E78AB">
            <w:pPr>
              <w:spacing w:line="360" w:lineRule="exact"/>
              <w:ind w:firstLineChars="0" w:firstLine="0"/>
              <w:jc w:val="center"/>
              <w:textAlignment w:val="center"/>
              <w:rPr>
                <w:sz w:val="21"/>
                <w:szCs w:val="21"/>
                <w:lang w:bidi="ar"/>
              </w:rPr>
            </w:pPr>
          </w:p>
        </w:tc>
      </w:tr>
      <w:tr w:rsidR="003E78AB" w14:paraId="0FC273BB" w14:textId="77777777">
        <w:trPr>
          <w:trHeight w:val="344"/>
        </w:trPr>
        <w:tc>
          <w:tcPr>
            <w:tcW w:w="1024" w:type="pct"/>
            <w:vMerge w:val="restart"/>
          </w:tcPr>
          <w:p w14:paraId="188890B4" w14:textId="77777777" w:rsidR="003E78AB" w:rsidRDefault="00010BF9">
            <w:pPr>
              <w:spacing w:line="360" w:lineRule="exact"/>
              <w:ind w:firstLineChars="0" w:firstLine="0"/>
              <w:jc w:val="center"/>
              <w:textAlignment w:val="center"/>
              <w:rPr>
                <w:sz w:val="21"/>
                <w:szCs w:val="21"/>
                <w:lang w:bidi="ar"/>
              </w:rPr>
            </w:pPr>
            <w:r>
              <w:rPr>
                <w:sz w:val="21"/>
                <w:szCs w:val="21"/>
                <w:lang w:bidi="ar"/>
              </w:rPr>
              <w:t>《污染源源强核算技术指南锅炉》（</w:t>
            </w:r>
            <w:r>
              <w:rPr>
                <w:sz w:val="21"/>
                <w:szCs w:val="21"/>
                <w:lang w:bidi="ar"/>
              </w:rPr>
              <w:t>HJ991-2018</w:t>
            </w:r>
            <w:r>
              <w:rPr>
                <w:sz w:val="21"/>
                <w:szCs w:val="21"/>
                <w:lang w:bidi="ar"/>
              </w:rPr>
              <w:t>）</w:t>
            </w:r>
          </w:p>
        </w:tc>
        <w:tc>
          <w:tcPr>
            <w:tcW w:w="631" w:type="pct"/>
            <w:vMerge w:val="restart"/>
          </w:tcPr>
          <w:p w14:paraId="4A23FFB7" w14:textId="77777777" w:rsidR="003E78AB" w:rsidRDefault="00010BF9">
            <w:pPr>
              <w:spacing w:line="360" w:lineRule="exact"/>
              <w:ind w:firstLineChars="0" w:firstLine="0"/>
              <w:jc w:val="center"/>
              <w:textAlignment w:val="center"/>
              <w:rPr>
                <w:sz w:val="21"/>
                <w:szCs w:val="21"/>
                <w:lang w:bidi="ar"/>
              </w:rPr>
            </w:pPr>
            <w:r>
              <w:rPr>
                <w:sz w:val="21"/>
                <w:szCs w:val="21"/>
                <w:lang w:bidi="ar"/>
              </w:rPr>
              <w:t>锅炉排气筒</w:t>
            </w:r>
            <w:r>
              <w:rPr>
                <w:sz w:val="21"/>
                <w:szCs w:val="21"/>
                <w:lang w:bidi="ar"/>
              </w:rPr>
              <w:t>DA004</w:t>
            </w:r>
          </w:p>
        </w:tc>
        <w:tc>
          <w:tcPr>
            <w:tcW w:w="778" w:type="pct"/>
          </w:tcPr>
          <w:p w14:paraId="6215DD67" w14:textId="77777777" w:rsidR="003E78AB" w:rsidRDefault="00010BF9">
            <w:pPr>
              <w:spacing w:line="360" w:lineRule="exact"/>
              <w:ind w:firstLineChars="0" w:firstLine="0"/>
              <w:jc w:val="center"/>
              <w:textAlignment w:val="center"/>
              <w:rPr>
                <w:sz w:val="21"/>
                <w:szCs w:val="21"/>
                <w:lang w:bidi="ar"/>
              </w:rPr>
            </w:pPr>
            <w:r>
              <w:rPr>
                <w:sz w:val="21"/>
                <w:szCs w:val="21"/>
                <w:lang w:bidi="ar"/>
              </w:rPr>
              <w:t>颗粒物</w:t>
            </w:r>
          </w:p>
        </w:tc>
        <w:tc>
          <w:tcPr>
            <w:tcW w:w="1789" w:type="pct"/>
            <w:vMerge w:val="restart"/>
          </w:tcPr>
          <w:p w14:paraId="7BDBB505" w14:textId="77777777" w:rsidR="003E78AB" w:rsidRDefault="00010BF9">
            <w:pPr>
              <w:spacing w:line="360" w:lineRule="exact"/>
              <w:ind w:firstLineChars="0" w:firstLine="0"/>
              <w:jc w:val="left"/>
              <w:textAlignment w:val="center"/>
              <w:rPr>
                <w:sz w:val="21"/>
                <w:szCs w:val="21"/>
                <w:lang w:bidi="ar"/>
              </w:rPr>
            </w:pPr>
            <w:r>
              <w:rPr>
                <w:sz w:val="21"/>
                <w:szCs w:val="21"/>
                <w:lang w:bidi="ar"/>
              </w:rPr>
              <w:t>1.</w:t>
            </w:r>
            <w:r>
              <w:rPr>
                <w:sz w:val="21"/>
                <w:szCs w:val="21"/>
                <w:lang w:bidi="ar"/>
              </w:rPr>
              <w:t>物料衡算法</w:t>
            </w:r>
          </w:p>
          <w:p w14:paraId="36BC83A4" w14:textId="77777777" w:rsidR="003E78AB" w:rsidRDefault="00010BF9">
            <w:pPr>
              <w:spacing w:line="360" w:lineRule="exact"/>
              <w:ind w:firstLineChars="0" w:firstLine="0"/>
              <w:jc w:val="left"/>
              <w:textAlignment w:val="center"/>
              <w:rPr>
                <w:sz w:val="21"/>
                <w:szCs w:val="21"/>
                <w:lang w:bidi="ar"/>
              </w:rPr>
            </w:pPr>
            <w:r>
              <w:rPr>
                <w:sz w:val="21"/>
                <w:szCs w:val="21"/>
                <w:lang w:bidi="ar"/>
              </w:rPr>
              <w:t>2.</w:t>
            </w:r>
            <w:r>
              <w:rPr>
                <w:sz w:val="21"/>
                <w:szCs w:val="21"/>
                <w:lang w:bidi="ar"/>
              </w:rPr>
              <w:t>类比法</w:t>
            </w:r>
          </w:p>
          <w:p w14:paraId="79130A1C" w14:textId="77777777" w:rsidR="003E78AB" w:rsidRDefault="00010BF9">
            <w:pPr>
              <w:spacing w:line="360" w:lineRule="exact"/>
              <w:ind w:firstLineChars="0" w:firstLine="0"/>
              <w:jc w:val="left"/>
              <w:textAlignment w:val="center"/>
              <w:rPr>
                <w:sz w:val="21"/>
                <w:szCs w:val="21"/>
                <w:lang w:bidi="ar"/>
              </w:rPr>
            </w:pPr>
            <w:r>
              <w:rPr>
                <w:sz w:val="21"/>
                <w:szCs w:val="21"/>
                <w:lang w:bidi="ar"/>
              </w:rPr>
              <w:t>3.</w:t>
            </w:r>
            <w:r>
              <w:rPr>
                <w:sz w:val="21"/>
                <w:szCs w:val="21"/>
                <w:lang w:bidi="ar"/>
              </w:rPr>
              <w:t>产污系数法</w:t>
            </w:r>
          </w:p>
        </w:tc>
        <w:tc>
          <w:tcPr>
            <w:tcW w:w="775" w:type="pct"/>
          </w:tcPr>
          <w:p w14:paraId="6A77C4B6" w14:textId="77777777" w:rsidR="003E78AB" w:rsidRDefault="00010BF9">
            <w:pPr>
              <w:spacing w:line="360" w:lineRule="exact"/>
              <w:ind w:firstLineChars="0" w:firstLine="0"/>
              <w:jc w:val="center"/>
              <w:textAlignment w:val="center"/>
              <w:rPr>
                <w:sz w:val="21"/>
                <w:szCs w:val="21"/>
                <w:lang w:bidi="ar"/>
              </w:rPr>
            </w:pPr>
            <w:r>
              <w:rPr>
                <w:sz w:val="21"/>
                <w:szCs w:val="21"/>
                <w:lang w:bidi="ar"/>
              </w:rPr>
              <w:t>类比法</w:t>
            </w:r>
          </w:p>
        </w:tc>
      </w:tr>
      <w:tr w:rsidR="003E78AB" w14:paraId="4EAB8CA9" w14:textId="77777777">
        <w:trPr>
          <w:trHeight w:val="398"/>
        </w:trPr>
        <w:tc>
          <w:tcPr>
            <w:tcW w:w="1024" w:type="pct"/>
            <w:vMerge/>
          </w:tcPr>
          <w:p w14:paraId="31DE78D8" w14:textId="77777777" w:rsidR="003E78AB" w:rsidRDefault="003E78AB">
            <w:pPr>
              <w:spacing w:line="360" w:lineRule="exact"/>
              <w:ind w:firstLineChars="0" w:firstLine="0"/>
              <w:jc w:val="center"/>
              <w:textAlignment w:val="center"/>
              <w:rPr>
                <w:sz w:val="21"/>
                <w:szCs w:val="21"/>
                <w:lang w:bidi="ar"/>
              </w:rPr>
            </w:pPr>
          </w:p>
        </w:tc>
        <w:tc>
          <w:tcPr>
            <w:tcW w:w="631" w:type="pct"/>
            <w:vMerge/>
          </w:tcPr>
          <w:p w14:paraId="3ECEBAE1" w14:textId="77777777" w:rsidR="003E78AB" w:rsidRDefault="003E78AB">
            <w:pPr>
              <w:spacing w:line="360" w:lineRule="exact"/>
              <w:ind w:firstLineChars="0" w:firstLine="0"/>
              <w:jc w:val="center"/>
              <w:textAlignment w:val="center"/>
              <w:rPr>
                <w:sz w:val="21"/>
                <w:szCs w:val="21"/>
                <w:lang w:bidi="ar"/>
              </w:rPr>
            </w:pPr>
          </w:p>
        </w:tc>
        <w:tc>
          <w:tcPr>
            <w:tcW w:w="778" w:type="pct"/>
          </w:tcPr>
          <w:p w14:paraId="1BE41D5C" w14:textId="77777777" w:rsidR="003E78AB" w:rsidRDefault="00010BF9">
            <w:pPr>
              <w:spacing w:line="360" w:lineRule="exact"/>
              <w:ind w:firstLineChars="0" w:firstLine="0"/>
              <w:jc w:val="center"/>
              <w:textAlignment w:val="center"/>
              <w:rPr>
                <w:sz w:val="21"/>
                <w:szCs w:val="21"/>
                <w:lang w:bidi="ar"/>
              </w:rPr>
            </w:pPr>
            <w:r>
              <w:rPr>
                <w:sz w:val="21"/>
                <w:szCs w:val="21"/>
                <w:lang w:bidi="ar"/>
              </w:rPr>
              <w:t>SO</w:t>
            </w:r>
            <w:r>
              <w:rPr>
                <w:sz w:val="21"/>
                <w:szCs w:val="21"/>
                <w:vertAlign w:val="subscript"/>
                <w:lang w:bidi="ar"/>
              </w:rPr>
              <w:t>2</w:t>
            </w:r>
          </w:p>
        </w:tc>
        <w:tc>
          <w:tcPr>
            <w:tcW w:w="1789" w:type="pct"/>
            <w:vMerge/>
          </w:tcPr>
          <w:p w14:paraId="1947212D" w14:textId="77777777" w:rsidR="003E78AB" w:rsidRDefault="003E78AB">
            <w:pPr>
              <w:spacing w:line="360" w:lineRule="exact"/>
              <w:ind w:firstLineChars="0" w:firstLine="0"/>
              <w:jc w:val="center"/>
              <w:textAlignment w:val="center"/>
              <w:rPr>
                <w:sz w:val="21"/>
                <w:szCs w:val="21"/>
                <w:lang w:bidi="ar"/>
              </w:rPr>
            </w:pPr>
          </w:p>
        </w:tc>
        <w:tc>
          <w:tcPr>
            <w:tcW w:w="775" w:type="pct"/>
          </w:tcPr>
          <w:p w14:paraId="58D06B27" w14:textId="77777777" w:rsidR="003E78AB" w:rsidRDefault="00010BF9">
            <w:pPr>
              <w:spacing w:line="360" w:lineRule="exact"/>
              <w:ind w:firstLineChars="0" w:firstLine="0"/>
              <w:jc w:val="center"/>
              <w:textAlignment w:val="center"/>
              <w:rPr>
                <w:sz w:val="21"/>
                <w:szCs w:val="21"/>
                <w:lang w:bidi="ar"/>
              </w:rPr>
            </w:pPr>
            <w:r>
              <w:rPr>
                <w:sz w:val="21"/>
                <w:szCs w:val="21"/>
                <w:lang w:bidi="ar"/>
              </w:rPr>
              <w:t>物料衡算法</w:t>
            </w:r>
          </w:p>
        </w:tc>
      </w:tr>
      <w:tr w:rsidR="003E78AB" w14:paraId="4F2EC0C7" w14:textId="77777777">
        <w:trPr>
          <w:trHeight w:val="340"/>
        </w:trPr>
        <w:tc>
          <w:tcPr>
            <w:tcW w:w="1024" w:type="pct"/>
            <w:vMerge/>
          </w:tcPr>
          <w:p w14:paraId="264012E7" w14:textId="77777777" w:rsidR="003E78AB" w:rsidRDefault="003E78AB">
            <w:pPr>
              <w:spacing w:line="360" w:lineRule="exact"/>
              <w:ind w:firstLineChars="0" w:firstLine="0"/>
              <w:jc w:val="center"/>
              <w:textAlignment w:val="center"/>
              <w:rPr>
                <w:sz w:val="21"/>
                <w:szCs w:val="21"/>
                <w:lang w:bidi="ar"/>
              </w:rPr>
            </w:pPr>
          </w:p>
        </w:tc>
        <w:tc>
          <w:tcPr>
            <w:tcW w:w="631" w:type="pct"/>
            <w:vMerge/>
          </w:tcPr>
          <w:p w14:paraId="0321E3CA" w14:textId="77777777" w:rsidR="003E78AB" w:rsidRDefault="003E78AB">
            <w:pPr>
              <w:spacing w:line="360" w:lineRule="exact"/>
              <w:ind w:firstLineChars="0" w:firstLine="0"/>
              <w:jc w:val="center"/>
              <w:textAlignment w:val="center"/>
              <w:rPr>
                <w:sz w:val="21"/>
                <w:szCs w:val="21"/>
                <w:lang w:bidi="ar"/>
              </w:rPr>
            </w:pPr>
          </w:p>
        </w:tc>
        <w:tc>
          <w:tcPr>
            <w:tcW w:w="778" w:type="pct"/>
          </w:tcPr>
          <w:p w14:paraId="462C74E1" w14:textId="77777777" w:rsidR="003E78AB" w:rsidRDefault="00010BF9">
            <w:pPr>
              <w:spacing w:line="360" w:lineRule="exact"/>
              <w:ind w:firstLineChars="0" w:firstLine="0"/>
              <w:jc w:val="center"/>
              <w:textAlignment w:val="center"/>
              <w:rPr>
                <w:sz w:val="21"/>
                <w:szCs w:val="21"/>
                <w:lang w:bidi="ar"/>
              </w:rPr>
            </w:pPr>
            <w:r>
              <w:rPr>
                <w:sz w:val="21"/>
                <w:szCs w:val="21"/>
                <w:lang w:bidi="ar"/>
              </w:rPr>
              <w:t>NOx</w:t>
            </w:r>
          </w:p>
        </w:tc>
        <w:tc>
          <w:tcPr>
            <w:tcW w:w="1789" w:type="pct"/>
            <w:vMerge/>
          </w:tcPr>
          <w:p w14:paraId="328CB3EF" w14:textId="77777777" w:rsidR="003E78AB" w:rsidRDefault="003E78AB">
            <w:pPr>
              <w:spacing w:line="360" w:lineRule="exact"/>
              <w:ind w:firstLineChars="0" w:firstLine="0"/>
              <w:jc w:val="center"/>
              <w:textAlignment w:val="center"/>
              <w:rPr>
                <w:sz w:val="21"/>
                <w:szCs w:val="21"/>
                <w:lang w:bidi="ar"/>
              </w:rPr>
            </w:pPr>
          </w:p>
        </w:tc>
        <w:tc>
          <w:tcPr>
            <w:tcW w:w="775" w:type="pct"/>
          </w:tcPr>
          <w:p w14:paraId="5ADF9A49" w14:textId="77777777" w:rsidR="003E78AB" w:rsidRDefault="00010BF9">
            <w:pPr>
              <w:spacing w:line="360" w:lineRule="exact"/>
              <w:ind w:firstLineChars="0" w:firstLine="0"/>
              <w:jc w:val="center"/>
              <w:textAlignment w:val="center"/>
              <w:rPr>
                <w:sz w:val="21"/>
                <w:szCs w:val="21"/>
                <w:lang w:bidi="ar"/>
              </w:rPr>
            </w:pPr>
            <w:r>
              <w:rPr>
                <w:sz w:val="21"/>
                <w:szCs w:val="21"/>
                <w:lang w:bidi="ar"/>
              </w:rPr>
              <w:t>物料衡算法</w:t>
            </w:r>
          </w:p>
        </w:tc>
      </w:tr>
      <w:tr w:rsidR="003E78AB" w14:paraId="4174C4A8" w14:textId="77777777">
        <w:trPr>
          <w:trHeight w:val="340"/>
        </w:trPr>
        <w:tc>
          <w:tcPr>
            <w:tcW w:w="5000" w:type="pct"/>
            <w:gridSpan w:val="5"/>
          </w:tcPr>
          <w:p w14:paraId="4FA67F76" w14:textId="77777777" w:rsidR="003E78AB" w:rsidRDefault="00010BF9">
            <w:pPr>
              <w:spacing w:line="360" w:lineRule="exact"/>
              <w:ind w:firstLineChars="0" w:firstLine="0"/>
              <w:jc w:val="left"/>
              <w:textAlignment w:val="center"/>
              <w:rPr>
                <w:sz w:val="21"/>
                <w:szCs w:val="21"/>
                <w:lang w:bidi="ar"/>
              </w:rPr>
            </w:pPr>
            <w:r>
              <w:rPr>
                <w:sz w:val="21"/>
                <w:szCs w:val="21"/>
                <w:lang w:bidi="ar"/>
              </w:rPr>
              <w:t>注：</w:t>
            </w:r>
            <w:r>
              <w:rPr>
                <w:sz w:val="21"/>
                <w:szCs w:val="21"/>
                <w:lang w:bidi="ar"/>
              </w:rPr>
              <w:t>1</w:t>
            </w:r>
            <w:r>
              <w:rPr>
                <w:sz w:val="21"/>
                <w:szCs w:val="21"/>
                <w:lang w:bidi="ar"/>
              </w:rPr>
              <w:t>、项目为新建污染源，核算方法依次选择物料衡算法和类比法。</w:t>
            </w:r>
          </w:p>
        </w:tc>
      </w:tr>
    </w:tbl>
    <w:p w14:paraId="37A9455C" w14:textId="77777777" w:rsidR="003E78AB" w:rsidRDefault="00010BF9">
      <w:pPr>
        <w:ind w:firstLine="480"/>
        <w:rPr>
          <w:kern w:val="2"/>
        </w:rPr>
      </w:pPr>
      <w:r>
        <w:rPr>
          <w:kern w:val="2"/>
        </w:rPr>
        <w:t>其中：</w:t>
      </w:r>
    </w:p>
    <w:p w14:paraId="73D6BC93" w14:textId="77777777" w:rsidR="003E78AB" w:rsidRDefault="00010BF9">
      <w:pPr>
        <w:ind w:firstLine="480"/>
        <w:rPr>
          <w:kern w:val="2"/>
        </w:rPr>
      </w:pPr>
      <w:r>
        <w:rPr>
          <w:kern w:val="2"/>
        </w:rPr>
        <w:t>①</w:t>
      </w:r>
      <w:r>
        <w:rPr>
          <w:kern w:val="2"/>
        </w:rPr>
        <w:t>项目燃气锅炉基准烟气量计算公式如下：</w:t>
      </w:r>
    </w:p>
    <w:p w14:paraId="100D51A9" w14:textId="77777777" w:rsidR="003E78AB" w:rsidRDefault="00010BF9">
      <w:pPr>
        <w:spacing w:line="460" w:lineRule="exact"/>
        <w:ind w:firstLine="482"/>
        <w:rPr>
          <w:kern w:val="2"/>
        </w:rPr>
      </w:pPr>
      <w:r>
        <w:rPr>
          <w:b/>
          <w:bCs/>
          <w:kern w:val="2"/>
          <w:position w:val="-24"/>
        </w:rPr>
        <w:object w:dxaOrig="1440" w:dyaOrig="1440" w14:anchorId="6A02766A">
          <v:shape id="_x0000_s1031" type="#_x0000_t75" style="position:absolute;left:0;text-align:left;margin-left:127.5pt;margin-top:3.6pt;width:141.8pt;height:24.05pt;z-index:251666432;mso-wrap-distance-top:0;mso-wrap-distance-bottom:0;mso-width-relative:page;mso-height-relative:page">
            <v:imagedata r:id="rId35" o:title=""/>
            <w10:wrap type="topAndBottom"/>
          </v:shape>
          <o:OLEObject Type="Embed" ProgID="Equation.3" ShapeID="_x0000_s1031" DrawAspect="Content" ObjectID="_1814684992" r:id="rId36"/>
        </w:object>
      </w:r>
      <w:r>
        <w:rPr>
          <w:kern w:val="2"/>
        </w:rPr>
        <w:t>式中：</w:t>
      </w:r>
      <w:r>
        <w:rPr>
          <w:i/>
          <w:iCs/>
          <w:kern w:val="2"/>
        </w:rPr>
        <w:t>V</w:t>
      </w:r>
      <w:r>
        <w:rPr>
          <w:kern w:val="2"/>
          <w:vertAlign w:val="subscript"/>
        </w:rPr>
        <w:t>gy</w:t>
      </w:r>
      <w:r>
        <w:rPr>
          <w:kern w:val="2"/>
        </w:rPr>
        <w:t>——</w:t>
      </w:r>
      <w:r>
        <w:rPr>
          <w:kern w:val="2"/>
        </w:rPr>
        <w:t>基准烟气量，</w:t>
      </w:r>
      <w:r>
        <w:rPr>
          <w:kern w:val="2"/>
        </w:rPr>
        <w:t>Nm</w:t>
      </w:r>
      <w:r>
        <w:rPr>
          <w:kern w:val="2"/>
          <w:vertAlign w:val="superscript"/>
        </w:rPr>
        <w:t>3</w:t>
      </w:r>
      <w:r>
        <w:rPr>
          <w:kern w:val="2"/>
        </w:rPr>
        <w:t>/m</w:t>
      </w:r>
      <w:r>
        <w:rPr>
          <w:kern w:val="2"/>
          <w:vertAlign w:val="superscript"/>
        </w:rPr>
        <w:t>3</w:t>
      </w:r>
      <w:r>
        <w:rPr>
          <w:kern w:val="2"/>
        </w:rPr>
        <w:t>燃料；</w:t>
      </w:r>
    </w:p>
    <w:p w14:paraId="5DB31B2C" w14:textId="77777777" w:rsidR="003E78AB" w:rsidRDefault="00010BF9">
      <w:pPr>
        <w:spacing w:line="460" w:lineRule="exact"/>
        <w:ind w:firstLineChars="500" w:firstLine="1200"/>
        <w:rPr>
          <w:kern w:val="2"/>
        </w:rPr>
      </w:pPr>
      <w:r>
        <w:rPr>
          <w:i/>
          <w:iCs/>
          <w:kern w:val="2"/>
        </w:rPr>
        <w:t>Q</w:t>
      </w:r>
      <w:r>
        <w:rPr>
          <w:i/>
          <w:iCs/>
          <w:kern w:val="2"/>
          <w:vertAlign w:val="subscript"/>
        </w:rPr>
        <w:t>net</w:t>
      </w:r>
      <w:r>
        <w:rPr>
          <w:i/>
          <w:iCs/>
          <w:kern w:val="2"/>
        </w:rPr>
        <w:t>——</w:t>
      </w:r>
      <w:r>
        <w:rPr>
          <w:kern w:val="2"/>
        </w:rPr>
        <w:t>气体燃料低位发热量，</w:t>
      </w:r>
      <w:r>
        <w:rPr>
          <w:kern w:val="2"/>
        </w:rPr>
        <w:t>34.48MJ/m</w:t>
      </w:r>
      <w:r>
        <w:rPr>
          <w:kern w:val="2"/>
          <w:vertAlign w:val="superscript"/>
        </w:rPr>
        <w:t>3</w:t>
      </w:r>
      <w:r>
        <w:rPr>
          <w:kern w:val="2"/>
        </w:rPr>
        <w:t>；</w:t>
      </w:r>
    </w:p>
    <w:p w14:paraId="3B264B2A" w14:textId="77777777" w:rsidR="003E78AB" w:rsidRDefault="00010BF9">
      <w:pPr>
        <w:ind w:firstLine="480"/>
        <w:rPr>
          <w:kern w:val="2"/>
        </w:rPr>
      </w:pPr>
      <w:r>
        <w:rPr>
          <w:kern w:val="2"/>
        </w:rPr>
        <w:t>经计算，项目燃气锅炉基准烟气量为</w:t>
      </w:r>
      <w:r>
        <w:rPr>
          <w:kern w:val="2"/>
        </w:rPr>
        <w:t>10.1698Nm</w:t>
      </w:r>
      <w:r>
        <w:rPr>
          <w:kern w:val="2"/>
          <w:vertAlign w:val="superscript"/>
        </w:rPr>
        <w:t>3</w:t>
      </w:r>
      <w:r>
        <w:rPr>
          <w:kern w:val="2"/>
        </w:rPr>
        <w:t>/m</w:t>
      </w:r>
      <w:r>
        <w:rPr>
          <w:kern w:val="2"/>
          <w:vertAlign w:val="superscript"/>
        </w:rPr>
        <w:t>3</w:t>
      </w:r>
      <w:r>
        <w:rPr>
          <w:kern w:val="2"/>
        </w:rPr>
        <w:t>燃料。本项目锅炉年消耗天然气</w:t>
      </w:r>
      <w:r>
        <w:rPr>
          <w:rFonts w:hint="eastAsia"/>
          <w:kern w:val="2"/>
        </w:rPr>
        <w:t>200.1024</w:t>
      </w:r>
      <w:r>
        <w:rPr>
          <w:kern w:val="2"/>
        </w:rPr>
        <w:t>万</w:t>
      </w:r>
      <w:r>
        <w:rPr>
          <w:kern w:val="2"/>
        </w:rPr>
        <w:t>m</w:t>
      </w:r>
      <w:r>
        <w:rPr>
          <w:kern w:val="2"/>
          <w:vertAlign w:val="superscript"/>
        </w:rPr>
        <w:t>3</w:t>
      </w:r>
      <w:r>
        <w:rPr>
          <w:kern w:val="2"/>
        </w:rPr>
        <w:t>，故本项目锅炉烟气排放量为</w:t>
      </w:r>
      <w:r>
        <w:rPr>
          <w:kern w:val="2"/>
        </w:rPr>
        <w:t>20350013.88m</w:t>
      </w:r>
      <w:r>
        <w:rPr>
          <w:kern w:val="2"/>
          <w:vertAlign w:val="superscript"/>
        </w:rPr>
        <w:t>3</w:t>
      </w:r>
      <w:r>
        <w:rPr>
          <w:kern w:val="2"/>
        </w:rPr>
        <w:t>/a</w:t>
      </w:r>
      <w:r>
        <w:rPr>
          <w:kern w:val="2"/>
        </w:rPr>
        <w:t>。</w:t>
      </w:r>
    </w:p>
    <w:p w14:paraId="471E5E7A" w14:textId="77777777" w:rsidR="003E78AB" w:rsidRDefault="00010BF9">
      <w:pPr>
        <w:spacing w:line="460" w:lineRule="exact"/>
        <w:ind w:firstLine="480"/>
        <w:rPr>
          <w:kern w:val="2"/>
        </w:rPr>
      </w:pPr>
      <w:r>
        <w:rPr>
          <w:kern w:val="2"/>
        </w:rPr>
        <w:t>②SO</w:t>
      </w:r>
      <w:r>
        <w:rPr>
          <w:kern w:val="2"/>
          <w:vertAlign w:val="subscript"/>
        </w:rPr>
        <w:t>2</w:t>
      </w:r>
      <w:r>
        <w:rPr>
          <w:kern w:val="2"/>
        </w:rPr>
        <w:t>计算公式：</w:t>
      </w:r>
    </w:p>
    <w:p w14:paraId="731B4E73" w14:textId="77777777" w:rsidR="003E78AB" w:rsidRDefault="00010BF9">
      <w:pPr>
        <w:spacing w:line="460" w:lineRule="exact"/>
        <w:ind w:firstLineChars="400" w:firstLine="960"/>
        <w:rPr>
          <w:kern w:val="2"/>
        </w:rPr>
      </w:pPr>
      <w:r>
        <w:rPr>
          <w:kern w:val="2"/>
          <w:position w:val="-24"/>
        </w:rPr>
        <w:object w:dxaOrig="1440" w:dyaOrig="1440" w14:anchorId="799D93B3">
          <v:shape id="_x0000_s1032" type="#_x0000_t75" style="position:absolute;left:0;text-align:left;margin-left:104.5pt;margin-top:3.75pt;width:202pt;height:37.05pt;z-index:-251649024;mso-wrap-distance-top:0;mso-wrap-distance-bottom:0;mso-width-relative:page;mso-height-relative:page">
            <v:imagedata r:id="rId37" o:title=""/>
            <w10:wrap type="topAndBottom"/>
          </v:shape>
          <o:OLEObject Type="Embed" ProgID="Equation.3" ShapeID="_x0000_s1032" DrawAspect="Content" ObjectID="_1814684993" r:id="rId38"/>
        </w:object>
      </w:r>
      <w:r>
        <w:rPr>
          <w:kern w:val="2"/>
        </w:rPr>
        <w:t>式中：</w:t>
      </w:r>
      <w:r>
        <w:rPr>
          <w:i/>
          <w:iCs/>
          <w:kern w:val="2"/>
        </w:rPr>
        <w:t>E</w:t>
      </w:r>
      <w:r>
        <w:rPr>
          <w:i/>
          <w:iCs/>
          <w:kern w:val="2"/>
          <w:vertAlign w:val="subscript"/>
        </w:rPr>
        <w:t>SO2</w:t>
      </w:r>
      <w:r>
        <w:rPr>
          <w:kern w:val="2"/>
        </w:rPr>
        <w:t>——</w:t>
      </w:r>
      <w:r>
        <w:rPr>
          <w:kern w:val="2"/>
        </w:rPr>
        <w:t>核算时段内二氧化硫排放量，</w:t>
      </w:r>
      <w:r>
        <w:rPr>
          <w:kern w:val="2"/>
        </w:rPr>
        <w:t>t</w:t>
      </w:r>
      <w:r>
        <w:rPr>
          <w:kern w:val="2"/>
        </w:rPr>
        <w:t>；</w:t>
      </w:r>
    </w:p>
    <w:p w14:paraId="30C8702A" w14:textId="77777777" w:rsidR="003E78AB" w:rsidRDefault="00010BF9">
      <w:pPr>
        <w:spacing w:line="460" w:lineRule="exact"/>
        <w:ind w:firstLineChars="700" w:firstLine="1680"/>
        <w:rPr>
          <w:kern w:val="2"/>
        </w:rPr>
      </w:pPr>
      <w:r>
        <w:rPr>
          <w:i/>
          <w:iCs/>
          <w:kern w:val="2"/>
        </w:rPr>
        <w:t>R——</w:t>
      </w:r>
      <w:r>
        <w:rPr>
          <w:kern w:val="2"/>
        </w:rPr>
        <w:t>核算时段内锅炉燃料消耗量，</w:t>
      </w:r>
      <w:r>
        <w:rPr>
          <w:rFonts w:hint="eastAsia"/>
          <w:kern w:val="2"/>
        </w:rPr>
        <w:t>200.1024</w:t>
      </w:r>
      <w:r>
        <w:rPr>
          <w:kern w:val="2"/>
        </w:rPr>
        <w:t>万</w:t>
      </w:r>
      <w:r>
        <w:rPr>
          <w:kern w:val="2"/>
        </w:rPr>
        <w:t>m</w:t>
      </w:r>
      <w:r>
        <w:rPr>
          <w:kern w:val="2"/>
          <w:vertAlign w:val="superscript"/>
        </w:rPr>
        <w:t>3</w:t>
      </w:r>
      <w:r>
        <w:rPr>
          <w:kern w:val="2"/>
        </w:rPr>
        <w:t>；</w:t>
      </w:r>
    </w:p>
    <w:p w14:paraId="1483DA7F" w14:textId="77777777" w:rsidR="003E78AB" w:rsidRDefault="00010BF9">
      <w:pPr>
        <w:spacing w:line="460" w:lineRule="exact"/>
        <w:ind w:firstLineChars="700" w:firstLine="1680"/>
        <w:rPr>
          <w:kern w:val="2"/>
        </w:rPr>
      </w:pPr>
      <w:r>
        <w:rPr>
          <w:i/>
          <w:iCs/>
          <w:kern w:val="2"/>
        </w:rPr>
        <w:t>S</w:t>
      </w:r>
      <w:r>
        <w:rPr>
          <w:i/>
          <w:iCs/>
          <w:kern w:val="2"/>
          <w:vertAlign w:val="subscript"/>
        </w:rPr>
        <w:t>t</w:t>
      </w:r>
      <w:r>
        <w:rPr>
          <w:kern w:val="2"/>
        </w:rPr>
        <w:t>——</w:t>
      </w:r>
      <w:r>
        <w:rPr>
          <w:kern w:val="2"/>
        </w:rPr>
        <w:t>燃料总硫的质量浓度，</w:t>
      </w:r>
      <w:r>
        <w:rPr>
          <w:kern w:val="2"/>
        </w:rPr>
        <w:t>38.2mg/m</w:t>
      </w:r>
      <w:r>
        <w:rPr>
          <w:kern w:val="2"/>
          <w:vertAlign w:val="superscript"/>
        </w:rPr>
        <w:t>3</w:t>
      </w:r>
      <w:r>
        <w:rPr>
          <w:kern w:val="2"/>
        </w:rPr>
        <w:t>；</w:t>
      </w:r>
    </w:p>
    <w:p w14:paraId="2161E872" w14:textId="77777777" w:rsidR="003E78AB" w:rsidRDefault="00010BF9">
      <w:pPr>
        <w:spacing w:line="460" w:lineRule="exact"/>
        <w:ind w:firstLineChars="700" w:firstLine="1680"/>
        <w:rPr>
          <w:kern w:val="2"/>
        </w:rPr>
      </w:pPr>
      <w:r>
        <w:rPr>
          <w:i/>
          <w:iCs/>
          <w:kern w:val="2"/>
        </w:rPr>
        <w:t>η</w:t>
      </w:r>
      <w:r>
        <w:rPr>
          <w:i/>
          <w:iCs/>
          <w:kern w:val="2"/>
          <w:vertAlign w:val="subscript"/>
        </w:rPr>
        <w:t>s</w:t>
      </w:r>
      <w:r>
        <w:rPr>
          <w:kern w:val="2"/>
        </w:rPr>
        <w:t>——</w:t>
      </w:r>
      <w:r>
        <w:rPr>
          <w:kern w:val="2"/>
        </w:rPr>
        <w:t>脱硫效率，</w:t>
      </w:r>
      <w:r>
        <w:rPr>
          <w:kern w:val="2"/>
        </w:rPr>
        <w:t>0%</w:t>
      </w:r>
      <w:r>
        <w:rPr>
          <w:kern w:val="2"/>
        </w:rPr>
        <w:t>；</w:t>
      </w:r>
    </w:p>
    <w:p w14:paraId="441F1AA1" w14:textId="77777777" w:rsidR="003E78AB" w:rsidRDefault="00010BF9">
      <w:pPr>
        <w:spacing w:line="460" w:lineRule="exact"/>
        <w:ind w:firstLineChars="700" w:firstLine="1680"/>
        <w:rPr>
          <w:kern w:val="2"/>
        </w:rPr>
      </w:pPr>
      <w:r>
        <w:rPr>
          <w:i/>
          <w:iCs/>
          <w:kern w:val="2"/>
        </w:rPr>
        <w:t>K</w:t>
      </w:r>
      <w:r>
        <w:rPr>
          <w:kern w:val="2"/>
        </w:rPr>
        <w:t>——</w:t>
      </w:r>
      <w:r>
        <w:rPr>
          <w:kern w:val="2"/>
        </w:rPr>
        <w:t>燃料中的硫燃烧后氧化成二氧化硫的份额，</w:t>
      </w:r>
      <w:r>
        <w:rPr>
          <w:kern w:val="2"/>
        </w:rPr>
        <w:t>1.0</w:t>
      </w:r>
      <w:r>
        <w:rPr>
          <w:kern w:val="2"/>
        </w:rPr>
        <w:t>；</w:t>
      </w:r>
    </w:p>
    <w:p w14:paraId="784D7BAF" w14:textId="77777777" w:rsidR="003E78AB" w:rsidRDefault="00010BF9">
      <w:pPr>
        <w:spacing w:line="460" w:lineRule="exact"/>
        <w:ind w:firstLine="480"/>
        <w:rPr>
          <w:kern w:val="2"/>
        </w:rPr>
      </w:pPr>
      <w:r>
        <w:rPr>
          <w:kern w:val="2"/>
        </w:rPr>
        <w:t>经计算，本项目锅炉烟气二氧化硫产生量为</w:t>
      </w:r>
      <w:r>
        <w:rPr>
          <w:kern w:val="2"/>
        </w:rPr>
        <w:t>0.</w:t>
      </w:r>
      <w:r>
        <w:rPr>
          <w:rFonts w:hint="eastAsia"/>
          <w:kern w:val="2"/>
        </w:rPr>
        <w:t>1529</w:t>
      </w:r>
      <w:r>
        <w:rPr>
          <w:kern w:val="2"/>
        </w:rPr>
        <w:t>t/a</w:t>
      </w:r>
    </w:p>
    <w:p w14:paraId="4F8EE9AD" w14:textId="77777777" w:rsidR="003E78AB" w:rsidRDefault="00010BF9">
      <w:pPr>
        <w:spacing w:line="460" w:lineRule="exact"/>
        <w:ind w:firstLine="480"/>
        <w:rPr>
          <w:kern w:val="2"/>
        </w:rPr>
      </w:pPr>
      <w:r>
        <w:rPr>
          <w:kern w:val="2"/>
        </w:rPr>
        <w:t>③NO</w:t>
      </w:r>
      <w:r>
        <w:rPr>
          <w:kern w:val="2"/>
          <w:vertAlign w:val="subscript"/>
        </w:rPr>
        <w:t>x</w:t>
      </w:r>
      <w:r>
        <w:rPr>
          <w:kern w:val="2"/>
        </w:rPr>
        <w:t>计算公式：</w:t>
      </w:r>
    </w:p>
    <w:p w14:paraId="38A76A7D" w14:textId="77777777" w:rsidR="003E78AB" w:rsidRDefault="00010BF9">
      <w:pPr>
        <w:spacing w:line="460" w:lineRule="exact"/>
        <w:ind w:firstLineChars="400" w:firstLine="960"/>
        <w:rPr>
          <w:kern w:val="2"/>
        </w:rPr>
      </w:pPr>
      <w:r>
        <w:rPr>
          <w:kern w:val="2"/>
          <w:position w:val="-24"/>
        </w:rPr>
        <w:object w:dxaOrig="1440" w:dyaOrig="1440" w14:anchorId="09AD12AF">
          <v:shape id="_x0000_s1033" type="#_x0000_t75" style="position:absolute;left:0;text-align:left;margin-left:108.65pt;margin-top:3.75pt;width:193.7pt;height:39.5pt;z-index:-251648000;mso-wrap-distance-top:0;mso-wrap-distance-bottom:0;mso-width-relative:page;mso-height-relative:page">
            <v:imagedata r:id="rId39" o:title=""/>
            <w10:wrap type="topAndBottom"/>
          </v:shape>
          <o:OLEObject Type="Embed" ProgID="Equation.3" ShapeID="_x0000_s1033" DrawAspect="Content" ObjectID="_1814684994" r:id="rId40"/>
        </w:object>
      </w:r>
      <w:r>
        <w:rPr>
          <w:kern w:val="2"/>
        </w:rPr>
        <w:t>式中：</w:t>
      </w:r>
      <w:r>
        <w:rPr>
          <w:i/>
          <w:iCs/>
          <w:kern w:val="2"/>
        </w:rPr>
        <w:t>E</w:t>
      </w:r>
      <w:r>
        <w:rPr>
          <w:i/>
          <w:iCs/>
          <w:kern w:val="2"/>
          <w:vertAlign w:val="subscript"/>
        </w:rPr>
        <w:t>NOx</w:t>
      </w:r>
      <w:r>
        <w:rPr>
          <w:kern w:val="2"/>
        </w:rPr>
        <w:t>——</w:t>
      </w:r>
      <w:r>
        <w:rPr>
          <w:kern w:val="2"/>
        </w:rPr>
        <w:t>核算时段内氮氧化物排放量，</w:t>
      </w:r>
      <w:r>
        <w:rPr>
          <w:kern w:val="2"/>
        </w:rPr>
        <w:t>t</w:t>
      </w:r>
      <w:r>
        <w:rPr>
          <w:kern w:val="2"/>
        </w:rPr>
        <w:t>；</w:t>
      </w:r>
    </w:p>
    <w:p w14:paraId="3CCF89F6" w14:textId="77777777" w:rsidR="003E78AB" w:rsidRDefault="00010BF9">
      <w:pPr>
        <w:spacing w:line="460" w:lineRule="exact"/>
        <w:ind w:firstLineChars="700" w:firstLine="1680"/>
        <w:rPr>
          <w:kern w:val="2"/>
        </w:rPr>
      </w:pPr>
      <w:r>
        <w:rPr>
          <w:i/>
          <w:iCs/>
          <w:kern w:val="2"/>
        </w:rPr>
        <w:t>ρ</w:t>
      </w:r>
      <w:r>
        <w:rPr>
          <w:i/>
          <w:iCs/>
          <w:kern w:val="2"/>
          <w:vertAlign w:val="subscript"/>
        </w:rPr>
        <w:t>NOx</w:t>
      </w:r>
      <w:r>
        <w:rPr>
          <w:i/>
          <w:iCs/>
          <w:kern w:val="2"/>
        </w:rPr>
        <w:t>——</w:t>
      </w:r>
      <w:r>
        <w:rPr>
          <w:kern w:val="2"/>
        </w:rPr>
        <w:t>锅炉炉膛出口氮氧化物质量浓度，</w:t>
      </w:r>
      <w:r>
        <w:rPr>
          <w:kern w:val="2"/>
        </w:rPr>
        <w:t>100mg/m</w:t>
      </w:r>
      <w:r>
        <w:rPr>
          <w:kern w:val="2"/>
          <w:vertAlign w:val="superscript"/>
        </w:rPr>
        <w:t>3</w:t>
      </w:r>
      <w:r>
        <w:rPr>
          <w:kern w:val="2"/>
        </w:rPr>
        <w:t>；</w:t>
      </w:r>
    </w:p>
    <w:p w14:paraId="00EC8414" w14:textId="77777777" w:rsidR="003E78AB" w:rsidRDefault="00010BF9">
      <w:pPr>
        <w:spacing w:line="460" w:lineRule="exact"/>
        <w:ind w:firstLineChars="700" w:firstLine="1680"/>
        <w:rPr>
          <w:kern w:val="2"/>
        </w:rPr>
      </w:pPr>
      <w:r>
        <w:rPr>
          <w:i/>
          <w:iCs/>
          <w:kern w:val="2"/>
        </w:rPr>
        <w:t>Q</w:t>
      </w:r>
      <w:r>
        <w:rPr>
          <w:kern w:val="2"/>
        </w:rPr>
        <w:t>——</w:t>
      </w:r>
      <w:r>
        <w:rPr>
          <w:kern w:val="2"/>
        </w:rPr>
        <w:t>核算时段内标干烟气排放量，</w:t>
      </w:r>
      <w:r>
        <w:rPr>
          <w:kern w:val="2"/>
        </w:rPr>
        <w:t>20350013.88m</w:t>
      </w:r>
      <w:r>
        <w:rPr>
          <w:kern w:val="2"/>
          <w:vertAlign w:val="superscript"/>
        </w:rPr>
        <w:t>3</w:t>
      </w:r>
      <w:r>
        <w:rPr>
          <w:kern w:val="2"/>
        </w:rPr>
        <w:t>；</w:t>
      </w:r>
    </w:p>
    <w:p w14:paraId="0C93A15A" w14:textId="77777777" w:rsidR="003E78AB" w:rsidRDefault="00010BF9">
      <w:pPr>
        <w:spacing w:line="460" w:lineRule="exact"/>
        <w:ind w:leftChars="798" w:left="2635" w:hangingChars="300" w:hanging="720"/>
        <w:rPr>
          <w:kern w:val="2"/>
        </w:rPr>
      </w:pPr>
      <w:r>
        <w:rPr>
          <w:i/>
          <w:iCs/>
          <w:kern w:val="2"/>
        </w:rPr>
        <w:t>η</w:t>
      </w:r>
      <w:r>
        <w:rPr>
          <w:i/>
          <w:iCs/>
          <w:kern w:val="2"/>
          <w:vertAlign w:val="subscript"/>
        </w:rPr>
        <w:t>NOx</w:t>
      </w:r>
      <w:r>
        <w:rPr>
          <w:kern w:val="2"/>
        </w:rPr>
        <w:t>——</w:t>
      </w:r>
      <w:r>
        <w:rPr>
          <w:kern w:val="2"/>
        </w:rPr>
        <w:t>脱硝效率，项目锅炉采用烟气再循环技术，脱硝效率取</w:t>
      </w:r>
      <w:r>
        <w:rPr>
          <w:kern w:val="2"/>
        </w:rPr>
        <w:t>50%</w:t>
      </w:r>
      <w:r>
        <w:rPr>
          <w:kern w:val="2"/>
        </w:rPr>
        <w:t>；</w:t>
      </w:r>
    </w:p>
    <w:p w14:paraId="16A1A203" w14:textId="77777777" w:rsidR="003E78AB" w:rsidRDefault="00010BF9">
      <w:pPr>
        <w:tabs>
          <w:tab w:val="left" w:pos="1845"/>
        </w:tabs>
        <w:ind w:firstLine="480"/>
        <w:rPr>
          <w:kern w:val="2"/>
        </w:rPr>
      </w:pPr>
      <w:r>
        <w:rPr>
          <w:kern w:val="2"/>
        </w:rPr>
        <w:t>本项目燃气锅炉采用低氮燃烧技术，根据《排放源统计调查产排污核算方法和系数手册</w:t>
      </w:r>
      <w:r>
        <w:rPr>
          <w:kern w:val="2"/>
        </w:rPr>
        <w:t>-4430</w:t>
      </w:r>
      <w:r>
        <w:rPr>
          <w:kern w:val="2"/>
        </w:rPr>
        <w:t>工业锅炉》中内容，采用国内领先设计低氮燃烧技术后炉膛出口</w:t>
      </w:r>
      <w:r>
        <w:rPr>
          <w:kern w:val="2"/>
        </w:rPr>
        <w:t>NO</w:t>
      </w:r>
      <w:r>
        <w:rPr>
          <w:kern w:val="2"/>
          <w:vertAlign w:val="subscript"/>
        </w:rPr>
        <w:t>x</w:t>
      </w:r>
      <w:r>
        <w:rPr>
          <w:kern w:val="2"/>
        </w:rPr>
        <w:t>浓度可控制在</w:t>
      </w:r>
      <w:r>
        <w:rPr>
          <w:kern w:val="2"/>
        </w:rPr>
        <w:t>60~100mg/m</w:t>
      </w:r>
      <w:r>
        <w:rPr>
          <w:kern w:val="2"/>
          <w:vertAlign w:val="superscript"/>
        </w:rPr>
        <w:t>3</w:t>
      </w:r>
      <w:r>
        <w:rPr>
          <w:kern w:val="2"/>
        </w:rPr>
        <w:t>以内，评价以最大值计，取</w:t>
      </w:r>
      <w:r>
        <w:rPr>
          <w:kern w:val="2"/>
        </w:rPr>
        <w:t>100mg/m</w:t>
      </w:r>
      <w:r>
        <w:rPr>
          <w:kern w:val="2"/>
          <w:vertAlign w:val="superscript"/>
        </w:rPr>
        <w:t>3</w:t>
      </w:r>
      <w:r>
        <w:rPr>
          <w:kern w:val="2"/>
        </w:rPr>
        <w:t>。此外项目锅炉还采用烟气再循环技术，将燃烧出的烟气重新引入燃烧区域，降低峰值火焰温度，实现降低氮氧化物的排放效果，根据新疆地方标准《燃气锅炉烟气再循环降氮技术规范》（</w:t>
      </w:r>
      <w:r>
        <w:rPr>
          <w:kern w:val="2"/>
        </w:rPr>
        <w:t>DB65/T4243-2019</w:t>
      </w:r>
      <w:r>
        <w:rPr>
          <w:kern w:val="2"/>
        </w:rPr>
        <w:t>）中内容，正常工况下烟气再循环技术降氮效率不低于</w:t>
      </w:r>
      <w:r>
        <w:rPr>
          <w:kern w:val="2"/>
        </w:rPr>
        <w:t>50%</w:t>
      </w:r>
      <w:r>
        <w:rPr>
          <w:kern w:val="2"/>
        </w:rPr>
        <w:t>，评价以</w:t>
      </w:r>
      <w:r>
        <w:rPr>
          <w:kern w:val="2"/>
        </w:rPr>
        <w:t>50%</w:t>
      </w:r>
      <w:r>
        <w:rPr>
          <w:kern w:val="2"/>
        </w:rPr>
        <w:t>计。</w:t>
      </w:r>
    </w:p>
    <w:p w14:paraId="51D1016D" w14:textId="77777777" w:rsidR="003E78AB" w:rsidRDefault="00010BF9">
      <w:pPr>
        <w:ind w:firstLine="480"/>
        <w:rPr>
          <w:kern w:val="2"/>
        </w:rPr>
      </w:pPr>
      <w:r>
        <w:rPr>
          <w:kern w:val="2"/>
        </w:rPr>
        <w:t>经计算，本项目锅炉烟气氮氧化物产生量为</w:t>
      </w:r>
      <w:r>
        <w:rPr>
          <w:rFonts w:hint="eastAsia"/>
          <w:kern w:val="2"/>
        </w:rPr>
        <w:t>2.0350</w:t>
      </w:r>
      <w:r>
        <w:rPr>
          <w:kern w:val="2"/>
        </w:rPr>
        <w:t>t/a</w:t>
      </w:r>
      <w:r>
        <w:rPr>
          <w:kern w:val="2"/>
        </w:rPr>
        <w:t>，排放量为</w:t>
      </w:r>
      <w:r>
        <w:rPr>
          <w:rFonts w:hint="eastAsia"/>
          <w:kern w:val="2"/>
        </w:rPr>
        <w:t>1.0175</w:t>
      </w:r>
      <w:r>
        <w:rPr>
          <w:kern w:val="2"/>
        </w:rPr>
        <w:t>t/a</w:t>
      </w:r>
      <w:r>
        <w:rPr>
          <w:rFonts w:hint="eastAsia"/>
          <w:kern w:val="2"/>
        </w:rPr>
        <w:t>。</w:t>
      </w:r>
    </w:p>
    <w:p w14:paraId="5A309ADC" w14:textId="77777777" w:rsidR="003E78AB" w:rsidRDefault="00010BF9">
      <w:pPr>
        <w:ind w:firstLine="480"/>
        <w:rPr>
          <w:kern w:val="2"/>
        </w:rPr>
      </w:pPr>
      <w:r>
        <w:rPr>
          <w:kern w:val="2"/>
        </w:rPr>
        <w:t>④</w:t>
      </w:r>
      <w:r>
        <w:rPr>
          <w:kern w:val="2"/>
        </w:rPr>
        <w:t>项目新增</w:t>
      </w:r>
      <w:r>
        <w:rPr>
          <w:rFonts w:hint="eastAsia"/>
          <w:kern w:val="2"/>
        </w:rPr>
        <w:t>2</w:t>
      </w:r>
      <w:r>
        <w:rPr>
          <w:rFonts w:hint="eastAsia"/>
          <w:kern w:val="2"/>
        </w:rPr>
        <w:t>台</w:t>
      </w:r>
      <w:r>
        <w:rPr>
          <w:rFonts w:hint="eastAsia"/>
          <w:kern w:val="2"/>
        </w:rPr>
        <w:t>3</w:t>
      </w:r>
      <w:r>
        <w:rPr>
          <w:kern w:val="2"/>
        </w:rPr>
        <w:t>t/h</w:t>
      </w:r>
      <w:r>
        <w:rPr>
          <w:kern w:val="2"/>
        </w:rPr>
        <w:t>燃气锅炉颗粒物排放量核算类比</w:t>
      </w:r>
      <w:r>
        <w:rPr>
          <w:kern w:val="2"/>
        </w:rPr>
        <w:t>202</w:t>
      </w:r>
      <w:r>
        <w:rPr>
          <w:rFonts w:hint="eastAsia"/>
          <w:kern w:val="2"/>
        </w:rPr>
        <w:t>5</w:t>
      </w:r>
      <w:r>
        <w:rPr>
          <w:kern w:val="2"/>
        </w:rPr>
        <w:t>年</w:t>
      </w:r>
      <w:r>
        <w:rPr>
          <w:rFonts w:hint="eastAsia"/>
          <w:kern w:val="2"/>
        </w:rPr>
        <w:t>5</w:t>
      </w:r>
      <w:r>
        <w:rPr>
          <w:kern w:val="2"/>
        </w:rPr>
        <w:t>月新疆百商电线电缆有限公司锅炉扩建项目</w:t>
      </w:r>
      <w:r>
        <w:rPr>
          <w:rFonts w:hint="eastAsia"/>
          <w:kern w:val="2"/>
        </w:rPr>
        <w:t>1</w:t>
      </w:r>
      <w:r>
        <w:rPr>
          <w:rFonts w:hint="eastAsia"/>
          <w:kern w:val="2"/>
        </w:rPr>
        <w:t>台</w:t>
      </w:r>
      <w:r>
        <w:rPr>
          <w:rFonts w:hint="eastAsia"/>
          <w:kern w:val="2"/>
        </w:rPr>
        <w:t>4</w:t>
      </w:r>
      <w:r>
        <w:rPr>
          <w:kern w:val="2"/>
        </w:rPr>
        <w:t>t/h</w:t>
      </w:r>
      <w:r>
        <w:rPr>
          <w:kern w:val="2"/>
        </w:rPr>
        <w:t>燃</w:t>
      </w:r>
      <w:r>
        <w:rPr>
          <w:kern w:val="2"/>
        </w:rPr>
        <w:t>气锅炉监测数据，对照《污染源源强核算技术指南</w:t>
      </w:r>
      <w:r>
        <w:rPr>
          <w:kern w:val="2"/>
        </w:rPr>
        <w:t xml:space="preserve"> </w:t>
      </w:r>
      <w:r>
        <w:rPr>
          <w:kern w:val="2"/>
        </w:rPr>
        <w:t>锅炉》（</w:t>
      </w:r>
      <w:r>
        <w:rPr>
          <w:kern w:val="2"/>
        </w:rPr>
        <w:t>HJ991-2018</w:t>
      </w:r>
      <w:r>
        <w:rPr>
          <w:kern w:val="2"/>
        </w:rPr>
        <w:t>）中</w:t>
      </w:r>
      <w:r>
        <w:rPr>
          <w:kern w:val="2"/>
        </w:rPr>
        <w:t>5.2</w:t>
      </w:r>
      <w:r>
        <w:rPr>
          <w:kern w:val="2"/>
        </w:rPr>
        <w:t>章节对类比法使用内容，本项目锅炉烟气颗粒物排放情况类比可行性分析见</w:t>
      </w:r>
      <w:r>
        <w:rPr>
          <w:rFonts w:hint="eastAsia"/>
          <w:kern w:val="2"/>
        </w:rPr>
        <w:fldChar w:fldCharType="begin"/>
      </w:r>
      <w:r>
        <w:rPr>
          <w:rFonts w:hint="eastAsia"/>
          <w:kern w:val="2"/>
        </w:rPr>
        <w:instrText xml:space="preserve"> REF _Ref22471 \r \h </w:instrText>
      </w:r>
      <w:r>
        <w:rPr>
          <w:rFonts w:hint="eastAsia"/>
          <w:kern w:val="2"/>
        </w:rPr>
      </w:r>
      <w:r>
        <w:rPr>
          <w:rFonts w:hint="eastAsia"/>
          <w:kern w:val="2"/>
        </w:rPr>
        <w:fldChar w:fldCharType="separate"/>
      </w:r>
      <w:r>
        <w:rPr>
          <w:rFonts w:hint="eastAsia"/>
          <w:kern w:val="2"/>
        </w:rPr>
        <w:t>表</w:t>
      </w:r>
      <w:r>
        <w:rPr>
          <w:rFonts w:hint="eastAsia"/>
          <w:kern w:val="2"/>
        </w:rPr>
        <w:t>3-21</w:t>
      </w:r>
      <w:r>
        <w:rPr>
          <w:rFonts w:hint="eastAsia"/>
          <w:kern w:val="2"/>
        </w:rPr>
        <w:fldChar w:fldCharType="end"/>
      </w:r>
      <w:r>
        <w:rPr>
          <w:kern w:val="2"/>
        </w:rPr>
        <w:t>。</w:t>
      </w:r>
    </w:p>
    <w:p w14:paraId="15B1CD6E" w14:textId="77777777" w:rsidR="003E78AB" w:rsidRDefault="00010BF9">
      <w:pPr>
        <w:pStyle w:val="a1"/>
      </w:pPr>
      <w:bookmarkStart w:id="254" w:name="_Ref22471"/>
      <w:r>
        <w:t>项目颗粒物污染源类比可行性分析</w:t>
      </w:r>
      <w:bookmarkEnd w:id="254"/>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0"/>
        <w:gridCol w:w="1442"/>
        <w:gridCol w:w="1513"/>
        <w:gridCol w:w="1164"/>
        <w:gridCol w:w="1483"/>
        <w:gridCol w:w="1326"/>
      </w:tblGrid>
      <w:tr w:rsidR="003E78AB" w14:paraId="6C548C7B" w14:textId="77777777">
        <w:trPr>
          <w:trHeight w:val="397"/>
          <w:tblHeader/>
          <w:jc w:val="center"/>
        </w:trPr>
        <w:tc>
          <w:tcPr>
            <w:tcW w:w="850" w:type="pct"/>
            <w:vAlign w:val="center"/>
          </w:tcPr>
          <w:p w14:paraId="6122B0D4" w14:textId="77777777" w:rsidR="003E78AB" w:rsidRDefault="00010BF9">
            <w:pPr>
              <w:spacing w:line="240" w:lineRule="auto"/>
              <w:ind w:firstLineChars="0" w:firstLine="0"/>
              <w:jc w:val="center"/>
              <w:rPr>
                <w:b/>
                <w:bCs/>
                <w:sz w:val="21"/>
                <w:szCs w:val="21"/>
              </w:rPr>
            </w:pPr>
            <w:r>
              <w:rPr>
                <w:b/>
                <w:bCs/>
                <w:sz w:val="21"/>
                <w:szCs w:val="21"/>
              </w:rPr>
              <w:t>项目</w:t>
            </w:r>
          </w:p>
        </w:tc>
        <w:tc>
          <w:tcPr>
            <w:tcW w:w="863" w:type="pct"/>
            <w:vAlign w:val="center"/>
          </w:tcPr>
          <w:p w14:paraId="0AE693E1" w14:textId="77777777" w:rsidR="003E78AB" w:rsidRDefault="00010BF9">
            <w:pPr>
              <w:spacing w:line="240" w:lineRule="auto"/>
              <w:ind w:firstLineChars="0" w:firstLine="0"/>
              <w:jc w:val="center"/>
              <w:rPr>
                <w:b/>
                <w:bCs/>
                <w:sz w:val="21"/>
                <w:szCs w:val="21"/>
              </w:rPr>
            </w:pPr>
            <w:r>
              <w:rPr>
                <w:b/>
                <w:bCs/>
                <w:sz w:val="21"/>
                <w:szCs w:val="21"/>
              </w:rPr>
              <w:t>本工程</w:t>
            </w:r>
          </w:p>
        </w:tc>
        <w:tc>
          <w:tcPr>
            <w:tcW w:w="906" w:type="pct"/>
            <w:vAlign w:val="center"/>
          </w:tcPr>
          <w:p w14:paraId="4AC3D091" w14:textId="77777777" w:rsidR="003E78AB" w:rsidRDefault="00010BF9">
            <w:pPr>
              <w:spacing w:line="240" w:lineRule="auto"/>
              <w:ind w:firstLineChars="0" w:firstLine="0"/>
              <w:jc w:val="center"/>
              <w:rPr>
                <w:b/>
                <w:bCs/>
                <w:sz w:val="21"/>
                <w:szCs w:val="21"/>
              </w:rPr>
            </w:pPr>
            <w:r>
              <w:rPr>
                <w:b/>
                <w:bCs/>
                <w:sz w:val="21"/>
                <w:szCs w:val="21"/>
              </w:rPr>
              <w:t>类比工程</w:t>
            </w:r>
          </w:p>
        </w:tc>
        <w:tc>
          <w:tcPr>
            <w:tcW w:w="697" w:type="pct"/>
            <w:vAlign w:val="center"/>
          </w:tcPr>
          <w:p w14:paraId="55251C7F" w14:textId="77777777" w:rsidR="003E78AB" w:rsidRDefault="00010BF9">
            <w:pPr>
              <w:spacing w:line="240" w:lineRule="auto"/>
              <w:ind w:firstLineChars="0" w:firstLine="0"/>
              <w:jc w:val="center"/>
              <w:rPr>
                <w:b/>
                <w:bCs/>
                <w:sz w:val="21"/>
                <w:szCs w:val="21"/>
              </w:rPr>
            </w:pPr>
            <w:r>
              <w:rPr>
                <w:b/>
                <w:bCs/>
                <w:sz w:val="21"/>
                <w:szCs w:val="21"/>
              </w:rPr>
              <w:t>差距</w:t>
            </w:r>
          </w:p>
        </w:tc>
        <w:tc>
          <w:tcPr>
            <w:tcW w:w="888" w:type="pct"/>
            <w:vAlign w:val="center"/>
          </w:tcPr>
          <w:p w14:paraId="0BC31B77" w14:textId="77777777" w:rsidR="003E78AB" w:rsidRDefault="00010BF9">
            <w:pPr>
              <w:spacing w:line="240" w:lineRule="auto"/>
              <w:ind w:firstLineChars="0" w:firstLine="0"/>
              <w:jc w:val="center"/>
              <w:rPr>
                <w:b/>
                <w:bCs/>
                <w:sz w:val="21"/>
                <w:szCs w:val="21"/>
              </w:rPr>
            </w:pPr>
            <w:r>
              <w:rPr>
                <w:b/>
                <w:bCs/>
                <w:sz w:val="21"/>
                <w:szCs w:val="21"/>
              </w:rPr>
              <w:t>类比要求</w:t>
            </w:r>
          </w:p>
        </w:tc>
        <w:tc>
          <w:tcPr>
            <w:tcW w:w="794" w:type="pct"/>
            <w:vAlign w:val="center"/>
          </w:tcPr>
          <w:p w14:paraId="57016A36" w14:textId="77777777" w:rsidR="003E78AB" w:rsidRDefault="00010BF9">
            <w:pPr>
              <w:spacing w:line="240" w:lineRule="auto"/>
              <w:ind w:firstLineChars="0" w:firstLine="0"/>
              <w:jc w:val="center"/>
              <w:rPr>
                <w:b/>
                <w:bCs/>
                <w:sz w:val="21"/>
                <w:szCs w:val="21"/>
              </w:rPr>
            </w:pPr>
            <w:r>
              <w:rPr>
                <w:b/>
                <w:bCs/>
                <w:sz w:val="21"/>
                <w:szCs w:val="21"/>
              </w:rPr>
              <w:t>是否满足</w:t>
            </w:r>
          </w:p>
        </w:tc>
      </w:tr>
      <w:tr w:rsidR="003E78AB" w14:paraId="2D3299D6" w14:textId="77777777">
        <w:trPr>
          <w:trHeight w:val="397"/>
          <w:jc w:val="center"/>
        </w:trPr>
        <w:tc>
          <w:tcPr>
            <w:tcW w:w="850" w:type="pct"/>
            <w:vAlign w:val="center"/>
          </w:tcPr>
          <w:p w14:paraId="029E35FC" w14:textId="77777777" w:rsidR="003E78AB" w:rsidRDefault="00010BF9">
            <w:pPr>
              <w:spacing w:line="240" w:lineRule="auto"/>
              <w:ind w:firstLineChars="0" w:firstLine="0"/>
              <w:jc w:val="center"/>
              <w:rPr>
                <w:sz w:val="21"/>
                <w:szCs w:val="21"/>
              </w:rPr>
            </w:pPr>
            <w:r>
              <w:rPr>
                <w:sz w:val="21"/>
                <w:szCs w:val="21"/>
              </w:rPr>
              <w:t>锅炉类型</w:t>
            </w:r>
          </w:p>
        </w:tc>
        <w:tc>
          <w:tcPr>
            <w:tcW w:w="863" w:type="pct"/>
            <w:vAlign w:val="center"/>
          </w:tcPr>
          <w:p w14:paraId="0A89BC39" w14:textId="77777777" w:rsidR="003E78AB" w:rsidRDefault="00010BF9">
            <w:pPr>
              <w:spacing w:line="240" w:lineRule="auto"/>
              <w:ind w:firstLineChars="0" w:firstLine="0"/>
              <w:jc w:val="center"/>
              <w:rPr>
                <w:sz w:val="21"/>
                <w:szCs w:val="21"/>
              </w:rPr>
            </w:pPr>
            <w:r>
              <w:rPr>
                <w:sz w:val="21"/>
                <w:szCs w:val="21"/>
              </w:rPr>
              <w:t>燃气蒸汽锅炉</w:t>
            </w:r>
          </w:p>
        </w:tc>
        <w:tc>
          <w:tcPr>
            <w:tcW w:w="906" w:type="pct"/>
            <w:vAlign w:val="center"/>
          </w:tcPr>
          <w:p w14:paraId="6106889C" w14:textId="77777777" w:rsidR="003E78AB" w:rsidRDefault="00010BF9">
            <w:pPr>
              <w:spacing w:line="240" w:lineRule="auto"/>
              <w:ind w:firstLineChars="0" w:firstLine="0"/>
              <w:jc w:val="center"/>
              <w:rPr>
                <w:sz w:val="21"/>
                <w:szCs w:val="21"/>
              </w:rPr>
            </w:pPr>
            <w:r>
              <w:rPr>
                <w:sz w:val="21"/>
                <w:szCs w:val="21"/>
              </w:rPr>
              <w:t>燃气蒸汽锅炉</w:t>
            </w:r>
          </w:p>
        </w:tc>
        <w:tc>
          <w:tcPr>
            <w:tcW w:w="697" w:type="pct"/>
            <w:vAlign w:val="center"/>
          </w:tcPr>
          <w:p w14:paraId="52B3B874" w14:textId="77777777" w:rsidR="003E78AB" w:rsidRDefault="00010BF9">
            <w:pPr>
              <w:spacing w:line="240" w:lineRule="auto"/>
              <w:ind w:firstLineChars="0" w:firstLine="0"/>
              <w:jc w:val="center"/>
              <w:rPr>
                <w:sz w:val="21"/>
                <w:szCs w:val="21"/>
              </w:rPr>
            </w:pPr>
            <w:r>
              <w:rPr>
                <w:sz w:val="21"/>
                <w:szCs w:val="21"/>
              </w:rPr>
              <w:t>一致</w:t>
            </w:r>
          </w:p>
        </w:tc>
        <w:tc>
          <w:tcPr>
            <w:tcW w:w="888" w:type="pct"/>
            <w:vAlign w:val="center"/>
          </w:tcPr>
          <w:p w14:paraId="53B82B5B" w14:textId="77777777" w:rsidR="003E78AB" w:rsidRDefault="00010BF9">
            <w:pPr>
              <w:spacing w:line="240" w:lineRule="auto"/>
              <w:ind w:firstLineChars="0" w:firstLine="0"/>
              <w:jc w:val="center"/>
              <w:rPr>
                <w:sz w:val="21"/>
                <w:szCs w:val="21"/>
              </w:rPr>
            </w:pPr>
            <w:r>
              <w:rPr>
                <w:sz w:val="21"/>
                <w:szCs w:val="21"/>
              </w:rPr>
              <w:t>锅炉类型相同</w:t>
            </w:r>
          </w:p>
        </w:tc>
        <w:tc>
          <w:tcPr>
            <w:tcW w:w="794" w:type="pct"/>
            <w:vAlign w:val="center"/>
          </w:tcPr>
          <w:p w14:paraId="5B642D81" w14:textId="77777777" w:rsidR="003E78AB" w:rsidRDefault="00010BF9">
            <w:pPr>
              <w:spacing w:line="240" w:lineRule="auto"/>
              <w:ind w:firstLineChars="0" w:firstLine="0"/>
              <w:jc w:val="center"/>
              <w:rPr>
                <w:sz w:val="21"/>
                <w:szCs w:val="21"/>
              </w:rPr>
            </w:pPr>
            <w:r>
              <w:rPr>
                <w:sz w:val="21"/>
                <w:szCs w:val="21"/>
              </w:rPr>
              <w:t>是</w:t>
            </w:r>
          </w:p>
        </w:tc>
      </w:tr>
      <w:tr w:rsidR="003E78AB" w14:paraId="49C75290" w14:textId="77777777">
        <w:trPr>
          <w:trHeight w:val="397"/>
          <w:jc w:val="center"/>
        </w:trPr>
        <w:tc>
          <w:tcPr>
            <w:tcW w:w="850" w:type="pct"/>
            <w:vAlign w:val="center"/>
          </w:tcPr>
          <w:p w14:paraId="094476C5" w14:textId="77777777" w:rsidR="003E78AB" w:rsidRDefault="00010BF9">
            <w:pPr>
              <w:spacing w:line="240" w:lineRule="auto"/>
              <w:ind w:firstLineChars="0" w:firstLine="0"/>
              <w:jc w:val="center"/>
              <w:rPr>
                <w:sz w:val="21"/>
                <w:szCs w:val="21"/>
              </w:rPr>
            </w:pPr>
            <w:r>
              <w:rPr>
                <w:sz w:val="21"/>
                <w:szCs w:val="21"/>
              </w:rPr>
              <w:t>锅炉燃料</w:t>
            </w:r>
          </w:p>
        </w:tc>
        <w:tc>
          <w:tcPr>
            <w:tcW w:w="863" w:type="pct"/>
            <w:vAlign w:val="center"/>
          </w:tcPr>
          <w:p w14:paraId="228D16BF" w14:textId="77777777" w:rsidR="003E78AB" w:rsidRDefault="00010BF9">
            <w:pPr>
              <w:spacing w:line="240" w:lineRule="auto"/>
              <w:ind w:firstLineChars="0" w:firstLine="0"/>
              <w:jc w:val="center"/>
              <w:rPr>
                <w:sz w:val="21"/>
                <w:szCs w:val="21"/>
              </w:rPr>
            </w:pPr>
            <w:r>
              <w:rPr>
                <w:sz w:val="21"/>
                <w:szCs w:val="21"/>
              </w:rPr>
              <w:t>天然气</w:t>
            </w:r>
          </w:p>
        </w:tc>
        <w:tc>
          <w:tcPr>
            <w:tcW w:w="906" w:type="pct"/>
            <w:vAlign w:val="center"/>
          </w:tcPr>
          <w:p w14:paraId="19AE5330" w14:textId="77777777" w:rsidR="003E78AB" w:rsidRDefault="00010BF9">
            <w:pPr>
              <w:spacing w:line="240" w:lineRule="auto"/>
              <w:ind w:firstLineChars="0" w:firstLine="0"/>
              <w:jc w:val="center"/>
              <w:rPr>
                <w:sz w:val="21"/>
                <w:szCs w:val="21"/>
              </w:rPr>
            </w:pPr>
            <w:r>
              <w:rPr>
                <w:sz w:val="21"/>
                <w:szCs w:val="21"/>
              </w:rPr>
              <w:t>天然气</w:t>
            </w:r>
          </w:p>
        </w:tc>
        <w:tc>
          <w:tcPr>
            <w:tcW w:w="697" w:type="pct"/>
            <w:vAlign w:val="center"/>
          </w:tcPr>
          <w:p w14:paraId="4FBA1BF2" w14:textId="77777777" w:rsidR="003E78AB" w:rsidRDefault="00010BF9">
            <w:pPr>
              <w:spacing w:line="240" w:lineRule="auto"/>
              <w:ind w:firstLineChars="0" w:firstLine="0"/>
              <w:jc w:val="center"/>
              <w:rPr>
                <w:sz w:val="21"/>
                <w:szCs w:val="21"/>
              </w:rPr>
            </w:pPr>
            <w:r>
              <w:rPr>
                <w:sz w:val="21"/>
                <w:szCs w:val="21"/>
              </w:rPr>
              <w:t>一致</w:t>
            </w:r>
          </w:p>
        </w:tc>
        <w:tc>
          <w:tcPr>
            <w:tcW w:w="888" w:type="pct"/>
            <w:vAlign w:val="center"/>
          </w:tcPr>
          <w:p w14:paraId="31CF0601" w14:textId="77777777" w:rsidR="003E78AB" w:rsidRDefault="00010BF9">
            <w:pPr>
              <w:spacing w:line="240" w:lineRule="auto"/>
              <w:ind w:firstLineChars="0" w:firstLine="0"/>
              <w:jc w:val="center"/>
              <w:rPr>
                <w:sz w:val="21"/>
                <w:szCs w:val="21"/>
              </w:rPr>
            </w:pPr>
            <w:r>
              <w:rPr>
                <w:sz w:val="21"/>
                <w:szCs w:val="21"/>
              </w:rPr>
              <w:t>燃料类型相同</w:t>
            </w:r>
          </w:p>
        </w:tc>
        <w:tc>
          <w:tcPr>
            <w:tcW w:w="794" w:type="pct"/>
            <w:vAlign w:val="center"/>
          </w:tcPr>
          <w:p w14:paraId="6E262E33" w14:textId="77777777" w:rsidR="003E78AB" w:rsidRDefault="00010BF9">
            <w:pPr>
              <w:spacing w:line="240" w:lineRule="auto"/>
              <w:ind w:firstLineChars="0" w:firstLine="0"/>
              <w:jc w:val="center"/>
              <w:rPr>
                <w:sz w:val="21"/>
                <w:szCs w:val="21"/>
              </w:rPr>
            </w:pPr>
            <w:r>
              <w:rPr>
                <w:sz w:val="21"/>
                <w:szCs w:val="21"/>
              </w:rPr>
              <w:t>是</w:t>
            </w:r>
          </w:p>
        </w:tc>
      </w:tr>
      <w:tr w:rsidR="003E78AB" w14:paraId="4A88F92D" w14:textId="77777777">
        <w:trPr>
          <w:trHeight w:val="397"/>
          <w:jc w:val="center"/>
        </w:trPr>
        <w:tc>
          <w:tcPr>
            <w:tcW w:w="850" w:type="pct"/>
            <w:vAlign w:val="center"/>
          </w:tcPr>
          <w:p w14:paraId="7EB737D9" w14:textId="77777777" w:rsidR="003E78AB" w:rsidRDefault="00010BF9">
            <w:pPr>
              <w:spacing w:line="240" w:lineRule="auto"/>
              <w:ind w:firstLineChars="0" w:firstLine="0"/>
              <w:jc w:val="center"/>
              <w:rPr>
                <w:sz w:val="21"/>
                <w:szCs w:val="21"/>
              </w:rPr>
            </w:pPr>
            <w:r>
              <w:rPr>
                <w:rFonts w:hint="eastAsia"/>
                <w:sz w:val="21"/>
                <w:szCs w:val="21"/>
              </w:rPr>
              <w:t>每台</w:t>
            </w:r>
            <w:r>
              <w:rPr>
                <w:sz w:val="21"/>
                <w:szCs w:val="21"/>
              </w:rPr>
              <w:t>锅炉功率</w:t>
            </w:r>
          </w:p>
        </w:tc>
        <w:tc>
          <w:tcPr>
            <w:tcW w:w="863" w:type="pct"/>
            <w:vAlign w:val="center"/>
          </w:tcPr>
          <w:p w14:paraId="55E6825B" w14:textId="77777777" w:rsidR="003E78AB" w:rsidRDefault="00010BF9">
            <w:pPr>
              <w:spacing w:line="240" w:lineRule="auto"/>
              <w:ind w:firstLineChars="0" w:firstLine="0"/>
              <w:jc w:val="center"/>
              <w:rPr>
                <w:sz w:val="21"/>
                <w:szCs w:val="21"/>
              </w:rPr>
            </w:pPr>
            <w:r>
              <w:rPr>
                <w:rFonts w:hint="eastAsia"/>
                <w:sz w:val="21"/>
                <w:szCs w:val="21"/>
              </w:rPr>
              <w:t>3</w:t>
            </w:r>
            <w:r>
              <w:rPr>
                <w:sz w:val="21"/>
                <w:szCs w:val="21"/>
              </w:rPr>
              <w:t>t/h</w:t>
            </w:r>
          </w:p>
        </w:tc>
        <w:tc>
          <w:tcPr>
            <w:tcW w:w="906" w:type="pct"/>
            <w:vAlign w:val="center"/>
          </w:tcPr>
          <w:p w14:paraId="0723C716" w14:textId="77777777" w:rsidR="003E78AB" w:rsidRDefault="00010BF9">
            <w:pPr>
              <w:spacing w:line="240" w:lineRule="auto"/>
              <w:ind w:firstLineChars="0" w:firstLine="0"/>
              <w:jc w:val="center"/>
              <w:rPr>
                <w:sz w:val="21"/>
                <w:szCs w:val="21"/>
              </w:rPr>
            </w:pPr>
            <w:r>
              <w:rPr>
                <w:rFonts w:hint="eastAsia"/>
                <w:sz w:val="21"/>
                <w:szCs w:val="21"/>
              </w:rPr>
              <w:t>4</w:t>
            </w:r>
            <w:r>
              <w:rPr>
                <w:sz w:val="21"/>
                <w:szCs w:val="21"/>
              </w:rPr>
              <w:t>t/h</w:t>
            </w:r>
          </w:p>
        </w:tc>
        <w:tc>
          <w:tcPr>
            <w:tcW w:w="697" w:type="pct"/>
            <w:vAlign w:val="center"/>
          </w:tcPr>
          <w:p w14:paraId="02994B4C" w14:textId="77777777" w:rsidR="003E78AB" w:rsidRDefault="00010BF9">
            <w:pPr>
              <w:spacing w:line="240" w:lineRule="auto"/>
              <w:ind w:firstLineChars="0" w:firstLine="0"/>
              <w:jc w:val="center"/>
              <w:rPr>
                <w:sz w:val="21"/>
                <w:szCs w:val="21"/>
              </w:rPr>
            </w:pPr>
            <w:r>
              <w:rPr>
                <w:rFonts w:hint="eastAsia"/>
                <w:sz w:val="21"/>
                <w:szCs w:val="21"/>
              </w:rPr>
              <w:t>小</w:t>
            </w:r>
            <w:r>
              <w:rPr>
                <w:rFonts w:hint="eastAsia"/>
                <w:sz w:val="21"/>
                <w:szCs w:val="21"/>
              </w:rPr>
              <w:t>13</w:t>
            </w:r>
            <w:r>
              <w:rPr>
                <w:sz w:val="21"/>
                <w:szCs w:val="21"/>
              </w:rPr>
              <w:t>%</w:t>
            </w:r>
          </w:p>
        </w:tc>
        <w:tc>
          <w:tcPr>
            <w:tcW w:w="888" w:type="pct"/>
            <w:vAlign w:val="center"/>
          </w:tcPr>
          <w:p w14:paraId="4DEA4DD8" w14:textId="77777777" w:rsidR="003E78AB" w:rsidRDefault="00010BF9">
            <w:pPr>
              <w:spacing w:line="240" w:lineRule="auto"/>
              <w:ind w:firstLineChars="0" w:firstLine="0"/>
              <w:jc w:val="center"/>
              <w:rPr>
                <w:sz w:val="21"/>
                <w:szCs w:val="21"/>
              </w:rPr>
            </w:pPr>
            <w:r>
              <w:rPr>
                <w:sz w:val="21"/>
                <w:szCs w:val="21"/>
              </w:rPr>
              <w:t>规模差异不超过</w:t>
            </w:r>
            <w:r>
              <w:rPr>
                <w:sz w:val="21"/>
                <w:szCs w:val="21"/>
              </w:rPr>
              <w:t>30%</w:t>
            </w:r>
          </w:p>
        </w:tc>
        <w:tc>
          <w:tcPr>
            <w:tcW w:w="794" w:type="pct"/>
            <w:vAlign w:val="center"/>
          </w:tcPr>
          <w:p w14:paraId="30B929E5" w14:textId="77777777" w:rsidR="003E78AB" w:rsidRDefault="00010BF9">
            <w:pPr>
              <w:spacing w:line="240" w:lineRule="auto"/>
              <w:ind w:firstLineChars="0" w:firstLine="0"/>
              <w:jc w:val="center"/>
              <w:rPr>
                <w:sz w:val="21"/>
                <w:szCs w:val="21"/>
              </w:rPr>
            </w:pPr>
            <w:r>
              <w:rPr>
                <w:sz w:val="21"/>
                <w:szCs w:val="21"/>
              </w:rPr>
              <w:t>是</w:t>
            </w:r>
          </w:p>
        </w:tc>
      </w:tr>
      <w:tr w:rsidR="003E78AB" w14:paraId="2176D063" w14:textId="77777777">
        <w:trPr>
          <w:trHeight w:val="397"/>
          <w:jc w:val="center"/>
        </w:trPr>
        <w:tc>
          <w:tcPr>
            <w:tcW w:w="850" w:type="pct"/>
            <w:vAlign w:val="center"/>
          </w:tcPr>
          <w:p w14:paraId="03CC1C07" w14:textId="77777777" w:rsidR="003E78AB" w:rsidRDefault="00010BF9">
            <w:pPr>
              <w:spacing w:line="240" w:lineRule="auto"/>
              <w:ind w:firstLineChars="0" w:firstLine="0"/>
              <w:jc w:val="center"/>
              <w:rPr>
                <w:sz w:val="21"/>
                <w:szCs w:val="21"/>
              </w:rPr>
            </w:pPr>
            <w:r>
              <w:rPr>
                <w:sz w:val="21"/>
                <w:szCs w:val="21"/>
              </w:rPr>
              <w:t>副产物类型</w:t>
            </w:r>
          </w:p>
        </w:tc>
        <w:tc>
          <w:tcPr>
            <w:tcW w:w="863" w:type="pct"/>
            <w:vAlign w:val="center"/>
          </w:tcPr>
          <w:p w14:paraId="485BE281" w14:textId="77777777" w:rsidR="003E78AB" w:rsidRDefault="00010BF9">
            <w:pPr>
              <w:spacing w:line="240" w:lineRule="auto"/>
              <w:ind w:firstLineChars="0" w:firstLine="0"/>
              <w:jc w:val="center"/>
              <w:rPr>
                <w:sz w:val="21"/>
                <w:szCs w:val="21"/>
              </w:rPr>
            </w:pPr>
            <w:r>
              <w:rPr>
                <w:sz w:val="21"/>
                <w:szCs w:val="21"/>
              </w:rPr>
              <w:t>SO</w:t>
            </w:r>
            <w:r>
              <w:rPr>
                <w:sz w:val="21"/>
                <w:szCs w:val="21"/>
                <w:vertAlign w:val="subscript"/>
              </w:rPr>
              <w:t>2</w:t>
            </w:r>
            <w:r>
              <w:rPr>
                <w:sz w:val="21"/>
                <w:szCs w:val="21"/>
              </w:rPr>
              <w:t>、</w:t>
            </w:r>
            <w:r>
              <w:rPr>
                <w:sz w:val="21"/>
                <w:szCs w:val="21"/>
              </w:rPr>
              <w:t>NOx</w:t>
            </w:r>
            <w:r>
              <w:rPr>
                <w:sz w:val="21"/>
                <w:szCs w:val="21"/>
              </w:rPr>
              <w:t>、颗粒物等</w:t>
            </w:r>
          </w:p>
        </w:tc>
        <w:tc>
          <w:tcPr>
            <w:tcW w:w="906" w:type="pct"/>
            <w:vAlign w:val="center"/>
          </w:tcPr>
          <w:p w14:paraId="080D3DEB" w14:textId="77777777" w:rsidR="003E78AB" w:rsidRDefault="00010BF9">
            <w:pPr>
              <w:spacing w:line="240" w:lineRule="auto"/>
              <w:ind w:firstLineChars="0" w:firstLine="0"/>
              <w:jc w:val="center"/>
              <w:rPr>
                <w:sz w:val="21"/>
                <w:szCs w:val="21"/>
              </w:rPr>
            </w:pPr>
            <w:r>
              <w:rPr>
                <w:sz w:val="21"/>
                <w:szCs w:val="21"/>
              </w:rPr>
              <w:t>SO</w:t>
            </w:r>
            <w:r>
              <w:rPr>
                <w:sz w:val="21"/>
                <w:szCs w:val="21"/>
                <w:vertAlign w:val="subscript"/>
              </w:rPr>
              <w:t>2</w:t>
            </w:r>
            <w:r>
              <w:rPr>
                <w:sz w:val="21"/>
                <w:szCs w:val="21"/>
              </w:rPr>
              <w:t>、</w:t>
            </w:r>
            <w:r>
              <w:rPr>
                <w:sz w:val="21"/>
                <w:szCs w:val="21"/>
              </w:rPr>
              <w:t>NOx</w:t>
            </w:r>
            <w:r>
              <w:rPr>
                <w:sz w:val="21"/>
                <w:szCs w:val="21"/>
              </w:rPr>
              <w:t>、颗粒物等</w:t>
            </w:r>
          </w:p>
        </w:tc>
        <w:tc>
          <w:tcPr>
            <w:tcW w:w="697" w:type="pct"/>
            <w:vAlign w:val="center"/>
          </w:tcPr>
          <w:p w14:paraId="7F0D05AF" w14:textId="77777777" w:rsidR="003E78AB" w:rsidRDefault="00010BF9">
            <w:pPr>
              <w:spacing w:line="240" w:lineRule="auto"/>
              <w:ind w:firstLineChars="0" w:firstLine="0"/>
              <w:jc w:val="center"/>
              <w:rPr>
                <w:sz w:val="21"/>
                <w:szCs w:val="21"/>
              </w:rPr>
            </w:pPr>
            <w:r>
              <w:rPr>
                <w:sz w:val="21"/>
                <w:szCs w:val="21"/>
              </w:rPr>
              <w:t>一致</w:t>
            </w:r>
          </w:p>
        </w:tc>
        <w:tc>
          <w:tcPr>
            <w:tcW w:w="888" w:type="pct"/>
            <w:vAlign w:val="center"/>
          </w:tcPr>
          <w:p w14:paraId="319FF5F3" w14:textId="77777777" w:rsidR="003E78AB" w:rsidRDefault="00010BF9">
            <w:pPr>
              <w:spacing w:line="240" w:lineRule="auto"/>
              <w:ind w:firstLineChars="0" w:firstLine="0"/>
              <w:jc w:val="center"/>
              <w:rPr>
                <w:sz w:val="21"/>
                <w:szCs w:val="21"/>
              </w:rPr>
            </w:pPr>
            <w:r>
              <w:rPr>
                <w:sz w:val="21"/>
                <w:szCs w:val="21"/>
              </w:rPr>
              <w:t>副产物类型相同</w:t>
            </w:r>
          </w:p>
        </w:tc>
        <w:tc>
          <w:tcPr>
            <w:tcW w:w="794" w:type="pct"/>
            <w:vAlign w:val="center"/>
          </w:tcPr>
          <w:p w14:paraId="60AB29FE" w14:textId="77777777" w:rsidR="003E78AB" w:rsidRDefault="00010BF9">
            <w:pPr>
              <w:spacing w:line="240" w:lineRule="auto"/>
              <w:ind w:firstLineChars="0" w:firstLine="0"/>
              <w:jc w:val="center"/>
              <w:rPr>
                <w:sz w:val="21"/>
                <w:szCs w:val="21"/>
              </w:rPr>
            </w:pPr>
            <w:r>
              <w:rPr>
                <w:sz w:val="21"/>
                <w:szCs w:val="21"/>
              </w:rPr>
              <w:t>是</w:t>
            </w:r>
          </w:p>
        </w:tc>
      </w:tr>
      <w:tr w:rsidR="003E78AB" w14:paraId="7223997A" w14:textId="77777777">
        <w:trPr>
          <w:trHeight w:val="397"/>
          <w:jc w:val="center"/>
        </w:trPr>
        <w:tc>
          <w:tcPr>
            <w:tcW w:w="850" w:type="pct"/>
            <w:vAlign w:val="center"/>
          </w:tcPr>
          <w:p w14:paraId="66253B02" w14:textId="77777777" w:rsidR="003E78AB" w:rsidRDefault="00010BF9">
            <w:pPr>
              <w:spacing w:line="240" w:lineRule="auto"/>
              <w:ind w:firstLineChars="0" w:firstLine="0"/>
              <w:jc w:val="center"/>
              <w:rPr>
                <w:sz w:val="21"/>
                <w:szCs w:val="21"/>
              </w:rPr>
            </w:pPr>
            <w:r>
              <w:rPr>
                <w:sz w:val="21"/>
                <w:szCs w:val="21"/>
              </w:rPr>
              <w:t>颗粒物污染控制措施</w:t>
            </w:r>
          </w:p>
        </w:tc>
        <w:tc>
          <w:tcPr>
            <w:tcW w:w="863" w:type="pct"/>
            <w:vAlign w:val="center"/>
          </w:tcPr>
          <w:p w14:paraId="3D559BC9" w14:textId="77777777" w:rsidR="003E78AB" w:rsidRDefault="00010BF9">
            <w:pPr>
              <w:spacing w:line="240" w:lineRule="auto"/>
              <w:ind w:firstLineChars="0" w:firstLine="0"/>
              <w:jc w:val="center"/>
              <w:rPr>
                <w:sz w:val="21"/>
                <w:szCs w:val="21"/>
              </w:rPr>
            </w:pPr>
            <w:r>
              <w:rPr>
                <w:sz w:val="21"/>
                <w:szCs w:val="21"/>
              </w:rPr>
              <w:t>无</w:t>
            </w:r>
          </w:p>
        </w:tc>
        <w:tc>
          <w:tcPr>
            <w:tcW w:w="906" w:type="pct"/>
            <w:vAlign w:val="center"/>
          </w:tcPr>
          <w:p w14:paraId="1846429E" w14:textId="77777777" w:rsidR="003E78AB" w:rsidRDefault="00010BF9">
            <w:pPr>
              <w:spacing w:line="240" w:lineRule="auto"/>
              <w:ind w:firstLineChars="0" w:firstLine="0"/>
              <w:jc w:val="center"/>
              <w:rPr>
                <w:sz w:val="21"/>
                <w:szCs w:val="21"/>
              </w:rPr>
            </w:pPr>
            <w:r>
              <w:rPr>
                <w:sz w:val="21"/>
                <w:szCs w:val="21"/>
              </w:rPr>
              <w:t>无</w:t>
            </w:r>
          </w:p>
        </w:tc>
        <w:tc>
          <w:tcPr>
            <w:tcW w:w="697" w:type="pct"/>
            <w:vAlign w:val="center"/>
          </w:tcPr>
          <w:p w14:paraId="5A765DA5" w14:textId="77777777" w:rsidR="003E78AB" w:rsidRDefault="00010BF9">
            <w:pPr>
              <w:spacing w:line="240" w:lineRule="auto"/>
              <w:ind w:firstLineChars="0" w:firstLine="0"/>
              <w:jc w:val="center"/>
              <w:rPr>
                <w:sz w:val="21"/>
                <w:szCs w:val="21"/>
              </w:rPr>
            </w:pPr>
            <w:r>
              <w:rPr>
                <w:sz w:val="21"/>
                <w:szCs w:val="21"/>
              </w:rPr>
              <w:t>一致</w:t>
            </w:r>
          </w:p>
        </w:tc>
        <w:tc>
          <w:tcPr>
            <w:tcW w:w="888" w:type="pct"/>
            <w:vAlign w:val="center"/>
          </w:tcPr>
          <w:p w14:paraId="09F37044" w14:textId="77777777" w:rsidR="003E78AB" w:rsidRDefault="00010BF9">
            <w:pPr>
              <w:spacing w:line="240" w:lineRule="auto"/>
              <w:ind w:firstLineChars="0" w:firstLine="0"/>
              <w:jc w:val="center"/>
              <w:rPr>
                <w:sz w:val="21"/>
                <w:szCs w:val="21"/>
              </w:rPr>
            </w:pPr>
            <w:r>
              <w:rPr>
                <w:sz w:val="21"/>
                <w:szCs w:val="21"/>
              </w:rPr>
              <w:t>污染控制措施相似</w:t>
            </w:r>
          </w:p>
        </w:tc>
        <w:tc>
          <w:tcPr>
            <w:tcW w:w="794" w:type="pct"/>
            <w:vAlign w:val="center"/>
          </w:tcPr>
          <w:p w14:paraId="5B2694B4" w14:textId="77777777" w:rsidR="003E78AB" w:rsidRDefault="00010BF9">
            <w:pPr>
              <w:spacing w:line="240" w:lineRule="auto"/>
              <w:ind w:firstLineChars="0" w:firstLine="0"/>
              <w:jc w:val="center"/>
              <w:rPr>
                <w:sz w:val="21"/>
                <w:szCs w:val="21"/>
              </w:rPr>
            </w:pPr>
            <w:r>
              <w:rPr>
                <w:sz w:val="21"/>
                <w:szCs w:val="21"/>
              </w:rPr>
              <w:t>是</w:t>
            </w:r>
          </w:p>
        </w:tc>
      </w:tr>
    </w:tbl>
    <w:p w14:paraId="5AC3C039" w14:textId="77777777" w:rsidR="003E78AB" w:rsidRDefault="00010BF9">
      <w:pPr>
        <w:ind w:firstLine="480"/>
        <w:rPr>
          <w:kern w:val="2"/>
        </w:rPr>
      </w:pPr>
      <w:r>
        <w:rPr>
          <w:kern w:val="2"/>
        </w:rPr>
        <w:t>根据上表内容，本项目锅炉烟气颗粒物排放量类比可行</w:t>
      </w:r>
      <w:r>
        <w:rPr>
          <w:rFonts w:hint="eastAsia"/>
          <w:kern w:val="2"/>
        </w:rPr>
        <w:t>，</w:t>
      </w:r>
      <w:r>
        <w:rPr>
          <w:kern w:val="2"/>
        </w:rPr>
        <w:t>根据类比项目的监测数据，颗粒物排放浓度</w:t>
      </w:r>
      <w:r>
        <w:rPr>
          <w:rFonts w:hint="eastAsia"/>
          <w:kern w:val="2"/>
        </w:rPr>
        <w:t>最大</w:t>
      </w:r>
      <w:r>
        <w:rPr>
          <w:kern w:val="2"/>
        </w:rPr>
        <w:t>值为</w:t>
      </w:r>
      <w:r>
        <w:rPr>
          <w:rFonts w:hint="eastAsia"/>
          <w:kern w:val="2"/>
        </w:rPr>
        <w:t>5.9</w:t>
      </w:r>
      <w:r>
        <w:rPr>
          <w:kern w:val="2"/>
        </w:rPr>
        <w:t>mg/m</w:t>
      </w:r>
      <w:r>
        <w:rPr>
          <w:kern w:val="2"/>
          <w:vertAlign w:val="superscript"/>
        </w:rPr>
        <w:t>3</w:t>
      </w:r>
      <w:r>
        <w:rPr>
          <w:rFonts w:hint="eastAsia"/>
          <w:kern w:val="2"/>
        </w:rPr>
        <w:t>。本项目</w:t>
      </w:r>
      <w:r>
        <w:rPr>
          <w:rFonts w:hint="eastAsia"/>
          <w:kern w:val="2"/>
        </w:rPr>
        <w:t>2</w:t>
      </w:r>
      <w:r>
        <w:rPr>
          <w:rFonts w:hint="eastAsia"/>
          <w:kern w:val="2"/>
        </w:rPr>
        <w:t>台</w:t>
      </w:r>
      <w:r>
        <w:rPr>
          <w:rFonts w:hint="eastAsia"/>
          <w:kern w:val="2"/>
        </w:rPr>
        <w:t>3t/h</w:t>
      </w:r>
      <w:r>
        <w:rPr>
          <w:rFonts w:hint="eastAsia"/>
          <w:kern w:val="2"/>
        </w:rPr>
        <w:t>蒸汽锅炉烟气量</w:t>
      </w:r>
      <w:r>
        <w:rPr>
          <w:kern w:val="2"/>
        </w:rPr>
        <w:t>20350013.88m</w:t>
      </w:r>
      <w:r>
        <w:rPr>
          <w:kern w:val="2"/>
          <w:vertAlign w:val="superscript"/>
        </w:rPr>
        <w:t>3</w:t>
      </w:r>
      <w:r>
        <w:rPr>
          <w:kern w:val="2"/>
        </w:rPr>
        <w:t>/a</w:t>
      </w:r>
      <w:r>
        <w:rPr>
          <w:rFonts w:hint="eastAsia"/>
          <w:kern w:val="2"/>
        </w:rPr>
        <w:t>，合并一根排气筒排放，由此核算本</w:t>
      </w:r>
      <w:r>
        <w:rPr>
          <w:kern w:val="2"/>
        </w:rPr>
        <w:t>项目燃气锅炉烟气产排情况见</w:t>
      </w:r>
      <w:r>
        <w:rPr>
          <w:rFonts w:hint="eastAsia"/>
          <w:kern w:val="2"/>
        </w:rPr>
        <w:fldChar w:fldCharType="begin"/>
      </w:r>
      <w:r>
        <w:rPr>
          <w:rFonts w:hint="eastAsia"/>
          <w:kern w:val="2"/>
        </w:rPr>
        <w:instrText xml:space="preserve"> REF _Ref22543 \r \h </w:instrText>
      </w:r>
      <w:r>
        <w:rPr>
          <w:rFonts w:hint="eastAsia"/>
          <w:kern w:val="2"/>
        </w:rPr>
      </w:r>
      <w:r>
        <w:rPr>
          <w:rFonts w:hint="eastAsia"/>
          <w:kern w:val="2"/>
        </w:rPr>
        <w:fldChar w:fldCharType="separate"/>
      </w:r>
      <w:r>
        <w:rPr>
          <w:rFonts w:hint="eastAsia"/>
          <w:kern w:val="2"/>
        </w:rPr>
        <w:t>表</w:t>
      </w:r>
      <w:r>
        <w:rPr>
          <w:rFonts w:hint="eastAsia"/>
          <w:kern w:val="2"/>
        </w:rPr>
        <w:t>3-22</w:t>
      </w:r>
      <w:r>
        <w:rPr>
          <w:rFonts w:hint="eastAsia"/>
          <w:kern w:val="2"/>
        </w:rPr>
        <w:fldChar w:fldCharType="end"/>
      </w:r>
      <w:r>
        <w:rPr>
          <w:kern w:val="2"/>
        </w:rPr>
        <w:t>。</w:t>
      </w:r>
    </w:p>
    <w:p w14:paraId="22B241EC" w14:textId="77777777" w:rsidR="003E78AB" w:rsidRDefault="00010BF9">
      <w:pPr>
        <w:pStyle w:val="a1"/>
      </w:pPr>
      <w:bookmarkStart w:id="255" w:name="_Ref22543"/>
      <w:r>
        <w:t>项目锅炉烟气污染物产生及排放情况</w:t>
      </w:r>
      <w:bookmarkEnd w:id="255"/>
    </w:p>
    <w:tbl>
      <w:tblPr>
        <w:tblStyle w:val="afe"/>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815"/>
        <w:gridCol w:w="831"/>
        <w:gridCol w:w="715"/>
        <w:gridCol w:w="859"/>
        <w:gridCol w:w="796"/>
        <w:gridCol w:w="655"/>
        <w:gridCol w:w="804"/>
        <w:gridCol w:w="737"/>
        <w:gridCol w:w="856"/>
        <w:gridCol w:w="753"/>
      </w:tblGrid>
      <w:tr w:rsidR="003E78AB" w14:paraId="4A0383F2" w14:textId="77777777">
        <w:trPr>
          <w:trHeight w:val="340"/>
        </w:trPr>
        <w:tc>
          <w:tcPr>
            <w:tcW w:w="673" w:type="dxa"/>
          </w:tcPr>
          <w:p w14:paraId="2B97ADD6" w14:textId="77777777" w:rsidR="003E78AB" w:rsidRDefault="00010BF9">
            <w:pPr>
              <w:spacing w:line="240" w:lineRule="auto"/>
              <w:ind w:firstLineChars="0" w:firstLine="0"/>
              <w:jc w:val="center"/>
              <w:rPr>
                <w:b/>
                <w:sz w:val="18"/>
                <w:szCs w:val="18"/>
              </w:rPr>
            </w:pPr>
            <w:r>
              <w:rPr>
                <w:b/>
                <w:sz w:val="18"/>
                <w:szCs w:val="18"/>
              </w:rPr>
              <w:t>产生工序</w:t>
            </w:r>
          </w:p>
        </w:tc>
        <w:tc>
          <w:tcPr>
            <w:tcW w:w="815" w:type="dxa"/>
          </w:tcPr>
          <w:p w14:paraId="74F4BFEF" w14:textId="77777777" w:rsidR="003E78AB" w:rsidRDefault="00010BF9">
            <w:pPr>
              <w:spacing w:line="240" w:lineRule="auto"/>
              <w:ind w:firstLineChars="0" w:firstLine="0"/>
              <w:jc w:val="center"/>
              <w:rPr>
                <w:b/>
                <w:sz w:val="18"/>
                <w:szCs w:val="18"/>
              </w:rPr>
            </w:pPr>
            <w:r>
              <w:rPr>
                <w:b/>
                <w:sz w:val="18"/>
                <w:szCs w:val="18"/>
              </w:rPr>
              <w:t>污染物</w:t>
            </w:r>
          </w:p>
        </w:tc>
        <w:tc>
          <w:tcPr>
            <w:tcW w:w="831" w:type="dxa"/>
          </w:tcPr>
          <w:p w14:paraId="6C7421D1" w14:textId="77777777" w:rsidR="003E78AB" w:rsidRDefault="00010BF9">
            <w:pPr>
              <w:spacing w:line="240" w:lineRule="auto"/>
              <w:ind w:firstLineChars="0" w:firstLine="0"/>
              <w:jc w:val="center"/>
              <w:rPr>
                <w:rFonts w:eastAsia="Times New Roman"/>
                <w:b/>
                <w:sz w:val="18"/>
                <w:szCs w:val="18"/>
              </w:rPr>
            </w:pPr>
            <w:r>
              <w:rPr>
                <w:b/>
                <w:sz w:val="18"/>
                <w:szCs w:val="18"/>
              </w:rPr>
              <w:t>产生</w:t>
            </w:r>
            <w:r>
              <w:rPr>
                <w:rFonts w:eastAsia="Times New Roman"/>
                <w:b/>
                <w:sz w:val="18"/>
                <w:szCs w:val="18"/>
              </w:rPr>
              <w:t>浓度mg/m</w:t>
            </w:r>
            <w:r>
              <w:rPr>
                <w:rFonts w:eastAsia="Times New Roman"/>
                <w:b/>
                <w:sz w:val="18"/>
                <w:szCs w:val="18"/>
                <w:vertAlign w:val="superscript"/>
              </w:rPr>
              <w:t>3</w:t>
            </w:r>
          </w:p>
        </w:tc>
        <w:tc>
          <w:tcPr>
            <w:tcW w:w="715" w:type="dxa"/>
          </w:tcPr>
          <w:p w14:paraId="3E4241A4" w14:textId="77777777" w:rsidR="003E78AB" w:rsidRDefault="00010BF9">
            <w:pPr>
              <w:spacing w:line="240" w:lineRule="auto"/>
              <w:ind w:firstLineChars="0" w:firstLine="0"/>
              <w:jc w:val="center"/>
              <w:rPr>
                <w:rFonts w:eastAsia="Times New Roman"/>
                <w:b/>
                <w:sz w:val="18"/>
                <w:szCs w:val="18"/>
              </w:rPr>
            </w:pPr>
            <w:r>
              <w:rPr>
                <w:b/>
                <w:sz w:val="18"/>
                <w:szCs w:val="18"/>
              </w:rPr>
              <w:t>产生</w:t>
            </w:r>
            <w:r>
              <w:rPr>
                <w:rFonts w:eastAsia="Times New Roman"/>
                <w:b/>
                <w:sz w:val="18"/>
                <w:szCs w:val="18"/>
              </w:rPr>
              <w:t>速率kg/h</w:t>
            </w:r>
          </w:p>
        </w:tc>
        <w:tc>
          <w:tcPr>
            <w:tcW w:w="859" w:type="dxa"/>
          </w:tcPr>
          <w:p w14:paraId="0EDD0E04" w14:textId="77777777" w:rsidR="003E78AB" w:rsidRDefault="00010BF9">
            <w:pPr>
              <w:spacing w:line="240" w:lineRule="auto"/>
              <w:ind w:firstLineChars="0" w:firstLine="0"/>
              <w:jc w:val="center"/>
              <w:rPr>
                <w:rFonts w:eastAsia="Times New Roman"/>
                <w:b/>
                <w:sz w:val="18"/>
                <w:szCs w:val="18"/>
              </w:rPr>
            </w:pPr>
            <w:r>
              <w:rPr>
                <w:b/>
                <w:sz w:val="18"/>
                <w:szCs w:val="18"/>
              </w:rPr>
              <w:t>产生</w:t>
            </w:r>
            <w:r>
              <w:rPr>
                <w:rFonts w:eastAsia="Times New Roman"/>
                <w:b/>
                <w:sz w:val="18"/>
                <w:szCs w:val="18"/>
              </w:rPr>
              <w:t>量t/a</w:t>
            </w:r>
          </w:p>
        </w:tc>
        <w:tc>
          <w:tcPr>
            <w:tcW w:w="796" w:type="dxa"/>
          </w:tcPr>
          <w:p w14:paraId="516F7656" w14:textId="77777777" w:rsidR="003E78AB" w:rsidRDefault="00010BF9">
            <w:pPr>
              <w:spacing w:line="240" w:lineRule="auto"/>
              <w:ind w:firstLineChars="0" w:firstLine="0"/>
              <w:jc w:val="center"/>
              <w:rPr>
                <w:rFonts w:eastAsia="Times New Roman"/>
                <w:b/>
                <w:sz w:val="18"/>
                <w:szCs w:val="18"/>
              </w:rPr>
            </w:pPr>
            <w:r>
              <w:rPr>
                <w:b/>
                <w:sz w:val="18"/>
                <w:szCs w:val="18"/>
              </w:rPr>
              <w:t>处理</w:t>
            </w:r>
            <w:r>
              <w:rPr>
                <w:rFonts w:eastAsia="Times New Roman"/>
                <w:b/>
                <w:sz w:val="18"/>
                <w:szCs w:val="18"/>
              </w:rPr>
              <w:t>措施</w:t>
            </w:r>
          </w:p>
        </w:tc>
        <w:tc>
          <w:tcPr>
            <w:tcW w:w="655" w:type="dxa"/>
          </w:tcPr>
          <w:p w14:paraId="3C1B94A3" w14:textId="77777777" w:rsidR="003E78AB" w:rsidRDefault="00010BF9">
            <w:pPr>
              <w:spacing w:line="240" w:lineRule="auto"/>
              <w:ind w:firstLineChars="0" w:firstLine="0"/>
              <w:jc w:val="center"/>
              <w:rPr>
                <w:b/>
                <w:sz w:val="18"/>
                <w:szCs w:val="18"/>
              </w:rPr>
            </w:pPr>
            <w:r>
              <w:rPr>
                <w:b/>
                <w:sz w:val="18"/>
                <w:szCs w:val="18"/>
              </w:rPr>
              <w:t>处理效率</w:t>
            </w:r>
          </w:p>
          <w:p w14:paraId="0922116D" w14:textId="77777777" w:rsidR="003E78AB" w:rsidRDefault="00010BF9">
            <w:pPr>
              <w:spacing w:line="240" w:lineRule="auto"/>
              <w:ind w:firstLineChars="0" w:firstLine="0"/>
              <w:jc w:val="center"/>
              <w:rPr>
                <w:b/>
                <w:sz w:val="18"/>
                <w:szCs w:val="18"/>
              </w:rPr>
            </w:pPr>
            <w:r>
              <w:rPr>
                <w:b/>
                <w:sz w:val="18"/>
                <w:szCs w:val="18"/>
              </w:rPr>
              <w:t>%</w:t>
            </w:r>
          </w:p>
        </w:tc>
        <w:tc>
          <w:tcPr>
            <w:tcW w:w="804" w:type="dxa"/>
          </w:tcPr>
          <w:p w14:paraId="7B033EC3" w14:textId="77777777" w:rsidR="003E78AB" w:rsidRDefault="00010BF9">
            <w:pPr>
              <w:spacing w:line="240" w:lineRule="auto"/>
              <w:ind w:firstLineChars="0" w:firstLine="0"/>
              <w:jc w:val="center"/>
              <w:rPr>
                <w:rFonts w:eastAsia="Times New Roman"/>
                <w:b/>
                <w:sz w:val="18"/>
                <w:szCs w:val="18"/>
              </w:rPr>
            </w:pPr>
            <w:r>
              <w:rPr>
                <w:rFonts w:eastAsia="Times New Roman"/>
                <w:b/>
                <w:sz w:val="18"/>
                <w:szCs w:val="18"/>
              </w:rPr>
              <w:t>排放浓度mg/m</w:t>
            </w:r>
            <w:r>
              <w:rPr>
                <w:rFonts w:eastAsia="Times New Roman"/>
                <w:b/>
                <w:sz w:val="18"/>
                <w:szCs w:val="18"/>
                <w:vertAlign w:val="superscript"/>
              </w:rPr>
              <w:t>3</w:t>
            </w:r>
          </w:p>
        </w:tc>
        <w:tc>
          <w:tcPr>
            <w:tcW w:w="737" w:type="dxa"/>
          </w:tcPr>
          <w:p w14:paraId="468BB993" w14:textId="77777777" w:rsidR="003E78AB" w:rsidRDefault="00010BF9">
            <w:pPr>
              <w:spacing w:line="240" w:lineRule="auto"/>
              <w:ind w:firstLineChars="0" w:firstLine="0"/>
              <w:jc w:val="center"/>
              <w:rPr>
                <w:rFonts w:eastAsia="Times New Roman"/>
                <w:b/>
                <w:sz w:val="18"/>
                <w:szCs w:val="18"/>
              </w:rPr>
            </w:pPr>
            <w:r>
              <w:rPr>
                <w:rFonts w:eastAsia="Times New Roman"/>
                <w:b/>
                <w:sz w:val="18"/>
                <w:szCs w:val="18"/>
              </w:rPr>
              <w:t>排放速率kg/h</w:t>
            </w:r>
          </w:p>
        </w:tc>
        <w:tc>
          <w:tcPr>
            <w:tcW w:w="856" w:type="dxa"/>
          </w:tcPr>
          <w:p w14:paraId="795B0441" w14:textId="77777777" w:rsidR="003E78AB" w:rsidRDefault="00010BF9">
            <w:pPr>
              <w:spacing w:line="240" w:lineRule="auto"/>
              <w:ind w:firstLineChars="0" w:firstLine="0"/>
              <w:jc w:val="center"/>
              <w:rPr>
                <w:rFonts w:eastAsia="Times New Roman"/>
                <w:b/>
                <w:sz w:val="18"/>
                <w:szCs w:val="18"/>
              </w:rPr>
            </w:pPr>
            <w:r>
              <w:rPr>
                <w:rFonts w:eastAsia="Times New Roman"/>
                <w:b/>
                <w:sz w:val="18"/>
                <w:szCs w:val="18"/>
              </w:rPr>
              <w:t>排放量t/a</w:t>
            </w:r>
          </w:p>
        </w:tc>
        <w:tc>
          <w:tcPr>
            <w:tcW w:w="753" w:type="dxa"/>
          </w:tcPr>
          <w:p w14:paraId="33BF393C" w14:textId="77777777" w:rsidR="003E78AB" w:rsidRDefault="00010BF9">
            <w:pPr>
              <w:spacing w:line="240" w:lineRule="auto"/>
              <w:ind w:firstLineChars="0" w:firstLine="0"/>
              <w:jc w:val="center"/>
              <w:rPr>
                <w:rFonts w:eastAsia="Times New Roman"/>
                <w:b/>
                <w:sz w:val="18"/>
                <w:szCs w:val="18"/>
              </w:rPr>
            </w:pPr>
            <w:r>
              <w:rPr>
                <w:rFonts w:eastAsia="Times New Roman"/>
                <w:b/>
                <w:sz w:val="18"/>
                <w:szCs w:val="18"/>
              </w:rPr>
              <w:t>排放口编号</w:t>
            </w:r>
          </w:p>
        </w:tc>
      </w:tr>
      <w:tr w:rsidR="003E78AB" w14:paraId="10829E64" w14:textId="77777777">
        <w:trPr>
          <w:trHeight w:val="340"/>
        </w:trPr>
        <w:tc>
          <w:tcPr>
            <w:tcW w:w="673" w:type="dxa"/>
            <w:vMerge w:val="restart"/>
          </w:tcPr>
          <w:p w14:paraId="03E9A9E4" w14:textId="77777777" w:rsidR="003E78AB" w:rsidRDefault="00010BF9">
            <w:pPr>
              <w:spacing w:line="240" w:lineRule="auto"/>
              <w:ind w:firstLineChars="0" w:firstLine="0"/>
              <w:jc w:val="center"/>
              <w:rPr>
                <w:bCs/>
                <w:sz w:val="18"/>
                <w:szCs w:val="18"/>
              </w:rPr>
            </w:pPr>
            <w:r>
              <w:rPr>
                <w:bCs/>
                <w:sz w:val="18"/>
                <w:szCs w:val="18"/>
              </w:rPr>
              <w:t>燃气锅炉</w:t>
            </w:r>
          </w:p>
        </w:tc>
        <w:tc>
          <w:tcPr>
            <w:tcW w:w="3220" w:type="dxa"/>
            <w:gridSpan w:val="4"/>
          </w:tcPr>
          <w:p w14:paraId="3627548A" w14:textId="77777777" w:rsidR="003E78AB" w:rsidRDefault="00010BF9">
            <w:pPr>
              <w:spacing w:line="240" w:lineRule="auto"/>
              <w:ind w:firstLineChars="0" w:firstLine="0"/>
              <w:jc w:val="center"/>
              <w:rPr>
                <w:bCs/>
                <w:sz w:val="18"/>
                <w:szCs w:val="18"/>
              </w:rPr>
            </w:pPr>
            <w:r>
              <w:rPr>
                <w:kern w:val="2"/>
                <w:sz w:val="18"/>
                <w:szCs w:val="18"/>
              </w:rPr>
              <w:t>20350013.88m</w:t>
            </w:r>
            <w:r>
              <w:rPr>
                <w:kern w:val="2"/>
                <w:sz w:val="18"/>
                <w:szCs w:val="18"/>
                <w:vertAlign w:val="superscript"/>
              </w:rPr>
              <w:t>3</w:t>
            </w:r>
            <w:r>
              <w:rPr>
                <w:kern w:val="2"/>
                <w:sz w:val="18"/>
                <w:szCs w:val="18"/>
              </w:rPr>
              <w:t>/a</w:t>
            </w:r>
          </w:p>
        </w:tc>
        <w:tc>
          <w:tcPr>
            <w:tcW w:w="796" w:type="dxa"/>
            <w:vMerge w:val="restart"/>
          </w:tcPr>
          <w:p w14:paraId="1DE2FB44" w14:textId="77777777" w:rsidR="003E78AB" w:rsidRDefault="00010BF9">
            <w:pPr>
              <w:spacing w:line="240" w:lineRule="auto"/>
              <w:ind w:firstLineChars="0" w:firstLine="0"/>
              <w:jc w:val="center"/>
              <w:rPr>
                <w:bCs/>
                <w:sz w:val="18"/>
                <w:szCs w:val="18"/>
              </w:rPr>
            </w:pPr>
            <w:r>
              <w:rPr>
                <w:bCs/>
                <w:sz w:val="18"/>
                <w:szCs w:val="18"/>
              </w:rPr>
              <w:t>低氮燃烧技术</w:t>
            </w:r>
            <w:r>
              <w:rPr>
                <w:bCs/>
                <w:sz w:val="18"/>
                <w:szCs w:val="18"/>
              </w:rPr>
              <w:t>+</w:t>
            </w:r>
            <w:r>
              <w:rPr>
                <w:bCs/>
                <w:sz w:val="18"/>
                <w:szCs w:val="18"/>
              </w:rPr>
              <w:t>烟气再循环技术</w:t>
            </w:r>
          </w:p>
        </w:tc>
        <w:tc>
          <w:tcPr>
            <w:tcW w:w="655" w:type="dxa"/>
          </w:tcPr>
          <w:p w14:paraId="27CE1DF8" w14:textId="77777777" w:rsidR="003E78AB" w:rsidRDefault="00010BF9">
            <w:pPr>
              <w:spacing w:line="240" w:lineRule="auto"/>
              <w:ind w:firstLineChars="0" w:firstLine="0"/>
              <w:jc w:val="center"/>
              <w:rPr>
                <w:bCs/>
                <w:sz w:val="18"/>
                <w:szCs w:val="18"/>
              </w:rPr>
            </w:pPr>
            <w:r>
              <w:rPr>
                <w:bCs/>
                <w:sz w:val="18"/>
                <w:szCs w:val="18"/>
              </w:rPr>
              <w:t>/</w:t>
            </w:r>
          </w:p>
        </w:tc>
        <w:tc>
          <w:tcPr>
            <w:tcW w:w="2397" w:type="dxa"/>
            <w:gridSpan w:val="3"/>
          </w:tcPr>
          <w:p w14:paraId="29608AC3" w14:textId="77777777" w:rsidR="003E78AB" w:rsidRDefault="00010BF9">
            <w:pPr>
              <w:spacing w:line="240" w:lineRule="auto"/>
              <w:ind w:firstLineChars="0" w:firstLine="0"/>
              <w:jc w:val="center"/>
              <w:rPr>
                <w:bCs/>
                <w:sz w:val="18"/>
                <w:szCs w:val="18"/>
              </w:rPr>
            </w:pPr>
            <w:r>
              <w:rPr>
                <w:kern w:val="2"/>
                <w:sz w:val="18"/>
                <w:szCs w:val="18"/>
              </w:rPr>
              <w:t>20350013.88m</w:t>
            </w:r>
            <w:r>
              <w:rPr>
                <w:kern w:val="2"/>
                <w:sz w:val="18"/>
                <w:szCs w:val="18"/>
                <w:vertAlign w:val="superscript"/>
              </w:rPr>
              <w:t>3</w:t>
            </w:r>
            <w:r>
              <w:rPr>
                <w:kern w:val="2"/>
                <w:sz w:val="18"/>
                <w:szCs w:val="18"/>
              </w:rPr>
              <w:t>/a</w:t>
            </w:r>
          </w:p>
        </w:tc>
        <w:tc>
          <w:tcPr>
            <w:tcW w:w="753" w:type="dxa"/>
            <w:vMerge w:val="restart"/>
          </w:tcPr>
          <w:p w14:paraId="77B8223E" w14:textId="77777777" w:rsidR="003E78AB" w:rsidRDefault="00010BF9">
            <w:pPr>
              <w:spacing w:line="240" w:lineRule="auto"/>
              <w:ind w:firstLineChars="0" w:firstLine="0"/>
              <w:jc w:val="center"/>
              <w:rPr>
                <w:bCs/>
                <w:sz w:val="18"/>
                <w:szCs w:val="18"/>
              </w:rPr>
            </w:pPr>
            <w:r>
              <w:rPr>
                <w:bCs/>
                <w:sz w:val="18"/>
                <w:szCs w:val="18"/>
              </w:rPr>
              <w:t>15m</w:t>
            </w:r>
          </w:p>
          <w:p w14:paraId="6E06A8B2" w14:textId="77777777" w:rsidR="003E78AB" w:rsidRDefault="00010BF9">
            <w:pPr>
              <w:spacing w:line="240" w:lineRule="auto"/>
              <w:ind w:firstLineChars="0" w:firstLine="0"/>
              <w:jc w:val="center"/>
              <w:rPr>
                <w:bCs/>
                <w:sz w:val="18"/>
                <w:szCs w:val="18"/>
              </w:rPr>
            </w:pPr>
            <w:r>
              <w:rPr>
                <w:rFonts w:eastAsia="Times New Roman"/>
                <w:bCs/>
                <w:sz w:val="18"/>
                <w:szCs w:val="18"/>
              </w:rPr>
              <w:t>DA00</w:t>
            </w:r>
            <w:r>
              <w:rPr>
                <w:bCs/>
                <w:sz w:val="18"/>
                <w:szCs w:val="18"/>
              </w:rPr>
              <w:t>4</w:t>
            </w:r>
          </w:p>
        </w:tc>
      </w:tr>
      <w:tr w:rsidR="003E78AB" w14:paraId="6E511CAB" w14:textId="77777777">
        <w:trPr>
          <w:trHeight w:val="620"/>
        </w:trPr>
        <w:tc>
          <w:tcPr>
            <w:tcW w:w="673" w:type="dxa"/>
            <w:vMerge/>
          </w:tcPr>
          <w:p w14:paraId="7E032131" w14:textId="77777777" w:rsidR="003E78AB" w:rsidRDefault="003E78AB">
            <w:pPr>
              <w:spacing w:line="240" w:lineRule="auto"/>
              <w:ind w:firstLineChars="0" w:firstLine="0"/>
              <w:jc w:val="center"/>
              <w:rPr>
                <w:bCs/>
                <w:sz w:val="18"/>
                <w:szCs w:val="18"/>
              </w:rPr>
            </w:pPr>
          </w:p>
        </w:tc>
        <w:tc>
          <w:tcPr>
            <w:tcW w:w="815" w:type="dxa"/>
          </w:tcPr>
          <w:p w14:paraId="591D3DD9" w14:textId="77777777" w:rsidR="003E78AB" w:rsidRDefault="00010BF9">
            <w:pPr>
              <w:spacing w:line="240" w:lineRule="auto"/>
              <w:ind w:firstLineChars="0" w:firstLine="0"/>
              <w:jc w:val="center"/>
              <w:rPr>
                <w:bCs/>
                <w:sz w:val="18"/>
                <w:szCs w:val="18"/>
              </w:rPr>
            </w:pPr>
            <w:r>
              <w:rPr>
                <w:bCs/>
                <w:sz w:val="18"/>
                <w:szCs w:val="18"/>
              </w:rPr>
              <w:t>颗粒物</w:t>
            </w:r>
          </w:p>
        </w:tc>
        <w:tc>
          <w:tcPr>
            <w:tcW w:w="831" w:type="dxa"/>
          </w:tcPr>
          <w:p w14:paraId="51DAA125" w14:textId="77777777" w:rsidR="003E78AB" w:rsidRDefault="00010BF9">
            <w:pPr>
              <w:spacing w:line="240" w:lineRule="auto"/>
              <w:ind w:firstLineChars="0" w:firstLine="0"/>
              <w:jc w:val="center"/>
              <w:rPr>
                <w:bCs/>
                <w:sz w:val="18"/>
                <w:szCs w:val="18"/>
              </w:rPr>
            </w:pPr>
            <w:r>
              <w:rPr>
                <w:bCs/>
                <w:sz w:val="18"/>
                <w:szCs w:val="18"/>
              </w:rPr>
              <w:t>5.9</w:t>
            </w:r>
          </w:p>
        </w:tc>
        <w:tc>
          <w:tcPr>
            <w:tcW w:w="715" w:type="dxa"/>
          </w:tcPr>
          <w:p w14:paraId="4B64F72F" w14:textId="77777777" w:rsidR="003E78AB" w:rsidRDefault="00010BF9">
            <w:pPr>
              <w:spacing w:line="240" w:lineRule="auto"/>
              <w:ind w:firstLineChars="0" w:firstLine="0"/>
              <w:jc w:val="center"/>
              <w:rPr>
                <w:bCs/>
                <w:sz w:val="18"/>
                <w:szCs w:val="18"/>
              </w:rPr>
            </w:pPr>
            <w:r>
              <w:rPr>
                <w:bCs/>
                <w:sz w:val="18"/>
                <w:szCs w:val="18"/>
              </w:rPr>
              <w:t>0.0278</w:t>
            </w:r>
          </w:p>
        </w:tc>
        <w:tc>
          <w:tcPr>
            <w:tcW w:w="859" w:type="dxa"/>
          </w:tcPr>
          <w:p w14:paraId="7B6BB1BE" w14:textId="77777777" w:rsidR="003E78AB" w:rsidRDefault="00010BF9">
            <w:pPr>
              <w:spacing w:line="240" w:lineRule="auto"/>
              <w:ind w:firstLineChars="0" w:firstLine="0"/>
              <w:jc w:val="center"/>
              <w:rPr>
                <w:bCs/>
                <w:sz w:val="18"/>
                <w:szCs w:val="18"/>
              </w:rPr>
            </w:pPr>
            <w:r>
              <w:rPr>
                <w:bCs/>
                <w:sz w:val="18"/>
                <w:szCs w:val="18"/>
              </w:rPr>
              <w:t>0.1201</w:t>
            </w:r>
          </w:p>
        </w:tc>
        <w:tc>
          <w:tcPr>
            <w:tcW w:w="796" w:type="dxa"/>
            <w:vMerge/>
          </w:tcPr>
          <w:p w14:paraId="6D8EC6E6" w14:textId="77777777" w:rsidR="003E78AB" w:rsidRDefault="003E78AB">
            <w:pPr>
              <w:spacing w:line="240" w:lineRule="auto"/>
              <w:ind w:firstLineChars="0" w:firstLine="0"/>
              <w:jc w:val="center"/>
              <w:rPr>
                <w:bCs/>
                <w:sz w:val="18"/>
                <w:szCs w:val="18"/>
              </w:rPr>
            </w:pPr>
          </w:p>
        </w:tc>
        <w:tc>
          <w:tcPr>
            <w:tcW w:w="655" w:type="dxa"/>
          </w:tcPr>
          <w:p w14:paraId="19714F95" w14:textId="77777777" w:rsidR="003E78AB" w:rsidRDefault="00010BF9">
            <w:pPr>
              <w:spacing w:line="240" w:lineRule="auto"/>
              <w:ind w:firstLineChars="0" w:firstLine="0"/>
              <w:jc w:val="center"/>
              <w:rPr>
                <w:bCs/>
                <w:sz w:val="18"/>
                <w:szCs w:val="18"/>
              </w:rPr>
            </w:pPr>
            <w:r>
              <w:rPr>
                <w:bCs/>
                <w:sz w:val="18"/>
                <w:szCs w:val="18"/>
              </w:rPr>
              <w:t>0</w:t>
            </w:r>
          </w:p>
        </w:tc>
        <w:tc>
          <w:tcPr>
            <w:tcW w:w="804" w:type="dxa"/>
          </w:tcPr>
          <w:p w14:paraId="2B06BB81" w14:textId="77777777" w:rsidR="003E78AB" w:rsidRDefault="00010BF9">
            <w:pPr>
              <w:spacing w:line="240" w:lineRule="auto"/>
              <w:ind w:firstLineChars="0" w:firstLine="0"/>
              <w:jc w:val="center"/>
              <w:rPr>
                <w:bCs/>
                <w:sz w:val="18"/>
                <w:szCs w:val="18"/>
              </w:rPr>
            </w:pPr>
            <w:r>
              <w:rPr>
                <w:bCs/>
                <w:sz w:val="18"/>
                <w:szCs w:val="18"/>
              </w:rPr>
              <w:t>5.9</w:t>
            </w:r>
          </w:p>
        </w:tc>
        <w:tc>
          <w:tcPr>
            <w:tcW w:w="737" w:type="dxa"/>
          </w:tcPr>
          <w:p w14:paraId="3C541C6E" w14:textId="77777777" w:rsidR="003E78AB" w:rsidRDefault="00010BF9">
            <w:pPr>
              <w:spacing w:line="240" w:lineRule="auto"/>
              <w:ind w:firstLineChars="0" w:firstLine="0"/>
              <w:jc w:val="center"/>
              <w:rPr>
                <w:bCs/>
                <w:sz w:val="18"/>
                <w:szCs w:val="18"/>
              </w:rPr>
            </w:pPr>
            <w:r>
              <w:rPr>
                <w:bCs/>
                <w:sz w:val="18"/>
                <w:szCs w:val="18"/>
              </w:rPr>
              <w:t>0.0278</w:t>
            </w:r>
          </w:p>
        </w:tc>
        <w:tc>
          <w:tcPr>
            <w:tcW w:w="856" w:type="dxa"/>
          </w:tcPr>
          <w:p w14:paraId="01D37644" w14:textId="77777777" w:rsidR="003E78AB" w:rsidRDefault="00010BF9">
            <w:pPr>
              <w:spacing w:line="240" w:lineRule="auto"/>
              <w:ind w:firstLineChars="0" w:firstLine="0"/>
              <w:jc w:val="center"/>
              <w:rPr>
                <w:bCs/>
                <w:sz w:val="18"/>
                <w:szCs w:val="18"/>
              </w:rPr>
            </w:pPr>
            <w:r>
              <w:rPr>
                <w:bCs/>
                <w:sz w:val="18"/>
                <w:szCs w:val="18"/>
              </w:rPr>
              <w:t>0.1201</w:t>
            </w:r>
          </w:p>
        </w:tc>
        <w:tc>
          <w:tcPr>
            <w:tcW w:w="753" w:type="dxa"/>
            <w:vMerge/>
          </w:tcPr>
          <w:p w14:paraId="286CBB10" w14:textId="77777777" w:rsidR="003E78AB" w:rsidRDefault="003E78AB">
            <w:pPr>
              <w:spacing w:line="240" w:lineRule="auto"/>
              <w:ind w:firstLineChars="0" w:firstLine="0"/>
              <w:jc w:val="center"/>
              <w:rPr>
                <w:rFonts w:eastAsia="Times New Roman"/>
                <w:bCs/>
                <w:sz w:val="18"/>
                <w:szCs w:val="18"/>
              </w:rPr>
            </w:pPr>
          </w:p>
        </w:tc>
      </w:tr>
      <w:tr w:rsidR="003E78AB" w14:paraId="5CA181B9" w14:textId="77777777">
        <w:trPr>
          <w:trHeight w:val="428"/>
        </w:trPr>
        <w:tc>
          <w:tcPr>
            <w:tcW w:w="673" w:type="dxa"/>
            <w:vMerge/>
          </w:tcPr>
          <w:p w14:paraId="38C5C462" w14:textId="77777777" w:rsidR="003E78AB" w:rsidRDefault="003E78AB">
            <w:pPr>
              <w:spacing w:line="240" w:lineRule="auto"/>
              <w:ind w:firstLineChars="0" w:firstLine="0"/>
              <w:jc w:val="center"/>
              <w:rPr>
                <w:bCs/>
                <w:sz w:val="18"/>
                <w:szCs w:val="18"/>
              </w:rPr>
            </w:pPr>
          </w:p>
        </w:tc>
        <w:tc>
          <w:tcPr>
            <w:tcW w:w="815" w:type="dxa"/>
          </w:tcPr>
          <w:p w14:paraId="160BAB9C" w14:textId="77777777" w:rsidR="003E78AB" w:rsidRDefault="00010BF9">
            <w:pPr>
              <w:spacing w:line="240" w:lineRule="auto"/>
              <w:ind w:firstLineChars="0" w:firstLine="0"/>
              <w:jc w:val="center"/>
              <w:rPr>
                <w:bCs/>
                <w:sz w:val="18"/>
                <w:szCs w:val="18"/>
              </w:rPr>
            </w:pPr>
            <w:r>
              <w:rPr>
                <w:bCs/>
                <w:sz w:val="18"/>
                <w:szCs w:val="18"/>
              </w:rPr>
              <w:t>SO</w:t>
            </w:r>
            <w:r>
              <w:rPr>
                <w:bCs/>
                <w:sz w:val="18"/>
                <w:szCs w:val="18"/>
                <w:vertAlign w:val="subscript"/>
              </w:rPr>
              <w:t>2</w:t>
            </w:r>
          </w:p>
        </w:tc>
        <w:tc>
          <w:tcPr>
            <w:tcW w:w="831" w:type="dxa"/>
          </w:tcPr>
          <w:p w14:paraId="58C34880" w14:textId="77777777" w:rsidR="003E78AB" w:rsidRDefault="00010BF9">
            <w:pPr>
              <w:spacing w:line="240" w:lineRule="auto"/>
              <w:ind w:firstLineChars="0" w:firstLine="0"/>
              <w:jc w:val="center"/>
              <w:rPr>
                <w:bCs/>
                <w:sz w:val="18"/>
                <w:szCs w:val="18"/>
              </w:rPr>
            </w:pPr>
            <w:r>
              <w:rPr>
                <w:bCs/>
                <w:sz w:val="18"/>
                <w:szCs w:val="18"/>
              </w:rPr>
              <w:t>7.51</w:t>
            </w:r>
          </w:p>
        </w:tc>
        <w:tc>
          <w:tcPr>
            <w:tcW w:w="715" w:type="dxa"/>
          </w:tcPr>
          <w:p w14:paraId="56C1459E" w14:textId="77777777" w:rsidR="003E78AB" w:rsidRDefault="00010BF9">
            <w:pPr>
              <w:spacing w:line="240" w:lineRule="auto"/>
              <w:ind w:firstLineChars="0" w:firstLine="0"/>
              <w:jc w:val="center"/>
              <w:rPr>
                <w:bCs/>
                <w:sz w:val="18"/>
                <w:szCs w:val="18"/>
              </w:rPr>
            </w:pPr>
            <w:r>
              <w:rPr>
                <w:bCs/>
                <w:sz w:val="18"/>
                <w:szCs w:val="18"/>
              </w:rPr>
              <w:t>0.0354</w:t>
            </w:r>
          </w:p>
        </w:tc>
        <w:tc>
          <w:tcPr>
            <w:tcW w:w="859" w:type="dxa"/>
          </w:tcPr>
          <w:p w14:paraId="4F98A68C" w14:textId="77777777" w:rsidR="003E78AB" w:rsidRDefault="00010BF9">
            <w:pPr>
              <w:spacing w:line="240" w:lineRule="auto"/>
              <w:ind w:firstLineChars="0" w:firstLine="0"/>
              <w:jc w:val="center"/>
              <w:rPr>
                <w:bCs/>
                <w:sz w:val="18"/>
                <w:szCs w:val="18"/>
              </w:rPr>
            </w:pPr>
            <w:r>
              <w:rPr>
                <w:bCs/>
                <w:sz w:val="18"/>
                <w:szCs w:val="18"/>
              </w:rPr>
              <w:t>0.1529</w:t>
            </w:r>
          </w:p>
        </w:tc>
        <w:tc>
          <w:tcPr>
            <w:tcW w:w="796" w:type="dxa"/>
            <w:vMerge/>
          </w:tcPr>
          <w:p w14:paraId="2E3A3522" w14:textId="77777777" w:rsidR="003E78AB" w:rsidRDefault="003E78AB">
            <w:pPr>
              <w:spacing w:line="240" w:lineRule="auto"/>
              <w:ind w:firstLineChars="0" w:firstLine="0"/>
              <w:jc w:val="center"/>
              <w:rPr>
                <w:bCs/>
                <w:sz w:val="18"/>
                <w:szCs w:val="18"/>
              </w:rPr>
            </w:pPr>
          </w:p>
        </w:tc>
        <w:tc>
          <w:tcPr>
            <w:tcW w:w="655" w:type="dxa"/>
          </w:tcPr>
          <w:p w14:paraId="0A151EE3" w14:textId="77777777" w:rsidR="003E78AB" w:rsidRDefault="00010BF9">
            <w:pPr>
              <w:spacing w:line="240" w:lineRule="auto"/>
              <w:ind w:firstLineChars="0" w:firstLine="0"/>
              <w:jc w:val="center"/>
              <w:rPr>
                <w:bCs/>
                <w:sz w:val="18"/>
                <w:szCs w:val="18"/>
              </w:rPr>
            </w:pPr>
            <w:r>
              <w:rPr>
                <w:bCs/>
                <w:sz w:val="18"/>
                <w:szCs w:val="18"/>
              </w:rPr>
              <w:t>0</w:t>
            </w:r>
          </w:p>
        </w:tc>
        <w:tc>
          <w:tcPr>
            <w:tcW w:w="804" w:type="dxa"/>
          </w:tcPr>
          <w:p w14:paraId="674EB385" w14:textId="77777777" w:rsidR="003E78AB" w:rsidRDefault="00010BF9">
            <w:pPr>
              <w:spacing w:line="240" w:lineRule="auto"/>
              <w:ind w:firstLineChars="0" w:firstLine="0"/>
              <w:jc w:val="center"/>
              <w:rPr>
                <w:bCs/>
                <w:sz w:val="18"/>
                <w:szCs w:val="18"/>
              </w:rPr>
            </w:pPr>
            <w:r>
              <w:rPr>
                <w:bCs/>
                <w:sz w:val="18"/>
                <w:szCs w:val="18"/>
              </w:rPr>
              <w:t>7.51</w:t>
            </w:r>
          </w:p>
        </w:tc>
        <w:tc>
          <w:tcPr>
            <w:tcW w:w="737" w:type="dxa"/>
          </w:tcPr>
          <w:p w14:paraId="5149D2FA" w14:textId="77777777" w:rsidR="003E78AB" w:rsidRDefault="00010BF9">
            <w:pPr>
              <w:spacing w:line="240" w:lineRule="auto"/>
              <w:ind w:firstLineChars="0" w:firstLine="0"/>
              <w:jc w:val="center"/>
              <w:rPr>
                <w:bCs/>
                <w:sz w:val="18"/>
                <w:szCs w:val="18"/>
              </w:rPr>
            </w:pPr>
            <w:r>
              <w:rPr>
                <w:bCs/>
                <w:sz w:val="18"/>
                <w:szCs w:val="18"/>
              </w:rPr>
              <w:t>0.0354</w:t>
            </w:r>
          </w:p>
        </w:tc>
        <w:tc>
          <w:tcPr>
            <w:tcW w:w="856" w:type="dxa"/>
          </w:tcPr>
          <w:p w14:paraId="182F9C9C" w14:textId="77777777" w:rsidR="003E78AB" w:rsidRDefault="00010BF9">
            <w:pPr>
              <w:spacing w:line="240" w:lineRule="auto"/>
              <w:ind w:firstLineChars="0" w:firstLine="0"/>
              <w:jc w:val="center"/>
              <w:rPr>
                <w:bCs/>
                <w:sz w:val="18"/>
                <w:szCs w:val="18"/>
              </w:rPr>
            </w:pPr>
            <w:r>
              <w:rPr>
                <w:bCs/>
                <w:sz w:val="18"/>
                <w:szCs w:val="18"/>
              </w:rPr>
              <w:t>0.1529</w:t>
            </w:r>
          </w:p>
        </w:tc>
        <w:tc>
          <w:tcPr>
            <w:tcW w:w="753" w:type="dxa"/>
            <w:vMerge/>
          </w:tcPr>
          <w:p w14:paraId="7597D3B3" w14:textId="77777777" w:rsidR="003E78AB" w:rsidRDefault="003E78AB">
            <w:pPr>
              <w:spacing w:line="240" w:lineRule="auto"/>
              <w:ind w:firstLineChars="0" w:firstLine="0"/>
              <w:jc w:val="center"/>
              <w:rPr>
                <w:rFonts w:eastAsia="Times New Roman"/>
                <w:bCs/>
                <w:sz w:val="18"/>
                <w:szCs w:val="18"/>
              </w:rPr>
            </w:pPr>
          </w:p>
        </w:tc>
      </w:tr>
      <w:tr w:rsidR="003E78AB" w14:paraId="70954936" w14:textId="77777777">
        <w:trPr>
          <w:trHeight w:val="340"/>
        </w:trPr>
        <w:tc>
          <w:tcPr>
            <w:tcW w:w="673" w:type="dxa"/>
            <w:vMerge/>
          </w:tcPr>
          <w:p w14:paraId="3AFA6E40" w14:textId="77777777" w:rsidR="003E78AB" w:rsidRDefault="003E78AB">
            <w:pPr>
              <w:spacing w:line="240" w:lineRule="auto"/>
              <w:ind w:firstLineChars="0" w:firstLine="0"/>
              <w:jc w:val="center"/>
              <w:rPr>
                <w:bCs/>
                <w:sz w:val="18"/>
                <w:szCs w:val="18"/>
              </w:rPr>
            </w:pPr>
          </w:p>
        </w:tc>
        <w:tc>
          <w:tcPr>
            <w:tcW w:w="815" w:type="dxa"/>
          </w:tcPr>
          <w:p w14:paraId="34645123" w14:textId="77777777" w:rsidR="003E78AB" w:rsidRDefault="00010BF9">
            <w:pPr>
              <w:spacing w:line="240" w:lineRule="auto"/>
              <w:ind w:firstLineChars="0" w:firstLine="0"/>
              <w:jc w:val="center"/>
              <w:rPr>
                <w:bCs/>
                <w:sz w:val="18"/>
                <w:szCs w:val="18"/>
              </w:rPr>
            </w:pPr>
            <w:r>
              <w:rPr>
                <w:bCs/>
                <w:sz w:val="18"/>
                <w:szCs w:val="18"/>
              </w:rPr>
              <w:t>NOx</w:t>
            </w:r>
          </w:p>
        </w:tc>
        <w:tc>
          <w:tcPr>
            <w:tcW w:w="831" w:type="dxa"/>
          </w:tcPr>
          <w:p w14:paraId="078974EC" w14:textId="77777777" w:rsidR="003E78AB" w:rsidRDefault="00010BF9">
            <w:pPr>
              <w:spacing w:line="240" w:lineRule="auto"/>
              <w:ind w:firstLineChars="0" w:firstLine="0"/>
              <w:jc w:val="center"/>
              <w:rPr>
                <w:bCs/>
                <w:sz w:val="18"/>
                <w:szCs w:val="18"/>
              </w:rPr>
            </w:pPr>
            <w:r>
              <w:rPr>
                <w:bCs/>
                <w:sz w:val="18"/>
                <w:szCs w:val="18"/>
              </w:rPr>
              <w:t>100</w:t>
            </w:r>
          </w:p>
        </w:tc>
        <w:tc>
          <w:tcPr>
            <w:tcW w:w="715" w:type="dxa"/>
          </w:tcPr>
          <w:p w14:paraId="3F5746F8" w14:textId="77777777" w:rsidR="003E78AB" w:rsidRDefault="00010BF9">
            <w:pPr>
              <w:spacing w:line="240" w:lineRule="auto"/>
              <w:ind w:firstLineChars="0" w:firstLine="0"/>
              <w:jc w:val="center"/>
              <w:rPr>
                <w:bCs/>
                <w:sz w:val="18"/>
                <w:szCs w:val="18"/>
              </w:rPr>
            </w:pPr>
            <w:r>
              <w:rPr>
                <w:bCs/>
                <w:sz w:val="18"/>
                <w:szCs w:val="18"/>
              </w:rPr>
              <w:t>0.4711</w:t>
            </w:r>
          </w:p>
        </w:tc>
        <w:tc>
          <w:tcPr>
            <w:tcW w:w="859" w:type="dxa"/>
          </w:tcPr>
          <w:p w14:paraId="124A6BA4" w14:textId="77777777" w:rsidR="003E78AB" w:rsidRDefault="00010BF9">
            <w:pPr>
              <w:spacing w:line="240" w:lineRule="auto"/>
              <w:ind w:firstLineChars="0" w:firstLine="0"/>
              <w:jc w:val="center"/>
              <w:rPr>
                <w:bCs/>
                <w:sz w:val="18"/>
                <w:szCs w:val="18"/>
              </w:rPr>
            </w:pPr>
            <w:r>
              <w:rPr>
                <w:bCs/>
                <w:sz w:val="18"/>
                <w:szCs w:val="18"/>
              </w:rPr>
              <w:t>2.0350</w:t>
            </w:r>
          </w:p>
        </w:tc>
        <w:tc>
          <w:tcPr>
            <w:tcW w:w="796" w:type="dxa"/>
            <w:vMerge/>
          </w:tcPr>
          <w:p w14:paraId="4C103A5C" w14:textId="77777777" w:rsidR="003E78AB" w:rsidRDefault="003E78AB">
            <w:pPr>
              <w:spacing w:line="240" w:lineRule="auto"/>
              <w:ind w:firstLineChars="0" w:firstLine="0"/>
              <w:jc w:val="center"/>
              <w:rPr>
                <w:bCs/>
                <w:sz w:val="18"/>
                <w:szCs w:val="18"/>
              </w:rPr>
            </w:pPr>
          </w:p>
        </w:tc>
        <w:tc>
          <w:tcPr>
            <w:tcW w:w="655" w:type="dxa"/>
          </w:tcPr>
          <w:p w14:paraId="259BB5B6" w14:textId="77777777" w:rsidR="003E78AB" w:rsidRDefault="00010BF9">
            <w:pPr>
              <w:spacing w:line="240" w:lineRule="auto"/>
              <w:ind w:firstLineChars="0" w:firstLine="0"/>
              <w:jc w:val="center"/>
              <w:rPr>
                <w:bCs/>
                <w:sz w:val="18"/>
                <w:szCs w:val="18"/>
              </w:rPr>
            </w:pPr>
            <w:r>
              <w:rPr>
                <w:bCs/>
                <w:sz w:val="18"/>
                <w:szCs w:val="18"/>
              </w:rPr>
              <w:t>50</w:t>
            </w:r>
          </w:p>
        </w:tc>
        <w:tc>
          <w:tcPr>
            <w:tcW w:w="804" w:type="dxa"/>
          </w:tcPr>
          <w:p w14:paraId="6196DC3C" w14:textId="77777777" w:rsidR="003E78AB" w:rsidRDefault="00010BF9">
            <w:pPr>
              <w:spacing w:line="240" w:lineRule="auto"/>
              <w:ind w:firstLineChars="0" w:firstLine="0"/>
              <w:jc w:val="center"/>
              <w:rPr>
                <w:bCs/>
                <w:sz w:val="18"/>
                <w:szCs w:val="18"/>
              </w:rPr>
            </w:pPr>
            <w:r>
              <w:rPr>
                <w:bCs/>
                <w:sz w:val="18"/>
                <w:szCs w:val="18"/>
              </w:rPr>
              <w:t>50</w:t>
            </w:r>
          </w:p>
        </w:tc>
        <w:tc>
          <w:tcPr>
            <w:tcW w:w="737" w:type="dxa"/>
          </w:tcPr>
          <w:p w14:paraId="738BD0D2" w14:textId="77777777" w:rsidR="003E78AB" w:rsidRDefault="00010BF9">
            <w:pPr>
              <w:spacing w:line="240" w:lineRule="auto"/>
              <w:ind w:firstLineChars="0" w:firstLine="0"/>
              <w:jc w:val="center"/>
              <w:rPr>
                <w:bCs/>
                <w:sz w:val="18"/>
                <w:szCs w:val="18"/>
              </w:rPr>
            </w:pPr>
            <w:r>
              <w:rPr>
                <w:bCs/>
                <w:sz w:val="18"/>
                <w:szCs w:val="18"/>
              </w:rPr>
              <w:t>0.2355</w:t>
            </w:r>
          </w:p>
        </w:tc>
        <w:tc>
          <w:tcPr>
            <w:tcW w:w="856" w:type="dxa"/>
          </w:tcPr>
          <w:p w14:paraId="55D6FF20" w14:textId="77777777" w:rsidR="003E78AB" w:rsidRDefault="00010BF9">
            <w:pPr>
              <w:spacing w:line="240" w:lineRule="auto"/>
              <w:ind w:firstLineChars="0" w:firstLine="0"/>
              <w:jc w:val="center"/>
              <w:rPr>
                <w:bCs/>
                <w:sz w:val="18"/>
                <w:szCs w:val="18"/>
              </w:rPr>
            </w:pPr>
            <w:r>
              <w:rPr>
                <w:bCs/>
                <w:sz w:val="18"/>
                <w:szCs w:val="18"/>
              </w:rPr>
              <w:t>1.0175</w:t>
            </w:r>
          </w:p>
        </w:tc>
        <w:tc>
          <w:tcPr>
            <w:tcW w:w="753" w:type="dxa"/>
            <w:vMerge/>
          </w:tcPr>
          <w:p w14:paraId="34064BC3" w14:textId="77777777" w:rsidR="003E78AB" w:rsidRDefault="003E78AB">
            <w:pPr>
              <w:spacing w:line="240" w:lineRule="auto"/>
              <w:ind w:firstLineChars="0" w:firstLine="0"/>
              <w:jc w:val="center"/>
              <w:rPr>
                <w:rFonts w:eastAsia="Times New Roman"/>
                <w:bCs/>
                <w:sz w:val="18"/>
                <w:szCs w:val="18"/>
              </w:rPr>
            </w:pPr>
          </w:p>
        </w:tc>
      </w:tr>
    </w:tbl>
    <w:p w14:paraId="2A268080" w14:textId="77777777" w:rsidR="003E78AB" w:rsidRDefault="00010BF9">
      <w:pPr>
        <w:ind w:firstLine="480"/>
        <w:rPr>
          <w:kern w:val="2"/>
        </w:rPr>
      </w:pPr>
      <w:r>
        <w:rPr>
          <w:kern w:val="2"/>
        </w:rPr>
        <w:t>根据上表结果，项目新增锅炉烟气中二氧化硫和颗粒物排放浓度均能满足《锅炉大气污染物排放标准》（</w:t>
      </w:r>
      <w:r>
        <w:rPr>
          <w:kern w:val="2"/>
        </w:rPr>
        <w:t>GB13271-2014</w:t>
      </w:r>
      <w:r>
        <w:rPr>
          <w:kern w:val="2"/>
        </w:rPr>
        <w:t>）表</w:t>
      </w:r>
      <w:r>
        <w:rPr>
          <w:kern w:val="2"/>
        </w:rPr>
        <w:t>2</w:t>
      </w:r>
      <w:r>
        <w:rPr>
          <w:rFonts w:hint="eastAsia"/>
          <w:kern w:val="2"/>
        </w:rPr>
        <w:t>限值</w:t>
      </w:r>
      <w:r>
        <w:rPr>
          <w:kern w:val="2"/>
        </w:rPr>
        <w:t>要求，氮氧化物排放浓度满足《关于印发〈哈密市</w:t>
      </w:r>
      <w:r>
        <w:rPr>
          <w:kern w:val="2"/>
        </w:rPr>
        <w:t>2022</w:t>
      </w:r>
      <w:r>
        <w:rPr>
          <w:kern w:val="2"/>
        </w:rPr>
        <w:t>年度夏秋季大气污染防治</w:t>
      </w:r>
      <w:r>
        <w:rPr>
          <w:kern w:val="2"/>
        </w:rPr>
        <w:t>“</w:t>
      </w:r>
      <w:r>
        <w:rPr>
          <w:kern w:val="2"/>
        </w:rPr>
        <w:t>冬病夏治</w:t>
      </w:r>
      <w:r>
        <w:rPr>
          <w:kern w:val="2"/>
        </w:rPr>
        <w:t>”</w:t>
      </w:r>
      <w:r>
        <w:rPr>
          <w:kern w:val="2"/>
        </w:rPr>
        <w:t>工作方案〉的通知》（哈市环委办〔</w:t>
      </w:r>
      <w:r>
        <w:rPr>
          <w:kern w:val="2"/>
        </w:rPr>
        <w:t>2022</w:t>
      </w:r>
      <w:r>
        <w:rPr>
          <w:kern w:val="2"/>
        </w:rPr>
        <w:t>〕</w:t>
      </w:r>
      <w:r>
        <w:rPr>
          <w:kern w:val="2"/>
        </w:rPr>
        <w:t>12</w:t>
      </w:r>
      <w:r>
        <w:rPr>
          <w:kern w:val="2"/>
        </w:rPr>
        <w:t>号）中重点行业</w:t>
      </w:r>
      <w:r>
        <w:rPr>
          <w:kern w:val="2"/>
        </w:rPr>
        <w:t>50mg/m</w:t>
      </w:r>
      <w:r>
        <w:rPr>
          <w:kern w:val="2"/>
          <w:vertAlign w:val="superscript"/>
        </w:rPr>
        <w:t>3</w:t>
      </w:r>
      <w:r>
        <w:rPr>
          <w:kern w:val="2"/>
        </w:rPr>
        <w:t>限值要求，可以做到达标排放。</w:t>
      </w:r>
    </w:p>
    <w:p w14:paraId="221C66EC" w14:textId="77777777" w:rsidR="003E78AB" w:rsidRDefault="00010BF9">
      <w:pPr>
        <w:spacing w:line="460" w:lineRule="exact"/>
        <w:ind w:firstLine="480"/>
        <w:rPr>
          <w:kern w:val="2"/>
        </w:rPr>
      </w:pPr>
      <w:r>
        <w:rPr>
          <w:rFonts w:hint="eastAsia"/>
          <w:kern w:val="2"/>
        </w:rPr>
        <w:t>（</w:t>
      </w:r>
      <w:r>
        <w:rPr>
          <w:rFonts w:hint="eastAsia"/>
          <w:kern w:val="2"/>
        </w:rPr>
        <w:t>4</w:t>
      </w:r>
      <w:r>
        <w:rPr>
          <w:rFonts w:hint="eastAsia"/>
          <w:kern w:val="2"/>
        </w:rPr>
        <w:t>）</w:t>
      </w:r>
      <w:r>
        <w:rPr>
          <w:kern w:val="2"/>
        </w:rPr>
        <w:t>交通运输源废气</w:t>
      </w:r>
    </w:p>
    <w:p w14:paraId="36A53CF5" w14:textId="77777777" w:rsidR="003E78AB" w:rsidRDefault="00010BF9">
      <w:pPr>
        <w:ind w:firstLine="480"/>
        <w:rPr>
          <w:kern w:val="2"/>
        </w:rPr>
      </w:pPr>
      <w:r>
        <w:rPr>
          <w:kern w:val="2"/>
        </w:rPr>
        <w:t>本项目原辅材料及产品均采用公路运输，建设单位运输业务依托当地社会车辆。本项目全年物料运输量为</w:t>
      </w:r>
      <w:r>
        <w:rPr>
          <w:kern w:val="2"/>
        </w:rPr>
        <w:t>31249.66/a</w:t>
      </w:r>
      <w:r>
        <w:rPr>
          <w:kern w:val="2"/>
        </w:rPr>
        <w:t>，平均新增中型卡车约</w:t>
      </w:r>
      <w:r>
        <w:rPr>
          <w:rFonts w:hint="eastAsia"/>
          <w:kern w:val="2"/>
        </w:rPr>
        <w:t>2</w:t>
      </w:r>
      <w:r>
        <w:rPr>
          <w:kern w:val="2"/>
        </w:rPr>
        <w:t>0</w:t>
      </w:r>
      <w:r>
        <w:rPr>
          <w:kern w:val="2"/>
        </w:rPr>
        <w:t>次</w:t>
      </w:r>
      <w:r>
        <w:rPr>
          <w:kern w:val="2"/>
        </w:rPr>
        <w:t>/</w:t>
      </w:r>
      <w:r>
        <w:rPr>
          <w:kern w:val="2"/>
        </w:rPr>
        <w:t>天，排放的主要污染物为</w:t>
      </w:r>
      <w:r>
        <w:rPr>
          <w:kern w:val="2"/>
        </w:rPr>
        <w:t>NO</w:t>
      </w:r>
      <w:r>
        <w:rPr>
          <w:kern w:val="2"/>
          <w:vertAlign w:val="subscript"/>
        </w:rPr>
        <w:t>X</w:t>
      </w:r>
      <w:r>
        <w:rPr>
          <w:kern w:val="2"/>
        </w:rPr>
        <w:t>、</w:t>
      </w:r>
      <w:r>
        <w:rPr>
          <w:kern w:val="2"/>
        </w:rPr>
        <w:t>CO</w:t>
      </w:r>
      <w:r>
        <w:rPr>
          <w:kern w:val="2"/>
        </w:rPr>
        <w:t>、</w:t>
      </w:r>
      <w:r>
        <w:rPr>
          <w:kern w:val="2"/>
        </w:rPr>
        <w:t>THC</w:t>
      </w:r>
      <w:r>
        <w:rPr>
          <w:kern w:val="2"/>
        </w:rPr>
        <w:t>，污染物排放量核算依据《公路建设项目环境影响评价规范》（</w:t>
      </w:r>
      <w:r>
        <w:rPr>
          <w:kern w:val="2"/>
        </w:rPr>
        <w:t>JTGB03-2006</w:t>
      </w:r>
      <w:r>
        <w:rPr>
          <w:kern w:val="2"/>
        </w:rPr>
        <w:t>）附录</w:t>
      </w:r>
      <w:r>
        <w:rPr>
          <w:kern w:val="2"/>
        </w:rPr>
        <w:t>D</w:t>
      </w:r>
      <w:r>
        <w:rPr>
          <w:kern w:val="2"/>
        </w:rPr>
        <w:t>中表</w:t>
      </w:r>
      <w:r>
        <w:rPr>
          <w:kern w:val="2"/>
        </w:rPr>
        <w:t>D1</w:t>
      </w:r>
      <w:r>
        <w:rPr>
          <w:kern w:val="2"/>
        </w:rPr>
        <w:t>车辆单车排放因子推荐值（</w:t>
      </w:r>
      <w:r>
        <w:rPr>
          <w:kern w:val="2"/>
        </w:rPr>
        <w:t>g/km·</w:t>
      </w:r>
      <w:r>
        <w:rPr>
          <w:kern w:val="2"/>
        </w:rPr>
        <w:t>辆）中的大型车（</w:t>
      </w:r>
      <w:r>
        <w:rPr>
          <w:kern w:val="2"/>
        </w:rPr>
        <w:t>&gt;12t</w:t>
      </w:r>
      <w:r>
        <w:rPr>
          <w:kern w:val="2"/>
        </w:rPr>
        <w:t>）车速</w:t>
      </w:r>
      <w:r>
        <w:rPr>
          <w:kern w:val="2"/>
        </w:rPr>
        <w:t>50km/h</w:t>
      </w:r>
      <w:r>
        <w:rPr>
          <w:kern w:val="2"/>
        </w:rPr>
        <w:t>时的排污系数进行计算，见</w:t>
      </w:r>
      <w:r>
        <w:rPr>
          <w:kern w:val="2"/>
        </w:rPr>
        <w:fldChar w:fldCharType="begin"/>
      </w:r>
      <w:r>
        <w:rPr>
          <w:kern w:val="2"/>
        </w:rPr>
        <w:instrText xml:space="preserve"> REF _Ref20065 \r \h </w:instrText>
      </w:r>
      <w:r>
        <w:rPr>
          <w:kern w:val="2"/>
        </w:rPr>
      </w:r>
      <w:r>
        <w:rPr>
          <w:kern w:val="2"/>
        </w:rPr>
        <w:fldChar w:fldCharType="separate"/>
      </w:r>
      <w:r>
        <w:rPr>
          <w:kern w:val="2"/>
        </w:rPr>
        <w:t>表</w:t>
      </w:r>
      <w:r>
        <w:rPr>
          <w:kern w:val="2"/>
        </w:rPr>
        <w:t>3-23</w:t>
      </w:r>
      <w:r>
        <w:rPr>
          <w:kern w:val="2"/>
        </w:rPr>
        <w:fldChar w:fldCharType="end"/>
      </w:r>
      <w:r>
        <w:rPr>
          <w:kern w:val="2"/>
        </w:rPr>
        <w:t>。</w:t>
      </w:r>
    </w:p>
    <w:p w14:paraId="7C2058F1" w14:textId="77777777" w:rsidR="003E78AB" w:rsidRDefault="00010BF9">
      <w:pPr>
        <w:pStyle w:val="a1"/>
      </w:pPr>
      <w:bookmarkStart w:id="256" w:name="_Ref20065"/>
      <w:r>
        <w:t>交通移动源污染物计算表</w:t>
      </w:r>
      <w:bookmarkEnd w:id="256"/>
    </w:p>
    <w:tbl>
      <w:tblPr>
        <w:tblW w:w="4998" w:type="pct"/>
        <w:tblBorders>
          <w:top w:val="single" w:sz="12" w:space="0" w:color="auto"/>
          <w:bottom w:val="single" w:sz="12" w:space="0" w:color="auto"/>
        </w:tblBorders>
        <w:tblLook w:val="04A0" w:firstRow="1" w:lastRow="0" w:firstColumn="1" w:lastColumn="0" w:noHBand="0" w:noVBand="1"/>
      </w:tblPr>
      <w:tblGrid>
        <w:gridCol w:w="1047"/>
        <w:gridCol w:w="1701"/>
        <w:gridCol w:w="2620"/>
        <w:gridCol w:w="1311"/>
        <w:gridCol w:w="1834"/>
      </w:tblGrid>
      <w:tr w:rsidR="003E78AB" w14:paraId="3294FB48" w14:textId="77777777">
        <w:trPr>
          <w:trHeight w:hRule="exact" w:val="568"/>
          <w:tblHeader/>
        </w:trPr>
        <w:tc>
          <w:tcPr>
            <w:tcW w:w="615" w:type="pct"/>
            <w:tcBorders>
              <w:top w:val="single" w:sz="4" w:space="0" w:color="auto"/>
              <w:left w:val="single" w:sz="4" w:space="0" w:color="auto"/>
              <w:bottom w:val="single" w:sz="4" w:space="0" w:color="auto"/>
              <w:right w:val="single" w:sz="4" w:space="0" w:color="auto"/>
              <w:tl2br w:val="nil"/>
              <w:tr2bl w:val="nil"/>
            </w:tcBorders>
            <w:vAlign w:val="center"/>
          </w:tcPr>
          <w:p w14:paraId="000122DF" w14:textId="77777777" w:rsidR="003E78AB" w:rsidRDefault="00010BF9">
            <w:pPr>
              <w:spacing w:line="240" w:lineRule="auto"/>
              <w:ind w:firstLineChars="0" w:firstLine="0"/>
              <w:jc w:val="center"/>
              <w:rPr>
                <w:b/>
                <w:bCs/>
                <w:sz w:val="21"/>
                <w:szCs w:val="21"/>
                <w:lang w:val="zh-CN"/>
              </w:rPr>
            </w:pPr>
            <w:r>
              <w:rPr>
                <w:b/>
                <w:bCs/>
                <w:sz w:val="21"/>
                <w:szCs w:val="21"/>
                <w:lang w:val="zh-CN"/>
              </w:rPr>
              <w:t>污染物</w:t>
            </w:r>
          </w:p>
        </w:tc>
        <w:tc>
          <w:tcPr>
            <w:tcW w:w="998" w:type="pct"/>
            <w:tcBorders>
              <w:top w:val="single" w:sz="4" w:space="0" w:color="auto"/>
              <w:left w:val="single" w:sz="4" w:space="0" w:color="auto"/>
              <w:bottom w:val="single" w:sz="4" w:space="0" w:color="auto"/>
              <w:right w:val="single" w:sz="4" w:space="0" w:color="auto"/>
              <w:tl2br w:val="nil"/>
              <w:tr2bl w:val="nil"/>
            </w:tcBorders>
            <w:vAlign w:val="center"/>
          </w:tcPr>
          <w:p w14:paraId="46A3684E" w14:textId="77777777" w:rsidR="003E78AB" w:rsidRDefault="00010BF9">
            <w:pPr>
              <w:spacing w:line="240" w:lineRule="auto"/>
              <w:ind w:firstLineChars="0" w:firstLine="0"/>
              <w:jc w:val="center"/>
              <w:rPr>
                <w:b/>
                <w:bCs/>
                <w:sz w:val="21"/>
                <w:szCs w:val="21"/>
                <w:lang w:val="zh-CN"/>
              </w:rPr>
            </w:pPr>
            <w:r>
              <w:rPr>
                <w:b/>
                <w:bCs/>
                <w:sz w:val="21"/>
                <w:szCs w:val="21"/>
                <w:lang w:val="zh-CN"/>
              </w:rPr>
              <w:t>排污系数</w:t>
            </w:r>
          </w:p>
          <w:p w14:paraId="05E54106" w14:textId="77777777" w:rsidR="003E78AB" w:rsidRDefault="00010BF9">
            <w:pPr>
              <w:spacing w:line="240" w:lineRule="auto"/>
              <w:ind w:firstLineChars="0" w:firstLine="0"/>
              <w:jc w:val="center"/>
              <w:rPr>
                <w:b/>
                <w:bCs/>
                <w:sz w:val="21"/>
                <w:szCs w:val="21"/>
                <w:lang w:val="zh-CN"/>
              </w:rPr>
            </w:pPr>
            <w:r>
              <w:rPr>
                <w:b/>
                <w:bCs/>
                <w:sz w:val="21"/>
                <w:szCs w:val="21"/>
                <w:lang w:val="zh-CN"/>
              </w:rPr>
              <w:t>（</w:t>
            </w:r>
            <w:r>
              <w:rPr>
                <w:b/>
                <w:bCs/>
                <w:sz w:val="21"/>
                <w:szCs w:val="21"/>
                <w:lang w:val="zh-CN"/>
              </w:rPr>
              <w:t>g/km·</w:t>
            </w:r>
            <w:r>
              <w:rPr>
                <w:b/>
                <w:bCs/>
                <w:sz w:val="21"/>
                <w:szCs w:val="21"/>
                <w:lang w:val="zh-CN"/>
              </w:rPr>
              <w:t>辆）</w:t>
            </w:r>
          </w:p>
        </w:tc>
        <w:tc>
          <w:tcPr>
            <w:tcW w:w="1538" w:type="pct"/>
            <w:tcBorders>
              <w:top w:val="single" w:sz="4" w:space="0" w:color="auto"/>
              <w:left w:val="single" w:sz="4" w:space="0" w:color="auto"/>
              <w:bottom w:val="single" w:sz="4" w:space="0" w:color="auto"/>
              <w:right w:val="single" w:sz="4" w:space="0" w:color="auto"/>
              <w:tl2br w:val="nil"/>
              <w:tr2bl w:val="nil"/>
            </w:tcBorders>
            <w:vAlign w:val="center"/>
          </w:tcPr>
          <w:p w14:paraId="46FC257F" w14:textId="77777777" w:rsidR="003E78AB" w:rsidRDefault="00010BF9">
            <w:pPr>
              <w:spacing w:line="240" w:lineRule="auto"/>
              <w:ind w:firstLineChars="0" w:firstLine="0"/>
              <w:jc w:val="center"/>
              <w:rPr>
                <w:b/>
                <w:bCs/>
                <w:sz w:val="21"/>
                <w:szCs w:val="21"/>
                <w:lang w:val="zh-CN"/>
              </w:rPr>
            </w:pPr>
            <w:r>
              <w:rPr>
                <w:b/>
                <w:bCs/>
                <w:sz w:val="21"/>
                <w:szCs w:val="21"/>
                <w:lang w:val="zh-CN"/>
              </w:rPr>
              <w:t>全年总新增运输车次</w:t>
            </w:r>
          </w:p>
          <w:p w14:paraId="52375A51" w14:textId="77777777" w:rsidR="003E78AB" w:rsidRDefault="00010BF9">
            <w:pPr>
              <w:spacing w:line="240" w:lineRule="auto"/>
              <w:ind w:firstLineChars="0" w:firstLine="0"/>
              <w:jc w:val="center"/>
              <w:rPr>
                <w:b/>
                <w:bCs/>
                <w:sz w:val="21"/>
                <w:szCs w:val="21"/>
                <w:lang w:val="zh-CN"/>
              </w:rPr>
            </w:pPr>
            <w:r>
              <w:rPr>
                <w:b/>
                <w:bCs/>
                <w:sz w:val="21"/>
                <w:szCs w:val="21"/>
                <w:lang w:val="zh-CN"/>
              </w:rPr>
              <w:t>（次</w:t>
            </w:r>
            <w:r>
              <w:rPr>
                <w:b/>
                <w:bCs/>
                <w:sz w:val="21"/>
                <w:szCs w:val="21"/>
                <w:lang w:val="zh-CN"/>
              </w:rPr>
              <w:t>/</w:t>
            </w:r>
            <w:r>
              <w:rPr>
                <w:b/>
                <w:bCs/>
                <w:sz w:val="21"/>
                <w:szCs w:val="21"/>
                <w:lang w:val="zh-CN"/>
              </w:rPr>
              <w:t>年）</w:t>
            </w:r>
          </w:p>
        </w:tc>
        <w:tc>
          <w:tcPr>
            <w:tcW w:w="770" w:type="pct"/>
            <w:tcBorders>
              <w:top w:val="single" w:sz="4" w:space="0" w:color="auto"/>
              <w:left w:val="single" w:sz="4" w:space="0" w:color="auto"/>
              <w:bottom w:val="single" w:sz="4" w:space="0" w:color="auto"/>
              <w:right w:val="single" w:sz="4" w:space="0" w:color="auto"/>
              <w:tl2br w:val="nil"/>
              <w:tr2bl w:val="nil"/>
            </w:tcBorders>
            <w:vAlign w:val="center"/>
          </w:tcPr>
          <w:p w14:paraId="3090C5D2" w14:textId="77777777" w:rsidR="003E78AB" w:rsidRDefault="00010BF9">
            <w:pPr>
              <w:spacing w:line="240" w:lineRule="auto"/>
              <w:ind w:firstLineChars="0" w:firstLine="0"/>
              <w:jc w:val="center"/>
              <w:rPr>
                <w:b/>
                <w:bCs/>
                <w:sz w:val="21"/>
                <w:szCs w:val="21"/>
                <w:lang w:val="zh-CN"/>
              </w:rPr>
            </w:pPr>
            <w:r>
              <w:rPr>
                <w:b/>
                <w:bCs/>
                <w:sz w:val="21"/>
                <w:szCs w:val="21"/>
                <w:lang w:val="zh-CN"/>
              </w:rPr>
              <w:t>平均运距</w:t>
            </w:r>
          </w:p>
          <w:p w14:paraId="3D01CE73" w14:textId="77777777" w:rsidR="003E78AB" w:rsidRDefault="00010BF9">
            <w:pPr>
              <w:spacing w:line="240" w:lineRule="auto"/>
              <w:ind w:firstLineChars="0" w:firstLine="0"/>
              <w:jc w:val="center"/>
              <w:rPr>
                <w:b/>
                <w:bCs/>
                <w:sz w:val="21"/>
                <w:szCs w:val="21"/>
                <w:lang w:val="zh-CN"/>
              </w:rPr>
            </w:pPr>
            <w:r>
              <w:rPr>
                <w:b/>
                <w:bCs/>
                <w:sz w:val="21"/>
                <w:szCs w:val="21"/>
                <w:lang w:val="zh-CN"/>
              </w:rPr>
              <w:t>（</w:t>
            </w:r>
            <w:r>
              <w:rPr>
                <w:b/>
                <w:bCs/>
                <w:sz w:val="21"/>
                <w:szCs w:val="21"/>
                <w:lang w:val="zh-CN"/>
              </w:rPr>
              <w:t>km</w:t>
            </w:r>
            <w:r>
              <w:rPr>
                <w:b/>
                <w:bCs/>
                <w:sz w:val="21"/>
                <w:szCs w:val="21"/>
                <w:lang w:val="zh-CN"/>
              </w:rPr>
              <w:t>）</w:t>
            </w:r>
          </w:p>
        </w:tc>
        <w:tc>
          <w:tcPr>
            <w:tcW w:w="1076" w:type="pct"/>
            <w:tcBorders>
              <w:top w:val="single" w:sz="4" w:space="0" w:color="auto"/>
              <w:left w:val="single" w:sz="4" w:space="0" w:color="auto"/>
              <w:bottom w:val="single" w:sz="4" w:space="0" w:color="auto"/>
              <w:right w:val="single" w:sz="4" w:space="0" w:color="auto"/>
              <w:tl2br w:val="nil"/>
              <w:tr2bl w:val="nil"/>
            </w:tcBorders>
            <w:vAlign w:val="center"/>
          </w:tcPr>
          <w:p w14:paraId="0959DE5C" w14:textId="77777777" w:rsidR="003E78AB" w:rsidRDefault="00010BF9">
            <w:pPr>
              <w:spacing w:line="240" w:lineRule="auto"/>
              <w:ind w:firstLineChars="0" w:firstLine="0"/>
              <w:jc w:val="center"/>
              <w:rPr>
                <w:b/>
                <w:bCs/>
                <w:sz w:val="21"/>
                <w:szCs w:val="21"/>
                <w:lang w:val="zh-CN"/>
              </w:rPr>
            </w:pPr>
            <w:r>
              <w:rPr>
                <w:b/>
                <w:bCs/>
                <w:sz w:val="21"/>
                <w:szCs w:val="21"/>
                <w:lang w:val="zh-CN"/>
              </w:rPr>
              <w:t>污染物排放量</w:t>
            </w:r>
          </w:p>
          <w:p w14:paraId="57B414F6" w14:textId="77777777" w:rsidR="003E78AB" w:rsidRDefault="00010BF9">
            <w:pPr>
              <w:spacing w:line="240" w:lineRule="auto"/>
              <w:ind w:firstLineChars="0" w:firstLine="0"/>
              <w:jc w:val="center"/>
              <w:rPr>
                <w:b/>
                <w:bCs/>
                <w:sz w:val="21"/>
                <w:szCs w:val="21"/>
                <w:lang w:val="zh-CN"/>
              </w:rPr>
            </w:pPr>
            <w:r>
              <w:rPr>
                <w:b/>
                <w:bCs/>
                <w:sz w:val="21"/>
                <w:szCs w:val="21"/>
                <w:lang w:val="zh-CN"/>
              </w:rPr>
              <w:t>（</w:t>
            </w:r>
            <w:r>
              <w:rPr>
                <w:b/>
                <w:bCs/>
                <w:sz w:val="21"/>
                <w:szCs w:val="21"/>
                <w:lang w:val="zh-CN"/>
              </w:rPr>
              <w:t>t/a</w:t>
            </w:r>
            <w:r>
              <w:rPr>
                <w:b/>
                <w:bCs/>
                <w:sz w:val="21"/>
                <w:szCs w:val="21"/>
                <w:lang w:val="zh-CN"/>
              </w:rPr>
              <w:t>）</w:t>
            </w:r>
          </w:p>
        </w:tc>
      </w:tr>
      <w:tr w:rsidR="003E78AB" w14:paraId="505ECA77" w14:textId="77777777">
        <w:trPr>
          <w:trHeight w:hRule="exact" w:val="355"/>
        </w:trPr>
        <w:tc>
          <w:tcPr>
            <w:tcW w:w="615" w:type="pct"/>
            <w:tcBorders>
              <w:top w:val="single" w:sz="4" w:space="0" w:color="auto"/>
              <w:left w:val="single" w:sz="4" w:space="0" w:color="auto"/>
              <w:bottom w:val="single" w:sz="4" w:space="0" w:color="auto"/>
              <w:right w:val="single" w:sz="4" w:space="0" w:color="auto"/>
              <w:tl2br w:val="nil"/>
              <w:tr2bl w:val="nil"/>
            </w:tcBorders>
            <w:vAlign w:val="center"/>
          </w:tcPr>
          <w:p w14:paraId="1878D1CD" w14:textId="77777777" w:rsidR="003E78AB" w:rsidRDefault="00010BF9">
            <w:pPr>
              <w:spacing w:line="240" w:lineRule="auto"/>
              <w:ind w:firstLineChars="0" w:firstLine="0"/>
              <w:jc w:val="center"/>
              <w:rPr>
                <w:sz w:val="21"/>
                <w:szCs w:val="21"/>
                <w:lang w:val="zh-CN"/>
              </w:rPr>
            </w:pPr>
            <w:r>
              <w:rPr>
                <w:sz w:val="21"/>
                <w:szCs w:val="21"/>
                <w:lang w:val="zh-CN"/>
              </w:rPr>
              <w:t>CO</w:t>
            </w:r>
          </w:p>
        </w:tc>
        <w:tc>
          <w:tcPr>
            <w:tcW w:w="998" w:type="pct"/>
            <w:tcBorders>
              <w:top w:val="single" w:sz="4" w:space="0" w:color="auto"/>
              <w:left w:val="single" w:sz="4" w:space="0" w:color="auto"/>
              <w:bottom w:val="single" w:sz="4" w:space="0" w:color="auto"/>
              <w:right w:val="single" w:sz="4" w:space="0" w:color="auto"/>
              <w:tl2br w:val="nil"/>
              <w:tr2bl w:val="nil"/>
            </w:tcBorders>
            <w:vAlign w:val="center"/>
          </w:tcPr>
          <w:p w14:paraId="6E155460" w14:textId="77777777" w:rsidR="003E78AB" w:rsidRDefault="00010BF9">
            <w:pPr>
              <w:spacing w:line="240" w:lineRule="auto"/>
              <w:ind w:firstLineChars="0" w:firstLine="0"/>
              <w:jc w:val="center"/>
              <w:rPr>
                <w:sz w:val="21"/>
                <w:szCs w:val="21"/>
                <w:lang w:val="zh-CN"/>
              </w:rPr>
            </w:pPr>
            <w:r>
              <w:rPr>
                <w:sz w:val="21"/>
                <w:szCs w:val="21"/>
                <w:lang w:val="zh-CN"/>
              </w:rPr>
              <w:t>5.28</w:t>
            </w:r>
          </w:p>
        </w:tc>
        <w:tc>
          <w:tcPr>
            <w:tcW w:w="1538"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4352DBD7" w14:textId="77777777" w:rsidR="003E78AB" w:rsidRDefault="00010BF9">
            <w:pPr>
              <w:spacing w:line="240" w:lineRule="auto"/>
              <w:ind w:firstLineChars="0" w:firstLine="0"/>
              <w:jc w:val="center"/>
              <w:rPr>
                <w:sz w:val="21"/>
                <w:szCs w:val="21"/>
              </w:rPr>
            </w:pPr>
            <w:r>
              <w:rPr>
                <w:rFonts w:hint="eastAsia"/>
                <w:sz w:val="21"/>
                <w:szCs w:val="21"/>
              </w:rPr>
              <w:t>60</w:t>
            </w:r>
            <w:r>
              <w:rPr>
                <w:sz w:val="21"/>
                <w:szCs w:val="21"/>
              </w:rPr>
              <w:t>00</w:t>
            </w:r>
          </w:p>
        </w:tc>
        <w:tc>
          <w:tcPr>
            <w:tcW w:w="770"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5CC88F69" w14:textId="77777777" w:rsidR="003E78AB" w:rsidRDefault="00010BF9">
            <w:pPr>
              <w:spacing w:line="240" w:lineRule="auto"/>
              <w:ind w:firstLineChars="0" w:firstLine="0"/>
              <w:jc w:val="center"/>
              <w:rPr>
                <w:sz w:val="21"/>
                <w:szCs w:val="21"/>
                <w:lang w:val="zh-CN"/>
              </w:rPr>
            </w:pPr>
            <w:r>
              <w:rPr>
                <w:sz w:val="21"/>
                <w:szCs w:val="21"/>
                <w:lang w:val="zh-CN"/>
              </w:rPr>
              <w:t>30</w:t>
            </w:r>
          </w:p>
        </w:tc>
        <w:tc>
          <w:tcPr>
            <w:tcW w:w="1833" w:type="dxa"/>
            <w:tcBorders>
              <w:top w:val="single" w:sz="4" w:space="0" w:color="auto"/>
              <w:left w:val="single" w:sz="4" w:space="0" w:color="auto"/>
              <w:bottom w:val="single" w:sz="4" w:space="0" w:color="auto"/>
              <w:right w:val="single" w:sz="4" w:space="0" w:color="auto"/>
              <w:tl2br w:val="nil"/>
              <w:tr2bl w:val="nil"/>
            </w:tcBorders>
            <w:vAlign w:val="bottom"/>
          </w:tcPr>
          <w:p w14:paraId="153293DA" w14:textId="77777777" w:rsidR="003E78AB" w:rsidRDefault="00010BF9">
            <w:pPr>
              <w:spacing w:line="240" w:lineRule="auto"/>
              <w:ind w:firstLineChars="0" w:firstLine="0"/>
              <w:jc w:val="center"/>
              <w:rPr>
                <w:sz w:val="21"/>
                <w:szCs w:val="21"/>
              </w:rPr>
            </w:pPr>
            <w:r>
              <w:rPr>
                <w:sz w:val="21"/>
                <w:szCs w:val="21"/>
              </w:rPr>
              <w:t>0.9504</w:t>
            </w:r>
          </w:p>
        </w:tc>
      </w:tr>
      <w:tr w:rsidR="003E78AB" w14:paraId="0D3C1FEE" w14:textId="77777777">
        <w:trPr>
          <w:trHeight w:hRule="exact" w:val="370"/>
        </w:trPr>
        <w:tc>
          <w:tcPr>
            <w:tcW w:w="615" w:type="pct"/>
            <w:tcBorders>
              <w:top w:val="single" w:sz="4" w:space="0" w:color="auto"/>
              <w:left w:val="single" w:sz="4" w:space="0" w:color="auto"/>
              <w:bottom w:val="single" w:sz="4" w:space="0" w:color="auto"/>
              <w:right w:val="single" w:sz="4" w:space="0" w:color="auto"/>
              <w:tl2br w:val="nil"/>
              <w:tr2bl w:val="nil"/>
            </w:tcBorders>
            <w:vAlign w:val="center"/>
          </w:tcPr>
          <w:p w14:paraId="5F8A20E1" w14:textId="77777777" w:rsidR="003E78AB" w:rsidRDefault="00010BF9">
            <w:pPr>
              <w:spacing w:line="240" w:lineRule="auto"/>
              <w:ind w:firstLineChars="0" w:firstLine="0"/>
              <w:jc w:val="center"/>
              <w:rPr>
                <w:sz w:val="21"/>
                <w:szCs w:val="21"/>
                <w:lang w:val="zh-CN"/>
              </w:rPr>
            </w:pPr>
            <w:r>
              <w:rPr>
                <w:sz w:val="21"/>
                <w:szCs w:val="21"/>
                <w:lang w:val="zh-CN"/>
              </w:rPr>
              <w:t>THC</w:t>
            </w:r>
          </w:p>
        </w:tc>
        <w:tc>
          <w:tcPr>
            <w:tcW w:w="998" w:type="pct"/>
            <w:tcBorders>
              <w:top w:val="single" w:sz="4" w:space="0" w:color="auto"/>
              <w:left w:val="single" w:sz="4" w:space="0" w:color="auto"/>
              <w:bottom w:val="single" w:sz="4" w:space="0" w:color="auto"/>
              <w:right w:val="single" w:sz="4" w:space="0" w:color="auto"/>
              <w:tl2br w:val="nil"/>
              <w:tr2bl w:val="nil"/>
            </w:tcBorders>
            <w:vAlign w:val="center"/>
          </w:tcPr>
          <w:p w14:paraId="511C35EC" w14:textId="77777777" w:rsidR="003E78AB" w:rsidRDefault="00010BF9">
            <w:pPr>
              <w:spacing w:line="240" w:lineRule="auto"/>
              <w:ind w:firstLineChars="0" w:firstLine="0"/>
              <w:jc w:val="center"/>
              <w:rPr>
                <w:sz w:val="21"/>
                <w:szCs w:val="21"/>
                <w:lang w:val="zh-CN"/>
              </w:rPr>
            </w:pPr>
            <w:r>
              <w:rPr>
                <w:sz w:val="21"/>
                <w:szCs w:val="21"/>
                <w:lang w:val="zh-CN"/>
              </w:rPr>
              <w:t>2.08</w:t>
            </w:r>
          </w:p>
        </w:tc>
        <w:tc>
          <w:tcPr>
            <w:tcW w:w="1538" w:type="pct"/>
            <w:vMerge/>
            <w:tcBorders>
              <w:top w:val="single" w:sz="4" w:space="0" w:color="auto"/>
              <w:left w:val="single" w:sz="4" w:space="0" w:color="auto"/>
              <w:bottom w:val="single" w:sz="4" w:space="0" w:color="auto"/>
              <w:right w:val="single" w:sz="4" w:space="0" w:color="auto"/>
              <w:tl2br w:val="nil"/>
              <w:tr2bl w:val="nil"/>
            </w:tcBorders>
            <w:vAlign w:val="center"/>
          </w:tcPr>
          <w:p w14:paraId="424D84F0" w14:textId="77777777" w:rsidR="003E78AB" w:rsidRDefault="003E78AB">
            <w:pPr>
              <w:spacing w:line="240" w:lineRule="auto"/>
              <w:ind w:firstLineChars="0" w:firstLine="0"/>
              <w:jc w:val="center"/>
              <w:rPr>
                <w:sz w:val="21"/>
                <w:szCs w:val="21"/>
                <w:lang w:val="zh-CN"/>
              </w:rPr>
            </w:pPr>
          </w:p>
        </w:tc>
        <w:tc>
          <w:tcPr>
            <w:tcW w:w="770" w:type="pct"/>
            <w:vMerge/>
            <w:tcBorders>
              <w:top w:val="single" w:sz="4" w:space="0" w:color="auto"/>
              <w:left w:val="single" w:sz="4" w:space="0" w:color="auto"/>
              <w:bottom w:val="single" w:sz="4" w:space="0" w:color="auto"/>
              <w:right w:val="single" w:sz="4" w:space="0" w:color="auto"/>
              <w:tl2br w:val="nil"/>
              <w:tr2bl w:val="nil"/>
            </w:tcBorders>
            <w:vAlign w:val="center"/>
          </w:tcPr>
          <w:p w14:paraId="32F1BBBD" w14:textId="77777777" w:rsidR="003E78AB" w:rsidRDefault="003E78AB">
            <w:pPr>
              <w:spacing w:line="240" w:lineRule="auto"/>
              <w:ind w:firstLineChars="0" w:firstLine="0"/>
              <w:jc w:val="center"/>
              <w:rPr>
                <w:sz w:val="21"/>
                <w:szCs w:val="21"/>
                <w:lang w:val="zh-CN"/>
              </w:rPr>
            </w:pPr>
          </w:p>
        </w:tc>
        <w:tc>
          <w:tcPr>
            <w:tcW w:w="1833" w:type="dxa"/>
            <w:tcBorders>
              <w:top w:val="single" w:sz="4" w:space="0" w:color="auto"/>
              <w:left w:val="single" w:sz="4" w:space="0" w:color="auto"/>
              <w:bottom w:val="single" w:sz="4" w:space="0" w:color="auto"/>
              <w:right w:val="single" w:sz="4" w:space="0" w:color="auto"/>
              <w:tl2br w:val="nil"/>
              <w:tr2bl w:val="nil"/>
            </w:tcBorders>
            <w:vAlign w:val="bottom"/>
          </w:tcPr>
          <w:p w14:paraId="7EBBFF3F" w14:textId="77777777" w:rsidR="003E78AB" w:rsidRDefault="00010BF9">
            <w:pPr>
              <w:spacing w:line="240" w:lineRule="auto"/>
              <w:ind w:firstLineChars="0" w:firstLine="0"/>
              <w:jc w:val="center"/>
              <w:rPr>
                <w:sz w:val="21"/>
                <w:szCs w:val="21"/>
              </w:rPr>
            </w:pPr>
            <w:r>
              <w:rPr>
                <w:sz w:val="21"/>
                <w:szCs w:val="21"/>
              </w:rPr>
              <w:t>0.3744</w:t>
            </w:r>
          </w:p>
        </w:tc>
      </w:tr>
      <w:tr w:rsidR="003E78AB" w14:paraId="4A2B89E1" w14:textId="77777777">
        <w:trPr>
          <w:trHeight w:hRule="exact" w:val="377"/>
        </w:trPr>
        <w:tc>
          <w:tcPr>
            <w:tcW w:w="615" w:type="pct"/>
            <w:tcBorders>
              <w:top w:val="single" w:sz="4" w:space="0" w:color="auto"/>
              <w:left w:val="single" w:sz="4" w:space="0" w:color="auto"/>
              <w:bottom w:val="single" w:sz="4" w:space="0" w:color="auto"/>
              <w:right w:val="single" w:sz="4" w:space="0" w:color="auto"/>
              <w:tl2br w:val="nil"/>
              <w:tr2bl w:val="nil"/>
            </w:tcBorders>
            <w:vAlign w:val="center"/>
          </w:tcPr>
          <w:p w14:paraId="56A1B3AB" w14:textId="77777777" w:rsidR="003E78AB" w:rsidRDefault="00010BF9">
            <w:pPr>
              <w:spacing w:line="240" w:lineRule="auto"/>
              <w:ind w:firstLineChars="0" w:firstLine="0"/>
              <w:jc w:val="center"/>
              <w:rPr>
                <w:sz w:val="21"/>
                <w:szCs w:val="21"/>
                <w:lang w:val="zh-CN"/>
              </w:rPr>
            </w:pPr>
            <w:r>
              <w:rPr>
                <w:sz w:val="21"/>
                <w:szCs w:val="21"/>
                <w:lang w:val="zh-CN"/>
              </w:rPr>
              <w:t>NO</w:t>
            </w:r>
            <w:r>
              <w:rPr>
                <w:rFonts w:hint="eastAsia"/>
                <w:sz w:val="21"/>
                <w:szCs w:val="21"/>
              </w:rPr>
              <w:t>x</w:t>
            </w:r>
          </w:p>
        </w:tc>
        <w:tc>
          <w:tcPr>
            <w:tcW w:w="998" w:type="pct"/>
            <w:tcBorders>
              <w:top w:val="single" w:sz="4" w:space="0" w:color="auto"/>
              <w:left w:val="single" w:sz="4" w:space="0" w:color="auto"/>
              <w:bottom w:val="single" w:sz="4" w:space="0" w:color="auto"/>
              <w:right w:val="single" w:sz="4" w:space="0" w:color="auto"/>
              <w:tl2br w:val="nil"/>
              <w:tr2bl w:val="nil"/>
            </w:tcBorders>
            <w:vAlign w:val="center"/>
          </w:tcPr>
          <w:p w14:paraId="14768888" w14:textId="77777777" w:rsidR="003E78AB" w:rsidRDefault="00010BF9">
            <w:pPr>
              <w:spacing w:line="240" w:lineRule="auto"/>
              <w:ind w:firstLineChars="0" w:firstLine="0"/>
              <w:jc w:val="center"/>
              <w:rPr>
                <w:sz w:val="21"/>
                <w:szCs w:val="21"/>
                <w:lang w:val="zh-CN"/>
              </w:rPr>
            </w:pPr>
            <w:r>
              <w:rPr>
                <w:sz w:val="21"/>
                <w:szCs w:val="21"/>
                <w:lang w:val="zh-CN"/>
              </w:rPr>
              <w:t>10.44</w:t>
            </w:r>
          </w:p>
        </w:tc>
        <w:tc>
          <w:tcPr>
            <w:tcW w:w="1538" w:type="pct"/>
            <w:vMerge/>
            <w:tcBorders>
              <w:top w:val="single" w:sz="4" w:space="0" w:color="auto"/>
              <w:left w:val="single" w:sz="4" w:space="0" w:color="auto"/>
              <w:bottom w:val="single" w:sz="4" w:space="0" w:color="auto"/>
              <w:right w:val="single" w:sz="4" w:space="0" w:color="auto"/>
              <w:tl2br w:val="nil"/>
              <w:tr2bl w:val="nil"/>
            </w:tcBorders>
            <w:vAlign w:val="center"/>
          </w:tcPr>
          <w:p w14:paraId="226081FB" w14:textId="77777777" w:rsidR="003E78AB" w:rsidRDefault="003E78AB">
            <w:pPr>
              <w:spacing w:line="240" w:lineRule="auto"/>
              <w:ind w:firstLineChars="0" w:firstLine="0"/>
              <w:jc w:val="center"/>
              <w:rPr>
                <w:sz w:val="21"/>
                <w:szCs w:val="21"/>
                <w:lang w:val="zh-CN"/>
              </w:rPr>
            </w:pPr>
          </w:p>
        </w:tc>
        <w:tc>
          <w:tcPr>
            <w:tcW w:w="770" w:type="pct"/>
            <w:vMerge/>
            <w:tcBorders>
              <w:top w:val="single" w:sz="4" w:space="0" w:color="auto"/>
              <w:left w:val="single" w:sz="4" w:space="0" w:color="auto"/>
              <w:bottom w:val="single" w:sz="4" w:space="0" w:color="auto"/>
              <w:right w:val="single" w:sz="4" w:space="0" w:color="auto"/>
              <w:tl2br w:val="nil"/>
              <w:tr2bl w:val="nil"/>
            </w:tcBorders>
            <w:vAlign w:val="center"/>
          </w:tcPr>
          <w:p w14:paraId="6B6732FA" w14:textId="77777777" w:rsidR="003E78AB" w:rsidRDefault="003E78AB">
            <w:pPr>
              <w:spacing w:line="240" w:lineRule="auto"/>
              <w:ind w:firstLineChars="0" w:firstLine="0"/>
              <w:jc w:val="center"/>
              <w:rPr>
                <w:sz w:val="21"/>
                <w:szCs w:val="21"/>
                <w:lang w:val="zh-CN"/>
              </w:rPr>
            </w:pPr>
          </w:p>
        </w:tc>
        <w:tc>
          <w:tcPr>
            <w:tcW w:w="1833" w:type="dxa"/>
            <w:tcBorders>
              <w:top w:val="single" w:sz="4" w:space="0" w:color="auto"/>
              <w:left w:val="single" w:sz="4" w:space="0" w:color="auto"/>
              <w:bottom w:val="single" w:sz="4" w:space="0" w:color="auto"/>
              <w:right w:val="single" w:sz="4" w:space="0" w:color="auto"/>
              <w:tl2br w:val="nil"/>
              <w:tr2bl w:val="nil"/>
            </w:tcBorders>
            <w:vAlign w:val="bottom"/>
          </w:tcPr>
          <w:p w14:paraId="711B94E2" w14:textId="77777777" w:rsidR="003E78AB" w:rsidRDefault="00010BF9">
            <w:pPr>
              <w:spacing w:line="240" w:lineRule="auto"/>
              <w:ind w:firstLineChars="0" w:firstLine="0"/>
              <w:jc w:val="center"/>
              <w:rPr>
                <w:sz w:val="21"/>
                <w:szCs w:val="21"/>
              </w:rPr>
            </w:pPr>
            <w:r>
              <w:rPr>
                <w:sz w:val="21"/>
                <w:szCs w:val="21"/>
              </w:rPr>
              <w:t>1.8792</w:t>
            </w:r>
          </w:p>
        </w:tc>
      </w:tr>
    </w:tbl>
    <w:p w14:paraId="0355463F" w14:textId="77777777" w:rsidR="003E78AB" w:rsidRDefault="00010BF9">
      <w:pPr>
        <w:ind w:firstLine="480"/>
        <w:rPr>
          <w:kern w:val="2"/>
        </w:rPr>
      </w:pPr>
      <w:r>
        <w:rPr>
          <w:kern w:val="2"/>
        </w:rPr>
        <w:t>综上所述，本项目建成运营期正常工况下废气产生及排放情况详见</w:t>
      </w:r>
      <w:r>
        <w:rPr>
          <w:rFonts w:hint="eastAsia"/>
          <w:kern w:val="2"/>
        </w:rPr>
        <w:fldChar w:fldCharType="begin"/>
      </w:r>
      <w:r>
        <w:rPr>
          <w:rFonts w:hint="eastAsia"/>
          <w:kern w:val="2"/>
        </w:rPr>
        <w:instrText xml:space="preserve"> REF _Ref22602 \r \h </w:instrText>
      </w:r>
      <w:r>
        <w:rPr>
          <w:rFonts w:hint="eastAsia"/>
          <w:kern w:val="2"/>
        </w:rPr>
      </w:r>
      <w:r>
        <w:rPr>
          <w:rFonts w:hint="eastAsia"/>
          <w:kern w:val="2"/>
        </w:rPr>
        <w:fldChar w:fldCharType="separate"/>
      </w:r>
      <w:r>
        <w:rPr>
          <w:rFonts w:hint="eastAsia"/>
          <w:kern w:val="2"/>
        </w:rPr>
        <w:t>表</w:t>
      </w:r>
      <w:r>
        <w:rPr>
          <w:rFonts w:hint="eastAsia"/>
          <w:kern w:val="2"/>
        </w:rPr>
        <w:t>3-24</w:t>
      </w:r>
      <w:r>
        <w:rPr>
          <w:rFonts w:hint="eastAsia"/>
          <w:kern w:val="2"/>
        </w:rPr>
        <w:fldChar w:fldCharType="end"/>
      </w:r>
      <w:r>
        <w:rPr>
          <w:kern w:val="2"/>
        </w:rPr>
        <w:t>。</w:t>
      </w:r>
    </w:p>
    <w:p w14:paraId="797499A1" w14:textId="77777777" w:rsidR="003E78AB" w:rsidRDefault="003E78AB">
      <w:pPr>
        <w:spacing w:line="240" w:lineRule="auto"/>
        <w:ind w:firstLineChars="300" w:firstLine="630"/>
        <w:jc w:val="left"/>
        <w:rPr>
          <w:rFonts w:eastAsia="黑体"/>
          <w:sz w:val="21"/>
          <w:szCs w:val="21"/>
        </w:rPr>
        <w:sectPr w:rsidR="003E78AB">
          <w:pgSz w:w="11906" w:h="16838"/>
          <w:pgMar w:top="1440" w:right="1803" w:bottom="1440" w:left="1803" w:header="850" w:footer="992" w:gutter="0"/>
          <w:cols w:space="720"/>
          <w:docGrid w:type="lines" w:linePitch="312"/>
        </w:sectPr>
      </w:pPr>
    </w:p>
    <w:p w14:paraId="09369EEB" w14:textId="77777777" w:rsidR="003E78AB" w:rsidRDefault="00010BF9">
      <w:pPr>
        <w:pStyle w:val="a1"/>
      </w:pPr>
      <w:bookmarkStart w:id="257" w:name="_Ref22602"/>
      <w:r>
        <w:t>项目大气污染物排放情况一览表</w:t>
      </w:r>
      <w:bookmarkEnd w:id="257"/>
    </w:p>
    <w:tbl>
      <w:tblPr>
        <w:tblW w:w="5000" w:type="pct"/>
        <w:tblLayout w:type="fixed"/>
        <w:tblLook w:val="04A0" w:firstRow="1" w:lastRow="0" w:firstColumn="1" w:lastColumn="0" w:noHBand="0" w:noVBand="1"/>
      </w:tblPr>
      <w:tblGrid>
        <w:gridCol w:w="676"/>
        <w:gridCol w:w="639"/>
        <w:gridCol w:w="749"/>
        <w:gridCol w:w="659"/>
        <w:gridCol w:w="761"/>
        <w:gridCol w:w="642"/>
        <w:gridCol w:w="809"/>
        <w:gridCol w:w="1129"/>
        <w:gridCol w:w="761"/>
        <w:gridCol w:w="769"/>
        <w:gridCol w:w="748"/>
        <w:gridCol w:w="952"/>
        <w:gridCol w:w="780"/>
        <w:gridCol w:w="729"/>
        <w:gridCol w:w="717"/>
        <w:gridCol w:w="723"/>
        <w:gridCol w:w="658"/>
        <w:gridCol w:w="584"/>
        <w:gridCol w:w="689"/>
      </w:tblGrid>
      <w:tr w:rsidR="003E78AB" w14:paraId="09CAB346" w14:textId="77777777">
        <w:trPr>
          <w:trHeight w:val="280"/>
          <w:tblHeader/>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7B574B" w14:textId="77777777" w:rsidR="003E78AB" w:rsidRDefault="00010BF9">
            <w:pPr>
              <w:spacing w:line="360" w:lineRule="exact"/>
              <w:ind w:firstLineChars="0" w:firstLine="0"/>
              <w:jc w:val="center"/>
              <w:textAlignment w:val="center"/>
              <w:rPr>
                <w:b/>
                <w:bCs/>
                <w:sz w:val="18"/>
                <w:szCs w:val="18"/>
              </w:rPr>
            </w:pPr>
            <w:r>
              <w:rPr>
                <w:b/>
                <w:bCs/>
                <w:sz w:val="18"/>
                <w:szCs w:val="18"/>
                <w:lang w:bidi="ar"/>
              </w:rPr>
              <w:t>类别</w:t>
            </w:r>
          </w:p>
        </w:tc>
        <w:tc>
          <w:tcPr>
            <w:tcW w:w="2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D09B63" w14:textId="77777777" w:rsidR="003E78AB" w:rsidRDefault="00010BF9">
            <w:pPr>
              <w:spacing w:line="360" w:lineRule="exact"/>
              <w:ind w:firstLineChars="0" w:firstLine="0"/>
              <w:jc w:val="center"/>
              <w:textAlignment w:val="center"/>
              <w:rPr>
                <w:b/>
                <w:bCs/>
                <w:sz w:val="18"/>
                <w:szCs w:val="18"/>
              </w:rPr>
            </w:pPr>
            <w:r>
              <w:rPr>
                <w:b/>
                <w:bCs/>
                <w:sz w:val="18"/>
                <w:szCs w:val="18"/>
                <w:lang w:bidi="ar"/>
              </w:rPr>
              <w:t>产生工段</w:t>
            </w:r>
          </w:p>
        </w:tc>
        <w:tc>
          <w:tcPr>
            <w:tcW w:w="2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E5CEDA"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排放口名称及编号</w:t>
            </w:r>
          </w:p>
        </w:tc>
        <w:tc>
          <w:tcPr>
            <w:tcW w:w="2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3D4946"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排放口类型</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30F897"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排气量</w:t>
            </w:r>
            <w:r>
              <w:rPr>
                <w:b/>
                <w:bCs/>
                <w:sz w:val="18"/>
                <w:szCs w:val="18"/>
                <w:lang w:bidi="ar"/>
              </w:rPr>
              <w:br/>
              <w:t>m</w:t>
            </w:r>
            <w:r>
              <w:rPr>
                <w:b/>
                <w:bCs/>
                <w:sz w:val="18"/>
                <w:szCs w:val="18"/>
                <w:vertAlign w:val="superscript"/>
                <w:lang w:bidi="ar"/>
              </w:rPr>
              <w:t>3</w:t>
            </w:r>
            <w:r>
              <w:rPr>
                <w:b/>
                <w:bCs/>
                <w:sz w:val="18"/>
                <w:szCs w:val="18"/>
                <w:lang w:bidi="ar"/>
              </w:rPr>
              <w:t>/h</w:t>
            </w:r>
          </w:p>
        </w:tc>
        <w:tc>
          <w:tcPr>
            <w:tcW w:w="22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BDA3DB" w14:textId="77777777" w:rsidR="003E78AB" w:rsidRDefault="00010BF9">
            <w:pPr>
              <w:spacing w:line="360" w:lineRule="exact"/>
              <w:ind w:firstLineChars="0" w:firstLine="0"/>
              <w:jc w:val="center"/>
              <w:textAlignment w:val="center"/>
              <w:rPr>
                <w:b/>
                <w:bCs/>
                <w:sz w:val="18"/>
                <w:szCs w:val="18"/>
              </w:rPr>
            </w:pPr>
            <w:r>
              <w:rPr>
                <w:b/>
                <w:bCs/>
                <w:sz w:val="18"/>
                <w:szCs w:val="18"/>
                <w:lang w:bidi="ar"/>
              </w:rPr>
              <w:t>运行</w:t>
            </w:r>
            <w:r>
              <w:rPr>
                <w:b/>
                <w:bCs/>
                <w:sz w:val="18"/>
                <w:szCs w:val="18"/>
                <w:lang w:bidi="ar"/>
              </w:rPr>
              <w:br/>
            </w:r>
            <w:r>
              <w:rPr>
                <w:b/>
                <w:bCs/>
                <w:sz w:val="18"/>
                <w:szCs w:val="18"/>
                <w:lang w:bidi="ar"/>
              </w:rPr>
              <w:t>时间</w:t>
            </w:r>
          </w:p>
        </w:tc>
        <w:tc>
          <w:tcPr>
            <w:tcW w:w="2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43CAB9" w14:textId="77777777" w:rsidR="003E78AB" w:rsidRDefault="00010BF9">
            <w:pPr>
              <w:spacing w:line="360" w:lineRule="exact"/>
              <w:ind w:firstLineChars="0" w:firstLine="0"/>
              <w:jc w:val="center"/>
              <w:textAlignment w:val="center"/>
              <w:rPr>
                <w:b/>
                <w:bCs/>
                <w:sz w:val="18"/>
                <w:szCs w:val="18"/>
              </w:rPr>
            </w:pPr>
            <w:r>
              <w:rPr>
                <w:b/>
                <w:bCs/>
                <w:sz w:val="18"/>
                <w:szCs w:val="18"/>
                <w:lang w:bidi="ar"/>
              </w:rPr>
              <w:t>污染因子</w:t>
            </w:r>
          </w:p>
        </w:tc>
        <w:tc>
          <w:tcPr>
            <w:tcW w:w="120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C4DD99" w14:textId="77777777" w:rsidR="003E78AB" w:rsidRDefault="00010BF9">
            <w:pPr>
              <w:spacing w:line="360" w:lineRule="exact"/>
              <w:ind w:firstLineChars="0" w:firstLine="0"/>
              <w:jc w:val="center"/>
              <w:textAlignment w:val="center"/>
              <w:rPr>
                <w:b/>
                <w:bCs/>
                <w:sz w:val="18"/>
                <w:szCs w:val="18"/>
              </w:rPr>
            </w:pPr>
            <w:r>
              <w:rPr>
                <w:b/>
                <w:bCs/>
                <w:sz w:val="18"/>
                <w:szCs w:val="18"/>
                <w:lang w:bidi="ar"/>
              </w:rPr>
              <w:t>产生源强</w:t>
            </w:r>
          </w:p>
        </w:tc>
        <w:tc>
          <w:tcPr>
            <w:tcW w:w="3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75E783" w14:textId="77777777" w:rsidR="003E78AB" w:rsidRDefault="00010BF9">
            <w:pPr>
              <w:spacing w:line="360" w:lineRule="exact"/>
              <w:ind w:firstLineChars="0" w:firstLine="0"/>
              <w:jc w:val="center"/>
              <w:textAlignment w:val="center"/>
              <w:rPr>
                <w:b/>
                <w:bCs/>
                <w:sz w:val="18"/>
                <w:szCs w:val="18"/>
              </w:rPr>
            </w:pPr>
            <w:r>
              <w:rPr>
                <w:b/>
                <w:bCs/>
                <w:sz w:val="18"/>
                <w:szCs w:val="18"/>
                <w:lang w:bidi="ar"/>
              </w:rPr>
              <w:t>处理措施</w:t>
            </w:r>
          </w:p>
        </w:tc>
        <w:tc>
          <w:tcPr>
            <w:tcW w:w="2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3F5784" w14:textId="77777777" w:rsidR="003E78AB" w:rsidRDefault="00010BF9">
            <w:pPr>
              <w:spacing w:line="360" w:lineRule="exact"/>
              <w:ind w:firstLineChars="0" w:firstLine="0"/>
              <w:jc w:val="center"/>
              <w:textAlignment w:val="center"/>
              <w:rPr>
                <w:b/>
                <w:bCs/>
                <w:sz w:val="18"/>
                <w:szCs w:val="18"/>
              </w:rPr>
            </w:pPr>
            <w:r>
              <w:rPr>
                <w:b/>
                <w:bCs/>
                <w:sz w:val="18"/>
                <w:szCs w:val="18"/>
                <w:lang w:bidi="ar"/>
              </w:rPr>
              <w:t>处置效率</w:t>
            </w:r>
            <w:r>
              <w:rPr>
                <w:b/>
                <w:bCs/>
                <w:sz w:val="18"/>
                <w:szCs w:val="18"/>
                <w:lang w:bidi="ar"/>
              </w:rPr>
              <w:t>%</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0D555F"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排放源强</w:t>
            </w:r>
          </w:p>
        </w:tc>
        <w:tc>
          <w:tcPr>
            <w:tcW w:w="68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90DF14"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排放源参数</w:t>
            </w:r>
          </w:p>
        </w:tc>
      </w:tr>
      <w:tr w:rsidR="003E78AB" w14:paraId="5E65B883" w14:textId="77777777">
        <w:trPr>
          <w:trHeight w:val="290"/>
          <w:tblHeader/>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C2FF7" w14:textId="77777777" w:rsidR="003E78AB" w:rsidRDefault="003E78AB">
            <w:pPr>
              <w:spacing w:line="360" w:lineRule="exact"/>
              <w:ind w:firstLineChars="0" w:firstLine="0"/>
              <w:jc w:val="center"/>
              <w:rPr>
                <w:b/>
                <w:bCs/>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D8DEA9" w14:textId="77777777" w:rsidR="003E78AB" w:rsidRDefault="003E78AB">
            <w:pPr>
              <w:spacing w:line="360" w:lineRule="exact"/>
              <w:ind w:firstLineChars="0" w:firstLine="0"/>
              <w:jc w:val="center"/>
              <w:rPr>
                <w:b/>
                <w:bCs/>
                <w:sz w:val="18"/>
                <w:szCs w:val="18"/>
              </w:rPr>
            </w:pPr>
          </w:p>
        </w:tc>
        <w:tc>
          <w:tcPr>
            <w:tcW w:w="2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E2E19F" w14:textId="77777777" w:rsidR="003E78AB" w:rsidRDefault="003E78AB">
            <w:pPr>
              <w:spacing w:line="360" w:lineRule="exact"/>
              <w:ind w:firstLineChars="0" w:firstLine="0"/>
              <w:jc w:val="center"/>
              <w:rPr>
                <w:b/>
                <w:bCs/>
                <w:sz w:val="18"/>
                <w:szCs w:val="18"/>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F65DA4" w14:textId="77777777" w:rsidR="003E78AB" w:rsidRDefault="003E78AB">
            <w:pPr>
              <w:spacing w:line="360" w:lineRule="exact"/>
              <w:ind w:firstLineChars="0" w:firstLine="0"/>
              <w:jc w:val="center"/>
              <w:rPr>
                <w:b/>
                <w:bCs/>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731DFE" w14:textId="77777777" w:rsidR="003E78AB" w:rsidRDefault="003E78AB">
            <w:pPr>
              <w:spacing w:line="360" w:lineRule="exact"/>
              <w:ind w:firstLineChars="0" w:firstLine="0"/>
              <w:jc w:val="center"/>
              <w:rPr>
                <w:b/>
                <w:bCs/>
                <w:sz w:val="18"/>
                <w:szCs w:val="18"/>
              </w:rPr>
            </w:pPr>
          </w:p>
        </w:tc>
        <w:tc>
          <w:tcPr>
            <w:tcW w:w="22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5262B4" w14:textId="77777777" w:rsidR="003E78AB" w:rsidRDefault="003E78AB">
            <w:pPr>
              <w:spacing w:line="360" w:lineRule="exact"/>
              <w:ind w:firstLineChars="0" w:firstLine="0"/>
              <w:jc w:val="center"/>
              <w:rPr>
                <w:b/>
                <w:bCs/>
                <w:sz w:val="18"/>
                <w:szCs w:val="18"/>
              </w:rPr>
            </w:pPr>
          </w:p>
        </w:tc>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A16D87" w14:textId="77777777" w:rsidR="003E78AB" w:rsidRDefault="003E78AB">
            <w:pPr>
              <w:spacing w:line="360" w:lineRule="exact"/>
              <w:ind w:firstLineChars="0" w:firstLine="0"/>
              <w:jc w:val="center"/>
              <w:rPr>
                <w:b/>
                <w:bCs/>
                <w:sz w:val="18"/>
                <w:szCs w:val="18"/>
              </w:rPr>
            </w:pPr>
          </w:p>
        </w:tc>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3C197" w14:textId="77777777" w:rsidR="003E78AB" w:rsidRDefault="00010BF9">
            <w:pPr>
              <w:spacing w:line="360" w:lineRule="exact"/>
              <w:ind w:firstLineChars="0" w:firstLine="0"/>
              <w:jc w:val="center"/>
              <w:textAlignment w:val="center"/>
              <w:rPr>
                <w:b/>
                <w:bCs/>
                <w:sz w:val="18"/>
                <w:szCs w:val="18"/>
              </w:rPr>
            </w:pPr>
            <w:r>
              <w:rPr>
                <w:b/>
                <w:bCs/>
                <w:sz w:val="18"/>
                <w:szCs w:val="18"/>
                <w:lang w:bidi="ar"/>
              </w:rPr>
              <w:t>核算方法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686C3" w14:textId="77777777" w:rsidR="003E78AB" w:rsidRDefault="00010BF9">
            <w:pPr>
              <w:spacing w:line="360" w:lineRule="exact"/>
              <w:ind w:firstLineChars="0" w:firstLine="0"/>
              <w:jc w:val="center"/>
              <w:textAlignment w:val="center"/>
              <w:rPr>
                <w:b/>
                <w:bCs/>
                <w:sz w:val="18"/>
                <w:szCs w:val="18"/>
              </w:rPr>
            </w:pPr>
            <w:r>
              <w:rPr>
                <w:b/>
                <w:bCs/>
                <w:sz w:val="18"/>
                <w:szCs w:val="18"/>
                <w:lang w:bidi="ar"/>
              </w:rPr>
              <w:t>浓度</w:t>
            </w:r>
            <w:r>
              <w:rPr>
                <w:b/>
                <w:bCs/>
                <w:sz w:val="18"/>
                <w:szCs w:val="18"/>
                <w:lang w:bidi="ar"/>
              </w:rPr>
              <w:t>mg/m</w:t>
            </w:r>
            <w:r>
              <w:rPr>
                <w:rStyle w:val="font71"/>
                <w:b/>
                <w:bCs/>
                <w:color w:val="auto"/>
                <w:sz w:val="18"/>
                <w:szCs w:val="18"/>
                <w:lang w:bidi="ar"/>
              </w:rPr>
              <w:t>3</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CB68F" w14:textId="77777777" w:rsidR="003E78AB" w:rsidRDefault="00010BF9">
            <w:pPr>
              <w:spacing w:line="360" w:lineRule="exact"/>
              <w:ind w:firstLineChars="0" w:firstLine="0"/>
              <w:jc w:val="center"/>
              <w:textAlignment w:val="center"/>
              <w:rPr>
                <w:b/>
                <w:bCs/>
                <w:sz w:val="18"/>
                <w:szCs w:val="18"/>
              </w:rPr>
            </w:pPr>
            <w:r>
              <w:rPr>
                <w:b/>
                <w:bCs/>
                <w:sz w:val="18"/>
                <w:szCs w:val="18"/>
                <w:lang w:bidi="ar"/>
              </w:rPr>
              <w:t>速率</w:t>
            </w:r>
            <w:r>
              <w:rPr>
                <w:b/>
                <w:bCs/>
                <w:sz w:val="18"/>
                <w:szCs w:val="18"/>
                <w:lang w:bidi="ar"/>
              </w:rPr>
              <w:t>kg/h</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49657" w14:textId="77777777" w:rsidR="003E78AB" w:rsidRDefault="00010BF9">
            <w:pPr>
              <w:spacing w:line="360" w:lineRule="exact"/>
              <w:ind w:firstLineChars="0" w:firstLine="0"/>
              <w:jc w:val="center"/>
              <w:textAlignment w:val="center"/>
              <w:rPr>
                <w:b/>
                <w:bCs/>
                <w:sz w:val="18"/>
                <w:szCs w:val="18"/>
              </w:rPr>
            </w:pPr>
            <w:r>
              <w:rPr>
                <w:b/>
                <w:bCs/>
                <w:sz w:val="18"/>
                <w:szCs w:val="18"/>
                <w:lang w:bidi="ar"/>
              </w:rPr>
              <w:t>产生量</w:t>
            </w:r>
            <w:r>
              <w:rPr>
                <w:b/>
                <w:bCs/>
                <w:sz w:val="18"/>
                <w:szCs w:val="18"/>
                <w:lang w:bidi="ar"/>
              </w:rPr>
              <w:t>t/a</w:t>
            </w:r>
          </w:p>
        </w:tc>
        <w:tc>
          <w:tcPr>
            <w:tcW w:w="3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B87454" w14:textId="77777777" w:rsidR="003E78AB" w:rsidRDefault="003E78AB">
            <w:pPr>
              <w:spacing w:line="360" w:lineRule="exact"/>
              <w:ind w:firstLineChars="0" w:firstLine="0"/>
              <w:jc w:val="center"/>
              <w:rPr>
                <w:b/>
                <w:bCs/>
                <w:sz w:val="18"/>
                <w:szCs w:val="18"/>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3837E" w14:textId="77777777" w:rsidR="003E78AB" w:rsidRDefault="003E78AB">
            <w:pPr>
              <w:spacing w:line="360" w:lineRule="exact"/>
              <w:ind w:firstLineChars="0" w:firstLine="0"/>
              <w:jc w:val="center"/>
              <w:rPr>
                <w:b/>
                <w:bCs/>
                <w:sz w:val="18"/>
                <w:szCs w:val="18"/>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875D4" w14:textId="77777777" w:rsidR="003E78AB" w:rsidRDefault="00010BF9">
            <w:pPr>
              <w:spacing w:line="360" w:lineRule="exact"/>
              <w:ind w:firstLineChars="0" w:firstLine="0"/>
              <w:jc w:val="center"/>
              <w:textAlignment w:val="center"/>
              <w:rPr>
                <w:b/>
                <w:bCs/>
                <w:sz w:val="18"/>
                <w:szCs w:val="18"/>
              </w:rPr>
            </w:pPr>
            <w:r>
              <w:rPr>
                <w:b/>
                <w:bCs/>
                <w:sz w:val="18"/>
                <w:szCs w:val="18"/>
                <w:lang w:bidi="ar"/>
              </w:rPr>
              <w:t>浓度</w:t>
            </w:r>
            <w:r>
              <w:rPr>
                <w:b/>
                <w:bCs/>
                <w:sz w:val="18"/>
                <w:szCs w:val="18"/>
                <w:lang w:bidi="ar"/>
              </w:rPr>
              <w:t>mg/m</w:t>
            </w:r>
            <w:r>
              <w:rPr>
                <w:rStyle w:val="font71"/>
                <w:b/>
                <w:bCs/>
                <w:color w:val="auto"/>
                <w:sz w:val="18"/>
                <w:szCs w:val="18"/>
                <w:lang w:bidi="ar"/>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25EC" w14:textId="77777777" w:rsidR="003E78AB" w:rsidRDefault="00010BF9">
            <w:pPr>
              <w:spacing w:line="360" w:lineRule="exact"/>
              <w:ind w:firstLineChars="0" w:firstLine="0"/>
              <w:jc w:val="center"/>
              <w:textAlignment w:val="center"/>
              <w:rPr>
                <w:b/>
                <w:bCs/>
                <w:sz w:val="18"/>
                <w:szCs w:val="18"/>
              </w:rPr>
            </w:pPr>
            <w:r>
              <w:rPr>
                <w:b/>
                <w:bCs/>
                <w:sz w:val="18"/>
                <w:szCs w:val="18"/>
                <w:lang w:bidi="ar"/>
              </w:rPr>
              <w:t>速率</w:t>
            </w:r>
            <w:r>
              <w:rPr>
                <w:b/>
                <w:bCs/>
                <w:sz w:val="18"/>
                <w:szCs w:val="18"/>
                <w:lang w:bidi="ar"/>
              </w:rPr>
              <w:t>kg/h</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4BBC2"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排放量</w:t>
            </w:r>
            <w:r>
              <w:rPr>
                <w:b/>
                <w:bCs/>
                <w:sz w:val="18"/>
                <w:szCs w:val="18"/>
                <w:lang w:bidi="ar"/>
              </w:rPr>
              <w:t>t/a</w:t>
            </w:r>
          </w:p>
        </w:tc>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3C00B" w14:textId="77777777" w:rsidR="003E78AB" w:rsidRDefault="00010BF9">
            <w:pPr>
              <w:spacing w:line="360" w:lineRule="exact"/>
              <w:ind w:firstLineChars="0" w:firstLine="0"/>
              <w:jc w:val="center"/>
              <w:textAlignment w:val="center"/>
              <w:rPr>
                <w:b/>
                <w:bCs/>
                <w:sz w:val="18"/>
                <w:szCs w:val="18"/>
              </w:rPr>
            </w:pPr>
            <w:r>
              <w:rPr>
                <w:b/>
                <w:bCs/>
                <w:sz w:val="18"/>
                <w:szCs w:val="18"/>
                <w:lang w:bidi="ar"/>
              </w:rPr>
              <w:t>高度</w:t>
            </w:r>
            <w:r>
              <w:rPr>
                <w:b/>
                <w:bCs/>
                <w:sz w:val="18"/>
                <w:szCs w:val="18"/>
                <w:lang w:bidi="ar"/>
              </w:rPr>
              <w:t>m</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B332D"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温度</w:t>
            </w:r>
          </w:p>
          <w:p w14:paraId="6DD6FC45" w14:textId="77777777" w:rsidR="003E78AB" w:rsidRDefault="00010BF9">
            <w:pPr>
              <w:spacing w:line="360" w:lineRule="exact"/>
              <w:ind w:firstLineChars="0" w:firstLine="0"/>
              <w:jc w:val="center"/>
              <w:textAlignment w:val="center"/>
              <w:rPr>
                <w:b/>
                <w:bCs/>
                <w:sz w:val="18"/>
                <w:szCs w:val="18"/>
              </w:rPr>
            </w:pPr>
            <w:r>
              <w:rPr>
                <w:b/>
                <w:bCs/>
                <w:sz w:val="18"/>
                <w:szCs w:val="18"/>
                <w:lang w:bidi="ar"/>
              </w:rPr>
              <w:t>℃</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8C25F" w14:textId="77777777" w:rsidR="003E78AB" w:rsidRDefault="00010BF9">
            <w:pPr>
              <w:spacing w:line="360" w:lineRule="exact"/>
              <w:ind w:firstLineChars="0" w:firstLine="0"/>
              <w:jc w:val="center"/>
              <w:textAlignment w:val="center"/>
              <w:rPr>
                <w:b/>
                <w:bCs/>
                <w:sz w:val="18"/>
                <w:szCs w:val="18"/>
              </w:rPr>
            </w:pPr>
            <w:r>
              <w:rPr>
                <w:b/>
                <w:bCs/>
                <w:sz w:val="18"/>
                <w:szCs w:val="18"/>
                <w:lang w:bidi="ar"/>
              </w:rPr>
              <w:t>内径</w:t>
            </w:r>
            <w:r>
              <w:rPr>
                <w:b/>
                <w:bCs/>
                <w:sz w:val="18"/>
                <w:szCs w:val="18"/>
                <w:lang w:bidi="ar"/>
              </w:rPr>
              <w:t>m</w:t>
            </w:r>
          </w:p>
        </w:tc>
      </w:tr>
      <w:tr w:rsidR="003E78AB" w14:paraId="506B6D41" w14:textId="77777777">
        <w:trPr>
          <w:trHeight w:val="280"/>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64591F" w14:textId="77777777" w:rsidR="003E78AB" w:rsidRDefault="00010BF9">
            <w:pPr>
              <w:spacing w:line="360" w:lineRule="exact"/>
              <w:ind w:firstLineChars="0" w:firstLine="0"/>
              <w:jc w:val="center"/>
              <w:textAlignment w:val="center"/>
              <w:rPr>
                <w:sz w:val="18"/>
                <w:szCs w:val="18"/>
              </w:rPr>
            </w:pPr>
            <w:r>
              <w:rPr>
                <w:sz w:val="18"/>
                <w:szCs w:val="18"/>
                <w:lang w:bidi="ar"/>
              </w:rPr>
              <w:t>有组织废气</w:t>
            </w:r>
          </w:p>
        </w:tc>
        <w:tc>
          <w:tcPr>
            <w:tcW w:w="2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BBEACE" w14:textId="77777777" w:rsidR="003E78AB" w:rsidRDefault="00010BF9">
            <w:pPr>
              <w:spacing w:line="360" w:lineRule="exact"/>
              <w:ind w:firstLineChars="0" w:firstLine="0"/>
              <w:jc w:val="center"/>
              <w:textAlignment w:val="center"/>
              <w:rPr>
                <w:sz w:val="18"/>
                <w:szCs w:val="18"/>
              </w:rPr>
            </w:pPr>
            <w:r>
              <w:rPr>
                <w:sz w:val="18"/>
                <w:szCs w:val="18"/>
                <w:lang w:bidi="ar"/>
              </w:rPr>
              <w:t>拆包投料</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BB416" w14:textId="77777777" w:rsidR="003E78AB" w:rsidRDefault="00010BF9">
            <w:pPr>
              <w:spacing w:line="360" w:lineRule="exact"/>
              <w:ind w:firstLineChars="0" w:firstLine="0"/>
              <w:jc w:val="center"/>
              <w:textAlignment w:val="center"/>
              <w:rPr>
                <w:sz w:val="18"/>
                <w:szCs w:val="18"/>
              </w:rPr>
            </w:pPr>
            <w:r>
              <w:rPr>
                <w:sz w:val="18"/>
                <w:szCs w:val="18"/>
                <w:lang w:bidi="ar"/>
              </w:rPr>
              <w:t>DA001</w:t>
            </w:r>
          </w:p>
        </w:tc>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85BE7" w14:textId="77777777" w:rsidR="003E78AB" w:rsidRDefault="00010BF9">
            <w:pPr>
              <w:spacing w:line="360" w:lineRule="exact"/>
              <w:ind w:firstLineChars="0" w:firstLine="0"/>
              <w:jc w:val="center"/>
              <w:textAlignment w:val="center"/>
              <w:rPr>
                <w:sz w:val="18"/>
                <w:szCs w:val="18"/>
              </w:rPr>
            </w:pPr>
            <w:r>
              <w:rPr>
                <w:sz w:val="18"/>
                <w:szCs w:val="18"/>
                <w:lang w:bidi="ar"/>
              </w:rPr>
              <w:t>一般</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A7154" w14:textId="77777777" w:rsidR="003E78AB" w:rsidRDefault="00010BF9">
            <w:pPr>
              <w:spacing w:line="360" w:lineRule="exact"/>
              <w:ind w:firstLineChars="0" w:firstLine="0"/>
              <w:jc w:val="center"/>
              <w:textAlignment w:val="center"/>
              <w:rPr>
                <w:sz w:val="18"/>
                <w:szCs w:val="18"/>
              </w:rPr>
            </w:pPr>
            <w:r>
              <w:rPr>
                <w:sz w:val="18"/>
                <w:szCs w:val="18"/>
                <w:lang w:bidi="ar"/>
              </w:rPr>
              <w:t>8000</w:t>
            </w:r>
          </w:p>
        </w:tc>
        <w:tc>
          <w:tcPr>
            <w:tcW w:w="2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A7723" w14:textId="77777777" w:rsidR="003E78AB" w:rsidRDefault="00010BF9">
            <w:pPr>
              <w:spacing w:line="360" w:lineRule="exact"/>
              <w:ind w:firstLineChars="0" w:firstLine="0"/>
              <w:jc w:val="center"/>
              <w:textAlignment w:val="center"/>
              <w:rPr>
                <w:sz w:val="18"/>
                <w:szCs w:val="18"/>
              </w:rPr>
            </w:pPr>
            <w:r>
              <w:rPr>
                <w:sz w:val="18"/>
                <w:szCs w:val="18"/>
                <w:lang w:bidi="ar"/>
              </w:rPr>
              <w:t>2500</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94877"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DD365"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3C58C" w14:textId="77777777" w:rsidR="003E78AB" w:rsidRDefault="00010BF9">
            <w:pPr>
              <w:spacing w:line="360" w:lineRule="exact"/>
              <w:ind w:firstLineChars="0" w:firstLine="0"/>
              <w:jc w:val="center"/>
              <w:textAlignment w:val="center"/>
              <w:rPr>
                <w:sz w:val="18"/>
                <w:szCs w:val="18"/>
                <w:lang w:bidi="ar"/>
              </w:rPr>
            </w:pPr>
            <w:r>
              <w:rPr>
                <w:sz w:val="18"/>
                <w:szCs w:val="18"/>
                <w:lang w:bidi="ar"/>
              </w:rPr>
              <w:t>344.86</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E6F70" w14:textId="77777777" w:rsidR="003E78AB" w:rsidRDefault="00010BF9">
            <w:pPr>
              <w:spacing w:line="360" w:lineRule="exact"/>
              <w:ind w:firstLineChars="0" w:firstLine="0"/>
              <w:jc w:val="center"/>
              <w:textAlignment w:val="center"/>
              <w:rPr>
                <w:sz w:val="18"/>
                <w:szCs w:val="18"/>
                <w:lang w:bidi="ar"/>
              </w:rPr>
            </w:pPr>
            <w:r>
              <w:rPr>
                <w:sz w:val="18"/>
                <w:szCs w:val="18"/>
                <w:lang w:bidi="ar"/>
              </w:rPr>
              <w:t>2.7589</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604E3" w14:textId="77777777" w:rsidR="003E78AB" w:rsidRDefault="00010BF9">
            <w:pPr>
              <w:spacing w:line="360" w:lineRule="exact"/>
              <w:ind w:firstLineChars="0" w:firstLine="0"/>
              <w:jc w:val="center"/>
              <w:textAlignment w:val="center"/>
              <w:rPr>
                <w:sz w:val="18"/>
                <w:szCs w:val="18"/>
                <w:lang w:bidi="ar"/>
              </w:rPr>
            </w:pPr>
            <w:r>
              <w:rPr>
                <w:sz w:val="18"/>
                <w:szCs w:val="18"/>
                <w:lang w:bidi="ar"/>
              </w:rPr>
              <w:t>6.8972</w:t>
            </w:r>
          </w:p>
        </w:tc>
        <w:tc>
          <w:tcPr>
            <w:tcW w:w="3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65334" w14:textId="77777777" w:rsidR="003E78AB" w:rsidRDefault="00010BF9">
            <w:pPr>
              <w:spacing w:line="360" w:lineRule="exact"/>
              <w:ind w:firstLineChars="0" w:firstLine="0"/>
              <w:jc w:val="center"/>
              <w:textAlignment w:val="center"/>
              <w:rPr>
                <w:sz w:val="18"/>
                <w:szCs w:val="18"/>
                <w:lang w:bidi="ar"/>
              </w:rPr>
            </w:pPr>
            <w:r>
              <w:rPr>
                <w:sz w:val="18"/>
                <w:szCs w:val="18"/>
                <w:lang w:bidi="ar"/>
              </w:rPr>
              <w:t>袋式除尘</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2CA75" w14:textId="77777777" w:rsidR="003E78AB" w:rsidRDefault="00010BF9">
            <w:pPr>
              <w:spacing w:line="360" w:lineRule="exact"/>
              <w:ind w:firstLineChars="0" w:firstLine="0"/>
              <w:jc w:val="center"/>
              <w:textAlignment w:val="center"/>
              <w:rPr>
                <w:sz w:val="18"/>
                <w:szCs w:val="18"/>
                <w:lang w:bidi="ar"/>
              </w:rPr>
            </w:pPr>
            <w:r>
              <w:rPr>
                <w:sz w:val="18"/>
                <w:szCs w:val="18"/>
                <w:lang w:bidi="ar"/>
              </w:rPr>
              <w:t>98</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DB8CF" w14:textId="77777777" w:rsidR="003E78AB" w:rsidRDefault="00010BF9">
            <w:pPr>
              <w:spacing w:line="360" w:lineRule="exact"/>
              <w:ind w:firstLineChars="0" w:firstLine="0"/>
              <w:jc w:val="center"/>
              <w:textAlignment w:val="center"/>
              <w:rPr>
                <w:sz w:val="18"/>
                <w:szCs w:val="18"/>
                <w:lang w:bidi="ar"/>
              </w:rPr>
            </w:pPr>
            <w:r>
              <w:rPr>
                <w:sz w:val="18"/>
                <w:szCs w:val="18"/>
                <w:lang w:bidi="ar"/>
              </w:rPr>
              <w:t>6.90</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7898E" w14:textId="77777777" w:rsidR="003E78AB" w:rsidRDefault="00010BF9">
            <w:pPr>
              <w:spacing w:line="360" w:lineRule="exact"/>
              <w:ind w:firstLineChars="0" w:firstLine="0"/>
              <w:jc w:val="center"/>
              <w:textAlignment w:val="center"/>
              <w:rPr>
                <w:sz w:val="18"/>
                <w:szCs w:val="18"/>
                <w:lang w:bidi="ar"/>
              </w:rPr>
            </w:pPr>
            <w:r>
              <w:rPr>
                <w:sz w:val="18"/>
                <w:szCs w:val="18"/>
                <w:lang w:bidi="ar"/>
              </w:rPr>
              <w:t>0.0436</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4FACF" w14:textId="77777777" w:rsidR="003E78AB" w:rsidRDefault="00010BF9">
            <w:pPr>
              <w:spacing w:line="360" w:lineRule="exact"/>
              <w:ind w:firstLineChars="0" w:firstLine="0"/>
              <w:jc w:val="center"/>
              <w:textAlignment w:val="center"/>
              <w:rPr>
                <w:sz w:val="18"/>
                <w:szCs w:val="18"/>
                <w:lang w:bidi="ar"/>
              </w:rPr>
            </w:pPr>
            <w:r>
              <w:rPr>
                <w:sz w:val="18"/>
                <w:szCs w:val="18"/>
                <w:lang w:bidi="ar"/>
              </w:rPr>
              <w:t>0.1379</w:t>
            </w:r>
          </w:p>
        </w:tc>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6922B" w14:textId="77777777" w:rsidR="003E78AB" w:rsidRDefault="00010BF9">
            <w:pPr>
              <w:spacing w:line="360" w:lineRule="exact"/>
              <w:ind w:firstLineChars="0" w:firstLine="0"/>
              <w:jc w:val="center"/>
              <w:textAlignment w:val="center"/>
              <w:rPr>
                <w:sz w:val="18"/>
                <w:szCs w:val="18"/>
              </w:rPr>
            </w:pPr>
            <w:r>
              <w:rPr>
                <w:sz w:val="18"/>
                <w:szCs w:val="18"/>
                <w:lang w:bidi="ar"/>
              </w:rPr>
              <w:t>20.5</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25397" w14:textId="77777777" w:rsidR="003E78AB" w:rsidRDefault="00010BF9">
            <w:pPr>
              <w:spacing w:line="360" w:lineRule="exact"/>
              <w:ind w:firstLineChars="0" w:firstLine="0"/>
              <w:jc w:val="center"/>
              <w:textAlignment w:val="center"/>
              <w:rPr>
                <w:sz w:val="18"/>
                <w:szCs w:val="18"/>
              </w:rPr>
            </w:pPr>
            <w:r>
              <w:rPr>
                <w:sz w:val="18"/>
                <w:szCs w:val="18"/>
                <w:lang w:bidi="ar"/>
              </w:rPr>
              <w:t>20</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D84C5" w14:textId="77777777" w:rsidR="003E78AB" w:rsidRDefault="00010BF9">
            <w:pPr>
              <w:spacing w:line="360" w:lineRule="exact"/>
              <w:ind w:firstLineChars="0" w:firstLine="0"/>
              <w:jc w:val="center"/>
              <w:textAlignment w:val="center"/>
              <w:rPr>
                <w:sz w:val="18"/>
                <w:szCs w:val="18"/>
              </w:rPr>
            </w:pPr>
            <w:r>
              <w:rPr>
                <w:sz w:val="18"/>
                <w:szCs w:val="18"/>
                <w:lang w:bidi="ar"/>
              </w:rPr>
              <w:t>0.4</w:t>
            </w:r>
          </w:p>
        </w:tc>
      </w:tr>
      <w:tr w:rsidR="003E78AB" w14:paraId="7C15DB31"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4B41D6" w14:textId="77777777" w:rsidR="003E78AB" w:rsidRDefault="003E78AB">
            <w:pPr>
              <w:spacing w:line="360" w:lineRule="exact"/>
              <w:ind w:firstLineChars="0" w:firstLine="0"/>
              <w:jc w:val="center"/>
              <w:rPr>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985D0" w14:textId="77777777" w:rsidR="003E78AB" w:rsidRDefault="003E78AB">
            <w:pPr>
              <w:spacing w:line="360" w:lineRule="exact"/>
              <w:ind w:firstLineChars="0" w:firstLine="0"/>
              <w:jc w:val="center"/>
              <w:rPr>
                <w:sz w:val="18"/>
                <w:szCs w:val="18"/>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F3296" w14:textId="77777777" w:rsidR="003E78AB" w:rsidRDefault="00010BF9">
            <w:pPr>
              <w:spacing w:line="360" w:lineRule="exact"/>
              <w:ind w:firstLineChars="0" w:firstLine="0"/>
              <w:jc w:val="center"/>
              <w:textAlignment w:val="center"/>
              <w:rPr>
                <w:sz w:val="18"/>
                <w:szCs w:val="18"/>
              </w:rPr>
            </w:pPr>
            <w:r>
              <w:rPr>
                <w:sz w:val="18"/>
                <w:szCs w:val="18"/>
                <w:lang w:bidi="ar"/>
              </w:rPr>
              <w:t>DA002</w:t>
            </w:r>
          </w:p>
        </w:tc>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47CE8" w14:textId="77777777" w:rsidR="003E78AB" w:rsidRDefault="00010BF9">
            <w:pPr>
              <w:spacing w:line="360" w:lineRule="exact"/>
              <w:ind w:firstLineChars="0" w:firstLine="0"/>
              <w:jc w:val="center"/>
              <w:textAlignment w:val="center"/>
              <w:rPr>
                <w:sz w:val="18"/>
                <w:szCs w:val="18"/>
              </w:rPr>
            </w:pPr>
            <w:r>
              <w:rPr>
                <w:sz w:val="18"/>
                <w:szCs w:val="18"/>
                <w:lang w:bidi="ar"/>
              </w:rPr>
              <w:t>一般</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8B702" w14:textId="77777777" w:rsidR="003E78AB" w:rsidRDefault="00010BF9">
            <w:pPr>
              <w:spacing w:line="360" w:lineRule="exact"/>
              <w:ind w:firstLineChars="0" w:firstLine="0"/>
              <w:jc w:val="center"/>
              <w:textAlignment w:val="center"/>
              <w:rPr>
                <w:sz w:val="18"/>
                <w:szCs w:val="18"/>
              </w:rPr>
            </w:pPr>
            <w:r>
              <w:rPr>
                <w:sz w:val="18"/>
                <w:szCs w:val="18"/>
                <w:lang w:bidi="ar"/>
              </w:rPr>
              <w:t>8000</w:t>
            </w:r>
          </w:p>
        </w:tc>
        <w:tc>
          <w:tcPr>
            <w:tcW w:w="2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1A2B0" w14:textId="77777777" w:rsidR="003E78AB" w:rsidRDefault="00010BF9">
            <w:pPr>
              <w:spacing w:line="360" w:lineRule="exact"/>
              <w:ind w:firstLineChars="0" w:firstLine="0"/>
              <w:jc w:val="center"/>
              <w:textAlignment w:val="center"/>
              <w:rPr>
                <w:sz w:val="18"/>
                <w:szCs w:val="18"/>
              </w:rPr>
            </w:pPr>
            <w:r>
              <w:rPr>
                <w:sz w:val="18"/>
                <w:szCs w:val="18"/>
                <w:lang w:bidi="ar"/>
              </w:rPr>
              <w:t>1800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2769"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3A914"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A5E79" w14:textId="77777777" w:rsidR="003E78AB" w:rsidRDefault="00010BF9">
            <w:pPr>
              <w:spacing w:line="360" w:lineRule="exact"/>
              <w:ind w:firstLineChars="0" w:firstLine="0"/>
              <w:jc w:val="center"/>
              <w:textAlignment w:val="center"/>
              <w:rPr>
                <w:sz w:val="18"/>
                <w:szCs w:val="18"/>
                <w:lang w:bidi="ar"/>
              </w:rPr>
            </w:pPr>
            <w:r>
              <w:rPr>
                <w:sz w:val="18"/>
                <w:szCs w:val="18"/>
                <w:lang w:bidi="ar"/>
              </w:rPr>
              <w:t>243.40</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72BAF" w14:textId="77777777" w:rsidR="003E78AB" w:rsidRDefault="00010BF9">
            <w:pPr>
              <w:spacing w:line="360" w:lineRule="exact"/>
              <w:ind w:firstLineChars="0" w:firstLine="0"/>
              <w:jc w:val="center"/>
              <w:textAlignment w:val="center"/>
              <w:rPr>
                <w:sz w:val="18"/>
                <w:szCs w:val="18"/>
                <w:lang w:bidi="ar"/>
              </w:rPr>
            </w:pPr>
            <w:r>
              <w:rPr>
                <w:sz w:val="18"/>
                <w:szCs w:val="18"/>
                <w:lang w:bidi="ar"/>
              </w:rPr>
              <w:t>1.9472</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3CFB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3.5050</w:t>
            </w:r>
          </w:p>
        </w:tc>
        <w:tc>
          <w:tcPr>
            <w:tcW w:w="3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44BC3" w14:textId="77777777" w:rsidR="003E78AB" w:rsidRDefault="00010BF9">
            <w:pPr>
              <w:spacing w:line="360" w:lineRule="exact"/>
              <w:ind w:firstLineChars="0" w:firstLine="0"/>
              <w:jc w:val="center"/>
              <w:textAlignment w:val="center"/>
              <w:rPr>
                <w:sz w:val="18"/>
                <w:szCs w:val="18"/>
                <w:lang w:bidi="ar"/>
              </w:rPr>
            </w:pPr>
            <w:r>
              <w:rPr>
                <w:sz w:val="18"/>
                <w:szCs w:val="18"/>
                <w:lang w:bidi="ar"/>
              </w:rPr>
              <w:t>袋式除尘</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B5F2B" w14:textId="77777777" w:rsidR="003E78AB" w:rsidRDefault="00010BF9">
            <w:pPr>
              <w:spacing w:line="360" w:lineRule="exact"/>
              <w:ind w:firstLineChars="0" w:firstLine="0"/>
              <w:jc w:val="center"/>
              <w:textAlignment w:val="center"/>
              <w:rPr>
                <w:sz w:val="18"/>
                <w:szCs w:val="18"/>
                <w:lang w:bidi="ar"/>
              </w:rPr>
            </w:pPr>
            <w:r>
              <w:rPr>
                <w:sz w:val="18"/>
                <w:szCs w:val="18"/>
                <w:lang w:bidi="ar"/>
              </w:rPr>
              <w:t>98</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EBA9A" w14:textId="77777777" w:rsidR="003E78AB" w:rsidRDefault="00010BF9">
            <w:pPr>
              <w:spacing w:line="360" w:lineRule="exact"/>
              <w:ind w:firstLineChars="0" w:firstLine="0"/>
              <w:jc w:val="center"/>
              <w:textAlignment w:val="center"/>
              <w:rPr>
                <w:sz w:val="18"/>
                <w:szCs w:val="18"/>
                <w:lang w:bidi="ar"/>
              </w:rPr>
            </w:pPr>
            <w:r>
              <w:rPr>
                <w:sz w:val="18"/>
                <w:szCs w:val="18"/>
                <w:lang w:bidi="ar"/>
              </w:rPr>
              <w:t>4.87</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998D0"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0.0605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8289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0.0701</w:t>
            </w:r>
          </w:p>
        </w:tc>
        <w:tc>
          <w:tcPr>
            <w:tcW w:w="2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94E0B" w14:textId="77777777" w:rsidR="003E78AB" w:rsidRDefault="00010BF9">
            <w:pPr>
              <w:spacing w:line="360" w:lineRule="exact"/>
              <w:ind w:firstLineChars="0" w:firstLine="0"/>
              <w:jc w:val="center"/>
              <w:textAlignment w:val="center"/>
              <w:rPr>
                <w:sz w:val="18"/>
                <w:szCs w:val="18"/>
              </w:rPr>
            </w:pPr>
            <w:r>
              <w:rPr>
                <w:sz w:val="18"/>
                <w:szCs w:val="18"/>
                <w:lang w:bidi="ar"/>
              </w:rPr>
              <w:t>20.5</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3E722" w14:textId="77777777" w:rsidR="003E78AB" w:rsidRDefault="00010BF9">
            <w:pPr>
              <w:spacing w:line="360" w:lineRule="exact"/>
              <w:ind w:firstLineChars="0" w:firstLine="0"/>
              <w:jc w:val="center"/>
              <w:textAlignment w:val="center"/>
              <w:rPr>
                <w:sz w:val="18"/>
                <w:szCs w:val="18"/>
              </w:rPr>
            </w:pPr>
            <w:r>
              <w:rPr>
                <w:sz w:val="18"/>
                <w:szCs w:val="18"/>
                <w:lang w:bidi="ar"/>
              </w:rPr>
              <w:t>20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EAAD" w14:textId="77777777" w:rsidR="003E78AB" w:rsidRDefault="00010BF9">
            <w:pPr>
              <w:spacing w:line="360" w:lineRule="exact"/>
              <w:ind w:firstLineChars="0" w:firstLine="0"/>
              <w:jc w:val="center"/>
              <w:textAlignment w:val="center"/>
              <w:rPr>
                <w:sz w:val="18"/>
                <w:szCs w:val="18"/>
              </w:rPr>
            </w:pPr>
            <w:r>
              <w:rPr>
                <w:sz w:val="18"/>
                <w:szCs w:val="18"/>
                <w:lang w:bidi="ar"/>
              </w:rPr>
              <w:t>0.4</w:t>
            </w:r>
          </w:p>
        </w:tc>
      </w:tr>
      <w:tr w:rsidR="003E78AB" w14:paraId="711DB3EA"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86D9AA" w14:textId="77777777" w:rsidR="003E78AB" w:rsidRDefault="003E78AB">
            <w:pPr>
              <w:spacing w:line="360" w:lineRule="exact"/>
              <w:ind w:firstLineChars="0" w:firstLine="0"/>
              <w:jc w:val="center"/>
              <w:rPr>
                <w:sz w:val="18"/>
                <w:szCs w:val="18"/>
              </w:rPr>
            </w:pPr>
          </w:p>
        </w:tc>
        <w:tc>
          <w:tcPr>
            <w:tcW w:w="22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93A21" w14:textId="77777777" w:rsidR="003E78AB" w:rsidRDefault="00010BF9">
            <w:pPr>
              <w:spacing w:line="360" w:lineRule="exact"/>
              <w:ind w:firstLineChars="0" w:firstLine="0"/>
              <w:jc w:val="center"/>
              <w:textAlignment w:val="center"/>
              <w:rPr>
                <w:sz w:val="18"/>
                <w:szCs w:val="18"/>
              </w:rPr>
            </w:pPr>
            <w:r>
              <w:rPr>
                <w:sz w:val="18"/>
                <w:szCs w:val="18"/>
                <w:lang w:bidi="ar"/>
              </w:rPr>
              <w:t>生产工序</w:t>
            </w:r>
          </w:p>
        </w:tc>
        <w:tc>
          <w:tcPr>
            <w:tcW w:w="2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17E912" w14:textId="77777777" w:rsidR="003E78AB" w:rsidRDefault="00010BF9">
            <w:pPr>
              <w:spacing w:line="360" w:lineRule="exact"/>
              <w:ind w:firstLineChars="0" w:firstLine="0"/>
              <w:jc w:val="center"/>
              <w:textAlignment w:val="center"/>
              <w:rPr>
                <w:sz w:val="18"/>
                <w:szCs w:val="18"/>
              </w:rPr>
            </w:pPr>
            <w:r>
              <w:rPr>
                <w:sz w:val="18"/>
                <w:szCs w:val="18"/>
                <w:lang w:bidi="ar"/>
              </w:rPr>
              <w:t>DA003</w:t>
            </w:r>
          </w:p>
        </w:tc>
        <w:tc>
          <w:tcPr>
            <w:tcW w:w="2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550C49" w14:textId="77777777" w:rsidR="003E78AB" w:rsidRDefault="00010BF9">
            <w:pPr>
              <w:spacing w:line="360" w:lineRule="exact"/>
              <w:ind w:firstLineChars="0" w:firstLine="0"/>
              <w:jc w:val="center"/>
              <w:textAlignment w:val="center"/>
              <w:rPr>
                <w:sz w:val="18"/>
                <w:szCs w:val="18"/>
              </w:rPr>
            </w:pPr>
            <w:r>
              <w:rPr>
                <w:sz w:val="18"/>
                <w:szCs w:val="18"/>
                <w:lang w:bidi="ar"/>
              </w:rPr>
              <w:t>一般</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547EE" w14:textId="77777777" w:rsidR="003E78AB" w:rsidRDefault="00010BF9">
            <w:pPr>
              <w:spacing w:line="360" w:lineRule="exact"/>
              <w:ind w:firstLineChars="0" w:firstLine="0"/>
              <w:jc w:val="center"/>
              <w:textAlignment w:val="center"/>
              <w:rPr>
                <w:sz w:val="18"/>
                <w:szCs w:val="18"/>
              </w:rPr>
            </w:pPr>
            <w:r>
              <w:rPr>
                <w:sz w:val="18"/>
                <w:szCs w:val="18"/>
                <w:lang w:bidi="ar"/>
              </w:rPr>
              <w:t>10000</w:t>
            </w:r>
          </w:p>
        </w:tc>
        <w:tc>
          <w:tcPr>
            <w:tcW w:w="22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52F3B" w14:textId="77777777" w:rsidR="003E78AB" w:rsidRDefault="00010BF9">
            <w:pPr>
              <w:spacing w:line="360" w:lineRule="exact"/>
              <w:ind w:firstLineChars="0" w:firstLine="0"/>
              <w:jc w:val="center"/>
              <w:textAlignment w:val="center"/>
              <w:rPr>
                <w:sz w:val="18"/>
                <w:szCs w:val="18"/>
              </w:rPr>
            </w:pPr>
            <w:r>
              <w:rPr>
                <w:sz w:val="18"/>
                <w:szCs w:val="18"/>
                <w:lang w:bidi="ar"/>
              </w:rPr>
              <w:t>7920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1C600" w14:textId="77777777" w:rsidR="003E78AB" w:rsidRDefault="00010BF9">
            <w:pPr>
              <w:spacing w:line="360" w:lineRule="exact"/>
              <w:ind w:firstLineChars="0" w:firstLine="0"/>
              <w:jc w:val="center"/>
              <w:textAlignment w:val="center"/>
              <w:rPr>
                <w:sz w:val="18"/>
                <w:szCs w:val="18"/>
              </w:rPr>
            </w:pPr>
            <w:r>
              <w:rPr>
                <w:sz w:val="18"/>
                <w:szCs w:val="18"/>
                <w:lang w:bidi="ar"/>
              </w:rPr>
              <w:t>硫酸雾</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5A021"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CD951" w14:textId="77777777" w:rsidR="003E78AB" w:rsidRDefault="00010BF9">
            <w:pPr>
              <w:spacing w:line="360" w:lineRule="exact"/>
              <w:ind w:firstLineChars="0" w:firstLine="0"/>
              <w:jc w:val="center"/>
              <w:textAlignment w:val="center"/>
              <w:rPr>
                <w:sz w:val="18"/>
                <w:szCs w:val="18"/>
                <w:lang w:bidi="ar"/>
              </w:rPr>
            </w:pPr>
            <w:r>
              <w:rPr>
                <w:sz w:val="18"/>
                <w:szCs w:val="18"/>
                <w:lang w:bidi="ar"/>
              </w:rPr>
              <w:t>0.3549</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9F5A2" w14:textId="77777777" w:rsidR="003E78AB" w:rsidRDefault="00010BF9">
            <w:pPr>
              <w:spacing w:line="360" w:lineRule="exact"/>
              <w:ind w:firstLineChars="0" w:firstLine="0"/>
              <w:jc w:val="center"/>
              <w:textAlignment w:val="center"/>
              <w:rPr>
                <w:sz w:val="18"/>
                <w:szCs w:val="18"/>
                <w:lang w:bidi="ar"/>
              </w:rPr>
            </w:pPr>
            <w:r>
              <w:rPr>
                <w:sz w:val="18"/>
                <w:szCs w:val="18"/>
                <w:lang w:bidi="ar"/>
              </w:rPr>
              <w:t>3.5490</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10F54"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28.1077</w:t>
            </w:r>
          </w:p>
        </w:tc>
        <w:tc>
          <w:tcPr>
            <w:tcW w:w="3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7614A9" w14:textId="77777777" w:rsidR="003E78AB" w:rsidRDefault="00010BF9">
            <w:pPr>
              <w:spacing w:line="360" w:lineRule="exact"/>
              <w:ind w:firstLineChars="0" w:firstLine="0"/>
              <w:jc w:val="center"/>
              <w:textAlignment w:val="center"/>
              <w:rPr>
                <w:sz w:val="18"/>
                <w:szCs w:val="18"/>
                <w:lang w:bidi="ar"/>
              </w:rPr>
            </w:pPr>
            <w:r>
              <w:rPr>
                <w:sz w:val="18"/>
                <w:szCs w:val="18"/>
                <w:lang w:bidi="ar"/>
              </w:rPr>
              <w:t>一级碱洗</w:t>
            </w:r>
            <w:r>
              <w:rPr>
                <w:sz w:val="18"/>
                <w:szCs w:val="18"/>
                <w:lang w:bidi="ar"/>
              </w:rPr>
              <w:t>+</w:t>
            </w:r>
            <w:r>
              <w:rPr>
                <w:sz w:val="18"/>
                <w:szCs w:val="18"/>
                <w:lang w:bidi="ar"/>
              </w:rPr>
              <w:t>一级水洗</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356B5" w14:textId="77777777" w:rsidR="003E78AB" w:rsidRDefault="00010BF9">
            <w:pPr>
              <w:spacing w:line="360" w:lineRule="exact"/>
              <w:ind w:firstLineChars="0" w:firstLine="0"/>
              <w:jc w:val="center"/>
              <w:textAlignment w:val="center"/>
              <w:rPr>
                <w:sz w:val="18"/>
                <w:szCs w:val="18"/>
                <w:lang w:bidi="ar"/>
              </w:rPr>
            </w:pPr>
            <w:r>
              <w:rPr>
                <w:sz w:val="18"/>
                <w:szCs w:val="18"/>
                <w:lang w:bidi="ar"/>
              </w:rPr>
              <w:t>96</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4A3F"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14.20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53B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0.1420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26A12"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1.1243</w:t>
            </w:r>
          </w:p>
        </w:tc>
        <w:tc>
          <w:tcPr>
            <w:tcW w:w="2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F3EE" w14:textId="77777777" w:rsidR="003E78AB" w:rsidRDefault="00010BF9">
            <w:pPr>
              <w:spacing w:line="360" w:lineRule="exact"/>
              <w:ind w:firstLineChars="0" w:firstLine="0"/>
              <w:jc w:val="center"/>
              <w:textAlignment w:val="center"/>
              <w:rPr>
                <w:sz w:val="18"/>
                <w:szCs w:val="18"/>
              </w:rPr>
            </w:pPr>
            <w:r>
              <w:rPr>
                <w:sz w:val="18"/>
                <w:szCs w:val="18"/>
                <w:lang w:bidi="ar"/>
              </w:rPr>
              <w:t>20.5</w:t>
            </w:r>
          </w:p>
        </w:tc>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9BE8F" w14:textId="77777777" w:rsidR="003E78AB" w:rsidRDefault="00010BF9">
            <w:pPr>
              <w:spacing w:line="360" w:lineRule="exact"/>
              <w:ind w:firstLineChars="0" w:firstLine="0"/>
              <w:jc w:val="center"/>
              <w:textAlignment w:val="center"/>
              <w:rPr>
                <w:sz w:val="18"/>
                <w:szCs w:val="18"/>
              </w:rPr>
            </w:pPr>
            <w:r>
              <w:rPr>
                <w:sz w:val="18"/>
                <w:szCs w:val="18"/>
                <w:lang w:bidi="ar"/>
              </w:rPr>
              <w:t>20</w:t>
            </w:r>
          </w:p>
        </w:tc>
        <w:tc>
          <w:tcPr>
            <w:tcW w:w="24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070A2" w14:textId="77777777" w:rsidR="003E78AB" w:rsidRDefault="00010BF9">
            <w:pPr>
              <w:spacing w:line="360" w:lineRule="exact"/>
              <w:ind w:firstLineChars="0" w:firstLine="0"/>
              <w:jc w:val="center"/>
              <w:textAlignment w:val="center"/>
              <w:rPr>
                <w:sz w:val="18"/>
                <w:szCs w:val="18"/>
              </w:rPr>
            </w:pPr>
            <w:r>
              <w:rPr>
                <w:sz w:val="18"/>
                <w:szCs w:val="18"/>
                <w:lang w:bidi="ar"/>
              </w:rPr>
              <w:t>0.5</w:t>
            </w:r>
          </w:p>
        </w:tc>
      </w:tr>
      <w:tr w:rsidR="003E78AB" w14:paraId="0772A051"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8C19A3" w14:textId="77777777" w:rsidR="003E78AB" w:rsidRDefault="003E78AB">
            <w:pPr>
              <w:spacing w:line="360" w:lineRule="exact"/>
              <w:ind w:firstLineChars="0" w:firstLine="0"/>
              <w:jc w:val="center"/>
              <w:rPr>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03EFB" w14:textId="77777777" w:rsidR="003E78AB" w:rsidRDefault="003E78AB">
            <w:pPr>
              <w:spacing w:line="360" w:lineRule="exact"/>
              <w:ind w:firstLineChars="0" w:firstLine="0"/>
              <w:jc w:val="center"/>
              <w:rPr>
                <w:sz w:val="18"/>
                <w:szCs w:val="18"/>
              </w:rPr>
            </w:pPr>
          </w:p>
        </w:tc>
        <w:tc>
          <w:tcPr>
            <w:tcW w:w="2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3D08F0" w14:textId="77777777" w:rsidR="003E78AB" w:rsidRDefault="003E78AB">
            <w:pPr>
              <w:spacing w:line="360" w:lineRule="exact"/>
              <w:ind w:firstLineChars="0" w:firstLine="0"/>
              <w:jc w:val="center"/>
              <w:rPr>
                <w:sz w:val="18"/>
                <w:szCs w:val="18"/>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8CAC49" w14:textId="77777777" w:rsidR="003E78AB" w:rsidRDefault="003E78AB">
            <w:pPr>
              <w:spacing w:line="360" w:lineRule="exact"/>
              <w:ind w:firstLineChars="0" w:firstLine="0"/>
              <w:jc w:val="center"/>
              <w:rPr>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A6934" w14:textId="77777777" w:rsidR="003E78AB" w:rsidRDefault="003E78AB">
            <w:pPr>
              <w:spacing w:line="360" w:lineRule="exact"/>
              <w:ind w:firstLineChars="0" w:firstLine="0"/>
              <w:jc w:val="center"/>
              <w:rPr>
                <w:sz w:val="18"/>
                <w:szCs w:val="18"/>
              </w:rPr>
            </w:pPr>
          </w:p>
        </w:tc>
        <w:tc>
          <w:tcPr>
            <w:tcW w:w="22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2ACF5" w14:textId="77777777" w:rsidR="003E78AB" w:rsidRDefault="003E78AB">
            <w:pPr>
              <w:spacing w:line="360" w:lineRule="exact"/>
              <w:ind w:firstLineChars="0" w:firstLine="0"/>
              <w:jc w:val="center"/>
              <w:rPr>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0E43" w14:textId="77777777" w:rsidR="003E78AB" w:rsidRDefault="00010BF9">
            <w:pPr>
              <w:spacing w:line="360" w:lineRule="exact"/>
              <w:ind w:firstLineChars="0" w:firstLine="0"/>
              <w:jc w:val="center"/>
              <w:textAlignment w:val="center"/>
              <w:rPr>
                <w:sz w:val="18"/>
                <w:szCs w:val="18"/>
              </w:rPr>
            </w:pPr>
            <w:r>
              <w:rPr>
                <w:sz w:val="18"/>
                <w:szCs w:val="18"/>
                <w:lang w:bidi="ar"/>
              </w:rPr>
              <w:t>磷酸雾</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29B0"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DF677" w14:textId="77777777" w:rsidR="003E78AB" w:rsidRDefault="00010BF9">
            <w:pPr>
              <w:spacing w:line="360" w:lineRule="exact"/>
              <w:ind w:firstLineChars="0" w:firstLine="0"/>
              <w:jc w:val="center"/>
              <w:textAlignment w:val="center"/>
              <w:rPr>
                <w:sz w:val="18"/>
                <w:szCs w:val="18"/>
                <w:lang w:bidi="ar"/>
              </w:rPr>
            </w:pPr>
            <w:r>
              <w:rPr>
                <w:sz w:val="18"/>
                <w:szCs w:val="18"/>
                <w:lang w:bidi="ar"/>
              </w:rPr>
              <w:t>0.0286</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50F8A" w14:textId="77777777" w:rsidR="003E78AB" w:rsidRDefault="00010BF9">
            <w:pPr>
              <w:spacing w:line="360" w:lineRule="exact"/>
              <w:ind w:firstLineChars="0" w:firstLine="0"/>
              <w:jc w:val="center"/>
              <w:textAlignment w:val="center"/>
              <w:rPr>
                <w:sz w:val="18"/>
                <w:szCs w:val="18"/>
                <w:lang w:bidi="ar"/>
              </w:rPr>
            </w:pPr>
            <w:r>
              <w:rPr>
                <w:sz w:val="18"/>
                <w:szCs w:val="18"/>
                <w:lang w:bidi="ar"/>
              </w:rPr>
              <w:t>0.2857</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18F2"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2.2628</w:t>
            </w:r>
          </w:p>
        </w:tc>
        <w:tc>
          <w:tcPr>
            <w:tcW w:w="3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B3C066" w14:textId="77777777" w:rsidR="003E78AB" w:rsidRDefault="003E78AB">
            <w:pPr>
              <w:spacing w:line="360" w:lineRule="exact"/>
              <w:ind w:firstLineChars="0" w:firstLine="0"/>
              <w:jc w:val="center"/>
              <w:textAlignment w:val="center"/>
              <w:rPr>
                <w:sz w:val="18"/>
                <w:szCs w:val="18"/>
                <w:lang w:bidi="ar"/>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E3A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92</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1FB92"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 xml:space="preserve">2.29 </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E69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 xml:space="preserve">0.0229 </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6B419"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 xml:space="preserve">0.1810 </w:t>
            </w: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81858" w14:textId="77777777" w:rsidR="003E78AB" w:rsidRDefault="003E78AB">
            <w:pPr>
              <w:spacing w:line="360" w:lineRule="exact"/>
              <w:ind w:firstLineChars="0" w:firstLine="0"/>
              <w:jc w:val="center"/>
              <w:rPr>
                <w:sz w:val="18"/>
                <w:szCs w:val="18"/>
              </w:rPr>
            </w:pPr>
          </w:p>
        </w:tc>
        <w:tc>
          <w:tcPr>
            <w:tcW w:w="2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ACC26" w14:textId="77777777" w:rsidR="003E78AB" w:rsidRDefault="003E78AB">
            <w:pPr>
              <w:spacing w:line="360" w:lineRule="exact"/>
              <w:ind w:firstLineChars="0" w:firstLine="0"/>
              <w:jc w:val="center"/>
              <w:rPr>
                <w:sz w:val="18"/>
                <w:szCs w:val="18"/>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6A206" w14:textId="77777777" w:rsidR="003E78AB" w:rsidRDefault="003E78AB">
            <w:pPr>
              <w:spacing w:line="360" w:lineRule="exact"/>
              <w:ind w:firstLineChars="0" w:firstLine="0"/>
              <w:jc w:val="center"/>
              <w:rPr>
                <w:sz w:val="18"/>
                <w:szCs w:val="18"/>
              </w:rPr>
            </w:pPr>
          </w:p>
        </w:tc>
      </w:tr>
      <w:tr w:rsidR="003E78AB" w14:paraId="170524B7" w14:textId="77777777">
        <w:trPr>
          <w:trHeight w:val="346"/>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CF8A0" w14:textId="77777777" w:rsidR="003E78AB" w:rsidRDefault="003E78AB">
            <w:pPr>
              <w:spacing w:line="360" w:lineRule="exact"/>
              <w:ind w:firstLineChars="0" w:firstLine="0"/>
              <w:jc w:val="center"/>
              <w:rPr>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AEA9D" w14:textId="77777777" w:rsidR="003E78AB" w:rsidRDefault="003E78AB">
            <w:pPr>
              <w:spacing w:line="360" w:lineRule="exact"/>
              <w:ind w:firstLineChars="0" w:firstLine="0"/>
              <w:jc w:val="center"/>
              <w:rPr>
                <w:sz w:val="18"/>
                <w:szCs w:val="18"/>
              </w:rPr>
            </w:pPr>
          </w:p>
        </w:tc>
        <w:tc>
          <w:tcPr>
            <w:tcW w:w="2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776BB" w14:textId="77777777" w:rsidR="003E78AB" w:rsidRDefault="003E78AB">
            <w:pPr>
              <w:spacing w:line="360" w:lineRule="exact"/>
              <w:ind w:firstLineChars="0" w:firstLine="0"/>
              <w:jc w:val="center"/>
              <w:rPr>
                <w:sz w:val="18"/>
                <w:szCs w:val="18"/>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C2BAC7" w14:textId="77777777" w:rsidR="003E78AB" w:rsidRDefault="003E78AB">
            <w:pPr>
              <w:spacing w:line="360" w:lineRule="exact"/>
              <w:ind w:firstLineChars="0" w:firstLine="0"/>
              <w:jc w:val="center"/>
              <w:rPr>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42BC7" w14:textId="77777777" w:rsidR="003E78AB" w:rsidRDefault="003E78AB">
            <w:pPr>
              <w:spacing w:line="360" w:lineRule="exact"/>
              <w:ind w:firstLineChars="0" w:firstLine="0"/>
              <w:jc w:val="center"/>
              <w:rPr>
                <w:sz w:val="18"/>
                <w:szCs w:val="18"/>
              </w:rPr>
            </w:pPr>
          </w:p>
        </w:tc>
        <w:tc>
          <w:tcPr>
            <w:tcW w:w="22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02FB5" w14:textId="77777777" w:rsidR="003E78AB" w:rsidRDefault="003E78AB">
            <w:pPr>
              <w:spacing w:line="360" w:lineRule="exact"/>
              <w:ind w:firstLineChars="0" w:firstLine="0"/>
              <w:jc w:val="center"/>
              <w:rPr>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3185B" w14:textId="77777777" w:rsidR="003E78AB" w:rsidRDefault="00010BF9">
            <w:pPr>
              <w:spacing w:line="360" w:lineRule="exact"/>
              <w:ind w:firstLineChars="0" w:firstLine="0"/>
              <w:jc w:val="center"/>
              <w:textAlignment w:val="bottom"/>
              <w:rPr>
                <w:sz w:val="18"/>
                <w:szCs w:val="18"/>
                <w:lang w:bidi="ar"/>
              </w:rPr>
            </w:pPr>
            <w:r>
              <w:rPr>
                <w:sz w:val="18"/>
                <w:szCs w:val="18"/>
                <w:lang w:bidi="ar"/>
              </w:rPr>
              <w:t>草酸雾</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A4095" w14:textId="77777777" w:rsidR="003E78AB" w:rsidRDefault="00010BF9">
            <w:pPr>
              <w:spacing w:line="360" w:lineRule="exact"/>
              <w:ind w:firstLineChars="0" w:firstLine="0"/>
              <w:jc w:val="center"/>
              <w:textAlignment w:val="bottom"/>
              <w:rPr>
                <w:sz w:val="18"/>
                <w:szCs w:val="18"/>
                <w:lang w:bidi="ar"/>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C990D" w14:textId="77777777" w:rsidR="003E78AB" w:rsidRDefault="00010BF9">
            <w:pPr>
              <w:spacing w:line="360" w:lineRule="exact"/>
              <w:ind w:firstLineChars="0" w:firstLine="0"/>
              <w:jc w:val="center"/>
              <w:textAlignment w:val="bottom"/>
              <w:rPr>
                <w:bCs/>
                <w:sz w:val="18"/>
                <w:szCs w:val="18"/>
                <w:lang w:bidi="ar"/>
              </w:rPr>
            </w:pPr>
            <w:r>
              <w:rPr>
                <w:bCs/>
                <w:sz w:val="18"/>
                <w:szCs w:val="18"/>
                <w:lang w:bidi="ar"/>
              </w:rPr>
              <w:t>01150.</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86A8E" w14:textId="77777777" w:rsidR="003E78AB" w:rsidRDefault="00010BF9">
            <w:pPr>
              <w:spacing w:line="360" w:lineRule="exact"/>
              <w:ind w:firstLineChars="0" w:firstLine="0"/>
              <w:jc w:val="center"/>
              <w:textAlignment w:val="bottom"/>
              <w:rPr>
                <w:bCs/>
                <w:sz w:val="18"/>
                <w:szCs w:val="18"/>
                <w:lang w:bidi="ar"/>
              </w:rPr>
            </w:pPr>
            <w:r>
              <w:rPr>
                <w:bCs/>
                <w:sz w:val="18"/>
                <w:szCs w:val="18"/>
                <w:lang w:bidi="ar"/>
              </w:rPr>
              <w:t xml:space="preserve">0.1145 </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9376" w14:textId="77777777" w:rsidR="003E78AB" w:rsidRDefault="00010BF9">
            <w:pPr>
              <w:spacing w:line="360" w:lineRule="exact"/>
              <w:ind w:firstLineChars="0" w:firstLine="0"/>
              <w:jc w:val="center"/>
              <w:textAlignment w:val="bottom"/>
              <w:rPr>
                <w:bCs/>
                <w:sz w:val="18"/>
                <w:szCs w:val="18"/>
                <w:lang w:bidi="ar"/>
              </w:rPr>
            </w:pPr>
            <w:r>
              <w:rPr>
                <w:bCs/>
                <w:sz w:val="18"/>
                <w:szCs w:val="18"/>
                <w:lang w:bidi="ar"/>
              </w:rPr>
              <w:t xml:space="preserve">0.9071 </w:t>
            </w:r>
          </w:p>
        </w:tc>
        <w:tc>
          <w:tcPr>
            <w:tcW w:w="3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219D0" w14:textId="77777777" w:rsidR="003E78AB" w:rsidRDefault="003E78AB">
            <w:pPr>
              <w:spacing w:line="360" w:lineRule="exact"/>
              <w:ind w:firstLineChars="0" w:firstLine="0"/>
              <w:jc w:val="center"/>
              <w:textAlignment w:val="center"/>
              <w:rPr>
                <w:sz w:val="18"/>
                <w:szCs w:val="18"/>
                <w:lang w:bidi="ar"/>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53BD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86.5</w:t>
            </w:r>
          </w:p>
        </w:tc>
        <w:tc>
          <w:tcPr>
            <w:tcW w:w="257" w:type="pct"/>
            <w:vMerge w:val="restart"/>
            <w:tcBorders>
              <w:top w:val="single" w:sz="4" w:space="0" w:color="000000"/>
              <w:left w:val="single" w:sz="4" w:space="0" w:color="000000"/>
              <w:right w:val="single" w:sz="4" w:space="0" w:color="000000"/>
            </w:tcBorders>
            <w:shd w:val="clear" w:color="auto" w:fill="auto"/>
            <w:noWrap/>
            <w:vAlign w:val="center"/>
          </w:tcPr>
          <w:p w14:paraId="2374B97D" w14:textId="77777777" w:rsidR="003E78AB" w:rsidRDefault="00010BF9">
            <w:pPr>
              <w:spacing w:line="360" w:lineRule="exact"/>
              <w:ind w:firstLineChars="0" w:firstLine="0"/>
              <w:jc w:val="center"/>
              <w:textAlignment w:val="center"/>
              <w:rPr>
                <w:bCs/>
                <w:sz w:val="18"/>
                <w:szCs w:val="18"/>
                <w:lang w:bidi="ar"/>
              </w:rPr>
            </w:pPr>
            <w:r>
              <w:rPr>
                <w:rFonts w:hint="eastAsia"/>
                <w:bCs/>
                <w:sz w:val="18"/>
                <w:szCs w:val="18"/>
                <w:lang w:bidi="ar"/>
              </w:rPr>
              <w:t xml:space="preserve">4.61 </w:t>
            </w:r>
          </w:p>
        </w:tc>
        <w:tc>
          <w:tcPr>
            <w:tcW w:w="253" w:type="pct"/>
            <w:vMerge w:val="restart"/>
            <w:tcBorders>
              <w:top w:val="single" w:sz="4" w:space="0" w:color="000000"/>
              <w:left w:val="single" w:sz="4" w:space="0" w:color="000000"/>
              <w:right w:val="single" w:sz="4" w:space="0" w:color="000000"/>
            </w:tcBorders>
            <w:shd w:val="clear" w:color="auto" w:fill="auto"/>
            <w:noWrap/>
            <w:vAlign w:val="center"/>
          </w:tcPr>
          <w:p w14:paraId="4FFCADDA" w14:textId="77777777" w:rsidR="003E78AB" w:rsidRDefault="00010BF9">
            <w:pPr>
              <w:spacing w:line="360" w:lineRule="exact"/>
              <w:ind w:firstLineChars="0" w:firstLine="0"/>
              <w:jc w:val="center"/>
              <w:textAlignment w:val="center"/>
              <w:rPr>
                <w:bCs/>
                <w:sz w:val="18"/>
                <w:szCs w:val="18"/>
                <w:lang w:bidi="ar"/>
              </w:rPr>
            </w:pPr>
            <w:r>
              <w:rPr>
                <w:rFonts w:hint="eastAsia"/>
                <w:bCs/>
                <w:sz w:val="18"/>
                <w:szCs w:val="18"/>
                <w:lang w:bidi="ar"/>
              </w:rPr>
              <w:t>0.0461</w:t>
            </w:r>
          </w:p>
        </w:tc>
        <w:tc>
          <w:tcPr>
            <w:tcW w:w="253" w:type="pct"/>
            <w:vMerge w:val="restart"/>
            <w:tcBorders>
              <w:top w:val="single" w:sz="4" w:space="0" w:color="000000"/>
              <w:left w:val="single" w:sz="4" w:space="0" w:color="000000"/>
              <w:right w:val="single" w:sz="4" w:space="0" w:color="000000"/>
            </w:tcBorders>
            <w:shd w:val="clear" w:color="auto" w:fill="auto"/>
            <w:noWrap/>
            <w:vAlign w:val="center"/>
          </w:tcPr>
          <w:p w14:paraId="2BA65BF0" w14:textId="77777777" w:rsidR="003E78AB" w:rsidRDefault="00010BF9">
            <w:pPr>
              <w:spacing w:line="360" w:lineRule="exact"/>
              <w:ind w:firstLineChars="0" w:firstLine="0"/>
              <w:jc w:val="center"/>
              <w:textAlignment w:val="center"/>
              <w:rPr>
                <w:bCs/>
                <w:sz w:val="18"/>
                <w:szCs w:val="18"/>
                <w:lang w:bidi="ar"/>
              </w:rPr>
            </w:pPr>
            <w:r>
              <w:rPr>
                <w:rFonts w:hint="eastAsia"/>
                <w:bCs/>
                <w:sz w:val="18"/>
                <w:szCs w:val="18"/>
                <w:lang w:bidi="ar"/>
              </w:rPr>
              <w:t>0.3649</w:t>
            </w: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D490" w14:textId="77777777" w:rsidR="003E78AB" w:rsidRDefault="003E78AB">
            <w:pPr>
              <w:spacing w:line="360" w:lineRule="exact"/>
              <w:ind w:firstLineChars="0" w:firstLine="0"/>
              <w:jc w:val="center"/>
              <w:rPr>
                <w:sz w:val="18"/>
                <w:szCs w:val="18"/>
              </w:rPr>
            </w:pPr>
          </w:p>
        </w:tc>
        <w:tc>
          <w:tcPr>
            <w:tcW w:w="2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7201" w14:textId="77777777" w:rsidR="003E78AB" w:rsidRDefault="003E78AB">
            <w:pPr>
              <w:spacing w:line="360" w:lineRule="exact"/>
              <w:ind w:firstLineChars="0" w:firstLine="0"/>
              <w:jc w:val="center"/>
              <w:rPr>
                <w:sz w:val="18"/>
                <w:szCs w:val="18"/>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65419" w14:textId="77777777" w:rsidR="003E78AB" w:rsidRDefault="003E78AB">
            <w:pPr>
              <w:spacing w:line="360" w:lineRule="exact"/>
              <w:ind w:firstLineChars="0" w:firstLine="0"/>
              <w:jc w:val="center"/>
              <w:rPr>
                <w:sz w:val="18"/>
                <w:szCs w:val="18"/>
              </w:rPr>
            </w:pPr>
          </w:p>
        </w:tc>
      </w:tr>
      <w:tr w:rsidR="003E78AB" w14:paraId="2C424714"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5E4DF5" w14:textId="77777777" w:rsidR="003E78AB" w:rsidRDefault="003E78AB">
            <w:pPr>
              <w:spacing w:line="360" w:lineRule="exact"/>
              <w:ind w:firstLineChars="0" w:firstLine="0"/>
              <w:jc w:val="center"/>
              <w:rPr>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82CD" w14:textId="77777777" w:rsidR="003E78AB" w:rsidRDefault="003E78AB">
            <w:pPr>
              <w:spacing w:line="360" w:lineRule="exact"/>
              <w:ind w:firstLineChars="0" w:firstLine="0"/>
              <w:jc w:val="center"/>
              <w:rPr>
                <w:sz w:val="18"/>
                <w:szCs w:val="18"/>
              </w:rPr>
            </w:pPr>
          </w:p>
        </w:tc>
        <w:tc>
          <w:tcPr>
            <w:tcW w:w="2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3C14D" w14:textId="77777777" w:rsidR="003E78AB" w:rsidRDefault="003E78AB">
            <w:pPr>
              <w:spacing w:line="360" w:lineRule="exact"/>
              <w:ind w:firstLineChars="0" w:firstLine="0"/>
              <w:jc w:val="center"/>
              <w:rPr>
                <w:sz w:val="18"/>
                <w:szCs w:val="18"/>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FB5DBE" w14:textId="77777777" w:rsidR="003E78AB" w:rsidRDefault="003E78AB">
            <w:pPr>
              <w:spacing w:line="360" w:lineRule="exact"/>
              <w:ind w:firstLineChars="0" w:firstLine="0"/>
              <w:jc w:val="center"/>
              <w:rPr>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839C2" w14:textId="77777777" w:rsidR="003E78AB" w:rsidRDefault="003E78AB">
            <w:pPr>
              <w:spacing w:line="360" w:lineRule="exact"/>
              <w:ind w:firstLineChars="0" w:firstLine="0"/>
              <w:jc w:val="center"/>
              <w:rPr>
                <w:sz w:val="18"/>
                <w:szCs w:val="18"/>
              </w:rPr>
            </w:pPr>
          </w:p>
        </w:tc>
        <w:tc>
          <w:tcPr>
            <w:tcW w:w="22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AB5C" w14:textId="77777777" w:rsidR="003E78AB" w:rsidRDefault="003E78AB">
            <w:pPr>
              <w:spacing w:line="360" w:lineRule="exact"/>
              <w:ind w:firstLineChars="0" w:firstLine="0"/>
              <w:jc w:val="center"/>
              <w:rPr>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6A0D9" w14:textId="77777777" w:rsidR="003E78AB" w:rsidRDefault="00010BF9">
            <w:pPr>
              <w:spacing w:line="360" w:lineRule="exact"/>
              <w:ind w:firstLineChars="0" w:firstLine="0"/>
              <w:jc w:val="center"/>
              <w:textAlignment w:val="bottom"/>
              <w:rPr>
                <w:sz w:val="18"/>
                <w:szCs w:val="18"/>
                <w:lang w:bidi="ar"/>
              </w:rPr>
            </w:pPr>
            <w:r>
              <w:rPr>
                <w:sz w:val="18"/>
                <w:szCs w:val="18"/>
                <w:lang w:bidi="ar"/>
              </w:rPr>
              <w:t>甲酸雾</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4FB1" w14:textId="77777777" w:rsidR="003E78AB" w:rsidRDefault="00010BF9">
            <w:pPr>
              <w:spacing w:line="360" w:lineRule="exact"/>
              <w:ind w:firstLineChars="0" w:firstLine="0"/>
              <w:jc w:val="center"/>
              <w:textAlignment w:val="bottom"/>
              <w:rPr>
                <w:sz w:val="18"/>
                <w:szCs w:val="18"/>
                <w:lang w:bidi="ar"/>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F0F3E" w14:textId="77777777" w:rsidR="003E78AB" w:rsidRDefault="00010BF9">
            <w:pPr>
              <w:spacing w:line="360" w:lineRule="exact"/>
              <w:ind w:firstLineChars="0" w:firstLine="0"/>
              <w:jc w:val="center"/>
              <w:textAlignment w:val="bottom"/>
              <w:rPr>
                <w:bCs/>
                <w:sz w:val="18"/>
                <w:szCs w:val="18"/>
                <w:lang w:bidi="ar"/>
              </w:rPr>
            </w:pPr>
            <w:r>
              <w:rPr>
                <w:bCs/>
                <w:sz w:val="18"/>
                <w:szCs w:val="18"/>
                <w:lang w:bidi="ar"/>
              </w:rPr>
              <w:t xml:space="preserve">0.0340 </w:t>
            </w:r>
          </w:p>
        </w:tc>
        <w:tc>
          <w:tcPr>
            <w:tcW w:w="2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8A479" w14:textId="77777777" w:rsidR="003E78AB" w:rsidRDefault="00010BF9">
            <w:pPr>
              <w:spacing w:line="360" w:lineRule="exact"/>
              <w:ind w:firstLineChars="0" w:firstLine="0"/>
              <w:jc w:val="center"/>
              <w:textAlignment w:val="bottom"/>
              <w:rPr>
                <w:bCs/>
                <w:sz w:val="18"/>
                <w:szCs w:val="18"/>
                <w:lang w:bidi="ar"/>
              </w:rPr>
            </w:pPr>
            <w:r>
              <w:rPr>
                <w:bCs/>
                <w:sz w:val="18"/>
                <w:szCs w:val="18"/>
                <w:lang w:bidi="ar"/>
              </w:rPr>
              <w:t xml:space="preserve">0.3401 </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AA5FA" w14:textId="77777777" w:rsidR="003E78AB" w:rsidRDefault="00010BF9">
            <w:pPr>
              <w:spacing w:line="360" w:lineRule="exact"/>
              <w:ind w:firstLineChars="0" w:firstLine="0"/>
              <w:jc w:val="center"/>
              <w:textAlignment w:val="bottom"/>
              <w:rPr>
                <w:bCs/>
                <w:sz w:val="18"/>
                <w:szCs w:val="18"/>
                <w:lang w:bidi="ar"/>
              </w:rPr>
            </w:pPr>
            <w:r>
              <w:rPr>
                <w:bCs/>
                <w:sz w:val="18"/>
                <w:szCs w:val="18"/>
                <w:lang w:bidi="ar"/>
              </w:rPr>
              <w:t xml:space="preserve">2.6939 </w:t>
            </w:r>
          </w:p>
        </w:tc>
        <w:tc>
          <w:tcPr>
            <w:tcW w:w="3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CE3094" w14:textId="77777777" w:rsidR="003E78AB" w:rsidRDefault="003E78AB">
            <w:pPr>
              <w:spacing w:line="360" w:lineRule="exact"/>
              <w:ind w:firstLineChars="0" w:firstLine="0"/>
              <w:jc w:val="center"/>
              <w:textAlignment w:val="center"/>
              <w:rPr>
                <w:sz w:val="18"/>
                <w:szCs w:val="18"/>
                <w:lang w:bidi="ar"/>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A5F8E"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91</w:t>
            </w:r>
          </w:p>
        </w:tc>
        <w:tc>
          <w:tcPr>
            <w:tcW w:w="257" w:type="pct"/>
            <w:vMerge/>
            <w:tcBorders>
              <w:left w:val="single" w:sz="4" w:space="0" w:color="000000"/>
              <w:bottom w:val="single" w:sz="4" w:space="0" w:color="000000"/>
              <w:right w:val="single" w:sz="4" w:space="0" w:color="000000"/>
            </w:tcBorders>
            <w:shd w:val="clear" w:color="auto" w:fill="auto"/>
            <w:noWrap/>
            <w:vAlign w:val="center"/>
          </w:tcPr>
          <w:p w14:paraId="4EA0907E" w14:textId="77777777" w:rsidR="003E78AB" w:rsidRDefault="003E78AB">
            <w:pPr>
              <w:spacing w:line="360" w:lineRule="exact"/>
              <w:ind w:firstLineChars="0" w:firstLine="0"/>
              <w:jc w:val="center"/>
              <w:textAlignment w:val="center"/>
              <w:rPr>
                <w:sz w:val="18"/>
                <w:szCs w:val="18"/>
                <w:lang w:bidi="ar"/>
              </w:rPr>
            </w:pPr>
          </w:p>
        </w:tc>
        <w:tc>
          <w:tcPr>
            <w:tcW w:w="253" w:type="pct"/>
            <w:vMerge/>
            <w:tcBorders>
              <w:left w:val="single" w:sz="4" w:space="0" w:color="000000"/>
              <w:bottom w:val="single" w:sz="4" w:space="0" w:color="000000"/>
              <w:right w:val="single" w:sz="4" w:space="0" w:color="000000"/>
            </w:tcBorders>
            <w:shd w:val="clear" w:color="auto" w:fill="auto"/>
            <w:noWrap/>
            <w:vAlign w:val="center"/>
          </w:tcPr>
          <w:p w14:paraId="00D41DAD" w14:textId="77777777" w:rsidR="003E78AB" w:rsidRDefault="003E78AB">
            <w:pPr>
              <w:spacing w:line="360" w:lineRule="exact"/>
              <w:ind w:firstLineChars="0" w:firstLine="0"/>
              <w:jc w:val="center"/>
              <w:textAlignment w:val="center"/>
              <w:rPr>
                <w:sz w:val="18"/>
                <w:szCs w:val="18"/>
                <w:lang w:bidi="ar"/>
              </w:rPr>
            </w:pPr>
          </w:p>
        </w:tc>
        <w:tc>
          <w:tcPr>
            <w:tcW w:w="253" w:type="pct"/>
            <w:vMerge/>
            <w:tcBorders>
              <w:left w:val="single" w:sz="4" w:space="0" w:color="000000"/>
              <w:bottom w:val="single" w:sz="4" w:space="0" w:color="000000"/>
              <w:right w:val="single" w:sz="4" w:space="0" w:color="000000"/>
            </w:tcBorders>
            <w:shd w:val="clear" w:color="auto" w:fill="auto"/>
            <w:noWrap/>
            <w:vAlign w:val="center"/>
          </w:tcPr>
          <w:p w14:paraId="6483188A" w14:textId="77777777" w:rsidR="003E78AB" w:rsidRDefault="003E78AB">
            <w:pPr>
              <w:spacing w:line="360" w:lineRule="exact"/>
              <w:ind w:firstLineChars="0" w:firstLine="0"/>
              <w:jc w:val="center"/>
              <w:textAlignment w:val="center"/>
              <w:rPr>
                <w:sz w:val="18"/>
                <w:szCs w:val="18"/>
                <w:lang w:bidi="ar"/>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143CC" w14:textId="77777777" w:rsidR="003E78AB" w:rsidRDefault="003E78AB">
            <w:pPr>
              <w:spacing w:line="360" w:lineRule="exact"/>
              <w:ind w:firstLineChars="0" w:firstLine="0"/>
              <w:jc w:val="center"/>
              <w:rPr>
                <w:sz w:val="18"/>
                <w:szCs w:val="18"/>
              </w:rPr>
            </w:pPr>
          </w:p>
        </w:tc>
        <w:tc>
          <w:tcPr>
            <w:tcW w:w="2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AA00" w14:textId="77777777" w:rsidR="003E78AB" w:rsidRDefault="003E78AB">
            <w:pPr>
              <w:spacing w:line="360" w:lineRule="exact"/>
              <w:ind w:firstLineChars="0" w:firstLine="0"/>
              <w:jc w:val="center"/>
              <w:rPr>
                <w:sz w:val="18"/>
                <w:szCs w:val="18"/>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8103" w14:textId="77777777" w:rsidR="003E78AB" w:rsidRDefault="003E78AB">
            <w:pPr>
              <w:spacing w:line="360" w:lineRule="exact"/>
              <w:ind w:firstLineChars="0" w:firstLine="0"/>
              <w:jc w:val="center"/>
              <w:rPr>
                <w:sz w:val="18"/>
                <w:szCs w:val="18"/>
              </w:rPr>
            </w:pPr>
          </w:p>
        </w:tc>
      </w:tr>
      <w:tr w:rsidR="003E78AB" w14:paraId="2FD273F0"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D8ED4" w14:textId="77777777" w:rsidR="003E78AB" w:rsidRDefault="003E78AB">
            <w:pPr>
              <w:spacing w:line="360" w:lineRule="exact"/>
              <w:ind w:firstLineChars="0" w:firstLine="0"/>
              <w:jc w:val="center"/>
              <w:rPr>
                <w:sz w:val="18"/>
                <w:szCs w:val="18"/>
              </w:rPr>
            </w:pPr>
          </w:p>
        </w:tc>
        <w:tc>
          <w:tcPr>
            <w:tcW w:w="22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D1635" w14:textId="77777777" w:rsidR="003E78AB" w:rsidRDefault="00010BF9">
            <w:pPr>
              <w:spacing w:line="360" w:lineRule="exact"/>
              <w:ind w:firstLineChars="0" w:firstLine="0"/>
              <w:jc w:val="center"/>
              <w:textAlignment w:val="center"/>
              <w:rPr>
                <w:sz w:val="18"/>
                <w:szCs w:val="18"/>
              </w:rPr>
            </w:pPr>
            <w:r>
              <w:rPr>
                <w:sz w:val="18"/>
                <w:szCs w:val="18"/>
                <w:lang w:bidi="ar"/>
              </w:rPr>
              <w:t>燃气锅炉</w:t>
            </w:r>
          </w:p>
        </w:tc>
        <w:tc>
          <w:tcPr>
            <w:tcW w:w="2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59DC21" w14:textId="77777777" w:rsidR="003E78AB" w:rsidRDefault="00010BF9">
            <w:pPr>
              <w:spacing w:line="360" w:lineRule="exact"/>
              <w:ind w:firstLineChars="0" w:firstLine="0"/>
              <w:jc w:val="center"/>
              <w:textAlignment w:val="center"/>
              <w:rPr>
                <w:sz w:val="18"/>
                <w:szCs w:val="18"/>
              </w:rPr>
            </w:pPr>
            <w:r>
              <w:rPr>
                <w:sz w:val="18"/>
                <w:szCs w:val="18"/>
                <w:lang w:bidi="ar"/>
              </w:rPr>
              <w:t>DA004</w:t>
            </w:r>
          </w:p>
        </w:tc>
        <w:tc>
          <w:tcPr>
            <w:tcW w:w="2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5E8E9D" w14:textId="77777777" w:rsidR="003E78AB" w:rsidRDefault="00010BF9">
            <w:pPr>
              <w:spacing w:line="360" w:lineRule="exact"/>
              <w:ind w:firstLineChars="0" w:firstLine="0"/>
              <w:jc w:val="center"/>
              <w:rPr>
                <w:sz w:val="18"/>
                <w:szCs w:val="18"/>
              </w:rPr>
            </w:pPr>
            <w:r>
              <w:rPr>
                <w:sz w:val="18"/>
                <w:szCs w:val="18"/>
                <w:lang w:bidi="ar"/>
              </w:rPr>
              <w:t>一般</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18D1" w14:textId="77777777" w:rsidR="003E78AB" w:rsidRDefault="00010BF9">
            <w:pPr>
              <w:spacing w:line="360" w:lineRule="exact"/>
              <w:ind w:firstLineChars="0" w:firstLine="0"/>
              <w:jc w:val="center"/>
              <w:textAlignment w:val="center"/>
              <w:rPr>
                <w:sz w:val="18"/>
                <w:szCs w:val="18"/>
              </w:rPr>
            </w:pPr>
            <w:r>
              <w:rPr>
                <w:sz w:val="18"/>
                <w:szCs w:val="18"/>
                <w:lang w:bidi="ar"/>
              </w:rPr>
              <w:t>471</w:t>
            </w:r>
            <w:r>
              <w:rPr>
                <w:rFonts w:hint="eastAsia"/>
                <w:sz w:val="18"/>
                <w:szCs w:val="18"/>
                <w:lang w:bidi="ar"/>
              </w:rPr>
              <w:t>1</w:t>
            </w:r>
          </w:p>
        </w:tc>
        <w:tc>
          <w:tcPr>
            <w:tcW w:w="22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E677" w14:textId="77777777" w:rsidR="003E78AB" w:rsidRDefault="00010BF9">
            <w:pPr>
              <w:spacing w:line="360" w:lineRule="exact"/>
              <w:ind w:firstLineChars="0" w:firstLine="0"/>
              <w:jc w:val="center"/>
              <w:textAlignment w:val="center"/>
              <w:rPr>
                <w:sz w:val="18"/>
                <w:szCs w:val="18"/>
              </w:rPr>
            </w:pPr>
            <w:r>
              <w:rPr>
                <w:sz w:val="18"/>
                <w:szCs w:val="18"/>
                <w:lang w:bidi="ar"/>
              </w:rPr>
              <w:t>4320</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C2339"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F9D5" w14:textId="77777777" w:rsidR="003E78AB" w:rsidRDefault="00010BF9">
            <w:pPr>
              <w:spacing w:line="360" w:lineRule="exact"/>
              <w:ind w:firstLineChars="0" w:firstLine="0"/>
              <w:jc w:val="center"/>
              <w:textAlignment w:val="center"/>
              <w:rPr>
                <w:sz w:val="18"/>
                <w:szCs w:val="18"/>
              </w:rPr>
            </w:pPr>
            <w:r>
              <w:rPr>
                <w:sz w:val="18"/>
                <w:szCs w:val="18"/>
                <w:lang w:bidi="ar"/>
              </w:rPr>
              <w:t>类比法</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015BB"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5.90</w:t>
            </w:r>
          </w:p>
        </w:tc>
        <w:tc>
          <w:tcPr>
            <w:tcW w:w="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E66FF"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0.0278</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2A18"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0.1201</w:t>
            </w:r>
          </w:p>
        </w:tc>
        <w:tc>
          <w:tcPr>
            <w:tcW w:w="3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D58BF2" w14:textId="77777777" w:rsidR="003E78AB" w:rsidRDefault="00010BF9">
            <w:pPr>
              <w:spacing w:line="360" w:lineRule="exact"/>
              <w:ind w:firstLineChars="0" w:firstLine="0"/>
              <w:jc w:val="center"/>
              <w:textAlignment w:val="center"/>
              <w:rPr>
                <w:sz w:val="18"/>
                <w:szCs w:val="18"/>
                <w:lang w:bidi="ar"/>
              </w:rPr>
            </w:pPr>
            <w:r>
              <w:rPr>
                <w:sz w:val="18"/>
                <w:szCs w:val="18"/>
                <w:lang w:bidi="ar"/>
              </w:rPr>
              <w:t>低氮燃烧</w:t>
            </w:r>
            <w:r>
              <w:rPr>
                <w:sz w:val="18"/>
                <w:szCs w:val="18"/>
                <w:lang w:bidi="ar"/>
              </w:rPr>
              <w:t>+</w:t>
            </w:r>
            <w:r>
              <w:rPr>
                <w:sz w:val="18"/>
                <w:szCs w:val="18"/>
                <w:lang w:bidi="ar"/>
              </w:rPr>
              <w:t>烟气再循环技术</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6A9B8" w14:textId="77777777" w:rsidR="003E78AB" w:rsidRDefault="00010BF9">
            <w:pPr>
              <w:spacing w:line="360" w:lineRule="exact"/>
              <w:ind w:firstLineChars="0" w:firstLine="0"/>
              <w:jc w:val="center"/>
              <w:textAlignment w:val="center"/>
              <w:rPr>
                <w:sz w:val="18"/>
                <w:szCs w:val="18"/>
                <w:lang w:bidi="ar"/>
              </w:rPr>
            </w:pPr>
            <w:r>
              <w:rPr>
                <w:sz w:val="18"/>
                <w:szCs w:val="18"/>
                <w:lang w:bidi="ar"/>
              </w:rPr>
              <w:t>0</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B36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5.90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4AC7E"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0.0278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A467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0.1201</w:t>
            </w:r>
          </w:p>
        </w:tc>
        <w:tc>
          <w:tcPr>
            <w:tcW w:w="2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7A19" w14:textId="77777777" w:rsidR="003E78AB" w:rsidRDefault="00010BF9">
            <w:pPr>
              <w:spacing w:line="360" w:lineRule="exact"/>
              <w:ind w:firstLineChars="0" w:firstLine="0"/>
              <w:jc w:val="center"/>
              <w:textAlignment w:val="center"/>
              <w:rPr>
                <w:sz w:val="18"/>
                <w:szCs w:val="18"/>
              </w:rPr>
            </w:pPr>
            <w:r>
              <w:rPr>
                <w:sz w:val="18"/>
                <w:szCs w:val="18"/>
                <w:lang w:bidi="ar"/>
              </w:rPr>
              <w:t>15</w:t>
            </w:r>
          </w:p>
        </w:tc>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067F" w14:textId="77777777" w:rsidR="003E78AB" w:rsidRDefault="00010BF9">
            <w:pPr>
              <w:spacing w:line="360" w:lineRule="exact"/>
              <w:ind w:firstLineChars="0" w:firstLine="0"/>
              <w:jc w:val="center"/>
              <w:textAlignment w:val="center"/>
              <w:rPr>
                <w:sz w:val="18"/>
                <w:szCs w:val="18"/>
              </w:rPr>
            </w:pPr>
            <w:r>
              <w:rPr>
                <w:sz w:val="18"/>
                <w:szCs w:val="18"/>
                <w:lang w:bidi="ar"/>
              </w:rPr>
              <w:t>80</w:t>
            </w:r>
          </w:p>
        </w:tc>
        <w:tc>
          <w:tcPr>
            <w:tcW w:w="24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001D1" w14:textId="77777777" w:rsidR="003E78AB" w:rsidRDefault="00010BF9">
            <w:pPr>
              <w:spacing w:line="360" w:lineRule="exact"/>
              <w:ind w:firstLineChars="0" w:firstLine="0"/>
              <w:jc w:val="center"/>
              <w:textAlignment w:val="center"/>
              <w:rPr>
                <w:sz w:val="18"/>
                <w:szCs w:val="18"/>
              </w:rPr>
            </w:pPr>
            <w:r>
              <w:rPr>
                <w:sz w:val="18"/>
                <w:szCs w:val="18"/>
                <w:lang w:bidi="ar"/>
              </w:rPr>
              <w:t>0.3</w:t>
            </w:r>
          </w:p>
        </w:tc>
      </w:tr>
      <w:tr w:rsidR="003E78AB" w14:paraId="66985B50" w14:textId="77777777">
        <w:trPr>
          <w:trHeight w:val="34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B67CD4" w14:textId="77777777" w:rsidR="003E78AB" w:rsidRDefault="003E78AB">
            <w:pPr>
              <w:spacing w:line="360" w:lineRule="exact"/>
              <w:ind w:firstLineChars="0" w:firstLine="0"/>
              <w:jc w:val="center"/>
              <w:rPr>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FA528" w14:textId="77777777" w:rsidR="003E78AB" w:rsidRDefault="003E78AB">
            <w:pPr>
              <w:spacing w:line="360" w:lineRule="exact"/>
              <w:ind w:firstLineChars="0" w:firstLine="0"/>
              <w:jc w:val="center"/>
              <w:rPr>
                <w:sz w:val="18"/>
                <w:szCs w:val="18"/>
              </w:rPr>
            </w:pPr>
          </w:p>
        </w:tc>
        <w:tc>
          <w:tcPr>
            <w:tcW w:w="2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CFEF10" w14:textId="77777777" w:rsidR="003E78AB" w:rsidRDefault="003E78AB">
            <w:pPr>
              <w:spacing w:line="360" w:lineRule="exact"/>
              <w:ind w:firstLineChars="0" w:firstLine="0"/>
              <w:jc w:val="center"/>
              <w:rPr>
                <w:sz w:val="18"/>
                <w:szCs w:val="18"/>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12F249" w14:textId="77777777" w:rsidR="003E78AB" w:rsidRDefault="003E78AB">
            <w:pPr>
              <w:spacing w:line="360" w:lineRule="exact"/>
              <w:ind w:firstLineChars="0" w:firstLine="0"/>
              <w:jc w:val="center"/>
              <w:rPr>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9A35" w14:textId="77777777" w:rsidR="003E78AB" w:rsidRDefault="003E78AB">
            <w:pPr>
              <w:spacing w:line="360" w:lineRule="exact"/>
              <w:ind w:firstLineChars="0" w:firstLine="0"/>
              <w:jc w:val="center"/>
              <w:rPr>
                <w:sz w:val="18"/>
                <w:szCs w:val="18"/>
              </w:rPr>
            </w:pPr>
          </w:p>
        </w:tc>
        <w:tc>
          <w:tcPr>
            <w:tcW w:w="22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9CC3A" w14:textId="77777777" w:rsidR="003E78AB" w:rsidRDefault="003E78AB">
            <w:pPr>
              <w:spacing w:line="360" w:lineRule="exact"/>
              <w:ind w:firstLineChars="0" w:firstLine="0"/>
              <w:jc w:val="center"/>
              <w:rPr>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CB945" w14:textId="77777777" w:rsidR="003E78AB" w:rsidRDefault="00010BF9">
            <w:pPr>
              <w:spacing w:line="360" w:lineRule="exact"/>
              <w:ind w:firstLineChars="0" w:firstLine="0"/>
              <w:jc w:val="center"/>
              <w:textAlignment w:val="center"/>
              <w:rPr>
                <w:sz w:val="18"/>
                <w:szCs w:val="18"/>
              </w:rPr>
            </w:pPr>
            <w:r>
              <w:rPr>
                <w:sz w:val="18"/>
                <w:szCs w:val="18"/>
                <w:lang w:bidi="ar"/>
              </w:rPr>
              <w:t>SO</w:t>
            </w:r>
            <w:r>
              <w:rPr>
                <w:rStyle w:val="font61"/>
                <w:color w:val="auto"/>
                <w:sz w:val="18"/>
                <w:szCs w:val="18"/>
                <w:lang w:bidi="ar"/>
              </w:rPr>
              <w:t>2</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C4AA3"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F607"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7.51</w:t>
            </w:r>
          </w:p>
        </w:tc>
        <w:tc>
          <w:tcPr>
            <w:tcW w:w="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647D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0.0354</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6F5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0.1529</w:t>
            </w:r>
          </w:p>
        </w:tc>
        <w:tc>
          <w:tcPr>
            <w:tcW w:w="3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19ECA" w14:textId="77777777" w:rsidR="003E78AB" w:rsidRDefault="003E78AB">
            <w:pPr>
              <w:spacing w:line="360" w:lineRule="exact"/>
              <w:ind w:firstLineChars="0" w:firstLine="0"/>
              <w:jc w:val="center"/>
              <w:textAlignment w:val="center"/>
              <w:rPr>
                <w:sz w:val="18"/>
                <w:szCs w:val="18"/>
                <w:lang w:bidi="ar"/>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58AD7" w14:textId="77777777" w:rsidR="003E78AB" w:rsidRDefault="00010BF9">
            <w:pPr>
              <w:spacing w:line="360" w:lineRule="exact"/>
              <w:ind w:firstLineChars="0" w:firstLine="0"/>
              <w:jc w:val="center"/>
              <w:textAlignment w:val="center"/>
              <w:rPr>
                <w:sz w:val="18"/>
                <w:szCs w:val="18"/>
                <w:lang w:bidi="ar"/>
              </w:rPr>
            </w:pPr>
            <w:r>
              <w:rPr>
                <w:sz w:val="18"/>
                <w:szCs w:val="18"/>
                <w:lang w:bidi="ar"/>
              </w:rPr>
              <w:t>0</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C43AF"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7.51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D416E"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0.0354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3DCEC"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0.1529</w:t>
            </w: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19E9" w14:textId="77777777" w:rsidR="003E78AB" w:rsidRDefault="003E78AB">
            <w:pPr>
              <w:spacing w:line="360" w:lineRule="exact"/>
              <w:ind w:firstLineChars="0" w:firstLine="0"/>
              <w:jc w:val="center"/>
              <w:rPr>
                <w:sz w:val="18"/>
                <w:szCs w:val="18"/>
              </w:rPr>
            </w:pPr>
          </w:p>
        </w:tc>
        <w:tc>
          <w:tcPr>
            <w:tcW w:w="2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1C0C1" w14:textId="77777777" w:rsidR="003E78AB" w:rsidRDefault="003E78AB">
            <w:pPr>
              <w:spacing w:line="360" w:lineRule="exact"/>
              <w:ind w:firstLineChars="0" w:firstLine="0"/>
              <w:jc w:val="center"/>
              <w:rPr>
                <w:sz w:val="18"/>
                <w:szCs w:val="18"/>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CA666" w14:textId="77777777" w:rsidR="003E78AB" w:rsidRDefault="003E78AB">
            <w:pPr>
              <w:spacing w:line="360" w:lineRule="exact"/>
              <w:ind w:firstLineChars="0" w:firstLine="0"/>
              <w:jc w:val="center"/>
              <w:rPr>
                <w:sz w:val="18"/>
                <w:szCs w:val="18"/>
              </w:rPr>
            </w:pPr>
          </w:p>
        </w:tc>
      </w:tr>
      <w:tr w:rsidR="003E78AB" w14:paraId="2DD24E02"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3F81B" w14:textId="77777777" w:rsidR="003E78AB" w:rsidRDefault="003E78AB">
            <w:pPr>
              <w:spacing w:line="360" w:lineRule="exact"/>
              <w:ind w:firstLineChars="0" w:firstLine="0"/>
              <w:jc w:val="center"/>
              <w:rPr>
                <w:sz w:val="18"/>
                <w:szCs w:val="18"/>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212B" w14:textId="77777777" w:rsidR="003E78AB" w:rsidRDefault="003E78AB">
            <w:pPr>
              <w:spacing w:line="360" w:lineRule="exact"/>
              <w:ind w:firstLineChars="0" w:firstLine="0"/>
              <w:jc w:val="center"/>
              <w:rPr>
                <w:sz w:val="18"/>
                <w:szCs w:val="18"/>
              </w:rPr>
            </w:pPr>
          </w:p>
        </w:tc>
        <w:tc>
          <w:tcPr>
            <w:tcW w:w="2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3F1DC1" w14:textId="77777777" w:rsidR="003E78AB" w:rsidRDefault="003E78AB">
            <w:pPr>
              <w:spacing w:line="360" w:lineRule="exact"/>
              <w:ind w:firstLineChars="0" w:firstLine="0"/>
              <w:jc w:val="center"/>
              <w:rPr>
                <w:sz w:val="18"/>
                <w:szCs w:val="18"/>
              </w:rPr>
            </w:pP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653241" w14:textId="77777777" w:rsidR="003E78AB" w:rsidRDefault="003E78AB">
            <w:pPr>
              <w:spacing w:line="360" w:lineRule="exact"/>
              <w:ind w:firstLineChars="0" w:firstLine="0"/>
              <w:jc w:val="center"/>
              <w:rPr>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5C9D9" w14:textId="77777777" w:rsidR="003E78AB" w:rsidRDefault="003E78AB">
            <w:pPr>
              <w:spacing w:line="360" w:lineRule="exact"/>
              <w:ind w:firstLineChars="0" w:firstLine="0"/>
              <w:jc w:val="center"/>
              <w:rPr>
                <w:sz w:val="18"/>
                <w:szCs w:val="18"/>
              </w:rPr>
            </w:pPr>
          </w:p>
        </w:tc>
        <w:tc>
          <w:tcPr>
            <w:tcW w:w="22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5955" w14:textId="77777777" w:rsidR="003E78AB" w:rsidRDefault="003E78AB">
            <w:pPr>
              <w:spacing w:line="360" w:lineRule="exact"/>
              <w:ind w:firstLineChars="0" w:firstLine="0"/>
              <w:jc w:val="center"/>
              <w:rPr>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8E102" w14:textId="77777777" w:rsidR="003E78AB" w:rsidRDefault="00010BF9">
            <w:pPr>
              <w:spacing w:line="360" w:lineRule="exact"/>
              <w:ind w:firstLineChars="0" w:firstLine="0"/>
              <w:jc w:val="center"/>
              <w:textAlignment w:val="center"/>
              <w:rPr>
                <w:sz w:val="18"/>
                <w:szCs w:val="18"/>
              </w:rPr>
            </w:pPr>
            <w:r>
              <w:rPr>
                <w:sz w:val="18"/>
                <w:szCs w:val="18"/>
                <w:lang w:bidi="ar"/>
              </w:rPr>
              <w:t>NOx</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CB603"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51F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100.00</w:t>
            </w:r>
          </w:p>
        </w:tc>
        <w:tc>
          <w:tcPr>
            <w:tcW w:w="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8C934"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0.4711</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B7A26"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2.0350</w:t>
            </w:r>
          </w:p>
        </w:tc>
        <w:tc>
          <w:tcPr>
            <w:tcW w:w="3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9EEBA" w14:textId="77777777" w:rsidR="003E78AB" w:rsidRDefault="003E78AB">
            <w:pPr>
              <w:spacing w:line="360" w:lineRule="exact"/>
              <w:ind w:firstLineChars="0" w:firstLine="0"/>
              <w:jc w:val="center"/>
              <w:textAlignment w:val="center"/>
              <w:rPr>
                <w:sz w:val="18"/>
                <w:szCs w:val="18"/>
                <w:lang w:bidi="ar"/>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83720" w14:textId="77777777" w:rsidR="003E78AB" w:rsidRDefault="00010BF9">
            <w:pPr>
              <w:spacing w:line="360" w:lineRule="exact"/>
              <w:ind w:firstLineChars="0" w:firstLine="0"/>
              <w:jc w:val="center"/>
              <w:textAlignment w:val="center"/>
              <w:rPr>
                <w:sz w:val="18"/>
                <w:szCs w:val="18"/>
                <w:lang w:bidi="ar"/>
              </w:rPr>
            </w:pPr>
            <w:r>
              <w:rPr>
                <w:sz w:val="18"/>
                <w:szCs w:val="18"/>
                <w:lang w:bidi="ar"/>
              </w:rPr>
              <w:t>50</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B37E"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50.00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DE62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0.2355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25568"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1.0175</w:t>
            </w: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35351" w14:textId="77777777" w:rsidR="003E78AB" w:rsidRDefault="003E78AB">
            <w:pPr>
              <w:spacing w:line="360" w:lineRule="exact"/>
              <w:ind w:firstLineChars="0" w:firstLine="0"/>
              <w:jc w:val="center"/>
              <w:rPr>
                <w:sz w:val="18"/>
                <w:szCs w:val="18"/>
              </w:rPr>
            </w:pPr>
          </w:p>
        </w:tc>
        <w:tc>
          <w:tcPr>
            <w:tcW w:w="2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030C8" w14:textId="77777777" w:rsidR="003E78AB" w:rsidRDefault="003E78AB">
            <w:pPr>
              <w:spacing w:line="360" w:lineRule="exact"/>
              <w:ind w:firstLineChars="0" w:firstLine="0"/>
              <w:jc w:val="center"/>
              <w:rPr>
                <w:sz w:val="18"/>
                <w:szCs w:val="18"/>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C20C7" w14:textId="77777777" w:rsidR="003E78AB" w:rsidRDefault="003E78AB">
            <w:pPr>
              <w:spacing w:line="360" w:lineRule="exact"/>
              <w:ind w:firstLineChars="0" w:firstLine="0"/>
              <w:jc w:val="center"/>
              <w:rPr>
                <w:sz w:val="18"/>
                <w:szCs w:val="18"/>
              </w:rPr>
            </w:pPr>
          </w:p>
        </w:tc>
      </w:tr>
      <w:tr w:rsidR="003E78AB" w14:paraId="2C8758DF" w14:textId="77777777">
        <w:trPr>
          <w:trHeight w:val="280"/>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762CA" w14:textId="77777777" w:rsidR="003E78AB" w:rsidRDefault="00010BF9">
            <w:pPr>
              <w:spacing w:line="360" w:lineRule="exact"/>
              <w:ind w:firstLineChars="0" w:firstLine="0"/>
              <w:jc w:val="center"/>
              <w:textAlignment w:val="center"/>
              <w:rPr>
                <w:sz w:val="18"/>
                <w:szCs w:val="18"/>
              </w:rPr>
            </w:pPr>
            <w:r>
              <w:rPr>
                <w:sz w:val="18"/>
                <w:szCs w:val="18"/>
                <w:lang w:bidi="ar"/>
              </w:rPr>
              <w:t>无组织</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5C4D6" w14:textId="77777777" w:rsidR="003E78AB" w:rsidRDefault="00010BF9">
            <w:pPr>
              <w:spacing w:line="360" w:lineRule="exact"/>
              <w:ind w:firstLineChars="0" w:firstLine="0"/>
              <w:jc w:val="center"/>
              <w:textAlignment w:val="center"/>
              <w:rPr>
                <w:sz w:val="18"/>
                <w:szCs w:val="18"/>
              </w:rPr>
            </w:pPr>
            <w:r>
              <w:rPr>
                <w:sz w:val="18"/>
                <w:szCs w:val="18"/>
                <w:lang w:bidi="ar"/>
              </w:rPr>
              <w:t>拆包投料</w:t>
            </w:r>
          </w:p>
        </w:tc>
        <w:tc>
          <w:tcPr>
            <w:tcW w:w="2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1D7C"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0EC6D"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AC4ED"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17BD5" w14:textId="77777777" w:rsidR="003E78AB" w:rsidRDefault="00010BF9">
            <w:pPr>
              <w:spacing w:line="360" w:lineRule="exact"/>
              <w:ind w:firstLineChars="0" w:firstLine="0"/>
              <w:jc w:val="center"/>
              <w:textAlignment w:val="center"/>
              <w:rPr>
                <w:sz w:val="18"/>
                <w:szCs w:val="18"/>
              </w:rPr>
            </w:pPr>
            <w:r>
              <w:rPr>
                <w:sz w:val="18"/>
                <w:szCs w:val="18"/>
                <w:lang w:bidi="ar"/>
              </w:rPr>
              <w:t>2500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7C02"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4C91"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82979"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BD5C8"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0.2404</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536CB"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0.6010</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3DB1E" w14:textId="77777777" w:rsidR="003E78AB" w:rsidRDefault="00010BF9">
            <w:pPr>
              <w:spacing w:line="360" w:lineRule="exact"/>
              <w:ind w:firstLineChars="0" w:firstLine="0"/>
              <w:jc w:val="center"/>
              <w:textAlignment w:val="center"/>
              <w:rPr>
                <w:sz w:val="18"/>
                <w:szCs w:val="18"/>
                <w:lang w:bidi="ar"/>
              </w:rPr>
            </w:pPr>
            <w:r>
              <w:rPr>
                <w:sz w:val="18"/>
                <w:szCs w:val="18"/>
                <w:lang w:bidi="ar"/>
              </w:rPr>
              <w:t>真空投料</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9F1C8" w14:textId="77777777" w:rsidR="003E78AB" w:rsidRDefault="00010BF9">
            <w:pPr>
              <w:spacing w:line="360" w:lineRule="exact"/>
              <w:ind w:firstLineChars="0" w:firstLine="0"/>
              <w:jc w:val="center"/>
              <w:textAlignment w:val="center"/>
              <w:rPr>
                <w:sz w:val="18"/>
                <w:szCs w:val="18"/>
                <w:lang w:bidi="ar"/>
              </w:rPr>
            </w:pPr>
            <w:r>
              <w:rPr>
                <w:sz w:val="18"/>
                <w:szCs w:val="18"/>
                <w:lang w:bidi="ar"/>
              </w:rPr>
              <w:t>70</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D3E02"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0769F"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0.0871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6576"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0.2178</w:t>
            </w:r>
          </w:p>
        </w:tc>
        <w:tc>
          <w:tcPr>
            <w:tcW w:w="2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541A" w14:textId="77777777" w:rsidR="003E78AB" w:rsidRDefault="00010BF9">
            <w:pPr>
              <w:spacing w:line="360" w:lineRule="exact"/>
              <w:ind w:firstLineChars="0" w:firstLine="0"/>
              <w:jc w:val="center"/>
              <w:textAlignment w:val="center"/>
              <w:rPr>
                <w:sz w:val="18"/>
                <w:szCs w:val="18"/>
              </w:rPr>
            </w:pPr>
            <w:r>
              <w:rPr>
                <w:sz w:val="18"/>
                <w:szCs w:val="18"/>
                <w:lang w:bidi="ar"/>
              </w:rPr>
              <w:t>17.5</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3101" w14:textId="77777777" w:rsidR="003E78AB" w:rsidRDefault="00010BF9">
            <w:pPr>
              <w:spacing w:line="360" w:lineRule="exact"/>
              <w:ind w:firstLineChars="0" w:firstLine="0"/>
              <w:jc w:val="center"/>
              <w:textAlignment w:val="center"/>
              <w:rPr>
                <w:sz w:val="18"/>
                <w:szCs w:val="18"/>
              </w:rPr>
            </w:pPr>
            <w:r>
              <w:rPr>
                <w:sz w:val="18"/>
                <w:szCs w:val="18"/>
                <w:lang w:bidi="ar"/>
              </w:rPr>
              <w:t>长度</w:t>
            </w:r>
            <w:r>
              <w:rPr>
                <w:sz w:val="18"/>
                <w:szCs w:val="18"/>
                <w:lang w:bidi="ar"/>
              </w:rPr>
              <w:t>m</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B8BE" w14:textId="77777777" w:rsidR="003E78AB" w:rsidRDefault="00010BF9">
            <w:pPr>
              <w:spacing w:line="360" w:lineRule="exact"/>
              <w:ind w:firstLineChars="0" w:firstLine="0"/>
              <w:jc w:val="center"/>
              <w:textAlignment w:val="center"/>
              <w:rPr>
                <w:sz w:val="18"/>
                <w:szCs w:val="18"/>
              </w:rPr>
            </w:pPr>
            <w:r>
              <w:rPr>
                <w:sz w:val="18"/>
                <w:szCs w:val="18"/>
                <w:lang w:bidi="ar"/>
              </w:rPr>
              <w:t>宽度</w:t>
            </w:r>
            <w:r>
              <w:rPr>
                <w:sz w:val="18"/>
                <w:szCs w:val="18"/>
                <w:lang w:bidi="ar"/>
              </w:rPr>
              <w:t>m</w:t>
            </w:r>
          </w:p>
        </w:tc>
      </w:tr>
      <w:tr w:rsidR="003E78AB" w14:paraId="6C85A82A" w14:textId="77777777">
        <w:trPr>
          <w:trHeight w:val="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922A0" w14:textId="77777777" w:rsidR="003E78AB" w:rsidRDefault="003E78AB">
            <w:pPr>
              <w:spacing w:line="360" w:lineRule="exact"/>
              <w:ind w:firstLineChars="0" w:firstLine="0"/>
              <w:jc w:val="center"/>
              <w:rPr>
                <w:sz w:val="18"/>
                <w:szCs w:val="18"/>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23621" w14:textId="77777777" w:rsidR="003E78AB" w:rsidRDefault="00010BF9">
            <w:pPr>
              <w:spacing w:line="360" w:lineRule="exact"/>
              <w:ind w:firstLineChars="0" w:firstLine="0"/>
              <w:jc w:val="center"/>
              <w:textAlignment w:val="center"/>
              <w:rPr>
                <w:sz w:val="18"/>
                <w:szCs w:val="18"/>
              </w:rPr>
            </w:pPr>
            <w:r>
              <w:rPr>
                <w:sz w:val="18"/>
                <w:szCs w:val="18"/>
                <w:lang w:bidi="ar"/>
              </w:rPr>
              <w:t>生产工序</w:t>
            </w:r>
          </w:p>
        </w:tc>
        <w:tc>
          <w:tcPr>
            <w:tcW w:w="2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3804E"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E14E4"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3F87"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5E992" w14:textId="77777777" w:rsidR="003E78AB" w:rsidRDefault="00010BF9">
            <w:pPr>
              <w:spacing w:line="360" w:lineRule="exact"/>
              <w:ind w:firstLineChars="0" w:firstLine="0"/>
              <w:jc w:val="center"/>
              <w:textAlignment w:val="center"/>
              <w:rPr>
                <w:sz w:val="18"/>
                <w:szCs w:val="18"/>
              </w:rPr>
            </w:pPr>
            <w:r>
              <w:rPr>
                <w:sz w:val="18"/>
                <w:szCs w:val="18"/>
                <w:lang w:bidi="ar"/>
              </w:rPr>
              <w:t>7920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E637A" w14:textId="77777777" w:rsidR="003E78AB" w:rsidRDefault="00010BF9">
            <w:pPr>
              <w:spacing w:line="360" w:lineRule="exact"/>
              <w:ind w:firstLineChars="0" w:firstLine="0"/>
              <w:jc w:val="center"/>
              <w:textAlignment w:val="center"/>
              <w:rPr>
                <w:sz w:val="18"/>
                <w:szCs w:val="18"/>
              </w:rPr>
            </w:pPr>
            <w:r>
              <w:rPr>
                <w:sz w:val="18"/>
                <w:szCs w:val="18"/>
                <w:lang w:bidi="ar"/>
              </w:rPr>
              <w:t>硫酸雾</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B0633" w14:textId="77777777" w:rsidR="003E78AB" w:rsidRDefault="00010BF9">
            <w:pPr>
              <w:spacing w:line="360" w:lineRule="exact"/>
              <w:ind w:firstLineChars="0" w:firstLine="0"/>
              <w:jc w:val="center"/>
              <w:textAlignment w:val="bottom"/>
              <w:rPr>
                <w:sz w:val="18"/>
                <w:szCs w:val="18"/>
              </w:rPr>
            </w:pPr>
            <w:r>
              <w:rPr>
                <w:sz w:val="18"/>
                <w:szCs w:val="18"/>
                <w:lang w:bidi="ar"/>
              </w:rPr>
              <w:t>物料衡算法</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CC48"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EECBB"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0.0088</w:t>
            </w:r>
          </w:p>
        </w:tc>
        <w:tc>
          <w:tcPr>
            <w:tcW w:w="2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C7E1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0.0697</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E7FD1"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3CA2" w14:textId="77777777" w:rsidR="003E78AB" w:rsidRDefault="00010BF9">
            <w:pPr>
              <w:spacing w:line="360" w:lineRule="exact"/>
              <w:ind w:firstLineChars="0" w:firstLine="0"/>
              <w:jc w:val="center"/>
              <w:textAlignment w:val="center"/>
              <w:rPr>
                <w:sz w:val="18"/>
                <w:szCs w:val="18"/>
                <w:lang w:bidi="ar"/>
              </w:rPr>
            </w:pPr>
            <w:r>
              <w:rPr>
                <w:sz w:val="18"/>
                <w:szCs w:val="18"/>
                <w:lang w:bidi="ar"/>
              </w:rPr>
              <w:t>0</w:t>
            </w:r>
          </w:p>
        </w:tc>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4E62D"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EFF3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0.0088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2145C"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0.0697</w:t>
            </w:r>
          </w:p>
        </w:tc>
        <w:tc>
          <w:tcPr>
            <w:tcW w:w="2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3E16B" w14:textId="77777777" w:rsidR="003E78AB" w:rsidRDefault="003E78AB">
            <w:pPr>
              <w:spacing w:line="360" w:lineRule="exact"/>
              <w:ind w:firstLineChars="0" w:firstLine="0"/>
              <w:jc w:val="center"/>
              <w:rPr>
                <w:sz w:val="18"/>
                <w:szCs w:val="18"/>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B9119" w14:textId="77777777" w:rsidR="003E78AB" w:rsidRDefault="00010BF9">
            <w:pPr>
              <w:spacing w:line="360" w:lineRule="exact"/>
              <w:ind w:firstLineChars="0" w:firstLine="0"/>
              <w:jc w:val="center"/>
              <w:textAlignment w:val="center"/>
              <w:rPr>
                <w:sz w:val="18"/>
                <w:szCs w:val="18"/>
              </w:rPr>
            </w:pPr>
            <w:r>
              <w:rPr>
                <w:sz w:val="18"/>
                <w:szCs w:val="18"/>
                <w:lang w:bidi="ar"/>
              </w:rPr>
              <w:t>96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5403" w14:textId="77777777" w:rsidR="003E78AB" w:rsidRDefault="00010BF9">
            <w:pPr>
              <w:spacing w:line="360" w:lineRule="exact"/>
              <w:ind w:firstLineChars="0" w:firstLine="0"/>
              <w:jc w:val="center"/>
              <w:textAlignment w:val="center"/>
              <w:rPr>
                <w:sz w:val="18"/>
                <w:szCs w:val="18"/>
              </w:rPr>
            </w:pPr>
            <w:r>
              <w:rPr>
                <w:sz w:val="18"/>
                <w:szCs w:val="18"/>
                <w:lang w:bidi="ar"/>
              </w:rPr>
              <w:t>58</w:t>
            </w:r>
          </w:p>
        </w:tc>
      </w:tr>
    </w:tbl>
    <w:p w14:paraId="5E91527C" w14:textId="77777777" w:rsidR="003E78AB" w:rsidRDefault="003E78AB">
      <w:pPr>
        <w:pStyle w:val="a1"/>
        <w:numPr>
          <w:ilvl w:val="0"/>
          <w:numId w:val="0"/>
        </w:numPr>
        <w:spacing w:line="520" w:lineRule="exact"/>
        <w:jc w:val="both"/>
        <w:sectPr w:rsidR="003E78AB">
          <w:pgSz w:w="16838" w:h="11906" w:orient="landscape"/>
          <w:pgMar w:top="1803" w:right="1440" w:bottom="1803" w:left="1440" w:header="850" w:footer="992" w:gutter="0"/>
          <w:cols w:space="720"/>
          <w:docGrid w:type="lines" w:linePitch="312"/>
        </w:sectPr>
      </w:pPr>
    </w:p>
    <w:p w14:paraId="08164960" w14:textId="77777777" w:rsidR="003E78AB" w:rsidRDefault="00010BF9">
      <w:pPr>
        <w:ind w:firstLine="480"/>
        <w:rPr>
          <w:kern w:val="2"/>
        </w:rPr>
      </w:pPr>
      <w:r>
        <w:rPr>
          <w:rFonts w:hint="eastAsia"/>
          <w:kern w:val="2"/>
        </w:rPr>
        <w:t>根据上表核算可知，拆包投料排气筒</w:t>
      </w:r>
      <w:r>
        <w:rPr>
          <w:rFonts w:hint="eastAsia"/>
          <w:kern w:val="2"/>
        </w:rPr>
        <w:t>DA001</w:t>
      </w:r>
      <w:r>
        <w:rPr>
          <w:rFonts w:hint="eastAsia"/>
          <w:kern w:val="2"/>
        </w:rPr>
        <w:t>和</w:t>
      </w:r>
      <w:r>
        <w:rPr>
          <w:rFonts w:hint="eastAsia"/>
          <w:kern w:val="2"/>
        </w:rPr>
        <w:t>DA002</w:t>
      </w:r>
      <w:r>
        <w:rPr>
          <w:kern w:val="2"/>
        </w:rPr>
        <w:t>颗粒物</w:t>
      </w:r>
      <w:r>
        <w:rPr>
          <w:rFonts w:hint="eastAsia"/>
          <w:kern w:val="2"/>
        </w:rPr>
        <w:t>排放浓度可满足</w:t>
      </w:r>
      <w:r>
        <w:rPr>
          <w:kern w:val="2"/>
        </w:rPr>
        <w:t>《无机化学工业污染物排放标准》（</w:t>
      </w:r>
      <w:r>
        <w:rPr>
          <w:kern w:val="2"/>
        </w:rPr>
        <w:t>GB31573-2015</w:t>
      </w:r>
      <w:r>
        <w:rPr>
          <w:kern w:val="2"/>
        </w:rPr>
        <w:t>）</w:t>
      </w:r>
      <w:r>
        <w:rPr>
          <w:rFonts w:hint="eastAsia"/>
          <w:kern w:val="2"/>
        </w:rPr>
        <w:t>表</w:t>
      </w:r>
      <w:r>
        <w:rPr>
          <w:rFonts w:hint="eastAsia"/>
          <w:kern w:val="2"/>
        </w:rPr>
        <w:t>3</w:t>
      </w:r>
      <w:r>
        <w:rPr>
          <w:rFonts w:hint="eastAsia"/>
          <w:kern w:val="2"/>
        </w:rPr>
        <w:t>中</w:t>
      </w:r>
      <w:r>
        <w:rPr>
          <w:rFonts w:hint="eastAsia"/>
          <w:kern w:val="2"/>
        </w:rPr>
        <w:t>30mg/m</w:t>
      </w:r>
      <w:r>
        <w:rPr>
          <w:rFonts w:hint="eastAsia"/>
          <w:kern w:val="2"/>
          <w:vertAlign w:val="superscript"/>
        </w:rPr>
        <w:t>3</w:t>
      </w:r>
      <w:r>
        <w:rPr>
          <w:rFonts w:hint="eastAsia"/>
          <w:kern w:val="2"/>
        </w:rPr>
        <w:t>限值要求；工艺废气排气筒</w:t>
      </w:r>
      <w:r>
        <w:rPr>
          <w:rFonts w:hint="eastAsia"/>
          <w:kern w:val="2"/>
        </w:rPr>
        <w:t>DA003</w:t>
      </w:r>
      <w:r>
        <w:rPr>
          <w:rFonts w:hint="eastAsia"/>
          <w:kern w:val="2"/>
        </w:rPr>
        <w:t>的</w:t>
      </w:r>
      <w:r>
        <w:rPr>
          <w:kern w:val="2"/>
        </w:rPr>
        <w:t>硫酸雾</w:t>
      </w:r>
      <w:r>
        <w:rPr>
          <w:rFonts w:hint="eastAsia"/>
          <w:kern w:val="2"/>
        </w:rPr>
        <w:t>排放浓度可满足</w:t>
      </w:r>
      <w:r>
        <w:rPr>
          <w:kern w:val="2"/>
        </w:rPr>
        <w:t>《无机化学工业污染物排放标准》（</w:t>
      </w:r>
      <w:r>
        <w:rPr>
          <w:kern w:val="2"/>
        </w:rPr>
        <w:t>GB31573-2015</w:t>
      </w:r>
      <w:r>
        <w:rPr>
          <w:kern w:val="2"/>
        </w:rPr>
        <w:t>）</w:t>
      </w:r>
      <w:r>
        <w:rPr>
          <w:rFonts w:hint="eastAsia"/>
          <w:kern w:val="2"/>
        </w:rPr>
        <w:t>表</w:t>
      </w:r>
      <w:r>
        <w:rPr>
          <w:rFonts w:hint="eastAsia"/>
          <w:kern w:val="2"/>
        </w:rPr>
        <w:t>3</w:t>
      </w:r>
      <w:r>
        <w:rPr>
          <w:rFonts w:hint="eastAsia"/>
          <w:kern w:val="2"/>
        </w:rPr>
        <w:t>中</w:t>
      </w:r>
      <w:r>
        <w:rPr>
          <w:rFonts w:hint="eastAsia"/>
          <w:kern w:val="2"/>
        </w:rPr>
        <w:t>20mg/m</w:t>
      </w:r>
      <w:r>
        <w:rPr>
          <w:rFonts w:hint="eastAsia"/>
          <w:kern w:val="2"/>
          <w:vertAlign w:val="superscript"/>
        </w:rPr>
        <w:t>3</w:t>
      </w:r>
      <w:r>
        <w:rPr>
          <w:rFonts w:hint="eastAsia"/>
          <w:kern w:val="2"/>
        </w:rPr>
        <w:t>限值要求；锅炉燃烧废气</w:t>
      </w:r>
      <w:r>
        <w:rPr>
          <w:rFonts w:hint="eastAsia"/>
          <w:kern w:val="2"/>
        </w:rPr>
        <w:t>DA004</w:t>
      </w:r>
      <w:r>
        <w:rPr>
          <w:rFonts w:hint="eastAsia"/>
          <w:kern w:val="2"/>
        </w:rPr>
        <w:t>的颗粒物、</w:t>
      </w:r>
      <w:r>
        <w:rPr>
          <w:rFonts w:hint="eastAsia"/>
          <w:kern w:val="2"/>
        </w:rPr>
        <w:t>SO</w:t>
      </w:r>
      <w:r>
        <w:rPr>
          <w:rFonts w:hint="eastAsia"/>
          <w:kern w:val="2"/>
          <w:vertAlign w:val="subscript"/>
        </w:rPr>
        <w:t>2</w:t>
      </w:r>
      <w:r>
        <w:rPr>
          <w:rFonts w:hint="eastAsia"/>
          <w:kern w:val="2"/>
        </w:rPr>
        <w:t>、</w:t>
      </w:r>
      <w:r>
        <w:rPr>
          <w:rFonts w:hint="eastAsia"/>
          <w:kern w:val="2"/>
        </w:rPr>
        <w:t>NOx</w:t>
      </w:r>
      <w:r>
        <w:rPr>
          <w:rFonts w:hint="eastAsia"/>
          <w:kern w:val="2"/>
        </w:rPr>
        <w:t>可满足《锅炉大气污染物排放标准》《</w:t>
      </w:r>
      <w:r>
        <w:rPr>
          <w:rFonts w:hint="eastAsia"/>
          <w:kern w:val="2"/>
        </w:rPr>
        <w:t>GB13271-2014</w:t>
      </w:r>
      <w:r>
        <w:rPr>
          <w:rFonts w:hint="eastAsia"/>
          <w:kern w:val="2"/>
        </w:rPr>
        <w:t>》中</w:t>
      </w:r>
      <w:r>
        <w:rPr>
          <w:rFonts w:hint="eastAsia"/>
          <w:kern w:val="2"/>
        </w:rPr>
        <w:t>20</w:t>
      </w:r>
      <w:r>
        <w:rPr>
          <w:rFonts w:hint="eastAsia"/>
          <w:kern w:val="2"/>
        </w:rPr>
        <w:t>、</w:t>
      </w:r>
      <w:r>
        <w:rPr>
          <w:rFonts w:hint="eastAsia"/>
          <w:kern w:val="2"/>
        </w:rPr>
        <w:t>50</w:t>
      </w:r>
      <w:r>
        <w:rPr>
          <w:rFonts w:hint="eastAsia"/>
          <w:kern w:val="2"/>
        </w:rPr>
        <w:t>、</w:t>
      </w:r>
      <w:r>
        <w:rPr>
          <w:rFonts w:hint="eastAsia"/>
          <w:kern w:val="2"/>
        </w:rPr>
        <w:t>200mg/m</w:t>
      </w:r>
      <w:r>
        <w:rPr>
          <w:rFonts w:hint="eastAsia"/>
          <w:kern w:val="2"/>
          <w:vertAlign w:val="superscript"/>
        </w:rPr>
        <w:t>3</w:t>
      </w:r>
      <w:r>
        <w:rPr>
          <w:rFonts w:hint="eastAsia"/>
          <w:kern w:val="2"/>
        </w:rPr>
        <w:t>限值</w:t>
      </w:r>
      <w:r>
        <w:rPr>
          <w:rFonts w:hint="eastAsia"/>
          <w:kern w:val="2"/>
        </w:rPr>
        <w:t>要求，且</w:t>
      </w:r>
      <w:r>
        <w:rPr>
          <w:rFonts w:hint="eastAsia"/>
          <w:kern w:val="2"/>
        </w:rPr>
        <w:t>NOx</w:t>
      </w:r>
      <w:r>
        <w:rPr>
          <w:rFonts w:hint="eastAsia"/>
          <w:kern w:val="2"/>
        </w:rPr>
        <w:t>可满足《关于开展自治区</w:t>
      </w:r>
      <w:r>
        <w:rPr>
          <w:rFonts w:hint="eastAsia"/>
          <w:kern w:val="2"/>
        </w:rPr>
        <w:t>2022</w:t>
      </w:r>
      <w:r>
        <w:rPr>
          <w:rFonts w:hint="eastAsia"/>
          <w:kern w:val="2"/>
        </w:rPr>
        <w:t>年度夏秋季大气污染防治“冬病夏治”工作的通知》（新环大气函〔</w:t>
      </w:r>
      <w:r>
        <w:rPr>
          <w:rFonts w:hint="eastAsia"/>
          <w:kern w:val="2"/>
        </w:rPr>
        <w:t>2022</w:t>
      </w:r>
      <w:r>
        <w:rPr>
          <w:rFonts w:hint="eastAsia"/>
          <w:kern w:val="2"/>
        </w:rPr>
        <w:t>〕</w:t>
      </w:r>
      <w:r>
        <w:rPr>
          <w:rFonts w:hint="eastAsia"/>
          <w:kern w:val="2"/>
        </w:rPr>
        <w:t>483</w:t>
      </w:r>
      <w:r>
        <w:rPr>
          <w:rFonts w:hint="eastAsia"/>
          <w:kern w:val="2"/>
        </w:rPr>
        <w:t>号）中</w:t>
      </w:r>
      <w:r>
        <w:rPr>
          <w:rFonts w:hint="eastAsia"/>
          <w:kern w:val="2"/>
        </w:rPr>
        <w:t>50mg/m</w:t>
      </w:r>
      <w:r>
        <w:rPr>
          <w:rFonts w:hint="eastAsia"/>
          <w:kern w:val="2"/>
          <w:vertAlign w:val="superscript"/>
        </w:rPr>
        <w:t>3</w:t>
      </w:r>
      <w:r>
        <w:rPr>
          <w:rFonts w:hint="eastAsia"/>
          <w:kern w:val="2"/>
        </w:rPr>
        <w:t>限值要求。</w:t>
      </w:r>
    </w:p>
    <w:p w14:paraId="5A0991AF" w14:textId="77777777" w:rsidR="003E78AB" w:rsidRDefault="00010BF9">
      <w:pPr>
        <w:ind w:firstLine="480"/>
        <w:rPr>
          <w:kern w:val="2"/>
        </w:rPr>
      </w:pPr>
      <w:r>
        <w:rPr>
          <w:kern w:val="2"/>
        </w:rPr>
        <w:t>（</w:t>
      </w:r>
      <w:r>
        <w:rPr>
          <w:kern w:val="2"/>
        </w:rPr>
        <w:t>7</w:t>
      </w:r>
      <w:r>
        <w:rPr>
          <w:kern w:val="2"/>
        </w:rPr>
        <w:t>）事故状态下废气污染源及污染物分析</w:t>
      </w:r>
    </w:p>
    <w:p w14:paraId="3C26CE0D" w14:textId="77777777" w:rsidR="003E78AB" w:rsidRDefault="00010BF9">
      <w:pPr>
        <w:ind w:firstLine="480"/>
        <w:rPr>
          <w:kern w:val="2"/>
        </w:rPr>
      </w:pPr>
      <w:r>
        <w:rPr>
          <w:kern w:val="2"/>
        </w:rPr>
        <w:t>①</w:t>
      </w:r>
      <w:r>
        <w:rPr>
          <w:kern w:val="2"/>
        </w:rPr>
        <w:t>非正常运行工况</w:t>
      </w:r>
    </w:p>
    <w:p w14:paraId="37BB9CA5" w14:textId="77777777" w:rsidR="003E78AB" w:rsidRDefault="00010BF9">
      <w:pPr>
        <w:ind w:firstLine="480"/>
        <w:rPr>
          <w:kern w:val="2"/>
        </w:rPr>
      </w:pPr>
      <w:r>
        <w:rPr>
          <w:kern w:val="2"/>
        </w:rPr>
        <w:t>项目主要生产线为批次生产，生产线启停过程产生的污染物与正常生产工况下产生的污染物基本一致，故本次评价不考虑生产线启停过程污染物排放。</w:t>
      </w:r>
    </w:p>
    <w:p w14:paraId="33752A34" w14:textId="77777777" w:rsidR="003E78AB" w:rsidRDefault="00010BF9">
      <w:pPr>
        <w:ind w:firstLine="480"/>
        <w:rPr>
          <w:kern w:val="2"/>
        </w:rPr>
      </w:pPr>
      <w:r>
        <w:rPr>
          <w:kern w:val="2"/>
        </w:rPr>
        <w:t>②</w:t>
      </w:r>
      <w:r>
        <w:rPr>
          <w:kern w:val="2"/>
        </w:rPr>
        <w:t>环境保护措施故障</w:t>
      </w:r>
    </w:p>
    <w:p w14:paraId="30E0D293" w14:textId="77777777" w:rsidR="003E78AB" w:rsidRDefault="00010BF9">
      <w:pPr>
        <w:ind w:firstLine="480"/>
        <w:rPr>
          <w:kern w:val="2"/>
        </w:rPr>
      </w:pPr>
      <w:r>
        <w:rPr>
          <w:kern w:val="2"/>
        </w:rPr>
        <w:t>项目工程实施后有组织排放点共计</w:t>
      </w:r>
      <w:r>
        <w:rPr>
          <w:rFonts w:hint="eastAsia"/>
          <w:kern w:val="2"/>
        </w:rPr>
        <w:t>4</w:t>
      </w:r>
      <w:r>
        <w:rPr>
          <w:kern w:val="2"/>
        </w:rPr>
        <w:t>个，评价以污染物排放量较大的</w:t>
      </w:r>
      <w:r>
        <w:rPr>
          <w:rFonts w:hint="eastAsia"/>
          <w:kern w:val="2"/>
        </w:rPr>
        <w:t>生产工艺</w:t>
      </w:r>
      <w:r>
        <w:rPr>
          <w:kern w:val="2"/>
        </w:rPr>
        <w:t>废气排气筒</w:t>
      </w:r>
      <w:r>
        <w:rPr>
          <w:kern w:val="2"/>
        </w:rPr>
        <w:t>DA00</w:t>
      </w:r>
      <w:r>
        <w:rPr>
          <w:rFonts w:hint="eastAsia"/>
          <w:kern w:val="2"/>
        </w:rPr>
        <w:t>3</w:t>
      </w:r>
      <w:r>
        <w:rPr>
          <w:kern w:val="2"/>
        </w:rPr>
        <w:t>环保设施非正常运行计算污染物非正常排放情况。其中设定环保设施治理效率降低至</w:t>
      </w:r>
      <w:r>
        <w:rPr>
          <w:rFonts w:hint="eastAsia"/>
          <w:kern w:val="2"/>
        </w:rPr>
        <w:t>36</w:t>
      </w:r>
      <w:r>
        <w:rPr>
          <w:kern w:val="2"/>
        </w:rPr>
        <w:t>%</w:t>
      </w:r>
      <w:r>
        <w:rPr>
          <w:rFonts w:hint="eastAsia"/>
          <w:kern w:val="2"/>
        </w:rPr>
        <w:t>（视同两级水洗）</w:t>
      </w:r>
      <w:r>
        <w:rPr>
          <w:kern w:val="2"/>
        </w:rPr>
        <w:t>，则环保设施非正常运行时排放源强见</w:t>
      </w:r>
      <w:r>
        <w:rPr>
          <w:rFonts w:hint="eastAsia"/>
          <w:kern w:val="2"/>
        </w:rPr>
        <w:fldChar w:fldCharType="begin"/>
      </w:r>
      <w:r>
        <w:rPr>
          <w:rFonts w:hint="eastAsia"/>
          <w:kern w:val="2"/>
        </w:rPr>
        <w:instrText xml:space="preserve"> REF _Ref22644 \r \h </w:instrText>
      </w:r>
      <w:r>
        <w:rPr>
          <w:rFonts w:hint="eastAsia"/>
          <w:kern w:val="2"/>
        </w:rPr>
      </w:r>
      <w:r>
        <w:rPr>
          <w:rFonts w:hint="eastAsia"/>
          <w:kern w:val="2"/>
        </w:rPr>
        <w:fldChar w:fldCharType="separate"/>
      </w:r>
      <w:r>
        <w:rPr>
          <w:rFonts w:hint="eastAsia"/>
          <w:kern w:val="2"/>
        </w:rPr>
        <w:t>表</w:t>
      </w:r>
      <w:r>
        <w:rPr>
          <w:rFonts w:hint="eastAsia"/>
          <w:kern w:val="2"/>
        </w:rPr>
        <w:t>3-25</w:t>
      </w:r>
      <w:r>
        <w:rPr>
          <w:rFonts w:hint="eastAsia"/>
          <w:kern w:val="2"/>
        </w:rPr>
        <w:fldChar w:fldCharType="end"/>
      </w:r>
      <w:r>
        <w:rPr>
          <w:kern w:val="2"/>
        </w:rPr>
        <w:t>。</w:t>
      </w:r>
    </w:p>
    <w:p w14:paraId="3BFB2865" w14:textId="77777777" w:rsidR="003E78AB" w:rsidRDefault="00010BF9">
      <w:pPr>
        <w:pStyle w:val="a1"/>
        <w:rPr>
          <w:kern w:val="2"/>
          <w:szCs w:val="21"/>
        </w:rPr>
      </w:pPr>
      <w:bookmarkStart w:id="258" w:name="_Ref22644"/>
      <w:r>
        <w:t>环保设施非正常运转污染物排放情况</w:t>
      </w:r>
      <w:bookmarkEnd w:id="2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874"/>
        <w:gridCol w:w="901"/>
        <w:gridCol w:w="688"/>
        <w:gridCol w:w="899"/>
        <w:gridCol w:w="986"/>
        <w:gridCol w:w="662"/>
        <w:gridCol w:w="873"/>
        <w:gridCol w:w="873"/>
        <w:gridCol w:w="882"/>
      </w:tblGrid>
      <w:tr w:rsidR="003E78AB" w14:paraId="3BA056B3" w14:textId="77777777">
        <w:trPr>
          <w:trHeight w:val="510"/>
        </w:trPr>
        <w:tc>
          <w:tcPr>
            <w:tcW w:w="512" w:type="pct"/>
            <w:vMerge w:val="restart"/>
            <w:tcBorders>
              <w:tl2br w:val="nil"/>
              <w:tr2bl w:val="nil"/>
            </w:tcBorders>
            <w:shd w:val="clear" w:color="auto" w:fill="auto"/>
            <w:vAlign w:val="center"/>
          </w:tcPr>
          <w:p w14:paraId="2D49801C" w14:textId="77777777" w:rsidR="003E78AB" w:rsidRDefault="00010BF9">
            <w:pPr>
              <w:spacing w:line="240" w:lineRule="auto"/>
              <w:ind w:firstLineChars="0" w:firstLine="0"/>
              <w:jc w:val="center"/>
              <w:rPr>
                <w:b/>
                <w:bCs/>
                <w:kern w:val="2"/>
                <w:sz w:val="21"/>
                <w:szCs w:val="21"/>
              </w:rPr>
            </w:pPr>
            <w:r>
              <w:rPr>
                <w:b/>
                <w:bCs/>
                <w:kern w:val="2"/>
                <w:sz w:val="21"/>
                <w:szCs w:val="21"/>
              </w:rPr>
              <w:t>排放源</w:t>
            </w:r>
          </w:p>
        </w:tc>
        <w:tc>
          <w:tcPr>
            <w:tcW w:w="1042" w:type="pct"/>
            <w:gridSpan w:val="2"/>
            <w:vMerge w:val="restart"/>
            <w:tcBorders>
              <w:tl2br w:val="nil"/>
              <w:tr2bl w:val="nil"/>
            </w:tcBorders>
            <w:shd w:val="clear" w:color="auto" w:fill="auto"/>
            <w:vAlign w:val="center"/>
          </w:tcPr>
          <w:p w14:paraId="77C48EB5" w14:textId="77777777" w:rsidR="003E78AB" w:rsidRDefault="00010BF9">
            <w:pPr>
              <w:spacing w:line="240" w:lineRule="auto"/>
              <w:ind w:firstLineChars="0" w:firstLine="0"/>
              <w:jc w:val="center"/>
              <w:rPr>
                <w:b/>
                <w:bCs/>
                <w:kern w:val="2"/>
                <w:sz w:val="21"/>
                <w:szCs w:val="21"/>
              </w:rPr>
            </w:pPr>
            <w:r>
              <w:rPr>
                <w:b/>
                <w:bCs/>
                <w:kern w:val="2"/>
                <w:sz w:val="21"/>
                <w:szCs w:val="21"/>
              </w:rPr>
              <w:t>污染物</w:t>
            </w:r>
          </w:p>
        </w:tc>
        <w:tc>
          <w:tcPr>
            <w:tcW w:w="932" w:type="pct"/>
            <w:gridSpan w:val="2"/>
            <w:tcBorders>
              <w:tl2br w:val="nil"/>
              <w:tr2bl w:val="nil"/>
            </w:tcBorders>
            <w:shd w:val="clear" w:color="auto" w:fill="auto"/>
            <w:vAlign w:val="center"/>
          </w:tcPr>
          <w:p w14:paraId="4AA39C1B" w14:textId="77777777" w:rsidR="003E78AB" w:rsidRDefault="00010BF9">
            <w:pPr>
              <w:spacing w:line="240" w:lineRule="auto"/>
              <w:ind w:firstLineChars="0" w:firstLine="0"/>
              <w:jc w:val="center"/>
              <w:rPr>
                <w:b/>
                <w:bCs/>
                <w:kern w:val="2"/>
                <w:sz w:val="21"/>
                <w:szCs w:val="21"/>
              </w:rPr>
            </w:pPr>
            <w:r>
              <w:rPr>
                <w:b/>
                <w:bCs/>
                <w:kern w:val="2"/>
                <w:sz w:val="21"/>
                <w:szCs w:val="21"/>
              </w:rPr>
              <w:t>正常排放</w:t>
            </w:r>
          </w:p>
        </w:tc>
        <w:tc>
          <w:tcPr>
            <w:tcW w:w="2512" w:type="pct"/>
            <w:gridSpan w:val="5"/>
            <w:tcBorders>
              <w:tl2br w:val="nil"/>
              <w:tr2bl w:val="nil"/>
            </w:tcBorders>
            <w:shd w:val="clear" w:color="auto" w:fill="auto"/>
            <w:vAlign w:val="center"/>
          </w:tcPr>
          <w:p w14:paraId="01A89672" w14:textId="77777777" w:rsidR="003E78AB" w:rsidRDefault="00010BF9">
            <w:pPr>
              <w:spacing w:line="240" w:lineRule="auto"/>
              <w:ind w:firstLineChars="0" w:firstLine="0"/>
              <w:jc w:val="center"/>
              <w:rPr>
                <w:b/>
                <w:bCs/>
                <w:kern w:val="2"/>
                <w:sz w:val="21"/>
                <w:szCs w:val="21"/>
              </w:rPr>
            </w:pPr>
            <w:r>
              <w:rPr>
                <w:b/>
                <w:bCs/>
                <w:kern w:val="2"/>
                <w:sz w:val="21"/>
                <w:szCs w:val="21"/>
              </w:rPr>
              <w:t>非正常排放</w:t>
            </w:r>
          </w:p>
        </w:tc>
      </w:tr>
      <w:tr w:rsidR="003E78AB" w14:paraId="43604916" w14:textId="77777777">
        <w:trPr>
          <w:trHeight w:val="510"/>
        </w:trPr>
        <w:tc>
          <w:tcPr>
            <w:tcW w:w="512" w:type="pct"/>
            <w:vMerge/>
            <w:tcBorders>
              <w:tl2br w:val="nil"/>
              <w:tr2bl w:val="nil"/>
            </w:tcBorders>
            <w:shd w:val="clear" w:color="auto" w:fill="auto"/>
            <w:vAlign w:val="center"/>
          </w:tcPr>
          <w:p w14:paraId="112AEF37" w14:textId="77777777" w:rsidR="003E78AB" w:rsidRDefault="003E78AB">
            <w:pPr>
              <w:spacing w:line="240" w:lineRule="auto"/>
              <w:ind w:firstLineChars="0" w:firstLine="0"/>
              <w:jc w:val="center"/>
              <w:rPr>
                <w:b/>
                <w:bCs/>
                <w:kern w:val="2"/>
                <w:sz w:val="21"/>
                <w:szCs w:val="21"/>
              </w:rPr>
            </w:pPr>
          </w:p>
        </w:tc>
        <w:tc>
          <w:tcPr>
            <w:tcW w:w="1042" w:type="pct"/>
            <w:gridSpan w:val="2"/>
            <w:vMerge/>
            <w:tcBorders>
              <w:tl2br w:val="nil"/>
              <w:tr2bl w:val="nil"/>
            </w:tcBorders>
            <w:shd w:val="clear" w:color="auto" w:fill="auto"/>
            <w:vAlign w:val="center"/>
          </w:tcPr>
          <w:p w14:paraId="3727DC49" w14:textId="77777777" w:rsidR="003E78AB" w:rsidRDefault="003E78AB">
            <w:pPr>
              <w:spacing w:line="240" w:lineRule="auto"/>
              <w:ind w:firstLineChars="0" w:firstLine="0"/>
              <w:jc w:val="center"/>
              <w:rPr>
                <w:b/>
                <w:bCs/>
                <w:kern w:val="2"/>
                <w:sz w:val="21"/>
                <w:szCs w:val="21"/>
              </w:rPr>
            </w:pPr>
          </w:p>
        </w:tc>
        <w:tc>
          <w:tcPr>
            <w:tcW w:w="404" w:type="pct"/>
            <w:tcBorders>
              <w:tl2br w:val="nil"/>
              <w:tr2bl w:val="nil"/>
            </w:tcBorders>
            <w:shd w:val="clear" w:color="auto" w:fill="auto"/>
            <w:vAlign w:val="center"/>
          </w:tcPr>
          <w:p w14:paraId="0F3AA50E" w14:textId="77777777" w:rsidR="003E78AB" w:rsidRDefault="00010BF9">
            <w:pPr>
              <w:spacing w:line="240" w:lineRule="auto"/>
              <w:ind w:firstLineChars="0" w:firstLine="0"/>
              <w:jc w:val="center"/>
              <w:rPr>
                <w:b/>
                <w:bCs/>
                <w:kern w:val="2"/>
                <w:sz w:val="21"/>
                <w:szCs w:val="21"/>
              </w:rPr>
            </w:pPr>
            <w:r>
              <w:rPr>
                <w:b/>
                <w:bCs/>
                <w:kern w:val="2"/>
                <w:sz w:val="21"/>
                <w:szCs w:val="21"/>
              </w:rPr>
              <w:t>效率</w:t>
            </w:r>
          </w:p>
          <w:p w14:paraId="57DAB6F8" w14:textId="77777777" w:rsidR="003E78AB" w:rsidRDefault="00010BF9">
            <w:pPr>
              <w:spacing w:line="240" w:lineRule="auto"/>
              <w:ind w:firstLineChars="0" w:firstLine="0"/>
              <w:jc w:val="center"/>
              <w:rPr>
                <w:b/>
                <w:bCs/>
                <w:kern w:val="2"/>
                <w:sz w:val="21"/>
                <w:szCs w:val="21"/>
              </w:rPr>
            </w:pPr>
            <w:r>
              <w:rPr>
                <w:b/>
                <w:bCs/>
                <w:kern w:val="2"/>
                <w:sz w:val="21"/>
                <w:szCs w:val="21"/>
              </w:rPr>
              <w:t>%</w:t>
            </w:r>
          </w:p>
        </w:tc>
        <w:tc>
          <w:tcPr>
            <w:tcW w:w="528" w:type="pct"/>
            <w:tcBorders>
              <w:tl2br w:val="nil"/>
              <w:tr2bl w:val="nil"/>
            </w:tcBorders>
            <w:shd w:val="clear" w:color="auto" w:fill="auto"/>
            <w:vAlign w:val="center"/>
          </w:tcPr>
          <w:p w14:paraId="7CAA1A5D" w14:textId="77777777" w:rsidR="003E78AB" w:rsidRDefault="00010BF9">
            <w:pPr>
              <w:spacing w:line="240" w:lineRule="auto"/>
              <w:ind w:firstLineChars="0" w:firstLine="0"/>
              <w:jc w:val="center"/>
              <w:rPr>
                <w:b/>
                <w:bCs/>
                <w:kern w:val="2"/>
                <w:sz w:val="21"/>
                <w:szCs w:val="21"/>
              </w:rPr>
            </w:pPr>
            <w:r>
              <w:rPr>
                <w:b/>
                <w:bCs/>
                <w:kern w:val="2"/>
                <w:sz w:val="21"/>
                <w:szCs w:val="21"/>
              </w:rPr>
              <w:t>排放速率</w:t>
            </w:r>
          </w:p>
          <w:p w14:paraId="24C24C8F" w14:textId="77777777" w:rsidR="003E78AB" w:rsidRDefault="00010BF9">
            <w:pPr>
              <w:spacing w:line="240" w:lineRule="auto"/>
              <w:ind w:firstLineChars="0" w:firstLine="0"/>
              <w:jc w:val="center"/>
              <w:rPr>
                <w:b/>
                <w:bCs/>
                <w:kern w:val="2"/>
                <w:sz w:val="21"/>
                <w:szCs w:val="21"/>
              </w:rPr>
            </w:pPr>
            <w:r>
              <w:rPr>
                <w:b/>
                <w:bCs/>
                <w:kern w:val="2"/>
                <w:sz w:val="21"/>
                <w:szCs w:val="21"/>
              </w:rPr>
              <w:t>kg/h</w:t>
            </w:r>
          </w:p>
        </w:tc>
        <w:tc>
          <w:tcPr>
            <w:tcW w:w="579" w:type="pct"/>
            <w:tcBorders>
              <w:tl2br w:val="nil"/>
              <w:tr2bl w:val="nil"/>
            </w:tcBorders>
            <w:shd w:val="clear" w:color="auto" w:fill="auto"/>
            <w:vAlign w:val="center"/>
          </w:tcPr>
          <w:p w14:paraId="4CFFDDA5" w14:textId="77777777" w:rsidR="003E78AB" w:rsidRDefault="00010BF9">
            <w:pPr>
              <w:spacing w:line="240" w:lineRule="auto"/>
              <w:ind w:firstLineChars="0" w:firstLine="0"/>
              <w:jc w:val="center"/>
              <w:rPr>
                <w:b/>
                <w:bCs/>
                <w:kern w:val="2"/>
                <w:sz w:val="21"/>
                <w:szCs w:val="21"/>
              </w:rPr>
            </w:pPr>
            <w:r>
              <w:rPr>
                <w:b/>
                <w:bCs/>
                <w:kern w:val="2"/>
                <w:sz w:val="21"/>
                <w:szCs w:val="21"/>
              </w:rPr>
              <w:t>非正常排放原因</w:t>
            </w:r>
          </w:p>
        </w:tc>
        <w:tc>
          <w:tcPr>
            <w:tcW w:w="389" w:type="pct"/>
            <w:tcBorders>
              <w:tl2br w:val="nil"/>
              <w:tr2bl w:val="nil"/>
            </w:tcBorders>
            <w:shd w:val="clear" w:color="auto" w:fill="auto"/>
            <w:vAlign w:val="center"/>
          </w:tcPr>
          <w:p w14:paraId="0EE6D8AA" w14:textId="77777777" w:rsidR="003E78AB" w:rsidRDefault="00010BF9">
            <w:pPr>
              <w:spacing w:line="240" w:lineRule="auto"/>
              <w:ind w:firstLineChars="0" w:firstLine="0"/>
              <w:jc w:val="center"/>
              <w:rPr>
                <w:b/>
                <w:bCs/>
                <w:kern w:val="2"/>
                <w:sz w:val="21"/>
                <w:szCs w:val="21"/>
              </w:rPr>
            </w:pPr>
            <w:r>
              <w:rPr>
                <w:b/>
                <w:bCs/>
                <w:kern w:val="2"/>
                <w:sz w:val="21"/>
                <w:szCs w:val="21"/>
              </w:rPr>
              <w:t>效率</w:t>
            </w:r>
          </w:p>
          <w:p w14:paraId="49129D71" w14:textId="77777777" w:rsidR="003E78AB" w:rsidRDefault="00010BF9">
            <w:pPr>
              <w:spacing w:line="240" w:lineRule="auto"/>
              <w:ind w:firstLineChars="0" w:firstLine="0"/>
              <w:jc w:val="center"/>
              <w:rPr>
                <w:b/>
                <w:bCs/>
                <w:kern w:val="2"/>
                <w:sz w:val="21"/>
                <w:szCs w:val="21"/>
              </w:rPr>
            </w:pPr>
            <w:r>
              <w:rPr>
                <w:b/>
                <w:bCs/>
                <w:kern w:val="2"/>
                <w:sz w:val="21"/>
                <w:szCs w:val="21"/>
              </w:rPr>
              <w:t>%</w:t>
            </w:r>
          </w:p>
        </w:tc>
        <w:tc>
          <w:tcPr>
            <w:tcW w:w="513" w:type="pct"/>
            <w:tcBorders>
              <w:tl2br w:val="nil"/>
              <w:tr2bl w:val="nil"/>
            </w:tcBorders>
            <w:shd w:val="clear" w:color="auto" w:fill="auto"/>
            <w:vAlign w:val="center"/>
          </w:tcPr>
          <w:p w14:paraId="6A2ECDEB" w14:textId="77777777" w:rsidR="003E78AB" w:rsidRDefault="00010BF9">
            <w:pPr>
              <w:spacing w:line="240" w:lineRule="auto"/>
              <w:ind w:firstLineChars="0" w:firstLine="0"/>
              <w:jc w:val="center"/>
              <w:rPr>
                <w:b/>
                <w:bCs/>
                <w:kern w:val="2"/>
                <w:sz w:val="21"/>
                <w:szCs w:val="21"/>
              </w:rPr>
            </w:pPr>
            <w:r>
              <w:rPr>
                <w:b/>
                <w:bCs/>
                <w:kern w:val="2"/>
                <w:sz w:val="21"/>
                <w:szCs w:val="21"/>
              </w:rPr>
              <w:t>排放速率</w:t>
            </w:r>
          </w:p>
          <w:p w14:paraId="209E905B" w14:textId="77777777" w:rsidR="003E78AB" w:rsidRDefault="00010BF9">
            <w:pPr>
              <w:spacing w:line="240" w:lineRule="auto"/>
              <w:ind w:firstLineChars="0" w:firstLine="0"/>
              <w:jc w:val="center"/>
              <w:rPr>
                <w:b/>
                <w:bCs/>
                <w:kern w:val="2"/>
                <w:sz w:val="21"/>
                <w:szCs w:val="21"/>
              </w:rPr>
            </w:pPr>
            <w:r>
              <w:rPr>
                <w:b/>
                <w:bCs/>
                <w:kern w:val="2"/>
                <w:sz w:val="21"/>
                <w:szCs w:val="21"/>
              </w:rPr>
              <w:t>kg/h</w:t>
            </w:r>
          </w:p>
        </w:tc>
        <w:tc>
          <w:tcPr>
            <w:tcW w:w="513" w:type="pct"/>
            <w:tcBorders>
              <w:tl2br w:val="nil"/>
              <w:tr2bl w:val="nil"/>
            </w:tcBorders>
            <w:shd w:val="clear" w:color="auto" w:fill="auto"/>
            <w:vAlign w:val="center"/>
          </w:tcPr>
          <w:p w14:paraId="7E14C0AE" w14:textId="77777777" w:rsidR="003E78AB" w:rsidRDefault="00010BF9">
            <w:pPr>
              <w:spacing w:line="240" w:lineRule="auto"/>
              <w:ind w:firstLineChars="0" w:firstLine="0"/>
              <w:jc w:val="center"/>
              <w:rPr>
                <w:b/>
                <w:bCs/>
                <w:kern w:val="2"/>
                <w:sz w:val="21"/>
                <w:szCs w:val="21"/>
              </w:rPr>
            </w:pPr>
            <w:r>
              <w:rPr>
                <w:b/>
                <w:bCs/>
                <w:kern w:val="2"/>
                <w:sz w:val="21"/>
                <w:szCs w:val="21"/>
              </w:rPr>
              <w:t>单次持</w:t>
            </w:r>
          </w:p>
          <w:p w14:paraId="7D30DA4E" w14:textId="77777777" w:rsidR="003E78AB" w:rsidRDefault="00010BF9">
            <w:pPr>
              <w:spacing w:line="240" w:lineRule="auto"/>
              <w:ind w:firstLineChars="0" w:firstLine="0"/>
              <w:jc w:val="center"/>
              <w:rPr>
                <w:b/>
                <w:bCs/>
                <w:kern w:val="2"/>
                <w:sz w:val="21"/>
                <w:szCs w:val="21"/>
              </w:rPr>
            </w:pPr>
            <w:r>
              <w:rPr>
                <w:b/>
                <w:bCs/>
                <w:kern w:val="2"/>
                <w:sz w:val="21"/>
                <w:szCs w:val="21"/>
              </w:rPr>
              <w:t>续时间</w:t>
            </w:r>
            <w:r>
              <w:rPr>
                <w:b/>
                <w:bCs/>
                <w:kern w:val="2"/>
                <w:sz w:val="21"/>
                <w:szCs w:val="21"/>
              </w:rPr>
              <w:t>h</w:t>
            </w:r>
          </w:p>
        </w:tc>
        <w:tc>
          <w:tcPr>
            <w:tcW w:w="515" w:type="pct"/>
            <w:tcBorders>
              <w:tl2br w:val="nil"/>
              <w:tr2bl w:val="nil"/>
            </w:tcBorders>
            <w:shd w:val="clear" w:color="auto" w:fill="auto"/>
            <w:vAlign w:val="center"/>
          </w:tcPr>
          <w:p w14:paraId="5633CF5B" w14:textId="77777777" w:rsidR="003E78AB" w:rsidRDefault="00010BF9">
            <w:pPr>
              <w:spacing w:line="240" w:lineRule="auto"/>
              <w:ind w:firstLineChars="0" w:firstLine="0"/>
              <w:jc w:val="center"/>
              <w:rPr>
                <w:b/>
                <w:bCs/>
                <w:kern w:val="2"/>
                <w:sz w:val="21"/>
                <w:szCs w:val="21"/>
              </w:rPr>
            </w:pPr>
            <w:r>
              <w:rPr>
                <w:b/>
                <w:bCs/>
                <w:kern w:val="2"/>
                <w:sz w:val="21"/>
                <w:szCs w:val="21"/>
              </w:rPr>
              <w:t>年发生频率</w:t>
            </w:r>
          </w:p>
          <w:p w14:paraId="1CA6BAFD" w14:textId="77777777" w:rsidR="003E78AB" w:rsidRDefault="00010BF9">
            <w:pPr>
              <w:spacing w:line="240" w:lineRule="auto"/>
              <w:ind w:firstLineChars="0" w:firstLine="0"/>
              <w:jc w:val="center"/>
              <w:rPr>
                <w:b/>
                <w:bCs/>
                <w:kern w:val="2"/>
                <w:sz w:val="21"/>
                <w:szCs w:val="21"/>
              </w:rPr>
            </w:pPr>
            <w:r>
              <w:rPr>
                <w:b/>
                <w:bCs/>
                <w:kern w:val="2"/>
                <w:sz w:val="21"/>
                <w:szCs w:val="21"/>
              </w:rPr>
              <w:t>次</w:t>
            </w:r>
            <w:r>
              <w:rPr>
                <w:b/>
                <w:bCs/>
                <w:kern w:val="2"/>
                <w:sz w:val="21"/>
                <w:szCs w:val="21"/>
              </w:rPr>
              <w:t>/</w:t>
            </w:r>
            <w:r>
              <w:rPr>
                <w:b/>
                <w:bCs/>
                <w:kern w:val="2"/>
                <w:sz w:val="21"/>
                <w:szCs w:val="21"/>
              </w:rPr>
              <w:t>年</w:t>
            </w:r>
          </w:p>
        </w:tc>
      </w:tr>
      <w:tr w:rsidR="003E78AB" w14:paraId="39A5F48D" w14:textId="77777777">
        <w:trPr>
          <w:trHeight w:val="510"/>
        </w:trPr>
        <w:tc>
          <w:tcPr>
            <w:tcW w:w="512" w:type="pct"/>
            <w:vMerge w:val="restart"/>
            <w:tcBorders>
              <w:tl2br w:val="nil"/>
              <w:tr2bl w:val="nil"/>
            </w:tcBorders>
            <w:shd w:val="clear" w:color="auto" w:fill="auto"/>
            <w:vAlign w:val="center"/>
          </w:tcPr>
          <w:p w14:paraId="5FE0AE47" w14:textId="77777777" w:rsidR="003E78AB" w:rsidRDefault="00010BF9">
            <w:pPr>
              <w:spacing w:line="240" w:lineRule="auto"/>
              <w:ind w:firstLineChars="0" w:firstLine="0"/>
              <w:jc w:val="center"/>
              <w:rPr>
                <w:kern w:val="2"/>
                <w:sz w:val="21"/>
                <w:szCs w:val="21"/>
              </w:rPr>
            </w:pPr>
            <w:r>
              <w:rPr>
                <w:rFonts w:hint="eastAsia"/>
                <w:kern w:val="2"/>
                <w:sz w:val="21"/>
                <w:szCs w:val="21"/>
              </w:rPr>
              <w:t>工艺</w:t>
            </w:r>
            <w:r>
              <w:rPr>
                <w:kern w:val="2"/>
                <w:sz w:val="21"/>
                <w:szCs w:val="21"/>
              </w:rPr>
              <w:t>废气排气筒</w:t>
            </w:r>
            <w:r>
              <w:rPr>
                <w:kern w:val="2"/>
                <w:sz w:val="21"/>
                <w:szCs w:val="21"/>
              </w:rPr>
              <w:t>DA00</w:t>
            </w:r>
            <w:r>
              <w:rPr>
                <w:rFonts w:hint="eastAsia"/>
                <w:kern w:val="2"/>
                <w:sz w:val="21"/>
                <w:szCs w:val="21"/>
              </w:rPr>
              <w:t>3</w:t>
            </w:r>
          </w:p>
        </w:tc>
        <w:tc>
          <w:tcPr>
            <w:tcW w:w="1042" w:type="pct"/>
            <w:gridSpan w:val="2"/>
            <w:tcBorders>
              <w:tl2br w:val="nil"/>
              <w:tr2bl w:val="nil"/>
            </w:tcBorders>
            <w:shd w:val="clear" w:color="auto" w:fill="auto"/>
            <w:vAlign w:val="center"/>
          </w:tcPr>
          <w:p w14:paraId="498AB91A" w14:textId="77777777" w:rsidR="003E78AB" w:rsidRDefault="00010BF9">
            <w:pPr>
              <w:spacing w:line="240" w:lineRule="auto"/>
              <w:ind w:firstLineChars="0" w:firstLine="0"/>
              <w:jc w:val="center"/>
              <w:rPr>
                <w:kern w:val="2"/>
                <w:sz w:val="21"/>
                <w:szCs w:val="21"/>
              </w:rPr>
            </w:pPr>
            <w:r>
              <w:rPr>
                <w:rFonts w:hint="eastAsia"/>
                <w:bCs/>
                <w:sz w:val="21"/>
                <w:szCs w:val="21"/>
              </w:rPr>
              <w:t>硫酸雾</w:t>
            </w:r>
          </w:p>
        </w:tc>
        <w:tc>
          <w:tcPr>
            <w:tcW w:w="404" w:type="pct"/>
            <w:tcBorders>
              <w:tl2br w:val="nil"/>
              <w:tr2bl w:val="nil"/>
            </w:tcBorders>
            <w:shd w:val="clear" w:color="auto" w:fill="auto"/>
            <w:vAlign w:val="center"/>
          </w:tcPr>
          <w:p w14:paraId="69EBF615" w14:textId="77777777" w:rsidR="003E78AB" w:rsidRDefault="00010BF9">
            <w:pPr>
              <w:spacing w:line="240" w:lineRule="auto"/>
              <w:ind w:firstLineChars="0" w:firstLine="0"/>
              <w:jc w:val="center"/>
              <w:rPr>
                <w:kern w:val="2"/>
                <w:sz w:val="21"/>
                <w:szCs w:val="21"/>
              </w:rPr>
            </w:pPr>
            <w:r>
              <w:rPr>
                <w:rFonts w:hint="eastAsia"/>
                <w:kern w:val="2"/>
                <w:sz w:val="21"/>
                <w:szCs w:val="21"/>
              </w:rPr>
              <w:t>96</w:t>
            </w:r>
          </w:p>
        </w:tc>
        <w:tc>
          <w:tcPr>
            <w:tcW w:w="528" w:type="pct"/>
            <w:tcBorders>
              <w:tl2br w:val="nil"/>
              <w:tr2bl w:val="nil"/>
            </w:tcBorders>
            <w:shd w:val="clear" w:color="auto" w:fill="auto"/>
            <w:vAlign w:val="center"/>
          </w:tcPr>
          <w:p w14:paraId="1C4C6317" w14:textId="77777777" w:rsidR="003E78AB" w:rsidRDefault="00010BF9">
            <w:pPr>
              <w:spacing w:line="240" w:lineRule="auto"/>
              <w:ind w:firstLineChars="0" w:firstLine="0"/>
              <w:jc w:val="center"/>
              <w:rPr>
                <w:kern w:val="2"/>
                <w:sz w:val="21"/>
                <w:szCs w:val="21"/>
              </w:rPr>
            </w:pPr>
            <w:r>
              <w:rPr>
                <w:kern w:val="2"/>
                <w:sz w:val="21"/>
                <w:szCs w:val="21"/>
              </w:rPr>
              <w:t>0.1420</w:t>
            </w:r>
          </w:p>
        </w:tc>
        <w:tc>
          <w:tcPr>
            <w:tcW w:w="579" w:type="pct"/>
            <w:vMerge w:val="restart"/>
            <w:tcBorders>
              <w:tl2br w:val="nil"/>
              <w:tr2bl w:val="nil"/>
            </w:tcBorders>
            <w:shd w:val="clear" w:color="auto" w:fill="auto"/>
            <w:vAlign w:val="center"/>
          </w:tcPr>
          <w:p w14:paraId="39822C91" w14:textId="77777777" w:rsidR="003E78AB" w:rsidRDefault="00010BF9">
            <w:pPr>
              <w:spacing w:line="240" w:lineRule="auto"/>
              <w:ind w:firstLineChars="0" w:firstLine="0"/>
              <w:jc w:val="center"/>
              <w:rPr>
                <w:kern w:val="2"/>
                <w:sz w:val="21"/>
                <w:szCs w:val="21"/>
              </w:rPr>
            </w:pPr>
            <w:r>
              <w:rPr>
                <w:kern w:val="2"/>
                <w:sz w:val="21"/>
                <w:szCs w:val="21"/>
              </w:rPr>
              <w:t>环保设施故障</w:t>
            </w:r>
            <w:r>
              <w:rPr>
                <w:rFonts w:hint="eastAsia"/>
                <w:kern w:val="2"/>
                <w:sz w:val="21"/>
                <w:szCs w:val="21"/>
              </w:rPr>
              <w:t>、碱液浓度低</w:t>
            </w:r>
          </w:p>
        </w:tc>
        <w:tc>
          <w:tcPr>
            <w:tcW w:w="389" w:type="pct"/>
            <w:vMerge w:val="restart"/>
            <w:tcBorders>
              <w:tl2br w:val="nil"/>
              <w:tr2bl w:val="nil"/>
            </w:tcBorders>
            <w:shd w:val="clear" w:color="auto" w:fill="auto"/>
            <w:vAlign w:val="center"/>
          </w:tcPr>
          <w:p w14:paraId="51F48DE4" w14:textId="77777777" w:rsidR="003E78AB" w:rsidRDefault="00010BF9">
            <w:pPr>
              <w:spacing w:line="240" w:lineRule="auto"/>
              <w:ind w:firstLineChars="0" w:firstLine="0"/>
              <w:jc w:val="center"/>
              <w:rPr>
                <w:kern w:val="2"/>
                <w:sz w:val="21"/>
                <w:szCs w:val="21"/>
              </w:rPr>
            </w:pPr>
            <w:r>
              <w:rPr>
                <w:rFonts w:hint="eastAsia"/>
                <w:kern w:val="2"/>
                <w:sz w:val="21"/>
                <w:szCs w:val="21"/>
              </w:rPr>
              <w:t>36</w:t>
            </w:r>
          </w:p>
        </w:tc>
        <w:tc>
          <w:tcPr>
            <w:tcW w:w="513" w:type="pct"/>
            <w:tcBorders>
              <w:tl2br w:val="nil"/>
              <w:tr2bl w:val="nil"/>
            </w:tcBorders>
            <w:shd w:val="clear" w:color="auto" w:fill="auto"/>
            <w:vAlign w:val="center"/>
          </w:tcPr>
          <w:p w14:paraId="2DF44E27" w14:textId="77777777" w:rsidR="003E78AB" w:rsidRDefault="00010BF9">
            <w:pPr>
              <w:spacing w:line="240" w:lineRule="auto"/>
              <w:ind w:firstLineChars="0" w:firstLine="0"/>
              <w:jc w:val="center"/>
              <w:rPr>
                <w:kern w:val="2"/>
                <w:sz w:val="21"/>
                <w:szCs w:val="21"/>
              </w:rPr>
            </w:pPr>
            <w:r>
              <w:rPr>
                <w:rFonts w:hint="eastAsia"/>
                <w:kern w:val="2"/>
                <w:sz w:val="21"/>
                <w:szCs w:val="21"/>
              </w:rPr>
              <w:t>2.2713</w:t>
            </w:r>
          </w:p>
        </w:tc>
        <w:tc>
          <w:tcPr>
            <w:tcW w:w="513" w:type="pct"/>
            <w:vMerge w:val="restart"/>
            <w:tcBorders>
              <w:tl2br w:val="nil"/>
              <w:tr2bl w:val="nil"/>
            </w:tcBorders>
            <w:shd w:val="clear" w:color="auto" w:fill="auto"/>
            <w:vAlign w:val="center"/>
          </w:tcPr>
          <w:p w14:paraId="1066FE58" w14:textId="77777777" w:rsidR="003E78AB" w:rsidRDefault="00010BF9">
            <w:pPr>
              <w:spacing w:line="240" w:lineRule="auto"/>
              <w:ind w:firstLineChars="0" w:firstLine="0"/>
              <w:jc w:val="center"/>
              <w:rPr>
                <w:kern w:val="2"/>
                <w:sz w:val="21"/>
                <w:szCs w:val="21"/>
              </w:rPr>
            </w:pPr>
            <w:r>
              <w:rPr>
                <w:kern w:val="2"/>
                <w:sz w:val="21"/>
                <w:szCs w:val="21"/>
              </w:rPr>
              <w:t>＜</w:t>
            </w:r>
            <w:r>
              <w:rPr>
                <w:kern w:val="2"/>
                <w:sz w:val="21"/>
                <w:szCs w:val="21"/>
              </w:rPr>
              <w:t>1h</w:t>
            </w:r>
          </w:p>
        </w:tc>
        <w:tc>
          <w:tcPr>
            <w:tcW w:w="515" w:type="pct"/>
            <w:vMerge w:val="restart"/>
            <w:tcBorders>
              <w:tl2br w:val="nil"/>
              <w:tr2bl w:val="nil"/>
            </w:tcBorders>
            <w:shd w:val="clear" w:color="auto" w:fill="auto"/>
            <w:vAlign w:val="center"/>
          </w:tcPr>
          <w:p w14:paraId="5A383715" w14:textId="77777777" w:rsidR="003E78AB" w:rsidRDefault="00010BF9">
            <w:pPr>
              <w:spacing w:line="240" w:lineRule="auto"/>
              <w:ind w:firstLineChars="0" w:firstLine="0"/>
              <w:jc w:val="center"/>
              <w:rPr>
                <w:kern w:val="2"/>
                <w:sz w:val="21"/>
                <w:szCs w:val="21"/>
              </w:rPr>
            </w:pPr>
            <w:r>
              <w:rPr>
                <w:kern w:val="2"/>
                <w:sz w:val="21"/>
                <w:szCs w:val="21"/>
              </w:rPr>
              <w:t>≤1</w:t>
            </w:r>
          </w:p>
        </w:tc>
      </w:tr>
      <w:tr w:rsidR="003E78AB" w14:paraId="69BD80DD" w14:textId="77777777">
        <w:trPr>
          <w:trHeight w:val="510"/>
        </w:trPr>
        <w:tc>
          <w:tcPr>
            <w:tcW w:w="512" w:type="pct"/>
            <w:vMerge/>
            <w:tcBorders>
              <w:tl2br w:val="nil"/>
              <w:tr2bl w:val="nil"/>
            </w:tcBorders>
            <w:shd w:val="clear" w:color="auto" w:fill="auto"/>
            <w:vAlign w:val="center"/>
          </w:tcPr>
          <w:p w14:paraId="2EA3897C" w14:textId="77777777" w:rsidR="003E78AB" w:rsidRDefault="003E78AB">
            <w:pPr>
              <w:spacing w:line="240" w:lineRule="auto"/>
              <w:ind w:firstLineChars="0" w:firstLine="0"/>
              <w:jc w:val="center"/>
              <w:rPr>
                <w:kern w:val="2"/>
                <w:sz w:val="21"/>
                <w:szCs w:val="21"/>
              </w:rPr>
            </w:pPr>
          </w:p>
        </w:tc>
        <w:tc>
          <w:tcPr>
            <w:tcW w:w="1042" w:type="pct"/>
            <w:gridSpan w:val="2"/>
            <w:tcBorders>
              <w:tl2br w:val="nil"/>
              <w:tr2bl w:val="nil"/>
            </w:tcBorders>
            <w:shd w:val="clear" w:color="auto" w:fill="auto"/>
            <w:vAlign w:val="center"/>
          </w:tcPr>
          <w:p w14:paraId="52DE1FBB" w14:textId="77777777" w:rsidR="003E78AB" w:rsidRDefault="00010BF9">
            <w:pPr>
              <w:spacing w:line="240" w:lineRule="auto"/>
              <w:ind w:firstLineChars="0" w:firstLine="0"/>
              <w:jc w:val="center"/>
              <w:rPr>
                <w:sz w:val="21"/>
                <w:szCs w:val="21"/>
              </w:rPr>
            </w:pPr>
            <w:r>
              <w:rPr>
                <w:rFonts w:hint="eastAsia"/>
                <w:sz w:val="21"/>
                <w:szCs w:val="21"/>
              </w:rPr>
              <w:t>磷酸雾</w:t>
            </w:r>
          </w:p>
        </w:tc>
        <w:tc>
          <w:tcPr>
            <w:tcW w:w="404" w:type="pct"/>
            <w:tcBorders>
              <w:tl2br w:val="nil"/>
              <w:tr2bl w:val="nil"/>
            </w:tcBorders>
            <w:shd w:val="clear" w:color="auto" w:fill="auto"/>
            <w:vAlign w:val="center"/>
          </w:tcPr>
          <w:p w14:paraId="2E741FED" w14:textId="77777777" w:rsidR="003E78AB" w:rsidRDefault="00010BF9">
            <w:pPr>
              <w:spacing w:line="240" w:lineRule="auto"/>
              <w:ind w:firstLineChars="0" w:firstLine="0"/>
              <w:jc w:val="center"/>
              <w:rPr>
                <w:b/>
                <w:bCs/>
                <w:kern w:val="2"/>
                <w:sz w:val="21"/>
                <w:szCs w:val="21"/>
                <w:u w:val="single"/>
              </w:rPr>
            </w:pPr>
            <w:r>
              <w:rPr>
                <w:rFonts w:hint="eastAsia"/>
                <w:b/>
                <w:bCs/>
                <w:kern w:val="2"/>
                <w:sz w:val="21"/>
                <w:szCs w:val="21"/>
                <w:u w:val="single"/>
              </w:rPr>
              <w:t>92</w:t>
            </w:r>
          </w:p>
        </w:tc>
        <w:tc>
          <w:tcPr>
            <w:tcW w:w="528" w:type="pct"/>
            <w:tcBorders>
              <w:tl2br w:val="nil"/>
              <w:tr2bl w:val="nil"/>
            </w:tcBorders>
            <w:shd w:val="clear" w:color="auto" w:fill="auto"/>
            <w:vAlign w:val="center"/>
          </w:tcPr>
          <w:p w14:paraId="37F99C84" w14:textId="77777777" w:rsidR="003E78AB" w:rsidRDefault="00010BF9">
            <w:pPr>
              <w:spacing w:line="240" w:lineRule="auto"/>
              <w:ind w:firstLineChars="0" w:firstLine="0"/>
              <w:jc w:val="center"/>
              <w:rPr>
                <w:kern w:val="2"/>
                <w:sz w:val="21"/>
                <w:szCs w:val="21"/>
              </w:rPr>
            </w:pPr>
            <w:r>
              <w:rPr>
                <w:kern w:val="2"/>
                <w:sz w:val="21"/>
                <w:szCs w:val="21"/>
              </w:rPr>
              <w:t>0.0114</w:t>
            </w:r>
          </w:p>
        </w:tc>
        <w:tc>
          <w:tcPr>
            <w:tcW w:w="579" w:type="pct"/>
            <w:vMerge/>
            <w:tcBorders>
              <w:tl2br w:val="nil"/>
              <w:tr2bl w:val="nil"/>
            </w:tcBorders>
            <w:shd w:val="clear" w:color="auto" w:fill="auto"/>
            <w:vAlign w:val="center"/>
          </w:tcPr>
          <w:p w14:paraId="7DF6507C" w14:textId="77777777" w:rsidR="003E78AB" w:rsidRDefault="003E78AB">
            <w:pPr>
              <w:spacing w:line="240" w:lineRule="auto"/>
              <w:ind w:firstLineChars="0" w:firstLine="0"/>
              <w:jc w:val="center"/>
              <w:rPr>
                <w:kern w:val="2"/>
                <w:sz w:val="21"/>
                <w:szCs w:val="21"/>
              </w:rPr>
            </w:pPr>
          </w:p>
        </w:tc>
        <w:tc>
          <w:tcPr>
            <w:tcW w:w="389" w:type="pct"/>
            <w:vMerge/>
            <w:tcBorders>
              <w:tl2br w:val="nil"/>
              <w:tr2bl w:val="nil"/>
            </w:tcBorders>
            <w:shd w:val="clear" w:color="auto" w:fill="auto"/>
            <w:vAlign w:val="center"/>
          </w:tcPr>
          <w:p w14:paraId="6D7AB1C3" w14:textId="77777777" w:rsidR="003E78AB" w:rsidRDefault="003E78AB">
            <w:pPr>
              <w:spacing w:line="240" w:lineRule="auto"/>
              <w:ind w:firstLineChars="0" w:firstLine="0"/>
              <w:jc w:val="center"/>
              <w:rPr>
                <w:kern w:val="2"/>
                <w:sz w:val="21"/>
                <w:szCs w:val="21"/>
              </w:rPr>
            </w:pPr>
          </w:p>
        </w:tc>
        <w:tc>
          <w:tcPr>
            <w:tcW w:w="513" w:type="pct"/>
            <w:tcBorders>
              <w:tl2br w:val="nil"/>
              <w:tr2bl w:val="nil"/>
            </w:tcBorders>
            <w:shd w:val="clear" w:color="auto" w:fill="auto"/>
            <w:vAlign w:val="center"/>
          </w:tcPr>
          <w:p w14:paraId="1702647A" w14:textId="77777777" w:rsidR="003E78AB" w:rsidRDefault="00010BF9">
            <w:pPr>
              <w:spacing w:line="240" w:lineRule="auto"/>
              <w:ind w:firstLineChars="0" w:firstLine="0"/>
              <w:jc w:val="center"/>
              <w:rPr>
                <w:bCs/>
                <w:kern w:val="2"/>
                <w:sz w:val="21"/>
                <w:szCs w:val="21"/>
              </w:rPr>
            </w:pPr>
            <w:r>
              <w:rPr>
                <w:rFonts w:hint="eastAsia"/>
                <w:bCs/>
                <w:kern w:val="2"/>
                <w:sz w:val="21"/>
                <w:szCs w:val="21"/>
              </w:rPr>
              <w:t>0.1829</w:t>
            </w:r>
          </w:p>
        </w:tc>
        <w:tc>
          <w:tcPr>
            <w:tcW w:w="513" w:type="pct"/>
            <w:vMerge/>
            <w:tcBorders>
              <w:tl2br w:val="nil"/>
              <w:tr2bl w:val="nil"/>
            </w:tcBorders>
            <w:shd w:val="clear" w:color="auto" w:fill="auto"/>
            <w:vAlign w:val="center"/>
          </w:tcPr>
          <w:p w14:paraId="51D55FAE" w14:textId="77777777" w:rsidR="003E78AB" w:rsidRDefault="003E78AB">
            <w:pPr>
              <w:spacing w:line="240" w:lineRule="auto"/>
              <w:ind w:firstLineChars="0" w:firstLine="0"/>
              <w:jc w:val="center"/>
              <w:rPr>
                <w:kern w:val="2"/>
                <w:sz w:val="21"/>
                <w:szCs w:val="21"/>
              </w:rPr>
            </w:pPr>
          </w:p>
        </w:tc>
        <w:tc>
          <w:tcPr>
            <w:tcW w:w="515" w:type="pct"/>
            <w:vMerge/>
            <w:tcBorders>
              <w:tl2br w:val="nil"/>
              <w:tr2bl w:val="nil"/>
            </w:tcBorders>
            <w:shd w:val="clear" w:color="auto" w:fill="auto"/>
            <w:vAlign w:val="center"/>
          </w:tcPr>
          <w:p w14:paraId="01C47B5E" w14:textId="77777777" w:rsidR="003E78AB" w:rsidRDefault="003E78AB">
            <w:pPr>
              <w:spacing w:line="240" w:lineRule="auto"/>
              <w:ind w:firstLineChars="0" w:firstLine="0"/>
              <w:jc w:val="center"/>
              <w:rPr>
                <w:kern w:val="2"/>
                <w:sz w:val="21"/>
                <w:szCs w:val="21"/>
              </w:rPr>
            </w:pPr>
          </w:p>
        </w:tc>
      </w:tr>
      <w:tr w:rsidR="003E78AB" w14:paraId="0E1091D5" w14:textId="77777777">
        <w:trPr>
          <w:trHeight w:val="510"/>
        </w:trPr>
        <w:tc>
          <w:tcPr>
            <w:tcW w:w="512" w:type="pct"/>
            <w:vMerge/>
            <w:tcBorders>
              <w:tl2br w:val="nil"/>
              <w:tr2bl w:val="nil"/>
            </w:tcBorders>
            <w:shd w:val="clear" w:color="auto" w:fill="auto"/>
            <w:vAlign w:val="center"/>
          </w:tcPr>
          <w:p w14:paraId="26059593" w14:textId="77777777" w:rsidR="003E78AB" w:rsidRDefault="003E78AB">
            <w:pPr>
              <w:spacing w:line="240" w:lineRule="auto"/>
              <w:ind w:firstLineChars="0" w:firstLine="0"/>
              <w:jc w:val="center"/>
              <w:rPr>
                <w:kern w:val="2"/>
                <w:sz w:val="21"/>
                <w:szCs w:val="21"/>
              </w:rPr>
            </w:pPr>
          </w:p>
        </w:tc>
        <w:tc>
          <w:tcPr>
            <w:tcW w:w="513" w:type="pct"/>
            <w:vMerge w:val="restart"/>
            <w:tcBorders>
              <w:tl2br w:val="nil"/>
              <w:tr2bl w:val="nil"/>
            </w:tcBorders>
            <w:shd w:val="clear" w:color="auto" w:fill="auto"/>
            <w:vAlign w:val="center"/>
          </w:tcPr>
          <w:p w14:paraId="3F47F97A" w14:textId="77777777" w:rsidR="003E78AB" w:rsidRDefault="00010BF9">
            <w:pPr>
              <w:spacing w:line="360" w:lineRule="exact"/>
              <w:ind w:firstLineChars="0" w:firstLine="0"/>
              <w:jc w:val="center"/>
              <w:textAlignment w:val="bottom"/>
              <w:rPr>
                <w:bCs/>
              </w:rPr>
            </w:pPr>
            <w:r>
              <w:rPr>
                <w:rFonts w:hint="eastAsia"/>
                <w:bCs/>
              </w:rPr>
              <w:t>VOCs</w:t>
            </w:r>
          </w:p>
        </w:tc>
        <w:tc>
          <w:tcPr>
            <w:tcW w:w="528" w:type="pct"/>
            <w:tcBorders>
              <w:tl2br w:val="nil"/>
              <w:tr2bl w:val="nil"/>
            </w:tcBorders>
            <w:shd w:val="clear" w:color="auto" w:fill="auto"/>
            <w:vAlign w:val="center"/>
          </w:tcPr>
          <w:p w14:paraId="473A8554" w14:textId="77777777" w:rsidR="003E78AB" w:rsidRDefault="00010BF9">
            <w:pPr>
              <w:spacing w:line="240" w:lineRule="auto"/>
              <w:ind w:firstLineChars="0" w:firstLine="0"/>
              <w:jc w:val="center"/>
              <w:rPr>
                <w:bCs/>
                <w:sz w:val="21"/>
                <w:szCs w:val="21"/>
              </w:rPr>
            </w:pPr>
            <w:r>
              <w:rPr>
                <w:bCs/>
                <w:sz w:val="21"/>
                <w:szCs w:val="21"/>
              </w:rPr>
              <w:t>草酸雾</w:t>
            </w:r>
          </w:p>
        </w:tc>
        <w:tc>
          <w:tcPr>
            <w:tcW w:w="404" w:type="pct"/>
            <w:tcBorders>
              <w:tl2br w:val="nil"/>
              <w:tr2bl w:val="nil"/>
            </w:tcBorders>
            <w:shd w:val="clear" w:color="auto" w:fill="auto"/>
            <w:vAlign w:val="center"/>
          </w:tcPr>
          <w:p w14:paraId="2B19B059" w14:textId="77777777" w:rsidR="003E78AB" w:rsidRDefault="00010BF9">
            <w:pPr>
              <w:spacing w:line="360" w:lineRule="exact"/>
              <w:ind w:firstLineChars="0" w:firstLine="0"/>
              <w:jc w:val="center"/>
              <w:textAlignment w:val="center"/>
              <w:rPr>
                <w:b/>
                <w:bCs/>
                <w:kern w:val="2"/>
                <w:sz w:val="21"/>
                <w:szCs w:val="21"/>
                <w:u w:val="single"/>
              </w:rPr>
            </w:pPr>
            <w:r>
              <w:rPr>
                <w:rFonts w:hint="eastAsia"/>
                <w:b/>
                <w:bCs/>
                <w:sz w:val="18"/>
                <w:szCs w:val="18"/>
                <w:u w:val="single"/>
                <w:lang w:bidi="ar"/>
              </w:rPr>
              <w:t>86.5</w:t>
            </w:r>
          </w:p>
        </w:tc>
        <w:tc>
          <w:tcPr>
            <w:tcW w:w="528" w:type="pct"/>
            <w:vMerge w:val="restart"/>
            <w:tcBorders>
              <w:tl2br w:val="nil"/>
              <w:tr2bl w:val="nil"/>
            </w:tcBorders>
            <w:shd w:val="clear" w:color="auto" w:fill="auto"/>
            <w:vAlign w:val="center"/>
          </w:tcPr>
          <w:p w14:paraId="138F0F17" w14:textId="77777777" w:rsidR="003E78AB" w:rsidRDefault="00010BF9">
            <w:pPr>
              <w:spacing w:line="240" w:lineRule="auto"/>
              <w:ind w:firstLineChars="0" w:firstLine="0"/>
              <w:jc w:val="center"/>
              <w:rPr>
                <w:kern w:val="2"/>
                <w:sz w:val="21"/>
                <w:szCs w:val="21"/>
              </w:rPr>
            </w:pPr>
            <w:r>
              <w:rPr>
                <w:bCs/>
                <w:kern w:val="2"/>
                <w:sz w:val="21"/>
                <w:szCs w:val="21"/>
              </w:rPr>
              <w:t>0.0</w:t>
            </w:r>
            <w:r>
              <w:rPr>
                <w:rFonts w:hint="eastAsia"/>
                <w:bCs/>
                <w:kern w:val="2"/>
                <w:sz w:val="21"/>
                <w:szCs w:val="21"/>
              </w:rPr>
              <w:t>461</w:t>
            </w:r>
          </w:p>
        </w:tc>
        <w:tc>
          <w:tcPr>
            <w:tcW w:w="579" w:type="pct"/>
            <w:vMerge/>
            <w:tcBorders>
              <w:tl2br w:val="nil"/>
              <w:tr2bl w:val="nil"/>
            </w:tcBorders>
            <w:shd w:val="clear" w:color="auto" w:fill="auto"/>
            <w:vAlign w:val="center"/>
          </w:tcPr>
          <w:p w14:paraId="7242A724" w14:textId="77777777" w:rsidR="003E78AB" w:rsidRDefault="003E78AB">
            <w:pPr>
              <w:spacing w:line="240" w:lineRule="auto"/>
              <w:ind w:firstLineChars="0" w:firstLine="0"/>
              <w:jc w:val="center"/>
              <w:rPr>
                <w:kern w:val="2"/>
                <w:sz w:val="21"/>
                <w:szCs w:val="21"/>
              </w:rPr>
            </w:pPr>
          </w:p>
        </w:tc>
        <w:tc>
          <w:tcPr>
            <w:tcW w:w="389" w:type="pct"/>
            <w:vMerge/>
            <w:tcBorders>
              <w:tl2br w:val="nil"/>
              <w:tr2bl w:val="nil"/>
            </w:tcBorders>
            <w:shd w:val="clear" w:color="auto" w:fill="auto"/>
            <w:vAlign w:val="center"/>
          </w:tcPr>
          <w:p w14:paraId="0212FC5B" w14:textId="77777777" w:rsidR="003E78AB" w:rsidRDefault="003E78AB">
            <w:pPr>
              <w:spacing w:line="240" w:lineRule="auto"/>
              <w:ind w:firstLineChars="0" w:firstLine="0"/>
              <w:jc w:val="center"/>
              <w:rPr>
                <w:kern w:val="2"/>
                <w:sz w:val="21"/>
                <w:szCs w:val="21"/>
              </w:rPr>
            </w:pPr>
          </w:p>
        </w:tc>
        <w:tc>
          <w:tcPr>
            <w:tcW w:w="513" w:type="pct"/>
            <w:vMerge w:val="restart"/>
            <w:tcBorders>
              <w:tl2br w:val="nil"/>
              <w:tr2bl w:val="nil"/>
            </w:tcBorders>
            <w:shd w:val="clear" w:color="auto" w:fill="auto"/>
            <w:vAlign w:val="center"/>
          </w:tcPr>
          <w:p w14:paraId="2D67CE4E" w14:textId="77777777" w:rsidR="003E78AB" w:rsidRDefault="00010BF9">
            <w:pPr>
              <w:spacing w:line="240" w:lineRule="auto"/>
              <w:ind w:firstLineChars="0" w:firstLine="0"/>
              <w:jc w:val="center"/>
              <w:rPr>
                <w:bCs/>
                <w:kern w:val="2"/>
                <w:sz w:val="21"/>
                <w:szCs w:val="21"/>
              </w:rPr>
            </w:pPr>
            <w:r>
              <w:rPr>
                <w:rFonts w:hint="eastAsia"/>
                <w:bCs/>
                <w:kern w:val="2"/>
                <w:sz w:val="21"/>
                <w:szCs w:val="21"/>
              </w:rPr>
              <w:t>0.2910</w:t>
            </w:r>
          </w:p>
        </w:tc>
        <w:tc>
          <w:tcPr>
            <w:tcW w:w="513" w:type="pct"/>
            <w:vMerge/>
            <w:tcBorders>
              <w:tl2br w:val="nil"/>
              <w:tr2bl w:val="nil"/>
            </w:tcBorders>
            <w:shd w:val="clear" w:color="auto" w:fill="auto"/>
            <w:vAlign w:val="center"/>
          </w:tcPr>
          <w:p w14:paraId="0262565E" w14:textId="77777777" w:rsidR="003E78AB" w:rsidRDefault="003E78AB">
            <w:pPr>
              <w:spacing w:line="240" w:lineRule="auto"/>
              <w:ind w:firstLineChars="0" w:firstLine="0"/>
              <w:jc w:val="center"/>
              <w:rPr>
                <w:kern w:val="2"/>
                <w:sz w:val="21"/>
                <w:szCs w:val="21"/>
              </w:rPr>
            </w:pPr>
          </w:p>
        </w:tc>
        <w:tc>
          <w:tcPr>
            <w:tcW w:w="515" w:type="pct"/>
            <w:vMerge/>
            <w:tcBorders>
              <w:tl2br w:val="nil"/>
              <w:tr2bl w:val="nil"/>
            </w:tcBorders>
            <w:shd w:val="clear" w:color="auto" w:fill="auto"/>
            <w:vAlign w:val="center"/>
          </w:tcPr>
          <w:p w14:paraId="1197F7F8" w14:textId="77777777" w:rsidR="003E78AB" w:rsidRDefault="003E78AB">
            <w:pPr>
              <w:spacing w:line="240" w:lineRule="auto"/>
              <w:ind w:firstLineChars="0" w:firstLine="0"/>
              <w:jc w:val="center"/>
              <w:rPr>
                <w:kern w:val="2"/>
                <w:sz w:val="21"/>
                <w:szCs w:val="21"/>
              </w:rPr>
            </w:pPr>
          </w:p>
        </w:tc>
      </w:tr>
      <w:tr w:rsidR="003E78AB" w14:paraId="23B5F7FD" w14:textId="77777777">
        <w:trPr>
          <w:trHeight w:val="90"/>
        </w:trPr>
        <w:tc>
          <w:tcPr>
            <w:tcW w:w="512" w:type="pct"/>
            <w:vMerge/>
            <w:tcBorders>
              <w:tl2br w:val="nil"/>
              <w:tr2bl w:val="nil"/>
            </w:tcBorders>
            <w:shd w:val="clear" w:color="auto" w:fill="auto"/>
            <w:vAlign w:val="center"/>
          </w:tcPr>
          <w:p w14:paraId="2CB74D5B" w14:textId="77777777" w:rsidR="003E78AB" w:rsidRDefault="003E78AB">
            <w:pPr>
              <w:spacing w:line="240" w:lineRule="auto"/>
              <w:ind w:firstLineChars="0" w:firstLine="0"/>
              <w:jc w:val="center"/>
              <w:rPr>
                <w:kern w:val="2"/>
                <w:sz w:val="21"/>
                <w:szCs w:val="21"/>
              </w:rPr>
            </w:pPr>
          </w:p>
        </w:tc>
        <w:tc>
          <w:tcPr>
            <w:tcW w:w="513" w:type="pct"/>
            <w:vMerge/>
            <w:tcBorders>
              <w:tl2br w:val="nil"/>
              <w:tr2bl w:val="nil"/>
            </w:tcBorders>
            <w:shd w:val="clear" w:color="auto" w:fill="auto"/>
            <w:vAlign w:val="center"/>
          </w:tcPr>
          <w:p w14:paraId="0F1F5FA6" w14:textId="77777777" w:rsidR="003E78AB" w:rsidRDefault="003E78AB">
            <w:pPr>
              <w:spacing w:line="360" w:lineRule="exact"/>
              <w:ind w:firstLineChars="0" w:firstLine="0"/>
              <w:jc w:val="center"/>
              <w:textAlignment w:val="bottom"/>
              <w:rPr>
                <w:b/>
                <w:bCs/>
                <w:u w:val="single"/>
              </w:rPr>
            </w:pPr>
          </w:p>
        </w:tc>
        <w:tc>
          <w:tcPr>
            <w:tcW w:w="528" w:type="pct"/>
            <w:tcBorders>
              <w:tl2br w:val="nil"/>
              <w:tr2bl w:val="nil"/>
            </w:tcBorders>
            <w:shd w:val="clear" w:color="auto" w:fill="auto"/>
            <w:vAlign w:val="center"/>
          </w:tcPr>
          <w:p w14:paraId="41A510A3" w14:textId="77777777" w:rsidR="003E78AB" w:rsidRDefault="00010BF9">
            <w:pPr>
              <w:spacing w:line="240" w:lineRule="auto"/>
              <w:ind w:firstLineChars="0" w:firstLine="0"/>
              <w:jc w:val="center"/>
              <w:rPr>
                <w:bCs/>
                <w:sz w:val="21"/>
                <w:szCs w:val="21"/>
              </w:rPr>
            </w:pPr>
            <w:r>
              <w:rPr>
                <w:bCs/>
                <w:sz w:val="21"/>
                <w:szCs w:val="21"/>
              </w:rPr>
              <w:t>甲酸雾</w:t>
            </w:r>
          </w:p>
        </w:tc>
        <w:tc>
          <w:tcPr>
            <w:tcW w:w="404" w:type="pct"/>
            <w:tcBorders>
              <w:tl2br w:val="nil"/>
              <w:tr2bl w:val="nil"/>
            </w:tcBorders>
            <w:shd w:val="clear" w:color="auto" w:fill="auto"/>
            <w:vAlign w:val="center"/>
          </w:tcPr>
          <w:p w14:paraId="747C12EE" w14:textId="77777777" w:rsidR="003E78AB" w:rsidRDefault="00010BF9">
            <w:pPr>
              <w:spacing w:line="360" w:lineRule="exact"/>
              <w:ind w:firstLineChars="0" w:firstLine="0"/>
              <w:jc w:val="center"/>
              <w:textAlignment w:val="center"/>
              <w:rPr>
                <w:b/>
                <w:bCs/>
                <w:sz w:val="20"/>
                <w:szCs w:val="21"/>
                <w:u w:val="single"/>
              </w:rPr>
            </w:pPr>
            <w:r>
              <w:rPr>
                <w:rFonts w:hint="eastAsia"/>
                <w:b/>
                <w:bCs/>
                <w:sz w:val="18"/>
                <w:szCs w:val="18"/>
                <w:u w:val="single"/>
                <w:lang w:bidi="ar"/>
              </w:rPr>
              <w:t>91</w:t>
            </w:r>
          </w:p>
        </w:tc>
        <w:tc>
          <w:tcPr>
            <w:tcW w:w="528" w:type="pct"/>
            <w:vMerge/>
            <w:tcBorders>
              <w:tl2br w:val="nil"/>
              <w:tr2bl w:val="nil"/>
            </w:tcBorders>
            <w:shd w:val="clear" w:color="auto" w:fill="auto"/>
            <w:vAlign w:val="center"/>
          </w:tcPr>
          <w:p w14:paraId="56EF2CDF" w14:textId="77777777" w:rsidR="003E78AB" w:rsidRDefault="003E78AB">
            <w:pPr>
              <w:spacing w:line="240" w:lineRule="auto"/>
              <w:ind w:firstLineChars="0" w:firstLine="0"/>
              <w:jc w:val="center"/>
              <w:rPr>
                <w:kern w:val="2"/>
                <w:sz w:val="21"/>
                <w:szCs w:val="21"/>
              </w:rPr>
            </w:pPr>
          </w:p>
        </w:tc>
        <w:tc>
          <w:tcPr>
            <w:tcW w:w="579" w:type="pct"/>
            <w:vMerge/>
            <w:tcBorders>
              <w:tl2br w:val="nil"/>
              <w:tr2bl w:val="nil"/>
            </w:tcBorders>
            <w:shd w:val="clear" w:color="auto" w:fill="auto"/>
            <w:vAlign w:val="center"/>
          </w:tcPr>
          <w:p w14:paraId="30993CF5" w14:textId="77777777" w:rsidR="003E78AB" w:rsidRDefault="003E78AB">
            <w:pPr>
              <w:spacing w:line="240" w:lineRule="auto"/>
              <w:ind w:firstLineChars="0" w:firstLine="0"/>
              <w:jc w:val="center"/>
              <w:rPr>
                <w:kern w:val="2"/>
                <w:sz w:val="21"/>
                <w:szCs w:val="21"/>
              </w:rPr>
            </w:pPr>
          </w:p>
        </w:tc>
        <w:tc>
          <w:tcPr>
            <w:tcW w:w="389" w:type="pct"/>
            <w:vMerge/>
            <w:tcBorders>
              <w:tl2br w:val="nil"/>
              <w:tr2bl w:val="nil"/>
            </w:tcBorders>
            <w:shd w:val="clear" w:color="auto" w:fill="auto"/>
            <w:vAlign w:val="center"/>
          </w:tcPr>
          <w:p w14:paraId="01C44399" w14:textId="77777777" w:rsidR="003E78AB" w:rsidRDefault="003E78AB">
            <w:pPr>
              <w:spacing w:line="240" w:lineRule="auto"/>
              <w:ind w:firstLineChars="0" w:firstLine="0"/>
              <w:jc w:val="center"/>
              <w:rPr>
                <w:kern w:val="2"/>
                <w:sz w:val="21"/>
                <w:szCs w:val="21"/>
              </w:rPr>
            </w:pPr>
          </w:p>
        </w:tc>
        <w:tc>
          <w:tcPr>
            <w:tcW w:w="513" w:type="pct"/>
            <w:vMerge/>
            <w:tcBorders>
              <w:tl2br w:val="nil"/>
              <w:tr2bl w:val="nil"/>
            </w:tcBorders>
            <w:shd w:val="clear" w:color="auto" w:fill="auto"/>
            <w:vAlign w:val="center"/>
          </w:tcPr>
          <w:p w14:paraId="6161E7B9" w14:textId="77777777" w:rsidR="003E78AB" w:rsidRDefault="003E78AB">
            <w:pPr>
              <w:spacing w:line="240" w:lineRule="auto"/>
              <w:ind w:firstLineChars="0" w:firstLine="0"/>
              <w:jc w:val="center"/>
              <w:rPr>
                <w:kern w:val="2"/>
                <w:sz w:val="21"/>
                <w:szCs w:val="21"/>
              </w:rPr>
            </w:pPr>
          </w:p>
        </w:tc>
        <w:tc>
          <w:tcPr>
            <w:tcW w:w="513" w:type="pct"/>
            <w:vMerge/>
            <w:tcBorders>
              <w:tl2br w:val="nil"/>
              <w:tr2bl w:val="nil"/>
            </w:tcBorders>
            <w:shd w:val="clear" w:color="auto" w:fill="auto"/>
            <w:vAlign w:val="center"/>
          </w:tcPr>
          <w:p w14:paraId="04038552" w14:textId="77777777" w:rsidR="003E78AB" w:rsidRDefault="003E78AB">
            <w:pPr>
              <w:spacing w:line="240" w:lineRule="auto"/>
              <w:ind w:firstLineChars="0" w:firstLine="0"/>
              <w:jc w:val="center"/>
              <w:rPr>
                <w:kern w:val="2"/>
                <w:sz w:val="21"/>
                <w:szCs w:val="21"/>
              </w:rPr>
            </w:pPr>
          </w:p>
        </w:tc>
        <w:tc>
          <w:tcPr>
            <w:tcW w:w="515" w:type="pct"/>
            <w:vMerge/>
            <w:tcBorders>
              <w:tl2br w:val="nil"/>
              <w:tr2bl w:val="nil"/>
            </w:tcBorders>
            <w:shd w:val="clear" w:color="auto" w:fill="auto"/>
            <w:vAlign w:val="center"/>
          </w:tcPr>
          <w:p w14:paraId="161E4E7E" w14:textId="77777777" w:rsidR="003E78AB" w:rsidRDefault="003E78AB">
            <w:pPr>
              <w:spacing w:line="240" w:lineRule="auto"/>
              <w:ind w:firstLineChars="0" w:firstLine="0"/>
              <w:jc w:val="center"/>
              <w:rPr>
                <w:kern w:val="2"/>
                <w:sz w:val="21"/>
                <w:szCs w:val="21"/>
              </w:rPr>
            </w:pPr>
          </w:p>
        </w:tc>
      </w:tr>
    </w:tbl>
    <w:p w14:paraId="16F771F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3</w:t>
      </w:r>
      <w:r>
        <w:rPr>
          <w:rFonts w:ascii="Times New Roman" w:hAnsi="Times New Roman"/>
        </w:rPr>
        <w:t>.4.2.2</w:t>
      </w:r>
      <w:r>
        <w:rPr>
          <w:rFonts w:ascii="Times New Roman" w:hAnsi="Times New Roman"/>
        </w:rPr>
        <w:t>废水污染源及污染物分析</w:t>
      </w:r>
    </w:p>
    <w:p w14:paraId="2DDAD38A" w14:textId="77777777" w:rsidR="003E78AB" w:rsidRDefault="00010BF9">
      <w:pPr>
        <w:ind w:firstLine="480"/>
      </w:pPr>
      <w:r>
        <w:t>本项目运营期废水包括工艺废气处理废水、</w:t>
      </w:r>
      <w:r>
        <w:rPr>
          <w:rFonts w:hint="eastAsia"/>
        </w:rPr>
        <w:t>实验废水</w:t>
      </w:r>
      <w:r>
        <w:t>、纯水制备排浓水、软水制备排浓水、锅炉排污水、地面冲洗水、生活污水</w:t>
      </w:r>
      <w:r>
        <w:rPr>
          <w:rFonts w:hint="eastAsia"/>
        </w:rPr>
        <w:t>等</w:t>
      </w:r>
      <w:r>
        <w:t>。根据《污染源源强核算技术指南</w:t>
      </w:r>
      <w:r>
        <w:t xml:space="preserve"> </w:t>
      </w:r>
      <w:r>
        <w:t>准则》（</w:t>
      </w:r>
      <w:r>
        <w:t>HJ884-2018</w:t>
      </w:r>
      <w:r>
        <w:t>）中污染源源强核算可采用实测法、物料衡算法、产污系数法、排污系数法、类比法、实验法等，本项目生产废水污染源强核算采用物料衡算法及排污系数法进行核算。</w:t>
      </w:r>
    </w:p>
    <w:p w14:paraId="3EF21652" w14:textId="77777777" w:rsidR="003E78AB" w:rsidRDefault="00010BF9">
      <w:pPr>
        <w:ind w:firstLine="480"/>
      </w:pPr>
      <w:r>
        <w:rPr>
          <w:rFonts w:hint="eastAsia"/>
        </w:rPr>
        <w:t>①工艺废气处理废水</w:t>
      </w:r>
    </w:p>
    <w:p w14:paraId="684F22AD" w14:textId="77777777" w:rsidR="003E78AB" w:rsidRDefault="00010BF9">
      <w:pPr>
        <w:ind w:firstLine="480"/>
        <w:rPr>
          <w:bCs/>
        </w:rPr>
      </w:pPr>
      <w:r>
        <w:rPr>
          <w:rFonts w:hint="eastAsia"/>
        </w:rPr>
        <w:t>根据水平衡分析，工艺废气喷淋系统定期排盐，高盐废水进入蒸发釜蒸发结晶，处理后排盐量</w:t>
      </w:r>
      <w:r>
        <w:rPr>
          <w:rFonts w:hint="eastAsia"/>
        </w:rPr>
        <w:t>361.25t/a</w:t>
      </w:r>
      <w:r>
        <w:rPr>
          <w:rFonts w:hint="eastAsia"/>
        </w:rPr>
        <w:t>（其中干盐</w:t>
      </w:r>
      <w:r>
        <w:rPr>
          <w:rFonts w:hint="eastAsia"/>
        </w:rPr>
        <w:t>288.93t/a</w:t>
      </w:r>
      <w:r>
        <w:rPr>
          <w:rFonts w:hint="eastAsia"/>
        </w:rPr>
        <w:t>，水</w:t>
      </w:r>
      <w:r>
        <w:rPr>
          <w:rFonts w:hint="eastAsia"/>
        </w:rPr>
        <w:t>72.32t/a</w:t>
      </w:r>
      <w:r>
        <w:rPr>
          <w:rFonts w:hint="eastAsia"/>
        </w:rPr>
        <w:t>），蒸馏出</w:t>
      </w:r>
      <w:r>
        <w:rPr>
          <w:rFonts w:hint="eastAsia"/>
        </w:rPr>
        <w:t>1083.75</w:t>
      </w:r>
      <w:r>
        <w:t>m</w:t>
      </w:r>
      <w:r>
        <w:rPr>
          <w:vertAlign w:val="superscript"/>
        </w:rPr>
        <w:t>3</w:t>
      </w:r>
      <w:r>
        <w:t>/a</w:t>
      </w:r>
      <w:r>
        <w:rPr>
          <w:rFonts w:hint="eastAsia"/>
        </w:rPr>
        <w:t>蒸馏水。</w:t>
      </w:r>
      <w:r>
        <w:rPr>
          <w:rFonts w:hint="eastAsia"/>
          <w:bCs/>
        </w:rPr>
        <w:t>蒸发结晶釜设在废气淋洗系统南侧，蒸馏水收集冷却后注入循环水箱，作为补水配置碱洗塔碱液或水洗塔补水。</w:t>
      </w:r>
    </w:p>
    <w:p w14:paraId="3EF22D5A" w14:textId="77777777" w:rsidR="003E78AB" w:rsidRDefault="00010BF9">
      <w:pPr>
        <w:ind w:firstLine="480"/>
        <w:rPr>
          <w:bCs/>
        </w:rPr>
      </w:pPr>
      <w:r>
        <w:rPr>
          <w:rFonts w:hint="eastAsia"/>
          <w:bCs/>
        </w:rPr>
        <w:t>②实验废水</w:t>
      </w:r>
    </w:p>
    <w:p w14:paraId="6BC29BC0" w14:textId="77777777" w:rsidR="003E78AB" w:rsidRDefault="00010BF9">
      <w:pPr>
        <w:ind w:firstLine="480"/>
        <w:rPr>
          <w:b/>
          <w:bCs/>
          <w:u w:val="single"/>
        </w:rPr>
      </w:pPr>
      <w:r>
        <w:rPr>
          <w:rFonts w:hint="eastAsia"/>
          <w:bCs/>
        </w:rPr>
        <w:t>实验室运行过程中配置试剂及化验用水为纯水，项目实验废水产生量</w:t>
      </w:r>
      <w:r>
        <w:rPr>
          <w:rFonts w:hint="eastAsia"/>
          <w:bCs/>
        </w:rPr>
        <w:t>80m</w:t>
      </w:r>
      <w:r>
        <w:rPr>
          <w:rFonts w:hint="eastAsia"/>
          <w:bCs/>
          <w:vertAlign w:val="superscript"/>
        </w:rPr>
        <w:t>3</w:t>
      </w:r>
      <w:r>
        <w:rPr>
          <w:rFonts w:hint="eastAsia"/>
          <w:bCs/>
        </w:rPr>
        <w:t>/a</w:t>
      </w:r>
      <w:r>
        <w:rPr>
          <w:rFonts w:hint="eastAsia"/>
          <w:bCs/>
        </w:rPr>
        <w:t>（约</w:t>
      </w:r>
      <w:r>
        <w:rPr>
          <w:rFonts w:hint="eastAsia"/>
          <w:bCs/>
        </w:rPr>
        <w:t>0.242m</w:t>
      </w:r>
      <w:r>
        <w:rPr>
          <w:rFonts w:hint="eastAsia"/>
          <w:bCs/>
          <w:vertAlign w:val="superscript"/>
        </w:rPr>
        <w:t>3</w:t>
      </w:r>
      <w:r>
        <w:rPr>
          <w:rFonts w:hint="eastAsia"/>
          <w:bCs/>
        </w:rPr>
        <w:t>/d</w:t>
      </w:r>
      <w:r>
        <w:rPr>
          <w:rFonts w:hint="eastAsia"/>
          <w:bCs/>
        </w:rPr>
        <w:t>），经管道收集后流入生产车间的</w:t>
      </w:r>
      <w:r>
        <w:rPr>
          <w:rFonts w:hint="eastAsia"/>
          <w:bCs/>
        </w:rPr>
        <w:t>15m</w:t>
      </w:r>
      <w:r>
        <w:rPr>
          <w:rFonts w:hint="eastAsia"/>
          <w:bCs/>
          <w:vertAlign w:val="superscript"/>
        </w:rPr>
        <w:t>3</w:t>
      </w:r>
      <w:r>
        <w:rPr>
          <w:rFonts w:hint="eastAsia"/>
          <w:bCs/>
        </w:rPr>
        <w:t>电解液事故罐，回用于生产。实验废水量较小，电解液事故罐作为周转罐，向溶解还原釜投加的阀门常开，正常生产状态或事故状态下，可保证实验废水及事故电解液及时周转。因此，实验废水使用电解液事故罐收集和周转可行。</w:t>
      </w:r>
    </w:p>
    <w:p w14:paraId="23DE0E96" w14:textId="77777777" w:rsidR="003E78AB" w:rsidRDefault="00010BF9">
      <w:pPr>
        <w:ind w:firstLine="480"/>
      </w:pPr>
      <w:r>
        <w:rPr>
          <w:rFonts w:hint="eastAsia"/>
        </w:rPr>
        <w:t>③锅炉排污水</w:t>
      </w:r>
    </w:p>
    <w:p w14:paraId="18E25175" w14:textId="77777777" w:rsidR="003E78AB" w:rsidRDefault="00010BF9">
      <w:pPr>
        <w:ind w:firstLine="480"/>
      </w:pPr>
      <w:r>
        <w:rPr>
          <w:rFonts w:hint="eastAsia"/>
        </w:rPr>
        <w:t>根据《工业源产排污核算方法和系数手册》（公告</w:t>
      </w:r>
      <w:r>
        <w:rPr>
          <w:rFonts w:hint="eastAsia"/>
        </w:rPr>
        <w:t>2021</w:t>
      </w:r>
      <w:r>
        <w:rPr>
          <w:rFonts w:hint="eastAsia"/>
        </w:rPr>
        <w:t>年第</w:t>
      </w:r>
      <w:r>
        <w:rPr>
          <w:rFonts w:hint="eastAsia"/>
        </w:rPr>
        <w:t>24</w:t>
      </w:r>
      <w:r>
        <w:rPr>
          <w:rFonts w:hint="eastAsia"/>
        </w:rPr>
        <w:t>号）中“</w:t>
      </w:r>
      <w:r>
        <w:rPr>
          <w:rFonts w:hint="eastAsia"/>
        </w:rPr>
        <w:t>4430</w:t>
      </w:r>
      <w:r>
        <w:rPr>
          <w:rFonts w:hint="eastAsia"/>
        </w:rPr>
        <w:t>工业锅炉（热力供应）行业系数手册”中内容，锅内水处理：是指通过向锅炉内投入一定数量的软</w:t>
      </w:r>
      <w:r>
        <w:rPr>
          <w:rFonts w:hint="eastAsia"/>
        </w:rPr>
        <w:t>水剂，使锅炉给水中的结垢物质转变成泥垢</w:t>
      </w:r>
      <w:r>
        <w:rPr>
          <w:rFonts w:hint="eastAsia"/>
        </w:rPr>
        <w:t>，</w:t>
      </w:r>
      <w:r>
        <w:rPr>
          <w:rFonts w:hint="eastAsia"/>
        </w:rPr>
        <w:t>然后通过锅炉排污将沉渣排出锅炉，从而达到减缓或防止水垢结生的目的。锅内水处理只有锅炉排污水产生</w:t>
      </w:r>
      <w:r>
        <w:rPr>
          <w:rFonts w:hint="eastAsia"/>
        </w:rPr>
        <w:t>，</w:t>
      </w:r>
      <w:r>
        <w:rPr>
          <w:rFonts w:hint="eastAsia"/>
        </w:rPr>
        <w:t>属于清净下水，</w:t>
      </w:r>
      <w:r>
        <w:rPr>
          <w:rFonts w:hint="eastAsia"/>
        </w:rPr>
        <w:t>。根据系数表中内容，以天然气</w:t>
      </w:r>
      <w:r>
        <w:rPr>
          <w:rFonts w:hint="eastAsia"/>
        </w:rPr>
        <w:t>/</w:t>
      </w:r>
      <w:r>
        <w:rPr>
          <w:rFonts w:hint="eastAsia"/>
        </w:rPr>
        <w:t>高炉煤气</w:t>
      </w:r>
      <w:r>
        <w:rPr>
          <w:rFonts w:hint="eastAsia"/>
        </w:rPr>
        <w:t>/</w:t>
      </w:r>
      <w:r>
        <w:rPr>
          <w:rFonts w:hint="eastAsia"/>
        </w:rPr>
        <w:t>转炉煤气</w:t>
      </w:r>
      <w:r>
        <w:rPr>
          <w:rFonts w:hint="eastAsia"/>
        </w:rPr>
        <w:t>/</w:t>
      </w:r>
      <w:r>
        <w:rPr>
          <w:rFonts w:hint="eastAsia"/>
        </w:rPr>
        <w:t>焦炉煤气</w:t>
      </w:r>
      <w:r>
        <w:rPr>
          <w:rFonts w:hint="eastAsia"/>
        </w:rPr>
        <w:t>/</w:t>
      </w:r>
      <w:r>
        <w:rPr>
          <w:rFonts w:hint="eastAsia"/>
        </w:rPr>
        <w:t>炼厂干气为燃料的蒸汽锅炉，锅炉排污水产生量为</w:t>
      </w:r>
      <w:r>
        <w:rPr>
          <w:rFonts w:hint="eastAsia"/>
        </w:rPr>
        <w:t>9.86t/</w:t>
      </w:r>
      <w:r>
        <w:rPr>
          <w:rFonts w:hint="eastAsia"/>
        </w:rPr>
        <w:t>万</w:t>
      </w:r>
      <w:r>
        <w:rPr>
          <w:rFonts w:hint="eastAsia"/>
        </w:rPr>
        <w:t>m</w:t>
      </w:r>
      <w:r>
        <w:rPr>
          <w:rFonts w:hint="eastAsia"/>
          <w:vertAlign w:val="superscript"/>
        </w:rPr>
        <w:t>3</w:t>
      </w:r>
      <w:r>
        <w:rPr>
          <w:rFonts w:hint="eastAsia"/>
        </w:rPr>
        <w:t>-</w:t>
      </w:r>
      <w:r>
        <w:rPr>
          <w:rFonts w:hint="eastAsia"/>
        </w:rPr>
        <w:t>原料。项目锅炉年消耗天然气</w:t>
      </w:r>
      <w:r>
        <w:rPr>
          <w:rFonts w:hint="eastAsia"/>
          <w:kern w:val="2"/>
        </w:rPr>
        <w:t>200.1024</w:t>
      </w:r>
      <w:r>
        <w:rPr>
          <w:rFonts w:hint="eastAsia"/>
        </w:rPr>
        <w:t>万</w:t>
      </w:r>
      <w:r>
        <w:rPr>
          <w:rFonts w:hint="eastAsia"/>
        </w:rPr>
        <w:t>m</w:t>
      </w:r>
      <w:r>
        <w:rPr>
          <w:rFonts w:hint="eastAsia"/>
          <w:vertAlign w:val="superscript"/>
        </w:rPr>
        <w:t>3</w:t>
      </w:r>
      <w:r>
        <w:rPr>
          <w:rFonts w:hint="eastAsia"/>
        </w:rPr>
        <w:t>/a</w:t>
      </w:r>
      <w:r>
        <w:rPr>
          <w:rFonts w:hint="eastAsia"/>
        </w:rPr>
        <w:t>，则项目锅炉排污水</w:t>
      </w:r>
      <w:r>
        <w:rPr>
          <w:rFonts w:hint="eastAsia"/>
        </w:rPr>
        <w:t>W4-1</w:t>
      </w:r>
      <w:r>
        <w:rPr>
          <w:rFonts w:hint="eastAsia"/>
        </w:rPr>
        <w:t>产生情况见</w:t>
      </w:r>
      <w:r>
        <w:rPr>
          <w:rFonts w:hint="eastAsia"/>
        </w:rPr>
        <w:fldChar w:fldCharType="begin"/>
      </w:r>
      <w:r>
        <w:rPr>
          <w:rFonts w:hint="eastAsia"/>
        </w:rPr>
        <w:instrText xml:space="preserve"> REF _Ref20797 \r \h </w:instrText>
      </w:r>
      <w:r>
        <w:rPr>
          <w:rFonts w:hint="eastAsia"/>
        </w:rPr>
      </w:r>
      <w:r>
        <w:rPr>
          <w:rFonts w:hint="eastAsia"/>
        </w:rPr>
        <w:fldChar w:fldCharType="separate"/>
      </w:r>
      <w:r>
        <w:rPr>
          <w:rFonts w:hint="eastAsia"/>
        </w:rPr>
        <w:t>表</w:t>
      </w:r>
      <w:r>
        <w:rPr>
          <w:rFonts w:hint="eastAsia"/>
        </w:rPr>
        <w:t>3-26</w:t>
      </w:r>
      <w:r>
        <w:rPr>
          <w:rFonts w:hint="eastAsia"/>
        </w:rPr>
        <w:fldChar w:fldCharType="end"/>
      </w:r>
      <w:r>
        <w:rPr>
          <w:rFonts w:hint="eastAsia"/>
        </w:rPr>
        <w:t>。</w:t>
      </w:r>
    </w:p>
    <w:p w14:paraId="3D5BBB7D" w14:textId="77777777" w:rsidR="003E78AB" w:rsidRDefault="00010BF9">
      <w:pPr>
        <w:pStyle w:val="a1"/>
      </w:pPr>
      <w:bookmarkStart w:id="259" w:name="_Ref20797"/>
      <w:r>
        <w:rPr>
          <w:rFonts w:hint="eastAsia"/>
        </w:rPr>
        <w:t>4430</w:t>
      </w:r>
      <w:r>
        <w:rPr>
          <w:rFonts w:hint="eastAsia"/>
        </w:rPr>
        <w:t>工业锅炉（热力生产和供应行业）系数手册产污系数表</w:t>
      </w:r>
      <w:bookmarkEnd w:id="259"/>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869"/>
        <w:gridCol w:w="885"/>
        <w:gridCol w:w="1017"/>
        <w:gridCol w:w="999"/>
        <w:gridCol w:w="1532"/>
        <w:gridCol w:w="1209"/>
        <w:gridCol w:w="1245"/>
      </w:tblGrid>
      <w:tr w:rsidR="003E78AB" w14:paraId="4C3BAEB3" w14:textId="77777777">
        <w:trPr>
          <w:trHeight w:val="340"/>
          <w:tblHeader/>
        </w:trPr>
        <w:tc>
          <w:tcPr>
            <w:tcW w:w="444" w:type="pct"/>
            <w:tcBorders>
              <w:tl2br w:val="nil"/>
              <w:tr2bl w:val="nil"/>
            </w:tcBorders>
          </w:tcPr>
          <w:p w14:paraId="033476EA"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产品名称</w:t>
            </w:r>
          </w:p>
        </w:tc>
        <w:tc>
          <w:tcPr>
            <w:tcW w:w="510" w:type="pct"/>
            <w:tcBorders>
              <w:tl2br w:val="nil"/>
              <w:tr2bl w:val="nil"/>
            </w:tcBorders>
          </w:tcPr>
          <w:p w14:paraId="0EC2B3F2"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原料名称</w:t>
            </w:r>
          </w:p>
        </w:tc>
        <w:tc>
          <w:tcPr>
            <w:tcW w:w="519" w:type="pct"/>
            <w:tcBorders>
              <w:tl2br w:val="nil"/>
              <w:tr2bl w:val="nil"/>
            </w:tcBorders>
          </w:tcPr>
          <w:p w14:paraId="5E7E0296"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规模等级</w:t>
            </w:r>
          </w:p>
        </w:tc>
        <w:tc>
          <w:tcPr>
            <w:tcW w:w="597" w:type="pct"/>
            <w:tcBorders>
              <w:tl2br w:val="nil"/>
              <w:tr2bl w:val="nil"/>
            </w:tcBorders>
          </w:tcPr>
          <w:p w14:paraId="233623C3"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污染物指标</w:t>
            </w:r>
          </w:p>
        </w:tc>
        <w:tc>
          <w:tcPr>
            <w:tcW w:w="587" w:type="pct"/>
            <w:tcBorders>
              <w:tl2br w:val="nil"/>
              <w:tr2bl w:val="nil"/>
            </w:tcBorders>
          </w:tcPr>
          <w:p w14:paraId="6F06BF90"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单位</w:t>
            </w:r>
          </w:p>
        </w:tc>
        <w:tc>
          <w:tcPr>
            <w:tcW w:w="899" w:type="pct"/>
            <w:tcBorders>
              <w:tl2br w:val="nil"/>
              <w:tr2bl w:val="nil"/>
            </w:tcBorders>
          </w:tcPr>
          <w:p w14:paraId="70EFDB57"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产污系数</w:t>
            </w:r>
          </w:p>
        </w:tc>
        <w:tc>
          <w:tcPr>
            <w:tcW w:w="710" w:type="pct"/>
            <w:tcBorders>
              <w:tl2br w:val="nil"/>
              <w:tr2bl w:val="nil"/>
            </w:tcBorders>
          </w:tcPr>
          <w:p w14:paraId="3CBE8554"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原料</w:t>
            </w:r>
            <w:r>
              <w:rPr>
                <w:b/>
                <w:bCs/>
                <w:sz w:val="21"/>
                <w:szCs w:val="21"/>
                <w:lang w:bidi="ar"/>
              </w:rPr>
              <w:t>量</w:t>
            </w:r>
            <w:r>
              <w:rPr>
                <w:sz w:val="21"/>
                <w:szCs w:val="21"/>
                <w:lang w:bidi="ar"/>
              </w:rPr>
              <w:t>m</w:t>
            </w:r>
            <w:r>
              <w:rPr>
                <w:sz w:val="21"/>
                <w:szCs w:val="21"/>
                <w:vertAlign w:val="superscript"/>
                <w:lang w:bidi="ar"/>
              </w:rPr>
              <w:t>3</w:t>
            </w:r>
            <w:r>
              <w:rPr>
                <w:sz w:val="21"/>
                <w:szCs w:val="21"/>
                <w:lang w:bidi="ar"/>
              </w:rPr>
              <w:t>/a</w:t>
            </w:r>
          </w:p>
        </w:tc>
        <w:tc>
          <w:tcPr>
            <w:tcW w:w="731" w:type="pct"/>
            <w:tcBorders>
              <w:tl2br w:val="nil"/>
              <w:tr2bl w:val="nil"/>
            </w:tcBorders>
          </w:tcPr>
          <w:p w14:paraId="740DB091"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污染物产生量</w:t>
            </w:r>
            <w:r>
              <w:rPr>
                <w:rFonts w:hint="eastAsia"/>
                <w:b/>
                <w:bCs/>
                <w:sz w:val="21"/>
                <w:szCs w:val="21"/>
                <w:lang w:bidi="ar"/>
              </w:rPr>
              <w:t>t/a</w:t>
            </w:r>
          </w:p>
        </w:tc>
      </w:tr>
      <w:tr w:rsidR="003E78AB" w14:paraId="455CB098" w14:textId="77777777">
        <w:trPr>
          <w:trHeight w:val="340"/>
        </w:trPr>
        <w:tc>
          <w:tcPr>
            <w:tcW w:w="444" w:type="pct"/>
            <w:vMerge w:val="restart"/>
            <w:tcBorders>
              <w:tl2br w:val="nil"/>
              <w:tr2bl w:val="nil"/>
            </w:tcBorders>
          </w:tcPr>
          <w:p w14:paraId="28A9E4F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蒸汽</w:t>
            </w:r>
          </w:p>
        </w:tc>
        <w:tc>
          <w:tcPr>
            <w:tcW w:w="510" w:type="pct"/>
            <w:vMerge w:val="restart"/>
            <w:tcBorders>
              <w:tl2br w:val="nil"/>
              <w:tr2bl w:val="nil"/>
            </w:tcBorders>
          </w:tcPr>
          <w:p w14:paraId="18C1ACB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天然气</w:t>
            </w:r>
          </w:p>
        </w:tc>
        <w:tc>
          <w:tcPr>
            <w:tcW w:w="519" w:type="pct"/>
            <w:tcBorders>
              <w:tl2br w:val="nil"/>
              <w:tr2bl w:val="nil"/>
            </w:tcBorders>
          </w:tcPr>
          <w:p w14:paraId="590B281E" w14:textId="77777777" w:rsidR="003E78AB" w:rsidRDefault="00010BF9">
            <w:pPr>
              <w:spacing w:line="360" w:lineRule="exact"/>
              <w:ind w:firstLineChars="0" w:firstLine="0"/>
              <w:jc w:val="center"/>
              <w:textAlignment w:val="center"/>
              <w:rPr>
                <w:sz w:val="21"/>
                <w:szCs w:val="21"/>
                <w:lang w:bidi="ar"/>
              </w:rPr>
            </w:pPr>
            <w:r>
              <w:rPr>
                <w:sz w:val="21"/>
                <w:szCs w:val="21"/>
                <w:lang w:bidi="ar"/>
              </w:rPr>
              <w:t>所有规模</w:t>
            </w:r>
          </w:p>
        </w:tc>
        <w:tc>
          <w:tcPr>
            <w:tcW w:w="597" w:type="pct"/>
            <w:tcBorders>
              <w:tl2br w:val="nil"/>
              <w:tr2bl w:val="nil"/>
            </w:tcBorders>
          </w:tcPr>
          <w:p w14:paraId="1C0EDF9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工业废水量</w:t>
            </w:r>
          </w:p>
        </w:tc>
        <w:tc>
          <w:tcPr>
            <w:tcW w:w="587" w:type="pct"/>
            <w:tcBorders>
              <w:tl2br w:val="nil"/>
              <w:tr2bl w:val="nil"/>
            </w:tcBorders>
          </w:tcPr>
          <w:p w14:paraId="01A56647" w14:textId="77777777" w:rsidR="003E78AB" w:rsidRDefault="00010BF9">
            <w:pPr>
              <w:spacing w:line="360" w:lineRule="exact"/>
              <w:ind w:firstLineChars="0" w:firstLine="0"/>
              <w:jc w:val="center"/>
              <w:textAlignment w:val="center"/>
              <w:rPr>
                <w:sz w:val="21"/>
                <w:szCs w:val="21"/>
                <w:lang w:bidi="ar"/>
              </w:rPr>
            </w:pPr>
            <w:r>
              <w:rPr>
                <w:sz w:val="21"/>
                <w:szCs w:val="21"/>
                <w:lang w:bidi="ar"/>
              </w:rPr>
              <w:t>吨</w:t>
            </w:r>
            <w:r>
              <w:rPr>
                <w:sz w:val="21"/>
                <w:szCs w:val="21"/>
                <w:lang w:bidi="ar"/>
              </w:rPr>
              <w:t>/</w:t>
            </w:r>
            <w:r>
              <w:rPr>
                <w:sz w:val="21"/>
                <w:szCs w:val="21"/>
                <w:lang w:bidi="ar"/>
              </w:rPr>
              <w:t>万</w:t>
            </w:r>
            <w:r>
              <w:rPr>
                <w:sz w:val="21"/>
                <w:szCs w:val="21"/>
                <w:lang w:bidi="ar"/>
              </w:rPr>
              <w:t>m</w:t>
            </w:r>
            <w:r>
              <w:rPr>
                <w:sz w:val="21"/>
                <w:szCs w:val="21"/>
                <w:vertAlign w:val="superscript"/>
                <w:lang w:bidi="ar"/>
              </w:rPr>
              <w:t>3</w:t>
            </w:r>
            <w:r>
              <w:rPr>
                <w:sz w:val="21"/>
                <w:szCs w:val="21"/>
                <w:lang w:bidi="ar"/>
              </w:rPr>
              <w:t>-</w:t>
            </w:r>
            <w:r>
              <w:rPr>
                <w:sz w:val="21"/>
                <w:szCs w:val="21"/>
                <w:lang w:bidi="ar"/>
              </w:rPr>
              <w:t>原料</w:t>
            </w:r>
          </w:p>
        </w:tc>
        <w:tc>
          <w:tcPr>
            <w:tcW w:w="899" w:type="pct"/>
            <w:tcBorders>
              <w:tl2br w:val="nil"/>
              <w:tr2bl w:val="nil"/>
            </w:tcBorders>
          </w:tcPr>
          <w:p w14:paraId="415155E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9.86</w:t>
            </w:r>
            <w:r>
              <w:rPr>
                <w:sz w:val="21"/>
                <w:szCs w:val="21"/>
                <w:lang w:bidi="ar"/>
              </w:rPr>
              <w:t>（锅炉排污水）</w:t>
            </w:r>
          </w:p>
        </w:tc>
        <w:tc>
          <w:tcPr>
            <w:tcW w:w="710" w:type="pct"/>
            <w:tcBorders>
              <w:tl2br w:val="nil"/>
              <w:tr2bl w:val="nil"/>
            </w:tcBorders>
          </w:tcPr>
          <w:p w14:paraId="6859944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200.1024</w:t>
            </w:r>
          </w:p>
        </w:tc>
        <w:tc>
          <w:tcPr>
            <w:tcW w:w="731" w:type="pct"/>
            <w:tcBorders>
              <w:tl2br w:val="nil"/>
              <w:tr2bl w:val="nil"/>
            </w:tcBorders>
          </w:tcPr>
          <w:p w14:paraId="4F9940E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1973</w:t>
            </w:r>
          </w:p>
        </w:tc>
      </w:tr>
      <w:tr w:rsidR="003E78AB" w14:paraId="609E1825" w14:textId="77777777">
        <w:trPr>
          <w:trHeight w:val="340"/>
        </w:trPr>
        <w:tc>
          <w:tcPr>
            <w:tcW w:w="444" w:type="pct"/>
            <w:vMerge/>
            <w:tcBorders>
              <w:tl2br w:val="nil"/>
              <w:tr2bl w:val="nil"/>
            </w:tcBorders>
          </w:tcPr>
          <w:p w14:paraId="0FEF91A9" w14:textId="77777777" w:rsidR="003E78AB" w:rsidRDefault="003E78AB">
            <w:pPr>
              <w:spacing w:line="360" w:lineRule="exact"/>
              <w:ind w:firstLineChars="0" w:firstLine="0"/>
              <w:jc w:val="center"/>
              <w:textAlignment w:val="center"/>
              <w:rPr>
                <w:sz w:val="21"/>
                <w:szCs w:val="21"/>
                <w:lang w:bidi="ar"/>
              </w:rPr>
            </w:pPr>
          </w:p>
        </w:tc>
        <w:tc>
          <w:tcPr>
            <w:tcW w:w="510" w:type="pct"/>
            <w:vMerge/>
            <w:tcBorders>
              <w:tl2br w:val="nil"/>
              <w:tr2bl w:val="nil"/>
            </w:tcBorders>
          </w:tcPr>
          <w:p w14:paraId="74B3BD15" w14:textId="77777777" w:rsidR="003E78AB" w:rsidRDefault="003E78AB">
            <w:pPr>
              <w:spacing w:line="360" w:lineRule="exact"/>
              <w:ind w:firstLineChars="0" w:firstLine="0"/>
              <w:jc w:val="center"/>
              <w:textAlignment w:val="center"/>
              <w:rPr>
                <w:sz w:val="21"/>
                <w:szCs w:val="21"/>
                <w:lang w:bidi="ar"/>
              </w:rPr>
            </w:pPr>
          </w:p>
        </w:tc>
        <w:tc>
          <w:tcPr>
            <w:tcW w:w="519" w:type="pct"/>
            <w:tcBorders>
              <w:tl2br w:val="nil"/>
              <w:tr2bl w:val="nil"/>
            </w:tcBorders>
          </w:tcPr>
          <w:p w14:paraId="2E69D3C7" w14:textId="77777777" w:rsidR="003E78AB" w:rsidRDefault="00010BF9">
            <w:pPr>
              <w:spacing w:line="360" w:lineRule="exact"/>
              <w:ind w:firstLineChars="0" w:firstLine="0"/>
              <w:jc w:val="center"/>
              <w:textAlignment w:val="center"/>
              <w:rPr>
                <w:sz w:val="21"/>
                <w:szCs w:val="21"/>
                <w:lang w:bidi="ar"/>
              </w:rPr>
            </w:pPr>
            <w:r>
              <w:rPr>
                <w:sz w:val="21"/>
                <w:szCs w:val="21"/>
                <w:lang w:bidi="ar"/>
              </w:rPr>
              <w:t>所有规模</w:t>
            </w:r>
          </w:p>
        </w:tc>
        <w:tc>
          <w:tcPr>
            <w:tcW w:w="597" w:type="pct"/>
            <w:tcBorders>
              <w:tl2br w:val="nil"/>
              <w:tr2bl w:val="nil"/>
            </w:tcBorders>
          </w:tcPr>
          <w:p w14:paraId="2CEE4A9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化学需氧量</w:t>
            </w:r>
          </w:p>
        </w:tc>
        <w:tc>
          <w:tcPr>
            <w:tcW w:w="587" w:type="pct"/>
            <w:tcBorders>
              <w:tl2br w:val="nil"/>
              <w:tr2bl w:val="nil"/>
            </w:tcBorders>
          </w:tcPr>
          <w:p w14:paraId="4CB05FC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克</w:t>
            </w:r>
            <w:r>
              <w:rPr>
                <w:sz w:val="21"/>
                <w:szCs w:val="21"/>
                <w:lang w:bidi="ar"/>
              </w:rPr>
              <w:t>/</w:t>
            </w:r>
            <w:r>
              <w:rPr>
                <w:sz w:val="21"/>
                <w:szCs w:val="21"/>
                <w:lang w:bidi="ar"/>
              </w:rPr>
              <w:t>万</w:t>
            </w:r>
            <w:r>
              <w:rPr>
                <w:sz w:val="21"/>
                <w:szCs w:val="21"/>
                <w:lang w:bidi="ar"/>
              </w:rPr>
              <w:t>m</w:t>
            </w:r>
            <w:r>
              <w:rPr>
                <w:sz w:val="21"/>
                <w:szCs w:val="21"/>
                <w:vertAlign w:val="superscript"/>
                <w:lang w:bidi="ar"/>
              </w:rPr>
              <w:t>3</w:t>
            </w:r>
            <w:r>
              <w:rPr>
                <w:sz w:val="21"/>
                <w:szCs w:val="21"/>
                <w:lang w:bidi="ar"/>
              </w:rPr>
              <w:t>-</w:t>
            </w:r>
            <w:r>
              <w:rPr>
                <w:sz w:val="21"/>
                <w:szCs w:val="21"/>
                <w:lang w:bidi="ar"/>
              </w:rPr>
              <w:t>原料</w:t>
            </w:r>
          </w:p>
        </w:tc>
        <w:tc>
          <w:tcPr>
            <w:tcW w:w="899" w:type="pct"/>
            <w:tcBorders>
              <w:tl2br w:val="nil"/>
              <w:tr2bl w:val="nil"/>
            </w:tcBorders>
          </w:tcPr>
          <w:p w14:paraId="2556C50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790</w:t>
            </w:r>
          </w:p>
        </w:tc>
        <w:tc>
          <w:tcPr>
            <w:tcW w:w="710" w:type="pct"/>
            <w:tcBorders>
              <w:tl2br w:val="nil"/>
              <w:tr2bl w:val="nil"/>
            </w:tcBorders>
          </w:tcPr>
          <w:p w14:paraId="0CD1B427"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200.1024</w:t>
            </w:r>
          </w:p>
        </w:tc>
        <w:tc>
          <w:tcPr>
            <w:tcW w:w="731" w:type="pct"/>
            <w:tcBorders>
              <w:tl2br w:val="nil"/>
              <w:tr2bl w:val="nil"/>
            </w:tcBorders>
          </w:tcPr>
          <w:p w14:paraId="63F8F36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0.1581</w:t>
            </w:r>
          </w:p>
        </w:tc>
      </w:tr>
    </w:tbl>
    <w:p w14:paraId="2C1134F6" w14:textId="77777777" w:rsidR="003E78AB" w:rsidRDefault="00010BF9">
      <w:pPr>
        <w:ind w:firstLine="480"/>
      </w:pPr>
      <w:r>
        <w:rPr>
          <w:rFonts w:hint="eastAsia"/>
        </w:rPr>
        <w:t>故锅炉排污水中污染物浓度</w:t>
      </w:r>
      <w:r>
        <w:rPr>
          <w:rFonts w:hint="eastAsia"/>
        </w:rPr>
        <w:t>CODcr</w:t>
      </w:r>
      <w:r>
        <w:rPr>
          <w:rFonts w:hint="eastAsia"/>
        </w:rPr>
        <w:t>：</w:t>
      </w:r>
      <w:r>
        <w:rPr>
          <w:rFonts w:hint="eastAsia"/>
        </w:rPr>
        <w:t>80.12mg/L</w:t>
      </w:r>
      <w:r>
        <w:rPr>
          <w:rFonts w:hint="eastAsia"/>
        </w:rPr>
        <w:t>，含盐量：</w:t>
      </w:r>
      <w:r>
        <w:rPr>
          <w:rFonts w:hint="eastAsia"/>
        </w:rPr>
        <w:t>1000mg/L</w:t>
      </w:r>
      <w:r>
        <w:rPr>
          <w:rFonts w:hint="eastAsia"/>
        </w:rPr>
        <w:t>。</w:t>
      </w:r>
    </w:p>
    <w:p w14:paraId="2B297BF6" w14:textId="77777777" w:rsidR="003E78AB" w:rsidRDefault="00010BF9">
      <w:pPr>
        <w:ind w:firstLine="480"/>
      </w:pPr>
      <w:r>
        <w:rPr>
          <w:rFonts w:hint="eastAsia"/>
        </w:rPr>
        <w:t>④纯水制备设施浓水</w:t>
      </w:r>
    </w:p>
    <w:p w14:paraId="718567DA" w14:textId="77777777" w:rsidR="003E78AB" w:rsidRDefault="00010BF9">
      <w:pPr>
        <w:ind w:firstLine="480"/>
      </w:pPr>
      <w:r>
        <w:rPr>
          <w:rFonts w:hint="eastAsia"/>
        </w:rPr>
        <w:t>根据水平衡分析项目纯水制备设施浓水产生量</w:t>
      </w:r>
      <w:r>
        <w:rPr>
          <w:rFonts w:hint="eastAsia"/>
        </w:rPr>
        <w:t>10856.83m</w:t>
      </w:r>
      <w:r>
        <w:rPr>
          <w:rFonts w:hint="eastAsia"/>
          <w:vertAlign w:val="superscript"/>
        </w:rPr>
        <w:t>3</w:t>
      </w:r>
      <w:r>
        <w:t>/a</w:t>
      </w:r>
      <w:r>
        <w:rPr>
          <w:rFonts w:hint="eastAsia"/>
        </w:rPr>
        <w:t>，</w:t>
      </w:r>
      <w:r>
        <w:rPr>
          <w:rFonts w:hint="eastAsia"/>
        </w:rPr>
        <w:t>属于清净下水，</w:t>
      </w:r>
      <w:r>
        <w:t>排入厂区污水管网，经总排口排入园区污水管网。</w:t>
      </w:r>
      <w:r>
        <w:rPr>
          <w:rFonts w:hint="eastAsia"/>
        </w:rPr>
        <w:t>污染物浓度参照《制药工业污染防治可行技术指南</w:t>
      </w:r>
      <w:r>
        <w:rPr>
          <w:rFonts w:hint="eastAsia"/>
        </w:rPr>
        <w:t xml:space="preserve"> </w:t>
      </w:r>
      <w:r>
        <w:rPr>
          <w:rFonts w:hint="eastAsia"/>
        </w:rPr>
        <w:t>原料药（发酵类、化学合成类、提取类）和制剂类》（</w:t>
      </w:r>
      <w:r>
        <w:rPr>
          <w:rFonts w:hint="eastAsia"/>
        </w:rPr>
        <w:t>HJ1305-2023</w:t>
      </w:r>
      <w:r>
        <w:rPr>
          <w:rFonts w:hint="eastAsia"/>
        </w:rPr>
        <w:t>）附录</w:t>
      </w:r>
      <w:r>
        <w:rPr>
          <w:rFonts w:hint="eastAsia"/>
        </w:rPr>
        <w:t>B</w:t>
      </w:r>
      <w:r>
        <w:rPr>
          <w:rFonts w:hint="eastAsia"/>
        </w:rPr>
        <w:t>中化学合成类制药废水来源及污染物浓度水平中动力系统制水排水内容：</w:t>
      </w:r>
      <w:r>
        <w:rPr>
          <w:rFonts w:hint="eastAsia"/>
        </w:rPr>
        <w:t>CODcr</w:t>
      </w:r>
      <w:r>
        <w:rPr>
          <w:rFonts w:hint="eastAsia"/>
        </w:rPr>
        <w:t>＜</w:t>
      </w:r>
      <w:r>
        <w:rPr>
          <w:rFonts w:hint="eastAsia"/>
        </w:rPr>
        <w:t>100mg/L</w:t>
      </w:r>
      <w:r>
        <w:rPr>
          <w:rFonts w:hint="eastAsia"/>
        </w:rPr>
        <w:t>，含盐量＞</w:t>
      </w:r>
      <w:r>
        <w:rPr>
          <w:rFonts w:hint="eastAsia"/>
        </w:rPr>
        <w:t>1000mg/L</w:t>
      </w:r>
      <w:r>
        <w:rPr>
          <w:rFonts w:hint="eastAsia"/>
        </w:rPr>
        <w:t>，结合同类型项目，本次评价计为，</w:t>
      </w:r>
      <w:r>
        <w:rPr>
          <w:rFonts w:hint="eastAsia"/>
        </w:rPr>
        <w:t>CODcr</w:t>
      </w:r>
      <w:r>
        <w:rPr>
          <w:rFonts w:hint="eastAsia"/>
        </w:rPr>
        <w:t>：</w:t>
      </w:r>
      <w:r>
        <w:rPr>
          <w:rFonts w:hint="eastAsia"/>
        </w:rPr>
        <w:t>50mg/L</w:t>
      </w:r>
      <w:r>
        <w:rPr>
          <w:rFonts w:hint="eastAsia"/>
        </w:rPr>
        <w:t>，含盐量：</w:t>
      </w:r>
      <w:r>
        <w:rPr>
          <w:rFonts w:hint="eastAsia"/>
        </w:rPr>
        <w:t>1000mg/L</w:t>
      </w:r>
      <w:r>
        <w:rPr>
          <w:rFonts w:hint="eastAsia"/>
        </w:rPr>
        <w:t>。</w:t>
      </w:r>
    </w:p>
    <w:p w14:paraId="25EE0E15" w14:textId="77777777" w:rsidR="003E78AB" w:rsidRDefault="00010BF9">
      <w:pPr>
        <w:ind w:firstLine="480"/>
      </w:pPr>
      <w:r>
        <w:rPr>
          <w:rFonts w:hint="eastAsia"/>
        </w:rPr>
        <w:t>⑤</w:t>
      </w:r>
      <w:r>
        <w:t>软水制备装置浓水</w:t>
      </w:r>
    </w:p>
    <w:p w14:paraId="389F0715" w14:textId="77777777" w:rsidR="003E78AB" w:rsidRDefault="00010BF9">
      <w:pPr>
        <w:ind w:firstLine="480"/>
      </w:pPr>
      <w:r>
        <w:rPr>
          <w:rFonts w:hint="eastAsia"/>
        </w:rPr>
        <w:t>根据水平衡分析项目软化水</w:t>
      </w:r>
      <w:r>
        <w:t>制备装置浓水产量为</w:t>
      </w:r>
      <w:r>
        <w:rPr>
          <w:rFonts w:hint="eastAsia"/>
        </w:rPr>
        <w:t>939.22</w:t>
      </w:r>
      <w:r>
        <w:t>m</w:t>
      </w:r>
      <w:r>
        <w:rPr>
          <w:vertAlign w:val="superscript"/>
        </w:rPr>
        <w:t>3</w:t>
      </w:r>
      <w:r>
        <w:t>/a</w:t>
      </w:r>
      <w:r>
        <w:t>，</w:t>
      </w:r>
      <w:r>
        <w:rPr>
          <w:rFonts w:hint="eastAsia"/>
        </w:rPr>
        <w:t>属于清净下水，</w:t>
      </w:r>
      <w:r>
        <w:t>排入厂区污水管网，经总排口排入园区污水管网。</w:t>
      </w:r>
      <w:r>
        <w:rPr>
          <w:rFonts w:hint="eastAsia"/>
        </w:rPr>
        <w:t>软水制备排浓水指标与纯水制备一致</w:t>
      </w:r>
      <w:r>
        <w:rPr>
          <w:rFonts w:hint="eastAsia"/>
        </w:rPr>
        <w:t>CODcr</w:t>
      </w:r>
      <w:r>
        <w:rPr>
          <w:rFonts w:hint="eastAsia"/>
        </w:rPr>
        <w:t>：</w:t>
      </w:r>
      <w:r>
        <w:rPr>
          <w:rFonts w:hint="eastAsia"/>
        </w:rPr>
        <w:t>50mg/L</w:t>
      </w:r>
      <w:r>
        <w:rPr>
          <w:rFonts w:hint="eastAsia"/>
        </w:rPr>
        <w:t>，含盐量：</w:t>
      </w:r>
      <w:r>
        <w:rPr>
          <w:rFonts w:hint="eastAsia"/>
        </w:rPr>
        <w:t>1000mg/L</w:t>
      </w:r>
      <w:r>
        <w:rPr>
          <w:rFonts w:hint="eastAsia"/>
        </w:rPr>
        <w:t>。</w:t>
      </w:r>
    </w:p>
    <w:p w14:paraId="47DF8719" w14:textId="77777777" w:rsidR="003E78AB" w:rsidRDefault="00010BF9">
      <w:pPr>
        <w:spacing w:line="460" w:lineRule="exact"/>
        <w:ind w:firstLine="480"/>
      </w:pPr>
      <w:r>
        <w:rPr>
          <w:rFonts w:hint="eastAsia"/>
        </w:rPr>
        <w:t>⑥地面冲洗水</w:t>
      </w:r>
    </w:p>
    <w:p w14:paraId="654E9515" w14:textId="77777777" w:rsidR="003E78AB" w:rsidRDefault="00010BF9">
      <w:pPr>
        <w:ind w:firstLine="480"/>
      </w:pPr>
      <w:r>
        <w:rPr>
          <w:rFonts w:hint="eastAsia"/>
        </w:rPr>
        <w:t>项目生产车间地面清洗废水量约为</w:t>
      </w:r>
      <w:r>
        <w:rPr>
          <w:rFonts w:hint="eastAsia"/>
        </w:rPr>
        <w:t>211.2m</w:t>
      </w:r>
      <w:r>
        <w:rPr>
          <w:rFonts w:hint="eastAsia"/>
          <w:vertAlign w:val="superscript"/>
        </w:rPr>
        <w:t>3</w:t>
      </w:r>
      <w:r>
        <w:rPr>
          <w:rFonts w:hint="eastAsia"/>
        </w:rPr>
        <w:t>/a</w:t>
      </w:r>
      <w:r>
        <w:rPr>
          <w:rFonts w:hint="eastAsia"/>
        </w:rPr>
        <w:t>，经车间沉淀池收集后经厂区总排口排入污水管网进入园区污水处理厂深度处理。参照同类型项目，主要污染因子为</w:t>
      </w:r>
      <w:r>
        <w:rPr>
          <w:rFonts w:hint="eastAsia"/>
        </w:rPr>
        <w:t>pH</w:t>
      </w:r>
      <w:r>
        <w:rPr>
          <w:rFonts w:hint="eastAsia"/>
        </w:rPr>
        <w:t>：</w:t>
      </w:r>
      <w:r>
        <w:rPr>
          <w:rFonts w:hint="eastAsia"/>
        </w:rPr>
        <w:t>6~9</w:t>
      </w:r>
      <w:r>
        <w:rPr>
          <w:rFonts w:hint="eastAsia"/>
        </w:rPr>
        <w:t>，</w:t>
      </w:r>
      <w:r>
        <w:rPr>
          <w:rFonts w:hint="eastAsia"/>
        </w:rPr>
        <w:t>CODcr</w:t>
      </w:r>
      <w:r>
        <w:rPr>
          <w:rFonts w:hint="eastAsia"/>
        </w:rPr>
        <w:t>：</w:t>
      </w:r>
      <w:r>
        <w:rPr>
          <w:rFonts w:hint="eastAsia"/>
        </w:rPr>
        <w:t>50mg/L</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5mg/L</w:t>
      </w:r>
      <w:r>
        <w:rPr>
          <w:rFonts w:hint="eastAsia"/>
        </w:rPr>
        <w:t>，</w:t>
      </w:r>
      <w:r>
        <w:rPr>
          <w:rFonts w:hint="eastAsia"/>
        </w:rPr>
        <w:t>SS</w:t>
      </w:r>
      <w:r>
        <w:rPr>
          <w:rFonts w:hint="eastAsia"/>
        </w:rPr>
        <w:t>：</w:t>
      </w:r>
      <w:r>
        <w:rPr>
          <w:rFonts w:hint="eastAsia"/>
        </w:rPr>
        <w:t>300mg/L</w:t>
      </w:r>
      <w:r>
        <w:rPr>
          <w:rFonts w:hint="eastAsia"/>
        </w:rPr>
        <w:t>，钒：</w:t>
      </w:r>
      <w:r>
        <w:rPr>
          <w:rFonts w:hint="eastAsia"/>
        </w:rPr>
        <w:t>1mg/L</w:t>
      </w:r>
      <w:r>
        <w:rPr>
          <w:rFonts w:hint="eastAsia"/>
        </w:rPr>
        <w:t>，</w:t>
      </w:r>
      <w:r>
        <w:rPr>
          <w:rFonts w:hint="eastAsia"/>
        </w:rPr>
        <w:t>TN</w:t>
      </w:r>
      <w:r>
        <w:rPr>
          <w:rFonts w:hint="eastAsia"/>
        </w:rPr>
        <w:t>：</w:t>
      </w:r>
      <w:r>
        <w:rPr>
          <w:rFonts w:hint="eastAsia"/>
        </w:rPr>
        <w:t>8mg/L</w:t>
      </w:r>
      <w:r>
        <w:rPr>
          <w:rFonts w:hint="eastAsia"/>
        </w:rPr>
        <w:t>、硫酸盐：</w:t>
      </w:r>
      <w:r>
        <w:rPr>
          <w:rFonts w:hint="eastAsia"/>
        </w:rPr>
        <w:t>800mg/L</w:t>
      </w:r>
      <w:r>
        <w:rPr>
          <w:rFonts w:hint="eastAsia"/>
        </w:rPr>
        <w:t>、磷酸盐：</w:t>
      </w:r>
      <w:r>
        <w:rPr>
          <w:rFonts w:hint="eastAsia"/>
        </w:rPr>
        <w:t>70mg/L</w:t>
      </w:r>
      <w:r>
        <w:rPr>
          <w:rFonts w:hint="eastAsia"/>
        </w:rPr>
        <w:t>等。</w:t>
      </w:r>
    </w:p>
    <w:p w14:paraId="12BA4004" w14:textId="77777777" w:rsidR="003E78AB" w:rsidRDefault="00010BF9">
      <w:pPr>
        <w:spacing w:line="460" w:lineRule="exact"/>
        <w:ind w:firstLine="480"/>
      </w:pPr>
      <w:r>
        <w:rPr>
          <w:rFonts w:hint="eastAsia"/>
        </w:rPr>
        <w:t>⑦生活污水</w:t>
      </w:r>
    </w:p>
    <w:p w14:paraId="0E3696D3" w14:textId="77777777" w:rsidR="003E78AB" w:rsidRDefault="00010BF9">
      <w:pPr>
        <w:spacing w:line="460" w:lineRule="exact"/>
        <w:ind w:firstLine="480"/>
      </w:pPr>
      <w:r>
        <w:rPr>
          <w:rFonts w:hint="eastAsia"/>
        </w:rPr>
        <w:t>项目生活污水产生量</w:t>
      </w:r>
      <w:r>
        <w:t>2481.6</w:t>
      </w:r>
      <w:r>
        <w:rPr>
          <w:rFonts w:hint="eastAsia"/>
        </w:rPr>
        <w:t>m</w:t>
      </w:r>
      <w:r>
        <w:rPr>
          <w:rFonts w:hint="eastAsia"/>
          <w:vertAlign w:val="superscript"/>
        </w:rPr>
        <w:t>3</w:t>
      </w:r>
      <w:r>
        <w:rPr>
          <w:rFonts w:hint="eastAsia"/>
        </w:rPr>
        <w:t>/a</w:t>
      </w:r>
      <w:r>
        <w:rPr>
          <w:rFonts w:hint="eastAsia"/>
        </w:rPr>
        <w:t>，其中污染物见</w:t>
      </w:r>
      <w:r>
        <w:rPr>
          <w:rFonts w:hint="eastAsia"/>
        </w:rPr>
        <w:fldChar w:fldCharType="begin"/>
      </w:r>
      <w:r>
        <w:rPr>
          <w:rFonts w:hint="eastAsia"/>
        </w:rPr>
        <w:instrText xml:space="preserve"> REF _Ref23748 \r \h </w:instrText>
      </w:r>
      <w:r>
        <w:rPr>
          <w:rFonts w:hint="eastAsia"/>
        </w:rPr>
      </w:r>
      <w:r>
        <w:rPr>
          <w:rFonts w:hint="eastAsia"/>
        </w:rPr>
        <w:fldChar w:fldCharType="separate"/>
      </w:r>
      <w:r>
        <w:rPr>
          <w:rFonts w:hint="eastAsia"/>
        </w:rPr>
        <w:t>表</w:t>
      </w:r>
      <w:r>
        <w:rPr>
          <w:rFonts w:hint="eastAsia"/>
        </w:rPr>
        <w:t>3-27</w:t>
      </w:r>
      <w:r>
        <w:rPr>
          <w:rFonts w:hint="eastAsia"/>
        </w:rPr>
        <w:fldChar w:fldCharType="end"/>
      </w:r>
      <w:r>
        <w:rPr>
          <w:rFonts w:hint="eastAsia"/>
        </w:rPr>
        <w:t>。</w:t>
      </w:r>
    </w:p>
    <w:p w14:paraId="5F44C70F" w14:textId="77777777" w:rsidR="003E78AB" w:rsidRDefault="00010BF9">
      <w:pPr>
        <w:pStyle w:val="a1"/>
      </w:pPr>
      <w:bookmarkStart w:id="260" w:name="_Ref23748"/>
      <w:r>
        <w:rPr>
          <w:rFonts w:hint="eastAsia"/>
        </w:rPr>
        <w:t>生活污水主要污染物及排放情况</w:t>
      </w:r>
      <w:bookmarkEnd w:id="26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410"/>
        <w:gridCol w:w="1274"/>
        <w:gridCol w:w="795"/>
        <w:gridCol w:w="873"/>
        <w:gridCol w:w="873"/>
        <w:gridCol w:w="875"/>
        <w:gridCol w:w="875"/>
        <w:gridCol w:w="875"/>
      </w:tblGrid>
      <w:tr w:rsidR="003E78AB" w14:paraId="0BD49602" w14:textId="77777777">
        <w:trPr>
          <w:trHeight w:val="340"/>
          <w:tblHeader/>
          <w:jc w:val="center"/>
        </w:trPr>
        <w:tc>
          <w:tcPr>
            <w:tcW w:w="1216" w:type="pct"/>
            <w:gridSpan w:val="2"/>
            <w:tcBorders>
              <w:tl2br w:val="nil"/>
              <w:tr2bl w:val="nil"/>
            </w:tcBorders>
            <w:vAlign w:val="center"/>
          </w:tcPr>
          <w:p w14:paraId="6C95834E"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主要污染物</w:t>
            </w:r>
          </w:p>
        </w:tc>
        <w:tc>
          <w:tcPr>
            <w:tcW w:w="748" w:type="pct"/>
            <w:tcBorders>
              <w:tl2br w:val="nil"/>
              <w:tr2bl w:val="nil"/>
            </w:tcBorders>
            <w:vAlign w:val="center"/>
          </w:tcPr>
          <w:p w14:paraId="3EDB4704"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废水量</w:t>
            </w:r>
          </w:p>
        </w:tc>
        <w:tc>
          <w:tcPr>
            <w:tcW w:w="466" w:type="pct"/>
            <w:tcBorders>
              <w:tl2br w:val="nil"/>
              <w:tr2bl w:val="nil"/>
            </w:tcBorders>
            <w:vAlign w:val="center"/>
          </w:tcPr>
          <w:p w14:paraId="7D402BB5"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SS</w:t>
            </w:r>
          </w:p>
        </w:tc>
        <w:tc>
          <w:tcPr>
            <w:tcW w:w="513" w:type="pct"/>
            <w:tcBorders>
              <w:tl2br w:val="nil"/>
              <w:tr2bl w:val="nil"/>
            </w:tcBorders>
            <w:vAlign w:val="center"/>
          </w:tcPr>
          <w:p w14:paraId="21D9B4FE"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CODcr</w:t>
            </w:r>
          </w:p>
        </w:tc>
        <w:tc>
          <w:tcPr>
            <w:tcW w:w="513" w:type="pct"/>
            <w:tcBorders>
              <w:tl2br w:val="nil"/>
              <w:tr2bl w:val="nil"/>
            </w:tcBorders>
            <w:vAlign w:val="center"/>
          </w:tcPr>
          <w:p w14:paraId="38014007"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BOD</w:t>
            </w:r>
            <w:r>
              <w:rPr>
                <w:rFonts w:hint="eastAsia"/>
                <w:b/>
                <w:bCs/>
                <w:sz w:val="21"/>
                <w:szCs w:val="21"/>
                <w:vertAlign w:val="subscript"/>
                <w:lang w:bidi="ar"/>
              </w:rPr>
              <w:t>5</w:t>
            </w:r>
          </w:p>
        </w:tc>
        <w:tc>
          <w:tcPr>
            <w:tcW w:w="514" w:type="pct"/>
            <w:tcBorders>
              <w:tl2br w:val="nil"/>
              <w:tr2bl w:val="nil"/>
            </w:tcBorders>
            <w:vAlign w:val="center"/>
          </w:tcPr>
          <w:p w14:paraId="23021886"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NH</w:t>
            </w:r>
            <w:r>
              <w:rPr>
                <w:rFonts w:hint="eastAsia"/>
                <w:b/>
                <w:bCs/>
                <w:sz w:val="21"/>
                <w:szCs w:val="21"/>
                <w:vertAlign w:val="subscript"/>
                <w:lang w:bidi="ar"/>
              </w:rPr>
              <w:t>3</w:t>
            </w:r>
            <w:r>
              <w:rPr>
                <w:rFonts w:hint="eastAsia"/>
                <w:b/>
                <w:bCs/>
                <w:sz w:val="21"/>
                <w:szCs w:val="21"/>
                <w:lang w:bidi="ar"/>
              </w:rPr>
              <w:t>-N</w:t>
            </w:r>
          </w:p>
        </w:tc>
        <w:tc>
          <w:tcPr>
            <w:tcW w:w="514" w:type="pct"/>
            <w:tcBorders>
              <w:tl2br w:val="nil"/>
              <w:tr2bl w:val="nil"/>
            </w:tcBorders>
            <w:vAlign w:val="center"/>
          </w:tcPr>
          <w:p w14:paraId="22738733"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TN</w:t>
            </w:r>
          </w:p>
        </w:tc>
        <w:tc>
          <w:tcPr>
            <w:tcW w:w="514" w:type="pct"/>
            <w:tcBorders>
              <w:tl2br w:val="nil"/>
              <w:tr2bl w:val="nil"/>
            </w:tcBorders>
            <w:vAlign w:val="center"/>
          </w:tcPr>
          <w:p w14:paraId="4516840C"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TP</w:t>
            </w:r>
          </w:p>
        </w:tc>
      </w:tr>
      <w:tr w:rsidR="003E78AB" w14:paraId="4DD56700" w14:textId="77777777">
        <w:trPr>
          <w:trHeight w:val="340"/>
          <w:jc w:val="center"/>
        </w:trPr>
        <w:tc>
          <w:tcPr>
            <w:tcW w:w="388" w:type="pct"/>
            <w:vMerge w:val="restart"/>
            <w:tcBorders>
              <w:tl2br w:val="nil"/>
              <w:tr2bl w:val="nil"/>
            </w:tcBorders>
            <w:vAlign w:val="center"/>
          </w:tcPr>
          <w:p w14:paraId="758B6F7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处理前</w:t>
            </w:r>
          </w:p>
        </w:tc>
        <w:tc>
          <w:tcPr>
            <w:tcW w:w="827" w:type="pct"/>
            <w:tcBorders>
              <w:tl2br w:val="nil"/>
              <w:tr2bl w:val="nil"/>
            </w:tcBorders>
            <w:vAlign w:val="center"/>
          </w:tcPr>
          <w:p w14:paraId="013F1C0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浓度（</w:t>
            </w:r>
            <w:r>
              <w:rPr>
                <w:rFonts w:hint="eastAsia"/>
                <w:sz w:val="21"/>
                <w:szCs w:val="21"/>
                <w:lang w:bidi="ar"/>
              </w:rPr>
              <w:t>mg/L</w:t>
            </w:r>
            <w:r>
              <w:rPr>
                <w:rFonts w:hint="eastAsia"/>
                <w:sz w:val="21"/>
                <w:szCs w:val="21"/>
                <w:lang w:bidi="ar"/>
              </w:rPr>
              <w:t>）</w:t>
            </w:r>
          </w:p>
        </w:tc>
        <w:tc>
          <w:tcPr>
            <w:tcW w:w="748" w:type="pct"/>
            <w:vMerge w:val="restart"/>
            <w:tcBorders>
              <w:tl2br w:val="nil"/>
              <w:tr2bl w:val="nil"/>
            </w:tcBorders>
            <w:vAlign w:val="center"/>
          </w:tcPr>
          <w:p w14:paraId="6D238B5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2481.6m</w:t>
            </w:r>
            <w:r>
              <w:rPr>
                <w:rFonts w:hint="eastAsia"/>
                <w:sz w:val="21"/>
                <w:szCs w:val="21"/>
                <w:vertAlign w:val="superscript"/>
                <w:lang w:bidi="ar"/>
              </w:rPr>
              <w:t>3</w:t>
            </w:r>
            <w:r>
              <w:rPr>
                <w:rFonts w:hint="eastAsia"/>
                <w:sz w:val="21"/>
                <w:szCs w:val="21"/>
                <w:lang w:bidi="ar"/>
              </w:rPr>
              <w:t>/a</w:t>
            </w:r>
          </w:p>
        </w:tc>
        <w:tc>
          <w:tcPr>
            <w:tcW w:w="466" w:type="pct"/>
            <w:tcBorders>
              <w:tl2br w:val="nil"/>
              <w:tr2bl w:val="nil"/>
            </w:tcBorders>
            <w:vAlign w:val="center"/>
          </w:tcPr>
          <w:p w14:paraId="07A47A8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220</w:t>
            </w:r>
          </w:p>
        </w:tc>
        <w:tc>
          <w:tcPr>
            <w:tcW w:w="513" w:type="pct"/>
            <w:tcBorders>
              <w:tl2br w:val="nil"/>
              <w:tr2bl w:val="nil"/>
            </w:tcBorders>
            <w:vAlign w:val="center"/>
          </w:tcPr>
          <w:p w14:paraId="4BFDFCE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300</w:t>
            </w:r>
          </w:p>
        </w:tc>
        <w:tc>
          <w:tcPr>
            <w:tcW w:w="513" w:type="pct"/>
            <w:tcBorders>
              <w:tl2br w:val="nil"/>
              <w:tr2bl w:val="nil"/>
            </w:tcBorders>
            <w:vAlign w:val="center"/>
          </w:tcPr>
          <w:p w14:paraId="69DB7AD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200</w:t>
            </w:r>
          </w:p>
        </w:tc>
        <w:tc>
          <w:tcPr>
            <w:tcW w:w="514" w:type="pct"/>
            <w:tcBorders>
              <w:tl2br w:val="nil"/>
              <w:tr2bl w:val="nil"/>
            </w:tcBorders>
            <w:vAlign w:val="center"/>
          </w:tcPr>
          <w:p w14:paraId="2405476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30</w:t>
            </w:r>
          </w:p>
        </w:tc>
        <w:tc>
          <w:tcPr>
            <w:tcW w:w="514" w:type="pct"/>
            <w:tcBorders>
              <w:tl2br w:val="nil"/>
              <w:tr2bl w:val="nil"/>
            </w:tcBorders>
            <w:vAlign w:val="center"/>
          </w:tcPr>
          <w:p w14:paraId="799203F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50</w:t>
            </w:r>
          </w:p>
        </w:tc>
        <w:tc>
          <w:tcPr>
            <w:tcW w:w="514" w:type="pct"/>
            <w:tcBorders>
              <w:tl2br w:val="nil"/>
              <w:tr2bl w:val="nil"/>
            </w:tcBorders>
            <w:vAlign w:val="center"/>
          </w:tcPr>
          <w:p w14:paraId="71AE7BE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w:t>
            </w:r>
          </w:p>
        </w:tc>
      </w:tr>
      <w:tr w:rsidR="003E78AB" w14:paraId="75C11F21" w14:textId="77777777">
        <w:trPr>
          <w:trHeight w:val="340"/>
          <w:jc w:val="center"/>
        </w:trPr>
        <w:tc>
          <w:tcPr>
            <w:tcW w:w="388" w:type="pct"/>
            <w:vMerge/>
            <w:tcBorders>
              <w:tl2br w:val="nil"/>
              <w:tr2bl w:val="nil"/>
            </w:tcBorders>
            <w:vAlign w:val="center"/>
          </w:tcPr>
          <w:p w14:paraId="0EDD497D" w14:textId="77777777" w:rsidR="003E78AB" w:rsidRDefault="003E78AB">
            <w:pPr>
              <w:spacing w:line="360" w:lineRule="exact"/>
              <w:ind w:firstLineChars="0" w:firstLine="0"/>
              <w:jc w:val="center"/>
              <w:textAlignment w:val="center"/>
              <w:rPr>
                <w:sz w:val="21"/>
                <w:szCs w:val="21"/>
                <w:lang w:bidi="ar"/>
              </w:rPr>
            </w:pPr>
          </w:p>
        </w:tc>
        <w:tc>
          <w:tcPr>
            <w:tcW w:w="827" w:type="pct"/>
            <w:tcBorders>
              <w:tl2br w:val="nil"/>
              <w:tr2bl w:val="nil"/>
            </w:tcBorders>
            <w:vAlign w:val="center"/>
          </w:tcPr>
          <w:p w14:paraId="5A58F5C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产生量（</w:t>
            </w:r>
            <w:r>
              <w:rPr>
                <w:rFonts w:hint="eastAsia"/>
                <w:sz w:val="21"/>
                <w:szCs w:val="21"/>
                <w:lang w:bidi="ar"/>
              </w:rPr>
              <w:t>t/a</w:t>
            </w:r>
            <w:r>
              <w:rPr>
                <w:rFonts w:hint="eastAsia"/>
                <w:sz w:val="21"/>
                <w:szCs w:val="21"/>
                <w:lang w:bidi="ar"/>
              </w:rPr>
              <w:t>）</w:t>
            </w:r>
          </w:p>
        </w:tc>
        <w:tc>
          <w:tcPr>
            <w:tcW w:w="748" w:type="pct"/>
            <w:vMerge/>
            <w:tcBorders>
              <w:tl2br w:val="nil"/>
              <w:tr2bl w:val="nil"/>
            </w:tcBorders>
            <w:vAlign w:val="center"/>
          </w:tcPr>
          <w:p w14:paraId="21D8F9E8" w14:textId="77777777" w:rsidR="003E78AB" w:rsidRDefault="003E78AB">
            <w:pPr>
              <w:spacing w:line="360" w:lineRule="exact"/>
              <w:ind w:firstLineChars="0" w:firstLine="0"/>
              <w:jc w:val="center"/>
              <w:textAlignment w:val="center"/>
              <w:rPr>
                <w:sz w:val="21"/>
                <w:szCs w:val="21"/>
                <w:lang w:bidi="ar"/>
              </w:rPr>
            </w:pPr>
          </w:p>
        </w:tc>
        <w:tc>
          <w:tcPr>
            <w:tcW w:w="466" w:type="pct"/>
            <w:tcBorders>
              <w:tl2br w:val="nil"/>
              <w:tr2bl w:val="nil"/>
            </w:tcBorders>
            <w:vAlign w:val="center"/>
          </w:tcPr>
          <w:p w14:paraId="1BF7F860" w14:textId="77777777" w:rsidR="003E78AB" w:rsidRDefault="00010BF9">
            <w:pPr>
              <w:spacing w:line="360" w:lineRule="exact"/>
              <w:ind w:firstLineChars="0" w:firstLine="0"/>
              <w:jc w:val="center"/>
              <w:textAlignment w:val="center"/>
              <w:rPr>
                <w:sz w:val="21"/>
                <w:szCs w:val="21"/>
                <w:lang w:bidi="ar"/>
              </w:rPr>
            </w:pPr>
            <w:r>
              <w:rPr>
                <w:sz w:val="21"/>
                <w:szCs w:val="21"/>
                <w:lang w:bidi="ar"/>
              </w:rPr>
              <w:t>0.5460</w:t>
            </w:r>
          </w:p>
        </w:tc>
        <w:tc>
          <w:tcPr>
            <w:tcW w:w="513" w:type="pct"/>
            <w:tcBorders>
              <w:tl2br w:val="nil"/>
              <w:tr2bl w:val="nil"/>
            </w:tcBorders>
            <w:vAlign w:val="center"/>
          </w:tcPr>
          <w:p w14:paraId="13002C1B" w14:textId="77777777" w:rsidR="003E78AB" w:rsidRDefault="00010BF9">
            <w:pPr>
              <w:spacing w:line="360" w:lineRule="exact"/>
              <w:ind w:firstLineChars="0" w:firstLine="0"/>
              <w:jc w:val="center"/>
              <w:textAlignment w:val="center"/>
              <w:rPr>
                <w:sz w:val="21"/>
                <w:szCs w:val="21"/>
                <w:lang w:bidi="ar"/>
              </w:rPr>
            </w:pPr>
            <w:r>
              <w:rPr>
                <w:sz w:val="21"/>
                <w:szCs w:val="21"/>
                <w:lang w:bidi="ar"/>
              </w:rPr>
              <w:t>0.7445</w:t>
            </w:r>
          </w:p>
        </w:tc>
        <w:tc>
          <w:tcPr>
            <w:tcW w:w="513" w:type="pct"/>
            <w:tcBorders>
              <w:tl2br w:val="nil"/>
              <w:tr2bl w:val="nil"/>
            </w:tcBorders>
            <w:vAlign w:val="center"/>
          </w:tcPr>
          <w:p w14:paraId="08A8C840" w14:textId="77777777" w:rsidR="003E78AB" w:rsidRDefault="00010BF9">
            <w:pPr>
              <w:spacing w:line="360" w:lineRule="exact"/>
              <w:ind w:firstLineChars="0" w:firstLine="0"/>
              <w:jc w:val="center"/>
              <w:textAlignment w:val="center"/>
              <w:rPr>
                <w:sz w:val="21"/>
                <w:szCs w:val="21"/>
                <w:lang w:bidi="ar"/>
              </w:rPr>
            </w:pPr>
            <w:r>
              <w:rPr>
                <w:sz w:val="21"/>
                <w:szCs w:val="21"/>
                <w:lang w:bidi="ar"/>
              </w:rPr>
              <w:t>0.4963</w:t>
            </w:r>
          </w:p>
        </w:tc>
        <w:tc>
          <w:tcPr>
            <w:tcW w:w="514" w:type="pct"/>
            <w:tcBorders>
              <w:tl2br w:val="nil"/>
              <w:tr2bl w:val="nil"/>
            </w:tcBorders>
            <w:vAlign w:val="center"/>
          </w:tcPr>
          <w:p w14:paraId="4E16FAD1" w14:textId="77777777" w:rsidR="003E78AB" w:rsidRDefault="00010BF9">
            <w:pPr>
              <w:spacing w:line="360" w:lineRule="exact"/>
              <w:ind w:firstLineChars="0" w:firstLine="0"/>
              <w:jc w:val="center"/>
              <w:textAlignment w:val="center"/>
              <w:rPr>
                <w:sz w:val="21"/>
                <w:szCs w:val="21"/>
                <w:lang w:bidi="ar"/>
              </w:rPr>
            </w:pPr>
            <w:r>
              <w:rPr>
                <w:sz w:val="21"/>
                <w:szCs w:val="21"/>
                <w:lang w:bidi="ar"/>
              </w:rPr>
              <w:t>0.0744</w:t>
            </w:r>
          </w:p>
        </w:tc>
        <w:tc>
          <w:tcPr>
            <w:tcW w:w="514" w:type="pct"/>
            <w:tcBorders>
              <w:tl2br w:val="nil"/>
              <w:tr2bl w:val="nil"/>
            </w:tcBorders>
            <w:vAlign w:val="center"/>
          </w:tcPr>
          <w:p w14:paraId="62A10D46" w14:textId="77777777" w:rsidR="003E78AB" w:rsidRDefault="00010BF9">
            <w:pPr>
              <w:spacing w:line="360" w:lineRule="exact"/>
              <w:ind w:firstLineChars="0" w:firstLine="0"/>
              <w:jc w:val="center"/>
              <w:textAlignment w:val="center"/>
              <w:rPr>
                <w:sz w:val="21"/>
                <w:szCs w:val="21"/>
                <w:lang w:bidi="ar"/>
              </w:rPr>
            </w:pPr>
            <w:r>
              <w:rPr>
                <w:sz w:val="21"/>
                <w:szCs w:val="21"/>
                <w:lang w:bidi="ar"/>
              </w:rPr>
              <w:t>0.1241</w:t>
            </w:r>
          </w:p>
        </w:tc>
        <w:tc>
          <w:tcPr>
            <w:tcW w:w="514" w:type="pct"/>
            <w:tcBorders>
              <w:tl2br w:val="nil"/>
              <w:tr2bl w:val="nil"/>
            </w:tcBorders>
            <w:vAlign w:val="center"/>
          </w:tcPr>
          <w:p w14:paraId="57871F1A" w14:textId="77777777" w:rsidR="003E78AB" w:rsidRDefault="00010BF9">
            <w:pPr>
              <w:spacing w:line="360" w:lineRule="exact"/>
              <w:ind w:firstLineChars="0" w:firstLine="0"/>
              <w:jc w:val="center"/>
              <w:textAlignment w:val="center"/>
              <w:rPr>
                <w:sz w:val="21"/>
                <w:szCs w:val="21"/>
                <w:lang w:bidi="ar"/>
              </w:rPr>
            </w:pPr>
            <w:r>
              <w:rPr>
                <w:sz w:val="21"/>
                <w:szCs w:val="21"/>
                <w:lang w:bidi="ar"/>
              </w:rPr>
              <w:t>0.0050</w:t>
            </w:r>
          </w:p>
        </w:tc>
      </w:tr>
      <w:tr w:rsidR="003E78AB" w14:paraId="103EBA05" w14:textId="77777777">
        <w:trPr>
          <w:trHeight w:val="340"/>
          <w:jc w:val="center"/>
        </w:trPr>
        <w:tc>
          <w:tcPr>
            <w:tcW w:w="1216" w:type="pct"/>
            <w:gridSpan w:val="2"/>
            <w:tcBorders>
              <w:tl2br w:val="nil"/>
              <w:tr2bl w:val="nil"/>
            </w:tcBorders>
            <w:vAlign w:val="center"/>
          </w:tcPr>
          <w:p w14:paraId="0CD42A6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处理效率（</w:t>
            </w:r>
            <w:r>
              <w:rPr>
                <w:rFonts w:hint="eastAsia"/>
                <w:sz w:val="21"/>
                <w:szCs w:val="21"/>
                <w:lang w:bidi="ar"/>
              </w:rPr>
              <w:t>%</w:t>
            </w:r>
            <w:r>
              <w:rPr>
                <w:rFonts w:hint="eastAsia"/>
                <w:sz w:val="21"/>
                <w:szCs w:val="21"/>
                <w:lang w:bidi="ar"/>
              </w:rPr>
              <w:t>）</w:t>
            </w:r>
          </w:p>
        </w:tc>
        <w:tc>
          <w:tcPr>
            <w:tcW w:w="748" w:type="pct"/>
            <w:vMerge/>
            <w:tcBorders>
              <w:tl2br w:val="nil"/>
              <w:tr2bl w:val="nil"/>
            </w:tcBorders>
            <w:vAlign w:val="center"/>
          </w:tcPr>
          <w:p w14:paraId="426B7D2C" w14:textId="77777777" w:rsidR="003E78AB" w:rsidRDefault="003E78AB">
            <w:pPr>
              <w:spacing w:line="360" w:lineRule="exact"/>
              <w:ind w:firstLineChars="0" w:firstLine="0"/>
              <w:jc w:val="center"/>
              <w:textAlignment w:val="center"/>
              <w:rPr>
                <w:sz w:val="21"/>
                <w:szCs w:val="21"/>
                <w:lang w:bidi="ar"/>
              </w:rPr>
            </w:pPr>
          </w:p>
        </w:tc>
        <w:tc>
          <w:tcPr>
            <w:tcW w:w="466" w:type="pct"/>
            <w:tcBorders>
              <w:tl2br w:val="nil"/>
              <w:tr2bl w:val="nil"/>
            </w:tcBorders>
            <w:vAlign w:val="center"/>
          </w:tcPr>
          <w:p w14:paraId="30ADCCF7" w14:textId="77777777" w:rsidR="003E78AB" w:rsidRDefault="00010BF9">
            <w:pPr>
              <w:spacing w:line="360" w:lineRule="exact"/>
              <w:ind w:firstLineChars="0" w:firstLine="0"/>
              <w:jc w:val="center"/>
              <w:textAlignment w:val="center"/>
              <w:rPr>
                <w:sz w:val="21"/>
                <w:szCs w:val="21"/>
                <w:lang w:bidi="ar"/>
              </w:rPr>
            </w:pPr>
            <w:r>
              <w:rPr>
                <w:sz w:val="21"/>
                <w:szCs w:val="21"/>
                <w:lang w:bidi="ar"/>
              </w:rPr>
              <w:t>0</w:t>
            </w:r>
          </w:p>
        </w:tc>
        <w:tc>
          <w:tcPr>
            <w:tcW w:w="513" w:type="pct"/>
            <w:tcBorders>
              <w:tl2br w:val="nil"/>
              <w:tr2bl w:val="nil"/>
            </w:tcBorders>
            <w:vAlign w:val="center"/>
          </w:tcPr>
          <w:p w14:paraId="169CDA41" w14:textId="77777777" w:rsidR="003E78AB" w:rsidRDefault="00010BF9">
            <w:pPr>
              <w:spacing w:line="360" w:lineRule="exact"/>
              <w:ind w:firstLineChars="0" w:firstLine="0"/>
              <w:jc w:val="center"/>
              <w:textAlignment w:val="center"/>
              <w:rPr>
                <w:sz w:val="21"/>
                <w:szCs w:val="21"/>
                <w:lang w:bidi="ar"/>
              </w:rPr>
            </w:pPr>
            <w:r>
              <w:rPr>
                <w:sz w:val="21"/>
                <w:szCs w:val="21"/>
                <w:lang w:bidi="ar"/>
              </w:rPr>
              <w:t>20</w:t>
            </w:r>
          </w:p>
        </w:tc>
        <w:tc>
          <w:tcPr>
            <w:tcW w:w="513" w:type="pct"/>
            <w:tcBorders>
              <w:tl2br w:val="nil"/>
              <w:tr2bl w:val="nil"/>
            </w:tcBorders>
            <w:vAlign w:val="center"/>
          </w:tcPr>
          <w:p w14:paraId="1A6D9DC6" w14:textId="77777777" w:rsidR="003E78AB" w:rsidRDefault="00010BF9">
            <w:pPr>
              <w:spacing w:line="360" w:lineRule="exact"/>
              <w:ind w:firstLineChars="0" w:firstLine="0"/>
              <w:jc w:val="center"/>
              <w:textAlignment w:val="center"/>
              <w:rPr>
                <w:sz w:val="21"/>
                <w:szCs w:val="21"/>
                <w:lang w:bidi="ar"/>
              </w:rPr>
            </w:pPr>
            <w:r>
              <w:rPr>
                <w:sz w:val="21"/>
                <w:szCs w:val="21"/>
                <w:lang w:bidi="ar"/>
              </w:rPr>
              <w:t>15</w:t>
            </w:r>
          </w:p>
        </w:tc>
        <w:tc>
          <w:tcPr>
            <w:tcW w:w="514" w:type="pct"/>
            <w:tcBorders>
              <w:tl2br w:val="nil"/>
              <w:tr2bl w:val="nil"/>
            </w:tcBorders>
            <w:vAlign w:val="center"/>
          </w:tcPr>
          <w:p w14:paraId="7A4A6435" w14:textId="77777777" w:rsidR="003E78AB" w:rsidRDefault="00010BF9">
            <w:pPr>
              <w:spacing w:line="360" w:lineRule="exact"/>
              <w:ind w:firstLineChars="0" w:firstLine="0"/>
              <w:jc w:val="center"/>
              <w:textAlignment w:val="center"/>
              <w:rPr>
                <w:sz w:val="21"/>
                <w:szCs w:val="21"/>
                <w:lang w:bidi="ar"/>
              </w:rPr>
            </w:pPr>
            <w:r>
              <w:rPr>
                <w:sz w:val="21"/>
                <w:szCs w:val="21"/>
                <w:lang w:bidi="ar"/>
              </w:rPr>
              <w:t>5</w:t>
            </w:r>
          </w:p>
        </w:tc>
        <w:tc>
          <w:tcPr>
            <w:tcW w:w="514" w:type="pct"/>
            <w:tcBorders>
              <w:tl2br w:val="nil"/>
              <w:tr2bl w:val="nil"/>
            </w:tcBorders>
            <w:vAlign w:val="center"/>
          </w:tcPr>
          <w:p w14:paraId="12F336B3"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c>
          <w:tcPr>
            <w:tcW w:w="514" w:type="pct"/>
            <w:tcBorders>
              <w:tl2br w:val="nil"/>
              <w:tr2bl w:val="nil"/>
            </w:tcBorders>
            <w:vAlign w:val="center"/>
          </w:tcPr>
          <w:p w14:paraId="178624CE" w14:textId="77777777" w:rsidR="003E78AB" w:rsidRDefault="00010BF9">
            <w:pPr>
              <w:spacing w:line="360" w:lineRule="exact"/>
              <w:ind w:firstLineChars="0" w:firstLine="0"/>
              <w:jc w:val="center"/>
              <w:textAlignment w:val="center"/>
              <w:rPr>
                <w:sz w:val="21"/>
                <w:szCs w:val="21"/>
                <w:lang w:bidi="ar"/>
              </w:rPr>
            </w:pPr>
            <w:r>
              <w:rPr>
                <w:sz w:val="21"/>
                <w:szCs w:val="21"/>
                <w:lang w:bidi="ar"/>
              </w:rPr>
              <w:t>3</w:t>
            </w:r>
          </w:p>
        </w:tc>
      </w:tr>
      <w:tr w:rsidR="003E78AB" w14:paraId="3373E244" w14:textId="77777777">
        <w:trPr>
          <w:trHeight w:val="340"/>
          <w:jc w:val="center"/>
        </w:trPr>
        <w:tc>
          <w:tcPr>
            <w:tcW w:w="388" w:type="pct"/>
            <w:vMerge w:val="restart"/>
            <w:tcBorders>
              <w:tl2br w:val="nil"/>
              <w:tr2bl w:val="nil"/>
            </w:tcBorders>
            <w:vAlign w:val="center"/>
          </w:tcPr>
          <w:p w14:paraId="51731AB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处理后</w:t>
            </w:r>
          </w:p>
        </w:tc>
        <w:tc>
          <w:tcPr>
            <w:tcW w:w="827" w:type="pct"/>
            <w:tcBorders>
              <w:tl2br w:val="nil"/>
              <w:tr2bl w:val="nil"/>
            </w:tcBorders>
            <w:vAlign w:val="center"/>
          </w:tcPr>
          <w:p w14:paraId="47D4FAE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浓度（</w:t>
            </w:r>
            <w:r>
              <w:rPr>
                <w:rFonts w:hint="eastAsia"/>
                <w:sz w:val="21"/>
                <w:szCs w:val="21"/>
                <w:lang w:bidi="ar"/>
              </w:rPr>
              <w:t>mg/L</w:t>
            </w:r>
            <w:r>
              <w:rPr>
                <w:rFonts w:hint="eastAsia"/>
                <w:sz w:val="21"/>
                <w:szCs w:val="21"/>
                <w:lang w:bidi="ar"/>
              </w:rPr>
              <w:t>）</w:t>
            </w:r>
          </w:p>
        </w:tc>
        <w:tc>
          <w:tcPr>
            <w:tcW w:w="748" w:type="pct"/>
            <w:vMerge/>
            <w:tcBorders>
              <w:tl2br w:val="nil"/>
              <w:tr2bl w:val="nil"/>
            </w:tcBorders>
            <w:vAlign w:val="center"/>
          </w:tcPr>
          <w:p w14:paraId="50AB607D" w14:textId="77777777" w:rsidR="003E78AB" w:rsidRDefault="003E78AB">
            <w:pPr>
              <w:spacing w:line="360" w:lineRule="exact"/>
              <w:ind w:firstLineChars="0" w:firstLine="0"/>
              <w:jc w:val="center"/>
              <w:textAlignment w:val="center"/>
              <w:rPr>
                <w:sz w:val="21"/>
                <w:szCs w:val="21"/>
                <w:lang w:bidi="ar"/>
              </w:rPr>
            </w:pPr>
          </w:p>
        </w:tc>
        <w:tc>
          <w:tcPr>
            <w:tcW w:w="466" w:type="pct"/>
            <w:tcBorders>
              <w:tl2br w:val="nil"/>
              <w:tr2bl w:val="nil"/>
            </w:tcBorders>
            <w:vAlign w:val="center"/>
          </w:tcPr>
          <w:p w14:paraId="59A1880E" w14:textId="77777777" w:rsidR="003E78AB" w:rsidRDefault="00010BF9">
            <w:pPr>
              <w:spacing w:line="360" w:lineRule="exact"/>
              <w:ind w:firstLineChars="0" w:firstLine="0"/>
              <w:jc w:val="center"/>
              <w:textAlignment w:val="center"/>
              <w:rPr>
                <w:sz w:val="21"/>
                <w:szCs w:val="21"/>
                <w:lang w:bidi="ar"/>
              </w:rPr>
            </w:pPr>
            <w:r>
              <w:rPr>
                <w:sz w:val="21"/>
                <w:szCs w:val="21"/>
                <w:lang w:bidi="ar"/>
              </w:rPr>
              <w:t>220</w:t>
            </w:r>
          </w:p>
        </w:tc>
        <w:tc>
          <w:tcPr>
            <w:tcW w:w="513" w:type="pct"/>
            <w:tcBorders>
              <w:tl2br w:val="nil"/>
              <w:tr2bl w:val="nil"/>
            </w:tcBorders>
            <w:vAlign w:val="center"/>
          </w:tcPr>
          <w:p w14:paraId="24ED6977" w14:textId="77777777" w:rsidR="003E78AB" w:rsidRDefault="00010BF9">
            <w:pPr>
              <w:spacing w:line="360" w:lineRule="exact"/>
              <w:ind w:firstLineChars="0" w:firstLine="0"/>
              <w:jc w:val="center"/>
              <w:textAlignment w:val="center"/>
              <w:rPr>
                <w:sz w:val="21"/>
                <w:szCs w:val="21"/>
                <w:lang w:bidi="ar"/>
              </w:rPr>
            </w:pPr>
            <w:r>
              <w:rPr>
                <w:sz w:val="21"/>
                <w:szCs w:val="21"/>
                <w:lang w:bidi="ar"/>
              </w:rPr>
              <w:t>240</w:t>
            </w:r>
          </w:p>
        </w:tc>
        <w:tc>
          <w:tcPr>
            <w:tcW w:w="513" w:type="pct"/>
            <w:tcBorders>
              <w:tl2br w:val="nil"/>
              <w:tr2bl w:val="nil"/>
            </w:tcBorders>
            <w:vAlign w:val="center"/>
          </w:tcPr>
          <w:p w14:paraId="42F3AEAE" w14:textId="77777777" w:rsidR="003E78AB" w:rsidRDefault="00010BF9">
            <w:pPr>
              <w:spacing w:line="360" w:lineRule="exact"/>
              <w:ind w:firstLineChars="0" w:firstLine="0"/>
              <w:jc w:val="center"/>
              <w:textAlignment w:val="center"/>
              <w:rPr>
                <w:sz w:val="21"/>
                <w:szCs w:val="21"/>
                <w:lang w:bidi="ar"/>
              </w:rPr>
            </w:pPr>
            <w:r>
              <w:rPr>
                <w:sz w:val="21"/>
                <w:szCs w:val="21"/>
                <w:lang w:bidi="ar"/>
              </w:rPr>
              <w:t>170</w:t>
            </w:r>
          </w:p>
        </w:tc>
        <w:tc>
          <w:tcPr>
            <w:tcW w:w="514" w:type="pct"/>
            <w:tcBorders>
              <w:tl2br w:val="nil"/>
              <w:tr2bl w:val="nil"/>
            </w:tcBorders>
            <w:vAlign w:val="center"/>
          </w:tcPr>
          <w:p w14:paraId="198128BF" w14:textId="77777777" w:rsidR="003E78AB" w:rsidRDefault="00010BF9">
            <w:pPr>
              <w:spacing w:line="360" w:lineRule="exact"/>
              <w:ind w:firstLineChars="0" w:firstLine="0"/>
              <w:jc w:val="center"/>
              <w:textAlignment w:val="center"/>
              <w:rPr>
                <w:sz w:val="21"/>
                <w:szCs w:val="21"/>
                <w:lang w:bidi="ar"/>
              </w:rPr>
            </w:pPr>
            <w:r>
              <w:rPr>
                <w:sz w:val="21"/>
                <w:szCs w:val="21"/>
                <w:lang w:bidi="ar"/>
              </w:rPr>
              <w:t>28.5</w:t>
            </w:r>
          </w:p>
        </w:tc>
        <w:tc>
          <w:tcPr>
            <w:tcW w:w="514" w:type="pct"/>
            <w:tcBorders>
              <w:tl2br w:val="nil"/>
              <w:tr2bl w:val="nil"/>
            </w:tcBorders>
            <w:vAlign w:val="center"/>
          </w:tcPr>
          <w:p w14:paraId="0B04F192" w14:textId="77777777" w:rsidR="003E78AB" w:rsidRDefault="00010BF9">
            <w:pPr>
              <w:spacing w:line="360" w:lineRule="exact"/>
              <w:ind w:firstLineChars="0" w:firstLine="0"/>
              <w:jc w:val="center"/>
              <w:textAlignment w:val="center"/>
              <w:rPr>
                <w:sz w:val="21"/>
                <w:szCs w:val="21"/>
                <w:lang w:bidi="ar"/>
              </w:rPr>
            </w:pPr>
            <w:r>
              <w:rPr>
                <w:sz w:val="21"/>
                <w:szCs w:val="21"/>
                <w:lang w:bidi="ar"/>
              </w:rPr>
              <w:t>48.5</w:t>
            </w:r>
          </w:p>
        </w:tc>
        <w:tc>
          <w:tcPr>
            <w:tcW w:w="514" w:type="pct"/>
            <w:tcBorders>
              <w:tl2br w:val="nil"/>
              <w:tr2bl w:val="nil"/>
            </w:tcBorders>
            <w:vAlign w:val="center"/>
          </w:tcPr>
          <w:p w14:paraId="57B41AC5" w14:textId="77777777" w:rsidR="003E78AB" w:rsidRDefault="00010BF9">
            <w:pPr>
              <w:spacing w:line="360" w:lineRule="exact"/>
              <w:ind w:firstLineChars="0" w:firstLine="0"/>
              <w:jc w:val="center"/>
              <w:textAlignment w:val="center"/>
              <w:rPr>
                <w:sz w:val="21"/>
                <w:szCs w:val="21"/>
                <w:lang w:bidi="ar"/>
              </w:rPr>
            </w:pPr>
            <w:r>
              <w:rPr>
                <w:sz w:val="21"/>
                <w:szCs w:val="21"/>
                <w:lang w:bidi="ar"/>
              </w:rPr>
              <w:t>1.94</w:t>
            </w:r>
          </w:p>
        </w:tc>
      </w:tr>
      <w:tr w:rsidR="003E78AB" w14:paraId="19FF3AE1" w14:textId="77777777">
        <w:trPr>
          <w:trHeight w:val="340"/>
          <w:jc w:val="center"/>
        </w:trPr>
        <w:tc>
          <w:tcPr>
            <w:tcW w:w="388" w:type="pct"/>
            <w:vMerge/>
            <w:tcBorders>
              <w:tl2br w:val="nil"/>
              <w:tr2bl w:val="nil"/>
            </w:tcBorders>
            <w:vAlign w:val="center"/>
          </w:tcPr>
          <w:p w14:paraId="7FBC175A" w14:textId="77777777" w:rsidR="003E78AB" w:rsidRDefault="003E78AB">
            <w:pPr>
              <w:spacing w:line="360" w:lineRule="exact"/>
              <w:ind w:firstLineChars="0" w:firstLine="0"/>
              <w:jc w:val="center"/>
              <w:textAlignment w:val="center"/>
              <w:rPr>
                <w:sz w:val="21"/>
                <w:szCs w:val="21"/>
                <w:lang w:bidi="ar"/>
              </w:rPr>
            </w:pPr>
          </w:p>
        </w:tc>
        <w:tc>
          <w:tcPr>
            <w:tcW w:w="827" w:type="pct"/>
            <w:tcBorders>
              <w:tl2br w:val="nil"/>
              <w:tr2bl w:val="nil"/>
            </w:tcBorders>
            <w:vAlign w:val="center"/>
          </w:tcPr>
          <w:p w14:paraId="6DD8D0E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排放量（</w:t>
            </w:r>
            <w:r>
              <w:rPr>
                <w:rFonts w:hint="eastAsia"/>
                <w:sz w:val="21"/>
                <w:szCs w:val="21"/>
                <w:lang w:bidi="ar"/>
              </w:rPr>
              <w:t>t/a</w:t>
            </w:r>
            <w:r>
              <w:rPr>
                <w:rFonts w:hint="eastAsia"/>
                <w:sz w:val="21"/>
                <w:szCs w:val="21"/>
                <w:lang w:bidi="ar"/>
              </w:rPr>
              <w:t>）</w:t>
            </w:r>
          </w:p>
        </w:tc>
        <w:tc>
          <w:tcPr>
            <w:tcW w:w="748" w:type="pct"/>
            <w:vMerge/>
            <w:tcBorders>
              <w:tl2br w:val="nil"/>
              <w:tr2bl w:val="nil"/>
            </w:tcBorders>
            <w:vAlign w:val="center"/>
          </w:tcPr>
          <w:p w14:paraId="31D41068" w14:textId="77777777" w:rsidR="003E78AB" w:rsidRDefault="003E78AB">
            <w:pPr>
              <w:spacing w:line="360" w:lineRule="exact"/>
              <w:ind w:firstLineChars="0" w:firstLine="0"/>
              <w:jc w:val="center"/>
              <w:textAlignment w:val="center"/>
              <w:rPr>
                <w:sz w:val="21"/>
                <w:szCs w:val="21"/>
                <w:lang w:bidi="ar"/>
              </w:rPr>
            </w:pPr>
          </w:p>
        </w:tc>
        <w:tc>
          <w:tcPr>
            <w:tcW w:w="466" w:type="pct"/>
            <w:tcBorders>
              <w:tl2br w:val="nil"/>
              <w:tr2bl w:val="nil"/>
            </w:tcBorders>
            <w:vAlign w:val="center"/>
          </w:tcPr>
          <w:p w14:paraId="2F862672" w14:textId="77777777" w:rsidR="003E78AB" w:rsidRDefault="00010BF9">
            <w:pPr>
              <w:spacing w:line="360" w:lineRule="exact"/>
              <w:ind w:firstLineChars="0" w:firstLine="0"/>
              <w:jc w:val="center"/>
              <w:textAlignment w:val="center"/>
              <w:rPr>
                <w:sz w:val="21"/>
                <w:szCs w:val="21"/>
                <w:lang w:bidi="ar"/>
              </w:rPr>
            </w:pPr>
            <w:r>
              <w:rPr>
                <w:sz w:val="21"/>
                <w:szCs w:val="21"/>
                <w:lang w:bidi="ar"/>
              </w:rPr>
              <w:t>0.5460</w:t>
            </w:r>
          </w:p>
        </w:tc>
        <w:tc>
          <w:tcPr>
            <w:tcW w:w="513" w:type="pct"/>
            <w:tcBorders>
              <w:tl2br w:val="nil"/>
              <w:tr2bl w:val="nil"/>
            </w:tcBorders>
            <w:vAlign w:val="center"/>
          </w:tcPr>
          <w:p w14:paraId="487DB3E3" w14:textId="77777777" w:rsidR="003E78AB" w:rsidRDefault="00010BF9">
            <w:pPr>
              <w:spacing w:line="360" w:lineRule="exact"/>
              <w:ind w:firstLineChars="0" w:firstLine="0"/>
              <w:jc w:val="center"/>
              <w:textAlignment w:val="center"/>
              <w:rPr>
                <w:sz w:val="21"/>
                <w:szCs w:val="21"/>
                <w:lang w:bidi="ar"/>
              </w:rPr>
            </w:pPr>
            <w:r>
              <w:rPr>
                <w:sz w:val="21"/>
                <w:szCs w:val="21"/>
                <w:lang w:bidi="ar"/>
              </w:rPr>
              <w:t>0.5956</w:t>
            </w:r>
          </w:p>
        </w:tc>
        <w:tc>
          <w:tcPr>
            <w:tcW w:w="513" w:type="pct"/>
            <w:tcBorders>
              <w:tl2br w:val="nil"/>
              <w:tr2bl w:val="nil"/>
            </w:tcBorders>
            <w:vAlign w:val="center"/>
          </w:tcPr>
          <w:p w14:paraId="196AE874" w14:textId="77777777" w:rsidR="003E78AB" w:rsidRDefault="00010BF9">
            <w:pPr>
              <w:spacing w:line="360" w:lineRule="exact"/>
              <w:ind w:firstLineChars="0" w:firstLine="0"/>
              <w:jc w:val="center"/>
              <w:textAlignment w:val="center"/>
              <w:rPr>
                <w:sz w:val="21"/>
                <w:szCs w:val="21"/>
                <w:lang w:bidi="ar"/>
              </w:rPr>
            </w:pPr>
            <w:r>
              <w:rPr>
                <w:sz w:val="21"/>
                <w:szCs w:val="21"/>
                <w:lang w:bidi="ar"/>
              </w:rPr>
              <w:t>0.4219</w:t>
            </w:r>
          </w:p>
        </w:tc>
        <w:tc>
          <w:tcPr>
            <w:tcW w:w="514" w:type="pct"/>
            <w:tcBorders>
              <w:tl2br w:val="nil"/>
              <w:tr2bl w:val="nil"/>
            </w:tcBorders>
            <w:vAlign w:val="center"/>
          </w:tcPr>
          <w:p w14:paraId="35646D94" w14:textId="77777777" w:rsidR="003E78AB" w:rsidRDefault="00010BF9">
            <w:pPr>
              <w:spacing w:line="360" w:lineRule="exact"/>
              <w:ind w:firstLineChars="0" w:firstLine="0"/>
              <w:jc w:val="center"/>
              <w:textAlignment w:val="center"/>
              <w:rPr>
                <w:sz w:val="21"/>
                <w:szCs w:val="21"/>
                <w:lang w:bidi="ar"/>
              </w:rPr>
            </w:pPr>
            <w:r>
              <w:rPr>
                <w:sz w:val="21"/>
                <w:szCs w:val="21"/>
                <w:lang w:bidi="ar"/>
              </w:rPr>
              <w:t>0.0707</w:t>
            </w:r>
          </w:p>
        </w:tc>
        <w:tc>
          <w:tcPr>
            <w:tcW w:w="514" w:type="pct"/>
            <w:tcBorders>
              <w:tl2br w:val="nil"/>
              <w:tr2bl w:val="nil"/>
            </w:tcBorders>
            <w:vAlign w:val="center"/>
          </w:tcPr>
          <w:p w14:paraId="68CC8C86" w14:textId="77777777" w:rsidR="003E78AB" w:rsidRDefault="00010BF9">
            <w:pPr>
              <w:spacing w:line="360" w:lineRule="exact"/>
              <w:ind w:firstLineChars="0" w:firstLine="0"/>
              <w:jc w:val="center"/>
              <w:textAlignment w:val="center"/>
              <w:rPr>
                <w:sz w:val="21"/>
                <w:szCs w:val="21"/>
                <w:lang w:bidi="ar"/>
              </w:rPr>
            </w:pPr>
            <w:r>
              <w:rPr>
                <w:sz w:val="21"/>
                <w:szCs w:val="21"/>
                <w:lang w:bidi="ar"/>
              </w:rPr>
              <w:t>0.1204</w:t>
            </w:r>
          </w:p>
        </w:tc>
        <w:tc>
          <w:tcPr>
            <w:tcW w:w="514" w:type="pct"/>
            <w:tcBorders>
              <w:tl2br w:val="nil"/>
              <w:tr2bl w:val="nil"/>
            </w:tcBorders>
            <w:vAlign w:val="center"/>
          </w:tcPr>
          <w:p w14:paraId="0A37CEA5" w14:textId="77777777" w:rsidR="003E78AB" w:rsidRDefault="00010BF9">
            <w:pPr>
              <w:spacing w:line="360" w:lineRule="exact"/>
              <w:ind w:firstLineChars="0" w:firstLine="0"/>
              <w:jc w:val="center"/>
              <w:textAlignment w:val="center"/>
              <w:rPr>
                <w:sz w:val="21"/>
                <w:szCs w:val="21"/>
                <w:lang w:bidi="ar"/>
              </w:rPr>
            </w:pPr>
            <w:r>
              <w:rPr>
                <w:sz w:val="21"/>
                <w:szCs w:val="21"/>
                <w:lang w:bidi="ar"/>
              </w:rPr>
              <w:t>0.0048</w:t>
            </w:r>
          </w:p>
        </w:tc>
      </w:tr>
    </w:tbl>
    <w:p w14:paraId="6F828049" w14:textId="77777777" w:rsidR="003E78AB" w:rsidRDefault="00010BF9">
      <w:pPr>
        <w:ind w:firstLine="480"/>
        <w:rPr>
          <w:rFonts w:eastAsia="黑体" w:hAnsi="黑体"/>
        </w:rPr>
      </w:pPr>
      <w:r>
        <w:rPr>
          <w:rFonts w:hint="eastAsia"/>
        </w:rPr>
        <w:t>综上，本项目综合废水经厂区总排口排入</w:t>
      </w:r>
      <w:r>
        <w:t>园区污水管网</w:t>
      </w:r>
      <w:r>
        <w:rPr>
          <w:rFonts w:hint="eastAsia"/>
        </w:rPr>
        <w:t>。项目废水排放情况见</w:t>
      </w:r>
      <w:r>
        <w:rPr>
          <w:rFonts w:hint="eastAsia"/>
        </w:rPr>
        <w:fldChar w:fldCharType="begin"/>
      </w:r>
      <w:r>
        <w:rPr>
          <w:rFonts w:hint="eastAsia"/>
        </w:rPr>
        <w:instrText xml:space="preserve"> REF _Ref23360 \r \h </w:instrText>
      </w:r>
      <w:r>
        <w:rPr>
          <w:rFonts w:hint="eastAsia"/>
        </w:rPr>
      </w:r>
      <w:r>
        <w:rPr>
          <w:rFonts w:hint="eastAsia"/>
        </w:rPr>
        <w:fldChar w:fldCharType="separate"/>
      </w:r>
      <w:r>
        <w:rPr>
          <w:rFonts w:hint="eastAsia"/>
        </w:rPr>
        <w:t>表</w:t>
      </w:r>
      <w:r>
        <w:rPr>
          <w:rFonts w:hint="eastAsia"/>
        </w:rPr>
        <w:t>3-28</w:t>
      </w:r>
      <w:r>
        <w:rPr>
          <w:rFonts w:hint="eastAsia"/>
        </w:rPr>
        <w:fldChar w:fldCharType="end"/>
      </w:r>
      <w:r>
        <w:rPr>
          <w:rFonts w:hint="eastAsia"/>
        </w:rPr>
        <w:t>。</w:t>
      </w:r>
    </w:p>
    <w:p w14:paraId="7C805359" w14:textId="77777777" w:rsidR="003E78AB" w:rsidRDefault="00010BF9">
      <w:pPr>
        <w:pStyle w:val="a1"/>
      </w:pPr>
      <w:bookmarkStart w:id="261" w:name="_Ref23360"/>
      <w:r>
        <w:rPr>
          <w:rFonts w:hint="eastAsia"/>
        </w:rPr>
        <w:t>项目废水</w:t>
      </w:r>
      <w:bookmarkEnd w:id="261"/>
      <w:r>
        <w:rPr>
          <w:rFonts w:hint="eastAsia"/>
        </w:rPr>
        <w:t>排放情况</w:t>
      </w:r>
    </w:p>
    <w:tbl>
      <w:tblPr>
        <w:tblW w:w="4998" w:type="pct"/>
        <w:tblLook w:val="04A0" w:firstRow="1" w:lastRow="0" w:firstColumn="1" w:lastColumn="0" w:noHBand="0" w:noVBand="1"/>
      </w:tblPr>
      <w:tblGrid>
        <w:gridCol w:w="1181"/>
        <w:gridCol w:w="1575"/>
        <w:gridCol w:w="1766"/>
        <w:gridCol w:w="1984"/>
        <w:gridCol w:w="2007"/>
      </w:tblGrid>
      <w:tr w:rsidR="003E78AB" w14:paraId="3720E086" w14:textId="77777777">
        <w:trPr>
          <w:trHeight w:val="310"/>
          <w:tblHeader/>
        </w:trPr>
        <w:tc>
          <w:tcPr>
            <w:tcW w:w="6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20A6DA6"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废水名称</w:t>
            </w:r>
          </w:p>
        </w:tc>
        <w:tc>
          <w:tcPr>
            <w:tcW w:w="925" w:type="pct"/>
            <w:vMerge w:val="restart"/>
            <w:tcBorders>
              <w:top w:val="single" w:sz="8" w:space="0" w:color="000000"/>
              <w:left w:val="single" w:sz="8" w:space="0" w:color="000000"/>
              <w:right w:val="single" w:sz="8" w:space="0" w:color="000000"/>
            </w:tcBorders>
            <w:shd w:val="clear" w:color="auto" w:fill="auto"/>
            <w:vAlign w:val="center"/>
          </w:tcPr>
          <w:p w14:paraId="451D5DE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产生量</w:t>
            </w:r>
          </w:p>
          <w:p w14:paraId="12A9717E" w14:textId="77777777" w:rsidR="003E78AB" w:rsidRDefault="00010BF9">
            <w:pPr>
              <w:spacing w:line="360" w:lineRule="exact"/>
              <w:ind w:firstLineChars="0" w:firstLine="0"/>
              <w:jc w:val="center"/>
              <w:textAlignment w:val="center"/>
              <w:rPr>
                <w:b/>
                <w:bCs/>
                <w:sz w:val="21"/>
                <w:szCs w:val="21"/>
                <w:lang w:bidi="ar"/>
              </w:rPr>
            </w:pPr>
            <w:r>
              <w:rPr>
                <w:b/>
                <w:bCs/>
                <w:sz w:val="21"/>
                <w:szCs w:val="21"/>
                <w:lang w:bidi="ar"/>
              </w:rPr>
              <w:t>m</w:t>
            </w:r>
            <w:r>
              <w:rPr>
                <w:b/>
                <w:bCs/>
                <w:sz w:val="21"/>
                <w:szCs w:val="21"/>
                <w:vertAlign w:val="superscript"/>
                <w:lang w:bidi="ar"/>
              </w:rPr>
              <w:t>3</w:t>
            </w:r>
            <w:r>
              <w:rPr>
                <w:b/>
                <w:bCs/>
                <w:sz w:val="21"/>
                <w:szCs w:val="21"/>
                <w:lang w:bidi="ar"/>
              </w:rPr>
              <w:t>/a</w:t>
            </w:r>
          </w:p>
        </w:tc>
        <w:tc>
          <w:tcPr>
            <w:tcW w:w="3381" w:type="pct"/>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0973B62F"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污染物识别</w:t>
            </w:r>
          </w:p>
        </w:tc>
      </w:tr>
      <w:tr w:rsidR="003E78AB" w14:paraId="5E70756B" w14:textId="77777777">
        <w:trPr>
          <w:trHeight w:val="540"/>
          <w:tblHeader/>
        </w:trPr>
        <w:tc>
          <w:tcPr>
            <w:tcW w:w="693" w:type="pct"/>
            <w:vMerge/>
            <w:tcBorders>
              <w:top w:val="single" w:sz="8" w:space="0" w:color="000000"/>
              <w:left w:val="single" w:sz="8" w:space="0" w:color="000000"/>
              <w:bottom w:val="single" w:sz="4" w:space="0" w:color="auto"/>
              <w:right w:val="single" w:sz="8" w:space="0" w:color="000000"/>
            </w:tcBorders>
            <w:shd w:val="clear" w:color="auto" w:fill="auto"/>
            <w:vAlign w:val="center"/>
          </w:tcPr>
          <w:p w14:paraId="0352380B" w14:textId="77777777" w:rsidR="003E78AB" w:rsidRDefault="003E78AB">
            <w:pPr>
              <w:spacing w:line="360" w:lineRule="exact"/>
              <w:ind w:firstLineChars="0" w:firstLine="0"/>
              <w:jc w:val="center"/>
              <w:textAlignment w:val="center"/>
              <w:rPr>
                <w:b/>
                <w:bCs/>
                <w:sz w:val="21"/>
                <w:szCs w:val="21"/>
                <w:lang w:bidi="ar"/>
              </w:rPr>
            </w:pPr>
          </w:p>
        </w:tc>
        <w:tc>
          <w:tcPr>
            <w:tcW w:w="925" w:type="pct"/>
            <w:vMerge/>
            <w:tcBorders>
              <w:left w:val="single" w:sz="8" w:space="0" w:color="000000"/>
              <w:bottom w:val="single" w:sz="4" w:space="0" w:color="auto"/>
              <w:right w:val="single" w:sz="8" w:space="0" w:color="000000"/>
            </w:tcBorders>
            <w:shd w:val="clear" w:color="auto" w:fill="auto"/>
            <w:vAlign w:val="center"/>
          </w:tcPr>
          <w:p w14:paraId="043CBCCA" w14:textId="77777777" w:rsidR="003E78AB" w:rsidRDefault="003E78AB">
            <w:pPr>
              <w:spacing w:line="360" w:lineRule="exact"/>
              <w:ind w:firstLineChars="0" w:firstLine="0"/>
              <w:jc w:val="center"/>
              <w:textAlignment w:val="center"/>
              <w:rPr>
                <w:b/>
                <w:bCs/>
                <w:sz w:val="21"/>
                <w:szCs w:val="21"/>
                <w:lang w:bidi="ar"/>
              </w:rPr>
            </w:pPr>
          </w:p>
        </w:tc>
        <w:tc>
          <w:tcPr>
            <w:tcW w:w="1037" w:type="pct"/>
            <w:tcBorders>
              <w:top w:val="nil"/>
              <w:left w:val="single" w:sz="8" w:space="0" w:color="000000"/>
              <w:bottom w:val="single" w:sz="4" w:space="0" w:color="auto"/>
              <w:right w:val="single" w:sz="8" w:space="0" w:color="000000"/>
            </w:tcBorders>
            <w:shd w:val="clear" w:color="auto" w:fill="auto"/>
            <w:vAlign w:val="center"/>
          </w:tcPr>
          <w:p w14:paraId="29234D1B"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污染物</w:t>
            </w:r>
          </w:p>
        </w:tc>
        <w:tc>
          <w:tcPr>
            <w:tcW w:w="1165" w:type="pct"/>
            <w:tcBorders>
              <w:top w:val="single" w:sz="8" w:space="0" w:color="000000"/>
              <w:left w:val="single" w:sz="8" w:space="0" w:color="000000"/>
              <w:bottom w:val="single" w:sz="4" w:space="0" w:color="auto"/>
              <w:right w:val="single" w:sz="8" w:space="0" w:color="000000"/>
            </w:tcBorders>
            <w:shd w:val="clear" w:color="auto" w:fill="auto"/>
            <w:vAlign w:val="center"/>
          </w:tcPr>
          <w:p w14:paraId="4A51C65C"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产生量</w:t>
            </w:r>
            <w:r>
              <w:rPr>
                <w:b/>
                <w:bCs/>
                <w:sz w:val="21"/>
                <w:szCs w:val="21"/>
                <w:lang w:bidi="ar"/>
              </w:rPr>
              <w:t>t/a</w:t>
            </w:r>
          </w:p>
        </w:tc>
        <w:tc>
          <w:tcPr>
            <w:tcW w:w="1179" w:type="pct"/>
            <w:tcBorders>
              <w:top w:val="single" w:sz="8" w:space="0" w:color="000000"/>
              <w:left w:val="single" w:sz="8" w:space="0" w:color="000000"/>
              <w:bottom w:val="single" w:sz="4" w:space="0" w:color="auto"/>
              <w:right w:val="single" w:sz="8" w:space="0" w:color="000000"/>
            </w:tcBorders>
            <w:shd w:val="clear" w:color="auto" w:fill="auto"/>
            <w:vAlign w:val="center"/>
          </w:tcPr>
          <w:p w14:paraId="3E33A5E7" w14:textId="77777777" w:rsidR="003E78AB" w:rsidRDefault="00010BF9">
            <w:pPr>
              <w:spacing w:line="360" w:lineRule="exact"/>
              <w:ind w:firstLineChars="0" w:firstLine="0"/>
              <w:jc w:val="center"/>
              <w:textAlignment w:val="center"/>
              <w:rPr>
                <w:b/>
                <w:bCs/>
                <w:sz w:val="21"/>
                <w:szCs w:val="21"/>
                <w:lang w:bidi="ar"/>
              </w:rPr>
            </w:pPr>
            <w:r>
              <w:rPr>
                <w:rFonts w:hint="eastAsia"/>
                <w:b/>
                <w:bCs/>
                <w:sz w:val="21"/>
                <w:szCs w:val="21"/>
                <w:lang w:bidi="ar"/>
              </w:rPr>
              <w:t>产生浓度</w:t>
            </w:r>
            <w:r>
              <w:rPr>
                <w:b/>
                <w:bCs/>
                <w:sz w:val="21"/>
                <w:szCs w:val="21"/>
                <w:lang w:bidi="ar"/>
              </w:rPr>
              <w:t>mg/L</w:t>
            </w:r>
          </w:p>
        </w:tc>
      </w:tr>
      <w:tr w:rsidR="003E78AB" w14:paraId="7F67BD5E" w14:textId="77777777">
        <w:trPr>
          <w:trHeight w:val="300"/>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55764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锅炉排污水</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A7EEB8" w14:textId="77777777" w:rsidR="003E78AB" w:rsidRDefault="00010BF9">
            <w:pPr>
              <w:spacing w:line="360" w:lineRule="exact"/>
              <w:ind w:firstLineChars="0" w:firstLine="0"/>
              <w:jc w:val="center"/>
              <w:textAlignment w:val="center"/>
              <w:rPr>
                <w:sz w:val="21"/>
                <w:szCs w:val="21"/>
                <w:lang w:bidi="ar"/>
              </w:rPr>
            </w:pPr>
            <w:r>
              <w:rPr>
                <w:sz w:val="21"/>
                <w:szCs w:val="21"/>
                <w:lang w:bidi="ar"/>
              </w:rPr>
              <w:t>1973</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D7DC9A9"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DAE1070"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19B993CC"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4A87742D" w14:textId="77777777">
        <w:trPr>
          <w:trHeight w:val="31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D8AB32"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2C744F"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C76B7B0" w14:textId="77777777" w:rsidR="003E78AB" w:rsidRDefault="00010BF9">
            <w:pPr>
              <w:spacing w:line="360" w:lineRule="exact"/>
              <w:ind w:firstLineChars="0" w:firstLine="0"/>
              <w:jc w:val="center"/>
              <w:textAlignment w:val="center"/>
              <w:rPr>
                <w:sz w:val="21"/>
                <w:szCs w:val="21"/>
                <w:lang w:bidi="ar"/>
              </w:rPr>
            </w:pPr>
            <w:r>
              <w:rPr>
                <w:sz w:val="21"/>
                <w:szCs w:val="21"/>
                <w:lang w:bidi="ar"/>
              </w:rPr>
              <w:t>CODcr</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171D598" w14:textId="77777777" w:rsidR="003E78AB" w:rsidRDefault="00010BF9">
            <w:pPr>
              <w:spacing w:line="360" w:lineRule="exact"/>
              <w:ind w:firstLineChars="0" w:firstLine="0"/>
              <w:jc w:val="center"/>
              <w:textAlignment w:val="center"/>
              <w:rPr>
                <w:sz w:val="21"/>
                <w:szCs w:val="21"/>
                <w:lang w:bidi="ar"/>
              </w:rPr>
            </w:pPr>
            <w:r>
              <w:rPr>
                <w:sz w:val="21"/>
                <w:szCs w:val="21"/>
                <w:lang w:bidi="ar"/>
              </w:rPr>
              <w:t>0.1581</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71C0F65" w14:textId="77777777" w:rsidR="003E78AB" w:rsidRDefault="00010BF9">
            <w:pPr>
              <w:spacing w:line="360" w:lineRule="exact"/>
              <w:ind w:firstLineChars="0" w:firstLine="0"/>
              <w:jc w:val="center"/>
              <w:textAlignment w:val="center"/>
              <w:rPr>
                <w:sz w:val="21"/>
                <w:szCs w:val="21"/>
                <w:lang w:bidi="ar"/>
              </w:rPr>
            </w:pPr>
            <w:r>
              <w:rPr>
                <w:sz w:val="21"/>
                <w:szCs w:val="21"/>
                <w:lang w:bidi="ar"/>
              </w:rPr>
              <w:t>80.11</w:t>
            </w:r>
          </w:p>
        </w:tc>
      </w:tr>
      <w:tr w:rsidR="003E78AB" w14:paraId="7AE6C9E2"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80BE0F"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B082BE0"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38815D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含盐量</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06BA3DC3" w14:textId="77777777" w:rsidR="003E78AB" w:rsidRDefault="00010BF9">
            <w:pPr>
              <w:spacing w:line="360" w:lineRule="exact"/>
              <w:ind w:firstLineChars="0" w:firstLine="0"/>
              <w:jc w:val="center"/>
              <w:textAlignment w:val="center"/>
              <w:rPr>
                <w:sz w:val="21"/>
                <w:szCs w:val="21"/>
                <w:lang w:bidi="ar"/>
              </w:rPr>
            </w:pPr>
            <w:r>
              <w:rPr>
                <w:sz w:val="21"/>
                <w:szCs w:val="21"/>
                <w:lang w:bidi="ar"/>
              </w:rPr>
              <w:t>1.973</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1E009DA" w14:textId="77777777" w:rsidR="003E78AB" w:rsidRDefault="00010BF9">
            <w:pPr>
              <w:spacing w:line="360" w:lineRule="exact"/>
              <w:ind w:firstLineChars="0" w:firstLine="0"/>
              <w:jc w:val="center"/>
              <w:textAlignment w:val="center"/>
              <w:rPr>
                <w:sz w:val="21"/>
                <w:szCs w:val="21"/>
                <w:lang w:bidi="ar"/>
              </w:rPr>
            </w:pPr>
            <w:r>
              <w:rPr>
                <w:sz w:val="21"/>
                <w:szCs w:val="21"/>
                <w:lang w:bidi="ar"/>
              </w:rPr>
              <w:t>1000</w:t>
            </w:r>
          </w:p>
        </w:tc>
      </w:tr>
      <w:tr w:rsidR="003E78AB" w14:paraId="1B788F40" w14:textId="77777777">
        <w:trPr>
          <w:trHeight w:val="300"/>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DBCD3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纯水制备设施浓水</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5BFF29" w14:textId="77777777" w:rsidR="003E78AB" w:rsidRDefault="00010BF9">
            <w:pPr>
              <w:spacing w:line="360" w:lineRule="exact"/>
              <w:ind w:firstLineChars="0" w:firstLine="0"/>
              <w:jc w:val="center"/>
              <w:textAlignment w:val="center"/>
              <w:rPr>
                <w:sz w:val="21"/>
                <w:szCs w:val="21"/>
                <w:lang w:bidi="ar"/>
              </w:rPr>
            </w:pPr>
            <w:r>
              <w:rPr>
                <w:sz w:val="21"/>
                <w:szCs w:val="21"/>
                <w:lang w:bidi="ar"/>
              </w:rPr>
              <w:t>10863.50</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558955F"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6267474F"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F278DD2"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514376B4" w14:textId="77777777">
        <w:trPr>
          <w:trHeight w:val="30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1C5B8B"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9F0E6C6"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9D1F665" w14:textId="77777777" w:rsidR="003E78AB" w:rsidRDefault="00010BF9">
            <w:pPr>
              <w:spacing w:line="360" w:lineRule="exact"/>
              <w:ind w:firstLineChars="0" w:firstLine="0"/>
              <w:jc w:val="center"/>
              <w:textAlignment w:val="center"/>
              <w:rPr>
                <w:sz w:val="21"/>
                <w:szCs w:val="21"/>
                <w:lang w:bidi="ar"/>
              </w:rPr>
            </w:pPr>
            <w:r>
              <w:rPr>
                <w:sz w:val="21"/>
                <w:szCs w:val="21"/>
                <w:lang w:bidi="ar"/>
              </w:rPr>
              <w:t>SS</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06E670F0" w14:textId="77777777" w:rsidR="003E78AB" w:rsidRDefault="00010BF9">
            <w:pPr>
              <w:spacing w:line="360" w:lineRule="exact"/>
              <w:ind w:firstLineChars="0" w:firstLine="0"/>
              <w:jc w:val="center"/>
              <w:textAlignment w:val="center"/>
              <w:rPr>
                <w:sz w:val="21"/>
                <w:szCs w:val="21"/>
                <w:lang w:bidi="ar"/>
              </w:rPr>
            </w:pPr>
            <w:r>
              <w:rPr>
                <w:sz w:val="21"/>
                <w:szCs w:val="21"/>
                <w:lang w:bidi="ar"/>
              </w:rPr>
              <w:t>0.5432</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51875E8F"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r>
      <w:tr w:rsidR="003E78AB" w14:paraId="1D34335B"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42DC0AB"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A451B78"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83B78AD" w14:textId="77777777" w:rsidR="003E78AB" w:rsidRDefault="00010BF9">
            <w:pPr>
              <w:spacing w:line="360" w:lineRule="exact"/>
              <w:ind w:firstLineChars="0" w:firstLine="0"/>
              <w:jc w:val="center"/>
              <w:textAlignment w:val="center"/>
              <w:rPr>
                <w:sz w:val="21"/>
                <w:szCs w:val="21"/>
                <w:lang w:bidi="ar"/>
              </w:rPr>
            </w:pPr>
            <w:r>
              <w:rPr>
                <w:sz w:val="21"/>
                <w:szCs w:val="21"/>
                <w:lang w:bidi="ar"/>
              </w:rPr>
              <w:t>CODcr</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3C915386" w14:textId="77777777" w:rsidR="003E78AB" w:rsidRDefault="00010BF9">
            <w:pPr>
              <w:spacing w:line="360" w:lineRule="exact"/>
              <w:ind w:firstLineChars="0" w:firstLine="0"/>
              <w:jc w:val="center"/>
              <w:textAlignment w:val="center"/>
              <w:rPr>
                <w:sz w:val="21"/>
                <w:szCs w:val="21"/>
                <w:lang w:bidi="ar"/>
              </w:rPr>
            </w:pPr>
            <w:r>
              <w:rPr>
                <w:sz w:val="21"/>
                <w:szCs w:val="21"/>
                <w:lang w:bidi="ar"/>
              </w:rPr>
              <w:t>0.5432</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E3E0AE1"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r>
      <w:tr w:rsidR="003E78AB" w14:paraId="4112B1A4" w14:textId="77777777">
        <w:trPr>
          <w:trHeight w:val="30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A2E6D3"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27E1267"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994ED0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含盐量</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0156302A" w14:textId="77777777" w:rsidR="003E78AB" w:rsidRDefault="00010BF9">
            <w:pPr>
              <w:spacing w:line="360" w:lineRule="exact"/>
              <w:ind w:firstLineChars="0" w:firstLine="0"/>
              <w:jc w:val="center"/>
              <w:textAlignment w:val="center"/>
              <w:rPr>
                <w:sz w:val="21"/>
                <w:szCs w:val="21"/>
                <w:lang w:bidi="ar"/>
              </w:rPr>
            </w:pPr>
            <w:r>
              <w:rPr>
                <w:sz w:val="21"/>
                <w:szCs w:val="21"/>
                <w:lang w:bidi="ar"/>
              </w:rPr>
              <w:t>10.8635</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62827015" w14:textId="77777777" w:rsidR="003E78AB" w:rsidRDefault="00010BF9">
            <w:pPr>
              <w:spacing w:line="360" w:lineRule="exact"/>
              <w:ind w:firstLineChars="0" w:firstLine="0"/>
              <w:jc w:val="center"/>
              <w:textAlignment w:val="center"/>
              <w:rPr>
                <w:sz w:val="21"/>
                <w:szCs w:val="21"/>
                <w:lang w:bidi="ar"/>
              </w:rPr>
            </w:pPr>
            <w:r>
              <w:rPr>
                <w:sz w:val="21"/>
                <w:szCs w:val="21"/>
                <w:lang w:bidi="ar"/>
              </w:rPr>
              <w:t>1000</w:t>
            </w:r>
          </w:p>
        </w:tc>
      </w:tr>
      <w:tr w:rsidR="003E78AB" w14:paraId="11943FEA" w14:textId="77777777">
        <w:trPr>
          <w:trHeight w:val="310"/>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35C7F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软水制备装置浓水</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45B522" w14:textId="77777777" w:rsidR="003E78AB" w:rsidRDefault="00010BF9">
            <w:pPr>
              <w:spacing w:line="360" w:lineRule="exact"/>
              <w:ind w:firstLineChars="0" w:firstLine="0"/>
              <w:jc w:val="center"/>
              <w:textAlignment w:val="center"/>
              <w:rPr>
                <w:sz w:val="21"/>
                <w:szCs w:val="21"/>
                <w:lang w:bidi="ar"/>
              </w:rPr>
            </w:pPr>
            <w:r>
              <w:rPr>
                <w:sz w:val="21"/>
                <w:szCs w:val="21"/>
                <w:lang w:bidi="ar"/>
              </w:rPr>
              <w:t>939.22</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C42C819"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69032C8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9D09295"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7E81E009" w14:textId="77777777">
        <w:trPr>
          <w:trHeight w:val="31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64A90E"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3B66F01"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8CD4904" w14:textId="77777777" w:rsidR="003E78AB" w:rsidRDefault="00010BF9">
            <w:pPr>
              <w:spacing w:line="360" w:lineRule="exact"/>
              <w:ind w:firstLineChars="0" w:firstLine="0"/>
              <w:jc w:val="center"/>
              <w:textAlignment w:val="center"/>
              <w:rPr>
                <w:sz w:val="21"/>
                <w:szCs w:val="21"/>
                <w:lang w:bidi="ar"/>
              </w:rPr>
            </w:pPr>
            <w:r>
              <w:rPr>
                <w:sz w:val="21"/>
                <w:szCs w:val="21"/>
                <w:lang w:bidi="ar"/>
              </w:rPr>
              <w:t>SS</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676D527" w14:textId="77777777" w:rsidR="003E78AB" w:rsidRDefault="00010BF9">
            <w:pPr>
              <w:spacing w:line="360" w:lineRule="exact"/>
              <w:ind w:firstLineChars="0" w:firstLine="0"/>
              <w:jc w:val="center"/>
              <w:textAlignment w:val="center"/>
              <w:rPr>
                <w:sz w:val="21"/>
                <w:szCs w:val="21"/>
                <w:lang w:bidi="ar"/>
              </w:rPr>
            </w:pPr>
            <w:r>
              <w:rPr>
                <w:sz w:val="21"/>
                <w:szCs w:val="21"/>
                <w:lang w:bidi="ar"/>
              </w:rPr>
              <w:t>0.0470</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67DC0392"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r>
      <w:tr w:rsidR="003E78AB" w14:paraId="3BDF0BC8"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7CBDF7"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90A0F1"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27B3330" w14:textId="77777777" w:rsidR="003E78AB" w:rsidRDefault="00010BF9">
            <w:pPr>
              <w:spacing w:line="360" w:lineRule="exact"/>
              <w:ind w:firstLineChars="0" w:firstLine="0"/>
              <w:jc w:val="center"/>
              <w:textAlignment w:val="center"/>
              <w:rPr>
                <w:sz w:val="21"/>
                <w:szCs w:val="21"/>
                <w:lang w:bidi="ar"/>
              </w:rPr>
            </w:pPr>
            <w:r>
              <w:rPr>
                <w:sz w:val="21"/>
                <w:szCs w:val="21"/>
                <w:lang w:bidi="ar"/>
              </w:rPr>
              <w:t>CODcr</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3B679905" w14:textId="77777777" w:rsidR="003E78AB" w:rsidRDefault="00010BF9">
            <w:pPr>
              <w:spacing w:line="360" w:lineRule="exact"/>
              <w:ind w:firstLineChars="0" w:firstLine="0"/>
              <w:jc w:val="center"/>
              <w:textAlignment w:val="center"/>
              <w:rPr>
                <w:sz w:val="21"/>
                <w:szCs w:val="21"/>
                <w:lang w:bidi="ar"/>
              </w:rPr>
            </w:pPr>
            <w:r>
              <w:rPr>
                <w:sz w:val="21"/>
                <w:szCs w:val="21"/>
                <w:lang w:bidi="ar"/>
              </w:rPr>
              <w:t>0.0470</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106633D4"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r>
      <w:tr w:rsidR="003E78AB" w14:paraId="353DC529" w14:textId="77777777">
        <w:trPr>
          <w:trHeight w:val="30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D3C13C"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4A902E0"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2E00A6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含盐量</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7FB6EF3" w14:textId="77777777" w:rsidR="003E78AB" w:rsidRDefault="00010BF9">
            <w:pPr>
              <w:spacing w:line="360" w:lineRule="exact"/>
              <w:ind w:firstLineChars="0" w:firstLine="0"/>
              <w:jc w:val="center"/>
              <w:textAlignment w:val="center"/>
              <w:rPr>
                <w:sz w:val="21"/>
                <w:szCs w:val="21"/>
                <w:lang w:bidi="ar"/>
              </w:rPr>
            </w:pPr>
            <w:r>
              <w:rPr>
                <w:sz w:val="21"/>
                <w:szCs w:val="21"/>
                <w:lang w:bidi="ar"/>
              </w:rPr>
              <w:t>0.9392</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03DC4B34" w14:textId="77777777" w:rsidR="003E78AB" w:rsidRDefault="00010BF9">
            <w:pPr>
              <w:spacing w:line="360" w:lineRule="exact"/>
              <w:ind w:firstLineChars="0" w:firstLine="0"/>
              <w:jc w:val="center"/>
              <w:textAlignment w:val="center"/>
              <w:rPr>
                <w:sz w:val="21"/>
                <w:szCs w:val="21"/>
                <w:lang w:bidi="ar"/>
              </w:rPr>
            </w:pPr>
            <w:r>
              <w:rPr>
                <w:sz w:val="21"/>
                <w:szCs w:val="21"/>
                <w:lang w:bidi="ar"/>
              </w:rPr>
              <w:t>1000</w:t>
            </w:r>
          </w:p>
        </w:tc>
      </w:tr>
      <w:tr w:rsidR="003E78AB" w14:paraId="52FDD65C" w14:textId="77777777">
        <w:trPr>
          <w:trHeight w:val="300"/>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C1835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地面冲洗水</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D9A64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211.20</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FCDF385"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4B0438D1"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7C047B5F"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7181F750" w14:textId="77777777">
        <w:trPr>
          <w:trHeight w:val="30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F156228"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2639776"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1B65851" w14:textId="77777777" w:rsidR="003E78AB" w:rsidRDefault="00010BF9">
            <w:pPr>
              <w:spacing w:line="360" w:lineRule="exact"/>
              <w:ind w:firstLineChars="0" w:firstLine="0"/>
              <w:jc w:val="center"/>
              <w:textAlignment w:val="center"/>
              <w:rPr>
                <w:sz w:val="21"/>
                <w:szCs w:val="21"/>
                <w:lang w:bidi="ar"/>
              </w:rPr>
            </w:pPr>
            <w:r>
              <w:rPr>
                <w:sz w:val="21"/>
                <w:szCs w:val="21"/>
                <w:lang w:bidi="ar"/>
              </w:rPr>
              <w:t>CODcr</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2B66FC16" w14:textId="77777777" w:rsidR="003E78AB" w:rsidRDefault="00010BF9">
            <w:pPr>
              <w:spacing w:line="360" w:lineRule="exact"/>
              <w:ind w:firstLineChars="0" w:firstLine="0"/>
              <w:jc w:val="center"/>
              <w:textAlignment w:val="center"/>
              <w:rPr>
                <w:sz w:val="21"/>
                <w:szCs w:val="21"/>
                <w:lang w:bidi="ar"/>
              </w:rPr>
            </w:pPr>
            <w:r>
              <w:rPr>
                <w:sz w:val="21"/>
                <w:szCs w:val="21"/>
                <w:lang w:bidi="ar"/>
              </w:rPr>
              <w:t>0.0106</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8E1979C" w14:textId="77777777" w:rsidR="003E78AB" w:rsidRDefault="00010BF9">
            <w:pPr>
              <w:spacing w:line="360" w:lineRule="exact"/>
              <w:ind w:firstLineChars="0" w:firstLine="0"/>
              <w:jc w:val="center"/>
              <w:textAlignment w:val="center"/>
              <w:rPr>
                <w:sz w:val="21"/>
                <w:szCs w:val="21"/>
                <w:lang w:bidi="ar"/>
              </w:rPr>
            </w:pPr>
            <w:r>
              <w:rPr>
                <w:sz w:val="21"/>
                <w:szCs w:val="21"/>
                <w:lang w:bidi="ar"/>
              </w:rPr>
              <w:t>50</w:t>
            </w:r>
          </w:p>
        </w:tc>
      </w:tr>
      <w:tr w:rsidR="003E78AB" w14:paraId="4C796375"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F9A862"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1BD75DF"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C5F9D5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5B22F3D5" w14:textId="77777777" w:rsidR="003E78AB" w:rsidRDefault="00010BF9">
            <w:pPr>
              <w:spacing w:line="360" w:lineRule="exact"/>
              <w:ind w:firstLineChars="0" w:firstLine="0"/>
              <w:jc w:val="center"/>
              <w:textAlignment w:val="center"/>
              <w:rPr>
                <w:sz w:val="21"/>
                <w:szCs w:val="21"/>
                <w:lang w:bidi="ar"/>
              </w:rPr>
            </w:pPr>
            <w:r>
              <w:rPr>
                <w:sz w:val="21"/>
                <w:szCs w:val="21"/>
                <w:lang w:bidi="ar"/>
              </w:rPr>
              <w:t>0.0011</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66F12731" w14:textId="77777777" w:rsidR="003E78AB" w:rsidRDefault="00010BF9">
            <w:pPr>
              <w:spacing w:line="360" w:lineRule="exact"/>
              <w:ind w:firstLineChars="0" w:firstLine="0"/>
              <w:jc w:val="center"/>
              <w:textAlignment w:val="center"/>
              <w:rPr>
                <w:sz w:val="21"/>
                <w:szCs w:val="21"/>
                <w:lang w:bidi="ar"/>
              </w:rPr>
            </w:pPr>
            <w:r>
              <w:rPr>
                <w:sz w:val="21"/>
                <w:szCs w:val="21"/>
                <w:lang w:bidi="ar"/>
              </w:rPr>
              <w:t>5</w:t>
            </w:r>
          </w:p>
        </w:tc>
      </w:tr>
      <w:tr w:rsidR="003E78AB" w14:paraId="3ECD0C35"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E9657B"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E701B0"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C38AD4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TN</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055B7B3F" w14:textId="77777777" w:rsidR="003E78AB" w:rsidRDefault="00010BF9">
            <w:pPr>
              <w:spacing w:line="360" w:lineRule="exact"/>
              <w:ind w:firstLineChars="0" w:firstLine="0"/>
              <w:jc w:val="center"/>
              <w:textAlignment w:val="center"/>
              <w:rPr>
                <w:sz w:val="21"/>
                <w:szCs w:val="21"/>
                <w:lang w:bidi="ar"/>
              </w:rPr>
            </w:pPr>
            <w:r>
              <w:rPr>
                <w:sz w:val="21"/>
                <w:szCs w:val="21"/>
                <w:lang w:bidi="ar"/>
              </w:rPr>
              <w:t>0.0017</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193D131" w14:textId="77777777" w:rsidR="003E78AB" w:rsidRDefault="00010BF9">
            <w:pPr>
              <w:spacing w:line="360" w:lineRule="exact"/>
              <w:ind w:firstLineChars="0" w:firstLine="0"/>
              <w:jc w:val="center"/>
              <w:textAlignment w:val="center"/>
              <w:rPr>
                <w:sz w:val="21"/>
                <w:szCs w:val="21"/>
                <w:lang w:bidi="ar"/>
              </w:rPr>
            </w:pPr>
            <w:r>
              <w:rPr>
                <w:sz w:val="21"/>
                <w:szCs w:val="21"/>
                <w:lang w:bidi="ar"/>
              </w:rPr>
              <w:t>8</w:t>
            </w:r>
          </w:p>
        </w:tc>
      </w:tr>
      <w:tr w:rsidR="003E78AB" w14:paraId="4C03A044"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5A2B10"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D32EE8A"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5F5E2ED" w14:textId="77777777" w:rsidR="003E78AB" w:rsidRDefault="00010BF9">
            <w:pPr>
              <w:spacing w:line="360" w:lineRule="exact"/>
              <w:ind w:firstLineChars="0" w:firstLine="0"/>
              <w:jc w:val="center"/>
              <w:textAlignment w:val="center"/>
              <w:rPr>
                <w:sz w:val="21"/>
                <w:szCs w:val="21"/>
                <w:lang w:bidi="ar"/>
              </w:rPr>
            </w:pPr>
            <w:r>
              <w:rPr>
                <w:sz w:val="21"/>
                <w:szCs w:val="21"/>
                <w:lang w:bidi="ar"/>
              </w:rPr>
              <w:t>SS</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50F59D2" w14:textId="77777777" w:rsidR="003E78AB" w:rsidRDefault="00010BF9">
            <w:pPr>
              <w:spacing w:line="360" w:lineRule="exact"/>
              <w:ind w:firstLineChars="0" w:firstLine="0"/>
              <w:jc w:val="center"/>
              <w:textAlignment w:val="center"/>
              <w:rPr>
                <w:sz w:val="21"/>
                <w:szCs w:val="21"/>
                <w:lang w:bidi="ar"/>
              </w:rPr>
            </w:pPr>
            <w:r>
              <w:rPr>
                <w:sz w:val="21"/>
                <w:szCs w:val="21"/>
                <w:lang w:bidi="ar"/>
              </w:rPr>
              <w:t>0.0634</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08F577DA" w14:textId="77777777" w:rsidR="003E78AB" w:rsidRDefault="00010BF9">
            <w:pPr>
              <w:spacing w:line="360" w:lineRule="exact"/>
              <w:ind w:firstLineChars="0" w:firstLine="0"/>
              <w:jc w:val="center"/>
              <w:textAlignment w:val="center"/>
              <w:rPr>
                <w:sz w:val="21"/>
                <w:szCs w:val="21"/>
                <w:lang w:bidi="ar"/>
              </w:rPr>
            </w:pPr>
            <w:r>
              <w:rPr>
                <w:sz w:val="21"/>
                <w:szCs w:val="21"/>
                <w:lang w:bidi="ar"/>
              </w:rPr>
              <w:t>300</w:t>
            </w:r>
          </w:p>
        </w:tc>
      </w:tr>
      <w:tr w:rsidR="003E78AB" w14:paraId="3A89B782"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22821C7"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A4974D"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D4D2DC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钒</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4E30098" w14:textId="77777777" w:rsidR="003E78AB" w:rsidRDefault="00010BF9">
            <w:pPr>
              <w:spacing w:line="360" w:lineRule="exact"/>
              <w:ind w:firstLineChars="0" w:firstLine="0"/>
              <w:jc w:val="center"/>
              <w:textAlignment w:val="center"/>
              <w:rPr>
                <w:sz w:val="21"/>
                <w:szCs w:val="21"/>
                <w:lang w:bidi="ar"/>
              </w:rPr>
            </w:pPr>
            <w:r>
              <w:rPr>
                <w:sz w:val="21"/>
                <w:szCs w:val="21"/>
                <w:lang w:bidi="ar"/>
              </w:rPr>
              <w:t>0.0002</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639A8914" w14:textId="77777777" w:rsidR="003E78AB" w:rsidRDefault="00010BF9">
            <w:pPr>
              <w:spacing w:line="360" w:lineRule="exact"/>
              <w:ind w:firstLineChars="0" w:firstLine="0"/>
              <w:jc w:val="center"/>
              <w:textAlignment w:val="center"/>
              <w:rPr>
                <w:sz w:val="21"/>
                <w:szCs w:val="21"/>
                <w:lang w:bidi="ar"/>
              </w:rPr>
            </w:pPr>
            <w:r>
              <w:rPr>
                <w:sz w:val="21"/>
                <w:szCs w:val="21"/>
                <w:lang w:bidi="ar"/>
              </w:rPr>
              <w:t>1</w:t>
            </w:r>
          </w:p>
        </w:tc>
      </w:tr>
      <w:tr w:rsidR="003E78AB" w14:paraId="58409CFC" w14:textId="77777777">
        <w:trPr>
          <w:trHeight w:val="30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051B7A3"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9FED801"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0B19ED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硫酸盐</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692871D4" w14:textId="77777777" w:rsidR="003E78AB" w:rsidRDefault="00010BF9">
            <w:pPr>
              <w:spacing w:line="360" w:lineRule="exact"/>
              <w:ind w:firstLineChars="0" w:firstLine="0"/>
              <w:jc w:val="center"/>
              <w:textAlignment w:val="center"/>
              <w:rPr>
                <w:sz w:val="21"/>
                <w:szCs w:val="21"/>
                <w:lang w:bidi="ar"/>
              </w:rPr>
            </w:pPr>
            <w:r>
              <w:rPr>
                <w:sz w:val="21"/>
                <w:szCs w:val="21"/>
                <w:lang w:bidi="ar"/>
              </w:rPr>
              <w:t>0.1690</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4FA3C16F" w14:textId="77777777" w:rsidR="003E78AB" w:rsidRDefault="00010BF9">
            <w:pPr>
              <w:spacing w:line="360" w:lineRule="exact"/>
              <w:ind w:firstLineChars="0" w:firstLine="0"/>
              <w:jc w:val="center"/>
              <w:textAlignment w:val="center"/>
              <w:rPr>
                <w:sz w:val="21"/>
                <w:szCs w:val="21"/>
                <w:lang w:bidi="ar"/>
              </w:rPr>
            </w:pPr>
            <w:r>
              <w:rPr>
                <w:sz w:val="21"/>
                <w:szCs w:val="21"/>
                <w:lang w:bidi="ar"/>
              </w:rPr>
              <w:t>800</w:t>
            </w:r>
          </w:p>
        </w:tc>
      </w:tr>
      <w:tr w:rsidR="003E78AB" w14:paraId="56886539" w14:textId="77777777">
        <w:trPr>
          <w:trHeight w:val="300"/>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D34B56"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FDE946"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4EB03C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磷酸盐</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26FC27CF" w14:textId="77777777" w:rsidR="003E78AB" w:rsidRDefault="00010BF9">
            <w:pPr>
              <w:spacing w:line="360" w:lineRule="exact"/>
              <w:ind w:firstLineChars="0" w:firstLine="0"/>
              <w:jc w:val="center"/>
              <w:textAlignment w:val="center"/>
              <w:rPr>
                <w:sz w:val="21"/>
                <w:szCs w:val="21"/>
                <w:lang w:bidi="ar"/>
              </w:rPr>
            </w:pPr>
            <w:r>
              <w:rPr>
                <w:sz w:val="21"/>
                <w:szCs w:val="21"/>
                <w:lang w:bidi="ar"/>
              </w:rPr>
              <w:t>0.0148</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28FED1E" w14:textId="77777777" w:rsidR="003E78AB" w:rsidRDefault="00010BF9">
            <w:pPr>
              <w:spacing w:line="360" w:lineRule="exact"/>
              <w:ind w:firstLineChars="0" w:firstLine="0"/>
              <w:jc w:val="center"/>
              <w:textAlignment w:val="center"/>
              <w:rPr>
                <w:sz w:val="21"/>
                <w:szCs w:val="21"/>
                <w:lang w:bidi="ar"/>
              </w:rPr>
            </w:pPr>
            <w:r>
              <w:rPr>
                <w:sz w:val="21"/>
                <w:szCs w:val="21"/>
                <w:lang w:bidi="ar"/>
              </w:rPr>
              <w:t>70</w:t>
            </w:r>
          </w:p>
        </w:tc>
      </w:tr>
      <w:tr w:rsidR="003E78AB" w14:paraId="643759E8" w14:textId="77777777">
        <w:trPr>
          <w:trHeight w:val="285"/>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026E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生活污水</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024F8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2481.6</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3B1CA6F"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26AFB661"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DF4679A"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7374BE7C"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8106C1"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ECDC0E"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3C2B291" w14:textId="77777777" w:rsidR="003E78AB" w:rsidRDefault="00010BF9">
            <w:pPr>
              <w:spacing w:line="360" w:lineRule="exact"/>
              <w:ind w:firstLineChars="0" w:firstLine="0"/>
              <w:jc w:val="center"/>
              <w:textAlignment w:val="center"/>
              <w:rPr>
                <w:sz w:val="21"/>
                <w:szCs w:val="21"/>
                <w:lang w:bidi="ar"/>
              </w:rPr>
            </w:pPr>
            <w:r>
              <w:rPr>
                <w:sz w:val="21"/>
                <w:szCs w:val="21"/>
                <w:lang w:bidi="ar"/>
              </w:rPr>
              <w:t>CODcr</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6F494855" w14:textId="77777777" w:rsidR="003E78AB" w:rsidRDefault="00010BF9">
            <w:pPr>
              <w:spacing w:line="360" w:lineRule="exact"/>
              <w:ind w:firstLineChars="0" w:firstLine="0"/>
              <w:jc w:val="center"/>
              <w:textAlignment w:val="center"/>
              <w:rPr>
                <w:sz w:val="21"/>
                <w:szCs w:val="21"/>
                <w:lang w:bidi="ar"/>
              </w:rPr>
            </w:pPr>
            <w:r>
              <w:rPr>
                <w:sz w:val="21"/>
                <w:szCs w:val="21"/>
                <w:lang w:bidi="ar"/>
              </w:rPr>
              <w:t>0.5956</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6968C5AF" w14:textId="77777777" w:rsidR="003E78AB" w:rsidRDefault="00010BF9">
            <w:pPr>
              <w:spacing w:line="360" w:lineRule="exact"/>
              <w:ind w:firstLineChars="0" w:firstLine="0"/>
              <w:jc w:val="center"/>
              <w:textAlignment w:val="center"/>
              <w:rPr>
                <w:sz w:val="21"/>
                <w:szCs w:val="21"/>
                <w:lang w:bidi="ar"/>
              </w:rPr>
            </w:pPr>
            <w:r>
              <w:rPr>
                <w:sz w:val="21"/>
                <w:szCs w:val="21"/>
                <w:lang w:bidi="ar"/>
              </w:rPr>
              <w:t>240</w:t>
            </w:r>
          </w:p>
        </w:tc>
      </w:tr>
      <w:tr w:rsidR="003E78AB" w14:paraId="78561B15"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BC9B2C"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99D834"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2F0807F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6226C76D" w14:textId="77777777" w:rsidR="003E78AB" w:rsidRDefault="00010BF9">
            <w:pPr>
              <w:spacing w:line="360" w:lineRule="exact"/>
              <w:ind w:firstLineChars="0" w:firstLine="0"/>
              <w:jc w:val="center"/>
              <w:textAlignment w:val="center"/>
              <w:rPr>
                <w:sz w:val="21"/>
                <w:szCs w:val="21"/>
                <w:lang w:bidi="ar"/>
              </w:rPr>
            </w:pPr>
            <w:r>
              <w:rPr>
                <w:sz w:val="21"/>
                <w:szCs w:val="21"/>
                <w:lang w:bidi="ar"/>
              </w:rPr>
              <w:t>0.0707</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04BD96FD" w14:textId="77777777" w:rsidR="003E78AB" w:rsidRDefault="00010BF9">
            <w:pPr>
              <w:spacing w:line="360" w:lineRule="exact"/>
              <w:ind w:firstLineChars="0" w:firstLine="0"/>
              <w:jc w:val="center"/>
              <w:textAlignment w:val="center"/>
              <w:rPr>
                <w:sz w:val="21"/>
                <w:szCs w:val="21"/>
                <w:lang w:bidi="ar"/>
              </w:rPr>
            </w:pPr>
            <w:r>
              <w:rPr>
                <w:sz w:val="21"/>
                <w:szCs w:val="21"/>
                <w:lang w:bidi="ar"/>
              </w:rPr>
              <w:t>28.5</w:t>
            </w:r>
          </w:p>
        </w:tc>
      </w:tr>
      <w:tr w:rsidR="003E78AB" w14:paraId="21D9D309"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59F728"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6B7D32"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EAE9B77" w14:textId="77777777" w:rsidR="003E78AB" w:rsidRDefault="00010BF9">
            <w:pPr>
              <w:spacing w:line="360" w:lineRule="exact"/>
              <w:ind w:firstLineChars="0" w:firstLine="0"/>
              <w:jc w:val="center"/>
              <w:textAlignment w:val="center"/>
              <w:rPr>
                <w:sz w:val="21"/>
                <w:szCs w:val="21"/>
                <w:lang w:bidi="ar"/>
              </w:rPr>
            </w:pPr>
            <w:r>
              <w:rPr>
                <w:sz w:val="21"/>
                <w:szCs w:val="21"/>
                <w:lang w:bidi="ar"/>
              </w:rPr>
              <w:t>BOD</w:t>
            </w:r>
            <w:r>
              <w:rPr>
                <w:sz w:val="21"/>
                <w:szCs w:val="21"/>
                <w:vertAlign w:val="subscript"/>
                <w:lang w:bidi="ar"/>
              </w:rPr>
              <w:t>5</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2B8EF5D4" w14:textId="77777777" w:rsidR="003E78AB" w:rsidRDefault="00010BF9">
            <w:pPr>
              <w:spacing w:line="360" w:lineRule="exact"/>
              <w:ind w:firstLineChars="0" w:firstLine="0"/>
              <w:jc w:val="center"/>
              <w:textAlignment w:val="center"/>
              <w:rPr>
                <w:sz w:val="21"/>
                <w:szCs w:val="21"/>
                <w:lang w:bidi="ar"/>
              </w:rPr>
            </w:pPr>
            <w:r>
              <w:rPr>
                <w:sz w:val="21"/>
                <w:szCs w:val="21"/>
                <w:lang w:bidi="ar"/>
              </w:rPr>
              <w:t>0.4219</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6799870" w14:textId="77777777" w:rsidR="003E78AB" w:rsidRDefault="00010BF9">
            <w:pPr>
              <w:spacing w:line="360" w:lineRule="exact"/>
              <w:ind w:firstLineChars="0" w:firstLine="0"/>
              <w:jc w:val="center"/>
              <w:textAlignment w:val="center"/>
              <w:rPr>
                <w:sz w:val="21"/>
                <w:szCs w:val="21"/>
                <w:lang w:bidi="ar"/>
              </w:rPr>
            </w:pPr>
            <w:r>
              <w:rPr>
                <w:sz w:val="21"/>
                <w:szCs w:val="21"/>
                <w:lang w:bidi="ar"/>
              </w:rPr>
              <w:t>170</w:t>
            </w:r>
          </w:p>
        </w:tc>
      </w:tr>
      <w:tr w:rsidR="003E78AB" w14:paraId="03AEFFFD"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81CBA6"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A6E6ECD"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99DA3F5" w14:textId="77777777" w:rsidR="003E78AB" w:rsidRDefault="00010BF9">
            <w:pPr>
              <w:spacing w:line="360" w:lineRule="exact"/>
              <w:ind w:firstLineChars="0" w:firstLine="0"/>
              <w:jc w:val="center"/>
              <w:textAlignment w:val="center"/>
              <w:rPr>
                <w:sz w:val="21"/>
                <w:szCs w:val="21"/>
                <w:lang w:bidi="ar"/>
              </w:rPr>
            </w:pPr>
            <w:r>
              <w:rPr>
                <w:sz w:val="21"/>
                <w:szCs w:val="21"/>
                <w:lang w:bidi="ar"/>
              </w:rPr>
              <w:t>SS</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0FA7E704" w14:textId="77777777" w:rsidR="003E78AB" w:rsidRDefault="00010BF9">
            <w:pPr>
              <w:spacing w:line="360" w:lineRule="exact"/>
              <w:ind w:firstLineChars="0" w:firstLine="0"/>
              <w:jc w:val="center"/>
              <w:textAlignment w:val="center"/>
              <w:rPr>
                <w:sz w:val="21"/>
                <w:szCs w:val="21"/>
                <w:lang w:bidi="ar"/>
              </w:rPr>
            </w:pPr>
            <w:r>
              <w:rPr>
                <w:sz w:val="21"/>
                <w:szCs w:val="21"/>
                <w:lang w:bidi="ar"/>
              </w:rPr>
              <w:t>0.5460</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7564558" w14:textId="77777777" w:rsidR="003E78AB" w:rsidRDefault="00010BF9">
            <w:pPr>
              <w:spacing w:line="360" w:lineRule="exact"/>
              <w:ind w:firstLineChars="0" w:firstLine="0"/>
              <w:jc w:val="center"/>
              <w:textAlignment w:val="center"/>
              <w:rPr>
                <w:sz w:val="21"/>
                <w:szCs w:val="21"/>
                <w:lang w:bidi="ar"/>
              </w:rPr>
            </w:pPr>
            <w:r>
              <w:rPr>
                <w:sz w:val="21"/>
                <w:szCs w:val="21"/>
                <w:lang w:bidi="ar"/>
              </w:rPr>
              <w:t>220</w:t>
            </w:r>
          </w:p>
        </w:tc>
      </w:tr>
      <w:tr w:rsidR="003E78AB" w14:paraId="13876F72"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B9F372B"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614578B"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56F5120" w14:textId="77777777" w:rsidR="003E78AB" w:rsidRDefault="00010BF9">
            <w:pPr>
              <w:spacing w:line="360" w:lineRule="exact"/>
              <w:ind w:firstLineChars="0" w:firstLine="0"/>
              <w:jc w:val="center"/>
              <w:textAlignment w:val="center"/>
              <w:rPr>
                <w:sz w:val="21"/>
                <w:szCs w:val="21"/>
                <w:lang w:bidi="ar"/>
              </w:rPr>
            </w:pPr>
            <w:r>
              <w:rPr>
                <w:sz w:val="21"/>
                <w:szCs w:val="21"/>
                <w:lang w:bidi="ar"/>
              </w:rPr>
              <w:t>TN</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A882C76" w14:textId="77777777" w:rsidR="003E78AB" w:rsidRDefault="00010BF9">
            <w:pPr>
              <w:spacing w:line="360" w:lineRule="exact"/>
              <w:ind w:firstLineChars="0" w:firstLine="0"/>
              <w:jc w:val="center"/>
              <w:textAlignment w:val="center"/>
              <w:rPr>
                <w:sz w:val="21"/>
                <w:szCs w:val="21"/>
                <w:lang w:bidi="ar"/>
              </w:rPr>
            </w:pPr>
            <w:r>
              <w:rPr>
                <w:sz w:val="21"/>
                <w:szCs w:val="21"/>
                <w:lang w:bidi="ar"/>
              </w:rPr>
              <w:t>0.1204</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551EA406" w14:textId="77777777" w:rsidR="003E78AB" w:rsidRDefault="00010BF9">
            <w:pPr>
              <w:spacing w:line="360" w:lineRule="exact"/>
              <w:ind w:firstLineChars="0" w:firstLine="0"/>
              <w:jc w:val="center"/>
              <w:textAlignment w:val="center"/>
              <w:rPr>
                <w:sz w:val="21"/>
                <w:szCs w:val="21"/>
                <w:lang w:bidi="ar"/>
              </w:rPr>
            </w:pPr>
            <w:r>
              <w:rPr>
                <w:sz w:val="21"/>
                <w:szCs w:val="21"/>
                <w:lang w:bidi="ar"/>
              </w:rPr>
              <w:t>48.5</w:t>
            </w:r>
          </w:p>
        </w:tc>
      </w:tr>
      <w:tr w:rsidR="003E78AB" w14:paraId="22920544"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CB2628"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58399C9"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24AF71EA" w14:textId="77777777" w:rsidR="003E78AB" w:rsidRDefault="00010BF9">
            <w:pPr>
              <w:spacing w:line="360" w:lineRule="exact"/>
              <w:ind w:firstLineChars="0" w:firstLine="0"/>
              <w:jc w:val="center"/>
              <w:textAlignment w:val="center"/>
              <w:rPr>
                <w:sz w:val="21"/>
                <w:szCs w:val="21"/>
                <w:lang w:bidi="ar"/>
              </w:rPr>
            </w:pPr>
            <w:r>
              <w:rPr>
                <w:sz w:val="21"/>
                <w:szCs w:val="21"/>
                <w:lang w:bidi="ar"/>
              </w:rPr>
              <w:t>TP</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9B1D2D4" w14:textId="77777777" w:rsidR="003E78AB" w:rsidRDefault="00010BF9">
            <w:pPr>
              <w:spacing w:line="360" w:lineRule="exact"/>
              <w:ind w:firstLineChars="0" w:firstLine="0"/>
              <w:jc w:val="center"/>
              <w:textAlignment w:val="center"/>
              <w:rPr>
                <w:sz w:val="21"/>
                <w:szCs w:val="21"/>
                <w:lang w:bidi="ar"/>
              </w:rPr>
            </w:pPr>
            <w:r>
              <w:rPr>
                <w:sz w:val="21"/>
                <w:szCs w:val="21"/>
                <w:lang w:bidi="ar"/>
              </w:rPr>
              <w:t>0.0048</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5F21164" w14:textId="77777777" w:rsidR="003E78AB" w:rsidRDefault="00010BF9">
            <w:pPr>
              <w:spacing w:line="360" w:lineRule="exact"/>
              <w:ind w:firstLineChars="0" w:firstLine="0"/>
              <w:jc w:val="center"/>
              <w:textAlignment w:val="center"/>
              <w:rPr>
                <w:sz w:val="21"/>
                <w:szCs w:val="21"/>
                <w:lang w:bidi="ar"/>
              </w:rPr>
            </w:pPr>
            <w:r>
              <w:rPr>
                <w:sz w:val="21"/>
                <w:szCs w:val="21"/>
                <w:lang w:bidi="ar"/>
              </w:rPr>
              <w:t>1.94</w:t>
            </w:r>
          </w:p>
        </w:tc>
      </w:tr>
      <w:tr w:rsidR="003E78AB" w14:paraId="0E444BC6" w14:textId="77777777">
        <w:trPr>
          <w:trHeight w:val="285"/>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0D6A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综合废水</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985D9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16468.52</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24AA91F" w14:textId="77777777" w:rsidR="003E78AB" w:rsidRDefault="00010BF9">
            <w:pPr>
              <w:spacing w:line="360" w:lineRule="exact"/>
              <w:ind w:firstLineChars="0" w:firstLine="0"/>
              <w:jc w:val="center"/>
              <w:textAlignment w:val="center"/>
              <w:rPr>
                <w:sz w:val="21"/>
                <w:szCs w:val="21"/>
                <w:lang w:bidi="ar"/>
              </w:rPr>
            </w:pPr>
            <w:r>
              <w:rPr>
                <w:sz w:val="21"/>
                <w:szCs w:val="21"/>
                <w:lang w:bidi="ar"/>
              </w:rPr>
              <w:t>pH</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5546C022" w14:textId="77777777" w:rsidR="003E78AB" w:rsidRDefault="00010BF9">
            <w:pPr>
              <w:spacing w:line="360" w:lineRule="exact"/>
              <w:ind w:firstLineChars="0" w:firstLine="0"/>
              <w:jc w:val="center"/>
              <w:textAlignment w:val="center"/>
              <w:rPr>
                <w:sz w:val="21"/>
                <w:szCs w:val="21"/>
                <w:lang w:bidi="ar"/>
              </w:rPr>
            </w:pPr>
            <w:r>
              <w:rPr>
                <w:sz w:val="21"/>
                <w:szCs w:val="21"/>
                <w:lang w:bidi="ar"/>
              </w:rPr>
              <w:t>/</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1645C932"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283D9A06"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D1B9EC7"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A72CCE"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436EC60F" w14:textId="77777777" w:rsidR="003E78AB" w:rsidRDefault="00010BF9">
            <w:pPr>
              <w:spacing w:line="360" w:lineRule="exact"/>
              <w:ind w:firstLineChars="0" w:firstLine="0"/>
              <w:jc w:val="center"/>
              <w:textAlignment w:val="center"/>
              <w:rPr>
                <w:sz w:val="21"/>
                <w:szCs w:val="21"/>
                <w:lang w:bidi="ar"/>
              </w:rPr>
            </w:pPr>
            <w:r>
              <w:rPr>
                <w:sz w:val="21"/>
                <w:szCs w:val="21"/>
                <w:lang w:bidi="ar"/>
              </w:rPr>
              <w:t>CODcr</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0BB10485" w14:textId="77777777" w:rsidR="003E78AB" w:rsidRDefault="00010BF9">
            <w:pPr>
              <w:spacing w:line="360" w:lineRule="exact"/>
              <w:ind w:firstLineChars="0" w:firstLine="0"/>
              <w:jc w:val="center"/>
              <w:textAlignment w:val="center"/>
              <w:rPr>
                <w:sz w:val="21"/>
                <w:szCs w:val="21"/>
                <w:lang w:bidi="ar"/>
              </w:rPr>
            </w:pPr>
            <w:r>
              <w:rPr>
                <w:sz w:val="21"/>
                <w:szCs w:val="21"/>
                <w:lang w:bidi="ar"/>
              </w:rPr>
              <w:t>1.3543</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1071858" w14:textId="77777777" w:rsidR="003E78AB" w:rsidRDefault="00010BF9">
            <w:pPr>
              <w:spacing w:line="360" w:lineRule="exact"/>
              <w:ind w:firstLineChars="0" w:firstLine="0"/>
              <w:jc w:val="center"/>
              <w:textAlignment w:val="center"/>
              <w:rPr>
                <w:sz w:val="21"/>
                <w:szCs w:val="21"/>
                <w:lang w:bidi="ar"/>
              </w:rPr>
            </w:pPr>
            <w:r>
              <w:rPr>
                <w:sz w:val="21"/>
                <w:szCs w:val="21"/>
                <w:lang w:bidi="ar"/>
              </w:rPr>
              <w:t>82.24</w:t>
            </w:r>
          </w:p>
        </w:tc>
      </w:tr>
      <w:tr w:rsidR="003E78AB" w14:paraId="0E1CDD35"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4A988B"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CAE775"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91E60F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D7B18D6" w14:textId="77777777" w:rsidR="003E78AB" w:rsidRDefault="00010BF9">
            <w:pPr>
              <w:spacing w:line="360" w:lineRule="exact"/>
              <w:ind w:firstLineChars="0" w:firstLine="0"/>
              <w:jc w:val="center"/>
              <w:textAlignment w:val="center"/>
              <w:rPr>
                <w:sz w:val="21"/>
                <w:szCs w:val="21"/>
                <w:lang w:bidi="ar"/>
              </w:rPr>
            </w:pPr>
            <w:r>
              <w:rPr>
                <w:sz w:val="21"/>
                <w:szCs w:val="21"/>
                <w:lang w:bidi="ar"/>
              </w:rPr>
              <w:t>0.0718</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16747E45" w14:textId="77777777" w:rsidR="003E78AB" w:rsidRDefault="00010BF9">
            <w:pPr>
              <w:spacing w:line="360" w:lineRule="exact"/>
              <w:ind w:firstLineChars="0" w:firstLine="0"/>
              <w:jc w:val="center"/>
              <w:textAlignment w:val="center"/>
              <w:rPr>
                <w:sz w:val="21"/>
                <w:szCs w:val="21"/>
                <w:lang w:bidi="ar"/>
              </w:rPr>
            </w:pPr>
            <w:r>
              <w:rPr>
                <w:sz w:val="21"/>
                <w:szCs w:val="21"/>
                <w:lang w:bidi="ar"/>
              </w:rPr>
              <w:t>4.36</w:t>
            </w:r>
          </w:p>
        </w:tc>
      </w:tr>
      <w:tr w:rsidR="003E78AB" w14:paraId="52FE2FFF"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5F0051"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B9BD088"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39BD89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TN</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CD0AA89" w14:textId="77777777" w:rsidR="003E78AB" w:rsidRDefault="00010BF9">
            <w:pPr>
              <w:spacing w:line="360" w:lineRule="exact"/>
              <w:ind w:firstLineChars="0" w:firstLine="0"/>
              <w:jc w:val="center"/>
              <w:textAlignment w:val="center"/>
              <w:rPr>
                <w:sz w:val="21"/>
                <w:szCs w:val="21"/>
                <w:lang w:bidi="ar"/>
              </w:rPr>
            </w:pPr>
            <w:r>
              <w:rPr>
                <w:sz w:val="21"/>
                <w:szCs w:val="21"/>
                <w:lang w:bidi="ar"/>
              </w:rPr>
              <w:t>0.1220</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6C2B44E0" w14:textId="77777777" w:rsidR="003E78AB" w:rsidRDefault="00010BF9">
            <w:pPr>
              <w:spacing w:line="360" w:lineRule="exact"/>
              <w:ind w:firstLineChars="0" w:firstLine="0"/>
              <w:jc w:val="center"/>
              <w:textAlignment w:val="center"/>
              <w:rPr>
                <w:sz w:val="21"/>
                <w:szCs w:val="21"/>
                <w:lang w:bidi="ar"/>
              </w:rPr>
            </w:pPr>
            <w:r>
              <w:rPr>
                <w:sz w:val="21"/>
                <w:szCs w:val="21"/>
                <w:lang w:bidi="ar"/>
              </w:rPr>
              <w:t>7.41</w:t>
            </w:r>
          </w:p>
        </w:tc>
      </w:tr>
      <w:tr w:rsidR="003E78AB" w14:paraId="3B01346B"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8435C1"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0F316F"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CE8672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SS</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AC96E47" w14:textId="77777777" w:rsidR="003E78AB" w:rsidRDefault="00010BF9">
            <w:pPr>
              <w:spacing w:line="360" w:lineRule="exact"/>
              <w:ind w:firstLineChars="0" w:firstLine="0"/>
              <w:jc w:val="center"/>
              <w:textAlignment w:val="center"/>
              <w:rPr>
                <w:sz w:val="21"/>
                <w:szCs w:val="21"/>
                <w:lang w:bidi="ar"/>
              </w:rPr>
            </w:pPr>
            <w:r>
              <w:rPr>
                <w:sz w:val="21"/>
                <w:szCs w:val="21"/>
                <w:lang w:bidi="ar"/>
              </w:rPr>
              <w:t>0.5901</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3C9854FD" w14:textId="77777777" w:rsidR="003E78AB" w:rsidRDefault="00010BF9">
            <w:pPr>
              <w:spacing w:line="360" w:lineRule="exact"/>
              <w:ind w:firstLineChars="0" w:firstLine="0"/>
              <w:jc w:val="center"/>
              <w:textAlignment w:val="center"/>
              <w:rPr>
                <w:sz w:val="21"/>
                <w:szCs w:val="21"/>
                <w:lang w:bidi="ar"/>
              </w:rPr>
            </w:pPr>
            <w:r>
              <w:rPr>
                <w:sz w:val="21"/>
                <w:szCs w:val="21"/>
                <w:lang w:bidi="ar"/>
              </w:rPr>
              <w:t>35.83</w:t>
            </w:r>
          </w:p>
        </w:tc>
      </w:tr>
      <w:tr w:rsidR="003E78AB" w14:paraId="35156226"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44C3CA"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17EAD5"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4D98CE0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含盐量</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7A25153E" w14:textId="77777777" w:rsidR="003E78AB" w:rsidRDefault="00010BF9">
            <w:pPr>
              <w:spacing w:line="360" w:lineRule="exact"/>
              <w:ind w:firstLineChars="0" w:firstLine="0"/>
              <w:jc w:val="center"/>
              <w:textAlignment w:val="center"/>
              <w:rPr>
                <w:sz w:val="21"/>
                <w:szCs w:val="21"/>
                <w:lang w:bidi="ar"/>
              </w:rPr>
            </w:pPr>
            <w:r>
              <w:rPr>
                <w:sz w:val="21"/>
                <w:szCs w:val="21"/>
                <w:lang w:bidi="ar"/>
              </w:rPr>
              <w:t>13.7757</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7BACF3E4" w14:textId="77777777" w:rsidR="003E78AB" w:rsidRDefault="00010BF9">
            <w:pPr>
              <w:spacing w:line="360" w:lineRule="exact"/>
              <w:ind w:firstLineChars="0" w:firstLine="0"/>
              <w:jc w:val="center"/>
              <w:textAlignment w:val="center"/>
              <w:rPr>
                <w:sz w:val="21"/>
                <w:szCs w:val="21"/>
                <w:lang w:bidi="ar"/>
              </w:rPr>
            </w:pPr>
            <w:r>
              <w:rPr>
                <w:sz w:val="21"/>
                <w:szCs w:val="21"/>
                <w:lang w:bidi="ar"/>
              </w:rPr>
              <w:t>836.49</w:t>
            </w:r>
          </w:p>
        </w:tc>
      </w:tr>
      <w:tr w:rsidR="003E78AB" w14:paraId="40F0CD30"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630A13"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2862C35"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05AB4A9" w14:textId="77777777" w:rsidR="003E78AB" w:rsidRDefault="00010BF9">
            <w:pPr>
              <w:spacing w:line="360" w:lineRule="exact"/>
              <w:ind w:firstLineChars="0" w:firstLine="0"/>
              <w:jc w:val="center"/>
              <w:textAlignment w:val="center"/>
              <w:rPr>
                <w:sz w:val="21"/>
                <w:szCs w:val="21"/>
                <w:lang w:bidi="ar"/>
              </w:rPr>
            </w:pPr>
            <w:r>
              <w:rPr>
                <w:sz w:val="21"/>
                <w:szCs w:val="21"/>
                <w:lang w:bidi="ar"/>
              </w:rPr>
              <w:t>BOD</w:t>
            </w:r>
            <w:r>
              <w:rPr>
                <w:sz w:val="21"/>
                <w:szCs w:val="21"/>
                <w:vertAlign w:val="subscript"/>
                <w:lang w:bidi="ar"/>
              </w:rPr>
              <w:t>5</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22D19535" w14:textId="77777777" w:rsidR="003E78AB" w:rsidRDefault="00010BF9">
            <w:pPr>
              <w:spacing w:line="360" w:lineRule="exact"/>
              <w:ind w:firstLineChars="0" w:firstLine="0"/>
              <w:jc w:val="center"/>
              <w:textAlignment w:val="center"/>
              <w:rPr>
                <w:sz w:val="21"/>
                <w:szCs w:val="21"/>
                <w:lang w:bidi="ar"/>
              </w:rPr>
            </w:pPr>
            <w:r>
              <w:rPr>
                <w:sz w:val="21"/>
                <w:szCs w:val="21"/>
                <w:lang w:bidi="ar"/>
              </w:rPr>
              <w:t>0.4219</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5D55D59D" w14:textId="77777777" w:rsidR="003E78AB" w:rsidRDefault="00010BF9">
            <w:pPr>
              <w:spacing w:line="360" w:lineRule="exact"/>
              <w:ind w:firstLineChars="0" w:firstLine="0"/>
              <w:jc w:val="center"/>
              <w:textAlignment w:val="center"/>
              <w:rPr>
                <w:sz w:val="21"/>
                <w:szCs w:val="21"/>
                <w:lang w:bidi="ar"/>
              </w:rPr>
            </w:pPr>
            <w:r>
              <w:rPr>
                <w:sz w:val="21"/>
                <w:szCs w:val="21"/>
                <w:lang w:bidi="ar"/>
              </w:rPr>
              <w:t>25.62</w:t>
            </w:r>
          </w:p>
        </w:tc>
      </w:tr>
      <w:tr w:rsidR="003E78AB" w14:paraId="737F0E2F" w14:textId="77777777">
        <w:trPr>
          <w:trHeight w:val="285"/>
        </w:trPr>
        <w:tc>
          <w:tcPr>
            <w:tcW w:w="6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FC8C84"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A79B3E"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FFB5397" w14:textId="77777777" w:rsidR="003E78AB" w:rsidRDefault="00010BF9">
            <w:pPr>
              <w:spacing w:line="360" w:lineRule="exact"/>
              <w:ind w:firstLineChars="0" w:firstLine="0"/>
              <w:jc w:val="center"/>
              <w:textAlignment w:val="center"/>
              <w:rPr>
                <w:sz w:val="21"/>
                <w:szCs w:val="21"/>
                <w:lang w:bidi="ar"/>
              </w:rPr>
            </w:pPr>
            <w:r>
              <w:rPr>
                <w:sz w:val="21"/>
                <w:szCs w:val="21"/>
                <w:lang w:bidi="ar"/>
              </w:rPr>
              <w:t>TP</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7C2BF4B" w14:textId="77777777" w:rsidR="003E78AB" w:rsidRDefault="00010BF9">
            <w:pPr>
              <w:spacing w:line="360" w:lineRule="exact"/>
              <w:ind w:firstLineChars="0" w:firstLine="0"/>
              <w:jc w:val="center"/>
              <w:textAlignment w:val="center"/>
              <w:rPr>
                <w:sz w:val="21"/>
                <w:szCs w:val="21"/>
                <w:lang w:bidi="ar"/>
              </w:rPr>
            </w:pPr>
            <w:r>
              <w:rPr>
                <w:sz w:val="21"/>
                <w:szCs w:val="21"/>
                <w:lang w:bidi="ar"/>
              </w:rPr>
              <w:t>0.0196</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14:paraId="25316867" w14:textId="77777777" w:rsidR="003E78AB" w:rsidRDefault="00010BF9">
            <w:pPr>
              <w:spacing w:line="360" w:lineRule="exact"/>
              <w:ind w:firstLineChars="0" w:firstLine="0"/>
              <w:jc w:val="center"/>
              <w:textAlignment w:val="center"/>
              <w:rPr>
                <w:sz w:val="21"/>
                <w:szCs w:val="21"/>
                <w:lang w:bidi="ar"/>
              </w:rPr>
            </w:pPr>
            <w:r>
              <w:rPr>
                <w:sz w:val="21"/>
                <w:szCs w:val="21"/>
                <w:lang w:bidi="ar"/>
              </w:rPr>
              <w:t>1.19</w:t>
            </w:r>
          </w:p>
        </w:tc>
      </w:tr>
      <w:tr w:rsidR="003E78AB" w14:paraId="1425B8EF" w14:textId="77777777">
        <w:trPr>
          <w:trHeight w:val="285"/>
        </w:trPr>
        <w:tc>
          <w:tcPr>
            <w:tcW w:w="693" w:type="pct"/>
            <w:vMerge/>
            <w:tcBorders>
              <w:top w:val="single" w:sz="4" w:space="0" w:color="auto"/>
              <w:left w:val="single" w:sz="4" w:space="0" w:color="auto"/>
              <w:bottom w:val="single" w:sz="4" w:space="0" w:color="000000"/>
              <w:right w:val="single" w:sz="4" w:space="0" w:color="000000"/>
            </w:tcBorders>
            <w:shd w:val="clear" w:color="auto" w:fill="auto"/>
            <w:vAlign w:val="center"/>
          </w:tcPr>
          <w:p w14:paraId="6C5007F3"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auto"/>
              <w:left w:val="single" w:sz="4" w:space="0" w:color="000000"/>
              <w:bottom w:val="single" w:sz="4" w:space="0" w:color="000000"/>
              <w:right w:val="single" w:sz="4" w:space="0" w:color="000000"/>
            </w:tcBorders>
            <w:shd w:val="clear" w:color="auto" w:fill="auto"/>
            <w:vAlign w:val="center"/>
          </w:tcPr>
          <w:p w14:paraId="554DDE40"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auto"/>
              <w:left w:val="single" w:sz="4" w:space="0" w:color="000000"/>
              <w:bottom w:val="single" w:sz="4" w:space="0" w:color="000000"/>
              <w:right w:val="single" w:sz="4" w:space="0" w:color="000000"/>
            </w:tcBorders>
            <w:shd w:val="clear" w:color="auto" w:fill="auto"/>
            <w:vAlign w:val="center"/>
          </w:tcPr>
          <w:p w14:paraId="2754298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硫酸盐</w:t>
            </w:r>
          </w:p>
        </w:tc>
        <w:tc>
          <w:tcPr>
            <w:tcW w:w="1165" w:type="pct"/>
            <w:tcBorders>
              <w:top w:val="single" w:sz="4" w:space="0" w:color="auto"/>
              <w:left w:val="single" w:sz="4" w:space="0" w:color="000000"/>
              <w:bottom w:val="single" w:sz="4" w:space="0" w:color="000000"/>
              <w:right w:val="single" w:sz="4" w:space="0" w:color="000000"/>
            </w:tcBorders>
            <w:shd w:val="clear" w:color="auto" w:fill="auto"/>
            <w:vAlign w:val="center"/>
          </w:tcPr>
          <w:p w14:paraId="62C9BF36" w14:textId="77777777" w:rsidR="003E78AB" w:rsidRDefault="00010BF9">
            <w:pPr>
              <w:spacing w:line="360" w:lineRule="exact"/>
              <w:ind w:firstLineChars="0" w:firstLine="0"/>
              <w:jc w:val="center"/>
              <w:textAlignment w:val="center"/>
              <w:rPr>
                <w:sz w:val="21"/>
                <w:szCs w:val="21"/>
                <w:lang w:bidi="ar"/>
              </w:rPr>
            </w:pPr>
            <w:r>
              <w:rPr>
                <w:sz w:val="21"/>
                <w:szCs w:val="21"/>
                <w:lang w:bidi="ar"/>
              </w:rPr>
              <w:t>0.1690</w:t>
            </w:r>
          </w:p>
        </w:tc>
        <w:tc>
          <w:tcPr>
            <w:tcW w:w="1179" w:type="pct"/>
            <w:tcBorders>
              <w:top w:val="single" w:sz="4" w:space="0" w:color="auto"/>
              <w:left w:val="single" w:sz="4" w:space="0" w:color="000000"/>
              <w:bottom w:val="single" w:sz="4" w:space="0" w:color="000000"/>
              <w:right w:val="single" w:sz="4" w:space="0" w:color="000000"/>
            </w:tcBorders>
            <w:shd w:val="clear" w:color="auto" w:fill="auto"/>
            <w:vAlign w:val="center"/>
          </w:tcPr>
          <w:p w14:paraId="70B96A08" w14:textId="77777777" w:rsidR="003E78AB" w:rsidRDefault="00010BF9">
            <w:pPr>
              <w:spacing w:line="360" w:lineRule="exact"/>
              <w:ind w:firstLineChars="0" w:firstLine="0"/>
              <w:jc w:val="center"/>
              <w:textAlignment w:val="center"/>
              <w:rPr>
                <w:sz w:val="21"/>
                <w:szCs w:val="21"/>
                <w:lang w:bidi="ar"/>
              </w:rPr>
            </w:pPr>
            <w:r>
              <w:rPr>
                <w:sz w:val="21"/>
                <w:szCs w:val="21"/>
                <w:lang w:bidi="ar"/>
              </w:rPr>
              <w:t>10.26</w:t>
            </w:r>
          </w:p>
        </w:tc>
      </w:tr>
      <w:tr w:rsidR="003E78AB" w14:paraId="442345AC" w14:textId="77777777">
        <w:trPr>
          <w:trHeight w:val="285"/>
        </w:trPr>
        <w:tc>
          <w:tcPr>
            <w:tcW w:w="693" w:type="pct"/>
            <w:vMerge/>
            <w:tcBorders>
              <w:top w:val="single" w:sz="4" w:space="0" w:color="000000"/>
              <w:left w:val="single" w:sz="4" w:space="0" w:color="auto"/>
              <w:bottom w:val="single" w:sz="4" w:space="0" w:color="000000"/>
              <w:right w:val="single" w:sz="4" w:space="0" w:color="000000"/>
            </w:tcBorders>
            <w:shd w:val="clear" w:color="auto" w:fill="auto"/>
            <w:vAlign w:val="center"/>
          </w:tcPr>
          <w:p w14:paraId="06345E67" w14:textId="77777777" w:rsidR="003E78AB" w:rsidRDefault="003E78AB">
            <w:pPr>
              <w:spacing w:line="360" w:lineRule="exact"/>
              <w:ind w:firstLineChars="0" w:firstLine="0"/>
              <w:jc w:val="center"/>
              <w:textAlignment w:val="center"/>
              <w:rPr>
                <w:sz w:val="21"/>
                <w:szCs w:val="21"/>
                <w:lang w:bidi="ar"/>
              </w:rPr>
            </w:pPr>
          </w:p>
        </w:tc>
        <w:tc>
          <w:tcPr>
            <w:tcW w:w="92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164407" w14:textId="77777777" w:rsidR="003E78AB" w:rsidRDefault="003E78AB">
            <w:pPr>
              <w:spacing w:line="360" w:lineRule="exact"/>
              <w:ind w:firstLineChars="0" w:firstLine="0"/>
              <w:jc w:val="center"/>
              <w:textAlignment w:val="center"/>
              <w:rPr>
                <w:sz w:val="21"/>
                <w:szCs w:val="21"/>
                <w:lang w:bidi="ar"/>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C734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钒</w:t>
            </w:r>
          </w:p>
        </w:tc>
        <w:tc>
          <w:tcPr>
            <w:tcW w:w="1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EF6C8" w14:textId="77777777" w:rsidR="003E78AB" w:rsidRDefault="00010BF9">
            <w:pPr>
              <w:spacing w:line="360" w:lineRule="exact"/>
              <w:ind w:firstLineChars="0" w:firstLine="0"/>
              <w:jc w:val="center"/>
              <w:textAlignment w:val="center"/>
              <w:rPr>
                <w:sz w:val="21"/>
                <w:szCs w:val="21"/>
                <w:lang w:bidi="ar"/>
              </w:rPr>
            </w:pPr>
            <w:r>
              <w:rPr>
                <w:sz w:val="21"/>
                <w:szCs w:val="21"/>
                <w:lang w:bidi="ar"/>
              </w:rPr>
              <w:t>0.0002</w:t>
            </w:r>
          </w:p>
        </w:tc>
        <w:tc>
          <w:tcPr>
            <w:tcW w:w="11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E32E4" w14:textId="77777777" w:rsidR="003E78AB" w:rsidRDefault="00010BF9">
            <w:pPr>
              <w:spacing w:line="360" w:lineRule="exact"/>
              <w:ind w:firstLineChars="0" w:firstLine="0"/>
              <w:jc w:val="center"/>
              <w:textAlignment w:val="center"/>
              <w:rPr>
                <w:sz w:val="21"/>
                <w:szCs w:val="21"/>
                <w:lang w:bidi="ar"/>
              </w:rPr>
            </w:pPr>
            <w:r>
              <w:rPr>
                <w:sz w:val="21"/>
                <w:szCs w:val="21"/>
                <w:lang w:bidi="ar"/>
              </w:rPr>
              <w:t>0.01</w:t>
            </w:r>
          </w:p>
        </w:tc>
      </w:tr>
    </w:tbl>
    <w:p w14:paraId="1834A018" w14:textId="77777777" w:rsidR="003E78AB" w:rsidRDefault="00010BF9">
      <w:pPr>
        <w:pStyle w:val="a1"/>
      </w:pPr>
      <w:r>
        <w:rPr>
          <w:rFonts w:hint="eastAsia"/>
        </w:rPr>
        <w:t>排水水质达标分析</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546"/>
        <w:gridCol w:w="847"/>
        <w:gridCol w:w="814"/>
        <w:gridCol w:w="610"/>
        <w:gridCol w:w="715"/>
        <w:gridCol w:w="802"/>
        <w:gridCol w:w="773"/>
        <w:gridCol w:w="596"/>
        <w:gridCol w:w="698"/>
        <w:gridCol w:w="591"/>
      </w:tblGrid>
      <w:tr w:rsidR="003E78AB" w14:paraId="0D4CE32B" w14:textId="77777777">
        <w:trPr>
          <w:trHeight w:val="345"/>
        </w:trPr>
        <w:tc>
          <w:tcPr>
            <w:tcW w:w="890" w:type="pct"/>
            <w:shd w:val="clear" w:color="auto" w:fill="auto"/>
            <w:vAlign w:val="center"/>
          </w:tcPr>
          <w:p w14:paraId="35EE6C92"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污染因子</w:t>
            </w:r>
          </w:p>
        </w:tc>
        <w:tc>
          <w:tcPr>
            <w:tcW w:w="320" w:type="pct"/>
            <w:shd w:val="clear" w:color="auto" w:fill="auto"/>
            <w:vAlign w:val="center"/>
          </w:tcPr>
          <w:p w14:paraId="16C7EB31"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pH</w:t>
            </w:r>
          </w:p>
        </w:tc>
        <w:tc>
          <w:tcPr>
            <w:tcW w:w="497" w:type="pct"/>
            <w:shd w:val="clear" w:color="auto" w:fill="auto"/>
            <w:vAlign w:val="center"/>
          </w:tcPr>
          <w:p w14:paraId="0E967B97"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CODcr</w:t>
            </w:r>
          </w:p>
        </w:tc>
        <w:tc>
          <w:tcPr>
            <w:tcW w:w="478" w:type="pct"/>
            <w:shd w:val="clear" w:color="auto" w:fill="auto"/>
            <w:vAlign w:val="center"/>
          </w:tcPr>
          <w:p w14:paraId="3E0FF997"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NH</w:t>
            </w:r>
            <w:r>
              <w:rPr>
                <w:b/>
                <w:bCs/>
                <w:sz w:val="18"/>
                <w:szCs w:val="18"/>
                <w:vertAlign w:val="subscript"/>
                <w:lang w:bidi="ar"/>
              </w:rPr>
              <w:t>3</w:t>
            </w:r>
            <w:r>
              <w:rPr>
                <w:b/>
                <w:bCs/>
                <w:sz w:val="18"/>
                <w:szCs w:val="18"/>
                <w:lang w:bidi="ar"/>
              </w:rPr>
              <w:t>-N</w:t>
            </w:r>
          </w:p>
        </w:tc>
        <w:tc>
          <w:tcPr>
            <w:tcW w:w="358" w:type="pct"/>
            <w:shd w:val="clear" w:color="auto" w:fill="auto"/>
            <w:vAlign w:val="center"/>
          </w:tcPr>
          <w:p w14:paraId="05E6F65E"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TN</w:t>
            </w:r>
          </w:p>
        </w:tc>
        <w:tc>
          <w:tcPr>
            <w:tcW w:w="420" w:type="pct"/>
            <w:shd w:val="clear" w:color="auto" w:fill="auto"/>
            <w:vAlign w:val="center"/>
          </w:tcPr>
          <w:p w14:paraId="088625D4"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SS</w:t>
            </w:r>
          </w:p>
        </w:tc>
        <w:tc>
          <w:tcPr>
            <w:tcW w:w="471" w:type="pct"/>
            <w:shd w:val="clear" w:color="auto" w:fill="auto"/>
            <w:vAlign w:val="center"/>
          </w:tcPr>
          <w:p w14:paraId="1D65F9E7"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含盐量</w:t>
            </w:r>
          </w:p>
        </w:tc>
        <w:tc>
          <w:tcPr>
            <w:tcW w:w="454" w:type="pct"/>
            <w:shd w:val="clear" w:color="auto" w:fill="auto"/>
            <w:vAlign w:val="center"/>
          </w:tcPr>
          <w:p w14:paraId="6C30DC1F"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BOD</w:t>
            </w:r>
            <w:r>
              <w:rPr>
                <w:b/>
                <w:bCs/>
                <w:sz w:val="18"/>
                <w:szCs w:val="18"/>
                <w:vertAlign w:val="subscript"/>
                <w:lang w:bidi="ar"/>
              </w:rPr>
              <w:t>5</w:t>
            </w:r>
          </w:p>
        </w:tc>
        <w:tc>
          <w:tcPr>
            <w:tcW w:w="350" w:type="pct"/>
            <w:shd w:val="clear" w:color="auto" w:fill="auto"/>
            <w:vAlign w:val="center"/>
          </w:tcPr>
          <w:p w14:paraId="29797CDC"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TP</w:t>
            </w:r>
          </w:p>
        </w:tc>
        <w:tc>
          <w:tcPr>
            <w:tcW w:w="410" w:type="pct"/>
            <w:shd w:val="clear" w:color="auto" w:fill="auto"/>
            <w:vAlign w:val="center"/>
          </w:tcPr>
          <w:p w14:paraId="34B7D778"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硫酸盐</w:t>
            </w:r>
          </w:p>
        </w:tc>
        <w:tc>
          <w:tcPr>
            <w:tcW w:w="347" w:type="pct"/>
            <w:shd w:val="clear" w:color="auto" w:fill="auto"/>
            <w:vAlign w:val="center"/>
          </w:tcPr>
          <w:p w14:paraId="0BD1DE61"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钒</w:t>
            </w:r>
          </w:p>
        </w:tc>
      </w:tr>
      <w:tr w:rsidR="003E78AB" w14:paraId="436199B7" w14:textId="77777777">
        <w:trPr>
          <w:trHeight w:val="285"/>
        </w:trPr>
        <w:tc>
          <w:tcPr>
            <w:tcW w:w="890" w:type="pct"/>
            <w:shd w:val="clear" w:color="auto" w:fill="auto"/>
            <w:vAlign w:val="center"/>
          </w:tcPr>
          <w:p w14:paraId="59B39760" w14:textId="77777777" w:rsidR="003E78AB" w:rsidRDefault="00010BF9">
            <w:pPr>
              <w:spacing w:line="360" w:lineRule="exact"/>
              <w:ind w:firstLineChars="0" w:firstLine="0"/>
              <w:jc w:val="center"/>
              <w:textAlignment w:val="center"/>
              <w:rPr>
                <w:sz w:val="18"/>
                <w:szCs w:val="18"/>
                <w:lang w:bidi="ar"/>
              </w:rPr>
            </w:pPr>
            <w:r>
              <w:rPr>
                <w:sz w:val="18"/>
                <w:szCs w:val="18"/>
                <w:lang w:bidi="ar"/>
              </w:rPr>
              <w:t>出水水质</w:t>
            </w:r>
          </w:p>
        </w:tc>
        <w:tc>
          <w:tcPr>
            <w:tcW w:w="320" w:type="pct"/>
            <w:shd w:val="clear" w:color="auto" w:fill="auto"/>
            <w:vAlign w:val="center"/>
          </w:tcPr>
          <w:p w14:paraId="59C324E6" w14:textId="77777777" w:rsidR="003E78AB" w:rsidRDefault="00010BF9">
            <w:pPr>
              <w:spacing w:line="360" w:lineRule="exact"/>
              <w:ind w:firstLineChars="0" w:firstLine="0"/>
              <w:jc w:val="center"/>
              <w:textAlignment w:val="center"/>
              <w:rPr>
                <w:sz w:val="18"/>
                <w:szCs w:val="18"/>
                <w:lang w:bidi="ar"/>
              </w:rPr>
            </w:pPr>
            <w:r>
              <w:rPr>
                <w:sz w:val="18"/>
                <w:szCs w:val="18"/>
                <w:lang w:bidi="ar"/>
              </w:rPr>
              <w:t>6~9</w:t>
            </w:r>
          </w:p>
        </w:tc>
        <w:tc>
          <w:tcPr>
            <w:tcW w:w="847" w:type="dxa"/>
            <w:shd w:val="clear" w:color="auto" w:fill="auto"/>
            <w:vAlign w:val="center"/>
          </w:tcPr>
          <w:p w14:paraId="2E6B8264"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82.24 </w:t>
            </w:r>
          </w:p>
        </w:tc>
        <w:tc>
          <w:tcPr>
            <w:tcW w:w="814" w:type="dxa"/>
            <w:shd w:val="clear" w:color="auto" w:fill="auto"/>
            <w:vAlign w:val="center"/>
          </w:tcPr>
          <w:p w14:paraId="6D761350"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4.36 </w:t>
            </w:r>
          </w:p>
        </w:tc>
        <w:tc>
          <w:tcPr>
            <w:tcW w:w="610" w:type="dxa"/>
            <w:shd w:val="clear" w:color="auto" w:fill="auto"/>
            <w:vAlign w:val="center"/>
          </w:tcPr>
          <w:p w14:paraId="65CFCDDC"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7.41 </w:t>
            </w:r>
          </w:p>
        </w:tc>
        <w:tc>
          <w:tcPr>
            <w:tcW w:w="716" w:type="dxa"/>
            <w:shd w:val="clear" w:color="auto" w:fill="auto"/>
            <w:vAlign w:val="center"/>
          </w:tcPr>
          <w:p w14:paraId="70195D0A"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35.83 </w:t>
            </w:r>
          </w:p>
        </w:tc>
        <w:tc>
          <w:tcPr>
            <w:tcW w:w="802" w:type="dxa"/>
            <w:shd w:val="clear" w:color="auto" w:fill="auto"/>
            <w:vAlign w:val="center"/>
          </w:tcPr>
          <w:p w14:paraId="18134CF5"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836.49 </w:t>
            </w:r>
          </w:p>
        </w:tc>
        <w:tc>
          <w:tcPr>
            <w:tcW w:w="773" w:type="dxa"/>
            <w:shd w:val="clear" w:color="auto" w:fill="auto"/>
            <w:vAlign w:val="center"/>
          </w:tcPr>
          <w:p w14:paraId="377C2474"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25.62 </w:t>
            </w:r>
          </w:p>
        </w:tc>
        <w:tc>
          <w:tcPr>
            <w:tcW w:w="596" w:type="dxa"/>
            <w:shd w:val="clear" w:color="auto" w:fill="auto"/>
            <w:vAlign w:val="center"/>
          </w:tcPr>
          <w:p w14:paraId="308F3AA0"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1.19 </w:t>
            </w:r>
          </w:p>
        </w:tc>
        <w:tc>
          <w:tcPr>
            <w:tcW w:w="698" w:type="dxa"/>
            <w:shd w:val="clear" w:color="auto" w:fill="auto"/>
            <w:vAlign w:val="center"/>
          </w:tcPr>
          <w:p w14:paraId="01C8E6B8"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10.26 </w:t>
            </w:r>
          </w:p>
        </w:tc>
        <w:tc>
          <w:tcPr>
            <w:tcW w:w="592" w:type="dxa"/>
            <w:shd w:val="clear" w:color="auto" w:fill="auto"/>
            <w:vAlign w:val="center"/>
          </w:tcPr>
          <w:p w14:paraId="1347C51D" w14:textId="77777777" w:rsidR="003E78AB" w:rsidRDefault="00010BF9">
            <w:pPr>
              <w:spacing w:line="360" w:lineRule="exact"/>
              <w:ind w:firstLineChars="0" w:firstLine="0"/>
              <w:jc w:val="center"/>
              <w:textAlignment w:val="center"/>
              <w:rPr>
                <w:sz w:val="18"/>
                <w:szCs w:val="18"/>
                <w:lang w:bidi="ar"/>
              </w:rPr>
            </w:pPr>
            <w:r>
              <w:rPr>
                <w:sz w:val="18"/>
                <w:szCs w:val="18"/>
                <w:lang w:bidi="ar"/>
              </w:rPr>
              <w:t xml:space="preserve">0.01 </w:t>
            </w:r>
          </w:p>
        </w:tc>
      </w:tr>
      <w:tr w:rsidR="003E78AB" w14:paraId="7E25902D" w14:textId="77777777">
        <w:trPr>
          <w:trHeight w:val="540"/>
        </w:trPr>
        <w:tc>
          <w:tcPr>
            <w:tcW w:w="890" w:type="pct"/>
            <w:shd w:val="clear" w:color="auto" w:fill="auto"/>
            <w:vAlign w:val="center"/>
          </w:tcPr>
          <w:p w14:paraId="1252EA75" w14:textId="77777777" w:rsidR="003E78AB" w:rsidRDefault="00010BF9">
            <w:pPr>
              <w:spacing w:line="360" w:lineRule="exact"/>
              <w:ind w:firstLineChars="0" w:firstLine="0"/>
              <w:jc w:val="center"/>
              <w:textAlignment w:val="center"/>
              <w:rPr>
                <w:sz w:val="18"/>
                <w:szCs w:val="18"/>
                <w:lang w:bidi="ar"/>
              </w:rPr>
            </w:pPr>
            <w:r>
              <w:rPr>
                <w:sz w:val="18"/>
                <w:szCs w:val="18"/>
                <w:lang w:bidi="ar"/>
              </w:rPr>
              <w:t>GB21904-2008</w:t>
            </w:r>
          </w:p>
        </w:tc>
        <w:tc>
          <w:tcPr>
            <w:tcW w:w="320" w:type="pct"/>
            <w:shd w:val="clear" w:color="auto" w:fill="auto"/>
            <w:vAlign w:val="center"/>
          </w:tcPr>
          <w:p w14:paraId="11F95057" w14:textId="77777777" w:rsidR="003E78AB" w:rsidRDefault="00010BF9">
            <w:pPr>
              <w:spacing w:line="360" w:lineRule="exact"/>
              <w:ind w:firstLineChars="0" w:firstLine="0"/>
              <w:jc w:val="center"/>
              <w:textAlignment w:val="center"/>
              <w:rPr>
                <w:sz w:val="18"/>
                <w:szCs w:val="18"/>
                <w:lang w:bidi="ar"/>
              </w:rPr>
            </w:pPr>
            <w:r>
              <w:rPr>
                <w:sz w:val="18"/>
                <w:szCs w:val="18"/>
                <w:lang w:bidi="ar"/>
              </w:rPr>
              <w:t>6~9</w:t>
            </w:r>
          </w:p>
        </w:tc>
        <w:tc>
          <w:tcPr>
            <w:tcW w:w="497" w:type="pct"/>
            <w:shd w:val="clear" w:color="auto" w:fill="auto"/>
            <w:vAlign w:val="center"/>
          </w:tcPr>
          <w:p w14:paraId="248BD82C" w14:textId="77777777" w:rsidR="003E78AB" w:rsidRDefault="00010BF9">
            <w:pPr>
              <w:spacing w:line="360" w:lineRule="exact"/>
              <w:ind w:firstLineChars="0" w:firstLine="0"/>
              <w:jc w:val="center"/>
              <w:textAlignment w:val="center"/>
              <w:rPr>
                <w:sz w:val="18"/>
                <w:szCs w:val="18"/>
                <w:lang w:bidi="ar"/>
              </w:rPr>
            </w:pPr>
            <w:r>
              <w:rPr>
                <w:sz w:val="18"/>
                <w:szCs w:val="18"/>
                <w:lang w:bidi="ar"/>
              </w:rPr>
              <w:t>200</w:t>
            </w:r>
          </w:p>
        </w:tc>
        <w:tc>
          <w:tcPr>
            <w:tcW w:w="478" w:type="pct"/>
            <w:shd w:val="clear" w:color="auto" w:fill="auto"/>
            <w:vAlign w:val="center"/>
          </w:tcPr>
          <w:p w14:paraId="23F0DD2A" w14:textId="77777777" w:rsidR="003E78AB" w:rsidRDefault="00010BF9">
            <w:pPr>
              <w:spacing w:line="360" w:lineRule="exact"/>
              <w:ind w:firstLineChars="0" w:firstLine="0"/>
              <w:jc w:val="center"/>
              <w:textAlignment w:val="center"/>
              <w:rPr>
                <w:sz w:val="18"/>
                <w:szCs w:val="18"/>
                <w:lang w:bidi="ar"/>
              </w:rPr>
            </w:pPr>
            <w:r>
              <w:rPr>
                <w:sz w:val="18"/>
                <w:szCs w:val="18"/>
                <w:lang w:bidi="ar"/>
              </w:rPr>
              <w:t>40</w:t>
            </w:r>
          </w:p>
        </w:tc>
        <w:tc>
          <w:tcPr>
            <w:tcW w:w="358" w:type="pct"/>
            <w:shd w:val="clear" w:color="auto" w:fill="auto"/>
            <w:vAlign w:val="center"/>
          </w:tcPr>
          <w:p w14:paraId="6A614B2E" w14:textId="77777777" w:rsidR="003E78AB" w:rsidRDefault="00010BF9">
            <w:pPr>
              <w:spacing w:line="360" w:lineRule="exact"/>
              <w:ind w:firstLineChars="0" w:firstLine="0"/>
              <w:jc w:val="center"/>
              <w:textAlignment w:val="center"/>
              <w:rPr>
                <w:sz w:val="18"/>
                <w:szCs w:val="18"/>
                <w:lang w:bidi="ar"/>
              </w:rPr>
            </w:pPr>
            <w:r>
              <w:rPr>
                <w:sz w:val="18"/>
                <w:szCs w:val="18"/>
                <w:lang w:bidi="ar"/>
              </w:rPr>
              <w:t>60</w:t>
            </w:r>
          </w:p>
        </w:tc>
        <w:tc>
          <w:tcPr>
            <w:tcW w:w="420" w:type="pct"/>
            <w:shd w:val="clear" w:color="auto" w:fill="auto"/>
            <w:vAlign w:val="center"/>
          </w:tcPr>
          <w:p w14:paraId="318E0305" w14:textId="77777777" w:rsidR="003E78AB" w:rsidRDefault="00010BF9">
            <w:pPr>
              <w:spacing w:line="360" w:lineRule="exact"/>
              <w:ind w:firstLineChars="0" w:firstLine="0"/>
              <w:jc w:val="center"/>
              <w:textAlignment w:val="center"/>
              <w:rPr>
                <w:sz w:val="18"/>
                <w:szCs w:val="18"/>
                <w:lang w:bidi="ar"/>
              </w:rPr>
            </w:pPr>
            <w:r>
              <w:rPr>
                <w:sz w:val="18"/>
                <w:szCs w:val="18"/>
                <w:lang w:bidi="ar"/>
              </w:rPr>
              <w:t>100</w:t>
            </w:r>
          </w:p>
        </w:tc>
        <w:tc>
          <w:tcPr>
            <w:tcW w:w="471" w:type="pct"/>
            <w:shd w:val="clear" w:color="auto" w:fill="auto"/>
            <w:vAlign w:val="center"/>
          </w:tcPr>
          <w:p w14:paraId="3016B274"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454" w:type="pct"/>
            <w:shd w:val="clear" w:color="auto" w:fill="auto"/>
            <w:vAlign w:val="center"/>
          </w:tcPr>
          <w:p w14:paraId="71C8EB99"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350" w:type="pct"/>
            <w:shd w:val="clear" w:color="auto" w:fill="auto"/>
            <w:vAlign w:val="center"/>
          </w:tcPr>
          <w:p w14:paraId="44033628" w14:textId="77777777" w:rsidR="003E78AB" w:rsidRDefault="00010BF9">
            <w:pPr>
              <w:spacing w:line="360" w:lineRule="exact"/>
              <w:ind w:firstLineChars="0" w:firstLine="0"/>
              <w:jc w:val="center"/>
              <w:textAlignment w:val="center"/>
              <w:rPr>
                <w:sz w:val="18"/>
                <w:szCs w:val="18"/>
                <w:lang w:bidi="ar"/>
              </w:rPr>
            </w:pPr>
            <w:r>
              <w:rPr>
                <w:sz w:val="18"/>
                <w:szCs w:val="18"/>
                <w:lang w:bidi="ar"/>
              </w:rPr>
              <w:t>2</w:t>
            </w:r>
          </w:p>
        </w:tc>
        <w:tc>
          <w:tcPr>
            <w:tcW w:w="410" w:type="pct"/>
            <w:shd w:val="clear" w:color="auto" w:fill="auto"/>
            <w:vAlign w:val="center"/>
          </w:tcPr>
          <w:p w14:paraId="4A4173D3"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347" w:type="pct"/>
            <w:shd w:val="clear" w:color="auto" w:fill="auto"/>
            <w:vAlign w:val="center"/>
          </w:tcPr>
          <w:p w14:paraId="4C053095"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r>
      <w:tr w:rsidR="003E78AB" w14:paraId="3FF70114" w14:textId="77777777">
        <w:trPr>
          <w:trHeight w:val="540"/>
        </w:trPr>
        <w:tc>
          <w:tcPr>
            <w:tcW w:w="890" w:type="pct"/>
            <w:shd w:val="clear" w:color="auto" w:fill="auto"/>
            <w:vAlign w:val="center"/>
          </w:tcPr>
          <w:p w14:paraId="02191C91" w14:textId="77777777" w:rsidR="003E78AB" w:rsidRDefault="00010BF9">
            <w:pPr>
              <w:spacing w:line="360" w:lineRule="exact"/>
              <w:ind w:firstLineChars="0" w:firstLine="0"/>
              <w:jc w:val="center"/>
              <w:textAlignment w:val="center"/>
              <w:rPr>
                <w:sz w:val="18"/>
                <w:szCs w:val="18"/>
                <w:lang w:bidi="ar"/>
              </w:rPr>
            </w:pPr>
            <w:r>
              <w:rPr>
                <w:sz w:val="18"/>
                <w:szCs w:val="18"/>
                <w:lang w:bidi="ar"/>
              </w:rPr>
              <w:t>GB8978-1996</w:t>
            </w:r>
          </w:p>
        </w:tc>
        <w:tc>
          <w:tcPr>
            <w:tcW w:w="320" w:type="pct"/>
            <w:shd w:val="clear" w:color="auto" w:fill="auto"/>
            <w:vAlign w:val="center"/>
          </w:tcPr>
          <w:p w14:paraId="186990DD" w14:textId="77777777" w:rsidR="003E78AB" w:rsidRDefault="00010BF9">
            <w:pPr>
              <w:spacing w:line="360" w:lineRule="exact"/>
              <w:ind w:firstLineChars="0" w:firstLine="0"/>
              <w:jc w:val="center"/>
              <w:textAlignment w:val="center"/>
              <w:rPr>
                <w:sz w:val="18"/>
                <w:szCs w:val="18"/>
                <w:lang w:bidi="ar"/>
              </w:rPr>
            </w:pPr>
            <w:r>
              <w:rPr>
                <w:sz w:val="18"/>
                <w:szCs w:val="18"/>
                <w:lang w:bidi="ar"/>
              </w:rPr>
              <w:t>6~9</w:t>
            </w:r>
          </w:p>
        </w:tc>
        <w:tc>
          <w:tcPr>
            <w:tcW w:w="497" w:type="pct"/>
            <w:shd w:val="clear" w:color="auto" w:fill="auto"/>
            <w:vAlign w:val="center"/>
          </w:tcPr>
          <w:p w14:paraId="24E72BE1" w14:textId="77777777" w:rsidR="003E78AB" w:rsidRDefault="00010BF9">
            <w:pPr>
              <w:spacing w:line="360" w:lineRule="exact"/>
              <w:ind w:firstLineChars="0" w:firstLine="0"/>
              <w:jc w:val="center"/>
              <w:textAlignment w:val="center"/>
              <w:rPr>
                <w:sz w:val="18"/>
                <w:szCs w:val="18"/>
                <w:lang w:bidi="ar"/>
              </w:rPr>
            </w:pPr>
            <w:r>
              <w:rPr>
                <w:sz w:val="18"/>
                <w:szCs w:val="18"/>
                <w:lang w:bidi="ar"/>
              </w:rPr>
              <w:t>500</w:t>
            </w:r>
          </w:p>
        </w:tc>
        <w:tc>
          <w:tcPr>
            <w:tcW w:w="478" w:type="pct"/>
            <w:shd w:val="clear" w:color="auto" w:fill="auto"/>
            <w:vAlign w:val="center"/>
          </w:tcPr>
          <w:p w14:paraId="538B2D0E"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358" w:type="pct"/>
            <w:shd w:val="clear" w:color="auto" w:fill="auto"/>
            <w:vAlign w:val="center"/>
          </w:tcPr>
          <w:p w14:paraId="1D4C5585"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420" w:type="pct"/>
            <w:shd w:val="clear" w:color="auto" w:fill="auto"/>
            <w:vAlign w:val="center"/>
          </w:tcPr>
          <w:p w14:paraId="14798438" w14:textId="77777777" w:rsidR="003E78AB" w:rsidRDefault="00010BF9">
            <w:pPr>
              <w:spacing w:line="360" w:lineRule="exact"/>
              <w:ind w:firstLineChars="0" w:firstLine="0"/>
              <w:jc w:val="center"/>
              <w:textAlignment w:val="center"/>
              <w:rPr>
                <w:sz w:val="18"/>
                <w:szCs w:val="18"/>
                <w:lang w:bidi="ar"/>
              </w:rPr>
            </w:pPr>
            <w:r>
              <w:rPr>
                <w:sz w:val="18"/>
                <w:szCs w:val="18"/>
                <w:lang w:bidi="ar"/>
              </w:rPr>
              <w:t>400</w:t>
            </w:r>
          </w:p>
        </w:tc>
        <w:tc>
          <w:tcPr>
            <w:tcW w:w="471" w:type="pct"/>
            <w:shd w:val="clear" w:color="auto" w:fill="auto"/>
            <w:vAlign w:val="center"/>
          </w:tcPr>
          <w:p w14:paraId="14D214F7"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454" w:type="pct"/>
            <w:shd w:val="clear" w:color="auto" w:fill="auto"/>
            <w:vAlign w:val="center"/>
          </w:tcPr>
          <w:p w14:paraId="5A7AF92F" w14:textId="77777777" w:rsidR="003E78AB" w:rsidRDefault="00010BF9">
            <w:pPr>
              <w:spacing w:line="360" w:lineRule="exact"/>
              <w:ind w:firstLineChars="0" w:firstLine="0"/>
              <w:jc w:val="center"/>
              <w:textAlignment w:val="center"/>
              <w:rPr>
                <w:sz w:val="18"/>
                <w:szCs w:val="18"/>
                <w:lang w:bidi="ar"/>
              </w:rPr>
            </w:pPr>
            <w:r>
              <w:rPr>
                <w:sz w:val="18"/>
                <w:szCs w:val="18"/>
                <w:lang w:bidi="ar"/>
              </w:rPr>
              <w:t>300</w:t>
            </w:r>
          </w:p>
        </w:tc>
        <w:tc>
          <w:tcPr>
            <w:tcW w:w="350" w:type="pct"/>
            <w:shd w:val="clear" w:color="auto" w:fill="auto"/>
            <w:vAlign w:val="center"/>
          </w:tcPr>
          <w:p w14:paraId="3AB6556B"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410" w:type="pct"/>
            <w:shd w:val="clear" w:color="auto" w:fill="auto"/>
            <w:vAlign w:val="center"/>
          </w:tcPr>
          <w:p w14:paraId="7FF7BF70"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347" w:type="pct"/>
            <w:shd w:val="clear" w:color="auto" w:fill="auto"/>
            <w:vAlign w:val="center"/>
          </w:tcPr>
          <w:p w14:paraId="5E781629"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r>
      <w:tr w:rsidR="003E78AB" w14:paraId="0DF6339D" w14:textId="77777777">
        <w:trPr>
          <w:trHeight w:val="285"/>
        </w:trPr>
        <w:tc>
          <w:tcPr>
            <w:tcW w:w="890" w:type="pct"/>
            <w:shd w:val="clear" w:color="auto" w:fill="auto"/>
            <w:vAlign w:val="center"/>
          </w:tcPr>
          <w:p w14:paraId="01F14279" w14:textId="77777777" w:rsidR="003E78AB" w:rsidRDefault="00010BF9">
            <w:pPr>
              <w:spacing w:line="360" w:lineRule="exact"/>
              <w:ind w:firstLineChars="0" w:firstLine="0"/>
              <w:jc w:val="center"/>
              <w:textAlignment w:val="center"/>
              <w:rPr>
                <w:sz w:val="18"/>
                <w:szCs w:val="18"/>
                <w:lang w:bidi="ar"/>
              </w:rPr>
            </w:pPr>
            <w:r>
              <w:rPr>
                <w:sz w:val="18"/>
                <w:szCs w:val="18"/>
                <w:lang w:bidi="ar"/>
              </w:rPr>
              <w:t>是否满足</w:t>
            </w:r>
          </w:p>
        </w:tc>
        <w:tc>
          <w:tcPr>
            <w:tcW w:w="320" w:type="pct"/>
            <w:shd w:val="clear" w:color="auto" w:fill="auto"/>
            <w:vAlign w:val="center"/>
          </w:tcPr>
          <w:p w14:paraId="1F8FC62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是</w:t>
            </w:r>
          </w:p>
        </w:tc>
        <w:tc>
          <w:tcPr>
            <w:tcW w:w="497" w:type="pct"/>
            <w:shd w:val="clear" w:color="auto" w:fill="auto"/>
            <w:vAlign w:val="center"/>
          </w:tcPr>
          <w:p w14:paraId="69B13708" w14:textId="77777777" w:rsidR="003E78AB" w:rsidRDefault="00010BF9">
            <w:pPr>
              <w:spacing w:line="360" w:lineRule="exact"/>
              <w:ind w:firstLineChars="0" w:firstLine="0"/>
              <w:jc w:val="center"/>
              <w:textAlignment w:val="center"/>
              <w:rPr>
                <w:sz w:val="18"/>
                <w:szCs w:val="18"/>
                <w:lang w:bidi="ar"/>
              </w:rPr>
            </w:pPr>
            <w:r>
              <w:rPr>
                <w:sz w:val="18"/>
                <w:szCs w:val="18"/>
                <w:lang w:bidi="ar"/>
              </w:rPr>
              <w:t>是</w:t>
            </w:r>
          </w:p>
        </w:tc>
        <w:tc>
          <w:tcPr>
            <w:tcW w:w="478" w:type="pct"/>
            <w:shd w:val="clear" w:color="auto" w:fill="auto"/>
            <w:vAlign w:val="center"/>
          </w:tcPr>
          <w:p w14:paraId="4E992A96" w14:textId="77777777" w:rsidR="003E78AB" w:rsidRDefault="00010BF9">
            <w:pPr>
              <w:spacing w:line="360" w:lineRule="exact"/>
              <w:ind w:firstLineChars="0" w:firstLine="0"/>
              <w:jc w:val="center"/>
              <w:textAlignment w:val="center"/>
              <w:rPr>
                <w:sz w:val="18"/>
                <w:szCs w:val="18"/>
                <w:lang w:bidi="ar"/>
              </w:rPr>
            </w:pPr>
            <w:r>
              <w:rPr>
                <w:sz w:val="18"/>
                <w:szCs w:val="18"/>
                <w:lang w:bidi="ar"/>
              </w:rPr>
              <w:t>是</w:t>
            </w:r>
          </w:p>
        </w:tc>
        <w:tc>
          <w:tcPr>
            <w:tcW w:w="358" w:type="pct"/>
            <w:shd w:val="clear" w:color="auto" w:fill="auto"/>
            <w:vAlign w:val="center"/>
          </w:tcPr>
          <w:p w14:paraId="65039FEC" w14:textId="77777777" w:rsidR="003E78AB" w:rsidRDefault="00010BF9">
            <w:pPr>
              <w:spacing w:line="360" w:lineRule="exact"/>
              <w:ind w:firstLineChars="0" w:firstLine="0"/>
              <w:jc w:val="center"/>
              <w:textAlignment w:val="center"/>
              <w:rPr>
                <w:sz w:val="18"/>
                <w:szCs w:val="18"/>
                <w:lang w:bidi="ar"/>
              </w:rPr>
            </w:pPr>
            <w:r>
              <w:rPr>
                <w:sz w:val="18"/>
                <w:szCs w:val="18"/>
                <w:lang w:bidi="ar"/>
              </w:rPr>
              <w:t>是</w:t>
            </w:r>
          </w:p>
        </w:tc>
        <w:tc>
          <w:tcPr>
            <w:tcW w:w="420" w:type="pct"/>
            <w:shd w:val="clear" w:color="auto" w:fill="auto"/>
            <w:vAlign w:val="center"/>
          </w:tcPr>
          <w:p w14:paraId="571AFBFF" w14:textId="77777777" w:rsidR="003E78AB" w:rsidRDefault="00010BF9">
            <w:pPr>
              <w:spacing w:line="360" w:lineRule="exact"/>
              <w:ind w:firstLineChars="0" w:firstLine="0"/>
              <w:jc w:val="center"/>
              <w:textAlignment w:val="center"/>
              <w:rPr>
                <w:sz w:val="18"/>
                <w:szCs w:val="18"/>
                <w:lang w:bidi="ar"/>
              </w:rPr>
            </w:pPr>
            <w:r>
              <w:rPr>
                <w:sz w:val="18"/>
                <w:szCs w:val="18"/>
                <w:lang w:bidi="ar"/>
              </w:rPr>
              <w:t>是</w:t>
            </w:r>
          </w:p>
        </w:tc>
        <w:tc>
          <w:tcPr>
            <w:tcW w:w="471" w:type="pct"/>
            <w:shd w:val="clear" w:color="auto" w:fill="auto"/>
            <w:vAlign w:val="center"/>
          </w:tcPr>
          <w:p w14:paraId="4142489E"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454" w:type="pct"/>
            <w:shd w:val="clear" w:color="auto" w:fill="auto"/>
            <w:vAlign w:val="center"/>
          </w:tcPr>
          <w:p w14:paraId="26E8AD37" w14:textId="77777777" w:rsidR="003E78AB" w:rsidRDefault="00010BF9">
            <w:pPr>
              <w:spacing w:line="360" w:lineRule="exact"/>
              <w:ind w:firstLineChars="0" w:firstLine="0"/>
              <w:jc w:val="center"/>
              <w:textAlignment w:val="center"/>
              <w:rPr>
                <w:sz w:val="18"/>
                <w:szCs w:val="18"/>
                <w:lang w:bidi="ar"/>
              </w:rPr>
            </w:pPr>
            <w:r>
              <w:rPr>
                <w:sz w:val="18"/>
                <w:szCs w:val="18"/>
                <w:lang w:bidi="ar"/>
              </w:rPr>
              <w:t>是</w:t>
            </w:r>
          </w:p>
        </w:tc>
        <w:tc>
          <w:tcPr>
            <w:tcW w:w="350" w:type="pct"/>
            <w:shd w:val="clear" w:color="auto" w:fill="auto"/>
            <w:vAlign w:val="center"/>
          </w:tcPr>
          <w:p w14:paraId="4749EC5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是</w:t>
            </w:r>
          </w:p>
        </w:tc>
        <w:tc>
          <w:tcPr>
            <w:tcW w:w="410" w:type="pct"/>
            <w:shd w:val="clear" w:color="auto" w:fill="auto"/>
            <w:vAlign w:val="center"/>
          </w:tcPr>
          <w:p w14:paraId="79FC01B8"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347" w:type="pct"/>
            <w:shd w:val="clear" w:color="auto" w:fill="auto"/>
            <w:vAlign w:val="center"/>
          </w:tcPr>
          <w:p w14:paraId="53DADA51"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r>
    </w:tbl>
    <w:p w14:paraId="3926CDE0" w14:textId="77777777" w:rsidR="003E78AB" w:rsidRDefault="00010BF9">
      <w:pPr>
        <w:ind w:firstLine="480"/>
        <w:rPr>
          <w:kern w:val="2"/>
        </w:rPr>
      </w:pPr>
      <w:r>
        <w:rPr>
          <w:rFonts w:hint="eastAsia"/>
          <w:kern w:val="2"/>
        </w:rPr>
        <w:t>由此分析可知，</w:t>
      </w:r>
      <w:r>
        <w:rPr>
          <w:kern w:val="2"/>
        </w:rPr>
        <w:t>pH</w:t>
      </w:r>
      <w:r>
        <w:rPr>
          <w:kern w:val="2"/>
        </w:rPr>
        <w:t>、</w:t>
      </w:r>
      <w:r>
        <w:rPr>
          <w:kern w:val="2"/>
        </w:rPr>
        <w:t>CODCr</w:t>
      </w:r>
      <w:r>
        <w:rPr>
          <w:kern w:val="2"/>
        </w:rPr>
        <w:t>、</w:t>
      </w:r>
      <w:r>
        <w:rPr>
          <w:kern w:val="2"/>
        </w:rPr>
        <w:t>NH</w:t>
      </w:r>
      <w:r>
        <w:rPr>
          <w:kern w:val="2"/>
          <w:vertAlign w:val="subscript"/>
        </w:rPr>
        <w:t>3</w:t>
      </w:r>
      <w:r>
        <w:rPr>
          <w:kern w:val="2"/>
        </w:rPr>
        <w:t>-N</w:t>
      </w:r>
      <w:r>
        <w:rPr>
          <w:kern w:val="2"/>
        </w:rPr>
        <w:t>、</w:t>
      </w:r>
      <w:r>
        <w:rPr>
          <w:kern w:val="2"/>
        </w:rPr>
        <w:t>BOD</w:t>
      </w:r>
      <w:r>
        <w:rPr>
          <w:kern w:val="2"/>
          <w:vertAlign w:val="subscript"/>
        </w:rPr>
        <w:t>5</w:t>
      </w:r>
      <w:r>
        <w:rPr>
          <w:kern w:val="2"/>
        </w:rPr>
        <w:t>、</w:t>
      </w:r>
      <w:r>
        <w:rPr>
          <w:kern w:val="2"/>
        </w:rPr>
        <w:t>SS</w:t>
      </w:r>
      <w:r>
        <w:rPr>
          <w:kern w:val="2"/>
        </w:rPr>
        <w:t>、</w:t>
      </w:r>
      <w:r>
        <w:rPr>
          <w:rFonts w:hint="eastAsia"/>
          <w:kern w:val="2"/>
        </w:rPr>
        <w:t>TP</w:t>
      </w:r>
      <w:r>
        <w:rPr>
          <w:rFonts w:hint="eastAsia"/>
          <w:kern w:val="2"/>
        </w:rPr>
        <w:t>、</w:t>
      </w:r>
      <w:r>
        <w:rPr>
          <w:rFonts w:hint="eastAsia"/>
          <w:kern w:val="2"/>
        </w:rPr>
        <w:t>TN</w:t>
      </w:r>
      <w:r>
        <w:rPr>
          <w:rFonts w:hint="eastAsia"/>
          <w:kern w:val="2"/>
        </w:rPr>
        <w:t>可满足</w:t>
      </w:r>
      <w:r>
        <w:rPr>
          <w:kern w:val="2"/>
        </w:rPr>
        <w:t>《无机化学工业污染物排放标准》（</w:t>
      </w:r>
      <w:r>
        <w:rPr>
          <w:kern w:val="2"/>
        </w:rPr>
        <w:t>GB31573-2015</w:t>
      </w:r>
      <w:r>
        <w:rPr>
          <w:kern w:val="2"/>
        </w:rPr>
        <w:t>）间接排放标准，同时满足园区污水处理厂纳管要求即《污水综合排放标准》（</w:t>
      </w:r>
      <w:r>
        <w:rPr>
          <w:kern w:val="2"/>
        </w:rPr>
        <w:t>GB8978-1996</w:t>
      </w:r>
      <w:r>
        <w:rPr>
          <w:kern w:val="2"/>
        </w:rPr>
        <w:t>）中三级标准限值</w:t>
      </w:r>
      <w:r>
        <w:rPr>
          <w:rFonts w:hint="eastAsia"/>
          <w:kern w:val="2"/>
        </w:rPr>
        <w:t>。</w:t>
      </w:r>
    </w:p>
    <w:p w14:paraId="20B4DAE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3</w:t>
      </w:r>
      <w:r>
        <w:rPr>
          <w:rFonts w:ascii="Times New Roman" w:hAnsi="Times New Roman"/>
        </w:rPr>
        <w:t>.4.2.3</w:t>
      </w:r>
      <w:r>
        <w:rPr>
          <w:rFonts w:ascii="Times New Roman" w:hAnsi="Times New Roman"/>
        </w:rPr>
        <w:t>噪声污染源分析</w:t>
      </w:r>
    </w:p>
    <w:p w14:paraId="553F73B0" w14:textId="77777777" w:rsidR="003E78AB" w:rsidRDefault="00010BF9">
      <w:pPr>
        <w:ind w:firstLine="480"/>
        <w:rPr>
          <w:bCs/>
        </w:rPr>
      </w:pPr>
      <w:r>
        <w:rPr>
          <w:bCs/>
        </w:rPr>
        <w:t>本项目运营期噪声主要为反应釜、各类机泵、风机等设备产生的噪声，噪声源强约为噪声级为</w:t>
      </w:r>
      <w:r>
        <w:rPr>
          <w:bCs/>
        </w:rPr>
        <w:t>75</w:t>
      </w:r>
      <w:r>
        <w:rPr>
          <w:bCs/>
        </w:rPr>
        <w:t>～</w:t>
      </w:r>
      <w:r>
        <w:rPr>
          <w:bCs/>
        </w:rPr>
        <w:t>95dB</w:t>
      </w:r>
      <w:r>
        <w:rPr>
          <w:rFonts w:hint="eastAsia"/>
          <w:bCs/>
        </w:rPr>
        <w:t>(A)</w:t>
      </w:r>
      <w:r>
        <w:rPr>
          <w:bCs/>
        </w:rPr>
        <w:t>，选用低噪声设备，采取厂房隔声、减振等措施降噪。</w:t>
      </w:r>
      <w:r>
        <w:rPr>
          <w:rFonts w:hint="eastAsia"/>
          <w:bCs/>
        </w:rPr>
        <w:t>以厂区红线西南角边界为原点坐标。</w:t>
      </w:r>
      <w:r>
        <w:rPr>
          <w:bCs/>
        </w:rPr>
        <w:t>本项目运营期主要噪声源强见</w:t>
      </w:r>
      <w:r>
        <w:rPr>
          <w:bCs/>
        </w:rPr>
        <w:fldChar w:fldCharType="begin"/>
      </w:r>
      <w:r>
        <w:rPr>
          <w:bCs/>
        </w:rPr>
        <w:instrText xml:space="preserve"> REF _Ref27409 \r \h </w:instrText>
      </w:r>
      <w:r>
        <w:rPr>
          <w:bCs/>
        </w:rPr>
      </w:r>
      <w:r>
        <w:rPr>
          <w:bCs/>
        </w:rPr>
        <w:fldChar w:fldCharType="separate"/>
      </w:r>
      <w:r>
        <w:rPr>
          <w:bCs/>
        </w:rPr>
        <w:t>表</w:t>
      </w:r>
      <w:r>
        <w:rPr>
          <w:bCs/>
        </w:rPr>
        <w:t>3-30</w:t>
      </w:r>
      <w:r>
        <w:rPr>
          <w:bCs/>
        </w:rPr>
        <w:fldChar w:fldCharType="end"/>
      </w:r>
      <w:r>
        <w:rPr>
          <w:bCs/>
        </w:rPr>
        <w:t>、</w:t>
      </w:r>
      <w:r>
        <w:rPr>
          <w:bCs/>
        </w:rPr>
        <w:fldChar w:fldCharType="begin"/>
      </w:r>
      <w:r>
        <w:rPr>
          <w:bCs/>
        </w:rPr>
        <w:instrText xml:space="preserve"> REF _Ref27455 \r \h </w:instrText>
      </w:r>
      <w:r>
        <w:rPr>
          <w:bCs/>
        </w:rPr>
      </w:r>
      <w:r>
        <w:rPr>
          <w:bCs/>
        </w:rPr>
        <w:fldChar w:fldCharType="separate"/>
      </w:r>
      <w:r>
        <w:rPr>
          <w:bCs/>
        </w:rPr>
        <w:t>表</w:t>
      </w:r>
      <w:r>
        <w:rPr>
          <w:bCs/>
        </w:rPr>
        <w:t>3-31</w:t>
      </w:r>
      <w:r>
        <w:rPr>
          <w:bCs/>
        </w:rPr>
        <w:fldChar w:fldCharType="end"/>
      </w:r>
      <w:r>
        <w:rPr>
          <w:bCs/>
        </w:rPr>
        <w:t>。</w:t>
      </w:r>
    </w:p>
    <w:p w14:paraId="7E460C9D" w14:textId="77777777" w:rsidR="003E78AB" w:rsidRDefault="00010BF9">
      <w:pPr>
        <w:pStyle w:val="a1"/>
      </w:pPr>
      <w:bookmarkStart w:id="262" w:name="_Ref27409"/>
      <w:r>
        <w:t>项目主要噪声源强调查清单（室外声源）</w:t>
      </w:r>
      <w:bookmarkEnd w:id="262"/>
    </w:p>
    <w:tbl>
      <w:tblPr>
        <w:tblW w:w="4997" w:type="pct"/>
        <w:tblLayout w:type="fixed"/>
        <w:tblLook w:val="04A0" w:firstRow="1" w:lastRow="0" w:firstColumn="1" w:lastColumn="0" w:noHBand="0" w:noVBand="1"/>
      </w:tblPr>
      <w:tblGrid>
        <w:gridCol w:w="644"/>
        <w:gridCol w:w="1433"/>
        <w:gridCol w:w="597"/>
        <w:gridCol w:w="686"/>
        <w:gridCol w:w="572"/>
        <w:gridCol w:w="1176"/>
        <w:gridCol w:w="2143"/>
        <w:gridCol w:w="1260"/>
      </w:tblGrid>
      <w:tr w:rsidR="003E78AB" w14:paraId="545ECA78" w14:textId="77777777">
        <w:trPr>
          <w:trHeight w:val="310"/>
          <w:tblHeader/>
        </w:trPr>
        <w:tc>
          <w:tcPr>
            <w:tcW w:w="3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5ECF88" w14:textId="77777777" w:rsidR="003E78AB" w:rsidRDefault="00010BF9">
            <w:pPr>
              <w:spacing w:line="240" w:lineRule="auto"/>
              <w:ind w:firstLineChars="0" w:firstLine="0"/>
              <w:jc w:val="center"/>
              <w:rPr>
                <w:b/>
                <w:bCs/>
                <w:kern w:val="2"/>
                <w:sz w:val="21"/>
                <w:szCs w:val="21"/>
              </w:rPr>
            </w:pPr>
            <w:r>
              <w:rPr>
                <w:rFonts w:hint="eastAsia"/>
                <w:b/>
                <w:bCs/>
                <w:kern w:val="2"/>
                <w:sz w:val="21"/>
                <w:szCs w:val="21"/>
              </w:rPr>
              <w:t>序号</w:t>
            </w:r>
          </w:p>
        </w:tc>
        <w:tc>
          <w:tcPr>
            <w:tcW w:w="8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4C6ED9" w14:textId="77777777" w:rsidR="003E78AB" w:rsidRDefault="00010BF9">
            <w:pPr>
              <w:spacing w:line="240" w:lineRule="auto"/>
              <w:ind w:firstLineChars="0" w:firstLine="0"/>
              <w:jc w:val="center"/>
              <w:rPr>
                <w:b/>
                <w:bCs/>
                <w:kern w:val="2"/>
                <w:sz w:val="21"/>
                <w:szCs w:val="21"/>
              </w:rPr>
            </w:pPr>
            <w:r>
              <w:rPr>
                <w:rFonts w:hint="eastAsia"/>
                <w:b/>
                <w:bCs/>
                <w:kern w:val="2"/>
                <w:sz w:val="21"/>
                <w:szCs w:val="21"/>
              </w:rPr>
              <w:t>设备名称</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453785" w14:textId="77777777" w:rsidR="003E78AB" w:rsidRDefault="00010BF9">
            <w:pPr>
              <w:spacing w:line="240" w:lineRule="auto"/>
              <w:ind w:firstLineChars="0" w:firstLine="0"/>
              <w:jc w:val="center"/>
              <w:rPr>
                <w:b/>
                <w:bCs/>
                <w:kern w:val="2"/>
                <w:sz w:val="21"/>
                <w:szCs w:val="21"/>
              </w:rPr>
            </w:pPr>
            <w:r>
              <w:rPr>
                <w:rFonts w:hint="eastAsia"/>
                <w:b/>
                <w:bCs/>
                <w:kern w:val="2"/>
                <w:sz w:val="21"/>
                <w:szCs w:val="21"/>
              </w:rPr>
              <w:t>位置坐标</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FEE77" w14:textId="77777777" w:rsidR="003E78AB" w:rsidRDefault="00010BF9">
            <w:pPr>
              <w:spacing w:line="240" w:lineRule="auto"/>
              <w:ind w:firstLineChars="0" w:firstLine="0"/>
              <w:jc w:val="center"/>
              <w:rPr>
                <w:b/>
                <w:bCs/>
                <w:kern w:val="2"/>
                <w:sz w:val="21"/>
                <w:szCs w:val="21"/>
              </w:rPr>
            </w:pPr>
            <w:r>
              <w:rPr>
                <w:rFonts w:hint="eastAsia"/>
                <w:b/>
                <w:bCs/>
                <w:kern w:val="2"/>
                <w:sz w:val="21"/>
                <w:szCs w:val="21"/>
              </w:rPr>
              <w:t>声压级</w:t>
            </w:r>
          </w:p>
        </w:tc>
        <w:tc>
          <w:tcPr>
            <w:tcW w:w="125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1C1C87" w14:textId="77777777" w:rsidR="003E78AB" w:rsidRDefault="00010BF9">
            <w:pPr>
              <w:spacing w:line="240" w:lineRule="auto"/>
              <w:ind w:firstLineChars="0" w:firstLine="0"/>
              <w:jc w:val="center"/>
              <w:rPr>
                <w:b/>
                <w:bCs/>
                <w:kern w:val="2"/>
                <w:sz w:val="21"/>
                <w:szCs w:val="21"/>
              </w:rPr>
            </w:pPr>
            <w:r>
              <w:rPr>
                <w:rFonts w:hint="eastAsia"/>
                <w:b/>
                <w:bCs/>
                <w:kern w:val="2"/>
                <w:sz w:val="21"/>
                <w:szCs w:val="21"/>
              </w:rPr>
              <w:t>声源控制措施</w:t>
            </w:r>
          </w:p>
        </w:tc>
        <w:tc>
          <w:tcPr>
            <w:tcW w:w="7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7F43F4" w14:textId="77777777" w:rsidR="003E78AB" w:rsidRDefault="00010BF9">
            <w:pPr>
              <w:spacing w:line="240" w:lineRule="auto"/>
              <w:ind w:firstLineChars="0" w:firstLine="0"/>
              <w:jc w:val="center"/>
              <w:rPr>
                <w:b/>
                <w:bCs/>
                <w:kern w:val="2"/>
                <w:sz w:val="21"/>
                <w:szCs w:val="21"/>
              </w:rPr>
            </w:pPr>
            <w:r>
              <w:rPr>
                <w:rFonts w:hint="eastAsia"/>
                <w:b/>
                <w:bCs/>
                <w:kern w:val="2"/>
                <w:sz w:val="21"/>
                <w:szCs w:val="21"/>
              </w:rPr>
              <w:t>运行时段</w:t>
            </w:r>
          </w:p>
        </w:tc>
      </w:tr>
      <w:tr w:rsidR="003E78AB" w14:paraId="41D4AEC9" w14:textId="77777777">
        <w:trPr>
          <w:trHeight w:val="540"/>
          <w:tblHeader/>
        </w:trPr>
        <w:tc>
          <w:tcPr>
            <w:tcW w:w="37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8A4DD6" w14:textId="77777777" w:rsidR="003E78AB" w:rsidRDefault="003E78AB">
            <w:pPr>
              <w:spacing w:line="240" w:lineRule="auto"/>
              <w:ind w:firstLineChars="0" w:firstLine="0"/>
              <w:jc w:val="center"/>
              <w:rPr>
                <w:kern w:val="2"/>
                <w:sz w:val="21"/>
                <w:szCs w:val="21"/>
              </w:rPr>
            </w:pPr>
          </w:p>
        </w:tc>
        <w:tc>
          <w:tcPr>
            <w:tcW w:w="8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D8E853" w14:textId="77777777" w:rsidR="003E78AB" w:rsidRDefault="003E78AB">
            <w:pPr>
              <w:spacing w:line="240" w:lineRule="auto"/>
              <w:ind w:firstLineChars="0" w:firstLine="0"/>
              <w:jc w:val="center"/>
              <w:rPr>
                <w:kern w:val="2"/>
                <w:sz w:val="21"/>
                <w:szCs w:val="21"/>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5B356" w14:textId="77777777" w:rsidR="003E78AB" w:rsidRDefault="00010BF9">
            <w:pPr>
              <w:spacing w:line="240" w:lineRule="auto"/>
              <w:ind w:firstLineChars="0" w:firstLine="0"/>
              <w:jc w:val="center"/>
              <w:rPr>
                <w:b/>
                <w:bCs/>
                <w:kern w:val="2"/>
                <w:sz w:val="21"/>
                <w:szCs w:val="21"/>
              </w:rPr>
            </w:pPr>
            <w:r>
              <w:rPr>
                <w:b/>
                <w:bCs/>
                <w:kern w:val="2"/>
                <w:sz w:val="21"/>
                <w:szCs w:val="21"/>
              </w:rPr>
              <w:t>X</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B565" w14:textId="77777777" w:rsidR="003E78AB" w:rsidRDefault="00010BF9">
            <w:pPr>
              <w:spacing w:line="240" w:lineRule="auto"/>
              <w:ind w:firstLineChars="0" w:firstLine="0"/>
              <w:jc w:val="center"/>
              <w:rPr>
                <w:b/>
                <w:bCs/>
                <w:kern w:val="2"/>
                <w:sz w:val="21"/>
                <w:szCs w:val="21"/>
              </w:rPr>
            </w:pPr>
            <w:r>
              <w:rPr>
                <w:b/>
                <w:bCs/>
                <w:kern w:val="2"/>
                <w:sz w:val="21"/>
                <w:szCs w:val="21"/>
              </w:rPr>
              <w:t>Y</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4C4A6" w14:textId="77777777" w:rsidR="003E78AB" w:rsidRDefault="00010BF9">
            <w:pPr>
              <w:spacing w:line="240" w:lineRule="auto"/>
              <w:ind w:firstLineChars="0" w:firstLine="0"/>
              <w:jc w:val="center"/>
              <w:rPr>
                <w:b/>
                <w:bCs/>
                <w:kern w:val="2"/>
                <w:sz w:val="21"/>
                <w:szCs w:val="21"/>
              </w:rPr>
            </w:pPr>
            <w:r>
              <w:rPr>
                <w:b/>
                <w:bCs/>
                <w:kern w:val="2"/>
                <w:sz w:val="21"/>
                <w:szCs w:val="21"/>
              </w:rPr>
              <w:t>Z</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8EFCB" w14:textId="77777777" w:rsidR="003E78AB" w:rsidRDefault="00010BF9">
            <w:pPr>
              <w:spacing w:line="240" w:lineRule="auto"/>
              <w:ind w:firstLineChars="0" w:firstLine="0"/>
              <w:jc w:val="center"/>
              <w:rPr>
                <w:b/>
                <w:bCs/>
                <w:kern w:val="2"/>
                <w:sz w:val="21"/>
                <w:szCs w:val="21"/>
              </w:rPr>
            </w:pPr>
            <w:r>
              <w:rPr>
                <w:b/>
                <w:bCs/>
                <w:kern w:val="2"/>
                <w:sz w:val="21"/>
                <w:szCs w:val="21"/>
              </w:rPr>
              <w:t>dB</w:t>
            </w:r>
            <w:r>
              <w:rPr>
                <w:rFonts w:hint="eastAsia"/>
                <w:b/>
                <w:bCs/>
                <w:kern w:val="2"/>
                <w:sz w:val="21"/>
                <w:szCs w:val="21"/>
              </w:rPr>
              <w:t>(A)</w:t>
            </w:r>
          </w:p>
        </w:tc>
        <w:tc>
          <w:tcPr>
            <w:tcW w:w="125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41045" w14:textId="77777777" w:rsidR="003E78AB" w:rsidRDefault="003E78AB">
            <w:pPr>
              <w:spacing w:line="240" w:lineRule="auto"/>
              <w:ind w:firstLineChars="0" w:firstLine="0"/>
              <w:jc w:val="center"/>
              <w:rPr>
                <w:kern w:val="2"/>
                <w:sz w:val="21"/>
                <w:szCs w:val="21"/>
              </w:rPr>
            </w:pPr>
          </w:p>
        </w:tc>
        <w:tc>
          <w:tcPr>
            <w:tcW w:w="7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30F286" w14:textId="77777777" w:rsidR="003E78AB" w:rsidRDefault="003E78AB">
            <w:pPr>
              <w:spacing w:line="240" w:lineRule="auto"/>
              <w:ind w:firstLineChars="0" w:firstLine="0"/>
              <w:jc w:val="center"/>
              <w:rPr>
                <w:kern w:val="2"/>
                <w:sz w:val="21"/>
                <w:szCs w:val="21"/>
              </w:rPr>
            </w:pPr>
          </w:p>
        </w:tc>
      </w:tr>
      <w:tr w:rsidR="003E78AB" w14:paraId="0A17CF8E" w14:textId="77777777">
        <w:trPr>
          <w:trHeight w:val="540"/>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22007" w14:textId="77777777" w:rsidR="003E78AB" w:rsidRDefault="00010BF9">
            <w:pPr>
              <w:spacing w:line="240" w:lineRule="auto"/>
              <w:ind w:firstLineChars="0" w:firstLine="0"/>
              <w:jc w:val="center"/>
              <w:rPr>
                <w:kern w:val="2"/>
                <w:sz w:val="21"/>
                <w:szCs w:val="21"/>
              </w:rPr>
            </w:pPr>
            <w:r>
              <w:rPr>
                <w:kern w:val="2"/>
                <w:sz w:val="21"/>
                <w:szCs w:val="21"/>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35933" w14:textId="77777777" w:rsidR="003E78AB" w:rsidRDefault="00010BF9">
            <w:pPr>
              <w:spacing w:line="240" w:lineRule="auto"/>
              <w:ind w:firstLineChars="0" w:firstLine="0"/>
              <w:jc w:val="center"/>
              <w:rPr>
                <w:kern w:val="2"/>
                <w:sz w:val="21"/>
                <w:szCs w:val="21"/>
              </w:rPr>
            </w:pPr>
            <w:r>
              <w:rPr>
                <w:rFonts w:hint="eastAsia"/>
                <w:kern w:val="2"/>
                <w:sz w:val="21"/>
                <w:szCs w:val="21"/>
              </w:rPr>
              <w:t>除尘风机</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1DD41" w14:textId="77777777" w:rsidR="003E78AB" w:rsidRDefault="00010BF9">
            <w:pPr>
              <w:spacing w:line="240" w:lineRule="auto"/>
              <w:ind w:firstLineChars="0" w:firstLine="0"/>
              <w:jc w:val="center"/>
              <w:rPr>
                <w:kern w:val="2"/>
                <w:sz w:val="21"/>
                <w:szCs w:val="21"/>
              </w:rPr>
            </w:pPr>
            <w:r>
              <w:rPr>
                <w:rFonts w:hint="eastAsia"/>
                <w:kern w:val="2"/>
                <w:sz w:val="21"/>
                <w:szCs w:val="21"/>
              </w:rPr>
              <w:t>256</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1FDBF" w14:textId="77777777" w:rsidR="003E78AB" w:rsidRDefault="00010BF9">
            <w:pPr>
              <w:spacing w:line="240" w:lineRule="auto"/>
              <w:ind w:firstLineChars="0" w:firstLine="0"/>
              <w:jc w:val="center"/>
              <w:rPr>
                <w:kern w:val="2"/>
                <w:sz w:val="21"/>
                <w:szCs w:val="21"/>
              </w:rPr>
            </w:pPr>
            <w:r>
              <w:rPr>
                <w:rFonts w:hint="eastAsia"/>
                <w:kern w:val="2"/>
                <w:sz w:val="21"/>
                <w:szCs w:val="21"/>
              </w:rPr>
              <w:t>156</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08166" w14:textId="77777777" w:rsidR="003E78AB" w:rsidRDefault="00010BF9">
            <w:pPr>
              <w:spacing w:line="240" w:lineRule="auto"/>
              <w:ind w:firstLineChars="0" w:firstLine="0"/>
              <w:jc w:val="center"/>
              <w:rPr>
                <w:kern w:val="2"/>
                <w:sz w:val="21"/>
                <w:szCs w:val="21"/>
              </w:rPr>
            </w:pPr>
            <w:r>
              <w:rPr>
                <w:kern w:val="2"/>
                <w:sz w:val="21"/>
                <w:szCs w:val="21"/>
              </w:rPr>
              <w:t>0.5</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0E6F2" w14:textId="77777777" w:rsidR="003E78AB" w:rsidRDefault="00010BF9">
            <w:pPr>
              <w:spacing w:line="240" w:lineRule="auto"/>
              <w:ind w:firstLineChars="0" w:firstLine="0"/>
              <w:jc w:val="center"/>
              <w:rPr>
                <w:kern w:val="2"/>
                <w:sz w:val="21"/>
                <w:szCs w:val="21"/>
              </w:rPr>
            </w:pPr>
            <w:r>
              <w:rPr>
                <w:kern w:val="2"/>
                <w:sz w:val="21"/>
                <w:szCs w:val="21"/>
              </w:rPr>
              <w:t>85</w:t>
            </w:r>
            <w:r>
              <w:rPr>
                <w:rFonts w:hint="eastAsia"/>
                <w:kern w:val="2"/>
                <w:sz w:val="21"/>
                <w:szCs w:val="21"/>
              </w:rPr>
              <w:t>～</w:t>
            </w:r>
            <w:r>
              <w:rPr>
                <w:kern w:val="2"/>
                <w:sz w:val="21"/>
                <w:szCs w:val="21"/>
              </w:rPr>
              <w:t>90</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890EF" w14:textId="77777777" w:rsidR="003E78AB" w:rsidRDefault="00010BF9">
            <w:pPr>
              <w:spacing w:line="240" w:lineRule="auto"/>
              <w:ind w:firstLineChars="0" w:firstLine="0"/>
              <w:jc w:val="center"/>
              <w:rPr>
                <w:kern w:val="2"/>
                <w:sz w:val="21"/>
                <w:szCs w:val="21"/>
              </w:rPr>
            </w:pPr>
            <w:r>
              <w:rPr>
                <w:rFonts w:hint="eastAsia"/>
                <w:kern w:val="2"/>
                <w:sz w:val="21"/>
                <w:szCs w:val="21"/>
              </w:rPr>
              <w:t>基础减震、消声器</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CCB15" w14:textId="77777777" w:rsidR="003E78AB" w:rsidRDefault="00010BF9">
            <w:pPr>
              <w:spacing w:line="240" w:lineRule="auto"/>
              <w:ind w:firstLineChars="0" w:firstLine="0"/>
              <w:jc w:val="center"/>
              <w:rPr>
                <w:kern w:val="2"/>
                <w:sz w:val="21"/>
                <w:szCs w:val="21"/>
              </w:rPr>
            </w:pPr>
            <w:r>
              <w:rPr>
                <w:rFonts w:hint="eastAsia"/>
                <w:kern w:val="2"/>
                <w:sz w:val="21"/>
                <w:szCs w:val="21"/>
              </w:rPr>
              <w:t>全天运行</w:t>
            </w:r>
          </w:p>
        </w:tc>
      </w:tr>
      <w:tr w:rsidR="003E78AB" w14:paraId="65B7B1A9" w14:textId="77777777">
        <w:trPr>
          <w:trHeight w:val="540"/>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235C7" w14:textId="77777777" w:rsidR="003E78AB" w:rsidRDefault="00010BF9">
            <w:pPr>
              <w:spacing w:line="240" w:lineRule="auto"/>
              <w:ind w:firstLineChars="0" w:firstLine="0"/>
              <w:jc w:val="center"/>
              <w:rPr>
                <w:kern w:val="2"/>
                <w:sz w:val="21"/>
                <w:szCs w:val="21"/>
              </w:rPr>
            </w:pPr>
            <w:r>
              <w:rPr>
                <w:kern w:val="2"/>
                <w:sz w:val="21"/>
                <w:szCs w:val="21"/>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60029" w14:textId="77777777" w:rsidR="003E78AB" w:rsidRDefault="00010BF9">
            <w:pPr>
              <w:spacing w:line="240" w:lineRule="auto"/>
              <w:ind w:firstLineChars="0" w:firstLine="0"/>
              <w:jc w:val="center"/>
              <w:rPr>
                <w:kern w:val="2"/>
                <w:sz w:val="21"/>
                <w:szCs w:val="21"/>
              </w:rPr>
            </w:pPr>
            <w:r>
              <w:rPr>
                <w:rFonts w:hint="eastAsia"/>
                <w:kern w:val="2"/>
                <w:sz w:val="21"/>
                <w:szCs w:val="21"/>
              </w:rPr>
              <w:t>除尘风机</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1222D" w14:textId="77777777" w:rsidR="003E78AB" w:rsidRDefault="00010BF9">
            <w:pPr>
              <w:spacing w:line="240" w:lineRule="auto"/>
              <w:ind w:firstLineChars="0" w:firstLine="0"/>
              <w:jc w:val="center"/>
              <w:rPr>
                <w:kern w:val="2"/>
                <w:sz w:val="21"/>
                <w:szCs w:val="21"/>
              </w:rPr>
            </w:pPr>
            <w:r>
              <w:rPr>
                <w:rFonts w:hint="eastAsia"/>
                <w:kern w:val="2"/>
                <w:sz w:val="21"/>
                <w:szCs w:val="21"/>
              </w:rPr>
              <w:t>214</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8E6CD" w14:textId="77777777" w:rsidR="003E78AB" w:rsidRDefault="00010BF9">
            <w:pPr>
              <w:spacing w:line="240" w:lineRule="auto"/>
              <w:ind w:firstLineChars="0" w:firstLine="0"/>
              <w:jc w:val="center"/>
              <w:rPr>
                <w:kern w:val="2"/>
                <w:sz w:val="21"/>
                <w:szCs w:val="21"/>
              </w:rPr>
            </w:pPr>
            <w:r>
              <w:rPr>
                <w:rFonts w:hint="eastAsia"/>
                <w:kern w:val="2"/>
                <w:sz w:val="21"/>
                <w:szCs w:val="21"/>
              </w:rPr>
              <w:t>156</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B00C5" w14:textId="77777777" w:rsidR="003E78AB" w:rsidRDefault="00010BF9">
            <w:pPr>
              <w:spacing w:line="240" w:lineRule="auto"/>
              <w:ind w:firstLineChars="0" w:firstLine="0"/>
              <w:jc w:val="center"/>
              <w:rPr>
                <w:kern w:val="2"/>
                <w:sz w:val="21"/>
                <w:szCs w:val="21"/>
              </w:rPr>
            </w:pPr>
            <w:r>
              <w:rPr>
                <w:kern w:val="2"/>
                <w:sz w:val="21"/>
                <w:szCs w:val="21"/>
              </w:rPr>
              <w:t>0.5</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9452F" w14:textId="77777777" w:rsidR="003E78AB" w:rsidRDefault="00010BF9">
            <w:pPr>
              <w:spacing w:line="240" w:lineRule="auto"/>
              <w:ind w:firstLineChars="0" w:firstLine="0"/>
              <w:jc w:val="center"/>
              <w:rPr>
                <w:kern w:val="2"/>
                <w:sz w:val="21"/>
                <w:szCs w:val="21"/>
              </w:rPr>
            </w:pPr>
            <w:r>
              <w:rPr>
                <w:kern w:val="2"/>
                <w:sz w:val="21"/>
                <w:szCs w:val="21"/>
              </w:rPr>
              <w:t>85</w:t>
            </w:r>
            <w:r>
              <w:rPr>
                <w:rFonts w:hint="eastAsia"/>
                <w:kern w:val="2"/>
                <w:sz w:val="21"/>
                <w:szCs w:val="21"/>
              </w:rPr>
              <w:t>～</w:t>
            </w:r>
            <w:r>
              <w:rPr>
                <w:kern w:val="2"/>
                <w:sz w:val="21"/>
                <w:szCs w:val="21"/>
              </w:rPr>
              <w:t>90</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FD7B7" w14:textId="77777777" w:rsidR="003E78AB" w:rsidRDefault="00010BF9">
            <w:pPr>
              <w:spacing w:line="240" w:lineRule="auto"/>
              <w:ind w:firstLineChars="0" w:firstLine="0"/>
              <w:jc w:val="center"/>
              <w:rPr>
                <w:kern w:val="2"/>
                <w:sz w:val="21"/>
                <w:szCs w:val="21"/>
              </w:rPr>
            </w:pPr>
            <w:r>
              <w:rPr>
                <w:rFonts w:hint="eastAsia"/>
                <w:kern w:val="2"/>
                <w:sz w:val="21"/>
                <w:szCs w:val="21"/>
              </w:rPr>
              <w:t>基础减震、消声器</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377CC" w14:textId="77777777" w:rsidR="003E78AB" w:rsidRDefault="00010BF9">
            <w:pPr>
              <w:spacing w:line="240" w:lineRule="auto"/>
              <w:ind w:firstLineChars="0" w:firstLine="0"/>
              <w:jc w:val="center"/>
              <w:rPr>
                <w:kern w:val="2"/>
                <w:sz w:val="21"/>
                <w:szCs w:val="21"/>
              </w:rPr>
            </w:pPr>
            <w:r>
              <w:rPr>
                <w:rFonts w:hint="eastAsia"/>
                <w:kern w:val="2"/>
                <w:sz w:val="21"/>
                <w:szCs w:val="21"/>
              </w:rPr>
              <w:t>全天运行</w:t>
            </w:r>
          </w:p>
        </w:tc>
      </w:tr>
      <w:tr w:rsidR="003E78AB" w14:paraId="6966392E" w14:textId="77777777">
        <w:trPr>
          <w:trHeight w:val="540"/>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79774" w14:textId="77777777" w:rsidR="003E78AB" w:rsidRDefault="00010BF9">
            <w:pPr>
              <w:spacing w:line="240" w:lineRule="auto"/>
              <w:ind w:firstLineChars="0" w:firstLine="0"/>
              <w:jc w:val="center"/>
              <w:rPr>
                <w:kern w:val="2"/>
                <w:sz w:val="21"/>
                <w:szCs w:val="21"/>
              </w:rPr>
            </w:pPr>
            <w:r>
              <w:rPr>
                <w:kern w:val="2"/>
                <w:sz w:val="21"/>
                <w:szCs w:val="21"/>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A2F08" w14:textId="77777777" w:rsidR="003E78AB" w:rsidRDefault="00010BF9">
            <w:pPr>
              <w:spacing w:line="360" w:lineRule="exact"/>
              <w:ind w:firstLineChars="0" w:firstLine="0"/>
              <w:jc w:val="center"/>
              <w:textAlignment w:val="center"/>
              <w:rPr>
                <w:kern w:val="2"/>
                <w:sz w:val="21"/>
                <w:szCs w:val="21"/>
              </w:rPr>
            </w:pPr>
            <w:r>
              <w:rPr>
                <w:sz w:val="21"/>
                <w:szCs w:val="21"/>
                <w:lang w:bidi="ar"/>
              </w:rPr>
              <w:t>碱洗塔循环泵</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B2358" w14:textId="77777777" w:rsidR="003E78AB" w:rsidRDefault="00010BF9">
            <w:pPr>
              <w:spacing w:line="240" w:lineRule="auto"/>
              <w:ind w:firstLineChars="0" w:firstLine="0"/>
              <w:jc w:val="center"/>
              <w:rPr>
                <w:kern w:val="2"/>
                <w:sz w:val="21"/>
                <w:szCs w:val="21"/>
              </w:rPr>
            </w:pPr>
            <w:r>
              <w:rPr>
                <w:rFonts w:hint="eastAsia"/>
                <w:kern w:val="2"/>
                <w:sz w:val="21"/>
                <w:szCs w:val="21"/>
              </w:rPr>
              <w:t>205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7ADD9" w14:textId="77777777" w:rsidR="003E78AB" w:rsidRDefault="00010BF9">
            <w:pPr>
              <w:spacing w:line="240" w:lineRule="auto"/>
              <w:ind w:firstLineChars="0" w:firstLine="0"/>
              <w:jc w:val="center"/>
              <w:rPr>
                <w:kern w:val="2"/>
                <w:sz w:val="21"/>
                <w:szCs w:val="21"/>
              </w:rPr>
            </w:pPr>
            <w:r>
              <w:rPr>
                <w:rFonts w:hint="eastAsia"/>
                <w:kern w:val="2"/>
                <w:sz w:val="21"/>
                <w:szCs w:val="21"/>
              </w:rPr>
              <w:t>144</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55798" w14:textId="77777777" w:rsidR="003E78AB" w:rsidRDefault="00010BF9">
            <w:pPr>
              <w:spacing w:line="240" w:lineRule="auto"/>
              <w:ind w:firstLineChars="0" w:firstLine="0"/>
              <w:jc w:val="center"/>
              <w:rPr>
                <w:kern w:val="2"/>
                <w:sz w:val="21"/>
                <w:szCs w:val="21"/>
              </w:rPr>
            </w:pPr>
            <w:r>
              <w:rPr>
                <w:kern w:val="2"/>
                <w:sz w:val="21"/>
                <w:szCs w:val="21"/>
              </w:rPr>
              <w:t>0.5</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E1C10" w14:textId="77777777" w:rsidR="003E78AB" w:rsidRDefault="00010BF9">
            <w:pPr>
              <w:spacing w:line="240" w:lineRule="auto"/>
              <w:ind w:firstLineChars="0" w:firstLine="0"/>
              <w:jc w:val="center"/>
              <w:rPr>
                <w:kern w:val="2"/>
                <w:sz w:val="21"/>
                <w:szCs w:val="21"/>
              </w:rPr>
            </w:pPr>
            <w:r>
              <w:rPr>
                <w:kern w:val="2"/>
                <w:sz w:val="21"/>
                <w:szCs w:val="21"/>
              </w:rPr>
              <w:t>85</w:t>
            </w:r>
            <w:r>
              <w:rPr>
                <w:rFonts w:hint="eastAsia"/>
                <w:kern w:val="2"/>
                <w:sz w:val="21"/>
                <w:szCs w:val="21"/>
              </w:rPr>
              <w:t>～</w:t>
            </w:r>
            <w:r>
              <w:rPr>
                <w:kern w:val="2"/>
                <w:sz w:val="21"/>
                <w:szCs w:val="21"/>
              </w:rPr>
              <w:t>90</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7458" w14:textId="77777777" w:rsidR="003E78AB" w:rsidRDefault="00010BF9">
            <w:pPr>
              <w:spacing w:line="240" w:lineRule="auto"/>
              <w:ind w:firstLineChars="0" w:firstLine="0"/>
              <w:jc w:val="center"/>
              <w:rPr>
                <w:kern w:val="2"/>
                <w:sz w:val="21"/>
                <w:szCs w:val="21"/>
              </w:rPr>
            </w:pPr>
            <w:r>
              <w:rPr>
                <w:rFonts w:hint="eastAsia"/>
                <w:kern w:val="2"/>
                <w:sz w:val="21"/>
                <w:szCs w:val="21"/>
              </w:rPr>
              <w:t>基础减震、消声器</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72869" w14:textId="77777777" w:rsidR="003E78AB" w:rsidRDefault="00010BF9">
            <w:pPr>
              <w:spacing w:line="240" w:lineRule="auto"/>
              <w:ind w:firstLineChars="0" w:firstLine="0"/>
              <w:jc w:val="center"/>
              <w:rPr>
                <w:kern w:val="2"/>
                <w:sz w:val="21"/>
                <w:szCs w:val="21"/>
              </w:rPr>
            </w:pPr>
            <w:r>
              <w:rPr>
                <w:rFonts w:hint="eastAsia"/>
                <w:kern w:val="2"/>
                <w:sz w:val="21"/>
                <w:szCs w:val="21"/>
              </w:rPr>
              <w:t>全天运行</w:t>
            </w:r>
          </w:p>
        </w:tc>
      </w:tr>
      <w:tr w:rsidR="003E78AB" w14:paraId="3673CD31" w14:textId="77777777">
        <w:trPr>
          <w:trHeight w:val="540"/>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C8F6D" w14:textId="77777777" w:rsidR="003E78AB" w:rsidRDefault="00010BF9">
            <w:pPr>
              <w:spacing w:line="240" w:lineRule="auto"/>
              <w:ind w:firstLineChars="0" w:firstLine="0"/>
              <w:jc w:val="center"/>
              <w:rPr>
                <w:kern w:val="2"/>
                <w:sz w:val="21"/>
                <w:szCs w:val="21"/>
              </w:rPr>
            </w:pPr>
            <w:r>
              <w:rPr>
                <w:kern w:val="2"/>
                <w:sz w:val="21"/>
                <w:szCs w:val="21"/>
              </w:rPr>
              <w:t>4</w:t>
            </w:r>
          </w:p>
        </w:tc>
        <w:tc>
          <w:tcPr>
            <w:tcW w:w="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709CA" w14:textId="77777777" w:rsidR="003E78AB" w:rsidRDefault="00010BF9">
            <w:pPr>
              <w:spacing w:line="360" w:lineRule="exact"/>
              <w:ind w:firstLineChars="0" w:firstLine="0"/>
              <w:jc w:val="center"/>
              <w:textAlignment w:val="center"/>
              <w:rPr>
                <w:kern w:val="2"/>
                <w:sz w:val="21"/>
                <w:szCs w:val="21"/>
              </w:rPr>
            </w:pPr>
            <w:r>
              <w:rPr>
                <w:sz w:val="21"/>
                <w:szCs w:val="21"/>
                <w:lang w:bidi="ar"/>
              </w:rPr>
              <w:t>水洗塔循环泵</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F3EE8" w14:textId="77777777" w:rsidR="003E78AB" w:rsidRDefault="00010BF9">
            <w:pPr>
              <w:spacing w:line="240" w:lineRule="auto"/>
              <w:ind w:firstLineChars="0" w:firstLine="0"/>
              <w:jc w:val="center"/>
              <w:rPr>
                <w:kern w:val="2"/>
                <w:sz w:val="21"/>
                <w:szCs w:val="21"/>
              </w:rPr>
            </w:pPr>
            <w:r>
              <w:rPr>
                <w:rFonts w:hint="eastAsia"/>
                <w:kern w:val="2"/>
                <w:sz w:val="21"/>
                <w:szCs w:val="21"/>
              </w:rPr>
              <w:t>205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D30C9" w14:textId="77777777" w:rsidR="003E78AB" w:rsidRDefault="00010BF9">
            <w:pPr>
              <w:spacing w:line="240" w:lineRule="auto"/>
              <w:ind w:firstLineChars="0" w:firstLine="0"/>
              <w:jc w:val="center"/>
              <w:rPr>
                <w:kern w:val="2"/>
                <w:sz w:val="21"/>
                <w:szCs w:val="21"/>
              </w:rPr>
            </w:pPr>
            <w:r>
              <w:rPr>
                <w:rFonts w:hint="eastAsia"/>
                <w:kern w:val="2"/>
                <w:sz w:val="21"/>
                <w:szCs w:val="21"/>
              </w:rPr>
              <w:t>147</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55515" w14:textId="77777777" w:rsidR="003E78AB" w:rsidRDefault="00010BF9">
            <w:pPr>
              <w:spacing w:line="240" w:lineRule="auto"/>
              <w:ind w:firstLineChars="0" w:firstLine="0"/>
              <w:jc w:val="center"/>
              <w:rPr>
                <w:kern w:val="2"/>
                <w:sz w:val="21"/>
                <w:szCs w:val="21"/>
              </w:rPr>
            </w:pPr>
            <w:r>
              <w:rPr>
                <w:kern w:val="2"/>
                <w:sz w:val="21"/>
                <w:szCs w:val="21"/>
              </w:rPr>
              <w:t>0.5</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DB3BC" w14:textId="77777777" w:rsidR="003E78AB" w:rsidRDefault="00010BF9">
            <w:pPr>
              <w:spacing w:line="240" w:lineRule="auto"/>
              <w:ind w:firstLineChars="0" w:firstLine="0"/>
              <w:jc w:val="center"/>
              <w:rPr>
                <w:kern w:val="2"/>
                <w:sz w:val="21"/>
                <w:szCs w:val="21"/>
              </w:rPr>
            </w:pPr>
            <w:r>
              <w:rPr>
                <w:kern w:val="2"/>
                <w:sz w:val="21"/>
                <w:szCs w:val="21"/>
              </w:rPr>
              <w:t>85</w:t>
            </w:r>
            <w:r>
              <w:rPr>
                <w:rFonts w:hint="eastAsia"/>
                <w:kern w:val="2"/>
                <w:sz w:val="21"/>
                <w:szCs w:val="21"/>
              </w:rPr>
              <w:t>～</w:t>
            </w:r>
            <w:r>
              <w:rPr>
                <w:kern w:val="2"/>
                <w:sz w:val="21"/>
                <w:szCs w:val="21"/>
              </w:rPr>
              <w:t>90</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51A7A" w14:textId="77777777" w:rsidR="003E78AB" w:rsidRDefault="00010BF9">
            <w:pPr>
              <w:spacing w:line="240" w:lineRule="auto"/>
              <w:ind w:firstLineChars="0" w:firstLine="0"/>
              <w:jc w:val="center"/>
              <w:rPr>
                <w:kern w:val="2"/>
                <w:sz w:val="21"/>
                <w:szCs w:val="21"/>
              </w:rPr>
            </w:pPr>
            <w:r>
              <w:rPr>
                <w:rFonts w:hint="eastAsia"/>
                <w:kern w:val="2"/>
                <w:sz w:val="21"/>
                <w:szCs w:val="21"/>
              </w:rPr>
              <w:t>基础减震、消声器</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5895E" w14:textId="77777777" w:rsidR="003E78AB" w:rsidRDefault="00010BF9">
            <w:pPr>
              <w:spacing w:line="240" w:lineRule="auto"/>
              <w:ind w:firstLineChars="0" w:firstLine="0"/>
              <w:jc w:val="center"/>
              <w:rPr>
                <w:kern w:val="2"/>
                <w:sz w:val="21"/>
                <w:szCs w:val="21"/>
              </w:rPr>
            </w:pPr>
            <w:r>
              <w:rPr>
                <w:rFonts w:hint="eastAsia"/>
                <w:kern w:val="2"/>
                <w:sz w:val="21"/>
                <w:szCs w:val="21"/>
              </w:rPr>
              <w:t>全天运行</w:t>
            </w:r>
          </w:p>
        </w:tc>
      </w:tr>
      <w:tr w:rsidR="003E78AB" w14:paraId="40C2953C" w14:textId="77777777">
        <w:trPr>
          <w:trHeight w:val="540"/>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395F6" w14:textId="77777777" w:rsidR="003E78AB" w:rsidRDefault="00010BF9">
            <w:pPr>
              <w:spacing w:line="240" w:lineRule="auto"/>
              <w:ind w:firstLineChars="0" w:firstLine="0"/>
              <w:jc w:val="center"/>
              <w:rPr>
                <w:kern w:val="2"/>
                <w:sz w:val="21"/>
                <w:szCs w:val="21"/>
              </w:rPr>
            </w:pPr>
            <w:r>
              <w:rPr>
                <w:rFonts w:hint="eastAsia"/>
                <w:kern w:val="2"/>
                <w:sz w:val="21"/>
                <w:szCs w:val="21"/>
              </w:rPr>
              <w:t>5</w:t>
            </w:r>
          </w:p>
        </w:tc>
        <w:tc>
          <w:tcPr>
            <w:tcW w:w="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CCAF2" w14:textId="77777777" w:rsidR="003E78AB" w:rsidRDefault="00010BF9">
            <w:pPr>
              <w:spacing w:line="240" w:lineRule="auto"/>
              <w:ind w:firstLineChars="0" w:firstLine="0"/>
              <w:jc w:val="center"/>
              <w:rPr>
                <w:kern w:val="2"/>
                <w:sz w:val="21"/>
                <w:szCs w:val="21"/>
              </w:rPr>
            </w:pPr>
            <w:r>
              <w:rPr>
                <w:rFonts w:hint="eastAsia"/>
                <w:kern w:val="2"/>
                <w:sz w:val="21"/>
                <w:szCs w:val="21"/>
              </w:rPr>
              <w:t>闭式冷却塔</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71D1" w14:textId="77777777" w:rsidR="003E78AB" w:rsidRDefault="00010BF9">
            <w:pPr>
              <w:spacing w:line="240" w:lineRule="auto"/>
              <w:ind w:firstLineChars="0" w:firstLine="0"/>
              <w:jc w:val="center"/>
              <w:rPr>
                <w:kern w:val="2"/>
                <w:sz w:val="21"/>
                <w:szCs w:val="21"/>
              </w:rPr>
            </w:pPr>
            <w:r>
              <w:rPr>
                <w:rFonts w:hint="eastAsia"/>
                <w:kern w:val="2"/>
                <w:sz w:val="21"/>
                <w:szCs w:val="21"/>
              </w:rPr>
              <w:t>65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538D7" w14:textId="77777777" w:rsidR="003E78AB" w:rsidRDefault="00010BF9">
            <w:pPr>
              <w:spacing w:line="240" w:lineRule="auto"/>
              <w:ind w:firstLineChars="0" w:firstLine="0"/>
              <w:jc w:val="center"/>
              <w:rPr>
                <w:kern w:val="2"/>
                <w:sz w:val="21"/>
                <w:szCs w:val="21"/>
              </w:rPr>
            </w:pPr>
            <w:r>
              <w:rPr>
                <w:rFonts w:hint="eastAsia"/>
                <w:kern w:val="2"/>
                <w:sz w:val="21"/>
                <w:szCs w:val="21"/>
              </w:rPr>
              <w:t>112</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268BE" w14:textId="77777777" w:rsidR="003E78AB" w:rsidRDefault="00010BF9">
            <w:pPr>
              <w:spacing w:line="240" w:lineRule="auto"/>
              <w:ind w:firstLineChars="0" w:firstLine="0"/>
              <w:jc w:val="center"/>
              <w:rPr>
                <w:kern w:val="2"/>
                <w:sz w:val="21"/>
                <w:szCs w:val="21"/>
              </w:rPr>
            </w:pPr>
            <w:r>
              <w:rPr>
                <w:kern w:val="2"/>
                <w:sz w:val="21"/>
                <w:szCs w:val="21"/>
              </w:rPr>
              <w:t>0.5</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93CA7" w14:textId="77777777" w:rsidR="003E78AB" w:rsidRDefault="00010BF9">
            <w:pPr>
              <w:spacing w:line="240" w:lineRule="auto"/>
              <w:ind w:firstLineChars="0" w:firstLine="0"/>
              <w:jc w:val="center"/>
              <w:rPr>
                <w:kern w:val="2"/>
                <w:sz w:val="21"/>
                <w:szCs w:val="21"/>
              </w:rPr>
            </w:pPr>
            <w:r>
              <w:rPr>
                <w:kern w:val="2"/>
                <w:sz w:val="21"/>
                <w:szCs w:val="21"/>
              </w:rPr>
              <w:t>85</w:t>
            </w:r>
            <w:r>
              <w:rPr>
                <w:rFonts w:hint="eastAsia"/>
                <w:kern w:val="2"/>
                <w:sz w:val="21"/>
                <w:szCs w:val="21"/>
              </w:rPr>
              <w:t>～</w:t>
            </w:r>
            <w:r>
              <w:rPr>
                <w:kern w:val="2"/>
                <w:sz w:val="21"/>
                <w:szCs w:val="21"/>
              </w:rPr>
              <w:t>90</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8C7A2" w14:textId="77777777" w:rsidR="003E78AB" w:rsidRDefault="00010BF9">
            <w:pPr>
              <w:spacing w:line="240" w:lineRule="auto"/>
              <w:ind w:firstLineChars="0" w:firstLine="0"/>
              <w:jc w:val="center"/>
              <w:rPr>
                <w:kern w:val="2"/>
                <w:sz w:val="21"/>
                <w:szCs w:val="21"/>
              </w:rPr>
            </w:pPr>
            <w:r>
              <w:rPr>
                <w:rFonts w:hint="eastAsia"/>
                <w:kern w:val="2"/>
                <w:sz w:val="21"/>
                <w:szCs w:val="21"/>
              </w:rPr>
              <w:t>基础减震、消声器</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F5A29" w14:textId="77777777" w:rsidR="003E78AB" w:rsidRDefault="00010BF9">
            <w:pPr>
              <w:spacing w:line="240" w:lineRule="auto"/>
              <w:ind w:firstLineChars="0" w:firstLine="0"/>
              <w:jc w:val="center"/>
              <w:rPr>
                <w:kern w:val="2"/>
                <w:sz w:val="21"/>
                <w:szCs w:val="21"/>
              </w:rPr>
            </w:pPr>
            <w:r>
              <w:rPr>
                <w:rFonts w:hint="eastAsia"/>
                <w:kern w:val="2"/>
                <w:sz w:val="21"/>
                <w:szCs w:val="21"/>
              </w:rPr>
              <w:t>全天运行</w:t>
            </w:r>
          </w:p>
        </w:tc>
      </w:tr>
    </w:tbl>
    <w:p w14:paraId="03E3FD6F" w14:textId="77777777" w:rsidR="003E78AB" w:rsidRDefault="00010BF9">
      <w:pPr>
        <w:pStyle w:val="a1"/>
      </w:pPr>
      <w:bookmarkStart w:id="263" w:name="_Ref27455"/>
      <w:r>
        <w:t>项目主要噪声源强调查清单（室内声源）</w:t>
      </w:r>
      <w:bookmarkEnd w:id="263"/>
    </w:p>
    <w:tbl>
      <w:tblPr>
        <w:tblStyle w:val="afe"/>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45"/>
        <w:gridCol w:w="1042"/>
        <w:gridCol w:w="687"/>
        <w:gridCol w:w="1171"/>
        <w:gridCol w:w="521"/>
        <w:gridCol w:w="521"/>
        <w:gridCol w:w="469"/>
        <w:gridCol w:w="637"/>
        <w:gridCol w:w="687"/>
        <w:gridCol w:w="687"/>
        <w:gridCol w:w="687"/>
        <w:gridCol w:w="555"/>
      </w:tblGrid>
      <w:tr w:rsidR="003E78AB" w14:paraId="4617BFF5" w14:textId="77777777">
        <w:trPr>
          <w:trHeight w:val="325"/>
          <w:tblHeader/>
        </w:trPr>
        <w:tc>
          <w:tcPr>
            <w:tcW w:w="235" w:type="pct"/>
            <w:vMerge w:val="restart"/>
            <w:tcBorders>
              <w:tl2br w:val="nil"/>
              <w:tr2bl w:val="nil"/>
            </w:tcBorders>
          </w:tcPr>
          <w:p w14:paraId="5C7E4E9C" w14:textId="77777777" w:rsidR="003E78AB" w:rsidRDefault="00010BF9">
            <w:pPr>
              <w:spacing w:line="240" w:lineRule="auto"/>
              <w:ind w:firstLineChars="0" w:firstLine="0"/>
              <w:jc w:val="center"/>
              <w:rPr>
                <w:b/>
                <w:bCs/>
                <w:kern w:val="2"/>
                <w:sz w:val="18"/>
                <w:szCs w:val="18"/>
              </w:rPr>
            </w:pPr>
            <w:r>
              <w:rPr>
                <w:b/>
                <w:bCs/>
                <w:kern w:val="2"/>
                <w:sz w:val="18"/>
                <w:szCs w:val="18"/>
              </w:rPr>
              <w:t>序号</w:t>
            </w:r>
          </w:p>
        </w:tc>
        <w:tc>
          <w:tcPr>
            <w:tcW w:w="293" w:type="pct"/>
            <w:vMerge w:val="restart"/>
            <w:tcBorders>
              <w:tl2br w:val="nil"/>
              <w:tr2bl w:val="nil"/>
            </w:tcBorders>
          </w:tcPr>
          <w:p w14:paraId="749A94DB" w14:textId="77777777" w:rsidR="003E78AB" w:rsidRDefault="00010BF9">
            <w:pPr>
              <w:spacing w:line="240" w:lineRule="auto"/>
              <w:ind w:firstLineChars="0" w:firstLine="0"/>
              <w:jc w:val="center"/>
              <w:rPr>
                <w:b/>
                <w:bCs/>
                <w:kern w:val="2"/>
                <w:sz w:val="18"/>
                <w:szCs w:val="18"/>
              </w:rPr>
            </w:pPr>
            <w:r>
              <w:rPr>
                <w:b/>
                <w:bCs/>
                <w:kern w:val="2"/>
                <w:sz w:val="18"/>
                <w:szCs w:val="18"/>
              </w:rPr>
              <w:t>车间名称</w:t>
            </w:r>
          </w:p>
        </w:tc>
        <w:tc>
          <w:tcPr>
            <w:tcW w:w="628" w:type="pct"/>
            <w:vMerge w:val="restart"/>
            <w:tcBorders>
              <w:tl2br w:val="nil"/>
              <w:tr2bl w:val="nil"/>
            </w:tcBorders>
          </w:tcPr>
          <w:p w14:paraId="694D7BC2" w14:textId="77777777" w:rsidR="003E78AB" w:rsidRDefault="00010BF9">
            <w:pPr>
              <w:spacing w:line="240" w:lineRule="auto"/>
              <w:ind w:firstLineChars="0" w:firstLine="0"/>
              <w:jc w:val="center"/>
              <w:rPr>
                <w:b/>
                <w:bCs/>
                <w:kern w:val="2"/>
                <w:sz w:val="18"/>
                <w:szCs w:val="18"/>
              </w:rPr>
            </w:pPr>
            <w:r>
              <w:rPr>
                <w:b/>
                <w:bCs/>
                <w:kern w:val="2"/>
                <w:sz w:val="18"/>
                <w:szCs w:val="18"/>
              </w:rPr>
              <w:t>设备名称</w:t>
            </w:r>
          </w:p>
        </w:tc>
        <w:tc>
          <w:tcPr>
            <w:tcW w:w="366" w:type="pct"/>
            <w:vMerge w:val="restart"/>
            <w:tcBorders>
              <w:tl2br w:val="nil"/>
              <w:tr2bl w:val="nil"/>
            </w:tcBorders>
          </w:tcPr>
          <w:p w14:paraId="5C91B863" w14:textId="77777777" w:rsidR="003E78AB" w:rsidRDefault="00010BF9">
            <w:pPr>
              <w:spacing w:line="240" w:lineRule="auto"/>
              <w:ind w:firstLineChars="0" w:firstLine="0"/>
              <w:jc w:val="center"/>
              <w:rPr>
                <w:b/>
                <w:bCs/>
                <w:kern w:val="2"/>
                <w:sz w:val="18"/>
                <w:szCs w:val="18"/>
              </w:rPr>
            </w:pPr>
            <w:r>
              <w:rPr>
                <w:b/>
                <w:bCs/>
                <w:kern w:val="2"/>
                <w:sz w:val="18"/>
                <w:szCs w:val="18"/>
              </w:rPr>
              <w:t>声压级</w:t>
            </w:r>
            <w:r>
              <w:rPr>
                <w:b/>
                <w:bCs/>
                <w:kern w:val="2"/>
                <w:sz w:val="18"/>
                <w:szCs w:val="18"/>
              </w:rPr>
              <w:t>dB</w:t>
            </w:r>
            <w:r>
              <w:rPr>
                <w:rFonts w:hint="eastAsia"/>
                <w:b/>
                <w:bCs/>
                <w:kern w:val="2"/>
                <w:sz w:val="18"/>
                <w:szCs w:val="18"/>
              </w:rPr>
              <w:t>(A)</w:t>
            </w:r>
          </w:p>
        </w:tc>
        <w:tc>
          <w:tcPr>
            <w:tcW w:w="704" w:type="pct"/>
            <w:vMerge w:val="restart"/>
            <w:tcBorders>
              <w:tl2br w:val="nil"/>
              <w:tr2bl w:val="nil"/>
            </w:tcBorders>
          </w:tcPr>
          <w:p w14:paraId="5D5B91EB" w14:textId="77777777" w:rsidR="003E78AB" w:rsidRDefault="00010BF9">
            <w:pPr>
              <w:spacing w:line="240" w:lineRule="auto"/>
              <w:ind w:firstLineChars="0" w:firstLine="0"/>
              <w:jc w:val="center"/>
              <w:rPr>
                <w:b/>
                <w:bCs/>
                <w:kern w:val="2"/>
                <w:sz w:val="18"/>
                <w:szCs w:val="18"/>
              </w:rPr>
            </w:pPr>
            <w:r>
              <w:rPr>
                <w:b/>
                <w:bCs/>
                <w:kern w:val="2"/>
                <w:sz w:val="18"/>
                <w:szCs w:val="18"/>
              </w:rPr>
              <w:t>声源控制措施</w:t>
            </w:r>
          </w:p>
        </w:tc>
        <w:tc>
          <w:tcPr>
            <w:tcW w:w="938" w:type="pct"/>
            <w:gridSpan w:val="3"/>
            <w:tcBorders>
              <w:tl2br w:val="nil"/>
              <w:tr2bl w:val="nil"/>
            </w:tcBorders>
          </w:tcPr>
          <w:p w14:paraId="1CF9CA0D" w14:textId="77777777" w:rsidR="003E78AB" w:rsidRDefault="00010BF9">
            <w:pPr>
              <w:spacing w:line="240" w:lineRule="auto"/>
              <w:ind w:firstLineChars="0" w:firstLine="0"/>
              <w:jc w:val="center"/>
              <w:rPr>
                <w:b/>
                <w:bCs/>
                <w:kern w:val="2"/>
                <w:sz w:val="18"/>
                <w:szCs w:val="18"/>
              </w:rPr>
            </w:pPr>
            <w:r>
              <w:rPr>
                <w:b/>
                <w:bCs/>
                <w:kern w:val="2"/>
                <w:sz w:val="18"/>
                <w:szCs w:val="18"/>
              </w:rPr>
              <w:t>位置坐标</w:t>
            </w:r>
          </w:p>
        </w:tc>
        <w:tc>
          <w:tcPr>
            <w:tcW w:w="384" w:type="pct"/>
            <w:vMerge w:val="restart"/>
            <w:tcBorders>
              <w:tl2br w:val="nil"/>
              <w:tr2bl w:val="nil"/>
            </w:tcBorders>
          </w:tcPr>
          <w:p w14:paraId="35C91ADB" w14:textId="77777777" w:rsidR="003E78AB" w:rsidRDefault="00010BF9">
            <w:pPr>
              <w:spacing w:line="240" w:lineRule="auto"/>
              <w:ind w:firstLineChars="0" w:firstLine="0"/>
              <w:jc w:val="center"/>
              <w:rPr>
                <w:b/>
                <w:bCs/>
                <w:kern w:val="2"/>
                <w:sz w:val="18"/>
                <w:szCs w:val="18"/>
              </w:rPr>
            </w:pPr>
            <w:r>
              <w:rPr>
                <w:b/>
                <w:bCs/>
                <w:kern w:val="2"/>
                <w:sz w:val="18"/>
                <w:szCs w:val="18"/>
              </w:rPr>
              <w:t>距室内边界距离（</w:t>
            </w:r>
            <w:r>
              <w:rPr>
                <w:b/>
                <w:bCs/>
                <w:kern w:val="2"/>
                <w:sz w:val="18"/>
                <w:szCs w:val="18"/>
              </w:rPr>
              <w:t>m</w:t>
            </w:r>
            <w:r>
              <w:rPr>
                <w:b/>
                <w:bCs/>
                <w:kern w:val="2"/>
                <w:sz w:val="18"/>
                <w:szCs w:val="18"/>
              </w:rPr>
              <w:t>）</w:t>
            </w:r>
          </w:p>
        </w:tc>
        <w:tc>
          <w:tcPr>
            <w:tcW w:w="366" w:type="pct"/>
            <w:vMerge w:val="restart"/>
            <w:tcBorders>
              <w:tl2br w:val="nil"/>
              <w:tr2bl w:val="nil"/>
            </w:tcBorders>
          </w:tcPr>
          <w:p w14:paraId="7F181DFE" w14:textId="77777777" w:rsidR="003E78AB" w:rsidRDefault="00010BF9">
            <w:pPr>
              <w:spacing w:line="240" w:lineRule="auto"/>
              <w:ind w:firstLineChars="0" w:firstLine="0"/>
              <w:jc w:val="center"/>
              <w:rPr>
                <w:b/>
                <w:bCs/>
                <w:kern w:val="2"/>
                <w:sz w:val="18"/>
                <w:szCs w:val="18"/>
              </w:rPr>
            </w:pPr>
            <w:r>
              <w:rPr>
                <w:b/>
                <w:bCs/>
                <w:kern w:val="2"/>
                <w:sz w:val="18"/>
                <w:szCs w:val="18"/>
              </w:rPr>
              <w:t>室内边界声级</w:t>
            </w:r>
            <w:r>
              <w:rPr>
                <w:b/>
                <w:bCs/>
                <w:kern w:val="2"/>
                <w:sz w:val="18"/>
                <w:szCs w:val="18"/>
              </w:rPr>
              <w:t>dB</w:t>
            </w:r>
            <w:r>
              <w:rPr>
                <w:rFonts w:hint="eastAsia"/>
                <w:b/>
                <w:bCs/>
                <w:kern w:val="2"/>
                <w:sz w:val="18"/>
                <w:szCs w:val="18"/>
              </w:rPr>
              <w:t>(A)</w:t>
            </w:r>
          </w:p>
        </w:tc>
        <w:tc>
          <w:tcPr>
            <w:tcW w:w="366" w:type="pct"/>
            <w:vMerge w:val="restart"/>
            <w:tcBorders>
              <w:tl2br w:val="nil"/>
              <w:tr2bl w:val="nil"/>
            </w:tcBorders>
          </w:tcPr>
          <w:p w14:paraId="5B43A2B1" w14:textId="77777777" w:rsidR="003E78AB" w:rsidRDefault="00010BF9">
            <w:pPr>
              <w:spacing w:line="240" w:lineRule="auto"/>
              <w:ind w:firstLineChars="0" w:firstLine="0"/>
              <w:jc w:val="center"/>
              <w:rPr>
                <w:b/>
                <w:bCs/>
                <w:kern w:val="2"/>
                <w:sz w:val="18"/>
                <w:szCs w:val="18"/>
              </w:rPr>
            </w:pPr>
            <w:r>
              <w:rPr>
                <w:b/>
                <w:bCs/>
                <w:kern w:val="2"/>
                <w:sz w:val="18"/>
                <w:szCs w:val="18"/>
              </w:rPr>
              <w:t>建筑物插入损失</w:t>
            </w:r>
            <w:r>
              <w:rPr>
                <w:b/>
                <w:bCs/>
                <w:kern w:val="2"/>
                <w:sz w:val="18"/>
                <w:szCs w:val="18"/>
              </w:rPr>
              <w:t>dB</w:t>
            </w:r>
            <w:r>
              <w:rPr>
                <w:rFonts w:hint="eastAsia"/>
                <w:b/>
                <w:bCs/>
                <w:kern w:val="2"/>
                <w:sz w:val="18"/>
                <w:szCs w:val="18"/>
              </w:rPr>
              <w:t>(A)</w:t>
            </w:r>
          </w:p>
        </w:tc>
        <w:tc>
          <w:tcPr>
            <w:tcW w:w="716" w:type="pct"/>
            <w:gridSpan w:val="2"/>
            <w:tcBorders>
              <w:tl2br w:val="nil"/>
              <w:tr2bl w:val="nil"/>
            </w:tcBorders>
          </w:tcPr>
          <w:p w14:paraId="4CC53F3C" w14:textId="77777777" w:rsidR="003E78AB" w:rsidRDefault="00010BF9">
            <w:pPr>
              <w:spacing w:line="240" w:lineRule="auto"/>
              <w:ind w:firstLineChars="0" w:firstLine="0"/>
              <w:jc w:val="center"/>
              <w:rPr>
                <w:b/>
                <w:bCs/>
                <w:kern w:val="2"/>
                <w:sz w:val="18"/>
                <w:szCs w:val="18"/>
              </w:rPr>
            </w:pPr>
            <w:r>
              <w:rPr>
                <w:b/>
                <w:bCs/>
                <w:kern w:val="2"/>
                <w:sz w:val="18"/>
                <w:szCs w:val="18"/>
              </w:rPr>
              <w:t>建筑物外噪声</w:t>
            </w:r>
          </w:p>
        </w:tc>
      </w:tr>
      <w:tr w:rsidR="003E78AB" w14:paraId="2194D7AA" w14:textId="77777777">
        <w:trPr>
          <w:trHeight w:val="325"/>
          <w:tblHeader/>
        </w:trPr>
        <w:tc>
          <w:tcPr>
            <w:tcW w:w="235" w:type="pct"/>
            <w:vMerge/>
            <w:tcBorders>
              <w:tl2br w:val="nil"/>
              <w:tr2bl w:val="nil"/>
            </w:tcBorders>
          </w:tcPr>
          <w:p w14:paraId="182BE7B5" w14:textId="77777777" w:rsidR="003E78AB" w:rsidRDefault="003E78AB">
            <w:pPr>
              <w:spacing w:line="240" w:lineRule="auto"/>
              <w:ind w:firstLineChars="0" w:firstLine="0"/>
              <w:jc w:val="center"/>
              <w:rPr>
                <w:b/>
                <w:bCs/>
                <w:kern w:val="2"/>
                <w:sz w:val="18"/>
                <w:szCs w:val="18"/>
              </w:rPr>
            </w:pPr>
          </w:p>
        </w:tc>
        <w:tc>
          <w:tcPr>
            <w:tcW w:w="293" w:type="pct"/>
            <w:vMerge/>
            <w:tcBorders>
              <w:tl2br w:val="nil"/>
              <w:tr2bl w:val="nil"/>
            </w:tcBorders>
          </w:tcPr>
          <w:p w14:paraId="6764CC17" w14:textId="77777777" w:rsidR="003E78AB" w:rsidRDefault="003E78AB">
            <w:pPr>
              <w:spacing w:line="240" w:lineRule="auto"/>
              <w:ind w:firstLineChars="0" w:firstLine="0"/>
              <w:jc w:val="center"/>
              <w:rPr>
                <w:b/>
                <w:bCs/>
                <w:kern w:val="2"/>
                <w:sz w:val="18"/>
                <w:szCs w:val="18"/>
              </w:rPr>
            </w:pPr>
          </w:p>
        </w:tc>
        <w:tc>
          <w:tcPr>
            <w:tcW w:w="628" w:type="pct"/>
            <w:vMerge/>
            <w:tcBorders>
              <w:tl2br w:val="nil"/>
              <w:tr2bl w:val="nil"/>
            </w:tcBorders>
          </w:tcPr>
          <w:p w14:paraId="20F6772F" w14:textId="77777777" w:rsidR="003E78AB" w:rsidRDefault="003E78AB">
            <w:pPr>
              <w:spacing w:line="240" w:lineRule="auto"/>
              <w:ind w:firstLineChars="0" w:firstLine="0"/>
              <w:jc w:val="center"/>
              <w:rPr>
                <w:b/>
                <w:bCs/>
                <w:kern w:val="2"/>
                <w:sz w:val="18"/>
                <w:szCs w:val="18"/>
              </w:rPr>
            </w:pPr>
          </w:p>
        </w:tc>
        <w:tc>
          <w:tcPr>
            <w:tcW w:w="366" w:type="pct"/>
            <w:vMerge/>
            <w:tcBorders>
              <w:tl2br w:val="nil"/>
              <w:tr2bl w:val="nil"/>
            </w:tcBorders>
          </w:tcPr>
          <w:p w14:paraId="2A46FDF9" w14:textId="77777777" w:rsidR="003E78AB" w:rsidRDefault="003E78AB">
            <w:pPr>
              <w:spacing w:line="240" w:lineRule="auto"/>
              <w:ind w:firstLineChars="0" w:firstLine="0"/>
              <w:jc w:val="center"/>
              <w:rPr>
                <w:b/>
                <w:bCs/>
                <w:kern w:val="2"/>
                <w:sz w:val="18"/>
                <w:szCs w:val="18"/>
              </w:rPr>
            </w:pPr>
          </w:p>
        </w:tc>
        <w:tc>
          <w:tcPr>
            <w:tcW w:w="704" w:type="pct"/>
            <w:vMerge/>
            <w:tcBorders>
              <w:tl2br w:val="nil"/>
              <w:tr2bl w:val="nil"/>
            </w:tcBorders>
          </w:tcPr>
          <w:p w14:paraId="008A0045" w14:textId="77777777" w:rsidR="003E78AB" w:rsidRDefault="003E78AB">
            <w:pPr>
              <w:spacing w:line="240" w:lineRule="auto"/>
              <w:ind w:firstLineChars="0" w:firstLine="0"/>
              <w:jc w:val="center"/>
              <w:rPr>
                <w:b/>
                <w:bCs/>
                <w:kern w:val="2"/>
                <w:sz w:val="18"/>
                <w:szCs w:val="18"/>
              </w:rPr>
            </w:pPr>
          </w:p>
        </w:tc>
        <w:tc>
          <w:tcPr>
            <w:tcW w:w="323" w:type="pct"/>
            <w:tcBorders>
              <w:tl2br w:val="nil"/>
              <w:tr2bl w:val="nil"/>
            </w:tcBorders>
          </w:tcPr>
          <w:p w14:paraId="4938FD21" w14:textId="77777777" w:rsidR="003E78AB" w:rsidRDefault="00010BF9">
            <w:pPr>
              <w:spacing w:line="240" w:lineRule="auto"/>
              <w:ind w:firstLineChars="0" w:firstLine="0"/>
              <w:jc w:val="center"/>
              <w:rPr>
                <w:b/>
                <w:bCs/>
                <w:kern w:val="2"/>
                <w:sz w:val="18"/>
                <w:szCs w:val="18"/>
              </w:rPr>
            </w:pPr>
            <w:r>
              <w:rPr>
                <w:b/>
                <w:bCs/>
                <w:kern w:val="2"/>
                <w:sz w:val="18"/>
                <w:szCs w:val="18"/>
              </w:rPr>
              <w:t>X</w:t>
            </w:r>
          </w:p>
        </w:tc>
        <w:tc>
          <w:tcPr>
            <w:tcW w:w="323" w:type="pct"/>
            <w:tcBorders>
              <w:tl2br w:val="nil"/>
              <w:tr2bl w:val="nil"/>
            </w:tcBorders>
          </w:tcPr>
          <w:p w14:paraId="2A53BF52" w14:textId="77777777" w:rsidR="003E78AB" w:rsidRDefault="00010BF9">
            <w:pPr>
              <w:spacing w:line="240" w:lineRule="auto"/>
              <w:ind w:firstLineChars="0" w:firstLine="0"/>
              <w:jc w:val="center"/>
              <w:rPr>
                <w:b/>
                <w:bCs/>
                <w:kern w:val="2"/>
                <w:sz w:val="18"/>
                <w:szCs w:val="18"/>
              </w:rPr>
            </w:pPr>
            <w:r>
              <w:rPr>
                <w:b/>
                <w:bCs/>
                <w:kern w:val="2"/>
                <w:sz w:val="18"/>
                <w:szCs w:val="18"/>
              </w:rPr>
              <w:t>Y</w:t>
            </w:r>
          </w:p>
        </w:tc>
        <w:tc>
          <w:tcPr>
            <w:tcW w:w="292" w:type="pct"/>
            <w:tcBorders>
              <w:tl2br w:val="nil"/>
              <w:tr2bl w:val="nil"/>
            </w:tcBorders>
          </w:tcPr>
          <w:p w14:paraId="69DF740B" w14:textId="77777777" w:rsidR="003E78AB" w:rsidRDefault="00010BF9">
            <w:pPr>
              <w:spacing w:line="240" w:lineRule="auto"/>
              <w:ind w:firstLineChars="0" w:firstLine="0"/>
              <w:jc w:val="center"/>
              <w:rPr>
                <w:b/>
                <w:bCs/>
                <w:kern w:val="2"/>
                <w:sz w:val="18"/>
                <w:szCs w:val="18"/>
              </w:rPr>
            </w:pPr>
            <w:r>
              <w:rPr>
                <w:b/>
                <w:bCs/>
                <w:kern w:val="2"/>
                <w:sz w:val="18"/>
                <w:szCs w:val="18"/>
              </w:rPr>
              <w:t>Z</w:t>
            </w:r>
          </w:p>
        </w:tc>
        <w:tc>
          <w:tcPr>
            <w:tcW w:w="384" w:type="pct"/>
            <w:vMerge/>
            <w:tcBorders>
              <w:tl2br w:val="nil"/>
              <w:tr2bl w:val="nil"/>
            </w:tcBorders>
          </w:tcPr>
          <w:p w14:paraId="3C73C03C" w14:textId="77777777" w:rsidR="003E78AB" w:rsidRDefault="003E78AB">
            <w:pPr>
              <w:spacing w:line="240" w:lineRule="auto"/>
              <w:ind w:firstLineChars="0" w:firstLine="0"/>
              <w:jc w:val="center"/>
              <w:rPr>
                <w:b/>
                <w:bCs/>
                <w:kern w:val="2"/>
                <w:sz w:val="18"/>
                <w:szCs w:val="18"/>
              </w:rPr>
            </w:pPr>
          </w:p>
        </w:tc>
        <w:tc>
          <w:tcPr>
            <w:tcW w:w="366" w:type="pct"/>
            <w:vMerge/>
            <w:tcBorders>
              <w:tl2br w:val="nil"/>
              <w:tr2bl w:val="nil"/>
            </w:tcBorders>
          </w:tcPr>
          <w:p w14:paraId="3FA28966" w14:textId="77777777" w:rsidR="003E78AB" w:rsidRDefault="003E78AB">
            <w:pPr>
              <w:spacing w:line="240" w:lineRule="auto"/>
              <w:ind w:firstLineChars="0" w:firstLine="0"/>
              <w:jc w:val="center"/>
              <w:rPr>
                <w:b/>
                <w:bCs/>
                <w:kern w:val="2"/>
                <w:sz w:val="18"/>
                <w:szCs w:val="18"/>
              </w:rPr>
            </w:pPr>
          </w:p>
        </w:tc>
        <w:tc>
          <w:tcPr>
            <w:tcW w:w="366" w:type="pct"/>
            <w:vMerge/>
            <w:tcBorders>
              <w:tl2br w:val="nil"/>
              <w:tr2bl w:val="nil"/>
            </w:tcBorders>
          </w:tcPr>
          <w:p w14:paraId="597DF275" w14:textId="77777777" w:rsidR="003E78AB" w:rsidRDefault="003E78AB">
            <w:pPr>
              <w:spacing w:line="240" w:lineRule="auto"/>
              <w:ind w:firstLineChars="0" w:firstLine="0"/>
              <w:jc w:val="center"/>
              <w:rPr>
                <w:b/>
                <w:bCs/>
                <w:kern w:val="2"/>
                <w:sz w:val="18"/>
                <w:szCs w:val="18"/>
              </w:rPr>
            </w:pPr>
          </w:p>
        </w:tc>
        <w:tc>
          <w:tcPr>
            <w:tcW w:w="366" w:type="pct"/>
            <w:tcBorders>
              <w:tl2br w:val="nil"/>
              <w:tr2bl w:val="nil"/>
            </w:tcBorders>
          </w:tcPr>
          <w:p w14:paraId="4FCB5BA1" w14:textId="77777777" w:rsidR="003E78AB" w:rsidRDefault="00010BF9">
            <w:pPr>
              <w:spacing w:line="240" w:lineRule="auto"/>
              <w:ind w:firstLineChars="0" w:firstLine="0"/>
              <w:jc w:val="center"/>
              <w:rPr>
                <w:b/>
                <w:bCs/>
                <w:kern w:val="2"/>
                <w:sz w:val="18"/>
                <w:szCs w:val="18"/>
              </w:rPr>
            </w:pPr>
            <w:r>
              <w:rPr>
                <w:b/>
                <w:bCs/>
                <w:kern w:val="2"/>
                <w:sz w:val="18"/>
                <w:szCs w:val="18"/>
              </w:rPr>
              <w:t>声压级</w:t>
            </w:r>
            <w:r>
              <w:rPr>
                <w:b/>
                <w:bCs/>
                <w:kern w:val="2"/>
                <w:sz w:val="18"/>
                <w:szCs w:val="18"/>
              </w:rPr>
              <w:t>dB</w:t>
            </w:r>
            <w:r>
              <w:rPr>
                <w:rFonts w:hint="eastAsia"/>
                <w:b/>
                <w:bCs/>
                <w:kern w:val="2"/>
                <w:sz w:val="18"/>
                <w:szCs w:val="18"/>
              </w:rPr>
              <w:t>(A)</w:t>
            </w:r>
          </w:p>
        </w:tc>
        <w:tc>
          <w:tcPr>
            <w:tcW w:w="350" w:type="pct"/>
            <w:tcBorders>
              <w:tl2br w:val="nil"/>
              <w:tr2bl w:val="nil"/>
            </w:tcBorders>
          </w:tcPr>
          <w:p w14:paraId="47870342" w14:textId="77777777" w:rsidR="003E78AB" w:rsidRDefault="00010BF9">
            <w:pPr>
              <w:spacing w:line="240" w:lineRule="auto"/>
              <w:ind w:firstLineChars="0" w:firstLine="0"/>
              <w:jc w:val="center"/>
              <w:rPr>
                <w:b/>
                <w:bCs/>
                <w:kern w:val="2"/>
                <w:sz w:val="18"/>
                <w:szCs w:val="18"/>
              </w:rPr>
            </w:pPr>
            <w:r>
              <w:rPr>
                <w:b/>
                <w:bCs/>
                <w:kern w:val="2"/>
                <w:sz w:val="18"/>
                <w:szCs w:val="18"/>
              </w:rPr>
              <w:t>建筑物外距离</w:t>
            </w:r>
          </w:p>
        </w:tc>
      </w:tr>
      <w:tr w:rsidR="003E78AB" w14:paraId="3C741860" w14:textId="77777777">
        <w:trPr>
          <w:trHeight w:val="325"/>
        </w:trPr>
        <w:tc>
          <w:tcPr>
            <w:tcW w:w="235" w:type="pct"/>
            <w:tcBorders>
              <w:tl2br w:val="nil"/>
              <w:tr2bl w:val="nil"/>
            </w:tcBorders>
          </w:tcPr>
          <w:p w14:paraId="662262AE" w14:textId="77777777" w:rsidR="003E78AB" w:rsidRDefault="00010BF9">
            <w:pPr>
              <w:spacing w:line="240" w:lineRule="auto"/>
              <w:ind w:firstLineChars="0" w:firstLine="0"/>
              <w:jc w:val="center"/>
              <w:rPr>
                <w:kern w:val="2"/>
                <w:sz w:val="18"/>
                <w:szCs w:val="18"/>
              </w:rPr>
            </w:pPr>
            <w:r>
              <w:rPr>
                <w:kern w:val="2"/>
                <w:sz w:val="18"/>
                <w:szCs w:val="18"/>
              </w:rPr>
              <w:t>1</w:t>
            </w:r>
          </w:p>
        </w:tc>
        <w:tc>
          <w:tcPr>
            <w:tcW w:w="293" w:type="pct"/>
            <w:vMerge w:val="restart"/>
            <w:tcBorders>
              <w:tl2br w:val="nil"/>
              <w:tr2bl w:val="nil"/>
            </w:tcBorders>
          </w:tcPr>
          <w:p w14:paraId="5030A9D1" w14:textId="77777777" w:rsidR="003E78AB" w:rsidRDefault="00010BF9">
            <w:pPr>
              <w:spacing w:line="240" w:lineRule="auto"/>
              <w:ind w:firstLineChars="0" w:firstLine="0"/>
              <w:jc w:val="center"/>
              <w:rPr>
                <w:kern w:val="2"/>
                <w:sz w:val="18"/>
                <w:szCs w:val="18"/>
              </w:rPr>
            </w:pPr>
            <w:r>
              <w:rPr>
                <w:rFonts w:hint="eastAsia"/>
                <w:kern w:val="2"/>
                <w:sz w:val="18"/>
                <w:szCs w:val="18"/>
              </w:rPr>
              <w:t>生产车间一</w:t>
            </w:r>
          </w:p>
        </w:tc>
        <w:tc>
          <w:tcPr>
            <w:tcW w:w="628" w:type="pct"/>
            <w:tcBorders>
              <w:tl2br w:val="nil"/>
              <w:tr2bl w:val="nil"/>
            </w:tcBorders>
          </w:tcPr>
          <w:p w14:paraId="75EF9362" w14:textId="77777777" w:rsidR="003E78AB" w:rsidRDefault="00010BF9">
            <w:pPr>
              <w:spacing w:line="240" w:lineRule="auto"/>
              <w:ind w:firstLineChars="0" w:firstLine="0"/>
              <w:jc w:val="center"/>
              <w:rPr>
                <w:kern w:val="2"/>
                <w:sz w:val="18"/>
                <w:szCs w:val="18"/>
              </w:rPr>
            </w:pPr>
            <w:r>
              <w:rPr>
                <w:kern w:val="2"/>
                <w:sz w:val="18"/>
                <w:szCs w:val="18"/>
              </w:rPr>
              <w:t>五氧化二钒拆包机</w:t>
            </w:r>
          </w:p>
        </w:tc>
        <w:tc>
          <w:tcPr>
            <w:tcW w:w="366" w:type="pct"/>
            <w:tcBorders>
              <w:tl2br w:val="nil"/>
              <w:tr2bl w:val="nil"/>
            </w:tcBorders>
          </w:tcPr>
          <w:p w14:paraId="02F61C5A" w14:textId="77777777" w:rsidR="003E78AB" w:rsidRDefault="00010BF9">
            <w:pPr>
              <w:spacing w:line="240" w:lineRule="auto"/>
              <w:ind w:firstLineChars="0" w:firstLine="0"/>
              <w:jc w:val="center"/>
              <w:rPr>
                <w:kern w:val="2"/>
                <w:sz w:val="18"/>
                <w:szCs w:val="18"/>
              </w:rPr>
            </w:pPr>
            <w:r>
              <w:rPr>
                <w:kern w:val="2"/>
                <w:sz w:val="18"/>
                <w:szCs w:val="18"/>
              </w:rPr>
              <w:t>80</w:t>
            </w:r>
            <w:r>
              <w:rPr>
                <w:kern w:val="2"/>
                <w:sz w:val="18"/>
                <w:szCs w:val="18"/>
              </w:rPr>
              <w:t>～</w:t>
            </w:r>
            <w:r>
              <w:rPr>
                <w:kern w:val="2"/>
                <w:sz w:val="18"/>
                <w:szCs w:val="18"/>
              </w:rPr>
              <w:t>85</w:t>
            </w:r>
          </w:p>
        </w:tc>
        <w:tc>
          <w:tcPr>
            <w:tcW w:w="704" w:type="pct"/>
            <w:tcBorders>
              <w:tl2br w:val="nil"/>
              <w:tr2bl w:val="nil"/>
            </w:tcBorders>
          </w:tcPr>
          <w:p w14:paraId="36AA6503"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41F20666" w14:textId="77777777" w:rsidR="003E78AB" w:rsidRDefault="00010BF9">
            <w:pPr>
              <w:spacing w:line="240" w:lineRule="auto"/>
              <w:ind w:firstLineChars="0" w:firstLine="0"/>
              <w:jc w:val="center"/>
              <w:rPr>
                <w:kern w:val="2"/>
                <w:sz w:val="18"/>
                <w:szCs w:val="18"/>
              </w:rPr>
            </w:pPr>
            <w:r>
              <w:rPr>
                <w:rFonts w:hint="eastAsia"/>
                <w:kern w:val="2"/>
                <w:sz w:val="18"/>
                <w:szCs w:val="18"/>
              </w:rPr>
              <w:t>226</w:t>
            </w:r>
          </w:p>
        </w:tc>
        <w:tc>
          <w:tcPr>
            <w:tcW w:w="323" w:type="pct"/>
            <w:tcBorders>
              <w:tl2br w:val="nil"/>
              <w:tr2bl w:val="nil"/>
            </w:tcBorders>
          </w:tcPr>
          <w:p w14:paraId="7CEC4D85" w14:textId="77777777" w:rsidR="003E78AB" w:rsidRDefault="00010BF9">
            <w:pPr>
              <w:spacing w:line="240" w:lineRule="auto"/>
              <w:ind w:firstLineChars="0" w:firstLine="0"/>
              <w:jc w:val="center"/>
              <w:rPr>
                <w:kern w:val="2"/>
                <w:sz w:val="18"/>
                <w:szCs w:val="18"/>
              </w:rPr>
            </w:pPr>
            <w:r>
              <w:rPr>
                <w:rFonts w:hint="eastAsia"/>
                <w:kern w:val="2"/>
                <w:sz w:val="18"/>
                <w:szCs w:val="18"/>
              </w:rPr>
              <w:t>148</w:t>
            </w:r>
          </w:p>
        </w:tc>
        <w:tc>
          <w:tcPr>
            <w:tcW w:w="292" w:type="pct"/>
            <w:tcBorders>
              <w:tl2br w:val="nil"/>
              <w:tr2bl w:val="nil"/>
            </w:tcBorders>
          </w:tcPr>
          <w:p w14:paraId="1066D8B0" w14:textId="77777777" w:rsidR="003E78AB" w:rsidRDefault="00010BF9">
            <w:pPr>
              <w:spacing w:line="240" w:lineRule="auto"/>
              <w:ind w:firstLineChars="0" w:firstLine="0"/>
              <w:jc w:val="center"/>
              <w:rPr>
                <w:kern w:val="2"/>
                <w:sz w:val="18"/>
                <w:szCs w:val="18"/>
              </w:rPr>
            </w:pPr>
            <w:r>
              <w:rPr>
                <w:kern w:val="2"/>
                <w:sz w:val="18"/>
                <w:szCs w:val="18"/>
              </w:rPr>
              <w:t>4.5</w:t>
            </w:r>
          </w:p>
        </w:tc>
        <w:tc>
          <w:tcPr>
            <w:tcW w:w="384" w:type="pct"/>
            <w:tcBorders>
              <w:tl2br w:val="nil"/>
              <w:tr2bl w:val="nil"/>
            </w:tcBorders>
          </w:tcPr>
          <w:p w14:paraId="549384AB" w14:textId="77777777" w:rsidR="003E78AB" w:rsidRDefault="00010BF9">
            <w:pPr>
              <w:spacing w:line="240" w:lineRule="auto"/>
              <w:ind w:firstLineChars="0" w:firstLine="0"/>
              <w:jc w:val="center"/>
              <w:rPr>
                <w:kern w:val="2"/>
                <w:sz w:val="18"/>
                <w:szCs w:val="18"/>
              </w:rPr>
            </w:pPr>
            <w:r>
              <w:rPr>
                <w:rFonts w:hint="eastAsia"/>
                <w:kern w:val="2"/>
                <w:sz w:val="18"/>
                <w:szCs w:val="18"/>
              </w:rPr>
              <w:t>7</w:t>
            </w:r>
          </w:p>
        </w:tc>
        <w:tc>
          <w:tcPr>
            <w:tcW w:w="366" w:type="pct"/>
            <w:tcBorders>
              <w:tl2br w:val="nil"/>
              <w:tr2bl w:val="nil"/>
            </w:tcBorders>
          </w:tcPr>
          <w:p w14:paraId="3A557ED2"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7CEF0AF0"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7983926B"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47950F2D"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57E3DB0A" w14:textId="77777777">
        <w:trPr>
          <w:trHeight w:val="325"/>
        </w:trPr>
        <w:tc>
          <w:tcPr>
            <w:tcW w:w="235" w:type="pct"/>
            <w:tcBorders>
              <w:tl2br w:val="nil"/>
              <w:tr2bl w:val="nil"/>
            </w:tcBorders>
          </w:tcPr>
          <w:p w14:paraId="4CD7EB59" w14:textId="77777777" w:rsidR="003E78AB" w:rsidRDefault="00010BF9">
            <w:pPr>
              <w:spacing w:line="240" w:lineRule="auto"/>
              <w:ind w:firstLineChars="0" w:firstLine="0"/>
              <w:jc w:val="center"/>
              <w:rPr>
                <w:kern w:val="2"/>
                <w:sz w:val="18"/>
                <w:szCs w:val="18"/>
              </w:rPr>
            </w:pPr>
            <w:r>
              <w:rPr>
                <w:kern w:val="2"/>
                <w:sz w:val="18"/>
                <w:szCs w:val="18"/>
              </w:rPr>
              <w:t>2</w:t>
            </w:r>
          </w:p>
        </w:tc>
        <w:tc>
          <w:tcPr>
            <w:tcW w:w="293" w:type="pct"/>
            <w:vMerge/>
            <w:tcBorders>
              <w:tl2br w:val="nil"/>
              <w:tr2bl w:val="nil"/>
            </w:tcBorders>
          </w:tcPr>
          <w:p w14:paraId="126C9252"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A361739" w14:textId="77777777" w:rsidR="003E78AB" w:rsidRDefault="00010BF9">
            <w:pPr>
              <w:spacing w:line="240" w:lineRule="auto"/>
              <w:ind w:firstLineChars="0" w:firstLine="0"/>
              <w:jc w:val="center"/>
              <w:rPr>
                <w:kern w:val="2"/>
                <w:sz w:val="18"/>
                <w:szCs w:val="18"/>
              </w:rPr>
            </w:pPr>
            <w:r>
              <w:rPr>
                <w:kern w:val="2"/>
                <w:sz w:val="18"/>
                <w:szCs w:val="18"/>
              </w:rPr>
              <w:t>草酸拆包机</w:t>
            </w:r>
          </w:p>
        </w:tc>
        <w:tc>
          <w:tcPr>
            <w:tcW w:w="366" w:type="pct"/>
            <w:tcBorders>
              <w:tl2br w:val="nil"/>
              <w:tr2bl w:val="nil"/>
            </w:tcBorders>
          </w:tcPr>
          <w:p w14:paraId="3825D1D4" w14:textId="77777777" w:rsidR="003E78AB" w:rsidRDefault="00010BF9">
            <w:pPr>
              <w:spacing w:line="240" w:lineRule="auto"/>
              <w:ind w:firstLineChars="0" w:firstLine="0"/>
              <w:jc w:val="center"/>
              <w:rPr>
                <w:kern w:val="2"/>
                <w:sz w:val="18"/>
                <w:szCs w:val="18"/>
              </w:rPr>
            </w:pPr>
            <w:r>
              <w:rPr>
                <w:kern w:val="2"/>
                <w:sz w:val="18"/>
                <w:szCs w:val="18"/>
              </w:rPr>
              <w:t>80</w:t>
            </w:r>
            <w:r>
              <w:rPr>
                <w:kern w:val="2"/>
                <w:sz w:val="18"/>
                <w:szCs w:val="18"/>
              </w:rPr>
              <w:t>～</w:t>
            </w:r>
            <w:r>
              <w:rPr>
                <w:kern w:val="2"/>
                <w:sz w:val="18"/>
                <w:szCs w:val="18"/>
              </w:rPr>
              <w:t>85</w:t>
            </w:r>
          </w:p>
        </w:tc>
        <w:tc>
          <w:tcPr>
            <w:tcW w:w="704" w:type="pct"/>
            <w:tcBorders>
              <w:tl2br w:val="nil"/>
              <w:tr2bl w:val="nil"/>
            </w:tcBorders>
          </w:tcPr>
          <w:p w14:paraId="1DEF8FFA"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0A733B1F" w14:textId="77777777" w:rsidR="003E78AB" w:rsidRDefault="00010BF9">
            <w:pPr>
              <w:spacing w:line="240" w:lineRule="auto"/>
              <w:ind w:firstLineChars="0" w:firstLine="0"/>
              <w:jc w:val="center"/>
              <w:rPr>
                <w:kern w:val="2"/>
                <w:sz w:val="18"/>
                <w:szCs w:val="18"/>
              </w:rPr>
            </w:pPr>
            <w:r>
              <w:rPr>
                <w:rFonts w:hint="eastAsia"/>
                <w:kern w:val="2"/>
                <w:sz w:val="18"/>
                <w:szCs w:val="18"/>
              </w:rPr>
              <w:t>246</w:t>
            </w:r>
          </w:p>
        </w:tc>
        <w:tc>
          <w:tcPr>
            <w:tcW w:w="323" w:type="pct"/>
            <w:tcBorders>
              <w:tl2br w:val="nil"/>
              <w:tr2bl w:val="nil"/>
            </w:tcBorders>
          </w:tcPr>
          <w:p w14:paraId="01AFCAD0" w14:textId="77777777" w:rsidR="003E78AB" w:rsidRDefault="00010BF9">
            <w:pPr>
              <w:spacing w:line="240" w:lineRule="auto"/>
              <w:ind w:firstLineChars="0" w:firstLine="0"/>
              <w:jc w:val="center"/>
              <w:rPr>
                <w:kern w:val="2"/>
                <w:sz w:val="18"/>
                <w:szCs w:val="18"/>
              </w:rPr>
            </w:pPr>
            <w:r>
              <w:rPr>
                <w:rFonts w:hint="eastAsia"/>
                <w:kern w:val="2"/>
                <w:sz w:val="18"/>
                <w:szCs w:val="18"/>
              </w:rPr>
              <w:t>148</w:t>
            </w:r>
          </w:p>
        </w:tc>
        <w:tc>
          <w:tcPr>
            <w:tcW w:w="292" w:type="pct"/>
            <w:tcBorders>
              <w:tl2br w:val="nil"/>
              <w:tr2bl w:val="nil"/>
            </w:tcBorders>
          </w:tcPr>
          <w:p w14:paraId="50044A07" w14:textId="77777777" w:rsidR="003E78AB" w:rsidRDefault="00010BF9">
            <w:pPr>
              <w:spacing w:line="240" w:lineRule="auto"/>
              <w:ind w:firstLineChars="0" w:firstLine="0"/>
              <w:jc w:val="center"/>
              <w:rPr>
                <w:kern w:val="2"/>
                <w:sz w:val="18"/>
                <w:szCs w:val="18"/>
              </w:rPr>
            </w:pPr>
            <w:r>
              <w:rPr>
                <w:kern w:val="2"/>
                <w:sz w:val="18"/>
                <w:szCs w:val="18"/>
              </w:rPr>
              <w:t>4.5</w:t>
            </w:r>
          </w:p>
        </w:tc>
        <w:tc>
          <w:tcPr>
            <w:tcW w:w="384" w:type="pct"/>
            <w:tcBorders>
              <w:tl2br w:val="nil"/>
              <w:tr2bl w:val="nil"/>
            </w:tcBorders>
          </w:tcPr>
          <w:p w14:paraId="4F98DECA" w14:textId="77777777" w:rsidR="003E78AB" w:rsidRDefault="00010BF9">
            <w:pPr>
              <w:spacing w:line="240" w:lineRule="auto"/>
              <w:ind w:firstLineChars="0" w:firstLine="0"/>
              <w:jc w:val="center"/>
              <w:rPr>
                <w:kern w:val="2"/>
                <w:sz w:val="18"/>
                <w:szCs w:val="18"/>
              </w:rPr>
            </w:pPr>
            <w:r>
              <w:rPr>
                <w:rFonts w:hint="eastAsia"/>
                <w:kern w:val="2"/>
                <w:sz w:val="18"/>
                <w:szCs w:val="18"/>
              </w:rPr>
              <w:t>7</w:t>
            </w:r>
          </w:p>
        </w:tc>
        <w:tc>
          <w:tcPr>
            <w:tcW w:w="366" w:type="pct"/>
            <w:tcBorders>
              <w:tl2br w:val="nil"/>
              <w:tr2bl w:val="nil"/>
            </w:tcBorders>
          </w:tcPr>
          <w:p w14:paraId="36A7B99C"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5B88616C"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1A0E5E94"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344F0E49"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52A9997E" w14:textId="77777777">
        <w:trPr>
          <w:trHeight w:val="325"/>
        </w:trPr>
        <w:tc>
          <w:tcPr>
            <w:tcW w:w="235" w:type="pct"/>
            <w:tcBorders>
              <w:tl2br w:val="nil"/>
              <w:tr2bl w:val="nil"/>
            </w:tcBorders>
          </w:tcPr>
          <w:p w14:paraId="5B56E446" w14:textId="77777777" w:rsidR="003E78AB" w:rsidRDefault="00010BF9">
            <w:pPr>
              <w:spacing w:line="240" w:lineRule="auto"/>
              <w:ind w:firstLineChars="0" w:firstLine="0"/>
              <w:jc w:val="center"/>
              <w:rPr>
                <w:kern w:val="2"/>
                <w:sz w:val="18"/>
                <w:szCs w:val="18"/>
              </w:rPr>
            </w:pPr>
            <w:r>
              <w:rPr>
                <w:kern w:val="2"/>
                <w:sz w:val="18"/>
                <w:szCs w:val="18"/>
              </w:rPr>
              <w:t>3</w:t>
            </w:r>
          </w:p>
        </w:tc>
        <w:tc>
          <w:tcPr>
            <w:tcW w:w="293" w:type="pct"/>
            <w:vMerge/>
            <w:tcBorders>
              <w:tl2br w:val="nil"/>
              <w:tr2bl w:val="nil"/>
            </w:tcBorders>
          </w:tcPr>
          <w:p w14:paraId="2F8042DF"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6923F00" w14:textId="77777777" w:rsidR="003E78AB" w:rsidRDefault="00010BF9">
            <w:pPr>
              <w:spacing w:line="240" w:lineRule="auto"/>
              <w:ind w:firstLineChars="0" w:firstLine="0"/>
              <w:jc w:val="center"/>
              <w:rPr>
                <w:kern w:val="2"/>
                <w:sz w:val="18"/>
                <w:szCs w:val="18"/>
              </w:rPr>
            </w:pPr>
            <w:r>
              <w:rPr>
                <w:kern w:val="2"/>
                <w:sz w:val="18"/>
                <w:szCs w:val="18"/>
              </w:rPr>
              <w:t>溶解还原釜</w:t>
            </w:r>
          </w:p>
        </w:tc>
        <w:tc>
          <w:tcPr>
            <w:tcW w:w="366" w:type="pct"/>
            <w:tcBorders>
              <w:tl2br w:val="nil"/>
              <w:tr2bl w:val="nil"/>
            </w:tcBorders>
          </w:tcPr>
          <w:p w14:paraId="1387C29D" w14:textId="77777777" w:rsidR="003E78AB" w:rsidRDefault="00010BF9">
            <w:pPr>
              <w:spacing w:line="240" w:lineRule="auto"/>
              <w:ind w:firstLineChars="0" w:firstLine="0"/>
              <w:jc w:val="center"/>
              <w:rPr>
                <w:kern w:val="2"/>
                <w:sz w:val="18"/>
                <w:szCs w:val="18"/>
              </w:rPr>
            </w:pPr>
            <w:r>
              <w:rPr>
                <w:kern w:val="2"/>
                <w:sz w:val="18"/>
                <w:szCs w:val="18"/>
              </w:rPr>
              <w:t>85</w:t>
            </w:r>
            <w:r>
              <w:rPr>
                <w:kern w:val="2"/>
                <w:sz w:val="18"/>
                <w:szCs w:val="18"/>
              </w:rPr>
              <w:t>～</w:t>
            </w:r>
            <w:r>
              <w:rPr>
                <w:kern w:val="2"/>
                <w:sz w:val="18"/>
                <w:szCs w:val="18"/>
              </w:rPr>
              <w:t>90</w:t>
            </w:r>
          </w:p>
        </w:tc>
        <w:tc>
          <w:tcPr>
            <w:tcW w:w="704" w:type="pct"/>
            <w:tcBorders>
              <w:tl2br w:val="nil"/>
              <w:tr2bl w:val="nil"/>
            </w:tcBorders>
          </w:tcPr>
          <w:p w14:paraId="5A41ABD1"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4696644" w14:textId="77777777" w:rsidR="003E78AB" w:rsidRDefault="00010BF9">
            <w:pPr>
              <w:spacing w:line="240" w:lineRule="auto"/>
              <w:ind w:firstLineChars="0" w:firstLine="0"/>
              <w:jc w:val="center"/>
              <w:rPr>
                <w:kern w:val="2"/>
                <w:sz w:val="18"/>
                <w:szCs w:val="18"/>
              </w:rPr>
            </w:pPr>
            <w:r>
              <w:rPr>
                <w:rFonts w:hint="eastAsia"/>
                <w:kern w:val="2"/>
                <w:sz w:val="18"/>
                <w:szCs w:val="18"/>
              </w:rPr>
              <w:t>227</w:t>
            </w:r>
          </w:p>
        </w:tc>
        <w:tc>
          <w:tcPr>
            <w:tcW w:w="323" w:type="pct"/>
            <w:tcBorders>
              <w:tl2br w:val="nil"/>
              <w:tr2bl w:val="nil"/>
            </w:tcBorders>
          </w:tcPr>
          <w:p w14:paraId="7A850369" w14:textId="77777777" w:rsidR="003E78AB" w:rsidRDefault="00010BF9">
            <w:pPr>
              <w:spacing w:line="240" w:lineRule="auto"/>
              <w:ind w:firstLineChars="0" w:firstLine="0"/>
              <w:jc w:val="center"/>
              <w:rPr>
                <w:kern w:val="2"/>
                <w:sz w:val="18"/>
                <w:szCs w:val="18"/>
              </w:rPr>
            </w:pPr>
            <w:r>
              <w:rPr>
                <w:rFonts w:hint="eastAsia"/>
                <w:kern w:val="2"/>
                <w:sz w:val="18"/>
                <w:szCs w:val="18"/>
              </w:rPr>
              <w:t>130</w:t>
            </w:r>
          </w:p>
        </w:tc>
        <w:tc>
          <w:tcPr>
            <w:tcW w:w="292" w:type="pct"/>
            <w:tcBorders>
              <w:tl2br w:val="nil"/>
              <w:tr2bl w:val="nil"/>
            </w:tcBorders>
          </w:tcPr>
          <w:p w14:paraId="5BE0C2A3"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5897CBD8" w14:textId="77777777" w:rsidR="003E78AB" w:rsidRDefault="00010BF9">
            <w:pPr>
              <w:spacing w:line="240" w:lineRule="auto"/>
              <w:ind w:firstLineChars="0" w:firstLine="0"/>
              <w:jc w:val="center"/>
              <w:rPr>
                <w:kern w:val="2"/>
                <w:sz w:val="18"/>
                <w:szCs w:val="18"/>
              </w:rPr>
            </w:pPr>
            <w:r>
              <w:rPr>
                <w:kern w:val="2"/>
                <w:sz w:val="18"/>
                <w:szCs w:val="18"/>
              </w:rPr>
              <w:t>6</w:t>
            </w:r>
          </w:p>
        </w:tc>
        <w:tc>
          <w:tcPr>
            <w:tcW w:w="366" w:type="pct"/>
            <w:tcBorders>
              <w:tl2br w:val="nil"/>
              <w:tr2bl w:val="nil"/>
            </w:tcBorders>
          </w:tcPr>
          <w:p w14:paraId="5273F522"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4590071F"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416E0E12"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361EB244"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0401D492" w14:textId="77777777">
        <w:trPr>
          <w:trHeight w:val="325"/>
        </w:trPr>
        <w:tc>
          <w:tcPr>
            <w:tcW w:w="235" w:type="pct"/>
            <w:tcBorders>
              <w:tl2br w:val="nil"/>
              <w:tr2bl w:val="nil"/>
            </w:tcBorders>
          </w:tcPr>
          <w:p w14:paraId="4F7258DB" w14:textId="77777777" w:rsidR="003E78AB" w:rsidRDefault="00010BF9">
            <w:pPr>
              <w:spacing w:line="240" w:lineRule="auto"/>
              <w:ind w:firstLineChars="0" w:firstLine="0"/>
              <w:jc w:val="center"/>
              <w:rPr>
                <w:kern w:val="2"/>
                <w:sz w:val="18"/>
                <w:szCs w:val="18"/>
              </w:rPr>
            </w:pPr>
            <w:r>
              <w:rPr>
                <w:kern w:val="2"/>
                <w:sz w:val="18"/>
                <w:szCs w:val="18"/>
              </w:rPr>
              <w:t>4</w:t>
            </w:r>
          </w:p>
        </w:tc>
        <w:tc>
          <w:tcPr>
            <w:tcW w:w="293" w:type="pct"/>
            <w:vMerge/>
            <w:tcBorders>
              <w:tl2br w:val="nil"/>
              <w:tr2bl w:val="nil"/>
            </w:tcBorders>
          </w:tcPr>
          <w:p w14:paraId="70C79A7A"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347E411E" w14:textId="77777777" w:rsidR="003E78AB" w:rsidRDefault="00010BF9">
            <w:pPr>
              <w:spacing w:line="240" w:lineRule="auto"/>
              <w:ind w:firstLineChars="0" w:firstLine="0"/>
              <w:jc w:val="center"/>
              <w:rPr>
                <w:kern w:val="2"/>
                <w:sz w:val="18"/>
                <w:szCs w:val="18"/>
              </w:rPr>
            </w:pPr>
            <w:r>
              <w:rPr>
                <w:kern w:val="2"/>
                <w:sz w:val="18"/>
                <w:szCs w:val="18"/>
              </w:rPr>
              <w:t>还原釜转料泵</w:t>
            </w:r>
          </w:p>
        </w:tc>
        <w:tc>
          <w:tcPr>
            <w:tcW w:w="366" w:type="pct"/>
            <w:tcBorders>
              <w:tl2br w:val="nil"/>
              <w:tr2bl w:val="nil"/>
            </w:tcBorders>
          </w:tcPr>
          <w:p w14:paraId="6A94ED0B" w14:textId="77777777" w:rsidR="003E78AB" w:rsidRDefault="00010BF9">
            <w:pPr>
              <w:spacing w:line="240" w:lineRule="auto"/>
              <w:ind w:firstLineChars="0" w:firstLine="0"/>
              <w:jc w:val="center"/>
              <w:rPr>
                <w:kern w:val="2"/>
                <w:sz w:val="18"/>
                <w:szCs w:val="18"/>
              </w:rPr>
            </w:pPr>
            <w:r>
              <w:rPr>
                <w:kern w:val="2"/>
                <w:sz w:val="18"/>
                <w:szCs w:val="18"/>
              </w:rPr>
              <w:t>85</w:t>
            </w:r>
            <w:r>
              <w:rPr>
                <w:kern w:val="2"/>
                <w:sz w:val="18"/>
                <w:szCs w:val="18"/>
              </w:rPr>
              <w:t>～</w:t>
            </w:r>
            <w:r>
              <w:rPr>
                <w:kern w:val="2"/>
                <w:sz w:val="18"/>
                <w:szCs w:val="18"/>
              </w:rPr>
              <w:t>90</w:t>
            </w:r>
          </w:p>
        </w:tc>
        <w:tc>
          <w:tcPr>
            <w:tcW w:w="704" w:type="pct"/>
            <w:tcBorders>
              <w:tl2br w:val="nil"/>
              <w:tr2bl w:val="nil"/>
            </w:tcBorders>
          </w:tcPr>
          <w:p w14:paraId="6E56B455"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0F510BF4" w14:textId="77777777" w:rsidR="003E78AB" w:rsidRDefault="00010BF9">
            <w:pPr>
              <w:spacing w:line="240" w:lineRule="auto"/>
              <w:ind w:firstLineChars="0" w:firstLine="0"/>
              <w:jc w:val="center"/>
              <w:rPr>
                <w:kern w:val="2"/>
                <w:sz w:val="18"/>
                <w:szCs w:val="18"/>
              </w:rPr>
            </w:pPr>
            <w:r>
              <w:rPr>
                <w:rFonts w:hint="eastAsia"/>
                <w:kern w:val="2"/>
                <w:sz w:val="18"/>
                <w:szCs w:val="18"/>
              </w:rPr>
              <w:t>233</w:t>
            </w:r>
          </w:p>
        </w:tc>
        <w:tc>
          <w:tcPr>
            <w:tcW w:w="323" w:type="pct"/>
            <w:tcBorders>
              <w:tl2br w:val="nil"/>
              <w:tr2bl w:val="nil"/>
            </w:tcBorders>
          </w:tcPr>
          <w:p w14:paraId="334458D9" w14:textId="77777777" w:rsidR="003E78AB" w:rsidRDefault="00010BF9">
            <w:pPr>
              <w:spacing w:line="240" w:lineRule="auto"/>
              <w:ind w:firstLineChars="0" w:firstLine="0"/>
              <w:jc w:val="center"/>
              <w:rPr>
                <w:kern w:val="2"/>
                <w:sz w:val="18"/>
                <w:szCs w:val="18"/>
              </w:rPr>
            </w:pPr>
            <w:r>
              <w:rPr>
                <w:rFonts w:hint="eastAsia"/>
                <w:kern w:val="2"/>
                <w:sz w:val="18"/>
                <w:szCs w:val="18"/>
              </w:rPr>
              <w:t>130</w:t>
            </w:r>
          </w:p>
        </w:tc>
        <w:tc>
          <w:tcPr>
            <w:tcW w:w="292" w:type="pct"/>
            <w:tcBorders>
              <w:tl2br w:val="nil"/>
              <w:tr2bl w:val="nil"/>
            </w:tcBorders>
          </w:tcPr>
          <w:p w14:paraId="60114210"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112059B9" w14:textId="77777777" w:rsidR="003E78AB" w:rsidRDefault="00010BF9">
            <w:pPr>
              <w:spacing w:line="240" w:lineRule="auto"/>
              <w:ind w:firstLineChars="0" w:firstLine="0"/>
              <w:jc w:val="center"/>
              <w:rPr>
                <w:kern w:val="2"/>
                <w:sz w:val="18"/>
                <w:szCs w:val="18"/>
              </w:rPr>
            </w:pPr>
            <w:r>
              <w:rPr>
                <w:kern w:val="2"/>
                <w:sz w:val="18"/>
                <w:szCs w:val="18"/>
              </w:rPr>
              <w:t>6</w:t>
            </w:r>
          </w:p>
        </w:tc>
        <w:tc>
          <w:tcPr>
            <w:tcW w:w="366" w:type="pct"/>
            <w:tcBorders>
              <w:tl2br w:val="nil"/>
              <w:tr2bl w:val="nil"/>
            </w:tcBorders>
          </w:tcPr>
          <w:p w14:paraId="211ED5FE"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37042533"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3513EAA6"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581DA2F7"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2ADB3978" w14:textId="77777777">
        <w:trPr>
          <w:trHeight w:val="325"/>
        </w:trPr>
        <w:tc>
          <w:tcPr>
            <w:tcW w:w="235" w:type="pct"/>
            <w:tcBorders>
              <w:tl2br w:val="nil"/>
              <w:tr2bl w:val="nil"/>
            </w:tcBorders>
          </w:tcPr>
          <w:p w14:paraId="55449BA9" w14:textId="77777777" w:rsidR="003E78AB" w:rsidRDefault="00010BF9">
            <w:pPr>
              <w:spacing w:line="240" w:lineRule="auto"/>
              <w:ind w:firstLineChars="0" w:firstLine="0"/>
              <w:jc w:val="center"/>
              <w:rPr>
                <w:kern w:val="2"/>
                <w:sz w:val="18"/>
                <w:szCs w:val="18"/>
              </w:rPr>
            </w:pPr>
            <w:r>
              <w:rPr>
                <w:kern w:val="2"/>
                <w:sz w:val="18"/>
                <w:szCs w:val="18"/>
              </w:rPr>
              <w:t>5</w:t>
            </w:r>
          </w:p>
        </w:tc>
        <w:tc>
          <w:tcPr>
            <w:tcW w:w="293" w:type="pct"/>
            <w:vMerge/>
            <w:tcBorders>
              <w:tl2br w:val="nil"/>
              <w:tr2bl w:val="nil"/>
            </w:tcBorders>
          </w:tcPr>
          <w:p w14:paraId="44148C31"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3531FEC" w14:textId="77777777" w:rsidR="003E78AB" w:rsidRDefault="00010BF9">
            <w:pPr>
              <w:spacing w:line="240" w:lineRule="auto"/>
              <w:ind w:firstLineChars="0" w:firstLine="0"/>
              <w:jc w:val="center"/>
              <w:rPr>
                <w:kern w:val="2"/>
                <w:sz w:val="18"/>
                <w:szCs w:val="18"/>
              </w:rPr>
            </w:pPr>
            <w:r>
              <w:rPr>
                <w:kern w:val="2"/>
                <w:sz w:val="18"/>
                <w:szCs w:val="18"/>
              </w:rPr>
              <w:t>电解液转料泵</w:t>
            </w:r>
          </w:p>
        </w:tc>
        <w:tc>
          <w:tcPr>
            <w:tcW w:w="366" w:type="pct"/>
            <w:tcBorders>
              <w:tl2br w:val="nil"/>
              <w:tr2bl w:val="nil"/>
            </w:tcBorders>
          </w:tcPr>
          <w:p w14:paraId="06FC7EB3"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1F9543F7"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3C5D1147" w14:textId="77777777" w:rsidR="003E78AB" w:rsidRDefault="00010BF9">
            <w:pPr>
              <w:spacing w:line="240" w:lineRule="auto"/>
              <w:ind w:firstLineChars="0" w:firstLine="0"/>
              <w:jc w:val="center"/>
              <w:rPr>
                <w:kern w:val="2"/>
                <w:sz w:val="18"/>
                <w:szCs w:val="18"/>
              </w:rPr>
            </w:pPr>
            <w:r>
              <w:rPr>
                <w:rFonts w:hint="eastAsia"/>
                <w:kern w:val="2"/>
                <w:sz w:val="18"/>
                <w:szCs w:val="18"/>
              </w:rPr>
              <w:t>237</w:t>
            </w:r>
          </w:p>
        </w:tc>
        <w:tc>
          <w:tcPr>
            <w:tcW w:w="323" w:type="pct"/>
            <w:tcBorders>
              <w:tl2br w:val="nil"/>
              <w:tr2bl w:val="nil"/>
            </w:tcBorders>
          </w:tcPr>
          <w:p w14:paraId="596CB39F" w14:textId="77777777" w:rsidR="003E78AB" w:rsidRDefault="00010BF9">
            <w:pPr>
              <w:spacing w:line="240" w:lineRule="auto"/>
              <w:ind w:firstLineChars="0" w:firstLine="0"/>
              <w:jc w:val="center"/>
              <w:rPr>
                <w:kern w:val="2"/>
                <w:sz w:val="18"/>
                <w:szCs w:val="18"/>
              </w:rPr>
            </w:pPr>
            <w:r>
              <w:rPr>
                <w:rFonts w:hint="eastAsia"/>
                <w:kern w:val="2"/>
                <w:sz w:val="18"/>
                <w:szCs w:val="18"/>
              </w:rPr>
              <w:t>124</w:t>
            </w:r>
          </w:p>
        </w:tc>
        <w:tc>
          <w:tcPr>
            <w:tcW w:w="292" w:type="pct"/>
            <w:tcBorders>
              <w:tl2br w:val="nil"/>
              <w:tr2bl w:val="nil"/>
            </w:tcBorders>
          </w:tcPr>
          <w:p w14:paraId="3A33CB01"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6FFFC2F2"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41E6B919"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4B57BF3C"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005041C2"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21F7649A"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6E47A07C" w14:textId="77777777">
        <w:trPr>
          <w:trHeight w:val="325"/>
        </w:trPr>
        <w:tc>
          <w:tcPr>
            <w:tcW w:w="235" w:type="pct"/>
            <w:tcBorders>
              <w:tl2br w:val="nil"/>
              <w:tr2bl w:val="nil"/>
            </w:tcBorders>
          </w:tcPr>
          <w:p w14:paraId="37388A6F" w14:textId="77777777" w:rsidR="003E78AB" w:rsidRDefault="00010BF9">
            <w:pPr>
              <w:spacing w:line="240" w:lineRule="auto"/>
              <w:ind w:firstLineChars="0" w:firstLine="0"/>
              <w:jc w:val="center"/>
              <w:rPr>
                <w:kern w:val="2"/>
                <w:sz w:val="18"/>
                <w:szCs w:val="18"/>
              </w:rPr>
            </w:pPr>
            <w:r>
              <w:rPr>
                <w:kern w:val="2"/>
                <w:sz w:val="18"/>
                <w:szCs w:val="18"/>
              </w:rPr>
              <w:t>6</w:t>
            </w:r>
          </w:p>
        </w:tc>
        <w:tc>
          <w:tcPr>
            <w:tcW w:w="293" w:type="pct"/>
            <w:vMerge/>
            <w:tcBorders>
              <w:tl2br w:val="nil"/>
              <w:tr2bl w:val="nil"/>
            </w:tcBorders>
          </w:tcPr>
          <w:p w14:paraId="0F239600"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33E3106" w14:textId="77777777" w:rsidR="003E78AB" w:rsidRDefault="00010BF9">
            <w:pPr>
              <w:spacing w:line="240" w:lineRule="auto"/>
              <w:ind w:firstLineChars="0" w:firstLine="0"/>
              <w:jc w:val="center"/>
              <w:rPr>
                <w:kern w:val="2"/>
                <w:sz w:val="18"/>
                <w:szCs w:val="18"/>
              </w:rPr>
            </w:pPr>
            <w:r>
              <w:rPr>
                <w:kern w:val="2"/>
                <w:sz w:val="18"/>
                <w:szCs w:val="18"/>
              </w:rPr>
              <w:t>阴极罐循环泵</w:t>
            </w:r>
          </w:p>
        </w:tc>
        <w:tc>
          <w:tcPr>
            <w:tcW w:w="366" w:type="pct"/>
            <w:tcBorders>
              <w:tl2br w:val="nil"/>
              <w:tr2bl w:val="nil"/>
            </w:tcBorders>
          </w:tcPr>
          <w:p w14:paraId="63EBA7C4"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628FFC51"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48CFA1C4" w14:textId="77777777" w:rsidR="003E78AB" w:rsidRDefault="00010BF9">
            <w:pPr>
              <w:spacing w:line="240" w:lineRule="auto"/>
              <w:ind w:firstLineChars="0" w:firstLine="0"/>
              <w:jc w:val="center"/>
              <w:rPr>
                <w:kern w:val="2"/>
                <w:sz w:val="18"/>
                <w:szCs w:val="18"/>
              </w:rPr>
            </w:pPr>
            <w:r>
              <w:rPr>
                <w:rFonts w:hint="eastAsia"/>
                <w:kern w:val="2"/>
                <w:sz w:val="18"/>
                <w:szCs w:val="18"/>
              </w:rPr>
              <w:t>237</w:t>
            </w:r>
          </w:p>
        </w:tc>
        <w:tc>
          <w:tcPr>
            <w:tcW w:w="323" w:type="pct"/>
            <w:tcBorders>
              <w:tl2br w:val="nil"/>
              <w:tr2bl w:val="nil"/>
            </w:tcBorders>
          </w:tcPr>
          <w:p w14:paraId="607DBD15" w14:textId="77777777" w:rsidR="003E78AB" w:rsidRDefault="00010BF9">
            <w:pPr>
              <w:spacing w:line="240" w:lineRule="auto"/>
              <w:ind w:firstLineChars="0" w:firstLine="0"/>
              <w:jc w:val="center"/>
              <w:rPr>
                <w:kern w:val="2"/>
                <w:sz w:val="18"/>
                <w:szCs w:val="18"/>
              </w:rPr>
            </w:pPr>
            <w:r>
              <w:rPr>
                <w:rFonts w:hint="eastAsia"/>
                <w:kern w:val="2"/>
                <w:sz w:val="18"/>
                <w:szCs w:val="18"/>
              </w:rPr>
              <w:t>110</w:t>
            </w:r>
          </w:p>
        </w:tc>
        <w:tc>
          <w:tcPr>
            <w:tcW w:w="292" w:type="pct"/>
            <w:tcBorders>
              <w:tl2br w:val="nil"/>
              <w:tr2bl w:val="nil"/>
            </w:tcBorders>
          </w:tcPr>
          <w:p w14:paraId="52CBC983"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6EFE7C3B"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33F0D4E0"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39236F84"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1F79E223"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21E5219F"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6FBF7B0F" w14:textId="77777777">
        <w:trPr>
          <w:trHeight w:val="325"/>
        </w:trPr>
        <w:tc>
          <w:tcPr>
            <w:tcW w:w="235" w:type="pct"/>
            <w:tcBorders>
              <w:tl2br w:val="nil"/>
              <w:tr2bl w:val="nil"/>
            </w:tcBorders>
          </w:tcPr>
          <w:p w14:paraId="4CE49913" w14:textId="77777777" w:rsidR="003E78AB" w:rsidRDefault="00010BF9">
            <w:pPr>
              <w:spacing w:line="240" w:lineRule="auto"/>
              <w:ind w:firstLineChars="0" w:firstLine="0"/>
              <w:jc w:val="center"/>
              <w:rPr>
                <w:kern w:val="2"/>
                <w:sz w:val="18"/>
                <w:szCs w:val="18"/>
              </w:rPr>
            </w:pPr>
            <w:r>
              <w:rPr>
                <w:kern w:val="2"/>
                <w:sz w:val="18"/>
                <w:szCs w:val="18"/>
              </w:rPr>
              <w:t>7</w:t>
            </w:r>
          </w:p>
        </w:tc>
        <w:tc>
          <w:tcPr>
            <w:tcW w:w="293" w:type="pct"/>
            <w:vMerge/>
            <w:tcBorders>
              <w:tl2br w:val="nil"/>
              <w:tr2bl w:val="nil"/>
            </w:tcBorders>
          </w:tcPr>
          <w:p w14:paraId="78D15A9F"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128E751C" w14:textId="77777777" w:rsidR="003E78AB" w:rsidRDefault="00010BF9">
            <w:pPr>
              <w:spacing w:line="240" w:lineRule="auto"/>
              <w:ind w:firstLineChars="0" w:firstLine="0"/>
              <w:jc w:val="center"/>
              <w:rPr>
                <w:kern w:val="2"/>
                <w:sz w:val="18"/>
                <w:szCs w:val="18"/>
              </w:rPr>
            </w:pPr>
            <w:r>
              <w:rPr>
                <w:kern w:val="2"/>
                <w:sz w:val="18"/>
                <w:szCs w:val="18"/>
              </w:rPr>
              <w:t>阴极罐转料泵</w:t>
            </w:r>
          </w:p>
        </w:tc>
        <w:tc>
          <w:tcPr>
            <w:tcW w:w="366" w:type="pct"/>
            <w:tcBorders>
              <w:tl2br w:val="nil"/>
              <w:tr2bl w:val="nil"/>
            </w:tcBorders>
          </w:tcPr>
          <w:p w14:paraId="7E2F63A6"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7B0EC525"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00AE27BD" w14:textId="77777777" w:rsidR="003E78AB" w:rsidRDefault="00010BF9">
            <w:pPr>
              <w:spacing w:line="240" w:lineRule="auto"/>
              <w:ind w:firstLineChars="0" w:firstLine="0"/>
              <w:jc w:val="center"/>
              <w:rPr>
                <w:kern w:val="2"/>
                <w:sz w:val="18"/>
                <w:szCs w:val="18"/>
              </w:rPr>
            </w:pPr>
            <w:r>
              <w:rPr>
                <w:rFonts w:hint="eastAsia"/>
                <w:kern w:val="2"/>
                <w:sz w:val="18"/>
                <w:szCs w:val="18"/>
              </w:rPr>
              <w:t>237</w:t>
            </w:r>
          </w:p>
        </w:tc>
        <w:tc>
          <w:tcPr>
            <w:tcW w:w="323" w:type="pct"/>
            <w:tcBorders>
              <w:tl2br w:val="nil"/>
              <w:tr2bl w:val="nil"/>
            </w:tcBorders>
          </w:tcPr>
          <w:p w14:paraId="3437248D" w14:textId="77777777" w:rsidR="003E78AB" w:rsidRDefault="00010BF9">
            <w:pPr>
              <w:spacing w:line="240" w:lineRule="auto"/>
              <w:ind w:firstLineChars="0" w:firstLine="0"/>
              <w:jc w:val="center"/>
              <w:rPr>
                <w:kern w:val="2"/>
                <w:sz w:val="18"/>
                <w:szCs w:val="18"/>
              </w:rPr>
            </w:pPr>
            <w:r>
              <w:rPr>
                <w:rFonts w:hint="eastAsia"/>
                <w:kern w:val="2"/>
                <w:sz w:val="18"/>
                <w:szCs w:val="18"/>
              </w:rPr>
              <w:t>128</w:t>
            </w:r>
          </w:p>
        </w:tc>
        <w:tc>
          <w:tcPr>
            <w:tcW w:w="292" w:type="pct"/>
            <w:tcBorders>
              <w:tl2br w:val="nil"/>
              <w:tr2bl w:val="nil"/>
            </w:tcBorders>
          </w:tcPr>
          <w:p w14:paraId="4281F31D"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0E58863A"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75222367"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39B5196F"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739D8A44"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7DCE55D3"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363DFABD" w14:textId="77777777">
        <w:trPr>
          <w:trHeight w:val="325"/>
        </w:trPr>
        <w:tc>
          <w:tcPr>
            <w:tcW w:w="235" w:type="pct"/>
            <w:tcBorders>
              <w:tl2br w:val="nil"/>
              <w:tr2bl w:val="nil"/>
            </w:tcBorders>
          </w:tcPr>
          <w:p w14:paraId="1FE0CE96" w14:textId="77777777" w:rsidR="003E78AB" w:rsidRDefault="00010BF9">
            <w:pPr>
              <w:spacing w:line="240" w:lineRule="auto"/>
              <w:ind w:firstLineChars="0" w:firstLine="0"/>
              <w:jc w:val="center"/>
              <w:rPr>
                <w:kern w:val="2"/>
                <w:sz w:val="18"/>
                <w:szCs w:val="18"/>
              </w:rPr>
            </w:pPr>
            <w:r>
              <w:rPr>
                <w:kern w:val="2"/>
                <w:sz w:val="18"/>
                <w:szCs w:val="18"/>
              </w:rPr>
              <w:t>8</w:t>
            </w:r>
          </w:p>
        </w:tc>
        <w:tc>
          <w:tcPr>
            <w:tcW w:w="293" w:type="pct"/>
            <w:vMerge/>
            <w:tcBorders>
              <w:tl2br w:val="nil"/>
              <w:tr2bl w:val="nil"/>
            </w:tcBorders>
          </w:tcPr>
          <w:p w14:paraId="0E6205C5"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1840FA9" w14:textId="77777777" w:rsidR="003E78AB" w:rsidRDefault="00010BF9">
            <w:pPr>
              <w:spacing w:line="240" w:lineRule="auto"/>
              <w:ind w:firstLineChars="0" w:firstLine="0"/>
              <w:jc w:val="center"/>
              <w:rPr>
                <w:kern w:val="2"/>
                <w:sz w:val="18"/>
                <w:szCs w:val="18"/>
              </w:rPr>
            </w:pPr>
            <w:r>
              <w:rPr>
                <w:kern w:val="2"/>
                <w:sz w:val="18"/>
                <w:szCs w:val="18"/>
              </w:rPr>
              <w:t>阳极罐循环泵</w:t>
            </w:r>
          </w:p>
        </w:tc>
        <w:tc>
          <w:tcPr>
            <w:tcW w:w="366" w:type="pct"/>
            <w:tcBorders>
              <w:tl2br w:val="nil"/>
              <w:tr2bl w:val="nil"/>
            </w:tcBorders>
          </w:tcPr>
          <w:p w14:paraId="2259AFF8"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65C0944F"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8068506" w14:textId="77777777" w:rsidR="003E78AB" w:rsidRDefault="00010BF9">
            <w:pPr>
              <w:spacing w:line="240" w:lineRule="auto"/>
              <w:ind w:firstLineChars="0" w:firstLine="0"/>
              <w:jc w:val="center"/>
              <w:rPr>
                <w:kern w:val="2"/>
                <w:sz w:val="18"/>
                <w:szCs w:val="18"/>
              </w:rPr>
            </w:pPr>
            <w:r>
              <w:rPr>
                <w:rFonts w:hint="eastAsia"/>
                <w:kern w:val="2"/>
                <w:sz w:val="18"/>
                <w:szCs w:val="18"/>
              </w:rPr>
              <w:t>237</w:t>
            </w:r>
          </w:p>
        </w:tc>
        <w:tc>
          <w:tcPr>
            <w:tcW w:w="323" w:type="pct"/>
            <w:tcBorders>
              <w:tl2br w:val="nil"/>
              <w:tr2bl w:val="nil"/>
            </w:tcBorders>
          </w:tcPr>
          <w:p w14:paraId="1D2A075B" w14:textId="77777777" w:rsidR="003E78AB" w:rsidRDefault="00010BF9">
            <w:pPr>
              <w:spacing w:line="240" w:lineRule="auto"/>
              <w:ind w:firstLineChars="0" w:firstLine="0"/>
              <w:jc w:val="center"/>
              <w:rPr>
                <w:kern w:val="2"/>
                <w:sz w:val="18"/>
                <w:szCs w:val="18"/>
              </w:rPr>
            </w:pPr>
            <w:r>
              <w:rPr>
                <w:rFonts w:hint="eastAsia"/>
                <w:kern w:val="2"/>
                <w:sz w:val="18"/>
                <w:szCs w:val="18"/>
              </w:rPr>
              <w:t>115</w:t>
            </w:r>
          </w:p>
        </w:tc>
        <w:tc>
          <w:tcPr>
            <w:tcW w:w="292" w:type="pct"/>
            <w:tcBorders>
              <w:tl2br w:val="nil"/>
              <w:tr2bl w:val="nil"/>
            </w:tcBorders>
          </w:tcPr>
          <w:p w14:paraId="7068EF2B"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04AC3EE8"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5EF60E8A"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2098B02F"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1CABABB5"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00E6EDD0"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348201FD" w14:textId="77777777">
        <w:trPr>
          <w:trHeight w:val="325"/>
        </w:trPr>
        <w:tc>
          <w:tcPr>
            <w:tcW w:w="235" w:type="pct"/>
            <w:tcBorders>
              <w:tl2br w:val="nil"/>
              <w:tr2bl w:val="nil"/>
            </w:tcBorders>
          </w:tcPr>
          <w:p w14:paraId="02C8E4A7" w14:textId="77777777" w:rsidR="003E78AB" w:rsidRDefault="00010BF9">
            <w:pPr>
              <w:spacing w:line="240" w:lineRule="auto"/>
              <w:ind w:firstLineChars="0" w:firstLine="0"/>
              <w:jc w:val="center"/>
              <w:rPr>
                <w:kern w:val="2"/>
                <w:sz w:val="18"/>
                <w:szCs w:val="18"/>
              </w:rPr>
            </w:pPr>
            <w:r>
              <w:rPr>
                <w:kern w:val="2"/>
                <w:sz w:val="18"/>
                <w:szCs w:val="18"/>
              </w:rPr>
              <w:t>9</w:t>
            </w:r>
          </w:p>
        </w:tc>
        <w:tc>
          <w:tcPr>
            <w:tcW w:w="293" w:type="pct"/>
            <w:vMerge/>
            <w:tcBorders>
              <w:tl2br w:val="nil"/>
              <w:tr2bl w:val="nil"/>
            </w:tcBorders>
          </w:tcPr>
          <w:p w14:paraId="6FF89E40"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2FDBF750" w14:textId="77777777" w:rsidR="003E78AB" w:rsidRDefault="00010BF9">
            <w:pPr>
              <w:spacing w:line="240" w:lineRule="auto"/>
              <w:ind w:firstLineChars="0" w:firstLine="0"/>
              <w:jc w:val="center"/>
              <w:rPr>
                <w:kern w:val="2"/>
                <w:sz w:val="18"/>
                <w:szCs w:val="18"/>
              </w:rPr>
            </w:pPr>
            <w:r>
              <w:rPr>
                <w:kern w:val="2"/>
                <w:sz w:val="18"/>
                <w:szCs w:val="18"/>
              </w:rPr>
              <w:t>定容釜</w:t>
            </w:r>
          </w:p>
        </w:tc>
        <w:tc>
          <w:tcPr>
            <w:tcW w:w="366" w:type="pct"/>
            <w:tcBorders>
              <w:tl2br w:val="nil"/>
              <w:tr2bl w:val="nil"/>
            </w:tcBorders>
          </w:tcPr>
          <w:p w14:paraId="24AB7E6C"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621DBE36"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A171AAD" w14:textId="77777777" w:rsidR="003E78AB" w:rsidRDefault="00010BF9">
            <w:pPr>
              <w:spacing w:line="240" w:lineRule="auto"/>
              <w:ind w:firstLineChars="0" w:firstLine="0"/>
              <w:jc w:val="center"/>
              <w:rPr>
                <w:kern w:val="2"/>
                <w:sz w:val="18"/>
                <w:szCs w:val="18"/>
              </w:rPr>
            </w:pPr>
            <w:r>
              <w:rPr>
                <w:rFonts w:hint="eastAsia"/>
                <w:kern w:val="2"/>
                <w:sz w:val="18"/>
                <w:szCs w:val="18"/>
              </w:rPr>
              <w:t>233</w:t>
            </w:r>
          </w:p>
        </w:tc>
        <w:tc>
          <w:tcPr>
            <w:tcW w:w="323" w:type="pct"/>
            <w:tcBorders>
              <w:tl2br w:val="nil"/>
              <w:tr2bl w:val="nil"/>
            </w:tcBorders>
          </w:tcPr>
          <w:p w14:paraId="53671864" w14:textId="77777777" w:rsidR="003E78AB" w:rsidRDefault="00010BF9">
            <w:pPr>
              <w:spacing w:line="240" w:lineRule="auto"/>
              <w:ind w:firstLineChars="0" w:firstLine="0"/>
              <w:jc w:val="center"/>
              <w:rPr>
                <w:kern w:val="2"/>
                <w:sz w:val="18"/>
                <w:szCs w:val="18"/>
              </w:rPr>
            </w:pPr>
            <w:r>
              <w:rPr>
                <w:rFonts w:hint="eastAsia"/>
                <w:kern w:val="2"/>
                <w:sz w:val="18"/>
                <w:szCs w:val="18"/>
              </w:rPr>
              <w:t>126</w:t>
            </w:r>
          </w:p>
        </w:tc>
        <w:tc>
          <w:tcPr>
            <w:tcW w:w="292" w:type="pct"/>
            <w:tcBorders>
              <w:tl2br w:val="nil"/>
              <w:tr2bl w:val="nil"/>
            </w:tcBorders>
          </w:tcPr>
          <w:p w14:paraId="351FA15A"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197DB830"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070FCFA6"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049DCE5A"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35020B44"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2A770EDD"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78178599" w14:textId="77777777">
        <w:trPr>
          <w:trHeight w:val="325"/>
        </w:trPr>
        <w:tc>
          <w:tcPr>
            <w:tcW w:w="235" w:type="pct"/>
            <w:tcBorders>
              <w:tl2br w:val="nil"/>
              <w:tr2bl w:val="nil"/>
            </w:tcBorders>
          </w:tcPr>
          <w:p w14:paraId="7A93083F" w14:textId="77777777" w:rsidR="003E78AB" w:rsidRDefault="00010BF9">
            <w:pPr>
              <w:spacing w:line="240" w:lineRule="auto"/>
              <w:ind w:firstLineChars="0" w:firstLine="0"/>
              <w:jc w:val="center"/>
              <w:rPr>
                <w:kern w:val="2"/>
                <w:sz w:val="18"/>
                <w:szCs w:val="18"/>
              </w:rPr>
            </w:pPr>
            <w:r>
              <w:rPr>
                <w:kern w:val="2"/>
                <w:sz w:val="18"/>
                <w:szCs w:val="18"/>
              </w:rPr>
              <w:t>10</w:t>
            </w:r>
          </w:p>
        </w:tc>
        <w:tc>
          <w:tcPr>
            <w:tcW w:w="293" w:type="pct"/>
            <w:vMerge/>
            <w:tcBorders>
              <w:tl2br w:val="nil"/>
              <w:tr2bl w:val="nil"/>
            </w:tcBorders>
          </w:tcPr>
          <w:p w14:paraId="75B041B5"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05D5C175" w14:textId="77777777" w:rsidR="003E78AB" w:rsidRDefault="00010BF9">
            <w:pPr>
              <w:spacing w:line="240" w:lineRule="auto"/>
              <w:ind w:firstLineChars="0" w:firstLine="0"/>
              <w:jc w:val="center"/>
              <w:rPr>
                <w:kern w:val="2"/>
                <w:sz w:val="18"/>
                <w:szCs w:val="18"/>
              </w:rPr>
            </w:pPr>
            <w:r>
              <w:rPr>
                <w:kern w:val="2"/>
                <w:sz w:val="18"/>
                <w:szCs w:val="18"/>
              </w:rPr>
              <w:t>定容釜转料泵</w:t>
            </w:r>
          </w:p>
        </w:tc>
        <w:tc>
          <w:tcPr>
            <w:tcW w:w="366" w:type="pct"/>
            <w:tcBorders>
              <w:tl2br w:val="nil"/>
              <w:tr2bl w:val="nil"/>
            </w:tcBorders>
          </w:tcPr>
          <w:p w14:paraId="746B4CFD"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53757B8C"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5D118A97" w14:textId="77777777" w:rsidR="003E78AB" w:rsidRDefault="00010BF9">
            <w:pPr>
              <w:spacing w:line="240" w:lineRule="auto"/>
              <w:ind w:firstLineChars="0" w:firstLine="0"/>
              <w:jc w:val="center"/>
              <w:rPr>
                <w:kern w:val="2"/>
                <w:sz w:val="18"/>
                <w:szCs w:val="18"/>
              </w:rPr>
            </w:pPr>
            <w:r>
              <w:rPr>
                <w:rFonts w:hint="eastAsia"/>
                <w:kern w:val="2"/>
                <w:sz w:val="18"/>
                <w:szCs w:val="18"/>
              </w:rPr>
              <w:t>234</w:t>
            </w:r>
          </w:p>
        </w:tc>
        <w:tc>
          <w:tcPr>
            <w:tcW w:w="323" w:type="pct"/>
            <w:tcBorders>
              <w:tl2br w:val="nil"/>
              <w:tr2bl w:val="nil"/>
            </w:tcBorders>
          </w:tcPr>
          <w:p w14:paraId="04FEAFCE" w14:textId="77777777" w:rsidR="003E78AB" w:rsidRDefault="00010BF9">
            <w:pPr>
              <w:spacing w:line="240" w:lineRule="auto"/>
              <w:ind w:firstLineChars="0" w:firstLine="0"/>
              <w:jc w:val="center"/>
              <w:rPr>
                <w:kern w:val="2"/>
                <w:sz w:val="18"/>
                <w:szCs w:val="18"/>
              </w:rPr>
            </w:pPr>
            <w:r>
              <w:rPr>
                <w:rFonts w:hint="eastAsia"/>
                <w:kern w:val="2"/>
                <w:sz w:val="18"/>
                <w:szCs w:val="18"/>
              </w:rPr>
              <w:t>126</w:t>
            </w:r>
          </w:p>
        </w:tc>
        <w:tc>
          <w:tcPr>
            <w:tcW w:w="292" w:type="pct"/>
            <w:tcBorders>
              <w:tl2br w:val="nil"/>
              <w:tr2bl w:val="nil"/>
            </w:tcBorders>
          </w:tcPr>
          <w:p w14:paraId="39AB295C"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765E78BF"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214B3EC9"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5EB4612F"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490142CE"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506CC6E8"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21F5039E" w14:textId="77777777">
        <w:trPr>
          <w:trHeight w:val="325"/>
        </w:trPr>
        <w:tc>
          <w:tcPr>
            <w:tcW w:w="235" w:type="pct"/>
            <w:tcBorders>
              <w:tl2br w:val="nil"/>
              <w:tr2bl w:val="nil"/>
            </w:tcBorders>
          </w:tcPr>
          <w:p w14:paraId="396D3E30" w14:textId="77777777" w:rsidR="003E78AB" w:rsidRDefault="00010BF9">
            <w:pPr>
              <w:spacing w:line="240" w:lineRule="auto"/>
              <w:ind w:firstLineChars="0" w:firstLine="0"/>
              <w:jc w:val="center"/>
              <w:rPr>
                <w:kern w:val="2"/>
                <w:sz w:val="18"/>
                <w:szCs w:val="18"/>
              </w:rPr>
            </w:pPr>
            <w:r>
              <w:rPr>
                <w:kern w:val="2"/>
                <w:sz w:val="18"/>
                <w:szCs w:val="18"/>
              </w:rPr>
              <w:t>11</w:t>
            </w:r>
          </w:p>
        </w:tc>
        <w:tc>
          <w:tcPr>
            <w:tcW w:w="293" w:type="pct"/>
            <w:vMerge/>
            <w:tcBorders>
              <w:tl2br w:val="nil"/>
              <w:tr2bl w:val="nil"/>
            </w:tcBorders>
          </w:tcPr>
          <w:p w14:paraId="2EF777CD"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6BBCE6F" w14:textId="77777777" w:rsidR="003E78AB" w:rsidRDefault="00010BF9">
            <w:pPr>
              <w:spacing w:line="240" w:lineRule="auto"/>
              <w:ind w:firstLineChars="0" w:firstLine="0"/>
              <w:jc w:val="center"/>
              <w:rPr>
                <w:kern w:val="2"/>
                <w:sz w:val="18"/>
                <w:szCs w:val="18"/>
              </w:rPr>
            </w:pPr>
            <w:r>
              <w:rPr>
                <w:kern w:val="2"/>
                <w:sz w:val="18"/>
                <w:szCs w:val="18"/>
              </w:rPr>
              <w:t>水环真空泵组</w:t>
            </w:r>
          </w:p>
        </w:tc>
        <w:tc>
          <w:tcPr>
            <w:tcW w:w="366" w:type="pct"/>
            <w:tcBorders>
              <w:tl2br w:val="nil"/>
              <w:tr2bl w:val="nil"/>
            </w:tcBorders>
          </w:tcPr>
          <w:p w14:paraId="4DEB65CB"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5AAD050C"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shd w:val="clear" w:color="auto" w:fill="auto"/>
          </w:tcPr>
          <w:p w14:paraId="3AA77134" w14:textId="77777777" w:rsidR="003E78AB" w:rsidRDefault="00010BF9">
            <w:pPr>
              <w:spacing w:line="240" w:lineRule="auto"/>
              <w:ind w:firstLineChars="0" w:firstLine="0"/>
              <w:jc w:val="center"/>
              <w:rPr>
                <w:kern w:val="2"/>
                <w:sz w:val="18"/>
                <w:szCs w:val="18"/>
              </w:rPr>
            </w:pPr>
            <w:r>
              <w:rPr>
                <w:rFonts w:hint="eastAsia"/>
                <w:kern w:val="2"/>
                <w:sz w:val="18"/>
                <w:szCs w:val="18"/>
              </w:rPr>
              <w:t>215</w:t>
            </w:r>
          </w:p>
        </w:tc>
        <w:tc>
          <w:tcPr>
            <w:tcW w:w="323" w:type="pct"/>
            <w:tcBorders>
              <w:tl2br w:val="nil"/>
              <w:tr2bl w:val="nil"/>
            </w:tcBorders>
            <w:shd w:val="clear" w:color="auto" w:fill="auto"/>
          </w:tcPr>
          <w:p w14:paraId="44AEBB8C" w14:textId="77777777" w:rsidR="003E78AB" w:rsidRDefault="00010BF9">
            <w:pPr>
              <w:spacing w:line="240" w:lineRule="auto"/>
              <w:ind w:firstLineChars="0" w:firstLine="0"/>
              <w:jc w:val="center"/>
              <w:rPr>
                <w:kern w:val="2"/>
                <w:sz w:val="18"/>
                <w:szCs w:val="18"/>
              </w:rPr>
            </w:pPr>
            <w:r>
              <w:rPr>
                <w:rFonts w:hint="eastAsia"/>
                <w:kern w:val="2"/>
                <w:sz w:val="18"/>
                <w:szCs w:val="18"/>
              </w:rPr>
              <w:t>164</w:t>
            </w:r>
          </w:p>
        </w:tc>
        <w:tc>
          <w:tcPr>
            <w:tcW w:w="292" w:type="pct"/>
            <w:tcBorders>
              <w:tl2br w:val="nil"/>
              <w:tr2bl w:val="nil"/>
            </w:tcBorders>
          </w:tcPr>
          <w:p w14:paraId="7E5DB3A9"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6BC2575F"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199ED6D1"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7DA3DAC7"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120CEFBE"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155611C9"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1DC66C17" w14:textId="77777777">
        <w:trPr>
          <w:trHeight w:val="307"/>
        </w:trPr>
        <w:tc>
          <w:tcPr>
            <w:tcW w:w="235" w:type="pct"/>
            <w:tcBorders>
              <w:tl2br w:val="nil"/>
              <w:tr2bl w:val="nil"/>
            </w:tcBorders>
          </w:tcPr>
          <w:p w14:paraId="4F9895B2" w14:textId="77777777" w:rsidR="003E78AB" w:rsidRDefault="00010BF9">
            <w:pPr>
              <w:spacing w:line="240" w:lineRule="auto"/>
              <w:ind w:firstLineChars="0" w:firstLine="0"/>
              <w:jc w:val="center"/>
              <w:rPr>
                <w:kern w:val="2"/>
                <w:sz w:val="18"/>
                <w:szCs w:val="18"/>
              </w:rPr>
            </w:pPr>
            <w:r>
              <w:rPr>
                <w:kern w:val="2"/>
                <w:sz w:val="18"/>
                <w:szCs w:val="18"/>
              </w:rPr>
              <w:t>12</w:t>
            </w:r>
          </w:p>
        </w:tc>
        <w:tc>
          <w:tcPr>
            <w:tcW w:w="293" w:type="pct"/>
            <w:vMerge/>
            <w:tcBorders>
              <w:tl2br w:val="nil"/>
              <w:tr2bl w:val="nil"/>
            </w:tcBorders>
          </w:tcPr>
          <w:p w14:paraId="2BB3AA94"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26A3AC3C" w14:textId="77777777" w:rsidR="003E78AB" w:rsidRDefault="00010BF9">
            <w:pPr>
              <w:spacing w:line="240" w:lineRule="auto"/>
              <w:ind w:firstLineChars="0" w:firstLine="0"/>
              <w:jc w:val="center"/>
              <w:rPr>
                <w:kern w:val="2"/>
                <w:sz w:val="18"/>
                <w:szCs w:val="18"/>
              </w:rPr>
            </w:pPr>
            <w:r>
              <w:rPr>
                <w:kern w:val="2"/>
                <w:sz w:val="18"/>
                <w:szCs w:val="18"/>
              </w:rPr>
              <w:t>稀硫酸转料泵</w:t>
            </w:r>
          </w:p>
        </w:tc>
        <w:tc>
          <w:tcPr>
            <w:tcW w:w="366" w:type="pct"/>
            <w:tcBorders>
              <w:tl2br w:val="nil"/>
              <w:tr2bl w:val="nil"/>
            </w:tcBorders>
          </w:tcPr>
          <w:p w14:paraId="701343AC"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2E18216F"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shd w:val="clear" w:color="auto" w:fill="auto"/>
          </w:tcPr>
          <w:p w14:paraId="6EC77437" w14:textId="77777777" w:rsidR="003E78AB" w:rsidRDefault="00010BF9">
            <w:pPr>
              <w:spacing w:line="240" w:lineRule="auto"/>
              <w:ind w:firstLineChars="0" w:firstLine="0"/>
              <w:jc w:val="center"/>
              <w:rPr>
                <w:kern w:val="2"/>
                <w:sz w:val="18"/>
                <w:szCs w:val="18"/>
              </w:rPr>
            </w:pPr>
            <w:r>
              <w:rPr>
                <w:rFonts w:hint="eastAsia"/>
                <w:kern w:val="2"/>
                <w:sz w:val="18"/>
                <w:szCs w:val="18"/>
              </w:rPr>
              <w:t>245</w:t>
            </w:r>
          </w:p>
        </w:tc>
        <w:tc>
          <w:tcPr>
            <w:tcW w:w="323" w:type="pct"/>
            <w:tcBorders>
              <w:tl2br w:val="nil"/>
              <w:tr2bl w:val="nil"/>
            </w:tcBorders>
            <w:shd w:val="clear" w:color="auto" w:fill="auto"/>
          </w:tcPr>
          <w:p w14:paraId="74C25A76" w14:textId="77777777" w:rsidR="003E78AB" w:rsidRDefault="00010BF9">
            <w:pPr>
              <w:spacing w:line="240" w:lineRule="auto"/>
              <w:ind w:firstLineChars="0" w:firstLine="0"/>
              <w:jc w:val="center"/>
              <w:rPr>
                <w:kern w:val="2"/>
                <w:sz w:val="18"/>
                <w:szCs w:val="18"/>
              </w:rPr>
            </w:pPr>
            <w:r>
              <w:rPr>
                <w:rFonts w:hint="eastAsia"/>
                <w:kern w:val="2"/>
                <w:sz w:val="18"/>
                <w:szCs w:val="18"/>
              </w:rPr>
              <w:t>140</w:t>
            </w:r>
          </w:p>
        </w:tc>
        <w:tc>
          <w:tcPr>
            <w:tcW w:w="292" w:type="pct"/>
            <w:tcBorders>
              <w:tl2br w:val="nil"/>
              <w:tr2bl w:val="nil"/>
            </w:tcBorders>
          </w:tcPr>
          <w:p w14:paraId="5F156411"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52ACBC1D" w14:textId="77777777" w:rsidR="003E78AB" w:rsidRDefault="00010BF9">
            <w:pPr>
              <w:spacing w:line="240" w:lineRule="auto"/>
              <w:ind w:firstLineChars="0" w:firstLine="0"/>
              <w:jc w:val="center"/>
              <w:rPr>
                <w:kern w:val="2"/>
                <w:sz w:val="18"/>
                <w:szCs w:val="18"/>
              </w:rPr>
            </w:pPr>
            <w:r>
              <w:rPr>
                <w:kern w:val="2"/>
                <w:sz w:val="18"/>
                <w:szCs w:val="18"/>
              </w:rPr>
              <w:t>4</w:t>
            </w:r>
          </w:p>
        </w:tc>
        <w:tc>
          <w:tcPr>
            <w:tcW w:w="366" w:type="pct"/>
            <w:tcBorders>
              <w:tl2br w:val="nil"/>
              <w:tr2bl w:val="nil"/>
            </w:tcBorders>
          </w:tcPr>
          <w:p w14:paraId="47B97981"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317722F4"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4284C35B"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7A47564B"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0B7F0279" w14:textId="77777777">
        <w:trPr>
          <w:trHeight w:val="325"/>
        </w:trPr>
        <w:tc>
          <w:tcPr>
            <w:tcW w:w="235" w:type="pct"/>
            <w:tcBorders>
              <w:tl2br w:val="nil"/>
              <w:tr2bl w:val="nil"/>
            </w:tcBorders>
          </w:tcPr>
          <w:p w14:paraId="602D771C" w14:textId="77777777" w:rsidR="003E78AB" w:rsidRDefault="00010BF9">
            <w:pPr>
              <w:spacing w:line="240" w:lineRule="auto"/>
              <w:ind w:firstLineChars="0" w:firstLine="0"/>
              <w:jc w:val="center"/>
              <w:rPr>
                <w:kern w:val="2"/>
                <w:sz w:val="18"/>
                <w:szCs w:val="18"/>
              </w:rPr>
            </w:pPr>
            <w:r>
              <w:rPr>
                <w:kern w:val="2"/>
                <w:sz w:val="18"/>
                <w:szCs w:val="18"/>
              </w:rPr>
              <w:t>13</w:t>
            </w:r>
          </w:p>
        </w:tc>
        <w:tc>
          <w:tcPr>
            <w:tcW w:w="293" w:type="pct"/>
            <w:vMerge/>
            <w:tcBorders>
              <w:tl2br w:val="nil"/>
              <w:tr2bl w:val="nil"/>
            </w:tcBorders>
          </w:tcPr>
          <w:p w14:paraId="4B3F5552"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57B9170F" w14:textId="77777777" w:rsidR="003E78AB" w:rsidRDefault="00010BF9">
            <w:pPr>
              <w:spacing w:line="240" w:lineRule="auto"/>
              <w:ind w:firstLineChars="0" w:firstLine="0"/>
              <w:jc w:val="center"/>
              <w:rPr>
                <w:kern w:val="2"/>
                <w:sz w:val="18"/>
                <w:szCs w:val="18"/>
              </w:rPr>
            </w:pPr>
            <w:r>
              <w:rPr>
                <w:kern w:val="2"/>
                <w:sz w:val="18"/>
                <w:szCs w:val="18"/>
              </w:rPr>
              <w:t>成品灌装机</w:t>
            </w:r>
          </w:p>
        </w:tc>
        <w:tc>
          <w:tcPr>
            <w:tcW w:w="366" w:type="pct"/>
            <w:tcBorders>
              <w:tl2br w:val="nil"/>
              <w:tr2bl w:val="nil"/>
            </w:tcBorders>
          </w:tcPr>
          <w:p w14:paraId="72B68658" w14:textId="77777777" w:rsidR="003E78AB" w:rsidRDefault="00010BF9">
            <w:pPr>
              <w:spacing w:line="240" w:lineRule="auto"/>
              <w:ind w:firstLineChars="0" w:firstLine="0"/>
              <w:jc w:val="center"/>
              <w:rPr>
                <w:kern w:val="2"/>
                <w:sz w:val="18"/>
                <w:szCs w:val="18"/>
              </w:rPr>
            </w:pPr>
            <w:r>
              <w:rPr>
                <w:kern w:val="2"/>
                <w:sz w:val="18"/>
                <w:szCs w:val="18"/>
              </w:rPr>
              <w:t>80</w:t>
            </w:r>
            <w:r>
              <w:rPr>
                <w:kern w:val="2"/>
                <w:sz w:val="18"/>
                <w:szCs w:val="18"/>
              </w:rPr>
              <w:t>～</w:t>
            </w:r>
            <w:r>
              <w:rPr>
                <w:kern w:val="2"/>
                <w:sz w:val="18"/>
                <w:szCs w:val="18"/>
              </w:rPr>
              <w:t>85</w:t>
            </w:r>
          </w:p>
        </w:tc>
        <w:tc>
          <w:tcPr>
            <w:tcW w:w="704" w:type="pct"/>
            <w:tcBorders>
              <w:tl2br w:val="nil"/>
              <w:tr2bl w:val="nil"/>
            </w:tcBorders>
          </w:tcPr>
          <w:p w14:paraId="5F4CCD63"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0702CB4" w14:textId="77777777" w:rsidR="003E78AB" w:rsidRDefault="00010BF9">
            <w:pPr>
              <w:spacing w:line="240" w:lineRule="auto"/>
              <w:ind w:firstLineChars="0" w:firstLine="0"/>
              <w:jc w:val="center"/>
              <w:rPr>
                <w:kern w:val="2"/>
                <w:sz w:val="18"/>
                <w:szCs w:val="18"/>
              </w:rPr>
            </w:pPr>
            <w:r>
              <w:rPr>
                <w:rFonts w:hint="eastAsia"/>
                <w:kern w:val="2"/>
                <w:sz w:val="18"/>
                <w:szCs w:val="18"/>
              </w:rPr>
              <w:t>270</w:t>
            </w:r>
          </w:p>
        </w:tc>
        <w:tc>
          <w:tcPr>
            <w:tcW w:w="323" w:type="pct"/>
            <w:tcBorders>
              <w:tl2br w:val="nil"/>
              <w:tr2bl w:val="nil"/>
            </w:tcBorders>
          </w:tcPr>
          <w:p w14:paraId="0A6FB1C9" w14:textId="77777777" w:rsidR="003E78AB" w:rsidRDefault="00010BF9">
            <w:pPr>
              <w:spacing w:line="240" w:lineRule="auto"/>
              <w:ind w:firstLineChars="0" w:firstLine="0"/>
              <w:jc w:val="center"/>
              <w:rPr>
                <w:kern w:val="2"/>
                <w:sz w:val="18"/>
                <w:szCs w:val="18"/>
              </w:rPr>
            </w:pPr>
            <w:r>
              <w:rPr>
                <w:rFonts w:hint="eastAsia"/>
                <w:kern w:val="2"/>
                <w:sz w:val="18"/>
                <w:szCs w:val="18"/>
              </w:rPr>
              <w:t>114</w:t>
            </w:r>
          </w:p>
        </w:tc>
        <w:tc>
          <w:tcPr>
            <w:tcW w:w="292" w:type="pct"/>
            <w:tcBorders>
              <w:tl2br w:val="nil"/>
              <w:tr2bl w:val="nil"/>
            </w:tcBorders>
          </w:tcPr>
          <w:p w14:paraId="7A042EED"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0D89422C"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65BC4010"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01F29ADB"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532B6C65"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43EA384F"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533C2AC5" w14:textId="77777777">
        <w:trPr>
          <w:trHeight w:val="325"/>
        </w:trPr>
        <w:tc>
          <w:tcPr>
            <w:tcW w:w="235" w:type="pct"/>
            <w:tcBorders>
              <w:tl2br w:val="nil"/>
              <w:tr2bl w:val="nil"/>
            </w:tcBorders>
          </w:tcPr>
          <w:p w14:paraId="228E9248" w14:textId="77777777" w:rsidR="003E78AB" w:rsidRDefault="00010BF9">
            <w:pPr>
              <w:spacing w:line="240" w:lineRule="auto"/>
              <w:ind w:firstLineChars="0" w:firstLine="0"/>
              <w:jc w:val="center"/>
              <w:rPr>
                <w:kern w:val="2"/>
                <w:sz w:val="18"/>
                <w:szCs w:val="18"/>
              </w:rPr>
            </w:pPr>
            <w:r>
              <w:rPr>
                <w:kern w:val="2"/>
                <w:sz w:val="18"/>
                <w:szCs w:val="18"/>
              </w:rPr>
              <w:t>14</w:t>
            </w:r>
          </w:p>
        </w:tc>
        <w:tc>
          <w:tcPr>
            <w:tcW w:w="293" w:type="pct"/>
            <w:vMerge/>
            <w:tcBorders>
              <w:tl2br w:val="nil"/>
              <w:tr2bl w:val="nil"/>
            </w:tcBorders>
          </w:tcPr>
          <w:p w14:paraId="528EA215"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44ECD5DF" w14:textId="77777777" w:rsidR="003E78AB" w:rsidRDefault="00010BF9">
            <w:pPr>
              <w:spacing w:line="240" w:lineRule="auto"/>
              <w:ind w:firstLineChars="0" w:firstLine="0"/>
              <w:jc w:val="center"/>
              <w:rPr>
                <w:kern w:val="2"/>
                <w:sz w:val="18"/>
                <w:szCs w:val="18"/>
              </w:rPr>
            </w:pPr>
            <w:r>
              <w:rPr>
                <w:kern w:val="2"/>
                <w:sz w:val="18"/>
                <w:szCs w:val="18"/>
              </w:rPr>
              <w:t>灌装泵</w:t>
            </w:r>
          </w:p>
        </w:tc>
        <w:tc>
          <w:tcPr>
            <w:tcW w:w="366" w:type="pct"/>
            <w:tcBorders>
              <w:tl2br w:val="nil"/>
              <w:tr2bl w:val="nil"/>
            </w:tcBorders>
          </w:tcPr>
          <w:p w14:paraId="4CD5A879" w14:textId="77777777" w:rsidR="003E78AB" w:rsidRDefault="00010BF9">
            <w:pPr>
              <w:spacing w:line="240" w:lineRule="auto"/>
              <w:ind w:firstLineChars="0" w:firstLine="0"/>
              <w:jc w:val="center"/>
              <w:rPr>
                <w:kern w:val="2"/>
                <w:sz w:val="18"/>
                <w:szCs w:val="18"/>
              </w:rPr>
            </w:pPr>
            <w:r>
              <w:rPr>
                <w:kern w:val="2"/>
                <w:sz w:val="18"/>
                <w:szCs w:val="18"/>
              </w:rPr>
              <w:t>80</w:t>
            </w:r>
            <w:r>
              <w:rPr>
                <w:kern w:val="2"/>
                <w:sz w:val="18"/>
                <w:szCs w:val="18"/>
              </w:rPr>
              <w:t>～</w:t>
            </w:r>
            <w:r>
              <w:rPr>
                <w:kern w:val="2"/>
                <w:sz w:val="18"/>
                <w:szCs w:val="18"/>
              </w:rPr>
              <w:t>85</w:t>
            </w:r>
          </w:p>
        </w:tc>
        <w:tc>
          <w:tcPr>
            <w:tcW w:w="704" w:type="pct"/>
            <w:tcBorders>
              <w:tl2br w:val="nil"/>
              <w:tr2bl w:val="nil"/>
            </w:tcBorders>
          </w:tcPr>
          <w:p w14:paraId="3BAD0957"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784C3135" w14:textId="77777777" w:rsidR="003E78AB" w:rsidRDefault="00010BF9">
            <w:pPr>
              <w:spacing w:line="240" w:lineRule="auto"/>
              <w:ind w:firstLineChars="0" w:firstLine="0"/>
              <w:jc w:val="center"/>
              <w:rPr>
                <w:kern w:val="2"/>
                <w:sz w:val="18"/>
                <w:szCs w:val="18"/>
              </w:rPr>
            </w:pPr>
            <w:r>
              <w:rPr>
                <w:rFonts w:hint="eastAsia"/>
                <w:kern w:val="2"/>
                <w:sz w:val="18"/>
                <w:szCs w:val="18"/>
              </w:rPr>
              <w:t>280</w:t>
            </w:r>
          </w:p>
        </w:tc>
        <w:tc>
          <w:tcPr>
            <w:tcW w:w="323" w:type="pct"/>
            <w:tcBorders>
              <w:tl2br w:val="nil"/>
              <w:tr2bl w:val="nil"/>
            </w:tcBorders>
          </w:tcPr>
          <w:p w14:paraId="1E08BFF5" w14:textId="77777777" w:rsidR="003E78AB" w:rsidRDefault="00010BF9">
            <w:pPr>
              <w:spacing w:line="240" w:lineRule="auto"/>
              <w:ind w:firstLineChars="0" w:firstLine="0"/>
              <w:jc w:val="center"/>
              <w:rPr>
                <w:kern w:val="2"/>
                <w:sz w:val="18"/>
                <w:szCs w:val="18"/>
              </w:rPr>
            </w:pPr>
            <w:r>
              <w:rPr>
                <w:rFonts w:hint="eastAsia"/>
                <w:kern w:val="2"/>
                <w:sz w:val="18"/>
                <w:szCs w:val="18"/>
              </w:rPr>
              <w:t>150</w:t>
            </w:r>
          </w:p>
        </w:tc>
        <w:tc>
          <w:tcPr>
            <w:tcW w:w="292" w:type="pct"/>
            <w:tcBorders>
              <w:tl2br w:val="nil"/>
              <w:tr2bl w:val="nil"/>
            </w:tcBorders>
          </w:tcPr>
          <w:p w14:paraId="50B8DDAA"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5F1C9D6B"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67D009D4"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331602CD"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6E7644D1"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4A3AF7AB"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6E0CF99F" w14:textId="77777777">
        <w:trPr>
          <w:trHeight w:val="325"/>
        </w:trPr>
        <w:tc>
          <w:tcPr>
            <w:tcW w:w="235" w:type="pct"/>
            <w:tcBorders>
              <w:tl2br w:val="nil"/>
              <w:tr2bl w:val="nil"/>
            </w:tcBorders>
          </w:tcPr>
          <w:p w14:paraId="4641A4A1" w14:textId="77777777" w:rsidR="003E78AB" w:rsidRDefault="00010BF9">
            <w:pPr>
              <w:spacing w:line="240" w:lineRule="auto"/>
              <w:ind w:firstLineChars="0" w:firstLine="0"/>
              <w:jc w:val="center"/>
              <w:rPr>
                <w:kern w:val="2"/>
                <w:sz w:val="18"/>
                <w:szCs w:val="18"/>
              </w:rPr>
            </w:pPr>
            <w:r>
              <w:rPr>
                <w:kern w:val="2"/>
                <w:sz w:val="18"/>
                <w:szCs w:val="18"/>
              </w:rPr>
              <w:t>15</w:t>
            </w:r>
          </w:p>
        </w:tc>
        <w:tc>
          <w:tcPr>
            <w:tcW w:w="293" w:type="pct"/>
            <w:vMerge/>
            <w:tcBorders>
              <w:tl2br w:val="nil"/>
              <w:tr2bl w:val="nil"/>
            </w:tcBorders>
          </w:tcPr>
          <w:p w14:paraId="5F557EE4"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6DF1D8D3" w14:textId="77777777" w:rsidR="003E78AB" w:rsidRDefault="00010BF9">
            <w:pPr>
              <w:spacing w:line="240" w:lineRule="auto"/>
              <w:ind w:firstLineChars="0" w:firstLine="0"/>
              <w:jc w:val="center"/>
              <w:rPr>
                <w:kern w:val="2"/>
                <w:sz w:val="18"/>
                <w:szCs w:val="18"/>
              </w:rPr>
            </w:pPr>
            <w:r>
              <w:rPr>
                <w:kern w:val="2"/>
                <w:sz w:val="18"/>
                <w:szCs w:val="18"/>
              </w:rPr>
              <w:t>装车泵</w:t>
            </w:r>
          </w:p>
        </w:tc>
        <w:tc>
          <w:tcPr>
            <w:tcW w:w="366" w:type="pct"/>
            <w:tcBorders>
              <w:tl2br w:val="nil"/>
              <w:tr2bl w:val="nil"/>
            </w:tcBorders>
          </w:tcPr>
          <w:p w14:paraId="72181B59" w14:textId="77777777" w:rsidR="003E78AB" w:rsidRDefault="00010BF9">
            <w:pPr>
              <w:spacing w:line="240" w:lineRule="auto"/>
              <w:ind w:firstLineChars="0" w:firstLine="0"/>
              <w:jc w:val="center"/>
              <w:rPr>
                <w:kern w:val="2"/>
                <w:sz w:val="18"/>
                <w:szCs w:val="18"/>
              </w:rPr>
            </w:pPr>
            <w:r>
              <w:rPr>
                <w:kern w:val="2"/>
                <w:sz w:val="18"/>
                <w:szCs w:val="18"/>
              </w:rPr>
              <w:t>80</w:t>
            </w:r>
            <w:r>
              <w:rPr>
                <w:kern w:val="2"/>
                <w:sz w:val="18"/>
                <w:szCs w:val="18"/>
              </w:rPr>
              <w:t>～</w:t>
            </w:r>
            <w:r>
              <w:rPr>
                <w:kern w:val="2"/>
                <w:sz w:val="18"/>
                <w:szCs w:val="18"/>
              </w:rPr>
              <w:t>85</w:t>
            </w:r>
          </w:p>
        </w:tc>
        <w:tc>
          <w:tcPr>
            <w:tcW w:w="704" w:type="pct"/>
            <w:tcBorders>
              <w:tl2br w:val="nil"/>
              <w:tr2bl w:val="nil"/>
            </w:tcBorders>
          </w:tcPr>
          <w:p w14:paraId="21DE198C"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shd w:val="clear" w:color="auto" w:fill="auto"/>
          </w:tcPr>
          <w:p w14:paraId="6086DF35" w14:textId="77777777" w:rsidR="003E78AB" w:rsidRDefault="00010BF9">
            <w:pPr>
              <w:spacing w:line="240" w:lineRule="auto"/>
              <w:ind w:firstLineChars="0" w:firstLine="0"/>
              <w:jc w:val="center"/>
              <w:rPr>
                <w:kern w:val="2"/>
                <w:sz w:val="18"/>
                <w:szCs w:val="18"/>
              </w:rPr>
            </w:pPr>
            <w:r>
              <w:rPr>
                <w:rFonts w:hint="eastAsia"/>
                <w:kern w:val="2"/>
                <w:sz w:val="18"/>
                <w:szCs w:val="18"/>
              </w:rPr>
              <w:t>285</w:t>
            </w:r>
          </w:p>
        </w:tc>
        <w:tc>
          <w:tcPr>
            <w:tcW w:w="323" w:type="pct"/>
            <w:tcBorders>
              <w:tl2br w:val="nil"/>
              <w:tr2bl w:val="nil"/>
            </w:tcBorders>
            <w:shd w:val="clear" w:color="auto" w:fill="auto"/>
          </w:tcPr>
          <w:p w14:paraId="312DDBCE" w14:textId="77777777" w:rsidR="003E78AB" w:rsidRDefault="00010BF9">
            <w:pPr>
              <w:spacing w:line="240" w:lineRule="auto"/>
              <w:ind w:firstLineChars="0" w:firstLine="0"/>
              <w:jc w:val="center"/>
              <w:rPr>
                <w:kern w:val="2"/>
                <w:sz w:val="18"/>
                <w:szCs w:val="18"/>
              </w:rPr>
            </w:pPr>
            <w:r>
              <w:rPr>
                <w:rFonts w:hint="eastAsia"/>
                <w:kern w:val="2"/>
                <w:sz w:val="18"/>
                <w:szCs w:val="18"/>
              </w:rPr>
              <w:t>145</w:t>
            </w:r>
          </w:p>
        </w:tc>
        <w:tc>
          <w:tcPr>
            <w:tcW w:w="292" w:type="pct"/>
            <w:tcBorders>
              <w:tl2br w:val="nil"/>
              <w:tr2bl w:val="nil"/>
            </w:tcBorders>
          </w:tcPr>
          <w:p w14:paraId="475648B9" w14:textId="77777777" w:rsidR="003E78AB" w:rsidRDefault="00010BF9">
            <w:pPr>
              <w:spacing w:line="240" w:lineRule="auto"/>
              <w:ind w:firstLineChars="0" w:firstLine="0"/>
              <w:jc w:val="center"/>
              <w:rPr>
                <w:kern w:val="2"/>
                <w:sz w:val="18"/>
                <w:szCs w:val="18"/>
              </w:rPr>
            </w:pPr>
            <w:r>
              <w:rPr>
                <w:kern w:val="2"/>
                <w:sz w:val="18"/>
                <w:szCs w:val="18"/>
              </w:rPr>
              <w:t>1.5</w:t>
            </w:r>
          </w:p>
        </w:tc>
        <w:tc>
          <w:tcPr>
            <w:tcW w:w="384" w:type="pct"/>
            <w:tcBorders>
              <w:tl2br w:val="nil"/>
              <w:tr2bl w:val="nil"/>
            </w:tcBorders>
          </w:tcPr>
          <w:p w14:paraId="5430C7B5" w14:textId="77777777" w:rsidR="003E78AB" w:rsidRDefault="00010BF9">
            <w:pPr>
              <w:spacing w:line="240" w:lineRule="auto"/>
              <w:ind w:firstLineChars="0" w:firstLine="0"/>
              <w:jc w:val="center"/>
              <w:rPr>
                <w:kern w:val="2"/>
                <w:sz w:val="18"/>
                <w:szCs w:val="18"/>
              </w:rPr>
            </w:pPr>
            <w:r>
              <w:rPr>
                <w:rFonts w:hint="eastAsia"/>
                <w:kern w:val="2"/>
                <w:sz w:val="18"/>
                <w:szCs w:val="18"/>
              </w:rPr>
              <w:t>2</w:t>
            </w:r>
          </w:p>
        </w:tc>
        <w:tc>
          <w:tcPr>
            <w:tcW w:w="366" w:type="pct"/>
            <w:tcBorders>
              <w:tl2br w:val="nil"/>
              <w:tr2bl w:val="nil"/>
            </w:tcBorders>
          </w:tcPr>
          <w:p w14:paraId="6E6A572C"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009F2CD2"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75873540"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5F12C499"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1F1DBF28" w14:textId="77777777">
        <w:trPr>
          <w:trHeight w:val="325"/>
        </w:trPr>
        <w:tc>
          <w:tcPr>
            <w:tcW w:w="235" w:type="pct"/>
            <w:tcBorders>
              <w:tl2br w:val="nil"/>
              <w:tr2bl w:val="nil"/>
            </w:tcBorders>
          </w:tcPr>
          <w:p w14:paraId="02D13304" w14:textId="77777777" w:rsidR="003E78AB" w:rsidRDefault="00010BF9">
            <w:pPr>
              <w:spacing w:line="240" w:lineRule="auto"/>
              <w:ind w:firstLineChars="0" w:firstLine="0"/>
              <w:jc w:val="center"/>
              <w:rPr>
                <w:kern w:val="2"/>
                <w:sz w:val="18"/>
                <w:szCs w:val="18"/>
              </w:rPr>
            </w:pPr>
            <w:r>
              <w:rPr>
                <w:rFonts w:hint="eastAsia"/>
                <w:kern w:val="2"/>
                <w:sz w:val="18"/>
                <w:szCs w:val="18"/>
              </w:rPr>
              <w:t>16</w:t>
            </w:r>
          </w:p>
        </w:tc>
        <w:tc>
          <w:tcPr>
            <w:tcW w:w="293" w:type="pct"/>
            <w:vMerge w:val="restart"/>
            <w:tcBorders>
              <w:top w:val="single" w:sz="4" w:space="0" w:color="000000"/>
              <w:tl2br w:val="nil"/>
              <w:tr2bl w:val="nil"/>
            </w:tcBorders>
          </w:tcPr>
          <w:p w14:paraId="2E9EC372" w14:textId="77777777" w:rsidR="003E78AB" w:rsidRDefault="00010BF9">
            <w:pPr>
              <w:spacing w:line="240" w:lineRule="auto"/>
              <w:ind w:firstLineChars="0" w:firstLine="0"/>
              <w:jc w:val="center"/>
              <w:rPr>
                <w:kern w:val="2"/>
                <w:sz w:val="18"/>
                <w:szCs w:val="18"/>
              </w:rPr>
            </w:pPr>
            <w:r>
              <w:rPr>
                <w:rFonts w:hint="eastAsia"/>
                <w:kern w:val="2"/>
                <w:sz w:val="18"/>
                <w:szCs w:val="18"/>
              </w:rPr>
              <w:t>动力车间</w:t>
            </w:r>
          </w:p>
        </w:tc>
        <w:tc>
          <w:tcPr>
            <w:tcW w:w="628" w:type="pct"/>
            <w:tcBorders>
              <w:top w:val="single" w:sz="4" w:space="0" w:color="000000"/>
              <w:tl2br w:val="nil"/>
              <w:tr2bl w:val="nil"/>
            </w:tcBorders>
          </w:tcPr>
          <w:p w14:paraId="1BBCBF97" w14:textId="77777777" w:rsidR="003E78AB" w:rsidRDefault="00010BF9">
            <w:pPr>
              <w:spacing w:line="240" w:lineRule="auto"/>
              <w:ind w:firstLineChars="0" w:firstLine="0"/>
              <w:jc w:val="center"/>
              <w:rPr>
                <w:kern w:val="2"/>
                <w:sz w:val="18"/>
                <w:szCs w:val="18"/>
              </w:rPr>
            </w:pPr>
            <w:r>
              <w:rPr>
                <w:kern w:val="2"/>
                <w:sz w:val="18"/>
                <w:szCs w:val="18"/>
              </w:rPr>
              <w:t>循环水泵</w:t>
            </w:r>
          </w:p>
        </w:tc>
        <w:tc>
          <w:tcPr>
            <w:tcW w:w="366" w:type="pct"/>
            <w:tcBorders>
              <w:tl2br w:val="nil"/>
              <w:tr2bl w:val="nil"/>
            </w:tcBorders>
          </w:tcPr>
          <w:p w14:paraId="330EBFCD" w14:textId="77777777" w:rsidR="003E78AB" w:rsidRDefault="00010BF9">
            <w:pPr>
              <w:spacing w:line="240" w:lineRule="auto"/>
              <w:ind w:firstLineChars="0" w:firstLine="0"/>
              <w:jc w:val="center"/>
              <w:rPr>
                <w:kern w:val="2"/>
                <w:sz w:val="18"/>
                <w:szCs w:val="18"/>
              </w:rPr>
            </w:pPr>
            <w:r>
              <w:rPr>
                <w:kern w:val="2"/>
                <w:sz w:val="18"/>
                <w:szCs w:val="18"/>
              </w:rPr>
              <w:t>85</w:t>
            </w:r>
            <w:r>
              <w:rPr>
                <w:kern w:val="2"/>
                <w:sz w:val="18"/>
                <w:szCs w:val="18"/>
              </w:rPr>
              <w:t>～</w:t>
            </w:r>
            <w:r>
              <w:rPr>
                <w:kern w:val="2"/>
                <w:sz w:val="18"/>
                <w:szCs w:val="18"/>
              </w:rPr>
              <w:t>95</w:t>
            </w:r>
          </w:p>
        </w:tc>
        <w:tc>
          <w:tcPr>
            <w:tcW w:w="704" w:type="pct"/>
            <w:tcBorders>
              <w:tl2br w:val="nil"/>
              <w:tr2bl w:val="nil"/>
            </w:tcBorders>
          </w:tcPr>
          <w:p w14:paraId="57E0DAF0"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683BFD41" w14:textId="77777777" w:rsidR="003E78AB" w:rsidRDefault="00010BF9">
            <w:pPr>
              <w:spacing w:line="240" w:lineRule="auto"/>
              <w:ind w:firstLineChars="0" w:firstLine="0"/>
              <w:jc w:val="center"/>
              <w:rPr>
                <w:kern w:val="2"/>
                <w:sz w:val="18"/>
                <w:szCs w:val="18"/>
              </w:rPr>
            </w:pPr>
            <w:r>
              <w:rPr>
                <w:rFonts w:hint="eastAsia"/>
                <w:kern w:val="2"/>
                <w:sz w:val="18"/>
                <w:szCs w:val="18"/>
              </w:rPr>
              <w:t>50</w:t>
            </w:r>
          </w:p>
        </w:tc>
        <w:tc>
          <w:tcPr>
            <w:tcW w:w="323" w:type="pct"/>
            <w:tcBorders>
              <w:tl2br w:val="nil"/>
              <w:tr2bl w:val="nil"/>
            </w:tcBorders>
          </w:tcPr>
          <w:p w14:paraId="606F9F2C" w14:textId="77777777" w:rsidR="003E78AB" w:rsidRDefault="00010BF9">
            <w:pPr>
              <w:spacing w:line="240" w:lineRule="auto"/>
              <w:ind w:firstLineChars="0" w:firstLine="0"/>
              <w:jc w:val="center"/>
              <w:rPr>
                <w:kern w:val="2"/>
                <w:sz w:val="18"/>
                <w:szCs w:val="18"/>
              </w:rPr>
            </w:pPr>
            <w:r>
              <w:rPr>
                <w:rFonts w:hint="eastAsia"/>
                <w:kern w:val="2"/>
                <w:sz w:val="18"/>
                <w:szCs w:val="18"/>
              </w:rPr>
              <w:t>73</w:t>
            </w:r>
          </w:p>
        </w:tc>
        <w:tc>
          <w:tcPr>
            <w:tcW w:w="292" w:type="pct"/>
            <w:tcBorders>
              <w:tl2br w:val="nil"/>
              <w:tr2bl w:val="nil"/>
            </w:tcBorders>
          </w:tcPr>
          <w:p w14:paraId="353A3ECA"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1687A320"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6C89D0FF"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7E23C6B0"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3D8A381D"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7A9772D8"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5D977E98" w14:textId="77777777">
        <w:trPr>
          <w:trHeight w:val="325"/>
        </w:trPr>
        <w:tc>
          <w:tcPr>
            <w:tcW w:w="235" w:type="pct"/>
            <w:tcBorders>
              <w:tl2br w:val="nil"/>
              <w:tr2bl w:val="nil"/>
            </w:tcBorders>
          </w:tcPr>
          <w:p w14:paraId="533B3094" w14:textId="77777777" w:rsidR="003E78AB" w:rsidRDefault="00010BF9">
            <w:pPr>
              <w:spacing w:line="240" w:lineRule="auto"/>
              <w:ind w:firstLineChars="0" w:firstLine="0"/>
              <w:jc w:val="center"/>
              <w:rPr>
                <w:kern w:val="2"/>
                <w:sz w:val="18"/>
                <w:szCs w:val="18"/>
              </w:rPr>
            </w:pPr>
            <w:r>
              <w:rPr>
                <w:rFonts w:hint="eastAsia"/>
                <w:kern w:val="2"/>
                <w:sz w:val="18"/>
                <w:szCs w:val="18"/>
              </w:rPr>
              <w:t>17</w:t>
            </w:r>
          </w:p>
        </w:tc>
        <w:tc>
          <w:tcPr>
            <w:tcW w:w="293" w:type="pct"/>
            <w:vMerge/>
            <w:tcBorders>
              <w:tl2br w:val="nil"/>
              <w:tr2bl w:val="nil"/>
            </w:tcBorders>
          </w:tcPr>
          <w:p w14:paraId="20C38FCF"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0970BD36" w14:textId="77777777" w:rsidR="003E78AB" w:rsidRDefault="00010BF9">
            <w:pPr>
              <w:spacing w:line="240" w:lineRule="auto"/>
              <w:ind w:firstLineChars="0" w:firstLine="0"/>
              <w:jc w:val="center"/>
              <w:rPr>
                <w:kern w:val="2"/>
                <w:sz w:val="18"/>
                <w:szCs w:val="18"/>
              </w:rPr>
            </w:pPr>
            <w:r>
              <w:rPr>
                <w:kern w:val="2"/>
                <w:sz w:val="18"/>
                <w:szCs w:val="18"/>
              </w:rPr>
              <w:t>空压机</w:t>
            </w:r>
          </w:p>
        </w:tc>
        <w:tc>
          <w:tcPr>
            <w:tcW w:w="366" w:type="pct"/>
            <w:tcBorders>
              <w:tl2br w:val="nil"/>
              <w:tr2bl w:val="nil"/>
            </w:tcBorders>
          </w:tcPr>
          <w:p w14:paraId="45177F42"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80</w:t>
            </w:r>
          </w:p>
        </w:tc>
        <w:tc>
          <w:tcPr>
            <w:tcW w:w="704" w:type="pct"/>
            <w:tcBorders>
              <w:tl2br w:val="nil"/>
              <w:tr2bl w:val="nil"/>
            </w:tcBorders>
          </w:tcPr>
          <w:p w14:paraId="3179DB1F"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AD80D6E" w14:textId="77777777" w:rsidR="003E78AB" w:rsidRDefault="00010BF9">
            <w:pPr>
              <w:spacing w:line="240" w:lineRule="auto"/>
              <w:ind w:firstLineChars="0" w:firstLine="0"/>
              <w:jc w:val="center"/>
              <w:rPr>
                <w:kern w:val="2"/>
                <w:sz w:val="18"/>
                <w:szCs w:val="18"/>
              </w:rPr>
            </w:pPr>
            <w:r>
              <w:rPr>
                <w:rFonts w:hint="eastAsia"/>
                <w:kern w:val="2"/>
                <w:sz w:val="18"/>
                <w:szCs w:val="18"/>
              </w:rPr>
              <w:t>20</w:t>
            </w:r>
          </w:p>
        </w:tc>
        <w:tc>
          <w:tcPr>
            <w:tcW w:w="323" w:type="pct"/>
            <w:tcBorders>
              <w:tl2br w:val="nil"/>
              <w:tr2bl w:val="nil"/>
            </w:tcBorders>
          </w:tcPr>
          <w:p w14:paraId="3D87EE48" w14:textId="77777777" w:rsidR="003E78AB" w:rsidRDefault="00010BF9">
            <w:pPr>
              <w:spacing w:line="240" w:lineRule="auto"/>
              <w:ind w:firstLineChars="0" w:firstLine="0"/>
              <w:jc w:val="center"/>
              <w:rPr>
                <w:kern w:val="2"/>
                <w:sz w:val="18"/>
                <w:szCs w:val="18"/>
              </w:rPr>
            </w:pPr>
            <w:r>
              <w:rPr>
                <w:rFonts w:hint="eastAsia"/>
                <w:kern w:val="2"/>
                <w:sz w:val="18"/>
                <w:szCs w:val="18"/>
              </w:rPr>
              <w:t>112</w:t>
            </w:r>
          </w:p>
        </w:tc>
        <w:tc>
          <w:tcPr>
            <w:tcW w:w="292" w:type="pct"/>
            <w:tcBorders>
              <w:tl2br w:val="nil"/>
              <w:tr2bl w:val="nil"/>
            </w:tcBorders>
          </w:tcPr>
          <w:p w14:paraId="22CD1846"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31290049"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0CFCB59B" w14:textId="77777777" w:rsidR="003E78AB" w:rsidRDefault="00010BF9">
            <w:pPr>
              <w:spacing w:line="240" w:lineRule="auto"/>
              <w:ind w:firstLineChars="0" w:firstLine="0"/>
              <w:jc w:val="center"/>
              <w:rPr>
                <w:kern w:val="2"/>
                <w:sz w:val="18"/>
                <w:szCs w:val="18"/>
              </w:rPr>
            </w:pPr>
            <w:r>
              <w:rPr>
                <w:kern w:val="2"/>
                <w:sz w:val="18"/>
                <w:szCs w:val="18"/>
              </w:rPr>
              <w:t>55</w:t>
            </w:r>
          </w:p>
        </w:tc>
        <w:tc>
          <w:tcPr>
            <w:tcW w:w="366" w:type="pct"/>
            <w:tcBorders>
              <w:tl2br w:val="nil"/>
              <w:tr2bl w:val="nil"/>
            </w:tcBorders>
          </w:tcPr>
          <w:p w14:paraId="55CFC0EA"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1E28C766" w14:textId="77777777" w:rsidR="003E78AB" w:rsidRDefault="00010BF9">
            <w:pPr>
              <w:spacing w:line="240" w:lineRule="auto"/>
              <w:ind w:firstLineChars="0" w:firstLine="0"/>
              <w:jc w:val="center"/>
              <w:rPr>
                <w:kern w:val="2"/>
                <w:sz w:val="18"/>
                <w:szCs w:val="18"/>
              </w:rPr>
            </w:pPr>
            <w:r>
              <w:rPr>
                <w:kern w:val="2"/>
                <w:sz w:val="18"/>
                <w:szCs w:val="18"/>
              </w:rPr>
              <w:t>40</w:t>
            </w:r>
          </w:p>
        </w:tc>
        <w:tc>
          <w:tcPr>
            <w:tcW w:w="350" w:type="pct"/>
            <w:tcBorders>
              <w:tl2br w:val="nil"/>
              <w:tr2bl w:val="nil"/>
            </w:tcBorders>
          </w:tcPr>
          <w:p w14:paraId="1D76473C"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7CC9CABE" w14:textId="77777777">
        <w:trPr>
          <w:trHeight w:val="325"/>
        </w:trPr>
        <w:tc>
          <w:tcPr>
            <w:tcW w:w="235" w:type="pct"/>
            <w:tcBorders>
              <w:tl2br w:val="nil"/>
              <w:tr2bl w:val="nil"/>
            </w:tcBorders>
          </w:tcPr>
          <w:p w14:paraId="17E07718" w14:textId="77777777" w:rsidR="003E78AB" w:rsidRDefault="00010BF9">
            <w:pPr>
              <w:spacing w:line="240" w:lineRule="auto"/>
              <w:ind w:firstLineChars="0" w:firstLine="0"/>
              <w:jc w:val="center"/>
              <w:rPr>
                <w:kern w:val="2"/>
                <w:sz w:val="18"/>
                <w:szCs w:val="18"/>
              </w:rPr>
            </w:pPr>
            <w:r>
              <w:rPr>
                <w:rFonts w:hint="eastAsia"/>
                <w:kern w:val="2"/>
                <w:sz w:val="18"/>
                <w:szCs w:val="18"/>
              </w:rPr>
              <w:t>18</w:t>
            </w:r>
          </w:p>
        </w:tc>
        <w:tc>
          <w:tcPr>
            <w:tcW w:w="293" w:type="pct"/>
            <w:vMerge/>
            <w:tcBorders>
              <w:tl2br w:val="nil"/>
              <w:tr2bl w:val="nil"/>
            </w:tcBorders>
          </w:tcPr>
          <w:p w14:paraId="1945A073"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1F290F41" w14:textId="77777777" w:rsidR="003E78AB" w:rsidRDefault="00010BF9">
            <w:pPr>
              <w:spacing w:line="240" w:lineRule="auto"/>
              <w:ind w:firstLineChars="0" w:firstLine="0"/>
              <w:jc w:val="center"/>
              <w:rPr>
                <w:kern w:val="2"/>
                <w:sz w:val="18"/>
                <w:szCs w:val="18"/>
              </w:rPr>
            </w:pPr>
            <w:r>
              <w:rPr>
                <w:kern w:val="2"/>
                <w:sz w:val="18"/>
                <w:szCs w:val="18"/>
              </w:rPr>
              <w:t>燃气蒸汽锅炉</w:t>
            </w:r>
          </w:p>
        </w:tc>
        <w:tc>
          <w:tcPr>
            <w:tcW w:w="366" w:type="pct"/>
            <w:tcBorders>
              <w:tl2br w:val="nil"/>
              <w:tr2bl w:val="nil"/>
            </w:tcBorders>
          </w:tcPr>
          <w:p w14:paraId="053B024A" w14:textId="77777777" w:rsidR="003E78AB" w:rsidRDefault="00010BF9">
            <w:pPr>
              <w:spacing w:line="240" w:lineRule="auto"/>
              <w:ind w:firstLineChars="0" w:firstLine="0"/>
              <w:jc w:val="center"/>
              <w:rPr>
                <w:kern w:val="2"/>
                <w:sz w:val="18"/>
                <w:szCs w:val="18"/>
              </w:rPr>
            </w:pPr>
            <w:r>
              <w:rPr>
                <w:kern w:val="2"/>
                <w:sz w:val="18"/>
                <w:szCs w:val="18"/>
              </w:rPr>
              <w:t>70</w:t>
            </w:r>
            <w:r>
              <w:rPr>
                <w:kern w:val="2"/>
                <w:sz w:val="18"/>
                <w:szCs w:val="18"/>
              </w:rPr>
              <w:t>～</w:t>
            </w:r>
            <w:r>
              <w:rPr>
                <w:kern w:val="2"/>
                <w:sz w:val="18"/>
                <w:szCs w:val="18"/>
              </w:rPr>
              <w:t>90</w:t>
            </w:r>
          </w:p>
        </w:tc>
        <w:tc>
          <w:tcPr>
            <w:tcW w:w="704" w:type="pct"/>
            <w:tcBorders>
              <w:tl2br w:val="nil"/>
              <w:tr2bl w:val="nil"/>
            </w:tcBorders>
          </w:tcPr>
          <w:p w14:paraId="43D383E9"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4784FDF" w14:textId="77777777" w:rsidR="003E78AB" w:rsidRDefault="00010BF9">
            <w:pPr>
              <w:spacing w:line="240" w:lineRule="auto"/>
              <w:ind w:firstLineChars="0" w:firstLine="0"/>
              <w:jc w:val="center"/>
              <w:rPr>
                <w:kern w:val="2"/>
                <w:sz w:val="18"/>
                <w:szCs w:val="18"/>
              </w:rPr>
            </w:pPr>
            <w:r>
              <w:rPr>
                <w:rFonts w:hint="eastAsia"/>
                <w:kern w:val="2"/>
                <w:sz w:val="18"/>
                <w:szCs w:val="18"/>
              </w:rPr>
              <w:t>20</w:t>
            </w:r>
          </w:p>
        </w:tc>
        <w:tc>
          <w:tcPr>
            <w:tcW w:w="323" w:type="pct"/>
            <w:tcBorders>
              <w:tl2br w:val="nil"/>
              <w:tr2bl w:val="nil"/>
            </w:tcBorders>
          </w:tcPr>
          <w:p w14:paraId="369CE9C4" w14:textId="77777777" w:rsidR="003E78AB" w:rsidRDefault="00010BF9">
            <w:pPr>
              <w:spacing w:line="240" w:lineRule="auto"/>
              <w:ind w:firstLineChars="0" w:firstLine="0"/>
              <w:jc w:val="center"/>
              <w:rPr>
                <w:kern w:val="2"/>
                <w:sz w:val="18"/>
                <w:szCs w:val="18"/>
              </w:rPr>
            </w:pPr>
            <w:r>
              <w:rPr>
                <w:rFonts w:hint="eastAsia"/>
                <w:kern w:val="2"/>
                <w:sz w:val="18"/>
                <w:szCs w:val="18"/>
              </w:rPr>
              <w:t>125</w:t>
            </w:r>
          </w:p>
        </w:tc>
        <w:tc>
          <w:tcPr>
            <w:tcW w:w="292" w:type="pct"/>
            <w:tcBorders>
              <w:tl2br w:val="nil"/>
              <w:tr2bl w:val="nil"/>
            </w:tcBorders>
          </w:tcPr>
          <w:p w14:paraId="3CC0D02E"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4BFF5598"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1D837CBE"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5855344D"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57C45F6A"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238D3F80"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00F938A3" w14:textId="77777777">
        <w:trPr>
          <w:trHeight w:val="325"/>
        </w:trPr>
        <w:tc>
          <w:tcPr>
            <w:tcW w:w="235" w:type="pct"/>
            <w:tcBorders>
              <w:tl2br w:val="nil"/>
              <w:tr2bl w:val="nil"/>
            </w:tcBorders>
          </w:tcPr>
          <w:p w14:paraId="6473D288" w14:textId="77777777" w:rsidR="003E78AB" w:rsidRDefault="00010BF9">
            <w:pPr>
              <w:spacing w:line="240" w:lineRule="auto"/>
              <w:ind w:firstLineChars="0" w:firstLine="0"/>
              <w:jc w:val="center"/>
              <w:rPr>
                <w:kern w:val="2"/>
                <w:sz w:val="18"/>
                <w:szCs w:val="18"/>
              </w:rPr>
            </w:pPr>
            <w:r>
              <w:rPr>
                <w:rFonts w:hint="eastAsia"/>
                <w:kern w:val="2"/>
                <w:sz w:val="18"/>
                <w:szCs w:val="18"/>
              </w:rPr>
              <w:t>19</w:t>
            </w:r>
          </w:p>
        </w:tc>
        <w:tc>
          <w:tcPr>
            <w:tcW w:w="293" w:type="pct"/>
            <w:vMerge/>
            <w:tcBorders>
              <w:tl2br w:val="nil"/>
              <w:tr2bl w:val="nil"/>
            </w:tcBorders>
          </w:tcPr>
          <w:p w14:paraId="4A60A0D2"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780663F7" w14:textId="77777777" w:rsidR="003E78AB" w:rsidRDefault="00010BF9">
            <w:pPr>
              <w:spacing w:line="240" w:lineRule="auto"/>
              <w:ind w:firstLineChars="0" w:firstLine="0"/>
              <w:jc w:val="center"/>
              <w:rPr>
                <w:kern w:val="2"/>
                <w:sz w:val="18"/>
                <w:szCs w:val="18"/>
              </w:rPr>
            </w:pPr>
            <w:r>
              <w:rPr>
                <w:kern w:val="2"/>
                <w:sz w:val="18"/>
                <w:szCs w:val="18"/>
              </w:rPr>
              <w:t>鼓风机</w:t>
            </w:r>
          </w:p>
        </w:tc>
        <w:tc>
          <w:tcPr>
            <w:tcW w:w="366" w:type="pct"/>
            <w:tcBorders>
              <w:tl2br w:val="nil"/>
              <w:tr2bl w:val="nil"/>
            </w:tcBorders>
          </w:tcPr>
          <w:p w14:paraId="2835E61B"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90</w:t>
            </w:r>
          </w:p>
        </w:tc>
        <w:tc>
          <w:tcPr>
            <w:tcW w:w="704" w:type="pct"/>
            <w:tcBorders>
              <w:tl2br w:val="nil"/>
              <w:tr2bl w:val="nil"/>
            </w:tcBorders>
          </w:tcPr>
          <w:p w14:paraId="36C95886"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6555E7CA" w14:textId="77777777" w:rsidR="003E78AB" w:rsidRDefault="00010BF9">
            <w:pPr>
              <w:spacing w:line="240" w:lineRule="auto"/>
              <w:ind w:firstLineChars="0" w:firstLine="0"/>
              <w:jc w:val="center"/>
              <w:rPr>
                <w:kern w:val="2"/>
                <w:sz w:val="18"/>
                <w:szCs w:val="18"/>
              </w:rPr>
            </w:pPr>
            <w:r>
              <w:rPr>
                <w:rFonts w:hint="eastAsia"/>
                <w:kern w:val="2"/>
                <w:sz w:val="18"/>
                <w:szCs w:val="18"/>
              </w:rPr>
              <w:t>35</w:t>
            </w:r>
          </w:p>
        </w:tc>
        <w:tc>
          <w:tcPr>
            <w:tcW w:w="323" w:type="pct"/>
            <w:tcBorders>
              <w:tl2br w:val="nil"/>
              <w:tr2bl w:val="nil"/>
            </w:tcBorders>
          </w:tcPr>
          <w:p w14:paraId="2BAA2BCB" w14:textId="77777777" w:rsidR="003E78AB" w:rsidRDefault="00010BF9">
            <w:pPr>
              <w:spacing w:line="240" w:lineRule="auto"/>
              <w:ind w:firstLineChars="0" w:firstLine="0"/>
              <w:jc w:val="center"/>
              <w:rPr>
                <w:kern w:val="2"/>
                <w:sz w:val="18"/>
                <w:szCs w:val="18"/>
              </w:rPr>
            </w:pPr>
            <w:r>
              <w:rPr>
                <w:rFonts w:hint="eastAsia"/>
                <w:kern w:val="2"/>
                <w:sz w:val="18"/>
                <w:szCs w:val="18"/>
              </w:rPr>
              <w:t>125</w:t>
            </w:r>
          </w:p>
        </w:tc>
        <w:tc>
          <w:tcPr>
            <w:tcW w:w="292" w:type="pct"/>
            <w:tcBorders>
              <w:tl2br w:val="nil"/>
              <w:tr2bl w:val="nil"/>
            </w:tcBorders>
          </w:tcPr>
          <w:p w14:paraId="3A5EC471"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60A2F7A5"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6703518D"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055C7B8C"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47FC5DDC"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37A99D02"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4E21731B" w14:textId="77777777">
        <w:trPr>
          <w:trHeight w:val="325"/>
        </w:trPr>
        <w:tc>
          <w:tcPr>
            <w:tcW w:w="235" w:type="pct"/>
            <w:tcBorders>
              <w:tl2br w:val="nil"/>
              <w:tr2bl w:val="nil"/>
            </w:tcBorders>
          </w:tcPr>
          <w:p w14:paraId="73FE6FB2" w14:textId="77777777" w:rsidR="003E78AB" w:rsidRDefault="00010BF9">
            <w:pPr>
              <w:spacing w:line="240" w:lineRule="auto"/>
              <w:ind w:firstLineChars="0" w:firstLine="0"/>
              <w:jc w:val="center"/>
              <w:rPr>
                <w:kern w:val="2"/>
                <w:sz w:val="18"/>
                <w:szCs w:val="18"/>
              </w:rPr>
            </w:pPr>
            <w:r>
              <w:rPr>
                <w:rFonts w:hint="eastAsia"/>
                <w:kern w:val="2"/>
                <w:sz w:val="18"/>
                <w:szCs w:val="18"/>
              </w:rPr>
              <w:t>20</w:t>
            </w:r>
          </w:p>
        </w:tc>
        <w:tc>
          <w:tcPr>
            <w:tcW w:w="293" w:type="pct"/>
            <w:vMerge/>
            <w:tcBorders>
              <w:tl2br w:val="nil"/>
              <w:tr2bl w:val="nil"/>
            </w:tcBorders>
          </w:tcPr>
          <w:p w14:paraId="030FFF7F"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17C96582" w14:textId="77777777" w:rsidR="003E78AB" w:rsidRDefault="00010BF9">
            <w:pPr>
              <w:spacing w:line="240" w:lineRule="auto"/>
              <w:ind w:firstLineChars="0" w:firstLine="0"/>
              <w:jc w:val="center"/>
              <w:rPr>
                <w:kern w:val="2"/>
                <w:sz w:val="18"/>
                <w:szCs w:val="18"/>
              </w:rPr>
            </w:pPr>
            <w:r>
              <w:rPr>
                <w:kern w:val="2"/>
                <w:sz w:val="18"/>
                <w:szCs w:val="18"/>
              </w:rPr>
              <w:t>引风机</w:t>
            </w:r>
          </w:p>
        </w:tc>
        <w:tc>
          <w:tcPr>
            <w:tcW w:w="366" w:type="pct"/>
            <w:tcBorders>
              <w:tl2br w:val="nil"/>
              <w:tr2bl w:val="nil"/>
            </w:tcBorders>
          </w:tcPr>
          <w:p w14:paraId="2447F2D0"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90</w:t>
            </w:r>
          </w:p>
        </w:tc>
        <w:tc>
          <w:tcPr>
            <w:tcW w:w="704" w:type="pct"/>
            <w:tcBorders>
              <w:tl2br w:val="nil"/>
              <w:tr2bl w:val="nil"/>
            </w:tcBorders>
          </w:tcPr>
          <w:p w14:paraId="773AE416"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94D079F" w14:textId="77777777" w:rsidR="003E78AB" w:rsidRDefault="00010BF9">
            <w:pPr>
              <w:spacing w:line="240" w:lineRule="auto"/>
              <w:ind w:firstLineChars="0" w:firstLine="0"/>
              <w:jc w:val="center"/>
              <w:rPr>
                <w:kern w:val="2"/>
                <w:sz w:val="18"/>
                <w:szCs w:val="18"/>
              </w:rPr>
            </w:pPr>
            <w:r>
              <w:rPr>
                <w:rFonts w:hint="eastAsia"/>
                <w:kern w:val="2"/>
                <w:sz w:val="18"/>
                <w:szCs w:val="18"/>
              </w:rPr>
              <w:t>35</w:t>
            </w:r>
          </w:p>
        </w:tc>
        <w:tc>
          <w:tcPr>
            <w:tcW w:w="323" w:type="pct"/>
            <w:tcBorders>
              <w:tl2br w:val="nil"/>
              <w:tr2bl w:val="nil"/>
            </w:tcBorders>
          </w:tcPr>
          <w:p w14:paraId="0B2A1A55" w14:textId="77777777" w:rsidR="003E78AB" w:rsidRDefault="00010BF9">
            <w:pPr>
              <w:spacing w:line="240" w:lineRule="auto"/>
              <w:ind w:firstLineChars="0" w:firstLine="0"/>
              <w:jc w:val="center"/>
              <w:rPr>
                <w:kern w:val="2"/>
                <w:sz w:val="18"/>
                <w:szCs w:val="18"/>
              </w:rPr>
            </w:pPr>
            <w:r>
              <w:rPr>
                <w:rFonts w:hint="eastAsia"/>
                <w:kern w:val="2"/>
                <w:sz w:val="18"/>
                <w:szCs w:val="18"/>
              </w:rPr>
              <w:t>120</w:t>
            </w:r>
          </w:p>
        </w:tc>
        <w:tc>
          <w:tcPr>
            <w:tcW w:w="292" w:type="pct"/>
            <w:tcBorders>
              <w:tl2br w:val="nil"/>
              <w:tr2bl w:val="nil"/>
            </w:tcBorders>
          </w:tcPr>
          <w:p w14:paraId="6940F1DD"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7B8B93F5"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34B814B1"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14FE995A"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064DDD60"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743270E2"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07453409" w14:textId="77777777">
        <w:trPr>
          <w:trHeight w:val="325"/>
        </w:trPr>
        <w:tc>
          <w:tcPr>
            <w:tcW w:w="235" w:type="pct"/>
            <w:tcBorders>
              <w:tl2br w:val="nil"/>
              <w:tr2bl w:val="nil"/>
            </w:tcBorders>
          </w:tcPr>
          <w:p w14:paraId="7449A6F3" w14:textId="77777777" w:rsidR="003E78AB" w:rsidRDefault="00010BF9">
            <w:pPr>
              <w:spacing w:line="240" w:lineRule="auto"/>
              <w:ind w:firstLineChars="0" w:firstLine="0"/>
              <w:jc w:val="center"/>
              <w:rPr>
                <w:kern w:val="2"/>
                <w:sz w:val="18"/>
                <w:szCs w:val="18"/>
              </w:rPr>
            </w:pPr>
            <w:r>
              <w:rPr>
                <w:rFonts w:hint="eastAsia"/>
                <w:kern w:val="2"/>
                <w:sz w:val="18"/>
                <w:szCs w:val="18"/>
              </w:rPr>
              <w:t>21</w:t>
            </w:r>
          </w:p>
        </w:tc>
        <w:tc>
          <w:tcPr>
            <w:tcW w:w="293" w:type="pct"/>
            <w:vMerge/>
            <w:tcBorders>
              <w:tl2br w:val="nil"/>
              <w:tr2bl w:val="nil"/>
            </w:tcBorders>
          </w:tcPr>
          <w:p w14:paraId="4896B7CE"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591639AB" w14:textId="77777777" w:rsidR="003E78AB" w:rsidRDefault="00010BF9">
            <w:pPr>
              <w:spacing w:line="240" w:lineRule="auto"/>
              <w:ind w:firstLineChars="0" w:firstLine="0"/>
              <w:jc w:val="center"/>
              <w:rPr>
                <w:kern w:val="2"/>
                <w:sz w:val="18"/>
                <w:szCs w:val="18"/>
              </w:rPr>
            </w:pPr>
            <w:r>
              <w:rPr>
                <w:kern w:val="2"/>
                <w:sz w:val="18"/>
                <w:szCs w:val="18"/>
              </w:rPr>
              <w:t>锅炉给水泵</w:t>
            </w:r>
          </w:p>
        </w:tc>
        <w:tc>
          <w:tcPr>
            <w:tcW w:w="366" w:type="pct"/>
            <w:tcBorders>
              <w:tl2br w:val="nil"/>
              <w:tr2bl w:val="nil"/>
            </w:tcBorders>
          </w:tcPr>
          <w:p w14:paraId="44AF3B2C"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90</w:t>
            </w:r>
          </w:p>
        </w:tc>
        <w:tc>
          <w:tcPr>
            <w:tcW w:w="704" w:type="pct"/>
            <w:tcBorders>
              <w:tl2br w:val="nil"/>
              <w:tr2bl w:val="nil"/>
            </w:tcBorders>
          </w:tcPr>
          <w:p w14:paraId="117DEFF6"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76B7634" w14:textId="77777777" w:rsidR="003E78AB" w:rsidRDefault="00010BF9">
            <w:pPr>
              <w:spacing w:line="240" w:lineRule="auto"/>
              <w:ind w:firstLineChars="0" w:firstLine="0"/>
              <w:jc w:val="center"/>
              <w:rPr>
                <w:kern w:val="2"/>
                <w:sz w:val="18"/>
                <w:szCs w:val="18"/>
              </w:rPr>
            </w:pPr>
            <w:r>
              <w:rPr>
                <w:rFonts w:hint="eastAsia"/>
                <w:kern w:val="2"/>
                <w:sz w:val="18"/>
                <w:szCs w:val="18"/>
              </w:rPr>
              <w:t>20</w:t>
            </w:r>
          </w:p>
        </w:tc>
        <w:tc>
          <w:tcPr>
            <w:tcW w:w="323" w:type="pct"/>
            <w:tcBorders>
              <w:tl2br w:val="nil"/>
              <w:tr2bl w:val="nil"/>
            </w:tcBorders>
          </w:tcPr>
          <w:p w14:paraId="60A26774" w14:textId="77777777" w:rsidR="003E78AB" w:rsidRDefault="00010BF9">
            <w:pPr>
              <w:spacing w:line="240" w:lineRule="auto"/>
              <w:ind w:firstLineChars="0" w:firstLine="0"/>
              <w:jc w:val="center"/>
              <w:rPr>
                <w:kern w:val="2"/>
                <w:sz w:val="18"/>
                <w:szCs w:val="18"/>
              </w:rPr>
            </w:pPr>
            <w:r>
              <w:rPr>
                <w:rFonts w:hint="eastAsia"/>
                <w:kern w:val="2"/>
                <w:sz w:val="18"/>
                <w:szCs w:val="18"/>
              </w:rPr>
              <w:t>120</w:t>
            </w:r>
          </w:p>
        </w:tc>
        <w:tc>
          <w:tcPr>
            <w:tcW w:w="292" w:type="pct"/>
            <w:tcBorders>
              <w:tl2br w:val="nil"/>
              <w:tr2bl w:val="nil"/>
            </w:tcBorders>
          </w:tcPr>
          <w:p w14:paraId="5167C0AE"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1457B080"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031AD773"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37C80C0D"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10832E30"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138F9B4A" w14:textId="77777777" w:rsidR="003E78AB" w:rsidRDefault="00010BF9">
            <w:pPr>
              <w:spacing w:line="240" w:lineRule="auto"/>
              <w:ind w:firstLineChars="0" w:firstLine="0"/>
              <w:jc w:val="center"/>
              <w:rPr>
                <w:kern w:val="2"/>
                <w:sz w:val="18"/>
                <w:szCs w:val="18"/>
              </w:rPr>
            </w:pPr>
            <w:r>
              <w:rPr>
                <w:kern w:val="2"/>
                <w:sz w:val="18"/>
                <w:szCs w:val="18"/>
              </w:rPr>
              <w:t>200</w:t>
            </w:r>
          </w:p>
        </w:tc>
      </w:tr>
      <w:tr w:rsidR="003E78AB" w14:paraId="05401F69" w14:textId="77777777">
        <w:trPr>
          <w:trHeight w:val="325"/>
        </w:trPr>
        <w:tc>
          <w:tcPr>
            <w:tcW w:w="235" w:type="pct"/>
            <w:tcBorders>
              <w:tl2br w:val="nil"/>
              <w:tr2bl w:val="nil"/>
            </w:tcBorders>
          </w:tcPr>
          <w:p w14:paraId="04EA020F" w14:textId="77777777" w:rsidR="003E78AB" w:rsidRDefault="00010BF9">
            <w:pPr>
              <w:spacing w:line="240" w:lineRule="auto"/>
              <w:ind w:firstLineChars="0" w:firstLine="0"/>
              <w:jc w:val="center"/>
              <w:rPr>
                <w:kern w:val="2"/>
                <w:sz w:val="18"/>
                <w:szCs w:val="18"/>
              </w:rPr>
            </w:pPr>
            <w:r>
              <w:rPr>
                <w:rFonts w:hint="eastAsia"/>
                <w:kern w:val="2"/>
                <w:sz w:val="18"/>
                <w:szCs w:val="18"/>
              </w:rPr>
              <w:t>22</w:t>
            </w:r>
          </w:p>
        </w:tc>
        <w:tc>
          <w:tcPr>
            <w:tcW w:w="293" w:type="pct"/>
            <w:vMerge/>
            <w:tcBorders>
              <w:tl2br w:val="nil"/>
              <w:tr2bl w:val="nil"/>
            </w:tcBorders>
          </w:tcPr>
          <w:p w14:paraId="205DA330" w14:textId="77777777" w:rsidR="003E78AB" w:rsidRDefault="003E78AB">
            <w:pPr>
              <w:spacing w:line="240" w:lineRule="auto"/>
              <w:ind w:firstLineChars="0" w:firstLine="0"/>
              <w:jc w:val="center"/>
              <w:rPr>
                <w:kern w:val="2"/>
                <w:sz w:val="18"/>
                <w:szCs w:val="18"/>
              </w:rPr>
            </w:pPr>
          </w:p>
        </w:tc>
        <w:tc>
          <w:tcPr>
            <w:tcW w:w="628" w:type="pct"/>
            <w:tcBorders>
              <w:tl2br w:val="nil"/>
              <w:tr2bl w:val="nil"/>
            </w:tcBorders>
          </w:tcPr>
          <w:p w14:paraId="434A2295" w14:textId="77777777" w:rsidR="003E78AB" w:rsidRDefault="00010BF9">
            <w:pPr>
              <w:spacing w:line="240" w:lineRule="auto"/>
              <w:ind w:firstLineChars="0" w:firstLine="0"/>
              <w:jc w:val="center"/>
              <w:rPr>
                <w:kern w:val="2"/>
                <w:sz w:val="18"/>
                <w:szCs w:val="18"/>
              </w:rPr>
            </w:pPr>
            <w:r>
              <w:rPr>
                <w:kern w:val="2"/>
                <w:sz w:val="18"/>
                <w:szCs w:val="18"/>
              </w:rPr>
              <w:t>除氧水泵</w:t>
            </w:r>
          </w:p>
        </w:tc>
        <w:tc>
          <w:tcPr>
            <w:tcW w:w="366" w:type="pct"/>
            <w:tcBorders>
              <w:tl2br w:val="nil"/>
              <w:tr2bl w:val="nil"/>
            </w:tcBorders>
          </w:tcPr>
          <w:p w14:paraId="0E1D862C" w14:textId="77777777" w:rsidR="003E78AB" w:rsidRDefault="00010BF9">
            <w:pPr>
              <w:spacing w:line="240" w:lineRule="auto"/>
              <w:ind w:firstLineChars="0" w:firstLine="0"/>
              <w:jc w:val="center"/>
              <w:rPr>
                <w:kern w:val="2"/>
                <w:sz w:val="18"/>
                <w:szCs w:val="18"/>
              </w:rPr>
            </w:pPr>
            <w:r>
              <w:rPr>
                <w:kern w:val="2"/>
                <w:sz w:val="18"/>
                <w:szCs w:val="18"/>
              </w:rPr>
              <w:t>75</w:t>
            </w:r>
            <w:r>
              <w:rPr>
                <w:kern w:val="2"/>
                <w:sz w:val="18"/>
                <w:szCs w:val="18"/>
              </w:rPr>
              <w:t>～</w:t>
            </w:r>
            <w:r>
              <w:rPr>
                <w:kern w:val="2"/>
                <w:sz w:val="18"/>
                <w:szCs w:val="18"/>
              </w:rPr>
              <w:t>90</w:t>
            </w:r>
          </w:p>
        </w:tc>
        <w:tc>
          <w:tcPr>
            <w:tcW w:w="704" w:type="pct"/>
            <w:tcBorders>
              <w:tl2br w:val="nil"/>
              <w:tr2bl w:val="nil"/>
            </w:tcBorders>
          </w:tcPr>
          <w:p w14:paraId="1DB109DF" w14:textId="77777777" w:rsidR="003E78AB" w:rsidRDefault="00010BF9">
            <w:pPr>
              <w:spacing w:line="240" w:lineRule="auto"/>
              <w:ind w:firstLineChars="0" w:firstLine="0"/>
              <w:jc w:val="center"/>
              <w:rPr>
                <w:kern w:val="2"/>
                <w:sz w:val="18"/>
                <w:szCs w:val="18"/>
              </w:rPr>
            </w:pPr>
            <w:r>
              <w:rPr>
                <w:kern w:val="2"/>
                <w:sz w:val="18"/>
                <w:szCs w:val="18"/>
              </w:rPr>
              <w:t>厂房隔声、基础减震</w:t>
            </w:r>
          </w:p>
        </w:tc>
        <w:tc>
          <w:tcPr>
            <w:tcW w:w="323" w:type="pct"/>
            <w:tcBorders>
              <w:tl2br w:val="nil"/>
              <w:tr2bl w:val="nil"/>
            </w:tcBorders>
          </w:tcPr>
          <w:p w14:paraId="2BD47938" w14:textId="77777777" w:rsidR="003E78AB" w:rsidRDefault="00010BF9">
            <w:pPr>
              <w:spacing w:line="240" w:lineRule="auto"/>
              <w:ind w:firstLineChars="0" w:firstLine="0"/>
              <w:jc w:val="center"/>
              <w:rPr>
                <w:kern w:val="2"/>
                <w:sz w:val="18"/>
                <w:szCs w:val="18"/>
              </w:rPr>
            </w:pPr>
            <w:r>
              <w:rPr>
                <w:rFonts w:hint="eastAsia"/>
                <w:kern w:val="2"/>
                <w:sz w:val="18"/>
                <w:szCs w:val="18"/>
              </w:rPr>
              <w:t>25</w:t>
            </w:r>
          </w:p>
        </w:tc>
        <w:tc>
          <w:tcPr>
            <w:tcW w:w="323" w:type="pct"/>
            <w:tcBorders>
              <w:tl2br w:val="nil"/>
              <w:tr2bl w:val="nil"/>
            </w:tcBorders>
          </w:tcPr>
          <w:p w14:paraId="113B1E95" w14:textId="77777777" w:rsidR="003E78AB" w:rsidRDefault="00010BF9">
            <w:pPr>
              <w:spacing w:line="240" w:lineRule="auto"/>
              <w:ind w:firstLineChars="0" w:firstLine="0"/>
              <w:jc w:val="center"/>
              <w:rPr>
                <w:kern w:val="2"/>
                <w:sz w:val="18"/>
                <w:szCs w:val="18"/>
              </w:rPr>
            </w:pPr>
            <w:r>
              <w:rPr>
                <w:rFonts w:hint="eastAsia"/>
                <w:kern w:val="2"/>
                <w:sz w:val="18"/>
                <w:szCs w:val="18"/>
              </w:rPr>
              <w:t>120</w:t>
            </w:r>
          </w:p>
        </w:tc>
        <w:tc>
          <w:tcPr>
            <w:tcW w:w="292" w:type="pct"/>
            <w:tcBorders>
              <w:tl2br w:val="nil"/>
              <w:tr2bl w:val="nil"/>
            </w:tcBorders>
          </w:tcPr>
          <w:p w14:paraId="2410E750" w14:textId="77777777" w:rsidR="003E78AB" w:rsidRDefault="00010BF9">
            <w:pPr>
              <w:spacing w:line="240" w:lineRule="auto"/>
              <w:ind w:firstLineChars="0" w:firstLine="0"/>
              <w:jc w:val="center"/>
              <w:rPr>
                <w:kern w:val="2"/>
                <w:sz w:val="18"/>
                <w:szCs w:val="18"/>
              </w:rPr>
            </w:pPr>
            <w:r>
              <w:rPr>
                <w:kern w:val="2"/>
                <w:sz w:val="18"/>
                <w:szCs w:val="18"/>
              </w:rPr>
              <w:t>0.5</w:t>
            </w:r>
          </w:p>
        </w:tc>
        <w:tc>
          <w:tcPr>
            <w:tcW w:w="384" w:type="pct"/>
            <w:tcBorders>
              <w:tl2br w:val="nil"/>
              <w:tr2bl w:val="nil"/>
            </w:tcBorders>
          </w:tcPr>
          <w:p w14:paraId="3786AFD8" w14:textId="77777777" w:rsidR="003E78AB" w:rsidRDefault="00010BF9">
            <w:pPr>
              <w:spacing w:line="240" w:lineRule="auto"/>
              <w:ind w:firstLineChars="0" w:firstLine="0"/>
              <w:jc w:val="center"/>
              <w:rPr>
                <w:kern w:val="2"/>
                <w:sz w:val="18"/>
                <w:szCs w:val="18"/>
              </w:rPr>
            </w:pPr>
            <w:r>
              <w:rPr>
                <w:kern w:val="2"/>
                <w:sz w:val="18"/>
                <w:szCs w:val="18"/>
              </w:rPr>
              <w:t>5</w:t>
            </w:r>
          </w:p>
        </w:tc>
        <w:tc>
          <w:tcPr>
            <w:tcW w:w="366" w:type="pct"/>
            <w:tcBorders>
              <w:tl2br w:val="nil"/>
              <w:tr2bl w:val="nil"/>
            </w:tcBorders>
          </w:tcPr>
          <w:p w14:paraId="4514CBC2" w14:textId="77777777" w:rsidR="003E78AB" w:rsidRDefault="00010BF9">
            <w:pPr>
              <w:spacing w:line="240" w:lineRule="auto"/>
              <w:ind w:firstLineChars="0" w:firstLine="0"/>
              <w:jc w:val="center"/>
              <w:rPr>
                <w:kern w:val="2"/>
                <w:sz w:val="18"/>
                <w:szCs w:val="18"/>
              </w:rPr>
            </w:pPr>
            <w:r>
              <w:rPr>
                <w:kern w:val="2"/>
                <w:sz w:val="18"/>
                <w:szCs w:val="18"/>
              </w:rPr>
              <w:t>60</w:t>
            </w:r>
          </w:p>
        </w:tc>
        <w:tc>
          <w:tcPr>
            <w:tcW w:w="366" w:type="pct"/>
            <w:tcBorders>
              <w:tl2br w:val="nil"/>
              <w:tr2bl w:val="nil"/>
            </w:tcBorders>
          </w:tcPr>
          <w:p w14:paraId="49D9A698" w14:textId="77777777" w:rsidR="003E78AB" w:rsidRDefault="00010BF9">
            <w:pPr>
              <w:spacing w:line="240" w:lineRule="auto"/>
              <w:ind w:firstLineChars="0" w:firstLine="0"/>
              <w:jc w:val="center"/>
              <w:rPr>
                <w:kern w:val="2"/>
                <w:sz w:val="18"/>
                <w:szCs w:val="18"/>
              </w:rPr>
            </w:pPr>
            <w:r>
              <w:rPr>
                <w:kern w:val="2"/>
                <w:sz w:val="18"/>
                <w:szCs w:val="18"/>
              </w:rPr>
              <w:t>15</w:t>
            </w:r>
          </w:p>
        </w:tc>
        <w:tc>
          <w:tcPr>
            <w:tcW w:w="366" w:type="pct"/>
            <w:tcBorders>
              <w:tl2br w:val="nil"/>
              <w:tr2bl w:val="nil"/>
            </w:tcBorders>
          </w:tcPr>
          <w:p w14:paraId="3DD8FC3F" w14:textId="77777777" w:rsidR="003E78AB" w:rsidRDefault="00010BF9">
            <w:pPr>
              <w:spacing w:line="240" w:lineRule="auto"/>
              <w:ind w:firstLineChars="0" w:firstLine="0"/>
              <w:jc w:val="center"/>
              <w:rPr>
                <w:kern w:val="2"/>
                <w:sz w:val="18"/>
                <w:szCs w:val="18"/>
              </w:rPr>
            </w:pPr>
            <w:r>
              <w:rPr>
                <w:kern w:val="2"/>
                <w:sz w:val="18"/>
                <w:szCs w:val="18"/>
              </w:rPr>
              <w:t>45</w:t>
            </w:r>
          </w:p>
        </w:tc>
        <w:tc>
          <w:tcPr>
            <w:tcW w:w="350" w:type="pct"/>
            <w:tcBorders>
              <w:tl2br w:val="nil"/>
              <w:tr2bl w:val="nil"/>
            </w:tcBorders>
          </w:tcPr>
          <w:p w14:paraId="4851CD5C" w14:textId="77777777" w:rsidR="003E78AB" w:rsidRDefault="00010BF9">
            <w:pPr>
              <w:spacing w:line="240" w:lineRule="auto"/>
              <w:ind w:firstLineChars="0" w:firstLine="0"/>
              <w:jc w:val="center"/>
              <w:rPr>
                <w:kern w:val="2"/>
                <w:sz w:val="18"/>
                <w:szCs w:val="18"/>
              </w:rPr>
            </w:pPr>
            <w:r>
              <w:rPr>
                <w:kern w:val="2"/>
                <w:sz w:val="18"/>
                <w:szCs w:val="18"/>
              </w:rPr>
              <w:t>200</w:t>
            </w:r>
          </w:p>
        </w:tc>
      </w:tr>
    </w:tbl>
    <w:p w14:paraId="0801C29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3</w:t>
      </w:r>
      <w:r>
        <w:rPr>
          <w:rFonts w:ascii="Times New Roman" w:hAnsi="Times New Roman"/>
        </w:rPr>
        <w:t>.4.2.4</w:t>
      </w:r>
      <w:r>
        <w:rPr>
          <w:rFonts w:ascii="Times New Roman" w:hAnsi="Times New Roman"/>
        </w:rPr>
        <w:t>固体废物污染源分析</w:t>
      </w:r>
    </w:p>
    <w:p w14:paraId="469293E3" w14:textId="77777777" w:rsidR="003E78AB" w:rsidRDefault="00010BF9">
      <w:pPr>
        <w:ind w:firstLine="480"/>
        <w:rPr>
          <w:bCs/>
          <w:kern w:val="2"/>
        </w:rPr>
      </w:pPr>
      <w:r>
        <w:rPr>
          <w:bCs/>
          <w:kern w:val="2"/>
        </w:rPr>
        <w:t>本项目运营期产生的固体废物主要分为一般固废、危险废物、生活垃圾</w:t>
      </w:r>
      <w:r>
        <w:rPr>
          <w:rFonts w:hint="eastAsia"/>
          <w:bCs/>
          <w:kern w:val="2"/>
        </w:rPr>
        <w:t>：其中一般固废有</w:t>
      </w:r>
      <w:r>
        <w:rPr>
          <w:bCs/>
          <w:kern w:val="2"/>
        </w:rPr>
        <w:t>纯水及软水制备固废（废滤芯、废过滤膜）由生产厂家回收利用；</w:t>
      </w:r>
      <w:r>
        <w:rPr>
          <w:rFonts w:hint="eastAsia"/>
          <w:bCs/>
          <w:kern w:val="2"/>
        </w:rPr>
        <w:t>吨包袋</w:t>
      </w:r>
      <w:r>
        <w:rPr>
          <w:bCs/>
          <w:kern w:val="2"/>
        </w:rPr>
        <w:t>由生产厂家回收利用</w:t>
      </w:r>
      <w:r>
        <w:rPr>
          <w:rFonts w:hint="eastAsia"/>
          <w:bCs/>
          <w:kern w:val="2"/>
        </w:rPr>
        <w:t>，其他</w:t>
      </w:r>
      <w:r>
        <w:rPr>
          <w:bCs/>
          <w:kern w:val="2"/>
        </w:rPr>
        <w:t>废包装物（未沾染有毒有害物质的）</w:t>
      </w:r>
      <w:r>
        <w:rPr>
          <w:rFonts w:hint="eastAsia"/>
          <w:bCs/>
          <w:kern w:val="2"/>
        </w:rPr>
        <w:t>外售综合利用</w:t>
      </w:r>
      <w:r>
        <w:rPr>
          <w:bCs/>
          <w:kern w:val="2"/>
        </w:rPr>
        <w:t>。</w:t>
      </w:r>
      <w:r>
        <w:rPr>
          <w:rFonts w:hint="eastAsia"/>
          <w:bCs/>
          <w:kern w:val="2"/>
        </w:rPr>
        <w:t>危险废物有车间沉降灰、</w:t>
      </w:r>
      <w:r>
        <w:rPr>
          <w:bCs/>
          <w:kern w:val="2"/>
        </w:rPr>
        <w:t>废包装袋内衬（沾染有毒有害物质的）、</w:t>
      </w:r>
      <w:r>
        <w:rPr>
          <w:rFonts w:hint="eastAsia"/>
          <w:bCs/>
          <w:kern w:val="2"/>
        </w:rPr>
        <w:t>废滤袋、</w:t>
      </w:r>
      <w:r>
        <w:rPr>
          <w:bCs/>
          <w:kern w:val="2"/>
        </w:rPr>
        <w:t>实验室废液、废试剂瓶、废润滑油、废包装桶、沾染物料的废抹布及劳保用品等</w:t>
      </w:r>
      <w:r>
        <w:rPr>
          <w:rFonts w:hint="eastAsia"/>
          <w:bCs/>
          <w:kern w:val="2"/>
        </w:rPr>
        <w:t>，</w:t>
      </w:r>
      <w:r>
        <w:rPr>
          <w:bCs/>
          <w:kern w:val="2"/>
        </w:rPr>
        <w:t>危险废物暂存于厂区危废暂存库，定期委托有资质单位处理</w:t>
      </w:r>
      <w:r>
        <w:rPr>
          <w:rFonts w:hint="eastAsia"/>
          <w:bCs/>
          <w:kern w:val="2"/>
        </w:rPr>
        <w:t>；生活垃圾</w:t>
      </w:r>
      <w:r>
        <w:rPr>
          <w:bCs/>
          <w:kern w:val="2"/>
        </w:rPr>
        <w:t>集中收集后交由园区环卫部门统一处理。结晶盐</w:t>
      </w:r>
      <w:r>
        <w:rPr>
          <w:rFonts w:hint="eastAsia"/>
          <w:bCs/>
          <w:kern w:val="2"/>
        </w:rPr>
        <w:t>为固体废物</w:t>
      </w:r>
      <w:r>
        <w:rPr>
          <w:bCs/>
          <w:kern w:val="2"/>
        </w:rPr>
        <w:t>，属性</w:t>
      </w:r>
      <w:r>
        <w:rPr>
          <w:rFonts w:hint="eastAsia"/>
          <w:bCs/>
          <w:kern w:val="2"/>
        </w:rPr>
        <w:t>确定</w:t>
      </w:r>
      <w:r>
        <w:rPr>
          <w:bCs/>
          <w:kern w:val="2"/>
        </w:rPr>
        <w:t>前按危废收集处置。投料除尘灰收集后回用于生产</w:t>
      </w:r>
      <w:r>
        <w:rPr>
          <w:rFonts w:hint="eastAsia"/>
          <w:bCs/>
          <w:kern w:val="2"/>
        </w:rPr>
        <w:t>，生产过程过滤出的钒渣和阳极罐排液均回用于溶解还原工序，不再作为固废识别。</w:t>
      </w:r>
    </w:p>
    <w:p w14:paraId="0040496E" w14:textId="77777777" w:rsidR="003E78AB" w:rsidRDefault="00010BF9">
      <w:pPr>
        <w:pStyle w:val="5"/>
        <w:keepNext w:val="0"/>
        <w:keepLines w:val="0"/>
        <w:ind w:firstLine="482"/>
        <w:rPr>
          <w:sz w:val="24"/>
        </w:rPr>
      </w:pPr>
      <w:r>
        <w:rPr>
          <w:rFonts w:hint="eastAsia"/>
          <w:sz w:val="24"/>
        </w:rPr>
        <w:t>1.</w:t>
      </w:r>
      <w:r>
        <w:rPr>
          <w:rFonts w:hint="eastAsia"/>
          <w:sz w:val="24"/>
        </w:rPr>
        <w:t>一般固废</w:t>
      </w:r>
    </w:p>
    <w:p w14:paraId="3D4DABE5" w14:textId="77777777" w:rsidR="003E78AB" w:rsidRDefault="00010BF9">
      <w:pPr>
        <w:ind w:firstLine="480"/>
        <w:rPr>
          <w:bCs/>
          <w:kern w:val="2"/>
        </w:rPr>
      </w:pPr>
      <w:r>
        <w:rPr>
          <w:rFonts w:hint="eastAsia"/>
          <w:bCs/>
          <w:kern w:val="2"/>
        </w:rPr>
        <w:t>①</w:t>
      </w:r>
      <w:r>
        <w:rPr>
          <w:bCs/>
          <w:kern w:val="2"/>
        </w:rPr>
        <w:t>纯水及软水制备固废（废滤芯、废过滤膜）</w:t>
      </w:r>
    </w:p>
    <w:p w14:paraId="67C84D1A" w14:textId="77777777" w:rsidR="003E78AB" w:rsidRDefault="00010BF9">
      <w:pPr>
        <w:ind w:firstLine="480"/>
        <w:rPr>
          <w:bCs/>
          <w:kern w:val="2"/>
        </w:rPr>
      </w:pPr>
      <w:r>
        <w:rPr>
          <w:bCs/>
          <w:kern w:val="2"/>
        </w:rPr>
        <w:t>项目纯水制备装置产生一定量的</w:t>
      </w:r>
      <w:r>
        <w:rPr>
          <w:rFonts w:hint="eastAsia"/>
          <w:bCs/>
          <w:kern w:val="2"/>
        </w:rPr>
        <w:t>废滤芯、</w:t>
      </w:r>
      <w:r>
        <w:rPr>
          <w:bCs/>
          <w:kern w:val="2"/>
        </w:rPr>
        <w:t>废超滤膜，根据相同工艺运行实际，超滤膜约</w:t>
      </w:r>
      <w:r>
        <w:rPr>
          <w:bCs/>
          <w:kern w:val="2"/>
        </w:rPr>
        <w:t>2</w:t>
      </w:r>
      <w:r>
        <w:rPr>
          <w:bCs/>
          <w:kern w:val="2"/>
        </w:rPr>
        <w:t>年更换一次，</w:t>
      </w:r>
      <w:r>
        <w:rPr>
          <w:rFonts w:hint="eastAsia"/>
          <w:bCs/>
          <w:kern w:val="2"/>
        </w:rPr>
        <w:t>废滤芯、</w:t>
      </w:r>
      <w:r>
        <w:rPr>
          <w:bCs/>
          <w:kern w:val="2"/>
        </w:rPr>
        <w:t>废膜产生量约为</w:t>
      </w:r>
      <w:r>
        <w:rPr>
          <w:rFonts w:hint="eastAsia"/>
          <w:bCs/>
          <w:kern w:val="2"/>
        </w:rPr>
        <w:t>0.5t/a</w:t>
      </w:r>
      <w:r>
        <w:rPr>
          <w:bCs/>
          <w:kern w:val="2"/>
        </w:rPr>
        <w:t>。本项目废膜是化学水处理系统中产生，属于一般工业固体废物</w:t>
      </w:r>
      <w:r>
        <w:rPr>
          <w:bCs/>
          <w:kern w:val="2"/>
        </w:rPr>
        <w:t>(SW59900-099-S59)</w:t>
      </w:r>
      <w:r>
        <w:rPr>
          <w:bCs/>
          <w:kern w:val="2"/>
        </w:rPr>
        <w:t>，产生后由设备维护厂家回收。</w:t>
      </w:r>
    </w:p>
    <w:p w14:paraId="0A42CFAA" w14:textId="77777777" w:rsidR="003E78AB" w:rsidRDefault="00010BF9">
      <w:pPr>
        <w:ind w:firstLine="480"/>
        <w:rPr>
          <w:bCs/>
          <w:kern w:val="2"/>
        </w:rPr>
      </w:pPr>
      <w:r>
        <w:rPr>
          <w:rFonts w:hint="eastAsia"/>
          <w:bCs/>
          <w:kern w:val="2"/>
        </w:rPr>
        <w:t>②</w:t>
      </w:r>
      <w:r>
        <w:rPr>
          <w:bCs/>
          <w:kern w:val="2"/>
        </w:rPr>
        <w:t>废包装物（未沾染有毒有害物质的）</w:t>
      </w:r>
    </w:p>
    <w:p w14:paraId="402571D8" w14:textId="77777777" w:rsidR="003E78AB" w:rsidRDefault="00010BF9">
      <w:pPr>
        <w:ind w:firstLine="480"/>
        <w:rPr>
          <w:bCs/>
          <w:kern w:val="2"/>
        </w:rPr>
      </w:pPr>
      <w:r>
        <w:rPr>
          <w:rFonts w:hint="eastAsia"/>
          <w:bCs/>
          <w:kern w:val="2"/>
        </w:rPr>
        <w:t>五氧化二钒、二水草酸为吨包袋包装，氢氧化钠</w:t>
      </w:r>
      <w:r>
        <w:rPr>
          <w:rFonts w:hint="eastAsia"/>
          <w:bCs/>
          <w:kern w:val="2"/>
        </w:rPr>
        <w:t>25</w:t>
      </w:r>
      <w:r>
        <w:rPr>
          <w:rFonts w:hint="eastAsia"/>
          <w:bCs/>
          <w:kern w:val="2"/>
        </w:rPr>
        <w:t>kg/</w:t>
      </w:r>
      <w:r>
        <w:rPr>
          <w:rFonts w:hint="eastAsia"/>
          <w:bCs/>
          <w:kern w:val="2"/>
        </w:rPr>
        <w:t>袋，外包装为编织袋，均有塑料袋膜作为内衬，外包装吨包袋不沾染有毒有害物质。根据原辅材料用量，吨包袋产生量为</w:t>
      </w:r>
      <w:r>
        <w:rPr>
          <w:rFonts w:hint="eastAsia"/>
          <w:bCs/>
          <w:kern w:val="2"/>
        </w:rPr>
        <w:t>15232</w:t>
      </w:r>
      <w:r>
        <w:rPr>
          <w:rFonts w:hint="eastAsia"/>
          <w:bCs/>
          <w:kern w:val="2"/>
        </w:rPr>
        <w:t>个</w:t>
      </w:r>
      <w:r>
        <w:rPr>
          <w:rFonts w:hint="eastAsia"/>
          <w:bCs/>
          <w:kern w:val="2"/>
        </w:rPr>
        <w:t>/a</w:t>
      </w:r>
      <w:r>
        <w:rPr>
          <w:rFonts w:hint="eastAsia"/>
          <w:bCs/>
          <w:kern w:val="2"/>
        </w:rPr>
        <w:t>，编织袋</w:t>
      </w:r>
      <w:r>
        <w:rPr>
          <w:rFonts w:hint="eastAsia"/>
          <w:bCs/>
          <w:kern w:val="2"/>
        </w:rPr>
        <w:t>8372</w:t>
      </w:r>
      <w:r>
        <w:rPr>
          <w:rFonts w:hint="eastAsia"/>
          <w:bCs/>
          <w:kern w:val="2"/>
        </w:rPr>
        <w:t>个</w:t>
      </w:r>
      <w:r>
        <w:rPr>
          <w:rFonts w:hint="eastAsia"/>
          <w:bCs/>
          <w:kern w:val="2"/>
        </w:rPr>
        <w:t>/a</w:t>
      </w:r>
      <w:r>
        <w:rPr>
          <w:rFonts w:hint="eastAsia"/>
          <w:bCs/>
          <w:kern w:val="2"/>
        </w:rPr>
        <w:t>，吨包袋取</w:t>
      </w:r>
      <w:r>
        <w:rPr>
          <w:rFonts w:hint="eastAsia"/>
          <w:bCs/>
          <w:kern w:val="2"/>
        </w:rPr>
        <w:t>2kg/</w:t>
      </w:r>
      <w:r>
        <w:rPr>
          <w:rFonts w:hint="eastAsia"/>
          <w:bCs/>
          <w:kern w:val="2"/>
        </w:rPr>
        <w:t>个、编织袋取</w:t>
      </w:r>
      <w:r>
        <w:rPr>
          <w:rFonts w:hint="eastAsia"/>
          <w:bCs/>
          <w:kern w:val="2"/>
        </w:rPr>
        <w:t>120g/</w:t>
      </w:r>
      <w:r>
        <w:rPr>
          <w:rFonts w:hint="eastAsia"/>
          <w:bCs/>
          <w:kern w:val="2"/>
        </w:rPr>
        <w:t>个，得出</w:t>
      </w:r>
      <w:r>
        <w:rPr>
          <w:bCs/>
          <w:kern w:val="2"/>
        </w:rPr>
        <w:t>废包装物（未沾染有毒有害物质的）</w:t>
      </w:r>
      <w:r>
        <w:rPr>
          <w:rFonts w:hint="eastAsia"/>
          <w:bCs/>
          <w:kern w:val="2"/>
        </w:rPr>
        <w:t>31.5t/a</w:t>
      </w:r>
      <w:r>
        <w:rPr>
          <w:rFonts w:hint="eastAsia"/>
          <w:bCs/>
          <w:kern w:val="2"/>
        </w:rPr>
        <w:t>。</w:t>
      </w:r>
      <w:r>
        <w:rPr>
          <w:bCs/>
          <w:kern w:val="2"/>
        </w:rPr>
        <w:t>属于一般工业固体废物</w:t>
      </w:r>
      <w:r>
        <w:rPr>
          <w:bCs/>
          <w:kern w:val="2"/>
        </w:rPr>
        <w:t>(SW</w:t>
      </w:r>
      <w:r>
        <w:rPr>
          <w:rFonts w:hint="eastAsia"/>
          <w:bCs/>
          <w:kern w:val="2"/>
        </w:rPr>
        <w:t>17</w:t>
      </w:r>
      <w:r>
        <w:rPr>
          <w:bCs/>
          <w:kern w:val="2"/>
        </w:rPr>
        <w:t>900-0</w:t>
      </w:r>
      <w:r>
        <w:rPr>
          <w:rFonts w:hint="eastAsia"/>
          <w:bCs/>
          <w:kern w:val="2"/>
        </w:rPr>
        <w:t>03</w:t>
      </w:r>
      <w:r>
        <w:rPr>
          <w:bCs/>
          <w:kern w:val="2"/>
        </w:rPr>
        <w:t>-S</w:t>
      </w:r>
      <w:r>
        <w:rPr>
          <w:rFonts w:hint="eastAsia"/>
          <w:bCs/>
          <w:kern w:val="2"/>
        </w:rPr>
        <w:t>17</w:t>
      </w:r>
      <w:r>
        <w:rPr>
          <w:bCs/>
          <w:kern w:val="2"/>
        </w:rPr>
        <w:t>)</w:t>
      </w:r>
      <w:r>
        <w:rPr>
          <w:bCs/>
          <w:kern w:val="2"/>
        </w:rPr>
        <w:t>，</w:t>
      </w:r>
      <w:r>
        <w:rPr>
          <w:rFonts w:hint="eastAsia"/>
          <w:bCs/>
          <w:kern w:val="2"/>
        </w:rPr>
        <w:t>收集后外售综合利用</w:t>
      </w:r>
      <w:r>
        <w:rPr>
          <w:bCs/>
          <w:kern w:val="2"/>
        </w:rPr>
        <w:t>。</w:t>
      </w:r>
    </w:p>
    <w:p w14:paraId="778D3113" w14:textId="77777777" w:rsidR="003E78AB" w:rsidRDefault="00010BF9">
      <w:pPr>
        <w:pStyle w:val="5"/>
        <w:keepNext w:val="0"/>
        <w:keepLines w:val="0"/>
        <w:ind w:firstLine="482"/>
        <w:rPr>
          <w:sz w:val="24"/>
        </w:rPr>
      </w:pPr>
      <w:r>
        <w:rPr>
          <w:rFonts w:hint="eastAsia"/>
          <w:sz w:val="24"/>
        </w:rPr>
        <w:t>2.</w:t>
      </w:r>
      <w:r>
        <w:rPr>
          <w:rFonts w:hint="eastAsia"/>
          <w:sz w:val="24"/>
        </w:rPr>
        <w:t>危险废物</w:t>
      </w:r>
    </w:p>
    <w:p w14:paraId="7EA09C49" w14:textId="77777777" w:rsidR="003E78AB" w:rsidRDefault="00010BF9">
      <w:pPr>
        <w:ind w:firstLine="480"/>
        <w:rPr>
          <w:bCs/>
          <w:kern w:val="2"/>
        </w:rPr>
      </w:pPr>
      <w:r>
        <w:rPr>
          <w:rFonts w:hint="eastAsia"/>
          <w:bCs/>
          <w:kern w:val="2"/>
        </w:rPr>
        <w:t>（</w:t>
      </w:r>
      <w:r>
        <w:rPr>
          <w:rFonts w:hint="eastAsia"/>
          <w:bCs/>
          <w:kern w:val="2"/>
        </w:rPr>
        <w:t>1</w:t>
      </w:r>
      <w:r>
        <w:rPr>
          <w:rFonts w:hint="eastAsia"/>
          <w:bCs/>
          <w:kern w:val="2"/>
        </w:rPr>
        <w:t>）无组织沉降粉尘</w:t>
      </w:r>
    </w:p>
    <w:p w14:paraId="72989C6B" w14:textId="77777777" w:rsidR="003E78AB" w:rsidRDefault="00010BF9">
      <w:pPr>
        <w:ind w:firstLine="480"/>
        <w:rPr>
          <w:bCs/>
          <w:kern w:val="2"/>
        </w:rPr>
      </w:pPr>
      <w:r>
        <w:rPr>
          <w:bCs/>
          <w:kern w:val="2"/>
        </w:rPr>
        <w:t>根据物料平衡，</w:t>
      </w:r>
      <w:r>
        <w:rPr>
          <w:rFonts w:hint="eastAsia"/>
          <w:bCs/>
          <w:kern w:val="2"/>
        </w:rPr>
        <w:t>车间无组织沉降的粉尘</w:t>
      </w:r>
      <w:r>
        <w:rPr>
          <w:bCs/>
          <w:kern w:val="2"/>
        </w:rPr>
        <w:t>量为</w:t>
      </w:r>
      <w:r>
        <w:rPr>
          <w:rFonts w:hint="eastAsia"/>
          <w:bCs/>
          <w:kern w:val="2"/>
        </w:rPr>
        <w:t>0.383</w:t>
      </w:r>
      <w:r>
        <w:rPr>
          <w:bCs/>
          <w:kern w:val="2"/>
        </w:rPr>
        <w:t>t/a</w:t>
      </w:r>
      <w:r>
        <w:rPr>
          <w:bCs/>
          <w:kern w:val="2"/>
        </w:rPr>
        <w:t>，其主要成分为</w:t>
      </w:r>
      <w:r>
        <w:rPr>
          <w:rFonts w:hint="eastAsia"/>
          <w:bCs/>
          <w:kern w:val="2"/>
        </w:rPr>
        <w:t>五氧化二钒</w:t>
      </w:r>
      <w:r>
        <w:rPr>
          <w:bCs/>
          <w:kern w:val="2"/>
        </w:rPr>
        <w:t>和</w:t>
      </w:r>
      <w:r>
        <w:rPr>
          <w:rFonts w:hint="eastAsia"/>
          <w:bCs/>
          <w:kern w:val="2"/>
        </w:rPr>
        <w:t>草酸</w:t>
      </w:r>
      <w:r>
        <w:rPr>
          <w:bCs/>
          <w:kern w:val="2"/>
        </w:rPr>
        <w:t>，</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w:t>
      </w:r>
      <w:r>
        <w:rPr>
          <w:bCs/>
          <w:kern w:val="2"/>
        </w:rPr>
        <w:t>险废物类别为</w:t>
      </w:r>
      <w:r>
        <w:rPr>
          <w:bCs/>
          <w:kern w:val="2"/>
        </w:rPr>
        <w:t>HW</w:t>
      </w:r>
      <w:r>
        <w:rPr>
          <w:rFonts w:hint="eastAsia"/>
          <w:bCs/>
          <w:kern w:val="2"/>
        </w:rPr>
        <w:t>49</w:t>
      </w:r>
      <w:r>
        <w:rPr>
          <w:bCs/>
          <w:kern w:val="2"/>
        </w:rPr>
        <w:t>，危险废物代码为</w:t>
      </w:r>
      <w:r>
        <w:rPr>
          <w:bCs/>
          <w:kern w:val="2"/>
        </w:rPr>
        <w:t>900-0</w:t>
      </w:r>
      <w:r>
        <w:rPr>
          <w:rFonts w:hint="eastAsia"/>
          <w:bCs/>
          <w:kern w:val="2"/>
        </w:rPr>
        <w:t>39</w:t>
      </w:r>
      <w:r>
        <w:rPr>
          <w:bCs/>
          <w:kern w:val="2"/>
        </w:rPr>
        <w:t>-49</w:t>
      </w:r>
      <w:r>
        <w:rPr>
          <w:rFonts w:hint="eastAsia"/>
          <w:bCs/>
          <w:kern w:val="2"/>
        </w:rPr>
        <w:t>，作为危险废物在危险废物暂存间收集后交有资质的单位清运处置</w:t>
      </w:r>
      <w:r>
        <w:rPr>
          <w:bCs/>
          <w:kern w:val="2"/>
        </w:rPr>
        <w:t>。</w:t>
      </w:r>
    </w:p>
    <w:p w14:paraId="63B5B778" w14:textId="77777777" w:rsidR="003E78AB" w:rsidRDefault="00010BF9">
      <w:pPr>
        <w:ind w:firstLine="480"/>
        <w:rPr>
          <w:bCs/>
          <w:kern w:val="2"/>
        </w:rPr>
      </w:pPr>
      <w:r>
        <w:rPr>
          <w:rFonts w:hint="eastAsia"/>
          <w:bCs/>
          <w:kern w:val="2"/>
        </w:rPr>
        <w:t>（</w:t>
      </w:r>
      <w:r>
        <w:rPr>
          <w:rFonts w:hint="eastAsia"/>
          <w:bCs/>
          <w:kern w:val="2"/>
        </w:rPr>
        <w:t>2</w:t>
      </w:r>
      <w:r>
        <w:rPr>
          <w:rFonts w:hint="eastAsia"/>
          <w:bCs/>
          <w:kern w:val="2"/>
        </w:rPr>
        <w:t>）</w:t>
      </w:r>
      <w:r>
        <w:rPr>
          <w:bCs/>
          <w:kern w:val="2"/>
        </w:rPr>
        <w:t>废包装袋内衬（沾染有毒有害物质的）</w:t>
      </w:r>
    </w:p>
    <w:p w14:paraId="4D4C6783" w14:textId="77777777" w:rsidR="003E78AB" w:rsidRDefault="00010BF9">
      <w:pPr>
        <w:ind w:firstLine="480"/>
        <w:rPr>
          <w:bCs/>
          <w:kern w:val="2"/>
        </w:rPr>
      </w:pPr>
      <w:r>
        <w:rPr>
          <w:rFonts w:hint="eastAsia"/>
          <w:bCs/>
          <w:kern w:val="2"/>
        </w:rPr>
        <w:t>原辅材料包装的内衬一般为塑料袋膜，沾染有五氧化二钒、二水草酸、氢氧化钠等化学品，产生量约</w:t>
      </w:r>
      <w:r>
        <w:rPr>
          <w:rFonts w:hint="eastAsia"/>
          <w:bCs/>
          <w:kern w:val="2"/>
        </w:rPr>
        <w:t>0.35t/a</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属于危险废物，危险废物类别为</w:t>
      </w:r>
      <w:r>
        <w:rPr>
          <w:bCs/>
          <w:kern w:val="2"/>
        </w:rPr>
        <w:t>HW</w:t>
      </w:r>
      <w:r>
        <w:rPr>
          <w:rFonts w:hint="eastAsia"/>
          <w:bCs/>
          <w:kern w:val="2"/>
        </w:rPr>
        <w:t>49</w:t>
      </w:r>
      <w:r>
        <w:rPr>
          <w:bCs/>
          <w:kern w:val="2"/>
        </w:rPr>
        <w:t>，危险废物代码为</w:t>
      </w:r>
      <w:r>
        <w:rPr>
          <w:bCs/>
          <w:kern w:val="2"/>
        </w:rPr>
        <w:t>900-04</w:t>
      </w:r>
      <w:r>
        <w:rPr>
          <w:rFonts w:hint="eastAsia"/>
          <w:bCs/>
          <w:kern w:val="2"/>
        </w:rPr>
        <w:t>1</w:t>
      </w:r>
      <w:r>
        <w:rPr>
          <w:bCs/>
          <w:kern w:val="2"/>
        </w:rPr>
        <w:t>-49</w:t>
      </w:r>
      <w:r>
        <w:rPr>
          <w:rFonts w:hint="eastAsia"/>
          <w:bCs/>
          <w:kern w:val="2"/>
        </w:rPr>
        <w:t>，作为危险废物在危险废物暂存间收集后交有资质的单位清运处置</w:t>
      </w:r>
      <w:r>
        <w:rPr>
          <w:bCs/>
          <w:kern w:val="2"/>
        </w:rPr>
        <w:t>。</w:t>
      </w:r>
    </w:p>
    <w:p w14:paraId="072BDC2B" w14:textId="77777777" w:rsidR="003E78AB" w:rsidRDefault="00010BF9">
      <w:pPr>
        <w:ind w:firstLine="480"/>
        <w:rPr>
          <w:bCs/>
          <w:kern w:val="2"/>
        </w:rPr>
      </w:pPr>
      <w:r>
        <w:rPr>
          <w:rFonts w:hint="eastAsia"/>
          <w:bCs/>
          <w:kern w:val="2"/>
        </w:rPr>
        <w:t>（</w:t>
      </w:r>
      <w:r>
        <w:rPr>
          <w:rFonts w:hint="eastAsia"/>
          <w:bCs/>
          <w:kern w:val="2"/>
        </w:rPr>
        <w:t>3</w:t>
      </w:r>
      <w:r>
        <w:rPr>
          <w:rFonts w:hint="eastAsia"/>
          <w:bCs/>
          <w:kern w:val="2"/>
        </w:rPr>
        <w:t>）废滤袋</w:t>
      </w:r>
    </w:p>
    <w:p w14:paraId="38AA0D5A" w14:textId="77777777" w:rsidR="003E78AB" w:rsidRDefault="00010BF9">
      <w:pPr>
        <w:ind w:firstLine="480"/>
      </w:pPr>
      <w:r>
        <w:rPr>
          <w:rFonts w:hint="eastAsia"/>
        </w:rPr>
        <w:t>五氧化二钒和二水草酸投料配套的袋式除尘器需定期更换</w:t>
      </w:r>
      <w:r>
        <w:rPr>
          <w:rFonts w:hint="eastAsia"/>
        </w:rPr>
        <w:t>滤袋，产生量约</w:t>
      </w:r>
      <w:r>
        <w:rPr>
          <w:rFonts w:hint="eastAsia"/>
        </w:rPr>
        <w:t>0.5t/a</w:t>
      </w:r>
      <w:r>
        <w:rPr>
          <w:rFonts w:hint="eastAsia"/>
        </w:rPr>
        <w:t>，</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属于危险废物，危险废物类别为</w:t>
      </w:r>
      <w:r>
        <w:rPr>
          <w:bCs/>
          <w:kern w:val="2"/>
        </w:rPr>
        <w:t>HW</w:t>
      </w:r>
      <w:r>
        <w:rPr>
          <w:rFonts w:hint="eastAsia"/>
          <w:bCs/>
          <w:kern w:val="2"/>
        </w:rPr>
        <w:t>49</w:t>
      </w:r>
      <w:r>
        <w:rPr>
          <w:bCs/>
          <w:kern w:val="2"/>
        </w:rPr>
        <w:t>，危险废物代码为</w:t>
      </w:r>
      <w:r>
        <w:rPr>
          <w:bCs/>
          <w:kern w:val="2"/>
        </w:rPr>
        <w:t>900-04</w:t>
      </w:r>
      <w:r>
        <w:rPr>
          <w:rFonts w:hint="eastAsia"/>
          <w:bCs/>
          <w:kern w:val="2"/>
        </w:rPr>
        <w:t>1</w:t>
      </w:r>
      <w:r>
        <w:rPr>
          <w:bCs/>
          <w:kern w:val="2"/>
        </w:rPr>
        <w:t>-49</w:t>
      </w:r>
      <w:r>
        <w:rPr>
          <w:rFonts w:hint="eastAsia"/>
          <w:bCs/>
          <w:kern w:val="2"/>
        </w:rPr>
        <w:t>，作为危险废物在危险废物暂存间收集后交有资质的单位清运处置</w:t>
      </w:r>
      <w:r>
        <w:rPr>
          <w:bCs/>
          <w:kern w:val="2"/>
        </w:rPr>
        <w:t>。</w:t>
      </w:r>
    </w:p>
    <w:p w14:paraId="6ECF0438" w14:textId="77777777" w:rsidR="003E78AB" w:rsidRDefault="00010BF9">
      <w:pPr>
        <w:ind w:firstLine="480"/>
        <w:rPr>
          <w:bCs/>
          <w:kern w:val="2"/>
        </w:rPr>
      </w:pPr>
      <w:r>
        <w:rPr>
          <w:rFonts w:hint="eastAsia"/>
          <w:bCs/>
          <w:kern w:val="2"/>
        </w:rPr>
        <w:t>（</w:t>
      </w:r>
      <w:r>
        <w:rPr>
          <w:rFonts w:hint="eastAsia"/>
          <w:bCs/>
          <w:kern w:val="2"/>
        </w:rPr>
        <w:t>4</w:t>
      </w:r>
      <w:r>
        <w:rPr>
          <w:rFonts w:hint="eastAsia"/>
          <w:bCs/>
          <w:kern w:val="2"/>
        </w:rPr>
        <w:t>）实验室废液</w:t>
      </w:r>
    </w:p>
    <w:p w14:paraId="16E1BFF9" w14:textId="77777777" w:rsidR="003E78AB" w:rsidRDefault="00010BF9">
      <w:pPr>
        <w:ind w:firstLine="480"/>
        <w:rPr>
          <w:bCs/>
          <w:kern w:val="2"/>
        </w:rPr>
      </w:pPr>
      <w:r>
        <w:rPr>
          <w:bCs/>
          <w:kern w:val="2"/>
        </w:rPr>
        <w:t>项目实验室运行过程会产生部分废试剂、废溶剂等，产生量约</w:t>
      </w:r>
      <w:r>
        <w:rPr>
          <w:rFonts w:hint="eastAsia"/>
          <w:bCs/>
          <w:kern w:val="2"/>
        </w:rPr>
        <w:t>1.5</w:t>
      </w:r>
      <w:r>
        <w:rPr>
          <w:bCs/>
          <w:kern w:val="2"/>
        </w:rPr>
        <w:t>t/a</w:t>
      </w:r>
      <w:r>
        <w:rPr>
          <w:bCs/>
          <w:kern w:val="2"/>
        </w:rPr>
        <w:t>，</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属于危险废物，危险废物类别为</w:t>
      </w:r>
      <w:r>
        <w:rPr>
          <w:bCs/>
          <w:kern w:val="2"/>
        </w:rPr>
        <w:t>HW</w:t>
      </w:r>
      <w:r>
        <w:rPr>
          <w:rFonts w:hint="eastAsia"/>
          <w:bCs/>
          <w:kern w:val="2"/>
        </w:rPr>
        <w:t>49</w:t>
      </w:r>
      <w:r>
        <w:rPr>
          <w:bCs/>
          <w:kern w:val="2"/>
        </w:rPr>
        <w:t>，危险废物代码为</w:t>
      </w:r>
      <w:r>
        <w:rPr>
          <w:bCs/>
          <w:kern w:val="2"/>
        </w:rPr>
        <w:t>900-047-49</w:t>
      </w:r>
      <w:r>
        <w:rPr>
          <w:rFonts w:hint="eastAsia"/>
          <w:bCs/>
          <w:kern w:val="2"/>
        </w:rPr>
        <w:t>，</w:t>
      </w:r>
      <w:r>
        <w:rPr>
          <w:bCs/>
          <w:kern w:val="2"/>
        </w:rPr>
        <w:t>在实验室内专用容器贮存，交由有资质的单位清运处置。</w:t>
      </w:r>
    </w:p>
    <w:p w14:paraId="6D8E6F06" w14:textId="77777777" w:rsidR="003E78AB" w:rsidRDefault="00010BF9">
      <w:pPr>
        <w:ind w:firstLine="480"/>
        <w:rPr>
          <w:bCs/>
          <w:kern w:val="2"/>
        </w:rPr>
      </w:pPr>
      <w:r>
        <w:rPr>
          <w:rFonts w:hint="eastAsia"/>
          <w:bCs/>
          <w:kern w:val="2"/>
        </w:rPr>
        <w:t>（</w:t>
      </w:r>
      <w:r>
        <w:rPr>
          <w:rFonts w:hint="eastAsia"/>
          <w:bCs/>
          <w:kern w:val="2"/>
        </w:rPr>
        <w:t>5</w:t>
      </w:r>
      <w:r>
        <w:rPr>
          <w:rFonts w:hint="eastAsia"/>
          <w:bCs/>
          <w:kern w:val="2"/>
        </w:rPr>
        <w:t>）废试剂瓶</w:t>
      </w:r>
    </w:p>
    <w:p w14:paraId="0C462288" w14:textId="77777777" w:rsidR="003E78AB" w:rsidRDefault="00010BF9">
      <w:pPr>
        <w:ind w:firstLine="480"/>
        <w:rPr>
          <w:bCs/>
          <w:kern w:val="2"/>
        </w:rPr>
      </w:pPr>
      <w:r>
        <w:rPr>
          <w:rFonts w:hint="eastAsia"/>
          <w:bCs/>
          <w:kern w:val="2"/>
        </w:rPr>
        <w:t>实验室产生的废试剂瓶</w:t>
      </w:r>
      <w:r>
        <w:rPr>
          <w:bCs/>
          <w:kern w:val="2"/>
        </w:rPr>
        <w:t>产生量约</w:t>
      </w:r>
      <w:r>
        <w:rPr>
          <w:rFonts w:hint="eastAsia"/>
          <w:bCs/>
          <w:kern w:val="2"/>
        </w:rPr>
        <w:t>0.2</w:t>
      </w:r>
      <w:r>
        <w:rPr>
          <w:bCs/>
          <w:kern w:val="2"/>
        </w:rPr>
        <w:t>t/a</w:t>
      </w:r>
      <w:r>
        <w:rPr>
          <w:bCs/>
          <w:kern w:val="2"/>
        </w:rPr>
        <w:t>，</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属于危险废物，危险废物类别为</w:t>
      </w:r>
      <w:r>
        <w:rPr>
          <w:bCs/>
          <w:kern w:val="2"/>
        </w:rPr>
        <w:t>HW</w:t>
      </w:r>
      <w:r>
        <w:rPr>
          <w:rFonts w:hint="eastAsia"/>
          <w:bCs/>
          <w:kern w:val="2"/>
        </w:rPr>
        <w:t>49</w:t>
      </w:r>
      <w:r>
        <w:rPr>
          <w:bCs/>
          <w:kern w:val="2"/>
        </w:rPr>
        <w:t>，危险废物代码为</w:t>
      </w:r>
      <w:r>
        <w:rPr>
          <w:bCs/>
          <w:kern w:val="2"/>
        </w:rPr>
        <w:t>900-047-49</w:t>
      </w:r>
      <w:r>
        <w:rPr>
          <w:rFonts w:hint="eastAsia"/>
          <w:bCs/>
          <w:kern w:val="2"/>
        </w:rPr>
        <w:t>，</w:t>
      </w:r>
      <w:r>
        <w:rPr>
          <w:bCs/>
          <w:kern w:val="2"/>
        </w:rPr>
        <w:t>在实验室内专用容器贮存，交由有资质的单位清运处置。</w:t>
      </w:r>
    </w:p>
    <w:p w14:paraId="79A77DDD" w14:textId="77777777" w:rsidR="003E78AB" w:rsidRDefault="00010BF9">
      <w:pPr>
        <w:ind w:firstLine="480"/>
        <w:rPr>
          <w:bCs/>
          <w:kern w:val="2"/>
        </w:rPr>
      </w:pPr>
      <w:r>
        <w:rPr>
          <w:rFonts w:hint="eastAsia"/>
          <w:bCs/>
          <w:kern w:val="2"/>
        </w:rPr>
        <w:t>（</w:t>
      </w:r>
      <w:r>
        <w:rPr>
          <w:rFonts w:hint="eastAsia"/>
          <w:bCs/>
          <w:kern w:val="2"/>
        </w:rPr>
        <w:t>6</w:t>
      </w:r>
      <w:r>
        <w:rPr>
          <w:rFonts w:hint="eastAsia"/>
          <w:bCs/>
          <w:kern w:val="2"/>
        </w:rPr>
        <w:t>）</w:t>
      </w:r>
      <w:r>
        <w:rPr>
          <w:bCs/>
          <w:kern w:val="2"/>
        </w:rPr>
        <w:t>废润滑油</w:t>
      </w:r>
    </w:p>
    <w:p w14:paraId="29948BE9" w14:textId="77777777" w:rsidR="003E78AB" w:rsidRDefault="00010BF9">
      <w:pPr>
        <w:ind w:firstLine="480"/>
        <w:rPr>
          <w:bCs/>
          <w:kern w:val="2"/>
        </w:rPr>
      </w:pPr>
      <w:r>
        <w:rPr>
          <w:bCs/>
          <w:kern w:val="2"/>
        </w:rPr>
        <w:t>项目各类生产设备在运行过程需要定期保养，保养期间会产生废润滑油，产生量约为</w:t>
      </w:r>
      <w:r>
        <w:rPr>
          <w:bCs/>
          <w:kern w:val="2"/>
        </w:rPr>
        <w:t>2t/a</w:t>
      </w:r>
      <w:r>
        <w:rPr>
          <w:bCs/>
          <w:kern w:val="2"/>
        </w:rPr>
        <w:t>，根据《国家危险废物名录》（</w:t>
      </w:r>
      <w:r>
        <w:rPr>
          <w:bCs/>
          <w:kern w:val="2"/>
        </w:rPr>
        <w:t>202</w:t>
      </w:r>
      <w:r>
        <w:rPr>
          <w:rFonts w:hint="eastAsia"/>
          <w:bCs/>
          <w:kern w:val="2"/>
        </w:rPr>
        <w:t>5</w:t>
      </w:r>
      <w:r>
        <w:rPr>
          <w:bCs/>
          <w:kern w:val="2"/>
        </w:rPr>
        <w:t>年版），废</w:t>
      </w:r>
      <w:r>
        <w:rPr>
          <w:rFonts w:hint="eastAsia"/>
          <w:bCs/>
          <w:kern w:val="2"/>
        </w:rPr>
        <w:t>润滑</w:t>
      </w:r>
      <w:r>
        <w:rPr>
          <w:bCs/>
          <w:kern w:val="2"/>
        </w:rPr>
        <w:t>油属于危险废物，危险废物类别为</w:t>
      </w:r>
      <w:r>
        <w:rPr>
          <w:bCs/>
          <w:kern w:val="2"/>
        </w:rPr>
        <w:t>HW08</w:t>
      </w:r>
      <w:r>
        <w:rPr>
          <w:bCs/>
          <w:kern w:val="2"/>
        </w:rPr>
        <w:t>，危险废物代码为</w:t>
      </w:r>
      <w:r>
        <w:rPr>
          <w:rFonts w:hint="eastAsia"/>
          <w:bCs/>
          <w:kern w:val="2"/>
        </w:rPr>
        <w:t>900-217-08</w:t>
      </w:r>
      <w:r>
        <w:rPr>
          <w:bCs/>
          <w:kern w:val="2"/>
        </w:rPr>
        <w:t>，要求收集在厂区危废暂存库内设置专用容器收集后定期交由有资质单位处置。</w:t>
      </w:r>
    </w:p>
    <w:p w14:paraId="42C8309A" w14:textId="77777777" w:rsidR="003E78AB" w:rsidRDefault="00010BF9">
      <w:pPr>
        <w:ind w:firstLine="480"/>
        <w:rPr>
          <w:bCs/>
          <w:kern w:val="2"/>
        </w:rPr>
      </w:pPr>
      <w:r>
        <w:rPr>
          <w:rFonts w:hint="eastAsia"/>
          <w:bCs/>
          <w:kern w:val="2"/>
        </w:rPr>
        <w:t>（</w:t>
      </w:r>
      <w:r>
        <w:rPr>
          <w:rFonts w:hint="eastAsia"/>
          <w:bCs/>
          <w:kern w:val="2"/>
        </w:rPr>
        <w:t>7</w:t>
      </w:r>
      <w:r>
        <w:rPr>
          <w:rFonts w:hint="eastAsia"/>
          <w:bCs/>
          <w:kern w:val="2"/>
        </w:rPr>
        <w:t>）废包装桶</w:t>
      </w:r>
    </w:p>
    <w:p w14:paraId="14FD5E50" w14:textId="77777777" w:rsidR="003E78AB" w:rsidRDefault="00010BF9">
      <w:pPr>
        <w:ind w:firstLine="480"/>
        <w:rPr>
          <w:bCs/>
          <w:kern w:val="2"/>
        </w:rPr>
      </w:pPr>
      <w:r>
        <w:rPr>
          <w:rFonts w:hint="eastAsia"/>
          <w:bCs/>
          <w:kern w:val="2"/>
        </w:rPr>
        <w:t>润滑</w:t>
      </w:r>
      <w:r>
        <w:rPr>
          <w:rFonts w:hint="eastAsia"/>
          <w:bCs/>
          <w:kern w:val="2"/>
        </w:rPr>
        <w:t>油包装桶属于危险废物，产生量</w:t>
      </w:r>
      <w:r>
        <w:rPr>
          <w:rFonts w:hint="eastAsia"/>
          <w:bCs/>
          <w:kern w:val="2"/>
        </w:rPr>
        <w:t>10</w:t>
      </w:r>
      <w:r>
        <w:rPr>
          <w:rFonts w:hint="eastAsia"/>
          <w:bCs/>
          <w:kern w:val="2"/>
        </w:rPr>
        <w:t>桶，空桶</w:t>
      </w:r>
      <w:r>
        <w:rPr>
          <w:rFonts w:hint="eastAsia"/>
          <w:bCs/>
          <w:kern w:val="2"/>
        </w:rPr>
        <w:t>25kg/</w:t>
      </w:r>
      <w:r>
        <w:rPr>
          <w:rFonts w:hint="eastAsia"/>
          <w:bCs/>
          <w:kern w:val="2"/>
        </w:rPr>
        <w:t>个，折合约</w:t>
      </w:r>
      <w:r>
        <w:rPr>
          <w:rFonts w:hint="eastAsia"/>
          <w:bCs/>
          <w:kern w:val="2"/>
        </w:rPr>
        <w:t>0.25t/a</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属于危险废物，危险废物类别为</w:t>
      </w:r>
      <w:r>
        <w:rPr>
          <w:bCs/>
          <w:kern w:val="2"/>
        </w:rPr>
        <w:t>HW</w:t>
      </w:r>
      <w:r>
        <w:rPr>
          <w:rFonts w:hint="eastAsia"/>
          <w:bCs/>
          <w:kern w:val="2"/>
        </w:rPr>
        <w:t>49</w:t>
      </w:r>
      <w:r>
        <w:rPr>
          <w:bCs/>
          <w:kern w:val="2"/>
        </w:rPr>
        <w:t>，危险废物代码为</w:t>
      </w:r>
      <w:r>
        <w:rPr>
          <w:bCs/>
          <w:kern w:val="2"/>
        </w:rPr>
        <w:t>900-04</w:t>
      </w:r>
      <w:r>
        <w:rPr>
          <w:rFonts w:hint="eastAsia"/>
          <w:bCs/>
          <w:kern w:val="2"/>
        </w:rPr>
        <w:t>1</w:t>
      </w:r>
      <w:r>
        <w:rPr>
          <w:bCs/>
          <w:kern w:val="2"/>
        </w:rPr>
        <w:t>-49</w:t>
      </w:r>
      <w:r>
        <w:rPr>
          <w:rFonts w:hint="eastAsia"/>
          <w:bCs/>
          <w:kern w:val="2"/>
        </w:rPr>
        <w:t>，作为危险废物在危险废物暂存间收集后交有资质的单位清运处置</w:t>
      </w:r>
      <w:r>
        <w:rPr>
          <w:bCs/>
          <w:kern w:val="2"/>
        </w:rPr>
        <w:t>。</w:t>
      </w:r>
    </w:p>
    <w:p w14:paraId="5717D8C9" w14:textId="77777777" w:rsidR="003E78AB" w:rsidRDefault="00010BF9">
      <w:pPr>
        <w:ind w:firstLine="480"/>
        <w:rPr>
          <w:bCs/>
          <w:kern w:val="2"/>
        </w:rPr>
      </w:pPr>
      <w:r>
        <w:rPr>
          <w:rFonts w:hint="eastAsia"/>
          <w:bCs/>
          <w:kern w:val="2"/>
        </w:rPr>
        <w:t>（</w:t>
      </w:r>
      <w:r>
        <w:rPr>
          <w:rFonts w:hint="eastAsia"/>
          <w:bCs/>
          <w:kern w:val="2"/>
        </w:rPr>
        <w:t>8</w:t>
      </w:r>
      <w:r>
        <w:rPr>
          <w:rFonts w:hint="eastAsia"/>
          <w:bCs/>
          <w:kern w:val="2"/>
        </w:rPr>
        <w:t>）</w:t>
      </w:r>
      <w:r>
        <w:rPr>
          <w:bCs/>
          <w:kern w:val="2"/>
        </w:rPr>
        <w:t>沾染物料的废抹布及劳保用品</w:t>
      </w:r>
    </w:p>
    <w:p w14:paraId="48E479ED" w14:textId="77777777" w:rsidR="003E78AB" w:rsidRDefault="00010BF9">
      <w:pPr>
        <w:ind w:firstLine="480"/>
        <w:rPr>
          <w:bCs/>
          <w:kern w:val="2"/>
        </w:rPr>
      </w:pPr>
      <w:r>
        <w:rPr>
          <w:rFonts w:hint="eastAsia"/>
          <w:bCs/>
          <w:kern w:val="2"/>
        </w:rPr>
        <w:t>生产检维修过程、清洁过程使用抹布等清洁用品、劳保用品，沾染了含钒、含酸、含油等物质，产生量约</w:t>
      </w:r>
      <w:r>
        <w:rPr>
          <w:rFonts w:hint="eastAsia"/>
          <w:bCs/>
          <w:kern w:val="2"/>
        </w:rPr>
        <w:t>0.5t/a</w:t>
      </w:r>
      <w:r>
        <w:rPr>
          <w:rFonts w:hint="eastAsia"/>
          <w:bCs/>
          <w:kern w:val="2"/>
        </w:rPr>
        <w:t>，根</w:t>
      </w:r>
      <w:r>
        <w:rPr>
          <w:bCs/>
          <w:kern w:val="2"/>
        </w:rPr>
        <w:t>据《国家危险废物名录》（</w:t>
      </w:r>
      <w:r>
        <w:rPr>
          <w:bCs/>
          <w:kern w:val="2"/>
        </w:rPr>
        <w:t>202</w:t>
      </w:r>
      <w:r>
        <w:rPr>
          <w:rFonts w:hint="eastAsia"/>
          <w:bCs/>
          <w:kern w:val="2"/>
        </w:rPr>
        <w:t>5</w:t>
      </w:r>
      <w:r>
        <w:rPr>
          <w:bCs/>
          <w:kern w:val="2"/>
        </w:rPr>
        <w:t>年版），</w:t>
      </w:r>
      <w:r>
        <w:rPr>
          <w:rFonts w:hint="eastAsia"/>
          <w:bCs/>
          <w:kern w:val="2"/>
        </w:rPr>
        <w:t>废试剂瓶</w:t>
      </w:r>
      <w:r>
        <w:rPr>
          <w:bCs/>
          <w:kern w:val="2"/>
        </w:rPr>
        <w:t>属于危险废物，危险废物类别为</w:t>
      </w:r>
      <w:r>
        <w:rPr>
          <w:bCs/>
          <w:kern w:val="2"/>
        </w:rPr>
        <w:t>HW</w:t>
      </w:r>
      <w:r>
        <w:rPr>
          <w:rFonts w:hint="eastAsia"/>
          <w:bCs/>
          <w:kern w:val="2"/>
        </w:rPr>
        <w:t>49</w:t>
      </w:r>
      <w:r>
        <w:rPr>
          <w:bCs/>
          <w:kern w:val="2"/>
        </w:rPr>
        <w:t>，危险废物代码为</w:t>
      </w:r>
      <w:r>
        <w:rPr>
          <w:bCs/>
          <w:kern w:val="2"/>
        </w:rPr>
        <w:t>900-0</w:t>
      </w:r>
      <w:r>
        <w:rPr>
          <w:bCs/>
          <w:kern w:val="2"/>
        </w:rPr>
        <w:t>4</w:t>
      </w:r>
      <w:r>
        <w:rPr>
          <w:rFonts w:hint="eastAsia"/>
          <w:bCs/>
          <w:kern w:val="2"/>
        </w:rPr>
        <w:t>1</w:t>
      </w:r>
      <w:r>
        <w:rPr>
          <w:bCs/>
          <w:kern w:val="2"/>
        </w:rPr>
        <w:t>-49</w:t>
      </w:r>
      <w:r>
        <w:rPr>
          <w:rFonts w:hint="eastAsia"/>
          <w:bCs/>
          <w:kern w:val="2"/>
        </w:rPr>
        <w:t>，作为危险废物在危险废物暂存间收集后交有资质的单位清运处置</w:t>
      </w:r>
      <w:r>
        <w:rPr>
          <w:bCs/>
          <w:kern w:val="2"/>
        </w:rPr>
        <w:t>。</w:t>
      </w:r>
    </w:p>
    <w:p w14:paraId="002649F3" w14:textId="77777777" w:rsidR="003E78AB" w:rsidRDefault="00010BF9">
      <w:pPr>
        <w:ind w:firstLine="480"/>
        <w:rPr>
          <w:bCs/>
          <w:kern w:val="2"/>
        </w:rPr>
      </w:pPr>
      <w:r>
        <w:rPr>
          <w:rFonts w:hint="eastAsia"/>
          <w:bCs/>
          <w:kern w:val="2"/>
        </w:rPr>
        <w:t>（</w:t>
      </w:r>
      <w:r>
        <w:rPr>
          <w:rFonts w:hint="eastAsia"/>
          <w:bCs/>
          <w:kern w:val="2"/>
        </w:rPr>
        <w:t>9</w:t>
      </w:r>
      <w:r>
        <w:rPr>
          <w:rFonts w:hint="eastAsia"/>
          <w:bCs/>
          <w:kern w:val="2"/>
        </w:rPr>
        <w:t>）</w:t>
      </w:r>
      <w:r>
        <w:rPr>
          <w:rFonts w:hint="eastAsia"/>
          <w:bCs/>
          <w:kern w:val="2"/>
        </w:rPr>
        <w:t>结晶盐</w:t>
      </w:r>
    </w:p>
    <w:p w14:paraId="57EFA261" w14:textId="77777777" w:rsidR="003E78AB" w:rsidRDefault="00010BF9">
      <w:pPr>
        <w:ind w:firstLine="480"/>
      </w:pPr>
      <w:r>
        <w:rPr>
          <w:rFonts w:hint="eastAsia"/>
          <w:bCs/>
          <w:kern w:val="2"/>
        </w:rPr>
        <w:t>根据上文分析，废气处理系统淋洗塔定期排高浓度含盐废水，经蒸发釜蒸发结晶后，制得结晶盐</w:t>
      </w:r>
      <w:r>
        <w:rPr>
          <w:rFonts w:hint="eastAsia"/>
          <w:bCs/>
          <w:kern w:val="2"/>
        </w:rPr>
        <w:t>361.2</w:t>
      </w:r>
      <w:r>
        <w:rPr>
          <w:rFonts w:hint="eastAsia"/>
        </w:rPr>
        <w:t>5t/a</w:t>
      </w:r>
      <w:r>
        <w:rPr>
          <w:rFonts w:hint="eastAsia"/>
        </w:rPr>
        <w:t>（其中干盐</w:t>
      </w:r>
      <w:r>
        <w:rPr>
          <w:rFonts w:hint="eastAsia"/>
        </w:rPr>
        <w:t>288.93t/a</w:t>
      </w:r>
      <w:r>
        <w:rPr>
          <w:rFonts w:hint="eastAsia"/>
        </w:rPr>
        <w:t>，水</w:t>
      </w:r>
      <w:r>
        <w:rPr>
          <w:rFonts w:hint="eastAsia"/>
        </w:rPr>
        <w:t>72.32t/a</w:t>
      </w:r>
      <w:r>
        <w:rPr>
          <w:rFonts w:hint="eastAsia"/>
        </w:rPr>
        <w:t>）。</w:t>
      </w:r>
      <w:r>
        <w:rPr>
          <w:rFonts w:hint="eastAsia"/>
          <w:bCs/>
          <w:kern w:val="2"/>
        </w:rPr>
        <w:t>结晶盐属性确定前按危废收集处置</w:t>
      </w:r>
      <w:r>
        <w:rPr>
          <w:bCs/>
          <w:kern w:val="2"/>
        </w:rPr>
        <w:t>。</w:t>
      </w:r>
    </w:p>
    <w:p w14:paraId="1F35386F" w14:textId="77777777" w:rsidR="003E78AB" w:rsidRDefault="00010BF9">
      <w:pPr>
        <w:pStyle w:val="5"/>
        <w:keepNext w:val="0"/>
        <w:keepLines w:val="0"/>
        <w:ind w:firstLine="482"/>
        <w:rPr>
          <w:sz w:val="24"/>
        </w:rPr>
      </w:pPr>
      <w:r>
        <w:rPr>
          <w:rFonts w:hint="eastAsia"/>
          <w:sz w:val="24"/>
        </w:rPr>
        <w:t>3</w:t>
      </w:r>
      <w:r>
        <w:rPr>
          <w:rFonts w:hint="eastAsia"/>
          <w:sz w:val="24"/>
        </w:rPr>
        <w:t>.</w:t>
      </w:r>
      <w:r>
        <w:rPr>
          <w:rFonts w:hint="eastAsia"/>
          <w:sz w:val="24"/>
        </w:rPr>
        <w:t>生活垃圾</w:t>
      </w:r>
    </w:p>
    <w:p w14:paraId="57C2D057" w14:textId="77777777" w:rsidR="003E78AB" w:rsidRDefault="00010BF9">
      <w:pPr>
        <w:ind w:firstLine="480"/>
        <w:rPr>
          <w:bCs/>
          <w:kern w:val="2"/>
        </w:rPr>
      </w:pPr>
      <w:r>
        <w:rPr>
          <w:bCs/>
          <w:kern w:val="2"/>
        </w:rPr>
        <w:t>项目劳动定员</w:t>
      </w:r>
      <w:r>
        <w:rPr>
          <w:rFonts w:hint="eastAsia"/>
          <w:bCs/>
          <w:kern w:val="2"/>
        </w:rPr>
        <w:t>94</w:t>
      </w:r>
      <w:r>
        <w:rPr>
          <w:bCs/>
          <w:kern w:val="2"/>
        </w:rPr>
        <w:t>人，依照我国生活污染物排放系数，垃圾排放系数取</w:t>
      </w:r>
      <w:r>
        <w:rPr>
          <w:bCs/>
          <w:kern w:val="2"/>
        </w:rPr>
        <w:t>0.5kg/</w:t>
      </w:r>
      <w:r>
        <w:rPr>
          <w:bCs/>
          <w:kern w:val="2"/>
        </w:rPr>
        <w:t>（人</w:t>
      </w:r>
      <w:r>
        <w:rPr>
          <w:bCs/>
          <w:kern w:val="2"/>
        </w:rPr>
        <w:t>.d</w:t>
      </w:r>
      <w:r>
        <w:rPr>
          <w:bCs/>
          <w:kern w:val="2"/>
        </w:rPr>
        <w:t>），公司生活垃圾产生量约为</w:t>
      </w:r>
      <w:r>
        <w:rPr>
          <w:rFonts w:hint="eastAsia"/>
          <w:bCs/>
          <w:kern w:val="2"/>
        </w:rPr>
        <w:t>47</w:t>
      </w:r>
      <w:r>
        <w:rPr>
          <w:bCs/>
          <w:kern w:val="2"/>
        </w:rPr>
        <w:t>kg/d</w:t>
      </w:r>
      <w:r>
        <w:rPr>
          <w:rFonts w:hint="eastAsia"/>
          <w:bCs/>
          <w:kern w:val="2"/>
        </w:rPr>
        <w:t>，</w:t>
      </w:r>
      <w:r>
        <w:rPr>
          <w:bCs/>
          <w:kern w:val="2"/>
        </w:rPr>
        <w:t>即</w:t>
      </w:r>
      <w:r>
        <w:rPr>
          <w:rFonts w:hint="eastAsia"/>
          <w:bCs/>
          <w:kern w:val="2"/>
        </w:rPr>
        <w:t>15.51</w:t>
      </w:r>
      <w:r>
        <w:rPr>
          <w:bCs/>
          <w:kern w:val="2"/>
        </w:rPr>
        <w:t>t/a</w:t>
      </w:r>
      <w:r>
        <w:rPr>
          <w:bCs/>
          <w:kern w:val="2"/>
        </w:rPr>
        <w:t>。其属于一般固体废物</w:t>
      </w:r>
      <w:r>
        <w:rPr>
          <w:bCs/>
          <w:kern w:val="2"/>
        </w:rPr>
        <w:t>SW64</w:t>
      </w:r>
      <w:r>
        <w:rPr>
          <w:bCs/>
          <w:kern w:val="2"/>
        </w:rPr>
        <w:t>其他垃圾</w:t>
      </w:r>
      <w:r>
        <w:rPr>
          <w:bCs/>
          <w:kern w:val="2"/>
        </w:rPr>
        <w:t>900-099-S64</w:t>
      </w:r>
      <w:r>
        <w:rPr>
          <w:bCs/>
          <w:kern w:val="2"/>
        </w:rPr>
        <w:t>，生活垃圾收集后委托环卫部门定期清运处置。</w:t>
      </w:r>
    </w:p>
    <w:p w14:paraId="67BF8786" w14:textId="77777777" w:rsidR="003E78AB" w:rsidRDefault="00010BF9">
      <w:pPr>
        <w:ind w:firstLine="480"/>
        <w:rPr>
          <w:bCs/>
          <w:kern w:val="2"/>
        </w:rPr>
      </w:pPr>
      <w:r>
        <w:rPr>
          <w:bCs/>
          <w:kern w:val="2"/>
        </w:rPr>
        <w:t>本项目固体废物污染源统计见</w:t>
      </w:r>
      <w:r>
        <w:rPr>
          <w:rFonts w:hint="eastAsia"/>
          <w:bCs/>
          <w:kern w:val="2"/>
        </w:rPr>
        <w:fldChar w:fldCharType="begin"/>
      </w:r>
      <w:r>
        <w:rPr>
          <w:rFonts w:hint="eastAsia"/>
          <w:bCs/>
          <w:kern w:val="2"/>
        </w:rPr>
        <w:instrText xml:space="preserve"> REF _Ref22791 \r \h </w:instrText>
      </w:r>
      <w:r>
        <w:rPr>
          <w:rFonts w:hint="eastAsia"/>
          <w:bCs/>
          <w:kern w:val="2"/>
        </w:rPr>
      </w:r>
      <w:r>
        <w:rPr>
          <w:rFonts w:hint="eastAsia"/>
          <w:bCs/>
          <w:kern w:val="2"/>
        </w:rPr>
        <w:fldChar w:fldCharType="separate"/>
      </w:r>
      <w:r>
        <w:rPr>
          <w:rFonts w:hint="eastAsia"/>
          <w:bCs/>
          <w:kern w:val="2"/>
        </w:rPr>
        <w:t>表</w:t>
      </w:r>
      <w:r>
        <w:rPr>
          <w:rFonts w:hint="eastAsia"/>
          <w:bCs/>
          <w:kern w:val="2"/>
        </w:rPr>
        <w:t>3-32</w:t>
      </w:r>
      <w:r>
        <w:rPr>
          <w:rFonts w:hint="eastAsia"/>
          <w:bCs/>
          <w:kern w:val="2"/>
        </w:rPr>
        <w:fldChar w:fldCharType="end"/>
      </w:r>
      <w:r>
        <w:rPr>
          <w:bCs/>
          <w:kern w:val="2"/>
        </w:rPr>
        <w:t>。</w:t>
      </w:r>
    </w:p>
    <w:p w14:paraId="074517C7" w14:textId="77777777" w:rsidR="003E78AB" w:rsidRDefault="003E78AB">
      <w:pPr>
        <w:pStyle w:val="a1"/>
        <w:sectPr w:rsidR="003E78AB">
          <w:footerReference w:type="default" r:id="rId41"/>
          <w:pgSz w:w="11906" w:h="16838"/>
          <w:pgMar w:top="1440" w:right="1803" w:bottom="1440" w:left="1803" w:header="850" w:footer="992" w:gutter="0"/>
          <w:cols w:space="720"/>
          <w:docGrid w:type="lines" w:linePitch="312"/>
        </w:sectPr>
      </w:pPr>
    </w:p>
    <w:p w14:paraId="00ADDB27" w14:textId="77777777" w:rsidR="003E78AB" w:rsidRDefault="00010BF9">
      <w:pPr>
        <w:pStyle w:val="a1"/>
      </w:pPr>
      <w:bookmarkStart w:id="264" w:name="_Ref22791"/>
      <w:r>
        <w:t>项目固体废物产生与处置结果一览表</w:t>
      </w:r>
      <w:bookmarkEnd w:id="264"/>
    </w:p>
    <w:tbl>
      <w:tblPr>
        <w:tblW w:w="4996" w:type="pct"/>
        <w:tblLayout w:type="fixed"/>
        <w:tblLook w:val="04A0" w:firstRow="1" w:lastRow="0" w:firstColumn="1" w:lastColumn="0" w:noHBand="0" w:noVBand="1"/>
      </w:tblPr>
      <w:tblGrid>
        <w:gridCol w:w="1029"/>
        <w:gridCol w:w="1601"/>
        <w:gridCol w:w="769"/>
        <w:gridCol w:w="754"/>
        <w:gridCol w:w="726"/>
        <w:gridCol w:w="1349"/>
        <w:gridCol w:w="3454"/>
        <w:gridCol w:w="766"/>
        <w:gridCol w:w="831"/>
        <w:gridCol w:w="734"/>
        <w:gridCol w:w="1108"/>
        <w:gridCol w:w="1042"/>
      </w:tblGrid>
      <w:tr w:rsidR="003E78AB" w14:paraId="11D6C149" w14:textId="77777777">
        <w:trPr>
          <w:trHeight w:val="570"/>
          <w:tblHeader/>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BD20F0"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装置单元</w:t>
            </w:r>
          </w:p>
        </w:tc>
        <w:tc>
          <w:tcPr>
            <w:tcW w:w="8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A572BF"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固废名称</w:t>
            </w:r>
          </w:p>
        </w:tc>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3013BE"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形态</w:t>
            </w:r>
          </w:p>
        </w:tc>
        <w:tc>
          <w:tcPr>
            <w:tcW w:w="2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72361E"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废物属性</w:t>
            </w:r>
          </w:p>
        </w:tc>
        <w:tc>
          <w:tcPr>
            <w:tcW w:w="169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92EB6C"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废物类别及代码</w:t>
            </w:r>
          </w:p>
        </w:tc>
        <w:tc>
          <w:tcPr>
            <w:tcW w:w="56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5E75DD"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产生量</w:t>
            </w:r>
            <w:r>
              <w:rPr>
                <w:rFonts w:eastAsiaTheme="minorEastAsia"/>
                <w:b/>
                <w:bCs/>
                <w:sz w:val="21"/>
                <w:szCs w:val="21"/>
                <w:lang w:bidi="ar"/>
              </w:rPr>
              <w:t>t/a</w:t>
            </w:r>
          </w:p>
        </w:tc>
        <w:tc>
          <w:tcPr>
            <w:tcW w:w="2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DC5AC7"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危险特性</w:t>
            </w:r>
          </w:p>
        </w:tc>
        <w:tc>
          <w:tcPr>
            <w:tcW w:w="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9366AC"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污染物防治措施</w:t>
            </w:r>
          </w:p>
        </w:tc>
      </w:tr>
      <w:tr w:rsidR="003E78AB" w14:paraId="22DEDD67" w14:textId="77777777">
        <w:trPr>
          <w:trHeight w:val="310"/>
          <w:tblHeader/>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1B71A" w14:textId="77777777" w:rsidR="003E78AB" w:rsidRDefault="003E78AB">
            <w:pPr>
              <w:spacing w:line="360" w:lineRule="exact"/>
              <w:ind w:firstLineChars="0" w:firstLine="0"/>
              <w:jc w:val="center"/>
              <w:rPr>
                <w:rFonts w:eastAsiaTheme="minorEastAsia"/>
                <w:b/>
                <w:bCs/>
                <w:sz w:val="21"/>
                <w:szCs w:val="21"/>
              </w:rPr>
            </w:pPr>
          </w:p>
        </w:tc>
        <w:tc>
          <w:tcPr>
            <w:tcW w:w="835"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9A5962" w14:textId="77777777" w:rsidR="003E78AB" w:rsidRDefault="003E78AB">
            <w:pPr>
              <w:spacing w:line="360" w:lineRule="exact"/>
              <w:ind w:firstLineChars="0" w:firstLine="0"/>
              <w:jc w:val="center"/>
              <w:rPr>
                <w:rFonts w:eastAsiaTheme="minorEastAsia"/>
                <w:b/>
                <w:bCs/>
                <w:sz w:val="21"/>
                <w:szCs w:val="21"/>
              </w:rPr>
            </w:pPr>
          </w:p>
        </w:tc>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63BEAC" w14:textId="77777777" w:rsidR="003E78AB" w:rsidRDefault="003E78AB">
            <w:pPr>
              <w:spacing w:line="360" w:lineRule="exact"/>
              <w:ind w:firstLineChars="0" w:firstLine="0"/>
              <w:jc w:val="center"/>
              <w:rPr>
                <w:rFonts w:eastAsiaTheme="minorEastAsia"/>
                <w:b/>
                <w:bCs/>
                <w:sz w:val="21"/>
                <w:szCs w:val="21"/>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69D8F" w14:textId="77777777" w:rsidR="003E78AB" w:rsidRDefault="003E78AB">
            <w:pPr>
              <w:spacing w:line="360" w:lineRule="exact"/>
              <w:ind w:firstLineChars="0" w:firstLine="0"/>
              <w:jc w:val="center"/>
              <w:rPr>
                <w:rFonts w:eastAsiaTheme="minorEastAsia"/>
                <w:b/>
                <w:bCs/>
                <w:sz w:val="21"/>
                <w:szCs w:val="21"/>
              </w:rPr>
            </w:pPr>
          </w:p>
        </w:tc>
        <w:tc>
          <w:tcPr>
            <w:tcW w:w="169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274A6C" w14:textId="77777777" w:rsidR="003E78AB" w:rsidRDefault="003E78AB">
            <w:pPr>
              <w:spacing w:line="360" w:lineRule="exact"/>
              <w:ind w:firstLineChars="0" w:firstLine="0"/>
              <w:jc w:val="center"/>
              <w:rPr>
                <w:rFonts w:eastAsiaTheme="minorEastAsia"/>
                <w:b/>
                <w:bCs/>
                <w:sz w:val="21"/>
                <w:szCs w:val="21"/>
              </w:rPr>
            </w:pPr>
          </w:p>
        </w:tc>
        <w:tc>
          <w:tcPr>
            <w:tcW w:w="563"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5ED20C" w14:textId="77777777" w:rsidR="003E78AB" w:rsidRDefault="003E78AB">
            <w:pPr>
              <w:spacing w:line="360" w:lineRule="exact"/>
              <w:ind w:firstLineChars="0" w:firstLine="0"/>
              <w:jc w:val="center"/>
              <w:rPr>
                <w:rFonts w:eastAsiaTheme="minorEastAsia"/>
                <w:b/>
                <w:bCs/>
                <w:sz w:val="21"/>
                <w:szCs w:val="21"/>
              </w:rPr>
            </w:pPr>
          </w:p>
        </w:tc>
        <w:tc>
          <w:tcPr>
            <w:tcW w:w="2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ACF4C6" w14:textId="77777777" w:rsidR="003E78AB" w:rsidRDefault="003E78AB">
            <w:pPr>
              <w:spacing w:line="360" w:lineRule="exact"/>
              <w:ind w:firstLineChars="0" w:firstLine="0"/>
              <w:jc w:val="center"/>
              <w:rPr>
                <w:rFonts w:eastAsiaTheme="minorEastAsia"/>
                <w:b/>
                <w:bCs/>
                <w:sz w:val="21"/>
                <w:szCs w:val="21"/>
              </w:rPr>
            </w:pP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71551"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储存位置</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97F8B"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去向</w:t>
            </w:r>
          </w:p>
        </w:tc>
      </w:tr>
      <w:tr w:rsidR="003E78AB" w14:paraId="02B999D7" w14:textId="77777777">
        <w:trPr>
          <w:trHeight w:val="82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06D1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投料</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5FFC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废外包装物（未沾染有毒有害物质的）</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2F2E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S2-1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E426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5DD6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C9C6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SW17</w:t>
            </w:r>
            <w:r>
              <w:rPr>
                <w:rFonts w:eastAsiaTheme="minorEastAsia"/>
                <w:sz w:val="21"/>
                <w:szCs w:val="21"/>
                <w:lang w:bidi="ar"/>
              </w:rPr>
              <w:br/>
              <w:t>900-003-S17</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8F45C"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废塑料。工业生产活动中产生的塑料废弃边角料、废弃塑料包装等废物。</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3383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FE10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7D37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7FF2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一般固废暂存间</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4583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外售综合利用</w:t>
            </w:r>
          </w:p>
        </w:tc>
      </w:tr>
      <w:tr w:rsidR="003E78AB" w14:paraId="2A6DAAC4" w14:textId="77777777">
        <w:trPr>
          <w:trHeight w:val="85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F8EB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纯水</w:t>
            </w:r>
            <w:r>
              <w:rPr>
                <w:rFonts w:eastAsiaTheme="minorEastAsia"/>
                <w:sz w:val="21"/>
                <w:szCs w:val="21"/>
                <w:lang w:bidi="ar"/>
              </w:rPr>
              <w:t>/</w:t>
            </w:r>
            <w:r>
              <w:rPr>
                <w:rFonts w:eastAsiaTheme="minorEastAsia"/>
                <w:sz w:val="21"/>
                <w:szCs w:val="21"/>
                <w:lang w:bidi="ar"/>
              </w:rPr>
              <w:t>软水制备</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3ED5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废滤芯、废过滤膜</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5C73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S3-1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7D53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B186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3686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SW59</w:t>
            </w:r>
            <w:r>
              <w:rPr>
                <w:rFonts w:eastAsiaTheme="minorEastAsia"/>
                <w:sz w:val="21"/>
                <w:szCs w:val="21"/>
                <w:lang w:bidi="ar"/>
              </w:rPr>
              <w:br/>
              <w:t>900-009-S59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91A7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废过滤材料。工业生产活动中产生的废过滤袋、过滤器等过滤材料。</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972B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31.5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3B44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6AAD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46DF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一般固废暂存间</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B8C9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厂家回收</w:t>
            </w:r>
          </w:p>
        </w:tc>
      </w:tr>
      <w:tr w:rsidR="003E78AB" w14:paraId="68057C27" w14:textId="77777777">
        <w:trPr>
          <w:trHeight w:val="840"/>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3CEB3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投料</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921F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沉降灰</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8809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S1-1</w:t>
            </w:r>
            <w:r>
              <w:rPr>
                <w:rFonts w:eastAsiaTheme="minorEastAsia"/>
                <w:sz w:val="21"/>
                <w:szCs w:val="21"/>
                <w:lang w:bidi="ar"/>
              </w:rPr>
              <w:t>、</w:t>
            </w:r>
            <w:r>
              <w:rPr>
                <w:rFonts w:eastAsiaTheme="minorEastAsia"/>
                <w:sz w:val="21"/>
                <w:szCs w:val="21"/>
                <w:lang w:bidi="ar"/>
              </w:rPr>
              <w:t>S1-2</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9A00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D2CD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D4CE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HW49</w:t>
            </w:r>
            <w:r>
              <w:rPr>
                <w:rFonts w:eastAsiaTheme="minorEastAsia"/>
                <w:sz w:val="21"/>
                <w:szCs w:val="21"/>
                <w:lang w:bidi="ar"/>
              </w:rPr>
              <w:br/>
              <w:t>900-999-49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D1BB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被所有者申报废弃的，或者未申报废弃但被非法排放、倾倒、利用、处置的，以及有关部门依法收缴或者接收且需要销毁的列入《危险化学品目录》的危险化学品</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DA3A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0.383</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D46B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FBC8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T/C/I/R</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FF77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hint="eastAsia"/>
                <w:sz w:val="21"/>
                <w:szCs w:val="21"/>
                <w:lang w:bidi="ar"/>
              </w:rPr>
              <w:t>危险废物暂存间</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8525B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委托有资质的单位清运处置</w:t>
            </w:r>
          </w:p>
        </w:tc>
      </w:tr>
      <w:tr w:rsidR="003E78AB" w14:paraId="09D2590F" w14:textId="77777777">
        <w:trPr>
          <w:trHeight w:val="113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78E2B9"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EA50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废滤袋</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DE4D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S1-3</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2051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9570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BCEE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670D526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900-041-49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F152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含有或者沾染毒性、感染性危险废物的废弃的包装物、容器、过滤吸附介质</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A796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0BCF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E00F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79DC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hint="eastAsia"/>
                <w:sz w:val="21"/>
                <w:szCs w:val="21"/>
                <w:lang w:bidi="ar"/>
              </w:rPr>
              <w:t>危险废物暂存间</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DC9C4" w14:textId="77777777" w:rsidR="003E78AB" w:rsidRDefault="003E78AB">
            <w:pPr>
              <w:spacing w:line="360" w:lineRule="exact"/>
              <w:ind w:firstLineChars="0" w:firstLine="0"/>
              <w:jc w:val="center"/>
              <w:rPr>
                <w:rFonts w:eastAsiaTheme="minorEastAsia"/>
                <w:sz w:val="21"/>
                <w:szCs w:val="21"/>
              </w:rPr>
            </w:pPr>
          </w:p>
        </w:tc>
      </w:tr>
      <w:tr w:rsidR="003E78AB" w14:paraId="4A527E67" w14:textId="77777777">
        <w:trPr>
          <w:trHeight w:val="163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F3F02"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102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废包装袋内衬（沾染有毒有害物质的）</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5C5F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S1-4</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8831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A454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07D8D"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07DD4C0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900-041-49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9D4F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含有或者沾染毒性、感染性危险废物的废弃的包装物、容器、过滤吸附介质</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D268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0.35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C1ED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7625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372D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hint="eastAsia"/>
                <w:sz w:val="21"/>
                <w:szCs w:val="21"/>
                <w:lang w:bidi="ar"/>
              </w:rPr>
              <w:t>危险废物暂存间</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9DC3A" w14:textId="77777777" w:rsidR="003E78AB" w:rsidRDefault="003E78AB">
            <w:pPr>
              <w:spacing w:line="360" w:lineRule="exact"/>
              <w:ind w:firstLineChars="0" w:firstLine="0"/>
              <w:jc w:val="center"/>
              <w:rPr>
                <w:rFonts w:eastAsiaTheme="minorEastAsia"/>
                <w:sz w:val="21"/>
                <w:szCs w:val="21"/>
              </w:rPr>
            </w:pPr>
          </w:p>
        </w:tc>
      </w:tr>
      <w:tr w:rsidR="003E78AB" w14:paraId="36539AF9" w14:textId="77777777">
        <w:trPr>
          <w:trHeight w:val="163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80D62" w14:textId="77777777" w:rsidR="003E78AB" w:rsidRDefault="00010BF9">
            <w:pPr>
              <w:spacing w:line="360" w:lineRule="exact"/>
              <w:ind w:firstLineChars="0" w:firstLine="0"/>
              <w:jc w:val="center"/>
              <w:rPr>
                <w:rFonts w:eastAsiaTheme="minorEastAsia"/>
                <w:sz w:val="21"/>
                <w:szCs w:val="21"/>
              </w:rPr>
            </w:pPr>
            <w:r>
              <w:rPr>
                <w:rFonts w:eastAsiaTheme="minorEastAsia" w:hint="eastAsia"/>
                <w:sz w:val="21"/>
                <w:szCs w:val="21"/>
              </w:rPr>
              <w:t>废气处理</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64BE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结晶盐</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EA6D"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S2-1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342D2"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7496D"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固体废物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8E450"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BCBDE"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8F8C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361.25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C2714"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42D1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2AAE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属性确定前按危废收集处置。</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A2B703" w14:textId="77777777" w:rsidR="003E78AB" w:rsidRDefault="003E78AB">
            <w:pPr>
              <w:spacing w:line="360" w:lineRule="exact"/>
              <w:ind w:firstLineChars="0" w:firstLine="0"/>
              <w:jc w:val="center"/>
              <w:rPr>
                <w:rFonts w:eastAsiaTheme="minorEastAsia"/>
                <w:sz w:val="21"/>
                <w:szCs w:val="21"/>
              </w:rPr>
            </w:pPr>
          </w:p>
        </w:tc>
      </w:tr>
      <w:tr w:rsidR="003E78AB" w14:paraId="7B8CD7BB" w14:textId="77777777">
        <w:trPr>
          <w:trHeight w:val="810"/>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6D14B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10E5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实验室废液</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0199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S4-1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2849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液态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6047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7691F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51CA7BC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900-047-49</w:t>
            </w:r>
          </w:p>
        </w:tc>
        <w:tc>
          <w:tcPr>
            <w:tcW w:w="121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FC8E3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7A70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1.5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0488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EA724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T/C/I/R</w:t>
            </w:r>
          </w:p>
        </w:tc>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2ED97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实验室内专用容器贮存</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59BBF7" w14:textId="77777777" w:rsidR="003E78AB" w:rsidRDefault="003E78AB">
            <w:pPr>
              <w:spacing w:line="360" w:lineRule="exact"/>
              <w:ind w:firstLineChars="0" w:firstLine="0"/>
              <w:jc w:val="center"/>
              <w:rPr>
                <w:rFonts w:eastAsiaTheme="minorEastAsia"/>
                <w:sz w:val="21"/>
                <w:szCs w:val="21"/>
              </w:rPr>
            </w:pPr>
          </w:p>
        </w:tc>
      </w:tr>
      <w:tr w:rsidR="003E78AB" w14:paraId="32AA9B4E" w14:textId="77777777">
        <w:trPr>
          <w:trHeight w:val="55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D1B70"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2974A"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废试剂瓶</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2D88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S4-2</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9D3E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3912C"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E524D1" w14:textId="77777777" w:rsidR="003E78AB" w:rsidRDefault="003E78AB">
            <w:pPr>
              <w:spacing w:line="360" w:lineRule="exact"/>
              <w:ind w:firstLineChars="0" w:firstLine="0"/>
              <w:jc w:val="center"/>
              <w:rPr>
                <w:rFonts w:eastAsiaTheme="minorEastAsia"/>
                <w:sz w:val="21"/>
                <w:szCs w:val="21"/>
              </w:rPr>
            </w:pPr>
          </w:p>
        </w:tc>
        <w:tc>
          <w:tcPr>
            <w:tcW w:w="121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24BFB" w14:textId="77777777" w:rsidR="003E78AB" w:rsidRDefault="003E78AB">
            <w:pPr>
              <w:spacing w:line="360" w:lineRule="exact"/>
              <w:ind w:firstLineChars="0" w:firstLine="0"/>
              <w:jc w:val="center"/>
              <w:rPr>
                <w:rFonts w:eastAsiaTheme="minorEastAsia"/>
                <w:sz w:val="21"/>
                <w:szCs w:val="21"/>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99EC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0.2</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DBDF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ECAB7A" w14:textId="77777777" w:rsidR="003E78AB" w:rsidRDefault="003E78AB">
            <w:pPr>
              <w:spacing w:line="360" w:lineRule="exact"/>
              <w:ind w:firstLineChars="0" w:firstLine="0"/>
              <w:jc w:val="center"/>
              <w:rPr>
                <w:rFonts w:eastAsiaTheme="minorEastAsia"/>
                <w:sz w:val="21"/>
                <w:szCs w:val="21"/>
              </w:rPr>
            </w:pPr>
          </w:p>
        </w:tc>
        <w:tc>
          <w:tcPr>
            <w:tcW w:w="3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7B5ADC" w14:textId="77777777" w:rsidR="003E78AB" w:rsidRDefault="003E78AB">
            <w:pPr>
              <w:spacing w:line="360" w:lineRule="exact"/>
              <w:ind w:firstLineChars="0" w:firstLine="0"/>
              <w:jc w:val="center"/>
              <w:rPr>
                <w:rFonts w:eastAsiaTheme="minorEastAsia"/>
                <w:sz w:val="21"/>
                <w:szCs w:val="21"/>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59875C" w14:textId="77777777" w:rsidR="003E78AB" w:rsidRDefault="003E78AB">
            <w:pPr>
              <w:spacing w:line="360" w:lineRule="exact"/>
              <w:ind w:firstLineChars="0" w:firstLine="0"/>
              <w:jc w:val="center"/>
              <w:rPr>
                <w:rFonts w:eastAsiaTheme="minorEastAsia"/>
                <w:sz w:val="21"/>
                <w:szCs w:val="21"/>
              </w:rPr>
            </w:pPr>
          </w:p>
        </w:tc>
      </w:tr>
      <w:tr w:rsidR="003E78AB" w14:paraId="72C8DBD0" w14:textId="77777777">
        <w:trPr>
          <w:trHeight w:val="1080"/>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14D2B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设备维护</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5302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废润滑油</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4B79C"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S5-1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4B01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液态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53D9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7FF9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HW08</w:t>
            </w:r>
            <w:r>
              <w:rPr>
                <w:rFonts w:eastAsiaTheme="minorEastAsia"/>
                <w:sz w:val="21"/>
                <w:szCs w:val="21"/>
                <w:lang w:bidi="ar"/>
              </w:rPr>
              <w:br/>
              <w:t>900-217-08</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5908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使用工业齿轮油进行机械设备润滑过程中产生的废润滑油</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7A11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2</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B620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C271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T</w:t>
            </w:r>
            <w:r>
              <w:rPr>
                <w:rFonts w:eastAsiaTheme="minorEastAsia"/>
                <w:sz w:val="21"/>
                <w:szCs w:val="21"/>
                <w:lang w:bidi="ar"/>
              </w:rPr>
              <w:t>，</w:t>
            </w:r>
            <w:r>
              <w:rPr>
                <w:rFonts w:eastAsiaTheme="minorEastAsia"/>
                <w:sz w:val="21"/>
                <w:szCs w:val="21"/>
                <w:lang w:bidi="ar"/>
              </w:rPr>
              <w:t>I</w:t>
            </w:r>
          </w:p>
        </w:tc>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E39B6E"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危险废物暂存间</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CEA626" w14:textId="77777777" w:rsidR="003E78AB" w:rsidRDefault="003E78AB">
            <w:pPr>
              <w:spacing w:line="360" w:lineRule="exact"/>
              <w:ind w:firstLineChars="0" w:firstLine="0"/>
              <w:jc w:val="center"/>
              <w:textAlignment w:val="center"/>
              <w:rPr>
                <w:rFonts w:eastAsiaTheme="minorEastAsia"/>
                <w:sz w:val="21"/>
                <w:szCs w:val="21"/>
                <w:lang w:bidi="ar"/>
              </w:rPr>
            </w:pPr>
          </w:p>
        </w:tc>
      </w:tr>
      <w:tr w:rsidR="003E78AB" w14:paraId="6226B1AE" w14:textId="77777777">
        <w:trPr>
          <w:trHeight w:val="55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A5BCDD"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3F54"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废包装桶</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9599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S5-2</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E30F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A835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FCD515"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3687368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900-041-49</w:t>
            </w:r>
          </w:p>
        </w:tc>
        <w:tc>
          <w:tcPr>
            <w:tcW w:w="121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42F5A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含有或者沾染毒性、感染性危险废物的废弃的包装物、容器、过滤吸附介质</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8405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0.25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86C7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619E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T</w:t>
            </w:r>
          </w:p>
        </w:tc>
        <w:tc>
          <w:tcPr>
            <w:tcW w:w="3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C7262" w14:textId="77777777" w:rsidR="003E78AB" w:rsidRDefault="003E78AB">
            <w:pPr>
              <w:spacing w:line="360" w:lineRule="exact"/>
              <w:ind w:firstLineChars="0" w:firstLine="0"/>
              <w:jc w:val="center"/>
              <w:textAlignment w:val="center"/>
              <w:rPr>
                <w:rFonts w:eastAsiaTheme="minorEastAsia"/>
                <w:sz w:val="21"/>
                <w:szCs w:val="21"/>
                <w:lang w:bidi="ar"/>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CEDAD" w14:textId="77777777" w:rsidR="003E78AB" w:rsidRDefault="003E78AB">
            <w:pPr>
              <w:spacing w:line="360" w:lineRule="exact"/>
              <w:ind w:firstLineChars="0" w:firstLine="0"/>
              <w:jc w:val="center"/>
              <w:textAlignment w:val="center"/>
              <w:rPr>
                <w:rFonts w:eastAsiaTheme="minorEastAsia"/>
                <w:sz w:val="21"/>
                <w:szCs w:val="21"/>
                <w:lang w:bidi="ar"/>
              </w:rPr>
            </w:pPr>
          </w:p>
        </w:tc>
      </w:tr>
      <w:tr w:rsidR="003E78AB" w14:paraId="38EB8F66" w14:textId="77777777">
        <w:trPr>
          <w:trHeight w:val="1080"/>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B4406"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D3C3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沾染物料的废抹布及劳保用品</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B35D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S5-3</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D38D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B8C9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8D64EE" w14:textId="77777777" w:rsidR="003E78AB" w:rsidRDefault="003E78AB">
            <w:pPr>
              <w:spacing w:line="360" w:lineRule="exact"/>
              <w:ind w:firstLineChars="0" w:firstLine="0"/>
              <w:jc w:val="center"/>
              <w:rPr>
                <w:rFonts w:eastAsiaTheme="minorEastAsia"/>
                <w:sz w:val="21"/>
                <w:szCs w:val="21"/>
              </w:rPr>
            </w:pPr>
          </w:p>
        </w:tc>
        <w:tc>
          <w:tcPr>
            <w:tcW w:w="121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65E3C4" w14:textId="77777777" w:rsidR="003E78AB" w:rsidRDefault="003E78AB">
            <w:pPr>
              <w:spacing w:line="360" w:lineRule="exact"/>
              <w:ind w:firstLineChars="0" w:firstLine="0"/>
              <w:jc w:val="center"/>
              <w:rPr>
                <w:rFonts w:eastAsiaTheme="minorEastAsia"/>
                <w:sz w:val="21"/>
                <w:szCs w:val="21"/>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F9FDC"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4839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98C20"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T</w:t>
            </w:r>
          </w:p>
        </w:tc>
        <w:tc>
          <w:tcPr>
            <w:tcW w:w="3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C19805" w14:textId="77777777" w:rsidR="003E78AB" w:rsidRDefault="003E78AB">
            <w:pPr>
              <w:spacing w:line="360" w:lineRule="exact"/>
              <w:ind w:firstLineChars="0" w:firstLine="0"/>
              <w:jc w:val="center"/>
              <w:textAlignment w:val="center"/>
              <w:rPr>
                <w:rFonts w:eastAsiaTheme="minorEastAsia"/>
                <w:sz w:val="21"/>
                <w:szCs w:val="21"/>
                <w:lang w:bidi="ar"/>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1BCFA" w14:textId="77777777" w:rsidR="003E78AB" w:rsidRDefault="003E78AB">
            <w:pPr>
              <w:spacing w:line="360" w:lineRule="exact"/>
              <w:ind w:firstLineChars="0" w:firstLine="0"/>
              <w:jc w:val="center"/>
              <w:textAlignment w:val="center"/>
              <w:rPr>
                <w:rFonts w:eastAsiaTheme="minorEastAsia"/>
                <w:sz w:val="21"/>
                <w:szCs w:val="21"/>
                <w:lang w:bidi="ar"/>
              </w:rPr>
            </w:pPr>
          </w:p>
        </w:tc>
      </w:tr>
      <w:tr w:rsidR="003E78AB" w14:paraId="35A8C828" w14:textId="77777777">
        <w:trPr>
          <w:trHeight w:val="108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907F5" w14:textId="77777777" w:rsidR="003E78AB" w:rsidRDefault="00010BF9">
            <w:pPr>
              <w:spacing w:line="360" w:lineRule="exact"/>
              <w:ind w:firstLineChars="0" w:firstLine="0"/>
              <w:jc w:val="center"/>
              <w:rPr>
                <w:rFonts w:eastAsiaTheme="minorEastAsia"/>
                <w:sz w:val="21"/>
                <w:szCs w:val="21"/>
              </w:rPr>
            </w:pPr>
            <w:r>
              <w:rPr>
                <w:rFonts w:eastAsiaTheme="minorEastAsia" w:hint="eastAsia"/>
                <w:sz w:val="21"/>
                <w:szCs w:val="21"/>
              </w:rPr>
              <w:t>生活办公</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31BEA"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生活垃圾</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2DF0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S6-1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24B5D"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1D705"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一般固废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2C96A"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SW64</w:t>
            </w:r>
          </w:p>
          <w:p w14:paraId="3A459EE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900-099-S64</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D007F"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生活垃圾</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8CB0C"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15.15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26D12"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连续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EF9A0"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B176F"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垃圾桶</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EF2E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环卫部门清运处置</w:t>
            </w:r>
          </w:p>
        </w:tc>
      </w:tr>
    </w:tbl>
    <w:p w14:paraId="27136A45" w14:textId="77777777" w:rsidR="003E78AB" w:rsidRDefault="003E78AB">
      <w:pPr>
        <w:pStyle w:val="a1"/>
        <w:numPr>
          <w:ilvl w:val="0"/>
          <w:numId w:val="0"/>
        </w:numPr>
        <w:jc w:val="both"/>
      </w:pPr>
    </w:p>
    <w:p w14:paraId="2EE09456" w14:textId="77777777" w:rsidR="003E78AB" w:rsidRDefault="003E78AB">
      <w:pPr>
        <w:pStyle w:val="24"/>
        <w:keepNext w:val="0"/>
        <w:keepLines w:val="0"/>
        <w:topLinePunct/>
        <w:spacing w:before="156"/>
        <w:rPr>
          <w:rFonts w:cs="Times New Roman"/>
        </w:rPr>
        <w:sectPr w:rsidR="003E78AB">
          <w:pgSz w:w="16838" w:h="11906" w:orient="landscape"/>
          <w:pgMar w:top="1803" w:right="1440" w:bottom="1803" w:left="1440" w:header="850" w:footer="992" w:gutter="0"/>
          <w:cols w:space="720"/>
          <w:docGrid w:type="lines" w:linePitch="312"/>
        </w:sectPr>
      </w:pPr>
    </w:p>
    <w:p w14:paraId="78A774B7" w14:textId="77777777" w:rsidR="003E78AB" w:rsidRDefault="00010BF9">
      <w:pPr>
        <w:pStyle w:val="24"/>
        <w:keepNext w:val="0"/>
        <w:keepLines w:val="0"/>
        <w:topLinePunct/>
        <w:spacing w:before="156"/>
        <w:rPr>
          <w:rFonts w:cs="Times New Roman"/>
        </w:rPr>
      </w:pPr>
      <w:bookmarkStart w:id="265" w:name="_Toc8295"/>
      <w:r>
        <w:rPr>
          <w:rFonts w:cs="Times New Roman"/>
        </w:rPr>
        <w:t>3.5</w:t>
      </w:r>
      <w:r>
        <w:rPr>
          <w:rFonts w:cs="Times New Roman"/>
        </w:rPr>
        <w:t>清洁生产分析</w:t>
      </w:r>
      <w:bookmarkEnd w:id="265"/>
    </w:p>
    <w:p w14:paraId="4B3589A4" w14:textId="77777777" w:rsidR="003E78AB" w:rsidRDefault="00010BF9">
      <w:pPr>
        <w:ind w:firstLine="480"/>
        <w:rPr>
          <w:bCs/>
          <w:kern w:val="2"/>
        </w:rPr>
      </w:pPr>
      <w:r>
        <w:rPr>
          <w:bCs/>
          <w:kern w:val="2"/>
        </w:rPr>
        <w:t>《中华人民共和国清洁生产促进法》第十八条要求</w:t>
      </w:r>
      <w:r>
        <w:rPr>
          <w:bCs/>
          <w:kern w:val="2"/>
        </w:rPr>
        <w:t>“</w:t>
      </w:r>
      <w:r>
        <w:rPr>
          <w:bCs/>
          <w:kern w:val="2"/>
        </w:rPr>
        <w:t>新建、改建和扩建项目应当进行环境影响评价，对原料使用、资源消耗、资源综合利用以及污染物产生与处置等进行分析论证，优先采用资源利用率高以及污染物产生量少的清洁生产技术、工艺和设备。</w:t>
      </w:r>
    </w:p>
    <w:p w14:paraId="5FEE277A" w14:textId="77777777" w:rsidR="003E78AB" w:rsidRDefault="00010BF9">
      <w:pPr>
        <w:ind w:firstLine="480"/>
        <w:rPr>
          <w:bCs/>
          <w:kern w:val="2"/>
        </w:rPr>
      </w:pPr>
      <w:r>
        <w:rPr>
          <w:bCs/>
          <w:kern w:val="2"/>
        </w:rPr>
        <w:t>清洁生产是指不断采取改进设计、使用清洁的能源和原料、采用先进的工艺技术与设备、改善管理、综合利用等措施，从源头削减污染，提高资源利用效率，减少或避免生产、服务和产品使用过程中污染物的产生和排放，以减轻或消除对人类健康和环境的危害。</w:t>
      </w:r>
    </w:p>
    <w:p w14:paraId="4E6D576D" w14:textId="77777777" w:rsidR="003E78AB" w:rsidRDefault="00010BF9">
      <w:pPr>
        <w:ind w:firstLine="480"/>
        <w:rPr>
          <w:bCs/>
          <w:kern w:val="2"/>
        </w:rPr>
      </w:pPr>
      <w:r>
        <w:rPr>
          <w:bCs/>
          <w:kern w:val="2"/>
        </w:rPr>
        <w:t>根据工程特点，本章将重点从原料和产品、生产工艺及装备水平、过程控制、污染物减排措施、环境管理等方面分析本工程的清洁生产水平。</w:t>
      </w:r>
    </w:p>
    <w:p w14:paraId="53BFBDD9"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3.5.1</w:t>
      </w:r>
      <w:r>
        <w:rPr>
          <w:rFonts w:cs="Times New Roman"/>
          <w:sz w:val="28"/>
          <w:szCs w:val="28"/>
        </w:rPr>
        <w:t>原料、产品</w:t>
      </w:r>
    </w:p>
    <w:p w14:paraId="7DE31215" w14:textId="77777777" w:rsidR="003E78AB" w:rsidRDefault="00010BF9">
      <w:pPr>
        <w:ind w:firstLine="480"/>
        <w:rPr>
          <w:bCs/>
          <w:kern w:val="2"/>
        </w:rPr>
      </w:pPr>
      <w:r>
        <w:rPr>
          <w:bCs/>
          <w:kern w:val="2"/>
        </w:rPr>
        <w:t>项目主要原料为高纯</w:t>
      </w:r>
      <w:r>
        <w:rPr>
          <w:bCs/>
          <w:kern w:val="2"/>
        </w:rPr>
        <w:t>V</w:t>
      </w:r>
      <w:r>
        <w:rPr>
          <w:bCs/>
          <w:kern w:val="2"/>
          <w:vertAlign w:val="subscript"/>
        </w:rPr>
        <w:t>2</w:t>
      </w:r>
      <w:r>
        <w:rPr>
          <w:bCs/>
          <w:kern w:val="2"/>
        </w:rPr>
        <w:t>O</w:t>
      </w:r>
      <w:r>
        <w:rPr>
          <w:bCs/>
          <w:kern w:val="2"/>
          <w:vertAlign w:val="subscript"/>
        </w:rPr>
        <w:t>5</w:t>
      </w:r>
      <w:r>
        <w:rPr>
          <w:bCs/>
          <w:kern w:val="2"/>
        </w:rPr>
        <w:t>，杂质含量低，易于保存和运输，采用</w:t>
      </w:r>
      <w:r>
        <w:rPr>
          <w:bCs/>
          <w:kern w:val="2"/>
        </w:rPr>
        <w:t>V</w:t>
      </w:r>
      <w:r>
        <w:rPr>
          <w:bCs/>
          <w:kern w:val="2"/>
          <w:vertAlign w:val="subscript"/>
        </w:rPr>
        <w:t>2</w:t>
      </w:r>
      <w:r>
        <w:rPr>
          <w:bCs/>
          <w:kern w:val="2"/>
        </w:rPr>
        <w:t>O</w:t>
      </w:r>
      <w:r>
        <w:rPr>
          <w:bCs/>
          <w:kern w:val="2"/>
          <w:vertAlign w:val="subscript"/>
        </w:rPr>
        <w:t>5</w:t>
      </w:r>
      <w:r>
        <w:rPr>
          <w:bCs/>
          <w:kern w:val="2"/>
        </w:rPr>
        <w:t>作为制备钒电解液的原料，具有制备工艺简单、纯度较高等优点，将其还原制备电解液的工艺简单、快捷，并适合工业化大规模生产。</w:t>
      </w:r>
    </w:p>
    <w:p w14:paraId="0B39B12F" w14:textId="77777777" w:rsidR="003E78AB" w:rsidRDefault="00010BF9">
      <w:pPr>
        <w:ind w:firstLine="480"/>
        <w:rPr>
          <w:bCs/>
          <w:kern w:val="2"/>
        </w:rPr>
      </w:pPr>
      <w:r>
        <w:rPr>
          <w:bCs/>
          <w:kern w:val="2"/>
        </w:rPr>
        <w:t>项目产品为</w:t>
      </w:r>
      <w:r>
        <w:rPr>
          <w:bCs/>
          <w:kern w:val="2"/>
        </w:rPr>
        <w:t>3.5</w:t>
      </w:r>
      <w:r>
        <w:rPr>
          <w:bCs/>
          <w:kern w:val="2"/>
        </w:rPr>
        <w:t>价钒电解液，符合《全钒液流电池用电解液》</w:t>
      </w:r>
      <w:r>
        <w:rPr>
          <w:rFonts w:hint="eastAsia"/>
          <w:bCs/>
          <w:kern w:val="2"/>
        </w:rPr>
        <w:t>（</w:t>
      </w:r>
      <w:r>
        <w:rPr>
          <w:bCs/>
          <w:kern w:val="2"/>
        </w:rPr>
        <w:t>GB/T37204-2018</w:t>
      </w:r>
      <w:r>
        <w:rPr>
          <w:rFonts w:hint="eastAsia"/>
          <w:bCs/>
          <w:kern w:val="2"/>
        </w:rPr>
        <w:t>）</w:t>
      </w:r>
      <w:r>
        <w:rPr>
          <w:bCs/>
          <w:kern w:val="2"/>
        </w:rPr>
        <w:t>产品要求，钒电池储能是新型电力系统的储能技术，具有本征安全、超长寿命、技术自主可控、资源自主可控且可循环使用、全生命周期长、环境友好等技术优势，是国家重点发展大规模、长时储能的首选技术路线。</w:t>
      </w:r>
      <w:r>
        <w:rPr>
          <w:bCs/>
          <w:kern w:val="2"/>
        </w:rPr>
        <w:t>2022</w:t>
      </w:r>
      <w:r>
        <w:rPr>
          <w:bCs/>
          <w:kern w:val="2"/>
        </w:rPr>
        <w:t>年</w:t>
      </w:r>
      <w:r>
        <w:rPr>
          <w:bCs/>
          <w:kern w:val="2"/>
        </w:rPr>
        <w:t>1</w:t>
      </w:r>
      <w:r>
        <w:rPr>
          <w:bCs/>
          <w:kern w:val="2"/>
        </w:rPr>
        <w:t>月，国家发展和改革委员会、国家能源局正式印发《</w:t>
      </w:r>
      <w:r>
        <w:rPr>
          <w:bCs/>
          <w:kern w:val="2"/>
        </w:rPr>
        <w:t>“</w:t>
      </w:r>
      <w:r>
        <w:rPr>
          <w:bCs/>
          <w:kern w:val="2"/>
        </w:rPr>
        <w:t>十四五</w:t>
      </w:r>
      <w:r>
        <w:rPr>
          <w:bCs/>
          <w:kern w:val="2"/>
        </w:rPr>
        <w:t>”</w:t>
      </w:r>
      <w:r>
        <w:rPr>
          <w:bCs/>
          <w:kern w:val="2"/>
        </w:rPr>
        <w:t>新型储能发展实施方案》，其中要加大关键技术装备</w:t>
      </w:r>
      <w:r>
        <w:rPr>
          <w:bCs/>
          <w:kern w:val="2"/>
        </w:rPr>
        <w:t>研发力度推动多元化技术开发；开展钠离子电池、新型锂离子电池、铅炭电池、液流电池、压缩空气、氢</w:t>
      </w:r>
      <w:r>
        <w:rPr>
          <w:bCs/>
          <w:kern w:val="2"/>
        </w:rPr>
        <w:t>(</w:t>
      </w:r>
      <w:r>
        <w:rPr>
          <w:bCs/>
          <w:kern w:val="2"/>
        </w:rPr>
        <w:t>氨</w:t>
      </w:r>
      <w:r>
        <w:rPr>
          <w:bCs/>
          <w:kern w:val="2"/>
        </w:rPr>
        <w:t>)</w:t>
      </w:r>
      <w:r>
        <w:rPr>
          <w:bCs/>
          <w:kern w:val="2"/>
        </w:rPr>
        <w:t>储能、热</w:t>
      </w:r>
      <w:r>
        <w:rPr>
          <w:bCs/>
          <w:kern w:val="2"/>
        </w:rPr>
        <w:t>(</w:t>
      </w:r>
      <w:r>
        <w:rPr>
          <w:bCs/>
          <w:kern w:val="2"/>
        </w:rPr>
        <w:t>冷</w:t>
      </w:r>
      <w:r>
        <w:rPr>
          <w:bCs/>
          <w:kern w:val="2"/>
        </w:rPr>
        <w:t>)</w:t>
      </w:r>
      <w:r>
        <w:rPr>
          <w:bCs/>
          <w:kern w:val="2"/>
        </w:rPr>
        <w:t>储能等关键核心技术、装备和集成优化设计研究；重点建设更大容量的液流电池、飞轮、压缩空气等储能技术试点示范项目等。国家能源局发布的</w:t>
      </w:r>
      <w:r>
        <w:rPr>
          <w:bCs/>
          <w:kern w:val="2"/>
        </w:rPr>
        <w:t>(</w:t>
      </w:r>
      <w:r>
        <w:rPr>
          <w:bCs/>
          <w:kern w:val="2"/>
        </w:rPr>
        <w:t>国能科技〔</w:t>
      </w:r>
      <w:r>
        <w:rPr>
          <w:bCs/>
          <w:kern w:val="2"/>
        </w:rPr>
        <w:t>2023</w:t>
      </w:r>
      <w:r>
        <w:rPr>
          <w:bCs/>
          <w:kern w:val="2"/>
        </w:rPr>
        <w:t>〕</w:t>
      </w:r>
      <w:r>
        <w:rPr>
          <w:bCs/>
          <w:kern w:val="2"/>
        </w:rPr>
        <w:t>395</w:t>
      </w:r>
      <w:r>
        <w:rPr>
          <w:bCs/>
          <w:kern w:val="2"/>
        </w:rPr>
        <w:t>号</w:t>
      </w:r>
      <w:r>
        <w:rPr>
          <w:bCs/>
          <w:kern w:val="2"/>
        </w:rPr>
        <w:t>)</w:t>
      </w:r>
      <w:r>
        <w:rPr>
          <w:bCs/>
          <w:kern w:val="2"/>
        </w:rPr>
        <w:t>中也明确将钒液流电池</w:t>
      </w:r>
      <w:r>
        <w:rPr>
          <w:bCs/>
          <w:kern w:val="2"/>
        </w:rPr>
        <w:t>(VRFB)</w:t>
      </w:r>
      <w:r>
        <w:rPr>
          <w:bCs/>
          <w:kern w:val="2"/>
        </w:rPr>
        <w:t>规模化应用作为新能源与储能技术的核心重点方向。据调查，全钒液流电池充放电效率约</w:t>
      </w:r>
      <w:r>
        <w:rPr>
          <w:bCs/>
          <w:kern w:val="2"/>
        </w:rPr>
        <w:t>90%-95%</w:t>
      </w:r>
      <w:r>
        <w:rPr>
          <w:bCs/>
          <w:kern w:val="2"/>
        </w:rPr>
        <w:t>，其碳排放强度为</w:t>
      </w:r>
      <w:r>
        <w:rPr>
          <w:bCs/>
          <w:kern w:val="2"/>
        </w:rPr>
        <w:t>30-50gCO₂/kWh</w:t>
      </w:r>
      <w:r>
        <w:rPr>
          <w:bCs/>
          <w:kern w:val="2"/>
        </w:rPr>
        <w:t>，仅为锂离子电池的</w:t>
      </w:r>
      <w:r>
        <w:rPr>
          <w:bCs/>
          <w:kern w:val="2"/>
        </w:rPr>
        <w:t>30%-50%</w:t>
      </w:r>
      <w:r>
        <w:rPr>
          <w:bCs/>
          <w:kern w:val="2"/>
        </w:rPr>
        <w:t>，全钒液流电池已成为实现</w:t>
      </w:r>
      <w:r>
        <w:rPr>
          <w:bCs/>
          <w:kern w:val="2"/>
        </w:rPr>
        <w:t>“</w:t>
      </w:r>
      <w:r>
        <w:rPr>
          <w:bCs/>
          <w:kern w:val="2"/>
        </w:rPr>
        <w:t>双碳</w:t>
      </w:r>
      <w:r>
        <w:rPr>
          <w:bCs/>
          <w:kern w:val="2"/>
        </w:rPr>
        <w:t>”</w:t>
      </w:r>
      <w:r>
        <w:rPr>
          <w:bCs/>
          <w:kern w:val="2"/>
        </w:rPr>
        <w:t>目标的关键</w:t>
      </w:r>
      <w:r>
        <w:rPr>
          <w:bCs/>
          <w:kern w:val="2"/>
        </w:rPr>
        <w:t>技术路径，将在可再生能源储能、电网调峰、工业节能等领域发挥核心作用。本项目产品</w:t>
      </w:r>
      <w:r>
        <w:rPr>
          <w:bCs/>
          <w:kern w:val="2"/>
        </w:rPr>
        <w:t>3.5</w:t>
      </w:r>
      <w:r>
        <w:rPr>
          <w:bCs/>
          <w:kern w:val="2"/>
        </w:rPr>
        <w:t>价钒电解液是全钒液流电池的关键组成部分，产品指标符合清洁生产要求。</w:t>
      </w:r>
    </w:p>
    <w:p w14:paraId="3F4F0DCC"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3.5.2</w:t>
      </w:r>
      <w:r>
        <w:rPr>
          <w:rFonts w:cs="Times New Roman"/>
          <w:sz w:val="28"/>
          <w:szCs w:val="28"/>
        </w:rPr>
        <w:t>生产工艺及装备水平</w:t>
      </w:r>
    </w:p>
    <w:p w14:paraId="56D12E03" w14:textId="77777777" w:rsidR="003E78AB" w:rsidRDefault="00010BF9">
      <w:pPr>
        <w:ind w:firstLine="480"/>
        <w:rPr>
          <w:bCs/>
          <w:kern w:val="2"/>
        </w:rPr>
      </w:pPr>
      <w:r>
        <w:rPr>
          <w:bCs/>
          <w:kern w:val="2"/>
        </w:rPr>
        <w:t>钒电解液作为钒电池的活性物质，其质量对钒电池性能具有重要影响。钒电解液中钒离子的浓度越高，钒电池的比能量越大。目前钒电解液制备流程主要包括化学还原、电解、溶剂萃取和离子交换法。</w:t>
      </w:r>
    </w:p>
    <w:p w14:paraId="31DF204D" w14:textId="77777777" w:rsidR="003E78AB" w:rsidRDefault="00010BF9">
      <w:pPr>
        <w:ind w:firstLine="480"/>
        <w:rPr>
          <w:bCs/>
          <w:kern w:val="2"/>
        </w:rPr>
      </w:pPr>
      <w:r>
        <w:rPr>
          <w:rFonts w:hint="eastAsia"/>
          <w:bCs/>
          <w:kern w:val="2"/>
        </w:rPr>
        <w:t>（</w:t>
      </w:r>
      <w:r>
        <w:rPr>
          <w:rFonts w:hint="eastAsia"/>
          <w:bCs/>
          <w:kern w:val="2"/>
        </w:rPr>
        <w:t>1</w:t>
      </w:r>
      <w:r>
        <w:rPr>
          <w:rFonts w:hint="eastAsia"/>
          <w:bCs/>
          <w:kern w:val="2"/>
        </w:rPr>
        <w:t>）</w:t>
      </w:r>
      <w:r>
        <w:rPr>
          <w:bCs/>
          <w:kern w:val="2"/>
        </w:rPr>
        <w:t>化学还原法</w:t>
      </w:r>
    </w:p>
    <w:p w14:paraId="57E70370" w14:textId="77777777" w:rsidR="003E78AB" w:rsidRDefault="00010BF9">
      <w:pPr>
        <w:ind w:firstLine="480"/>
        <w:rPr>
          <w:bCs/>
          <w:kern w:val="2"/>
        </w:rPr>
      </w:pPr>
      <w:r>
        <w:rPr>
          <w:bCs/>
          <w:kern w:val="2"/>
        </w:rPr>
        <w:t>化学还原法是制备钒电解液应用最广泛、最成熟的方法，所用钒原料以</w:t>
      </w:r>
      <w:r>
        <w:rPr>
          <w:bCs/>
          <w:kern w:val="2"/>
        </w:rPr>
        <w:t>V</w:t>
      </w:r>
      <w:r>
        <w:rPr>
          <w:bCs/>
          <w:kern w:val="2"/>
          <w:vertAlign w:val="subscript"/>
        </w:rPr>
        <w:t>2</w:t>
      </w:r>
      <w:r>
        <w:rPr>
          <w:bCs/>
          <w:kern w:val="2"/>
        </w:rPr>
        <w:t>O</w:t>
      </w:r>
      <w:r>
        <w:rPr>
          <w:bCs/>
          <w:kern w:val="2"/>
          <w:vertAlign w:val="subscript"/>
        </w:rPr>
        <w:t>5</w:t>
      </w:r>
      <w:r>
        <w:rPr>
          <w:bCs/>
          <w:kern w:val="2"/>
        </w:rPr>
        <w:t>和钒酸铵为主，</w:t>
      </w:r>
      <w:r>
        <w:rPr>
          <w:bCs/>
          <w:kern w:val="2"/>
        </w:rPr>
        <w:t>V</w:t>
      </w:r>
      <w:r>
        <w:rPr>
          <w:bCs/>
          <w:kern w:val="2"/>
          <w:vertAlign w:val="subscript"/>
        </w:rPr>
        <w:t>2</w:t>
      </w:r>
      <w:r>
        <w:rPr>
          <w:bCs/>
          <w:kern w:val="2"/>
        </w:rPr>
        <w:t>O</w:t>
      </w:r>
      <w:r>
        <w:rPr>
          <w:bCs/>
          <w:kern w:val="2"/>
          <w:vertAlign w:val="subscript"/>
        </w:rPr>
        <w:t>5</w:t>
      </w:r>
      <w:r>
        <w:rPr>
          <w:bCs/>
          <w:kern w:val="2"/>
        </w:rPr>
        <w:t>最为常用，工艺流程为：首先将高纯度</w:t>
      </w:r>
      <w:r>
        <w:rPr>
          <w:bCs/>
          <w:kern w:val="2"/>
        </w:rPr>
        <w:t>V</w:t>
      </w:r>
      <w:r>
        <w:rPr>
          <w:bCs/>
          <w:kern w:val="2"/>
          <w:vertAlign w:val="subscript"/>
        </w:rPr>
        <w:t>2</w:t>
      </w:r>
      <w:r>
        <w:rPr>
          <w:bCs/>
          <w:kern w:val="2"/>
        </w:rPr>
        <w:t>O</w:t>
      </w:r>
      <w:r>
        <w:rPr>
          <w:bCs/>
          <w:kern w:val="2"/>
          <w:vertAlign w:val="subscript"/>
        </w:rPr>
        <w:t>5</w:t>
      </w:r>
      <w:r>
        <w:rPr>
          <w:bCs/>
          <w:kern w:val="2"/>
        </w:rPr>
        <w:t>溶解在硫酸溶液中得到</w:t>
      </w:r>
      <w:r>
        <w:rPr>
          <w:bCs/>
          <w:kern w:val="2"/>
        </w:rPr>
        <w:t>V(Ⅴ)</w:t>
      </w:r>
      <w:r>
        <w:rPr>
          <w:bCs/>
          <w:kern w:val="2"/>
        </w:rPr>
        <w:t>溶液，再加入还原剂，将溶液中的</w:t>
      </w:r>
      <w:r>
        <w:rPr>
          <w:bCs/>
          <w:kern w:val="2"/>
        </w:rPr>
        <w:t>V(Ⅴ)</w:t>
      </w:r>
      <w:r>
        <w:rPr>
          <w:bCs/>
          <w:kern w:val="2"/>
        </w:rPr>
        <w:t>还原为</w:t>
      </w:r>
      <w:r>
        <w:rPr>
          <w:bCs/>
          <w:kern w:val="2"/>
        </w:rPr>
        <w:t>V(Ⅳ)</w:t>
      </w:r>
      <w:r>
        <w:rPr>
          <w:bCs/>
          <w:kern w:val="2"/>
        </w:rPr>
        <w:t>或</w:t>
      </w:r>
      <w:r>
        <w:rPr>
          <w:bCs/>
          <w:kern w:val="2"/>
        </w:rPr>
        <w:t>V(Ⅲ)</w:t>
      </w:r>
      <w:r>
        <w:rPr>
          <w:bCs/>
          <w:kern w:val="2"/>
        </w:rPr>
        <w:t>，经过适当调整即可得到</w:t>
      </w:r>
      <w:r>
        <w:rPr>
          <w:bCs/>
          <w:kern w:val="2"/>
        </w:rPr>
        <w:t>3.5</w:t>
      </w:r>
      <w:r>
        <w:rPr>
          <w:bCs/>
          <w:kern w:val="2"/>
        </w:rPr>
        <w:t>价钒电解液。</w:t>
      </w:r>
    </w:p>
    <w:p w14:paraId="547BB4E1" w14:textId="77777777" w:rsidR="003E78AB" w:rsidRDefault="00010BF9">
      <w:pPr>
        <w:ind w:firstLine="480"/>
        <w:rPr>
          <w:bCs/>
          <w:kern w:val="2"/>
        </w:rPr>
      </w:pPr>
      <w:r>
        <w:rPr>
          <w:bCs/>
          <w:kern w:val="2"/>
        </w:rPr>
        <w:t>使用化学还原剂能将</w:t>
      </w:r>
      <w:r>
        <w:rPr>
          <w:bCs/>
          <w:kern w:val="2"/>
        </w:rPr>
        <w:t>V(Ⅴ)</w:t>
      </w:r>
      <w:r>
        <w:rPr>
          <w:bCs/>
          <w:kern w:val="2"/>
        </w:rPr>
        <w:t>还原为</w:t>
      </w:r>
      <w:r>
        <w:rPr>
          <w:bCs/>
          <w:kern w:val="2"/>
        </w:rPr>
        <w:t>V(Ⅳ)</w:t>
      </w:r>
      <w:r>
        <w:rPr>
          <w:bCs/>
          <w:kern w:val="2"/>
        </w:rPr>
        <w:t>，却难以将</w:t>
      </w:r>
      <w:r>
        <w:rPr>
          <w:bCs/>
          <w:kern w:val="2"/>
        </w:rPr>
        <w:t>V(Ⅳ)</w:t>
      </w:r>
      <w:r>
        <w:rPr>
          <w:bCs/>
          <w:kern w:val="2"/>
        </w:rPr>
        <w:t>持续还原为</w:t>
      </w:r>
      <w:r>
        <w:rPr>
          <w:bCs/>
          <w:kern w:val="2"/>
        </w:rPr>
        <w:t>V(Ⅲ)</w:t>
      </w:r>
      <w:r>
        <w:rPr>
          <w:bCs/>
          <w:kern w:val="2"/>
        </w:rPr>
        <w:t>，不利于</w:t>
      </w:r>
      <w:r>
        <w:rPr>
          <w:bCs/>
          <w:kern w:val="2"/>
        </w:rPr>
        <w:t>3.5</w:t>
      </w:r>
      <w:r>
        <w:rPr>
          <w:bCs/>
          <w:kern w:val="2"/>
        </w:rPr>
        <w:t>价钒电解液的高效制备。为了解决这个问题，学者们进一步开发出了化学还原和电解相结合的方法来制备</w:t>
      </w:r>
      <w:r>
        <w:rPr>
          <w:bCs/>
          <w:kern w:val="2"/>
        </w:rPr>
        <w:t>3.5</w:t>
      </w:r>
      <w:r>
        <w:rPr>
          <w:bCs/>
          <w:kern w:val="2"/>
        </w:rPr>
        <w:t>价钒电解液。首先用化学还原剂将溶液中的</w:t>
      </w:r>
      <w:r>
        <w:rPr>
          <w:bCs/>
          <w:kern w:val="2"/>
        </w:rPr>
        <w:t>V(Ⅴ)</w:t>
      </w:r>
      <w:r>
        <w:rPr>
          <w:bCs/>
          <w:kern w:val="2"/>
        </w:rPr>
        <w:t>还原为</w:t>
      </w:r>
      <w:r>
        <w:rPr>
          <w:bCs/>
          <w:kern w:val="2"/>
        </w:rPr>
        <w:t>V(Ⅳ)</w:t>
      </w:r>
      <w:r>
        <w:rPr>
          <w:bCs/>
          <w:kern w:val="2"/>
        </w:rPr>
        <w:t>，再将得到的</w:t>
      </w:r>
      <w:r>
        <w:rPr>
          <w:bCs/>
          <w:kern w:val="2"/>
        </w:rPr>
        <w:t>V(Ⅳ)</w:t>
      </w:r>
      <w:r>
        <w:rPr>
          <w:bCs/>
          <w:kern w:val="2"/>
        </w:rPr>
        <w:t>溶液电解还原得到</w:t>
      </w:r>
      <w:r>
        <w:rPr>
          <w:bCs/>
          <w:kern w:val="2"/>
        </w:rPr>
        <w:t>3.5</w:t>
      </w:r>
      <w:r>
        <w:rPr>
          <w:bCs/>
          <w:kern w:val="2"/>
        </w:rPr>
        <w:t>价钒电解液。化学还原与电解相结合，能够有效解决</w:t>
      </w:r>
      <w:r>
        <w:rPr>
          <w:bCs/>
          <w:kern w:val="2"/>
        </w:rPr>
        <w:t>V(Ⅳ)</w:t>
      </w:r>
      <w:r>
        <w:rPr>
          <w:bCs/>
          <w:kern w:val="2"/>
        </w:rPr>
        <w:t>与</w:t>
      </w:r>
      <w:r>
        <w:rPr>
          <w:bCs/>
          <w:kern w:val="2"/>
        </w:rPr>
        <w:t>V(Ⅲ)</w:t>
      </w:r>
      <w:r>
        <w:rPr>
          <w:bCs/>
          <w:kern w:val="2"/>
        </w:rPr>
        <w:t>之间难还原的问题，提高化学</w:t>
      </w:r>
      <w:r>
        <w:rPr>
          <w:bCs/>
          <w:kern w:val="2"/>
        </w:rPr>
        <w:t>还原法制备</w:t>
      </w:r>
      <w:r>
        <w:rPr>
          <w:bCs/>
          <w:kern w:val="2"/>
        </w:rPr>
        <w:t>3.5</w:t>
      </w:r>
      <w:r>
        <w:rPr>
          <w:bCs/>
          <w:kern w:val="2"/>
        </w:rPr>
        <w:t>价钒电解液的整体效率。</w:t>
      </w:r>
    </w:p>
    <w:p w14:paraId="28D709BC" w14:textId="77777777" w:rsidR="003E78AB" w:rsidRDefault="00010BF9">
      <w:pPr>
        <w:ind w:firstLine="480"/>
        <w:rPr>
          <w:bCs/>
          <w:kern w:val="2"/>
        </w:rPr>
      </w:pPr>
      <w:r>
        <w:rPr>
          <w:rFonts w:hint="eastAsia"/>
          <w:bCs/>
          <w:kern w:val="2"/>
        </w:rPr>
        <w:t>（</w:t>
      </w:r>
      <w:r>
        <w:rPr>
          <w:rFonts w:hint="eastAsia"/>
          <w:bCs/>
          <w:kern w:val="2"/>
        </w:rPr>
        <w:t>2</w:t>
      </w:r>
      <w:r>
        <w:rPr>
          <w:rFonts w:hint="eastAsia"/>
          <w:bCs/>
          <w:kern w:val="2"/>
        </w:rPr>
        <w:t>）</w:t>
      </w:r>
      <w:r>
        <w:rPr>
          <w:bCs/>
          <w:kern w:val="2"/>
        </w:rPr>
        <w:t>电解法</w:t>
      </w:r>
    </w:p>
    <w:p w14:paraId="5C9D3DA6" w14:textId="77777777" w:rsidR="003E78AB" w:rsidRDefault="00010BF9">
      <w:pPr>
        <w:ind w:firstLine="480"/>
        <w:rPr>
          <w:bCs/>
          <w:kern w:val="2"/>
        </w:rPr>
      </w:pPr>
      <w:r>
        <w:rPr>
          <w:bCs/>
          <w:kern w:val="2"/>
        </w:rPr>
        <w:t>电解法是以高价态的钒化合物</w:t>
      </w:r>
      <w:r>
        <w:rPr>
          <w:bCs/>
          <w:kern w:val="2"/>
        </w:rPr>
        <w:t>(</w:t>
      </w:r>
      <w:r>
        <w:rPr>
          <w:bCs/>
          <w:kern w:val="2"/>
        </w:rPr>
        <w:t>如</w:t>
      </w:r>
      <w:r>
        <w:rPr>
          <w:bCs/>
          <w:kern w:val="2"/>
        </w:rPr>
        <w:t>V</w:t>
      </w:r>
      <w:r>
        <w:rPr>
          <w:bCs/>
          <w:kern w:val="2"/>
          <w:vertAlign w:val="subscript"/>
        </w:rPr>
        <w:t>2</w:t>
      </w:r>
      <w:r>
        <w:rPr>
          <w:bCs/>
          <w:kern w:val="2"/>
        </w:rPr>
        <w:t>O</w:t>
      </w:r>
      <w:r>
        <w:rPr>
          <w:bCs/>
          <w:kern w:val="2"/>
          <w:vertAlign w:val="subscript"/>
        </w:rPr>
        <w:t>5</w:t>
      </w:r>
      <w:r>
        <w:rPr>
          <w:bCs/>
          <w:kern w:val="2"/>
        </w:rPr>
        <w:t>、</w:t>
      </w:r>
      <w:r>
        <w:rPr>
          <w:bCs/>
          <w:kern w:val="2"/>
        </w:rPr>
        <w:t>NH</w:t>
      </w:r>
      <w:r>
        <w:rPr>
          <w:bCs/>
          <w:kern w:val="2"/>
          <w:vertAlign w:val="subscript"/>
        </w:rPr>
        <w:t>4</w:t>
      </w:r>
      <w:r>
        <w:rPr>
          <w:bCs/>
          <w:kern w:val="2"/>
        </w:rPr>
        <w:t>VO</w:t>
      </w:r>
      <w:r>
        <w:rPr>
          <w:bCs/>
          <w:kern w:val="2"/>
          <w:vertAlign w:val="subscript"/>
        </w:rPr>
        <w:t>3</w:t>
      </w:r>
      <w:r>
        <w:rPr>
          <w:bCs/>
          <w:kern w:val="2"/>
        </w:rPr>
        <w:t>等</w:t>
      </w:r>
      <w:r>
        <w:rPr>
          <w:bCs/>
          <w:kern w:val="2"/>
        </w:rPr>
        <w:t>)</w:t>
      </w:r>
      <w:r>
        <w:rPr>
          <w:bCs/>
          <w:kern w:val="2"/>
        </w:rPr>
        <w:t>为原料，在电解槽中通过电解将高价态钒还原至所需的低价态钒，即负极加入高价态的含钒化合物的硫酸溶液，正极加入相匹配浓度的硫酸溶液，在恒流或恒压下电解，制备低价态的钒离子电解液。</w:t>
      </w:r>
    </w:p>
    <w:p w14:paraId="1752E6AB" w14:textId="77777777" w:rsidR="003E78AB" w:rsidRDefault="00010BF9">
      <w:pPr>
        <w:ind w:firstLine="480"/>
        <w:rPr>
          <w:bCs/>
          <w:kern w:val="2"/>
        </w:rPr>
      </w:pPr>
      <w:r>
        <w:rPr>
          <w:bCs/>
          <w:kern w:val="2"/>
        </w:rPr>
        <w:t>纯电解法制备电解液技术的相关文献报道较少，大部分是以专利的形式进行保护。</w:t>
      </w:r>
    </w:p>
    <w:p w14:paraId="6267EE08" w14:textId="77777777" w:rsidR="003E78AB" w:rsidRDefault="00010BF9">
      <w:pPr>
        <w:ind w:firstLine="480"/>
        <w:rPr>
          <w:bCs/>
          <w:kern w:val="2"/>
        </w:rPr>
      </w:pPr>
      <w:r>
        <w:rPr>
          <w:rFonts w:hint="eastAsia"/>
          <w:bCs/>
          <w:kern w:val="2"/>
        </w:rPr>
        <w:t>（</w:t>
      </w:r>
      <w:r>
        <w:rPr>
          <w:rFonts w:hint="eastAsia"/>
          <w:bCs/>
          <w:kern w:val="2"/>
        </w:rPr>
        <w:t>3</w:t>
      </w:r>
      <w:r>
        <w:rPr>
          <w:rFonts w:hint="eastAsia"/>
          <w:bCs/>
          <w:kern w:val="2"/>
        </w:rPr>
        <w:t>）</w:t>
      </w:r>
      <w:r>
        <w:rPr>
          <w:bCs/>
          <w:kern w:val="2"/>
        </w:rPr>
        <w:t>溶剂萃取法</w:t>
      </w:r>
    </w:p>
    <w:p w14:paraId="4823A6C9" w14:textId="77777777" w:rsidR="003E78AB" w:rsidRDefault="00010BF9">
      <w:pPr>
        <w:ind w:firstLine="480"/>
        <w:rPr>
          <w:bCs/>
          <w:kern w:val="2"/>
        </w:rPr>
      </w:pPr>
      <w:r>
        <w:rPr>
          <w:bCs/>
          <w:kern w:val="2"/>
        </w:rPr>
        <w:t>溶剂萃取法主要以含钒浸出液为原料，经过还原</w:t>
      </w:r>
      <w:r>
        <w:rPr>
          <w:bCs/>
          <w:kern w:val="2"/>
        </w:rPr>
        <w:t>—</w:t>
      </w:r>
      <w:r>
        <w:rPr>
          <w:bCs/>
          <w:kern w:val="2"/>
        </w:rPr>
        <w:t>萃取</w:t>
      </w:r>
      <w:r>
        <w:rPr>
          <w:bCs/>
          <w:kern w:val="2"/>
        </w:rPr>
        <w:t>—</w:t>
      </w:r>
      <w:r>
        <w:rPr>
          <w:bCs/>
          <w:kern w:val="2"/>
        </w:rPr>
        <w:t>反萃或萃取</w:t>
      </w:r>
      <w:r>
        <w:rPr>
          <w:bCs/>
          <w:kern w:val="2"/>
        </w:rPr>
        <w:t>—</w:t>
      </w:r>
      <w:r>
        <w:rPr>
          <w:bCs/>
          <w:kern w:val="2"/>
        </w:rPr>
        <w:t>还原</w:t>
      </w:r>
      <w:r>
        <w:rPr>
          <w:bCs/>
          <w:kern w:val="2"/>
        </w:rPr>
        <w:t>—</w:t>
      </w:r>
      <w:r>
        <w:rPr>
          <w:bCs/>
          <w:kern w:val="2"/>
        </w:rPr>
        <w:t>反萃步骤制备钒电解液。当浸出液中钒浓度不达标时，可通过浓缩获得高浓</w:t>
      </w:r>
      <w:r>
        <w:rPr>
          <w:bCs/>
          <w:kern w:val="2"/>
        </w:rPr>
        <w:t>度钒溶液。</w:t>
      </w:r>
    </w:p>
    <w:p w14:paraId="1AC24CDB" w14:textId="77777777" w:rsidR="003E78AB" w:rsidRDefault="00010BF9">
      <w:pPr>
        <w:ind w:firstLine="480"/>
        <w:rPr>
          <w:bCs/>
          <w:kern w:val="2"/>
        </w:rPr>
      </w:pPr>
      <w:r>
        <w:rPr>
          <w:bCs/>
          <w:kern w:val="2"/>
        </w:rPr>
        <w:t>溶剂萃取法以钒浸出液为原料，降低了原料成本，萃取剂选择性好；但整体生产流程较长，通常包含多级萃取和反萃步骤，最终得到的电解液中也可能含有残留的萃取剂，并且大多数萃取方法只能得到</w:t>
      </w:r>
      <w:r>
        <w:rPr>
          <w:bCs/>
          <w:kern w:val="2"/>
        </w:rPr>
        <w:t>V(Ⅳ)</w:t>
      </w:r>
      <w:r>
        <w:rPr>
          <w:bCs/>
          <w:kern w:val="2"/>
        </w:rPr>
        <w:t>钒电解液，需要进一步处理才能得到</w:t>
      </w:r>
      <w:r>
        <w:rPr>
          <w:bCs/>
          <w:kern w:val="2"/>
        </w:rPr>
        <w:t>3.5</w:t>
      </w:r>
      <w:r>
        <w:rPr>
          <w:bCs/>
          <w:kern w:val="2"/>
        </w:rPr>
        <w:t>价钒电解液。</w:t>
      </w:r>
    </w:p>
    <w:p w14:paraId="2B0B2D40" w14:textId="77777777" w:rsidR="003E78AB" w:rsidRDefault="00010BF9">
      <w:pPr>
        <w:ind w:firstLine="480"/>
        <w:rPr>
          <w:bCs/>
          <w:kern w:val="2"/>
        </w:rPr>
      </w:pPr>
      <w:r>
        <w:rPr>
          <w:rFonts w:hint="eastAsia"/>
          <w:bCs/>
          <w:kern w:val="2"/>
        </w:rPr>
        <w:t>（</w:t>
      </w:r>
      <w:r>
        <w:rPr>
          <w:rFonts w:hint="eastAsia"/>
          <w:bCs/>
          <w:kern w:val="2"/>
        </w:rPr>
        <w:t>4</w:t>
      </w:r>
      <w:r>
        <w:rPr>
          <w:rFonts w:hint="eastAsia"/>
          <w:bCs/>
          <w:kern w:val="2"/>
        </w:rPr>
        <w:t>）</w:t>
      </w:r>
      <w:r>
        <w:rPr>
          <w:bCs/>
          <w:kern w:val="2"/>
        </w:rPr>
        <w:t>离子交换法</w:t>
      </w:r>
    </w:p>
    <w:p w14:paraId="66D3B2DC" w14:textId="77777777" w:rsidR="003E78AB" w:rsidRDefault="00010BF9">
      <w:pPr>
        <w:ind w:firstLine="480"/>
        <w:rPr>
          <w:bCs/>
          <w:kern w:val="2"/>
        </w:rPr>
      </w:pPr>
      <w:r>
        <w:rPr>
          <w:bCs/>
          <w:kern w:val="2"/>
        </w:rPr>
        <w:t>离子交换法制备钒电解液以含钒溶液为原料，利用离子交换树脂进行吸附，在用酸液解吸后得到钒电解液。</w:t>
      </w:r>
    </w:p>
    <w:p w14:paraId="62818E1E" w14:textId="77777777" w:rsidR="003E78AB" w:rsidRDefault="00010BF9">
      <w:pPr>
        <w:ind w:firstLine="480"/>
        <w:rPr>
          <w:bCs/>
          <w:kern w:val="2"/>
        </w:rPr>
      </w:pPr>
      <w:r>
        <w:rPr>
          <w:bCs/>
          <w:kern w:val="2"/>
        </w:rPr>
        <w:t>离子交换法简化了电解液制备工艺流程，降低了制备成本，但离子交换法存在如下问题：树脂的吸附能力有限，需要蒸发浓缩才能获得高浓度的电解液；吸附和解吸时间长</w:t>
      </w:r>
      <w:r>
        <w:rPr>
          <w:bCs/>
          <w:kern w:val="2"/>
        </w:rPr>
        <w:t>，导致生产效率低下，且解吸过程会产生大量废水，增加对应的环保成本；树脂易中毒，回收利用难度大。</w:t>
      </w:r>
    </w:p>
    <w:p w14:paraId="1F35F9D4" w14:textId="77777777" w:rsidR="003E78AB" w:rsidRDefault="00010BF9">
      <w:pPr>
        <w:ind w:firstLine="480"/>
        <w:rPr>
          <w:bCs/>
          <w:kern w:val="2"/>
        </w:rPr>
      </w:pPr>
      <w:r>
        <w:rPr>
          <w:bCs/>
          <w:kern w:val="2"/>
        </w:rPr>
        <w:t>本项目钒电解液生产以五氧化二钒、浓硫酸、还原剂为原料，采用化学还原和电解结合的生产工艺，是目前制备钒电解液应用最广泛、最成熟的方法，同时生产工艺流程较短，产排污节点较少，污染物排放量小，对周围生态环境影响较小。</w:t>
      </w:r>
    </w:p>
    <w:p w14:paraId="74BE0730" w14:textId="77777777" w:rsidR="003E78AB" w:rsidRDefault="00010BF9">
      <w:pPr>
        <w:ind w:firstLine="480"/>
        <w:rPr>
          <w:bCs/>
          <w:kern w:val="2"/>
        </w:rPr>
      </w:pPr>
      <w:r>
        <w:rPr>
          <w:bCs/>
          <w:kern w:val="2"/>
        </w:rPr>
        <w:t>项目除</w:t>
      </w:r>
      <w:r>
        <w:rPr>
          <w:bCs/>
          <w:kern w:val="2"/>
        </w:rPr>
        <w:t>V</w:t>
      </w:r>
      <w:r>
        <w:rPr>
          <w:bCs/>
          <w:kern w:val="2"/>
          <w:vertAlign w:val="subscript"/>
        </w:rPr>
        <w:t>2</w:t>
      </w:r>
      <w:r>
        <w:rPr>
          <w:bCs/>
          <w:kern w:val="2"/>
        </w:rPr>
        <w:t>O</w:t>
      </w:r>
      <w:r>
        <w:rPr>
          <w:bCs/>
          <w:kern w:val="2"/>
          <w:vertAlign w:val="subscript"/>
        </w:rPr>
        <w:t>5</w:t>
      </w:r>
      <w:r>
        <w:rPr>
          <w:bCs/>
          <w:kern w:val="2"/>
        </w:rPr>
        <w:t>原料为粉状物料外，其余均为液态物料。根据生产工艺，项目</w:t>
      </w:r>
      <w:r>
        <w:rPr>
          <w:bCs/>
          <w:kern w:val="2"/>
        </w:rPr>
        <w:t>V</w:t>
      </w:r>
      <w:r>
        <w:rPr>
          <w:bCs/>
          <w:kern w:val="2"/>
          <w:vertAlign w:val="subscript"/>
        </w:rPr>
        <w:t>2</w:t>
      </w:r>
      <w:r>
        <w:rPr>
          <w:bCs/>
          <w:kern w:val="2"/>
        </w:rPr>
        <w:t>O</w:t>
      </w:r>
      <w:r>
        <w:rPr>
          <w:bCs/>
          <w:kern w:val="2"/>
          <w:vertAlign w:val="subscript"/>
        </w:rPr>
        <w:t>5</w:t>
      </w:r>
      <w:r>
        <w:rPr>
          <w:bCs/>
          <w:kern w:val="2"/>
        </w:rPr>
        <w:t>原料袋通过电动叉车运至指定投料区，</w:t>
      </w:r>
      <w:r>
        <w:rPr>
          <w:rFonts w:hint="eastAsia"/>
          <w:bCs/>
          <w:kern w:val="2"/>
        </w:rPr>
        <w:t>拆包投料机为封闭设备且真空投料</w:t>
      </w:r>
      <w:r>
        <w:rPr>
          <w:bCs/>
          <w:kern w:val="2"/>
        </w:rPr>
        <w:t>，同时投料过程</w:t>
      </w:r>
      <w:r>
        <w:rPr>
          <w:rFonts w:hint="eastAsia"/>
          <w:bCs/>
          <w:kern w:val="2"/>
        </w:rPr>
        <w:t>向溶解还原釜中</w:t>
      </w:r>
      <w:r>
        <w:rPr>
          <w:bCs/>
          <w:kern w:val="2"/>
        </w:rPr>
        <w:t>先添加纯水，再采取自动化机械手拆袋、</w:t>
      </w:r>
      <w:r>
        <w:rPr>
          <w:bCs/>
          <w:kern w:val="2"/>
        </w:rPr>
        <w:t>投料，投料过程微负压抽风，投料粉尘随负压抽风系统进投料覆膜滤袋布袋除尘器治理；其他环节物料通过管道泵送方式进行输送。项目物料投入采用自动化计量设备，投料更合理准确，在保证产品质量的同时有效降低对环境的污染；装置内的设备、管道、阀门、法兰等均采用可靠的密闭技术，不和外界接触，防止物料泄漏。</w:t>
      </w:r>
    </w:p>
    <w:p w14:paraId="3926C016"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3.5.3</w:t>
      </w:r>
      <w:r>
        <w:rPr>
          <w:rFonts w:cs="Times New Roman"/>
          <w:sz w:val="28"/>
          <w:szCs w:val="28"/>
        </w:rPr>
        <w:t>工艺节能措施</w:t>
      </w:r>
    </w:p>
    <w:p w14:paraId="1EA3EB61" w14:textId="77777777" w:rsidR="003E78AB" w:rsidRDefault="00010BF9">
      <w:pPr>
        <w:ind w:firstLine="480"/>
        <w:rPr>
          <w:bCs/>
          <w:kern w:val="2"/>
        </w:rPr>
      </w:pPr>
      <w:r>
        <w:rPr>
          <w:rFonts w:hint="eastAsia"/>
          <w:bCs/>
          <w:kern w:val="2"/>
        </w:rPr>
        <w:t>（</w:t>
      </w:r>
      <w:r>
        <w:rPr>
          <w:rFonts w:hint="eastAsia"/>
          <w:bCs/>
          <w:kern w:val="2"/>
        </w:rPr>
        <w:t>1</w:t>
      </w:r>
      <w:r>
        <w:rPr>
          <w:rFonts w:hint="eastAsia"/>
          <w:bCs/>
          <w:kern w:val="2"/>
        </w:rPr>
        <w:t>）</w:t>
      </w:r>
      <w:r>
        <w:rPr>
          <w:bCs/>
          <w:kern w:val="2"/>
        </w:rPr>
        <w:t>本项目选用</w:t>
      </w:r>
      <w:r>
        <w:rPr>
          <w:bCs/>
          <w:kern w:val="2"/>
        </w:rPr>
        <w:t>V</w:t>
      </w:r>
      <w:r>
        <w:rPr>
          <w:bCs/>
          <w:kern w:val="2"/>
          <w:vertAlign w:val="subscript"/>
        </w:rPr>
        <w:t>2</w:t>
      </w:r>
      <w:r>
        <w:rPr>
          <w:bCs/>
          <w:kern w:val="2"/>
        </w:rPr>
        <w:t>O</w:t>
      </w:r>
      <w:r>
        <w:rPr>
          <w:bCs/>
          <w:kern w:val="2"/>
          <w:vertAlign w:val="subscript"/>
        </w:rPr>
        <w:t>5</w:t>
      </w:r>
      <w:r>
        <w:rPr>
          <w:rFonts w:hint="eastAsia"/>
          <w:bCs/>
          <w:kern w:val="2"/>
        </w:rPr>
        <w:t>、二水草酸、硫酸、磷酸等</w:t>
      </w:r>
      <w:r>
        <w:rPr>
          <w:bCs/>
          <w:kern w:val="2"/>
        </w:rPr>
        <w:t>为原料生产钒电解液，流程短，生产技术稳定可靠，产品质量、收率等在国内均处于先进水平。</w:t>
      </w:r>
    </w:p>
    <w:p w14:paraId="1189A47C" w14:textId="77777777" w:rsidR="003E78AB" w:rsidRDefault="00010BF9">
      <w:pPr>
        <w:ind w:firstLine="480"/>
        <w:rPr>
          <w:bCs/>
          <w:kern w:val="2"/>
        </w:rPr>
      </w:pPr>
      <w:r>
        <w:rPr>
          <w:rFonts w:hint="eastAsia"/>
          <w:bCs/>
          <w:kern w:val="2"/>
        </w:rPr>
        <w:t>（</w:t>
      </w:r>
      <w:r>
        <w:rPr>
          <w:rFonts w:hint="eastAsia"/>
          <w:bCs/>
          <w:kern w:val="2"/>
        </w:rPr>
        <w:t>2</w:t>
      </w:r>
      <w:r>
        <w:rPr>
          <w:rFonts w:hint="eastAsia"/>
          <w:bCs/>
          <w:kern w:val="2"/>
        </w:rPr>
        <w:t>）</w:t>
      </w:r>
      <w:r>
        <w:rPr>
          <w:bCs/>
          <w:kern w:val="2"/>
        </w:rPr>
        <w:t>选用低能耗的生产设备及辅助设备，降低原材料消耗及能耗指标。</w:t>
      </w:r>
    </w:p>
    <w:p w14:paraId="6877DE05" w14:textId="77777777" w:rsidR="003E78AB" w:rsidRDefault="00010BF9">
      <w:pPr>
        <w:ind w:firstLine="480"/>
        <w:rPr>
          <w:bCs/>
          <w:kern w:val="2"/>
        </w:rPr>
      </w:pPr>
      <w:r>
        <w:rPr>
          <w:rFonts w:hint="eastAsia"/>
          <w:bCs/>
          <w:kern w:val="2"/>
        </w:rPr>
        <w:t>（</w:t>
      </w:r>
      <w:r>
        <w:rPr>
          <w:rFonts w:hint="eastAsia"/>
          <w:bCs/>
          <w:kern w:val="2"/>
        </w:rPr>
        <w:t>3</w:t>
      </w:r>
      <w:r>
        <w:rPr>
          <w:rFonts w:hint="eastAsia"/>
          <w:bCs/>
          <w:kern w:val="2"/>
        </w:rPr>
        <w:t>）</w:t>
      </w:r>
      <w:r>
        <w:rPr>
          <w:bCs/>
          <w:kern w:val="2"/>
        </w:rPr>
        <w:t>充分利用生产中过程物料的热量，减少过程物料输送及使用过程中的无形浪费及损失。</w:t>
      </w:r>
    </w:p>
    <w:p w14:paraId="598D4FC4" w14:textId="77777777" w:rsidR="003E78AB" w:rsidRDefault="00010BF9">
      <w:pPr>
        <w:ind w:firstLine="480"/>
        <w:rPr>
          <w:bCs/>
          <w:kern w:val="2"/>
        </w:rPr>
      </w:pPr>
      <w:r>
        <w:rPr>
          <w:rFonts w:hint="eastAsia"/>
          <w:bCs/>
          <w:kern w:val="2"/>
        </w:rPr>
        <w:t>（</w:t>
      </w:r>
      <w:r>
        <w:rPr>
          <w:rFonts w:hint="eastAsia"/>
          <w:bCs/>
          <w:kern w:val="2"/>
        </w:rPr>
        <w:t>4</w:t>
      </w:r>
      <w:r>
        <w:rPr>
          <w:rFonts w:hint="eastAsia"/>
          <w:bCs/>
          <w:kern w:val="2"/>
        </w:rPr>
        <w:t>）</w:t>
      </w:r>
      <w:r>
        <w:rPr>
          <w:bCs/>
          <w:kern w:val="2"/>
        </w:rPr>
        <w:t>合理布设设备及物料输送路线，减少物料运输能耗。</w:t>
      </w:r>
    </w:p>
    <w:p w14:paraId="1D39E5E7"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3.5.4</w:t>
      </w:r>
      <w:r>
        <w:rPr>
          <w:rFonts w:cs="Times New Roman"/>
          <w:sz w:val="28"/>
          <w:szCs w:val="28"/>
        </w:rPr>
        <w:t>资源能源利用指标</w:t>
      </w:r>
    </w:p>
    <w:p w14:paraId="51357E46" w14:textId="77777777" w:rsidR="003E78AB" w:rsidRDefault="00010BF9">
      <w:pPr>
        <w:ind w:firstLine="480"/>
        <w:rPr>
          <w:bCs/>
          <w:kern w:val="2"/>
        </w:rPr>
      </w:pPr>
      <w:r>
        <w:rPr>
          <w:bCs/>
          <w:kern w:val="2"/>
        </w:rPr>
        <w:t>本项目能源仅采用清洁能源电能提供动力，项目生产工艺换热器冷却需要消耗一定的新水。具体指标如下</w:t>
      </w:r>
      <w:r>
        <w:rPr>
          <w:bCs/>
          <w:kern w:val="2"/>
        </w:rPr>
        <w:t>:</w:t>
      </w:r>
    </w:p>
    <w:p w14:paraId="0C3A157B" w14:textId="77777777" w:rsidR="003E78AB" w:rsidRDefault="00010BF9">
      <w:pPr>
        <w:ind w:firstLine="480"/>
        <w:rPr>
          <w:bCs/>
          <w:kern w:val="2"/>
        </w:rPr>
      </w:pPr>
      <w:r>
        <w:rPr>
          <w:rFonts w:hint="eastAsia"/>
          <w:bCs/>
          <w:kern w:val="2"/>
        </w:rPr>
        <w:t>（</w:t>
      </w:r>
      <w:r>
        <w:rPr>
          <w:rFonts w:hint="eastAsia"/>
          <w:bCs/>
          <w:kern w:val="2"/>
        </w:rPr>
        <w:t>1</w:t>
      </w:r>
      <w:r>
        <w:rPr>
          <w:rFonts w:hint="eastAsia"/>
          <w:bCs/>
          <w:kern w:val="2"/>
        </w:rPr>
        <w:t>）</w:t>
      </w:r>
      <w:r>
        <w:rPr>
          <w:bCs/>
          <w:kern w:val="2"/>
        </w:rPr>
        <w:t>电耗</w:t>
      </w:r>
    </w:p>
    <w:p w14:paraId="2B56BF31" w14:textId="77777777" w:rsidR="003E78AB" w:rsidRDefault="00010BF9">
      <w:pPr>
        <w:ind w:firstLine="480"/>
        <w:rPr>
          <w:bCs/>
          <w:kern w:val="2"/>
        </w:rPr>
      </w:pPr>
      <w:r>
        <w:rPr>
          <w:rFonts w:hint="eastAsia"/>
          <w:bCs/>
          <w:kern w:val="2"/>
        </w:rPr>
        <w:t>本项目</w:t>
      </w:r>
      <w:r>
        <w:rPr>
          <w:bCs/>
          <w:kern w:val="2"/>
        </w:rPr>
        <w:t>耗电量</w:t>
      </w:r>
      <w:r>
        <w:rPr>
          <w:bCs/>
          <w:kern w:val="2"/>
        </w:rPr>
        <w:t>1.55×10</w:t>
      </w:r>
      <w:r>
        <w:rPr>
          <w:rFonts w:hint="eastAsia"/>
          <w:bCs/>
          <w:kern w:val="2"/>
          <w:vertAlign w:val="superscript"/>
        </w:rPr>
        <w:t>3</w:t>
      </w:r>
      <w:r>
        <w:rPr>
          <w:bCs/>
          <w:kern w:val="2"/>
        </w:rPr>
        <w:t>万</w:t>
      </w:r>
      <w:r>
        <w:rPr>
          <w:bCs/>
          <w:kern w:val="2"/>
        </w:rPr>
        <w:t>kwh/a</w:t>
      </w:r>
      <w:r>
        <w:rPr>
          <w:rFonts w:hint="eastAsia"/>
          <w:bCs/>
          <w:kern w:val="2"/>
        </w:rPr>
        <w:t>，</w:t>
      </w:r>
      <w:r>
        <w:rPr>
          <w:bCs/>
          <w:kern w:val="2"/>
        </w:rPr>
        <w:t>消耗电能折标准煤为</w:t>
      </w:r>
      <w:r>
        <w:rPr>
          <w:bCs/>
          <w:kern w:val="2"/>
        </w:rPr>
        <w:t>1904.95tce</w:t>
      </w:r>
      <w:r>
        <w:rPr>
          <w:bCs/>
          <w:kern w:val="2"/>
        </w:rPr>
        <w:t>。</w:t>
      </w:r>
    </w:p>
    <w:p w14:paraId="39F1746C" w14:textId="77777777" w:rsidR="003E78AB" w:rsidRDefault="00010BF9">
      <w:pPr>
        <w:ind w:firstLine="480"/>
        <w:rPr>
          <w:bCs/>
          <w:kern w:val="2"/>
        </w:rPr>
      </w:pPr>
      <w:r>
        <w:rPr>
          <w:rFonts w:hint="eastAsia"/>
          <w:bCs/>
          <w:kern w:val="2"/>
        </w:rPr>
        <w:t>（</w:t>
      </w:r>
      <w:r>
        <w:rPr>
          <w:rFonts w:hint="eastAsia"/>
          <w:bCs/>
          <w:kern w:val="2"/>
        </w:rPr>
        <w:t>2</w:t>
      </w:r>
      <w:r>
        <w:rPr>
          <w:rFonts w:hint="eastAsia"/>
          <w:bCs/>
          <w:kern w:val="2"/>
        </w:rPr>
        <w:t>）</w:t>
      </w:r>
      <w:r>
        <w:rPr>
          <w:bCs/>
          <w:kern w:val="2"/>
        </w:rPr>
        <w:t>水耗</w:t>
      </w:r>
    </w:p>
    <w:p w14:paraId="7F0C20DB" w14:textId="77777777" w:rsidR="003E78AB" w:rsidRDefault="00010BF9">
      <w:pPr>
        <w:ind w:firstLine="480"/>
        <w:rPr>
          <w:bCs/>
          <w:kern w:val="2"/>
        </w:rPr>
      </w:pPr>
      <w:r>
        <w:rPr>
          <w:bCs/>
          <w:kern w:val="2"/>
        </w:rPr>
        <w:t>本项目年用新水量</w:t>
      </w:r>
      <w:r>
        <w:rPr>
          <w:bCs/>
          <w:kern w:val="2"/>
        </w:rPr>
        <w:t>70624.4</w:t>
      </w:r>
      <w:r>
        <w:rPr>
          <w:rFonts w:hint="eastAsia"/>
          <w:bCs/>
          <w:kern w:val="2"/>
        </w:rPr>
        <w:t>7</w:t>
      </w:r>
      <w:r>
        <w:rPr>
          <w:bCs/>
          <w:kern w:val="2"/>
        </w:rPr>
        <w:t>m</w:t>
      </w:r>
      <w:r>
        <w:rPr>
          <w:bCs/>
          <w:kern w:val="2"/>
          <w:vertAlign w:val="superscript"/>
        </w:rPr>
        <w:t>3</w:t>
      </w:r>
      <w:r>
        <w:rPr>
          <w:bCs/>
          <w:kern w:val="2"/>
        </w:rPr>
        <w:t>，折标准煤为</w:t>
      </w:r>
      <w:r>
        <w:rPr>
          <w:rFonts w:hint="eastAsia"/>
          <w:bCs/>
          <w:kern w:val="2"/>
        </w:rPr>
        <w:t>18.15</w:t>
      </w:r>
      <w:r>
        <w:rPr>
          <w:bCs/>
          <w:kern w:val="2"/>
        </w:rPr>
        <w:t>tce</w:t>
      </w:r>
      <w:r>
        <w:rPr>
          <w:bCs/>
          <w:kern w:val="2"/>
        </w:rPr>
        <w:t>。</w:t>
      </w:r>
    </w:p>
    <w:p w14:paraId="0F5578A8" w14:textId="77777777" w:rsidR="003E78AB" w:rsidRDefault="00010BF9">
      <w:pPr>
        <w:ind w:firstLine="480"/>
        <w:rPr>
          <w:bCs/>
          <w:kern w:val="2"/>
        </w:rPr>
      </w:pPr>
      <w:r>
        <w:rPr>
          <w:rFonts w:hint="eastAsia"/>
          <w:bCs/>
          <w:kern w:val="2"/>
        </w:rPr>
        <w:t>（</w:t>
      </w:r>
      <w:r>
        <w:rPr>
          <w:rFonts w:hint="eastAsia"/>
          <w:bCs/>
          <w:kern w:val="2"/>
        </w:rPr>
        <w:t>3</w:t>
      </w:r>
      <w:r>
        <w:rPr>
          <w:rFonts w:hint="eastAsia"/>
          <w:bCs/>
          <w:kern w:val="2"/>
        </w:rPr>
        <w:t>）天然气</w:t>
      </w:r>
    </w:p>
    <w:p w14:paraId="5D028BB0" w14:textId="77777777" w:rsidR="003E78AB" w:rsidRDefault="00010BF9">
      <w:pPr>
        <w:ind w:firstLine="480"/>
        <w:rPr>
          <w:bCs/>
          <w:kern w:val="2"/>
        </w:rPr>
      </w:pPr>
      <w:r>
        <w:rPr>
          <w:bCs/>
          <w:kern w:val="2"/>
        </w:rPr>
        <w:t>本项目年用</w:t>
      </w:r>
      <w:r>
        <w:rPr>
          <w:rFonts w:hint="eastAsia"/>
          <w:bCs/>
          <w:kern w:val="2"/>
        </w:rPr>
        <w:t>天然气</w:t>
      </w:r>
      <w:r>
        <w:rPr>
          <w:bCs/>
          <w:kern w:val="2"/>
        </w:rPr>
        <w:t>量约</w:t>
      </w:r>
      <w:r>
        <w:rPr>
          <w:bCs/>
          <w:kern w:val="2"/>
        </w:rPr>
        <w:t>2001024t</w:t>
      </w:r>
      <w:r>
        <w:rPr>
          <w:bCs/>
          <w:kern w:val="2"/>
        </w:rPr>
        <w:t>，折标准煤为</w:t>
      </w:r>
      <w:r>
        <w:rPr>
          <w:bCs/>
          <w:kern w:val="2"/>
        </w:rPr>
        <w:t>2429.2tce</w:t>
      </w:r>
      <w:r>
        <w:rPr>
          <w:bCs/>
          <w:kern w:val="2"/>
        </w:rPr>
        <w:t>。</w:t>
      </w:r>
    </w:p>
    <w:p w14:paraId="45B5C3CA" w14:textId="77777777" w:rsidR="003E78AB" w:rsidRDefault="00010BF9">
      <w:pPr>
        <w:ind w:firstLine="480"/>
        <w:rPr>
          <w:bCs/>
          <w:kern w:val="2"/>
        </w:rPr>
      </w:pPr>
      <w:r>
        <w:rPr>
          <w:bCs/>
          <w:kern w:val="2"/>
        </w:rPr>
        <w:t>综上，项目各种设备用电是本项目主要耗能介质</w:t>
      </w:r>
      <w:r>
        <w:rPr>
          <w:rFonts w:hint="eastAsia"/>
          <w:bCs/>
          <w:kern w:val="2"/>
        </w:rPr>
        <w:t>，总能耗折合</w:t>
      </w:r>
      <w:r>
        <w:rPr>
          <w:rFonts w:hint="eastAsia"/>
          <w:bCs/>
          <w:kern w:val="2"/>
        </w:rPr>
        <w:t>4352.3</w:t>
      </w:r>
      <w:r>
        <w:rPr>
          <w:rFonts w:hint="eastAsia"/>
          <w:bCs/>
          <w:kern w:val="2"/>
        </w:rPr>
        <w:t>吨标煤</w:t>
      </w:r>
      <w:r>
        <w:rPr>
          <w:bCs/>
          <w:kern w:val="2"/>
        </w:rPr>
        <w:t>；按年产电解液</w:t>
      </w:r>
      <w:r>
        <w:rPr>
          <w:rFonts w:hint="eastAsia"/>
          <w:bCs/>
          <w:kern w:val="2"/>
        </w:rPr>
        <w:t>5</w:t>
      </w:r>
      <w:r>
        <w:rPr>
          <w:bCs/>
          <w:kern w:val="2"/>
        </w:rPr>
        <w:t>0000m</w:t>
      </w:r>
      <w:r>
        <w:rPr>
          <w:bCs/>
          <w:kern w:val="2"/>
          <w:vertAlign w:val="superscript"/>
        </w:rPr>
        <w:t>3</w:t>
      </w:r>
      <w:r>
        <w:rPr>
          <w:bCs/>
          <w:kern w:val="2"/>
        </w:rPr>
        <w:t>计算，本项目平均每立方米产品耗能为</w:t>
      </w:r>
      <w:r>
        <w:rPr>
          <w:bCs/>
          <w:kern w:val="2"/>
        </w:rPr>
        <w:t>0.0</w:t>
      </w:r>
      <w:r>
        <w:rPr>
          <w:rFonts w:hint="eastAsia"/>
          <w:bCs/>
          <w:kern w:val="2"/>
        </w:rPr>
        <w:t>87</w:t>
      </w:r>
      <w:r>
        <w:rPr>
          <w:bCs/>
          <w:kern w:val="2"/>
        </w:rPr>
        <w:t>tce</w:t>
      </w:r>
      <w:r>
        <w:rPr>
          <w:bCs/>
          <w:kern w:val="2"/>
        </w:rPr>
        <w:t>。</w:t>
      </w:r>
    </w:p>
    <w:p w14:paraId="692508F4" w14:textId="77777777" w:rsidR="003E78AB" w:rsidRDefault="00010BF9">
      <w:pPr>
        <w:ind w:firstLine="480"/>
        <w:rPr>
          <w:bCs/>
          <w:kern w:val="2"/>
        </w:rPr>
      </w:pPr>
      <w:r>
        <w:rPr>
          <w:bCs/>
          <w:kern w:val="2"/>
        </w:rPr>
        <w:t>本项目资源能源的利用指标符合清洁生产要求。</w:t>
      </w:r>
    </w:p>
    <w:p w14:paraId="4CD55A0C"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3.5.5</w:t>
      </w:r>
      <w:r>
        <w:rPr>
          <w:rFonts w:cs="Times New Roman"/>
          <w:sz w:val="28"/>
          <w:szCs w:val="28"/>
        </w:rPr>
        <w:t>过程控制</w:t>
      </w:r>
    </w:p>
    <w:p w14:paraId="2FEC5D4B" w14:textId="77777777" w:rsidR="003E78AB" w:rsidRDefault="00010BF9">
      <w:pPr>
        <w:ind w:firstLine="480"/>
        <w:rPr>
          <w:bCs/>
          <w:kern w:val="2"/>
        </w:rPr>
      </w:pPr>
      <w:r>
        <w:rPr>
          <w:bCs/>
          <w:kern w:val="2"/>
        </w:rPr>
        <w:t>项目主要生产工序和设备设有</w:t>
      </w:r>
      <w:r>
        <w:rPr>
          <w:bCs/>
          <w:kern w:val="2"/>
        </w:rPr>
        <w:t>PLC</w:t>
      </w:r>
      <w:r>
        <w:rPr>
          <w:bCs/>
          <w:kern w:val="2"/>
        </w:rPr>
        <w:t>和</w:t>
      </w:r>
      <w:r>
        <w:rPr>
          <w:bCs/>
          <w:kern w:val="2"/>
        </w:rPr>
        <w:t>DCS</w:t>
      </w:r>
      <w:r>
        <w:rPr>
          <w:bCs/>
          <w:kern w:val="2"/>
        </w:rPr>
        <w:t>系统进行监测、调控，自动化程度较高，使生产过程稳定在最佳技术条件下运行，达到稳产高产、降低原材料和能源消耗的目的；同时</w:t>
      </w:r>
      <w:r>
        <w:rPr>
          <w:bCs/>
          <w:kern w:val="2"/>
        </w:rPr>
        <w:t>V</w:t>
      </w:r>
      <w:r>
        <w:rPr>
          <w:bCs/>
          <w:kern w:val="2"/>
          <w:vertAlign w:val="subscript"/>
        </w:rPr>
        <w:t>2</w:t>
      </w:r>
      <w:r>
        <w:rPr>
          <w:bCs/>
          <w:kern w:val="2"/>
        </w:rPr>
        <w:t>O</w:t>
      </w:r>
      <w:r>
        <w:rPr>
          <w:bCs/>
          <w:kern w:val="2"/>
          <w:vertAlign w:val="subscript"/>
        </w:rPr>
        <w:t>5</w:t>
      </w:r>
      <w:r>
        <w:rPr>
          <w:bCs/>
          <w:kern w:val="2"/>
        </w:rPr>
        <w:t>投料采用</w:t>
      </w:r>
      <w:r>
        <w:rPr>
          <w:rFonts w:hint="eastAsia"/>
          <w:bCs/>
          <w:kern w:val="2"/>
        </w:rPr>
        <w:t>自动控制</w:t>
      </w:r>
      <w:r>
        <w:rPr>
          <w:bCs/>
          <w:kern w:val="2"/>
        </w:rPr>
        <w:t>系统，改善劳动环境条件。</w:t>
      </w:r>
    </w:p>
    <w:p w14:paraId="19C3E568"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3.5.6</w:t>
      </w:r>
      <w:r>
        <w:rPr>
          <w:rFonts w:cs="Times New Roman"/>
          <w:sz w:val="28"/>
          <w:szCs w:val="28"/>
        </w:rPr>
        <w:t>主要污染物控制措施</w:t>
      </w:r>
    </w:p>
    <w:p w14:paraId="0B44947C" w14:textId="77777777" w:rsidR="003E78AB" w:rsidRDefault="00010BF9">
      <w:pPr>
        <w:ind w:firstLine="480"/>
        <w:rPr>
          <w:bCs/>
          <w:kern w:val="2"/>
        </w:rPr>
      </w:pPr>
      <w:r>
        <w:rPr>
          <w:bCs/>
          <w:kern w:val="2"/>
        </w:rPr>
        <w:t>对</w:t>
      </w:r>
      <w:r>
        <w:rPr>
          <w:bCs/>
          <w:kern w:val="2"/>
        </w:rPr>
        <w:t>污染源采取有效的污染防治技术是清洁生产的重要组成部分，工程对所有污染源均采取了有效治理措施，严格控制污染物的排放量，使工程对环境的影响降低到最小的程度。</w:t>
      </w:r>
    </w:p>
    <w:p w14:paraId="61011A62" w14:textId="77777777" w:rsidR="003E78AB" w:rsidRDefault="00010BF9">
      <w:pPr>
        <w:ind w:firstLine="480"/>
        <w:rPr>
          <w:bCs/>
          <w:kern w:val="2"/>
        </w:rPr>
      </w:pPr>
      <w:r>
        <w:rPr>
          <w:bCs/>
          <w:kern w:val="2"/>
        </w:rPr>
        <w:t>工程在污染控制方面采取的主要控制方案见</w:t>
      </w:r>
      <w:r>
        <w:rPr>
          <w:bCs/>
          <w:kern w:val="2"/>
        </w:rPr>
        <w:fldChar w:fldCharType="begin"/>
      </w:r>
      <w:r>
        <w:rPr>
          <w:bCs/>
          <w:kern w:val="2"/>
        </w:rPr>
        <w:instrText xml:space="preserve"> REF _Ref22853 \r \h </w:instrText>
      </w:r>
      <w:r>
        <w:rPr>
          <w:bCs/>
          <w:kern w:val="2"/>
        </w:rPr>
      </w:r>
      <w:r>
        <w:rPr>
          <w:bCs/>
          <w:kern w:val="2"/>
        </w:rPr>
        <w:fldChar w:fldCharType="separate"/>
      </w:r>
      <w:r>
        <w:rPr>
          <w:bCs/>
          <w:kern w:val="2"/>
        </w:rPr>
        <w:t>表</w:t>
      </w:r>
      <w:r>
        <w:rPr>
          <w:bCs/>
          <w:kern w:val="2"/>
        </w:rPr>
        <w:t>3-33</w:t>
      </w:r>
      <w:r>
        <w:rPr>
          <w:bCs/>
          <w:kern w:val="2"/>
        </w:rPr>
        <w:fldChar w:fldCharType="end"/>
      </w:r>
      <w:r>
        <w:rPr>
          <w:bCs/>
          <w:kern w:val="2"/>
        </w:rPr>
        <w:t>。</w:t>
      </w:r>
    </w:p>
    <w:p w14:paraId="025E0A6E" w14:textId="77777777" w:rsidR="003E78AB" w:rsidRDefault="00010BF9">
      <w:pPr>
        <w:pStyle w:val="a1"/>
      </w:pPr>
      <w:bookmarkStart w:id="266" w:name="_Ref22853"/>
      <w:r>
        <w:t>工程主要污染控制措施一览表</w:t>
      </w:r>
      <w:bookmarkEnd w:id="266"/>
    </w:p>
    <w:p w14:paraId="6CC2D5DB" w14:textId="77777777" w:rsidR="003E78AB" w:rsidRDefault="003E78AB">
      <w:pPr>
        <w:spacing w:line="25" w:lineRule="exact"/>
        <w:ind w:firstLine="480"/>
      </w:pPr>
    </w:p>
    <w:tbl>
      <w:tblPr>
        <w:tblStyle w:val="TableNormal"/>
        <w:tblW w:w="503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2948"/>
        <w:gridCol w:w="2257"/>
        <w:gridCol w:w="2259"/>
      </w:tblGrid>
      <w:tr w:rsidR="003E78AB" w14:paraId="7927FA7D" w14:textId="77777777">
        <w:trPr>
          <w:trHeight w:val="563"/>
          <w:tblHeader/>
        </w:trPr>
        <w:tc>
          <w:tcPr>
            <w:tcW w:w="542" w:type="pct"/>
            <w:vAlign w:val="center"/>
          </w:tcPr>
          <w:p w14:paraId="09931FBC" w14:textId="77777777" w:rsidR="003E78AB" w:rsidRDefault="00010BF9">
            <w:pPr>
              <w:pStyle w:val="aff4"/>
              <w:rPr>
                <w:rFonts w:hint="default"/>
                <w:b/>
                <w:bCs/>
              </w:rPr>
            </w:pPr>
            <w:r>
              <w:rPr>
                <w:rFonts w:hint="default"/>
                <w:b/>
                <w:bCs/>
              </w:rPr>
              <w:t>污染类型</w:t>
            </w:r>
          </w:p>
        </w:tc>
        <w:tc>
          <w:tcPr>
            <w:tcW w:w="1759" w:type="pct"/>
            <w:vAlign w:val="center"/>
          </w:tcPr>
          <w:p w14:paraId="6C352C5C" w14:textId="77777777" w:rsidR="003E78AB" w:rsidRDefault="00010BF9">
            <w:pPr>
              <w:pStyle w:val="aff4"/>
              <w:rPr>
                <w:rFonts w:hint="default"/>
                <w:b/>
                <w:bCs/>
              </w:rPr>
            </w:pPr>
            <w:r>
              <w:rPr>
                <w:rFonts w:hint="default"/>
                <w:b/>
                <w:bCs/>
              </w:rPr>
              <w:t>污染源名称</w:t>
            </w:r>
          </w:p>
        </w:tc>
        <w:tc>
          <w:tcPr>
            <w:tcW w:w="2697" w:type="pct"/>
            <w:gridSpan w:val="2"/>
            <w:vAlign w:val="center"/>
          </w:tcPr>
          <w:p w14:paraId="4EF3C70C" w14:textId="77777777" w:rsidR="003E78AB" w:rsidRDefault="00010BF9">
            <w:pPr>
              <w:pStyle w:val="aff4"/>
              <w:rPr>
                <w:rFonts w:hint="default"/>
                <w:b/>
                <w:bCs/>
              </w:rPr>
            </w:pPr>
            <w:r>
              <w:rPr>
                <w:rFonts w:hint="default"/>
                <w:b/>
                <w:bCs/>
              </w:rPr>
              <w:t>治理措施</w:t>
            </w:r>
          </w:p>
        </w:tc>
      </w:tr>
      <w:tr w:rsidR="003E78AB" w14:paraId="3650E3DF" w14:textId="77777777">
        <w:trPr>
          <w:trHeight w:val="290"/>
        </w:trPr>
        <w:tc>
          <w:tcPr>
            <w:tcW w:w="542" w:type="pct"/>
            <w:vMerge w:val="restart"/>
            <w:vAlign w:val="center"/>
          </w:tcPr>
          <w:p w14:paraId="0DC1732B" w14:textId="77777777" w:rsidR="003E78AB" w:rsidRDefault="00010BF9">
            <w:pPr>
              <w:pStyle w:val="aff4"/>
              <w:rPr>
                <w:rFonts w:hint="default"/>
              </w:rPr>
            </w:pPr>
            <w:r>
              <w:rPr>
                <w:rFonts w:hint="default"/>
              </w:rPr>
              <w:t>废气</w:t>
            </w:r>
          </w:p>
        </w:tc>
        <w:tc>
          <w:tcPr>
            <w:tcW w:w="1759" w:type="pct"/>
            <w:vAlign w:val="center"/>
          </w:tcPr>
          <w:p w14:paraId="516BDF82" w14:textId="77777777" w:rsidR="003E78AB" w:rsidRDefault="00010BF9">
            <w:pPr>
              <w:pStyle w:val="aff4"/>
              <w:rPr>
                <w:rFonts w:hint="default"/>
              </w:rPr>
            </w:pPr>
            <w:r>
              <w:t>五氧化二钒、草酸</w:t>
            </w:r>
            <w:r>
              <w:rPr>
                <w:rFonts w:hint="default"/>
              </w:rPr>
              <w:t>投料废气</w:t>
            </w:r>
          </w:p>
        </w:tc>
        <w:tc>
          <w:tcPr>
            <w:tcW w:w="2697" w:type="pct"/>
            <w:gridSpan w:val="2"/>
            <w:vAlign w:val="center"/>
          </w:tcPr>
          <w:p w14:paraId="326A627B" w14:textId="77777777" w:rsidR="003E78AB" w:rsidRDefault="00010BF9">
            <w:pPr>
              <w:pStyle w:val="aff4"/>
              <w:rPr>
                <w:rFonts w:hint="default"/>
              </w:rPr>
            </w:pPr>
            <w:r>
              <w:t>各自配套</w:t>
            </w:r>
            <w:r>
              <w:rPr>
                <w:rFonts w:hint="default"/>
              </w:rPr>
              <w:t>覆膜滤料袋式除尘器</w:t>
            </w:r>
          </w:p>
        </w:tc>
      </w:tr>
      <w:tr w:rsidR="003E78AB" w14:paraId="1E904CBE" w14:textId="77777777">
        <w:trPr>
          <w:trHeight w:val="288"/>
        </w:trPr>
        <w:tc>
          <w:tcPr>
            <w:tcW w:w="542" w:type="pct"/>
            <w:vMerge/>
            <w:vAlign w:val="center"/>
          </w:tcPr>
          <w:p w14:paraId="5842BE06" w14:textId="77777777" w:rsidR="003E78AB" w:rsidRDefault="003E78AB">
            <w:pPr>
              <w:pStyle w:val="aff4"/>
              <w:rPr>
                <w:rFonts w:hint="default"/>
              </w:rPr>
            </w:pPr>
          </w:p>
        </w:tc>
        <w:tc>
          <w:tcPr>
            <w:tcW w:w="1759" w:type="pct"/>
            <w:vAlign w:val="center"/>
          </w:tcPr>
          <w:p w14:paraId="1380C81F" w14:textId="77777777" w:rsidR="003E78AB" w:rsidRDefault="00010BF9">
            <w:pPr>
              <w:pStyle w:val="aff4"/>
              <w:rPr>
                <w:rFonts w:hint="default"/>
              </w:rPr>
            </w:pPr>
            <w:r>
              <w:rPr>
                <w:rFonts w:hint="default"/>
              </w:rPr>
              <w:t>生产工艺废气</w:t>
            </w:r>
          </w:p>
        </w:tc>
        <w:tc>
          <w:tcPr>
            <w:tcW w:w="2697" w:type="pct"/>
            <w:gridSpan w:val="2"/>
            <w:vMerge w:val="restart"/>
            <w:vAlign w:val="center"/>
          </w:tcPr>
          <w:p w14:paraId="4E89FBDE" w14:textId="77777777" w:rsidR="003E78AB" w:rsidRDefault="00010BF9">
            <w:pPr>
              <w:pStyle w:val="aff4"/>
              <w:rPr>
                <w:rFonts w:hint="default"/>
              </w:rPr>
            </w:pPr>
            <w:r>
              <w:rPr>
                <w:rFonts w:hint="default"/>
              </w:rPr>
              <w:t>1</w:t>
            </w:r>
            <w:r>
              <w:rPr>
                <w:rFonts w:hint="default"/>
              </w:rPr>
              <w:t>套</w:t>
            </w:r>
            <w:r>
              <w:t>废气处理设施（</w:t>
            </w:r>
            <w:r>
              <w:rPr>
                <w:rFonts w:hint="default"/>
              </w:rPr>
              <w:t>碱喷淋</w:t>
            </w:r>
            <w:r>
              <w:rPr>
                <w:rFonts w:hint="default"/>
              </w:rPr>
              <w:t>+</w:t>
            </w:r>
            <w:r>
              <w:rPr>
                <w:rFonts w:hint="default"/>
              </w:rPr>
              <w:t>水吸收</w:t>
            </w:r>
            <w:r>
              <w:t>）</w:t>
            </w:r>
          </w:p>
        </w:tc>
      </w:tr>
      <w:tr w:rsidR="003E78AB" w14:paraId="07287310" w14:textId="77777777">
        <w:trPr>
          <w:trHeight w:val="290"/>
        </w:trPr>
        <w:tc>
          <w:tcPr>
            <w:tcW w:w="542" w:type="pct"/>
            <w:vMerge/>
            <w:vAlign w:val="center"/>
          </w:tcPr>
          <w:p w14:paraId="20DCC761" w14:textId="77777777" w:rsidR="003E78AB" w:rsidRDefault="003E78AB">
            <w:pPr>
              <w:pStyle w:val="aff4"/>
              <w:rPr>
                <w:rFonts w:hint="default"/>
              </w:rPr>
            </w:pPr>
          </w:p>
        </w:tc>
        <w:tc>
          <w:tcPr>
            <w:tcW w:w="1759" w:type="pct"/>
            <w:vAlign w:val="center"/>
          </w:tcPr>
          <w:p w14:paraId="50D98A1C" w14:textId="77777777" w:rsidR="003E78AB" w:rsidRDefault="00010BF9">
            <w:pPr>
              <w:pStyle w:val="aff4"/>
              <w:rPr>
                <w:rFonts w:hint="default"/>
              </w:rPr>
            </w:pPr>
            <w:r>
              <w:t>磷酸储罐</w:t>
            </w:r>
            <w:r>
              <w:rPr>
                <w:rFonts w:hint="default"/>
              </w:rPr>
              <w:t>废气</w:t>
            </w:r>
          </w:p>
        </w:tc>
        <w:tc>
          <w:tcPr>
            <w:tcW w:w="2697" w:type="pct"/>
            <w:gridSpan w:val="2"/>
            <w:vMerge/>
            <w:vAlign w:val="center"/>
          </w:tcPr>
          <w:p w14:paraId="44944504" w14:textId="77777777" w:rsidR="003E78AB" w:rsidRDefault="003E78AB">
            <w:pPr>
              <w:pStyle w:val="aff4"/>
              <w:rPr>
                <w:rFonts w:hint="default"/>
              </w:rPr>
            </w:pPr>
          </w:p>
        </w:tc>
      </w:tr>
      <w:tr w:rsidR="003E78AB" w14:paraId="0800FE36" w14:textId="77777777">
        <w:trPr>
          <w:trHeight w:val="287"/>
        </w:trPr>
        <w:tc>
          <w:tcPr>
            <w:tcW w:w="542" w:type="pct"/>
            <w:vMerge/>
            <w:vAlign w:val="center"/>
          </w:tcPr>
          <w:p w14:paraId="35D2E0AA" w14:textId="77777777" w:rsidR="003E78AB" w:rsidRDefault="003E78AB">
            <w:pPr>
              <w:pStyle w:val="aff4"/>
              <w:rPr>
                <w:rFonts w:hint="default"/>
              </w:rPr>
            </w:pPr>
          </w:p>
        </w:tc>
        <w:tc>
          <w:tcPr>
            <w:tcW w:w="1759" w:type="pct"/>
            <w:vAlign w:val="center"/>
          </w:tcPr>
          <w:p w14:paraId="7601A7E8" w14:textId="77777777" w:rsidR="003E78AB" w:rsidRDefault="00010BF9">
            <w:pPr>
              <w:pStyle w:val="aff4"/>
              <w:rPr>
                <w:rFonts w:hint="default"/>
              </w:rPr>
            </w:pPr>
            <w:r>
              <w:t>实验废气</w:t>
            </w:r>
          </w:p>
        </w:tc>
        <w:tc>
          <w:tcPr>
            <w:tcW w:w="2697" w:type="pct"/>
            <w:gridSpan w:val="2"/>
            <w:vAlign w:val="center"/>
          </w:tcPr>
          <w:p w14:paraId="38935A6E" w14:textId="77777777" w:rsidR="003E78AB" w:rsidRDefault="00010BF9">
            <w:pPr>
              <w:pStyle w:val="aff4"/>
              <w:rPr>
                <w:rFonts w:hint="default"/>
              </w:rPr>
            </w:pPr>
            <w:r>
              <w:rPr>
                <w:rFonts w:hint="default"/>
              </w:rPr>
              <w:t>通风柜收集，化验室楼顶排放</w:t>
            </w:r>
          </w:p>
        </w:tc>
      </w:tr>
      <w:tr w:rsidR="003E78AB" w14:paraId="5B0378D4" w14:textId="77777777">
        <w:trPr>
          <w:trHeight w:val="290"/>
        </w:trPr>
        <w:tc>
          <w:tcPr>
            <w:tcW w:w="542" w:type="pct"/>
            <w:vMerge/>
            <w:vAlign w:val="center"/>
          </w:tcPr>
          <w:p w14:paraId="292525B3" w14:textId="77777777" w:rsidR="003E78AB" w:rsidRDefault="003E78AB">
            <w:pPr>
              <w:pStyle w:val="aff4"/>
              <w:rPr>
                <w:rFonts w:hint="default"/>
              </w:rPr>
            </w:pPr>
          </w:p>
        </w:tc>
        <w:tc>
          <w:tcPr>
            <w:tcW w:w="1759" w:type="pct"/>
            <w:vAlign w:val="center"/>
          </w:tcPr>
          <w:p w14:paraId="112413D4" w14:textId="77777777" w:rsidR="003E78AB" w:rsidRDefault="00010BF9">
            <w:pPr>
              <w:pStyle w:val="aff4"/>
              <w:rPr>
                <w:rFonts w:hint="default"/>
              </w:rPr>
            </w:pPr>
            <w:r>
              <w:rPr>
                <w:rFonts w:hint="default"/>
              </w:rPr>
              <w:t>无组织</w:t>
            </w:r>
          </w:p>
        </w:tc>
        <w:tc>
          <w:tcPr>
            <w:tcW w:w="2697" w:type="pct"/>
            <w:gridSpan w:val="2"/>
            <w:vAlign w:val="center"/>
          </w:tcPr>
          <w:p w14:paraId="301970A7" w14:textId="77777777" w:rsidR="003E78AB" w:rsidRDefault="00010BF9">
            <w:pPr>
              <w:pStyle w:val="aff4"/>
              <w:rPr>
                <w:rFonts w:hint="default"/>
              </w:rPr>
            </w:pPr>
            <w:r>
              <w:rPr>
                <w:rFonts w:hint="default"/>
              </w:rPr>
              <w:t>加强</w:t>
            </w:r>
            <w:r>
              <w:t>设备密封</w:t>
            </w:r>
            <w:r>
              <w:rPr>
                <w:rFonts w:hint="default"/>
              </w:rPr>
              <w:t>管理</w:t>
            </w:r>
          </w:p>
        </w:tc>
      </w:tr>
      <w:tr w:rsidR="003E78AB" w14:paraId="3017BE3B" w14:textId="77777777">
        <w:trPr>
          <w:trHeight w:val="288"/>
        </w:trPr>
        <w:tc>
          <w:tcPr>
            <w:tcW w:w="542" w:type="pct"/>
            <w:vMerge w:val="restart"/>
            <w:vAlign w:val="center"/>
          </w:tcPr>
          <w:p w14:paraId="2F3F45C4" w14:textId="77777777" w:rsidR="003E78AB" w:rsidRDefault="00010BF9">
            <w:pPr>
              <w:pStyle w:val="aff4"/>
              <w:rPr>
                <w:rFonts w:hint="default"/>
              </w:rPr>
            </w:pPr>
            <w:r>
              <w:rPr>
                <w:rFonts w:hint="default"/>
              </w:rPr>
              <w:t>废水</w:t>
            </w:r>
          </w:p>
        </w:tc>
        <w:tc>
          <w:tcPr>
            <w:tcW w:w="1759" w:type="pct"/>
            <w:vAlign w:val="center"/>
          </w:tcPr>
          <w:p w14:paraId="2964477F" w14:textId="77777777" w:rsidR="003E78AB" w:rsidRDefault="00010BF9">
            <w:pPr>
              <w:pStyle w:val="aff4"/>
              <w:rPr>
                <w:rFonts w:hint="default"/>
              </w:rPr>
            </w:pPr>
            <w:r>
              <w:t>工艺废气淋洗循环高盐废水</w:t>
            </w:r>
          </w:p>
        </w:tc>
        <w:tc>
          <w:tcPr>
            <w:tcW w:w="2697" w:type="pct"/>
            <w:gridSpan w:val="2"/>
            <w:vAlign w:val="center"/>
          </w:tcPr>
          <w:p w14:paraId="07179E12" w14:textId="77777777" w:rsidR="003E78AB" w:rsidRDefault="00010BF9">
            <w:pPr>
              <w:pStyle w:val="aff4"/>
              <w:rPr>
                <w:rFonts w:hint="default"/>
                <w:szCs w:val="21"/>
                <w:lang w:bidi="ar"/>
              </w:rPr>
            </w:pPr>
            <w:r>
              <w:t>蒸发结晶后冷凝水回用于淋洗补水配碱</w:t>
            </w:r>
          </w:p>
        </w:tc>
      </w:tr>
      <w:tr w:rsidR="003E78AB" w14:paraId="15BCAE12" w14:textId="77777777">
        <w:trPr>
          <w:trHeight w:val="288"/>
        </w:trPr>
        <w:tc>
          <w:tcPr>
            <w:tcW w:w="542" w:type="pct"/>
            <w:vMerge/>
            <w:vAlign w:val="center"/>
          </w:tcPr>
          <w:p w14:paraId="19E99EEC" w14:textId="77777777" w:rsidR="003E78AB" w:rsidRDefault="003E78AB">
            <w:pPr>
              <w:pStyle w:val="aff4"/>
              <w:rPr>
                <w:rFonts w:hint="default"/>
              </w:rPr>
            </w:pPr>
          </w:p>
        </w:tc>
        <w:tc>
          <w:tcPr>
            <w:tcW w:w="1759" w:type="pct"/>
            <w:vAlign w:val="center"/>
          </w:tcPr>
          <w:p w14:paraId="32829422" w14:textId="77777777" w:rsidR="003E78AB" w:rsidRDefault="00010BF9">
            <w:pPr>
              <w:pStyle w:val="aff4"/>
              <w:rPr>
                <w:rFonts w:hint="default"/>
              </w:rPr>
            </w:pPr>
            <w:r>
              <w:t>实验废水</w:t>
            </w:r>
          </w:p>
        </w:tc>
        <w:tc>
          <w:tcPr>
            <w:tcW w:w="2697" w:type="pct"/>
            <w:gridSpan w:val="2"/>
            <w:vAlign w:val="center"/>
          </w:tcPr>
          <w:p w14:paraId="5679B25E" w14:textId="77777777" w:rsidR="003E78AB" w:rsidRDefault="00010BF9">
            <w:pPr>
              <w:pStyle w:val="aff4"/>
              <w:rPr>
                <w:rFonts w:hint="default"/>
                <w:szCs w:val="21"/>
                <w:lang w:bidi="ar"/>
              </w:rPr>
            </w:pPr>
            <w:r>
              <w:rPr>
                <w:szCs w:val="21"/>
                <w:lang w:bidi="ar"/>
              </w:rPr>
              <w:t>使用</w:t>
            </w:r>
            <w:r>
              <w:rPr>
                <w:szCs w:val="21"/>
                <w:lang w:bidi="ar"/>
              </w:rPr>
              <w:t>15m</w:t>
            </w:r>
            <w:r>
              <w:rPr>
                <w:szCs w:val="21"/>
                <w:vertAlign w:val="superscript"/>
                <w:lang w:bidi="ar"/>
              </w:rPr>
              <w:t>3</w:t>
            </w:r>
            <w:r>
              <w:rPr>
                <w:szCs w:val="21"/>
                <w:lang w:bidi="ar"/>
              </w:rPr>
              <w:t>电解液事故罐收集后回用于生产</w:t>
            </w:r>
          </w:p>
        </w:tc>
      </w:tr>
      <w:tr w:rsidR="003E78AB" w14:paraId="3385B352" w14:textId="77777777">
        <w:trPr>
          <w:trHeight w:val="288"/>
        </w:trPr>
        <w:tc>
          <w:tcPr>
            <w:tcW w:w="542" w:type="pct"/>
            <w:vMerge/>
            <w:vAlign w:val="center"/>
          </w:tcPr>
          <w:p w14:paraId="026EADED" w14:textId="77777777" w:rsidR="003E78AB" w:rsidRDefault="003E78AB">
            <w:pPr>
              <w:pStyle w:val="aff4"/>
              <w:rPr>
                <w:rFonts w:hint="default"/>
              </w:rPr>
            </w:pPr>
          </w:p>
        </w:tc>
        <w:tc>
          <w:tcPr>
            <w:tcW w:w="1759" w:type="pct"/>
            <w:vAlign w:val="center"/>
          </w:tcPr>
          <w:p w14:paraId="6B131837" w14:textId="77777777" w:rsidR="003E78AB" w:rsidRDefault="00010BF9">
            <w:pPr>
              <w:pStyle w:val="aff4"/>
              <w:rPr>
                <w:rFonts w:hint="default"/>
              </w:rPr>
            </w:pPr>
            <w:r>
              <w:t>纯水</w:t>
            </w:r>
            <w:r>
              <w:t>/</w:t>
            </w:r>
            <w:r>
              <w:t>软水制备</w:t>
            </w:r>
            <w:r>
              <w:rPr>
                <w:rFonts w:hint="default"/>
              </w:rPr>
              <w:t>排水</w:t>
            </w:r>
          </w:p>
        </w:tc>
        <w:tc>
          <w:tcPr>
            <w:tcW w:w="1348" w:type="pct"/>
            <w:vAlign w:val="center"/>
          </w:tcPr>
          <w:p w14:paraId="5694DBE2" w14:textId="77777777" w:rsidR="003E78AB" w:rsidRDefault="00010BF9">
            <w:pPr>
              <w:pStyle w:val="aff4"/>
              <w:rPr>
                <w:rFonts w:hint="default"/>
              </w:rPr>
            </w:pPr>
            <w:r>
              <w:t>/</w:t>
            </w:r>
          </w:p>
        </w:tc>
        <w:tc>
          <w:tcPr>
            <w:tcW w:w="1349" w:type="pct"/>
            <w:vMerge w:val="restart"/>
            <w:vAlign w:val="center"/>
          </w:tcPr>
          <w:p w14:paraId="27C45F38" w14:textId="77777777" w:rsidR="003E78AB" w:rsidRDefault="00010BF9">
            <w:pPr>
              <w:pStyle w:val="aff4"/>
              <w:rPr>
                <w:rFonts w:hint="default"/>
              </w:rPr>
            </w:pPr>
            <w:r>
              <w:rPr>
                <w:rFonts w:hint="default"/>
                <w:szCs w:val="21"/>
                <w:lang w:bidi="ar"/>
              </w:rPr>
              <w:t>经厂区总排口排入园区下水管网</w:t>
            </w:r>
            <w:r>
              <w:rPr>
                <w:szCs w:val="21"/>
                <w:lang w:bidi="ar"/>
              </w:rPr>
              <w:t>后进入园区污水厂深度处理</w:t>
            </w:r>
          </w:p>
        </w:tc>
      </w:tr>
      <w:tr w:rsidR="003E78AB" w14:paraId="3519F7D3" w14:textId="77777777">
        <w:trPr>
          <w:trHeight w:val="290"/>
        </w:trPr>
        <w:tc>
          <w:tcPr>
            <w:tcW w:w="542" w:type="pct"/>
            <w:vMerge/>
            <w:vAlign w:val="center"/>
          </w:tcPr>
          <w:p w14:paraId="2B3D31AC" w14:textId="77777777" w:rsidR="003E78AB" w:rsidRDefault="003E78AB">
            <w:pPr>
              <w:pStyle w:val="aff4"/>
              <w:rPr>
                <w:rFonts w:hint="default"/>
              </w:rPr>
            </w:pPr>
          </w:p>
        </w:tc>
        <w:tc>
          <w:tcPr>
            <w:tcW w:w="1759" w:type="pct"/>
            <w:vAlign w:val="center"/>
          </w:tcPr>
          <w:p w14:paraId="65A76800" w14:textId="77777777" w:rsidR="003E78AB" w:rsidRDefault="00010BF9">
            <w:pPr>
              <w:pStyle w:val="aff4"/>
              <w:rPr>
                <w:rFonts w:hint="default"/>
              </w:rPr>
            </w:pPr>
            <w:r>
              <w:t>锅炉排污水</w:t>
            </w:r>
          </w:p>
        </w:tc>
        <w:tc>
          <w:tcPr>
            <w:tcW w:w="1348" w:type="pct"/>
            <w:vAlign w:val="center"/>
          </w:tcPr>
          <w:p w14:paraId="624DC401" w14:textId="77777777" w:rsidR="003E78AB" w:rsidRDefault="00010BF9">
            <w:pPr>
              <w:pStyle w:val="aff4"/>
              <w:rPr>
                <w:rFonts w:hint="default"/>
              </w:rPr>
            </w:pPr>
            <w:r>
              <w:t>/</w:t>
            </w:r>
          </w:p>
        </w:tc>
        <w:tc>
          <w:tcPr>
            <w:tcW w:w="1349" w:type="pct"/>
            <w:vMerge/>
            <w:vAlign w:val="center"/>
          </w:tcPr>
          <w:p w14:paraId="5C654BCE" w14:textId="77777777" w:rsidR="003E78AB" w:rsidRDefault="003E78AB">
            <w:pPr>
              <w:pStyle w:val="aff4"/>
              <w:rPr>
                <w:rFonts w:hint="default"/>
              </w:rPr>
            </w:pPr>
          </w:p>
        </w:tc>
      </w:tr>
      <w:tr w:rsidR="003E78AB" w14:paraId="6DABD20D" w14:textId="77777777">
        <w:trPr>
          <w:trHeight w:val="287"/>
        </w:trPr>
        <w:tc>
          <w:tcPr>
            <w:tcW w:w="542" w:type="pct"/>
            <w:vMerge/>
            <w:vAlign w:val="center"/>
          </w:tcPr>
          <w:p w14:paraId="40453943" w14:textId="77777777" w:rsidR="003E78AB" w:rsidRDefault="003E78AB">
            <w:pPr>
              <w:pStyle w:val="aff4"/>
              <w:rPr>
                <w:rFonts w:hint="default"/>
              </w:rPr>
            </w:pPr>
          </w:p>
        </w:tc>
        <w:tc>
          <w:tcPr>
            <w:tcW w:w="1759" w:type="pct"/>
            <w:vAlign w:val="center"/>
          </w:tcPr>
          <w:p w14:paraId="3AB2907D" w14:textId="77777777" w:rsidR="003E78AB" w:rsidRDefault="00010BF9">
            <w:pPr>
              <w:pStyle w:val="aff4"/>
              <w:rPr>
                <w:rFonts w:hint="default"/>
              </w:rPr>
            </w:pPr>
            <w:r>
              <w:t>车间冲洗水</w:t>
            </w:r>
          </w:p>
        </w:tc>
        <w:tc>
          <w:tcPr>
            <w:tcW w:w="1348" w:type="pct"/>
            <w:vAlign w:val="center"/>
          </w:tcPr>
          <w:p w14:paraId="6F5DDA62" w14:textId="77777777" w:rsidR="003E78AB" w:rsidRDefault="00010BF9">
            <w:pPr>
              <w:pStyle w:val="aff4"/>
              <w:rPr>
                <w:rFonts w:hint="default"/>
              </w:rPr>
            </w:pPr>
            <w:r>
              <w:t>沉淀池</w:t>
            </w:r>
          </w:p>
        </w:tc>
        <w:tc>
          <w:tcPr>
            <w:tcW w:w="1349" w:type="pct"/>
            <w:vMerge/>
            <w:vAlign w:val="center"/>
          </w:tcPr>
          <w:p w14:paraId="7E8FCCAC" w14:textId="77777777" w:rsidR="003E78AB" w:rsidRDefault="003E78AB">
            <w:pPr>
              <w:pStyle w:val="aff4"/>
              <w:rPr>
                <w:rFonts w:hint="default"/>
              </w:rPr>
            </w:pPr>
          </w:p>
        </w:tc>
      </w:tr>
      <w:tr w:rsidR="003E78AB" w14:paraId="131B9E2E" w14:textId="77777777">
        <w:trPr>
          <w:trHeight w:val="290"/>
        </w:trPr>
        <w:tc>
          <w:tcPr>
            <w:tcW w:w="542" w:type="pct"/>
            <w:vMerge/>
            <w:vAlign w:val="center"/>
          </w:tcPr>
          <w:p w14:paraId="73A62864" w14:textId="77777777" w:rsidR="003E78AB" w:rsidRDefault="003E78AB">
            <w:pPr>
              <w:pStyle w:val="aff4"/>
              <w:rPr>
                <w:rFonts w:hint="default"/>
              </w:rPr>
            </w:pPr>
          </w:p>
        </w:tc>
        <w:tc>
          <w:tcPr>
            <w:tcW w:w="1759" w:type="pct"/>
            <w:vAlign w:val="center"/>
          </w:tcPr>
          <w:p w14:paraId="48688548" w14:textId="77777777" w:rsidR="003E78AB" w:rsidRDefault="00010BF9">
            <w:pPr>
              <w:pStyle w:val="aff4"/>
              <w:rPr>
                <w:rFonts w:hint="default"/>
              </w:rPr>
            </w:pPr>
            <w:r>
              <w:rPr>
                <w:rFonts w:hint="default"/>
              </w:rPr>
              <w:t>生活污水</w:t>
            </w:r>
            <w:r>
              <w:t>（含食堂废水）</w:t>
            </w:r>
          </w:p>
        </w:tc>
        <w:tc>
          <w:tcPr>
            <w:tcW w:w="1348" w:type="pct"/>
            <w:vAlign w:val="center"/>
          </w:tcPr>
          <w:p w14:paraId="6CCDE5DB" w14:textId="77777777" w:rsidR="003E78AB" w:rsidRDefault="00010BF9">
            <w:pPr>
              <w:pStyle w:val="aff4"/>
              <w:rPr>
                <w:rFonts w:hint="default"/>
              </w:rPr>
            </w:pPr>
            <w:r>
              <w:t>食堂隔油池</w:t>
            </w:r>
            <w:r>
              <w:t>+</w:t>
            </w:r>
            <w:r>
              <w:t>化粪池</w:t>
            </w:r>
          </w:p>
        </w:tc>
        <w:tc>
          <w:tcPr>
            <w:tcW w:w="1349" w:type="pct"/>
            <w:vMerge/>
            <w:vAlign w:val="center"/>
          </w:tcPr>
          <w:p w14:paraId="31F8066F" w14:textId="77777777" w:rsidR="003E78AB" w:rsidRDefault="003E78AB">
            <w:pPr>
              <w:pStyle w:val="aff4"/>
              <w:rPr>
                <w:rFonts w:hint="default"/>
              </w:rPr>
            </w:pPr>
          </w:p>
        </w:tc>
      </w:tr>
      <w:tr w:rsidR="003E78AB" w14:paraId="7B943DF9" w14:textId="77777777">
        <w:trPr>
          <w:trHeight w:val="290"/>
        </w:trPr>
        <w:tc>
          <w:tcPr>
            <w:tcW w:w="2302" w:type="pct"/>
            <w:gridSpan w:val="2"/>
            <w:vAlign w:val="center"/>
          </w:tcPr>
          <w:p w14:paraId="258FF3A0" w14:textId="77777777" w:rsidR="003E78AB" w:rsidRDefault="00010BF9">
            <w:pPr>
              <w:pStyle w:val="aff4"/>
              <w:rPr>
                <w:rFonts w:hint="default"/>
              </w:rPr>
            </w:pPr>
            <w:r>
              <w:rPr>
                <w:rFonts w:hint="default"/>
              </w:rPr>
              <w:t>地下水防护</w:t>
            </w:r>
          </w:p>
        </w:tc>
        <w:tc>
          <w:tcPr>
            <w:tcW w:w="2697" w:type="pct"/>
            <w:gridSpan w:val="2"/>
            <w:vAlign w:val="center"/>
          </w:tcPr>
          <w:p w14:paraId="1E81FB59" w14:textId="77777777" w:rsidR="003E78AB" w:rsidRDefault="00010BF9">
            <w:pPr>
              <w:pStyle w:val="aff4"/>
              <w:rPr>
                <w:rFonts w:hint="default"/>
              </w:rPr>
            </w:pPr>
            <w:r>
              <w:rPr>
                <w:rFonts w:hint="default"/>
              </w:rPr>
              <w:t>主要采取分区防渗措施</w:t>
            </w:r>
          </w:p>
        </w:tc>
      </w:tr>
      <w:tr w:rsidR="003E78AB" w14:paraId="76A58D81" w14:textId="77777777">
        <w:trPr>
          <w:trHeight w:val="287"/>
        </w:trPr>
        <w:tc>
          <w:tcPr>
            <w:tcW w:w="2302" w:type="pct"/>
            <w:gridSpan w:val="2"/>
            <w:vAlign w:val="center"/>
          </w:tcPr>
          <w:p w14:paraId="011A85F4" w14:textId="77777777" w:rsidR="003E78AB" w:rsidRDefault="00010BF9">
            <w:pPr>
              <w:pStyle w:val="aff4"/>
              <w:rPr>
                <w:rFonts w:hint="default"/>
              </w:rPr>
            </w:pPr>
            <w:r>
              <w:rPr>
                <w:rFonts w:hint="default"/>
              </w:rPr>
              <w:t>噪声</w:t>
            </w:r>
          </w:p>
        </w:tc>
        <w:tc>
          <w:tcPr>
            <w:tcW w:w="2697" w:type="pct"/>
            <w:gridSpan w:val="2"/>
            <w:vAlign w:val="center"/>
          </w:tcPr>
          <w:p w14:paraId="719184EE" w14:textId="77777777" w:rsidR="003E78AB" w:rsidRDefault="00010BF9">
            <w:pPr>
              <w:pStyle w:val="aff4"/>
              <w:rPr>
                <w:rFonts w:hint="default"/>
              </w:rPr>
            </w:pPr>
            <w:r>
              <w:rPr>
                <w:rFonts w:hint="default"/>
              </w:rPr>
              <w:t>对生产设备采取消声、减振、隔声等措施进行降噪</w:t>
            </w:r>
          </w:p>
        </w:tc>
      </w:tr>
      <w:tr w:rsidR="003E78AB" w14:paraId="2C96F985" w14:textId="77777777">
        <w:trPr>
          <w:trHeight w:val="837"/>
        </w:trPr>
        <w:tc>
          <w:tcPr>
            <w:tcW w:w="2302" w:type="pct"/>
            <w:gridSpan w:val="2"/>
            <w:vAlign w:val="center"/>
          </w:tcPr>
          <w:p w14:paraId="48327A96" w14:textId="77777777" w:rsidR="003E78AB" w:rsidRDefault="00010BF9">
            <w:pPr>
              <w:pStyle w:val="aff4"/>
              <w:rPr>
                <w:rFonts w:hint="default"/>
              </w:rPr>
            </w:pPr>
            <w:r>
              <w:rPr>
                <w:rFonts w:hint="default"/>
              </w:rPr>
              <w:t>固废</w:t>
            </w:r>
          </w:p>
        </w:tc>
        <w:tc>
          <w:tcPr>
            <w:tcW w:w="2697" w:type="pct"/>
            <w:gridSpan w:val="2"/>
            <w:vAlign w:val="center"/>
          </w:tcPr>
          <w:p w14:paraId="5395958C" w14:textId="77777777" w:rsidR="003E78AB" w:rsidRDefault="00010BF9">
            <w:pPr>
              <w:pStyle w:val="aff4"/>
              <w:rPr>
                <w:rFonts w:hint="default"/>
              </w:rPr>
            </w:pPr>
            <w:r>
              <w:rPr>
                <w:rFonts w:hint="default"/>
              </w:rPr>
              <w:t>一般固废</w:t>
            </w:r>
            <w:r>
              <w:t>厂家回收或外售综合利用；</w:t>
            </w:r>
            <w:r>
              <w:rPr>
                <w:rFonts w:hint="default"/>
              </w:rPr>
              <w:t>员工生活垃圾，由环卫部门清运或外售；危险固废：在厂区危废贮存库暂存，定期交有资质单位处置。</w:t>
            </w:r>
            <w:r>
              <w:rPr>
                <w:szCs w:val="21"/>
                <w:lang w:bidi="ar"/>
              </w:rPr>
              <w:t>结晶盐属性确定前按危废收集处置。</w:t>
            </w:r>
          </w:p>
        </w:tc>
      </w:tr>
    </w:tbl>
    <w:p w14:paraId="36EF3F1B" w14:textId="77777777" w:rsidR="003E78AB" w:rsidRDefault="00010BF9">
      <w:pPr>
        <w:pStyle w:val="24"/>
        <w:keepNext w:val="0"/>
        <w:keepLines w:val="0"/>
        <w:topLinePunct/>
        <w:spacing w:before="156"/>
        <w:rPr>
          <w:rFonts w:cs="Times New Roman"/>
        </w:rPr>
      </w:pPr>
      <w:bookmarkStart w:id="267" w:name="_Toc1910"/>
      <w:r>
        <w:rPr>
          <w:rFonts w:cs="Times New Roman"/>
        </w:rPr>
        <w:t>3.6</w:t>
      </w:r>
      <w:r>
        <w:rPr>
          <w:rFonts w:cs="Times New Roman"/>
        </w:rPr>
        <w:t>碳排放核算分析</w:t>
      </w:r>
      <w:bookmarkEnd w:id="267"/>
    </w:p>
    <w:p w14:paraId="1354B5D8" w14:textId="77777777" w:rsidR="003E78AB" w:rsidRDefault="00010BF9">
      <w:pPr>
        <w:ind w:firstLine="480"/>
        <w:rPr>
          <w:bCs/>
          <w:kern w:val="2"/>
        </w:rPr>
      </w:pPr>
      <w:r>
        <w:rPr>
          <w:bCs/>
          <w:kern w:val="2"/>
        </w:rPr>
        <w:t>根据《碳排放权交易管理办法</w:t>
      </w:r>
      <w:r>
        <w:rPr>
          <w:rFonts w:hint="eastAsia"/>
          <w:bCs/>
          <w:kern w:val="2"/>
        </w:rPr>
        <w:t>（</w:t>
      </w:r>
      <w:r>
        <w:rPr>
          <w:bCs/>
          <w:kern w:val="2"/>
        </w:rPr>
        <w:t>试行</w:t>
      </w:r>
      <w:r>
        <w:rPr>
          <w:rFonts w:hint="eastAsia"/>
          <w:bCs/>
          <w:kern w:val="2"/>
        </w:rPr>
        <w:t>）</w:t>
      </w:r>
      <w:r>
        <w:rPr>
          <w:bCs/>
          <w:kern w:val="2"/>
        </w:rPr>
        <w:t>》</w:t>
      </w:r>
      <w:r>
        <w:rPr>
          <w:rFonts w:hint="eastAsia"/>
          <w:bCs/>
          <w:kern w:val="2"/>
        </w:rPr>
        <w:t>（</w:t>
      </w:r>
      <w:r>
        <w:rPr>
          <w:bCs/>
          <w:kern w:val="2"/>
        </w:rPr>
        <w:t>部令第</w:t>
      </w:r>
      <w:r>
        <w:rPr>
          <w:bCs/>
          <w:kern w:val="2"/>
        </w:rPr>
        <w:t>19</w:t>
      </w:r>
      <w:r>
        <w:rPr>
          <w:bCs/>
          <w:kern w:val="2"/>
        </w:rPr>
        <w:t>号，</w:t>
      </w:r>
      <w:r>
        <w:rPr>
          <w:bCs/>
          <w:kern w:val="2"/>
        </w:rPr>
        <w:t>2021</w:t>
      </w:r>
      <w:r>
        <w:rPr>
          <w:bCs/>
          <w:kern w:val="2"/>
        </w:rPr>
        <w:t>年</w:t>
      </w:r>
      <w:r>
        <w:rPr>
          <w:bCs/>
          <w:kern w:val="2"/>
        </w:rPr>
        <w:t>2</w:t>
      </w:r>
      <w:r>
        <w:rPr>
          <w:bCs/>
          <w:kern w:val="2"/>
        </w:rPr>
        <w:t>月</w:t>
      </w:r>
      <w:r>
        <w:rPr>
          <w:bCs/>
          <w:kern w:val="2"/>
        </w:rPr>
        <w:t>1</w:t>
      </w:r>
      <w:r>
        <w:rPr>
          <w:bCs/>
          <w:kern w:val="2"/>
        </w:rPr>
        <w:t>日</w:t>
      </w:r>
      <w:r>
        <w:rPr>
          <w:rFonts w:hint="eastAsia"/>
          <w:bCs/>
          <w:kern w:val="2"/>
        </w:rPr>
        <w:t>）</w:t>
      </w:r>
      <w:r>
        <w:rPr>
          <w:bCs/>
          <w:kern w:val="2"/>
        </w:rPr>
        <w:t>温室气体：是指大气中吸收和重新放出红外辐射的自然和人为的气态成分，包括二氧化碳</w:t>
      </w:r>
      <w:r>
        <w:rPr>
          <w:bCs/>
          <w:kern w:val="2"/>
        </w:rPr>
        <w:t>(CO</w:t>
      </w:r>
      <w:r>
        <w:rPr>
          <w:bCs/>
          <w:kern w:val="2"/>
          <w:vertAlign w:val="subscript"/>
        </w:rPr>
        <w:t>2</w:t>
      </w:r>
      <w:r>
        <w:rPr>
          <w:bCs/>
          <w:kern w:val="2"/>
        </w:rPr>
        <w:t>)</w:t>
      </w:r>
      <w:r>
        <w:rPr>
          <w:bCs/>
          <w:kern w:val="2"/>
        </w:rPr>
        <w:t>、甲烷</w:t>
      </w:r>
      <w:r>
        <w:rPr>
          <w:bCs/>
          <w:kern w:val="2"/>
        </w:rPr>
        <w:t>(CH</w:t>
      </w:r>
      <w:r>
        <w:rPr>
          <w:bCs/>
          <w:kern w:val="2"/>
          <w:vertAlign w:val="subscript"/>
        </w:rPr>
        <w:t>4</w:t>
      </w:r>
      <w:r>
        <w:rPr>
          <w:bCs/>
          <w:kern w:val="2"/>
        </w:rPr>
        <w:t>)</w:t>
      </w:r>
      <w:r>
        <w:rPr>
          <w:bCs/>
          <w:kern w:val="2"/>
        </w:rPr>
        <w:t>、氧化亚氮</w:t>
      </w:r>
      <w:r>
        <w:rPr>
          <w:bCs/>
          <w:kern w:val="2"/>
        </w:rPr>
        <w:t>(N</w:t>
      </w:r>
      <w:r>
        <w:rPr>
          <w:bCs/>
          <w:kern w:val="2"/>
          <w:vertAlign w:val="subscript"/>
        </w:rPr>
        <w:t>2</w:t>
      </w:r>
      <w:r>
        <w:rPr>
          <w:bCs/>
          <w:kern w:val="2"/>
        </w:rPr>
        <w:t>O)</w:t>
      </w:r>
      <w:r>
        <w:rPr>
          <w:bCs/>
          <w:kern w:val="2"/>
        </w:rPr>
        <w:t>、氢氟碳化物</w:t>
      </w:r>
      <w:r>
        <w:rPr>
          <w:bCs/>
          <w:kern w:val="2"/>
        </w:rPr>
        <w:t>(HFCs)</w:t>
      </w:r>
      <w:r>
        <w:rPr>
          <w:bCs/>
          <w:kern w:val="2"/>
        </w:rPr>
        <w:t>、全氟化碳</w:t>
      </w:r>
      <w:r>
        <w:rPr>
          <w:bCs/>
          <w:kern w:val="2"/>
        </w:rPr>
        <w:t>(PFCs)</w:t>
      </w:r>
      <w:r>
        <w:rPr>
          <w:bCs/>
          <w:kern w:val="2"/>
        </w:rPr>
        <w:t>、六氟化硫</w:t>
      </w:r>
      <w:r>
        <w:rPr>
          <w:bCs/>
          <w:kern w:val="2"/>
        </w:rPr>
        <w:t>(SF</w:t>
      </w:r>
      <w:r>
        <w:rPr>
          <w:bCs/>
          <w:kern w:val="2"/>
          <w:vertAlign w:val="subscript"/>
        </w:rPr>
        <w:t>6</w:t>
      </w:r>
      <w:r>
        <w:rPr>
          <w:bCs/>
          <w:kern w:val="2"/>
        </w:rPr>
        <w:t>)</w:t>
      </w:r>
      <w:r>
        <w:rPr>
          <w:bCs/>
          <w:kern w:val="2"/>
        </w:rPr>
        <w:t>和三氟化氮</w:t>
      </w:r>
      <w:r>
        <w:rPr>
          <w:bCs/>
          <w:kern w:val="2"/>
        </w:rPr>
        <w:t>(NF</w:t>
      </w:r>
      <w:r>
        <w:rPr>
          <w:bCs/>
          <w:kern w:val="2"/>
          <w:vertAlign w:val="subscript"/>
        </w:rPr>
        <w:t>3</w:t>
      </w:r>
      <w:r>
        <w:rPr>
          <w:bCs/>
          <w:kern w:val="2"/>
        </w:rPr>
        <w:t>)</w:t>
      </w:r>
      <w:r>
        <w:rPr>
          <w:bCs/>
          <w:kern w:val="2"/>
        </w:rPr>
        <w:t>。碳排放：是指煤炭、石油、天然气等化石能源燃烧活动和工业生产过程以及土地利用变化与林业等活动产生的温室气体排放，也包括因使用外购的电力和热力等所导致的温室气体排放。</w:t>
      </w:r>
    </w:p>
    <w:p w14:paraId="33D0DA70" w14:textId="77777777" w:rsidR="003E78AB" w:rsidRDefault="00010BF9">
      <w:pPr>
        <w:ind w:firstLine="480"/>
        <w:rPr>
          <w:bCs/>
          <w:kern w:val="2"/>
        </w:rPr>
      </w:pPr>
      <w:r>
        <w:rPr>
          <w:bCs/>
          <w:kern w:val="2"/>
        </w:rPr>
        <w:t>项目属于其他专用化学产品制造，参照国家发展改革委发布的《中国化工生产企业温室气体排放核算方法与报告指南</w:t>
      </w:r>
      <w:r>
        <w:rPr>
          <w:rFonts w:hint="eastAsia"/>
          <w:bCs/>
          <w:kern w:val="2"/>
        </w:rPr>
        <w:t>（试行）</w:t>
      </w:r>
      <w:r>
        <w:rPr>
          <w:bCs/>
          <w:kern w:val="2"/>
        </w:rPr>
        <w:t>》，项目本次核算的温室气体为</w:t>
      </w:r>
      <w:r>
        <w:rPr>
          <w:bCs/>
          <w:kern w:val="2"/>
        </w:rPr>
        <w:t>CO</w:t>
      </w:r>
      <w:r>
        <w:rPr>
          <w:bCs/>
          <w:kern w:val="2"/>
          <w:vertAlign w:val="subscript"/>
        </w:rPr>
        <w:t>2</w:t>
      </w:r>
      <w:r>
        <w:rPr>
          <w:bCs/>
          <w:kern w:val="2"/>
        </w:rPr>
        <w:t>。</w:t>
      </w:r>
    </w:p>
    <w:p w14:paraId="6E58D2A7"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3.6.1</w:t>
      </w:r>
      <w:r>
        <w:rPr>
          <w:rFonts w:cs="Times New Roman"/>
          <w:sz w:val="28"/>
          <w:szCs w:val="28"/>
        </w:rPr>
        <w:t>核算边界</w:t>
      </w:r>
    </w:p>
    <w:p w14:paraId="609633F2" w14:textId="77777777" w:rsidR="003E78AB" w:rsidRDefault="00010BF9">
      <w:pPr>
        <w:ind w:firstLine="480"/>
        <w:rPr>
          <w:bCs/>
          <w:kern w:val="2"/>
        </w:rPr>
      </w:pPr>
      <w:r>
        <w:rPr>
          <w:rFonts w:hint="eastAsia"/>
          <w:bCs/>
          <w:kern w:val="2"/>
        </w:rPr>
        <w:t>（</w:t>
      </w:r>
      <w:r>
        <w:rPr>
          <w:rFonts w:hint="eastAsia"/>
          <w:bCs/>
          <w:kern w:val="2"/>
        </w:rPr>
        <w:t>1</w:t>
      </w:r>
      <w:r>
        <w:rPr>
          <w:rFonts w:hint="eastAsia"/>
          <w:bCs/>
          <w:kern w:val="2"/>
        </w:rPr>
        <w:t>）</w:t>
      </w:r>
      <w:r>
        <w:rPr>
          <w:bCs/>
          <w:kern w:val="2"/>
        </w:rPr>
        <w:t>核算边界</w:t>
      </w:r>
    </w:p>
    <w:p w14:paraId="7D53BEAD" w14:textId="77777777" w:rsidR="003E78AB" w:rsidRDefault="00010BF9">
      <w:pPr>
        <w:ind w:firstLine="480"/>
        <w:rPr>
          <w:bCs/>
          <w:kern w:val="2"/>
        </w:rPr>
      </w:pPr>
      <w:r>
        <w:rPr>
          <w:bCs/>
          <w:kern w:val="2"/>
        </w:rPr>
        <w:t>本次碳排放核算边界为本项目生产线，主要包括</w:t>
      </w:r>
      <w:r>
        <w:rPr>
          <w:rFonts w:hint="eastAsia"/>
          <w:bCs/>
          <w:kern w:val="2"/>
        </w:rPr>
        <w:t>一期</w:t>
      </w:r>
      <w:r>
        <w:rPr>
          <w:bCs/>
          <w:kern w:val="2"/>
        </w:rPr>
        <w:t>项目建设的</w:t>
      </w:r>
      <w:r>
        <w:rPr>
          <w:rFonts w:hint="eastAsia"/>
          <w:bCs/>
          <w:kern w:val="2"/>
        </w:rPr>
        <w:t>一条</w:t>
      </w:r>
      <w:r>
        <w:rPr>
          <w:bCs/>
          <w:kern w:val="2"/>
        </w:rPr>
        <w:t>钒电解液生产线。</w:t>
      </w:r>
    </w:p>
    <w:p w14:paraId="10C6E50B" w14:textId="77777777" w:rsidR="003E78AB" w:rsidRDefault="00010BF9">
      <w:pPr>
        <w:ind w:firstLine="480"/>
        <w:rPr>
          <w:bCs/>
          <w:kern w:val="2"/>
        </w:rPr>
      </w:pPr>
      <w:r>
        <w:rPr>
          <w:rFonts w:hint="eastAsia"/>
          <w:bCs/>
          <w:kern w:val="2"/>
        </w:rPr>
        <w:t>（</w:t>
      </w:r>
      <w:r>
        <w:rPr>
          <w:rFonts w:hint="eastAsia"/>
          <w:bCs/>
          <w:kern w:val="2"/>
        </w:rPr>
        <w:t>2</w:t>
      </w:r>
      <w:r>
        <w:rPr>
          <w:rFonts w:hint="eastAsia"/>
          <w:bCs/>
          <w:kern w:val="2"/>
        </w:rPr>
        <w:t>）</w:t>
      </w:r>
      <w:r>
        <w:rPr>
          <w:bCs/>
          <w:kern w:val="2"/>
        </w:rPr>
        <w:t>排放源和气体种类</w:t>
      </w:r>
    </w:p>
    <w:p w14:paraId="394D8394" w14:textId="77777777" w:rsidR="003E78AB" w:rsidRDefault="00010BF9">
      <w:pPr>
        <w:ind w:firstLine="480"/>
        <w:rPr>
          <w:bCs/>
          <w:kern w:val="2"/>
        </w:rPr>
      </w:pPr>
      <w:r>
        <w:rPr>
          <w:bCs/>
          <w:kern w:val="2"/>
        </w:rPr>
        <w:t>核算的排放源类别和气体种类包括：</w:t>
      </w:r>
    </w:p>
    <w:p w14:paraId="6DBDA186" w14:textId="77777777" w:rsidR="003E78AB" w:rsidRDefault="00010BF9">
      <w:pPr>
        <w:ind w:firstLine="480"/>
        <w:rPr>
          <w:bCs/>
          <w:kern w:val="2"/>
        </w:rPr>
      </w:pPr>
      <w:r>
        <w:rPr>
          <w:bCs/>
          <w:kern w:val="2"/>
        </w:rPr>
        <w:t>①</w:t>
      </w:r>
      <w:r>
        <w:rPr>
          <w:bCs/>
          <w:kern w:val="2"/>
        </w:rPr>
        <w:t>燃料燃烧排放，指化石燃料在各种类型的固定或移动燃烧设备中与氧气充分燃烧生成的</w:t>
      </w:r>
      <w:r>
        <w:rPr>
          <w:bCs/>
          <w:kern w:val="2"/>
        </w:rPr>
        <w:t>CO</w:t>
      </w:r>
      <w:r>
        <w:rPr>
          <w:bCs/>
          <w:kern w:val="2"/>
          <w:vertAlign w:val="subscript"/>
        </w:rPr>
        <w:t>2</w:t>
      </w:r>
      <w:r>
        <w:rPr>
          <w:bCs/>
          <w:kern w:val="2"/>
        </w:rPr>
        <w:t>排放；</w:t>
      </w:r>
    </w:p>
    <w:p w14:paraId="1EEA8CF0" w14:textId="77777777" w:rsidR="003E78AB" w:rsidRDefault="00010BF9">
      <w:pPr>
        <w:ind w:firstLine="480"/>
        <w:rPr>
          <w:bCs/>
          <w:kern w:val="2"/>
        </w:rPr>
      </w:pPr>
      <w:r>
        <w:rPr>
          <w:bCs/>
          <w:kern w:val="2"/>
        </w:rPr>
        <w:t>②</w:t>
      </w:r>
      <w:r>
        <w:rPr>
          <w:bCs/>
          <w:kern w:val="2"/>
        </w:rPr>
        <w:t>工业生产过程排放，指化石燃料和其</w:t>
      </w:r>
      <w:r>
        <w:rPr>
          <w:rFonts w:hint="eastAsia"/>
          <w:bCs/>
          <w:kern w:val="2"/>
        </w:rPr>
        <w:t>他</w:t>
      </w:r>
      <w:r>
        <w:rPr>
          <w:bCs/>
          <w:kern w:val="2"/>
        </w:rPr>
        <w:t>碳氢化合物用作原材料产生的</w:t>
      </w:r>
      <w:r>
        <w:rPr>
          <w:bCs/>
          <w:kern w:val="2"/>
        </w:rPr>
        <w:t>CO</w:t>
      </w:r>
      <w:r>
        <w:rPr>
          <w:bCs/>
          <w:kern w:val="2"/>
          <w:vertAlign w:val="subscript"/>
        </w:rPr>
        <w:t>2</w:t>
      </w:r>
      <w:r>
        <w:rPr>
          <w:bCs/>
          <w:kern w:val="2"/>
        </w:rPr>
        <w:t>排放，包括放空的废气经火炬处理后产生的</w:t>
      </w:r>
      <w:r>
        <w:rPr>
          <w:bCs/>
          <w:kern w:val="2"/>
        </w:rPr>
        <w:t>CO</w:t>
      </w:r>
      <w:r>
        <w:rPr>
          <w:bCs/>
          <w:kern w:val="2"/>
          <w:vertAlign w:val="subscript"/>
        </w:rPr>
        <w:t>2</w:t>
      </w:r>
      <w:r>
        <w:rPr>
          <w:bCs/>
          <w:kern w:val="2"/>
        </w:rPr>
        <w:t>排放；以及碳酸盐使用过程</w:t>
      </w:r>
      <w:r>
        <w:rPr>
          <w:bCs/>
          <w:kern w:val="2"/>
        </w:rPr>
        <w:t>(</w:t>
      </w:r>
      <w:r>
        <w:rPr>
          <w:bCs/>
          <w:kern w:val="2"/>
        </w:rPr>
        <w:t>如石灰石、白云石等用作原材料、助熔剂或脱硫剂</w:t>
      </w:r>
      <w:r>
        <w:rPr>
          <w:bCs/>
          <w:kern w:val="2"/>
        </w:rPr>
        <w:t>)</w:t>
      </w:r>
      <w:r>
        <w:rPr>
          <w:bCs/>
          <w:kern w:val="2"/>
        </w:rPr>
        <w:t>产生的</w:t>
      </w:r>
      <w:r>
        <w:rPr>
          <w:bCs/>
          <w:kern w:val="2"/>
        </w:rPr>
        <w:t>CO</w:t>
      </w:r>
      <w:r>
        <w:rPr>
          <w:bCs/>
          <w:kern w:val="2"/>
          <w:vertAlign w:val="subscript"/>
        </w:rPr>
        <w:t>2</w:t>
      </w:r>
      <w:r>
        <w:rPr>
          <w:bCs/>
          <w:kern w:val="2"/>
        </w:rPr>
        <w:t>排放；如果存在硝酸或己二酸生产过程，还应包括这些生产过程的</w:t>
      </w:r>
      <w:r>
        <w:rPr>
          <w:bCs/>
          <w:kern w:val="2"/>
        </w:rPr>
        <w:t>N</w:t>
      </w:r>
      <w:r>
        <w:rPr>
          <w:bCs/>
          <w:kern w:val="2"/>
          <w:vertAlign w:val="subscript"/>
        </w:rPr>
        <w:t>2</w:t>
      </w:r>
      <w:r>
        <w:rPr>
          <w:bCs/>
          <w:kern w:val="2"/>
        </w:rPr>
        <w:t>O</w:t>
      </w:r>
      <w:r>
        <w:rPr>
          <w:bCs/>
          <w:kern w:val="2"/>
        </w:rPr>
        <w:t>排放；</w:t>
      </w:r>
    </w:p>
    <w:p w14:paraId="272DA563" w14:textId="77777777" w:rsidR="003E78AB" w:rsidRDefault="00010BF9">
      <w:pPr>
        <w:ind w:firstLine="480"/>
        <w:rPr>
          <w:bCs/>
          <w:kern w:val="2"/>
        </w:rPr>
      </w:pPr>
      <w:r>
        <w:rPr>
          <w:bCs/>
          <w:kern w:val="2"/>
        </w:rPr>
        <w:t>③CO</w:t>
      </w:r>
      <w:r>
        <w:rPr>
          <w:bCs/>
          <w:kern w:val="2"/>
          <w:vertAlign w:val="subscript"/>
        </w:rPr>
        <w:t>2</w:t>
      </w:r>
      <w:r>
        <w:rPr>
          <w:bCs/>
          <w:kern w:val="2"/>
        </w:rPr>
        <w:t>回收利用量。主要指报告主体回收燃料燃烧或工业生产过程产生的</w:t>
      </w:r>
      <w:r>
        <w:rPr>
          <w:bCs/>
          <w:kern w:val="2"/>
        </w:rPr>
        <w:t>CO</w:t>
      </w:r>
      <w:r>
        <w:rPr>
          <w:bCs/>
          <w:kern w:val="2"/>
          <w:vertAlign w:val="subscript"/>
        </w:rPr>
        <w:t>2</w:t>
      </w:r>
      <w:r>
        <w:rPr>
          <w:bCs/>
          <w:kern w:val="2"/>
        </w:rPr>
        <w:t>并作为产品外供给其</w:t>
      </w:r>
      <w:r>
        <w:rPr>
          <w:rFonts w:hint="eastAsia"/>
          <w:bCs/>
          <w:kern w:val="2"/>
        </w:rPr>
        <w:t>他</w:t>
      </w:r>
      <w:r>
        <w:rPr>
          <w:bCs/>
          <w:kern w:val="2"/>
        </w:rPr>
        <w:t>单位从而应予扣减的那部分二氧化碳，不包括企业现场回收自用的部</w:t>
      </w:r>
      <w:r>
        <w:rPr>
          <w:bCs/>
          <w:kern w:val="2"/>
        </w:rPr>
        <w:t>分；</w:t>
      </w:r>
    </w:p>
    <w:p w14:paraId="1D2E8469" w14:textId="77777777" w:rsidR="003E78AB" w:rsidRDefault="00010BF9">
      <w:pPr>
        <w:ind w:firstLine="480"/>
        <w:rPr>
          <w:bCs/>
          <w:kern w:val="2"/>
        </w:rPr>
      </w:pPr>
      <w:r>
        <w:rPr>
          <w:bCs/>
          <w:kern w:val="2"/>
        </w:rPr>
        <w:t>④</w:t>
      </w:r>
      <w:r>
        <w:rPr>
          <w:bCs/>
          <w:kern w:val="2"/>
        </w:rPr>
        <w:t>净购入电力、热力产生的排放，企业消费的购入电力、热力所对应的电力生产环节产生的</w:t>
      </w:r>
      <w:r>
        <w:rPr>
          <w:bCs/>
          <w:kern w:val="2"/>
        </w:rPr>
        <w:t>CO</w:t>
      </w:r>
      <w:r>
        <w:rPr>
          <w:bCs/>
          <w:kern w:val="2"/>
          <w:vertAlign w:val="subscript"/>
        </w:rPr>
        <w:t>2</w:t>
      </w:r>
      <w:r>
        <w:rPr>
          <w:bCs/>
          <w:kern w:val="2"/>
        </w:rPr>
        <w:t>排放；</w:t>
      </w:r>
    </w:p>
    <w:p w14:paraId="1C9A6186" w14:textId="77777777" w:rsidR="003E78AB" w:rsidRDefault="00010BF9">
      <w:pPr>
        <w:ind w:firstLine="480"/>
        <w:rPr>
          <w:bCs/>
          <w:kern w:val="2"/>
        </w:rPr>
      </w:pPr>
      <w:r>
        <w:rPr>
          <w:bCs/>
          <w:kern w:val="2"/>
        </w:rPr>
        <w:t>⑤</w:t>
      </w:r>
      <w:r>
        <w:rPr>
          <w:bCs/>
          <w:kern w:val="2"/>
        </w:rPr>
        <w:t>其他温室气体排放。</w:t>
      </w:r>
    </w:p>
    <w:p w14:paraId="699C200D"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3.6.2</w:t>
      </w:r>
      <w:r>
        <w:rPr>
          <w:rFonts w:cs="Times New Roman"/>
          <w:sz w:val="28"/>
          <w:szCs w:val="28"/>
        </w:rPr>
        <w:t>核算方法</w:t>
      </w:r>
    </w:p>
    <w:p w14:paraId="258692C7" w14:textId="77777777" w:rsidR="003E78AB" w:rsidRDefault="00010BF9">
      <w:pPr>
        <w:ind w:firstLine="480"/>
        <w:rPr>
          <w:bCs/>
          <w:kern w:val="2"/>
        </w:rPr>
      </w:pPr>
      <w:r>
        <w:rPr>
          <w:bCs/>
          <w:kern w:val="2"/>
        </w:rPr>
        <w:t>排放总量应等于燃料燃烧</w:t>
      </w:r>
      <w:r>
        <w:rPr>
          <w:bCs/>
          <w:kern w:val="2"/>
        </w:rPr>
        <w:t>CO</w:t>
      </w:r>
      <w:r>
        <w:rPr>
          <w:bCs/>
          <w:kern w:val="2"/>
          <w:vertAlign w:val="subscript"/>
        </w:rPr>
        <w:t>2</w:t>
      </w:r>
      <w:r>
        <w:rPr>
          <w:bCs/>
          <w:kern w:val="2"/>
        </w:rPr>
        <w:t>排放加上工业生产过程</w:t>
      </w:r>
      <w:r>
        <w:rPr>
          <w:bCs/>
          <w:kern w:val="2"/>
        </w:rPr>
        <w:t>CO</w:t>
      </w:r>
      <w:r>
        <w:rPr>
          <w:bCs/>
          <w:kern w:val="2"/>
          <w:vertAlign w:val="subscript"/>
        </w:rPr>
        <w:t>2</w:t>
      </w:r>
      <w:r>
        <w:rPr>
          <w:bCs/>
          <w:kern w:val="2"/>
        </w:rPr>
        <w:t>当量排放，减去企业回收且外供的</w:t>
      </w:r>
      <w:r>
        <w:rPr>
          <w:bCs/>
          <w:kern w:val="2"/>
        </w:rPr>
        <w:t>CO</w:t>
      </w:r>
      <w:r>
        <w:rPr>
          <w:bCs/>
          <w:kern w:val="2"/>
          <w:vertAlign w:val="subscript"/>
        </w:rPr>
        <w:t>2</w:t>
      </w:r>
      <w:r>
        <w:rPr>
          <w:bCs/>
          <w:kern w:val="2"/>
        </w:rPr>
        <w:t>量，再加上企业净购入的电力和热力消费引起的</w:t>
      </w:r>
      <w:r>
        <w:rPr>
          <w:bCs/>
          <w:kern w:val="2"/>
        </w:rPr>
        <w:t>CO</w:t>
      </w:r>
      <w:r>
        <w:rPr>
          <w:bCs/>
          <w:kern w:val="2"/>
          <w:vertAlign w:val="subscript"/>
        </w:rPr>
        <w:t>2</w:t>
      </w:r>
      <w:r>
        <w:rPr>
          <w:bCs/>
          <w:kern w:val="2"/>
        </w:rPr>
        <w:t>排放量：</w:t>
      </w:r>
    </w:p>
    <w:p w14:paraId="36B9A007" w14:textId="77777777" w:rsidR="003E78AB" w:rsidRDefault="00010BF9">
      <w:pPr>
        <w:ind w:firstLineChars="0" w:firstLine="0"/>
        <w:jc w:val="center"/>
        <w:rPr>
          <w:bCs/>
          <w:kern w:val="2"/>
        </w:rPr>
      </w:pPr>
      <w:r>
        <w:rPr>
          <w:bCs/>
          <w:kern w:val="2"/>
        </w:rPr>
        <w:t>E=E</w:t>
      </w:r>
      <w:r>
        <w:rPr>
          <w:bCs/>
          <w:kern w:val="2"/>
          <w:vertAlign w:val="subscript"/>
        </w:rPr>
        <w:t>燃烧</w:t>
      </w:r>
      <w:r>
        <w:rPr>
          <w:bCs/>
          <w:kern w:val="2"/>
        </w:rPr>
        <w:t>+E</w:t>
      </w:r>
      <w:r>
        <w:rPr>
          <w:bCs/>
          <w:kern w:val="2"/>
          <w:vertAlign w:val="subscript"/>
        </w:rPr>
        <w:t>过程</w:t>
      </w:r>
      <w:r>
        <w:rPr>
          <w:bCs/>
          <w:kern w:val="2"/>
        </w:rPr>
        <w:t>-E</w:t>
      </w:r>
      <w:r>
        <w:rPr>
          <w:bCs/>
          <w:kern w:val="2"/>
          <w:vertAlign w:val="subscript"/>
        </w:rPr>
        <w:t>回收</w:t>
      </w:r>
      <w:r>
        <w:rPr>
          <w:bCs/>
          <w:kern w:val="2"/>
        </w:rPr>
        <w:t>+E</w:t>
      </w:r>
      <w:r>
        <w:rPr>
          <w:bCs/>
          <w:kern w:val="2"/>
          <w:vertAlign w:val="subscript"/>
        </w:rPr>
        <w:t>电</w:t>
      </w:r>
      <w:r>
        <w:rPr>
          <w:bCs/>
          <w:kern w:val="2"/>
        </w:rPr>
        <w:t>+E</w:t>
      </w:r>
      <w:r>
        <w:rPr>
          <w:bCs/>
          <w:kern w:val="2"/>
          <w:vertAlign w:val="subscript"/>
        </w:rPr>
        <w:t>热</w:t>
      </w:r>
    </w:p>
    <w:p w14:paraId="0A3D0E2E" w14:textId="77777777" w:rsidR="003E78AB" w:rsidRDefault="00010BF9">
      <w:pPr>
        <w:ind w:firstLine="480"/>
        <w:rPr>
          <w:bCs/>
          <w:kern w:val="2"/>
        </w:rPr>
      </w:pPr>
      <w:r>
        <w:rPr>
          <w:bCs/>
          <w:kern w:val="2"/>
        </w:rPr>
        <w:t>式中，</w:t>
      </w:r>
    </w:p>
    <w:p w14:paraId="6355A1D2" w14:textId="77777777" w:rsidR="003E78AB" w:rsidRDefault="00010BF9">
      <w:pPr>
        <w:ind w:firstLine="480"/>
        <w:rPr>
          <w:bCs/>
          <w:kern w:val="2"/>
        </w:rPr>
      </w:pPr>
      <w:r>
        <w:rPr>
          <w:bCs/>
          <w:kern w:val="2"/>
        </w:rPr>
        <w:t>E—</w:t>
      </w:r>
      <w:r>
        <w:rPr>
          <w:bCs/>
          <w:kern w:val="2"/>
        </w:rPr>
        <w:t>报告主体温室气体排放总量，单位为吨二氧化碳</w:t>
      </w:r>
      <w:r>
        <w:rPr>
          <w:bCs/>
          <w:kern w:val="2"/>
        </w:rPr>
        <w:t>(tCO</w:t>
      </w:r>
      <w:r>
        <w:rPr>
          <w:bCs/>
          <w:kern w:val="2"/>
          <w:vertAlign w:val="subscript"/>
        </w:rPr>
        <w:t>2</w:t>
      </w:r>
      <w:r>
        <w:rPr>
          <w:bCs/>
          <w:kern w:val="2"/>
        </w:rPr>
        <w:t>)</w:t>
      </w:r>
      <w:r>
        <w:rPr>
          <w:bCs/>
          <w:kern w:val="2"/>
        </w:rPr>
        <w:t>；</w:t>
      </w:r>
    </w:p>
    <w:p w14:paraId="672DEE72" w14:textId="77777777" w:rsidR="003E78AB" w:rsidRDefault="00010BF9">
      <w:pPr>
        <w:ind w:firstLine="480"/>
        <w:rPr>
          <w:bCs/>
          <w:kern w:val="2"/>
        </w:rPr>
      </w:pPr>
      <w:r>
        <w:rPr>
          <w:bCs/>
          <w:kern w:val="2"/>
        </w:rPr>
        <w:t>E</w:t>
      </w:r>
      <w:r>
        <w:rPr>
          <w:bCs/>
          <w:kern w:val="2"/>
          <w:vertAlign w:val="subscript"/>
        </w:rPr>
        <w:t>燃烧</w:t>
      </w:r>
      <w:r>
        <w:rPr>
          <w:bCs/>
          <w:kern w:val="2"/>
        </w:rPr>
        <w:t>—</w:t>
      </w:r>
      <w:r>
        <w:rPr>
          <w:bCs/>
          <w:kern w:val="2"/>
        </w:rPr>
        <w:t>企业边界内化石燃料燃烧产生的</w:t>
      </w:r>
      <w:r>
        <w:rPr>
          <w:bCs/>
          <w:kern w:val="2"/>
        </w:rPr>
        <w:t>CO</w:t>
      </w:r>
      <w:r>
        <w:rPr>
          <w:bCs/>
          <w:kern w:val="2"/>
          <w:vertAlign w:val="subscript"/>
        </w:rPr>
        <w:t>2</w:t>
      </w:r>
      <w:r>
        <w:rPr>
          <w:bCs/>
          <w:kern w:val="2"/>
        </w:rPr>
        <w:t>排放；</w:t>
      </w:r>
    </w:p>
    <w:p w14:paraId="6821809A" w14:textId="77777777" w:rsidR="003E78AB" w:rsidRDefault="00010BF9">
      <w:pPr>
        <w:ind w:firstLine="480"/>
        <w:rPr>
          <w:bCs/>
          <w:kern w:val="2"/>
        </w:rPr>
      </w:pPr>
      <w:r>
        <w:rPr>
          <w:bCs/>
          <w:kern w:val="2"/>
        </w:rPr>
        <w:t>E</w:t>
      </w:r>
      <w:r>
        <w:rPr>
          <w:bCs/>
          <w:kern w:val="2"/>
          <w:vertAlign w:val="subscript"/>
        </w:rPr>
        <w:t>过程</w:t>
      </w:r>
      <w:r>
        <w:rPr>
          <w:bCs/>
          <w:kern w:val="2"/>
        </w:rPr>
        <w:t>—</w:t>
      </w:r>
      <w:r>
        <w:rPr>
          <w:bCs/>
          <w:kern w:val="2"/>
        </w:rPr>
        <w:t>企业边界内工业生产过程产生的各种温室气体</w:t>
      </w:r>
      <w:r>
        <w:rPr>
          <w:bCs/>
          <w:kern w:val="2"/>
        </w:rPr>
        <w:t>CO</w:t>
      </w:r>
      <w:r>
        <w:rPr>
          <w:bCs/>
          <w:kern w:val="2"/>
          <w:vertAlign w:val="subscript"/>
        </w:rPr>
        <w:t>2</w:t>
      </w:r>
      <w:r>
        <w:rPr>
          <w:bCs/>
          <w:kern w:val="2"/>
        </w:rPr>
        <w:t>当量排放</w:t>
      </w:r>
      <w:r>
        <w:rPr>
          <w:bCs/>
          <w:kern w:val="2"/>
        </w:rPr>
        <w:t>；</w:t>
      </w:r>
      <w:r>
        <w:rPr>
          <w:bCs/>
          <w:kern w:val="2"/>
        </w:rPr>
        <w:t>E</w:t>
      </w:r>
      <w:r>
        <w:rPr>
          <w:bCs/>
          <w:kern w:val="2"/>
        </w:rPr>
        <w:t>回收</w:t>
      </w:r>
      <w:r>
        <w:rPr>
          <w:bCs/>
          <w:kern w:val="2"/>
        </w:rPr>
        <w:t>—</w:t>
      </w:r>
      <w:r>
        <w:rPr>
          <w:bCs/>
          <w:kern w:val="2"/>
        </w:rPr>
        <w:t>企业回收且外供的</w:t>
      </w:r>
      <w:r>
        <w:rPr>
          <w:bCs/>
          <w:kern w:val="2"/>
        </w:rPr>
        <w:t>CO</w:t>
      </w:r>
      <w:r>
        <w:rPr>
          <w:bCs/>
          <w:kern w:val="2"/>
          <w:vertAlign w:val="subscript"/>
        </w:rPr>
        <w:t>2</w:t>
      </w:r>
      <w:r>
        <w:rPr>
          <w:bCs/>
          <w:kern w:val="2"/>
        </w:rPr>
        <w:t>量；</w:t>
      </w:r>
    </w:p>
    <w:p w14:paraId="684F7114" w14:textId="77777777" w:rsidR="003E78AB" w:rsidRDefault="00010BF9">
      <w:pPr>
        <w:ind w:firstLine="480"/>
        <w:rPr>
          <w:bCs/>
          <w:kern w:val="2"/>
        </w:rPr>
      </w:pPr>
      <w:r>
        <w:rPr>
          <w:bCs/>
          <w:kern w:val="2"/>
        </w:rPr>
        <w:t>E</w:t>
      </w:r>
      <w:r>
        <w:rPr>
          <w:bCs/>
          <w:kern w:val="2"/>
          <w:vertAlign w:val="subscript"/>
        </w:rPr>
        <w:t>电</w:t>
      </w:r>
      <w:r>
        <w:rPr>
          <w:bCs/>
          <w:kern w:val="2"/>
        </w:rPr>
        <w:t>—</w:t>
      </w:r>
      <w:r>
        <w:rPr>
          <w:bCs/>
          <w:kern w:val="2"/>
        </w:rPr>
        <w:t>企业净购入的电力消费引起的</w:t>
      </w:r>
      <w:r>
        <w:rPr>
          <w:bCs/>
          <w:kern w:val="2"/>
        </w:rPr>
        <w:t>CO</w:t>
      </w:r>
      <w:r>
        <w:rPr>
          <w:bCs/>
          <w:kern w:val="2"/>
          <w:vertAlign w:val="subscript"/>
        </w:rPr>
        <w:t>2</w:t>
      </w:r>
      <w:r>
        <w:rPr>
          <w:bCs/>
          <w:kern w:val="2"/>
        </w:rPr>
        <w:t>排放；</w:t>
      </w:r>
    </w:p>
    <w:p w14:paraId="4AB20400" w14:textId="77777777" w:rsidR="003E78AB" w:rsidRDefault="00010BF9">
      <w:pPr>
        <w:ind w:firstLine="480"/>
        <w:rPr>
          <w:bCs/>
          <w:kern w:val="2"/>
        </w:rPr>
      </w:pPr>
      <w:r>
        <w:rPr>
          <w:bCs/>
          <w:kern w:val="2"/>
        </w:rPr>
        <w:t>E</w:t>
      </w:r>
      <w:r>
        <w:rPr>
          <w:bCs/>
          <w:kern w:val="2"/>
          <w:vertAlign w:val="subscript"/>
        </w:rPr>
        <w:t>热</w:t>
      </w:r>
      <w:r>
        <w:rPr>
          <w:bCs/>
          <w:kern w:val="2"/>
        </w:rPr>
        <w:t>—</w:t>
      </w:r>
      <w:r>
        <w:rPr>
          <w:bCs/>
          <w:kern w:val="2"/>
        </w:rPr>
        <w:t>企业净购入的热力消费引起的</w:t>
      </w:r>
      <w:r>
        <w:rPr>
          <w:bCs/>
          <w:kern w:val="2"/>
        </w:rPr>
        <w:t>CO</w:t>
      </w:r>
      <w:r>
        <w:rPr>
          <w:bCs/>
          <w:kern w:val="2"/>
          <w:vertAlign w:val="subscript"/>
        </w:rPr>
        <w:t>2</w:t>
      </w:r>
      <w:r>
        <w:rPr>
          <w:bCs/>
          <w:kern w:val="2"/>
        </w:rPr>
        <w:t>排放。</w:t>
      </w:r>
    </w:p>
    <w:p w14:paraId="2A5057E2"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3.6.3</w:t>
      </w:r>
      <w:r>
        <w:rPr>
          <w:rFonts w:cs="Times New Roman"/>
          <w:sz w:val="28"/>
          <w:szCs w:val="28"/>
        </w:rPr>
        <w:t>核算相关数据</w:t>
      </w:r>
    </w:p>
    <w:p w14:paraId="67483172" w14:textId="77777777" w:rsidR="003E78AB" w:rsidRDefault="00010BF9">
      <w:pPr>
        <w:ind w:firstLine="480"/>
        <w:rPr>
          <w:bCs/>
          <w:kern w:val="2"/>
        </w:rPr>
      </w:pPr>
      <w:r>
        <w:rPr>
          <w:bCs/>
          <w:kern w:val="2"/>
        </w:rPr>
        <w:t>根据项目工程分析，项目能源消耗主要涉及水、电，不涉及燃料燃烧；生产过程中涉及</w:t>
      </w:r>
      <w:r>
        <w:rPr>
          <w:rFonts w:hint="eastAsia"/>
          <w:bCs/>
          <w:kern w:val="2"/>
        </w:rPr>
        <w:t>溶解还原过程</w:t>
      </w:r>
      <w:r>
        <w:rPr>
          <w:bCs/>
          <w:kern w:val="2"/>
        </w:rPr>
        <w:t>产生</w:t>
      </w:r>
      <w:r>
        <w:rPr>
          <w:bCs/>
          <w:kern w:val="2"/>
        </w:rPr>
        <w:t>CO</w:t>
      </w:r>
      <w:r>
        <w:rPr>
          <w:bCs/>
          <w:kern w:val="2"/>
          <w:vertAlign w:val="subscript"/>
        </w:rPr>
        <w:t>2</w:t>
      </w:r>
      <w:r>
        <w:rPr>
          <w:bCs/>
          <w:kern w:val="2"/>
        </w:rPr>
        <w:t>排放；企业不涉及回收且外供的</w:t>
      </w:r>
      <w:r>
        <w:rPr>
          <w:bCs/>
          <w:kern w:val="2"/>
        </w:rPr>
        <w:t>CO</w:t>
      </w:r>
      <w:r>
        <w:rPr>
          <w:bCs/>
          <w:kern w:val="2"/>
          <w:vertAlign w:val="subscript"/>
        </w:rPr>
        <w:t>2</w:t>
      </w:r>
      <w:r>
        <w:rPr>
          <w:bCs/>
          <w:kern w:val="2"/>
        </w:rPr>
        <w:t>量；根据工程能源消耗，一期项目工程耗电量</w:t>
      </w:r>
      <w:r>
        <w:rPr>
          <w:rFonts w:hint="eastAsia"/>
          <w:bCs/>
          <w:kern w:val="2"/>
        </w:rPr>
        <w:t>1550</w:t>
      </w:r>
      <w:r>
        <w:rPr>
          <w:bCs/>
          <w:kern w:val="2"/>
        </w:rPr>
        <w:t>万</w:t>
      </w:r>
      <w:r>
        <w:rPr>
          <w:bCs/>
          <w:kern w:val="2"/>
        </w:rPr>
        <w:t>kwh/a</w:t>
      </w:r>
      <w:r>
        <w:rPr>
          <w:bCs/>
          <w:kern w:val="2"/>
        </w:rPr>
        <w:t>；外购</w:t>
      </w:r>
      <w:r>
        <w:rPr>
          <w:rFonts w:hint="eastAsia"/>
          <w:bCs/>
          <w:kern w:val="2"/>
        </w:rPr>
        <w:t>天然气</w:t>
      </w:r>
      <w:r>
        <w:rPr>
          <w:bCs/>
          <w:kern w:val="2"/>
        </w:rPr>
        <w:t>一期用量约</w:t>
      </w:r>
      <w:r>
        <w:rPr>
          <w:rFonts w:hint="eastAsia"/>
          <w:bCs/>
          <w:kern w:val="2"/>
        </w:rPr>
        <w:t>200.1024</w:t>
      </w:r>
      <w:r>
        <w:rPr>
          <w:bCs/>
          <w:kern w:val="2"/>
        </w:rPr>
        <w:t>万</w:t>
      </w:r>
      <w:r>
        <w:rPr>
          <w:rFonts w:hint="eastAsia"/>
          <w:bCs/>
          <w:kern w:val="2"/>
        </w:rPr>
        <w:t>Nm</w:t>
      </w:r>
      <w:r>
        <w:rPr>
          <w:rFonts w:hint="eastAsia"/>
          <w:bCs/>
          <w:kern w:val="2"/>
          <w:vertAlign w:val="superscript"/>
        </w:rPr>
        <w:t>3</w:t>
      </w:r>
      <w:r>
        <w:rPr>
          <w:bCs/>
          <w:kern w:val="2"/>
        </w:rPr>
        <w:t>/a</w:t>
      </w:r>
      <w:r>
        <w:rPr>
          <w:bCs/>
          <w:kern w:val="2"/>
        </w:rPr>
        <w:t>。</w:t>
      </w:r>
    </w:p>
    <w:p w14:paraId="579DD308"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3.6.4</w:t>
      </w:r>
      <w:r>
        <w:rPr>
          <w:rFonts w:cs="Times New Roman"/>
          <w:sz w:val="28"/>
          <w:szCs w:val="28"/>
        </w:rPr>
        <w:t>核算结果</w:t>
      </w:r>
    </w:p>
    <w:p w14:paraId="5CB5B3F8" w14:textId="77777777" w:rsidR="003E78AB" w:rsidRDefault="00010BF9">
      <w:pPr>
        <w:ind w:firstLine="480"/>
        <w:rPr>
          <w:bCs/>
          <w:kern w:val="2"/>
        </w:rPr>
      </w:pPr>
      <w:r>
        <w:rPr>
          <w:bCs/>
          <w:kern w:val="2"/>
        </w:rPr>
        <w:t>项目温室气体排放量核算见</w:t>
      </w:r>
      <w:r>
        <w:rPr>
          <w:bCs/>
          <w:kern w:val="2"/>
        </w:rPr>
        <w:fldChar w:fldCharType="begin"/>
      </w:r>
      <w:r>
        <w:rPr>
          <w:bCs/>
          <w:kern w:val="2"/>
        </w:rPr>
        <w:instrText xml:space="preserve"> REF _Ref22886 \r \h </w:instrText>
      </w:r>
      <w:r>
        <w:rPr>
          <w:bCs/>
          <w:kern w:val="2"/>
        </w:rPr>
      </w:r>
      <w:r>
        <w:rPr>
          <w:bCs/>
          <w:kern w:val="2"/>
        </w:rPr>
        <w:fldChar w:fldCharType="separate"/>
      </w:r>
      <w:r>
        <w:rPr>
          <w:bCs/>
          <w:kern w:val="2"/>
        </w:rPr>
        <w:t>表</w:t>
      </w:r>
      <w:r>
        <w:rPr>
          <w:bCs/>
          <w:kern w:val="2"/>
        </w:rPr>
        <w:t>3-34</w:t>
      </w:r>
      <w:r>
        <w:rPr>
          <w:bCs/>
          <w:kern w:val="2"/>
        </w:rPr>
        <w:fldChar w:fldCharType="end"/>
      </w:r>
      <w:r>
        <w:rPr>
          <w:bCs/>
          <w:kern w:val="2"/>
        </w:rPr>
        <w:t>。</w:t>
      </w:r>
    </w:p>
    <w:p w14:paraId="41C617AC" w14:textId="77777777" w:rsidR="003E78AB" w:rsidRDefault="00010BF9">
      <w:pPr>
        <w:pStyle w:val="a1"/>
      </w:pPr>
      <w:bookmarkStart w:id="268" w:name="_Ref22886"/>
      <w:r>
        <w:t>项目温室气体排放量汇总表</w:t>
      </w:r>
      <w:bookmarkEnd w:id="268"/>
    </w:p>
    <w:p w14:paraId="6786EE82" w14:textId="77777777" w:rsidR="003E78AB" w:rsidRDefault="003E78AB">
      <w:pPr>
        <w:spacing w:line="28" w:lineRule="exact"/>
        <w:ind w:firstLineChars="0" w:firstLine="0"/>
        <w:jc w:val="left"/>
        <w:textAlignment w:val="baseline"/>
        <w:rPr>
          <w:rFonts w:eastAsia="Arial"/>
          <w:snapToGrid w:val="0"/>
          <w:sz w:val="21"/>
          <w:szCs w:val="21"/>
        </w:rPr>
      </w:pPr>
    </w:p>
    <w:tbl>
      <w:tblPr>
        <w:tblStyle w:val="TableNormal"/>
        <w:tblW w:w="499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1375"/>
        <w:gridCol w:w="1026"/>
        <w:gridCol w:w="1147"/>
        <w:gridCol w:w="1933"/>
        <w:gridCol w:w="1145"/>
        <w:gridCol w:w="1187"/>
      </w:tblGrid>
      <w:tr w:rsidR="003E78AB" w14:paraId="40D21EB8" w14:textId="77777777">
        <w:trPr>
          <w:trHeight w:val="589"/>
        </w:trPr>
        <w:tc>
          <w:tcPr>
            <w:tcW w:w="300" w:type="pct"/>
            <w:vAlign w:val="center"/>
          </w:tcPr>
          <w:p w14:paraId="3E78E6F0" w14:textId="77777777" w:rsidR="003E78AB" w:rsidRDefault="00010BF9">
            <w:pPr>
              <w:pStyle w:val="aff4"/>
              <w:rPr>
                <w:rFonts w:hint="default"/>
                <w:b/>
                <w:bCs/>
                <w:szCs w:val="21"/>
              </w:rPr>
            </w:pPr>
            <w:r>
              <w:rPr>
                <w:rFonts w:hint="default"/>
                <w:b/>
                <w:bCs/>
                <w:szCs w:val="21"/>
              </w:rPr>
              <w:t>时期</w:t>
            </w:r>
          </w:p>
        </w:tc>
        <w:tc>
          <w:tcPr>
            <w:tcW w:w="827" w:type="pct"/>
            <w:vAlign w:val="center"/>
          </w:tcPr>
          <w:p w14:paraId="3F406CBD" w14:textId="77777777" w:rsidR="003E78AB" w:rsidRDefault="00010BF9">
            <w:pPr>
              <w:pStyle w:val="aff4"/>
              <w:rPr>
                <w:rFonts w:hint="default"/>
                <w:b/>
                <w:bCs/>
                <w:szCs w:val="21"/>
              </w:rPr>
            </w:pPr>
            <w:r>
              <w:rPr>
                <w:rFonts w:hint="default"/>
                <w:b/>
                <w:bCs/>
                <w:szCs w:val="21"/>
              </w:rPr>
              <w:t>分类</w:t>
            </w:r>
          </w:p>
        </w:tc>
        <w:tc>
          <w:tcPr>
            <w:tcW w:w="617" w:type="pct"/>
            <w:vAlign w:val="center"/>
          </w:tcPr>
          <w:p w14:paraId="2598698D" w14:textId="77777777" w:rsidR="003E78AB" w:rsidRDefault="00010BF9">
            <w:pPr>
              <w:pStyle w:val="aff4"/>
              <w:rPr>
                <w:rFonts w:hint="default"/>
                <w:b/>
                <w:bCs/>
                <w:szCs w:val="21"/>
              </w:rPr>
            </w:pPr>
            <w:r>
              <w:rPr>
                <w:rFonts w:hint="default"/>
                <w:b/>
                <w:bCs/>
                <w:szCs w:val="21"/>
              </w:rPr>
              <w:t>名称</w:t>
            </w:r>
          </w:p>
        </w:tc>
        <w:tc>
          <w:tcPr>
            <w:tcW w:w="689" w:type="pct"/>
            <w:vAlign w:val="center"/>
          </w:tcPr>
          <w:p w14:paraId="6316065C" w14:textId="77777777" w:rsidR="003E78AB" w:rsidRDefault="00010BF9">
            <w:pPr>
              <w:pStyle w:val="aff4"/>
              <w:rPr>
                <w:rFonts w:hint="default"/>
                <w:b/>
                <w:bCs/>
                <w:szCs w:val="21"/>
              </w:rPr>
            </w:pPr>
            <w:r>
              <w:rPr>
                <w:rFonts w:hint="default"/>
                <w:b/>
                <w:bCs/>
                <w:szCs w:val="21"/>
              </w:rPr>
              <w:t>计量单位</w:t>
            </w:r>
          </w:p>
        </w:tc>
        <w:tc>
          <w:tcPr>
            <w:tcW w:w="1162" w:type="pct"/>
            <w:vAlign w:val="center"/>
          </w:tcPr>
          <w:p w14:paraId="5EFEE3D7" w14:textId="77777777" w:rsidR="003E78AB" w:rsidRDefault="00010BF9">
            <w:pPr>
              <w:pStyle w:val="aff4"/>
              <w:rPr>
                <w:rFonts w:hint="default"/>
                <w:b/>
                <w:bCs/>
                <w:szCs w:val="21"/>
              </w:rPr>
            </w:pPr>
            <w:r>
              <w:rPr>
                <w:rFonts w:hint="default"/>
                <w:b/>
                <w:bCs/>
                <w:szCs w:val="21"/>
              </w:rPr>
              <w:t>CO</w:t>
            </w:r>
            <w:r>
              <w:rPr>
                <w:rFonts w:hint="default"/>
                <w:b/>
                <w:bCs/>
                <w:szCs w:val="21"/>
                <w:vertAlign w:val="subscript"/>
              </w:rPr>
              <w:t>2</w:t>
            </w:r>
            <w:r>
              <w:rPr>
                <w:rFonts w:hint="default"/>
                <w:b/>
                <w:bCs/>
                <w:szCs w:val="21"/>
              </w:rPr>
              <w:t>排放因子</w:t>
            </w:r>
            <w:r>
              <w:rPr>
                <w:rFonts w:hint="default"/>
                <w:b/>
                <w:bCs/>
                <w:szCs w:val="21"/>
              </w:rPr>
              <w:t>(tCO</w:t>
            </w:r>
            <w:r>
              <w:rPr>
                <w:rFonts w:hint="default"/>
                <w:b/>
                <w:bCs/>
                <w:szCs w:val="21"/>
                <w:vertAlign w:val="subscript"/>
              </w:rPr>
              <w:t>2</w:t>
            </w:r>
            <w:r>
              <w:rPr>
                <w:rFonts w:hint="default"/>
                <w:b/>
                <w:bCs/>
                <w:szCs w:val="21"/>
              </w:rPr>
              <w:t>/t/MWh/GJ)</w:t>
            </w:r>
          </w:p>
        </w:tc>
        <w:tc>
          <w:tcPr>
            <w:tcW w:w="688" w:type="pct"/>
            <w:vAlign w:val="center"/>
          </w:tcPr>
          <w:p w14:paraId="7377A8F0" w14:textId="77777777" w:rsidR="003E78AB" w:rsidRDefault="00010BF9">
            <w:pPr>
              <w:pStyle w:val="aff4"/>
              <w:rPr>
                <w:rFonts w:hint="default"/>
                <w:b/>
                <w:bCs/>
                <w:szCs w:val="21"/>
              </w:rPr>
            </w:pPr>
            <w:r>
              <w:rPr>
                <w:rFonts w:hint="default"/>
                <w:b/>
                <w:bCs/>
                <w:szCs w:val="21"/>
              </w:rPr>
              <w:t>消耗量</w:t>
            </w:r>
          </w:p>
          <w:p w14:paraId="5098E65D" w14:textId="77777777" w:rsidR="003E78AB" w:rsidRDefault="00010BF9">
            <w:pPr>
              <w:pStyle w:val="aff4"/>
              <w:rPr>
                <w:rFonts w:hint="default"/>
                <w:b/>
                <w:bCs/>
                <w:szCs w:val="21"/>
              </w:rPr>
            </w:pPr>
            <w:r>
              <w:rPr>
                <w:rFonts w:hint="default"/>
                <w:b/>
                <w:bCs/>
                <w:szCs w:val="21"/>
              </w:rPr>
              <w:t>(</w:t>
            </w:r>
            <w:r>
              <w:rPr>
                <w:rFonts w:hint="default"/>
                <w:b/>
                <w:bCs/>
                <w:szCs w:val="21"/>
              </w:rPr>
              <w:t>吨</w:t>
            </w:r>
            <w:r>
              <w:rPr>
                <w:rFonts w:hint="default"/>
                <w:b/>
                <w:bCs/>
                <w:szCs w:val="21"/>
              </w:rPr>
              <w:t>)</w:t>
            </w:r>
          </w:p>
        </w:tc>
        <w:tc>
          <w:tcPr>
            <w:tcW w:w="713" w:type="pct"/>
            <w:vAlign w:val="center"/>
          </w:tcPr>
          <w:p w14:paraId="14CA5C46" w14:textId="77777777" w:rsidR="003E78AB" w:rsidRDefault="00010BF9">
            <w:pPr>
              <w:pStyle w:val="aff4"/>
              <w:rPr>
                <w:rFonts w:hint="default"/>
                <w:b/>
                <w:bCs/>
                <w:szCs w:val="21"/>
              </w:rPr>
            </w:pPr>
            <w:r>
              <w:rPr>
                <w:rFonts w:hint="default"/>
                <w:b/>
                <w:bCs/>
                <w:szCs w:val="21"/>
              </w:rPr>
              <w:t>排放量</w:t>
            </w:r>
          </w:p>
          <w:p w14:paraId="32429EC8" w14:textId="77777777" w:rsidR="003E78AB" w:rsidRDefault="00010BF9">
            <w:pPr>
              <w:pStyle w:val="aff4"/>
              <w:rPr>
                <w:rFonts w:hint="default"/>
                <w:b/>
                <w:bCs/>
                <w:szCs w:val="21"/>
              </w:rPr>
            </w:pPr>
            <w:r>
              <w:rPr>
                <w:rFonts w:hint="default"/>
                <w:b/>
                <w:bCs/>
                <w:szCs w:val="21"/>
              </w:rPr>
              <w:t>(tCO</w:t>
            </w:r>
            <w:r>
              <w:rPr>
                <w:rFonts w:hint="default"/>
                <w:b/>
                <w:bCs/>
                <w:szCs w:val="21"/>
                <w:vertAlign w:val="subscript"/>
              </w:rPr>
              <w:t>2</w:t>
            </w:r>
            <w:r>
              <w:rPr>
                <w:rFonts w:hint="default"/>
                <w:b/>
                <w:bCs/>
                <w:szCs w:val="21"/>
              </w:rPr>
              <w:t>)</w:t>
            </w:r>
          </w:p>
        </w:tc>
      </w:tr>
      <w:tr w:rsidR="003E78AB" w14:paraId="149C7676" w14:textId="77777777">
        <w:trPr>
          <w:trHeight w:val="304"/>
        </w:trPr>
        <w:tc>
          <w:tcPr>
            <w:tcW w:w="300" w:type="pct"/>
            <w:vMerge w:val="restart"/>
            <w:vAlign w:val="center"/>
          </w:tcPr>
          <w:p w14:paraId="57F15E4C" w14:textId="77777777" w:rsidR="003E78AB" w:rsidRDefault="00010BF9">
            <w:pPr>
              <w:pStyle w:val="aff4"/>
              <w:rPr>
                <w:rFonts w:hint="default"/>
                <w:szCs w:val="21"/>
              </w:rPr>
            </w:pPr>
            <w:r>
              <w:rPr>
                <w:rFonts w:hint="default"/>
                <w:szCs w:val="21"/>
              </w:rPr>
              <w:t>一</w:t>
            </w:r>
          </w:p>
          <w:p w14:paraId="61BB6133" w14:textId="77777777" w:rsidR="003E78AB" w:rsidRDefault="00010BF9">
            <w:pPr>
              <w:pStyle w:val="aff4"/>
              <w:rPr>
                <w:rFonts w:hint="default"/>
                <w:szCs w:val="21"/>
              </w:rPr>
            </w:pPr>
            <w:r>
              <w:rPr>
                <w:rFonts w:hint="default"/>
                <w:szCs w:val="21"/>
              </w:rPr>
              <w:t>期</w:t>
            </w:r>
          </w:p>
        </w:tc>
        <w:tc>
          <w:tcPr>
            <w:tcW w:w="827" w:type="pct"/>
            <w:vAlign w:val="center"/>
          </w:tcPr>
          <w:p w14:paraId="6C8CC854" w14:textId="77777777" w:rsidR="003E78AB" w:rsidRDefault="00010BF9">
            <w:pPr>
              <w:pStyle w:val="aff4"/>
              <w:rPr>
                <w:rFonts w:hint="default"/>
                <w:szCs w:val="21"/>
              </w:rPr>
            </w:pPr>
            <w:r>
              <w:rPr>
                <w:rFonts w:hint="default"/>
                <w:szCs w:val="21"/>
              </w:rPr>
              <w:t>工业生产过程</w:t>
            </w:r>
          </w:p>
        </w:tc>
        <w:tc>
          <w:tcPr>
            <w:tcW w:w="617" w:type="pct"/>
            <w:vAlign w:val="center"/>
          </w:tcPr>
          <w:p w14:paraId="6FEE2072" w14:textId="77777777" w:rsidR="003E78AB" w:rsidRDefault="00010BF9">
            <w:pPr>
              <w:pStyle w:val="aff4"/>
              <w:rPr>
                <w:rFonts w:hint="default"/>
                <w:szCs w:val="21"/>
              </w:rPr>
            </w:pPr>
            <w:r>
              <w:rPr>
                <w:rFonts w:hint="default"/>
                <w:szCs w:val="21"/>
              </w:rPr>
              <w:t>还原剂</w:t>
            </w:r>
          </w:p>
        </w:tc>
        <w:tc>
          <w:tcPr>
            <w:tcW w:w="689" w:type="pct"/>
            <w:vAlign w:val="center"/>
          </w:tcPr>
          <w:p w14:paraId="1D5F9ED7" w14:textId="77777777" w:rsidR="003E78AB" w:rsidRDefault="00010BF9">
            <w:pPr>
              <w:pStyle w:val="aff4"/>
              <w:rPr>
                <w:rFonts w:hint="default"/>
                <w:szCs w:val="21"/>
              </w:rPr>
            </w:pPr>
            <w:r>
              <w:rPr>
                <w:rFonts w:hint="default"/>
                <w:szCs w:val="21"/>
              </w:rPr>
              <w:t>吨</w:t>
            </w:r>
          </w:p>
        </w:tc>
        <w:tc>
          <w:tcPr>
            <w:tcW w:w="1162" w:type="pct"/>
            <w:vAlign w:val="center"/>
          </w:tcPr>
          <w:p w14:paraId="785D6775" w14:textId="77777777" w:rsidR="003E78AB" w:rsidRDefault="00010BF9">
            <w:pPr>
              <w:pStyle w:val="aff4"/>
              <w:rPr>
                <w:rFonts w:hint="default"/>
                <w:szCs w:val="21"/>
              </w:rPr>
            </w:pPr>
            <w:r>
              <w:rPr>
                <w:rFonts w:hint="default"/>
                <w:szCs w:val="21"/>
              </w:rPr>
              <w:t>0.1047</w:t>
            </w:r>
          </w:p>
        </w:tc>
        <w:tc>
          <w:tcPr>
            <w:tcW w:w="688" w:type="pct"/>
            <w:vAlign w:val="center"/>
          </w:tcPr>
          <w:p w14:paraId="3256ED0A" w14:textId="77777777" w:rsidR="003E78AB" w:rsidRDefault="00010BF9">
            <w:pPr>
              <w:pStyle w:val="aff4"/>
              <w:rPr>
                <w:rFonts w:hint="default"/>
                <w:szCs w:val="21"/>
              </w:rPr>
            </w:pPr>
            <w:r>
              <w:rPr>
                <w:szCs w:val="21"/>
                <w:lang w:bidi="ar"/>
              </w:rPr>
              <w:t>6588.36</w:t>
            </w:r>
          </w:p>
        </w:tc>
        <w:tc>
          <w:tcPr>
            <w:tcW w:w="713" w:type="pct"/>
            <w:vAlign w:val="bottom"/>
          </w:tcPr>
          <w:p w14:paraId="4BD06416" w14:textId="77777777" w:rsidR="003E78AB" w:rsidRDefault="00010BF9">
            <w:pPr>
              <w:pStyle w:val="aff4"/>
              <w:rPr>
                <w:rFonts w:hint="default"/>
                <w:szCs w:val="21"/>
              </w:rPr>
            </w:pPr>
            <w:r>
              <w:rPr>
                <w:rFonts w:hint="default"/>
                <w:szCs w:val="21"/>
              </w:rPr>
              <w:t xml:space="preserve">689.80 </w:t>
            </w:r>
          </w:p>
        </w:tc>
      </w:tr>
      <w:tr w:rsidR="003E78AB" w14:paraId="48F7B67B" w14:textId="77777777">
        <w:trPr>
          <w:trHeight w:val="304"/>
        </w:trPr>
        <w:tc>
          <w:tcPr>
            <w:tcW w:w="300" w:type="pct"/>
            <w:vMerge/>
            <w:vAlign w:val="center"/>
          </w:tcPr>
          <w:p w14:paraId="517957DF" w14:textId="77777777" w:rsidR="003E78AB" w:rsidRDefault="003E78AB">
            <w:pPr>
              <w:pStyle w:val="aff4"/>
              <w:rPr>
                <w:rFonts w:hint="default"/>
                <w:szCs w:val="21"/>
              </w:rPr>
            </w:pPr>
          </w:p>
        </w:tc>
        <w:tc>
          <w:tcPr>
            <w:tcW w:w="827" w:type="pct"/>
            <w:vAlign w:val="center"/>
          </w:tcPr>
          <w:p w14:paraId="372CD908" w14:textId="77777777" w:rsidR="003E78AB" w:rsidRDefault="00010BF9">
            <w:pPr>
              <w:pStyle w:val="aff4"/>
              <w:rPr>
                <w:rFonts w:hint="default"/>
                <w:szCs w:val="21"/>
              </w:rPr>
            </w:pPr>
            <w:r>
              <w:rPr>
                <w:rFonts w:hint="default"/>
                <w:szCs w:val="21"/>
              </w:rPr>
              <w:t>净购入电力</w:t>
            </w:r>
          </w:p>
        </w:tc>
        <w:tc>
          <w:tcPr>
            <w:tcW w:w="617" w:type="pct"/>
            <w:vAlign w:val="center"/>
          </w:tcPr>
          <w:p w14:paraId="4E8EEBA3" w14:textId="77777777" w:rsidR="003E78AB" w:rsidRDefault="00010BF9">
            <w:pPr>
              <w:pStyle w:val="aff4"/>
              <w:rPr>
                <w:rFonts w:hint="default"/>
                <w:szCs w:val="21"/>
              </w:rPr>
            </w:pPr>
            <w:r>
              <w:rPr>
                <w:rFonts w:hint="default"/>
                <w:szCs w:val="21"/>
              </w:rPr>
              <w:t>电力</w:t>
            </w:r>
          </w:p>
        </w:tc>
        <w:tc>
          <w:tcPr>
            <w:tcW w:w="689" w:type="pct"/>
            <w:vAlign w:val="center"/>
          </w:tcPr>
          <w:p w14:paraId="5BF29CFC" w14:textId="77777777" w:rsidR="003E78AB" w:rsidRDefault="00010BF9">
            <w:pPr>
              <w:pStyle w:val="aff4"/>
              <w:rPr>
                <w:rFonts w:hint="default"/>
                <w:szCs w:val="21"/>
              </w:rPr>
            </w:pPr>
            <w:r>
              <w:rPr>
                <w:rFonts w:hint="default"/>
                <w:szCs w:val="21"/>
              </w:rPr>
              <w:t>MWh</w:t>
            </w:r>
          </w:p>
        </w:tc>
        <w:tc>
          <w:tcPr>
            <w:tcW w:w="1162" w:type="pct"/>
            <w:vAlign w:val="center"/>
          </w:tcPr>
          <w:p w14:paraId="057D6869" w14:textId="77777777" w:rsidR="003E78AB" w:rsidRDefault="00010BF9">
            <w:pPr>
              <w:pStyle w:val="aff4"/>
              <w:rPr>
                <w:rFonts w:hint="default"/>
                <w:szCs w:val="21"/>
              </w:rPr>
            </w:pPr>
            <w:r>
              <w:rPr>
                <w:rFonts w:hint="default"/>
                <w:szCs w:val="21"/>
              </w:rPr>
              <w:t>0.5703</w:t>
            </w:r>
          </w:p>
        </w:tc>
        <w:tc>
          <w:tcPr>
            <w:tcW w:w="688" w:type="pct"/>
            <w:vAlign w:val="center"/>
          </w:tcPr>
          <w:p w14:paraId="371B3719" w14:textId="77777777" w:rsidR="003E78AB" w:rsidRDefault="00010BF9">
            <w:pPr>
              <w:pStyle w:val="aff4"/>
              <w:rPr>
                <w:rFonts w:hint="default"/>
                <w:szCs w:val="21"/>
              </w:rPr>
            </w:pPr>
            <w:r>
              <w:rPr>
                <w:szCs w:val="21"/>
              </w:rPr>
              <w:t>1550</w:t>
            </w:r>
          </w:p>
        </w:tc>
        <w:tc>
          <w:tcPr>
            <w:tcW w:w="713" w:type="pct"/>
            <w:vAlign w:val="bottom"/>
          </w:tcPr>
          <w:p w14:paraId="2A1D8157" w14:textId="77777777" w:rsidR="003E78AB" w:rsidRDefault="00010BF9">
            <w:pPr>
              <w:pStyle w:val="aff4"/>
              <w:rPr>
                <w:rFonts w:hint="default"/>
                <w:szCs w:val="21"/>
              </w:rPr>
            </w:pPr>
            <w:r>
              <w:rPr>
                <w:rFonts w:hint="default"/>
                <w:szCs w:val="21"/>
              </w:rPr>
              <w:t xml:space="preserve">883.97 </w:t>
            </w:r>
          </w:p>
        </w:tc>
      </w:tr>
      <w:tr w:rsidR="003E78AB" w14:paraId="69999915" w14:textId="77777777">
        <w:trPr>
          <w:trHeight w:val="335"/>
        </w:trPr>
        <w:tc>
          <w:tcPr>
            <w:tcW w:w="300" w:type="pct"/>
            <w:vMerge/>
            <w:vAlign w:val="center"/>
          </w:tcPr>
          <w:p w14:paraId="62205849" w14:textId="77777777" w:rsidR="003E78AB" w:rsidRDefault="003E78AB">
            <w:pPr>
              <w:pStyle w:val="aff4"/>
              <w:rPr>
                <w:rFonts w:hint="default"/>
                <w:szCs w:val="21"/>
              </w:rPr>
            </w:pPr>
          </w:p>
        </w:tc>
        <w:tc>
          <w:tcPr>
            <w:tcW w:w="827" w:type="pct"/>
            <w:vAlign w:val="center"/>
          </w:tcPr>
          <w:p w14:paraId="0DE7CCED" w14:textId="77777777" w:rsidR="003E78AB" w:rsidRDefault="00010BF9">
            <w:pPr>
              <w:pStyle w:val="aff4"/>
              <w:rPr>
                <w:rFonts w:hint="default"/>
                <w:szCs w:val="21"/>
              </w:rPr>
            </w:pPr>
            <w:r>
              <w:rPr>
                <w:rFonts w:hint="default"/>
                <w:szCs w:val="21"/>
              </w:rPr>
              <w:t>净购入热力</w:t>
            </w:r>
          </w:p>
        </w:tc>
        <w:tc>
          <w:tcPr>
            <w:tcW w:w="617" w:type="pct"/>
            <w:vAlign w:val="center"/>
          </w:tcPr>
          <w:p w14:paraId="10AD62DD" w14:textId="77777777" w:rsidR="003E78AB" w:rsidRDefault="00010BF9">
            <w:pPr>
              <w:pStyle w:val="aff4"/>
              <w:rPr>
                <w:rFonts w:hint="default"/>
                <w:szCs w:val="21"/>
              </w:rPr>
            </w:pPr>
            <w:r>
              <w:rPr>
                <w:szCs w:val="21"/>
              </w:rPr>
              <w:t>天然气</w:t>
            </w:r>
          </w:p>
        </w:tc>
        <w:tc>
          <w:tcPr>
            <w:tcW w:w="689" w:type="pct"/>
            <w:vAlign w:val="center"/>
          </w:tcPr>
          <w:p w14:paraId="66B665B1" w14:textId="77777777" w:rsidR="003E78AB" w:rsidRDefault="00010BF9">
            <w:pPr>
              <w:pStyle w:val="aff4"/>
              <w:rPr>
                <w:rFonts w:hint="default"/>
                <w:szCs w:val="21"/>
              </w:rPr>
            </w:pPr>
            <w:r>
              <w:rPr>
                <w:rFonts w:hint="default"/>
                <w:szCs w:val="21"/>
              </w:rPr>
              <w:t>吨</w:t>
            </w:r>
          </w:p>
        </w:tc>
        <w:tc>
          <w:tcPr>
            <w:tcW w:w="1162" w:type="pct"/>
            <w:vAlign w:val="center"/>
          </w:tcPr>
          <w:p w14:paraId="7E6813FC" w14:textId="77777777" w:rsidR="003E78AB" w:rsidRDefault="00010BF9">
            <w:pPr>
              <w:pStyle w:val="aff4"/>
              <w:rPr>
                <w:rFonts w:hint="default"/>
                <w:szCs w:val="21"/>
              </w:rPr>
            </w:pPr>
            <w:r>
              <w:rPr>
                <w:rFonts w:hint="default"/>
                <w:szCs w:val="21"/>
              </w:rPr>
              <w:t>0.1</w:t>
            </w:r>
            <w:r>
              <w:rPr>
                <w:szCs w:val="21"/>
              </w:rPr>
              <w:t>532</w:t>
            </w:r>
          </w:p>
        </w:tc>
        <w:tc>
          <w:tcPr>
            <w:tcW w:w="688" w:type="pct"/>
            <w:vAlign w:val="center"/>
          </w:tcPr>
          <w:p w14:paraId="79D39ED5" w14:textId="77777777" w:rsidR="003E78AB" w:rsidRDefault="00010BF9">
            <w:pPr>
              <w:pStyle w:val="aff4"/>
              <w:rPr>
                <w:rFonts w:hint="default"/>
                <w:szCs w:val="21"/>
              </w:rPr>
            </w:pPr>
            <w:r>
              <w:rPr>
                <w:szCs w:val="21"/>
              </w:rPr>
              <w:t>200.1024</w:t>
            </w:r>
          </w:p>
        </w:tc>
        <w:tc>
          <w:tcPr>
            <w:tcW w:w="713" w:type="pct"/>
            <w:vAlign w:val="bottom"/>
          </w:tcPr>
          <w:p w14:paraId="46814DFC" w14:textId="77777777" w:rsidR="003E78AB" w:rsidRDefault="00010BF9">
            <w:pPr>
              <w:pStyle w:val="aff4"/>
              <w:rPr>
                <w:rFonts w:hint="default"/>
                <w:szCs w:val="21"/>
              </w:rPr>
            </w:pPr>
            <w:r>
              <w:rPr>
                <w:rFonts w:hint="default"/>
                <w:szCs w:val="21"/>
              </w:rPr>
              <w:t xml:space="preserve">30.66 </w:t>
            </w:r>
          </w:p>
        </w:tc>
      </w:tr>
      <w:tr w:rsidR="003E78AB" w14:paraId="2453415B" w14:textId="77777777">
        <w:trPr>
          <w:trHeight w:val="304"/>
        </w:trPr>
        <w:tc>
          <w:tcPr>
            <w:tcW w:w="300" w:type="pct"/>
            <w:vMerge/>
            <w:vAlign w:val="center"/>
          </w:tcPr>
          <w:p w14:paraId="4492A0FB" w14:textId="77777777" w:rsidR="003E78AB" w:rsidRDefault="003E78AB">
            <w:pPr>
              <w:pStyle w:val="aff4"/>
              <w:rPr>
                <w:rFonts w:hint="default"/>
                <w:szCs w:val="21"/>
              </w:rPr>
            </w:pPr>
          </w:p>
        </w:tc>
        <w:tc>
          <w:tcPr>
            <w:tcW w:w="827" w:type="pct"/>
            <w:vAlign w:val="center"/>
          </w:tcPr>
          <w:p w14:paraId="48369BAB" w14:textId="77777777" w:rsidR="003E78AB" w:rsidRDefault="00010BF9">
            <w:pPr>
              <w:pStyle w:val="aff4"/>
              <w:rPr>
                <w:rFonts w:hint="default"/>
                <w:szCs w:val="21"/>
              </w:rPr>
            </w:pPr>
            <w:r>
              <w:rPr>
                <w:rFonts w:hint="default"/>
                <w:szCs w:val="21"/>
              </w:rPr>
              <w:t>合计</w:t>
            </w:r>
          </w:p>
        </w:tc>
        <w:tc>
          <w:tcPr>
            <w:tcW w:w="617" w:type="pct"/>
            <w:vAlign w:val="center"/>
          </w:tcPr>
          <w:p w14:paraId="71FECAD5" w14:textId="77777777" w:rsidR="003E78AB" w:rsidRDefault="00010BF9">
            <w:pPr>
              <w:pStyle w:val="aff4"/>
              <w:rPr>
                <w:rFonts w:hint="default"/>
                <w:szCs w:val="21"/>
              </w:rPr>
            </w:pPr>
            <w:r>
              <w:rPr>
                <w:rFonts w:hint="default"/>
                <w:szCs w:val="21"/>
              </w:rPr>
              <w:t>/</w:t>
            </w:r>
          </w:p>
        </w:tc>
        <w:tc>
          <w:tcPr>
            <w:tcW w:w="689" w:type="pct"/>
            <w:vAlign w:val="center"/>
          </w:tcPr>
          <w:p w14:paraId="56B833CE" w14:textId="77777777" w:rsidR="003E78AB" w:rsidRDefault="00010BF9">
            <w:pPr>
              <w:pStyle w:val="aff4"/>
              <w:rPr>
                <w:rFonts w:hint="default"/>
                <w:szCs w:val="21"/>
              </w:rPr>
            </w:pPr>
            <w:r>
              <w:rPr>
                <w:rFonts w:hint="default"/>
                <w:szCs w:val="21"/>
              </w:rPr>
              <w:t>/</w:t>
            </w:r>
          </w:p>
        </w:tc>
        <w:tc>
          <w:tcPr>
            <w:tcW w:w="1162" w:type="pct"/>
            <w:vAlign w:val="center"/>
          </w:tcPr>
          <w:p w14:paraId="73A84B5C" w14:textId="77777777" w:rsidR="003E78AB" w:rsidRDefault="00010BF9">
            <w:pPr>
              <w:pStyle w:val="aff4"/>
              <w:rPr>
                <w:rFonts w:hint="default"/>
                <w:szCs w:val="21"/>
              </w:rPr>
            </w:pPr>
            <w:r>
              <w:rPr>
                <w:rFonts w:hint="default"/>
                <w:szCs w:val="21"/>
              </w:rPr>
              <w:t>/</w:t>
            </w:r>
          </w:p>
        </w:tc>
        <w:tc>
          <w:tcPr>
            <w:tcW w:w="688" w:type="pct"/>
            <w:vAlign w:val="center"/>
          </w:tcPr>
          <w:p w14:paraId="1A600D59" w14:textId="77777777" w:rsidR="003E78AB" w:rsidRDefault="00010BF9">
            <w:pPr>
              <w:pStyle w:val="aff4"/>
              <w:rPr>
                <w:rFonts w:hint="default"/>
                <w:szCs w:val="21"/>
              </w:rPr>
            </w:pPr>
            <w:r>
              <w:rPr>
                <w:rFonts w:hint="default"/>
                <w:szCs w:val="21"/>
              </w:rPr>
              <w:t>/</w:t>
            </w:r>
          </w:p>
        </w:tc>
        <w:tc>
          <w:tcPr>
            <w:tcW w:w="713" w:type="pct"/>
            <w:vAlign w:val="bottom"/>
          </w:tcPr>
          <w:p w14:paraId="71ECCBCC" w14:textId="77777777" w:rsidR="003E78AB" w:rsidRDefault="00010BF9">
            <w:pPr>
              <w:pStyle w:val="aff4"/>
              <w:rPr>
                <w:rFonts w:hint="default"/>
                <w:szCs w:val="21"/>
              </w:rPr>
            </w:pPr>
            <w:r>
              <w:rPr>
                <w:szCs w:val="21"/>
              </w:rPr>
              <w:t xml:space="preserve">1604.42 </w:t>
            </w:r>
          </w:p>
        </w:tc>
      </w:tr>
    </w:tbl>
    <w:p w14:paraId="28FEF76F"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3.6.5</w:t>
      </w:r>
      <w:r>
        <w:rPr>
          <w:rFonts w:cs="Times New Roman"/>
          <w:sz w:val="28"/>
          <w:szCs w:val="28"/>
        </w:rPr>
        <w:t>减污降碳措施分析</w:t>
      </w:r>
    </w:p>
    <w:p w14:paraId="586719B7" w14:textId="77777777" w:rsidR="003E78AB" w:rsidRDefault="00010BF9">
      <w:pPr>
        <w:ind w:firstLine="480"/>
        <w:rPr>
          <w:bCs/>
          <w:kern w:val="2"/>
        </w:rPr>
      </w:pPr>
      <w:r>
        <w:rPr>
          <w:bCs/>
          <w:kern w:val="2"/>
        </w:rPr>
        <w:t>项目从厂内外运输、工艺技术、节能设备和能源及碳排放管理等方面均采取了一系列减污降碳措施，具体如下：</w:t>
      </w:r>
    </w:p>
    <w:p w14:paraId="06526AC2" w14:textId="77777777" w:rsidR="003E78AB" w:rsidRDefault="00010BF9">
      <w:pPr>
        <w:pStyle w:val="5"/>
        <w:keepNext w:val="0"/>
        <w:keepLines w:val="0"/>
        <w:ind w:firstLine="482"/>
        <w:rPr>
          <w:sz w:val="24"/>
        </w:rPr>
      </w:pPr>
      <w:r>
        <w:rPr>
          <w:rFonts w:hint="eastAsia"/>
          <w:sz w:val="24"/>
        </w:rPr>
        <w:t>1.</w:t>
      </w:r>
      <w:r>
        <w:rPr>
          <w:sz w:val="24"/>
        </w:rPr>
        <w:t>厂内外运输减污降碳措施分析</w:t>
      </w:r>
    </w:p>
    <w:p w14:paraId="22D64FD2" w14:textId="77777777" w:rsidR="003E78AB" w:rsidRDefault="00010BF9">
      <w:pPr>
        <w:ind w:firstLine="480"/>
        <w:rPr>
          <w:bCs/>
          <w:kern w:val="2"/>
        </w:rPr>
      </w:pPr>
      <w:r>
        <w:rPr>
          <w:bCs/>
          <w:kern w:val="2"/>
        </w:rPr>
        <w:t>①</w:t>
      </w:r>
      <w:r>
        <w:rPr>
          <w:bCs/>
          <w:kern w:val="2"/>
        </w:rPr>
        <w:t>项目在总图布置时，根据工艺生产的需要，按照工艺流向布置，物料顺行，合理分配运输量，减少物流，减少折返、迂回以及货物的重复装卸和搬运，减少厂内运输货物周转量，缩短运输距离，从而减少厂区内运输车辆、非道路移动机械等移动设备燃烧产生的</w:t>
      </w:r>
      <w:r>
        <w:rPr>
          <w:bCs/>
          <w:kern w:val="2"/>
        </w:rPr>
        <w:t>CO</w:t>
      </w:r>
      <w:r>
        <w:rPr>
          <w:bCs/>
          <w:kern w:val="2"/>
          <w:vertAlign w:val="subscript"/>
        </w:rPr>
        <w:t>2</w:t>
      </w:r>
      <w:r>
        <w:rPr>
          <w:bCs/>
          <w:kern w:val="2"/>
        </w:rPr>
        <w:t>排放量。</w:t>
      </w:r>
    </w:p>
    <w:p w14:paraId="12C0FFBD" w14:textId="77777777" w:rsidR="003E78AB" w:rsidRDefault="00010BF9">
      <w:pPr>
        <w:ind w:firstLine="480"/>
        <w:rPr>
          <w:bCs/>
          <w:kern w:val="2"/>
        </w:rPr>
      </w:pPr>
      <w:r>
        <w:rPr>
          <w:bCs/>
          <w:kern w:val="2"/>
        </w:rPr>
        <w:t>②</w:t>
      </w:r>
      <w:r>
        <w:rPr>
          <w:bCs/>
          <w:kern w:val="2"/>
        </w:rPr>
        <w:t>工艺设备和建构筑物合理布局，水泵房、变配电设施等均设置在负荷中心，减少电力等能源输送损耗，减少电力隐含的</w:t>
      </w:r>
      <w:r>
        <w:rPr>
          <w:bCs/>
          <w:kern w:val="2"/>
        </w:rPr>
        <w:t>CO</w:t>
      </w:r>
      <w:r>
        <w:rPr>
          <w:bCs/>
          <w:kern w:val="2"/>
          <w:vertAlign w:val="subscript"/>
        </w:rPr>
        <w:t>2</w:t>
      </w:r>
      <w:r>
        <w:rPr>
          <w:bCs/>
          <w:kern w:val="2"/>
        </w:rPr>
        <w:t>排放量。</w:t>
      </w:r>
    </w:p>
    <w:p w14:paraId="111F9DFA" w14:textId="77777777" w:rsidR="003E78AB" w:rsidRDefault="00010BF9">
      <w:pPr>
        <w:ind w:firstLine="480"/>
        <w:rPr>
          <w:bCs/>
          <w:kern w:val="2"/>
        </w:rPr>
      </w:pPr>
      <w:r>
        <w:rPr>
          <w:bCs/>
          <w:kern w:val="2"/>
        </w:rPr>
        <w:t>③</w:t>
      </w:r>
      <w:r>
        <w:rPr>
          <w:bCs/>
          <w:kern w:val="2"/>
        </w:rPr>
        <w:t>采用清洁运输方式，公路运输采用新能源汽车和国六排放标准的汽车。</w:t>
      </w:r>
    </w:p>
    <w:p w14:paraId="04FC28A9" w14:textId="77777777" w:rsidR="003E78AB" w:rsidRDefault="00010BF9">
      <w:pPr>
        <w:pStyle w:val="5"/>
        <w:keepNext w:val="0"/>
        <w:keepLines w:val="0"/>
        <w:ind w:firstLine="482"/>
        <w:rPr>
          <w:sz w:val="24"/>
        </w:rPr>
      </w:pPr>
      <w:r>
        <w:rPr>
          <w:rFonts w:hint="eastAsia"/>
          <w:sz w:val="24"/>
        </w:rPr>
        <w:t>2.</w:t>
      </w:r>
      <w:r>
        <w:rPr>
          <w:sz w:val="24"/>
        </w:rPr>
        <w:t>电气设施减污降碳措施</w:t>
      </w:r>
    </w:p>
    <w:p w14:paraId="58B08EA5" w14:textId="77777777" w:rsidR="003E78AB" w:rsidRDefault="00010BF9">
      <w:pPr>
        <w:ind w:firstLine="480"/>
        <w:rPr>
          <w:bCs/>
          <w:kern w:val="2"/>
        </w:rPr>
      </w:pPr>
      <w:r>
        <w:rPr>
          <w:bCs/>
          <w:kern w:val="2"/>
        </w:rPr>
        <w:t>项目在电气设备设施上采用了多种节能措施，从而间接减少了电力隐含的</w:t>
      </w:r>
      <w:r>
        <w:rPr>
          <w:bCs/>
          <w:kern w:val="2"/>
        </w:rPr>
        <w:t>CO</w:t>
      </w:r>
      <w:r>
        <w:rPr>
          <w:bCs/>
          <w:kern w:val="2"/>
          <w:vertAlign w:val="subscript"/>
        </w:rPr>
        <w:t>2</w:t>
      </w:r>
      <w:r>
        <w:rPr>
          <w:bCs/>
          <w:kern w:val="2"/>
        </w:rPr>
        <w:t>排放量。具体措施主要有：</w:t>
      </w:r>
    </w:p>
    <w:p w14:paraId="085D3313" w14:textId="77777777" w:rsidR="003E78AB" w:rsidRDefault="00010BF9">
      <w:pPr>
        <w:ind w:firstLine="480"/>
        <w:rPr>
          <w:bCs/>
          <w:kern w:val="2"/>
        </w:rPr>
      </w:pPr>
      <w:r>
        <w:rPr>
          <w:bCs/>
          <w:kern w:val="2"/>
        </w:rPr>
        <w:t>①</w:t>
      </w:r>
      <w:r>
        <w:rPr>
          <w:bCs/>
          <w:kern w:val="2"/>
        </w:rPr>
        <w:t>根据项目用电性质、用电容量等选择合理的供电电压和供电方式，有效减少电能损耗。</w:t>
      </w:r>
    </w:p>
    <w:p w14:paraId="7A7D1F4A" w14:textId="77777777" w:rsidR="003E78AB" w:rsidRDefault="00010BF9">
      <w:pPr>
        <w:ind w:firstLine="480"/>
        <w:rPr>
          <w:bCs/>
          <w:kern w:val="2"/>
        </w:rPr>
      </w:pPr>
      <w:r>
        <w:rPr>
          <w:bCs/>
          <w:kern w:val="2"/>
        </w:rPr>
        <w:t>②</w:t>
      </w:r>
      <w:r>
        <w:rPr>
          <w:bCs/>
          <w:kern w:val="2"/>
        </w:rPr>
        <w:t>选用节能型干式变压器，能效等级为</w:t>
      </w:r>
      <w:r>
        <w:rPr>
          <w:bCs/>
          <w:kern w:val="2"/>
        </w:rPr>
        <w:t>1</w:t>
      </w:r>
      <w:r>
        <w:rPr>
          <w:bCs/>
          <w:kern w:val="2"/>
        </w:rPr>
        <w:t>级，具有低损耗（空载和负载损耗相对较低）、维护方便等显著特点。</w:t>
      </w:r>
    </w:p>
    <w:p w14:paraId="2D264D59" w14:textId="77777777" w:rsidR="003E78AB" w:rsidRDefault="00010BF9">
      <w:pPr>
        <w:ind w:firstLine="480"/>
        <w:rPr>
          <w:bCs/>
          <w:kern w:val="2"/>
        </w:rPr>
      </w:pPr>
      <w:r>
        <w:rPr>
          <w:bCs/>
          <w:kern w:val="2"/>
        </w:rPr>
        <w:t>③</w:t>
      </w:r>
      <w:r>
        <w:rPr>
          <w:bCs/>
          <w:kern w:val="2"/>
        </w:rPr>
        <w:t>负载变化较大的风机、泵类采用变频器调速控制，进一步降低能耗。</w:t>
      </w:r>
    </w:p>
    <w:p w14:paraId="317225BA" w14:textId="77777777" w:rsidR="003E78AB" w:rsidRDefault="00010BF9">
      <w:pPr>
        <w:pStyle w:val="5"/>
        <w:keepNext w:val="0"/>
        <w:keepLines w:val="0"/>
        <w:ind w:firstLine="482"/>
        <w:rPr>
          <w:sz w:val="24"/>
        </w:rPr>
      </w:pPr>
      <w:r>
        <w:rPr>
          <w:rFonts w:hint="eastAsia"/>
          <w:sz w:val="24"/>
        </w:rPr>
        <w:t>3.</w:t>
      </w:r>
      <w:r>
        <w:rPr>
          <w:sz w:val="24"/>
        </w:rPr>
        <w:t>管理减污降碳措施</w:t>
      </w:r>
    </w:p>
    <w:p w14:paraId="031E149C" w14:textId="77777777" w:rsidR="003E78AB" w:rsidRDefault="00010BF9">
      <w:pPr>
        <w:ind w:firstLine="480"/>
        <w:rPr>
          <w:bCs/>
          <w:kern w:val="2"/>
        </w:rPr>
      </w:pPr>
      <w:r>
        <w:rPr>
          <w:bCs/>
          <w:kern w:val="2"/>
        </w:rPr>
        <w:t>①</w:t>
      </w:r>
      <w:r>
        <w:rPr>
          <w:bCs/>
          <w:kern w:val="2"/>
        </w:rPr>
        <w:t>能源及碳排放管理及制度</w:t>
      </w:r>
    </w:p>
    <w:p w14:paraId="34095574" w14:textId="77777777" w:rsidR="003E78AB" w:rsidRDefault="00010BF9">
      <w:pPr>
        <w:ind w:firstLine="480"/>
        <w:rPr>
          <w:bCs/>
          <w:kern w:val="2"/>
        </w:rPr>
      </w:pPr>
      <w:r>
        <w:rPr>
          <w:bCs/>
          <w:kern w:val="2"/>
        </w:rPr>
        <w:t>要求建设单位建立企业温室气体排放报告的质量保证和文件存档制度，包括：</w:t>
      </w:r>
    </w:p>
    <w:p w14:paraId="65200022" w14:textId="77777777" w:rsidR="003E78AB" w:rsidRDefault="00010BF9">
      <w:pPr>
        <w:ind w:firstLine="480"/>
        <w:rPr>
          <w:bCs/>
          <w:kern w:val="2"/>
        </w:rPr>
      </w:pPr>
      <w:r>
        <w:rPr>
          <w:bCs/>
          <w:kern w:val="2"/>
        </w:rPr>
        <w:t>a</w:t>
      </w:r>
      <w:r>
        <w:rPr>
          <w:bCs/>
          <w:kern w:val="2"/>
        </w:rPr>
        <w:t>、指定专门人员负责企业温室气体排放核算和报告工作；</w:t>
      </w:r>
    </w:p>
    <w:p w14:paraId="17B203A7" w14:textId="77777777" w:rsidR="003E78AB" w:rsidRDefault="00010BF9">
      <w:pPr>
        <w:ind w:firstLine="480"/>
        <w:rPr>
          <w:bCs/>
          <w:kern w:val="2"/>
        </w:rPr>
      </w:pPr>
      <w:r>
        <w:rPr>
          <w:bCs/>
          <w:kern w:val="2"/>
        </w:rPr>
        <w:t>b</w:t>
      </w:r>
      <w:r>
        <w:rPr>
          <w:bCs/>
          <w:kern w:val="2"/>
        </w:rPr>
        <w:t>、建立健全企业温室气体排放监测计划。定期监测主要燃料的低位发热量和含碳量、关键原材料和产品的含碳量，以及重点燃烧设备的碳氧化率；</w:t>
      </w:r>
    </w:p>
    <w:p w14:paraId="2342D557" w14:textId="77777777" w:rsidR="003E78AB" w:rsidRDefault="00010BF9">
      <w:pPr>
        <w:ind w:firstLine="480"/>
        <w:rPr>
          <w:bCs/>
          <w:kern w:val="2"/>
        </w:rPr>
      </w:pPr>
      <w:r>
        <w:rPr>
          <w:bCs/>
          <w:kern w:val="2"/>
        </w:rPr>
        <w:t>c</w:t>
      </w:r>
      <w:r>
        <w:rPr>
          <w:bCs/>
          <w:kern w:val="2"/>
        </w:rPr>
        <w:t>、建立健全企业温室气体排放和能源消耗台账记录；</w:t>
      </w:r>
    </w:p>
    <w:p w14:paraId="55FF42DF" w14:textId="77777777" w:rsidR="003E78AB" w:rsidRDefault="00010BF9">
      <w:pPr>
        <w:ind w:firstLine="480"/>
        <w:rPr>
          <w:bCs/>
          <w:kern w:val="2"/>
        </w:rPr>
      </w:pPr>
      <w:r>
        <w:rPr>
          <w:bCs/>
          <w:kern w:val="2"/>
        </w:rPr>
        <w:t>d</w:t>
      </w:r>
      <w:r>
        <w:rPr>
          <w:bCs/>
          <w:kern w:val="2"/>
        </w:rPr>
        <w:t>、建立企业温室气体数据和文件保存和归档管理制度；</w:t>
      </w:r>
    </w:p>
    <w:p w14:paraId="3CB53DCD" w14:textId="77777777" w:rsidR="003E78AB" w:rsidRDefault="00010BF9">
      <w:pPr>
        <w:ind w:firstLine="480"/>
        <w:rPr>
          <w:bCs/>
          <w:kern w:val="2"/>
        </w:rPr>
      </w:pPr>
      <w:r>
        <w:rPr>
          <w:bCs/>
          <w:kern w:val="2"/>
        </w:rPr>
        <w:t>e</w:t>
      </w:r>
      <w:r>
        <w:rPr>
          <w:bCs/>
          <w:kern w:val="2"/>
        </w:rPr>
        <w:t>、建立企业温室气体排放报告内部审核制度。</w:t>
      </w:r>
    </w:p>
    <w:p w14:paraId="1010C4AE" w14:textId="77777777" w:rsidR="003E78AB" w:rsidRDefault="00010BF9">
      <w:pPr>
        <w:ind w:firstLine="480"/>
        <w:rPr>
          <w:bCs/>
          <w:kern w:val="2"/>
        </w:rPr>
      </w:pPr>
      <w:r>
        <w:rPr>
          <w:bCs/>
          <w:kern w:val="2"/>
        </w:rPr>
        <w:t>②</w:t>
      </w:r>
      <w:r>
        <w:rPr>
          <w:bCs/>
          <w:kern w:val="2"/>
        </w:rPr>
        <w:t>能源计量管理</w:t>
      </w:r>
    </w:p>
    <w:p w14:paraId="6E560D91" w14:textId="77777777" w:rsidR="003E78AB" w:rsidRDefault="00010BF9">
      <w:pPr>
        <w:ind w:firstLine="480"/>
        <w:rPr>
          <w:bCs/>
          <w:kern w:val="2"/>
        </w:rPr>
      </w:pPr>
      <w:r>
        <w:rPr>
          <w:rFonts w:hint="eastAsia"/>
          <w:bCs/>
          <w:kern w:val="2"/>
        </w:rPr>
        <w:t>星辰新能</w:t>
      </w:r>
      <w:r>
        <w:rPr>
          <w:rFonts w:hint="eastAsia"/>
          <w:bCs/>
          <w:kern w:val="2"/>
        </w:rPr>
        <w:t>(</w:t>
      </w:r>
      <w:r>
        <w:rPr>
          <w:rFonts w:hint="eastAsia"/>
          <w:bCs/>
          <w:kern w:val="2"/>
        </w:rPr>
        <w:t>哈密</w:t>
      </w:r>
      <w:r>
        <w:rPr>
          <w:rFonts w:hint="eastAsia"/>
          <w:bCs/>
          <w:kern w:val="2"/>
        </w:rPr>
        <w:t>)</w:t>
      </w:r>
      <w:r>
        <w:rPr>
          <w:rFonts w:hint="eastAsia"/>
          <w:bCs/>
          <w:kern w:val="2"/>
        </w:rPr>
        <w:t>科技有限公司</w:t>
      </w:r>
      <w:r>
        <w:rPr>
          <w:rFonts w:hint="eastAsia"/>
          <w:bCs/>
          <w:kern w:val="2"/>
        </w:rPr>
        <w:t>设立</w:t>
      </w:r>
      <w:r>
        <w:rPr>
          <w:bCs/>
          <w:kern w:val="2"/>
        </w:rPr>
        <w:t>安全环保部负责贯彻执行上级有关规定，加强管理、统一量值，公司制定《计量管理制度》，对相关用能点的计量器具配备情况进行强制要求，还对计量技术档案管理、计量器具流转制度、计量器具周期检定制度等作出明确规定，并对能源计量器具的精度和检测率提出了明确的要求。</w:t>
      </w:r>
    </w:p>
    <w:p w14:paraId="76536304" w14:textId="77777777" w:rsidR="003E78AB" w:rsidRDefault="00010BF9">
      <w:pPr>
        <w:ind w:firstLine="480"/>
        <w:rPr>
          <w:bCs/>
          <w:kern w:val="2"/>
        </w:rPr>
      </w:pPr>
      <w:r>
        <w:rPr>
          <w:bCs/>
          <w:kern w:val="2"/>
        </w:rPr>
        <w:t>③</w:t>
      </w:r>
      <w:r>
        <w:rPr>
          <w:bCs/>
          <w:kern w:val="2"/>
        </w:rPr>
        <w:t>能源统计管理</w:t>
      </w:r>
    </w:p>
    <w:p w14:paraId="780A8DA8" w14:textId="77777777" w:rsidR="003E78AB" w:rsidRDefault="00010BF9">
      <w:pPr>
        <w:ind w:firstLine="480"/>
        <w:rPr>
          <w:bCs/>
          <w:kern w:val="2"/>
        </w:rPr>
      </w:pPr>
      <w:r>
        <w:rPr>
          <w:rFonts w:hint="eastAsia"/>
          <w:bCs/>
          <w:kern w:val="2"/>
        </w:rPr>
        <w:t>星辰新能</w:t>
      </w:r>
      <w:r>
        <w:rPr>
          <w:rFonts w:hint="eastAsia"/>
          <w:bCs/>
          <w:kern w:val="2"/>
        </w:rPr>
        <w:t>(</w:t>
      </w:r>
      <w:r>
        <w:rPr>
          <w:rFonts w:hint="eastAsia"/>
          <w:bCs/>
          <w:kern w:val="2"/>
        </w:rPr>
        <w:t>哈密</w:t>
      </w:r>
      <w:r>
        <w:rPr>
          <w:rFonts w:hint="eastAsia"/>
          <w:bCs/>
          <w:kern w:val="2"/>
        </w:rPr>
        <w:t>)</w:t>
      </w:r>
      <w:r>
        <w:rPr>
          <w:rFonts w:hint="eastAsia"/>
          <w:bCs/>
          <w:kern w:val="2"/>
        </w:rPr>
        <w:t>科技有限公司</w:t>
      </w:r>
      <w:r>
        <w:rPr>
          <w:bCs/>
          <w:kern w:val="2"/>
        </w:rPr>
        <w:t>对各部门能源消耗进行统计，建立能源消耗平衡表，从而提出技术上和管理上的节能改进措施，不断提高能源管理水平。制定先进的、合理的能耗定额，确保定额考核的严肃性和科学性。公</w:t>
      </w:r>
      <w:r>
        <w:rPr>
          <w:bCs/>
          <w:kern w:val="2"/>
        </w:rPr>
        <w:t>司制定《能源统计管理制度》，该制度规定由安全环保部建立能源统计台账，定期开展能源消耗统计、分析、核查工作，并将统计数据按要求上报上级节能主管部门。规定各种能源原始记录要完整、齐全，统计数据要真实、准确、完整、及时，同时为企业碳排放活动水平统计提供依据。</w:t>
      </w:r>
    </w:p>
    <w:p w14:paraId="47E953F3" w14:textId="77777777" w:rsidR="003E78AB" w:rsidRDefault="00010BF9">
      <w:pPr>
        <w:pStyle w:val="5"/>
        <w:keepNext w:val="0"/>
        <w:keepLines w:val="0"/>
        <w:ind w:firstLine="482"/>
        <w:rPr>
          <w:sz w:val="24"/>
        </w:rPr>
      </w:pPr>
      <w:r>
        <w:rPr>
          <w:sz w:val="24"/>
        </w:rPr>
        <w:t>4</w:t>
      </w:r>
      <w:r>
        <w:rPr>
          <w:rFonts w:hint="eastAsia"/>
          <w:sz w:val="24"/>
        </w:rPr>
        <w:t>.</w:t>
      </w:r>
      <w:r>
        <w:rPr>
          <w:sz w:val="24"/>
        </w:rPr>
        <w:t>减污降碳措施小结</w:t>
      </w:r>
    </w:p>
    <w:p w14:paraId="5D467D19" w14:textId="77777777" w:rsidR="003E78AB" w:rsidRDefault="00010BF9">
      <w:pPr>
        <w:ind w:firstLine="480"/>
      </w:pPr>
      <w:r>
        <w:rPr>
          <w:bCs/>
          <w:kern w:val="2"/>
        </w:rPr>
        <w:t>项目在厂内外运输、节能设备和管理等方面均采用了当前国内较成熟、先进的减污降碳措施。此外，根据工程分析章节清洁生产水平分析，项目能耗达到了国内先进水平。综上分析，项目减污降碳措施整体可行。</w:t>
      </w:r>
      <w:bookmarkEnd w:id="225"/>
      <w:bookmarkEnd w:id="226"/>
      <w:bookmarkEnd w:id="227"/>
      <w:bookmarkEnd w:id="228"/>
      <w:bookmarkEnd w:id="229"/>
      <w:bookmarkEnd w:id="230"/>
    </w:p>
    <w:p w14:paraId="743A1087" w14:textId="77777777" w:rsidR="003E78AB" w:rsidRDefault="00010BF9">
      <w:pPr>
        <w:pStyle w:val="24"/>
        <w:keepNext w:val="0"/>
        <w:keepLines w:val="0"/>
        <w:topLinePunct/>
        <w:spacing w:before="156"/>
        <w:rPr>
          <w:rFonts w:cs="Times New Roman"/>
        </w:rPr>
      </w:pPr>
      <w:bookmarkStart w:id="269" w:name="_Toc28304"/>
      <w:r>
        <w:rPr>
          <w:rFonts w:cs="Times New Roman" w:hint="eastAsia"/>
        </w:rPr>
        <w:t>3.7</w:t>
      </w:r>
      <w:r>
        <w:rPr>
          <w:rFonts w:cs="Times New Roman" w:hint="eastAsia"/>
        </w:rPr>
        <w:t>总量控制</w:t>
      </w:r>
      <w:bookmarkEnd w:id="269"/>
    </w:p>
    <w:p w14:paraId="7299132F" w14:textId="77777777" w:rsidR="003E78AB" w:rsidRDefault="00010BF9">
      <w:pPr>
        <w:ind w:firstLine="480"/>
      </w:pPr>
      <w:r>
        <w:rPr>
          <w:rFonts w:hint="eastAsia"/>
        </w:rPr>
        <w:t>污染物排放总量控制是可持续发展战</w:t>
      </w:r>
      <w:r>
        <w:rPr>
          <w:rFonts w:hint="eastAsia"/>
        </w:rPr>
        <w:t>略的要求，是控制污染，使国民经济持续、稳定发展的有效手段。</w:t>
      </w:r>
    </w:p>
    <w:p w14:paraId="7581F3EC" w14:textId="77777777" w:rsidR="003E78AB" w:rsidRDefault="00010BF9">
      <w:pPr>
        <w:ind w:firstLine="480"/>
      </w:pPr>
      <w:r>
        <w:rPr>
          <w:rFonts w:hint="eastAsia"/>
        </w:rPr>
        <w:t>为了适应我国改革开放和经济建设快速发展的需要，做到经济发展和环境保护协调并进，单靠控制污染物排放浓度的措施，不能有效遏制环境质量的恶化趋势。对污染源的控制，不仅要求污染物排放浓度达标排放，还必须控制污染物的排放总量。</w:t>
      </w:r>
    </w:p>
    <w:p w14:paraId="15779CB3" w14:textId="77777777" w:rsidR="003E78AB" w:rsidRDefault="00010BF9">
      <w:pPr>
        <w:pStyle w:val="31"/>
        <w:keepNext w:val="0"/>
        <w:keepLines w:val="0"/>
        <w:topLinePunct/>
        <w:spacing w:before="156"/>
      </w:pPr>
      <w:r>
        <w:rPr>
          <w:rFonts w:hint="eastAsia"/>
        </w:rPr>
        <w:t>3.7.1</w:t>
      </w:r>
      <w:r>
        <w:rPr>
          <w:rFonts w:hint="eastAsia"/>
        </w:rPr>
        <w:t>总量控制原则</w:t>
      </w:r>
    </w:p>
    <w:p w14:paraId="28C32B29" w14:textId="77777777" w:rsidR="003E78AB" w:rsidRDefault="00010BF9">
      <w:pPr>
        <w:ind w:firstLine="480"/>
      </w:pPr>
      <w:r>
        <w:rPr>
          <w:rFonts w:hint="eastAsia"/>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w:t>
      </w:r>
      <w:r>
        <w:rPr>
          <w:rFonts w:hint="eastAsia"/>
        </w:rPr>
        <w:t>境管理要求等因素的基础上，结合项目实际条件和控制措施的经济技术可行性进行。</w:t>
      </w:r>
    </w:p>
    <w:p w14:paraId="625B9D35" w14:textId="77777777" w:rsidR="003E78AB" w:rsidRDefault="00010BF9">
      <w:pPr>
        <w:ind w:firstLine="480"/>
      </w:pPr>
      <w:r>
        <w:rPr>
          <w:rFonts w:hint="eastAsia"/>
        </w:rPr>
        <w:t>根据国家当前的产业政策和环保技术政策，制定本项目污染物总量控制原则和方法，提出污染物总量控制思路：</w:t>
      </w:r>
    </w:p>
    <w:p w14:paraId="6FAAE7DF" w14:textId="77777777" w:rsidR="003E78AB" w:rsidRDefault="00010BF9">
      <w:pPr>
        <w:ind w:firstLine="480"/>
      </w:pPr>
      <w:r>
        <w:rPr>
          <w:rFonts w:hint="eastAsia"/>
        </w:rPr>
        <w:t>第一：以国家产业政策为指导，分析产品方向的合理性和规模效益水平；</w:t>
      </w:r>
    </w:p>
    <w:p w14:paraId="0A8E4C41" w14:textId="77777777" w:rsidR="003E78AB" w:rsidRDefault="00010BF9">
      <w:pPr>
        <w:ind w:firstLine="480"/>
      </w:pPr>
      <w:r>
        <w:rPr>
          <w:rFonts w:hint="eastAsia"/>
        </w:rPr>
        <w:t>第二：采用全方位总量控制思想，提高资源的综合利用率，选用清洁能源，降低能耗水平，实现清洁生产，将污染尽可能消除在生产过程中；</w:t>
      </w:r>
    </w:p>
    <w:p w14:paraId="100FFF01" w14:textId="77777777" w:rsidR="003E78AB" w:rsidRDefault="00010BF9">
      <w:pPr>
        <w:ind w:firstLine="480"/>
      </w:pPr>
      <w:r>
        <w:rPr>
          <w:rFonts w:hint="eastAsia"/>
        </w:rPr>
        <w:t>第三：强化中、末端控制，降低污染物的排放水平，实现达标排放；</w:t>
      </w:r>
    </w:p>
    <w:p w14:paraId="50B69557" w14:textId="77777777" w:rsidR="003E78AB" w:rsidRDefault="00010BF9">
      <w:pPr>
        <w:ind w:firstLine="480"/>
      </w:pPr>
      <w:r>
        <w:rPr>
          <w:rFonts w:hint="eastAsia"/>
        </w:rPr>
        <w:t>第四：满足地方环境管理要求，参照区域总量控制规划，使项目造成的环境影响低于项目所在</w:t>
      </w:r>
      <w:r>
        <w:rPr>
          <w:rFonts w:hint="eastAsia"/>
        </w:rPr>
        <w:t>地区的环境保护目标控制水平。</w:t>
      </w:r>
    </w:p>
    <w:p w14:paraId="078C0B7E" w14:textId="77777777" w:rsidR="003E78AB" w:rsidRDefault="00010BF9">
      <w:pPr>
        <w:ind w:firstLine="480"/>
      </w:pPr>
      <w:r>
        <w:rPr>
          <w:rFonts w:hint="eastAsia"/>
        </w:rPr>
        <w:t>通过以上分析，最后确定本项目污染物总量控制方案和目标。</w:t>
      </w:r>
    </w:p>
    <w:p w14:paraId="22A18EEE" w14:textId="77777777" w:rsidR="003E78AB" w:rsidRDefault="00010BF9">
      <w:pPr>
        <w:pStyle w:val="31"/>
        <w:keepNext w:val="0"/>
        <w:keepLines w:val="0"/>
        <w:topLinePunct/>
        <w:spacing w:before="156"/>
      </w:pPr>
      <w:r>
        <w:rPr>
          <w:rFonts w:hint="eastAsia"/>
        </w:rPr>
        <w:t>3.7.2</w:t>
      </w:r>
      <w:r>
        <w:rPr>
          <w:rFonts w:hint="eastAsia"/>
        </w:rPr>
        <w:t>总量控制因子</w:t>
      </w:r>
    </w:p>
    <w:p w14:paraId="2AF5161B" w14:textId="77777777" w:rsidR="003E78AB" w:rsidRDefault="00010BF9">
      <w:pPr>
        <w:ind w:firstLine="480"/>
      </w:pPr>
      <w:r>
        <w:rPr>
          <w:rFonts w:hint="eastAsia"/>
        </w:rPr>
        <w:t>结合本项目排污特点、区域环境特征以及当地生态环境部门的要求，本次环评推荐拟建项目的污染物总量控制因子共</w:t>
      </w:r>
      <w:r>
        <w:rPr>
          <w:rFonts w:hint="eastAsia"/>
        </w:rPr>
        <w:t>6</w:t>
      </w:r>
      <w:r>
        <w:rPr>
          <w:rFonts w:hint="eastAsia"/>
        </w:rPr>
        <w:t>项：</w:t>
      </w:r>
    </w:p>
    <w:p w14:paraId="175DD4E4" w14:textId="77777777" w:rsidR="003E78AB" w:rsidRDefault="00010BF9">
      <w:pPr>
        <w:ind w:firstLine="480"/>
      </w:pPr>
      <w:r>
        <w:rPr>
          <w:rFonts w:hint="eastAsia"/>
        </w:rPr>
        <w:t>大气污染物：</w:t>
      </w:r>
      <w:r>
        <w:rPr>
          <w:rFonts w:hint="eastAsia"/>
        </w:rPr>
        <w:t>SO</w:t>
      </w:r>
      <w:r>
        <w:rPr>
          <w:rFonts w:hint="eastAsia"/>
          <w:vertAlign w:val="subscript"/>
        </w:rPr>
        <w:t>2</w:t>
      </w:r>
      <w:r>
        <w:rPr>
          <w:rFonts w:hint="eastAsia"/>
        </w:rPr>
        <w:t>、</w:t>
      </w:r>
      <w:r>
        <w:rPr>
          <w:rFonts w:hint="eastAsia"/>
        </w:rPr>
        <w:t>NOx</w:t>
      </w:r>
      <w:r>
        <w:rPr>
          <w:rFonts w:hint="eastAsia"/>
        </w:rPr>
        <w:t>、挥发性有机物、颗粒物；</w:t>
      </w:r>
    </w:p>
    <w:p w14:paraId="05BCE275" w14:textId="77777777" w:rsidR="003E78AB" w:rsidRDefault="00010BF9">
      <w:pPr>
        <w:ind w:firstLine="480"/>
      </w:pPr>
      <w:r>
        <w:rPr>
          <w:rFonts w:hint="eastAsia"/>
        </w:rPr>
        <w:t>水污染物：</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w:t>
      </w:r>
    </w:p>
    <w:p w14:paraId="3A485BC0" w14:textId="77777777" w:rsidR="003E78AB" w:rsidRDefault="00010BF9">
      <w:pPr>
        <w:pStyle w:val="31"/>
        <w:keepNext w:val="0"/>
        <w:keepLines w:val="0"/>
        <w:topLinePunct/>
        <w:spacing w:before="156"/>
      </w:pPr>
      <w:r>
        <w:rPr>
          <w:rFonts w:hint="eastAsia"/>
        </w:rPr>
        <w:t>3.7.3</w:t>
      </w:r>
      <w:r>
        <w:rPr>
          <w:rFonts w:hint="eastAsia"/>
        </w:rPr>
        <w:t>污染物排放总量控制指标</w:t>
      </w:r>
    </w:p>
    <w:p w14:paraId="04F4A5E7" w14:textId="77777777" w:rsidR="003E78AB" w:rsidRDefault="00010BF9">
      <w:pPr>
        <w:ind w:firstLine="480"/>
      </w:pPr>
      <w:r>
        <w:rPr>
          <w:rFonts w:hint="eastAsia"/>
        </w:rPr>
        <w:t>污染物排放总量控制的目的是要达到区域的环境（质量）目标，对特定的建设项目而言，实行污染物总量控制是为了确保实现所在区域的环境目标，总量控制目标确定的前提条件是“三废”达标排放，环境影响在环境质量标准的限制范围内，尽可能实现清洁生产。</w:t>
      </w:r>
    </w:p>
    <w:p w14:paraId="388D3788" w14:textId="77777777" w:rsidR="003E78AB" w:rsidRDefault="00010BF9">
      <w:pPr>
        <w:ind w:firstLine="480"/>
      </w:pPr>
      <w:r>
        <w:rPr>
          <w:rFonts w:hint="eastAsia"/>
        </w:rPr>
        <w:t>根据本项目生产特点、废气、废水、固废等性质及排放去向，在实现污染物达标排放和环境中污染物浓度达标的前提下，确定污染物排放总量控制指标。</w:t>
      </w:r>
    </w:p>
    <w:p w14:paraId="1C98211E" w14:textId="77777777" w:rsidR="003E78AB" w:rsidRDefault="00010BF9">
      <w:pPr>
        <w:ind w:firstLine="480"/>
      </w:pPr>
      <w:r>
        <w:rPr>
          <w:rFonts w:hint="eastAsia"/>
        </w:rPr>
        <w:t>环境影响分析表明，只要按计划和要求采取一系列污染防治措施后，本项目将实现三废达标排放、在正常生产情况下对周围环境影响不显著，投产运营后，厂区周</w:t>
      </w:r>
      <w:r>
        <w:rPr>
          <w:rFonts w:hint="eastAsia"/>
        </w:rPr>
        <w:t>边环境能够满足环境质量功能要求。</w:t>
      </w:r>
    </w:p>
    <w:p w14:paraId="133B4508" w14:textId="77777777" w:rsidR="003E78AB" w:rsidRDefault="00010BF9">
      <w:pPr>
        <w:ind w:firstLine="480"/>
      </w:pPr>
      <w:r>
        <w:rPr>
          <w:rFonts w:hint="eastAsia"/>
        </w:rPr>
        <w:t>环评推荐总量控制指标如下：</w:t>
      </w:r>
    </w:p>
    <w:p w14:paraId="63D4022B" w14:textId="77777777" w:rsidR="003E78AB" w:rsidRDefault="00010BF9">
      <w:pPr>
        <w:ind w:firstLine="480"/>
      </w:pPr>
      <w:r>
        <w:rPr>
          <w:rFonts w:hint="eastAsia"/>
        </w:rPr>
        <w:t>本项目大气污染物：颗粒物</w:t>
      </w:r>
      <w:r>
        <w:rPr>
          <w:rFonts w:hint="eastAsia"/>
        </w:rPr>
        <w:t xml:space="preserve"> 0.4152t/a</w:t>
      </w:r>
      <w:r>
        <w:rPr>
          <w:rFonts w:hint="eastAsia"/>
        </w:rPr>
        <w:t>、</w:t>
      </w:r>
      <w:r>
        <w:rPr>
          <w:rFonts w:hint="eastAsia"/>
        </w:rPr>
        <w:t>SO</w:t>
      </w:r>
      <w:r>
        <w:rPr>
          <w:rFonts w:hint="eastAsia"/>
          <w:vertAlign w:val="subscript"/>
        </w:rPr>
        <w:t>2</w:t>
      </w:r>
      <w:r>
        <w:rPr>
          <w:rFonts w:hint="eastAsia"/>
        </w:rPr>
        <w:t xml:space="preserve"> 0.1529t/a</w:t>
      </w:r>
      <w:r>
        <w:rPr>
          <w:rFonts w:hint="eastAsia"/>
        </w:rPr>
        <w:t>、</w:t>
      </w:r>
      <w:r>
        <w:rPr>
          <w:rFonts w:hint="eastAsia"/>
        </w:rPr>
        <w:t>NOx 1.0175t/a</w:t>
      </w:r>
      <w:r>
        <w:rPr>
          <w:rFonts w:hint="eastAsia"/>
        </w:rPr>
        <w:t>、</w:t>
      </w:r>
      <w:r>
        <w:rPr>
          <w:rFonts w:hint="eastAsia"/>
        </w:rPr>
        <w:t>VOCs 0.3649t/a</w:t>
      </w:r>
      <w:r>
        <w:rPr>
          <w:rFonts w:hint="eastAsia"/>
        </w:rPr>
        <w:t>。</w:t>
      </w:r>
    </w:p>
    <w:p w14:paraId="576429A6" w14:textId="77777777" w:rsidR="003E78AB" w:rsidRDefault="00010BF9">
      <w:pPr>
        <w:ind w:firstLine="480"/>
      </w:pPr>
      <w:r>
        <w:rPr>
          <w:rFonts w:hint="eastAsia"/>
        </w:rPr>
        <w:t>本项目无生产废水外排，</w:t>
      </w:r>
      <w:r>
        <w:rPr>
          <w:kern w:val="2"/>
        </w:rPr>
        <w:t>工艺废气处理废水经蒸发冷凝后回用</w:t>
      </w:r>
      <w:r>
        <w:rPr>
          <w:rFonts w:hint="eastAsia"/>
          <w:kern w:val="2"/>
        </w:rPr>
        <w:t>于淋洗补水配碱</w:t>
      </w:r>
      <w:r>
        <w:rPr>
          <w:kern w:val="2"/>
        </w:rPr>
        <w:t>，</w:t>
      </w:r>
      <w:r>
        <w:rPr>
          <w:rFonts w:hint="eastAsia"/>
          <w:kern w:val="2"/>
        </w:rPr>
        <w:t>实验废水经生产车间</w:t>
      </w:r>
      <w:r>
        <w:rPr>
          <w:rFonts w:hint="eastAsia"/>
          <w:kern w:val="2"/>
        </w:rPr>
        <w:t>15m</w:t>
      </w:r>
      <w:r>
        <w:rPr>
          <w:rFonts w:hint="eastAsia"/>
          <w:kern w:val="2"/>
          <w:vertAlign w:val="superscript"/>
        </w:rPr>
        <w:t>3</w:t>
      </w:r>
      <w:r>
        <w:rPr>
          <w:rFonts w:hint="eastAsia"/>
          <w:kern w:val="2"/>
        </w:rPr>
        <w:t>电解液事故罐收集后回用于生产，</w:t>
      </w:r>
      <w:r>
        <w:rPr>
          <w:kern w:val="2"/>
        </w:rPr>
        <w:t>地面冲洗水、软水制备及纯水制备排浓水、锅炉排水经厂内污水管道收集，生活污水经预处理后，一并经厂区总排口排入园区污水厂进一步处理。</w:t>
      </w:r>
      <w:r>
        <w:rPr>
          <w:rFonts w:hint="eastAsia"/>
        </w:rPr>
        <w:t>因此无需申请水污染物排放总量。</w:t>
      </w:r>
    </w:p>
    <w:p w14:paraId="389EB313" w14:textId="77777777" w:rsidR="003E78AB" w:rsidRDefault="003E78AB">
      <w:pPr>
        <w:ind w:firstLine="480"/>
        <w:sectPr w:rsidR="003E78AB">
          <w:pgSz w:w="11906" w:h="16838"/>
          <w:pgMar w:top="1440" w:right="1800" w:bottom="1440" w:left="1800" w:header="851" w:footer="992" w:gutter="0"/>
          <w:cols w:space="425"/>
          <w:docGrid w:type="lines" w:linePitch="312"/>
        </w:sectPr>
      </w:pPr>
    </w:p>
    <w:p w14:paraId="3B48BDB7" w14:textId="77777777" w:rsidR="003E78AB" w:rsidRDefault="00010BF9">
      <w:pPr>
        <w:pStyle w:val="10"/>
        <w:keepNext w:val="0"/>
        <w:spacing w:before="120" w:after="120" w:line="520" w:lineRule="exact"/>
        <w:jc w:val="center"/>
        <w:rPr>
          <w:rFonts w:eastAsia="黑体"/>
          <w:bCs/>
          <w:snapToGrid w:val="0"/>
          <w:spacing w:val="2"/>
          <w:kern w:val="44"/>
          <w:sz w:val="35"/>
          <w:szCs w:val="35"/>
        </w:rPr>
      </w:pPr>
      <w:bookmarkStart w:id="270" w:name="_Toc3803"/>
      <w:r>
        <w:rPr>
          <w:rFonts w:eastAsia="黑体" w:hint="eastAsia"/>
          <w:bCs/>
          <w:snapToGrid w:val="0"/>
          <w:spacing w:val="2"/>
          <w:kern w:val="44"/>
          <w:sz w:val="35"/>
          <w:szCs w:val="35"/>
        </w:rPr>
        <w:t>第四章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环境现状调查与评价</w:t>
      </w:r>
      <w:bookmarkEnd w:id="270"/>
    </w:p>
    <w:p w14:paraId="70A2D8D7" w14:textId="77777777" w:rsidR="003E78AB" w:rsidRDefault="00010BF9">
      <w:pPr>
        <w:pStyle w:val="24"/>
        <w:keepNext w:val="0"/>
        <w:keepLines w:val="0"/>
        <w:topLinePunct/>
        <w:spacing w:before="120"/>
        <w:rPr>
          <w:rFonts w:cs="Times New Roman"/>
        </w:rPr>
      </w:pPr>
      <w:bookmarkStart w:id="271" w:name="_Toc21304"/>
      <w:bookmarkStart w:id="272" w:name="_Toc20148"/>
      <w:bookmarkStart w:id="273" w:name="_Toc28129"/>
      <w:bookmarkStart w:id="274" w:name="_Toc31399"/>
      <w:bookmarkStart w:id="275" w:name="_Toc196210701"/>
      <w:bookmarkStart w:id="276" w:name="_Toc193543229"/>
      <w:bookmarkStart w:id="277" w:name="_Toc193260072"/>
      <w:bookmarkStart w:id="278" w:name="_Toc214704885"/>
      <w:r>
        <w:rPr>
          <w:rFonts w:cs="Times New Roman"/>
        </w:rPr>
        <w:t>4.1</w:t>
      </w:r>
      <w:r>
        <w:rPr>
          <w:rFonts w:cs="Times New Roman"/>
        </w:rPr>
        <w:t>自然环境概况</w:t>
      </w:r>
      <w:bookmarkEnd w:id="271"/>
      <w:bookmarkEnd w:id="272"/>
      <w:bookmarkEnd w:id="273"/>
      <w:bookmarkEnd w:id="274"/>
    </w:p>
    <w:p w14:paraId="32659543"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4.1.1</w:t>
      </w:r>
      <w:r>
        <w:rPr>
          <w:rFonts w:cs="Times New Roman"/>
          <w:sz w:val="28"/>
          <w:szCs w:val="28"/>
        </w:rPr>
        <w:t>地理位置</w:t>
      </w:r>
      <w:bookmarkEnd w:id="275"/>
      <w:bookmarkEnd w:id="276"/>
      <w:bookmarkEnd w:id="277"/>
      <w:bookmarkEnd w:id="278"/>
    </w:p>
    <w:p w14:paraId="7E1BE734" w14:textId="77777777" w:rsidR="003E78AB" w:rsidRDefault="00010BF9">
      <w:pPr>
        <w:pStyle w:val="aff2"/>
        <w:topLinePunct/>
        <w:spacing w:line="520" w:lineRule="exact"/>
        <w:ind w:firstLine="480"/>
        <w:rPr>
          <w:rFonts w:cs="Times New Roman"/>
          <w:sz w:val="24"/>
          <w:szCs w:val="24"/>
        </w:rPr>
      </w:pPr>
      <w:bookmarkStart w:id="279" w:name="_Toc518697153"/>
      <w:bookmarkStart w:id="280" w:name="_Toc196210702"/>
      <w:bookmarkStart w:id="281" w:name="_Toc193260073"/>
      <w:bookmarkStart w:id="282" w:name="_Toc214704886"/>
      <w:bookmarkStart w:id="283" w:name="_Toc193543230"/>
      <w:r>
        <w:rPr>
          <w:rFonts w:cs="Times New Roman"/>
          <w:sz w:val="24"/>
          <w:szCs w:val="24"/>
        </w:rPr>
        <w:t>哈密市位于新疆维吾尔自治区东部，地理坐标介于东经</w:t>
      </w:r>
      <w:r>
        <w:rPr>
          <w:rFonts w:cs="Times New Roman"/>
          <w:sz w:val="24"/>
          <w:szCs w:val="24"/>
        </w:rPr>
        <w:t>91°08′</w:t>
      </w:r>
      <w:r>
        <w:rPr>
          <w:rFonts w:cs="Times New Roman"/>
          <w:sz w:val="24"/>
          <w:szCs w:val="24"/>
        </w:rPr>
        <w:t>～</w:t>
      </w:r>
      <w:r>
        <w:rPr>
          <w:rFonts w:cs="Times New Roman"/>
          <w:sz w:val="24"/>
          <w:szCs w:val="24"/>
        </w:rPr>
        <w:t>96°23′</w:t>
      </w:r>
      <w:r>
        <w:rPr>
          <w:rFonts w:cs="Times New Roman"/>
          <w:sz w:val="24"/>
          <w:szCs w:val="24"/>
        </w:rPr>
        <w:t>，北纬</w:t>
      </w:r>
      <w:r>
        <w:rPr>
          <w:rFonts w:cs="Times New Roman"/>
          <w:sz w:val="24"/>
          <w:szCs w:val="24"/>
        </w:rPr>
        <w:t>40°43′</w:t>
      </w:r>
      <w:r>
        <w:rPr>
          <w:rFonts w:cs="Times New Roman"/>
          <w:sz w:val="24"/>
          <w:szCs w:val="24"/>
        </w:rPr>
        <w:t>～</w:t>
      </w:r>
      <w:r>
        <w:rPr>
          <w:rFonts w:cs="Times New Roman"/>
          <w:sz w:val="24"/>
          <w:szCs w:val="24"/>
        </w:rPr>
        <w:t>43°43′</w:t>
      </w:r>
      <w:r>
        <w:rPr>
          <w:rFonts w:cs="Times New Roman"/>
          <w:sz w:val="24"/>
          <w:szCs w:val="24"/>
        </w:rPr>
        <w:t>之间。东连甘肃河西走廊，西接吐鲁番地区的鄯善县，北临巴里坤哈萨克自治县和伊吾县，南与巴音郭楞蒙古自治州相连，东北与蒙古人民共和国比邻。市区面积</w:t>
      </w:r>
      <w:r>
        <w:rPr>
          <w:rFonts w:cs="Times New Roman"/>
          <w:sz w:val="24"/>
          <w:szCs w:val="24"/>
        </w:rPr>
        <w:t>27.98km</w:t>
      </w:r>
      <w:r>
        <w:rPr>
          <w:rFonts w:cs="Times New Roman" w:hint="eastAsia"/>
          <w:sz w:val="24"/>
          <w:szCs w:val="24"/>
        </w:rPr>
        <w:t>，</w:t>
      </w:r>
      <w:r>
        <w:rPr>
          <w:rFonts w:cs="Times New Roman"/>
          <w:sz w:val="24"/>
          <w:szCs w:val="24"/>
        </w:rPr>
        <w:t>城区西距乌鲁木齐市</w:t>
      </w:r>
      <w:r>
        <w:rPr>
          <w:rFonts w:cs="Times New Roman"/>
          <w:sz w:val="24"/>
          <w:szCs w:val="24"/>
        </w:rPr>
        <w:t>550km</w:t>
      </w:r>
      <w:r>
        <w:rPr>
          <w:rFonts w:cs="Times New Roman" w:hint="eastAsia"/>
          <w:sz w:val="24"/>
          <w:szCs w:val="24"/>
        </w:rPr>
        <w:t>，</w:t>
      </w:r>
      <w:r>
        <w:rPr>
          <w:rFonts w:cs="Times New Roman"/>
          <w:sz w:val="24"/>
          <w:szCs w:val="24"/>
        </w:rPr>
        <w:t>东距星星峡约</w:t>
      </w:r>
      <w:r>
        <w:rPr>
          <w:rFonts w:cs="Times New Roman"/>
          <w:sz w:val="24"/>
          <w:szCs w:val="24"/>
        </w:rPr>
        <w:t>200km</w:t>
      </w:r>
      <w:r>
        <w:rPr>
          <w:rFonts w:cs="Times New Roman"/>
          <w:sz w:val="24"/>
          <w:szCs w:val="24"/>
        </w:rPr>
        <w:t>。</w:t>
      </w:r>
    </w:p>
    <w:p w14:paraId="0F81BB1E" w14:textId="77777777" w:rsidR="003E78AB" w:rsidRDefault="00010BF9">
      <w:pPr>
        <w:pStyle w:val="aff2"/>
        <w:topLinePunct/>
        <w:spacing w:line="520" w:lineRule="exact"/>
        <w:ind w:firstLine="480"/>
        <w:rPr>
          <w:rFonts w:cs="Times New Roman"/>
          <w:sz w:val="24"/>
          <w:szCs w:val="24"/>
        </w:rPr>
      </w:pPr>
      <w:r>
        <w:rPr>
          <w:rFonts w:cs="Times New Roman"/>
          <w:sz w:val="24"/>
          <w:szCs w:val="24"/>
        </w:rPr>
        <w:t>本项目位于新疆哈密市高新技术产业开发区南部循环经济产业园区中的化工产业区，项目北侧为空地，南侧为友谊大道，东邻松花江路、</w:t>
      </w:r>
      <w:r>
        <w:rPr>
          <w:rFonts w:cs="Times New Roman"/>
          <w:sz w:val="24"/>
          <w:szCs w:val="24"/>
        </w:rPr>
        <w:t>西邻黄河路、北侧</w:t>
      </w:r>
      <w:r>
        <w:rPr>
          <w:rFonts w:cs="Times New Roman"/>
          <w:sz w:val="24"/>
          <w:szCs w:val="24"/>
        </w:rPr>
        <w:t>250m</w:t>
      </w:r>
      <w:r>
        <w:rPr>
          <w:rFonts w:cs="Times New Roman"/>
          <w:sz w:val="24"/>
          <w:szCs w:val="24"/>
        </w:rPr>
        <w:t>为星光大道。项目地理中心坐标：</w:t>
      </w:r>
      <w:r>
        <w:rPr>
          <w:rFonts w:cs="Times New Roman"/>
          <w:sz w:val="24"/>
          <w:szCs w:val="24"/>
        </w:rPr>
        <w:t>93°25′11.500″E</w:t>
      </w:r>
      <w:r>
        <w:rPr>
          <w:rFonts w:cs="Times New Roman"/>
          <w:sz w:val="24"/>
          <w:szCs w:val="24"/>
        </w:rPr>
        <w:t>，</w:t>
      </w:r>
      <w:r>
        <w:rPr>
          <w:rFonts w:cs="Times New Roman"/>
          <w:sz w:val="24"/>
          <w:szCs w:val="24"/>
        </w:rPr>
        <w:t>42°41′35.672″N</w:t>
      </w:r>
      <w:r>
        <w:rPr>
          <w:rFonts w:cs="Times New Roman"/>
          <w:sz w:val="24"/>
          <w:szCs w:val="24"/>
        </w:rPr>
        <w:t>。</w:t>
      </w:r>
    </w:p>
    <w:p w14:paraId="7EF41FDF"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4.1.2</w:t>
      </w:r>
      <w:bookmarkEnd w:id="279"/>
      <w:bookmarkEnd w:id="280"/>
      <w:bookmarkEnd w:id="281"/>
      <w:bookmarkEnd w:id="282"/>
      <w:bookmarkEnd w:id="283"/>
      <w:r>
        <w:rPr>
          <w:rFonts w:cs="Times New Roman"/>
          <w:sz w:val="28"/>
          <w:szCs w:val="28"/>
        </w:rPr>
        <w:t>地形地貌</w:t>
      </w:r>
    </w:p>
    <w:p w14:paraId="7677B421" w14:textId="77777777" w:rsidR="003E78AB" w:rsidRDefault="00010BF9">
      <w:pPr>
        <w:pStyle w:val="aff2"/>
        <w:topLinePunct/>
        <w:spacing w:line="520" w:lineRule="exact"/>
        <w:ind w:firstLine="480"/>
        <w:rPr>
          <w:rFonts w:cs="Times New Roman"/>
          <w:sz w:val="24"/>
          <w:szCs w:val="24"/>
        </w:rPr>
      </w:pPr>
      <w:bookmarkStart w:id="284" w:name="_Toc193543232"/>
      <w:bookmarkStart w:id="285" w:name="_Toc193260075"/>
      <w:bookmarkStart w:id="286" w:name="_Toc214704888"/>
      <w:bookmarkStart w:id="287" w:name="_Toc196210704"/>
      <w:r>
        <w:rPr>
          <w:rFonts w:cs="Times New Roman"/>
          <w:sz w:val="24"/>
          <w:szCs w:val="24"/>
        </w:rPr>
        <w:t>哈密市地处东天山南北麓。东天山是由几条平行山脉和其山间盆地组成的山系，北部以山地为主要特征的东天山余脉；东部、南部则以剥蚀形态为主要特征的高原地带；中部，西部是哈密盆地。哈密市具有</w:t>
      </w:r>
      <w:r>
        <w:rPr>
          <w:rFonts w:cs="Times New Roman"/>
          <w:sz w:val="24"/>
          <w:szCs w:val="24"/>
        </w:rPr>
        <w:t>“</w:t>
      </w:r>
      <w:r>
        <w:rPr>
          <w:rFonts w:cs="Times New Roman"/>
          <w:sz w:val="24"/>
          <w:szCs w:val="24"/>
        </w:rPr>
        <w:t>两山夹一盆</w:t>
      </w:r>
      <w:r>
        <w:rPr>
          <w:rFonts w:cs="Times New Roman"/>
          <w:sz w:val="24"/>
          <w:szCs w:val="24"/>
        </w:rPr>
        <w:t>”</w:t>
      </w:r>
      <w:r>
        <w:rPr>
          <w:rFonts w:cs="Times New Roman"/>
          <w:sz w:val="24"/>
          <w:szCs w:val="24"/>
        </w:rPr>
        <w:t>的地形地貌特点。位于市境内东北部的喀尔里克山主峰，终年不化，海拔</w:t>
      </w:r>
      <w:r>
        <w:rPr>
          <w:rFonts w:cs="Times New Roman"/>
          <w:sz w:val="24"/>
          <w:szCs w:val="24"/>
        </w:rPr>
        <w:t>4886m</w:t>
      </w:r>
      <w:r>
        <w:rPr>
          <w:rFonts w:cs="Times New Roman"/>
          <w:sz w:val="24"/>
          <w:szCs w:val="24"/>
        </w:rPr>
        <w:t>，为全市最高点。市境西部戈壁深处的沙尔湖为哈密盆地的最低处，海拔仅</w:t>
      </w:r>
      <w:r>
        <w:rPr>
          <w:rFonts w:cs="Times New Roman"/>
          <w:sz w:val="24"/>
          <w:szCs w:val="24"/>
        </w:rPr>
        <w:t>53m</w:t>
      </w:r>
      <w:r>
        <w:rPr>
          <w:rFonts w:cs="Times New Roman"/>
          <w:sz w:val="24"/>
          <w:szCs w:val="24"/>
        </w:rPr>
        <w:t>。哈密市地形呈北高南低，总的趋势由东</w:t>
      </w:r>
      <w:r>
        <w:rPr>
          <w:rFonts w:cs="Times New Roman"/>
          <w:sz w:val="24"/>
          <w:szCs w:val="24"/>
        </w:rPr>
        <w:t>北向西南倾斜。哈密市的地貌类型主要包括山地、高原和盆地三种类型。</w:t>
      </w:r>
    </w:p>
    <w:p w14:paraId="69465B95"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1</w:t>
      </w:r>
      <w:r>
        <w:rPr>
          <w:rFonts w:cs="Times New Roman"/>
          <w:sz w:val="24"/>
        </w:rPr>
        <w:t>）山地</w:t>
      </w:r>
    </w:p>
    <w:p w14:paraId="4B345E3C" w14:textId="77777777" w:rsidR="003E78AB" w:rsidRDefault="00010BF9">
      <w:pPr>
        <w:pStyle w:val="aff2"/>
        <w:topLinePunct/>
        <w:spacing w:line="520" w:lineRule="exact"/>
        <w:ind w:firstLine="480"/>
        <w:rPr>
          <w:rFonts w:cs="Times New Roman"/>
          <w:sz w:val="24"/>
        </w:rPr>
      </w:pPr>
      <w:r>
        <w:rPr>
          <w:rFonts w:cs="Times New Roman"/>
          <w:sz w:val="24"/>
        </w:rPr>
        <w:t>哈密市北部天山自西向东横贯全境，绵延起伏</w:t>
      </w:r>
      <w:r>
        <w:rPr>
          <w:rFonts w:cs="Times New Roman"/>
          <w:sz w:val="24"/>
        </w:rPr>
        <w:t>200</w:t>
      </w:r>
      <w:r>
        <w:rPr>
          <w:rFonts w:cs="Times New Roman"/>
          <w:sz w:val="24"/>
        </w:rPr>
        <w:t>余</w:t>
      </w:r>
      <w:r>
        <w:rPr>
          <w:rFonts w:cs="Times New Roman"/>
          <w:sz w:val="24"/>
        </w:rPr>
        <w:t>km</w:t>
      </w:r>
      <w:r>
        <w:rPr>
          <w:rFonts w:cs="Times New Roman"/>
          <w:sz w:val="24"/>
        </w:rPr>
        <w:t>，海拔大体在</w:t>
      </w:r>
      <w:r>
        <w:rPr>
          <w:rFonts w:cs="Times New Roman"/>
          <w:sz w:val="24"/>
        </w:rPr>
        <w:t>1500</w:t>
      </w:r>
      <w:r>
        <w:rPr>
          <w:rFonts w:cs="Times New Roman"/>
          <w:sz w:val="24"/>
        </w:rPr>
        <w:t>～</w:t>
      </w:r>
      <w:r>
        <w:rPr>
          <w:rFonts w:cs="Times New Roman"/>
          <w:sz w:val="24"/>
        </w:rPr>
        <w:t>4886m</w:t>
      </w:r>
      <w:r>
        <w:rPr>
          <w:rFonts w:cs="Times New Roman"/>
          <w:sz w:val="24"/>
        </w:rPr>
        <w:t>之间，喀尔里山主峰托木尔提终年积雪。次为巴尔库山主峰月牙山，海拔</w:t>
      </w:r>
      <w:r>
        <w:rPr>
          <w:rFonts w:cs="Times New Roman"/>
          <w:sz w:val="24"/>
        </w:rPr>
        <w:t>4348m</w:t>
      </w:r>
      <w:r>
        <w:rPr>
          <w:rFonts w:cs="Times New Roman"/>
          <w:sz w:val="24"/>
        </w:rPr>
        <w:t>，从喀尔里克山往东山势逐渐平缓，海拔高度逐次降至</w:t>
      </w:r>
      <w:r>
        <w:rPr>
          <w:rFonts w:cs="Times New Roman"/>
          <w:sz w:val="24"/>
        </w:rPr>
        <w:t>1200m</w:t>
      </w:r>
      <w:r>
        <w:rPr>
          <w:rFonts w:cs="Times New Roman"/>
          <w:sz w:val="24"/>
        </w:rPr>
        <w:t>左右。喀尔里克山山顶平坦，表明很少冰渍。边缘又若干小型冰川。南坡有明显的大断层，山麓露出杂色、青红色的云母花岗岩侵入体。山坡呈现梯级地形和棱角状轮廓。山内峻岭纵横，陡峭刃脊。天山南侧，自西向东有南北向大小山沟</w:t>
      </w:r>
      <w:r>
        <w:rPr>
          <w:rFonts w:cs="Times New Roman"/>
          <w:sz w:val="24"/>
        </w:rPr>
        <w:t>29</w:t>
      </w:r>
      <w:r>
        <w:rPr>
          <w:rFonts w:cs="Times New Roman"/>
          <w:sz w:val="24"/>
        </w:rPr>
        <w:t>条。南北山麓广泛分布着巨大的洪积扇，洪积扇上部半埋着很多低山和丘陵。低山带有稀疏荒漠</w:t>
      </w:r>
      <w:r>
        <w:rPr>
          <w:rFonts w:cs="Times New Roman"/>
          <w:sz w:val="24"/>
        </w:rPr>
        <w:t>植被，高山南坡及中山带呈干草原分布，北坡比较阴湿的地方生长着蔬密不等的西伯利亚落叶松。</w:t>
      </w:r>
    </w:p>
    <w:p w14:paraId="33100E59"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2</w:t>
      </w:r>
      <w:r>
        <w:rPr>
          <w:rFonts w:cs="Times New Roman"/>
          <w:sz w:val="24"/>
        </w:rPr>
        <w:t>）高原</w:t>
      </w:r>
    </w:p>
    <w:p w14:paraId="0A032B0D" w14:textId="77777777" w:rsidR="003E78AB" w:rsidRDefault="00010BF9">
      <w:pPr>
        <w:pStyle w:val="aff2"/>
        <w:topLinePunct/>
        <w:spacing w:line="520" w:lineRule="exact"/>
        <w:ind w:firstLine="480"/>
        <w:rPr>
          <w:rFonts w:cs="Times New Roman"/>
          <w:sz w:val="24"/>
        </w:rPr>
      </w:pPr>
      <w:r>
        <w:rPr>
          <w:rFonts w:cs="Times New Roman"/>
          <w:sz w:val="24"/>
        </w:rPr>
        <w:t>哈密市葛顺戈壁是一个准平原式的高原，位于新疆东南部。北为吐鲁番</w:t>
      </w:r>
      <w:r>
        <w:rPr>
          <w:rFonts w:cs="Times New Roman"/>
          <w:sz w:val="24"/>
        </w:rPr>
        <w:t>―</w:t>
      </w:r>
      <w:r>
        <w:rPr>
          <w:rFonts w:cs="Times New Roman"/>
          <w:sz w:val="24"/>
        </w:rPr>
        <w:t>哈密盆地，南为罗布泊洼地和疏勒河下游谷地。葛顺戈壁大部分就分布在哈密东部</w:t>
      </w:r>
      <w:r>
        <w:rPr>
          <w:rFonts w:cs="Times New Roman" w:hint="eastAsia"/>
          <w:sz w:val="24"/>
        </w:rPr>
        <w:t>和</w:t>
      </w:r>
      <w:r>
        <w:rPr>
          <w:rFonts w:cs="Times New Roman"/>
          <w:sz w:val="24"/>
        </w:rPr>
        <w:t>南部。葛顺戈壁地壳比较稳定，经长期剥蚀形成广阔的准平原。海拔大约</w:t>
      </w:r>
      <w:r>
        <w:rPr>
          <w:rFonts w:cs="Times New Roman"/>
          <w:sz w:val="24"/>
        </w:rPr>
        <w:t>900</w:t>
      </w:r>
      <w:r>
        <w:rPr>
          <w:rFonts w:cs="Times New Roman"/>
          <w:sz w:val="24"/>
        </w:rPr>
        <w:t>～</w:t>
      </w:r>
      <w:r>
        <w:rPr>
          <w:rFonts w:cs="Times New Roman"/>
          <w:sz w:val="24"/>
        </w:rPr>
        <w:t>1000m</w:t>
      </w:r>
      <w:r>
        <w:rPr>
          <w:rFonts w:cs="Times New Roman"/>
          <w:sz w:val="24"/>
        </w:rPr>
        <w:t>之间。其间没有高大山地，大部分地区相对高度不足</w:t>
      </w:r>
      <w:r>
        <w:rPr>
          <w:rFonts w:cs="Times New Roman"/>
          <w:sz w:val="24"/>
        </w:rPr>
        <w:t>50m</w:t>
      </w:r>
      <w:r>
        <w:rPr>
          <w:rFonts w:cs="Times New Roman"/>
          <w:sz w:val="24"/>
        </w:rPr>
        <w:t>，地形垂直分布现象不明显。葛顺戈壁的剥蚀形态为本区的地貌特征。本区气候特别干旱，是世界上大陆性气候最强烈的地区之一。地下水和地表水都很缺乏，</w:t>
      </w:r>
      <w:r>
        <w:rPr>
          <w:rFonts w:cs="Times New Roman"/>
          <w:sz w:val="24"/>
        </w:rPr>
        <w:t>到处呈现着干旱荒漠景观。封闭的盆地里的一些向心式的干涸河床，偶然在暴雨之后汇集一些暂时性的水流。由于风化的结果，山坡山麓覆盖着薄层碎石块，或被剥蚀成山麓面。少数由坚硬岩石形成的岛山突出在剥蚀平原上。本地区大部分地方终年盛行东北风，山坡风化物质经吹扬后，只留有粗大的砾石。在山谷里往往堆有薄层流沙，有的形成较大沙丘。</w:t>
      </w:r>
    </w:p>
    <w:p w14:paraId="36974679" w14:textId="77777777" w:rsidR="003E78AB" w:rsidRDefault="00010BF9">
      <w:pPr>
        <w:pStyle w:val="aff2"/>
        <w:topLinePunct/>
        <w:spacing w:line="520" w:lineRule="exact"/>
        <w:ind w:firstLine="480"/>
        <w:rPr>
          <w:rFonts w:cs="Times New Roman"/>
          <w:sz w:val="24"/>
        </w:rPr>
      </w:pPr>
      <w:r>
        <w:rPr>
          <w:rFonts w:cs="Times New Roman"/>
          <w:sz w:val="24"/>
        </w:rPr>
        <w:t>（</w:t>
      </w:r>
      <w:r>
        <w:rPr>
          <w:rFonts w:cs="Times New Roman"/>
          <w:sz w:val="24"/>
        </w:rPr>
        <w:t>3</w:t>
      </w:r>
      <w:r>
        <w:rPr>
          <w:rFonts w:cs="Times New Roman"/>
          <w:sz w:val="24"/>
        </w:rPr>
        <w:t>）盆地</w:t>
      </w:r>
    </w:p>
    <w:p w14:paraId="64776500" w14:textId="77777777" w:rsidR="003E78AB" w:rsidRDefault="00010BF9">
      <w:pPr>
        <w:pStyle w:val="aff2"/>
        <w:topLinePunct/>
        <w:spacing w:line="520" w:lineRule="exact"/>
        <w:ind w:firstLine="480"/>
        <w:rPr>
          <w:rFonts w:cs="Times New Roman"/>
          <w:sz w:val="24"/>
        </w:rPr>
      </w:pPr>
      <w:r>
        <w:rPr>
          <w:rFonts w:cs="Times New Roman"/>
          <w:sz w:val="24"/>
        </w:rPr>
        <w:t>哈密市位于天山和葛顺戈壁之间。整个盆地的地势由东北向西南倾斜。发源于喀尔里克山、巴尔库山的短小河流携带下来的物质组成宽广的山前倾斜平原。盆地上部为许多复合的洪积扇，南北宽约</w:t>
      </w:r>
      <w:r>
        <w:rPr>
          <w:rFonts w:cs="Times New Roman"/>
          <w:sz w:val="24"/>
        </w:rPr>
        <w:t>30km</w:t>
      </w:r>
      <w:r>
        <w:rPr>
          <w:rFonts w:cs="Times New Roman"/>
          <w:sz w:val="24"/>
        </w:rPr>
        <w:t>，主</w:t>
      </w:r>
      <w:r>
        <w:rPr>
          <w:rFonts w:cs="Times New Roman"/>
          <w:sz w:val="24"/>
        </w:rPr>
        <w:t>要有砾石组成。洪积扇的下部为古老的洪积平原，地形平缓，地下水位一般在</w:t>
      </w:r>
      <w:r>
        <w:rPr>
          <w:rFonts w:cs="Times New Roman"/>
          <w:sz w:val="24"/>
        </w:rPr>
        <w:t>5</w:t>
      </w:r>
      <w:r>
        <w:rPr>
          <w:rFonts w:cs="Times New Roman"/>
          <w:sz w:val="24"/>
        </w:rPr>
        <w:t>～</w:t>
      </w:r>
      <w:r>
        <w:rPr>
          <w:rFonts w:cs="Times New Roman"/>
          <w:sz w:val="24"/>
        </w:rPr>
        <w:t>7m</w:t>
      </w:r>
      <w:r>
        <w:rPr>
          <w:rFonts w:cs="Times New Roman"/>
          <w:sz w:val="24"/>
        </w:rPr>
        <w:t>。</w:t>
      </w:r>
    </w:p>
    <w:p w14:paraId="536A910F" w14:textId="77777777" w:rsidR="003E78AB" w:rsidRDefault="00010BF9">
      <w:pPr>
        <w:pStyle w:val="aff2"/>
        <w:topLinePunct/>
        <w:spacing w:line="520" w:lineRule="exact"/>
        <w:ind w:firstLine="480"/>
        <w:rPr>
          <w:rFonts w:cs="Times New Roman"/>
          <w:sz w:val="24"/>
        </w:rPr>
      </w:pPr>
      <w:r>
        <w:rPr>
          <w:rFonts w:cs="Times New Roman"/>
          <w:sz w:val="24"/>
        </w:rPr>
        <w:t>盆地西部和西南部是十三间房</w:t>
      </w:r>
      <w:r>
        <w:rPr>
          <w:rFonts w:cs="Times New Roman"/>
          <w:sz w:val="24"/>
        </w:rPr>
        <w:t>—</w:t>
      </w:r>
      <w:r>
        <w:rPr>
          <w:rFonts w:cs="Times New Roman"/>
          <w:sz w:val="24"/>
        </w:rPr>
        <w:t>南湖戈壁。这里广泛分布的第三纪地层，因受临时性降水形成的小河流的切割，形成一系列劣地形，地面十分破碎，由于地形影响，北部七角井、十三间房一带是天山南北通道，常年有大风。因此风蚀作用非常明显，形成许多风蚀残丘和风蚀洼地。哈密五堡以南著名的魔鬼城</w:t>
      </w:r>
      <w:r>
        <w:rPr>
          <w:rFonts w:cs="Times New Roman"/>
          <w:sz w:val="24"/>
        </w:rPr>
        <w:t>—</w:t>
      </w:r>
      <w:r>
        <w:rPr>
          <w:rFonts w:cs="Times New Roman"/>
          <w:sz w:val="24"/>
        </w:rPr>
        <w:t>雅丹地貌就是由强风长期吹蚀而形成的。沙尔湖周围及供水河道两岸经风吹扬，形成许多密集的灌丛沙丘。</w:t>
      </w:r>
    </w:p>
    <w:p w14:paraId="3A4BC10B" w14:textId="77777777" w:rsidR="003E78AB" w:rsidRDefault="00010BF9">
      <w:pPr>
        <w:pStyle w:val="aff2"/>
        <w:topLinePunct/>
        <w:spacing w:line="520" w:lineRule="exact"/>
        <w:ind w:firstLine="480"/>
        <w:rPr>
          <w:rFonts w:cs="Times New Roman"/>
          <w:sz w:val="24"/>
        </w:rPr>
      </w:pPr>
      <w:r>
        <w:rPr>
          <w:rFonts w:cs="Times New Roman"/>
          <w:sz w:val="24"/>
        </w:rPr>
        <w:t>本项目</w:t>
      </w:r>
      <w:r>
        <w:rPr>
          <w:rFonts w:cs="Times New Roman" w:hint="eastAsia"/>
          <w:sz w:val="24"/>
        </w:rPr>
        <w:t>所在区域为空地</w:t>
      </w:r>
      <w:r>
        <w:rPr>
          <w:rFonts w:cs="Times New Roman"/>
          <w:sz w:val="24"/>
        </w:rPr>
        <w:t>，地形起伏不大，地形较平缓。</w:t>
      </w:r>
    </w:p>
    <w:p w14:paraId="07399F9C"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4.1.3</w:t>
      </w:r>
      <w:r>
        <w:rPr>
          <w:rFonts w:cs="Times New Roman"/>
          <w:sz w:val="28"/>
          <w:szCs w:val="28"/>
        </w:rPr>
        <w:t>水文地质</w:t>
      </w:r>
    </w:p>
    <w:p w14:paraId="48ACEAA1" w14:textId="77777777" w:rsidR="003E78AB" w:rsidRDefault="00010BF9">
      <w:pPr>
        <w:pStyle w:val="aff2"/>
        <w:topLinePunct/>
        <w:spacing w:line="520" w:lineRule="exact"/>
        <w:ind w:firstLine="480"/>
        <w:rPr>
          <w:rFonts w:cs="Times New Roman"/>
          <w:sz w:val="24"/>
        </w:rPr>
      </w:pPr>
      <w:r>
        <w:rPr>
          <w:rFonts w:cs="Times New Roman"/>
          <w:sz w:val="24"/>
        </w:rPr>
        <w:t>该区域属吐鲁番</w:t>
      </w:r>
      <w:r>
        <w:rPr>
          <w:rFonts w:cs="Times New Roman"/>
          <w:sz w:val="24"/>
        </w:rPr>
        <w:t>-</w:t>
      </w:r>
      <w:r>
        <w:rPr>
          <w:rFonts w:cs="Times New Roman"/>
          <w:sz w:val="24"/>
        </w:rPr>
        <w:t>哈密山间凹陷，是华力西褶皱基底上发展起来的中新生代凹陷。出露地层有三叠系、侏罗系、白垩系、第三系和第四系。沉降幅度北深南浅，沉积厚度</w:t>
      </w:r>
      <w:r>
        <w:rPr>
          <w:rFonts w:cs="Times New Roman"/>
          <w:sz w:val="24"/>
        </w:rPr>
        <w:t>4000</w:t>
      </w:r>
      <w:r>
        <w:rPr>
          <w:rFonts w:cs="Times New Roman"/>
          <w:sz w:val="24"/>
        </w:rPr>
        <w:t>～</w:t>
      </w:r>
      <w:r>
        <w:rPr>
          <w:rFonts w:cs="Times New Roman"/>
          <w:sz w:val="24"/>
        </w:rPr>
        <w:t>8000m</w:t>
      </w:r>
      <w:r>
        <w:rPr>
          <w:rFonts w:cs="Times New Roman"/>
          <w:sz w:val="24"/>
        </w:rPr>
        <w:t>，断块的差异降为本凹陷的显著构造特色。根据收集的资料显示，项目区及附近无活动断裂发育。根据中国地震局编制《中国地震烈度区划图》，本区地震烈度为</w:t>
      </w:r>
      <w:r>
        <w:rPr>
          <w:rFonts w:cs="Times New Roman"/>
          <w:sz w:val="24"/>
        </w:rPr>
        <w:t>Ⅵ</w:t>
      </w:r>
      <w:r>
        <w:rPr>
          <w:rFonts w:cs="Times New Roman"/>
          <w:sz w:val="24"/>
        </w:rPr>
        <w:t>度。</w:t>
      </w:r>
    </w:p>
    <w:p w14:paraId="2CB1FCDA" w14:textId="77777777" w:rsidR="003E78AB" w:rsidRDefault="00010BF9">
      <w:pPr>
        <w:ind w:firstLine="480"/>
      </w:pPr>
      <w:r>
        <w:t>哈密市地表水多发源于天山之中的冰川，这些冰川多集中在天山主脉的哈尔里克山和巴里坤山，资源量达</w:t>
      </w:r>
      <w:r>
        <w:t>67.5×10</w:t>
      </w:r>
      <w:r>
        <w:rPr>
          <w:vertAlign w:val="superscript"/>
        </w:rPr>
        <w:t>8</w:t>
      </w:r>
      <w:r>
        <w:t>m</w:t>
      </w:r>
      <w:r>
        <w:rPr>
          <w:vertAlign w:val="superscript"/>
        </w:rPr>
        <w:t>3</w:t>
      </w:r>
      <w:r>
        <w:t>，市境内有大小山水沟</w:t>
      </w:r>
      <w:r>
        <w:t>29</w:t>
      </w:r>
      <w:r>
        <w:t>条，北南流向，出山口处年均</w:t>
      </w:r>
      <w:r>
        <w:rPr>
          <w:rFonts w:hint="eastAsia"/>
        </w:rPr>
        <w:t>径流量</w:t>
      </w:r>
      <w:r>
        <w:t>4.5</w:t>
      </w:r>
      <w:r>
        <w:t>×10</w:t>
      </w:r>
      <w:r>
        <w:rPr>
          <w:vertAlign w:val="superscript"/>
        </w:rPr>
        <w:t>8</w:t>
      </w:r>
      <w:r>
        <w:t>m</w:t>
      </w:r>
      <w:r>
        <w:rPr>
          <w:vertAlign w:val="superscript"/>
        </w:rPr>
        <w:t>3</w:t>
      </w:r>
      <w:r>
        <w:t>，有大小泉水近千眼，多集中在城区东西河坝，地下水储量</w:t>
      </w:r>
      <w:r>
        <w:t>3.16×10</w:t>
      </w:r>
      <w:r>
        <w:rPr>
          <w:vertAlign w:val="superscript"/>
        </w:rPr>
        <w:t>8</w:t>
      </w:r>
      <w:r>
        <w:t>m</w:t>
      </w:r>
      <w:r>
        <w:rPr>
          <w:vertAlign w:val="superscript"/>
        </w:rPr>
        <w:t>3</w:t>
      </w:r>
      <w:r>
        <w:t>，年开采量已达</w:t>
      </w:r>
      <w:r>
        <w:t>5.23×10</w:t>
      </w:r>
      <w:r>
        <w:rPr>
          <w:vertAlign w:val="superscript"/>
        </w:rPr>
        <w:t>8</w:t>
      </w:r>
      <w:r>
        <w:t>m</w:t>
      </w:r>
      <w:r>
        <w:rPr>
          <w:vertAlign w:val="superscript"/>
        </w:rPr>
        <w:t>3</w:t>
      </w:r>
      <w:r>
        <w:t>，开采方式多为机井、</w:t>
      </w:r>
      <w:r>
        <w:rPr>
          <w:rFonts w:hint="eastAsia"/>
        </w:rPr>
        <w:t>坎儿井</w:t>
      </w:r>
      <w:r>
        <w:t>等。哈密盆地内无常年流水河流，主要靠巴里坤山和哈尔里克山的</w:t>
      </w:r>
      <w:r>
        <w:t>14</w:t>
      </w:r>
      <w:r>
        <w:t>条季节性河流和泉流向盆地内汇集，年径流量约</w:t>
      </w:r>
      <w:r>
        <w:t>1×10</w:t>
      </w:r>
      <w:r>
        <w:rPr>
          <w:vertAlign w:val="superscript"/>
        </w:rPr>
        <w:t>8</w:t>
      </w:r>
      <w:r>
        <w:t>m</w:t>
      </w:r>
      <w:r>
        <w:rPr>
          <w:vertAlign w:val="superscript"/>
        </w:rPr>
        <w:t>3</w:t>
      </w:r>
      <w:r>
        <w:t>。除部分河水如：石城子河、榆树沟、庙尔沟修建引水渠将河水引入灌区外，大部分河水流出山口后不远便在戈壁地带渗入地下，转化为地下径流，形成了哈密市以地表引水、地下提水并重的绿洲灌溉农业体系。</w:t>
      </w:r>
    </w:p>
    <w:p w14:paraId="433E1348" w14:textId="77777777" w:rsidR="003E78AB" w:rsidRDefault="00010BF9">
      <w:pPr>
        <w:ind w:firstLine="480"/>
      </w:pPr>
      <w:r>
        <w:t>项目区域内无</w:t>
      </w:r>
      <w:r>
        <w:rPr>
          <w:rFonts w:hint="eastAsia"/>
        </w:rPr>
        <w:t>常</w:t>
      </w:r>
      <w:r>
        <w:t>年性地表水流，且无季节性冲沟分布。曾经有季节水流</w:t>
      </w:r>
      <w:r>
        <w:t>的库尔克果勒，流向为南湖乡向西南方向的沙尔湖。由于上游来水减少，南湖水库和花园子水库的拦蓄，已于上世纪九十年代彻底断流。</w:t>
      </w:r>
    </w:p>
    <w:p w14:paraId="3F769410" w14:textId="77777777" w:rsidR="003E78AB" w:rsidRDefault="00010BF9">
      <w:pPr>
        <w:ind w:firstLine="480"/>
      </w:pPr>
      <w:r>
        <w:t>根据《新疆哈密盆地地下水资源潜力研究》（</w:t>
      </w:r>
      <w:r>
        <w:t>2002</w:t>
      </w:r>
      <w:r>
        <w:t>年），项目所在的哈密盆地以沙诺尔湖</w:t>
      </w:r>
      <w:r>
        <w:t>——</w:t>
      </w:r>
      <w:r>
        <w:t>库如克郭勒沟</w:t>
      </w:r>
      <w:r>
        <w:t>——</w:t>
      </w:r>
      <w:r>
        <w:t>长干沟为界分为两个地下水系统，即北部巴坤山</w:t>
      </w:r>
      <w:r>
        <w:t>——</w:t>
      </w:r>
      <w:r>
        <w:t>哈尔里克山山前倾斜平原地下水系统和南部觉罗塔格山北麓地下水系统，北部巴坤山区为哈尔里克山山前倾斜平原地下水系统的地下水的补给区。</w:t>
      </w:r>
    </w:p>
    <w:p w14:paraId="431AFAA9" w14:textId="77777777" w:rsidR="003E78AB" w:rsidRDefault="00010BF9">
      <w:pPr>
        <w:ind w:firstLine="480"/>
      </w:pPr>
      <w:r>
        <w:t>沙诺尔湖为哈密盆地地下水最终排泄处，受气象、水文、地形地貌、</w:t>
      </w:r>
    </w:p>
    <w:p w14:paraId="7D0EFEDB" w14:textId="77777777" w:rsidR="003E78AB" w:rsidRDefault="00010BF9">
      <w:pPr>
        <w:ind w:firstLine="480"/>
      </w:pPr>
      <w:r>
        <w:t>补给条件、地层岩性，区域构造等多种因素的控制，地下</w:t>
      </w:r>
      <w:r>
        <w:t>水的形成与富集，以库如克郭勒沟</w:t>
      </w:r>
      <w:r>
        <w:t>——</w:t>
      </w:r>
      <w:r>
        <w:t>南湖断裂为界；北部山区</w:t>
      </w:r>
      <w:r>
        <w:t>——</w:t>
      </w:r>
      <w:r>
        <w:t>平原区降水丰富，地表水丰富、地下水补给条件好，含水层厚度大、富水性好；南部低山丘陵区降水较少，地下水补给条件差，且风化裂隙和构造裂隙分布不均，地下水极为贫乏。</w:t>
      </w:r>
    </w:p>
    <w:p w14:paraId="4354131E" w14:textId="77777777" w:rsidR="003E78AB" w:rsidRDefault="00010BF9">
      <w:pPr>
        <w:ind w:firstLine="480"/>
        <w:contextualSpacing/>
      </w:pPr>
      <w:r>
        <w:t>新疆哈密盆地地下水按其赋存特征、含水层岩性及水动力特征，可划分为：第四系松散岩类孔隙水、第三系碎屑岩类孔隙裂隙水和基岩裂隙水三种基本类型。</w:t>
      </w:r>
    </w:p>
    <w:p w14:paraId="0B6E2D9C" w14:textId="77777777" w:rsidR="003E78AB" w:rsidRDefault="00010BF9">
      <w:pPr>
        <w:ind w:firstLine="480"/>
        <w:contextualSpacing/>
      </w:pPr>
      <w:r>
        <w:t>（</w:t>
      </w:r>
      <w:r>
        <w:t>1</w:t>
      </w:r>
      <w:r>
        <w:t>）第四系松散岩类孔隙潜水</w:t>
      </w:r>
    </w:p>
    <w:p w14:paraId="1CD866A2" w14:textId="77777777" w:rsidR="003E78AB" w:rsidRDefault="00010BF9">
      <w:pPr>
        <w:ind w:firstLine="480"/>
        <w:contextualSpacing/>
      </w:pPr>
      <w:r>
        <w:t>主要分布于山前冲洪积平原，按地下水类型可划分为第四系松散岩类孔隙潜水和第四系松散岩类孔隙水</w:t>
      </w:r>
      <w:r>
        <w:t>—</w:t>
      </w:r>
      <w:r>
        <w:t>承压水及自流水。</w:t>
      </w:r>
    </w:p>
    <w:p w14:paraId="34E607BB" w14:textId="77777777" w:rsidR="003E78AB" w:rsidRDefault="00010BF9">
      <w:pPr>
        <w:ind w:firstLine="480"/>
        <w:contextualSpacing/>
      </w:pPr>
      <w:r>
        <w:t>①</w:t>
      </w:r>
      <w:r>
        <w:t>四系松散岩</w:t>
      </w:r>
      <w:r>
        <w:t>类孔隙潜水</w:t>
      </w:r>
    </w:p>
    <w:p w14:paraId="77C35138" w14:textId="77777777" w:rsidR="003E78AB" w:rsidRDefault="00010BF9">
      <w:pPr>
        <w:ind w:firstLine="480"/>
        <w:contextualSpacing/>
      </w:pPr>
      <w:r>
        <w:t>根据《新疆哈密盆地地下水资源潜力研究》（</w:t>
      </w:r>
      <w:r>
        <w:t>2002</w:t>
      </w:r>
      <w:r>
        <w:t>年），哈密盆地第四系松散岩类孔隙潜水主要分布于连霍高速公路（</w:t>
      </w:r>
      <w:r>
        <w:t>G30</w:t>
      </w:r>
      <w:r>
        <w:t>线）以北的戈壁砾石带，含水层岩性为卵砾石、砂砾石和含砾中粗砂，由扇顶至扇缘，含水层颗粒由粗变细，含水层厚度由厚变薄，水位埋深由深变浅。连霍高速公路（</w:t>
      </w:r>
      <w:r>
        <w:t>G30</w:t>
      </w:r>
      <w:r>
        <w:t>线）北部含水层厚度</w:t>
      </w:r>
      <w:r>
        <w:t>20</w:t>
      </w:r>
      <w:r>
        <w:t>～</w:t>
      </w:r>
      <w:r>
        <w:t>80m</w:t>
      </w:r>
      <w:r>
        <w:t>，潜水埋深</w:t>
      </w:r>
      <w:r>
        <w:t>20</w:t>
      </w:r>
      <w:r>
        <w:t>～</w:t>
      </w:r>
      <w:r>
        <w:t>80m</w:t>
      </w:r>
      <w:r>
        <w:t>，二堡拱拜尔湾</w:t>
      </w:r>
      <w:r>
        <w:t>——</w:t>
      </w:r>
      <w:r>
        <w:t>火石镇单井涌水量</w:t>
      </w:r>
      <w:r>
        <w:t>1000</w:t>
      </w:r>
      <w:r>
        <w:t>～</w:t>
      </w:r>
      <w:r>
        <w:t>3000m</w:t>
      </w:r>
      <w:r>
        <w:rPr>
          <w:vertAlign w:val="superscript"/>
        </w:rPr>
        <w:t>3</w:t>
      </w:r>
      <w:r>
        <w:t>/d</w:t>
      </w:r>
      <w:r>
        <w:t>，渗透系数</w:t>
      </w:r>
      <w:r>
        <w:t>6</w:t>
      </w:r>
      <w:r>
        <w:t>～</w:t>
      </w:r>
      <w:r>
        <w:t>45m/d</w:t>
      </w:r>
      <w:r>
        <w:t>；拱拜尔湾以西单井涌水量</w:t>
      </w:r>
      <w:r>
        <w:t>500</w:t>
      </w:r>
      <w:r>
        <w:t>～</w:t>
      </w:r>
      <w:r>
        <w:t>1000m</w:t>
      </w:r>
      <w:r>
        <w:rPr>
          <w:vertAlign w:val="superscript"/>
        </w:rPr>
        <w:t>3</w:t>
      </w:r>
      <w:r>
        <w:t>/d</w:t>
      </w:r>
      <w:r>
        <w:t>，渗透系数</w:t>
      </w:r>
      <w:r>
        <w:t>5</w:t>
      </w:r>
      <w:r>
        <w:t>～</w:t>
      </w:r>
      <w:r>
        <w:t>21m/d</w:t>
      </w:r>
      <w:r>
        <w:t>；火石镇以东至大泉湾四道</w:t>
      </w:r>
      <w:r>
        <w:t>城一带，单井涌水量大于</w:t>
      </w:r>
      <w:r>
        <w:t>3000m</w:t>
      </w:r>
      <w:r>
        <w:rPr>
          <w:vertAlign w:val="superscript"/>
        </w:rPr>
        <w:t>3</w:t>
      </w:r>
      <w:r>
        <w:t>/d</w:t>
      </w:r>
      <w:r>
        <w:t>，平均渗透系数</w:t>
      </w:r>
      <w:r>
        <w:t>27.74m/d</w:t>
      </w:r>
      <w:r>
        <w:t>；碱泉子和平原区中下部的骆驼圈子一带，单井涌水量为</w:t>
      </w:r>
      <w:r>
        <w:t>100</w:t>
      </w:r>
      <w:r>
        <w:t>～</w:t>
      </w:r>
      <w:r>
        <w:t>1000m</w:t>
      </w:r>
      <w:r>
        <w:rPr>
          <w:vertAlign w:val="superscript"/>
        </w:rPr>
        <w:t>3</w:t>
      </w:r>
      <w:r>
        <w:t>/d</w:t>
      </w:r>
      <w:r>
        <w:t>，平均渗透系数</w:t>
      </w:r>
      <w:r>
        <w:t>11.66m/d</w:t>
      </w:r>
      <w:r>
        <w:t>。地下水动态类型为水文性，枯水期为</w:t>
      </w:r>
      <w:r>
        <w:t>8</w:t>
      </w:r>
      <w:r>
        <w:t>～</w:t>
      </w:r>
      <w:r>
        <w:t>9</w:t>
      </w:r>
      <w:r>
        <w:t>月份，丰水期为</w:t>
      </w:r>
      <w:r>
        <w:t>5</w:t>
      </w:r>
      <w:r>
        <w:t>月份，地下水化学类型为</w:t>
      </w:r>
      <w:r>
        <w:t>HCO</w:t>
      </w:r>
      <w:r>
        <w:rPr>
          <w:vertAlign w:val="subscript"/>
        </w:rPr>
        <w:t>3</w:t>
      </w:r>
      <w:r>
        <w:t>-Ca·Na</w:t>
      </w:r>
      <w:r>
        <w:t>、</w:t>
      </w:r>
      <w:r>
        <w:t>HCO</w:t>
      </w:r>
      <w:r>
        <w:rPr>
          <w:vertAlign w:val="subscript"/>
        </w:rPr>
        <w:t>3</w:t>
      </w:r>
      <w:r>
        <w:t>-Na·Ca</w:t>
      </w:r>
      <w:r>
        <w:t>或</w:t>
      </w:r>
      <w:r>
        <w:t>HCO</w:t>
      </w:r>
      <w:r>
        <w:rPr>
          <w:vertAlign w:val="subscript"/>
        </w:rPr>
        <w:t>3</w:t>
      </w:r>
      <w:r>
        <w:t>·SO</w:t>
      </w:r>
      <w:r>
        <w:rPr>
          <w:vertAlign w:val="subscript"/>
        </w:rPr>
        <w:t>4</w:t>
      </w:r>
      <w:r>
        <w:t>-Ca·Na</w:t>
      </w:r>
      <w:r>
        <w:t>型，矿化度一般小于</w:t>
      </w:r>
      <w:r>
        <w:t>0.5g/L</w:t>
      </w:r>
      <w:r>
        <w:t>，地下水平均水力坡度</w:t>
      </w:r>
      <w:r>
        <w:t>6</w:t>
      </w:r>
      <w:r>
        <w:t>～</w:t>
      </w:r>
      <w:r>
        <w:t>9‰</w:t>
      </w:r>
      <w:r>
        <w:t>，径流条件较好。</w:t>
      </w:r>
    </w:p>
    <w:p w14:paraId="1B0FCBB4" w14:textId="77777777" w:rsidR="003E78AB" w:rsidRDefault="00010BF9">
      <w:pPr>
        <w:ind w:firstLine="480"/>
        <w:contextualSpacing/>
      </w:pPr>
      <w:r>
        <w:t>②</w:t>
      </w:r>
      <w:r>
        <w:t>第四系松散岩类孔隙潜水</w:t>
      </w:r>
      <w:r>
        <w:t>——</w:t>
      </w:r>
      <w:r>
        <w:t>承压水哈密盆地第四系松散岩类孔隙潜水</w:t>
      </w:r>
      <w:r>
        <w:t>——</w:t>
      </w:r>
      <w:r>
        <w:t>承压水</w:t>
      </w:r>
    </w:p>
    <w:p w14:paraId="480683B2" w14:textId="77777777" w:rsidR="003E78AB" w:rsidRDefault="00010BF9">
      <w:pPr>
        <w:ind w:firstLine="480"/>
        <w:contextualSpacing/>
      </w:pPr>
      <w:r>
        <w:t>主要分布在梯子</w:t>
      </w:r>
      <w:r>
        <w:t>——</w:t>
      </w:r>
      <w:r>
        <w:t>骆驼圈子一带、连霍高速公路（</w:t>
      </w:r>
      <w:r>
        <w:t>G30</w:t>
      </w:r>
      <w:r>
        <w:t>线）沿线以南的细土平原。上部潜水含水层厚度一般</w:t>
      </w:r>
      <w:r>
        <w:t>2</w:t>
      </w:r>
      <w:r>
        <w:t>～</w:t>
      </w:r>
      <w:r>
        <w:t>7m</w:t>
      </w:r>
      <w:r>
        <w:t>，岩性为中细砂，水位埋深小于</w:t>
      </w:r>
      <w:r>
        <w:t>5m</w:t>
      </w:r>
      <w:r>
        <w:t>，渗透系数</w:t>
      </w:r>
      <w:r>
        <w:t>3</w:t>
      </w:r>
      <w:r>
        <w:t>～</w:t>
      </w:r>
      <w:r>
        <w:t>5m/d</w:t>
      </w:r>
      <w:r>
        <w:t>，单井涌水量小于</w:t>
      </w:r>
      <w:r>
        <w:t>100m</w:t>
      </w:r>
      <w:r>
        <w:rPr>
          <w:vertAlign w:val="superscript"/>
        </w:rPr>
        <w:t>3</w:t>
      </w:r>
      <w:r>
        <w:t>/d</w:t>
      </w:r>
      <w:r>
        <w:t>，水化学类型为</w:t>
      </w:r>
      <w:r>
        <w:t>SO</w:t>
      </w:r>
      <w:r>
        <w:rPr>
          <w:vertAlign w:val="subscript"/>
        </w:rPr>
        <w:t>4</w:t>
      </w:r>
      <w:r>
        <w:t>·Cl-Na·Ca</w:t>
      </w:r>
      <w:r>
        <w:t>型，矿化度</w:t>
      </w:r>
      <w:r>
        <w:t>0.7</w:t>
      </w:r>
      <w:r>
        <w:t>～</w:t>
      </w:r>
      <w:r>
        <w:t>3g/L</w:t>
      </w:r>
      <w:r>
        <w:t>，多以溢出泉、潜水蒸发形式排泄。承压含水层厚度</w:t>
      </w:r>
      <w:r>
        <w:t>20</w:t>
      </w:r>
      <w:r>
        <w:t>～</w:t>
      </w:r>
      <w:r>
        <w:t>40m</w:t>
      </w:r>
      <w:r>
        <w:t>，岩性多为砂砾石、中细砂，顶板埋深小于</w:t>
      </w:r>
      <w:r>
        <w:t>30m</w:t>
      </w:r>
      <w:r>
        <w:t>，水位埋深小于</w:t>
      </w:r>
      <w:r>
        <w:t>15m</w:t>
      </w:r>
      <w:r>
        <w:t>，低洼地带丰水期地下水自流，水头高于地面</w:t>
      </w:r>
      <w:r>
        <w:t>0.35</w:t>
      </w:r>
      <w:r>
        <w:t>～</w:t>
      </w:r>
      <w:r>
        <w:t>1.0m</w:t>
      </w:r>
      <w:r>
        <w:t>，火石泉以东、连霍高速公路（</w:t>
      </w:r>
      <w:r>
        <w:t>G30</w:t>
      </w:r>
      <w:r>
        <w:t>线）以南</w:t>
      </w:r>
      <w:r>
        <w:t>3km</w:t>
      </w:r>
      <w:r>
        <w:t>内，单井涌水量大于</w:t>
      </w:r>
      <w:r>
        <w:t>3000m</w:t>
      </w:r>
      <w:r>
        <w:rPr>
          <w:vertAlign w:val="superscript"/>
        </w:rPr>
        <w:t>3</w:t>
      </w:r>
      <w:r>
        <w:t>/d</w:t>
      </w:r>
      <w:r>
        <w:t>，含水层渗透系数为</w:t>
      </w:r>
      <w:r>
        <w:t>15</w:t>
      </w:r>
      <w:r>
        <w:t>～</w:t>
      </w:r>
      <w:r>
        <w:t>70m/d</w:t>
      </w:r>
      <w:r>
        <w:t>；二堡以东，回城、红星四场以北，单井涌水量多为</w:t>
      </w:r>
      <w:r>
        <w:t>1000</w:t>
      </w:r>
      <w:r>
        <w:t>～</w:t>
      </w:r>
      <w:r>
        <w:t>3000m</w:t>
      </w:r>
      <w:r>
        <w:rPr>
          <w:vertAlign w:val="superscript"/>
        </w:rPr>
        <w:t>3</w:t>
      </w:r>
      <w:r>
        <w:t>/d</w:t>
      </w:r>
      <w:r>
        <w:t>，渗透系数</w:t>
      </w:r>
      <w:r>
        <w:t>3</w:t>
      </w:r>
      <w:r>
        <w:t>～</w:t>
      </w:r>
      <w:r>
        <w:t>50m/d</w:t>
      </w:r>
      <w:r>
        <w:t>；二堡以西，三道岭</w:t>
      </w:r>
      <w:r>
        <w:t>——</w:t>
      </w:r>
      <w:r>
        <w:t>四堡</w:t>
      </w:r>
      <w:r>
        <w:t>——</w:t>
      </w:r>
      <w:r>
        <w:t>开可尔吐尔以北单井涌水量</w:t>
      </w:r>
      <w:r>
        <w:t>500</w:t>
      </w:r>
      <w:r>
        <w:t>～</w:t>
      </w:r>
      <w:r>
        <w:t>1000m</w:t>
      </w:r>
      <w:r>
        <w:rPr>
          <w:vertAlign w:val="superscript"/>
        </w:rPr>
        <w:t>3</w:t>
      </w:r>
      <w:r>
        <w:t>/d</w:t>
      </w:r>
      <w:r>
        <w:t>，渗透系数为</w:t>
      </w:r>
      <w:r>
        <w:t>4</w:t>
      </w:r>
      <w:r>
        <w:t>～</w:t>
      </w:r>
      <w:r>
        <w:t>21m/d</w:t>
      </w:r>
      <w:r>
        <w:t>；梯子泉以南</w:t>
      </w:r>
      <w:r>
        <w:t>3km</w:t>
      </w:r>
      <w:r>
        <w:t>、三道岭</w:t>
      </w:r>
      <w:r>
        <w:t>——</w:t>
      </w:r>
      <w:r>
        <w:t>居吉木布拉克</w:t>
      </w:r>
      <w:r>
        <w:t>——</w:t>
      </w:r>
      <w:r>
        <w:t>支边农场</w:t>
      </w:r>
      <w:r>
        <w:t>——</w:t>
      </w:r>
      <w:r>
        <w:t>拉克苏木</w:t>
      </w:r>
      <w:r>
        <w:t>——ZK12</w:t>
      </w:r>
      <w:r>
        <w:t>孔以北，含水层厚度变为</w:t>
      </w:r>
      <w:r>
        <w:t>10</w:t>
      </w:r>
      <w:r>
        <w:t>～</w:t>
      </w:r>
      <w:r>
        <w:t>30m</w:t>
      </w:r>
      <w:r>
        <w:t>，单井涌水量为</w:t>
      </w:r>
      <w:r>
        <w:t>100</w:t>
      </w:r>
      <w:r>
        <w:t>～</w:t>
      </w:r>
      <w:r>
        <w:t>500m</w:t>
      </w:r>
      <w:r>
        <w:rPr>
          <w:vertAlign w:val="superscript"/>
        </w:rPr>
        <w:t>3</w:t>
      </w:r>
      <w:r>
        <w:t>/d</w:t>
      </w:r>
      <w:r>
        <w:t>，渗透系数为</w:t>
      </w:r>
      <w:r>
        <w:t>4</w:t>
      </w:r>
      <w:r>
        <w:t>～</w:t>
      </w:r>
      <w:r>
        <w:t>100m/d</w:t>
      </w:r>
      <w:r>
        <w:t>；该带以南，第四系厚度仅为数米或出露第三系，其第四系单井涌水量小于</w:t>
      </w:r>
      <w:r>
        <w:t>100m</w:t>
      </w:r>
      <w:r>
        <w:rPr>
          <w:vertAlign w:val="superscript"/>
        </w:rPr>
        <w:t>3</w:t>
      </w:r>
      <w:r>
        <w:t>/d</w:t>
      </w:r>
      <w:r>
        <w:t>，供水意义不大。水</w:t>
      </w:r>
      <w:r>
        <w:t>化学类型由北向南由</w:t>
      </w:r>
      <w:r>
        <w:t>HCO</w:t>
      </w:r>
      <w:r>
        <w:rPr>
          <w:vertAlign w:val="subscript"/>
        </w:rPr>
        <w:t>3</w:t>
      </w:r>
      <w:r>
        <w:t>·SO</w:t>
      </w:r>
      <w:r>
        <w:rPr>
          <w:vertAlign w:val="subscript"/>
        </w:rPr>
        <w:t>4</w:t>
      </w:r>
      <w:r>
        <w:t>-Ca·Na</w:t>
      </w:r>
      <w:r>
        <w:t>变为</w:t>
      </w:r>
      <w:r>
        <w:t>Cl·SO</w:t>
      </w:r>
      <w:r>
        <w:rPr>
          <w:vertAlign w:val="subscript"/>
        </w:rPr>
        <w:t>4</w:t>
      </w:r>
      <w:r>
        <w:t>-Ca·Na</w:t>
      </w:r>
      <w:r>
        <w:t>型，矿化度</w:t>
      </w:r>
      <w:r>
        <w:t>0.5</w:t>
      </w:r>
      <w:r>
        <w:t>～</w:t>
      </w:r>
      <w:r>
        <w:t>3g/L</w:t>
      </w:r>
      <w:r>
        <w:t>，地下水流向西部</w:t>
      </w:r>
      <w:r>
        <w:t>75º</w:t>
      </w:r>
      <w:r>
        <w:t>或东部</w:t>
      </w:r>
      <w:r>
        <w:t>225º</w:t>
      </w:r>
      <w:r>
        <w:t>；潜水动态变化为开采型或气象型，年水位变幅较小，一般为</w:t>
      </w:r>
      <w:r>
        <w:t>0.3</w:t>
      </w:r>
      <w:r>
        <w:t>～</w:t>
      </w:r>
      <w:r>
        <w:t>0.7m</w:t>
      </w:r>
      <w:r>
        <w:t>，承压水动态变化为水文</w:t>
      </w:r>
      <w:r>
        <w:t>-</w:t>
      </w:r>
      <w:r>
        <w:t>开采型，受地表径流和地下水开采影响，枯水期为</w:t>
      </w:r>
      <w:r>
        <w:t>8</w:t>
      </w:r>
      <w:r>
        <w:t>月份，丰水期为</w:t>
      </w:r>
      <w:r>
        <w:t>4</w:t>
      </w:r>
      <w:r>
        <w:t>月份，年水位变幅</w:t>
      </w:r>
      <w:r>
        <w:t>0.3</w:t>
      </w:r>
      <w:r>
        <w:t>～</w:t>
      </w:r>
      <w:r>
        <w:t>3.0m</w:t>
      </w:r>
      <w:r>
        <w:t>。</w:t>
      </w:r>
    </w:p>
    <w:p w14:paraId="3CF70C32" w14:textId="77777777" w:rsidR="003E78AB" w:rsidRDefault="00010BF9">
      <w:pPr>
        <w:ind w:firstLine="480"/>
        <w:contextualSpacing/>
      </w:pPr>
      <w:r>
        <w:t>（</w:t>
      </w:r>
      <w:r>
        <w:t>2</w:t>
      </w:r>
      <w:r>
        <w:t>）第三系碎屑岩类孔隙水</w:t>
      </w:r>
    </w:p>
    <w:p w14:paraId="6C9BAD68" w14:textId="77777777" w:rsidR="003E78AB" w:rsidRDefault="00010BF9">
      <w:pPr>
        <w:ind w:firstLine="480"/>
        <w:contextualSpacing/>
      </w:pPr>
      <w:r>
        <w:t>A</w:t>
      </w:r>
      <w:r>
        <w:t>、第三系浅水层</w:t>
      </w:r>
    </w:p>
    <w:p w14:paraId="2B58676B" w14:textId="77777777" w:rsidR="003E78AB" w:rsidRDefault="00010BF9">
      <w:pPr>
        <w:ind w:firstLine="480"/>
        <w:contextualSpacing/>
      </w:pPr>
      <w:r>
        <w:t>①</w:t>
      </w:r>
      <w:r>
        <w:t>第三系碎屑岩类孔隙潜水在区内南部出露，范围不大，由于区内降水稀少，蒸发强烈，且该带所处地势较高，不利于地下水补给。此外，含水层颗粒较细。</w:t>
      </w:r>
      <w:r>
        <w:t>因此，富水性较差，单井涌水量一般小于</w:t>
      </w:r>
      <w:r>
        <w:t>100m</w:t>
      </w:r>
      <w:r>
        <w:rPr>
          <w:vertAlign w:val="superscript"/>
        </w:rPr>
        <w:t>3</w:t>
      </w:r>
      <w:r>
        <w:t>/d</w:t>
      </w:r>
      <w:r>
        <w:t>，水质差，多为</w:t>
      </w:r>
      <w:r>
        <w:t>Cl·SO</w:t>
      </w:r>
      <w:r>
        <w:rPr>
          <w:vertAlign w:val="subscript"/>
        </w:rPr>
        <w:t>4</w:t>
      </w:r>
      <w:r>
        <w:t>-Na·Mg</w:t>
      </w:r>
      <w:r>
        <w:t>型或</w:t>
      </w:r>
      <w:r>
        <w:t>Cl-Na</w:t>
      </w:r>
      <w:r>
        <w:t>型水。</w:t>
      </w:r>
    </w:p>
    <w:p w14:paraId="7984386D" w14:textId="77777777" w:rsidR="003E78AB" w:rsidRDefault="00010BF9">
      <w:pPr>
        <w:ind w:firstLine="480"/>
        <w:contextualSpacing/>
      </w:pPr>
      <w:r>
        <w:t>②</w:t>
      </w:r>
      <w:r>
        <w:t>第三系碎屑岩类孔隙承压水主要出露于五堡</w:t>
      </w:r>
      <w:r>
        <w:t>——</w:t>
      </w:r>
      <w:r>
        <w:t>长流水</w:t>
      </w:r>
      <w:r>
        <w:t>——</w:t>
      </w:r>
      <w:r>
        <w:t>骆驼圈子一带，或下伏于第四系地层之下，分布面积大。含水层多由第三系葡萄沟组砂岩、砂砾岩或泥质粉砂岩组成。据钻孔揭露</w:t>
      </w:r>
      <w:r>
        <w:t>100m</w:t>
      </w:r>
      <w:r>
        <w:t>深度内，有两个较稳定的含水层，含水层总厚度为</w:t>
      </w:r>
      <w:r>
        <w:t>15</w:t>
      </w:r>
      <w:r>
        <w:t>～</w:t>
      </w:r>
      <w:r>
        <w:t>50m</w:t>
      </w:r>
      <w:r>
        <w:t>。含水层顶板埋深由北向南变浅，由钻孔揭露</w:t>
      </w:r>
      <w:r>
        <w:t>200m</w:t>
      </w:r>
      <w:r>
        <w:t>深度范围为</w:t>
      </w:r>
      <w:r>
        <w:t>20</w:t>
      </w:r>
      <w:r>
        <w:t>～</w:t>
      </w:r>
      <w:r>
        <w:t>130m</w:t>
      </w:r>
      <w:r>
        <w:t>，其中以红光车站</w:t>
      </w:r>
      <w:r>
        <w:t>——</w:t>
      </w:r>
      <w:r>
        <w:t>三道城</w:t>
      </w:r>
      <w:r>
        <w:t>——</w:t>
      </w:r>
      <w:r>
        <w:t>骆驼圈子</w:t>
      </w:r>
      <w:r>
        <w:t>——</w:t>
      </w:r>
      <w:r>
        <w:t>庙尔沟为界，北部顶板埋深大于</w:t>
      </w:r>
      <w:r>
        <w:t>50m</w:t>
      </w:r>
      <w:r>
        <w:t>，南部至沙尔湖一带小于</w:t>
      </w:r>
      <w:r>
        <w:t>50m</w:t>
      </w:r>
      <w:r>
        <w:t>，东部骆驼圈子</w:t>
      </w:r>
      <w:r>
        <w:t>—</w:t>
      </w:r>
      <w:r>
        <w:t>庙尔沟以南地带大于</w:t>
      </w:r>
      <w:r>
        <w:t>100m</w:t>
      </w:r>
      <w:r>
        <w:t>。火石镇</w:t>
      </w:r>
      <w:r>
        <w:t>——</w:t>
      </w:r>
      <w:r>
        <w:t>十里牛房</w:t>
      </w:r>
      <w:r>
        <w:t>—</w:t>
      </w:r>
      <w:r>
        <w:t>红星四场以北单井涌水量大于</w:t>
      </w:r>
      <w:r>
        <w:t>1000m</w:t>
      </w:r>
      <w:r>
        <w:rPr>
          <w:vertAlign w:val="superscript"/>
        </w:rPr>
        <w:t>3</w:t>
      </w:r>
      <w:r>
        <w:t>/d</w:t>
      </w:r>
      <w:r>
        <w:t>，渗透系数</w:t>
      </w:r>
      <w:r>
        <w:t>10</w:t>
      </w:r>
      <w:r>
        <w:t>～</w:t>
      </w:r>
      <w:r>
        <w:t>64.9m/d</w:t>
      </w:r>
      <w:r>
        <w:t>，水化学类型为</w:t>
      </w:r>
      <w:r>
        <w:t>HCO</w:t>
      </w:r>
      <w:r>
        <w:rPr>
          <w:vertAlign w:val="subscript"/>
        </w:rPr>
        <w:t>3</w:t>
      </w:r>
      <w:r>
        <w:t>-Ca·Na</w:t>
      </w:r>
      <w:r>
        <w:t>型，矿化度小于</w:t>
      </w:r>
      <w:r>
        <w:t>0.5g/L</w:t>
      </w:r>
      <w:r>
        <w:t>；该带以南，柳树泉农场</w:t>
      </w:r>
      <w:r>
        <w:t>——</w:t>
      </w:r>
      <w:r>
        <w:t>长流水以北，单井涌水量一般为</w:t>
      </w:r>
      <w:r>
        <w:t>500</w:t>
      </w:r>
      <w:r>
        <w:t>～</w:t>
      </w:r>
      <w:r>
        <w:t>1000m</w:t>
      </w:r>
      <w:r>
        <w:rPr>
          <w:vertAlign w:val="superscript"/>
        </w:rPr>
        <w:t>3</w:t>
      </w:r>
      <w:r>
        <w:t>/d</w:t>
      </w:r>
      <w:r>
        <w:t>，渗透系数</w:t>
      </w:r>
      <w:r>
        <w:t>15</w:t>
      </w:r>
      <w:r>
        <w:t>～</w:t>
      </w:r>
      <w:r>
        <w:t>34.34m/d</w:t>
      </w:r>
      <w:r>
        <w:t>，水化学类型多为</w:t>
      </w:r>
      <w:r>
        <w:t>Cl·SO</w:t>
      </w:r>
      <w:r>
        <w:rPr>
          <w:vertAlign w:val="subscript"/>
        </w:rPr>
        <w:t>4</w:t>
      </w:r>
      <w:r>
        <w:t>-Na·Mg</w:t>
      </w:r>
      <w:r>
        <w:t>型，矿化度在</w:t>
      </w:r>
      <w:r>
        <w:t>1.0</w:t>
      </w:r>
      <w:r>
        <w:t>～</w:t>
      </w:r>
      <w:r>
        <w:t>4.3g/L</w:t>
      </w:r>
      <w:r>
        <w:t>，五堡</w:t>
      </w:r>
      <w:r>
        <w:t>——</w:t>
      </w:r>
      <w:r>
        <w:t>长流水一带水质较好，矿化度小于</w:t>
      </w:r>
      <w:r>
        <w:t>0.5g/L</w:t>
      </w:r>
      <w:r>
        <w:t>，为</w:t>
      </w:r>
      <w:r>
        <w:t>HCO</w:t>
      </w:r>
      <w:r>
        <w:rPr>
          <w:vertAlign w:val="subscript"/>
        </w:rPr>
        <w:t>3</w:t>
      </w:r>
      <w:r>
        <w:t>·SO</w:t>
      </w:r>
      <w:r>
        <w:rPr>
          <w:vertAlign w:val="subscript"/>
        </w:rPr>
        <w:t>4</w:t>
      </w:r>
      <w:r>
        <w:t>-Na·Ca</w:t>
      </w:r>
      <w:r>
        <w:t>型水；该带以南单井涌水量小于</w:t>
      </w:r>
      <w:r>
        <w:t>500m</w:t>
      </w:r>
      <w:r>
        <w:rPr>
          <w:vertAlign w:val="superscript"/>
        </w:rPr>
        <w:t>3</w:t>
      </w:r>
      <w:r>
        <w:t>/d</w:t>
      </w:r>
      <w:r>
        <w:t>，</w:t>
      </w:r>
      <w:r>
        <w:t>渗透系数</w:t>
      </w:r>
      <w:r>
        <w:t>14.4</w:t>
      </w:r>
      <w:r>
        <w:t>～</w:t>
      </w:r>
      <w:r>
        <w:t>21.74m/d</w:t>
      </w:r>
      <w:r>
        <w:t>。根据测试，第三系浅层地下水（</w:t>
      </w:r>
      <w:r>
        <w:t>80</w:t>
      </w:r>
      <w:r>
        <w:t>～</w:t>
      </w:r>
      <w:r>
        <w:t>150m</w:t>
      </w:r>
      <w:r>
        <w:t>）与第四系地下水具有同一补给源，上游区含水层由于颗粒较粗，孔隙、裂隙发育，地下水径流条件较好。第三系浅层水与第四系含水层之间水力联系密切，共同构成北部巴里坤山</w:t>
      </w:r>
      <w:r>
        <w:t>——</w:t>
      </w:r>
      <w:r>
        <w:t>哈尔里克山山前倾斜平原地下水系统的一个子系统。</w:t>
      </w:r>
    </w:p>
    <w:p w14:paraId="6075B584" w14:textId="77777777" w:rsidR="003E78AB" w:rsidRDefault="00010BF9">
      <w:pPr>
        <w:ind w:firstLine="480"/>
        <w:contextualSpacing/>
      </w:pPr>
      <w:r>
        <w:t>B</w:t>
      </w:r>
      <w:r>
        <w:t>、第三系深层承压水（第四系下伏</w:t>
      </w:r>
      <w:r>
        <w:t>60</w:t>
      </w:r>
      <w:r>
        <w:t>～</w:t>
      </w:r>
      <w:r>
        <w:t>100m</w:t>
      </w:r>
      <w:r>
        <w:t>以下的地下水）</w:t>
      </w:r>
    </w:p>
    <w:p w14:paraId="1EC175FA" w14:textId="77777777" w:rsidR="003E78AB" w:rsidRDefault="00010BF9">
      <w:pPr>
        <w:ind w:firstLine="480"/>
        <w:contextualSpacing/>
      </w:pPr>
      <w:r>
        <w:t>①</w:t>
      </w:r>
      <w:r>
        <w:t>顶板隔水层</w:t>
      </w:r>
    </w:p>
    <w:p w14:paraId="7ED7B64F" w14:textId="77777777" w:rsidR="003E78AB" w:rsidRDefault="00010BF9">
      <w:pPr>
        <w:ind w:firstLine="480"/>
        <w:contextualSpacing/>
      </w:pPr>
      <w:r>
        <w:t>根据区内钻孔资料，第三系深层承压水隔水顶板埋深</w:t>
      </w:r>
      <w:r>
        <w:t>80</w:t>
      </w:r>
      <w:r>
        <w:t>～</w:t>
      </w:r>
      <w:r>
        <w:t>150m</w:t>
      </w:r>
      <w:r>
        <w:t>，厚度一般</w:t>
      </w:r>
      <w:r>
        <w:t>20</w:t>
      </w:r>
      <w:r>
        <w:t>～</w:t>
      </w:r>
      <w:r>
        <w:t>35m</w:t>
      </w:r>
      <w:r>
        <w:t>，厚者大于</w:t>
      </w:r>
      <w:r>
        <w:t>100m</w:t>
      </w:r>
      <w:r>
        <w:t>。岩性为泥岩、沙质泥岩。该层在平原区基本构成了一</w:t>
      </w:r>
      <w:r>
        <w:t>个较完整的隔水层，使上层第四系</w:t>
      </w:r>
      <w:r>
        <w:t>—</w:t>
      </w:r>
      <w:r>
        <w:t>第三系浅层含水层与深层第三系承压含水层相对水力联系微弱，构成北部巴里坤山</w:t>
      </w:r>
      <w:r>
        <w:t>—</w:t>
      </w:r>
      <w:r>
        <w:t>哈尔里克山山前倾斜平原地下水系统的另一子系统，形成上下两个单独的地下水亚系统。</w:t>
      </w:r>
    </w:p>
    <w:p w14:paraId="3479E145" w14:textId="77777777" w:rsidR="003E78AB" w:rsidRDefault="00010BF9">
      <w:pPr>
        <w:ind w:firstLine="480"/>
        <w:contextualSpacing/>
      </w:pPr>
      <w:r>
        <w:t>②</w:t>
      </w:r>
      <w:r>
        <w:t>含水层岩性、厚度及涌水量</w:t>
      </w:r>
    </w:p>
    <w:p w14:paraId="42C3F58C" w14:textId="77777777" w:rsidR="003E78AB" w:rsidRDefault="00010BF9">
      <w:pPr>
        <w:ind w:firstLine="480"/>
        <w:contextualSpacing/>
      </w:pPr>
      <w:r>
        <w:t>根据《新疆哈密盆地地下水资源潜力研究》（</w:t>
      </w:r>
      <w:r>
        <w:t>2002</w:t>
      </w:r>
      <w:r>
        <w:t>年），哈密盆地第三系深层承压含水层主要为第三系上新统葡萄沟组第二层孔隙、裂隙承压含水岩组，该含水层主要接受山区基岩裂隙水的侧向径流补给，水量较丰富，水质良好。</w:t>
      </w:r>
    </w:p>
    <w:p w14:paraId="72AFE1C2" w14:textId="77777777" w:rsidR="003E78AB" w:rsidRDefault="00010BF9">
      <w:pPr>
        <w:ind w:firstLine="480"/>
        <w:contextualSpacing/>
      </w:pPr>
      <w:r>
        <w:t>（</w:t>
      </w:r>
      <w:r>
        <w:t>3</w:t>
      </w:r>
      <w:r>
        <w:t>）基岩裂隙水</w:t>
      </w:r>
    </w:p>
    <w:p w14:paraId="6074D0E0" w14:textId="77777777" w:rsidR="003E78AB" w:rsidRDefault="00010BF9">
      <w:pPr>
        <w:ind w:firstLine="480"/>
        <w:contextualSpacing/>
      </w:pPr>
      <w:r>
        <w:t>为赋存于古生代地层及侵入岩等各种成因的裂隙中的地下水，广泛分布于北部基岩山区及南部低山丘陵区。其富水性受岩性、构造、地形、地貌和补给因素控制，尤以降水分配影响最为明显，随地势的变化，呈现出中高山区水量丰富，低山区中等，丘陵区贫乏的规律。</w:t>
      </w:r>
    </w:p>
    <w:p w14:paraId="7C7E15E3" w14:textId="77777777" w:rsidR="003E78AB" w:rsidRDefault="00010BF9">
      <w:pPr>
        <w:ind w:firstLine="480"/>
        <w:contextualSpacing/>
      </w:pPr>
      <w:r>
        <w:t>北部山区水量大，具有丰富的冰雪融水分布，补给条件好，故含水层富水性较好，其单泉流量</w:t>
      </w:r>
      <w:r>
        <w:t>1.05</w:t>
      </w:r>
      <w:r>
        <w:t>～</w:t>
      </w:r>
      <w:r>
        <w:t>19.641L/s</w:t>
      </w:r>
      <w:r>
        <w:t>，水化学类型为</w:t>
      </w:r>
      <w:r>
        <w:t>HCO</w:t>
      </w:r>
      <w:r>
        <w:rPr>
          <w:vertAlign w:val="subscript"/>
        </w:rPr>
        <w:t>3</w:t>
      </w:r>
      <w:r>
        <w:t>-Ca</w:t>
      </w:r>
      <w:r>
        <w:t>型，矿化度小于</w:t>
      </w:r>
      <w:r>
        <w:t>0.3g/L</w:t>
      </w:r>
      <w:r>
        <w:t>；南部低山丘陵区，由于补给条件差，水量贫乏，一般水位埋深大于</w:t>
      </w:r>
      <w:r>
        <w:t>20m</w:t>
      </w:r>
      <w:r>
        <w:t>，单井涌水量小于</w:t>
      </w:r>
      <w:r>
        <w:t>10m</w:t>
      </w:r>
      <w:r>
        <w:rPr>
          <w:vertAlign w:val="superscript"/>
        </w:rPr>
        <w:t>3</w:t>
      </w:r>
      <w:r>
        <w:t>/d</w:t>
      </w:r>
      <w:r>
        <w:t>，多为</w:t>
      </w:r>
      <w:r>
        <w:t>Cl·SO</w:t>
      </w:r>
      <w:r>
        <w:rPr>
          <w:vertAlign w:val="subscript"/>
        </w:rPr>
        <w:t>4</w:t>
      </w:r>
      <w:r>
        <w:t>-Na</w:t>
      </w:r>
      <w:r>
        <w:t>型，矿化度</w:t>
      </w:r>
      <w:r>
        <w:t>14</w:t>
      </w:r>
      <w:r>
        <w:t>～</w:t>
      </w:r>
      <w:r>
        <w:t>40g/L</w:t>
      </w:r>
      <w:r>
        <w:t>。</w:t>
      </w:r>
    </w:p>
    <w:p w14:paraId="0C1A909E" w14:textId="77777777" w:rsidR="003E78AB" w:rsidRDefault="00010BF9">
      <w:pPr>
        <w:ind w:firstLine="480"/>
      </w:pPr>
      <w:r>
        <w:t>工业园区地处天山山前冲积倾斜平原，由干燥侵蚀平原和小片沙丘地组成，工程地质自地面向下大致可分为：粉细砂、中细砂、泥质砂岩，承载力特征值</w:t>
      </w:r>
      <w:r>
        <w:t>150~600kPa</w:t>
      </w:r>
      <w:r>
        <w:t>。最大冻土深度</w:t>
      </w:r>
      <w:r>
        <w:t>1.27m</w:t>
      </w:r>
      <w:r>
        <w:t>，建厂地区海拔约为</w:t>
      </w:r>
      <w:r>
        <w:t>690m</w:t>
      </w:r>
      <w:r>
        <w:t>。</w:t>
      </w:r>
    </w:p>
    <w:p w14:paraId="722AA748"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4.1.4</w:t>
      </w:r>
      <w:r>
        <w:rPr>
          <w:rFonts w:cs="Times New Roman"/>
          <w:sz w:val="28"/>
          <w:szCs w:val="28"/>
        </w:rPr>
        <w:t>水资源</w:t>
      </w:r>
    </w:p>
    <w:p w14:paraId="69606399" w14:textId="77777777" w:rsidR="003E78AB" w:rsidRDefault="00010BF9">
      <w:pPr>
        <w:ind w:firstLine="480"/>
      </w:pPr>
      <w:r>
        <w:t>（</w:t>
      </w:r>
      <w:r>
        <w:t>1</w:t>
      </w:r>
      <w:r>
        <w:t>）水环境功能区</w:t>
      </w:r>
    </w:p>
    <w:p w14:paraId="31D9DAE5" w14:textId="77777777" w:rsidR="003E78AB" w:rsidRDefault="00010BF9">
      <w:pPr>
        <w:ind w:firstLine="480"/>
      </w:pPr>
      <w:r>
        <w:t>哈密市划定水环境特殊功能区总计二类</w:t>
      </w:r>
      <w:r>
        <w:t>7</w:t>
      </w:r>
      <w:r>
        <w:t>个，总面积</w:t>
      </w:r>
      <w:r>
        <w:t>242.95km</w:t>
      </w:r>
      <w:r>
        <w:rPr>
          <w:vertAlign w:val="superscript"/>
        </w:rPr>
        <w:t>2</w:t>
      </w:r>
      <w:r>
        <w:t>，占哈密市国土总面积的</w:t>
      </w:r>
      <w:r>
        <w:t>0.29%</w:t>
      </w:r>
      <w:r>
        <w:t>（哈密市国土总面积</w:t>
      </w:r>
      <w:r>
        <w:t>8.5</w:t>
      </w:r>
      <w:r>
        <w:t>万</w:t>
      </w:r>
      <w:r>
        <w:t>km</w:t>
      </w:r>
      <w:r>
        <w:rPr>
          <w:vertAlign w:val="superscript"/>
        </w:rPr>
        <w:t>2</w:t>
      </w:r>
      <w:r>
        <w:t>）。其中地表水域区</w:t>
      </w:r>
      <w:r>
        <w:t>6</w:t>
      </w:r>
      <w:r>
        <w:t>个，面积</w:t>
      </w:r>
      <w:r>
        <w:t>215.95km</w:t>
      </w:r>
      <w:r>
        <w:rPr>
          <w:vertAlign w:val="superscript"/>
        </w:rPr>
        <w:t>2</w:t>
      </w:r>
      <w:r>
        <w:t>，占水环境特殊功能区总面积的</w:t>
      </w:r>
      <w:r>
        <w:t>88.89%</w:t>
      </w:r>
      <w:r>
        <w:t>，地下水源区</w:t>
      </w:r>
      <w:r>
        <w:t>1</w:t>
      </w:r>
      <w:r>
        <w:t>个，面积</w:t>
      </w:r>
      <w:r>
        <w:t>27km</w:t>
      </w:r>
      <w:r>
        <w:rPr>
          <w:vertAlign w:val="superscript"/>
        </w:rPr>
        <w:t>2</w:t>
      </w:r>
      <w:r>
        <w:t>，占水环境特殊功能区总面积的</w:t>
      </w:r>
      <w:r>
        <w:t>11.11%</w:t>
      </w:r>
      <w:r>
        <w:t>。</w:t>
      </w:r>
    </w:p>
    <w:p w14:paraId="0DAF55C4" w14:textId="77777777" w:rsidR="003E78AB" w:rsidRDefault="00010BF9">
      <w:pPr>
        <w:ind w:firstLine="480"/>
      </w:pPr>
      <w:r>
        <w:t>水环境功能区划结果详见表</w:t>
      </w:r>
      <w:r>
        <w:t>4-1</w:t>
      </w:r>
      <w:r>
        <w:t>。</w:t>
      </w:r>
    </w:p>
    <w:p w14:paraId="1A79FA20" w14:textId="77777777" w:rsidR="003E78AB" w:rsidRDefault="00010BF9">
      <w:pPr>
        <w:pStyle w:val="a0"/>
        <w:ind w:left="425" w:hanging="425"/>
        <w:rPr>
          <w:rFonts w:hint="default"/>
        </w:rPr>
      </w:pPr>
      <w:bookmarkStart w:id="288" w:name="_Ref19305"/>
      <w:r>
        <w:rPr>
          <w:rFonts w:hint="default"/>
        </w:rPr>
        <w:t>哈密地区水环境特殊功能区划表</w:t>
      </w:r>
      <w:bookmarkEnd w:id="288"/>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76"/>
        <w:gridCol w:w="2877"/>
        <w:gridCol w:w="2130"/>
        <w:gridCol w:w="2130"/>
      </w:tblGrid>
      <w:tr w:rsidR="003E78AB" w14:paraId="0FD4CF0C" w14:textId="77777777">
        <w:trPr>
          <w:trHeight w:val="340"/>
          <w:jc w:val="center"/>
        </w:trPr>
        <w:tc>
          <w:tcPr>
            <w:tcW w:w="809" w:type="pct"/>
            <w:vAlign w:val="center"/>
          </w:tcPr>
          <w:p w14:paraId="547D60C3" w14:textId="77777777" w:rsidR="003E78AB" w:rsidRDefault="00010BF9">
            <w:pPr>
              <w:spacing w:line="360" w:lineRule="exact"/>
              <w:ind w:firstLineChars="0" w:firstLine="0"/>
              <w:contextualSpacing/>
              <w:jc w:val="center"/>
              <w:rPr>
                <w:b/>
                <w:sz w:val="21"/>
                <w:szCs w:val="21"/>
              </w:rPr>
            </w:pPr>
            <w:r>
              <w:rPr>
                <w:b/>
                <w:sz w:val="21"/>
                <w:szCs w:val="21"/>
              </w:rPr>
              <w:t>编号</w:t>
            </w:r>
          </w:p>
        </w:tc>
        <w:tc>
          <w:tcPr>
            <w:tcW w:w="1689" w:type="pct"/>
            <w:vAlign w:val="center"/>
          </w:tcPr>
          <w:p w14:paraId="68F5E916" w14:textId="77777777" w:rsidR="003E78AB" w:rsidRDefault="00010BF9">
            <w:pPr>
              <w:spacing w:line="360" w:lineRule="exact"/>
              <w:ind w:firstLineChars="0" w:firstLine="0"/>
              <w:contextualSpacing/>
              <w:jc w:val="center"/>
              <w:rPr>
                <w:b/>
                <w:sz w:val="21"/>
                <w:szCs w:val="21"/>
              </w:rPr>
            </w:pPr>
            <w:r>
              <w:rPr>
                <w:b/>
                <w:sz w:val="21"/>
                <w:szCs w:val="21"/>
              </w:rPr>
              <w:t>名称</w:t>
            </w:r>
          </w:p>
        </w:tc>
        <w:tc>
          <w:tcPr>
            <w:tcW w:w="1250" w:type="pct"/>
            <w:vAlign w:val="center"/>
          </w:tcPr>
          <w:p w14:paraId="3CFBDF70" w14:textId="77777777" w:rsidR="003E78AB" w:rsidRDefault="00010BF9">
            <w:pPr>
              <w:spacing w:line="360" w:lineRule="exact"/>
              <w:ind w:firstLineChars="0" w:firstLine="0"/>
              <w:contextualSpacing/>
              <w:jc w:val="center"/>
              <w:rPr>
                <w:b/>
                <w:sz w:val="21"/>
                <w:szCs w:val="21"/>
              </w:rPr>
            </w:pPr>
            <w:r>
              <w:rPr>
                <w:b/>
                <w:sz w:val="21"/>
                <w:szCs w:val="21"/>
              </w:rPr>
              <w:t>属性</w:t>
            </w:r>
          </w:p>
        </w:tc>
        <w:tc>
          <w:tcPr>
            <w:tcW w:w="1250" w:type="pct"/>
            <w:vAlign w:val="center"/>
          </w:tcPr>
          <w:p w14:paraId="25B79B7D" w14:textId="77777777" w:rsidR="003E78AB" w:rsidRDefault="00010BF9">
            <w:pPr>
              <w:spacing w:line="360" w:lineRule="exact"/>
              <w:ind w:firstLineChars="0" w:firstLine="0"/>
              <w:contextualSpacing/>
              <w:jc w:val="center"/>
              <w:rPr>
                <w:b/>
                <w:sz w:val="21"/>
                <w:szCs w:val="21"/>
              </w:rPr>
            </w:pPr>
            <w:r>
              <w:rPr>
                <w:b/>
                <w:sz w:val="21"/>
                <w:szCs w:val="21"/>
              </w:rPr>
              <w:t>面积（</w:t>
            </w:r>
            <w:r>
              <w:rPr>
                <w:b/>
                <w:sz w:val="21"/>
                <w:szCs w:val="21"/>
              </w:rPr>
              <w:t>km</w:t>
            </w:r>
            <w:r>
              <w:rPr>
                <w:b/>
                <w:sz w:val="21"/>
                <w:szCs w:val="21"/>
                <w:vertAlign w:val="superscript"/>
              </w:rPr>
              <w:t>2</w:t>
            </w:r>
            <w:r>
              <w:rPr>
                <w:b/>
                <w:sz w:val="21"/>
                <w:szCs w:val="21"/>
              </w:rPr>
              <w:t>）</w:t>
            </w:r>
          </w:p>
        </w:tc>
      </w:tr>
      <w:tr w:rsidR="003E78AB" w14:paraId="141321AB" w14:textId="77777777">
        <w:trPr>
          <w:trHeight w:val="340"/>
          <w:jc w:val="center"/>
        </w:trPr>
        <w:tc>
          <w:tcPr>
            <w:tcW w:w="809" w:type="pct"/>
            <w:vAlign w:val="center"/>
          </w:tcPr>
          <w:p w14:paraId="7217C185" w14:textId="77777777" w:rsidR="003E78AB" w:rsidRDefault="00010BF9">
            <w:pPr>
              <w:spacing w:line="360" w:lineRule="exact"/>
              <w:ind w:firstLineChars="0" w:firstLine="0"/>
              <w:contextualSpacing/>
              <w:jc w:val="center"/>
              <w:rPr>
                <w:sz w:val="21"/>
                <w:szCs w:val="21"/>
              </w:rPr>
            </w:pPr>
            <w:r>
              <w:rPr>
                <w:sz w:val="21"/>
                <w:szCs w:val="21"/>
              </w:rPr>
              <w:t>1</w:t>
            </w:r>
          </w:p>
        </w:tc>
        <w:tc>
          <w:tcPr>
            <w:tcW w:w="1689" w:type="pct"/>
            <w:vAlign w:val="center"/>
          </w:tcPr>
          <w:p w14:paraId="1467F412" w14:textId="77777777" w:rsidR="003E78AB" w:rsidRDefault="00010BF9">
            <w:pPr>
              <w:spacing w:line="360" w:lineRule="exact"/>
              <w:ind w:firstLineChars="0" w:firstLine="0"/>
              <w:contextualSpacing/>
              <w:jc w:val="center"/>
              <w:rPr>
                <w:sz w:val="21"/>
                <w:szCs w:val="21"/>
              </w:rPr>
            </w:pPr>
            <w:r>
              <w:rPr>
                <w:sz w:val="21"/>
                <w:szCs w:val="21"/>
              </w:rPr>
              <w:t>大南湖水库</w:t>
            </w:r>
          </w:p>
        </w:tc>
        <w:tc>
          <w:tcPr>
            <w:tcW w:w="1250" w:type="pct"/>
            <w:vAlign w:val="center"/>
          </w:tcPr>
          <w:p w14:paraId="730B079D" w14:textId="77777777" w:rsidR="003E78AB" w:rsidRDefault="00010BF9">
            <w:pPr>
              <w:spacing w:line="360" w:lineRule="exact"/>
              <w:ind w:firstLineChars="0" w:firstLine="0"/>
              <w:contextualSpacing/>
              <w:jc w:val="center"/>
              <w:rPr>
                <w:sz w:val="21"/>
                <w:szCs w:val="21"/>
              </w:rPr>
            </w:pPr>
            <w:r>
              <w:rPr>
                <w:sz w:val="21"/>
                <w:szCs w:val="21"/>
              </w:rPr>
              <w:t>灌溉用水</w:t>
            </w:r>
          </w:p>
        </w:tc>
        <w:tc>
          <w:tcPr>
            <w:tcW w:w="1250" w:type="pct"/>
            <w:vAlign w:val="center"/>
          </w:tcPr>
          <w:p w14:paraId="09301144" w14:textId="77777777" w:rsidR="003E78AB" w:rsidRDefault="00010BF9">
            <w:pPr>
              <w:spacing w:line="360" w:lineRule="exact"/>
              <w:ind w:firstLineChars="0" w:firstLine="0"/>
              <w:contextualSpacing/>
              <w:jc w:val="center"/>
              <w:rPr>
                <w:sz w:val="21"/>
                <w:szCs w:val="21"/>
              </w:rPr>
            </w:pPr>
            <w:r>
              <w:rPr>
                <w:sz w:val="21"/>
                <w:szCs w:val="21"/>
              </w:rPr>
              <w:t>26.25</w:t>
            </w:r>
          </w:p>
        </w:tc>
      </w:tr>
      <w:tr w:rsidR="003E78AB" w14:paraId="06C62403" w14:textId="77777777">
        <w:trPr>
          <w:trHeight w:val="340"/>
          <w:jc w:val="center"/>
        </w:trPr>
        <w:tc>
          <w:tcPr>
            <w:tcW w:w="809" w:type="pct"/>
            <w:vAlign w:val="center"/>
          </w:tcPr>
          <w:p w14:paraId="3CFF46EE" w14:textId="77777777" w:rsidR="003E78AB" w:rsidRDefault="00010BF9">
            <w:pPr>
              <w:spacing w:line="360" w:lineRule="exact"/>
              <w:ind w:firstLineChars="0" w:firstLine="0"/>
              <w:contextualSpacing/>
              <w:jc w:val="center"/>
              <w:rPr>
                <w:sz w:val="21"/>
                <w:szCs w:val="21"/>
              </w:rPr>
            </w:pPr>
            <w:r>
              <w:rPr>
                <w:sz w:val="21"/>
                <w:szCs w:val="21"/>
              </w:rPr>
              <w:t>2</w:t>
            </w:r>
          </w:p>
        </w:tc>
        <w:tc>
          <w:tcPr>
            <w:tcW w:w="1689" w:type="pct"/>
            <w:vAlign w:val="center"/>
          </w:tcPr>
          <w:p w14:paraId="2850FFF0" w14:textId="77777777" w:rsidR="003E78AB" w:rsidRDefault="00010BF9">
            <w:pPr>
              <w:spacing w:line="360" w:lineRule="exact"/>
              <w:ind w:firstLineChars="0" w:firstLine="0"/>
              <w:contextualSpacing/>
              <w:jc w:val="center"/>
              <w:rPr>
                <w:sz w:val="21"/>
                <w:szCs w:val="21"/>
              </w:rPr>
            </w:pPr>
            <w:r>
              <w:rPr>
                <w:sz w:val="21"/>
                <w:szCs w:val="21"/>
              </w:rPr>
              <w:t>五堡水库</w:t>
            </w:r>
          </w:p>
        </w:tc>
        <w:tc>
          <w:tcPr>
            <w:tcW w:w="1250" w:type="pct"/>
            <w:vAlign w:val="center"/>
          </w:tcPr>
          <w:p w14:paraId="46776E1B" w14:textId="77777777" w:rsidR="003E78AB" w:rsidRDefault="00010BF9">
            <w:pPr>
              <w:spacing w:line="360" w:lineRule="exact"/>
              <w:ind w:firstLineChars="0" w:firstLine="0"/>
              <w:contextualSpacing/>
              <w:jc w:val="center"/>
              <w:rPr>
                <w:sz w:val="21"/>
                <w:szCs w:val="21"/>
              </w:rPr>
            </w:pPr>
            <w:r>
              <w:rPr>
                <w:sz w:val="21"/>
                <w:szCs w:val="21"/>
              </w:rPr>
              <w:t>灌溉用水</w:t>
            </w:r>
          </w:p>
        </w:tc>
        <w:tc>
          <w:tcPr>
            <w:tcW w:w="1250" w:type="pct"/>
            <w:vAlign w:val="center"/>
          </w:tcPr>
          <w:p w14:paraId="6EC7EC6E" w14:textId="77777777" w:rsidR="003E78AB" w:rsidRDefault="00010BF9">
            <w:pPr>
              <w:spacing w:line="360" w:lineRule="exact"/>
              <w:ind w:firstLineChars="0" w:firstLine="0"/>
              <w:contextualSpacing/>
              <w:jc w:val="center"/>
              <w:rPr>
                <w:sz w:val="21"/>
                <w:szCs w:val="21"/>
              </w:rPr>
            </w:pPr>
            <w:r>
              <w:rPr>
                <w:sz w:val="21"/>
                <w:szCs w:val="21"/>
              </w:rPr>
              <w:t>20.8</w:t>
            </w:r>
          </w:p>
        </w:tc>
      </w:tr>
      <w:tr w:rsidR="003E78AB" w14:paraId="610300B9" w14:textId="77777777">
        <w:trPr>
          <w:trHeight w:val="340"/>
          <w:jc w:val="center"/>
        </w:trPr>
        <w:tc>
          <w:tcPr>
            <w:tcW w:w="809" w:type="pct"/>
            <w:vAlign w:val="center"/>
          </w:tcPr>
          <w:p w14:paraId="7A6037DD" w14:textId="77777777" w:rsidR="003E78AB" w:rsidRDefault="00010BF9">
            <w:pPr>
              <w:spacing w:line="360" w:lineRule="exact"/>
              <w:ind w:firstLineChars="0" w:firstLine="0"/>
              <w:contextualSpacing/>
              <w:jc w:val="center"/>
              <w:rPr>
                <w:sz w:val="21"/>
                <w:szCs w:val="21"/>
              </w:rPr>
            </w:pPr>
            <w:r>
              <w:rPr>
                <w:sz w:val="21"/>
                <w:szCs w:val="21"/>
              </w:rPr>
              <w:t>3</w:t>
            </w:r>
          </w:p>
        </w:tc>
        <w:tc>
          <w:tcPr>
            <w:tcW w:w="1689" w:type="pct"/>
            <w:vAlign w:val="center"/>
          </w:tcPr>
          <w:p w14:paraId="584C2301" w14:textId="77777777" w:rsidR="003E78AB" w:rsidRDefault="00010BF9">
            <w:pPr>
              <w:spacing w:line="360" w:lineRule="exact"/>
              <w:ind w:firstLineChars="0" w:firstLine="0"/>
              <w:contextualSpacing/>
              <w:jc w:val="center"/>
              <w:rPr>
                <w:sz w:val="21"/>
                <w:szCs w:val="21"/>
              </w:rPr>
            </w:pPr>
            <w:r>
              <w:rPr>
                <w:sz w:val="21"/>
                <w:szCs w:val="21"/>
              </w:rPr>
              <w:t>花园水库</w:t>
            </w:r>
          </w:p>
        </w:tc>
        <w:tc>
          <w:tcPr>
            <w:tcW w:w="1250" w:type="pct"/>
            <w:vAlign w:val="center"/>
          </w:tcPr>
          <w:p w14:paraId="7BE7B1CE" w14:textId="77777777" w:rsidR="003E78AB" w:rsidRDefault="00010BF9">
            <w:pPr>
              <w:spacing w:line="360" w:lineRule="exact"/>
              <w:ind w:firstLineChars="0" w:firstLine="0"/>
              <w:contextualSpacing/>
              <w:jc w:val="center"/>
              <w:rPr>
                <w:sz w:val="21"/>
                <w:szCs w:val="21"/>
              </w:rPr>
            </w:pPr>
            <w:r>
              <w:rPr>
                <w:sz w:val="21"/>
                <w:szCs w:val="21"/>
              </w:rPr>
              <w:t>灌溉用水</w:t>
            </w:r>
          </w:p>
        </w:tc>
        <w:tc>
          <w:tcPr>
            <w:tcW w:w="1250" w:type="pct"/>
            <w:vAlign w:val="center"/>
          </w:tcPr>
          <w:p w14:paraId="029D20E1" w14:textId="77777777" w:rsidR="003E78AB" w:rsidRDefault="00010BF9">
            <w:pPr>
              <w:spacing w:line="360" w:lineRule="exact"/>
              <w:ind w:firstLineChars="0" w:firstLine="0"/>
              <w:contextualSpacing/>
              <w:jc w:val="center"/>
              <w:rPr>
                <w:sz w:val="21"/>
                <w:szCs w:val="21"/>
              </w:rPr>
            </w:pPr>
            <w:r>
              <w:rPr>
                <w:sz w:val="21"/>
                <w:szCs w:val="21"/>
              </w:rPr>
              <w:t>9.9</w:t>
            </w:r>
          </w:p>
        </w:tc>
      </w:tr>
      <w:tr w:rsidR="003E78AB" w14:paraId="5C635245" w14:textId="77777777">
        <w:trPr>
          <w:trHeight w:val="340"/>
          <w:jc w:val="center"/>
        </w:trPr>
        <w:tc>
          <w:tcPr>
            <w:tcW w:w="809" w:type="pct"/>
            <w:vAlign w:val="center"/>
          </w:tcPr>
          <w:p w14:paraId="4B3FA0C3" w14:textId="77777777" w:rsidR="003E78AB" w:rsidRDefault="00010BF9">
            <w:pPr>
              <w:spacing w:line="360" w:lineRule="exact"/>
              <w:ind w:firstLineChars="0" w:firstLine="0"/>
              <w:contextualSpacing/>
              <w:jc w:val="center"/>
              <w:rPr>
                <w:sz w:val="21"/>
                <w:szCs w:val="21"/>
              </w:rPr>
            </w:pPr>
            <w:r>
              <w:rPr>
                <w:sz w:val="21"/>
                <w:szCs w:val="21"/>
              </w:rPr>
              <w:t>4</w:t>
            </w:r>
          </w:p>
        </w:tc>
        <w:tc>
          <w:tcPr>
            <w:tcW w:w="1689" w:type="pct"/>
            <w:vAlign w:val="center"/>
          </w:tcPr>
          <w:p w14:paraId="6307245E" w14:textId="77777777" w:rsidR="003E78AB" w:rsidRDefault="00010BF9">
            <w:pPr>
              <w:spacing w:line="360" w:lineRule="exact"/>
              <w:ind w:firstLineChars="0" w:firstLine="0"/>
              <w:contextualSpacing/>
              <w:jc w:val="center"/>
              <w:rPr>
                <w:sz w:val="21"/>
                <w:szCs w:val="21"/>
              </w:rPr>
            </w:pPr>
            <w:r>
              <w:rPr>
                <w:sz w:val="21"/>
                <w:szCs w:val="21"/>
              </w:rPr>
              <w:t>五道沟引水干渠</w:t>
            </w:r>
          </w:p>
        </w:tc>
        <w:tc>
          <w:tcPr>
            <w:tcW w:w="1250" w:type="pct"/>
            <w:vAlign w:val="center"/>
          </w:tcPr>
          <w:p w14:paraId="240B0796" w14:textId="77777777" w:rsidR="003E78AB" w:rsidRDefault="00010BF9">
            <w:pPr>
              <w:spacing w:line="360" w:lineRule="exact"/>
              <w:ind w:firstLineChars="0" w:firstLine="0"/>
              <w:contextualSpacing/>
              <w:jc w:val="center"/>
              <w:rPr>
                <w:sz w:val="21"/>
                <w:szCs w:val="21"/>
              </w:rPr>
            </w:pPr>
            <w:r>
              <w:rPr>
                <w:sz w:val="21"/>
                <w:szCs w:val="21"/>
              </w:rPr>
              <w:t>引水干渠</w:t>
            </w:r>
          </w:p>
        </w:tc>
        <w:tc>
          <w:tcPr>
            <w:tcW w:w="1250" w:type="pct"/>
            <w:vAlign w:val="center"/>
          </w:tcPr>
          <w:p w14:paraId="562ECC60" w14:textId="77777777" w:rsidR="003E78AB" w:rsidRDefault="00010BF9">
            <w:pPr>
              <w:spacing w:line="360" w:lineRule="exact"/>
              <w:ind w:firstLineChars="0" w:firstLine="0"/>
              <w:contextualSpacing/>
              <w:jc w:val="center"/>
              <w:rPr>
                <w:sz w:val="21"/>
                <w:szCs w:val="21"/>
              </w:rPr>
            </w:pPr>
            <w:r>
              <w:rPr>
                <w:sz w:val="21"/>
                <w:szCs w:val="21"/>
              </w:rPr>
              <w:t>74</w:t>
            </w:r>
          </w:p>
        </w:tc>
      </w:tr>
      <w:tr w:rsidR="003E78AB" w14:paraId="4B88C036" w14:textId="77777777">
        <w:trPr>
          <w:trHeight w:val="340"/>
          <w:jc w:val="center"/>
        </w:trPr>
        <w:tc>
          <w:tcPr>
            <w:tcW w:w="809" w:type="pct"/>
            <w:vAlign w:val="center"/>
          </w:tcPr>
          <w:p w14:paraId="69580146" w14:textId="77777777" w:rsidR="003E78AB" w:rsidRDefault="00010BF9">
            <w:pPr>
              <w:spacing w:line="360" w:lineRule="exact"/>
              <w:ind w:firstLineChars="0" w:firstLine="0"/>
              <w:contextualSpacing/>
              <w:jc w:val="center"/>
              <w:rPr>
                <w:sz w:val="21"/>
                <w:szCs w:val="21"/>
              </w:rPr>
            </w:pPr>
            <w:r>
              <w:rPr>
                <w:sz w:val="21"/>
                <w:szCs w:val="21"/>
              </w:rPr>
              <w:t>5</w:t>
            </w:r>
          </w:p>
        </w:tc>
        <w:tc>
          <w:tcPr>
            <w:tcW w:w="1689" w:type="pct"/>
            <w:vAlign w:val="center"/>
          </w:tcPr>
          <w:p w14:paraId="7035BCF5" w14:textId="77777777" w:rsidR="003E78AB" w:rsidRDefault="00010BF9">
            <w:pPr>
              <w:spacing w:line="360" w:lineRule="exact"/>
              <w:ind w:firstLineChars="0" w:firstLine="0"/>
              <w:contextualSpacing/>
              <w:jc w:val="center"/>
              <w:rPr>
                <w:sz w:val="21"/>
                <w:szCs w:val="21"/>
              </w:rPr>
            </w:pPr>
            <w:r>
              <w:rPr>
                <w:sz w:val="21"/>
                <w:szCs w:val="21"/>
              </w:rPr>
              <w:t>石城子水库引水干渠</w:t>
            </w:r>
          </w:p>
        </w:tc>
        <w:tc>
          <w:tcPr>
            <w:tcW w:w="1250" w:type="pct"/>
            <w:vAlign w:val="center"/>
          </w:tcPr>
          <w:p w14:paraId="589EFDBC" w14:textId="77777777" w:rsidR="003E78AB" w:rsidRDefault="00010BF9">
            <w:pPr>
              <w:spacing w:line="360" w:lineRule="exact"/>
              <w:ind w:firstLineChars="0" w:firstLine="0"/>
              <w:contextualSpacing/>
              <w:jc w:val="center"/>
              <w:rPr>
                <w:sz w:val="21"/>
                <w:szCs w:val="21"/>
              </w:rPr>
            </w:pPr>
            <w:r>
              <w:rPr>
                <w:sz w:val="21"/>
                <w:szCs w:val="21"/>
              </w:rPr>
              <w:t>引水干渠</w:t>
            </w:r>
          </w:p>
        </w:tc>
        <w:tc>
          <w:tcPr>
            <w:tcW w:w="1250" w:type="pct"/>
            <w:vAlign w:val="center"/>
          </w:tcPr>
          <w:p w14:paraId="66790384" w14:textId="77777777" w:rsidR="003E78AB" w:rsidRDefault="00010BF9">
            <w:pPr>
              <w:spacing w:line="360" w:lineRule="exact"/>
              <w:ind w:firstLineChars="0" w:firstLine="0"/>
              <w:contextualSpacing/>
              <w:jc w:val="center"/>
              <w:rPr>
                <w:sz w:val="21"/>
                <w:szCs w:val="21"/>
              </w:rPr>
            </w:pPr>
            <w:r>
              <w:rPr>
                <w:sz w:val="21"/>
                <w:szCs w:val="21"/>
              </w:rPr>
              <w:t>39</w:t>
            </w:r>
          </w:p>
        </w:tc>
      </w:tr>
      <w:tr w:rsidR="003E78AB" w14:paraId="5729FCAD" w14:textId="77777777">
        <w:trPr>
          <w:trHeight w:val="340"/>
          <w:jc w:val="center"/>
        </w:trPr>
        <w:tc>
          <w:tcPr>
            <w:tcW w:w="809" w:type="pct"/>
            <w:vAlign w:val="center"/>
          </w:tcPr>
          <w:p w14:paraId="5842A89D" w14:textId="77777777" w:rsidR="003E78AB" w:rsidRDefault="00010BF9">
            <w:pPr>
              <w:spacing w:line="360" w:lineRule="exact"/>
              <w:ind w:firstLineChars="0" w:firstLine="0"/>
              <w:contextualSpacing/>
              <w:jc w:val="center"/>
              <w:rPr>
                <w:sz w:val="21"/>
                <w:szCs w:val="21"/>
              </w:rPr>
            </w:pPr>
            <w:r>
              <w:rPr>
                <w:sz w:val="21"/>
                <w:szCs w:val="21"/>
              </w:rPr>
              <w:t>6</w:t>
            </w:r>
          </w:p>
        </w:tc>
        <w:tc>
          <w:tcPr>
            <w:tcW w:w="1689" w:type="pct"/>
            <w:vAlign w:val="center"/>
          </w:tcPr>
          <w:p w14:paraId="104B7670" w14:textId="77777777" w:rsidR="003E78AB" w:rsidRDefault="00010BF9">
            <w:pPr>
              <w:spacing w:line="360" w:lineRule="exact"/>
              <w:ind w:firstLineChars="0" w:firstLine="0"/>
              <w:contextualSpacing/>
              <w:jc w:val="center"/>
              <w:rPr>
                <w:sz w:val="21"/>
                <w:szCs w:val="21"/>
              </w:rPr>
            </w:pPr>
            <w:r>
              <w:rPr>
                <w:sz w:val="21"/>
                <w:szCs w:val="21"/>
              </w:rPr>
              <w:t>榆树沟水库引水干渠</w:t>
            </w:r>
          </w:p>
        </w:tc>
        <w:tc>
          <w:tcPr>
            <w:tcW w:w="1250" w:type="pct"/>
            <w:vAlign w:val="center"/>
          </w:tcPr>
          <w:p w14:paraId="3A0B73A4" w14:textId="77777777" w:rsidR="003E78AB" w:rsidRDefault="00010BF9">
            <w:pPr>
              <w:spacing w:line="360" w:lineRule="exact"/>
              <w:ind w:firstLineChars="0" w:firstLine="0"/>
              <w:contextualSpacing/>
              <w:jc w:val="center"/>
              <w:rPr>
                <w:sz w:val="21"/>
                <w:szCs w:val="21"/>
              </w:rPr>
            </w:pPr>
            <w:r>
              <w:rPr>
                <w:sz w:val="21"/>
                <w:szCs w:val="21"/>
              </w:rPr>
              <w:t>引水干渠</w:t>
            </w:r>
          </w:p>
        </w:tc>
        <w:tc>
          <w:tcPr>
            <w:tcW w:w="1250" w:type="pct"/>
            <w:vAlign w:val="center"/>
          </w:tcPr>
          <w:p w14:paraId="646022F5" w14:textId="77777777" w:rsidR="003E78AB" w:rsidRDefault="00010BF9">
            <w:pPr>
              <w:spacing w:line="360" w:lineRule="exact"/>
              <w:ind w:firstLineChars="0" w:firstLine="0"/>
              <w:contextualSpacing/>
              <w:jc w:val="center"/>
              <w:rPr>
                <w:sz w:val="21"/>
                <w:szCs w:val="21"/>
              </w:rPr>
            </w:pPr>
            <w:r>
              <w:rPr>
                <w:sz w:val="21"/>
                <w:szCs w:val="21"/>
              </w:rPr>
              <w:t>46</w:t>
            </w:r>
          </w:p>
        </w:tc>
      </w:tr>
      <w:tr w:rsidR="003E78AB" w14:paraId="1F3C6EDB" w14:textId="77777777">
        <w:trPr>
          <w:trHeight w:val="340"/>
          <w:jc w:val="center"/>
        </w:trPr>
        <w:tc>
          <w:tcPr>
            <w:tcW w:w="809" w:type="pct"/>
            <w:vAlign w:val="center"/>
          </w:tcPr>
          <w:p w14:paraId="00CF535D" w14:textId="77777777" w:rsidR="003E78AB" w:rsidRDefault="00010BF9">
            <w:pPr>
              <w:spacing w:line="360" w:lineRule="exact"/>
              <w:ind w:firstLineChars="0" w:firstLine="0"/>
              <w:contextualSpacing/>
              <w:jc w:val="center"/>
              <w:rPr>
                <w:sz w:val="21"/>
                <w:szCs w:val="21"/>
              </w:rPr>
            </w:pPr>
            <w:r>
              <w:rPr>
                <w:sz w:val="21"/>
                <w:szCs w:val="21"/>
              </w:rPr>
              <w:t>7</w:t>
            </w:r>
          </w:p>
        </w:tc>
        <w:tc>
          <w:tcPr>
            <w:tcW w:w="1689" w:type="pct"/>
            <w:vAlign w:val="center"/>
          </w:tcPr>
          <w:p w14:paraId="2CBDDA72" w14:textId="77777777" w:rsidR="003E78AB" w:rsidRDefault="00010BF9">
            <w:pPr>
              <w:spacing w:line="360" w:lineRule="exact"/>
              <w:ind w:firstLineChars="0" w:firstLine="0"/>
              <w:contextualSpacing/>
              <w:jc w:val="center"/>
              <w:rPr>
                <w:sz w:val="21"/>
                <w:szCs w:val="21"/>
              </w:rPr>
            </w:pPr>
            <w:r>
              <w:rPr>
                <w:sz w:val="21"/>
                <w:szCs w:val="21"/>
              </w:rPr>
              <w:t>哈密市二水源地</w:t>
            </w:r>
          </w:p>
        </w:tc>
        <w:tc>
          <w:tcPr>
            <w:tcW w:w="1250" w:type="pct"/>
            <w:vAlign w:val="center"/>
          </w:tcPr>
          <w:p w14:paraId="0A722215" w14:textId="77777777" w:rsidR="003E78AB" w:rsidRDefault="00010BF9">
            <w:pPr>
              <w:spacing w:line="360" w:lineRule="exact"/>
              <w:ind w:firstLineChars="0" w:firstLine="0"/>
              <w:contextualSpacing/>
              <w:jc w:val="center"/>
              <w:rPr>
                <w:sz w:val="21"/>
                <w:szCs w:val="21"/>
              </w:rPr>
            </w:pPr>
            <w:r>
              <w:rPr>
                <w:sz w:val="21"/>
                <w:szCs w:val="21"/>
              </w:rPr>
              <w:t>地下饮用水源地</w:t>
            </w:r>
          </w:p>
        </w:tc>
        <w:tc>
          <w:tcPr>
            <w:tcW w:w="1250" w:type="pct"/>
            <w:vAlign w:val="center"/>
          </w:tcPr>
          <w:p w14:paraId="5792365D" w14:textId="77777777" w:rsidR="003E78AB" w:rsidRDefault="00010BF9">
            <w:pPr>
              <w:spacing w:line="360" w:lineRule="exact"/>
              <w:ind w:firstLineChars="0" w:firstLine="0"/>
              <w:contextualSpacing/>
              <w:jc w:val="center"/>
              <w:rPr>
                <w:sz w:val="21"/>
                <w:szCs w:val="21"/>
              </w:rPr>
            </w:pPr>
            <w:r>
              <w:rPr>
                <w:sz w:val="21"/>
                <w:szCs w:val="21"/>
              </w:rPr>
              <w:t>27</w:t>
            </w:r>
          </w:p>
        </w:tc>
      </w:tr>
    </w:tbl>
    <w:p w14:paraId="6C759A47" w14:textId="77777777" w:rsidR="003E78AB" w:rsidRDefault="00010BF9">
      <w:pPr>
        <w:ind w:firstLine="480"/>
        <w:rPr>
          <w:bCs/>
        </w:rPr>
      </w:pPr>
      <w:r>
        <w:rPr>
          <w:bCs/>
        </w:rPr>
        <w:t>（</w:t>
      </w:r>
      <w:r>
        <w:rPr>
          <w:bCs/>
        </w:rPr>
        <w:t>2</w:t>
      </w:r>
      <w:r>
        <w:rPr>
          <w:bCs/>
        </w:rPr>
        <w:t>）饮用水源保护区</w:t>
      </w:r>
    </w:p>
    <w:p w14:paraId="76AC8402" w14:textId="77777777" w:rsidR="003E78AB" w:rsidRDefault="00010BF9">
      <w:pPr>
        <w:ind w:firstLine="480"/>
        <w:rPr>
          <w:bCs/>
          <w:kern w:val="2"/>
        </w:rPr>
      </w:pPr>
      <w:r>
        <w:rPr>
          <w:bCs/>
          <w:kern w:val="2"/>
        </w:rPr>
        <w:t>根据现场调查，项目所在南部循环经济产业园东侧南湖乡地下水源地，其保护区范围见</w:t>
      </w:r>
      <w:r>
        <w:rPr>
          <w:bCs/>
          <w:kern w:val="2"/>
        </w:rPr>
        <w:fldChar w:fldCharType="begin"/>
      </w:r>
      <w:r>
        <w:rPr>
          <w:bCs/>
          <w:kern w:val="2"/>
        </w:rPr>
        <w:instrText xml:space="preserve"> REF _Ref2002 \r \h  \* MERGEFORMAT </w:instrText>
      </w:r>
      <w:r>
        <w:rPr>
          <w:bCs/>
          <w:kern w:val="2"/>
        </w:rPr>
      </w:r>
      <w:r>
        <w:rPr>
          <w:bCs/>
          <w:kern w:val="2"/>
        </w:rPr>
        <w:fldChar w:fldCharType="separate"/>
      </w:r>
      <w:r>
        <w:rPr>
          <w:bCs/>
          <w:kern w:val="2"/>
        </w:rPr>
        <w:t>表</w:t>
      </w:r>
      <w:r>
        <w:rPr>
          <w:bCs/>
          <w:kern w:val="2"/>
        </w:rPr>
        <w:t>4-2</w:t>
      </w:r>
      <w:r>
        <w:rPr>
          <w:bCs/>
          <w:kern w:val="2"/>
        </w:rPr>
        <w:fldChar w:fldCharType="end"/>
      </w:r>
      <w:r>
        <w:rPr>
          <w:bCs/>
          <w:kern w:val="2"/>
        </w:rPr>
        <w:t>。</w:t>
      </w:r>
    </w:p>
    <w:p w14:paraId="5351486C" w14:textId="77777777" w:rsidR="003E78AB" w:rsidRDefault="00010BF9">
      <w:pPr>
        <w:pStyle w:val="a0"/>
        <w:ind w:left="425" w:hanging="425"/>
        <w:rPr>
          <w:rFonts w:hint="default"/>
          <w:bCs/>
          <w:lang w:val="zh-CN"/>
        </w:rPr>
      </w:pPr>
      <w:bookmarkStart w:id="289" w:name="_Ref2002"/>
      <w:r>
        <w:rPr>
          <w:rFonts w:hint="default"/>
          <w:bCs/>
          <w:lang w:val="zh-CN"/>
        </w:rPr>
        <w:t>南湖乡水厂水源地</w:t>
      </w:r>
      <w:bookmarkEnd w:id="289"/>
    </w:p>
    <w:tbl>
      <w:tblPr>
        <w:tblW w:w="8460" w:type="dxa"/>
        <w:tblInd w:w="108"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1613"/>
        <w:gridCol w:w="1588"/>
        <w:gridCol w:w="3059"/>
        <w:gridCol w:w="2200"/>
      </w:tblGrid>
      <w:tr w:rsidR="003E78AB" w14:paraId="6627A722" w14:textId="77777777">
        <w:trPr>
          <w:trHeight w:val="340"/>
          <w:tblHeader/>
        </w:trPr>
        <w:tc>
          <w:tcPr>
            <w:tcW w:w="1613" w:type="dxa"/>
            <w:tcBorders>
              <w:top w:val="single" w:sz="4" w:space="0" w:color="auto"/>
              <w:left w:val="single" w:sz="4" w:space="0" w:color="auto"/>
              <w:bottom w:val="single" w:sz="4" w:space="0" w:color="auto"/>
              <w:right w:val="single" w:sz="4" w:space="0" w:color="auto"/>
            </w:tcBorders>
            <w:vAlign w:val="center"/>
          </w:tcPr>
          <w:p w14:paraId="70542F46"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保护区级别</w:t>
            </w:r>
          </w:p>
        </w:tc>
        <w:tc>
          <w:tcPr>
            <w:tcW w:w="1588" w:type="dxa"/>
            <w:tcBorders>
              <w:top w:val="single" w:sz="4" w:space="0" w:color="auto"/>
              <w:left w:val="single" w:sz="4" w:space="0" w:color="auto"/>
              <w:bottom w:val="single" w:sz="4" w:space="0" w:color="auto"/>
              <w:right w:val="single" w:sz="4" w:space="0" w:color="auto"/>
            </w:tcBorders>
            <w:vAlign w:val="center"/>
          </w:tcPr>
          <w:p w14:paraId="68A67AAD"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拐点</w:t>
            </w:r>
          </w:p>
        </w:tc>
        <w:tc>
          <w:tcPr>
            <w:tcW w:w="3059" w:type="dxa"/>
            <w:tcBorders>
              <w:top w:val="single" w:sz="4" w:space="0" w:color="auto"/>
              <w:left w:val="single" w:sz="4" w:space="0" w:color="auto"/>
              <w:bottom w:val="single" w:sz="4" w:space="0" w:color="auto"/>
              <w:right w:val="single" w:sz="4" w:space="0" w:color="auto"/>
            </w:tcBorders>
            <w:vAlign w:val="center"/>
          </w:tcPr>
          <w:p w14:paraId="55BD2E91"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经度</w:t>
            </w:r>
          </w:p>
        </w:tc>
        <w:tc>
          <w:tcPr>
            <w:tcW w:w="2200" w:type="dxa"/>
            <w:tcBorders>
              <w:top w:val="single" w:sz="4" w:space="0" w:color="auto"/>
              <w:left w:val="single" w:sz="4" w:space="0" w:color="auto"/>
              <w:bottom w:val="single" w:sz="4" w:space="0" w:color="auto"/>
              <w:right w:val="single" w:sz="4" w:space="0" w:color="auto"/>
            </w:tcBorders>
            <w:vAlign w:val="center"/>
          </w:tcPr>
          <w:p w14:paraId="55B043D8"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
                <w:sz w:val="21"/>
                <w:szCs w:val="21"/>
              </w:rPr>
            </w:pPr>
            <w:r>
              <w:rPr>
                <w:rFonts w:ascii="Times New Roman" w:hAnsi="Times New Roman" w:cs="Times New Roman"/>
                <w:b/>
                <w:sz w:val="21"/>
                <w:szCs w:val="21"/>
              </w:rPr>
              <w:t>纬度</w:t>
            </w:r>
          </w:p>
        </w:tc>
      </w:tr>
      <w:tr w:rsidR="003E78AB" w14:paraId="62F2C163" w14:textId="77777777">
        <w:trPr>
          <w:trHeight w:val="340"/>
        </w:trPr>
        <w:tc>
          <w:tcPr>
            <w:tcW w:w="1613" w:type="dxa"/>
            <w:vMerge w:val="restart"/>
            <w:tcBorders>
              <w:top w:val="single" w:sz="4" w:space="0" w:color="auto"/>
              <w:left w:val="single" w:sz="4" w:space="0" w:color="auto"/>
              <w:bottom w:val="single" w:sz="4" w:space="0" w:color="auto"/>
              <w:right w:val="single" w:sz="4" w:space="0" w:color="auto"/>
            </w:tcBorders>
            <w:vAlign w:val="center"/>
          </w:tcPr>
          <w:p w14:paraId="1A43B240"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一级保护区</w:t>
            </w:r>
          </w:p>
        </w:tc>
        <w:tc>
          <w:tcPr>
            <w:tcW w:w="1588" w:type="dxa"/>
            <w:tcBorders>
              <w:top w:val="single" w:sz="4" w:space="0" w:color="auto"/>
              <w:left w:val="single" w:sz="4" w:space="0" w:color="auto"/>
              <w:bottom w:val="single" w:sz="4" w:space="0" w:color="auto"/>
              <w:right w:val="single" w:sz="4" w:space="0" w:color="auto"/>
            </w:tcBorders>
            <w:vAlign w:val="center"/>
          </w:tcPr>
          <w:p w14:paraId="3219EE22"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A1</w:t>
            </w:r>
          </w:p>
        </w:tc>
        <w:tc>
          <w:tcPr>
            <w:tcW w:w="3059" w:type="dxa"/>
            <w:tcBorders>
              <w:top w:val="single" w:sz="4" w:space="0" w:color="auto"/>
              <w:left w:val="single" w:sz="4" w:space="0" w:color="auto"/>
              <w:bottom w:val="single" w:sz="4" w:space="0" w:color="auto"/>
              <w:right w:val="single" w:sz="4" w:space="0" w:color="auto"/>
            </w:tcBorders>
            <w:vAlign w:val="center"/>
          </w:tcPr>
          <w:p w14:paraId="27D160A0"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w:t>
            </w:r>
            <w:r>
              <w:rPr>
                <w:rFonts w:ascii="Times New Roman" w:hAnsi="Times New Roman" w:cs="Times New Roman"/>
                <w:bCs/>
                <w:sz w:val="21"/>
                <w:szCs w:val="21"/>
                <w:lang w:val="de-DE"/>
              </w:rPr>
              <w:t>29.19</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26749E89"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44.16</w:t>
            </w:r>
            <w:r>
              <w:rPr>
                <w:rFonts w:ascii="Times New Roman" w:hAnsi="Times New Roman" w:cs="Times New Roman"/>
                <w:bCs/>
                <w:sz w:val="21"/>
                <w:szCs w:val="21"/>
                <w:lang w:val="de-DE" w:eastAsia="de-DE"/>
              </w:rPr>
              <w:t>″</w:t>
            </w:r>
          </w:p>
        </w:tc>
      </w:tr>
      <w:tr w:rsidR="003E78AB" w14:paraId="11987F11" w14:textId="77777777">
        <w:trPr>
          <w:trHeight w:val="340"/>
        </w:trPr>
        <w:tc>
          <w:tcPr>
            <w:tcW w:w="1613" w:type="dxa"/>
            <w:vMerge/>
            <w:tcBorders>
              <w:top w:val="single" w:sz="4" w:space="0" w:color="auto"/>
              <w:left w:val="single" w:sz="4" w:space="0" w:color="auto"/>
              <w:bottom w:val="single" w:sz="4" w:space="0" w:color="auto"/>
              <w:right w:val="single" w:sz="4" w:space="0" w:color="auto"/>
            </w:tcBorders>
            <w:vAlign w:val="center"/>
          </w:tcPr>
          <w:p w14:paraId="15F1E815"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p>
        </w:tc>
        <w:tc>
          <w:tcPr>
            <w:tcW w:w="1588" w:type="dxa"/>
            <w:tcBorders>
              <w:top w:val="single" w:sz="4" w:space="0" w:color="auto"/>
              <w:left w:val="single" w:sz="4" w:space="0" w:color="auto"/>
              <w:bottom w:val="single" w:sz="4" w:space="0" w:color="auto"/>
              <w:right w:val="single" w:sz="4" w:space="0" w:color="auto"/>
            </w:tcBorders>
            <w:vAlign w:val="center"/>
          </w:tcPr>
          <w:p w14:paraId="7C611D6E"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A2</w:t>
            </w:r>
          </w:p>
        </w:tc>
        <w:tc>
          <w:tcPr>
            <w:tcW w:w="3059" w:type="dxa"/>
            <w:tcBorders>
              <w:top w:val="single" w:sz="4" w:space="0" w:color="auto"/>
              <w:left w:val="single" w:sz="4" w:space="0" w:color="auto"/>
              <w:bottom w:val="single" w:sz="4" w:space="0" w:color="auto"/>
              <w:right w:val="single" w:sz="4" w:space="0" w:color="auto"/>
            </w:tcBorders>
            <w:vAlign w:val="center"/>
          </w:tcPr>
          <w:p w14:paraId="34B300D2"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lang w:val="de-DE" w:eastAsia="de-DE"/>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93º27′35.</w:t>
            </w:r>
            <w:r>
              <w:rPr>
                <w:rFonts w:ascii="Times New Roman" w:hAnsi="Times New Roman" w:cs="Times New Roman"/>
                <w:bCs/>
                <w:sz w:val="21"/>
                <w:szCs w:val="21"/>
                <w:lang w:val="de-DE"/>
              </w:rPr>
              <w:t>94</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52333581"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43.31</w:t>
            </w:r>
            <w:r>
              <w:rPr>
                <w:rFonts w:ascii="Times New Roman" w:hAnsi="Times New Roman" w:cs="Times New Roman"/>
                <w:bCs/>
                <w:sz w:val="21"/>
                <w:szCs w:val="21"/>
                <w:lang w:val="de-DE" w:eastAsia="de-DE"/>
              </w:rPr>
              <w:t>″</w:t>
            </w:r>
          </w:p>
        </w:tc>
      </w:tr>
      <w:tr w:rsidR="003E78AB" w14:paraId="33BF2277" w14:textId="77777777">
        <w:trPr>
          <w:trHeight w:val="340"/>
        </w:trPr>
        <w:tc>
          <w:tcPr>
            <w:tcW w:w="1613" w:type="dxa"/>
            <w:vMerge/>
            <w:tcBorders>
              <w:top w:val="single" w:sz="4" w:space="0" w:color="auto"/>
              <w:left w:val="single" w:sz="4" w:space="0" w:color="auto"/>
              <w:bottom w:val="single" w:sz="4" w:space="0" w:color="auto"/>
              <w:right w:val="single" w:sz="4" w:space="0" w:color="auto"/>
            </w:tcBorders>
            <w:vAlign w:val="center"/>
          </w:tcPr>
          <w:p w14:paraId="224F638E"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p>
        </w:tc>
        <w:tc>
          <w:tcPr>
            <w:tcW w:w="1588" w:type="dxa"/>
            <w:tcBorders>
              <w:top w:val="single" w:sz="4" w:space="0" w:color="auto"/>
              <w:left w:val="single" w:sz="4" w:space="0" w:color="auto"/>
              <w:bottom w:val="single" w:sz="4" w:space="0" w:color="auto"/>
              <w:right w:val="single" w:sz="4" w:space="0" w:color="auto"/>
            </w:tcBorders>
            <w:vAlign w:val="center"/>
          </w:tcPr>
          <w:p w14:paraId="5AAAF0C9" w14:textId="77777777" w:rsidR="003E78AB" w:rsidRDefault="00010BF9">
            <w:pPr>
              <w:pStyle w:val="TableParagraph"/>
              <w:tabs>
                <w:tab w:val="left" w:pos="361"/>
                <w:tab w:val="center" w:pos="745"/>
              </w:tabs>
              <w:topLinePunct/>
              <w:spacing w:before="0" w:beforeAutospacing="0" w:line="360" w:lineRule="exact"/>
              <w:ind w:firstLineChars="0" w:firstLine="0"/>
              <w:contextualSpacing/>
              <w:rPr>
                <w:rFonts w:ascii="Times New Roman" w:hAnsi="Times New Roman" w:cs="Times New Roman"/>
                <w:bCs/>
                <w:sz w:val="21"/>
                <w:szCs w:val="21"/>
              </w:rPr>
            </w:pPr>
            <w:r>
              <w:rPr>
                <w:rFonts w:ascii="Times New Roman" w:hAnsi="Times New Roman" w:cs="Times New Roman" w:hint="eastAsia"/>
                <w:bCs/>
                <w:sz w:val="21"/>
                <w:szCs w:val="21"/>
              </w:rPr>
              <w:tab/>
            </w:r>
            <w:r>
              <w:rPr>
                <w:rFonts w:ascii="Times New Roman" w:hAnsi="Times New Roman" w:cs="Times New Roman" w:hint="eastAsia"/>
                <w:bCs/>
                <w:sz w:val="21"/>
                <w:szCs w:val="21"/>
              </w:rPr>
              <w:tab/>
            </w:r>
            <w:r>
              <w:rPr>
                <w:rFonts w:ascii="Times New Roman" w:hAnsi="Times New Roman" w:cs="Times New Roman"/>
                <w:bCs/>
                <w:sz w:val="21"/>
                <w:szCs w:val="21"/>
              </w:rPr>
              <w:t>A3</w:t>
            </w:r>
          </w:p>
        </w:tc>
        <w:tc>
          <w:tcPr>
            <w:tcW w:w="3059" w:type="dxa"/>
            <w:tcBorders>
              <w:top w:val="single" w:sz="4" w:space="0" w:color="auto"/>
              <w:left w:val="single" w:sz="4" w:space="0" w:color="auto"/>
              <w:bottom w:val="single" w:sz="4" w:space="0" w:color="auto"/>
              <w:right w:val="single" w:sz="4" w:space="0" w:color="auto"/>
            </w:tcBorders>
            <w:vAlign w:val="center"/>
          </w:tcPr>
          <w:p w14:paraId="6AE443AE"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93º27′35.</w:t>
            </w:r>
            <w:r>
              <w:rPr>
                <w:rFonts w:ascii="Times New Roman" w:hAnsi="Times New Roman" w:cs="Times New Roman"/>
                <w:bCs/>
                <w:sz w:val="21"/>
                <w:szCs w:val="21"/>
                <w:lang w:val="de-DE"/>
              </w:rPr>
              <w:t>12</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5205634B"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39.47</w:t>
            </w:r>
            <w:r>
              <w:rPr>
                <w:rFonts w:ascii="Times New Roman" w:hAnsi="Times New Roman" w:cs="Times New Roman"/>
                <w:bCs/>
                <w:sz w:val="21"/>
                <w:szCs w:val="21"/>
                <w:lang w:val="de-DE" w:eastAsia="de-DE"/>
              </w:rPr>
              <w:t>″</w:t>
            </w:r>
          </w:p>
        </w:tc>
      </w:tr>
      <w:tr w:rsidR="003E78AB" w14:paraId="292F3DED" w14:textId="77777777">
        <w:trPr>
          <w:trHeight w:val="340"/>
        </w:trPr>
        <w:tc>
          <w:tcPr>
            <w:tcW w:w="1613" w:type="dxa"/>
            <w:vMerge/>
            <w:tcBorders>
              <w:top w:val="single" w:sz="4" w:space="0" w:color="auto"/>
              <w:left w:val="single" w:sz="4" w:space="0" w:color="auto"/>
              <w:bottom w:val="single" w:sz="4" w:space="0" w:color="auto"/>
              <w:right w:val="single" w:sz="4" w:space="0" w:color="auto"/>
            </w:tcBorders>
            <w:vAlign w:val="center"/>
          </w:tcPr>
          <w:p w14:paraId="469A107D" w14:textId="77777777" w:rsidR="003E78AB" w:rsidRDefault="003E78AB">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p>
        </w:tc>
        <w:tc>
          <w:tcPr>
            <w:tcW w:w="1588" w:type="dxa"/>
            <w:tcBorders>
              <w:top w:val="single" w:sz="4" w:space="0" w:color="auto"/>
              <w:left w:val="single" w:sz="4" w:space="0" w:color="auto"/>
              <w:bottom w:val="single" w:sz="4" w:space="0" w:color="auto"/>
              <w:right w:val="single" w:sz="4" w:space="0" w:color="auto"/>
            </w:tcBorders>
            <w:vAlign w:val="center"/>
          </w:tcPr>
          <w:p w14:paraId="1F775C69"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rPr>
              <w:t>A4</w:t>
            </w:r>
          </w:p>
        </w:tc>
        <w:tc>
          <w:tcPr>
            <w:tcW w:w="3059" w:type="dxa"/>
            <w:tcBorders>
              <w:top w:val="single" w:sz="4" w:space="0" w:color="auto"/>
              <w:left w:val="single" w:sz="4" w:space="0" w:color="auto"/>
              <w:bottom w:val="single" w:sz="4" w:space="0" w:color="auto"/>
              <w:right w:val="single" w:sz="4" w:space="0" w:color="auto"/>
            </w:tcBorders>
            <w:vAlign w:val="center"/>
          </w:tcPr>
          <w:p w14:paraId="4120E92F"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E</w:t>
            </w:r>
            <w:r>
              <w:rPr>
                <w:rFonts w:ascii="Times New Roman" w:hAnsi="Times New Roman" w:cs="Times New Roman"/>
                <w:bCs/>
                <w:sz w:val="21"/>
                <w:szCs w:val="21"/>
                <w:lang w:val="de-DE" w:eastAsia="de-DE"/>
              </w:rPr>
              <w:t>93º27′2</w:t>
            </w:r>
            <w:r>
              <w:rPr>
                <w:rFonts w:ascii="Times New Roman" w:hAnsi="Times New Roman" w:cs="Times New Roman"/>
                <w:bCs/>
                <w:sz w:val="21"/>
                <w:szCs w:val="21"/>
                <w:lang w:val="de-DE"/>
              </w:rPr>
              <w:t>8.35</w:t>
            </w:r>
            <w:r>
              <w:rPr>
                <w:rFonts w:ascii="Times New Roman" w:hAnsi="Times New Roman" w:cs="Times New Roman"/>
                <w:bCs/>
                <w:sz w:val="21"/>
                <w:szCs w:val="21"/>
                <w:lang w:val="de-DE" w:eastAsia="de-DE"/>
              </w:rPr>
              <w:t>″</w:t>
            </w:r>
          </w:p>
        </w:tc>
        <w:tc>
          <w:tcPr>
            <w:tcW w:w="2200" w:type="dxa"/>
            <w:tcBorders>
              <w:top w:val="single" w:sz="4" w:space="0" w:color="auto"/>
              <w:left w:val="single" w:sz="4" w:space="0" w:color="auto"/>
              <w:bottom w:val="single" w:sz="4" w:space="0" w:color="auto"/>
              <w:right w:val="single" w:sz="4" w:space="0" w:color="auto"/>
            </w:tcBorders>
            <w:vAlign w:val="center"/>
          </w:tcPr>
          <w:p w14:paraId="269E7D07" w14:textId="77777777" w:rsidR="003E78AB" w:rsidRDefault="00010BF9">
            <w:pPr>
              <w:pStyle w:val="TableParagraph"/>
              <w:topLinePunct/>
              <w:spacing w:before="0" w:beforeAutospacing="0" w:line="360" w:lineRule="exact"/>
              <w:ind w:firstLineChars="0" w:firstLine="0"/>
              <w:contextualSpacing/>
              <w:jc w:val="center"/>
              <w:rPr>
                <w:rFonts w:ascii="Times New Roman" w:hAnsi="Times New Roman" w:cs="Times New Roman"/>
                <w:bCs/>
                <w:sz w:val="21"/>
                <w:szCs w:val="21"/>
              </w:rPr>
            </w:pPr>
            <w:r>
              <w:rPr>
                <w:rFonts w:ascii="Times New Roman" w:hAnsi="Times New Roman" w:cs="Times New Roman"/>
                <w:bCs/>
                <w:sz w:val="21"/>
                <w:szCs w:val="21"/>
                <w:lang w:val="de-DE"/>
              </w:rPr>
              <w:t>N</w:t>
            </w:r>
            <w:r>
              <w:rPr>
                <w:rFonts w:ascii="Times New Roman" w:hAnsi="Times New Roman" w:cs="Times New Roman"/>
                <w:bCs/>
                <w:sz w:val="21"/>
                <w:szCs w:val="21"/>
                <w:lang w:val="de-DE" w:eastAsia="de-DE"/>
              </w:rPr>
              <w:t>42º40′</w:t>
            </w:r>
            <w:r>
              <w:rPr>
                <w:rFonts w:ascii="Times New Roman" w:hAnsi="Times New Roman" w:cs="Times New Roman"/>
                <w:bCs/>
                <w:sz w:val="21"/>
                <w:szCs w:val="21"/>
                <w:lang w:val="de-DE"/>
              </w:rPr>
              <w:t>40.35</w:t>
            </w:r>
            <w:r>
              <w:rPr>
                <w:rFonts w:ascii="Times New Roman" w:hAnsi="Times New Roman" w:cs="Times New Roman"/>
                <w:bCs/>
                <w:sz w:val="21"/>
                <w:szCs w:val="21"/>
                <w:lang w:val="de-DE" w:eastAsia="de-DE"/>
              </w:rPr>
              <w:t>″</w:t>
            </w:r>
          </w:p>
        </w:tc>
      </w:tr>
    </w:tbl>
    <w:p w14:paraId="14677269" w14:textId="77777777" w:rsidR="003E78AB" w:rsidRDefault="00010BF9">
      <w:pPr>
        <w:ind w:firstLine="480"/>
        <w:rPr>
          <w:bCs/>
        </w:rPr>
      </w:pPr>
      <w:r>
        <w:rPr>
          <w:bCs/>
          <w:kern w:val="2"/>
        </w:rPr>
        <w:t>根据现场调查及水文地质勘察资料，区域内地下水整体流向为</w:t>
      </w:r>
      <w:r>
        <w:rPr>
          <w:bCs/>
          <w:kern w:val="2"/>
        </w:rPr>
        <w:t>N20°E</w:t>
      </w:r>
      <w:r>
        <w:rPr>
          <w:bCs/>
          <w:kern w:val="2"/>
        </w:rPr>
        <w:t>方向向</w:t>
      </w:r>
      <w:r>
        <w:rPr>
          <w:bCs/>
          <w:kern w:val="2"/>
        </w:rPr>
        <w:t>S20°W</w:t>
      </w:r>
      <w:r>
        <w:rPr>
          <w:bCs/>
          <w:kern w:val="2"/>
        </w:rPr>
        <w:t>流动，该水源地西</w:t>
      </w:r>
      <w:r>
        <w:rPr>
          <w:rFonts w:hint="eastAsia"/>
          <w:bCs/>
          <w:kern w:val="2"/>
        </w:rPr>
        <w:t>南</w:t>
      </w:r>
      <w:r>
        <w:rPr>
          <w:bCs/>
          <w:kern w:val="2"/>
        </w:rPr>
        <w:t>距本项目</w:t>
      </w:r>
      <w:r>
        <w:rPr>
          <w:rFonts w:hint="eastAsia"/>
          <w:bCs/>
          <w:kern w:val="2"/>
        </w:rPr>
        <w:t>3.44</w:t>
      </w:r>
      <w:r>
        <w:rPr>
          <w:bCs/>
          <w:kern w:val="2"/>
        </w:rPr>
        <w:t>km</w:t>
      </w:r>
      <w:r>
        <w:rPr>
          <w:bCs/>
          <w:kern w:val="2"/>
        </w:rPr>
        <w:t>，位于本项目侧游。本项目建设地点不位于该水源地的补给径流区。</w:t>
      </w:r>
    </w:p>
    <w:p w14:paraId="5F9CDA4B" w14:textId="77777777" w:rsidR="003E78AB" w:rsidRDefault="00010BF9">
      <w:pPr>
        <w:ind w:firstLine="480"/>
      </w:pPr>
      <w:r>
        <w:t>（</w:t>
      </w:r>
      <w:r>
        <w:rPr>
          <w:rFonts w:hint="eastAsia"/>
        </w:rPr>
        <w:t>3</w:t>
      </w:r>
      <w:r>
        <w:t>）哈密市水利工程建设现状</w:t>
      </w:r>
    </w:p>
    <w:p w14:paraId="1F6F5946" w14:textId="77777777" w:rsidR="003E78AB" w:rsidRDefault="00010BF9">
      <w:pPr>
        <w:ind w:firstLine="480"/>
      </w:pPr>
      <w:r>
        <w:t>哈密市目前已建有山区及平原水库</w:t>
      </w:r>
      <w:r>
        <w:t>15</w:t>
      </w:r>
      <w:r>
        <w:t>座，总库容</w:t>
      </w:r>
      <w:r>
        <w:t>5560×10</w:t>
      </w:r>
      <w:r>
        <w:rPr>
          <w:vertAlign w:val="superscript"/>
        </w:rPr>
        <w:t>4</w:t>
      </w:r>
      <w:r>
        <w:t>m</w:t>
      </w:r>
      <w:r>
        <w:rPr>
          <w:vertAlign w:val="superscript"/>
        </w:rPr>
        <w:t>3</w:t>
      </w:r>
      <w:r>
        <w:t>，哈密市农区有各级渠道</w:t>
      </w:r>
      <w:r>
        <w:t>2739km</w:t>
      </w:r>
      <w:r>
        <w:t>，已防渗</w:t>
      </w:r>
      <w:r>
        <w:t>2403km</w:t>
      </w:r>
      <w:r>
        <w:t>。石城子水库、榆树沟水库、庙尔沟水库有干、支、斗、农渠道</w:t>
      </w:r>
      <w:r>
        <w:t>1841.16km</w:t>
      </w:r>
      <w:r>
        <w:t>，已防渗</w:t>
      </w:r>
      <w:r>
        <w:t>1330km</w:t>
      </w:r>
      <w:r>
        <w:t>。</w:t>
      </w:r>
    </w:p>
    <w:p w14:paraId="0DC086BC" w14:textId="77777777" w:rsidR="003E78AB" w:rsidRDefault="00010BF9">
      <w:pPr>
        <w:ind w:firstLine="480"/>
      </w:pPr>
      <w:r>
        <w:t>石城子水库位于相距哈密市</w:t>
      </w:r>
      <w:r>
        <w:t>38km</w:t>
      </w:r>
      <w:r>
        <w:t>。水库于</w:t>
      </w:r>
      <w:r>
        <w:t>1975</w:t>
      </w:r>
      <w:r>
        <w:t>年</w:t>
      </w:r>
      <w:r>
        <w:t>12</w:t>
      </w:r>
      <w:r>
        <w:t>月</w:t>
      </w:r>
      <w:r>
        <w:t>7</w:t>
      </w:r>
      <w:r>
        <w:t>日动工兴建，</w:t>
      </w:r>
      <w:r>
        <w:t>1982</w:t>
      </w:r>
      <w:r>
        <w:t>年竣工投入运行。水库坝址以上集水面积</w:t>
      </w:r>
      <w:r>
        <w:t>802km</w:t>
      </w:r>
      <w:r>
        <w:rPr>
          <w:vertAlign w:val="superscript"/>
        </w:rPr>
        <w:t>2</w:t>
      </w:r>
      <w:r>
        <w:t>，石城子水库总库容</w:t>
      </w:r>
      <w:r>
        <w:t>2060×10</w:t>
      </w:r>
      <w:r>
        <w:rPr>
          <w:vertAlign w:val="superscript"/>
        </w:rPr>
        <w:t>4</w:t>
      </w:r>
      <w:r>
        <w:t>m</w:t>
      </w:r>
      <w:r>
        <w:rPr>
          <w:vertAlign w:val="superscript"/>
        </w:rPr>
        <w:t>3</w:t>
      </w:r>
      <w:r>
        <w:t>，水库设计洪水标准百年一遇，相应流量</w:t>
      </w:r>
      <w:r>
        <w:t>360m</w:t>
      </w:r>
      <w:r>
        <w:rPr>
          <w:vertAlign w:val="superscript"/>
        </w:rPr>
        <w:t>3</w:t>
      </w:r>
      <w:r>
        <w:t>/s</w:t>
      </w:r>
      <w:r>
        <w:t>，水库校核洪水千年一遇，相应流量</w:t>
      </w:r>
      <w:r>
        <w:t>795m</w:t>
      </w:r>
      <w:r>
        <w:rPr>
          <w:vertAlign w:val="superscript"/>
        </w:rPr>
        <w:t>3</w:t>
      </w:r>
      <w:r>
        <w:t>/s</w:t>
      </w:r>
      <w:r>
        <w:t>。石城子水库为年调节水库，通过水库调蓄能将夏、秋季节丰水期水量调配给冬、春季节枯水期用水，可满足下游</w:t>
      </w:r>
      <w:r>
        <w:t>一年四季供水要求。</w:t>
      </w:r>
    </w:p>
    <w:p w14:paraId="2DFD8588" w14:textId="77777777" w:rsidR="003E78AB" w:rsidRDefault="00010BF9">
      <w:pPr>
        <w:ind w:firstLine="480"/>
      </w:pPr>
      <w:r>
        <w:t>榆树沟水库位于哈密市榆树沟乡，距哈密市</w:t>
      </w:r>
      <w:r>
        <w:t>50km</w:t>
      </w:r>
      <w:r>
        <w:t>。水库于</w:t>
      </w:r>
      <w:r>
        <w:t>1998</w:t>
      </w:r>
      <w:r>
        <w:t>年</w:t>
      </w:r>
      <w:r>
        <w:t>10</w:t>
      </w:r>
      <w:r>
        <w:t>月动工兴建，</w:t>
      </w:r>
      <w:r>
        <w:t>2001</w:t>
      </w:r>
      <w:r>
        <w:t>年</w:t>
      </w:r>
      <w:r>
        <w:t>11</w:t>
      </w:r>
      <w:r>
        <w:t>月完工。榆树沟水库集水面积</w:t>
      </w:r>
      <w:r>
        <w:t>308km</w:t>
      </w:r>
      <w:r>
        <w:rPr>
          <w:vertAlign w:val="superscript"/>
        </w:rPr>
        <w:t>2</w:t>
      </w:r>
      <w:r>
        <w:t>，榆树沟水库总库容</w:t>
      </w:r>
      <w:r>
        <w:t>1100×10</w:t>
      </w:r>
      <w:r>
        <w:rPr>
          <w:vertAlign w:val="superscript"/>
        </w:rPr>
        <w:t>4</w:t>
      </w:r>
      <w:r>
        <w:t>m</w:t>
      </w:r>
      <w:r>
        <w:rPr>
          <w:vertAlign w:val="superscript"/>
        </w:rPr>
        <w:t>3</w:t>
      </w:r>
      <w:r>
        <w:t>，榆树沟水库设计洪水采用</w:t>
      </w:r>
      <w:r>
        <w:t>50</w:t>
      </w:r>
      <w:r>
        <w:t>年一遇标准，流量</w:t>
      </w:r>
      <w:r>
        <w:t>126m</w:t>
      </w:r>
      <w:r>
        <w:rPr>
          <w:vertAlign w:val="superscript"/>
        </w:rPr>
        <w:t>3</w:t>
      </w:r>
      <w:r>
        <w:t>/s</w:t>
      </w:r>
      <w:r>
        <w:t>；校核洪水采用千年一遇的标准，流量</w:t>
      </w:r>
      <w:r>
        <w:t>398m</w:t>
      </w:r>
      <w:r>
        <w:rPr>
          <w:vertAlign w:val="superscript"/>
        </w:rPr>
        <w:t>3</w:t>
      </w:r>
      <w:r>
        <w:t>/s</w:t>
      </w:r>
      <w:r>
        <w:t>。设计洪水位</w:t>
      </w:r>
      <w:r>
        <w:t>1996.73m</w:t>
      </w:r>
      <w:r>
        <w:t>，校核洪水</w:t>
      </w:r>
      <w:r>
        <w:rPr>
          <w:rFonts w:hint="eastAsia"/>
        </w:rPr>
        <w:t>位</w:t>
      </w:r>
      <w:r>
        <w:t>1998.68m</w:t>
      </w:r>
      <w:r>
        <w:t>，正常蓄水位</w:t>
      </w:r>
      <w:r>
        <w:t>1994.7m</w:t>
      </w:r>
      <w:r>
        <w:t>，死水位</w:t>
      </w:r>
      <w:r>
        <w:t>1953m</w:t>
      </w:r>
      <w:r>
        <w:t>。设计洪水下泄流量</w:t>
      </w:r>
      <w:r>
        <w:t>10</w:t>
      </w:r>
      <w:r>
        <w:rPr>
          <w:vertAlign w:val="superscript"/>
        </w:rPr>
        <w:t>8</w:t>
      </w:r>
      <w:r>
        <w:t>m</w:t>
      </w:r>
      <w:r>
        <w:rPr>
          <w:vertAlign w:val="superscript"/>
        </w:rPr>
        <w:t>3</w:t>
      </w:r>
      <w:r>
        <w:t>/s</w:t>
      </w:r>
      <w:r>
        <w:t>。校核洪水下泄流量</w:t>
      </w:r>
      <w:r>
        <w:t>295m</w:t>
      </w:r>
      <w:r>
        <w:rPr>
          <w:vertAlign w:val="superscript"/>
        </w:rPr>
        <w:t>3</w:t>
      </w:r>
      <w:r>
        <w:t>/s</w:t>
      </w:r>
      <w:r>
        <w:t>。榆树沟水库已建成向工业供水的输水管道。</w:t>
      </w:r>
    </w:p>
    <w:p w14:paraId="71F884D3" w14:textId="77777777" w:rsidR="003E78AB" w:rsidRDefault="00010BF9">
      <w:pPr>
        <w:ind w:firstLine="480"/>
      </w:pPr>
      <w:r>
        <w:t>庙儿沟水库坐落在哈密市庙儿沟村西边的山脚下，水库左边有一条引水渠道，渠道长约</w:t>
      </w:r>
      <w:r>
        <w:t>3km</w:t>
      </w:r>
      <w:r>
        <w:t>，庙儿沟水库库容</w:t>
      </w:r>
      <w:r>
        <w:t>300×10</w:t>
      </w:r>
      <w:r>
        <w:rPr>
          <w:vertAlign w:val="superscript"/>
        </w:rPr>
        <w:t>4</w:t>
      </w:r>
      <w:r>
        <w:t>m</w:t>
      </w:r>
      <w:r>
        <w:rPr>
          <w:vertAlign w:val="superscript"/>
        </w:rPr>
        <w:t>3</w:t>
      </w:r>
      <w:r>
        <w:t>。</w:t>
      </w:r>
    </w:p>
    <w:p w14:paraId="660C8B5C" w14:textId="77777777" w:rsidR="003E78AB" w:rsidRDefault="00010BF9">
      <w:pPr>
        <w:ind w:firstLine="480"/>
      </w:pPr>
      <w:r>
        <w:t>（</w:t>
      </w:r>
      <w:r>
        <w:rPr>
          <w:rFonts w:hint="eastAsia"/>
        </w:rPr>
        <w:t>4</w:t>
      </w:r>
      <w:r>
        <w:t>）水资源开发利用现状</w:t>
      </w:r>
    </w:p>
    <w:p w14:paraId="0A4B3A3E" w14:textId="77777777" w:rsidR="003E78AB" w:rsidRDefault="00010BF9">
      <w:pPr>
        <w:ind w:firstLine="480"/>
      </w:pPr>
      <w:r>
        <w:t>哈密市人均水资源总量仅为</w:t>
      </w:r>
      <w:r>
        <w:t>1500m</w:t>
      </w:r>
      <w:r>
        <w:rPr>
          <w:vertAlign w:val="superscript"/>
        </w:rPr>
        <w:t>3</w:t>
      </w:r>
      <w:r>
        <w:t>，低于国际公认的</w:t>
      </w:r>
      <w:r>
        <w:t>1700m</w:t>
      </w:r>
      <w:r>
        <w:rPr>
          <w:vertAlign w:val="superscript"/>
        </w:rPr>
        <w:t>3</w:t>
      </w:r>
      <w:r>
        <w:t>的警戒线，因此哈密市属于严重的资源型缺水地区。</w:t>
      </w:r>
      <w:r>
        <w:fldChar w:fldCharType="begin"/>
      </w:r>
      <w:r>
        <w:instrText xml:space="preserve"> REF _Ref2892 \r \h </w:instrText>
      </w:r>
      <w:r>
        <w:fldChar w:fldCharType="separate"/>
      </w:r>
      <w:r>
        <w:t>表</w:t>
      </w:r>
      <w:r>
        <w:t>4-2</w:t>
      </w:r>
      <w:r>
        <w:fldChar w:fldCharType="end"/>
      </w:r>
      <w:r>
        <w:t>反映出了哈密市近年各行业用水量情况，但是没有考虑环境生态用水水量。</w:t>
      </w:r>
    </w:p>
    <w:p w14:paraId="03060CA2" w14:textId="77777777" w:rsidR="003E78AB" w:rsidRDefault="00010BF9">
      <w:pPr>
        <w:pStyle w:val="a0"/>
        <w:ind w:left="425" w:hanging="425"/>
        <w:rPr>
          <w:rFonts w:hint="default"/>
        </w:rPr>
      </w:pPr>
      <w:bookmarkStart w:id="290" w:name="_Ref2892"/>
      <w:r>
        <w:rPr>
          <w:rFonts w:hint="default"/>
        </w:rPr>
        <w:t>哈密市现状各行</w:t>
      </w:r>
      <w:r>
        <w:rPr>
          <w:rFonts w:hint="default"/>
        </w:rPr>
        <w:t>业用水量汇总表</w:t>
      </w:r>
      <w:bookmarkEnd w:id="290"/>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6"/>
        <w:gridCol w:w="2127"/>
        <w:gridCol w:w="2130"/>
        <w:gridCol w:w="2130"/>
      </w:tblGrid>
      <w:tr w:rsidR="003E78AB" w14:paraId="022FFEA7" w14:textId="77777777">
        <w:trPr>
          <w:trHeight w:val="340"/>
          <w:jc w:val="center"/>
        </w:trPr>
        <w:tc>
          <w:tcPr>
            <w:tcW w:w="1249" w:type="pct"/>
            <w:vAlign w:val="center"/>
          </w:tcPr>
          <w:p w14:paraId="1A1F477F" w14:textId="77777777" w:rsidR="003E78AB" w:rsidRDefault="00010BF9">
            <w:pPr>
              <w:spacing w:line="360" w:lineRule="exact"/>
              <w:ind w:firstLineChars="0" w:firstLine="0"/>
              <w:contextualSpacing/>
              <w:jc w:val="center"/>
              <w:rPr>
                <w:b/>
                <w:bCs/>
                <w:sz w:val="21"/>
                <w:szCs w:val="21"/>
              </w:rPr>
            </w:pPr>
            <w:r>
              <w:rPr>
                <w:b/>
                <w:bCs/>
                <w:sz w:val="21"/>
                <w:szCs w:val="21"/>
              </w:rPr>
              <w:t>用水项目</w:t>
            </w:r>
          </w:p>
        </w:tc>
        <w:tc>
          <w:tcPr>
            <w:tcW w:w="1249" w:type="pct"/>
            <w:vAlign w:val="center"/>
          </w:tcPr>
          <w:p w14:paraId="3D067FCC" w14:textId="77777777" w:rsidR="003E78AB" w:rsidRDefault="00010BF9">
            <w:pPr>
              <w:spacing w:line="360" w:lineRule="exact"/>
              <w:ind w:firstLineChars="0" w:firstLine="0"/>
              <w:contextualSpacing/>
              <w:jc w:val="center"/>
              <w:rPr>
                <w:b/>
                <w:bCs/>
                <w:sz w:val="21"/>
                <w:szCs w:val="21"/>
              </w:rPr>
            </w:pPr>
            <w:r>
              <w:rPr>
                <w:b/>
                <w:bCs/>
                <w:sz w:val="21"/>
                <w:szCs w:val="21"/>
              </w:rPr>
              <w:t>用水总量（</w:t>
            </w:r>
            <w:r>
              <w:rPr>
                <w:b/>
                <w:bCs/>
                <w:sz w:val="21"/>
                <w:szCs w:val="21"/>
              </w:rPr>
              <w:t>10</w:t>
            </w:r>
            <w:r>
              <w:rPr>
                <w:b/>
                <w:bCs/>
                <w:sz w:val="21"/>
                <w:szCs w:val="21"/>
                <w:vertAlign w:val="superscript"/>
              </w:rPr>
              <w:t>4</w:t>
            </w:r>
            <w:r>
              <w:rPr>
                <w:b/>
                <w:bCs/>
                <w:sz w:val="21"/>
                <w:szCs w:val="21"/>
              </w:rPr>
              <w:t>m</w:t>
            </w:r>
            <w:r>
              <w:rPr>
                <w:b/>
                <w:bCs/>
                <w:sz w:val="21"/>
                <w:szCs w:val="21"/>
                <w:vertAlign w:val="superscript"/>
              </w:rPr>
              <w:t>3</w:t>
            </w:r>
            <w:r>
              <w:rPr>
                <w:b/>
                <w:bCs/>
                <w:sz w:val="21"/>
                <w:szCs w:val="21"/>
              </w:rPr>
              <w:t>）</w:t>
            </w:r>
          </w:p>
        </w:tc>
        <w:tc>
          <w:tcPr>
            <w:tcW w:w="1250" w:type="pct"/>
            <w:vAlign w:val="center"/>
          </w:tcPr>
          <w:p w14:paraId="3D61897B" w14:textId="77777777" w:rsidR="003E78AB" w:rsidRDefault="00010BF9">
            <w:pPr>
              <w:spacing w:line="360" w:lineRule="exact"/>
              <w:ind w:firstLineChars="0" w:firstLine="0"/>
              <w:contextualSpacing/>
              <w:jc w:val="center"/>
              <w:rPr>
                <w:b/>
                <w:bCs/>
                <w:sz w:val="21"/>
                <w:szCs w:val="21"/>
              </w:rPr>
            </w:pPr>
            <w:r>
              <w:rPr>
                <w:b/>
                <w:bCs/>
                <w:sz w:val="21"/>
                <w:szCs w:val="21"/>
              </w:rPr>
              <w:t>地表水（</w:t>
            </w:r>
            <w:r>
              <w:rPr>
                <w:b/>
                <w:bCs/>
                <w:sz w:val="21"/>
                <w:szCs w:val="21"/>
              </w:rPr>
              <w:t>10</w:t>
            </w:r>
            <w:r>
              <w:rPr>
                <w:b/>
                <w:bCs/>
                <w:sz w:val="21"/>
                <w:szCs w:val="21"/>
                <w:vertAlign w:val="superscript"/>
              </w:rPr>
              <w:t>4</w:t>
            </w:r>
            <w:r>
              <w:rPr>
                <w:b/>
                <w:bCs/>
                <w:sz w:val="21"/>
                <w:szCs w:val="21"/>
              </w:rPr>
              <w:t>m</w:t>
            </w:r>
            <w:r>
              <w:rPr>
                <w:b/>
                <w:bCs/>
                <w:sz w:val="21"/>
                <w:szCs w:val="21"/>
                <w:vertAlign w:val="superscript"/>
              </w:rPr>
              <w:t>3</w:t>
            </w:r>
            <w:r>
              <w:rPr>
                <w:b/>
                <w:bCs/>
                <w:sz w:val="21"/>
                <w:szCs w:val="21"/>
              </w:rPr>
              <w:t>）</w:t>
            </w:r>
          </w:p>
        </w:tc>
        <w:tc>
          <w:tcPr>
            <w:tcW w:w="1250" w:type="pct"/>
            <w:vAlign w:val="center"/>
          </w:tcPr>
          <w:p w14:paraId="61E3FB63" w14:textId="77777777" w:rsidR="003E78AB" w:rsidRDefault="00010BF9">
            <w:pPr>
              <w:spacing w:line="360" w:lineRule="exact"/>
              <w:ind w:firstLineChars="0" w:firstLine="0"/>
              <w:contextualSpacing/>
              <w:jc w:val="center"/>
              <w:rPr>
                <w:b/>
                <w:bCs/>
                <w:sz w:val="21"/>
                <w:szCs w:val="21"/>
              </w:rPr>
            </w:pPr>
            <w:r>
              <w:rPr>
                <w:b/>
                <w:bCs/>
                <w:sz w:val="21"/>
                <w:szCs w:val="21"/>
              </w:rPr>
              <w:t>地下水（</w:t>
            </w:r>
            <w:r>
              <w:rPr>
                <w:b/>
                <w:bCs/>
                <w:sz w:val="21"/>
                <w:szCs w:val="21"/>
              </w:rPr>
              <w:t>10</w:t>
            </w:r>
            <w:r>
              <w:rPr>
                <w:b/>
                <w:bCs/>
                <w:sz w:val="21"/>
                <w:szCs w:val="21"/>
                <w:vertAlign w:val="superscript"/>
              </w:rPr>
              <w:t>4</w:t>
            </w:r>
            <w:r>
              <w:rPr>
                <w:b/>
                <w:bCs/>
                <w:sz w:val="21"/>
                <w:szCs w:val="21"/>
              </w:rPr>
              <w:t>m</w:t>
            </w:r>
            <w:r>
              <w:rPr>
                <w:b/>
                <w:bCs/>
                <w:sz w:val="21"/>
                <w:szCs w:val="21"/>
                <w:vertAlign w:val="superscript"/>
              </w:rPr>
              <w:t>3</w:t>
            </w:r>
            <w:r>
              <w:rPr>
                <w:b/>
                <w:bCs/>
                <w:sz w:val="21"/>
                <w:szCs w:val="21"/>
              </w:rPr>
              <w:t>）</w:t>
            </w:r>
          </w:p>
        </w:tc>
      </w:tr>
      <w:tr w:rsidR="003E78AB" w14:paraId="2BBCB033" w14:textId="77777777">
        <w:trPr>
          <w:trHeight w:val="340"/>
          <w:jc w:val="center"/>
        </w:trPr>
        <w:tc>
          <w:tcPr>
            <w:tcW w:w="1249" w:type="pct"/>
            <w:vAlign w:val="center"/>
          </w:tcPr>
          <w:p w14:paraId="0648FF8C" w14:textId="77777777" w:rsidR="003E78AB" w:rsidRDefault="00010BF9">
            <w:pPr>
              <w:spacing w:line="360" w:lineRule="exact"/>
              <w:ind w:firstLineChars="0" w:firstLine="0"/>
              <w:contextualSpacing/>
              <w:jc w:val="center"/>
              <w:rPr>
                <w:sz w:val="21"/>
                <w:szCs w:val="21"/>
              </w:rPr>
            </w:pPr>
            <w:r>
              <w:rPr>
                <w:sz w:val="21"/>
                <w:szCs w:val="21"/>
              </w:rPr>
              <w:t>农业用水</w:t>
            </w:r>
          </w:p>
        </w:tc>
        <w:tc>
          <w:tcPr>
            <w:tcW w:w="1249" w:type="pct"/>
            <w:vAlign w:val="center"/>
          </w:tcPr>
          <w:p w14:paraId="39805E27" w14:textId="77777777" w:rsidR="003E78AB" w:rsidRDefault="00010BF9">
            <w:pPr>
              <w:spacing w:line="360" w:lineRule="exact"/>
              <w:ind w:firstLineChars="0" w:firstLine="0"/>
              <w:contextualSpacing/>
              <w:jc w:val="center"/>
              <w:rPr>
                <w:sz w:val="21"/>
                <w:szCs w:val="21"/>
              </w:rPr>
            </w:pPr>
            <w:r>
              <w:rPr>
                <w:sz w:val="21"/>
                <w:szCs w:val="21"/>
              </w:rPr>
              <w:t>17192</w:t>
            </w:r>
          </w:p>
        </w:tc>
        <w:tc>
          <w:tcPr>
            <w:tcW w:w="1250" w:type="pct"/>
            <w:vAlign w:val="center"/>
          </w:tcPr>
          <w:p w14:paraId="0CA8C2CC" w14:textId="77777777" w:rsidR="003E78AB" w:rsidRDefault="00010BF9">
            <w:pPr>
              <w:spacing w:line="360" w:lineRule="exact"/>
              <w:ind w:firstLineChars="0" w:firstLine="0"/>
              <w:contextualSpacing/>
              <w:jc w:val="center"/>
              <w:rPr>
                <w:sz w:val="21"/>
                <w:szCs w:val="21"/>
              </w:rPr>
            </w:pPr>
            <w:r>
              <w:rPr>
                <w:sz w:val="21"/>
                <w:szCs w:val="21"/>
              </w:rPr>
              <w:t>6279</w:t>
            </w:r>
          </w:p>
        </w:tc>
        <w:tc>
          <w:tcPr>
            <w:tcW w:w="1250" w:type="pct"/>
            <w:vAlign w:val="center"/>
          </w:tcPr>
          <w:p w14:paraId="4145BEFC" w14:textId="77777777" w:rsidR="003E78AB" w:rsidRDefault="00010BF9">
            <w:pPr>
              <w:spacing w:line="360" w:lineRule="exact"/>
              <w:ind w:firstLineChars="0" w:firstLine="0"/>
              <w:contextualSpacing/>
              <w:jc w:val="center"/>
              <w:rPr>
                <w:sz w:val="21"/>
                <w:szCs w:val="21"/>
              </w:rPr>
            </w:pPr>
            <w:r>
              <w:rPr>
                <w:sz w:val="21"/>
                <w:szCs w:val="21"/>
              </w:rPr>
              <w:t>10913</w:t>
            </w:r>
          </w:p>
        </w:tc>
      </w:tr>
      <w:tr w:rsidR="003E78AB" w14:paraId="7152289C" w14:textId="77777777">
        <w:trPr>
          <w:trHeight w:val="340"/>
          <w:jc w:val="center"/>
        </w:trPr>
        <w:tc>
          <w:tcPr>
            <w:tcW w:w="1249" w:type="pct"/>
            <w:vAlign w:val="center"/>
          </w:tcPr>
          <w:p w14:paraId="00C06887" w14:textId="77777777" w:rsidR="003E78AB" w:rsidRDefault="00010BF9">
            <w:pPr>
              <w:spacing w:line="360" w:lineRule="exact"/>
              <w:ind w:firstLineChars="0" w:firstLine="0"/>
              <w:contextualSpacing/>
              <w:jc w:val="center"/>
              <w:rPr>
                <w:sz w:val="21"/>
                <w:szCs w:val="21"/>
              </w:rPr>
            </w:pPr>
            <w:r>
              <w:rPr>
                <w:sz w:val="21"/>
                <w:szCs w:val="21"/>
              </w:rPr>
              <w:t>城市生活用水</w:t>
            </w:r>
          </w:p>
        </w:tc>
        <w:tc>
          <w:tcPr>
            <w:tcW w:w="1249" w:type="pct"/>
            <w:vAlign w:val="center"/>
          </w:tcPr>
          <w:p w14:paraId="7076A7E8" w14:textId="77777777" w:rsidR="003E78AB" w:rsidRDefault="00010BF9">
            <w:pPr>
              <w:spacing w:line="360" w:lineRule="exact"/>
              <w:ind w:firstLineChars="0" w:firstLine="0"/>
              <w:contextualSpacing/>
              <w:jc w:val="center"/>
              <w:rPr>
                <w:sz w:val="21"/>
                <w:szCs w:val="21"/>
              </w:rPr>
            </w:pPr>
            <w:r>
              <w:rPr>
                <w:sz w:val="21"/>
                <w:szCs w:val="21"/>
              </w:rPr>
              <w:t>2391</w:t>
            </w:r>
          </w:p>
        </w:tc>
        <w:tc>
          <w:tcPr>
            <w:tcW w:w="1250" w:type="pct"/>
            <w:vAlign w:val="center"/>
          </w:tcPr>
          <w:p w14:paraId="13145736" w14:textId="77777777" w:rsidR="003E78AB" w:rsidRDefault="00010BF9">
            <w:pPr>
              <w:spacing w:line="360" w:lineRule="exact"/>
              <w:ind w:firstLineChars="0" w:firstLine="0"/>
              <w:contextualSpacing/>
              <w:jc w:val="center"/>
              <w:rPr>
                <w:sz w:val="21"/>
                <w:szCs w:val="21"/>
              </w:rPr>
            </w:pPr>
            <w:r>
              <w:rPr>
                <w:sz w:val="21"/>
                <w:szCs w:val="21"/>
              </w:rPr>
              <w:t>-</w:t>
            </w:r>
          </w:p>
        </w:tc>
        <w:tc>
          <w:tcPr>
            <w:tcW w:w="1250" w:type="pct"/>
            <w:vAlign w:val="center"/>
          </w:tcPr>
          <w:p w14:paraId="0E626F3D" w14:textId="77777777" w:rsidR="003E78AB" w:rsidRDefault="00010BF9">
            <w:pPr>
              <w:spacing w:line="360" w:lineRule="exact"/>
              <w:ind w:firstLineChars="0" w:firstLine="0"/>
              <w:contextualSpacing/>
              <w:jc w:val="center"/>
              <w:rPr>
                <w:sz w:val="21"/>
                <w:szCs w:val="21"/>
              </w:rPr>
            </w:pPr>
            <w:r>
              <w:rPr>
                <w:sz w:val="21"/>
                <w:szCs w:val="21"/>
              </w:rPr>
              <w:t>2391</w:t>
            </w:r>
          </w:p>
        </w:tc>
      </w:tr>
      <w:tr w:rsidR="003E78AB" w14:paraId="4A50CD87" w14:textId="77777777">
        <w:trPr>
          <w:trHeight w:val="340"/>
          <w:jc w:val="center"/>
        </w:trPr>
        <w:tc>
          <w:tcPr>
            <w:tcW w:w="1249" w:type="pct"/>
            <w:vAlign w:val="center"/>
          </w:tcPr>
          <w:p w14:paraId="77ECE460" w14:textId="77777777" w:rsidR="003E78AB" w:rsidRDefault="00010BF9">
            <w:pPr>
              <w:spacing w:line="360" w:lineRule="exact"/>
              <w:ind w:firstLineChars="0" w:firstLine="0"/>
              <w:contextualSpacing/>
              <w:jc w:val="center"/>
              <w:rPr>
                <w:sz w:val="21"/>
                <w:szCs w:val="21"/>
              </w:rPr>
            </w:pPr>
            <w:r>
              <w:rPr>
                <w:sz w:val="21"/>
                <w:szCs w:val="21"/>
              </w:rPr>
              <w:t>工业用水</w:t>
            </w:r>
          </w:p>
        </w:tc>
        <w:tc>
          <w:tcPr>
            <w:tcW w:w="1249" w:type="pct"/>
            <w:vAlign w:val="center"/>
          </w:tcPr>
          <w:p w14:paraId="560232E1" w14:textId="77777777" w:rsidR="003E78AB" w:rsidRDefault="00010BF9">
            <w:pPr>
              <w:spacing w:line="360" w:lineRule="exact"/>
              <w:ind w:firstLineChars="0" w:firstLine="0"/>
              <w:contextualSpacing/>
              <w:jc w:val="center"/>
              <w:rPr>
                <w:sz w:val="21"/>
                <w:szCs w:val="21"/>
              </w:rPr>
            </w:pPr>
            <w:r>
              <w:rPr>
                <w:sz w:val="21"/>
                <w:szCs w:val="21"/>
              </w:rPr>
              <w:t>1945</w:t>
            </w:r>
          </w:p>
        </w:tc>
        <w:tc>
          <w:tcPr>
            <w:tcW w:w="1250" w:type="pct"/>
            <w:vAlign w:val="center"/>
          </w:tcPr>
          <w:p w14:paraId="2D66D342" w14:textId="77777777" w:rsidR="003E78AB" w:rsidRDefault="00010BF9">
            <w:pPr>
              <w:spacing w:line="360" w:lineRule="exact"/>
              <w:ind w:firstLineChars="0" w:firstLine="0"/>
              <w:contextualSpacing/>
              <w:jc w:val="center"/>
              <w:rPr>
                <w:sz w:val="21"/>
                <w:szCs w:val="21"/>
              </w:rPr>
            </w:pPr>
            <w:r>
              <w:rPr>
                <w:sz w:val="21"/>
                <w:szCs w:val="21"/>
              </w:rPr>
              <w:t>-</w:t>
            </w:r>
          </w:p>
        </w:tc>
        <w:tc>
          <w:tcPr>
            <w:tcW w:w="1250" w:type="pct"/>
            <w:vAlign w:val="center"/>
          </w:tcPr>
          <w:p w14:paraId="5CC34592" w14:textId="77777777" w:rsidR="003E78AB" w:rsidRDefault="00010BF9">
            <w:pPr>
              <w:spacing w:line="360" w:lineRule="exact"/>
              <w:ind w:firstLineChars="0" w:firstLine="0"/>
              <w:contextualSpacing/>
              <w:jc w:val="center"/>
              <w:rPr>
                <w:sz w:val="21"/>
                <w:szCs w:val="21"/>
              </w:rPr>
            </w:pPr>
            <w:r>
              <w:rPr>
                <w:sz w:val="21"/>
                <w:szCs w:val="21"/>
              </w:rPr>
              <w:t>1945</w:t>
            </w:r>
          </w:p>
        </w:tc>
      </w:tr>
      <w:tr w:rsidR="003E78AB" w14:paraId="6C99B03F" w14:textId="77777777">
        <w:trPr>
          <w:trHeight w:val="340"/>
          <w:jc w:val="center"/>
        </w:trPr>
        <w:tc>
          <w:tcPr>
            <w:tcW w:w="1249" w:type="pct"/>
            <w:vAlign w:val="center"/>
          </w:tcPr>
          <w:p w14:paraId="18E98591" w14:textId="77777777" w:rsidR="003E78AB" w:rsidRDefault="00010BF9">
            <w:pPr>
              <w:spacing w:line="360" w:lineRule="exact"/>
              <w:ind w:firstLineChars="0" w:firstLine="0"/>
              <w:contextualSpacing/>
              <w:jc w:val="center"/>
              <w:rPr>
                <w:sz w:val="21"/>
                <w:szCs w:val="21"/>
              </w:rPr>
            </w:pPr>
            <w:r>
              <w:rPr>
                <w:sz w:val="21"/>
                <w:szCs w:val="21"/>
              </w:rPr>
              <w:t>农村人畜用水</w:t>
            </w:r>
          </w:p>
        </w:tc>
        <w:tc>
          <w:tcPr>
            <w:tcW w:w="1249" w:type="pct"/>
            <w:vAlign w:val="center"/>
          </w:tcPr>
          <w:p w14:paraId="51B5D721" w14:textId="77777777" w:rsidR="003E78AB" w:rsidRDefault="00010BF9">
            <w:pPr>
              <w:spacing w:line="360" w:lineRule="exact"/>
              <w:ind w:firstLineChars="0" w:firstLine="0"/>
              <w:contextualSpacing/>
              <w:jc w:val="center"/>
              <w:rPr>
                <w:sz w:val="21"/>
                <w:szCs w:val="21"/>
              </w:rPr>
            </w:pPr>
            <w:r>
              <w:rPr>
                <w:sz w:val="21"/>
                <w:szCs w:val="21"/>
              </w:rPr>
              <w:t>249</w:t>
            </w:r>
          </w:p>
        </w:tc>
        <w:tc>
          <w:tcPr>
            <w:tcW w:w="1250" w:type="pct"/>
            <w:vAlign w:val="center"/>
          </w:tcPr>
          <w:p w14:paraId="480AE375" w14:textId="77777777" w:rsidR="003E78AB" w:rsidRDefault="00010BF9">
            <w:pPr>
              <w:spacing w:line="360" w:lineRule="exact"/>
              <w:ind w:firstLineChars="0" w:firstLine="0"/>
              <w:contextualSpacing/>
              <w:jc w:val="center"/>
              <w:rPr>
                <w:sz w:val="21"/>
                <w:szCs w:val="21"/>
              </w:rPr>
            </w:pPr>
            <w:r>
              <w:rPr>
                <w:sz w:val="21"/>
                <w:szCs w:val="21"/>
              </w:rPr>
              <w:t>-</w:t>
            </w:r>
          </w:p>
        </w:tc>
        <w:tc>
          <w:tcPr>
            <w:tcW w:w="1250" w:type="pct"/>
            <w:vAlign w:val="center"/>
          </w:tcPr>
          <w:p w14:paraId="64C4CA81" w14:textId="77777777" w:rsidR="003E78AB" w:rsidRDefault="00010BF9">
            <w:pPr>
              <w:spacing w:line="360" w:lineRule="exact"/>
              <w:ind w:firstLineChars="0" w:firstLine="0"/>
              <w:contextualSpacing/>
              <w:jc w:val="center"/>
              <w:rPr>
                <w:sz w:val="21"/>
                <w:szCs w:val="21"/>
              </w:rPr>
            </w:pPr>
            <w:r>
              <w:rPr>
                <w:sz w:val="21"/>
                <w:szCs w:val="21"/>
              </w:rPr>
              <w:t>249</w:t>
            </w:r>
          </w:p>
        </w:tc>
      </w:tr>
      <w:tr w:rsidR="003E78AB" w14:paraId="4F9B7375" w14:textId="77777777">
        <w:trPr>
          <w:trHeight w:val="340"/>
          <w:jc w:val="center"/>
        </w:trPr>
        <w:tc>
          <w:tcPr>
            <w:tcW w:w="1249" w:type="pct"/>
            <w:vAlign w:val="center"/>
          </w:tcPr>
          <w:p w14:paraId="5F0B449D" w14:textId="77777777" w:rsidR="003E78AB" w:rsidRDefault="00010BF9">
            <w:pPr>
              <w:spacing w:line="360" w:lineRule="exact"/>
              <w:ind w:firstLineChars="0" w:firstLine="0"/>
              <w:contextualSpacing/>
              <w:jc w:val="center"/>
              <w:rPr>
                <w:sz w:val="21"/>
                <w:szCs w:val="21"/>
              </w:rPr>
            </w:pPr>
            <w:r>
              <w:rPr>
                <w:sz w:val="21"/>
                <w:szCs w:val="21"/>
              </w:rPr>
              <w:t>总用水量</w:t>
            </w:r>
          </w:p>
        </w:tc>
        <w:tc>
          <w:tcPr>
            <w:tcW w:w="1249" w:type="pct"/>
            <w:vAlign w:val="center"/>
          </w:tcPr>
          <w:p w14:paraId="4E54323F" w14:textId="77777777" w:rsidR="003E78AB" w:rsidRDefault="00010BF9">
            <w:pPr>
              <w:spacing w:line="360" w:lineRule="exact"/>
              <w:ind w:firstLineChars="0" w:firstLine="0"/>
              <w:contextualSpacing/>
              <w:jc w:val="center"/>
              <w:rPr>
                <w:sz w:val="21"/>
                <w:szCs w:val="21"/>
              </w:rPr>
            </w:pPr>
            <w:r>
              <w:rPr>
                <w:sz w:val="21"/>
                <w:szCs w:val="21"/>
              </w:rPr>
              <w:t>21776</w:t>
            </w:r>
            <w:r>
              <w:rPr>
                <w:sz w:val="21"/>
                <w:szCs w:val="21"/>
              </w:rPr>
              <w:t>（不含生态）</w:t>
            </w:r>
          </w:p>
        </w:tc>
        <w:tc>
          <w:tcPr>
            <w:tcW w:w="1250" w:type="pct"/>
            <w:vAlign w:val="center"/>
          </w:tcPr>
          <w:p w14:paraId="0F18745B" w14:textId="77777777" w:rsidR="003E78AB" w:rsidRDefault="00010BF9">
            <w:pPr>
              <w:spacing w:line="360" w:lineRule="exact"/>
              <w:ind w:firstLineChars="0" w:firstLine="0"/>
              <w:contextualSpacing/>
              <w:jc w:val="center"/>
              <w:rPr>
                <w:sz w:val="21"/>
                <w:szCs w:val="21"/>
              </w:rPr>
            </w:pPr>
            <w:r>
              <w:rPr>
                <w:sz w:val="21"/>
                <w:szCs w:val="21"/>
              </w:rPr>
              <w:t>6279</w:t>
            </w:r>
          </w:p>
        </w:tc>
        <w:tc>
          <w:tcPr>
            <w:tcW w:w="1250" w:type="pct"/>
            <w:vAlign w:val="center"/>
          </w:tcPr>
          <w:p w14:paraId="383475E4" w14:textId="77777777" w:rsidR="003E78AB" w:rsidRDefault="00010BF9">
            <w:pPr>
              <w:spacing w:line="360" w:lineRule="exact"/>
              <w:ind w:firstLineChars="0" w:firstLine="0"/>
              <w:contextualSpacing/>
              <w:jc w:val="center"/>
              <w:rPr>
                <w:sz w:val="21"/>
                <w:szCs w:val="21"/>
              </w:rPr>
            </w:pPr>
            <w:r>
              <w:rPr>
                <w:sz w:val="21"/>
                <w:szCs w:val="21"/>
              </w:rPr>
              <w:t>15497</w:t>
            </w:r>
          </w:p>
        </w:tc>
      </w:tr>
    </w:tbl>
    <w:p w14:paraId="19A94239" w14:textId="77777777" w:rsidR="003E78AB" w:rsidRDefault="00010BF9">
      <w:pPr>
        <w:ind w:firstLine="480"/>
      </w:pPr>
      <w:r>
        <w:t>由</w:t>
      </w:r>
      <w:r>
        <w:fldChar w:fldCharType="begin"/>
      </w:r>
      <w:r>
        <w:instrText xml:space="preserve"> REF _Ref2892 \r \h </w:instrText>
      </w:r>
      <w:r>
        <w:fldChar w:fldCharType="separate"/>
      </w:r>
      <w:r>
        <w:t>表</w:t>
      </w:r>
      <w:r>
        <w:t>4-2</w:t>
      </w:r>
      <w:r>
        <w:fldChar w:fldCharType="end"/>
      </w:r>
      <w:r>
        <w:t>可知，哈密市总用水量（不含生态用水）约</w:t>
      </w:r>
      <w:r>
        <w:t>2.18×10</w:t>
      </w:r>
      <w:r>
        <w:rPr>
          <w:vertAlign w:val="superscript"/>
        </w:rPr>
        <w:t>8</w:t>
      </w:r>
      <w:r>
        <w:t>m</w:t>
      </w:r>
      <w:r>
        <w:rPr>
          <w:vertAlign w:val="superscript"/>
        </w:rPr>
        <w:t>3</w:t>
      </w:r>
      <w:r>
        <w:t>，其中地表水约</w:t>
      </w:r>
      <w:r>
        <w:t>0.63×10</w:t>
      </w:r>
      <w:r>
        <w:rPr>
          <w:vertAlign w:val="superscript"/>
        </w:rPr>
        <w:t>8</w:t>
      </w:r>
      <w:r>
        <w:t>m</w:t>
      </w:r>
      <w:r>
        <w:rPr>
          <w:vertAlign w:val="superscript"/>
        </w:rPr>
        <w:t>3</w:t>
      </w:r>
      <w:r>
        <w:t>，地下水约</w:t>
      </w:r>
      <w:r>
        <w:t>1.55×10</w:t>
      </w:r>
      <w:r>
        <w:rPr>
          <w:vertAlign w:val="superscript"/>
        </w:rPr>
        <w:t>8</w:t>
      </w:r>
      <w:r>
        <w:t>m</w:t>
      </w:r>
      <w:r>
        <w:rPr>
          <w:vertAlign w:val="superscript"/>
        </w:rPr>
        <w:t>3</w:t>
      </w:r>
      <w:r>
        <w:t>。农业用水</w:t>
      </w:r>
      <w:r>
        <w:t>17192×10</w:t>
      </w:r>
      <w:r>
        <w:rPr>
          <w:vertAlign w:val="superscript"/>
        </w:rPr>
        <w:t>4</w:t>
      </w:r>
      <w:r>
        <w:t>m</w:t>
      </w:r>
      <w:r>
        <w:rPr>
          <w:vertAlign w:val="superscript"/>
        </w:rPr>
        <w:t>3</w:t>
      </w:r>
      <w:r>
        <w:t>，其中地表水</w:t>
      </w:r>
      <w:r>
        <w:t>6279×10</w:t>
      </w:r>
      <w:r>
        <w:rPr>
          <w:vertAlign w:val="superscript"/>
        </w:rPr>
        <w:t>4</w:t>
      </w:r>
      <w:r>
        <w:t>m</w:t>
      </w:r>
      <w:r>
        <w:rPr>
          <w:vertAlign w:val="superscript"/>
        </w:rPr>
        <w:t>3</w:t>
      </w:r>
      <w:r>
        <w:t>，地下水约</w:t>
      </w:r>
      <w:r>
        <w:t>10913×10</w:t>
      </w:r>
      <w:r>
        <w:rPr>
          <w:vertAlign w:val="superscript"/>
        </w:rPr>
        <w:t>4</w:t>
      </w:r>
      <w:r>
        <w:t>m</w:t>
      </w:r>
      <w:r>
        <w:rPr>
          <w:vertAlign w:val="superscript"/>
        </w:rPr>
        <w:t>3</w:t>
      </w:r>
      <w:r>
        <w:t>。工业用水</w:t>
      </w:r>
      <w:r>
        <w:t>1945×10</w:t>
      </w:r>
      <w:r>
        <w:rPr>
          <w:vertAlign w:val="superscript"/>
        </w:rPr>
        <w:t>4</w:t>
      </w:r>
      <w:r>
        <w:t>m</w:t>
      </w:r>
      <w:r>
        <w:rPr>
          <w:vertAlign w:val="superscript"/>
        </w:rPr>
        <w:t>3</w:t>
      </w:r>
      <w:r>
        <w:t>，不采用地表水，地下水为</w:t>
      </w:r>
      <w:r>
        <w:t>1945×10</w:t>
      </w:r>
      <w:r>
        <w:rPr>
          <w:vertAlign w:val="superscript"/>
        </w:rPr>
        <w:t>4</w:t>
      </w:r>
      <w:r>
        <w:t>m</w:t>
      </w:r>
      <w:r>
        <w:rPr>
          <w:vertAlign w:val="superscript"/>
        </w:rPr>
        <w:t>3</w:t>
      </w:r>
      <w:r>
        <w:t>。</w:t>
      </w:r>
    </w:p>
    <w:p w14:paraId="0D5E3BB5"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4.1.5</w:t>
      </w:r>
      <w:r>
        <w:rPr>
          <w:rFonts w:cs="Times New Roman"/>
          <w:sz w:val="28"/>
          <w:szCs w:val="28"/>
        </w:rPr>
        <w:t>气候与气象</w:t>
      </w:r>
    </w:p>
    <w:p w14:paraId="73254EAA" w14:textId="77777777" w:rsidR="003E78AB" w:rsidRDefault="00010BF9">
      <w:pPr>
        <w:spacing w:line="460" w:lineRule="exact"/>
        <w:ind w:firstLine="480"/>
        <w:rPr>
          <w:b/>
          <w:bCs/>
          <w:u w:val="single"/>
          <w:lang w:bidi="en-US"/>
        </w:rPr>
      </w:pPr>
      <w:r>
        <w:t>哈密地区位于中纬度亚欧大陆腹地，由于天山山脉橫于北部，加之山南多为荒漠戈壁，</w:t>
      </w:r>
      <w:r>
        <w:t>本地区具有很强的大陆性温带干旱气候特点，本项目所在的哈密盆地的气候分区为暖温带极干旱区。气候特征为：干燥少雨，光照充沛，年、日温差大，春季多风，冷暖多变，夏季酷热，蒸发强烈，秋季晴朗，降温迅速，冬季严寒酷冷。</w:t>
      </w:r>
      <w:r>
        <w:rPr>
          <w:rFonts w:hint="eastAsia"/>
          <w:bCs/>
          <w:lang w:bidi="en-US"/>
        </w:rPr>
        <w:t>哈密市年平均风速</w:t>
      </w:r>
      <w:r>
        <w:rPr>
          <w:rFonts w:hint="eastAsia"/>
          <w:bCs/>
          <w:lang w:bidi="en-US"/>
        </w:rPr>
        <w:t>1.9m/s</w:t>
      </w:r>
      <w:r>
        <w:rPr>
          <w:rFonts w:hint="eastAsia"/>
          <w:bCs/>
          <w:lang w:bidi="en-US"/>
        </w:rPr>
        <w:t>，全年多为东北风。根据哈密气象站的观测资料统计，主要常规气象要素统计资料见</w:t>
      </w:r>
      <w:r>
        <w:rPr>
          <w:rFonts w:hint="eastAsia"/>
          <w:bCs/>
          <w:lang w:bidi="en-US"/>
        </w:rPr>
        <w:fldChar w:fldCharType="begin"/>
      </w:r>
      <w:r>
        <w:rPr>
          <w:rFonts w:hint="eastAsia"/>
          <w:bCs/>
          <w:lang w:bidi="en-US"/>
        </w:rPr>
        <w:instrText xml:space="preserve"> REF _Ref1656 \r \h </w:instrText>
      </w:r>
      <w:r>
        <w:rPr>
          <w:bCs/>
          <w:lang w:bidi="en-US"/>
        </w:rPr>
        <w:instrText xml:space="preserve"> \* MERGEFORMAT </w:instrText>
      </w:r>
      <w:r>
        <w:rPr>
          <w:rFonts w:hint="eastAsia"/>
          <w:bCs/>
          <w:lang w:bidi="en-US"/>
        </w:rPr>
      </w:r>
      <w:r>
        <w:rPr>
          <w:rFonts w:hint="eastAsia"/>
          <w:bCs/>
          <w:lang w:bidi="en-US"/>
        </w:rPr>
        <w:fldChar w:fldCharType="separate"/>
      </w:r>
      <w:r>
        <w:rPr>
          <w:rFonts w:hint="eastAsia"/>
          <w:bCs/>
          <w:lang w:bidi="en-US"/>
        </w:rPr>
        <w:t>表</w:t>
      </w:r>
      <w:r>
        <w:rPr>
          <w:rFonts w:hint="eastAsia"/>
          <w:bCs/>
          <w:lang w:bidi="en-US"/>
        </w:rPr>
        <w:t>4-3</w:t>
      </w:r>
      <w:r>
        <w:rPr>
          <w:rFonts w:hint="eastAsia"/>
          <w:bCs/>
          <w:lang w:bidi="en-US"/>
        </w:rPr>
        <w:fldChar w:fldCharType="end"/>
      </w:r>
      <w:r>
        <w:rPr>
          <w:rFonts w:hint="eastAsia"/>
          <w:bCs/>
          <w:lang w:bidi="en-US"/>
        </w:rPr>
        <w:t>。</w:t>
      </w:r>
    </w:p>
    <w:p w14:paraId="7947CDA2" w14:textId="77777777" w:rsidR="003E78AB" w:rsidRDefault="00010BF9">
      <w:pPr>
        <w:pStyle w:val="a0"/>
        <w:ind w:left="425" w:hanging="425"/>
        <w:rPr>
          <w:rFonts w:hint="default"/>
          <w:bCs/>
        </w:rPr>
      </w:pPr>
      <w:bookmarkStart w:id="291" w:name="_Ref1656"/>
      <w:r>
        <w:rPr>
          <w:rFonts w:hint="default"/>
          <w:bCs/>
        </w:rPr>
        <w:t>项目所在地区域主要气象要素表</w:t>
      </w:r>
      <w:bookmarkEnd w:id="2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707"/>
        <w:gridCol w:w="729"/>
        <w:gridCol w:w="730"/>
        <w:gridCol w:w="727"/>
        <w:gridCol w:w="726"/>
        <w:gridCol w:w="731"/>
        <w:gridCol w:w="726"/>
        <w:gridCol w:w="729"/>
        <w:gridCol w:w="635"/>
        <w:gridCol w:w="638"/>
        <w:gridCol w:w="801"/>
      </w:tblGrid>
      <w:tr w:rsidR="003E78AB" w14:paraId="6A09EA6D" w14:textId="77777777">
        <w:trPr>
          <w:tblHeader/>
        </w:trPr>
        <w:tc>
          <w:tcPr>
            <w:tcW w:w="256" w:type="pct"/>
            <w:vMerge w:val="restart"/>
            <w:vAlign w:val="center"/>
          </w:tcPr>
          <w:p w14:paraId="52A8C60C" w14:textId="77777777" w:rsidR="003E78AB" w:rsidRDefault="00010BF9">
            <w:pPr>
              <w:pStyle w:val="aff6"/>
              <w:topLinePunct/>
              <w:rPr>
                <w:bCs/>
              </w:rPr>
            </w:pPr>
            <w:r>
              <w:rPr>
                <w:bCs/>
              </w:rPr>
              <w:t>月份</w:t>
            </w:r>
          </w:p>
        </w:tc>
        <w:tc>
          <w:tcPr>
            <w:tcW w:w="1302" w:type="pct"/>
            <w:gridSpan w:val="3"/>
            <w:vAlign w:val="center"/>
          </w:tcPr>
          <w:p w14:paraId="2FC2A07D" w14:textId="77777777" w:rsidR="003E78AB" w:rsidRDefault="00010BF9">
            <w:pPr>
              <w:pStyle w:val="aff6"/>
              <w:topLinePunct/>
              <w:rPr>
                <w:bCs/>
              </w:rPr>
            </w:pPr>
            <w:r>
              <w:rPr>
                <w:bCs/>
              </w:rPr>
              <w:t>气温</w:t>
            </w:r>
            <w:r>
              <w:rPr>
                <w:bCs/>
              </w:rPr>
              <w:t>(℃)</w:t>
            </w:r>
          </w:p>
        </w:tc>
        <w:tc>
          <w:tcPr>
            <w:tcW w:w="1314" w:type="pct"/>
            <w:gridSpan w:val="3"/>
            <w:vAlign w:val="center"/>
          </w:tcPr>
          <w:p w14:paraId="5893A4FD" w14:textId="77777777" w:rsidR="003E78AB" w:rsidRDefault="00010BF9">
            <w:pPr>
              <w:pStyle w:val="aff6"/>
              <w:topLinePunct/>
              <w:rPr>
                <w:bCs/>
              </w:rPr>
            </w:pPr>
            <w:r>
              <w:rPr>
                <w:bCs/>
              </w:rPr>
              <w:t>气压</w:t>
            </w:r>
            <w:r>
              <w:rPr>
                <w:bCs/>
              </w:rPr>
              <w:t>(Hpa)</w:t>
            </w:r>
          </w:p>
        </w:tc>
        <w:tc>
          <w:tcPr>
            <w:tcW w:w="876" w:type="pct"/>
            <w:gridSpan w:val="2"/>
            <w:vAlign w:val="center"/>
          </w:tcPr>
          <w:p w14:paraId="332D65FD" w14:textId="77777777" w:rsidR="003E78AB" w:rsidRDefault="00010BF9">
            <w:pPr>
              <w:pStyle w:val="aff6"/>
              <w:topLinePunct/>
              <w:rPr>
                <w:bCs/>
              </w:rPr>
            </w:pPr>
            <w:r>
              <w:rPr>
                <w:bCs/>
              </w:rPr>
              <w:t>相对湿度</w:t>
            </w:r>
            <w:r>
              <w:rPr>
                <w:bCs/>
              </w:rPr>
              <w:t>℃(%)</w:t>
            </w:r>
          </w:p>
        </w:tc>
        <w:tc>
          <w:tcPr>
            <w:tcW w:w="382" w:type="pct"/>
            <w:vAlign w:val="center"/>
          </w:tcPr>
          <w:p w14:paraId="6FAE59D9" w14:textId="77777777" w:rsidR="003E78AB" w:rsidRDefault="00010BF9">
            <w:pPr>
              <w:pStyle w:val="aff6"/>
              <w:topLinePunct/>
              <w:rPr>
                <w:bCs/>
              </w:rPr>
            </w:pPr>
            <w:r>
              <w:rPr>
                <w:bCs/>
              </w:rPr>
              <w:t>降水量</w:t>
            </w:r>
            <w:r>
              <w:rPr>
                <w:bCs/>
              </w:rPr>
              <w:t>(mm)</w:t>
            </w:r>
          </w:p>
        </w:tc>
        <w:tc>
          <w:tcPr>
            <w:tcW w:w="384" w:type="pct"/>
            <w:vAlign w:val="center"/>
          </w:tcPr>
          <w:p w14:paraId="0EB9C9DA" w14:textId="77777777" w:rsidR="003E78AB" w:rsidRDefault="00010BF9">
            <w:pPr>
              <w:pStyle w:val="aff6"/>
              <w:topLinePunct/>
              <w:rPr>
                <w:bCs/>
              </w:rPr>
            </w:pPr>
            <w:r>
              <w:rPr>
                <w:bCs/>
              </w:rPr>
              <w:t>蒸发量</w:t>
            </w:r>
            <w:r>
              <w:rPr>
                <w:bCs/>
              </w:rPr>
              <w:t>(mm)</w:t>
            </w:r>
          </w:p>
        </w:tc>
        <w:tc>
          <w:tcPr>
            <w:tcW w:w="482" w:type="pct"/>
            <w:vAlign w:val="center"/>
          </w:tcPr>
          <w:p w14:paraId="088178F4" w14:textId="77777777" w:rsidR="003E78AB" w:rsidRDefault="00010BF9">
            <w:pPr>
              <w:pStyle w:val="aff6"/>
              <w:topLinePunct/>
              <w:rPr>
                <w:bCs/>
              </w:rPr>
            </w:pPr>
            <w:r>
              <w:rPr>
                <w:bCs/>
              </w:rPr>
              <w:t>平均风速</w:t>
            </w:r>
            <w:r>
              <w:rPr>
                <w:bCs/>
              </w:rPr>
              <w:t>(m/s)</w:t>
            </w:r>
          </w:p>
        </w:tc>
      </w:tr>
      <w:tr w:rsidR="003E78AB" w14:paraId="37E31092" w14:textId="77777777">
        <w:trPr>
          <w:tblHeader/>
        </w:trPr>
        <w:tc>
          <w:tcPr>
            <w:tcW w:w="256" w:type="pct"/>
            <w:vMerge/>
            <w:vAlign w:val="center"/>
          </w:tcPr>
          <w:p w14:paraId="197343DF" w14:textId="77777777" w:rsidR="003E78AB" w:rsidRDefault="003E78AB">
            <w:pPr>
              <w:pStyle w:val="aff6"/>
              <w:topLinePunct/>
              <w:rPr>
                <w:bCs/>
              </w:rPr>
            </w:pPr>
          </w:p>
        </w:tc>
        <w:tc>
          <w:tcPr>
            <w:tcW w:w="425" w:type="pct"/>
            <w:vAlign w:val="center"/>
          </w:tcPr>
          <w:p w14:paraId="75FF878B" w14:textId="77777777" w:rsidR="003E78AB" w:rsidRDefault="00010BF9">
            <w:pPr>
              <w:pStyle w:val="aff6"/>
              <w:topLinePunct/>
              <w:rPr>
                <w:bCs/>
              </w:rPr>
            </w:pPr>
            <w:r>
              <w:rPr>
                <w:bCs/>
              </w:rPr>
              <w:t>历年平均</w:t>
            </w:r>
          </w:p>
        </w:tc>
        <w:tc>
          <w:tcPr>
            <w:tcW w:w="438" w:type="pct"/>
            <w:vAlign w:val="center"/>
          </w:tcPr>
          <w:p w14:paraId="66FFCEEA" w14:textId="77777777" w:rsidR="003E78AB" w:rsidRDefault="00010BF9">
            <w:pPr>
              <w:pStyle w:val="aff6"/>
              <w:topLinePunct/>
              <w:rPr>
                <w:bCs/>
              </w:rPr>
            </w:pPr>
            <w:r>
              <w:rPr>
                <w:bCs/>
              </w:rPr>
              <w:t>极端最高</w:t>
            </w:r>
          </w:p>
        </w:tc>
        <w:tc>
          <w:tcPr>
            <w:tcW w:w="439" w:type="pct"/>
            <w:vAlign w:val="center"/>
          </w:tcPr>
          <w:p w14:paraId="7EB1C4BD" w14:textId="77777777" w:rsidR="003E78AB" w:rsidRDefault="00010BF9">
            <w:pPr>
              <w:pStyle w:val="aff6"/>
              <w:topLinePunct/>
              <w:rPr>
                <w:bCs/>
              </w:rPr>
            </w:pPr>
            <w:r>
              <w:rPr>
                <w:bCs/>
              </w:rPr>
              <w:t>极端最低</w:t>
            </w:r>
          </w:p>
        </w:tc>
        <w:tc>
          <w:tcPr>
            <w:tcW w:w="437" w:type="pct"/>
            <w:vAlign w:val="center"/>
          </w:tcPr>
          <w:p w14:paraId="04D58FC8" w14:textId="77777777" w:rsidR="003E78AB" w:rsidRDefault="00010BF9">
            <w:pPr>
              <w:pStyle w:val="aff6"/>
              <w:topLinePunct/>
              <w:rPr>
                <w:bCs/>
              </w:rPr>
            </w:pPr>
            <w:r>
              <w:rPr>
                <w:bCs/>
              </w:rPr>
              <w:t>历年平均</w:t>
            </w:r>
          </w:p>
        </w:tc>
        <w:tc>
          <w:tcPr>
            <w:tcW w:w="437" w:type="pct"/>
            <w:vAlign w:val="center"/>
          </w:tcPr>
          <w:p w14:paraId="0FF9AEB8" w14:textId="77777777" w:rsidR="003E78AB" w:rsidRDefault="00010BF9">
            <w:pPr>
              <w:pStyle w:val="aff6"/>
              <w:topLinePunct/>
              <w:rPr>
                <w:bCs/>
              </w:rPr>
            </w:pPr>
            <w:r>
              <w:rPr>
                <w:bCs/>
              </w:rPr>
              <w:t>极端最高</w:t>
            </w:r>
          </w:p>
        </w:tc>
        <w:tc>
          <w:tcPr>
            <w:tcW w:w="439" w:type="pct"/>
            <w:vAlign w:val="center"/>
          </w:tcPr>
          <w:p w14:paraId="78B0921F" w14:textId="77777777" w:rsidR="003E78AB" w:rsidRDefault="00010BF9">
            <w:pPr>
              <w:pStyle w:val="aff6"/>
              <w:topLinePunct/>
              <w:rPr>
                <w:bCs/>
              </w:rPr>
            </w:pPr>
            <w:r>
              <w:rPr>
                <w:bCs/>
              </w:rPr>
              <w:t>极端最低</w:t>
            </w:r>
          </w:p>
        </w:tc>
        <w:tc>
          <w:tcPr>
            <w:tcW w:w="437" w:type="pct"/>
            <w:vAlign w:val="center"/>
          </w:tcPr>
          <w:p w14:paraId="28E2A1D4" w14:textId="77777777" w:rsidR="003E78AB" w:rsidRDefault="00010BF9">
            <w:pPr>
              <w:pStyle w:val="aff6"/>
              <w:topLinePunct/>
              <w:rPr>
                <w:bCs/>
              </w:rPr>
            </w:pPr>
            <w:r>
              <w:rPr>
                <w:bCs/>
              </w:rPr>
              <w:t>历年平均</w:t>
            </w:r>
          </w:p>
        </w:tc>
        <w:tc>
          <w:tcPr>
            <w:tcW w:w="439" w:type="pct"/>
            <w:vAlign w:val="center"/>
          </w:tcPr>
          <w:p w14:paraId="19671184" w14:textId="77777777" w:rsidR="003E78AB" w:rsidRDefault="00010BF9">
            <w:pPr>
              <w:pStyle w:val="aff6"/>
              <w:topLinePunct/>
              <w:rPr>
                <w:bCs/>
              </w:rPr>
            </w:pPr>
            <w:r>
              <w:rPr>
                <w:bCs/>
              </w:rPr>
              <w:t>极端最小</w:t>
            </w:r>
          </w:p>
        </w:tc>
        <w:tc>
          <w:tcPr>
            <w:tcW w:w="382" w:type="pct"/>
            <w:vAlign w:val="center"/>
          </w:tcPr>
          <w:p w14:paraId="2217C414" w14:textId="77777777" w:rsidR="003E78AB" w:rsidRDefault="00010BF9">
            <w:pPr>
              <w:pStyle w:val="aff6"/>
              <w:topLinePunct/>
              <w:rPr>
                <w:bCs/>
              </w:rPr>
            </w:pPr>
            <w:r>
              <w:rPr>
                <w:bCs/>
              </w:rPr>
              <w:t>月平均</w:t>
            </w:r>
          </w:p>
        </w:tc>
        <w:tc>
          <w:tcPr>
            <w:tcW w:w="384" w:type="pct"/>
            <w:vAlign w:val="center"/>
          </w:tcPr>
          <w:p w14:paraId="04CA05EA" w14:textId="77777777" w:rsidR="003E78AB" w:rsidRDefault="00010BF9">
            <w:pPr>
              <w:pStyle w:val="aff6"/>
              <w:topLinePunct/>
              <w:rPr>
                <w:bCs/>
              </w:rPr>
            </w:pPr>
            <w:r>
              <w:rPr>
                <w:bCs/>
              </w:rPr>
              <w:t>月平均</w:t>
            </w:r>
          </w:p>
        </w:tc>
        <w:tc>
          <w:tcPr>
            <w:tcW w:w="482" w:type="pct"/>
            <w:vAlign w:val="center"/>
          </w:tcPr>
          <w:p w14:paraId="5551A2E5" w14:textId="77777777" w:rsidR="003E78AB" w:rsidRDefault="00010BF9">
            <w:pPr>
              <w:pStyle w:val="aff6"/>
              <w:topLinePunct/>
              <w:rPr>
                <w:bCs/>
              </w:rPr>
            </w:pPr>
            <w:r>
              <w:rPr>
                <w:bCs/>
              </w:rPr>
              <w:t>历年平均</w:t>
            </w:r>
          </w:p>
        </w:tc>
      </w:tr>
      <w:tr w:rsidR="003E78AB" w14:paraId="17EB95EF" w14:textId="77777777">
        <w:tc>
          <w:tcPr>
            <w:tcW w:w="256" w:type="pct"/>
            <w:vAlign w:val="center"/>
          </w:tcPr>
          <w:p w14:paraId="1CFF81AA" w14:textId="77777777" w:rsidR="003E78AB" w:rsidRDefault="00010BF9">
            <w:pPr>
              <w:pStyle w:val="aff6"/>
              <w:topLinePunct/>
              <w:rPr>
                <w:bCs/>
              </w:rPr>
            </w:pPr>
            <w:r>
              <w:rPr>
                <w:bCs/>
              </w:rPr>
              <w:t>1</w:t>
            </w:r>
          </w:p>
        </w:tc>
        <w:tc>
          <w:tcPr>
            <w:tcW w:w="425" w:type="pct"/>
            <w:vAlign w:val="center"/>
          </w:tcPr>
          <w:p w14:paraId="111E1B52" w14:textId="77777777" w:rsidR="003E78AB" w:rsidRDefault="00010BF9">
            <w:pPr>
              <w:pStyle w:val="aff6"/>
              <w:topLinePunct/>
              <w:rPr>
                <w:bCs/>
              </w:rPr>
            </w:pPr>
            <w:r>
              <w:rPr>
                <w:bCs/>
              </w:rPr>
              <w:t>-16.3</w:t>
            </w:r>
          </w:p>
        </w:tc>
        <w:tc>
          <w:tcPr>
            <w:tcW w:w="438" w:type="pct"/>
            <w:vAlign w:val="center"/>
          </w:tcPr>
          <w:p w14:paraId="4B0AD3FB" w14:textId="77777777" w:rsidR="003E78AB" w:rsidRDefault="00010BF9">
            <w:pPr>
              <w:pStyle w:val="aff6"/>
              <w:topLinePunct/>
              <w:rPr>
                <w:bCs/>
              </w:rPr>
            </w:pPr>
            <w:r>
              <w:rPr>
                <w:bCs/>
              </w:rPr>
              <w:t>-2.2</w:t>
            </w:r>
          </w:p>
        </w:tc>
        <w:tc>
          <w:tcPr>
            <w:tcW w:w="439" w:type="pct"/>
            <w:vAlign w:val="center"/>
          </w:tcPr>
          <w:p w14:paraId="7973310D" w14:textId="77777777" w:rsidR="003E78AB" w:rsidRDefault="00010BF9">
            <w:pPr>
              <w:pStyle w:val="aff6"/>
              <w:topLinePunct/>
              <w:rPr>
                <w:bCs/>
              </w:rPr>
            </w:pPr>
            <w:r>
              <w:rPr>
                <w:bCs/>
              </w:rPr>
              <w:t>-27.2</w:t>
            </w:r>
          </w:p>
        </w:tc>
        <w:tc>
          <w:tcPr>
            <w:tcW w:w="437" w:type="pct"/>
            <w:vAlign w:val="center"/>
          </w:tcPr>
          <w:p w14:paraId="532DBD00" w14:textId="77777777" w:rsidR="003E78AB" w:rsidRDefault="00010BF9">
            <w:pPr>
              <w:pStyle w:val="aff6"/>
              <w:topLinePunct/>
              <w:rPr>
                <w:bCs/>
              </w:rPr>
            </w:pPr>
            <w:r>
              <w:rPr>
                <w:bCs/>
              </w:rPr>
              <w:t>944.6</w:t>
            </w:r>
          </w:p>
        </w:tc>
        <w:tc>
          <w:tcPr>
            <w:tcW w:w="437" w:type="pct"/>
            <w:vAlign w:val="center"/>
          </w:tcPr>
          <w:p w14:paraId="1CB89DD1" w14:textId="77777777" w:rsidR="003E78AB" w:rsidRDefault="00010BF9">
            <w:pPr>
              <w:pStyle w:val="aff6"/>
              <w:topLinePunct/>
              <w:rPr>
                <w:bCs/>
              </w:rPr>
            </w:pPr>
            <w:r>
              <w:rPr>
                <w:bCs/>
              </w:rPr>
              <w:t>957.5</w:t>
            </w:r>
          </w:p>
        </w:tc>
        <w:tc>
          <w:tcPr>
            <w:tcW w:w="439" w:type="pct"/>
            <w:vAlign w:val="center"/>
          </w:tcPr>
          <w:p w14:paraId="718B1538" w14:textId="77777777" w:rsidR="003E78AB" w:rsidRDefault="00010BF9">
            <w:pPr>
              <w:pStyle w:val="aff6"/>
              <w:topLinePunct/>
              <w:rPr>
                <w:bCs/>
              </w:rPr>
            </w:pPr>
            <w:r>
              <w:rPr>
                <w:bCs/>
              </w:rPr>
              <w:t>934.8</w:t>
            </w:r>
          </w:p>
        </w:tc>
        <w:tc>
          <w:tcPr>
            <w:tcW w:w="437" w:type="pct"/>
            <w:vAlign w:val="center"/>
          </w:tcPr>
          <w:p w14:paraId="7FB9EB51" w14:textId="77777777" w:rsidR="003E78AB" w:rsidRDefault="00010BF9">
            <w:pPr>
              <w:pStyle w:val="aff6"/>
              <w:topLinePunct/>
              <w:rPr>
                <w:bCs/>
              </w:rPr>
            </w:pPr>
            <w:r>
              <w:rPr>
                <w:bCs/>
              </w:rPr>
              <w:t>65</w:t>
            </w:r>
          </w:p>
        </w:tc>
        <w:tc>
          <w:tcPr>
            <w:tcW w:w="439" w:type="pct"/>
            <w:vAlign w:val="center"/>
          </w:tcPr>
          <w:p w14:paraId="1A858ADF" w14:textId="77777777" w:rsidR="003E78AB" w:rsidRDefault="00010BF9">
            <w:pPr>
              <w:pStyle w:val="aff6"/>
              <w:topLinePunct/>
              <w:rPr>
                <w:bCs/>
              </w:rPr>
            </w:pPr>
            <w:r>
              <w:rPr>
                <w:bCs/>
              </w:rPr>
              <w:t>27</w:t>
            </w:r>
          </w:p>
        </w:tc>
        <w:tc>
          <w:tcPr>
            <w:tcW w:w="382" w:type="pct"/>
            <w:vAlign w:val="center"/>
          </w:tcPr>
          <w:p w14:paraId="102D5E03" w14:textId="77777777" w:rsidR="003E78AB" w:rsidRDefault="00010BF9">
            <w:pPr>
              <w:pStyle w:val="aff6"/>
              <w:topLinePunct/>
              <w:rPr>
                <w:bCs/>
              </w:rPr>
            </w:pPr>
            <w:r>
              <w:rPr>
                <w:bCs/>
              </w:rPr>
              <w:t>1.3</w:t>
            </w:r>
          </w:p>
        </w:tc>
        <w:tc>
          <w:tcPr>
            <w:tcW w:w="384" w:type="pct"/>
            <w:vAlign w:val="center"/>
          </w:tcPr>
          <w:p w14:paraId="377C5A21" w14:textId="77777777" w:rsidR="003E78AB" w:rsidRDefault="00010BF9">
            <w:pPr>
              <w:pStyle w:val="aff6"/>
              <w:topLinePunct/>
              <w:rPr>
                <w:bCs/>
              </w:rPr>
            </w:pPr>
            <w:r>
              <w:rPr>
                <w:bCs/>
              </w:rPr>
              <w:t>13.8</w:t>
            </w:r>
          </w:p>
        </w:tc>
        <w:tc>
          <w:tcPr>
            <w:tcW w:w="482" w:type="pct"/>
            <w:vAlign w:val="center"/>
          </w:tcPr>
          <w:p w14:paraId="389A70F1" w14:textId="77777777" w:rsidR="003E78AB" w:rsidRDefault="00010BF9">
            <w:pPr>
              <w:pStyle w:val="aff6"/>
              <w:topLinePunct/>
              <w:rPr>
                <w:bCs/>
              </w:rPr>
            </w:pPr>
            <w:r>
              <w:rPr>
                <w:bCs/>
              </w:rPr>
              <w:t>1.4</w:t>
            </w:r>
          </w:p>
        </w:tc>
      </w:tr>
      <w:tr w:rsidR="003E78AB" w14:paraId="7FC7CE94" w14:textId="77777777">
        <w:tc>
          <w:tcPr>
            <w:tcW w:w="256" w:type="pct"/>
            <w:vAlign w:val="center"/>
          </w:tcPr>
          <w:p w14:paraId="43E3B722" w14:textId="77777777" w:rsidR="003E78AB" w:rsidRDefault="00010BF9">
            <w:pPr>
              <w:pStyle w:val="aff6"/>
              <w:topLinePunct/>
              <w:rPr>
                <w:bCs/>
              </w:rPr>
            </w:pPr>
            <w:r>
              <w:rPr>
                <w:bCs/>
              </w:rPr>
              <w:t>2</w:t>
            </w:r>
          </w:p>
        </w:tc>
        <w:tc>
          <w:tcPr>
            <w:tcW w:w="425" w:type="pct"/>
            <w:vAlign w:val="center"/>
          </w:tcPr>
          <w:p w14:paraId="11F56DDE" w14:textId="77777777" w:rsidR="003E78AB" w:rsidRDefault="00010BF9">
            <w:pPr>
              <w:pStyle w:val="aff6"/>
              <w:topLinePunct/>
              <w:rPr>
                <w:bCs/>
              </w:rPr>
            </w:pPr>
            <w:r>
              <w:rPr>
                <w:bCs/>
              </w:rPr>
              <w:t>-1.7</w:t>
            </w:r>
          </w:p>
        </w:tc>
        <w:tc>
          <w:tcPr>
            <w:tcW w:w="438" w:type="pct"/>
            <w:vAlign w:val="center"/>
          </w:tcPr>
          <w:p w14:paraId="0F84A150" w14:textId="77777777" w:rsidR="003E78AB" w:rsidRDefault="00010BF9">
            <w:pPr>
              <w:pStyle w:val="aff6"/>
              <w:topLinePunct/>
              <w:rPr>
                <w:bCs/>
              </w:rPr>
            </w:pPr>
            <w:r>
              <w:rPr>
                <w:bCs/>
              </w:rPr>
              <w:t>13.4</w:t>
            </w:r>
          </w:p>
        </w:tc>
        <w:tc>
          <w:tcPr>
            <w:tcW w:w="439" w:type="pct"/>
            <w:vAlign w:val="center"/>
          </w:tcPr>
          <w:p w14:paraId="6E2D2E5C" w14:textId="77777777" w:rsidR="003E78AB" w:rsidRDefault="00010BF9">
            <w:pPr>
              <w:pStyle w:val="aff6"/>
              <w:topLinePunct/>
              <w:rPr>
                <w:bCs/>
              </w:rPr>
            </w:pPr>
            <w:r>
              <w:rPr>
                <w:bCs/>
              </w:rPr>
              <w:t>-18.4</w:t>
            </w:r>
          </w:p>
        </w:tc>
        <w:tc>
          <w:tcPr>
            <w:tcW w:w="437" w:type="pct"/>
            <w:vAlign w:val="center"/>
          </w:tcPr>
          <w:p w14:paraId="56587762" w14:textId="77777777" w:rsidR="003E78AB" w:rsidRDefault="00010BF9">
            <w:pPr>
              <w:pStyle w:val="aff6"/>
              <w:topLinePunct/>
              <w:rPr>
                <w:bCs/>
              </w:rPr>
            </w:pPr>
            <w:r>
              <w:rPr>
                <w:bCs/>
              </w:rPr>
              <w:t>931.5</w:t>
            </w:r>
          </w:p>
        </w:tc>
        <w:tc>
          <w:tcPr>
            <w:tcW w:w="437" w:type="pct"/>
            <w:vAlign w:val="center"/>
          </w:tcPr>
          <w:p w14:paraId="1AE8BD1A" w14:textId="77777777" w:rsidR="003E78AB" w:rsidRDefault="00010BF9">
            <w:pPr>
              <w:pStyle w:val="aff6"/>
              <w:topLinePunct/>
              <w:rPr>
                <w:bCs/>
              </w:rPr>
            </w:pPr>
            <w:r>
              <w:rPr>
                <w:bCs/>
              </w:rPr>
              <w:t>945.4</w:t>
            </w:r>
          </w:p>
        </w:tc>
        <w:tc>
          <w:tcPr>
            <w:tcW w:w="439" w:type="pct"/>
            <w:vAlign w:val="center"/>
          </w:tcPr>
          <w:p w14:paraId="6DAB4165" w14:textId="77777777" w:rsidR="003E78AB" w:rsidRDefault="00010BF9">
            <w:pPr>
              <w:pStyle w:val="aff6"/>
              <w:topLinePunct/>
              <w:rPr>
                <w:bCs/>
              </w:rPr>
            </w:pPr>
            <w:r>
              <w:rPr>
                <w:bCs/>
              </w:rPr>
              <w:t>920.2</w:t>
            </w:r>
          </w:p>
        </w:tc>
        <w:tc>
          <w:tcPr>
            <w:tcW w:w="437" w:type="pct"/>
            <w:vAlign w:val="center"/>
          </w:tcPr>
          <w:p w14:paraId="5DF8AD4F" w14:textId="77777777" w:rsidR="003E78AB" w:rsidRDefault="00010BF9">
            <w:pPr>
              <w:pStyle w:val="aff6"/>
              <w:topLinePunct/>
              <w:rPr>
                <w:bCs/>
              </w:rPr>
            </w:pPr>
            <w:r>
              <w:rPr>
                <w:bCs/>
              </w:rPr>
              <w:t>47</w:t>
            </w:r>
          </w:p>
        </w:tc>
        <w:tc>
          <w:tcPr>
            <w:tcW w:w="439" w:type="pct"/>
            <w:vAlign w:val="center"/>
          </w:tcPr>
          <w:p w14:paraId="281DA603" w14:textId="77777777" w:rsidR="003E78AB" w:rsidRDefault="00010BF9">
            <w:pPr>
              <w:pStyle w:val="aff6"/>
              <w:topLinePunct/>
              <w:rPr>
                <w:bCs/>
              </w:rPr>
            </w:pPr>
            <w:r>
              <w:rPr>
                <w:bCs/>
              </w:rPr>
              <w:t>11</w:t>
            </w:r>
          </w:p>
        </w:tc>
        <w:tc>
          <w:tcPr>
            <w:tcW w:w="382" w:type="pct"/>
            <w:vAlign w:val="center"/>
          </w:tcPr>
          <w:p w14:paraId="147693AA" w14:textId="77777777" w:rsidR="003E78AB" w:rsidRDefault="00010BF9">
            <w:pPr>
              <w:pStyle w:val="aff6"/>
              <w:topLinePunct/>
              <w:rPr>
                <w:bCs/>
              </w:rPr>
            </w:pPr>
            <w:r>
              <w:rPr>
                <w:bCs/>
              </w:rPr>
              <w:t>0.2</w:t>
            </w:r>
          </w:p>
        </w:tc>
        <w:tc>
          <w:tcPr>
            <w:tcW w:w="384" w:type="pct"/>
            <w:vAlign w:val="center"/>
          </w:tcPr>
          <w:p w14:paraId="240B9AAE" w14:textId="77777777" w:rsidR="003E78AB" w:rsidRDefault="00010BF9">
            <w:pPr>
              <w:pStyle w:val="aff6"/>
              <w:topLinePunct/>
              <w:rPr>
                <w:bCs/>
              </w:rPr>
            </w:pPr>
            <w:r>
              <w:rPr>
                <w:bCs/>
              </w:rPr>
              <w:t>45</w:t>
            </w:r>
          </w:p>
        </w:tc>
        <w:tc>
          <w:tcPr>
            <w:tcW w:w="482" w:type="pct"/>
            <w:vAlign w:val="center"/>
          </w:tcPr>
          <w:p w14:paraId="6C39C858" w14:textId="77777777" w:rsidR="003E78AB" w:rsidRDefault="00010BF9">
            <w:pPr>
              <w:pStyle w:val="aff6"/>
              <w:topLinePunct/>
              <w:rPr>
                <w:bCs/>
              </w:rPr>
            </w:pPr>
            <w:r>
              <w:rPr>
                <w:bCs/>
              </w:rPr>
              <w:t>1.6</w:t>
            </w:r>
          </w:p>
        </w:tc>
      </w:tr>
      <w:tr w:rsidR="003E78AB" w14:paraId="4AADE3D9" w14:textId="77777777">
        <w:tc>
          <w:tcPr>
            <w:tcW w:w="256" w:type="pct"/>
            <w:vAlign w:val="center"/>
          </w:tcPr>
          <w:p w14:paraId="2F4CF249" w14:textId="77777777" w:rsidR="003E78AB" w:rsidRDefault="00010BF9">
            <w:pPr>
              <w:pStyle w:val="aff6"/>
              <w:topLinePunct/>
              <w:rPr>
                <w:bCs/>
              </w:rPr>
            </w:pPr>
            <w:r>
              <w:rPr>
                <w:bCs/>
              </w:rPr>
              <w:t>3</w:t>
            </w:r>
          </w:p>
        </w:tc>
        <w:tc>
          <w:tcPr>
            <w:tcW w:w="425" w:type="pct"/>
            <w:vAlign w:val="center"/>
          </w:tcPr>
          <w:p w14:paraId="35F7B15D" w14:textId="77777777" w:rsidR="003E78AB" w:rsidRDefault="00010BF9">
            <w:pPr>
              <w:pStyle w:val="aff6"/>
              <w:topLinePunct/>
              <w:rPr>
                <w:bCs/>
              </w:rPr>
            </w:pPr>
            <w:r>
              <w:rPr>
                <w:bCs/>
              </w:rPr>
              <w:t>3</w:t>
            </w:r>
          </w:p>
        </w:tc>
        <w:tc>
          <w:tcPr>
            <w:tcW w:w="438" w:type="pct"/>
            <w:vAlign w:val="center"/>
          </w:tcPr>
          <w:p w14:paraId="7A5C0443" w14:textId="77777777" w:rsidR="003E78AB" w:rsidRDefault="00010BF9">
            <w:pPr>
              <w:pStyle w:val="aff6"/>
              <w:topLinePunct/>
              <w:rPr>
                <w:bCs/>
              </w:rPr>
            </w:pPr>
            <w:r>
              <w:rPr>
                <w:bCs/>
              </w:rPr>
              <w:t>22.9</w:t>
            </w:r>
          </w:p>
        </w:tc>
        <w:tc>
          <w:tcPr>
            <w:tcW w:w="439" w:type="pct"/>
            <w:vAlign w:val="center"/>
          </w:tcPr>
          <w:p w14:paraId="371C897C" w14:textId="77777777" w:rsidR="003E78AB" w:rsidRDefault="00010BF9">
            <w:pPr>
              <w:pStyle w:val="aff6"/>
              <w:topLinePunct/>
              <w:rPr>
                <w:bCs/>
              </w:rPr>
            </w:pPr>
            <w:r>
              <w:rPr>
                <w:bCs/>
              </w:rPr>
              <w:t>-11.5</w:t>
            </w:r>
          </w:p>
        </w:tc>
        <w:tc>
          <w:tcPr>
            <w:tcW w:w="437" w:type="pct"/>
            <w:vAlign w:val="center"/>
          </w:tcPr>
          <w:p w14:paraId="5CD3195C" w14:textId="77777777" w:rsidR="003E78AB" w:rsidRDefault="00010BF9">
            <w:pPr>
              <w:pStyle w:val="aff6"/>
              <w:topLinePunct/>
              <w:rPr>
                <w:bCs/>
              </w:rPr>
            </w:pPr>
            <w:r>
              <w:rPr>
                <w:bCs/>
              </w:rPr>
              <w:t>937.5</w:t>
            </w:r>
          </w:p>
        </w:tc>
        <w:tc>
          <w:tcPr>
            <w:tcW w:w="437" w:type="pct"/>
            <w:vAlign w:val="center"/>
          </w:tcPr>
          <w:p w14:paraId="2980CAEB" w14:textId="77777777" w:rsidR="003E78AB" w:rsidRDefault="00010BF9">
            <w:pPr>
              <w:pStyle w:val="aff6"/>
              <w:topLinePunct/>
              <w:rPr>
                <w:bCs/>
              </w:rPr>
            </w:pPr>
            <w:r>
              <w:rPr>
                <w:bCs/>
              </w:rPr>
              <w:t>956.5</w:t>
            </w:r>
          </w:p>
        </w:tc>
        <w:tc>
          <w:tcPr>
            <w:tcW w:w="439" w:type="pct"/>
            <w:vAlign w:val="center"/>
          </w:tcPr>
          <w:p w14:paraId="4CF573CF" w14:textId="77777777" w:rsidR="003E78AB" w:rsidRDefault="00010BF9">
            <w:pPr>
              <w:pStyle w:val="aff6"/>
              <w:topLinePunct/>
              <w:rPr>
                <w:bCs/>
              </w:rPr>
            </w:pPr>
            <w:r>
              <w:rPr>
                <w:bCs/>
              </w:rPr>
              <w:t>919.9</w:t>
            </w:r>
          </w:p>
        </w:tc>
        <w:tc>
          <w:tcPr>
            <w:tcW w:w="437" w:type="pct"/>
            <w:vAlign w:val="center"/>
          </w:tcPr>
          <w:p w14:paraId="7F68AF40" w14:textId="77777777" w:rsidR="003E78AB" w:rsidRDefault="00010BF9">
            <w:pPr>
              <w:pStyle w:val="aff6"/>
              <w:topLinePunct/>
              <w:rPr>
                <w:bCs/>
              </w:rPr>
            </w:pPr>
            <w:r>
              <w:rPr>
                <w:bCs/>
              </w:rPr>
              <w:t>27</w:t>
            </w:r>
          </w:p>
        </w:tc>
        <w:tc>
          <w:tcPr>
            <w:tcW w:w="439" w:type="pct"/>
            <w:vAlign w:val="center"/>
          </w:tcPr>
          <w:p w14:paraId="6E182F65" w14:textId="77777777" w:rsidR="003E78AB" w:rsidRDefault="00010BF9">
            <w:pPr>
              <w:pStyle w:val="aff6"/>
              <w:topLinePunct/>
              <w:rPr>
                <w:bCs/>
              </w:rPr>
            </w:pPr>
            <w:r>
              <w:rPr>
                <w:bCs/>
              </w:rPr>
              <w:t>4</w:t>
            </w:r>
          </w:p>
        </w:tc>
        <w:tc>
          <w:tcPr>
            <w:tcW w:w="382" w:type="pct"/>
            <w:vAlign w:val="center"/>
          </w:tcPr>
          <w:p w14:paraId="30DF2D5A" w14:textId="77777777" w:rsidR="003E78AB" w:rsidRDefault="00010BF9">
            <w:pPr>
              <w:pStyle w:val="aff6"/>
              <w:topLinePunct/>
              <w:rPr>
                <w:bCs/>
              </w:rPr>
            </w:pPr>
            <w:r>
              <w:rPr>
                <w:bCs/>
              </w:rPr>
              <w:t>4.9</w:t>
            </w:r>
          </w:p>
        </w:tc>
        <w:tc>
          <w:tcPr>
            <w:tcW w:w="384" w:type="pct"/>
            <w:vAlign w:val="center"/>
          </w:tcPr>
          <w:p w14:paraId="7CDBB2AE" w14:textId="77777777" w:rsidR="003E78AB" w:rsidRDefault="00010BF9">
            <w:pPr>
              <w:pStyle w:val="aff6"/>
              <w:topLinePunct/>
              <w:rPr>
                <w:bCs/>
              </w:rPr>
            </w:pPr>
            <w:r>
              <w:rPr>
                <w:bCs/>
              </w:rPr>
              <w:t>110.4</w:t>
            </w:r>
          </w:p>
        </w:tc>
        <w:tc>
          <w:tcPr>
            <w:tcW w:w="482" w:type="pct"/>
            <w:vAlign w:val="center"/>
          </w:tcPr>
          <w:p w14:paraId="1362A703" w14:textId="77777777" w:rsidR="003E78AB" w:rsidRDefault="00010BF9">
            <w:pPr>
              <w:pStyle w:val="aff6"/>
              <w:topLinePunct/>
              <w:rPr>
                <w:bCs/>
              </w:rPr>
            </w:pPr>
            <w:r>
              <w:rPr>
                <w:bCs/>
              </w:rPr>
              <w:t>1.8</w:t>
            </w:r>
          </w:p>
        </w:tc>
      </w:tr>
      <w:tr w:rsidR="003E78AB" w14:paraId="61359698" w14:textId="77777777">
        <w:tc>
          <w:tcPr>
            <w:tcW w:w="256" w:type="pct"/>
            <w:vAlign w:val="center"/>
          </w:tcPr>
          <w:p w14:paraId="0C0AD9CC" w14:textId="77777777" w:rsidR="003E78AB" w:rsidRDefault="00010BF9">
            <w:pPr>
              <w:pStyle w:val="aff6"/>
              <w:topLinePunct/>
              <w:rPr>
                <w:bCs/>
              </w:rPr>
            </w:pPr>
            <w:r>
              <w:rPr>
                <w:bCs/>
              </w:rPr>
              <w:t>4</w:t>
            </w:r>
          </w:p>
        </w:tc>
        <w:tc>
          <w:tcPr>
            <w:tcW w:w="425" w:type="pct"/>
            <w:vAlign w:val="center"/>
          </w:tcPr>
          <w:p w14:paraId="1752120C" w14:textId="77777777" w:rsidR="003E78AB" w:rsidRDefault="00010BF9">
            <w:pPr>
              <w:pStyle w:val="aff6"/>
              <w:topLinePunct/>
              <w:rPr>
                <w:bCs/>
              </w:rPr>
            </w:pPr>
            <w:r>
              <w:rPr>
                <w:bCs/>
              </w:rPr>
              <w:t>17.3</w:t>
            </w:r>
          </w:p>
        </w:tc>
        <w:tc>
          <w:tcPr>
            <w:tcW w:w="438" w:type="pct"/>
            <w:vAlign w:val="center"/>
          </w:tcPr>
          <w:p w14:paraId="428B0CE8" w14:textId="77777777" w:rsidR="003E78AB" w:rsidRDefault="00010BF9">
            <w:pPr>
              <w:pStyle w:val="aff6"/>
              <w:topLinePunct/>
              <w:rPr>
                <w:bCs/>
              </w:rPr>
            </w:pPr>
            <w:r>
              <w:rPr>
                <w:bCs/>
              </w:rPr>
              <w:t>32.5</w:t>
            </w:r>
          </w:p>
        </w:tc>
        <w:tc>
          <w:tcPr>
            <w:tcW w:w="439" w:type="pct"/>
            <w:vAlign w:val="center"/>
          </w:tcPr>
          <w:p w14:paraId="6B7B031C" w14:textId="77777777" w:rsidR="003E78AB" w:rsidRDefault="00010BF9">
            <w:pPr>
              <w:pStyle w:val="aff6"/>
              <w:topLinePunct/>
              <w:rPr>
                <w:bCs/>
              </w:rPr>
            </w:pPr>
            <w:r>
              <w:rPr>
                <w:bCs/>
              </w:rPr>
              <w:t>-4.2</w:t>
            </w:r>
          </w:p>
        </w:tc>
        <w:tc>
          <w:tcPr>
            <w:tcW w:w="437" w:type="pct"/>
            <w:vAlign w:val="center"/>
          </w:tcPr>
          <w:p w14:paraId="6933396A" w14:textId="77777777" w:rsidR="003E78AB" w:rsidRDefault="00010BF9">
            <w:pPr>
              <w:pStyle w:val="aff6"/>
              <w:topLinePunct/>
              <w:rPr>
                <w:bCs/>
              </w:rPr>
            </w:pPr>
            <w:r>
              <w:rPr>
                <w:bCs/>
              </w:rPr>
              <w:t>928.6</w:t>
            </w:r>
          </w:p>
        </w:tc>
        <w:tc>
          <w:tcPr>
            <w:tcW w:w="437" w:type="pct"/>
            <w:vAlign w:val="center"/>
          </w:tcPr>
          <w:p w14:paraId="6D2E753E" w14:textId="77777777" w:rsidR="003E78AB" w:rsidRDefault="00010BF9">
            <w:pPr>
              <w:pStyle w:val="aff6"/>
              <w:topLinePunct/>
              <w:rPr>
                <w:bCs/>
              </w:rPr>
            </w:pPr>
            <w:r>
              <w:rPr>
                <w:bCs/>
              </w:rPr>
              <w:t>941.7</w:t>
            </w:r>
          </w:p>
        </w:tc>
        <w:tc>
          <w:tcPr>
            <w:tcW w:w="439" w:type="pct"/>
            <w:vAlign w:val="center"/>
          </w:tcPr>
          <w:p w14:paraId="2A54AE48" w14:textId="77777777" w:rsidR="003E78AB" w:rsidRDefault="00010BF9">
            <w:pPr>
              <w:pStyle w:val="aff6"/>
              <w:topLinePunct/>
              <w:rPr>
                <w:bCs/>
              </w:rPr>
            </w:pPr>
            <w:r>
              <w:rPr>
                <w:bCs/>
              </w:rPr>
              <w:t>916.2</w:t>
            </w:r>
          </w:p>
        </w:tc>
        <w:tc>
          <w:tcPr>
            <w:tcW w:w="437" w:type="pct"/>
            <w:vAlign w:val="center"/>
          </w:tcPr>
          <w:p w14:paraId="0DAEC338" w14:textId="77777777" w:rsidR="003E78AB" w:rsidRDefault="00010BF9">
            <w:pPr>
              <w:pStyle w:val="aff6"/>
              <w:topLinePunct/>
              <w:rPr>
                <w:bCs/>
              </w:rPr>
            </w:pPr>
            <w:r>
              <w:rPr>
                <w:bCs/>
              </w:rPr>
              <w:t>19</w:t>
            </w:r>
          </w:p>
        </w:tc>
        <w:tc>
          <w:tcPr>
            <w:tcW w:w="439" w:type="pct"/>
            <w:vAlign w:val="center"/>
          </w:tcPr>
          <w:p w14:paraId="048404A1" w14:textId="77777777" w:rsidR="003E78AB" w:rsidRDefault="00010BF9">
            <w:pPr>
              <w:pStyle w:val="aff6"/>
              <w:topLinePunct/>
              <w:rPr>
                <w:bCs/>
              </w:rPr>
            </w:pPr>
            <w:r>
              <w:rPr>
                <w:bCs/>
              </w:rPr>
              <w:t>5</w:t>
            </w:r>
          </w:p>
        </w:tc>
        <w:tc>
          <w:tcPr>
            <w:tcW w:w="382" w:type="pct"/>
            <w:vAlign w:val="center"/>
          </w:tcPr>
          <w:p w14:paraId="57B23A53" w14:textId="77777777" w:rsidR="003E78AB" w:rsidRDefault="00010BF9">
            <w:pPr>
              <w:pStyle w:val="aff6"/>
              <w:topLinePunct/>
              <w:rPr>
                <w:bCs/>
              </w:rPr>
            </w:pPr>
            <w:r>
              <w:rPr>
                <w:bCs/>
              </w:rPr>
              <w:t>0</w:t>
            </w:r>
          </w:p>
        </w:tc>
        <w:tc>
          <w:tcPr>
            <w:tcW w:w="384" w:type="pct"/>
            <w:vAlign w:val="center"/>
          </w:tcPr>
          <w:p w14:paraId="6B7477F0" w14:textId="77777777" w:rsidR="003E78AB" w:rsidRDefault="00010BF9">
            <w:pPr>
              <w:pStyle w:val="aff6"/>
              <w:topLinePunct/>
              <w:rPr>
                <w:bCs/>
              </w:rPr>
            </w:pPr>
            <w:r>
              <w:rPr>
                <w:bCs/>
              </w:rPr>
              <w:t>172.9</w:t>
            </w:r>
          </w:p>
        </w:tc>
        <w:tc>
          <w:tcPr>
            <w:tcW w:w="482" w:type="pct"/>
            <w:vAlign w:val="center"/>
          </w:tcPr>
          <w:p w14:paraId="6E2A20B4" w14:textId="77777777" w:rsidR="003E78AB" w:rsidRDefault="00010BF9">
            <w:pPr>
              <w:pStyle w:val="aff6"/>
              <w:topLinePunct/>
              <w:rPr>
                <w:bCs/>
              </w:rPr>
            </w:pPr>
            <w:r>
              <w:rPr>
                <w:bCs/>
              </w:rPr>
              <w:t>2.1</w:t>
            </w:r>
          </w:p>
        </w:tc>
      </w:tr>
      <w:tr w:rsidR="003E78AB" w14:paraId="44EDC379" w14:textId="77777777">
        <w:tc>
          <w:tcPr>
            <w:tcW w:w="256" w:type="pct"/>
            <w:vAlign w:val="center"/>
          </w:tcPr>
          <w:p w14:paraId="5FDF3323" w14:textId="77777777" w:rsidR="003E78AB" w:rsidRDefault="00010BF9">
            <w:pPr>
              <w:pStyle w:val="aff6"/>
              <w:topLinePunct/>
              <w:rPr>
                <w:bCs/>
              </w:rPr>
            </w:pPr>
            <w:r>
              <w:rPr>
                <w:bCs/>
              </w:rPr>
              <w:t>5</w:t>
            </w:r>
          </w:p>
        </w:tc>
        <w:tc>
          <w:tcPr>
            <w:tcW w:w="425" w:type="pct"/>
            <w:vAlign w:val="center"/>
          </w:tcPr>
          <w:p w14:paraId="10B9B177" w14:textId="77777777" w:rsidR="003E78AB" w:rsidRDefault="00010BF9">
            <w:pPr>
              <w:pStyle w:val="aff6"/>
              <w:topLinePunct/>
              <w:rPr>
                <w:bCs/>
              </w:rPr>
            </w:pPr>
            <w:r>
              <w:rPr>
                <w:bCs/>
              </w:rPr>
              <w:t>20.7</w:t>
            </w:r>
          </w:p>
        </w:tc>
        <w:tc>
          <w:tcPr>
            <w:tcW w:w="438" w:type="pct"/>
            <w:vAlign w:val="center"/>
          </w:tcPr>
          <w:p w14:paraId="3ED9DD59" w14:textId="77777777" w:rsidR="003E78AB" w:rsidRDefault="00010BF9">
            <w:pPr>
              <w:pStyle w:val="aff6"/>
              <w:topLinePunct/>
              <w:rPr>
                <w:bCs/>
              </w:rPr>
            </w:pPr>
            <w:r>
              <w:rPr>
                <w:bCs/>
              </w:rPr>
              <w:t>35.1</w:t>
            </w:r>
          </w:p>
        </w:tc>
        <w:tc>
          <w:tcPr>
            <w:tcW w:w="439" w:type="pct"/>
            <w:vAlign w:val="center"/>
          </w:tcPr>
          <w:p w14:paraId="470D853C" w14:textId="77777777" w:rsidR="003E78AB" w:rsidRDefault="00010BF9">
            <w:pPr>
              <w:pStyle w:val="aff6"/>
              <w:topLinePunct/>
              <w:rPr>
                <w:bCs/>
              </w:rPr>
            </w:pPr>
            <w:r>
              <w:rPr>
                <w:bCs/>
              </w:rPr>
              <w:t>6.7</w:t>
            </w:r>
          </w:p>
        </w:tc>
        <w:tc>
          <w:tcPr>
            <w:tcW w:w="437" w:type="pct"/>
            <w:vAlign w:val="center"/>
          </w:tcPr>
          <w:p w14:paraId="6CBD29D5" w14:textId="77777777" w:rsidR="003E78AB" w:rsidRDefault="00010BF9">
            <w:pPr>
              <w:pStyle w:val="aff6"/>
              <w:topLinePunct/>
              <w:rPr>
                <w:bCs/>
              </w:rPr>
            </w:pPr>
            <w:r>
              <w:rPr>
                <w:bCs/>
              </w:rPr>
              <w:t>925.2</w:t>
            </w:r>
          </w:p>
        </w:tc>
        <w:tc>
          <w:tcPr>
            <w:tcW w:w="437" w:type="pct"/>
            <w:vAlign w:val="center"/>
          </w:tcPr>
          <w:p w14:paraId="2FFAC4D2" w14:textId="77777777" w:rsidR="003E78AB" w:rsidRDefault="00010BF9">
            <w:pPr>
              <w:pStyle w:val="aff6"/>
              <w:topLinePunct/>
              <w:rPr>
                <w:bCs/>
              </w:rPr>
            </w:pPr>
            <w:r>
              <w:rPr>
                <w:bCs/>
              </w:rPr>
              <w:t>935.2</w:t>
            </w:r>
          </w:p>
        </w:tc>
        <w:tc>
          <w:tcPr>
            <w:tcW w:w="439" w:type="pct"/>
            <w:vAlign w:val="center"/>
          </w:tcPr>
          <w:p w14:paraId="425D6A41" w14:textId="77777777" w:rsidR="003E78AB" w:rsidRDefault="00010BF9">
            <w:pPr>
              <w:pStyle w:val="aff6"/>
              <w:topLinePunct/>
              <w:rPr>
                <w:bCs/>
              </w:rPr>
            </w:pPr>
            <w:r>
              <w:rPr>
                <w:bCs/>
              </w:rPr>
              <w:t>912.5</w:t>
            </w:r>
          </w:p>
        </w:tc>
        <w:tc>
          <w:tcPr>
            <w:tcW w:w="437" w:type="pct"/>
            <w:vAlign w:val="center"/>
          </w:tcPr>
          <w:p w14:paraId="14C221C6" w14:textId="77777777" w:rsidR="003E78AB" w:rsidRDefault="00010BF9">
            <w:pPr>
              <w:pStyle w:val="aff6"/>
              <w:topLinePunct/>
              <w:rPr>
                <w:bCs/>
              </w:rPr>
            </w:pPr>
            <w:r>
              <w:rPr>
                <w:bCs/>
              </w:rPr>
              <w:t>23</w:t>
            </w:r>
          </w:p>
        </w:tc>
        <w:tc>
          <w:tcPr>
            <w:tcW w:w="439" w:type="pct"/>
            <w:vAlign w:val="center"/>
          </w:tcPr>
          <w:p w14:paraId="76965A74" w14:textId="77777777" w:rsidR="003E78AB" w:rsidRDefault="00010BF9">
            <w:pPr>
              <w:pStyle w:val="aff6"/>
              <w:topLinePunct/>
              <w:rPr>
                <w:bCs/>
              </w:rPr>
            </w:pPr>
            <w:r>
              <w:rPr>
                <w:bCs/>
              </w:rPr>
              <w:t>4</w:t>
            </w:r>
          </w:p>
        </w:tc>
        <w:tc>
          <w:tcPr>
            <w:tcW w:w="382" w:type="pct"/>
            <w:vAlign w:val="center"/>
          </w:tcPr>
          <w:p w14:paraId="011916D2" w14:textId="77777777" w:rsidR="003E78AB" w:rsidRDefault="00010BF9">
            <w:pPr>
              <w:pStyle w:val="aff6"/>
              <w:topLinePunct/>
              <w:rPr>
                <w:bCs/>
              </w:rPr>
            </w:pPr>
            <w:r>
              <w:rPr>
                <w:bCs/>
              </w:rPr>
              <w:t>1</w:t>
            </w:r>
          </w:p>
        </w:tc>
        <w:tc>
          <w:tcPr>
            <w:tcW w:w="384" w:type="pct"/>
            <w:vAlign w:val="center"/>
          </w:tcPr>
          <w:p w14:paraId="3A8D2160" w14:textId="77777777" w:rsidR="003E78AB" w:rsidRDefault="00010BF9">
            <w:pPr>
              <w:pStyle w:val="aff6"/>
              <w:topLinePunct/>
              <w:rPr>
                <w:bCs/>
              </w:rPr>
            </w:pPr>
            <w:r>
              <w:rPr>
                <w:bCs/>
              </w:rPr>
              <w:t>209.5</w:t>
            </w:r>
          </w:p>
        </w:tc>
        <w:tc>
          <w:tcPr>
            <w:tcW w:w="482" w:type="pct"/>
            <w:vAlign w:val="center"/>
          </w:tcPr>
          <w:p w14:paraId="5346245C" w14:textId="77777777" w:rsidR="003E78AB" w:rsidRDefault="00010BF9">
            <w:pPr>
              <w:pStyle w:val="aff6"/>
              <w:topLinePunct/>
              <w:rPr>
                <w:bCs/>
              </w:rPr>
            </w:pPr>
            <w:r>
              <w:rPr>
                <w:bCs/>
              </w:rPr>
              <w:t>1.8</w:t>
            </w:r>
          </w:p>
        </w:tc>
      </w:tr>
      <w:tr w:rsidR="003E78AB" w14:paraId="7CD91D27" w14:textId="77777777">
        <w:tc>
          <w:tcPr>
            <w:tcW w:w="256" w:type="pct"/>
            <w:vAlign w:val="center"/>
          </w:tcPr>
          <w:p w14:paraId="7070E1EE" w14:textId="77777777" w:rsidR="003E78AB" w:rsidRDefault="00010BF9">
            <w:pPr>
              <w:pStyle w:val="aff6"/>
              <w:topLinePunct/>
              <w:rPr>
                <w:bCs/>
              </w:rPr>
            </w:pPr>
            <w:r>
              <w:rPr>
                <w:bCs/>
              </w:rPr>
              <w:t>6</w:t>
            </w:r>
          </w:p>
        </w:tc>
        <w:tc>
          <w:tcPr>
            <w:tcW w:w="425" w:type="pct"/>
            <w:vAlign w:val="center"/>
          </w:tcPr>
          <w:p w14:paraId="359853A9" w14:textId="77777777" w:rsidR="003E78AB" w:rsidRDefault="00010BF9">
            <w:pPr>
              <w:pStyle w:val="aff6"/>
              <w:topLinePunct/>
              <w:rPr>
                <w:bCs/>
              </w:rPr>
            </w:pPr>
            <w:r>
              <w:rPr>
                <w:bCs/>
              </w:rPr>
              <w:t>26.4</w:t>
            </w:r>
          </w:p>
        </w:tc>
        <w:tc>
          <w:tcPr>
            <w:tcW w:w="438" w:type="pct"/>
            <w:vAlign w:val="center"/>
          </w:tcPr>
          <w:p w14:paraId="2FCE38F6" w14:textId="77777777" w:rsidR="003E78AB" w:rsidRDefault="00010BF9">
            <w:pPr>
              <w:pStyle w:val="aff6"/>
              <w:topLinePunct/>
              <w:rPr>
                <w:bCs/>
              </w:rPr>
            </w:pPr>
            <w:r>
              <w:rPr>
                <w:bCs/>
              </w:rPr>
              <w:t>39.6</w:t>
            </w:r>
          </w:p>
        </w:tc>
        <w:tc>
          <w:tcPr>
            <w:tcW w:w="439" w:type="pct"/>
            <w:vAlign w:val="center"/>
          </w:tcPr>
          <w:p w14:paraId="156C028C" w14:textId="77777777" w:rsidR="003E78AB" w:rsidRDefault="00010BF9">
            <w:pPr>
              <w:pStyle w:val="aff6"/>
              <w:topLinePunct/>
              <w:rPr>
                <w:bCs/>
              </w:rPr>
            </w:pPr>
            <w:r>
              <w:rPr>
                <w:bCs/>
              </w:rPr>
              <w:t>14.3</w:t>
            </w:r>
          </w:p>
        </w:tc>
        <w:tc>
          <w:tcPr>
            <w:tcW w:w="437" w:type="pct"/>
            <w:vAlign w:val="center"/>
          </w:tcPr>
          <w:p w14:paraId="6BAA6BC8" w14:textId="77777777" w:rsidR="003E78AB" w:rsidRDefault="00010BF9">
            <w:pPr>
              <w:pStyle w:val="aff6"/>
              <w:topLinePunct/>
              <w:rPr>
                <w:bCs/>
              </w:rPr>
            </w:pPr>
            <w:r>
              <w:rPr>
                <w:bCs/>
              </w:rPr>
              <w:t>918.9</w:t>
            </w:r>
          </w:p>
        </w:tc>
        <w:tc>
          <w:tcPr>
            <w:tcW w:w="437" w:type="pct"/>
            <w:vAlign w:val="center"/>
          </w:tcPr>
          <w:p w14:paraId="03F5B6F8" w14:textId="77777777" w:rsidR="003E78AB" w:rsidRDefault="00010BF9">
            <w:pPr>
              <w:pStyle w:val="aff6"/>
              <w:topLinePunct/>
              <w:rPr>
                <w:bCs/>
              </w:rPr>
            </w:pPr>
            <w:r>
              <w:rPr>
                <w:bCs/>
              </w:rPr>
              <w:t>926.2</w:t>
            </w:r>
          </w:p>
        </w:tc>
        <w:tc>
          <w:tcPr>
            <w:tcW w:w="439" w:type="pct"/>
            <w:vAlign w:val="center"/>
          </w:tcPr>
          <w:p w14:paraId="0478FD5F" w14:textId="77777777" w:rsidR="003E78AB" w:rsidRDefault="00010BF9">
            <w:pPr>
              <w:pStyle w:val="aff6"/>
              <w:topLinePunct/>
              <w:rPr>
                <w:bCs/>
              </w:rPr>
            </w:pPr>
            <w:r>
              <w:rPr>
                <w:bCs/>
              </w:rPr>
              <w:t>910.2</w:t>
            </w:r>
          </w:p>
        </w:tc>
        <w:tc>
          <w:tcPr>
            <w:tcW w:w="437" w:type="pct"/>
            <w:vAlign w:val="center"/>
          </w:tcPr>
          <w:p w14:paraId="309CDE9C" w14:textId="77777777" w:rsidR="003E78AB" w:rsidRDefault="00010BF9">
            <w:pPr>
              <w:pStyle w:val="aff6"/>
              <w:topLinePunct/>
              <w:rPr>
                <w:bCs/>
              </w:rPr>
            </w:pPr>
            <w:r>
              <w:rPr>
                <w:bCs/>
              </w:rPr>
              <w:t>37</w:t>
            </w:r>
          </w:p>
        </w:tc>
        <w:tc>
          <w:tcPr>
            <w:tcW w:w="439" w:type="pct"/>
            <w:vAlign w:val="center"/>
          </w:tcPr>
          <w:p w14:paraId="0D14C9E3" w14:textId="77777777" w:rsidR="003E78AB" w:rsidRDefault="00010BF9">
            <w:pPr>
              <w:pStyle w:val="aff6"/>
              <w:topLinePunct/>
              <w:rPr>
                <w:bCs/>
              </w:rPr>
            </w:pPr>
            <w:r>
              <w:rPr>
                <w:bCs/>
              </w:rPr>
              <w:t>5</w:t>
            </w:r>
          </w:p>
        </w:tc>
        <w:tc>
          <w:tcPr>
            <w:tcW w:w="382" w:type="pct"/>
            <w:vAlign w:val="center"/>
          </w:tcPr>
          <w:p w14:paraId="7191BA51" w14:textId="77777777" w:rsidR="003E78AB" w:rsidRDefault="00010BF9">
            <w:pPr>
              <w:pStyle w:val="aff6"/>
              <w:topLinePunct/>
              <w:rPr>
                <w:bCs/>
              </w:rPr>
            </w:pPr>
            <w:r>
              <w:rPr>
                <w:bCs/>
              </w:rPr>
              <w:t>4.3</w:t>
            </w:r>
          </w:p>
        </w:tc>
        <w:tc>
          <w:tcPr>
            <w:tcW w:w="384" w:type="pct"/>
            <w:vAlign w:val="center"/>
          </w:tcPr>
          <w:p w14:paraId="7EA59FBF" w14:textId="77777777" w:rsidR="003E78AB" w:rsidRDefault="00010BF9">
            <w:pPr>
              <w:pStyle w:val="aff6"/>
              <w:topLinePunct/>
              <w:rPr>
                <w:bCs/>
              </w:rPr>
            </w:pPr>
            <w:r>
              <w:rPr>
                <w:bCs/>
              </w:rPr>
              <w:t>218.7</w:t>
            </w:r>
          </w:p>
        </w:tc>
        <w:tc>
          <w:tcPr>
            <w:tcW w:w="482" w:type="pct"/>
            <w:vAlign w:val="center"/>
          </w:tcPr>
          <w:p w14:paraId="32EE5900" w14:textId="77777777" w:rsidR="003E78AB" w:rsidRDefault="00010BF9">
            <w:pPr>
              <w:pStyle w:val="aff6"/>
              <w:topLinePunct/>
              <w:rPr>
                <w:bCs/>
              </w:rPr>
            </w:pPr>
            <w:r>
              <w:rPr>
                <w:bCs/>
              </w:rPr>
              <w:t>1.5</w:t>
            </w:r>
          </w:p>
        </w:tc>
      </w:tr>
      <w:tr w:rsidR="003E78AB" w14:paraId="1AE373E3" w14:textId="77777777">
        <w:tc>
          <w:tcPr>
            <w:tcW w:w="256" w:type="pct"/>
            <w:vAlign w:val="center"/>
          </w:tcPr>
          <w:p w14:paraId="30405E4D" w14:textId="77777777" w:rsidR="003E78AB" w:rsidRDefault="00010BF9">
            <w:pPr>
              <w:pStyle w:val="aff6"/>
              <w:topLinePunct/>
              <w:rPr>
                <w:bCs/>
              </w:rPr>
            </w:pPr>
            <w:r>
              <w:rPr>
                <w:bCs/>
              </w:rPr>
              <w:t>7</w:t>
            </w:r>
          </w:p>
        </w:tc>
        <w:tc>
          <w:tcPr>
            <w:tcW w:w="425" w:type="pct"/>
            <w:vAlign w:val="center"/>
          </w:tcPr>
          <w:p w14:paraId="306E70A3" w14:textId="77777777" w:rsidR="003E78AB" w:rsidRDefault="00010BF9">
            <w:pPr>
              <w:pStyle w:val="aff6"/>
              <w:topLinePunct/>
              <w:rPr>
                <w:bCs/>
              </w:rPr>
            </w:pPr>
            <w:r>
              <w:rPr>
                <w:bCs/>
              </w:rPr>
              <w:t>28</w:t>
            </w:r>
          </w:p>
        </w:tc>
        <w:tc>
          <w:tcPr>
            <w:tcW w:w="438" w:type="pct"/>
            <w:vAlign w:val="center"/>
          </w:tcPr>
          <w:p w14:paraId="17E3EDB1" w14:textId="77777777" w:rsidR="003E78AB" w:rsidRDefault="00010BF9">
            <w:pPr>
              <w:pStyle w:val="aff6"/>
              <w:topLinePunct/>
              <w:rPr>
                <w:bCs/>
              </w:rPr>
            </w:pPr>
            <w:r>
              <w:rPr>
                <w:bCs/>
              </w:rPr>
              <w:t>42.7</w:t>
            </w:r>
          </w:p>
        </w:tc>
        <w:tc>
          <w:tcPr>
            <w:tcW w:w="439" w:type="pct"/>
            <w:vAlign w:val="center"/>
          </w:tcPr>
          <w:p w14:paraId="1E2255ED" w14:textId="77777777" w:rsidR="003E78AB" w:rsidRDefault="00010BF9">
            <w:pPr>
              <w:pStyle w:val="aff6"/>
              <w:topLinePunct/>
              <w:rPr>
                <w:bCs/>
              </w:rPr>
            </w:pPr>
            <w:r>
              <w:rPr>
                <w:bCs/>
              </w:rPr>
              <w:t>12.3</w:t>
            </w:r>
          </w:p>
        </w:tc>
        <w:tc>
          <w:tcPr>
            <w:tcW w:w="437" w:type="pct"/>
            <w:vAlign w:val="center"/>
          </w:tcPr>
          <w:p w14:paraId="26472889" w14:textId="77777777" w:rsidR="003E78AB" w:rsidRDefault="00010BF9">
            <w:pPr>
              <w:pStyle w:val="aff6"/>
              <w:topLinePunct/>
              <w:rPr>
                <w:bCs/>
              </w:rPr>
            </w:pPr>
            <w:r>
              <w:rPr>
                <w:bCs/>
              </w:rPr>
              <w:t>918.4</w:t>
            </w:r>
          </w:p>
        </w:tc>
        <w:tc>
          <w:tcPr>
            <w:tcW w:w="437" w:type="pct"/>
            <w:vAlign w:val="center"/>
          </w:tcPr>
          <w:p w14:paraId="12EAD588" w14:textId="77777777" w:rsidR="003E78AB" w:rsidRDefault="00010BF9">
            <w:pPr>
              <w:pStyle w:val="aff6"/>
              <w:topLinePunct/>
              <w:rPr>
                <w:bCs/>
              </w:rPr>
            </w:pPr>
            <w:r>
              <w:rPr>
                <w:bCs/>
              </w:rPr>
              <w:t>927.6</w:t>
            </w:r>
          </w:p>
        </w:tc>
        <w:tc>
          <w:tcPr>
            <w:tcW w:w="439" w:type="pct"/>
            <w:vAlign w:val="center"/>
          </w:tcPr>
          <w:p w14:paraId="560E7A01" w14:textId="77777777" w:rsidR="003E78AB" w:rsidRDefault="00010BF9">
            <w:pPr>
              <w:pStyle w:val="aff6"/>
              <w:topLinePunct/>
              <w:rPr>
                <w:bCs/>
              </w:rPr>
            </w:pPr>
            <w:r>
              <w:rPr>
                <w:bCs/>
              </w:rPr>
              <w:t>908.5</w:t>
            </w:r>
          </w:p>
        </w:tc>
        <w:tc>
          <w:tcPr>
            <w:tcW w:w="437" w:type="pct"/>
            <w:vAlign w:val="center"/>
          </w:tcPr>
          <w:p w14:paraId="046B49AA" w14:textId="77777777" w:rsidR="003E78AB" w:rsidRDefault="00010BF9">
            <w:pPr>
              <w:pStyle w:val="aff6"/>
              <w:topLinePunct/>
              <w:rPr>
                <w:bCs/>
              </w:rPr>
            </w:pPr>
            <w:r>
              <w:rPr>
                <w:bCs/>
              </w:rPr>
              <w:t>32</w:t>
            </w:r>
          </w:p>
        </w:tc>
        <w:tc>
          <w:tcPr>
            <w:tcW w:w="439" w:type="pct"/>
            <w:vAlign w:val="center"/>
          </w:tcPr>
          <w:p w14:paraId="22F5B54F" w14:textId="77777777" w:rsidR="003E78AB" w:rsidRDefault="00010BF9">
            <w:pPr>
              <w:pStyle w:val="aff6"/>
              <w:topLinePunct/>
              <w:rPr>
                <w:bCs/>
              </w:rPr>
            </w:pPr>
            <w:r>
              <w:rPr>
                <w:bCs/>
              </w:rPr>
              <w:t>6</w:t>
            </w:r>
          </w:p>
        </w:tc>
        <w:tc>
          <w:tcPr>
            <w:tcW w:w="382" w:type="pct"/>
            <w:vAlign w:val="center"/>
          </w:tcPr>
          <w:p w14:paraId="4739542B" w14:textId="77777777" w:rsidR="003E78AB" w:rsidRDefault="00010BF9">
            <w:pPr>
              <w:pStyle w:val="aff6"/>
              <w:topLinePunct/>
              <w:rPr>
                <w:bCs/>
              </w:rPr>
            </w:pPr>
            <w:r>
              <w:rPr>
                <w:bCs/>
              </w:rPr>
              <w:t>2.4</w:t>
            </w:r>
          </w:p>
        </w:tc>
        <w:tc>
          <w:tcPr>
            <w:tcW w:w="384" w:type="pct"/>
            <w:vAlign w:val="center"/>
          </w:tcPr>
          <w:p w14:paraId="7D5EBF7F" w14:textId="77777777" w:rsidR="003E78AB" w:rsidRDefault="00010BF9">
            <w:pPr>
              <w:pStyle w:val="aff6"/>
              <w:topLinePunct/>
              <w:rPr>
                <w:bCs/>
              </w:rPr>
            </w:pPr>
            <w:r>
              <w:rPr>
                <w:bCs/>
              </w:rPr>
              <w:t>239.7</w:t>
            </w:r>
          </w:p>
        </w:tc>
        <w:tc>
          <w:tcPr>
            <w:tcW w:w="482" w:type="pct"/>
            <w:vAlign w:val="center"/>
          </w:tcPr>
          <w:p w14:paraId="36E56F16" w14:textId="77777777" w:rsidR="003E78AB" w:rsidRDefault="00010BF9">
            <w:pPr>
              <w:pStyle w:val="aff6"/>
              <w:topLinePunct/>
              <w:rPr>
                <w:bCs/>
              </w:rPr>
            </w:pPr>
            <w:r>
              <w:rPr>
                <w:bCs/>
              </w:rPr>
              <w:t>1.5</w:t>
            </w:r>
          </w:p>
        </w:tc>
      </w:tr>
      <w:tr w:rsidR="003E78AB" w14:paraId="64DCDBD8" w14:textId="77777777">
        <w:tc>
          <w:tcPr>
            <w:tcW w:w="256" w:type="pct"/>
            <w:vAlign w:val="center"/>
          </w:tcPr>
          <w:p w14:paraId="22E19D97" w14:textId="77777777" w:rsidR="003E78AB" w:rsidRDefault="00010BF9">
            <w:pPr>
              <w:pStyle w:val="aff6"/>
              <w:topLinePunct/>
              <w:rPr>
                <w:bCs/>
              </w:rPr>
            </w:pPr>
            <w:r>
              <w:rPr>
                <w:bCs/>
              </w:rPr>
              <w:t>8</w:t>
            </w:r>
          </w:p>
        </w:tc>
        <w:tc>
          <w:tcPr>
            <w:tcW w:w="425" w:type="pct"/>
            <w:vAlign w:val="center"/>
          </w:tcPr>
          <w:p w14:paraId="44676054" w14:textId="77777777" w:rsidR="003E78AB" w:rsidRDefault="00010BF9">
            <w:pPr>
              <w:pStyle w:val="aff6"/>
              <w:topLinePunct/>
              <w:rPr>
                <w:bCs/>
              </w:rPr>
            </w:pPr>
            <w:r>
              <w:rPr>
                <w:bCs/>
              </w:rPr>
              <w:t>26.8</w:t>
            </w:r>
          </w:p>
        </w:tc>
        <w:tc>
          <w:tcPr>
            <w:tcW w:w="438" w:type="pct"/>
            <w:vAlign w:val="center"/>
          </w:tcPr>
          <w:p w14:paraId="4CE75261" w14:textId="77777777" w:rsidR="003E78AB" w:rsidRDefault="00010BF9">
            <w:pPr>
              <w:pStyle w:val="aff6"/>
              <w:topLinePunct/>
              <w:rPr>
                <w:bCs/>
              </w:rPr>
            </w:pPr>
            <w:r>
              <w:rPr>
                <w:bCs/>
              </w:rPr>
              <w:t>41.2</w:t>
            </w:r>
          </w:p>
        </w:tc>
        <w:tc>
          <w:tcPr>
            <w:tcW w:w="439" w:type="pct"/>
            <w:vAlign w:val="center"/>
          </w:tcPr>
          <w:p w14:paraId="6150213D" w14:textId="77777777" w:rsidR="003E78AB" w:rsidRDefault="00010BF9">
            <w:pPr>
              <w:pStyle w:val="aff6"/>
              <w:topLinePunct/>
              <w:rPr>
                <w:bCs/>
              </w:rPr>
            </w:pPr>
            <w:r>
              <w:rPr>
                <w:bCs/>
              </w:rPr>
              <w:t>12</w:t>
            </w:r>
          </w:p>
        </w:tc>
        <w:tc>
          <w:tcPr>
            <w:tcW w:w="437" w:type="pct"/>
            <w:vAlign w:val="center"/>
          </w:tcPr>
          <w:p w14:paraId="5A17FE5F" w14:textId="77777777" w:rsidR="003E78AB" w:rsidRDefault="00010BF9">
            <w:pPr>
              <w:pStyle w:val="aff6"/>
              <w:topLinePunct/>
              <w:rPr>
                <w:bCs/>
              </w:rPr>
            </w:pPr>
            <w:r>
              <w:rPr>
                <w:bCs/>
              </w:rPr>
              <w:t>920.4</w:t>
            </w:r>
          </w:p>
        </w:tc>
        <w:tc>
          <w:tcPr>
            <w:tcW w:w="437" w:type="pct"/>
            <w:vAlign w:val="center"/>
          </w:tcPr>
          <w:p w14:paraId="65865ADA" w14:textId="77777777" w:rsidR="003E78AB" w:rsidRDefault="00010BF9">
            <w:pPr>
              <w:pStyle w:val="aff6"/>
              <w:topLinePunct/>
              <w:rPr>
                <w:bCs/>
              </w:rPr>
            </w:pPr>
            <w:r>
              <w:rPr>
                <w:bCs/>
              </w:rPr>
              <w:t>930.1</w:t>
            </w:r>
          </w:p>
        </w:tc>
        <w:tc>
          <w:tcPr>
            <w:tcW w:w="439" w:type="pct"/>
            <w:vAlign w:val="center"/>
          </w:tcPr>
          <w:p w14:paraId="6E583CF3" w14:textId="77777777" w:rsidR="003E78AB" w:rsidRDefault="00010BF9">
            <w:pPr>
              <w:pStyle w:val="aff6"/>
              <w:topLinePunct/>
              <w:rPr>
                <w:bCs/>
              </w:rPr>
            </w:pPr>
            <w:r>
              <w:rPr>
                <w:bCs/>
              </w:rPr>
              <w:t>911.9</w:t>
            </w:r>
          </w:p>
        </w:tc>
        <w:tc>
          <w:tcPr>
            <w:tcW w:w="437" w:type="pct"/>
            <w:vAlign w:val="center"/>
          </w:tcPr>
          <w:p w14:paraId="4A273BB9" w14:textId="77777777" w:rsidR="003E78AB" w:rsidRDefault="00010BF9">
            <w:pPr>
              <w:pStyle w:val="aff6"/>
              <w:topLinePunct/>
              <w:rPr>
                <w:bCs/>
              </w:rPr>
            </w:pPr>
            <w:r>
              <w:rPr>
                <w:bCs/>
              </w:rPr>
              <w:t>37</w:t>
            </w:r>
          </w:p>
        </w:tc>
        <w:tc>
          <w:tcPr>
            <w:tcW w:w="439" w:type="pct"/>
            <w:vAlign w:val="center"/>
          </w:tcPr>
          <w:p w14:paraId="5E2B1560" w14:textId="77777777" w:rsidR="003E78AB" w:rsidRDefault="00010BF9">
            <w:pPr>
              <w:pStyle w:val="aff6"/>
              <w:topLinePunct/>
              <w:rPr>
                <w:bCs/>
              </w:rPr>
            </w:pPr>
            <w:r>
              <w:rPr>
                <w:bCs/>
              </w:rPr>
              <w:t>9</w:t>
            </w:r>
          </w:p>
        </w:tc>
        <w:tc>
          <w:tcPr>
            <w:tcW w:w="382" w:type="pct"/>
            <w:vAlign w:val="center"/>
          </w:tcPr>
          <w:p w14:paraId="35DFF6AB" w14:textId="77777777" w:rsidR="003E78AB" w:rsidRDefault="00010BF9">
            <w:pPr>
              <w:pStyle w:val="aff6"/>
              <w:topLinePunct/>
              <w:rPr>
                <w:bCs/>
              </w:rPr>
            </w:pPr>
            <w:r>
              <w:rPr>
                <w:bCs/>
              </w:rPr>
              <w:t>1.6</w:t>
            </w:r>
          </w:p>
        </w:tc>
        <w:tc>
          <w:tcPr>
            <w:tcW w:w="384" w:type="pct"/>
            <w:vAlign w:val="center"/>
          </w:tcPr>
          <w:p w14:paraId="6C06BC16" w14:textId="77777777" w:rsidR="003E78AB" w:rsidRDefault="00010BF9">
            <w:pPr>
              <w:pStyle w:val="aff6"/>
              <w:topLinePunct/>
              <w:rPr>
                <w:bCs/>
              </w:rPr>
            </w:pPr>
            <w:r>
              <w:rPr>
                <w:bCs/>
              </w:rPr>
              <w:t>213.9</w:t>
            </w:r>
          </w:p>
        </w:tc>
        <w:tc>
          <w:tcPr>
            <w:tcW w:w="482" w:type="pct"/>
            <w:vAlign w:val="center"/>
          </w:tcPr>
          <w:p w14:paraId="596A7A26" w14:textId="77777777" w:rsidR="003E78AB" w:rsidRDefault="00010BF9">
            <w:pPr>
              <w:pStyle w:val="aff6"/>
              <w:topLinePunct/>
              <w:rPr>
                <w:bCs/>
              </w:rPr>
            </w:pPr>
            <w:r>
              <w:rPr>
                <w:bCs/>
              </w:rPr>
              <w:t>1.3</w:t>
            </w:r>
          </w:p>
        </w:tc>
      </w:tr>
      <w:tr w:rsidR="003E78AB" w14:paraId="6D82AE35" w14:textId="77777777">
        <w:tc>
          <w:tcPr>
            <w:tcW w:w="256" w:type="pct"/>
            <w:vAlign w:val="center"/>
          </w:tcPr>
          <w:p w14:paraId="07EAD7B9" w14:textId="77777777" w:rsidR="003E78AB" w:rsidRDefault="00010BF9">
            <w:pPr>
              <w:pStyle w:val="aff6"/>
              <w:topLinePunct/>
              <w:rPr>
                <w:bCs/>
              </w:rPr>
            </w:pPr>
            <w:r>
              <w:rPr>
                <w:bCs/>
              </w:rPr>
              <w:t>9</w:t>
            </w:r>
          </w:p>
        </w:tc>
        <w:tc>
          <w:tcPr>
            <w:tcW w:w="425" w:type="pct"/>
            <w:vAlign w:val="center"/>
          </w:tcPr>
          <w:p w14:paraId="5762770C" w14:textId="77777777" w:rsidR="003E78AB" w:rsidRDefault="00010BF9">
            <w:pPr>
              <w:pStyle w:val="aff6"/>
              <w:topLinePunct/>
              <w:rPr>
                <w:bCs/>
              </w:rPr>
            </w:pPr>
            <w:r>
              <w:rPr>
                <w:bCs/>
              </w:rPr>
              <w:t>19.1</w:t>
            </w:r>
          </w:p>
        </w:tc>
        <w:tc>
          <w:tcPr>
            <w:tcW w:w="438" w:type="pct"/>
            <w:vAlign w:val="center"/>
          </w:tcPr>
          <w:p w14:paraId="777DF2F4" w14:textId="77777777" w:rsidR="003E78AB" w:rsidRDefault="00010BF9">
            <w:pPr>
              <w:pStyle w:val="aff6"/>
              <w:topLinePunct/>
              <w:rPr>
                <w:bCs/>
              </w:rPr>
            </w:pPr>
            <w:r>
              <w:rPr>
                <w:bCs/>
              </w:rPr>
              <w:t>33.2</w:t>
            </w:r>
          </w:p>
        </w:tc>
        <w:tc>
          <w:tcPr>
            <w:tcW w:w="439" w:type="pct"/>
            <w:vAlign w:val="center"/>
          </w:tcPr>
          <w:p w14:paraId="35DE748D" w14:textId="77777777" w:rsidR="003E78AB" w:rsidRDefault="00010BF9">
            <w:pPr>
              <w:pStyle w:val="aff6"/>
              <w:topLinePunct/>
              <w:rPr>
                <w:bCs/>
              </w:rPr>
            </w:pPr>
            <w:r>
              <w:rPr>
                <w:bCs/>
              </w:rPr>
              <w:t>0.9</w:t>
            </w:r>
          </w:p>
        </w:tc>
        <w:tc>
          <w:tcPr>
            <w:tcW w:w="437" w:type="pct"/>
            <w:vAlign w:val="center"/>
          </w:tcPr>
          <w:p w14:paraId="322A0D14" w14:textId="77777777" w:rsidR="003E78AB" w:rsidRDefault="00010BF9">
            <w:pPr>
              <w:pStyle w:val="aff6"/>
              <w:topLinePunct/>
              <w:rPr>
                <w:bCs/>
              </w:rPr>
            </w:pPr>
            <w:r>
              <w:rPr>
                <w:bCs/>
              </w:rPr>
              <w:t>927.3</w:t>
            </w:r>
          </w:p>
        </w:tc>
        <w:tc>
          <w:tcPr>
            <w:tcW w:w="437" w:type="pct"/>
            <w:vAlign w:val="center"/>
          </w:tcPr>
          <w:p w14:paraId="12449987" w14:textId="77777777" w:rsidR="003E78AB" w:rsidRDefault="00010BF9">
            <w:pPr>
              <w:pStyle w:val="aff6"/>
              <w:topLinePunct/>
              <w:rPr>
                <w:bCs/>
              </w:rPr>
            </w:pPr>
            <w:r>
              <w:rPr>
                <w:bCs/>
              </w:rPr>
              <w:t>936.1</w:t>
            </w:r>
          </w:p>
        </w:tc>
        <w:tc>
          <w:tcPr>
            <w:tcW w:w="439" w:type="pct"/>
            <w:vAlign w:val="center"/>
          </w:tcPr>
          <w:p w14:paraId="6CC27AAD" w14:textId="77777777" w:rsidR="003E78AB" w:rsidRDefault="00010BF9">
            <w:pPr>
              <w:pStyle w:val="aff6"/>
              <w:topLinePunct/>
              <w:rPr>
                <w:bCs/>
              </w:rPr>
            </w:pPr>
            <w:r>
              <w:rPr>
                <w:bCs/>
              </w:rPr>
              <w:t>918.4</w:t>
            </w:r>
          </w:p>
        </w:tc>
        <w:tc>
          <w:tcPr>
            <w:tcW w:w="437" w:type="pct"/>
            <w:vAlign w:val="center"/>
          </w:tcPr>
          <w:p w14:paraId="7BE9263F" w14:textId="77777777" w:rsidR="003E78AB" w:rsidRDefault="00010BF9">
            <w:pPr>
              <w:pStyle w:val="aff6"/>
              <w:topLinePunct/>
              <w:rPr>
                <w:bCs/>
              </w:rPr>
            </w:pPr>
            <w:r>
              <w:rPr>
                <w:bCs/>
              </w:rPr>
              <w:t>33</w:t>
            </w:r>
          </w:p>
        </w:tc>
        <w:tc>
          <w:tcPr>
            <w:tcW w:w="439" w:type="pct"/>
            <w:vAlign w:val="center"/>
          </w:tcPr>
          <w:p w14:paraId="3A6D3234" w14:textId="77777777" w:rsidR="003E78AB" w:rsidRDefault="00010BF9">
            <w:pPr>
              <w:pStyle w:val="aff6"/>
              <w:topLinePunct/>
              <w:rPr>
                <w:bCs/>
              </w:rPr>
            </w:pPr>
            <w:r>
              <w:rPr>
                <w:bCs/>
              </w:rPr>
              <w:t>6</w:t>
            </w:r>
          </w:p>
        </w:tc>
        <w:tc>
          <w:tcPr>
            <w:tcW w:w="382" w:type="pct"/>
            <w:vAlign w:val="center"/>
          </w:tcPr>
          <w:p w14:paraId="0A2BBD5A" w14:textId="77777777" w:rsidR="003E78AB" w:rsidRDefault="00010BF9">
            <w:pPr>
              <w:pStyle w:val="aff6"/>
              <w:topLinePunct/>
              <w:rPr>
                <w:bCs/>
              </w:rPr>
            </w:pPr>
            <w:r>
              <w:rPr>
                <w:bCs/>
              </w:rPr>
              <w:t>0</w:t>
            </w:r>
          </w:p>
        </w:tc>
        <w:tc>
          <w:tcPr>
            <w:tcW w:w="384" w:type="pct"/>
            <w:vAlign w:val="center"/>
          </w:tcPr>
          <w:p w14:paraId="4B0BCB9C" w14:textId="77777777" w:rsidR="003E78AB" w:rsidRDefault="00010BF9">
            <w:pPr>
              <w:pStyle w:val="aff6"/>
              <w:topLinePunct/>
              <w:rPr>
                <w:bCs/>
              </w:rPr>
            </w:pPr>
            <w:r>
              <w:rPr>
                <w:bCs/>
              </w:rPr>
              <w:t>176.6</w:t>
            </w:r>
          </w:p>
        </w:tc>
        <w:tc>
          <w:tcPr>
            <w:tcW w:w="482" w:type="pct"/>
            <w:vAlign w:val="center"/>
          </w:tcPr>
          <w:p w14:paraId="1E8EF611" w14:textId="77777777" w:rsidR="003E78AB" w:rsidRDefault="00010BF9">
            <w:pPr>
              <w:pStyle w:val="aff6"/>
              <w:topLinePunct/>
              <w:rPr>
                <w:bCs/>
              </w:rPr>
            </w:pPr>
            <w:r>
              <w:rPr>
                <w:bCs/>
              </w:rPr>
              <w:t>1.4</w:t>
            </w:r>
          </w:p>
        </w:tc>
      </w:tr>
      <w:tr w:rsidR="003E78AB" w14:paraId="36837AAB" w14:textId="77777777">
        <w:tc>
          <w:tcPr>
            <w:tcW w:w="256" w:type="pct"/>
            <w:vAlign w:val="center"/>
          </w:tcPr>
          <w:p w14:paraId="496224C2" w14:textId="77777777" w:rsidR="003E78AB" w:rsidRDefault="00010BF9">
            <w:pPr>
              <w:pStyle w:val="aff6"/>
              <w:topLinePunct/>
              <w:rPr>
                <w:bCs/>
              </w:rPr>
            </w:pPr>
            <w:r>
              <w:rPr>
                <w:bCs/>
              </w:rPr>
              <w:t>10</w:t>
            </w:r>
          </w:p>
        </w:tc>
        <w:tc>
          <w:tcPr>
            <w:tcW w:w="425" w:type="pct"/>
            <w:vAlign w:val="center"/>
          </w:tcPr>
          <w:p w14:paraId="552909E8" w14:textId="77777777" w:rsidR="003E78AB" w:rsidRDefault="00010BF9">
            <w:pPr>
              <w:pStyle w:val="aff6"/>
              <w:topLinePunct/>
              <w:rPr>
                <w:bCs/>
              </w:rPr>
            </w:pPr>
            <w:r>
              <w:rPr>
                <w:bCs/>
              </w:rPr>
              <w:t>10.9</w:t>
            </w:r>
          </w:p>
        </w:tc>
        <w:tc>
          <w:tcPr>
            <w:tcW w:w="438" w:type="pct"/>
            <w:vAlign w:val="center"/>
          </w:tcPr>
          <w:p w14:paraId="226DE48C" w14:textId="77777777" w:rsidR="003E78AB" w:rsidRDefault="00010BF9">
            <w:pPr>
              <w:pStyle w:val="aff6"/>
              <w:topLinePunct/>
              <w:rPr>
                <w:bCs/>
              </w:rPr>
            </w:pPr>
            <w:r>
              <w:rPr>
                <w:bCs/>
              </w:rPr>
              <w:t>28.7</w:t>
            </w:r>
          </w:p>
        </w:tc>
        <w:tc>
          <w:tcPr>
            <w:tcW w:w="439" w:type="pct"/>
            <w:vAlign w:val="center"/>
          </w:tcPr>
          <w:p w14:paraId="6CE58B79" w14:textId="77777777" w:rsidR="003E78AB" w:rsidRDefault="00010BF9">
            <w:pPr>
              <w:pStyle w:val="aff6"/>
              <w:topLinePunct/>
              <w:rPr>
                <w:bCs/>
              </w:rPr>
            </w:pPr>
            <w:r>
              <w:rPr>
                <w:bCs/>
              </w:rPr>
              <w:t>-2.2</w:t>
            </w:r>
          </w:p>
        </w:tc>
        <w:tc>
          <w:tcPr>
            <w:tcW w:w="437" w:type="pct"/>
            <w:vAlign w:val="center"/>
          </w:tcPr>
          <w:p w14:paraId="3D249F23" w14:textId="77777777" w:rsidR="003E78AB" w:rsidRDefault="00010BF9">
            <w:pPr>
              <w:pStyle w:val="aff6"/>
              <w:topLinePunct/>
              <w:rPr>
                <w:bCs/>
              </w:rPr>
            </w:pPr>
            <w:r>
              <w:rPr>
                <w:bCs/>
              </w:rPr>
              <w:t>932.9</w:t>
            </w:r>
          </w:p>
        </w:tc>
        <w:tc>
          <w:tcPr>
            <w:tcW w:w="437" w:type="pct"/>
            <w:vAlign w:val="center"/>
          </w:tcPr>
          <w:p w14:paraId="40F9D70F" w14:textId="77777777" w:rsidR="003E78AB" w:rsidRDefault="00010BF9">
            <w:pPr>
              <w:pStyle w:val="aff6"/>
              <w:topLinePunct/>
              <w:rPr>
                <w:bCs/>
              </w:rPr>
            </w:pPr>
            <w:r>
              <w:rPr>
                <w:bCs/>
              </w:rPr>
              <w:t>941.7</w:t>
            </w:r>
          </w:p>
        </w:tc>
        <w:tc>
          <w:tcPr>
            <w:tcW w:w="439" w:type="pct"/>
            <w:vAlign w:val="center"/>
          </w:tcPr>
          <w:p w14:paraId="4BBC3004" w14:textId="77777777" w:rsidR="003E78AB" w:rsidRDefault="00010BF9">
            <w:pPr>
              <w:pStyle w:val="aff6"/>
              <w:topLinePunct/>
              <w:rPr>
                <w:bCs/>
              </w:rPr>
            </w:pPr>
            <w:r>
              <w:rPr>
                <w:bCs/>
              </w:rPr>
              <w:t>923.7</w:t>
            </w:r>
          </w:p>
        </w:tc>
        <w:tc>
          <w:tcPr>
            <w:tcW w:w="437" w:type="pct"/>
            <w:vAlign w:val="center"/>
          </w:tcPr>
          <w:p w14:paraId="0D8AF3EE" w14:textId="77777777" w:rsidR="003E78AB" w:rsidRDefault="00010BF9">
            <w:pPr>
              <w:pStyle w:val="aff6"/>
              <w:topLinePunct/>
              <w:rPr>
                <w:bCs/>
              </w:rPr>
            </w:pPr>
            <w:r>
              <w:rPr>
                <w:bCs/>
              </w:rPr>
              <w:t>45</w:t>
            </w:r>
          </w:p>
        </w:tc>
        <w:tc>
          <w:tcPr>
            <w:tcW w:w="439" w:type="pct"/>
            <w:vAlign w:val="center"/>
          </w:tcPr>
          <w:p w14:paraId="26BCA936" w14:textId="77777777" w:rsidR="003E78AB" w:rsidRDefault="00010BF9">
            <w:pPr>
              <w:pStyle w:val="aff6"/>
              <w:topLinePunct/>
              <w:rPr>
                <w:bCs/>
              </w:rPr>
            </w:pPr>
            <w:r>
              <w:rPr>
                <w:bCs/>
              </w:rPr>
              <w:t>9</w:t>
            </w:r>
          </w:p>
        </w:tc>
        <w:tc>
          <w:tcPr>
            <w:tcW w:w="382" w:type="pct"/>
            <w:vAlign w:val="center"/>
          </w:tcPr>
          <w:p w14:paraId="2EB4357D" w14:textId="77777777" w:rsidR="003E78AB" w:rsidRDefault="00010BF9">
            <w:pPr>
              <w:pStyle w:val="aff6"/>
              <w:topLinePunct/>
              <w:rPr>
                <w:bCs/>
              </w:rPr>
            </w:pPr>
            <w:r>
              <w:rPr>
                <w:bCs/>
              </w:rPr>
              <w:t>0.4</w:t>
            </w:r>
          </w:p>
        </w:tc>
        <w:tc>
          <w:tcPr>
            <w:tcW w:w="384" w:type="pct"/>
            <w:vAlign w:val="center"/>
          </w:tcPr>
          <w:p w14:paraId="5274D114" w14:textId="77777777" w:rsidR="003E78AB" w:rsidRDefault="00010BF9">
            <w:pPr>
              <w:pStyle w:val="aff6"/>
              <w:topLinePunct/>
              <w:rPr>
                <w:bCs/>
              </w:rPr>
            </w:pPr>
            <w:r>
              <w:rPr>
                <w:bCs/>
              </w:rPr>
              <w:t>112.5</w:t>
            </w:r>
          </w:p>
        </w:tc>
        <w:tc>
          <w:tcPr>
            <w:tcW w:w="482" w:type="pct"/>
            <w:vAlign w:val="center"/>
          </w:tcPr>
          <w:p w14:paraId="6685CFD8" w14:textId="77777777" w:rsidR="003E78AB" w:rsidRDefault="00010BF9">
            <w:pPr>
              <w:pStyle w:val="aff6"/>
              <w:topLinePunct/>
              <w:rPr>
                <w:bCs/>
              </w:rPr>
            </w:pPr>
            <w:r>
              <w:rPr>
                <w:bCs/>
              </w:rPr>
              <w:t>1.1</w:t>
            </w:r>
          </w:p>
        </w:tc>
      </w:tr>
      <w:tr w:rsidR="003E78AB" w14:paraId="087C8528" w14:textId="77777777">
        <w:tc>
          <w:tcPr>
            <w:tcW w:w="256" w:type="pct"/>
            <w:vAlign w:val="center"/>
          </w:tcPr>
          <w:p w14:paraId="6D05CCDB" w14:textId="77777777" w:rsidR="003E78AB" w:rsidRDefault="00010BF9">
            <w:pPr>
              <w:pStyle w:val="aff6"/>
              <w:topLinePunct/>
              <w:rPr>
                <w:bCs/>
              </w:rPr>
            </w:pPr>
            <w:r>
              <w:rPr>
                <w:bCs/>
              </w:rPr>
              <w:t>11</w:t>
            </w:r>
          </w:p>
        </w:tc>
        <w:tc>
          <w:tcPr>
            <w:tcW w:w="425" w:type="pct"/>
            <w:vAlign w:val="center"/>
          </w:tcPr>
          <w:p w14:paraId="1290EC7D" w14:textId="77777777" w:rsidR="003E78AB" w:rsidRDefault="00010BF9">
            <w:pPr>
              <w:pStyle w:val="aff6"/>
              <w:topLinePunct/>
              <w:rPr>
                <w:bCs/>
              </w:rPr>
            </w:pPr>
            <w:r>
              <w:rPr>
                <w:bCs/>
              </w:rPr>
              <w:t>2.6</w:t>
            </w:r>
          </w:p>
        </w:tc>
        <w:tc>
          <w:tcPr>
            <w:tcW w:w="438" w:type="pct"/>
            <w:vAlign w:val="center"/>
          </w:tcPr>
          <w:p w14:paraId="5CCD45DC" w14:textId="77777777" w:rsidR="003E78AB" w:rsidRDefault="00010BF9">
            <w:pPr>
              <w:pStyle w:val="aff6"/>
              <w:topLinePunct/>
              <w:rPr>
                <w:bCs/>
              </w:rPr>
            </w:pPr>
            <w:r>
              <w:rPr>
                <w:bCs/>
              </w:rPr>
              <w:t>18.4</w:t>
            </w:r>
          </w:p>
        </w:tc>
        <w:tc>
          <w:tcPr>
            <w:tcW w:w="439" w:type="pct"/>
            <w:vAlign w:val="center"/>
          </w:tcPr>
          <w:p w14:paraId="49FDE994" w14:textId="77777777" w:rsidR="003E78AB" w:rsidRDefault="00010BF9">
            <w:pPr>
              <w:pStyle w:val="aff6"/>
              <w:topLinePunct/>
              <w:rPr>
                <w:bCs/>
              </w:rPr>
            </w:pPr>
            <w:r>
              <w:rPr>
                <w:bCs/>
              </w:rPr>
              <w:t>-5.3</w:t>
            </w:r>
          </w:p>
        </w:tc>
        <w:tc>
          <w:tcPr>
            <w:tcW w:w="437" w:type="pct"/>
            <w:vAlign w:val="center"/>
          </w:tcPr>
          <w:p w14:paraId="2CF6B8BF" w14:textId="77777777" w:rsidR="003E78AB" w:rsidRDefault="00010BF9">
            <w:pPr>
              <w:pStyle w:val="aff6"/>
              <w:topLinePunct/>
              <w:rPr>
                <w:bCs/>
              </w:rPr>
            </w:pPr>
            <w:r>
              <w:rPr>
                <w:bCs/>
              </w:rPr>
              <w:t>935.8</w:t>
            </w:r>
          </w:p>
        </w:tc>
        <w:tc>
          <w:tcPr>
            <w:tcW w:w="437" w:type="pct"/>
            <w:vAlign w:val="center"/>
          </w:tcPr>
          <w:p w14:paraId="101A3308" w14:textId="77777777" w:rsidR="003E78AB" w:rsidRDefault="00010BF9">
            <w:pPr>
              <w:pStyle w:val="aff6"/>
              <w:topLinePunct/>
              <w:rPr>
                <w:bCs/>
              </w:rPr>
            </w:pPr>
            <w:r>
              <w:rPr>
                <w:bCs/>
              </w:rPr>
              <w:t>945.7</w:t>
            </w:r>
          </w:p>
        </w:tc>
        <w:tc>
          <w:tcPr>
            <w:tcW w:w="439" w:type="pct"/>
            <w:vAlign w:val="center"/>
          </w:tcPr>
          <w:p w14:paraId="582483DC" w14:textId="77777777" w:rsidR="003E78AB" w:rsidRDefault="00010BF9">
            <w:pPr>
              <w:pStyle w:val="aff6"/>
              <w:topLinePunct/>
              <w:rPr>
                <w:bCs/>
              </w:rPr>
            </w:pPr>
            <w:r>
              <w:rPr>
                <w:bCs/>
              </w:rPr>
              <w:t>926</w:t>
            </w:r>
          </w:p>
        </w:tc>
        <w:tc>
          <w:tcPr>
            <w:tcW w:w="437" w:type="pct"/>
            <w:vAlign w:val="center"/>
          </w:tcPr>
          <w:p w14:paraId="0BE3737B" w14:textId="77777777" w:rsidR="003E78AB" w:rsidRDefault="00010BF9">
            <w:pPr>
              <w:pStyle w:val="aff6"/>
              <w:topLinePunct/>
              <w:rPr>
                <w:bCs/>
              </w:rPr>
            </w:pPr>
            <w:r>
              <w:rPr>
                <w:bCs/>
              </w:rPr>
              <w:t>57</w:t>
            </w:r>
          </w:p>
        </w:tc>
        <w:tc>
          <w:tcPr>
            <w:tcW w:w="439" w:type="pct"/>
            <w:vAlign w:val="center"/>
          </w:tcPr>
          <w:p w14:paraId="2FD1E005" w14:textId="77777777" w:rsidR="003E78AB" w:rsidRDefault="00010BF9">
            <w:pPr>
              <w:pStyle w:val="aff6"/>
              <w:topLinePunct/>
              <w:rPr>
                <w:bCs/>
              </w:rPr>
            </w:pPr>
            <w:r>
              <w:rPr>
                <w:bCs/>
              </w:rPr>
              <w:t>12</w:t>
            </w:r>
          </w:p>
        </w:tc>
        <w:tc>
          <w:tcPr>
            <w:tcW w:w="382" w:type="pct"/>
            <w:vAlign w:val="center"/>
          </w:tcPr>
          <w:p w14:paraId="218BEB59" w14:textId="77777777" w:rsidR="003E78AB" w:rsidRDefault="00010BF9">
            <w:pPr>
              <w:pStyle w:val="aff6"/>
              <w:topLinePunct/>
              <w:rPr>
                <w:bCs/>
              </w:rPr>
            </w:pPr>
            <w:r>
              <w:rPr>
                <w:bCs/>
              </w:rPr>
              <w:t>6.7</w:t>
            </w:r>
          </w:p>
        </w:tc>
        <w:tc>
          <w:tcPr>
            <w:tcW w:w="384" w:type="pct"/>
            <w:vAlign w:val="center"/>
          </w:tcPr>
          <w:p w14:paraId="0FD06C68" w14:textId="77777777" w:rsidR="003E78AB" w:rsidRDefault="00010BF9">
            <w:pPr>
              <w:pStyle w:val="aff6"/>
              <w:topLinePunct/>
              <w:rPr>
                <w:bCs/>
              </w:rPr>
            </w:pPr>
            <w:r>
              <w:rPr>
                <w:bCs/>
              </w:rPr>
              <w:t>42.3</w:t>
            </w:r>
          </w:p>
        </w:tc>
        <w:tc>
          <w:tcPr>
            <w:tcW w:w="482" w:type="pct"/>
            <w:vAlign w:val="center"/>
          </w:tcPr>
          <w:p w14:paraId="49DB98AA" w14:textId="77777777" w:rsidR="003E78AB" w:rsidRDefault="00010BF9">
            <w:pPr>
              <w:pStyle w:val="aff6"/>
              <w:topLinePunct/>
              <w:rPr>
                <w:bCs/>
              </w:rPr>
            </w:pPr>
            <w:r>
              <w:rPr>
                <w:bCs/>
              </w:rPr>
              <w:t>1.2</w:t>
            </w:r>
          </w:p>
        </w:tc>
      </w:tr>
      <w:tr w:rsidR="003E78AB" w14:paraId="7AD90502" w14:textId="77777777">
        <w:tc>
          <w:tcPr>
            <w:tcW w:w="256" w:type="pct"/>
            <w:vAlign w:val="center"/>
          </w:tcPr>
          <w:p w14:paraId="2C0D0961" w14:textId="77777777" w:rsidR="003E78AB" w:rsidRDefault="00010BF9">
            <w:pPr>
              <w:pStyle w:val="aff6"/>
              <w:topLinePunct/>
              <w:rPr>
                <w:bCs/>
              </w:rPr>
            </w:pPr>
            <w:r>
              <w:rPr>
                <w:bCs/>
              </w:rPr>
              <w:t>12</w:t>
            </w:r>
          </w:p>
        </w:tc>
        <w:tc>
          <w:tcPr>
            <w:tcW w:w="425" w:type="pct"/>
            <w:vAlign w:val="center"/>
          </w:tcPr>
          <w:p w14:paraId="0B2D8A69" w14:textId="77777777" w:rsidR="003E78AB" w:rsidRDefault="00010BF9">
            <w:pPr>
              <w:pStyle w:val="aff6"/>
              <w:topLinePunct/>
              <w:rPr>
                <w:bCs/>
              </w:rPr>
            </w:pPr>
            <w:r>
              <w:rPr>
                <w:bCs/>
              </w:rPr>
              <w:t>-7.4</w:t>
            </w:r>
          </w:p>
        </w:tc>
        <w:tc>
          <w:tcPr>
            <w:tcW w:w="438" w:type="pct"/>
            <w:vAlign w:val="center"/>
          </w:tcPr>
          <w:p w14:paraId="6D238C26" w14:textId="77777777" w:rsidR="003E78AB" w:rsidRDefault="00010BF9">
            <w:pPr>
              <w:pStyle w:val="aff6"/>
              <w:topLinePunct/>
              <w:rPr>
                <w:bCs/>
              </w:rPr>
            </w:pPr>
            <w:r>
              <w:rPr>
                <w:bCs/>
              </w:rPr>
              <w:t>8.4</w:t>
            </w:r>
          </w:p>
        </w:tc>
        <w:tc>
          <w:tcPr>
            <w:tcW w:w="439" w:type="pct"/>
            <w:vAlign w:val="center"/>
          </w:tcPr>
          <w:p w14:paraId="07C47BE1" w14:textId="77777777" w:rsidR="003E78AB" w:rsidRDefault="00010BF9">
            <w:pPr>
              <w:pStyle w:val="aff6"/>
              <w:topLinePunct/>
              <w:rPr>
                <w:bCs/>
              </w:rPr>
            </w:pPr>
            <w:r>
              <w:rPr>
                <w:bCs/>
              </w:rPr>
              <w:t>-18.7</w:t>
            </w:r>
          </w:p>
        </w:tc>
        <w:tc>
          <w:tcPr>
            <w:tcW w:w="437" w:type="pct"/>
            <w:vAlign w:val="center"/>
          </w:tcPr>
          <w:p w14:paraId="17D113C6" w14:textId="77777777" w:rsidR="003E78AB" w:rsidRDefault="00010BF9">
            <w:pPr>
              <w:pStyle w:val="aff6"/>
              <w:topLinePunct/>
              <w:rPr>
                <w:bCs/>
              </w:rPr>
            </w:pPr>
            <w:r>
              <w:rPr>
                <w:bCs/>
              </w:rPr>
              <w:t>943.3</w:t>
            </w:r>
          </w:p>
        </w:tc>
        <w:tc>
          <w:tcPr>
            <w:tcW w:w="437" w:type="pct"/>
            <w:vAlign w:val="center"/>
          </w:tcPr>
          <w:p w14:paraId="4AF04CC6" w14:textId="77777777" w:rsidR="003E78AB" w:rsidRDefault="00010BF9">
            <w:pPr>
              <w:pStyle w:val="aff6"/>
              <w:topLinePunct/>
              <w:rPr>
                <w:bCs/>
              </w:rPr>
            </w:pPr>
            <w:r>
              <w:rPr>
                <w:bCs/>
              </w:rPr>
              <w:t>953.2</w:t>
            </w:r>
          </w:p>
        </w:tc>
        <w:tc>
          <w:tcPr>
            <w:tcW w:w="439" w:type="pct"/>
            <w:vAlign w:val="center"/>
          </w:tcPr>
          <w:p w14:paraId="7FBE2A75" w14:textId="77777777" w:rsidR="003E78AB" w:rsidRDefault="00010BF9">
            <w:pPr>
              <w:pStyle w:val="aff6"/>
              <w:topLinePunct/>
              <w:rPr>
                <w:bCs/>
              </w:rPr>
            </w:pPr>
            <w:r>
              <w:rPr>
                <w:bCs/>
              </w:rPr>
              <w:t>928.5</w:t>
            </w:r>
          </w:p>
        </w:tc>
        <w:tc>
          <w:tcPr>
            <w:tcW w:w="437" w:type="pct"/>
            <w:vAlign w:val="center"/>
          </w:tcPr>
          <w:p w14:paraId="3D6FC53D" w14:textId="77777777" w:rsidR="003E78AB" w:rsidRDefault="00010BF9">
            <w:pPr>
              <w:pStyle w:val="aff6"/>
              <w:topLinePunct/>
              <w:rPr>
                <w:bCs/>
              </w:rPr>
            </w:pPr>
            <w:r>
              <w:rPr>
                <w:bCs/>
              </w:rPr>
              <w:t>58</w:t>
            </w:r>
          </w:p>
        </w:tc>
        <w:tc>
          <w:tcPr>
            <w:tcW w:w="439" w:type="pct"/>
            <w:vAlign w:val="center"/>
          </w:tcPr>
          <w:p w14:paraId="03EE7D05" w14:textId="77777777" w:rsidR="003E78AB" w:rsidRDefault="00010BF9">
            <w:pPr>
              <w:pStyle w:val="aff6"/>
              <w:topLinePunct/>
              <w:rPr>
                <w:bCs/>
              </w:rPr>
            </w:pPr>
            <w:r>
              <w:rPr>
                <w:bCs/>
              </w:rPr>
              <w:t>21</w:t>
            </w:r>
          </w:p>
        </w:tc>
        <w:tc>
          <w:tcPr>
            <w:tcW w:w="382" w:type="pct"/>
            <w:vAlign w:val="center"/>
          </w:tcPr>
          <w:p w14:paraId="6F3EE3B5" w14:textId="77777777" w:rsidR="003E78AB" w:rsidRDefault="00010BF9">
            <w:pPr>
              <w:pStyle w:val="aff6"/>
              <w:topLinePunct/>
              <w:rPr>
                <w:bCs/>
              </w:rPr>
            </w:pPr>
            <w:r>
              <w:rPr>
                <w:bCs/>
              </w:rPr>
              <w:t>0</w:t>
            </w:r>
          </w:p>
        </w:tc>
        <w:tc>
          <w:tcPr>
            <w:tcW w:w="384" w:type="pct"/>
            <w:vAlign w:val="center"/>
          </w:tcPr>
          <w:p w14:paraId="5AB28E1D" w14:textId="77777777" w:rsidR="003E78AB" w:rsidRDefault="00010BF9">
            <w:pPr>
              <w:pStyle w:val="aff6"/>
              <w:topLinePunct/>
              <w:rPr>
                <w:bCs/>
              </w:rPr>
            </w:pPr>
            <w:r>
              <w:rPr>
                <w:bCs/>
              </w:rPr>
              <w:t>19.8</w:t>
            </w:r>
          </w:p>
        </w:tc>
        <w:tc>
          <w:tcPr>
            <w:tcW w:w="482" w:type="pct"/>
            <w:vAlign w:val="center"/>
          </w:tcPr>
          <w:p w14:paraId="0F02D604" w14:textId="77777777" w:rsidR="003E78AB" w:rsidRDefault="00010BF9">
            <w:pPr>
              <w:pStyle w:val="aff6"/>
              <w:topLinePunct/>
              <w:rPr>
                <w:bCs/>
              </w:rPr>
            </w:pPr>
            <w:r>
              <w:rPr>
                <w:bCs/>
              </w:rPr>
              <w:t>1.2</w:t>
            </w:r>
          </w:p>
        </w:tc>
      </w:tr>
      <w:tr w:rsidR="003E78AB" w14:paraId="5088AAC6" w14:textId="77777777">
        <w:tc>
          <w:tcPr>
            <w:tcW w:w="256" w:type="pct"/>
            <w:vAlign w:val="center"/>
          </w:tcPr>
          <w:p w14:paraId="72A20859" w14:textId="77777777" w:rsidR="003E78AB" w:rsidRDefault="00010BF9">
            <w:pPr>
              <w:pStyle w:val="aff6"/>
              <w:topLinePunct/>
              <w:rPr>
                <w:bCs/>
              </w:rPr>
            </w:pPr>
            <w:r>
              <w:rPr>
                <w:bCs/>
              </w:rPr>
              <w:t>年</w:t>
            </w:r>
          </w:p>
        </w:tc>
        <w:tc>
          <w:tcPr>
            <w:tcW w:w="425" w:type="pct"/>
            <w:vAlign w:val="center"/>
          </w:tcPr>
          <w:p w14:paraId="4D272A74" w14:textId="77777777" w:rsidR="003E78AB" w:rsidRDefault="00010BF9">
            <w:pPr>
              <w:pStyle w:val="aff6"/>
              <w:topLinePunct/>
              <w:rPr>
                <w:bCs/>
              </w:rPr>
            </w:pPr>
            <w:r>
              <w:rPr>
                <w:bCs/>
              </w:rPr>
              <w:t>10.8</w:t>
            </w:r>
          </w:p>
        </w:tc>
        <w:tc>
          <w:tcPr>
            <w:tcW w:w="438" w:type="pct"/>
            <w:vAlign w:val="center"/>
          </w:tcPr>
          <w:p w14:paraId="7294822C" w14:textId="77777777" w:rsidR="003E78AB" w:rsidRDefault="00010BF9">
            <w:pPr>
              <w:pStyle w:val="aff6"/>
              <w:topLinePunct/>
              <w:rPr>
                <w:bCs/>
              </w:rPr>
            </w:pPr>
            <w:r>
              <w:rPr>
                <w:bCs/>
              </w:rPr>
              <w:t>42.7</w:t>
            </w:r>
          </w:p>
        </w:tc>
        <w:tc>
          <w:tcPr>
            <w:tcW w:w="439" w:type="pct"/>
            <w:vAlign w:val="center"/>
          </w:tcPr>
          <w:p w14:paraId="4652D09D" w14:textId="77777777" w:rsidR="003E78AB" w:rsidRDefault="00010BF9">
            <w:pPr>
              <w:pStyle w:val="aff6"/>
              <w:topLinePunct/>
              <w:rPr>
                <w:bCs/>
              </w:rPr>
            </w:pPr>
            <w:r>
              <w:rPr>
                <w:bCs/>
              </w:rPr>
              <w:t>-27.2</w:t>
            </w:r>
          </w:p>
        </w:tc>
        <w:tc>
          <w:tcPr>
            <w:tcW w:w="437" w:type="pct"/>
            <w:vAlign w:val="center"/>
          </w:tcPr>
          <w:p w14:paraId="7219EFF9" w14:textId="77777777" w:rsidR="003E78AB" w:rsidRDefault="00010BF9">
            <w:pPr>
              <w:pStyle w:val="aff6"/>
              <w:topLinePunct/>
              <w:rPr>
                <w:bCs/>
              </w:rPr>
            </w:pPr>
            <w:r>
              <w:rPr>
                <w:bCs/>
              </w:rPr>
              <w:t>930.4</w:t>
            </w:r>
          </w:p>
        </w:tc>
        <w:tc>
          <w:tcPr>
            <w:tcW w:w="437" w:type="pct"/>
            <w:vAlign w:val="center"/>
          </w:tcPr>
          <w:p w14:paraId="68181499" w14:textId="77777777" w:rsidR="003E78AB" w:rsidRDefault="00010BF9">
            <w:pPr>
              <w:pStyle w:val="aff6"/>
              <w:topLinePunct/>
              <w:rPr>
                <w:bCs/>
              </w:rPr>
            </w:pPr>
            <w:r>
              <w:rPr>
                <w:bCs/>
              </w:rPr>
              <w:t>957.5</w:t>
            </w:r>
          </w:p>
        </w:tc>
        <w:tc>
          <w:tcPr>
            <w:tcW w:w="439" w:type="pct"/>
            <w:vAlign w:val="center"/>
          </w:tcPr>
          <w:p w14:paraId="7EDB1635" w14:textId="77777777" w:rsidR="003E78AB" w:rsidRDefault="00010BF9">
            <w:pPr>
              <w:pStyle w:val="aff6"/>
              <w:topLinePunct/>
              <w:rPr>
                <w:bCs/>
              </w:rPr>
            </w:pPr>
            <w:r>
              <w:rPr>
                <w:bCs/>
              </w:rPr>
              <w:t>908.5</w:t>
            </w:r>
          </w:p>
        </w:tc>
        <w:tc>
          <w:tcPr>
            <w:tcW w:w="437" w:type="pct"/>
            <w:vAlign w:val="center"/>
          </w:tcPr>
          <w:p w14:paraId="35EFED49" w14:textId="77777777" w:rsidR="003E78AB" w:rsidRDefault="00010BF9">
            <w:pPr>
              <w:pStyle w:val="aff6"/>
              <w:topLinePunct/>
              <w:rPr>
                <w:bCs/>
              </w:rPr>
            </w:pPr>
            <w:r>
              <w:rPr>
                <w:bCs/>
              </w:rPr>
              <w:t>40</w:t>
            </w:r>
          </w:p>
        </w:tc>
        <w:tc>
          <w:tcPr>
            <w:tcW w:w="439" w:type="pct"/>
            <w:vAlign w:val="center"/>
          </w:tcPr>
          <w:p w14:paraId="506ED113" w14:textId="77777777" w:rsidR="003E78AB" w:rsidRDefault="00010BF9">
            <w:pPr>
              <w:pStyle w:val="aff6"/>
              <w:topLinePunct/>
              <w:rPr>
                <w:bCs/>
              </w:rPr>
            </w:pPr>
            <w:r>
              <w:rPr>
                <w:bCs/>
              </w:rPr>
              <w:t>4</w:t>
            </w:r>
          </w:p>
        </w:tc>
        <w:tc>
          <w:tcPr>
            <w:tcW w:w="382" w:type="pct"/>
            <w:vAlign w:val="center"/>
          </w:tcPr>
          <w:p w14:paraId="4657B1A6" w14:textId="77777777" w:rsidR="003E78AB" w:rsidRDefault="00010BF9">
            <w:pPr>
              <w:pStyle w:val="aff6"/>
              <w:topLinePunct/>
              <w:rPr>
                <w:bCs/>
              </w:rPr>
            </w:pPr>
            <w:r>
              <w:rPr>
                <w:bCs/>
              </w:rPr>
              <w:t>22.8</w:t>
            </w:r>
          </w:p>
        </w:tc>
        <w:tc>
          <w:tcPr>
            <w:tcW w:w="384" w:type="pct"/>
            <w:vAlign w:val="center"/>
          </w:tcPr>
          <w:p w14:paraId="2D470ECA" w14:textId="77777777" w:rsidR="003E78AB" w:rsidRDefault="00010BF9">
            <w:pPr>
              <w:pStyle w:val="aff6"/>
              <w:topLinePunct/>
              <w:rPr>
                <w:bCs/>
              </w:rPr>
            </w:pPr>
            <w:r>
              <w:rPr>
                <w:bCs/>
              </w:rPr>
              <w:t>1575.1</w:t>
            </w:r>
          </w:p>
        </w:tc>
        <w:tc>
          <w:tcPr>
            <w:tcW w:w="482" w:type="pct"/>
            <w:vAlign w:val="center"/>
          </w:tcPr>
          <w:p w14:paraId="1A0F1AED" w14:textId="77777777" w:rsidR="003E78AB" w:rsidRDefault="00010BF9">
            <w:pPr>
              <w:pStyle w:val="aff6"/>
              <w:topLinePunct/>
              <w:rPr>
                <w:bCs/>
              </w:rPr>
            </w:pPr>
            <w:r>
              <w:rPr>
                <w:bCs/>
              </w:rPr>
              <w:t>1.9</w:t>
            </w:r>
          </w:p>
        </w:tc>
      </w:tr>
    </w:tbl>
    <w:p w14:paraId="260C3C02" w14:textId="77777777" w:rsidR="003E78AB" w:rsidRDefault="00010BF9">
      <w:pPr>
        <w:pStyle w:val="24"/>
        <w:keepNext w:val="0"/>
        <w:keepLines w:val="0"/>
        <w:topLinePunct/>
        <w:spacing w:before="120"/>
        <w:outlineLvl w:val="2"/>
        <w:rPr>
          <w:rFonts w:cs="Times New Roman"/>
          <w:szCs w:val="28"/>
        </w:rPr>
      </w:pPr>
      <w:r>
        <w:rPr>
          <w:rFonts w:cs="Times New Roman"/>
          <w:szCs w:val="28"/>
        </w:rPr>
        <w:t>4.1.6</w:t>
      </w:r>
      <w:r>
        <w:rPr>
          <w:rFonts w:cs="Times New Roman"/>
          <w:szCs w:val="28"/>
        </w:rPr>
        <w:t>自然景观</w:t>
      </w:r>
    </w:p>
    <w:p w14:paraId="3E66D68B" w14:textId="77777777" w:rsidR="003E78AB" w:rsidRDefault="00010BF9">
      <w:pPr>
        <w:ind w:firstLine="480"/>
      </w:pPr>
      <w:r>
        <w:t>（</w:t>
      </w:r>
      <w:r>
        <w:t>1</w:t>
      </w:r>
      <w:r>
        <w:t>）自然景观特征</w:t>
      </w:r>
    </w:p>
    <w:p w14:paraId="0A4166B8" w14:textId="77777777" w:rsidR="003E78AB" w:rsidRDefault="00010BF9">
      <w:pPr>
        <w:ind w:firstLine="480"/>
      </w:pPr>
      <w:r>
        <w:t>项目区地处南湖戈壁，为典型的戈壁景观特征。</w:t>
      </w:r>
    </w:p>
    <w:p w14:paraId="0A0E5A9E" w14:textId="77777777" w:rsidR="003E78AB" w:rsidRDefault="00010BF9">
      <w:pPr>
        <w:ind w:firstLine="480"/>
      </w:pPr>
      <w:r>
        <w:t>哈密为封闭型盆地，北部为东天山博格达山余脉，东、西及南部皆为剥蚀低山丘陵环抱，北高南低，北部山区为中生界、古生界基岩组成。北部天山海拔在</w:t>
      </w:r>
      <w:r>
        <w:t>3000</w:t>
      </w:r>
      <w:r>
        <w:t>～</w:t>
      </w:r>
      <w:r>
        <w:t>4000m</w:t>
      </w:r>
      <w:r>
        <w:t>，最高的喀尔里克山海拔</w:t>
      </w:r>
      <w:r>
        <w:t>4888m</w:t>
      </w:r>
      <w:r>
        <w:t>，山上有茂密的针叶林。北部山区由东至西有太阳沟、白杨沟等</w:t>
      </w:r>
      <w:r>
        <w:t>29</w:t>
      </w:r>
      <w:r>
        <w:t>条山沟，呈梳状排列，沟深坡陡，生长稀疏的榆树及多种灌木、半灌木植被。</w:t>
      </w:r>
    </w:p>
    <w:p w14:paraId="63B71498" w14:textId="77777777" w:rsidR="003E78AB" w:rsidRDefault="00010BF9">
      <w:pPr>
        <w:ind w:firstLine="480"/>
      </w:pPr>
      <w:r>
        <w:t>中部平原：为洪积</w:t>
      </w:r>
      <w:r>
        <w:t>——</w:t>
      </w:r>
      <w:r>
        <w:t>冲积倾斜平原，地处洪积扇下部及扇缘地带，为古老冲积平原。海拔由北部山根的</w:t>
      </w:r>
      <w:r>
        <w:t>1500m</w:t>
      </w:r>
      <w:r>
        <w:t>降至南部的</w:t>
      </w:r>
      <w:r>
        <w:t>200</w:t>
      </w:r>
      <w:r>
        <w:t>～</w:t>
      </w:r>
      <w:r>
        <w:t>500m</w:t>
      </w:r>
      <w:r>
        <w:t>，地形平缓，土层深厚，是哈密绿洲的主要农业区。</w:t>
      </w:r>
    </w:p>
    <w:p w14:paraId="019E0A14" w14:textId="77777777" w:rsidR="003E78AB" w:rsidRDefault="00010BF9">
      <w:pPr>
        <w:ind w:firstLine="480"/>
      </w:pPr>
      <w:r>
        <w:t>东、南、西部丘陵：</w:t>
      </w:r>
      <w:r>
        <w:t>盆地东、西、南部扩大地区，主要为第三系和中生界岩系裸露的剥蚀残丘，局部有白垩系及侏罗系基岩露于表面。受风蚀、水蚀影响，形成大大小小的侵蚀盆地、低山残蚀丘陵，平缓的谷地、暴雨形成的间歇性河谷等，在残蚀丘陵上部分区域</w:t>
      </w:r>
      <w:r>
        <w:rPr>
          <w:rFonts w:hint="eastAsia"/>
        </w:rPr>
        <w:t>覆盖</w:t>
      </w:r>
      <w:r>
        <w:t>着以星月形沙丘为主的零散流动沙漠，但在东部形成一条自北而南移动的宽约</w:t>
      </w:r>
      <w:r>
        <w:t>7</w:t>
      </w:r>
      <w:r>
        <w:t>～</w:t>
      </w:r>
      <w:r>
        <w:t>8km</w:t>
      </w:r>
      <w:r>
        <w:t>，长</w:t>
      </w:r>
      <w:r>
        <w:t>80</w:t>
      </w:r>
      <w:r>
        <w:t>多</w:t>
      </w:r>
      <w:r>
        <w:t>km</w:t>
      </w:r>
      <w:r>
        <w:t>的流动性哈密库姆塔格沙漠，沙丘高度多高达</w:t>
      </w:r>
      <w:r>
        <w:t>20</w:t>
      </w:r>
      <w:r>
        <w:t>～</w:t>
      </w:r>
      <w:r>
        <w:t>30m</w:t>
      </w:r>
      <w:r>
        <w:t>。</w:t>
      </w:r>
    </w:p>
    <w:p w14:paraId="26F5423C" w14:textId="77777777" w:rsidR="003E78AB" w:rsidRDefault="00010BF9">
      <w:pPr>
        <w:ind w:firstLine="480"/>
      </w:pPr>
      <w:r>
        <w:t>哈密工业园区南部循环经济产业园位于哈密市南部丘陵边缘，地表为荒漠戈壁地貌，植被稀疏或荒芜。</w:t>
      </w:r>
    </w:p>
    <w:p w14:paraId="29FACEA4" w14:textId="77777777" w:rsidR="003E78AB" w:rsidRDefault="00010BF9">
      <w:pPr>
        <w:ind w:firstLine="480"/>
      </w:pPr>
      <w:r>
        <w:t>（</w:t>
      </w:r>
      <w:r>
        <w:t>2</w:t>
      </w:r>
      <w:r>
        <w:t>）自然保护区</w:t>
      </w:r>
    </w:p>
    <w:p w14:paraId="15D63C90" w14:textId="77777777" w:rsidR="003E78AB" w:rsidRDefault="00010BF9">
      <w:pPr>
        <w:ind w:firstLine="480"/>
      </w:pPr>
      <w:r>
        <w:t>罗布泊野骆驼国家级自然保护区范围为东经</w:t>
      </w:r>
      <w:r>
        <w:t>89°00′</w:t>
      </w:r>
      <w:r>
        <w:t>～</w:t>
      </w:r>
      <w:r>
        <w:t>93°30′</w:t>
      </w:r>
      <w:r>
        <w:t>，北纬</w:t>
      </w:r>
      <w:r>
        <w:t>38°42′</w:t>
      </w:r>
      <w:r>
        <w:t>～</w:t>
      </w:r>
      <w:r>
        <w:t>42°34′</w:t>
      </w:r>
      <w:r>
        <w:t>。保护区在地域上包括了罗布泊北部面积广阔的嘎顺戈壁、库鲁克塔格山东段东部的阿奇克谷地、东南部的库姆塔格沙漠和南部的阿尔金山北麓。保护区所属的行政区域包括吐鲁番地区、哈密地区和巴音郭楞蒙古自治州。保护区总面积</w:t>
      </w:r>
      <w:r>
        <w:t>7.78×10</w:t>
      </w:r>
      <w:r>
        <w:rPr>
          <w:vertAlign w:val="superscript"/>
        </w:rPr>
        <w:t>4</w:t>
      </w:r>
      <w:r>
        <w:t>km</w:t>
      </w:r>
      <w:r>
        <w:rPr>
          <w:vertAlign w:val="superscript"/>
        </w:rPr>
        <w:t>2</w:t>
      </w:r>
      <w:r>
        <w:t>，呈横凹字形，是目前国内规划面积最大的干旱荒漠自然保护区。保护区内分布有野生动物</w:t>
      </w:r>
      <w:r>
        <w:t>19</w:t>
      </w:r>
      <w:r>
        <w:t>科</w:t>
      </w:r>
      <w:r>
        <w:t>69</w:t>
      </w:r>
      <w:r>
        <w:t>种，共</w:t>
      </w:r>
      <w:r>
        <w:t>11</w:t>
      </w:r>
      <w:r>
        <w:t>个植物群系类型；野生脊椎动物</w:t>
      </w:r>
      <w:r>
        <w:t>30</w:t>
      </w:r>
      <w:r>
        <w:t>科</w:t>
      </w:r>
      <w:r>
        <w:t>50</w:t>
      </w:r>
      <w:r>
        <w:t>种以上。区域分布有我国二级保护植物裸果木和三级保护</w:t>
      </w:r>
      <w:r>
        <w:t>植物胡杨、梭梭、白梭梭、肉苁蓉及当地特有种塔克拉玛干柽柳和塔克拉玛干沙拐枣等珍稀荒漠植被；在罗布泊湖盆北部山地和临近区域，分布着我国一类保护动物雪豹、北山羊、藏野驴及二类保护动物草原斑猫、棕熊、鹅喉羚、盘羊、岩羊、马鹿、猞猁、兔狲、塔里木兔等兽类；在荒漠地带亦有兀鹫、金雕、草原、猎隼、红隼等多种猛禽活动，它们是干旱荒漠生态系统的重要组成部分。保护区的保护目标是保护野双峰驼纯血统种群。</w:t>
      </w:r>
    </w:p>
    <w:p w14:paraId="56DE2D60"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4.1.7</w:t>
      </w:r>
      <w:r>
        <w:rPr>
          <w:rFonts w:cs="Times New Roman"/>
          <w:sz w:val="28"/>
          <w:szCs w:val="28"/>
        </w:rPr>
        <w:t>文化遗产及旅游资源</w:t>
      </w:r>
    </w:p>
    <w:p w14:paraId="247FA1E4" w14:textId="77777777" w:rsidR="003E78AB" w:rsidRDefault="00010BF9">
      <w:pPr>
        <w:ind w:firstLine="480"/>
      </w:pPr>
      <w:r>
        <w:t>（</w:t>
      </w:r>
      <w:r>
        <w:t>1</w:t>
      </w:r>
      <w:r>
        <w:t>）文物古迹</w:t>
      </w:r>
    </w:p>
    <w:p w14:paraId="4F727A19" w14:textId="77777777" w:rsidR="003E78AB" w:rsidRDefault="00010BF9">
      <w:pPr>
        <w:ind w:firstLine="480"/>
      </w:pPr>
      <w:r>
        <w:t>哈密市的古迹主要有：白杨沟古遗址、拉甫乔克古城、石人子破城子古城、哈密市回城、</w:t>
      </w:r>
      <w:r>
        <w:t>焉来拉克唐城；上述文物古迹，距离本项目均在</w:t>
      </w:r>
      <w:r>
        <w:t>40km</w:t>
      </w:r>
      <w:r>
        <w:t>以外，因此评价区内没有受本项目影响的文物古迹。</w:t>
      </w:r>
    </w:p>
    <w:p w14:paraId="75C2FBDA" w14:textId="77777777" w:rsidR="003E78AB" w:rsidRDefault="00010BF9">
      <w:pPr>
        <w:ind w:firstLine="480"/>
      </w:pPr>
      <w:r>
        <w:t>（</w:t>
      </w:r>
      <w:r>
        <w:t>2</w:t>
      </w:r>
      <w:r>
        <w:t>）旅游资源</w:t>
      </w:r>
    </w:p>
    <w:p w14:paraId="5444D42D" w14:textId="77777777" w:rsidR="003E78AB" w:rsidRDefault="00010BF9">
      <w:pPr>
        <w:ind w:firstLine="480"/>
      </w:pPr>
      <w:r>
        <w:t>哈密市的名胜景点主要有：八大石、白石头及庙尔沟，此三处风景区均远离本项目评价范围。</w:t>
      </w:r>
    </w:p>
    <w:p w14:paraId="6F8CB775" w14:textId="77777777" w:rsidR="003E78AB" w:rsidRDefault="00010BF9">
      <w:pPr>
        <w:pStyle w:val="24"/>
        <w:keepNext w:val="0"/>
        <w:keepLines w:val="0"/>
        <w:topLinePunct/>
        <w:spacing w:before="120"/>
        <w:rPr>
          <w:rFonts w:cs="Times New Roman"/>
        </w:rPr>
      </w:pPr>
      <w:bookmarkStart w:id="292" w:name="_Toc2938"/>
      <w:bookmarkStart w:id="293" w:name="_Toc3851"/>
      <w:bookmarkStart w:id="294" w:name="_Toc17663"/>
      <w:bookmarkStart w:id="295" w:name="_Toc22990"/>
      <w:bookmarkEnd w:id="284"/>
      <w:bookmarkEnd w:id="285"/>
      <w:bookmarkEnd w:id="286"/>
      <w:bookmarkEnd w:id="287"/>
      <w:r>
        <w:rPr>
          <w:rFonts w:cs="Times New Roman"/>
        </w:rPr>
        <w:t>4.2</w:t>
      </w:r>
      <w:bookmarkStart w:id="296" w:name="_Toc22315234"/>
      <w:r>
        <w:rPr>
          <w:rFonts w:cs="Times New Roman"/>
        </w:rPr>
        <w:t>哈密工业园区概况</w:t>
      </w:r>
      <w:bookmarkEnd w:id="292"/>
      <w:bookmarkEnd w:id="293"/>
      <w:bookmarkEnd w:id="294"/>
      <w:bookmarkEnd w:id="295"/>
      <w:bookmarkEnd w:id="296"/>
    </w:p>
    <w:p w14:paraId="0467000A"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4.2.1</w:t>
      </w:r>
      <w:r>
        <w:rPr>
          <w:rFonts w:cs="Times New Roman"/>
          <w:sz w:val="28"/>
          <w:szCs w:val="28"/>
        </w:rPr>
        <w:t>哈密工业园区总体规划</w:t>
      </w:r>
    </w:p>
    <w:p w14:paraId="7E792EE9" w14:textId="77777777" w:rsidR="003E78AB" w:rsidRDefault="00010BF9">
      <w:pPr>
        <w:ind w:firstLine="480"/>
      </w:pPr>
      <w:r>
        <w:t>哈密工业园区始建于</w:t>
      </w:r>
      <w:r>
        <w:t>2003</w:t>
      </w:r>
      <w:r>
        <w:t>年，总规划面积</w:t>
      </w:r>
      <w:r>
        <w:t>45km</w:t>
      </w:r>
      <w:r>
        <w:rPr>
          <w:vertAlign w:val="superscript"/>
        </w:rPr>
        <w:t>2</w:t>
      </w:r>
      <w:r>
        <w:t>，</w:t>
      </w:r>
      <w:r>
        <w:t>2007</w:t>
      </w:r>
      <w:r>
        <w:t>年</w:t>
      </w:r>
      <w:r>
        <w:t>10</w:t>
      </w:r>
      <w:r>
        <w:t>月哈密工业园区获得新疆维吾尔自治区环境保护局出具的《关于哈密工业园区总体规划环境影响报告书的审查意见》（新环监函〔</w:t>
      </w:r>
      <w:r>
        <w:t>2007</w:t>
      </w:r>
      <w:r>
        <w:t>〕</w:t>
      </w:r>
      <w:r>
        <w:t>387</w:t>
      </w:r>
      <w:r>
        <w:t>号）。</w:t>
      </w:r>
      <w:r>
        <w:rPr>
          <w:rFonts w:hint="eastAsia"/>
        </w:rPr>
        <w:t>2021</w:t>
      </w:r>
      <w:r>
        <w:rPr>
          <w:rFonts w:hint="eastAsia"/>
        </w:rPr>
        <w:t>年进行了调区，调区后</w:t>
      </w:r>
      <w:r>
        <w:t>总规划面积</w:t>
      </w:r>
      <w:r>
        <w:t>44.63</w:t>
      </w:r>
      <w:r>
        <w:t>平方公里</w:t>
      </w:r>
      <w:r>
        <w:rPr>
          <w:rFonts w:hint="eastAsia"/>
        </w:rPr>
        <w:t>，</w:t>
      </w:r>
      <w:r>
        <w:t>2021</w:t>
      </w:r>
      <w:r>
        <w:t>年</w:t>
      </w:r>
      <w:r>
        <w:t>4</w:t>
      </w:r>
      <w:r>
        <w:t>月新疆维吾尔自治区生态环境厅出具了《关于</w:t>
      </w:r>
      <w:r>
        <w:t>&lt;</w:t>
      </w:r>
      <w:r>
        <w:t>哈密工业园区总体规划（</w:t>
      </w:r>
      <w:r>
        <w:t>2019-2035</w:t>
      </w:r>
      <w:r>
        <w:t>年）环境影响报告书</w:t>
      </w:r>
      <w:r>
        <w:t>&gt;</w:t>
      </w:r>
      <w:r>
        <w:t>的审查意见》（新环审〔</w:t>
      </w:r>
      <w:r>
        <w:t>20</w:t>
      </w:r>
      <w:r>
        <w:rPr>
          <w:rFonts w:hint="eastAsia"/>
        </w:rPr>
        <w:t>21</w:t>
      </w:r>
      <w:r>
        <w:t>〕</w:t>
      </w:r>
      <w:r>
        <w:t>61</w:t>
      </w:r>
      <w:r>
        <w:t>号），</w:t>
      </w:r>
      <w:r>
        <w:t>2022</w:t>
      </w:r>
      <w:r>
        <w:t>年</w:t>
      </w:r>
      <w:r>
        <w:t>2</w:t>
      </w:r>
      <w:r>
        <w:t>月</w:t>
      </w:r>
      <w:r>
        <w:rPr>
          <w:rFonts w:hint="eastAsia"/>
        </w:rPr>
        <w:t>取得</w:t>
      </w:r>
      <w:r>
        <w:t>新疆维吾尔自治区工业和信息化厅办公室《关于</w:t>
      </w:r>
      <w:r>
        <w:t>&lt;</w:t>
      </w:r>
      <w:r>
        <w:t>哈密工业园区产业发展规划</w:t>
      </w:r>
      <w:r>
        <w:t>&gt;</w:t>
      </w:r>
      <w:r>
        <w:t>（</w:t>
      </w:r>
      <w:r>
        <w:t>2019-2035</w:t>
      </w:r>
      <w:r>
        <w:t>年）的批复》（新园区函〔</w:t>
      </w:r>
      <w:r>
        <w:t>20</w:t>
      </w:r>
      <w:r>
        <w:rPr>
          <w:rFonts w:hint="eastAsia"/>
        </w:rPr>
        <w:t>22</w:t>
      </w:r>
      <w:r>
        <w:t>〕</w:t>
      </w:r>
      <w:r>
        <w:t>1</w:t>
      </w:r>
      <w:r>
        <w:t>号）。</w:t>
      </w:r>
    </w:p>
    <w:p w14:paraId="0A09921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4.2.</w:t>
      </w:r>
      <w:r>
        <w:rPr>
          <w:rFonts w:ascii="Times New Roman" w:hAnsi="Times New Roman" w:hint="eastAsia"/>
        </w:rPr>
        <w:t>1</w:t>
      </w:r>
      <w:r>
        <w:rPr>
          <w:rFonts w:ascii="Times New Roman" w:hAnsi="Times New Roman"/>
        </w:rPr>
        <w:t>.1</w:t>
      </w:r>
      <w:r>
        <w:rPr>
          <w:rFonts w:ascii="Times New Roman" w:hAnsi="Times New Roman"/>
        </w:rPr>
        <w:t>规划期限</w:t>
      </w:r>
    </w:p>
    <w:p w14:paraId="2C363022" w14:textId="77777777" w:rsidR="003E78AB" w:rsidRDefault="00010BF9">
      <w:pPr>
        <w:ind w:firstLine="480"/>
        <w:rPr>
          <w:kern w:val="2"/>
        </w:rPr>
      </w:pPr>
      <w:r>
        <w:rPr>
          <w:kern w:val="2"/>
        </w:rPr>
        <w:t>规划期限：近期为</w:t>
      </w:r>
      <w:r>
        <w:rPr>
          <w:kern w:val="2"/>
        </w:rPr>
        <w:t>2019</w:t>
      </w:r>
      <w:r>
        <w:rPr>
          <w:kern w:val="2"/>
        </w:rPr>
        <w:t>年～</w:t>
      </w:r>
      <w:r>
        <w:rPr>
          <w:kern w:val="2"/>
        </w:rPr>
        <w:t>2025</w:t>
      </w:r>
      <w:r>
        <w:rPr>
          <w:kern w:val="2"/>
        </w:rPr>
        <w:t>年，远期为</w:t>
      </w:r>
      <w:r>
        <w:rPr>
          <w:kern w:val="2"/>
        </w:rPr>
        <w:t>2026</w:t>
      </w:r>
      <w:r>
        <w:rPr>
          <w:kern w:val="2"/>
        </w:rPr>
        <w:t>年～</w:t>
      </w:r>
      <w:r>
        <w:rPr>
          <w:kern w:val="2"/>
        </w:rPr>
        <w:t>2030</w:t>
      </w:r>
      <w:r>
        <w:rPr>
          <w:kern w:val="2"/>
        </w:rPr>
        <w:t>年。</w:t>
      </w:r>
    </w:p>
    <w:p w14:paraId="35E14F8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4.2.</w:t>
      </w:r>
      <w:r>
        <w:rPr>
          <w:rFonts w:ascii="Times New Roman" w:hAnsi="Times New Roman" w:hint="eastAsia"/>
        </w:rPr>
        <w:t>1</w:t>
      </w:r>
      <w:r>
        <w:rPr>
          <w:rFonts w:ascii="Times New Roman" w:hAnsi="Times New Roman"/>
        </w:rPr>
        <w:t>.2</w:t>
      </w:r>
      <w:r>
        <w:rPr>
          <w:rFonts w:ascii="Times New Roman" w:hAnsi="Times New Roman"/>
        </w:rPr>
        <w:t>规划范围及用地规模</w:t>
      </w:r>
    </w:p>
    <w:p w14:paraId="1FB503AD" w14:textId="77777777" w:rsidR="003E78AB" w:rsidRDefault="00010BF9">
      <w:pPr>
        <w:ind w:firstLine="480"/>
        <w:rPr>
          <w:kern w:val="2"/>
        </w:rPr>
      </w:pPr>
      <w:r>
        <w:rPr>
          <w:kern w:val="2"/>
        </w:rPr>
        <w:t>哈密工业园区规划形成</w:t>
      </w:r>
      <w:r>
        <w:rPr>
          <w:kern w:val="2"/>
        </w:rPr>
        <w:t>“</w:t>
      </w:r>
      <w:r>
        <w:rPr>
          <w:kern w:val="2"/>
        </w:rPr>
        <w:t>一区两园</w:t>
      </w:r>
      <w:r>
        <w:rPr>
          <w:kern w:val="2"/>
        </w:rPr>
        <w:t>”</w:t>
      </w:r>
      <w:r>
        <w:rPr>
          <w:kern w:val="2"/>
        </w:rPr>
        <w:t>，两园分别指：北部新兴产业园和南部循环经</w:t>
      </w:r>
      <w:r>
        <w:rPr>
          <w:kern w:val="2"/>
        </w:rPr>
        <w:t>济产业园。工业园区规划总面积为</w:t>
      </w:r>
      <w:r>
        <w:rPr>
          <w:kern w:val="2"/>
        </w:rPr>
        <w:t>44.63km</w:t>
      </w:r>
      <w:r>
        <w:rPr>
          <w:kern w:val="2"/>
          <w:vertAlign w:val="superscript"/>
        </w:rPr>
        <w:t>2</w:t>
      </w:r>
      <w:r>
        <w:rPr>
          <w:kern w:val="2"/>
        </w:rPr>
        <w:t>。其中，北部新兴产业园规划面积</w:t>
      </w:r>
      <w:r>
        <w:rPr>
          <w:kern w:val="2"/>
        </w:rPr>
        <w:t>20.63km</w:t>
      </w:r>
      <w:r>
        <w:rPr>
          <w:kern w:val="2"/>
          <w:vertAlign w:val="superscript"/>
        </w:rPr>
        <w:t>2</w:t>
      </w:r>
      <w:r>
        <w:rPr>
          <w:kern w:val="2"/>
        </w:rPr>
        <w:t>；南部循环经济产业园西侧片区规划用地面积</w:t>
      </w:r>
      <w:r>
        <w:rPr>
          <w:kern w:val="2"/>
        </w:rPr>
        <w:t>7.14km</w:t>
      </w:r>
      <w:r>
        <w:rPr>
          <w:kern w:val="2"/>
          <w:vertAlign w:val="superscript"/>
        </w:rPr>
        <w:t>2</w:t>
      </w:r>
      <w:r>
        <w:rPr>
          <w:kern w:val="2"/>
        </w:rPr>
        <w:t>；东侧片区规划用地面积</w:t>
      </w:r>
      <w:r>
        <w:rPr>
          <w:kern w:val="2"/>
        </w:rPr>
        <w:t>16.86km</w:t>
      </w:r>
      <w:r>
        <w:rPr>
          <w:kern w:val="2"/>
          <w:vertAlign w:val="superscript"/>
        </w:rPr>
        <w:t>2</w:t>
      </w:r>
      <w:r>
        <w:rPr>
          <w:kern w:val="2"/>
        </w:rPr>
        <w:t>，总用地面积</w:t>
      </w:r>
      <w:r>
        <w:rPr>
          <w:kern w:val="2"/>
        </w:rPr>
        <w:t>24km</w:t>
      </w:r>
      <w:r>
        <w:rPr>
          <w:kern w:val="2"/>
          <w:vertAlign w:val="superscript"/>
        </w:rPr>
        <w:t>2</w:t>
      </w:r>
      <w:r>
        <w:rPr>
          <w:kern w:val="2"/>
        </w:rPr>
        <w:t>。</w:t>
      </w:r>
    </w:p>
    <w:p w14:paraId="7E5AD391" w14:textId="77777777" w:rsidR="003E78AB" w:rsidRDefault="00010BF9">
      <w:pPr>
        <w:ind w:firstLine="480"/>
        <w:rPr>
          <w:kern w:val="2"/>
        </w:rPr>
      </w:pPr>
      <w:r>
        <w:rPr>
          <w:kern w:val="2"/>
        </w:rPr>
        <w:t>本项目位于南部循环经济产业园</w:t>
      </w:r>
      <w:r>
        <w:rPr>
          <w:rFonts w:hint="eastAsia"/>
          <w:kern w:val="2"/>
        </w:rPr>
        <w:t>的化工产业区</w:t>
      </w:r>
      <w:r>
        <w:rPr>
          <w:kern w:val="2"/>
        </w:rPr>
        <w:t>。</w:t>
      </w:r>
    </w:p>
    <w:p w14:paraId="7D736C1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4.2.</w:t>
      </w:r>
      <w:r>
        <w:rPr>
          <w:rFonts w:ascii="Times New Roman" w:hAnsi="Times New Roman" w:hint="eastAsia"/>
        </w:rPr>
        <w:t>1</w:t>
      </w:r>
      <w:r>
        <w:rPr>
          <w:rFonts w:ascii="Times New Roman" w:hAnsi="Times New Roman"/>
        </w:rPr>
        <w:t>.3</w:t>
      </w:r>
      <w:r>
        <w:rPr>
          <w:rFonts w:ascii="Times New Roman" w:hAnsi="Times New Roman"/>
        </w:rPr>
        <w:t>规划园区产业定位</w:t>
      </w:r>
    </w:p>
    <w:p w14:paraId="5005B4E5" w14:textId="77777777" w:rsidR="003E78AB" w:rsidRDefault="00010BF9">
      <w:pPr>
        <w:ind w:firstLine="480"/>
        <w:rPr>
          <w:kern w:val="2"/>
        </w:rPr>
      </w:pPr>
      <w:r>
        <w:rPr>
          <w:kern w:val="2"/>
        </w:rPr>
        <w:t>根据《哈密工业园区总体规划》（</w:t>
      </w:r>
      <w:r>
        <w:rPr>
          <w:kern w:val="2"/>
        </w:rPr>
        <w:t>2019-2035</w:t>
      </w:r>
      <w:r>
        <w:rPr>
          <w:kern w:val="2"/>
        </w:rPr>
        <w:t>），南部循环经济产业园包括：新材料产业区、仓储物流区、化工产业区、能源资源深加工产业区、综合服务及创业孵化区。</w:t>
      </w:r>
    </w:p>
    <w:p w14:paraId="05F9A49D" w14:textId="77777777" w:rsidR="003E78AB" w:rsidRDefault="00010BF9">
      <w:pPr>
        <w:ind w:firstLine="480"/>
        <w:rPr>
          <w:kern w:val="2"/>
        </w:rPr>
      </w:pPr>
      <w:r>
        <w:rPr>
          <w:rFonts w:hint="eastAsia"/>
          <w:kern w:val="2"/>
        </w:rPr>
        <w:t>其中</w:t>
      </w:r>
      <w:r>
        <w:rPr>
          <w:kern w:val="2"/>
        </w:rPr>
        <w:t>化工产业区主要发展精细化工（重点发展环境污染处理专业药剂、医药中间体、农药中间体、染料中间体、表面活性剂、感光材料、偏光材料等高分子功能材料）；石油化工及下游产业（重点发展石油化工及石油化工产业链相关配套产业）。</w:t>
      </w:r>
    </w:p>
    <w:p w14:paraId="552CD255"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4.2.</w:t>
      </w:r>
      <w:r>
        <w:rPr>
          <w:rFonts w:cs="Times New Roman" w:hint="eastAsia"/>
          <w:sz w:val="28"/>
          <w:szCs w:val="28"/>
        </w:rPr>
        <w:t>2</w:t>
      </w:r>
      <w:r>
        <w:rPr>
          <w:rFonts w:cs="Times New Roman"/>
          <w:sz w:val="28"/>
          <w:szCs w:val="28"/>
        </w:rPr>
        <w:t>哈密高新区化工产业集中区总体规划</w:t>
      </w:r>
    </w:p>
    <w:p w14:paraId="338DE2AB" w14:textId="77777777" w:rsidR="003E78AB" w:rsidRDefault="00010BF9">
      <w:pPr>
        <w:ind w:firstLine="480"/>
        <w:contextualSpacing/>
      </w:pPr>
      <w:r>
        <w:rPr>
          <w:rFonts w:hint="eastAsia"/>
        </w:rPr>
        <w:t>哈密高新技术产业开发区化工产业集中区于</w:t>
      </w:r>
      <w:r>
        <w:rPr>
          <w:rFonts w:hint="eastAsia"/>
        </w:rPr>
        <w:t>2023</w:t>
      </w:r>
      <w:r>
        <w:rPr>
          <w:rFonts w:hint="eastAsia"/>
        </w:rPr>
        <w:t>年由哈密市人民政府批复设立，该</w:t>
      </w:r>
      <w:r>
        <w:t>区</w:t>
      </w:r>
      <w:r>
        <w:rPr>
          <w:rFonts w:hint="eastAsia"/>
        </w:rPr>
        <w:t>是在</w:t>
      </w:r>
      <w:r>
        <w:t>哈密高新区南部循环经济产业园中划出</w:t>
      </w:r>
      <w:r>
        <w:rPr>
          <w:rFonts w:hint="eastAsia"/>
        </w:rPr>
        <w:t>了</w:t>
      </w:r>
      <w:r>
        <w:t>440.5723</w:t>
      </w:r>
      <w:r>
        <w:t>公顷</w:t>
      </w:r>
      <w:r>
        <w:rPr>
          <w:rFonts w:hint="eastAsia"/>
        </w:rPr>
        <w:t>的</w:t>
      </w:r>
      <w:r>
        <w:t>独立</w:t>
      </w:r>
      <w:r>
        <w:rPr>
          <w:rFonts w:hint="eastAsia"/>
        </w:rPr>
        <w:t>化工园区，《哈密高新区化工产业集中区总体规划（</w:t>
      </w:r>
      <w:r>
        <w:rPr>
          <w:rFonts w:hint="eastAsia"/>
        </w:rPr>
        <w:t>2023-2035</w:t>
      </w:r>
      <w:r>
        <w:rPr>
          <w:rFonts w:hint="eastAsia"/>
        </w:rPr>
        <w:t>年）》于</w:t>
      </w:r>
      <w:r>
        <w:rPr>
          <w:rFonts w:hint="eastAsia"/>
        </w:rPr>
        <w:t>2023</w:t>
      </w:r>
      <w:r>
        <w:rPr>
          <w:rFonts w:hint="eastAsia"/>
        </w:rPr>
        <w:t>年</w:t>
      </w:r>
      <w:r>
        <w:rPr>
          <w:rFonts w:hint="eastAsia"/>
        </w:rPr>
        <w:t>9</w:t>
      </w:r>
      <w:r>
        <w:rPr>
          <w:rFonts w:hint="eastAsia"/>
        </w:rPr>
        <w:t>月经哈密市人民政府批复（哈</w:t>
      </w:r>
      <w:r>
        <w:rPr>
          <w:rFonts w:hint="eastAsia"/>
        </w:rPr>
        <w:t>政函</w:t>
      </w:r>
      <w:r>
        <w:t>〔</w:t>
      </w:r>
      <w:r>
        <w:t>20</w:t>
      </w:r>
      <w:r>
        <w:rPr>
          <w:rFonts w:hint="eastAsia"/>
        </w:rPr>
        <w:t>23</w:t>
      </w:r>
      <w:r>
        <w:t>〕</w:t>
      </w:r>
      <w:r>
        <w:t>1</w:t>
      </w:r>
      <w:r>
        <w:rPr>
          <w:rFonts w:hint="eastAsia"/>
        </w:rPr>
        <w:t>75</w:t>
      </w:r>
      <w:r>
        <w:t>号</w:t>
      </w:r>
      <w:r>
        <w:rPr>
          <w:rFonts w:hint="eastAsia"/>
        </w:rPr>
        <w:t>），</w:t>
      </w:r>
      <w:r>
        <w:rPr>
          <w:rFonts w:hint="eastAsia"/>
        </w:rPr>
        <w:t>2023</w:t>
      </w:r>
      <w:r>
        <w:rPr>
          <w:rFonts w:hint="eastAsia"/>
        </w:rPr>
        <w:t>年</w:t>
      </w:r>
      <w:r>
        <w:rPr>
          <w:rFonts w:hint="eastAsia"/>
        </w:rPr>
        <w:t>10</w:t>
      </w:r>
      <w:r>
        <w:rPr>
          <w:rFonts w:hint="eastAsia"/>
        </w:rPr>
        <w:t>月</w:t>
      </w:r>
      <w:r>
        <w:rPr>
          <w:rFonts w:hint="eastAsia"/>
        </w:rPr>
        <w:t>12</w:t>
      </w:r>
      <w:r>
        <w:rPr>
          <w:rFonts w:hint="eastAsia"/>
        </w:rPr>
        <w:t>日</w:t>
      </w:r>
      <w:r>
        <w:t>新疆维吾尔自治区生态环境厅出具了《关于</w:t>
      </w:r>
      <w:r>
        <w:rPr>
          <w:rFonts w:hint="eastAsia"/>
        </w:rPr>
        <w:t>&lt;</w:t>
      </w:r>
      <w:r>
        <w:rPr>
          <w:rFonts w:hint="eastAsia"/>
        </w:rPr>
        <w:t>哈密高新区化工产业集中区总体规划</w:t>
      </w:r>
      <w:r>
        <w:t>（</w:t>
      </w:r>
      <w:r>
        <w:t>20</w:t>
      </w:r>
      <w:r>
        <w:rPr>
          <w:rFonts w:hint="eastAsia"/>
        </w:rPr>
        <w:t>23</w:t>
      </w:r>
      <w:r>
        <w:t>-2035</w:t>
      </w:r>
      <w:r>
        <w:t>年）环境影响报告书</w:t>
      </w:r>
      <w:r>
        <w:t>&gt;</w:t>
      </w:r>
      <w:r>
        <w:t>的审查意见》（新环审〔</w:t>
      </w:r>
      <w:r>
        <w:t>20</w:t>
      </w:r>
      <w:r>
        <w:rPr>
          <w:rFonts w:hint="eastAsia"/>
        </w:rPr>
        <w:t>23</w:t>
      </w:r>
      <w:r>
        <w:t>〕</w:t>
      </w:r>
      <w:r>
        <w:rPr>
          <w:rFonts w:hint="eastAsia"/>
        </w:rPr>
        <w:t>240</w:t>
      </w:r>
      <w:r>
        <w:t>号）</w:t>
      </w:r>
      <w:r>
        <w:rPr>
          <w:rFonts w:hint="eastAsia"/>
        </w:rPr>
        <w:t>。</w:t>
      </w:r>
    </w:p>
    <w:p w14:paraId="653D812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4.2.2.</w:t>
      </w:r>
      <w:r>
        <w:rPr>
          <w:rFonts w:ascii="Times New Roman" w:hAnsi="Times New Roman" w:hint="eastAsia"/>
        </w:rPr>
        <w:t>1</w:t>
      </w:r>
      <w:r>
        <w:rPr>
          <w:rFonts w:ascii="Times New Roman" w:hAnsi="Times New Roman" w:hint="eastAsia"/>
        </w:rPr>
        <w:t>规划范围</w:t>
      </w:r>
    </w:p>
    <w:p w14:paraId="03909681" w14:textId="77777777" w:rsidR="003E78AB" w:rsidRDefault="00010BF9">
      <w:pPr>
        <w:ind w:firstLine="480"/>
        <w:jc w:val="left"/>
      </w:pPr>
      <w:r>
        <w:rPr>
          <w:rFonts w:ascii="宋体" w:hAnsi="宋体" w:cs="宋体" w:hint="eastAsia"/>
          <w:lang w:bidi="ar"/>
        </w:rPr>
        <w:t>哈密高新区化工产业集中区位于南部循环经济产业园区内，主要布置在哈罗铁路线东侧，呈</w:t>
      </w:r>
      <w:r>
        <w:rPr>
          <w:lang w:bidi="ar"/>
        </w:rPr>
        <w:t>L</w:t>
      </w:r>
      <w:r>
        <w:rPr>
          <w:rFonts w:ascii="宋体" w:hAnsi="宋体" w:cs="宋体" w:hint="eastAsia"/>
          <w:lang w:bidi="ar"/>
        </w:rPr>
        <w:t>型分布，北至金光大道，西至伊犁河路，南至伊吾大道、东至渤海路，规划面积约</w:t>
      </w:r>
      <w:r>
        <w:rPr>
          <w:lang w:bidi="ar"/>
        </w:rPr>
        <w:t>440.5723</w:t>
      </w:r>
      <w:r>
        <w:rPr>
          <w:rFonts w:ascii="宋体" w:hAnsi="宋体" w:cs="宋体" w:hint="eastAsia"/>
          <w:lang w:bidi="ar"/>
        </w:rPr>
        <w:t>公顷。</w:t>
      </w:r>
    </w:p>
    <w:p w14:paraId="5CEA847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4.2.2.</w:t>
      </w:r>
      <w:r>
        <w:rPr>
          <w:rFonts w:ascii="Times New Roman" w:hAnsi="Times New Roman" w:hint="eastAsia"/>
        </w:rPr>
        <w:t>2</w:t>
      </w:r>
      <w:r>
        <w:rPr>
          <w:rFonts w:ascii="Times New Roman" w:hAnsi="Times New Roman" w:hint="eastAsia"/>
        </w:rPr>
        <w:t>规划期限</w:t>
      </w:r>
    </w:p>
    <w:p w14:paraId="2BE8AC83" w14:textId="77777777" w:rsidR="003E78AB" w:rsidRDefault="00010BF9">
      <w:pPr>
        <w:ind w:firstLine="480"/>
        <w:jc w:val="left"/>
      </w:pPr>
      <w:r>
        <w:rPr>
          <w:rFonts w:ascii="宋体" w:hAnsi="宋体" w:cs="宋体" w:hint="eastAsia"/>
          <w:lang w:bidi="ar"/>
        </w:rPr>
        <w:t>规划期限：</w:t>
      </w:r>
      <w:r>
        <w:rPr>
          <w:lang w:bidi="ar"/>
        </w:rPr>
        <w:t>2023</w:t>
      </w:r>
      <w:r>
        <w:rPr>
          <w:rFonts w:ascii="宋体" w:hAnsi="宋体" w:cs="宋体" w:hint="eastAsia"/>
          <w:lang w:bidi="ar"/>
        </w:rPr>
        <w:t>年～</w:t>
      </w:r>
      <w:r>
        <w:rPr>
          <w:lang w:bidi="ar"/>
        </w:rPr>
        <w:t>2035</w:t>
      </w:r>
      <w:r>
        <w:rPr>
          <w:rFonts w:ascii="宋体" w:hAnsi="宋体" w:cs="宋体" w:hint="eastAsia"/>
          <w:lang w:bidi="ar"/>
        </w:rPr>
        <w:t>年。其中近期：</w:t>
      </w:r>
      <w:r>
        <w:rPr>
          <w:lang w:bidi="ar"/>
        </w:rPr>
        <w:t>2023</w:t>
      </w:r>
      <w:r>
        <w:rPr>
          <w:rFonts w:ascii="宋体" w:hAnsi="宋体" w:cs="宋体" w:hint="eastAsia"/>
          <w:lang w:bidi="ar"/>
        </w:rPr>
        <w:t>年～</w:t>
      </w:r>
      <w:r>
        <w:rPr>
          <w:lang w:bidi="ar"/>
        </w:rPr>
        <w:t>2025</w:t>
      </w:r>
      <w:r>
        <w:rPr>
          <w:rFonts w:ascii="宋体" w:hAnsi="宋体" w:cs="宋体" w:hint="eastAsia"/>
          <w:lang w:bidi="ar"/>
        </w:rPr>
        <w:t>年，远期：</w:t>
      </w:r>
      <w:r>
        <w:rPr>
          <w:lang w:bidi="ar"/>
        </w:rPr>
        <w:t>2026</w:t>
      </w:r>
      <w:r>
        <w:rPr>
          <w:rFonts w:ascii="宋体" w:hAnsi="宋体" w:cs="宋体" w:hint="eastAsia"/>
          <w:lang w:bidi="ar"/>
        </w:rPr>
        <w:t>年～</w:t>
      </w:r>
      <w:r>
        <w:rPr>
          <w:lang w:bidi="ar"/>
        </w:rPr>
        <w:t>2035</w:t>
      </w:r>
      <w:r>
        <w:rPr>
          <w:rFonts w:ascii="宋体" w:hAnsi="宋体" w:cs="宋体" w:hint="eastAsia"/>
          <w:lang w:bidi="ar"/>
        </w:rPr>
        <w:t>年。</w:t>
      </w:r>
    </w:p>
    <w:p w14:paraId="182EEAE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4.2.2.</w:t>
      </w:r>
      <w:r>
        <w:rPr>
          <w:rFonts w:ascii="Times New Roman" w:hAnsi="Times New Roman" w:hint="eastAsia"/>
        </w:rPr>
        <w:t>3</w:t>
      </w:r>
      <w:r>
        <w:rPr>
          <w:rFonts w:ascii="Times New Roman" w:hAnsi="Times New Roman" w:hint="eastAsia"/>
        </w:rPr>
        <w:t>产业发展规划</w:t>
      </w:r>
    </w:p>
    <w:p w14:paraId="5AF6FE3B" w14:textId="77777777" w:rsidR="003E78AB" w:rsidRDefault="00010BF9">
      <w:pPr>
        <w:ind w:firstLine="480"/>
        <w:jc w:val="left"/>
      </w:pPr>
      <w:r>
        <w:rPr>
          <w:rFonts w:ascii="宋体" w:hAnsi="宋体" w:cs="宋体" w:hint="eastAsia"/>
          <w:lang w:bidi="ar"/>
        </w:rPr>
        <w:t>园区功能定位：高新技术应用、转化为主的产业主导型工业园区。重点做优产业示范基地、自治区承接产业转移及就业承载核心基地、自治区产教融合发做强新材料、煤电煤化工、精细化工主导产业；成为自治区新型工业化循环经济发展示范基地、新型综合能源基地引领示范区一部分。</w:t>
      </w:r>
    </w:p>
    <w:p w14:paraId="5083F480" w14:textId="77777777" w:rsidR="003E78AB" w:rsidRDefault="00010BF9">
      <w:pPr>
        <w:ind w:firstLine="480"/>
        <w:jc w:val="left"/>
      </w:pPr>
      <w:r>
        <w:rPr>
          <w:rFonts w:ascii="宋体" w:hAnsi="宋体" w:cs="宋体" w:hint="eastAsia"/>
          <w:lang w:bidi="ar"/>
        </w:rPr>
        <w:t>（</w:t>
      </w:r>
      <w:r>
        <w:rPr>
          <w:lang w:bidi="ar"/>
        </w:rPr>
        <w:t>1</w:t>
      </w:r>
      <w:r>
        <w:rPr>
          <w:rFonts w:ascii="宋体" w:hAnsi="宋体" w:cs="宋体" w:hint="eastAsia"/>
          <w:lang w:bidi="ar"/>
        </w:rPr>
        <w:t>）石油化工产业区</w:t>
      </w:r>
    </w:p>
    <w:p w14:paraId="7147AEE2" w14:textId="77777777" w:rsidR="003E78AB" w:rsidRDefault="00010BF9">
      <w:pPr>
        <w:ind w:firstLine="480"/>
        <w:jc w:val="left"/>
      </w:pPr>
      <w:r>
        <w:rPr>
          <w:rFonts w:ascii="宋体" w:hAnsi="宋体" w:cs="宋体" w:hint="eastAsia"/>
          <w:lang w:bidi="ar"/>
        </w:rPr>
        <w:t>主要以现状企业为主。位于哈罗铁路专线以西、以东。哈密金运能源科技有限公司、蓝洁环保科技有限公司所围合的片区。根据产业分布特点，主要集中布置石油化工产业及相应的配套服务设施，是园区重点</w:t>
      </w:r>
      <w:r>
        <w:rPr>
          <w:rFonts w:ascii="宋体" w:hAnsi="宋体" w:cs="宋体" w:hint="eastAsia"/>
          <w:lang w:bidi="ar"/>
        </w:rPr>
        <w:t>化工企业。同时，开放空间的组织模式，增强组团的核心凝聚力和影响力。</w:t>
      </w:r>
    </w:p>
    <w:p w14:paraId="660D12E1" w14:textId="77777777" w:rsidR="003E78AB" w:rsidRDefault="00010BF9">
      <w:pPr>
        <w:ind w:firstLine="480"/>
        <w:jc w:val="left"/>
      </w:pPr>
      <w:r>
        <w:rPr>
          <w:rFonts w:ascii="宋体" w:hAnsi="宋体" w:cs="宋体" w:hint="eastAsia"/>
          <w:lang w:bidi="ar"/>
        </w:rPr>
        <w:t>（</w:t>
      </w:r>
      <w:r>
        <w:rPr>
          <w:lang w:bidi="ar"/>
        </w:rPr>
        <w:t>2</w:t>
      </w:r>
      <w:r>
        <w:rPr>
          <w:rFonts w:ascii="宋体" w:hAnsi="宋体" w:cs="宋体" w:hint="eastAsia"/>
          <w:lang w:bidi="ar"/>
        </w:rPr>
        <w:t>）化工（硅基）新材料产业区</w:t>
      </w:r>
    </w:p>
    <w:p w14:paraId="1E9A2878" w14:textId="77777777" w:rsidR="003E78AB" w:rsidRDefault="00010BF9">
      <w:pPr>
        <w:ind w:firstLine="480"/>
        <w:jc w:val="left"/>
      </w:pPr>
      <w:r>
        <w:rPr>
          <w:rFonts w:ascii="宋体" w:hAnsi="宋体" w:cs="宋体" w:hint="eastAsia"/>
          <w:lang w:bidi="ar"/>
        </w:rPr>
        <w:t>位于产业集中区以西、以东两个片区，清电硅材料有限公司、</w:t>
      </w:r>
      <w:r>
        <w:rPr>
          <w:lang w:bidi="ar"/>
        </w:rPr>
        <w:t>20</w:t>
      </w:r>
      <w:r>
        <w:rPr>
          <w:rFonts w:ascii="宋体" w:hAnsi="宋体" w:cs="宋体" w:hint="eastAsia"/>
          <w:lang w:bidi="ar"/>
        </w:rPr>
        <w:t>万吨</w:t>
      </w:r>
      <w:r>
        <w:rPr>
          <w:lang w:bidi="ar"/>
        </w:rPr>
        <w:t>/</w:t>
      </w:r>
      <w:r>
        <w:rPr>
          <w:rFonts w:ascii="宋体" w:hAnsi="宋体" w:cs="宋体" w:hint="eastAsia"/>
          <w:lang w:bidi="ar"/>
        </w:rPr>
        <w:t>年工业硅项目（重点发展项目）所围合的两个片区。根据产业分布特点，主要集中布置化工（硅基）新材料。主要以生产碳基、硅基新材料为主及相应的配套服务设施，为产业发展提供新生的动力。</w:t>
      </w:r>
    </w:p>
    <w:p w14:paraId="1B0F3832" w14:textId="77777777" w:rsidR="003E78AB" w:rsidRDefault="00010BF9">
      <w:pPr>
        <w:ind w:firstLine="480"/>
        <w:jc w:val="left"/>
      </w:pPr>
      <w:r>
        <w:rPr>
          <w:rFonts w:ascii="宋体" w:hAnsi="宋体" w:cs="宋体" w:hint="eastAsia"/>
          <w:lang w:bidi="ar"/>
        </w:rPr>
        <w:t>（</w:t>
      </w:r>
      <w:r>
        <w:rPr>
          <w:lang w:bidi="ar"/>
        </w:rPr>
        <w:t>3</w:t>
      </w:r>
      <w:r>
        <w:rPr>
          <w:rFonts w:ascii="宋体" w:hAnsi="宋体" w:cs="宋体" w:hint="eastAsia"/>
          <w:lang w:bidi="ar"/>
        </w:rPr>
        <w:t>）煤化工产业区</w:t>
      </w:r>
    </w:p>
    <w:p w14:paraId="31EB9D46" w14:textId="77777777" w:rsidR="003E78AB" w:rsidRDefault="00010BF9">
      <w:pPr>
        <w:ind w:firstLine="480"/>
        <w:jc w:val="left"/>
      </w:pPr>
      <w:r>
        <w:rPr>
          <w:rFonts w:ascii="宋体" w:hAnsi="宋体" w:cs="宋体" w:hint="eastAsia"/>
          <w:lang w:bidi="ar"/>
        </w:rPr>
        <w:t>位于伊吾大道以北、伊犁河路以东，新疆中和合众新材料有限公司、</w:t>
      </w:r>
      <w:r>
        <w:rPr>
          <w:lang w:bidi="ar"/>
        </w:rPr>
        <w:t>20</w:t>
      </w:r>
      <w:r>
        <w:rPr>
          <w:rFonts w:ascii="宋体" w:hAnsi="宋体" w:cs="宋体" w:hint="eastAsia"/>
          <w:lang w:bidi="ar"/>
        </w:rPr>
        <w:t>万吨</w:t>
      </w:r>
      <w:r>
        <w:rPr>
          <w:lang w:bidi="ar"/>
        </w:rPr>
        <w:t>/</w:t>
      </w:r>
      <w:r>
        <w:rPr>
          <w:rFonts w:ascii="宋体" w:hAnsi="宋体" w:cs="宋体" w:hint="eastAsia"/>
          <w:lang w:bidi="ar"/>
        </w:rPr>
        <w:t>年</w:t>
      </w:r>
      <w:r>
        <w:rPr>
          <w:lang w:bidi="ar"/>
        </w:rPr>
        <w:t>PVA</w:t>
      </w:r>
      <w:r>
        <w:rPr>
          <w:rFonts w:ascii="宋体" w:hAnsi="宋体" w:cs="宋体" w:hint="eastAsia"/>
          <w:lang w:bidi="ar"/>
        </w:rPr>
        <w:t>项目（重点发展项目）所在区域。根据产业分布特点，主要集中布置产业链延伸项目</w:t>
      </w:r>
      <w:r>
        <w:rPr>
          <w:rFonts w:ascii="宋体" w:hAnsi="宋体" w:cs="宋体" w:hint="eastAsia"/>
          <w:lang w:bidi="ar"/>
        </w:rPr>
        <w:t>为：煤化工产业</w:t>
      </w:r>
      <w:r>
        <w:rPr>
          <w:lang w:bidi="ar"/>
        </w:rPr>
        <w:t>PVA</w:t>
      </w:r>
      <w:r>
        <w:rPr>
          <w:rFonts w:ascii="宋体" w:hAnsi="宋体" w:cs="宋体" w:hint="eastAsia"/>
          <w:lang w:bidi="ar"/>
        </w:rPr>
        <w:t>项目、化工（硅基）新材料工业硅项目。</w:t>
      </w:r>
    </w:p>
    <w:p w14:paraId="36FD485E" w14:textId="77777777" w:rsidR="003E78AB" w:rsidRDefault="00010BF9">
      <w:pPr>
        <w:ind w:firstLine="480"/>
        <w:jc w:val="left"/>
      </w:pPr>
      <w:r>
        <w:rPr>
          <w:rFonts w:ascii="宋体" w:hAnsi="宋体" w:cs="宋体" w:hint="eastAsia"/>
          <w:lang w:bidi="ar"/>
        </w:rPr>
        <w:t>（</w:t>
      </w:r>
      <w:r>
        <w:rPr>
          <w:lang w:bidi="ar"/>
        </w:rPr>
        <w:t>4</w:t>
      </w:r>
      <w:r>
        <w:rPr>
          <w:rFonts w:ascii="宋体" w:hAnsi="宋体" w:cs="宋体" w:hint="eastAsia"/>
          <w:lang w:bidi="ar"/>
        </w:rPr>
        <w:t>）精细化工区</w:t>
      </w:r>
    </w:p>
    <w:p w14:paraId="2DCE11FF" w14:textId="77777777" w:rsidR="003E78AB" w:rsidRDefault="00010BF9">
      <w:pPr>
        <w:ind w:firstLine="480"/>
        <w:jc w:val="left"/>
      </w:pPr>
      <w:r>
        <w:rPr>
          <w:rFonts w:ascii="宋体" w:hAnsi="宋体" w:cs="宋体" w:hint="eastAsia"/>
          <w:lang w:bidi="ar"/>
        </w:rPr>
        <w:t>位于在建企业哈密中达生物科技有限公司、新疆路洋瑞航能源科技有限公司、哈密盛典科技有限责任公司所在片区。根据产业分布特点，主要集中布置煤制高端精细化工产品、低阶煤提质及副产物综合利用，积极发展医药、农药、染料、涂料、塑料等中间体，以及环境污染处理专业药剂、表面活性剂等专用化学品。</w:t>
      </w:r>
    </w:p>
    <w:p w14:paraId="559520ED" w14:textId="77777777" w:rsidR="003E78AB" w:rsidRDefault="00010BF9">
      <w:pPr>
        <w:ind w:firstLine="480"/>
        <w:jc w:val="left"/>
      </w:pPr>
      <w:r>
        <w:rPr>
          <w:rFonts w:ascii="宋体" w:hAnsi="宋体" w:cs="宋体" w:hint="eastAsia"/>
          <w:lang w:bidi="ar"/>
        </w:rPr>
        <w:t>（</w:t>
      </w:r>
      <w:r>
        <w:rPr>
          <w:lang w:bidi="ar"/>
        </w:rPr>
        <w:t>5</w:t>
      </w:r>
      <w:r>
        <w:rPr>
          <w:rFonts w:ascii="宋体" w:hAnsi="宋体" w:cs="宋体" w:hint="eastAsia"/>
          <w:lang w:bidi="ar"/>
        </w:rPr>
        <w:t>）天然气化工区</w:t>
      </w:r>
    </w:p>
    <w:p w14:paraId="551D1444" w14:textId="77777777" w:rsidR="003E78AB" w:rsidRDefault="00010BF9">
      <w:pPr>
        <w:ind w:firstLine="480"/>
        <w:jc w:val="left"/>
      </w:pPr>
      <w:r>
        <w:rPr>
          <w:rFonts w:ascii="宋体" w:hAnsi="宋体" w:cs="宋体" w:hint="eastAsia"/>
          <w:lang w:bidi="ar"/>
        </w:rPr>
        <w:t>位于在建企业哈密巨融能源燃气有限公司所在片区。根据产业分布特点，主要集中布置</w:t>
      </w:r>
      <w:r>
        <w:rPr>
          <w:lang w:bidi="ar"/>
        </w:rPr>
        <w:t>50</w:t>
      </w:r>
      <w:r>
        <w:rPr>
          <w:rFonts w:ascii="宋体" w:hAnsi="宋体" w:cs="宋体" w:hint="eastAsia"/>
          <w:lang w:bidi="ar"/>
        </w:rPr>
        <w:t>万吨</w:t>
      </w:r>
      <w:r>
        <w:rPr>
          <w:lang w:bidi="ar"/>
        </w:rPr>
        <w:t>/</w:t>
      </w:r>
      <w:r>
        <w:rPr>
          <w:rFonts w:ascii="宋体" w:hAnsi="宋体" w:cs="宋体" w:hint="eastAsia"/>
          <w:lang w:bidi="ar"/>
        </w:rPr>
        <w:t>年液化天然气工厂及配套设施建设项目。</w:t>
      </w:r>
    </w:p>
    <w:p w14:paraId="579F4B52" w14:textId="77777777" w:rsidR="003E78AB" w:rsidRDefault="00010BF9">
      <w:pPr>
        <w:ind w:firstLine="480"/>
        <w:jc w:val="left"/>
      </w:pPr>
      <w:r>
        <w:rPr>
          <w:rFonts w:ascii="宋体" w:hAnsi="宋体" w:cs="宋体" w:hint="eastAsia"/>
          <w:lang w:bidi="ar"/>
        </w:rPr>
        <w:t>本项目位于煤</w:t>
      </w:r>
      <w:r>
        <w:rPr>
          <w:rFonts w:ascii="宋体" w:hAnsi="宋体" w:cs="宋体" w:hint="eastAsia"/>
          <w:lang w:bidi="ar"/>
        </w:rPr>
        <w:t>化工产业区，产业分区见附图</w:t>
      </w:r>
      <w:r>
        <w:rPr>
          <w:rFonts w:ascii="宋体" w:hAnsi="宋体" w:cs="宋体" w:hint="eastAsia"/>
          <w:lang w:bidi="ar"/>
        </w:rPr>
        <w:t>11</w:t>
      </w:r>
      <w:r>
        <w:rPr>
          <w:rFonts w:ascii="宋体" w:hAnsi="宋体" w:cs="宋体" w:hint="eastAsia"/>
          <w:lang w:bidi="ar"/>
        </w:rPr>
        <w:t>。</w:t>
      </w:r>
    </w:p>
    <w:p w14:paraId="151961B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4.2.2.4</w:t>
      </w:r>
      <w:r>
        <w:rPr>
          <w:rFonts w:ascii="Times New Roman" w:hAnsi="Times New Roman" w:hint="eastAsia"/>
        </w:rPr>
        <w:t>用地分类</w:t>
      </w:r>
    </w:p>
    <w:p w14:paraId="09C70DB7" w14:textId="77777777" w:rsidR="003E78AB" w:rsidRDefault="00010BF9">
      <w:pPr>
        <w:pStyle w:val="af3"/>
        <w:spacing w:after="0" w:line="520" w:lineRule="atLeast"/>
        <w:ind w:firstLine="488"/>
        <w:rPr>
          <w:spacing w:val="-3"/>
        </w:rPr>
      </w:pPr>
      <w:r>
        <w:rPr>
          <w:spacing w:val="2"/>
        </w:rPr>
        <w:t>本规划土地使用性质分类和代码采用《国土空间调查、规划、用途管制用</w:t>
      </w:r>
      <w:r>
        <w:rPr>
          <w:spacing w:val="1"/>
        </w:rPr>
        <w:t>地用海分类指南（试行）》。哈密高新区化工产业集中区规划范围</w:t>
      </w:r>
      <w:r>
        <w:rPr>
          <w:rFonts w:eastAsia="Times New Roman"/>
          <w:spacing w:val="1"/>
        </w:rPr>
        <w:t>440.5723</w:t>
      </w:r>
      <w:r>
        <w:rPr>
          <w:spacing w:val="1"/>
        </w:rPr>
        <w:t>公</w:t>
      </w:r>
      <w:r>
        <w:rPr>
          <w:spacing w:val="-2"/>
        </w:rPr>
        <w:t>顷，建设用地中，工业用地面积</w:t>
      </w:r>
      <w:r>
        <w:rPr>
          <w:rFonts w:eastAsia="Times New Roman"/>
          <w:spacing w:val="-2"/>
        </w:rPr>
        <w:t>329hm</w:t>
      </w:r>
      <w:r>
        <w:rPr>
          <w:rFonts w:eastAsia="Times New Roman"/>
          <w:spacing w:val="-2"/>
          <w:position w:val="7"/>
          <w:sz w:val="15"/>
          <w:szCs w:val="15"/>
        </w:rPr>
        <w:t>2</w:t>
      </w:r>
      <w:r>
        <w:rPr>
          <w:spacing w:val="-2"/>
        </w:rPr>
        <w:t>，占城市建设用地面积</w:t>
      </w:r>
      <w:r>
        <w:rPr>
          <w:rFonts w:eastAsia="Times New Roman"/>
          <w:spacing w:val="-2"/>
        </w:rPr>
        <w:t>74.68%</w:t>
      </w:r>
      <w:r>
        <w:rPr>
          <w:spacing w:val="-2"/>
        </w:rPr>
        <w:t>；交通运</w:t>
      </w:r>
      <w:r>
        <w:rPr>
          <w:spacing w:val="-1"/>
        </w:rPr>
        <w:t>输用地面积</w:t>
      </w:r>
      <w:r>
        <w:rPr>
          <w:rFonts w:eastAsia="Times New Roman"/>
          <w:spacing w:val="-1"/>
        </w:rPr>
        <w:t>32.87hm</w:t>
      </w:r>
      <w:r>
        <w:rPr>
          <w:rFonts w:eastAsia="Times New Roman"/>
          <w:spacing w:val="-1"/>
          <w:position w:val="7"/>
          <w:sz w:val="15"/>
          <w:szCs w:val="15"/>
        </w:rPr>
        <w:t>2</w:t>
      </w:r>
      <w:r>
        <w:rPr>
          <w:spacing w:val="-1"/>
        </w:rPr>
        <w:t>，占城市建设用地面积</w:t>
      </w:r>
      <w:r>
        <w:rPr>
          <w:rFonts w:eastAsia="Times New Roman"/>
          <w:spacing w:val="-1"/>
        </w:rPr>
        <w:t>7.46%</w:t>
      </w:r>
      <w:r>
        <w:rPr>
          <w:spacing w:val="-1"/>
        </w:rPr>
        <w:t>；公用设施用地面积</w:t>
      </w:r>
      <w:r>
        <w:rPr>
          <w:rFonts w:eastAsia="Times New Roman"/>
          <w:spacing w:val="-1"/>
        </w:rPr>
        <w:t>9.37h</w:t>
      </w:r>
      <w:r>
        <w:rPr>
          <w:rFonts w:eastAsia="Times New Roman"/>
          <w:spacing w:val="-2"/>
        </w:rPr>
        <w:t>m</w:t>
      </w:r>
      <w:r>
        <w:rPr>
          <w:rFonts w:eastAsia="Times New Roman"/>
          <w:spacing w:val="-2"/>
          <w:position w:val="7"/>
          <w:sz w:val="15"/>
          <w:szCs w:val="15"/>
        </w:rPr>
        <w:t>2</w:t>
      </w:r>
      <w:r>
        <w:rPr>
          <w:spacing w:val="-3"/>
        </w:rPr>
        <w:t>（单独统计，不计入园区认定范围</w:t>
      </w:r>
      <w:r>
        <w:rPr>
          <w:spacing w:val="-23"/>
        </w:rPr>
        <w:t>），</w:t>
      </w:r>
      <w:r>
        <w:rPr>
          <w:spacing w:val="-3"/>
        </w:rPr>
        <w:t>绿地面积</w:t>
      </w:r>
      <w:r>
        <w:rPr>
          <w:rFonts w:eastAsia="Times New Roman"/>
          <w:spacing w:val="-3"/>
        </w:rPr>
        <w:t>78.70hm</w:t>
      </w:r>
      <w:r>
        <w:rPr>
          <w:rFonts w:eastAsia="Times New Roman"/>
          <w:spacing w:val="-3"/>
          <w:position w:val="7"/>
          <w:sz w:val="15"/>
          <w:szCs w:val="15"/>
        </w:rPr>
        <w:t>2</w:t>
      </w:r>
      <w:r>
        <w:rPr>
          <w:spacing w:val="-3"/>
        </w:rPr>
        <w:t>，占城市建设用地</w:t>
      </w:r>
      <w:r>
        <w:rPr>
          <w:spacing w:val="-4"/>
        </w:rPr>
        <w:t>面积</w:t>
      </w:r>
      <w:r>
        <w:rPr>
          <w:rFonts w:eastAsia="Times New Roman"/>
          <w:spacing w:val="-3"/>
        </w:rPr>
        <w:t>17.86%</w:t>
      </w:r>
      <w:r>
        <w:rPr>
          <w:spacing w:val="-3"/>
        </w:rPr>
        <w:t>。</w:t>
      </w:r>
    </w:p>
    <w:p w14:paraId="3465E399" w14:textId="77777777" w:rsidR="003E78AB" w:rsidRDefault="00010BF9">
      <w:pPr>
        <w:pStyle w:val="af3"/>
        <w:spacing w:after="0" w:line="520" w:lineRule="atLeast"/>
        <w:ind w:firstLine="468"/>
      </w:pPr>
      <w:r>
        <w:rPr>
          <w:rFonts w:hint="eastAsia"/>
          <w:spacing w:val="-3"/>
        </w:rPr>
        <w:t>本项目用地为三类工业用地，</w:t>
      </w:r>
      <w:r>
        <w:rPr>
          <w:spacing w:val="-3"/>
        </w:rPr>
        <w:t>化工区用地规划见</w:t>
      </w:r>
      <w:r>
        <w:rPr>
          <w:rFonts w:hint="eastAsia"/>
          <w:spacing w:val="-3"/>
        </w:rPr>
        <w:t>附图</w:t>
      </w:r>
      <w:r>
        <w:rPr>
          <w:rFonts w:hint="eastAsia"/>
          <w:spacing w:val="-3"/>
        </w:rPr>
        <w:t>12</w:t>
      </w:r>
      <w:r>
        <w:rPr>
          <w:spacing w:val="-3"/>
        </w:rPr>
        <w:t>。</w:t>
      </w:r>
    </w:p>
    <w:p w14:paraId="43D92E50" w14:textId="77777777" w:rsidR="003E78AB" w:rsidRDefault="00010BF9">
      <w:pPr>
        <w:pStyle w:val="a0"/>
        <w:ind w:left="425" w:hanging="425"/>
        <w:jc w:val="right"/>
        <w:rPr>
          <w:rFonts w:hint="default"/>
        </w:rPr>
      </w:pPr>
      <w:r>
        <w:t>化工产业集中区建设用地平衡表</w:t>
      </w:r>
      <w:r>
        <w:t xml:space="preserve">     </w:t>
      </w:r>
      <w:r>
        <w:t>单位：公顷、</w:t>
      </w:r>
      <w:r>
        <w:t>%</w:t>
      </w:r>
    </w:p>
    <w:tbl>
      <w:tblPr>
        <w:tblStyle w:val="TableNormal"/>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05"/>
        <w:gridCol w:w="1372"/>
        <w:gridCol w:w="777"/>
        <w:gridCol w:w="1295"/>
        <w:gridCol w:w="942"/>
        <w:gridCol w:w="1317"/>
        <w:gridCol w:w="779"/>
        <w:gridCol w:w="1116"/>
      </w:tblGrid>
      <w:tr w:rsidR="003E78AB" w14:paraId="1F64B1E3" w14:textId="77777777">
        <w:trPr>
          <w:trHeight w:val="336"/>
          <w:tblHeader/>
        </w:trPr>
        <w:tc>
          <w:tcPr>
            <w:tcW w:w="1250" w:type="pct"/>
            <w:gridSpan w:val="2"/>
            <w:vMerge w:val="restart"/>
            <w:tcBorders>
              <w:bottom w:val="nil"/>
            </w:tcBorders>
            <w:vAlign w:val="center"/>
          </w:tcPr>
          <w:p w14:paraId="7DD282B5" w14:textId="77777777" w:rsidR="003E78AB" w:rsidRDefault="00010BF9">
            <w:pPr>
              <w:spacing w:line="360" w:lineRule="exact"/>
              <w:ind w:firstLineChars="0" w:firstLine="0"/>
              <w:contextualSpacing/>
              <w:jc w:val="center"/>
              <w:rPr>
                <w:b/>
                <w:bCs/>
                <w:sz w:val="21"/>
                <w:szCs w:val="21"/>
              </w:rPr>
            </w:pPr>
            <w:r>
              <w:rPr>
                <w:b/>
                <w:bCs/>
                <w:sz w:val="21"/>
                <w:szCs w:val="21"/>
              </w:rPr>
              <w:t>一级</w:t>
            </w:r>
          </w:p>
        </w:tc>
        <w:tc>
          <w:tcPr>
            <w:tcW w:w="1248" w:type="pct"/>
            <w:gridSpan w:val="2"/>
            <w:vMerge w:val="restart"/>
            <w:tcBorders>
              <w:bottom w:val="nil"/>
            </w:tcBorders>
            <w:vAlign w:val="center"/>
          </w:tcPr>
          <w:p w14:paraId="0FED5D2E" w14:textId="77777777" w:rsidR="003E78AB" w:rsidRDefault="00010BF9">
            <w:pPr>
              <w:spacing w:line="360" w:lineRule="exact"/>
              <w:ind w:firstLineChars="0" w:firstLine="0"/>
              <w:contextualSpacing/>
              <w:jc w:val="center"/>
              <w:rPr>
                <w:b/>
                <w:bCs/>
                <w:sz w:val="21"/>
                <w:szCs w:val="21"/>
              </w:rPr>
            </w:pPr>
            <w:r>
              <w:rPr>
                <w:b/>
                <w:bCs/>
                <w:sz w:val="21"/>
                <w:szCs w:val="21"/>
              </w:rPr>
              <w:t>二级</w:t>
            </w:r>
          </w:p>
        </w:tc>
        <w:tc>
          <w:tcPr>
            <w:tcW w:w="1358" w:type="pct"/>
            <w:gridSpan w:val="2"/>
            <w:vMerge w:val="restart"/>
            <w:tcBorders>
              <w:bottom w:val="nil"/>
            </w:tcBorders>
            <w:vAlign w:val="center"/>
          </w:tcPr>
          <w:p w14:paraId="201C7844" w14:textId="77777777" w:rsidR="003E78AB" w:rsidRDefault="00010BF9">
            <w:pPr>
              <w:spacing w:line="360" w:lineRule="exact"/>
              <w:ind w:firstLineChars="0" w:firstLine="0"/>
              <w:contextualSpacing/>
              <w:jc w:val="center"/>
              <w:rPr>
                <w:b/>
                <w:bCs/>
                <w:sz w:val="21"/>
                <w:szCs w:val="21"/>
              </w:rPr>
            </w:pPr>
            <w:r>
              <w:rPr>
                <w:b/>
                <w:bCs/>
                <w:sz w:val="21"/>
                <w:szCs w:val="21"/>
              </w:rPr>
              <w:t>三级</w:t>
            </w:r>
          </w:p>
        </w:tc>
        <w:tc>
          <w:tcPr>
            <w:tcW w:w="1141" w:type="pct"/>
            <w:gridSpan w:val="2"/>
            <w:vAlign w:val="center"/>
          </w:tcPr>
          <w:p w14:paraId="7F3E9846" w14:textId="77777777" w:rsidR="003E78AB" w:rsidRDefault="00010BF9">
            <w:pPr>
              <w:spacing w:line="360" w:lineRule="exact"/>
              <w:ind w:firstLineChars="0" w:firstLine="0"/>
              <w:contextualSpacing/>
              <w:jc w:val="center"/>
              <w:rPr>
                <w:b/>
                <w:bCs/>
                <w:sz w:val="21"/>
                <w:szCs w:val="21"/>
              </w:rPr>
            </w:pPr>
            <w:r>
              <w:rPr>
                <w:b/>
                <w:bCs/>
                <w:sz w:val="21"/>
                <w:szCs w:val="21"/>
              </w:rPr>
              <w:t>规划目标年</w:t>
            </w:r>
          </w:p>
        </w:tc>
      </w:tr>
      <w:tr w:rsidR="003E78AB" w14:paraId="32058A24" w14:textId="77777777">
        <w:trPr>
          <w:trHeight w:val="332"/>
          <w:tblHeader/>
        </w:trPr>
        <w:tc>
          <w:tcPr>
            <w:tcW w:w="1250" w:type="pct"/>
            <w:gridSpan w:val="2"/>
            <w:vMerge/>
            <w:tcBorders>
              <w:top w:val="nil"/>
            </w:tcBorders>
            <w:vAlign w:val="center"/>
          </w:tcPr>
          <w:p w14:paraId="75092010" w14:textId="77777777" w:rsidR="003E78AB" w:rsidRDefault="003E78AB">
            <w:pPr>
              <w:spacing w:line="360" w:lineRule="exact"/>
              <w:ind w:firstLineChars="0" w:firstLine="0"/>
              <w:contextualSpacing/>
              <w:jc w:val="center"/>
              <w:rPr>
                <w:b/>
                <w:bCs/>
                <w:sz w:val="21"/>
                <w:szCs w:val="21"/>
              </w:rPr>
            </w:pPr>
          </w:p>
        </w:tc>
        <w:tc>
          <w:tcPr>
            <w:tcW w:w="1248" w:type="pct"/>
            <w:gridSpan w:val="2"/>
            <w:vMerge/>
            <w:tcBorders>
              <w:top w:val="nil"/>
            </w:tcBorders>
            <w:vAlign w:val="center"/>
          </w:tcPr>
          <w:p w14:paraId="7A1FF467" w14:textId="77777777" w:rsidR="003E78AB" w:rsidRDefault="003E78AB">
            <w:pPr>
              <w:spacing w:line="360" w:lineRule="exact"/>
              <w:ind w:firstLineChars="0" w:firstLine="0"/>
              <w:contextualSpacing/>
              <w:jc w:val="center"/>
              <w:rPr>
                <w:b/>
                <w:bCs/>
                <w:sz w:val="21"/>
                <w:szCs w:val="21"/>
              </w:rPr>
            </w:pPr>
          </w:p>
        </w:tc>
        <w:tc>
          <w:tcPr>
            <w:tcW w:w="1358" w:type="pct"/>
            <w:gridSpan w:val="2"/>
            <w:vMerge/>
            <w:tcBorders>
              <w:top w:val="nil"/>
            </w:tcBorders>
            <w:vAlign w:val="center"/>
          </w:tcPr>
          <w:p w14:paraId="36F01784" w14:textId="77777777" w:rsidR="003E78AB" w:rsidRDefault="003E78AB">
            <w:pPr>
              <w:spacing w:line="360" w:lineRule="exact"/>
              <w:ind w:firstLineChars="0" w:firstLine="0"/>
              <w:contextualSpacing/>
              <w:jc w:val="center"/>
              <w:rPr>
                <w:b/>
                <w:bCs/>
                <w:sz w:val="21"/>
                <w:szCs w:val="21"/>
              </w:rPr>
            </w:pPr>
          </w:p>
        </w:tc>
        <w:tc>
          <w:tcPr>
            <w:tcW w:w="469" w:type="pct"/>
            <w:vAlign w:val="center"/>
          </w:tcPr>
          <w:p w14:paraId="33C305C9" w14:textId="77777777" w:rsidR="003E78AB" w:rsidRDefault="00010BF9">
            <w:pPr>
              <w:spacing w:line="360" w:lineRule="exact"/>
              <w:ind w:firstLineChars="0" w:firstLine="0"/>
              <w:contextualSpacing/>
              <w:jc w:val="center"/>
              <w:rPr>
                <w:b/>
                <w:bCs/>
                <w:sz w:val="21"/>
                <w:szCs w:val="21"/>
              </w:rPr>
            </w:pPr>
            <w:r>
              <w:rPr>
                <w:b/>
                <w:bCs/>
                <w:sz w:val="21"/>
                <w:szCs w:val="21"/>
              </w:rPr>
              <w:t>面积</w:t>
            </w:r>
          </w:p>
        </w:tc>
        <w:tc>
          <w:tcPr>
            <w:tcW w:w="672" w:type="pct"/>
            <w:vAlign w:val="center"/>
          </w:tcPr>
          <w:p w14:paraId="5BC1B9E6" w14:textId="77777777" w:rsidR="003E78AB" w:rsidRDefault="00010BF9">
            <w:pPr>
              <w:spacing w:line="360" w:lineRule="exact"/>
              <w:ind w:firstLineChars="0" w:firstLine="0"/>
              <w:contextualSpacing/>
              <w:jc w:val="center"/>
              <w:rPr>
                <w:b/>
                <w:bCs/>
                <w:sz w:val="21"/>
                <w:szCs w:val="21"/>
              </w:rPr>
            </w:pPr>
            <w:r>
              <w:rPr>
                <w:b/>
                <w:bCs/>
                <w:sz w:val="21"/>
                <w:szCs w:val="21"/>
              </w:rPr>
              <w:t>比例</w:t>
            </w:r>
          </w:p>
        </w:tc>
      </w:tr>
      <w:tr w:rsidR="003E78AB" w14:paraId="0A0701FC" w14:textId="77777777">
        <w:trPr>
          <w:trHeight w:val="331"/>
        </w:trPr>
        <w:tc>
          <w:tcPr>
            <w:tcW w:w="424" w:type="pct"/>
            <w:vAlign w:val="center"/>
          </w:tcPr>
          <w:p w14:paraId="19915BE6" w14:textId="77777777" w:rsidR="003E78AB" w:rsidRDefault="00010BF9">
            <w:pPr>
              <w:spacing w:line="360" w:lineRule="exact"/>
              <w:ind w:firstLineChars="0" w:firstLine="0"/>
              <w:contextualSpacing/>
              <w:jc w:val="center"/>
              <w:rPr>
                <w:sz w:val="21"/>
                <w:szCs w:val="21"/>
              </w:rPr>
            </w:pPr>
            <w:r>
              <w:rPr>
                <w:sz w:val="21"/>
                <w:szCs w:val="21"/>
              </w:rPr>
              <w:t>代码</w:t>
            </w:r>
          </w:p>
        </w:tc>
        <w:tc>
          <w:tcPr>
            <w:tcW w:w="826" w:type="pct"/>
            <w:vAlign w:val="center"/>
          </w:tcPr>
          <w:p w14:paraId="787F51B4" w14:textId="77777777" w:rsidR="003E78AB" w:rsidRDefault="00010BF9">
            <w:pPr>
              <w:spacing w:line="360" w:lineRule="exact"/>
              <w:ind w:firstLineChars="0" w:firstLine="0"/>
              <w:contextualSpacing/>
              <w:jc w:val="center"/>
              <w:rPr>
                <w:sz w:val="21"/>
                <w:szCs w:val="21"/>
              </w:rPr>
            </w:pPr>
            <w:r>
              <w:rPr>
                <w:sz w:val="21"/>
                <w:szCs w:val="21"/>
              </w:rPr>
              <w:t>名称</w:t>
            </w:r>
          </w:p>
        </w:tc>
        <w:tc>
          <w:tcPr>
            <w:tcW w:w="468" w:type="pct"/>
            <w:vAlign w:val="center"/>
          </w:tcPr>
          <w:p w14:paraId="476E6DB6" w14:textId="77777777" w:rsidR="003E78AB" w:rsidRDefault="00010BF9">
            <w:pPr>
              <w:spacing w:line="360" w:lineRule="exact"/>
              <w:ind w:firstLineChars="0" w:firstLine="0"/>
              <w:contextualSpacing/>
              <w:jc w:val="center"/>
              <w:rPr>
                <w:sz w:val="21"/>
                <w:szCs w:val="21"/>
              </w:rPr>
            </w:pPr>
            <w:r>
              <w:rPr>
                <w:sz w:val="21"/>
                <w:szCs w:val="21"/>
              </w:rPr>
              <w:t>代码</w:t>
            </w:r>
          </w:p>
        </w:tc>
        <w:tc>
          <w:tcPr>
            <w:tcW w:w="779" w:type="pct"/>
            <w:vAlign w:val="center"/>
          </w:tcPr>
          <w:p w14:paraId="7273BAC0" w14:textId="77777777" w:rsidR="003E78AB" w:rsidRDefault="00010BF9">
            <w:pPr>
              <w:spacing w:line="360" w:lineRule="exact"/>
              <w:ind w:firstLineChars="0" w:firstLine="0"/>
              <w:contextualSpacing/>
              <w:jc w:val="center"/>
              <w:rPr>
                <w:sz w:val="21"/>
                <w:szCs w:val="21"/>
              </w:rPr>
            </w:pPr>
            <w:r>
              <w:rPr>
                <w:sz w:val="21"/>
                <w:szCs w:val="21"/>
              </w:rPr>
              <w:t>名称</w:t>
            </w:r>
          </w:p>
        </w:tc>
        <w:tc>
          <w:tcPr>
            <w:tcW w:w="567" w:type="pct"/>
            <w:vAlign w:val="center"/>
          </w:tcPr>
          <w:p w14:paraId="5CD05D92" w14:textId="77777777" w:rsidR="003E78AB" w:rsidRDefault="00010BF9">
            <w:pPr>
              <w:spacing w:line="360" w:lineRule="exact"/>
              <w:ind w:firstLineChars="0" w:firstLine="0"/>
              <w:contextualSpacing/>
              <w:jc w:val="center"/>
              <w:rPr>
                <w:sz w:val="21"/>
                <w:szCs w:val="21"/>
              </w:rPr>
            </w:pPr>
            <w:r>
              <w:rPr>
                <w:sz w:val="21"/>
                <w:szCs w:val="21"/>
              </w:rPr>
              <w:t>代码</w:t>
            </w:r>
          </w:p>
        </w:tc>
        <w:tc>
          <w:tcPr>
            <w:tcW w:w="791" w:type="pct"/>
            <w:vAlign w:val="center"/>
          </w:tcPr>
          <w:p w14:paraId="40A293C3" w14:textId="77777777" w:rsidR="003E78AB" w:rsidRDefault="00010BF9">
            <w:pPr>
              <w:spacing w:line="360" w:lineRule="exact"/>
              <w:ind w:firstLineChars="0" w:firstLine="0"/>
              <w:contextualSpacing/>
              <w:jc w:val="center"/>
              <w:rPr>
                <w:sz w:val="21"/>
                <w:szCs w:val="21"/>
              </w:rPr>
            </w:pPr>
            <w:r>
              <w:rPr>
                <w:sz w:val="21"/>
                <w:szCs w:val="21"/>
              </w:rPr>
              <w:t>名称</w:t>
            </w:r>
          </w:p>
        </w:tc>
        <w:tc>
          <w:tcPr>
            <w:tcW w:w="469" w:type="pct"/>
            <w:vAlign w:val="center"/>
          </w:tcPr>
          <w:p w14:paraId="380B84FE" w14:textId="77777777" w:rsidR="003E78AB" w:rsidRDefault="003E78AB">
            <w:pPr>
              <w:spacing w:line="360" w:lineRule="exact"/>
              <w:ind w:firstLineChars="0" w:firstLine="0"/>
              <w:contextualSpacing/>
              <w:jc w:val="center"/>
              <w:rPr>
                <w:sz w:val="21"/>
                <w:szCs w:val="21"/>
              </w:rPr>
            </w:pPr>
          </w:p>
        </w:tc>
        <w:tc>
          <w:tcPr>
            <w:tcW w:w="672" w:type="pct"/>
            <w:vAlign w:val="center"/>
          </w:tcPr>
          <w:p w14:paraId="2CF9E65B" w14:textId="77777777" w:rsidR="003E78AB" w:rsidRDefault="003E78AB">
            <w:pPr>
              <w:spacing w:line="360" w:lineRule="exact"/>
              <w:ind w:firstLineChars="0" w:firstLine="0"/>
              <w:contextualSpacing/>
              <w:jc w:val="center"/>
              <w:rPr>
                <w:sz w:val="21"/>
                <w:szCs w:val="21"/>
              </w:rPr>
            </w:pPr>
          </w:p>
        </w:tc>
      </w:tr>
      <w:tr w:rsidR="003E78AB" w14:paraId="62CFE480" w14:textId="77777777">
        <w:trPr>
          <w:trHeight w:val="331"/>
        </w:trPr>
        <w:tc>
          <w:tcPr>
            <w:tcW w:w="424" w:type="pct"/>
            <w:vAlign w:val="center"/>
          </w:tcPr>
          <w:p w14:paraId="49E3DA9E" w14:textId="77777777" w:rsidR="003E78AB" w:rsidRDefault="00010BF9">
            <w:pPr>
              <w:spacing w:line="360" w:lineRule="exact"/>
              <w:ind w:firstLineChars="0" w:firstLine="0"/>
              <w:contextualSpacing/>
              <w:jc w:val="center"/>
              <w:rPr>
                <w:sz w:val="21"/>
                <w:szCs w:val="21"/>
              </w:rPr>
            </w:pPr>
            <w:r>
              <w:rPr>
                <w:sz w:val="21"/>
                <w:szCs w:val="21"/>
              </w:rPr>
              <w:t>10</w:t>
            </w:r>
          </w:p>
        </w:tc>
        <w:tc>
          <w:tcPr>
            <w:tcW w:w="826" w:type="pct"/>
            <w:vAlign w:val="center"/>
          </w:tcPr>
          <w:p w14:paraId="4546B079" w14:textId="77777777" w:rsidR="003E78AB" w:rsidRDefault="00010BF9">
            <w:pPr>
              <w:spacing w:line="360" w:lineRule="exact"/>
              <w:ind w:firstLineChars="0" w:firstLine="0"/>
              <w:contextualSpacing/>
              <w:jc w:val="center"/>
              <w:rPr>
                <w:sz w:val="21"/>
                <w:szCs w:val="21"/>
              </w:rPr>
            </w:pPr>
            <w:r>
              <w:rPr>
                <w:sz w:val="21"/>
                <w:szCs w:val="21"/>
              </w:rPr>
              <w:t>工矿用地</w:t>
            </w:r>
          </w:p>
        </w:tc>
        <w:tc>
          <w:tcPr>
            <w:tcW w:w="468" w:type="pct"/>
            <w:vAlign w:val="center"/>
          </w:tcPr>
          <w:p w14:paraId="43ECD9F7" w14:textId="77777777" w:rsidR="003E78AB" w:rsidRDefault="00010BF9">
            <w:pPr>
              <w:spacing w:line="360" w:lineRule="exact"/>
              <w:ind w:firstLineChars="0" w:firstLine="0"/>
              <w:contextualSpacing/>
              <w:jc w:val="center"/>
              <w:rPr>
                <w:sz w:val="21"/>
                <w:szCs w:val="21"/>
              </w:rPr>
            </w:pPr>
            <w:r>
              <w:rPr>
                <w:sz w:val="21"/>
                <w:szCs w:val="21"/>
              </w:rPr>
              <w:t>1001</w:t>
            </w:r>
          </w:p>
        </w:tc>
        <w:tc>
          <w:tcPr>
            <w:tcW w:w="779" w:type="pct"/>
            <w:vAlign w:val="center"/>
          </w:tcPr>
          <w:p w14:paraId="7072A18F" w14:textId="77777777" w:rsidR="003E78AB" w:rsidRDefault="00010BF9">
            <w:pPr>
              <w:spacing w:line="360" w:lineRule="exact"/>
              <w:ind w:firstLineChars="0" w:firstLine="0"/>
              <w:contextualSpacing/>
              <w:jc w:val="center"/>
              <w:rPr>
                <w:sz w:val="21"/>
                <w:szCs w:val="21"/>
              </w:rPr>
            </w:pPr>
            <w:r>
              <w:rPr>
                <w:sz w:val="21"/>
                <w:szCs w:val="21"/>
              </w:rPr>
              <w:t>工业用地</w:t>
            </w:r>
          </w:p>
        </w:tc>
        <w:tc>
          <w:tcPr>
            <w:tcW w:w="567" w:type="pct"/>
            <w:vAlign w:val="center"/>
          </w:tcPr>
          <w:p w14:paraId="78ACDA11" w14:textId="77777777" w:rsidR="003E78AB" w:rsidRDefault="00010BF9">
            <w:pPr>
              <w:spacing w:line="360" w:lineRule="exact"/>
              <w:ind w:firstLineChars="0" w:firstLine="0"/>
              <w:contextualSpacing/>
              <w:jc w:val="center"/>
              <w:rPr>
                <w:sz w:val="21"/>
                <w:szCs w:val="21"/>
              </w:rPr>
            </w:pPr>
            <w:r>
              <w:rPr>
                <w:sz w:val="21"/>
                <w:szCs w:val="21"/>
              </w:rPr>
              <w:t>100103</w:t>
            </w:r>
          </w:p>
        </w:tc>
        <w:tc>
          <w:tcPr>
            <w:tcW w:w="791" w:type="pct"/>
            <w:vAlign w:val="center"/>
          </w:tcPr>
          <w:p w14:paraId="1A36A667" w14:textId="77777777" w:rsidR="003E78AB" w:rsidRDefault="00010BF9">
            <w:pPr>
              <w:spacing w:line="360" w:lineRule="exact"/>
              <w:ind w:firstLineChars="0" w:firstLine="0"/>
              <w:contextualSpacing/>
              <w:jc w:val="center"/>
              <w:rPr>
                <w:sz w:val="21"/>
                <w:szCs w:val="21"/>
              </w:rPr>
            </w:pPr>
            <w:r>
              <w:rPr>
                <w:sz w:val="21"/>
                <w:szCs w:val="21"/>
              </w:rPr>
              <w:t>三类工业用地</w:t>
            </w:r>
          </w:p>
        </w:tc>
        <w:tc>
          <w:tcPr>
            <w:tcW w:w="469" w:type="pct"/>
            <w:vAlign w:val="center"/>
          </w:tcPr>
          <w:p w14:paraId="3D9A8A5F" w14:textId="77777777" w:rsidR="003E78AB" w:rsidRDefault="00010BF9">
            <w:pPr>
              <w:spacing w:line="360" w:lineRule="exact"/>
              <w:ind w:firstLineChars="0" w:firstLine="0"/>
              <w:contextualSpacing/>
              <w:jc w:val="center"/>
              <w:rPr>
                <w:sz w:val="21"/>
                <w:szCs w:val="21"/>
              </w:rPr>
            </w:pPr>
            <w:r>
              <w:rPr>
                <w:sz w:val="21"/>
                <w:szCs w:val="21"/>
              </w:rPr>
              <w:t>329.00</w:t>
            </w:r>
          </w:p>
        </w:tc>
        <w:tc>
          <w:tcPr>
            <w:tcW w:w="672" w:type="pct"/>
            <w:vAlign w:val="center"/>
          </w:tcPr>
          <w:p w14:paraId="6CBB26E4" w14:textId="77777777" w:rsidR="003E78AB" w:rsidRDefault="00010BF9">
            <w:pPr>
              <w:spacing w:line="360" w:lineRule="exact"/>
              <w:ind w:firstLineChars="0" w:firstLine="0"/>
              <w:contextualSpacing/>
              <w:jc w:val="center"/>
              <w:rPr>
                <w:sz w:val="21"/>
                <w:szCs w:val="21"/>
              </w:rPr>
            </w:pPr>
            <w:r>
              <w:rPr>
                <w:sz w:val="21"/>
                <w:szCs w:val="21"/>
              </w:rPr>
              <w:t>74.68%</w:t>
            </w:r>
          </w:p>
        </w:tc>
      </w:tr>
      <w:tr w:rsidR="003E78AB" w14:paraId="61FBB91E" w14:textId="77777777">
        <w:trPr>
          <w:trHeight w:val="332"/>
        </w:trPr>
        <w:tc>
          <w:tcPr>
            <w:tcW w:w="424" w:type="pct"/>
            <w:vMerge w:val="restart"/>
            <w:tcBorders>
              <w:bottom w:val="nil"/>
            </w:tcBorders>
            <w:vAlign w:val="center"/>
          </w:tcPr>
          <w:p w14:paraId="5C7DDD16" w14:textId="77777777" w:rsidR="003E78AB" w:rsidRDefault="00010BF9">
            <w:pPr>
              <w:spacing w:line="360" w:lineRule="exact"/>
              <w:ind w:firstLineChars="0" w:firstLine="0"/>
              <w:contextualSpacing/>
              <w:jc w:val="center"/>
              <w:rPr>
                <w:sz w:val="21"/>
                <w:szCs w:val="21"/>
              </w:rPr>
            </w:pPr>
            <w:r>
              <w:rPr>
                <w:sz w:val="21"/>
                <w:szCs w:val="21"/>
              </w:rPr>
              <w:t>12</w:t>
            </w:r>
          </w:p>
        </w:tc>
        <w:tc>
          <w:tcPr>
            <w:tcW w:w="826" w:type="pct"/>
            <w:vMerge w:val="restart"/>
            <w:tcBorders>
              <w:bottom w:val="nil"/>
            </w:tcBorders>
            <w:vAlign w:val="center"/>
          </w:tcPr>
          <w:p w14:paraId="639785FB" w14:textId="77777777" w:rsidR="003E78AB" w:rsidRDefault="00010BF9">
            <w:pPr>
              <w:spacing w:line="360" w:lineRule="exact"/>
              <w:ind w:firstLineChars="0" w:firstLine="0"/>
              <w:contextualSpacing/>
              <w:jc w:val="center"/>
              <w:rPr>
                <w:sz w:val="21"/>
                <w:szCs w:val="21"/>
              </w:rPr>
            </w:pPr>
            <w:r>
              <w:rPr>
                <w:sz w:val="21"/>
                <w:szCs w:val="21"/>
              </w:rPr>
              <w:t>交通运输用地</w:t>
            </w:r>
          </w:p>
        </w:tc>
        <w:tc>
          <w:tcPr>
            <w:tcW w:w="468" w:type="pct"/>
            <w:vAlign w:val="center"/>
          </w:tcPr>
          <w:p w14:paraId="46FBEB17" w14:textId="77777777" w:rsidR="003E78AB" w:rsidRDefault="00010BF9">
            <w:pPr>
              <w:spacing w:line="360" w:lineRule="exact"/>
              <w:ind w:firstLineChars="0" w:firstLine="0"/>
              <w:contextualSpacing/>
              <w:jc w:val="center"/>
              <w:rPr>
                <w:sz w:val="21"/>
                <w:szCs w:val="21"/>
              </w:rPr>
            </w:pPr>
            <w:r>
              <w:rPr>
                <w:sz w:val="21"/>
                <w:szCs w:val="21"/>
              </w:rPr>
              <w:t>1207</w:t>
            </w:r>
          </w:p>
        </w:tc>
        <w:tc>
          <w:tcPr>
            <w:tcW w:w="779" w:type="pct"/>
            <w:vAlign w:val="center"/>
          </w:tcPr>
          <w:p w14:paraId="4976A354" w14:textId="77777777" w:rsidR="003E78AB" w:rsidRDefault="00010BF9">
            <w:pPr>
              <w:spacing w:line="360" w:lineRule="exact"/>
              <w:ind w:firstLineChars="0" w:firstLine="0"/>
              <w:contextualSpacing/>
              <w:jc w:val="center"/>
              <w:rPr>
                <w:sz w:val="21"/>
                <w:szCs w:val="21"/>
              </w:rPr>
            </w:pPr>
            <w:r>
              <w:rPr>
                <w:sz w:val="21"/>
                <w:szCs w:val="21"/>
              </w:rPr>
              <w:t>城镇道路用地</w:t>
            </w:r>
          </w:p>
        </w:tc>
        <w:tc>
          <w:tcPr>
            <w:tcW w:w="567" w:type="pct"/>
            <w:vAlign w:val="center"/>
          </w:tcPr>
          <w:p w14:paraId="67649C6A" w14:textId="77777777" w:rsidR="003E78AB" w:rsidRDefault="003E78AB">
            <w:pPr>
              <w:spacing w:line="360" w:lineRule="exact"/>
              <w:ind w:firstLineChars="0" w:firstLine="0"/>
              <w:contextualSpacing/>
              <w:jc w:val="center"/>
              <w:rPr>
                <w:sz w:val="21"/>
                <w:szCs w:val="21"/>
              </w:rPr>
            </w:pPr>
          </w:p>
        </w:tc>
        <w:tc>
          <w:tcPr>
            <w:tcW w:w="791" w:type="pct"/>
            <w:vAlign w:val="center"/>
          </w:tcPr>
          <w:p w14:paraId="19D1729D" w14:textId="77777777" w:rsidR="003E78AB" w:rsidRDefault="003E78AB">
            <w:pPr>
              <w:spacing w:line="360" w:lineRule="exact"/>
              <w:ind w:firstLineChars="0" w:firstLine="0"/>
              <w:contextualSpacing/>
              <w:jc w:val="center"/>
              <w:rPr>
                <w:sz w:val="21"/>
                <w:szCs w:val="21"/>
              </w:rPr>
            </w:pPr>
          </w:p>
        </w:tc>
        <w:tc>
          <w:tcPr>
            <w:tcW w:w="469" w:type="pct"/>
            <w:vAlign w:val="center"/>
          </w:tcPr>
          <w:p w14:paraId="1326BE4A" w14:textId="77777777" w:rsidR="003E78AB" w:rsidRDefault="00010BF9">
            <w:pPr>
              <w:spacing w:line="360" w:lineRule="exact"/>
              <w:ind w:firstLineChars="0" w:firstLine="0"/>
              <w:contextualSpacing/>
              <w:jc w:val="center"/>
              <w:rPr>
                <w:sz w:val="21"/>
                <w:szCs w:val="21"/>
              </w:rPr>
            </w:pPr>
            <w:r>
              <w:rPr>
                <w:sz w:val="21"/>
                <w:szCs w:val="21"/>
              </w:rPr>
              <w:t>32.87</w:t>
            </w:r>
          </w:p>
        </w:tc>
        <w:tc>
          <w:tcPr>
            <w:tcW w:w="672" w:type="pct"/>
            <w:vAlign w:val="center"/>
          </w:tcPr>
          <w:p w14:paraId="505EDAC6" w14:textId="77777777" w:rsidR="003E78AB" w:rsidRDefault="00010BF9">
            <w:pPr>
              <w:spacing w:line="360" w:lineRule="exact"/>
              <w:ind w:firstLineChars="0" w:firstLine="0"/>
              <w:contextualSpacing/>
              <w:jc w:val="center"/>
              <w:rPr>
                <w:sz w:val="21"/>
                <w:szCs w:val="21"/>
              </w:rPr>
            </w:pPr>
            <w:r>
              <w:rPr>
                <w:sz w:val="21"/>
                <w:szCs w:val="21"/>
              </w:rPr>
              <w:t>7.46%</w:t>
            </w:r>
          </w:p>
        </w:tc>
      </w:tr>
      <w:tr w:rsidR="003E78AB" w14:paraId="0515D252" w14:textId="77777777">
        <w:trPr>
          <w:trHeight w:val="332"/>
        </w:trPr>
        <w:tc>
          <w:tcPr>
            <w:tcW w:w="424" w:type="pct"/>
            <w:vMerge/>
            <w:tcBorders>
              <w:top w:val="nil"/>
            </w:tcBorders>
            <w:vAlign w:val="center"/>
          </w:tcPr>
          <w:p w14:paraId="10F98FEA" w14:textId="77777777" w:rsidR="003E78AB" w:rsidRDefault="003E78AB">
            <w:pPr>
              <w:spacing w:line="360" w:lineRule="exact"/>
              <w:ind w:firstLineChars="0" w:firstLine="0"/>
              <w:contextualSpacing/>
              <w:jc w:val="center"/>
              <w:rPr>
                <w:sz w:val="21"/>
                <w:szCs w:val="21"/>
              </w:rPr>
            </w:pPr>
          </w:p>
        </w:tc>
        <w:tc>
          <w:tcPr>
            <w:tcW w:w="826" w:type="pct"/>
            <w:vMerge/>
            <w:tcBorders>
              <w:top w:val="nil"/>
            </w:tcBorders>
            <w:vAlign w:val="center"/>
          </w:tcPr>
          <w:p w14:paraId="5112B995" w14:textId="77777777" w:rsidR="003E78AB" w:rsidRDefault="003E78AB">
            <w:pPr>
              <w:spacing w:line="360" w:lineRule="exact"/>
              <w:ind w:firstLineChars="0" w:firstLine="0"/>
              <w:contextualSpacing/>
              <w:jc w:val="center"/>
              <w:rPr>
                <w:sz w:val="21"/>
                <w:szCs w:val="21"/>
              </w:rPr>
            </w:pPr>
          </w:p>
        </w:tc>
        <w:tc>
          <w:tcPr>
            <w:tcW w:w="468" w:type="pct"/>
            <w:vAlign w:val="center"/>
          </w:tcPr>
          <w:p w14:paraId="56665E19" w14:textId="77777777" w:rsidR="003E78AB" w:rsidRDefault="00010BF9">
            <w:pPr>
              <w:spacing w:line="360" w:lineRule="exact"/>
              <w:ind w:firstLineChars="0" w:firstLine="0"/>
              <w:contextualSpacing/>
              <w:jc w:val="center"/>
              <w:rPr>
                <w:sz w:val="21"/>
                <w:szCs w:val="21"/>
              </w:rPr>
            </w:pPr>
            <w:r>
              <w:rPr>
                <w:sz w:val="21"/>
                <w:szCs w:val="21"/>
              </w:rPr>
              <w:t>1208</w:t>
            </w:r>
          </w:p>
        </w:tc>
        <w:tc>
          <w:tcPr>
            <w:tcW w:w="779" w:type="pct"/>
            <w:vAlign w:val="center"/>
          </w:tcPr>
          <w:p w14:paraId="3034BE2C" w14:textId="77777777" w:rsidR="003E78AB" w:rsidRDefault="00010BF9">
            <w:pPr>
              <w:spacing w:line="360" w:lineRule="exact"/>
              <w:ind w:firstLineChars="0" w:firstLine="0"/>
              <w:contextualSpacing/>
              <w:jc w:val="center"/>
              <w:rPr>
                <w:sz w:val="21"/>
                <w:szCs w:val="21"/>
              </w:rPr>
            </w:pPr>
            <w:r>
              <w:rPr>
                <w:sz w:val="21"/>
                <w:szCs w:val="21"/>
              </w:rPr>
              <w:t>交通站场用地</w:t>
            </w:r>
          </w:p>
        </w:tc>
        <w:tc>
          <w:tcPr>
            <w:tcW w:w="567" w:type="pct"/>
            <w:vAlign w:val="center"/>
          </w:tcPr>
          <w:p w14:paraId="727076B2" w14:textId="77777777" w:rsidR="003E78AB" w:rsidRDefault="003E78AB">
            <w:pPr>
              <w:spacing w:line="360" w:lineRule="exact"/>
              <w:ind w:firstLineChars="0" w:firstLine="0"/>
              <w:contextualSpacing/>
              <w:jc w:val="center"/>
              <w:rPr>
                <w:sz w:val="21"/>
                <w:szCs w:val="21"/>
              </w:rPr>
            </w:pPr>
          </w:p>
        </w:tc>
        <w:tc>
          <w:tcPr>
            <w:tcW w:w="791" w:type="pct"/>
            <w:vAlign w:val="center"/>
          </w:tcPr>
          <w:p w14:paraId="5F868D43" w14:textId="77777777" w:rsidR="003E78AB" w:rsidRDefault="00010BF9">
            <w:pPr>
              <w:spacing w:line="360" w:lineRule="exact"/>
              <w:ind w:firstLineChars="0" w:firstLine="0"/>
              <w:contextualSpacing/>
              <w:jc w:val="center"/>
              <w:rPr>
                <w:sz w:val="21"/>
                <w:szCs w:val="21"/>
              </w:rPr>
            </w:pPr>
            <w:r>
              <w:rPr>
                <w:sz w:val="21"/>
                <w:szCs w:val="21"/>
              </w:rPr>
              <w:t>危化品停车场</w:t>
            </w:r>
          </w:p>
        </w:tc>
        <w:tc>
          <w:tcPr>
            <w:tcW w:w="469" w:type="pct"/>
            <w:vAlign w:val="center"/>
          </w:tcPr>
          <w:p w14:paraId="47E63442" w14:textId="77777777" w:rsidR="003E78AB" w:rsidRDefault="00010BF9">
            <w:pPr>
              <w:spacing w:line="360" w:lineRule="exact"/>
              <w:ind w:firstLineChars="0" w:firstLine="0"/>
              <w:contextualSpacing/>
              <w:jc w:val="center"/>
              <w:rPr>
                <w:sz w:val="21"/>
                <w:szCs w:val="21"/>
              </w:rPr>
            </w:pPr>
            <w:r>
              <w:rPr>
                <w:sz w:val="21"/>
                <w:szCs w:val="21"/>
              </w:rPr>
              <w:t>7.90</w:t>
            </w:r>
          </w:p>
        </w:tc>
        <w:tc>
          <w:tcPr>
            <w:tcW w:w="672" w:type="pct"/>
            <w:vMerge w:val="restart"/>
            <w:tcBorders>
              <w:bottom w:val="nil"/>
            </w:tcBorders>
            <w:vAlign w:val="center"/>
          </w:tcPr>
          <w:p w14:paraId="656F978C" w14:textId="77777777" w:rsidR="003E78AB" w:rsidRDefault="00010BF9">
            <w:pPr>
              <w:spacing w:line="360" w:lineRule="exact"/>
              <w:ind w:firstLineChars="0" w:firstLine="0"/>
              <w:contextualSpacing/>
              <w:jc w:val="center"/>
              <w:rPr>
                <w:sz w:val="21"/>
                <w:szCs w:val="21"/>
              </w:rPr>
            </w:pPr>
            <w:r>
              <w:rPr>
                <w:sz w:val="21"/>
                <w:szCs w:val="21"/>
              </w:rPr>
              <w:t>单独统计，不计入园区认定范围</w:t>
            </w:r>
          </w:p>
        </w:tc>
      </w:tr>
      <w:tr w:rsidR="003E78AB" w14:paraId="7F6FF09A" w14:textId="77777777">
        <w:trPr>
          <w:trHeight w:val="331"/>
        </w:trPr>
        <w:tc>
          <w:tcPr>
            <w:tcW w:w="424" w:type="pct"/>
            <w:vMerge w:val="restart"/>
            <w:tcBorders>
              <w:bottom w:val="nil"/>
            </w:tcBorders>
            <w:vAlign w:val="center"/>
          </w:tcPr>
          <w:p w14:paraId="31323BF4" w14:textId="77777777" w:rsidR="003E78AB" w:rsidRDefault="00010BF9">
            <w:pPr>
              <w:spacing w:line="360" w:lineRule="exact"/>
              <w:ind w:firstLineChars="0" w:firstLine="0"/>
              <w:contextualSpacing/>
              <w:jc w:val="center"/>
              <w:rPr>
                <w:sz w:val="21"/>
                <w:szCs w:val="21"/>
              </w:rPr>
            </w:pPr>
            <w:r>
              <w:rPr>
                <w:sz w:val="21"/>
                <w:szCs w:val="21"/>
              </w:rPr>
              <w:t>13</w:t>
            </w:r>
          </w:p>
        </w:tc>
        <w:tc>
          <w:tcPr>
            <w:tcW w:w="826" w:type="pct"/>
            <w:vMerge w:val="restart"/>
            <w:tcBorders>
              <w:bottom w:val="nil"/>
            </w:tcBorders>
            <w:vAlign w:val="center"/>
          </w:tcPr>
          <w:p w14:paraId="6F32C0E7" w14:textId="77777777" w:rsidR="003E78AB" w:rsidRDefault="00010BF9">
            <w:pPr>
              <w:spacing w:line="360" w:lineRule="exact"/>
              <w:ind w:firstLineChars="0" w:firstLine="0"/>
              <w:contextualSpacing/>
              <w:jc w:val="center"/>
              <w:rPr>
                <w:sz w:val="21"/>
                <w:szCs w:val="21"/>
              </w:rPr>
            </w:pPr>
            <w:r>
              <w:rPr>
                <w:sz w:val="21"/>
                <w:szCs w:val="21"/>
              </w:rPr>
              <w:t>公用设施用地</w:t>
            </w:r>
          </w:p>
        </w:tc>
        <w:tc>
          <w:tcPr>
            <w:tcW w:w="468" w:type="pct"/>
            <w:vAlign w:val="center"/>
          </w:tcPr>
          <w:p w14:paraId="091F3FC7" w14:textId="77777777" w:rsidR="003E78AB" w:rsidRDefault="00010BF9">
            <w:pPr>
              <w:spacing w:line="360" w:lineRule="exact"/>
              <w:ind w:firstLineChars="0" w:firstLine="0"/>
              <w:contextualSpacing/>
              <w:jc w:val="center"/>
              <w:rPr>
                <w:sz w:val="21"/>
                <w:szCs w:val="21"/>
              </w:rPr>
            </w:pPr>
            <w:r>
              <w:rPr>
                <w:sz w:val="21"/>
                <w:szCs w:val="21"/>
              </w:rPr>
              <w:t>1305</w:t>
            </w:r>
          </w:p>
        </w:tc>
        <w:tc>
          <w:tcPr>
            <w:tcW w:w="779" w:type="pct"/>
            <w:vAlign w:val="center"/>
          </w:tcPr>
          <w:p w14:paraId="0EDE7177" w14:textId="77777777" w:rsidR="003E78AB" w:rsidRDefault="00010BF9">
            <w:pPr>
              <w:spacing w:line="360" w:lineRule="exact"/>
              <w:ind w:firstLineChars="0" w:firstLine="0"/>
              <w:contextualSpacing/>
              <w:jc w:val="center"/>
              <w:rPr>
                <w:sz w:val="21"/>
                <w:szCs w:val="21"/>
              </w:rPr>
            </w:pPr>
            <w:r>
              <w:rPr>
                <w:sz w:val="21"/>
                <w:szCs w:val="21"/>
              </w:rPr>
              <w:t>供热用地</w:t>
            </w:r>
          </w:p>
        </w:tc>
        <w:tc>
          <w:tcPr>
            <w:tcW w:w="567" w:type="pct"/>
            <w:vAlign w:val="center"/>
          </w:tcPr>
          <w:p w14:paraId="06B3903E" w14:textId="77777777" w:rsidR="003E78AB" w:rsidRDefault="003E78AB">
            <w:pPr>
              <w:spacing w:line="360" w:lineRule="exact"/>
              <w:ind w:firstLineChars="0" w:firstLine="0"/>
              <w:contextualSpacing/>
              <w:jc w:val="center"/>
              <w:rPr>
                <w:sz w:val="21"/>
                <w:szCs w:val="21"/>
              </w:rPr>
            </w:pPr>
          </w:p>
        </w:tc>
        <w:tc>
          <w:tcPr>
            <w:tcW w:w="791" w:type="pct"/>
            <w:vAlign w:val="center"/>
          </w:tcPr>
          <w:p w14:paraId="31B13BDE" w14:textId="77777777" w:rsidR="003E78AB" w:rsidRDefault="003E78AB">
            <w:pPr>
              <w:spacing w:line="360" w:lineRule="exact"/>
              <w:ind w:firstLineChars="0" w:firstLine="0"/>
              <w:contextualSpacing/>
              <w:jc w:val="center"/>
              <w:rPr>
                <w:sz w:val="21"/>
                <w:szCs w:val="21"/>
              </w:rPr>
            </w:pPr>
          </w:p>
        </w:tc>
        <w:tc>
          <w:tcPr>
            <w:tcW w:w="469" w:type="pct"/>
            <w:vAlign w:val="center"/>
          </w:tcPr>
          <w:p w14:paraId="775286F7" w14:textId="77777777" w:rsidR="003E78AB" w:rsidRDefault="00010BF9">
            <w:pPr>
              <w:spacing w:line="360" w:lineRule="exact"/>
              <w:ind w:firstLineChars="0" w:firstLine="0"/>
              <w:contextualSpacing/>
              <w:jc w:val="center"/>
              <w:rPr>
                <w:sz w:val="21"/>
                <w:szCs w:val="21"/>
              </w:rPr>
            </w:pPr>
            <w:r>
              <w:rPr>
                <w:sz w:val="21"/>
                <w:szCs w:val="21"/>
              </w:rPr>
              <w:t>7.12</w:t>
            </w:r>
          </w:p>
        </w:tc>
        <w:tc>
          <w:tcPr>
            <w:tcW w:w="672" w:type="pct"/>
            <w:vMerge/>
            <w:tcBorders>
              <w:top w:val="nil"/>
              <w:bottom w:val="nil"/>
            </w:tcBorders>
            <w:vAlign w:val="center"/>
          </w:tcPr>
          <w:p w14:paraId="3410B156" w14:textId="77777777" w:rsidR="003E78AB" w:rsidRDefault="003E78AB">
            <w:pPr>
              <w:spacing w:line="360" w:lineRule="exact"/>
              <w:ind w:firstLineChars="0" w:firstLine="0"/>
              <w:contextualSpacing/>
              <w:jc w:val="center"/>
              <w:rPr>
                <w:sz w:val="21"/>
                <w:szCs w:val="21"/>
              </w:rPr>
            </w:pPr>
          </w:p>
        </w:tc>
      </w:tr>
      <w:tr w:rsidR="003E78AB" w14:paraId="0FAA8124" w14:textId="77777777">
        <w:trPr>
          <w:trHeight w:val="331"/>
        </w:trPr>
        <w:tc>
          <w:tcPr>
            <w:tcW w:w="424" w:type="pct"/>
            <w:vMerge/>
            <w:tcBorders>
              <w:top w:val="nil"/>
            </w:tcBorders>
            <w:vAlign w:val="center"/>
          </w:tcPr>
          <w:p w14:paraId="046E4547" w14:textId="77777777" w:rsidR="003E78AB" w:rsidRDefault="003E78AB">
            <w:pPr>
              <w:spacing w:line="360" w:lineRule="exact"/>
              <w:ind w:firstLineChars="0" w:firstLine="0"/>
              <w:contextualSpacing/>
              <w:jc w:val="center"/>
              <w:rPr>
                <w:sz w:val="21"/>
                <w:szCs w:val="21"/>
              </w:rPr>
            </w:pPr>
          </w:p>
        </w:tc>
        <w:tc>
          <w:tcPr>
            <w:tcW w:w="826" w:type="pct"/>
            <w:vMerge/>
            <w:tcBorders>
              <w:top w:val="nil"/>
            </w:tcBorders>
            <w:vAlign w:val="center"/>
          </w:tcPr>
          <w:p w14:paraId="156455B0" w14:textId="77777777" w:rsidR="003E78AB" w:rsidRDefault="003E78AB">
            <w:pPr>
              <w:spacing w:line="360" w:lineRule="exact"/>
              <w:ind w:firstLineChars="0" w:firstLine="0"/>
              <w:contextualSpacing/>
              <w:jc w:val="center"/>
              <w:rPr>
                <w:sz w:val="21"/>
                <w:szCs w:val="21"/>
              </w:rPr>
            </w:pPr>
          </w:p>
        </w:tc>
        <w:tc>
          <w:tcPr>
            <w:tcW w:w="468" w:type="pct"/>
            <w:vAlign w:val="center"/>
          </w:tcPr>
          <w:p w14:paraId="453810D0" w14:textId="77777777" w:rsidR="003E78AB" w:rsidRDefault="00010BF9">
            <w:pPr>
              <w:spacing w:line="360" w:lineRule="exact"/>
              <w:ind w:firstLineChars="0" w:firstLine="0"/>
              <w:contextualSpacing/>
              <w:jc w:val="center"/>
              <w:rPr>
                <w:sz w:val="21"/>
                <w:szCs w:val="21"/>
              </w:rPr>
            </w:pPr>
            <w:r>
              <w:rPr>
                <w:sz w:val="21"/>
                <w:szCs w:val="21"/>
              </w:rPr>
              <w:t>1310</w:t>
            </w:r>
          </w:p>
        </w:tc>
        <w:tc>
          <w:tcPr>
            <w:tcW w:w="779" w:type="pct"/>
            <w:vAlign w:val="center"/>
          </w:tcPr>
          <w:p w14:paraId="12E9C72B" w14:textId="77777777" w:rsidR="003E78AB" w:rsidRDefault="00010BF9">
            <w:pPr>
              <w:spacing w:line="360" w:lineRule="exact"/>
              <w:ind w:firstLineChars="0" w:firstLine="0"/>
              <w:contextualSpacing/>
              <w:jc w:val="center"/>
              <w:rPr>
                <w:sz w:val="21"/>
                <w:szCs w:val="21"/>
              </w:rPr>
            </w:pPr>
            <w:r>
              <w:rPr>
                <w:sz w:val="21"/>
                <w:szCs w:val="21"/>
              </w:rPr>
              <w:t>消防用地</w:t>
            </w:r>
          </w:p>
        </w:tc>
        <w:tc>
          <w:tcPr>
            <w:tcW w:w="567" w:type="pct"/>
            <w:vAlign w:val="center"/>
          </w:tcPr>
          <w:p w14:paraId="2D8A7AAA" w14:textId="77777777" w:rsidR="003E78AB" w:rsidRDefault="003E78AB">
            <w:pPr>
              <w:spacing w:line="360" w:lineRule="exact"/>
              <w:ind w:firstLineChars="0" w:firstLine="0"/>
              <w:contextualSpacing/>
              <w:jc w:val="center"/>
              <w:rPr>
                <w:sz w:val="21"/>
                <w:szCs w:val="21"/>
              </w:rPr>
            </w:pPr>
          </w:p>
        </w:tc>
        <w:tc>
          <w:tcPr>
            <w:tcW w:w="791" w:type="pct"/>
            <w:vAlign w:val="center"/>
          </w:tcPr>
          <w:p w14:paraId="34908E85" w14:textId="77777777" w:rsidR="003E78AB" w:rsidRDefault="003E78AB">
            <w:pPr>
              <w:spacing w:line="360" w:lineRule="exact"/>
              <w:ind w:firstLineChars="0" w:firstLine="0"/>
              <w:contextualSpacing/>
              <w:jc w:val="center"/>
              <w:rPr>
                <w:sz w:val="21"/>
                <w:szCs w:val="21"/>
              </w:rPr>
            </w:pPr>
          </w:p>
        </w:tc>
        <w:tc>
          <w:tcPr>
            <w:tcW w:w="469" w:type="pct"/>
            <w:vAlign w:val="center"/>
          </w:tcPr>
          <w:p w14:paraId="28B85817" w14:textId="77777777" w:rsidR="003E78AB" w:rsidRDefault="00010BF9">
            <w:pPr>
              <w:spacing w:line="360" w:lineRule="exact"/>
              <w:ind w:firstLineChars="0" w:firstLine="0"/>
              <w:contextualSpacing/>
              <w:jc w:val="center"/>
              <w:rPr>
                <w:sz w:val="21"/>
                <w:szCs w:val="21"/>
              </w:rPr>
            </w:pPr>
            <w:r>
              <w:rPr>
                <w:sz w:val="21"/>
                <w:szCs w:val="21"/>
              </w:rPr>
              <w:t>2.25</w:t>
            </w:r>
          </w:p>
        </w:tc>
        <w:tc>
          <w:tcPr>
            <w:tcW w:w="672" w:type="pct"/>
            <w:vMerge/>
            <w:tcBorders>
              <w:top w:val="nil"/>
            </w:tcBorders>
            <w:vAlign w:val="center"/>
          </w:tcPr>
          <w:p w14:paraId="431820AE" w14:textId="77777777" w:rsidR="003E78AB" w:rsidRDefault="003E78AB">
            <w:pPr>
              <w:spacing w:line="360" w:lineRule="exact"/>
              <w:ind w:firstLineChars="0" w:firstLine="0"/>
              <w:contextualSpacing/>
              <w:jc w:val="center"/>
              <w:rPr>
                <w:sz w:val="21"/>
                <w:szCs w:val="21"/>
              </w:rPr>
            </w:pPr>
          </w:p>
        </w:tc>
      </w:tr>
      <w:tr w:rsidR="003E78AB" w14:paraId="10F2CC4F" w14:textId="77777777">
        <w:trPr>
          <w:trHeight w:val="643"/>
        </w:trPr>
        <w:tc>
          <w:tcPr>
            <w:tcW w:w="424" w:type="pct"/>
            <w:vAlign w:val="center"/>
          </w:tcPr>
          <w:p w14:paraId="1B28F1F6" w14:textId="77777777" w:rsidR="003E78AB" w:rsidRDefault="00010BF9">
            <w:pPr>
              <w:spacing w:line="360" w:lineRule="exact"/>
              <w:ind w:firstLineChars="0" w:firstLine="0"/>
              <w:contextualSpacing/>
              <w:jc w:val="center"/>
              <w:rPr>
                <w:sz w:val="21"/>
                <w:szCs w:val="21"/>
              </w:rPr>
            </w:pPr>
            <w:r>
              <w:rPr>
                <w:sz w:val="21"/>
                <w:szCs w:val="21"/>
              </w:rPr>
              <w:t>14</w:t>
            </w:r>
          </w:p>
        </w:tc>
        <w:tc>
          <w:tcPr>
            <w:tcW w:w="826" w:type="pct"/>
            <w:vAlign w:val="center"/>
          </w:tcPr>
          <w:p w14:paraId="0CD72078" w14:textId="77777777" w:rsidR="003E78AB" w:rsidRDefault="00010BF9">
            <w:pPr>
              <w:spacing w:line="360" w:lineRule="exact"/>
              <w:ind w:firstLineChars="0" w:firstLine="0"/>
              <w:contextualSpacing/>
              <w:jc w:val="center"/>
              <w:rPr>
                <w:sz w:val="21"/>
                <w:szCs w:val="21"/>
              </w:rPr>
            </w:pPr>
            <w:r>
              <w:rPr>
                <w:sz w:val="21"/>
                <w:szCs w:val="21"/>
              </w:rPr>
              <w:t>绿地与开敞空间用地</w:t>
            </w:r>
          </w:p>
        </w:tc>
        <w:tc>
          <w:tcPr>
            <w:tcW w:w="468" w:type="pct"/>
            <w:vAlign w:val="center"/>
          </w:tcPr>
          <w:p w14:paraId="3405549E" w14:textId="77777777" w:rsidR="003E78AB" w:rsidRDefault="00010BF9">
            <w:pPr>
              <w:spacing w:line="360" w:lineRule="exact"/>
              <w:ind w:firstLineChars="0" w:firstLine="0"/>
              <w:contextualSpacing/>
              <w:jc w:val="center"/>
              <w:rPr>
                <w:sz w:val="21"/>
                <w:szCs w:val="21"/>
              </w:rPr>
            </w:pPr>
            <w:r>
              <w:rPr>
                <w:sz w:val="21"/>
                <w:szCs w:val="21"/>
              </w:rPr>
              <w:t>1402</w:t>
            </w:r>
          </w:p>
        </w:tc>
        <w:tc>
          <w:tcPr>
            <w:tcW w:w="779" w:type="pct"/>
            <w:vAlign w:val="center"/>
          </w:tcPr>
          <w:p w14:paraId="4B8BEDA4" w14:textId="77777777" w:rsidR="003E78AB" w:rsidRDefault="00010BF9">
            <w:pPr>
              <w:spacing w:line="360" w:lineRule="exact"/>
              <w:ind w:firstLineChars="0" w:firstLine="0"/>
              <w:contextualSpacing/>
              <w:jc w:val="center"/>
              <w:rPr>
                <w:sz w:val="21"/>
                <w:szCs w:val="21"/>
              </w:rPr>
            </w:pPr>
            <w:r>
              <w:rPr>
                <w:sz w:val="21"/>
                <w:szCs w:val="21"/>
              </w:rPr>
              <w:t>防护绿地</w:t>
            </w:r>
          </w:p>
        </w:tc>
        <w:tc>
          <w:tcPr>
            <w:tcW w:w="567" w:type="pct"/>
            <w:vAlign w:val="center"/>
          </w:tcPr>
          <w:p w14:paraId="522887EA" w14:textId="77777777" w:rsidR="003E78AB" w:rsidRDefault="003E78AB">
            <w:pPr>
              <w:spacing w:line="360" w:lineRule="exact"/>
              <w:ind w:firstLineChars="0" w:firstLine="0"/>
              <w:contextualSpacing/>
              <w:jc w:val="center"/>
              <w:rPr>
                <w:sz w:val="21"/>
                <w:szCs w:val="21"/>
              </w:rPr>
            </w:pPr>
          </w:p>
        </w:tc>
        <w:tc>
          <w:tcPr>
            <w:tcW w:w="791" w:type="pct"/>
            <w:vAlign w:val="center"/>
          </w:tcPr>
          <w:p w14:paraId="77F305F4" w14:textId="77777777" w:rsidR="003E78AB" w:rsidRDefault="003E78AB">
            <w:pPr>
              <w:spacing w:line="360" w:lineRule="exact"/>
              <w:ind w:firstLineChars="0" w:firstLine="0"/>
              <w:contextualSpacing/>
              <w:jc w:val="center"/>
              <w:rPr>
                <w:sz w:val="21"/>
                <w:szCs w:val="21"/>
              </w:rPr>
            </w:pPr>
          </w:p>
        </w:tc>
        <w:tc>
          <w:tcPr>
            <w:tcW w:w="469" w:type="pct"/>
            <w:vAlign w:val="center"/>
          </w:tcPr>
          <w:p w14:paraId="41385BB3" w14:textId="77777777" w:rsidR="003E78AB" w:rsidRDefault="00010BF9">
            <w:pPr>
              <w:spacing w:line="360" w:lineRule="exact"/>
              <w:ind w:firstLineChars="0" w:firstLine="0"/>
              <w:contextualSpacing/>
              <w:jc w:val="center"/>
              <w:rPr>
                <w:sz w:val="21"/>
                <w:szCs w:val="21"/>
              </w:rPr>
            </w:pPr>
            <w:r>
              <w:rPr>
                <w:sz w:val="21"/>
                <w:szCs w:val="21"/>
              </w:rPr>
              <w:t>78.7</w:t>
            </w:r>
          </w:p>
        </w:tc>
        <w:tc>
          <w:tcPr>
            <w:tcW w:w="672" w:type="pct"/>
            <w:vAlign w:val="center"/>
          </w:tcPr>
          <w:p w14:paraId="2A22B7D2" w14:textId="77777777" w:rsidR="003E78AB" w:rsidRDefault="00010BF9">
            <w:pPr>
              <w:spacing w:line="360" w:lineRule="exact"/>
              <w:ind w:firstLineChars="0" w:firstLine="0"/>
              <w:contextualSpacing/>
              <w:jc w:val="center"/>
              <w:rPr>
                <w:sz w:val="21"/>
                <w:szCs w:val="21"/>
              </w:rPr>
            </w:pPr>
            <w:r>
              <w:rPr>
                <w:sz w:val="21"/>
                <w:szCs w:val="21"/>
              </w:rPr>
              <w:t>17.86%</w:t>
            </w:r>
          </w:p>
        </w:tc>
      </w:tr>
      <w:tr w:rsidR="003E78AB" w14:paraId="2ACCCC95" w14:textId="77777777">
        <w:trPr>
          <w:trHeight w:val="336"/>
        </w:trPr>
        <w:tc>
          <w:tcPr>
            <w:tcW w:w="3858" w:type="pct"/>
            <w:gridSpan w:val="6"/>
            <w:vAlign w:val="center"/>
          </w:tcPr>
          <w:p w14:paraId="4D949E15" w14:textId="77777777" w:rsidR="003E78AB" w:rsidRDefault="00010BF9">
            <w:pPr>
              <w:spacing w:line="360" w:lineRule="exact"/>
              <w:ind w:firstLineChars="0" w:firstLine="0"/>
              <w:contextualSpacing/>
              <w:jc w:val="center"/>
              <w:rPr>
                <w:sz w:val="21"/>
                <w:szCs w:val="21"/>
              </w:rPr>
            </w:pPr>
            <w:r>
              <w:rPr>
                <w:sz w:val="21"/>
                <w:szCs w:val="21"/>
              </w:rPr>
              <w:t>国土总面积</w:t>
            </w:r>
          </w:p>
        </w:tc>
        <w:tc>
          <w:tcPr>
            <w:tcW w:w="469" w:type="pct"/>
            <w:vAlign w:val="center"/>
          </w:tcPr>
          <w:p w14:paraId="59816BFC" w14:textId="77777777" w:rsidR="003E78AB" w:rsidRDefault="00010BF9">
            <w:pPr>
              <w:spacing w:line="360" w:lineRule="exact"/>
              <w:ind w:firstLineChars="0" w:firstLine="0"/>
              <w:contextualSpacing/>
              <w:jc w:val="center"/>
              <w:rPr>
                <w:sz w:val="21"/>
                <w:szCs w:val="21"/>
              </w:rPr>
            </w:pPr>
            <w:r>
              <w:rPr>
                <w:sz w:val="21"/>
                <w:szCs w:val="21"/>
              </w:rPr>
              <w:t>440.57</w:t>
            </w:r>
          </w:p>
        </w:tc>
        <w:tc>
          <w:tcPr>
            <w:tcW w:w="672" w:type="pct"/>
            <w:vAlign w:val="center"/>
          </w:tcPr>
          <w:p w14:paraId="55189303" w14:textId="77777777" w:rsidR="003E78AB" w:rsidRDefault="00010BF9">
            <w:pPr>
              <w:spacing w:line="360" w:lineRule="exact"/>
              <w:ind w:firstLineChars="0" w:firstLine="0"/>
              <w:contextualSpacing/>
              <w:jc w:val="center"/>
              <w:rPr>
                <w:sz w:val="21"/>
                <w:szCs w:val="21"/>
              </w:rPr>
            </w:pPr>
            <w:r>
              <w:rPr>
                <w:sz w:val="21"/>
                <w:szCs w:val="21"/>
              </w:rPr>
              <w:t>100%</w:t>
            </w:r>
          </w:p>
        </w:tc>
      </w:tr>
    </w:tbl>
    <w:p w14:paraId="0DD13897"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4.2.</w:t>
      </w:r>
      <w:r>
        <w:rPr>
          <w:rFonts w:cs="Times New Roman" w:hint="eastAsia"/>
          <w:sz w:val="28"/>
          <w:szCs w:val="28"/>
        </w:rPr>
        <w:t>3</w:t>
      </w:r>
      <w:r>
        <w:rPr>
          <w:rFonts w:cs="Times New Roman"/>
          <w:sz w:val="28"/>
          <w:szCs w:val="28"/>
        </w:rPr>
        <w:t>园区公用设施建设情况及本项目依托可行性</w:t>
      </w:r>
    </w:p>
    <w:p w14:paraId="2E749EC5" w14:textId="77777777" w:rsidR="003E78AB" w:rsidRDefault="00010BF9">
      <w:pPr>
        <w:pStyle w:val="af3"/>
        <w:spacing w:after="0" w:line="520" w:lineRule="atLeast"/>
        <w:ind w:firstLine="488"/>
        <w:rPr>
          <w:spacing w:val="2"/>
        </w:rPr>
      </w:pPr>
      <w:r>
        <w:rPr>
          <w:spacing w:val="2"/>
        </w:rPr>
        <w:t>（一）交通建设情况及本项目依托可行性</w:t>
      </w:r>
    </w:p>
    <w:p w14:paraId="4AFBC1F5" w14:textId="77777777" w:rsidR="003E78AB" w:rsidRDefault="00010BF9">
      <w:pPr>
        <w:pStyle w:val="af3"/>
        <w:spacing w:after="0" w:line="520" w:lineRule="atLeast"/>
        <w:ind w:firstLine="488"/>
        <w:rPr>
          <w:spacing w:val="2"/>
        </w:rPr>
      </w:pPr>
      <w:r>
        <w:rPr>
          <w:spacing w:val="2"/>
        </w:rPr>
        <w:t>公路：园区已建设金光大道、恒星大道、星光大道、银河大道、长江路、黄河路、黄海路等道路。通过金光大道、星光大道与省道</w:t>
      </w:r>
      <w:r>
        <w:rPr>
          <w:spacing w:val="2"/>
        </w:rPr>
        <w:t>S235</w:t>
      </w:r>
      <w:r>
        <w:rPr>
          <w:spacing w:val="2"/>
        </w:rPr>
        <w:t>相连、星光大道与兵地融合大道相连，形成主要对外联系通道。</w:t>
      </w:r>
    </w:p>
    <w:p w14:paraId="374CBE67" w14:textId="77777777" w:rsidR="003E78AB" w:rsidRDefault="00010BF9">
      <w:pPr>
        <w:pStyle w:val="af3"/>
        <w:spacing w:after="0" w:line="520" w:lineRule="atLeast"/>
        <w:ind w:firstLine="488"/>
        <w:rPr>
          <w:spacing w:val="2"/>
        </w:rPr>
      </w:pPr>
      <w:r>
        <w:rPr>
          <w:spacing w:val="2"/>
        </w:rPr>
        <w:t>铁路：哈罗铁路位于园区两个片区的中间，园区规划了一个铁路货运站场，构建铁路物流，形成主要的对外货运通道。</w:t>
      </w:r>
    </w:p>
    <w:p w14:paraId="16314C90" w14:textId="77777777" w:rsidR="003E78AB" w:rsidRDefault="00010BF9">
      <w:pPr>
        <w:pStyle w:val="af3"/>
        <w:spacing w:after="0" w:line="520" w:lineRule="atLeast"/>
        <w:ind w:firstLine="488"/>
        <w:rPr>
          <w:spacing w:val="2"/>
        </w:rPr>
      </w:pPr>
      <w:r>
        <w:rPr>
          <w:spacing w:val="2"/>
        </w:rPr>
        <w:t>南部循环经济产业园道路基本按照方格网结构修建完善，实施建设了东海路、明珠大道、星光大道西段等主要道路，所以本项目道路运输畅通。</w:t>
      </w:r>
    </w:p>
    <w:p w14:paraId="7C52ED4D" w14:textId="77777777" w:rsidR="003E78AB" w:rsidRDefault="00010BF9">
      <w:pPr>
        <w:pStyle w:val="af3"/>
        <w:spacing w:after="0" w:line="520" w:lineRule="atLeast"/>
        <w:ind w:firstLine="488"/>
        <w:rPr>
          <w:spacing w:val="2"/>
        </w:rPr>
      </w:pPr>
      <w:r>
        <w:rPr>
          <w:spacing w:val="2"/>
        </w:rPr>
        <w:t>（二）给水设施建设情况及本项目依托可行性</w:t>
      </w:r>
    </w:p>
    <w:p w14:paraId="14669DA2" w14:textId="77777777" w:rsidR="003E78AB" w:rsidRDefault="00010BF9">
      <w:pPr>
        <w:ind w:firstLine="488"/>
        <w:contextualSpacing/>
      </w:pPr>
      <w:r>
        <w:rPr>
          <w:spacing w:val="2"/>
        </w:rPr>
        <w:t>南部循环经济产业园现状由哈密市三水厂供水。三水厂位于</w:t>
      </w:r>
      <w:r>
        <w:rPr>
          <w:spacing w:val="2"/>
        </w:rPr>
        <w:t>G30</w:t>
      </w:r>
      <w:r>
        <w:rPr>
          <w:spacing w:val="2"/>
        </w:rPr>
        <w:t>国道和</w:t>
      </w:r>
      <w:r>
        <w:rPr>
          <w:spacing w:val="2"/>
        </w:rPr>
        <w:t>Z504</w:t>
      </w:r>
      <w:r>
        <w:rPr>
          <w:spacing w:val="2"/>
        </w:rPr>
        <w:t>省道西北角，哈巴公路以西的位置，现状供水能</w:t>
      </w:r>
      <w:r>
        <w:t>力达</w:t>
      </w:r>
      <w:r>
        <w:t>7</w:t>
      </w:r>
      <w:r>
        <w:t>万</w:t>
      </w:r>
      <w:r>
        <w:t>m</w:t>
      </w:r>
      <w:r>
        <w:rPr>
          <w:vertAlign w:val="superscript"/>
        </w:rPr>
        <w:t>3</w:t>
      </w:r>
      <w:r>
        <w:t>/d</w:t>
      </w:r>
      <w:r>
        <w:t>，其中地表水</w:t>
      </w:r>
      <w:r>
        <w:t>5.5</w:t>
      </w:r>
      <w:r>
        <w:t>万</w:t>
      </w:r>
      <w:r>
        <w:t>m</w:t>
      </w:r>
      <w:r>
        <w:rPr>
          <w:vertAlign w:val="superscript"/>
        </w:rPr>
        <w:t>3</w:t>
      </w:r>
      <w:r>
        <w:t>/d</w:t>
      </w:r>
      <w:r>
        <w:t>，地下水</w:t>
      </w:r>
      <w:r>
        <w:t>1.5</w:t>
      </w:r>
      <w:r>
        <w:t>万</w:t>
      </w:r>
      <w:r>
        <w:t>m</w:t>
      </w:r>
      <w:r>
        <w:rPr>
          <w:vertAlign w:val="superscript"/>
        </w:rPr>
        <w:t>3</w:t>
      </w:r>
      <w:r>
        <w:t>/d</w:t>
      </w:r>
      <w:r>
        <w:t>，水厂占地面积约为</w:t>
      </w:r>
      <w:r>
        <w:t>7hm</w:t>
      </w:r>
      <w:r>
        <w:rPr>
          <w:vertAlign w:val="superscript"/>
        </w:rPr>
        <w:t>2</w:t>
      </w:r>
      <w:r>
        <w:t>，水源为榆树沟水库地表水和地下水。园区自来水管网已敷设至项目区所在区域，能够满足本项目生产生活用水需要，依托园区给水设施是可行的。</w:t>
      </w:r>
    </w:p>
    <w:p w14:paraId="3FBA10AA" w14:textId="77777777" w:rsidR="003E78AB" w:rsidRDefault="00010BF9">
      <w:pPr>
        <w:ind w:firstLine="480"/>
        <w:contextualSpacing/>
      </w:pPr>
      <w:r>
        <w:t>（</w:t>
      </w:r>
      <w:r>
        <w:t>三）排水设施建设情况及本项目依托可行性</w:t>
      </w:r>
    </w:p>
    <w:p w14:paraId="601E282A" w14:textId="77777777" w:rsidR="003E78AB" w:rsidRDefault="00010BF9">
      <w:pPr>
        <w:ind w:firstLine="480"/>
        <w:contextualSpacing/>
      </w:pPr>
      <w:r>
        <w:t>园区现状污水处理设施于</w:t>
      </w:r>
      <w:r>
        <w:t>2016</w:t>
      </w:r>
      <w:r>
        <w:t>年底建成投入使用，位于园区南侧</w:t>
      </w:r>
      <w:r>
        <w:t>2km</w:t>
      </w:r>
      <w:r>
        <w:t>处，管网覆盖率达到</w:t>
      </w:r>
      <w:r>
        <w:t>100%</w:t>
      </w:r>
      <w:r>
        <w:t>。污水管道根据地形条件采用重力流布置，污水管道沿道路设置，污水管道管径为</w:t>
      </w:r>
      <w:r>
        <w:t>DN300mm-DN600mm</w:t>
      </w:r>
      <w:r>
        <w:t>。设计处理规模为</w:t>
      </w:r>
      <w:r>
        <w:t>5000m³/d</w:t>
      </w:r>
      <w:r>
        <w:t>，现状实际运行规模为</w:t>
      </w:r>
      <w:r>
        <w:t>2600-2700m³/d</w:t>
      </w:r>
      <w:r>
        <w:t>，污水处理后《城镇污水处理厂污染物排放标准（</w:t>
      </w:r>
      <w:r>
        <w:t>GB18918-2002</w:t>
      </w:r>
      <w:r>
        <w:t>）》中一级</w:t>
      </w:r>
      <w:r>
        <w:t>A</w:t>
      </w:r>
      <w:r>
        <w:t>类标准和工业回用和绿化用水水质要求。近期对污水处理厂工艺进行改造升级，满足园区工业废水处理需求。远期扩建至</w:t>
      </w:r>
      <w:r>
        <w:t>1.5</w:t>
      </w:r>
      <w:r>
        <w:t>万</w:t>
      </w:r>
      <w:r>
        <w:t>m³/</w:t>
      </w:r>
      <w:r>
        <w:t>d</w:t>
      </w:r>
      <w:r>
        <w:t>。污水厂出水作为中水主要回用于工业和绿化，夏季污水量较大可用于工业、绿化、道路浇洒、降尘，冬季污水量较小全部回用于工业。</w:t>
      </w:r>
    </w:p>
    <w:p w14:paraId="7FF7CE5D" w14:textId="77777777" w:rsidR="003E78AB" w:rsidRDefault="00010BF9">
      <w:pPr>
        <w:ind w:firstLine="480"/>
        <w:contextualSpacing/>
      </w:pPr>
      <w:r>
        <w:t>另外，现哈密高新区已新建南部循环经济产业园工业污水处理厂，新建工业污水处理厂利用现有污水处理厂格栅、沉砂池，同时新建处理量</w:t>
      </w:r>
      <w:r>
        <w:t>5000m³/d</w:t>
      </w:r>
      <w:r>
        <w:t>的二级处理设施，配套深度处理规模</w:t>
      </w:r>
      <w:r>
        <w:t>1</w:t>
      </w:r>
      <w:r>
        <w:t>万</w:t>
      </w:r>
      <w:r>
        <w:t>m³/d</w:t>
      </w:r>
      <w:r>
        <w:t>，以满足现有污水处理厂及新建污水处理厂深度处理回用，最终达到整体处理规模为</w:t>
      </w:r>
      <w:r>
        <w:t>1</w:t>
      </w:r>
      <w:r>
        <w:t>万</w:t>
      </w:r>
      <w:r>
        <w:t>m³/d</w:t>
      </w:r>
      <w:r>
        <w:t>。根据总体规划，远期园区扩建至</w:t>
      </w:r>
      <w:r>
        <w:t>2.0</w:t>
      </w:r>
      <w:r>
        <w:t>万</w:t>
      </w:r>
      <w:r>
        <w:t>m³/d</w:t>
      </w:r>
      <w:r>
        <w:t>，以满足化工产业集中区及南部排水需求。</w:t>
      </w:r>
    </w:p>
    <w:p w14:paraId="60B4B055" w14:textId="77777777" w:rsidR="003E78AB" w:rsidRDefault="00010BF9">
      <w:pPr>
        <w:ind w:firstLine="480"/>
        <w:contextualSpacing/>
      </w:pPr>
      <w:r>
        <w:t>化工产业集中区内排水支管沿东西向道</w:t>
      </w:r>
      <w:r>
        <w:t>路的北侧布置，支管管径为</w:t>
      </w:r>
      <w:r>
        <w:t>DN300—DN500</w:t>
      </w:r>
      <w:r>
        <w:t>；排水干管沿南北向道路的东侧布置，敷设坡度为</w:t>
      </w:r>
      <w:r>
        <w:t>0.003-0.007</w:t>
      </w:r>
      <w:r>
        <w:t>，干管管径为</w:t>
      </w:r>
      <w:r>
        <w:t>DN400</w:t>
      </w:r>
      <w:r>
        <w:t>～</w:t>
      </w:r>
      <w:r>
        <w:t>DN700</w:t>
      </w:r>
      <w:r>
        <w:t>。新建排水管道管底埋深不小于</w:t>
      </w:r>
      <w:r>
        <w:t>1.5</w:t>
      </w:r>
      <w:r>
        <w:t>米。</w:t>
      </w:r>
    </w:p>
    <w:p w14:paraId="0EDD921C" w14:textId="77777777" w:rsidR="003E78AB" w:rsidRDefault="00010BF9">
      <w:pPr>
        <w:ind w:firstLine="480"/>
        <w:contextualSpacing/>
      </w:pPr>
      <w:r>
        <w:t>（四）供电设施建设情况及本项目依托可行性</w:t>
      </w:r>
    </w:p>
    <w:p w14:paraId="653AFEDB" w14:textId="77777777" w:rsidR="003E78AB" w:rsidRDefault="00010BF9">
      <w:pPr>
        <w:ind w:firstLine="480"/>
        <w:contextualSpacing/>
      </w:pPr>
      <w:r>
        <w:t>规划南部循环经济产业园保留现状</w:t>
      </w:r>
      <w:r>
        <w:t>110kV</w:t>
      </w:r>
      <w:r>
        <w:t>南园变、</w:t>
      </w:r>
      <w:r>
        <w:t>110kV</w:t>
      </w:r>
      <w:r>
        <w:t>重工业变、</w:t>
      </w:r>
      <w:r>
        <w:t>220kV</w:t>
      </w:r>
      <w:r>
        <w:t>银河路变，满足近期用电需求。远期新增</w:t>
      </w:r>
      <w:r>
        <w:t>220kV</w:t>
      </w:r>
      <w:r>
        <w:t>变电站一座，位于园区西北侧，规模为</w:t>
      </w:r>
      <w:r>
        <w:t>2×150MVA</w:t>
      </w:r>
      <w:r>
        <w:t>，新增两座</w:t>
      </w:r>
      <w:r>
        <w:t>110kV</w:t>
      </w:r>
      <w:r>
        <w:t>变电站，分别位于园区南侧和北侧，规模均为</w:t>
      </w:r>
      <w:r>
        <w:t>2×50MVA</w:t>
      </w:r>
      <w:r>
        <w:t>。</w:t>
      </w:r>
    </w:p>
    <w:p w14:paraId="23500ABA" w14:textId="77777777" w:rsidR="003E78AB" w:rsidRDefault="00010BF9">
      <w:pPr>
        <w:ind w:firstLine="480"/>
        <w:contextualSpacing/>
      </w:pPr>
      <w:r>
        <w:t>园区现状变电站有</w:t>
      </w:r>
      <w:r>
        <w:t>3</w:t>
      </w:r>
      <w:r>
        <w:t>座，分别为</w:t>
      </w:r>
      <w:r>
        <w:t>11</w:t>
      </w:r>
      <w:r>
        <w:t>0kV</w:t>
      </w:r>
      <w:r>
        <w:t>南园变（位于园区北侧，紧邻园区巴里坤大道，变电容量为</w:t>
      </w:r>
      <w:r>
        <w:t>2×4</w:t>
      </w:r>
      <w:r>
        <w:t>万</w:t>
      </w:r>
      <w:r>
        <w:t>MVA</w:t>
      </w:r>
      <w:r>
        <w:t>）、</w:t>
      </w:r>
      <w:r>
        <w:t>220kV</w:t>
      </w:r>
      <w:r>
        <w:t>银河路变（变电容量为</w:t>
      </w:r>
      <w:r>
        <w:t>2×18</w:t>
      </w:r>
      <w:r>
        <w:t>万</w:t>
      </w:r>
      <w:r>
        <w:t>MVA</w:t>
      </w:r>
      <w:r>
        <w:t>，位于园区星光大道南侧</w:t>
      </w:r>
      <w:r>
        <w:t>1.3km</w:t>
      </w:r>
      <w:r>
        <w:t>处）、</w:t>
      </w:r>
      <w:r>
        <w:t>110kV</w:t>
      </w:r>
      <w:r>
        <w:t>重工业园变（位于园区西侧，变电容量为</w:t>
      </w:r>
      <w:r>
        <w:t>5</w:t>
      </w:r>
      <w:r>
        <w:t>万</w:t>
      </w:r>
      <w:r>
        <w:t>MVA</w:t>
      </w:r>
      <w:r>
        <w:t>），现状电力线缆沿东海路、银河大道、明珠大道等道路单侧以架空方式敷设。</w:t>
      </w:r>
    </w:p>
    <w:p w14:paraId="50B83C04" w14:textId="77777777" w:rsidR="003E78AB" w:rsidRDefault="00010BF9">
      <w:pPr>
        <w:ind w:firstLine="480"/>
        <w:contextualSpacing/>
      </w:pPr>
      <w:r>
        <w:t>本项目用电依托园区供电设施可行。</w:t>
      </w:r>
    </w:p>
    <w:p w14:paraId="46E33301" w14:textId="77777777" w:rsidR="003E78AB" w:rsidRDefault="00010BF9">
      <w:pPr>
        <w:ind w:firstLine="480"/>
        <w:contextualSpacing/>
      </w:pPr>
      <w:r>
        <w:t>（五）供气设施建设情况及本项目依托可行性</w:t>
      </w:r>
    </w:p>
    <w:p w14:paraId="15288721" w14:textId="77777777" w:rsidR="003E78AB" w:rsidRDefault="00010BF9">
      <w:pPr>
        <w:ind w:firstLine="480"/>
        <w:contextualSpacing/>
      </w:pPr>
      <w:r>
        <w:t>规划南部循环经济产业园近期由新捷燃气管道气供应。远期气源来自西气东输二线气源，衔接点为哈密分输站，经</w:t>
      </w:r>
      <w:r>
        <w:t>6.3MPa</w:t>
      </w:r>
      <w:r>
        <w:t>高压管线敷设至哈密西部新城天然气联合处理站，广汇和新捷燃气实现联网供气。依托现状燃气调压站。</w:t>
      </w:r>
    </w:p>
    <w:p w14:paraId="4ED4C7B1" w14:textId="77777777" w:rsidR="003E78AB" w:rsidRDefault="00010BF9">
      <w:pPr>
        <w:tabs>
          <w:tab w:val="left" w:pos="1633"/>
        </w:tabs>
        <w:ind w:firstLine="480"/>
        <w:rPr>
          <w:kern w:val="2"/>
        </w:rPr>
      </w:pPr>
      <w:r>
        <w:t>南部循环经济产业园已建燃气调压站（新捷燃气建设）一座，规模为</w:t>
      </w:r>
      <w:r>
        <w:t>2.5</w:t>
      </w:r>
      <w:r>
        <w:t>万</w:t>
      </w:r>
      <w:r>
        <w:t>m</w:t>
      </w:r>
      <w:r>
        <w:rPr>
          <w:vertAlign w:val="superscript"/>
        </w:rPr>
        <w:t>3</w:t>
      </w:r>
      <w:r>
        <w:t>/h</w:t>
      </w:r>
      <w:r>
        <w:t>，压力</w:t>
      </w:r>
      <w:r>
        <w:t>6.3MPa</w:t>
      </w:r>
      <w:r>
        <w:t>，进口管径</w:t>
      </w:r>
      <w:r>
        <w:t>110mm</w:t>
      </w:r>
      <w:r>
        <w:t>，出口管径</w:t>
      </w:r>
      <w:r>
        <w:t>160mm</w:t>
      </w:r>
      <w:r>
        <w:t>。已建设到新疆湘晟新材料科技有限公司和哈密市新凯外墙保温防水材料厂的供气管道</w:t>
      </w:r>
      <w:r>
        <w:t>5.02km</w:t>
      </w:r>
      <w:r>
        <w:t>，其他企业未建设供气管线。本项目位于南部循环经济产业园中的</w:t>
      </w:r>
      <w:r>
        <w:rPr>
          <w:rFonts w:hint="eastAsia"/>
        </w:rPr>
        <w:t>煤</w:t>
      </w:r>
      <w:r>
        <w:t>化工产业区，依托园区供气</w:t>
      </w:r>
      <w:r>
        <w:t>设施是可行的。</w:t>
      </w:r>
    </w:p>
    <w:p w14:paraId="53FDAECF" w14:textId="77777777" w:rsidR="003E78AB" w:rsidRDefault="00010BF9">
      <w:pPr>
        <w:pStyle w:val="24"/>
        <w:keepNext w:val="0"/>
        <w:keepLines w:val="0"/>
        <w:topLinePunct/>
        <w:spacing w:before="120"/>
        <w:rPr>
          <w:rFonts w:cs="Times New Roman"/>
        </w:rPr>
      </w:pPr>
      <w:bookmarkStart w:id="297" w:name="_Toc24286"/>
      <w:bookmarkStart w:id="298" w:name="_Toc16464"/>
      <w:bookmarkStart w:id="299" w:name="_Toc14090"/>
      <w:bookmarkStart w:id="300" w:name="_Toc14517"/>
      <w:bookmarkStart w:id="301" w:name="_Toc107814664"/>
      <w:bookmarkStart w:id="302" w:name="_Toc109317097"/>
      <w:bookmarkStart w:id="303" w:name="_Toc107815139"/>
      <w:bookmarkStart w:id="304" w:name="_Toc107813901"/>
      <w:bookmarkStart w:id="305" w:name="_Toc109315968"/>
      <w:bookmarkStart w:id="306" w:name="_Toc109532399"/>
      <w:bookmarkStart w:id="307" w:name="_Toc107815436"/>
      <w:bookmarkStart w:id="308" w:name="_Toc108524354"/>
      <w:r>
        <w:rPr>
          <w:rFonts w:cs="Times New Roman"/>
        </w:rPr>
        <w:t>4.3</w:t>
      </w:r>
      <w:r>
        <w:rPr>
          <w:rFonts w:cs="Times New Roman"/>
        </w:rPr>
        <w:t>环境质量现状调查与评价</w:t>
      </w:r>
      <w:bookmarkEnd w:id="297"/>
      <w:bookmarkEnd w:id="298"/>
      <w:bookmarkEnd w:id="299"/>
      <w:bookmarkEnd w:id="300"/>
    </w:p>
    <w:p w14:paraId="46282F6A" w14:textId="77777777" w:rsidR="003E78AB" w:rsidRDefault="00010BF9">
      <w:pPr>
        <w:tabs>
          <w:tab w:val="left" w:pos="1633"/>
        </w:tabs>
        <w:ind w:firstLine="480"/>
      </w:pPr>
      <w:r>
        <w:t>本次环境质量现状调查在收集已有监测资料的基础上，针对本项目特征，按规范开展现场调查，本次评价环境大气、水、土壤、声环境质量现状调查与评价采用现场实测与引用数据相结合的方法。</w:t>
      </w:r>
    </w:p>
    <w:bookmarkEnd w:id="301"/>
    <w:bookmarkEnd w:id="302"/>
    <w:bookmarkEnd w:id="303"/>
    <w:bookmarkEnd w:id="304"/>
    <w:bookmarkEnd w:id="305"/>
    <w:bookmarkEnd w:id="306"/>
    <w:bookmarkEnd w:id="307"/>
    <w:bookmarkEnd w:id="308"/>
    <w:p w14:paraId="0EAFC4C9"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4.3.1</w:t>
      </w:r>
      <w:r>
        <w:rPr>
          <w:rFonts w:cs="Times New Roman"/>
          <w:sz w:val="28"/>
          <w:szCs w:val="28"/>
        </w:rPr>
        <w:t>大气环境质量现状调查与评价</w:t>
      </w:r>
    </w:p>
    <w:p w14:paraId="081D0D3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4.3.1.1</w:t>
      </w:r>
      <w:r>
        <w:rPr>
          <w:rFonts w:ascii="Times New Roman" w:hAnsi="Times New Roman"/>
        </w:rPr>
        <w:t>达标区判定</w:t>
      </w:r>
    </w:p>
    <w:p w14:paraId="5D91BC2B" w14:textId="77777777" w:rsidR="003E78AB" w:rsidRDefault="00010BF9">
      <w:pPr>
        <w:ind w:firstLine="480"/>
      </w:pPr>
      <w:r>
        <w:t>（</w:t>
      </w:r>
      <w:r>
        <w:t>1</w:t>
      </w:r>
      <w:r>
        <w:t>）数据来源</w:t>
      </w:r>
    </w:p>
    <w:p w14:paraId="3AECA3C0" w14:textId="77777777" w:rsidR="003E78AB" w:rsidRDefault="00010BF9">
      <w:pPr>
        <w:ind w:firstLine="480"/>
        <w:rPr>
          <w:kern w:val="2"/>
          <w:lang w:bidi="ar"/>
        </w:rPr>
      </w:pPr>
      <w:r>
        <w:t>根</w:t>
      </w:r>
      <w:r>
        <w:rPr>
          <w:kern w:val="2"/>
        </w:rPr>
        <w:t>据《环</w:t>
      </w:r>
      <w:r>
        <w:t>境影响评价技术导则</w:t>
      </w:r>
      <w:r>
        <w:rPr>
          <w:rFonts w:hint="eastAsia"/>
        </w:rPr>
        <w:t xml:space="preserve"> </w:t>
      </w:r>
      <w:r>
        <w:t>大气环境》（</w:t>
      </w:r>
      <w:r>
        <w:t>HJ2.2-2018</w:t>
      </w:r>
      <w:r>
        <w:t>）对环境质量现状数据的要求，本次评价选择中国环境影响评价网环境空气质量模型技术支持服务系统中哈密市</w:t>
      </w:r>
      <w:r>
        <w:t>202</w:t>
      </w:r>
      <w:r>
        <w:rPr>
          <w:rFonts w:hint="eastAsia"/>
        </w:rPr>
        <w:t>3</w:t>
      </w:r>
      <w:r>
        <w:t>年环境空气质量状况，作为本项目环境空</w:t>
      </w:r>
      <w:r>
        <w:rPr>
          <w:kern w:val="2"/>
          <w:lang w:bidi="ar"/>
        </w:rPr>
        <w:t>气现状评价</w:t>
      </w:r>
      <w:r>
        <w:rPr>
          <w:kern w:val="2"/>
          <w:lang w:bidi="ar"/>
        </w:rPr>
        <w:t>基本污染物</w:t>
      </w:r>
      <w:r>
        <w:rPr>
          <w:kern w:val="2"/>
          <w:lang w:bidi="ar"/>
        </w:rPr>
        <w:t>SO</w:t>
      </w:r>
      <w:r>
        <w:rPr>
          <w:kern w:val="2"/>
          <w:vertAlign w:val="subscript"/>
          <w:lang w:bidi="ar"/>
        </w:rPr>
        <w:t>2</w:t>
      </w:r>
      <w:r>
        <w:rPr>
          <w:kern w:val="2"/>
          <w:lang w:bidi="ar"/>
        </w:rPr>
        <w:t>、</w:t>
      </w:r>
      <w:r>
        <w:rPr>
          <w:kern w:val="2"/>
          <w:lang w:bidi="ar"/>
        </w:rPr>
        <w:t>NO</w:t>
      </w:r>
      <w:r>
        <w:rPr>
          <w:kern w:val="2"/>
          <w:vertAlign w:val="subscript"/>
          <w:lang w:bidi="ar"/>
        </w:rPr>
        <w:t>2</w:t>
      </w:r>
      <w:r>
        <w:rPr>
          <w:kern w:val="2"/>
          <w:lang w:bidi="ar"/>
        </w:rPr>
        <w:t>、</w:t>
      </w:r>
      <w:r>
        <w:rPr>
          <w:kern w:val="2"/>
          <w:lang w:bidi="ar"/>
        </w:rPr>
        <w:t>PM</w:t>
      </w:r>
      <w:r>
        <w:rPr>
          <w:kern w:val="2"/>
          <w:vertAlign w:val="subscript"/>
          <w:lang w:bidi="ar"/>
        </w:rPr>
        <w:t>10</w:t>
      </w:r>
      <w:r>
        <w:rPr>
          <w:kern w:val="2"/>
          <w:lang w:bidi="ar"/>
        </w:rPr>
        <w:t>、</w:t>
      </w:r>
      <w:r>
        <w:rPr>
          <w:kern w:val="2"/>
          <w:lang w:bidi="ar"/>
        </w:rPr>
        <w:t>PM</w:t>
      </w:r>
      <w:r>
        <w:rPr>
          <w:kern w:val="2"/>
          <w:vertAlign w:val="subscript"/>
          <w:lang w:bidi="ar"/>
        </w:rPr>
        <w:t>2.5</w:t>
      </w:r>
      <w:r>
        <w:rPr>
          <w:kern w:val="2"/>
          <w:lang w:bidi="ar"/>
        </w:rPr>
        <w:t>、</w:t>
      </w:r>
      <w:r>
        <w:rPr>
          <w:kern w:val="2"/>
          <w:lang w:bidi="ar"/>
        </w:rPr>
        <w:t>CO</w:t>
      </w:r>
      <w:r>
        <w:rPr>
          <w:kern w:val="2"/>
          <w:lang w:bidi="ar"/>
        </w:rPr>
        <w:t>和</w:t>
      </w:r>
      <w:r>
        <w:rPr>
          <w:kern w:val="2"/>
          <w:lang w:bidi="ar"/>
        </w:rPr>
        <w:t>O</w:t>
      </w:r>
      <w:r>
        <w:rPr>
          <w:kern w:val="2"/>
          <w:vertAlign w:val="subscript"/>
          <w:lang w:bidi="ar"/>
        </w:rPr>
        <w:t>3</w:t>
      </w:r>
      <w:r>
        <w:rPr>
          <w:kern w:val="2"/>
          <w:lang w:bidi="ar"/>
        </w:rPr>
        <w:t>的数据来源。</w:t>
      </w:r>
    </w:p>
    <w:p w14:paraId="2352C655" w14:textId="77777777" w:rsidR="003E78AB" w:rsidRDefault="00010BF9">
      <w:pPr>
        <w:ind w:firstLine="480"/>
        <w:rPr>
          <w:kern w:val="2"/>
          <w:lang w:bidi="ar"/>
        </w:rPr>
      </w:pPr>
      <w:r>
        <w:rPr>
          <w:kern w:val="2"/>
          <w:lang w:bidi="ar"/>
        </w:rPr>
        <w:t>（</w:t>
      </w:r>
      <w:r>
        <w:rPr>
          <w:kern w:val="2"/>
          <w:lang w:bidi="ar"/>
        </w:rPr>
        <w:t>2</w:t>
      </w:r>
      <w:r>
        <w:rPr>
          <w:kern w:val="2"/>
          <w:lang w:bidi="ar"/>
        </w:rPr>
        <w:t>）评价标准</w:t>
      </w:r>
    </w:p>
    <w:p w14:paraId="398F6C97" w14:textId="77777777" w:rsidR="003E78AB" w:rsidRDefault="00010BF9">
      <w:pPr>
        <w:ind w:firstLine="480"/>
        <w:rPr>
          <w:kern w:val="2"/>
        </w:rPr>
      </w:pPr>
      <w:r>
        <w:rPr>
          <w:kern w:val="2"/>
        </w:rPr>
        <w:t>本次评价基本污染物执行《环境空气质量标准》（</w:t>
      </w:r>
      <w:r>
        <w:rPr>
          <w:kern w:val="2"/>
        </w:rPr>
        <w:t>GB3095-2012</w:t>
      </w:r>
      <w:r>
        <w:rPr>
          <w:kern w:val="2"/>
        </w:rPr>
        <w:t>）及修改单中的二级标准。</w:t>
      </w:r>
    </w:p>
    <w:p w14:paraId="4E45C228" w14:textId="77777777" w:rsidR="003E78AB" w:rsidRDefault="00010BF9">
      <w:pPr>
        <w:ind w:firstLine="480"/>
        <w:rPr>
          <w:kern w:val="2"/>
          <w:lang w:bidi="ar"/>
        </w:rPr>
      </w:pPr>
      <w:r>
        <w:rPr>
          <w:kern w:val="2"/>
          <w:lang w:bidi="ar"/>
        </w:rPr>
        <w:t>（</w:t>
      </w:r>
      <w:r>
        <w:rPr>
          <w:kern w:val="2"/>
          <w:lang w:bidi="ar"/>
        </w:rPr>
        <w:t>3</w:t>
      </w:r>
      <w:r>
        <w:rPr>
          <w:kern w:val="2"/>
          <w:lang w:bidi="ar"/>
        </w:rPr>
        <w:t>）评价方法</w:t>
      </w:r>
    </w:p>
    <w:p w14:paraId="6536688C" w14:textId="77777777" w:rsidR="003E78AB" w:rsidRDefault="00010BF9">
      <w:pPr>
        <w:ind w:firstLine="480"/>
        <w:rPr>
          <w:kern w:val="2"/>
        </w:rPr>
      </w:pPr>
      <w:r>
        <w:rPr>
          <w:kern w:val="2"/>
        </w:rPr>
        <w:t>评价方法：基本污染物按照《环境空气质量评价技术规范（试行）》（</w:t>
      </w:r>
      <w:r>
        <w:rPr>
          <w:kern w:val="2"/>
        </w:rPr>
        <w:t>HJ663-2013</w:t>
      </w:r>
      <w:r>
        <w:rPr>
          <w:kern w:val="2"/>
        </w:rPr>
        <w:t>）中各评价项目的年评价指标进行判定。年评价指标中的年均浓度和相应百分位数</w:t>
      </w:r>
      <w:r>
        <w:rPr>
          <w:kern w:val="2"/>
        </w:rPr>
        <w:t>24h</w:t>
      </w:r>
      <w:r>
        <w:rPr>
          <w:kern w:val="2"/>
        </w:rPr>
        <w:t>平均或</w:t>
      </w:r>
      <w:r>
        <w:rPr>
          <w:kern w:val="2"/>
        </w:rPr>
        <w:t>8h</w:t>
      </w:r>
      <w:r>
        <w:rPr>
          <w:kern w:val="2"/>
        </w:rPr>
        <w:t>平均质量浓度满足《环境空气质量标准》（</w:t>
      </w:r>
      <w:r>
        <w:rPr>
          <w:kern w:val="2"/>
        </w:rPr>
        <w:t>GB3095-2012</w:t>
      </w:r>
      <w:r>
        <w:rPr>
          <w:kern w:val="2"/>
        </w:rPr>
        <w:t>）中浓度限值要求的即为达标。对于超标的污染物，计算其超标倍数和超标率。</w:t>
      </w:r>
    </w:p>
    <w:p w14:paraId="7355B1E6" w14:textId="77777777" w:rsidR="003E78AB" w:rsidRDefault="00010BF9">
      <w:pPr>
        <w:ind w:firstLine="480"/>
        <w:rPr>
          <w:kern w:val="2"/>
          <w:lang w:bidi="ar"/>
        </w:rPr>
      </w:pPr>
      <w:r>
        <w:rPr>
          <w:kern w:val="2"/>
          <w:lang w:bidi="ar"/>
        </w:rPr>
        <w:t>（</w:t>
      </w:r>
      <w:r>
        <w:rPr>
          <w:kern w:val="2"/>
          <w:lang w:bidi="ar"/>
        </w:rPr>
        <w:t>4</w:t>
      </w:r>
      <w:r>
        <w:rPr>
          <w:kern w:val="2"/>
          <w:lang w:bidi="ar"/>
        </w:rPr>
        <w:t>）空气质量达标区判定</w:t>
      </w:r>
    </w:p>
    <w:p w14:paraId="3996CC1A" w14:textId="77777777" w:rsidR="003E78AB" w:rsidRDefault="00010BF9">
      <w:pPr>
        <w:ind w:firstLine="480"/>
        <w:rPr>
          <w:kern w:val="2"/>
          <w:sz w:val="21"/>
        </w:rPr>
      </w:pPr>
      <w:r>
        <w:rPr>
          <w:kern w:val="2"/>
          <w:lang w:bidi="ar"/>
        </w:rPr>
        <w:t>哈密市</w:t>
      </w:r>
      <w:r>
        <w:rPr>
          <w:kern w:val="2"/>
          <w:lang w:bidi="ar"/>
        </w:rPr>
        <w:t>202</w:t>
      </w:r>
      <w:r>
        <w:rPr>
          <w:rFonts w:hint="eastAsia"/>
          <w:kern w:val="2"/>
          <w:lang w:bidi="ar"/>
        </w:rPr>
        <w:t>3</w:t>
      </w:r>
      <w:r>
        <w:rPr>
          <w:kern w:val="2"/>
          <w:lang w:bidi="ar"/>
        </w:rPr>
        <w:t>年空气质量达标区判定结果见</w:t>
      </w:r>
      <w:r>
        <w:rPr>
          <w:kern w:val="2"/>
          <w:lang w:bidi="ar"/>
        </w:rPr>
        <w:fldChar w:fldCharType="begin"/>
      </w:r>
      <w:r>
        <w:rPr>
          <w:kern w:val="2"/>
          <w:lang w:bidi="ar"/>
        </w:rPr>
        <w:instrText xml:space="preserve"> REF _Ref3141 \r \h </w:instrText>
      </w:r>
      <w:r>
        <w:rPr>
          <w:kern w:val="2"/>
          <w:lang w:bidi="ar"/>
        </w:rPr>
      </w:r>
      <w:r>
        <w:rPr>
          <w:kern w:val="2"/>
          <w:lang w:bidi="ar"/>
        </w:rPr>
        <w:fldChar w:fldCharType="separate"/>
      </w:r>
      <w:r>
        <w:rPr>
          <w:kern w:val="2"/>
          <w:lang w:bidi="ar"/>
        </w:rPr>
        <w:t>表</w:t>
      </w:r>
      <w:r>
        <w:rPr>
          <w:kern w:val="2"/>
          <w:lang w:bidi="ar"/>
        </w:rPr>
        <w:t>4-6</w:t>
      </w:r>
      <w:r>
        <w:rPr>
          <w:kern w:val="2"/>
          <w:lang w:bidi="ar"/>
        </w:rPr>
        <w:fldChar w:fldCharType="end"/>
      </w:r>
      <w:r>
        <w:rPr>
          <w:kern w:val="2"/>
          <w:lang w:bidi="ar"/>
        </w:rPr>
        <w:t>。</w:t>
      </w:r>
    </w:p>
    <w:p w14:paraId="6920CB8C" w14:textId="77777777" w:rsidR="003E78AB" w:rsidRDefault="00010BF9">
      <w:pPr>
        <w:pStyle w:val="a0"/>
        <w:rPr>
          <w:rFonts w:hint="default"/>
        </w:rPr>
      </w:pPr>
      <w:bookmarkStart w:id="309" w:name="_Ref3141"/>
      <w:r>
        <w:rPr>
          <w:rFonts w:hint="default"/>
        </w:rPr>
        <w:t>区域空气质量达标区判定结果表</w:t>
      </w:r>
      <w:r>
        <w:t xml:space="preserve">     </w:t>
      </w:r>
      <w:r>
        <w:rPr>
          <w:rFonts w:hint="default"/>
        </w:rPr>
        <w:t>单位：</w:t>
      </w:r>
      <w:r>
        <w:rPr>
          <w:rFonts w:ascii="黑体" w:hAnsi="黑体"/>
        </w:rPr>
        <w:t>μ</w:t>
      </w:r>
      <w:r>
        <w:t>g</w:t>
      </w:r>
      <w:r>
        <w:rPr>
          <w:rFonts w:hint="default"/>
        </w:rPr>
        <w:t>/m</w:t>
      </w:r>
      <w:r>
        <w:rPr>
          <w:rFonts w:hint="default"/>
          <w:vertAlign w:val="superscript"/>
        </w:rPr>
        <w:t>3</w:t>
      </w:r>
      <w:bookmarkEnd w:id="309"/>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2305"/>
        <w:gridCol w:w="1384"/>
        <w:gridCol w:w="1675"/>
        <w:gridCol w:w="1088"/>
        <w:gridCol w:w="1090"/>
      </w:tblGrid>
      <w:tr w:rsidR="003E78AB" w14:paraId="5FF1D78B" w14:textId="77777777">
        <w:trPr>
          <w:trHeight w:val="397"/>
          <w:tblHeader/>
        </w:trPr>
        <w:tc>
          <w:tcPr>
            <w:tcW w:w="570" w:type="pct"/>
            <w:vAlign w:val="center"/>
          </w:tcPr>
          <w:p w14:paraId="2A2DAC5A" w14:textId="77777777" w:rsidR="003E78AB" w:rsidRDefault="00010BF9">
            <w:pPr>
              <w:pStyle w:val="B1"/>
              <w:widowControl w:val="0"/>
              <w:rPr>
                <w:b/>
                <w:bCs/>
              </w:rPr>
            </w:pPr>
            <w:r>
              <w:rPr>
                <w:rFonts w:hint="eastAsia"/>
                <w:b/>
                <w:bCs/>
              </w:rPr>
              <w:t>污染物</w:t>
            </w:r>
          </w:p>
        </w:tc>
        <w:tc>
          <w:tcPr>
            <w:tcW w:w="1352" w:type="pct"/>
            <w:vAlign w:val="center"/>
          </w:tcPr>
          <w:p w14:paraId="3539C127" w14:textId="77777777" w:rsidR="003E78AB" w:rsidRDefault="00010BF9">
            <w:pPr>
              <w:pStyle w:val="B1"/>
              <w:widowControl w:val="0"/>
              <w:rPr>
                <w:b/>
                <w:bCs/>
              </w:rPr>
            </w:pPr>
            <w:r>
              <w:rPr>
                <w:rFonts w:hint="eastAsia"/>
                <w:b/>
                <w:bCs/>
              </w:rPr>
              <w:t>年评价指标</w:t>
            </w:r>
          </w:p>
        </w:tc>
        <w:tc>
          <w:tcPr>
            <w:tcW w:w="813" w:type="pct"/>
            <w:vAlign w:val="center"/>
          </w:tcPr>
          <w:p w14:paraId="03B3C173" w14:textId="77777777" w:rsidR="003E78AB" w:rsidRDefault="00010BF9">
            <w:pPr>
              <w:pStyle w:val="B1"/>
              <w:widowControl w:val="0"/>
              <w:rPr>
                <w:b/>
                <w:bCs/>
              </w:rPr>
            </w:pPr>
            <w:r>
              <w:rPr>
                <w:rFonts w:hint="eastAsia"/>
                <w:b/>
                <w:bCs/>
              </w:rPr>
              <w:t>现状浓度</w:t>
            </w:r>
          </w:p>
        </w:tc>
        <w:tc>
          <w:tcPr>
            <w:tcW w:w="983" w:type="pct"/>
            <w:vAlign w:val="center"/>
          </w:tcPr>
          <w:p w14:paraId="221108CF" w14:textId="77777777" w:rsidR="003E78AB" w:rsidRDefault="00010BF9">
            <w:pPr>
              <w:pStyle w:val="B1"/>
              <w:widowControl w:val="0"/>
              <w:rPr>
                <w:b/>
                <w:bCs/>
              </w:rPr>
            </w:pPr>
            <w:r>
              <w:rPr>
                <w:rFonts w:hint="eastAsia"/>
                <w:b/>
                <w:bCs/>
              </w:rPr>
              <w:t>标准值</w:t>
            </w:r>
          </w:p>
        </w:tc>
        <w:tc>
          <w:tcPr>
            <w:tcW w:w="639" w:type="pct"/>
            <w:vAlign w:val="center"/>
          </w:tcPr>
          <w:p w14:paraId="028BB13D" w14:textId="77777777" w:rsidR="003E78AB" w:rsidRDefault="00010BF9">
            <w:pPr>
              <w:pStyle w:val="B1"/>
              <w:widowControl w:val="0"/>
              <w:rPr>
                <w:b/>
                <w:bCs/>
              </w:rPr>
            </w:pPr>
            <w:r>
              <w:rPr>
                <w:rFonts w:hint="eastAsia"/>
                <w:b/>
                <w:bCs/>
              </w:rPr>
              <w:t>占标率</w:t>
            </w:r>
            <w:r>
              <w:rPr>
                <w:b/>
                <w:bCs/>
              </w:rPr>
              <w:t>%</w:t>
            </w:r>
          </w:p>
        </w:tc>
        <w:tc>
          <w:tcPr>
            <w:tcW w:w="640" w:type="pct"/>
            <w:vAlign w:val="center"/>
          </w:tcPr>
          <w:p w14:paraId="441B21F0" w14:textId="77777777" w:rsidR="003E78AB" w:rsidRDefault="00010BF9">
            <w:pPr>
              <w:pStyle w:val="B1"/>
              <w:widowControl w:val="0"/>
              <w:rPr>
                <w:b/>
                <w:bCs/>
              </w:rPr>
            </w:pPr>
            <w:r>
              <w:rPr>
                <w:rFonts w:hint="eastAsia"/>
                <w:b/>
                <w:bCs/>
              </w:rPr>
              <w:t>达标情况</w:t>
            </w:r>
          </w:p>
        </w:tc>
      </w:tr>
      <w:tr w:rsidR="003E78AB" w14:paraId="508375B5" w14:textId="77777777">
        <w:trPr>
          <w:trHeight w:val="397"/>
          <w:tblHeader/>
        </w:trPr>
        <w:tc>
          <w:tcPr>
            <w:tcW w:w="570" w:type="pct"/>
            <w:vMerge w:val="restart"/>
            <w:vAlign w:val="center"/>
          </w:tcPr>
          <w:p w14:paraId="5BE6DACB" w14:textId="77777777" w:rsidR="003E78AB" w:rsidRDefault="00010BF9">
            <w:pPr>
              <w:pStyle w:val="B1"/>
              <w:widowControl w:val="0"/>
            </w:pPr>
            <w:r>
              <w:t>SO</w:t>
            </w:r>
            <w:r>
              <w:rPr>
                <w:vertAlign w:val="subscript"/>
              </w:rPr>
              <w:t>2</w:t>
            </w:r>
          </w:p>
        </w:tc>
        <w:tc>
          <w:tcPr>
            <w:tcW w:w="1352" w:type="pct"/>
            <w:vAlign w:val="center"/>
          </w:tcPr>
          <w:p w14:paraId="42647BC8" w14:textId="77777777" w:rsidR="003E78AB" w:rsidRDefault="00010BF9">
            <w:pPr>
              <w:pStyle w:val="B1"/>
              <w:widowControl w:val="0"/>
            </w:pPr>
            <w:r>
              <w:rPr>
                <w:rFonts w:hint="eastAsia"/>
              </w:rPr>
              <w:t>年平均质量浓度</w:t>
            </w:r>
          </w:p>
        </w:tc>
        <w:tc>
          <w:tcPr>
            <w:tcW w:w="813" w:type="pct"/>
            <w:vAlign w:val="center"/>
          </w:tcPr>
          <w:p w14:paraId="23ED7FEC" w14:textId="77777777" w:rsidR="003E78AB" w:rsidRDefault="00010BF9">
            <w:pPr>
              <w:pStyle w:val="B1"/>
              <w:widowControl w:val="0"/>
            </w:pPr>
            <w:r>
              <w:rPr>
                <w:rFonts w:hint="eastAsia"/>
              </w:rPr>
              <w:t>5.7</w:t>
            </w:r>
          </w:p>
        </w:tc>
        <w:tc>
          <w:tcPr>
            <w:tcW w:w="983" w:type="pct"/>
            <w:vAlign w:val="center"/>
          </w:tcPr>
          <w:p w14:paraId="69515986" w14:textId="77777777" w:rsidR="003E78AB" w:rsidRDefault="00010BF9">
            <w:pPr>
              <w:pStyle w:val="B1"/>
              <w:widowControl w:val="0"/>
            </w:pPr>
            <w:r>
              <w:rPr>
                <w:rFonts w:hint="eastAsia"/>
              </w:rPr>
              <w:t>20</w:t>
            </w:r>
            <w:r>
              <w:t xml:space="preserve"> </w:t>
            </w:r>
          </w:p>
        </w:tc>
        <w:tc>
          <w:tcPr>
            <w:tcW w:w="639" w:type="pct"/>
            <w:vAlign w:val="center"/>
          </w:tcPr>
          <w:p w14:paraId="70E44CE2" w14:textId="77777777" w:rsidR="003E78AB" w:rsidRDefault="00010BF9">
            <w:pPr>
              <w:pStyle w:val="B1"/>
              <w:widowControl w:val="0"/>
            </w:pPr>
            <w:r>
              <w:rPr>
                <w:rFonts w:hint="eastAsia"/>
              </w:rPr>
              <w:t>28.5</w:t>
            </w:r>
          </w:p>
        </w:tc>
        <w:tc>
          <w:tcPr>
            <w:tcW w:w="640" w:type="pct"/>
            <w:vAlign w:val="center"/>
          </w:tcPr>
          <w:p w14:paraId="016666D4" w14:textId="77777777" w:rsidR="003E78AB" w:rsidRDefault="00010BF9">
            <w:pPr>
              <w:pStyle w:val="B1"/>
              <w:widowControl w:val="0"/>
            </w:pPr>
            <w:r>
              <w:rPr>
                <w:rFonts w:hint="eastAsia"/>
              </w:rPr>
              <w:t>达标</w:t>
            </w:r>
          </w:p>
        </w:tc>
      </w:tr>
      <w:tr w:rsidR="003E78AB" w14:paraId="12EE15DC" w14:textId="77777777">
        <w:trPr>
          <w:trHeight w:val="397"/>
          <w:tblHeader/>
        </w:trPr>
        <w:tc>
          <w:tcPr>
            <w:tcW w:w="570" w:type="pct"/>
            <w:vMerge/>
            <w:vAlign w:val="center"/>
          </w:tcPr>
          <w:p w14:paraId="5E477E6A" w14:textId="77777777" w:rsidR="003E78AB" w:rsidRDefault="003E78AB">
            <w:pPr>
              <w:pStyle w:val="B1"/>
              <w:widowControl w:val="0"/>
            </w:pPr>
          </w:p>
        </w:tc>
        <w:tc>
          <w:tcPr>
            <w:tcW w:w="1352" w:type="pct"/>
            <w:vAlign w:val="center"/>
          </w:tcPr>
          <w:p w14:paraId="77C98FC2" w14:textId="77777777" w:rsidR="003E78AB" w:rsidRDefault="00010BF9">
            <w:pPr>
              <w:pStyle w:val="B1"/>
              <w:widowControl w:val="0"/>
            </w:pPr>
            <w:r>
              <w:rPr>
                <w:rFonts w:hint="eastAsia"/>
              </w:rPr>
              <w:t>日平均第</w:t>
            </w:r>
            <w:r>
              <w:t>98</w:t>
            </w:r>
            <w:r>
              <w:rPr>
                <w:rFonts w:hint="eastAsia"/>
              </w:rPr>
              <w:t>百分位数</w:t>
            </w:r>
          </w:p>
        </w:tc>
        <w:tc>
          <w:tcPr>
            <w:tcW w:w="813" w:type="pct"/>
            <w:vAlign w:val="center"/>
          </w:tcPr>
          <w:p w14:paraId="0A9CEADC" w14:textId="77777777" w:rsidR="003E78AB" w:rsidRDefault="00010BF9">
            <w:pPr>
              <w:pStyle w:val="B1"/>
              <w:widowControl w:val="0"/>
            </w:pPr>
            <w:r>
              <w:t>1</w:t>
            </w:r>
            <w:r>
              <w:rPr>
                <w:rFonts w:hint="eastAsia"/>
              </w:rPr>
              <w:t>5</w:t>
            </w:r>
            <w:r>
              <w:t xml:space="preserve">.00 </w:t>
            </w:r>
          </w:p>
        </w:tc>
        <w:tc>
          <w:tcPr>
            <w:tcW w:w="983" w:type="pct"/>
            <w:vAlign w:val="center"/>
          </w:tcPr>
          <w:p w14:paraId="40EAA442" w14:textId="77777777" w:rsidR="003E78AB" w:rsidRDefault="00010BF9">
            <w:pPr>
              <w:pStyle w:val="B1"/>
              <w:widowControl w:val="0"/>
            </w:pPr>
            <w:r>
              <w:t xml:space="preserve">50.00 </w:t>
            </w:r>
          </w:p>
        </w:tc>
        <w:tc>
          <w:tcPr>
            <w:tcW w:w="639" w:type="pct"/>
            <w:vAlign w:val="center"/>
          </w:tcPr>
          <w:p w14:paraId="04AC4382" w14:textId="77777777" w:rsidR="003E78AB" w:rsidRDefault="00010BF9">
            <w:pPr>
              <w:pStyle w:val="B1"/>
              <w:widowControl w:val="0"/>
            </w:pPr>
            <w:r>
              <w:rPr>
                <w:rFonts w:hint="eastAsia"/>
              </w:rPr>
              <w:t>30</w:t>
            </w:r>
          </w:p>
        </w:tc>
        <w:tc>
          <w:tcPr>
            <w:tcW w:w="640" w:type="pct"/>
            <w:vAlign w:val="center"/>
          </w:tcPr>
          <w:p w14:paraId="5FA6894C" w14:textId="77777777" w:rsidR="003E78AB" w:rsidRDefault="00010BF9">
            <w:pPr>
              <w:pStyle w:val="B1"/>
              <w:widowControl w:val="0"/>
            </w:pPr>
            <w:r>
              <w:rPr>
                <w:rFonts w:hint="eastAsia"/>
              </w:rPr>
              <w:t>达标</w:t>
            </w:r>
          </w:p>
        </w:tc>
      </w:tr>
      <w:tr w:rsidR="003E78AB" w14:paraId="6F93D0EC" w14:textId="77777777">
        <w:trPr>
          <w:trHeight w:val="397"/>
          <w:tblHeader/>
        </w:trPr>
        <w:tc>
          <w:tcPr>
            <w:tcW w:w="570" w:type="pct"/>
            <w:vMerge w:val="restart"/>
            <w:vAlign w:val="center"/>
          </w:tcPr>
          <w:p w14:paraId="52C945F4" w14:textId="77777777" w:rsidR="003E78AB" w:rsidRDefault="00010BF9">
            <w:pPr>
              <w:pStyle w:val="B1"/>
              <w:widowControl w:val="0"/>
            </w:pPr>
            <w:r>
              <w:t>NO</w:t>
            </w:r>
            <w:r>
              <w:rPr>
                <w:vertAlign w:val="subscript"/>
              </w:rPr>
              <w:t>2</w:t>
            </w:r>
          </w:p>
        </w:tc>
        <w:tc>
          <w:tcPr>
            <w:tcW w:w="1352" w:type="pct"/>
            <w:vAlign w:val="center"/>
          </w:tcPr>
          <w:p w14:paraId="0E8D81DA" w14:textId="77777777" w:rsidR="003E78AB" w:rsidRDefault="00010BF9">
            <w:pPr>
              <w:pStyle w:val="B1"/>
              <w:widowControl w:val="0"/>
            </w:pPr>
            <w:r>
              <w:rPr>
                <w:rFonts w:hint="eastAsia"/>
              </w:rPr>
              <w:t>年平均质量浓度</w:t>
            </w:r>
          </w:p>
        </w:tc>
        <w:tc>
          <w:tcPr>
            <w:tcW w:w="813" w:type="pct"/>
            <w:vAlign w:val="center"/>
          </w:tcPr>
          <w:p w14:paraId="65BB445C" w14:textId="77777777" w:rsidR="003E78AB" w:rsidRDefault="00010BF9">
            <w:pPr>
              <w:pStyle w:val="B1"/>
              <w:widowControl w:val="0"/>
            </w:pPr>
            <w:r>
              <w:rPr>
                <w:rFonts w:hint="eastAsia"/>
              </w:rPr>
              <w:t>26.6</w:t>
            </w:r>
          </w:p>
        </w:tc>
        <w:tc>
          <w:tcPr>
            <w:tcW w:w="983" w:type="pct"/>
            <w:vAlign w:val="center"/>
          </w:tcPr>
          <w:p w14:paraId="5C3A7827" w14:textId="77777777" w:rsidR="003E78AB" w:rsidRDefault="00010BF9">
            <w:pPr>
              <w:pStyle w:val="B1"/>
              <w:widowControl w:val="0"/>
            </w:pPr>
            <w:r>
              <w:rPr>
                <w:rFonts w:hint="eastAsia"/>
              </w:rPr>
              <w:t>40</w:t>
            </w:r>
          </w:p>
        </w:tc>
        <w:tc>
          <w:tcPr>
            <w:tcW w:w="639" w:type="pct"/>
            <w:vAlign w:val="center"/>
          </w:tcPr>
          <w:p w14:paraId="4A205E3D" w14:textId="77777777" w:rsidR="003E78AB" w:rsidRDefault="00010BF9">
            <w:pPr>
              <w:pStyle w:val="B1"/>
              <w:widowControl w:val="0"/>
            </w:pPr>
            <w:r>
              <w:rPr>
                <w:rFonts w:hint="eastAsia"/>
              </w:rPr>
              <w:t>66.5</w:t>
            </w:r>
          </w:p>
        </w:tc>
        <w:tc>
          <w:tcPr>
            <w:tcW w:w="640" w:type="pct"/>
            <w:vAlign w:val="center"/>
          </w:tcPr>
          <w:p w14:paraId="56CC1D7B" w14:textId="77777777" w:rsidR="003E78AB" w:rsidRDefault="00010BF9">
            <w:pPr>
              <w:pStyle w:val="B1"/>
              <w:widowControl w:val="0"/>
            </w:pPr>
            <w:r>
              <w:rPr>
                <w:rFonts w:hint="eastAsia"/>
              </w:rPr>
              <w:t>达标</w:t>
            </w:r>
          </w:p>
        </w:tc>
      </w:tr>
      <w:tr w:rsidR="003E78AB" w14:paraId="1007D5D4" w14:textId="77777777">
        <w:trPr>
          <w:trHeight w:val="397"/>
          <w:tblHeader/>
        </w:trPr>
        <w:tc>
          <w:tcPr>
            <w:tcW w:w="570" w:type="pct"/>
            <w:vMerge/>
            <w:vAlign w:val="center"/>
          </w:tcPr>
          <w:p w14:paraId="14C2D464" w14:textId="77777777" w:rsidR="003E78AB" w:rsidRDefault="003E78AB">
            <w:pPr>
              <w:pStyle w:val="B1"/>
              <w:widowControl w:val="0"/>
            </w:pPr>
          </w:p>
        </w:tc>
        <w:tc>
          <w:tcPr>
            <w:tcW w:w="1352" w:type="pct"/>
            <w:vAlign w:val="center"/>
          </w:tcPr>
          <w:p w14:paraId="115AAE1D" w14:textId="77777777" w:rsidR="003E78AB" w:rsidRDefault="00010BF9">
            <w:pPr>
              <w:pStyle w:val="B1"/>
              <w:widowControl w:val="0"/>
            </w:pPr>
            <w:r>
              <w:rPr>
                <w:rFonts w:hint="eastAsia"/>
              </w:rPr>
              <w:t>日平均第</w:t>
            </w:r>
            <w:r>
              <w:t>98</w:t>
            </w:r>
            <w:r>
              <w:rPr>
                <w:rFonts w:hint="eastAsia"/>
              </w:rPr>
              <w:t>百分位数</w:t>
            </w:r>
          </w:p>
        </w:tc>
        <w:tc>
          <w:tcPr>
            <w:tcW w:w="813" w:type="pct"/>
            <w:vAlign w:val="center"/>
          </w:tcPr>
          <w:p w14:paraId="5ED64156" w14:textId="77777777" w:rsidR="003E78AB" w:rsidRDefault="00010BF9">
            <w:pPr>
              <w:pStyle w:val="B1"/>
              <w:widowControl w:val="0"/>
            </w:pPr>
            <w:r>
              <w:rPr>
                <w:rFonts w:hint="eastAsia"/>
              </w:rPr>
              <w:t>51.44</w:t>
            </w:r>
            <w:r>
              <w:t xml:space="preserve"> </w:t>
            </w:r>
          </w:p>
        </w:tc>
        <w:tc>
          <w:tcPr>
            <w:tcW w:w="983" w:type="pct"/>
            <w:vAlign w:val="center"/>
          </w:tcPr>
          <w:p w14:paraId="5C955FED" w14:textId="77777777" w:rsidR="003E78AB" w:rsidRDefault="00010BF9">
            <w:pPr>
              <w:pStyle w:val="B1"/>
              <w:widowControl w:val="0"/>
            </w:pPr>
            <w:r>
              <w:rPr>
                <w:rFonts w:hint="eastAsia"/>
              </w:rPr>
              <w:t>80</w:t>
            </w:r>
          </w:p>
        </w:tc>
        <w:tc>
          <w:tcPr>
            <w:tcW w:w="639" w:type="pct"/>
            <w:vAlign w:val="center"/>
          </w:tcPr>
          <w:p w14:paraId="698DDF36" w14:textId="77777777" w:rsidR="003E78AB" w:rsidRDefault="00010BF9">
            <w:pPr>
              <w:pStyle w:val="B1"/>
              <w:widowControl w:val="0"/>
            </w:pPr>
            <w:r>
              <w:rPr>
                <w:rFonts w:hint="eastAsia"/>
              </w:rPr>
              <w:t>64.3</w:t>
            </w:r>
          </w:p>
        </w:tc>
        <w:tc>
          <w:tcPr>
            <w:tcW w:w="640" w:type="pct"/>
            <w:vAlign w:val="center"/>
          </w:tcPr>
          <w:p w14:paraId="02B90BD7" w14:textId="77777777" w:rsidR="003E78AB" w:rsidRDefault="00010BF9">
            <w:pPr>
              <w:pStyle w:val="B1"/>
              <w:widowControl w:val="0"/>
            </w:pPr>
            <w:r>
              <w:rPr>
                <w:rFonts w:hint="eastAsia"/>
              </w:rPr>
              <w:t>达标</w:t>
            </w:r>
          </w:p>
        </w:tc>
      </w:tr>
      <w:tr w:rsidR="003E78AB" w14:paraId="5E268734" w14:textId="77777777">
        <w:trPr>
          <w:trHeight w:val="397"/>
          <w:tblHeader/>
        </w:trPr>
        <w:tc>
          <w:tcPr>
            <w:tcW w:w="570" w:type="pct"/>
            <w:vMerge w:val="restart"/>
            <w:vAlign w:val="center"/>
          </w:tcPr>
          <w:p w14:paraId="17A2EBA1" w14:textId="77777777" w:rsidR="003E78AB" w:rsidRDefault="00010BF9">
            <w:pPr>
              <w:pStyle w:val="B1"/>
              <w:widowControl w:val="0"/>
            </w:pPr>
            <w:r>
              <w:t>PM</w:t>
            </w:r>
            <w:r>
              <w:rPr>
                <w:vertAlign w:val="subscript"/>
              </w:rPr>
              <w:t>10</w:t>
            </w:r>
          </w:p>
        </w:tc>
        <w:tc>
          <w:tcPr>
            <w:tcW w:w="1352" w:type="pct"/>
            <w:vAlign w:val="center"/>
          </w:tcPr>
          <w:p w14:paraId="60364026" w14:textId="77777777" w:rsidR="003E78AB" w:rsidRDefault="00010BF9">
            <w:pPr>
              <w:pStyle w:val="B1"/>
              <w:widowControl w:val="0"/>
              <w:rPr>
                <w:highlight w:val="yellow"/>
              </w:rPr>
            </w:pPr>
            <w:r>
              <w:rPr>
                <w:rFonts w:hint="eastAsia"/>
              </w:rPr>
              <w:t>年平均质量浓度</w:t>
            </w:r>
          </w:p>
        </w:tc>
        <w:tc>
          <w:tcPr>
            <w:tcW w:w="813" w:type="pct"/>
            <w:vAlign w:val="center"/>
          </w:tcPr>
          <w:p w14:paraId="1C47E8A5" w14:textId="77777777" w:rsidR="003E78AB" w:rsidRDefault="00010BF9">
            <w:pPr>
              <w:pStyle w:val="B1"/>
              <w:widowControl w:val="0"/>
            </w:pPr>
            <w:r>
              <w:rPr>
                <w:rFonts w:hint="eastAsia"/>
              </w:rPr>
              <w:t>123.28</w:t>
            </w:r>
          </w:p>
        </w:tc>
        <w:tc>
          <w:tcPr>
            <w:tcW w:w="983" w:type="pct"/>
            <w:vAlign w:val="center"/>
          </w:tcPr>
          <w:p w14:paraId="0DB4B891" w14:textId="77777777" w:rsidR="003E78AB" w:rsidRDefault="00010BF9">
            <w:pPr>
              <w:pStyle w:val="B1"/>
              <w:widowControl w:val="0"/>
            </w:pPr>
            <w:r>
              <w:rPr>
                <w:rFonts w:hint="eastAsia"/>
              </w:rPr>
              <w:t>15</w:t>
            </w:r>
          </w:p>
        </w:tc>
        <w:tc>
          <w:tcPr>
            <w:tcW w:w="639" w:type="pct"/>
            <w:vAlign w:val="center"/>
          </w:tcPr>
          <w:p w14:paraId="6919561C" w14:textId="77777777" w:rsidR="003E78AB" w:rsidRDefault="00010BF9">
            <w:pPr>
              <w:pStyle w:val="B1"/>
              <w:widowControl w:val="0"/>
            </w:pPr>
            <w:r>
              <w:rPr>
                <w:rFonts w:hint="eastAsia"/>
              </w:rPr>
              <w:t>821.87</w:t>
            </w:r>
          </w:p>
        </w:tc>
        <w:tc>
          <w:tcPr>
            <w:tcW w:w="640" w:type="pct"/>
            <w:vAlign w:val="center"/>
          </w:tcPr>
          <w:p w14:paraId="0C095C4C" w14:textId="77777777" w:rsidR="003E78AB" w:rsidRDefault="00010BF9">
            <w:pPr>
              <w:pStyle w:val="B1"/>
              <w:widowControl w:val="0"/>
              <w:rPr>
                <w:highlight w:val="yellow"/>
              </w:rPr>
            </w:pPr>
            <w:r>
              <w:rPr>
                <w:rFonts w:hint="eastAsia"/>
              </w:rPr>
              <w:t>超标</w:t>
            </w:r>
          </w:p>
        </w:tc>
      </w:tr>
      <w:tr w:rsidR="003E78AB" w14:paraId="26EADEFC" w14:textId="77777777">
        <w:trPr>
          <w:trHeight w:val="397"/>
          <w:tblHeader/>
        </w:trPr>
        <w:tc>
          <w:tcPr>
            <w:tcW w:w="570" w:type="pct"/>
            <w:vMerge/>
            <w:vAlign w:val="center"/>
          </w:tcPr>
          <w:p w14:paraId="071DCD8E" w14:textId="77777777" w:rsidR="003E78AB" w:rsidRDefault="003E78AB">
            <w:pPr>
              <w:pStyle w:val="B1"/>
              <w:widowControl w:val="0"/>
            </w:pPr>
          </w:p>
        </w:tc>
        <w:tc>
          <w:tcPr>
            <w:tcW w:w="1352" w:type="pct"/>
            <w:vAlign w:val="center"/>
          </w:tcPr>
          <w:p w14:paraId="1D637723" w14:textId="77777777" w:rsidR="003E78AB" w:rsidRDefault="00010BF9">
            <w:pPr>
              <w:pStyle w:val="B1"/>
              <w:widowControl w:val="0"/>
              <w:rPr>
                <w:highlight w:val="yellow"/>
              </w:rPr>
            </w:pPr>
            <w:r>
              <w:rPr>
                <w:rFonts w:hint="eastAsia"/>
              </w:rPr>
              <w:t>日平均第</w:t>
            </w:r>
            <w:r>
              <w:t>95</w:t>
            </w:r>
            <w:r>
              <w:rPr>
                <w:rFonts w:hint="eastAsia"/>
              </w:rPr>
              <w:t>百分位数</w:t>
            </w:r>
          </w:p>
        </w:tc>
        <w:tc>
          <w:tcPr>
            <w:tcW w:w="813" w:type="pct"/>
            <w:vAlign w:val="center"/>
          </w:tcPr>
          <w:p w14:paraId="0BDE362F" w14:textId="77777777" w:rsidR="003E78AB" w:rsidRDefault="00010BF9">
            <w:pPr>
              <w:pStyle w:val="B1"/>
              <w:widowControl w:val="0"/>
            </w:pPr>
            <w:r>
              <w:rPr>
                <w:rFonts w:hint="eastAsia"/>
              </w:rPr>
              <w:t>268.00</w:t>
            </w:r>
          </w:p>
        </w:tc>
        <w:tc>
          <w:tcPr>
            <w:tcW w:w="983" w:type="pct"/>
            <w:vAlign w:val="center"/>
          </w:tcPr>
          <w:p w14:paraId="66D172F4" w14:textId="77777777" w:rsidR="003E78AB" w:rsidRDefault="00010BF9">
            <w:pPr>
              <w:pStyle w:val="B1"/>
              <w:widowControl w:val="0"/>
            </w:pPr>
            <w:r>
              <w:rPr>
                <w:rFonts w:hint="eastAsia"/>
              </w:rPr>
              <w:t>35</w:t>
            </w:r>
          </w:p>
        </w:tc>
        <w:tc>
          <w:tcPr>
            <w:tcW w:w="639" w:type="pct"/>
            <w:vAlign w:val="center"/>
          </w:tcPr>
          <w:p w14:paraId="0C33D83B" w14:textId="77777777" w:rsidR="003E78AB" w:rsidRDefault="00010BF9">
            <w:pPr>
              <w:pStyle w:val="B1"/>
              <w:widowControl w:val="0"/>
            </w:pPr>
            <w:r>
              <w:rPr>
                <w:rFonts w:hint="eastAsia"/>
              </w:rPr>
              <w:t>765.72</w:t>
            </w:r>
          </w:p>
        </w:tc>
        <w:tc>
          <w:tcPr>
            <w:tcW w:w="640" w:type="pct"/>
            <w:vAlign w:val="center"/>
          </w:tcPr>
          <w:p w14:paraId="3BFAFDE4" w14:textId="77777777" w:rsidR="003E78AB" w:rsidRDefault="00010BF9">
            <w:pPr>
              <w:pStyle w:val="B1"/>
              <w:widowControl w:val="0"/>
              <w:rPr>
                <w:highlight w:val="yellow"/>
              </w:rPr>
            </w:pPr>
            <w:r>
              <w:rPr>
                <w:rFonts w:hint="eastAsia"/>
              </w:rPr>
              <w:t>超标</w:t>
            </w:r>
          </w:p>
        </w:tc>
      </w:tr>
      <w:tr w:rsidR="003E78AB" w14:paraId="4B12CC52" w14:textId="77777777">
        <w:trPr>
          <w:trHeight w:val="397"/>
          <w:tblHeader/>
        </w:trPr>
        <w:tc>
          <w:tcPr>
            <w:tcW w:w="570" w:type="pct"/>
            <w:vMerge w:val="restart"/>
            <w:vAlign w:val="center"/>
          </w:tcPr>
          <w:p w14:paraId="1B792425" w14:textId="77777777" w:rsidR="003E78AB" w:rsidRDefault="00010BF9">
            <w:pPr>
              <w:pStyle w:val="B1"/>
              <w:widowControl w:val="0"/>
            </w:pPr>
            <w:r>
              <w:t>PM</w:t>
            </w:r>
            <w:r>
              <w:rPr>
                <w:vertAlign w:val="subscript"/>
              </w:rPr>
              <w:t>2.5</w:t>
            </w:r>
          </w:p>
        </w:tc>
        <w:tc>
          <w:tcPr>
            <w:tcW w:w="1352" w:type="pct"/>
            <w:vAlign w:val="center"/>
          </w:tcPr>
          <w:p w14:paraId="116C5492" w14:textId="77777777" w:rsidR="003E78AB" w:rsidRDefault="00010BF9">
            <w:pPr>
              <w:pStyle w:val="B1"/>
              <w:widowControl w:val="0"/>
              <w:rPr>
                <w:highlight w:val="yellow"/>
              </w:rPr>
            </w:pPr>
            <w:r>
              <w:rPr>
                <w:rFonts w:hint="eastAsia"/>
              </w:rPr>
              <w:t>年平均质量浓度</w:t>
            </w:r>
          </w:p>
        </w:tc>
        <w:tc>
          <w:tcPr>
            <w:tcW w:w="813" w:type="pct"/>
            <w:vAlign w:val="center"/>
          </w:tcPr>
          <w:p w14:paraId="03F51034" w14:textId="77777777" w:rsidR="003E78AB" w:rsidRDefault="00010BF9">
            <w:pPr>
              <w:pStyle w:val="B1"/>
              <w:widowControl w:val="0"/>
            </w:pPr>
            <w:r>
              <w:rPr>
                <w:rFonts w:hint="eastAsia"/>
              </w:rPr>
              <w:t>22.68</w:t>
            </w:r>
          </w:p>
        </w:tc>
        <w:tc>
          <w:tcPr>
            <w:tcW w:w="983" w:type="pct"/>
            <w:vAlign w:val="center"/>
          </w:tcPr>
          <w:p w14:paraId="6B7B3FFA" w14:textId="77777777" w:rsidR="003E78AB" w:rsidRDefault="00010BF9">
            <w:pPr>
              <w:pStyle w:val="B1"/>
              <w:widowControl w:val="0"/>
            </w:pPr>
            <w:r>
              <w:rPr>
                <w:rFonts w:hint="eastAsia"/>
              </w:rPr>
              <w:t>40</w:t>
            </w:r>
          </w:p>
        </w:tc>
        <w:tc>
          <w:tcPr>
            <w:tcW w:w="639" w:type="pct"/>
            <w:vAlign w:val="center"/>
          </w:tcPr>
          <w:p w14:paraId="725256A6" w14:textId="77777777" w:rsidR="003E78AB" w:rsidRDefault="00010BF9">
            <w:pPr>
              <w:pStyle w:val="B1"/>
              <w:widowControl w:val="0"/>
            </w:pPr>
            <w:r>
              <w:rPr>
                <w:rFonts w:hint="eastAsia"/>
              </w:rPr>
              <w:t>56.7</w:t>
            </w:r>
          </w:p>
        </w:tc>
        <w:tc>
          <w:tcPr>
            <w:tcW w:w="640" w:type="pct"/>
            <w:vAlign w:val="center"/>
          </w:tcPr>
          <w:p w14:paraId="5BD30FD2" w14:textId="77777777" w:rsidR="003E78AB" w:rsidRDefault="00010BF9">
            <w:pPr>
              <w:pStyle w:val="B1"/>
              <w:widowControl w:val="0"/>
              <w:rPr>
                <w:highlight w:val="yellow"/>
              </w:rPr>
            </w:pPr>
            <w:r>
              <w:rPr>
                <w:rFonts w:hint="eastAsia"/>
              </w:rPr>
              <w:t>达标</w:t>
            </w:r>
          </w:p>
        </w:tc>
      </w:tr>
      <w:tr w:rsidR="003E78AB" w14:paraId="4CB060BB" w14:textId="77777777">
        <w:trPr>
          <w:trHeight w:val="397"/>
          <w:tblHeader/>
        </w:trPr>
        <w:tc>
          <w:tcPr>
            <w:tcW w:w="570" w:type="pct"/>
            <w:vMerge/>
            <w:vAlign w:val="center"/>
          </w:tcPr>
          <w:p w14:paraId="2B35483F" w14:textId="77777777" w:rsidR="003E78AB" w:rsidRDefault="003E78AB">
            <w:pPr>
              <w:pStyle w:val="B1"/>
              <w:widowControl w:val="0"/>
            </w:pPr>
          </w:p>
        </w:tc>
        <w:tc>
          <w:tcPr>
            <w:tcW w:w="1352" w:type="pct"/>
            <w:vAlign w:val="center"/>
          </w:tcPr>
          <w:p w14:paraId="3621664A" w14:textId="77777777" w:rsidR="003E78AB" w:rsidRDefault="00010BF9">
            <w:pPr>
              <w:pStyle w:val="B1"/>
              <w:widowControl w:val="0"/>
              <w:rPr>
                <w:highlight w:val="yellow"/>
              </w:rPr>
            </w:pPr>
            <w:r>
              <w:rPr>
                <w:rFonts w:hint="eastAsia"/>
              </w:rPr>
              <w:t>日平均第</w:t>
            </w:r>
            <w:r>
              <w:t>95</w:t>
            </w:r>
            <w:r>
              <w:rPr>
                <w:rFonts w:hint="eastAsia"/>
              </w:rPr>
              <w:t>百分位数</w:t>
            </w:r>
          </w:p>
        </w:tc>
        <w:tc>
          <w:tcPr>
            <w:tcW w:w="813" w:type="pct"/>
            <w:vAlign w:val="center"/>
          </w:tcPr>
          <w:p w14:paraId="3A5DF0B6" w14:textId="77777777" w:rsidR="003E78AB" w:rsidRDefault="00010BF9">
            <w:pPr>
              <w:pStyle w:val="B1"/>
              <w:widowControl w:val="0"/>
            </w:pPr>
            <w:r>
              <w:rPr>
                <w:rFonts w:hint="eastAsia"/>
              </w:rPr>
              <w:t>64.8</w:t>
            </w:r>
          </w:p>
        </w:tc>
        <w:tc>
          <w:tcPr>
            <w:tcW w:w="983" w:type="pct"/>
            <w:vAlign w:val="center"/>
          </w:tcPr>
          <w:p w14:paraId="40E84910" w14:textId="77777777" w:rsidR="003E78AB" w:rsidRDefault="00010BF9">
            <w:pPr>
              <w:pStyle w:val="B1"/>
              <w:widowControl w:val="0"/>
            </w:pPr>
            <w:r>
              <w:rPr>
                <w:rFonts w:hint="eastAsia"/>
              </w:rPr>
              <w:t>50</w:t>
            </w:r>
          </w:p>
        </w:tc>
        <w:tc>
          <w:tcPr>
            <w:tcW w:w="639" w:type="pct"/>
            <w:vAlign w:val="center"/>
          </w:tcPr>
          <w:p w14:paraId="2A47C793" w14:textId="77777777" w:rsidR="003E78AB" w:rsidRDefault="00010BF9">
            <w:pPr>
              <w:pStyle w:val="B1"/>
              <w:widowControl w:val="0"/>
            </w:pPr>
            <w:r>
              <w:rPr>
                <w:rFonts w:hint="eastAsia"/>
              </w:rPr>
              <w:t>129.6</w:t>
            </w:r>
          </w:p>
        </w:tc>
        <w:tc>
          <w:tcPr>
            <w:tcW w:w="640" w:type="pct"/>
            <w:vAlign w:val="center"/>
          </w:tcPr>
          <w:p w14:paraId="1EC0274C" w14:textId="77777777" w:rsidR="003E78AB" w:rsidRDefault="00010BF9">
            <w:pPr>
              <w:pStyle w:val="B1"/>
              <w:widowControl w:val="0"/>
              <w:rPr>
                <w:highlight w:val="yellow"/>
              </w:rPr>
            </w:pPr>
            <w:r>
              <w:rPr>
                <w:rFonts w:hint="eastAsia"/>
              </w:rPr>
              <w:t>超标</w:t>
            </w:r>
          </w:p>
        </w:tc>
      </w:tr>
      <w:tr w:rsidR="003E78AB" w14:paraId="05D5A8EA" w14:textId="77777777">
        <w:trPr>
          <w:trHeight w:val="397"/>
          <w:tblHeader/>
        </w:trPr>
        <w:tc>
          <w:tcPr>
            <w:tcW w:w="570" w:type="pct"/>
            <w:vAlign w:val="center"/>
          </w:tcPr>
          <w:p w14:paraId="257BC2C6" w14:textId="77777777" w:rsidR="003E78AB" w:rsidRDefault="00010BF9">
            <w:pPr>
              <w:pStyle w:val="B1"/>
              <w:widowControl w:val="0"/>
            </w:pPr>
            <w:r>
              <w:t>CO</w:t>
            </w:r>
          </w:p>
        </w:tc>
        <w:tc>
          <w:tcPr>
            <w:tcW w:w="1352" w:type="pct"/>
            <w:vAlign w:val="center"/>
          </w:tcPr>
          <w:p w14:paraId="17EBDB6E" w14:textId="77777777" w:rsidR="003E78AB" w:rsidRDefault="00010BF9">
            <w:pPr>
              <w:pStyle w:val="B1"/>
              <w:widowControl w:val="0"/>
            </w:pPr>
            <w:r>
              <w:rPr>
                <w:rFonts w:hint="eastAsia"/>
              </w:rPr>
              <w:t>日平均第</w:t>
            </w:r>
            <w:r>
              <w:t>95</w:t>
            </w:r>
            <w:r>
              <w:rPr>
                <w:rFonts w:hint="eastAsia"/>
              </w:rPr>
              <w:t>百分位数</w:t>
            </w:r>
          </w:p>
        </w:tc>
        <w:tc>
          <w:tcPr>
            <w:tcW w:w="813" w:type="pct"/>
            <w:vAlign w:val="center"/>
          </w:tcPr>
          <w:p w14:paraId="4E4DD8F6" w14:textId="77777777" w:rsidR="003E78AB" w:rsidRDefault="00010BF9">
            <w:pPr>
              <w:pStyle w:val="B1"/>
              <w:widowControl w:val="0"/>
            </w:pPr>
            <w:r>
              <w:rPr>
                <w:rFonts w:hint="eastAsia"/>
              </w:rPr>
              <w:t>900</w:t>
            </w:r>
            <w:r>
              <w:t xml:space="preserve"> </w:t>
            </w:r>
          </w:p>
        </w:tc>
        <w:tc>
          <w:tcPr>
            <w:tcW w:w="983" w:type="pct"/>
            <w:vAlign w:val="center"/>
          </w:tcPr>
          <w:p w14:paraId="1B893295" w14:textId="77777777" w:rsidR="003E78AB" w:rsidRDefault="00010BF9">
            <w:pPr>
              <w:pStyle w:val="B1"/>
              <w:widowControl w:val="0"/>
            </w:pPr>
            <w:r>
              <w:rPr>
                <w:rFonts w:hint="eastAsia"/>
              </w:rPr>
              <w:t>4000</w:t>
            </w:r>
            <w:r>
              <w:t xml:space="preserve"> </w:t>
            </w:r>
          </w:p>
        </w:tc>
        <w:tc>
          <w:tcPr>
            <w:tcW w:w="639" w:type="pct"/>
            <w:vAlign w:val="center"/>
          </w:tcPr>
          <w:p w14:paraId="7966301A" w14:textId="77777777" w:rsidR="003E78AB" w:rsidRDefault="00010BF9">
            <w:pPr>
              <w:pStyle w:val="B1"/>
              <w:widowControl w:val="0"/>
            </w:pPr>
            <w:r>
              <w:rPr>
                <w:rFonts w:hint="eastAsia"/>
              </w:rPr>
              <w:t>22.5</w:t>
            </w:r>
          </w:p>
        </w:tc>
        <w:tc>
          <w:tcPr>
            <w:tcW w:w="640" w:type="pct"/>
            <w:vAlign w:val="center"/>
          </w:tcPr>
          <w:p w14:paraId="60505B91" w14:textId="77777777" w:rsidR="003E78AB" w:rsidRDefault="00010BF9">
            <w:pPr>
              <w:pStyle w:val="B1"/>
              <w:widowControl w:val="0"/>
            </w:pPr>
            <w:r>
              <w:rPr>
                <w:rFonts w:hint="eastAsia"/>
              </w:rPr>
              <w:t>达标</w:t>
            </w:r>
          </w:p>
        </w:tc>
      </w:tr>
      <w:tr w:rsidR="003E78AB" w14:paraId="4AF5CD11" w14:textId="77777777">
        <w:trPr>
          <w:trHeight w:val="397"/>
          <w:tblHeader/>
        </w:trPr>
        <w:tc>
          <w:tcPr>
            <w:tcW w:w="570" w:type="pct"/>
            <w:vAlign w:val="center"/>
          </w:tcPr>
          <w:p w14:paraId="70BDC750" w14:textId="77777777" w:rsidR="003E78AB" w:rsidRDefault="00010BF9">
            <w:pPr>
              <w:pStyle w:val="B1"/>
              <w:widowControl w:val="0"/>
            </w:pPr>
            <w:r>
              <w:t>O</w:t>
            </w:r>
            <w:r>
              <w:rPr>
                <w:vertAlign w:val="subscript"/>
              </w:rPr>
              <w:t>3</w:t>
            </w:r>
          </w:p>
        </w:tc>
        <w:tc>
          <w:tcPr>
            <w:tcW w:w="1352" w:type="pct"/>
            <w:vAlign w:val="center"/>
          </w:tcPr>
          <w:p w14:paraId="3B942BA5" w14:textId="77777777" w:rsidR="003E78AB" w:rsidRDefault="00010BF9">
            <w:pPr>
              <w:pStyle w:val="B1"/>
              <w:widowControl w:val="0"/>
            </w:pPr>
            <w:r>
              <w:rPr>
                <w:rFonts w:hint="eastAsia"/>
              </w:rPr>
              <w:t>日平均第</w:t>
            </w:r>
            <w:r>
              <w:t>90</w:t>
            </w:r>
            <w:r>
              <w:rPr>
                <w:rFonts w:hint="eastAsia"/>
              </w:rPr>
              <w:t>百分位数</w:t>
            </w:r>
          </w:p>
        </w:tc>
        <w:tc>
          <w:tcPr>
            <w:tcW w:w="813" w:type="pct"/>
            <w:vAlign w:val="center"/>
          </w:tcPr>
          <w:p w14:paraId="3E5B1BDA" w14:textId="77777777" w:rsidR="003E78AB" w:rsidRDefault="00010BF9">
            <w:pPr>
              <w:pStyle w:val="B1"/>
              <w:widowControl w:val="0"/>
            </w:pPr>
            <w:r>
              <w:t>1</w:t>
            </w:r>
            <w:r>
              <w:rPr>
                <w:rFonts w:hint="eastAsia"/>
              </w:rPr>
              <w:t>34</w:t>
            </w:r>
            <w:r>
              <w:t xml:space="preserve">.00 </w:t>
            </w:r>
          </w:p>
        </w:tc>
        <w:tc>
          <w:tcPr>
            <w:tcW w:w="983" w:type="pct"/>
            <w:vAlign w:val="center"/>
          </w:tcPr>
          <w:p w14:paraId="48485BE7" w14:textId="77777777" w:rsidR="003E78AB" w:rsidRDefault="00010BF9">
            <w:pPr>
              <w:pStyle w:val="B1"/>
              <w:widowControl w:val="0"/>
            </w:pPr>
            <w:r>
              <w:rPr>
                <w:rFonts w:hint="eastAsia"/>
              </w:rPr>
              <w:t>100</w:t>
            </w:r>
            <w:r>
              <w:t xml:space="preserve"> </w:t>
            </w:r>
          </w:p>
        </w:tc>
        <w:tc>
          <w:tcPr>
            <w:tcW w:w="639" w:type="pct"/>
            <w:vAlign w:val="center"/>
          </w:tcPr>
          <w:p w14:paraId="1AFA815D" w14:textId="77777777" w:rsidR="003E78AB" w:rsidRDefault="00010BF9">
            <w:pPr>
              <w:pStyle w:val="B1"/>
              <w:widowControl w:val="0"/>
            </w:pPr>
            <w:r>
              <w:rPr>
                <w:rFonts w:hint="eastAsia"/>
              </w:rPr>
              <w:t>134</w:t>
            </w:r>
          </w:p>
        </w:tc>
        <w:tc>
          <w:tcPr>
            <w:tcW w:w="640" w:type="pct"/>
            <w:vAlign w:val="center"/>
          </w:tcPr>
          <w:p w14:paraId="17419B76" w14:textId="77777777" w:rsidR="003E78AB" w:rsidRDefault="00010BF9">
            <w:pPr>
              <w:pStyle w:val="B1"/>
              <w:widowControl w:val="0"/>
            </w:pPr>
            <w:r>
              <w:rPr>
                <w:rFonts w:hint="eastAsia"/>
              </w:rPr>
              <w:t>超标</w:t>
            </w:r>
          </w:p>
        </w:tc>
      </w:tr>
    </w:tbl>
    <w:p w14:paraId="52C8DECA" w14:textId="77777777" w:rsidR="003E78AB" w:rsidRDefault="00010BF9">
      <w:pPr>
        <w:ind w:firstLine="480"/>
        <w:rPr>
          <w:kern w:val="2"/>
        </w:rPr>
      </w:pPr>
      <w:r>
        <w:rPr>
          <w:bCs/>
          <w:kern w:val="2"/>
        </w:rPr>
        <w:t>项目所在区域</w:t>
      </w:r>
      <w:r>
        <w:rPr>
          <w:bCs/>
          <w:kern w:val="2"/>
        </w:rPr>
        <w:t>SO</w:t>
      </w:r>
      <w:r>
        <w:rPr>
          <w:bCs/>
          <w:kern w:val="2"/>
          <w:vertAlign w:val="subscript"/>
        </w:rPr>
        <w:t>2</w:t>
      </w:r>
      <w:r>
        <w:rPr>
          <w:bCs/>
          <w:kern w:val="2"/>
        </w:rPr>
        <w:t>、</w:t>
      </w:r>
      <w:r>
        <w:rPr>
          <w:bCs/>
          <w:kern w:val="2"/>
        </w:rPr>
        <w:t>NO</w:t>
      </w:r>
      <w:r>
        <w:rPr>
          <w:bCs/>
          <w:kern w:val="2"/>
          <w:vertAlign w:val="subscript"/>
        </w:rPr>
        <w:t>2</w:t>
      </w:r>
      <w:r>
        <w:rPr>
          <w:bCs/>
          <w:kern w:val="2"/>
        </w:rPr>
        <w:t>、</w:t>
      </w:r>
      <w:r>
        <w:rPr>
          <w:bCs/>
          <w:kern w:val="2"/>
        </w:rPr>
        <w:t>CO</w:t>
      </w:r>
      <w:r>
        <w:rPr>
          <w:bCs/>
          <w:kern w:val="2"/>
        </w:rPr>
        <w:t>及</w:t>
      </w:r>
      <w:r>
        <w:rPr>
          <w:bCs/>
          <w:kern w:val="2"/>
        </w:rPr>
        <w:t>PM</w:t>
      </w:r>
      <w:r>
        <w:rPr>
          <w:bCs/>
          <w:kern w:val="2"/>
          <w:vertAlign w:val="subscript"/>
        </w:rPr>
        <w:t>2.5</w:t>
      </w:r>
      <w:r>
        <w:rPr>
          <w:bCs/>
          <w:kern w:val="2"/>
        </w:rPr>
        <w:t>年均浓度均满足《环境空气质量标准》（</w:t>
      </w:r>
      <w:r>
        <w:rPr>
          <w:bCs/>
          <w:kern w:val="2"/>
        </w:rPr>
        <w:t>GB3095-2012</w:t>
      </w:r>
      <w:r>
        <w:rPr>
          <w:bCs/>
          <w:kern w:val="2"/>
        </w:rPr>
        <w:t>）的二级标准要求；</w:t>
      </w:r>
      <w:r>
        <w:rPr>
          <w:bCs/>
          <w:kern w:val="2"/>
        </w:rPr>
        <w:t>O</w:t>
      </w:r>
      <w:r>
        <w:rPr>
          <w:bCs/>
          <w:kern w:val="2"/>
          <w:vertAlign w:val="subscript"/>
        </w:rPr>
        <w:t>3</w:t>
      </w:r>
      <w:r>
        <w:rPr>
          <w:bCs/>
          <w:kern w:val="2"/>
        </w:rPr>
        <w:t>日平均浓度、</w:t>
      </w:r>
      <w:r>
        <w:rPr>
          <w:bCs/>
          <w:kern w:val="2"/>
        </w:rPr>
        <w:t>PM</w:t>
      </w:r>
      <w:r>
        <w:rPr>
          <w:bCs/>
          <w:kern w:val="2"/>
          <w:vertAlign w:val="subscript"/>
        </w:rPr>
        <w:t>2.5</w:t>
      </w:r>
      <w:r>
        <w:rPr>
          <w:bCs/>
          <w:kern w:val="2"/>
        </w:rPr>
        <w:t>日均浓度、</w:t>
      </w:r>
      <w:r>
        <w:rPr>
          <w:bCs/>
          <w:kern w:val="2"/>
        </w:rPr>
        <w:t>PM</w:t>
      </w:r>
      <w:r>
        <w:rPr>
          <w:bCs/>
          <w:kern w:val="2"/>
          <w:vertAlign w:val="subscript"/>
        </w:rPr>
        <w:t>10</w:t>
      </w:r>
      <w:r>
        <w:rPr>
          <w:bCs/>
          <w:kern w:val="2"/>
        </w:rPr>
        <w:t>日均浓度、年均浓度均超过《环境空气质量标准》（</w:t>
      </w:r>
      <w:r>
        <w:rPr>
          <w:bCs/>
          <w:kern w:val="2"/>
        </w:rPr>
        <w:t>GB3095-2012</w:t>
      </w:r>
      <w:r>
        <w:rPr>
          <w:bCs/>
          <w:kern w:val="2"/>
        </w:rPr>
        <w:t>）的二级标准要求。</w:t>
      </w:r>
      <w:r>
        <w:rPr>
          <w:kern w:val="2"/>
        </w:rPr>
        <w:t>超标的主要是由于当地气候干燥、自然扬尘较多所致。综上可知，项目所在区域为非达标区。</w:t>
      </w:r>
    </w:p>
    <w:p w14:paraId="7F17CE8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4.3.1.2</w:t>
      </w:r>
      <w:r>
        <w:rPr>
          <w:rFonts w:ascii="Times New Roman" w:hAnsi="Times New Roman"/>
        </w:rPr>
        <w:t>基本污染物现状评价</w:t>
      </w:r>
    </w:p>
    <w:p w14:paraId="4F5A5D58" w14:textId="77777777" w:rsidR="003E78AB" w:rsidRDefault="00010BF9">
      <w:pPr>
        <w:ind w:firstLine="480"/>
        <w:rPr>
          <w:kern w:val="2"/>
        </w:rPr>
      </w:pPr>
      <w:r>
        <w:rPr>
          <w:kern w:val="2"/>
        </w:rPr>
        <w:t>根据</w:t>
      </w:r>
      <w:r>
        <w:rPr>
          <w:kern w:val="2"/>
        </w:rPr>
        <w:t>202</w:t>
      </w:r>
      <w:r>
        <w:rPr>
          <w:rFonts w:hint="eastAsia"/>
          <w:kern w:val="2"/>
        </w:rPr>
        <w:t>3</w:t>
      </w:r>
      <w:r>
        <w:rPr>
          <w:kern w:val="2"/>
        </w:rPr>
        <w:t>年哈密市伊州区环境监测站空气质量逐日统计结果。区域内基本污染物环境质量现状评价结果见表</w:t>
      </w:r>
      <w:r>
        <w:rPr>
          <w:rFonts w:hint="eastAsia"/>
          <w:kern w:val="2"/>
        </w:rPr>
        <w:t>4-5</w:t>
      </w:r>
      <w:r>
        <w:rPr>
          <w:kern w:val="2"/>
        </w:rPr>
        <w:t>。</w:t>
      </w:r>
    </w:p>
    <w:p w14:paraId="58BBC638" w14:textId="77777777" w:rsidR="003E78AB" w:rsidRDefault="00010BF9">
      <w:pPr>
        <w:pStyle w:val="a0"/>
        <w:ind w:left="425" w:hanging="425"/>
        <w:rPr>
          <w:rFonts w:hint="default"/>
          <w:kern w:val="2"/>
          <w:szCs w:val="21"/>
        </w:rPr>
      </w:pPr>
      <w:r>
        <w:rPr>
          <w:rFonts w:hint="default"/>
        </w:rPr>
        <w:t>区域空气质量现状评价结果一览表</w:t>
      </w:r>
    </w:p>
    <w:tbl>
      <w:tblPr>
        <w:tblStyle w:val="af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051"/>
        <w:gridCol w:w="695"/>
        <w:gridCol w:w="969"/>
        <w:gridCol w:w="1172"/>
        <w:gridCol w:w="1165"/>
        <w:gridCol w:w="1106"/>
        <w:gridCol w:w="837"/>
        <w:gridCol w:w="657"/>
      </w:tblGrid>
      <w:tr w:rsidR="003E78AB" w14:paraId="023E8473" w14:textId="77777777">
        <w:trPr>
          <w:trHeight w:val="340"/>
          <w:tblHeader/>
        </w:trPr>
        <w:tc>
          <w:tcPr>
            <w:tcW w:w="788" w:type="dxa"/>
          </w:tcPr>
          <w:p w14:paraId="36B03699"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bidi="en-US"/>
              </w:rPr>
              <w:t>点位名称</w:t>
            </w:r>
          </w:p>
        </w:tc>
        <w:tc>
          <w:tcPr>
            <w:tcW w:w="1051" w:type="dxa"/>
          </w:tcPr>
          <w:p w14:paraId="212B66C6"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bidi="en-US"/>
              </w:rPr>
              <w:t>监测点坐标</w:t>
            </w:r>
          </w:p>
        </w:tc>
        <w:tc>
          <w:tcPr>
            <w:tcW w:w="691" w:type="dxa"/>
          </w:tcPr>
          <w:p w14:paraId="19126F95"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bidi="en-US"/>
              </w:rPr>
              <w:t>污染物</w:t>
            </w:r>
          </w:p>
        </w:tc>
        <w:tc>
          <w:tcPr>
            <w:tcW w:w="969" w:type="dxa"/>
          </w:tcPr>
          <w:p w14:paraId="734F5CB3"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bidi="en-US"/>
              </w:rPr>
              <w:t>评价指标</w:t>
            </w:r>
          </w:p>
        </w:tc>
        <w:tc>
          <w:tcPr>
            <w:tcW w:w="1172" w:type="dxa"/>
          </w:tcPr>
          <w:p w14:paraId="46A43A5C"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eastAsia="en-US" w:bidi="en-US"/>
              </w:rPr>
              <w:t>评价标准</w:t>
            </w:r>
            <w:r>
              <w:rPr>
                <w:b/>
                <w:bCs/>
                <w:kern w:val="2"/>
                <w:sz w:val="21"/>
                <w:szCs w:val="21"/>
                <w:lang w:eastAsia="en-US" w:bidi="en-US"/>
              </w:rPr>
              <w:t>μg/m</w:t>
            </w:r>
            <w:r>
              <w:rPr>
                <w:b/>
                <w:bCs/>
                <w:kern w:val="2"/>
                <w:sz w:val="21"/>
                <w:szCs w:val="21"/>
                <w:vertAlign w:val="superscript"/>
                <w:lang w:eastAsia="en-US" w:bidi="en-US"/>
              </w:rPr>
              <w:t>3</w:t>
            </w:r>
          </w:p>
        </w:tc>
        <w:tc>
          <w:tcPr>
            <w:tcW w:w="1165" w:type="dxa"/>
          </w:tcPr>
          <w:p w14:paraId="255FB4AA"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eastAsia="en-US" w:bidi="en-US"/>
              </w:rPr>
              <w:t>现状浓度</w:t>
            </w:r>
            <w:r>
              <w:rPr>
                <w:b/>
                <w:bCs/>
                <w:kern w:val="2"/>
                <w:sz w:val="21"/>
                <w:szCs w:val="21"/>
                <w:lang w:eastAsia="en-US" w:bidi="en-US"/>
              </w:rPr>
              <w:t>μg/m</w:t>
            </w:r>
            <w:r>
              <w:rPr>
                <w:b/>
                <w:bCs/>
                <w:kern w:val="2"/>
                <w:sz w:val="21"/>
                <w:szCs w:val="21"/>
                <w:vertAlign w:val="superscript"/>
                <w:lang w:eastAsia="en-US" w:bidi="en-US"/>
              </w:rPr>
              <w:t>3</w:t>
            </w:r>
          </w:p>
        </w:tc>
        <w:tc>
          <w:tcPr>
            <w:tcW w:w="1106" w:type="dxa"/>
          </w:tcPr>
          <w:p w14:paraId="63A29E0B"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bidi="en-US"/>
              </w:rPr>
              <w:t>最大浓度</w:t>
            </w:r>
            <w:r>
              <w:rPr>
                <w:b/>
                <w:bCs/>
                <w:kern w:val="2"/>
                <w:sz w:val="21"/>
                <w:szCs w:val="21"/>
                <w:lang w:eastAsia="en-US" w:bidi="en-US"/>
              </w:rPr>
              <w:t>占标率</w:t>
            </w:r>
            <w:r>
              <w:rPr>
                <w:b/>
                <w:bCs/>
                <w:kern w:val="2"/>
                <w:sz w:val="21"/>
                <w:szCs w:val="21"/>
                <w:lang w:eastAsia="en-US" w:bidi="en-US"/>
              </w:rPr>
              <w:t>/%</w:t>
            </w:r>
          </w:p>
        </w:tc>
        <w:tc>
          <w:tcPr>
            <w:tcW w:w="837" w:type="dxa"/>
          </w:tcPr>
          <w:p w14:paraId="7096065A" w14:textId="77777777" w:rsidR="003E78AB" w:rsidRDefault="00010BF9">
            <w:pPr>
              <w:spacing w:line="360" w:lineRule="exact"/>
              <w:ind w:firstLineChars="0" w:firstLine="0"/>
              <w:jc w:val="center"/>
              <w:rPr>
                <w:b/>
                <w:bCs/>
                <w:kern w:val="2"/>
                <w:sz w:val="21"/>
                <w:szCs w:val="21"/>
                <w:lang w:bidi="en-US"/>
              </w:rPr>
            </w:pPr>
            <w:r>
              <w:rPr>
                <w:b/>
                <w:bCs/>
                <w:kern w:val="2"/>
                <w:sz w:val="21"/>
                <w:szCs w:val="21"/>
                <w:lang w:bidi="en-US"/>
              </w:rPr>
              <w:t>超标频率</w:t>
            </w:r>
            <w:r>
              <w:rPr>
                <w:b/>
                <w:bCs/>
                <w:kern w:val="2"/>
                <w:sz w:val="21"/>
                <w:szCs w:val="21"/>
                <w:lang w:bidi="en-US"/>
              </w:rPr>
              <w:t>/%</w:t>
            </w:r>
          </w:p>
        </w:tc>
        <w:tc>
          <w:tcPr>
            <w:tcW w:w="657" w:type="dxa"/>
          </w:tcPr>
          <w:p w14:paraId="467E9C49" w14:textId="77777777" w:rsidR="003E78AB" w:rsidRDefault="00010BF9">
            <w:pPr>
              <w:spacing w:line="360" w:lineRule="exact"/>
              <w:ind w:firstLineChars="0" w:firstLine="0"/>
              <w:jc w:val="center"/>
              <w:rPr>
                <w:b/>
                <w:bCs/>
                <w:kern w:val="2"/>
                <w:sz w:val="21"/>
                <w:szCs w:val="21"/>
                <w:lang w:eastAsia="en-US" w:bidi="en-US"/>
              </w:rPr>
            </w:pPr>
            <w:r>
              <w:rPr>
                <w:b/>
                <w:bCs/>
                <w:kern w:val="2"/>
                <w:sz w:val="21"/>
                <w:szCs w:val="21"/>
                <w:lang w:eastAsia="en-US" w:bidi="en-US"/>
              </w:rPr>
              <w:t>达标情况</w:t>
            </w:r>
          </w:p>
        </w:tc>
      </w:tr>
      <w:tr w:rsidR="003E78AB" w14:paraId="6224CE89" w14:textId="77777777">
        <w:trPr>
          <w:trHeight w:val="340"/>
        </w:trPr>
        <w:tc>
          <w:tcPr>
            <w:tcW w:w="788" w:type="dxa"/>
            <w:vMerge w:val="restart"/>
          </w:tcPr>
          <w:p w14:paraId="336BE0C8" w14:textId="77777777" w:rsidR="003E78AB" w:rsidRDefault="00010BF9">
            <w:pPr>
              <w:spacing w:line="360" w:lineRule="exact"/>
              <w:ind w:firstLineChars="0" w:firstLine="0"/>
              <w:jc w:val="center"/>
              <w:rPr>
                <w:kern w:val="2"/>
                <w:sz w:val="21"/>
                <w:szCs w:val="21"/>
                <w:lang w:bidi="en-US"/>
              </w:rPr>
            </w:pPr>
            <w:r>
              <w:rPr>
                <w:kern w:val="2"/>
                <w:sz w:val="21"/>
                <w:szCs w:val="21"/>
                <w:lang w:bidi="en-US"/>
              </w:rPr>
              <w:t>哈密市伊州区环境监测站</w:t>
            </w:r>
          </w:p>
        </w:tc>
        <w:tc>
          <w:tcPr>
            <w:tcW w:w="1051" w:type="dxa"/>
            <w:vMerge w:val="restart"/>
          </w:tcPr>
          <w:p w14:paraId="4C9B2A8E" w14:textId="77777777" w:rsidR="003E78AB" w:rsidRDefault="00010BF9">
            <w:pPr>
              <w:spacing w:line="360" w:lineRule="exact"/>
              <w:ind w:firstLineChars="0" w:firstLine="0"/>
              <w:jc w:val="center"/>
              <w:rPr>
                <w:kern w:val="2"/>
                <w:sz w:val="21"/>
                <w:szCs w:val="21"/>
                <w:lang w:bidi="en-US"/>
              </w:rPr>
            </w:pPr>
            <w:r>
              <w:rPr>
                <w:kern w:val="2"/>
                <w:sz w:val="21"/>
                <w:szCs w:val="21"/>
                <w:lang w:bidi="en-US"/>
              </w:rPr>
              <w:t>42.8172N</w:t>
            </w:r>
          </w:p>
          <w:p w14:paraId="77BC6884" w14:textId="77777777" w:rsidR="003E78AB" w:rsidRDefault="00010BF9">
            <w:pPr>
              <w:spacing w:line="360" w:lineRule="exact"/>
              <w:ind w:firstLineChars="0" w:firstLine="0"/>
              <w:jc w:val="center"/>
              <w:rPr>
                <w:kern w:val="2"/>
                <w:sz w:val="21"/>
                <w:szCs w:val="21"/>
                <w:lang w:bidi="en-US"/>
              </w:rPr>
            </w:pPr>
            <w:r>
              <w:rPr>
                <w:kern w:val="2"/>
                <w:sz w:val="21"/>
                <w:szCs w:val="21"/>
                <w:lang w:bidi="en-US"/>
              </w:rPr>
              <w:t>93.5128E</w:t>
            </w:r>
          </w:p>
        </w:tc>
        <w:tc>
          <w:tcPr>
            <w:tcW w:w="691" w:type="dxa"/>
            <w:vMerge w:val="restart"/>
          </w:tcPr>
          <w:p w14:paraId="1202957A" w14:textId="77777777" w:rsidR="003E78AB" w:rsidRDefault="00010BF9">
            <w:pPr>
              <w:spacing w:line="360" w:lineRule="exact"/>
              <w:ind w:firstLineChars="0" w:firstLine="0"/>
              <w:jc w:val="center"/>
              <w:rPr>
                <w:kern w:val="2"/>
                <w:sz w:val="21"/>
                <w:szCs w:val="21"/>
                <w:vertAlign w:val="subscript"/>
                <w:lang w:eastAsia="en-US" w:bidi="en-US"/>
              </w:rPr>
            </w:pPr>
            <w:r>
              <w:rPr>
                <w:kern w:val="2"/>
                <w:sz w:val="21"/>
                <w:szCs w:val="21"/>
                <w:lang w:bidi="en-US"/>
              </w:rPr>
              <w:t>SO</w:t>
            </w:r>
            <w:r>
              <w:rPr>
                <w:kern w:val="2"/>
                <w:sz w:val="21"/>
                <w:szCs w:val="21"/>
                <w:vertAlign w:val="subscript"/>
                <w:lang w:eastAsia="en-US" w:bidi="en-US"/>
              </w:rPr>
              <w:t>2</w:t>
            </w:r>
          </w:p>
        </w:tc>
        <w:tc>
          <w:tcPr>
            <w:tcW w:w="969" w:type="dxa"/>
          </w:tcPr>
          <w:p w14:paraId="082D372D"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年平均</w:t>
            </w:r>
          </w:p>
        </w:tc>
        <w:tc>
          <w:tcPr>
            <w:tcW w:w="1172" w:type="dxa"/>
          </w:tcPr>
          <w:p w14:paraId="49AA6242" w14:textId="77777777" w:rsidR="003E78AB" w:rsidRDefault="00010BF9">
            <w:pPr>
              <w:spacing w:line="360" w:lineRule="exact"/>
              <w:ind w:firstLineChars="0" w:firstLine="0"/>
              <w:jc w:val="center"/>
              <w:rPr>
                <w:kern w:val="2"/>
                <w:sz w:val="21"/>
                <w:szCs w:val="21"/>
                <w:lang w:bidi="en-US"/>
              </w:rPr>
            </w:pPr>
            <w:r>
              <w:rPr>
                <w:kern w:val="2"/>
                <w:sz w:val="21"/>
                <w:szCs w:val="21"/>
                <w:lang w:bidi="en-US"/>
              </w:rPr>
              <w:t>60</w:t>
            </w:r>
          </w:p>
        </w:tc>
        <w:tc>
          <w:tcPr>
            <w:tcW w:w="1165" w:type="dxa"/>
          </w:tcPr>
          <w:p w14:paraId="28885E90" w14:textId="77777777" w:rsidR="003E78AB" w:rsidRDefault="00010BF9">
            <w:pPr>
              <w:spacing w:line="360" w:lineRule="exact"/>
              <w:ind w:firstLineChars="0" w:firstLine="0"/>
              <w:jc w:val="center"/>
              <w:rPr>
                <w:kern w:val="2"/>
                <w:sz w:val="21"/>
                <w:szCs w:val="21"/>
                <w:lang w:bidi="en-US"/>
              </w:rPr>
            </w:pPr>
            <w:r>
              <w:rPr>
                <w:kern w:val="2"/>
                <w:sz w:val="21"/>
                <w:szCs w:val="21"/>
                <w:lang w:bidi="en-US"/>
              </w:rPr>
              <w:t>11</w:t>
            </w:r>
          </w:p>
        </w:tc>
        <w:tc>
          <w:tcPr>
            <w:tcW w:w="1106" w:type="dxa"/>
          </w:tcPr>
          <w:p w14:paraId="12A072F6" w14:textId="77777777" w:rsidR="003E78AB" w:rsidRDefault="00010BF9">
            <w:pPr>
              <w:spacing w:line="360" w:lineRule="exact"/>
              <w:ind w:firstLineChars="0" w:firstLine="0"/>
              <w:jc w:val="center"/>
              <w:rPr>
                <w:kern w:val="2"/>
                <w:sz w:val="21"/>
                <w:szCs w:val="21"/>
                <w:lang w:bidi="en-US"/>
              </w:rPr>
            </w:pPr>
            <w:r>
              <w:rPr>
                <w:kern w:val="2"/>
                <w:sz w:val="21"/>
                <w:szCs w:val="21"/>
                <w:lang w:bidi="en-US"/>
              </w:rPr>
              <w:t>18.33</w:t>
            </w:r>
          </w:p>
        </w:tc>
        <w:tc>
          <w:tcPr>
            <w:tcW w:w="837" w:type="dxa"/>
          </w:tcPr>
          <w:p w14:paraId="30670722"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7B896CEE"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05BBA2E1" w14:textId="77777777">
        <w:trPr>
          <w:trHeight w:val="340"/>
        </w:trPr>
        <w:tc>
          <w:tcPr>
            <w:tcW w:w="788" w:type="dxa"/>
            <w:vMerge/>
          </w:tcPr>
          <w:p w14:paraId="39144326"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5960D96D" w14:textId="77777777" w:rsidR="003E78AB" w:rsidRDefault="003E78AB">
            <w:pPr>
              <w:spacing w:line="360" w:lineRule="exact"/>
              <w:ind w:firstLineChars="0" w:firstLine="0"/>
              <w:jc w:val="center"/>
              <w:rPr>
                <w:kern w:val="2"/>
                <w:sz w:val="21"/>
                <w:szCs w:val="21"/>
                <w:lang w:eastAsia="en-US" w:bidi="en-US"/>
              </w:rPr>
            </w:pPr>
          </w:p>
        </w:tc>
        <w:tc>
          <w:tcPr>
            <w:tcW w:w="691" w:type="dxa"/>
            <w:vMerge/>
          </w:tcPr>
          <w:p w14:paraId="73821584" w14:textId="77777777" w:rsidR="003E78AB" w:rsidRDefault="003E78AB">
            <w:pPr>
              <w:spacing w:line="360" w:lineRule="exact"/>
              <w:ind w:firstLineChars="0" w:firstLine="0"/>
              <w:jc w:val="center"/>
              <w:rPr>
                <w:kern w:val="2"/>
                <w:sz w:val="21"/>
                <w:szCs w:val="21"/>
                <w:lang w:eastAsia="en-US" w:bidi="en-US"/>
              </w:rPr>
            </w:pPr>
          </w:p>
        </w:tc>
        <w:tc>
          <w:tcPr>
            <w:tcW w:w="969" w:type="dxa"/>
          </w:tcPr>
          <w:p w14:paraId="608070DF"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日平均</w:t>
            </w:r>
          </w:p>
        </w:tc>
        <w:tc>
          <w:tcPr>
            <w:tcW w:w="1172" w:type="dxa"/>
          </w:tcPr>
          <w:p w14:paraId="3A770808" w14:textId="77777777" w:rsidR="003E78AB" w:rsidRDefault="00010BF9">
            <w:pPr>
              <w:spacing w:line="360" w:lineRule="exact"/>
              <w:ind w:firstLineChars="0" w:firstLine="0"/>
              <w:jc w:val="center"/>
              <w:rPr>
                <w:kern w:val="2"/>
                <w:sz w:val="21"/>
                <w:szCs w:val="21"/>
                <w:lang w:bidi="en-US"/>
              </w:rPr>
            </w:pPr>
            <w:r>
              <w:rPr>
                <w:kern w:val="2"/>
                <w:sz w:val="21"/>
                <w:szCs w:val="21"/>
                <w:lang w:bidi="en-US"/>
              </w:rPr>
              <w:t>150</w:t>
            </w:r>
          </w:p>
        </w:tc>
        <w:tc>
          <w:tcPr>
            <w:tcW w:w="1165" w:type="dxa"/>
          </w:tcPr>
          <w:p w14:paraId="037BFFC4" w14:textId="77777777" w:rsidR="003E78AB" w:rsidRDefault="00010BF9">
            <w:pPr>
              <w:spacing w:line="360" w:lineRule="exact"/>
              <w:ind w:firstLineChars="0" w:firstLine="0"/>
              <w:jc w:val="center"/>
              <w:rPr>
                <w:kern w:val="2"/>
                <w:sz w:val="21"/>
                <w:szCs w:val="21"/>
                <w:lang w:bidi="en-US"/>
              </w:rPr>
            </w:pPr>
            <w:r>
              <w:rPr>
                <w:kern w:val="2"/>
                <w:sz w:val="21"/>
                <w:szCs w:val="21"/>
                <w:lang w:bidi="en-US"/>
              </w:rPr>
              <w:t>1</w:t>
            </w:r>
            <w:r>
              <w:rPr>
                <w:kern w:val="2"/>
                <w:sz w:val="21"/>
                <w:szCs w:val="21"/>
                <w:lang w:bidi="en-US"/>
              </w:rPr>
              <w:t>～</w:t>
            </w:r>
            <w:r>
              <w:rPr>
                <w:kern w:val="2"/>
                <w:sz w:val="21"/>
                <w:szCs w:val="21"/>
                <w:lang w:bidi="en-US"/>
              </w:rPr>
              <w:t>47</w:t>
            </w:r>
          </w:p>
        </w:tc>
        <w:tc>
          <w:tcPr>
            <w:tcW w:w="1106" w:type="dxa"/>
          </w:tcPr>
          <w:p w14:paraId="470FA20C" w14:textId="77777777" w:rsidR="003E78AB" w:rsidRDefault="00010BF9">
            <w:pPr>
              <w:spacing w:line="360" w:lineRule="exact"/>
              <w:ind w:firstLineChars="0" w:firstLine="0"/>
              <w:jc w:val="center"/>
              <w:rPr>
                <w:kern w:val="2"/>
                <w:sz w:val="21"/>
                <w:szCs w:val="21"/>
                <w:lang w:bidi="en-US"/>
              </w:rPr>
            </w:pPr>
            <w:r>
              <w:rPr>
                <w:kern w:val="2"/>
                <w:sz w:val="21"/>
                <w:szCs w:val="21"/>
                <w:lang w:bidi="en-US"/>
              </w:rPr>
              <w:t>31.33</w:t>
            </w:r>
          </w:p>
        </w:tc>
        <w:tc>
          <w:tcPr>
            <w:tcW w:w="837" w:type="dxa"/>
          </w:tcPr>
          <w:p w14:paraId="3DC887C4"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510D4923"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4B7EE954" w14:textId="77777777">
        <w:trPr>
          <w:trHeight w:val="340"/>
        </w:trPr>
        <w:tc>
          <w:tcPr>
            <w:tcW w:w="788" w:type="dxa"/>
            <w:vMerge/>
          </w:tcPr>
          <w:p w14:paraId="0A643914"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41EE759A" w14:textId="77777777" w:rsidR="003E78AB" w:rsidRDefault="003E78AB">
            <w:pPr>
              <w:spacing w:line="360" w:lineRule="exact"/>
              <w:ind w:firstLineChars="0" w:firstLine="0"/>
              <w:jc w:val="center"/>
              <w:rPr>
                <w:kern w:val="2"/>
                <w:sz w:val="21"/>
                <w:szCs w:val="21"/>
                <w:lang w:eastAsia="en-US" w:bidi="en-US"/>
              </w:rPr>
            </w:pPr>
          </w:p>
        </w:tc>
        <w:tc>
          <w:tcPr>
            <w:tcW w:w="691" w:type="dxa"/>
            <w:vMerge w:val="restart"/>
          </w:tcPr>
          <w:p w14:paraId="74227DC4" w14:textId="77777777" w:rsidR="003E78AB" w:rsidRDefault="00010BF9">
            <w:pPr>
              <w:spacing w:line="360" w:lineRule="exact"/>
              <w:ind w:firstLineChars="0" w:firstLine="0"/>
              <w:jc w:val="center"/>
              <w:rPr>
                <w:kern w:val="2"/>
                <w:sz w:val="21"/>
                <w:szCs w:val="21"/>
                <w:vertAlign w:val="subscript"/>
                <w:lang w:eastAsia="en-US" w:bidi="en-US"/>
              </w:rPr>
            </w:pPr>
            <w:r>
              <w:rPr>
                <w:kern w:val="2"/>
                <w:sz w:val="21"/>
                <w:szCs w:val="21"/>
                <w:lang w:bidi="en-US"/>
              </w:rPr>
              <w:t>NO</w:t>
            </w:r>
            <w:r>
              <w:rPr>
                <w:kern w:val="2"/>
                <w:sz w:val="21"/>
                <w:szCs w:val="21"/>
                <w:vertAlign w:val="subscript"/>
                <w:lang w:eastAsia="en-US" w:bidi="en-US"/>
              </w:rPr>
              <w:t>2</w:t>
            </w:r>
          </w:p>
        </w:tc>
        <w:tc>
          <w:tcPr>
            <w:tcW w:w="969" w:type="dxa"/>
          </w:tcPr>
          <w:p w14:paraId="6A3FCCD3"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年平均</w:t>
            </w:r>
          </w:p>
        </w:tc>
        <w:tc>
          <w:tcPr>
            <w:tcW w:w="1172" w:type="dxa"/>
          </w:tcPr>
          <w:p w14:paraId="2CA1A7F9" w14:textId="77777777" w:rsidR="003E78AB" w:rsidRDefault="00010BF9">
            <w:pPr>
              <w:spacing w:line="360" w:lineRule="exact"/>
              <w:ind w:firstLineChars="0" w:firstLine="0"/>
              <w:jc w:val="center"/>
              <w:rPr>
                <w:kern w:val="2"/>
                <w:sz w:val="21"/>
                <w:szCs w:val="21"/>
                <w:lang w:bidi="en-US"/>
              </w:rPr>
            </w:pPr>
            <w:r>
              <w:rPr>
                <w:kern w:val="2"/>
                <w:sz w:val="21"/>
                <w:szCs w:val="21"/>
                <w:lang w:bidi="en-US"/>
              </w:rPr>
              <w:t>40</w:t>
            </w:r>
          </w:p>
        </w:tc>
        <w:tc>
          <w:tcPr>
            <w:tcW w:w="1165" w:type="dxa"/>
          </w:tcPr>
          <w:p w14:paraId="50B5D5D2" w14:textId="77777777" w:rsidR="003E78AB" w:rsidRDefault="00010BF9">
            <w:pPr>
              <w:spacing w:line="360" w:lineRule="exact"/>
              <w:ind w:firstLineChars="0" w:firstLine="0"/>
              <w:jc w:val="center"/>
              <w:rPr>
                <w:kern w:val="2"/>
                <w:sz w:val="21"/>
                <w:szCs w:val="21"/>
                <w:lang w:bidi="en-US"/>
              </w:rPr>
            </w:pPr>
            <w:r>
              <w:rPr>
                <w:kern w:val="2"/>
                <w:sz w:val="21"/>
                <w:szCs w:val="21"/>
                <w:lang w:bidi="en-US"/>
              </w:rPr>
              <w:t>25</w:t>
            </w:r>
          </w:p>
        </w:tc>
        <w:tc>
          <w:tcPr>
            <w:tcW w:w="1106" w:type="dxa"/>
          </w:tcPr>
          <w:p w14:paraId="6AD8B560" w14:textId="77777777" w:rsidR="003E78AB" w:rsidRDefault="00010BF9">
            <w:pPr>
              <w:spacing w:line="360" w:lineRule="exact"/>
              <w:ind w:firstLineChars="0" w:firstLine="0"/>
              <w:jc w:val="center"/>
              <w:rPr>
                <w:kern w:val="2"/>
                <w:sz w:val="21"/>
                <w:szCs w:val="21"/>
                <w:lang w:bidi="en-US"/>
              </w:rPr>
            </w:pPr>
            <w:r>
              <w:rPr>
                <w:kern w:val="2"/>
                <w:sz w:val="21"/>
                <w:szCs w:val="21"/>
                <w:lang w:bidi="en-US"/>
              </w:rPr>
              <w:t>62.5</w:t>
            </w:r>
          </w:p>
        </w:tc>
        <w:tc>
          <w:tcPr>
            <w:tcW w:w="837" w:type="dxa"/>
          </w:tcPr>
          <w:p w14:paraId="16B306C8"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6D17F780"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3E1DDD96" w14:textId="77777777">
        <w:trPr>
          <w:trHeight w:val="340"/>
        </w:trPr>
        <w:tc>
          <w:tcPr>
            <w:tcW w:w="788" w:type="dxa"/>
            <w:vMerge/>
          </w:tcPr>
          <w:p w14:paraId="5ECA10DB"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08F59D7E" w14:textId="77777777" w:rsidR="003E78AB" w:rsidRDefault="003E78AB">
            <w:pPr>
              <w:spacing w:line="360" w:lineRule="exact"/>
              <w:ind w:firstLineChars="0" w:firstLine="0"/>
              <w:jc w:val="center"/>
              <w:rPr>
                <w:kern w:val="2"/>
                <w:sz w:val="21"/>
                <w:szCs w:val="21"/>
                <w:lang w:eastAsia="en-US" w:bidi="en-US"/>
              </w:rPr>
            </w:pPr>
          </w:p>
        </w:tc>
        <w:tc>
          <w:tcPr>
            <w:tcW w:w="691" w:type="dxa"/>
            <w:vMerge/>
          </w:tcPr>
          <w:p w14:paraId="51A7AEE2" w14:textId="77777777" w:rsidR="003E78AB" w:rsidRDefault="003E78AB">
            <w:pPr>
              <w:spacing w:line="360" w:lineRule="exact"/>
              <w:ind w:firstLineChars="0" w:firstLine="0"/>
              <w:jc w:val="center"/>
              <w:rPr>
                <w:kern w:val="2"/>
                <w:sz w:val="21"/>
                <w:szCs w:val="21"/>
                <w:lang w:eastAsia="en-US" w:bidi="en-US"/>
              </w:rPr>
            </w:pPr>
          </w:p>
        </w:tc>
        <w:tc>
          <w:tcPr>
            <w:tcW w:w="969" w:type="dxa"/>
          </w:tcPr>
          <w:p w14:paraId="28ECF237"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日平均</w:t>
            </w:r>
          </w:p>
        </w:tc>
        <w:tc>
          <w:tcPr>
            <w:tcW w:w="1172" w:type="dxa"/>
          </w:tcPr>
          <w:p w14:paraId="2514E0DA" w14:textId="77777777" w:rsidR="003E78AB" w:rsidRDefault="00010BF9">
            <w:pPr>
              <w:spacing w:line="360" w:lineRule="exact"/>
              <w:ind w:firstLineChars="0" w:firstLine="0"/>
              <w:jc w:val="center"/>
              <w:rPr>
                <w:kern w:val="2"/>
                <w:sz w:val="21"/>
                <w:szCs w:val="21"/>
                <w:lang w:bidi="en-US"/>
              </w:rPr>
            </w:pPr>
            <w:r>
              <w:rPr>
                <w:kern w:val="2"/>
                <w:sz w:val="21"/>
                <w:szCs w:val="21"/>
                <w:lang w:bidi="en-US"/>
              </w:rPr>
              <w:t>80</w:t>
            </w:r>
          </w:p>
        </w:tc>
        <w:tc>
          <w:tcPr>
            <w:tcW w:w="1165" w:type="dxa"/>
          </w:tcPr>
          <w:p w14:paraId="2D02DFDE" w14:textId="77777777" w:rsidR="003E78AB" w:rsidRDefault="00010BF9">
            <w:pPr>
              <w:spacing w:line="360" w:lineRule="exact"/>
              <w:ind w:firstLineChars="0" w:firstLine="0"/>
              <w:jc w:val="center"/>
              <w:rPr>
                <w:kern w:val="2"/>
                <w:sz w:val="21"/>
                <w:szCs w:val="21"/>
                <w:lang w:bidi="en-US"/>
              </w:rPr>
            </w:pPr>
            <w:r>
              <w:rPr>
                <w:kern w:val="2"/>
                <w:sz w:val="21"/>
                <w:szCs w:val="21"/>
                <w:lang w:bidi="en-US"/>
              </w:rPr>
              <w:t>8</w:t>
            </w:r>
            <w:r>
              <w:rPr>
                <w:kern w:val="2"/>
                <w:sz w:val="21"/>
                <w:szCs w:val="21"/>
                <w:lang w:eastAsia="en-US" w:bidi="en-US"/>
              </w:rPr>
              <w:t>～</w:t>
            </w:r>
            <w:r>
              <w:rPr>
                <w:kern w:val="2"/>
                <w:sz w:val="21"/>
                <w:szCs w:val="21"/>
                <w:lang w:bidi="en-US"/>
              </w:rPr>
              <w:t>59</w:t>
            </w:r>
          </w:p>
        </w:tc>
        <w:tc>
          <w:tcPr>
            <w:tcW w:w="1106" w:type="dxa"/>
          </w:tcPr>
          <w:p w14:paraId="625304DD" w14:textId="77777777" w:rsidR="003E78AB" w:rsidRDefault="00010BF9">
            <w:pPr>
              <w:spacing w:line="360" w:lineRule="exact"/>
              <w:ind w:firstLineChars="0" w:firstLine="0"/>
              <w:jc w:val="center"/>
              <w:rPr>
                <w:kern w:val="2"/>
                <w:sz w:val="21"/>
                <w:szCs w:val="21"/>
                <w:lang w:bidi="en-US"/>
              </w:rPr>
            </w:pPr>
            <w:r>
              <w:rPr>
                <w:kern w:val="2"/>
                <w:sz w:val="21"/>
                <w:szCs w:val="21"/>
                <w:lang w:bidi="en-US"/>
              </w:rPr>
              <w:t>73.75</w:t>
            </w:r>
          </w:p>
        </w:tc>
        <w:tc>
          <w:tcPr>
            <w:tcW w:w="837" w:type="dxa"/>
          </w:tcPr>
          <w:p w14:paraId="25EE7B7D"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49041EC9"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1BEC07DC" w14:textId="77777777">
        <w:trPr>
          <w:trHeight w:val="340"/>
        </w:trPr>
        <w:tc>
          <w:tcPr>
            <w:tcW w:w="788" w:type="dxa"/>
            <w:vMerge/>
          </w:tcPr>
          <w:p w14:paraId="1ACA91CB"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6847EB77" w14:textId="77777777" w:rsidR="003E78AB" w:rsidRDefault="003E78AB">
            <w:pPr>
              <w:spacing w:line="360" w:lineRule="exact"/>
              <w:ind w:firstLineChars="0" w:firstLine="0"/>
              <w:jc w:val="center"/>
              <w:rPr>
                <w:kern w:val="2"/>
                <w:sz w:val="21"/>
                <w:szCs w:val="21"/>
                <w:lang w:eastAsia="en-US" w:bidi="en-US"/>
              </w:rPr>
            </w:pPr>
          </w:p>
        </w:tc>
        <w:tc>
          <w:tcPr>
            <w:tcW w:w="691" w:type="dxa"/>
            <w:vMerge w:val="restart"/>
          </w:tcPr>
          <w:p w14:paraId="2A212274" w14:textId="77777777" w:rsidR="003E78AB" w:rsidRDefault="00010BF9">
            <w:pPr>
              <w:spacing w:line="360" w:lineRule="exact"/>
              <w:ind w:firstLineChars="0" w:firstLine="0"/>
              <w:jc w:val="center"/>
              <w:rPr>
                <w:kern w:val="2"/>
                <w:sz w:val="21"/>
                <w:szCs w:val="21"/>
                <w:vertAlign w:val="subscript"/>
                <w:lang w:eastAsia="en-US" w:bidi="en-US"/>
              </w:rPr>
            </w:pPr>
            <w:r>
              <w:rPr>
                <w:kern w:val="2"/>
                <w:sz w:val="21"/>
                <w:szCs w:val="21"/>
                <w:lang w:bidi="en-US"/>
              </w:rPr>
              <w:t>PM</w:t>
            </w:r>
            <w:r>
              <w:rPr>
                <w:kern w:val="2"/>
                <w:sz w:val="21"/>
                <w:szCs w:val="21"/>
                <w:vertAlign w:val="subscript"/>
                <w:lang w:eastAsia="en-US" w:bidi="en-US"/>
              </w:rPr>
              <w:t>10</w:t>
            </w:r>
          </w:p>
        </w:tc>
        <w:tc>
          <w:tcPr>
            <w:tcW w:w="969" w:type="dxa"/>
          </w:tcPr>
          <w:p w14:paraId="54337709"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年平均</w:t>
            </w:r>
          </w:p>
        </w:tc>
        <w:tc>
          <w:tcPr>
            <w:tcW w:w="1172" w:type="dxa"/>
          </w:tcPr>
          <w:p w14:paraId="556A6544" w14:textId="77777777" w:rsidR="003E78AB" w:rsidRDefault="00010BF9">
            <w:pPr>
              <w:spacing w:line="360" w:lineRule="exact"/>
              <w:ind w:firstLineChars="0" w:firstLine="0"/>
              <w:jc w:val="center"/>
              <w:rPr>
                <w:kern w:val="2"/>
                <w:sz w:val="21"/>
                <w:szCs w:val="21"/>
                <w:lang w:bidi="en-US"/>
              </w:rPr>
            </w:pPr>
            <w:r>
              <w:rPr>
                <w:kern w:val="2"/>
                <w:sz w:val="21"/>
                <w:szCs w:val="21"/>
                <w:lang w:bidi="en-US"/>
              </w:rPr>
              <w:t>70</w:t>
            </w:r>
          </w:p>
        </w:tc>
        <w:tc>
          <w:tcPr>
            <w:tcW w:w="1165" w:type="dxa"/>
          </w:tcPr>
          <w:p w14:paraId="6DBBC91A" w14:textId="77777777" w:rsidR="003E78AB" w:rsidRDefault="00010BF9">
            <w:pPr>
              <w:spacing w:line="360" w:lineRule="exact"/>
              <w:ind w:firstLineChars="0" w:firstLine="0"/>
              <w:jc w:val="center"/>
              <w:rPr>
                <w:kern w:val="2"/>
                <w:sz w:val="21"/>
                <w:szCs w:val="21"/>
                <w:lang w:bidi="en-US"/>
              </w:rPr>
            </w:pPr>
            <w:r>
              <w:rPr>
                <w:kern w:val="2"/>
                <w:sz w:val="21"/>
                <w:szCs w:val="21"/>
                <w:lang w:bidi="en-US"/>
              </w:rPr>
              <w:t>73</w:t>
            </w:r>
          </w:p>
        </w:tc>
        <w:tc>
          <w:tcPr>
            <w:tcW w:w="1106" w:type="dxa"/>
          </w:tcPr>
          <w:p w14:paraId="581EDDC2" w14:textId="77777777" w:rsidR="003E78AB" w:rsidRDefault="00010BF9">
            <w:pPr>
              <w:spacing w:line="360" w:lineRule="exact"/>
              <w:ind w:firstLineChars="0" w:firstLine="0"/>
              <w:jc w:val="center"/>
              <w:rPr>
                <w:kern w:val="2"/>
                <w:sz w:val="21"/>
                <w:szCs w:val="21"/>
                <w:lang w:bidi="en-US"/>
              </w:rPr>
            </w:pPr>
            <w:r>
              <w:rPr>
                <w:kern w:val="2"/>
                <w:sz w:val="21"/>
                <w:szCs w:val="21"/>
                <w:lang w:bidi="en-US"/>
              </w:rPr>
              <w:t>104.29</w:t>
            </w:r>
          </w:p>
        </w:tc>
        <w:tc>
          <w:tcPr>
            <w:tcW w:w="837" w:type="dxa"/>
          </w:tcPr>
          <w:p w14:paraId="332E4A4C" w14:textId="77777777" w:rsidR="003E78AB" w:rsidRDefault="00010BF9">
            <w:pPr>
              <w:spacing w:line="360" w:lineRule="exact"/>
              <w:ind w:firstLineChars="0" w:firstLine="0"/>
              <w:jc w:val="center"/>
              <w:rPr>
                <w:kern w:val="2"/>
                <w:sz w:val="21"/>
                <w:szCs w:val="21"/>
                <w:lang w:bidi="en-US"/>
              </w:rPr>
            </w:pPr>
            <w:r>
              <w:rPr>
                <w:kern w:val="2"/>
                <w:sz w:val="21"/>
                <w:szCs w:val="21"/>
                <w:lang w:bidi="en-US"/>
              </w:rPr>
              <w:t>100</w:t>
            </w:r>
          </w:p>
        </w:tc>
        <w:tc>
          <w:tcPr>
            <w:tcW w:w="657" w:type="dxa"/>
          </w:tcPr>
          <w:p w14:paraId="11E511E4"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超标</w:t>
            </w:r>
          </w:p>
        </w:tc>
      </w:tr>
      <w:tr w:rsidR="003E78AB" w14:paraId="4C44F98C" w14:textId="77777777">
        <w:trPr>
          <w:trHeight w:val="340"/>
        </w:trPr>
        <w:tc>
          <w:tcPr>
            <w:tcW w:w="788" w:type="dxa"/>
            <w:vMerge/>
          </w:tcPr>
          <w:p w14:paraId="48F646F5"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2B0CFC26" w14:textId="77777777" w:rsidR="003E78AB" w:rsidRDefault="003E78AB">
            <w:pPr>
              <w:spacing w:line="360" w:lineRule="exact"/>
              <w:ind w:firstLineChars="0" w:firstLine="0"/>
              <w:jc w:val="center"/>
              <w:rPr>
                <w:kern w:val="2"/>
                <w:sz w:val="21"/>
                <w:szCs w:val="21"/>
                <w:lang w:eastAsia="en-US" w:bidi="en-US"/>
              </w:rPr>
            </w:pPr>
          </w:p>
        </w:tc>
        <w:tc>
          <w:tcPr>
            <w:tcW w:w="691" w:type="dxa"/>
            <w:vMerge/>
          </w:tcPr>
          <w:p w14:paraId="2C31FACC" w14:textId="77777777" w:rsidR="003E78AB" w:rsidRDefault="003E78AB">
            <w:pPr>
              <w:spacing w:line="360" w:lineRule="exact"/>
              <w:ind w:firstLineChars="0" w:firstLine="0"/>
              <w:jc w:val="center"/>
              <w:rPr>
                <w:kern w:val="2"/>
                <w:sz w:val="21"/>
                <w:szCs w:val="21"/>
                <w:lang w:eastAsia="en-US" w:bidi="en-US"/>
              </w:rPr>
            </w:pPr>
          </w:p>
        </w:tc>
        <w:tc>
          <w:tcPr>
            <w:tcW w:w="969" w:type="dxa"/>
          </w:tcPr>
          <w:p w14:paraId="146F3868"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日平均</w:t>
            </w:r>
          </w:p>
        </w:tc>
        <w:tc>
          <w:tcPr>
            <w:tcW w:w="1172" w:type="dxa"/>
          </w:tcPr>
          <w:p w14:paraId="09D3AE86" w14:textId="77777777" w:rsidR="003E78AB" w:rsidRDefault="00010BF9">
            <w:pPr>
              <w:spacing w:line="360" w:lineRule="exact"/>
              <w:ind w:firstLineChars="0" w:firstLine="0"/>
              <w:jc w:val="center"/>
              <w:rPr>
                <w:kern w:val="2"/>
                <w:sz w:val="21"/>
                <w:szCs w:val="21"/>
                <w:lang w:bidi="en-US"/>
              </w:rPr>
            </w:pPr>
            <w:r>
              <w:rPr>
                <w:kern w:val="2"/>
                <w:sz w:val="21"/>
                <w:szCs w:val="21"/>
                <w:lang w:bidi="en-US"/>
              </w:rPr>
              <w:t>150</w:t>
            </w:r>
          </w:p>
        </w:tc>
        <w:tc>
          <w:tcPr>
            <w:tcW w:w="1165" w:type="dxa"/>
          </w:tcPr>
          <w:p w14:paraId="18DAFBC3" w14:textId="77777777" w:rsidR="003E78AB" w:rsidRDefault="00010BF9">
            <w:pPr>
              <w:spacing w:line="360" w:lineRule="exact"/>
              <w:ind w:firstLineChars="0" w:firstLine="0"/>
              <w:jc w:val="center"/>
              <w:rPr>
                <w:kern w:val="2"/>
                <w:sz w:val="21"/>
                <w:szCs w:val="21"/>
                <w:lang w:bidi="en-US"/>
              </w:rPr>
            </w:pPr>
            <w:r>
              <w:rPr>
                <w:kern w:val="2"/>
                <w:sz w:val="21"/>
                <w:szCs w:val="21"/>
                <w:lang w:bidi="en-US"/>
              </w:rPr>
              <w:t>20</w:t>
            </w:r>
            <w:r>
              <w:rPr>
                <w:kern w:val="2"/>
                <w:sz w:val="21"/>
                <w:szCs w:val="21"/>
                <w:lang w:eastAsia="en-US" w:bidi="en-US"/>
              </w:rPr>
              <w:t>～</w:t>
            </w:r>
            <w:r>
              <w:rPr>
                <w:kern w:val="2"/>
                <w:sz w:val="21"/>
                <w:szCs w:val="21"/>
                <w:lang w:bidi="en-US"/>
              </w:rPr>
              <w:t>150</w:t>
            </w:r>
          </w:p>
        </w:tc>
        <w:tc>
          <w:tcPr>
            <w:tcW w:w="1106" w:type="dxa"/>
          </w:tcPr>
          <w:p w14:paraId="23F91A58" w14:textId="77777777" w:rsidR="003E78AB" w:rsidRDefault="00010BF9">
            <w:pPr>
              <w:spacing w:line="360" w:lineRule="exact"/>
              <w:ind w:firstLineChars="0" w:firstLine="0"/>
              <w:jc w:val="center"/>
              <w:rPr>
                <w:kern w:val="2"/>
                <w:sz w:val="21"/>
                <w:szCs w:val="21"/>
                <w:lang w:bidi="en-US"/>
              </w:rPr>
            </w:pPr>
            <w:r>
              <w:rPr>
                <w:kern w:val="2"/>
                <w:sz w:val="21"/>
                <w:szCs w:val="21"/>
                <w:lang w:bidi="en-US"/>
              </w:rPr>
              <w:t>100</w:t>
            </w:r>
          </w:p>
        </w:tc>
        <w:tc>
          <w:tcPr>
            <w:tcW w:w="837" w:type="dxa"/>
          </w:tcPr>
          <w:p w14:paraId="267465C8"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5A716BE4"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375B3181" w14:textId="77777777">
        <w:trPr>
          <w:trHeight w:val="340"/>
        </w:trPr>
        <w:tc>
          <w:tcPr>
            <w:tcW w:w="788" w:type="dxa"/>
            <w:vMerge/>
          </w:tcPr>
          <w:p w14:paraId="0D264309"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0FE65536" w14:textId="77777777" w:rsidR="003E78AB" w:rsidRDefault="003E78AB">
            <w:pPr>
              <w:spacing w:line="360" w:lineRule="exact"/>
              <w:ind w:firstLineChars="0" w:firstLine="0"/>
              <w:jc w:val="center"/>
              <w:rPr>
                <w:kern w:val="2"/>
                <w:sz w:val="21"/>
                <w:szCs w:val="21"/>
                <w:lang w:eastAsia="en-US" w:bidi="en-US"/>
              </w:rPr>
            </w:pPr>
          </w:p>
        </w:tc>
        <w:tc>
          <w:tcPr>
            <w:tcW w:w="691" w:type="dxa"/>
            <w:vMerge w:val="restart"/>
          </w:tcPr>
          <w:p w14:paraId="125FC127" w14:textId="77777777" w:rsidR="003E78AB" w:rsidRDefault="00010BF9">
            <w:pPr>
              <w:spacing w:line="360" w:lineRule="exact"/>
              <w:ind w:firstLineChars="0" w:firstLine="0"/>
              <w:jc w:val="center"/>
              <w:rPr>
                <w:kern w:val="2"/>
                <w:sz w:val="21"/>
                <w:szCs w:val="21"/>
                <w:vertAlign w:val="subscript"/>
                <w:lang w:eastAsia="en-US" w:bidi="en-US"/>
              </w:rPr>
            </w:pPr>
            <w:r>
              <w:rPr>
                <w:kern w:val="2"/>
                <w:sz w:val="21"/>
                <w:szCs w:val="21"/>
                <w:lang w:bidi="en-US"/>
              </w:rPr>
              <w:t>PM</w:t>
            </w:r>
            <w:r>
              <w:rPr>
                <w:kern w:val="2"/>
                <w:sz w:val="21"/>
                <w:szCs w:val="21"/>
                <w:vertAlign w:val="subscript"/>
                <w:lang w:eastAsia="en-US" w:bidi="en-US"/>
              </w:rPr>
              <w:t>2.5</w:t>
            </w:r>
          </w:p>
        </w:tc>
        <w:tc>
          <w:tcPr>
            <w:tcW w:w="969" w:type="dxa"/>
          </w:tcPr>
          <w:p w14:paraId="7E81A20C"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年平均</w:t>
            </w:r>
          </w:p>
        </w:tc>
        <w:tc>
          <w:tcPr>
            <w:tcW w:w="1172" w:type="dxa"/>
          </w:tcPr>
          <w:p w14:paraId="4E329EFE" w14:textId="77777777" w:rsidR="003E78AB" w:rsidRDefault="00010BF9">
            <w:pPr>
              <w:spacing w:line="360" w:lineRule="exact"/>
              <w:ind w:firstLineChars="0" w:firstLine="0"/>
              <w:jc w:val="center"/>
              <w:rPr>
                <w:kern w:val="2"/>
                <w:sz w:val="21"/>
                <w:szCs w:val="21"/>
                <w:lang w:bidi="en-US"/>
              </w:rPr>
            </w:pPr>
            <w:r>
              <w:rPr>
                <w:kern w:val="2"/>
                <w:sz w:val="21"/>
                <w:szCs w:val="21"/>
                <w:lang w:bidi="en-US"/>
              </w:rPr>
              <w:t>35</w:t>
            </w:r>
          </w:p>
        </w:tc>
        <w:tc>
          <w:tcPr>
            <w:tcW w:w="1165" w:type="dxa"/>
          </w:tcPr>
          <w:p w14:paraId="070A6133" w14:textId="77777777" w:rsidR="003E78AB" w:rsidRDefault="00010BF9">
            <w:pPr>
              <w:spacing w:line="360" w:lineRule="exact"/>
              <w:ind w:firstLineChars="0" w:firstLine="0"/>
              <w:jc w:val="center"/>
              <w:rPr>
                <w:kern w:val="2"/>
                <w:sz w:val="21"/>
                <w:szCs w:val="21"/>
                <w:lang w:bidi="en-US"/>
              </w:rPr>
            </w:pPr>
            <w:r>
              <w:rPr>
                <w:kern w:val="2"/>
                <w:sz w:val="21"/>
                <w:szCs w:val="21"/>
                <w:lang w:bidi="en-US"/>
              </w:rPr>
              <w:t>20</w:t>
            </w:r>
          </w:p>
        </w:tc>
        <w:tc>
          <w:tcPr>
            <w:tcW w:w="1106" w:type="dxa"/>
          </w:tcPr>
          <w:p w14:paraId="343F9CB9" w14:textId="77777777" w:rsidR="003E78AB" w:rsidRDefault="00010BF9">
            <w:pPr>
              <w:spacing w:line="360" w:lineRule="exact"/>
              <w:ind w:firstLineChars="0" w:firstLine="0"/>
              <w:jc w:val="center"/>
              <w:rPr>
                <w:kern w:val="2"/>
                <w:sz w:val="21"/>
                <w:szCs w:val="21"/>
                <w:lang w:bidi="en-US"/>
              </w:rPr>
            </w:pPr>
            <w:r>
              <w:rPr>
                <w:kern w:val="2"/>
                <w:sz w:val="21"/>
                <w:szCs w:val="21"/>
                <w:lang w:bidi="en-US"/>
              </w:rPr>
              <w:t>57.14</w:t>
            </w:r>
          </w:p>
        </w:tc>
        <w:tc>
          <w:tcPr>
            <w:tcW w:w="837" w:type="dxa"/>
          </w:tcPr>
          <w:p w14:paraId="076C2BB8"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5BD5E265"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4057CAD4" w14:textId="77777777">
        <w:trPr>
          <w:trHeight w:val="340"/>
        </w:trPr>
        <w:tc>
          <w:tcPr>
            <w:tcW w:w="788" w:type="dxa"/>
            <w:vMerge/>
          </w:tcPr>
          <w:p w14:paraId="40870285"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16788E4C" w14:textId="77777777" w:rsidR="003E78AB" w:rsidRDefault="003E78AB">
            <w:pPr>
              <w:spacing w:line="360" w:lineRule="exact"/>
              <w:ind w:firstLineChars="0" w:firstLine="0"/>
              <w:jc w:val="center"/>
              <w:rPr>
                <w:kern w:val="2"/>
                <w:sz w:val="21"/>
                <w:szCs w:val="21"/>
                <w:lang w:eastAsia="en-US" w:bidi="en-US"/>
              </w:rPr>
            </w:pPr>
          </w:p>
        </w:tc>
        <w:tc>
          <w:tcPr>
            <w:tcW w:w="691" w:type="dxa"/>
            <w:vMerge/>
          </w:tcPr>
          <w:p w14:paraId="29F7B541" w14:textId="77777777" w:rsidR="003E78AB" w:rsidRDefault="003E78AB">
            <w:pPr>
              <w:spacing w:line="360" w:lineRule="exact"/>
              <w:ind w:firstLineChars="0" w:firstLine="0"/>
              <w:jc w:val="center"/>
              <w:rPr>
                <w:kern w:val="2"/>
                <w:sz w:val="21"/>
                <w:szCs w:val="21"/>
                <w:lang w:eastAsia="en-US" w:bidi="en-US"/>
              </w:rPr>
            </w:pPr>
          </w:p>
        </w:tc>
        <w:tc>
          <w:tcPr>
            <w:tcW w:w="969" w:type="dxa"/>
          </w:tcPr>
          <w:p w14:paraId="1EF14892"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日平均</w:t>
            </w:r>
          </w:p>
        </w:tc>
        <w:tc>
          <w:tcPr>
            <w:tcW w:w="1172" w:type="dxa"/>
          </w:tcPr>
          <w:p w14:paraId="2979C73B" w14:textId="77777777" w:rsidR="003E78AB" w:rsidRDefault="00010BF9">
            <w:pPr>
              <w:spacing w:line="360" w:lineRule="exact"/>
              <w:ind w:firstLineChars="0" w:firstLine="0"/>
              <w:jc w:val="center"/>
              <w:rPr>
                <w:kern w:val="2"/>
                <w:sz w:val="21"/>
                <w:szCs w:val="21"/>
                <w:lang w:bidi="en-US"/>
              </w:rPr>
            </w:pPr>
            <w:r>
              <w:rPr>
                <w:kern w:val="2"/>
                <w:sz w:val="21"/>
                <w:szCs w:val="21"/>
                <w:lang w:bidi="en-US"/>
              </w:rPr>
              <w:t>75</w:t>
            </w:r>
          </w:p>
        </w:tc>
        <w:tc>
          <w:tcPr>
            <w:tcW w:w="1165" w:type="dxa"/>
          </w:tcPr>
          <w:p w14:paraId="3FDCF322" w14:textId="77777777" w:rsidR="003E78AB" w:rsidRDefault="00010BF9">
            <w:pPr>
              <w:spacing w:line="360" w:lineRule="exact"/>
              <w:ind w:firstLineChars="0" w:firstLine="0"/>
              <w:jc w:val="center"/>
              <w:rPr>
                <w:kern w:val="2"/>
                <w:sz w:val="21"/>
                <w:szCs w:val="21"/>
                <w:lang w:bidi="en-US"/>
              </w:rPr>
            </w:pPr>
            <w:r>
              <w:rPr>
                <w:kern w:val="2"/>
                <w:sz w:val="21"/>
                <w:szCs w:val="21"/>
                <w:lang w:bidi="en-US"/>
              </w:rPr>
              <w:t>10</w:t>
            </w:r>
            <w:r>
              <w:rPr>
                <w:kern w:val="2"/>
                <w:sz w:val="21"/>
                <w:szCs w:val="21"/>
                <w:lang w:eastAsia="en-US" w:bidi="en-US"/>
              </w:rPr>
              <w:t>～</w:t>
            </w:r>
            <w:r>
              <w:rPr>
                <w:kern w:val="2"/>
                <w:sz w:val="21"/>
                <w:szCs w:val="21"/>
                <w:lang w:bidi="en-US"/>
              </w:rPr>
              <w:t>62</w:t>
            </w:r>
          </w:p>
        </w:tc>
        <w:tc>
          <w:tcPr>
            <w:tcW w:w="1106" w:type="dxa"/>
          </w:tcPr>
          <w:p w14:paraId="1A682AE2" w14:textId="77777777" w:rsidR="003E78AB" w:rsidRDefault="00010BF9">
            <w:pPr>
              <w:spacing w:line="360" w:lineRule="exact"/>
              <w:ind w:firstLineChars="0" w:firstLine="0"/>
              <w:jc w:val="center"/>
              <w:rPr>
                <w:kern w:val="2"/>
                <w:sz w:val="21"/>
                <w:szCs w:val="21"/>
                <w:lang w:bidi="en-US"/>
              </w:rPr>
            </w:pPr>
            <w:r>
              <w:rPr>
                <w:kern w:val="2"/>
                <w:sz w:val="21"/>
                <w:szCs w:val="21"/>
                <w:lang w:bidi="en-US"/>
              </w:rPr>
              <w:t>82.67</w:t>
            </w:r>
          </w:p>
        </w:tc>
        <w:tc>
          <w:tcPr>
            <w:tcW w:w="837" w:type="dxa"/>
          </w:tcPr>
          <w:p w14:paraId="2941D72D"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5DE8A03A"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56801B83" w14:textId="77777777">
        <w:trPr>
          <w:trHeight w:val="340"/>
        </w:trPr>
        <w:tc>
          <w:tcPr>
            <w:tcW w:w="788" w:type="dxa"/>
            <w:vMerge/>
          </w:tcPr>
          <w:p w14:paraId="030D073A"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25DAF83D" w14:textId="77777777" w:rsidR="003E78AB" w:rsidRDefault="003E78AB">
            <w:pPr>
              <w:spacing w:line="360" w:lineRule="exact"/>
              <w:ind w:firstLineChars="0" w:firstLine="0"/>
              <w:jc w:val="center"/>
              <w:rPr>
                <w:kern w:val="2"/>
                <w:sz w:val="21"/>
                <w:szCs w:val="21"/>
                <w:lang w:eastAsia="en-US" w:bidi="en-US"/>
              </w:rPr>
            </w:pPr>
          </w:p>
        </w:tc>
        <w:tc>
          <w:tcPr>
            <w:tcW w:w="691" w:type="dxa"/>
          </w:tcPr>
          <w:p w14:paraId="5C721088"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CO</w:t>
            </w:r>
          </w:p>
        </w:tc>
        <w:tc>
          <w:tcPr>
            <w:tcW w:w="969" w:type="dxa"/>
          </w:tcPr>
          <w:p w14:paraId="1EF1101E"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日平均</w:t>
            </w:r>
          </w:p>
        </w:tc>
        <w:tc>
          <w:tcPr>
            <w:tcW w:w="1172" w:type="dxa"/>
          </w:tcPr>
          <w:p w14:paraId="21041928" w14:textId="77777777" w:rsidR="003E78AB" w:rsidRDefault="00010BF9">
            <w:pPr>
              <w:spacing w:line="360" w:lineRule="exact"/>
              <w:ind w:firstLineChars="0" w:firstLine="0"/>
              <w:jc w:val="center"/>
              <w:rPr>
                <w:kern w:val="2"/>
                <w:sz w:val="21"/>
                <w:szCs w:val="21"/>
                <w:lang w:bidi="en-US"/>
              </w:rPr>
            </w:pPr>
            <w:r>
              <w:rPr>
                <w:kern w:val="2"/>
                <w:sz w:val="21"/>
                <w:szCs w:val="21"/>
                <w:lang w:bidi="en-US"/>
              </w:rPr>
              <w:t>4000</w:t>
            </w:r>
          </w:p>
        </w:tc>
        <w:tc>
          <w:tcPr>
            <w:tcW w:w="1165" w:type="dxa"/>
          </w:tcPr>
          <w:p w14:paraId="3545C73C" w14:textId="77777777" w:rsidR="003E78AB" w:rsidRDefault="00010BF9">
            <w:pPr>
              <w:spacing w:line="360" w:lineRule="exact"/>
              <w:ind w:firstLineChars="0" w:firstLine="0"/>
              <w:jc w:val="center"/>
              <w:rPr>
                <w:kern w:val="2"/>
                <w:sz w:val="21"/>
                <w:szCs w:val="21"/>
                <w:lang w:bidi="en-US"/>
              </w:rPr>
            </w:pPr>
            <w:r>
              <w:rPr>
                <w:kern w:val="2"/>
                <w:sz w:val="21"/>
                <w:szCs w:val="21"/>
                <w:lang w:bidi="en-US"/>
              </w:rPr>
              <w:t>100</w:t>
            </w:r>
            <w:r>
              <w:rPr>
                <w:kern w:val="2"/>
                <w:sz w:val="21"/>
                <w:szCs w:val="21"/>
                <w:lang w:eastAsia="en-US" w:bidi="en-US"/>
              </w:rPr>
              <w:t>～</w:t>
            </w:r>
            <w:r>
              <w:rPr>
                <w:kern w:val="2"/>
                <w:sz w:val="21"/>
                <w:szCs w:val="21"/>
                <w:lang w:bidi="en-US"/>
              </w:rPr>
              <w:t>1500</w:t>
            </w:r>
          </w:p>
        </w:tc>
        <w:tc>
          <w:tcPr>
            <w:tcW w:w="1106" w:type="dxa"/>
          </w:tcPr>
          <w:p w14:paraId="50F90902" w14:textId="77777777" w:rsidR="003E78AB" w:rsidRDefault="00010BF9">
            <w:pPr>
              <w:spacing w:line="360" w:lineRule="exact"/>
              <w:ind w:firstLineChars="0" w:firstLine="0"/>
              <w:jc w:val="center"/>
              <w:rPr>
                <w:kern w:val="2"/>
                <w:sz w:val="21"/>
                <w:szCs w:val="21"/>
                <w:lang w:bidi="en-US"/>
              </w:rPr>
            </w:pPr>
            <w:r>
              <w:rPr>
                <w:kern w:val="2"/>
                <w:sz w:val="21"/>
                <w:szCs w:val="21"/>
                <w:lang w:bidi="en-US"/>
              </w:rPr>
              <w:t>37.5</w:t>
            </w:r>
          </w:p>
        </w:tc>
        <w:tc>
          <w:tcPr>
            <w:tcW w:w="837" w:type="dxa"/>
          </w:tcPr>
          <w:p w14:paraId="7CDB851D"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0C8E9F40"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r w:rsidR="003E78AB" w14:paraId="6437FFEC" w14:textId="77777777">
        <w:trPr>
          <w:trHeight w:val="340"/>
        </w:trPr>
        <w:tc>
          <w:tcPr>
            <w:tcW w:w="788" w:type="dxa"/>
            <w:vMerge/>
          </w:tcPr>
          <w:p w14:paraId="0BAC5273" w14:textId="77777777" w:rsidR="003E78AB" w:rsidRDefault="003E78AB">
            <w:pPr>
              <w:spacing w:line="360" w:lineRule="exact"/>
              <w:ind w:firstLineChars="0" w:firstLine="0"/>
              <w:jc w:val="center"/>
              <w:rPr>
                <w:kern w:val="2"/>
                <w:sz w:val="21"/>
                <w:szCs w:val="21"/>
                <w:lang w:eastAsia="en-US" w:bidi="en-US"/>
              </w:rPr>
            </w:pPr>
          </w:p>
        </w:tc>
        <w:tc>
          <w:tcPr>
            <w:tcW w:w="1051" w:type="dxa"/>
            <w:vMerge/>
          </w:tcPr>
          <w:p w14:paraId="6CE3C1CB" w14:textId="77777777" w:rsidR="003E78AB" w:rsidRDefault="003E78AB">
            <w:pPr>
              <w:spacing w:line="360" w:lineRule="exact"/>
              <w:ind w:firstLineChars="0" w:firstLine="0"/>
              <w:jc w:val="center"/>
              <w:rPr>
                <w:kern w:val="2"/>
                <w:sz w:val="21"/>
                <w:szCs w:val="21"/>
                <w:lang w:eastAsia="en-US" w:bidi="en-US"/>
              </w:rPr>
            </w:pPr>
          </w:p>
        </w:tc>
        <w:tc>
          <w:tcPr>
            <w:tcW w:w="691" w:type="dxa"/>
          </w:tcPr>
          <w:p w14:paraId="788E758A" w14:textId="77777777" w:rsidR="003E78AB" w:rsidRDefault="00010BF9">
            <w:pPr>
              <w:spacing w:line="360" w:lineRule="exact"/>
              <w:ind w:firstLineChars="0" w:firstLine="0"/>
              <w:jc w:val="center"/>
              <w:rPr>
                <w:kern w:val="2"/>
                <w:sz w:val="21"/>
                <w:szCs w:val="21"/>
                <w:vertAlign w:val="subscript"/>
                <w:lang w:eastAsia="en-US" w:bidi="en-US"/>
              </w:rPr>
            </w:pPr>
            <w:r>
              <w:rPr>
                <w:kern w:val="2"/>
                <w:sz w:val="21"/>
                <w:szCs w:val="21"/>
                <w:lang w:bidi="en-US"/>
              </w:rPr>
              <w:t>O</w:t>
            </w:r>
            <w:r>
              <w:rPr>
                <w:kern w:val="2"/>
                <w:sz w:val="21"/>
                <w:szCs w:val="21"/>
                <w:vertAlign w:val="subscript"/>
                <w:lang w:eastAsia="en-US" w:bidi="en-US"/>
              </w:rPr>
              <w:t>3</w:t>
            </w:r>
          </w:p>
        </w:tc>
        <w:tc>
          <w:tcPr>
            <w:tcW w:w="969" w:type="dxa"/>
          </w:tcPr>
          <w:p w14:paraId="0C402573"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日平均</w:t>
            </w:r>
          </w:p>
        </w:tc>
        <w:tc>
          <w:tcPr>
            <w:tcW w:w="1172" w:type="dxa"/>
          </w:tcPr>
          <w:p w14:paraId="13E95910" w14:textId="77777777" w:rsidR="003E78AB" w:rsidRDefault="00010BF9">
            <w:pPr>
              <w:spacing w:line="360" w:lineRule="exact"/>
              <w:ind w:firstLineChars="0" w:firstLine="0"/>
              <w:jc w:val="center"/>
              <w:rPr>
                <w:kern w:val="2"/>
                <w:sz w:val="21"/>
                <w:szCs w:val="21"/>
                <w:lang w:bidi="en-US"/>
              </w:rPr>
            </w:pPr>
            <w:r>
              <w:rPr>
                <w:kern w:val="2"/>
                <w:sz w:val="21"/>
                <w:szCs w:val="21"/>
                <w:lang w:bidi="en-US"/>
              </w:rPr>
              <w:t>160</w:t>
            </w:r>
          </w:p>
        </w:tc>
        <w:tc>
          <w:tcPr>
            <w:tcW w:w="1165" w:type="dxa"/>
          </w:tcPr>
          <w:p w14:paraId="7A0A7BB2" w14:textId="77777777" w:rsidR="003E78AB" w:rsidRDefault="00010BF9">
            <w:pPr>
              <w:spacing w:line="360" w:lineRule="exact"/>
              <w:ind w:firstLineChars="0" w:firstLine="0"/>
              <w:jc w:val="center"/>
              <w:rPr>
                <w:kern w:val="2"/>
                <w:sz w:val="21"/>
                <w:szCs w:val="21"/>
                <w:lang w:bidi="en-US"/>
              </w:rPr>
            </w:pPr>
            <w:r>
              <w:rPr>
                <w:kern w:val="2"/>
                <w:sz w:val="21"/>
                <w:szCs w:val="21"/>
                <w:lang w:bidi="en-US"/>
              </w:rPr>
              <w:t>34</w:t>
            </w:r>
            <w:r>
              <w:rPr>
                <w:kern w:val="2"/>
                <w:sz w:val="21"/>
                <w:szCs w:val="21"/>
                <w:lang w:eastAsia="en-US" w:bidi="en-US"/>
              </w:rPr>
              <w:t>～</w:t>
            </w:r>
            <w:r>
              <w:rPr>
                <w:kern w:val="2"/>
                <w:sz w:val="21"/>
                <w:szCs w:val="21"/>
                <w:lang w:bidi="en-US"/>
              </w:rPr>
              <w:t>138</w:t>
            </w:r>
          </w:p>
        </w:tc>
        <w:tc>
          <w:tcPr>
            <w:tcW w:w="1106" w:type="dxa"/>
          </w:tcPr>
          <w:p w14:paraId="7F386767" w14:textId="77777777" w:rsidR="003E78AB" w:rsidRDefault="00010BF9">
            <w:pPr>
              <w:spacing w:line="360" w:lineRule="exact"/>
              <w:ind w:firstLineChars="0" w:firstLine="0"/>
              <w:jc w:val="center"/>
              <w:rPr>
                <w:kern w:val="2"/>
                <w:sz w:val="21"/>
                <w:szCs w:val="21"/>
                <w:lang w:bidi="en-US"/>
              </w:rPr>
            </w:pPr>
            <w:r>
              <w:rPr>
                <w:kern w:val="2"/>
                <w:sz w:val="21"/>
                <w:szCs w:val="21"/>
                <w:lang w:bidi="en-US"/>
              </w:rPr>
              <w:t>86.25</w:t>
            </w:r>
          </w:p>
        </w:tc>
        <w:tc>
          <w:tcPr>
            <w:tcW w:w="837" w:type="dxa"/>
          </w:tcPr>
          <w:p w14:paraId="31E3D17B" w14:textId="77777777" w:rsidR="003E78AB" w:rsidRDefault="00010BF9">
            <w:pPr>
              <w:spacing w:line="360" w:lineRule="exact"/>
              <w:ind w:firstLineChars="0" w:firstLine="0"/>
              <w:jc w:val="center"/>
              <w:rPr>
                <w:kern w:val="2"/>
                <w:sz w:val="21"/>
                <w:szCs w:val="21"/>
                <w:lang w:bidi="en-US"/>
              </w:rPr>
            </w:pPr>
            <w:r>
              <w:rPr>
                <w:kern w:val="2"/>
                <w:sz w:val="21"/>
                <w:szCs w:val="21"/>
                <w:lang w:bidi="en-US"/>
              </w:rPr>
              <w:t>/</w:t>
            </w:r>
          </w:p>
        </w:tc>
        <w:tc>
          <w:tcPr>
            <w:tcW w:w="657" w:type="dxa"/>
          </w:tcPr>
          <w:p w14:paraId="0BE8274A" w14:textId="77777777" w:rsidR="003E78AB" w:rsidRDefault="00010BF9">
            <w:pPr>
              <w:spacing w:line="360" w:lineRule="exact"/>
              <w:ind w:firstLineChars="0" w:firstLine="0"/>
              <w:jc w:val="center"/>
              <w:rPr>
                <w:kern w:val="2"/>
                <w:sz w:val="21"/>
                <w:szCs w:val="21"/>
                <w:lang w:eastAsia="en-US" w:bidi="en-US"/>
              </w:rPr>
            </w:pPr>
            <w:r>
              <w:rPr>
                <w:kern w:val="2"/>
                <w:sz w:val="21"/>
                <w:szCs w:val="21"/>
                <w:lang w:bidi="en-US"/>
              </w:rPr>
              <w:t>达标</w:t>
            </w:r>
          </w:p>
        </w:tc>
      </w:tr>
    </w:tbl>
    <w:p w14:paraId="5361E9DC" w14:textId="77777777" w:rsidR="003E78AB" w:rsidRDefault="00010BF9">
      <w:pPr>
        <w:ind w:firstLine="480"/>
        <w:rPr>
          <w:bCs/>
          <w:kern w:val="2"/>
        </w:rPr>
      </w:pPr>
      <w:r>
        <w:rPr>
          <w:bCs/>
          <w:kern w:val="2"/>
        </w:rPr>
        <w:t>根据监测结果可知，上述监测因子中</w:t>
      </w:r>
      <w:r>
        <w:rPr>
          <w:bCs/>
          <w:kern w:val="2"/>
        </w:rPr>
        <w:t>SO</w:t>
      </w:r>
      <w:r>
        <w:rPr>
          <w:bCs/>
          <w:kern w:val="2"/>
          <w:vertAlign w:val="subscript"/>
        </w:rPr>
        <w:t>2</w:t>
      </w:r>
      <w:r>
        <w:rPr>
          <w:bCs/>
          <w:kern w:val="2"/>
        </w:rPr>
        <w:t>、</w:t>
      </w:r>
      <w:r>
        <w:rPr>
          <w:bCs/>
          <w:kern w:val="2"/>
        </w:rPr>
        <w:t>NO</w:t>
      </w:r>
      <w:r>
        <w:rPr>
          <w:bCs/>
          <w:kern w:val="2"/>
          <w:vertAlign w:val="subscript"/>
        </w:rPr>
        <w:t>2</w:t>
      </w:r>
      <w:r>
        <w:rPr>
          <w:bCs/>
          <w:kern w:val="2"/>
        </w:rPr>
        <w:t>24</w:t>
      </w:r>
      <w:r>
        <w:rPr>
          <w:bCs/>
          <w:kern w:val="2"/>
        </w:rPr>
        <w:t>小时平均浓度和年均浓度，以及</w:t>
      </w:r>
      <w:r>
        <w:rPr>
          <w:bCs/>
          <w:kern w:val="2"/>
        </w:rPr>
        <w:t>PM</w:t>
      </w:r>
      <w:r>
        <w:rPr>
          <w:bCs/>
          <w:kern w:val="2"/>
          <w:vertAlign w:val="subscript"/>
        </w:rPr>
        <w:t>2.5</w:t>
      </w:r>
      <w:r>
        <w:rPr>
          <w:bCs/>
          <w:kern w:val="2"/>
        </w:rPr>
        <w:t>24</w:t>
      </w:r>
      <w:r>
        <w:rPr>
          <w:bCs/>
          <w:kern w:val="2"/>
        </w:rPr>
        <w:t>小时平均浓度和年均浓度均满足《环境空气质量标准》</w:t>
      </w:r>
      <w:r>
        <w:rPr>
          <w:rFonts w:hint="eastAsia"/>
          <w:bCs/>
          <w:kern w:val="2"/>
        </w:rPr>
        <w:t>（</w:t>
      </w:r>
      <w:r>
        <w:rPr>
          <w:bCs/>
          <w:kern w:val="2"/>
        </w:rPr>
        <w:t>GB3095-2012</w:t>
      </w:r>
      <w:r>
        <w:rPr>
          <w:rFonts w:hint="eastAsia"/>
          <w:bCs/>
          <w:kern w:val="2"/>
        </w:rPr>
        <w:t>）</w:t>
      </w:r>
      <w:r>
        <w:rPr>
          <w:bCs/>
          <w:kern w:val="2"/>
        </w:rPr>
        <w:t>的二级标准要求；</w:t>
      </w:r>
      <w:r>
        <w:rPr>
          <w:bCs/>
          <w:kern w:val="2"/>
        </w:rPr>
        <w:t>CO</w:t>
      </w:r>
      <w:r>
        <w:rPr>
          <w:bCs/>
          <w:kern w:val="2"/>
        </w:rPr>
        <w:t>日均浓度值、</w:t>
      </w:r>
      <w:r>
        <w:rPr>
          <w:bCs/>
          <w:kern w:val="2"/>
        </w:rPr>
        <w:t>O3</w:t>
      </w:r>
      <w:r>
        <w:rPr>
          <w:bCs/>
          <w:kern w:val="2"/>
        </w:rPr>
        <w:t>日最大</w:t>
      </w:r>
      <w:r>
        <w:rPr>
          <w:bCs/>
          <w:kern w:val="2"/>
        </w:rPr>
        <w:t>8</w:t>
      </w:r>
      <w:r>
        <w:rPr>
          <w:bCs/>
          <w:kern w:val="2"/>
        </w:rPr>
        <w:t>小时平均浓度均满足《环境空气质量标准》</w:t>
      </w:r>
      <w:r>
        <w:rPr>
          <w:rFonts w:hint="eastAsia"/>
          <w:bCs/>
          <w:kern w:val="2"/>
        </w:rPr>
        <w:t>（</w:t>
      </w:r>
      <w:r>
        <w:rPr>
          <w:bCs/>
          <w:kern w:val="2"/>
        </w:rPr>
        <w:t>GB3095-2012</w:t>
      </w:r>
      <w:r>
        <w:rPr>
          <w:rFonts w:hint="eastAsia"/>
          <w:bCs/>
          <w:kern w:val="2"/>
        </w:rPr>
        <w:t>）</w:t>
      </w:r>
      <w:r>
        <w:rPr>
          <w:bCs/>
          <w:kern w:val="2"/>
        </w:rPr>
        <w:t>的二级标准要求；</w:t>
      </w:r>
      <w:r>
        <w:rPr>
          <w:bCs/>
          <w:kern w:val="2"/>
        </w:rPr>
        <w:t>PM</w:t>
      </w:r>
      <w:r>
        <w:rPr>
          <w:bCs/>
          <w:kern w:val="2"/>
          <w:vertAlign w:val="subscript"/>
        </w:rPr>
        <w:t>10</w:t>
      </w:r>
      <w:r>
        <w:rPr>
          <w:bCs/>
          <w:kern w:val="2"/>
        </w:rPr>
        <w:t>24</w:t>
      </w:r>
      <w:r>
        <w:rPr>
          <w:bCs/>
          <w:kern w:val="2"/>
        </w:rPr>
        <w:t>小时平均浓度满足《环境空气质量标准》</w:t>
      </w:r>
      <w:r>
        <w:rPr>
          <w:rFonts w:hint="eastAsia"/>
          <w:bCs/>
          <w:kern w:val="2"/>
        </w:rPr>
        <w:t>（</w:t>
      </w:r>
      <w:r>
        <w:rPr>
          <w:bCs/>
          <w:kern w:val="2"/>
        </w:rPr>
        <w:t>GB3095-2012</w:t>
      </w:r>
      <w:r>
        <w:rPr>
          <w:rFonts w:hint="eastAsia"/>
          <w:bCs/>
          <w:kern w:val="2"/>
        </w:rPr>
        <w:t>）</w:t>
      </w:r>
      <w:r>
        <w:rPr>
          <w:bCs/>
          <w:kern w:val="2"/>
        </w:rPr>
        <w:t>的二级标准要求，但年均浓度超标，造成</w:t>
      </w:r>
      <w:r>
        <w:rPr>
          <w:bCs/>
          <w:kern w:val="2"/>
        </w:rPr>
        <w:t>PM</w:t>
      </w:r>
      <w:r>
        <w:rPr>
          <w:bCs/>
          <w:kern w:val="2"/>
          <w:vertAlign w:val="subscript"/>
        </w:rPr>
        <w:t>10</w:t>
      </w:r>
      <w:r>
        <w:rPr>
          <w:bCs/>
          <w:kern w:val="2"/>
        </w:rPr>
        <w:t>超标现象发生的原因主要是由于当地气候干燥、自然扬尘较多所致。</w:t>
      </w:r>
    </w:p>
    <w:p w14:paraId="6E5570B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4.3.1.3</w:t>
      </w:r>
      <w:r>
        <w:rPr>
          <w:rFonts w:ascii="Times New Roman" w:hAnsi="Times New Roman"/>
        </w:rPr>
        <w:t>其他污染物补充监测结果评价</w:t>
      </w:r>
    </w:p>
    <w:p w14:paraId="5ED112FC" w14:textId="77777777" w:rsidR="003E78AB" w:rsidRDefault="00010BF9">
      <w:pPr>
        <w:pStyle w:val="5"/>
        <w:keepNext w:val="0"/>
        <w:keepLines w:val="0"/>
        <w:ind w:firstLine="482"/>
        <w:rPr>
          <w:sz w:val="24"/>
        </w:rPr>
      </w:pPr>
      <w:r>
        <w:rPr>
          <w:rFonts w:hint="eastAsia"/>
          <w:sz w:val="24"/>
        </w:rPr>
        <w:t>1.</w:t>
      </w:r>
      <w:r>
        <w:rPr>
          <w:sz w:val="24"/>
        </w:rPr>
        <w:t>监测布点</w:t>
      </w:r>
    </w:p>
    <w:p w14:paraId="15D241EA" w14:textId="77777777" w:rsidR="003E78AB" w:rsidRDefault="00010BF9">
      <w:pPr>
        <w:ind w:firstLine="480"/>
        <w:rPr>
          <w:bCs/>
        </w:rPr>
      </w:pPr>
      <w:r>
        <w:t>本项目大气环境现状监测依据《环境影响评价技术导则</w:t>
      </w:r>
      <w:r>
        <w:rPr>
          <w:rFonts w:hint="eastAsia"/>
        </w:rPr>
        <w:t xml:space="preserve"> </w:t>
      </w:r>
      <w:r>
        <w:t>大气环境》（</w:t>
      </w:r>
      <w:r>
        <w:t>HJ2.2-2018</w:t>
      </w:r>
      <w:r>
        <w:t>）中监测点设置要求，根据本项目的规模和性质、结合评价区域的地形特征、环境空气保护目标和区域环境特征进行布点，同时兼顾厂址主导风向，</w:t>
      </w:r>
      <w:r>
        <w:rPr>
          <w:bCs/>
        </w:rPr>
        <w:t>共设</w:t>
      </w:r>
      <w:r>
        <w:rPr>
          <w:rFonts w:hint="eastAsia"/>
          <w:bCs/>
        </w:rPr>
        <w:t>3</w:t>
      </w:r>
      <w:r>
        <w:rPr>
          <w:bCs/>
        </w:rPr>
        <w:t>个大气监测点，分别位于项目拟建区域</w:t>
      </w:r>
      <w:r>
        <w:rPr>
          <w:rFonts w:hint="eastAsia"/>
          <w:bCs/>
        </w:rPr>
        <w:t>附近</w:t>
      </w:r>
      <w:r>
        <w:rPr>
          <w:bCs/>
        </w:rPr>
        <w:t>及项目下风向</w:t>
      </w:r>
      <w:r>
        <w:rPr>
          <w:bCs/>
        </w:rPr>
        <w:t>3km</w:t>
      </w:r>
      <w:r>
        <w:rPr>
          <w:bCs/>
        </w:rPr>
        <w:t>内。</w:t>
      </w:r>
    </w:p>
    <w:p w14:paraId="3E3764DB" w14:textId="77777777" w:rsidR="003E78AB" w:rsidRDefault="00010BF9">
      <w:pPr>
        <w:ind w:firstLine="480"/>
        <w:rPr>
          <w:bCs/>
        </w:rPr>
      </w:pPr>
      <w:r>
        <w:rPr>
          <w:bCs/>
        </w:rPr>
        <w:t>各监测点名称及相对位置、距离见</w:t>
      </w:r>
      <w:r>
        <w:rPr>
          <w:bCs/>
        </w:rPr>
        <w:fldChar w:fldCharType="begin"/>
      </w:r>
      <w:r>
        <w:rPr>
          <w:bCs/>
        </w:rPr>
        <w:instrText xml:space="preserve"> REF _Ref3124 \r \h  \* MERGEFORMAT </w:instrText>
      </w:r>
      <w:r>
        <w:rPr>
          <w:bCs/>
        </w:rPr>
      </w:r>
      <w:r>
        <w:rPr>
          <w:bCs/>
        </w:rPr>
        <w:fldChar w:fldCharType="separate"/>
      </w:r>
      <w:r>
        <w:rPr>
          <w:bCs/>
        </w:rPr>
        <w:t>表</w:t>
      </w:r>
      <w:r>
        <w:rPr>
          <w:bCs/>
        </w:rPr>
        <w:t>4-8</w:t>
      </w:r>
      <w:r>
        <w:rPr>
          <w:bCs/>
        </w:rPr>
        <w:fldChar w:fldCharType="end"/>
      </w:r>
      <w:r>
        <w:rPr>
          <w:bCs/>
        </w:rPr>
        <w:t>，监测点位见</w:t>
      </w:r>
      <w:r>
        <w:rPr>
          <w:rFonts w:hint="eastAsia"/>
          <w:bCs/>
        </w:rPr>
        <w:t>附图</w:t>
      </w:r>
      <w:r>
        <w:rPr>
          <w:rFonts w:hint="eastAsia"/>
          <w:bCs/>
        </w:rPr>
        <w:t>8</w:t>
      </w:r>
      <w:r>
        <w:rPr>
          <w:bCs/>
        </w:rPr>
        <w:t>。</w:t>
      </w:r>
    </w:p>
    <w:p w14:paraId="6E24FDE6" w14:textId="77777777" w:rsidR="003E78AB" w:rsidRDefault="00010BF9">
      <w:pPr>
        <w:pStyle w:val="a0"/>
        <w:ind w:left="425" w:hanging="425"/>
        <w:rPr>
          <w:rFonts w:hint="default"/>
          <w:bCs/>
        </w:rPr>
      </w:pPr>
      <w:bookmarkStart w:id="310" w:name="_Ref3124"/>
      <w:r>
        <w:rPr>
          <w:rFonts w:hint="default"/>
          <w:bCs/>
        </w:rPr>
        <w:t>监测点位与本项目位置关系一览表</w:t>
      </w:r>
      <w:bookmarkEnd w:id="310"/>
    </w:p>
    <w:tbl>
      <w:tblPr>
        <w:tblStyle w:val="afe"/>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878"/>
        <w:gridCol w:w="1580"/>
        <w:gridCol w:w="1520"/>
        <w:gridCol w:w="2701"/>
      </w:tblGrid>
      <w:tr w:rsidR="003E78AB" w14:paraId="5D1AB4C9" w14:textId="77777777">
        <w:trPr>
          <w:trHeight w:val="340"/>
        </w:trPr>
        <w:tc>
          <w:tcPr>
            <w:tcW w:w="751" w:type="dxa"/>
            <w:vMerge w:val="restart"/>
          </w:tcPr>
          <w:p w14:paraId="1C2D4051"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点号</w:t>
            </w:r>
          </w:p>
        </w:tc>
        <w:tc>
          <w:tcPr>
            <w:tcW w:w="1878" w:type="dxa"/>
            <w:vMerge w:val="restart"/>
          </w:tcPr>
          <w:p w14:paraId="0F091C4D"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位置</w:t>
            </w:r>
          </w:p>
        </w:tc>
        <w:tc>
          <w:tcPr>
            <w:tcW w:w="3100" w:type="dxa"/>
            <w:gridSpan w:val="2"/>
          </w:tcPr>
          <w:p w14:paraId="6B8F6447"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相对于项目区</w:t>
            </w:r>
          </w:p>
        </w:tc>
        <w:tc>
          <w:tcPr>
            <w:tcW w:w="2701" w:type="dxa"/>
            <w:vMerge w:val="restart"/>
          </w:tcPr>
          <w:p w14:paraId="7706DB5F"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点位坐标</w:t>
            </w:r>
          </w:p>
        </w:tc>
      </w:tr>
      <w:tr w:rsidR="003E78AB" w14:paraId="4AE79ACD" w14:textId="77777777">
        <w:trPr>
          <w:trHeight w:val="340"/>
        </w:trPr>
        <w:tc>
          <w:tcPr>
            <w:tcW w:w="751" w:type="dxa"/>
            <w:vMerge/>
          </w:tcPr>
          <w:p w14:paraId="649664CD" w14:textId="77777777" w:rsidR="003E78AB" w:rsidRDefault="003E78AB">
            <w:pPr>
              <w:spacing w:line="240" w:lineRule="auto"/>
              <w:ind w:firstLineChars="0" w:firstLine="0"/>
              <w:jc w:val="center"/>
              <w:rPr>
                <w:rFonts w:eastAsia="Times New Roman"/>
                <w:bCs/>
                <w:sz w:val="21"/>
                <w:szCs w:val="21"/>
              </w:rPr>
            </w:pPr>
          </w:p>
        </w:tc>
        <w:tc>
          <w:tcPr>
            <w:tcW w:w="1878" w:type="dxa"/>
            <w:vMerge/>
          </w:tcPr>
          <w:p w14:paraId="78A5E7E2" w14:textId="77777777" w:rsidR="003E78AB" w:rsidRDefault="003E78AB">
            <w:pPr>
              <w:spacing w:line="240" w:lineRule="auto"/>
              <w:ind w:firstLineChars="0" w:firstLine="0"/>
              <w:jc w:val="center"/>
              <w:rPr>
                <w:rFonts w:eastAsia="Times New Roman"/>
                <w:bCs/>
                <w:sz w:val="21"/>
                <w:szCs w:val="21"/>
              </w:rPr>
            </w:pPr>
          </w:p>
        </w:tc>
        <w:tc>
          <w:tcPr>
            <w:tcW w:w="1580" w:type="dxa"/>
          </w:tcPr>
          <w:p w14:paraId="0FBDBA06"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方位</w:t>
            </w:r>
          </w:p>
        </w:tc>
        <w:tc>
          <w:tcPr>
            <w:tcW w:w="1520" w:type="dxa"/>
          </w:tcPr>
          <w:p w14:paraId="7C962176"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距离（km）</w:t>
            </w:r>
          </w:p>
        </w:tc>
        <w:tc>
          <w:tcPr>
            <w:tcW w:w="2701" w:type="dxa"/>
            <w:vMerge/>
          </w:tcPr>
          <w:p w14:paraId="268EAF4B" w14:textId="77777777" w:rsidR="003E78AB" w:rsidRDefault="003E78AB">
            <w:pPr>
              <w:spacing w:line="240" w:lineRule="auto"/>
              <w:ind w:firstLineChars="0" w:firstLine="0"/>
              <w:jc w:val="center"/>
              <w:rPr>
                <w:rFonts w:eastAsia="Times New Roman"/>
                <w:bCs/>
                <w:sz w:val="21"/>
                <w:szCs w:val="21"/>
              </w:rPr>
            </w:pPr>
          </w:p>
        </w:tc>
      </w:tr>
      <w:tr w:rsidR="003E78AB" w14:paraId="3CF01EE6" w14:textId="77777777">
        <w:trPr>
          <w:trHeight w:val="340"/>
        </w:trPr>
        <w:tc>
          <w:tcPr>
            <w:tcW w:w="751" w:type="dxa"/>
          </w:tcPr>
          <w:p w14:paraId="322A7A0C" w14:textId="77777777" w:rsidR="003E78AB" w:rsidRDefault="00010BF9">
            <w:pPr>
              <w:spacing w:line="240" w:lineRule="auto"/>
              <w:ind w:firstLineChars="0" w:firstLine="0"/>
              <w:jc w:val="center"/>
              <w:rPr>
                <w:rFonts w:eastAsia="Times New Roman"/>
                <w:bCs/>
                <w:sz w:val="21"/>
                <w:szCs w:val="21"/>
              </w:rPr>
            </w:pPr>
            <w:r>
              <w:rPr>
                <w:rFonts w:eastAsia="Times New Roman"/>
                <w:bCs/>
                <w:sz w:val="21"/>
                <w:szCs w:val="21"/>
              </w:rPr>
              <w:t>1#</w:t>
            </w:r>
          </w:p>
        </w:tc>
        <w:tc>
          <w:tcPr>
            <w:tcW w:w="1878" w:type="dxa"/>
          </w:tcPr>
          <w:p w14:paraId="2298F474" w14:textId="77777777" w:rsidR="003E78AB" w:rsidRDefault="00010BF9">
            <w:pPr>
              <w:spacing w:line="240" w:lineRule="auto"/>
              <w:ind w:firstLineChars="0" w:firstLine="0"/>
              <w:jc w:val="center"/>
              <w:rPr>
                <w:bCs/>
                <w:sz w:val="21"/>
                <w:szCs w:val="21"/>
              </w:rPr>
            </w:pPr>
            <w:r>
              <w:rPr>
                <w:rFonts w:eastAsia="Times New Roman"/>
                <w:bCs/>
                <w:sz w:val="21"/>
                <w:szCs w:val="21"/>
              </w:rPr>
              <w:t>项目</w:t>
            </w:r>
            <w:r>
              <w:rPr>
                <w:bCs/>
                <w:sz w:val="21"/>
                <w:szCs w:val="21"/>
              </w:rPr>
              <w:t>拟建区域</w:t>
            </w:r>
          </w:p>
        </w:tc>
        <w:tc>
          <w:tcPr>
            <w:tcW w:w="1580" w:type="dxa"/>
          </w:tcPr>
          <w:p w14:paraId="60E6D4AA" w14:textId="77777777" w:rsidR="003E78AB" w:rsidRDefault="00010BF9">
            <w:pPr>
              <w:spacing w:line="240" w:lineRule="auto"/>
              <w:ind w:firstLineChars="0" w:firstLine="0"/>
              <w:jc w:val="center"/>
              <w:rPr>
                <w:bCs/>
                <w:sz w:val="21"/>
                <w:szCs w:val="21"/>
              </w:rPr>
            </w:pPr>
            <w:r>
              <w:rPr>
                <w:rFonts w:hint="eastAsia"/>
                <w:bCs/>
                <w:sz w:val="21"/>
                <w:szCs w:val="21"/>
              </w:rPr>
              <w:t>E</w:t>
            </w:r>
          </w:p>
        </w:tc>
        <w:tc>
          <w:tcPr>
            <w:tcW w:w="1520" w:type="dxa"/>
          </w:tcPr>
          <w:p w14:paraId="12796563" w14:textId="77777777" w:rsidR="003E78AB" w:rsidRDefault="00010BF9">
            <w:pPr>
              <w:spacing w:line="240" w:lineRule="auto"/>
              <w:ind w:firstLineChars="0" w:firstLine="0"/>
              <w:jc w:val="center"/>
              <w:rPr>
                <w:bCs/>
                <w:sz w:val="21"/>
                <w:szCs w:val="21"/>
              </w:rPr>
            </w:pPr>
            <w:r>
              <w:rPr>
                <w:bCs/>
                <w:sz w:val="21"/>
                <w:szCs w:val="21"/>
              </w:rPr>
              <w:t>0.1</w:t>
            </w:r>
          </w:p>
        </w:tc>
        <w:tc>
          <w:tcPr>
            <w:tcW w:w="2701" w:type="dxa"/>
          </w:tcPr>
          <w:p w14:paraId="56334275" w14:textId="77777777" w:rsidR="003E78AB" w:rsidRDefault="00010BF9">
            <w:pPr>
              <w:spacing w:line="240" w:lineRule="auto"/>
              <w:ind w:firstLineChars="0" w:firstLine="0"/>
              <w:jc w:val="center"/>
              <w:rPr>
                <w:bCs/>
                <w:sz w:val="21"/>
                <w:szCs w:val="21"/>
              </w:rPr>
            </w:pPr>
            <w:r>
              <w:rPr>
                <w:bCs/>
                <w:sz w:val="21"/>
                <w:szCs w:val="21"/>
              </w:rPr>
              <w:t>E</w:t>
            </w:r>
            <w:r>
              <w:rPr>
                <w:rFonts w:hint="eastAsia"/>
                <w:bCs/>
                <w:sz w:val="21"/>
                <w:szCs w:val="21"/>
              </w:rPr>
              <w:t>：</w:t>
            </w:r>
            <w:r>
              <w:rPr>
                <w:rFonts w:hint="eastAsia"/>
                <w:bCs/>
                <w:sz w:val="21"/>
                <w:szCs w:val="21"/>
              </w:rPr>
              <w:t>93</w:t>
            </w:r>
            <w:r>
              <w:rPr>
                <w:bCs/>
                <w:sz w:val="21"/>
                <w:szCs w:val="21"/>
              </w:rPr>
              <w:t>°</w:t>
            </w:r>
            <w:r>
              <w:rPr>
                <w:rFonts w:hint="eastAsia"/>
                <w:bCs/>
                <w:sz w:val="21"/>
                <w:szCs w:val="21"/>
              </w:rPr>
              <w:t>25</w:t>
            </w:r>
            <w:r>
              <w:rPr>
                <w:bCs/>
                <w:sz w:val="21"/>
                <w:szCs w:val="21"/>
              </w:rPr>
              <w:t>′</w:t>
            </w:r>
            <w:r>
              <w:rPr>
                <w:rFonts w:hint="eastAsia"/>
                <w:bCs/>
                <w:sz w:val="21"/>
                <w:szCs w:val="21"/>
              </w:rPr>
              <w:t>22.51</w:t>
            </w:r>
            <w:r>
              <w:rPr>
                <w:bCs/>
                <w:sz w:val="21"/>
                <w:szCs w:val="21"/>
              </w:rPr>
              <w:t>″</w:t>
            </w:r>
          </w:p>
          <w:p w14:paraId="078964E3" w14:textId="77777777" w:rsidR="003E78AB" w:rsidRDefault="00010BF9">
            <w:pPr>
              <w:spacing w:line="240" w:lineRule="auto"/>
              <w:ind w:firstLineChars="0" w:firstLine="0"/>
              <w:jc w:val="center"/>
              <w:rPr>
                <w:bCs/>
                <w:sz w:val="21"/>
                <w:szCs w:val="21"/>
              </w:rPr>
            </w:pPr>
            <w:r>
              <w:rPr>
                <w:bCs/>
                <w:sz w:val="21"/>
                <w:szCs w:val="21"/>
              </w:rPr>
              <w:t>N</w:t>
            </w:r>
            <w:r>
              <w:rPr>
                <w:rFonts w:hint="eastAsia"/>
                <w:bCs/>
                <w:sz w:val="21"/>
                <w:szCs w:val="21"/>
              </w:rPr>
              <w:t>：</w:t>
            </w:r>
            <w:r>
              <w:rPr>
                <w:rFonts w:hint="eastAsia"/>
                <w:bCs/>
                <w:sz w:val="21"/>
                <w:szCs w:val="21"/>
              </w:rPr>
              <w:t>42</w:t>
            </w:r>
            <w:r>
              <w:rPr>
                <w:bCs/>
                <w:sz w:val="21"/>
                <w:szCs w:val="21"/>
              </w:rPr>
              <w:t>°</w:t>
            </w:r>
            <w:r>
              <w:rPr>
                <w:rFonts w:hint="eastAsia"/>
                <w:bCs/>
                <w:sz w:val="21"/>
                <w:szCs w:val="21"/>
              </w:rPr>
              <w:t>41</w:t>
            </w:r>
            <w:r>
              <w:rPr>
                <w:bCs/>
                <w:sz w:val="21"/>
                <w:szCs w:val="21"/>
              </w:rPr>
              <w:t>′</w:t>
            </w:r>
            <w:r>
              <w:rPr>
                <w:rFonts w:hint="eastAsia"/>
                <w:bCs/>
                <w:sz w:val="21"/>
                <w:szCs w:val="21"/>
              </w:rPr>
              <w:t>42.21</w:t>
            </w:r>
            <w:r>
              <w:rPr>
                <w:bCs/>
                <w:sz w:val="21"/>
                <w:szCs w:val="21"/>
              </w:rPr>
              <w:t>″</w:t>
            </w:r>
          </w:p>
        </w:tc>
      </w:tr>
      <w:tr w:rsidR="003E78AB" w14:paraId="03AA1FE3" w14:textId="77777777">
        <w:trPr>
          <w:trHeight w:val="340"/>
        </w:trPr>
        <w:tc>
          <w:tcPr>
            <w:tcW w:w="751" w:type="dxa"/>
          </w:tcPr>
          <w:p w14:paraId="62DE2D80" w14:textId="77777777" w:rsidR="003E78AB" w:rsidRDefault="00010BF9">
            <w:pPr>
              <w:spacing w:line="240" w:lineRule="auto"/>
              <w:ind w:firstLineChars="0" w:firstLine="0"/>
              <w:jc w:val="center"/>
              <w:rPr>
                <w:rFonts w:eastAsia="Times New Roman"/>
                <w:bCs/>
                <w:sz w:val="21"/>
                <w:szCs w:val="21"/>
              </w:rPr>
            </w:pPr>
            <w:r>
              <w:rPr>
                <w:bCs/>
                <w:sz w:val="21"/>
                <w:szCs w:val="21"/>
              </w:rPr>
              <w:t>2#</w:t>
            </w:r>
          </w:p>
        </w:tc>
        <w:tc>
          <w:tcPr>
            <w:tcW w:w="1878" w:type="dxa"/>
          </w:tcPr>
          <w:p w14:paraId="00848070" w14:textId="77777777" w:rsidR="003E78AB" w:rsidRDefault="00010BF9">
            <w:pPr>
              <w:spacing w:line="240" w:lineRule="auto"/>
              <w:ind w:firstLineChars="0" w:firstLine="0"/>
              <w:jc w:val="center"/>
              <w:rPr>
                <w:bCs/>
                <w:sz w:val="21"/>
                <w:szCs w:val="21"/>
              </w:rPr>
            </w:pPr>
            <w:r>
              <w:rPr>
                <w:rFonts w:hint="eastAsia"/>
                <w:bCs/>
                <w:sz w:val="21"/>
                <w:szCs w:val="21"/>
              </w:rPr>
              <w:t>项目上风向</w:t>
            </w:r>
          </w:p>
        </w:tc>
        <w:tc>
          <w:tcPr>
            <w:tcW w:w="1580" w:type="dxa"/>
          </w:tcPr>
          <w:p w14:paraId="7640029B" w14:textId="77777777" w:rsidR="003E78AB" w:rsidRDefault="00010BF9">
            <w:pPr>
              <w:spacing w:line="240" w:lineRule="auto"/>
              <w:ind w:firstLineChars="0" w:firstLine="0"/>
              <w:jc w:val="center"/>
              <w:rPr>
                <w:bCs/>
                <w:sz w:val="21"/>
                <w:szCs w:val="21"/>
              </w:rPr>
            </w:pPr>
            <w:r>
              <w:rPr>
                <w:rFonts w:hint="eastAsia"/>
                <w:bCs/>
                <w:sz w:val="21"/>
                <w:szCs w:val="21"/>
              </w:rPr>
              <w:t>E</w:t>
            </w:r>
          </w:p>
        </w:tc>
        <w:tc>
          <w:tcPr>
            <w:tcW w:w="1520" w:type="dxa"/>
          </w:tcPr>
          <w:p w14:paraId="10B0DDD0" w14:textId="77777777" w:rsidR="003E78AB" w:rsidRDefault="00010BF9">
            <w:pPr>
              <w:spacing w:line="240" w:lineRule="auto"/>
              <w:ind w:firstLineChars="0" w:firstLine="0"/>
              <w:jc w:val="center"/>
              <w:rPr>
                <w:bCs/>
                <w:sz w:val="21"/>
                <w:szCs w:val="21"/>
              </w:rPr>
            </w:pPr>
            <w:r>
              <w:rPr>
                <w:rFonts w:hint="eastAsia"/>
                <w:bCs/>
                <w:sz w:val="21"/>
                <w:szCs w:val="21"/>
              </w:rPr>
              <w:t>1.2</w:t>
            </w:r>
          </w:p>
        </w:tc>
        <w:tc>
          <w:tcPr>
            <w:tcW w:w="2701" w:type="dxa"/>
          </w:tcPr>
          <w:p w14:paraId="6C3A29FC" w14:textId="77777777" w:rsidR="003E78AB" w:rsidRDefault="00010BF9">
            <w:pPr>
              <w:spacing w:line="240" w:lineRule="auto"/>
              <w:ind w:firstLineChars="0" w:firstLine="0"/>
              <w:jc w:val="center"/>
              <w:rPr>
                <w:bCs/>
                <w:color w:val="000000" w:themeColor="text1"/>
                <w:sz w:val="21"/>
                <w:szCs w:val="21"/>
              </w:rPr>
            </w:pPr>
            <w:r>
              <w:rPr>
                <w:bCs/>
                <w:color w:val="000000" w:themeColor="text1"/>
                <w:sz w:val="21"/>
                <w:szCs w:val="21"/>
              </w:rPr>
              <w:t>E:</w:t>
            </w:r>
            <w:r>
              <w:rPr>
                <w:rFonts w:hint="eastAsia"/>
                <w:bCs/>
                <w:color w:val="000000" w:themeColor="text1"/>
                <w:sz w:val="21"/>
                <w:szCs w:val="21"/>
              </w:rPr>
              <w:t>93</w:t>
            </w:r>
            <w:r>
              <w:rPr>
                <w:bCs/>
                <w:color w:val="000000" w:themeColor="text1"/>
                <w:sz w:val="21"/>
                <w:szCs w:val="21"/>
              </w:rPr>
              <w:t>°</w:t>
            </w:r>
            <w:r>
              <w:rPr>
                <w:rFonts w:hint="eastAsia"/>
                <w:bCs/>
                <w:color w:val="000000" w:themeColor="text1"/>
                <w:sz w:val="21"/>
                <w:szCs w:val="21"/>
              </w:rPr>
              <w:t>26</w:t>
            </w:r>
            <w:r>
              <w:rPr>
                <w:bCs/>
                <w:color w:val="000000" w:themeColor="text1"/>
                <w:sz w:val="21"/>
                <w:szCs w:val="21"/>
              </w:rPr>
              <w:t>′</w:t>
            </w:r>
            <w:r>
              <w:rPr>
                <w:rFonts w:hint="eastAsia"/>
                <w:bCs/>
                <w:color w:val="000000" w:themeColor="text1"/>
                <w:sz w:val="21"/>
                <w:szCs w:val="21"/>
              </w:rPr>
              <w:t>13.08</w:t>
            </w:r>
            <w:r>
              <w:rPr>
                <w:bCs/>
                <w:color w:val="000000" w:themeColor="text1"/>
                <w:sz w:val="21"/>
                <w:szCs w:val="21"/>
              </w:rPr>
              <w:t>″</w:t>
            </w:r>
          </w:p>
          <w:p w14:paraId="0E6995F2" w14:textId="77777777" w:rsidR="003E78AB" w:rsidRDefault="00010BF9">
            <w:pPr>
              <w:spacing w:line="240" w:lineRule="auto"/>
              <w:ind w:firstLineChars="0" w:firstLine="0"/>
              <w:jc w:val="center"/>
              <w:rPr>
                <w:bCs/>
                <w:sz w:val="21"/>
                <w:szCs w:val="21"/>
              </w:rPr>
            </w:pPr>
            <w:r>
              <w:rPr>
                <w:bCs/>
                <w:color w:val="000000" w:themeColor="text1"/>
                <w:sz w:val="21"/>
                <w:szCs w:val="21"/>
              </w:rPr>
              <w:t>N:</w:t>
            </w:r>
            <w:r>
              <w:rPr>
                <w:rFonts w:hint="eastAsia"/>
                <w:bCs/>
                <w:color w:val="000000" w:themeColor="text1"/>
                <w:sz w:val="21"/>
                <w:szCs w:val="21"/>
              </w:rPr>
              <w:t>42</w:t>
            </w:r>
            <w:r>
              <w:rPr>
                <w:bCs/>
                <w:color w:val="000000" w:themeColor="text1"/>
                <w:sz w:val="21"/>
                <w:szCs w:val="21"/>
              </w:rPr>
              <w:t>°</w:t>
            </w:r>
            <w:r>
              <w:rPr>
                <w:rFonts w:hint="eastAsia"/>
                <w:bCs/>
                <w:color w:val="000000" w:themeColor="text1"/>
                <w:sz w:val="21"/>
                <w:szCs w:val="21"/>
              </w:rPr>
              <w:t>41</w:t>
            </w:r>
            <w:r>
              <w:rPr>
                <w:bCs/>
                <w:color w:val="000000" w:themeColor="text1"/>
                <w:sz w:val="21"/>
                <w:szCs w:val="21"/>
              </w:rPr>
              <w:t>′</w:t>
            </w:r>
            <w:r>
              <w:rPr>
                <w:rFonts w:hint="eastAsia"/>
                <w:bCs/>
                <w:color w:val="000000" w:themeColor="text1"/>
                <w:sz w:val="21"/>
                <w:szCs w:val="21"/>
              </w:rPr>
              <w:t>36.35</w:t>
            </w:r>
            <w:r>
              <w:rPr>
                <w:bCs/>
                <w:color w:val="000000" w:themeColor="text1"/>
                <w:sz w:val="21"/>
                <w:szCs w:val="21"/>
              </w:rPr>
              <w:t>″</w:t>
            </w:r>
          </w:p>
        </w:tc>
      </w:tr>
      <w:tr w:rsidR="003E78AB" w14:paraId="2C8A95FF" w14:textId="77777777">
        <w:trPr>
          <w:trHeight w:val="340"/>
        </w:trPr>
        <w:tc>
          <w:tcPr>
            <w:tcW w:w="751" w:type="dxa"/>
          </w:tcPr>
          <w:p w14:paraId="3095F912" w14:textId="77777777" w:rsidR="003E78AB" w:rsidRDefault="00010BF9">
            <w:pPr>
              <w:spacing w:line="240" w:lineRule="auto"/>
              <w:ind w:firstLineChars="0" w:firstLine="0"/>
              <w:jc w:val="center"/>
              <w:rPr>
                <w:bCs/>
                <w:sz w:val="21"/>
                <w:szCs w:val="21"/>
              </w:rPr>
            </w:pPr>
            <w:r>
              <w:rPr>
                <w:rFonts w:hint="eastAsia"/>
                <w:bCs/>
                <w:sz w:val="21"/>
                <w:szCs w:val="21"/>
              </w:rPr>
              <w:t>3#</w:t>
            </w:r>
          </w:p>
        </w:tc>
        <w:tc>
          <w:tcPr>
            <w:tcW w:w="1878" w:type="dxa"/>
          </w:tcPr>
          <w:p w14:paraId="0480E476" w14:textId="77777777" w:rsidR="003E78AB" w:rsidRDefault="00010BF9">
            <w:pPr>
              <w:spacing w:line="240" w:lineRule="auto"/>
              <w:ind w:firstLineChars="0" w:firstLine="0"/>
              <w:jc w:val="center"/>
              <w:rPr>
                <w:bCs/>
                <w:sz w:val="21"/>
                <w:szCs w:val="21"/>
              </w:rPr>
            </w:pPr>
            <w:r>
              <w:rPr>
                <w:bCs/>
                <w:sz w:val="21"/>
                <w:szCs w:val="21"/>
              </w:rPr>
              <w:t>项目下风向</w:t>
            </w:r>
          </w:p>
        </w:tc>
        <w:tc>
          <w:tcPr>
            <w:tcW w:w="1580" w:type="dxa"/>
          </w:tcPr>
          <w:p w14:paraId="5FC929D4" w14:textId="77777777" w:rsidR="003E78AB" w:rsidRDefault="00010BF9">
            <w:pPr>
              <w:spacing w:line="240" w:lineRule="auto"/>
              <w:ind w:firstLineChars="0" w:firstLine="0"/>
              <w:jc w:val="center"/>
              <w:rPr>
                <w:bCs/>
                <w:sz w:val="21"/>
                <w:szCs w:val="21"/>
              </w:rPr>
            </w:pPr>
            <w:r>
              <w:rPr>
                <w:rFonts w:hint="eastAsia"/>
                <w:bCs/>
                <w:sz w:val="21"/>
                <w:szCs w:val="21"/>
              </w:rPr>
              <w:t>SW</w:t>
            </w:r>
          </w:p>
        </w:tc>
        <w:tc>
          <w:tcPr>
            <w:tcW w:w="1520" w:type="dxa"/>
          </w:tcPr>
          <w:p w14:paraId="4356953D" w14:textId="77777777" w:rsidR="003E78AB" w:rsidRDefault="00010BF9">
            <w:pPr>
              <w:spacing w:line="240" w:lineRule="auto"/>
              <w:ind w:firstLineChars="0" w:firstLine="0"/>
              <w:jc w:val="center"/>
              <w:rPr>
                <w:bCs/>
                <w:sz w:val="21"/>
                <w:szCs w:val="21"/>
              </w:rPr>
            </w:pPr>
            <w:r>
              <w:rPr>
                <w:rFonts w:hint="eastAsia"/>
                <w:bCs/>
                <w:sz w:val="21"/>
                <w:szCs w:val="21"/>
              </w:rPr>
              <w:t>1.6</w:t>
            </w:r>
          </w:p>
        </w:tc>
        <w:tc>
          <w:tcPr>
            <w:tcW w:w="2701" w:type="dxa"/>
          </w:tcPr>
          <w:p w14:paraId="6BA81C39" w14:textId="77777777" w:rsidR="003E78AB" w:rsidRDefault="00010BF9">
            <w:pPr>
              <w:spacing w:line="240" w:lineRule="auto"/>
              <w:ind w:firstLineChars="0" w:firstLine="0"/>
              <w:jc w:val="center"/>
              <w:rPr>
                <w:bCs/>
                <w:sz w:val="21"/>
                <w:szCs w:val="21"/>
              </w:rPr>
            </w:pPr>
            <w:r>
              <w:rPr>
                <w:bCs/>
                <w:sz w:val="21"/>
                <w:szCs w:val="21"/>
              </w:rPr>
              <w:t>E</w:t>
            </w:r>
            <w:r>
              <w:rPr>
                <w:rFonts w:hint="eastAsia"/>
                <w:bCs/>
                <w:sz w:val="21"/>
                <w:szCs w:val="21"/>
              </w:rPr>
              <w:t>：</w:t>
            </w:r>
            <w:r>
              <w:rPr>
                <w:rFonts w:hint="eastAsia"/>
                <w:bCs/>
                <w:sz w:val="21"/>
                <w:szCs w:val="21"/>
              </w:rPr>
              <w:t>93</w:t>
            </w:r>
            <w:r>
              <w:rPr>
                <w:bCs/>
                <w:sz w:val="21"/>
                <w:szCs w:val="21"/>
              </w:rPr>
              <w:t>°</w:t>
            </w:r>
            <w:r>
              <w:rPr>
                <w:rFonts w:hint="eastAsia"/>
                <w:bCs/>
                <w:sz w:val="21"/>
                <w:szCs w:val="21"/>
              </w:rPr>
              <w:t>23</w:t>
            </w:r>
            <w:r>
              <w:rPr>
                <w:bCs/>
                <w:sz w:val="21"/>
                <w:szCs w:val="21"/>
              </w:rPr>
              <w:t>′</w:t>
            </w:r>
            <w:r>
              <w:rPr>
                <w:rFonts w:hint="eastAsia"/>
                <w:bCs/>
                <w:sz w:val="21"/>
                <w:szCs w:val="21"/>
              </w:rPr>
              <w:t>53.26</w:t>
            </w:r>
            <w:r>
              <w:rPr>
                <w:bCs/>
                <w:sz w:val="21"/>
                <w:szCs w:val="21"/>
              </w:rPr>
              <w:t>″</w:t>
            </w:r>
          </w:p>
          <w:p w14:paraId="2B4FB975" w14:textId="77777777" w:rsidR="003E78AB" w:rsidRDefault="00010BF9">
            <w:pPr>
              <w:spacing w:line="240" w:lineRule="auto"/>
              <w:ind w:firstLineChars="0" w:firstLine="0"/>
              <w:jc w:val="center"/>
              <w:rPr>
                <w:bCs/>
                <w:sz w:val="21"/>
                <w:szCs w:val="21"/>
              </w:rPr>
            </w:pPr>
            <w:r>
              <w:rPr>
                <w:bCs/>
                <w:sz w:val="21"/>
                <w:szCs w:val="21"/>
              </w:rPr>
              <w:t>N</w:t>
            </w:r>
            <w:r>
              <w:rPr>
                <w:rFonts w:hint="eastAsia"/>
                <w:bCs/>
                <w:sz w:val="21"/>
                <w:szCs w:val="21"/>
              </w:rPr>
              <w:t>：</w:t>
            </w:r>
            <w:r>
              <w:rPr>
                <w:rFonts w:hint="eastAsia"/>
                <w:bCs/>
                <w:sz w:val="21"/>
                <w:szCs w:val="21"/>
              </w:rPr>
              <w:t>42</w:t>
            </w:r>
            <w:r>
              <w:rPr>
                <w:bCs/>
                <w:sz w:val="21"/>
                <w:szCs w:val="21"/>
              </w:rPr>
              <w:t>°</w:t>
            </w:r>
            <w:r>
              <w:rPr>
                <w:rFonts w:hint="eastAsia"/>
                <w:bCs/>
                <w:sz w:val="21"/>
                <w:szCs w:val="21"/>
              </w:rPr>
              <w:t>41</w:t>
            </w:r>
            <w:r>
              <w:rPr>
                <w:bCs/>
                <w:sz w:val="21"/>
                <w:szCs w:val="21"/>
              </w:rPr>
              <w:t>′</w:t>
            </w:r>
            <w:r>
              <w:rPr>
                <w:rFonts w:hint="eastAsia"/>
                <w:bCs/>
                <w:sz w:val="21"/>
                <w:szCs w:val="21"/>
              </w:rPr>
              <w:t>17.54</w:t>
            </w:r>
            <w:r>
              <w:rPr>
                <w:bCs/>
                <w:sz w:val="21"/>
                <w:szCs w:val="21"/>
              </w:rPr>
              <w:t>″</w:t>
            </w:r>
          </w:p>
        </w:tc>
      </w:tr>
    </w:tbl>
    <w:p w14:paraId="5BA91EF8" w14:textId="77777777" w:rsidR="003E78AB" w:rsidRDefault="00010BF9">
      <w:pPr>
        <w:pStyle w:val="5"/>
        <w:keepNext w:val="0"/>
        <w:keepLines w:val="0"/>
        <w:ind w:firstLine="482"/>
        <w:rPr>
          <w:sz w:val="24"/>
        </w:rPr>
      </w:pPr>
      <w:r>
        <w:rPr>
          <w:rFonts w:hint="eastAsia"/>
          <w:sz w:val="24"/>
        </w:rPr>
        <w:t>2.</w:t>
      </w:r>
      <w:r>
        <w:rPr>
          <w:sz w:val="24"/>
        </w:rPr>
        <w:t>监测项目</w:t>
      </w:r>
    </w:p>
    <w:p w14:paraId="0215E6F1" w14:textId="77777777" w:rsidR="003E78AB" w:rsidRDefault="00010BF9">
      <w:pPr>
        <w:ind w:firstLine="480"/>
      </w:pPr>
      <w:r>
        <w:t>根据项目特点及该地区大气污染特点，确定其他污染物监测项目为：总悬浮颗粒物（</w:t>
      </w:r>
      <w:r>
        <w:t>TSP</w:t>
      </w:r>
      <w:r>
        <w:t>）、</w:t>
      </w:r>
      <w:r>
        <w:rPr>
          <w:rFonts w:hint="eastAsia"/>
          <w:bCs/>
        </w:rPr>
        <w:t>TVOC</w:t>
      </w:r>
      <w:r>
        <w:rPr>
          <w:rFonts w:hint="eastAsia"/>
        </w:rPr>
        <w:t>和硫酸雾</w:t>
      </w:r>
      <w:r>
        <w:t>，共</w:t>
      </w:r>
      <w:r>
        <w:rPr>
          <w:rFonts w:hint="eastAsia"/>
        </w:rPr>
        <w:t>3</w:t>
      </w:r>
      <w:r>
        <w:t>项。</w:t>
      </w:r>
    </w:p>
    <w:p w14:paraId="1D494CAC" w14:textId="77777777" w:rsidR="003E78AB" w:rsidRDefault="00010BF9">
      <w:pPr>
        <w:pStyle w:val="5"/>
        <w:keepNext w:val="0"/>
        <w:keepLines w:val="0"/>
        <w:ind w:firstLine="482"/>
        <w:rPr>
          <w:sz w:val="24"/>
        </w:rPr>
      </w:pPr>
      <w:r>
        <w:rPr>
          <w:rFonts w:hint="eastAsia"/>
          <w:sz w:val="24"/>
        </w:rPr>
        <w:t>3.</w:t>
      </w:r>
      <w:r>
        <w:rPr>
          <w:sz w:val="24"/>
        </w:rPr>
        <w:t>数据来源、监测时间及频率</w:t>
      </w:r>
    </w:p>
    <w:p w14:paraId="200F20E7" w14:textId="77777777" w:rsidR="003E78AB" w:rsidRDefault="00010BF9">
      <w:pPr>
        <w:ind w:firstLine="480"/>
      </w:pPr>
      <w:r>
        <w:rPr>
          <w:rFonts w:hint="eastAsia"/>
        </w:rPr>
        <w:t>1</w:t>
      </w:r>
      <w:r>
        <w:t>#</w:t>
      </w:r>
      <w:r>
        <w:t>点</w:t>
      </w:r>
      <w:r>
        <w:rPr>
          <w:rFonts w:hint="eastAsia"/>
        </w:rPr>
        <w:t>总</w:t>
      </w:r>
      <w:r>
        <w:t>悬浮颗粒物（</w:t>
      </w:r>
      <w:r>
        <w:t>TSP</w:t>
      </w:r>
      <w:r>
        <w:t>）</w:t>
      </w:r>
      <w:r>
        <w:rPr>
          <w:rFonts w:hint="eastAsia"/>
        </w:rPr>
        <w:t>和硫酸雾两项和</w:t>
      </w:r>
      <w:r>
        <w:rPr>
          <w:rFonts w:hint="eastAsia"/>
        </w:rPr>
        <w:t>2#</w:t>
      </w:r>
      <w:r>
        <w:rPr>
          <w:rFonts w:hint="eastAsia"/>
        </w:rPr>
        <w:t>点位硫酸雾</w:t>
      </w:r>
      <w:r>
        <w:t>由本次评价委托</w:t>
      </w:r>
      <w:r>
        <w:rPr>
          <w:rFonts w:hint="eastAsia"/>
        </w:rPr>
        <w:t>新疆锡水金山环境科技有限公司</w:t>
      </w:r>
      <w:r>
        <w:t>于</w:t>
      </w:r>
      <w:r>
        <w:t>202</w:t>
      </w:r>
      <w:r>
        <w:rPr>
          <w:rFonts w:hint="eastAsia"/>
        </w:rPr>
        <w:t>5</w:t>
      </w:r>
      <w:r>
        <w:t>年</w:t>
      </w:r>
      <w:r>
        <w:rPr>
          <w:rFonts w:hint="eastAsia"/>
        </w:rPr>
        <w:t>5</w:t>
      </w:r>
      <w:r>
        <w:t>月</w:t>
      </w:r>
      <w:r>
        <w:t>2</w:t>
      </w:r>
      <w:r>
        <w:rPr>
          <w:rFonts w:hint="eastAsia"/>
        </w:rPr>
        <w:t>9</w:t>
      </w:r>
      <w:r>
        <w:t>日</w:t>
      </w:r>
      <w:r>
        <w:t>~202</w:t>
      </w:r>
      <w:r>
        <w:rPr>
          <w:rFonts w:hint="eastAsia"/>
        </w:rPr>
        <w:t>5</w:t>
      </w:r>
      <w:r>
        <w:t>年</w:t>
      </w:r>
      <w:r>
        <w:rPr>
          <w:rFonts w:hint="eastAsia"/>
        </w:rPr>
        <w:t>6</w:t>
      </w:r>
      <w:r>
        <w:t>月</w:t>
      </w:r>
      <w:r>
        <w:rPr>
          <w:rFonts w:hint="eastAsia"/>
        </w:rPr>
        <w:t>4</w:t>
      </w:r>
      <w:r>
        <w:t>日至现场监测。</w:t>
      </w:r>
    </w:p>
    <w:p w14:paraId="7F6E1428" w14:textId="77777777" w:rsidR="003E78AB" w:rsidRDefault="00010BF9">
      <w:pPr>
        <w:ind w:firstLine="480"/>
        <w:rPr>
          <w:bCs/>
        </w:rPr>
      </w:pPr>
      <w:r>
        <w:rPr>
          <w:rFonts w:hint="eastAsia"/>
          <w:bCs/>
        </w:rPr>
        <w:t>2#</w:t>
      </w:r>
      <w:r>
        <w:rPr>
          <w:rFonts w:hint="eastAsia"/>
          <w:bCs/>
        </w:rPr>
        <w:t>点</w:t>
      </w:r>
      <w:r>
        <w:rPr>
          <w:rFonts w:hint="eastAsia"/>
          <w:bCs/>
        </w:rPr>
        <w:t>TVOC</w:t>
      </w:r>
      <w:r>
        <w:rPr>
          <w:rFonts w:hint="eastAsia"/>
          <w:bCs/>
        </w:rPr>
        <w:t>引用《新疆曌唐化学有限公司年产</w:t>
      </w:r>
      <w:r>
        <w:rPr>
          <w:rFonts w:hint="eastAsia"/>
          <w:bCs/>
        </w:rPr>
        <w:t>2</w:t>
      </w:r>
      <w:r>
        <w:rPr>
          <w:rFonts w:hint="eastAsia"/>
          <w:bCs/>
        </w:rPr>
        <w:t>万吨盐酸二甲双胍原料药及年产</w:t>
      </w:r>
      <w:r>
        <w:rPr>
          <w:rFonts w:hint="eastAsia"/>
          <w:bCs/>
        </w:rPr>
        <w:t>200</w:t>
      </w:r>
      <w:r>
        <w:rPr>
          <w:rFonts w:hint="eastAsia"/>
          <w:bCs/>
        </w:rPr>
        <w:t>亿片盐酸二甲双胍片和年产</w:t>
      </w:r>
      <w:r>
        <w:rPr>
          <w:rFonts w:hint="eastAsia"/>
          <w:bCs/>
        </w:rPr>
        <w:t>2500</w:t>
      </w:r>
      <w:r>
        <w:rPr>
          <w:rFonts w:hint="eastAsia"/>
          <w:bCs/>
        </w:rPr>
        <w:t>吨盐酸胍生产线项目》中数据，该监测由新疆新环监测检测研究院</w:t>
      </w:r>
      <w:r>
        <w:rPr>
          <w:rFonts w:hint="eastAsia"/>
          <w:bCs/>
        </w:rPr>
        <w:t>(</w:t>
      </w:r>
      <w:r>
        <w:rPr>
          <w:rFonts w:hint="eastAsia"/>
          <w:bCs/>
        </w:rPr>
        <w:t>有限公司</w:t>
      </w:r>
      <w:r>
        <w:rPr>
          <w:rFonts w:hint="eastAsia"/>
          <w:bCs/>
        </w:rPr>
        <w:t>)</w:t>
      </w:r>
      <w:r>
        <w:rPr>
          <w:rFonts w:hint="eastAsia"/>
          <w:bCs/>
        </w:rPr>
        <w:t>于</w:t>
      </w:r>
      <w:r>
        <w:rPr>
          <w:rFonts w:hint="eastAsia"/>
          <w:bCs/>
        </w:rPr>
        <w:t>2024</w:t>
      </w:r>
      <w:r>
        <w:rPr>
          <w:rFonts w:hint="eastAsia"/>
          <w:bCs/>
        </w:rPr>
        <w:t>年</w:t>
      </w:r>
      <w:r>
        <w:rPr>
          <w:rFonts w:hint="eastAsia"/>
          <w:bCs/>
        </w:rPr>
        <w:t>1</w:t>
      </w:r>
      <w:r>
        <w:rPr>
          <w:rFonts w:hint="eastAsia"/>
          <w:bCs/>
        </w:rPr>
        <w:t>月</w:t>
      </w:r>
      <w:r>
        <w:rPr>
          <w:rFonts w:hint="eastAsia"/>
          <w:bCs/>
        </w:rPr>
        <w:t>24</w:t>
      </w:r>
      <w:r>
        <w:rPr>
          <w:rFonts w:hint="eastAsia"/>
          <w:bCs/>
        </w:rPr>
        <w:t>日</w:t>
      </w:r>
      <w:r>
        <w:rPr>
          <w:rFonts w:hint="eastAsia"/>
          <w:bCs/>
        </w:rPr>
        <w:t>~2024</w:t>
      </w:r>
      <w:r>
        <w:rPr>
          <w:rFonts w:hint="eastAsia"/>
          <w:bCs/>
        </w:rPr>
        <w:t>年</w:t>
      </w:r>
      <w:r>
        <w:rPr>
          <w:rFonts w:hint="eastAsia"/>
          <w:bCs/>
        </w:rPr>
        <w:t>1</w:t>
      </w:r>
      <w:r>
        <w:rPr>
          <w:rFonts w:hint="eastAsia"/>
          <w:bCs/>
        </w:rPr>
        <w:t>月</w:t>
      </w:r>
      <w:r>
        <w:rPr>
          <w:rFonts w:hint="eastAsia"/>
          <w:bCs/>
        </w:rPr>
        <w:t>30</w:t>
      </w:r>
      <w:r>
        <w:rPr>
          <w:rFonts w:hint="eastAsia"/>
          <w:bCs/>
        </w:rPr>
        <w:t>日至现场监测。</w:t>
      </w:r>
    </w:p>
    <w:p w14:paraId="3D08455B" w14:textId="77777777" w:rsidR="003E78AB" w:rsidRDefault="00010BF9">
      <w:pPr>
        <w:ind w:firstLine="480"/>
        <w:rPr>
          <w:b/>
          <w:bCs/>
          <w:u w:val="single"/>
        </w:rPr>
      </w:pPr>
      <w:r>
        <w:rPr>
          <w:rFonts w:hint="eastAsia"/>
        </w:rPr>
        <w:t>3</w:t>
      </w:r>
      <w:r>
        <w:t>#</w:t>
      </w:r>
      <w:r>
        <w:t>点位其他污染物中，总悬浮颗粒物（</w:t>
      </w:r>
      <w:r>
        <w:t>TSP</w:t>
      </w:r>
      <w:r>
        <w:t>）引用《哈密高新区化工产业集中区总体规划（</w:t>
      </w:r>
      <w:r>
        <w:t>2023-2025</w:t>
      </w:r>
      <w:r>
        <w:t>年）环境影响报告书》中数据，该监测由新疆点点星光检测技术有限公司于</w:t>
      </w:r>
      <w:r>
        <w:t>2023</w:t>
      </w:r>
      <w:r>
        <w:t>年</w:t>
      </w:r>
      <w:r>
        <w:t>2</w:t>
      </w:r>
      <w:r>
        <w:t>月</w:t>
      </w:r>
      <w:r>
        <w:t>7</w:t>
      </w:r>
      <w:r>
        <w:t>日至</w:t>
      </w:r>
      <w:r>
        <w:t>2</w:t>
      </w:r>
      <w:r>
        <w:t>月</w:t>
      </w:r>
      <w:r>
        <w:t>13</w:t>
      </w:r>
      <w:r>
        <w:t>日现场监测，连续监测七天。</w:t>
      </w:r>
      <w:r>
        <w:rPr>
          <w:rFonts w:hint="eastAsia"/>
          <w:bCs/>
        </w:rPr>
        <w:t>TVOC</w:t>
      </w:r>
      <w:r>
        <w:rPr>
          <w:rFonts w:hint="eastAsia"/>
          <w:bCs/>
        </w:rPr>
        <w:t>引用《新疆曌唐化学有限公司年产</w:t>
      </w:r>
      <w:r>
        <w:rPr>
          <w:rFonts w:hint="eastAsia"/>
          <w:bCs/>
        </w:rPr>
        <w:t>2</w:t>
      </w:r>
      <w:r>
        <w:rPr>
          <w:rFonts w:hint="eastAsia"/>
          <w:bCs/>
        </w:rPr>
        <w:t>万吨盐酸二</w:t>
      </w:r>
      <w:r>
        <w:rPr>
          <w:rFonts w:hint="eastAsia"/>
          <w:bCs/>
        </w:rPr>
        <w:t>甲双胍原料药及年产</w:t>
      </w:r>
      <w:r>
        <w:rPr>
          <w:rFonts w:hint="eastAsia"/>
          <w:bCs/>
        </w:rPr>
        <w:t>200</w:t>
      </w:r>
      <w:r>
        <w:rPr>
          <w:rFonts w:hint="eastAsia"/>
          <w:bCs/>
        </w:rPr>
        <w:t>亿片盐酸二甲双胍片和年产</w:t>
      </w:r>
      <w:r>
        <w:rPr>
          <w:rFonts w:hint="eastAsia"/>
          <w:bCs/>
        </w:rPr>
        <w:t>2500</w:t>
      </w:r>
      <w:r>
        <w:rPr>
          <w:rFonts w:hint="eastAsia"/>
          <w:bCs/>
        </w:rPr>
        <w:t>吨盐酸胍生产线项目》中数据，该监测由新疆新环监测检测研究院</w:t>
      </w:r>
      <w:r>
        <w:rPr>
          <w:rFonts w:hint="eastAsia"/>
          <w:bCs/>
        </w:rPr>
        <w:t>(</w:t>
      </w:r>
      <w:r>
        <w:rPr>
          <w:rFonts w:hint="eastAsia"/>
          <w:bCs/>
        </w:rPr>
        <w:t>有限公司</w:t>
      </w:r>
      <w:r>
        <w:rPr>
          <w:rFonts w:hint="eastAsia"/>
          <w:bCs/>
        </w:rPr>
        <w:t>)</w:t>
      </w:r>
      <w:r>
        <w:rPr>
          <w:rFonts w:hint="eastAsia"/>
          <w:bCs/>
        </w:rPr>
        <w:t>于</w:t>
      </w:r>
      <w:r>
        <w:rPr>
          <w:rFonts w:hint="eastAsia"/>
          <w:bCs/>
        </w:rPr>
        <w:t>2024</w:t>
      </w:r>
      <w:r>
        <w:rPr>
          <w:rFonts w:hint="eastAsia"/>
          <w:bCs/>
        </w:rPr>
        <w:t>年</w:t>
      </w:r>
      <w:r>
        <w:rPr>
          <w:rFonts w:hint="eastAsia"/>
          <w:bCs/>
        </w:rPr>
        <w:t>1</w:t>
      </w:r>
      <w:r>
        <w:rPr>
          <w:rFonts w:hint="eastAsia"/>
          <w:bCs/>
        </w:rPr>
        <w:t>月</w:t>
      </w:r>
      <w:r>
        <w:rPr>
          <w:rFonts w:hint="eastAsia"/>
          <w:bCs/>
        </w:rPr>
        <w:t>24</w:t>
      </w:r>
      <w:r>
        <w:rPr>
          <w:rFonts w:hint="eastAsia"/>
          <w:bCs/>
        </w:rPr>
        <w:t>日</w:t>
      </w:r>
      <w:r>
        <w:rPr>
          <w:rFonts w:hint="eastAsia"/>
          <w:bCs/>
        </w:rPr>
        <w:t>~2024</w:t>
      </w:r>
      <w:r>
        <w:rPr>
          <w:rFonts w:hint="eastAsia"/>
          <w:bCs/>
        </w:rPr>
        <w:t>年</w:t>
      </w:r>
      <w:r>
        <w:rPr>
          <w:rFonts w:hint="eastAsia"/>
          <w:bCs/>
        </w:rPr>
        <w:t>1</w:t>
      </w:r>
      <w:r>
        <w:rPr>
          <w:rFonts w:hint="eastAsia"/>
          <w:bCs/>
        </w:rPr>
        <w:t>月</w:t>
      </w:r>
      <w:r>
        <w:rPr>
          <w:rFonts w:hint="eastAsia"/>
          <w:bCs/>
        </w:rPr>
        <w:t>30</w:t>
      </w:r>
      <w:r>
        <w:rPr>
          <w:rFonts w:hint="eastAsia"/>
          <w:bCs/>
        </w:rPr>
        <w:t>日至现场监测。</w:t>
      </w:r>
    </w:p>
    <w:p w14:paraId="01599399" w14:textId="77777777" w:rsidR="003E78AB" w:rsidRDefault="00010BF9">
      <w:pPr>
        <w:pStyle w:val="5"/>
        <w:keepNext w:val="0"/>
        <w:keepLines w:val="0"/>
        <w:ind w:firstLine="482"/>
        <w:rPr>
          <w:sz w:val="24"/>
        </w:rPr>
      </w:pPr>
      <w:r>
        <w:rPr>
          <w:rFonts w:hint="eastAsia"/>
          <w:sz w:val="24"/>
        </w:rPr>
        <w:t>4.</w:t>
      </w:r>
      <w:r>
        <w:rPr>
          <w:sz w:val="24"/>
        </w:rPr>
        <w:t>采样和分析方法</w:t>
      </w:r>
    </w:p>
    <w:p w14:paraId="647FF865" w14:textId="77777777" w:rsidR="003E78AB" w:rsidRDefault="00010BF9">
      <w:pPr>
        <w:ind w:firstLine="480"/>
      </w:pPr>
      <w:r>
        <w:t>监测项目的采样及分析方法均按国家环保总局颁布的《空气和废气监测分析方法》（第四版）、《环境监测技术规范》中的有关规定执行。</w:t>
      </w:r>
    </w:p>
    <w:p w14:paraId="1C693427" w14:textId="77777777" w:rsidR="003E78AB" w:rsidRDefault="00010BF9">
      <w:pPr>
        <w:pStyle w:val="5"/>
        <w:keepNext w:val="0"/>
        <w:keepLines w:val="0"/>
        <w:ind w:firstLine="482"/>
        <w:rPr>
          <w:sz w:val="24"/>
        </w:rPr>
      </w:pPr>
      <w:r>
        <w:rPr>
          <w:rFonts w:hint="eastAsia"/>
          <w:sz w:val="24"/>
        </w:rPr>
        <w:t>5.</w:t>
      </w:r>
      <w:r>
        <w:rPr>
          <w:sz w:val="24"/>
        </w:rPr>
        <w:t>评价方法</w:t>
      </w:r>
    </w:p>
    <w:p w14:paraId="0B028BF8" w14:textId="77777777" w:rsidR="003E78AB" w:rsidRDefault="00010BF9">
      <w:pPr>
        <w:ind w:firstLine="480"/>
      </w:pPr>
      <w:r>
        <w:t>本次环评空气环境质量现状采用超标率和最大浓度占标率进行评价，计算公式为：</w:t>
      </w:r>
    </w:p>
    <w:p w14:paraId="7BC06DBA" w14:textId="77777777" w:rsidR="003E78AB" w:rsidRDefault="00010BF9">
      <w:pPr>
        <w:ind w:firstLine="480"/>
        <w:jc w:val="center"/>
      </w:pPr>
      <w:r>
        <w:t>Pi=C</w:t>
      </w:r>
      <w:r>
        <w:rPr>
          <w:vertAlign w:val="subscript"/>
        </w:rPr>
        <w:t>i</w:t>
      </w:r>
      <w:r>
        <w:t>/C</w:t>
      </w:r>
      <w:r>
        <w:rPr>
          <w:vertAlign w:val="subscript"/>
        </w:rPr>
        <w:t>oi</w:t>
      </w:r>
      <w:r>
        <w:t>×100%</w:t>
      </w:r>
    </w:p>
    <w:p w14:paraId="203E6119" w14:textId="77777777" w:rsidR="003E78AB" w:rsidRDefault="00010BF9">
      <w:pPr>
        <w:ind w:firstLine="480"/>
      </w:pPr>
      <w:r>
        <w:t>式中：</w:t>
      </w:r>
      <w:r>
        <w:t>P</w:t>
      </w:r>
      <w:r>
        <w:rPr>
          <w:vertAlign w:val="subscript"/>
        </w:rPr>
        <w:t>i</w:t>
      </w:r>
      <w:r>
        <w:t>—</w:t>
      </w:r>
      <w:r>
        <w:t>第</w:t>
      </w:r>
      <w:r>
        <w:t>i</w:t>
      </w:r>
      <w:r>
        <w:t>个污染物的最大浓度占标率（无量纲）；</w:t>
      </w:r>
    </w:p>
    <w:p w14:paraId="141FBE8C" w14:textId="77777777" w:rsidR="003E78AB" w:rsidRDefault="00010BF9">
      <w:pPr>
        <w:ind w:firstLine="480"/>
      </w:pPr>
      <w:r>
        <w:t>Ci—</w:t>
      </w:r>
      <w:r>
        <w:t>第</w:t>
      </w:r>
      <w:r>
        <w:t>i</w:t>
      </w:r>
      <w:r>
        <w:t>个</w:t>
      </w:r>
      <w:r>
        <w:t>污染物的最大浓度（</w:t>
      </w:r>
      <w:r>
        <w:t>μg/m</w:t>
      </w:r>
      <w:r>
        <w:rPr>
          <w:vertAlign w:val="superscript"/>
        </w:rPr>
        <w:t>3</w:t>
      </w:r>
      <w:r>
        <w:t>）；</w:t>
      </w:r>
    </w:p>
    <w:p w14:paraId="20DDB8C2" w14:textId="77777777" w:rsidR="003E78AB" w:rsidRDefault="00010BF9">
      <w:pPr>
        <w:ind w:firstLine="480"/>
      </w:pPr>
      <w:r>
        <w:t>C</w:t>
      </w:r>
      <w:r>
        <w:rPr>
          <w:vertAlign w:val="subscript"/>
        </w:rPr>
        <w:t>oi</w:t>
      </w:r>
      <w:r>
        <w:t>—</w:t>
      </w:r>
      <w:r>
        <w:t>第</w:t>
      </w:r>
      <w:r>
        <w:t>i</w:t>
      </w:r>
      <w:r>
        <w:t>个污染物的环境空气质量浓度标准（</w:t>
      </w:r>
      <w:r>
        <w:t>μg/m</w:t>
      </w:r>
      <w:r>
        <w:rPr>
          <w:vertAlign w:val="superscript"/>
        </w:rPr>
        <w:t>3</w:t>
      </w:r>
      <w:r>
        <w:t>）。</w:t>
      </w:r>
    </w:p>
    <w:p w14:paraId="7505B148" w14:textId="77777777" w:rsidR="003E78AB" w:rsidRDefault="00010BF9">
      <w:pPr>
        <w:pStyle w:val="5"/>
        <w:keepNext w:val="0"/>
        <w:keepLines w:val="0"/>
        <w:ind w:firstLine="482"/>
        <w:rPr>
          <w:sz w:val="24"/>
        </w:rPr>
      </w:pPr>
      <w:r>
        <w:rPr>
          <w:rFonts w:hint="eastAsia"/>
          <w:sz w:val="24"/>
        </w:rPr>
        <w:t>6.</w:t>
      </w:r>
      <w:r>
        <w:rPr>
          <w:sz w:val="24"/>
        </w:rPr>
        <w:t>监测结果统计</w:t>
      </w:r>
    </w:p>
    <w:p w14:paraId="766F09F2" w14:textId="77777777" w:rsidR="003E78AB" w:rsidRDefault="00010BF9">
      <w:pPr>
        <w:ind w:firstLine="480"/>
      </w:pPr>
      <w:r>
        <w:t>项目其他污染物补充监测结果见</w:t>
      </w:r>
      <w:r>
        <w:fldChar w:fldCharType="begin"/>
      </w:r>
      <w:r>
        <w:instrText xml:space="preserve"> REF _Ref24169 \r \h </w:instrText>
      </w:r>
      <w:r>
        <w:fldChar w:fldCharType="separate"/>
      </w:r>
      <w:r>
        <w:t>表</w:t>
      </w:r>
      <w:r>
        <w:t>4-7</w:t>
      </w:r>
      <w:r>
        <w:fldChar w:fldCharType="end"/>
      </w:r>
      <w:r>
        <w:t>。</w:t>
      </w:r>
    </w:p>
    <w:p w14:paraId="1CDD6D3F" w14:textId="77777777" w:rsidR="003E78AB" w:rsidRDefault="00010BF9">
      <w:pPr>
        <w:pStyle w:val="a0"/>
        <w:ind w:left="425" w:hanging="425"/>
        <w:rPr>
          <w:rFonts w:hint="default"/>
        </w:rPr>
      </w:pPr>
      <w:bookmarkStart w:id="311" w:name="_Ref24169"/>
      <w:r>
        <w:rPr>
          <w:rFonts w:hint="default"/>
        </w:rPr>
        <w:t>其他污染物环境空气质量现状监测及评价结果</w:t>
      </w:r>
      <w:bookmarkEnd w:id="31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06"/>
        <w:gridCol w:w="810"/>
        <w:gridCol w:w="860"/>
        <w:gridCol w:w="751"/>
        <w:gridCol w:w="805"/>
        <w:gridCol w:w="1161"/>
        <w:gridCol w:w="1079"/>
        <w:gridCol w:w="826"/>
        <w:gridCol w:w="609"/>
      </w:tblGrid>
      <w:tr w:rsidR="003E78AB" w14:paraId="1BD5D22E" w14:textId="77777777">
        <w:trPr>
          <w:trHeight w:val="340"/>
          <w:tblHeader/>
          <w:jc w:val="center"/>
        </w:trPr>
        <w:tc>
          <w:tcPr>
            <w:tcW w:w="472" w:type="pct"/>
            <w:vMerge w:val="restart"/>
            <w:shd w:val="clear" w:color="auto" w:fill="auto"/>
            <w:vAlign w:val="center"/>
          </w:tcPr>
          <w:p w14:paraId="75B4C5C0" w14:textId="77777777" w:rsidR="003E78AB" w:rsidRDefault="00010BF9">
            <w:pPr>
              <w:spacing w:line="360" w:lineRule="exact"/>
              <w:ind w:firstLineChars="0" w:firstLine="0"/>
              <w:jc w:val="center"/>
              <w:textAlignment w:val="center"/>
              <w:rPr>
                <w:b/>
                <w:bCs/>
                <w:sz w:val="21"/>
                <w:szCs w:val="21"/>
              </w:rPr>
            </w:pPr>
            <w:r>
              <w:rPr>
                <w:b/>
                <w:bCs/>
                <w:sz w:val="21"/>
                <w:szCs w:val="21"/>
              </w:rPr>
              <w:t>监测点名称</w:t>
            </w:r>
          </w:p>
        </w:tc>
        <w:tc>
          <w:tcPr>
            <w:tcW w:w="948" w:type="pct"/>
            <w:gridSpan w:val="2"/>
            <w:shd w:val="clear" w:color="auto" w:fill="auto"/>
            <w:vAlign w:val="center"/>
          </w:tcPr>
          <w:p w14:paraId="33135BF9" w14:textId="77777777" w:rsidR="003E78AB" w:rsidRDefault="00010BF9">
            <w:pPr>
              <w:spacing w:line="360" w:lineRule="exact"/>
              <w:ind w:firstLineChars="0" w:firstLine="0"/>
              <w:jc w:val="center"/>
              <w:textAlignment w:val="center"/>
              <w:rPr>
                <w:b/>
                <w:bCs/>
                <w:sz w:val="21"/>
                <w:szCs w:val="21"/>
              </w:rPr>
            </w:pPr>
            <w:r>
              <w:rPr>
                <w:b/>
                <w:bCs/>
                <w:sz w:val="21"/>
                <w:szCs w:val="21"/>
              </w:rPr>
              <w:t>监测点坐标</w:t>
            </w:r>
            <w:r>
              <w:rPr>
                <w:b/>
                <w:bCs/>
                <w:sz w:val="21"/>
                <w:szCs w:val="21"/>
              </w:rPr>
              <w:t>/m</w:t>
            </w:r>
          </w:p>
        </w:tc>
        <w:tc>
          <w:tcPr>
            <w:tcW w:w="505" w:type="pct"/>
            <w:vMerge w:val="restart"/>
            <w:shd w:val="clear" w:color="auto" w:fill="auto"/>
            <w:vAlign w:val="center"/>
          </w:tcPr>
          <w:p w14:paraId="08BC37CD" w14:textId="77777777" w:rsidR="003E78AB" w:rsidRDefault="00010BF9">
            <w:pPr>
              <w:spacing w:line="360" w:lineRule="exact"/>
              <w:ind w:firstLineChars="0" w:firstLine="0"/>
              <w:jc w:val="center"/>
              <w:textAlignment w:val="center"/>
              <w:rPr>
                <w:b/>
                <w:bCs/>
                <w:sz w:val="21"/>
                <w:szCs w:val="21"/>
              </w:rPr>
            </w:pPr>
            <w:r>
              <w:rPr>
                <w:b/>
                <w:bCs/>
                <w:sz w:val="21"/>
                <w:szCs w:val="21"/>
              </w:rPr>
              <w:t>污染物</w:t>
            </w:r>
          </w:p>
        </w:tc>
        <w:tc>
          <w:tcPr>
            <w:tcW w:w="441" w:type="pct"/>
            <w:vMerge w:val="restart"/>
            <w:shd w:val="clear" w:color="auto" w:fill="auto"/>
            <w:vAlign w:val="center"/>
          </w:tcPr>
          <w:p w14:paraId="37B56CDE" w14:textId="77777777" w:rsidR="003E78AB" w:rsidRDefault="00010BF9">
            <w:pPr>
              <w:spacing w:line="360" w:lineRule="exact"/>
              <w:ind w:firstLineChars="0" w:firstLine="0"/>
              <w:jc w:val="center"/>
              <w:textAlignment w:val="center"/>
              <w:rPr>
                <w:b/>
                <w:bCs/>
                <w:sz w:val="21"/>
                <w:szCs w:val="21"/>
              </w:rPr>
            </w:pPr>
            <w:r>
              <w:rPr>
                <w:b/>
                <w:bCs/>
                <w:sz w:val="21"/>
                <w:szCs w:val="21"/>
              </w:rPr>
              <w:t>平均时间</w:t>
            </w:r>
          </w:p>
        </w:tc>
        <w:tc>
          <w:tcPr>
            <w:tcW w:w="473" w:type="pct"/>
            <w:vMerge w:val="restart"/>
            <w:shd w:val="clear" w:color="auto" w:fill="auto"/>
            <w:vAlign w:val="center"/>
          </w:tcPr>
          <w:p w14:paraId="461E5FBB" w14:textId="77777777" w:rsidR="003E78AB" w:rsidRDefault="00010BF9">
            <w:pPr>
              <w:spacing w:line="360" w:lineRule="exact"/>
              <w:ind w:firstLineChars="0" w:firstLine="0"/>
              <w:jc w:val="center"/>
              <w:textAlignment w:val="center"/>
              <w:rPr>
                <w:b/>
                <w:bCs/>
                <w:sz w:val="21"/>
                <w:szCs w:val="21"/>
              </w:rPr>
            </w:pPr>
            <w:r>
              <w:rPr>
                <w:b/>
                <w:bCs/>
                <w:sz w:val="21"/>
                <w:szCs w:val="21"/>
              </w:rPr>
              <w:t>评价标准</w:t>
            </w:r>
            <w:r>
              <w:rPr>
                <w:b/>
                <w:bCs/>
                <w:sz w:val="21"/>
                <w:szCs w:val="21"/>
              </w:rPr>
              <w:t>ug/m</w:t>
            </w:r>
            <w:r>
              <w:rPr>
                <w:b/>
                <w:bCs/>
                <w:sz w:val="21"/>
                <w:szCs w:val="21"/>
                <w:vertAlign w:val="superscript"/>
              </w:rPr>
              <w:t>3</w:t>
            </w:r>
          </w:p>
        </w:tc>
        <w:tc>
          <w:tcPr>
            <w:tcW w:w="681" w:type="pct"/>
            <w:vMerge w:val="restart"/>
            <w:shd w:val="clear" w:color="auto" w:fill="auto"/>
            <w:vAlign w:val="center"/>
          </w:tcPr>
          <w:p w14:paraId="164B7608" w14:textId="77777777" w:rsidR="003E78AB" w:rsidRDefault="00010BF9">
            <w:pPr>
              <w:spacing w:line="360" w:lineRule="exact"/>
              <w:ind w:firstLineChars="0" w:firstLine="0"/>
              <w:jc w:val="center"/>
              <w:textAlignment w:val="center"/>
              <w:rPr>
                <w:b/>
                <w:bCs/>
                <w:sz w:val="21"/>
                <w:szCs w:val="21"/>
              </w:rPr>
            </w:pPr>
            <w:r>
              <w:rPr>
                <w:b/>
                <w:bCs/>
                <w:sz w:val="21"/>
                <w:szCs w:val="21"/>
              </w:rPr>
              <w:t>监测浓度范围</w:t>
            </w:r>
            <w:r>
              <w:rPr>
                <w:b/>
                <w:bCs/>
                <w:sz w:val="21"/>
                <w:szCs w:val="21"/>
              </w:rPr>
              <w:t>ug/m</w:t>
            </w:r>
            <w:r>
              <w:rPr>
                <w:b/>
                <w:bCs/>
                <w:sz w:val="21"/>
                <w:szCs w:val="21"/>
                <w:vertAlign w:val="superscript"/>
              </w:rPr>
              <w:t>3</w:t>
            </w:r>
          </w:p>
        </w:tc>
        <w:tc>
          <w:tcPr>
            <w:tcW w:w="633" w:type="pct"/>
            <w:vMerge w:val="restart"/>
            <w:shd w:val="clear" w:color="auto" w:fill="auto"/>
            <w:vAlign w:val="center"/>
          </w:tcPr>
          <w:p w14:paraId="67FBD65D" w14:textId="77777777" w:rsidR="003E78AB" w:rsidRDefault="00010BF9">
            <w:pPr>
              <w:spacing w:line="360" w:lineRule="exact"/>
              <w:ind w:firstLineChars="0" w:firstLine="0"/>
              <w:jc w:val="center"/>
              <w:textAlignment w:val="center"/>
              <w:rPr>
                <w:b/>
                <w:bCs/>
                <w:sz w:val="21"/>
                <w:szCs w:val="21"/>
              </w:rPr>
            </w:pPr>
            <w:r>
              <w:rPr>
                <w:b/>
                <w:bCs/>
                <w:sz w:val="21"/>
                <w:szCs w:val="21"/>
              </w:rPr>
              <w:t>最大浓度占标率</w:t>
            </w:r>
            <w:r>
              <w:rPr>
                <w:b/>
                <w:bCs/>
                <w:sz w:val="21"/>
                <w:szCs w:val="21"/>
              </w:rPr>
              <w:t>%</w:t>
            </w:r>
          </w:p>
        </w:tc>
        <w:tc>
          <w:tcPr>
            <w:tcW w:w="485" w:type="pct"/>
            <w:vMerge w:val="restart"/>
            <w:shd w:val="clear" w:color="auto" w:fill="auto"/>
            <w:vAlign w:val="center"/>
          </w:tcPr>
          <w:p w14:paraId="435B963C" w14:textId="77777777" w:rsidR="003E78AB" w:rsidRDefault="00010BF9">
            <w:pPr>
              <w:spacing w:line="360" w:lineRule="exact"/>
              <w:ind w:firstLineChars="0" w:firstLine="0"/>
              <w:jc w:val="center"/>
              <w:textAlignment w:val="center"/>
              <w:rPr>
                <w:b/>
                <w:bCs/>
                <w:sz w:val="21"/>
                <w:szCs w:val="21"/>
              </w:rPr>
            </w:pPr>
            <w:r>
              <w:rPr>
                <w:b/>
                <w:bCs/>
                <w:sz w:val="21"/>
                <w:szCs w:val="21"/>
              </w:rPr>
              <w:t>超标率</w:t>
            </w:r>
            <w:r>
              <w:rPr>
                <w:b/>
                <w:bCs/>
                <w:sz w:val="21"/>
                <w:szCs w:val="21"/>
              </w:rPr>
              <w:t>%</w:t>
            </w:r>
          </w:p>
        </w:tc>
        <w:tc>
          <w:tcPr>
            <w:tcW w:w="358" w:type="pct"/>
            <w:vMerge w:val="restart"/>
            <w:shd w:val="clear" w:color="auto" w:fill="auto"/>
            <w:vAlign w:val="center"/>
          </w:tcPr>
          <w:p w14:paraId="2B9F5D94" w14:textId="77777777" w:rsidR="003E78AB" w:rsidRDefault="00010BF9">
            <w:pPr>
              <w:spacing w:line="360" w:lineRule="exact"/>
              <w:ind w:firstLineChars="0" w:firstLine="0"/>
              <w:jc w:val="center"/>
              <w:textAlignment w:val="center"/>
              <w:rPr>
                <w:b/>
                <w:bCs/>
                <w:sz w:val="21"/>
                <w:szCs w:val="21"/>
              </w:rPr>
            </w:pPr>
            <w:r>
              <w:rPr>
                <w:b/>
                <w:bCs/>
                <w:sz w:val="21"/>
                <w:szCs w:val="21"/>
              </w:rPr>
              <w:t>达标情况</w:t>
            </w:r>
          </w:p>
        </w:tc>
      </w:tr>
      <w:tr w:rsidR="003E78AB" w14:paraId="000D55CC" w14:textId="77777777">
        <w:trPr>
          <w:trHeight w:val="340"/>
          <w:tblHeader/>
          <w:jc w:val="center"/>
        </w:trPr>
        <w:tc>
          <w:tcPr>
            <w:tcW w:w="472" w:type="pct"/>
            <w:vMerge/>
            <w:shd w:val="clear" w:color="auto" w:fill="auto"/>
            <w:vAlign w:val="center"/>
          </w:tcPr>
          <w:p w14:paraId="74ECF943" w14:textId="77777777" w:rsidR="003E78AB" w:rsidRDefault="003E78AB">
            <w:pPr>
              <w:spacing w:line="360" w:lineRule="exact"/>
              <w:ind w:firstLineChars="0" w:firstLine="0"/>
              <w:jc w:val="center"/>
              <w:textAlignment w:val="center"/>
              <w:rPr>
                <w:kern w:val="2"/>
                <w:sz w:val="21"/>
                <w:szCs w:val="21"/>
              </w:rPr>
            </w:pPr>
          </w:p>
        </w:tc>
        <w:tc>
          <w:tcPr>
            <w:tcW w:w="473" w:type="pct"/>
            <w:shd w:val="clear" w:color="auto" w:fill="auto"/>
            <w:vAlign w:val="center"/>
          </w:tcPr>
          <w:p w14:paraId="42237547" w14:textId="77777777" w:rsidR="003E78AB" w:rsidRDefault="00010BF9">
            <w:pPr>
              <w:spacing w:line="360" w:lineRule="exact"/>
              <w:ind w:firstLineChars="0" w:firstLine="0"/>
              <w:jc w:val="center"/>
              <w:textAlignment w:val="center"/>
              <w:rPr>
                <w:b/>
                <w:bCs/>
                <w:sz w:val="21"/>
                <w:szCs w:val="21"/>
              </w:rPr>
            </w:pPr>
            <w:r>
              <w:rPr>
                <w:b/>
                <w:bCs/>
                <w:sz w:val="21"/>
                <w:szCs w:val="21"/>
              </w:rPr>
              <w:t>X</w:t>
            </w:r>
          </w:p>
        </w:tc>
        <w:tc>
          <w:tcPr>
            <w:tcW w:w="475" w:type="pct"/>
            <w:shd w:val="clear" w:color="auto" w:fill="auto"/>
            <w:vAlign w:val="center"/>
          </w:tcPr>
          <w:p w14:paraId="6556FB09" w14:textId="77777777" w:rsidR="003E78AB" w:rsidRDefault="00010BF9">
            <w:pPr>
              <w:spacing w:line="360" w:lineRule="exact"/>
              <w:ind w:firstLineChars="0" w:firstLine="0"/>
              <w:jc w:val="center"/>
              <w:textAlignment w:val="center"/>
              <w:rPr>
                <w:b/>
                <w:bCs/>
                <w:sz w:val="21"/>
                <w:szCs w:val="21"/>
              </w:rPr>
            </w:pPr>
            <w:r>
              <w:rPr>
                <w:b/>
                <w:bCs/>
                <w:sz w:val="21"/>
                <w:szCs w:val="21"/>
              </w:rPr>
              <w:t>Y</w:t>
            </w:r>
          </w:p>
        </w:tc>
        <w:tc>
          <w:tcPr>
            <w:tcW w:w="505" w:type="pct"/>
            <w:vMerge/>
            <w:shd w:val="clear" w:color="auto" w:fill="auto"/>
            <w:vAlign w:val="center"/>
          </w:tcPr>
          <w:p w14:paraId="54E964BB" w14:textId="77777777" w:rsidR="003E78AB" w:rsidRDefault="003E78AB">
            <w:pPr>
              <w:spacing w:line="360" w:lineRule="exact"/>
              <w:ind w:firstLineChars="0" w:firstLine="0"/>
              <w:jc w:val="center"/>
              <w:textAlignment w:val="center"/>
              <w:rPr>
                <w:sz w:val="21"/>
                <w:szCs w:val="21"/>
              </w:rPr>
            </w:pPr>
          </w:p>
        </w:tc>
        <w:tc>
          <w:tcPr>
            <w:tcW w:w="441" w:type="pct"/>
            <w:vMerge/>
            <w:shd w:val="clear" w:color="auto" w:fill="auto"/>
            <w:vAlign w:val="center"/>
          </w:tcPr>
          <w:p w14:paraId="18CA3952" w14:textId="77777777" w:rsidR="003E78AB" w:rsidRDefault="003E78AB">
            <w:pPr>
              <w:spacing w:line="360" w:lineRule="exact"/>
              <w:ind w:firstLineChars="0" w:firstLine="0"/>
              <w:jc w:val="center"/>
              <w:textAlignment w:val="center"/>
              <w:rPr>
                <w:sz w:val="21"/>
                <w:szCs w:val="21"/>
              </w:rPr>
            </w:pPr>
          </w:p>
        </w:tc>
        <w:tc>
          <w:tcPr>
            <w:tcW w:w="473" w:type="pct"/>
            <w:vMerge/>
            <w:shd w:val="clear" w:color="auto" w:fill="auto"/>
            <w:vAlign w:val="center"/>
          </w:tcPr>
          <w:p w14:paraId="2105BB09" w14:textId="77777777" w:rsidR="003E78AB" w:rsidRDefault="003E78AB">
            <w:pPr>
              <w:spacing w:line="360" w:lineRule="exact"/>
              <w:ind w:firstLineChars="0" w:firstLine="0"/>
              <w:jc w:val="center"/>
              <w:textAlignment w:val="center"/>
              <w:rPr>
                <w:sz w:val="21"/>
                <w:szCs w:val="21"/>
              </w:rPr>
            </w:pPr>
          </w:p>
        </w:tc>
        <w:tc>
          <w:tcPr>
            <w:tcW w:w="681" w:type="pct"/>
            <w:vMerge/>
            <w:shd w:val="clear" w:color="auto" w:fill="auto"/>
            <w:vAlign w:val="center"/>
          </w:tcPr>
          <w:p w14:paraId="73E4FD3E" w14:textId="77777777" w:rsidR="003E78AB" w:rsidRDefault="003E78AB">
            <w:pPr>
              <w:spacing w:line="360" w:lineRule="exact"/>
              <w:ind w:firstLineChars="0" w:firstLine="0"/>
              <w:jc w:val="center"/>
              <w:textAlignment w:val="center"/>
              <w:rPr>
                <w:sz w:val="21"/>
                <w:szCs w:val="21"/>
              </w:rPr>
            </w:pPr>
          </w:p>
        </w:tc>
        <w:tc>
          <w:tcPr>
            <w:tcW w:w="633" w:type="pct"/>
            <w:vMerge/>
            <w:shd w:val="clear" w:color="auto" w:fill="auto"/>
            <w:vAlign w:val="center"/>
          </w:tcPr>
          <w:p w14:paraId="32D41D79" w14:textId="77777777" w:rsidR="003E78AB" w:rsidRDefault="003E78AB">
            <w:pPr>
              <w:spacing w:line="360" w:lineRule="exact"/>
              <w:ind w:firstLineChars="0" w:firstLine="0"/>
              <w:jc w:val="center"/>
              <w:textAlignment w:val="center"/>
              <w:rPr>
                <w:sz w:val="21"/>
                <w:szCs w:val="21"/>
              </w:rPr>
            </w:pPr>
          </w:p>
        </w:tc>
        <w:tc>
          <w:tcPr>
            <w:tcW w:w="485" w:type="pct"/>
            <w:vMerge/>
            <w:shd w:val="clear" w:color="auto" w:fill="auto"/>
            <w:vAlign w:val="center"/>
          </w:tcPr>
          <w:p w14:paraId="0E7B7ECE" w14:textId="77777777" w:rsidR="003E78AB" w:rsidRDefault="003E78AB">
            <w:pPr>
              <w:spacing w:line="360" w:lineRule="exact"/>
              <w:ind w:firstLineChars="0" w:firstLine="0"/>
              <w:jc w:val="center"/>
              <w:textAlignment w:val="center"/>
              <w:rPr>
                <w:sz w:val="21"/>
                <w:szCs w:val="21"/>
              </w:rPr>
            </w:pPr>
          </w:p>
        </w:tc>
        <w:tc>
          <w:tcPr>
            <w:tcW w:w="358" w:type="pct"/>
            <w:vMerge/>
            <w:shd w:val="clear" w:color="auto" w:fill="auto"/>
            <w:vAlign w:val="center"/>
          </w:tcPr>
          <w:p w14:paraId="32BC6221" w14:textId="77777777" w:rsidR="003E78AB" w:rsidRDefault="003E78AB">
            <w:pPr>
              <w:spacing w:line="360" w:lineRule="exact"/>
              <w:ind w:firstLineChars="0" w:firstLine="0"/>
              <w:jc w:val="center"/>
              <w:textAlignment w:val="center"/>
              <w:rPr>
                <w:sz w:val="21"/>
                <w:szCs w:val="21"/>
              </w:rPr>
            </w:pPr>
          </w:p>
        </w:tc>
      </w:tr>
      <w:tr w:rsidR="003E78AB" w14:paraId="4FB82561" w14:textId="77777777">
        <w:trPr>
          <w:trHeight w:val="340"/>
          <w:jc w:val="center"/>
        </w:trPr>
        <w:tc>
          <w:tcPr>
            <w:tcW w:w="472" w:type="pct"/>
            <w:vMerge w:val="restart"/>
            <w:shd w:val="clear" w:color="auto" w:fill="auto"/>
            <w:vAlign w:val="center"/>
          </w:tcPr>
          <w:p w14:paraId="1AA1235E" w14:textId="77777777" w:rsidR="003E78AB" w:rsidRDefault="00010BF9">
            <w:pPr>
              <w:spacing w:line="360" w:lineRule="exact"/>
              <w:ind w:firstLineChars="0" w:firstLine="0"/>
              <w:jc w:val="center"/>
              <w:rPr>
                <w:sz w:val="21"/>
                <w:szCs w:val="21"/>
              </w:rPr>
            </w:pPr>
            <w:r>
              <w:rPr>
                <w:sz w:val="21"/>
                <w:szCs w:val="21"/>
              </w:rPr>
              <w:t>项目拟建区域</w:t>
            </w:r>
          </w:p>
        </w:tc>
        <w:tc>
          <w:tcPr>
            <w:tcW w:w="473" w:type="pct"/>
            <w:vMerge w:val="restart"/>
            <w:shd w:val="clear" w:color="auto" w:fill="auto"/>
            <w:vAlign w:val="center"/>
          </w:tcPr>
          <w:p w14:paraId="32D67FBA" w14:textId="77777777" w:rsidR="003E78AB" w:rsidRDefault="00010BF9">
            <w:pPr>
              <w:spacing w:line="360" w:lineRule="exact"/>
              <w:ind w:firstLineChars="0" w:firstLine="0"/>
              <w:jc w:val="center"/>
              <w:rPr>
                <w:kern w:val="2"/>
                <w:sz w:val="21"/>
                <w:szCs w:val="21"/>
              </w:rPr>
            </w:pPr>
            <w:r>
              <w:rPr>
                <w:rFonts w:hint="eastAsia"/>
                <w:kern w:val="2"/>
                <w:sz w:val="21"/>
                <w:szCs w:val="21"/>
              </w:rPr>
              <w:t>322</w:t>
            </w:r>
          </w:p>
        </w:tc>
        <w:tc>
          <w:tcPr>
            <w:tcW w:w="475" w:type="pct"/>
            <w:vMerge w:val="restart"/>
            <w:shd w:val="clear" w:color="auto" w:fill="auto"/>
            <w:vAlign w:val="center"/>
          </w:tcPr>
          <w:p w14:paraId="69EEDB01" w14:textId="77777777" w:rsidR="003E78AB" w:rsidRDefault="00010BF9">
            <w:pPr>
              <w:spacing w:line="360" w:lineRule="exact"/>
              <w:ind w:firstLineChars="0" w:firstLine="0"/>
              <w:jc w:val="center"/>
              <w:rPr>
                <w:kern w:val="2"/>
                <w:sz w:val="21"/>
                <w:szCs w:val="21"/>
              </w:rPr>
            </w:pPr>
            <w:r>
              <w:rPr>
                <w:rFonts w:hint="eastAsia"/>
                <w:kern w:val="2"/>
                <w:sz w:val="21"/>
                <w:szCs w:val="21"/>
              </w:rPr>
              <w:t>420</w:t>
            </w:r>
          </w:p>
        </w:tc>
        <w:tc>
          <w:tcPr>
            <w:tcW w:w="505" w:type="pct"/>
            <w:shd w:val="clear" w:color="auto" w:fill="auto"/>
            <w:vAlign w:val="center"/>
          </w:tcPr>
          <w:p w14:paraId="0B54943A" w14:textId="77777777" w:rsidR="003E78AB" w:rsidRDefault="00010BF9">
            <w:pPr>
              <w:spacing w:line="360" w:lineRule="exact"/>
              <w:ind w:firstLineChars="0" w:firstLine="0"/>
              <w:jc w:val="center"/>
              <w:rPr>
                <w:kern w:val="2"/>
                <w:sz w:val="21"/>
                <w:szCs w:val="21"/>
              </w:rPr>
            </w:pPr>
            <w:r>
              <w:rPr>
                <w:kern w:val="2"/>
                <w:sz w:val="21"/>
                <w:szCs w:val="21"/>
              </w:rPr>
              <w:t>TSP</w:t>
            </w:r>
          </w:p>
        </w:tc>
        <w:tc>
          <w:tcPr>
            <w:tcW w:w="441" w:type="pct"/>
            <w:shd w:val="clear" w:color="auto" w:fill="auto"/>
            <w:vAlign w:val="center"/>
          </w:tcPr>
          <w:p w14:paraId="46C726E6" w14:textId="77777777" w:rsidR="003E78AB" w:rsidRDefault="00010BF9">
            <w:pPr>
              <w:spacing w:line="360" w:lineRule="exact"/>
              <w:ind w:firstLineChars="0" w:firstLine="0"/>
              <w:jc w:val="center"/>
              <w:rPr>
                <w:kern w:val="2"/>
                <w:sz w:val="21"/>
                <w:szCs w:val="21"/>
              </w:rPr>
            </w:pPr>
            <w:r>
              <w:rPr>
                <w:kern w:val="2"/>
                <w:sz w:val="21"/>
                <w:szCs w:val="21"/>
              </w:rPr>
              <w:t>日均</w:t>
            </w:r>
          </w:p>
        </w:tc>
        <w:tc>
          <w:tcPr>
            <w:tcW w:w="473" w:type="pct"/>
            <w:shd w:val="clear" w:color="auto" w:fill="auto"/>
            <w:vAlign w:val="center"/>
          </w:tcPr>
          <w:p w14:paraId="612C1760" w14:textId="77777777" w:rsidR="003E78AB" w:rsidRDefault="00010BF9">
            <w:pPr>
              <w:spacing w:line="360" w:lineRule="exact"/>
              <w:ind w:firstLineChars="0" w:firstLine="0"/>
              <w:jc w:val="center"/>
              <w:rPr>
                <w:kern w:val="2"/>
                <w:sz w:val="21"/>
                <w:szCs w:val="21"/>
              </w:rPr>
            </w:pPr>
            <w:r>
              <w:rPr>
                <w:kern w:val="2"/>
                <w:sz w:val="21"/>
                <w:szCs w:val="21"/>
              </w:rPr>
              <w:t>300</w:t>
            </w:r>
          </w:p>
        </w:tc>
        <w:tc>
          <w:tcPr>
            <w:tcW w:w="681" w:type="pct"/>
            <w:shd w:val="clear" w:color="auto" w:fill="auto"/>
            <w:vAlign w:val="center"/>
          </w:tcPr>
          <w:p w14:paraId="7389A533" w14:textId="77777777" w:rsidR="003E78AB" w:rsidRDefault="00010BF9">
            <w:pPr>
              <w:spacing w:line="360" w:lineRule="exact"/>
              <w:ind w:firstLineChars="0" w:firstLine="0"/>
              <w:jc w:val="center"/>
              <w:rPr>
                <w:sz w:val="21"/>
                <w:szCs w:val="21"/>
              </w:rPr>
            </w:pPr>
            <w:r>
              <w:rPr>
                <w:rFonts w:hint="eastAsia"/>
                <w:sz w:val="21"/>
                <w:szCs w:val="21"/>
              </w:rPr>
              <w:t>137~173</w:t>
            </w:r>
          </w:p>
        </w:tc>
        <w:tc>
          <w:tcPr>
            <w:tcW w:w="633" w:type="pct"/>
            <w:shd w:val="clear" w:color="auto" w:fill="auto"/>
            <w:vAlign w:val="center"/>
          </w:tcPr>
          <w:p w14:paraId="029381E1" w14:textId="77777777" w:rsidR="003E78AB" w:rsidRDefault="00010BF9">
            <w:pPr>
              <w:spacing w:line="360" w:lineRule="exact"/>
              <w:ind w:firstLineChars="0" w:firstLine="0"/>
              <w:jc w:val="center"/>
              <w:rPr>
                <w:sz w:val="21"/>
                <w:szCs w:val="21"/>
              </w:rPr>
            </w:pPr>
            <w:r>
              <w:rPr>
                <w:rFonts w:hint="eastAsia"/>
                <w:sz w:val="21"/>
                <w:szCs w:val="21"/>
              </w:rPr>
              <w:t>57.7</w:t>
            </w:r>
          </w:p>
        </w:tc>
        <w:tc>
          <w:tcPr>
            <w:tcW w:w="485" w:type="pct"/>
            <w:shd w:val="clear" w:color="auto" w:fill="auto"/>
            <w:vAlign w:val="center"/>
          </w:tcPr>
          <w:p w14:paraId="6FEA3B06" w14:textId="77777777" w:rsidR="003E78AB" w:rsidRDefault="00010BF9">
            <w:pPr>
              <w:spacing w:line="360" w:lineRule="exact"/>
              <w:ind w:firstLineChars="0" w:firstLine="0"/>
              <w:jc w:val="center"/>
              <w:rPr>
                <w:kern w:val="2"/>
                <w:sz w:val="21"/>
                <w:szCs w:val="21"/>
              </w:rPr>
            </w:pPr>
            <w:r>
              <w:rPr>
                <w:kern w:val="2"/>
                <w:sz w:val="21"/>
                <w:szCs w:val="21"/>
              </w:rPr>
              <w:t>0</w:t>
            </w:r>
          </w:p>
        </w:tc>
        <w:tc>
          <w:tcPr>
            <w:tcW w:w="358" w:type="pct"/>
            <w:shd w:val="clear" w:color="auto" w:fill="auto"/>
            <w:vAlign w:val="center"/>
          </w:tcPr>
          <w:p w14:paraId="07E74E6B" w14:textId="77777777" w:rsidR="003E78AB" w:rsidRDefault="00010BF9">
            <w:pPr>
              <w:spacing w:line="360" w:lineRule="exact"/>
              <w:ind w:firstLineChars="0" w:firstLine="0"/>
              <w:jc w:val="center"/>
              <w:rPr>
                <w:kern w:val="2"/>
                <w:sz w:val="21"/>
                <w:szCs w:val="21"/>
              </w:rPr>
            </w:pPr>
            <w:r>
              <w:rPr>
                <w:sz w:val="21"/>
                <w:szCs w:val="21"/>
              </w:rPr>
              <w:t>达标</w:t>
            </w:r>
          </w:p>
        </w:tc>
      </w:tr>
      <w:tr w:rsidR="003E78AB" w14:paraId="0904B3CE" w14:textId="77777777">
        <w:trPr>
          <w:trHeight w:val="340"/>
          <w:jc w:val="center"/>
        </w:trPr>
        <w:tc>
          <w:tcPr>
            <w:tcW w:w="472" w:type="pct"/>
            <w:vMerge/>
            <w:shd w:val="clear" w:color="auto" w:fill="auto"/>
            <w:vAlign w:val="center"/>
          </w:tcPr>
          <w:p w14:paraId="667ED127" w14:textId="77777777" w:rsidR="003E78AB" w:rsidRDefault="003E78AB">
            <w:pPr>
              <w:spacing w:line="360" w:lineRule="exact"/>
              <w:ind w:firstLineChars="0" w:firstLine="0"/>
              <w:jc w:val="center"/>
              <w:rPr>
                <w:sz w:val="21"/>
                <w:szCs w:val="21"/>
              </w:rPr>
            </w:pPr>
          </w:p>
        </w:tc>
        <w:tc>
          <w:tcPr>
            <w:tcW w:w="473" w:type="pct"/>
            <w:vMerge/>
            <w:shd w:val="clear" w:color="auto" w:fill="auto"/>
            <w:vAlign w:val="center"/>
          </w:tcPr>
          <w:p w14:paraId="2A2AB9FC" w14:textId="77777777" w:rsidR="003E78AB" w:rsidRDefault="003E78AB">
            <w:pPr>
              <w:spacing w:line="360" w:lineRule="exact"/>
              <w:ind w:firstLineChars="0" w:firstLine="0"/>
              <w:jc w:val="center"/>
              <w:rPr>
                <w:sz w:val="21"/>
                <w:szCs w:val="21"/>
              </w:rPr>
            </w:pPr>
          </w:p>
        </w:tc>
        <w:tc>
          <w:tcPr>
            <w:tcW w:w="475" w:type="pct"/>
            <w:vMerge/>
            <w:shd w:val="clear" w:color="auto" w:fill="auto"/>
            <w:vAlign w:val="center"/>
          </w:tcPr>
          <w:p w14:paraId="442DB2D7" w14:textId="77777777" w:rsidR="003E78AB" w:rsidRDefault="003E78AB">
            <w:pPr>
              <w:spacing w:line="360" w:lineRule="exact"/>
              <w:ind w:firstLineChars="0" w:firstLine="0"/>
              <w:jc w:val="center"/>
              <w:rPr>
                <w:sz w:val="21"/>
                <w:szCs w:val="21"/>
              </w:rPr>
            </w:pPr>
          </w:p>
        </w:tc>
        <w:tc>
          <w:tcPr>
            <w:tcW w:w="505" w:type="pct"/>
            <w:shd w:val="clear" w:color="auto" w:fill="auto"/>
            <w:vAlign w:val="center"/>
          </w:tcPr>
          <w:p w14:paraId="2832C816" w14:textId="77777777" w:rsidR="003E78AB" w:rsidRDefault="00010BF9">
            <w:pPr>
              <w:spacing w:line="360" w:lineRule="exact"/>
              <w:ind w:firstLineChars="0" w:firstLine="0"/>
              <w:jc w:val="center"/>
              <w:rPr>
                <w:sz w:val="21"/>
                <w:szCs w:val="21"/>
              </w:rPr>
            </w:pPr>
            <w:r>
              <w:rPr>
                <w:rFonts w:hint="eastAsia"/>
                <w:sz w:val="21"/>
                <w:szCs w:val="21"/>
              </w:rPr>
              <w:t>硫酸雾</w:t>
            </w:r>
          </w:p>
        </w:tc>
        <w:tc>
          <w:tcPr>
            <w:tcW w:w="441" w:type="pct"/>
            <w:shd w:val="clear" w:color="auto" w:fill="auto"/>
            <w:vAlign w:val="center"/>
          </w:tcPr>
          <w:p w14:paraId="3F32AFA3" w14:textId="77777777" w:rsidR="003E78AB" w:rsidRDefault="00010BF9">
            <w:pPr>
              <w:spacing w:line="360" w:lineRule="exact"/>
              <w:ind w:firstLineChars="0" w:firstLine="0"/>
              <w:jc w:val="center"/>
              <w:rPr>
                <w:sz w:val="21"/>
                <w:szCs w:val="21"/>
              </w:rPr>
            </w:pPr>
            <w:r>
              <w:rPr>
                <w:rFonts w:hint="eastAsia"/>
                <w:sz w:val="21"/>
                <w:szCs w:val="21"/>
              </w:rPr>
              <w:t>小时均</w:t>
            </w:r>
          </w:p>
        </w:tc>
        <w:tc>
          <w:tcPr>
            <w:tcW w:w="473" w:type="pct"/>
            <w:shd w:val="clear" w:color="auto" w:fill="auto"/>
            <w:vAlign w:val="center"/>
          </w:tcPr>
          <w:p w14:paraId="1688CA2C" w14:textId="77777777" w:rsidR="003E78AB" w:rsidRDefault="00010BF9">
            <w:pPr>
              <w:spacing w:line="360" w:lineRule="exact"/>
              <w:ind w:firstLineChars="0" w:firstLine="0"/>
              <w:jc w:val="center"/>
              <w:rPr>
                <w:sz w:val="21"/>
                <w:szCs w:val="21"/>
              </w:rPr>
            </w:pPr>
            <w:r>
              <w:rPr>
                <w:rFonts w:hint="eastAsia"/>
                <w:sz w:val="21"/>
                <w:szCs w:val="21"/>
              </w:rPr>
              <w:t>300</w:t>
            </w:r>
          </w:p>
        </w:tc>
        <w:tc>
          <w:tcPr>
            <w:tcW w:w="681" w:type="pct"/>
            <w:shd w:val="clear" w:color="auto" w:fill="auto"/>
            <w:vAlign w:val="center"/>
          </w:tcPr>
          <w:p w14:paraId="18C0B82D" w14:textId="77777777" w:rsidR="003E78AB" w:rsidRDefault="00010BF9">
            <w:pPr>
              <w:spacing w:line="360" w:lineRule="exact"/>
              <w:ind w:firstLineChars="0" w:firstLine="0"/>
              <w:jc w:val="center"/>
              <w:rPr>
                <w:sz w:val="21"/>
                <w:szCs w:val="21"/>
              </w:rPr>
            </w:pPr>
            <w:r>
              <w:rPr>
                <w:rFonts w:hint="eastAsia"/>
                <w:sz w:val="21"/>
                <w:szCs w:val="21"/>
              </w:rPr>
              <w:t>未检出</w:t>
            </w:r>
          </w:p>
        </w:tc>
        <w:tc>
          <w:tcPr>
            <w:tcW w:w="633" w:type="pct"/>
            <w:shd w:val="clear" w:color="auto" w:fill="auto"/>
            <w:vAlign w:val="center"/>
          </w:tcPr>
          <w:p w14:paraId="3466670C" w14:textId="77777777" w:rsidR="003E78AB" w:rsidRDefault="00010BF9">
            <w:pPr>
              <w:spacing w:line="360" w:lineRule="exact"/>
              <w:ind w:firstLineChars="0" w:firstLine="0"/>
              <w:jc w:val="center"/>
              <w:rPr>
                <w:sz w:val="21"/>
                <w:szCs w:val="21"/>
              </w:rPr>
            </w:pPr>
            <w:r>
              <w:rPr>
                <w:rFonts w:hint="eastAsia"/>
                <w:sz w:val="21"/>
                <w:szCs w:val="21"/>
              </w:rPr>
              <w:t>/</w:t>
            </w:r>
          </w:p>
        </w:tc>
        <w:tc>
          <w:tcPr>
            <w:tcW w:w="485" w:type="pct"/>
            <w:shd w:val="clear" w:color="auto" w:fill="auto"/>
            <w:vAlign w:val="center"/>
          </w:tcPr>
          <w:p w14:paraId="578C02E3" w14:textId="77777777" w:rsidR="003E78AB" w:rsidRDefault="00010BF9">
            <w:pPr>
              <w:spacing w:line="360" w:lineRule="exact"/>
              <w:ind w:firstLineChars="0" w:firstLine="0"/>
              <w:jc w:val="center"/>
              <w:rPr>
                <w:sz w:val="21"/>
                <w:szCs w:val="21"/>
              </w:rPr>
            </w:pPr>
            <w:r>
              <w:rPr>
                <w:kern w:val="2"/>
                <w:sz w:val="21"/>
                <w:szCs w:val="21"/>
              </w:rPr>
              <w:t>0</w:t>
            </w:r>
          </w:p>
        </w:tc>
        <w:tc>
          <w:tcPr>
            <w:tcW w:w="358" w:type="pct"/>
            <w:shd w:val="clear" w:color="auto" w:fill="auto"/>
            <w:vAlign w:val="center"/>
          </w:tcPr>
          <w:p w14:paraId="31579BE7" w14:textId="77777777" w:rsidR="003E78AB" w:rsidRDefault="00010BF9">
            <w:pPr>
              <w:spacing w:line="360" w:lineRule="exact"/>
              <w:ind w:firstLineChars="0" w:firstLine="0"/>
              <w:jc w:val="center"/>
              <w:rPr>
                <w:sz w:val="21"/>
                <w:szCs w:val="21"/>
              </w:rPr>
            </w:pPr>
            <w:r>
              <w:rPr>
                <w:sz w:val="21"/>
                <w:szCs w:val="21"/>
              </w:rPr>
              <w:t>达标</w:t>
            </w:r>
          </w:p>
        </w:tc>
      </w:tr>
      <w:tr w:rsidR="003E78AB" w14:paraId="136B3620" w14:textId="77777777">
        <w:trPr>
          <w:trHeight w:val="340"/>
          <w:jc w:val="center"/>
        </w:trPr>
        <w:tc>
          <w:tcPr>
            <w:tcW w:w="472" w:type="pct"/>
            <w:shd w:val="clear" w:color="auto" w:fill="auto"/>
            <w:vAlign w:val="center"/>
          </w:tcPr>
          <w:p w14:paraId="147292DF" w14:textId="77777777" w:rsidR="003E78AB" w:rsidRDefault="00010BF9">
            <w:pPr>
              <w:spacing w:line="360" w:lineRule="exact"/>
              <w:ind w:firstLineChars="0" w:firstLine="0"/>
              <w:jc w:val="center"/>
              <w:rPr>
                <w:bCs/>
                <w:sz w:val="21"/>
                <w:szCs w:val="21"/>
              </w:rPr>
            </w:pPr>
            <w:r>
              <w:rPr>
                <w:rFonts w:hint="eastAsia"/>
                <w:bCs/>
                <w:sz w:val="21"/>
                <w:szCs w:val="21"/>
              </w:rPr>
              <w:t>项目上风向</w:t>
            </w:r>
          </w:p>
        </w:tc>
        <w:tc>
          <w:tcPr>
            <w:tcW w:w="473" w:type="pct"/>
            <w:shd w:val="clear" w:color="auto" w:fill="auto"/>
            <w:vAlign w:val="center"/>
          </w:tcPr>
          <w:p w14:paraId="0A792EDC" w14:textId="77777777" w:rsidR="003E78AB" w:rsidRDefault="00010BF9">
            <w:pPr>
              <w:spacing w:line="360" w:lineRule="exact"/>
              <w:ind w:firstLineChars="0" w:firstLine="0"/>
              <w:jc w:val="center"/>
              <w:rPr>
                <w:bCs/>
                <w:sz w:val="21"/>
                <w:szCs w:val="21"/>
              </w:rPr>
            </w:pPr>
            <w:r>
              <w:rPr>
                <w:rFonts w:hint="eastAsia"/>
                <w:bCs/>
                <w:sz w:val="21"/>
                <w:szCs w:val="21"/>
              </w:rPr>
              <w:t>-1560</w:t>
            </w:r>
          </w:p>
        </w:tc>
        <w:tc>
          <w:tcPr>
            <w:tcW w:w="475" w:type="pct"/>
            <w:shd w:val="clear" w:color="auto" w:fill="auto"/>
            <w:vAlign w:val="center"/>
          </w:tcPr>
          <w:p w14:paraId="66076A16" w14:textId="77777777" w:rsidR="003E78AB" w:rsidRDefault="00010BF9">
            <w:pPr>
              <w:spacing w:line="360" w:lineRule="exact"/>
              <w:ind w:firstLineChars="0" w:firstLine="0"/>
              <w:jc w:val="center"/>
              <w:rPr>
                <w:bCs/>
                <w:sz w:val="21"/>
                <w:szCs w:val="21"/>
              </w:rPr>
            </w:pPr>
            <w:r>
              <w:rPr>
                <w:rFonts w:hint="eastAsia"/>
                <w:bCs/>
                <w:sz w:val="21"/>
                <w:szCs w:val="21"/>
              </w:rPr>
              <w:t>87</w:t>
            </w:r>
          </w:p>
        </w:tc>
        <w:tc>
          <w:tcPr>
            <w:tcW w:w="505" w:type="pct"/>
            <w:shd w:val="clear" w:color="auto" w:fill="auto"/>
            <w:vAlign w:val="center"/>
          </w:tcPr>
          <w:p w14:paraId="457DC8BA" w14:textId="77777777" w:rsidR="003E78AB" w:rsidRDefault="00010BF9">
            <w:pPr>
              <w:spacing w:line="360" w:lineRule="exact"/>
              <w:ind w:firstLineChars="0" w:firstLine="0"/>
              <w:jc w:val="center"/>
              <w:rPr>
                <w:bCs/>
                <w:sz w:val="21"/>
                <w:szCs w:val="21"/>
              </w:rPr>
            </w:pPr>
            <w:r>
              <w:rPr>
                <w:rFonts w:hint="eastAsia"/>
                <w:bCs/>
                <w:sz w:val="21"/>
                <w:szCs w:val="21"/>
              </w:rPr>
              <w:t>TVOC</w:t>
            </w:r>
          </w:p>
        </w:tc>
        <w:tc>
          <w:tcPr>
            <w:tcW w:w="441" w:type="pct"/>
            <w:shd w:val="clear" w:color="auto" w:fill="auto"/>
            <w:vAlign w:val="center"/>
          </w:tcPr>
          <w:p w14:paraId="058A4F48" w14:textId="77777777" w:rsidR="003E78AB" w:rsidRDefault="00010BF9">
            <w:pPr>
              <w:spacing w:line="360" w:lineRule="exact"/>
              <w:ind w:firstLineChars="0" w:firstLine="0"/>
              <w:jc w:val="center"/>
              <w:rPr>
                <w:bCs/>
                <w:sz w:val="21"/>
                <w:szCs w:val="21"/>
              </w:rPr>
            </w:pPr>
            <w:r>
              <w:rPr>
                <w:rFonts w:hint="eastAsia"/>
                <w:bCs/>
                <w:sz w:val="21"/>
                <w:szCs w:val="21"/>
              </w:rPr>
              <w:t>8</w:t>
            </w:r>
            <w:r>
              <w:rPr>
                <w:bCs/>
                <w:sz w:val="21"/>
                <w:szCs w:val="21"/>
              </w:rPr>
              <w:t>小时</w:t>
            </w:r>
          </w:p>
        </w:tc>
        <w:tc>
          <w:tcPr>
            <w:tcW w:w="473" w:type="pct"/>
            <w:shd w:val="clear" w:color="auto" w:fill="auto"/>
            <w:vAlign w:val="center"/>
          </w:tcPr>
          <w:p w14:paraId="26102A1D" w14:textId="77777777" w:rsidR="003E78AB" w:rsidRDefault="00010BF9">
            <w:pPr>
              <w:spacing w:line="360" w:lineRule="exact"/>
              <w:ind w:firstLineChars="0" w:firstLine="0"/>
              <w:jc w:val="center"/>
              <w:rPr>
                <w:bCs/>
                <w:sz w:val="21"/>
                <w:szCs w:val="21"/>
              </w:rPr>
            </w:pPr>
            <w:r>
              <w:rPr>
                <w:rFonts w:hint="eastAsia"/>
                <w:bCs/>
                <w:sz w:val="21"/>
                <w:szCs w:val="21"/>
              </w:rPr>
              <w:t>6</w:t>
            </w:r>
            <w:r>
              <w:rPr>
                <w:bCs/>
                <w:sz w:val="21"/>
                <w:szCs w:val="21"/>
              </w:rPr>
              <w:t>00</w:t>
            </w:r>
          </w:p>
        </w:tc>
        <w:tc>
          <w:tcPr>
            <w:tcW w:w="681" w:type="pct"/>
            <w:shd w:val="clear" w:color="auto" w:fill="auto"/>
            <w:vAlign w:val="center"/>
          </w:tcPr>
          <w:p w14:paraId="552C73C6" w14:textId="77777777" w:rsidR="003E78AB" w:rsidRDefault="00010BF9">
            <w:pPr>
              <w:spacing w:line="360" w:lineRule="exact"/>
              <w:ind w:firstLineChars="0" w:firstLine="0"/>
              <w:jc w:val="center"/>
              <w:rPr>
                <w:bCs/>
                <w:sz w:val="21"/>
                <w:szCs w:val="21"/>
              </w:rPr>
            </w:pPr>
            <w:r>
              <w:rPr>
                <w:rFonts w:hint="eastAsia"/>
                <w:bCs/>
                <w:sz w:val="21"/>
                <w:szCs w:val="21"/>
              </w:rPr>
              <w:t>3.81~30.8</w:t>
            </w:r>
          </w:p>
        </w:tc>
        <w:tc>
          <w:tcPr>
            <w:tcW w:w="633" w:type="pct"/>
            <w:shd w:val="clear" w:color="auto" w:fill="auto"/>
            <w:vAlign w:val="center"/>
          </w:tcPr>
          <w:p w14:paraId="25625995" w14:textId="77777777" w:rsidR="003E78AB" w:rsidRDefault="00010BF9">
            <w:pPr>
              <w:spacing w:line="360" w:lineRule="exact"/>
              <w:ind w:firstLineChars="0" w:firstLine="0"/>
              <w:jc w:val="center"/>
              <w:rPr>
                <w:bCs/>
                <w:sz w:val="21"/>
                <w:szCs w:val="21"/>
              </w:rPr>
            </w:pPr>
            <w:r>
              <w:rPr>
                <w:rFonts w:hint="eastAsia"/>
                <w:bCs/>
                <w:sz w:val="21"/>
                <w:szCs w:val="21"/>
              </w:rPr>
              <w:t>5.1</w:t>
            </w:r>
          </w:p>
        </w:tc>
        <w:tc>
          <w:tcPr>
            <w:tcW w:w="485" w:type="pct"/>
            <w:shd w:val="clear" w:color="auto" w:fill="auto"/>
            <w:vAlign w:val="center"/>
          </w:tcPr>
          <w:p w14:paraId="49137D20" w14:textId="77777777" w:rsidR="003E78AB" w:rsidRDefault="00010BF9">
            <w:pPr>
              <w:spacing w:line="360" w:lineRule="exact"/>
              <w:ind w:firstLineChars="0" w:firstLine="0"/>
              <w:jc w:val="center"/>
              <w:rPr>
                <w:bCs/>
                <w:sz w:val="21"/>
                <w:szCs w:val="21"/>
              </w:rPr>
            </w:pPr>
            <w:r>
              <w:rPr>
                <w:bCs/>
                <w:kern w:val="2"/>
                <w:sz w:val="21"/>
                <w:szCs w:val="21"/>
              </w:rPr>
              <w:t>0</w:t>
            </w:r>
          </w:p>
        </w:tc>
        <w:tc>
          <w:tcPr>
            <w:tcW w:w="358" w:type="pct"/>
            <w:shd w:val="clear" w:color="auto" w:fill="auto"/>
            <w:vAlign w:val="center"/>
          </w:tcPr>
          <w:p w14:paraId="0BB3FFDB" w14:textId="77777777" w:rsidR="003E78AB" w:rsidRDefault="00010BF9">
            <w:pPr>
              <w:spacing w:line="360" w:lineRule="exact"/>
              <w:ind w:firstLineChars="0" w:firstLine="0"/>
              <w:jc w:val="center"/>
              <w:rPr>
                <w:bCs/>
                <w:sz w:val="21"/>
                <w:szCs w:val="21"/>
              </w:rPr>
            </w:pPr>
            <w:r>
              <w:rPr>
                <w:bCs/>
                <w:sz w:val="21"/>
                <w:szCs w:val="21"/>
              </w:rPr>
              <w:t>达标</w:t>
            </w:r>
          </w:p>
        </w:tc>
      </w:tr>
      <w:tr w:rsidR="003E78AB" w14:paraId="2E6E2F0A" w14:textId="77777777">
        <w:trPr>
          <w:trHeight w:val="340"/>
          <w:jc w:val="center"/>
        </w:trPr>
        <w:tc>
          <w:tcPr>
            <w:tcW w:w="472" w:type="pct"/>
            <w:vMerge w:val="restart"/>
            <w:shd w:val="clear" w:color="auto" w:fill="auto"/>
            <w:vAlign w:val="center"/>
          </w:tcPr>
          <w:p w14:paraId="13081AA2" w14:textId="77777777" w:rsidR="003E78AB" w:rsidRDefault="00010BF9">
            <w:pPr>
              <w:spacing w:line="360" w:lineRule="exact"/>
              <w:ind w:firstLineChars="0" w:firstLine="0"/>
              <w:jc w:val="center"/>
              <w:rPr>
                <w:sz w:val="21"/>
                <w:szCs w:val="21"/>
              </w:rPr>
            </w:pPr>
            <w:r>
              <w:rPr>
                <w:sz w:val="21"/>
                <w:szCs w:val="21"/>
              </w:rPr>
              <w:t>项目下风向</w:t>
            </w:r>
          </w:p>
        </w:tc>
        <w:tc>
          <w:tcPr>
            <w:tcW w:w="473" w:type="pct"/>
            <w:vMerge w:val="restart"/>
            <w:shd w:val="clear" w:color="auto" w:fill="auto"/>
            <w:vAlign w:val="center"/>
          </w:tcPr>
          <w:p w14:paraId="38F26463" w14:textId="77777777" w:rsidR="003E78AB" w:rsidRDefault="00010BF9">
            <w:pPr>
              <w:spacing w:line="360" w:lineRule="exact"/>
              <w:ind w:firstLineChars="0" w:firstLine="0"/>
              <w:jc w:val="center"/>
              <w:rPr>
                <w:sz w:val="21"/>
                <w:szCs w:val="21"/>
              </w:rPr>
            </w:pPr>
            <w:r>
              <w:rPr>
                <w:sz w:val="21"/>
                <w:szCs w:val="21"/>
              </w:rPr>
              <w:t>-</w:t>
            </w:r>
            <w:r>
              <w:rPr>
                <w:rFonts w:hint="eastAsia"/>
                <w:sz w:val="21"/>
                <w:szCs w:val="21"/>
              </w:rPr>
              <w:t>1615</w:t>
            </w:r>
          </w:p>
        </w:tc>
        <w:tc>
          <w:tcPr>
            <w:tcW w:w="475" w:type="pct"/>
            <w:vMerge w:val="restart"/>
            <w:shd w:val="clear" w:color="auto" w:fill="auto"/>
            <w:vAlign w:val="center"/>
          </w:tcPr>
          <w:p w14:paraId="4601F1E5" w14:textId="77777777" w:rsidR="003E78AB" w:rsidRDefault="00010BF9">
            <w:pPr>
              <w:spacing w:line="360" w:lineRule="exact"/>
              <w:ind w:firstLineChars="0" w:firstLine="0"/>
              <w:jc w:val="center"/>
              <w:rPr>
                <w:sz w:val="21"/>
                <w:szCs w:val="21"/>
              </w:rPr>
            </w:pPr>
            <w:r>
              <w:rPr>
                <w:sz w:val="21"/>
                <w:szCs w:val="21"/>
              </w:rPr>
              <w:t>-</w:t>
            </w:r>
            <w:r>
              <w:rPr>
                <w:rFonts w:hint="eastAsia"/>
                <w:sz w:val="21"/>
                <w:szCs w:val="21"/>
              </w:rPr>
              <w:t>517</w:t>
            </w:r>
          </w:p>
        </w:tc>
        <w:tc>
          <w:tcPr>
            <w:tcW w:w="505" w:type="pct"/>
            <w:shd w:val="clear" w:color="auto" w:fill="auto"/>
            <w:vAlign w:val="center"/>
          </w:tcPr>
          <w:p w14:paraId="53A9C66A" w14:textId="77777777" w:rsidR="003E78AB" w:rsidRDefault="00010BF9">
            <w:pPr>
              <w:spacing w:line="360" w:lineRule="exact"/>
              <w:ind w:firstLineChars="0" w:firstLine="0"/>
              <w:jc w:val="center"/>
              <w:rPr>
                <w:kern w:val="2"/>
                <w:sz w:val="21"/>
                <w:szCs w:val="21"/>
              </w:rPr>
            </w:pPr>
            <w:r>
              <w:rPr>
                <w:kern w:val="2"/>
                <w:sz w:val="21"/>
                <w:szCs w:val="21"/>
              </w:rPr>
              <w:t>TSP</w:t>
            </w:r>
          </w:p>
        </w:tc>
        <w:tc>
          <w:tcPr>
            <w:tcW w:w="441" w:type="pct"/>
            <w:shd w:val="clear" w:color="auto" w:fill="auto"/>
            <w:vAlign w:val="center"/>
          </w:tcPr>
          <w:p w14:paraId="332DC3C0" w14:textId="77777777" w:rsidR="003E78AB" w:rsidRDefault="00010BF9">
            <w:pPr>
              <w:spacing w:line="360" w:lineRule="exact"/>
              <w:ind w:firstLineChars="0" w:firstLine="0"/>
              <w:jc w:val="center"/>
              <w:rPr>
                <w:sz w:val="21"/>
                <w:szCs w:val="21"/>
              </w:rPr>
            </w:pPr>
            <w:r>
              <w:rPr>
                <w:kern w:val="2"/>
                <w:sz w:val="21"/>
                <w:szCs w:val="21"/>
              </w:rPr>
              <w:t>日均</w:t>
            </w:r>
          </w:p>
        </w:tc>
        <w:tc>
          <w:tcPr>
            <w:tcW w:w="473" w:type="pct"/>
            <w:shd w:val="clear" w:color="auto" w:fill="auto"/>
            <w:vAlign w:val="center"/>
          </w:tcPr>
          <w:p w14:paraId="7DBB5E29" w14:textId="77777777" w:rsidR="003E78AB" w:rsidRDefault="00010BF9">
            <w:pPr>
              <w:spacing w:line="360" w:lineRule="exact"/>
              <w:ind w:firstLineChars="0" w:firstLine="0"/>
              <w:jc w:val="center"/>
              <w:rPr>
                <w:sz w:val="21"/>
                <w:szCs w:val="21"/>
              </w:rPr>
            </w:pPr>
            <w:r>
              <w:rPr>
                <w:kern w:val="2"/>
                <w:sz w:val="21"/>
                <w:szCs w:val="21"/>
              </w:rPr>
              <w:t>300</w:t>
            </w:r>
          </w:p>
        </w:tc>
        <w:tc>
          <w:tcPr>
            <w:tcW w:w="681" w:type="pct"/>
            <w:shd w:val="clear" w:color="auto" w:fill="auto"/>
            <w:vAlign w:val="center"/>
          </w:tcPr>
          <w:p w14:paraId="18183AB1" w14:textId="77777777" w:rsidR="003E78AB" w:rsidRDefault="00010BF9">
            <w:pPr>
              <w:spacing w:line="360" w:lineRule="exact"/>
              <w:ind w:firstLineChars="0" w:firstLine="0"/>
              <w:jc w:val="center"/>
              <w:rPr>
                <w:sz w:val="21"/>
                <w:szCs w:val="21"/>
              </w:rPr>
            </w:pPr>
            <w:r>
              <w:rPr>
                <w:sz w:val="21"/>
                <w:szCs w:val="21"/>
              </w:rPr>
              <w:t>233~267</w:t>
            </w:r>
          </w:p>
        </w:tc>
        <w:tc>
          <w:tcPr>
            <w:tcW w:w="633" w:type="pct"/>
            <w:shd w:val="clear" w:color="auto" w:fill="auto"/>
            <w:vAlign w:val="center"/>
          </w:tcPr>
          <w:p w14:paraId="74904C13" w14:textId="77777777" w:rsidR="003E78AB" w:rsidRDefault="00010BF9">
            <w:pPr>
              <w:spacing w:line="360" w:lineRule="exact"/>
              <w:ind w:firstLineChars="0" w:firstLine="0"/>
              <w:jc w:val="center"/>
              <w:rPr>
                <w:sz w:val="21"/>
                <w:szCs w:val="21"/>
              </w:rPr>
            </w:pPr>
            <w:r>
              <w:rPr>
                <w:sz w:val="21"/>
                <w:szCs w:val="21"/>
              </w:rPr>
              <w:t>89</w:t>
            </w:r>
          </w:p>
        </w:tc>
        <w:tc>
          <w:tcPr>
            <w:tcW w:w="485" w:type="pct"/>
            <w:shd w:val="clear" w:color="auto" w:fill="auto"/>
            <w:vAlign w:val="center"/>
          </w:tcPr>
          <w:p w14:paraId="5EC36272" w14:textId="77777777" w:rsidR="003E78AB" w:rsidRDefault="00010BF9">
            <w:pPr>
              <w:spacing w:line="360" w:lineRule="exact"/>
              <w:ind w:firstLineChars="0" w:firstLine="0"/>
              <w:jc w:val="center"/>
              <w:rPr>
                <w:sz w:val="21"/>
                <w:szCs w:val="21"/>
              </w:rPr>
            </w:pPr>
            <w:r>
              <w:rPr>
                <w:kern w:val="2"/>
                <w:sz w:val="21"/>
                <w:szCs w:val="21"/>
              </w:rPr>
              <w:t>0</w:t>
            </w:r>
          </w:p>
        </w:tc>
        <w:tc>
          <w:tcPr>
            <w:tcW w:w="358" w:type="pct"/>
            <w:shd w:val="clear" w:color="auto" w:fill="auto"/>
            <w:vAlign w:val="center"/>
          </w:tcPr>
          <w:p w14:paraId="08A49ED6" w14:textId="77777777" w:rsidR="003E78AB" w:rsidRDefault="00010BF9">
            <w:pPr>
              <w:spacing w:line="360" w:lineRule="exact"/>
              <w:ind w:firstLineChars="0" w:firstLine="0"/>
              <w:jc w:val="center"/>
              <w:rPr>
                <w:sz w:val="21"/>
                <w:szCs w:val="21"/>
              </w:rPr>
            </w:pPr>
            <w:r>
              <w:rPr>
                <w:sz w:val="21"/>
                <w:szCs w:val="21"/>
              </w:rPr>
              <w:t>达标</w:t>
            </w:r>
          </w:p>
        </w:tc>
      </w:tr>
      <w:tr w:rsidR="003E78AB" w14:paraId="38D8E070" w14:textId="77777777">
        <w:trPr>
          <w:trHeight w:val="340"/>
          <w:jc w:val="center"/>
        </w:trPr>
        <w:tc>
          <w:tcPr>
            <w:tcW w:w="472" w:type="pct"/>
            <w:vMerge/>
            <w:shd w:val="clear" w:color="auto" w:fill="auto"/>
            <w:vAlign w:val="center"/>
          </w:tcPr>
          <w:p w14:paraId="540F6E6B" w14:textId="77777777" w:rsidR="003E78AB" w:rsidRDefault="003E78AB">
            <w:pPr>
              <w:spacing w:line="360" w:lineRule="exact"/>
              <w:ind w:firstLineChars="0" w:firstLine="0"/>
              <w:jc w:val="center"/>
              <w:rPr>
                <w:sz w:val="21"/>
                <w:szCs w:val="21"/>
              </w:rPr>
            </w:pPr>
          </w:p>
        </w:tc>
        <w:tc>
          <w:tcPr>
            <w:tcW w:w="473" w:type="pct"/>
            <w:vMerge/>
            <w:shd w:val="clear" w:color="auto" w:fill="auto"/>
            <w:vAlign w:val="center"/>
          </w:tcPr>
          <w:p w14:paraId="6F0BEC44" w14:textId="77777777" w:rsidR="003E78AB" w:rsidRDefault="003E78AB">
            <w:pPr>
              <w:spacing w:line="360" w:lineRule="exact"/>
              <w:ind w:firstLineChars="0" w:firstLine="0"/>
              <w:jc w:val="center"/>
              <w:rPr>
                <w:sz w:val="21"/>
                <w:szCs w:val="21"/>
              </w:rPr>
            </w:pPr>
          </w:p>
        </w:tc>
        <w:tc>
          <w:tcPr>
            <w:tcW w:w="475" w:type="pct"/>
            <w:vMerge/>
            <w:shd w:val="clear" w:color="auto" w:fill="auto"/>
            <w:vAlign w:val="center"/>
          </w:tcPr>
          <w:p w14:paraId="3773CE09" w14:textId="77777777" w:rsidR="003E78AB" w:rsidRDefault="003E78AB">
            <w:pPr>
              <w:spacing w:line="360" w:lineRule="exact"/>
              <w:ind w:firstLineChars="0" w:firstLine="0"/>
              <w:jc w:val="center"/>
              <w:rPr>
                <w:sz w:val="21"/>
                <w:szCs w:val="21"/>
              </w:rPr>
            </w:pPr>
          </w:p>
        </w:tc>
        <w:tc>
          <w:tcPr>
            <w:tcW w:w="505" w:type="pct"/>
            <w:shd w:val="clear" w:color="auto" w:fill="auto"/>
            <w:vAlign w:val="center"/>
          </w:tcPr>
          <w:p w14:paraId="70B4074F" w14:textId="77777777" w:rsidR="003E78AB" w:rsidRDefault="00010BF9">
            <w:pPr>
              <w:spacing w:line="360" w:lineRule="exact"/>
              <w:ind w:firstLineChars="0" w:firstLine="0"/>
              <w:jc w:val="center"/>
              <w:rPr>
                <w:bCs/>
                <w:sz w:val="21"/>
                <w:szCs w:val="21"/>
              </w:rPr>
            </w:pPr>
            <w:r>
              <w:rPr>
                <w:rFonts w:hint="eastAsia"/>
                <w:bCs/>
                <w:sz w:val="21"/>
                <w:szCs w:val="21"/>
              </w:rPr>
              <w:t>TVOC</w:t>
            </w:r>
          </w:p>
        </w:tc>
        <w:tc>
          <w:tcPr>
            <w:tcW w:w="441" w:type="pct"/>
            <w:shd w:val="clear" w:color="auto" w:fill="auto"/>
            <w:vAlign w:val="center"/>
          </w:tcPr>
          <w:p w14:paraId="45894BF3" w14:textId="77777777" w:rsidR="003E78AB" w:rsidRDefault="00010BF9">
            <w:pPr>
              <w:spacing w:line="360" w:lineRule="exact"/>
              <w:ind w:firstLineChars="0" w:firstLine="0"/>
              <w:jc w:val="center"/>
              <w:rPr>
                <w:bCs/>
                <w:sz w:val="21"/>
                <w:szCs w:val="21"/>
              </w:rPr>
            </w:pPr>
            <w:r>
              <w:rPr>
                <w:rFonts w:hint="eastAsia"/>
                <w:bCs/>
                <w:sz w:val="21"/>
                <w:szCs w:val="21"/>
              </w:rPr>
              <w:t>8</w:t>
            </w:r>
            <w:r>
              <w:rPr>
                <w:bCs/>
                <w:sz w:val="21"/>
                <w:szCs w:val="21"/>
              </w:rPr>
              <w:t>小时</w:t>
            </w:r>
          </w:p>
        </w:tc>
        <w:tc>
          <w:tcPr>
            <w:tcW w:w="473" w:type="pct"/>
            <w:shd w:val="clear" w:color="auto" w:fill="auto"/>
            <w:vAlign w:val="center"/>
          </w:tcPr>
          <w:p w14:paraId="3F3372A2" w14:textId="77777777" w:rsidR="003E78AB" w:rsidRDefault="00010BF9">
            <w:pPr>
              <w:spacing w:line="360" w:lineRule="exact"/>
              <w:ind w:firstLineChars="0" w:firstLine="0"/>
              <w:jc w:val="center"/>
              <w:rPr>
                <w:bCs/>
                <w:sz w:val="21"/>
                <w:szCs w:val="21"/>
              </w:rPr>
            </w:pPr>
            <w:r>
              <w:rPr>
                <w:rFonts w:hint="eastAsia"/>
                <w:bCs/>
                <w:sz w:val="21"/>
                <w:szCs w:val="21"/>
              </w:rPr>
              <w:t>6</w:t>
            </w:r>
            <w:r>
              <w:rPr>
                <w:bCs/>
                <w:sz w:val="21"/>
                <w:szCs w:val="21"/>
              </w:rPr>
              <w:t>00</w:t>
            </w:r>
          </w:p>
        </w:tc>
        <w:tc>
          <w:tcPr>
            <w:tcW w:w="681" w:type="pct"/>
            <w:shd w:val="clear" w:color="auto" w:fill="auto"/>
            <w:vAlign w:val="center"/>
          </w:tcPr>
          <w:p w14:paraId="33C18406" w14:textId="77777777" w:rsidR="003E78AB" w:rsidRDefault="00010BF9">
            <w:pPr>
              <w:spacing w:line="360" w:lineRule="exact"/>
              <w:ind w:firstLineChars="0" w:firstLine="0"/>
              <w:jc w:val="center"/>
              <w:rPr>
                <w:bCs/>
                <w:sz w:val="21"/>
                <w:szCs w:val="21"/>
              </w:rPr>
            </w:pPr>
            <w:r>
              <w:rPr>
                <w:bCs/>
                <w:sz w:val="21"/>
                <w:szCs w:val="21"/>
              </w:rPr>
              <w:t>1.74~27.1</w:t>
            </w:r>
          </w:p>
        </w:tc>
        <w:tc>
          <w:tcPr>
            <w:tcW w:w="633" w:type="pct"/>
            <w:shd w:val="clear" w:color="auto" w:fill="auto"/>
            <w:vAlign w:val="center"/>
          </w:tcPr>
          <w:p w14:paraId="21F2A57C" w14:textId="77777777" w:rsidR="003E78AB" w:rsidRDefault="00010BF9">
            <w:pPr>
              <w:spacing w:line="360" w:lineRule="exact"/>
              <w:ind w:firstLineChars="0" w:firstLine="0"/>
              <w:jc w:val="center"/>
              <w:rPr>
                <w:bCs/>
                <w:sz w:val="21"/>
                <w:szCs w:val="21"/>
              </w:rPr>
            </w:pPr>
            <w:r>
              <w:rPr>
                <w:bCs/>
                <w:sz w:val="21"/>
                <w:szCs w:val="21"/>
              </w:rPr>
              <w:t>4.5</w:t>
            </w:r>
          </w:p>
        </w:tc>
        <w:tc>
          <w:tcPr>
            <w:tcW w:w="485" w:type="pct"/>
            <w:shd w:val="clear" w:color="auto" w:fill="auto"/>
            <w:vAlign w:val="center"/>
          </w:tcPr>
          <w:p w14:paraId="74C34E93" w14:textId="77777777" w:rsidR="003E78AB" w:rsidRDefault="00010BF9">
            <w:pPr>
              <w:spacing w:line="360" w:lineRule="exact"/>
              <w:ind w:firstLineChars="0" w:firstLine="0"/>
              <w:jc w:val="center"/>
              <w:rPr>
                <w:bCs/>
                <w:sz w:val="21"/>
                <w:szCs w:val="21"/>
              </w:rPr>
            </w:pPr>
            <w:r>
              <w:rPr>
                <w:bCs/>
                <w:kern w:val="2"/>
                <w:sz w:val="21"/>
                <w:szCs w:val="21"/>
              </w:rPr>
              <w:t>0</w:t>
            </w:r>
          </w:p>
        </w:tc>
        <w:tc>
          <w:tcPr>
            <w:tcW w:w="358" w:type="pct"/>
            <w:shd w:val="clear" w:color="auto" w:fill="auto"/>
            <w:vAlign w:val="center"/>
          </w:tcPr>
          <w:p w14:paraId="03AA5704" w14:textId="77777777" w:rsidR="003E78AB" w:rsidRDefault="00010BF9">
            <w:pPr>
              <w:spacing w:line="360" w:lineRule="exact"/>
              <w:ind w:firstLineChars="0" w:firstLine="0"/>
              <w:jc w:val="center"/>
              <w:rPr>
                <w:bCs/>
                <w:sz w:val="21"/>
                <w:szCs w:val="21"/>
              </w:rPr>
            </w:pPr>
            <w:r>
              <w:rPr>
                <w:bCs/>
                <w:sz w:val="21"/>
                <w:szCs w:val="21"/>
              </w:rPr>
              <w:t>达标</w:t>
            </w:r>
          </w:p>
        </w:tc>
      </w:tr>
      <w:tr w:rsidR="003E78AB" w14:paraId="64A3D3CB" w14:textId="77777777">
        <w:trPr>
          <w:trHeight w:val="340"/>
          <w:jc w:val="center"/>
        </w:trPr>
        <w:tc>
          <w:tcPr>
            <w:tcW w:w="472" w:type="pct"/>
            <w:vMerge/>
            <w:shd w:val="clear" w:color="auto" w:fill="auto"/>
            <w:vAlign w:val="center"/>
          </w:tcPr>
          <w:p w14:paraId="7326F410" w14:textId="77777777" w:rsidR="003E78AB" w:rsidRDefault="003E78AB">
            <w:pPr>
              <w:spacing w:line="360" w:lineRule="exact"/>
              <w:ind w:firstLineChars="0" w:firstLine="0"/>
              <w:jc w:val="center"/>
              <w:rPr>
                <w:sz w:val="21"/>
                <w:szCs w:val="21"/>
              </w:rPr>
            </w:pPr>
          </w:p>
        </w:tc>
        <w:tc>
          <w:tcPr>
            <w:tcW w:w="473" w:type="pct"/>
            <w:vMerge/>
            <w:shd w:val="clear" w:color="auto" w:fill="auto"/>
            <w:vAlign w:val="center"/>
          </w:tcPr>
          <w:p w14:paraId="386DFFAD" w14:textId="77777777" w:rsidR="003E78AB" w:rsidRDefault="003E78AB">
            <w:pPr>
              <w:spacing w:line="360" w:lineRule="exact"/>
              <w:ind w:firstLineChars="0" w:firstLine="0"/>
              <w:jc w:val="center"/>
              <w:rPr>
                <w:sz w:val="21"/>
                <w:szCs w:val="21"/>
              </w:rPr>
            </w:pPr>
          </w:p>
        </w:tc>
        <w:tc>
          <w:tcPr>
            <w:tcW w:w="475" w:type="pct"/>
            <w:vMerge/>
            <w:shd w:val="clear" w:color="auto" w:fill="auto"/>
            <w:vAlign w:val="center"/>
          </w:tcPr>
          <w:p w14:paraId="6EF65F0B" w14:textId="77777777" w:rsidR="003E78AB" w:rsidRDefault="003E78AB">
            <w:pPr>
              <w:spacing w:line="360" w:lineRule="exact"/>
              <w:ind w:firstLineChars="0" w:firstLine="0"/>
              <w:jc w:val="center"/>
              <w:rPr>
                <w:sz w:val="21"/>
                <w:szCs w:val="21"/>
              </w:rPr>
            </w:pPr>
          </w:p>
        </w:tc>
        <w:tc>
          <w:tcPr>
            <w:tcW w:w="505" w:type="pct"/>
            <w:shd w:val="clear" w:color="auto" w:fill="auto"/>
            <w:vAlign w:val="center"/>
          </w:tcPr>
          <w:p w14:paraId="7CA928F8" w14:textId="77777777" w:rsidR="003E78AB" w:rsidRDefault="00010BF9">
            <w:pPr>
              <w:spacing w:line="360" w:lineRule="exact"/>
              <w:ind w:firstLineChars="0" w:firstLine="0"/>
              <w:jc w:val="center"/>
              <w:rPr>
                <w:sz w:val="21"/>
                <w:szCs w:val="21"/>
              </w:rPr>
            </w:pPr>
            <w:r>
              <w:rPr>
                <w:rFonts w:hint="eastAsia"/>
                <w:sz w:val="21"/>
                <w:szCs w:val="21"/>
              </w:rPr>
              <w:t>硫酸雾</w:t>
            </w:r>
          </w:p>
        </w:tc>
        <w:tc>
          <w:tcPr>
            <w:tcW w:w="441" w:type="pct"/>
            <w:shd w:val="clear" w:color="auto" w:fill="auto"/>
            <w:vAlign w:val="center"/>
          </w:tcPr>
          <w:p w14:paraId="0095BB97" w14:textId="77777777" w:rsidR="003E78AB" w:rsidRDefault="00010BF9">
            <w:pPr>
              <w:spacing w:line="360" w:lineRule="exact"/>
              <w:ind w:firstLineChars="0" w:firstLine="0"/>
              <w:jc w:val="center"/>
              <w:rPr>
                <w:sz w:val="21"/>
                <w:szCs w:val="21"/>
              </w:rPr>
            </w:pPr>
            <w:r>
              <w:rPr>
                <w:rFonts w:hint="eastAsia"/>
                <w:sz w:val="21"/>
                <w:szCs w:val="21"/>
              </w:rPr>
              <w:t>小时均</w:t>
            </w:r>
          </w:p>
        </w:tc>
        <w:tc>
          <w:tcPr>
            <w:tcW w:w="473" w:type="pct"/>
            <w:shd w:val="clear" w:color="auto" w:fill="auto"/>
            <w:vAlign w:val="center"/>
          </w:tcPr>
          <w:p w14:paraId="0B4A4F53" w14:textId="77777777" w:rsidR="003E78AB" w:rsidRDefault="00010BF9">
            <w:pPr>
              <w:spacing w:line="360" w:lineRule="exact"/>
              <w:ind w:firstLineChars="0" w:firstLine="0"/>
              <w:jc w:val="center"/>
              <w:rPr>
                <w:sz w:val="21"/>
                <w:szCs w:val="21"/>
              </w:rPr>
            </w:pPr>
            <w:r>
              <w:rPr>
                <w:rFonts w:hint="eastAsia"/>
                <w:sz w:val="21"/>
                <w:szCs w:val="21"/>
              </w:rPr>
              <w:t>300</w:t>
            </w:r>
          </w:p>
        </w:tc>
        <w:tc>
          <w:tcPr>
            <w:tcW w:w="681" w:type="pct"/>
            <w:shd w:val="clear" w:color="auto" w:fill="auto"/>
            <w:vAlign w:val="center"/>
          </w:tcPr>
          <w:p w14:paraId="3CD1D0DC" w14:textId="77777777" w:rsidR="003E78AB" w:rsidRDefault="00010BF9">
            <w:pPr>
              <w:spacing w:line="360" w:lineRule="exact"/>
              <w:ind w:firstLineChars="0" w:firstLine="0"/>
              <w:jc w:val="center"/>
              <w:rPr>
                <w:sz w:val="21"/>
                <w:szCs w:val="21"/>
              </w:rPr>
            </w:pPr>
            <w:r>
              <w:rPr>
                <w:rFonts w:hint="eastAsia"/>
                <w:sz w:val="21"/>
                <w:szCs w:val="21"/>
              </w:rPr>
              <w:t>未检出</w:t>
            </w:r>
          </w:p>
        </w:tc>
        <w:tc>
          <w:tcPr>
            <w:tcW w:w="633" w:type="pct"/>
            <w:shd w:val="clear" w:color="auto" w:fill="auto"/>
            <w:vAlign w:val="center"/>
          </w:tcPr>
          <w:p w14:paraId="5846659E" w14:textId="77777777" w:rsidR="003E78AB" w:rsidRDefault="00010BF9">
            <w:pPr>
              <w:spacing w:line="360" w:lineRule="exact"/>
              <w:ind w:firstLineChars="0" w:firstLine="0"/>
              <w:jc w:val="center"/>
              <w:rPr>
                <w:sz w:val="21"/>
                <w:szCs w:val="21"/>
              </w:rPr>
            </w:pPr>
            <w:r>
              <w:rPr>
                <w:rFonts w:hint="eastAsia"/>
                <w:sz w:val="21"/>
                <w:szCs w:val="21"/>
              </w:rPr>
              <w:t>/</w:t>
            </w:r>
          </w:p>
        </w:tc>
        <w:tc>
          <w:tcPr>
            <w:tcW w:w="485" w:type="pct"/>
            <w:shd w:val="clear" w:color="auto" w:fill="auto"/>
            <w:vAlign w:val="center"/>
          </w:tcPr>
          <w:p w14:paraId="1FB550E4" w14:textId="77777777" w:rsidR="003E78AB" w:rsidRDefault="00010BF9">
            <w:pPr>
              <w:spacing w:line="360" w:lineRule="exact"/>
              <w:ind w:firstLineChars="0" w:firstLine="0"/>
              <w:jc w:val="center"/>
              <w:rPr>
                <w:sz w:val="21"/>
                <w:szCs w:val="21"/>
              </w:rPr>
            </w:pPr>
            <w:r>
              <w:rPr>
                <w:kern w:val="2"/>
                <w:sz w:val="21"/>
                <w:szCs w:val="21"/>
              </w:rPr>
              <w:t>0</w:t>
            </w:r>
          </w:p>
        </w:tc>
        <w:tc>
          <w:tcPr>
            <w:tcW w:w="358" w:type="pct"/>
            <w:shd w:val="clear" w:color="auto" w:fill="auto"/>
            <w:vAlign w:val="center"/>
          </w:tcPr>
          <w:p w14:paraId="09ED034A" w14:textId="77777777" w:rsidR="003E78AB" w:rsidRDefault="00010BF9">
            <w:pPr>
              <w:spacing w:line="360" w:lineRule="exact"/>
              <w:ind w:firstLineChars="0" w:firstLine="0"/>
              <w:jc w:val="center"/>
              <w:rPr>
                <w:sz w:val="21"/>
                <w:szCs w:val="21"/>
              </w:rPr>
            </w:pPr>
            <w:r>
              <w:rPr>
                <w:sz w:val="21"/>
                <w:szCs w:val="21"/>
              </w:rPr>
              <w:t>达标</w:t>
            </w:r>
          </w:p>
        </w:tc>
      </w:tr>
    </w:tbl>
    <w:p w14:paraId="7C010F80" w14:textId="77777777" w:rsidR="003E78AB" w:rsidRDefault="00010BF9">
      <w:pPr>
        <w:ind w:firstLine="480"/>
      </w:pPr>
      <w:r>
        <w:t>评价结果表明：评价区域环境空气质量中</w:t>
      </w:r>
      <w:r>
        <w:t>TSP</w:t>
      </w:r>
      <w:r>
        <w:t>监测浓度符合《环境空气质量标准》（</w:t>
      </w:r>
      <w:r>
        <w:t>GB3095-2012</w:t>
      </w:r>
      <w:r>
        <w:t>）二级标准，</w:t>
      </w:r>
      <w:r>
        <w:rPr>
          <w:rFonts w:hint="eastAsia"/>
        </w:rPr>
        <w:t>TVOC</w:t>
      </w:r>
      <w:r>
        <w:rPr>
          <w:rFonts w:hint="eastAsia"/>
        </w:rPr>
        <w:t>和硫酸雾</w:t>
      </w:r>
      <w:r>
        <w:t>满足《环境影响评价技术导则</w:t>
      </w:r>
      <w:r>
        <w:rPr>
          <w:rFonts w:hint="eastAsia"/>
        </w:rPr>
        <w:t xml:space="preserve"> </w:t>
      </w:r>
      <w:r>
        <w:t>大气环境》（</w:t>
      </w:r>
      <w:r>
        <w:t>HJ2.2-2018</w:t>
      </w:r>
      <w:r>
        <w:t>）附录</w:t>
      </w:r>
      <w:r>
        <w:t>D</w:t>
      </w:r>
      <w:r>
        <w:t>的要求。</w:t>
      </w:r>
    </w:p>
    <w:p w14:paraId="4FBC8BE6"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4.3.2</w:t>
      </w:r>
      <w:r>
        <w:rPr>
          <w:rFonts w:cs="Times New Roman"/>
          <w:sz w:val="28"/>
          <w:szCs w:val="28"/>
        </w:rPr>
        <w:t>水环境质量现状调查及评价</w:t>
      </w:r>
    </w:p>
    <w:p w14:paraId="0F4FCDB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4.3.2.1</w:t>
      </w:r>
      <w:r>
        <w:rPr>
          <w:rFonts w:ascii="Times New Roman" w:hAnsi="Times New Roman"/>
        </w:rPr>
        <w:t>地表水质量现状</w:t>
      </w:r>
    </w:p>
    <w:p w14:paraId="03930906" w14:textId="77777777" w:rsidR="003E78AB" w:rsidRDefault="00010BF9">
      <w:pPr>
        <w:ind w:firstLine="480"/>
      </w:pPr>
      <w:r>
        <w:t>本项目地表水环境质量现状评价引用哈密市人民政府公开发布的</w:t>
      </w:r>
      <w:r>
        <w:t>202</w:t>
      </w:r>
      <w:r>
        <w:rPr>
          <w:rFonts w:hint="eastAsia"/>
        </w:rPr>
        <w:t>4</w:t>
      </w:r>
      <w:r>
        <w:t>年第</w:t>
      </w:r>
      <w:r>
        <w:rPr>
          <w:rFonts w:hint="eastAsia"/>
        </w:rPr>
        <w:t>二</w:t>
      </w:r>
      <w:r>
        <w:t>季度水环境质量状况公示，网址：</w:t>
      </w:r>
      <w:r>
        <w:t>https://www.hami.gov.cn/hami/c120105/202407/86b84d7a224547679691f54500696253.shtml</w:t>
      </w:r>
      <w:r>
        <w:t>，截图见</w:t>
      </w:r>
      <w:r>
        <w:rPr>
          <w:rFonts w:hint="eastAsia"/>
        </w:rPr>
        <w:t>下图</w:t>
      </w:r>
      <w:r>
        <w:t>。</w:t>
      </w:r>
    </w:p>
    <w:p w14:paraId="3ACDD91D" w14:textId="77777777" w:rsidR="003E78AB" w:rsidRDefault="00010BF9">
      <w:pPr>
        <w:spacing w:line="240" w:lineRule="auto"/>
        <w:ind w:firstLineChars="0" w:firstLine="0"/>
        <w:jc w:val="center"/>
        <w:rPr>
          <w:rFonts w:eastAsia="黑体"/>
          <w:kern w:val="2"/>
          <w:sz w:val="21"/>
          <w:szCs w:val="21"/>
        </w:rPr>
      </w:pPr>
      <w:r>
        <w:rPr>
          <w:noProof/>
        </w:rPr>
        <w:drawing>
          <wp:inline distT="0" distB="0" distL="114300" distR="114300">
            <wp:extent cx="5267325" cy="7265670"/>
            <wp:effectExtent l="9525" t="9525" r="19050" b="2095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42"/>
                    <a:stretch>
                      <a:fillRect/>
                    </a:stretch>
                  </pic:blipFill>
                  <pic:spPr>
                    <a:xfrm>
                      <a:off x="0" y="0"/>
                      <a:ext cx="5267325" cy="7265670"/>
                    </a:xfrm>
                    <a:prstGeom prst="rect">
                      <a:avLst/>
                    </a:prstGeom>
                    <a:noFill/>
                    <a:ln>
                      <a:solidFill>
                        <a:schemeClr val="tx1"/>
                      </a:solidFill>
                    </a:ln>
                  </pic:spPr>
                </pic:pic>
              </a:graphicData>
            </a:graphic>
          </wp:inline>
        </w:drawing>
      </w:r>
      <w:r>
        <w:rPr>
          <w:rFonts w:eastAsia="黑体"/>
          <w:kern w:val="2"/>
          <w:sz w:val="21"/>
          <w:szCs w:val="21"/>
        </w:rPr>
        <w:t>图</w:t>
      </w:r>
      <w:r>
        <w:rPr>
          <w:rFonts w:eastAsia="黑体"/>
          <w:kern w:val="2"/>
          <w:sz w:val="21"/>
          <w:szCs w:val="21"/>
        </w:rPr>
        <w:t>3.4-2</w:t>
      </w:r>
      <w:r>
        <w:rPr>
          <w:rFonts w:eastAsia="黑体"/>
          <w:kern w:val="2"/>
          <w:sz w:val="21"/>
          <w:szCs w:val="21"/>
        </w:rPr>
        <w:t>地表水质量现状截图</w:t>
      </w:r>
    </w:p>
    <w:p w14:paraId="060EEE47" w14:textId="77777777" w:rsidR="003E78AB" w:rsidRDefault="00010BF9">
      <w:pPr>
        <w:ind w:firstLine="480"/>
      </w:pPr>
      <w:r>
        <w:t>根据公示内容，项目周边主要石城子河</w:t>
      </w:r>
      <w:r>
        <w:rPr>
          <w:rFonts w:hint="eastAsia"/>
        </w:rPr>
        <w:t>（</w:t>
      </w:r>
      <w:r>
        <w:rPr>
          <w:rFonts w:hint="eastAsia"/>
          <w:bCs/>
        </w:rPr>
        <w:t>位于本项目北侧</w:t>
      </w:r>
      <w:r>
        <w:rPr>
          <w:rFonts w:hint="eastAsia"/>
          <w:bCs/>
        </w:rPr>
        <w:t>23.3km</w:t>
      </w:r>
      <w:r>
        <w:rPr>
          <w:rFonts w:hint="eastAsia"/>
        </w:rPr>
        <w:t>）</w:t>
      </w:r>
      <w:r>
        <w:t>的监测断面水质满足《地表水环境质量标准》（</w:t>
      </w:r>
      <w:r>
        <w:t>GB3838-2002</w:t>
      </w:r>
      <w:r>
        <w:t>）中</w:t>
      </w:r>
      <w:r>
        <w:t>Ⅰ</w:t>
      </w:r>
      <w:r>
        <w:t>类标准要求，区域地表水环境质量良好。</w:t>
      </w:r>
    </w:p>
    <w:p w14:paraId="05D7CAE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4.3.2.2</w:t>
      </w:r>
      <w:r>
        <w:rPr>
          <w:rFonts w:ascii="Times New Roman" w:hAnsi="Times New Roman"/>
        </w:rPr>
        <w:t>地下水质量现状</w:t>
      </w:r>
    </w:p>
    <w:p w14:paraId="428EA5E0" w14:textId="77777777" w:rsidR="003E78AB" w:rsidRDefault="00010BF9">
      <w:pPr>
        <w:ind w:firstLine="480"/>
      </w:pPr>
      <w:r>
        <w:t>（</w:t>
      </w:r>
      <w:r>
        <w:t>1</w:t>
      </w:r>
      <w:r>
        <w:t>）地下水监测点位</w:t>
      </w:r>
    </w:p>
    <w:p w14:paraId="757E6C8C" w14:textId="77777777" w:rsidR="003E78AB" w:rsidRDefault="00010BF9">
      <w:pPr>
        <w:ind w:firstLine="480"/>
      </w:pPr>
      <w:r>
        <w:t>项目所在区域内地下水流向为</w:t>
      </w:r>
      <w:r>
        <w:t>N20°E</w:t>
      </w:r>
      <w:r>
        <w:t>方向向</w:t>
      </w:r>
      <w:r>
        <w:t>S</w:t>
      </w:r>
      <w:r>
        <w:t>20°W</w:t>
      </w:r>
      <w:r>
        <w:t>流动，根据监测点与区域地下水流场关系，本次评价引用及补充的监测点位在地下水流场中的上游方向、两侧方向及下游以及厂区均有分布，基本可以满足地下水导则中的原则性要求，监测点位位置布设基本合理。</w:t>
      </w:r>
    </w:p>
    <w:p w14:paraId="0E171F76" w14:textId="77777777" w:rsidR="003E78AB" w:rsidRDefault="00010BF9">
      <w:pPr>
        <w:ind w:firstLine="480"/>
        <w:rPr>
          <w:bCs/>
        </w:rPr>
      </w:pPr>
      <w:r>
        <w:rPr>
          <w:rFonts w:hint="eastAsia"/>
          <w:bCs/>
        </w:rPr>
        <w:t>W1</w:t>
      </w:r>
      <w:r>
        <w:rPr>
          <w:rFonts w:hint="eastAsia"/>
          <w:bCs/>
        </w:rPr>
        <w:t>上游点、</w:t>
      </w:r>
      <w:r>
        <w:rPr>
          <w:rFonts w:hint="eastAsia"/>
          <w:bCs/>
        </w:rPr>
        <w:t>W3</w:t>
      </w:r>
      <w:r>
        <w:rPr>
          <w:rFonts w:hint="eastAsia"/>
          <w:bCs/>
        </w:rPr>
        <w:t>侧游点引用：《新疆曌唐化学有限公司年产</w:t>
      </w:r>
      <w:r>
        <w:rPr>
          <w:rFonts w:hint="eastAsia"/>
          <w:bCs/>
        </w:rPr>
        <w:t>2</w:t>
      </w:r>
      <w:r>
        <w:rPr>
          <w:rFonts w:hint="eastAsia"/>
          <w:bCs/>
        </w:rPr>
        <w:t>万吨盐酸二甲双胍原料药及年产</w:t>
      </w:r>
      <w:r>
        <w:rPr>
          <w:rFonts w:hint="eastAsia"/>
          <w:bCs/>
        </w:rPr>
        <w:t>200</w:t>
      </w:r>
      <w:r>
        <w:rPr>
          <w:rFonts w:hint="eastAsia"/>
          <w:bCs/>
        </w:rPr>
        <w:t>亿片盐酸二甲双胍片和年产</w:t>
      </w:r>
      <w:r>
        <w:rPr>
          <w:rFonts w:hint="eastAsia"/>
          <w:bCs/>
        </w:rPr>
        <w:t>2500</w:t>
      </w:r>
      <w:r>
        <w:rPr>
          <w:rFonts w:hint="eastAsia"/>
          <w:bCs/>
        </w:rPr>
        <w:t>吨盐酸胍生产线项目》</w:t>
      </w:r>
      <w:r>
        <w:rPr>
          <w:rFonts w:hint="eastAsia"/>
          <w:bCs/>
        </w:rPr>
        <w:t>2</w:t>
      </w:r>
      <w:r>
        <w:rPr>
          <w:rFonts w:hint="eastAsia"/>
          <w:bCs/>
        </w:rPr>
        <w:t>个点位：</w:t>
      </w:r>
      <w:r>
        <w:rPr>
          <w:rFonts w:hAnsi="宋体"/>
        </w:rPr>
        <w:t>K</w:t>
      </w:r>
      <w:r>
        <w:rPr>
          <w:rFonts w:hAnsi="宋体"/>
          <w:vertAlign w:val="superscript"/>
        </w:rPr>
        <w:t>+</w:t>
      </w:r>
      <w:r>
        <w:rPr>
          <w:rFonts w:hAnsi="宋体" w:hint="eastAsia"/>
        </w:rPr>
        <w:t>、</w:t>
      </w:r>
      <w:r>
        <w:rPr>
          <w:rFonts w:hAnsi="宋体"/>
        </w:rPr>
        <w:t>Na</w:t>
      </w:r>
      <w:r>
        <w:rPr>
          <w:rFonts w:hAnsi="宋体"/>
          <w:vertAlign w:val="superscript"/>
        </w:rPr>
        <w:t>+</w:t>
      </w:r>
      <w:r>
        <w:rPr>
          <w:rFonts w:hAnsi="宋体" w:hint="eastAsia"/>
        </w:rPr>
        <w:t>、</w:t>
      </w:r>
      <w:r>
        <w:rPr>
          <w:rFonts w:hAnsi="宋体"/>
        </w:rPr>
        <w:t>Ca</w:t>
      </w:r>
      <w:r>
        <w:rPr>
          <w:rFonts w:hAnsi="宋体"/>
          <w:vertAlign w:val="superscript"/>
        </w:rPr>
        <w:t>2+</w:t>
      </w:r>
      <w:r>
        <w:rPr>
          <w:rFonts w:hAnsi="宋体" w:hint="eastAsia"/>
        </w:rPr>
        <w:t>、</w:t>
      </w:r>
      <w:r>
        <w:rPr>
          <w:rFonts w:hAnsi="宋体"/>
        </w:rPr>
        <w:t>Mg</w:t>
      </w:r>
      <w:r>
        <w:rPr>
          <w:rFonts w:hAnsi="宋体"/>
          <w:vertAlign w:val="superscript"/>
        </w:rPr>
        <w:t>2+</w:t>
      </w:r>
      <w:r>
        <w:rPr>
          <w:rFonts w:hAnsi="宋体" w:hint="eastAsia"/>
        </w:rPr>
        <w:t>、</w:t>
      </w:r>
      <w:r>
        <w:rPr>
          <w:rFonts w:hAnsi="宋体"/>
        </w:rPr>
        <w:t>CO</w:t>
      </w:r>
      <w:r>
        <w:rPr>
          <w:rFonts w:hAnsi="宋体"/>
          <w:vertAlign w:val="subscript"/>
        </w:rPr>
        <w:t>3</w:t>
      </w:r>
      <w:r>
        <w:rPr>
          <w:rFonts w:hAnsi="宋体"/>
          <w:vertAlign w:val="superscript"/>
        </w:rPr>
        <w:t>2-</w:t>
      </w:r>
      <w:r>
        <w:rPr>
          <w:rFonts w:hAnsi="宋体" w:hint="eastAsia"/>
        </w:rPr>
        <w:t>、</w:t>
      </w:r>
      <w:r>
        <w:rPr>
          <w:rFonts w:hAnsi="宋体"/>
        </w:rPr>
        <w:t>HCO</w:t>
      </w:r>
      <w:r>
        <w:rPr>
          <w:rFonts w:hAnsi="宋体"/>
          <w:vertAlign w:val="subscript"/>
        </w:rPr>
        <w:t>3</w:t>
      </w:r>
      <w:r>
        <w:rPr>
          <w:rFonts w:hAnsi="宋体"/>
          <w:vertAlign w:val="superscript"/>
        </w:rPr>
        <w:t>-</w:t>
      </w:r>
      <w:r>
        <w:rPr>
          <w:rFonts w:hAnsi="宋体" w:hint="eastAsia"/>
        </w:rPr>
        <w:t>、</w:t>
      </w:r>
      <w:r>
        <w:rPr>
          <w:rFonts w:hAnsi="宋体"/>
        </w:rPr>
        <w:t>Cl</w:t>
      </w:r>
      <w:r>
        <w:rPr>
          <w:rFonts w:hAnsi="宋体"/>
          <w:vertAlign w:val="superscript"/>
        </w:rPr>
        <w:t>-</w:t>
      </w:r>
      <w:r>
        <w:rPr>
          <w:rFonts w:hAnsi="宋体" w:hint="eastAsia"/>
        </w:rPr>
        <w:t>、</w:t>
      </w:r>
      <w:r>
        <w:rPr>
          <w:rFonts w:hAnsi="宋体"/>
        </w:rPr>
        <w:t>SO</w:t>
      </w:r>
      <w:r>
        <w:rPr>
          <w:rFonts w:hAnsi="宋体"/>
          <w:vertAlign w:val="subscript"/>
        </w:rPr>
        <w:t>4</w:t>
      </w:r>
      <w:r>
        <w:rPr>
          <w:rFonts w:hAnsi="宋体"/>
          <w:vertAlign w:val="superscript"/>
        </w:rPr>
        <w:t>2-</w:t>
      </w:r>
      <w:r>
        <w:rPr>
          <w:rFonts w:hAnsi="宋体" w:hint="eastAsia"/>
        </w:rPr>
        <w:t>；总硬度、耗氧量、溶解性总固体、铁、锰、铜、锌、挥发酚、阴离子表面活性剂、硝酸盐、亚硝酸盐、氨氮、硫化物、氟化物、氰化物、汞、砷、镉、六价</w:t>
      </w:r>
      <w:r>
        <w:rPr>
          <w:rFonts w:hint="eastAsia"/>
          <w:bCs/>
        </w:rPr>
        <w:t>铬、铅、总大肠菌群；其中</w:t>
      </w:r>
      <w:r>
        <w:rPr>
          <w:rFonts w:hint="eastAsia"/>
          <w:bCs/>
        </w:rPr>
        <w:t>W1</w:t>
      </w:r>
      <w:r>
        <w:rPr>
          <w:rFonts w:hint="eastAsia"/>
          <w:bCs/>
        </w:rPr>
        <w:t>和</w:t>
      </w:r>
      <w:r>
        <w:rPr>
          <w:rFonts w:hint="eastAsia"/>
          <w:bCs/>
        </w:rPr>
        <w:t>W3</w:t>
      </w:r>
      <w:r>
        <w:rPr>
          <w:rFonts w:hint="eastAsia"/>
          <w:bCs/>
        </w:rPr>
        <w:t>为新疆曌唐</w:t>
      </w:r>
      <w:r>
        <w:rPr>
          <w:rFonts w:hint="eastAsia"/>
        </w:rPr>
        <w:t>委托新疆新环监测检测研究院（有限公司）于</w:t>
      </w:r>
      <w:r>
        <w:rPr>
          <w:rFonts w:hint="eastAsia"/>
        </w:rPr>
        <w:t>2024</w:t>
      </w:r>
      <w:r>
        <w:rPr>
          <w:rFonts w:hint="eastAsia"/>
        </w:rPr>
        <w:t>年</w:t>
      </w:r>
      <w:r>
        <w:rPr>
          <w:rFonts w:hint="eastAsia"/>
        </w:rPr>
        <w:t>1</w:t>
      </w:r>
      <w:r>
        <w:rPr>
          <w:rFonts w:hint="eastAsia"/>
        </w:rPr>
        <w:t>月</w:t>
      </w:r>
      <w:r>
        <w:rPr>
          <w:rFonts w:hint="eastAsia"/>
        </w:rPr>
        <w:t>29</w:t>
      </w:r>
      <w:r>
        <w:rPr>
          <w:rFonts w:hint="eastAsia"/>
        </w:rPr>
        <w:t>日监测</w:t>
      </w:r>
      <w:r>
        <w:rPr>
          <w:rFonts w:hint="eastAsia"/>
          <w:bCs/>
        </w:rPr>
        <w:t>。</w:t>
      </w:r>
    </w:p>
    <w:p w14:paraId="281EBB39" w14:textId="77777777" w:rsidR="003E78AB" w:rsidRDefault="00010BF9">
      <w:pPr>
        <w:ind w:firstLine="480"/>
      </w:pPr>
      <w:r>
        <w:rPr>
          <w:rFonts w:hint="eastAsia"/>
        </w:rPr>
        <w:t>W2</w:t>
      </w:r>
      <w:r>
        <w:rPr>
          <w:rFonts w:hint="eastAsia"/>
        </w:rPr>
        <w:t>侧游点、</w:t>
      </w:r>
      <w:r>
        <w:rPr>
          <w:rFonts w:hint="eastAsia"/>
        </w:rPr>
        <w:t>W4</w:t>
      </w:r>
      <w:r>
        <w:rPr>
          <w:rFonts w:hint="eastAsia"/>
        </w:rPr>
        <w:t>下游点、</w:t>
      </w:r>
      <w:r>
        <w:rPr>
          <w:rFonts w:hint="eastAsia"/>
        </w:rPr>
        <w:t>W5</w:t>
      </w:r>
      <w:r>
        <w:rPr>
          <w:rFonts w:hint="eastAsia"/>
        </w:rPr>
        <w:t>下游点引用《新疆金盛镁业有限公司镁合金产业循环经济建设技改提升项目环境影响报告书》</w:t>
      </w:r>
      <w:r>
        <w:rPr>
          <w:rFonts w:hint="eastAsia"/>
        </w:rPr>
        <w:t>3</w:t>
      </w:r>
      <w:r>
        <w:rPr>
          <w:rFonts w:hint="eastAsia"/>
        </w:rPr>
        <w:t>个点位：</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rPr>
          <w:rFonts w:hint="eastAsia"/>
        </w:rPr>
        <w:t>；氨氮、硝酸盐、亚硝酸盐、挥发性酚类、氰化物、砷、汞、铬（六价）、</w:t>
      </w:r>
      <w:r>
        <w:rPr>
          <w:rFonts w:hint="eastAsia"/>
        </w:rPr>
        <w:t>总硬度、铅、镉、氟、铁、锰、溶解性总固体、耗氧量、</w:t>
      </w:r>
      <w:r>
        <w:t>铜、锌、阴离子表面活性剂、硫化物、总大肠菌群于</w:t>
      </w:r>
      <w:r>
        <w:t>2024</w:t>
      </w:r>
      <w:r>
        <w:t>年</w:t>
      </w:r>
      <w:r>
        <w:t>12</w:t>
      </w:r>
      <w:r>
        <w:t>月</w:t>
      </w:r>
      <w:r>
        <w:t>18</w:t>
      </w:r>
      <w:r>
        <w:t>日委托新疆齐新环境服务有限公司监测</w:t>
      </w:r>
      <w:r>
        <w:rPr>
          <w:rFonts w:hint="eastAsia"/>
        </w:rPr>
        <w:t>。</w:t>
      </w:r>
    </w:p>
    <w:p w14:paraId="3E014CE1" w14:textId="77777777" w:rsidR="003E78AB" w:rsidRDefault="00010BF9">
      <w:pPr>
        <w:ind w:firstLine="480"/>
        <w:rPr>
          <w:bCs/>
        </w:rPr>
      </w:pPr>
      <w:r>
        <w:rPr>
          <w:rFonts w:hint="eastAsia"/>
          <w:bCs/>
        </w:rPr>
        <w:t>W6~W10</w:t>
      </w:r>
      <w:r>
        <w:rPr>
          <w:rFonts w:hint="eastAsia"/>
          <w:bCs/>
        </w:rPr>
        <w:t>：引用《新疆金盛镁业有限公司镁合金产业循环经济建设技改提升项目环境影响报告书》（监测日期</w:t>
      </w:r>
      <w:r>
        <w:rPr>
          <w:rFonts w:hint="eastAsia"/>
          <w:bCs/>
          <w:kern w:val="2"/>
        </w:rPr>
        <w:t>2024</w:t>
      </w:r>
      <w:r>
        <w:rPr>
          <w:rFonts w:hint="eastAsia"/>
          <w:bCs/>
          <w:kern w:val="2"/>
        </w:rPr>
        <w:t>年</w:t>
      </w:r>
      <w:r>
        <w:rPr>
          <w:rFonts w:hint="eastAsia"/>
          <w:bCs/>
          <w:kern w:val="2"/>
        </w:rPr>
        <w:t>12</w:t>
      </w:r>
      <w:r>
        <w:rPr>
          <w:rFonts w:hint="eastAsia"/>
          <w:bCs/>
          <w:kern w:val="2"/>
        </w:rPr>
        <w:t>月</w:t>
      </w:r>
      <w:r>
        <w:rPr>
          <w:rFonts w:hint="eastAsia"/>
          <w:bCs/>
          <w:kern w:val="2"/>
        </w:rPr>
        <w:t>18</w:t>
      </w:r>
      <w:r>
        <w:rPr>
          <w:rFonts w:hint="eastAsia"/>
          <w:bCs/>
          <w:kern w:val="2"/>
        </w:rPr>
        <w:t>日</w:t>
      </w:r>
      <w:r>
        <w:rPr>
          <w:rFonts w:hint="eastAsia"/>
          <w:bCs/>
        </w:rPr>
        <w:t>）其中的</w:t>
      </w:r>
      <w:r>
        <w:rPr>
          <w:rFonts w:hint="eastAsia"/>
          <w:bCs/>
        </w:rPr>
        <w:t>5</w:t>
      </w:r>
      <w:r>
        <w:rPr>
          <w:rFonts w:hint="eastAsia"/>
          <w:bCs/>
        </w:rPr>
        <w:t>个埋深和水位数据。</w:t>
      </w:r>
    </w:p>
    <w:p w14:paraId="52EF1F0A" w14:textId="77777777" w:rsidR="003E78AB" w:rsidRDefault="00010BF9">
      <w:pPr>
        <w:ind w:firstLine="480"/>
        <w:rPr>
          <w:rFonts w:eastAsia="黑体"/>
          <w:kern w:val="2"/>
          <w:sz w:val="21"/>
          <w:szCs w:val="21"/>
        </w:rPr>
      </w:pPr>
      <w:r>
        <w:t>W</w:t>
      </w:r>
      <w:r>
        <w:rPr>
          <w:rFonts w:hint="eastAsia"/>
        </w:rPr>
        <w:t>1~</w:t>
      </w:r>
      <w:r>
        <w:t>W5</w:t>
      </w:r>
      <w:r>
        <w:rPr>
          <w:rFonts w:hint="eastAsia"/>
        </w:rPr>
        <w:t>五</w:t>
      </w:r>
      <w:r>
        <w:t>个监测点</w:t>
      </w:r>
      <w:r>
        <w:rPr>
          <w:rFonts w:hint="eastAsia"/>
        </w:rPr>
        <w:t>的</w:t>
      </w:r>
      <w:r>
        <w:rPr>
          <w:rFonts w:hint="eastAsia"/>
        </w:rPr>
        <w:t>pH</w:t>
      </w:r>
      <w:r>
        <w:rPr>
          <w:rFonts w:hint="eastAsia"/>
        </w:rPr>
        <w:t>、总磷、钒因子和</w:t>
      </w:r>
      <w:r>
        <w:rPr>
          <w:rFonts w:hint="eastAsia"/>
        </w:rPr>
        <w:t>W5</w:t>
      </w:r>
      <w:r>
        <w:rPr>
          <w:rFonts w:hint="eastAsia"/>
        </w:rPr>
        <w:t>的基本因子</w:t>
      </w:r>
      <w:r>
        <w:t>由本次评价委托</w:t>
      </w:r>
      <w:r>
        <w:rPr>
          <w:rFonts w:hint="eastAsia"/>
        </w:rPr>
        <w:t>新疆锡水金山环境科技有限公司</w:t>
      </w:r>
      <w:r>
        <w:t>于</w:t>
      </w:r>
      <w:r>
        <w:t>202</w:t>
      </w:r>
      <w:r>
        <w:rPr>
          <w:rFonts w:hint="eastAsia"/>
        </w:rPr>
        <w:t>5</w:t>
      </w:r>
      <w:r>
        <w:t>年</w:t>
      </w:r>
      <w:r>
        <w:rPr>
          <w:rFonts w:hint="eastAsia"/>
        </w:rPr>
        <w:t>5</w:t>
      </w:r>
      <w:r>
        <w:t>月</w:t>
      </w:r>
      <w:r>
        <w:t>29</w:t>
      </w:r>
      <w:r>
        <w:t>日补充监测。地下水监测点位布设情况见表</w:t>
      </w:r>
      <w:r>
        <w:t>4</w:t>
      </w:r>
      <w:r>
        <w:rPr>
          <w:rFonts w:hint="eastAsia"/>
        </w:rPr>
        <w:t>-8</w:t>
      </w:r>
      <w:r>
        <w:t>，分布位置见</w:t>
      </w:r>
      <w:r>
        <w:rPr>
          <w:rFonts w:hint="eastAsia"/>
        </w:rPr>
        <w:t>附图</w:t>
      </w:r>
      <w:r>
        <w:rPr>
          <w:rFonts w:hint="eastAsia"/>
        </w:rPr>
        <w:t>8</w:t>
      </w:r>
      <w:r>
        <w:t>。</w:t>
      </w:r>
    </w:p>
    <w:p w14:paraId="3A86B187" w14:textId="77777777" w:rsidR="003E78AB" w:rsidRDefault="00010BF9">
      <w:pPr>
        <w:pStyle w:val="a0"/>
        <w:ind w:left="425" w:hanging="425"/>
        <w:rPr>
          <w:rFonts w:hint="default"/>
        </w:rPr>
      </w:pPr>
      <w:r>
        <w:rPr>
          <w:rFonts w:hint="default"/>
        </w:rPr>
        <w:t>地下水质量现状监测点概</w:t>
      </w:r>
      <w:r>
        <w:rPr>
          <w:rFonts w:hint="default"/>
        </w:rPr>
        <w:t>况一览表</w:t>
      </w:r>
    </w:p>
    <w:tbl>
      <w:tblPr>
        <w:tblW w:w="4998" w:type="pct"/>
        <w:tblBorders>
          <w:top w:val="single" w:sz="12" w:space="0" w:color="auto"/>
          <w:bottom w:val="single" w:sz="12" w:space="0" w:color="auto"/>
        </w:tblBorders>
        <w:tblLayout w:type="fixed"/>
        <w:tblLook w:val="04A0" w:firstRow="1" w:lastRow="0" w:firstColumn="1" w:lastColumn="0" w:noHBand="0" w:noVBand="1"/>
      </w:tblPr>
      <w:tblGrid>
        <w:gridCol w:w="557"/>
        <w:gridCol w:w="1687"/>
        <w:gridCol w:w="787"/>
        <w:gridCol w:w="976"/>
        <w:gridCol w:w="1806"/>
        <w:gridCol w:w="2058"/>
        <w:gridCol w:w="642"/>
      </w:tblGrid>
      <w:tr w:rsidR="003E78AB" w14:paraId="0A0BCB7A" w14:textId="77777777">
        <w:trPr>
          <w:trHeight w:val="340"/>
        </w:trPr>
        <w:tc>
          <w:tcPr>
            <w:tcW w:w="327" w:type="pct"/>
            <w:tcBorders>
              <w:top w:val="single" w:sz="4" w:space="0" w:color="auto"/>
              <w:left w:val="single" w:sz="4" w:space="0" w:color="auto"/>
              <w:bottom w:val="single" w:sz="4" w:space="0" w:color="auto"/>
              <w:right w:val="single" w:sz="4" w:space="0" w:color="auto"/>
              <w:tl2br w:val="nil"/>
              <w:tr2bl w:val="nil"/>
            </w:tcBorders>
            <w:vAlign w:val="center"/>
          </w:tcPr>
          <w:p w14:paraId="5C555B49"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编号</w:t>
            </w:r>
          </w:p>
        </w:tc>
        <w:tc>
          <w:tcPr>
            <w:tcW w:w="990" w:type="pct"/>
            <w:tcBorders>
              <w:top w:val="single" w:sz="4" w:space="0" w:color="auto"/>
              <w:left w:val="single" w:sz="4" w:space="0" w:color="auto"/>
              <w:bottom w:val="single" w:sz="4" w:space="0" w:color="auto"/>
              <w:right w:val="single" w:sz="4" w:space="0" w:color="auto"/>
              <w:tl2br w:val="nil"/>
              <w:tr2bl w:val="nil"/>
            </w:tcBorders>
            <w:vAlign w:val="center"/>
          </w:tcPr>
          <w:p w14:paraId="519BF827"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地理坐标</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678BDAF0"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方位</w:t>
            </w:r>
          </w:p>
        </w:tc>
        <w:tc>
          <w:tcPr>
            <w:tcW w:w="573" w:type="pct"/>
            <w:tcBorders>
              <w:top w:val="single" w:sz="4" w:space="0" w:color="auto"/>
              <w:left w:val="single" w:sz="4" w:space="0" w:color="auto"/>
              <w:bottom w:val="single" w:sz="4" w:space="0" w:color="auto"/>
              <w:right w:val="single" w:sz="4" w:space="0" w:color="auto"/>
              <w:tl2br w:val="nil"/>
              <w:tr2bl w:val="nil"/>
            </w:tcBorders>
            <w:vAlign w:val="center"/>
          </w:tcPr>
          <w:p w14:paraId="7B5B232B" w14:textId="77777777" w:rsidR="003E78AB" w:rsidRDefault="00010BF9">
            <w:pPr>
              <w:spacing w:line="360" w:lineRule="exact"/>
              <w:ind w:firstLineChars="0" w:firstLine="0"/>
              <w:jc w:val="center"/>
              <w:rPr>
                <w:b/>
                <w:bCs/>
                <w:kern w:val="2"/>
                <w:sz w:val="21"/>
                <w:szCs w:val="21"/>
                <w:lang w:bidi="zh-CN"/>
              </w:rPr>
            </w:pPr>
            <w:r>
              <w:rPr>
                <w:rFonts w:hint="eastAsia"/>
                <w:b/>
                <w:bCs/>
                <w:kern w:val="2"/>
                <w:sz w:val="21"/>
                <w:szCs w:val="21"/>
                <w:lang w:bidi="zh-CN"/>
              </w:rPr>
              <w:t>距离（</w:t>
            </w:r>
            <w:r>
              <w:rPr>
                <w:rFonts w:hint="eastAsia"/>
                <w:b/>
                <w:bCs/>
                <w:kern w:val="2"/>
                <w:sz w:val="21"/>
                <w:szCs w:val="21"/>
                <w:lang w:bidi="zh-CN"/>
              </w:rPr>
              <w:t>km</w:t>
            </w:r>
            <w:r>
              <w:rPr>
                <w:rFonts w:hint="eastAsia"/>
                <w:b/>
                <w:bCs/>
                <w:kern w:val="2"/>
                <w:sz w:val="21"/>
                <w:szCs w:val="21"/>
                <w:lang w:bidi="zh-CN"/>
              </w:rPr>
              <w:t>）</w:t>
            </w:r>
          </w:p>
        </w:tc>
        <w:tc>
          <w:tcPr>
            <w:tcW w:w="1060" w:type="pct"/>
            <w:tcBorders>
              <w:top w:val="single" w:sz="4" w:space="0" w:color="auto"/>
              <w:left w:val="single" w:sz="4" w:space="0" w:color="auto"/>
              <w:bottom w:val="single" w:sz="4" w:space="0" w:color="auto"/>
              <w:right w:val="single" w:sz="4" w:space="0" w:color="auto"/>
              <w:tl2br w:val="nil"/>
              <w:tr2bl w:val="nil"/>
            </w:tcBorders>
            <w:vAlign w:val="center"/>
          </w:tcPr>
          <w:p w14:paraId="72611DBB"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区域内地下水流场中位置关系</w:t>
            </w:r>
          </w:p>
        </w:tc>
        <w:tc>
          <w:tcPr>
            <w:tcW w:w="1208" w:type="pct"/>
            <w:tcBorders>
              <w:top w:val="single" w:sz="4" w:space="0" w:color="auto"/>
              <w:left w:val="single" w:sz="4" w:space="0" w:color="auto"/>
              <w:bottom w:val="single" w:sz="4" w:space="0" w:color="auto"/>
              <w:right w:val="single" w:sz="4" w:space="0" w:color="auto"/>
              <w:tl2br w:val="nil"/>
              <w:tr2bl w:val="nil"/>
            </w:tcBorders>
            <w:vAlign w:val="center"/>
          </w:tcPr>
          <w:p w14:paraId="12BE8B8B"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层位</w:t>
            </w:r>
          </w:p>
        </w:tc>
        <w:tc>
          <w:tcPr>
            <w:tcW w:w="377" w:type="pct"/>
            <w:tcBorders>
              <w:top w:val="single" w:sz="4" w:space="0" w:color="auto"/>
              <w:left w:val="single" w:sz="4" w:space="0" w:color="auto"/>
              <w:bottom w:val="single" w:sz="4" w:space="0" w:color="auto"/>
              <w:right w:val="single" w:sz="4" w:space="0" w:color="auto"/>
              <w:tl2br w:val="nil"/>
              <w:tr2bl w:val="nil"/>
            </w:tcBorders>
            <w:vAlign w:val="center"/>
          </w:tcPr>
          <w:p w14:paraId="32FC09AC"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水位</w:t>
            </w:r>
          </w:p>
        </w:tc>
      </w:tr>
      <w:tr w:rsidR="003E78AB" w14:paraId="0CB1B8A5" w14:textId="77777777">
        <w:trPr>
          <w:trHeight w:val="340"/>
        </w:trPr>
        <w:tc>
          <w:tcPr>
            <w:tcW w:w="327" w:type="pct"/>
            <w:tcBorders>
              <w:top w:val="single" w:sz="4" w:space="0" w:color="auto"/>
              <w:left w:val="single" w:sz="4" w:space="0" w:color="auto"/>
              <w:bottom w:val="single" w:sz="4" w:space="0" w:color="auto"/>
              <w:right w:val="single" w:sz="4" w:space="0" w:color="auto"/>
              <w:tl2br w:val="nil"/>
              <w:tr2bl w:val="nil"/>
            </w:tcBorders>
            <w:vAlign w:val="center"/>
          </w:tcPr>
          <w:p w14:paraId="0189BF72"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W1</w:t>
            </w:r>
          </w:p>
        </w:tc>
        <w:tc>
          <w:tcPr>
            <w:tcW w:w="990" w:type="pct"/>
            <w:tcBorders>
              <w:top w:val="single" w:sz="4" w:space="0" w:color="auto"/>
              <w:left w:val="single" w:sz="4" w:space="0" w:color="auto"/>
              <w:bottom w:val="single" w:sz="4" w:space="0" w:color="auto"/>
              <w:right w:val="single" w:sz="4" w:space="0" w:color="auto"/>
              <w:tl2br w:val="nil"/>
              <w:tr2bl w:val="nil"/>
            </w:tcBorders>
            <w:vAlign w:val="center"/>
          </w:tcPr>
          <w:p w14:paraId="1C822DC4"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E:</w:t>
            </w:r>
            <w:r>
              <w:rPr>
                <w:kern w:val="2"/>
                <w:sz w:val="21"/>
                <w:szCs w:val="21"/>
                <w:lang w:val="zh-CN" w:bidi="zh-CN"/>
              </w:rPr>
              <w:t>93°28′14″</w:t>
            </w:r>
          </w:p>
          <w:p w14:paraId="49227845"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N:</w:t>
            </w:r>
            <w:r>
              <w:rPr>
                <w:kern w:val="2"/>
                <w:sz w:val="21"/>
                <w:szCs w:val="21"/>
                <w:lang w:val="zh-CN" w:bidi="zh-CN"/>
              </w:rPr>
              <w:t>42°43′29″</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4A6CB9A8"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NE</w:t>
            </w:r>
          </w:p>
        </w:tc>
        <w:tc>
          <w:tcPr>
            <w:tcW w:w="573" w:type="pct"/>
            <w:tcBorders>
              <w:top w:val="single" w:sz="4" w:space="0" w:color="auto"/>
              <w:left w:val="single" w:sz="4" w:space="0" w:color="auto"/>
              <w:bottom w:val="single" w:sz="4" w:space="0" w:color="auto"/>
              <w:right w:val="single" w:sz="4" w:space="0" w:color="auto"/>
              <w:tl2br w:val="nil"/>
              <w:tr2bl w:val="nil"/>
            </w:tcBorders>
            <w:vAlign w:val="center"/>
          </w:tcPr>
          <w:p w14:paraId="481B483C"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5.3</w:t>
            </w:r>
          </w:p>
        </w:tc>
        <w:tc>
          <w:tcPr>
            <w:tcW w:w="1060" w:type="pct"/>
            <w:tcBorders>
              <w:top w:val="single" w:sz="4" w:space="0" w:color="auto"/>
              <w:left w:val="single" w:sz="4" w:space="0" w:color="auto"/>
              <w:bottom w:val="single" w:sz="4" w:space="0" w:color="auto"/>
              <w:right w:val="single" w:sz="4" w:space="0" w:color="auto"/>
              <w:tl2br w:val="nil"/>
              <w:tr2bl w:val="nil"/>
            </w:tcBorders>
            <w:vAlign w:val="center"/>
          </w:tcPr>
          <w:p w14:paraId="59AEF658"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上游</w:t>
            </w:r>
          </w:p>
        </w:tc>
        <w:tc>
          <w:tcPr>
            <w:tcW w:w="1208" w:type="pct"/>
            <w:tcBorders>
              <w:top w:val="single" w:sz="4" w:space="0" w:color="auto"/>
              <w:left w:val="single" w:sz="4" w:space="0" w:color="auto"/>
              <w:bottom w:val="single" w:sz="4" w:space="0" w:color="auto"/>
              <w:right w:val="single" w:sz="4" w:space="0" w:color="auto"/>
              <w:tl2br w:val="nil"/>
              <w:tr2bl w:val="nil"/>
            </w:tcBorders>
            <w:vAlign w:val="center"/>
          </w:tcPr>
          <w:p w14:paraId="282D71ED" w14:textId="77777777" w:rsidR="003E78AB" w:rsidRDefault="00010BF9">
            <w:pPr>
              <w:spacing w:line="360" w:lineRule="exact"/>
              <w:ind w:firstLineChars="0" w:firstLine="0"/>
              <w:jc w:val="center"/>
              <w:rPr>
                <w:kern w:val="2"/>
                <w:sz w:val="21"/>
                <w:szCs w:val="21"/>
                <w:highlight w:val="yellow"/>
                <w:lang w:val="zh-CN" w:bidi="zh-CN"/>
              </w:rPr>
            </w:pPr>
            <w:r>
              <w:rPr>
                <w:kern w:val="2"/>
                <w:sz w:val="21"/>
                <w:szCs w:val="21"/>
                <w:highlight w:val="yellow"/>
                <w:lang w:val="zh-CN" w:bidi="zh-CN"/>
              </w:rPr>
              <w:t>潜水层，井深</w:t>
            </w:r>
            <w:r>
              <w:rPr>
                <w:kern w:val="2"/>
                <w:sz w:val="21"/>
                <w:szCs w:val="21"/>
                <w:highlight w:val="yellow"/>
                <w:lang w:bidi="zh-CN"/>
              </w:rPr>
              <w:t>52</w:t>
            </w:r>
            <w:r>
              <w:rPr>
                <w:kern w:val="2"/>
                <w:sz w:val="21"/>
                <w:szCs w:val="21"/>
                <w:highlight w:val="yellow"/>
                <w:lang w:val="zh-CN" w:bidi="zh-CN"/>
              </w:rPr>
              <w:t>m</w:t>
            </w:r>
          </w:p>
        </w:tc>
        <w:tc>
          <w:tcPr>
            <w:tcW w:w="377" w:type="pct"/>
            <w:tcBorders>
              <w:top w:val="single" w:sz="4" w:space="0" w:color="auto"/>
              <w:left w:val="single" w:sz="4" w:space="0" w:color="auto"/>
              <w:bottom w:val="single" w:sz="4" w:space="0" w:color="auto"/>
              <w:right w:val="single" w:sz="4" w:space="0" w:color="auto"/>
              <w:tl2br w:val="nil"/>
              <w:tr2bl w:val="nil"/>
            </w:tcBorders>
            <w:vAlign w:val="center"/>
          </w:tcPr>
          <w:p w14:paraId="72785069" w14:textId="77777777" w:rsidR="003E78AB" w:rsidRDefault="00010BF9">
            <w:pPr>
              <w:spacing w:line="360" w:lineRule="exact"/>
              <w:ind w:firstLineChars="0" w:firstLine="0"/>
              <w:jc w:val="center"/>
              <w:rPr>
                <w:kern w:val="2"/>
                <w:sz w:val="21"/>
                <w:szCs w:val="21"/>
                <w:highlight w:val="yellow"/>
                <w:lang w:bidi="zh-CN"/>
              </w:rPr>
            </w:pPr>
            <w:r>
              <w:rPr>
                <w:kern w:val="2"/>
                <w:sz w:val="21"/>
                <w:szCs w:val="21"/>
                <w:highlight w:val="yellow"/>
                <w:lang w:bidi="zh-CN"/>
              </w:rPr>
              <w:t>6m</w:t>
            </w:r>
          </w:p>
        </w:tc>
      </w:tr>
      <w:tr w:rsidR="003E78AB" w14:paraId="3F73E5BF" w14:textId="77777777">
        <w:trPr>
          <w:trHeight w:val="340"/>
        </w:trPr>
        <w:tc>
          <w:tcPr>
            <w:tcW w:w="327" w:type="pct"/>
            <w:tcBorders>
              <w:top w:val="single" w:sz="4" w:space="0" w:color="auto"/>
              <w:left w:val="single" w:sz="4" w:space="0" w:color="auto"/>
              <w:bottom w:val="single" w:sz="4" w:space="0" w:color="auto"/>
              <w:right w:val="single" w:sz="4" w:space="0" w:color="auto"/>
              <w:tl2br w:val="nil"/>
              <w:tr2bl w:val="nil"/>
            </w:tcBorders>
            <w:vAlign w:val="center"/>
          </w:tcPr>
          <w:p w14:paraId="19054605"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W2</w:t>
            </w:r>
          </w:p>
        </w:tc>
        <w:tc>
          <w:tcPr>
            <w:tcW w:w="990" w:type="pct"/>
            <w:tcBorders>
              <w:top w:val="single" w:sz="4" w:space="0" w:color="auto"/>
              <w:left w:val="single" w:sz="4" w:space="0" w:color="auto"/>
              <w:bottom w:val="single" w:sz="4" w:space="0" w:color="auto"/>
              <w:right w:val="single" w:sz="4" w:space="0" w:color="auto"/>
              <w:tl2br w:val="nil"/>
              <w:tr2bl w:val="nil"/>
            </w:tcBorders>
            <w:vAlign w:val="center"/>
          </w:tcPr>
          <w:p w14:paraId="7A5BEA81"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E:</w:t>
            </w:r>
            <w:r>
              <w:rPr>
                <w:kern w:val="2"/>
                <w:sz w:val="21"/>
                <w:szCs w:val="21"/>
                <w:lang w:val="zh-CN" w:bidi="zh-CN"/>
              </w:rPr>
              <w:t>93°23′28.5″</w:t>
            </w:r>
          </w:p>
          <w:p w14:paraId="33405C03"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N:</w:t>
            </w:r>
            <w:r>
              <w:rPr>
                <w:kern w:val="2"/>
                <w:sz w:val="21"/>
                <w:szCs w:val="21"/>
                <w:lang w:val="zh-CN" w:bidi="zh-CN"/>
              </w:rPr>
              <w:t>42°41′54.08″</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4716B063"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WNW</w:t>
            </w:r>
          </w:p>
        </w:tc>
        <w:tc>
          <w:tcPr>
            <w:tcW w:w="573" w:type="pct"/>
            <w:tcBorders>
              <w:top w:val="single" w:sz="4" w:space="0" w:color="auto"/>
              <w:left w:val="single" w:sz="4" w:space="0" w:color="auto"/>
              <w:bottom w:val="single" w:sz="4" w:space="0" w:color="auto"/>
              <w:right w:val="single" w:sz="4" w:space="0" w:color="auto"/>
              <w:tl2br w:val="nil"/>
              <w:tr2bl w:val="nil"/>
            </w:tcBorders>
            <w:vAlign w:val="center"/>
          </w:tcPr>
          <w:p w14:paraId="4C79A2E0"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2.2</w:t>
            </w:r>
          </w:p>
        </w:tc>
        <w:tc>
          <w:tcPr>
            <w:tcW w:w="1060" w:type="pct"/>
            <w:tcBorders>
              <w:top w:val="single" w:sz="4" w:space="0" w:color="auto"/>
              <w:left w:val="single" w:sz="4" w:space="0" w:color="auto"/>
              <w:bottom w:val="single" w:sz="4" w:space="0" w:color="auto"/>
              <w:right w:val="single" w:sz="4" w:space="0" w:color="auto"/>
              <w:tl2br w:val="nil"/>
              <w:tr2bl w:val="nil"/>
            </w:tcBorders>
            <w:vAlign w:val="center"/>
          </w:tcPr>
          <w:p w14:paraId="716A4E34"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侧游</w:t>
            </w:r>
          </w:p>
        </w:tc>
        <w:tc>
          <w:tcPr>
            <w:tcW w:w="1208" w:type="pct"/>
            <w:tcBorders>
              <w:top w:val="single" w:sz="4" w:space="0" w:color="auto"/>
              <w:left w:val="single" w:sz="4" w:space="0" w:color="auto"/>
              <w:bottom w:val="single" w:sz="4" w:space="0" w:color="auto"/>
              <w:right w:val="single" w:sz="4" w:space="0" w:color="auto"/>
              <w:tl2br w:val="nil"/>
              <w:tr2bl w:val="nil"/>
            </w:tcBorders>
            <w:vAlign w:val="center"/>
          </w:tcPr>
          <w:p w14:paraId="16471123" w14:textId="77777777" w:rsidR="003E78AB" w:rsidRDefault="00010BF9">
            <w:pPr>
              <w:spacing w:line="360" w:lineRule="exact"/>
              <w:ind w:firstLineChars="0" w:firstLine="0"/>
              <w:jc w:val="center"/>
              <w:rPr>
                <w:kern w:val="2"/>
                <w:sz w:val="21"/>
                <w:szCs w:val="21"/>
                <w:highlight w:val="yellow"/>
                <w:lang w:val="zh-CN" w:bidi="zh-CN"/>
              </w:rPr>
            </w:pPr>
            <w:r>
              <w:rPr>
                <w:kern w:val="2"/>
                <w:sz w:val="21"/>
                <w:szCs w:val="21"/>
                <w:highlight w:val="yellow"/>
                <w:lang w:val="zh-CN" w:bidi="zh-CN"/>
              </w:rPr>
              <w:t>潜水层，井深</w:t>
            </w:r>
            <w:r>
              <w:rPr>
                <w:kern w:val="2"/>
                <w:sz w:val="21"/>
                <w:szCs w:val="21"/>
                <w:highlight w:val="yellow"/>
                <w:lang w:bidi="zh-CN"/>
              </w:rPr>
              <w:t>52</w:t>
            </w:r>
            <w:r>
              <w:rPr>
                <w:kern w:val="2"/>
                <w:sz w:val="21"/>
                <w:szCs w:val="21"/>
                <w:highlight w:val="yellow"/>
                <w:lang w:val="zh-CN" w:bidi="zh-CN"/>
              </w:rPr>
              <w:t>m</w:t>
            </w:r>
          </w:p>
        </w:tc>
        <w:tc>
          <w:tcPr>
            <w:tcW w:w="377" w:type="pct"/>
            <w:tcBorders>
              <w:top w:val="single" w:sz="4" w:space="0" w:color="auto"/>
              <w:left w:val="single" w:sz="4" w:space="0" w:color="auto"/>
              <w:bottom w:val="single" w:sz="4" w:space="0" w:color="auto"/>
              <w:right w:val="single" w:sz="4" w:space="0" w:color="auto"/>
              <w:tl2br w:val="nil"/>
              <w:tr2bl w:val="nil"/>
            </w:tcBorders>
            <w:vAlign w:val="center"/>
          </w:tcPr>
          <w:p w14:paraId="3F692316" w14:textId="77777777" w:rsidR="003E78AB" w:rsidRDefault="00010BF9">
            <w:pPr>
              <w:spacing w:line="360" w:lineRule="exact"/>
              <w:ind w:firstLineChars="0" w:firstLine="0"/>
              <w:jc w:val="center"/>
              <w:rPr>
                <w:kern w:val="2"/>
                <w:sz w:val="21"/>
                <w:szCs w:val="21"/>
                <w:highlight w:val="yellow"/>
                <w:lang w:bidi="zh-CN"/>
              </w:rPr>
            </w:pPr>
            <w:r>
              <w:rPr>
                <w:kern w:val="2"/>
                <w:sz w:val="21"/>
                <w:szCs w:val="21"/>
                <w:highlight w:val="yellow"/>
                <w:lang w:bidi="zh-CN"/>
              </w:rPr>
              <w:t>4m</w:t>
            </w:r>
          </w:p>
        </w:tc>
      </w:tr>
      <w:tr w:rsidR="003E78AB" w14:paraId="29E2AD41" w14:textId="77777777">
        <w:trPr>
          <w:trHeight w:val="340"/>
        </w:trPr>
        <w:tc>
          <w:tcPr>
            <w:tcW w:w="327" w:type="pct"/>
            <w:tcBorders>
              <w:top w:val="single" w:sz="4" w:space="0" w:color="auto"/>
              <w:left w:val="single" w:sz="4" w:space="0" w:color="auto"/>
              <w:bottom w:val="single" w:sz="4" w:space="0" w:color="auto"/>
              <w:right w:val="single" w:sz="4" w:space="0" w:color="auto"/>
              <w:tl2br w:val="nil"/>
              <w:tr2bl w:val="nil"/>
            </w:tcBorders>
            <w:vAlign w:val="center"/>
          </w:tcPr>
          <w:p w14:paraId="5C41B9A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W3</w:t>
            </w:r>
          </w:p>
        </w:tc>
        <w:tc>
          <w:tcPr>
            <w:tcW w:w="990" w:type="pct"/>
            <w:tcBorders>
              <w:top w:val="single" w:sz="4" w:space="0" w:color="auto"/>
              <w:left w:val="single" w:sz="4" w:space="0" w:color="auto"/>
              <w:bottom w:val="single" w:sz="4" w:space="0" w:color="auto"/>
              <w:right w:val="single" w:sz="4" w:space="0" w:color="auto"/>
              <w:tl2br w:val="nil"/>
              <w:tr2bl w:val="nil"/>
            </w:tcBorders>
            <w:vAlign w:val="center"/>
          </w:tcPr>
          <w:p w14:paraId="607C6A19"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E:</w:t>
            </w:r>
            <w:r>
              <w:rPr>
                <w:kern w:val="2"/>
                <w:sz w:val="21"/>
                <w:szCs w:val="21"/>
                <w:lang w:bidi="zh-CN"/>
              </w:rPr>
              <w:t>93°25′52.7″</w:t>
            </w:r>
          </w:p>
          <w:p w14:paraId="1FFF3BE4"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N:</w:t>
            </w:r>
            <w:r>
              <w:rPr>
                <w:kern w:val="2"/>
                <w:sz w:val="21"/>
                <w:szCs w:val="21"/>
                <w:lang w:bidi="zh-CN"/>
              </w:rPr>
              <w:t>42°40′44.07″</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1DA96881"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SSE</w:t>
            </w:r>
          </w:p>
        </w:tc>
        <w:tc>
          <w:tcPr>
            <w:tcW w:w="573" w:type="pct"/>
            <w:tcBorders>
              <w:top w:val="single" w:sz="4" w:space="0" w:color="auto"/>
              <w:left w:val="single" w:sz="4" w:space="0" w:color="auto"/>
              <w:bottom w:val="single" w:sz="4" w:space="0" w:color="auto"/>
              <w:right w:val="single" w:sz="4" w:space="0" w:color="auto"/>
              <w:tl2br w:val="nil"/>
              <w:tr2bl w:val="nil"/>
            </w:tcBorders>
            <w:vAlign w:val="center"/>
          </w:tcPr>
          <w:p w14:paraId="071AEC11"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1.6</w:t>
            </w:r>
          </w:p>
        </w:tc>
        <w:tc>
          <w:tcPr>
            <w:tcW w:w="1060" w:type="pct"/>
            <w:tcBorders>
              <w:top w:val="single" w:sz="4" w:space="0" w:color="auto"/>
              <w:left w:val="single" w:sz="4" w:space="0" w:color="auto"/>
              <w:bottom w:val="single" w:sz="4" w:space="0" w:color="auto"/>
              <w:right w:val="single" w:sz="4" w:space="0" w:color="auto"/>
              <w:tl2br w:val="nil"/>
              <w:tr2bl w:val="nil"/>
            </w:tcBorders>
            <w:vAlign w:val="center"/>
          </w:tcPr>
          <w:p w14:paraId="2EDEFB6E"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侧游</w:t>
            </w:r>
          </w:p>
        </w:tc>
        <w:tc>
          <w:tcPr>
            <w:tcW w:w="1208" w:type="pct"/>
            <w:tcBorders>
              <w:top w:val="single" w:sz="4" w:space="0" w:color="auto"/>
              <w:left w:val="single" w:sz="4" w:space="0" w:color="auto"/>
              <w:bottom w:val="single" w:sz="4" w:space="0" w:color="auto"/>
              <w:right w:val="single" w:sz="4" w:space="0" w:color="auto"/>
              <w:tl2br w:val="nil"/>
              <w:tr2bl w:val="nil"/>
            </w:tcBorders>
            <w:vAlign w:val="center"/>
          </w:tcPr>
          <w:p w14:paraId="3B6067BA" w14:textId="77777777" w:rsidR="003E78AB" w:rsidRDefault="00010BF9">
            <w:pPr>
              <w:spacing w:line="360" w:lineRule="exact"/>
              <w:ind w:firstLineChars="0" w:firstLine="0"/>
              <w:jc w:val="center"/>
              <w:rPr>
                <w:kern w:val="2"/>
                <w:sz w:val="21"/>
                <w:szCs w:val="21"/>
                <w:highlight w:val="yellow"/>
                <w:lang w:val="zh-CN" w:bidi="zh-CN"/>
              </w:rPr>
            </w:pPr>
            <w:r>
              <w:rPr>
                <w:kern w:val="2"/>
                <w:sz w:val="21"/>
                <w:szCs w:val="21"/>
                <w:highlight w:val="yellow"/>
                <w:lang w:val="zh-CN" w:bidi="zh-CN"/>
              </w:rPr>
              <w:t>潜水层，井深</w:t>
            </w:r>
            <w:r>
              <w:rPr>
                <w:kern w:val="2"/>
                <w:sz w:val="21"/>
                <w:szCs w:val="21"/>
                <w:highlight w:val="yellow"/>
                <w:lang w:bidi="zh-CN"/>
              </w:rPr>
              <w:t>50</w:t>
            </w:r>
            <w:r>
              <w:rPr>
                <w:kern w:val="2"/>
                <w:sz w:val="21"/>
                <w:szCs w:val="21"/>
                <w:highlight w:val="yellow"/>
                <w:lang w:val="zh-CN" w:bidi="zh-CN"/>
              </w:rPr>
              <w:t>m</w:t>
            </w:r>
          </w:p>
        </w:tc>
        <w:tc>
          <w:tcPr>
            <w:tcW w:w="377" w:type="pct"/>
            <w:tcBorders>
              <w:top w:val="single" w:sz="4" w:space="0" w:color="auto"/>
              <w:left w:val="single" w:sz="4" w:space="0" w:color="auto"/>
              <w:bottom w:val="single" w:sz="4" w:space="0" w:color="auto"/>
              <w:right w:val="single" w:sz="4" w:space="0" w:color="auto"/>
              <w:tl2br w:val="nil"/>
              <w:tr2bl w:val="nil"/>
            </w:tcBorders>
            <w:vAlign w:val="center"/>
          </w:tcPr>
          <w:p w14:paraId="7C783052" w14:textId="77777777" w:rsidR="003E78AB" w:rsidRDefault="00010BF9">
            <w:pPr>
              <w:spacing w:line="360" w:lineRule="exact"/>
              <w:ind w:firstLineChars="0" w:firstLine="0"/>
              <w:jc w:val="center"/>
              <w:rPr>
                <w:kern w:val="2"/>
                <w:sz w:val="21"/>
                <w:szCs w:val="21"/>
                <w:highlight w:val="yellow"/>
                <w:lang w:bidi="zh-CN"/>
              </w:rPr>
            </w:pPr>
            <w:r>
              <w:rPr>
                <w:kern w:val="2"/>
                <w:sz w:val="21"/>
                <w:szCs w:val="21"/>
                <w:highlight w:val="yellow"/>
                <w:lang w:bidi="zh-CN"/>
              </w:rPr>
              <w:t>5.5m</w:t>
            </w:r>
          </w:p>
        </w:tc>
      </w:tr>
      <w:tr w:rsidR="003E78AB" w14:paraId="153A41E2" w14:textId="77777777">
        <w:trPr>
          <w:trHeight w:val="340"/>
        </w:trPr>
        <w:tc>
          <w:tcPr>
            <w:tcW w:w="327" w:type="pct"/>
            <w:tcBorders>
              <w:top w:val="single" w:sz="4" w:space="0" w:color="auto"/>
              <w:left w:val="single" w:sz="4" w:space="0" w:color="auto"/>
              <w:bottom w:val="single" w:sz="4" w:space="0" w:color="auto"/>
              <w:right w:val="single" w:sz="4" w:space="0" w:color="auto"/>
              <w:tl2br w:val="nil"/>
              <w:tr2bl w:val="nil"/>
            </w:tcBorders>
            <w:vAlign w:val="center"/>
          </w:tcPr>
          <w:p w14:paraId="781D6D01"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W4</w:t>
            </w:r>
          </w:p>
        </w:tc>
        <w:tc>
          <w:tcPr>
            <w:tcW w:w="990" w:type="pct"/>
            <w:tcBorders>
              <w:top w:val="single" w:sz="4" w:space="0" w:color="auto"/>
              <w:left w:val="single" w:sz="4" w:space="0" w:color="auto"/>
              <w:bottom w:val="single" w:sz="4" w:space="0" w:color="auto"/>
              <w:right w:val="single" w:sz="4" w:space="0" w:color="auto"/>
              <w:tl2br w:val="nil"/>
              <w:tr2bl w:val="nil"/>
            </w:tcBorders>
            <w:vAlign w:val="center"/>
          </w:tcPr>
          <w:p w14:paraId="1BEBA9C4"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E:93</w:t>
            </w:r>
            <w:r>
              <w:rPr>
                <w:kern w:val="2"/>
                <w:sz w:val="21"/>
                <w:szCs w:val="21"/>
                <w:lang w:bidi="zh-CN"/>
              </w:rPr>
              <w:t>°</w:t>
            </w:r>
            <w:r>
              <w:rPr>
                <w:rFonts w:hint="eastAsia"/>
                <w:kern w:val="2"/>
                <w:sz w:val="21"/>
                <w:szCs w:val="21"/>
                <w:lang w:bidi="zh-CN"/>
              </w:rPr>
              <w:t>22</w:t>
            </w:r>
            <w:r>
              <w:rPr>
                <w:kern w:val="2"/>
                <w:sz w:val="21"/>
                <w:szCs w:val="21"/>
                <w:lang w:bidi="zh-CN"/>
              </w:rPr>
              <w:t>′</w:t>
            </w:r>
            <w:r>
              <w:rPr>
                <w:rFonts w:hint="eastAsia"/>
                <w:kern w:val="2"/>
                <w:sz w:val="21"/>
                <w:szCs w:val="21"/>
                <w:lang w:bidi="zh-CN"/>
              </w:rPr>
              <w:t>3.38</w:t>
            </w:r>
            <w:r>
              <w:rPr>
                <w:kern w:val="2"/>
                <w:sz w:val="21"/>
                <w:szCs w:val="21"/>
                <w:lang w:bidi="zh-CN"/>
              </w:rPr>
              <w:t>″</w:t>
            </w:r>
          </w:p>
          <w:p w14:paraId="3ADC74FB"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N:42</w:t>
            </w:r>
            <w:r>
              <w:rPr>
                <w:kern w:val="2"/>
                <w:sz w:val="21"/>
                <w:szCs w:val="21"/>
                <w:lang w:bidi="zh-CN"/>
              </w:rPr>
              <w:t>°</w:t>
            </w:r>
            <w:r>
              <w:rPr>
                <w:rFonts w:hint="eastAsia"/>
                <w:kern w:val="2"/>
                <w:sz w:val="21"/>
                <w:szCs w:val="21"/>
                <w:lang w:bidi="zh-CN"/>
              </w:rPr>
              <w:t>41</w:t>
            </w:r>
            <w:r>
              <w:rPr>
                <w:kern w:val="2"/>
                <w:sz w:val="21"/>
                <w:szCs w:val="21"/>
                <w:lang w:bidi="zh-CN"/>
              </w:rPr>
              <w:t>′</w:t>
            </w:r>
            <w:r>
              <w:rPr>
                <w:rFonts w:hint="eastAsia"/>
                <w:kern w:val="2"/>
                <w:sz w:val="21"/>
                <w:szCs w:val="21"/>
                <w:lang w:bidi="zh-CN"/>
              </w:rPr>
              <w:t>9.14</w:t>
            </w:r>
            <w:r>
              <w:rPr>
                <w:kern w:val="2"/>
                <w:sz w:val="21"/>
                <w:szCs w:val="21"/>
                <w:lang w:bidi="zh-CN"/>
              </w:rPr>
              <w:t>″</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3680A48A"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WSW</w:t>
            </w:r>
          </w:p>
        </w:tc>
        <w:tc>
          <w:tcPr>
            <w:tcW w:w="573" w:type="pct"/>
            <w:tcBorders>
              <w:top w:val="single" w:sz="4" w:space="0" w:color="auto"/>
              <w:left w:val="single" w:sz="4" w:space="0" w:color="auto"/>
              <w:bottom w:val="single" w:sz="4" w:space="0" w:color="auto"/>
              <w:right w:val="single" w:sz="4" w:space="0" w:color="auto"/>
              <w:tl2br w:val="nil"/>
              <w:tr2bl w:val="nil"/>
            </w:tcBorders>
            <w:vAlign w:val="center"/>
          </w:tcPr>
          <w:p w14:paraId="0035166E"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4.1</w:t>
            </w:r>
          </w:p>
        </w:tc>
        <w:tc>
          <w:tcPr>
            <w:tcW w:w="1060" w:type="pct"/>
            <w:tcBorders>
              <w:top w:val="single" w:sz="4" w:space="0" w:color="auto"/>
              <w:left w:val="single" w:sz="4" w:space="0" w:color="auto"/>
              <w:bottom w:val="single" w:sz="4" w:space="0" w:color="auto"/>
              <w:right w:val="single" w:sz="4" w:space="0" w:color="auto"/>
              <w:tl2br w:val="nil"/>
              <w:tr2bl w:val="nil"/>
            </w:tcBorders>
            <w:vAlign w:val="center"/>
          </w:tcPr>
          <w:p w14:paraId="0FAA3AB4"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下游</w:t>
            </w:r>
          </w:p>
        </w:tc>
        <w:tc>
          <w:tcPr>
            <w:tcW w:w="1208" w:type="pct"/>
            <w:tcBorders>
              <w:top w:val="single" w:sz="4" w:space="0" w:color="auto"/>
              <w:left w:val="single" w:sz="4" w:space="0" w:color="auto"/>
              <w:bottom w:val="single" w:sz="4" w:space="0" w:color="auto"/>
              <w:right w:val="single" w:sz="4" w:space="0" w:color="auto"/>
              <w:tl2br w:val="nil"/>
              <w:tr2bl w:val="nil"/>
            </w:tcBorders>
            <w:vAlign w:val="center"/>
          </w:tcPr>
          <w:p w14:paraId="109ABC79" w14:textId="77777777" w:rsidR="003E78AB" w:rsidRDefault="00010BF9">
            <w:pPr>
              <w:spacing w:line="360" w:lineRule="exact"/>
              <w:ind w:firstLineChars="0" w:firstLine="0"/>
              <w:jc w:val="center"/>
              <w:rPr>
                <w:kern w:val="2"/>
                <w:sz w:val="21"/>
                <w:szCs w:val="21"/>
                <w:highlight w:val="yellow"/>
                <w:lang w:val="zh-CN" w:bidi="zh-CN"/>
              </w:rPr>
            </w:pPr>
            <w:r>
              <w:rPr>
                <w:kern w:val="2"/>
                <w:sz w:val="21"/>
                <w:szCs w:val="21"/>
                <w:highlight w:val="yellow"/>
                <w:lang w:val="zh-CN" w:bidi="zh-CN"/>
              </w:rPr>
              <w:t>潜水层，井深</w:t>
            </w:r>
            <w:r>
              <w:rPr>
                <w:kern w:val="2"/>
                <w:sz w:val="21"/>
                <w:szCs w:val="21"/>
                <w:highlight w:val="yellow"/>
                <w:lang w:val="zh-CN" w:bidi="zh-CN"/>
              </w:rPr>
              <w:t>80m</w:t>
            </w:r>
          </w:p>
        </w:tc>
        <w:tc>
          <w:tcPr>
            <w:tcW w:w="377" w:type="pct"/>
            <w:tcBorders>
              <w:top w:val="single" w:sz="4" w:space="0" w:color="auto"/>
              <w:left w:val="single" w:sz="4" w:space="0" w:color="auto"/>
              <w:bottom w:val="single" w:sz="4" w:space="0" w:color="auto"/>
              <w:right w:val="single" w:sz="4" w:space="0" w:color="auto"/>
              <w:tl2br w:val="nil"/>
              <w:tr2bl w:val="nil"/>
            </w:tcBorders>
            <w:vAlign w:val="center"/>
          </w:tcPr>
          <w:p w14:paraId="1B3D2ED4" w14:textId="77777777" w:rsidR="003E78AB" w:rsidRDefault="00010BF9">
            <w:pPr>
              <w:spacing w:line="360" w:lineRule="exact"/>
              <w:ind w:firstLineChars="0" w:firstLine="0"/>
              <w:jc w:val="center"/>
              <w:rPr>
                <w:kern w:val="2"/>
                <w:sz w:val="21"/>
                <w:szCs w:val="21"/>
                <w:highlight w:val="yellow"/>
                <w:lang w:bidi="zh-CN"/>
              </w:rPr>
            </w:pPr>
            <w:r>
              <w:rPr>
                <w:kern w:val="2"/>
                <w:sz w:val="21"/>
                <w:szCs w:val="21"/>
                <w:highlight w:val="yellow"/>
                <w:lang w:bidi="zh-CN"/>
              </w:rPr>
              <w:t>12m</w:t>
            </w:r>
          </w:p>
        </w:tc>
      </w:tr>
      <w:tr w:rsidR="003E78AB" w14:paraId="7F2D9198" w14:textId="77777777">
        <w:trPr>
          <w:trHeight w:val="340"/>
        </w:trPr>
        <w:tc>
          <w:tcPr>
            <w:tcW w:w="327" w:type="pct"/>
            <w:tcBorders>
              <w:top w:val="single" w:sz="4" w:space="0" w:color="auto"/>
              <w:left w:val="single" w:sz="4" w:space="0" w:color="auto"/>
              <w:bottom w:val="single" w:sz="4" w:space="0" w:color="auto"/>
              <w:right w:val="single" w:sz="4" w:space="0" w:color="auto"/>
              <w:tl2br w:val="nil"/>
              <w:tr2bl w:val="nil"/>
            </w:tcBorders>
            <w:vAlign w:val="center"/>
          </w:tcPr>
          <w:p w14:paraId="76FE2FFF"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W</w:t>
            </w:r>
            <w:r>
              <w:rPr>
                <w:kern w:val="2"/>
                <w:sz w:val="21"/>
                <w:szCs w:val="21"/>
                <w:lang w:bidi="zh-CN"/>
              </w:rPr>
              <w:t>5</w:t>
            </w:r>
          </w:p>
        </w:tc>
        <w:tc>
          <w:tcPr>
            <w:tcW w:w="990" w:type="pct"/>
            <w:tcBorders>
              <w:top w:val="single" w:sz="4" w:space="0" w:color="auto"/>
              <w:left w:val="single" w:sz="4" w:space="0" w:color="auto"/>
              <w:bottom w:val="single" w:sz="4" w:space="0" w:color="auto"/>
              <w:right w:val="single" w:sz="4" w:space="0" w:color="auto"/>
              <w:tl2br w:val="nil"/>
              <w:tr2bl w:val="nil"/>
            </w:tcBorders>
            <w:vAlign w:val="center"/>
          </w:tcPr>
          <w:p w14:paraId="108452FC"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E:</w:t>
            </w:r>
            <w:r>
              <w:rPr>
                <w:kern w:val="2"/>
                <w:sz w:val="21"/>
                <w:szCs w:val="21"/>
                <w:lang w:bidi="zh-CN"/>
              </w:rPr>
              <w:t>93°21′39.</w:t>
            </w:r>
            <w:r>
              <w:rPr>
                <w:rFonts w:hint="eastAsia"/>
                <w:kern w:val="2"/>
                <w:sz w:val="21"/>
                <w:szCs w:val="21"/>
                <w:lang w:bidi="zh-CN"/>
              </w:rPr>
              <w:t>79</w:t>
            </w:r>
            <w:r>
              <w:rPr>
                <w:kern w:val="2"/>
                <w:sz w:val="21"/>
                <w:szCs w:val="21"/>
                <w:lang w:bidi="zh-CN"/>
              </w:rPr>
              <w:t>″</w:t>
            </w:r>
          </w:p>
          <w:p w14:paraId="3F703F13" w14:textId="77777777" w:rsidR="003E78AB" w:rsidRDefault="00010BF9">
            <w:pPr>
              <w:spacing w:line="360" w:lineRule="exact"/>
              <w:ind w:firstLineChars="0" w:firstLine="0"/>
              <w:jc w:val="center"/>
              <w:rPr>
                <w:kern w:val="2"/>
                <w:sz w:val="21"/>
                <w:szCs w:val="21"/>
                <w:lang w:val="zh-CN" w:bidi="zh-CN"/>
              </w:rPr>
            </w:pPr>
            <w:r>
              <w:rPr>
                <w:rFonts w:hint="eastAsia"/>
                <w:kern w:val="2"/>
                <w:sz w:val="21"/>
                <w:szCs w:val="21"/>
                <w:lang w:bidi="zh-CN"/>
              </w:rPr>
              <w:t>N:</w:t>
            </w:r>
            <w:r>
              <w:rPr>
                <w:kern w:val="2"/>
                <w:sz w:val="21"/>
                <w:szCs w:val="21"/>
                <w:lang w:bidi="zh-CN"/>
              </w:rPr>
              <w:t>42°40′48.</w:t>
            </w:r>
            <w:r>
              <w:rPr>
                <w:rFonts w:hint="eastAsia"/>
                <w:kern w:val="2"/>
                <w:sz w:val="21"/>
                <w:szCs w:val="21"/>
                <w:lang w:bidi="zh-CN"/>
              </w:rPr>
              <w:t>55</w:t>
            </w:r>
            <w:r>
              <w:rPr>
                <w:kern w:val="2"/>
                <w:sz w:val="21"/>
                <w:szCs w:val="21"/>
                <w:lang w:bidi="zh-CN"/>
              </w:rPr>
              <w:t>″</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50309837"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SW</w:t>
            </w:r>
          </w:p>
        </w:tc>
        <w:tc>
          <w:tcPr>
            <w:tcW w:w="573" w:type="pct"/>
            <w:tcBorders>
              <w:top w:val="single" w:sz="4" w:space="0" w:color="auto"/>
              <w:left w:val="single" w:sz="4" w:space="0" w:color="auto"/>
              <w:bottom w:val="single" w:sz="4" w:space="0" w:color="auto"/>
              <w:right w:val="single" w:sz="4" w:space="0" w:color="auto"/>
              <w:tl2br w:val="nil"/>
              <w:tr2bl w:val="nil"/>
            </w:tcBorders>
            <w:vAlign w:val="center"/>
          </w:tcPr>
          <w:p w14:paraId="734C476D"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13.4</w:t>
            </w:r>
          </w:p>
        </w:tc>
        <w:tc>
          <w:tcPr>
            <w:tcW w:w="1060" w:type="pct"/>
            <w:tcBorders>
              <w:top w:val="single" w:sz="4" w:space="0" w:color="auto"/>
              <w:left w:val="single" w:sz="4" w:space="0" w:color="auto"/>
              <w:bottom w:val="single" w:sz="4" w:space="0" w:color="auto"/>
              <w:right w:val="single" w:sz="4" w:space="0" w:color="auto"/>
              <w:tl2br w:val="nil"/>
              <w:tr2bl w:val="nil"/>
            </w:tcBorders>
            <w:vAlign w:val="center"/>
          </w:tcPr>
          <w:p w14:paraId="505D0B72"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下游</w:t>
            </w:r>
          </w:p>
        </w:tc>
        <w:tc>
          <w:tcPr>
            <w:tcW w:w="1208" w:type="pct"/>
            <w:tcBorders>
              <w:top w:val="single" w:sz="4" w:space="0" w:color="auto"/>
              <w:left w:val="single" w:sz="4" w:space="0" w:color="auto"/>
              <w:bottom w:val="single" w:sz="4" w:space="0" w:color="auto"/>
              <w:right w:val="single" w:sz="4" w:space="0" w:color="auto"/>
              <w:tl2br w:val="nil"/>
              <w:tr2bl w:val="nil"/>
            </w:tcBorders>
            <w:vAlign w:val="center"/>
          </w:tcPr>
          <w:p w14:paraId="1C8CEF28" w14:textId="77777777" w:rsidR="003E78AB" w:rsidRDefault="00010BF9">
            <w:pPr>
              <w:spacing w:line="360" w:lineRule="exact"/>
              <w:ind w:firstLineChars="0" w:firstLine="0"/>
              <w:jc w:val="center"/>
              <w:rPr>
                <w:kern w:val="2"/>
                <w:sz w:val="21"/>
                <w:szCs w:val="21"/>
                <w:highlight w:val="yellow"/>
                <w:lang w:val="zh-CN" w:bidi="zh-CN"/>
              </w:rPr>
            </w:pPr>
            <w:r>
              <w:rPr>
                <w:kern w:val="2"/>
                <w:sz w:val="21"/>
                <w:szCs w:val="21"/>
                <w:highlight w:val="yellow"/>
                <w:lang w:val="zh-CN" w:bidi="zh-CN"/>
              </w:rPr>
              <w:t>潜水层，井深</w:t>
            </w:r>
            <w:r>
              <w:rPr>
                <w:kern w:val="2"/>
                <w:sz w:val="21"/>
                <w:szCs w:val="21"/>
                <w:highlight w:val="yellow"/>
                <w:lang w:val="zh-CN" w:bidi="zh-CN"/>
              </w:rPr>
              <w:t>6m</w:t>
            </w:r>
          </w:p>
        </w:tc>
        <w:tc>
          <w:tcPr>
            <w:tcW w:w="377" w:type="pct"/>
            <w:tcBorders>
              <w:top w:val="single" w:sz="4" w:space="0" w:color="auto"/>
              <w:left w:val="single" w:sz="4" w:space="0" w:color="auto"/>
              <w:bottom w:val="single" w:sz="4" w:space="0" w:color="auto"/>
              <w:right w:val="single" w:sz="4" w:space="0" w:color="auto"/>
              <w:tl2br w:val="nil"/>
              <w:tr2bl w:val="nil"/>
            </w:tcBorders>
            <w:vAlign w:val="center"/>
          </w:tcPr>
          <w:p w14:paraId="65BF83BB" w14:textId="77777777" w:rsidR="003E78AB" w:rsidRDefault="00010BF9">
            <w:pPr>
              <w:spacing w:line="360" w:lineRule="exact"/>
              <w:ind w:firstLineChars="0" w:firstLine="0"/>
              <w:jc w:val="center"/>
              <w:rPr>
                <w:kern w:val="2"/>
                <w:sz w:val="21"/>
                <w:szCs w:val="21"/>
                <w:highlight w:val="yellow"/>
                <w:lang w:bidi="zh-CN"/>
              </w:rPr>
            </w:pPr>
            <w:r>
              <w:rPr>
                <w:kern w:val="2"/>
                <w:sz w:val="21"/>
                <w:szCs w:val="21"/>
                <w:highlight w:val="yellow"/>
                <w:lang w:bidi="zh-CN"/>
              </w:rPr>
              <w:t>4.4m</w:t>
            </w:r>
          </w:p>
        </w:tc>
      </w:tr>
    </w:tbl>
    <w:p w14:paraId="12376D4E" w14:textId="77777777" w:rsidR="003E78AB" w:rsidRDefault="00010BF9">
      <w:pPr>
        <w:ind w:firstLine="480"/>
        <w:rPr>
          <w:kern w:val="2"/>
        </w:rPr>
      </w:pPr>
      <w:r>
        <w:rPr>
          <w:kern w:val="2"/>
        </w:rPr>
        <w:t>（</w:t>
      </w:r>
      <w:r>
        <w:rPr>
          <w:kern w:val="2"/>
        </w:rPr>
        <w:t>2</w:t>
      </w:r>
      <w:r>
        <w:rPr>
          <w:kern w:val="2"/>
        </w:rPr>
        <w:t>）监测项目及分析方法</w:t>
      </w:r>
    </w:p>
    <w:p w14:paraId="73691130" w14:textId="77777777" w:rsidR="003E78AB" w:rsidRDefault="00010BF9">
      <w:pPr>
        <w:ind w:firstLine="480"/>
        <w:rPr>
          <w:kern w:val="2"/>
        </w:rPr>
      </w:pPr>
      <w:r>
        <w:rPr>
          <w:kern w:val="2"/>
        </w:rPr>
        <w:t>本项目地下水监测点选用的监测因子有：</w:t>
      </w:r>
      <w:r>
        <w:rPr>
          <w:rFonts w:hint="eastAsia"/>
          <w:bCs/>
        </w:rPr>
        <w:t>基本因子：</w:t>
      </w:r>
      <w:r>
        <w:rPr>
          <w:rFonts w:hint="eastAsia"/>
          <w:bCs/>
        </w:rPr>
        <w:t>pH</w:t>
      </w:r>
      <w:r>
        <w:rPr>
          <w:rFonts w:hint="eastAsia"/>
          <w:bCs/>
        </w:rPr>
        <w:t>值、</w:t>
      </w:r>
      <w:r>
        <w:rPr>
          <w:bCs/>
          <w:kern w:val="2"/>
        </w:rPr>
        <w:t>K</w:t>
      </w:r>
      <w:r>
        <w:rPr>
          <w:bCs/>
          <w:kern w:val="2"/>
          <w:vertAlign w:val="superscript"/>
        </w:rPr>
        <w:t>+</w:t>
      </w:r>
      <w:r>
        <w:rPr>
          <w:bCs/>
          <w:kern w:val="2"/>
        </w:rPr>
        <w:t>、</w:t>
      </w:r>
      <w:r>
        <w:rPr>
          <w:bCs/>
          <w:kern w:val="2"/>
        </w:rPr>
        <w:t>Na</w:t>
      </w:r>
      <w:r>
        <w:rPr>
          <w:bCs/>
          <w:kern w:val="2"/>
          <w:vertAlign w:val="superscript"/>
        </w:rPr>
        <w:t>+</w:t>
      </w:r>
      <w:r>
        <w:rPr>
          <w:bCs/>
          <w:kern w:val="2"/>
        </w:rPr>
        <w:t>、</w:t>
      </w:r>
      <w:r>
        <w:rPr>
          <w:bCs/>
          <w:kern w:val="2"/>
        </w:rPr>
        <w:t>Ca</w:t>
      </w:r>
      <w:r>
        <w:rPr>
          <w:bCs/>
          <w:kern w:val="2"/>
          <w:vertAlign w:val="superscript"/>
        </w:rPr>
        <w:t>2+</w:t>
      </w:r>
      <w:r>
        <w:rPr>
          <w:bCs/>
          <w:kern w:val="2"/>
        </w:rPr>
        <w:t>、</w:t>
      </w:r>
      <w:r>
        <w:rPr>
          <w:bCs/>
          <w:kern w:val="2"/>
        </w:rPr>
        <w:t>Mg</w:t>
      </w:r>
      <w:r>
        <w:rPr>
          <w:bCs/>
          <w:kern w:val="2"/>
          <w:vertAlign w:val="superscript"/>
        </w:rPr>
        <w:t>2+</w:t>
      </w:r>
      <w:r>
        <w:rPr>
          <w:bCs/>
          <w:kern w:val="2"/>
        </w:rPr>
        <w:t>、</w:t>
      </w:r>
      <w:r>
        <w:rPr>
          <w:bCs/>
          <w:kern w:val="2"/>
        </w:rPr>
        <w:t>CO</w:t>
      </w:r>
      <w:r>
        <w:rPr>
          <w:bCs/>
          <w:kern w:val="2"/>
          <w:vertAlign w:val="subscript"/>
        </w:rPr>
        <w:t>3</w:t>
      </w:r>
      <w:r>
        <w:rPr>
          <w:bCs/>
          <w:kern w:val="2"/>
          <w:vertAlign w:val="superscript"/>
        </w:rPr>
        <w:t>2-</w:t>
      </w:r>
      <w:r>
        <w:rPr>
          <w:bCs/>
          <w:kern w:val="2"/>
        </w:rPr>
        <w:t>、</w:t>
      </w:r>
      <w:r>
        <w:rPr>
          <w:bCs/>
          <w:kern w:val="2"/>
        </w:rPr>
        <w:t>HCO</w:t>
      </w:r>
      <w:r>
        <w:rPr>
          <w:bCs/>
          <w:kern w:val="2"/>
          <w:vertAlign w:val="subscript"/>
        </w:rPr>
        <w:t>3</w:t>
      </w:r>
      <w:r>
        <w:rPr>
          <w:bCs/>
          <w:kern w:val="2"/>
          <w:vertAlign w:val="superscript"/>
        </w:rPr>
        <w:t>-</w:t>
      </w:r>
      <w:r>
        <w:rPr>
          <w:bCs/>
          <w:kern w:val="2"/>
        </w:rPr>
        <w:t>、</w:t>
      </w:r>
      <w:r>
        <w:rPr>
          <w:bCs/>
          <w:kern w:val="2"/>
        </w:rPr>
        <w:t>Cl</w:t>
      </w:r>
      <w:r>
        <w:rPr>
          <w:bCs/>
          <w:kern w:val="2"/>
          <w:vertAlign w:val="superscript"/>
        </w:rPr>
        <w:t>-</w:t>
      </w:r>
      <w:r>
        <w:rPr>
          <w:bCs/>
          <w:kern w:val="2"/>
        </w:rPr>
        <w:t>、</w:t>
      </w:r>
      <w:r>
        <w:rPr>
          <w:bCs/>
          <w:kern w:val="2"/>
        </w:rPr>
        <w:t>SO</w:t>
      </w:r>
      <w:r>
        <w:rPr>
          <w:bCs/>
          <w:kern w:val="2"/>
          <w:vertAlign w:val="subscript"/>
        </w:rPr>
        <w:t>4</w:t>
      </w:r>
      <w:r>
        <w:rPr>
          <w:bCs/>
          <w:kern w:val="2"/>
          <w:vertAlign w:val="superscript"/>
        </w:rPr>
        <w:t>2-</w:t>
      </w:r>
      <w:r>
        <w:rPr>
          <w:rFonts w:hint="eastAsia"/>
          <w:bCs/>
        </w:rPr>
        <w:t>；氨氮、硝酸盐、亚硝酸盐、挥发性酚类、氰化物、砷、汞、铬（六价）、总硬度、铅、镉、氟、铁、锰、溶解性总固体、耗氧量、</w:t>
      </w:r>
      <w:r>
        <w:rPr>
          <w:bCs/>
          <w:kern w:val="2"/>
        </w:rPr>
        <w:t>铜、锌、阴离子表面活性剂、硫化物、总大肠菌群</w:t>
      </w:r>
      <w:r>
        <w:rPr>
          <w:rFonts w:hint="eastAsia"/>
          <w:bCs/>
          <w:kern w:val="2"/>
        </w:rPr>
        <w:t>；</w:t>
      </w:r>
      <w:r>
        <w:rPr>
          <w:rFonts w:hint="eastAsia"/>
          <w:bCs/>
        </w:rPr>
        <w:t>特征因子：钒、总磷，</w:t>
      </w:r>
      <w:r>
        <w:rPr>
          <w:kern w:val="2"/>
        </w:rPr>
        <w:t>共</w:t>
      </w:r>
      <w:r>
        <w:rPr>
          <w:kern w:val="2"/>
        </w:rPr>
        <w:t>3</w:t>
      </w:r>
      <w:r>
        <w:rPr>
          <w:rFonts w:hint="eastAsia"/>
          <w:kern w:val="2"/>
        </w:rPr>
        <w:t>2</w:t>
      </w:r>
      <w:r>
        <w:rPr>
          <w:kern w:val="2"/>
        </w:rPr>
        <w:t>项。</w:t>
      </w:r>
    </w:p>
    <w:p w14:paraId="20C5660F" w14:textId="77777777" w:rsidR="003E78AB" w:rsidRDefault="00010BF9">
      <w:pPr>
        <w:ind w:firstLine="480"/>
        <w:rPr>
          <w:kern w:val="2"/>
        </w:rPr>
      </w:pPr>
      <w:r>
        <w:rPr>
          <w:kern w:val="2"/>
        </w:rPr>
        <w:t>地下水监测项目的采样及分析方法均按照《水环境水质监测质量保证手册》《水和废水监测分析方法》中的有关规定进行。</w:t>
      </w:r>
    </w:p>
    <w:p w14:paraId="4FE91E99" w14:textId="77777777" w:rsidR="003E78AB" w:rsidRDefault="00010BF9">
      <w:pPr>
        <w:ind w:firstLine="480"/>
        <w:contextualSpacing/>
        <w:rPr>
          <w:snapToGrid w:val="0"/>
        </w:rPr>
      </w:pPr>
      <w:bookmarkStart w:id="312" w:name="_Toc319298511"/>
      <w:r>
        <w:rPr>
          <w:snapToGrid w:val="0"/>
        </w:rPr>
        <w:t>（</w:t>
      </w:r>
      <w:r>
        <w:rPr>
          <w:snapToGrid w:val="0"/>
        </w:rPr>
        <w:t>3</w:t>
      </w:r>
      <w:r>
        <w:rPr>
          <w:snapToGrid w:val="0"/>
        </w:rPr>
        <w:t>）评价方法</w:t>
      </w:r>
      <w:bookmarkEnd w:id="312"/>
    </w:p>
    <w:p w14:paraId="3D47A28F" w14:textId="77777777" w:rsidR="003E78AB" w:rsidRDefault="00010BF9">
      <w:pPr>
        <w:ind w:firstLine="480"/>
        <w:rPr>
          <w:kern w:val="2"/>
          <w:sz w:val="21"/>
        </w:rPr>
      </w:pPr>
      <w:r>
        <w:rPr>
          <w:kern w:val="2"/>
        </w:rPr>
        <w:t>采用单因子污染指数法对地下水现状进行评价。公式如下：</w:t>
      </w:r>
    </w:p>
    <w:p w14:paraId="00340CAA" w14:textId="77777777" w:rsidR="003E78AB" w:rsidRDefault="00010BF9">
      <w:pPr>
        <w:ind w:firstLine="420"/>
        <w:rPr>
          <w:kern w:val="2"/>
        </w:rPr>
      </w:pPr>
      <w:r>
        <w:rPr>
          <w:kern w:val="2"/>
          <w:position w:val="-12"/>
          <w:sz w:val="21"/>
        </w:rPr>
        <w:object w:dxaOrig="1440" w:dyaOrig="1440" w14:anchorId="67D67886">
          <v:shape id="_x0000_s1034" type="#_x0000_t75" style="position:absolute;left:0;text-align:left;margin-left:169.95pt;margin-top:5.45pt;width:64.4pt;height:20.7pt;z-index:251670528;mso-wrap-distance-top:0;mso-wrap-distance-bottom:0;mso-width-relative:page;mso-height-relative:page">
            <v:imagedata r:id="rId43" o:title=""/>
            <w10:wrap type="topAndBottom"/>
          </v:shape>
          <o:OLEObject Type="Embed" ProgID="Equation.3" ShapeID="_x0000_s1034" DrawAspect="Content" ObjectID="_1814684995" r:id="rId44"/>
        </w:object>
      </w:r>
      <w:r>
        <w:rPr>
          <w:kern w:val="2"/>
        </w:rPr>
        <w:t>式中：</w:t>
      </w:r>
      <w:r>
        <w:rPr>
          <w:i/>
          <w:iCs/>
          <w:kern w:val="2"/>
        </w:rPr>
        <w:t>P</w:t>
      </w:r>
      <w:r>
        <w:rPr>
          <w:i/>
          <w:iCs/>
          <w:kern w:val="2"/>
          <w:vertAlign w:val="subscript"/>
        </w:rPr>
        <w:t>i</w:t>
      </w:r>
      <w:r>
        <w:rPr>
          <w:kern w:val="2"/>
        </w:rPr>
        <w:t>—</w:t>
      </w:r>
      <w:r>
        <w:rPr>
          <w:i/>
          <w:iCs/>
          <w:kern w:val="2"/>
        </w:rPr>
        <w:t>i</w:t>
      </w:r>
      <w:r>
        <w:rPr>
          <w:kern w:val="2"/>
        </w:rPr>
        <w:t>污染物单因子污染指数；</w:t>
      </w:r>
    </w:p>
    <w:p w14:paraId="76B0F058" w14:textId="77777777" w:rsidR="003E78AB" w:rsidRDefault="00010BF9">
      <w:pPr>
        <w:ind w:firstLine="480"/>
        <w:rPr>
          <w:kern w:val="2"/>
        </w:rPr>
      </w:pPr>
      <w:r>
        <w:rPr>
          <w:i/>
          <w:iCs/>
          <w:kern w:val="2"/>
        </w:rPr>
        <w:t>C</w:t>
      </w:r>
      <w:r>
        <w:rPr>
          <w:i/>
          <w:iCs/>
          <w:kern w:val="2"/>
          <w:vertAlign w:val="subscript"/>
        </w:rPr>
        <w:t>i</w:t>
      </w:r>
      <w:r>
        <w:rPr>
          <w:kern w:val="2"/>
        </w:rPr>
        <w:t>—</w:t>
      </w:r>
      <w:r>
        <w:rPr>
          <w:i/>
          <w:iCs/>
          <w:kern w:val="2"/>
        </w:rPr>
        <w:t>i</w:t>
      </w:r>
      <w:r>
        <w:rPr>
          <w:kern w:val="2"/>
        </w:rPr>
        <w:t>污染物的实测浓度均值</w:t>
      </w:r>
      <w:r>
        <w:rPr>
          <w:kern w:val="2"/>
        </w:rPr>
        <w:t>mg/L</w:t>
      </w:r>
      <w:r>
        <w:rPr>
          <w:kern w:val="2"/>
        </w:rPr>
        <w:t>；</w:t>
      </w:r>
    </w:p>
    <w:p w14:paraId="7D015381" w14:textId="77777777" w:rsidR="003E78AB" w:rsidRDefault="00010BF9">
      <w:pPr>
        <w:ind w:firstLine="480"/>
        <w:rPr>
          <w:kern w:val="2"/>
        </w:rPr>
      </w:pPr>
      <w:r>
        <w:rPr>
          <w:i/>
          <w:iCs/>
          <w:kern w:val="2"/>
        </w:rPr>
        <w:t>Csi</w:t>
      </w:r>
      <w:r>
        <w:rPr>
          <w:kern w:val="2"/>
        </w:rPr>
        <w:t>—</w:t>
      </w:r>
      <w:r>
        <w:rPr>
          <w:i/>
          <w:iCs/>
          <w:kern w:val="2"/>
        </w:rPr>
        <w:t>i</w:t>
      </w:r>
      <w:r>
        <w:rPr>
          <w:kern w:val="2"/>
        </w:rPr>
        <w:t>污染物评价标准值</w:t>
      </w:r>
      <w:r>
        <w:rPr>
          <w:kern w:val="2"/>
        </w:rPr>
        <w:t>mg/L</w:t>
      </w:r>
      <w:r>
        <w:rPr>
          <w:kern w:val="2"/>
        </w:rPr>
        <w:t>；</w:t>
      </w:r>
    </w:p>
    <w:p w14:paraId="36ED7FAA" w14:textId="77777777" w:rsidR="003E78AB" w:rsidRDefault="00010BF9">
      <w:pPr>
        <w:ind w:firstLine="480"/>
        <w:rPr>
          <w:kern w:val="2"/>
        </w:rPr>
      </w:pPr>
      <w:r>
        <w:rPr>
          <w:kern w:val="2"/>
        </w:rPr>
        <w:t>pH</w:t>
      </w:r>
      <w:r>
        <w:rPr>
          <w:kern w:val="2"/>
        </w:rPr>
        <w:t>值单值质量指数模式为：</w:t>
      </w:r>
    </w:p>
    <w:p w14:paraId="504763B7" w14:textId="77777777" w:rsidR="003E78AB" w:rsidRDefault="00010BF9">
      <w:pPr>
        <w:spacing w:line="240" w:lineRule="atLeast"/>
        <w:ind w:firstLine="420"/>
        <w:rPr>
          <w:kern w:val="2"/>
          <w:sz w:val="21"/>
        </w:rPr>
      </w:pPr>
      <w:r>
        <w:rPr>
          <w:kern w:val="2"/>
          <w:position w:val="-10"/>
          <w:sz w:val="21"/>
        </w:rPr>
        <w:object w:dxaOrig="465" w:dyaOrig="330" w14:anchorId="5AF1403A">
          <v:shape id="_x0000_i1036" type="#_x0000_t75" style="width:23.25pt;height:16.5pt" o:ole="" fillcolor="#001">
            <v:imagedata r:id="rId45" o:title=""/>
          </v:shape>
          <o:OLEObject Type="Embed" ProgID="Equation.3" ShapeID="_x0000_i1036" DrawAspect="Content" ObjectID="_1814684979" r:id="rId46"/>
        </w:object>
      </w:r>
      <w:r>
        <w:rPr>
          <w:kern w:val="2"/>
        </w:rPr>
        <w:t>≤7.0</w:t>
      </w:r>
      <w:r>
        <w:rPr>
          <w:kern w:val="2"/>
        </w:rPr>
        <w:t>时</w:t>
      </w:r>
      <w:r>
        <w:rPr>
          <w:kern w:val="2"/>
          <w:sz w:val="21"/>
        </w:rPr>
        <w:t>：</w:t>
      </w:r>
      <w:r>
        <w:rPr>
          <w:kern w:val="2"/>
          <w:position w:val="-30"/>
          <w:sz w:val="21"/>
        </w:rPr>
        <w:object w:dxaOrig="1725" w:dyaOrig="690" w14:anchorId="727F7640">
          <v:shape id="_x0000_i1037" type="#_x0000_t75" style="width:86.25pt;height:34.5pt" o:ole="">
            <v:imagedata r:id="rId47" o:title=""/>
          </v:shape>
          <o:OLEObject Type="Embed" ProgID="Equation.3" ShapeID="_x0000_i1037" DrawAspect="Content" ObjectID="_1814684980" r:id="rId48"/>
        </w:object>
      </w:r>
    </w:p>
    <w:p w14:paraId="569878C4" w14:textId="77777777" w:rsidR="003E78AB" w:rsidRDefault="00010BF9">
      <w:pPr>
        <w:spacing w:line="240" w:lineRule="atLeast"/>
        <w:ind w:firstLine="420"/>
        <w:rPr>
          <w:kern w:val="2"/>
          <w:sz w:val="21"/>
        </w:rPr>
      </w:pPr>
      <w:r>
        <w:rPr>
          <w:kern w:val="2"/>
          <w:position w:val="-10"/>
          <w:sz w:val="21"/>
        </w:rPr>
        <w:object w:dxaOrig="465" w:dyaOrig="330" w14:anchorId="61307ED8">
          <v:shape id="_x0000_i1038" type="#_x0000_t75" style="width:23.25pt;height:16.5pt" o:ole="" fillcolor="#001">
            <v:imagedata r:id="rId49" o:title=""/>
          </v:shape>
          <o:OLEObject Type="Embed" ProgID="Equation.3" ShapeID="_x0000_i1038" DrawAspect="Content" ObjectID="_1814684981" r:id="rId50"/>
        </w:object>
      </w:r>
      <w:r>
        <w:rPr>
          <w:kern w:val="2"/>
        </w:rPr>
        <w:t>＞</w:t>
      </w:r>
      <w:r>
        <w:rPr>
          <w:kern w:val="2"/>
        </w:rPr>
        <w:t>7.0</w:t>
      </w:r>
      <w:r>
        <w:rPr>
          <w:kern w:val="2"/>
        </w:rPr>
        <w:t>时</w:t>
      </w:r>
      <w:r>
        <w:rPr>
          <w:kern w:val="2"/>
          <w:sz w:val="21"/>
        </w:rPr>
        <w:t>：</w:t>
      </w:r>
      <w:r>
        <w:rPr>
          <w:kern w:val="2"/>
          <w:position w:val="-30"/>
          <w:sz w:val="21"/>
        </w:rPr>
        <w:object w:dxaOrig="1740" w:dyaOrig="690" w14:anchorId="55645B95">
          <v:shape id="_x0000_i1039" type="#_x0000_t75" style="width:87pt;height:34.5pt" o:ole="">
            <v:imagedata r:id="rId51" o:title=""/>
          </v:shape>
          <o:OLEObject Type="Embed" ProgID="Equation.3" ShapeID="_x0000_i1039" DrawAspect="Content" ObjectID="_1814684982" r:id="rId52"/>
        </w:object>
      </w:r>
    </w:p>
    <w:p w14:paraId="38A47C21" w14:textId="77777777" w:rsidR="003E78AB" w:rsidRDefault="00010BF9">
      <w:pPr>
        <w:ind w:firstLine="480"/>
        <w:rPr>
          <w:kern w:val="2"/>
        </w:rPr>
      </w:pPr>
      <w:r>
        <w:rPr>
          <w:kern w:val="2"/>
        </w:rPr>
        <w:t>式中：</w:t>
      </w:r>
      <w:r>
        <w:rPr>
          <w:i/>
          <w:iCs/>
          <w:kern w:val="2"/>
        </w:rPr>
        <w:t>P</w:t>
      </w:r>
      <w:r>
        <w:rPr>
          <w:i/>
          <w:iCs/>
          <w:kern w:val="2"/>
          <w:vertAlign w:val="subscript"/>
        </w:rPr>
        <w:t>pH</w:t>
      </w:r>
      <w:r>
        <w:rPr>
          <w:kern w:val="2"/>
        </w:rPr>
        <w:t>—pH</w:t>
      </w:r>
      <w:r>
        <w:rPr>
          <w:kern w:val="2"/>
        </w:rPr>
        <w:t>值评价指数；</w:t>
      </w:r>
    </w:p>
    <w:p w14:paraId="193ABDC1" w14:textId="77777777" w:rsidR="003E78AB" w:rsidRDefault="00010BF9">
      <w:pPr>
        <w:ind w:firstLine="480"/>
        <w:rPr>
          <w:kern w:val="2"/>
        </w:rPr>
      </w:pPr>
      <w:r>
        <w:rPr>
          <w:i/>
          <w:iCs/>
          <w:kern w:val="2"/>
        </w:rPr>
        <w:t>pH</w:t>
      </w:r>
      <w:r>
        <w:rPr>
          <w:i/>
          <w:iCs/>
          <w:kern w:val="2"/>
          <w:vertAlign w:val="subscript"/>
        </w:rPr>
        <w:t>i</w:t>
      </w:r>
      <w:r>
        <w:rPr>
          <w:kern w:val="2"/>
        </w:rPr>
        <w:t>—i</w:t>
      </w:r>
      <w:r>
        <w:rPr>
          <w:kern w:val="2"/>
        </w:rPr>
        <w:t>点实测</w:t>
      </w:r>
      <w:r>
        <w:rPr>
          <w:kern w:val="2"/>
        </w:rPr>
        <w:t>pH</w:t>
      </w:r>
      <w:r>
        <w:rPr>
          <w:kern w:val="2"/>
        </w:rPr>
        <w:t>值；</w:t>
      </w:r>
    </w:p>
    <w:p w14:paraId="7D8E5EB0" w14:textId="77777777" w:rsidR="003E78AB" w:rsidRDefault="00010BF9">
      <w:pPr>
        <w:ind w:firstLine="480"/>
        <w:rPr>
          <w:kern w:val="2"/>
        </w:rPr>
      </w:pPr>
      <w:r>
        <w:rPr>
          <w:i/>
          <w:iCs/>
          <w:kern w:val="2"/>
        </w:rPr>
        <w:t>pH</w:t>
      </w:r>
      <w:r>
        <w:rPr>
          <w:i/>
          <w:iCs/>
          <w:kern w:val="2"/>
          <w:vertAlign w:val="subscript"/>
        </w:rPr>
        <w:t>sd</w:t>
      </w:r>
      <w:r>
        <w:rPr>
          <w:kern w:val="2"/>
        </w:rPr>
        <w:t>—</w:t>
      </w:r>
      <w:r>
        <w:rPr>
          <w:kern w:val="2"/>
        </w:rPr>
        <w:t>标准中</w:t>
      </w:r>
      <w:r>
        <w:rPr>
          <w:kern w:val="2"/>
        </w:rPr>
        <w:t>pH</w:t>
      </w:r>
      <w:r>
        <w:rPr>
          <w:kern w:val="2"/>
        </w:rPr>
        <w:t>的下限值（</w:t>
      </w:r>
      <w:r>
        <w:rPr>
          <w:kern w:val="2"/>
        </w:rPr>
        <w:t>6.5</w:t>
      </w:r>
      <w:r>
        <w:rPr>
          <w:kern w:val="2"/>
        </w:rPr>
        <w:t>）；</w:t>
      </w:r>
    </w:p>
    <w:p w14:paraId="59D39460" w14:textId="77777777" w:rsidR="003E78AB" w:rsidRDefault="00010BF9">
      <w:pPr>
        <w:ind w:firstLine="480"/>
        <w:rPr>
          <w:kern w:val="2"/>
          <w:sz w:val="21"/>
        </w:rPr>
      </w:pPr>
      <w:r>
        <w:rPr>
          <w:i/>
          <w:iCs/>
          <w:kern w:val="2"/>
        </w:rPr>
        <w:t>pH</w:t>
      </w:r>
      <w:r>
        <w:rPr>
          <w:i/>
          <w:iCs/>
          <w:kern w:val="2"/>
          <w:vertAlign w:val="subscript"/>
        </w:rPr>
        <w:t>su</w:t>
      </w:r>
      <w:r>
        <w:rPr>
          <w:kern w:val="2"/>
        </w:rPr>
        <w:t>—</w:t>
      </w:r>
      <w:r>
        <w:rPr>
          <w:kern w:val="2"/>
        </w:rPr>
        <w:t>标准中</w:t>
      </w:r>
      <w:r>
        <w:rPr>
          <w:kern w:val="2"/>
        </w:rPr>
        <w:t>pH</w:t>
      </w:r>
      <w:r>
        <w:rPr>
          <w:kern w:val="2"/>
        </w:rPr>
        <w:t>的上限值（</w:t>
      </w:r>
      <w:r>
        <w:rPr>
          <w:kern w:val="2"/>
        </w:rPr>
        <w:t>8.5</w:t>
      </w:r>
      <w:r>
        <w:rPr>
          <w:kern w:val="2"/>
        </w:rPr>
        <w:t>）</w:t>
      </w:r>
      <w:r>
        <w:rPr>
          <w:kern w:val="2"/>
          <w:sz w:val="21"/>
        </w:rPr>
        <w:t>。</w:t>
      </w:r>
    </w:p>
    <w:p w14:paraId="24F00C41" w14:textId="77777777" w:rsidR="003E78AB" w:rsidRDefault="00010BF9">
      <w:pPr>
        <w:ind w:firstLine="480"/>
        <w:rPr>
          <w:kern w:val="2"/>
        </w:rPr>
      </w:pPr>
      <w:r>
        <w:rPr>
          <w:kern w:val="2"/>
        </w:rPr>
        <w:t>（</w:t>
      </w:r>
      <w:r>
        <w:rPr>
          <w:kern w:val="2"/>
        </w:rPr>
        <w:t>4</w:t>
      </w:r>
      <w:r>
        <w:rPr>
          <w:kern w:val="2"/>
        </w:rPr>
        <w:t>）评价结果</w:t>
      </w:r>
    </w:p>
    <w:p w14:paraId="2812EA3D" w14:textId="77777777" w:rsidR="003E78AB" w:rsidRDefault="00010BF9">
      <w:pPr>
        <w:ind w:firstLine="480"/>
        <w:rPr>
          <w:kern w:val="2"/>
        </w:rPr>
      </w:pPr>
      <w:r>
        <w:rPr>
          <w:kern w:val="2"/>
        </w:rPr>
        <w:t>地下水监测统计结果见</w:t>
      </w:r>
      <w:r>
        <w:rPr>
          <w:kern w:val="2"/>
        </w:rPr>
        <w:fldChar w:fldCharType="begin"/>
      </w:r>
      <w:r>
        <w:rPr>
          <w:kern w:val="2"/>
        </w:rPr>
        <w:instrText xml:space="preserve"> REF _Ref20055 \r \h </w:instrText>
      </w:r>
      <w:r>
        <w:rPr>
          <w:kern w:val="2"/>
        </w:rPr>
      </w:r>
      <w:r>
        <w:rPr>
          <w:kern w:val="2"/>
        </w:rPr>
        <w:fldChar w:fldCharType="separate"/>
      </w:r>
      <w:r>
        <w:rPr>
          <w:kern w:val="2"/>
        </w:rPr>
        <w:t>表</w:t>
      </w:r>
      <w:r>
        <w:rPr>
          <w:kern w:val="2"/>
        </w:rPr>
        <w:t>4-9</w:t>
      </w:r>
      <w:r>
        <w:rPr>
          <w:kern w:val="2"/>
        </w:rPr>
        <w:fldChar w:fldCharType="end"/>
      </w:r>
      <w:r>
        <w:rPr>
          <w:kern w:val="2"/>
        </w:rPr>
        <w:t>。</w:t>
      </w:r>
    </w:p>
    <w:p w14:paraId="78B0EAB7" w14:textId="77777777" w:rsidR="003E78AB" w:rsidRDefault="00010BF9">
      <w:pPr>
        <w:ind w:firstLine="480"/>
        <w:rPr>
          <w:kern w:val="2"/>
        </w:rPr>
      </w:pPr>
      <w:r>
        <w:rPr>
          <w:kern w:val="2"/>
        </w:rPr>
        <w:t>从</w:t>
      </w:r>
      <w:r>
        <w:rPr>
          <w:kern w:val="2"/>
        </w:rPr>
        <w:fldChar w:fldCharType="begin"/>
      </w:r>
      <w:r>
        <w:rPr>
          <w:kern w:val="2"/>
        </w:rPr>
        <w:instrText xml:space="preserve"> REF _Ref20055 \r \h </w:instrText>
      </w:r>
      <w:r>
        <w:rPr>
          <w:kern w:val="2"/>
        </w:rPr>
      </w:r>
      <w:r>
        <w:rPr>
          <w:kern w:val="2"/>
        </w:rPr>
        <w:fldChar w:fldCharType="separate"/>
      </w:r>
      <w:r>
        <w:rPr>
          <w:kern w:val="2"/>
        </w:rPr>
        <w:t>表</w:t>
      </w:r>
      <w:r>
        <w:rPr>
          <w:kern w:val="2"/>
        </w:rPr>
        <w:t>4-9</w:t>
      </w:r>
      <w:r>
        <w:rPr>
          <w:kern w:val="2"/>
        </w:rPr>
        <w:fldChar w:fldCharType="end"/>
      </w:r>
      <w:r>
        <w:rPr>
          <w:kern w:val="2"/>
        </w:rPr>
        <w:t>可知，监测各点位各个因子均满足《地下水质</w:t>
      </w:r>
      <w:r>
        <w:rPr>
          <w:kern w:val="2"/>
        </w:rPr>
        <w:t>量标准》</w:t>
      </w:r>
      <w:r>
        <w:rPr>
          <w:rFonts w:hint="eastAsia"/>
          <w:kern w:val="2"/>
        </w:rPr>
        <w:t>（</w:t>
      </w:r>
      <w:r>
        <w:rPr>
          <w:kern w:val="2"/>
        </w:rPr>
        <w:t>GB14848-2017</w:t>
      </w:r>
      <w:r>
        <w:rPr>
          <w:rFonts w:hint="eastAsia"/>
          <w:kern w:val="2"/>
        </w:rPr>
        <w:t>）</w:t>
      </w:r>
      <w:r>
        <w:rPr>
          <w:kern w:val="2"/>
        </w:rPr>
        <w:t>中的</w:t>
      </w:r>
      <w:r>
        <w:rPr>
          <w:kern w:val="2"/>
        </w:rPr>
        <w:t>Ⅲ</w:t>
      </w:r>
      <w:r>
        <w:rPr>
          <w:kern w:val="2"/>
        </w:rPr>
        <w:t>类标准要求。</w:t>
      </w:r>
    </w:p>
    <w:p w14:paraId="29B804E4" w14:textId="77777777" w:rsidR="003E78AB" w:rsidRDefault="003E78AB">
      <w:pPr>
        <w:ind w:firstLine="480"/>
        <w:sectPr w:rsidR="003E78AB">
          <w:headerReference w:type="default" r:id="rId53"/>
          <w:footerReference w:type="default" r:id="rId54"/>
          <w:pgSz w:w="11906" w:h="16838"/>
          <w:pgMar w:top="1440" w:right="1803" w:bottom="1440" w:left="1803" w:header="851" w:footer="992" w:gutter="0"/>
          <w:cols w:space="720"/>
          <w:docGrid w:linePitch="312"/>
        </w:sectPr>
      </w:pPr>
    </w:p>
    <w:p w14:paraId="13A05D52" w14:textId="77777777" w:rsidR="003E78AB" w:rsidRDefault="00010BF9">
      <w:pPr>
        <w:pStyle w:val="a0"/>
        <w:ind w:left="425" w:hanging="425"/>
        <w:jc w:val="right"/>
        <w:rPr>
          <w:rFonts w:hint="default"/>
        </w:rPr>
      </w:pPr>
      <w:bookmarkStart w:id="313" w:name="_Ref20055"/>
      <w:r>
        <w:rPr>
          <w:rFonts w:hint="default"/>
        </w:rPr>
        <w:t>地下水环境质量现状监测结果表</w:t>
      </w:r>
      <w:r>
        <w:t xml:space="preserve">               </w:t>
      </w:r>
      <w:r>
        <w:rPr>
          <w:rFonts w:hint="default"/>
        </w:rPr>
        <w:t>单位：</w:t>
      </w:r>
      <w:r>
        <w:rPr>
          <w:rFonts w:hint="default"/>
        </w:rPr>
        <w:t>mg/L</w:t>
      </w:r>
      <w:r>
        <w:t>（</w:t>
      </w:r>
      <w:r>
        <w:rPr>
          <w:rFonts w:hint="default"/>
        </w:rPr>
        <w:t>pH</w:t>
      </w:r>
      <w:r>
        <w:rPr>
          <w:rFonts w:hint="default"/>
        </w:rPr>
        <w:t>除外</w:t>
      </w:r>
      <w:r>
        <w:rPr>
          <w:rFonts w:hint="default"/>
        </w:rPr>
        <w:t>)</w:t>
      </w:r>
      <w:bookmarkEnd w:id="313"/>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059"/>
        <w:gridCol w:w="1025"/>
        <w:gridCol w:w="1037"/>
        <w:gridCol w:w="1025"/>
        <w:gridCol w:w="1037"/>
        <w:gridCol w:w="1025"/>
        <w:gridCol w:w="1037"/>
        <w:gridCol w:w="1025"/>
        <w:gridCol w:w="1037"/>
        <w:gridCol w:w="1025"/>
        <w:gridCol w:w="1054"/>
        <w:gridCol w:w="1255"/>
      </w:tblGrid>
      <w:tr w:rsidR="003E78AB" w14:paraId="2D581E85" w14:textId="77777777">
        <w:trPr>
          <w:trHeight w:val="397"/>
          <w:tblHeader/>
        </w:trPr>
        <w:tc>
          <w:tcPr>
            <w:tcW w:w="184" w:type="pct"/>
            <w:vMerge w:val="restart"/>
            <w:tcBorders>
              <w:tl2br w:val="nil"/>
              <w:tr2bl w:val="nil"/>
            </w:tcBorders>
            <w:vAlign w:val="center"/>
          </w:tcPr>
          <w:p w14:paraId="0A28D900"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序号</w:t>
            </w:r>
          </w:p>
        </w:tc>
        <w:tc>
          <w:tcPr>
            <w:tcW w:w="727" w:type="pct"/>
            <w:vMerge w:val="restart"/>
            <w:tcBorders>
              <w:tl2br w:val="nil"/>
              <w:tr2bl w:val="nil"/>
            </w:tcBorders>
            <w:vAlign w:val="center"/>
          </w:tcPr>
          <w:p w14:paraId="5C19900B" w14:textId="77777777" w:rsidR="003E78AB" w:rsidRDefault="00010BF9">
            <w:pPr>
              <w:spacing w:line="360" w:lineRule="exact"/>
              <w:ind w:firstLineChars="0" w:firstLine="0"/>
              <w:jc w:val="center"/>
              <w:rPr>
                <w:b/>
                <w:bCs/>
                <w:kern w:val="2"/>
                <w:sz w:val="21"/>
                <w:szCs w:val="21"/>
                <w:lang w:val="zh-CN" w:bidi="zh-CN"/>
              </w:rPr>
            </w:pPr>
            <w:r>
              <w:rPr>
                <w:b/>
                <w:bCs/>
                <w:spacing w:val="15"/>
                <w:kern w:val="2"/>
                <w:sz w:val="21"/>
                <w:szCs w:val="21"/>
                <w:lang w:val="zh-CN" w:bidi="zh-CN"/>
              </w:rPr>
              <w:t>监测项目</w:t>
            </w:r>
          </w:p>
        </w:tc>
        <w:tc>
          <w:tcPr>
            <w:tcW w:w="728" w:type="pct"/>
            <w:gridSpan w:val="2"/>
            <w:tcBorders>
              <w:tl2br w:val="nil"/>
              <w:tr2bl w:val="nil"/>
            </w:tcBorders>
            <w:vAlign w:val="center"/>
          </w:tcPr>
          <w:p w14:paraId="5BB7D4EE"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W1</w:t>
            </w:r>
          </w:p>
        </w:tc>
        <w:tc>
          <w:tcPr>
            <w:tcW w:w="728" w:type="pct"/>
            <w:gridSpan w:val="2"/>
            <w:tcBorders>
              <w:tl2br w:val="nil"/>
              <w:tr2bl w:val="nil"/>
            </w:tcBorders>
            <w:vAlign w:val="center"/>
          </w:tcPr>
          <w:p w14:paraId="36708D9F"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W2</w:t>
            </w:r>
          </w:p>
        </w:tc>
        <w:tc>
          <w:tcPr>
            <w:tcW w:w="728" w:type="pct"/>
            <w:gridSpan w:val="2"/>
            <w:tcBorders>
              <w:tl2br w:val="nil"/>
              <w:tr2bl w:val="nil"/>
            </w:tcBorders>
            <w:vAlign w:val="center"/>
          </w:tcPr>
          <w:p w14:paraId="16F5DA77"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W3</w:t>
            </w:r>
          </w:p>
        </w:tc>
        <w:tc>
          <w:tcPr>
            <w:tcW w:w="728" w:type="pct"/>
            <w:gridSpan w:val="2"/>
            <w:tcBorders>
              <w:tl2br w:val="nil"/>
              <w:tr2bl w:val="nil"/>
            </w:tcBorders>
            <w:vAlign w:val="center"/>
          </w:tcPr>
          <w:p w14:paraId="70CAC891"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W4</w:t>
            </w:r>
          </w:p>
        </w:tc>
        <w:tc>
          <w:tcPr>
            <w:tcW w:w="734" w:type="pct"/>
            <w:gridSpan w:val="2"/>
            <w:tcBorders>
              <w:tl2br w:val="nil"/>
              <w:tr2bl w:val="nil"/>
            </w:tcBorders>
            <w:vAlign w:val="center"/>
          </w:tcPr>
          <w:p w14:paraId="2E7D4B80"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W5</w:t>
            </w:r>
          </w:p>
        </w:tc>
        <w:tc>
          <w:tcPr>
            <w:tcW w:w="436" w:type="pct"/>
            <w:vMerge w:val="restart"/>
            <w:tcBorders>
              <w:tl2br w:val="nil"/>
              <w:tr2bl w:val="nil"/>
            </w:tcBorders>
            <w:vAlign w:val="center"/>
          </w:tcPr>
          <w:p w14:paraId="17C64BD6" w14:textId="77777777" w:rsidR="003E78AB" w:rsidRDefault="00010BF9">
            <w:pPr>
              <w:spacing w:line="360" w:lineRule="exact"/>
              <w:ind w:firstLineChars="0" w:firstLine="0"/>
              <w:jc w:val="center"/>
              <w:rPr>
                <w:b/>
                <w:bCs/>
                <w:kern w:val="2"/>
                <w:sz w:val="21"/>
                <w:szCs w:val="21"/>
                <w:lang w:val="zh-CN" w:bidi="zh-CN"/>
              </w:rPr>
            </w:pPr>
            <w:r>
              <w:rPr>
                <w:b/>
                <w:bCs/>
                <w:spacing w:val="14"/>
                <w:kern w:val="2"/>
                <w:sz w:val="21"/>
                <w:szCs w:val="21"/>
                <w:lang w:val="zh-CN" w:bidi="zh-CN"/>
              </w:rPr>
              <w:t>标准值</w:t>
            </w:r>
          </w:p>
        </w:tc>
      </w:tr>
      <w:tr w:rsidR="003E78AB" w14:paraId="01B3CF43" w14:textId="77777777">
        <w:trPr>
          <w:trHeight w:val="397"/>
          <w:tblHeader/>
        </w:trPr>
        <w:tc>
          <w:tcPr>
            <w:tcW w:w="184" w:type="pct"/>
            <w:vMerge/>
            <w:tcBorders>
              <w:tl2br w:val="nil"/>
              <w:tr2bl w:val="nil"/>
            </w:tcBorders>
            <w:vAlign w:val="center"/>
          </w:tcPr>
          <w:p w14:paraId="28979CA0" w14:textId="77777777" w:rsidR="003E78AB" w:rsidRDefault="003E78AB">
            <w:pPr>
              <w:spacing w:line="360" w:lineRule="exact"/>
              <w:ind w:firstLineChars="0" w:firstLine="0"/>
              <w:jc w:val="center"/>
              <w:rPr>
                <w:b/>
                <w:bCs/>
                <w:kern w:val="2"/>
                <w:sz w:val="21"/>
                <w:szCs w:val="21"/>
                <w:lang w:val="zh-CN" w:bidi="zh-CN"/>
              </w:rPr>
            </w:pPr>
          </w:p>
        </w:tc>
        <w:tc>
          <w:tcPr>
            <w:tcW w:w="727" w:type="pct"/>
            <w:vMerge/>
            <w:tcBorders>
              <w:tl2br w:val="nil"/>
              <w:tr2bl w:val="nil"/>
            </w:tcBorders>
            <w:vAlign w:val="center"/>
          </w:tcPr>
          <w:p w14:paraId="5B606477" w14:textId="77777777" w:rsidR="003E78AB" w:rsidRDefault="003E78AB">
            <w:pPr>
              <w:spacing w:line="360" w:lineRule="exact"/>
              <w:ind w:firstLineChars="0" w:firstLine="0"/>
              <w:jc w:val="center"/>
              <w:rPr>
                <w:b/>
                <w:bCs/>
                <w:kern w:val="2"/>
                <w:sz w:val="21"/>
                <w:szCs w:val="21"/>
                <w:lang w:val="zh-CN" w:bidi="zh-CN"/>
              </w:rPr>
            </w:pPr>
          </w:p>
        </w:tc>
        <w:tc>
          <w:tcPr>
            <w:tcW w:w="362" w:type="pct"/>
            <w:tcBorders>
              <w:tl2br w:val="nil"/>
              <w:tr2bl w:val="nil"/>
            </w:tcBorders>
            <w:vAlign w:val="center"/>
          </w:tcPr>
          <w:p w14:paraId="1BFB07DE" w14:textId="77777777" w:rsidR="003E78AB" w:rsidRDefault="00010BF9">
            <w:pPr>
              <w:spacing w:line="360" w:lineRule="exact"/>
              <w:ind w:firstLineChars="0" w:firstLine="0"/>
              <w:jc w:val="center"/>
              <w:rPr>
                <w:b/>
                <w:bCs/>
                <w:kern w:val="2"/>
                <w:sz w:val="21"/>
                <w:szCs w:val="21"/>
                <w:lang w:val="zh-CN" w:bidi="zh-CN"/>
              </w:rPr>
            </w:pPr>
            <w:r>
              <w:rPr>
                <w:b/>
                <w:bCs/>
                <w:spacing w:val="14"/>
                <w:kern w:val="2"/>
                <w:sz w:val="21"/>
                <w:szCs w:val="21"/>
                <w:lang w:val="zh-CN" w:bidi="zh-CN"/>
              </w:rPr>
              <w:t>监测值</w:t>
            </w:r>
          </w:p>
        </w:tc>
        <w:tc>
          <w:tcPr>
            <w:tcW w:w="366" w:type="pct"/>
            <w:tcBorders>
              <w:tl2br w:val="nil"/>
              <w:tr2bl w:val="nil"/>
            </w:tcBorders>
            <w:vAlign w:val="center"/>
          </w:tcPr>
          <w:p w14:paraId="086992F0"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Pi</w:t>
            </w:r>
          </w:p>
        </w:tc>
        <w:tc>
          <w:tcPr>
            <w:tcW w:w="362" w:type="pct"/>
            <w:tcBorders>
              <w:tl2br w:val="nil"/>
              <w:tr2bl w:val="nil"/>
            </w:tcBorders>
            <w:vAlign w:val="center"/>
          </w:tcPr>
          <w:p w14:paraId="5536B902" w14:textId="77777777" w:rsidR="003E78AB" w:rsidRDefault="00010BF9">
            <w:pPr>
              <w:spacing w:line="360" w:lineRule="exact"/>
              <w:ind w:firstLineChars="0" w:firstLine="0"/>
              <w:jc w:val="center"/>
              <w:rPr>
                <w:b/>
                <w:bCs/>
                <w:kern w:val="2"/>
                <w:sz w:val="21"/>
                <w:szCs w:val="21"/>
                <w:lang w:val="zh-CN" w:bidi="zh-CN"/>
              </w:rPr>
            </w:pPr>
            <w:r>
              <w:rPr>
                <w:b/>
                <w:bCs/>
                <w:spacing w:val="14"/>
                <w:kern w:val="2"/>
                <w:sz w:val="21"/>
                <w:szCs w:val="21"/>
                <w:lang w:val="zh-CN" w:bidi="zh-CN"/>
              </w:rPr>
              <w:t>监测值</w:t>
            </w:r>
          </w:p>
        </w:tc>
        <w:tc>
          <w:tcPr>
            <w:tcW w:w="366" w:type="pct"/>
            <w:tcBorders>
              <w:tl2br w:val="nil"/>
              <w:tr2bl w:val="nil"/>
            </w:tcBorders>
            <w:vAlign w:val="center"/>
          </w:tcPr>
          <w:p w14:paraId="2F6467EE"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Pi</w:t>
            </w:r>
          </w:p>
        </w:tc>
        <w:tc>
          <w:tcPr>
            <w:tcW w:w="362" w:type="pct"/>
            <w:tcBorders>
              <w:tl2br w:val="nil"/>
              <w:tr2bl w:val="nil"/>
            </w:tcBorders>
            <w:vAlign w:val="center"/>
          </w:tcPr>
          <w:p w14:paraId="39F3E602" w14:textId="77777777" w:rsidR="003E78AB" w:rsidRDefault="00010BF9">
            <w:pPr>
              <w:spacing w:line="360" w:lineRule="exact"/>
              <w:ind w:firstLineChars="0" w:firstLine="0"/>
              <w:jc w:val="center"/>
              <w:rPr>
                <w:b/>
                <w:bCs/>
                <w:kern w:val="2"/>
                <w:sz w:val="21"/>
                <w:szCs w:val="21"/>
                <w:lang w:val="zh-CN" w:bidi="zh-CN"/>
              </w:rPr>
            </w:pPr>
            <w:r>
              <w:rPr>
                <w:b/>
                <w:bCs/>
                <w:spacing w:val="14"/>
                <w:kern w:val="2"/>
                <w:sz w:val="21"/>
                <w:szCs w:val="21"/>
                <w:lang w:val="zh-CN" w:bidi="zh-CN"/>
              </w:rPr>
              <w:t>监测值</w:t>
            </w:r>
          </w:p>
        </w:tc>
        <w:tc>
          <w:tcPr>
            <w:tcW w:w="366" w:type="pct"/>
            <w:tcBorders>
              <w:tl2br w:val="nil"/>
              <w:tr2bl w:val="nil"/>
            </w:tcBorders>
            <w:vAlign w:val="center"/>
          </w:tcPr>
          <w:p w14:paraId="5CCBBEAE"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Pi</w:t>
            </w:r>
          </w:p>
        </w:tc>
        <w:tc>
          <w:tcPr>
            <w:tcW w:w="362" w:type="pct"/>
            <w:tcBorders>
              <w:tl2br w:val="nil"/>
              <w:tr2bl w:val="nil"/>
            </w:tcBorders>
            <w:vAlign w:val="center"/>
          </w:tcPr>
          <w:p w14:paraId="0F5EFEE4" w14:textId="77777777" w:rsidR="003E78AB" w:rsidRDefault="00010BF9">
            <w:pPr>
              <w:spacing w:line="360" w:lineRule="exact"/>
              <w:ind w:firstLineChars="0" w:firstLine="0"/>
              <w:jc w:val="center"/>
              <w:rPr>
                <w:b/>
                <w:bCs/>
                <w:kern w:val="2"/>
                <w:sz w:val="21"/>
                <w:szCs w:val="21"/>
                <w:lang w:val="zh-CN" w:bidi="zh-CN"/>
              </w:rPr>
            </w:pPr>
            <w:r>
              <w:rPr>
                <w:b/>
                <w:bCs/>
                <w:spacing w:val="14"/>
                <w:kern w:val="2"/>
                <w:sz w:val="21"/>
                <w:szCs w:val="21"/>
                <w:lang w:val="zh-CN" w:bidi="zh-CN"/>
              </w:rPr>
              <w:t>监测值</w:t>
            </w:r>
          </w:p>
        </w:tc>
        <w:tc>
          <w:tcPr>
            <w:tcW w:w="366" w:type="pct"/>
            <w:tcBorders>
              <w:tl2br w:val="nil"/>
              <w:tr2bl w:val="nil"/>
            </w:tcBorders>
            <w:vAlign w:val="center"/>
          </w:tcPr>
          <w:p w14:paraId="4A6536F6"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Pi</w:t>
            </w:r>
          </w:p>
        </w:tc>
        <w:tc>
          <w:tcPr>
            <w:tcW w:w="362" w:type="pct"/>
            <w:tcBorders>
              <w:tl2br w:val="nil"/>
              <w:tr2bl w:val="nil"/>
            </w:tcBorders>
            <w:vAlign w:val="center"/>
          </w:tcPr>
          <w:p w14:paraId="27FA55CF" w14:textId="77777777" w:rsidR="003E78AB" w:rsidRDefault="00010BF9">
            <w:pPr>
              <w:spacing w:line="360" w:lineRule="exact"/>
              <w:ind w:firstLineChars="0" w:firstLine="0"/>
              <w:jc w:val="center"/>
              <w:rPr>
                <w:b/>
                <w:bCs/>
                <w:kern w:val="2"/>
                <w:sz w:val="21"/>
                <w:szCs w:val="21"/>
                <w:lang w:val="zh-CN" w:bidi="zh-CN"/>
              </w:rPr>
            </w:pPr>
            <w:r>
              <w:rPr>
                <w:b/>
                <w:bCs/>
                <w:spacing w:val="14"/>
                <w:kern w:val="2"/>
                <w:sz w:val="21"/>
                <w:szCs w:val="21"/>
                <w:lang w:val="zh-CN" w:bidi="zh-CN"/>
              </w:rPr>
              <w:t>监测值</w:t>
            </w:r>
          </w:p>
        </w:tc>
        <w:tc>
          <w:tcPr>
            <w:tcW w:w="372" w:type="pct"/>
            <w:tcBorders>
              <w:tl2br w:val="nil"/>
              <w:tr2bl w:val="nil"/>
            </w:tcBorders>
            <w:vAlign w:val="center"/>
          </w:tcPr>
          <w:p w14:paraId="49BAA2E4" w14:textId="77777777" w:rsidR="003E78AB" w:rsidRDefault="00010BF9">
            <w:pPr>
              <w:spacing w:line="360" w:lineRule="exact"/>
              <w:ind w:firstLineChars="0" w:firstLine="0"/>
              <w:jc w:val="center"/>
              <w:rPr>
                <w:b/>
                <w:bCs/>
                <w:kern w:val="2"/>
                <w:sz w:val="21"/>
                <w:szCs w:val="21"/>
                <w:lang w:val="zh-CN" w:bidi="zh-CN"/>
              </w:rPr>
            </w:pPr>
            <w:r>
              <w:rPr>
                <w:b/>
                <w:bCs/>
                <w:spacing w:val="3"/>
                <w:kern w:val="2"/>
                <w:sz w:val="21"/>
                <w:szCs w:val="21"/>
                <w:lang w:val="zh-CN" w:bidi="zh-CN"/>
              </w:rPr>
              <w:t>Pi</w:t>
            </w:r>
          </w:p>
        </w:tc>
        <w:tc>
          <w:tcPr>
            <w:tcW w:w="436" w:type="pct"/>
            <w:vMerge/>
            <w:tcBorders>
              <w:tl2br w:val="nil"/>
              <w:tr2bl w:val="nil"/>
            </w:tcBorders>
            <w:vAlign w:val="center"/>
          </w:tcPr>
          <w:p w14:paraId="1807E39D" w14:textId="77777777" w:rsidR="003E78AB" w:rsidRDefault="003E78AB">
            <w:pPr>
              <w:spacing w:line="360" w:lineRule="exact"/>
              <w:ind w:firstLineChars="0" w:firstLine="0"/>
              <w:jc w:val="center"/>
              <w:rPr>
                <w:b/>
                <w:bCs/>
                <w:kern w:val="2"/>
                <w:sz w:val="21"/>
                <w:szCs w:val="21"/>
                <w:lang w:val="zh-CN" w:bidi="zh-CN"/>
              </w:rPr>
            </w:pPr>
          </w:p>
        </w:tc>
      </w:tr>
      <w:tr w:rsidR="003E78AB" w14:paraId="0FEF3E4D" w14:textId="77777777">
        <w:trPr>
          <w:trHeight w:val="397"/>
        </w:trPr>
        <w:tc>
          <w:tcPr>
            <w:tcW w:w="184" w:type="pct"/>
            <w:tcBorders>
              <w:tl2br w:val="nil"/>
              <w:tr2bl w:val="nil"/>
            </w:tcBorders>
            <w:vAlign w:val="center"/>
          </w:tcPr>
          <w:p w14:paraId="6A22ECEB" w14:textId="77777777" w:rsidR="003E78AB" w:rsidRDefault="00010BF9">
            <w:pPr>
              <w:spacing w:line="360" w:lineRule="exact"/>
              <w:ind w:firstLineChars="0" w:firstLine="0"/>
              <w:jc w:val="center"/>
              <w:rPr>
                <w:kern w:val="2"/>
                <w:sz w:val="21"/>
                <w:szCs w:val="21"/>
              </w:rPr>
            </w:pPr>
            <w:r>
              <w:rPr>
                <w:kern w:val="2"/>
                <w:sz w:val="21"/>
                <w:szCs w:val="21"/>
              </w:rPr>
              <w:t>1</w:t>
            </w:r>
          </w:p>
        </w:tc>
        <w:tc>
          <w:tcPr>
            <w:tcW w:w="727" w:type="pct"/>
            <w:tcBorders>
              <w:tl2br w:val="nil"/>
              <w:tr2bl w:val="nil"/>
            </w:tcBorders>
            <w:vAlign w:val="center"/>
          </w:tcPr>
          <w:p w14:paraId="58E7DA53" w14:textId="77777777" w:rsidR="003E78AB" w:rsidRDefault="00010BF9">
            <w:pPr>
              <w:spacing w:line="360" w:lineRule="exact"/>
              <w:ind w:firstLineChars="0" w:firstLine="0"/>
              <w:jc w:val="center"/>
              <w:rPr>
                <w:bCs/>
                <w:kern w:val="2"/>
                <w:sz w:val="21"/>
                <w:szCs w:val="21"/>
              </w:rPr>
            </w:pPr>
            <w:r>
              <w:rPr>
                <w:rFonts w:hint="eastAsia"/>
                <w:bCs/>
                <w:kern w:val="2"/>
                <w:sz w:val="21"/>
                <w:szCs w:val="21"/>
              </w:rPr>
              <w:t>K</w:t>
            </w:r>
            <w:r>
              <w:rPr>
                <w:rFonts w:hint="eastAsia"/>
                <w:bCs/>
                <w:kern w:val="2"/>
                <w:sz w:val="21"/>
                <w:szCs w:val="21"/>
                <w:vertAlign w:val="superscript"/>
              </w:rPr>
              <w:t>+</w:t>
            </w:r>
          </w:p>
        </w:tc>
        <w:tc>
          <w:tcPr>
            <w:tcW w:w="362" w:type="pct"/>
            <w:tcBorders>
              <w:tl2br w:val="nil"/>
              <w:tr2bl w:val="nil"/>
            </w:tcBorders>
            <w:vAlign w:val="center"/>
          </w:tcPr>
          <w:p w14:paraId="51AF82A9"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6" w:type="pct"/>
            <w:tcBorders>
              <w:tl2br w:val="nil"/>
              <w:tr2bl w:val="nil"/>
            </w:tcBorders>
            <w:vAlign w:val="center"/>
          </w:tcPr>
          <w:p w14:paraId="5534656F"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56243D92" w14:textId="77777777" w:rsidR="003E78AB" w:rsidRDefault="00010BF9">
            <w:pPr>
              <w:pStyle w:val="B1"/>
              <w:widowControl w:val="0"/>
              <w:rPr>
                <w:rFonts w:cs="Times New Roman"/>
                <w:kern w:val="2"/>
                <w:szCs w:val="21"/>
                <w:lang w:bidi="zh-CN"/>
              </w:rPr>
            </w:pPr>
            <w:r>
              <w:rPr>
                <w:rFonts w:hint="eastAsia"/>
              </w:rPr>
              <w:t>6.88</w:t>
            </w:r>
          </w:p>
        </w:tc>
        <w:tc>
          <w:tcPr>
            <w:tcW w:w="366" w:type="pct"/>
            <w:tcBorders>
              <w:tl2br w:val="nil"/>
              <w:tr2bl w:val="nil"/>
            </w:tcBorders>
            <w:vAlign w:val="center"/>
          </w:tcPr>
          <w:p w14:paraId="475AF99B"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08269AE9" w14:textId="77777777" w:rsidR="003E78AB" w:rsidRDefault="00010BF9">
            <w:pPr>
              <w:spacing w:line="360" w:lineRule="exact"/>
              <w:ind w:firstLineChars="0" w:firstLine="0"/>
              <w:jc w:val="center"/>
              <w:rPr>
                <w:kern w:val="2"/>
                <w:sz w:val="21"/>
                <w:szCs w:val="21"/>
                <w:lang w:bidi="zh-CN"/>
              </w:rPr>
            </w:pPr>
            <w:r>
              <w:rPr>
                <w:kern w:val="2"/>
                <w:sz w:val="21"/>
                <w:szCs w:val="21"/>
                <w:lang w:bidi="zh-CN"/>
              </w:rPr>
              <w:t>19.8</w:t>
            </w:r>
          </w:p>
        </w:tc>
        <w:tc>
          <w:tcPr>
            <w:tcW w:w="366" w:type="pct"/>
            <w:tcBorders>
              <w:tl2br w:val="nil"/>
              <w:tr2bl w:val="nil"/>
            </w:tcBorders>
            <w:vAlign w:val="center"/>
          </w:tcPr>
          <w:p w14:paraId="4C1189D3"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57E151CC" w14:textId="77777777" w:rsidR="003E78AB" w:rsidRDefault="00010BF9">
            <w:pPr>
              <w:pStyle w:val="B1"/>
              <w:widowControl w:val="0"/>
              <w:rPr>
                <w:rFonts w:cs="Times New Roman"/>
                <w:kern w:val="2"/>
                <w:szCs w:val="21"/>
              </w:rPr>
            </w:pPr>
            <w:r>
              <w:rPr>
                <w:rFonts w:cs="Times New Roman" w:hint="eastAsia"/>
                <w:szCs w:val="21"/>
              </w:rPr>
              <w:t>3.10</w:t>
            </w:r>
          </w:p>
        </w:tc>
        <w:tc>
          <w:tcPr>
            <w:tcW w:w="366" w:type="pct"/>
            <w:tcBorders>
              <w:tl2br w:val="nil"/>
              <w:tr2bl w:val="nil"/>
            </w:tcBorders>
            <w:vAlign w:val="center"/>
          </w:tcPr>
          <w:p w14:paraId="7A0BD965"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339FF32D" w14:textId="77777777" w:rsidR="003E78AB" w:rsidRDefault="00010BF9">
            <w:pPr>
              <w:spacing w:line="360" w:lineRule="exact"/>
              <w:ind w:firstLineChars="0" w:firstLine="0"/>
              <w:jc w:val="center"/>
              <w:rPr>
                <w:kern w:val="2"/>
                <w:sz w:val="21"/>
                <w:szCs w:val="21"/>
              </w:rPr>
            </w:pPr>
            <w:r>
              <w:rPr>
                <w:rFonts w:hint="eastAsia"/>
                <w:kern w:val="2"/>
                <w:sz w:val="21"/>
                <w:szCs w:val="21"/>
              </w:rPr>
              <w:t>12.8</w:t>
            </w:r>
          </w:p>
        </w:tc>
        <w:tc>
          <w:tcPr>
            <w:tcW w:w="372" w:type="pct"/>
            <w:tcBorders>
              <w:tl2br w:val="nil"/>
              <w:tr2bl w:val="nil"/>
            </w:tcBorders>
            <w:vAlign w:val="center"/>
          </w:tcPr>
          <w:p w14:paraId="1A40C603"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c>
          <w:tcPr>
            <w:tcW w:w="436" w:type="pct"/>
            <w:tcBorders>
              <w:tl2br w:val="nil"/>
              <w:tr2bl w:val="nil"/>
            </w:tcBorders>
            <w:vAlign w:val="center"/>
          </w:tcPr>
          <w:p w14:paraId="41F93190"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r>
      <w:tr w:rsidR="003E78AB" w14:paraId="6240FADA" w14:textId="77777777">
        <w:trPr>
          <w:trHeight w:val="397"/>
        </w:trPr>
        <w:tc>
          <w:tcPr>
            <w:tcW w:w="184" w:type="pct"/>
            <w:tcBorders>
              <w:tl2br w:val="nil"/>
              <w:tr2bl w:val="nil"/>
            </w:tcBorders>
            <w:vAlign w:val="center"/>
          </w:tcPr>
          <w:p w14:paraId="6835D368" w14:textId="77777777" w:rsidR="003E78AB" w:rsidRDefault="00010BF9">
            <w:pPr>
              <w:spacing w:line="360" w:lineRule="exact"/>
              <w:ind w:firstLineChars="0" w:firstLine="0"/>
              <w:jc w:val="center"/>
              <w:rPr>
                <w:kern w:val="2"/>
                <w:sz w:val="21"/>
                <w:szCs w:val="21"/>
              </w:rPr>
            </w:pPr>
            <w:r>
              <w:rPr>
                <w:kern w:val="2"/>
                <w:sz w:val="21"/>
                <w:szCs w:val="21"/>
              </w:rPr>
              <w:t>2</w:t>
            </w:r>
          </w:p>
        </w:tc>
        <w:tc>
          <w:tcPr>
            <w:tcW w:w="727" w:type="pct"/>
            <w:tcBorders>
              <w:tl2br w:val="nil"/>
              <w:tr2bl w:val="nil"/>
            </w:tcBorders>
            <w:vAlign w:val="center"/>
          </w:tcPr>
          <w:p w14:paraId="73FC28E6" w14:textId="77777777" w:rsidR="003E78AB" w:rsidRDefault="00010BF9">
            <w:pPr>
              <w:spacing w:line="360" w:lineRule="exact"/>
              <w:ind w:firstLineChars="0" w:firstLine="0"/>
              <w:jc w:val="center"/>
              <w:rPr>
                <w:bCs/>
                <w:kern w:val="2"/>
                <w:sz w:val="21"/>
                <w:szCs w:val="21"/>
              </w:rPr>
            </w:pPr>
            <w:r>
              <w:rPr>
                <w:rFonts w:hint="eastAsia"/>
                <w:bCs/>
                <w:kern w:val="2"/>
                <w:sz w:val="21"/>
                <w:szCs w:val="21"/>
              </w:rPr>
              <w:t>Na</w:t>
            </w:r>
          </w:p>
        </w:tc>
        <w:tc>
          <w:tcPr>
            <w:tcW w:w="362" w:type="pct"/>
            <w:tcBorders>
              <w:tl2br w:val="nil"/>
              <w:tr2bl w:val="nil"/>
            </w:tcBorders>
            <w:vAlign w:val="center"/>
          </w:tcPr>
          <w:p w14:paraId="2BBA03E1"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6" w:type="pct"/>
            <w:tcBorders>
              <w:tl2br w:val="nil"/>
              <w:tr2bl w:val="nil"/>
            </w:tcBorders>
            <w:vAlign w:val="center"/>
          </w:tcPr>
          <w:p w14:paraId="1A33A030"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499515EC" w14:textId="77777777" w:rsidR="003E78AB" w:rsidRDefault="00010BF9">
            <w:pPr>
              <w:pStyle w:val="B1"/>
              <w:widowControl w:val="0"/>
              <w:rPr>
                <w:rFonts w:cs="Times New Roman"/>
                <w:kern w:val="2"/>
                <w:szCs w:val="21"/>
                <w:lang w:bidi="zh-CN"/>
              </w:rPr>
            </w:pPr>
            <w:r>
              <w:rPr>
                <w:rFonts w:hint="eastAsia"/>
              </w:rPr>
              <w:t>12.4</w:t>
            </w:r>
          </w:p>
        </w:tc>
        <w:tc>
          <w:tcPr>
            <w:tcW w:w="366" w:type="pct"/>
            <w:tcBorders>
              <w:tl2br w:val="nil"/>
              <w:tr2bl w:val="nil"/>
            </w:tcBorders>
            <w:vAlign w:val="center"/>
          </w:tcPr>
          <w:p w14:paraId="7776D952"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257C0FC8" w14:textId="77777777" w:rsidR="003E78AB" w:rsidRDefault="00010BF9">
            <w:pPr>
              <w:spacing w:line="360" w:lineRule="exact"/>
              <w:ind w:firstLineChars="0" w:firstLine="0"/>
              <w:jc w:val="center"/>
              <w:rPr>
                <w:kern w:val="2"/>
                <w:sz w:val="21"/>
                <w:szCs w:val="21"/>
                <w:lang w:bidi="zh-CN"/>
              </w:rPr>
            </w:pPr>
            <w:r>
              <w:rPr>
                <w:kern w:val="2"/>
                <w:sz w:val="21"/>
                <w:szCs w:val="21"/>
                <w:lang w:bidi="zh-CN"/>
              </w:rPr>
              <w:t>112</w:t>
            </w:r>
          </w:p>
        </w:tc>
        <w:tc>
          <w:tcPr>
            <w:tcW w:w="366" w:type="pct"/>
            <w:tcBorders>
              <w:tl2br w:val="nil"/>
              <w:tr2bl w:val="nil"/>
            </w:tcBorders>
            <w:vAlign w:val="center"/>
          </w:tcPr>
          <w:p w14:paraId="23764233"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0AD67081" w14:textId="77777777" w:rsidR="003E78AB" w:rsidRDefault="00010BF9">
            <w:pPr>
              <w:pStyle w:val="B1"/>
              <w:widowControl w:val="0"/>
              <w:rPr>
                <w:rFonts w:cs="Times New Roman"/>
                <w:kern w:val="2"/>
                <w:szCs w:val="21"/>
              </w:rPr>
            </w:pPr>
            <w:r>
              <w:rPr>
                <w:rFonts w:cs="Times New Roman" w:hint="eastAsia"/>
                <w:szCs w:val="21"/>
              </w:rPr>
              <w:t>150</w:t>
            </w:r>
          </w:p>
        </w:tc>
        <w:tc>
          <w:tcPr>
            <w:tcW w:w="366" w:type="pct"/>
            <w:tcBorders>
              <w:tl2br w:val="nil"/>
              <w:tr2bl w:val="nil"/>
            </w:tcBorders>
            <w:vAlign w:val="center"/>
          </w:tcPr>
          <w:p w14:paraId="5FA6AD66"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18570629" w14:textId="77777777" w:rsidR="003E78AB" w:rsidRDefault="00010BF9">
            <w:pPr>
              <w:spacing w:line="360" w:lineRule="exact"/>
              <w:ind w:firstLineChars="0" w:firstLine="0"/>
              <w:jc w:val="center"/>
              <w:rPr>
                <w:kern w:val="2"/>
                <w:sz w:val="21"/>
                <w:szCs w:val="21"/>
              </w:rPr>
            </w:pPr>
            <w:r>
              <w:rPr>
                <w:rFonts w:hint="eastAsia"/>
                <w:kern w:val="2"/>
                <w:sz w:val="21"/>
                <w:szCs w:val="21"/>
              </w:rPr>
              <w:t>83.6</w:t>
            </w:r>
          </w:p>
        </w:tc>
        <w:tc>
          <w:tcPr>
            <w:tcW w:w="372" w:type="pct"/>
            <w:tcBorders>
              <w:tl2br w:val="nil"/>
              <w:tr2bl w:val="nil"/>
            </w:tcBorders>
            <w:vAlign w:val="center"/>
          </w:tcPr>
          <w:p w14:paraId="5D942025"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16A20FB3"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r>
      <w:tr w:rsidR="003E78AB" w14:paraId="1E151880" w14:textId="77777777">
        <w:trPr>
          <w:trHeight w:val="397"/>
        </w:trPr>
        <w:tc>
          <w:tcPr>
            <w:tcW w:w="184" w:type="pct"/>
            <w:tcBorders>
              <w:tl2br w:val="nil"/>
              <w:tr2bl w:val="nil"/>
            </w:tcBorders>
            <w:vAlign w:val="center"/>
          </w:tcPr>
          <w:p w14:paraId="71E45934" w14:textId="77777777" w:rsidR="003E78AB" w:rsidRDefault="00010BF9">
            <w:pPr>
              <w:spacing w:line="360" w:lineRule="exact"/>
              <w:ind w:firstLineChars="0" w:firstLine="0"/>
              <w:jc w:val="center"/>
              <w:rPr>
                <w:kern w:val="2"/>
                <w:sz w:val="21"/>
                <w:szCs w:val="21"/>
              </w:rPr>
            </w:pPr>
            <w:r>
              <w:rPr>
                <w:kern w:val="2"/>
                <w:sz w:val="21"/>
                <w:szCs w:val="21"/>
              </w:rPr>
              <w:t>3</w:t>
            </w:r>
          </w:p>
        </w:tc>
        <w:tc>
          <w:tcPr>
            <w:tcW w:w="727" w:type="pct"/>
            <w:tcBorders>
              <w:tl2br w:val="nil"/>
              <w:tr2bl w:val="nil"/>
            </w:tcBorders>
            <w:vAlign w:val="center"/>
          </w:tcPr>
          <w:p w14:paraId="603F2230" w14:textId="77777777" w:rsidR="003E78AB" w:rsidRDefault="00010BF9">
            <w:pPr>
              <w:spacing w:line="360" w:lineRule="exact"/>
              <w:ind w:firstLineChars="0" w:firstLine="0"/>
              <w:jc w:val="center"/>
              <w:rPr>
                <w:bCs/>
                <w:kern w:val="2"/>
                <w:sz w:val="21"/>
                <w:szCs w:val="21"/>
              </w:rPr>
            </w:pPr>
            <w:r>
              <w:rPr>
                <w:rFonts w:hint="eastAsia"/>
                <w:bCs/>
                <w:kern w:val="2"/>
                <w:sz w:val="21"/>
                <w:szCs w:val="21"/>
              </w:rPr>
              <w:t>Ca</w:t>
            </w:r>
            <w:r>
              <w:rPr>
                <w:rFonts w:hint="eastAsia"/>
                <w:bCs/>
                <w:kern w:val="2"/>
                <w:sz w:val="21"/>
                <w:szCs w:val="21"/>
                <w:vertAlign w:val="superscript"/>
              </w:rPr>
              <w:t>2+</w:t>
            </w:r>
          </w:p>
        </w:tc>
        <w:tc>
          <w:tcPr>
            <w:tcW w:w="362" w:type="pct"/>
            <w:tcBorders>
              <w:tl2br w:val="nil"/>
              <w:tr2bl w:val="nil"/>
            </w:tcBorders>
            <w:vAlign w:val="center"/>
          </w:tcPr>
          <w:p w14:paraId="710F86D7"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6" w:type="pct"/>
            <w:tcBorders>
              <w:tl2br w:val="nil"/>
              <w:tr2bl w:val="nil"/>
            </w:tcBorders>
            <w:vAlign w:val="center"/>
          </w:tcPr>
          <w:p w14:paraId="7BB4EC86"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66E2CBC9" w14:textId="77777777" w:rsidR="003E78AB" w:rsidRDefault="00010BF9">
            <w:pPr>
              <w:pStyle w:val="B1"/>
              <w:widowControl w:val="0"/>
              <w:rPr>
                <w:rFonts w:cs="Times New Roman"/>
                <w:kern w:val="2"/>
                <w:szCs w:val="21"/>
                <w:lang w:bidi="zh-CN"/>
              </w:rPr>
            </w:pPr>
            <w:r>
              <w:rPr>
                <w:rFonts w:hint="eastAsia"/>
              </w:rPr>
              <w:t>45.5</w:t>
            </w:r>
          </w:p>
        </w:tc>
        <w:tc>
          <w:tcPr>
            <w:tcW w:w="366" w:type="pct"/>
            <w:tcBorders>
              <w:tl2br w:val="nil"/>
              <w:tr2bl w:val="nil"/>
            </w:tcBorders>
            <w:vAlign w:val="center"/>
          </w:tcPr>
          <w:p w14:paraId="25B0C8A5"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0A0E27A1" w14:textId="77777777" w:rsidR="003E78AB" w:rsidRDefault="00010BF9">
            <w:pPr>
              <w:spacing w:line="360" w:lineRule="exact"/>
              <w:ind w:firstLineChars="0" w:firstLine="0"/>
              <w:jc w:val="center"/>
              <w:rPr>
                <w:kern w:val="2"/>
                <w:sz w:val="21"/>
                <w:szCs w:val="21"/>
                <w:lang w:bidi="zh-CN"/>
              </w:rPr>
            </w:pPr>
            <w:r>
              <w:rPr>
                <w:kern w:val="2"/>
                <w:sz w:val="21"/>
                <w:szCs w:val="21"/>
                <w:lang w:bidi="zh-CN"/>
              </w:rPr>
              <w:t>101</w:t>
            </w:r>
          </w:p>
        </w:tc>
        <w:tc>
          <w:tcPr>
            <w:tcW w:w="366" w:type="pct"/>
            <w:tcBorders>
              <w:tl2br w:val="nil"/>
              <w:tr2bl w:val="nil"/>
            </w:tcBorders>
            <w:vAlign w:val="center"/>
          </w:tcPr>
          <w:p w14:paraId="5C12FC1E"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5F5EE051" w14:textId="77777777" w:rsidR="003E78AB" w:rsidRDefault="00010BF9">
            <w:pPr>
              <w:pStyle w:val="B1"/>
              <w:widowControl w:val="0"/>
              <w:rPr>
                <w:rFonts w:cs="Times New Roman"/>
                <w:kern w:val="2"/>
                <w:szCs w:val="21"/>
              </w:rPr>
            </w:pPr>
            <w:r>
              <w:rPr>
                <w:rFonts w:hint="eastAsia"/>
              </w:rPr>
              <w:t>102</w:t>
            </w:r>
          </w:p>
        </w:tc>
        <w:tc>
          <w:tcPr>
            <w:tcW w:w="366" w:type="pct"/>
            <w:tcBorders>
              <w:tl2br w:val="nil"/>
              <w:tr2bl w:val="nil"/>
            </w:tcBorders>
            <w:vAlign w:val="center"/>
          </w:tcPr>
          <w:p w14:paraId="55D05FF6"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35FE46B8" w14:textId="77777777" w:rsidR="003E78AB" w:rsidRDefault="00010BF9">
            <w:pPr>
              <w:spacing w:line="360" w:lineRule="exact"/>
              <w:ind w:firstLineChars="0" w:firstLine="0"/>
              <w:jc w:val="center"/>
              <w:rPr>
                <w:kern w:val="2"/>
                <w:sz w:val="21"/>
                <w:szCs w:val="21"/>
              </w:rPr>
            </w:pPr>
            <w:r>
              <w:rPr>
                <w:rFonts w:hint="eastAsia"/>
                <w:kern w:val="2"/>
                <w:sz w:val="21"/>
                <w:szCs w:val="21"/>
              </w:rPr>
              <w:t>16.2</w:t>
            </w:r>
          </w:p>
        </w:tc>
        <w:tc>
          <w:tcPr>
            <w:tcW w:w="372" w:type="pct"/>
            <w:tcBorders>
              <w:tl2br w:val="nil"/>
              <w:tr2bl w:val="nil"/>
            </w:tcBorders>
            <w:vAlign w:val="center"/>
          </w:tcPr>
          <w:p w14:paraId="76EBDF53"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51E3753A"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r>
      <w:tr w:rsidR="003E78AB" w14:paraId="13EC3BEE" w14:textId="77777777">
        <w:trPr>
          <w:trHeight w:val="397"/>
        </w:trPr>
        <w:tc>
          <w:tcPr>
            <w:tcW w:w="184" w:type="pct"/>
            <w:tcBorders>
              <w:tl2br w:val="nil"/>
              <w:tr2bl w:val="nil"/>
            </w:tcBorders>
            <w:vAlign w:val="center"/>
          </w:tcPr>
          <w:p w14:paraId="2A59A597" w14:textId="77777777" w:rsidR="003E78AB" w:rsidRDefault="00010BF9">
            <w:pPr>
              <w:spacing w:line="360" w:lineRule="exact"/>
              <w:ind w:firstLineChars="0" w:firstLine="0"/>
              <w:jc w:val="center"/>
              <w:rPr>
                <w:kern w:val="2"/>
                <w:sz w:val="21"/>
                <w:szCs w:val="21"/>
              </w:rPr>
            </w:pPr>
            <w:r>
              <w:rPr>
                <w:kern w:val="2"/>
                <w:sz w:val="21"/>
                <w:szCs w:val="21"/>
              </w:rPr>
              <w:t>4</w:t>
            </w:r>
          </w:p>
        </w:tc>
        <w:tc>
          <w:tcPr>
            <w:tcW w:w="727" w:type="pct"/>
            <w:tcBorders>
              <w:tl2br w:val="nil"/>
              <w:tr2bl w:val="nil"/>
            </w:tcBorders>
            <w:vAlign w:val="center"/>
          </w:tcPr>
          <w:p w14:paraId="4C326972" w14:textId="77777777" w:rsidR="003E78AB" w:rsidRDefault="00010BF9">
            <w:pPr>
              <w:spacing w:line="360" w:lineRule="exact"/>
              <w:ind w:firstLineChars="0" w:firstLine="0"/>
              <w:jc w:val="center"/>
              <w:rPr>
                <w:bCs/>
                <w:kern w:val="2"/>
                <w:sz w:val="21"/>
                <w:szCs w:val="21"/>
              </w:rPr>
            </w:pPr>
            <w:r>
              <w:rPr>
                <w:rFonts w:hint="eastAsia"/>
                <w:bCs/>
                <w:kern w:val="2"/>
                <w:sz w:val="21"/>
                <w:szCs w:val="21"/>
              </w:rPr>
              <w:t>Mg</w:t>
            </w:r>
            <w:r>
              <w:rPr>
                <w:rFonts w:hint="eastAsia"/>
                <w:bCs/>
                <w:kern w:val="2"/>
                <w:sz w:val="21"/>
                <w:szCs w:val="21"/>
                <w:vertAlign w:val="superscript"/>
              </w:rPr>
              <w:t>2+</w:t>
            </w:r>
          </w:p>
        </w:tc>
        <w:tc>
          <w:tcPr>
            <w:tcW w:w="362" w:type="pct"/>
            <w:tcBorders>
              <w:tl2br w:val="nil"/>
              <w:tr2bl w:val="nil"/>
            </w:tcBorders>
            <w:vAlign w:val="center"/>
          </w:tcPr>
          <w:p w14:paraId="45042137"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6" w:type="pct"/>
            <w:tcBorders>
              <w:tl2br w:val="nil"/>
              <w:tr2bl w:val="nil"/>
            </w:tcBorders>
            <w:vAlign w:val="center"/>
          </w:tcPr>
          <w:p w14:paraId="4A7B1CE9"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7010FFFE" w14:textId="77777777" w:rsidR="003E78AB" w:rsidRDefault="00010BF9">
            <w:pPr>
              <w:pStyle w:val="B1"/>
              <w:widowControl w:val="0"/>
              <w:rPr>
                <w:rFonts w:cs="Times New Roman"/>
                <w:kern w:val="2"/>
                <w:szCs w:val="21"/>
                <w:lang w:bidi="zh-CN"/>
              </w:rPr>
            </w:pPr>
            <w:r>
              <w:rPr>
                <w:rFonts w:hint="eastAsia"/>
              </w:rPr>
              <w:t>0.17</w:t>
            </w:r>
          </w:p>
        </w:tc>
        <w:tc>
          <w:tcPr>
            <w:tcW w:w="366" w:type="pct"/>
            <w:tcBorders>
              <w:tl2br w:val="nil"/>
              <w:tr2bl w:val="nil"/>
            </w:tcBorders>
            <w:vAlign w:val="center"/>
          </w:tcPr>
          <w:p w14:paraId="57399BF2"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582089AD" w14:textId="77777777" w:rsidR="003E78AB" w:rsidRDefault="00010BF9">
            <w:pPr>
              <w:spacing w:line="360" w:lineRule="exact"/>
              <w:ind w:firstLineChars="0" w:firstLine="0"/>
              <w:jc w:val="center"/>
              <w:rPr>
                <w:kern w:val="2"/>
                <w:sz w:val="21"/>
                <w:szCs w:val="21"/>
                <w:lang w:bidi="zh-CN"/>
              </w:rPr>
            </w:pPr>
            <w:r>
              <w:rPr>
                <w:kern w:val="2"/>
                <w:sz w:val="21"/>
                <w:szCs w:val="21"/>
                <w:lang w:bidi="zh-CN"/>
              </w:rPr>
              <w:t>0.02</w:t>
            </w:r>
          </w:p>
        </w:tc>
        <w:tc>
          <w:tcPr>
            <w:tcW w:w="366" w:type="pct"/>
            <w:tcBorders>
              <w:tl2br w:val="nil"/>
              <w:tr2bl w:val="nil"/>
            </w:tcBorders>
            <w:vAlign w:val="center"/>
          </w:tcPr>
          <w:p w14:paraId="734E87DD"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26BF1735" w14:textId="77777777" w:rsidR="003E78AB" w:rsidRDefault="00010BF9">
            <w:pPr>
              <w:pStyle w:val="B1"/>
              <w:widowControl w:val="0"/>
              <w:rPr>
                <w:rFonts w:cs="Times New Roman"/>
                <w:kern w:val="2"/>
                <w:szCs w:val="21"/>
              </w:rPr>
            </w:pPr>
            <w:r>
              <w:rPr>
                <w:rFonts w:hint="eastAsia"/>
              </w:rPr>
              <w:t>20.6</w:t>
            </w:r>
          </w:p>
        </w:tc>
        <w:tc>
          <w:tcPr>
            <w:tcW w:w="366" w:type="pct"/>
            <w:tcBorders>
              <w:tl2br w:val="nil"/>
              <w:tr2bl w:val="nil"/>
            </w:tcBorders>
            <w:vAlign w:val="center"/>
          </w:tcPr>
          <w:p w14:paraId="0BEA11B7"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2DB65B92" w14:textId="77777777" w:rsidR="003E78AB" w:rsidRDefault="00010BF9">
            <w:pPr>
              <w:spacing w:line="360" w:lineRule="exact"/>
              <w:ind w:firstLineChars="0" w:firstLine="0"/>
              <w:jc w:val="center"/>
              <w:rPr>
                <w:kern w:val="2"/>
                <w:sz w:val="21"/>
                <w:szCs w:val="21"/>
              </w:rPr>
            </w:pPr>
            <w:r>
              <w:rPr>
                <w:rFonts w:hint="eastAsia"/>
                <w:kern w:val="2"/>
                <w:sz w:val="21"/>
                <w:szCs w:val="21"/>
              </w:rPr>
              <w:t>0.08</w:t>
            </w:r>
          </w:p>
        </w:tc>
        <w:tc>
          <w:tcPr>
            <w:tcW w:w="372" w:type="pct"/>
            <w:tcBorders>
              <w:tl2br w:val="nil"/>
              <w:tr2bl w:val="nil"/>
            </w:tcBorders>
            <w:vAlign w:val="center"/>
          </w:tcPr>
          <w:p w14:paraId="47E3AB75"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043582EC"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r>
      <w:tr w:rsidR="003E78AB" w14:paraId="2ECC69C5" w14:textId="77777777">
        <w:trPr>
          <w:trHeight w:val="397"/>
        </w:trPr>
        <w:tc>
          <w:tcPr>
            <w:tcW w:w="184" w:type="pct"/>
            <w:tcBorders>
              <w:tl2br w:val="nil"/>
              <w:tr2bl w:val="nil"/>
            </w:tcBorders>
            <w:vAlign w:val="center"/>
          </w:tcPr>
          <w:p w14:paraId="68C3C2AB" w14:textId="77777777" w:rsidR="003E78AB" w:rsidRDefault="00010BF9">
            <w:pPr>
              <w:spacing w:line="360" w:lineRule="exact"/>
              <w:ind w:firstLineChars="0" w:firstLine="0"/>
              <w:jc w:val="center"/>
              <w:rPr>
                <w:kern w:val="2"/>
                <w:sz w:val="21"/>
                <w:szCs w:val="21"/>
              </w:rPr>
            </w:pPr>
            <w:r>
              <w:rPr>
                <w:kern w:val="2"/>
                <w:sz w:val="21"/>
                <w:szCs w:val="21"/>
              </w:rPr>
              <w:t>5</w:t>
            </w:r>
          </w:p>
        </w:tc>
        <w:tc>
          <w:tcPr>
            <w:tcW w:w="727" w:type="pct"/>
            <w:tcBorders>
              <w:tl2br w:val="nil"/>
              <w:tr2bl w:val="nil"/>
            </w:tcBorders>
            <w:vAlign w:val="center"/>
          </w:tcPr>
          <w:p w14:paraId="39101694" w14:textId="77777777" w:rsidR="003E78AB" w:rsidRDefault="00010BF9">
            <w:pPr>
              <w:spacing w:line="360" w:lineRule="exact"/>
              <w:ind w:firstLineChars="0" w:firstLine="0"/>
              <w:jc w:val="center"/>
              <w:rPr>
                <w:bCs/>
                <w:kern w:val="2"/>
                <w:sz w:val="21"/>
                <w:szCs w:val="21"/>
              </w:rPr>
            </w:pPr>
            <w:r>
              <w:rPr>
                <w:bCs/>
                <w:kern w:val="2"/>
                <w:sz w:val="21"/>
                <w:szCs w:val="21"/>
              </w:rPr>
              <w:t>CO</w:t>
            </w:r>
            <w:r>
              <w:rPr>
                <w:bCs/>
                <w:kern w:val="2"/>
                <w:sz w:val="21"/>
                <w:szCs w:val="21"/>
                <w:vertAlign w:val="subscript"/>
              </w:rPr>
              <w:t>3</w:t>
            </w:r>
            <w:r>
              <w:rPr>
                <w:bCs/>
                <w:kern w:val="2"/>
                <w:sz w:val="21"/>
                <w:szCs w:val="21"/>
                <w:vertAlign w:val="superscript"/>
              </w:rPr>
              <w:t>2-</w:t>
            </w:r>
          </w:p>
        </w:tc>
        <w:tc>
          <w:tcPr>
            <w:tcW w:w="362" w:type="pct"/>
            <w:tcBorders>
              <w:tl2br w:val="nil"/>
              <w:tr2bl w:val="nil"/>
            </w:tcBorders>
            <w:vAlign w:val="center"/>
          </w:tcPr>
          <w:p w14:paraId="393EFA4B"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6" w:type="pct"/>
            <w:tcBorders>
              <w:tl2br w:val="nil"/>
              <w:tr2bl w:val="nil"/>
            </w:tcBorders>
            <w:vAlign w:val="center"/>
          </w:tcPr>
          <w:p w14:paraId="4014D082"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798FED14" w14:textId="77777777" w:rsidR="003E78AB" w:rsidRDefault="00010BF9">
            <w:pPr>
              <w:pStyle w:val="B1"/>
              <w:widowControl w:val="0"/>
              <w:rPr>
                <w:rFonts w:cs="Times New Roman"/>
                <w:kern w:val="2"/>
                <w:szCs w:val="21"/>
                <w:lang w:bidi="zh-CN"/>
              </w:rPr>
            </w:pPr>
            <w:r>
              <w:t>＜</w:t>
            </w:r>
            <w:r>
              <w:rPr>
                <w:rFonts w:hint="eastAsia"/>
              </w:rPr>
              <w:t>5</w:t>
            </w:r>
          </w:p>
        </w:tc>
        <w:tc>
          <w:tcPr>
            <w:tcW w:w="366" w:type="pct"/>
            <w:tcBorders>
              <w:tl2br w:val="nil"/>
              <w:tr2bl w:val="nil"/>
            </w:tcBorders>
            <w:vAlign w:val="center"/>
          </w:tcPr>
          <w:p w14:paraId="21872103"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580A3699" w14:textId="77777777" w:rsidR="003E78AB" w:rsidRDefault="00010BF9">
            <w:pPr>
              <w:spacing w:line="360" w:lineRule="exact"/>
              <w:ind w:firstLineChars="0" w:firstLine="0"/>
              <w:jc w:val="center"/>
              <w:rPr>
                <w:kern w:val="2"/>
                <w:sz w:val="21"/>
                <w:szCs w:val="21"/>
                <w:lang w:bidi="zh-CN"/>
              </w:rPr>
            </w:pPr>
            <w:r>
              <w:rPr>
                <w:kern w:val="2"/>
                <w:sz w:val="21"/>
                <w:szCs w:val="21"/>
                <w:lang w:bidi="zh-CN"/>
              </w:rPr>
              <w:t>28</w:t>
            </w:r>
          </w:p>
        </w:tc>
        <w:tc>
          <w:tcPr>
            <w:tcW w:w="366" w:type="pct"/>
            <w:tcBorders>
              <w:tl2br w:val="nil"/>
              <w:tr2bl w:val="nil"/>
            </w:tcBorders>
            <w:vAlign w:val="center"/>
          </w:tcPr>
          <w:p w14:paraId="1ADD6280"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3A1896F3" w14:textId="77777777" w:rsidR="003E78AB" w:rsidRDefault="00010BF9">
            <w:pPr>
              <w:pStyle w:val="B1"/>
              <w:widowControl w:val="0"/>
              <w:rPr>
                <w:rFonts w:cs="Times New Roman"/>
                <w:kern w:val="2"/>
                <w:szCs w:val="21"/>
              </w:rPr>
            </w:pPr>
            <w:r>
              <w:t>＜</w:t>
            </w:r>
            <w:r>
              <w:rPr>
                <w:rFonts w:hint="eastAsia"/>
              </w:rPr>
              <w:t>5</w:t>
            </w:r>
          </w:p>
        </w:tc>
        <w:tc>
          <w:tcPr>
            <w:tcW w:w="366" w:type="pct"/>
            <w:tcBorders>
              <w:tl2br w:val="nil"/>
              <w:tr2bl w:val="nil"/>
            </w:tcBorders>
            <w:vAlign w:val="center"/>
          </w:tcPr>
          <w:p w14:paraId="5C63C8EF"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7B205ECC" w14:textId="77777777" w:rsidR="003E78AB" w:rsidRDefault="00010BF9">
            <w:pPr>
              <w:spacing w:line="360" w:lineRule="exact"/>
              <w:ind w:firstLineChars="0" w:firstLine="0"/>
              <w:jc w:val="center"/>
              <w:rPr>
                <w:kern w:val="2"/>
                <w:sz w:val="21"/>
                <w:szCs w:val="21"/>
              </w:rPr>
            </w:pPr>
            <w:r>
              <w:rPr>
                <w:rFonts w:hint="eastAsia"/>
                <w:kern w:val="2"/>
                <w:sz w:val="21"/>
                <w:szCs w:val="21"/>
              </w:rPr>
              <w:t>5L</w:t>
            </w:r>
          </w:p>
        </w:tc>
        <w:tc>
          <w:tcPr>
            <w:tcW w:w="372" w:type="pct"/>
            <w:tcBorders>
              <w:tl2br w:val="nil"/>
              <w:tr2bl w:val="nil"/>
            </w:tcBorders>
            <w:vAlign w:val="center"/>
          </w:tcPr>
          <w:p w14:paraId="23E1C07B"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26A1F8A4"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r>
      <w:tr w:rsidR="003E78AB" w14:paraId="5742914A" w14:textId="77777777">
        <w:trPr>
          <w:trHeight w:val="397"/>
        </w:trPr>
        <w:tc>
          <w:tcPr>
            <w:tcW w:w="184" w:type="pct"/>
            <w:tcBorders>
              <w:tl2br w:val="nil"/>
              <w:tr2bl w:val="nil"/>
            </w:tcBorders>
            <w:vAlign w:val="center"/>
          </w:tcPr>
          <w:p w14:paraId="73027B43" w14:textId="77777777" w:rsidR="003E78AB" w:rsidRDefault="00010BF9">
            <w:pPr>
              <w:spacing w:line="360" w:lineRule="exact"/>
              <w:ind w:firstLineChars="0" w:firstLine="0"/>
              <w:jc w:val="center"/>
              <w:rPr>
                <w:kern w:val="2"/>
                <w:sz w:val="21"/>
                <w:szCs w:val="21"/>
              </w:rPr>
            </w:pPr>
            <w:r>
              <w:rPr>
                <w:kern w:val="2"/>
                <w:sz w:val="21"/>
                <w:szCs w:val="21"/>
              </w:rPr>
              <w:t>6</w:t>
            </w:r>
          </w:p>
        </w:tc>
        <w:tc>
          <w:tcPr>
            <w:tcW w:w="727" w:type="pct"/>
            <w:tcBorders>
              <w:tl2br w:val="nil"/>
              <w:tr2bl w:val="nil"/>
            </w:tcBorders>
            <w:vAlign w:val="center"/>
          </w:tcPr>
          <w:p w14:paraId="413FAB3B" w14:textId="77777777" w:rsidR="003E78AB" w:rsidRDefault="00010BF9">
            <w:pPr>
              <w:spacing w:line="360" w:lineRule="exact"/>
              <w:ind w:firstLineChars="0" w:firstLine="0"/>
              <w:jc w:val="center"/>
              <w:rPr>
                <w:bCs/>
                <w:kern w:val="2"/>
                <w:sz w:val="21"/>
                <w:szCs w:val="21"/>
              </w:rPr>
            </w:pPr>
            <w:r>
              <w:rPr>
                <w:bCs/>
                <w:kern w:val="2"/>
                <w:sz w:val="21"/>
                <w:szCs w:val="21"/>
              </w:rPr>
              <w:t>HCO</w:t>
            </w:r>
            <w:r>
              <w:rPr>
                <w:bCs/>
                <w:kern w:val="2"/>
                <w:sz w:val="21"/>
                <w:szCs w:val="21"/>
                <w:vertAlign w:val="subscript"/>
              </w:rPr>
              <w:t>3</w:t>
            </w:r>
            <w:r>
              <w:rPr>
                <w:bCs/>
                <w:kern w:val="2"/>
                <w:sz w:val="21"/>
                <w:szCs w:val="21"/>
                <w:vertAlign w:val="superscript"/>
              </w:rPr>
              <w:t>-</w:t>
            </w:r>
          </w:p>
        </w:tc>
        <w:tc>
          <w:tcPr>
            <w:tcW w:w="362" w:type="pct"/>
            <w:tcBorders>
              <w:tl2br w:val="nil"/>
              <w:tr2bl w:val="nil"/>
            </w:tcBorders>
            <w:vAlign w:val="center"/>
          </w:tcPr>
          <w:p w14:paraId="4298D3DF"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6" w:type="pct"/>
            <w:tcBorders>
              <w:tl2br w:val="nil"/>
              <w:tr2bl w:val="nil"/>
            </w:tcBorders>
            <w:vAlign w:val="center"/>
          </w:tcPr>
          <w:p w14:paraId="7C04D8E4"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61019C96" w14:textId="77777777" w:rsidR="003E78AB" w:rsidRDefault="00010BF9">
            <w:pPr>
              <w:pStyle w:val="B1"/>
              <w:widowControl w:val="0"/>
              <w:rPr>
                <w:rFonts w:cs="Times New Roman"/>
                <w:kern w:val="2"/>
                <w:szCs w:val="21"/>
                <w:lang w:bidi="zh-CN"/>
              </w:rPr>
            </w:pPr>
            <w:r>
              <w:rPr>
                <w:rFonts w:cs="Times New Roman" w:hint="eastAsia"/>
                <w:szCs w:val="21"/>
              </w:rPr>
              <w:t>107</w:t>
            </w:r>
          </w:p>
        </w:tc>
        <w:tc>
          <w:tcPr>
            <w:tcW w:w="366" w:type="pct"/>
            <w:tcBorders>
              <w:tl2br w:val="nil"/>
              <w:tr2bl w:val="nil"/>
            </w:tcBorders>
            <w:vAlign w:val="center"/>
          </w:tcPr>
          <w:p w14:paraId="15E106C7"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74CDC36D" w14:textId="77777777" w:rsidR="003E78AB" w:rsidRDefault="00010BF9">
            <w:pPr>
              <w:spacing w:line="360" w:lineRule="exact"/>
              <w:ind w:firstLineChars="0" w:firstLine="0"/>
              <w:jc w:val="center"/>
              <w:rPr>
                <w:kern w:val="2"/>
                <w:sz w:val="21"/>
                <w:szCs w:val="21"/>
                <w:lang w:bidi="zh-CN"/>
              </w:rPr>
            </w:pPr>
            <w:r>
              <w:rPr>
                <w:kern w:val="2"/>
                <w:sz w:val="21"/>
                <w:szCs w:val="21"/>
                <w:lang w:bidi="zh-CN"/>
              </w:rPr>
              <w:t>ND</w:t>
            </w:r>
          </w:p>
        </w:tc>
        <w:tc>
          <w:tcPr>
            <w:tcW w:w="366" w:type="pct"/>
            <w:tcBorders>
              <w:tl2br w:val="nil"/>
              <w:tr2bl w:val="nil"/>
            </w:tcBorders>
            <w:vAlign w:val="center"/>
          </w:tcPr>
          <w:p w14:paraId="14CF2336"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698696C5" w14:textId="77777777" w:rsidR="003E78AB" w:rsidRDefault="00010BF9">
            <w:pPr>
              <w:pStyle w:val="B1"/>
              <w:widowControl w:val="0"/>
              <w:rPr>
                <w:rFonts w:cs="Times New Roman"/>
                <w:kern w:val="2"/>
                <w:szCs w:val="21"/>
              </w:rPr>
            </w:pPr>
            <w:r>
              <w:rPr>
                <w:rFonts w:cs="Times New Roman" w:hint="eastAsia"/>
                <w:szCs w:val="21"/>
              </w:rPr>
              <w:t>112</w:t>
            </w:r>
          </w:p>
        </w:tc>
        <w:tc>
          <w:tcPr>
            <w:tcW w:w="366" w:type="pct"/>
            <w:tcBorders>
              <w:tl2br w:val="nil"/>
              <w:tr2bl w:val="nil"/>
            </w:tcBorders>
            <w:vAlign w:val="center"/>
          </w:tcPr>
          <w:p w14:paraId="6B5300B2"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6A4E938A" w14:textId="77777777" w:rsidR="003E78AB" w:rsidRDefault="00010BF9">
            <w:pPr>
              <w:spacing w:line="360" w:lineRule="exact"/>
              <w:ind w:firstLineChars="0" w:firstLine="0"/>
              <w:jc w:val="center"/>
              <w:rPr>
                <w:kern w:val="2"/>
                <w:sz w:val="21"/>
                <w:szCs w:val="21"/>
              </w:rPr>
            </w:pPr>
            <w:r>
              <w:rPr>
                <w:rFonts w:hint="eastAsia"/>
                <w:kern w:val="2"/>
                <w:sz w:val="21"/>
                <w:szCs w:val="21"/>
              </w:rPr>
              <w:t>152</w:t>
            </w:r>
          </w:p>
        </w:tc>
        <w:tc>
          <w:tcPr>
            <w:tcW w:w="372" w:type="pct"/>
            <w:tcBorders>
              <w:tl2br w:val="nil"/>
              <w:tr2bl w:val="nil"/>
            </w:tcBorders>
            <w:vAlign w:val="center"/>
          </w:tcPr>
          <w:p w14:paraId="637EFE1B"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19E73E02" w14:textId="77777777" w:rsidR="003E78AB" w:rsidRDefault="00010BF9">
            <w:pPr>
              <w:spacing w:line="360" w:lineRule="exact"/>
              <w:ind w:firstLineChars="0" w:firstLine="0"/>
              <w:jc w:val="center"/>
              <w:rPr>
                <w:kern w:val="2"/>
                <w:sz w:val="21"/>
                <w:szCs w:val="21"/>
                <w:lang w:bidi="zh-CN"/>
              </w:rPr>
            </w:pPr>
            <w:r>
              <w:rPr>
                <w:kern w:val="2"/>
                <w:sz w:val="21"/>
                <w:szCs w:val="21"/>
                <w:lang w:bidi="zh-CN"/>
              </w:rPr>
              <w:t>/</w:t>
            </w:r>
          </w:p>
        </w:tc>
      </w:tr>
      <w:tr w:rsidR="003E78AB" w14:paraId="3089E423" w14:textId="77777777">
        <w:trPr>
          <w:trHeight w:val="397"/>
        </w:trPr>
        <w:tc>
          <w:tcPr>
            <w:tcW w:w="184" w:type="pct"/>
            <w:tcBorders>
              <w:tl2br w:val="nil"/>
              <w:tr2bl w:val="nil"/>
            </w:tcBorders>
            <w:vAlign w:val="center"/>
          </w:tcPr>
          <w:p w14:paraId="2FCCB76C" w14:textId="77777777" w:rsidR="003E78AB" w:rsidRDefault="00010BF9">
            <w:pPr>
              <w:spacing w:line="360" w:lineRule="exact"/>
              <w:ind w:firstLineChars="0" w:firstLine="0"/>
              <w:jc w:val="center"/>
              <w:rPr>
                <w:kern w:val="2"/>
                <w:sz w:val="21"/>
                <w:szCs w:val="21"/>
              </w:rPr>
            </w:pPr>
            <w:r>
              <w:rPr>
                <w:kern w:val="2"/>
                <w:sz w:val="21"/>
                <w:szCs w:val="21"/>
              </w:rPr>
              <w:t>7</w:t>
            </w:r>
          </w:p>
        </w:tc>
        <w:tc>
          <w:tcPr>
            <w:tcW w:w="727" w:type="pct"/>
            <w:tcBorders>
              <w:tl2br w:val="nil"/>
              <w:tr2bl w:val="nil"/>
            </w:tcBorders>
            <w:vAlign w:val="center"/>
          </w:tcPr>
          <w:p w14:paraId="5BA58785" w14:textId="77777777" w:rsidR="003E78AB" w:rsidRDefault="00010BF9">
            <w:pPr>
              <w:spacing w:line="360" w:lineRule="exact"/>
              <w:ind w:firstLineChars="0" w:firstLine="0"/>
              <w:jc w:val="center"/>
              <w:rPr>
                <w:kern w:val="2"/>
                <w:sz w:val="21"/>
                <w:szCs w:val="21"/>
              </w:rPr>
            </w:pPr>
            <w:r>
              <w:rPr>
                <w:kern w:val="2"/>
                <w:sz w:val="21"/>
                <w:szCs w:val="21"/>
              </w:rPr>
              <w:t>pH</w:t>
            </w:r>
            <w:r>
              <w:rPr>
                <w:kern w:val="2"/>
                <w:sz w:val="21"/>
                <w:szCs w:val="21"/>
              </w:rPr>
              <w:t>值</w:t>
            </w:r>
          </w:p>
        </w:tc>
        <w:tc>
          <w:tcPr>
            <w:tcW w:w="362" w:type="pct"/>
            <w:tcBorders>
              <w:tl2br w:val="nil"/>
              <w:tr2bl w:val="nil"/>
            </w:tcBorders>
            <w:vAlign w:val="center"/>
          </w:tcPr>
          <w:p w14:paraId="784CD89F" w14:textId="77777777" w:rsidR="003E78AB" w:rsidRDefault="00010BF9">
            <w:pPr>
              <w:spacing w:line="360" w:lineRule="exact"/>
              <w:ind w:firstLineChars="0" w:firstLine="0"/>
              <w:jc w:val="center"/>
              <w:rPr>
                <w:kern w:val="2"/>
                <w:sz w:val="21"/>
                <w:szCs w:val="21"/>
                <w:lang w:bidi="zh-CN"/>
              </w:rPr>
            </w:pPr>
            <w:r>
              <w:rPr>
                <w:kern w:val="2"/>
                <w:sz w:val="21"/>
                <w:szCs w:val="21"/>
                <w:lang w:bidi="zh-CN"/>
              </w:rPr>
              <w:t>7.</w:t>
            </w:r>
            <w:r>
              <w:rPr>
                <w:rFonts w:hint="eastAsia"/>
                <w:kern w:val="2"/>
                <w:sz w:val="21"/>
                <w:szCs w:val="21"/>
                <w:lang w:bidi="zh-CN"/>
              </w:rPr>
              <w:t>4</w:t>
            </w:r>
          </w:p>
        </w:tc>
        <w:tc>
          <w:tcPr>
            <w:tcW w:w="366" w:type="pct"/>
            <w:tcBorders>
              <w:tl2br w:val="nil"/>
              <w:tr2bl w:val="nil"/>
            </w:tcBorders>
            <w:vAlign w:val="center"/>
          </w:tcPr>
          <w:p w14:paraId="371F4DC3"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0.27</w:t>
            </w:r>
          </w:p>
        </w:tc>
        <w:tc>
          <w:tcPr>
            <w:tcW w:w="362" w:type="pct"/>
            <w:tcBorders>
              <w:tl2br w:val="nil"/>
              <w:tr2bl w:val="nil"/>
            </w:tcBorders>
            <w:vAlign w:val="center"/>
          </w:tcPr>
          <w:p w14:paraId="46F71160"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7.2</w:t>
            </w:r>
          </w:p>
        </w:tc>
        <w:tc>
          <w:tcPr>
            <w:tcW w:w="366" w:type="pct"/>
            <w:tcBorders>
              <w:tl2br w:val="nil"/>
              <w:tr2bl w:val="nil"/>
            </w:tcBorders>
            <w:vAlign w:val="center"/>
          </w:tcPr>
          <w:p w14:paraId="0F625A0F"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0.13</w:t>
            </w:r>
          </w:p>
        </w:tc>
        <w:tc>
          <w:tcPr>
            <w:tcW w:w="362" w:type="pct"/>
            <w:tcBorders>
              <w:tl2br w:val="nil"/>
              <w:tr2bl w:val="nil"/>
            </w:tcBorders>
            <w:vAlign w:val="center"/>
          </w:tcPr>
          <w:p w14:paraId="4B259E2E"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7.5</w:t>
            </w:r>
          </w:p>
        </w:tc>
        <w:tc>
          <w:tcPr>
            <w:tcW w:w="366" w:type="pct"/>
            <w:tcBorders>
              <w:tl2br w:val="nil"/>
              <w:tr2bl w:val="nil"/>
            </w:tcBorders>
            <w:vAlign w:val="center"/>
          </w:tcPr>
          <w:p w14:paraId="7D323568"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0.33</w:t>
            </w:r>
          </w:p>
        </w:tc>
        <w:tc>
          <w:tcPr>
            <w:tcW w:w="362" w:type="pct"/>
            <w:tcBorders>
              <w:tl2br w:val="nil"/>
              <w:tr2bl w:val="nil"/>
            </w:tcBorders>
            <w:vAlign w:val="center"/>
          </w:tcPr>
          <w:p w14:paraId="0A37C9CD" w14:textId="77777777" w:rsidR="003E78AB" w:rsidRDefault="00010BF9">
            <w:pPr>
              <w:spacing w:line="360" w:lineRule="exact"/>
              <w:ind w:firstLineChars="0" w:firstLine="0"/>
              <w:jc w:val="center"/>
              <w:rPr>
                <w:kern w:val="2"/>
                <w:sz w:val="21"/>
                <w:szCs w:val="21"/>
              </w:rPr>
            </w:pPr>
            <w:r>
              <w:rPr>
                <w:rFonts w:hint="eastAsia"/>
                <w:kern w:val="2"/>
                <w:sz w:val="21"/>
                <w:szCs w:val="21"/>
              </w:rPr>
              <w:t>7.3</w:t>
            </w:r>
          </w:p>
        </w:tc>
        <w:tc>
          <w:tcPr>
            <w:tcW w:w="366" w:type="pct"/>
            <w:tcBorders>
              <w:tl2br w:val="nil"/>
              <w:tr2bl w:val="nil"/>
            </w:tcBorders>
            <w:vAlign w:val="center"/>
          </w:tcPr>
          <w:p w14:paraId="19456A0F"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0.2</w:t>
            </w:r>
          </w:p>
        </w:tc>
        <w:tc>
          <w:tcPr>
            <w:tcW w:w="362" w:type="pct"/>
            <w:tcBorders>
              <w:tl2br w:val="nil"/>
              <w:tr2bl w:val="nil"/>
            </w:tcBorders>
            <w:vAlign w:val="center"/>
          </w:tcPr>
          <w:p w14:paraId="170277DA" w14:textId="77777777" w:rsidR="003E78AB" w:rsidRDefault="00010BF9">
            <w:pPr>
              <w:spacing w:line="360" w:lineRule="exact"/>
              <w:ind w:firstLineChars="0" w:firstLine="0"/>
              <w:jc w:val="center"/>
              <w:rPr>
                <w:kern w:val="2"/>
                <w:sz w:val="21"/>
                <w:szCs w:val="21"/>
              </w:rPr>
            </w:pPr>
            <w:r>
              <w:rPr>
                <w:rFonts w:hint="eastAsia"/>
                <w:kern w:val="2"/>
                <w:sz w:val="21"/>
                <w:szCs w:val="21"/>
              </w:rPr>
              <w:t>7.5</w:t>
            </w:r>
          </w:p>
        </w:tc>
        <w:tc>
          <w:tcPr>
            <w:tcW w:w="372" w:type="pct"/>
            <w:tcBorders>
              <w:tl2br w:val="nil"/>
              <w:tr2bl w:val="nil"/>
            </w:tcBorders>
            <w:vAlign w:val="center"/>
          </w:tcPr>
          <w:p w14:paraId="54BC94BA"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0.33</w:t>
            </w:r>
          </w:p>
        </w:tc>
        <w:tc>
          <w:tcPr>
            <w:tcW w:w="436" w:type="pct"/>
            <w:tcBorders>
              <w:tl2br w:val="nil"/>
              <w:tr2bl w:val="nil"/>
            </w:tcBorders>
            <w:vAlign w:val="center"/>
          </w:tcPr>
          <w:p w14:paraId="61A275B1" w14:textId="77777777" w:rsidR="003E78AB" w:rsidRDefault="00010BF9">
            <w:pPr>
              <w:spacing w:line="360" w:lineRule="exact"/>
              <w:ind w:firstLineChars="0" w:firstLine="0"/>
              <w:jc w:val="center"/>
              <w:rPr>
                <w:kern w:val="2"/>
                <w:sz w:val="21"/>
                <w:szCs w:val="21"/>
                <w:lang w:val="zh-CN" w:bidi="zh-CN"/>
              </w:rPr>
            </w:pPr>
            <w:r>
              <w:rPr>
                <w:spacing w:val="7"/>
                <w:kern w:val="2"/>
                <w:sz w:val="21"/>
                <w:szCs w:val="21"/>
                <w:lang w:val="zh-CN" w:bidi="zh-CN"/>
              </w:rPr>
              <w:t>6.5</w:t>
            </w:r>
            <w:r>
              <w:rPr>
                <w:spacing w:val="7"/>
                <w:kern w:val="2"/>
                <w:sz w:val="21"/>
                <w:szCs w:val="21"/>
                <w:lang w:val="zh-CN" w:bidi="zh-CN"/>
              </w:rPr>
              <w:t>～</w:t>
            </w:r>
            <w:r>
              <w:rPr>
                <w:spacing w:val="5"/>
                <w:kern w:val="2"/>
                <w:sz w:val="21"/>
                <w:szCs w:val="21"/>
                <w:lang w:val="zh-CN" w:bidi="zh-CN"/>
              </w:rPr>
              <w:t>8.5</w:t>
            </w:r>
          </w:p>
        </w:tc>
      </w:tr>
      <w:tr w:rsidR="003E78AB" w14:paraId="487CE220" w14:textId="77777777">
        <w:trPr>
          <w:trHeight w:val="397"/>
        </w:trPr>
        <w:tc>
          <w:tcPr>
            <w:tcW w:w="184" w:type="pct"/>
            <w:tcBorders>
              <w:tl2br w:val="nil"/>
              <w:tr2bl w:val="nil"/>
            </w:tcBorders>
            <w:vAlign w:val="center"/>
          </w:tcPr>
          <w:p w14:paraId="3501EE94" w14:textId="77777777" w:rsidR="003E78AB" w:rsidRDefault="00010BF9">
            <w:pPr>
              <w:spacing w:line="360" w:lineRule="exact"/>
              <w:ind w:firstLineChars="0" w:firstLine="0"/>
              <w:jc w:val="center"/>
              <w:rPr>
                <w:kern w:val="2"/>
                <w:sz w:val="21"/>
                <w:szCs w:val="21"/>
              </w:rPr>
            </w:pPr>
            <w:r>
              <w:rPr>
                <w:kern w:val="2"/>
                <w:sz w:val="21"/>
                <w:szCs w:val="21"/>
              </w:rPr>
              <w:t>8</w:t>
            </w:r>
          </w:p>
        </w:tc>
        <w:tc>
          <w:tcPr>
            <w:tcW w:w="727" w:type="pct"/>
            <w:tcBorders>
              <w:tl2br w:val="nil"/>
              <w:tr2bl w:val="nil"/>
            </w:tcBorders>
            <w:vAlign w:val="center"/>
          </w:tcPr>
          <w:p w14:paraId="262A71C5" w14:textId="77777777" w:rsidR="003E78AB" w:rsidRDefault="00010BF9">
            <w:pPr>
              <w:spacing w:line="360" w:lineRule="exact"/>
              <w:ind w:firstLineChars="0" w:firstLine="0"/>
              <w:jc w:val="center"/>
              <w:rPr>
                <w:kern w:val="2"/>
                <w:sz w:val="21"/>
                <w:szCs w:val="21"/>
              </w:rPr>
            </w:pPr>
            <w:r>
              <w:rPr>
                <w:kern w:val="2"/>
                <w:sz w:val="21"/>
                <w:szCs w:val="21"/>
              </w:rPr>
              <w:t>总硬度</w:t>
            </w:r>
          </w:p>
        </w:tc>
        <w:tc>
          <w:tcPr>
            <w:tcW w:w="362" w:type="pct"/>
            <w:tcBorders>
              <w:tl2br w:val="nil"/>
              <w:tr2bl w:val="nil"/>
            </w:tcBorders>
            <w:vAlign w:val="center"/>
          </w:tcPr>
          <w:p w14:paraId="455B496A" w14:textId="77777777" w:rsidR="003E78AB" w:rsidRDefault="00010BF9">
            <w:pPr>
              <w:spacing w:line="360" w:lineRule="exact"/>
              <w:ind w:firstLineChars="0" w:firstLine="0"/>
              <w:jc w:val="center"/>
              <w:rPr>
                <w:kern w:val="2"/>
                <w:sz w:val="21"/>
                <w:szCs w:val="21"/>
                <w:lang w:bidi="zh-CN"/>
              </w:rPr>
            </w:pPr>
            <w:r>
              <w:rPr>
                <w:kern w:val="2"/>
                <w:sz w:val="21"/>
                <w:szCs w:val="21"/>
                <w:lang w:bidi="zh-CN"/>
              </w:rPr>
              <w:t>88</w:t>
            </w:r>
          </w:p>
        </w:tc>
        <w:tc>
          <w:tcPr>
            <w:tcW w:w="366" w:type="pct"/>
            <w:tcBorders>
              <w:tl2br w:val="nil"/>
              <w:tr2bl w:val="nil"/>
            </w:tcBorders>
            <w:vAlign w:val="center"/>
          </w:tcPr>
          <w:p w14:paraId="5A1C3FD9" w14:textId="77777777" w:rsidR="003E78AB" w:rsidRDefault="00010BF9">
            <w:pPr>
              <w:spacing w:line="360" w:lineRule="exact"/>
              <w:ind w:firstLineChars="0" w:firstLine="0"/>
              <w:jc w:val="center"/>
              <w:rPr>
                <w:kern w:val="2"/>
                <w:sz w:val="21"/>
                <w:szCs w:val="21"/>
                <w:lang w:bidi="zh-CN"/>
              </w:rPr>
            </w:pPr>
            <w:r>
              <w:rPr>
                <w:kern w:val="2"/>
                <w:sz w:val="21"/>
                <w:szCs w:val="21"/>
                <w:lang w:bidi="zh-CN"/>
              </w:rPr>
              <w:t>0.19</w:t>
            </w:r>
          </w:p>
        </w:tc>
        <w:tc>
          <w:tcPr>
            <w:tcW w:w="362" w:type="pct"/>
            <w:tcBorders>
              <w:tl2br w:val="nil"/>
              <w:tr2bl w:val="nil"/>
            </w:tcBorders>
            <w:shd w:val="clear" w:color="auto" w:fill="auto"/>
            <w:vAlign w:val="center"/>
          </w:tcPr>
          <w:p w14:paraId="08CA4798" w14:textId="77777777" w:rsidR="003E78AB" w:rsidRDefault="00010BF9">
            <w:pPr>
              <w:pStyle w:val="B1"/>
              <w:widowControl w:val="0"/>
              <w:rPr>
                <w:rFonts w:cs="Times New Roman"/>
                <w:kern w:val="2"/>
                <w:szCs w:val="21"/>
                <w:lang w:bidi="zh-CN"/>
              </w:rPr>
            </w:pPr>
            <w:r>
              <w:rPr>
                <w:rFonts w:hint="eastAsia"/>
              </w:rPr>
              <w:t>31</w:t>
            </w:r>
          </w:p>
        </w:tc>
        <w:tc>
          <w:tcPr>
            <w:tcW w:w="366" w:type="pct"/>
            <w:tcBorders>
              <w:tl2br w:val="nil"/>
              <w:tr2bl w:val="nil"/>
            </w:tcBorders>
            <w:shd w:val="clear" w:color="auto" w:fill="auto"/>
            <w:vAlign w:val="center"/>
          </w:tcPr>
          <w:p w14:paraId="53294AF0" w14:textId="77777777" w:rsidR="003E78AB" w:rsidRDefault="00010BF9">
            <w:pPr>
              <w:pStyle w:val="B1"/>
              <w:widowControl w:val="0"/>
              <w:rPr>
                <w:rFonts w:cs="Times New Roman"/>
                <w:kern w:val="2"/>
                <w:szCs w:val="21"/>
                <w:lang w:bidi="zh-CN"/>
              </w:rPr>
            </w:pPr>
            <w:r>
              <w:rPr>
                <w:rFonts w:hint="eastAsia"/>
              </w:rPr>
              <w:t>0.069</w:t>
            </w:r>
          </w:p>
        </w:tc>
        <w:tc>
          <w:tcPr>
            <w:tcW w:w="362" w:type="pct"/>
            <w:tcBorders>
              <w:tl2br w:val="nil"/>
              <w:tr2bl w:val="nil"/>
            </w:tcBorders>
            <w:vAlign w:val="center"/>
          </w:tcPr>
          <w:p w14:paraId="722CC648" w14:textId="77777777" w:rsidR="003E78AB" w:rsidRDefault="00010BF9">
            <w:pPr>
              <w:pStyle w:val="B1"/>
              <w:widowControl w:val="0"/>
              <w:rPr>
                <w:lang w:bidi="zh-CN"/>
              </w:rPr>
            </w:pPr>
            <w:r>
              <w:rPr>
                <w:rFonts w:hint="eastAsia"/>
              </w:rPr>
              <w:t>254</w:t>
            </w:r>
          </w:p>
        </w:tc>
        <w:tc>
          <w:tcPr>
            <w:tcW w:w="366" w:type="pct"/>
            <w:tcBorders>
              <w:tl2br w:val="nil"/>
              <w:tr2bl w:val="nil"/>
            </w:tcBorders>
            <w:vAlign w:val="center"/>
          </w:tcPr>
          <w:p w14:paraId="3ABFA3FB" w14:textId="77777777" w:rsidR="003E78AB" w:rsidRDefault="00010BF9">
            <w:pPr>
              <w:pStyle w:val="B1"/>
              <w:widowControl w:val="0"/>
              <w:rPr>
                <w:lang w:bidi="zh-CN"/>
              </w:rPr>
            </w:pPr>
            <w:r>
              <w:rPr>
                <w:rFonts w:hint="eastAsia"/>
              </w:rPr>
              <w:t>0.564</w:t>
            </w:r>
          </w:p>
        </w:tc>
        <w:tc>
          <w:tcPr>
            <w:tcW w:w="362" w:type="pct"/>
            <w:tcBorders>
              <w:tl2br w:val="nil"/>
              <w:tr2bl w:val="nil"/>
            </w:tcBorders>
            <w:vAlign w:val="center"/>
          </w:tcPr>
          <w:p w14:paraId="65029658" w14:textId="77777777" w:rsidR="003E78AB" w:rsidRDefault="00010BF9">
            <w:pPr>
              <w:pStyle w:val="B1"/>
              <w:widowControl w:val="0"/>
              <w:rPr>
                <w:rFonts w:cs="Times New Roman"/>
                <w:kern w:val="2"/>
                <w:szCs w:val="21"/>
              </w:rPr>
            </w:pPr>
            <w:r>
              <w:rPr>
                <w:rFonts w:cs="Times New Roman" w:hint="eastAsia"/>
                <w:szCs w:val="21"/>
              </w:rPr>
              <w:t>446</w:t>
            </w:r>
          </w:p>
        </w:tc>
        <w:tc>
          <w:tcPr>
            <w:tcW w:w="366" w:type="pct"/>
            <w:tcBorders>
              <w:tl2br w:val="nil"/>
              <w:tr2bl w:val="nil"/>
            </w:tcBorders>
            <w:vAlign w:val="center"/>
          </w:tcPr>
          <w:p w14:paraId="2F4E96B8" w14:textId="77777777" w:rsidR="003E78AB" w:rsidRDefault="00010BF9">
            <w:pPr>
              <w:pStyle w:val="B1"/>
              <w:widowControl w:val="0"/>
              <w:rPr>
                <w:rFonts w:cs="Times New Roman"/>
                <w:kern w:val="2"/>
                <w:szCs w:val="21"/>
                <w:lang w:bidi="zh-CN"/>
              </w:rPr>
            </w:pPr>
            <w:r>
              <w:rPr>
                <w:rFonts w:hint="eastAsia"/>
              </w:rPr>
              <w:t>0.99</w:t>
            </w:r>
          </w:p>
        </w:tc>
        <w:tc>
          <w:tcPr>
            <w:tcW w:w="362" w:type="pct"/>
            <w:tcBorders>
              <w:tl2br w:val="nil"/>
              <w:tr2bl w:val="nil"/>
            </w:tcBorders>
            <w:vAlign w:val="center"/>
          </w:tcPr>
          <w:p w14:paraId="74F8E822" w14:textId="77777777" w:rsidR="003E78AB" w:rsidRDefault="00010BF9">
            <w:pPr>
              <w:pStyle w:val="B1"/>
              <w:widowControl w:val="0"/>
              <w:rPr>
                <w:rFonts w:cs="Times New Roman"/>
                <w:kern w:val="2"/>
                <w:szCs w:val="21"/>
              </w:rPr>
            </w:pPr>
            <w:r>
              <w:rPr>
                <w:rFonts w:hint="eastAsia"/>
              </w:rPr>
              <w:t>167</w:t>
            </w:r>
          </w:p>
        </w:tc>
        <w:tc>
          <w:tcPr>
            <w:tcW w:w="372" w:type="pct"/>
            <w:tcBorders>
              <w:tl2br w:val="nil"/>
              <w:tr2bl w:val="nil"/>
            </w:tcBorders>
            <w:vAlign w:val="center"/>
          </w:tcPr>
          <w:p w14:paraId="0BEE51A6" w14:textId="77777777" w:rsidR="003E78AB" w:rsidRDefault="00010BF9">
            <w:pPr>
              <w:pStyle w:val="B1"/>
              <w:widowControl w:val="0"/>
              <w:rPr>
                <w:rFonts w:cs="Times New Roman"/>
                <w:kern w:val="2"/>
                <w:szCs w:val="21"/>
                <w:lang w:bidi="zh-CN"/>
              </w:rPr>
            </w:pPr>
            <w:r>
              <w:rPr>
                <w:rFonts w:hint="eastAsia"/>
              </w:rPr>
              <w:t>0.371</w:t>
            </w:r>
          </w:p>
        </w:tc>
        <w:tc>
          <w:tcPr>
            <w:tcW w:w="436" w:type="pct"/>
            <w:tcBorders>
              <w:tl2br w:val="nil"/>
              <w:tr2bl w:val="nil"/>
            </w:tcBorders>
            <w:vAlign w:val="center"/>
          </w:tcPr>
          <w:p w14:paraId="50BEF2FE" w14:textId="77777777" w:rsidR="003E78AB" w:rsidRDefault="00010BF9">
            <w:pPr>
              <w:spacing w:line="360" w:lineRule="exact"/>
              <w:ind w:firstLineChars="0" w:firstLine="0"/>
              <w:jc w:val="center"/>
              <w:rPr>
                <w:kern w:val="2"/>
                <w:sz w:val="21"/>
                <w:szCs w:val="21"/>
                <w:lang w:bidi="zh-CN"/>
              </w:rPr>
            </w:pPr>
            <w:r>
              <w:rPr>
                <w:kern w:val="2"/>
                <w:sz w:val="21"/>
                <w:szCs w:val="21"/>
                <w:lang w:bidi="zh-CN"/>
              </w:rPr>
              <w:t>450</w:t>
            </w:r>
          </w:p>
        </w:tc>
      </w:tr>
      <w:tr w:rsidR="003E78AB" w14:paraId="38CFE986" w14:textId="77777777">
        <w:trPr>
          <w:trHeight w:val="397"/>
        </w:trPr>
        <w:tc>
          <w:tcPr>
            <w:tcW w:w="184" w:type="pct"/>
            <w:tcBorders>
              <w:tl2br w:val="nil"/>
              <w:tr2bl w:val="nil"/>
            </w:tcBorders>
            <w:vAlign w:val="center"/>
          </w:tcPr>
          <w:p w14:paraId="79FBB605" w14:textId="77777777" w:rsidR="003E78AB" w:rsidRDefault="00010BF9">
            <w:pPr>
              <w:spacing w:line="360" w:lineRule="exact"/>
              <w:ind w:firstLineChars="0" w:firstLine="0"/>
              <w:jc w:val="center"/>
              <w:rPr>
                <w:kern w:val="2"/>
                <w:sz w:val="21"/>
                <w:szCs w:val="21"/>
              </w:rPr>
            </w:pPr>
            <w:r>
              <w:rPr>
                <w:kern w:val="2"/>
                <w:sz w:val="21"/>
                <w:szCs w:val="21"/>
              </w:rPr>
              <w:t>9</w:t>
            </w:r>
          </w:p>
        </w:tc>
        <w:tc>
          <w:tcPr>
            <w:tcW w:w="727" w:type="pct"/>
            <w:tcBorders>
              <w:tl2br w:val="nil"/>
              <w:tr2bl w:val="nil"/>
            </w:tcBorders>
            <w:vAlign w:val="center"/>
          </w:tcPr>
          <w:p w14:paraId="4882DA32" w14:textId="77777777" w:rsidR="003E78AB" w:rsidRDefault="00010BF9">
            <w:pPr>
              <w:spacing w:line="360" w:lineRule="exact"/>
              <w:ind w:firstLineChars="0" w:firstLine="0"/>
              <w:jc w:val="center"/>
              <w:rPr>
                <w:kern w:val="2"/>
                <w:sz w:val="21"/>
                <w:szCs w:val="21"/>
              </w:rPr>
            </w:pPr>
            <w:r>
              <w:rPr>
                <w:kern w:val="2"/>
                <w:sz w:val="21"/>
                <w:szCs w:val="21"/>
              </w:rPr>
              <w:t>溶解性总固体</w:t>
            </w:r>
          </w:p>
        </w:tc>
        <w:tc>
          <w:tcPr>
            <w:tcW w:w="362" w:type="pct"/>
            <w:tcBorders>
              <w:tl2br w:val="nil"/>
              <w:tr2bl w:val="nil"/>
            </w:tcBorders>
            <w:vAlign w:val="center"/>
          </w:tcPr>
          <w:p w14:paraId="5EF99E15"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29327761"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shd w:val="clear" w:color="auto" w:fill="auto"/>
            <w:vAlign w:val="center"/>
          </w:tcPr>
          <w:p w14:paraId="101A7F5C" w14:textId="77777777" w:rsidR="003E78AB" w:rsidRDefault="00010BF9">
            <w:pPr>
              <w:pStyle w:val="B1"/>
              <w:widowControl w:val="0"/>
              <w:rPr>
                <w:rFonts w:cs="Times New Roman"/>
                <w:kern w:val="2"/>
                <w:szCs w:val="21"/>
                <w:lang w:bidi="zh-CN"/>
              </w:rPr>
            </w:pPr>
            <w:r>
              <w:rPr>
                <w:rFonts w:hint="eastAsia"/>
              </w:rPr>
              <w:t>214</w:t>
            </w:r>
          </w:p>
        </w:tc>
        <w:tc>
          <w:tcPr>
            <w:tcW w:w="366" w:type="pct"/>
            <w:tcBorders>
              <w:tl2br w:val="nil"/>
              <w:tr2bl w:val="nil"/>
            </w:tcBorders>
            <w:shd w:val="clear" w:color="auto" w:fill="auto"/>
            <w:vAlign w:val="center"/>
          </w:tcPr>
          <w:p w14:paraId="6394ABF6" w14:textId="77777777" w:rsidR="003E78AB" w:rsidRDefault="00010BF9">
            <w:pPr>
              <w:pStyle w:val="B1"/>
              <w:widowControl w:val="0"/>
              <w:rPr>
                <w:rFonts w:cs="Times New Roman"/>
                <w:kern w:val="2"/>
                <w:szCs w:val="21"/>
                <w:lang w:bidi="zh-CN"/>
              </w:rPr>
            </w:pPr>
            <w:r>
              <w:rPr>
                <w:rFonts w:hint="eastAsia"/>
              </w:rPr>
              <w:t>0.214</w:t>
            </w:r>
          </w:p>
        </w:tc>
        <w:tc>
          <w:tcPr>
            <w:tcW w:w="362" w:type="pct"/>
            <w:tcBorders>
              <w:tl2br w:val="nil"/>
              <w:tr2bl w:val="nil"/>
            </w:tcBorders>
            <w:vAlign w:val="center"/>
          </w:tcPr>
          <w:p w14:paraId="5995D767" w14:textId="77777777" w:rsidR="003E78AB" w:rsidRDefault="00010BF9">
            <w:pPr>
              <w:pStyle w:val="B1"/>
              <w:widowControl w:val="0"/>
              <w:rPr>
                <w:lang w:bidi="zh-CN"/>
              </w:rPr>
            </w:pPr>
            <w:r>
              <w:rPr>
                <w:rFonts w:hint="eastAsia"/>
              </w:rPr>
              <w:t>630</w:t>
            </w:r>
          </w:p>
        </w:tc>
        <w:tc>
          <w:tcPr>
            <w:tcW w:w="366" w:type="pct"/>
            <w:tcBorders>
              <w:tl2br w:val="nil"/>
              <w:tr2bl w:val="nil"/>
            </w:tcBorders>
            <w:vAlign w:val="center"/>
          </w:tcPr>
          <w:p w14:paraId="64757EDB" w14:textId="77777777" w:rsidR="003E78AB" w:rsidRDefault="00010BF9">
            <w:pPr>
              <w:pStyle w:val="B1"/>
              <w:widowControl w:val="0"/>
              <w:rPr>
                <w:lang w:bidi="zh-CN"/>
              </w:rPr>
            </w:pPr>
            <w:r>
              <w:rPr>
                <w:rFonts w:hint="eastAsia"/>
              </w:rPr>
              <w:t>0.63</w:t>
            </w:r>
          </w:p>
        </w:tc>
        <w:tc>
          <w:tcPr>
            <w:tcW w:w="362" w:type="pct"/>
            <w:tcBorders>
              <w:tl2br w:val="nil"/>
              <w:tr2bl w:val="nil"/>
            </w:tcBorders>
            <w:vAlign w:val="center"/>
          </w:tcPr>
          <w:p w14:paraId="0A907BBE" w14:textId="77777777" w:rsidR="003E78AB" w:rsidRDefault="00010BF9">
            <w:pPr>
              <w:pStyle w:val="B1"/>
              <w:widowControl w:val="0"/>
              <w:rPr>
                <w:rFonts w:cs="Times New Roman"/>
                <w:kern w:val="2"/>
                <w:szCs w:val="21"/>
              </w:rPr>
            </w:pPr>
            <w:r>
              <w:rPr>
                <w:rFonts w:cs="Times New Roman" w:hint="eastAsia"/>
                <w:szCs w:val="21"/>
              </w:rPr>
              <w:t>830</w:t>
            </w:r>
          </w:p>
        </w:tc>
        <w:tc>
          <w:tcPr>
            <w:tcW w:w="366" w:type="pct"/>
            <w:tcBorders>
              <w:tl2br w:val="nil"/>
              <w:tr2bl w:val="nil"/>
            </w:tcBorders>
            <w:vAlign w:val="center"/>
          </w:tcPr>
          <w:p w14:paraId="63E7D5E1" w14:textId="77777777" w:rsidR="003E78AB" w:rsidRDefault="00010BF9">
            <w:pPr>
              <w:pStyle w:val="B1"/>
              <w:widowControl w:val="0"/>
              <w:rPr>
                <w:rFonts w:cs="Times New Roman"/>
                <w:kern w:val="2"/>
                <w:szCs w:val="21"/>
                <w:lang w:bidi="zh-CN"/>
              </w:rPr>
            </w:pPr>
            <w:r>
              <w:rPr>
                <w:rFonts w:hint="eastAsia"/>
              </w:rPr>
              <w:t>0.83</w:t>
            </w:r>
          </w:p>
        </w:tc>
        <w:tc>
          <w:tcPr>
            <w:tcW w:w="362" w:type="pct"/>
            <w:tcBorders>
              <w:tl2br w:val="nil"/>
              <w:tr2bl w:val="nil"/>
            </w:tcBorders>
            <w:vAlign w:val="center"/>
          </w:tcPr>
          <w:p w14:paraId="5004F8DF" w14:textId="77777777" w:rsidR="003E78AB" w:rsidRDefault="00010BF9">
            <w:pPr>
              <w:pStyle w:val="B1"/>
              <w:widowControl w:val="0"/>
              <w:rPr>
                <w:rFonts w:cs="Times New Roman"/>
                <w:kern w:val="2"/>
                <w:szCs w:val="21"/>
              </w:rPr>
            </w:pPr>
            <w:r>
              <w:rPr>
                <w:rFonts w:cs="Times New Roman" w:hint="eastAsia"/>
                <w:szCs w:val="21"/>
              </w:rPr>
              <w:t>502</w:t>
            </w:r>
          </w:p>
        </w:tc>
        <w:tc>
          <w:tcPr>
            <w:tcW w:w="372" w:type="pct"/>
            <w:tcBorders>
              <w:tl2br w:val="nil"/>
              <w:tr2bl w:val="nil"/>
            </w:tcBorders>
            <w:vAlign w:val="center"/>
          </w:tcPr>
          <w:p w14:paraId="69CC5E92" w14:textId="77777777" w:rsidR="003E78AB" w:rsidRDefault="00010BF9">
            <w:pPr>
              <w:pStyle w:val="B1"/>
              <w:widowControl w:val="0"/>
              <w:rPr>
                <w:rFonts w:cs="Times New Roman"/>
                <w:kern w:val="2"/>
                <w:szCs w:val="21"/>
                <w:lang w:bidi="zh-CN"/>
              </w:rPr>
            </w:pPr>
            <w:r>
              <w:rPr>
                <w:rFonts w:hint="eastAsia"/>
              </w:rPr>
              <w:t>0.502</w:t>
            </w:r>
          </w:p>
        </w:tc>
        <w:tc>
          <w:tcPr>
            <w:tcW w:w="436" w:type="pct"/>
            <w:tcBorders>
              <w:tl2br w:val="nil"/>
              <w:tr2bl w:val="nil"/>
            </w:tcBorders>
            <w:vAlign w:val="center"/>
          </w:tcPr>
          <w:p w14:paraId="605505E4" w14:textId="77777777" w:rsidR="003E78AB" w:rsidRDefault="00010BF9">
            <w:pPr>
              <w:spacing w:line="360" w:lineRule="exact"/>
              <w:ind w:firstLineChars="0" w:firstLine="0"/>
              <w:jc w:val="center"/>
              <w:rPr>
                <w:kern w:val="2"/>
                <w:sz w:val="21"/>
                <w:szCs w:val="21"/>
                <w:lang w:bidi="zh-CN"/>
              </w:rPr>
            </w:pPr>
            <w:r>
              <w:rPr>
                <w:kern w:val="2"/>
                <w:sz w:val="21"/>
                <w:szCs w:val="21"/>
                <w:lang w:bidi="zh-CN"/>
              </w:rPr>
              <w:t>1000</w:t>
            </w:r>
          </w:p>
        </w:tc>
      </w:tr>
      <w:tr w:rsidR="003E78AB" w14:paraId="33DF84FE" w14:textId="77777777">
        <w:trPr>
          <w:trHeight w:val="397"/>
        </w:trPr>
        <w:tc>
          <w:tcPr>
            <w:tcW w:w="184" w:type="pct"/>
            <w:tcBorders>
              <w:tl2br w:val="nil"/>
              <w:tr2bl w:val="nil"/>
            </w:tcBorders>
            <w:vAlign w:val="center"/>
          </w:tcPr>
          <w:p w14:paraId="1B3E9086" w14:textId="77777777" w:rsidR="003E78AB" w:rsidRDefault="00010BF9">
            <w:pPr>
              <w:spacing w:line="360" w:lineRule="exact"/>
              <w:ind w:firstLineChars="0" w:firstLine="0"/>
              <w:jc w:val="center"/>
              <w:rPr>
                <w:kern w:val="2"/>
                <w:sz w:val="21"/>
                <w:szCs w:val="21"/>
                <w:lang w:val="zh-CN" w:bidi="zh-CN"/>
              </w:rPr>
            </w:pPr>
            <w:r>
              <w:rPr>
                <w:spacing w:val="2"/>
                <w:kern w:val="2"/>
                <w:sz w:val="21"/>
                <w:szCs w:val="21"/>
                <w:lang w:val="zh-CN" w:bidi="zh-CN"/>
              </w:rPr>
              <w:t>10</w:t>
            </w:r>
          </w:p>
        </w:tc>
        <w:tc>
          <w:tcPr>
            <w:tcW w:w="727" w:type="pct"/>
            <w:tcBorders>
              <w:tl2br w:val="nil"/>
              <w:tr2bl w:val="nil"/>
            </w:tcBorders>
            <w:vAlign w:val="center"/>
          </w:tcPr>
          <w:p w14:paraId="4A3B2C29" w14:textId="77777777" w:rsidR="003E78AB" w:rsidRDefault="00010BF9">
            <w:pPr>
              <w:spacing w:line="360" w:lineRule="exact"/>
              <w:ind w:firstLineChars="0" w:firstLine="0"/>
              <w:jc w:val="center"/>
              <w:rPr>
                <w:kern w:val="2"/>
                <w:sz w:val="21"/>
                <w:szCs w:val="21"/>
              </w:rPr>
            </w:pPr>
            <w:r>
              <w:rPr>
                <w:kern w:val="2"/>
                <w:sz w:val="21"/>
                <w:szCs w:val="21"/>
              </w:rPr>
              <w:t>SO</w:t>
            </w:r>
            <w:r>
              <w:rPr>
                <w:kern w:val="2"/>
                <w:sz w:val="21"/>
                <w:szCs w:val="21"/>
                <w:vertAlign w:val="subscript"/>
              </w:rPr>
              <w:t>4</w:t>
            </w:r>
            <w:r>
              <w:rPr>
                <w:kern w:val="2"/>
                <w:sz w:val="21"/>
                <w:szCs w:val="21"/>
                <w:vertAlign w:val="superscript"/>
              </w:rPr>
              <w:t>2-</w:t>
            </w:r>
          </w:p>
        </w:tc>
        <w:tc>
          <w:tcPr>
            <w:tcW w:w="362" w:type="pct"/>
            <w:tcBorders>
              <w:tl2br w:val="nil"/>
              <w:tr2bl w:val="nil"/>
            </w:tcBorders>
            <w:vAlign w:val="center"/>
          </w:tcPr>
          <w:p w14:paraId="5B1A05AC" w14:textId="77777777" w:rsidR="003E78AB" w:rsidRDefault="00010BF9">
            <w:pPr>
              <w:spacing w:line="360" w:lineRule="exact"/>
              <w:ind w:firstLineChars="0" w:firstLine="0"/>
              <w:jc w:val="center"/>
              <w:rPr>
                <w:kern w:val="2"/>
                <w:sz w:val="21"/>
                <w:szCs w:val="21"/>
                <w:lang w:bidi="zh-CN"/>
              </w:rPr>
            </w:pPr>
            <w:r>
              <w:rPr>
                <w:kern w:val="2"/>
                <w:sz w:val="21"/>
                <w:szCs w:val="21"/>
                <w:lang w:bidi="zh-CN"/>
              </w:rPr>
              <w:t>116</w:t>
            </w:r>
          </w:p>
        </w:tc>
        <w:tc>
          <w:tcPr>
            <w:tcW w:w="366" w:type="pct"/>
            <w:tcBorders>
              <w:tl2br w:val="nil"/>
              <w:tr2bl w:val="nil"/>
            </w:tcBorders>
            <w:vAlign w:val="center"/>
          </w:tcPr>
          <w:p w14:paraId="10587D17" w14:textId="77777777" w:rsidR="003E78AB" w:rsidRDefault="00010BF9">
            <w:pPr>
              <w:spacing w:line="360" w:lineRule="exact"/>
              <w:ind w:firstLineChars="0" w:firstLine="0"/>
              <w:jc w:val="center"/>
              <w:rPr>
                <w:kern w:val="2"/>
                <w:sz w:val="21"/>
                <w:szCs w:val="21"/>
                <w:lang w:bidi="zh-CN"/>
              </w:rPr>
            </w:pPr>
            <w:r>
              <w:rPr>
                <w:kern w:val="2"/>
                <w:sz w:val="21"/>
                <w:szCs w:val="21"/>
                <w:lang w:bidi="zh-CN"/>
              </w:rPr>
              <w:t>0.464</w:t>
            </w:r>
          </w:p>
        </w:tc>
        <w:tc>
          <w:tcPr>
            <w:tcW w:w="362" w:type="pct"/>
            <w:tcBorders>
              <w:tl2br w:val="nil"/>
              <w:tr2bl w:val="nil"/>
            </w:tcBorders>
            <w:vAlign w:val="center"/>
          </w:tcPr>
          <w:p w14:paraId="2DC39A85" w14:textId="77777777" w:rsidR="003E78AB" w:rsidRDefault="00010BF9">
            <w:pPr>
              <w:pStyle w:val="B1"/>
              <w:widowControl w:val="0"/>
              <w:rPr>
                <w:rFonts w:cs="Times New Roman"/>
                <w:kern w:val="2"/>
                <w:szCs w:val="21"/>
                <w:lang w:bidi="zh-CN"/>
              </w:rPr>
            </w:pPr>
            <w:r>
              <w:rPr>
                <w:rFonts w:hint="eastAsia"/>
              </w:rPr>
              <w:t>69.4</w:t>
            </w:r>
          </w:p>
        </w:tc>
        <w:tc>
          <w:tcPr>
            <w:tcW w:w="366" w:type="pct"/>
            <w:tcBorders>
              <w:tl2br w:val="nil"/>
              <w:tr2bl w:val="nil"/>
            </w:tcBorders>
            <w:vAlign w:val="center"/>
          </w:tcPr>
          <w:p w14:paraId="440BBEE0" w14:textId="77777777" w:rsidR="003E78AB" w:rsidRDefault="00010BF9">
            <w:pPr>
              <w:pStyle w:val="B1"/>
              <w:widowControl w:val="0"/>
              <w:rPr>
                <w:rFonts w:cs="Times New Roman"/>
                <w:kern w:val="2"/>
                <w:szCs w:val="21"/>
                <w:lang w:bidi="zh-CN"/>
              </w:rPr>
            </w:pPr>
            <w:r>
              <w:rPr>
                <w:rFonts w:hint="eastAsia"/>
              </w:rPr>
              <w:t>0.2776</w:t>
            </w:r>
          </w:p>
        </w:tc>
        <w:tc>
          <w:tcPr>
            <w:tcW w:w="362" w:type="pct"/>
            <w:tcBorders>
              <w:tl2br w:val="nil"/>
              <w:tr2bl w:val="nil"/>
            </w:tcBorders>
            <w:vAlign w:val="center"/>
          </w:tcPr>
          <w:p w14:paraId="11A67A0F" w14:textId="77777777" w:rsidR="003E78AB" w:rsidRDefault="00010BF9">
            <w:pPr>
              <w:spacing w:line="360" w:lineRule="exact"/>
              <w:ind w:firstLineChars="0" w:firstLine="0"/>
              <w:jc w:val="center"/>
              <w:rPr>
                <w:kern w:val="2"/>
                <w:sz w:val="21"/>
                <w:szCs w:val="21"/>
                <w:lang w:bidi="zh-CN"/>
              </w:rPr>
            </w:pPr>
            <w:r>
              <w:rPr>
                <w:kern w:val="2"/>
                <w:sz w:val="21"/>
                <w:szCs w:val="21"/>
                <w:lang w:bidi="zh-CN"/>
              </w:rPr>
              <w:t>245</w:t>
            </w:r>
          </w:p>
        </w:tc>
        <w:tc>
          <w:tcPr>
            <w:tcW w:w="366" w:type="pct"/>
            <w:tcBorders>
              <w:tl2br w:val="nil"/>
              <w:tr2bl w:val="nil"/>
            </w:tcBorders>
            <w:vAlign w:val="center"/>
          </w:tcPr>
          <w:p w14:paraId="3AA54D64" w14:textId="77777777" w:rsidR="003E78AB" w:rsidRDefault="00010BF9">
            <w:pPr>
              <w:spacing w:line="360" w:lineRule="exact"/>
              <w:ind w:firstLineChars="0" w:firstLine="0"/>
              <w:jc w:val="center"/>
              <w:rPr>
                <w:kern w:val="2"/>
                <w:sz w:val="21"/>
                <w:szCs w:val="21"/>
                <w:lang w:bidi="zh-CN"/>
              </w:rPr>
            </w:pPr>
            <w:r>
              <w:rPr>
                <w:kern w:val="2"/>
                <w:sz w:val="21"/>
                <w:szCs w:val="21"/>
                <w:lang w:bidi="zh-CN"/>
              </w:rPr>
              <w:t>0.98</w:t>
            </w:r>
          </w:p>
        </w:tc>
        <w:tc>
          <w:tcPr>
            <w:tcW w:w="362" w:type="pct"/>
            <w:tcBorders>
              <w:tl2br w:val="nil"/>
              <w:tr2bl w:val="nil"/>
            </w:tcBorders>
            <w:vAlign w:val="center"/>
          </w:tcPr>
          <w:p w14:paraId="7296DB27" w14:textId="77777777" w:rsidR="003E78AB" w:rsidRDefault="00010BF9">
            <w:pPr>
              <w:pStyle w:val="B1"/>
              <w:widowControl w:val="0"/>
              <w:rPr>
                <w:rFonts w:cs="Times New Roman"/>
                <w:kern w:val="2"/>
                <w:szCs w:val="21"/>
              </w:rPr>
            </w:pPr>
            <w:r>
              <w:rPr>
                <w:rFonts w:cs="Times New Roman" w:hint="eastAsia"/>
                <w:szCs w:val="21"/>
              </w:rPr>
              <w:t>107</w:t>
            </w:r>
          </w:p>
        </w:tc>
        <w:tc>
          <w:tcPr>
            <w:tcW w:w="366" w:type="pct"/>
            <w:tcBorders>
              <w:tl2br w:val="nil"/>
              <w:tr2bl w:val="nil"/>
            </w:tcBorders>
            <w:vAlign w:val="center"/>
          </w:tcPr>
          <w:p w14:paraId="2062619A" w14:textId="77777777" w:rsidR="003E78AB" w:rsidRDefault="00010BF9">
            <w:pPr>
              <w:pStyle w:val="B1"/>
              <w:widowControl w:val="0"/>
              <w:rPr>
                <w:rFonts w:cs="Times New Roman"/>
                <w:kern w:val="2"/>
                <w:szCs w:val="21"/>
                <w:lang w:bidi="zh-CN"/>
              </w:rPr>
            </w:pPr>
            <w:r>
              <w:rPr>
                <w:rFonts w:hint="eastAsia"/>
              </w:rPr>
              <w:t>0.428</w:t>
            </w:r>
          </w:p>
        </w:tc>
        <w:tc>
          <w:tcPr>
            <w:tcW w:w="362" w:type="pct"/>
            <w:tcBorders>
              <w:tl2br w:val="nil"/>
              <w:tr2bl w:val="nil"/>
            </w:tcBorders>
            <w:vAlign w:val="center"/>
          </w:tcPr>
          <w:p w14:paraId="7947234A" w14:textId="77777777" w:rsidR="003E78AB" w:rsidRDefault="00010BF9">
            <w:pPr>
              <w:spacing w:line="360" w:lineRule="exact"/>
              <w:ind w:firstLineChars="0" w:firstLine="0"/>
              <w:jc w:val="center"/>
              <w:rPr>
                <w:kern w:val="2"/>
                <w:sz w:val="21"/>
                <w:szCs w:val="21"/>
              </w:rPr>
            </w:pPr>
            <w:r>
              <w:rPr>
                <w:rFonts w:hint="eastAsia"/>
                <w:kern w:val="2"/>
                <w:sz w:val="21"/>
                <w:szCs w:val="21"/>
              </w:rPr>
              <w:t>68</w:t>
            </w:r>
          </w:p>
        </w:tc>
        <w:tc>
          <w:tcPr>
            <w:tcW w:w="372" w:type="pct"/>
            <w:tcBorders>
              <w:tl2br w:val="nil"/>
              <w:tr2bl w:val="nil"/>
            </w:tcBorders>
            <w:vAlign w:val="center"/>
          </w:tcPr>
          <w:p w14:paraId="3921BFA0"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0.272</w:t>
            </w:r>
          </w:p>
        </w:tc>
        <w:tc>
          <w:tcPr>
            <w:tcW w:w="436" w:type="pct"/>
            <w:tcBorders>
              <w:tl2br w:val="nil"/>
              <w:tr2bl w:val="nil"/>
            </w:tcBorders>
            <w:vAlign w:val="center"/>
          </w:tcPr>
          <w:p w14:paraId="5EC12CC6" w14:textId="77777777" w:rsidR="003E78AB" w:rsidRDefault="00010BF9">
            <w:pPr>
              <w:spacing w:line="360" w:lineRule="exact"/>
              <w:ind w:firstLineChars="0" w:firstLine="0"/>
              <w:jc w:val="center"/>
              <w:rPr>
                <w:kern w:val="2"/>
                <w:sz w:val="21"/>
                <w:szCs w:val="21"/>
                <w:lang w:bidi="zh-CN"/>
              </w:rPr>
            </w:pPr>
            <w:r>
              <w:rPr>
                <w:kern w:val="2"/>
                <w:sz w:val="21"/>
                <w:szCs w:val="21"/>
                <w:lang w:bidi="zh-CN"/>
              </w:rPr>
              <w:t>250</w:t>
            </w:r>
          </w:p>
        </w:tc>
      </w:tr>
      <w:tr w:rsidR="003E78AB" w14:paraId="14B0C864" w14:textId="77777777">
        <w:trPr>
          <w:trHeight w:val="397"/>
        </w:trPr>
        <w:tc>
          <w:tcPr>
            <w:tcW w:w="184" w:type="pct"/>
            <w:tcBorders>
              <w:tl2br w:val="nil"/>
              <w:tr2bl w:val="nil"/>
            </w:tcBorders>
            <w:vAlign w:val="center"/>
          </w:tcPr>
          <w:p w14:paraId="20FDCEAE" w14:textId="77777777" w:rsidR="003E78AB" w:rsidRDefault="00010BF9">
            <w:pPr>
              <w:spacing w:line="360" w:lineRule="exact"/>
              <w:ind w:firstLineChars="0" w:firstLine="0"/>
              <w:jc w:val="center"/>
              <w:rPr>
                <w:kern w:val="2"/>
                <w:sz w:val="21"/>
                <w:szCs w:val="21"/>
                <w:lang w:val="zh-CN" w:bidi="zh-CN"/>
              </w:rPr>
            </w:pPr>
            <w:r>
              <w:rPr>
                <w:spacing w:val="2"/>
                <w:kern w:val="2"/>
                <w:sz w:val="21"/>
                <w:szCs w:val="21"/>
                <w:lang w:val="zh-CN" w:bidi="zh-CN"/>
              </w:rPr>
              <w:t>11</w:t>
            </w:r>
          </w:p>
        </w:tc>
        <w:tc>
          <w:tcPr>
            <w:tcW w:w="727" w:type="pct"/>
            <w:tcBorders>
              <w:tl2br w:val="nil"/>
              <w:tr2bl w:val="nil"/>
            </w:tcBorders>
            <w:vAlign w:val="center"/>
          </w:tcPr>
          <w:p w14:paraId="43EEAAD9" w14:textId="77777777" w:rsidR="003E78AB" w:rsidRDefault="00010BF9">
            <w:pPr>
              <w:spacing w:line="360" w:lineRule="exact"/>
              <w:ind w:firstLineChars="0" w:firstLine="0"/>
              <w:jc w:val="center"/>
              <w:rPr>
                <w:kern w:val="2"/>
                <w:sz w:val="21"/>
                <w:szCs w:val="21"/>
              </w:rPr>
            </w:pPr>
            <w:r>
              <w:rPr>
                <w:kern w:val="2"/>
                <w:sz w:val="21"/>
                <w:szCs w:val="21"/>
              </w:rPr>
              <w:t>Cl</w:t>
            </w:r>
            <w:r>
              <w:rPr>
                <w:kern w:val="2"/>
                <w:sz w:val="21"/>
                <w:szCs w:val="21"/>
                <w:vertAlign w:val="superscript"/>
              </w:rPr>
              <w:t>-</w:t>
            </w:r>
          </w:p>
        </w:tc>
        <w:tc>
          <w:tcPr>
            <w:tcW w:w="362" w:type="pct"/>
            <w:tcBorders>
              <w:tl2br w:val="nil"/>
              <w:tr2bl w:val="nil"/>
            </w:tcBorders>
            <w:vAlign w:val="center"/>
          </w:tcPr>
          <w:p w14:paraId="361D252B"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1727B066"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68A7015C" w14:textId="77777777" w:rsidR="003E78AB" w:rsidRDefault="00010BF9">
            <w:pPr>
              <w:pStyle w:val="B1"/>
              <w:widowControl w:val="0"/>
              <w:rPr>
                <w:rFonts w:cs="Times New Roman"/>
                <w:kern w:val="2"/>
                <w:szCs w:val="21"/>
                <w:lang w:bidi="zh-CN"/>
              </w:rPr>
            </w:pPr>
            <w:r>
              <w:rPr>
                <w:rFonts w:hint="eastAsia"/>
              </w:rPr>
              <w:t>23.7</w:t>
            </w:r>
          </w:p>
        </w:tc>
        <w:tc>
          <w:tcPr>
            <w:tcW w:w="366" w:type="pct"/>
            <w:tcBorders>
              <w:tl2br w:val="nil"/>
              <w:tr2bl w:val="nil"/>
            </w:tcBorders>
            <w:vAlign w:val="center"/>
          </w:tcPr>
          <w:p w14:paraId="69EC0B20" w14:textId="77777777" w:rsidR="003E78AB" w:rsidRDefault="00010BF9">
            <w:pPr>
              <w:pStyle w:val="B1"/>
              <w:widowControl w:val="0"/>
              <w:rPr>
                <w:rFonts w:cs="Times New Roman"/>
                <w:kern w:val="2"/>
                <w:szCs w:val="21"/>
                <w:lang w:bidi="zh-CN"/>
              </w:rPr>
            </w:pPr>
            <w:r>
              <w:rPr>
                <w:rFonts w:hint="eastAsia"/>
              </w:rPr>
              <w:t>0.0948</w:t>
            </w:r>
          </w:p>
        </w:tc>
        <w:tc>
          <w:tcPr>
            <w:tcW w:w="362" w:type="pct"/>
            <w:tcBorders>
              <w:tl2br w:val="nil"/>
              <w:tr2bl w:val="nil"/>
            </w:tcBorders>
            <w:vAlign w:val="center"/>
          </w:tcPr>
          <w:p w14:paraId="1F73A943" w14:textId="77777777" w:rsidR="003E78AB" w:rsidRDefault="00010BF9">
            <w:pPr>
              <w:spacing w:line="360" w:lineRule="exact"/>
              <w:ind w:firstLineChars="0" w:firstLine="0"/>
              <w:jc w:val="center"/>
              <w:rPr>
                <w:kern w:val="2"/>
                <w:sz w:val="21"/>
                <w:szCs w:val="21"/>
                <w:lang w:bidi="zh-CN"/>
              </w:rPr>
            </w:pPr>
            <w:r>
              <w:rPr>
                <w:kern w:val="2"/>
                <w:sz w:val="21"/>
                <w:szCs w:val="21"/>
                <w:lang w:bidi="zh-CN"/>
              </w:rPr>
              <w:t>103</w:t>
            </w:r>
          </w:p>
        </w:tc>
        <w:tc>
          <w:tcPr>
            <w:tcW w:w="366" w:type="pct"/>
            <w:tcBorders>
              <w:tl2br w:val="nil"/>
              <w:tr2bl w:val="nil"/>
            </w:tcBorders>
            <w:vAlign w:val="center"/>
          </w:tcPr>
          <w:p w14:paraId="333132A0" w14:textId="77777777" w:rsidR="003E78AB" w:rsidRDefault="00010BF9">
            <w:pPr>
              <w:spacing w:line="360" w:lineRule="exact"/>
              <w:ind w:firstLineChars="0" w:firstLine="0"/>
              <w:jc w:val="center"/>
              <w:rPr>
                <w:kern w:val="2"/>
                <w:sz w:val="21"/>
                <w:szCs w:val="21"/>
                <w:lang w:bidi="zh-CN"/>
              </w:rPr>
            </w:pPr>
            <w:r>
              <w:rPr>
                <w:kern w:val="2"/>
                <w:sz w:val="21"/>
                <w:szCs w:val="21"/>
                <w:lang w:bidi="zh-CN"/>
              </w:rPr>
              <w:t>0.412</w:t>
            </w:r>
          </w:p>
        </w:tc>
        <w:tc>
          <w:tcPr>
            <w:tcW w:w="362" w:type="pct"/>
            <w:tcBorders>
              <w:tl2br w:val="nil"/>
              <w:tr2bl w:val="nil"/>
            </w:tcBorders>
            <w:vAlign w:val="center"/>
          </w:tcPr>
          <w:p w14:paraId="01700250" w14:textId="77777777" w:rsidR="003E78AB" w:rsidRDefault="00010BF9">
            <w:pPr>
              <w:pStyle w:val="B1"/>
              <w:widowControl w:val="0"/>
              <w:rPr>
                <w:rFonts w:cs="Times New Roman"/>
                <w:kern w:val="2"/>
                <w:szCs w:val="21"/>
              </w:rPr>
            </w:pPr>
            <w:r>
              <w:rPr>
                <w:rFonts w:cs="Times New Roman" w:hint="eastAsia"/>
                <w:szCs w:val="21"/>
              </w:rPr>
              <w:t>36</w:t>
            </w:r>
          </w:p>
        </w:tc>
        <w:tc>
          <w:tcPr>
            <w:tcW w:w="366" w:type="pct"/>
            <w:tcBorders>
              <w:tl2br w:val="nil"/>
              <w:tr2bl w:val="nil"/>
            </w:tcBorders>
            <w:vAlign w:val="center"/>
          </w:tcPr>
          <w:p w14:paraId="411576E7" w14:textId="77777777" w:rsidR="003E78AB" w:rsidRDefault="00010BF9">
            <w:pPr>
              <w:pStyle w:val="B1"/>
              <w:widowControl w:val="0"/>
              <w:rPr>
                <w:rFonts w:cs="Times New Roman"/>
                <w:kern w:val="2"/>
                <w:szCs w:val="21"/>
                <w:lang w:bidi="zh-CN"/>
              </w:rPr>
            </w:pPr>
            <w:r>
              <w:rPr>
                <w:rFonts w:hint="eastAsia"/>
              </w:rPr>
              <w:t>0.144</w:t>
            </w:r>
          </w:p>
        </w:tc>
        <w:tc>
          <w:tcPr>
            <w:tcW w:w="362" w:type="pct"/>
            <w:tcBorders>
              <w:tl2br w:val="nil"/>
              <w:tr2bl w:val="nil"/>
            </w:tcBorders>
            <w:vAlign w:val="center"/>
          </w:tcPr>
          <w:p w14:paraId="6F7F4C77" w14:textId="77777777" w:rsidR="003E78AB" w:rsidRDefault="00010BF9">
            <w:pPr>
              <w:spacing w:line="360" w:lineRule="exact"/>
              <w:ind w:firstLineChars="0" w:firstLine="0"/>
              <w:jc w:val="center"/>
              <w:rPr>
                <w:kern w:val="2"/>
                <w:sz w:val="21"/>
                <w:szCs w:val="21"/>
              </w:rPr>
            </w:pPr>
            <w:r>
              <w:rPr>
                <w:rFonts w:hint="eastAsia"/>
                <w:kern w:val="2"/>
                <w:sz w:val="21"/>
                <w:szCs w:val="21"/>
              </w:rPr>
              <w:t>17</w:t>
            </w:r>
          </w:p>
        </w:tc>
        <w:tc>
          <w:tcPr>
            <w:tcW w:w="372" w:type="pct"/>
            <w:tcBorders>
              <w:tl2br w:val="nil"/>
              <w:tr2bl w:val="nil"/>
            </w:tcBorders>
            <w:vAlign w:val="center"/>
          </w:tcPr>
          <w:p w14:paraId="01A560A7"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0.069</w:t>
            </w:r>
          </w:p>
        </w:tc>
        <w:tc>
          <w:tcPr>
            <w:tcW w:w="436" w:type="pct"/>
            <w:tcBorders>
              <w:tl2br w:val="nil"/>
              <w:tr2bl w:val="nil"/>
            </w:tcBorders>
            <w:vAlign w:val="center"/>
          </w:tcPr>
          <w:p w14:paraId="40799E0A" w14:textId="77777777" w:rsidR="003E78AB" w:rsidRDefault="00010BF9">
            <w:pPr>
              <w:spacing w:line="360" w:lineRule="exact"/>
              <w:ind w:firstLineChars="0" w:firstLine="0"/>
              <w:jc w:val="center"/>
              <w:rPr>
                <w:kern w:val="2"/>
                <w:sz w:val="21"/>
                <w:szCs w:val="21"/>
                <w:lang w:bidi="zh-CN"/>
              </w:rPr>
            </w:pPr>
            <w:r>
              <w:rPr>
                <w:kern w:val="2"/>
                <w:sz w:val="21"/>
                <w:szCs w:val="21"/>
                <w:lang w:bidi="zh-CN"/>
              </w:rPr>
              <w:t>250</w:t>
            </w:r>
          </w:p>
        </w:tc>
      </w:tr>
      <w:tr w:rsidR="003E78AB" w14:paraId="2F8B3102" w14:textId="77777777">
        <w:trPr>
          <w:trHeight w:val="397"/>
        </w:trPr>
        <w:tc>
          <w:tcPr>
            <w:tcW w:w="184" w:type="pct"/>
            <w:tcBorders>
              <w:tl2br w:val="nil"/>
              <w:tr2bl w:val="nil"/>
            </w:tcBorders>
            <w:vAlign w:val="center"/>
          </w:tcPr>
          <w:p w14:paraId="5D0472B4" w14:textId="77777777" w:rsidR="003E78AB" w:rsidRDefault="00010BF9">
            <w:pPr>
              <w:spacing w:line="360" w:lineRule="exact"/>
              <w:ind w:firstLineChars="0" w:firstLine="0"/>
              <w:jc w:val="center"/>
              <w:rPr>
                <w:kern w:val="2"/>
                <w:sz w:val="21"/>
                <w:szCs w:val="21"/>
                <w:lang w:val="zh-CN" w:bidi="zh-CN"/>
              </w:rPr>
            </w:pPr>
            <w:r>
              <w:rPr>
                <w:spacing w:val="2"/>
                <w:kern w:val="2"/>
                <w:sz w:val="21"/>
                <w:szCs w:val="21"/>
                <w:lang w:val="zh-CN" w:bidi="zh-CN"/>
              </w:rPr>
              <w:t>12</w:t>
            </w:r>
          </w:p>
        </w:tc>
        <w:tc>
          <w:tcPr>
            <w:tcW w:w="727" w:type="pct"/>
            <w:tcBorders>
              <w:tl2br w:val="nil"/>
              <w:tr2bl w:val="nil"/>
            </w:tcBorders>
            <w:vAlign w:val="center"/>
          </w:tcPr>
          <w:p w14:paraId="0EB13D15" w14:textId="77777777" w:rsidR="003E78AB" w:rsidRDefault="00010BF9">
            <w:pPr>
              <w:spacing w:line="360" w:lineRule="exact"/>
              <w:ind w:firstLineChars="0" w:firstLine="0"/>
              <w:jc w:val="center"/>
              <w:rPr>
                <w:kern w:val="2"/>
                <w:sz w:val="21"/>
                <w:szCs w:val="21"/>
              </w:rPr>
            </w:pPr>
            <w:r>
              <w:rPr>
                <w:kern w:val="2"/>
                <w:sz w:val="21"/>
                <w:szCs w:val="21"/>
              </w:rPr>
              <w:t>挥发酚</w:t>
            </w:r>
          </w:p>
        </w:tc>
        <w:tc>
          <w:tcPr>
            <w:tcW w:w="362" w:type="pct"/>
            <w:tcBorders>
              <w:tl2br w:val="nil"/>
              <w:tr2bl w:val="nil"/>
            </w:tcBorders>
            <w:vAlign w:val="center"/>
          </w:tcPr>
          <w:p w14:paraId="4081125D" w14:textId="77777777" w:rsidR="003E78AB" w:rsidRDefault="00010BF9">
            <w:pPr>
              <w:spacing w:line="360" w:lineRule="exact"/>
              <w:ind w:firstLineChars="0" w:firstLine="0"/>
              <w:jc w:val="center"/>
              <w:rPr>
                <w:kern w:val="2"/>
                <w:sz w:val="21"/>
                <w:szCs w:val="21"/>
                <w:lang w:bidi="zh-CN"/>
              </w:rPr>
            </w:pPr>
            <w:r>
              <w:rPr>
                <w:kern w:val="2"/>
                <w:sz w:val="21"/>
                <w:szCs w:val="21"/>
                <w:lang w:bidi="zh-CN"/>
              </w:rPr>
              <w:t>ND</w:t>
            </w:r>
          </w:p>
        </w:tc>
        <w:tc>
          <w:tcPr>
            <w:tcW w:w="366" w:type="pct"/>
            <w:tcBorders>
              <w:tl2br w:val="nil"/>
              <w:tr2bl w:val="nil"/>
            </w:tcBorders>
            <w:vAlign w:val="center"/>
          </w:tcPr>
          <w:p w14:paraId="32AA5B6B" w14:textId="77777777" w:rsidR="003E78AB" w:rsidRDefault="00010BF9">
            <w:pPr>
              <w:spacing w:line="360" w:lineRule="exact"/>
              <w:ind w:firstLineChars="0" w:firstLine="0"/>
              <w:jc w:val="center"/>
              <w:rPr>
                <w:kern w:val="2"/>
                <w:sz w:val="21"/>
                <w:szCs w:val="21"/>
                <w:lang w:val="zh-CN" w:bidi="zh-CN"/>
              </w:rPr>
            </w:pPr>
            <w:r>
              <w:rPr>
                <w:rFonts w:eastAsia="Noto Sans CJK JP Regular"/>
                <w:kern w:val="2"/>
                <w:sz w:val="21"/>
                <w:szCs w:val="21"/>
                <w:lang w:bidi="zh-CN"/>
              </w:rPr>
              <w:t>/</w:t>
            </w:r>
          </w:p>
        </w:tc>
        <w:tc>
          <w:tcPr>
            <w:tcW w:w="362" w:type="pct"/>
            <w:tcBorders>
              <w:tl2br w:val="nil"/>
              <w:tr2bl w:val="nil"/>
            </w:tcBorders>
            <w:vAlign w:val="center"/>
          </w:tcPr>
          <w:p w14:paraId="4C81E559" w14:textId="77777777" w:rsidR="003E78AB" w:rsidRDefault="00010BF9">
            <w:pPr>
              <w:pStyle w:val="B1"/>
              <w:widowControl w:val="0"/>
              <w:rPr>
                <w:rFonts w:cs="Times New Roman"/>
                <w:kern w:val="2"/>
                <w:szCs w:val="21"/>
                <w:lang w:val="zh-CN" w:bidi="zh-CN"/>
              </w:rPr>
            </w:pPr>
            <w:r>
              <w:rPr>
                <w:rFonts w:hint="eastAsia"/>
              </w:rPr>
              <w:t>0.15</w:t>
            </w:r>
          </w:p>
        </w:tc>
        <w:tc>
          <w:tcPr>
            <w:tcW w:w="366" w:type="pct"/>
            <w:tcBorders>
              <w:tl2br w:val="nil"/>
              <w:tr2bl w:val="nil"/>
            </w:tcBorders>
            <w:vAlign w:val="center"/>
          </w:tcPr>
          <w:p w14:paraId="2E485A21" w14:textId="77777777" w:rsidR="003E78AB" w:rsidRDefault="00010BF9">
            <w:pPr>
              <w:pStyle w:val="B1"/>
              <w:widowControl w:val="0"/>
              <w:rPr>
                <w:rFonts w:cs="Times New Roman"/>
                <w:kern w:val="2"/>
                <w:szCs w:val="21"/>
                <w:lang w:val="zh-CN" w:bidi="zh-CN"/>
              </w:rPr>
            </w:pPr>
            <w:r>
              <w:t>＜</w:t>
            </w:r>
            <w:r>
              <w:rPr>
                <w:rFonts w:hint="eastAsia"/>
              </w:rPr>
              <w:t>0.0003</w:t>
            </w:r>
          </w:p>
        </w:tc>
        <w:tc>
          <w:tcPr>
            <w:tcW w:w="362" w:type="pct"/>
            <w:tcBorders>
              <w:tl2br w:val="nil"/>
              <w:tr2bl w:val="nil"/>
            </w:tcBorders>
            <w:vAlign w:val="center"/>
          </w:tcPr>
          <w:p w14:paraId="28B672D1"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ND</w:t>
            </w:r>
          </w:p>
        </w:tc>
        <w:tc>
          <w:tcPr>
            <w:tcW w:w="366" w:type="pct"/>
            <w:tcBorders>
              <w:tl2br w:val="nil"/>
              <w:tr2bl w:val="nil"/>
            </w:tcBorders>
            <w:vAlign w:val="center"/>
          </w:tcPr>
          <w:p w14:paraId="7A5F72B2" w14:textId="77777777" w:rsidR="003E78AB" w:rsidRDefault="00010BF9">
            <w:pPr>
              <w:spacing w:line="360" w:lineRule="exact"/>
              <w:ind w:firstLineChars="0" w:firstLine="0"/>
              <w:jc w:val="center"/>
              <w:rPr>
                <w:kern w:val="2"/>
                <w:sz w:val="21"/>
                <w:szCs w:val="21"/>
                <w:lang w:val="zh-CN" w:bidi="zh-CN"/>
              </w:rPr>
            </w:pPr>
            <w:r>
              <w:rPr>
                <w:rFonts w:eastAsia="Noto Sans CJK JP Regular"/>
                <w:kern w:val="2"/>
                <w:sz w:val="21"/>
                <w:szCs w:val="21"/>
                <w:lang w:bidi="zh-CN"/>
              </w:rPr>
              <w:t>/</w:t>
            </w:r>
          </w:p>
        </w:tc>
        <w:tc>
          <w:tcPr>
            <w:tcW w:w="362" w:type="pct"/>
            <w:tcBorders>
              <w:tl2br w:val="nil"/>
              <w:tr2bl w:val="nil"/>
            </w:tcBorders>
            <w:vAlign w:val="center"/>
          </w:tcPr>
          <w:p w14:paraId="3AC00E66" w14:textId="77777777" w:rsidR="003E78AB" w:rsidRDefault="00010BF9">
            <w:pPr>
              <w:pStyle w:val="B1"/>
              <w:widowControl w:val="0"/>
              <w:rPr>
                <w:rFonts w:cs="Times New Roman"/>
                <w:kern w:val="2"/>
                <w:szCs w:val="21"/>
              </w:rPr>
            </w:pPr>
            <w:r>
              <w:rPr>
                <w:rFonts w:hint="eastAsia"/>
              </w:rPr>
              <w:t>0.15</w:t>
            </w:r>
          </w:p>
        </w:tc>
        <w:tc>
          <w:tcPr>
            <w:tcW w:w="366" w:type="pct"/>
            <w:tcBorders>
              <w:tl2br w:val="nil"/>
              <w:tr2bl w:val="nil"/>
            </w:tcBorders>
            <w:vAlign w:val="center"/>
          </w:tcPr>
          <w:p w14:paraId="74F54315" w14:textId="77777777" w:rsidR="003E78AB" w:rsidRDefault="00010BF9">
            <w:pPr>
              <w:pStyle w:val="B1"/>
              <w:widowControl w:val="0"/>
              <w:rPr>
                <w:rFonts w:cs="Times New Roman"/>
                <w:kern w:val="2"/>
                <w:szCs w:val="21"/>
                <w:lang w:val="zh-CN" w:bidi="zh-CN"/>
              </w:rPr>
            </w:pPr>
            <w:r>
              <w:t>＜</w:t>
            </w:r>
            <w:r>
              <w:rPr>
                <w:rFonts w:hint="eastAsia"/>
              </w:rPr>
              <w:t>0.0003</w:t>
            </w:r>
          </w:p>
        </w:tc>
        <w:tc>
          <w:tcPr>
            <w:tcW w:w="362" w:type="pct"/>
            <w:tcBorders>
              <w:tl2br w:val="nil"/>
              <w:tr2bl w:val="nil"/>
            </w:tcBorders>
            <w:vAlign w:val="center"/>
          </w:tcPr>
          <w:p w14:paraId="001B6947" w14:textId="77777777" w:rsidR="003E78AB" w:rsidRDefault="00010BF9">
            <w:pPr>
              <w:pStyle w:val="B1"/>
              <w:widowControl w:val="0"/>
              <w:rPr>
                <w:rFonts w:cs="Times New Roman"/>
                <w:kern w:val="2"/>
                <w:szCs w:val="21"/>
              </w:rPr>
            </w:pPr>
            <w:r>
              <w:rPr>
                <w:rFonts w:hint="eastAsia"/>
              </w:rPr>
              <w:t>0.15</w:t>
            </w:r>
          </w:p>
        </w:tc>
        <w:tc>
          <w:tcPr>
            <w:tcW w:w="372" w:type="pct"/>
            <w:tcBorders>
              <w:tl2br w:val="nil"/>
              <w:tr2bl w:val="nil"/>
            </w:tcBorders>
            <w:vAlign w:val="center"/>
          </w:tcPr>
          <w:p w14:paraId="36A28AF5" w14:textId="77777777" w:rsidR="003E78AB" w:rsidRDefault="00010BF9">
            <w:pPr>
              <w:pStyle w:val="B1"/>
              <w:widowControl w:val="0"/>
              <w:rPr>
                <w:rFonts w:cs="Times New Roman"/>
                <w:kern w:val="2"/>
                <w:szCs w:val="21"/>
                <w:lang w:val="zh-CN" w:bidi="zh-CN"/>
              </w:rPr>
            </w:pPr>
            <w:r>
              <w:t>＜</w:t>
            </w:r>
            <w:r>
              <w:rPr>
                <w:rFonts w:hint="eastAsia"/>
              </w:rPr>
              <w:t>0.0003</w:t>
            </w:r>
          </w:p>
        </w:tc>
        <w:tc>
          <w:tcPr>
            <w:tcW w:w="436" w:type="pct"/>
            <w:tcBorders>
              <w:tl2br w:val="nil"/>
              <w:tr2bl w:val="nil"/>
            </w:tcBorders>
            <w:vAlign w:val="center"/>
          </w:tcPr>
          <w:p w14:paraId="14B99B65" w14:textId="77777777" w:rsidR="003E78AB" w:rsidRDefault="00010BF9">
            <w:pPr>
              <w:spacing w:line="360" w:lineRule="exact"/>
              <w:ind w:firstLineChars="0" w:firstLine="0"/>
              <w:jc w:val="center"/>
              <w:rPr>
                <w:kern w:val="2"/>
                <w:sz w:val="21"/>
                <w:szCs w:val="21"/>
                <w:lang w:bidi="zh-CN"/>
              </w:rPr>
            </w:pPr>
            <w:r>
              <w:rPr>
                <w:kern w:val="2"/>
                <w:sz w:val="21"/>
                <w:szCs w:val="21"/>
                <w:lang w:bidi="zh-CN"/>
              </w:rPr>
              <w:t>0.002</w:t>
            </w:r>
          </w:p>
        </w:tc>
      </w:tr>
      <w:tr w:rsidR="003E78AB" w14:paraId="5532A8AF" w14:textId="77777777">
        <w:trPr>
          <w:trHeight w:val="397"/>
        </w:trPr>
        <w:tc>
          <w:tcPr>
            <w:tcW w:w="184" w:type="pct"/>
            <w:tcBorders>
              <w:tl2br w:val="nil"/>
              <w:tr2bl w:val="nil"/>
            </w:tcBorders>
            <w:vAlign w:val="center"/>
          </w:tcPr>
          <w:p w14:paraId="09E3DFDD" w14:textId="77777777" w:rsidR="003E78AB" w:rsidRDefault="00010BF9">
            <w:pPr>
              <w:spacing w:line="360" w:lineRule="exact"/>
              <w:ind w:firstLineChars="0" w:firstLine="0"/>
              <w:jc w:val="center"/>
              <w:rPr>
                <w:kern w:val="2"/>
                <w:sz w:val="21"/>
                <w:szCs w:val="21"/>
                <w:lang w:val="zh-CN" w:bidi="zh-CN"/>
              </w:rPr>
            </w:pPr>
            <w:r>
              <w:rPr>
                <w:spacing w:val="2"/>
                <w:kern w:val="2"/>
                <w:sz w:val="21"/>
                <w:szCs w:val="21"/>
                <w:lang w:val="zh-CN" w:bidi="zh-CN"/>
              </w:rPr>
              <w:t>13</w:t>
            </w:r>
          </w:p>
        </w:tc>
        <w:tc>
          <w:tcPr>
            <w:tcW w:w="727" w:type="pct"/>
            <w:tcBorders>
              <w:tl2br w:val="nil"/>
              <w:tr2bl w:val="nil"/>
            </w:tcBorders>
            <w:vAlign w:val="center"/>
          </w:tcPr>
          <w:p w14:paraId="060FD55D" w14:textId="77777777" w:rsidR="003E78AB" w:rsidRDefault="00010BF9">
            <w:pPr>
              <w:spacing w:line="360" w:lineRule="exact"/>
              <w:ind w:firstLineChars="0" w:firstLine="0"/>
              <w:jc w:val="center"/>
              <w:rPr>
                <w:kern w:val="2"/>
                <w:sz w:val="21"/>
                <w:szCs w:val="21"/>
              </w:rPr>
            </w:pPr>
            <w:r>
              <w:rPr>
                <w:kern w:val="2"/>
                <w:sz w:val="21"/>
                <w:szCs w:val="21"/>
              </w:rPr>
              <w:t>耗氧量</w:t>
            </w:r>
          </w:p>
        </w:tc>
        <w:tc>
          <w:tcPr>
            <w:tcW w:w="362" w:type="pct"/>
            <w:tcBorders>
              <w:tl2br w:val="nil"/>
              <w:tr2bl w:val="nil"/>
            </w:tcBorders>
            <w:vAlign w:val="center"/>
          </w:tcPr>
          <w:p w14:paraId="28790D7B" w14:textId="77777777" w:rsidR="003E78AB" w:rsidRDefault="00010BF9">
            <w:pPr>
              <w:spacing w:line="360" w:lineRule="exact"/>
              <w:ind w:firstLineChars="0" w:firstLine="0"/>
              <w:jc w:val="center"/>
              <w:rPr>
                <w:kern w:val="2"/>
                <w:sz w:val="21"/>
                <w:szCs w:val="21"/>
                <w:lang w:bidi="zh-CN"/>
              </w:rPr>
            </w:pPr>
            <w:r>
              <w:rPr>
                <w:kern w:val="2"/>
                <w:sz w:val="21"/>
                <w:szCs w:val="21"/>
                <w:lang w:bidi="zh-CN"/>
              </w:rPr>
              <w:t>2.5</w:t>
            </w:r>
          </w:p>
        </w:tc>
        <w:tc>
          <w:tcPr>
            <w:tcW w:w="366" w:type="pct"/>
            <w:tcBorders>
              <w:tl2br w:val="nil"/>
              <w:tr2bl w:val="nil"/>
            </w:tcBorders>
            <w:vAlign w:val="center"/>
          </w:tcPr>
          <w:p w14:paraId="4706E01B" w14:textId="77777777" w:rsidR="003E78AB" w:rsidRDefault="00010BF9">
            <w:pPr>
              <w:spacing w:line="360" w:lineRule="exact"/>
              <w:ind w:firstLineChars="0" w:firstLine="0"/>
              <w:jc w:val="center"/>
              <w:rPr>
                <w:kern w:val="2"/>
                <w:sz w:val="21"/>
                <w:szCs w:val="21"/>
                <w:lang w:bidi="zh-CN"/>
              </w:rPr>
            </w:pPr>
            <w:r>
              <w:rPr>
                <w:kern w:val="2"/>
                <w:sz w:val="21"/>
                <w:szCs w:val="21"/>
                <w:lang w:bidi="zh-CN"/>
              </w:rPr>
              <w:t>0.83</w:t>
            </w:r>
          </w:p>
        </w:tc>
        <w:tc>
          <w:tcPr>
            <w:tcW w:w="362" w:type="pct"/>
            <w:tcBorders>
              <w:tl2br w:val="nil"/>
              <w:tr2bl w:val="nil"/>
            </w:tcBorders>
            <w:vAlign w:val="center"/>
          </w:tcPr>
          <w:p w14:paraId="6DD03D07" w14:textId="77777777" w:rsidR="003E78AB" w:rsidRDefault="00010BF9">
            <w:pPr>
              <w:pStyle w:val="B1"/>
              <w:widowControl w:val="0"/>
              <w:rPr>
                <w:rFonts w:cs="Times New Roman"/>
                <w:kern w:val="2"/>
                <w:szCs w:val="21"/>
                <w:lang w:bidi="zh-CN"/>
              </w:rPr>
            </w:pPr>
            <w:r>
              <w:rPr>
                <w:rFonts w:cs="Times New Roman" w:hint="eastAsia"/>
                <w:kern w:val="2"/>
                <w:szCs w:val="21"/>
              </w:rPr>
              <w:t>0.83</w:t>
            </w:r>
          </w:p>
        </w:tc>
        <w:tc>
          <w:tcPr>
            <w:tcW w:w="366" w:type="pct"/>
            <w:tcBorders>
              <w:tl2br w:val="nil"/>
              <w:tr2bl w:val="nil"/>
            </w:tcBorders>
            <w:vAlign w:val="center"/>
          </w:tcPr>
          <w:p w14:paraId="68C231D9" w14:textId="77777777" w:rsidR="003E78AB" w:rsidRDefault="00010BF9">
            <w:pPr>
              <w:pStyle w:val="B1"/>
              <w:widowControl w:val="0"/>
              <w:rPr>
                <w:rFonts w:cs="Times New Roman"/>
                <w:kern w:val="2"/>
                <w:szCs w:val="21"/>
                <w:lang w:bidi="zh-CN"/>
              </w:rPr>
            </w:pPr>
            <w:r>
              <w:t>/</w:t>
            </w:r>
          </w:p>
        </w:tc>
        <w:tc>
          <w:tcPr>
            <w:tcW w:w="362" w:type="pct"/>
            <w:tcBorders>
              <w:tl2br w:val="nil"/>
              <w:tr2bl w:val="nil"/>
            </w:tcBorders>
            <w:vAlign w:val="center"/>
          </w:tcPr>
          <w:p w14:paraId="7CFF38DB" w14:textId="77777777" w:rsidR="003E78AB" w:rsidRDefault="00010BF9">
            <w:pPr>
              <w:spacing w:line="360" w:lineRule="exact"/>
              <w:ind w:firstLineChars="0" w:firstLine="0"/>
              <w:jc w:val="center"/>
              <w:rPr>
                <w:kern w:val="2"/>
                <w:sz w:val="21"/>
                <w:szCs w:val="21"/>
                <w:lang w:bidi="zh-CN"/>
              </w:rPr>
            </w:pPr>
            <w:r>
              <w:rPr>
                <w:kern w:val="2"/>
                <w:sz w:val="21"/>
                <w:szCs w:val="21"/>
                <w:lang w:bidi="zh-CN"/>
              </w:rPr>
              <w:t>2.09</w:t>
            </w:r>
          </w:p>
        </w:tc>
        <w:tc>
          <w:tcPr>
            <w:tcW w:w="366" w:type="pct"/>
            <w:tcBorders>
              <w:tl2br w:val="nil"/>
              <w:tr2bl w:val="nil"/>
            </w:tcBorders>
            <w:vAlign w:val="center"/>
          </w:tcPr>
          <w:p w14:paraId="66352065" w14:textId="77777777" w:rsidR="003E78AB" w:rsidRDefault="00010BF9">
            <w:pPr>
              <w:spacing w:line="360" w:lineRule="exact"/>
              <w:ind w:firstLineChars="0" w:firstLine="0"/>
              <w:jc w:val="center"/>
              <w:rPr>
                <w:kern w:val="2"/>
                <w:sz w:val="21"/>
                <w:szCs w:val="21"/>
                <w:lang w:bidi="zh-CN"/>
              </w:rPr>
            </w:pPr>
            <w:r>
              <w:rPr>
                <w:kern w:val="2"/>
                <w:sz w:val="21"/>
                <w:szCs w:val="21"/>
                <w:lang w:bidi="zh-CN"/>
              </w:rPr>
              <w:t>0.697</w:t>
            </w:r>
          </w:p>
        </w:tc>
        <w:tc>
          <w:tcPr>
            <w:tcW w:w="362" w:type="pct"/>
            <w:tcBorders>
              <w:tl2br w:val="nil"/>
              <w:tr2bl w:val="nil"/>
            </w:tcBorders>
            <w:vAlign w:val="center"/>
          </w:tcPr>
          <w:p w14:paraId="1F289FD4" w14:textId="77777777" w:rsidR="003E78AB" w:rsidRDefault="00010BF9">
            <w:pPr>
              <w:pStyle w:val="B1"/>
              <w:widowControl w:val="0"/>
              <w:rPr>
                <w:rFonts w:cs="Times New Roman"/>
                <w:kern w:val="2"/>
                <w:szCs w:val="21"/>
              </w:rPr>
            </w:pPr>
            <w:r>
              <w:rPr>
                <w:rFonts w:cs="Times New Roman" w:hint="eastAsia"/>
                <w:kern w:val="2"/>
                <w:szCs w:val="21"/>
              </w:rPr>
              <w:t>0.85</w:t>
            </w:r>
          </w:p>
        </w:tc>
        <w:tc>
          <w:tcPr>
            <w:tcW w:w="366" w:type="pct"/>
            <w:tcBorders>
              <w:tl2br w:val="nil"/>
              <w:tr2bl w:val="nil"/>
            </w:tcBorders>
            <w:vAlign w:val="center"/>
          </w:tcPr>
          <w:p w14:paraId="74885963" w14:textId="77777777" w:rsidR="003E78AB" w:rsidRDefault="00010BF9">
            <w:pPr>
              <w:pStyle w:val="B1"/>
              <w:widowControl w:val="0"/>
              <w:rPr>
                <w:rFonts w:cs="Times New Roman"/>
                <w:kern w:val="2"/>
                <w:szCs w:val="21"/>
                <w:lang w:bidi="zh-CN"/>
              </w:rPr>
            </w:pPr>
            <w:r>
              <w:t>/</w:t>
            </w:r>
          </w:p>
        </w:tc>
        <w:tc>
          <w:tcPr>
            <w:tcW w:w="362" w:type="pct"/>
            <w:tcBorders>
              <w:tl2br w:val="nil"/>
              <w:tr2bl w:val="nil"/>
            </w:tcBorders>
            <w:vAlign w:val="center"/>
          </w:tcPr>
          <w:p w14:paraId="2DDA0ED8" w14:textId="77777777" w:rsidR="003E78AB" w:rsidRDefault="00010BF9">
            <w:pPr>
              <w:pStyle w:val="B1"/>
              <w:widowControl w:val="0"/>
              <w:rPr>
                <w:rFonts w:cs="Times New Roman"/>
                <w:kern w:val="2"/>
                <w:szCs w:val="21"/>
              </w:rPr>
            </w:pPr>
            <w:r>
              <w:rPr>
                <w:rFonts w:cs="Times New Roman" w:hint="eastAsia"/>
                <w:kern w:val="2"/>
                <w:szCs w:val="21"/>
              </w:rPr>
              <w:t>0.97</w:t>
            </w:r>
          </w:p>
        </w:tc>
        <w:tc>
          <w:tcPr>
            <w:tcW w:w="372" w:type="pct"/>
            <w:tcBorders>
              <w:tl2br w:val="nil"/>
              <w:tr2bl w:val="nil"/>
            </w:tcBorders>
            <w:vAlign w:val="center"/>
          </w:tcPr>
          <w:p w14:paraId="21785341" w14:textId="77777777" w:rsidR="003E78AB" w:rsidRDefault="00010BF9">
            <w:pPr>
              <w:pStyle w:val="B1"/>
              <w:widowControl w:val="0"/>
              <w:rPr>
                <w:rFonts w:cs="Times New Roman"/>
                <w:kern w:val="2"/>
                <w:szCs w:val="21"/>
                <w:lang w:bidi="zh-CN"/>
              </w:rPr>
            </w:pPr>
            <w:r>
              <w:rPr>
                <w:rFonts w:hint="eastAsia"/>
              </w:rPr>
              <w:t>/</w:t>
            </w:r>
          </w:p>
        </w:tc>
        <w:tc>
          <w:tcPr>
            <w:tcW w:w="436" w:type="pct"/>
            <w:tcBorders>
              <w:tl2br w:val="nil"/>
              <w:tr2bl w:val="nil"/>
            </w:tcBorders>
            <w:vAlign w:val="center"/>
          </w:tcPr>
          <w:p w14:paraId="201EB5D6" w14:textId="77777777" w:rsidR="003E78AB" w:rsidRDefault="00010BF9">
            <w:pPr>
              <w:spacing w:line="360" w:lineRule="exact"/>
              <w:ind w:firstLineChars="0" w:firstLine="0"/>
              <w:jc w:val="center"/>
              <w:rPr>
                <w:kern w:val="2"/>
                <w:sz w:val="21"/>
                <w:szCs w:val="21"/>
                <w:lang w:bidi="zh-CN"/>
              </w:rPr>
            </w:pPr>
            <w:r>
              <w:rPr>
                <w:kern w:val="2"/>
                <w:sz w:val="21"/>
                <w:szCs w:val="21"/>
                <w:lang w:bidi="zh-CN"/>
              </w:rPr>
              <w:t>3.0</w:t>
            </w:r>
          </w:p>
        </w:tc>
      </w:tr>
      <w:tr w:rsidR="003E78AB" w14:paraId="503185FF" w14:textId="77777777">
        <w:trPr>
          <w:trHeight w:val="397"/>
        </w:trPr>
        <w:tc>
          <w:tcPr>
            <w:tcW w:w="184" w:type="pct"/>
            <w:tcBorders>
              <w:tl2br w:val="nil"/>
              <w:tr2bl w:val="nil"/>
            </w:tcBorders>
            <w:vAlign w:val="center"/>
          </w:tcPr>
          <w:p w14:paraId="137E2887" w14:textId="77777777" w:rsidR="003E78AB" w:rsidRDefault="00010BF9">
            <w:pPr>
              <w:spacing w:line="360" w:lineRule="exact"/>
              <w:ind w:firstLineChars="0" w:firstLine="0"/>
              <w:jc w:val="center"/>
              <w:rPr>
                <w:kern w:val="2"/>
                <w:sz w:val="21"/>
                <w:szCs w:val="21"/>
                <w:lang w:val="zh-CN" w:bidi="zh-CN"/>
              </w:rPr>
            </w:pPr>
            <w:r>
              <w:rPr>
                <w:spacing w:val="2"/>
                <w:kern w:val="2"/>
                <w:sz w:val="21"/>
                <w:szCs w:val="21"/>
                <w:lang w:val="zh-CN" w:bidi="zh-CN"/>
              </w:rPr>
              <w:t>14</w:t>
            </w:r>
          </w:p>
        </w:tc>
        <w:tc>
          <w:tcPr>
            <w:tcW w:w="727" w:type="pct"/>
            <w:tcBorders>
              <w:tl2br w:val="nil"/>
              <w:tr2bl w:val="nil"/>
            </w:tcBorders>
            <w:vAlign w:val="center"/>
          </w:tcPr>
          <w:p w14:paraId="69E58C8C" w14:textId="77777777" w:rsidR="003E78AB" w:rsidRDefault="00010BF9">
            <w:pPr>
              <w:spacing w:line="360" w:lineRule="exact"/>
              <w:ind w:firstLineChars="0" w:firstLine="0"/>
              <w:jc w:val="center"/>
              <w:rPr>
                <w:kern w:val="2"/>
                <w:sz w:val="21"/>
                <w:szCs w:val="21"/>
              </w:rPr>
            </w:pPr>
            <w:r>
              <w:rPr>
                <w:kern w:val="2"/>
                <w:sz w:val="21"/>
                <w:szCs w:val="21"/>
              </w:rPr>
              <w:t>氨氮（以</w:t>
            </w:r>
            <w:r>
              <w:rPr>
                <w:kern w:val="2"/>
                <w:sz w:val="21"/>
                <w:szCs w:val="21"/>
              </w:rPr>
              <w:t>N</w:t>
            </w:r>
            <w:r>
              <w:rPr>
                <w:kern w:val="2"/>
                <w:sz w:val="21"/>
                <w:szCs w:val="21"/>
              </w:rPr>
              <w:t>计）</w:t>
            </w:r>
          </w:p>
        </w:tc>
        <w:tc>
          <w:tcPr>
            <w:tcW w:w="362" w:type="pct"/>
            <w:tcBorders>
              <w:tl2br w:val="nil"/>
              <w:tr2bl w:val="nil"/>
            </w:tcBorders>
            <w:vAlign w:val="center"/>
          </w:tcPr>
          <w:p w14:paraId="264DB7F8" w14:textId="77777777" w:rsidR="003E78AB" w:rsidRDefault="00010BF9">
            <w:pPr>
              <w:spacing w:line="360" w:lineRule="exact"/>
              <w:ind w:firstLineChars="0" w:firstLine="0"/>
              <w:jc w:val="center"/>
              <w:rPr>
                <w:kern w:val="2"/>
                <w:sz w:val="21"/>
                <w:szCs w:val="21"/>
                <w:lang w:bidi="zh-CN"/>
              </w:rPr>
            </w:pPr>
            <w:r>
              <w:rPr>
                <w:kern w:val="2"/>
                <w:sz w:val="21"/>
                <w:szCs w:val="21"/>
                <w:lang w:bidi="zh-CN"/>
              </w:rPr>
              <w:t>0.11</w:t>
            </w:r>
          </w:p>
        </w:tc>
        <w:tc>
          <w:tcPr>
            <w:tcW w:w="366" w:type="pct"/>
            <w:tcBorders>
              <w:tl2br w:val="nil"/>
              <w:tr2bl w:val="nil"/>
            </w:tcBorders>
            <w:vAlign w:val="center"/>
          </w:tcPr>
          <w:p w14:paraId="0E976828" w14:textId="77777777" w:rsidR="003E78AB" w:rsidRDefault="00010BF9">
            <w:pPr>
              <w:spacing w:line="360" w:lineRule="exact"/>
              <w:ind w:firstLineChars="0" w:firstLine="0"/>
              <w:jc w:val="center"/>
              <w:rPr>
                <w:kern w:val="2"/>
                <w:sz w:val="21"/>
                <w:szCs w:val="21"/>
                <w:lang w:bidi="zh-CN"/>
              </w:rPr>
            </w:pPr>
            <w:r>
              <w:rPr>
                <w:kern w:val="2"/>
                <w:sz w:val="21"/>
                <w:szCs w:val="21"/>
                <w:lang w:bidi="zh-CN"/>
              </w:rPr>
              <w:t>0.22</w:t>
            </w:r>
          </w:p>
        </w:tc>
        <w:tc>
          <w:tcPr>
            <w:tcW w:w="362" w:type="pct"/>
            <w:tcBorders>
              <w:tl2br w:val="nil"/>
              <w:tr2bl w:val="nil"/>
            </w:tcBorders>
            <w:vAlign w:val="center"/>
          </w:tcPr>
          <w:p w14:paraId="61838FCF" w14:textId="77777777" w:rsidR="003E78AB" w:rsidRDefault="00010BF9">
            <w:pPr>
              <w:pStyle w:val="B1"/>
              <w:widowControl w:val="0"/>
              <w:rPr>
                <w:rFonts w:cs="Times New Roman"/>
                <w:kern w:val="2"/>
                <w:szCs w:val="21"/>
                <w:lang w:bidi="zh-CN"/>
              </w:rPr>
            </w:pPr>
            <w:r>
              <w:t>＜</w:t>
            </w:r>
            <w:r>
              <w:rPr>
                <w:rFonts w:hint="eastAsia"/>
              </w:rPr>
              <w:t>0.025</w:t>
            </w:r>
          </w:p>
        </w:tc>
        <w:tc>
          <w:tcPr>
            <w:tcW w:w="366" w:type="pct"/>
            <w:tcBorders>
              <w:tl2br w:val="nil"/>
              <w:tr2bl w:val="nil"/>
            </w:tcBorders>
            <w:vAlign w:val="center"/>
          </w:tcPr>
          <w:p w14:paraId="0F30EAC5" w14:textId="77777777" w:rsidR="003E78AB" w:rsidRDefault="00010BF9">
            <w:pPr>
              <w:pStyle w:val="B1"/>
              <w:widowControl w:val="0"/>
              <w:rPr>
                <w:rFonts w:cs="Times New Roman"/>
                <w:kern w:val="2"/>
                <w:szCs w:val="21"/>
                <w:lang w:bidi="zh-CN"/>
              </w:rPr>
            </w:pPr>
            <w:r>
              <w:rPr>
                <w:rFonts w:hint="eastAsia"/>
              </w:rPr>
              <w:t>0.05</w:t>
            </w:r>
          </w:p>
        </w:tc>
        <w:tc>
          <w:tcPr>
            <w:tcW w:w="362" w:type="pct"/>
            <w:tcBorders>
              <w:tl2br w:val="nil"/>
              <w:tr2bl w:val="nil"/>
            </w:tcBorders>
            <w:vAlign w:val="center"/>
          </w:tcPr>
          <w:p w14:paraId="62AB30A0" w14:textId="77777777" w:rsidR="003E78AB" w:rsidRDefault="00010BF9">
            <w:pPr>
              <w:spacing w:line="360" w:lineRule="exact"/>
              <w:ind w:firstLineChars="0" w:firstLine="0"/>
              <w:jc w:val="center"/>
              <w:rPr>
                <w:kern w:val="2"/>
                <w:sz w:val="21"/>
                <w:szCs w:val="21"/>
                <w:lang w:bidi="zh-CN"/>
              </w:rPr>
            </w:pPr>
            <w:r>
              <w:rPr>
                <w:kern w:val="2"/>
                <w:sz w:val="21"/>
                <w:szCs w:val="21"/>
                <w:lang w:bidi="zh-CN"/>
              </w:rPr>
              <w:t>0.08</w:t>
            </w:r>
          </w:p>
        </w:tc>
        <w:tc>
          <w:tcPr>
            <w:tcW w:w="366" w:type="pct"/>
            <w:tcBorders>
              <w:tl2br w:val="nil"/>
              <w:tr2bl w:val="nil"/>
            </w:tcBorders>
            <w:vAlign w:val="center"/>
          </w:tcPr>
          <w:p w14:paraId="5C7558A5" w14:textId="77777777" w:rsidR="003E78AB" w:rsidRDefault="00010BF9">
            <w:pPr>
              <w:spacing w:line="360" w:lineRule="exact"/>
              <w:ind w:firstLineChars="0" w:firstLine="0"/>
              <w:jc w:val="center"/>
              <w:rPr>
                <w:kern w:val="2"/>
                <w:sz w:val="21"/>
                <w:szCs w:val="21"/>
                <w:lang w:bidi="zh-CN"/>
              </w:rPr>
            </w:pPr>
            <w:r>
              <w:rPr>
                <w:kern w:val="2"/>
                <w:sz w:val="21"/>
                <w:szCs w:val="21"/>
                <w:lang w:bidi="zh-CN"/>
              </w:rPr>
              <w:t>0.16</w:t>
            </w:r>
          </w:p>
        </w:tc>
        <w:tc>
          <w:tcPr>
            <w:tcW w:w="362" w:type="pct"/>
            <w:tcBorders>
              <w:tl2br w:val="nil"/>
              <w:tr2bl w:val="nil"/>
            </w:tcBorders>
            <w:vAlign w:val="center"/>
          </w:tcPr>
          <w:p w14:paraId="1CD688B6" w14:textId="77777777" w:rsidR="003E78AB" w:rsidRDefault="00010BF9">
            <w:pPr>
              <w:pStyle w:val="B1"/>
              <w:widowControl w:val="0"/>
              <w:rPr>
                <w:rFonts w:cs="Times New Roman"/>
                <w:kern w:val="2"/>
                <w:szCs w:val="21"/>
              </w:rPr>
            </w:pPr>
            <w:r>
              <w:t>＜</w:t>
            </w:r>
            <w:r>
              <w:rPr>
                <w:rFonts w:hint="eastAsia"/>
              </w:rPr>
              <w:t>0.025</w:t>
            </w:r>
          </w:p>
        </w:tc>
        <w:tc>
          <w:tcPr>
            <w:tcW w:w="366" w:type="pct"/>
            <w:tcBorders>
              <w:tl2br w:val="nil"/>
              <w:tr2bl w:val="nil"/>
            </w:tcBorders>
            <w:vAlign w:val="center"/>
          </w:tcPr>
          <w:p w14:paraId="6D476EA1" w14:textId="77777777" w:rsidR="003E78AB" w:rsidRDefault="00010BF9">
            <w:pPr>
              <w:pStyle w:val="B1"/>
              <w:widowControl w:val="0"/>
              <w:rPr>
                <w:rFonts w:cs="Times New Roman"/>
                <w:kern w:val="2"/>
                <w:szCs w:val="21"/>
                <w:lang w:bidi="zh-CN"/>
              </w:rPr>
            </w:pPr>
            <w:r>
              <w:rPr>
                <w:rFonts w:hint="eastAsia"/>
              </w:rPr>
              <w:t>0.05</w:t>
            </w:r>
          </w:p>
        </w:tc>
        <w:tc>
          <w:tcPr>
            <w:tcW w:w="362" w:type="pct"/>
            <w:tcBorders>
              <w:tl2br w:val="nil"/>
              <w:tr2bl w:val="nil"/>
            </w:tcBorders>
            <w:vAlign w:val="center"/>
          </w:tcPr>
          <w:p w14:paraId="686BFF63" w14:textId="77777777" w:rsidR="003E78AB" w:rsidRDefault="00010BF9">
            <w:pPr>
              <w:pStyle w:val="B1"/>
              <w:widowControl w:val="0"/>
              <w:rPr>
                <w:rFonts w:cs="Times New Roman"/>
                <w:kern w:val="2"/>
                <w:szCs w:val="21"/>
              </w:rPr>
            </w:pPr>
            <w:r>
              <w:t>＜</w:t>
            </w:r>
            <w:r>
              <w:rPr>
                <w:rFonts w:hint="eastAsia"/>
              </w:rPr>
              <w:t>0.025</w:t>
            </w:r>
          </w:p>
        </w:tc>
        <w:tc>
          <w:tcPr>
            <w:tcW w:w="372" w:type="pct"/>
            <w:tcBorders>
              <w:tl2br w:val="nil"/>
              <w:tr2bl w:val="nil"/>
            </w:tcBorders>
            <w:vAlign w:val="center"/>
          </w:tcPr>
          <w:p w14:paraId="12315E32" w14:textId="77777777" w:rsidR="003E78AB" w:rsidRDefault="00010BF9">
            <w:pPr>
              <w:pStyle w:val="B1"/>
              <w:widowControl w:val="0"/>
              <w:rPr>
                <w:rFonts w:cs="Times New Roman"/>
                <w:kern w:val="2"/>
                <w:szCs w:val="21"/>
                <w:lang w:bidi="zh-CN"/>
              </w:rPr>
            </w:pPr>
            <w:r>
              <w:rPr>
                <w:rFonts w:hint="eastAsia"/>
              </w:rPr>
              <w:t>0.05</w:t>
            </w:r>
          </w:p>
        </w:tc>
        <w:tc>
          <w:tcPr>
            <w:tcW w:w="436" w:type="pct"/>
            <w:tcBorders>
              <w:tl2br w:val="nil"/>
              <w:tr2bl w:val="nil"/>
            </w:tcBorders>
            <w:vAlign w:val="center"/>
          </w:tcPr>
          <w:p w14:paraId="0AF766DB" w14:textId="77777777" w:rsidR="003E78AB" w:rsidRDefault="00010BF9">
            <w:pPr>
              <w:spacing w:line="360" w:lineRule="exact"/>
              <w:ind w:firstLineChars="0" w:firstLine="0"/>
              <w:jc w:val="center"/>
              <w:rPr>
                <w:kern w:val="2"/>
                <w:sz w:val="21"/>
                <w:szCs w:val="21"/>
                <w:lang w:bidi="zh-CN"/>
              </w:rPr>
            </w:pPr>
            <w:r>
              <w:rPr>
                <w:kern w:val="2"/>
                <w:sz w:val="21"/>
                <w:szCs w:val="21"/>
                <w:lang w:bidi="zh-CN"/>
              </w:rPr>
              <w:t>0.5</w:t>
            </w:r>
          </w:p>
        </w:tc>
      </w:tr>
      <w:tr w:rsidR="003E78AB" w14:paraId="186C5F35" w14:textId="77777777">
        <w:trPr>
          <w:trHeight w:val="397"/>
        </w:trPr>
        <w:tc>
          <w:tcPr>
            <w:tcW w:w="184" w:type="pct"/>
            <w:tcBorders>
              <w:tl2br w:val="nil"/>
              <w:tr2bl w:val="nil"/>
            </w:tcBorders>
            <w:vAlign w:val="center"/>
          </w:tcPr>
          <w:p w14:paraId="16EE6872" w14:textId="77777777" w:rsidR="003E78AB" w:rsidRDefault="00010BF9">
            <w:pPr>
              <w:spacing w:line="360" w:lineRule="exact"/>
              <w:ind w:firstLineChars="0" w:firstLine="0"/>
              <w:jc w:val="center"/>
              <w:rPr>
                <w:kern w:val="2"/>
                <w:sz w:val="21"/>
                <w:szCs w:val="21"/>
                <w:lang w:val="zh-CN" w:bidi="zh-CN"/>
              </w:rPr>
            </w:pPr>
            <w:r>
              <w:rPr>
                <w:spacing w:val="2"/>
                <w:kern w:val="2"/>
                <w:sz w:val="21"/>
                <w:szCs w:val="21"/>
                <w:lang w:val="zh-CN" w:bidi="zh-CN"/>
              </w:rPr>
              <w:t>15</w:t>
            </w:r>
          </w:p>
        </w:tc>
        <w:tc>
          <w:tcPr>
            <w:tcW w:w="727" w:type="pct"/>
            <w:tcBorders>
              <w:tl2br w:val="nil"/>
              <w:tr2bl w:val="nil"/>
            </w:tcBorders>
            <w:vAlign w:val="center"/>
          </w:tcPr>
          <w:p w14:paraId="5329AAF7" w14:textId="77777777" w:rsidR="003E78AB" w:rsidRDefault="00010BF9">
            <w:pPr>
              <w:spacing w:line="360" w:lineRule="exact"/>
              <w:ind w:firstLineChars="0" w:firstLine="0"/>
              <w:jc w:val="center"/>
              <w:rPr>
                <w:kern w:val="2"/>
                <w:sz w:val="21"/>
                <w:szCs w:val="21"/>
              </w:rPr>
            </w:pPr>
            <w:r>
              <w:rPr>
                <w:kern w:val="2"/>
                <w:sz w:val="21"/>
                <w:szCs w:val="21"/>
              </w:rPr>
              <w:t>亚硝酸盐（以</w:t>
            </w:r>
            <w:r>
              <w:rPr>
                <w:kern w:val="2"/>
                <w:sz w:val="21"/>
                <w:szCs w:val="21"/>
              </w:rPr>
              <w:t>N</w:t>
            </w:r>
            <w:r>
              <w:rPr>
                <w:kern w:val="2"/>
                <w:sz w:val="21"/>
                <w:szCs w:val="21"/>
              </w:rPr>
              <w:t>计）</w:t>
            </w:r>
          </w:p>
        </w:tc>
        <w:tc>
          <w:tcPr>
            <w:tcW w:w="362" w:type="pct"/>
            <w:tcBorders>
              <w:tl2br w:val="nil"/>
              <w:tr2bl w:val="nil"/>
            </w:tcBorders>
            <w:vAlign w:val="center"/>
          </w:tcPr>
          <w:p w14:paraId="00909F80" w14:textId="77777777" w:rsidR="003E78AB" w:rsidRDefault="00010BF9">
            <w:pPr>
              <w:spacing w:line="360" w:lineRule="exact"/>
              <w:ind w:firstLineChars="0" w:firstLine="0"/>
              <w:jc w:val="center"/>
              <w:rPr>
                <w:kern w:val="2"/>
                <w:sz w:val="21"/>
                <w:szCs w:val="21"/>
                <w:lang w:bidi="zh-CN"/>
              </w:rPr>
            </w:pPr>
            <w:r>
              <w:rPr>
                <w:kern w:val="2"/>
                <w:sz w:val="21"/>
                <w:szCs w:val="21"/>
                <w:lang w:bidi="zh-CN"/>
              </w:rPr>
              <w:t>0.036</w:t>
            </w:r>
          </w:p>
        </w:tc>
        <w:tc>
          <w:tcPr>
            <w:tcW w:w="366" w:type="pct"/>
            <w:tcBorders>
              <w:tl2br w:val="nil"/>
              <w:tr2bl w:val="nil"/>
            </w:tcBorders>
            <w:vAlign w:val="center"/>
          </w:tcPr>
          <w:p w14:paraId="474395D7" w14:textId="77777777" w:rsidR="003E78AB" w:rsidRDefault="00010BF9">
            <w:pPr>
              <w:spacing w:line="360" w:lineRule="exact"/>
              <w:ind w:firstLineChars="0" w:firstLine="0"/>
              <w:jc w:val="center"/>
              <w:rPr>
                <w:kern w:val="2"/>
                <w:sz w:val="21"/>
                <w:szCs w:val="21"/>
                <w:lang w:bidi="zh-CN"/>
              </w:rPr>
            </w:pPr>
            <w:r>
              <w:rPr>
                <w:kern w:val="2"/>
                <w:sz w:val="21"/>
                <w:szCs w:val="21"/>
                <w:lang w:bidi="zh-CN"/>
              </w:rPr>
              <w:t>0.036</w:t>
            </w:r>
          </w:p>
        </w:tc>
        <w:tc>
          <w:tcPr>
            <w:tcW w:w="362" w:type="pct"/>
            <w:tcBorders>
              <w:tl2br w:val="nil"/>
              <w:tr2bl w:val="nil"/>
            </w:tcBorders>
            <w:vAlign w:val="center"/>
          </w:tcPr>
          <w:p w14:paraId="06D8369F" w14:textId="77777777" w:rsidR="003E78AB" w:rsidRDefault="00010BF9">
            <w:pPr>
              <w:pStyle w:val="B1"/>
              <w:widowControl w:val="0"/>
              <w:rPr>
                <w:rFonts w:cs="Times New Roman"/>
                <w:kern w:val="2"/>
                <w:szCs w:val="21"/>
                <w:lang w:bidi="zh-CN"/>
              </w:rPr>
            </w:pPr>
            <w:r>
              <w:rPr>
                <w:rFonts w:cs="Times New Roman" w:hint="eastAsia"/>
                <w:szCs w:val="21"/>
              </w:rPr>
              <w:t>0.002</w:t>
            </w:r>
          </w:p>
        </w:tc>
        <w:tc>
          <w:tcPr>
            <w:tcW w:w="366" w:type="pct"/>
            <w:tcBorders>
              <w:tl2br w:val="nil"/>
              <w:tr2bl w:val="nil"/>
            </w:tcBorders>
            <w:vAlign w:val="center"/>
          </w:tcPr>
          <w:p w14:paraId="2FB424B7" w14:textId="77777777" w:rsidR="003E78AB" w:rsidRDefault="00010BF9">
            <w:pPr>
              <w:pStyle w:val="B1"/>
              <w:widowControl w:val="0"/>
              <w:rPr>
                <w:rFonts w:cs="Times New Roman"/>
                <w:kern w:val="2"/>
                <w:szCs w:val="21"/>
                <w:lang w:bidi="zh-CN"/>
              </w:rPr>
            </w:pPr>
            <w:r>
              <w:rPr>
                <w:rFonts w:hint="eastAsia"/>
              </w:rPr>
              <w:t>0.002</w:t>
            </w:r>
          </w:p>
        </w:tc>
        <w:tc>
          <w:tcPr>
            <w:tcW w:w="362" w:type="pct"/>
            <w:tcBorders>
              <w:tl2br w:val="nil"/>
              <w:tr2bl w:val="nil"/>
            </w:tcBorders>
            <w:vAlign w:val="center"/>
          </w:tcPr>
          <w:p w14:paraId="2CF147BD" w14:textId="77777777" w:rsidR="003E78AB" w:rsidRDefault="00010BF9">
            <w:pPr>
              <w:spacing w:line="360" w:lineRule="exact"/>
              <w:ind w:firstLineChars="0" w:firstLine="0"/>
              <w:jc w:val="center"/>
              <w:rPr>
                <w:kern w:val="2"/>
                <w:sz w:val="21"/>
                <w:szCs w:val="21"/>
                <w:lang w:bidi="zh-CN"/>
              </w:rPr>
            </w:pPr>
            <w:r>
              <w:rPr>
                <w:kern w:val="2"/>
                <w:sz w:val="21"/>
                <w:szCs w:val="21"/>
                <w:lang w:bidi="zh-CN"/>
              </w:rPr>
              <w:t>0.845</w:t>
            </w:r>
          </w:p>
        </w:tc>
        <w:tc>
          <w:tcPr>
            <w:tcW w:w="366" w:type="pct"/>
            <w:tcBorders>
              <w:tl2br w:val="nil"/>
              <w:tr2bl w:val="nil"/>
            </w:tcBorders>
            <w:vAlign w:val="center"/>
          </w:tcPr>
          <w:p w14:paraId="3F59ED89" w14:textId="77777777" w:rsidR="003E78AB" w:rsidRDefault="00010BF9">
            <w:pPr>
              <w:spacing w:line="360" w:lineRule="exact"/>
              <w:ind w:firstLineChars="0" w:firstLine="0"/>
              <w:jc w:val="center"/>
              <w:rPr>
                <w:kern w:val="2"/>
                <w:sz w:val="21"/>
                <w:szCs w:val="21"/>
                <w:lang w:bidi="zh-CN"/>
              </w:rPr>
            </w:pPr>
            <w:r>
              <w:rPr>
                <w:kern w:val="2"/>
                <w:sz w:val="21"/>
                <w:szCs w:val="21"/>
                <w:lang w:bidi="zh-CN"/>
              </w:rPr>
              <w:t>0.845</w:t>
            </w:r>
          </w:p>
        </w:tc>
        <w:tc>
          <w:tcPr>
            <w:tcW w:w="362" w:type="pct"/>
            <w:tcBorders>
              <w:tl2br w:val="nil"/>
              <w:tr2bl w:val="nil"/>
            </w:tcBorders>
            <w:vAlign w:val="center"/>
          </w:tcPr>
          <w:p w14:paraId="77FA6C5E" w14:textId="77777777" w:rsidR="003E78AB" w:rsidRDefault="00010BF9">
            <w:pPr>
              <w:pStyle w:val="B1"/>
              <w:widowControl w:val="0"/>
              <w:rPr>
                <w:rFonts w:cs="Times New Roman"/>
                <w:kern w:val="2"/>
                <w:szCs w:val="21"/>
              </w:rPr>
            </w:pPr>
            <w:r>
              <w:t>＜</w:t>
            </w:r>
            <w:r>
              <w:rPr>
                <w:rFonts w:hint="eastAsia"/>
              </w:rPr>
              <w:t>0.001</w:t>
            </w:r>
          </w:p>
        </w:tc>
        <w:tc>
          <w:tcPr>
            <w:tcW w:w="366" w:type="pct"/>
            <w:tcBorders>
              <w:tl2br w:val="nil"/>
              <w:tr2bl w:val="nil"/>
            </w:tcBorders>
            <w:vAlign w:val="center"/>
          </w:tcPr>
          <w:p w14:paraId="5D1C5CEA" w14:textId="77777777" w:rsidR="003E78AB" w:rsidRDefault="00010BF9">
            <w:pPr>
              <w:pStyle w:val="B1"/>
              <w:widowControl w:val="0"/>
              <w:rPr>
                <w:rFonts w:cs="Times New Roman"/>
                <w:kern w:val="2"/>
                <w:szCs w:val="21"/>
                <w:lang w:bidi="zh-CN"/>
              </w:rPr>
            </w:pPr>
            <w:r>
              <w:rPr>
                <w:rFonts w:hint="eastAsia"/>
              </w:rPr>
              <w:t>0.001</w:t>
            </w:r>
          </w:p>
        </w:tc>
        <w:tc>
          <w:tcPr>
            <w:tcW w:w="362" w:type="pct"/>
            <w:tcBorders>
              <w:tl2br w:val="nil"/>
              <w:tr2bl w:val="nil"/>
            </w:tcBorders>
            <w:vAlign w:val="center"/>
          </w:tcPr>
          <w:p w14:paraId="24256622" w14:textId="77777777" w:rsidR="003E78AB" w:rsidRDefault="00010BF9">
            <w:pPr>
              <w:pStyle w:val="B1"/>
              <w:widowControl w:val="0"/>
              <w:rPr>
                <w:rFonts w:cs="Times New Roman"/>
                <w:kern w:val="2"/>
                <w:szCs w:val="21"/>
              </w:rPr>
            </w:pPr>
            <w:r>
              <w:rPr>
                <w:rFonts w:hint="eastAsia"/>
              </w:rPr>
              <w:t>0.002</w:t>
            </w:r>
          </w:p>
        </w:tc>
        <w:tc>
          <w:tcPr>
            <w:tcW w:w="372" w:type="pct"/>
            <w:tcBorders>
              <w:tl2br w:val="nil"/>
              <w:tr2bl w:val="nil"/>
            </w:tcBorders>
            <w:vAlign w:val="center"/>
          </w:tcPr>
          <w:p w14:paraId="49CBFA1F" w14:textId="77777777" w:rsidR="003E78AB" w:rsidRDefault="00010BF9">
            <w:pPr>
              <w:pStyle w:val="B1"/>
              <w:widowControl w:val="0"/>
              <w:rPr>
                <w:rFonts w:cs="Times New Roman"/>
                <w:kern w:val="2"/>
                <w:szCs w:val="21"/>
                <w:lang w:bidi="zh-CN"/>
              </w:rPr>
            </w:pPr>
            <w:r>
              <w:rPr>
                <w:rFonts w:hint="eastAsia"/>
              </w:rPr>
              <w:t>0.002</w:t>
            </w:r>
          </w:p>
        </w:tc>
        <w:tc>
          <w:tcPr>
            <w:tcW w:w="436" w:type="pct"/>
            <w:tcBorders>
              <w:tl2br w:val="nil"/>
              <w:tr2bl w:val="nil"/>
            </w:tcBorders>
            <w:vAlign w:val="center"/>
          </w:tcPr>
          <w:p w14:paraId="314753F3" w14:textId="77777777" w:rsidR="003E78AB" w:rsidRDefault="00010BF9">
            <w:pPr>
              <w:spacing w:line="360" w:lineRule="exact"/>
              <w:ind w:firstLineChars="0" w:firstLine="0"/>
              <w:jc w:val="center"/>
              <w:rPr>
                <w:kern w:val="2"/>
                <w:sz w:val="21"/>
                <w:szCs w:val="21"/>
                <w:lang w:bidi="zh-CN"/>
              </w:rPr>
            </w:pPr>
            <w:r>
              <w:rPr>
                <w:kern w:val="2"/>
                <w:sz w:val="21"/>
                <w:szCs w:val="21"/>
                <w:lang w:bidi="zh-CN"/>
              </w:rPr>
              <w:t>1.0</w:t>
            </w:r>
          </w:p>
        </w:tc>
      </w:tr>
      <w:tr w:rsidR="003E78AB" w14:paraId="4CD987F7" w14:textId="77777777">
        <w:trPr>
          <w:trHeight w:val="397"/>
        </w:trPr>
        <w:tc>
          <w:tcPr>
            <w:tcW w:w="184" w:type="pct"/>
            <w:tcBorders>
              <w:tl2br w:val="nil"/>
              <w:tr2bl w:val="nil"/>
            </w:tcBorders>
            <w:vAlign w:val="center"/>
          </w:tcPr>
          <w:p w14:paraId="108D2423" w14:textId="77777777" w:rsidR="003E78AB" w:rsidRDefault="00010BF9">
            <w:pPr>
              <w:spacing w:line="360" w:lineRule="exact"/>
              <w:ind w:firstLineChars="0" w:firstLine="0"/>
              <w:jc w:val="center"/>
              <w:rPr>
                <w:kern w:val="2"/>
                <w:sz w:val="21"/>
                <w:szCs w:val="21"/>
              </w:rPr>
            </w:pPr>
            <w:r>
              <w:rPr>
                <w:kern w:val="2"/>
                <w:sz w:val="21"/>
                <w:szCs w:val="21"/>
              </w:rPr>
              <w:t>16</w:t>
            </w:r>
          </w:p>
        </w:tc>
        <w:tc>
          <w:tcPr>
            <w:tcW w:w="727" w:type="pct"/>
            <w:tcBorders>
              <w:tl2br w:val="nil"/>
              <w:tr2bl w:val="nil"/>
            </w:tcBorders>
            <w:vAlign w:val="center"/>
          </w:tcPr>
          <w:p w14:paraId="11B008D1" w14:textId="77777777" w:rsidR="003E78AB" w:rsidRDefault="00010BF9">
            <w:pPr>
              <w:spacing w:line="360" w:lineRule="exact"/>
              <w:ind w:firstLineChars="0" w:firstLine="0"/>
              <w:jc w:val="center"/>
              <w:rPr>
                <w:kern w:val="2"/>
                <w:sz w:val="21"/>
                <w:szCs w:val="21"/>
              </w:rPr>
            </w:pPr>
            <w:r>
              <w:rPr>
                <w:kern w:val="2"/>
                <w:sz w:val="21"/>
                <w:szCs w:val="21"/>
              </w:rPr>
              <w:t>硝酸盐（以</w:t>
            </w:r>
            <w:r>
              <w:rPr>
                <w:kern w:val="2"/>
                <w:sz w:val="21"/>
                <w:szCs w:val="21"/>
              </w:rPr>
              <w:t>N</w:t>
            </w:r>
            <w:r>
              <w:rPr>
                <w:kern w:val="2"/>
                <w:sz w:val="21"/>
                <w:szCs w:val="21"/>
              </w:rPr>
              <w:t>计）</w:t>
            </w:r>
          </w:p>
        </w:tc>
        <w:tc>
          <w:tcPr>
            <w:tcW w:w="362" w:type="pct"/>
            <w:tcBorders>
              <w:tl2br w:val="nil"/>
              <w:tr2bl w:val="nil"/>
            </w:tcBorders>
            <w:vAlign w:val="center"/>
          </w:tcPr>
          <w:p w14:paraId="294EF2F3" w14:textId="77777777" w:rsidR="003E78AB" w:rsidRDefault="00010BF9">
            <w:pPr>
              <w:spacing w:line="360" w:lineRule="exact"/>
              <w:ind w:firstLineChars="0" w:firstLine="0"/>
              <w:jc w:val="center"/>
              <w:rPr>
                <w:kern w:val="2"/>
                <w:sz w:val="21"/>
                <w:szCs w:val="21"/>
              </w:rPr>
            </w:pPr>
            <w:r>
              <w:rPr>
                <w:kern w:val="2"/>
                <w:sz w:val="21"/>
                <w:szCs w:val="21"/>
              </w:rPr>
              <w:t>1.13</w:t>
            </w:r>
          </w:p>
        </w:tc>
        <w:tc>
          <w:tcPr>
            <w:tcW w:w="366" w:type="pct"/>
            <w:tcBorders>
              <w:tl2br w:val="nil"/>
              <w:tr2bl w:val="nil"/>
            </w:tcBorders>
            <w:vAlign w:val="center"/>
          </w:tcPr>
          <w:p w14:paraId="54CB1085" w14:textId="77777777" w:rsidR="003E78AB" w:rsidRDefault="00010BF9">
            <w:pPr>
              <w:spacing w:line="360" w:lineRule="exact"/>
              <w:ind w:firstLineChars="0" w:firstLine="0"/>
              <w:jc w:val="center"/>
              <w:rPr>
                <w:kern w:val="2"/>
                <w:sz w:val="21"/>
                <w:szCs w:val="21"/>
              </w:rPr>
            </w:pPr>
            <w:r>
              <w:rPr>
                <w:kern w:val="2"/>
                <w:sz w:val="21"/>
                <w:szCs w:val="21"/>
              </w:rPr>
              <w:t>0.06</w:t>
            </w:r>
          </w:p>
        </w:tc>
        <w:tc>
          <w:tcPr>
            <w:tcW w:w="362" w:type="pct"/>
            <w:tcBorders>
              <w:tl2br w:val="nil"/>
              <w:tr2bl w:val="nil"/>
            </w:tcBorders>
            <w:vAlign w:val="center"/>
          </w:tcPr>
          <w:p w14:paraId="0D4599A8" w14:textId="77777777" w:rsidR="003E78AB" w:rsidRDefault="00010BF9">
            <w:pPr>
              <w:pStyle w:val="B1"/>
              <w:widowControl w:val="0"/>
              <w:rPr>
                <w:rFonts w:cs="Times New Roman"/>
                <w:kern w:val="2"/>
                <w:szCs w:val="21"/>
              </w:rPr>
            </w:pPr>
            <w:r>
              <w:rPr>
                <w:rFonts w:hint="eastAsia"/>
              </w:rPr>
              <w:t>1.0</w:t>
            </w:r>
          </w:p>
        </w:tc>
        <w:tc>
          <w:tcPr>
            <w:tcW w:w="366" w:type="pct"/>
            <w:tcBorders>
              <w:tl2br w:val="nil"/>
              <w:tr2bl w:val="nil"/>
            </w:tcBorders>
            <w:vAlign w:val="center"/>
          </w:tcPr>
          <w:p w14:paraId="4224859E" w14:textId="77777777" w:rsidR="003E78AB" w:rsidRDefault="00010BF9">
            <w:pPr>
              <w:pStyle w:val="B1"/>
              <w:widowControl w:val="0"/>
              <w:rPr>
                <w:rFonts w:cs="Times New Roman"/>
                <w:kern w:val="2"/>
                <w:szCs w:val="21"/>
              </w:rPr>
            </w:pPr>
            <w:r>
              <w:rPr>
                <w:rFonts w:hint="eastAsia"/>
              </w:rPr>
              <w:t>0.05</w:t>
            </w:r>
          </w:p>
        </w:tc>
        <w:tc>
          <w:tcPr>
            <w:tcW w:w="362" w:type="pct"/>
            <w:tcBorders>
              <w:tl2br w:val="nil"/>
              <w:tr2bl w:val="nil"/>
            </w:tcBorders>
            <w:vAlign w:val="center"/>
          </w:tcPr>
          <w:p w14:paraId="0E26D219" w14:textId="77777777" w:rsidR="003E78AB" w:rsidRDefault="00010BF9">
            <w:pPr>
              <w:spacing w:line="360" w:lineRule="exact"/>
              <w:ind w:firstLineChars="0" w:firstLine="0"/>
              <w:jc w:val="center"/>
              <w:rPr>
                <w:kern w:val="2"/>
                <w:sz w:val="21"/>
                <w:szCs w:val="21"/>
              </w:rPr>
            </w:pPr>
            <w:r>
              <w:rPr>
                <w:kern w:val="2"/>
                <w:sz w:val="21"/>
                <w:szCs w:val="21"/>
              </w:rPr>
              <w:t>3.38</w:t>
            </w:r>
          </w:p>
        </w:tc>
        <w:tc>
          <w:tcPr>
            <w:tcW w:w="366" w:type="pct"/>
            <w:tcBorders>
              <w:tl2br w:val="nil"/>
              <w:tr2bl w:val="nil"/>
            </w:tcBorders>
            <w:vAlign w:val="center"/>
          </w:tcPr>
          <w:p w14:paraId="0256B871" w14:textId="77777777" w:rsidR="003E78AB" w:rsidRDefault="00010BF9">
            <w:pPr>
              <w:spacing w:line="360" w:lineRule="exact"/>
              <w:ind w:firstLineChars="0" w:firstLine="0"/>
              <w:jc w:val="center"/>
              <w:rPr>
                <w:kern w:val="2"/>
                <w:sz w:val="21"/>
                <w:szCs w:val="21"/>
              </w:rPr>
            </w:pPr>
            <w:r>
              <w:rPr>
                <w:kern w:val="2"/>
                <w:sz w:val="21"/>
                <w:szCs w:val="21"/>
              </w:rPr>
              <w:t>0.169</w:t>
            </w:r>
          </w:p>
        </w:tc>
        <w:tc>
          <w:tcPr>
            <w:tcW w:w="362" w:type="pct"/>
            <w:tcBorders>
              <w:tl2br w:val="nil"/>
              <w:tr2bl w:val="nil"/>
            </w:tcBorders>
            <w:vAlign w:val="center"/>
          </w:tcPr>
          <w:p w14:paraId="53EE72BC" w14:textId="77777777" w:rsidR="003E78AB" w:rsidRDefault="00010BF9">
            <w:pPr>
              <w:pStyle w:val="B1"/>
              <w:widowControl w:val="0"/>
              <w:rPr>
                <w:rFonts w:cs="Times New Roman"/>
                <w:kern w:val="2"/>
                <w:szCs w:val="21"/>
              </w:rPr>
            </w:pPr>
            <w:r>
              <w:rPr>
                <w:rFonts w:cs="Times New Roman" w:hint="eastAsia"/>
                <w:szCs w:val="21"/>
              </w:rPr>
              <w:t>1.2</w:t>
            </w:r>
          </w:p>
        </w:tc>
        <w:tc>
          <w:tcPr>
            <w:tcW w:w="366" w:type="pct"/>
            <w:tcBorders>
              <w:tl2br w:val="nil"/>
              <w:tr2bl w:val="nil"/>
            </w:tcBorders>
            <w:vAlign w:val="center"/>
          </w:tcPr>
          <w:p w14:paraId="7DB46C2A" w14:textId="77777777" w:rsidR="003E78AB" w:rsidRDefault="00010BF9">
            <w:pPr>
              <w:pStyle w:val="B1"/>
              <w:widowControl w:val="0"/>
              <w:rPr>
                <w:rFonts w:cs="Times New Roman"/>
                <w:kern w:val="2"/>
                <w:szCs w:val="21"/>
              </w:rPr>
            </w:pPr>
            <w:r>
              <w:rPr>
                <w:rFonts w:hint="eastAsia"/>
              </w:rPr>
              <w:t>0.06</w:t>
            </w:r>
          </w:p>
        </w:tc>
        <w:tc>
          <w:tcPr>
            <w:tcW w:w="362" w:type="pct"/>
            <w:tcBorders>
              <w:tl2br w:val="nil"/>
              <w:tr2bl w:val="nil"/>
            </w:tcBorders>
            <w:vAlign w:val="center"/>
          </w:tcPr>
          <w:p w14:paraId="0DA67E3F" w14:textId="77777777" w:rsidR="003E78AB" w:rsidRDefault="00010BF9">
            <w:pPr>
              <w:pStyle w:val="B1"/>
              <w:widowControl w:val="0"/>
              <w:rPr>
                <w:rFonts w:cs="Times New Roman"/>
                <w:kern w:val="2"/>
                <w:szCs w:val="21"/>
              </w:rPr>
            </w:pPr>
            <w:r>
              <w:rPr>
                <w:rFonts w:hint="eastAsia"/>
              </w:rPr>
              <w:t>1.8</w:t>
            </w:r>
          </w:p>
        </w:tc>
        <w:tc>
          <w:tcPr>
            <w:tcW w:w="372" w:type="pct"/>
            <w:tcBorders>
              <w:tl2br w:val="nil"/>
              <w:tr2bl w:val="nil"/>
            </w:tcBorders>
            <w:vAlign w:val="center"/>
          </w:tcPr>
          <w:p w14:paraId="4745FB72" w14:textId="77777777" w:rsidR="003E78AB" w:rsidRDefault="00010BF9">
            <w:pPr>
              <w:pStyle w:val="B1"/>
              <w:widowControl w:val="0"/>
              <w:rPr>
                <w:rFonts w:cs="Times New Roman"/>
                <w:kern w:val="2"/>
                <w:szCs w:val="21"/>
              </w:rPr>
            </w:pPr>
            <w:r>
              <w:rPr>
                <w:rFonts w:hint="eastAsia"/>
              </w:rPr>
              <w:t>0.09</w:t>
            </w:r>
          </w:p>
        </w:tc>
        <w:tc>
          <w:tcPr>
            <w:tcW w:w="436" w:type="pct"/>
            <w:tcBorders>
              <w:tl2br w:val="nil"/>
              <w:tr2bl w:val="nil"/>
            </w:tcBorders>
            <w:vAlign w:val="center"/>
          </w:tcPr>
          <w:p w14:paraId="62CC25F8" w14:textId="77777777" w:rsidR="003E78AB" w:rsidRDefault="00010BF9">
            <w:pPr>
              <w:spacing w:line="360" w:lineRule="exact"/>
              <w:ind w:firstLineChars="0" w:firstLine="0"/>
              <w:jc w:val="center"/>
              <w:rPr>
                <w:kern w:val="2"/>
                <w:sz w:val="21"/>
                <w:szCs w:val="21"/>
              </w:rPr>
            </w:pPr>
            <w:r>
              <w:rPr>
                <w:kern w:val="2"/>
                <w:sz w:val="21"/>
                <w:szCs w:val="21"/>
              </w:rPr>
              <w:t>20</w:t>
            </w:r>
          </w:p>
        </w:tc>
      </w:tr>
      <w:tr w:rsidR="003E78AB" w14:paraId="769BA76C" w14:textId="77777777">
        <w:trPr>
          <w:trHeight w:val="397"/>
        </w:trPr>
        <w:tc>
          <w:tcPr>
            <w:tcW w:w="184" w:type="pct"/>
            <w:tcBorders>
              <w:tl2br w:val="nil"/>
              <w:tr2bl w:val="nil"/>
            </w:tcBorders>
            <w:vAlign w:val="center"/>
          </w:tcPr>
          <w:p w14:paraId="5041E5A6" w14:textId="77777777" w:rsidR="003E78AB" w:rsidRDefault="00010BF9">
            <w:pPr>
              <w:spacing w:line="360" w:lineRule="exact"/>
              <w:ind w:firstLineChars="0" w:firstLine="0"/>
              <w:jc w:val="center"/>
              <w:rPr>
                <w:kern w:val="2"/>
                <w:sz w:val="21"/>
                <w:szCs w:val="21"/>
              </w:rPr>
            </w:pPr>
            <w:r>
              <w:rPr>
                <w:kern w:val="2"/>
                <w:sz w:val="21"/>
                <w:szCs w:val="21"/>
              </w:rPr>
              <w:t>17</w:t>
            </w:r>
          </w:p>
        </w:tc>
        <w:tc>
          <w:tcPr>
            <w:tcW w:w="727" w:type="pct"/>
            <w:tcBorders>
              <w:tl2br w:val="nil"/>
              <w:tr2bl w:val="nil"/>
            </w:tcBorders>
            <w:vAlign w:val="center"/>
          </w:tcPr>
          <w:p w14:paraId="0B13DFC2" w14:textId="77777777" w:rsidR="003E78AB" w:rsidRDefault="00010BF9">
            <w:pPr>
              <w:spacing w:line="360" w:lineRule="exact"/>
              <w:ind w:firstLineChars="0" w:firstLine="0"/>
              <w:jc w:val="center"/>
              <w:rPr>
                <w:kern w:val="2"/>
                <w:sz w:val="21"/>
                <w:szCs w:val="21"/>
              </w:rPr>
            </w:pPr>
            <w:r>
              <w:rPr>
                <w:kern w:val="2"/>
                <w:sz w:val="21"/>
                <w:szCs w:val="21"/>
              </w:rPr>
              <w:t>氰化物</w:t>
            </w:r>
          </w:p>
        </w:tc>
        <w:tc>
          <w:tcPr>
            <w:tcW w:w="362" w:type="pct"/>
            <w:tcBorders>
              <w:tl2br w:val="nil"/>
              <w:tr2bl w:val="nil"/>
            </w:tcBorders>
            <w:vAlign w:val="center"/>
          </w:tcPr>
          <w:p w14:paraId="147BCFC6" w14:textId="77777777" w:rsidR="003E78AB" w:rsidRDefault="00010BF9">
            <w:pPr>
              <w:spacing w:line="360" w:lineRule="exact"/>
              <w:ind w:firstLineChars="0" w:firstLine="0"/>
              <w:jc w:val="center"/>
              <w:rPr>
                <w:kern w:val="2"/>
                <w:sz w:val="21"/>
                <w:szCs w:val="21"/>
              </w:rPr>
            </w:pPr>
            <w:r>
              <w:rPr>
                <w:kern w:val="2"/>
                <w:sz w:val="21"/>
                <w:szCs w:val="21"/>
              </w:rPr>
              <w:t>0.003</w:t>
            </w:r>
          </w:p>
        </w:tc>
        <w:tc>
          <w:tcPr>
            <w:tcW w:w="366" w:type="pct"/>
            <w:tcBorders>
              <w:tl2br w:val="nil"/>
              <w:tr2bl w:val="nil"/>
            </w:tcBorders>
            <w:vAlign w:val="center"/>
          </w:tcPr>
          <w:p w14:paraId="6CDE9E8B" w14:textId="77777777" w:rsidR="003E78AB" w:rsidRDefault="00010BF9">
            <w:pPr>
              <w:spacing w:line="360" w:lineRule="exact"/>
              <w:ind w:firstLineChars="0" w:firstLine="0"/>
              <w:jc w:val="center"/>
              <w:rPr>
                <w:kern w:val="2"/>
                <w:sz w:val="21"/>
                <w:szCs w:val="21"/>
              </w:rPr>
            </w:pPr>
            <w:r>
              <w:rPr>
                <w:kern w:val="2"/>
                <w:sz w:val="21"/>
                <w:szCs w:val="21"/>
              </w:rPr>
              <w:t>0.06</w:t>
            </w:r>
          </w:p>
        </w:tc>
        <w:tc>
          <w:tcPr>
            <w:tcW w:w="1025" w:type="dxa"/>
            <w:tcBorders>
              <w:tl2br w:val="nil"/>
              <w:tr2bl w:val="nil"/>
            </w:tcBorders>
            <w:vAlign w:val="center"/>
          </w:tcPr>
          <w:p w14:paraId="33751C81" w14:textId="77777777" w:rsidR="003E78AB" w:rsidRDefault="00010BF9">
            <w:pPr>
              <w:pStyle w:val="B1"/>
              <w:widowControl w:val="0"/>
              <w:rPr>
                <w:rFonts w:cs="Times New Roman"/>
                <w:kern w:val="2"/>
                <w:szCs w:val="21"/>
              </w:rPr>
            </w:pPr>
            <w:r>
              <w:t>＜</w:t>
            </w:r>
            <w:r>
              <w:rPr>
                <w:rFonts w:hint="eastAsia"/>
              </w:rPr>
              <w:t>0.001</w:t>
            </w:r>
          </w:p>
        </w:tc>
        <w:tc>
          <w:tcPr>
            <w:tcW w:w="1037" w:type="dxa"/>
            <w:tcBorders>
              <w:tl2br w:val="nil"/>
              <w:tr2bl w:val="nil"/>
            </w:tcBorders>
            <w:vAlign w:val="center"/>
          </w:tcPr>
          <w:p w14:paraId="2ED34AD2" w14:textId="77777777" w:rsidR="003E78AB" w:rsidRDefault="00010BF9">
            <w:pPr>
              <w:pStyle w:val="B1"/>
              <w:widowControl w:val="0"/>
              <w:rPr>
                <w:rFonts w:cs="Times New Roman"/>
                <w:kern w:val="2"/>
                <w:szCs w:val="21"/>
              </w:rPr>
            </w:pPr>
            <w:r>
              <w:rPr>
                <w:rFonts w:hint="eastAsia"/>
              </w:rPr>
              <w:t>0.02</w:t>
            </w:r>
          </w:p>
        </w:tc>
        <w:tc>
          <w:tcPr>
            <w:tcW w:w="362" w:type="pct"/>
            <w:tcBorders>
              <w:tl2br w:val="nil"/>
              <w:tr2bl w:val="nil"/>
            </w:tcBorders>
            <w:vAlign w:val="center"/>
          </w:tcPr>
          <w:p w14:paraId="7AEA187A"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01B9F763"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56543634" w14:textId="77777777" w:rsidR="003E78AB" w:rsidRDefault="00010BF9">
            <w:pPr>
              <w:pStyle w:val="B1"/>
              <w:widowControl w:val="0"/>
              <w:rPr>
                <w:rFonts w:cs="Times New Roman"/>
                <w:kern w:val="2"/>
                <w:szCs w:val="21"/>
              </w:rPr>
            </w:pPr>
            <w:r>
              <w:t>＜</w:t>
            </w:r>
            <w:r>
              <w:rPr>
                <w:rFonts w:hint="eastAsia"/>
              </w:rPr>
              <w:t>0.001</w:t>
            </w:r>
          </w:p>
        </w:tc>
        <w:tc>
          <w:tcPr>
            <w:tcW w:w="1037" w:type="dxa"/>
            <w:tcBorders>
              <w:tl2br w:val="nil"/>
              <w:tr2bl w:val="nil"/>
            </w:tcBorders>
            <w:vAlign w:val="center"/>
          </w:tcPr>
          <w:p w14:paraId="77B04D4B" w14:textId="77777777" w:rsidR="003E78AB" w:rsidRDefault="00010BF9">
            <w:pPr>
              <w:pStyle w:val="B1"/>
              <w:widowControl w:val="0"/>
              <w:rPr>
                <w:rFonts w:cs="Times New Roman"/>
                <w:kern w:val="2"/>
                <w:szCs w:val="21"/>
              </w:rPr>
            </w:pPr>
            <w:r>
              <w:rPr>
                <w:rFonts w:hint="eastAsia"/>
              </w:rPr>
              <w:t>0.02</w:t>
            </w:r>
          </w:p>
        </w:tc>
        <w:tc>
          <w:tcPr>
            <w:tcW w:w="1025" w:type="dxa"/>
            <w:tcBorders>
              <w:tl2br w:val="nil"/>
              <w:tr2bl w:val="nil"/>
            </w:tcBorders>
            <w:vAlign w:val="center"/>
          </w:tcPr>
          <w:p w14:paraId="41923660" w14:textId="77777777" w:rsidR="003E78AB" w:rsidRDefault="00010BF9">
            <w:pPr>
              <w:pStyle w:val="B1"/>
              <w:widowControl w:val="0"/>
              <w:rPr>
                <w:rFonts w:cs="Times New Roman"/>
                <w:kern w:val="2"/>
                <w:szCs w:val="21"/>
              </w:rPr>
            </w:pPr>
            <w:r>
              <w:t>＜</w:t>
            </w:r>
            <w:r>
              <w:rPr>
                <w:rFonts w:hint="eastAsia"/>
              </w:rPr>
              <w:t>0.001</w:t>
            </w:r>
          </w:p>
        </w:tc>
        <w:tc>
          <w:tcPr>
            <w:tcW w:w="1054" w:type="dxa"/>
            <w:tcBorders>
              <w:tl2br w:val="nil"/>
              <w:tr2bl w:val="nil"/>
            </w:tcBorders>
            <w:vAlign w:val="center"/>
          </w:tcPr>
          <w:p w14:paraId="213CCBBB" w14:textId="77777777" w:rsidR="003E78AB" w:rsidRDefault="00010BF9">
            <w:pPr>
              <w:pStyle w:val="B1"/>
              <w:widowControl w:val="0"/>
              <w:rPr>
                <w:rFonts w:cs="Times New Roman"/>
                <w:kern w:val="2"/>
                <w:szCs w:val="21"/>
              </w:rPr>
            </w:pPr>
            <w:r>
              <w:rPr>
                <w:rFonts w:hint="eastAsia"/>
              </w:rPr>
              <w:t>0.02</w:t>
            </w:r>
          </w:p>
        </w:tc>
        <w:tc>
          <w:tcPr>
            <w:tcW w:w="436" w:type="pct"/>
            <w:tcBorders>
              <w:tl2br w:val="nil"/>
              <w:tr2bl w:val="nil"/>
            </w:tcBorders>
            <w:vAlign w:val="center"/>
          </w:tcPr>
          <w:p w14:paraId="34608A05" w14:textId="77777777" w:rsidR="003E78AB" w:rsidRDefault="00010BF9">
            <w:pPr>
              <w:spacing w:line="360" w:lineRule="exact"/>
              <w:ind w:firstLineChars="0" w:firstLine="0"/>
              <w:jc w:val="center"/>
              <w:rPr>
                <w:kern w:val="2"/>
                <w:sz w:val="21"/>
                <w:szCs w:val="21"/>
              </w:rPr>
            </w:pPr>
            <w:r>
              <w:rPr>
                <w:kern w:val="2"/>
                <w:sz w:val="21"/>
                <w:szCs w:val="21"/>
              </w:rPr>
              <w:t>0.05</w:t>
            </w:r>
          </w:p>
        </w:tc>
      </w:tr>
      <w:tr w:rsidR="003E78AB" w14:paraId="08D6E844" w14:textId="77777777">
        <w:trPr>
          <w:trHeight w:val="397"/>
        </w:trPr>
        <w:tc>
          <w:tcPr>
            <w:tcW w:w="184" w:type="pct"/>
            <w:tcBorders>
              <w:tl2br w:val="nil"/>
              <w:tr2bl w:val="nil"/>
            </w:tcBorders>
            <w:vAlign w:val="center"/>
          </w:tcPr>
          <w:p w14:paraId="4C72D09F" w14:textId="77777777" w:rsidR="003E78AB" w:rsidRDefault="00010BF9">
            <w:pPr>
              <w:spacing w:line="360" w:lineRule="exact"/>
              <w:ind w:firstLineChars="0" w:firstLine="0"/>
              <w:jc w:val="center"/>
              <w:rPr>
                <w:kern w:val="2"/>
                <w:sz w:val="21"/>
                <w:szCs w:val="21"/>
              </w:rPr>
            </w:pPr>
            <w:r>
              <w:rPr>
                <w:kern w:val="2"/>
                <w:sz w:val="21"/>
                <w:szCs w:val="21"/>
              </w:rPr>
              <w:t>18</w:t>
            </w:r>
          </w:p>
        </w:tc>
        <w:tc>
          <w:tcPr>
            <w:tcW w:w="727" w:type="pct"/>
            <w:tcBorders>
              <w:tl2br w:val="nil"/>
              <w:tr2bl w:val="nil"/>
            </w:tcBorders>
            <w:vAlign w:val="center"/>
          </w:tcPr>
          <w:p w14:paraId="6BBA3D4C" w14:textId="77777777" w:rsidR="003E78AB" w:rsidRDefault="00010BF9">
            <w:pPr>
              <w:spacing w:line="360" w:lineRule="exact"/>
              <w:ind w:firstLineChars="0" w:firstLine="0"/>
              <w:jc w:val="center"/>
              <w:rPr>
                <w:kern w:val="2"/>
                <w:sz w:val="21"/>
                <w:szCs w:val="21"/>
              </w:rPr>
            </w:pPr>
            <w:r>
              <w:rPr>
                <w:kern w:val="2"/>
                <w:sz w:val="21"/>
                <w:szCs w:val="21"/>
              </w:rPr>
              <w:t>氟化物</w:t>
            </w:r>
          </w:p>
        </w:tc>
        <w:tc>
          <w:tcPr>
            <w:tcW w:w="362" w:type="pct"/>
            <w:tcBorders>
              <w:tl2br w:val="nil"/>
              <w:tr2bl w:val="nil"/>
            </w:tcBorders>
            <w:vAlign w:val="center"/>
          </w:tcPr>
          <w:p w14:paraId="62CE8F22" w14:textId="77777777" w:rsidR="003E78AB" w:rsidRDefault="00010BF9">
            <w:pPr>
              <w:spacing w:line="360" w:lineRule="exact"/>
              <w:ind w:firstLineChars="0" w:firstLine="0"/>
              <w:jc w:val="center"/>
              <w:rPr>
                <w:kern w:val="2"/>
                <w:sz w:val="21"/>
                <w:szCs w:val="21"/>
              </w:rPr>
            </w:pPr>
            <w:r>
              <w:rPr>
                <w:kern w:val="2"/>
                <w:sz w:val="21"/>
                <w:szCs w:val="21"/>
              </w:rPr>
              <w:t>0.23</w:t>
            </w:r>
          </w:p>
        </w:tc>
        <w:tc>
          <w:tcPr>
            <w:tcW w:w="366" w:type="pct"/>
            <w:tcBorders>
              <w:tl2br w:val="nil"/>
              <w:tr2bl w:val="nil"/>
            </w:tcBorders>
            <w:vAlign w:val="center"/>
          </w:tcPr>
          <w:p w14:paraId="2955F560" w14:textId="77777777" w:rsidR="003E78AB" w:rsidRDefault="00010BF9">
            <w:pPr>
              <w:spacing w:line="360" w:lineRule="exact"/>
              <w:ind w:firstLineChars="0" w:firstLine="0"/>
              <w:jc w:val="center"/>
              <w:rPr>
                <w:kern w:val="2"/>
                <w:sz w:val="21"/>
                <w:szCs w:val="21"/>
              </w:rPr>
            </w:pPr>
            <w:r>
              <w:rPr>
                <w:kern w:val="2"/>
                <w:sz w:val="21"/>
                <w:szCs w:val="21"/>
              </w:rPr>
              <w:t>0.23</w:t>
            </w:r>
          </w:p>
        </w:tc>
        <w:tc>
          <w:tcPr>
            <w:tcW w:w="1025" w:type="dxa"/>
            <w:tcBorders>
              <w:tl2br w:val="nil"/>
              <w:tr2bl w:val="nil"/>
            </w:tcBorders>
            <w:vAlign w:val="center"/>
          </w:tcPr>
          <w:p w14:paraId="61B33E89" w14:textId="77777777" w:rsidR="003E78AB" w:rsidRDefault="00010BF9">
            <w:pPr>
              <w:pStyle w:val="B1"/>
              <w:widowControl w:val="0"/>
              <w:rPr>
                <w:rFonts w:cs="Times New Roman"/>
                <w:kern w:val="2"/>
                <w:szCs w:val="21"/>
              </w:rPr>
            </w:pPr>
            <w:r>
              <w:rPr>
                <w:rFonts w:cs="Times New Roman" w:hint="eastAsia"/>
                <w:kern w:val="2"/>
                <w:szCs w:val="21"/>
              </w:rPr>
              <w:t>0.44</w:t>
            </w:r>
          </w:p>
        </w:tc>
        <w:tc>
          <w:tcPr>
            <w:tcW w:w="1037" w:type="dxa"/>
            <w:tcBorders>
              <w:tl2br w:val="nil"/>
              <w:tr2bl w:val="nil"/>
            </w:tcBorders>
            <w:vAlign w:val="center"/>
          </w:tcPr>
          <w:p w14:paraId="347305BB" w14:textId="77777777" w:rsidR="003E78AB" w:rsidRDefault="00010BF9">
            <w:pPr>
              <w:pStyle w:val="B1"/>
              <w:widowControl w:val="0"/>
              <w:rPr>
                <w:rFonts w:cs="Times New Roman"/>
                <w:kern w:val="2"/>
                <w:szCs w:val="21"/>
              </w:rPr>
            </w:pPr>
            <w:r>
              <w:rPr>
                <w:rFonts w:hint="eastAsia"/>
              </w:rPr>
              <w:t>0.44</w:t>
            </w:r>
          </w:p>
        </w:tc>
        <w:tc>
          <w:tcPr>
            <w:tcW w:w="362" w:type="pct"/>
            <w:tcBorders>
              <w:tl2br w:val="nil"/>
              <w:tr2bl w:val="nil"/>
            </w:tcBorders>
            <w:vAlign w:val="center"/>
          </w:tcPr>
          <w:p w14:paraId="3BAFA95B" w14:textId="77777777" w:rsidR="003E78AB" w:rsidRDefault="00010BF9">
            <w:pPr>
              <w:spacing w:line="360" w:lineRule="exact"/>
              <w:ind w:firstLineChars="0" w:firstLine="0"/>
              <w:jc w:val="center"/>
              <w:rPr>
                <w:kern w:val="2"/>
                <w:sz w:val="21"/>
                <w:szCs w:val="21"/>
              </w:rPr>
            </w:pPr>
            <w:r>
              <w:rPr>
                <w:kern w:val="2"/>
                <w:sz w:val="21"/>
                <w:szCs w:val="21"/>
              </w:rPr>
              <w:t>0.617</w:t>
            </w:r>
          </w:p>
        </w:tc>
        <w:tc>
          <w:tcPr>
            <w:tcW w:w="366" w:type="pct"/>
            <w:tcBorders>
              <w:tl2br w:val="nil"/>
              <w:tr2bl w:val="nil"/>
            </w:tcBorders>
            <w:vAlign w:val="center"/>
          </w:tcPr>
          <w:p w14:paraId="5D00DA67" w14:textId="77777777" w:rsidR="003E78AB" w:rsidRDefault="00010BF9">
            <w:pPr>
              <w:spacing w:line="360" w:lineRule="exact"/>
              <w:ind w:firstLineChars="0" w:firstLine="0"/>
              <w:jc w:val="center"/>
              <w:rPr>
                <w:kern w:val="2"/>
                <w:sz w:val="21"/>
                <w:szCs w:val="21"/>
              </w:rPr>
            </w:pPr>
            <w:r>
              <w:rPr>
                <w:kern w:val="2"/>
                <w:sz w:val="21"/>
                <w:szCs w:val="21"/>
              </w:rPr>
              <w:t>0.617</w:t>
            </w:r>
          </w:p>
        </w:tc>
        <w:tc>
          <w:tcPr>
            <w:tcW w:w="1025" w:type="dxa"/>
            <w:tcBorders>
              <w:tl2br w:val="nil"/>
              <w:tr2bl w:val="nil"/>
            </w:tcBorders>
            <w:vAlign w:val="center"/>
          </w:tcPr>
          <w:p w14:paraId="04C7932A" w14:textId="77777777" w:rsidR="003E78AB" w:rsidRDefault="00010BF9">
            <w:pPr>
              <w:pStyle w:val="B1"/>
              <w:widowControl w:val="0"/>
              <w:rPr>
                <w:rFonts w:cs="Times New Roman"/>
                <w:kern w:val="2"/>
                <w:szCs w:val="21"/>
              </w:rPr>
            </w:pPr>
            <w:r>
              <w:rPr>
                <w:rFonts w:cs="Times New Roman" w:hint="eastAsia"/>
                <w:kern w:val="2"/>
                <w:szCs w:val="21"/>
              </w:rPr>
              <w:t>0.41</w:t>
            </w:r>
          </w:p>
        </w:tc>
        <w:tc>
          <w:tcPr>
            <w:tcW w:w="1037" w:type="dxa"/>
            <w:tcBorders>
              <w:tl2br w:val="nil"/>
              <w:tr2bl w:val="nil"/>
            </w:tcBorders>
            <w:vAlign w:val="center"/>
          </w:tcPr>
          <w:p w14:paraId="77655B64" w14:textId="77777777" w:rsidR="003E78AB" w:rsidRDefault="00010BF9">
            <w:pPr>
              <w:pStyle w:val="B1"/>
              <w:widowControl w:val="0"/>
              <w:rPr>
                <w:rFonts w:cs="Times New Roman"/>
                <w:kern w:val="2"/>
                <w:szCs w:val="21"/>
              </w:rPr>
            </w:pPr>
            <w:r>
              <w:rPr>
                <w:rFonts w:hint="eastAsia"/>
              </w:rPr>
              <w:t>0.41</w:t>
            </w:r>
          </w:p>
        </w:tc>
        <w:tc>
          <w:tcPr>
            <w:tcW w:w="1025" w:type="dxa"/>
            <w:tcBorders>
              <w:tl2br w:val="nil"/>
              <w:tr2bl w:val="nil"/>
            </w:tcBorders>
            <w:vAlign w:val="center"/>
          </w:tcPr>
          <w:p w14:paraId="067000D2" w14:textId="77777777" w:rsidR="003E78AB" w:rsidRDefault="00010BF9">
            <w:pPr>
              <w:pStyle w:val="B1"/>
              <w:widowControl w:val="0"/>
              <w:rPr>
                <w:rFonts w:cs="Times New Roman"/>
                <w:kern w:val="2"/>
                <w:szCs w:val="21"/>
              </w:rPr>
            </w:pPr>
            <w:r>
              <w:rPr>
                <w:rFonts w:cs="Times New Roman" w:hint="eastAsia"/>
                <w:kern w:val="2"/>
                <w:szCs w:val="21"/>
              </w:rPr>
              <w:t>0.36</w:t>
            </w:r>
          </w:p>
        </w:tc>
        <w:tc>
          <w:tcPr>
            <w:tcW w:w="1054" w:type="dxa"/>
            <w:tcBorders>
              <w:tl2br w:val="nil"/>
              <w:tr2bl w:val="nil"/>
            </w:tcBorders>
            <w:vAlign w:val="center"/>
          </w:tcPr>
          <w:p w14:paraId="11DC2493" w14:textId="77777777" w:rsidR="003E78AB" w:rsidRDefault="00010BF9">
            <w:pPr>
              <w:pStyle w:val="B1"/>
              <w:widowControl w:val="0"/>
              <w:rPr>
                <w:rFonts w:cs="Times New Roman"/>
                <w:kern w:val="2"/>
                <w:szCs w:val="21"/>
              </w:rPr>
            </w:pPr>
            <w:r>
              <w:rPr>
                <w:rFonts w:hint="eastAsia"/>
              </w:rPr>
              <w:t>0.36</w:t>
            </w:r>
          </w:p>
        </w:tc>
        <w:tc>
          <w:tcPr>
            <w:tcW w:w="436" w:type="pct"/>
            <w:tcBorders>
              <w:tl2br w:val="nil"/>
              <w:tr2bl w:val="nil"/>
            </w:tcBorders>
            <w:vAlign w:val="center"/>
          </w:tcPr>
          <w:p w14:paraId="4573DC4A" w14:textId="77777777" w:rsidR="003E78AB" w:rsidRDefault="00010BF9">
            <w:pPr>
              <w:spacing w:line="360" w:lineRule="exact"/>
              <w:ind w:firstLineChars="0" w:firstLine="0"/>
              <w:jc w:val="center"/>
              <w:rPr>
                <w:kern w:val="2"/>
                <w:sz w:val="21"/>
                <w:szCs w:val="21"/>
              </w:rPr>
            </w:pPr>
            <w:r>
              <w:rPr>
                <w:kern w:val="2"/>
                <w:sz w:val="21"/>
                <w:szCs w:val="21"/>
              </w:rPr>
              <w:t>1.0</w:t>
            </w:r>
          </w:p>
        </w:tc>
      </w:tr>
      <w:tr w:rsidR="003E78AB" w14:paraId="7C34950D" w14:textId="77777777">
        <w:trPr>
          <w:trHeight w:val="397"/>
        </w:trPr>
        <w:tc>
          <w:tcPr>
            <w:tcW w:w="184" w:type="pct"/>
            <w:tcBorders>
              <w:tl2br w:val="nil"/>
              <w:tr2bl w:val="nil"/>
            </w:tcBorders>
            <w:vAlign w:val="center"/>
          </w:tcPr>
          <w:p w14:paraId="379922F7" w14:textId="77777777" w:rsidR="003E78AB" w:rsidRDefault="00010BF9">
            <w:pPr>
              <w:spacing w:line="360" w:lineRule="exact"/>
              <w:ind w:firstLineChars="0" w:firstLine="0"/>
              <w:jc w:val="center"/>
              <w:rPr>
                <w:kern w:val="2"/>
                <w:sz w:val="21"/>
                <w:szCs w:val="21"/>
              </w:rPr>
            </w:pPr>
            <w:r>
              <w:rPr>
                <w:kern w:val="2"/>
                <w:sz w:val="21"/>
                <w:szCs w:val="21"/>
              </w:rPr>
              <w:t>19</w:t>
            </w:r>
          </w:p>
        </w:tc>
        <w:tc>
          <w:tcPr>
            <w:tcW w:w="727" w:type="pct"/>
            <w:tcBorders>
              <w:tl2br w:val="nil"/>
              <w:tr2bl w:val="nil"/>
            </w:tcBorders>
            <w:vAlign w:val="center"/>
          </w:tcPr>
          <w:p w14:paraId="08DF224B" w14:textId="77777777" w:rsidR="003E78AB" w:rsidRDefault="00010BF9">
            <w:pPr>
              <w:spacing w:line="360" w:lineRule="exact"/>
              <w:ind w:firstLineChars="0" w:firstLine="0"/>
              <w:jc w:val="center"/>
              <w:rPr>
                <w:kern w:val="2"/>
                <w:sz w:val="21"/>
                <w:szCs w:val="21"/>
              </w:rPr>
            </w:pPr>
            <w:r>
              <w:rPr>
                <w:kern w:val="2"/>
                <w:sz w:val="21"/>
                <w:szCs w:val="21"/>
              </w:rPr>
              <w:t>阴离子表面活性剂</w:t>
            </w:r>
          </w:p>
        </w:tc>
        <w:tc>
          <w:tcPr>
            <w:tcW w:w="362" w:type="pct"/>
            <w:tcBorders>
              <w:tl2br w:val="nil"/>
              <w:tr2bl w:val="nil"/>
            </w:tcBorders>
            <w:vAlign w:val="center"/>
          </w:tcPr>
          <w:p w14:paraId="73335270"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12EE7F90"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62A067F0" w14:textId="77777777" w:rsidR="003E78AB" w:rsidRDefault="003E78AB">
            <w:pPr>
              <w:spacing w:line="360" w:lineRule="exact"/>
              <w:ind w:firstLineChars="0" w:firstLine="0"/>
              <w:jc w:val="center"/>
              <w:rPr>
                <w:kern w:val="2"/>
                <w:sz w:val="21"/>
                <w:szCs w:val="21"/>
              </w:rPr>
            </w:pPr>
          </w:p>
        </w:tc>
        <w:tc>
          <w:tcPr>
            <w:tcW w:w="366" w:type="pct"/>
            <w:tcBorders>
              <w:tl2br w:val="nil"/>
              <w:tr2bl w:val="nil"/>
            </w:tcBorders>
            <w:vAlign w:val="center"/>
          </w:tcPr>
          <w:p w14:paraId="3EC05DF8"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74E1CFA1"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15E739D8"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62A2CBBD"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6" w:type="pct"/>
            <w:tcBorders>
              <w:tl2br w:val="nil"/>
              <w:tr2bl w:val="nil"/>
            </w:tcBorders>
            <w:vAlign w:val="center"/>
          </w:tcPr>
          <w:p w14:paraId="1A6EFB50"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2EABE3E3"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72" w:type="pct"/>
            <w:tcBorders>
              <w:tl2br w:val="nil"/>
              <w:tr2bl w:val="nil"/>
            </w:tcBorders>
            <w:vAlign w:val="center"/>
          </w:tcPr>
          <w:p w14:paraId="13523B4F"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54B9EFE2" w14:textId="77777777" w:rsidR="003E78AB" w:rsidRDefault="00010BF9">
            <w:pPr>
              <w:spacing w:line="360" w:lineRule="exact"/>
              <w:ind w:firstLineChars="0" w:firstLine="0"/>
              <w:jc w:val="center"/>
              <w:rPr>
                <w:kern w:val="2"/>
                <w:sz w:val="21"/>
                <w:szCs w:val="21"/>
              </w:rPr>
            </w:pPr>
            <w:r>
              <w:rPr>
                <w:kern w:val="2"/>
                <w:sz w:val="21"/>
                <w:szCs w:val="21"/>
              </w:rPr>
              <w:t>0.3</w:t>
            </w:r>
          </w:p>
        </w:tc>
      </w:tr>
      <w:tr w:rsidR="003E78AB" w14:paraId="59F8B1D1" w14:textId="77777777">
        <w:trPr>
          <w:trHeight w:val="397"/>
        </w:trPr>
        <w:tc>
          <w:tcPr>
            <w:tcW w:w="184" w:type="pct"/>
            <w:tcBorders>
              <w:tl2br w:val="nil"/>
              <w:tr2bl w:val="nil"/>
            </w:tcBorders>
            <w:vAlign w:val="center"/>
          </w:tcPr>
          <w:p w14:paraId="08471FC4" w14:textId="77777777" w:rsidR="003E78AB" w:rsidRDefault="00010BF9">
            <w:pPr>
              <w:spacing w:line="360" w:lineRule="exact"/>
              <w:ind w:firstLineChars="0" w:firstLine="0"/>
              <w:jc w:val="center"/>
              <w:rPr>
                <w:kern w:val="2"/>
                <w:sz w:val="21"/>
                <w:szCs w:val="21"/>
              </w:rPr>
            </w:pPr>
            <w:r>
              <w:rPr>
                <w:kern w:val="2"/>
                <w:sz w:val="21"/>
                <w:szCs w:val="21"/>
              </w:rPr>
              <w:t>20</w:t>
            </w:r>
          </w:p>
        </w:tc>
        <w:tc>
          <w:tcPr>
            <w:tcW w:w="727" w:type="pct"/>
            <w:tcBorders>
              <w:tl2br w:val="nil"/>
              <w:tr2bl w:val="nil"/>
            </w:tcBorders>
            <w:vAlign w:val="center"/>
          </w:tcPr>
          <w:p w14:paraId="2B9A686A" w14:textId="77777777" w:rsidR="003E78AB" w:rsidRDefault="00010BF9">
            <w:pPr>
              <w:spacing w:line="360" w:lineRule="exact"/>
              <w:ind w:firstLineChars="0" w:firstLine="0"/>
              <w:jc w:val="center"/>
              <w:rPr>
                <w:kern w:val="2"/>
                <w:sz w:val="21"/>
                <w:szCs w:val="21"/>
              </w:rPr>
            </w:pPr>
            <w:r>
              <w:rPr>
                <w:kern w:val="2"/>
                <w:sz w:val="21"/>
                <w:szCs w:val="21"/>
              </w:rPr>
              <w:t>总大肠菌群</w:t>
            </w:r>
          </w:p>
        </w:tc>
        <w:tc>
          <w:tcPr>
            <w:tcW w:w="362" w:type="pct"/>
            <w:tcBorders>
              <w:tl2br w:val="nil"/>
              <w:tr2bl w:val="nil"/>
            </w:tcBorders>
            <w:vAlign w:val="center"/>
          </w:tcPr>
          <w:p w14:paraId="5DA4658D"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06D8B129"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42112AB1" w14:textId="77777777" w:rsidR="003E78AB" w:rsidRDefault="003E78AB">
            <w:pPr>
              <w:spacing w:line="360" w:lineRule="exact"/>
              <w:ind w:firstLineChars="0" w:firstLine="0"/>
              <w:jc w:val="center"/>
              <w:rPr>
                <w:kern w:val="2"/>
                <w:sz w:val="21"/>
                <w:szCs w:val="21"/>
              </w:rPr>
            </w:pPr>
          </w:p>
        </w:tc>
        <w:tc>
          <w:tcPr>
            <w:tcW w:w="366" w:type="pct"/>
            <w:tcBorders>
              <w:tl2br w:val="nil"/>
              <w:tr2bl w:val="nil"/>
            </w:tcBorders>
            <w:vAlign w:val="center"/>
          </w:tcPr>
          <w:p w14:paraId="279F9601"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304A65B4"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312C6CDA"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1058C575" w14:textId="77777777" w:rsidR="003E78AB" w:rsidRDefault="00010BF9">
            <w:pPr>
              <w:spacing w:line="360" w:lineRule="exact"/>
              <w:ind w:firstLineChars="0" w:firstLine="0"/>
              <w:jc w:val="center"/>
              <w:rPr>
                <w:kern w:val="2"/>
                <w:sz w:val="21"/>
                <w:szCs w:val="21"/>
              </w:rPr>
            </w:pPr>
            <w:r>
              <w:rPr>
                <w:kern w:val="2"/>
                <w:sz w:val="21"/>
                <w:szCs w:val="21"/>
                <w:lang w:bidi="zh-CN"/>
              </w:rPr>
              <w:t>/</w:t>
            </w:r>
          </w:p>
        </w:tc>
        <w:tc>
          <w:tcPr>
            <w:tcW w:w="366" w:type="pct"/>
            <w:tcBorders>
              <w:tl2br w:val="nil"/>
              <w:tr2bl w:val="nil"/>
            </w:tcBorders>
            <w:vAlign w:val="center"/>
          </w:tcPr>
          <w:p w14:paraId="389BE050"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4EF9297D" w14:textId="77777777" w:rsidR="003E78AB" w:rsidRDefault="00010BF9">
            <w:pPr>
              <w:spacing w:line="360" w:lineRule="exact"/>
              <w:ind w:firstLineChars="0" w:firstLine="0"/>
              <w:jc w:val="center"/>
              <w:rPr>
                <w:kern w:val="2"/>
                <w:sz w:val="21"/>
                <w:szCs w:val="21"/>
              </w:rPr>
            </w:pPr>
            <w:r>
              <w:rPr>
                <w:kern w:val="2"/>
                <w:sz w:val="21"/>
                <w:szCs w:val="21"/>
                <w:lang w:bidi="zh-CN"/>
              </w:rPr>
              <w:t>/</w:t>
            </w:r>
          </w:p>
        </w:tc>
        <w:tc>
          <w:tcPr>
            <w:tcW w:w="372" w:type="pct"/>
            <w:tcBorders>
              <w:tl2br w:val="nil"/>
              <w:tr2bl w:val="nil"/>
            </w:tcBorders>
            <w:vAlign w:val="center"/>
          </w:tcPr>
          <w:p w14:paraId="47B984BD"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332628D1" w14:textId="77777777" w:rsidR="003E78AB" w:rsidRDefault="00010BF9">
            <w:pPr>
              <w:spacing w:line="360" w:lineRule="exact"/>
              <w:ind w:firstLineChars="0" w:firstLine="0"/>
              <w:jc w:val="center"/>
              <w:rPr>
                <w:kern w:val="2"/>
                <w:sz w:val="21"/>
                <w:szCs w:val="21"/>
              </w:rPr>
            </w:pPr>
            <w:r>
              <w:rPr>
                <w:kern w:val="2"/>
                <w:sz w:val="21"/>
                <w:szCs w:val="21"/>
              </w:rPr>
              <w:t>3.0MPN/100</w:t>
            </w:r>
          </w:p>
        </w:tc>
      </w:tr>
      <w:tr w:rsidR="003E78AB" w14:paraId="6E686DDC" w14:textId="77777777">
        <w:trPr>
          <w:trHeight w:val="397"/>
        </w:trPr>
        <w:tc>
          <w:tcPr>
            <w:tcW w:w="184" w:type="pct"/>
            <w:tcBorders>
              <w:tl2br w:val="nil"/>
              <w:tr2bl w:val="nil"/>
            </w:tcBorders>
            <w:vAlign w:val="center"/>
          </w:tcPr>
          <w:p w14:paraId="34CA7B3D" w14:textId="77777777" w:rsidR="003E78AB" w:rsidRDefault="00010BF9">
            <w:pPr>
              <w:spacing w:line="360" w:lineRule="exact"/>
              <w:ind w:firstLineChars="0" w:firstLine="0"/>
              <w:jc w:val="center"/>
              <w:rPr>
                <w:kern w:val="2"/>
                <w:sz w:val="21"/>
                <w:szCs w:val="21"/>
              </w:rPr>
            </w:pPr>
            <w:r>
              <w:rPr>
                <w:kern w:val="2"/>
                <w:sz w:val="21"/>
                <w:szCs w:val="21"/>
              </w:rPr>
              <w:t>21</w:t>
            </w:r>
          </w:p>
        </w:tc>
        <w:tc>
          <w:tcPr>
            <w:tcW w:w="727" w:type="pct"/>
            <w:tcBorders>
              <w:tl2br w:val="nil"/>
              <w:tr2bl w:val="nil"/>
            </w:tcBorders>
            <w:vAlign w:val="center"/>
          </w:tcPr>
          <w:p w14:paraId="56E6A49B" w14:textId="77777777" w:rsidR="003E78AB" w:rsidRDefault="00010BF9">
            <w:pPr>
              <w:spacing w:line="360" w:lineRule="exact"/>
              <w:ind w:firstLineChars="0" w:firstLine="0"/>
              <w:jc w:val="center"/>
              <w:rPr>
                <w:kern w:val="2"/>
                <w:sz w:val="21"/>
                <w:szCs w:val="21"/>
              </w:rPr>
            </w:pPr>
            <w:r>
              <w:rPr>
                <w:kern w:val="2"/>
                <w:sz w:val="21"/>
                <w:szCs w:val="21"/>
              </w:rPr>
              <w:t>汞</w:t>
            </w:r>
          </w:p>
        </w:tc>
        <w:tc>
          <w:tcPr>
            <w:tcW w:w="362" w:type="pct"/>
            <w:tcBorders>
              <w:tl2br w:val="nil"/>
              <w:tr2bl w:val="nil"/>
            </w:tcBorders>
            <w:vAlign w:val="center"/>
          </w:tcPr>
          <w:p w14:paraId="6945B927"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32DD0E1F"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657385E3" w14:textId="77777777" w:rsidR="003E78AB" w:rsidRDefault="00010BF9">
            <w:pPr>
              <w:pStyle w:val="B1"/>
              <w:widowControl w:val="0"/>
              <w:rPr>
                <w:rFonts w:cs="Times New Roman"/>
                <w:kern w:val="2"/>
                <w:szCs w:val="21"/>
              </w:rPr>
            </w:pPr>
            <w:r>
              <w:t>＜</w:t>
            </w:r>
            <w:r>
              <w:rPr>
                <w:rFonts w:hint="eastAsia"/>
              </w:rPr>
              <w:t>0.04</w:t>
            </w:r>
          </w:p>
        </w:tc>
        <w:tc>
          <w:tcPr>
            <w:tcW w:w="1037" w:type="dxa"/>
            <w:tcBorders>
              <w:tl2br w:val="nil"/>
              <w:tr2bl w:val="nil"/>
            </w:tcBorders>
            <w:vAlign w:val="center"/>
          </w:tcPr>
          <w:p w14:paraId="1BE4525F" w14:textId="77777777" w:rsidR="003E78AB" w:rsidRDefault="00010BF9">
            <w:pPr>
              <w:pStyle w:val="B1"/>
              <w:widowControl w:val="0"/>
              <w:rPr>
                <w:rFonts w:cs="Times New Roman"/>
                <w:kern w:val="2"/>
                <w:szCs w:val="21"/>
                <w:lang w:val="zh-CN" w:bidi="zh-CN"/>
              </w:rPr>
            </w:pPr>
            <w:r>
              <w:rPr>
                <w:rFonts w:hint="eastAsia"/>
              </w:rPr>
              <w:t>0.04</w:t>
            </w:r>
          </w:p>
        </w:tc>
        <w:tc>
          <w:tcPr>
            <w:tcW w:w="362" w:type="pct"/>
            <w:tcBorders>
              <w:tl2br w:val="nil"/>
              <w:tr2bl w:val="nil"/>
            </w:tcBorders>
            <w:vAlign w:val="center"/>
          </w:tcPr>
          <w:p w14:paraId="2138D87C"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1CD5DBF3"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1025" w:type="dxa"/>
            <w:tcBorders>
              <w:tl2br w:val="nil"/>
              <w:tr2bl w:val="nil"/>
            </w:tcBorders>
            <w:vAlign w:val="center"/>
          </w:tcPr>
          <w:p w14:paraId="5363B704" w14:textId="77777777" w:rsidR="003E78AB" w:rsidRDefault="00010BF9">
            <w:pPr>
              <w:pStyle w:val="B1"/>
              <w:widowControl w:val="0"/>
              <w:rPr>
                <w:rFonts w:cs="Times New Roman"/>
                <w:kern w:val="2"/>
                <w:szCs w:val="21"/>
              </w:rPr>
            </w:pPr>
            <w:r>
              <w:t>＜</w:t>
            </w:r>
            <w:r>
              <w:rPr>
                <w:rFonts w:hint="eastAsia"/>
              </w:rPr>
              <w:t>0.04</w:t>
            </w:r>
          </w:p>
        </w:tc>
        <w:tc>
          <w:tcPr>
            <w:tcW w:w="1037" w:type="dxa"/>
            <w:tcBorders>
              <w:tl2br w:val="nil"/>
              <w:tr2bl w:val="nil"/>
            </w:tcBorders>
            <w:vAlign w:val="center"/>
          </w:tcPr>
          <w:p w14:paraId="33710812" w14:textId="77777777" w:rsidR="003E78AB" w:rsidRDefault="00010BF9">
            <w:pPr>
              <w:pStyle w:val="B1"/>
              <w:widowControl w:val="0"/>
              <w:rPr>
                <w:rFonts w:cs="Times New Roman"/>
                <w:kern w:val="2"/>
                <w:szCs w:val="21"/>
                <w:lang w:val="zh-CN" w:bidi="zh-CN"/>
              </w:rPr>
            </w:pPr>
            <w:r>
              <w:rPr>
                <w:rFonts w:hint="eastAsia"/>
              </w:rPr>
              <w:t>0.04</w:t>
            </w:r>
          </w:p>
        </w:tc>
        <w:tc>
          <w:tcPr>
            <w:tcW w:w="1025" w:type="dxa"/>
            <w:tcBorders>
              <w:tl2br w:val="nil"/>
              <w:tr2bl w:val="nil"/>
            </w:tcBorders>
            <w:vAlign w:val="center"/>
          </w:tcPr>
          <w:p w14:paraId="124F586F" w14:textId="77777777" w:rsidR="003E78AB" w:rsidRDefault="00010BF9">
            <w:pPr>
              <w:pStyle w:val="B1"/>
              <w:widowControl w:val="0"/>
              <w:rPr>
                <w:rFonts w:cs="Times New Roman"/>
                <w:kern w:val="2"/>
                <w:szCs w:val="21"/>
              </w:rPr>
            </w:pPr>
            <w:r>
              <w:t>＜</w:t>
            </w:r>
            <w:r>
              <w:rPr>
                <w:rFonts w:hint="eastAsia"/>
              </w:rPr>
              <w:t>0.04</w:t>
            </w:r>
          </w:p>
        </w:tc>
        <w:tc>
          <w:tcPr>
            <w:tcW w:w="1054" w:type="dxa"/>
            <w:tcBorders>
              <w:tl2br w:val="nil"/>
              <w:tr2bl w:val="nil"/>
            </w:tcBorders>
            <w:vAlign w:val="center"/>
          </w:tcPr>
          <w:p w14:paraId="09004F27" w14:textId="77777777" w:rsidR="003E78AB" w:rsidRDefault="00010BF9">
            <w:pPr>
              <w:pStyle w:val="B1"/>
              <w:widowControl w:val="0"/>
              <w:rPr>
                <w:rFonts w:cs="Times New Roman"/>
                <w:kern w:val="2"/>
                <w:szCs w:val="21"/>
                <w:lang w:val="zh-CN" w:bidi="zh-CN"/>
              </w:rPr>
            </w:pPr>
            <w:r>
              <w:rPr>
                <w:rFonts w:hint="eastAsia"/>
              </w:rPr>
              <w:t>0.04</w:t>
            </w:r>
          </w:p>
        </w:tc>
        <w:tc>
          <w:tcPr>
            <w:tcW w:w="436" w:type="pct"/>
            <w:tcBorders>
              <w:tl2br w:val="nil"/>
              <w:tr2bl w:val="nil"/>
            </w:tcBorders>
            <w:vAlign w:val="center"/>
          </w:tcPr>
          <w:p w14:paraId="6BE940D0" w14:textId="77777777" w:rsidR="003E78AB" w:rsidRDefault="00010BF9">
            <w:pPr>
              <w:spacing w:line="360" w:lineRule="exact"/>
              <w:ind w:firstLineChars="0" w:firstLine="0"/>
              <w:jc w:val="center"/>
              <w:rPr>
                <w:kern w:val="2"/>
                <w:sz w:val="21"/>
                <w:szCs w:val="21"/>
              </w:rPr>
            </w:pPr>
            <w:r>
              <w:rPr>
                <w:kern w:val="2"/>
                <w:sz w:val="21"/>
                <w:szCs w:val="21"/>
              </w:rPr>
              <w:t>0.001</w:t>
            </w:r>
          </w:p>
        </w:tc>
      </w:tr>
      <w:tr w:rsidR="003E78AB" w14:paraId="0EB6BA47" w14:textId="77777777">
        <w:trPr>
          <w:trHeight w:val="397"/>
        </w:trPr>
        <w:tc>
          <w:tcPr>
            <w:tcW w:w="184" w:type="pct"/>
            <w:tcBorders>
              <w:tl2br w:val="nil"/>
              <w:tr2bl w:val="nil"/>
            </w:tcBorders>
            <w:vAlign w:val="center"/>
          </w:tcPr>
          <w:p w14:paraId="374B8C54" w14:textId="77777777" w:rsidR="003E78AB" w:rsidRDefault="00010BF9">
            <w:pPr>
              <w:spacing w:line="360" w:lineRule="exact"/>
              <w:ind w:firstLineChars="0" w:firstLine="0"/>
              <w:jc w:val="center"/>
              <w:rPr>
                <w:kern w:val="2"/>
                <w:sz w:val="21"/>
                <w:szCs w:val="21"/>
              </w:rPr>
            </w:pPr>
            <w:r>
              <w:rPr>
                <w:kern w:val="2"/>
                <w:sz w:val="21"/>
                <w:szCs w:val="21"/>
              </w:rPr>
              <w:t>22</w:t>
            </w:r>
          </w:p>
        </w:tc>
        <w:tc>
          <w:tcPr>
            <w:tcW w:w="727" w:type="pct"/>
            <w:tcBorders>
              <w:tl2br w:val="nil"/>
              <w:tr2bl w:val="nil"/>
            </w:tcBorders>
            <w:vAlign w:val="center"/>
          </w:tcPr>
          <w:p w14:paraId="685352A6" w14:textId="77777777" w:rsidR="003E78AB" w:rsidRDefault="00010BF9">
            <w:pPr>
              <w:spacing w:line="360" w:lineRule="exact"/>
              <w:ind w:firstLineChars="0" w:firstLine="0"/>
              <w:jc w:val="center"/>
              <w:rPr>
                <w:kern w:val="2"/>
                <w:sz w:val="21"/>
                <w:szCs w:val="21"/>
              </w:rPr>
            </w:pPr>
            <w:r>
              <w:rPr>
                <w:kern w:val="2"/>
                <w:sz w:val="21"/>
                <w:szCs w:val="21"/>
              </w:rPr>
              <w:t>砷</w:t>
            </w:r>
          </w:p>
        </w:tc>
        <w:tc>
          <w:tcPr>
            <w:tcW w:w="362" w:type="pct"/>
            <w:tcBorders>
              <w:tl2br w:val="nil"/>
              <w:tr2bl w:val="nil"/>
            </w:tcBorders>
            <w:vAlign w:val="center"/>
          </w:tcPr>
          <w:p w14:paraId="5F9685DE" w14:textId="77777777" w:rsidR="003E78AB" w:rsidRDefault="00010BF9">
            <w:pPr>
              <w:spacing w:line="360" w:lineRule="exact"/>
              <w:ind w:firstLineChars="0" w:firstLine="0"/>
              <w:jc w:val="center"/>
              <w:rPr>
                <w:kern w:val="2"/>
                <w:sz w:val="21"/>
                <w:szCs w:val="21"/>
              </w:rPr>
            </w:pPr>
            <w:r>
              <w:rPr>
                <w:kern w:val="2"/>
                <w:sz w:val="21"/>
                <w:szCs w:val="21"/>
              </w:rPr>
              <w:t>0.0006</w:t>
            </w:r>
          </w:p>
        </w:tc>
        <w:tc>
          <w:tcPr>
            <w:tcW w:w="366" w:type="pct"/>
            <w:tcBorders>
              <w:tl2br w:val="nil"/>
              <w:tr2bl w:val="nil"/>
            </w:tcBorders>
            <w:vAlign w:val="center"/>
          </w:tcPr>
          <w:p w14:paraId="2C9A6E24" w14:textId="77777777" w:rsidR="003E78AB" w:rsidRDefault="00010BF9">
            <w:pPr>
              <w:spacing w:line="360" w:lineRule="exact"/>
              <w:ind w:firstLineChars="0" w:firstLine="0"/>
              <w:jc w:val="center"/>
              <w:rPr>
                <w:kern w:val="2"/>
                <w:sz w:val="21"/>
                <w:szCs w:val="21"/>
              </w:rPr>
            </w:pPr>
            <w:r>
              <w:rPr>
                <w:kern w:val="2"/>
                <w:sz w:val="21"/>
                <w:szCs w:val="21"/>
              </w:rPr>
              <w:t>0.06</w:t>
            </w:r>
          </w:p>
        </w:tc>
        <w:tc>
          <w:tcPr>
            <w:tcW w:w="1025" w:type="dxa"/>
            <w:tcBorders>
              <w:tl2br w:val="nil"/>
              <w:tr2bl w:val="nil"/>
            </w:tcBorders>
            <w:vAlign w:val="center"/>
          </w:tcPr>
          <w:p w14:paraId="3B802269" w14:textId="77777777" w:rsidR="003E78AB" w:rsidRDefault="00010BF9">
            <w:pPr>
              <w:pStyle w:val="B1"/>
              <w:widowControl w:val="0"/>
              <w:rPr>
                <w:rFonts w:cs="Times New Roman"/>
                <w:kern w:val="2"/>
                <w:szCs w:val="21"/>
              </w:rPr>
            </w:pPr>
            <w:r>
              <w:t>＜</w:t>
            </w:r>
            <w:r>
              <w:rPr>
                <w:rFonts w:hint="eastAsia"/>
              </w:rPr>
              <w:t>0.3</w:t>
            </w:r>
          </w:p>
        </w:tc>
        <w:tc>
          <w:tcPr>
            <w:tcW w:w="1037" w:type="dxa"/>
            <w:tcBorders>
              <w:tl2br w:val="nil"/>
              <w:tr2bl w:val="nil"/>
            </w:tcBorders>
            <w:vAlign w:val="center"/>
          </w:tcPr>
          <w:p w14:paraId="3DB4ECFD" w14:textId="77777777" w:rsidR="003E78AB" w:rsidRDefault="00010BF9">
            <w:pPr>
              <w:pStyle w:val="B1"/>
              <w:widowControl w:val="0"/>
              <w:rPr>
                <w:rFonts w:cs="Times New Roman"/>
                <w:kern w:val="2"/>
                <w:szCs w:val="21"/>
                <w:lang w:val="zh-CN" w:bidi="zh-CN"/>
              </w:rPr>
            </w:pPr>
            <w:r>
              <w:rPr>
                <w:rFonts w:hint="eastAsia"/>
              </w:rPr>
              <w:t>0.03</w:t>
            </w:r>
          </w:p>
        </w:tc>
        <w:tc>
          <w:tcPr>
            <w:tcW w:w="362" w:type="pct"/>
            <w:tcBorders>
              <w:tl2br w:val="nil"/>
              <w:tr2bl w:val="nil"/>
            </w:tcBorders>
            <w:vAlign w:val="center"/>
          </w:tcPr>
          <w:p w14:paraId="60F46D64"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1C157A1C"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1025" w:type="dxa"/>
            <w:tcBorders>
              <w:tl2br w:val="nil"/>
              <w:tr2bl w:val="nil"/>
            </w:tcBorders>
            <w:vAlign w:val="center"/>
          </w:tcPr>
          <w:p w14:paraId="7EFA4368" w14:textId="77777777" w:rsidR="003E78AB" w:rsidRDefault="00010BF9">
            <w:pPr>
              <w:pStyle w:val="B1"/>
              <w:widowControl w:val="0"/>
              <w:rPr>
                <w:rFonts w:cs="Times New Roman"/>
                <w:kern w:val="2"/>
                <w:szCs w:val="21"/>
              </w:rPr>
            </w:pPr>
            <w:r>
              <w:t>＜</w:t>
            </w:r>
            <w:r>
              <w:rPr>
                <w:rFonts w:hint="eastAsia"/>
              </w:rPr>
              <w:t>0.3</w:t>
            </w:r>
          </w:p>
        </w:tc>
        <w:tc>
          <w:tcPr>
            <w:tcW w:w="1037" w:type="dxa"/>
            <w:tcBorders>
              <w:tl2br w:val="nil"/>
              <w:tr2bl w:val="nil"/>
            </w:tcBorders>
            <w:vAlign w:val="center"/>
          </w:tcPr>
          <w:p w14:paraId="61F8F8AC" w14:textId="77777777" w:rsidR="003E78AB" w:rsidRDefault="00010BF9">
            <w:pPr>
              <w:pStyle w:val="B1"/>
              <w:widowControl w:val="0"/>
              <w:rPr>
                <w:rFonts w:cs="Times New Roman"/>
                <w:kern w:val="2"/>
                <w:szCs w:val="21"/>
                <w:lang w:val="zh-CN" w:bidi="zh-CN"/>
              </w:rPr>
            </w:pPr>
            <w:r>
              <w:rPr>
                <w:rFonts w:hint="eastAsia"/>
              </w:rPr>
              <w:t>0.03</w:t>
            </w:r>
          </w:p>
        </w:tc>
        <w:tc>
          <w:tcPr>
            <w:tcW w:w="1025" w:type="dxa"/>
            <w:tcBorders>
              <w:tl2br w:val="nil"/>
              <w:tr2bl w:val="nil"/>
            </w:tcBorders>
            <w:vAlign w:val="center"/>
          </w:tcPr>
          <w:p w14:paraId="2768BD1F" w14:textId="77777777" w:rsidR="003E78AB" w:rsidRDefault="00010BF9">
            <w:pPr>
              <w:pStyle w:val="B1"/>
              <w:widowControl w:val="0"/>
              <w:rPr>
                <w:rFonts w:cs="Times New Roman"/>
                <w:kern w:val="2"/>
                <w:szCs w:val="21"/>
              </w:rPr>
            </w:pPr>
            <w:r>
              <w:t>＜</w:t>
            </w:r>
            <w:r>
              <w:rPr>
                <w:rFonts w:hint="eastAsia"/>
              </w:rPr>
              <w:t>0.3</w:t>
            </w:r>
          </w:p>
        </w:tc>
        <w:tc>
          <w:tcPr>
            <w:tcW w:w="1054" w:type="dxa"/>
            <w:tcBorders>
              <w:tl2br w:val="nil"/>
              <w:tr2bl w:val="nil"/>
            </w:tcBorders>
            <w:vAlign w:val="center"/>
          </w:tcPr>
          <w:p w14:paraId="782C118B" w14:textId="77777777" w:rsidR="003E78AB" w:rsidRDefault="00010BF9">
            <w:pPr>
              <w:pStyle w:val="B1"/>
              <w:widowControl w:val="0"/>
              <w:rPr>
                <w:rFonts w:cs="Times New Roman"/>
                <w:kern w:val="2"/>
                <w:szCs w:val="21"/>
                <w:lang w:val="zh-CN" w:bidi="zh-CN"/>
              </w:rPr>
            </w:pPr>
            <w:r>
              <w:rPr>
                <w:rFonts w:hint="eastAsia"/>
              </w:rPr>
              <w:t>0.03</w:t>
            </w:r>
          </w:p>
        </w:tc>
        <w:tc>
          <w:tcPr>
            <w:tcW w:w="436" w:type="pct"/>
            <w:tcBorders>
              <w:tl2br w:val="nil"/>
              <w:tr2bl w:val="nil"/>
            </w:tcBorders>
            <w:vAlign w:val="center"/>
          </w:tcPr>
          <w:p w14:paraId="4DAA060B" w14:textId="77777777" w:rsidR="003E78AB" w:rsidRDefault="00010BF9">
            <w:pPr>
              <w:spacing w:line="360" w:lineRule="exact"/>
              <w:ind w:firstLineChars="0" w:firstLine="0"/>
              <w:jc w:val="center"/>
              <w:rPr>
                <w:kern w:val="2"/>
                <w:sz w:val="21"/>
                <w:szCs w:val="21"/>
              </w:rPr>
            </w:pPr>
            <w:r>
              <w:rPr>
                <w:kern w:val="2"/>
                <w:sz w:val="21"/>
                <w:szCs w:val="21"/>
              </w:rPr>
              <w:t>0.01</w:t>
            </w:r>
          </w:p>
        </w:tc>
      </w:tr>
      <w:tr w:rsidR="003E78AB" w14:paraId="15C8AE73" w14:textId="77777777">
        <w:trPr>
          <w:trHeight w:val="397"/>
        </w:trPr>
        <w:tc>
          <w:tcPr>
            <w:tcW w:w="184" w:type="pct"/>
            <w:tcBorders>
              <w:tl2br w:val="nil"/>
              <w:tr2bl w:val="nil"/>
            </w:tcBorders>
            <w:vAlign w:val="center"/>
          </w:tcPr>
          <w:p w14:paraId="1314E6F3" w14:textId="77777777" w:rsidR="003E78AB" w:rsidRDefault="00010BF9">
            <w:pPr>
              <w:spacing w:line="360" w:lineRule="exact"/>
              <w:ind w:firstLineChars="0" w:firstLine="0"/>
              <w:jc w:val="center"/>
              <w:rPr>
                <w:kern w:val="2"/>
                <w:sz w:val="21"/>
                <w:szCs w:val="21"/>
              </w:rPr>
            </w:pPr>
            <w:r>
              <w:rPr>
                <w:kern w:val="2"/>
                <w:sz w:val="21"/>
                <w:szCs w:val="21"/>
              </w:rPr>
              <w:t>23</w:t>
            </w:r>
          </w:p>
        </w:tc>
        <w:tc>
          <w:tcPr>
            <w:tcW w:w="727" w:type="pct"/>
            <w:tcBorders>
              <w:tl2br w:val="nil"/>
              <w:tr2bl w:val="nil"/>
            </w:tcBorders>
            <w:vAlign w:val="center"/>
          </w:tcPr>
          <w:p w14:paraId="23ECB1C0" w14:textId="77777777" w:rsidR="003E78AB" w:rsidRDefault="00010BF9">
            <w:pPr>
              <w:spacing w:line="360" w:lineRule="exact"/>
              <w:ind w:firstLineChars="0" w:firstLine="0"/>
              <w:jc w:val="center"/>
              <w:rPr>
                <w:kern w:val="2"/>
                <w:sz w:val="21"/>
                <w:szCs w:val="21"/>
              </w:rPr>
            </w:pPr>
            <w:r>
              <w:rPr>
                <w:kern w:val="2"/>
                <w:sz w:val="21"/>
                <w:szCs w:val="21"/>
              </w:rPr>
              <w:t>铅</w:t>
            </w:r>
          </w:p>
        </w:tc>
        <w:tc>
          <w:tcPr>
            <w:tcW w:w="362" w:type="pct"/>
            <w:tcBorders>
              <w:tl2br w:val="nil"/>
              <w:tr2bl w:val="nil"/>
            </w:tcBorders>
            <w:vAlign w:val="center"/>
          </w:tcPr>
          <w:p w14:paraId="4A6BD270"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2574FBAA"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13E76E98" w14:textId="77777777" w:rsidR="003E78AB" w:rsidRDefault="00010BF9">
            <w:pPr>
              <w:pStyle w:val="B1"/>
              <w:widowControl w:val="0"/>
              <w:rPr>
                <w:rFonts w:cs="Times New Roman"/>
                <w:kern w:val="2"/>
                <w:szCs w:val="21"/>
              </w:rPr>
            </w:pPr>
            <w:r>
              <w:t>＜</w:t>
            </w:r>
            <w:r>
              <w:rPr>
                <w:rFonts w:hint="eastAsia"/>
              </w:rPr>
              <w:t>2.5</w:t>
            </w:r>
          </w:p>
        </w:tc>
        <w:tc>
          <w:tcPr>
            <w:tcW w:w="1037" w:type="dxa"/>
            <w:tcBorders>
              <w:tl2br w:val="nil"/>
              <w:tr2bl w:val="nil"/>
            </w:tcBorders>
            <w:vAlign w:val="center"/>
          </w:tcPr>
          <w:p w14:paraId="308A7BC9" w14:textId="77777777" w:rsidR="003E78AB" w:rsidRDefault="00010BF9">
            <w:pPr>
              <w:pStyle w:val="B1"/>
              <w:widowControl w:val="0"/>
              <w:rPr>
                <w:rFonts w:cs="Times New Roman"/>
                <w:kern w:val="2"/>
                <w:szCs w:val="21"/>
                <w:lang w:val="zh-CN" w:bidi="zh-CN"/>
              </w:rPr>
            </w:pPr>
            <w:r>
              <w:rPr>
                <w:rFonts w:hint="eastAsia"/>
              </w:rPr>
              <w:t>0.25</w:t>
            </w:r>
          </w:p>
        </w:tc>
        <w:tc>
          <w:tcPr>
            <w:tcW w:w="362" w:type="pct"/>
            <w:tcBorders>
              <w:tl2br w:val="nil"/>
              <w:tr2bl w:val="nil"/>
            </w:tcBorders>
            <w:vAlign w:val="center"/>
          </w:tcPr>
          <w:p w14:paraId="4BBB9B32"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773DAA72"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1025" w:type="dxa"/>
            <w:tcBorders>
              <w:tl2br w:val="nil"/>
              <w:tr2bl w:val="nil"/>
            </w:tcBorders>
            <w:vAlign w:val="center"/>
          </w:tcPr>
          <w:p w14:paraId="13C0DD17" w14:textId="77777777" w:rsidR="003E78AB" w:rsidRDefault="00010BF9">
            <w:pPr>
              <w:pStyle w:val="B1"/>
              <w:widowControl w:val="0"/>
              <w:rPr>
                <w:rFonts w:cs="Times New Roman"/>
                <w:kern w:val="2"/>
                <w:szCs w:val="21"/>
              </w:rPr>
            </w:pPr>
            <w:r>
              <w:t>＜</w:t>
            </w:r>
            <w:r>
              <w:rPr>
                <w:rFonts w:hint="eastAsia"/>
              </w:rPr>
              <w:t>2.5</w:t>
            </w:r>
          </w:p>
        </w:tc>
        <w:tc>
          <w:tcPr>
            <w:tcW w:w="1037" w:type="dxa"/>
            <w:tcBorders>
              <w:tl2br w:val="nil"/>
              <w:tr2bl w:val="nil"/>
            </w:tcBorders>
            <w:vAlign w:val="center"/>
          </w:tcPr>
          <w:p w14:paraId="68EE70A1" w14:textId="77777777" w:rsidR="003E78AB" w:rsidRDefault="00010BF9">
            <w:pPr>
              <w:pStyle w:val="B1"/>
              <w:widowControl w:val="0"/>
              <w:rPr>
                <w:rFonts w:cs="Times New Roman"/>
                <w:kern w:val="2"/>
                <w:szCs w:val="21"/>
                <w:lang w:val="zh-CN" w:bidi="zh-CN"/>
              </w:rPr>
            </w:pPr>
            <w:r>
              <w:rPr>
                <w:rFonts w:hint="eastAsia"/>
              </w:rPr>
              <w:t>0.25</w:t>
            </w:r>
          </w:p>
        </w:tc>
        <w:tc>
          <w:tcPr>
            <w:tcW w:w="1025" w:type="dxa"/>
            <w:tcBorders>
              <w:tl2br w:val="nil"/>
              <w:tr2bl w:val="nil"/>
            </w:tcBorders>
            <w:vAlign w:val="center"/>
          </w:tcPr>
          <w:p w14:paraId="1E63AFF3" w14:textId="77777777" w:rsidR="003E78AB" w:rsidRDefault="00010BF9">
            <w:pPr>
              <w:pStyle w:val="B1"/>
              <w:widowControl w:val="0"/>
              <w:rPr>
                <w:rFonts w:cs="Times New Roman"/>
                <w:kern w:val="2"/>
                <w:szCs w:val="21"/>
              </w:rPr>
            </w:pPr>
            <w:r>
              <w:t>＜</w:t>
            </w:r>
            <w:r>
              <w:rPr>
                <w:rFonts w:hint="eastAsia"/>
              </w:rPr>
              <w:t>2.5</w:t>
            </w:r>
          </w:p>
        </w:tc>
        <w:tc>
          <w:tcPr>
            <w:tcW w:w="1054" w:type="dxa"/>
            <w:tcBorders>
              <w:tl2br w:val="nil"/>
              <w:tr2bl w:val="nil"/>
            </w:tcBorders>
            <w:vAlign w:val="center"/>
          </w:tcPr>
          <w:p w14:paraId="7161C07C" w14:textId="77777777" w:rsidR="003E78AB" w:rsidRDefault="00010BF9">
            <w:pPr>
              <w:pStyle w:val="B1"/>
              <w:widowControl w:val="0"/>
              <w:rPr>
                <w:rFonts w:cs="Times New Roman"/>
                <w:kern w:val="2"/>
                <w:szCs w:val="21"/>
                <w:lang w:val="zh-CN" w:bidi="zh-CN"/>
              </w:rPr>
            </w:pPr>
            <w:r>
              <w:rPr>
                <w:rFonts w:hint="eastAsia"/>
              </w:rPr>
              <w:t>0.25</w:t>
            </w:r>
          </w:p>
        </w:tc>
        <w:tc>
          <w:tcPr>
            <w:tcW w:w="436" w:type="pct"/>
            <w:tcBorders>
              <w:tl2br w:val="nil"/>
              <w:tr2bl w:val="nil"/>
            </w:tcBorders>
            <w:vAlign w:val="center"/>
          </w:tcPr>
          <w:p w14:paraId="4E2252A0" w14:textId="77777777" w:rsidR="003E78AB" w:rsidRDefault="00010BF9">
            <w:pPr>
              <w:spacing w:line="360" w:lineRule="exact"/>
              <w:ind w:firstLineChars="0" w:firstLine="0"/>
              <w:jc w:val="center"/>
              <w:rPr>
                <w:kern w:val="2"/>
                <w:sz w:val="21"/>
                <w:szCs w:val="21"/>
              </w:rPr>
            </w:pPr>
            <w:r>
              <w:rPr>
                <w:kern w:val="2"/>
                <w:sz w:val="21"/>
                <w:szCs w:val="21"/>
              </w:rPr>
              <w:t>0.01</w:t>
            </w:r>
          </w:p>
        </w:tc>
      </w:tr>
      <w:tr w:rsidR="003E78AB" w14:paraId="034BCAD4" w14:textId="77777777">
        <w:trPr>
          <w:trHeight w:val="397"/>
        </w:trPr>
        <w:tc>
          <w:tcPr>
            <w:tcW w:w="184" w:type="pct"/>
            <w:tcBorders>
              <w:tl2br w:val="nil"/>
              <w:tr2bl w:val="nil"/>
            </w:tcBorders>
            <w:vAlign w:val="center"/>
          </w:tcPr>
          <w:p w14:paraId="4ED941F3" w14:textId="77777777" w:rsidR="003E78AB" w:rsidRDefault="00010BF9">
            <w:pPr>
              <w:spacing w:line="360" w:lineRule="exact"/>
              <w:ind w:firstLineChars="0" w:firstLine="0"/>
              <w:jc w:val="center"/>
              <w:rPr>
                <w:kern w:val="2"/>
                <w:sz w:val="21"/>
                <w:szCs w:val="21"/>
              </w:rPr>
            </w:pPr>
            <w:r>
              <w:rPr>
                <w:kern w:val="2"/>
                <w:sz w:val="21"/>
                <w:szCs w:val="21"/>
              </w:rPr>
              <w:t>24</w:t>
            </w:r>
          </w:p>
        </w:tc>
        <w:tc>
          <w:tcPr>
            <w:tcW w:w="727" w:type="pct"/>
            <w:tcBorders>
              <w:tl2br w:val="nil"/>
              <w:tr2bl w:val="nil"/>
            </w:tcBorders>
            <w:vAlign w:val="center"/>
          </w:tcPr>
          <w:p w14:paraId="7FC3EEC0" w14:textId="77777777" w:rsidR="003E78AB" w:rsidRDefault="00010BF9">
            <w:pPr>
              <w:spacing w:line="360" w:lineRule="exact"/>
              <w:ind w:firstLineChars="0" w:firstLine="0"/>
              <w:jc w:val="center"/>
              <w:rPr>
                <w:kern w:val="2"/>
                <w:sz w:val="21"/>
                <w:szCs w:val="21"/>
              </w:rPr>
            </w:pPr>
            <w:r>
              <w:rPr>
                <w:kern w:val="2"/>
                <w:sz w:val="21"/>
                <w:szCs w:val="21"/>
              </w:rPr>
              <w:t>镉</w:t>
            </w:r>
          </w:p>
        </w:tc>
        <w:tc>
          <w:tcPr>
            <w:tcW w:w="362" w:type="pct"/>
            <w:tcBorders>
              <w:tl2br w:val="nil"/>
              <w:tr2bl w:val="nil"/>
            </w:tcBorders>
            <w:vAlign w:val="center"/>
          </w:tcPr>
          <w:p w14:paraId="1AAB3609"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3544BB88"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28DB1617" w14:textId="77777777" w:rsidR="003E78AB" w:rsidRDefault="00010BF9">
            <w:pPr>
              <w:pStyle w:val="B1"/>
              <w:widowControl w:val="0"/>
              <w:rPr>
                <w:rFonts w:cs="Times New Roman"/>
                <w:kern w:val="2"/>
                <w:szCs w:val="21"/>
              </w:rPr>
            </w:pPr>
            <w:r>
              <w:rPr>
                <w:rFonts w:hint="eastAsia"/>
              </w:rPr>
              <w:t>4</w:t>
            </w:r>
          </w:p>
        </w:tc>
        <w:tc>
          <w:tcPr>
            <w:tcW w:w="1037" w:type="dxa"/>
            <w:tcBorders>
              <w:tl2br w:val="nil"/>
              <w:tr2bl w:val="nil"/>
            </w:tcBorders>
            <w:vAlign w:val="center"/>
          </w:tcPr>
          <w:p w14:paraId="77EB4758" w14:textId="77777777" w:rsidR="003E78AB" w:rsidRDefault="00010BF9">
            <w:pPr>
              <w:pStyle w:val="B1"/>
              <w:widowControl w:val="0"/>
              <w:rPr>
                <w:rFonts w:cs="Times New Roman"/>
                <w:kern w:val="2"/>
                <w:szCs w:val="21"/>
                <w:lang w:val="zh-CN" w:bidi="zh-CN"/>
              </w:rPr>
            </w:pPr>
            <w:r>
              <w:rPr>
                <w:rFonts w:hint="eastAsia"/>
              </w:rPr>
              <w:t>0.8</w:t>
            </w:r>
          </w:p>
        </w:tc>
        <w:tc>
          <w:tcPr>
            <w:tcW w:w="362" w:type="pct"/>
            <w:tcBorders>
              <w:tl2br w:val="nil"/>
              <w:tr2bl w:val="nil"/>
            </w:tcBorders>
            <w:vAlign w:val="center"/>
          </w:tcPr>
          <w:p w14:paraId="181CF6C1"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2A33004A"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1025" w:type="dxa"/>
            <w:tcBorders>
              <w:tl2br w:val="nil"/>
              <w:tr2bl w:val="nil"/>
            </w:tcBorders>
            <w:vAlign w:val="center"/>
          </w:tcPr>
          <w:p w14:paraId="019ED6E0" w14:textId="77777777" w:rsidR="003E78AB" w:rsidRDefault="00010BF9">
            <w:pPr>
              <w:pStyle w:val="B1"/>
              <w:widowControl w:val="0"/>
              <w:rPr>
                <w:rFonts w:cs="Times New Roman"/>
                <w:kern w:val="2"/>
                <w:szCs w:val="21"/>
              </w:rPr>
            </w:pPr>
            <w:r>
              <w:rPr>
                <w:rFonts w:hint="eastAsia"/>
              </w:rPr>
              <w:t>4</w:t>
            </w:r>
          </w:p>
        </w:tc>
        <w:tc>
          <w:tcPr>
            <w:tcW w:w="1037" w:type="dxa"/>
            <w:tcBorders>
              <w:tl2br w:val="nil"/>
              <w:tr2bl w:val="nil"/>
            </w:tcBorders>
            <w:vAlign w:val="center"/>
          </w:tcPr>
          <w:p w14:paraId="45A6077F" w14:textId="77777777" w:rsidR="003E78AB" w:rsidRDefault="00010BF9">
            <w:pPr>
              <w:pStyle w:val="B1"/>
              <w:widowControl w:val="0"/>
              <w:rPr>
                <w:rFonts w:cs="Times New Roman"/>
                <w:kern w:val="2"/>
                <w:szCs w:val="21"/>
                <w:lang w:val="zh-CN" w:bidi="zh-CN"/>
              </w:rPr>
            </w:pPr>
            <w:r>
              <w:rPr>
                <w:rFonts w:hint="eastAsia"/>
              </w:rPr>
              <w:t>0.8</w:t>
            </w:r>
          </w:p>
        </w:tc>
        <w:tc>
          <w:tcPr>
            <w:tcW w:w="1025" w:type="dxa"/>
            <w:tcBorders>
              <w:tl2br w:val="nil"/>
              <w:tr2bl w:val="nil"/>
            </w:tcBorders>
            <w:vAlign w:val="center"/>
          </w:tcPr>
          <w:p w14:paraId="0D7A6EDB" w14:textId="77777777" w:rsidR="003E78AB" w:rsidRDefault="00010BF9">
            <w:pPr>
              <w:pStyle w:val="B1"/>
              <w:widowControl w:val="0"/>
              <w:rPr>
                <w:rFonts w:cs="Times New Roman"/>
                <w:kern w:val="2"/>
                <w:szCs w:val="21"/>
              </w:rPr>
            </w:pPr>
            <w:r>
              <w:rPr>
                <w:rFonts w:hint="eastAsia"/>
              </w:rPr>
              <w:t>4</w:t>
            </w:r>
          </w:p>
        </w:tc>
        <w:tc>
          <w:tcPr>
            <w:tcW w:w="1054" w:type="dxa"/>
            <w:tcBorders>
              <w:tl2br w:val="nil"/>
              <w:tr2bl w:val="nil"/>
            </w:tcBorders>
            <w:vAlign w:val="center"/>
          </w:tcPr>
          <w:p w14:paraId="2CFB6CB9" w14:textId="77777777" w:rsidR="003E78AB" w:rsidRDefault="00010BF9">
            <w:pPr>
              <w:pStyle w:val="B1"/>
              <w:widowControl w:val="0"/>
              <w:rPr>
                <w:rFonts w:cs="Times New Roman"/>
                <w:kern w:val="2"/>
                <w:szCs w:val="21"/>
                <w:lang w:val="zh-CN" w:bidi="zh-CN"/>
              </w:rPr>
            </w:pPr>
            <w:r>
              <w:rPr>
                <w:rFonts w:hint="eastAsia"/>
              </w:rPr>
              <w:t>0.8</w:t>
            </w:r>
          </w:p>
        </w:tc>
        <w:tc>
          <w:tcPr>
            <w:tcW w:w="436" w:type="pct"/>
            <w:tcBorders>
              <w:tl2br w:val="nil"/>
              <w:tr2bl w:val="nil"/>
            </w:tcBorders>
            <w:vAlign w:val="center"/>
          </w:tcPr>
          <w:p w14:paraId="4486D2A5" w14:textId="77777777" w:rsidR="003E78AB" w:rsidRDefault="00010BF9">
            <w:pPr>
              <w:spacing w:line="360" w:lineRule="exact"/>
              <w:ind w:firstLineChars="0" w:firstLine="0"/>
              <w:jc w:val="center"/>
              <w:rPr>
                <w:kern w:val="2"/>
                <w:sz w:val="21"/>
                <w:szCs w:val="21"/>
              </w:rPr>
            </w:pPr>
            <w:r>
              <w:rPr>
                <w:kern w:val="2"/>
                <w:sz w:val="21"/>
                <w:szCs w:val="21"/>
              </w:rPr>
              <w:t>0.005</w:t>
            </w:r>
          </w:p>
        </w:tc>
      </w:tr>
      <w:tr w:rsidR="003E78AB" w14:paraId="4FDBA3A2" w14:textId="77777777">
        <w:trPr>
          <w:trHeight w:val="397"/>
        </w:trPr>
        <w:tc>
          <w:tcPr>
            <w:tcW w:w="184" w:type="pct"/>
            <w:tcBorders>
              <w:tl2br w:val="nil"/>
              <w:tr2bl w:val="nil"/>
            </w:tcBorders>
            <w:vAlign w:val="center"/>
          </w:tcPr>
          <w:p w14:paraId="0DB0D40D" w14:textId="77777777" w:rsidR="003E78AB" w:rsidRDefault="00010BF9">
            <w:pPr>
              <w:spacing w:line="360" w:lineRule="exact"/>
              <w:ind w:firstLineChars="0" w:firstLine="0"/>
              <w:jc w:val="center"/>
              <w:rPr>
                <w:kern w:val="2"/>
                <w:sz w:val="21"/>
                <w:szCs w:val="21"/>
              </w:rPr>
            </w:pPr>
            <w:r>
              <w:rPr>
                <w:kern w:val="2"/>
                <w:sz w:val="21"/>
                <w:szCs w:val="21"/>
              </w:rPr>
              <w:t>25</w:t>
            </w:r>
          </w:p>
        </w:tc>
        <w:tc>
          <w:tcPr>
            <w:tcW w:w="727" w:type="pct"/>
            <w:tcBorders>
              <w:tl2br w:val="nil"/>
              <w:tr2bl w:val="nil"/>
            </w:tcBorders>
            <w:vAlign w:val="center"/>
          </w:tcPr>
          <w:p w14:paraId="53C3B092" w14:textId="77777777" w:rsidR="003E78AB" w:rsidRDefault="00010BF9">
            <w:pPr>
              <w:spacing w:line="360" w:lineRule="exact"/>
              <w:ind w:firstLineChars="0" w:firstLine="0"/>
              <w:jc w:val="center"/>
              <w:rPr>
                <w:kern w:val="2"/>
                <w:sz w:val="21"/>
                <w:szCs w:val="21"/>
              </w:rPr>
            </w:pPr>
            <w:r>
              <w:rPr>
                <w:kern w:val="2"/>
                <w:sz w:val="21"/>
                <w:szCs w:val="21"/>
              </w:rPr>
              <w:t>六价铬</w:t>
            </w:r>
          </w:p>
        </w:tc>
        <w:tc>
          <w:tcPr>
            <w:tcW w:w="362" w:type="pct"/>
            <w:tcBorders>
              <w:tl2br w:val="nil"/>
              <w:tr2bl w:val="nil"/>
            </w:tcBorders>
            <w:vAlign w:val="center"/>
          </w:tcPr>
          <w:p w14:paraId="1559A436" w14:textId="77777777" w:rsidR="003E78AB" w:rsidRDefault="00010BF9">
            <w:pPr>
              <w:spacing w:line="360" w:lineRule="exact"/>
              <w:ind w:firstLineChars="0" w:firstLine="0"/>
              <w:jc w:val="center"/>
              <w:rPr>
                <w:kern w:val="2"/>
                <w:sz w:val="21"/>
                <w:szCs w:val="21"/>
              </w:rPr>
            </w:pPr>
            <w:r>
              <w:rPr>
                <w:kern w:val="2"/>
                <w:sz w:val="21"/>
                <w:szCs w:val="21"/>
              </w:rPr>
              <w:t>0.008</w:t>
            </w:r>
          </w:p>
        </w:tc>
        <w:tc>
          <w:tcPr>
            <w:tcW w:w="366" w:type="pct"/>
            <w:tcBorders>
              <w:tl2br w:val="nil"/>
              <w:tr2bl w:val="nil"/>
            </w:tcBorders>
            <w:vAlign w:val="center"/>
          </w:tcPr>
          <w:p w14:paraId="2AFD76EC" w14:textId="77777777" w:rsidR="003E78AB" w:rsidRDefault="00010BF9">
            <w:pPr>
              <w:spacing w:line="360" w:lineRule="exact"/>
              <w:ind w:firstLineChars="0" w:firstLine="0"/>
              <w:jc w:val="center"/>
              <w:rPr>
                <w:kern w:val="2"/>
                <w:sz w:val="21"/>
                <w:szCs w:val="21"/>
              </w:rPr>
            </w:pPr>
            <w:r>
              <w:rPr>
                <w:kern w:val="2"/>
                <w:sz w:val="21"/>
                <w:szCs w:val="21"/>
              </w:rPr>
              <w:t>0.16</w:t>
            </w:r>
          </w:p>
        </w:tc>
        <w:tc>
          <w:tcPr>
            <w:tcW w:w="1025" w:type="dxa"/>
            <w:tcBorders>
              <w:tl2br w:val="nil"/>
              <w:tr2bl w:val="nil"/>
            </w:tcBorders>
            <w:vAlign w:val="center"/>
          </w:tcPr>
          <w:p w14:paraId="58C80444" w14:textId="77777777" w:rsidR="003E78AB" w:rsidRDefault="00010BF9">
            <w:pPr>
              <w:pStyle w:val="B1"/>
              <w:widowControl w:val="0"/>
              <w:rPr>
                <w:rFonts w:cs="Times New Roman"/>
                <w:kern w:val="2"/>
                <w:szCs w:val="21"/>
              </w:rPr>
            </w:pPr>
            <w:r>
              <w:t>＜</w:t>
            </w:r>
            <w:r>
              <w:rPr>
                <w:rFonts w:hint="eastAsia"/>
              </w:rPr>
              <w:t>0.004</w:t>
            </w:r>
          </w:p>
        </w:tc>
        <w:tc>
          <w:tcPr>
            <w:tcW w:w="1037" w:type="dxa"/>
            <w:tcBorders>
              <w:tl2br w:val="nil"/>
              <w:tr2bl w:val="nil"/>
            </w:tcBorders>
            <w:vAlign w:val="center"/>
          </w:tcPr>
          <w:p w14:paraId="0C5877F4" w14:textId="77777777" w:rsidR="003E78AB" w:rsidRDefault="00010BF9">
            <w:pPr>
              <w:pStyle w:val="B1"/>
              <w:widowControl w:val="0"/>
              <w:rPr>
                <w:rFonts w:cs="Times New Roman"/>
                <w:kern w:val="2"/>
                <w:szCs w:val="21"/>
                <w:lang w:val="zh-CN" w:bidi="zh-CN"/>
              </w:rPr>
            </w:pPr>
            <w:r>
              <w:rPr>
                <w:rFonts w:hint="eastAsia"/>
              </w:rPr>
              <w:t>0.08</w:t>
            </w:r>
          </w:p>
        </w:tc>
        <w:tc>
          <w:tcPr>
            <w:tcW w:w="362" w:type="pct"/>
            <w:tcBorders>
              <w:tl2br w:val="nil"/>
              <w:tr2bl w:val="nil"/>
            </w:tcBorders>
            <w:vAlign w:val="center"/>
          </w:tcPr>
          <w:p w14:paraId="38FE778D"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153D20A3"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1025" w:type="dxa"/>
            <w:tcBorders>
              <w:tl2br w:val="nil"/>
              <w:tr2bl w:val="nil"/>
            </w:tcBorders>
            <w:vAlign w:val="center"/>
          </w:tcPr>
          <w:p w14:paraId="6519BA78" w14:textId="77777777" w:rsidR="003E78AB" w:rsidRDefault="00010BF9">
            <w:pPr>
              <w:pStyle w:val="B1"/>
              <w:widowControl w:val="0"/>
              <w:rPr>
                <w:rFonts w:cs="Times New Roman"/>
                <w:kern w:val="2"/>
                <w:szCs w:val="21"/>
              </w:rPr>
            </w:pPr>
            <w:r>
              <w:t>＜</w:t>
            </w:r>
            <w:r>
              <w:rPr>
                <w:rFonts w:hint="eastAsia"/>
              </w:rPr>
              <w:t>0.004</w:t>
            </w:r>
          </w:p>
        </w:tc>
        <w:tc>
          <w:tcPr>
            <w:tcW w:w="1037" w:type="dxa"/>
            <w:tcBorders>
              <w:tl2br w:val="nil"/>
              <w:tr2bl w:val="nil"/>
            </w:tcBorders>
            <w:vAlign w:val="center"/>
          </w:tcPr>
          <w:p w14:paraId="271382B5" w14:textId="77777777" w:rsidR="003E78AB" w:rsidRDefault="00010BF9">
            <w:pPr>
              <w:pStyle w:val="B1"/>
              <w:widowControl w:val="0"/>
              <w:rPr>
                <w:rFonts w:cs="Times New Roman"/>
                <w:kern w:val="2"/>
                <w:szCs w:val="21"/>
                <w:lang w:val="zh-CN" w:bidi="zh-CN"/>
              </w:rPr>
            </w:pPr>
            <w:r>
              <w:rPr>
                <w:rFonts w:hint="eastAsia"/>
              </w:rPr>
              <w:t>0.08</w:t>
            </w:r>
          </w:p>
        </w:tc>
        <w:tc>
          <w:tcPr>
            <w:tcW w:w="1025" w:type="dxa"/>
            <w:tcBorders>
              <w:tl2br w:val="nil"/>
              <w:tr2bl w:val="nil"/>
            </w:tcBorders>
            <w:vAlign w:val="center"/>
          </w:tcPr>
          <w:p w14:paraId="328A2FEC" w14:textId="77777777" w:rsidR="003E78AB" w:rsidRDefault="00010BF9">
            <w:pPr>
              <w:pStyle w:val="B1"/>
              <w:widowControl w:val="0"/>
              <w:rPr>
                <w:rFonts w:cs="Times New Roman"/>
                <w:kern w:val="2"/>
                <w:szCs w:val="21"/>
              </w:rPr>
            </w:pPr>
            <w:r>
              <w:t>＜</w:t>
            </w:r>
            <w:r>
              <w:rPr>
                <w:rFonts w:hint="eastAsia"/>
              </w:rPr>
              <w:t>0.004</w:t>
            </w:r>
          </w:p>
        </w:tc>
        <w:tc>
          <w:tcPr>
            <w:tcW w:w="1054" w:type="dxa"/>
            <w:tcBorders>
              <w:tl2br w:val="nil"/>
              <w:tr2bl w:val="nil"/>
            </w:tcBorders>
            <w:vAlign w:val="center"/>
          </w:tcPr>
          <w:p w14:paraId="7A5D4639" w14:textId="77777777" w:rsidR="003E78AB" w:rsidRDefault="00010BF9">
            <w:pPr>
              <w:pStyle w:val="B1"/>
              <w:widowControl w:val="0"/>
              <w:rPr>
                <w:rFonts w:cs="Times New Roman"/>
                <w:kern w:val="2"/>
                <w:szCs w:val="21"/>
                <w:lang w:val="zh-CN" w:bidi="zh-CN"/>
              </w:rPr>
            </w:pPr>
            <w:r>
              <w:rPr>
                <w:rFonts w:hint="eastAsia"/>
              </w:rPr>
              <w:t>0.08</w:t>
            </w:r>
          </w:p>
        </w:tc>
        <w:tc>
          <w:tcPr>
            <w:tcW w:w="436" w:type="pct"/>
            <w:tcBorders>
              <w:tl2br w:val="nil"/>
              <w:tr2bl w:val="nil"/>
            </w:tcBorders>
            <w:vAlign w:val="center"/>
          </w:tcPr>
          <w:p w14:paraId="675C0293" w14:textId="77777777" w:rsidR="003E78AB" w:rsidRDefault="00010BF9">
            <w:pPr>
              <w:spacing w:line="360" w:lineRule="exact"/>
              <w:ind w:firstLineChars="0" w:firstLine="0"/>
              <w:jc w:val="center"/>
              <w:rPr>
                <w:kern w:val="2"/>
                <w:sz w:val="21"/>
                <w:szCs w:val="21"/>
              </w:rPr>
            </w:pPr>
            <w:r>
              <w:rPr>
                <w:kern w:val="2"/>
                <w:sz w:val="21"/>
                <w:szCs w:val="21"/>
              </w:rPr>
              <w:t>0.05</w:t>
            </w:r>
          </w:p>
        </w:tc>
      </w:tr>
      <w:tr w:rsidR="003E78AB" w14:paraId="68D97CD0" w14:textId="77777777">
        <w:trPr>
          <w:trHeight w:val="397"/>
        </w:trPr>
        <w:tc>
          <w:tcPr>
            <w:tcW w:w="184" w:type="pct"/>
            <w:tcBorders>
              <w:tl2br w:val="nil"/>
              <w:tr2bl w:val="nil"/>
            </w:tcBorders>
            <w:vAlign w:val="center"/>
          </w:tcPr>
          <w:p w14:paraId="38215CB6" w14:textId="77777777" w:rsidR="003E78AB" w:rsidRDefault="00010BF9">
            <w:pPr>
              <w:spacing w:line="360" w:lineRule="exact"/>
              <w:ind w:firstLineChars="0" w:firstLine="0"/>
              <w:jc w:val="center"/>
              <w:rPr>
                <w:kern w:val="2"/>
                <w:sz w:val="21"/>
                <w:szCs w:val="21"/>
              </w:rPr>
            </w:pPr>
            <w:r>
              <w:rPr>
                <w:kern w:val="2"/>
                <w:sz w:val="21"/>
                <w:szCs w:val="21"/>
              </w:rPr>
              <w:t>26</w:t>
            </w:r>
          </w:p>
        </w:tc>
        <w:tc>
          <w:tcPr>
            <w:tcW w:w="727" w:type="pct"/>
            <w:tcBorders>
              <w:tl2br w:val="nil"/>
              <w:tr2bl w:val="nil"/>
            </w:tcBorders>
            <w:vAlign w:val="center"/>
          </w:tcPr>
          <w:p w14:paraId="72EE8A4E" w14:textId="77777777" w:rsidR="003E78AB" w:rsidRDefault="00010BF9">
            <w:pPr>
              <w:spacing w:line="360" w:lineRule="exact"/>
              <w:ind w:firstLineChars="0" w:firstLine="0"/>
              <w:jc w:val="center"/>
              <w:rPr>
                <w:kern w:val="2"/>
                <w:sz w:val="21"/>
                <w:szCs w:val="21"/>
              </w:rPr>
            </w:pPr>
            <w:r>
              <w:rPr>
                <w:kern w:val="2"/>
                <w:sz w:val="21"/>
                <w:szCs w:val="21"/>
              </w:rPr>
              <w:t>铜</w:t>
            </w:r>
          </w:p>
        </w:tc>
        <w:tc>
          <w:tcPr>
            <w:tcW w:w="362" w:type="pct"/>
            <w:tcBorders>
              <w:tl2br w:val="nil"/>
              <w:tr2bl w:val="nil"/>
            </w:tcBorders>
            <w:vAlign w:val="center"/>
          </w:tcPr>
          <w:p w14:paraId="443CCA85"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6B3237A4"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008D7AEE"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4EB1A2C0"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0FBD72A0"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71E31F04"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3129D3D1"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2CAFBA0A"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6C80E58D" w14:textId="77777777" w:rsidR="003E78AB" w:rsidRDefault="00010BF9">
            <w:pPr>
              <w:spacing w:line="360" w:lineRule="exact"/>
              <w:ind w:firstLineChars="0" w:firstLine="0"/>
              <w:jc w:val="center"/>
              <w:rPr>
                <w:kern w:val="2"/>
                <w:sz w:val="21"/>
                <w:szCs w:val="21"/>
              </w:rPr>
            </w:pPr>
            <w:r>
              <w:rPr>
                <w:kern w:val="2"/>
                <w:sz w:val="21"/>
                <w:szCs w:val="21"/>
              </w:rPr>
              <w:t>/</w:t>
            </w:r>
          </w:p>
        </w:tc>
        <w:tc>
          <w:tcPr>
            <w:tcW w:w="372" w:type="pct"/>
            <w:tcBorders>
              <w:tl2br w:val="nil"/>
              <w:tr2bl w:val="nil"/>
            </w:tcBorders>
            <w:vAlign w:val="center"/>
          </w:tcPr>
          <w:p w14:paraId="27F33CD9"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39721697" w14:textId="77777777" w:rsidR="003E78AB" w:rsidRDefault="00010BF9">
            <w:pPr>
              <w:spacing w:line="360" w:lineRule="exact"/>
              <w:ind w:firstLineChars="0" w:firstLine="0"/>
              <w:jc w:val="center"/>
              <w:rPr>
                <w:kern w:val="2"/>
                <w:sz w:val="21"/>
                <w:szCs w:val="21"/>
              </w:rPr>
            </w:pPr>
            <w:r>
              <w:rPr>
                <w:kern w:val="2"/>
                <w:sz w:val="21"/>
                <w:szCs w:val="21"/>
              </w:rPr>
              <w:t>1.0</w:t>
            </w:r>
          </w:p>
        </w:tc>
      </w:tr>
      <w:tr w:rsidR="003E78AB" w14:paraId="7B09142A" w14:textId="77777777">
        <w:trPr>
          <w:trHeight w:val="397"/>
        </w:trPr>
        <w:tc>
          <w:tcPr>
            <w:tcW w:w="184" w:type="pct"/>
            <w:tcBorders>
              <w:tl2br w:val="nil"/>
              <w:tr2bl w:val="nil"/>
            </w:tcBorders>
            <w:vAlign w:val="center"/>
          </w:tcPr>
          <w:p w14:paraId="7A962F38" w14:textId="77777777" w:rsidR="003E78AB" w:rsidRDefault="00010BF9">
            <w:pPr>
              <w:spacing w:line="360" w:lineRule="exact"/>
              <w:ind w:firstLineChars="0" w:firstLine="0"/>
              <w:jc w:val="center"/>
              <w:rPr>
                <w:kern w:val="2"/>
                <w:sz w:val="21"/>
                <w:szCs w:val="21"/>
              </w:rPr>
            </w:pPr>
            <w:r>
              <w:rPr>
                <w:kern w:val="2"/>
                <w:sz w:val="21"/>
                <w:szCs w:val="21"/>
              </w:rPr>
              <w:t>27</w:t>
            </w:r>
          </w:p>
        </w:tc>
        <w:tc>
          <w:tcPr>
            <w:tcW w:w="727" w:type="pct"/>
            <w:tcBorders>
              <w:tl2br w:val="nil"/>
              <w:tr2bl w:val="nil"/>
            </w:tcBorders>
            <w:vAlign w:val="center"/>
          </w:tcPr>
          <w:p w14:paraId="6E9E7A9E" w14:textId="77777777" w:rsidR="003E78AB" w:rsidRDefault="00010BF9">
            <w:pPr>
              <w:spacing w:line="360" w:lineRule="exact"/>
              <w:ind w:firstLineChars="0" w:firstLine="0"/>
              <w:jc w:val="center"/>
              <w:rPr>
                <w:kern w:val="2"/>
                <w:sz w:val="21"/>
                <w:szCs w:val="21"/>
              </w:rPr>
            </w:pPr>
            <w:r>
              <w:rPr>
                <w:kern w:val="2"/>
                <w:sz w:val="21"/>
                <w:szCs w:val="21"/>
              </w:rPr>
              <w:t>锌</w:t>
            </w:r>
          </w:p>
        </w:tc>
        <w:tc>
          <w:tcPr>
            <w:tcW w:w="362" w:type="pct"/>
            <w:tcBorders>
              <w:tl2br w:val="nil"/>
              <w:tr2bl w:val="nil"/>
            </w:tcBorders>
            <w:vAlign w:val="center"/>
          </w:tcPr>
          <w:p w14:paraId="50D2E23A"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453DBB63"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6C4AA984"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07562405"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0EB0790F"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2320F27E"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42038E89"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1D7FF18B"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506217D2" w14:textId="77777777" w:rsidR="003E78AB" w:rsidRDefault="00010BF9">
            <w:pPr>
              <w:spacing w:line="360" w:lineRule="exact"/>
              <w:ind w:firstLineChars="0" w:firstLine="0"/>
              <w:jc w:val="center"/>
              <w:rPr>
                <w:kern w:val="2"/>
                <w:sz w:val="21"/>
                <w:szCs w:val="21"/>
              </w:rPr>
            </w:pPr>
            <w:r>
              <w:rPr>
                <w:kern w:val="2"/>
                <w:sz w:val="21"/>
                <w:szCs w:val="21"/>
              </w:rPr>
              <w:t>/</w:t>
            </w:r>
          </w:p>
        </w:tc>
        <w:tc>
          <w:tcPr>
            <w:tcW w:w="372" w:type="pct"/>
            <w:tcBorders>
              <w:tl2br w:val="nil"/>
              <w:tr2bl w:val="nil"/>
            </w:tcBorders>
            <w:vAlign w:val="center"/>
          </w:tcPr>
          <w:p w14:paraId="5E38A137"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3D8D9139" w14:textId="77777777" w:rsidR="003E78AB" w:rsidRDefault="00010BF9">
            <w:pPr>
              <w:spacing w:line="360" w:lineRule="exact"/>
              <w:ind w:firstLineChars="0" w:firstLine="0"/>
              <w:jc w:val="center"/>
              <w:rPr>
                <w:kern w:val="2"/>
                <w:sz w:val="21"/>
                <w:szCs w:val="21"/>
              </w:rPr>
            </w:pPr>
            <w:r>
              <w:rPr>
                <w:kern w:val="2"/>
                <w:sz w:val="21"/>
                <w:szCs w:val="21"/>
              </w:rPr>
              <w:t>1.0</w:t>
            </w:r>
          </w:p>
        </w:tc>
      </w:tr>
      <w:tr w:rsidR="003E78AB" w14:paraId="258D6172" w14:textId="77777777">
        <w:trPr>
          <w:trHeight w:val="397"/>
        </w:trPr>
        <w:tc>
          <w:tcPr>
            <w:tcW w:w="184" w:type="pct"/>
            <w:tcBorders>
              <w:tl2br w:val="nil"/>
              <w:tr2bl w:val="nil"/>
            </w:tcBorders>
            <w:vAlign w:val="center"/>
          </w:tcPr>
          <w:p w14:paraId="26579502" w14:textId="77777777" w:rsidR="003E78AB" w:rsidRDefault="00010BF9">
            <w:pPr>
              <w:spacing w:line="360" w:lineRule="exact"/>
              <w:ind w:firstLineChars="0" w:firstLine="0"/>
              <w:jc w:val="center"/>
              <w:rPr>
                <w:kern w:val="2"/>
                <w:sz w:val="21"/>
                <w:szCs w:val="21"/>
              </w:rPr>
            </w:pPr>
            <w:r>
              <w:rPr>
                <w:kern w:val="2"/>
                <w:sz w:val="21"/>
                <w:szCs w:val="21"/>
              </w:rPr>
              <w:t>28</w:t>
            </w:r>
          </w:p>
        </w:tc>
        <w:tc>
          <w:tcPr>
            <w:tcW w:w="727" w:type="pct"/>
            <w:tcBorders>
              <w:tl2br w:val="nil"/>
              <w:tr2bl w:val="nil"/>
            </w:tcBorders>
            <w:vAlign w:val="center"/>
          </w:tcPr>
          <w:p w14:paraId="08FC2A0C" w14:textId="77777777" w:rsidR="003E78AB" w:rsidRDefault="00010BF9">
            <w:pPr>
              <w:spacing w:line="360" w:lineRule="exact"/>
              <w:ind w:firstLineChars="0" w:firstLine="0"/>
              <w:jc w:val="center"/>
              <w:rPr>
                <w:kern w:val="2"/>
                <w:sz w:val="21"/>
                <w:szCs w:val="21"/>
              </w:rPr>
            </w:pPr>
            <w:r>
              <w:rPr>
                <w:kern w:val="2"/>
                <w:sz w:val="21"/>
                <w:szCs w:val="21"/>
              </w:rPr>
              <w:t>铁</w:t>
            </w:r>
          </w:p>
        </w:tc>
        <w:tc>
          <w:tcPr>
            <w:tcW w:w="362" w:type="pct"/>
            <w:tcBorders>
              <w:tl2br w:val="nil"/>
              <w:tr2bl w:val="nil"/>
            </w:tcBorders>
            <w:vAlign w:val="center"/>
          </w:tcPr>
          <w:p w14:paraId="4CE5CA4D"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268ED1CD"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5013798B" w14:textId="77777777" w:rsidR="003E78AB" w:rsidRDefault="00010BF9">
            <w:pPr>
              <w:pStyle w:val="B1"/>
              <w:widowControl w:val="0"/>
              <w:rPr>
                <w:rFonts w:cs="Times New Roman"/>
                <w:kern w:val="2"/>
                <w:szCs w:val="21"/>
              </w:rPr>
            </w:pPr>
            <w:r>
              <w:rPr>
                <w:rFonts w:hint="eastAsia"/>
              </w:rPr>
              <w:t>7.3</w:t>
            </w:r>
          </w:p>
        </w:tc>
        <w:tc>
          <w:tcPr>
            <w:tcW w:w="1037" w:type="dxa"/>
            <w:tcBorders>
              <w:tl2br w:val="nil"/>
              <w:tr2bl w:val="nil"/>
            </w:tcBorders>
            <w:vAlign w:val="center"/>
          </w:tcPr>
          <w:p w14:paraId="162A9BB2" w14:textId="77777777" w:rsidR="003E78AB" w:rsidRDefault="00010BF9">
            <w:pPr>
              <w:pStyle w:val="B1"/>
              <w:widowControl w:val="0"/>
              <w:rPr>
                <w:rFonts w:cs="Times New Roman"/>
                <w:kern w:val="2"/>
                <w:szCs w:val="21"/>
              </w:rPr>
            </w:pPr>
            <w:r>
              <w:rPr>
                <w:rFonts w:hint="eastAsia"/>
              </w:rPr>
              <w:t>0.024</w:t>
            </w:r>
          </w:p>
        </w:tc>
        <w:tc>
          <w:tcPr>
            <w:tcW w:w="362" w:type="pct"/>
            <w:tcBorders>
              <w:tl2br w:val="nil"/>
              <w:tr2bl w:val="nil"/>
            </w:tcBorders>
            <w:vAlign w:val="center"/>
          </w:tcPr>
          <w:p w14:paraId="7BA3B91A" w14:textId="77777777" w:rsidR="003E78AB" w:rsidRDefault="00010BF9">
            <w:pPr>
              <w:spacing w:line="360" w:lineRule="exact"/>
              <w:ind w:firstLineChars="0" w:firstLine="0"/>
              <w:jc w:val="center"/>
              <w:rPr>
                <w:kern w:val="2"/>
                <w:sz w:val="21"/>
                <w:szCs w:val="21"/>
              </w:rPr>
            </w:pPr>
            <w:r>
              <w:rPr>
                <w:kern w:val="2"/>
                <w:sz w:val="21"/>
                <w:szCs w:val="21"/>
              </w:rPr>
              <w:t>0.07</w:t>
            </w:r>
          </w:p>
        </w:tc>
        <w:tc>
          <w:tcPr>
            <w:tcW w:w="366" w:type="pct"/>
            <w:tcBorders>
              <w:tl2br w:val="nil"/>
              <w:tr2bl w:val="nil"/>
            </w:tcBorders>
            <w:vAlign w:val="center"/>
          </w:tcPr>
          <w:p w14:paraId="5301188C" w14:textId="77777777" w:rsidR="003E78AB" w:rsidRDefault="00010BF9">
            <w:pPr>
              <w:spacing w:line="360" w:lineRule="exact"/>
              <w:ind w:firstLineChars="0" w:firstLine="0"/>
              <w:jc w:val="center"/>
              <w:rPr>
                <w:kern w:val="2"/>
                <w:sz w:val="21"/>
                <w:szCs w:val="21"/>
              </w:rPr>
            </w:pPr>
            <w:r>
              <w:rPr>
                <w:kern w:val="2"/>
                <w:sz w:val="21"/>
                <w:szCs w:val="21"/>
              </w:rPr>
              <w:t>0.3</w:t>
            </w:r>
          </w:p>
        </w:tc>
        <w:tc>
          <w:tcPr>
            <w:tcW w:w="1025" w:type="dxa"/>
            <w:tcBorders>
              <w:tl2br w:val="nil"/>
              <w:tr2bl w:val="nil"/>
            </w:tcBorders>
            <w:vAlign w:val="center"/>
          </w:tcPr>
          <w:p w14:paraId="6C17A7AC" w14:textId="77777777" w:rsidR="003E78AB" w:rsidRDefault="00010BF9">
            <w:pPr>
              <w:pStyle w:val="B1"/>
              <w:widowControl w:val="0"/>
              <w:rPr>
                <w:rFonts w:cs="Times New Roman"/>
                <w:kern w:val="2"/>
                <w:szCs w:val="21"/>
              </w:rPr>
            </w:pPr>
            <w:r>
              <w:rPr>
                <w:rFonts w:cs="Times New Roman" w:hint="eastAsia"/>
                <w:szCs w:val="21"/>
              </w:rPr>
              <w:t>27.6</w:t>
            </w:r>
          </w:p>
        </w:tc>
        <w:tc>
          <w:tcPr>
            <w:tcW w:w="1037" w:type="dxa"/>
            <w:tcBorders>
              <w:tl2br w:val="nil"/>
              <w:tr2bl w:val="nil"/>
            </w:tcBorders>
            <w:vAlign w:val="center"/>
          </w:tcPr>
          <w:p w14:paraId="62885224" w14:textId="77777777" w:rsidR="003E78AB" w:rsidRDefault="00010BF9">
            <w:pPr>
              <w:pStyle w:val="B1"/>
              <w:widowControl w:val="0"/>
              <w:rPr>
                <w:rFonts w:cs="Times New Roman"/>
                <w:kern w:val="2"/>
                <w:szCs w:val="21"/>
                <w:lang w:val="zh-CN" w:bidi="zh-CN"/>
              </w:rPr>
            </w:pPr>
            <w:r>
              <w:rPr>
                <w:rFonts w:hint="eastAsia"/>
              </w:rPr>
              <w:t>0.092</w:t>
            </w:r>
          </w:p>
        </w:tc>
        <w:tc>
          <w:tcPr>
            <w:tcW w:w="1025" w:type="dxa"/>
            <w:tcBorders>
              <w:tl2br w:val="nil"/>
              <w:tr2bl w:val="nil"/>
            </w:tcBorders>
            <w:vAlign w:val="center"/>
          </w:tcPr>
          <w:p w14:paraId="22C41535" w14:textId="77777777" w:rsidR="003E78AB" w:rsidRDefault="00010BF9">
            <w:pPr>
              <w:pStyle w:val="B1"/>
              <w:widowControl w:val="0"/>
              <w:rPr>
                <w:rFonts w:cs="Times New Roman"/>
                <w:kern w:val="2"/>
                <w:szCs w:val="21"/>
              </w:rPr>
            </w:pPr>
            <w:r>
              <w:rPr>
                <w:rFonts w:cs="Times New Roman" w:hint="eastAsia"/>
                <w:szCs w:val="21"/>
              </w:rPr>
              <w:t>84.7</w:t>
            </w:r>
          </w:p>
        </w:tc>
        <w:tc>
          <w:tcPr>
            <w:tcW w:w="1054" w:type="dxa"/>
            <w:tcBorders>
              <w:tl2br w:val="nil"/>
              <w:tr2bl w:val="nil"/>
            </w:tcBorders>
            <w:vAlign w:val="center"/>
          </w:tcPr>
          <w:p w14:paraId="576E5BD5" w14:textId="77777777" w:rsidR="003E78AB" w:rsidRDefault="00010BF9">
            <w:pPr>
              <w:pStyle w:val="B1"/>
              <w:widowControl w:val="0"/>
              <w:rPr>
                <w:rFonts w:cs="Times New Roman"/>
                <w:kern w:val="2"/>
                <w:szCs w:val="21"/>
                <w:lang w:val="zh-CN" w:bidi="zh-CN"/>
              </w:rPr>
            </w:pPr>
            <w:r>
              <w:rPr>
                <w:rFonts w:hint="eastAsia"/>
              </w:rPr>
              <w:t>0.282</w:t>
            </w:r>
          </w:p>
        </w:tc>
        <w:tc>
          <w:tcPr>
            <w:tcW w:w="436" w:type="pct"/>
            <w:tcBorders>
              <w:tl2br w:val="nil"/>
              <w:tr2bl w:val="nil"/>
            </w:tcBorders>
            <w:vAlign w:val="center"/>
          </w:tcPr>
          <w:p w14:paraId="3FC5E274" w14:textId="77777777" w:rsidR="003E78AB" w:rsidRDefault="00010BF9">
            <w:pPr>
              <w:spacing w:line="360" w:lineRule="exact"/>
              <w:ind w:firstLineChars="0" w:firstLine="0"/>
              <w:jc w:val="center"/>
              <w:rPr>
                <w:kern w:val="2"/>
                <w:sz w:val="21"/>
                <w:szCs w:val="21"/>
              </w:rPr>
            </w:pPr>
            <w:r>
              <w:rPr>
                <w:kern w:val="2"/>
                <w:sz w:val="21"/>
                <w:szCs w:val="21"/>
              </w:rPr>
              <w:t>0.3</w:t>
            </w:r>
          </w:p>
        </w:tc>
      </w:tr>
      <w:tr w:rsidR="003E78AB" w14:paraId="1B30C599" w14:textId="77777777">
        <w:trPr>
          <w:trHeight w:val="397"/>
        </w:trPr>
        <w:tc>
          <w:tcPr>
            <w:tcW w:w="184" w:type="pct"/>
            <w:tcBorders>
              <w:tl2br w:val="nil"/>
              <w:tr2bl w:val="nil"/>
            </w:tcBorders>
            <w:vAlign w:val="center"/>
          </w:tcPr>
          <w:p w14:paraId="3BE01C12" w14:textId="77777777" w:rsidR="003E78AB" w:rsidRDefault="00010BF9">
            <w:pPr>
              <w:spacing w:line="360" w:lineRule="exact"/>
              <w:ind w:firstLineChars="0" w:firstLine="0"/>
              <w:jc w:val="center"/>
              <w:rPr>
                <w:kern w:val="2"/>
                <w:sz w:val="21"/>
                <w:szCs w:val="21"/>
              </w:rPr>
            </w:pPr>
            <w:r>
              <w:rPr>
                <w:kern w:val="2"/>
                <w:sz w:val="21"/>
                <w:szCs w:val="21"/>
              </w:rPr>
              <w:t>29</w:t>
            </w:r>
          </w:p>
        </w:tc>
        <w:tc>
          <w:tcPr>
            <w:tcW w:w="727" w:type="pct"/>
            <w:tcBorders>
              <w:tl2br w:val="nil"/>
              <w:tr2bl w:val="nil"/>
            </w:tcBorders>
            <w:vAlign w:val="center"/>
          </w:tcPr>
          <w:p w14:paraId="1FA1A739" w14:textId="77777777" w:rsidR="003E78AB" w:rsidRDefault="00010BF9">
            <w:pPr>
              <w:spacing w:line="360" w:lineRule="exact"/>
              <w:ind w:firstLineChars="0" w:firstLine="0"/>
              <w:jc w:val="center"/>
              <w:rPr>
                <w:kern w:val="2"/>
                <w:sz w:val="21"/>
                <w:szCs w:val="21"/>
              </w:rPr>
            </w:pPr>
            <w:r>
              <w:rPr>
                <w:kern w:val="2"/>
                <w:sz w:val="21"/>
                <w:szCs w:val="21"/>
              </w:rPr>
              <w:t>锰</w:t>
            </w:r>
          </w:p>
        </w:tc>
        <w:tc>
          <w:tcPr>
            <w:tcW w:w="362" w:type="pct"/>
            <w:tcBorders>
              <w:tl2br w:val="nil"/>
              <w:tr2bl w:val="nil"/>
            </w:tcBorders>
            <w:vAlign w:val="center"/>
          </w:tcPr>
          <w:p w14:paraId="1798F087"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61503512"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5D10DF0F" w14:textId="77777777" w:rsidR="003E78AB" w:rsidRDefault="00010BF9">
            <w:pPr>
              <w:pStyle w:val="B1"/>
              <w:widowControl w:val="0"/>
              <w:rPr>
                <w:rFonts w:cs="Times New Roman"/>
                <w:kern w:val="2"/>
                <w:szCs w:val="21"/>
              </w:rPr>
            </w:pPr>
            <w:r>
              <w:t>＜</w:t>
            </w:r>
            <w:r>
              <w:rPr>
                <w:rFonts w:hint="eastAsia"/>
              </w:rPr>
              <w:t>0.5</w:t>
            </w:r>
          </w:p>
        </w:tc>
        <w:tc>
          <w:tcPr>
            <w:tcW w:w="1037" w:type="dxa"/>
            <w:tcBorders>
              <w:tl2br w:val="nil"/>
              <w:tr2bl w:val="nil"/>
            </w:tcBorders>
            <w:vAlign w:val="center"/>
          </w:tcPr>
          <w:p w14:paraId="6B4A3563" w14:textId="77777777" w:rsidR="003E78AB" w:rsidRDefault="00010BF9">
            <w:pPr>
              <w:pStyle w:val="B1"/>
              <w:widowControl w:val="0"/>
              <w:rPr>
                <w:rFonts w:cs="Times New Roman"/>
                <w:kern w:val="2"/>
                <w:szCs w:val="21"/>
              </w:rPr>
            </w:pPr>
            <w:r>
              <w:rPr>
                <w:rFonts w:hint="eastAsia"/>
              </w:rPr>
              <w:t>0.005</w:t>
            </w:r>
          </w:p>
        </w:tc>
        <w:tc>
          <w:tcPr>
            <w:tcW w:w="362" w:type="pct"/>
            <w:tcBorders>
              <w:tl2br w:val="nil"/>
              <w:tr2bl w:val="nil"/>
            </w:tcBorders>
            <w:vAlign w:val="center"/>
          </w:tcPr>
          <w:p w14:paraId="18EF093C"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2541F66D" w14:textId="77777777" w:rsidR="003E78AB" w:rsidRDefault="00010BF9">
            <w:pPr>
              <w:spacing w:line="360" w:lineRule="exact"/>
              <w:ind w:firstLineChars="0" w:firstLine="0"/>
              <w:jc w:val="center"/>
              <w:rPr>
                <w:kern w:val="2"/>
                <w:sz w:val="21"/>
                <w:szCs w:val="21"/>
              </w:rPr>
            </w:pPr>
            <w:r>
              <w:rPr>
                <w:kern w:val="2"/>
                <w:sz w:val="21"/>
                <w:szCs w:val="21"/>
              </w:rPr>
              <w:t>/</w:t>
            </w:r>
          </w:p>
        </w:tc>
        <w:tc>
          <w:tcPr>
            <w:tcW w:w="1025" w:type="dxa"/>
            <w:tcBorders>
              <w:tl2br w:val="nil"/>
              <w:tr2bl w:val="nil"/>
            </w:tcBorders>
            <w:vAlign w:val="center"/>
          </w:tcPr>
          <w:p w14:paraId="6E976CD7" w14:textId="77777777" w:rsidR="003E78AB" w:rsidRDefault="00010BF9">
            <w:pPr>
              <w:pStyle w:val="B1"/>
              <w:widowControl w:val="0"/>
              <w:rPr>
                <w:rFonts w:cs="Times New Roman"/>
                <w:kern w:val="2"/>
                <w:szCs w:val="21"/>
              </w:rPr>
            </w:pPr>
            <w:r>
              <w:rPr>
                <w:rFonts w:cs="Times New Roman" w:hint="eastAsia"/>
                <w:szCs w:val="21"/>
              </w:rPr>
              <w:t>1.8</w:t>
            </w:r>
          </w:p>
        </w:tc>
        <w:tc>
          <w:tcPr>
            <w:tcW w:w="1037" w:type="dxa"/>
            <w:tcBorders>
              <w:tl2br w:val="nil"/>
              <w:tr2bl w:val="nil"/>
            </w:tcBorders>
            <w:vAlign w:val="center"/>
          </w:tcPr>
          <w:p w14:paraId="42376B9E" w14:textId="77777777" w:rsidR="003E78AB" w:rsidRDefault="00010BF9">
            <w:pPr>
              <w:pStyle w:val="B1"/>
              <w:widowControl w:val="0"/>
              <w:rPr>
                <w:rFonts w:cs="Times New Roman"/>
                <w:kern w:val="2"/>
                <w:szCs w:val="21"/>
                <w:lang w:val="zh-CN" w:bidi="zh-CN"/>
              </w:rPr>
            </w:pPr>
            <w:r>
              <w:rPr>
                <w:rFonts w:hint="eastAsia"/>
              </w:rPr>
              <w:t>0.018</w:t>
            </w:r>
          </w:p>
        </w:tc>
        <w:tc>
          <w:tcPr>
            <w:tcW w:w="1025" w:type="dxa"/>
            <w:tcBorders>
              <w:tl2br w:val="nil"/>
              <w:tr2bl w:val="nil"/>
            </w:tcBorders>
            <w:vAlign w:val="center"/>
          </w:tcPr>
          <w:p w14:paraId="63285B72" w14:textId="77777777" w:rsidR="003E78AB" w:rsidRDefault="00010BF9">
            <w:pPr>
              <w:pStyle w:val="B1"/>
              <w:widowControl w:val="0"/>
              <w:rPr>
                <w:rFonts w:cs="Times New Roman"/>
                <w:kern w:val="2"/>
                <w:szCs w:val="21"/>
              </w:rPr>
            </w:pPr>
            <w:r>
              <w:rPr>
                <w:rFonts w:cs="Times New Roman" w:hint="eastAsia"/>
                <w:szCs w:val="21"/>
              </w:rPr>
              <w:t>5.1</w:t>
            </w:r>
          </w:p>
        </w:tc>
        <w:tc>
          <w:tcPr>
            <w:tcW w:w="1054" w:type="dxa"/>
            <w:tcBorders>
              <w:tl2br w:val="nil"/>
              <w:tr2bl w:val="nil"/>
            </w:tcBorders>
            <w:vAlign w:val="center"/>
          </w:tcPr>
          <w:p w14:paraId="1E491675" w14:textId="77777777" w:rsidR="003E78AB" w:rsidRDefault="00010BF9">
            <w:pPr>
              <w:pStyle w:val="B1"/>
              <w:widowControl w:val="0"/>
              <w:rPr>
                <w:rFonts w:cs="Times New Roman"/>
                <w:kern w:val="2"/>
                <w:szCs w:val="21"/>
                <w:lang w:val="zh-CN" w:bidi="zh-CN"/>
              </w:rPr>
            </w:pPr>
            <w:r>
              <w:rPr>
                <w:rFonts w:hint="eastAsia"/>
              </w:rPr>
              <w:t>0.051</w:t>
            </w:r>
          </w:p>
        </w:tc>
        <w:tc>
          <w:tcPr>
            <w:tcW w:w="436" w:type="pct"/>
            <w:tcBorders>
              <w:tl2br w:val="nil"/>
              <w:tr2bl w:val="nil"/>
            </w:tcBorders>
            <w:vAlign w:val="center"/>
          </w:tcPr>
          <w:p w14:paraId="74EF4B83" w14:textId="77777777" w:rsidR="003E78AB" w:rsidRDefault="00010BF9">
            <w:pPr>
              <w:spacing w:line="360" w:lineRule="exact"/>
              <w:ind w:firstLineChars="0" w:firstLine="0"/>
              <w:jc w:val="center"/>
              <w:rPr>
                <w:kern w:val="2"/>
                <w:sz w:val="21"/>
                <w:szCs w:val="21"/>
              </w:rPr>
            </w:pPr>
            <w:r>
              <w:rPr>
                <w:kern w:val="2"/>
                <w:sz w:val="21"/>
                <w:szCs w:val="21"/>
              </w:rPr>
              <w:t>0.1</w:t>
            </w:r>
          </w:p>
        </w:tc>
      </w:tr>
      <w:tr w:rsidR="003E78AB" w14:paraId="339AB34E" w14:textId="77777777">
        <w:trPr>
          <w:trHeight w:val="397"/>
        </w:trPr>
        <w:tc>
          <w:tcPr>
            <w:tcW w:w="184" w:type="pct"/>
            <w:tcBorders>
              <w:tl2br w:val="nil"/>
              <w:tr2bl w:val="nil"/>
            </w:tcBorders>
            <w:vAlign w:val="center"/>
          </w:tcPr>
          <w:p w14:paraId="39192C5D" w14:textId="77777777" w:rsidR="003E78AB" w:rsidRDefault="00010BF9">
            <w:pPr>
              <w:spacing w:line="360" w:lineRule="exact"/>
              <w:ind w:firstLineChars="0" w:firstLine="0"/>
              <w:jc w:val="center"/>
              <w:rPr>
                <w:kern w:val="2"/>
                <w:sz w:val="21"/>
                <w:szCs w:val="21"/>
              </w:rPr>
            </w:pPr>
            <w:r>
              <w:rPr>
                <w:kern w:val="2"/>
                <w:sz w:val="21"/>
                <w:szCs w:val="21"/>
              </w:rPr>
              <w:t>30</w:t>
            </w:r>
          </w:p>
        </w:tc>
        <w:tc>
          <w:tcPr>
            <w:tcW w:w="727" w:type="pct"/>
            <w:tcBorders>
              <w:tl2br w:val="nil"/>
              <w:tr2bl w:val="nil"/>
            </w:tcBorders>
            <w:vAlign w:val="center"/>
          </w:tcPr>
          <w:p w14:paraId="15C7C4F4" w14:textId="77777777" w:rsidR="003E78AB" w:rsidRDefault="00010BF9">
            <w:pPr>
              <w:spacing w:line="360" w:lineRule="exact"/>
              <w:ind w:firstLineChars="0" w:firstLine="0"/>
              <w:jc w:val="center"/>
              <w:rPr>
                <w:kern w:val="2"/>
                <w:sz w:val="21"/>
                <w:szCs w:val="21"/>
              </w:rPr>
            </w:pPr>
            <w:r>
              <w:rPr>
                <w:kern w:val="2"/>
                <w:sz w:val="21"/>
                <w:szCs w:val="21"/>
              </w:rPr>
              <w:t>硫化物</w:t>
            </w:r>
          </w:p>
        </w:tc>
        <w:tc>
          <w:tcPr>
            <w:tcW w:w="362" w:type="pct"/>
            <w:tcBorders>
              <w:tl2br w:val="nil"/>
              <w:tr2bl w:val="nil"/>
            </w:tcBorders>
            <w:vAlign w:val="center"/>
          </w:tcPr>
          <w:p w14:paraId="2BDB7DF6"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1E7C1E7C"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1AAA45E7"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11487401"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23970FF9" w14:textId="77777777" w:rsidR="003E78AB" w:rsidRDefault="00010BF9">
            <w:pPr>
              <w:spacing w:line="360" w:lineRule="exact"/>
              <w:ind w:firstLineChars="0" w:firstLine="0"/>
              <w:jc w:val="center"/>
              <w:rPr>
                <w:kern w:val="2"/>
                <w:sz w:val="21"/>
                <w:szCs w:val="21"/>
              </w:rPr>
            </w:pPr>
            <w:r>
              <w:rPr>
                <w:kern w:val="2"/>
                <w:sz w:val="21"/>
                <w:szCs w:val="21"/>
              </w:rPr>
              <w:t>ND</w:t>
            </w:r>
          </w:p>
        </w:tc>
        <w:tc>
          <w:tcPr>
            <w:tcW w:w="366" w:type="pct"/>
            <w:tcBorders>
              <w:tl2br w:val="nil"/>
              <w:tr2bl w:val="nil"/>
            </w:tcBorders>
            <w:vAlign w:val="center"/>
          </w:tcPr>
          <w:p w14:paraId="754C937A"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15C2AF3A"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68C8F9F1"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01298366" w14:textId="77777777" w:rsidR="003E78AB" w:rsidRDefault="00010BF9">
            <w:pPr>
              <w:spacing w:line="360" w:lineRule="exact"/>
              <w:ind w:firstLineChars="0" w:firstLine="0"/>
              <w:jc w:val="center"/>
              <w:rPr>
                <w:kern w:val="2"/>
                <w:sz w:val="21"/>
                <w:szCs w:val="21"/>
              </w:rPr>
            </w:pPr>
            <w:r>
              <w:rPr>
                <w:kern w:val="2"/>
                <w:sz w:val="21"/>
                <w:szCs w:val="21"/>
              </w:rPr>
              <w:t>/</w:t>
            </w:r>
          </w:p>
        </w:tc>
        <w:tc>
          <w:tcPr>
            <w:tcW w:w="372" w:type="pct"/>
            <w:tcBorders>
              <w:tl2br w:val="nil"/>
              <w:tr2bl w:val="nil"/>
            </w:tcBorders>
            <w:vAlign w:val="center"/>
          </w:tcPr>
          <w:p w14:paraId="30A2824C"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656D77D2" w14:textId="77777777" w:rsidR="003E78AB" w:rsidRDefault="00010BF9">
            <w:pPr>
              <w:spacing w:line="360" w:lineRule="exact"/>
              <w:ind w:firstLineChars="0" w:firstLine="0"/>
              <w:jc w:val="center"/>
              <w:rPr>
                <w:kern w:val="2"/>
                <w:sz w:val="21"/>
                <w:szCs w:val="21"/>
              </w:rPr>
            </w:pPr>
            <w:r>
              <w:rPr>
                <w:kern w:val="2"/>
                <w:sz w:val="21"/>
                <w:szCs w:val="21"/>
              </w:rPr>
              <w:t>0.02</w:t>
            </w:r>
          </w:p>
        </w:tc>
      </w:tr>
      <w:tr w:rsidR="003E78AB" w14:paraId="282DD02C" w14:textId="77777777">
        <w:trPr>
          <w:trHeight w:val="397"/>
        </w:trPr>
        <w:tc>
          <w:tcPr>
            <w:tcW w:w="184" w:type="pct"/>
            <w:tcBorders>
              <w:tl2br w:val="nil"/>
              <w:tr2bl w:val="nil"/>
            </w:tcBorders>
            <w:vAlign w:val="center"/>
          </w:tcPr>
          <w:p w14:paraId="50DD8ACE" w14:textId="77777777" w:rsidR="003E78AB" w:rsidRDefault="00010BF9">
            <w:pPr>
              <w:spacing w:line="360" w:lineRule="exact"/>
              <w:ind w:firstLineChars="0" w:firstLine="0"/>
              <w:jc w:val="center"/>
              <w:rPr>
                <w:kern w:val="2"/>
                <w:sz w:val="21"/>
                <w:szCs w:val="21"/>
              </w:rPr>
            </w:pPr>
            <w:r>
              <w:rPr>
                <w:kern w:val="2"/>
                <w:sz w:val="21"/>
                <w:szCs w:val="21"/>
              </w:rPr>
              <w:t>31</w:t>
            </w:r>
          </w:p>
        </w:tc>
        <w:tc>
          <w:tcPr>
            <w:tcW w:w="727" w:type="pct"/>
            <w:tcBorders>
              <w:tl2br w:val="nil"/>
              <w:tr2bl w:val="nil"/>
            </w:tcBorders>
            <w:vAlign w:val="center"/>
          </w:tcPr>
          <w:p w14:paraId="5E22E803" w14:textId="77777777" w:rsidR="003E78AB" w:rsidRDefault="00010BF9">
            <w:pPr>
              <w:spacing w:line="360" w:lineRule="exact"/>
              <w:ind w:firstLineChars="0" w:firstLine="0"/>
              <w:jc w:val="center"/>
              <w:rPr>
                <w:kern w:val="2"/>
                <w:sz w:val="21"/>
                <w:szCs w:val="21"/>
              </w:rPr>
            </w:pPr>
            <w:r>
              <w:rPr>
                <w:kern w:val="2"/>
                <w:sz w:val="21"/>
                <w:szCs w:val="21"/>
              </w:rPr>
              <w:t>甲苯</w:t>
            </w:r>
          </w:p>
        </w:tc>
        <w:tc>
          <w:tcPr>
            <w:tcW w:w="362" w:type="pct"/>
            <w:tcBorders>
              <w:tl2br w:val="nil"/>
              <w:tr2bl w:val="nil"/>
            </w:tcBorders>
            <w:vAlign w:val="center"/>
          </w:tcPr>
          <w:p w14:paraId="7C2B997F"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2FAC983F"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0B596D26"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00BD107E"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702E6266"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3E81DED6" w14:textId="77777777" w:rsidR="003E78AB" w:rsidRDefault="00010BF9">
            <w:pPr>
              <w:spacing w:line="360" w:lineRule="exact"/>
              <w:ind w:firstLineChars="0" w:firstLine="0"/>
              <w:jc w:val="center"/>
              <w:rPr>
                <w:kern w:val="2"/>
                <w:sz w:val="21"/>
                <w:szCs w:val="21"/>
              </w:rPr>
            </w:pPr>
            <w:r>
              <w:rPr>
                <w:kern w:val="2"/>
                <w:sz w:val="21"/>
                <w:szCs w:val="21"/>
              </w:rPr>
              <w:t>/</w:t>
            </w:r>
          </w:p>
        </w:tc>
        <w:tc>
          <w:tcPr>
            <w:tcW w:w="362" w:type="pct"/>
            <w:tcBorders>
              <w:tl2br w:val="nil"/>
              <w:tr2bl w:val="nil"/>
            </w:tcBorders>
            <w:vAlign w:val="center"/>
          </w:tcPr>
          <w:p w14:paraId="174E9FD2" w14:textId="77777777" w:rsidR="003E78AB" w:rsidRDefault="00010BF9">
            <w:pPr>
              <w:spacing w:line="360" w:lineRule="exact"/>
              <w:ind w:firstLineChars="0" w:firstLine="0"/>
              <w:jc w:val="center"/>
              <w:rPr>
                <w:kern w:val="2"/>
                <w:sz w:val="21"/>
                <w:szCs w:val="21"/>
              </w:rPr>
            </w:pPr>
            <w:r>
              <w:rPr>
                <w:kern w:val="2"/>
                <w:sz w:val="21"/>
                <w:szCs w:val="21"/>
              </w:rPr>
              <w:t>/</w:t>
            </w:r>
          </w:p>
        </w:tc>
        <w:tc>
          <w:tcPr>
            <w:tcW w:w="366" w:type="pct"/>
            <w:tcBorders>
              <w:tl2br w:val="nil"/>
              <w:tr2bl w:val="nil"/>
            </w:tcBorders>
            <w:vAlign w:val="center"/>
          </w:tcPr>
          <w:p w14:paraId="3E55FA3B"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362" w:type="pct"/>
            <w:tcBorders>
              <w:tl2br w:val="nil"/>
              <w:tr2bl w:val="nil"/>
            </w:tcBorders>
            <w:vAlign w:val="center"/>
          </w:tcPr>
          <w:p w14:paraId="036D7318" w14:textId="77777777" w:rsidR="003E78AB" w:rsidRDefault="00010BF9">
            <w:pPr>
              <w:spacing w:line="360" w:lineRule="exact"/>
              <w:ind w:firstLineChars="0" w:firstLine="0"/>
              <w:jc w:val="center"/>
              <w:rPr>
                <w:kern w:val="2"/>
                <w:sz w:val="21"/>
                <w:szCs w:val="21"/>
              </w:rPr>
            </w:pPr>
            <w:r>
              <w:rPr>
                <w:kern w:val="2"/>
                <w:sz w:val="21"/>
                <w:szCs w:val="21"/>
              </w:rPr>
              <w:t>/</w:t>
            </w:r>
          </w:p>
        </w:tc>
        <w:tc>
          <w:tcPr>
            <w:tcW w:w="372" w:type="pct"/>
            <w:tcBorders>
              <w:tl2br w:val="nil"/>
              <w:tr2bl w:val="nil"/>
            </w:tcBorders>
            <w:vAlign w:val="center"/>
          </w:tcPr>
          <w:p w14:paraId="18E5020A" w14:textId="77777777" w:rsidR="003E78AB" w:rsidRDefault="00010BF9">
            <w:pPr>
              <w:spacing w:line="360" w:lineRule="exact"/>
              <w:ind w:firstLineChars="0" w:firstLine="0"/>
              <w:jc w:val="center"/>
              <w:rPr>
                <w:kern w:val="2"/>
                <w:sz w:val="21"/>
                <w:szCs w:val="21"/>
                <w:lang w:val="zh-CN" w:bidi="zh-CN"/>
              </w:rPr>
            </w:pPr>
            <w:r>
              <w:rPr>
                <w:kern w:val="2"/>
                <w:sz w:val="21"/>
                <w:szCs w:val="21"/>
                <w:lang w:bidi="zh-CN"/>
              </w:rPr>
              <w:t>/</w:t>
            </w:r>
          </w:p>
        </w:tc>
        <w:tc>
          <w:tcPr>
            <w:tcW w:w="436" w:type="pct"/>
            <w:tcBorders>
              <w:tl2br w:val="nil"/>
              <w:tr2bl w:val="nil"/>
            </w:tcBorders>
            <w:vAlign w:val="center"/>
          </w:tcPr>
          <w:p w14:paraId="248BF474" w14:textId="77777777" w:rsidR="003E78AB" w:rsidRDefault="00010BF9">
            <w:pPr>
              <w:spacing w:line="360" w:lineRule="exact"/>
              <w:ind w:firstLineChars="0" w:firstLine="0"/>
              <w:jc w:val="center"/>
              <w:rPr>
                <w:kern w:val="2"/>
                <w:sz w:val="21"/>
                <w:szCs w:val="21"/>
              </w:rPr>
            </w:pPr>
            <w:r>
              <w:rPr>
                <w:kern w:val="2"/>
                <w:sz w:val="21"/>
                <w:szCs w:val="21"/>
              </w:rPr>
              <w:t>0.7</w:t>
            </w:r>
          </w:p>
        </w:tc>
      </w:tr>
      <w:tr w:rsidR="003E78AB" w14:paraId="39587E8F" w14:textId="77777777">
        <w:trPr>
          <w:trHeight w:val="397"/>
        </w:trPr>
        <w:tc>
          <w:tcPr>
            <w:tcW w:w="184" w:type="pct"/>
            <w:tcBorders>
              <w:tl2br w:val="nil"/>
              <w:tr2bl w:val="nil"/>
            </w:tcBorders>
            <w:vAlign w:val="center"/>
          </w:tcPr>
          <w:p w14:paraId="0097ED26" w14:textId="77777777" w:rsidR="003E78AB" w:rsidRDefault="00010BF9">
            <w:pPr>
              <w:spacing w:line="360" w:lineRule="exact"/>
              <w:ind w:firstLineChars="0" w:firstLine="0"/>
              <w:jc w:val="center"/>
              <w:rPr>
                <w:kern w:val="2"/>
                <w:sz w:val="21"/>
                <w:szCs w:val="21"/>
              </w:rPr>
            </w:pPr>
            <w:r>
              <w:rPr>
                <w:rFonts w:hint="eastAsia"/>
                <w:kern w:val="2"/>
                <w:sz w:val="21"/>
                <w:szCs w:val="21"/>
              </w:rPr>
              <w:t>32</w:t>
            </w:r>
          </w:p>
        </w:tc>
        <w:tc>
          <w:tcPr>
            <w:tcW w:w="727" w:type="pct"/>
            <w:tcBorders>
              <w:tl2br w:val="nil"/>
              <w:tr2bl w:val="nil"/>
            </w:tcBorders>
            <w:vAlign w:val="center"/>
          </w:tcPr>
          <w:p w14:paraId="5F717104" w14:textId="77777777" w:rsidR="003E78AB" w:rsidRDefault="00010BF9">
            <w:pPr>
              <w:spacing w:line="360" w:lineRule="exact"/>
              <w:ind w:firstLineChars="0" w:firstLine="0"/>
              <w:jc w:val="center"/>
              <w:rPr>
                <w:kern w:val="2"/>
                <w:sz w:val="21"/>
                <w:szCs w:val="21"/>
              </w:rPr>
            </w:pPr>
            <w:r>
              <w:rPr>
                <w:rFonts w:hint="eastAsia"/>
                <w:kern w:val="2"/>
                <w:sz w:val="21"/>
                <w:szCs w:val="21"/>
              </w:rPr>
              <w:t>钒</w:t>
            </w:r>
          </w:p>
        </w:tc>
        <w:tc>
          <w:tcPr>
            <w:tcW w:w="362" w:type="pct"/>
            <w:tcBorders>
              <w:tl2br w:val="nil"/>
              <w:tr2bl w:val="nil"/>
            </w:tcBorders>
            <w:vAlign w:val="center"/>
          </w:tcPr>
          <w:p w14:paraId="1E0998B9" w14:textId="77777777" w:rsidR="003E78AB" w:rsidRDefault="00010BF9">
            <w:pPr>
              <w:spacing w:line="360" w:lineRule="exact"/>
              <w:ind w:firstLineChars="0" w:firstLine="0"/>
              <w:jc w:val="center"/>
              <w:rPr>
                <w:kern w:val="2"/>
                <w:sz w:val="21"/>
                <w:szCs w:val="21"/>
              </w:rPr>
            </w:pPr>
            <w:r>
              <w:rPr>
                <w:rFonts w:hint="eastAsia"/>
                <w:kern w:val="2"/>
                <w:sz w:val="21"/>
                <w:szCs w:val="21"/>
              </w:rPr>
              <w:t>0.013</w:t>
            </w:r>
          </w:p>
        </w:tc>
        <w:tc>
          <w:tcPr>
            <w:tcW w:w="366" w:type="pct"/>
            <w:tcBorders>
              <w:tl2br w:val="nil"/>
              <w:tr2bl w:val="nil"/>
            </w:tcBorders>
            <w:vAlign w:val="center"/>
          </w:tcPr>
          <w:p w14:paraId="7134B038"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2" w:type="pct"/>
            <w:tcBorders>
              <w:tl2br w:val="nil"/>
              <w:tr2bl w:val="nil"/>
            </w:tcBorders>
            <w:vAlign w:val="center"/>
          </w:tcPr>
          <w:p w14:paraId="0D594B55" w14:textId="77777777" w:rsidR="003E78AB" w:rsidRDefault="00010BF9">
            <w:pPr>
              <w:spacing w:line="360" w:lineRule="exact"/>
              <w:ind w:firstLineChars="0" w:firstLine="0"/>
              <w:jc w:val="center"/>
              <w:rPr>
                <w:kern w:val="2"/>
                <w:sz w:val="21"/>
                <w:szCs w:val="21"/>
              </w:rPr>
            </w:pPr>
            <w:r>
              <w:rPr>
                <w:rFonts w:hint="eastAsia"/>
                <w:kern w:val="2"/>
                <w:sz w:val="21"/>
                <w:szCs w:val="21"/>
              </w:rPr>
              <w:t>0.011</w:t>
            </w:r>
          </w:p>
        </w:tc>
        <w:tc>
          <w:tcPr>
            <w:tcW w:w="366" w:type="pct"/>
            <w:tcBorders>
              <w:tl2br w:val="nil"/>
              <w:tr2bl w:val="nil"/>
            </w:tcBorders>
            <w:vAlign w:val="center"/>
          </w:tcPr>
          <w:p w14:paraId="35ABC070"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2" w:type="pct"/>
            <w:tcBorders>
              <w:tl2br w:val="nil"/>
              <w:tr2bl w:val="nil"/>
            </w:tcBorders>
            <w:vAlign w:val="center"/>
          </w:tcPr>
          <w:p w14:paraId="19026A3F" w14:textId="77777777" w:rsidR="003E78AB" w:rsidRDefault="00010BF9">
            <w:pPr>
              <w:spacing w:line="360" w:lineRule="exact"/>
              <w:ind w:firstLineChars="0" w:firstLine="0"/>
              <w:jc w:val="center"/>
              <w:rPr>
                <w:kern w:val="2"/>
                <w:sz w:val="21"/>
                <w:szCs w:val="21"/>
              </w:rPr>
            </w:pPr>
            <w:r>
              <w:rPr>
                <w:rFonts w:hint="eastAsia"/>
                <w:kern w:val="2"/>
                <w:sz w:val="21"/>
                <w:szCs w:val="21"/>
              </w:rPr>
              <w:t>0.014</w:t>
            </w:r>
          </w:p>
        </w:tc>
        <w:tc>
          <w:tcPr>
            <w:tcW w:w="366" w:type="pct"/>
            <w:tcBorders>
              <w:tl2br w:val="nil"/>
              <w:tr2bl w:val="nil"/>
            </w:tcBorders>
            <w:vAlign w:val="center"/>
          </w:tcPr>
          <w:p w14:paraId="0CB2B966"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2" w:type="pct"/>
            <w:tcBorders>
              <w:tl2br w:val="nil"/>
              <w:tr2bl w:val="nil"/>
            </w:tcBorders>
            <w:vAlign w:val="center"/>
          </w:tcPr>
          <w:p w14:paraId="3F7F2E9C" w14:textId="77777777" w:rsidR="003E78AB" w:rsidRDefault="00010BF9">
            <w:pPr>
              <w:spacing w:line="360" w:lineRule="exact"/>
              <w:ind w:firstLineChars="0" w:firstLine="0"/>
              <w:jc w:val="center"/>
              <w:rPr>
                <w:bCs/>
                <w:sz w:val="21"/>
                <w:szCs w:val="21"/>
                <w:lang w:bidi="ar"/>
              </w:rPr>
            </w:pPr>
            <w:r>
              <w:rPr>
                <w:rFonts w:hint="eastAsia"/>
                <w:bCs/>
                <w:sz w:val="21"/>
                <w:szCs w:val="21"/>
                <w:lang w:bidi="ar"/>
              </w:rPr>
              <w:t>0.013</w:t>
            </w:r>
          </w:p>
        </w:tc>
        <w:tc>
          <w:tcPr>
            <w:tcW w:w="366" w:type="pct"/>
            <w:tcBorders>
              <w:tl2br w:val="nil"/>
              <w:tr2bl w:val="nil"/>
            </w:tcBorders>
            <w:vAlign w:val="center"/>
          </w:tcPr>
          <w:p w14:paraId="0D2BE520"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w:t>
            </w:r>
          </w:p>
        </w:tc>
        <w:tc>
          <w:tcPr>
            <w:tcW w:w="362" w:type="pct"/>
            <w:tcBorders>
              <w:tl2br w:val="nil"/>
              <w:tr2bl w:val="nil"/>
            </w:tcBorders>
            <w:vAlign w:val="center"/>
          </w:tcPr>
          <w:p w14:paraId="6801B6EB" w14:textId="77777777" w:rsidR="003E78AB" w:rsidRDefault="00010BF9">
            <w:pPr>
              <w:spacing w:line="360" w:lineRule="exact"/>
              <w:ind w:firstLineChars="0" w:firstLine="0"/>
              <w:jc w:val="center"/>
              <w:rPr>
                <w:bCs/>
                <w:sz w:val="21"/>
                <w:szCs w:val="21"/>
                <w:lang w:bidi="ar"/>
              </w:rPr>
            </w:pPr>
            <w:r>
              <w:rPr>
                <w:rFonts w:hint="eastAsia"/>
                <w:bCs/>
                <w:sz w:val="21"/>
                <w:szCs w:val="21"/>
                <w:lang w:bidi="ar"/>
              </w:rPr>
              <w:t>0.015</w:t>
            </w:r>
          </w:p>
        </w:tc>
        <w:tc>
          <w:tcPr>
            <w:tcW w:w="372" w:type="pct"/>
            <w:tcBorders>
              <w:tl2br w:val="nil"/>
              <w:tr2bl w:val="nil"/>
            </w:tcBorders>
            <w:vAlign w:val="center"/>
          </w:tcPr>
          <w:p w14:paraId="24D33B5A" w14:textId="77777777" w:rsidR="003E78AB" w:rsidRDefault="00010BF9">
            <w:pPr>
              <w:spacing w:line="360" w:lineRule="exact"/>
              <w:ind w:firstLineChars="0" w:firstLine="0"/>
              <w:jc w:val="center"/>
              <w:rPr>
                <w:kern w:val="2"/>
                <w:sz w:val="21"/>
                <w:szCs w:val="21"/>
                <w:lang w:bidi="zh-CN"/>
              </w:rPr>
            </w:pPr>
            <w:r>
              <w:rPr>
                <w:rFonts w:hint="eastAsia"/>
                <w:kern w:val="2"/>
                <w:sz w:val="21"/>
                <w:szCs w:val="21"/>
                <w:lang w:bidi="zh-CN"/>
              </w:rPr>
              <w:t>/</w:t>
            </w:r>
          </w:p>
        </w:tc>
        <w:tc>
          <w:tcPr>
            <w:tcW w:w="436" w:type="pct"/>
            <w:tcBorders>
              <w:tl2br w:val="nil"/>
              <w:tr2bl w:val="nil"/>
            </w:tcBorders>
            <w:vAlign w:val="center"/>
          </w:tcPr>
          <w:p w14:paraId="5698A756"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r w:rsidR="003E78AB" w14:paraId="62CD5563" w14:textId="77777777">
        <w:trPr>
          <w:trHeight w:val="397"/>
        </w:trPr>
        <w:tc>
          <w:tcPr>
            <w:tcW w:w="184" w:type="pct"/>
            <w:tcBorders>
              <w:tl2br w:val="nil"/>
              <w:tr2bl w:val="nil"/>
            </w:tcBorders>
            <w:vAlign w:val="center"/>
          </w:tcPr>
          <w:p w14:paraId="12FC1882" w14:textId="77777777" w:rsidR="003E78AB" w:rsidRDefault="00010BF9">
            <w:pPr>
              <w:spacing w:line="360" w:lineRule="exact"/>
              <w:ind w:firstLineChars="0" w:firstLine="0"/>
              <w:jc w:val="center"/>
              <w:rPr>
                <w:kern w:val="2"/>
                <w:sz w:val="21"/>
                <w:szCs w:val="21"/>
              </w:rPr>
            </w:pPr>
            <w:r>
              <w:rPr>
                <w:rFonts w:hint="eastAsia"/>
                <w:kern w:val="2"/>
                <w:sz w:val="21"/>
                <w:szCs w:val="21"/>
              </w:rPr>
              <w:t>33</w:t>
            </w:r>
          </w:p>
        </w:tc>
        <w:tc>
          <w:tcPr>
            <w:tcW w:w="727" w:type="pct"/>
            <w:tcBorders>
              <w:tl2br w:val="nil"/>
              <w:tr2bl w:val="nil"/>
            </w:tcBorders>
            <w:vAlign w:val="center"/>
          </w:tcPr>
          <w:p w14:paraId="6C44DD8F" w14:textId="77777777" w:rsidR="003E78AB" w:rsidRDefault="00010BF9">
            <w:pPr>
              <w:spacing w:line="360" w:lineRule="exact"/>
              <w:ind w:firstLineChars="0" w:firstLine="0"/>
              <w:jc w:val="center"/>
              <w:rPr>
                <w:kern w:val="2"/>
                <w:sz w:val="21"/>
                <w:szCs w:val="21"/>
              </w:rPr>
            </w:pPr>
            <w:r>
              <w:rPr>
                <w:rFonts w:hint="eastAsia"/>
                <w:kern w:val="2"/>
                <w:sz w:val="21"/>
                <w:szCs w:val="21"/>
              </w:rPr>
              <w:t>总磷</w:t>
            </w:r>
          </w:p>
        </w:tc>
        <w:tc>
          <w:tcPr>
            <w:tcW w:w="362" w:type="pct"/>
            <w:tcBorders>
              <w:tl2br w:val="nil"/>
              <w:tr2bl w:val="nil"/>
            </w:tcBorders>
            <w:vAlign w:val="center"/>
          </w:tcPr>
          <w:p w14:paraId="28F4A8D8" w14:textId="77777777" w:rsidR="003E78AB" w:rsidRDefault="00010BF9">
            <w:pPr>
              <w:spacing w:line="360" w:lineRule="exact"/>
              <w:ind w:firstLineChars="0" w:firstLine="0"/>
              <w:jc w:val="center"/>
              <w:rPr>
                <w:kern w:val="2"/>
                <w:sz w:val="21"/>
                <w:szCs w:val="21"/>
              </w:rPr>
            </w:pPr>
            <w:r>
              <w:rPr>
                <w:rFonts w:hint="eastAsia"/>
                <w:kern w:val="2"/>
                <w:sz w:val="21"/>
                <w:szCs w:val="21"/>
              </w:rPr>
              <w:t>0.04L</w:t>
            </w:r>
          </w:p>
        </w:tc>
        <w:tc>
          <w:tcPr>
            <w:tcW w:w="366" w:type="pct"/>
            <w:tcBorders>
              <w:tl2br w:val="nil"/>
              <w:tr2bl w:val="nil"/>
            </w:tcBorders>
            <w:vAlign w:val="center"/>
          </w:tcPr>
          <w:p w14:paraId="4CFE1D8A"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2" w:type="pct"/>
            <w:tcBorders>
              <w:tl2br w:val="nil"/>
              <w:tr2bl w:val="nil"/>
            </w:tcBorders>
            <w:vAlign w:val="center"/>
          </w:tcPr>
          <w:p w14:paraId="4BC02461" w14:textId="77777777" w:rsidR="003E78AB" w:rsidRDefault="00010BF9">
            <w:pPr>
              <w:spacing w:line="360" w:lineRule="exact"/>
              <w:ind w:firstLineChars="0" w:firstLine="0"/>
              <w:jc w:val="center"/>
              <w:rPr>
                <w:kern w:val="2"/>
                <w:sz w:val="21"/>
                <w:szCs w:val="21"/>
              </w:rPr>
            </w:pPr>
            <w:r>
              <w:rPr>
                <w:rFonts w:hint="eastAsia"/>
                <w:kern w:val="2"/>
                <w:sz w:val="21"/>
                <w:szCs w:val="21"/>
              </w:rPr>
              <w:t>0.04L</w:t>
            </w:r>
          </w:p>
        </w:tc>
        <w:tc>
          <w:tcPr>
            <w:tcW w:w="366" w:type="pct"/>
            <w:tcBorders>
              <w:tl2br w:val="nil"/>
              <w:tr2bl w:val="nil"/>
            </w:tcBorders>
            <w:vAlign w:val="center"/>
          </w:tcPr>
          <w:p w14:paraId="254070A3"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2" w:type="pct"/>
            <w:tcBorders>
              <w:tl2br w:val="nil"/>
              <w:tr2bl w:val="nil"/>
            </w:tcBorders>
            <w:vAlign w:val="center"/>
          </w:tcPr>
          <w:p w14:paraId="342DD70F" w14:textId="77777777" w:rsidR="003E78AB" w:rsidRDefault="00010BF9">
            <w:pPr>
              <w:spacing w:line="360" w:lineRule="exact"/>
              <w:ind w:firstLineChars="0" w:firstLine="0"/>
              <w:jc w:val="center"/>
              <w:rPr>
                <w:kern w:val="2"/>
                <w:sz w:val="21"/>
                <w:szCs w:val="21"/>
              </w:rPr>
            </w:pPr>
            <w:r>
              <w:rPr>
                <w:rFonts w:hint="eastAsia"/>
                <w:kern w:val="2"/>
                <w:sz w:val="21"/>
                <w:szCs w:val="21"/>
              </w:rPr>
              <w:t>0.04L</w:t>
            </w:r>
          </w:p>
        </w:tc>
        <w:tc>
          <w:tcPr>
            <w:tcW w:w="366" w:type="pct"/>
            <w:tcBorders>
              <w:tl2br w:val="nil"/>
              <w:tr2bl w:val="nil"/>
            </w:tcBorders>
            <w:vAlign w:val="center"/>
          </w:tcPr>
          <w:p w14:paraId="5DA03CFA"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62" w:type="pct"/>
            <w:tcBorders>
              <w:tl2br w:val="nil"/>
              <w:tr2bl w:val="nil"/>
            </w:tcBorders>
            <w:vAlign w:val="center"/>
          </w:tcPr>
          <w:p w14:paraId="67503D8D" w14:textId="77777777" w:rsidR="003E78AB" w:rsidRDefault="00010BF9">
            <w:pPr>
              <w:spacing w:line="360" w:lineRule="exact"/>
              <w:ind w:firstLineChars="0" w:firstLine="0"/>
              <w:jc w:val="center"/>
              <w:rPr>
                <w:bCs/>
                <w:sz w:val="21"/>
                <w:szCs w:val="21"/>
                <w:lang w:bidi="ar"/>
              </w:rPr>
            </w:pPr>
            <w:r>
              <w:rPr>
                <w:rFonts w:hint="eastAsia"/>
                <w:kern w:val="2"/>
                <w:sz w:val="21"/>
                <w:szCs w:val="21"/>
              </w:rPr>
              <w:t>0.04L</w:t>
            </w:r>
          </w:p>
        </w:tc>
        <w:tc>
          <w:tcPr>
            <w:tcW w:w="366" w:type="pct"/>
            <w:tcBorders>
              <w:tl2br w:val="nil"/>
              <w:tr2bl w:val="nil"/>
            </w:tcBorders>
            <w:vAlign w:val="center"/>
          </w:tcPr>
          <w:p w14:paraId="0C56384C" w14:textId="77777777" w:rsidR="003E78AB" w:rsidRDefault="00010BF9">
            <w:pPr>
              <w:spacing w:line="360" w:lineRule="exact"/>
              <w:ind w:firstLineChars="0" w:firstLine="0"/>
              <w:jc w:val="center"/>
              <w:rPr>
                <w:kern w:val="2"/>
                <w:sz w:val="21"/>
                <w:szCs w:val="21"/>
                <w:lang w:bidi="zh-CN"/>
              </w:rPr>
            </w:pPr>
            <w:r>
              <w:rPr>
                <w:rFonts w:hint="eastAsia"/>
                <w:kern w:val="2"/>
                <w:sz w:val="21"/>
                <w:szCs w:val="21"/>
              </w:rPr>
              <w:t>/</w:t>
            </w:r>
          </w:p>
        </w:tc>
        <w:tc>
          <w:tcPr>
            <w:tcW w:w="362" w:type="pct"/>
            <w:tcBorders>
              <w:tl2br w:val="nil"/>
              <w:tr2bl w:val="nil"/>
            </w:tcBorders>
            <w:vAlign w:val="center"/>
          </w:tcPr>
          <w:p w14:paraId="62BA6891" w14:textId="77777777" w:rsidR="003E78AB" w:rsidRDefault="00010BF9">
            <w:pPr>
              <w:spacing w:line="360" w:lineRule="exact"/>
              <w:ind w:firstLineChars="0" w:firstLine="0"/>
              <w:jc w:val="center"/>
              <w:rPr>
                <w:bCs/>
                <w:sz w:val="21"/>
                <w:szCs w:val="21"/>
                <w:lang w:bidi="ar"/>
              </w:rPr>
            </w:pPr>
            <w:r>
              <w:rPr>
                <w:rFonts w:hint="eastAsia"/>
                <w:kern w:val="2"/>
                <w:sz w:val="21"/>
                <w:szCs w:val="21"/>
              </w:rPr>
              <w:t>0.04L</w:t>
            </w:r>
          </w:p>
        </w:tc>
        <w:tc>
          <w:tcPr>
            <w:tcW w:w="372" w:type="pct"/>
            <w:tcBorders>
              <w:tl2br w:val="nil"/>
              <w:tr2bl w:val="nil"/>
            </w:tcBorders>
            <w:vAlign w:val="center"/>
          </w:tcPr>
          <w:p w14:paraId="244A5BEB" w14:textId="77777777" w:rsidR="003E78AB" w:rsidRDefault="00010BF9">
            <w:pPr>
              <w:spacing w:line="360" w:lineRule="exact"/>
              <w:ind w:firstLineChars="0" w:firstLine="0"/>
              <w:jc w:val="center"/>
              <w:rPr>
                <w:kern w:val="2"/>
                <w:sz w:val="21"/>
                <w:szCs w:val="21"/>
                <w:lang w:bidi="zh-CN"/>
              </w:rPr>
            </w:pPr>
            <w:r>
              <w:rPr>
                <w:rFonts w:hint="eastAsia"/>
                <w:kern w:val="2"/>
                <w:sz w:val="21"/>
                <w:szCs w:val="21"/>
              </w:rPr>
              <w:t>/</w:t>
            </w:r>
          </w:p>
        </w:tc>
        <w:tc>
          <w:tcPr>
            <w:tcW w:w="436" w:type="pct"/>
            <w:tcBorders>
              <w:tl2br w:val="nil"/>
              <w:tr2bl w:val="nil"/>
            </w:tcBorders>
            <w:vAlign w:val="center"/>
          </w:tcPr>
          <w:p w14:paraId="53B506A9"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r w:rsidR="003E78AB" w14:paraId="29BC3783" w14:textId="77777777">
        <w:trPr>
          <w:trHeight w:val="397"/>
        </w:trPr>
        <w:tc>
          <w:tcPr>
            <w:tcW w:w="5000" w:type="pct"/>
            <w:gridSpan w:val="13"/>
            <w:tcBorders>
              <w:tl2br w:val="nil"/>
              <w:tr2bl w:val="nil"/>
            </w:tcBorders>
            <w:vAlign w:val="center"/>
          </w:tcPr>
          <w:p w14:paraId="7A51A88E" w14:textId="77777777" w:rsidR="003E78AB" w:rsidRDefault="00010BF9">
            <w:pPr>
              <w:spacing w:line="360" w:lineRule="exact"/>
              <w:ind w:firstLineChars="0" w:firstLine="0"/>
              <w:jc w:val="left"/>
              <w:rPr>
                <w:kern w:val="2"/>
                <w:sz w:val="21"/>
                <w:szCs w:val="21"/>
              </w:rPr>
            </w:pPr>
            <w:r>
              <w:rPr>
                <w:kern w:val="2"/>
                <w:sz w:val="21"/>
                <w:szCs w:val="21"/>
              </w:rPr>
              <w:t>ND</w:t>
            </w:r>
            <w:r>
              <w:rPr>
                <w:kern w:val="2"/>
                <w:sz w:val="21"/>
                <w:szCs w:val="21"/>
              </w:rPr>
              <w:t>表未检出</w:t>
            </w:r>
          </w:p>
        </w:tc>
      </w:tr>
    </w:tbl>
    <w:p w14:paraId="34AA7408" w14:textId="77777777" w:rsidR="003E78AB" w:rsidRDefault="00010BF9">
      <w:pPr>
        <w:pStyle w:val="a0"/>
        <w:ind w:left="425" w:hanging="425"/>
        <w:rPr>
          <w:rFonts w:hint="default"/>
        </w:rPr>
      </w:pPr>
      <w:r>
        <w:t>地下水监测结果一览表</w:t>
      </w:r>
    </w:p>
    <w:tbl>
      <w:tblPr>
        <w:tblW w:w="498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689"/>
        <w:gridCol w:w="2285"/>
        <w:gridCol w:w="2285"/>
        <w:gridCol w:w="1246"/>
        <w:gridCol w:w="1039"/>
        <w:gridCol w:w="1760"/>
        <w:gridCol w:w="525"/>
        <w:gridCol w:w="2294"/>
      </w:tblGrid>
      <w:tr w:rsidR="003E78AB" w14:paraId="2E2003D6" w14:textId="77777777">
        <w:trPr>
          <w:cantSplit/>
          <w:trHeight w:val="455"/>
          <w:jc w:val="center"/>
        </w:trPr>
        <w:tc>
          <w:tcPr>
            <w:tcW w:w="952" w:type="pct"/>
            <w:vAlign w:val="center"/>
          </w:tcPr>
          <w:p w14:paraId="0A322FC6" w14:textId="77777777" w:rsidR="003E78AB" w:rsidRDefault="00010BF9">
            <w:pPr>
              <w:pStyle w:val="B1"/>
              <w:widowControl w:val="0"/>
            </w:pPr>
            <w:r>
              <w:t>样品类型</w:t>
            </w:r>
          </w:p>
        </w:tc>
        <w:tc>
          <w:tcPr>
            <w:tcW w:w="2059" w:type="pct"/>
            <w:gridSpan w:val="3"/>
            <w:vAlign w:val="center"/>
          </w:tcPr>
          <w:p w14:paraId="425F82BD" w14:textId="77777777" w:rsidR="003E78AB" w:rsidRDefault="00010BF9">
            <w:pPr>
              <w:pStyle w:val="B1"/>
              <w:widowControl w:val="0"/>
            </w:pPr>
            <w:r>
              <w:rPr>
                <w:rFonts w:hint="eastAsia"/>
              </w:rPr>
              <w:t>地下水</w:t>
            </w:r>
          </w:p>
        </w:tc>
        <w:tc>
          <w:tcPr>
            <w:tcW w:w="991" w:type="pct"/>
            <w:gridSpan w:val="2"/>
            <w:vAlign w:val="center"/>
          </w:tcPr>
          <w:p w14:paraId="65277542" w14:textId="77777777" w:rsidR="003E78AB" w:rsidRDefault="00010BF9">
            <w:pPr>
              <w:pStyle w:val="B1"/>
              <w:widowControl w:val="0"/>
            </w:pPr>
            <w:r>
              <w:t>样品数量</w:t>
            </w:r>
            <w:r>
              <w:rPr>
                <w:rFonts w:hint="eastAsia"/>
              </w:rPr>
              <w:t>（批）</w:t>
            </w:r>
          </w:p>
        </w:tc>
        <w:tc>
          <w:tcPr>
            <w:tcW w:w="997" w:type="pct"/>
            <w:gridSpan w:val="2"/>
            <w:vAlign w:val="center"/>
          </w:tcPr>
          <w:p w14:paraId="35CA54B2" w14:textId="77777777" w:rsidR="003E78AB" w:rsidRDefault="00010BF9">
            <w:pPr>
              <w:pStyle w:val="B1"/>
              <w:widowControl w:val="0"/>
            </w:pPr>
            <w:r>
              <w:rPr>
                <w:rFonts w:hint="eastAsia"/>
              </w:rPr>
              <w:t>5</w:t>
            </w:r>
          </w:p>
        </w:tc>
      </w:tr>
      <w:tr w:rsidR="003E78AB" w14:paraId="51DD27C2" w14:textId="77777777">
        <w:trPr>
          <w:cantSplit/>
          <w:trHeight w:val="364"/>
          <w:jc w:val="center"/>
        </w:trPr>
        <w:tc>
          <w:tcPr>
            <w:tcW w:w="952" w:type="pct"/>
            <w:vAlign w:val="center"/>
          </w:tcPr>
          <w:p w14:paraId="1D3FF40C" w14:textId="77777777" w:rsidR="003E78AB" w:rsidRDefault="00010BF9">
            <w:pPr>
              <w:pStyle w:val="B1"/>
              <w:widowControl w:val="0"/>
            </w:pPr>
            <w:r>
              <w:t>采样日期</w:t>
            </w:r>
          </w:p>
        </w:tc>
        <w:tc>
          <w:tcPr>
            <w:tcW w:w="2059" w:type="pct"/>
            <w:gridSpan w:val="3"/>
            <w:vAlign w:val="center"/>
          </w:tcPr>
          <w:p w14:paraId="398238E4" w14:textId="77777777" w:rsidR="003E78AB" w:rsidRDefault="00010BF9">
            <w:pPr>
              <w:pStyle w:val="B1"/>
              <w:widowControl w:val="0"/>
            </w:pPr>
            <w:r>
              <w:rPr>
                <w:rFonts w:hint="eastAsia"/>
              </w:rPr>
              <w:t>2024.12.18</w:t>
            </w:r>
          </w:p>
        </w:tc>
        <w:tc>
          <w:tcPr>
            <w:tcW w:w="991" w:type="pct"/>
            <w:gridSpan w:val="2"/>
            <w:vAlign w:val="center"/>
          </w:tcPr>
          <w:p w14:paraId="53CD5613" w14:textId="77777777" w:rsidR="003E78AB" w:rsidRDefault="00010BF9">
            <w:pPr>
              <w:pStyle w:val="B1"/>
              <w:widowControl w:val="0"/>
            </w:pPr>
            <w:r>
              <w:t>分析日期</w:t>
            </w:r>
          </w:p>
        </w:tc>
        <w:tc>
          <w:tcPr>
            <w:tcW w:w="997" w:type="pct"/>
            <w:gridSpan w:val="2"/>
            <w:vAlign w:val="center"/>
          </w:tcPr>
          <w:p w14:paraId="076BE92D" w14:textId="77777777" w:rsidR="003E78AB" w:rsidRDefault="00010BF9">
            <w:pPr>
              <w:pStyle w:val="B1"/>
              <w:widowControl w:val="0"/>
            </w:pPr>
            <w:r>
              <w:rPr>
                <w:rFonts w:hint="eastAsia"/>
              </w:rPr>
              <w:t>2024.12.18</w:t>
            </w:r>
          </w:p>
        </w:tc>
      </w:tr>
      <w:tr w:rsidR="003E78AB" w14:paraId="4374D256" w14:textId="77777777">
        <w:trPr>
          <w:cantSplit/>
          <w:trHeight w:val="488"/>
          <w:jc w:val="center"/>
        </w:trPr>
        <w:tc>
          <w:tcPr>
            <w:tcW w:w="952" w:type="pct"/>
            <w:vAlign w:val="center"/>
          </w:tcPr>
          <w:p w14:paraId="2C4B1119" w14:textId="77777777" w:rsidR="003E78AB" w:rsidRDefault="00010BF9">
            <w:pPr>
              <w:pStyle w:val="B1"/>
              <w:widowControl w:val="0"/>
            </w:pPr>
            <w:r>
              <w:t>采样地点</w:t>
            </w:r>
          </w:p>
        </w:tc>
        <w:tc>
          <w:tcPr>
            <w:tcW w:w="809" w:type="pct"/>
            <w:vAlign w:val="center"/>
          </w:tcPr>
          <w:p w14:paraId="56DBBAD5" w14:textId="77777777" w:rsidR="003E78AB" w:rsidRDefault="00010BF9">
            <w:pPr>
              <w:pStyle w:val="B1"/>
              <w:widowControl w:val="0"/>
            </w:pPr>
            <w:r>
              <w:rPr>
                <w:rFonts w:hint="eastAsia"/>
              </w:rPr>
              <w:t>W6</w:t>
            </w:r>
          </w:p>
        </w:tc>
        <w:tc>
          <w:tcPr>
            <w:tcW w:w="809" w:type="pct"/>
            <w:vAlign w:val="center"/>
          </w:tcPr>
          <w:p w14:paraId="469B538C" w14:textId="77777777" w:rsidR="003E78AB" w:rsidRDefault="00010BF9">
            <w:pPr>
              <w:pStyle w:val="B1"/>
              <w:widowControl w:val="0"/>
            </w:pPr>
            <w:r>
              <w:rPr>
                <w:rFonts w:hint="eastAsia"/>
              </w:rPr>
              <w:t>W7</w:t>
            </w:r>
          </w:p>
        </w:tc>
        <w:tc>
          <w:tcPr>
            <w:tcW w:w="809" w:type="pct"/>
            <w:gridSpan w:val="2"/>
            <w:vAlign w:val="center"/>
          </w:tcPr>
          <w:p w14:paraId="4FE0F75A" w14:textId="77777777" w:rsidR="003E78AB" w:rsidRDefault="00010BF9">
            <w:pPr>
              <w:pStyle w:val="B1"/>
              <w:widowControl w:val="0"/>
            </w:pPr>
            <w:r>
              <w:rPr>
                <w:rFonts w:hint="eastAsia"/>
              </w:rPr>
              <w:t>W8</w:t>
            </w:r>
          </w:p>
        </w:tc>
        <w:tc>
          <w:tcPr>
            <w:tcW w:w="809" w:type="pct"/>
            <w:gridSpan w:val="2"/>
            <w:vAlign w:val="center"/>
          </w:tcPr>
          <w:p w14:paraId="047E1B34" w14:textId="77777777" w:rsidR="003E78AB" w:rsidRDefault="00010BF9">
            <w:pPr>
              <w:pStyle w:val="B1"/>
              <w:widowControl w:val="0"/>
            </w:pPr>
            <w:r>
              <w:rPr>
                <w:rFonts w:hint="eastAsia"/>
              </w:rPr>
              <w:t>W9</w:t>
            </w:r>
          </w:p>
        </w:tc>
        <w:tc>
          <w:tcPr>
            <w:tcW w:w="811" w:type="pct"/>
            <w:vAlign w:val="center"/>
          </w:tcPr>
          <w:p w14:paraId="74E655C1" w14:textId="77777777" w:rsidR="003E78AB" w:rsidRDefault="00010BF9">
            <w:pPr>
              <w:pStyle w:val="B1"/>
              <w:widowControl w:val="0"/>
            </w:pPr>
            <w:r>
              <w:rPr>
                <w:rFonts w:hint="eastAsia"/>
              </w:rPr>
              <w:t>W10</w:t>
            </w:r>
          </w:p>
        </w:tc>
      </w:tr>
      <w:tr w:rsidR="003E78AB" w14:paraId="37E674F2" w14:textId="77777777">
        <w:trPr>
          <w:cantSplit/>
          <w:trHeight w:val="446"/>
          <w:jc w:val="center"/>
        </w:trPr>
        <w:tc>
          <w:tcPr>
            <w:tcW w:w="952" w:type="pct"/>
            <w:vAlign w:val="center"/>
          </w:tcPr>
          <w:p w14:paraId="73B60594" w14:textId="77777777" w:rsidR="003E78AB" w:rsidRDefault="00010BF9">
            <w:pPr>
              <w:pStyle w:val="B1"/>
              <w:widowControl w:val="0"/>
            </w:pPr>
            <w:r>
              <w:t>样品编号</w:t>
            </w:r>
          </w:p>
        </w:tc>
        <w:tc>
          <w:tcPr>
            <w:tcW w:w="809" w:type="pct"/>
            <w:vAlign w:val="center"/>
          </w:tcPr>
          <w:p w14:paraId="290104E4" w14:textId="77777777" w:rsidR="003E78AB" w:rsidRDefault="00010BF9">
            <w:pPr>
              <w:pStyle w:val="B1"/>
              <w:widowControl w:val="0"/>
            </w:pPr>
            <w:r>
              <w:rPr>
                <w:rFonts w:hint="eastAsia"/>
              </w:rPr>
              <w:t>D6-1-1</w:t>
            </w:r>
          </w:p>
        </w:tc>
        <w:tc>
          <w:tcPr>
            <w:tcW w:w="809" w:type="pct"/>
            <w:vAlign w:val="center"/>
          </w:tcPr>
          <w:p w14:paraId="272557B3" w14:textId="77777777" w:rsidR="003E78AB" w:rsidRDefault="00010BF9">
            <w:pPr>
              <w:pStyle w:val="B1"/>
              <w:widowControl w:val="0"/>
            </w:pPr>
            <w:r>
              <w:rPr>
                <w:rFonts w:hint="eastAsia"/>
              </w:rPr>
              <w:t>D7-1-1</w:t>
            </w:r>
          </w:p>
        </w:tc>
        <w:tc>
          <w:tcPr>
            <w:tcW w:w="809" w:type="pct"/>
            <w:gridSpan w:val="2"/>
            <w:vAlign w:val="center"/>
          </w:tcPr>
          <w:p w14:paraId="5EA242B2" w14:textId="77777777" w:rsidR="003E78AB" w:rsidRDefault="00010BF9">
            <w:pPr>
              <w:pStyle w:val="B1"/>
              <w:widowControl w:val="0"/>
            </w:pPr>
            <w:r>
              <w:rPr>
                <w:rFonts w:hint="eastAsia"/>
              </w:rPr>
              <w:t>D8-1-1</w:t>
            </w:r>
          </w:p>
        </w:tc>
        <w:tc>
          <w:tcPr>
            <w:tcW w:w="809" w:type="pct"/>
            <w:gridSpan w:val="2"/>
            <w:vAlign w:val="center"/>
          </w:tcPr>
          <w:p w14:paraId="11E58A3F" w14:textId="77777777" w:rsidR="003E78AB" w:rsidRDefault="00010BF9">
            <w:pPr>
              <w:pStyle w:val="B1"/>
              <w:widowControl w:val="0"/>
            </w:pPr>
            <w:r>
              <w:rPr>
                <w:rFonts w:hint="eastAsia"/>
              </w:rPr>
              <w:t>D9-1-1</w:t>
            </w:r>
          </w:p>
        </w:tc>
        <w:tc>
          <w:tcPr>
            <w:tcW w:w="811" w:type="pct"/>
            <w:vAlign w:val="center"/>
          </w:tcPr>
          <w:p w14:paraId="2DF555B9" w14:textId="77777777" w:rsidR="003E78AB" w:rsidRDefault="00010BF9">
            <w:pPr>
              <w:pStyle w:val="B1"/>
              <w:widowControl w:val="0"/>
            </w:pPr>
            <w:r>
              <w:rPr>
                <w:rFonts w:hint="eastAsia"/>
              </w:rPr>
              <w:t>D9-1-1</w:t>
            </w:r>
          </w:p>
        </w:tc>
      </w:tr>
      <w:tr w:rsidR="003E78AB" w14:paraId="59F51FE6" w14:textId="77777777">
        <w:trPr>
          <w:cantSplit/>
          <w:trHeight w:val="449"/>
          <w:jc w:val="center"/>
        </w:trPr>
        <w:tc>
          <w:tcPr>
            <w:tcW w:w="952" w:type="pct"/>
            <w:vAlign w:val="center"/>
          </w:tcPr>
          <w:p w14:paraId="1F21407B" w14:textId="77777777" w:rsidR="003E78AB" w:rsidRDefault="00010BF9">
            <w:pPr>
              <w:pStyle w:val="B1"/>
              <w:widowControl w:val="0"/>
            </w:pPr>
            <w:r>
              <w:t>点位坐标</w:t>
            </w:r>
          </w:p>
        </w:tc>
        <w:tc>
          <w:tcPr>
            <w:tcW w:w="809" w:type="pct"/>
            <w:vAlign w:val="center"/>
          </w:tcPr>
          <w:p w14:paraId="59B37CFB" w14:textId="77777777" w:rsidR="003E78AB" w:rsidRDefault="00010BF9">
            <w:pPr>
              <w:pStyle w:val="B1"/>
              <w:widowControl w:val="0"/>
            </w:pPr>
            <w:r>
              <w:t>N:</w:t>
            </w:r>
            <w:r>
              <w:rPr>
                <w:rFonts w:hint="eastAsia"/>
              </w:rPr>
              <w:t>42</w:t>
            </w:r>
            <w:r>
              <w:t>°</w:t>
            </w:r>
            <w:r>
              <w:rPr>
                <w:rFonts w:hint="eastAsia"/>
              </w:rPr>
              <w:t>44</w:t>
            </w:r>
            <w:r>
              <w:t>′</w:t>
            </w:r>
            <w:r>
              <w:rPr>
                <w:rFonts w:hint="eastAsia"/>
              </w:rPr>
              <w:t>25.71</w:t>
            </w:r>
            <w:r>
              <w:t>″</w:t>
            </w:r>
          </w:p>
          <w:p w14:paraId="55CEA244" w14:textId="77777777" w:rsidR="003E78AB" w:rsidRDefault="00010BF9">
            <w:pPr>
              <w:pStyle w:val="B1"/>
              <w:widowControl w:val="0"/>
            </w:pPr>
            <w:r>
              <w:t>E:</w:t>
            </w:r>
            <w:r>
              <w:rPr>
                <w:rFonts w:hint="eastAsia"/>
              </w:rPr>
              <w:t>93</w:t>
            </w:r>
            <w:r>
              <w:t>°</w:t>
            </w:r>
            <w:r>
              <w:rPr>
                <w:rFonts w:hint="eastAsia"/>
              </w:rPr>
              <w:t>28</w:t>
            </w:r>
            <w:r>
              <w:t>′</w:t>
            </w:r>
            <w:r>
              <w:rPr>
                <w:rFonts w:hint="eastAsia"/>
              </w:rPr>
              <w:t>50.87</w:t>
            </w:r>
            <w:r>
              <w:t>″</w:t>
            </w:r>
          </w:p>
        </w:tc>
        <w:tc>
          <w:tcPr>
            <w:tcW w:w="1589" w:type="dxa"/>
            <w:vAlign w:val="center"/>
          </w:tcPr>
          <w:p w14:paraId="7333F8EB" w14:textId="77777777" w:rsidR="003E78AB" w:rsidRDefault="00010BF9">
            <w:pPr>
              <w:pStyle w:val="B1"/>
              <w:widowControl w:val="0"/>
            </w:pPr>
            <w:r>
              <w:t>N:</w:t>
            </w:r>
            <w:r>
              <w:rPr>
                <w:rFonts w:hint="eastAsia"/>
              </w:rPr>
              <w:t>42</w:t>
            </w:r>
            <w:r>
              <w:t>°</w:t>
            </w:r>
            <w:r>
              <w:rPr>
                <w:rFonts w:hint="eastAsia"/>
              </w:rPr>
              <w:t>43</w:t>
            </w:r>
            <w:r>
              <w:t>′</w:t>
            </w:r>
            <w:r>
              <w:rPr>
                <w:rFonts w:hint="eastAsia"/>
              </w:rPr>
              <w:t>26.57</w:t>
            </w:r>
            <w:r>
              <w:t>″</w:t>
            </w:r>
          </w:p>
          <w:p w14:paraId="2BE156FE" w14:textId="77777777" w:rsidR="003E78AB" w:rsidRDefault="00010BF9">
            <w:pPr>
              <w:pStyle w:val="B1"/>
              <w:widowControl w:val="0"/>
            </w:pPr>
            <w:r>
              <w:t>E:</w:t>
            </w:r>
            <w:r>
              <w:rPr>
                <w:rFonts w:hint="eastAsia"/>
              </w:rPr>
              <w:t>93</w:t>
            </w:r>
            <w:r>
              <w:t>°</w:t>
            </w:r>
            <w:r>
              <w:rPr>
                <w:rFonts w:hint="eastAsia"/>
              </w:rPr>
              <w:t>30</w:t>
            </w:r>
            <w:r>
              <w:t>′</w:t>
            </w:r>
            <w:r>
              <w:rPr>
                <w:rFonts w:hint="eastAsia"/>
              </w:rPr>
              <w:t>05.85</w:t>
            </w:r>
            <w:r>
              <w:t>″</w:t>
            </w:r>
          </w:p>
        </w:tc>
        <w:tc>
          <w:tcPr>
            <w:tcW w:w="1589" w:type="dxa"/>
            <w:gridSpan w:val="2"/>
            <w:vAlign w:val="center"/>
          </w:tcPr>
          <w:p w14:paraId="7ED31F6B" w14:textId="77777777" w:rsidR="003E78AB" w:rsidRDefault="00010BF9">
            <w:pPr>
              <w:pStyle w:val="B1"/>
              <w:widowControl w:val="0"/>
            </w:pPr>
            <w:r>
              <w:t>N:</w:t>
            </w:r>
            <w:r>
              <w:rPr>
                <w:rFonts w:hint="eastAsia"/>
              </w:rPr>
              <w:t>42</w:t>
            </w:r>
            <w:r>
              <w:t>°</w:t>
            </w:r>
            <w:r>
              <w:rPr>
                <w:rFonts w:hint="eastAsia"/>
              </w:rPr>
              <w:t>43</w:t>
            </w:r>
            <w:r>
              <w:t>′</w:t>
            </w:r>
            <w:r>
              <w:rPr>
                <w:rFonts w:hint="eastAsia"/>
              </w:rPr>
              <w:t>30.12</w:t>
            </w:r>
            <w:r>
              <w:t>″</w:t>
            </w:r>
          </w:p>
          <w:p w14:paraId="04694136" w14:textId="77777777" w:rsidR="003E78AB" w:rsidRDefault="00010BF9">
            <w:pPr>
              <w:pStyle w:val="B1"/>
              <w:widowControl w:val="0"/>
            </w:pPr>
            <w:r>
              <w:t>E:</w:t>
            </w:r>
            <w:r>
              <w:rPr>
                <w:rFonts w:hint="eastAsia"/>
              </w:rPr>
              <w:t>93</w:t>
            </w:r>
            <w:r>
              <w:t>°</w:t>
            </w:r>
            <w:r>
              <w:rPr>
                <w:rFonts w:hint="eastAsia"/>
              </w:rPr>
              <w:t>27</w:t>
            </w:r>
            <w:r>
              <w:t>′</w:t>
            </w:r>
            <w:r>
              <w:rPr>
                <w:rFonts w:hint="eastAsia"/>
              </w:rPr>
              <w:t>53.12</w:t>
            </w:r>
            <w:r>
              <w:t>″</w:t>
            </w:r>
          </w:p>
        </w:tc>
        <w:tc>
          <w:tcPr>
            <w:tcW w:w="809" w:type="pct"/>
            <w:gridSpan w:val="2"/>
            <w:vAlign w:val="center"/>
          </w:tcPr>
          <w:p w14:paraId="54F7797A" w14:textId="77777777" w:rsidR="003E78AB" w:rsidRDefault="00010BF9">
            <w:pPr>
              <w:pStyle w:val="B1"/>
              <w:widowControl w:val="0"/>
            </w:pPr>
            <w:r>
              <w:t>N:</w:t>
            </w:r>
            <w:r>
              <w:rPr>
                <w:rFonts w:hint="eastAsia"/>
              </w:rPr>
              <w:t>42</w:t>
            </w:r>
            <w:r>
              <w:t>°</w:t>
            </w:r>
            <w:r>
              <w:rPr>
                <w:rFonts w:hint="eastAsia"/>
              </w:rPr>
              <w:t>41</w:t>
            </w:r>
            <w:r>
              <w:t>′</w:t>
            </w:r>
            <w:r>
              <w:rPr>
                <w:rFonts w:hint="eastAsia"/>
              </w:rPr>
              <w:t>25.43</w:t>
            </w:r>
            <w:r>
              <w:t>″</w:t>
            </w:r>
          </w:p>
          <w:p w14:paraId="34FC1463" w14:textId="77777777" w:rsidR="003E78AB" w:rsidRDefault="00010BF9">
            <w:pPr>
              <w:pStyle w:val="B1"/>
              <w:widowControl w:val="0"/>
            </w:pPr>
            <w:r>
              <w:t>E:</w:t>
            </w:r>
            <w:r>
              <w:rPr>
                <w:rFonts w:hint="eastAsia"/>
              </w:rPr>
              <w:t>93</w:t>
            </w:r>
            <w:r>
              <w:t>°</w:t>
            </w:r>
            <w:r>
              <w:rPr>
                <w:rFonts w:hint="eastAsia"/>
              </w:rPr>
              <w:t>28</w:t>
            </w:r>
            <w:r>
              <w:t>′</w:t>
            </w:r>
            <w:r>
              <w:rPr>
                <w:rFonts w:hint="eastAsia"/>
              </w:rPr>
              <w:t>54.38</w:t>
            </w:r>
            <w:r>
              <w:t>″</w:t>
            </w:r>
          </w:p>
        </w:tc>
        <w:tc>
          <w:tcPr>
            <w:tcW w:w="811" w:type="pct"/>
            <w:vAlign w:val="center"/>
          </w:tcPr>
          <w:p w14:paraId="45A6F65A" w14:textId="77777777" w:rsidR="003E78AB" w:rsidRDefault="00010BF9">
            <w:pPr>
              <w:pStyle w:val="B1"/>
              <w:widowControl w:val="0"/>
            </w:pPr>
            <w:r>
              <w:t>N:</w:t>
            </w:r>
            <w:r>
              <w:rPr>
                <w:rFonts w:hint="eastAsia"/>
              </w:rPr>
              <w:t>42</w:t>
            </w:r>
            <w:r>
              <w:t>°</w:t>
            </w:r>
            <w:r>
              <w:rPr>
                <w:rFonts w:hint="eastAsia"/>
              </w:rPr>
              <w:t>38</w:t>
            </w:r>
            <w:r>
              <w:t>′</w:t>
            </w:r>
            <w:r>
              <w:rPr>
                <w:rFonts w:hint="eastAsia"/>
              </w:rPr>
              <w:t>11.87</w:t>
            </w:r>
            <w:r>
              <w:t>″</w:t>
            </w:r>
          </w:p>
          <w:p w14:paraId="3145B31D" w14:textId="77777777" w:rsidR="003E78AB" w:rsidRDefault="00010BF9">
            <w:pPr>
              <w:pStyle w:val="B1"/>
              <w:widowControl w:val="0"/>
            </w:pPr>
            <w:r>
              <w:t>E:</w:t>
            </w:r>
            <w:r>
              <w:rPr>
                <w:rFonts w:hint="eastAsia"/>
              </w:rPr>
              <w:t>93</w:t>
            </w:r>
            <w:r>
              <w:t>°</w:t>
            </w:r>
            <w:r>
              <w:rPr>
                <w:rFonts w:hint="eastAsia"/>
              </w:rPr>
              <w:t>15</w:t>
            </w:r>
            <w:r>
              <w:t>′</w:t>
            </w:r>
            <w:r>
              <w:rPr>
                <w:rFonts w:hint="eastAsia"/>
              </w:rPr>
              <w:t>41.84</w:t>
            </w:r>
            <w:r>
              <w:t>″</w:t>
            </w:r>
          </w:p>
        </w:tc>
      </w:tr>
      <w:tr w:rsidR="003E78AB" w14:paraId="158FD58A" w14:textId="77777777">
        <w:trPr>
          <w:cantSplit/>
          <w:trHeight w:val="478"/>
          <w:jc w:val="center"/>
        </w:trPr>
        <w:tc>
          <w:tcPr>
            <w:tcW w:w="952" w:type="pct"/>
            <w:vAlign w:val="center"/>
          </w:tcPr>
          <w:p w14:paraId="2BD59585" w14:textId="77777777" w:rsidR="003E78AB" w:rsidRDefault="00010BF9">
            <w:pPr>
              <w:pStyle w:val="B1"/>
              <w:widowControl w:val="0"/>
            </w:pPr>
            <w:r>
              <w:t>样品状态</w:t>
            </w:r>
          </w:p>
        </w:tc>
        <w:tc>
          <w:tcPr>
            <w:tcW w:w="4047" w:type="pct"/>
            <w:gridSpan w:val="7"/>
            <w:vAlign w:val="center"/>
          </w:tcPr>
          <w:p w14:paraId="3BD5D66D" w14:textId="77777777" w:rsidR="003E78AB" w:rsidRDefault="00010BF9">
            <w:pPr>
              <w:pStyle w:val="B1"/>
              <w:widowControl w:val="0"/>
            </w:pPr>
            <w:r>
              <w:rPr>
                <w:rFonts w:hint="eastAsia"/>
              </w:rPr>
              <w:t>无色、无味、无浑浊、无沉淀物</w:t>
            </w:r>
          </w:p>
        </w:tc>
      </w:tr>
      <w:tr w:rsidR="003E78AB" w14:paraId="72F3B6B0" w14:textId="77777777">
        <w:trPr>
          <w:cantSplit/>
          <w:trHeight w:val="478"/>
          <w:jc w:val="center"/>
        </w:trPr>
        <w:tc>
          <w:tcPr>
            <w:tcW w:w="5000" w:type="pct"/>
            <w:gridSpan w:val="8"/>
            <w:vAlign w:val="center"/>
          </w:tcPr>
          <w:p w14:paraId="49FFBC9D" w14:textId="77777777" w:rsidR="003E78AB" w:rsidRDefault="00010BF9">
            <w:pPr>
              <w:pStyle w:val="B1"/>
              <w:widowControl w:val="0"/>
              <w:jc w:val="both"/>
            </w:pPr>
            <w:r>
              <w:rPr>
                <w:rFonts w:hint="eastAsia"/>
              </w:rPr>
              <w:t>备注：其中</w:t>
            </w:r>
            <w:r>
              <w:rPr>
                <w:rFonts w:hint="eastAsia"/>
              </w:rPr>
              <w:t>6#</w:t>
            </w:r>
            <w:r>
              <w:rPr>
                <w:rFonts w:hint="eastAsia"/>
              </w:rPr>
              <w:t>井深</w:t>
            </w:r>
            <w:r>
              <w:rPr>
                <w:rFonts w:hint="eastAsia"/>
              </w:rPr>
              <w:t>120m</w:t>
            </w:r>
            <w:r>
              <w:rPr>
                <w:rFonts w:hint="eastAsia"/>
              </w:rPr>
              <w:t>，埋深</w:t>
            </w:r>
            <w:r>
              <w:rPr>
                <w:rFonts w:hint="eastAsia"/>
              </w:rPr>
              <w:t>16.4m</w:t>
            </w:r>
            <w:r>
              <w:rPr>
                <w:rFonts w:hint="eastAsia"/>
              </w:rPr>
              <w:t>；</w:t>
            </w:r>
            <w:r>
              <w:rPr>
                <w:rFonts w:hint="eastAsia"/>
              </w:rPr>
              <w:t>7#</w:t>
            </w:r>
            <w:r>
              <w:rPr>
                <w:rFonts w:hint="eastAsia"/>
              </w:rPr>
              <w:t>井深</w:t>
            </w:r>
            <w:r>
              <w:rPr>
                <w:rFonts w:hint="eastAsia"/>
              </w:rPr>
              <w:t>120m</w:t>
            </w:r>
            <w:r>
              <w:rPr>
                <w:rFonts w:hint="eastAsia"/>
              </w:rPr>
              <w:t>，埋深</w:t>
            </w:r>
            <w:r>
              <w:rPr>
                <w:rFonts w:hint="eastAsia"/>
              </w:rPr>
              <w:t>17.2m</w:t>
            </w:r>
            <w:r>
              <w:rPr>
                <w:rFonts w:hint="eastAsia"/>
              </w:rPr>
              <w:t>；</w:t>
            </w:r>
            <w:r>
              <w:rPr>
                <w:rFonts w:hint="eastAsia"/>
              </w:rPr>
              <w:t>8#</w:t>
            </w:r>
            <w:r>
              <w:rPr>
                <w:rFonts w:hint="eastAsia"/>
              </w:rPr>
              <w:t>井深</w:t>
            </w:r>
            <w:r>
              <w:rPr>
                <w:rFonts w:hint="eastAsia"/>
              </w:rPr>
              <w:t>120m</w:t>
            </w:r>
            <w:r>
              <w:rPr>
                <w:rFonts w:hint="eastAsia"/>
              </w:rPr>
              <w:t>，埋深</w:t>
            </w:r>
            <w:r>
              <w:rPr>
                <w:rFonts w:hint="eastAsia"/>
              </w:rPr>
              <w:t>16.8m</w:t>
            </w:r>
            <w:r>
              <w:rPr>
                <w:rFonts w:hint="eastAsia"/>
              </w:rPr>
              <w:t>；</w:t>
            </w:r>
            <w:r>
              <w:rPr>
                <w:rFonts w:hint="eastAsia"/>
              </w:rPr>
              <w:t>9#</w:t>
            </w:r>
            <w:r>
              <w:rPr>
                <w:rFonts w:hint="eastAsia"/>
              </w:rPr>
              <w:t>井深</w:t>
            </w:r>
            <w:r>
              <w:rPr>
                <w:rFonts w:hint="eastAsia"/>
              </w:rPr>
              <w:t>120m</w:t>
            </w:r>
            <w:r>
              <w:rPr>
                <w:rFonts w:hint="eastAsia"/>
              </w:rPr>
              <w:t>，埋深</w:t>
            </w:r>
            <w:r>
              <w:rPr>
                <w:rFonts w:hint="eastAsia"/>
              </w:rPr>
              <w:t>13.3m</w:t>
            </w:r>
            <w:r>
              <w:rPr>
                <w:rFonts w:hint="eastAsia"/>
              </w:rPr>
              <w:t>；</w:t>
            </w:r>
            <w:r>
              <w:rPr>
                <w:rFonts w:hint="eastAsia"/>
              </w:rPr>
              <w:t>10#</w:t>
            </w:r>
            <w:r>
              <w:rPr>
                <w:rFonts w:hint="eastAsia"/>
              </w:rPr>
              <w:t>井深</w:t>
            </w:r>
            <w:r>
              <w:rPr>
                <w:rFonts w:hint="eastAsia"/>
              </w:rPr>
              <w:t>30m</w:t>
            </w:r>
            <w:r>
              <w:rPr>
                <w:rFonts w:hint="eastAsia"/>
              </w:rPr>
              <w:t>，埋深</w:t>
            </w:r>
            <w:r>
              <w:rPr>
                <w:rFonts w:hint="eastAsia"/>
              </w:rPr>
              <w:t>6.6m</w:t>
            </w:r>
            <w:r>
              <w:rPr>
                <w:rFonts w:hint="eastAsia"/>
              </w:rPr>
              <w:t>。</w:t>
            </w:r>
          </w:p>
        </w:tc>
      </w:tr>
    </w:tbl>
    <w:p w14:paraId="0AB46E1C" w14:textId="77777777" w:rsidR="003E78AB" w:rsidRDefault="003E78AB">
      <w:pPr>
        <w:pStyle w:val="4"/>
        <w:keepNext w:val="0"/>
        <w:keepLines w:val="0"/>
        <w:adjustRightInd/>
        <w:snapToGrid/>
        <w:spacing w:before="120"/>
        <w:ind w:firstLine="482"/>
        <w:sectPr w:rsidR="003E78AB">
          <w:pgSz w:w="16838" w:h="11906" w:orient="landscape"/>
          <w:pgMar w:top="1985" w:right="1440" w:bottom="1701" w:left="1440" w:header="851" w:footer="992" w:gutter="0"/>
          <w:cols w:space="720"/>
          <w:docGrid w:linePitch="312"/>
        </w:sectPr>
      </w:pPr>
    </w:p>
    <w:p w14:paraId="46F0D880" w14:textId="77777777" w:rsidR="003E78AB" w:rsidRDefault="00010BF9">
      <w:pPr>
        <w:pStyle w:val="24"/>
        <w:keepNext w:val="0"/>
        <w:keepLines w:val="0"/>
        <w:topLinePunct/>
        <w:spacing w:before="120"/>
        <w:outlineLvl w:val="2"/>
        <w:rPr>
          <w:rFonts w:cs="Times New Roman"/>
          <w:sz w:val="28"/>
          <w:szCs w:val="28"/>
        </w:rPr>
      </w:pPr>
      <w:bookmarkStart w:id="314" w:name="_Toc307906803"/>
      <w:r>
        <w:rPr>
          <w:rFonts w:cs="Times New Roman"/>
          <w:sz w:val="28"/>
          <w:szCs w:val="28"/>
        </w:rPr>
        <w:t>4.3.3</w:t>
      </w:r>
      <w:r>
        <w:rPr>
          <w:rFonts w:cs="Times New Roman"/>
          <w:sz w:val="28"/>
          <w:szCs w:val="28"/>
        </w:rPr>
        <w:t>声环境质量现状调查及评价</w:t>
      </w:r>
      <w:bookmarkEnd w:id="314"/>
    </w:p>
    <w:p w14:paraId="20AE866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4.3.3.1</w:t>
      </w:r>
      <w:r>
        <w:rPr>
          <w:rFonts w:ascii="Times New Roman" w:hAnsi="Times New Roman"/>
        </w:rPr>
        <w:t>监测布点及时间</w:t>
      </w:r>
    </w:p>
    <w:p w14:paraId="626730CD" w14:textId="77777777" w:rsidR="003E78AB" w:rsidRDefault="00010BF9">
      <w:pPr>
        <w:ind w:firstLine="480"/>
      </w:pPr>
      <w:r>
        <w:t>为了解项目周边声环境现状，本次评价委托</w:t>
      </w:r>
      <w:r>
        <w:rPr>
          <w:rFonts w:hint="eastAsia"/>
        </w:rPr>
        <w:t>新疆锡水金山环境科技有限公司</w:t>
      </w:r>
      <w:r>
        <w:t>于</w:t>
      </w:r>
      <w:r>
        <w:t>202</w:t>
      </w:r>
      <w:r>
        <w:rPr>
          <w:rFonts w:hint="eastAsia"/>
        </w:rPr>
        <w:t>5</w:t>
      </w:r>
      <w:r>
        <w:t>年</w:t>
      </w:r>
      <w:r>
        <w:rPr>
          <w:rFonts w:hint="eastAsia"/>
        </w:rPr>
        <w:t>5</w:t>
      </w:r>
      <w:r>
        <w:t>月</w:t>
      </w:r>
      <w:r>
        <w:rPr>
          <w:rFonts w:hint="eastAsia"/>
        </w:rPr>
        <w:t>31</w:t>
      </w:r>
      <w:r>
        <w:t>日至现场补充监测。</w:t>
      </w:r>
    </w:p>
    <w:p w14:paraId="2BC80D5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4.3.3.2</w:t>
      </w:r>
      <w:r>
        <w:rPr>
          <w:rFonts w:ascii="Times New Roman" w:hAnsi="Times New Roman"/>
        </w:rPr>
        <w:t>监测方法</w:t>
      </w:r>
    </w:p>
    <w:p w14:paraId="34B415B9" w14:textId="77777777" w:rsidR="003E78AB" w:rsidRDefault="00010BF9">
      <w:pPr>
        <w:ind w:firstLine="480"/>
      </w:pPr>
      <w:r>
        <w:t>执行《声环境质量标准》（</w:t>
      </w:r>
      <w:r>
        <w:t>GB3096-2008</w:t>
      </w:r>
      <w:r>
        <w:t>）环境噪声监测要求。监测仪器使用</w:t>
      </w:r>
      <w:r>
        <w:t>AWA5688</w:t>
      </w:r>
      <w:r>
        <w:t>声级计（</w:t>
      </w:r>
      <w:r>
        <w:t>10330261</w:t>
      </w:r>
      <w:r>
        <w:t>），测量前后均用声级校准器进行校准。</w:t>
      </w:r>
    </w:p>
    <w:p w14:paraId="7BB23B9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4.3.3.3</w:t>
      </w:r>
      <w:r>
        <w:rPr>
          <w:rFonts w:ascii="Times New Roman" w:hAnsi="Times New Roman"/>
        </w:rPr>
        <w:t>评价标准</w:t>
      </w:r>
    </w:p>
    <w:p w14:paraId="7FA5D4F7" w14:textId="77777777" w:rsidR="003E78AB" w:rsidRDefault="00010BF9">
      <w:pPr>
        <w:ind w:firstLine="480"/>
      </w:pPr>
      <w:r>
        <w:t>项目所处区域执行《声环境质量标准》（</w:t>
      </w:r>
      <w:r>
        <w:t>GB3096-2008</w:t>
      </w:r>
      <w:r>
        <w:t>）中</w:t>
      </w:r>
      <w:r>
        <w:t>3</w:t>
      </w:r>
      <w:r>
        <w:t>类区标准，即昼间</w:t>
      </w:r>
      <w:r>
        <w:t>65dB</w:t>
      </w:r>
      <w:r>
        <w:rPr>
          <w:rFonts w:hint="eastAsia"/>
        </w:rPr>
        <w:t>(A)</w:t>
      </w:r>
      <w:r>
        <w:t>，夜间</w:t>
      </w:r>
      <w:r>
        <w:t>55dB</w:t>
      </w:r>
      <w:r>
        <w:rPr>
          <w:rFonts w:hint="eastAsia"/>
        </w:rPr>
        <w:t>(A)</w:t>
      </w:r>
      <w:r>
        <w:t>。</w:t>
      </w:r>
    </w:p>
    <w:p w14:paraId="17E80D5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4.3.3.4</w:t>
      </w:r>
      <w:r>
        <w:rPr>
          <w:rFonts w:ascii="Times New Roman" w:hAnsi="Times New Roman"/>
        </w:rPr>
        <w:t>评价结果</w:t>
      </w:r>
    </w:p>
    <w:p w14:paraId="3C542443" w14:textId="77777777" w:rsidR="003E78AB" w:rsidRDefault="00010BF9">
      <w:pPr>
        <w:ind w:firstLine="480"/>
      </w:pPr>
      <w:r>
        <w:t>监测及评价结果见</w:t>
      </w:r>
      <w:r>
        <w:fldChar w:fldCharType="begin"/>
      </w:r>
      <w:r>
        <w:instrText xml:space="preserve"> REF _Ref20162 \r \h </w:instrText>
      </w:r>
      <w:r>
        <w:fldChar w:fldCharType="separate"/>
      </w:r>
      <w:r>
        <w:t>表</w:t>
      </w:r>
      <w:r>
        <w:t>4-13</w:t>
      </w:r>
      <w:r>
        <w:fldChar w:fldCharType="end"/>
      </w:r>
      <w:r>
        <w:t>。</w:t>
      </w:r>
    </w:p>
    <w:p w14:paraId="02FFE287" w14:textId="77777777" w:rsidR="003E78AB" w:rsidRDefault="00010BF9">
      <w:pPr>
        <w:pStyle w:val="a0"/>
        <w:ind w:left="425" w:hanging="425"/>
        <w:jc w:val="right"/>
        <w:rPr>
          <w:rFonts w:hint="default"/>
        </w:rPr>
      </w:pPr>
      <w:bookmarkStart w:id="315" w:name="_Ref20162"/>
      <w:r>
        <w:rPr>
          <w:rFonts w:hint="default"/>
        </w:rPr>
        <w:t>噪声现状监测结果</w:t>
      </w:r>
      <w:r>
        <w:t xml:space="preserve">          </w:t>
      </w:r>
      <w:r>
        <w:rPr>
          <w:rFonts w:hint="default"/>
        </w:rPr>
        <w:t>单位：</w:t>
      </w:r>
      <w:r>
        <w:rPr>
          <w:rFonts w:hint="default"/>
        </w:rPr>
        <w:t>dB</w:t>
      </w:r>
      <w:bookmarkEnd w:id="315"/>
      <w:r>
        <w:t>(A)</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67"/>
        <w:gridCol w:w="1464"/>
        <w:gridCol w:w="1714"/>
        <w:gridCol w:w="1337"/>
        <w:gridCol w:w="1520"/>
      </w:tblGrid>
      <w:tr w:rsidR="003E78AB" w14:paraId="41B5CAC2" w14:textId="77777777">
        <w:trPr>
          <w:trHeight w:val="283"/>
          <w:jc w:val="center"/>
        </w:trPr>
        <w:tc>
          <w:tcPr>
            <w:tcW w:w="1134" w:type="dxa"/>
            <w:vAlign w:val="center"/>
          </w:tcPr>
          <w:p w14:paraId="2DA213C2"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测点编号</w:t>
            </w:r>
          </w:p>
        </w:tc>
        <w:tc>
          <w:tcPr>
            <w:tcW w:w="1267" w:type="dxa"/>
            <w:vAlign w:val="center"/>
          </w:tcPr>
          <w:p w14:paraId="3DDCD498"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项目区</w:t>
            </w:r>
          </w:p>
        </w:tc>
        <w:tc>
          <w:tcPr>
            <w:tcW w:w="1464" w:type="dxa"/>
            <w:vAlign w:val="center"/>
          </w:tcPr>
          <w:p w14:paraId="5BD490E7"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时段</w:t>
            </w:r>
          </w:p>
        </w:tc>
        <w:tc>
          <w:tcPr>
            <w:tcW w:w="1714" w:type="dxa"/>
            <w:vAlign w:val="center"/>
          </w:tcPr>
          <w:p w14:paraId="04C7C4EA"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监测结果</w:t>
            </w:r>
          </w:p>
        </w:tc>
        <w:tc>
          <w:tcPr>
            <w:tcW w:w="1337" w:type="dxa"/>
            <w:vAlign w:val="center"/>
          </w:tcPr>
          <w:p w14:paraId="7ED9F40F"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标准值</w:t>
            </w:r>
          </w:p>
        </w:tc>
        <w:tc>
          <w:tcPr>
            <w:tcW w:w="1520" w:type="dxa"/>
            <w:vAlign w:val="center"/>
          </w:tcPr>
          <w:p w14:paraId="0A74E65A" w14:textId="77777777" w:rsidR="003E78AB" w:rsidRDefault="00010BF9">
            <w:pPr>
              <w:spacing w:line="360" w:lineRule="exact"/>
              <w:ind w:firstLineChars="0" w:firstLine="0"/>
              <w:contextualSpacing/>
              <w:jc w:val="center"/>
              <w:rPr>
                <w:b/>
                <w:bCs/>
                <w:kern w:val="2"/>
                <w:sz w:val="21"/>
                <w:szCs w:val="21"/>
              </w:rPr>
            </w:pPr>
            <w:r>
              <w:rPr>
                <w:b/>
                <w:bCs/>
                <w:kern w:val="2"/>
                <w:sz w:val="21"/>
                <w:szCs w:val="21"/>
              </w:rPr>
              <w:t>评价</w:t>
            </w:r>
          </w:p>
        </w:tc>
      </w:tr>
      <w:tr w:rsidR="003E78AB" w14:paraId="3E72AD77" w14:textId="77777777">
        <w:trPr>
          <w:cantSplit/>
          <w:trHeight w:val="283"/>
          <w:jc w:val="center"/>
        </w:trPr>
        <w:tc>
          <w:tcPr>
            <w:tcW w:w="1134" w:type="dxa"/>
            <w:vMerge w:val="restart"/>
            <w:vAlign w:val="center"/>
          </w:tcPr>
          <w:p w14:paraId="763059ED" w14:textId="77777777" w:rsidR="003E78AB" w:rsidRDefault="00010BF9">
            <w:pPr>
              <w:spacing w:line="360" w:lineRule="exact"/>
              <w:ind w:firstLineChars="0" w:firstLine="0"/>
              <w:contextualSpacing/>
              <w:jc w:val="center"/>
              <w:rPr>
                <w:kern w:val="2"/>
                <w:sz w:val="21"/>
                <w:szCs w:val="21"/>
              </w:rPr>
            </w:pPr>
            <w:r>
              <w:rPr>
                <w:kern w:val="2"/>
                <w:sz w:val="21"/>
                <w:szCs w:val="21"/>
              </w:rPr>
              <w:t>1</w:t>
            </w:r>
          </w:p>
        </w:tc>
        <w:tc>
          <w:tcPr>
            <w:tcW w:w="1267" w:type="dxa"/>
            <w:vMerge w:val="restart"/>
            <w:vAlign w:val="center"/>
          </w:tcPr>
          <w:p w14:paraId="37F6D70E" w14:textId="77777777" w:rsidR="003E78AB" w:rsidRDefault="00010BF9">
            <w:pPr>
              <w:spacing w:line="360" w:lineRule="exact"/>
              <w:ind w:firstLineChars="0" w:firstLine="0"/>
              <w:contextualSpacing/>
              <w:jc w:val="center"/>
              <w:rPr>
                <w:kern w:val="2"/>
                <w:sz w:val="21"/>
                <w:szCs w:val="21"/>
              </w:rPr>
            </w:pPr>
            <w:r>
              <w:rPr>
                <w:kern w:val="2"/>
                <w:sz w:val="21"/>
                <w:szCs w:val="21"/>
              </w:rPr>
              <w:t>东侧</w:t>
            </w:r>
          </w:p>
        </w:tc>
        <w:tc>
          <w:tcPr>
            <w:tcW w:w="1464" w:type="dxa"/>
            <w:vAlign w:val="center"/>
          </w:tcPr>
          <w:p w14:paraId="13A4F49A" w14:textId="77777777" w:rsidR="003E78AB" w:rsidRDefault="00010BF9">
            <w:pPr>
              <w:spacing w:line="360" w:lineRule="exact"/>
              <w:ind w:firstLineChars="0" w:firstLine="0"/>
              <w:contextualSpacing/>
              <w:jc w:val="center"/>
              <w:rPr>
                <w:kern w:val="2"/>
                <w:sz w:val="21"/>
                <w:szCs w:val="21"/>
              </w:rPr>
            </w:pPr>
            <w:r>
              <w:rPr>
                <w:kern w:val="2"/>
                <w:sz w:val="21"/>
                <w:szCs w:val="21"/>
              </w:rPr>
              <w:t>昼</w:t>
            </w:r>
          </w:p>
        </w:tc>
        <w:tc>
          <w:tcPr>
            <w:tcW w:w="1714" w:type="dxa"/>
            <w:vAlign w:val="center"/>
          </w:tcPr>
          <w:p w14:paraId="3A487A7B"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43</w:t>
            </w:r>
          </w:p>
        </w:tc>
        <w:tc>
          <w:tcPr>
            <w:tcW w:w="1337" w:type="dxa"/>
            <w:vAlign w:val="center"/>
          </w:tcPr>
          <w:p w14:paraId="098FA5EA" w14:textId="77777777" w:rsidR="003E78AB" w:rsidRDefault="00010BF9">
            <w:pPr>
              <w:spacing w:line="360" w:lineRule="exact"/>
              <w:ind w:firstLineChars="0" w:firstLine="0"/>
              <w:contextualSpacing/>
              <w:jc w:val="center"/>
              <w:rPr>
                <w:kern w:val="2"/>
                <w:sz w:val="21"/>
                <w:szCs w:val="21"/>
              </w:rPr>
            </w:pPr>
            <w:r>
              <w:rPr>
                <w:kern w:val="2"/>
                <w:sz w:val="21"/>
                <w:szCs w:val="21"/>
              </w:rPr>
              <w:t>65</w:t>
            </w:r>
          </w:p>
        </w:tc>
        <w:tc>
          <w:tcPr>
            <w:tcW w:w="1520" w:type="dxa"/>
            <w:vAlign w:val="center"/>
          </w:tcPr>
          <w:p w14:paraId="66DCC4B1"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45BFC05E" w14:textId="77777777">
        <w:trPr>
          <w:cantSplit/>
          <w:trHeight w:val="283"/>
          <w:jc w:val="center"/>
        </w:trPr>
        <w:tc>
          <w:tcPr>
            <w:tcW w:w="1134" w:type="dxa"/>
            <w:vMerge/>
            <w:vAlign w:val="center"/>
          </w:tcPr>
          <w:p w14:paraId="50758F0A" w14:textId="77777777" w:rsidR="003E78AB" w:rsidRDefault="003E78AB">
            <w:pPr>
              <w:spacing w:line="360" w:lineRule="exact"/>
              <w:ind w:firstLineChars="0" w:firstLine="0"/>
              <w:contextualSpacing/>
              <w:jc w:val="center"/>
              <w:rPr>
                <w:kern w:val="2"/>
                <w:sz w:val="21"/>
                <w:szCs w:val="21"/>
              </w:rPr>
            </w:pPr>
          </w:p>
        </w:tc>
        <w:tc>
          <w:tcPr>
            <w:tcW w:w="1267" w:type="dxa"/>
            <w:vMerge/>
            <w:vAlign w:val="center"/>
          </w:tcPr>
          <w:p w14:paraId="48FD402F" w14:textId="77777777" w:rsidR="003E78AB" w:rsidRDefault="003E78AB">
            <w:pPr>
              <w:spacing w:line="360" w:lineRule="exact"/>
              <w:ind w:firstLineChars="0" w:firstLine="0"/>
              <w:contextualSpacing/>
              <w:jc w:val="center"/>
              <w:rPr>
                <w:kern w:val="2"/>
                <w:sz w:val="21"/>
                <w:szCs w:val="21"/>
              </w:rPr>
            </w:pPr>
          </w:p>
        </w:tc>
        <w:tc>
          <w:tcPr>
            <w:tcW w:w="1464" w:type="dxa"/>
            <w:vAlign w:val="center"/>
          </w:tcPr>
          <w:p w14:paraId="369424D7" w14:textId="77777777" w:rsidR="003E78AB" w:rsidRDefault="00010BF9">
            <w:pPr>
              <w:spacing w:line="360" w:lineRule="exact"/>
              <w:ind w:firstLineChars="0" w:firstLine="0"/>
              <w:contextualSpacing/>
              <w:jc w:val="center"/>
              <w:rPr>
                <w:kern w:val="2"/>
                <w:sz w:val="21"/>
                <w:szCs w:val="21"/>
              </w:rPr>
            </w:pPr>
            <w:r>
              <w:rPr>
                <w:kern w:val="2"/>
                <w:sz w:val="21"/>
                <w:szCs w:val="21"/>
              </w:rPr>
              <w:t>夜</w:t>
            </w:r>
          </w:p>
        </w:tc>
        <w:tc>
          <w:tcPr>
            <w:tcW w:w="1714" w:type="dxa"/>
            <w:vAlign w:val="center"/>
          </w:tcPr>
          <w:p w14:paraId="6C5616CE"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42</w:t>
            </w:r>
          </w:p>
        </w:tc>
        <w:tc>
          <w:tcPr>
            <w:tcW w:w="1337" w:type="dxa"/>
            <w:vAlign w:val="center"/>
          </w:tcPr>
          <w:p w14:paraId="3DB5E0B6" w14:textId="77777777" w:rsidR="003E78AB" w:rsidRDefault="00010BF9">
            <w:pPr>
              <w:spacing w:line="360" w:lineRule="exact"/>
              <w:ind w:firstLineChars="0" w:firstLine="0"/>
              <w:contextualSpacing/>
              <w:jc w:val="center"/>
              <w:rPr>
                <w:kern w:val="2"/>
                <w:sz w:val="21"/>
                <w:szCs w:val="21"/>
              </w:rPr>
            </w:pPr>
            <w:r>
              <w:rPr>
                <w:kern w:val="2"/>
                <w:sz w:val="21"/>
                <w:szCs w:val="21"/>
              </w:rPr>
              <w:t>55</w:t>
            </w:r>
          </w:p>
        </w:tc>
        <w:tc>
          <w:tcPr>
            <w:tcW w:w="1520" w:type="dxa"/>
            <w:vAlign w:val="center"/>
          </w:tcPr>
          <w:p w14:paraId="057A73F9"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292955DB" w14:textId="77777777">
        <w:trPr>
          <w:cantSplit/>
          <w:trHeight w:val="283"/>
          <w:jc w:val="center"/>
        </w:trPr>
        <w:tc>
          <w:tcPr>
            <w:tcW w:w="1134" w:type="dxa"/>
            <w:vMerge w:val="restart"/>
            <w:vAlign w:val="center"/>
          </w:tcPr>
          <w:p w14:paraId="6843B6BB" w14:textId="77777777" w:rsidR="003E78AB" w:rsidRDefault="00010BF9">
            <w:pPr>
              <w:spacing w:line="360" w:lineRule="exact"/>
              <w:ind w:firstLineChars="0" w:firstLine="0"/>
              <w:contextualSpacing/>
              <w:jc w:val="center"/>
              <w:rPr>
                <w:kern w:val="2"/>
                <w:sz w:val="21"/>
                <w:szCs w:val="21"/>
              </w:rPr>
            </w:pPr>
            <w:r>
              <w:rPr>
                <w:kern w:val="2"/>
                <w:sz w:val="21"/>
                <w:szCs w:val="21"/>
              </w:rPr>
              <w:t>2</w:t>
            </w:r>
          </w:p>
        </w:tc>
        <w:tc>
          <w:tcPr>
            <w:tcW w:w="1267" w:type="dxa"/>
            <w:vMerge w:val="restart"/>
            <w:vAlign w:val="center"/>
          </w:tcPr>
          <w:p w14:paraId="08C602F2" w14:textId="77777777" w:rsidR="003E78AB" w:rsidRDefault="00010BF9">
            <w:pPr>
              <w:spacing w:line="360" w:lineRule="exact"/>
              <w:ind w:firstLineChars="0" w:firstLine="0"/>
              <w:contextualSpacing/>
              <w:jc w:val="center"/>
              <w:rPr>
                <w:kern w:val="2"/>
                <w:sz w:val="21"/>
                <w:szCs w:val="21"/>
              </w:rPr>
            </w:pPr>
            <w:r>
              <w:rPr>
                <w:kern w:val="2"/>
                <w:sz w:val="21"/>
                <w:szCs w:val="21"/>
              </w:rPr>
              <w:t>南侧</w:t>
            </w:r>
          </w:p>
        </w:tc>
        <w:tc>
          <w:tcPr>
            <w:tcW w:w="1464" w:type="dxa"/>
            <w:vAlign w:val="center"/>
          </w:tcPr>
          <w:p w14:paraId="2F6BBDAE" w14:textId="77777777" w:rsidR="003E78AB" w:rsidRDefault="00010BF9">
            <w:pPr>
              <w:spacing w:line="360" w:lineRule="exact"/>
              <w:ind w:firstLineChars="0" w:firstLine="0"/>
              <w:contextualSpacing/>
              <w:jc w:val="center"/>
              <w:rPr>
                <w:kern w:val="2"/>
                <w:sz w:val="21"/>
                <w:szCs w:val="21"/>
              </w:rPr>
            </w:pPr>
            <w:r>
              <w:rPr>
                <w:kern w:val="2"/>
                <w:sz w:val="21"/>
                <w:szCs w:val="21"/>
              </w:rPr>
              <w:t>昼</w:t>
            </w:r>
          </w:p>
        </w:tc>
        <w:tc>
          <w:tcPr>
            <w:tcW w:w="1714" w:type="dxa"/>
            <w:vAlign w:val="center"/>
          </w:tcPr>
          <w:p w14:paraId="535885CA"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45</w:t>
            </w:r>
          </w:p>
        </w:tc>
        <w:tc>
          <w:tcPr>
            <w:tcW w:w="1337" w:type="dxa"/>
            <w:vAlign w:val="center"/>
          </w:tcPr>
          <w:p w14:paraId="06117E76" w14:textId="77777777" w:rsidR="003E78AB" w:rsidRDefault="00010BF9">
            <w:pPr>
              <w:spacing w:line="360" w:lineRule="exact"/>
              <w:ind w:firstLineChars="0" w:firstLine="0"/>
              <w:contextualSpacing/>
              <w:jc w:val="center"/>
              <w:rPr>
                <w:kern w:val="2"/>
                <w:sz w:val="21"/>
                <w:szCs w:val="21"/>
              </w:rPr>
            </w:pPr>
            <w:r>
              <w:rPr>
                <w:kern w:val="2"/>
                <w:sz w:val="21"/>
                <w:szCs w:val="21"/>
              </w:rPr>
              <w:t>65</w:t>
            </w:r>
          </w:p>
        </w:tc>
        <w:tc>
          <w:tcPr>
            <w:tcW w:w="1520" w:type="dxa"/>
            <w:vAlign w:val="center"/>
          </w:tcPr>
          <w:p w14:paraId="682D33CE"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4A98D1D7" w14:textId="77777777">
        <w:trPr>
          <w:cantSplit/>
          <w:trHeight w:val="283"/>
          <w:jc w:val="center"/>
        </w:trPr>
        <w:tc>
          <w:tcPr>
            <w:tcW w:w="1134" w:type="dxa"/>
            <w:vMerge/>
            <w:vAlign w:val="center"/>
          </w:tcPr>
          <w:p w14:paraId="31CF7B3D" w14:textId="77777777" w:rsidR="003E78AB" w:rsidRDefault="003E78AB">
            <w:pPr>
              <w:spacing w:line="360" w:lineRule="exact"/>
              <w:ind w:firstLineChars="0" w:firstLine="0"/>
              <w:contextualSpacing/>
              <w:jc w:val="center"/>
              <w:rPr>
                <w:kern w:val="2"/>
                <w:sz w:val="21"/>
                <w:szCs w:val="21"/>
              </w:rPr>
            </w:pPr>
          </w:p>
        </w:tc>
        <w:tc>
          <w:tcPr>
            <w:tcW w:w="1267" w:type="dxa"/>
            <w:vMerge/>
            <w:vAlign w:val="center"/>
          </w:tcPr>
          <w:p w14:paraId="7FB7B457" w14:textId="77777777" w:rsidR="003E78AB" w:rsidRDefault="003E78AB">
            <w:pPr>
              <w:spacing w:line="360" w:lineRule="exact"/>
              <w:ind w:firstLineChars="0" w:firstLine="0"/>
              <w:contextualSpacing/>
              <w:jc w:val="center"/>
              <w:rPr>
                <w:kern w:val="2"/>
                <w:sz w:val="21"/>
                <w:szCs w:val="21"/>
              </w:rPr>
            </w:pPr>
          </w:p>
        </w:tc>
        <w:tc>
          <w:tcPr>
            <w:tcW w:w="1464" w:type="dxa"/>
            <w:vAlign w:val="center"/>
          </w:tcPr>
          <w:p w14:paraId="458E5DFF" w14:textId="77777777" w:rsidR="003E78AB" w:rsidRDefault="00010BF9">
            <w:pPr>
              <w:spacing w:line="360" w:lineRule="exact"/>
              <w:ind w:firstLineChars="0" w:firstLine="0"/>
              <w:contextualSpacing/>
              <w:jc w:val="center"/>
              <w:rPr>
                <w:kern w:val="2"/>
                <w:sz w:val="21"/>
                <w:szCs w:val="21"/>
              </w:rPr>
            </w:pPr>
            <w:r>
              <w:rPr>
                <w:kern w:val="2"/>
                <w:sz w:val="21"/>
                <w:szCs w:val="21"/>
              </w:rPr>
              <w:t>夜</w:t>
            </w:r>
          </w:p>
        </w:tc>
        <w:tc>
          <w:tcPr>
            <w:tcW w:w="1714" w:type="dxa"/>
            <w:vAlign w:val="center"/>
          </w:tcPr>
          <w:p w14:paraId="01B8EB2A"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44</w:t>
            </w:r>
          </w:p>
        </w:tc>
        <w:tc>
          <w:tcPr>
            <w:tcW w:w="1337" w:type="dxa"/>
            <w:vAlign w:val="center"/>
          </w:tcPr>
          <w:p w14:paraId="2E225079" w14:textId="77777777" w:rsidR="003E78AB" w:rsidRDefault="00010BF9">
            <w:pPr>
              <w:spacing w:line="360" w:lineRule="exact"/>
              <w:ind w:firstLineChars="0" w:firstLine="0"/>
              <w:contextualSpacing/>
              <w:jc w:val="center"/>
              <w:rPr>
                <w:kern w:val="2"/>
                <w:sz w:val="21"/>
                <w:szCs w:val="21"/>
              </w:rPr>
            </w:pPr>
            <w:r>
              <w:rPr>
                <w:kern w:val="2"/>
                <w:sz w:val="21"/>
                <w:szCs w:val="21"/>
              </w:rPr>
              <w:t>55</w:t>
            </w:r>
          </w:p>
        </w:tc>
        <w:tc>
          <w:tcPr>
            <w:tcW w:w="1520" w:type="dxa"/>
            <w:vAlign w:val="center"/>
          </w:tcPr>
          <w:p w14:paraId="7575FDDC"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03D6C914" w14:textId="77777777">
        <w:trPr>
          <w:cantSplit/>
          <w:trHeight w:val="283"/>
          <w:jc w:val="center"/>
        </w:trPr>
        <w:tc>
          <w:tcPr>
            <w:tcW w:w="1134" w:type="dxa"/>
            <w:vMerge w:val="restart"/>
            <w:vAlign w:val="center"/>
          </w:tcPr>
          <w:p w14:paraId="63B6F4C1" w14:textId="77777777" w:rsidR="003E78AB" w:rsidRDefault="00010BF9">
            <w:pPr>
              <w:spacing w:line="360" w:lineRule="exact"/>
              <w:ind w:firstLineChars="0" w:firstLine="0"/>
              <w:contextualSpacing/>
              <w:jc w:val="center"/>
              <w:rPr>
                <w:kern w:val="2"/>
                <w:sz w:val="21"/>
                <w:szCs w:val="21"/>
              </w:rPr>
            </w:pPr>
            <w:r>
              <w:rPr>
                <w:kern w:val="2"/>
                <w:sz w:val="21"/>
                <w:szCs w:val="21"/>
              </w:rPr>
              <w:t>3</w:t>
            </w:r>
          </w:p>
        </w:tc>
        <w:tc>
          <w:tcPr>
            <w:tcW w:w="1267" w:type="dxa"/>
            <w:vMerge w:val="restart"/>
            <w:vAlign w:val="center"/>
          </w:tcPr>
          <w:p w14:paraId="7CD86D2C" w14:textId="77777777" w:rsidR="003E78AB" w:rsidRDefault="00010BF9">
            <w:pPr>
              <w:spacing w:line="360" w:lineRule="exact"/>
              <w:ind w:firstLineChars="0" w:firstLine="0"/>
              <w:contextualSpacing/>
              <w:jc w:val="center"/>
              <w:rPr>
                <w:kern w:val="2"/>
                <w:sz w:val="21"/>
                <w:szCs w:val="21"/>
              </w:rPr>
            </w:pPr>
            <w:r>
              <w:rPr>
                <w:kern w:val="2"/>
                <w:sz w:val="21"/>
                <w:szCs w:val="21"/>
              </w:rPr>
              <w:t>西侧</w:t>
            </w:r>
          </w:p>
        </w:tc>
        <w:tc>
          <w:tcPr>
            <w:tcW w:w="1464" w:type="dxa"/>
            <w:vAlign w:val="center"/>
          </w:tcPr>
          <w:p w14:paraId="15E121C1" w14:textId="77777777" w:rsidR="003E78AB" w:rsidRDefault="00010BF9">
            <w:pPr>
              <w:spacing w:line="360" w:lineRule="exact"/>
              <w:ind w:firstLineChars="0" w:firstLine="0"/>
              <w:contextualSpacing/>
              <w:jc w:val="center"/>
              <w:rPr>
                <w:kern w:val="2"/>
                <w:sz w:val="21"/>
                <w:szCs w:val="21"/>
              </w:rPr>
            </w:pPr>
            <w:r>
              <w:rPr>
                <w:kern w:val="2"/>
                <w:sz w:val="21"/>
                <w:szCs w:val="21"/>
              </w:rPr>
              <w:t>昼</w:t>
            </w:r>
          </w:p>
        </w:tc>
        <w:tc>
          <w:tcPr>
            <w:tcW w:w="1714" w:type="dxa"/>
            <w:vAlign w:val="center"/>
          </w:tcPr>
          <w:p w14:paraId="78D8AAD2"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45</w:t>
            </w:r>
          </w:p>
        </w:tc>
        <w:tc>
          <w:tcPr>
            <w:tcW w:w="1337" w:type="dxa"/>
            <w:vAlign w:val="center"/>
          </w:tcPr>
          <w:p w14:paraId="2B1E45F5" w14:textId="77777777" w:rsidR="003E78AB" w:rsidRDefault="00010BF9">
            <w:pPr>
              <w:spacing w:line="360" w:lineRule="exact"/>
              <w:ind w:firstLineChars="0" w:firstLine="0"/>
              <w:contextualSpacing/>
              <w:jc w:val="center"/>
              <w:rPr>
                <w:kern w:val="2"/>
                <w:sz w:val="21"/>
                <w:szCs w:val="21"/>
              </w:rPr>
            </w:pPr>
            <w:r>
              <w:rPr>
                <w:kern w:val="2"/>
                <w:sz w:val="21"/>
                <w:szCs w:val="21"/>
              </w:rPr>
              <w:t>65</w:t>
            </w:r>
          </w:p>
        </w:tc>
        <w:tc>
          <w:tcPr>
            <w:tcW w:w="1520" w:type="dxa"/>
            <w:vAlign w:val="center"/>
          </w:tcPr>
          <w:p w14:paraId="436E91A9"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0EEE1167" w14:textId="77777777">
        <w:trPr>
          <w:cantSplit/>
          <w:trHeight w:val="283"/>
          <w:jc w:val="center"/>
        </w:trPr>
        <w:tc>
          <w:tcPr>
            <w:tcW w:w="1134" w:type="dxa"/>
            <w:vMerge/>
            <w:vAlign w:val="center"/>
          </w:tcPr>
          <w:p w14:paraId="61ECBF15" w14:textId="77777777" w:rsidR="003E78AB" w:rsidRDefault="003E78AB">
            <w:pPr>
              <w:spacing w:line="360" w:lineRule="exact"/>
              <w:ind w:firstLineChars="0" w:firstLine="0"/>
              <w:contextualSpacing/>
              <w:jc w:val="center"/>
              <w:rPr>
                <w:kern w:val="2"/>
                <w:sz w:val="21"/>
                <w:szCs w:val="21"/>
              </w:rPr>
            </w:pPr>
          </w:p>
        </w:tc>
        <w:tc>
          <w:tcPr>
            <w:tcW w:w="1267" w:type="dxa"/>
            <w:vMerge/>
            <w:vAlign w:val="center"/>
          </w:tcPr>
          <w:p w14:paraId="526B7905" w14:textId="77777777" w:rsidR="003E78AB" w:rsidRDefault="003E78AB">
            <w:pPr>
              <w:spacing w:line="360" w:lineRule="exact"/>
              <w:ind w:firstLineChars="0" w:firstLine="0"/>
              <w:contextualSpacing/>
              <w:jc w:val="center"/>
              <w:rPr>
                <w:kern w:val="2"/>
                <w:sz w:val="21"/>
                <w:szCs w:val="21"/>
              </w:rPr>
            </w:pPr>
          </w:p>
        </w:tc>
        <w:tc>
          <w:tcPr>
            <w:tcW w:w="1464" w:type="dxa"/>
            <w:vAlign w:val="center"/>
          </w:tcPr>
          <w:p w14:paraId="000EA058" w14:textId="77777777" w:rsidR="003E78AB" w:rsidRDefault="00010BF9">
            <w:pPr>
              <w:spacing w:line="360" w:lineRule="exact"/>
              <w:ind w:firstLineChars="0" w:firstLine="0"/>
              <w:contextualSpacing/>
              <w:jc w:val="center"/>
              <w:rPr>
                <w:kern w:val="2"/>
                <w:sz w:val="21"/>
                <w:szCs w:val="21"/>
              </w:rPr>
            </w:pPr>
            <w:r>
              <w:rPr>
                <w:kern w:val="2"/>
                <w:sz w:val="21"/>
                <w:szCs w:val="21"/>
              </w:rPr>
              <w:t>夜</w:t>
            </w:r>
          </w:p>
        </w:tc>
        <w:tc>
          <w:tcPr>
            <w:tcW w:w="1714" w:type="dxa"/>
            <w:vAlign w:val="center"/>
          </w:tcPr>
          <w:p w14:paraId="4C29F62F"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42</w:t>
            </w:r>
          </w:p>
        </w:tc>
        <w:tc>
          <w:tcPr>
            <w:tcW w:w="1337" w:type="dxa"/>
            <w:vAlign w:val="center"/>
          </w:tcPr>
          <w:p w14:paraId="00D634FB" w14:textId="77777777" w:rsidR="003E78AB" w:rsidRDefault="00010BF9">
            <w:pPr>
              <w:spacing w:line="360" w:lineRule="exact"/>
              <w:ind w:firstLineChars="0" w:firstLine="0"/>
              <w:contextualSpacing/>
              <w:jc w:val="center"/>
              <w:rPr>
                <w:kern w:val="2"/>
                <w:sz w:val="21"/>
                <w:szCs w:val="21"/>
              </w:rPr>
            </w:pPr>
            <w:r>
              <w:rPr>
                <w:kern w:val="2"/>
                <w:sz w:val="21"/>
                <w:szCs w:val="21"/>
              </w:rPr>
              <w:t>55</w:t>
            </w:r>
          </w:p>
        </w:tc>
        <w:tc>
          <w:tcPr>
            <w:tcW w:w="1520" w:type="dxa"/>
            <w:vAlign w:val="center"/>
          </w:tcPr>
          <w:p w14:paraId="34BB425F"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0CA0631C" w14:textId="77777777">
        <w:trPr>
          <w:cantSplit/>
          <w:trHeight w:val="283"/>
          <w:jc w:val="center"/>
        </w:trPr>
        <w:tc>
          <w:tcPr>
            <w:tcW w:w="1134" w:type="dxa"/>
            <w:vMerge w:val="restart"/>
            <w:vAlign w:val="center"/>
          </w:tcPr>
          <w:p w14:paraId="5E1E680E" w14:textId="77777777" w:rsidR="003E78AB" w:rsidRDefault="00010BF9">
            <w:pPr>
              <w:spacing w:line="360" w:lineRule="exact"/>
              <w:ind w:firstLineChars="0" w:firstLine="0"/>
              <w:contextualSpacing/>
              <w:jc w:val="center"/>
              <w:rPr>
                <w:kern w:val="2"/>
                <w:sz w:val="21"/>
                <w:szCs w:val="21"/>
              </w:rPr>
            </w:pPr>
            <w:r>
              <w:rPr>
                <w:kern w:val="2"/>
                <w:sz w:val="21"/>
                <w:szCs w:val="21"/>
              </w:rPr>
              <w:t>4</w:t>
            </w:r>
          </w:p>
        </w:tc>
        <w:tc>
          <w:tcPr>
            <w:tcW w:w="1267" w:type="dxa"/>
            <w:vMerge w:val="restart"/>
            <w:vAlign w:val="center"/>
          </w:tcPr>
          <w:p w14:paraId="4F8ADC28" w14:textId="77777777" w:rsidR="003E78AB" w:rsidRDefault="00010BF9">
            <w:pPr>
              <w:spacing w:line="360" w:lineRule="exact"/>
              <w:ind w:firstLineChars="0" w:firstLine="0"/>
              <w:contextualSpacing/>
              <w:jc w:val="center"/>
              <w:rPr>
                <w:kern w:val="2"/>
                <w:sz w:val="21"/>
                <w:szCs w:val="21"/>
              </w:rPr>
            </w:pPr>
            <w:r>
              <w:rPr>
                <w:kern w:val="2"/>
                <w:sz w:val="21"/>
                <w:szCs w:val="21"/>
              </w:rPr>
              <w:t>北侧</w:t>
            </w:r>
          </w:p>
        </w:tc>
        <w:tc>
          <w:tcPr>
            <w:tcW w:w="1464" w:type="dxa"/>
            <w:vAlign w:val="center"/>
          </w:tcPr>
          <w:p w14:paraId="1D2CBE74" w14:textId="77777777" w:rsidR="003E78AB" w:rsidRDefault="00010BF9">
            <w:pPr>
              <w:spacing w:line="360" w:lineRule="exact"/>
              <w:ind w:firstLineChars="0" w:firstLine="0"/>
              <w:contextualSpacing/>
              <w:jc w:val="center"/>
              <w:rPr>
                <w:kern w:val="2"/>
                <w:sz w:val="21"/>
                <w:szCs w:val="21"/>
              </w:rPr>
            </w:pPr>
            <w:r>
              <w:rPr>
                <w:kern w:val="2"/>
                <w:sz w:val="21"/>
                <w:szCs w:val="21"/>
              </w:rPr>
              <w:t>昼</w:t>
            </w:r>
          </w:p>
        </w:tc>
        <w:tc>
          <w:tcPr>
            <w:tcW w:w="1714" w:type="dxa"/>
            <w:vAlign w:val="center"/>
          </w:tcPr>
          <w:p w14:paraId="58932C66"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43</w:t>
            </w:r>
          </w:p>
        </w:tc>
        <w:tc>
          <w:tcPr>
            <w:tcW w:w="1337" w:type="dxa"/>
            <w:vAlign w:val="center"/>
          </w:tcPr>
          <w:p w14:paraId="211B311A" w14:textId="77777777" w:rsidR="003E78AB" w:rsidRDefault="00010BF9">
            <w:pPr>
              <w:spacing w:line="360" w:lineRule="exact"/>
              <w:ind w:firstLineChars="0" w:firstLine="0"/>
              <w:contextualSpacing/>
              <w:jc w:val="center"/>
              <w:rPr>
                <w:kern w:val="2"/>
                <w:sz w:val="21"/>
                <w:szCs w:val="21"/>
              </w:rPr>
            </w:pPr>
            <w:r>
              <w:rPr>
                <w:kern w:val="2"/>
                <w:sz w:val="21"/>
                <w:szCs w:val="21"/>
              </w:rPr>
              <w:t>65</w:t>
            </w:r>
          </w:p>
        </w:tc>
        <w:tc>
          <w:tcPr>
            <w:tcW w:w="1520" w:type="dxa"/>
            <w:vAlign w:val="center"/>
          </w:tcPr>
          <w:p w14:paraId="2B378970"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r w:rsidR="003E78AB" w14:paraId="512F7EEB" w14:textId="77777777">
        <w:trPr>
          <w:cantSplit/>
          <w:trHeight w:val="283"/>
          <w:jc w:val="center"/>
        </w:trPr>
        <w:tc>
          <w:tcPr>
            <w:tcW w:w="1134" w:type="dxa"/>
            <w:vMerge/>
            <w:vAlign w:val="center"/>
          </w:tcPr>
          <w:p w14:paraId="0006DF59" w14:textId="77777777" w:rsidR="003E78AB" w:rsidRDefault="003E78AB">
            <w:pPr>
              <w:spacing w:line="360" w:lineRule="exact"/>
              <w:ind w:firstLineChars="0" w:firstLine="0"/>
              <w:contextualSpacing/>
              <w:jc w:val="center"/>
              <w:rPr>
                <w:kern w:val="2"/>
                <w:sz w:val="21"/>
                <w:szCs w:val="21"/>
              </w:rPr>
            </w:pPr>
          </w:p>
        </w:tc>
        <w:tc>
          <w:tcPr>
            <w:tcW w:w="1267" w:type="dxa"/>
            <w:vMerge/>
            <w:vAlign w:val="center"/>
          </w:tcPr>
          <w:p w14:paraId="22B31953" w14:textId="77777777" w:rsidR="003E78AB" w:rsidRDefault="003E78AB">
            <w:pPr>
              <w:spacing w:line="360" w:lineRule="exact"/>
              <w:ind w:firstLineChars="0" w:firstLine="0"/>
              <w:contextualSpacing/>
              <w:jc w:val="center"/>
              <w:rPr>
                <w:kern w:val="2"/>
                <w:sz w:val="21"/>
                <w:szCs w:val="21"/>
              </w:rPr>
            </w:pPr>
          </w:p>
        </w:tc>
        <w:tc>
          <w:tcPr>
            <w:tcW w:w="1464" w:type="dxa"/>
            <w:vAlign w:val="center"/>
          </w:tcPr>
          <w:p w14:paraId="4BDF3D46" w14:textId="77777777" w:rsidR="003E78AB" w:rsidRDefault="00010BF9">
            <w:pPr>
              <w:spacing w:line="360" w:lineRule="exact"/>
              <w:ind w:firstLineChars="0" w:firstLine="0"/>
              <w:contextualSpacing/>
              <w:jc w:val="center"/>
              <w:rPr>
                <w:kern w:val="2"/>
                <w:sz w:val="21"/>
                <w:szCs w:val="21"/>
              </w:rPr>
            </w:pPr>
            <w:r>
              <w:rPr>
                <w:kern w:val="2"/>
                <w:sz w:val="21"/>
                <w:szCs w:val="21"/>
              </w:rPr>
              <w:t>夜</w:t>
            </w:r>
          </w:p>
        </w:tc>
        <w:tc>
          <w:tcPr>
            <w:tcW w:w="1714" w:type="dxa"/>
            <w:vAlign w:val="center"/>
          </w:tcPr>
          <w:p w14:paraId="4E3E8FC7" w14:textId="77777777" w:rsidR="003E78AB" w:rsidRDefault="00010BF9">
            <w:pPr>
              <w:spacing w:line="360" w:lineRule="exact"/>
              <w:ind w:firstLineChars="0" w:firstLine="0"/>
              <w:contextualSpacing/>
              <w:jc w:val="center"/>
              <w:rPr>
                <w:kern w:val="2"/>
                <w:sz w:val="21"/>
                <w:szCs w:val="21"/>
              </w:rPr>
            </w:pPr>
            <w:r>
              <w:rPr>
                <w:rFonts w:hint="eastAsia"/>
                <w:kern w:val="2"/>
                <w:sz w:val="21"/>
                <w:szCs w:val="21"/>
              </w:rPr>
              <w:t>42</w:t>
            </w:r>
          </w:p>
        </w:tc>
        <w:tc>
          <w:tcPr>
            <w:tcW w:w="1337" w:type="dxa"/>
            <w:vAlign w:val="center"/>
          </w:tcPr>
          <w:p w14:paraId="511EADF8" w14:textId="77777777" w:rsidR="003E78AB" w:rsidRDefault="00010BF9">
            <w:pPr>
              <w:spacing w:line="360" w:lineRule="exact"/>
              <w:ind w:firstLineChars="0" w:firstLine="0"/>
              <w:contextualSpacing/>
              <w:jc w:val="center"/>
              <w:rPr>
                <w:kern w:val="2"/>
                <w:sz w:val="21"/>
                <w:szCs w:val="21"/>
              </w:rPr>
            </w:pPr>
            <w:r>
              <w:rPr>
                <w:kern w:val="2"/>
                <w:sz w:val="21"/>
                <w:szCs w:val="21"/>
              </w:rPr>
              <w:t>55</w:t>
            </w:r>
          </w:p>
        </w:tc>
        <w:tc>
          <w:tcPr>
            <w:tcW w:w="1520" w:type="dxa"/>
            <w:vAlign w:val="center"/>
          </w:tcPr>
          <w:p w14:paraId="2104D36B" w14:textId="77777777" w:rsidR="003E78AB" w:rsidRDefault="00010BF9">
            <w:pPr>
              <w:spacing w:line="360" w:lineRule="exact"/>
              <w:ind w:firstLineChars="0" w:firstLine="0"/>
              <w:contextualSpacing/>
              <w:jc w:val="center"/>
              <w:rPr>
                <w:kern w:val="2"/>
                <w:sz w:val="21"/>
                <w:szCs w:val="21"/>
              </w:rPr>
            </w:pPr>
            <w:r>
              <w:rPr>
                <w:kern w:val="2"/>
                <w:sz w:val="21"/>
                <w:szCs w:val="21"/>
              </w:rPr>
              <w:t>达标</w:t>
            </w:r>
          </w:p>
        </w:tc>
      </w:tr>
    </w:tbl>
    <w:p w14:paraId="2624EF6A" w14:textId="77777777" w:rsidR="003E78AB" w:rsidRDefault="00010BF9">
      <w:pPr>
        <w:ind w:firstLine="480"/>
      </w:pPr>
      <w:r>
        <w:t>从上表的监测结果可以看出，昼间及夜间噪声监测值均符合《声环境质量标准》（</w:t>
      </w:r>
      <w:r>
        <w:t>GB3096-2008</w:t>
      </w:r>
      <w:r>
        <w:t>）中的</w:t>
      </w:r>
      <w:r>
        <w:t>3</w:t>
      </w:r>
      <w:r>
        <w:t>类区标准限值。</w:t>
      </w:r>
    </w:p>
    <w:p w14:paraId="72017A84" w14:textId="77777777" w:rsidR="003E78AB" w:rsidRDefault="00010BF9">
      <w:pPr>
        <w:pStyle w:val="24"/>
        <w:keepNext w:val="0"/>
        <w:keepLines w:val="0"/>
        <w:topLinePunct/>
        <w:spacing w:before="120"/>
        <w:outlineLvl w:val="2"/>
        <w:rPr>
          <w:rFonts w:cs="Times New Roman"/>
          <w:sz w:val="28"/>
          <w:szCs w:val="28"/>
        </w:rPr>
      </w:pPr>
      <w:r>
        <w:rPr>
          <w:rFonts w:cs="Times New Roman"/>
          <w:sz w:val="28"/>
          <w:szCs w:val="28"/>
        </w:rPr>
        <w:t>4.3.4</w:t>
      </w:r>
      <w:r>
        <w:rPr>
          <w:rFonts w:cs="Times New Roman"/>
          <w:sz w:val="28"/>
          <w:szCs w:val="28"/>
        </w:rPr>
        <w:t>土壤环境质量现状调查及评价</w:t>
      </w:r>
    </w:p>
    <w:p w14:paraId="3DC5FEF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4.3.4.1</w:t>
      </w:r>
      <w:r>
        <w:rPr>
          <w:rFonts w:ascii="Times New Roman" w:hAnsi="Times New Roman"/>
        </w:rPr>
        <w:t>区域土壤类型</w:t>
      </w:r>
    </w:p>
    <w:p w14:paraId="6FD2D125" w14:textId="77777777" w:rsidR="003E78AB" w:rsidRDefault="00010BF9">
      <w:pPr>
        <w:ind w:firstLine="480"/>
      </w:pPr>
      <w:r>
        <w:t>项目建设地点位于南部循环经济产业园，主要土壤类型为盐化草甸土亚类。盐化草甸土是由地下水直接参与，在其上发育草甸植被并产生一定生物积累过程的半水成土壤。地下水埋深一般在</w:t>
      </w:r>
      <w:r>
        <w:t>1</w:t>
      </w:r>
      <w:r>
        <w:t>～</w:t>
      </w:r>
      <w:r>
        <w:t>3m</w:t>
      </w:r>
      <w:r>
        <w:t>，矿化度</w:t>
      </w:r>
      <w:r>
        <w:t>1</w:t>
      </w:r>
      <w:r>
        <w:t>～</w:t>
      </w:r>
      <w:r>
        <w:t>3g/l</w:t>
      </w:r>
      <w:r>
        <w:t>，土壤受地下水浸润。草甸植被发育良好，但类型简单，多见芦苇。盐化草甸土盐分表聚性强，常有</w:t>
      </w:r>
      <w:r>
        <w:t>0.5</w:t>
      </w:r>
      <w:r>
        <w:t>～</w:t>
      </w:r>
      <w:r>
        <w:t>1.0cm</w:t>
      </w:r>
      <w:r>
        <w:t>的盐结皮。土壤剖面描述如下：</w:t>
      </w:r>
    </w:p>
    <w:p w14:paraId="05AE77F9" w14:textId="77777777" w:rsidR="003E78AB" w:rsidRDefault="00010BF9">
      <w:pPr>
        <w:ind w:firstLine="480"/>
      </w:pPr>
      <w:r>
        <w:t>0-29cm</w:t>
      </w:r>
      <w:r>
        <w:t>灰棕色，轻壤土，片状结构，紧实，润，多根系，石灰反应强烈。</w:t>
      </w:r>
    </w:p>
    <w:p w14:paraId="113D44EE" w14:textId="77777777" w:rsidR="003E78AB" w:rsidRDefault="00010BF9">
      <w:pPr>
        <w:ind w:firstLine="480"/>
      </w:pPr>
      <w:r>
        <w:t>29-45cm</w:t>
      </w:r>
      <w:r>
        <w:t>灰棕色，轻壤土，片状结构，极紧，根系中量，石灰反应强烈。</w:t>
      </w:r>
    </w:p>
    <w:p w14:paraId="768A1E26" w14:textId="77777777" w:rsidR="003E78AB" w:rsidRDefault="00010BF9">
      <w:pPr>
        <w:ind w:firstLine="480"/>
      </w:pPr>
      <w:r>
        <w:t>45-56cm</w:t>
      </w:r>
      <w:r>
        <w:t>黄棕色，轻壤土，小碎块状</w:t>
      </w:r>
      <w:r>
        <w:t>结构，较紧，潮湿，根系中量，石灰反应较强。</w:t>
      </w:r>
    </w:p>
    <w:p w14:paraId="2BB380C8" w14:textId="77777777" w:rsidR="003E78AB" w:rsidRDefault="00010BF9">
      <w:pPr>
        <w:ind w:firstLine="480"/>
      </w:pPr>
      <w:r>
        <w:t>56-96cm</w:t>
      </w:r>
      <w:r>
        <w:t>黄棕色，轻壤土，碎块状结构，较紧，潮湿，根系少量，锈斑多量，石灰反应强。</w:t>
      </w:r>
    </w:p>
    <w:p w14:paraId="20603E91" w14:textId="77777777" w:rsidR="003E78AB" w:rsidRDefault="00010BF9">
      <w:pPr>
        <w:ind w:firstLine="480"/>
      </w:pPr>
      <w:r>
        <w:t>96-130cm</w:t>
      </w:r>
      <w:r>
        <w:t>灰棕色，轻壤土，块状结构，较松，湿，根系极少，石灰反应强烈，多砂姜和锈斑。</w:t>
      </w:r>
    </w:p>
    <w:p w14:paraId="274D063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4.3.4.2</w:t>
      </w:r>
      <w:r>
        <w:rPr>
          <w:rFonts w:ascii="Times New Roman" w:hAnsi="Times New Roman"/>
        </w:rPr>
        <w:t>土壤理化性质调查</w:t>
      </w:r>
    </w:p>
    <w:p w14:paraId="50F40EAC" w14:textId="77777777" w:rsidR="003E78AB" w:rsidRDefault="00010BF9">
      <w:pPr>
        <w:ind w:firstLine="480"/>
      </w:pPr>
      <w:r>
        <w:t>为了解评价区域的土壤理化性质，在工程厂区占地范围内的土壤监测点位进行采样调查，调查结果</w:t>
      </w:r>
      <w:r>
        <w:fldChar w:fldCharType="begin"/>
      </w:r>
      <w:r>
        <w:instrText xml:space="preserve"> REF _Ref19246 \r \h </w:instrText>
      </w:r>
      <w:r>
        <w:fldChar w:fldCharType="separate"/>
      </w:r>
      <w:r>
        <w:t>表</w:t>
      </w:r>
      <w:r>
        <w:t>4-12</w:t>
      </w:r>
      <w:r>
        <w:fldChar w:fldCharType="end"/>
      </w:r>
      <w:r>
        <w:t>。</w:t>
      </w:r>
    </w:p>
    <w:p w14:paraId="3DE3BA25" w14:textId="77777777" w:rsidR="003E78AB" w:rsidRDefault="00010BF9">
      <w:pPr>
        <w:pStyle w:val="a0"/>
        <w:ind w:left="425" w:hanging="425"/>
        <w:rPr>
          <w:rFonts w:hint="default"/>
          <w:kern w:val="2"/>
          <w:szCs w:val="21"/>
        </w:rPr>
      </w:pPr>
      <w:bookmarkStart w:id="316" w:name="_Ref19246"/>
      <w:r>
        <w:rPr>
          <w:rFonts w:hint="default"/>
        </w:rPr>
        <w:t>区域土壤理化性质一览表</w:t>
      </w:r>
      <w:bookmarkEnd w:id="316"/>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365"/>
        <w:gridCol w:w="1523"/>
        <w:gridCol w:w="1159"/>
        <w:gridCol w:w="2405"/>
      </w:tblGrid>
      <w:tr w:rsidR="003E78AB" w14:paraId="4EDA0813" w14:textId="77777777">
        <w:trPr>
          <w:trHeight w:val="283"/>
        </w:trPr>
        <w:tc>
          <w:tcPr>
            <w:tcW w:w="1983" w:type="pct"/>
            <w:gridSpan w:val="2"/>
            <w:tcBorders>
              <w:tl2br w:val="nil"/>
              <w:tr2bl w:val="nil"/>
            </w:tcBorders>
            <w:vAlign w:val="center"/>
          </w:tcPr>
          <w:p w14:paraId="6468F93A"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点号</w:t>
            </w:r>
          </w:p>
        </w:tc>
        <w:tc>
          <w:tcPr>
            <w:tcW w:w="903" w:type="pct"/>
            <w:tcBorders>
              <w:tl2br w:val="nil"/>
              <w:tr2bl w:val="nil"/>
            </w:tcBorders>
            <w:vAlign w:val="center"/>
          </w:tcPr>
          <w:p w14:paraId="2A2E1378"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1#</w:t>
            </w:r>
            <w:r>
              <w:rPr>
                <w:bCs/>
                <w:kern w:val="2"/>
                <w:sz w:val="21"/>
                <w:szCs w:val="21"/>
                <w:lang w:bidi="zh-CN"/>
              </w:rPr>
              <w:t>拟建储罐区</w:t>
            </w:r>
          </w:p>
        </w:tc>
        <w:tc>
          <w:tcPr>
            <w:tcW w:w="687" w:type="pct"/>
            <w:tcBorders>
              <w:tl2br w:val="nil"/>
              <w:tr2bl w:val="nil"/>
            </w:tcBorders>
            <w:vAlign w:val="center"/>
          </w:tcPr>
          <w:p w14:paraId="44AD9D90"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分析日期</w:t>
            </w:r>
          </w:p>
        </w:tc>
        <w:tc>
          <w:tcPr>
            <w:tcW w:w="1426" w:type="pct"/>
            <w:tcBorders>
              <w:tl2br w:val="nil"/>
              <w:tr2bl w:val="nil"/>
            </w:tcBorders>
            <w:vAlign w:val="center"/>
          </w:tcPr>
          <w:p w14:paraId="53827547" w14:textId="77777777" w:rsidR="003E78AB" w:rsidRDefault="00010BF9">
            <w:pPr>
              <w:spacing w:line="360" w:lineRule="exact"/>
              <w:ind w:firstLineChars="0" w:firstLine="0"/>
              <w:jc w:val="center"/>
              <w:rPr>
                <w:rFonts w:eastAsia="Noto Sans CJK JP Regular"/>
                <w:bCs/>
                <w:kern w:val="2"/>
                <w:sz w:val="21"/>
                <w:szCs w:val="21"/>
                <w:lang w:bidi="zh-CN"/>
              </w:rPr>
            </w:pPr>
            <w:r>
              <w:rPr>
                <w:rFonts w:eastAsia="Noto Sans CJK JP Regular"/>
                <w:kern w:val="2"/>
                <w:sz w:val="21"/>
                <w:szCs w:val="21"/>
                <w:lang w:bidi="zh-CN"/>
              </w:rPr>
              <w:t>202</w:t>
            </w:r>
            <w:r>
              <w:rPr>
                <w:rFonts w:eastAsia="Noto Sans CJK JP Regular" w:hint="eastAsia"/>
                <w:kern w:val="2"/>
                <w:sz w:val="21"/>
                <w:szCs w:val="21"/>
                <w:lang w:bidi="zh-CN"/>
              </w:rPr>
              <w:t>5.5.31</w:t>
            </w:r>
            <w:r>
              <w:rPr>
                <w:rFonts w:eastAsia="Noto Sans CJK JP Regular"/>
                <w:kern w:val="2"/>
                <w:sz w:val="21"/>
                <w:szCs w:val="21"/>
                <w:lang w:bidi="zh-CN"/>
              </w:rPr>
              <w:t>~202</w:t>
            </w:r>
            <w:r>
              <w:rPr>
                <w:rFonts w:eastAsia="Noto Sans CJK JP Regular" w:hint="eastAsia"/>
                <w:kern w:val="2"/>
                <w:sz w:val="21"/>
                <w:szCs w:val="21"/>
                <w:lang w:bidi="zh-CN"/>
              </w:rPr>
              <w:t>5.6.12</w:t>
            </w:r>
          </w:p>
        </w:tc>
      </w:tr>
      <w:tr w:rsidR="003E78AB" w14:paraId="4A9C9731" w14:textId="77777777">
        <w:trPr>
          <w:trHeight w:val="283"/>
        </w:trPr>
        <w:tc>
          <w:tcPr>
            <w:tcW w:w="1983" w:type="pct"/>
            <w:gridSpan w:val="2"/>
            <w:tcBorders>
              <w:tl2br w:val="nil"/>
              <w:tr2bl w:val="nil"/>
            </w:tcBorders>
            <w:vAlign w:val="center"/>
          </w:tcPr>
          <w:p w14:paraId="1D748E3B"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经度</w:t>
            </w:r>
          </w:p>
        </w:tc>
        <w:tc>
          <w:tcPr>
            <w:tcW w:w="903" w:type="pct"/>
            <w:tcBorders>
              <w:tl2br w:val="nil"/>
              <w:tr2bl w:val="nil"/>
            </w:tcBorders>
            <w:vAlign w:val="center"/>
          </w:tcPr>
          <w:p w14:paraId="1B81324C" w14:textId="77777777" w:rsidR="003E78AB" w:rsidRDefault="00010BF9">
            <w:pPr>
              <w:spacing w:line="360" w:lineRule="exact"/>
              <w:ind w:firstLineChars="0" w:firstLine="0"/>
              <w:jc w:val="center"/>
              <w:rPr>
                <w:rFonts w:eastAsia="Noto Sans CJK JP Regular"/>
                <w:bCs/>
                <w:kern w:val="2"/>
                <w:sz w:val="21"/>
                <w:szCs w:val="21"/>
                <w:lang w:val="zh-CN" w:bidi="zh-CN"/>
              </w:rPr>
            </w:pPr>
            <w:r>
              <w:rPr>
                <w:kern w:val="2"/>
                <w:sz w:val="21"/>
                <w:szCs w:val="21"/>
                <w:lang w:bidi="zh-CN"/>
              </w:rPr>
              <w:t>E:</w:t>
            </w:r>
            <w:r>
              <w:rPr>
                <w:rFonts w:eastAsia="Noto Sans CJK JP Regular"/>
                <w:kern w:val="2"/>
                <w:sz w:val="21"/>
                <w:szCs w:val="21"/>
                <w:lang w:bidi="zh-CN"/>
              </w:rPr>
              <w:t>93</w:t>
            </w:r>
            <w:r>
              <w:rPr>
                <w:kern w:val="2"/>
                <w:sz w:val="21"/>
                <w:szCs w:val="21"/>
                <w:lang w:bidi="zh-CN"/>
              </w:rPr>
              <w:t>°</w:t>
            </w:r>
            <w:r>
              <w:rPr>
                <w:rFonts w:eastAsia="Noto Sans CJK JP Regular"/>
                <w:kern w:val="2"/>
                <w:sz w:val="21"/>
                <w:szCs w:val="21"/>
                <w:lang w:bidi="zh-CN"/>
              </w:rPr>
              <w:t>25</w:t>
            </w:r>
            <w:r>
              <w:rPr>
                <w:kern w:val="2"/>
                <w:sz w:val="21"/>
                <w:szCs w:val="21"/>
                <w:lang w:bidi="zh-CN"/>
              </w:rPr>
              <w:t>′</w:t>
            </w:r>
            <w:r>
              <w:rPr>
                <w:rFonts w:eastAsia="Noto Sans CJK JP Regular"/>
                <w:kern w:val="2"/>
                <w:sz w:val="21"/>
                <w:szCs w:val="21"/>
                <w:lang w:bidi="zh-CN"/>
              </w:rPr>
              <w:t>58.97</w:t>
            </w:r>
            <w:r>
              <w:rPr>
                <w:kern w:val="2"/>
                <w:sz w:val="21"/>
                <w:szCs w:val="21"/>
                <w:lang w:bidi="zh-CN"/>
              </w:rPr>
              <w:t>″</w:t>
            </w:r>
          </w:p>
        </w:tc>
        <w:tc>
          <w:tcPr>
            <w:tcW w:w="687" w:type="pct"/>
            <w:tcBorders>
              <w:tl2br w:val="nil"/>
              <w:tr2bl w:val="nil"/>
            </w:tcBorders>
            <w:vAlign w:val="center"/>
          </w:tcPr>
          <w:p w14:paraId="46733E50"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纬度</w:t>
            </w:r>
          </w:p>
        </w:tc>
        <w:tc>
          <w:tcPr>
            <w:tcW w:w="1426" w:type="pct"/>
            <w:tcBorders>
              <w:tl2br w:val="nil"/>
              <w:tr2bl w:val="nil"/>
            </w:tcBorders>
            <w:vAlign w:val="center"/>
          </w:tcPr>
          <w:p w14:paraId="4E2A5F73" w14:textId="77777777" w:rsidR="003E78AB" w:rsidRDefault="00010BF9">
            <w:pPr>
              <w:spacing w:line="360" w:lineRule="exact"/>
              <w:ind w:firstLineChars="0" w:firstLine="0"/>
              <w:jc w:val="center"/>
              <w:rPr>
                <w:rFonts w:eastAsia="Noto Sans CJK JP Regular"/>
                <w:bCs/>
                <w:kern w:val="2"/>
                <w:sz w:val="21"/>
                <w:szCs w:val="21"/>
                <w:lang w:val="zh-CN" w:bidi="zh-CN"/>
              </w:rPr>
            </w:pPr>
            <w:r>
              <w:rPr>
                <w:kern w:val="2"/>
                <w:sz w:val="21"/>
                <w:szCs w:val="21"/>
                <w:lang w:bidi="zh-CN"/>
              </w:rPr>
              <w:t>N:</w:t>
            </w:r>
            <w:r>
              <w:rPr>
                <w:rFonts w:eastAsia="Noto Sans CJK JP Regular"/>
                <w:kern w:val="2"/>
                <w:sz w:val="21"/>
                <w:szCs w:val="21"/>
                <w:lang w:bidi="zh-CN"/>
              </w:rPr>
              <w:t>42</w:t>
            </w:r>
            <w:r>
              <w:rPr>
                <w:kern w:val="2"/>
                <w:sz w:val="21"/>
                <w:szCs w:val="21"/>
                <w:lang w:bidi="zh-CN"/>
              </w:rPr>
              <w:t>°</w:t>
            </w:r>
            <w:r>
              <w:rPr>
                <w:rFonts w:eastAsia="Noto Sans CJK JP Regular"/>
                <w:kern w:val="2"/>
                <w:sz w:val="21"/>
                <w:szCs w:val="21"/>
                <w:lang w:bidi="zh-CN"/>
              </w:rPr>
              <w:t>41</w:t>
            </w:r>
            <w:r>
              <w:rPr>
                <w:kern w:val="2"/>
                <w:sz w:val="21"/>
                <w:szCs w:val="21"/>
                <w:lang w:bidi="zh-CN"/>
              </w:rPr>
              <w:t>′</w:t>
            </w:r>
            <w:r>
              <w:rPr>
                <w:rFonts w:eastAsia="Noto Sans CJK JP Regular"/>
                <w:kern w:val="2"/>
                <w:sz w:val="21"/>
                <w:szCs w:val="21"/>
                <w:lang w:bidi="zh-CN"/>
              </w:rPr>
              <w:t>19.60</w:t>
            </w:r>
            <w:r>
              <w:rPr>
                <w:kern w:val="2"/>
                <w:sz w:val="21"/>
                <w:szCs w:val="21"/>
                <w:lang w:bidi="zh-CN"/>
              </w:rPr>
              <w:t>″</w:t>
            </w:r>
          </w:p>
        </w:tc>
      </w:tr>
      <w:tr w:rsidR="003E78AB" w14:paraId="1607B2FC" w14:textId="77777777">
        <w:trPr>
          <w:trHeight w:val="283"/>
        </w:trPr>
        <w:tc>
          <w:tcPr>
            <w:tcW w:w="1983" w:type="pct"/>
            <w:gridSpan w:val="2"/>
            <w:tcBorders>
              <w:tl2br w:val="nil"/>
              <w:tr2bl w:val="nil"/>
            </w:tcBorders>
            <w:vAlign w:val="center"/>
          </w:tcPr>
          <w:p w14:paraId="74611986"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层次</w:t>
            </w:r>
          </w:p>
        </w:tc>
        <w:tc>
          <w:tcPr>
            <w:tcW w:w="3016" w:type="pct"/>
            <w:gridSpan w:val="3"/>
            <w:tcBorders>
              <w:tl2br w:val="nil"/>
              <w:tr2bl w:val="nil"/>
            </w:tcBorders>
            <w:vAlign w:val="center"/>
          </w:tcPr>
          <w:p w14:paraId="4C1D2B01" w14:textId="77777777" w:rsidR="003E78AB" w:rsidRDefault="00010BF9">
            <w:pPr>
              <w:spacing w:line="360" w:lineRule="exact"/>
              <w:ind w:firstLineChars="0" w:firstLine="0"/>
              <w:jc w:val="center"/>
              <w:rPr>
                <w:rFonts w:eastAsia="Noto Sans CJK JP Regular"/>
                <w:bCs/>
                <w:kern w:val="2"/>
                <w:sz w:val="21"/>
                <w:szCs w:val="21"/>
                <w:lang w:val="zh-CN" w:bidi="zh-CN"/>
              </w:rPr>
            </w:pPr>
            <w:r>
              <w:rPr>
                <w:rFonts w:eastAsia="Times New Roman"/>
                <w:bCs/>
                <w:kern w:val="2"/>
                <w:sz w:val="21"/>
                <w:szCs w:val="21"/>
                <w:lang w:val="zh-CN" w:bidi="zh-CN"/>
              </w:rPr>
              <w:t>0~0.</w:t>
            </w:r>
            <w:r>
              <w:rPr>
                <w:bCs/>
                <w:kern w:val="2"/>
                <w:sz w:val="21"/>
                <w:szCs w:val="21"/>
                <w:lang w:bidi="zh-CN"/>
              </w:rPr>
              <w:t>2</w:t>
            </w:r>
            <w:r>
              <w:rPr>
                <w:rFonts w:eastAsia="Times New Roman"/>
                <w:bCs/>
                <w:kern w:val="2"/>
                <w:sz w:val="21"/>
                <w:szCs w:val="21"/>
                <w:lang w:val="zh-CN" w:bidi="zh-CN"/>
              </w:rPr>
              <w:t>m</w:t>
            </w:r>
          </w:p>
        </w:tc>
      </w:tr>
      <w:tr w:rsidR="003E78AB" w14:paraId="63F94D90" w14:textId="77777777">
        <w:trPr>
          <w:trHeight w:val="283"/>
        </w:trPr>
        <w:tc>
          <w:tcPr>
            <w:tcW w:w="581" w:type="pct"/>
            <w:vMerge w:val="restart"/>
            <w:tcBorders>
              <w:tl2br w:val="nil"/>
              <w:tr2bl w:val="nil"/>
            </w:tcBorders>
            <w:vAlign w:val="center"/>
          </w:tcPr>
          <w:p w14:paraId="406A3D6C"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现场记录</w:t>
            </w:r>
          </w:p>
        </w:tc>
        <w:tc>
          <w:tcPr>
            <w:tcW w:w="1402" w:type="pct"/>
            <w:tcBorders>
              <w:tl2br w:val="nil"/>
              <w:tr2bl w:val="nil"/>
            </w:tcBorders>
            <w:vAlign w:val="center"/>
          </w:tcPr>
          <w:p w14:paraId="46C323D6"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颜色</w:t>
            </w:r>
          </w:p>
        </w:tc>
        <w:tc>
          <w:tcPr>
            <w:tcW w:w="3016" w:type="pct"/>
            <w:gridSpan w:val="3"/>
            <w:tcBorders>
              <w:tl2br w:val="nil"/>
              <w:tr2bl w:val="nil"/>
            </w:tcBorders>
            <w:vAlign w:val="center"/>
          </w:tcPr>
          <w:p w14:paraId="4742AD25" w14:textId="77777777" w:rsidR="003E78AB" w:rsidRDefault="00010BF9">
            <w:pPr>
              <w:spacing w:line="360" w:lineRule="exact"/>
              <w:ind w:firstLineChars="0" w:firstLine="0"/>
              <w:jc w:val="center"/>
              <w:textAlignment w:val="center"/>
              <w:rPr>
                <w:bCs/>
                <w:kern w:val="2"/>
                <w:sz w:val="21"/>
                <w:szCs w:val="21"/>
              </w:rPr>
            </w:pPr>
            <w:r>
              <w:rPr>
                <w:kern w:val="2"/>
                <w:sz w:val="21"/>
                <w:szCs w:val="21"/>
              </w:rPr>
              <w:t>黄色</w:t>
            </w:r>
          </w:p>
        </w:tc>
      </w:tr>
      <w:tr w:rsidR="003E78AB" w14:paraId="7C0D9E9F" w14:textId="77777777">
        <w:trPr>
          <w:trHeight w:val="283"/>
        </w:trPr>
        <w:tc>
          <w:tcPr>
            <w:tcW w:w="581" w:type="pct"/>
            <w:vMerge/>
            <w:tcBorders>
              <w:tl2br w:val="nil"/>
              <w:tr2bl w:val="nil"/>
            </w:tcBorders>
            <w:vAlign w:val="center"/>
          </w:tcPr>
          <w:p w14:paraId="6E218771"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1755FD1A"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结构</w:t>
            </w:r>
          </w:p>
        </w:tc>
        <w:tc>
          <w:tcPr>
            <w:tcW w:w="3016" w:type="pct"/>
            <w:gridSpan w:val="3"/>
            <w:tcBorders>
              <w:tl2br w:val="nil"/>
              <w:tr2bl w:val="nil"/>
            </w:tcBorders>
            <w:vAlign w:val="center"/>
          </w:tcPr>
          <w:p w14:paraId="58DB9C72" w14:textId="77777777" w:rsidR="003E78AB" w:rsidRDefault="00010BF9">
            <w:pPr>
              <w:spacing w:line="360" w:lineRule="exact"/>
              <w:ind w:firstLineChars="0" w:firstLine="0"/>
              <w:jc w:val="center"/>
              <w:rPr>
                <w:bCs/>
                <w:kern w:val="2"/>
                <w:sz w:val="21"/>
                <w:szCs w:val="21"/>
              </w:rPr>
            </w:pPr>
            <w:r>
              <w:rPr>
                <w:kern w:val="2"/>
                <w:sz w:val="21"/>
                <w:szCs w:val="21"/>
              </w:rPr>
              <w:t>砂土</w:t>
            </w:r>
          </w:p>
        </w:tc>
      </w:tr>
      <w:tr w:rsidR="003E78AB" w14:paraId="1A137B43" w14:textId="77777777">
        <w:trPr>
          <w:trHeight w:val="283"/>
        </w:trPr>
        <w:tc>
          <w:tcPr>
            <w:tcW w:w="581" w:type="pct"/>
            <w:vMerge/>
            <w:tcBorders>
              <w:tl2br w:val="nil"/>
              <w:tr2bl w:val="nil"/>
            </w:tcBorders>
            <w:vAlign w:val="center"/>
          </w:tcPr>
          <w:p w14:paraId="318B3877"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45020D10"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质地</w:t>
            </w:r>
          </w:p>
        </w:tc>
        <w:tc>
          <w:tcPr>
            <w:tcW w:w="3016" w:type="pct"/>
            <w:gridSpan w:val="3"/>
            <w:tcBorders>
              <w:tl2br w:val="nil"/>
              <w:tr2bl w:val="nil"/>
            </w:tcBorders>
            <w:vAlign w:val="center"/>
          </w:tcPr>
          <w:p w14:paraId="7ABC04DD" w14:textId="77777777" w:rsidR="003E78AB" w:rsidRDefault="00010BF9">
            <w:pPr>
              <w:spacing w:line="360" w:lineRule="exact"/>
              <w:ind w:firstLineChars="0" w:firstLine="0"/>
              <w:jc w:val="center"/>
              <w:rPr>
                <w:bCs/>
                <w:kern w:val="2"/>
                <w:sz w:val="21"/>
                <w:szCs w:val="21"/>
              </w:rPr>
            </w:pPr>
            <w:r>
              <w:rPr>
                <w:kern w:val="2"/>
                <w:sz w:val="21"/>
                <w:szCs w:val="21"/>
              </w:rPr>
              <w:t>团粒</w:t>
            </w:r>
          </w:p>
        </w:tc>
      </w:tr>
      <w:tr w:rsidR="003E78AB" w14:paraId="0CE6B5A4" w14:textId="77777777">
        <w:trPr>
          <w:trHeight w:val="283"/>
        </w:trPr>
        <w:tc>
          <w:tcPr>
            <w:tcW w:w="581" w:type="pct"/>
            <w:vMerge/>
            <w:tcBorders>
              <w:tl2br w:val="nil"/>
              <w:tr2bl w:val="nil"/>
            </w:tcBorders>
            <w:vAlign w:val="center"/>
          </w:tcPr>
          <w:p w14:paraId="786C7F3F"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755A7FC8"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砂砾含量</w:t>
            </w:r>
          </w:p>
        </w:tc>
        <w:tc>
          <w:tcPr>
            <w:tcW w:w="3016" w:type="pct"/>
            <w:gridSpan w:val="3"/>
            <w:tcBorders>
              <w:tl2br w:val="nil"/>
              <w:tr2bl w:val="nil"/>
            </w:tcBorders>
            <w:vAlign w:val="center"/>
          </w:tcPr>
          <w:p w14:paraId="2BE50B14" w14:textId="77777777" w:rsidR="003E78AB" w:rsidRDefault="00010BF9">
            <w:pPr>
              <w:spacing w:line="360" w:lineRule="exact"/>
              <w:ind w:firstLineChars="0" w:firstLine="0"/>
              <w:jc w:val="center"/>
              <w:rPr>
                <w:bCs/>
                <w:kern w:val="2"/>
                <w:sz w:val="21"/>
                <w:szCs w:val="21"/>
              </w:rPr>
            </w:pPr>
            <w:r>
              <w:rPr>
                <w:kern w:val="2"/>
                <w:sz w:val="21"/>
                <w:szCs w:val="21"/>
              </w:rPr>
              <w:t>80%</w:t>
            </w:r>
          </w:p>
        </w:tc>
      </w:tr>
      <w:tr w:rsidR="003E78AB" w14:paraId="399A9C01" w14:textId="77777777">
        <w:trPr>
          <w:trHeight w:val="283"/>
        </w:trPr>
        <w:tc>
          <w:tcPr>
            <w:tcW w:w="581" w:type="pct"/>
            <w:vMerge/>
            <w:tcBorders>
              <w:tl2br w:val="nil"/>
              <w:tr2bl w:val="nil"/>
            </w:tcBorders>
            <w:vAlign w:val="center"/>
          </w:tcPr>
          <w:p w14:paraId="09D310F9"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013EE35F"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其他异物</w:t>
            </w:r>
          </w:p>
        </w:tc>
        <w:tc>
          <w:tcPr>
            <w:tcW w:w="3016" w:type="pct"/>
            <w:gridSpan w:val="3"/>
            <w:tcBorders>
              <w:tl2br w:val="nil"/>
              <w:tr2bl w:val="nil"/>
            </w:tcBorders>
            <w:vAlign w:val="center"/>
          </w:tcPr>
          <w:p w14:paraId="64A56EDA" w14:textId="77777777" w:rsidR="003E78AB" w:rsidRDefault="00010BF9">
            <w:pPr>
              <w:spacing w:line="360" w:lineRule="exact"/>
              <w:ind w:firstLineChars="0" w:firstLine="0"/>
              <w:jc w:val="center"/>
              <w:rPr>
                <w:bCs/>
                <w:kern w:val="2"/>
                <w:sz w:val="21"/>
                <w:szCs w:val="21"/>
              </w:rPr>
            </w:pPr>
            <w:r>
              <w:rPr>
                <w:kern w:val="2"/>
                <w:sz w:val="21"/>
                <w:szCs w:val="21"/>
              </w:rPr>
              <w:t>无</w:t>
            </w:r>
          </w:p>
        </w:tc>
      </w:tr>
      <w:tr w:rsidR="003E78AB" w14:paraId="69A7392A" w14:textId="77777777">
        <w:trPr>
          <w:trHeight w:val="283"/>
        </w:trPr>
        <w:tc>
          <w:tcPr>
            <w:tcW w:w="581" w:type="pct"/>
            <w:vMerge w:val="restart"/>
            <w:tcBorders>
              <w:tl2br w:val="nil"/>
              <w:tr2bl w:val="nil"/>
            </w:tcBorders>
            <w:vAlign w:val="center"/>
          </w:tcPr>
          <w:p w14:paraId="7B5FAC80"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实验室测定</w:t>
            </w:r>
          </w:p>
        </w:tc>
        <w:tc>
          <w:tcPr>
            <w:tcW w:w="1402" w:type="pct"/>
            <w:tcBorders>
              <w:tl2br w:val="nil"/>
              <w:tr2bl w:val="nil"/>
            </w:tcBorders>
            <w:vAlign w:val="center"/>
          </w:tcPr>
          <w:p w14:paraId="2069980C" w14:textId="77777777" w:rsidR="003E78AB" w:rsidRDefault="00010BF9">
            <w:pPr>
              <w:spacing w:line="360" w:lineRule="exact"/>
              <w:ind w:firstLineChars="0" w:firstLine="0"/>
              <w:jc w:val="center"/>
              <w:rPr>
                <w:rFonts w:eastAsia="Noto Sans CJK JP Regular"/>
                <w:bCs/>
                <w:kern w:val="2"/>
                <w:sz w:val="21"/>
                <w:szCs w:val="21"/>
                <w:lang w:val="zh-CN" w:bidi="zh-CN"/>
              </w:rPr>
            </w:pPr>
            <w:r>
              <w:rPr>
                <w:rFonts w:eastAsia="Times New Roman"/>
                <w:bCs/>
                <w:kern w:val="2"/>
                <w:sz w:val="21"/>
                <w:szCs w:val="21"/>
                <w:lang w:val="zh-CN" w:bidi="zh-CN"/>
              </w:rPr>
              <w:t>pH</w:t>
            </w:r>
            <w:r>
              <w:rPr>
                <w:bCs/>
                <w:kern w:val="2"/>
                <w:sz w:val="21"/>
                <w:szCs w:val="21"/>
                <w:lang w:val="zh-CN" w:bidi="zh-CN"/>
              </w:rPr>
              <w:t>值</w:t>
            </w:r>
          </w:p>
        </w:tc>
        <w:tc>
          <w:tcPr>
            <w:tcW w:w="3016" w:type="pct"/>
            <w:gridSpan w:val="3"/>
            <w:tcBorders>
              <w:tl2br w:val="nil"/>
              <w:tr2bl w:val="nil"/>
            </w:tcBorders>
            <w:vAlign w:val="center"/>
          </w:tcPr>
          <w:p w14:paraId="0DFACD6B"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8.22</w:t>
            </w:r>
          </w:p>
        </w:tc>
      </w:tr>
      <w:tr w:rsidR="003E78AB" w14:paraId="29F8932E" w14:textId="77777777">
        <w:trPr>
          <w:trHeight w:val="283"/>
        </w:trPr>
        <w:tc>
          <w:tcPr>
            <w:tcW w:w="581" w:type="pct"/>
            <w:vMerge/>
            <w:tcBorders>
              <w:tl2br w:val="nil"/>
              <w:tr2bl w:val="nil"/>
            </w:tcBorders>
            <w:vAlign w:val="center"/>
          </w:tcPr>
          <w:p w14:paraId="4F490268"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3EEE3D2D"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spacing w:val="-26"/>
                <w:kern w:val="2"/>
                <w:sz w:val="21"/>
                <w:szCs w:val="21"/>
                <w:lang w:val="zh-CN" w:bidi="zh-CN"/>
              </w:rPr>
              <w:t>阳离子交换量（</w:t>
            </w:r>
            <w:r>
              <w:rPr>
                <w:rFonts w:eastAsia="Times New Roman"/>
                <w:bCs/>
                <w:spacing w:val="-26"/>
                <w:kern w:val="2"/>
                <w:sz w:val="21"/>
                <w:szCs w:val="21"/>
                <w:lang w:val="zh-CN" w:bidi="zh-CN"/>
              </w:rPr>
              <w:t>/</w:t>
            </w:r>
            <w:r>
              <w:rPr>
                <w:rFonts w:eastAsia="Times New Roman"/>
                <w:bCs/>
                <w:kern w:val="2"/>
                <w:sz w:val="21"/>
                <w:szCs w:val="21"/>
                <w:lang w:val="zh-CN" w:bidi="zh-CN"/>
              </w:rPr>
              <w:t>cmol</w:t>
            </w:r>
            <w:r>
              <w:rPr>
                <w:rFonts w:eastAsia="Times New Roman"/>
                <w:bCs/>
                <w:kern w:val="2"/>
                <w:position w:val="7"/>
                <w:sz w:val="21"/>
                <w:szCs w:val="21"/>
                <w:lang w:val="zh-CN" w:bidi="zh-CN"/>
              </w:rPr>
              <w:t>+</w:t>
            </w:r>
            <w:r>
              <w:rPr>
                <w:rFonts w:eastAsia="Times New Roman"/>
                <w:bCs/>
                <w:kern w:val="2"/>
                <w:sz w:val="21"/>
                <w:szCs w:val="21"/>
                <w:lang w:val="zh-CN" w:bidi="zh-CN"/>
              </w:rPr>
              <w:t>/kg</w:t>
            </w:r>
            <w:r>
              <w:rPr>
                <w:bCs/>
                <w:kern w:val="2"/>
                <w:sz w:val="21"/>
                <w:szCs w:val="21"/>
                <w:lang w:val="zh-CN" w:bidi="zh-CN"/>
              </w:rPr>
              <w:t>）</w:t>
            </w:r>
          </w:p>
        </w:tc>
        <w:tc>
          <w:tcPr>
            <w:tcW w:w="3016" w:type="pct"/>
            <w:gridSpan w:val="3"/>
            <w:tcBorders>
              <w:tl2br w:val="nil"/>
              <w:tr2bl w:val="nil"/>
            </w:tcBorders>
            <w:vAlign w:val="center"/>
          </w:tcPr>
          <w:p w14:paraId="54ADC8AE"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4.8</w:t>
            </w:r>
          </w:p>
        </w:tc>
      </w:tr>
      <w:tr w:rsidR="003E78AB" w14:paraId="22A93117" w14:textId="77777777">
        <w:trPr>
          <w:trHeight w:val="283"/>
        </w:trPr>
        <w:tc>
          <w:tcPr>
            <w:tcW w:w="581" w:type="pct"/>
            <w:vMerge/>
            <w:tcBorders>
              <w:tl2br w:val="nil"/>
              <w:tr2bl w:val="nil"/>
            </w:tcBorders>
            <w:vAlign w:val="center"/>
          </w:tcPr>
          <w:p w14:paraId="403308A1"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00DED5D2"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土壤容重</w:t>
            </w:r>
            <w:r>
              <w:rPr>
                <w:rFonts w:eastAsia="Times New Roman"/>
                <w:bCs/>
                <w:kern w:val="2"/>
                <w:sz w:val="21"/>
                <w:szCs w:val="21"/>
                <w:lang w:val="zh-CN" w:bidi="zh-CN"/>
              </w:rPr>
              <w:t>/</w:t>
            </w:r>
            <w:r>
              <w:rPr>
                <w:bCs/>
                <w:kern w:val="2"/>
                <w:sz w:val="21"/>
                <w:szCs w:val="21"/>
                <w:lang w:val="zh-CN" w:bidi="zh-CN"/>
              </w:rPr>
              <w:t>（</w:t>
            </w:r>
            <w:r>
              <w:rPr>
                <w:rFonts w:eastAsia="Times New Roman"/>
                <w:bCs/>
                <w:kern w:val="2"/>
                <w:sz w:val="21"/>
                <w:szCs w:val="21"/>
                <w:lang w:val="zh-CN" w:bidi="zh-CN"/>
              </w:rPr>
              <w:t>g/cm</w:t>
            </w:r>
            <w:r>
              <w:rPr>
                <w:bCs/>
                <w:kern w:val="2"/>
                <w:sz w:val="21"/>
                <w:szCs w:val="21"/>
                <w:vertAlign w:val="superscript"/>
                <w:lang w:bidi="zh-CN"/>
              </w:rPr>
              <w:t>3</w:t>
            </w:r>
            <w:r>
              <w:rPr>
                <w:bCs/>
                <w:kern w:val="2"/>
                <w:sz w:val="21"/>
                <w:szCs w:val="21"/>
                <w:lang w:val="zh-CN" w:bidi="zh-CN"/>
              </w:rPr>
              <w:t>）</w:t>
            </w:r>
          </w:p>
        </w:tc>
        <w:tc>
          <w:tcPr>
            <w:tcW w:w="3016" w:type="pct"/>
            <w:gridSpan w:val="3"/>
            <w:tcBorders>
              <w:tl2br w:val="nil"/>
              <w:tr2bl w:val="nil"/>
            </w:tcBorders>
            <w:vAlign w:val="center"/>
          </w:tcPr>
          <w:p w14:paraId="7FBD77C8"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1.32</w:t>
            </w:r>
          </w:p>
        </w:tc>
      </w:tr>
      <w:tr w:rsidR="003E78AB" w14:paraId="107E47E2" w14:textId="77777777">
        <w:trPr>
          <w:trHeight w:val="283"/>
        </w:trPr>
        <w:tc>
          <w:tcPr>
            <w:tcW w:w="581" w:type="pct"/>
            <w:vMerge/>
            <w:tcBorders>
              <w:tl2br w:val="nil"/>
              <w:tr2bl w:val="nil"/>
            </w:tcBorders>
            <w:vAlign w:val="center"/>
          </w:tcPr>
          <w:p w14:paraId="4FCD00EB"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06A90EBE"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孔隙度</w:t>
            </w:r>
            <w:r>
              <w:rPr>
                <w:rFonts w:eastAsia="Times New Roman"/>
                <w:bCs/>
                <w:kern w:val="2"/>
                <w:sz w:val="21"/>
                <w:szCs w:val="21"/>
                <w:lang w:val="zh-CN" w:bidi="zh-CN"/>
              </w:rPr>
              <w:t>/%</w:t>
            </w:r>
          </w:p>
        </w:tc>
        <w:tc>
          <w:tcPr>
            <w:tcW w:w="3016" w:type="pct"/>
            <w:gridSpan w:val="3"/>
            <w:tcBorders>
              <w:tl2br w:val="nil"/>
              <w:tr2bl w:val="nil"/>
            </w:tcBorders>
            <w:vAlign w:val="center"/>
          </w:tcPr>
          <w:p w14:paraId="1EA73A8F"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48</w:t>
            </w:r>
          </w:p>
        </w:tc>
      </w:tr>
      <w:tr w:rsidR="003E78AB" w14:paraId="4BB2D16C" w14:textId="77777777">
        <w:trPr>
          <w:trHeight w:val="283"/>
        </w:trPr>
        <w:tc>
          <w:tcPr>
            <w:tcW w:w="581" w:type="pct"/>
            <w:vMerge/>
            <w:tcBorders>
              <w:tl2br w:val="nil"/>
              <w:tr2bl w:val="nil"/>
            </w:tcBorders>
            <w:vAlign w:val="center"/>
          </w:tcPr>
          <w:p w14:paraId="57986AF6"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0D4C529C" w14:textId="77777777" w:rsidR="003E78AB" w:rsidRDefault="00010BF9">
            <w:pPr>
              <w:spacing w:line="360" w:lineRule="exact"/>
              <w:ind w:firstLineChars="0" w:firstLine="0"/>
              <w:jc w:val="center"/>
              <w:rPr>
                <w:rFonts w:eastAsia="Noto Sans CJK JP Regular"/>
                <w:bCs/>
                <w:kern w:val="2"/>
                <w:sz w:val="21"/>
                <w:szCs w:val="21"/>
                <w:lang w:val="zh-CN" w:bidi="zh-CN"/>
              </w:rPr>
            </w:pPr>
            <w:r>
              <w:rPr>
                <w:bCs/>
                <w:kern w:val="2"/>
                <w:sz w:val="21"/>
                <w:szCs w:val="21"/>
                <w:lang w:val="zh-CN" w:bidi="zh-CN"/>
              </w:rPr>
              <w:t>氧化还原电位</w:t>
            </w:r>
            <w:r>
              <w:rPr>
                <w:rFonts w:eastAsia="Times New Roman"/>
                <w:bCs/>
                <w:kern w:val="2"/>
                <w:sz w:val="21"/>
                <w:szCs w:val="21"/>
                <w:lang w:val="zh-CN" w:bidi="zh-CN"/>
              </w:rPr>
              <w:t>/</w:t>
            </w:r>
            <w:r>
              <w:rPr>
                <w:bCs/>
                <w:kern w:val="2"/>
                <w:sz w:val="21"/>
                <w:szCs w:val="21"/>
                <w:lang w:val="zh-CN" w:bidi="zh-CN"/>
              </w:rPr>
              <w:t>（</w:t>
            </w:r>
            <w:r>
              <w:rPr>
                <w:rFonts w:eastAsia="Times New Roman"/>
                <w:bCs/>
                <w:kern w:val="2"/>
                <w:sz w:val="21"/>
                <w:szCs w:val="21"/>
                <w:lang w:val="zh-CN" w:bidi="zh-CN"/>
              </w:rPr>
              <w:t>mV</w:t>
            </w:r>
            <w:r>
              <w:rPr>
                <w:bCs/>
                <w:kern w:val="2"/>
                <w:sz w:val="21"/>
                <w:szCs w:val="21"/>
                <w:lang w:val="zh-CN" w:bidi="zh-CN"/>
              </w:rPr>
              <w:t>）</w:t>
            </w:r>
          </w:p>
        </w:tc>
        <w:tc>
          <w:tcPr>
            <w:tcW w:w="3016" w:type="pct"/>
            <w:gridSpan w:val="3"/>
            <w:tcBorders>
              <w:tl2br w:val="nil"/>
              <w:tr2bl w:val="nil"/>
            </w:tcBorders>
            <w:vAlign w:val="center"/>
          </w:tcPr>
          <w:p w14:paraId="4409EC16"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299</w:t>
            </w:r>
          </w:p>
        </w:tc>
      </w:tr>
      <w:tr w:rsidR="003E78AB" w14:paraId="57C322C8" w14:textId="77777777">
        <w:trPr>
          <w:trHeight w:val="283"/>
        </w:trPr>
        <w:tc>
          <w:tcPr>
            <w:tcW w:w="581" w:type="pct"/>
            <w:vMerge/>
            <w:tcBorders>
              <w:tl2br w:val="nil"/>
              <w:tr2bl w:val="nil"/>
            </w:tcBorders>
            <w:vAlign w:val="center"/>
          </w:tcPr>
          <w:p w14:paraId="2618F660" w14:textId="77777777" w:rsidR="003E78AB" w:rsidRDefault="003E78AB">
            <w:pPr>
              <w:spacing w:line="360" w:lineRule="exact"/>
              <w:ind w:firstLineChars="0" w:firstLine="0"/>
              <w:jc w:val="center"/>
              <w:rPr>
                <w:rFonts w:eastAsia="Noto Sans CJK JP Regular"/>
                <w:bCs/>
                <w:kern w:val="2"/>
                <w:sz w:val="21"/>
                <w:szCs w:val="21"/>
                <w:lang w:val="zh-CN" w:bidi="zh-CN"/>
              </w:rPr>
            </w:pPr>
          </w:p>
        </w:tc>
        <w:tc>
          <w:tcPr>
            <w:tcW w:w="1402" w:type="pct"/>
            <w:tcBorders>
              <w:tl2br w:val="nil"/>
              <w:tr2bl w:val="nil"/>
            </w:tcBorders>
            <w:vAlign w:val="center"/>
          </w:tcPr>
          <w:p w14:paraId="26B0880F" w14:textId="77777777" w:rsidR="003E78AB" w:rsidRDefault="00010BF9">
            <w:pPr>
              <w:spacing w:line="360" w:lineRule="exact"/>
              <w:ind w:firstLineChars="0" w:firstLine="0"/>
              <w:jc w:val="center"/>
              <w:rPr>
                <w:bCs/>
                <w:kern w:val="2"/>
                <w:sz w:val="21"/>
                <w:szCs w:val="21"/>
                <w:lang w:bidi="zh-CN"/>
              </w:rPr>
            </w:pPr>
            <w:r>
              <w:rPr>
                <w:bCs/>
                <w:kern w:val="2"/>
                <w:sz w:val="21"/>
                <w:szCs w:val="21"/>
                <w:lang w:bidi="zh-CN"/>
              </w:rPr>
              <w:t>饱和导水率</w:t>
            </w:r>
            <w:r>
              <w:rPr>
                <w:bCs/>
                <w:kern w:val="2"/>
                <w:sz w:val="21"/>
                <w:szCs w:val="21"/>
                <w:lang w:bidi="zh-CN"/>
              </w:rPr>
              <w:t>cm/s</w:t>
            </w:r>
          </w:p>
        </w:tc>
        <w:tc>
          <w:tcPr>
            <w:tcW w:w="3016" w:type="pct"/>
            <w:gridSpan w:val="3"/>
            <w:tcBorders>
              <w:tl2br w:val="nil"/>
              <w:tr2bl w:val="nil"/>
            </w:tcBorders>
            <w:vAlign w:val="center"/>
          </w:tcPr>
          <w:p w14:paraId="5D60705A" w14:textId="77777777" w:rsidR="003E78AB" w:rsidRDefault="00010BF9">
            <w:pPr>
              <w:spacing w:line="360" w:lineRule="exact"/>
              <w:ind w:firstLineChars="0" w:firstLine="0"/>
              <w:jc w:val="center"/>
              <w:rPr>
                <w:bCs/>
                <w:kern w:val="2"/>
                <w:sz w:val="21"/>
                <w:szCs w:val="21"/>
                <w:lang w:bidi="zh-CN"/>
              </w:rPr>
            </w:pPr>
            <w:r>
              <w:rPr>
                <w:rFonts w:eastAsia="Noto Sans CJK JP Regular"/>
                <w:kern w:val="2"/>
                <w:sz w:val="21"/>
                <w:szCs w:val="21"/>
                <w:lang w:bidi="zh-CN"/>
              </w:rPr>
              <w:t>4.04×10</w:t>
            </w:r>
            <w:r>
              <w:rPr>
                <w:rFonts w:eastAsia="Noto Sans CJK JP Regular"/>
                <w:kern w:val="2"/>
                <w:sz w:val="21"/>
                <w:szCs w:val="21"/>
                <w:vertAlign w:val="superscript"/>
                <w:lang w:bidi="zh-CN"/>
              </w:rPr>
              <w:t>-4</w:t>
            </w:r>
          </w:p>
        </w:tc>
      </w:tr>
    </w:tbl>
    <w:p w14:paraId="741A36A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4.3.4.3</w:t>
      </w:r>
      <w:r>
        <w:rPr>
          <w:rFonts w:ascii="Times New Roman" w:hAnsi="Times New Roman"/>
        </w:rPr>
        <w:t>土壤环境质量现状</w:t>
      </w:r>
    </w:p>
    <w:p w14:paraId="2CB0C439" w14:textId="77777777" w:rsidR="003E78AB" w:rsidRDefault="00010BF9">
      <w:pPr>
        <w:ind w:firstLine="480"/>
      </w:pPr>
      <w:r>
        <w:t>（</w:t>
      </w:r>
      <w:r>
        <w:t>1</w:t>
      </w:r>
      <w:r>
        <w:t>）监测布点</w:t>
      </w:r>
    </w:p>
    <w:p w14:paraId="146480DF" w14:textId="77777777" w:rsidR="003E78AB" w:rsidRDefault="00010BF9">
      <w:pPr>
        <w:ind w:firstLine="480"/>
      </w:pPr>
      <w:r>
        <w:t>为清晰了解项目区周边土壤环境质量现状，本次评价共布设</w:t>
      </w:r>
      <w:r>
        <w:t>6</w:t>
      </w:r>
      <w:r>
        <w:t>个监测点，其中包括</w:t>
      </w:r>
      <w:r>
        <w:t>3</w:t>
      </w:r>
      <w:r>
        <w:t>个土壤表层样点，</w:t>
      </w:r>
      <w:r>
        <w:t>3</w:t>
      </w:r>
      <w:r>
        <w:t>个土壤柱状样点。各监测点位名称及与项目相对关系见</w:t>
      </w:r>
      <w:r>
        <w:fldChar w:fldCharType="begin"/>
      </w:r>
      <w:r>
        <w:instrText xml:space="preserve"> REF _Ref19298 \r \h </w:instrText>
      </w:r>
      <w:r>
        <w:fldChar w:fldCharType="separate"/>
      </w:r>
      <w:r>
        <w:t>表</w:t>
      </w:r>
      <w:r>
        <w:t>4-13</w:t>
      </w:r>
      <w:r>
        <w:fldChar w:fldCharType="end"/>
      </w:r>
      <w:r>
        <w:t>，土壤监测点位图见</w:t>
      </w:r>
      <w:r>
        <w:rPr>
          <w:rFonts w:hint="eastAsia"/>
        </w:rPr>
        <w:t>附图</w:t>
      </w:r>
      <w:r>
        <w:rPr>
          <w:rFonts w:hint="eastAsia"/>
        </w:rPr>
        <w:t>9</w:t>
      </w:r>
      <w:r>
        <w:t>。</w:t>
      </w:r>
    </w:p>
    <w:p w14:paraId="6EB0AD65" w14:textId="77777777" w:rsidR="003E78AB" w:rsidRDefault="00010BF9">
      <w:pPr>
        <w:pStyle w:val="a0"/>
        <w:ind w:left="425" w:hanging="425"/>
        <w:rPr>
          <w:rFonts w:hint="default"/>
        </w:rPr>
      </w:pPr>
      <w:bookmarkStart w:id="317" w:name="_Ref19298"/>
      <w:r>
        <w:rPr>
          <w:rFonts w:hint="default"/>
        </w:rPr>
        <w:t>土壤监测点位布置情况表</w:t>
      </w:r>
      <w:bookmarkEnd w:id="317"/>
    </w:p>
    <w:tbl>
      <w:tblPr>
        <w:tblStyle w:val="afe"/>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93"/>
        <w:gridCol w:w="1064"/>
        <w:gridCol w:w="827"/>
        <w:gridCol w:w="703"/>
        <w:gridCol w:w="2348"/>
        <w:gridCol w:w="1898"/>
      </w:tblGrid>
      <w:tr w:rsidR="003E78AB" w14:paraId="546B6F43" w14:textId="77777777">
        <w:trPr>
          <w:trHeight w:val="340"/>
          <w:tblHeader/>
        </w:trPr>
        <w:tc>
          <w:tcPr>
            <w:tcW w:w="320" w:type="pct"/>
            <w:vMerge w:val="restart"/>
          </w:tcPr>
          <w:p w14:paraId="0AF8F95A" w14:textId="77777777" w:rsidR="003E78AB" w:rsidRDefault="00010BF9">
            <w:pPr>
              <w:spacing w:line="360" w:lineRule="exact"/>
              <w:ind w:firstLineChars="0" w:firstLine="0"/>
              <w:jc w:val="center"/>
              <w:rPr>
                <w:b/>
                <w:bCs/>
                <w:sz w:val="21"/>
                <w:szCs w:val="21"/>
              </w:rPr>
            </w:pPr>
            <w:r>
              <w:rPr>
                <w:b/>
                <w:bCs/>
                <w:sz w:val="21"/>
                <w:szCs w:val="21"/>
              </w:rPr>
              <w:t>点号</w:t>
            </w:r>
          </w:p>
        </w:tc>
        <w:tc>
          <w:tcPr>
            <w:tcW w:w="673" w:type="pct"/>
            <w:vMerge w:val="restart"/>
          </w:tcPr>
          <w:p w14:paraId="0C829657" w14:textId="77777777" w:rsidR="003E78AB" w:rsidRDefault="00010BF9">
            <w:pPr>
              <w:spacing w:line="360" w:lineRule="exact"/>
              <w:ind w:firstLineChars="0" w:firstLine="0"/>
              <w:jc w:val="center"/>
              <w:rPr>
                <w:b/>
                <w:bCs/>
                <w:sz w:val="21"/>
                <w:szCs w:val="21"/>
              </w:rPr>
            </w:pPr>
            <w:r>
              <w:rPr>
                <w:b/>
                <w:bCs/>
                <w:sz w:val="21"/>
                <w:szCs w:val="21"/>
              </w:rPr>
              <w:t>位置</w:t>
            </w:r>
          </w:p>
        </w:tc>
        <w:tc>
          <w:tcPr>
            <w:tcW w:w="1171" w:type="pct"/>
            <w:gridSpan w:val="2"/>
          </w:tcPr>
          <w:p w14:paraId="08CE3444" w14:textId="77777777" w:rsidR="003E78AB" w:rsidRDefault="00010BF9">
            <w:pPr>
              <w:spacing w:line="360" w:lineRule="exact"/>
              <w:ind w:firstLineChars="0" w:firstLine="0"/>
              <w:jc w:val="center"/>
              <w:rPr>
                <w:b/>
                <w:bCs/>
                <w:sz w:val="21"/>
                <w:szCs w:val="21"/>
              </w:rPr>
            </w:pPr>
            <w:r>
              <w:rPr>
                <w:b/>
                <w:bCs/>
                <w:sz w:val="21"/>
                <w:szCs w:val="21"/>
              </w:rPr>
              <w:t>相对于项目区</w:t>
            </w:r>
          </w:p>
        </w:tc>
        <w:tc>
          <w:tcPr>
            <w:tcW w:w="441" w:type="pct"/>
            <w:vMerge w:val="restart"/>
          </w:tcPr>
          <w:p w14:paraId="69B7D211" w14:textId="77777777" w:rsidR="003E78AB" w:rsidRDefault="00010BF9">
            <w:pPr>
              <w:spacing w:line="360" w:lineRule="exact"/>
              <w:ind w:firstLineChars="0" w:firstLine="0"/>
              <w:jc w:val="center"/>
              <w:rPr>
                <w:b/>
                <w:bCs/>
                <w:sz w:val="21"/>
                <w:szCs w:val="21"/>
              </w:rPr>
            </w:pPr>
            <w:r>
              <w:rPr>
                <w:b/>
                <w:bCs/>
                <w:sz w:val="21"/>
                <w:szCs w:val="21"/>
              </w:rPr>
              <w:t>点位</w:t>
            </w:r>
            <w:r>
              <w:rPr>
                <w:rFonts w:hint="eastAsia"/>
                <w:b/>
                <w:bCs/>
                <w:sz w:val="21"/>
                <w:szCs w:val="21"/>
              </w:rPr>
              <w:t>类型</w:t>
            </w:r>
          </w:p>
        </w:tc>
        <w:tc>
          <w:tcPr>
            <w:tcW w:w="1416" w:type="pct"/>
            <w:vMerge w:val="restart"/>
          </w:tcPr>
          <w:p w14:paraId="4C02CD50" w14:textId="77777777" w:rsidR="003E78AB" w:rsidRDefault="00010BF9">
            <w:pPr>
              <w:spacing w:line="360" w:lineRule="exact"/>
              <w:ind w:firstLineChars="0" w:firstLine="0"/>
              <w:jc w:val="center"/>
              <w:rPr>
                <w:b/>
                <w:bCs/>
                <w:sz w:val="21"/>
                <w:szCs w:val="21"/>
              </w:rPr>
            </w:pPr>
            <w:r>
              <w:rPr>
                <w:rFonts w:hint="eastAsia"/>
                <w:b/>
                <w:bCs/>
                <w:sz w:val="21"/>
                <w:szCs w:val="21"/>
              </w:rPr>
              <w:t>点位</w:t>
            </w:r>
            <w:r>
              <w:rPr>
                <w:b/>
                <w:bCs/>
                <w:sz w:val="21"/>
                <w:szCs w:val="21"/>
              </w:rPr>
              <w:t>坐标</w:t>
            </w:r>
          </w:p>
        </w:tc>
        <w:tc>
          <w:tcPr>
            <w:tcW w:w="976" w:type="pct"/>
            <w:vMerge w:val="restart"/>
          </w:tcPr>
          <w:p w14:paraId="228B4890" w14:textId="77777777" w:rsidR="003E78AB" w:rsidRDefault="00010BF9">
            <w:pPr>
              <w:spacing w:line="360" w:lineRule="exact"/>
              <w:ind w:firstLineChars="0" w:firstLine="0"/>
              <w:jc w:val="center"/>
              <w:rPr>
                <w:b/>
                <w:bCs/>
                <w:sz w:val="21"/>
                <w:szCs w:val="21"/>
              </w:rPr>
            </w:pPr>
            <w:r>
              <w:rPr>
                <w:rFonts w:hint="eastAsia"/>
                <w:b/>
                <w:bCs/>
                <w:sz w:val="21"/>
                <w:szCs w:val="21"/>
              </w:rPr>
              <w:t>监测内容</w:t>
            </w:r>
          </w:p>
        </w:tc>
      </w:tr>
      <w:tr w:rsidR="003E78AB" w14:paraId="549E39E1" w14:textId="77777777">
        <w:trPr>
          <w:trHeight w:val="340"/>
          <w:tblHeader/>
        </w:trPr>
        <w:tc>
          <w:tcPr>
            <w:tcW w:w="320" w:type="pct"/>
            <w:vMerge/>
          </w:tcPr>
          <w:p w14:paraId="38984AF6" w14:textId="77777777" w:rsidR="003E78AB" w:rsidRDefault="003E78AB">
            <w:pPr>
              <w:spacing w:line="360" w:lineRule="exact"/>
              <w:ind w:firstLineChars="0" w:firstLine="0"/>
              <w:jc w:val="center"/>
              <w:rPr>
                <w:sz w:val="21"/>
                <w:szCs w:val="21"/>
              </w:rPr>
            </w:pPr>
          </w:p>
        </w:tc>
        <w:tc>
          <w:tcPr>
            <w:tcW w:w="673" w:type="pct"/>
            <w:vMerge/>
          </w:tcPr>
          <w:p w14:paraId="45808F3E" w14:textId="77777777" w:rsidR="003E78AB" w:rsidRDefault="003E78AB">
            <w:pPr>
              <w:spacing w:line="360" w:lineRule="exact"/>
              <w:ind w:firstLineChars="0" w:firstLine="0"/>
              <w:jc w:val="center"/>
              <w:rPr>
                <w:sz w:val="21"/>
                <w:szCs w:val="21"/>
              </w:rPr>
            </w:pPr>
          </w:p>
        </w:tc>
        <w:tc>
          <w:tcPr>
            <w:tcW w:w="656" w:type="pct"/>
          </w:tcPr>
          <w:p w14:paraId="70040920" w14:textId="77777777" w:rsidR="003E78AB" w:rsidRDefault="00010BF9">
            <w:pPr>
              <w:spacing w:line="360" w:lineRule="exact"/>
              <w:ind w:firstLineChars="0" w:firstLine="0"/>
              <w:jc w:val="center"/>
              <w:rPr>
                <w:b/>
                <w:bCs/>
                <w:sz w:val="21"/>
                <w:szCs w:val="21"/>
              </w:rPr>
            </w:pPr>
            <w:r>
              <w:rPr>
                <w:b/>
                <w:bCs/>
                <w:sz w:val="21"/>
                <w:szCs w:val="21"/>
              </w:rPr>
              <w:t>方位</w:t>
            </w:r>
          </w:p>
        </w:tc>
        <w:tc>
          <w:tcPr>
            <w:tcW w:w="515" w:type="pct"/>
          </w:tcPr>
          <w:p w14:paraId="65DEF507" w14:textId="77777777" w:rsidR="003E78AB" w:rsidRDefault="00010BF9">
            <w:pPr>
              <w:spacing w:line="360" w:lineRule="exact"/>
              <w:ind w:firstLineChars="0" w:firstLine="0"/>
              <w:jc w:val="center"/>
              <w:rPr>
                <w:b/>
                <w:bCs/>
                <w:sz w:val="21"/>
                <w:szCs w:val="21"/>
              </w:rPr>
            </w:pPr>
            <w:r>
              <w:rPr>
                <w:b/>
                <w:bCs/>
                <w:sz w:val="21"/>
                <w:szCs w:val="21"/>
              </w:rPr>
              <w:t>距离（</w:t>
            </w:r>
            <w:r>
              <w:rPr>
                <w:b/>
                <w:bCs/>
                <w:sz w:val="21"/>
                <w:szCs w:val="21"/>
              </w:rPr>
              <w:t>km</w:t>
            </w:r>
            <w:r>
              <w:rPr>
                <w:b/>
                <w:bCs/>
                <w:sz w:val="21"/>
                <w:szCs w:val="21"/>
              </w:rPr>
              <w:t>）</w:t>
            </w:r>
          </w:p>
        </w:tc>
        <w:tc>
          <w:tcPr>
            <w:tcW w:w="441" w:type="pct"/>
            <w:vMerge/>
          </w:tcPr>
          <w:p w14:paraId="356AF6AB" w14:textId="77777777" w:rsidR="003E78AB" w:rsidRDefault="003E78AB">
            <w:pPr>
              <w:spacing w:line="360" w:lineRule="exact"/>
              <w:ind w:firstLineChars="0" w:firstLine="0"/>
              <w:jc w:val="center"/>
              <w:rPr>
                <w:sz w:val="21"/>
                <w:szCs w:val="21"/>
              </w:rPr>
            </w:pPr>
          </w:p>
        </w:tc>
        <w:tc>
          <w:tcPr>
            <w:tcW w:w="1416" w:type="pct"/>
            <w:vMerge/>
          </w:tcPr>
          <w:p w14:paraId="6385D1E4" w14:textId="77777777" w:rsidR="003E78AB" w:rsidRDefault="003E78AB">
            <w:pPr>
              <w:spacing w:line="360" w:lineRule="exact"/>
              <w:ind w:firstLineChars="0" w:firstLine="0"/>
              <w:jc w:val="center"/>
              <w:rPr>
                <w:b/>
                <w:bCs/>
                <w:sz w:val="21"/>
                <w:szCs w:val="21"/>
              </w:rPr>
            </w:pPr>
          </w:p>
        </w:tc>
        <w:tc>
          <w:tcPr>
            <w:tcW w:w="976" w:type="pct"/>
            <w:vMerge/>
          </w:tcPr>
          <w:p w14:paraId="1FD1F484" w14:textId="77777777" w:rsidR="003E78AB" w:rsidRDefault="003E78AB">
            <w:pPr>
              <w:spacing w:line="360" w:lineRule="exact"/>
              <w:ind w:firstLineChars="0" w:firstLine="0"/>
              <w:jc w:val="center"/>
              <w:rPr>
                <w:b/>
                <w:bCs/>
                <w:sz w:val="21"/>
                <w:szCs w:val="21"/>
              </w:rPr>
            </w:pPr>
          </w:p>
        </w:tc>
      </w:tr>
      <w:tr w:rsidR="003E78AB" w14:paraId="2FDEAB74" w14:textId="77777777">
        <w:trPr>
          <w:trHeight w:val="340"/>
        </w:trPr>
        <w:tc>
          <w:tcPr>
            <w:tcW w:w="320" w:type="pct"/>
          </w:tcPr>
          <w:p w14:paraId="551F42FB" w14:textId="77777777" w:rsidR="003E78AB" w:rsidRDefault="00010BF9">
            <w:pPr>
              <w:spacing w:line="360" w:lineRule="exact"/>
              <w:ind w:firstLineChars="0" w:firstLine="0"/>
              <w:jc w:val="center"/>
              <w:rPr>
                <w:sz w:val="21"/>
                <w:szCs w:val="21"/>
              </w:rPr>
            </w:pPr>
            <w:r>
              <w:rPr>
                <w:sz w:val="21"/>
                <w:szCs w:val="21"/>
              </w:rPr>
              <w:t>1#</w:t>
            </w:r>
          </w:p>
        </w:tc>
        <w:tc>
          <w:tcPr>
            <w:tcW w:w="673" w:type="pct"/>
          </w:tcPr>
          <w:p w14:paraId="2B5973A6" w14:textId="77777777" w:rsidR="003E78AB" w:rsidRDefault="00010BF9">
            <w:pPr>
              <w:spacing w:line="360" w:lineRule="exact"/>
              <w:ind w:firstLineChars="0" w:firstLine="0"/>
              <w:jc w:val="center"/>
              <w:rPr>
                <w:sz w:val="21"/>
                <w:szCs w:val="21"/>
              </w:rPr>
            </w:pPr>
            <w:r>
              <w:rPr>
                <w:sz w:val="21"/>
                <w:szCs w:val="21"/>
              </w:rPr>
              <w:t>项目厂界南侧</w:t>
            </w:r>
          </w:p>
        </w:tc>
        <w:tc>
          <w:tcPr>
            <w:tcW w:w="656" w:type="pct"/>
          </w:tcPr>
          <w:p w14:paraId="21B66054" w14:textId="77777777" w:rsidR="003E78AB" w:rsidRDefault="00010BF9">
            <w:pPr>
              <w:spacing w:line="360" w:lineRule="exact"/>
              <w:ind w:firstLineChars="0" w:firstLine="0"/>
              <w:jc w:val="center"/>
              <w:rPr>
                <w:sz w:val="21"/>
                <w:szCs w:val="21"/>
              </w:rPr>
            </w:pPr>
            <w:r>
              <w:rPr>
                <w:sz w:val="21"/>
                <w:szCs w:val="21"/>
              </w:rPr>
              <w:t>南</w:t>
            </w:r>
          </w:p>
        </w:tc>
        <w:tc>
          <w:tcPr>
            <w:tcW w:w="515" w:type="pct"/>
          </w:tcPr>
          <w:p w14:paraId="6C9A32C1" w14:textId="77777777" w:rsidR="003E78AB" w:rsidRDefault="00010BF9">
            <w:pPr>
              <w:spacing w:line="360" w:lineRule="exact"/>
              <w:ind w:firstLineChars="0" w:firstLine="0"/>
              <w:jc w:val="center"/>
              <w:rPr>
                <w:sz w:val="21"/>
                <w:szCs w:val="21"/>
              </w:rPr>
            </w:pPr>
            <w:r>
              <w:rPr>
                <w:sz w:val="21"/>
                <w:szCs w:val="21"/>
              </w:rPr>
              <w:t>0.1</w:t>
            </w:r>
          </w:p>
        </w:tc>
        <w:tc>
          <w:tcPr>
            <w:tcW w:w="441" w:type="pct"/>
          </w:tcPr>
          <w:p w14:paraId="729A17D0" w14:textId="77777777" w:rsidR="003E78AB" w:rsidRDefault="00010BF9">
            <w:pPr>
              <w:spacing w:line="360" w:lineRule="exact"/>
              <w:ind w:firstLineChars="0" w:firstLine="0"/>
              <w:jc w:val="center"/>
              <w:rPr>
                <w:sz w:val="21"/>
                <w:szCs w:val="21"/>
              </w:rPr>
            </w:pPr>
            <w:r>
              <w:rPr>
                <w:sz w:val="21"/>
                <w:szCs w:val="21"/>
              </w:rPr>
              <w:t>表层样点</w:t>
            </w:r>
          </w:p>
        </w:tc>
        <w:tc>
          <w:tcPr>
            <w:tcW w:w="1416" w:type="pct"/>
          </w:tcPr>
          <w:p w14:paraId="1C907097" w14:textId="77777777" w:rsidR="003E78AB" w:rsidRDefault="00010BF9">
            <w:pPr>
              <w:spacing w:line="360" w:lineRule="exact"/>
              <w:ind w:firstLineChars="0" w:firstLine="0"/>
              <w:jc w:val="center"/>
              <w:rPr>
                <w:sz w:val="21"/>
                <w:szCs w:val="21"/>
              </w:rPr>
            </w:pPr>
            <w:r>
              <w:rPr>
                <w:rFonts w:hint="eastAsia"/>
                <w:sz w:val="21"/>
                <w:szCs w:val="21"/>
              </w:rPr>
              <w:t>E:93</w:t>
            </w:r>
            <w:r>
              <w:rPr>
                <w:rFonts w:hint="eastAsia"/>
                <w:sz w:val="21"/>
                <w:szCs w:val="21"/>
              </w:rPr>
              <w:t>°</w:t>
            </w:r>
            <w:r>
              <w:rPr>
                <w:rFonts w:hint="eastAsia"/>
                <w:sz w:val="21"/>
                <w:szCs w:val="21"/>
              </w:rPr>
              <w:t>25</w:t>
            </w:r>
            <w:r>
              <w:rPr>
                <w:rFonts w:hint="eastAsia"/>
                <w:sz w:val="21"/>
                <w:szCs w:val="21"/>
              </w:rPr>
              <w:t>′</w:t>
            </w:r>
            <w:r>
              <w:rPr>
                <w:rFonts w:hint="eastAsia"/>
                <w:sz w:val="21"/>
                <w:szCs w:val="21"/>
              </w:rPr>
              <w:t>11.57026</w:t>
            </w:r>
            <w:r>
              <w:rPr>
                <w:rFonts w:hint="eastAsia"/>
                <w:sz w:val="21"/>
                <w:szCs w:val="21"/>
              </w:rPr>
              <w:t>″</w:t>
            </w:r>
          </w:p>
          <w:p w14:paraId="6C3C053A" w14:textId="77777777" w:rsidR="003E78AB" w:rsidRDefault="00010BF9">
            <w:pPr>
              <w:spacing w:line="360" w:lineRule="exact"/>
              <w:ind w:firstLineChars="0" w:firstLine="0"/>
              <w:jc w:val="center"/>
              <w:rPr>
                <w:sz w:val="21"/>
                <w:szCs w:val="21"/>
              </w:rPr>
            </w:pPr>
            <w:r>
              <w:rPr>
                <w:rFonts w:hint="eastAsia"/>
                <w:sz w:val="21"/>
                <w:szCs w:val="21"/>
              </w:rPr>
              <w:t>N:42</w:t>
            </w:r>
            <w:r>
              <w:rPr>
                <w:rFonts w:hint="eastAsia"/>
                <w:sz w:val="21"/>
                <w:szCs w:val="21"/>
              </w:rPr>
              <w:t>°</w:t>
            </w:r>
            <w:r>
              <w:rPr>
                <w:rFonts w:hint="eastAsia"/>
                <w:sz w:val="21"/>
                <w:szCs w:val="21"/>
              </w:rPr>
              <w:t>41</w:t>
            </w:r>
            <w:r>
              <w:rPr>
                <w:rFonts w:hint="eastAsia"/>
                <w:sz w:val="21"/>
                <w:szCs w:val="21"/>
              </w:rPr>
              <w:t>′</w:t>
            </w:r>
            <w:r>
              <w:rPr>
                <w:rFonts w:hint="eastAsia"/>
                <w:sz w:val="21"/>
                <w:szCs w:val="21"/>
              </w:rPr>
              <w:t>32.58181</w:t>
            </w:r>
            <w:r>
              <w:rPr>
                <w:rFonts w:hint="eastAsia"/>
                <w:sz w:val="21"/>
                <w:szCs w:val="21"/>
              </w:rPr>
              <w:t>″</w:t>
            </w:r>
          </w:p>
        </w:tc>
        <w:tc>
          <w:tcPr>
            <w:tcW w:w="976" w:type="pct"/>
            <w:vMerge w:val="restart"/>
          </w:tcPr>
          <w:p w14:paraId="55A180FF" w14:textId="77777777" w:rsidR="003E78AB" w:rsidRDefault="00010BF9">
            <w:pPr>
              <w:spacing w:line="360" w:lineRule="exact"/>
              <w:ind w:firstLineChars="0" w:firstLine="0"/>
              <w:jc w:val="center"/>
              <w:rPr>
                <w:sz w:val="21"/>
                <w:szCs w:val="21"/>
              </w:rPr>
            </w:pPr>
            <w:r>
              <w:rPr>
                <w:spacing w:val="4"/>
                <w:kern w:val="2"/>
                <w:sz w:val="21"/>
                <w:szCs w:val="21"/>
              </w:rPr>
              <w:t>（</w:t>
            </w:r>
            <w:r>
              <w:rPr>
                <w:spacing w:val="4"/>
                <w:kern w:val="2"/>
                <w:sz w:val="21"/>
                <w:szCs w:val="21"/>
              </w:rPr>
              <w:t>GB36600-2018</w:t>
            </w:r>
            <w:r>
              <w:rPr>
                <w:spacing w:val="4"/>
                <w:kern w:val="2"/>
                <w:sz w:val="21"/>
                <w:szCs w:val="21"/>
              </w:rPr>
              <w:t>）中表</w:t>
            </w:r>
            <w:r>
              <w:rPr>
                <w:spacing w:val="4"/>
                <w:kern w:val="2"/>
                <w:sz w:val="21"/>
                <w:szCs w:val="21"/>
              </w:rPr>
              <w:t>1</w:t>
            </w:r>
            <w:r>
              <w:rPr>
                <w:spacing w:val="4"/>
                <w:kern w:val="2"/>
                <w:sz w:val="21"/>
                <w:szCs w:val="21"/>
              </w:rPr>
              <w:t>基本</w:t>
            </w:r>
            <w:r>
              <w:rPr>
                <w:spacing w:val="4"/>
                <w:kern w:val="2"/>
                <w:sz w:val="21"/>
                <w:szCs w:val="21"/>
              </w:rPr>
              <w:t>45</w:t>
            </w:r>
            <w:r>
              <w:rPr>
                <w:spacing w:val="4"/>
                <w:kern w:val="2"/>
                <w:sz w:val="21"/>
                <w:szCs w:val="21"/>
              </w:rPr>
              <w:t>项和</w:t>
            </w:r>
            <w:r>
              <w:rPr>
                <w:spacing w:val="4"/>
                <w:kern w:val="2"/>
                <w:sz w:val="21"/>
                <w:szCs w:val="21"/>
              </w:rPr>
              <w:t>pH</w:t>
            </w:r>
            <w:r>
              <w:rPr>
                <w:spacing w:val="4"/>
                <w:kern w:val="2"/>
                <w:sz w:val="21"/>
                <w:szCs w:val="21"/>
              </w:rPr>
              <w:t>、石油烃、氰化物，共</w:t>
            </w:r>
            <w:r>
              <w:rPr>
                <w:spacing w:val="4"/>
                <w:kern w:val="2"/>
                <w:sz w:val="21"/>
                <w:szCs w:val="21"/>
              </w:rPr>
              <w:t>4</w:t>
            </w:r>
            <w:r>
              <w:rPr>
                <w:rFonts w:hint="eastAsia"/>
                <w:spacing w:val="4"/>
                <w:kern w:val="2"/>
                <w:sz w:val="21"/>
                <w:szCs w:val="21"/>
              </w:rPr>
              <w:t>9</w:t>
            </w:r>
            <w:r>
              <w:rPr>
                <w:spacing w:val="4"/>
                <w:kern w:val="2"/>
                <w:sz w:val="21"/>
                <w:szCs w:val="21"/>
              </w:rPr>
              <w:t>项。</w:t>
            </w:r>
          </w:p>
        </w:tc>
      </w:tr>
      <w:tr w:rsidR="003E78AB" w14:paraId="5B68DB64" w14:textId="77777777">
        <w:trPr>
          <w:trHeight w:val="340"/>
        </w:trPr>
        <w:tc>
          <w:tcPr>
            <w:tcW w:w="320" w:type="pct"/>
          </w:tcPr>
          <w:p w14:paraId="0C643B70" w14:textId="77777777" w:rsidR="003E78AB" w:rsidRDefault="00010BF9">
            <w:pPr>
              <w:spacing w:line="360" w:lineRule="exact"/>
              <w:ind w:firstLineChars="0" w:firstLine="0"/>
              <w:jc w:val="center"/>
              <w:rPr>
                <w:sz w:val="21"/>
                <w:szCs w:val="21"/>
              </w:rPr>
            </w:pPr>
            <w:r>
              <w:rPr>
                <w:sz w:val="21"/>
                <w:szCs w:val="21"/>
              </w:rPr>
              <w:t>2#</w:t>
            </w:r>
          </w:p>
        </w:tc>
        <w:tc>
          <w:tcPr>
            <w:tcW w:w="673" w:type="pct"/>
          </w:tcPr>
          <w:p w14:paraId="7C48F74C" w14:textId="77777777" w:rsidR="003E78AB" w:rsidRDefault="00010BF9">
            <w:pPr>
              <w:spacing w:line="360" w:lineRule="exact"/>
              <w:ind w:firstLineChars="0" w:firstLine="0"/>
              <w:jc w:val="center"/>
              <w:rPr>
                <w:sz w:val="21"/>
                <w:szCs w:val="21"/>
              </w:rPr>
            </w:pPr>
            <w:r>
              <w:rPr>
                <w:sz w:val="21"/>
                <w:szCs w:val="21"/>
              </w:rPr>
              <w:t>项目厂界北侧</w:t>
            </w:r>
          </w:p>
        </w:tc>
        <w:tc>
          <w:tcPr>
            <w:tcW w:w="656" w:type="pct"/>
          </w:tcPr>
          <w:p w14:paraId="164426FB" w14:textId="77777777" w:rsidR="003E78AB" w:rsidRDefault="00010BF9">
            <w:pPr>
              <w:spacing w:line="360" w:lineRule="exact"/>
              <w:ind w:firstLineChars="0" w:firstLine="0"/>
              <w:jc w:val="center"/>
              <w:rPr>
                <w:sz w:val="21"/>
                <w:szCs w:val="21"/>
              </w:rPr>
            </w:pPr>
            <w:r>
              <w:rPr>
                <w:sz w:val="21"/>
                <w:szCs w:val="21"/>
              </w:rPr>
              <w:t>北</w:t>
            </w:r>
          </w:p>
        </w:tc>
        <w:tc>
          <w:tcPr>
            <w:tcW w:w="515" w:type="pct"/>
          </w:tcPr>
          <w:p w14:paraId="4F983523" w14:textId="77777777" w:rsidR="003E78AB" w:rsidRDefault="00010BF9">
            <w:pPr>
              <w:spacing w:line="360" w:lineRule="exact"/>
              <w:ind w:firstLineChars="0" w:firstLine="0"/>
              <w:jc w:val="center"/>
              <w:rPr>
                <w:sz w:val="21"/>
                <w:szCs w:val="21"/>
              </w:rPr>
            </w:pPr>
            <w:r>
              <w:rPr>
                <w:sz w:val="21"/>
                <w:szCs w:val="21"/>
              </w:rPr>
              <w:t>0.1</w:t>
            </w:r>
          </w:p>
        </w:tc>
        <w:tc>
          <w:tcPr>
            <w:tcW w:w="441" w:type="pct"/>
          </w:tcPr>
          <w:p w14:paraId="1D3B6445" w14:textId="77777777" w:rsidR="003E78AB" w:rsidRDefault="00010BF9">
            <w:pPr>
              <w:spacing w:line="360" w:lineRule="exact"/>
              <w:ind w:firstLineChars="0" w:firstLine="0"/>
              <w:jc w:val="center"/>
              <w:rPr>
                <w:sz w:val="21"/>
                <w:szCs w:val="21"/>
              </w:rPr>
            </w:pPr>
            <w:r>
              <w:rPr>
                <w:sz w:val="21"/>
                <w:szCs w:val="21"/>
              </w:rPr>
              <w:t>表层样点</w:t>
            </w:r>
          </w:p>
        </w:tc>
        <w:tc>
          <w:tcPr>
            <w:tcW w:w="1416" w:type="pct"/>
          </w:tcPr>
          <w:p w14:paraId="0A827BC5" w14:textId="77777777" w:rsidR="003E78AB" w:rsidRDefault="00010BF9">
            <w:pPr>
              <w:spacing w:line="360" w:lineRule="exact"/>
              <w:ind w:firstLineChars="0" w:firstLine="0"/>
              <w:jc w:val="center"/>
              <w:rPr>
                <w:sz w:val="21"/>
                <w:szCs w:val="21"/>
              </w:rPr>
            </w:pPr>
            <w:r>
              <w:rPr>
                <w:rFonts w:hint="eastAsia"/>
                <w:sz w:val="21"/>
                <w:szCs w:val="21"/>
              </w:rPr>
              <w:t>E:93</w:t>
            </w:r>
            <w:r>
              <w:rPr>
                <w:rFonts w:hint="eastAsia"/>
                <w:sz w:val="21"/>
                <w:szCs w:val="21"/>
              </w:rPr>
              <w:t>°</w:t>
            </w:r>
            <w:r>
              <w:rPr>
                <w:rFonts w:hint="eastAsia"/>
                <w:sz w:val="21"/>
                <w:szCs w:val="21"/>
              </w:rPr>
              <w:t>25</w:t>
            </w:r>
            <w:r>
              <w:rPr>
                <w:rFonts w:hint="eastAsia"/>
                <w:sz w:val="21"/>
                <w:szCs w:val="21"/>
              </w:rPr>
              <w:t>′</w:t>
            </w:r>
            <w:r>
              <w:rPr>
                <w:rFonts w:hint="eastAsia"/>
                <w:sz w:val="21"/>
                <w:szCs w:val="21"/>
              </w:rPr>
              <w:t>11.45439</w:t>
            </w:r>
            <w:r>
              <w:rPr>
                <w:rFonts w:hint="eastAsia"/>
                <w:sz w:val="21"/>
                <w:szCs w:val="21"/>
              </w:rPr>
              <w:t>″</w:t>
            </w:r>
          </w:p>
          <w:p w14:paraId="4AD2D9BB" w14:textId="77777777" w:rsidR="003E78AB" w:rsidRDefault="00010BF9">
            <w:pPr>
              <w:spacing w:line="360" w:lineRule="exact"/>
              <w:ind w:firstLineChars="0" w:firstLine="0"/>
              <w:jc w:val="center"/>
              <w:rPr>
                <w:sz w:val="21"/>
                <w:szCs w:val="21"/>
              </w:rPr>
            </w:pPr>
            <w:r>
              <w:rPr>
                <w:rFonts w:hint="eastAsia"/>
                <w:sz w:val="21"/>
                <w:szCs w:val="21"/>
              </w:rPr>
              <w:t>N:42</w:t>
            </w:r>
            <w:r>
              <w:rPr>
                <w:rFonts w:hint="eastAsia"/>
                <w:sz w:val="21"/>
                <w:szCs w:val="21"/>
              </w:rPr>
              <w:t>°</w:t>
            </w:r>
            <w:r>
              <w:rPr>
                <w:rFonts w:hint="eastAsia"/>
                <w:sz w:val="21"/>
                <w:szCs w:val="21"/>
              </w:rPr>
              <w:t>41</w:t>
            </w:r>
            <w:r>
              <w:rPr>
                <w:rFonts w:hint="eastAsia"/>
                <w:sz w:val="21"/>
                <w:szCs w:val="21"/>
              </w:rPr>
              <w:t>′</w:t>
            </w:r>
            <w:r>
              <w:rPr>
                <w:rFonts w:hint="eastAsia"/>
                <w:sz w:val="21"/>
                <w:szCs w:val="21"/>
              </w:rPr>
              <w:t>42.62400</w:t>
            </w:r>
            <w:r>
              <w:rPr>
                <w:rFonts w:hint="eastAsia"/>
                <w:sz w:val="21"/>
                <w:szCs w:val="21"/>
              </w:rPr>
              <w:t>″</w:t>
            </w:r>
          </w:p>
        </w:tc>
        <w:tc>
          <w:tcPr>
            <w:tcW w:w="976" w:type="pct"/>
            <w:vMerge/>
          </w:tcPr>
          <w:p w14:paraId="15F7B85F" w14:textId="77777777" w:rsidR="003E78AB" w:rsidRDefault="003E78AB">
            <w:pPr>
              <w:spacing w:line="360" w:lineRule="exact"/>
              <w:ind w:firstLineChars="0" w:firstLine="0"/>
              <w:jc w:val="center"/>
              <w:rPr>
                <w:sz w:val="21"/>
                <w:szCs w:val="21"/>
              </w:rPr>
            </w:pPr>
          </w:p>
        </w:tc>
      </w:tr>
      <w:tr w:rsidR="003E78AB" w14:paraId="2D894098" w14:textId="77777777">
        <w:trPr>
          <w:trHeight w:val="340"/>
        </w:trPr>
        <w:tc>
          <w:tcPr>
            <w:tcW w:w="320" w:type="pct"/>
          </w:tcPr>
          <w:p w14:paraId="60B58516" w14:textId="77777777" w:rsidR="003E78AB" w:rsidRDefault="00010BF9">
            <w:pPr>
              <w:spacing w:line="360" w:lineRule="exact"/>
              <w:ind w:firstLineChars="0" w:firstLine="0"/>
              <w:jc w:val="center"/>
              <w:rPr>
                <w:sz w:val="21"/>
                <w:szCs w:val="21"/>
              </w:rPr>
            </w:pPr>
            <w:r>
              <w:rPr>
                <w:sz w:val="21"/>
                <w:szCs w:val="21"/>
              </w:rPr>
              <w:t>3#</w:t>
            </w:r>
          </w:p>
        </w:tc>
        <w:tc>
          <w:tcPr>
            <w:tcW w:w="673" w:type="pct"/>
          </w:tcPr>
          <w:p w14:paraId="2EBF7D34" w14:textId="77777777" w:rsidR="003E78AB" w:rsidRDefault="00010BF9">
            <w:pPr>
              <w:spacing w:line="360" w:lineRule="exact"/>
              <w:ind w:firstLineChars="0" w:firstLine="0"/>
              <w:jc w:val="center"/>
              <w:rPr>
                <w:sz w:val="21"/>
                <w:szCs w:val="21"/>
              </w:rPr>
            </w:pPr>
            <w:r>
              <w:rPr>
                <w:sz w:val="21"/>
                <w:szCs w:val="21"/>
              </w:rPr>
              <w:t>项目厂区内</w:t>
            </w:r>
          </w:p>
        </w:tc>
        <w:tc>
          <w:tcPr>
            <w:tcW w:w="656" w:type="pct"/>
          </w:tcPr>
          <w:p w14:paraId="0332F010" w14:textId="77777777" w:rsidR="003E78AB" w:rsidRDefault="00010BF9">
            <w:pPr>
              <w:spacing w:line="360" w:lineRule="exact"/>
              <w:ind w:firstLineChars="0" w:firstLine="0"/>
              <w:jc w:val="center"/>
              <w:rPr>
                <w:sz w:val="21"/>
                <w:szCs w:val="21"/>
              </w:rPr>
            </w:pPr>
            <w:r>
              <w:rPr>
                <w:sz w:val="21"/>
                <w:szCs w:val="21"/>
              </w:rPr>
              <w:t>/</w:t>
            </w:r>
          </w:p>
        </w:tc>
        <w:tc>
          <w:tcPr>
            <w:tcW w:w="515" w:type="pct"/>
          </w:tcPr>
          <w:p w14:paraId="543043D1" w14:textId="77777777" w:rsidR="003E78AB" w:rsidRDefault="00010BF9">
            <w:pPr>
              <w:spacing w:line="360" w:lineRule="exact"/>
              <w:ind w:firstLineChars="0" w:firstLine="0"/>
              <w:jc w:val="center"/>
              <w:rPr>
                <w:sz w:val="21"/>
                <w:szCs w:val="21"/>
              </w:rPr>
            </w:pPr>
            <w:r>
              <w:rPr>
                <w:sz w:val="21"/>
                <w:szCs w:val="21"/>
              </w:rPr>
              <w:t>/</w:t>
            </w:r>
          </w:p>
        </w:tc>
        <w:tc>
          <w:tcPr>
            <w:tcW w:w="441" w:type="pct"/>
          </w:tcPr>
          <w:p w14:paraId="5AA696FF" w14:textId="77777777" w:rsidR="003E78AB" w:rsidRDefault="00010BF9">
            <w:pPr>
              <w:spacing w:line="360" w:lineRule="exact"/>
              <w:ind w:firstLineChars="0" w:firstLine="0"/>
              <w:jc w:val="center"/>
              <w:rPr>
                <w:sz w:val="21"/>
                <w:szCs w:val="21"/>
              </w:rPr>
            </w:pPr>
            <w:r>
              <w:rPr>
                <w:sz w:val="21"/>
                <w:szCs w:val="21"/>
              </w:rPr>
              <w:t>表层样点</w:t>
            </w:r>
          </w:p>
        </w:tc>
        <w:tc>
          <w:tcPr>
            <w:tcW w:w="1416" w:type="pct"/>
          </w:tcPr>
          <w:p w14:paraId="43FB9EF6" w14:textId="77777777" w:rsidR="003E78AB" w:rsidRDefault="00010BF9">
            <w:pPr>
              <w:spacing w:line="360" w:lineRule="exact"/>
              <w:ind w:firstLineChars="0" w:firstLine="0"/>
              <w:jc w:val="center"/>
              <w:rPr>
                <w:sz w:val="21"/>
                <w:szCs w:val="21"/>
              </w:rPr>
            </w:pPr>
            <w:r>
              <w:rPr>
                <w:rFonts w:hint="eastAsia"/>
                <w:sz w:val="21"/>
                <w:szCs w:val="21"/>
              </w:rPr>
              <w:t>E:93</w:t>
            </w:r>
            <w:r>
              <w:rPr>
                <w:rFonts w:hint="eastAsia"/>
                <w:sz w:val="21"/>
                <w:szCs w:val="21"/>
              </w:rPr>
              <w:t>°</w:t>
            </w:r>
            <w:r>
              <w:rPr>
                <w:rFonts w:hint="eastAsia"/>
                <w:sz w:val="21"/>
                <w:szCs w:val="21"/>
              </w:rPr>
              <w:t>25</w:t>
            </w:r>
            <w:r>
              <w:rPr>
                <w:rFonts w:hint="eastAsia"/>
                <w:sz w:val="21"/>
                <w:szCs w:val="21"/>
              </w:rPr>
              <w:t>′</w:t>
            </w:r>
            <w:r>
              <w:rPr>
                <w:rFonts w:hint="eastAsia"/>
                <w:sz w:val="21"/>
                <w:szCs w:val="21"/>
              </w:rPr>
              <w:t>17.44108</w:t>
            </w:r>
            <w:r>
              <w:rPr>
                <w:rFonts w:hint="eastAsia"/>
                <w:sz w:val="21"/>
                <w:szCs w:val="21"/>
              </w:rPr>
              <w:t>″</w:t>
            </w:r>
          </w:p>
          <w:p w14:paraId="270E138B" w14:textId="77777777" w:rsidR="003E78AB" w:rsidRDefault="00010BF9">
            <w:pPr>
              <w:spacing w:line="360" w:lineRule="exact"/>
              <w:ind w:firstLineChars="0" w:firstLine="0"/>
              <w:jc w:val="center"/>
              <w:rPr>
                <w:sz w:val="21"/>
                <w:szCs w:val="21"/>
              </w:rPr>
            </w:pPr>
            <w:r>
              <w:rPr>
                <w:rFonts w:hint="eastAsia"/>
                <w:sz w:val="21"/>
                <w:szCs w:val="21"/>
              </w:rPr>
              <w:t>N:42</w:t>
            </w:r>
            <w:r>
              <w:rPr>
                <w:rFonts w:hint="eastAsia"/>
                <w:sz w:val="21"/>
                <w:szCs w:val="21"/>
              </w:rPr>
              <w:t>°</w:t>
            </w:r>
            <w:r>
              <w:rPr>
                <w:rFonts w:hint="eastAsia"/>
                <w:sz w:val="21"/>
                <w:szCs w:val="21"/>
              </w:rPr>
              <w:t>41</w:t>
            </w:r>
            <w:r>
              <w:rPr>
                <w:rFonts w:hint="eastAsia"/>
                <w:sz w:val="21"/>
                <w:szCs w:val="21"/>
              </w:rPr>
              <w:t>′</w:t>
            </w:r>
            <w:r>
              <w:rPr>
                <w:rFonts w:hint="eastAsia"/>
                <w:sz w:val="21"/>
                <w:szCs w:val="21"/>
              </w:rPr>
              <w:t>35.13098</w:t>
            </w:r>
            <w:r>
              <w:rPr>
                <w:rFonts w:hint="eastAsia"/>
                <w:sz w:val="21"/>
                <w:szCs w:val="21"/>
              </w:rPr>
              <w:t>″</w:t>
            </w:r>
          </w:p>
        </w:tc>
        <w:tc>
          <w:tcPr>
            <w:tcW w:w="976" w:type="pct"/>
            <w:vMerge/>
          </w:tcPr>
          <w:p w14:paraId="62107C9B" w14:textId="77777777" w:rsidR="003E78AB" w:rsidRDefault="003E78AB">
            <w:pPr>
              <w:spacing w:line="360" w:lineRule="exact"/>
              <w:ind w:firstLineChars="0" w:firstLine="0"/>
              <w:jc w:val="center"/>
              <w:rPr>
                <w:sz w:val="21"/>
                <w:szCs w:val="21"/>
              </w:rPr>
            </w:pPr>
          </w:p>
        </w:tc>
      </w:tr>
      <w:tr w:rsidR="003E78AB" w14:paraId="70107115" w14:textId="77777777">
        <w:trPr>
          <w:trHeight w:val="340"/>
        </w:trPr>
        <w:tc>
          <w:tcPr>
            <w:tcW w:w="320" w:type="pct"/>
          </w:tcPr>
          <w:p w14:paraId="057FCB7B" w14:textId="77777777" w:rsidR="003E78AB" w:rsidRDefault="00010BF9">
            <w:pPr>
              <w:spacing w:line="360" w:lineRule="exact"/>
              <w:ind w:firstLineChars="0" w:firstLine="0"/>
              <w:jc w:val="center"/>
              <w:rPr>
                <w:sz w:val="21"/>
                <w:szCs w:val="21"/>
              </w:rPr>
            </w:pPr>
            <w:r>
              <w:rPr>
                <w:sz w:val="21"/>
                <w:szCs w:val="21"/>
              </w:rPr>
              <w:t>4#</w:t>
            </w:r>
          </w:p>
        </w:tc>
        <w:tc>
          <w:tcPr>
            <w:tcW w:w="673" w:type="pct"/>
          </w:tcPr>
          <w:p w14:paraId="12ADF35F" w14:textId="77777777" w:rsidR="003E78AB" w:rsidRDefault="00010BF9">
            <w:pPr>
              <w:spacing w:line="360" w:lineRule="exact"/>
              <w:ind w:firstLineChars="0" w:firstLine="0"/>
              <w:jc w:val="center"/>
              <w:rPr>
                <w:sz w:val="21"/>
                <w:szCs w:val="21"/>
              </w:rPr>
            </w:pPr>
            <w:r>
              <w:rPr>
                <w:sz w:val="21"/>
                <w:szCs w:val="21"/>
              </w:rPr>
              <w:t>生产车间</w:t>
            </w:r>
            <w:r>
              <w:rPr>
                <w:rFonts w:hint="eastAsia"/>
                <w:sz w:val="21"/>
                <w:szCs w:val="21"/>
              </w:rPr>
              <w:t>一</w:t>
            </w:r>
            <w:r>
              <w:rPr>
                <w:sz w:val="21"/>
                <w:szCs w:val="21"/>
              </w:rPr>
              <w:t>下方</w:t>
            </w:r>
          </w:p>
        </w:tc>
        <w:tc>
          <w:tcPr>
            <w:tcW w:w="656" w:type="pct"/>
          </w:tcPr>
          <w:p w14:paraId="365E3424" w14:textId="77777777" w:rsidR="003E78AB" w:rsidRDefault="00010BF9">
            <w:pPr>
              <w:spacing w:line="360" w:lineRule="exact"/>
              <w:ind w:firstLineChars="0" w:firstLine="0"/>
              <w:jc w:val="center"/>
              <w:rPr>
                <w:sz w:val="21"/>
                <w:szCs w:val="21"/>
              </w:rPr>
            </w:pPr>
            <w:r>
              <w:rPr>
                <w:sz w:val="21"/>
                <w:szCs w:val="21"/>
              </w:rPr>
              <w:t>/</w:t>
            </w:r>
          </w:p>
        </w:tc>
        <w:tc>
          <w:tcPr>
            <w:tcW w:w="515" w:type="pct"/>
          </w:tcPr>
          <w:p w14:paraId="57031E7F" w14:textId="77777777" w:rsidR="003E78AB" w:rsidRDefault="00010BF9">
            <w:pPr>
              <w:spacing w:line="360" w:lineRule="exact"/>
              <w:ind w:firstLineChars="0" w:firstLine="0"/>
              <w:jc w:val="center"/>
              <w:rPr>
                <w:sz w:val="21"/>
                <w:szCs w:val="21"/>
              </w:rPr>
            </w:pPr>
            <w:r>
              <w:rPr>
                <w:sz w:val="21"/>
                <w:szCs w:val="21"/>
              </w:rPr>
              <w:t>/</w:t>
            </w:r>
          </w:p>
        </w:tc>
        <w:tc>
          <w:tcPr>
            <w:tcW w:w="441" w:type="pct"/>
          </w:tcPr>
          <w:p w14:paraId="2DB5CAAD" w14:textId="77777777" w:rsidR="003E78AB" w:rsidRDefault="00010BF9">
            <w:pPr>
              <w:spacing w:line="360" w:lineRule="exact"/>
              <w:ind w:firstLineChars="0" w:firstLine="0"/>
              <w:jc w:val="center"/>
              <w:rPr>
                <w:sz w:val="21"/>
                <w:szCs w:val="21"/>
              </w:rPr>
            </w:pPr>
            <w:r>
              <w:rPr>
                <w:sz w:val="21"/>
                <w:szCs w:val="21"/>
              </w:rPr>
              <w:t>柱状样点</w:t>
            </w:r>
          </w:p>
        </w:tc>
        <w:tc>
          <w:tcPr>
            <w:tcW w:w="1416" w:type="pct"/>
          </w:tcPr>
          <w:p w14:paraId="322D0ED6" w14:textId="77777777" w:rsidR="003E78AB" w:rsidRDefault="00010BF9">
            <w:pPr>
              <w:spacing w:line="360" w:lineRule="exact"/>
              <w:ind w:firstLineChars="0" w:firstLine="0"/>
              <w:jc w:val="center"/>
              <w:rPr>
                <w:sz w:val="21"/>
                <w:szCs w:val="21"/>
              </w:rPr>
            </w:pPr>
            <w:r>
              <w:rPr>
                <w:rFonts w:hint="eastAsia"/>
                <w:sz w:val="21"/>
                <w:szCs w:val="21"/>
              </w:rPr>
              <w:t>E:93</w:t>
            </w:r>
            <w:r>
              <w:rPr>
                <w:rFonts w:hint="eastAsia"/>
                <w:sz w:val="21"/>
                <w:szCs w:val="21"/>
              </w:rPr>
              <w:t>°</w:t>
            </w:r>
            <w:r>
              <w:rPr>
                <w:rFonts w:hint="eastAsia"/>
                <w:sz w:val="21"/>
                <w:szCs w:val="21"/>
              </w:rPr>
              <w:t>25</w:t>
            </w:r>
            <w:r>
              <w:rPr>
                <w:rFonts w:hint="eastAsia"/>
                <w:sz w:val="21"/>
                <w:szCs w:val="21"/>
              </w:rPr>
              <w:t>′</w:t>
            </w:r>
            <w:r>
              <w:rPr>
                <w:rFonts w:hint="eastAsia"/>
                <w:sz w:val="21"/>
                <w:szCs w:val="21"/>
              </w:rPr>
              <w:t>15.43264</w:t>
            </w:r>
            <w:r>
              <w:rPr>
                <w:rFonts w:hint="eastAsia"/>
                <w:sz w:val="21"/>
                <w:szCs w:val="21"/>
              </w:rPr>
              <w:t>″</w:t>
            </w:r>
          </w:p>
          <w:p w14:paraId="059F063B" w14:textId="77777777" w:rsidR="003E78AB" w:rsidRDefault="00010BF9">
            <w:pPr>
              <w:spacing w:line="360" w:lineRule="exact"/>
              <w:ind w:firstLineChars="0" w:firstLine="0"/>
              <w:jc w:val="center"/>
              <w:rPr>
                <w:sz w:val="21"/>
                <w:szCs w:val="21"/>
              </w:rPr>
            </w:pPr>
            <w:r>
              <w:rPr>
                <w:rFonts w:hint="eastAsia"/>
                <w:sz w:val="21"/>
                <w:szCs w:val="21"/>
              </w:rPr>
              <w:t>N:42</w:t>
            </w:r>
            <w:r>
              <w:rPr>
                <w:rFonts w:hint="eastAsia"/>
                <w:sz w:val="21"/>
                <w:szCs w:val="21"/>
              </w:rPr>
              <w:t>°</w:t>
            </w:r>
            <w:r>
              <w:rPr>
                <w:rFonts w:hint="eastAsia"/>
                <w:sz w:val="21"/>
                <w:szCs w:val="21"/>
              </w:rPr>
              <w:t>41</w:t>
            </w:r>
            <w:r>
              <w:rPr>
                <w:rFonts w:hint="eastAsia"/>
                <w:sz w:val="21"/>
                <w:szCs w:val="21"/>
              </w:rPr>
              <w:t>′</w:t>
            </w:r>
            <w:r>
              <w:rPr>
                <w:rFonts w:hint="eastAsia"/>
                <w:sz w:val="21"/>
                <w:szCs w:val="21"/>
              </w:rPr>
              <w:t>37.95052</w:t>
            </w:r>
            <w:r>
              <w:rPr>
                <w:rFonts w:hint="eastAsia"/>
                <w:sz w:val="21"/>
                <w:szCs w:val="21"/>
              </w:rPr>
              <w:t>″</w:t>
            </w:r>
          </w:p>
        </w:tc>
        <w:tc>
          <w:tcPr>
            <w:tcW w:w="976" w:type="pct"/>
            <w:vMerge/>
          </w:tcPr>
          <w:p w14:paraId="40BEBAC8" w14:textId="77777777" w:rsidR="003E78AB" w:rsidRDefault="003E78AB">
            <w:pPr>
              <w:spacing w:line="360" w:lineRule="exact"/>
              <w:ind w:firstLineChars="0" w:firstLine="0"/>
              <w:jc w:val="center"/>
              <w:rPr>
                <w:sz w:val="21"/>
                <w:szCs w:val="21"/>
              </w:rPr>
            </w:pPr>
          </w:p>
        </w:tc>
      </w:tr>
      <w:tr w:rsidR="003E78AB" w14:paraId="37DD5867" w14:textId="77777777">
        <w:trPr>
          <w:trHeight w:val="340"/>
        </w:trPr>
        <w:tc>
          <w:tcPr>
            <w:tcW w:w="320" w:type="pct"/>
          </w:tcPr>
          <w:p w14:paraId="41CF1815" w14:textId="77777777" w:rsidR="003E78AB" w:rsidRDefault="00010BF9">
            <w:pPr>
              <w:spacing w:line="360" w:lineRule="exact"/>
              <w:ind w:firstLineChars="0" w:firstLine="0"/>
              <w:jc w:val="center"/>
              <w:rPr>
                <w:sz w:val="21"/>
                <w:szCs w:val="21"/>
              </w:rPr>
            </w:pPr>
            <w:r>
              <w:rPr>
                <w:sz w:val="21"/>
                <w:szCs w:val="21"/>
              </w:rPr>
              <w:t>5#</w:t>
            </w:r>
          </w:p>
        </w:tc>
        <w:tc>
          <w:tcPr>
            <w:tcW w:w="673" w:type="pct"/>
          </w:tcPr>
          <w:p w14:paraId="40DBB55F" w14:textId="77777777" w:rsidR="003E78AB" w:rsidRDefault="00010BF9">
            <w:pPr>
              <w:spacing w:line="360" w:lineRule="exact"/>
              <w:ind w:firstLineChars="0" w:firstLine="0"/>
              <w:jc w:val="center"/>
              <w:rPr>
                <w:sz w:val="21"/>
                <w:szCs w:val="21"/>
              </w:rPr>
            </w:pPr>
            <w:r>
              <w:rPr>
                <w:rFonts w:hint="eastAsia"/>
                <w:sz w:val="21"/>
                <w:szCs w:val="21"/>
              </w:rPr>
              <w:t>环保设施下方</w:t>
            </w:r>
          </w:p>
        </w:tc>
        <w:tc>
          <w:tcPr>
            <w:tcW w:w="656" w:type="pct"/>
          </w:tcPr>
          <w:p w14:paraId="47C9CBE3" w14:textId="77777777" w:rsidR="003E78AB" w:rsidRDefault="00010BF9">
            <w:pPr>
              <w:spacing w:line="360" w:lineRule="exact"/>
              <w:ind w:firstLineChars="0" w:firstLine="0"/>
              <w:jc w:val="center"/>
              <w:rPr>
                <w:sz w:val="21"/>
                <w:szCs w:val="21"/>
              </w:rPr>
            </w:pPr>
            <w:r>
              <w:rPr>
                <w:sz w:val="21"/>
                <w:szCs w:val="21"/>
              </w:rPr>
              <w:t>/</w:t>
            </w:r>
          </w:p>
        </w:tc>
        <w:tc>
          <w:tcPr>
            <w:tcW w:w="515" w:type="pct"/>
          </w:tcPr>
          <w:p w14:paraId="239F9D28" w14:textId="77777777" w:rsidR="003E78AB" w:rsidRDefault="00010BF9">
            <w:pPr>
              <w:spacing w:line="360" w:lineRule="exact"/>
              <w:ind w:firstLineChars="0" w:firstLine="0"/>
              <w:jc w:val="center"/>
              <w:rPr>
                <w:sz w:val="21"/>
                <w:szCs w:val="21"/>
              </w:rPr>
            </w:pPr>
            <w:r>
              <w:rPr>
                <w:sz w:val="21"/>
                <w:szCs w:val="21"/>
              </w:rPr>
              <w:t>/</w:t>
            </w:r>
          </w:p>
        </w:tc>
        <w:tc>
          <w:tcPr>
            <w:tcW w:w="441" w:type="pct"/>
          </w:tcPr>
          <w:p w14:paraId="3D5CCB44" w14:textId="77777777" w:rsidR="003E78AB" w:rsidRDefault="00010BF9">
            <w:pPr>
              <w:spacing w:line="360" w:lineRule="exact"/>
              <w:ind w:firstLineChars="0" w:firstLine="0"/>
              <w:jc w:val="center"/>
              <w:rPr>
                <w:sz w:val="21"/>
                <w:szCs w:val="21"/>
              </w:rPr>
            </w:pPr>
            <w:r>
              <w:rPr>
                <w:sz w:val="21"/>
                <w:szCs w:val="21"/>
              </w:rPr>
              <w:t>柱状样点</w:t>
            </w:r>
          </w:p>
        </w:tc>
        <w:tc>
          <w:tcPr>
            <w:tcW w:w="1416" w:type="pct"/>
          </w:tcPr>
          <w:p w14:paraId="2BEED156" w14:textId="77777777" w:rsidR="003E78AB" w:rsidRDefault="00010BF9">
            <w:pPr>
              <w:spacing w:line="360" w:lineRule="exact"/>
              <w:ind w:firstLineChars="0" w:firstLine="0"/>
              <w:jc w:val="center"/>
              <w:rPr>
                <w:sz w:val="21"/>
                <w:szCs w:val="21"/>
              </w:rPr>
            </w:pPr>
            <w:r>
              <w:rPr>
                <w:rFonts w:hint="eastAsia"/>
                <w:sz w:val="21"/>
                <w:szCs w:val="21"/>
              </w:rPr>
              <w:t>E:93</w:t>
            </w:r>
            <w:r>
              <w:rPr>
                <w:rFonts w:hint="eastAsia"/>
                <w:sz w:val="21"/>
                <w:szCs w:val="21"/>
              </w:rPr>
              <w:t>°</w:t>
            </w:r>
            <w:r>
              <w:rPr>
                <w:rFonts w:hint="eastAsia"/>
                <w:sz w:val="21"/>
                <w:szCs w:val="21"/>
              </w:rPr>
              <w:t>25</w:t>
            </w:r>
            <w:r>
              <w:rPr>
                <w:rFonts w:hint="eastAsia"/>
                <w:sz w:val="21"/>
                <w:szCs w:val="21"/>
              </w:rPr>
              <w:t>′</w:t>
            </w:r>
            <w:r>
              <w:rPr>
                <w:rFonts w:hint="eastAsia"/>
                <w:sz w:val="21"/>
                <w:szCs w:val="21"/>
              </w:rPr>
              <w:t>5.69944</w:t>
            </w:r>
            <w:r>
              <w:rPr>
                <w:rFonts w:hint="eastAsia"/>
                <w:sz w:val="21"/>
                <w:szCs w:val="21"/>
              </w:rPr>
              <w:t>″</w:t>
            </w:r>
          </w:p>
          <w:p w14:paraId="03E19DB9" w14:textId="77777777" w:rsidR="003E78AB" w:rsidRDefault="00010BF9">
            <w:pPr>
              <w:spacing w:line="360" w:lineRule="exact"/>
              <w:ind w:firstLineChars="0" w:firstLine="0"/>
              <w:jc w:val="center"/>
              <w:rPr>
                <w:sz w:val="21"/>
                <w:szCs w:val="21"/>
              </w:rPr>
            </w:pPr>
            <w:r>
              <w:rPr>
                <w:rFonts w:hint="eastAsia"/>
                <w:sz w:val="21"/>
                <w:szCs w:val="21"/>
              </w:rPr>
              <w:t>N:42</w:t>
            </w:r>
            <w:r>
              <w:rPr>
                <w:rFonts w:hint="eastAsia"/>
                <w:sz w:val="21"/>
                <w:szCs w:val="21"/>
              </w:rPr>
              <w:t>°</w:t>
            </w:r>
            <w:r>
              <w:rPr>
                <w:rFonts w:hint="eastAsia"/>
                <w:sz w:val="21"/>
                <w:szCs w:val="21"/>
              </w:rPr>
              <w:t>41</w:t>
            </w:r>
            <w:r>
              <w:rPr>
                <w:rFonts w:hint="eastAsia"/>
                <w:sz w:val="21"/>
                <w:szCs w:val="21"/>
              </w:rPr>
              <w:t>′</w:t>
            </w:r>
            <w:r>
              <w:rPr>
                <w:rFonts w:hint="eastAsia"/>
                <w:sz w:val="21"/>
                <w:szCs w:val="21"/>
              </w:rPr>
              <w:t>40.65419</w:t>
            </w:r>
            <w:r>
              <w:rPr>
                <w:rFonts w:hint="eastAsia"/>
                <w:sz w:val="21"/>
                <w:szCs w:val="21"/>
              </w:rPr>
              <w:t>″</w:t>
            </w:r>
          </w:p>
        </w:tc>
        <w:tc>
          <w:tcPr>
            <w:tcW w:w="976" w:type="pct"/>
          </w:tcPr>
          <w:p w14:paraId="016C6EA5" w14:textId="77777777" w:rsidR="003E78AB" w:rsidRDefault="00010BF9">
            <w:pPr>
              <w:spacing w:line="360" w:lineRule="exact"/>
              <w:ind w:firstLineChars="0" w:firstLine="0"/>
              <w:jc w:val="center"/>
              <w:rPr>
                <w:sz w:val="21"/>
                <w:szCs w:val="21"/>
              </w:rPr>
            </w:pPr>
            <w:r>
              <w:rPr>
                <w:sz w:val="21"/>
                <w:szCs w:val="21"/>
              </w:rPr>
              <w:t>pH</w:t>
            </w:r>
            <w:r>
              <w:rPr>
                <w:rFonts w:hint="eastAsia"/>
                <w:sz w:val="21"/>
                <w:szCs w:val="21"/>
              </w:rPr>
              <w:t>、</w:t>
            </w:r>
            <w:r>
              <w:rPr>
                <w:sz w:val="21"/>
                <w:szCs w:val="21"/>
              </w:rPr>
              <w:t>石油烃</w:t>
            </w:r>
            <w:r>
              <w:rPr>
                <w:rFonts w:hint="eastAsia"/>
                <w:sz w:val="21"/>
                <w:szCs w:val="21"/>
              </w:rPr>
              <w:t>（</w:t>
            </w:r>
            <w:r>
              <w:rPr>
                <w:sz w:val="21"/>
                <w:szCs w:val="21"/>
              </w:rPr>
              <w:t>C</w:t>
            </w:r>
            <w:r>
              <w:rPr>
                <w:sz w:val="21"/>
                <w:szCs w:val="21"/>
                <w:vertAlign w:val="subscript"/>
              </w:rPr>
              <w:t>10</w:t>
            </w:r>
            <w:r>
              <w:rPr>
                <w:sz w:val="21"/>
                <w:szCs w:val="21"/>
              </w:rPr>
              <w:t>-C</w:t>
            </w:r>
            <w:r>
              <w:rPr>
                <w:sz w:val="21"/>
                <w:szCs w:val="21"/>
                <w:vertAlign w:val="subscript"/>
              </w:rPr>
              <w:t>40</w:t>
            </w:r>
            <w:r>
              <w:rPr>
                <w:rFonts w:hint="eastAsia"/>
                <w:sz w:val="21"/>
                <w:szCs w:val="21"/>
              </w:rPr>
              <w:t>）、钒</w:t>
            </w:r>
            <w:r>
              <w:rPr>
                <w:rFonts w:hint="eastAsia"/>
                <w:bCs/>
                <w:sz w:val="21"/>
                <w:szCs w:val="21"/>
              </w:rPr>
              <w:t>、总磷</w:t>
            </w:r>
          </w:p>
        </w:tc>
      </w:tr>
      <w:tr w:rsidR="003E78AB" w14:paraId="5CE12EA4" w14:textId="77777777">
        <w:trPr>
          <w:trHeight w:val="340"/>
        </w:trPr>
        <w:tc>
          <w:tcPr>
            <w:tcW w:w="320" w:type="pct"/>
          </w:tcPr>
          <w:p w14:paraId="4195448E" w14:textId="77777777" w:rsidR="003E78AB" w:rsidRDefault="00010BF9">
            <w:pPr>
              <w:spacing w:line="360" w:lineRule="exact"/>
              <w:ind w:firstLineChars="0" w:firstLine="0"/>
              <w:jc w:val="center"/>
              <w:rPr>
                <w:sz w:val="21"/>
                <w:szCs w:val="21"/>
              </w:rPr>
            </w:pPr>
            <w:r>
              <w:rPr>
                <w:sz w:val="21"/>
                <w:szCs w:val="21"/>
              </w:rPr>
              <w:t>6#</w:t>
            </w:r>
          </w:p>
        </w:tc>
        <w:tc>
          <w:tcPr>
            <w:tcW w:w="673" w:type="pct"/>
          </w:tcPr>
          <w:p w14:paraId="1673D86D" w14:textId="77777777" w:rsidR="003E78AB" w:rsidRDefault="00010BF9">
            <w:pPr>
              <w:spacing w:line="360" w:lineRule="exact"/>
              <w:ind w:firstLineChars="0" w:firstLine="0"/>
              <w:jc w:val="center"/>
              <w:rPr>
                <w:sz w:val="21"/>
                <w:szCs w:val="21"/>
              </w:rPr>
            </w:pPr>
            <w:r>
              <w:rPr>
                <w:rFonts w:hint="eastAsia"/>
                <w:sz w:val="21"/>
                <w:szCs w:val="21"/>
              </w:rPr>
              <w:t>仓库</w:t>
            </w:r>
            <w:r>
              <w:rPr>
                <w:sz w:val="21"/>
                <w:szCs w:val="21"/>
              </w:rPr>
              <w:t>下方</w:t>
            </w:r>
          </w:p>
        </w:tc>
        <w:tc>
          <w:tcPr>
            <w:tcW w:w="656" w:type="pct"/>
          </w:tcPr>
          <w:p w14:paraId="75428318" w14:textId="77777777" w:rsidR="003E78AB" w:rsidRDefault="00010BF9">
            <w:pPr>
              <w:spacing w:line="360" w:lineRule="exact"/>
              <w:ind w:firstLineChars="0" w:firstLine="0"/>
              <w:jc w:val="center"/>
              <w:rPr>
                <w:sz w:val="21"/>
                <w:szCs w:val="21"/>
              </w:rPr>
            </w:pPr>
            <w:r>
              <w:rPr>
                <w:sz w:val="21"/>
                <w:szCs w:val="21"/>
              </w:rPr>
              <w:t>/</w:t>
            </w:r>
          </w:p>
        </w:tc>
        <w:tc>
          <w:tcPr>
            <w:tcW w:w="515" w:type="pct"/>
          </w:tcPr>
          <w:p w14:paraId="13AC2416" w14:textId="77777777" w:rsidR="003E78AB" w:rsidRDefault="00010BF9">
            <w:pPr>
              <w:spacing w:line="360" w:lineRule="exact"/>
              <w:ind w:firstLineChars="0" w:firstLine="0"/>
              <w:jc w:val="center"/>
              <w:rPr>
                <w:sz w:val="21"/>
                <w:szCs w:val="21"/>
              </w:rPr>
            </w:pPr>
            <w:r>
              <w:rPr>
                <w:sz w:val="21"/>
                <w:szCs w:val="21"/>
              </w:rPr>
              <w:t>/</w:t>
            </w:r>
          </w:p>
        </w:tc>
        <w:tc>
          <w:tcPr>
            <w:tcW w:w="441" w:type="pct"/>
          </w:tcPr>
          <w:p w14:paraId="4DF116EA" w14:textId="77777777" w:rsidR="003E78AB" w:rsidRDefault="00010BF9">
            <w:pPr>
              <w:spacing w:line="360" w:lineRule="exact"/>
              <w:ind w:firstLineChars="0" w:firstLine="0"/>
              <w:jc w:val="center"/>
              <w:rPr>
                <w:sz w:val="21"/>
                <w:szCs w:val="21"/>
              </w:rPr>
            </w:pPr>
            <w:r>
              <w:rPr>
                <w:sz w:val="21"/>
                <w:szCs w:val="21"/>
              </w:rPr>
              <w:t>柱状样点</w:t>
            </w:r>
          </w:p>
        </w:tc>
        <w:tc>
          <w:tcPr>
            <w:tcW w:w="1416" w:type="pct"/>
          </w:tcPr>
          <w:p w14:paraId="3508EE51" w14:textId="77777777" w:rsidR="003E78AB" w:rsidRDefault="00010BF9">
            <w:pPr>
              <w:spacing w:line="360" w:lineRule="exact"/>
              <w:ind w:firstLineChars="0" w:firstLine="0"/>
              <w:jc w:val="center"/>
              <w:rPr>
                <w:sz w:val="21"/>
                <w:szCs w:val="21"/>
              </w:rPr>
            </w:pPr>
            <w:r>
              <w:rPr>
                <w:rFonts w:hint="eastAsia"/>
                <w:sz w:val="21"/>
                <w:szCs w:val="21"/>
              </w:rPr>
              <w:t>E:93</w:t>
            </w:r>
            <w:r>
              <w:rPr>
                <w:rFonts w:hint="eastAsia"/>
                <w:sz w:val="21"/>
                <w:szCs w:val="21"/>
              </w:rPr>
              <w:t>°</w:t>
            </w:r>
            <w:r>
              <w:rPr>
                <w:rFonts w:hint="eastAsia"/>
                <w:sz w:val="21"/>
                <w:szCs w:val="21"/>
              </w:rPr>
              <w:t>25</w:t>
            </w:r>
            <w:r>
              <w:rPr>
                <w:rFonts w:hint="eastAsia"/>
                <w:sz w:val="21"/>
                <w:szCs w:val="21"/>
              </w:rPr>
              <w:t>′</w:t>
            </w:r>
            <w:r>
              <w:rPr>
                <w:rFonts w:hint="eastAsia"/>
                <w:sz w:val="21"/>
                <w:szCs w:val="21"/>
              </w:rPr>
              <w:t>13.65595</w:t>
            </w:r>
            <w:r>
              <w:rPr>
                <w:rFonts w:hint="eastAsia"/>
                <w:sz w:val="21"/>
                <w:szCs w:val="21"/>
              </w:rPr>
              <w:t>″</w:t>
            </w:r>
          </w:p>
          <w:p w14:paraId="32AB7510" w14:textId="77777777" w:rsidR="003E78AB" w:rsidRDefault="00010BF9">
            <w:pPr>
              <w:spacing w:line="360" w:lineRule="exact"/>
              <w:ind w:firstLineChars="0" w:firstLine="0"/>
              <w:jc w:val="center"/>
              <w:rPr>
                <w:sz w:val="21"/>
                <w:szCs w:val="21"/>
              </w:rPr>
            </w:pPr>
            <w:r>
              <w:rPr>
                <w:rFonts w:hint="eastAsia"/>
                <w:sz w:val="21"/>
                <w:szCs w:val="21"/>
              </w:rPr>
              <w:t>N:42</w:t>
            </w:r>
            <w:r>
              <w:rPr>
                <w:rFonts w:hint="eastAsia"/>
                <w:sz w:val="21"/>
                <w:szCs w:val="21"/>
              </w:rPr>
              <w:t>°</w:t>
            </w:r>
            <w:r>
              <w:rPr>
                <w:rFonts w:hint="eastAsia"/>
                <w:sz w:val="21"/>
                <w:szCs w:val="21"/>
              </w:rPr>
              <w:t>41</w:t>
            </w:r>
            <w:r>
              <w:rPr>
                <w:rFonts w:hint="eastAsia"/>
                <w:sz w:val="21"/>
                <w:szCs w:val="21"/>
              </w:rPr>
              <w:t>′</w:t>
            </w:r>
            <w:r>
              <w:rPr>
                <w:rFonts w:hint="eastAsia"/>
                <w:sz w:val="21"/>
                <w:szCs w:val="21"/>
              </w:rPr>
              <w:t>40.92455</w:t>
            </w:r>
            <w:r>
              <w:rPr>
                <w:rFonts w:hint="eastAsia"/>
                <w:sz w:val="21"/>
                <w:szCs w:val="21"/>
              </w:rPr>
              <w:t>″</w:t>
            </w:r>
          </w:p>
        </w:tc>
        <w:tc>
          <w:tcPr>
            <w:tcW w:w="976" w:type="pct"/>
          </w:tcPr>
          <w:p w14:paraId="76B6C645" w14:textId="77777777" w:rsidR="003E78AB" w:rsidRDefault="00010BF9">
            <w:pPr>
              <w:spacing w:line="360" w:lineRule="exact"/>
              <w:ind w:firstLineChars="0" w:firstLine="0"/>
              <w:jc w:val="center"/>
              <w:rPr>
                <w:sz w:val="21"/>
                <w:szCs w:val="21"/>
              </w:rPr>
            </w:pPr>
            <w:r>
              <w:rPr>
                <w:sz w:val="21"/>
                <w:szCs w:val="21"/>
              </w:rPr>
              <w:t>pH</w:t>
            </w:r>
            <w:r>
              <w:rPr>
                <w:rFonts w:hint="eastAsia"/>
                <w:sz w:val="21"/>
                <w:szCs w:val="21"/>
              </w:rPr>
              <w:t>、</w:t>
            </w:r>
            <w:r>
              <w:rPr>
                <w:sz w:val="21"/>
                <w:szCs w:val="21"/>
              </w:rPr>
              <w:t>石油烃</w:t>
            </w:r>
            <w:r>
              <w:rPr>
                <w:rFonts w:hint="eastAsia"/>
                <w:sz w:val="21"/>
                <w:szCs w:val="21"/>
              </w:rPr>
              <w:t>（</w:t>
            </w:r>
            <w:r>
              <w:rPr>
                <w:sz w:val="21"/>
                <w:szCs w:val="21"/>
              </w:rPr>
              <w:t>C</w:t>
            </w:r>
            <w:r>
              <w:rPr>
                <w:sz w:val="21"/>
                <w:szCs w:val="21"/>
                <w:vertAlign w:val="subscript"/>
              </w:rPr>
              <w:t>10</w:t>
            </w:r>
            <w:r>
              <w:rPr>
                <w:sz w:val="21"/>
                <w:szCs w:val="21"/>
              </w:rPr>
              <w:t>-C</w:t>
            </w:r>
            <w:r>
              <w:rPr>
                <w:sz w:val="21"/>
                <w:szCs w:val="21"/>
                <w:vertAlign w:val="subscript"/>
              </w:rPr>
              <w:t>40</w:t>
            </w:r>
            <w:r>
              <w:rPr>
                <w:rFonts w:hint="eastAsia"/>
                <w:sz w:val="21"/>
                <w:szCs w:val="21"/>
              </w:rPr>
              <w:t>）、钒、</w:t>
            </w:r>
            <w:r>
              <w:rPr>
                <w:rFonts w:hint="eastAsia"/>
                <w:bCs/>
                <w:sz w:val="21"/>
                <w:szCs w:val="21"/>
              </w:rPr>
              <w:t>总磷</w:t>
            </w:r>
          </w:p>
        </w:tc>
      </w:tr>
    </w:tbl>
    <w:p w14:paraId="45C720DF" w14:textId="77777777" w:rsidR="003E78AB" w:rsidRDefault="00010BF9">
      <w:pPr>
        <w:ind w:firstLine="480"/>
      </w:pPr>
      <w:r>
        <w:t>（</w:t>
      </w:r>
      <w:r>
        <w:t>2</w:t>
      </w:r>
      <w:r>
        <w:t>）监测时间</w:t>
      </w:r>
    </w:p>
    <w:p w14:paraId="0344D5F2" w14:textId="77777777" w:rsidR="003E78AB" w:rsidRDefault="00010BF9">
      <w:pPr>
        <w:ind w:firstLine="480"/>
      </w:pPr>
      <w:r>
        <w:t>本次土壤环境质量监测数据由</w:t>
      </w:r>
      <w:r>
        <w:rPr>
          <w:rFonts w:hint="eastAsia"/>
        </w:rPr>
        <w:t>新疆锡水金山环境科技有限公司</w:t>
      </w:r>
      <w:r>
        <w:t>于</w:t>
      </w:r>
      <w:r>
        <w:t>202</w:t>
      </w:r>
      <w:r>
        <w:rPr>
          <w:rFonts w:hint="eastAsia"/>
        </w:rPr>
        <w:t>5</w:t>
      </w:r>
      <w:r>
        <w:t>年</w:t>
      </w:r>
      <w:r>
        <w:rPr>
          <w:rFonts w:hint="eastAsia"/>
        </w:rPr>
        <w:t>5</w:t>
      </w:r>
      <w:r>
        <w:t>月</w:t>
      </w:r>
      <w:r>
        <w:rPr>
          <w:rFonts w:hint="eastAsia"/>
        </w:rPr>
        <w:t>30</w:t>
      </w:r>
      <w:r>
        <w:t>日至现场采样监测。</w:t>
      </w:r>
    </w:p>
    <w:p w14:paraId="02D04A9B" w14:textId="77777777" w:rsidR="003E78AB" w:rsidRDefault="00010BF9">
      <w:pPr>
        <w:ind w:firstLine="480"/>
      </w:pPr>
      <w:r>
        <w:t>（</w:t>
      </w:r>
      <w:r>
        <w:t>3</w:t>
      </w:r>
      <w:r>
        <w:t>）监测因子</w:t>
      </w:r>
    </w:p>
    <w:p w14:paraId="0BCADDCD" w14:textId="77777777" w:rsidR="003E78AB" w:rsidRDefault="00010BF9">
      <w:pPr>
        <w:pStyle w:val="ac"/>
        <w:spacing w:after="0" w:line="520" w:lineRule="exact"/>
        <w:rPr>
          <w:rFonts w:eastAsiaTheme="minorEastAsia"/>
        </w:rPr>
      </w:pPr>
      <w:r>
        <w:t>本次土壤现状监测项目为：</w:t>
      </w:r>
      <w:r>
        <w:rPr>
          <w:rFonts w:eastAsiaTheme="minorEastAsia" w:hint="eastAsia"/>
        </w:rPr>
        <w:t>土壤</w:t>
      </w:r>
      <w:r>
        <w:rPr>
          <w:rFonts w:eastAsiaTheme="minorEastAsia" w:hint="eastAsia"/>
        </w:rPr>
        <w:t>pH</w:t>
      </w:r>
      <w:r>
        <w:rPr>
          <w:rFonts w:eastAsiaTheme="minorEastAsia" w:hint="eastAsia"/>
        </w:rPr>
        <w:t>值；</w:t>
      </w:r>
    </w:p>
    <w:p w14:paraId="00ABC283" w14:textId="77777777" w:rsidR="003E78AB" w:rsidRDefault="00010BF9">
      <w:pPr>
        <w:pStyle w:val="ac"/>
        <w:spacing w:after="0" w:line="520" w:lineRule="exact"/>
        <w:rPr>
          <w:rFonts w:eastAsiaTheme="minorEastAsia"/>
        </w:rPr>
      </w:pPr>
      <w:r>
        <w:rPr>
          <w:rFonts w:eastAsiaTheme="minorEastAsia" w:hint="eastAsia"/>
        </w:rPr>
        <w:t>重金属和无机物：砷、镉、六价铬、铜、铅、汞、镍、氰化物</w:t>
      </w:r>
      <w:r>
        <w:rPr>
          <w:rFonts w:eastAsia="宋体" w:hint="eastAsia"/>
          <w:bCs/>
          <w:szCs w:val="24"/>
        </w:rPr>
        <w:t>、总磷、钒</w:t>
      </w:r>
      <w:r>
        <w:rPr>
          <w:rFonts w:eastAsiaTheme="minorEastAsia" w:hint="eastAsia"/>
        </w:rPr>
        <w:t>；</w:t>
      </w:r>
    </w:p>
    <w:p w14:paraId="5851BA8E" w14:textId="77777777" w:rsidR="003E78AB" w:rsidRDefault="00010BF9">
      <w:pPr>
        <w:pStyle w:val="ac"/>
        <w:spacing w:after="0" w:line="520" w:lineRule="exact"/>
        <w:rPr>
          <w:rFonts w:eastAsiaTheme="minorEastAsia"/>
        </w:rPr>
      </w:pPr>
      <w:r>
        <w:rPr>
          <w:rFonts w:eastAsiaTheme="minorEastAsia" w:hint="eastAsia"/>
        </w:rPr>
        <w:t>挥发性有机物：四氯化碳、氯仿、氯甲烷、</w:t>
      </w:r>
      <w:r>
        <w:rPr>
          <w:rFonts w:eastAsiaTheme="minorEastAsia" w:hint="eastAsia"/>
        </w:rPr>
        <w:t>1,1-</w:t>
      </w:r>
      <w:r>
        <w:rPr>
          <w:rFonts w:eastAsiaTheme="minorEastAsia" w:hint="eastAsia"/>
        </w:rPr>
        <w:t>二氯乙烷、</w:t>
      </w:r>
      <w:r>
        <w:rPr>
          <w:rFonts w:eastAsiaTheme="minorEastAsia" w:hint="eastAsia"/>
        </w:rPr>
        <w:t>1,2-</w:t>
      </w:r>
      <w:r>
        <w:rPr>
          <w:rFonts w:eastAsiaTheme="minorEastAsia" w:hint="eastAsia"/>
        </w:rPr>
        <w:t>二氯乙烷、</w:t>
      </w:r>
      <w:r>
        <w:rPr>
          <w:rFonts w:eastAsiaTheme="minorEastAsia" w:hint="eastAsia"/>
        </w:rPr>
        <w:t>1,1-</w:t>
      </w:r>
      <w:r>
        <w:rPr>
          <w:rFonts w:eastAsiaTheme="minorEastAsia" w:hint="eastAsia"/>
        </w:rPr>
        <w:t>二氯乙烯、顺</w:t>
      </w:r>
      <w:r>
        <w:rPr>
          <w:rFonts w:eastAsiaTheme="minorEastAsia" w:hint="eastAsia"/>
        </w:rPr>
        <w:t>-1,2-</w:t>
      </w:r>
      <w:r>
        <w:rPr>
          <w:rFonts w:eastAsiaTheme="minorEastAsia" w:hint="eastAsia"/>
        </w:rPr>
        <w:t>二氯乙烯、反</w:t>
      </w:r>
      <w:r>
        <w:rPr>
          <w:rFonts w:eastAsiaTheme="minorEastAsia" w:hint="eastAsia"/>
        </w:rPr>
        <w:t>-1,2-</w:t>
      </w:r>
      <w:r>
        <w:rPr>
          <w:rFonts w:eastAsiaTheme="minorEastAsia" w:hint="eastAsia"/>
        </w:rPr>
        <w:t>二氯乙烯、二氯甲烷、</w:t>
      </w:r>
      <w:r>
        <w:rPr>
          <w:rFonts w:eastAsiaTheme="minorEastAsia" w:hint="eastAsia"/>
        </w:rPr>
        <w:t>1,2-</w:t>
      </w:r>
      <w:r>
        <w:rPr>
          <w:rFonts w:eastAsiaTheme="minorEastAsia" w:hint="eastAsia"/>
        </w:rPr>
        <w:t>二氯丙烷、</w:t>
      </w:r>
      <w:r>
        <w:rPr>
          <w:rFonts w:eastAsiaTheme="minorEastAsia" w:hint="eastAsia"/>
        </w:rPr>
        <w:t>1,1,1,2-</w:t>
      </w:r>
      <w:r>
        <w:rPr>
          <w:rFonts w:eastAsiaTheme="minorEastAsia" w:hint="eastAsia"/>
        </w:rPr>
        <w:t>四氯乙烷、</w:t>
      </w:r>
      <w:r>
        <w:rPr>
          <w:rFonts w:eastAsiaTheme="minorEastAsia" w:hint="eastAsia"/>
        </w:rPr>
        <w:t>1,1,2,2-</w:t>
      </w:r>
      <w:r>
        <w:rPr>
          <w:rFonts w:eastAsiaTheme="minorEastAsia" w:hint="eastAsia"/>
        </w:rPr>
        <w:t>四氯乙烷、四氯乙烯、</w:t>
      </w:r>
      <w:r>
        <w:rPr>
          <w:rFonts w:eastAsiaTheme="minorEastAsia" w:hint="eastAsia"/>
        </w:rPr>
        <w:t>1,1,1-</w:t>
      </w:r>
      <w:r>
        <w:rPr>
          <w:rFonts w:eastAsiaTheme="minorEastAsia" w:hint="eastAsia"/>
        </w:rPr>
        <w:t>三氯乙烷、</w:t>
      </w:r>
      <w:r>
        <w:rPr>
          <w:rFonts w:eastAsiaTheme="minorEastAsia" w:hint="eastAsia"/>
        </w:rPr>
        <w:t>1,1,2-</w:t>
      </w:r>
      <w:r>
        <w:rPr>
          <w:rFonts w:eastAsiaTheme="minorEastAsia" w:hint="eastAsia"/>
        </w:rPr>
        <w:t>三氯乙烷、三氯乙烯、</w:t>
      </w:r>
      <w:r>
        <w:rPr>
          <w:rFonts w:eastAsiaTheme="minorEastAsia" w:hint="eastAsia"/>
        </w:rPr>
        <w:t>1,2,3-</w:t>
      </w:r>
      <w:r>
        <w:rPr>
          <w:rFonts w:eastAsiaTheme="minorEastAsia" w:hint="eastAsia"/>
        </w:rPr>
        <w:t>三氯丙烷、氯乙烯、苯、氯苯、</w:t>
      </w:r>
      <w:r>
        <w:rPr>
          <w:rFonts w:eastAsiaTheme="minorEastAsia" w:hint="eastAsia"/>
        </w:rPr>
        <w:t>1,2-</w:t>
      </w:r>
      <w:r>
        <w:rPr>
          <w:rFonts w:eastAsiaTheme="minorEastAsia" w:hint="eastAsia"/>
        </w:rPr>
        <w:t>二氯苯、</w:t>
      </w:r>
      <w:r>
        <w:rPr>
          <w:rFonts w:eastAsiaTheme="minorEastAsia" w:hint="eastAsia"/>
        </w:rPr>
        <w:t>1,4-</w:t>
      </w:r>
      <w:r>
        <w:rPr>
          <w:rFonts w:eastAsiaTheme="minorEastAsia" w:hint="eastAsia"/>
        </w:rPr>
        <w:t>二氯苯、乙苯、苯乙烯、甲苯、间二甲苯</w:t>
      </w:r>
      <w:r>
        <w:rPr>
          <w:rFonts w:eastAsiaTheme="minorEastAsia" w:hint="eastAsia"/>
        </w:rPr>
        <w:t>+</w:t>
      </w:r>
      <w:r>
        <w:rPr>
          <w:rFonts w:eastAsiaTheme="minorEastAsia" w:hint="eastAsia"/>
        </w:rPr>
        <w:t>对二甲苯、邻二甲苯；</w:t>
      </w:r>
    </w:p>
    <w:p w14:paraId="526EAC40" w14:textId="77777777" w:rsidR="003E78AB" w:rsidRDefault="00010BF9">
      <w:pPr>
        <w:pStyle w:val="ac"/>
        <w:spacing w:after="0" w:line="520" w:lineRule="exact"/>
        <w:rPr>
          <w:rFonts w:eastAsiaTheme="minorEastAsia"/>
        </w:rPr>
      </w:pPr>
      <w:r>
        <w:rPr>
          <w:rFonts w:eastAsiaTheme="minorEastAsia" w:hint="eastAsia"/>
        </w:rPr>
        <w:t>半挥发性有机物：苯并</w:t>
      </w:r>
      <w:r>
        <w:rPr>
          <w:rFonts w:eastAsiaTheme="minorEastAsia" w:hint="eastAsia"/>
        </w:rPr>
        <w:t>[a]</w:t>
      </w:r>
      <w:r>
        <w:rPr>
          <w:rFonts w:eastAsiaTheme="minorEastAsia" w:hint="eastAsia"/>
        </w:rPr>
        <w:t>蒽、苯并</w:t>
      </w:r>
      <w:r>
        <w:rPr>
          <w:rFonts w:eastAsiaTheme="minorEastAsia" w:hint="eastAsia"/>
        </w:rPr>
        <w:t>[a]</w:t>
      </w:r>
      <w:r>
        <w:rPr>
          <w:rFonts w:eastAsiaTheme="minorEastAsia" w:hint="eastAsia"/>
        </w:rPr>
        <w:t>芘、苯并</w:t>
      </w:r>
      <w:r>
        <w:rPr>
          <w:rFonts w:eastAsiaTheme="minorEastAsia" w:hint="eastAsia"/>
        </w:rPr>
        <w:t>[b]</w:t>
      </w:r>
      <w:r>
        <w:rPr>
          <w:rFonts w:eastAsiaTheme="minorEastAsia" w:hint="eastAsia"/>
        </w:rPr>
        <w:t>荧蒽、苯并</w:t>
      </w:r>
      <w:r>
        <w:rPr>
          <w:rFonts w:eastAsiaTheme="minorEastAsia" w:hint="eastAsia"/>
        </w:rPr>
        <w:t>[k]</w:t>
      </w:r>
      <w:r>
        <w:rPr>
          <w:rFonts w:eastAsiaTheme="minorEastAsia" w:hint="eastAsia"/>
        </w:rPr>
        <w:t>荧蒽、䓛、二苯并</w:t>
      </w:r>
      <w:r>
        <w:rPr>
          <w:rFonts w:eastAsiaTheme="minorEastAsia" w:hint="eastAsia"/>
        </w:rPr>
        <w:t>[a,h]</w:t>
      </w:r>
      <w:r>
        <w:rPr>
          <w:rFonts w:eastAsiaTheme="minorEastAsia" w:hint="eastAsia"/>
        </w:rPr>
        <w:t>蒽、茚并</w:t>
      </w:r>
      <w:r>
        <w:rPr>
          <w:rFonts w:eastAsiaTheme="minorEastAsia" w:hint="eastAsia"/>
        </w:rPr>
        <w:t>[1</w:t>
      </w:r>
      <w:r>
        <w:rPr>
          <w:rFonts w:eastAsiaTheme="minorEastAsia" w:hint="eastAsia"/>
        </w:rPr>
        <w:t>,2,3-cd]</w:t>
      </w:r>
      <w:r>
        <w:rPr>
          <w:rFonts w:eastAsiaTheme="minorEastAsia" w:hint="eastAsia"/>
        </w:rPr>
        <w:t>芘、萘、硝基苯、苯胺、</w:t>
      </w:r>
      <w:r>
        <w:rPr>
          <w:rFonts w:eastAsiaTheme="minorEastAsia" w:hint="eastAsia"/>
        </w:rPr>
        <w:t>2-</w:t>
      </w:r>
      <w:r>
        <w:rPr>
          <w:rFonts w:eastAsiaTheme="minorEastAsia" w:hint="eastAsia"/>
        </w:rPr>
        <w:t>氯酚；</w:t>
      </w:r>
    </w:p>
    <w:p w14:paraId="7AD2FE2B" w14:textId="77777777" w:rsidR="003E78AB" w:rsidRDefault="00010BF9">
      <w:pPr>
        <w:pStyle w:val="ac"/>
        <w:spacing w:after="0" w:line="520" w:lineRule="exact"/>
        <w:rPr>
          <w:rFonts w:eastAsiaTheme="minorEastAsia"/>
        </w:rPr>
      </w:pPr>
      <w:r>
        <w:rPr>
          <w:rFonts w:eastAsiaTheme="minorEastAsia" w:hint="eastAsia"/>
        </w:rPr>
        <w:t>石油烃类：石油烃（</w:t>
      </w:r>
      <w:r>
        <w:rPr>
          <w:rFonts w:eastAsiaTheme="minorEastAsia" w:hint="eastAsia"/>
        </w:rPr>
        <w:t>C</w:t>
      </w:r>
      <w:r>
        <w:rPr>
          <w:rFonts w:eastAsiaTheme="minorEastAsia" w:hint="eastAsia"/>
          <w:vertAlign w:val="subscript"/>
        </w:rPr>
        <w:t>10</w:t>
      </w:r>
      <w:r>
        <w:rPr>
          <w:rFonts w:eastAsiaTheme="minorEastAsia" w:hint="eastAsia"/>
        </w:rPr>
        <w:t>~C</w:t>
      </w:r>
      <w:r>
        <w:rPr>
          <w:rFonts w:eastAsiaTheme="minorEastAsia" w:hint="eastAsia"/>
          <w:vertAlign w:val="subscript"/>
        </w:rPr>
        <w:t>40</w:t>
      </w:r>
      <w:r>
        <w:rPr>
          <w:rFonts w:eastAsiaTheme="minorEastAsia" w:hint="eastAsia"/>
        </w:rPr>
        <w:t>）；</w:t>
      </w:r>
    </w:p>
    <w:p w14:paraId="0B6DBF8B" w14:textId="77777777" w:rsidR="003E78AB" w:rsidRDefault="00010BF9">
      <w:pPr>
        <w:ind w:firstLine="480"/>
      </w:pPr>
      <w:r>
        <w:rPr>
          <w:rFonts w:eastAsiaTheme="minorEastAsia" w:hint="eastAsia"/>
        </w:rPr>
        <w:t>共计</w:t>
      </w:r>
      <w:r>
        <w:rPr>
          <w:rFonts w:eastAsiaTheme="minorEastAsia" w:hint="eastAsia"/>
        </w:rPr>
        <w:t>49</w:t>
      </w:r>
      <w:r>
        <w:rPr>
          <w:rFonts w:eastAsiaTheme="minorEastAsia" w:hint="eastAsia"/>
        </w:rPr>
        <w:t>项。</w:t>
      </w:r>
    </w:p>
    <w:p w14:paraId="0C59FE28" w14:textId="77777777" w:rsidR="003E78AB" w:rsidRDefault="00010BF9">
      <w:pPr>
        <w:ind w:firstLine="480"/>
      </w:pPr>
      <w:r>
        <w:t>（</w:t>
      </w:r>
      <w:r>
        <w:t>4</w:t>
      </w:r>
      <w:r>
        <w:t>）评价标准</w:t>
      </w:r>
    </w:p>
    <w:p w14:paraId="73780305" w14:textId="77777777" w:rsidR="003E78AB" w:rsidRDefault="00010BF9">
      <w:pPr>
        <w:ind w:firstLine="480"/>
      </w:pPr>
      <w:r>
        <w:t>项目占地类型为建设用地，土壤质量执行《土壤环境质量建设用地土壤污染风险管控标准（试行）》（</w:t>
      </w:r>
      <w:r>
        <w:t>GB36600-2018</w:t>
      </w:r>
      <w:r>
        <w:t>）表</w:t>
      </w:r>
      <w:r>
        <w:t>1</w:t>
      </w:r>
      <w:r>
        <w:t>中第二类用地筛选值；</w:t>
      </w:r>
    </w:p>
    <w:p w14:paraId="5E18C363" w14:textId="77777777" w:rsidR="003E78AB" w:rsidRDefault="00010BF9">
      <w:pPr>
        <w:ind w:firstLine="480"/>
      </w:pPr>
      <w:r>
        <w:t>（</w:t>
      </w:r>
      <w:r>
        <w:t>5</w:t>
      </w:r>
      <w:r>
        <w:t>）评价方法</w:t>
      </w:r>
    </w:p>
    <w:p w14:paraId="770C8E72" w14:textId="77777777" w:rsidR="003E78AB" w:rsidRDefault="00010BF9">
      <w:pPr>
        <w:ind w:firstLine="480"/>
      </w:pPr>
      <w:r>
        <w:t>评价方法采用标准指数法。</w:t>
      </w:r>
    </w:p>
    <w:p w14:paraId="37C19151" w14:textId="77777777" w:rsidR="003E78AB" w:rsidRDefault="00010BF9">
      <w:pPr>
        <w:ind w:firstLine="480"/>
      </w:pPr>
      <w:r>
        <w:t>计算公式为</w:t>
      </w:r>
    </w:p>
    <w:p w14:paraId="17F0AB77" w14:textId="77777777" w:rsidR="003E78AB" w:rsidRDefault="00010BF9">
      <w:pPr>
        <w:ind w:firstLine="480"/>
        <w:rPr>
          <w:i/>
          <w:kern w:val="2"/>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m:t>
                  </m:r>
                  <m:r>
                    <w:rPr>
                      <w:rFonts w:ascii="Cambria Math" w:hAnsi="Cambria Math"/>
                    </w:rPr>
                    <m:t>i</m:t>
                  </m:r>
                </m:sub>
              </m:sSub>
            </m:den>
          </m:f>
        </m:oMath>
      </m:oMathPara>
    </w:p>
    <w:p w14:paraId="7C7A4AA5" w14:textId="77777777" w:rsidR="003E78AB" w:rsidRDefault="00010BF9">
      <w:pPr>
        <w:ind w:firstLine="480"/>
      </w:pPr>
      <w:r>
        <w:t>式中：</w:t>
      </w:r>
      <w:r>
        <w:t>P</w:t>
      </w:r>
      <w:r>
        <w:rPr>
          <w:vertAlign w:val="subscript"/>
        </w:rPr>
        <w:t>i</w:t>
      </w:r>
      <w:r>
        <w:t>—i</w:t>
      </w:r>
      <w:r>
        <w:t>污染物标准指数；</w:t>
      </w:r>
    </w:p>
    <w:p w14:paraId="7A8E8643" w14:textId="77777777" w:rsidR="003E78AB" w:rsidRDefault="00010BF9">
      <w:pPr>
        <w:ind w:firstLine="480"/>
      </w:pPr>
      <w:r>
        <w:t>C</w:t>
      </w:r>
      <w:r>
        <w:rPr>
          <w:vertAlign w:val="subscript"/>
        </w:rPr>
        <w:t>i</w:t>
      </w:r>
      <w:r>
        <w:t>—i</w:t>
      </w:r>
      <w:r>
        <w:t>污染物的实测浓度均值</w:t>
      </w:r>
      <w:r>
        <w:t>mg/kg</w:t>
      </w:r>
      <w:r>
        <w:t>；</w:t>
      </w:r>
    </w:p>
    <w:p w14:paraId="48C1AEF3" w14:textId="77777777" w:rsidR="003E78AB" w:rsidRDefault="00010BF9">
      <w:pPr>
        <w:ind w:firstLine="480"/>
      </w:pPr>
      <w:r>
        <w:t>C</w:t>
      </w:r>
      <w:r>
        <w:rPr>
          <w:vertAlign w:val="subscript"/>
        </w:rPr>
        <w:t>0i</w:t>
      </w:r>
      <w:r>
        <w:t>—i</w:t>
      </w:r>
      <w:r>
        <w:t>污染物评价标准值</w:t>
      </w:r>
      <w:r>
        <w:t>mg/kg</w:t>
      </w:r>
      <w:r>
        <w:t>；</w:t>
      </w:r>
    </w:p>
    <w:p w14:paraId="49618ECC" w14:textId="77777777" w:rsidR="003E78AB" w:rsidRDefault="00010BF9">
      <w:pPr>
        <w:ind w:firstLine="480"/>
      </w:pPr>
      <w:r>
        <w:t>（</w:t>
      </w:r>
      <w:r>
        <w:t>6</w:t>
      </w:r>
      <w:r>
        <w:t>）监测数据及评价结果</w:t>
      </w:r>
    </w:p>
    <w:p w14:paraId="3EAFFEE0" w14:textId="77777777" w:rsidR="003E78AB" w:rsidRDefault="00010BF9">
      <w:pPr>
        <w:ind w:firstLine="480"/>
      </w:pPr>
      <w:r>
        <w:t>项目区土壤监测数据及评价结果</w:t>
      </w:r>
      <w:r>
        <w:t>见</w:t>
      </w:r>
      <w:r>
        <w:fldChar w:fldCharType="begin"/>
      </w:r>
      <w:r>
        <w:instrText xml:space="preserve"> REF _Ref19367 \r \h </w:instrText>
      </w:r>
      <w:r>
        <w:fldChar w:fldCharType="separate"/>
      </w:r>
      <w:r>
        <w:t>表</w:t>
      </w:r>
      <w:r>
        <w:t>4-14</w:t>
      </w:r>
      <w:r>
        <w:fldChar w:fldCharType="end"/>
      </w:r>
      <w:r>
        <w:t>～</w:t>
      </w:r>
      <w:r>
        <w:fldChar w:fldCharType="begin"/>
      </w:r>
      <w:r>
        <w:instrText xml:space="preserve"> REF _Ref19396 \r \h </w:instrText>
      </w:r>
      <w:r>
        <w:fldChar w:fldCharType="separate"/>
      </w:r>
      <w:r>
        <w:t>表</w:t>
      </w:r>
      <w:r>
        <w:t>4-15</w:t>
      </w:r>
      <w:r>
        <w:fldChar w:fldCharType="end"/>
      </w:r>
      <w:r>
        <w:t>。</w:t>
      </w:r>
    </w:p>
    <w:p w14:paraId="00D1BE41" w14:textId="77777777" w:rsidR="003E78AB" w:rsidRDefault="003E78AB">
      <w:pPr>
        <w:pStyle w:val="a0"/>
        <w:rPr>
          <w:rFonts w:hint="default"/>
        </w:rPr>
        <w:sectPr w:rsidR="003E78AB">
          <w:pgSz w:w="11906" w:h="16838"/>
          <w:pgMar w:top="1440" w:right="1701" w:bottom="1440" w:left="1985" w:header="851" w:footer="992" w:gutter="0"/>
          <w:cols w:space="720"/>
          <w:docGrid w:linePitch="312"/>
        </w:sectPr>
      </w:pPr>
    </w:p>
    <w:p w14:paraId="097C8627" w14:textId="77777777" w:rsidR="003E78AB" w:rsidRDefault="00010BF9">
      <w:pPr>
        <w:pStyle w:val="a0"/>
        <w:ind w:left="425" w:hanging="425"/>
        <w:rPr>
          <w:rFonts w:hint="default"/>
        </w:rPr>
      </w:pPr>
      <w:bookmarkStart w:id="318" w:name="_Ref19367"/>
      <w:r>
        <w:rPr>
          <w:rFonts w:hint="default"/>
        </w:rPr>
        <w:t>项目土壤现状监测及评价结果</w:t>
      </w:r>
      <w:bookmarkEnd w:id="318"/>
    </w:p>
    <w:tbl>
      <w:tblPr>
        <w:tblStyle w:val="afe"/>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842"/>
        <w:gridCol w:w="933"/>
        <w:gridCol w:w="1080"/>
        <w:gridCol w:w="924"/>
        <w:gridCol w:w="1021"/>
        <w:gridCol w:w="1143"/>
        <w:gridCol w:w="1109"/>
        <w:gridCol w:w="1162"/>
        <w:gridCol w:w="918"/>
        <w:gridCol w:w="991"/>
        <w:gridCol w:w="827"/>
        <w:gridCol w:w="1017"/>
        <w:gridCol w:w="816"/>
      </w:tblGrid>
      <w:tr w:rsidR="003E78AB" w14:paraId="1D075EEA" w14:textId="77777777">
        <w:trPr>
          <w:trHeight w:val="450"/>
          <w:tblHeader/>
        </w:trPr>
        <w:tc>
          <w:tcPr>
            <w:tcW w:w="487" w:type="pct"/>
            <w:vMerge w:val="restart"/>
          </w:tcPr>
          <w:p w14:paraId="0933450A" w14:textId="77777777" w:rsidR="003E78AB" w:rsidRDefault="00010BF9">
            <w:pPr>
              <w:spacing w:line="360" w:lineRule="exact"/>
              <w:ind w:firstLineChars="0" w:firstLine="0"/>
              <w:jc w:val="center"/>
              <w:rPr>
                <w:b/>
                <w:bCs/>
                <w:sz w:val="21"/>
                <w:szCs w:val="21"/>
              </w:rPr>
            </w:pPr>
            <w:r>
              <w:rPr>
                <w:b/>
                <w:bCs/>
                <w:sz w:val="21"/>
                <w:szCs w:val="21"/>
              </w:rPr>
              <w:t>监测项目</w:t>
            </w:r>
          </w:p>
        </w:tc>
        <w:tc>
          <w:tcPr>
            <w:tcW w:w="297" w:type="pct"/>
            <w:vMerge w:val="restart"/>
          </w:tcPr>
          <w:p w14:paraId="0EEC3876" w14:textId="77777777" w:rsidR="003E78AB" w:rsidRDefault="00010BF9">
            <w:pPr>
              <w:spacing w:line="360" w:lineRule="exact"/>
              <w:ind w:firstLineChars="0" w:firstLine="0"/>
              <w:jc w:val="center"/>
              <w:rPr>
                <w:b/>
                <w:bCs/>
                <w:sz w:val="21"/>
                <w:szCs w:val="21"/>
              </w:rPr>
            </w:pPr>
            <w:r>
              <w:rPr>
                <w:b/>
                <w:bCs/>
                <w:sz w:val="21"/>
                <w:szCs w:val="21"/>
              </w:rPr>
              <w:t>标准值</w:t>
            </w:r>
            <w:r>
              <w:rPr>
                <w:b/>
                <w:bCs/>
                <w:sz w:val="21"/>
                <w:szCs w:val="21"/>
              </w:rPr>
              <w:t>mg/kg</w:t>
            </w:r>
          </w:p>
        </w:tc>
        <w:tc>
          <w:tcPr>
            <w:tcW w:w="710" w:type="pct"/>
            <w:gridSpan w:val="2"/>
            <w:vMerge w:val="restart"/>
          </w:tcPr>
          <w:p w14:paraId="173EBBF5" w14:textId="77777777" w:rsidR="003E78AB" w:rsidRDefault="00010BF9">
            <w:pPr>
              <w:spacing w:line="360" w:lineRule="exact"/>
              <w:ind w:firstLineChars="0" w:firstLine="0"/>
              <w:jc w:val="center"/>
              <w:rPr>
                <w:b/>
                <w:bCs/>
                <w:sz w:val="21"/>
                <w:szCs w:val="21"/>
              </w:rPr>
            </w:pPr>
            <w:r>
              <w:rPr>
                <w:b/>
                <w:bCs/>
                <w:sz w:val="21"/>
                <w:szCs w:val="21"/>
              </w:rPr>
              <w:t>厂界南侧</w:t>
            </w:r>
            <w:r>
              <w:rPr>
                <w:rFonts w:hint="eastAsia"/>
                <w:b/>
                <w:bCs/>
                <w:sz w:val="21"/>
                <w:szCs w:val="21"/>
              </w:rPr>
              <w:t>1#</w:t>
            </w:r>
            <w:r>
              <w:rPr>
                <w:b/>
                <w:bCs/>
                <w:sz w:val="21"/>
                <w:szCs w:val="21"/>
              </w:rPr>
              <w:t>表层样</w:t>
            </w:r>
          </w:p>
        </w:tc>
        <w:tc>
          <w:tcPr>
            <w:tcW w:w="686" w:type="pct"/>
            <w:gridSpan w:val="2"/>
            <w:vMerge w:val="restart"/>
          </w:tcPr>
          <w:p w14:paraId="5CBD60DC" w14:textId="77777777" w:rsidR="003E78AB" w:rsidRDefault="00010BF9">
            <w:pPr>
              <w:spacing w:line="360" w:lineRule="exact"/>
              <w:ind w:firstLineChars="0" w:firstLine="0"/>
              <w:jc w:val="center"/>
              <w:rPr>
                <w:b/>
                <w:bCs/>
                <w:sz w:val="21"/>
                <w:szCs w:val="21"/>
              </w:rPr>
            </w:pPr>
            <w:r>
              <w:rPr>
                <w:b/>
                <w:bCs/>
                <w:sz w:val="21"/>
                <w:szCs w:val="21"/>
              </w:rPr>
              <w:t>厂界北侧</w:t>
            </w:r>
            <w:r>
              <w:rPr>
                <w:rFonts w:hint="eastAsia"/>
                <w:b/>
                <w:bCs/>
                <w:sz w:val="21"/>
                <w:szCs w:val="21"/>
              </w:rPr>
              <w:t>2#</w:t>
            </w:r>
            <w:r>
              <w:rPr>
                <w:b/>
                <w:bCs/>
                <w:sz w:val="21"/>
                <w:szCs w:val="21"/>
              </w:rPr>
              <w:t>表层样</w:t>
            </w:r>
          </w:p>
        </w:tc>
        <w:tc>
          <w:tcPr>
            <w:tcW w:w="794" w:type="pct"/>
            <w:gridSpan w:val="2"/>
            <w:vMerge w:val="restart"/>
          </w:tcPr>
          <w:p w14:paraId="6839B89D" w14:textId="77777777" w:rsidR="003E78AB" w:rsidRDefault="00010BF9">
            <w:pPr>
              <w:spacing w:line="360" w:lineRule="exact"/>
              <w:ind w:firstLineChars="0" w:firstLine="0"/>
              <w:jc w:val="center"/>
              <w:rPr>
                <w:b/>
                <w:bCs/>
                <w:sz w:val="21"/>
                <w:szCs w:val="21"/>
              </w:rPr>
            </w:pPr>
            <w:r>
              <w:rPr>
                <w:rFonts w:hint="eastAsia"/>
                <w:b/>
                <w:bCs/>
                <w:sz w:val="21"/>
                <w:szCs w:val="21"/>
              </w:rPr>
              <w:t>项目厂区内</w:t>
            </w:r>
            <w:r>
              <w:rPr>
                <w:rFonts w:hint="eastAsia"/>
                <w:b/>
                <w:bCs/>
                <w:sz w:val="21"/>
                <w:szCs w:val="21"/>
              </w:rPr>
              <w:t>3#</w:t>
            </w:r>
            <w:r>
              <w:rPr>
                <w:rFonts w:hint="eastAsia"/>
                <w:b/>
                <w:bCs/>
                <w:sz w:val="21"/>
                <w:szCs w:val="21"/>
              </w:rPr>
              <w:t>表层样</w:t>
            </w:r>
          </w:p>
        </w:tc>
        <w:tc>
          <w:tcPr>
            <w:tcW w:w="2023" w:type="pct"/>
            <w:gridSpan w:val="6"/>
          </w:tcPr>
          <w:p w14:paraId="096C5BB8" w14:textId="77777777" w:rsidR="003E78AB" w:rsidRDefault="00010BF9">
            <w:pPr>
              <w:spacing w:line="360" w:lineRule="exact"/>
              <w:ind w:firstLineChars="0" w:firstLine="0"/>
              <w:jc w:val="center"/>
              <w:rPr>
                <w:b/>
                <w:bCs/>
                <w:sz w:val="21"/>
                <w:szCs w:val="21"/>
              </w:rPr>
            </w:pPr>
            <w:r>
              <w:rPr>
                <w:b/>
                <w:bCs/>
                <w:sz w:val="21"/>
                <w:szCs w:val="21"/>
              </w:rPr>
              <w:t>生产车间</w:t>
            </w:r>
            <w:r>
              <w:rPr>
                <w:rFonts w:hint="eastAsia"/>
                <w:b/>
                <w:bCs/>
                <w:sz w:val="21"/>
                <w:szCs w:val="21"/>
              </w:rPr>
              <w:t>4#</w:t>
            </w:r>
            <w:r>
              <w:rPr>
                <w:b/>
                <w:bCs/>
                <w:sz w:val="21"/>
                <w:szCs w:val="21"/>
              </w:rPr>
              <w:t>下方柱状样</w:t>
            </w:r>
          </w:p>
        </w:tc>
      </w:tr>
      <w:tr w:rsidR="003E78AB" w14:paraId="13E8C1F0" w14:textId="77777777">
        <w:trPr>
          <w:trHeight w:val="280"/>
          <w:tblHeader/>
        </w:trPr>
        <w:tc>
          <w:tcPr>
            <w:tcW w:w="487" w:type="pct"/>
            <w:vMerge/>
          </w:tcPr>
          <w:p w14:paraId="3ED0EBE8" w14:textId="77777777" w:rsidR="003E78AB" w:rsidRDefault="003E78AB">
            <w:pPr>
              <w:spacing w:line="360" w:lineRule="exact"/>
              <w:ind w:firstLineChars="0" w:firstLine="0"/>
              <w:jc w:val="center"/>
              <w:rPr>
                <w:b/>
                <w:bCs/>
                <w:sz w:val="21"/>
                <w:szCs w:val="21"/>
              </w:rPr>
            </w:pPr>
          </w:p>
        </w:tc>
        <w:tc>
          <w:tcPr>
            <w:tcW w:w="297" w:type="pct"/>
            <w:vMerge/>
          </w:tcPr>
          <w:p w14:paraId="6FF70642" w14:textId="77777777" w:rsidR="003E78AB" w:rsidRDefault="003E78AB">
            <w:pPr>
              <w:spacing w:line="360" w:lineRule="exact"/>
              <w:ind w:firstLineChars="0" w:firstLine="0"/>
              <w:jc w:val="center"/>
              <w:rPr>
                <w:b/>
                <w:bCs/>
                <w:sz w:val="21"/>
                <w:szCs w:val="21"/>
              </w:rPr>
            </w:pPr>
          </w:p>
        </w:tc>
        <w:tc>
          <w:tcPr>
            <w:tcW w:w="710" w:type="pct"/>
            <w:gridSpan w:val="2"/>
            <w:vMerge/>
          </w:tcPr>
          <w:p w14:paraId="72B81027" w14:textId="77777777" w:rsidR="003E78AB" w:rsidRDefault="003E78AB">
            <w:pPr>
              <w:spacing w:line="360" w:lineRule="exact"/>
              <w:ind w:firstLineChars="0" w:firstLine="0"/>
              <w:jc w:val="center"/>
              <w:rPr>
                <w:b/>
                <w:bCs/>
                <w:sz w:val="21"/>
                <w:szCs w:val="21"/>
              </w:rPr>
            </w:pPr>
          </w:p>
        </w:tc>
        <w:tc>
          <w:tcPr>
            <w:tcW w:w="686" w:type="pct"/>
            <w:gridSpan w:val="2"/>
            <w:vMerge/>
          </w:tcPr>
          <w:p w14:paraId="1A50A3E1" w14:textId="77777777" w:rsidR="003E78AB" w:rsidRDefault="003E78AB">
            <w:pPr>
              <w:spacing w:line="360" w:lineRule="exact"/>
              <w:ind w:firstLineChars="0" w:firstLine="0"/>
              <w:jc w:val="center"/>
              <w:rPr>
                <w:b/>
                <w:bCs/>
                <w:sz w:val="21"/>
                <w:szCs w:val="21"/>
              </w:rPr>
            </w:pPr>
          </w:p>
        </w:tc>
        <w:tc>
          <w:tcPr>
            <w:tcW w:w="794" w:type="pct"/>
            <w:gridSpan w:val="2"/>
            <w:vMerge/>
          </w:tcPr>
          <w:p w14:paraId="22AB9E05" w14:textId="77777777" w:rsidR="003E78AB" w:rsidRDefault="003E78AB">
            <w:pPr>
              <w:spacing w:line="360" w:lineRule="exact"/>
              <w:ind w:firstLineChars="0" w:firstLine="0"/>
              <w:jc w:val="center"/>
              <w:rPr>
                <w:b/>
                <w:bCs/>
                <w:sz w:val="21"/>
                <w:szCs w:val="21"/>
              </w:rPr>
            </w:pPr>
          </w:p>
        </w:tc>
        <w:tc>
          <w:tcPr>
            <w:tcW w:w="734" w:type="pct"/>
            <w:gridSpan w:val="2"/>
          </w:tcPr>
          <w:p w14:paraId="2CD9F0E5" w14:textId="77777777" w:rsidR="003E78AB" w:rsidRDefault="00010BF9">
            <w:pPr>
              <w:spacing w:line="360" w:lineRule="exact"/>
              <w:ind w:firstLineChars="0" w:firstLine="0"/>
              <w:jc w:val="center"/>
              <w:rPr>
                <w:b/>
                <w:bCs/>
                <w:sz w:val="21"/>
                <w:szCs w:val="21"/>
              </w:rPr>
            </w:pPr>
            <w:r>
              <w:rPr>
                <w:b/>
                <w:bCs/>
                <w:sz w:val="21"/>
                <w:szCs w:val="21"/>
              </w:rPr>
              <w:t>0~0.5m</w:t>
            </w:r>
          </w:p>
        </w:tc>
        <w:tc>
          <w:tcPr>
            <w:tcW w:w="642" w:type="pct"/>
            <w:gridSpan w:val="2"/>
          </w:tcPr>
          <w:p w14:paraId="3FFB5B2E" w14:textId="77777777" w:rsidR="003E78AB" w:rsidRDefault="00010BF9">
            <w:pPr>
              <w:spacing w:line="360" w:lineRule="exact"/>
              <w:ind w:firstLineChars="0" w:firstLine="0"/>
              <w:jc w:val="center"/>
              <w:rPr>
                <w:b/>
                <w:bCs/>
                <w:sz w:val="21"/>
                <w:szCs w:val="21"/>
              </w:rPr>
            </w:pPr>
            <w:r>
              <w:rPr>
                <w:b/>
                <w:bCs/>
                <w:sz w:val="21"/>
                <w:szCs w:val="21"/>
              </w:rPr>
              <w:t>0.5~1.5m</w:t>
            </w:r>
          </w:p>
        </w:tc>
        <w:tc>
          <w:tcPr>
            <w:tcW w:w="647" w:type="pct"/>
            <w:gridSpan w:val="2"/>
          </w:tcPr>
          <w:p w14:paraId="28E5D352" w14:textId="77777777" w:rsidR="003E78AB" w:rsidRDefault="00010BF9">
            <w:pPr>
              <w:spacing w:line="360" w:lineRule="exact"/>
              <w:ind w:firstLineChars="0" w:firstLine="0"/>
              <w:jc w:val="center"/>
              <w:rPr>
                <w:b/>
                <w:bCs/>
                <w:sz w:val="21"/>
                <w:szCs w:val="21"/>
              </w:rPr>
            </w:pPr>
            <w:r>
              <w:rPr>
                <w:b/>
                <w:bCs/>
                <w:sz w:val="21"/>
                <w:szCs w:val="21"/>
              </w:rPr>
              <w:t>1.5~3.0m</w:t>
            </w:r>
          </w:p>
        </w:tc>
      </w:tr>
      <w:tr w:rsidR="003E78AB" w14:paraId="0237CE5A" w14:textId="77777777">
        <w:trPr>
          <w:trHeight w:val="397"/>
          <w:tblHeader/>
        </w:trPr>
        <w:tc>
          <w:tcPr>
            <w:tcW w:w="487" w:type="pct"/>
            <w:vMerge/>
          </w:tcPr>
          <w:p w14:paraId="6364E329" w14:textId="77777777" w:rsidR="003E78AB" w:rsidRDefault="003E78AB">
            <w:pPr>
              <w:spacing w:line="360" w:lineRule="exact"/>
              <w:ind w:firstLineChars="0" w:firstLine="0"/>
              <w:jc w:val="center"/>
              <w:rPr>
                <w:b/>
                <w:bCs/>
                <w:sz w:val="21"/>
                <w:szCs w:val="21"/>
              </w:rPr>
            </w:pPr>
          </w:p>
        </w:tc>
        <w:tc>
          <w:tcPr>
            <w:tcW w:w="297" w:type="pct"/>
            <w:vMerge/>
          </w:tcPr>
          <w:p w14:paraId="306B86F8" w14:textId="77777777" w:rsidR="003E78AB" w:rsidRDefault="003E78AB">
            <w:pPr>
              <w:spacing w:line="360" w:lineRule="exact"/>
              <w:ind w:firstLineChars="0" w:firstLine="0"/>
              <w:jc w:val="center"/>
              <w:rPr>
                <w:b/>
                <w:bCs/>
                <w:sz w:val="21"/>
                <w:szCs w:val="21"/>
              </w:rPr>
            </w:pPr>
          </w:p>
        </w:tc>
        <w:tc>
          <w:tcPr>
            <w:tcW w:w="329" w:type="pct"/>
          </w:tcPr>
          <w:p w14:paraId="2825A13A" w14:textId="77777777" w:rsidR="003E78AB" w:rsidRDefault="00010BF9">
            <w:pPr>
              <w:spacing w:line="360" w:lineRule="exact"/>
              <w:ind w:firstLineChars="0" w:firstLine="0"/>
              <w:jc w:val="center"/>
              <w:rPr>
                <w:b/>
                <w:bCs/>
                <w:sz w:val="21"/>
                <w:szCs w:val="21"/>
              </w:rPr>
            </w:pPr>
            <w:r>
              <w:rPr>
                <w:b/>
                <w:bCs/>
                <w:sz w:val="21"/>
                <w:szCs w:val="21"/>
              </w:rPr>
              <w:t>监测值</w:t>
            </w:r>
          </w:p>
        </w:tc>
        <w:tc>
          <w:tcPr>
            <w:tcW w:w="381" w:type="pct"/>
          </w:tcPr>
          <w:p w14:paraId="46A6EC56" w14:textId="77777777" w:rsidR="003E78AB" w:rsidRDefault="00010BF9">
            <w:pPr>
              <w:spacing w:line="360" w:lineRule="exact"/>
              <w:ind w:firstLineChars="0" w:firstLine="0"/>
              <w:jc w:val="center"/>
              <w:rPr>
                <w:b/>
                <w:bCs/>
                <w:sz w:val="21"/>
                <w:szCs w:val="21"/>
              </w:rPr>
            </w:pPr>
            <w:r>
              <w:rPr>
                <w:b/>
                <w:bCs/>
                <w:sz w:val="21"/>
                <w:szCs w:val="21"/>
              </w:rPr>
              <w:t>Pi</w:t>
            </w:r>
          </w:p>
        </w:tc>
        <w:tc>
          <w:tcPr>
            <w:tcW w:w="326" w:type="pct"/>
          </w:tcPr>
          <w:p w14:paraId="0CC576E9" w14:textId="77777777" w:rsidR="003E78AB" w:rsidRDefault="00010BF9">
            <w:pPr>
              <w:spacing w:line="360" w:lineRule="exact"/>
              <w:ind w:firstLineChars="0" w:firstLine="0"/>
              <w:jc w:val="center"/>
              <w:rPr>
                <w:b/>
                <w:bCs/>
                <w:sz w:val="21"/>
                <w:szCs w:val="21"/>
              </w:rPr>
            </w:pPr>
            <w:r>
              <w:rPr>
                <w:b/>
                <w:bCs/>
                <w:sz w:val="21"/>
                <w:szCs w:val="21"/>
              </w:rPr>
              <w:t>监测值</w:t>
            </w:r>
          </w:p>
        </w:tc>
        <w:tc>
          <w:tcPr>
            <w:tcW w:w="359" w:type="pct"/>
          </w:tcPr>
          <w:p w14:paraId="0E6F900E" w14:textId="77777777" w:rsidR="003E78AB" w:rsidRDefault="00010BF9">
            <w:pPr>
              <w:spacing w:line="360" w:lineRule="exact"/>
              <w:ind w:firstLineChars="0" w:firstLine="0"/>
              <w:jc w:val="center"/>
              <w:rPr>
                <w:b/>
                <w:bCs/>
                <w:sz w:val="21"/>
                <w:szCs w:val="21"/>
              </w:rPr>
            </w:pPr>
            <w:r>
              <w:rPr>
                <w:b/>
                <w:bCs/>
                <w:sz w:val="21"/>
                <w:szCs w:val="21"/>
              </w:rPr>
              <w:t>Pi</w:t>
            </w:r>
          </w:p>
        </w:tc>
        <w:tc>
          <w:tcPr>
            <w:tcW w:w="403" w:type="pct"/>
          </w:tcPr>
          <w:p w14:paraId="68F62088" w14:textId="77777777" w:rsidR="003E78AB" w:rsidRDefault="00010BF9">
            <w:pPr>
              <w:spacing w:line="360" w:lineRule="exact"/>
              <w:ind w:firstLineChars="0" w:firstLine="0"/>
              <w:jc w:val="center"/>
              <w:rPr>
                <w:b/>
                <w:bCs/>
                <w:sz w:val="21"/>
                <w:szCs w:val="21"/>
              </w:rPr>
            </w:pPr>
            <w:r>
              <w:rPr>
                <w:b/>
                <w:bCs/>
                <w:sz w:val="21"/>
                <w:szCs w:val="21"/>
              </w:rPr>
              <w:t>监测值</w:t>
            </w:r>
          </w:p>
        </w:tc>
        <w:tc>
          <w:tcPr>
            <w:tcW w:w="390" w:type="pct"/>
          </w:tcPr>
          <w:p w14:paraId="454AEB21" w14:textId="77777777" w:rsidR="003E78AB" w:rsidRDefault="00010BF9">
            <w:pPr>
              <w:spacing w:line="360" w:lineRule="exact"/>
              <w:ind w:firstLineChars="0" w:firstLine="0"/>
              <w:jc w:val="center"/>
              <w:rPr>
                <w:b/>
                <w:bCs/>
                <w:sz w:val="21"/>
                <w:szCs w:val="21"/>
              </w:rPr>
            </w:pPr>
            <w:r>
              <w:rPr>
                <w:b/>
                <w:bCs/>
                <w:sz w:val="21"/>
                <w:szCs w:val="21"/>
              </w:rPr>
              <w:t>Pi</w:t>
            </w:r>
          </w:p>
        </w:tc>
        <w:tc>
          <w:tcPr>
            <w:tcW w:w="410" w:type="pct"/>
          </w:tcPr>
          <w:p w14:paraId="662B3624" w14:textId="77777777" w:rsidR="003E78AB" w:rsidRDefault="00010BF9">
            <w:pPr>
              <w:spacing w:line="360" w:lineRule="exact"/>
              <w:ind w:firstLineChars="0" w:firstLine="0"/>
              <w:jc w:val="center"/>
              <w:rPr>
                <w:b/>
                <w:bCs/>
                <w:sz w:val="21"/>
                <w:szCs w:val="21"/>
              </w:rPr>
            </w:pPr>
            <w:r>
              <w:rPr>
                <w:b/>
                <w:bCs/>
                <w:sz w:val="21"/>
                <w:szCs w:val="21"/>
              </w:rPr>
              <w:t>监测值</w:t>
            </w:r>
          </w:p>
        </w:tc>
        <w:tc>
          <w:tcPr>
            <w:tcW w:w="324" w:type="pct"/>
          </w:tcPr>
          <w:p w14:paraId="22C8E529" w14:textId="77777777" w:rsidR="003E78AB" w:rsidRDefault="00010BF9">
            <w:pPr>
              <w:spacing w:line="360" w:lineRule="exact"/>
              <w:ind w:firstLineChars="0" w:firstLine="0"/>
              <w:jc w:val="center"/>
              <w:rPr>
                <w:b/>
                <w:bCs/>
                <w:sz w:val="21"/>
                <w:szCs w:val="21"/>
              </w:rPr>
            </w:pPr>
            <w:r>
              <w:rPr>
                <w:b/>
                <w:bCs/>
                <w:sz w:val="21"/>
                <w:szCs w:val="21"/>
              </w:rPr>
              <w:t>Pi</w:t>
            </w:r>
          </w:p>
        </w:tc>
        <w:tc>
          <w:tcPr>
            <w:tcW w:w="350" w:type="pct"/>
          </w:tcPr>
          <w:p w14:paraId="100C26D2" w14:textId="77777777" w:rsidR="003E78AB" w:rsidRDefault="00010BF9">
            <w:pPr>
              <w:spacing w:line="360" w:lineRule="exact"/>
              <w:ind w:firstLineChars="0" w:firstLine="0"/>
              <w:jc w:val="center"/>
              <w:rPr>
                <w:b/>
                <w:bCs/>
                <w:sz w:val="21"/>
                <w:szCs w:val="21"/>
              </w:rPr>
            </w:pPr>
            <w:r>
              <w:rPr>
                <w:b/>
                <w:bCs/>
                <w:sz w:val="21"/>
                <w:szCs w:val="21"/>
              </w:rPr>
              <w:t>监测值</w:t>
            </w:r>
          </w:p>
        </w:tc>
        <w:tc>
          <w:tcPr>
            <w:tcW w:w="291" w:type="pct"/>
          </w:tcPr>
          <w:p w14:paraId="3D3A005C" w14:textId="77777777" w:rsidR="003E78AB" w:rsidRDefault="00010BF9">
            <w:pPr>
              <w:spacing w:line="360" w:lineRule="exact"/>
              <w:ind w:firstLineChars="0" w:firstLine="0"/>
              <w:jc w:val="center"/>
              <w:rPr>
                <w:b/>
                <w:bCs/>
                <w:sz w:val="21"/>
                <w:szCs w:val="21"/>
              </w:rPr>
            </w:pPr>
            <w:r>
              <w:rPr>
                <w:b/>
                <w:bCs/>
                <w:sz w:val="21"/>
                <w:szCs w:val="21"/>
              </w:rPr>
              <w:t>Pi</w:t>
            </w:r>
          </w:p>
        </w:tc>
        <w:tc>
          <w:tcPr>
            <w:tcW w:w="359" w:type="pct"/>
          </w:tcPr>
          <w:p w14:paraId="752C9A7E" w14:textId="77777777" w:rsidR="003E78AB" w:rsidRDefault="00010BF9">
            <w:pPr>
              <w:spacing w:line="360" w:lineRule="exact"/>
              <w:ind w:firstLineChars="0" w:firstLine="0"/>
              <w:jc w:val="center"/>
              <w:rPr>
                <w:b/>
                <w:bCs/>
                <w:sz w:val="21"/>
                <w:szCs w:val="21"/>
              </w:rPr>
            </w:pPr>
            <w:r>
              <w:rPr>
                <w:b/>
                <w:bCs/>
                <w:sz w:val="21"/>
                <w:szCs w:val="21"/>
              </w:rPr>
              <w:t>监测值</w:t>
            </w:r>
          </w:p>
        </w:tc>
        <w:tc>
          <w:tcPr>
            <w:tcW w:w="287" w:type="pct"/>
          </w:tcPr>
          <w:p w14:paraId="4B2FC224" w14:textId="77777777" w:rsidR="003E78AB" w:rsidRDefault="00010BF9">
            <w:pPr>
              <w:spacing w:line="360" w:lineRule="exact"/>
              <w:ind w:firstLineChars="0" w:firstLine="0"/>
              <w:jc w:val="center"/>
              <w:rPr>
                <w:b/>
                <w:bCs/>
                <w:sz w:val="21"/>
                <w:szCs w:val="21"/>
              </w:rPr>
            </w:pPr>
            <w:r>
              <w:rPr>
                <w:b/>
                <w:bCs/>
                <w:sz w:val="21"/>
                <w:szCs w:val="21"/>
              </w:rPr>
              <w:t>Pi</w:t>
            </w:r>
          </w:p>
        </w:tc>
      </w:tr>
      <w:tr w:rsidR="003E78AB" w14:paraId="57CEA38A" w14:textId="77777777">
        <w:trPr>
          <w:trHeight w:val="397"/>
        </w:trPr>
        <w:tc>
          <w:tcPr>
            <w:tcW w:w="487" w:type="pct"/>
          </w:tcPr>
          <w:p w14:paraId="31F3FC0F" w14:textId="77777777" w:rsidR="003E78AB" w:rsidRDefault="00010BF9">
            <w:pPr>
              <w:spacing w:line="360" w:lineRule="exact"/>
              <w:ind w:firstLineChars="0" w:firstLine="0"/>
              <w:jc w:val="center"/>
              <w:rPr>
                <w:sz w:val="21"/>
                <w:szCs w:val="21"/>
              </w:rPr>
            </w:pPr>
            <w:r>
              <w:rPr>
                <w:sz w:val="21"/>
                <w:szCs w:val="21"/>
              </w:rPr>
              <w:t>pH</w:t>
            </w:r>
          </w:p>
        </w:tc>
        <w:tc>
          <w:tcPr>
            <w:tcW w:w="297" w:type="pct"/>
          </w:tcPr>
          <w:p w14:paraId="7819891D" w14:textId="77777777" w:rsidR="003E78AB" w:rsidRDefault="00010BF9">
            <w:pPr>
              <w:spacing w:line="360" w:lineRule="exact"/>
              <w:ind w:firstLineChars="0" w:firstLine="0"/>
              <w:jc w:val="center"/>
              <w:rPr>
                <w:sz w:val="21"/>
                <w:szCs w:val="21"/>
              </w:rPr>
            </w:pPr>
            <w:r>
              <w:rPr>
                <w:sz w:val="21"/>
                <w:szCs w:val="21"/>
              </w:rPr>
              <w:t>/</w:t>
            </w:r>
          </w:p>
        </w:tc>
        <w:tc>
          <w:tcPr>
            <w:tcW w:w="329" w:type="pct"/>
          </w:tcPr>
          <w:p w14:paraId="06AE2130" w14:textId="77777777" w:rsidR="003E78AB" w:rsidRDefault="00010BF9">
            <w:pPr>
              <w:spacing w:line="360" w:lineRule="exact"/>
              <w:ind w:firstLineChars="0" w:firstLine="0"/>
              <w:jc w:val="center"/>
              <w:rPr>
                <w:sz w:val="21"/>
                <w:szCs w:val="21"/>
              </w:rPr>
            </w:pPr>
            <w:r>
              <w:rPr>
                <w:rFonts w:hint="eastAsia"/>
                <w:sz w:val="21"/>
                <w:szCs w:val="21"/>
              </w:rPr>
              <w:t>8.13</w:t>
            </w:r>
          </w:p>
        </w:tc>
        <w:tc>
          <w:tcPr>
            <w:tcW w:w="381" w:type="pct"/>
          </w:tcPr>
          <w:p w14:paraId="613BE775" w14:textId="77777777" w:rsidR="003E78AB" w:rsidRDefault="00010BF9">
            <w:pPr>
              <w:spacing w:line="360" w:lineRule="exact"/>
              <w:ind w:firstLineChars="0" w:firstLine="0"/>
              <w:jc w:val="center"/>
              <w:rPr>
                <w:sz w:val="21"/>
                <w:szCs w:val="21"/>
              </w:rPr>
            </w:pPr>
            <w:r>
              <w:rPr>
                <w:rFonts w:hint="eastAsia"/>
                <w:sz w:val="21"/>
                <w:szCs w:val="21"/>
              </w:rPr>
              <w:t>/</w:t>
            </w:r>
          </w:p>
        </w:tc>
        <w:tc>
          <w:tcPr>
            <w:tcW w:w="326" w:type="pct"/>
          </w:tcPr>
          <w:p w14:paraId="522B561C" w14:textId="77777777" w:rsidR="003E78AB" w:rsidRDefault="00010BF9">
            <w:pPr>
              <w:spacing w:line="360" w:lineRule="exact"/>
              <w:ind w:firstLineChars="0" w:firstLine="0"/>
              <w:jc w:val="center"/>
              <w:rPr>
                <w:sz w:val="21"/>
                <w:szCs w:val="21"/>
              </w:rPr>
            </w:pPr>
            <w:r>
              <w:rPr>
                <w:rFonts w:hint="eastAsia"/>
                <w:sz w:val="21"/>
                <w:szCs w:val="21"/>
              </w:rPr>
              <w:t>8.17</w:t>
            </w:r>
          </w:p>
        </w:tc>
        <w:tc>
          <w:tcPr>
            <w:tcW w:w="359" w:type="pct"/>
          </w:tcPr>
          <w:p w14:paraId="63934B82" w14:textId="77777777" w:rsidR="003E78AB" w:rsidRDefault="00010BF9">
            <w:pPr>
              <w:spacing w:line="360" w:lineRule="exact"/>
              <w:ind w:firstLineChars="0" w:firstLine="0"/>
              <w:jc w:val="center"/>
              <w:rPr>
                <w:sz w:val="21"/>
                <w:szCs w:val="21"/>
              </w:rPr>
            </w:pPr>
            <w:r>
              <w:rPr>
                <w:rFonts w:hint="eastAsia"/>
                <w:sz w:val="21"/>
                <w:szCs w:val="21"/>
              </w:rPr>
              <w:t>/</w:t>
            </w:r>
          </w:p>
        </w:tc>
        <w:tc>
          <w:tcPr>
            <w:tcW w:w="403" w:type="pct"/>
          </w:tcPr>
          <w:p w14:paraId="24C4A42D" w14:textId="77777777" w:rsidR="003E78AB" w:rsidRDefault="00010BF9">
            <w:pPr>
              <w:spacing w:line="360" w:lineRule="exact"/>
              <w:ind w:firstLineChars="0" w:firstLine="0"/>
              <w:jc w:val="center"/>
              <w:rPr>
                <w:sz w:val="21"/>
                <w:szCs w:val="21"/>
              </w:rPr>
            </w:pPr>
            <w:r>
              <w:rPr>
                <w:rFonts w:hint="eastAsia"/>
                <w:sz w:val="21"/>
                <w:szCs w:val="21"/>
              </w:rPr>
              <w:t>8.09</w:t>
            </w:r>
          </w:p>
        </w:tc>
        <w:tc>
          <w:tcPr>
            <w:tcW w:w="390" w:type="pct"/>
          </w:tcPr>
          <w:p w14:paraId="26DB260B" w14:textId="77777777" w:rsidR="003E78AB" w:rsidRDefault="00010BF9">
            <w:pPr>
              <w:spacing w:line="360" w:lineRule="exact"/>
              <w:ind w:firstLineChars="0" w:firstLine="0"/>
              <w:jc w:val="center"/>
              <w:rPr>
                <w:sz w:val="21"/>
                <w:szCs w:val="21"/>
              </w:rPr>
            </w:pPr>
            <w:r>
              <w:rPr>
                <w:rFonts w:hint="eastAsia"/>
                <w:sz w:val="21"/>
                <w:szCs w:val="21"/>
              </w:rPr>
              <w:t>/</w:t>
            </w:r>
          </w:p>
        </w:tc>
        <w:tc>
          <w:tcPr>
            <w:tcW w:w="410" w:type="pct"/>
          </w:tcPr>
          <w:p w14:paraId="404F49B7" w14:textId="77777777" w:rsidR="003E78AB" w:rsidRDefault="00010BF9">
            <w:pPr>
              <w:spacing w:line="360" w:lineRule="exact"/>
              <w:ind w:firstLineChars="0" w:firstLine="0"/>
              <w:jc w:val="center"/>
              <w:rPr>
                <w:sz w:val="21"/>
                <w:szCs w:val="21"/>
              </w:rPr>
            </w:pPr>
            <w:r>
              <w:rPr>
                <w:rFonts w:hint="eastAsia"/>
                <w:sz w:val="21"/>
                <w:szCs w:val="21"/>
              </w:rPr>
              <w:t>8.16</w:t>
            </w:r>
          </w:p>
        </w:tc>
        <w:tc>
          <w:tcPr>
            <w:tcW w:w="324" w:type="pct"/>
          </w:tcPr>
          <w:p w14:paraId="3CCBC387" w14:textId="77777777" w:rsidR="003E78AB" w:rsidRDefault="00010BF9">
            <w:pPr>
              <w:spacing w:line="360" w:lineRule="exact"/>
              <w:ind w:firstLineChars="0" w:firstLine="0"/>
              <w:jc w:val="center"/>
              <w:rPr>
                <w:sz w:val="21"/>
                <w:szCs w:val="21"/>
              </w:rPr>
            </w:pPr>
            <w:r>
              <w:rPr>
                <w:rFonts w:hint="eastAsia"/>
                <w:sz w:val="21"/>
                <w:szCs w:val="21"/>
              </w:rPr>
              <w:t>/</w:t>
            </w:r>
          </w:p>
        </w:tc>
        <w:tc>
          <w:tcPr>
            <w:tcW w:w="350" w:type="pct"/>
          </w:tcPr>
          <w:p w14:paraId="7018E7E8" w14:textId="77777777" w:rsidR="003E78AB" w:rsidRDefault="00010BF9">
            <w:pPr>
              <w:spacing w:line="360" w:lineRule="exact"/>
              <w:ind w:firstLineChars="0" w:firstLine="0"/>
              <w:jc w:val="center"/>
              <w:rPr>
                <w:sz w:val="21"/>
                <w:szCs w:val="21"/>
              </w:rPr>
            </w:pPr>
            <w:r>
              <w:rPr>
                <w:rFonts w:hint="eastAsia"/>
                <w:sz w:val="21"/>
                <w:szCs w:val="21"/>
              </w:rPr>
              <w:t>7.93</w:t>
            </w:r>
          </w:p>
        </w:tc>
        <w:tc>
          <w:tcPr>
            <w:tcW w:w="291" w:type="pct"/>
          </w:tcPr>
          <w:p w14:paraId="0685B5A2" w14:textId="77777777" w:rsidR="003E78AB" w:rsidRDefault="00010BF9">
            <w:pPr>
              <w:spacing w:line="360" w:lineRule="exact"/>
              <w:ind w:firstLineChars="0" w:firstLine="0"/>
              <w:jc w:val="center"/>
              <w:rPr>
                <w:sz w:val="21"/>
                <w:szCs w:val="21"/>
              </w:rPr>
            </w:pPr>
            <w:r>
              <w:rPr>
                <w:rFonts w:hint="eastAsia"/>
                <w:sz w:val="21"/>
                <w:szCs w:val="21"/>
              </w:rPr>
              <w:t>/</w:t>
            </w:r>
          </w:p>
        </w:tc>
        <w:tc>
          <w:tcPr>
            <w:tcW w:w="359" w:type="pct"/>
          </w:tcPr>
          <w:p w14:paraId="5295AF30" w14:textId="77777777" w:rsidR="003E78AB" w:rsidRDefault="00010BF9">
            <w:pPr>
              <w:spacing w:line="360" w:lineRule="exact"/>
              <w:ind w:firstLineChars="0" w:firstLine="0"/>
              <w:jc w:val="center"/>
              <w:rPr>
                <w:sz w:val="21"/>
                <w:szCs w:val="21"/>
              </w:rPr>
            </w:pPr>
            <w:r>
              <w:rPr>
                <w:rFonts w:hint="eastAsia"/>
                <w:sz w:val="21"/>
                <w:szCs w:val="21"/>
              </w:rPr>
              <w:t>7.88</w:t>
            </w:r>
          </w:p>
        </w:tc>
        <w:tc>
          <w:tcPr>
            <w:tcW w:w="287" w:type="pct"/>
          </w:tcPr>
          <w:p w14:paraId="536EAC23" w14:textId="77777777" w:rsidR="003E78AB" w:rsidRDefault="00010BF9">
            <w:pPr>
              <w:spacing w:line="360" w:lineRule="exact"/>
              <w:ind w:firstLineChars="0" w:firstLine="0"/>
              <w:jc w:val="center"/>
              <w:rPr>
                <w:sz w:val="21"/>
                <w:szCs w:val="21"/>
              </w:rPr>
            </w:pPr>
            <w:r>
              <w:rPr>
                <w:rFonts w:hint="eastAsia"/>
                <w:sz w:val="21"/>
                <w:szCs w:val="21"/>
              </w:rPr>
              <w:t>/</w:t>
            </w:r>
          </w:p>
        </w:tc>
      </w:tr>
      <w:tr w:rsidR="003E78AB" w14:paraId="2AA08F20" w14:textId="77777777">
        <w:trPr>
          <w:trHeight w:val="397"/>
        </w:trPr>
        <w:tc>
          <w:tcPr>
            <w:tcW w:w="487" w:type="pct"/>
          </w:tcPr>
          <w:p w14:paraId="2D64C365" w14:textId="77777777" w:rsidR="003E78AB" w:rsidRDefault="00010BF9">
            <w:pPr>
              <w:spacing w:line="360" w:lineRule="exact"/>
              <w:ind w:firstLineChars="0" w:firstLine="0"/>
              <w:jc w:val="center"/>
              <w:rPr>
                <w:sz w:val="21"/>
                <w:szCs w:val="21"/>
              </w:rPr>
            </w:pPr>
            <w:r>
              <w:rPr>
                <w:sz w:val="21"/>
                <w:szCs w:val="21"/>
              </w:rPr>
              <w:t>砷</w:t>
            </w:r>
          </w:p>
        </w:tc>
        <w:tc>
          <w:tcPr>
            <w:tcW w:w="297" w:type="pct"/>
          </w:tcPr>
          <w:p w14:paraId="0DA8C081" w14:textId="77777777" w:rsidR="003E78AB" w:rsidRDefault="00010BF9">
            <w:pPr>
              <w:spacing w:line="360" w:lineRule="exact"/>
              <w:ind w:firstLineChars="0" w:firstLine="0"/>
              <w:jc w:val="center"/>
              <w:rPr>
                <w:sz w:val="21"/>
                <w:szCs w:val="21"/>
              </w:rPr>
            </w:pPr>
            <w:r>
              <w:rPr>
                <w:sz w:val="21"/>
                <w:szCs w:val="21"/>
              </w:rPr>
              <w:t>60</w:t>
            </w:r>
          </w:p>
        </w:tc>
        <w:tc>
          <w:tcPr>
            <w:tcW w:w="329" w:type="pct"/>
            <w:vAlign w:val="bottom"/>
          </w:tcPr>
          <w:p w14:paraId="1DEDBAEE" w14:textId="77777777" w:rsidR="003E78AB" w:rsidRDefault="00010BF9">
            <w:pPr>
              <w:spacing w:line="360" w:lineRule="exact"/>
              <w:ind w:firstLineChars="0" w:firstLine="0"/>
              <w:jc w:val="center"/>
              <w:rPr>
                <w:sz w:val="21"/>
                <w:szCs w:val="21"/>
              </w:rPr>
            </w:pPr>
            <w:r>
              <w:rPr>
                <w:rFonts w:hint="eastAsia"/>
                <w:sz w:val="21"/>
                <w:szCs w:val="21"/>
                <w:lang w:bidi="ar"/>
              </w:rPr>
              <w:t>10.9</w:t>
            </w:r>
          </w:p>
        </w:tc>
        <w:tc>
          <w:tcPr>
            <w:tcW w:w="381" w:type="pct"/>
            <w:vAlign w:val="bottom"/>
          </w:tcPr>
          <w:p w14:paraId="4428FA6D" w14:textId="77777777" w:rsidR="003E78AB" w:rsidRDefault="00010BF9">
            <w:pPr>
              <w:spacing w:line="360" w:lineRule="exact"/>
              <w:ind w:firstLineChars="0" w:firstLine="0"/>
              <w:jc w:val="center"/>
              <w:rPr>
                <w:sz w:val="21"/>
                <w:szCs w:val="21"/>
              </w:rPr>
            </w:pPr>
            <w:r>
              <w:rPr>
                <w:rFonts w:hint="eastAsia"/>
                <w:sz w:val="21"/>
                <w:szCs w:val="21"/>
                <w:lang w:bidi="ar"/>
              </w:rPr>
              <w:t xml:space="preserve">0.18 </w:t>
            </w:r>
          </w:p>
        </w:tc>
        <w:tc>
          <w:tcPr>
            <w:tcW w:w="326" w:type="pct"/>
            <w:vAlign w:val="bottom"/>
          </w:tcPr>
          <w:p w14:paraId="731C09C0" w14:textId="77777777" w:rsidR="003E78AB" w:rsidRDefault="00010BF9">
            <w:pPr>
              <w:spacing w:line="360" w:lineRule="exact"/>
              <w:ind w:firstLineChars="0" w:firstLine="0"/>
              <w:jc w:val="center"/>
              <w:rPr>
                <w:sz w:val="21"/>
                <w:szCs w:val="21"/>
              </w:rPr>
            </w:pPr>
            <w:r>
              <w:rPr>
                <w:rFonts w:hint="eastAsia"/>
                <w:sz w:val="21"/>
                <w:szCs w:val="21"/>
                <w:lang w:bidi="ar"/>
              </w:rPr>
              <w:t>10.1</w:t>
            </w:r>
          </w:p>
        </w:tc>
        <w:tc>
          <w:tcPr>
            <w:tcW w:w="359" w:type="pct"/>
            <w:vAlign w:val="bottom"/>
          </w:tcPr>
          <w:p w14:paraId="15AF0902" w14:textId="77777777" w:rsidR="003E78AB" w:rsidRDefault="00010BF9">
            <w:pPr>
              <w:spacing w:line="360" w:lineRule="exact"/>
              <w:ind w:firstLineChars="0" w:firstLine="0"/>
              <w:jc w:val="center"/>
              <w:rPr>
                <w:sz w:val="21"/>
                <w:szCs w:val="21"/>
              </w:rPr>
            </w:pPr>
            <w:r>
              <w:rPr>
                <w:rFonts w:hint="eastAsia"/>
                <w:sz w:val="21"/>
                <w:szCs w:val="21"/>
                <w:lang w:bidi="ar"/>
              </w:rPr>
              <w:t xml:space="preserve">0.17 </w:t>
            </w:r>
          </w:p>
        </w:tc>
        <w:tc>
          <w:tcPr>
            <w:tcW w:w="403" w:type="pct"/>
            <w:vAlign w:val="bottom"/>
          </w:tcPr>
          <w:p w14:paraId="76F947BF" w14:textId="77777777" w:rsidR="003E78AB" w:rsidRDefault="00010BF9">
            <w:pPr>
              <w:spacing w:line="360" w:lineRule="exact"/>
              <w:ind w:firstLineChars="0" w:firstLine="0"/>
              <w:jc w:val="center"/>
              <w:rPr>
                <w:sz w:val="21"/>
                <w:szCs w:val="21"/>
              </w:rPr>
            </w:pPr>
            <w:r>
              <w:rPr>
                <w:rFonts w:hint="eastAsia"/>
                <w:sz w:val="21"/>
                <w:szCs w:val="21"/>
                <w:lang w:bidi="ar"/>
              </w:rPr>
              <w:t>10.6</w:t>
            </w:r>
          </w:p>
        </w:tc>
        <w:tc>
          <w:tcPr>
            <w:tcW w:w="390" w:type="pct"/>
            <w:vAlign w:val="bottom"/>
          </w:tcPr>
          <w:p w14:paraId="5442692A" w14:textId="77777777" w:rsidR="003E78AB" w:rsidRDefault="00010BF9">
            <w:pPr>
              <w:spacing w:line="360" w:lineRule="exact"/>
              <w:ind w:firstLineChars="0" w:firstLine="0"/>
              <w:jc w:val="center"/>
              <w:rPr>
                <w:sz w:val="21"/>
                <w:szCs w:val="21"/>
              </w:rPr>
            </w:pPr>
            <w:r>
              <w:rPr>
                <w:rFonts w:hint="eastAsia"/>
                <w:sz w:val="21"/>
                <w:szCs w:val="21"/>
                <w:lang w:bidi="ar"/>
              </w:rPr>
              <w:t xml:space="preserve">0.18 </w:t>
            </w:r>
          </w:p>
        </w:tc>
        <w:tc>
          <w:tcPr>
            <w:tcW w:w="410" w:type="pct"/>
            <w:vAlign w:val="bottom"/>
          </w:tcPr>
          <w:p w14:paraId="12C956FD" w14:textId="77777777" w:rsidR="003E78AB" w:rsidRDefault="00010BF9">
            <w:pPr>
              <w:spacing w:line="360" w:lineRule="exact"/>
              <w:ind w:firstLineChars="0" w:firstLine="0"/>
              <w:jc w:val="center"/>
              <w:rPr>
                <w:sz w:val="21"/>
                <w:szCs w:val="21"/>
              </w:rPr>
            </w:pPr>
            <w:r>
              <w:rPr>
                <w:rFonts w:hint="eastAsia"/>
                <w:sz w:val="21"/>
                <w:szCs w:val="21"/>
                <w:lang w:bidi="ar"/>
              </w:rPr>
              <w:t>11.6</w:t>
            </w:r>
          </w:p>
        </w:tc>
        <w:tc>
          <w:tcPr>
            <w:tcW w:w="324" w:type="pct"/>
            <w:vAlign w:val="bottom"/>
          </w:tcPr>
          <w:p w14:paraId="511ADC82" w14:textId="77777777" w:rsidR="003E78AB" w:rsidRDefault="00010BF9">
            <w:pPr>
              <w:spacing w:line="360" w:lineRule="exact"/>
              <w:ind w:firstLineChars="0" w:firstLine="0"/>
              <w:jc w:val="center"/>
              <w:rPr>
                <w:sz w:val="21"/>
                <w:szCs w:val="21"/>
              </w:rPr>
            </w:pPr>
            <w:r>
              <w:rPr>
                <w:rFonts w:hint="eastAsia"/>
                <w:sz w:val="21"/>
                <w:szCs w:val="21"/>
                <w:lang w:bidi="ar"/>
              </w:rPr>
              <w:t xml:space="preserve">0.19 </w:t>
            </w:r>
          </w:p>
        </w:tc>
        <w:tc>
          <w:tcPr>
            <w:tcW w:w="350" w:type="pct"/>
            <w:vAlign w:val="bottom"/>
          </w:tcPr>
          <w:p w14:paraId="0E8A54B3" w14:textId="77777777" w:rsidR="003E78AB" w:rsidRDefault="00010BF9">
            <w:pPr>
              <w:spacing w:line="360" w:lineRule="exact"/>
              <w:ind w:firstLineChars="0" w:firstLine="0"/>
              <w:jc w:val="center"/>
              <w:rPr>
                <w:sz w:val="21"/>
                <w:szCs w:val="21"/>
              </w:rPr>
            </w:pPr>
            <w:r>
              <w:rPr>
                <w:rFonts w:hint="eastAsia"/>
                <w:sz w:val="21"/>
                <w:szCs w:val="21"/>
                <w:lang w:bidi="ar"/>
              </w:rPr>
              <w:t>8.68</w:t>
            </w:r>
          </w:p>
        </w:tc>
        <w:tc>
          <w:tcPr>
            <w:tcW w:w="291" w:type="pct"/>
            <w:vAlign w:val="bottom"/>
          </w:tcPr>
          <w:p w14:paraId="6BE018F6" w14:textId="77777777" w:rsidR="003E78AB" w:rsidRDefault="00010BF9">
            <w:pPr>
              <w:spacing w:line="360" w:lineRule="exact"/>
              <w:ind w:firstLineChars="0" w:firstLine="0"/>
              <w:jc w:val="center"/>
              <w:rPr>
                <w:sz w:val="21"/>
                <w:szCs w:val="21"/>
              </w:rPr>
            </w:pPr>
            <w:r>
              <w:rPr>
                <w:rFonts w:hint="eastAsia"/>
                <w:sz w:val="21"/>
                <w:szCs w:val="21"/>
                <w:lang w:bidi="ar"/>
              </w:rPr>
              <w:t xml:space="preserve">0.14 </w:t>
            </w:r>
          </w:p>
        </w:tc>
        <w:tc>
          <w:tcPr>
            <w:tcW w:w="359" w:type="pct"/>
          </w:tcPr>
          <w:p w14:paraId="0F2A8F94" w14:textId="77777777" w:rsidR="003E78AB" w:rsidRDefault="00010BF9">
            <w:pPr>
              <w:spacing w:line="360" w:lineRule="exact"/>
              <w:ind w:firstLineChars="0" w:firstLine="0"/>
              <w:jc w:val="center"/>
              <w:rPr>
                <w:sz w:val="21"/>
                <w:szCs w:val="21"/>
                <w:lang w:bidi="ar"/>
              </w:rPr>
            </w:pPr>
            <w:r>
              <w:rPr>
                <w:rFonts w:hint="eastAsia"/>
                <w:sz w:val="21"/>
                <w:szCs w:val="21"/>
                <w:lang w:bidi="ar"/>
              </w:rPr>
              <w:t>5.08</w:t>
            </w:r>
          </w:p>
        </w:tc>
        <w:tc>
          <w:tcPr>
            <w:tcW w:w="287" w:type="pct"/>
            <w:vAlign w:val="bottom"/>
          </w:tcPr>
          <w:p w14:paraId="6ED2DE21" w14:textId="77777777" w:rsidR="003E78AB" w:rsidRDefault="00010BF9">
            <w:pPr>
              <w:spacing w:line="360" w:lineRule="exact"/>
              <w:ind w:firstLineChars="0" w:firstLine="0"/>
              <w:jc w:val="center"/>
              <w:rPr>
                <w:sz w:val="21"/>
                <w:szCs w:val="21"/>
                <w:lang w:bidi="ar"/>
              </w:rPr>
            </w:pPr>
            <w:r>
              <w:rPr>
                <w:rFonts w:hint="eastAsia"/>
                <w:sz w:val="21"/>
                <w:szCs w:val="21"/>
                <w:lang w:bidi="ar"/>
              </w:rPr>
              <w:t xml:space="preserve">0.08 </w:t>
            </w:r>
          </w:p>
        </w:tc>
      </w:tr>
      <w:tr w:rsidR="003E78AB" w14:paraId="50AA95C4" w14:textId="77777777">
        <w:trPr>
          <w:trHeight w:val="397"/>
        </w:trPr>
        <w:tc>
          <w:tcPr>
            <w:tcW w:w="487" w:type="pct"/>
          </w:tcPr>
          <w:p w14:paraId="6C9F9145" w14:textId="77777777" w:rsidR="003E78AB" w:rsidRDefault="00010BF9">
            <w:pPr>
              <w:spacing w:line="360" w:lineRule="exact"/>
              <w:ind w:firstLineChars="0" w:firstLine="0"/>
              <w:jc w:val="center"/>
              <w:rPr>
                <w:sz w:val="21"/>
                <w:szCs w:val="21"/>
              </w:rPr>
            </w:pPr>
            <w:r>
              <w:rPr>
                <w:sz w:val="21"/>
                <w:szCs w:val="21"/>
              </w:rPr>
              <w:t>铅</w:t>
            </w:r>
          </w:p>
        </w:tc>
        <w:tc>
          <w:tcPr>
            <w:tcW w:w="297" w:type="pct"/>
          </w:tcPr>
          <w:p w14:paraId="4094EB51" w14:textId="77777777" w:rsidR="003E78AB" w:rsidRDefault="00010BF9">
            <w:pPr>
              <w:spacing w:line="360" w:lineRule="exact"/>
              <w:ind w:firstLineChars="0" w:firstLine="0"/>
              <w:jc w:val="center"/>
              <w:rPr>
                <w:sz w:val="21"/>
                <w:szCs w:val="21"/>
              </w:rPr>
            </w:pPr>
            <w:r>
              <w:rPr>
                <w:sz w:val="21"/>
                <w:szCs w:val="21"/>
              </w:rPr>
              <w:t>800</w:t>
            </w:r>
          </w:p>
        </w:tc>
        <w:tc>
          <w:tcPr>
            <w:tcW w:w="329" w:type="pct"/>
            <w:vAlign w:val="bottom"/>
          </w:tcPr>
          <w:p w14:paraId="2C1467F5" w14:textId="77777777" w:rsidR="003E78AB" w:rsidRDefault="00010BF9">
            <w:pPr>
              <w:spacing w:line="360" w:lineRule="exact"/>
              <w:ind w:firstLineChars="0" w:firstLine="0"/>
              <w:jc w:val="center"/>
              <w:rPr>
                <w:sz w:val="21"/>
                <w:szCs w:val="21"/>
              </w:rPr>
            </w:pPr>
            <w:r>
              <w:rPr>
                <w:rFonts w:hint="eastAsia"/>
                <w:sz w:val="21"/>
                <w:szCs w:val="21"/>
                <w:lang w:bidi="ar"/>
              </w:rPr>
              <w:t>24</w:t>
            </w:r>
          </w:p>
        </w:tc>
        <w:tc>
          <w:tcPr>
            <w:tcW w:w="381" w:type="pct"/>
            <w:vAlign w:val="bottom"/>
          </w:tcPr>
          <w:p w14:paraId="25E4DA34" w14:textId="77777777" w:rsidR="003E78AB" w:rsidRDefault="00010BF9">
            <w:pPr>
              <w:spacing w:line="360" w:lineRule="exact"/>
              <w:ind w:firstLineChars="0" w:firstLine="0"/>
              <w:jc w:val="center"/>
              <w:rPr>
                <w:sz w:val="21"/>
                <w:szCs w:val="21"/>
              </w:rPr>
            </w:pPr>
            <w:r>
              <w:rPr>
                <w:rFonts w:hint="eastAsia"/>
                <w:sz w:val="21"/>
                <w:szCs w:val="21"/>
                <w:lang w:bidi="ar"/>
              </w:rPr>
              <w:t>0.03</w:t>
            </w:r>
          </w:p>
        </w:tc>
        <w:tc>
          <w:tcPr>
            <w:tcW w:w="326" w:type="pct"/>
            <w:vAlign w:val="bottom"/>
          </w:tcPr>
          <w:p w14:paraId="5793B935" w14:textId="77777777" w:rsidR="003E78AB" w:rsidRDefault="00010BF9">
            <w:pPr>
              <w:spacing w:line="360" w:lineRule="exact"/>
              <w:ind w:firstLineChars="0" w:firstLine="0"/>
              <w:jc w:val="center"/>
              <w:rPr>
                <w:sz w:val="21"/>
                <w:szCs w:val="21"/>
              </w:rPr>
            </w:pPr>
            <w:r>
              <w:rPr>
                <w:rFonts w:hint="eastAsia"/>
                <w:sz w:val="21"/>
                <w:szCs w:val="21"/>
                <w:lang w:bidi="ar"/>
              </w:rPr>
              <w:t>26</w:t>
            </w:r>
          </w:p>
        </w:tc>
        <w:tc>
          <w:tcPr>
            <w:tcW w:w="359" w:type="pct"/>
            <w:vAlign w:val="bottom"/>
          </w:tcPr>
          <w:p w14:paraId="5935088F" w14:textId="77777777" w:rsidR="003E78AB" w:rsidRDefault="00010BF9">
            <w:pPr>
              <w:spacing w:line="360" w:lineRule="exact"/>
              <w:ind w:firstLineChars="0" w:firstLine="0"/>
              <w:jc w:val="center"/>
              <w:rPr>
                <w:sz w:val="21"/>
                <w:szCs w:val="21"/>
              </w:rPr>
            </w:pPr>
            <w:r>
              <w:rPr>
                <w:rFonts w:hint="eastAsia"/>
                <w:sz w:val="21"/>
                <w:szCs w:val="21"/>
                <w:lang w:bidi="ar"/>
              </w:rPr>
              <w:t>0.0325</w:t>
            </w:r>
          </w:p>
        </w:tc>
        <w:tc>
          <w:tcPr>
            <w:tcW w:w="403" w:type="pct"/>
            <w:vAlign w:val="bottom"/>
          </w:tcPr>
          <w:p w14:paraId="62963BC6" w14:textId="77777777" w:rsidR="003E78AB" w:rsidRDefault="00010BF9">
            <w:pPr>
              <w:spacing w:line="360" w:lineRule="exact"/>
              <w:ind w:firstLineChars="0" w:firstLine="0"/>
              <w:jc w:val="center"/>
              <w:rPr>
                <w:sz w:val="21"/>
                <w:szCs w:val="21"/>
              </w:rPr>
            </w:pPr>
            <w:r>
              <w:rPr>
                <w:rFonts w:hint="eastAsia"/>
                <w:sz w:val="21"/>
                <w:szCs w:val="21"/>
                <w:lang w:bidi="ar"/>
              </w:rPr>
              <w:t>24</w:t>
            </w:r>
          </w:p>
        </w:tc>
        <w:tc>
          <w:tcPr>
            <w:tcW w:w="390" w:type="pct"/>
          </w:tcPr>
          <w:p w14:paraId="3880155D" w14:textId="77777777" w:rsidR="003E78AB" w:rsidRDefault="00010BF9">
            <w:pPr>
              <w:spacing w:line="360" w:lineRule="exact"/>
              <w:ind w:firstLineChars="0" w:firstLine="0"/>
              <w:jc w:val="center"/>
              <w:rPr>
                <w:sz w:val="21"/>
                <w:szCs w:val="21"/>
              </w:rPr>
            </w:pPr>
            <w:r>
              <w:rPr>
                <w:rFonts w:hint="eastAsia"/>
                <w:sz w:val="21"/>
                <w:szCs w:val="21"/>
                <w:lang w:bidi="ar"/>
              </w:rPr>
              <w:t>0.03</w:t>
            </w:r>
          </w:p>
        </w:tc>
        <w:tc>
          <w:tcPr>
            <w:tcW w:w="410" w:type="pct"/>
            <w:vAlign w:val="bottom"/>
          </w:tcPr>
          <w:p w14:paraId="24C062FC" w14:textId="77777777" w:rsidR="003E78AB" w:rsidRDefault="00010BF9">
            <w:pPr>
              <w:spacing w:line="360" w:lineRule="exact"/>
              <w:ind w:firstLineChars="0" w:firstLine="0"/>
              <w:jc w:val="center"/>
              <w:rPr>
                <w:sz w:val="21"/>
                <w:szCs w:val="21"/>
              </w:rPr>
            </w:pPr>
            <w:r>
              <w:rPr>
                <w:rFonts w:hint="eastAsia"/>
                <w:sz w:val="21"/>
                <w:szCs w:val="21"/>
                <w:lang w:bidi="ar"/>
              </w:rPr>
              <w:t>28</w:t>
            </w:r>
          </w:p>
        </w:tc>
        <w:tc>
          <w:tcPr>
            <w:tcW w:w="324" w:type="pct"/>
          </w:tcPr>
          <w:p w14:paraId="03A21AFE" w14:textId="77777777" w:rsidR="003E78AB" w:rsidRDefault="00010BF9">
            <w:pPr>
              <w:spacing w:line="360" w:lineRule="exact"/>
              <w:ind w:firstLineChars="0" w:firstLine="0"/>
              <w:jc w:val="center"/>
              <w:rPr>
                <w:sz w:val="21"/>
                <w:szCs w:val="21"/>
              </w:rPr>
            </w:pPr>
            <w:r>
              <w:rPr>
                <w:rFonts w:hint="eastAsia"/>
                <w:sz w:val="21"/>
                <w:szCs w:val="21"/>
                <w:lang w:bidi="ar"/>
              </w:rPr>
              <w:t>0.035</w:t>
            </w:r>
          </w:p>
        </w:tc>
        <w:tc>
          <w:tcPr>
            <w:tcW w:w="350" w:type="pct"/>
            <w:vAlign w:val="bottom"/>
          </w:tcPr>
          <w:p w14:paraId="7CF233A6" w14:textId="77777777" w:rsidR="003E78AB" w:rsidRDefault="00010BF9">
            <w:pPr>
              <w:spacing w:line="360" w:lineRule="exact"/>
              <w:ind w:firstLineChars="0" w:firstLine="0"/>
              <w:jc w:val="center"/>
              <w:rPr>
                <w:sz w:val="21"/>
                <w:szCs w:val="21"/>
              </w:rPr>
            </w:pPr>
            <w:r>
              <w:rPr>
                <w:rFonts w:hint="eastAsia"/>
                <w:sz w:val="21"/>
                <w:szCs w:val="21"/>
                <w:lang w:bidi="ar"/>
              </w:rPr>
              <w:t>24</w:t>
            </w:r>
          </w:p>
        </w:tc>
        <w:tc>
          <w:tcPr>
            <w:tcW w:w="291" w:type="pct"/>
          </w:tcPr>
          <w:p w14:paraId="72B45C0A" w14:textId="77777777" w:rsidR="003E78AB" w:rsidRDefault="00010BF9">
            <w:pPr>
              <w:spacing w:line="360" w:lineRule="exact"/>
              <w:ind w:firstLineChars="0" w:firstLine="0"/>
              <w:jc w:val="center"/>
              <w:rPr>
                <w:sz w:val="21"/>
                <w:szCs w:val="21"/>
              </w:rPr>
            </w:pPr>
            <w:r>
              <w:rPr>
                <w:rFonts w:hint="eastAsia"/>
                <w:sz w:val="21"/>
                <w:szCs w:val="21"/>
                <w:lang w:bidi="ar"/>
              </w:rPr>
              <w:t>0.03</w:t>
            </w:r>
          </w:p>
        </w:tc>
        <w:tc>
          <w:tcPr>
            <w:tcW w:w="359" w:type="pct"/>
          </w:tcPr>
          <w:p w14:paraId="0C3BEBD7" w14:textId="77777777" w:rsidR="003E78AB" w:rsidRDefault="00010BF9">
            <w:pPr>
              <w:spacing w:line="360" w:lineRule="exact"/>
              <w:ind w:firstLineChars="0" w:firstLine="0"/>
              <w:jc w:val="center"/>
              <w:rPr>
                <w:sz w:val="21"/>
                <w:szCs w:val="21"/>
                <w:lang w:bidi="ar"/>
              </w:rPr>
            </w:pPr>
            <w:r>
              <w:rPr>
                <w:rFonts w:hint="eastAsia"/>
                <w:sz w:val="21"/>
                <w:szCs w:val="21"/>
                <w:lang w:bidi="ar"/>
              </w:rPr>
              <w:t>22</w:t>
            </w:r>
          </w:p>
        </w:tc>
        <w:tc>
          <w:tcPr>
            <w:tcW w:w="287" w:type="pct"/>
          </w:tcPr>
          <w:p w14:paraId="71D3427C" w14:textId="77777777" w:rsidR="003E78AB" w:rsidRDefault="00010BF9">
            <w:pPr>
              <w:spacing w:line="360" w:lineRule="exact"/>
              <w:ind w:firstLineChars="0" w:firstLine="0"/>
              <w:jc w:val="center"/>
              <w:rPr>
                <w:sz w:val="21"/>
                <w:szCs w:val="21"/>
                <w:lang w:bidi="ar"/>
              </w:rPr>
            </w:pPr>
            <w:r>
              <w:rPr>
                <w:rFonts w:hint="eastAsia"/>
                <w:sz w:val="21"/>
                <w:szCs w:val="21"/>
                <w:lang w:bidi="ar"/>
              </w:rPr>
              <w:t>0.0275</w:t>
            </w:r>
          </w:p>
        </w:tc>
      </w:tr>
      <w:tr w:rsidR="003E78AB" w14:paraId="3EF3AB0E" w14:textId="77777777">
        <w:trPr>
          <w:trHeight w:val="397"/>
        </w:trPr>
        <w:tc>
          <w:tcPr>
            <w:tcW w:w="487" w:type="pct"/>
          </w:tcPr>
          <w:p w14:paraId="3B4070D2" w14:textId="77777777" w:rsidR="003E78AB" w:rsidRDefault="00010BF9">
            <w:pPr>
              <w:spacing w:line="360" w:lineRule="exact"/>
              <w:ind w:firstLineChars="0" w:firstLine="0"/>
              <w:jc w:val="center"/>
              <w:rPr>
                <w:sz w:val="21"/>
                <w:szCs w:val="21"/>
              </w:rPr>
            </w:pPr>
            <w:r>
              <w:rPr>
                <w:sz w:val="21"/>
                <w:szCs w:val="21"/>
              </w:rPr>
              <w:t>汞</w:t>
            </w:r>
          </w:p>
        </w:tc>
        <w:tc>
          <w:tcPr>
            <w:tcW w:w="297" w:type="pct"/>
          </w:tcPr>
          <w:p w14:paraId="3235025B" w14:textId="77777777" w:rsidR="003E78AB" w:rsidRDefault="00010BF9">
            <w:pPr>
              <w:spacing w:line="360" w:lineRule="exact"/>
              <w:ind w:firstLineChars="0" w:firstLine="0"/>
              <w:jc w:val="center"/>
              <w:rPr>
                <w:sz w:val="21"/>
                <w:szCs w:val="21"/>
              </w:rPr>
            </w:pPr>
            <w:r>
              <w:rPr>
                <w:sz w:val="21"/>
                <w:szCs w:val="21"/>
              </w:rPr>
              <w:t>38</w:t>
            </w:r>
          </w:p>
        </w:tc>
        <w:tc>
          <w:tcPr>
            <w:tcW w:w="329" w:type="pct"/>
            <w:vAlign w:val="bottom"/>
          </w:tcPr>
          <w:p w14:paraId="36A81D46" w14:textId="77777777" w:rsidR="003E78AB" w:rsidRDefault="00010BF9">
            <w:pPr>
              <w:spacing w:line="360" w:lineRule="exact"/>
              <w:ind w:firstLineChars="0" w:firstLine="0"/>
              <w:jc w:val="center"/>
              <w:rPr>
                <w:sz w:val="21"/>
                <w:szCs w:val="21"/>
              </w:rPr>
            </w:pPr>
            <w:r>
              <w:rPr>
                <w:rFonts w:hint="eastAsia"/>
                <w:sz w:val="21"/>
                <w:szCs w:val="21"/>
                <w:lang w:bidi="ar"/>
              </w:rPr>
              <w:t>0.173</w:t>
            </w:r>
          </w:p>
        </w:tc>
        <w:tc>
          <w:tcPr>
            <w:tcW w:w="381" w:type="pct"/>
            <w:vAlign w:val="bottom"/>
          </w:tcPr>
          <w:p w14:paraId="6A77D374" w14:textId="77777777" w:rsidR="003E78AB" w:rsidRDefault="00010BF9">
            <w:pPr>
              <w:spacing w:line="360" w:lineRule="exact"/>
              <w:ind w:firstLineChars="0" w:firstLine="0"/>
              <w:jc w:val="center"/>
              <w:rPr>
                <w:sz w:val="21"/>
                <w:szCs w:val="21"/>
              </w:rPr>
            </w:pPr>
            <w:r>
              <w:rPr>
                <w:rFonts w:hint="eastAsia"/>
                <w:sz w:val="21"/>
                <w:szCs w:val="21"/>
                <w:lang w:bidi="ar"/>
              </w:rPr>
              <w:t xml:space="preserve">0.0046 </w:t>
            </w:r>
          </w:p>
        </w:tc>
        <w:tc>
          <w:tcPr>
            <w:tcW w:w="326" w:type="pct"/>
            <w:vAlign w:val="bottom"/>
          </w:tcPr>
          <w:p w14:paraId="11F7FEDB" w14:textId="77777777" w:rsidR="003E78AB" w:rsidRDefault="00010BF9">
            <w:pPr>
              <w:spacing w:line="360" w:lineRule="exact"/>
              <w:ind w:firstLineChars="0" w:firstLine="0"/>
              <w:jc w:val="center"/>
              <w:rPr>
                <w:sz w:val="21"/>
                <w:szCs w:val="21"/>
              </w:rPr>
            </w:pPr>
            <w:r>
              <w:rPr>
                <w:rFonts w:hint="eastAsia"/>
                <w:sz w:val="21"/>
                <w:szCs w:val="21"/>
                <w:lang w:bidi="ar"/>
              </w:rPr>
              <w:t>0.143</w:t>
            </w:r>
          </w:p>
        </w:tc>
        <w:tc>
          <w:tcPr>
            <w:tcW w:w="359" w:type="pct"/>
            <w:vAlign w:val="bottom"/>
          </w:tcPr>
          <w:p w14:paraId="71F8D8BE" w14:textId="77777777" w:rsidR="003E78AB" w:rsidRDefault="00010BF9">
            <w:pPr>
              <w:spacing w:line="360" w:lineRule="exact"/>
              <w:ind w:firstLineChars="0" w:firstLine="0"/>
              <w:jc w:val="center"/>
              <w:rPr>
                <w:sz w:val="21"/>
                <w:szCs w:val="21"/>
              </w:rPr>
            </w:pPr>
            <w:r>
              <w:rPr>
                <w:rFonts w:hint="eastAsia"/>
                <w:sz w:val="21"/>
                <w:szCs w:val="21"/>
                <w:lang w:bidi="ar"/>
              </w:rPr>
              <w:t xml:space="preserve">0.0038 </w:t>
            </w:r>
          </w:p>
        </w:tc>
        <w:tc>
          <w:tcPr>
            <w:tcW w:w="403" w:type="pct"/>
            <w:vAlign w:val="bottom"/>
          </w:tcPr>
          <w:p w14:paraId="729FF246" w14:textId="77777777" w:rsidR="003E78AB" w:rsidRDefault="00010BF9">
            <w:pPr>
              <w:spacing w:line="360" w:lineRule="exact"/>
              <w:ind w:firstLineChars="0" w:firstLine="0"/>
              <w:jc w:val="center"/>
              <w:rPr>
                <w:sz w:val="21"/>
                <w:szCs w:val="21"/>
              </w:rPr>
            </w:pPr>
            <w:r>
              <w:rPr>
                <w:rFonts w:hint="eastAsia"/>
                <w:sz w:val="21"/>
                <w:szCs w:val="21"/>
                <w:lang w:bidi="ar"/>
              </w:rPr>
              <w:t>0.135</w:t>
            </w:r>
          </w:p>
        </w:tc>
        <w:tc>
          <w:tcPr>
            <w:tcW w:w="390" w:type="pct"/>
            <w:vAlign w:val="bottom"/>
          </w:tcPr>
          <w:p w14:paraId="7D1E4E01" w14:textId="77777777" w:rsidR="003E78AB" w:rsidRDefault="00010BF9">
            <w:pPr>
              <w:spacing w:line="360" w:lineRule="exact"/>
              <w:ind w:firstLineChars="0" w:firstLine="0"/>
              <w:jc w:val="center"/>
              <w:rPr>
                <w:sz w:val="21"/>
                <w:szCs w:val="21"/>
              </w:rPr>
            </w:pPr>
            <w:r>
              <w:rPr>
                <w:rFonts w:hint="eastAsia"/>
                <w:sz w:val="21"/>
                <w:szCs w:val="21"/>
                <w:lang w:bidi="ar"/>
              </w:rPr>
              <w:t xml:space="preserve">0.0036 </w:t>
            </w:r>
          </w:p>
        </w:tc>
        <w:tc>
          <w:tcPr>
            <w:tcW w:w="410" w:type="pct"/>
            <w:vAlign w:val="bottom"/>
          </w:tcPr>
          <w:p w14:paraId="0EA36FD5" w14:textId="77777777" w:rsidR="003E78AB" w:rsidRDefault="00010BF9">
            <w:pPr>
              <w:spacing w:line="360" w:lineRule="exact"/>
              <w:ind w:firstLineChars="0" w:firstLine="0"/>
              <w:jc w:val="center"/>
              <w:rPr>
                <w:sz w:val="21"/>
                <w:szCs w:val="21"/>
              </w:rPr>
            </w:pPr>
            <w:r>
              <w:rPr>
                <w:rFonts w:hint="eastAsia"/>
                <w:sz w:val="21"/>
                <w:szCs w:val="21"/>
                <w:lang w:bidi="ar"/>
              </w:rPr>
              <w:t>0.161</w:t>
            </w:r>
          </w:p>
        </w:tc>
        <w:tc>
          <w:tcPr>
            <w:tcW w:w="324" w:type="pct"/>
            <w:vAlign w:val="bottom"/>
          </w:tcPr>
          <w:p w14:paraId="2F05EE69" w14:textId="77777777" w:rsidR="003E78AB" w:rsidRDefault="00010BF9">
            <w:pPr>
              <w:spacing w:line="360" w:lineRule="exact"/>
              <w:ind w:firstLineChars="0" w:firstLine="0"/>
              <w:jc w:val="center"/>
              <w:rPr>
                <w:sz w:val="21"/>
                <w:szCs w:val="21"/>
              </w:rPr>
            </w:pPr>
            <w:r>
              <w:rPr>
                <w:rFonts w:hint="eastAsia"/>
                <w:sz w:val="21"/>
                <w:szCs w:val="21"/>
                <w:lang w:bidi="ar"/>
              </w:rPr>
              <w:t xml:space="preserve">0.0042 </w:t>
            </w:r>
          </w:p>
        </w:tc>
        <w:tc>
          <w:tcPr>
            <w:tcW w:w="350" w:type="pct"/>
            <w:vAlign w:val="bottom"/>
          </w:tcPr>
          <w:p w14:paraId="1197F62F" w14:textId="77777777" w:rsidR="003E78AB" w:rsidRDefault="00010BF9">
            <w:pPr>
              <w:spacing w:line="360" w:lineRule="exact"/>
              <w:ind w:firstLineChars="0" w:firstLine="0"/>
              <w:jc w:val="center"/>
              <w:rPr>
                <w:sz w:val="21"/>
                <w:szCs w:val="21"/>
              </w:rPr>
            </w:pPr>
            <w:r>
              <w:rPr>
                <w:rFonts w:hint="eastAsia"/>
                <w:sz w:val="21"/>
                <w:szCs w:val="21"/>
                <w:lang w:bidi="ar"/>
              </w:rPr>
              <w:t>0.107</w:t>
            </w:r>
          </w:p>
        </w:tc>
        <w:tc>
          <w:tcPr>
            <w:tcW w:w="291" w:type="pct"/>
            <w:vAlign w:val="bottom"/>
          </w:tcPr>
          <w:p w14:paraId="0DCC19DB" w14:textId="77777777" w:rsidR="003E78AB" w:rsidRDefault="00010BF9">
            <w:pPr>
              <w:spacing w:line="360" w:lineRule="exact"/>
              <w:ind w:firstLineChars="0" w:firstLine="0"/>
              <w:jc w:val="center"/>
              <w:rPr>
                <w:sz w:val="21"/>
                <w:szCs w:val="21"/>
              </w:rPr>
            </w:pPr>
            <w:r>
              <w:rPr>
                <w:rFonts w:hint="eastAsia"/>
                <w:sz w:val="21"/>
                <w:szCs w:val="21"/>
                <w:lang w:bidi="ar"/>
              </w:rPr>
              <w:t xml:space="preserve">0.0028 </w:t>
            </w:r>
          </w:p>
        </w:tc>
        <w:tc>
          <w:tcPr>
            <w:tcW w:w="359" w:type="pct"/>
          </w:tcPr>
          <w:p w14:paraId="6A08A38C" w14:textId="77777777" w:rsidR="003E78AB" w:rsidRDefault="00010BF9">
            <w:pPr>
              <w:spacing w:line="360" w:lineRule="exact"/>
              <w:ind w:firstLineChars="0" w:firstLine="0"/>
              <w:jc w:val="center"/>
              <w:rPr>
                <w:sz w:val="21"/>
                <w:szCs w:val="21"/>
                <w:lang w:bidi="ar"/>
              </w:rPr>
            </w:pPr>
            <w:r>
              <w:rPr>
                <w:rFonts w:hint="eastAsia"/>
                <w:sz w:val="21"/>
                <w:szCs w:val="21"/>
                <w:lang w:bidi="ar"/>
              </w:rPr>
              <w:t>0.069</w:t>
            </w:r>
          </w:p>
        </w:tc>
        <w:tc>
          <w:tcPr>
            <w:tcW w:w="287" w:type="pct"/>
            <w:vAlign w:val="bottom"/>
          </w:tcPr>
          <w:p w14:paraId="68772C84" w14:textId="77777777" w:rsidR="003E78AB" w:rsidRDefault="00010BF9">
            <w:pPr>
              <w:spacing w:line="360" w:lineRule="exact"/>
              <w:ind w:firstLineChars="0" w:firstLine="0"/>
              <w:jc w:val="center"/>
              <w:rPr>
                <w:sz w:val="21"/>
                <w:szCs w:val="21"/>
                <w:lang w:bidi="ar"/>
              </w:rPr>
            </w:pPr>
            <w:r>
              <w:rPr>
                <w:rFonts w:hint="eastAsia"/>
                <w:sz w:val="21"/>
                <w:szCs w:val="21"/>
                <w:lang w:bidi="ar"/>
              </w:rPr>
              <w:t xml:space="preserve">0.0018 </w:t>
            </w:r>
          </w:p>
        </w:tc>
      </w:tr>
      <w:tr w:rsidR="003E78AB" w14:paraId="379EF622" w14:textId="77777777">
        <w:trPr>
          <w:trHeight w:val="397"/>
        </w:trPr>
        <w:tc>
          <w:tcPr>
            <w:tcW w:w="487" w:type="pct"/>
          </w:tcPr>
          <w:p w14:paraId="24F60F87" w14:textId="77777777" w:rsidR="003E78AB" w:rsidRDefault="00010BF9">
            <w:pPr>
              <w:spacing w:line="360" w:lineRule="exact"/>
              <w:ind w:firstLineChars="0" w:firstLine="0"/>
              <w:jc w:val="center"/>
              <w:rPr>
                <w:sz w:val="21"/>
                <w:szCs w:val="21"/>
              </w:rPr>
            </w:pPr>
            <w:r>
              <w:rPr>
                <w:sz w:val="21"/>
                <w:szCs w:val="21"/>
              </w:rPr>
              <w:t>镉</w:t>
            </w:r>
          </w:p>
        </w:tc>
        <w:tc>
          <w:tcPr>
            <w:tcW w:w="297" w:type="pct"/>
          </w:tcPr>
          <w:p w14:paraId="0EBE86E9" w14:textId="77777777" w:rsidR="003E78AB" w:rsidRDefault="00010BF9">
            <w:pPr>
              <w:spacing w:line="360" w:lineRule="exact"/>
              <w:ind w:firstLineChars="0" w:firstLine="0"/>
              <w:jc w:val="center"/>
              <w:rPr>
                <w:sz w:val="21"/>
                <w:szCs w:val="21"/>
              </w:rPr>
            </w:pPr>
            <w:r>
              <w:rPr>
                <w:sz w:val="21"/>
                <w:szCs w:val="21"/>
              </w:rPr>
              <w:t>65</w:t>
            </w:r>
          </w:p>
        </w:tc>
        <w:tc>
          <w:tcPr>
            <w:tcW w:w="329" w:type="pct"/>
            <w:vAlign w:val="bottom"/>
          </w:tcPr>
          <w:p w14:paraId="3E4A5C74" w14:textId="77777777" w:rsidR="003E78AB" w:rsidRDefault="00010BF9">
            <w:pPr>
              <w:spacing w:line="360" w:lineRule="exact"/>
              <w:ind w:firstLineChars="0" w:firstLine="0"/>
              <w:jc w:val="center"/>
              <w:rPr>
                <w:sz w:val="21"/>
                <w:szCs w:val="21"/>
              </w:rPr>
            </w:pPr>
            <w:r>
              <w:rPr>
                <w:rFonts w:hint="eastAsia"/>
                <w:sz w:val="21"/>
                <w:szCs w:val="21"/>
                <w:lang w:bidi="ar"/>
              </w:rPr>
              <w:t>0.47</w:t>
            </w:r>
          </w:p>
        </w:tc>
        <w:tc>
          <w:tcPr>
            <w:tcW w:w="381" w:type="pct"/>
            <w:vAlign w:val="bottom"/>
          </w:tcPr>
          <w:p w14:paraId="45C9B6BE" w14:textId="77777777" w:rsidR="003E78AB" w:rsidRDefault="00010BF9">
            <w:pPr>
              <w:spacing w:line="360" w:lineRule="exact"/>
              <w:ind w:firstLineChars="0" w:firstLine="0"/>
              <w:jc w:val="center"/>
              <w:rPr>
                <w:sz w:val="21"/>
                <w:szCs w:val="21"/>
              </w:rPr>
            </w:pPr>
            <w:r>
              <w:rPr>
                <w:rFonts w:hint="eastAsia"/>
                <w:sz w:val="21"/>
                <w:szCs w:val="21"/>
                <w:lang w:bidi="ar"/>
              </w:rPr>
              <w:t xml:space="preserve">0.0072 </w:t>
            </w:r>
          </w:p>
        </w:tc>
        <w:tc>
          <w:tcPr>
            <w:tcW w:w="326" w:type="pct"/>
            <w:vAlign w:val="bottom"/>
          </w:tcPr>
          <w:p w14:paraId="66746060" w14:textId="77777777" w:rsidR="003E78AB" w:rsidRDefault="00010BF9">
            <w:pPr>
              <w:spacing w:line="360" w:lineRule="exact"/>
              <w:ind w:firstLineChars="0" w:firstLine="0"/>
              <w:jc w:val="center"/>
              <w:rPr>
                <w:sz w:val="21"/>
                <w:szCs w:val="21"/>
              </w:rPr>
            </w:pPr>
            <w:r>
              <w:rPr>
                <w:rFonts w:hint="eastAsia"/>
                <w:sz w:val="21"/>
                <w:szCs w:val="21"/>
                <w:lang w:bidi="ar"/>
              </w:rPr>
              <w:t>0.5</w:t>
            </w:r>
          </w:p>
        </w:tc>
        <w:tc>
          <w:tcPr>
            <w:tcW w:w="359" w:type="pct"/>
            <w:vAlign w:val="bottom"/>
          </w:tcPr>
          <w:p w14:paraId="19A23C69" w14:textId="77777777" w:rsidR="003E78AB" w:rsidRDefault="00010BF9">
            <w:pPr>
              <w:spacing w:line="360" w:lineRule="exact"/>
              <w:ind w:firstLineChars="0" w:firstLine="0"/>
              <w:jc w:val="center"/>
              <w:rPr>
                <w:sz w:val="21"/>
                <w:szCs w:val="21"/>
              </w:rPr>
            </w:pPr>
            <w:r>
              <w:rPr>
                <w:rFonts w:hint="eastAsia"/>
                <w:sz w:val="21"/>
                <w:szCs w:val="21"/>
                <w:lang w:bidi="ar"/>
              </w:rPr>
              <w:t xml:space="preserve">0.0077 </w:t>
            </w:r>
          </w:p>
        </w:tc>
        <w:tc>
          <w:tcPr>
            <w:tcW w:w="403" w:type="pct"/>
            <w:vAlign w:val="bottom"/>
          </w:tcPr>
          <w:p w14:paraId="7FF45372" w14:textId="77777777" w:rsidR="003E78AB" w:rsidRDefault="00010BF9">
            <w:pPr>
              <w:spacing w:line="360" w:lineRule="exact"/>
              <w:ind w:firstLineChars="0" w:firstLine="0"/>
              <w:jc w:val="center"/>
              <w:rPr>
                <w:sz w:val="21"/>
                <w:szCs w:val="21"/>
              </w:rPr>
            </w:pPr>
            <w:r>
              <w:rPr>
                <w:rFonts w:hint="eastAsia"/>
                <w:sz w:val="21"/>
                <w:szCs w:val="21"/>
                <w:lang w:bidi="ar"/>
              </w:rPr>
              <w:t>0.47</w:t>
            </w:r>
          </w:p>
        </w:tc>
        <w:tc>
          <w:tcPr>
            <w:tcW w:w="390" w:type="pct"/>
            <w:vAlign w:val="bottom"/>
          </w:tcPr>
          <w:p w14:paraId="5B322B4E" w14:textId="77777777" w:rsidR="003E78AB" w:rsidRDefault="00010BF9">
            <w:pPr>
              <w:spacing w:line="360" w:lineRule="exact"/>
              <w:ind w:firstLineChars="0" w:firstLine="0"/>
              <w:jc w:val="center"/>
              <w:rPr>
                <w:sz w:val="21"/>
                <w:szCs w:val="21"/>
              </w:rPr>
            </w:pPr>
            <w:r>
              <w:rPr>
                <w:rFonts w:hint="eastAsia"/>
                <w:sz w:val="21"/>
                <w:szCs w:val="21"/>
                <w:lang w:bidi="ar"/>
              </w:rPr>
              <w:t xml:space="preserve">0.0072 </w:t>
            </w:r>
          </w:p>
        </w:tc>
        <w:tc>
          <w:tcPr>
            <w:tcW w:w="410" w:type="pct"/>
            <w:vAlign w:val="bottom"/>
          </w:tcPr>
          <w:p w14:paraId="2EB448F2" w14:textId="77777777" w:rsidR="003E78AB" w:rsidRDefault="00010BF9">
            <w:pPr>
              <w:spacing w:line="360" w:lineRule="exact"/>
              <w:ind w:firstLineChars="0" w:firstLine="0"/>
              <w:jc w:val="center"/>
              <w:rPr>
                <w:sz w:val="21"/>
                <w:szCs w:val="21"/>
              </w:rPr>
            </w:pPr>
            <w:r>
              <w:rPr>
                <w:rFonts w:hint="eastAsia"/>
                <w:sz w:val="21"/>
                <w:szCs w:val="21"/>
                <w:lang w:bidi="ar"/>
              </w:rPr>
              <w:t>0.51</w:t>
            </w:r>
          </w:p>
        </w:tc>
        <w:tc>
          <w:tcPr>
            <w:tcW w:w="324" w:type="pct"/>
            <w:vAlign w:val="bottom"/>
          </w:tcPr>
          <w:p w14:paraId="555F3E2F" w14:textId="77777777" w:rsidR="003E78AB" w:rsidRDefault="00010BF9">
            <w:pPr>
              <w:spacing w:line="360" w:lineRule="exact"/>
              <w:ind w:firstLineChars="0" w:firstLine="0"/>
              <w:jc w:val="center"/>
              <w:rPr>
                <w:sz w:val="21"/>
                <w:szCs w:val="21"/>
              </w:rPr>
            </w:pPr>
            <w:r>
              <w:rPr>
                <w:rFonts w:hint="eastAsia"/>
                <w:sz w:val="21"/>
                <w:szCs w:val="21"/>
                <w:lang w:bidi="ar"/>
              </w:rPr>
              <w:t xml:space="preserve">0.0078 </w:t>
            </w:r>
          </w:p>
        </w:tc>
        <w:tc>
          <w:tcPr>
            <w:tcW w:w="350" w:type="pct"/>
            <w:vAlign w:val="bottom"/>
          </w:tcPr>
          <w:p w14:paraId="41E17BD9" w14:textId="77777777" w:rsidR="003E78AB" w:rsidRDefault="00010BF9">
            <w:pPr>
              <w:spacing w:line="360" w:lineRule="exact"/>
              <w:ind w:firstLineChars="0" w:firstLine="0"/>
              <w:jc w:val="center"/>
              <w:rPr>
                <w:sz w:val="21"/>
                <w:szCs w:val="21"/>
              </w:rPr>
            </w:pPr>
            <w:r>
              <w:rPr>
                <w:rFonts w:hint="eastAsia"/>
                <w:sz w:val="21"/>
                <w:szCs w:val="21"/>
                <w:lang w:bidi="ar"/>
              </w:rPr>
              <w:t>0.47</w:t>
            </w:r>
          </w:p>
        </w:tc>
        <w:tc>
          <w:tcPr>
            <w:tcW w:w="291" w:type="pct"/>
            <w:vAlign w:val="bottom"/>
          </w:tcPr>
          <w:p w14:paraId="02590775" w14:textId="77777777" w:rsidR="003E78AB" w:rsidRDefault="00010BF9">
            <w:pPr>
              <w:spacing w:line="360" w:lineRule="exact"/>
              <w:ind w:firstLineChars="0" w:firstLine="0"/>
              <w:jc w:val="center"/>
              <w:rPr>
                <w:sz w:val="21"/>
                <w:szCs w:val="21"/>
              </w:rPr>
            </w:pPr>
            <w:r>
              <w:rPr>
                <w:rFonts w:hint="eastAsia"/>
                <w:sz w:val="21"/>
                <w:szCs w:val="21"/>
                <w:lang w:bidi="ar"/>
              </w:rPr>
              <w:t xml:space="preserve">0.0072 </w:t>
            </w:r>
          </w:p>
        </w:tc>
        <w:tc>
          <w:tcPr>
            <w:tcW w:w="359" w:type="pct"/>
          </w:tcPr>
          <w:p w14:paraId="2C7FBBE4" w14:textId="77777777" w:rsidR="003E78AB" w:rsidRDefault="00010BF9">
            <w:pPr>
              <w:spacing w:line="360" w:lineRule="exact"/>
              <w:ind w:firstLineChars="0" w:firstLine="0"/>
              <w:jc w:val="center"/>
              <w:rPr>
                <w:sz w:val="21"/>
                <w:szCs w:val="21"/>
                <w:lang w:bidi="ar"/>
              </w:rPr>
            </w:pPr>
            <w:r>
              <w:rPr>
                <w:rFonts w:hint="eastAsia"/>
                <w:sz w:val="21"/>
                <w:szCs w:val="21"/>
                <w:lang w:bidi="ar"/>
              </w:rPr>
              <w:t>0.43</w:t>
            </w:r>
          </w:p>
        </w:tc>
        <w:tc>
          <w:tcPr>
            <w:tcW w:w="287" w:type="pct"/>
            <w:vAlign w:val="bottom"/>
          </w:tcPr>
          <w:p w14:paraId="3B57F000" w14:textId="77777777" w:rsidR="003E78AB" w:rsidRDefault="00010BF9">
            <w:pPr>
              <w:spacing w:line="360" w:lineRule="exact"/>
              <w:ind w:firstLineChars="0" w:firstLine="0"/>
              <w:jc w:val="center"/>
              <w:rPr>
                <w:sz w:val="21"/>
                <w:szCs w:val="21"/>
                <w:lang w:bidi="ar"/>
              </w:rPr>
            </w:pPr>
            <w:r>
              <w:rPr>
                <w:rFonts w:hint="eastAsia"/>
                <w:sz w:val="21"/>
                <w:szCs w:val="21"/>
                <w:lang w:bidi="ar"/>
              </w:rPr>
              <w:t xml:space="preserve">0.0066 </w:t>
            </w:r>
          </w:p>
        </w:tc>
      </w:tr>
      <w:tr w:rsidR="003E78AB" w14:paraId="0924AF91" w14:textId="77777777">
        <w:trPr>
          <w:trHeight w:val="397"/>
        </w:trPr>
        <w:tc>
          <w:tcPr>
            <w:tcW w:w="487" w:type="pct"/>
          </w:tcPr>
          <w:p w14:paraId="685550CA" w14:textId="77777777" w:rsidR="003E78AB" w:rsidRDefault="00010BF9">
            <w:pPr>
              <w:spacing w:line="360" w:lineRule="exact"/>
              <w:ind w:firstLineChars="0" w:firstLine="0"/>
              <w:jc w:val="center"/>
              <w:rPr>
                <w:sz w:val="21"/>
                <w:szCs w:val="21"/>
              </w:rPr>
            </w:pPr>
            <w:r>
              <w:rPr>
                <w:sz w:val="21"/>
                <w:szCs w:val="21"/>
              </w:rPr>
              <w:t>铜</w:t>
            </w:r>
          </w:p>
        </w:tc>
        <w:tc>
          <w:tcPr>
            <w:tcW w:w="297" w:type="pct"/>
          </w:tcPr>
          <w:p w14:paraId="2C093871" w14:textId="77777777" w:rsidR="003E78AB" w:rsidRDefault="00010BF9">
            <w:pPr>
              <w:spacing w:line="360" w:lineRule="exact"/>
              <w:ind w:firstLineChars="0" w:firstLine="0"/>
              <w:jc w:val="center"/>
              <w:rPr>
                <w:sz w:val="21"/>
                <w:szCs w:val="21"/>
              </w:rPr>
            </w:pPr>
            <w:r>
              <w:rPr>
                <w:sz w:val="21"/>
                <w:szCs w:val="21"/>
              </w:rPr>
              <w:t>18000</w:t>
            </w:r>
          </w:p>
        </w:tc>
        <w:tc>
          <w:tcPr>
            <w:tcW w:w="329" w:type="pct"/>
            <w:vAlign w:val="bottom"/>
          </w:tcPr>
          <w:p w14:paraId="78C6FF78" w14:textId="77777777" w:rsidR="003E78AB" w:rsidRDefault="00010BF9">
            <w:pPr>
              <w:spacing w:line="360" w:lineRule="exact"/>
              <w:ind w:firstLineChars="0" w:firstLine="0"/>
              <w:jc w:val="center"/>
              <w:rPr>
                <w:sz w:val="21"/>
                <w:szCs w:val="21"/>
              </w:rPr>
            </w:pPr>
            <w:r>
              <w:rPr>
                <w:rFonts w:hint="eastAsia"/>
                <w:sz w:val="21"/>
                <w:szCs w:val="21"/>
                <w:lang w:bidi="ar"/>
              </w:rPr>
              <w:t>27</w:t>
            </w:r>
          </w:p>
        </w:tc>
        <w:tc>
          <w:tcPr>
            <w:tcW w:w="381" w:type="pct"/>
            <w:vAlign w:val="bottom"/>
          </w:tcPr>
          <w:p w14:paraId="0543962F" w14:textId="77777777" w:rsidR="003E78AB" w:rsidRDefault="00010BF9">
            <w:pPr>
              <w:spacing w:line="360" w:lineRule="exact"/>
              <w:ind w:firstLineChars="0" w:firstLine="0"/>
              <w:jc w:val="center"/>
              <w:rPr>
                <w:sz w:val="21"/>
                <w:szCs w:val="21"/>
              </w:rPr>
            </w:pPr>
            <w:r>
              <w:rPr>
                <w:rFonts w:hint="eastAsia"/>
                <w:sz w:val="21"/>
                <w:szCs w:val="21"/>
                <w:lang w:bidi="ar"/>
              </w:rPr>
              <w:t>0.0015</w:t>
            </w:r>
          </w:p>
        </w:tc>
        <w:tc>
          <w:tcPr>
            <w:tcW w:w="326" w:type="pct"/>
            <w:vAlign w:val="bottom"/>
          </w:tcPr>
          <w:p w14:paraId="0CE538A8" w14:textId="77777777" w:rsidR="003E78AB" w:rsidRDefault="00010BF9">
            <w:pPr>
              <w:spacing w:line="360" w:lineRule="exact"/>
              <w:ind w:firstLineChars="0" w:firstLine="0"/>
              <w:jc w:val="center"/>
              <w:rPr>
                <w:sz w:val="21"/>
                <w:szCs w:val="21"/>
              </w:rPr>
            </w:pPr>
            <w:r>
              <w:rPr>
                <w:rFonts w:hint="eastAsia"/>
                <w:sz w:val="21"/>
                <w:szCs w:val="21"/>
                <w:lang w:bidi="ar"/>
              </w:rPr>
              <w:t>24</w:t>
            </w:r>
          </w:p>
        </w:tc>
        <w:tc>
          <w:tcPr>
            <w:tcW w:w="359" w:type="pct"/>
            <w:vAlign w:val="bottom"/>
          </w:tcPr>
          <w:p w14:paraId="50BB459E" w14:textId="77777777" w:rsidR="003E78AB" w:rsidRDefault="00010BF9">
            <w:pPr>
              <w:spacing w:line="360" w:lineRule="exact"/>
              <w:ind w:firstLineChars="0" w:firstLine="0"/>
              <w:jc w:val="center"/>
              <w:rPr>
                <w:sz w:val="21"/>
                <w:szCs w:val="21"/>
              </w:rPr>
            </w:pPr>
            <w:r>
              <w:rPr>
                <w:rFonts w:hint="eastAsia"/>
                <w:sz w:val="21"/>
                <w:szCs w:val="21"/>
                <w:lang w:bidi="ar"/>
              </w:rPr>
              <w:t xml:space="preserve">0.0013 </w:t>
            </w:r>
          </w:p>
        </w:tc>
        <w:tc>
          <w:tcPr>
            <w:tcW w:w="403" w:type="pct"/>
            <w:vAlign w:val="bottom"/>
          </w:tcPr>
          <w:p w14:paraId="3B6AAE44" w14:textId="77777777" w:rsidR="003E78AB" w:rsidRDefault="00010BF9">
            <w:pPr>
              <w:spacing w:line="360" w:lineRule="exact"/>
              <w:ind w:firstLineChars="0" w:firstLine="0"/>
              <w:jc w:val="center"/>
              <w:rPr>
                <w:sz w:val="21"/>
                <w:szCs w:val="21"/>
              </w:rPr>
            </w:pPr>
            <w:r>
              <w:rPr>
                <w:rFonts w:hint="eastAsia"/>
                <w:sz w:val="21"/>
                <w:szCs w:val="21"/>
                <w:lang w:bidi="ar"/>
              </w:rPr>
              <w:t>30</w:t>
            </w:r>
          </w:p>
        </w:tc>
        <w:tc>
          <w:tcPr>
            <w:tcW w:w="390" w:type="pct"/>
            <w:vAlign w:val="bottom"/>
          </w:tcPr>
          <w:p w14:paraId="06AC47D0" w14:textId="77777777" w:rsidR="003E78AB" w:rsidRDefault="00010BF9">
            <w:pPr>
              <w:spacing w:line="360" w:lineRule="exact"/>
              <w:ind w:firstLineChars="0" w:firstLine="0"/>
              <w:jc w:val="center"/>
              <w:rPr>
                <w:sz w:val="21"/>
                <w:szCs w:val="21"/>
              </w:rPr>
            </w:pPr>
            <w:r>
              <w:rPr>
                <w:rFonts w:hint="eastAsia"/>
                <w:sz w:val="21"/>
                <w:szCs w:val="21"/>
                <w:lang w:bidi="ar"/>
              </w:rPr>
              <w:t xml:space="preserve">0.0017 </w:t>
            </w:r>
          </w:p>
        </w:tc>
        <w:tc>
          <w:tcPr>
            <w:tcW w:w="410" w:type="pct"/>
            <w:vAlign w:val="bottom"/>
          </w:tcPr>
          <w:p w14:paraId="1A4BB9A0" w14:textId="77777777" w:rsidR="003E78AB" w:rsidRDefault="00010BF9">
            <w:pPr>
              <w:spacing w:line="360" w:lineRule="exact"/>
              <w:ind w:firstLineChars="0" w:firstLine="0"/>
              <w:jc w:val="center"/>
              <w:rPr>
                <w:sz w:val="21"/>
                <w:szCs w:val="21"/>
              </w:rPr>
            </w:pPr>
            <w:r>
              <w:rPr>
                <w:rFonts w:hint="eastAsia"/>
                <w:sz w:val="21"/>
                <w:szCs w:val="21"/>
                <w:lang w:bidi="ar"/>
              </w:rPr>
              <w:t>28</w:t>
            </w:r>
          </w:p>
        </w:tc>
        <w:tc>
          <w:tcPr>
            <w:tcW w:w="324" w:type="pct"/>
            <w:vAlign w:val="bottom"/>
          </w:tcPr>
          <w:p w14:paraId="661CF867" w14:textId="77777777" w:rsidR="003E78AB" w:rsidRDefault="00010BF9">
            <w:pPr>
              <w:spacing w:line="360" w:lineRule="exact"/>
              <w:ind w:firstLineChars="0" w:firstLine="0"/>
              <w:jc w:val="center"/>
              <w:rPr>
                <w:sz w:val="21"/>
                <w:szCs w:val="21"/>
              </w:rPr>
            </w:pPr>
            <w:r>
              <w:rPr>
                <w:rFonts w:hint="eastAsia"/>
                <w:sz w:val="21"/>
                <w:szCs w:val="21"/>
                <w:lang w:bidi="ar"/>
              </w:rPr>
              <w:t xml:space="preserve">0.0016 </w:t>
            </w:r>
          </w:p>
        </w:tc>
        <w:tc>
          <w:tcPr>
            <w:tcW w:w="350" w:type="pct"/>
            <w:vAlign w:val="bottom"/>
          </w:tcPr>
          <w:p w14:paraId="007279FD" w14:textId="77777777" w:rsidR="003E78AB" w:rsidRDefault="00010BF9">
            <w:pPr>
              <w:spacing w:line="360" w:lineRule="exact"/>
              <w:ind w:firstLineChars="0" w:firstLine="0"/>
              <w:jc w:val="center"/>
              <w:rPr>
                <w:sz w:val="21"/>
                <w:szCs w:val="21"/>
              </w:rPr>
            </w:pPr>
            <w:r>
              <w:rPr>
                <w:rFonts w:hint="eastAsia"/>
                <w:sz w:val="21"/>
                <w:szCs w:val="21"/>
                <w:lang w:bidi="ar"/>
              </w:rPr>
              <w:t>24</w:t>
            </w:r>
          </w:p>
        </w:tc>
        <w:tc>
          <w:tcPr>
            <w:tcW w:w="291" w:type="pct"/>
            <w:vAlign w:val="bottom"/>
          </w:tcPr>
          <w:p w14:paraId="42BE87F9" w14:textId="77777777" w:rsidR="003E78AB" w:rsidRDefault="00010BF9">
            <w:pPr>
              <w:spacing w:line="360" w:lineRule="exact"/>
              <w:ind w:firstLineChars="0" w:firstLine="0"/>
              <w:jc w:val="center"/>
              <w:rPr>
                <w:sz w:val="21"/>
                <w:szCs w:val="21"/>
              </w:rPr>
            </w:pPr>
            <w:r>
              <w:rPr>
                <w:rFonts w:hint="eastAsia"/>
                <w:sz w:val="21"/>
                <w:szCs w:val="21"/>
                <w:lang w:bidi="ar"/>
              </w:rPr>
              <w:t xml:space="preserve">0.0013 </w:t>
            </w:r>
          </w:p>
        </w:tc>
        <w:tc>
          <w:tcPr>
            <w:tcW w:w="359" w:type="pct"/>
          </w:tcPr>
          <w:p w14:paraId="2273239E" w14:textId="77777777" w:rsidR="003E78AB" w:rsidRDefault="00010BF9">
            <w:pPr>
              <w:spacing w:line="360" w:lineRule="exact"/>
              <w:ind w:firstLineChars="0" w:firstLine="0"/>
              <w:jc w:val="center"/>
              <w:rPr>
                <w:sz w:val="21"/>
                <w:szCs w:val="21"/>
                <w:lang w:bidi="ar"/>
              </w:rPr>
            </w:pPr>
            <w:r>
              <w:rPr>
                <w:rFonts w:hint="eastAsia"/>
                <w:sz w:val="21"/>
                <w:szCs w:val="21"/>
                <w:lang w:bidi="ar"/>
              </w:rPr>
              <w:t>19</w:t>
            </w:r>
          </w:p>
        </w:tc>
        <w:tc>
          <w:tcPr>
            <w:tcW w:w="287" w:type="pct"/>
            <w:vAlign w:val="bottom"/>
          </w:tcPr>
          <w:p w14:paraId="362A2044" w14:textId="77777777" w:rsidR="003E78AB" w:rsidRDefault="00010BF9">
            <w:pPr>
              <w:spacing w:line="360" w:lineRule="exact"/>
              <w:ind w:firstLineChars="0" w:firstLine="0"/>
              <w:jc w:val="center"/>
              <w:rPr>
                <w:sz w:val="21"/>
                <w:szCs w:val="21"/>
                <w:lang w:bidi="ar"/>
              </w:rPr>
            </w:pPr>
            <w:r>
              <w:rPr>
                <w:rFonts w:hint="eastAsia"/>
                <w:sz w:val="21"/>
                <w:szCs w:val="21"/>
                <w:lang w:bidi="ar"/>
              </w:rPr>
              <w:t xml:space="preserve">0.0011 </w:t>
            </w:r>
          </w:p>
        </w:tc>
      </w:tr>
      <w:tr w:rsidR="003E78AB" w14:paraId="39EFB47A" w14:textId="77777777">
        <w:trPr>
          <w:trHeight w:val="397"/>
        </w:trPr>
        <w:tc>
          <w:tcPr>
            <w:tcW w:w="487" w:type="pct"/>
          </w:tcPr>
          <w:p w14:paraId="5F6FFF80" w14:textId="77777777" w:rsidR="003E78AB" w:rsidRDefault="00010BF9">
            <w:pPr>
              <w:spacing w:line="360" w:lineRule="exact"/>
              <w:ind w:firstLineChars="0" w:firstLine="0"/>
              <w:jc w:val="center"/>
              <w:rPr>
                <w:sz w:val="21"/>
                <w:szCs w:val="21"/>
              </w:rPr>
            </w:pPr>
            <w:r>
              <w:rPr>
                <w:sz w:val="21"/>
                <w:szCs w:val="21"/>
              </w:rPr>
              <w:t>镍</w:t>
            </w:r>
          </w:p>
        </w:tc>
        <w:tc>
          <w:tcPr>
            <w:tcW w:w="297" w:type="pct"/>
          </w:tcPr>
          <w:p w14:paraId="66A9C9AF" w14:textId="77777777" w:rsidR="003E78AB" w:rsidRDefault="00010BF9">
            <w:pPr>
              <w:spacing w:line="360" w:lineRule="exact"/>
              <w:ind w:firstLineChars="0" w:firstLine="0"/>
              <w:jc w:val="center"/>
              <w:rPr>
                <w:sz w:val="21"/>
                <w:szCs w:val="21"/>
              </w:rPr>
            </w:pPr>
            <w:r>
              <w:rPr>
                <w:sz w:val="21"/>
                <w:szCs w:val="21"/>
              </w:rPr>
              <w:t>900</w:t>
            </w:r>
          </w:p>
        </w:tc>
        <w:tc>
          <w:tcPr>
            <w:tcW w:w="329" w:type="pct"/>
            <w:vAlign w:val="bottom"/>
          </w:tcPr>
          <w:p w14:paraId="1AAB25E7" w14:textId="77777777" w:rsidR="003E78AB" w:rsidRDefault="00010BF9">
            <w:pPr>
              <w:spacing w:line="360" w:lineRule="exact"/>
              <w:ind w:firstLineChars="0" w:firstLine="0"/>
              <w:jc w:val="center"/>
              <w:rPr>
                <w:sz w:val="21"/>
                <w:szCs w:val="21"/>
              </w:rPr>
            </w:pPr>
            <w:r>
              <w:rPr>
                <w:rFonts w:hint="eastAsia"/>
                <w:sz w:val="21"/>
                <w:szCs w:val="21"/>
                <w:lang w:bidi="ar"/>
              </w:rPr>
              <w:t>61</w:t>
            </w:r>
          </w:p>
        </w:tc>
        <w:tc>
          <w:tcPr>
            <w:tcW w:w="381" w:type="pct"/>
            <w:vAlign w:val="bottom"/>
          </w:tcPr>
          <w:p w14:paraId="32D9D4E7" w14:textId="77777777" w:rsidR="003E78AB" w:rsidRDefault="00010BF9">
            <w:pPr>
              <w:spacing w:line="360" w:lineRule="exact"/>
              <w:ind w:firstLineChars="0" w:firstLine="0"/>
              <w:jc w:val="center"/>
              <w:rPr>
                <w:sz w:val="21"/>
                <w:szCs w:val="21"/>
              </w:rPr>
            </w:pPr>
            <w:r>
              <w:rPr>
                <w:rFonts w:hint="eastAsia"/>
                <w:sz w:val="21"/>
                <w:szCs w:val="21"/>
                <w:lang w:bidi="ar"/>
              </w:rPr>
              <w:t xml:space="preserve">0.0678 </w:t>
            </w:r>
          </w:p>
        </w:tc>
        <w:tc>
          <w:tcPr>
            <w:tcW w:w="326" w:type="pct"/>
            <w:vAlign w:val="bottom"/>
          </w:tcPr>
          <w:p w14:paraId="69C96E6B" w14:textId="77777777" w:rsidR="003E78AB" w:rsidRDefault="00010BF9">
            <w:pPr>
              <w:spacing w:line="360" w:lineRule="exact"/>
              <w:ind w:firstLineChars="0" w:firstLine="0"/>
              <w:jc w:val="center"/>
              <w:rPr>
                <w:sz w:val="21"/>
                <w:szCs w:val="21"/>
              </w:rPr>
            </w:pPr>
            <w:r>
              <w:rPr>
                <w:rFonts w:hint="eastAsia"/>
                <w:sz w:val="21"/>
                <w:szCs w:val="21"/>
                <w:lang w:bidi="ar"/>
              </w:rPr>
              <w:t>61</w:t>
            </w:r>
          </w:p>
        </w:tc>
        <w:tc>
          <w:tcPr>
            <w:tcW w:w="359" w:type="pct"/>
            <w:vAlign w:val="bottom"/>
          </w:tcPr>
          <w:p w14:paraId="6F9DEA2A" w14:textId="77777777" w:rsidR="003E78AB" w:rsidRDefault="00010BF9">
            <w:pPr>
              <w:spacing w:line="360" w:lineRule="exact"/>
              <w:ind w:firstLineChars="0" w:firstLine="0"/>
              <w:jc w:val="center"/>
              <w:rPr>
                <w:sz w:val="21"/>
                <w:szCs w:val="21"/>
              </w:rPr>
            </w:pPr>
            <w:r>
              <w:rPr>
                <w:rFonts w:hint="eastAsia"/>
                <w:sz w:val="21"/>
                <w:szCs w:val="21"/>
                <w:lang w:bidi="ar"/>
              </w:rPr>
              <w:t xml:space="preserve">0.07 </w:t>
            </w:r>
          </w:p>
        </w:tc>
        <w:tc>
          <w:tcPr>
            <w:tcW w:w="403" w:type="pct"/>
            <w:vAlign w:val="bottom"/>
          </w:tcPr>
          <w:p w14:paraId="182D51A9" w14:textId="77777777" w:rsidR="003E78AB" w:rsidRDefault="00010BF9">
            <w:pPr>
              <w:spacing w:line="360" w:lineRule="exact"/>
              <w:ind w:firstLineChars="0" w:firstLine="0"/>
              <w:jc w:val="center"/>
              <w:rPr>
                <w:sz w:val="21"/>
                <w:szCs w:val="21"/>
              </w:rPr>
            </w:pPr>
            <w:r>
              <w:rPr>
                <w:rFonts w:hint="eastAsia"/>
                <w:sz w:val="21"/>
                <w:szCs w:val="21"/>
                <w:lang w:bidi="ar"/>
              </w:rPr>
              <w:t xml:space="preserve">56 </w:t>
            </w:r>
          </w:p>
        </w:tc>
        <w:tc>
          <w:tcPr>
            <w:tcW w:w="390" w:type="pct"/>
            <w:vAlign w:val="bottom"/>
          </w:tcPr>
          <w:p w14:paraId="1DA27260" w14:textId="77777777" w:rsidR="003E78AB" w:rsidRDefault="00010BF9">
            <w:pPr>
              <w:spacing w:line="360" w:lineRule="exact"/>
              <w:ind w:firstLineChars="0" w:firstLine="0"/>
              <w:jc w:val="center"/>
              <w:rPr>
                <w:sz w:val="21"/>
                <w:szCs w:val="21"/>
              </w:rPr>
            </w:pPr>
            <w:r>
              <w:rPr>
                <w:rFonts w:hint="eastAsia"/>
                <w:sz w:val="21"/>
                <w:szCs w:val="21"/>
                <w:lang w:bidi="ar"/>
              </w:rPr>
              <w:t xml:space="preserve">0.06 </w:t>
            </w:r>
          </w:p>
        </w:tc>
        <w:tc>
          <w:tcPr>
            <w:tcW w:w="410" w:type="pct"/>
            <w:vAlign w:val="bottom"/>
          </w:tcPr>
          <w:p w14:paraId="7C0A8644" w14:textId="77777777" w:rsidR="003E78AB" w:rsidRDefault="00010BF9">
            <w:pPr>
              <w:spacing w:line="360" w:lineRule="exact"/>
              <w:ind w:firstLineChars="0" w:firstLine="0"/>
              <w:jc w:val="center"/>
              <w:rPr>
                <w:sz w:val="21"/>
                <w:szCs w:val="21"/>
              </w:rPr>
            </w:pPr>
            <w:r>
              <w:rPr>
                <w:rFonts w:hint="eastAsia"/>
                <w:sz w:val="21"/>
                <w:szCs w:val="21"/>
                <w:lang w:bidi="ar"/>
              </w:rPr>
              <w:t>59</w:t>
            </w:r>
          </w:p>
        </w:tc>
        <w:tc>
          <w:tcPr>
            <w:tcW w:w="324" w:type="pct"/>
            <w:vAlign w:val="bottom"/>
          </w:tcPr>
          <w:p w14:paraId="3ACDE427" w14:textId="77777777" w:rsidR="003E78AB" w:rsidRDefault="00010BF9">
            <w:pPr>
              <w:spacing w:line="360" w:lineRule="exact"/>
              <w:ind w:firstLineChars="0" w:firstLine="0"/>
              <w:jc w:val="center"/>
              <w:rPr>
                <w:sz w:val="21"/>
                <w:szCs w:val="21"/>
              </w:rPr>
            </w:pPr>
            <w:r>
              <w:rPr>
                <w:rFonts w:hint="eastAsia"/>
                <w:sz w:val="21"/>
                <w:szCs w:val="21"/>
                <w:lang w:bidi="ar"/>
              </w:rPr>
              <w:t xml:space="preserve">0.0656 </w:t>
            </w:r>
          </w:p>
        </w:tc>
        <w:tc>
          <w:tcPr>
            <w:tcW w:w="350" w:type="pct"/>
            <w:vAlign w:val="bottom"/>
          </w:tcPr>
          <w:p w14:paraId="07B672FB" w14:textId="77777777" w:rsidR="003E78AB" w:rsidRDefault="00010BF9">
            <w:pPr>
              <w:spacing w:line="360" w:lineRule="exact"/>
              <w:ind w:firstLineChars="0" w:firstLine="0"/>
              <w:jc w:val="center"/>
              <w:rPr>
                <w:sz w:val="21"/>
                <w:szCs w:val="21"/>
              </w:rPr>
            </w:pPr>
            <w:r>
              <w:rPr>
                <w:rFonts w:hint="eastAsia"/>
                <w:sz w:val="21"/>
                <w:szCs w:val="21"/>
                <w:lang w:bidi="ar"/>
              </w:rPr>
              <w:t>53</w:t>
            </w:r>
          </w:p>
        </w:tc>
        <w:tc>
          <w:tcPr>
            <w:tcW w:w="291" w:type="pct"/>
            <w:vAlign w:val="bottom"/>
          </w:tcPr>
          <w:p w14:paraId="7D65AD3E" w14:textId="77777777" w:rsidR="003E78AB" w:rsidRDefault="00010BF9">
            <w:pPr>
              <w:spacing w:line="360" w:lineRule="exact"/>
              <w:ind w:firstLineChars="0" w:firstLine="0"/>
              <w:jc w:val="center"/>
              <w:rPr>
                <w:sz w:val="21"/>
                <w:szCs w:val="21"/>
              </w:rPr>
            </w:pPr>
            <w:r>
              <w:rPr>
                <w:rFonts w:hint="eastAsia"/>
                <w:sz w:val="21"/>
                <w:szCs w:val="21"/>
                <w:lang w:bidi="ar"/>
              </w:rPr>
              <w:t xml:space="preserve">0.0589 </w:t>
            </w:r>
          </w:p>
        </w:tc>
        <w:tc>
          <w:tcPr>
            <w:tcW w:w="359" w:type="pct"/>
          </w:tcPr>
          <w:p w14:paraId="40B42E37" w14:textId="77777777" w:rsidR="003E78AB" w:rsidRDefault="00010BF9">
            <w:pPr>
              <w:spacing w:line="360" w:lineRule="exact"/>
              <w:ind w:firstLineChars="0" w:firstLine="0"/>
              <w:jc w:val="center"/>
              <w:rPr>
                <w:sz w:val="21"/>
                <w:szCs w:val="21"/>
                <w:lang w:bidi="ar"/>
              </w:rPr>
            </w:pPr>
            <w:r>
              <w:rPr>
                <w:rFonts w:hint="eastAsia"/>
                <w:sz w:val="21"/>
                <w:szCs w:val="21"/>
                <w:lang w:bidi="ar"/>
              </w:rPr>
              <w:t>48</w:t>
            </w:r>
          </w:p>
        </w:tc>
        <w:tc>
          <w:tcPr>
            <w:tcW w:w="287" w:type="pct"/>
            <w:vAlign w:val="bottom"/>
          </w:tcPr>
          <w:p w14:paraId="5B5DD636" w14:textId="77777777" w:rsidR="003E78AB" w:rsidRDefault="00010BF9">
            <w:pPr>
              <w:spacing w:line="360" w:lineRule="exact"/>
              <w:ind w:firstLineChars="0" w:firstLine="0"/>
              <w:jc w:val="center"/>
              <w:rPr>
                <w:sz w:val="21"/>
                <w:szCs w:val="21"/>
                <w:lang w:bidi="ar"/>
              </w:rPr>
            </w:pPr>
            <w:r>
              <w:rPr>
                <w:rFonts w:hint="eastAsia"/>
                <w:sz w:val="21"/>
                <w:szCs w:val="21"/>
                <w:lang w:bidi="ar"/>
              </w:rPr>
              <w:t xml:space="preserve">0.0533 </w:t>
            </w:r>
          </w:p>
        </w:tc>
      </w:tr>
      <w:tr w:rsidR="003E78AB" w14:paraId="5AAE5CC2" w14:textId="77777777">
        <w:trPr>
          <w:trHeight w:val="397"/>
        </w:trPr>
        <w:tc>
          <w:tcPr>
            <w:tcW w:w="487" w:type="pct"/>
          </w:tcPr>
          <w:p w14:paraId="3BEB8483" w14:textId="77777777" w:rsidR="003E78AB" w:rsidRDefault="00010BF9">
            <w:pPr>
              <w:spacing w:line="360" w:lineRule="exact"/>
              <w:ind w:firstLineChars="0" w:firstLine="0"/>
              <w:jc w:val="center"/>
              <w:rPr>
                <w:sz w:val="21"/>
                <w:szCs w:val="21"/>
              </w:rPr>
            </w:pPr>
            <w:r>
              <w:rPr>
                <w:sz w:val="21"/>
                <w:szCs w:val="21"/>
              </w:rPr>
              <w:t>六价铬</w:t>
            </w:r>
          </w:p>
        </w:tc>
        <w:tc>
          <w:tcPr>
            <w:tcW w:w="297" w:type="pct"/>
          </w:tcPr>
          <w:p w14:paraId="55476769" w14:textId="77777777" w:rsidR="003E78AB" w:rsidRDefault="00010BF9">
            <w:pPr>
              <w:spacing w:line="360" w:lineRule="exact"/>
              <w:ind w:firstLineChars="0" w:firstLine="0"/>
              <w:jc w:val="center"/>
              <w:rPr>
                <w:sz w:val="21"/>
                <w:szCs w:val="21"/>
              </w:rPr>
            </w:pPr>
            <w:r>
              <w:rPr>
                <w:sz w:val="21"/>
                <w:szCs w:val="21"/>
              </w:rPr>
              <w:t>5.7</w:t>
            </w:r>
          </w:p>
        </w:tc>
        <w:tc>
          <w:tcPr>
            <w:tcW w:w="329" w:type="pct"/>
          </w:tcPr>
          <w:p w14:paraId="2F570E79"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9D2FDF1"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6E64D30D"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2D018505"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E58EEDA" w14:textId="77777777" w:rsidR="003E78AB" w:rsidRDefault="00010BF9">
            <w:pPr>
              <w:spacing w:line="360" w:lineRule="exact"/>
              <w:ind w:firstLineChars="0" w:firstLine="0"/>
              <w:jc w:val="center"/>
              <w:textAlignment w:val="center"/>
              <w:rPr>
                <w:sz w:val="21"/>
                <w:szCs w:val="21"/>
              </w:rPr>
            </w:pPr>
            <w:r>
              <w:rPr>
                <w:sz w:val="21"/>
                <w:szCs w:val="21"/>
              </w:rPr>
              <w:t>ND</w:t>
            </w:r>
          </w:p>
        </w:tc>
        <w:tc>
          <w:tcPr>
            <w:tcW w:w="390" w:type="pct"/>
          </w:tcPr>
          <w:p w14:paraId="24CFF976"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59A1FCA8" w14:textId="77777777" w:rsidR="003E78AB" w:rsidRDefault="00010BF9">
            <w:pPr>
              <w:spacing w:line="360" w:lineRule="exact"/>
              <w:ind w:firstLineChars="0" w:firstLine="0"/>
              <w:jc w:val="center"/>
              <w:textAlignment w:val="center"/>
              <w:rPr>
                <w:sz w:val="21"/>
                <w:szCs w:val="21"/>
              </w:rPr>
            </w:pPr>
            <w:r>
              <w:rPr>
                <w:sz w:val="21"/>
                <w:szCs w:val="21"/>
              </w:rPr>
              <w:t>ND</w:t>
            </w:r>
          </w:p>
        </w:tc>
        <w:tc>
          <w:tcPr>
            <w:tcW w:w="324" w:type="pct"/>
          </w:tcPr>
          <w:p w14:paraId="36669C3D"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9849685" w14:textId="77777777" w:rsidR="003E78AB" w:rsidRDefault="00010BF9">
            <w:pPr>
              <w:spacing w:line="360" w:lineRule="exact"/>
              <w:ind w:firstLineChars="0" w:firstLine="0"/>
              <w:jc w:val="center"/>
              <w:textAlignment w:val="center"/>
              <w:rPr>
                <w:sz w:val="21"/>
                <w:szCs w:val="21"/>
              </w:rPr>
            </w:pPr>
            <w:r>
              <w:rPr>
                <w:sz w:val="21"/>
                <w:szCs w:val="21"/>
              </w:rPr>
              <w:t>ND</w:t>
            </w:r>
          </w:p>
        </w:tc>
        <w:tc>
          <w:tcPr>
            <w:tcW w:w="291" w:type="pct"/>
          </w:tcPr>
          <w:p w14:paraId="0E8F354D"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26FC7B4E" w14:textId="77777777" w:rsidR="003E78AB" w:rsidRDefault="00010BF9">
            <w:pPr>
              <w:spacing w:line="360" w:lineRule="exact"/>
              <w:ind w:firstLineChars="0" w:firstLine="0"/>
              <w:jc w:val="center"/>
              <w:rPr>
                <w:sz w:val="21"/>
                <w:szCs w:val="21"/>
                <w:lang w:bidi="ar"/>
              </w:rPr>
            </w:pPr>
            <w:r>
              <w:rPr>
                <w:sz w:val="21"/>
                <w:szCs w:val="21"/>
              </w:rPr>
              <w:t>ND</w:t>
            </w:r>
          </w:p>
        </w:tc>
        <w:tc>
          <w:tcPr>
            <w:tcW w:w="287" w:type="pct"/>
          </w:tcPr>
          <w:p w14:paraId="3F1318E2" w14:textId="77777777" w:rsidR="003E78AB" w:rsidRDefault="00010BF9">
            <w:pPr>
              <w:spacing w:line="360" w:lineRule="exact"/>
              <w:ind w:firstLineChars="0" w:firstLine="0"/>
              <w:jc w:val="center"/>
              <w:rPr>
                <w:sz w:val="21"/>
                <w:szCs w:val="21"/>
                <w:lang w:bidi="ar"/>
              </w:rPr>
            </w:pPr>
            <w:r>
              <w:rPr>
                <w:sz w:val="21"/>
                <w:szCs w:val="21"/>
              </w:rPr>
              <w:t>--</w:t>
            </w:r>
          </w:p>
        </w:tc>
      </w:tr>
      <w:tr w:rsidR="003E78AB" w14:paraId="63975F1E" w14:textId="77777777">
        <w:trPr>
          <w:trHeight w:val="397"/>
        </w:trPr>
        <w:tc>
          <w:tcPr>
            <w:tcW w:w="487" w:type="pct"/>
          </w:tcPr>
          <w:p w14:paraId="6E296354" w14:textId="77777777" w:rsidR="003E78AB" w:rsidRDefault="00010BF9">
            <w:pPr>
              <w:spacing w:line="360" w:lineRule="exact"/>
              <w:ind w:firstLineChars="0" w:firstLine="0"/>
              <w:jc w:val="center"/>
              <w:rPr>
                <w:bCs/>
                <w:sz w:val="21"/>
                <w:szCs w:val="21"/>
              </w:rPr>
            </w:pPr>
            <w:r>
              <w:rPr>
                <w:kern w:val="2"/>
                <w:sz w:val="21"/>
                <w:szCs w:val="21"/>
              </w:rPr>
              <w:t>氯乙烯</w:t>
            </w:r>
          </w:p>
        </w:tc>
        <w:tc>
          <w:tcPr>
            <w:tcW w:w="297" w:type="pct"/>
          </w:tcPr>
          <w:p w14:paraId="44D47A16" w14:textId="77777777" w:rsidR="003E78AB" w:rsidRDefault="00010BF9">
            <w:pPr>
              <w:spacing w:line="360" w:lineRule="exact"/>
              <w:ind w:firstLineChars="0" w:firstLine="0"/>
              <w:jc w:val="center"/>
              <w:rPr>
                <w:bCs/>
                <w:kern w:val="2"/>
                <w:sz w:val="21"/>
                <w:szCs w:val="21"/>
              </w:rPr>
            </w:pPr>
            <w:r>
              <w:rPr>
                <w:kern w:val="2"/>
                <w:sz w:val="21"/>
                <w:szCs w:val="21"/>
              </w:rPr>
              <w:t>0.43</w:t>
            </w:r>
          </w:p>
        </w:tc>
        <w:tc>
          <w:tcPr>
            <w:tcW w:w="329" w:type="pct"/>
          </w:tcPr>
          <w:p w14:paraId="265C7F7A"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5932ADC"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39E014F6"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6490EF71"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73EA63B"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97BF9A8"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4255BCE"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783FA308"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3C5E68C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0CE5C840"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663FF6B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3EE7F463" w14:textId="77777777" w:rsidR="003E78AB" w:rsidRDefault="00010BF9">
            <w:pPr>
              <w:spacing w:line="360" w:lineRule="exact"/>
              <w:ind w:firstLineChars="0" w:firstLine="0"/>
              <w:jc w:val="center"/>
              <w:rPr>
                <w:sz w:val="21"/>
                <w:szCs w:val="21"/>
              </w:rPr>
            </w:pPr>
            <w:r>
              <w:rPr>
                <w:sz w:val="21"/>
                <w:szCs w:val="21"/>
              </w:rPr>
              <w:t>--</w:t>
            </w:r>
          </w:p>
        </w:tc>
      </w:tr>
      <w:tr w:rsidR="003E78AB" w14:paraId="6DAC5B25" w14:textId="77777777">
        <w:trPr>
          <w:trHeight w:val="397"/>
        </w:trPr>
        <w:tc>
          <w:tcPr>
            <w:tcW w:w="487" w:type="pct"/>
          </w:tcPr>
          <w:p w14:paraId="4128E3FB" w14:textId="77777777" w:rsidR="003E78AB" w:rsidRDefault="00010BF9">
            <w:pPr>
              <w:spacing w:line="360" w:lineRule="exact"/>
              <w:ind w:firstLineChars="0" w:firstLine="0"/>
              <w:jc w:val="center"/>
              <w:rPr>
                <w:bCs/>
                <w:sz w:val="21"/>
                <w:szCs w:val="21"/>
              </w:rPr>
            </w:pPr>
            <w:r>
              <w:rPr>
                <w:kern w:val="2"/>
                <w:sz w:val="21"/>
                <w:szCs w:val="21"/>
              </w:rPr>
              <w:t>1,1-</w:t>
            </w:r>
            <w:r>
              <w:rPr>
                <w:kern w:val="2"/>
                <w:sz w:val="21"/>
                <w:szCs w:val="21"/>
              </w:rPr>
              <w:t>二氯乙烯</w:t>
            </w:r>
          </w:p>
        </w:tc>
        <w:tc>
          <w:tcPr>
            <w:tcW w:w="297" w:type="pct"/>
          </w:tcPr>
          <w:p w14:paraId="58BEE51B" w14:textId="77777777" w:rsidR="003E78AB" w:rsidRDefault="00010BF9">
            <w:pPr>
              <w:spacing w:line="360" w:lineRule="exact"/>
              <w:ind w:firstLineChars="0" w:firstLine="0"/>
              <w:jc w:val="center"/>
              <w:rPr>
                <w:bCs/>
                <w:kern w:val="2"/>
                <w:sz w:val="21"/>
                <w:szCs w:val="21"/>
              </w:rPr>
            </w:pPr>
            <w:r>
              <w:rPr>
                <w:kern w:val="2"/>
                <w:sz w:val="21"/>
                <w:szCs w:val="21"/>
              </w:rPr>
              <w:t>66</w:t>
            </w:r>
          </w:p>
        </w:tc>
        <w:tc>
          <w:tcPr>
            <w:tcW w:w="329" w:type="pct"/>
          </w:tcPr>
          <w:p w14:paraId="2E681D3E"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6B36A498"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2A554997"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24F4EEC3"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63787E90"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09C3E58"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25107C4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047B8BA1"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2A853F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5EA8FDB8"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41A6C64"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4BCE50F" w14:textId="77777777" w:rsidR="003E78AB" w:rsidRDefault="00010BF9">
            <w:pPr>
              <w:spacing w:line="360" w:lineRule="exact"/>
              <w:ind w:firstLineChars="0" w:firstLine="0"/>
              <w:jc w:val="center"/>
              <w:rPr>
                <w:sz w:val="21"/>
                <w:szCs w:val="21"/>
              </w:rPr>
            </w:pPr>
            <w:r>
              <w:rPr>
                <w:sz w:val="21"/>
                <w:szCs w:val="21"/>
              </w:rPr>
              <w:t>--</w:t>
            </w:r>
          </w:p>
        </w:tc>
      </w:tr>
      <w:tr w:rsidR="003E78AB" w14:paraId="64DB7350" w14:textId="77777777">
        <w:trPr>
          <w:trHeight w:val="397"/>
        </w:trPr>
        <w:tc>
          <w:tcPr>
            <w:tcW w:w="487" w:type="pct"/>
          </w:tcPr>
          <w:p w14:paraId="08318D76" w14:textId="77777777" w:rsidR="003E78AB" w:rsidRDefault="00010BF9">
            <w:pPr>
              <w:spacing w:line="360" w:lineRule="exact"/>
              <w:ind w:firstLineChars="0" w:firstLine="0"/>
              <w:jc w:val="center"/>
              <w:rPr>
                <w:bCs/>
                <w:sz w:val="21"/>
                <w:szCs w:val="21"/>
              </w:rPr>
            </w:pPr>
            <w:r>
              <w:rPr>
                <w:bCs/>
                <w:kern w:val="2"/>
                <w:sz w:val="21"/>
                <w:szCs w:val="21"/>
              </w:rPr>
              <w:t>二氯甲烷</w:t>
            </w:r>
          </w:p>
        </w:tc>
        <w:tc>
          <w:tcPr>
            <w:tcW w:w="297" w:type="pct"/>
          </w:tcPr>
          <w:p w14:paraId="700C9472" w14:textId="77777777" w:rsidR="003E78AB" w:rsidRDefault="00010BF9">
            <w:pPr>
              <w:spacing w:line="360" w:lineRule="exact"/>
              <w:ind w:firstLineChars="0" w:firstLine="0"/>
              <w:jc w:val="center"/>
              <w:rPr>
                <w:bCs/>
                <w:kern w:val="2"/>
                <w:sz w:val="21"/>
                <w:szCs w:val="21"/>
              </w:rPr>
            </w:pPr>
            <w:r>
              <w:rPr>
                <w:kern w:val="2"/>
                <w:sz w:val="21"/>
                <w:szCs w:val="21"/>
              </w:rPr>
              <w:t>616</w:t>
            </w:r>
          </w:p>
        </w:tc>
        <w:tc>
          <w:tcPr>
            <w:tcW w:w="329" w:type="pct"/>
          </w:tcPr>
          <w:p w14:paraId="2DA7DC8A"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1BC46F2E"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59E9F168"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EDEF75F"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AC4FA7C"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01CA545F"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4A13748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6769A1AD"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5A6C63C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0B3BD143"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0D7AB45"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3CD224D2" w14:textId="77777777" w:rsidR="003E78AB" w:rsidRDefault="00010BF9">
            <w:pPr>
              <w:spacing w:line="360" w:lineRule="exact"/>
              <w:ind w:firstLineChars="0" w:firstLine="0"/>
              <w:jc w:val="center"/>
              <w:rPr>
                <w:sz w:val="21"/>
                <w:szCs w:val="21"/>
              </w:rPr>
            </w:pPr>
            <w:r>
              <w:rPr>
                <w:sz w:val="21"/>
                <w:szCs w:val="21"/>
              </w:rPr>
              <w:t>--</w:t>
            </w:r>
          </w:p>
        </w:tc>
      </w:tr>
      <w:tr w:rsidR="003E78AB" w14:paraId="45E4A414" w14:textId="77777777">
        <w:trPr>
          <w:trHeight w:val="397"/>
        </w:trPr>
        <w:tc>
          <w:tcPr>
            <w:tcW w:w="487" w:type="pct"/>
          </w:tcPr>
          <w:p w14:paraId="51E3BAE6" w14:textId="77777777" w:rsidR="003E78AB" w:rsidRDefault="00010BF9">
            <w:pPr>
              <w:spacing w:line="360" w:lineRule="exact"/>
              <w:ind w:firstLineChars="0" w:firstLine="0"/>
              <w:jc w:val="center"/>
              <w:rPr>
                <w:bCs/>
                <w:sz w:val="21"/>
                <w:szCs w:val="21"/>
              </w:rPr>
            </w:pPr>
            <w:r>
              <w:rPr>
                <w:bCs/>
                <w:kern w:val="2"/>
                <w:sz w:val="21"/>
                <w:szCs w:val="21"/>
              </w:rPr>
              <w:t>反</w:t>
            </w:r>
            <w:r>
              <w:rPr>
                <w:bCs/>
                <w:kern w:val="2"/>
                <w:sz w:val="21"/>
                <w:szCs w:val="21"/>
              </w:rPr>
              <w:t>-1,2-</w:t>
            </w:r>
            <w:r>
              <w:rPr>
                <w:bCs/>
                <w:kern w:val="2"/>
                <w:sz w:val="21"/>
                <w:szCs w:val="21"/>
              </w:rPr>
              <w:t>二氯乙烯</w:t>
            </w:r>
          </w:p>
        </w:tc>
        <w:tc>
          <w:tcPr>
            <w:tcW w:w="297" w:type="pct"/>
          </w:tcPr>
          <w:p w14:paraId="2885E68B" w14:textId="77777777" w:rsidR="003E78AB" w:rsidRDefault="00010BF9">
            <w:pPr>
              <w:spacing w:line="360" w:lineRule="exact"/>
              <w:ind w:firstLineChars="0" w:firstLine="0"/>
              <w:jc w:val="center"/>
              <w:rPr>
                <w:bCs/>
                <w:kern w:val="2"/>
                <w:sz w:val="21"/>
                <w:szCs w:val="21"/>
              </w:rPr>
            </w:pPr>
            <w:r>
              <w:rPr>
                <w:kern w:val="2"/>
                <w:sz w:val="21"/>
                <w:szCs w:val="21"/>
              </w:rPr>
              <w:t>54</w:t>
            </w:r>
          </w:p>
        </w:tc>
        <w:tc>
          <w:tcPr>
            <w:tcW w:w="329" w:type="pct"/>
          </w:tcPr>
          <w:p w14:paraId="33EA25E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8BE0795"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6D35BD16"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41A3ECA7"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8BA9FA7"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3A8BB378"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C70C85B"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2DC302A8"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2D49B854"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00314B6E"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7E27776D"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4B1D80D7" w14:textId="77777777" w:rsidR="003E78AB" w:rsidRDefault="00010BF9">
            <w:pPr>
              <w:spacing w:line="360" w:lineRule="exact"/>
              <w:ind w:firstLineChars="0" w:firstLine="0"/>
              <w:jc w:val="center"/>
              <w:rPr>
                <w:sz w:val="21"/>
                <w:szCs w:val="21"/>
              </w:rPr>
            </w:pPr>
            <w:r>
              <w:rPr>
                <w:sz w:val="21"/>
                <w:szCs w:val="21"/>
              </w:rPr>
              <w:t>--</w:t>
            </w:r>
          </w:p>
        </w:tc>
      </w:tr>
      <w:tr w:rsidR="003E78AB" w14:paraId="0A12020C" w14:textId="77777777">
        <w:trPr>
          <w:trHeight w:val="397"/>
        </w:trPr>
        <w:tc>
          <w:tcPr>
            <w:tcW w:w="487" w:type="pct"/>
          </w:tcPr>
          <w:p w14:paraId="6F776349" w14:textId="77777777" w:rsidR="003E78AB" w:rsidRDefault="00010BF9">
            <w:pPr>
              <w:spacing w:line="360" w:lineRule="exact"/>
              <w:ind w:firstLineChars="0" w:firstLine="0"/>
              <w:jc w:val="center"/>
              <w:rPr>
                <w:bCs/>
                <w:sz w:val="21"/>
                <w:szCs w:val="21"/>
              </w:rPr>
            </w:pPr>
            <w:r>
              <w:rPr>
                <w:kern w:val="2"/>
                <w:sz w:val="21"/>
                <w:szCs w:val="21"/>
              </w:rPr>
              <w:t>1,1-</w:t>
            </w:r>
            <w:r>
              <w:rPr>
                <w:kern w:val="2"/>
                <w:sz w:val="21"/>
                <w:szCs w:val="21"/>
              </w:rPr>
              <w:t>二氯乙烷</w:t>
            </w:r>
          </w:p>
        </w:tc>
        <w:tc>
          <w:tcPr>
            <w:tcW w:w="297" w:type="pct"/>
          </w:tcPr>
          <w:p w14:paraId="5228E76C" w14:textId="77777777" w:rsidR="003E78AB" w:rsidRDefault="00010BF9">
            <w:pPr>
              <w:spacing w:line="360" w:lineRule="exact"/>
              <w:ind w:firstLineChars="0" w:firstLine="0"/>
              <w:jc w:val="center"/>
              <w:rPr>
                <w:bCs/>
                <w:kern w:val="2"/>
                <w:sz w:val="21"/>
                <w:szCs w:val="21"/>
              </w:rPr>
            </w:pPr>
            <w:r>
              <w:rPr>
                <w:kern w:val="2"/>
                <w:sz w:val="21"/>
                <w:szCs w:val="21"/>
              </w:rPr>
              <w:t>9</w:t>
            </w:r>
          </w:p>
        </w:tc>
        <w:tc>
          <w:tcPr>
            <w:tcW w:w="329" w:type="pct"/>
          </w:tcPr>
          <w:p w14:paraId="0642F67A"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51F64A6F"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092734A"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3D5DDE76"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552C2304"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19483B9A"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0323530C"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7D35AD80"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F4E05E9"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3F45702B"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65ED081F"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15D79AF" w14:textId="77777777" w:rsidR="003E78AB" w:rsidRDefault="00010BF9">
            <w:pPr>
              <w:spacing w:line="360" w:lineRule="exact"/>
              <w:ind w:firstLineChars="0" w:firstLine="0"/>
              <w:jc w:val="center"/>
              <w:rPr>
                <w:sz w:val="21"/>
                <w:szCs w:val="21"/>
              </w:rPr>
            </w:pPr>
            <w:r>
              <w:rPr>
                <w:sz w:val="21"/>
                <w:szCs w:val="21"/>
              </w:rPr>
              <w:t>--</w:t>
            </w:r>
          </w:p>
        </w:tc>
      </w:tr>
      <w:tr w:rsidR="003E78AB" w14:paraId="0F952F64" w14:textId="77777777">
        <w:trPr>
          <w:trHeight w:val="397"/>
        </w:trPr>
        <w:tc>
          <w:tcPr>
            <w:tcW w:w="487" w:type="pct"/>
          </w:tcPr>
          <w:p w14:paraId="6FE5472B" w14:textId="77777777" w:rsidR="003E78AB" w:rsidRDefault="00010BF9">
            <w:pPr>
              <w:spacing w:line="360" w:lineRule="exact"/>
              <w:ind w:firstLineChars="0" w:firstLine="0"/>
              <w:jc w:val="center"/>
              <w:rPr>
                <w:bCs/>
                <w:sz w:val="21"/>
                <w:szCs w:val="21"/>
              </w:rPr>
            </w:pPr>
            <w:r>
              <w:rPr>
                <w:bCs/>
                <w:kern w:val="2"/>
                <w:sz w:val="21"/>
                <w:szCs w:val="21"/>
              </w:rPr>
              <w:t>顺</w:t>
            </w:r>
            <w:r>
              <w:rPr>
                <w:bCs/>
                <w:kern w:val="2"/>
                <w:sz w:val="21"/>
                <w:szCs w:val="21"/>
              </w:rPr>
              <w:t>-1,2-</w:t>
            </w:r>
            <w:r>
              <w:rPr>
                <w:bCs/>
                <w:kern w:val="2"/>
                <w:sz w:val="21"/>
                <w:szCs w:val="21"/>
              </w:rPr>
              <w:t>二氯乙烯</w:t>
            </w:r>
          </w:p>
        </w:tc>
        <w:tc>
          <w:tcPr>
            <w:tcW w:w="297" w:type="pct"/>
          </w:tcPr>
          <w:p w14:paraId="49E84165" w14:textId="77777777" w:rsidR="003E78AB" w:rsidRDefault="00010BF9">
            <w:pPr>
              <w:spacing w:line="360" w:lineRule="exact"/>
              <w:ind w:firstLineChars="0" w:firstLine="0"/>
              <w:jc w:val="center"/>
              <w:rPr>
                <w:bCs/>
                <w:kern w:val="2"/>
                <w:sz w:val="21"/>
                <w:szCs w:val="21"/>
              </w:rPr>
            </w:pPr>
            <w:r>
              <w:rPr>
                <w:kern w:val="2"/>
                <w:sz w:val="21"/>
                <w:szCs w:val="21"/>
              </w:rPr>
              <w:t>596</w:t>
            </w:r>
          </w:p>
        </w:tc>
        <w:tc>
          <w:tcPr>
            <w:tcW w:w="329" w:type="pct"/>
          </w:tcPr>
          <w:p w14:paraId="6E21946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194850E0"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0653603E"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479FED36"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5D5BFD6B"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D15D2AE"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39402AC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6DB5549A"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607B890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7E4415AC"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50062AB"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4AD60546" w14:textId="77777777" w:rsidR="003E78AB" w:rsidRDefault="00010BF9">
            <w:pPr>
              <w:spacing w:line="360" w:lineRule="exact"/>
              <w:ind w:firstLineChars="0" w:firstLine="0"/>
              <w:jc w:val="center"/>
              <w:rPr>
                <w:sz w:val="21"/>
                <w:szCs w:val="21"/>
              </w:rPr>
            </w:pPr>
            <w:r>
              <w:rPr>
                <w:sz w:val="21"/>
                <w:szCs w:val="21"/>
              </w:rPr>
              <w:t>--</w:t>
            </w:r>
          </w:p>
        </w:tc>
      </w:tr>
      <w:tr w:rsidR="003E78AB" w14:paraId="270318F6" w14:textId="77777777">
        <w:trPr>
          <w:trHeight w:val="397"/>
        </w:trPr>
        <w:tc>
          <w:tcPr>
            <w:tcW w:w="487" w:type="pct"/>
          </w:tcPr>
          <w:p w14:paraId="6947C473" w14:textId="77777777" w:rsidR="003E78AB" w:rsidRDefault="00010BF9">
            <w:pPr>
              <w:spacing w:line="360" w:lineRule="exact"/>
              <w:ind w:firstLineChars="0" w:firstLine="0"/>
              <w:jc w:val="center"/>
              <w:rPr>
                <w:bCs/>
                <w:sz w:val="21"/>
                <w:szCs w:val="21"/>
              </w:rPr>
            </w:pPr>
            <w:r>
              <w:rPr>
                <w:kern w:val="2"/>
                <w:sz w:val="21"/>
                <w:szCs w:val="21"/>
              </w:rPr>
              <w:t>氯仿</w:t>
            </w:r>
          </w:p>
        </w:tc>
        <w:tc>
          <w:tcPr>
            <w:tcW w:w="297" w:type="pct"/>
          </w:tcPr>
          <w:p w14:paraId="014867AB" w14:textId="77777777" w:rsidR="003E78AB" w:rsidRDefault="00010BF9">
            <w:pPr>
              <w:spacing w:line="360" w:lineRule="exact"/>
              <w:ind w:firstLineChars="0" w:firstLine="0"/>
              <w:jc w:val="center"/>
              <w:rPr>
                <w:bCs/>
                <w:kern w:val="2"/>
                <w:sz w:val="21"/>
                <w:szCs w:val="21"/>
              </w:rPr>
            </w:pPr>
            <w:r>
              <w:rPr>
                <w:kern w:val="2"/>
                <w:sz w:val="21"/>
                <w:szCs w:val="21"/>
              </w:rPr>
              <w:t>0.9</w:t>
            </w:r>
          </w:p>
        </w:tc>
        <w:tc>
          <w:tcPr>
            <w:tcW w:w="329" w:type="pct"/>
          </w:tcPr>
          <w:p w14:paraId="51BDB036"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751DDE15"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15DDC876"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8602204"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B05FAC7"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4F725991"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70E2EF22"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CFCD4ED"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A815F64"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70354A41"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476E9207"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77E4FE77" w14:textId="77777777" w:rsidR="003E78AB" w:rsidRDefault="00010BF9">
            <w:pPr>
              <w:spacing w:line="360" w:lineRule="exact"/>
              <w:ind w:firstLineChars="0" w:firstLine="0"/>
              <w:jc w:val="center"/>
              <w:rPr>
                <w:sz w:val="21"/>
                <w:szCs w:val="21"/>
              </w:rPr>
            </w:pPr>
            <w:r>
              <w:rPr>
                <w:sz w:val="21"/>
                <w:szCs w:val="21"/>
              </w:rPr>
              <w:t>--</w:t>
            </w:r>
          </w:p>
        </w:tc>
      </w:tr>
      <w:tr w:rsidR="003E78AB" w14:paraId="78EB9C5E" w14:textId="77777777">
        <w:trPr>
          <w:trHeight w:val="397"/>
        </w:trPr>
        <w:tc>
          <w:tcPr>
            <w:tcW w:w="487" w:type="pct"/>
          </w:tcPr>
          <w:p w14:paraId="3CE1676A" w14:textId="77777777" w:rsidR="003E78AB" w:rsidRDefault="00010BF9">
            <w:pPr>
              <w:spacing w:line="360" w:lineRule="exact"/>
              <w:ind w:firstLineChars="0" w:firstLine="0"/>
              <w:jc w:val="center"/>
              <w:rPr>
                <w:kern w:val="2"/>
                <w:sz w:val="21"/>
                <w:szCs w:val="21"/>
              </w:rPr>
            </w:pPr>
            <w:r>
              <w:rPr>
                <w:kern w:val="2"/>
                <w:sz w:val="21"/>
                <w:szCs w:val="21"/>
              </w:rPr>
              <w:t>1,1,1-</w:t>
            </w:r>
            <w:r>
              <w:rPr>
                <w:kern w:val="2"/>
                <w:sz w:val="21"/>
                <w:szCs w:val="21"/>
              </w:rPr>
              <w:t>三氯乙烷</w:t>
            </w:r>
          </w:p>
        </w:tc>
        <w:tc>
          <w:tcPr>
            <w:tcW w:w="297" w:type="pct"/>
          </w:tcPr>
          <w:p w14:paraId="2E492361" w14:textId="77777777" w:rsidR="003E78AB" w:rsidRDefault="00010BF9">
            <w:pPr>
              <w:spacing w:line="360" w:lineRule="exact"/>
              <w:ind w:firstLineChars="0" w:firstLine="0"/>
              <w:jc w:val="center"/>
              <w:rPr>
                <w:bCs/>
                <w:kern w:val="2"/>
                <w:sz w:val="21"/>
                <w:szCs w:val="21"/>
              </w:rPr>
            </w:pPr>
            <w:r>
              <w:rPr>
                <w:kern w:val="2"/>
                <w:sz w:val="21"/>
                <w:szCs w:val="21"/>
              </w:rPr>
              <w:t>840</w:t>
            </w:r>
          </w:p>
        </w:tc>
        <w:tc>
          <w:tcPr>
            <w:tcW w:w="329" w:type="pct"/>
          </w:tcPr>
          <w:p w14:paraId="46DEF9DC"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73243A8B"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FE6ED97"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6935A6E0"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A4FC43A"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7127D1A4"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FA261FD"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3395DF7B"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7AB50D8"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22493C2C"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6E96255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1122A39E" w14:textId="77777777" w:rsidR="003E78AB" w:rsidRDefault="00010BF9">
            <w:pPr>
              <w:spacing w:line="360" w:lineRule="exact"/>
              <w:ind w:firstLineChars="0" w:firstLine="0"/>
              <w:jc w:val="center"/>
              <w:rPr>
                <w:sz w:val="21"/>
                <w:szCs w:val="21"/>
              </w:rPr>
            </w:pPr>
            <w:r>
              <w:rPr>
                <w:sz w:val="21"/>
                <w:szCs w:val="21"/>
              </w:rPr>
              <w:t>--</w:t>
            </w:r>
          </w:p>
        </w:tc>
      </w:tr>
      <w:tr w:rsidR="003E78AB" w14:paraId="498F0B14" w14:textId="77777777">
        <w:trPr>
          <w:trHeight w:val="397"/>
        </w:trPr>
        <w:tc>
          <w:tcPr>
            <w:tcW w:w="487" w:type="pct"/>
          </w:tcPr>
          <w:p w14:paraId="01DAB64B" w14:textId="77777777" w:rsidR="003E78AB" w:rsidRDefault="00010BF9">
            <w:pPr>
              <w:spacing w:line="360" w:lineRule="exact"/>
              <w:ind w:firstLineChars="0" w:firstLine="0"/>
              <w:jc w:val="center"/>
              <w:rPr>
                <w:bCs/>
                <w:kern w:val="2"/>
                <w:sz w:val="21"/>
                <w:szCs w:val="21"/>
              </w:rPr>
            </w:pPr>
            <w:r>
              <w:rPr>
                <w:kern w:val="2"/>
                <w:sz w:val="21"/>
                <w:szCs w:val="21"/>
              </w:rPr>
              <w:t>四氯化碳</w:t>
            </w:r>
          </w:p>
        </w:tc>
        <w:tc>
          <w:tcPr>
            <w:tcW w:w="297" w:type="pct"/>
          </w:tcPr>
          <w:p w14:paraId="3E8FFD57" w14:textId="77777777" w:rsidR="003E78AB" w:rsidRDefault="00010BF9">
            <w:pPr>
              <w:spacing w:line="360" w:lineRule="exact"/>
              <w:ind w:firstLineChars="0" w:firstLine="0"/>
              <w:jc w:val="center"/>
              <w:rPr>
                <w:bCs/>
                <w:kern w:val="2"/>
                <w:sz w:val="21"/>
                <w:szCs w:val="21"/>
              </w:rPr>
            </w:pPr>
            <w:r>
              <w:rPr>
                <w:kern w:val="2"/>
                <w:sz w:val="21"/>
                <w:szCs w:val="21"/>
              </w:rPr>
              <w:t>2.8</w:t>
            </w:r>
          </w:p>
        </w:tc>
        <w:tc>
          <w:tcPr>
            <w:tcW w:w="329" w:type="pct"/>
          </w:tcPr>
          <w:p w14:paraId="34F6BEE3"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7905D17E"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6F42D677"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22A91A2"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6621DE2C"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3C553499"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2BCF99AA"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5646DE8E"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77D4D895"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3B85B4A8"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370537F"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73FE708" w14:textId="77777777" w:rsidR="003E78AB" w:rsidRDefault="00010BF9">
            <w:pPr>
              <w:spacing w:line="360" w:lineRule="exact"/>
              <w:ind w:firstLineChars="0" w:firstLine="0"/>
              <w:jc w:val="center"/>
              <w:rPr>
                <w:sz w:val="21"/>
                <w:szCs w:val="21"/>
              </w:rPr>
            </w:pPr>
            <w:r>
              <w:rPr>
                <w:sz w:val="21"/>
                <w:szCs w:val="21"/>
              </w:rPr>
              <w:t>--</w:t>
            </w:r>
          </w:p>
        </w:tc>
      </w:tr>
      <w:tr w:rsidR="003E78AB" w14:paraId="472B08F0" w14:textId="77777777">
        <w:trPr>
          <w:trHeight w:val="397"/>
        </w:trPr>
        <w:tc>
          <w:tcPr>
            <w:tcW w:w="487" w:type="pct"/>
          </w:tcPr>
          <w:p w14:paraId="0FA8CAB2" w14:textId="77777777" w:rsidR="003E78AB" w:rsidRDefault="00010BF9">
            <w:pPr>
              <w:spacing w:line="360" w:lineRule="exact"/>
              <w:ind w:firstLineChars="0" w:firstLine="0"/>
              <w:jc w:val="center"/>
              <w:rPr>
                <w:bCs/>
                <w:kern w:val="2"/>
                <w:sz w:val="21"/>
                <w:szCs w:val="21"/>
              </w:rPr>
            </w:pPr>
            <w:r>
              <w:rPr>
                <w:kern w:val="2"/>
                <w:sz w:val="21"/>
                <w:szCs w:val="21"/>
              </w:rPr>
              <w:t>1,2-</w:t>
            </w:r>
            <w:r>
              <w:rPr>
                <w:kern w:val="2"/>
                <w:sz w:val="21"/>
                <w:szCs w:val="21"/>
              </w:rPr>
              <w:t>二氯乙烷</w:t>
            </w:r>
          </w:p>
        </w:tc>
        <w:tc>
          <w:tcPr>
            <w:tcW w:w="297" w:type="pct"/>
          </w:tcPr>
          <w:p w14:paraId="5974CCA1" w14:textId="77777777" w:rsidR="003E78AB" w:rsidRDefault="00010BF9">
            <w:pPr>
              <w:spacing w:line="360" w:lineRule="exact"/>
              <w:ind w:firstLineChars="0" w:firstLine="0"/>
              <w:jc w:val="center"/>
              <w:rPr>
                <w:bCs/>
                <w:kern w:val="2"/>
                <w:sz w:val="21"/>
                <w:szCs w:val="21"/>
              </w:rPr>
            </w:pPr>
            <w:r>
              <w:rPr>
                <w:kern w:val="2"/>
                <w:sz w:val="21"/>
                <w:szCs w:val="21"/>
              </w:rPr>
              <w:t>5</w:t>
            </w:r>
          </w:p>
        </w:tc>
        <w:tc>
          <w:tcPr>
            <w:tcW w:w="329" w:type="pct"/>
          </w:tcPr>
          <w:p w14:paraId="70DB1EA4"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213377D6"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E8902C4"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93BF19E"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0BB1212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550A3AA"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21A37ED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18459590"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4087632B"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24F448C2"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4A97EFAD"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41D29857" w14:textId="77777777" w:rsidR="003E78AB" w:rsidRDefault="00010BF9">
            <w:pPr>
              <w:spacing w:line="360" w:lineRule="exact"/>
              <w:ind w:firstLineChars="0" w:firstLine="0"/>
              <w:jc w:val="center"/>
              <w:rPr>
                <w:sz w:val="21"/>
                <w:szCs w:val="21"/>
              </w:rPr>
            </w:pPr>
            <w:r>
              <w:rPr>
                <w:sz w:val="21"/>
                <w:szCs w:val="21"/>
              </w:rPr>
              <w:t>--</w:t>
            </w:r>
          </w:p>
        </w:tc>
      </w:tr>
      <w:tr w:rsidR="003E78AB" w14:paraId="2B888207" w14:textId="77777777">
        <w:trPr>
          <w:trHeight w:val="397"/>
        </w:trPr>
        <w:tc>
          <w:tcPr>
            <w:tcW w:w="487" w:type="pct"/>
          </w:tcPr>
          <w:p w14:paraId="5902B607" w14:textId="77777777" w:rsidR="003E78AB" w:rsidRDefault="00010BF9">
            <w:pPr>
              <w:spacing w:line="360" w:lineRule="exact"/>
              <w:ind w:firstLineChars="0" w:firstLine="0"/>
              <w:jc w:val="center"/>
              <w:rPr>
                <w:bCs/>
                <w:kern w:val="2"/>
                <w:sz w:val="21"/>
                <w:szCs w:val="21"/>
              </w:rPr>
            </w:pPr>
            <w:r>
              <w:rPr>
                <w:bCs/>
                <w:kern w:val="2"/>
                <w:sz w:val="21"/>
                <w:szCs w:val="21"/>
              </w:rPr>
              <w:t>苯</w:t>
            </w:r>
          </w:p>
        </w:tc>
        <w:tc>
          <w:tcPr>
            <w:tcW w:w="297" w:type="pct"/>
          </w:tcPr>
          <w:p w14:paraId="580E1863" w14:textId="77777777" w:rsidR="003E78AB" w:rsidRDefault="00010BF9">
            <w:pPr>
              <w:spacing w:line="360" w:lineRule="exact"/>
              <w:ind w:firstLineChars="0" w:firstLine="0"/>
              <w:jc w:val="center"/>
              <w:rPr>
                <w:bCs/>
                <w:kern w:val="2"/>
                <w:sz w:val="21"/>
                <w:szCs w:val="21"/>
              </w:rPr>
            </w:pPr>
            <w:r>
              <w:rPr>
                <w:kern w:val="2"/>
                <w:sz w:val="21"/>
                <w:szCs w:val="21"/>
              </w:rPr>
              <w:t>4</w:t>
            </w:r>
          </w:p>
        </w:tc>
        <w:tc>
          <w:tcPr>
            <w:tcW w:w="329" w:type="pct"/>
          </w:tcPr>
          <w:p w14:paraId="2FCA72B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04A0C8A1"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273D87A8"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E89F039"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0CD1C3C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664F7F21"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2CD01CA"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5DCA4BF7"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34D13BAA"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59EAC90A"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F2F6E2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79A0DE99" w14:textId="77777777" w:rsidR="003E78AB" w:rsidRDefault="00010BF9">
            <w:pPr>
              <w:spacing w:line="360" w:lineRule="exact"/>
              <w:ind w:firstLineChars="0" w:firstLine="0"/>
              <w:jc w:val="center"/>
              <w:rPr>
                <w:sz w:val="21"/>
                <w:szCs w:val="21"/>
              </w:rPr>
            </w:pPr>
            <w:r>
              <w:rPr>
                <w:sz w:val="21"/>
                <w:szCs w:val="21"/>
              </w:rPr>
              <w:t>--</w:t>
            </w:r>
          </w:p>
        </w:tc>
      </w:tr>
      <w:tr w:rsidR="003E78AB" w14:paraId="02031850" w14:textId="77777777">
        <w:trPr>
          <w:trHeight w:val="397"/>
        </w:trPr>
        <w:tc>
          <w:tcPr>
            <w:tcW w:w="487" w:type="pct"/>
          </w:tcPr>
          <w:p w14:paraId="2EF1167E" w14:textId="77777777" w:rsidR="003E78AB" w:rsidRDefault="00010BF9">
            <w:pPr>
              <w:spacing w:line="360" w:lineRule="exact"/>
              <w:ind w:firstLineChars="0" w:firstLine="0"/>
              <w:jc w:val="center"/>
              <w:rPr>
                <w:bCs/>
                <w:kern w:val="2"/>
                <w:sz w:val="21"/>
                <w:szCs w:val="21"/>
              </w:rPr>
            </w:pPr>
            <w:r>
              <w:rPr>
                <w:kern w:val="2"/>
                <w:sz w:val="21"/>
                <w:szCs w:val="21"/>
              </w:rPr>
              <w:t>三氯乙烯</w:t>
            </w:r>
          </w:p>
        </w:tc>
        <w:tc>
          <w:tcPr>
            <w:tcW w:w="297" w:type="pct"/>
          </w:tcPr>
          <w:p w14:paraId="71F8B257" w14:textId="77777777" w:rsidR="003E78AB" w:rsidRDefault="00010BF9">
            <w:pPr>
              <w:spacing w:line="360" w:lineRule="exact"/>
              <w:ind w:firstLineChars="0" w:firstLine="0"/>
              <w:jc w:val="center"/>
              <w:rPr>
                <w:bCs/>
                <w:kern w:val="2"/>
                <w:sz w:val="21"/>
                <w:szCs w:val="21"/>
              </w:rPr>
            </w:pPr>
            <w:r>
              <w:rPr>
                <w:kern w:val="2"/>
                <w:sz w:val="21"/>
                <w:szCs w:val="21"/>
              </w:rPr>
              <w:t>2.8</w:t>
            </w:r>
          </w:p>
        </w:tc>
        <w:tc>
          <w:tcPr>
            <w:tcW w:w="329" w:type="pct"/>
          </w:tcPr>
          <w:p w14:paraId="6CDEBA40"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79C12D3"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98AFFF1"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6489B1D7"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178778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558E112B"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46356F05"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0AF0E8D6"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5721214C"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2D074C5C"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0C09208B"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5323409" w14:textId="77777777" w:rsidR="003E78AB" w:rsidRDefault="00010BF9">
            <w:pPr>
              <w:spacing w:line="360" w:lineRule="exact"/>
              <w:ind w:firstLineChars="0" w:firstLine="0"/>
              <w:jc w:val="center"/>
              <w:rPr>
                <w:sz w:val="21"/>
                <w:szCs w:val="21"/>
              </w:rPr>
            </w:pPr>
            <w:r>
              <w:rPr>
                <w:sz w:val="21"/>
                <w:szCs w:val="21"/>
              </w:rPr>
              <w:t>--</w:t>
            </w:r>
          </w:p>
        </w:tc>
      </w:tr>
      <w:tr w:rsidR="003E78AB" w14:paraId="0E1D1734" w14:textId="77777777">
        <w:trPr>
          <w:trHeight w:val="397"/>
        </w:trPr>
        <w:tc>
          <w:tcPr>
            <w:tcW w:w="487" w:type="pct"/>
          </w:tcPr>
          <w:p w14:paraId="4BC85CC6" w14:textId="77777777" w:rsidR="003E78AB" w:rsidRDefault="00010BF9">
            <w:pPr>
              <w:spacing w:line="360" w:lineRule="exact"/>
              <w:ind w:firstLineChars="0" w:firstLine="0"/>
              <w:jc w:val="center"/>
              <w:rPr>
                <w:kern w:val="2"/>
                <w:sz w:val="21"/>
                <w:szCs w:val="21"/>
              </w:rPr>
            </w:pPr>
            <w:r>
              <w:rPr>
                <w:bCs/>
                <w:kern w:val="2"/>
                <w:sz w:val="21"/>
                <w:szCs w:val="21"/>
              </w:rPr>
              <w:t>1,2-</w:t>
            </w:r>
            <w:r>
              <w:rPr>
                <w:bCs/>
                <w:kern w:val="2"/>
                <w:sz w:val="21"/>
                <w:szCs w:val="21"/>
              </w:rPr>
              <w:t>二氯丙烷</w:t>
            </w:r>
          </w:p>
        </w:tc>
        <w:tc>
          <w:tcPr>
            <w:tcW w:w="297" w:type="pct"/>
          </w:tcPr>
          <w:p w14:paraId="609BFC1C" w14:textId="77777777" w:rsidR="003E78AB" w:rsidRDefault="00010BF9">
            <w:pPr>
              <w:spacing w:line="360" w:lineRule="exact"/>
              <w:ind w:firstLineChars="0" w:firstLine="0"/>
              <w:jc w:val="center"/>
              <w:rPr>
                <w:bCs/>
                <w:kern w:val="2"/>
                <w:sz w:val="21"/>
                <w:szCs w:val="21"/>
              </w:rPr>
            </w:pPr>
            <w:r>
              <w:rPr>
                <w:kern w:val="2"/>
                <w:sz w:val="21"/>
                <w:szCs w:val="21"/>
              </w:rPr>
              <w:t>5</w:t>
            </w:r>
          </w:p>
        </w:tc>
        <w:tc>
          <w:tcPr>
            <w:tcW w:w="329" w:type="pct"/>
          </w:tcPr>
          <w:p w14:paraId="5B23A965"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02265EC3"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150E14DE"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58433AB4"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62FE2C2"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161AFE60"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249D70CF"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6FD7710"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4CD6DB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57F5E0B6"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0EBA95EA"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2715E5C9" w14:textId="77777777" w:rsidR="003E78AB" w:rsidRDefault="00010BF9">
            <w:pPr>
              <w:spacing w:line="360" w:lineRule="exact"/>
              <w:ind w:firstLineChars="0" w:firstLine="0"/>
              <w:jc w:val="center"/>
              <w:rPr>
                <w:sz w:val="21"/>
                <w:szCs w:val="21"/>
              </w:rPr>
            </w:pPr>
            <w:r>
              <w:rPr>
                <w:sz w:val="21"/>
                <w:szCs w:val="21"/>
              </w:rPr>
              <w:t>--</w:t>
            </w:r>
          </w:p>
        </w:tc>
      </w:tr>
      <w:tr w:rsidR="003E78AB" w14:paraId="305B8B72" w14:textId="77777777">
        <w:trPr>
          <w:trHeight w:val="397"/>
        </w:trPr>
        <w:tc>
          <w:tcPr>
            <w:tcW w:w="487" w:type="pct"/>
          </w:tcPr>
          <w:p w14:paraId="0D0FEECD" w14:textId="77777777" w:rsidR="003E78AB" w:rsidRDefault="00010BF9">
            <w:pPr>
              <w:spacing w:line="360" w:lineRule="exact"/>
              <w:ind w:firstLineChars="0" w:firstLine="0"/>
              <w:jc w:val="center"/>
              <w:rPr>
                <w:kern w:val="2"/>
                <w:sz w:val="21"/>
                <w:szCs w:val="21"/>
              </w:rPr>
            </w:pPr>
            <w:r>
              <w:rPr>
                <w:kern w:val="2"/>
                <w:sz w:val="21"/>
                <w:szCs w:val="21"/>
              </w:rPr>
              <w:t>甲苯</w:t>
            </w:r>
          </w:p>
        </w:tc>
        <w:tc>
          <w:tcPr>
            <w:tcW w:w="297" w:type="pct"/>
          </w:tcPr>
          <w:p w14:paraId="3748D7D5" w14:textId="77777777" w:rsidR="003E78AB" w:rsidRDefault="00010BF9">
            <w:pPr>
              <w:spacing w:line="360" w:lineRule="exact"/>
              <w:ind w:firstLineChars="0" w:firstLine="0"/>
              <w:jc w:val="center"/>
              <w:rPr>
                <w:bCs/>
                <w:kern w:val="2"/>
                <w:sz w:val="21"/>
                <w:szCs w:val="21"/>
              </w:rPr>
            </w:pPr>
            <w:r>
              <w:rPr>
                <w:kern w:val="2"/>
                <w:sz w:val="21"/>
                <w:szCs w:val="21"/>
              </w:rPr>
              <w:t>1200</w:t>
            </w:r>
          </w:p>
        </w:tc>
        <w:tc>
          <w:tcPr>
            <w:tcW w:w="329" w:type="pct"/>
          </w:tcPr>
          <w:p w14:paraId="008CEA6A"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909846E"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3D2A31F9"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16CC03BD"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BB81AD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50E97D65"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287C71BF"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9246EFF"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5C318D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789C884E"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28260BE1"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6A26DCF" w14:textId="77777777" w:rsidR="003E78AB" w:rsidRDefault="00010BF9">
            <w:pPr>
              <w:spacing w:line="360" w:lineRule="exact"/>
              <w:ind w:firstLineChars="0" w:firstLine="0"/>
              <w:jc w:val="center"/>
              <w:rPr>
                <w:sz w:val="21"/>
                <w:szCs w:val="21"/>
              </w:rPr>
            </w:pPr>
            <w:r>
              <w:rPr>
                <w:sz w:val="21"/>
                <w:szCs w:val="21"/>
              </w:rPr>
              <w:t>--</w:t>
            </w:r>
          </w:p>
        </w:tc>
      </w:tr>
      <w:tr w:rsidR="003E78AB" w14:paraId="3859E197" w14:textId="77777777">
        <w:trPr>
          <w:trHeight w:val="397"/>
        </w:trPr>
        <w:tc>
          <w:tcPr>
            <w:tcW w:w="487" w:type="pct"/>
          </w:tcPr>
          <w:p w14:paraId="430167CF" w14:textId="77777777" w:rsidR="003E78AB" w:rsidRDefault="00010BF9">
            <w:pPr>
              <w:spacing w:line="360" w:lineRule="exact"/>
              <w:ind w:firstLineChars="0" w:firstLine="0"/>
              <w:jc w:val="center"/>
              <w:rPr>
                <w:kern w:val="2"/>
                <w:sz w:val="21"/>
                <w:szCs w:val="21"/>
              </w:rPr>
            </w:pPr>
            <w:r>
              <w:rPr>
                <w:kern w:val="2"/>
                <w:sz w:val="21"/>
                <w:szCs w:val="21"/>
              </w:rPr>
              <w:t>1,1,2-</w:t>
            </w:r>
            <w:r>
              <w:rPr>
                <w:kern w:val="2"/>
                <w:sz w:val="21"/>
                <w:szCs w:val="21"/>
              </w:rPr>
              <w:t>三氯乙烷</w:t>
            </w:r>
          </w:p>
        </w:tc>
        <w:tc>
          <w:tcPr>
            <w:tcW w:w="297" w:type="pct"/>
          </w:tcPr>
          <w:p w14:paraId="27F85069" w14:textId="77777777" w:rsidR="003E78AB" w:rsidRDefault="00010BF9">
            <w:pPr>
              <w:spacing w:line="360" w:lineRule="exact"/>
              <w:ind w:firstLineChars="0" w:firstLine="0"/>
              <w:jc w:val="center"/>
              <w:rPr>
                <w:bCs/>
                <w:kern w:val="2"/>
                <w:sz w:val="21"/>
                <w:szCs w:val="21"/>
              </w:rPr>
            </w:pPr>
            <w:r>
              <w:rPr>
                <w:kern w:val="2"/>
                <w:sz w:val="21"/>
                <w:szCs w:val="21"/>
              </w:rPr>
              <w:t>2.8</w:t>
            </w:r>
          </w:p>
        </w:tc>
        <w:tc>
          <w:tcPr>
            <w:tcW w:w="329" w:type="pct"/>
          </w:tcPr>
          <w:p w14:paraId="7C31884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1347396F"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2E731F2F"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118008F9"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77E4E317"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2E8D0C2"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589D6F6D"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2AC89758"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6C62D04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25DD0E4F"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2C7AB05C"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79CC9415" w14:textId="77777777" w:rsidR="003E78AB" w:rsidRDefault="00010BF9">
            <w:pPr>
              <w:spacing w:line="360" w:lineRule="exact"/>
              <w:ind w:firstLineChars="0" w:firstLine="0"/>
              <w:jc w:val="center"/>
              <w:rPr>
                <w:sz w:val="21"/>
                <w:szCs w:val="21"/>
              </w:rPr>
            </w:pPr>
            <w:r>
              <w:rPr>
                <w:sz w:val="21"/>
                <w:szCs w:val="21"/>
              </w:rPr>
              <w:t>--</w:t>
            </w:r>
          </w:p>
        </w:tc>
      </w:tr>
      <w:tr w:rsidR="003E78AB" w14:paraId="6202F6D2" w14:textId="77777777">
        <w:trPr>
          <w:trHeight w:val="397"/>
        </w:trPr>
        <w:tc>
          <w:tcPr>
            <w:tcW w:w="487" w:type="pct"/>
          </w:tcPr>
          <w:p w14:paraId="6B303059" w14:textId="77777777" w:rsidR="003E78AB" w:rsidRDefault="00010BF9">
            <w:pPr>
              <w:spacing w:line="360" w:lineRule="exact"/>
              <w:ind w:firstLineChars="0" w:firstLine="0"/>
              <w:jc w:val="center"/>
              <w:rPr>
                <w:kern w:val="2"/>
                <w:sz w:val="21"/>
                <w:szCs w:val="21"/>
              </w:rPr>
            </w:pPr>
            <w:r>
              <w:rPr>
                <w:kern w:val="2"/>
                <w:sz w:val="21"/>
                <w:szCs w:val="21"/>
              </w:rPr>
              <w:t>四氯乙烯</w:t>
            </w:r>
          </w:p>
        </w:tc>
        <w:tc>
          <w:tcPr>
            <w:tcW w:w="297" w:type="pct"/>
          </w:tcPr>
          <w:p w14:paraId="32BBC603" w14:textId="77777777" w:rsidR="003E78AB" w:rsidRDefault="00010BF9">
            <w:pPr>
              <w:spacing w:line="360" w:lineRule="exact"/>
              <w:ind w:firstLineChars="0" w:firstLine="0"/>
              <w:jc w:val="center"/>
              <w:rPr>
                <w:bCs/>
                <w:kern w:val="2"/>
                <w:sz w:val="21"/>
                <w:szCs w:val="21"/>
              </w:rPr>
            </w:pPr>
            <w:r>
              <w:rPr>
                <w:kern w:val="2"/>
                <w:sz w:val="21"/>
                <w:szCs w:val="21"/>
              </w:rPr>
              <w:t>53</w:t>
            </w:r>
          </w:p>
        </w:tc>
        <w:tc>
          <w:tcPr>
            <w:tcW w:w="329" w:type="pct"/>
          </w:tcPr>
          <w:p w14:paraId="68A82858"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1620AE35"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EC7F2DA"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57BC9FF6"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7A51897D"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5147A8C"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DAE035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37C2AFBE"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42DCDA0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2DA4F564"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2C66D5AC"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001FE0E2" w14:textId="77777777" w:rsidR="003E78AB" w:rsidRDefault="00010BF9">
            <w:pPr>
              <w:spacing w:line="360" w:lineRule="exact"/>
              <w:ind w:firstLineChars="0" w:firstLine="0"/>
              <w:jc w:val="center"/>
              <w:rPr>
                <w:sz w:val="21"/>
                <w:szCs w:val="21"/>
              </w:rPr>
            </w:pPr>
            <w:r>
              <w:rPr>
                <w:sz w:val="21"/>
                <w:szCs w:val="21"/>
              </w:rPr>
              <w:t>--</w:t>
            </w:r>
          </w:p>
        </w:tc>
      </w:tr>
      <w:tr w:rsidR="003E78AB" w14:paraId="1A486F4D" w14:textId="77777777">
        <w:trPr>
          <w:trHeight w:val="397"/>
        </w:trPr>
        <w:tc>
          <w:tcPr>
            <w:tcW w:w="487" w:type="pct"/>
          </w:tcPr>
          <w:p w14:paraId="26C3C363" w14:textId="77777777" w:rsidR="003E78AB" w:rsidRDefault="00010BF9">
            <w:pPr>
              <w:spacing w:line="360" w:lineRule="exact"/>
              <w:ind w:firstLineChars="0" w:firstLine="0"/>
              <w:jc w:val="center"/>
              <w:rPr>
                <w:kern w:val="2"/>
                <w:sz w:val="21"/>
                <w:szCs w:val="21"/>
              </w:rPr>
            </w:pPr>
            <w:r>
              <w:rPr>
                <w:kern w:val="2"/>
                <w:sz w:val="21"/>
                <w:szCs w:val="21"/>
              </w:rPr>
              <w:t>氯苯</w:t>
            </w:r>
          </w:p>
        </w:tc>
        <w:tc>
          <w:tcPr>
            <w:tcW w:w="297" w:type="pct"/>
          </w:tcPr>
          <w:p w14:paraId="3F2B80CF" w14:textId="77777777" w:rsidR="003E78AB" w:rsidRDefault="00010BF9">
            <w:pPr>
              <w:spacing w:line="360" w:lineRule="exact"/>
              <w:ind w:firstLineChars="0" w:firstLine="0"/>
              <w:jc w:val="center"/>
              <w:rPr>
                <w:bCs/>
                <w:kern w:val="2"/>
                <w:sz w:val="21"/>
                <w:szCs w:val="21"/>
              </w:rPr>
            </w:pPr>
            <w:r>
              <w:rPr>
                <w:kern w:val="2"/>
                <w:sz w:val="21"/>
                <w:szCs w:val="21"/>
              </w:rPr>
              <w:t>270</w:t>
            </w:r>
          </w:p>
        </w:tc>
        <w:tc>
          <w:tcPr>
            <w:tcW w:w="329" w:type="pct"/>
          </w:tcPr>
          <w:p w14:paraId="02F968DC"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538635D"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F48BD67"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3497085D"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1289980"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D958271"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5BB9F2B4"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07A0D270"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3FB5CD82"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3C99BE42"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7124AF2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275F9E4B" w14:textId="77777777" w:rsidR="003E78AB" w:rsidRDefault="00010BF9">
            <w:pPr>
              <w:spacing w:line="360" w:lineRule="exact"/>
              <w:ind w:firstLineChars="0" w:firstLine="0"/>
              <w:jc w:val="center"/>
              <w:rPr>
                <w:sz w:val="21"/>
                <w:szCs w:val="21"/>
              </w:rPr>
            </w:pPr>
            <w:r>
              <w:rPr>
                <w:sz w:val="21"/>
                <w:szCs w:val="21"/>
              </w:rPr>
              <w:t>--</w:t>
            </w:r>
          </w:p>
        </w:tc>
      </w:tr>
      <w:tr w:rsidR="003E78AB" w14:paraId="7506E39E" w14:textId="77777777">
        <w:trPr>
          <w:trHeight w:val="397"/>
        </w:trPr>
        <w:tc>
          <w:tcPr>
            <w:tcW w:w="487" w:type="pct"/>
          </w:tcPr>
          <w:p w14:paraId="67E29E75" w14:textId="77777777" w:rsidR="003E78AB" w:rsidRDefault="00010BF9">
            <w:pPr>
              <w:spacing w:line="360" w:lineRule="exact"/>
              <w:ind w:firstLineChars="0" w:firstLine="0"/>
              <w:jc w:val="center"/>
              <w:rPr>
                <w:kern w:val="2"/>
                <w:sz w:val="21"/>
                <w:szCs w:val="21"/>
              </w:rPr>
            </w:pPr>
            <w:r>
              <w:rPr>
                <w:bCs/>
                <w:kern w:val="2"/>
                <w:sz w:val="21"/>
                <w:szCs w:val="21"/>
              </w:rPr>
              <w:t>1,1,1,2-</w:t>
            </w:r>
            <w:r>
              <w:rPr>
                <w:bCs/>
                <w:kern w:val="2"/>
                <w:sz w:val="21"/>
                <w:szCs w:val="21"/>
              </w:rPr>
              <w:t>四氯乙烷</w:t>
            </w:r>
          </w:p>
        </w:tc>
        <w:tc>
          <w:tcPr>
            <w:tcW w:w="297" w:type="pct"/>
          </w:tcPr>
          <w:p w14:paraId="7BE5E543" w14:textId="77777777" w:rsidR="003E78AB" w:rsidRDefault="00010BF9">
            <w:pPr>
              <w:spacing w:line="360" w:lineRule="exact"/>
              <w:ind w:firstLineChars="0" w:firstLine="0"/>
              <w:jc w:val="center"/>
              <w:rPr>
                <w:bCs/>
                <w:kern w:val="2"/>
                <w:sz w:val="21"/>
                <w:szCs w:val="21"/>
              </w:rPr>
            </w:pPr>
            <w:r>
              <w:rPr>
                <w:kern w:val="2"/>
                <w:sz w:val="21"/>
                <w:szCs w:val="21"/>
              </w:rPr>
              <w:t>10</w:t>
            </w:r>
          </w:p>
        </w:tc>
        <w:tc>
          <w:tcPr>
            <w:tcW w:w="329" w:type="pct"/>
          </w:tcPr>
          <w:p w14:paraId="3D9937B9"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9FB7BC4"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FC7D395"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300D02FA"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7E37F06E"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430FB455"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4C85EAD5"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88ED1EF"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2A188E8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0B207636"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7763ACB0"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45E4C92F" w14:textId="77777777" w:rsidR="003E78AB" w:rsidRDefault="00010BF9">
            <w:pPr>
              <w:spacing w:line="360" w:lineRule="exact"/>
              <w:ind w:firstLineChars="0" w:firstLine="0"/>
              <w:jc w:val="center"/>
              <w:rPr>
                <w:sz w:val="21"/>
                <w:szCs w:val="21"/>
              </w:rPr>
            </w:pPr>
            <w:r>
              <w:rPr>
                <w:sz w:val="21"/>
                <w:szCs w:val="21"/>
              </w:rPr>
              <w:t>--</w:t>
            </w:r>
          </w:p>
        </w:tc>
      </w:tr>
      <w:tr w:rsidR="003E78AB" w14:paraId="1FDA351A" w14:textId="77777777">
        <w:trPr>
          <w:trHeight w:val="397"/>
        </w:trPr>
        <w:tc>
          <w:tcPr>
            <w:tcW w:w="487" w:type="pct"/>
          </w:tcPr>
          <w:p w14:paraId="2457128C" w14:textId="77777777" w:rsidR="003E78AB" w:rsidRDefault="00010BF9">
            <w:pPr>
              <w:spacing w:line="360" w:lineRule="exact"/>
              <w:ind w:firstLineChars="0" w:firstLine="0"/>
              <w:jc w:val="center"/>
              <w:rPr>
                <w:kern w:val="2"/>
                <w:sz w:val="21"/>
                <w:szCs w:val="21"/>
              </w:rPr>
            </w:pPr>
            <w:r>
              <w:rPr>
                <w:kern w:val="2"/>
                <w:sz w:val="21"/>
                <w:szCs w:val="21"/>
              </w:rPr>
              <w:t>乙苯</w:t>
            </w:r>
          </w:p>
        </w:tc>
        <w:tc>
          <w:tcPr>
            <w:tcW w:w="297" w:type="pct"/>
          </w:tcPr>
          <w:p w14:paraId="3B6F38EF" w14:textId="77777777" w:rsidR="003E78AB" w:rsidRDefault="00010BF9">
            <w:pPr>
              <w:spacing w:line="360" w:lineRule="exact"/>
              <w:ind w:firstLineChars="0" w:firstLine="0"/>
              <w:jc w:val="center"/>
              <w:rPr>
                <w:bCs/>
                <w:kern w:val="2"/>
                <w:sz w:val="21"/>
                <w:szCs w:val="21"/>
              </w:rPr>
            </w:pPr>
            <w:r>
              <w:rPr>
                <w:kern w:val="2"/>
                <w:sz w:val="21"/>
                <w:szCs w:val="21"/>
              </w:rPr>
              <w:t>28</w:t>
            </w:r>
          </w:p>
        </w:tc>
        <w:tc>
          <w:tcPr>
            <w:tcW w:w="329" w:type="pct"/>
          </w:tcPr>
          <w:p w14:paraId="34E80BE1"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51C9586"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4A106E6"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6092A1DC"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74585BF2"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7CCC49BF"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443627E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6CA500E9"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120D57F"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33AB1D83"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46980328"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0BDE3D5" w14:textId="77777777" w:rsidR="003E78AB" w:rsidRDefault="00010BF9">
            <w:pPr>
              <w:spacing w:line="360" w:lineRule="exact"/>
              <w:ind w:firstLineChars="0" w:firstLine="0"/>
              <w:jc w:val="center"/>
              <w:rPr>
                <w:sz w:val="21"/>
                <w:szCs w:val="21"/>
              </w:rPr>
            </w:pPr>
            <w:r>
              <w:rPr>
                <w:sz w:val="21"/>
                <w:szCs w:val="21"/>
              </w:rPr>
              <w:t>--</w:t>
            </w:r>
          </w:p>
        </w:tc>
      </w:tr>
      <w:tr w:rsidR="003E78AB" w14:paraId="2133F48F" w14:textId="77777777">
        <w:trPr>
          <w:trHeight w:val="397"/>
        </w:trPr>
        <w:tc>
          <w:tcPr>
            <w:tcW w:w="487" w:type="pct"/>
          </w:tcPr>
          <w:p w14:paraId="1133EE4E" w14:textId="77777777" w:rsidR="003E78AB" w:rsidRDefault="00010BF9">
            <w:pPr>
              <w:spacing w:line="360" w:lineRule="exact"/>
              <w:ind w:firstLineChars="0" w:firstLine="0"/>
              <w:jc w:val="center"/>
              <w:rPr>
                <w:kern w:val="2"/>
                <w:sz w:val="21"/>
                <w:szCs w:val="21"/>
              </w:rPr>
            </w:pPr>
            <w:r>
              <w:rPr>
                <w:kern w:val="2"/>
                <w:sz w:val="21"/>
                <w:szCs w:val="21"/>
              </w:rPr>
              <w:t>间</w:t>
            </w:r>
            <w:r>
              <w:rPr>
                <w:kern w:val="2"/>
                <w:sz w:val="21"/>
                <w:szCs w:val="21"/>
              </w:rPr>
              <w:t>,</w:t>
            </w:r>
            <w:r>
              <w:rPr>
                <w:kern w:val="2"/>
                <w:sz w:val="21"/>
                <w:szCs w:val="21"/>
              </w:rPr>
              <w:t>对</w:t>
            </w:r>
            <w:r>
              <w:rPr>
                <w:kern w:val="2"/>
                <w:sz w:val="21"/>
                <w:szCs w:val="21"/>
              </w:rPr>
              <w:t>-</w:t>
            </w:r>
            <w:r>
              <w:rPr>
                <w:kern w:val="2"/>
                <w:sz w:val="21"/>
                <w:szCs w:val="21"/>
              </w:rPr>
              <w:t>二甲苯</w:t>
            </w:r>
          </w:p>
        </w:tc>
        <w:tc>
          <w:tcPr>
            <w:tcW w:w="297" w:type="pct"/>
          </w:tcPr>
          <w:p w14:paraId="1049E13C" w14:textId="77777777" w:rsidR="003E78AB" w:rsidRDefault="00010BF9">
            <w:pPr>
              <w:spacing w:line="360" w:lineRule="exact"/>
              <w:ind w:firstLineChars="0" w:firstLine="0"/>
              <w:jc w:val="center"/>
              <w:rPr>
                <w:bCs/>
                <w:kern w:val="2"/>
                <w:sz w:val="21"/>
                <w:szCs w:val="21"/>
              </w:rPr>
            </w:pPr>
            <w:r>
              <w:rPr>
                <w:kern w:val="2"/>
                <w:sz w:val="21"/>
                <w:szCs w:val="21"/>
              </w:rPr>
              <w:t>570</w:t>
            </w:r>
          </w:p>
        </w:tc>
        <w:tc>
          <w:tcPr>
            <w:tcW w:w="329" w:type="pct"/>
          </w:tcPr>
          <w:p w14:paraId="7D52656D"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5D0A145C"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66BC00BC"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55751B0A"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089B3A4F"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46189CD9"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39461ADB"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51811E39"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6171424D"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51097CC2"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7403F0D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63A9A07" w14:textId="77777777" w:rsidR="003E78AB" w:rsidRDefault="00010BF9">
            <w:pPr>
              <w:spacing w:line="360" w:lineRule="exact"/>
              <w:ind w:firstLineChars="0" w:firstLine="0"/>
              <w:jc w:val="center"/>
              <w:rPr>
                <w:sz w:val="21"/>
                <w:szCs w:val="21"/>
              </w:rPr>
            </w:pPr>
            <w:r>
              <w:rPr>
                <w:sz w:val="21"/>
                <w:szCs w:val="21"/>
              </w:rPr>
              <w:t>--</w:t>
            </w:r>
          </w:p>
        </w:tc>
      </w:tr>
      <w:tr w:rsidR="003E78AB" w14:paraId="0F0F7910" w14:textId="77777777">
        <w:trPr>
          <w:trHeight w:val="397"/>
        </w:trPr>
        <w:tc>
          <w:tcPr>
            <w:tcW w:w="487" w:type="pct"/>
          </w:tcPr>
          <w:p w14:paraId="6139C8A5" w14:textId="77777777" w:rsidR="003E78AB" w:rsidRDefault="00010BF9">
            <w:pPr>
              <w:spacing w:line="360" w:lineRule="exact"/>
              <w:ind w:firstLineChars="0" w:firstLine="0"/>
              <w:jc w:val="center"/>
              <w:rPr>
                <w:kern w:val="2"/>
                <w:sz w:val="21"/>
                <w:szCs w:val="21"/>
              </w:rPr>
            </w:pPr>
            <w:r>
              <w:rPr>
                <w:kern w:val="2"/>
                <w:sz w:val="21"/>
                <w:szCs w:val="21"/>
              </w:rPr>
              <w:t>邻</w:t>
            </w:r>
            <w:r>
              <w:rPr>
                <w:kern w:val="2"/>
                <w:sz w:val="21"/>
                <w:szCs w:val="21"/>
              </w:rPr>
              <w:t>-</w:t>
            </w:r>
            <w:r>
              <w:rPr>
                <w:kern w:val="2"/>
                <w:sz w:val="21"/>
                <w:szCs w:val="21"/>
              </w:rPr>
              <w:t>二甲苯</w:t>
            </w:r>
          </w:p>
        </w:tc>
        <w:tc>
          <w:tcPr>
            <w:tcW w:w="297" w:type="pct"/>
          </w:tcPr>
          <w:p w14:paraId="00D352B6" w14:textId="77777777" w:rsidR="003E78AB" w:rsidRDefault="00010BF9">
            <w:pPr>
              <w:spacing w:line="360" w:lineRule="exact"/>
              <w:ind w:firstLineChars="0" w:firstLine="0"/>
              <w:jc w:val="center"/>
              <w:rPr>
                <w:bCs/>
                <w:kern w:val="2"/>
                <w:sz w:val="21"/>
                <w:szCs w:val="21"/>
              </w:rPr>
            </w:pPr>
            <w:r>
              <w:rPr>
                <w:kern w:val="2"/>
                <w:sz w:val="21"/>
                <w:szCs w:val="21"/>
              </w:rPr>
              <w:t>640</w:t>
            </w:r>
          </w:p>
        </w:tc>
        <w:tc>
          <w:tcPr>
            <w:tcW w:w="329" w:type="pct"/>
          </w:tcPr>
          <w:p w14:paraId="4618D1C1"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133B773"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8119004"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54CED01B"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D126FF5"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675DBCCE"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2210A8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189D686F"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69BC352D"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7450EACB"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5F4C59B7"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0F1AB7F2" w14:textId="77777777" w:rsidR="003E78AB" w:rsidRDefault="00010BF9">
            <w:pPr>
              <w:spacing w:line="360" w:lineRule="exact"/>
              <w:ind w:firstLineChars="0" w:firstLine="0"/>
              <w:jc w:val="center"/>
              <w:rPr>
                <w:sz w:val="21"/>
                <w:szCs w:val="21"/>
              </w:rPr>
            </w:pPr>
            <w:r>
              <w:rPr>
                <w:sz w:val="21"/>
                <w:szCs w:val="21"/>
              </w:rPr>
              <w:t>--</w:t>
            </w:r>
          </w:p>
        </w:tc>
      </w:tr>
      <w:tr w:rsidR="003E78AB" w14:paraId="4745D4FF" w14:textId="77777777">
        <w:trPr>
          <w:trHeight w:val="397"/>
        </w:trPr>
        <w:tc>
          <w:tcPr>
            <w:tcW w:w="487" w:type="pct"/>
          </w:tcPr>
          <w:p w14:paraId="5FA40C7D" w14:textId="77777777" w:rsidR="003E78AB" w:rsidRDefault="00010BF9">
            <w:pPr>
              <w:spacing w:line="360" w:lineRule="exact"/>
              <w:ind w:firstLineChars="0" w:firstLine="0"/>
              <w:jc w:val="center"/>
              <w:rPr>
                <w:kern w:val="2"/>
                <w:sz w:val="21"/>
                <w:szCs w:val="21"/>
              </w:rPr>
            </w:pPr>
            <w:r>
              <w:rPr>
                <w:kern w:val="2"/>
                <w:sz w:val="21"/>
                <w:szCs w:val="21"/>
              </w:rPr>
              <w:t>苯乙烯</w:t>
            </w:r>
          </w:p>
        </w:tc>
        <w:tc>
          <w:tcPr>
            <w:tcW w:w="297" w:type="pct"/>
          </w:tcPr>
          <w:p w14:paraId="338001A9" w14:textId="77777777" w:rsidR="003E78AB" w:rsidRDefault="00010BF9">
            <w:pPr>
              <w:spacing w:line="360" w:lineRule="exact"/>
              <w:ind w:firstLineChars="0" w:firstLine="0"/>
              <w:jc w:val="center"/>
              <w:rPr>
                <w:bCs/>
                <w:kern w:val="2"/>
                <w:sz w:val="21"/>
                <w:szCs w:val="21"/>
              </w:rPr>
            </w:pPr>
            <w:r>
              <w:rPr>
                <w:kern w:val="2"/>
                <w:sz w:val="21"/>
                <w:szCs w:val="21"/>
              </w:rPr>
              <w:t>1290</w:t>
            </w:r>
          </w:p>
        </w:tc>
        <w:tc>
          <w:tcPr>
            <w:tcW w:w="329" w:type="pct"/>
          </w:tcPr>
          <w:p w14:paraId="50CC7999"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F61CE2E"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62F8E41"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197141C3"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8F489EB"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485BB910"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01D7799A"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260B3CE"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12DEBBC9"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05D6BF40"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A73BAB1"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64CDD3DE" w14:textId="77777777" w:rsidR="003E78AB" w:rsidRDefault="00010BF9">
            <w:pPr>
              <w:spacing w:line="360" w:lineRule="exact"/>
              <w:ind w:firstLineChars="0" w:firstLine="0"/>
              <w:jc w:val="center"/>
              <w:rPr>
                <w:sz w:val="21"/>
                <w:szCs w:val="21"/>
              </w:rPr>
            </w:pPr>
            <w:r>
              <w:rPr>
                <w:sz w:val="21"/>
                <w:szCs w:val="21"/>
              </w:rPr>
              <w:t>--</w:t>
            </w:r>
          </w:p>
        </w:tc>
      </w:tr>
      <w:tr w:rsidR="003E78AB" w14:paraId="768C9E39" w14:textId="77777777">
        <w:trPr>
          <w:trHeight w:val="397"/>
        </w:trPr>
        <w:tc>
          <w:tcPr>
            <w:tcW w:w="487" w:type="pct"/>
          </w:tcPr>
          <w:p w14:paraId="5D09234F" w14:textId="77777777" w:rsidR="003E78AB" w:rsidRDefault="00010BF9">
            <w:pPr>
              <w:spacing w:line="360" w:lineRule="exact"/>
              <w:ind w:firstLineChars="0" w:firstLine="0"/>
              <w:jc w:val="center"/>
              <w:rPr>
                <w:kern w:val="2"/>
                <w:sz w:val="21"/>
                <w:szCs w:val="21"/>
              </w:rPr>
            </w:pPr>
            <w:r>
              <w:rPr>
                <w:bCs/>
                <w:kern w:val="2"/>
                <w:sz w:val="21"/>
                <w:szCs w:val="21"/>
              </w:rPr>
              <w:t>1,1,2,2-</w:t>
            </w:r>
            <w:r>
              <w:rPr>
                <w:bCs/>
                <w:kern w:val="2"/>
                <w:sz w:val="21"/>
                <w:szCs w:val="21"/>
              </w:rPr>
              <w:t>四氯乙烷</w:t>
            </w:r>
          </w:p>
        </w:tc>
        <w:tc>
          <w:tcPr>
            <w:tcW w:w="297" w:type="pct"/>
          </w:tcPr>
          <w:p w14:paraId="429C8463" w14:textId="77777777" w:rsidR="003E78AB" w:rsidRDefault="00010BF9">
            <w:pPr>
              <w:spacing w:line="360" w:lineRule="exact"/>
              <w:ind w:firstLineChars="0" w:firstLine="0"/>
              <w:jc w:val="center"/>
              <w:rPr>
                <w:bCs/>
                <w:kern w:val="2"/>
                <w:sz w:val="21"/>
                <w:szCs w:val="21"/>
              </w:rPr>
            </w:pPr>
            <w:r>
              <w:rPr>
                <w:kern w:val="2"/>
                <w:sz w:val="21"/>
                <w:szCs w:val="21"/>
              </w:rPr>
              <w:t>6.8</w:t>
            </w:r>
          </w:p>
        </w:tc>
        <w:tc>
          <w:tcPr>
            <w:tcW w:w="329" w:type="pct"/>
          </w:tcPr>
          <w:p w14:paraId="098F9905"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64EDFA21"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18A1AF5D"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0DD1416E"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2FC7C6BE"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1E204031"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564B511F"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2273EA61"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53F35617"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393A9BCE"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877F37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4CC32C70" w14:textId="77777777" w:rsidR="003E78AB" w:rsidRDefault="00010BF9">
            <w:pPr>
              <w:spacing w:line="360" w:lineRule="exact"/>
              <w:ind w:firstLineChars="0" w:firstLine="0"/>
              <w:jc w:val="center"/>
              <w:rPr>
                <w:sz w:val="21"/>
                <w:szCs w:val="21"/>
              </w:rPr>
            </w:pPr>
            <w:r>
              <w:rPr>
                <w:sz w:val="21"/>
                <w:szCs w:val="21"/>
              </w:rPr>
              <w:t>--</w:t>
            </w:r>
          </w:p>
        </w:tc>
      </w:tr>
      <w:tr w:rsidR="003E78AB" w14:paraId="519220B5" w14:textId="77777777">
        <w:trPr>
          <w:trHeight w:val="397"/>
        </w:trPr>
        <w:tc>
          <w:tcPr>
            <w:tcW w:w="487" w:type="pct"/>
          </w:tcPr>
          <w:p w14:paraId="0B9EF33C" w14:textId="77777777" w:rsidR="003E78AB" w:rsidRDefault="00010BF9">
            <w:pPr>
              <w:spacing w:line="360" w:lineRule="exact"/>
              <w:ind w:firstLineChars="0" w:firstLine="0"/>
              <w:jc w:val="center"/>
              <w:rPr>
                <w:kern w:val="2"/>
                <w:sz w:val="21"/>
                <w:szCs w:val="21"/>
              </w:rPr>
            </w:pPr>
            <w:r>
              <w:rPr>
                <w:kern w:val="2"/>
                <w:sz w:val="21"/>
                <w:szCs w:val="21"/>
              </w:rPr>
              <w:t>1,2,3-</w:t>
            </w:r>
            <w:r>
              <w:rPr>
                <w:kern w:val="2"/>
                <w:sz w:val="21"/>
                <w:szCs w:val="21"/>
              </w:rPr>
              <w:t>三氯丙烷</w:t>
            </w:r>
          </w:p>
        </w:tc>
        <w:tc>
          <w:tcPr>
            <w:tcW w:w="297" w:type="pct"/>
          </w:tcPr>
          <w:p w14:paraId="6BE60874" w14:textId="77777777" w:rsidR="003E78AB" w:rsidRDefault="00010BF9">
            <w:pPr>
              <w:spacing w:line="360" w:lineRule="exact"/>
              <w:ind w:firstLineChars="0" w:firstLine="0"/>
              <w:jc w:val="center"/>
              <w:rPr>
                <w:bCs/>
                <w:kern w:val="2"/>
                <w:sz w:val="21"/>
                <w:szCs w:val="21"/>
              </w:rPr>
            </w:pPr>
            <w:r>
              <w:rPr>
                <w:kern w:val="2"/>
                <w:sz w:val="21"/>
                <w:szCs w:val="21"/>
              </w:rPr>
              <w:t>0.5</w:t>
            </w:r>
          </w:p>
        </w:tc>
        <w:tc>
          <w:tcPr>
            <w:tcW w:w="329" w:type="pct"/>
          </w:tcPr>
          <w:p w14:paraId="72DF4B2A"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7B53825D"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DBD3095"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6DFD9546"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345493C5"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2BB5B16D"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746479A9"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D9C4B25"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7FFBA2EE"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73A67227"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53763F5F"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7A6A0D6E" w14:textId="77777777" w:rsidR="003E78AB" w:rsidRDefault="00010BF9">
            <w:pPr>
              <w:spacing w:line="360" w:lineRule="exact"/>
              <w:ind w:firstLineChars="0" w:firstLine="0"/>
              <w:jc w:val="center"/>
              <w:rPr>
                <w:sz w:val="21"/>
                <w:szCs w:val="21"/>
              </w:rPr>
            </w:pPr>
            <w:r>
              <w:rPr>
                <w:sz w:val="21"/>
                <w:szCs w:val="21"/>
              </w:rPr>
              <w:t>--</w:t>
            </w:r>
          </w:p>
        </w:tc>
      </w:tr>
      <w:tr w:rsidR="003E78AB" w14:paraId="281317D1" w14:textId="77777777">
        <w:trPr>
          <w:trHeight w:val="397"/>
        </w:trPr>
        <w:tc>
          <w:tcPr>
            <w:tcW w:w="487" w:type="pct"/>
          </w:tcPr>
          <w:p w14:paraId="6DFDA162" w14:textId="77777777" w:rsidR="003E78AB" w:rsidRDefault="00010BF9">
            <w:pPr>
              <w:spacing w:line="360" w:lineRule="exact"/>
              <w:ind w:firstLineChars="0" w:firstLine="0"/>
              <w:jc w:val="center"/>
              <w:rPr>
                <w:kern w:val="2"/>
                <w:sz w:val="21"/>
                <w:szCs w:val="21"/>
              </w:rPr>
            </w:pPr>
            <w:r>
              <w:rPr>
                <w:bCs/>
                <w:kern w:val="2"/>
                <w:sz w:val="21"/>
                <w:szCs w:val="21"/>
              </w:rPr>
              <w:t>1,4-</w:t>
            </w:r>
            <w:r>
              <w:rPr>
                <w:bCs/>
                <w:kern w:val="2"/>
                <w:sz w:val="21"/>
                <w:szCs w:val="21"/>
              </w:rPr>
              <w:t>二氯苯</w:t>
            </w:r>
          </w:p>
        </w:tc>
        <w:tc>
          <w:tcPr>
            <w:tcW w:w="297" w:type="pct"/>
          </w:tcPr>
          <w:p w14:paraId="36252071" w14:textId="77777777" w:rsidR="003E78AB" w:rsidRDefault="00010BF9">
            <w:pPr>
              <w:spacing w:line="360" w:lineRule="exact"/>
              <w:ind w:firstLineChars="0" w:firstLine="0"/>
              <w:jc w:val="center"/>
              <w:rPr>
                <w:bCs/>
                <w:kern w:val="2"/>
                <w:sz w:val="21"/>
                <w:szCs w:val="21"/>
              </w:rPr>
            </w:pPr>
            <w:r>
              <w:rPr>
                <w:kern w:val="2"/>
                <w:sz w:val="21"/>
                <w:szCs w:val="21"/>
              </w:rPr>
              <w:t>20</w:t>
            </w:r>
          </w:p>
        </w:tc>
        <w:tc>
          <w:tcPr>
            <w:tcW w:w="329" w:type="pct"/>
          </w:tcPr>
          <w:p w14:paraId="495A61F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2B6E5066"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20F2DF3"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5B629566"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700A46E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554E74B0"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3DDF7874"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411CBEED"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6D55A3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41F210AC"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7E766E86"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207AF4EE" w14:textId="77777777" w:rsidR="003E78AB" w:rsidRDefault="00010BF9">
            <w:pPr>
              <w:spacing w:line="360" w:lineRule="exact"/>
              <w:ind w:firstLineChars="0" w:firstLine="0"/>
              <w:jc w:val="center"/>
              <w:rPr>
                <w:sz w:val="21"/>
                <w:szCs w:val="21"/>
              </w:rPr>
            </w:pPr>
            <w:r>
              <w:rPr>
                <w:sz w:val="21"/>
                <w:szCs w:val="21"/>
              </w:rPr>
              <w:t>--</w:t>
            </w:r>
          </w:p>
        </w:tc>
      </w:tr>
      <w:tr w:rsidR="003E78AB" w14:paraId="2DED0E83" w14:textId="77777777">
        <w:trPr>
          <w:trHeight w:val="397"/>
        </w:trPr>
        <w:tc>
          <w:tcPr>
            <w:tcW w:w="487" w:type="pct"/>
          </w:tcPr>
          <w:p w14:paraId="7F858018" w14:textId="77777777" w:rsidR="003E78AB" w:rsidRDefault="00010BF9">
            <w:pPr>
              <w:spacing w:line="360" w:lineRule="exact"/>
              <w:ind w:firstLineChars="0" w:firstLine="0"/>
              <w:jc w:val="center"/>
              <w:rPr>
                <w:kern w:val="2"/>
                <w:sz w:val="21"/>
                <w:szCs w:val="21"/>
              </w:rPr>
            </w:pPr>
            <w:r>
              <w:rPr>
                <w:bCs/>
                <w:kern w:val="2"/>
                <w:sz w:val="21"/>
                <w:szCs w:val="21"/>
              </w:rPr>
              <w:t>1,2-</w:t>
            </w:r>
            <w:r>
              <w:rPr>
                <w:bCs/>
                <w:kern w:val="2"/>
                <w:sz w:val="21"/>
                <w:szCs w:val="21"/>
              </w:rPr>
              <w:t>二氯苯</w:t>
            </w:r>
          </w:p>
        </w:tc>
        <w:tc>
          <w:tcPr>
            <w:tcW w:w="297" w:type="pct"/>
          </w:tcPr>
          <w:p w14:paraId="3F900A63" w14:textId="77777777" w:rsidR="003E78AB" w:rsidRDefault="00010BF9">
            <w:pPr>
              <w:spacing w:line="360" w:lineRule="exact"/>
              <w:ind w:firstLineChars="0" w:firstLine="0"/>
              <w:jc w:val="center"/>
              <w:rPr>
                <w:bCs/>
                <w:kern w:val="2"/>
                <w:sz w:val="21"/>
                <w:szCs w:val="21"/>
              </w:rPr>
            </w:pPr>
            <w:r>
              <w:rPr>
                <w:kern w:val="2"/>
                <w:sz w:val="21"/>
                <w:szCs w:val="21"/>
              </w:rPr>
              <w:t>560</w:t>
            </w:r>
          </w:p>
        </w:tc>
        <w:tc>
          <w:tcPr>
            <w:tcW w:w="329" w:type="pct"/>
          </w:tcPr>
          <w:p w14:paraId="13EB4093"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318FB41"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306BBAC4"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2FE8B5FD"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0D9A7B03"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7A6DDC3B"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63A6C1D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0F671912"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139715A"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13BE4AD0"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0648BB20"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2F3F6406" w14:textId="77777777" w:rsidR="003E78AB" w:rsidRDefault="00010BF9">
            <w:pPr>
              <w:spacing w:line="360" w:lineRule="exact"/>
              <w:ind w:firstLineChars="0" w:firstLine="0"/>
              <w:jc w:val="center"/>
              <w:rPr>
                <w:sz w:val="21"/>
                <w:szCs w:val="21"/>
              </w:rPr>
            </w:pPr>
            <w:r>
              <w:rPr>
                <w:sz w:val="21"/>
                <w:szCs w:val="21"/>
              </w:rPr>
              <w:t>--</w:t>
            </w:r>
          </w:p>
        </w:tc>
      </w:tr>
      <w:tr w:rsidR="003E78AB" w14:paraId="5317F8AF" w14:textId="77777777">
        <w:trPr>
          <w:trHeight w:val="397"/>
        </w:trPr>
        <w:tc>
          <w:tcPr>
            <w:tcW w:w="487" w:type="pct"/>
          </w:tcPr>
          <w:p w14:paraId="7A528EFE" w14:textId="77777777" w:rsidR="003E78AB" w:rsidRDefault="00010BF9">
            <w:pPr>
              <w:spacing w:line="360" w:lineRule="exact"/>
              <w:ind w:firstLineChars="0" w:firstLine="0"/>
              <w:jc w:val="center"/>
              <w:rPr>
                <w:kern w:val="2"/>
                <w:sz w:val="21"/>
                <w:szCs w:val="21"/>
              </w:rPr>
            </w:pPr>
            <w:r>
              <w:rPr>
                <w:kern w:val="2"/>
                <w:sz w:val="21"/>
                <w:szCs w:val="21"/>
              </w:rPr>
              <w:t>氯甲烷</w:t>
            </w:r>
          </w:p>
        </w:tc>
        <w:tc>
          <w:tcPr>
            <w:tcW w:w="297" w:type="pct"/>
          </w:tcPr>
          <w:p w14:paraId="4C448ED6" w14:textId="77777777" w:rsidR="003E78AB" w:rsidRDefault="00010BF9">
            <w:pPr>
              <w:spacing w:line="360" w:lineRule="exact"/>
              <w:ind w:firstLineChars="0" w:firstLine="0"/>
              <w:jc w:val="center"/>
              <w:rPr>
                <w:bCs/>
                <w:kern w:val="2"/>
                <w:sz w:val="21"/>
                <w:szCs w:val="21"/>
              </w:rPr>
            </w:pPr>
            <w:r>
              <w:rPr>
                <w:kern w:val="2"/>
                <w:sz w:val="21"/>
                <w:szCs w:val="21"/>
              </w:rPr>
              <w:t>37</w:t>
            </w:r>
          </w:p>
        </w:tc>
        <w:tc>
          <w:tcPr>
            <w:tcW w:w="329" w:type="pct"/>
          </w:tcPr>
          <w:p w14:paraId="7D2880D4"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15E34419"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AB828F5"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1608097C"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D60A2A7"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90" w:type="pct"/>
          </w:tcPr>
          <w:p w14:paraId="0F4CBAE3"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0DAA3E41"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324" w:type="pct"/>
          </w:tcPr>
          <w:p w14:paraId="57230865"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76060126" w14:textId="77777777" w:rsidR="003E78AB" w:rsidRDefault="00010BF9">
            <w:pPr>
              <w:spacing w:line="360" w:lineRule="exact"/>
              <w:ind w:firstLineChars="0" w:firstLine="0"/>
              <w:jc w:val="center"/>
              <w:textAlignment w:val="center"/>
              <w:rPr>
                <w:kern w:val="2"/>
                <w:sz w:val="21"/>
                <w:szCs w:val="21"/>
              </w:rPr>
            </w:pPr>
            <w:r>
              <w:rPr>
                <w:sz w:val="21"/>
                <w:szCs w:val="21"/>
              </w:rPr>
              <w:t>ND</w:t>
            </w:r>
          </w:p>
        </w:tc>
        <w:tc>
          <w:tcPr>
            <w:tcW w:w="291" w:type="pct"/>
          </w:tcPr>
          <w:p w14:paraId="5F6715AD"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0B765E4"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66CC9FB6" w14:textId="77777777" w:rsidR="003E78AB" w:rsidRDefault="00010BF9">
            <w:pPr>
              <w:spacing w:line="360" w:lineRule="exact"/>
              <w:ind w:firstLineChars="0" w:firstLine="0"/>
              <w:jc w:val="center"/>
              <w:rPr>
                <w:sz w:val="21"/>
                <w:szCs w:val="21"/>
              </w:rPr>
            </w:pPr>
            <w:r>
              <w:rPr>
                <w:sz w:val="21"/>
                <w:szCs w:val="21"/>
              </w:rPr>
              <w:t>--</w:t>
            </w:r>
          </w:p>
        </w:tc>
      </w:tr>
      <w:tr w:rsidR="003E78AB" w14:paraId="5DDB94CC" w14:textId="77777777">
        <w:trPr>
          <w:trHeight w:val="397"/>
        </w:trPr>
        <w:tc>
          <w:tcPr>
            <w:tcW w:w="487" w:type="pct"/>
          </w:tcPr>
          <w:p w14:paraId="59AC3D2C" w14:textId="77777777" w:rsidR="003E78AB" w:rsidRDefault="00010BF9">
            <w:pPr>
              <w:spacing w:line="360" w:lineRule="exact"/>
              <w:ind w:firstLineChars="0" w:firstLine="0"/>
              <w:jc w:val="center"/>
              <w:rPr>
                <w:kern w:val="2"/>
                <w:sz w:val="21"/>
                <w:szCs w:val="21"/>
              </w:rPr>
            </w:pPr>
            <w:r>
              <w:rPr>
                <w:kern w:val="2"/>
                <w:sz w:val="21"/>
                <w:szCs w:val="21"/>
              </w:rPr>
              <w:t>硝基苯</w:t>
            </w:r>
          </w:p>
        </w:tc>
        <w:tc>
          <w:tcPr>
            <w:tcW w:w="297" w:type="pct"/>
          </w:tcPr>
          <w:p w14:paraId="3FB39488" w14:textId="77777777" w:rsidR="003E78AB" w:rsidRDefault="00010BF9">
            <w:pPr>
              <w:spacing w:line="360" w:lineRule="exact"/>
              <w:ind w:firstLineChars="0" w:firstLine="0"/>
              <w:jc w:val="center"/>
              <w:rPr>
                <w:bCs/>
                <w:kern w:val="2"/>
                <w:sz w:val="21"/>
                <w:szCs w:val="21"/>
              </w:rPr>
            </w:pPr>
            <w:r>
              <w:rPr>
                <w:kern w:val="2"/>
                <w:sz w:val="21"/>
                <w:szCs w:val="21"/>
              </w:rPr>
              <w:t>76</w:t>
            </w:r>
          </w:p>
        </w:tc>
        <w:tc>
          <w:tcPr>
            <w:tcW w:w="329" w:type="pct"/>
          </w:tcPr>
          <w:p w14:paraId="6755ED2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667924B9"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5082C8B0"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4459EEF7"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9314A34"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02F889E1"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3CE402D"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6A80C41B"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68F034C5"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62255829"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4DB3FAA1"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0CA2D53F" w14:textId="77777777" w:rsidR="003E78AB" w:rsidRDefault="00010BF9">
            <w:pPr>
              <w:spacing w:line="360" w:lineRule="exact"/>
              <w:ind w:firstLineChars="0" w:firstLine="0"/>
              <w:jc w:val="center"/>
              <w:rPr>
                <w:sz w:val="21"/>
                <w:szCs w:val="21"/>
              </w:rPr>
            </w:pPr>
            <w:r>
              <w:rPr>
                <w:sz w:val="21"/>
                <w:szCs w:val="21"/>
              </w:rPr>
              <w:t>--</w:t>
            </w:r>
          </w:p>
        </w:tc>
      </w:tr>
      <w:tr w:rsidR="003E78AB" w14:paraId="0D7D6C90" w14:textId="77777777">
        <w:trPr>
          <w:trHeight w:val="397"/>
        </w:trPr>
        <w:tc>
          <w:tcPr>
            <w:tcW w:w="487" w:type="pct"/>
          </w:tcPr>
          <w:p w14:paraId="4BE837D1" w14:textId="77777777" w:rsidR="003E78AB" w:rsidRDefault="00010BF9">
            <w:pPr>
              <w:spacing w:line="360" w:lineRule="exact"/>
              <w:ind w:firstLineChars="0" w:firstLine="0"/>
              <w:jc w:val="center"/>
              <w:rPr>
                <w:kern w:val="2"/>
                <w:sz w:val="21"/>
                <w:szCs w:val="21"/>
              </w:rPr>
            </w:pPr>
            <w:r>
              <w:rPr>
                <w:kern w:val="2"/>
                <w:sz w:val="21"/>
                <w:szCs w:val="21"/>
              </w:rPr>
              <w:t>苯胺</w:t>
            </w:r>
          </w:p>
        </w:tc>
        <w:tc>
          <w:tcPr>
            <w:tcW w:w="297" w:type="pct"/>
          </w:tcPr>
          <w:p w14:paraId="26B2215F" w14:textId="77777777" w:rsidR="003E78AB" w:rsidRDefault="00010BF9">
            <w:pPr>
              <w:spacing w:line="360" w:lineRule="exact"/>
              <w:ind w:firstLineChars="0" w:firstLine="0"/>
              <w:jc w:val="center"/>
              <w:rPr>
                <w:bCs/>
                <w:kern w:val="2"/>
                <w:sz w:val="21"/>
                <w:szCs w:val="21"/>
              </w:rPr>
            </w:pPr>
            <w:r>
              <w:rPr>
                <w:kern w:val="2"/>
                <w:sz w:val="21"/>
                <w:szCs w:val="21"/>
              </w:rPr>
              <w:t>260</w:t>
            </w:r>
          </w:p>
        </w:tc>
        <w:tc>
          <w:tcPr>
            <w:tcW w:w="329" w:type="pct"/>
          </w:tcPr>
          <w:p w14:paraId="1AB70830"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7AC1E8A2"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C068ED3"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22A23E26"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536F745"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68B8E622"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8619EEA"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741A3472"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2C5AF785"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38D677C4"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6BD7ADD"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7E1F2FE5" w14:textId="77777777" w:rsidR="003E78AB" w:rsidRDefault="00010BF9">
            <w:pPr>
              <w:spacing w:line="360" w:lineRule="exact"/>
              <w:ind w:firstLineChars="0" w:firstLine="0"/>
              <w:jc w:val="center"/>
              <w:rPr>
                <w:sz w:val="21"/>
                <w:szCs w:val="21"/>
              </w:rPr>
            </w:pPr>
            <w:r>
              <w:rPr>
                <w:sz w:val="21"/>
                <w:szCs w:val="21"/>
              </w:rPr>
              <w:t>--</w:t>
            </w:r>
          </w:p>
        </w:tc>
      </w:tr>
      <w:tr w:rsidR="003E78AB" w14:paraId="4A313F0C" w14:textId="77777777">
        <w:trPr>
          <w:trHeight w:val="397"/>
        </w:trPr>
        <w:tc>
          <w:tcPr>
            <w:tcW w:w="487" w:type="pct"/>
          </w:tcPr>
          <w:p w14:paraId="1FBA9A45" w14:textId="77777777" w:rsidR="003E78AB" w:rsidRDefault="00010BF9">
            <w:pPr>
              <w:spacing w:line="360" w:lineRule="exact"/>
              <w:ind w:firstLineChars="0" w:firstLine="0"/>
              <w:jc w:val="center"/>
              <w:rPr>
                <w:kern w:val="2"/>
                <w:sz w:val="21"/>
                <w:szCs w:val="21"/>
              </w:rPr>
            </w:pPr>
            <w:r>
              <w:rPr>
                <w:kern w:val="2"/>
                <w:sz w:val="21"/>
                <w:szCs w:val="21"/>
              </w:rPr>
              <w:t>2-</w:t>
            </w:r>
            <w:r>
              <w:rPr>
                <w:kern w:val="2"/>
                <w:sz w:val="21"/>
                <w:szCs w:val="21"/>
              </w:rPr>
              <w:t>氯苯酚</w:t>
            </w:r>
          </w:p>
        </w:tc>
        <w:tc>
          <w:tcPr>
            <w:tcW w:w="297" w:type="pct"/>
          </w:tcPr>
          <w:p w14:paraId="54BD0742" w14:textId="77777777" w:rsidR="003E78AB" w:rsidRDefault="00010BF9">
            <w:pPr>
              <w:spacing w:line="360" w:lineRule="exact"/>
              <w:ind w:firstLineChars="0" w:firstLine="0"/>
              <w:jc w:val="center"/>
              <w:rPr>
                <w:bCs/>
                <w:kern w:val="2"/>
                <w:sz w:val="21"/>
                <w:szCs w:val="21"/>
              </w:rPr>
            </w:pPr>
            <w:r>
              <w:rPr>
                <w:kern w:val="2"/>
                <w:sz w:val="21"/>
                <w:szCs w:val="21"/>
              </w:rPr>
              <w:t>2256</w:t>
            </w:r>
          </w:p>
        </w:tc>
        <w:tc>
          <w:tcPr>
            <w:tcW w:w="329" w:type="pct"/>
          </w:tcPr>
          <w:p w14:paraId="72CC3FAC"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20B39B61"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255C8F50"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6AF2B6F1"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7C61354E"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3846F7FC"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5A441C3"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597B86B1"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72EB1E9F"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4102B04C"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F323B3D"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65174EA7" w14:textId="77777777" w:rsidR="003E78AB" w:rsidRDefault="00010BF9">
            <w:pPr>
              <w:spacing w:line="360" w:lineRule="exact"/>
              <w:ind w:firstLineChars="0" w:firstLine="0"/>
              <w:jc w:val="center"/>
              <w:rPr>
                <w:sz w:val="21"/>
                <w:szCs w:val="21"/>
              </w:rPr>
            </w:pPr>
            <w:r>
              <w:rPr>
                <w:sz w:val="21"/>
                <w:szCs w:val="21"/>
              </w:rPr>
              <w:t>--</w:t>
            </w:r>
          </w:p>
        </w:tc>
      </w:tr>
      <w:tr w:rsidR="003E78AB" w14:paraId="6E79AD32" w14:textId="77777777">
        <w:trPr>
          <w:trHeight w:val="397"/>
        </w:trPr>
        <w:tc>
          <w:tcPr>
            <w:tcW w:w="487" w:type="pct"/>
          </w:tcPr>
          <w:p w14:paraId="5E4C9C27" w14:textId="77777777" w:rsidR="003E78AB" w:rsidRDefault="00010BF9">
            <w:pPr>
              <w:spacing w:line="360" w:lineRule="exact"/>
              <w:ind w:firstLineChars="0" w:firstLine="0"/>
              <w:jc w:val="center"/>
              <w:rPr>
                <w:kern w:val="2"/>
                <w:sz w:val="21"/>
                <w:szCs w:val="21"/>
              </w:rPr>
            </w:pPr>
            <w:r>
              <w:rPr>
                <w:kern w:val="2"/>
                <w:sz w:val="21"/>
                <w:szCs w:val="21"/>
              </w:rPr>
              <w:t>苯并</w:t>
            </w:r>
            <w:r>
              <w:rPr>
                <w:kern w:val="2"/>
                <w:sz w:val="21"/>
                <w:szCs w:val="21"/>
              </w:rPr>
              <w:t>[a]</w:t>
            </w:r>
            <w:r>
              <w:rPr>
                <w:kern w:val="2"/>
                <w:sz w:val="21"/>
                <w:szCs w:val="21"/>
              </w:rPr>
              <w:t>蒽</w:t>
            </w:r>
          </w:p>
        </w:tc>
        <w:tc>
          <w:tcPr>
            <w:tcW w:w="297" w:type="pct"/>
          </w:tcPr>
          <w:p w14:paraId="3C0F7A7B" w14:textId="77777777" w:rsidR="003E78AB" w:rsidRDefault="00010BF9">
            <w:pPr>
              <w:spacing w:line="360" w:lineRule="exact"/>
              <w:ind w:firstLineChars="0" w:firstLine="0"/>
              <w:jc w:val="center"/>
              <w:rPr>
                <w:bCs/>
                <w:kern w:val="2"/>
                <w:sz w:val="21"/>
                <w:szCs w:val="21"/>
              </w:rPr>
            </w:pPr>
            <w:r>
              <w:rPr>
                <w:kern w:val="2"/>
                <w:sz w:val="21"/>
                <w:szCs w:val="21"/>
              </w:rPr>
              <w:t>15</w:t>
            </w:r>
          </w:p>
        </w:tc>
        <w:tc>
          <w:tcPr>
            <w:tcW w:w="329" w:type="pct"/>
          </w:tcPr>
          <w:p w14:paraId="38DA9341"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45004E6"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CD8AEB0"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1FB28C8D"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FC6C562"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278EF102"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31C09A3E"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44E9FF0F"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5FEAC7AD"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4CFB20E6"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5929E45B"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372A57DE" w14:textId="77777777" w:rsidR="003E78AB" w:rsidRDefault="00010BF9">
            <w:pPr>
              <w:spacing w:line="360" w:lineRule="exact"/>
              <w:ind w:firstLineChars="0" w:firstLine="0"/>
              <w:jc w:val="center"/>
              <w:rPr>
                <w:sz w:val="21"/>
                <w:szCs w:val="21"/>
              </w:rPr>
            </w:pPr>
            <w:r>
              <w:rPr>
                <w:sz w:val="21"/>
                <w:szCs w:val="21"/>
              </w:rPr>
              <w:t>--</w:t>
            </w:r>
          </w:p>
        </w:tc>
      </w:tr>
      <w:tr w:rsidR="003E78AB" w14:paraId="4D6AC73E" w14:textId="77777777">
        <w:trPr>
          <w:trHeight w:val="397"/>
        </w:trPr>
        <w:tc>
          <w:tcPr>
            <w:tcW w:w="487" w:type="pct"/>
          </w:tcPr>
          <w:p w14:paraId="4CF6574A" w14:textId="77777777" w:rsidR="003E78AB" w:rsidRDefault="00010BF9">
            <w:pPr>
              <w:spacing w:line="360" w:lineRule="exact"/>
              <w:ind w:firstLineChars="0" w:firstLine="0"/>
              <w:jc w:val="center"/>
              <w:rPr>
                <w:kern w:val="2"/>
                <w:sz w:val="21"/>
                <w:szCs w:val="21"/>
              </w:rPr>
            </w:pPr>
            <w:r>
              <w:rPr>
                <w:kern w:val="2"/>
                <w:sz w:val="21"/>
                <w:szCs w:val="21"/>
              </w:rPr>
              <w:t>苯并</w:t>
            </w:r>
            <w:r>
              <w:rPr>
                <w:kern w:val="2"/>
                <w:sz w:val="21"/>
                <w:szCs w:val="21"/>
              </w:rPr>
              <w:t>[a]</w:t>
            </w:r>
            <w:r>
              <w:rPr>
                <w:kern w:val="2"/>
                <w:sz w:val="21"/>
                <w:szCs w:val="21"/>
              </w:rPr>
              <w:t>芘</w:t>
            </w:r>
          </w:p>
        </w:tc>
        <w:tc>
          <w:tcPr>
            <w:tcW w:w="297" w:type="pct"/>
          </w:tcPr>
          <w:p w14:paraId="217FA31A" w14:textId="77777777" w:rsidR="003E78AB" w:rsidRDefault="00010BF9">
            <w:pPr>
              <w:spacing w:line="360" w:lineRule="exact"/>
              <w:ind w:firstLineChars="0" w:firstLine="0"/>
              <w:jc w:val="center"/>
              <w:rPr>
                <w:bCs/>
                <w:kern w:val="2"/>
                <w:sz w:val="21"/>
                <w:szCs w:val="21"/>
              </w:rPr>
            </w:pPr>
            <w:r>
              <w:rPr>
                <w:kern w:val="2"/>
                <w:sz w:val="21"/>
                <w:szCs w:val="21"/>
              </w:rPr>
              <w:t>1.5</w:t>
            </w:r>
          </w:p>
        </w:tc>
        <w:tc>
          <w:tcPr>
            <w:tcW w:w="329" w:type="pct"/>
          </w:tcPr>
          <w:p w14:paraId="38A0E188"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0EF8E405"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D503D79"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0A534ADD"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386BB629"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17380D60"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5C65E47B"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4BFB1CE6"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7B9071B4"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6F66F189"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5B4D0B61"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35BA76C2" w14:textId="77777777" w:rsidR="003E78AB" w:rsidRDefault="00010BF9">
            <w:pPr>
              <w:spacing w:line="360" w:lineRule="exact"/>
              <w:ind w:firstLineChars="0" w:firstLine="0"/>
              <w:jc w:val="center"/>
              <w:rPr>
                <w:sz w:val="21"/>
                <w:szCs w:val="21"/>
              </w:rPr>
            </w:pPr>
            <w:r>
              <w:rPr>
                <w:sz w:val="21"/>
                <w:szCs w:val="21"/>
              </w:rPr>
              <w:t>--</w:t>
            </w:r>
          </w:p>
        </w:tc>
      </w:tr>
      <w:tr w:rsidR="003E78AB" w14:paraId="7D56DE8E" w14:textId="77777777">
        <w:trPr>
          <w:trHeight w:val="397"/>
        </w:trPr>
        <w:tc>
          <w:tcPr>
            <w:tcW w:w="487" w:type="pct"/>
          </w:tcPr>
          <w:p w14:paraId="146A7C67" w14:textId="77777777" w:rsidR="003E78AB" w:rsidRDefault="00010BF9">
            <w:pPr>
              <w:spacing w:line="360" w:lineRule="exact"/>
              <w:ind w:firstLineChars="0" w:firstLine="0"/>
              <w:jc w:val="center"/>
              <w:rPr>
                <w:kern w:val="2"/>
                <w:sz w:val="21"/>
                <w:szCs w:val="21"/>
              </w:rPr>
            </w:pPr>
            <w:r>
              <w:rPr>
                <w:bCs/>
                <w:kern w:val="2"/>
                <w:sz w:val="21"/>
                <w:szCs w:val="21"/>
              </w:rPr>
              <w:t>苯并</w:t>
            </w:r>
            <w:r>
              <w:rPr>
                <w:bCs/>
                <w:kern w:val="2"/>
                <w:sz w:val="21"/>
                <w:szCs w:val="21"/>
              </w:rPr>
              <w:t>[b]</w:t>
            </w:r>
            <w:r>
              <w:rPr>
                <w:bCs/>
                <w:kern w:val="2"/>
                <w:sz w:val="21"/>
                <w:szCs w:val="21"/>
              </w:rPr>
              <w:t>荧蒽</w:t>
            </w:r>
          </w:p>
        </w:tc>
        <w:tc>
          <w:tcPr>
            <w:tcW w:w="297" w:type="pct"/>
          </w:tcPr>
          <w:p w14:paraId="54333DF4" w14:textId="77777777" w:rsidR="003E78AB" w:rsidRDefault="00010BF9">
            <w:pPr>
              <w:spacing w:line="360" w:lineRule="exact"/>
              <w:ind w:firstLineChars="0" w:firstLine="0"/>
              <w:jc w:val="center"/>
              <w:rPr>
                <w:bCs/>
                <w:kern w:val="2"/>
                <w:sz w:val="21"/>
                <w:szCs w:val="21"/>
              </w:rPr>
            </w:pPr>
            <w:r>
              <w:rPr>
                <w:kern w:val="2"/>
                <w:sz w:val="21"/>
                <w:szCs w:val="21"/>
              </w:rPr>
              <w:t>15</w:t>
            </w:r>
          </w:p>
        </w:tc>
        <w:tc>
          <w:tcPr>
            <w:tcW w:w="329" w:type="pct"/>
          </w:tcPr>
          <w:p w14:paraId="4CDC9EDE"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6C793B3"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17A06D3"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164D3D2"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441F1334"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77308BBA"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C6D569C"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29A051D9"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670CDFF"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309B7326"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569D4588"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6A814C3E" w14:textId="77777777" w:rsidR="003E78AB" w:rsidRDefault="00010BF9">
            <w:pPr>
              <w:spacing w:line="360" w:lineRule="exact"/>
              <w:ind w:firstLineChars="0" w:firstLine="0"/>
              <w:jc w:val="center"/>
              <w:rPr>
                <w:sz w:val="21"/>
                <w:szCs w:val="21"/>
              </w:rPr>
            </w:pPr>
            <w:r>
              <w:rPr>
                <w:sz w:val="21"/>
                <w:szCs w:val="21"/>
              </w:rPr>
              <w:t>--</w:t>
            </w:r>
          </w:p>
        </w:tc>
      </w:tr>
      <w:tr w:rsidR="003E78AB" w14:paraId="02183A6E" w14:textId="77777777">
        <w:trPr>
          <w:trHeight w:val="397"/>
        </w:trPr>
        <w:tc>
          <w:tcPr>
            <w:tcW w:w="487" w:type="pct"/>
          </w:tcPr>
          <w:p w14:paraId="08A4ED58" w14:textId="77777777" w:rsidR="003E78AB" w:rsidRDefault="00010BF9">
            <w:pPr>
              <w:spacing w:line="360" w:lineRule="exact"/>
              <w:ind w:firstLineChars="0" w:firstLine="0"/>
              <w:jc w:val="center"/>
              <w:rPr>
                <w:kern w:val="2"/>
                <w:sz w:val="21"/>
                <w:szCs w:val="21"/>
              </w:rPr>
            </w:pPr>
            <w:r>
              <w:rPr>
                <w:bCs/>
                <w:kern w:val="2"/>
                <w:sz w:val="21"/>
                <w:szCs w:val="21"/>
              </w:rPr>
              <w:t>苯并</w:t>
            </w:r>
            <w:r>
              <w:rPr>
                <w:bCs/>
                <w:kern w:val="2"/>
                <w:sz w:val="21"/>
                <w:szCs w:val="21"/>
              </w:rPr>
              <w:t>[k]</w:t>
            </w:r>
            <w:r>
              <w:rPr>
                <w:bCs/>
                <w:kern w:val="2"/>
                <w:sz w:val="21"/>
                <w:szCs w:val="21"/>
              </w:rPr>
              <w:t>荧蒽</w:t>
            </w:r>
          </w:p>
        </w:tc>
        <w:tc>
          <w:tcPr>
            <w:tcW w:w="297" w:type="pct"/>
          </w:tcPr>
          <w:p w14:paraId="3A31F0E8" w14:textId="77777777" w:rsidR="003E78AB" w:rsidRDefault="00010BF9">
            <w:pPr>
              <w:spacing w:line="360" w:lineRule="exact"/>
              <w:ind w:firstLineChars="0" w:firstLine="0"/>
              <w:jc w:val="center"/>
              <w:rPr>
                <w:bCs/>
                <w:kern w:val="2"/>
                <w:sz w:val="21"/>
                <w:szCs w:val="21"/>
              </w:rPr>
            </w:pPr>
            <w:r>
              <w:rPr>
                <w:kern w:val="2"/>
                <w:sz w:val="21"/>
                <w:szCs w:val="21"/>
              </w:rPr>
              <w:t>151</w:t>
            </w:r>
          </w:p>
        </w:tc>
        <w:tc>
          <w:tcPr>
            <w:tcW w:w="329" w:type="pct"/>
          </w:tcPr>
          <w:p w14:paraId="28F3C701"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2B263939"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46DFA99"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3A33B6F2"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6CFE2306"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6C929776"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4EC9747D"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2186CB89"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4B3AFE5E"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313D2D72"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13054B54"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4D2791FB" w14:textId="77777777" w:rsidR="003E78AB" w:rsidRDefault="00010BF9">
            <w:pPr>
              <w:spacing w:line="360" w:lineRule="exact"/>
              <w:ind w:firstLineChars="0" w:firstLine="0"/>
              <w:jc w:val="center"/>
              <w:rPr>
                <w:sz w:val="21"/>
                <w:szCs w:val="21"/>
              </w:rPr>
            </w:pPr>
            <w:r>
              <w:rPr>
                <w:sz w:val="21"/>
                <w:szCs w:val="21"/>
              </w:rPr>
              <w:t>--</w:t>
            </w:r>
          </w:p>
        </w:tc>
      </w:tr>
      <w:tr w:rsidR="003E78AB" w14:paraId="1B315A43" w14:textId="77777777">
        <w:trPr>
          <w:trHeight w:val="397"/>
        </w:trPr>
        <w:tc>
          <w:tcPr>
            <w:tcW w:w="487" w:type="pct"/>
          </w:tcPr>
          <w:p w14:paraId="7686452E" w14:textId="77777777" w:rsidR="003E78AB" w:rsidRDefault="00010BF9">
            <w:pPr>
              <w:spacing w:line="360" w:lineRule="exact"/>
              <w:ind w:firstLineChars="0" w:firstLine="0"/>
              <w:jc w:val="center"/>
              <w:rPr>
                <w:kern w:val="2"/>
                <w:sz w:val="21"/>
                <w:szCs w:val="21"/>
              </w:rPr>
            </w:pPr>
            <w:r>
              <w:rPr>
                <w:bCs/>
                <w:kern w:val="2"/>
                <w:sz w:val="21"/>
                <w:szCs w:val="21"/>
              </w:rPr>
              <w:t>䓛</w:t>
            </w:r>
          </w:p>
        </w:tc>
        <w:tc>
          <w:tcPr>
            <w:tcW w:w="297" w:type="pct"/>
          </w:tcPr>
          <w:p w14:paraId="1818F0E6" w14:textId="77777777" w:rsidR="003E78AB" w:rsidRDefault="00010BF9">
            <w:pPr>
              <w:spacing w:line="360" w:lineRule="exact"/>
              <w:ind w:firstLineChars="0" w:firstLine="0"/>
              <w:jc w:val="center"/>
              <w:rPr>
                <w:bCs/>
                <w:kern w:val="2"/>
                <w:sz w:val="21"/>
                <w:szCs w:val="21"/>
              </w:rPr>
            </w:pPr>
            <w:r>
              <w:rPr>
                <w:kern w:val="2"/>
                <w:sz w:val="21"/>
                <w:szCs w:val="21"/>
              </w:rPr>
              <w:t>1293</w:t>
            </w:r>
          </w:p>
        </w:tc>
        <w:tc>
          <w:tcPr>
            <w:tcW w:w="329" w:type="pct"/>
          </w:tcPr>
          <w:p w14:paraId="0FDE636D"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61990518"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66541E9"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359E5978"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6DB118F"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6D3D60EE"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66BC7D53"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6820C486"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4C202DAF"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098566B9"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5DC27A02"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08CF7E6A" w14:textId="77777777" w:rsidR="003E78AB" w:rsidRDefault="00010BF9">
            <w:pPr>
              <w:spacing w:line="360" w:lineRule="exact"/>
              <w:ind w:firstLineChars="0" w:firstLine="0"/>
              <w:jc w:val="center"/>
              <w:rPr>
                <w:sz w:val="21"/>
                <w:szCs w:val="21"/>
              </w:rPr>
            </w:pPr>
            <w:r>
              <w:rPr>
                <w:sz w:val="21"/>
                <w:szCs w:val="21"/>
              </w:rPr>
              <w:t>--</w:t>
            </w:r>
          </w:p>
        </w:tc>
      </w:tr>
      <w:tr w:rsidR="003E78AB" w14:paraId="6250BCD8" w14:textId="77777777">
        <w:trPr>
          <w:trHeight w:val="397"/>
        </w:trPr>
        <w:tc>
          <w:tcPr>
            <w:tcW w:w="487" w:type="pct"/>
          </w:tcPr>
          <w:p w14:paraId="4F608731" w14:textId="77777777" w:rsidR="003E78AB" w:rsidRDefault="00010BF9">
            <w:pPr>
              <w:spacing w:line="360" w:lineRule="exact"/>
              <w:ind w:firstLineChars="0" w:firstLine="0"/>
              <w:jc w:val="center"/>
              <w:rPr>
                <w:kern w:val="2"/>
                <w:sz w:val="21"/>
                <w:szCs w:val="21"/>
              </w:rPr>
            </w:pPr>
            <w:r>
              <w:rPr>
                <w:bCs/>
                <w:kern w:val="2"/>
                <w:sz w:val="21"/>
                <w:szCs w:val="21"/>
              </w:rPr>
              <w:t>二苯并</w:t>
            </w:r>
            <w:r>
              <w:rPr>
                <w:bCs/>
                <w:kern w:val="2"/>
                <w:sz w:val="21"/>
                <w:szCs w:val="21"/>
              </w:rPr>
              <w:t>[a,h]</w:t>
            </w:r>
            <w:r>
              <w:rPr>
                <w:bCs/>
                <w:kern w:val="2"/>
                <w:sz w:val="21"/>
                <w:szCs w:val="21"/>
              </w:rPr>
              <w:t>蒽</w:t>
            </w:r>
          </w:p>
        </w:tc>
        <w:tc>
          <w:tcPr>
            <w:tcW w:w="297" w:type="pct"/>
          </w:tcPr>
          <w:p w14:paraId="452F4E3F" w14:textId="77777777" w:rsidR="003E78AB" w:rsidRDefault="00010BF9">
            <w:pPr>
              <w:spacing w:line="360" w:lineRule="exact"/>
              <w:ind w:firstLineChars="0" w:firstLine="0"/>
              <w:jc w:val="center"/>
              <w:rPr>
                <w:bCs/>
                <w:kern w:val="2"/>
                <w:sz w:val="21"/>
                <w:szCs w:val="21"/>
              </w:rPr>
            </w:pPr>
            <w:r>
              <w:rPr>
                <w:kern w:val="2"/>
                <w:sz w:val="21"/>
                <w:szCs w:val="21"/>
              </w:rPr>
              <w:t>1.5</w:t>
            </w:r>
          </w:p>
        </w:tc>
        <w:tc>
          <w:tcPr>
            <w:tcW w:w="329" w:type="pct"/>
          </w:tcPr>
          <w:p w14:paraId="42D9B2DC"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34AF71F2"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49B32A74"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7970804D"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6BF6F3D8"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7BF598A1"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7ED5FBD"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087E83E5"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78969E70"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45491C02"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20C4532B"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26B75551" w14:textId="77777777" w:rsidR="003E78AB" w:rsidRDefault="00010BF9">
            <w:pPr>
              <w:spacing w:line="360" w:lineRule="exact"/>
              <w:ind w:firstLineChars="0" w:firstLine="0"/>
              <w:jc w:val="center"/>
              <w:rPr>
                <w:sz w:val="21"/>
                <w:szCs w:val="21"/>
              </w:rPr>
            </w:pPr>
            <w:r>
              <w:rPr>
                <w:sz w:val="21"/>
                <w:szCs w:val="21"/>
              </w:rPr>
              <w:t>--</w:t>
            </w:r>
          </w:p>
        </w:tc>
      </w:tr>
      <w:tr w:rsidR="003E78AB" w14:paraId="7D3B091D" w14:textId="77777777">
        <w:trPr>
          <w:trHeight w:val="397"/>
        </w:trPr>
        <w:tc>
          <w:tcPr>
            <w:tcW w:w="487" w:type="pct"/>
          </w:tcPr>
          <w:p w14:paraId="4E69A20E" w14:textId="77777777" w:rsidR="003E78AB" w:rsidRDefault="00010BF9">
            <w:pPr>
              <w:spacing w:line="360" w:lineRule="exact"/>
              <w:ind w:firstLineChars="0" w:firstLine="0"/>
              <w:jc w:val="center"/>
              <w:rPr>
                <w:kern w:val="2"/>
                <w:sz w:val="21"/>
                <w:szCs w:val="21"/>
              </w:rPr>
            </w:pPr>
            <w:r>
              <w:rPr>
                <w:kern w:val="2"/>
                <w:sz w:val="21"/>
                <w:szCs w:val="21"/>
              </w:rPr>
              <w:t>茚并</w:t>
            </w:r>
            <w:r>
              <w:rPr>
                <w:kern w:val="2"/>
                <w:sz w:val="21"/>
                <w:szCs w:val="21"/>
              </w:rPr>
              <w:t>[1,2,3-cd]</w:t>
            </w:r>
            <w:r>
              <w:rPr>
                <w:kern w:val="2"/>
                <w:sz w:val="21"/>
                <w:szCs w:val="21"/>
              </w:rPr>
              <w:t>芘</w:t>
            </w:r>
          </w:p>
        </w:tc>
        <w:tc>
          <w:tcPr>
            <w:tcW w:w="297" w:type="pct"/>
          </w:tcPr>
          <w:p w14:paraId="457AC907" w14:textId="77777777" w:rsidR="003E78AB" w:rsidRDefault="00010BF9">
            <w:pPr>
              <w:spacing w:line="360" w:lineRule="exact"/>
              <w:ind w:firstLineChars="0" w:firstLine="0"/>
              <w:jc w:val="center"/>
              <w:rPr>
                <w:bCs/>
                <w:kern w:val="2"/>
                <w:sz w:val="21"/>
                <w:szCs w:val="21"/>
              </w:rPr>
            </w:pPr>
            <w:r>
              <w:rPr>
                <w:kern w:val="2"/>
                <w:sz w:val="21"/>
                <w:szCs w:val="21"/>
              </w:rPr>
              <w:t>15</w:t>
            </w:r>
          </w:p>
        </w:tc>
        <w:tc>
          <w:tcPr>
            <w:tcW w:w="329" w:type="pct"/>
          </w:tcPr>
          <w:p w14:paraId="127EF87F"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2C0FE9A5"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798319AF"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357D3800"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FDA215B"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0E3E733B"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0CD769BD"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3F004031"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7AB6B0D"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56367DA1"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037E7444"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253F01F6" w14:textId="77777777" w:rsidR="003E78AB" w:rsidRDefault="00010BF9">
            <w:pPr>
              <w:spacing w:line="360" w:lineRule="exact"/>
              <w:ind w:firstLineChars="0" w:firstLine="0"/>
              <w:jc w:val="center"/>
              <w:rPr>
                <w:sz w:val="21"/>
                <w:szCs w:val="21"/>
              </w:rPr>
            </w:pPr>
            <w:r>
              <w:rPr>
                <w:sz w:val="21"/>
                <w:szCs w:val="21"/>
              </w:rPr>
              <w:t>--</w:t>
            </w:r>
          </w:p>
        </w:tc>
      </w:tr>
      <w:tr w:rsidR="003E78AB" w14:paraId="2A8B66A1" w14:textId="77777777">
        <w:trPr>
          <w:trHeight w:val="397"/>
        </w:trPr>
        <w:tc>
          <w:tcPr>
            <w:tcW w:w="487" w:type="pct"/>
          </w:tcPr>
          <w:p w14:paraId="5CD99A11" w14:textId="77777777" w:rsidR="003E78AB" w:rsidRDefault="00010BF9">
            <w:pPr>
              <w:spacing w:line="360" w:lineRule="exact"/>
              <w:ind w:firstLineChars="0" w:firstLine="0"/>
              <w:jc w:val="center"/>
              <w:rPr>
                <w:kern w:val="2"/>
                <w:sz w:val="21"/>
                <w:szCs w:val="21"/>
              </w:rPr>
            </w:pPr>
            <w:r>
              <w:rPr>
                <w:kern w:val="2"/>
                <w:sz w:val="21"/>
                <w:szCs w:val="21"/>
              </w:rPr>
              <w:t>萘</w:t>
            </w:r>
          </w:p>
        </w:tc>
        <w:tc>
          <w:tcPr>
            <w:tcW w:w="297" w:type="pct"/>
          </w:tcPr>
          <w:p w14:paraId="22F853D2" w14:textId="77777777" w:rsidR="003E78AB" w:rsidRDefault="00010BF9">
            <w:pPr>
              <w:spacing w:line="360" w:lineRule="exact"/>
              <w:ind w:firstLineChars="0" w:firstLine="0"/>
              <w:jc w:val="center"/>
              <w:rPr>
                <w:bCs/>
                <w:kern w:val="2"/>
                <w:sz w:val="21"/>
                <w:szCs w:val="21"/>
              </w:rPr>
            </w:pPr>
            <w:r>
              <w:rPr>
                <w:kern w:val="2"/>
                <w:sz w:val="21"/>
                <w:szCs w:val="21"/>
              </w:rPr>
              <w:t>70</w:t>
            </w:r>
          </w:p>
        </w:tc>
        <w:tc>
          <w:tcPr>
            <w:tcW w:w="329" w:type="pct"/>
          </w:tcPr>
          <w:p w14:paraId="2BB46A5E" w14:textId="77777777" w:rsidR="003E78AB" w:rsidRDefault="00010BF9">
            <w:pPr>
              <w:spacing w:line="360" w:lineRule="exact"/>
              <w:ind w:firstLineChars="0" w:firstLine="0"/>
              <w:jc w:val="center"/>
              <w:rPr>
                <w:sz w:val="21"/>
                <w:szCs w:val="21"/>
              </w:rPr>
            </w:pPr>
            <w:r>
              <w:rPr>
                <w:sz w:val="21"/>
                <w:szCs w:val="21"/>
              </w:rPr>
              <w:t>ND</w:t>
            </w:r>
          </w:p>
        </w:tc>
        <w:tc>
          <w:tcPr>
            <w:tcW w:w="381" w:type="pct"/>
          </w:tcPr>
          <w:p w14:paraId="43617223" w14:textId="77777777" w:rsidR="003E78AB" w:rsidRDefault="00010BF9">
            <w:pPr>
              <w:spacing w:line="360" w:lineRule="exact"/>
              <w:ind w:firstLineChars="0" w:firstLine="0"/>
              <w:jc w:val="center"/>
              <w:rPr>
                <w:sz w:val="21"/>
                <w:szCs w:val="21"/>
              </w:rPr>
            </w:pPr>
            <w:r>
              <w:rPr>
                <w:sz w:val="21"/>
                <w:szCs w:val="21"/>
              </w:rPr>
              <w:t>--</w:t>
            </w:r>
          </w:p>
        </w:tc>
        <w:tc>
          <w:tcPr>
            <w:tcW w:w="326" w:type="pct"/>
          </w:tcPr>
          <w:p w14:paraId="0C648854" w14:textId="77777777" w:rsidR="003E78AB" w:rsidRDefault="00010BF9">
            <w:pPr>
              <w:spacing w:line="360" w:lineRule="exact"/>
              <w:ind w:firstLineChars="0" w:firstLine="0"/>
              <w:jc w:val="center"/>
              <w:rPr>
                <w:sz w:val="21"/>
                <w:szCs w:val="21"/>
              </w:rPr>
            </w:pPr>
            <w:r>
              <w:rPr>
                <w:sz w:val="21"/>
                <w:szCs w:val="21"/>
              </w:rPr>
              <w:t>ND</w:t>
            </w:r>
          </w:p>
        </w:tc>
        <w:tc>
          <w:tcPr>
            <w:tcW w:w="359" w:type="pct"/>
          </w:tcPr>
          <w:p w14:paraId="07CEA94E" w14:textId="77777777" w:rsidR="003E78AB" w:rsidRDefault="00010BF9">
            <w:pPr>
              <w:spacing w:line="360" w:lineRule="exact"/>
              <w:ind w:firstLineChars="0" w:firstLine="0"/>
              <w:jc w:val="center"/>
              <w:rPr>
                <w:sz w:val="21"/>
                <w:szCs w:val="21"/>
              </w:rPr>
            </w:pPr>
            <w:r>
              <w:rPr>
                <w:sz w:val="21"/>
                <w:szCs w:val="21"/>
              </w:rPr>
              <w:t>--</w:t>
            </w:r>
          </w:p>
        </w:tc>
        <w:tc>
          <w:tcPr>
            <w:tcW w:w="403" w:type="pct"/>
          </w:tcPr>
          <w:p w14:paraId="1E41BDF3" w14:textId="77777777" w:rsidR="003E78AB" w:rsidRDefault="00010BF9">
            <w:pPr>
              <w:spacing w:line="360" w:lineRule="exact"/>
              <w:ind w:firstLineChars="0" w:firstLine="0"/>
              <w:jc w:val="center"/>
              <w:rPr>
                <w:kern w:val="2"/>
                <w:sz w:val="21"/>
                <w:szCs w:val="21"/>
              </w:rPr>
            </w:pPr>
            <w:r>
              <w:rPr>
                <w:sz w:val="21"/>
                <w:szCs w:val="21"/>
              </w:rPr>
              <w:t>ND</w:t>
            </w:r>
          </w:p>
        </w:tc>
        <w:tc>
          <w:tcPr>
            <w:tcW w:w="390" w:type="pct"/>
          </w:tcPr>
          <w:p w14:paraId="5B20D7FC" w14:textId="77777777" w:rsidR="003E78AB" w:rsidRDefault="00010BF9">
            <w:pPr>
              <w:spacing w:line="360" w:lineRule="exact"/>
              <w:ind w:firstLineChars="0" w:firstLine="0"/>
              <w:jc w:val="center"/>
              <w:rPr>
                <w:sz w:val="21"/>
                <w:szCs w:val="21"/>
              </w:rPr>
            </w:pPr>
            <w:r>
              <w:rPr>
                <w:sz w:val="21"/>
                <w:szCs w:val="21"/>
              </w:rPr>
              <w:t>--</w:t>
            </w:r>
          </w:p>
        </w:tc>
        <w:tc>
          <w:tcPr>
            <w:tcW w:w="410" w:type="pct"/>
          </w:tcPr>
          <w:p w14:paraId="160ACE0B" w14:textId="77777777" w:rsidR="003E78AB" w:rsidRDefault="00010BF9">
            <w:pPr>
              <w:spacing w:line="360" w:lineRule="exact"/>
              <w:ind w:firstLineChars="0" w:firstLine="0"/>
              <w:jc w:val="center"/>
              <w:rPr>
                <w:kern w:val="2"/>
                <w:sz w:val="21"/>
                <w:szCs w:val="21"/>
              </w:rPr>
            </w:pPr>
            <w:r>
              <w:rPr>
                <w:sz w:val="21"/>
                <w:szCs w:val="21"/>
              </w:rPr>
              <w:t>ND</w:t>
            </w:r>
          </w:p>
        </w:tc>
        <w:tc>
          <w:tcPr>
            <w:tcW w:w="324" w:type="pct"/>
          </w:tcPr>
          <w:p w14:paraId="378F3A43" w14:textId="77777777" w:rsidR="003E78AB" w:rsidRDefault="00010BF9">
            <w:pPr>
              <w:spacing w:line="360" w:lineRule="exact"/>
              <w:ind w:firstLineChars="0" w:firstLine="0"/>
              <w:jc w:val="center"/>
              <w:rPr>
                <w:sz w:val="21"/>
                <w:szCs w:val="21"/>
              </w:rPr>
            </w:pPr>
            <w:r>
              <w:rPr>
                <w:sz w:val="21"/>
                <w:szCs w:val="21"/>
              </w:rPr>
              <w:t>--</w:t>
            </w:r>
          </w:p>
        </w:tc>
        <w:tc>
          <w:tcPr>
            <w:tcW w:w="350" w:type="pct"/>
          </w:tcPr>
          <w:p w14:paraId="0CBAF402" w14:textId="77777777" w:rsidR="003E78AB" w:rsidRDefault="00010BF9">
            <w:pPr>
              <w:spacing w:line="360" w:lineRule="exact"/>
              <w:ind w:firstLineChars="0" w:firstLine="0"/>
              <w:jc w:val="center"/>
              <w:rPr>
                <w:kern w:val="2"/>
                <w:sz w:val="21"/>
                <w:szCs w:val="21"/>
              </w:rPr>
            </w:pPr>
            <w:r>
              <w:rPr>
                <w:sz w:val="21"/>
                <w:szCs w:val="21"/>
              </w:rPr>
              <w:t>ND</w:t>
            </w:r>
          </w:p>
        </w:tc>
        <w:tc>
          <w:tcPr>
            <w:tcW w:w="291" w:type="pct"/>
          </w:tcPr>
          <w:p w14:paraId="7B2FB821" w14:textId="77777777" w:rsidR="003E78AB" w:rsidRDefault="00010BF9">
            <w:pPr>
              <w:spacing w:line="360" w:lineRule="exact"/>
              <w:ind w:firstLineChars="0" w:firstLine="0"/>
              <w:jc w:val="center"/>
              <w:rPr>
                <w:sz w:val="21"/>
                <w:szCs w:val="21"/>
              </w:rPr>
            </w:pPr>
            <w:r>
              <w:rPr>
                <w:sz w:val="21"/>
                <w:szCs w:val="21"/>
              </w:rPr>
              <w:t>--</w:t>
            </w:r>
          </w:p>
        </w:tc>
        <w:tc>
          <w:tcPr>
            <w:tcW w:w="359" w:type="pct"/>
          </w:tcPr>
          <w:p w14:paraId="70B7CE29" w14:textId="77777777" w:rsidR="003E78AB" w:rsidRDefault="00010BF9">
            <w:pPr>
              <w:spacing w:line="360" w:lineRule="exact"/>
              <w:ind w:firstLineChars="0" w:firstLine="0"/>
              <w:jc w:val="center"/>
              <w:rPr>
                <w:sz w:val="21"/>
                <w:szCs w:val="21"/>
              </w:rPr>
            </w:pPr>
            <w:r>
              <w:rPr>
                <w:sz w:val="21"/>
                <w:szCs w:val="21"/>
              </w:rPr>
              <w:t>ND</w:t>
            </w:r>
          </w:p>
        </w:tc>
        <w:tc>
          <w:tcPr>
            <w:tcW w:w="287" w:type="pct"/>
          </w:tcPr>
          <w:p w14:paraId="566CE49E" w14:textId="77777777" w:rsidR="003E78AB" w:rsidRDefault="00010BF9">
            <w:pPr>
              <w:spacing w:line="360" w:lineRule="exact"/>
              <w:ind w:firstLineChars="0" w:firstLine="0"/>
              <w:jc w:val="center"/>
              <w:rPr>
                <w:sz w:val="21"/>
                <w:szCs w:val="21"/>
              </w:rPr>
            </w:pPr>
            <w:r>
              <w:rPr>
                <w:sz w:val="21"/>
                <w:szCs w:val="21"/>
              </w:rPr>
              <w:t>--</w:t>
            </w:r>
          </w:p>
        </w:tc>
      </w:tr>
      <w:tr w:rsidR="003E78AB" w14:paraId="0CC7DD11" w14:textId="77777777">
        <w:trPr>
          <w:trHeight w:val="397"/>
        </w:trPr>
        <w:tc>
          <w:tcPr>
            <w:tcW w:w="487" w:type="pct"/>
          </w:tcPr>
          <w:p w14:paraId="40ECF12D" w14:textId="77777777" w:rsidR="003E78AB" w:rsidRDefault="00010BF9">
            <w:pPr>
              <w:spacing w:line="360" w:lineRule="exact"/>
              <w:ind w:firstLineChars="0" w:firstLine="0"/>
              <w:jc w:val="center"/>
              <w:rPr>
                <w:kern w:val="2"/>
                <w:sz w:val="21"/>
                <w:szCs w:val="21"/>
              </w:rPr>
            </w:pPr>
            <w:r>
              <w:rPr>
                <w:kern w:val="2"/>
                <w:sz w:val="21"/>
                <w:szCs w:val="21"/>
              </w:rPr>
              <w:t>氰化物</w:t>
            </w:r>
          </w:p>
        </w:tc>
        <w:tc>
          <w:tcPr>
            <w:tcW w:w="297" w:type="pct"/>
          </w:tcPr>
          <w:p w14:paraId="5CED1826" w14:textId="77777777" w:rsidR="003E78AB" w:rsidRDefault="00010BF9">
            <w:pPr>
              <w:spacing w:line="360" w:lineRule="exact"/>
              <w:ind w:firstLineChars="0" w:firstLine="0"/>
              <w:jc w:val="center"/>
              <w:rPr>
                <w:kern w:val="2"/>
                <w:sz w:val="21"/>
                <w:szCs w:val="21"/>
              </w:rPr>
            </w:pPr>
            <w:r>
              <w:rPr>
                <w:kern w:val="2"/>
                <w:sz w:val="21"/>
                <w:szCs w:val="21"/>
              </w:rPr>
              <w:t>135</w:t>
            </w:r>
          </w:p>
        </w:tc>
        <w:tc>
          <w:tcPr>
            <w:tcW w:w="329" w:type="pct"/>
          </w:tcPr>
          <w:p w14:paraId="0EC44A9E" w14:textId="77777777" w:rsidR="003E78AB" w:rsidRDefault="00010BF9">
            <w:pPr>
              <w:spacing w:line="360" w:lineRule="exact"/>
              <w:ind w:firstLineChars="0" w:firstLine="0"/>
              <w:jc w:val="center"/>
              <w:rPr>
                <w:kern w:val="2"/>
                <w:sz w:val="21"/>
                <w:szCs w:val="21"/>
              </w:rPr>
            </w:pPr>
            <w:r>
              <w:rPr>
                <w:rFonts w:hint="eastAsia"/>
                <w:kern w:val="2"/>
                <w:sz w:val="21"/>
                <w:szCs w:val="21"/>
              </w:rPr>
              <w:t>0.04L</w:t>
            </w:r>
          </w:p>
        </w:tc>
        <w:tc>
          <w:tcPr>
            <w:tcW w:w="381" w:type="pct"/>
            <w:shd w:val="clear" w:color="auto" w:fill="auto"/>
            <w:vAlign w:val="bottom"/>
          </w:tcPr>
          <w:p w14:paraId="1B6F3697" w14:textId="77777777" w:rsidR="003E78AB" w:rsidRDefault="00010BF9">
            <w:pPr>
              <w:spacing w:line="360" w:lineRule="exact"/>
              <w:ind w:firstLineChars="0" w:firstLine="0"/>
              <w:jc w:val="center"/>
              <w:rPr>
                <w:sz w:val="21"/>
                <w:szCs w:val="21"/>
              </w:rPr>
            </w:pPr>
            <w:r>
              <w:rPr>
                <w:sz w:val="21"/>
                <w:szCs w:val="21"/>
                <w:lang w:bidi="ar"/>
              </w:rPr>
              <w:t xml:space="preserve">0.0001 </w:t>
            </w:r>
          </w:p>
        </w:tc>
        <w:tc>
          <w:tcPr>
            <w:tcW w:w="326" w:type="pct"/>
          </w:tcPr>
          <w:p w14:paraId="148DF242" w14:textId="77777777" w:rsidR="003E78AB" w:rsidRDefault="00010BF9">
            <w:pPr>
              <w:spacing w:line="360" w:lineRule="exact"/>
              <w:ind w:firstLineChars="0" w:firstLine="0"/>
              <w:jc w:val="center"/>
              <w:rPr>
                <w:sz w:val="21"/>
                <w:szCs w:val="21"/>
              </w:rPr>
            </w:pPr>
            <w:r>
              <w:rPr>
                <w:sz w:val="21"/>
                <w:szCs w:val="21"/>
              </w:rPr>
              <w:t>0.04L</w:t>
            </w:r>
          </w:p>
        </w:tc>
        <w:tc>
          <w:tcPr>
            <w:tcW w:w="359" w:type="pct"/>
            <w:shd w:val="clear" w:color="auto" w:fill="auto"/>
            <w:vAlign w:val="bottom"/>
          </w:tcPr>
          <w:p w14:paraId="249398AF" w14:textId="77777777" w:rsidR="003E78AB" w:rsidRDefault="00010BF9">
            <w:pPr>
              <w:spacing w:line="360" w:lineRule="exact"/>
              <w:ind w:firstLineChars="0" w:firstLine="0"/>
              <w:jc w:val="center"/>
              <w:rPr>
                <w:sz w:val="21"/>
                <w:szCs w:val="21"/>
              </w:rPr>
            </w:pPr>
            <w:r>
              <w:rPr>
                <w:sz w:val="21"/>
                <w:szCs w:val="21"/>
                <w:lang w:bidi="ar"/>
              </w:rPr>
              <w:t xml:space="preserve">0.0001 </w:t>
            </w:r>
          </w:p>
        </w:tc>
        <w:tc>
          <w:tcPr>
            <w:tcW w:w="403" w:type="pct"/>
          </w:tcPr>
          <w:p w14:paraId="4D5528B9" w14:textId="77777777" w:rsidR="003E78AB" w:rsidRDefault="00010BF9">
            <w:pPr>
              <w:spacing w:line="360" w:lineRule="exact"/>
              <w:ind w:firstLineChars="0" w:firstLine="0"/>
              <w:jc w:val="center"/>
              <w:rPr>
                <w:sz w:val="21"/>
                <w:szCs w:val="21"/>
              </w:rPr>
            </w:pPr>
            <w:r>
              <w:rPr>
                <w:sz w:val="21"/>
                <w:szCs w:val="21"/>
              </w:rPr>
              <w:t>0.04L</w:t>
            </w:r>
          </w:p>
        </w:tc>
        <w:tc>
          <w:tcPr>
            <w:tcW w:w="390" w:type="pct"/>
            <w:shd w:val="clear" w:color="auto" w:fill="auto"/>
            <w:vAlign w:val="bottom"/>
          </w:tcPr>
          <w:p w14:paraId="57080F0E" w14:textId="77777777" w:rsidR="003E78AB" w:rsidRDefault="00010BF9">
            <w:pPr>
              <w:spacing w:line="360" w:lineRule="exact"/>
              <w:ind w:firstLineChars="0" w:firstLine="0"/>
              <w:jc w:val="center"/>
              <w:rPr>
                <w:sz w:val="21"/>
                <w:szCs w:val="21"/>
              </w:rPr>
            </w:pPr>
            <w:r>
              <w:rPr>
                <w:sz w:val="21"/>
                <w:szCs w:val="21"/>
                <w:lang w:bidi="ar"/>
              </w:rPr>
              <w:t xml:space="preserve">0.0001 </w:t>
            </w:r>
          </w:p>
        </w:tc>
        <w:tc>
          <w:tcPr>
            <w:tcW w:w="410" w:type="pct"/>
          </w:tcPr>
          <w:p w14:paraId="6B3681B9" w14:textId="77777777" w:rsidR="003E78AB" w:rsidRDefault="00010BF9">
            <w:pPr>
              <w:spacing w:line="360" w:lineRule="exact"/>
              <w:ind w:firstLineChars="0" w:firstLine="0"/>
              <w:jc w:val="center"/>
              <w:rPr>
                <w:sz w:val="21"/>
                <w:szCs w:val="21"/>
              </w:rPr>
            </w:pPr>
            <w:r>
              <w:rPr>
                <w:sz w:val="21"/>
                <w:szCs w:val="21"/>
              </w:rPr>
              <w:t>0.04L</w:t>
            </w:r>
          </w:p>
        </w:tc>
        <w:tc>
          <w:tcPr>
            <w:tcW w:w="324" w:type="pct"/>
            <w:shd w:val="clear" w:color="auto" w:fill="auto"/>
            <w:vAlign w:val="bottom"/>
          </w:tcPr>
          <w:p w14:paraId="251B76CB" w14:textId="77777777" w:rsidR="003E78AB" w:rsidRDefault="00010BF9">
            <w:pPr>
              <w:spacing w:line="360" w:lineRule="exact"/>
              <w:ind w:firstLineChars="0" w:firstLine="0"/>
              <w:jc w:val="center"/>
              <w:rPr>
                <w:sz w:val="21"/>
                <w:szCs w:val="21"/>
              </w:rPr>
            </w:pPr>
            <w:r>
              <w:rPr>
                <w:sz w:val="21"/>
                <w:szCs w:val="21"/>
                <w:lang w:bidi="ar"/>
              </w:rPr>
              <w:t xml:space="preserve">0.0001 </w:t>
            </w:r>
          </w:p>
        </w:tc>
        <w:tc>
          <w:tcPr>
            <w:tcW w:w="350" w:type="pct"/>
          </w:tcPr>
          <w:p w14:paraId="29A90278" w14:textId="77777777" w:rsidR="003E78AB" w:rsidRDefault="00010BF9">
            <w:pPr>
              <w:spacing w:line="360" w:lineRule="exact"/>
              <w:ind w:firstLineChars="0" w:firstLine="0"/>
              <w:jc w:val="center"/>
              <w:rPr>
                <w:sz w:val="21"/>
                <w:szCs w:val="21"/>
              </w:rPr>
            </w:pPr>
            <w:r>
              <w:rPr>
                <w:sz w:val="21"/>
                <w:szCs w:val="21"/>
              </w:rPr>
              <w:t>0.04L</w:t>
            </w:r>
          </w:p>
        </w:tc>
        <w:tc>
          <w:tcPr>
            <w:tcW w:w="291" w:type="pct"/>
            <w:shd w:val="clear" w:color="auto" w:fill="auto"/>
            <w:vAlign w:val="bottom"/>
          </w:tcPr>
          <w:p w14:paraId="53D07C53" w14:textId="77777777" w:rsidR="003E78AB" w:rsidRDefault="00010BF9">
            <w:pPr>
              <w:spacing w:line="360" w:lineRule="exact"/>
              <w:ind w:firstLineChars="0" w:firstLine="0"/>
              <w:jc w:val="center"/>
              <w:rPr>
                <w:sz w:val="21"/>
                <w:szCs w:val="21"/>
              </w:rPr>
            </w:pPr>
            <w:r>
              <w:rPr>
                <w:sz w:val="21"/>
                <w:szCs w:val="21"/>
                <w:lang w:bidi="ar"/>
              </w:rPr>
              <w:t xml:space="preserve">0.0001 </w:t>
            </w:r>
          </w:p>
        </w:tc>
        <w:tc>
          <w:tcPr>
            <w:tcW w:w="359" w:type="pct"/>
          </w:tcPr>
          <w:p w14:paraId="003E67FA" w14:textId="77777777" w:rsidR="003E78AB" w:rsidRDefault="00010BF9">
            <w:pPr>
              <w:spacing w:line="360" w:lineRule="exact"/>
              <w:ind w:firstLineChars="0" w:firstLine="0"/>
              <w:jc w:val="center"/>
              <w:rPr>
                <w:sz w:val="21"/>
                <w:szCs w:val="21"/>
              </w:rPr>
            </w:pPr>
            <w:r>
              <w:rPr>
                <w:sz w:val="21"/>
                <w:szCs w:val="21"/>
              </w:rPr>
              <w:t>0.04L</w:t>
            </w:r>
          </w:p>
        </w:tc>
        <w:tc>
          <w:tcPr>
            <w:tcW w:w="287" w:type="pct"/>
            <w:shd w:val="clear" w:color="auto" w:fill="auto"/>
            <w:vAlign w:val="bottom"/>
          </w:tcPr>
          <w:p w14:paraId="7527A3E7" w14:textId="77777777" w:rsidR="003E78AB" w:rsidRDefault="00010BF9">
            <w:pPr>
              <w:spacing w:line="360" w:lineRule="exact"/>
              <w:ind w:firstLineChars="0" w:firstLine="0"/>
              <w:jc w:val="center"/>
              <w:rPr>
                <w:sz w:val="21"/>
                <w:szCs w:val="21"/>
              </w:rPr>
            </w:pPr>
            <w:r>
              <w:rPr>
                <w:sz w:val="21"/>
                <w:szCs w:val="21"/>
                <w:lang w:bidi="ar"/>
              </w:rPr>
              <w:t xml:space="preserve">0.0001 </w:t>
            </w:r>
          </w:p>
        </w:tc>
      </w:tr>
      <w:tr w:rsidR="003E78AB" w14:paraId="48AF58B1" w14:textId="77777777">
        <w:trPr>
          <w:trHeight w:val="397"/>
        </w:trPr>
        <w:tc>
          <w:tcPr>
            <w:tcW w:w="487" w:type="pct"/>
          </w:tcPr>
          <w:p w14:paraId="6A7898AF" w14:textId="77777777" w:rsidR="003E78AB" w:rsidRDefault="00010BF9">
            <w:pPr>
              <w:spacing w:line="360" w:lineRule="exact"/>
              <w:ind w:firstLineChars="0" w:firstLine="0"/>
              <w:jc w:val="center"/>
              <w:rPr>
                <w:kern w:val="2"/>
                <w:sz w:val="21"/>
                <w:szCs w:val="21"/>
              </w:rPr>
            </w:pPr>
            <w:r>
              <w:rPr>
                <w:kern w:val="2"/>
                <w:sz w:val="21"/>
                <w:szCs w:val="21"/>
              </w:rPr>
              <w:t>石油烃（</w:t>
            </w:r>
            <w:r>
              <w:rPr>
                <w:kern w:val="2"/>
                <w:sz w:val="21"/>
                <w:szCs w:val="21"/>
              </w:rPr>
              <w:t>C</w:t>
            </w:r>
            <w:r>
              <w:rPr>
                <w:kern w:val="2"/>
                <w:sz w:val="21"/>
                <w:szCs w:val="21"/>
                <w:vertAlign w:val="subscript"/>
              </w:rPr>
              <w:t>10</w:t>
            </w:r>
            <w:r>
              <w:rPr>
                <w:kern w:val="2"/>
                <w:sz w:val="21"/>
                <w:szCs w:val="21"/>
              </w:rPr>
              <w:t>~C</w:t>
            </w:r>
            <w:r>
              <w:rPr>
                <w:kern w:val="2"/>
                <w:sz w:val="21"/>
                <w:szCs w:val="21"/>
                <w:vertAlign w:val="subscript"/>
              </w:rPr>
              <w:t>40</w:t>
            </w:r>
            <w:r>
              <w:rPr>
                <w:kern w:val="2"/>
                <w:sz w:val="21"/>
                <w:szCs w:val="21"/>
              </w:rPr>
              <w:t>）</w:t>
            </w:r>
          </w:p>
        </w:tc>
        <w:tc>
          <w:tcPr>
            <w:tcW w:w="297" w:type="pct"/>
          </w:tcPr>
          <w:p w14:paraId="2F8664AA" w14:textId="77777777" w:rsidR="003E78AB" w:rsidRDefault="00010BF9">
            <w:pPr>
              <w:spacing w:line="360" w:lineRule="exact"/>
              <w:ind w:firstLineChars="0" w:firstLine="0"/>
              <w:jc w:val="center"/>
              <w:rPr>
                <w:kern w:val="2"/>
                <w:sz w:val="21"/>
                <w:szCs w:val="21"/>
              </w:rPr>
            </w:pPr>
            <w:r>
              <w:rPr>
                <w:kern w:val="2"/>
                <w:sz w:val="21"/>
                <w:szCs w:val="21"/>
              </w:rPr>
              <w:t>4500</w:t>
            </w:r>
          </w:p>
        </w:tc>
        <w:tc>
          <w:tcPr>
            <w:tcW w:w="329" w:type="pct"/>
          </w:tcPr>
          <w:p w14:paraId="51D0A799" w14:textId="77777777" w:rsidR="003E78AB" w:rsidRDefault="00010BF9">
            <w:pPr>
              <w:spacing w:line="360" w:lineRule="exact"/>
              <w:ind w:firstLineChars="0" w:firstLine="0"/>
              <w:jc w:val="center"/>
              <w:rPr>
                <w:kern w:val="2"/>
                <w:sz w:val="21"/>
                <w:szCs w:val="21"/>
              </w:rPr>
            </w:pPr>
            <w:r>
              <w:rPr>
                <w:rFonts w:hint="eastAsia"/>
                <w:kern w:val="2"/>
                <w:sz w:val="21"/>
                <w:szCs w:val="21"/>
              </w:rPr>
              <w:t>9</w:t>
            </w:r>
          </w:p>
        </w:tc>
        <w:tc>
          <w:tcPr>
            <w:tcW w:w="381" w:type="pct"/>
          </w:tcPr>
          <w:p w14:paraId="4CBA6A41" w14:textId="77777777" w:rsidR="003E78AB" w:rsidRDefault="00010BF9">
            <w:pPr>
              <w:spacing w:line="360" w:lineRule="exact"/>
              <w:ind w:firstLineChars="0" w:firstLine="0"/>
              <w:jc w:val="center"/>
              <w:rPr>
                <w:kern w:val="2"/>
                <w:sz w:val="21"/>
                <w:szCs w:val="21"/>
              </w:rPr>
            </w:pPr>
            <w:r>
              <w:rPr>
                <w:rFonts w:hint="eastAsia"/>
                <w:kern w:val="2"/>
                <w:sz w:val="21"/>
                <w:szCs w:val="21"/>
              </w:rPr>
              <w:t>0.002</w:t>
            </w:r>
          </w:p>
        </w:tc>
        <w:tc>
          <w:tcPr>
            <w:tcW w:w="326" w:type="pct"/>
          </w:tcPr>
          <w:p w14:paraId="268B1901" w14:textId="77777777" w:rsidR="003E78AB" w:rsidRDefault="00010BF9">
            <w:pPr>
              <w:spacing w:line="360" w:lineRule="exact"/>
              <w:ind w:firstLineChars="0" w:firstLine="0"/>
              <w:jc w:val="center"/>
              <w:rPr>
                <w:kern w:val="2"/>
                <w:sz w:val="21"/>
                <w:szCs w:val="21"/>
              </w:rPr>
            </w:pPr>
            <w:r>
              <w:rPr>
                <w:rFonts w:hint="eastAsia"/>
                <w:kern w:val="2"/>
                <w:sz w:val="21"/>
                <w:szCs w:val="21"/>
              </w:rPr>
              <w:t>10</w:t>
            </w:r>
          </w:p>
        </w:tc>
        <w:tc>
          <w:tcPr>
            <w:tcW w:w="359" w:type="pct"/>
          </w:tcPr>
          <w:p w14:paraId="414B0997" w14:textId="77777777" w:rsidR="003E78AB" w:rsidRDefault="00010BF9">
            <w:pPr>
              <w:spacing w:line="360" w:lineRule="exact"/>
              <w:ind w:firstLineChars="0" w:firstLine="0"/>
              <w:jc w:val="center"/>
              <w:rPr>
                <w:kern w:val="2"/>
                <w:sz w:val="21"/>
                <w:szCs w:val="21"/>
              </w:rPr>
            </w:pPr>
            <w:r>
              <w:rPr>
                <w:rFonts w:hint="eastAsia"/>
                <w:kern w:val="2"/>
                <w:sz w:val="21"/>
                <w:szCs w:val="21"/>
              </w:rPr>
              <w:t>0.002</w:t>
            </w:r>
          </w:p>
        </w:tc>
        <w:tc>
          <w:tcPr>
            <w:tcW w:w="403" w:type="pct"/>
          </w:tcPr>
          <w:p w14:paraId="76BBB19B" w14:textId="77777777" w:rsidR="003E78AB" w:rsidRDefault="00010BF9">
            <w:pPr>
              <w:spacing w:line="360" w:lineRule="exact"/>
              <w:ind w:firstLineChars="0" w:firstLine="0"/>
              <w:jc w:val="center"/>
              <w:rPr>
                <w:kern w:val="2"/>
                <w:sz w:val="21"/>
                <w:szCs w:val="21"/>
              </w:rPr>
            </w:pPr>
            <w:r>
              <w:rPr>
                <w:rFonts w:hint="eastAsia"/>
                <w:kern w:val="2"/>
                <w:sz w:val="21"/>
                <w:szCs w:val="21"/>
              </w:rPr>
              <w:t>11</w:t>
            </w:r>
          </w:p>
        </w:tc>
        <w:tc>
          <w:tcPr>
            <w:tcW w:w="390" w:type="pct"/>
          </w:tcPr>
          <w:p w14:paraId="199979A7"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0.002 </w:t>
            </w:r>
          </w:p>
        </w:tc>
        <w:tc>
          <w:tcPr>
            <w:tcW w:w="410" w:type="pct"/>
          </w:tcPr>
          <w:p w14:paraId="2FDCB657" w14:textId="77777777" w:rsidR="003E78AB" w:rsidRDefault="00010BF9">
            <w:pPr>
              <w:spacing w:line="360" w:lineRule="exact"/>
              <w:ind w:firstLineChars="0" w:firstLine="0"/>
              <w:jc w:val="center"/>
              <w:rPr>
                <w:kern w:val="2"/>
                <w:sz w:val="21"/>
                <w:szCs w:val="21"/>
              </w:rPr>
            </w:pPr>
            <w:r>
              <w:rPr>
                <w:rFonts w:hint="eastAsia"/>
                <w:kern w:val="2"/>
                <w:sz w:val="21"/>
                <w:szCs w:val="21"/>
              </w:rPr>
              <w:t>11</w:t>
            </w:r>
          </w:p>
        </w:tc>
        <w:tc>
          <w:tcPr>
            <w:tcW w:w="324" w:type="pct"/>
          </w:tcPr>
          <w:p w14:paraId="414BE3B3"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0.002 </w:t>
            </w:r>
          </w:p>
        </w:tc>
        <w:tc>
          <w:tcPr>
            <w:tcW w:w="350" w:type="pct"/>
          </w:tcPr>
          <w:p w14:paraId="176B176E" w14:textId="77777777" w:rsidR="003E78AB" w:rsidRDefault="00010BF9">
            <w:pPr>
              <w:spacing w:line="360" w:lineRule="exact"/>
              <w:ind w:firstLineChars="0" w:firstLine="0"/>
              <w:jc w:val="center"/>
              <w:rPr>
                <w:kern w:val="2"/>
                <w:sz w:val="21"/>
                <w:szCs w:val="21"/>
              </w:rPr>
            </w:pPr>
            <w:r>
              <w:rPr>
                <w:rFonts w:hint="eastAsia"/>
                <w:kern w:val="2"/>
                <w:sz w:val="21"/>
                <w:szCs w:val="21"/>
              </w:rPr>
              <w:t>14</w:t>
            </w:r>
          </w:p>
        </w:tc>
        <w:tc>
          <w:tcPr>
            <w:tcW w:w="291" w:type="pct"/>
          </w:tcPr>
          <w:p w14:paraId="026EA2CB"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0.003 </w:t>
            </w:r>
          </w:p>
        </w:tc>
        <w:tc>
          <w:tcPr>
            <w:tcW w:w="359" w:type="pct"/>
          </w:tcPr>
          <w:p w14:paraId="6967F254" w14:textId="77777777" w:rsidR="003E78AB" w:rsidRDefault="00010BF9">
            <w:pPr>
              <w:spacing w:line="360" w:lineRule="exact"/>
              <w:ind w:firstLineChars="0" w:firstLine="0"/>
              <w:jc w:val="center"/>
              <w:rPr>
                <w:kern w:val="2"/>
                <w:sz w:val="21"/>
                <w:szCs w:val="21"/>
              </w:rPr>
            </w:pPr>
            <w:r>
              <w:rPr>
                <w:rFonts w:hint="eastAsia"/>
                <w:kern w:val="2"/>
                <w:sz w:val="21"/>
                <w:szCs w:val="21"/>
              </w:rPr>
              <w:t>15</w:t>
            </w:r>
          </w:p>
        </w:tc>
        <w:tc>
          <w:tcPr>
            <w:tcW w:w="287" w:type="pct"/>
          </w:tcPr>
          <w:p w14:paraId="53C85D47"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0.003 </w:t>
            </w:r>
          </w:p>
        </w:tc>
      </w:tr>
      <w:tr w:rsidR="003E78AB" w14:paraId="274E7D82" w14:textId="77777777">
        <w:trPr>
          <w:trHeight w:val="397"/>
        </w:trPr>
        <w:tc>
          <w:tcPr>
            <w:tcW w:w="487" w:type="pct"/>
          </w:tcPr>
          <w:p w14:paraId="09EA475C" w14:textId="77777777" w:rsidR="003E78AB" w:rsidRDefault="00010BF9">
            <w:pPr>
              <w:spacing w:line="360" w:lineRule="exact"/>
              <w:ind w:firstLineChars="0" w:firstLine="0"/>
              <w:jc w:val="center"/>
              <w:rPr>
                <w:kern w:val="2"/>
                <w:sz w:val="21"/>
                <w:szCs w:val="21"/>
              </w:rPr>
            </w:pPr>
            <w:r>
              <w:rPr>
                <w:rFonts w:hint="eastAsia"/>
                <w:kern w:val="2"/>
                <w:sz w:val="21"/>
                <w:szCs w:val="21"/>
              </w:rPr>
              <w:t>钒</w:t>
            </w:r>
          </w:p>
        </w:tc>
        <w:tc>
          <w:tcPr>
            <w:tcW w:w="297" w:type="pct"/>
          </w:tcPr>
          <w:p w14:paraId="7BC04BB7" w14:textId="77777777" w:rsidR="003E78AB" w:rsidRDefault="00010BF9">
            <w:pPr>
              <w:spacing w:line="360" w:lineRule="exact"/>
              <w:ind w:firstLineChars="0" w:firstLine="0"/>
              <w:jc w:val="center"/>
              <w:rPr>
                <w:kern w:val="2"/>
                <w:sz w:val="21"/>
                <w:szCs w:val="21"/>
              </w:rPr>
            </w:pPr>
            <w:r>
              <w:rPr>
                <w:rFonts w:hint="eastAsia"/>
                <w:kern w:val="2"/>
                <w:sz w:val="21"/>
                <w:szCs w:val="21"/>
              </w:rPr>
              <w:t>752</w:t>
            </w:r>
          </w:p>
        </w:tc>
        <w:tc>
          <w:tcPr>
            <w:tcW w:w="329" w:type="pct"/>
          </w:tcPr>
          <w:p w14:paraId="1B25ADA2" w14:textId="77777777" w:rsidR="003E78AB" w:rsidRDefault="003E78AB">
            <w:pPr>
              <w:spacing w:line="360" w:lineRule="exact"/>
              <w:ind w:firstLine="420"/>
              <w:jc w:val="center"/>
              <w:rPr>
                <w:kern w:val="2"/>
                <w:sz w:val="21"/>
                <w:szCs w:val="21"/>
              </w:rPr>
            </w:pPr>
          </w:p>
        </w:tc>
        <w:tc>
          <w:tcPr>
            <w:tcW w:w="381" w:type="pct"/>
          </w:tcPr>
          <w:p w14:paraId="0F82E6F6" w14:textId="77777777" w:rsidR="003E78AB" w:rsidRDefault="003E78AB">
            <w:pPr>
              <w:spacing w:line="360" w:lineRule="exact"/>
              <w:ind w:firstLine="420"/>
              <w:jc w:val="center"/>
              <w:rPr>
                <w:kern w:val="2"/>
                <w:sz w:val="21"/>
                <w:szCs w:val="21"/>
              </w:rPr>
            </w:pPr>
          </w:p>
        </w:tc>
        <w:tc>
          <w:tcPr>
            <w:tcW w:w="326" w:type="pct"/>
          </w:tcPr>
          <w:p w14:paraId="2BE32D4E" w14:textId="77777777" w:rsidR="003E78AB" w:rsidRDefault="003E78AB">
            <w:pPr>
              <w:spacing w:line="360" w:lineRule="exact"/>
              <w:ind w:firstLine="420"/>
              <w:jc w:val="center"/>
              <w:rPr>
                <w:kern w:val="2"/>
                <w:sz w:val="21"/>
                <w:szCs w:val="21"/>
              </w:rPr>
            </w:pPr>
          </w:p>
        </w:tc>
        <w:tc>
          <w:tcPr>
            <w:tcW w:w="359" w:type="pct"/>
          </w:tcPr>
          <w:p w14:paraId="454DDD2E" w14:textId="77777777" w:rsidR="003E78AB" w:rsidRDefault="003E78AB">
            <w:pPr>
              <w:spacing w:line="360" w:lineRule="exact"/>
              <w:ind w:firstLine="420"/>
              <w:jc w:val="center"/>
              <w:rPr>
                <w:kern w:val="2"/>
                <w:sz w:val="21"/>
                <w:szCs w:val="21"/>
              </w:rPr>
            </w:pPr>
          </w:p>
        </w:tc>
        <w:tc>
          <w:tcPr>
            <w:tcW w:w="403" w:type="pct"/>
          </w:tcPr>
          <w:p w14:paraId="572B115D" w14:textId="77777777" w:rsidR="003E78AB" w:rsidRDefault="003E78AB">
            <w:pPr>
              <w:spacing w:line="360" w:lineRule="exact"/>
              <w:ind w:firstLine="420"/>
              <w:jc w:val="center"/>
              <w:rPr>
                <w:kern w:val="2"/>
                <w:sz w:val="21"/>
                <w:szCs w:val="21"/>
              </w:rPr>
            </w:pPr>
          </w:p>
        </w:tc>
        <w:tc>
          <w:tcPr>
            <w:tcW w:w="390" w:type="pct"/>
          </w:tcPr>
          <w:p w14:paraId="2A460CF4" w14:textId="77777777" w:rsidR="003E78AB" w:rsidRDefault="003E78AB">
            <w:pPr>
              <w:spacing w:line="360" w:lineRule="exact"/>
              <w:ind w:firstLine="420"/>
              <w:jc w:val="center"/>
              <w:rPr>
                <w:kern w:val="2"/>
                <w:sz w:val="21"/>
                <w:szCs w:val="21"/>
              </w:rPr>
            </w:pPr>
          </w:p>
        </w:tc>
        <w:tc>
          <w:tcPr>
            <w:tcW w:w="410" w:type="pct"/>
          </w:tcPr>
          <w:p w14:paraId="5C6BC342" w14:textId="77777777" w:rsidR="003E78AB" w:rsidRDefault="003E78AB">
            <w:pPr>
              <w:spacing w:line="360" w:lineRule="exact"/>
              <w:ind w:firstLine="420"/>
              <w:jc w:val="center"/>
              <w:rPr>
                <w:kern w:val="2"/>
                <w:sz w:val="21"/>
                <w:szCs w:val="21"/>
              </w:rPr>
            </w:pPr>
          </w:p>
        </w:tc>
        <w:tc>
          <w:tcPr>
            <w:tcW w:w="324" w:type="pct"/>
          </w:tcPr>
          <w:p w14:paraId="2D2E93EB" w14:textId="77777777" w:rsidR="003E78AB" w:rsidRDefault="003E78AB">
            <w:pPr>
              <w:spacing w:line="360" w:lineRule="exact"/>
              <w:ind w:firstLine="420"/>
              <w:jc w:val="center"/>
              <w:rPr>
                <w:kern w:val="2"/>
                <w:sz w:val="21"/>
                <w:szCs w:val="21"/>
              </w:rPr>
            </w:pPr>
          </w:p>
        </w:tc>
        <w:tc>
          <w:tcPr>
            <w:tcW w:w="350" w:type="pct"/>
          </w:tcPr>
          <w:p w14:paraId="6EED6926" w14:textId="77777777" w:rsidR="003E78AB" w:rsidRDefault="003E78AB">
            <w:pPr>
              <w:spacing w:line="360" w:lineRule="exact"/>
              <w:ind w:firstLine="420"/>
              <w:jc w:val="center"/>
              <w:rPr>
                <w:kern w:val="2"/>
                <w:sz w:val="21"/>
                <w:szCs w:val="21"/>
              </w:rPr>
            </w:pPr>
          </w:p>
        </w:tc>
        <w:tc>
          <w:tcPr>
            <w:tcW w:w="291" w:type="pct"/>
          </w:tcPr>
          <w:p w14:paraId="24E7BB49" w14:textId="77777777" w:rsidR="003E78AB" w:rsidRDefault="003E78AB">
            <w:pPr>
              <w:spacing w:line="360" w:lineRule="exact"/>
              <w:ind w:firstLine="420"/>
              <w:jc w:val="center"/>
              <w:rPr>
                <w:kern w:val="2"/>
                <w:sz w:val="21"/>
                <w:szCs w:val="21"/>
              </w:rPr>
            </w:pPr>
          </w:p>
        </w:tc>
        <w:tc>
          <w:tcPr>
            <w:tcW w:w="359" w:type="pct"/>
          </w:tcPr>
          <w:p w14:paraId="6908A952" w14:textId="77777777" w:rsidR="003E78AB" w:rsidRDefault="003E78AB">
            <w:pPr>
              <w:spacing w:line="360" w:lineRule="exact"/>
              <w:ind w:firstLineChars="0" w:firstLine="0"/>
              <w:jc w:val="center"/>
              <w:rPr>
                <w:kern w:val="2"/>
                <w:sz w:val="21"/>
                <w:szCs w:val="21"/>
              </w:rPr>
            </w:pPr>
          </w:p>
        </w:tc>
        <w:tc>
          <w:tcPr>
            <w:tcW w:w="287" w:type="pct"/>
          </w:tcPr>
          <w:p w14:paraId="0C54ABC6" w14:textId="77777777" w:rsidR="003E78AB" w:rsidRDefault="003E78AB">
            <w:pPr>
              <w:spacing w:line="360" w:lineRule="exact"/>
              <w:ind w:firstLine="420"/>
              <w:jc w:val="center"/>
              <w:rPr>
                <w:kern w:val="2"/>
                <w:sz w:val="21"/>
                <w:szCs w:val="21"/>
              </w:rPr>
            </w:pPr>
          </w:p>
        </w:tc>
      </w:tr>
      <w:tr w:rsidR="003E78AB" w14:paraId="231B5E88" w14:textId="77777777">
        <w:trPr>
          <w:trHeight w:val="397"/>
        </w:trPr>
        <w:tc>
          <w:tcPr>
            <w:tcW w:w="487" w:type="pct"/>
          </w:tcPr>
          <w:p w14:paraId="0931AF02" w14:textId="77777777" w:rsidR="003E78AB" w:rsidRDefault="00010BF9">
            <w:pPr>
              <w:spacing w:line="360" w:lineRule="exact"/>
              <w:ind w:firstLineChars="0" w:firstLine="0"/>
              <w:jc w:val="center"/>
              <w:rPr>
                <w:kern w:val="2"/>
                <w:sz w:val="21"/>
                <w:szCs w:val="21"/>
              </w:rPr>
            </w:pPr>
            <w:r>
              <w:rPr>
                <w:rFonts w:hint="eastAsia"/>
                <w:kern w:val="2"/>
                <w:sz w:val="21"/>
                <w:szCs w:val="21"/>
              </w:rPr>
              <w:t>总磷</w:t>
            </w:r>
          </w:p>
        </w:tc>
        <w:tc>
          <w:tcPr>
            <w:tcW w:w="297" w:type="pct"/>
          </w:tcPr>
          <w:p w14:paraId="52139DD7"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29" w:type="pct"/>
          </w:tcPr>
          <w:p w14:paraId="559B3132" w14:textId="77777777" w:rsidR="003E78AB" w:rsidRDefault="00010BF9">
            <w:pPr>
              <w:spacing w:line="360" w:lineRule="exact"/>
              <w:ind w:firstLineChars="0" w:firstLine="0"/>
              <w:jc w:val="center"/>
              <w:rPr>
                <w:kern w:val="2"/>
                <w:sz w:val="21"/>
                <w:szCs w:val="21"/>
              </w:rPr>
            </w:pPr>
            <w:r>
              <w:rPr>
                <w:rFonts w:hint="eastAsia"/>
                <w:kern w:val="2"/>
                <w:sz w:val="21"/>
                <w:szCs w:val="21"/>
              </w:rPr>
              <w:t>190</w:t>
            </w:r>
          </w:p>
        </w:tc>
        <w:tc>
          <w:tcPr>
            <w:tcW w:w="381" w:type="pct"/>
          </w:tcPr>
          <w:p w14:paraId="3DBB412D"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26" w:type="pct"/>
          </w:tcPr>
          <w:p w14:paraId="53C03868" w14:textId="77777777" w:rsidR="003E78AB" w:rsidRDefault="00010BF9">
            <w:pPr>
              <w:spacing w:line="360" w:lineRule="exact"/>
              <w:ind w:firstLineChars="0" w:firstLine="0"/>
              <w:jc w:val="center"/>
              <w:rPr>
                <w:kern w:val="2"/>
                <w:sz w:val="21"/>
                <w:szCs w:val="21"/>
              </w:rPr>
            </w:pPr>
            <w:r>
              <w:rPr>
                <w:rFonts w:hint="eastAsia"/>
                <w:kern w:val="2"/>
                <w:sz w:val="21"/>
                <w:szCs w:val="21"/>
              </w:rPr>
              <w:t>201</w:t>
            </w:r>
          </w:p>
        </w:tc>
        <w:tc>
          <w:tcPr>
            <w:tcW w:w="359" w:type="pct"/>
          </w:tcPr>
          <w:p w14:paraId="1040DE8D"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403" w:type="pct"/>
          </w:tcPr>
          <w:p w14:paraId="23A688DD" w14:textId="77777777" w:rsidR="003E78AB" w:rsidRDefault="00010BF9">
            <w:pPr>
              <w:spacing w:line="360" w:lineRule="exact"/>
              <w:ind w:firstLineChars="0" w:firstLine="0"/>
              <w:jc w:val="center"/>
              <w:rPr>
                <w:kern w:val="2"/>
                <w:sz w:val="21"/>
                <w:szCs w:val="21"/>
              </w:rPr>
            </w:pPr>
            <w:r>
              <w:rPr>
                <w:rFonts w:hint="eastAsia"/>
                <w:kern w:val="2"/>
                <w:sz w:val="21"/>
                <w:szCs w:val="21"/>
              </w:rPr>
              <w:t>198</w:t>
            </w:r>
          </w:p>
        </w:tc>
        <w:tc>
          <w:tcPr>
            <w:tcW w:w="390" w:type="pct"/>
          </w:tcPr>
          <w:p w14:paraId="46DD3E42"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410" w:type="pct"/>
          </w:tcPr>
          <w:p w14:paraId="30AA37C1" w14:textId="77777777" w:rsidR="003E78AB" w:rsidRDefault="00010BF9">
            <w:pPr>
              <w:spacing w:line="360" w:lineRule="exact"/>
              <w:ind w:firstLineChars="0" w:firstLine="0"/>
              <w:jc w:val="center"/>
              <w:rPr>
                <w:kern w:val="2"/>
                <w:sz w:val="21"/>
                <w:szCs w:val="21"/>
              </w:rPr>
            </w:pPr>
            <w:r>
              <w:rPr>
                <w:rFonts w:hint="eastAsia"/>
                <w:kern w:val="2"/>
                <w:sz w:val="21"/>
                <w:szCs w:val="21"/>
              </w:rPr>
              <w:t>197</w:t>
            </w:r>
          </w:p>
        </w:tc>
        <w:tc>
          <w:tcPr>
            <w:tcW w:w="324" w:type="pct"/>
          </w:tcPr>
          <w:p w14:paraId="0D29AF6C"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50" w:type="pct"/>
          </w:tcPr>
          <w:p w14:paraId="133B8094" w14:textId="77777777" w:rsidR="003E78AB" w:rsidRDefault="00010BF9">
            <w:pPr>
              <w:spacing w:line="360" w:lineRule="exact"/>
              <w:ind w:firstLineChars="0" w:firstLine="0"/>
              <w:jc w:val="center"/>
              <w:rPr>
                <w:kern w:val="2"/>
                <w:sz w:val="21"/>
                <w:szCs w:val="21"/>
              </w:rPr>
            </w:pPr>
            <w:r>
              <w:rPr>
                <w:rFonts w:hint="eastAsia"/>
                <w:kern w:val="2"/>
                <w:sz w:val="21"/>
                <w:szCs w:val="21"/>
              </w:rPr>
              <w:t>201</w:t>
            </w:r>
          </w:p>
        </w:tc>
        <w:tc>
          <w:tcPr>
            <w:tcW w:w="291" w:type="pct"/>
          </w:tcPr>
          <w:p w14:paraId="6CC06609"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359" w:type="pct"/>
          </w:tcPr>
          <w:p w14:paraId="2C1750EC" w14:textId="77777777" w:rsidR="003E78AB" w:rsidRDefault="00010BF9">
            <w:pPr>
              <w:spacing w:line="360" w:lineRule="exact"/>
              <w:ind w:firstLineChars="0" w:firstLine="0"/>
              <w:jc w:val="center"/>
              <w:rPr>
                <w:kern w:val="2"/>
                <w:sz w:val="21"/>
                <w:szCs w:val="21"/>
              </w:rPr>
            </w:pPr>
            <w:r>
              <w:rPr>
                <w:rFonts w:hint="eastAsia"/>
                <w:kern w:val="2"/>
                <w:sz w:val="21"/>
                <w:szCs w:val="21"/>
              </w:rPr>
              <w:t>206</w:t>
            </w:r>
          </w:p>
        </w:tc>
        <w:tc>
          <w:tcPr>
            <w:tcW w:w="287" w:type="pct"/>
          </w:tcPr>
          <w:p w14:paraId="158825B5"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bl>
    <w:p w14:paraId="6C064FB6" w14:textId="77777777" w:rsidR="003E78AB" w:rsidRDefault="00010BF9">
      <w:pPr>
        <w:ind w:firstLine="480"/>
      </w:pPr>
      <w:r>
        <w:br w:type="page"/>
      </w:r>
    </w:p>
    <w:p w14:paraId="492CDDD2" w14:textId="77777777" w:rsidR="003E78AB" w:rsidRDefault="00010BF9">
      <w:pPr>
        <w:pStyle w:val="a0"/>
        <w:ind w:left="425" w:hanging="425"/>
        <w:rPr>
          <w:rFonts w:hint="default"/>
        </w:rPr>
      </w:pPr>
      <w:bookmarkStart w:id="319" w:name="_Ref19396"/>
      <w:r>
        <w:rPr>
          <w:rFonts w:hint="default"/>
        </w:rPr>
        <w:t>项目区土壤现状监测及评价结果</w:t>
      </w:r>
      <w:bookmarkEnd w:id="319"/>
    </w:p>
    <w:tbl>
      <w:tblPr>
        <w:tblStyle w:val="afe"/>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913"/>
        <w:gridCol w:w="1015"/>
        <w:gridCol w:w="899"/>
        <w:gridCol w:w="1091"/>
        <w:gridCol w:w="899"/>
        <w:gridCol w:w="975"/>
        <w:gridCol w:w="899"/>
        <w:gridCol w:w="1012"/>
        <w:gridCol w:w="938"/>
        <w:gridCol w:w="1006"/>
        <w:gridCol w:w="936"/>
        <w:gridCol w:w="984"/>
        <w:gridCol w:w="950"/>
      </w:tblGrid>
      <w:tr w:rsidR="003E78AB" w14:paraId="20391342" w14:textId="77777777">
        <w:trPr>
          <w:trHeight w:val="369"/>
          <w:tblHeader/>
        </w:trPr>
        <w:tc>
          <w:tcPr>
            <w:tcW w:w="602" w:type="pct"/>
            <w:vMerge w:val="restart"/>
          </w:tcPr>
          <w:p w14:paraId="59469FEC" w14:textId="77777777" w:rsidR="003E78AB" w:rsidRDefault="00010BF9">
            <w:pPr>
              <w:spacing w:line="360" w:lineRule="exact"/>
              <w:ind w:firstLineChars="0" w:firstLine="0"/>
              <w:jc w:val="center"/>
              <w:rPr>
                <w:b/>
                <w:bCs/>
                <w:sz w:val="21"/>
                <w:szCs w:val="21"/>
              </w:rPr>
            </w:pPr>
            <w:r>
              <w:rPr>
                <w:b/>
                <w:bCs/>
                <w:sz w:val="21"/>
                <w:szCs w:val="21"/>
              </w:rPr>
              <w:t>监测项目</w:t>
            </w:r>
          </w:p>
        </w:tc>
        <w:tc>
          <w:tcPr>
            <w:tcW w:w="342" w:type="pct"/>
            <w:vMerge w:val="restart"/>
          </w:tcPr>
          <w:p w14:paraId="05720A63" w14:textId="77777777" w:rsidR="003E78AB" w:rsidRDefault="00010BF9">
            <w:pPr>
              <w:spacing w:line="360" w:lineRule="exact"/>
              <w:ind w:firstLineChars="0" w:firstLine="0"/>
              <w:jc w:val="center"/>
              <w:rPr>
                <w:b/>
                <w:bCs/>
                <w:sz w:val="21"/>
                <w:szCs w:val="21"/>
              </w:rPr>
            </w:pPr>
            <w:r>
              <w:rPr>
                <w:b/>
                <w:bCs/>
                <w:sz w:val="21"/>
                <w:szCs w:val="21"/>
              </w:rPr>
              <w:t>标准值</w:t>
            </w:r>
            <w:r>
              <w:rPr>
                <w:b/>
                <w:bCs/>
                <w:sz w:val="21"/>
                <w:szCs w:val="21"/>
              </w:rPr>
              <w:t>mg/kg</w:t>
            </w:r>
          </w:p>
        </w:tc>
        <w:tc>
          <w:tcPr>
            <w:tcW w:w="1880" w:type="pct"/>
            <w:gridSpan w:val="6"/>
          </w:tcPr>
          <w:p w14:paraId="03052FCA" w14:textId="77777777" w:rsidR="003E78AB" w:rsidRDefault="00010BF9">
            <w:pPr>
              <w:spacing w:line="360" w:lineRule="exact"/>
              <w:ind w:firstLineChars="0" w:firstLine="0"/>
              <w:jc w:val="center"/>
              <w:rPr>
                <w:b/>
                <w:bCs/>
                <w:sz w:val="21"/>
                <w:szCs w:val="21"/>
              </w:rPr>
            </w:pPr>
            <w:r>
              <w:rPr>
                <w:rFonts w:hint="eastAsia"/>
                <w:b/>
                <w:bCs/>
                <w:sz w:val="21"/>
                <w:szCs w:val="21"/>
              </w:rPr>
              <w:t>预留环保设施</w:t>
            </w:r>
            <w:r>
              <w:rPr>
                <w:rFonts w:hint="eastAsia"/>
                <w:b/>
                <w:bCs/>
                <w:sz w:val="21"/>
                <w:szCs w:val="21"/>
              </w:rPr>
              <w:t>5#</w:t>
            </w:r>
            <w:r>
              <w:rPr>
                <w:b/>
                <w:bCs/>
                <w:sz w:val="21"/>
                <w:szCs w:val="21"/>
              </w:rPr>
              <w:t>下方</w:t>
            </w:r>
            <w:r>
              <w:rPr>
                <w:rFonts w:hint="eastAsia"/>
                <w:b/>
                <w:bCs/>
                <w:sz w:val="21"/>
                <w:szCs w:val="21"/>
              </w:rPr>
              <w:t>柱状样</w:t>
            </w:r>
          </w:p>
        </w:tc>
        <w:tc>
          <w:tcPr>
            <w:tcW w:w="2175" w:type="pct"/>
            <w:gridSpan w:val="6"/>
          </w:tcPr>
          <w:p w14:paraId="79071838" w14:textId="77777777" w:rsidR="003E78AB" w:rsidRDefault="00010BF9">
            <w:pPr>
              <w:spacing w:line="360" w:lineRule="exact"/>
              <w:ind w:firstLineChars="0" w:firstLine="0"/>
              <w:jc w:val="center"/>
              <w:rPr>
                <w:b/>
                <w:bCs/>
                <w:sz w:val="21"/>
                <w:szCs w:val="21"/>
              </w:rPr>
            </w:pPr>
            <w:r>
              <w:rPr>
                <w:b/>
                <w:bCs/>
                <w:sz w:val="21"/>
                <w:szCs w:val="21"/>
              </w:rPr>
              <w:t>仓库</w:t>
            </w:r>
            <w:r>
              <w:rPr>
                <w:rFonts w:hint="eastAsia"/>
                <w:b/>
                <w:bCs/>
                <w:sz w:val="21"/>
                <w:szCs w:val="21"/>
              </w:rPr>
              <w:t>6#</w:t>
            </w:r>
            <w:r>
              <w:rPr>
                <w:b/>
                <w:bCs/>
                <w:sz w:val="21"/>
                <w:szCs w:val="21"/>
              </w:rPr>
              <w:t>下方柱状样</w:t>
            </w:r>
          </w:p>
        </w:tc>
      </w:tr>
      <w:tr w:rsidR="003E78AB" w14:paraId="31959AD1" w14:textId="77777777">
        <w:trPr>
          <w:trHeight w:val="369"/>
          <w:tblHeader/>
        </w:trPr>
        <w:tc>
          <w:tcPr>
            <w:tcW w:w="602" w:type="pct"/>
            <w:vMerge/>
          </w:tcPr>
          <w:p w14:paraId="48A49F92" w14:textId="77777777" w:rsidR="003E78AB" w:rsidRDefault="003E78AB">
            <w:pPr>
              <w:spacing w:line="360" w:lineRule="exact"/>
              <w:ind w:firstLineChars="0" w:firstLine="0"/>
              <w:jc w:val="center"/>
              <w:rPr>
                <w:b/>
                <w:bCs/>
                <w:sz w:val="21"/>
                <w:szCs w:val="21"/>
              </w:rPr>
            </w:pPr>
          </w:p>
        </w:tc>
        <w:tc>
          <w:tcPr>
            <w:tcW w:w="342" w:type="pct"/>
            <w:vMerge/>
          </w:tcPr>
          <w:p w14:paraId="6E8A80A6" w14:textId="77777777" w:rsidR="003E78AB" w:rsidRDefault="003E78AB">
            <w:pPr>
              <w:spacing w:line="360" w:lineRule="exact"/>
              <w:ind w:firstLineChars="0" w:firstLine="0"/>
              <w:jc w:val="center"/>
              <w:rPr>
                <w:b/>
                <w:bCs/>
                <w:sz w:val="21"/>
                <w:szCs w:val="21"/>
              </w:rPr>
            </w:pPr>
          </w:p>
        </w:tc>
        <w:tc>
          <w:tcPr>
            <w:tcW w:w="648" w:type="pct"/>
            <w:gridSpan w:val="2"/>
          </w:tcPr>
          <w:p w14:paraId="52764DA0" w14:textId="77777777" w:rsidR="003E78AB" w:rsidRDefault="00010BF9">
            <w:pPr>
              <w:spacing w:line="360" w:lineRule="exact"/>
              <w:ind w:firstLineChars="0" w:firstLine="0"/>
              <w:jc w:val="center"/>
              <w:rPr>
                <w:b/>
                <w:bCs/>
                <w:sz w:val="21"/>
                <w:szCs w:val="21"/>
              </w:rPr>
            </w:pPr>
            <w:r>
              <w:rPr>
                <w:b/>
                <w:bCs/>
                <w:sz w:val="21"/>
                <w:szCs w:val="21"/>
              </w:rPr>
              <w:t>0-0.5m</w:t>
            </w:r>
          </w:p>
        </w:tc>
        <w:tc>
          <w:tcPr>
            <w:tcW w:w="637" w:type="pct"/>
            <w:gridSpan w:val="2"/>
          </w:tcPr>
          <w:p w14:paraId="1F8CCD91" w14:textId="77777777" w:rsidR="003E78AB" w:rsidRDefault="00010BF9">
            <w:pPr>
              <w:spacing w:line="360" w:lineRule="exact"/>
              <w:ind w:firstLineChars="0" w:firstLine="0"/>
              <w:jc w:val="center"/>
              <w:rPr>
                <w:b/>
                <w:bCs/>
                <w:sz w:val="21"/>
                <w:szCs w:val="21"/>
              </w:rPr>
            </w:pPr>
            <w:r>
              <w:rPr>
                <w:b/>
                <w:bCs/>
                <w:sz w:val="21"/>
                <w:szCs w:val="21"/>
              </w:rPr>
              <w:t>0.5-1.5m</w:t>
            </w:r>
          </w:p>
        </w:tc>
        <w:tc>
          <w:tcPr>
            <w:tcW w:w="594" w:type="pct"/>
            <w:gridSpan w:val="2"/>
          </w:tcPr>
          <w:p w14:paraId="77B6F05D" w14:textId="77777777" w:rsidR="003E78AB" w:rsidRDefault="00010BF9">
            <w:pPr>
              <w:spacing w:line="360" w:lineRule="exact"/>
              <w:ind w:firstLineChars="0" w:firstLine="0"/>
              <w:jc w:val="center"/>
              <w:rPr>
                <w:b/>
                <w:bCs/>
                <w:sz w:val="21"/>
                <w:szCs w:val="21"/>
              </w:rPr>
            </w:pPr>
            <w:r>
              <w:rPr>
                <w:b/>
                <w:bCs/>
                <w:sz w:val="21"/>
                <w:szCs w:val="21"/>
              </w:rPr>
              <w:t>1.5-3.0m</w:t>
            </w:r>
          </w:p>
        </w:tc>
        <w:tc>
          <w:tcPr>
            <w:tcW w:w="728" w:type="pct"/>
            <w:gridSpan w:val="2"/>
          </w:tcPr>
          <w:p w14:paraId="403024EF" w14:textId="77777777" w:rsidR="003E78AB" w:rsidRDefault="00010BF9">
            <w:pPr>
              <w:spacing w:line="360" w:lineRule="exact"/>
              <w:ind w:firstLineChars="0" w:firstLine="0"/>
              <w:jc w:val="center"/>
              <w:rPr>
                <w:b/>
                <w:bCs/>
                <w:sz w:val="21"/>
                <w:szCs w:val="21"/>
              </w:rPr>
            </w:pPr>
            <w:r>
              <w:rPr>
                <w:b/>
                <w:bCs/>
                <w:sz w:val="21"/>
                <w:szCs w:val="21"/>
              </w:rPr>
              <w:t>0-0.5m</w:t>
            </w:r>
          </w:p>
        </w:tc>
        <w:tc>
          <w:tcPr>
            <w:tcW w:w="725" w:type="pct"/>
            <w:gridSpan w:val="2"/>
          </w:tcPr>
          <w:p w14:paraId="1205B620" w14:textId="77777777" w:rsidR="003E78AB" w:rsidRDefault="00010BF9">
            <w:pPr>
              <w:spacing w:line="360" w:lineRule="exact"/>
              <w:ind w:firstLineChars="0" w:firstLine="0"/>
              <w:jc w:val="center"/>
              <w:rPr>
                <w:b/>
                <w:bCs/>
                <w:sz w:val="21"/>
                <w:szCs w:val="21"/>
              </w:rPr>
            </w:pPr>
            <w:r>
              <w:rPr>
                <w:b/>
                <w:bCs/>
                <w:sz w:val="21"/>
                <w:szCs w:val="21"/>
              </w:rPr>
              <w:t>0.5-1.5m</w:t>
            </w:r>
          </w:p>
        </w:tc>
        <w:tc>
          <w:tcPr>
            <w:tcW w:w="721" w:type="pct"/>
            <w:gridSpan w:val="2"/>
          </w:tcPr>
          <w:p w14:paraId="0028A02D" w14:textId="77777777" w:rsidR="003E78AB" w:rsidRDefault="00010BF9">
            <w:pPr>
              <w:spacing w:line="360" w:lineRule="exact"/>
              <w:ind w:firstLineChars="0" w:firstLine="0"/>
              <w:jc w:val="center"/>
              <w:rPr>
                <w:b/>
                <w:bCs/>
                <w:sz w:val="21"/>
                <w:szCs w:val="21"/>
              </w:rPr>
            </w:pPr>
            <w:r>
              <w:rPr>
                <w:b/>
                <w:bCs/>
                <w:sz w:val="21"/>
                <w:szCs w:val="21"/>
              </w:rPr>
              <w:t>1.5-3.0m</w:t>
            </w:r>
          </w:p>
        </w:tc>
      </w:tr>
      <w:tr w:rsidR="003E78AB" w14:paraId="4DE63DD6" w14:textId="77777777">
        <w:trPr>
          <w:trHeight w:val="369"/>
          <w:tblHeader/>
        </w:trPr>
        <w:tc>
          <w:tcPr>
            <w:tcW w:w="602" w:type="pct"/>
            <w:vMerge/>
          </w:tcPr>
          <w:p w14:paraId="53610DCE" w14:textId="77777777" w:rsidR="003E78AB" w:rsidRDefault="003E78AB">
            <w:pPr>
              <w:spacing w:line="360" w:lineRule="exact"/>
              <w:ind w:firstLineChars="0" w:firstLine="0"/>
              <w:jc w:val="center"/>
              <w:rPr>
                <w:sz w:val="21"/>
                <w:szCs w:val="21"/>
              </w:rPr>
            </w:pPr>
          </w:p>
        </w:tc>
        <w:tc>
          <w:tcPr>
            <w:tcW w:w="342" w:type="pct"/>
            <w:vMerge/>
          </w:tcPr>
          <w:p w14:paraId="4D5B83CF" w14:textId="77777777" w:rsidR="003E78AB" w:rsidRDefault="003E78AB">
            <w:pPr>
              <w:spacing w:line="360" w:lineRule="exact"/>
              <w:ind w:firstLineChars="0" w:firstLine="0"/>
              <w:jc w:val="center"/>
              <w:rPr>
                <w:sz w:val="21"/>
                <w:szCs w:val="21"/>
              </w:rPr>
            </w:pPr>
          </w:p>
        </w:tc>
        <w:tc>
          <w:tcPr>
            <w:tcW w:w="378" w:type="pct"/>
          </w:tcPr>
          <w:p w14:paraId="4ADC6C39" w14:textId="77777777" w:rsidR="003E78AB" w:rsidRDefault="00010BF9">
            <w:pPr>
              <w:spacing w:line="360" w:lineRule="exact"/>
              <w:ind w:firstLineChars="0" w:firstLine="0"/>
              <w:jc w:val="center"/>
              <w:rPr>
                <w:b/>
                <w:bCs/>
                <w:sz w:val="21"/>
                <w:szCs w:val="21"/>
              </w:rPr>
            </w:pPr>
            <w:r>
              <w:rPr>
                <w:b/>
                <w:bCs/>
                <w:sz w:val="21"/>
                <w:szCs w:val="21"/>
              </w:rPr>
              <w:t>监测值</w:t>
            </w:r>
          </w:p>
        </w:tc>
        <w:tc>
          <w:tcPr>
            <w:tcW w:w="270" w:type="pct"/>
          </w:tcPr>
          <w:p w14:paraId="0530A040" w14:textId="77777777" w:rsidR="003E78AB" w:rsidRDefault="00010BF9">
            <w:pPr>
              <w:spacing w:line="360" w:lineRule="exact"/>
              <w:ind w:firstLineChars="0" w:firstLine="0"/>
              <w:jc w:val="center"/>
              <w:rPr>
                <w:b/>
                <w:bCs/>
                <w:sz w:val="21"/>
                <w:szCs w:val="21"/>
              </w:rPr>
            </w:pPr>
            <w:r>
              <w:rPr>
                <w:b/>
                <w:bCs/>
                <w:sz w:val="21"/>
                <w:szCs w:val="21"/>
              </w:rPr>
              <w:t>Pi</w:t>
            </w:r>
          </w:p>
        </w:tc>
        <w:tc>
          <w:tcPr>
            <w:tcW w:w="405" w:type="pct"/>
          </w:tcPr>
          <w:p w14:paraId="35806D0D" w14:textId="77777777" w:rsidR="003E78AB" w:rsidRDefault="00010BF9">
            <w:pPr>
              <w:spacing w:line="360" w:lineRule="exact"/>
              <w:ind w:firstLineChars="0" w:firstLine="0"/>
              <w:jc w:val="center"/>
              <w:rPr>
                <w:b/>
                <w:bCs/>
                <w:sz w:val="21"/>
                <w:szCs w:val="21"/>
              </w:rPr>
            </w:pPr>
            <w:r>
              <w:rPr>
                <w:b/>
                <w:bCs/>
                <w:sz w:val="21"/>
                <w:szCs w:val="21"/>
              </w:rPr>
              <w:t>监测值</w:t>
            </w:r>
          </w:p>
        </w:tc>
        <w:tc>
          <w:tcPr>
            <w:tcW w:w="232" w:type="pct"/>
          </w:tcPr>
          <w:p w14:paraId="1AE44F3C" w14:textId="77777777" w:rsidR="003E78AB" w:rsidRDefault="00010BF9">
            <w:pPr>
              <w:spacing w:line="360" w:lineRule="exact"/>
              <w:ind w:firstLineChars="0" w:firstLine="0"/>
              <w:jc w:val="center"/>
              <w:rPr>
                <w:b/>
                <w:bCs/>
                <w:sz w:val="21"/>
                <w:szCs w:val="21"/>
              </w:rPr>
            </w:pPr>
            <w:r>
              <w:rPr>
                <w:b/>
                <w:bCs/>
                <w:sz w:val="21"/>
                <w:szCs w:val="21"/>
              </w:rPr>
              <w:t>Pi</w:t>
            </w:r>
          </w:p>
        </w:tc>
        <w:tc>
          <w:tcPr>
            <w:tcW w:w="364" w:type="pct"/>
          </w:tcPr>
          <w:p w14:paraId="43C07D86" w14:textId="77777777" w:rsidR="003E78AB" w:rsidRDefault="00010BF9">
            <w:pPr>
              <w:spacing w:line="360" w:lineRule="exact"/>
              <w:ind w:firstLineChars="0" w:firstLine="0"/>
              <w:jc w:val="center"/>
              <w:rPr>
                <w:b/>
                <w:bCs/>
                <w:sz w:val="21"/>
                <w:szCs w:val="21"/>
              </w:rPr>
            </w:pPr>
            <w:r>
              <w:rPr>
                <w:b/>
                <w:bCs/>
                <w:sz w:val="21"/>
                <w:szCs w:val="21"/>
              </w:rPr>
              <w:t>监测值</w:t>
            </w:r>
          </w:p>
        </w:tc>
        <w:tc>
          <w:tcPr>
            <w:tcW w:w="230" w:type="pct"/>
          </w:tcPr>
          <w:p w14:paraId="4A9C5785" w14:textId="77777777" w:rsidR="003E78AB" w:rsidRDefault="00010BF9">
            <w:pPr>
              <w:spacing w:line="360" w:lineRule="exact"/>
              <w:ind w:firstLineChars="0" w:firstLine="0"/>
              <w:jc w:val="center"/>
              <w:rPr>
                <w:b/>
                <w:bCs/>
                <w:sz w:val="21"/>
                <w:szCs w:val="21"/>
              </w:rPr>
            </w:pPr>
            <w:r>
              <w:rPr>
                <w:b/>
                <w:bCs/>
                <w:sz w:val="21"/>
                <w:szCs w:val="21"/>
              </w:rPr>
              <w:t>Pi</w:t>
            </w:r>
          </w:p>
        </w:tc>
        <w:tc>
          <w:tcPr>
            <w:tcW w:w="377" w:type="pct"/>
          </w:tcPr>
          <w:p w14:paraId="6AD65AFC" w14:textId="77777777" w:rsidR="003E78AB" w:rsidRDefault="00010BF9">
            <w:pPr>
              <w:spacing w:line="360" w:lineRule="exact"/>
              <w:ind w:firstLineChars="0" w:firstLine="0"/>
              <w:jc w:val="center"/>
              <w:rPr>
                <w:b/>
                <w:bCs/>
                <w:sz w:val="21"/>
                <w:szCs w:val="21"/>
              </w:rPr>
            </w:pPr>
            <w:r>
              <w:rPr>
                <w:b/>
                <w:bCs/>
                <w:sz w:val="21"/>
                <w:szCs w:val="21"/>
              </w:rPr>
              <w:t>监测值</w:t>
            </w:r>
          </w:p>
        </w:tc>
        <w:tc>
          <w:tcPr>
            <w:tcW w:w="351" w:type="pct"/>
          </w:tcPr>
          <w:p w14:paraId="3C6D754D" w14:textId="77777777" w:rsidR="003E78AB" w:rsidRDefault="00010BF9">
            <w:pPr>
              <w:spacing w:line="360" w:lineRule="exact"/>
              <w:ind w:firstLineChars="0" w:firstLine="0"/>
              <w:jc w:val="center"/>
              <w:rPr>
                <w:b/>
                <w:bCs/>
                <w:sz w:val="21"/>
                <w:szCs w:val="21"/>
              </w:rPr>
            </w:pPr>
            <w:r>
              <w:rPr>
                <w:b/>
                <w:bCs/>
                <w:sz w:val="21"/>
                <w:szCs w:val="21"/>
              </w:rPr>
              <w:t>Pi</w:t>
            </w:r>
          </w:p>
        </w:tc>
        <w:tc>
          <w:tcPr>
            <w:tcW w:w="375" w:type="pct"/>
          </w:tcPr>
          <w:p w14:paraId="4E39D946" w14:textId="77777777" w:rsidR="003E78AB" w:rsidRDefault="00010BF9">
            <w:pPr>
              <w:spacing w:line="360" w:lineRule="exact"/>
              <w:ind w:firstLineChars="0" w:firstLine="0"/>
              <w:jc w:val="center"/>
              <w:rPr>
                <w:b/>
                <w:bCs/>
                <w:sz w:val="21"/>
                <w:szCs w:val="21"/>
              </w:rPr>
            </w:pPr>
            <w:r>
              <w:rPr>
                <w:b/>
                <w:bCs/>
                <w:sz w:val="21"/>
                <w:szCs w:val="21"/>
              </w:rPr>
              <w:t>监测值</w:t>
            </w:r>
          </w:p>
        </w:tc>
        <w:tc>
          <w:tcPr>
            <w:tcW w:w="350" w:type="pct"/>
          </w:tcPr>
          <w:p w14:paraId="1C512527" w14:textId="77777777" w:rsidR="003E78AB" w:rsidRDefault="00010BF9">
            <w:pPr>
              <w:spacing w:line="360" w:lineRule="exact"/>
              <w:ind w:firstLineChars="0" w:firstLine="0"/>
              <w:jc w:val="center"/>
              <w:rPr>
                <w:b/>
                <w:bCs/>
                <w:sz w:val="21"/>
                <w:szCs w:val="21"/>
              </w:rPr>
            </w:pPr>
            <w:r>
              <w:rPr>
                <w:b/>
                <w:bCs/>
                <w:sz w:val="21"/>
                <w:szCs w:val="21"/>
              </w:rPr>
              <w:t>Pi</w:t>
            </w:r>
          </w:p>
        </w:tc>
        <w:tc>
          <w:tcPr>
            <w:tcW w:w="367" w:type="pct"/>
          </w:tcPr>
          <w:p w14:paraId="700B1106" w14:textId="77777777" w:rsidR="003E78AB" w:rsidRDefault="00010BF9">
            <w:pPr>
              <w:spacing w:line="360" w:lineRule="exact"/>
              <w:ind w:firstLineChars="0" w:firstLine="0"/>
              <w:jc w:val="center"/>
              <w:rPr>
                <w:b/>
                <w:bCs/>
                <w:sz w:val="21"/>
                <w:szCs w:val="21"/>
              </w:rPr>
            </w:pPr>
            <w:r>
              <w:rPr>
                <w:b/>
                <w:bCs/>
                <w:sz w:val="21"/>
                <w:szCs w:val="21"/>
              </w:rPr>
              <w:t>监测值</w:t>
            </w:r>
          </w:p>
        </w:tc>
        <w:tc>
          <w:tcPr>
            <w:tcW w:w="354" w:type="pct"/>
          </w:tcPr>
          <w:p w14:paraId="7398F46F" w14:textId="77777777" w:rsidR="003E78AB" w:rsidRDefault="00010BF9">
            <w:pPr>
              <w:spacing w:line="360" w:lineRule="exact"/>
              <w:ind w:firstLineChars="0" w:firstLine="0"/>
              <w:jc w:val="center"/>
              <w:rPr>
                <w:b/>
                <w:bCs/>
                <w:sz w:val="21"/>
                <w:szCs w:val="21"/>
              </w:rPr>
            </w:pPr>
            <w:r>
              <w:rPr>
                <w:b/>
                <w:bCs/>
                <w:sz w:val="21"/>
                <w:szCs w:val="21"/>
              </w:rPr>
              <w:t>Pi</w:t>
            </w:r>
          </w:p>
        </w:tc>
      </w:tr>
      <w:tr w:rsidR="003E78AB" w14:paraId="53D9891D" w14:textId="77777777">
        <w:trPr>
          <w:trHeight w:val="369"/>
        </w:trPr>
        <w:tc>
          <w:tcPr>
            <w:tcW w:w="602" w:type="pct"/>
          </w:tcPr>
          <w:p w14:paraId="14DF09CB" w14:textId="77777777" w:rsidR="003E78AB" w:rsidRDefault="00010BF9">
            <w:pPr>
              <w:spacing w:line="360" w:lineRule="exact"/>
              <w:ind w:firstLineChars="0" w:firstLine="0"/>
              <w:jc w:val="center"/>
              <w:rPr>
                <w:sz w:val="21"/>
                <w:szCs w:val="21"/>
              </w:rPr>
            </w:pPr>
            <w:r>
              <w:rPr>
                <w:sz w:val="21"/>
                <w:szCs w:val="21"/>
              </w:rPr>
              <w:t>pH</w:t>
            </w:r>
          </w:p>
        </w:tc>
        <w:tc>
          <w:tcPr>
            <w:tcW w:w="342" w:type="pct"/>
          </w:tcPr>
          <w:p w14:paraId="4B877C6C" w14:textId="77777777" w:rsidR="003E78AB" w:rsidRDefault="00010BF9">
            <w:pPr>
              <w:spacing w:line="360" w:lineRule="exact"/>
              <w:ind w:firstLineChars="0" w:firstLine="0"/>
              <w:jc w:val="center"/>
              <w:rPr>
                <w:sz w:val="21"/>
                <w:szCs w:val="21"/>
              </w:rPr>
            </w:pPr>
            <w:r>
              <w:rPr>
                <w:sz w:val="21"/>
                <w:szCs w:val="21"/>
              </w:rPr>
              <w:t>/</w:t>
            </w:r>
          </w:p>
        </w:tc>
        <w:tc>
          <w:tcPr>
            <w:tcW w:w="1071" w:type="dxa"/>
          </w:tcPr>
          <w:p w14:paraId="27BD269C" w14:textId="77777777" w:rsidR="003E78AB" w:rsidRDefault="00010BF9">
            <w:pPr>
              <w:spacing w:line="360" w:lineRule="exact"/>
              <w:ind w:firstLineChars="0" w:firstLine="0"/>
              <w:jc w:val="center"/>
              <w:rPr>
                <w:kern w:val="2"/>
                <w:sz w:val="21"/>
                <w:szCs w:val="21"/>
              </w:rPr>
            </w:pPr>
            <w:r>
              <w:rPr>
                <w:rFonts w:hint="eastAsia"/>
                <w:kern w:val="2"/>
                <w:sz w:val="21"/>
                <w:szCs w:val="21"/>
              </w:rPr>
              <w:t>8.46</w:t>
            </w:r>
          </w:p>
        </w:tc>
        <w:tc>
          <w:tcPr>
            <w:tcW w:w="765" w:type="dxa"/>
          </w:tcPr>
          <w:p w14:paraId="1E7EED50"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48" w:type="dxa"/>
          </w:tcPr>
          <w:p w14:paraId="0662EA36" w14:textId="77777777" w:rsidR="003E78AB" w:rsidRDefault="00010BF9">
            <w:pPr>
              <w:spacing w:line="360" w:lineRule="exact"/>
              <w:ind w:firstLineChars="0" w:firstLine="0"/>
              <w:jc w:val="center"/>
              <w:rPr>
                <w:kern w:val="2"/>
                <w:sz w:val="21"/>
                <w:szCs w:val="21"/>
              </w:rPr>
            </w:pPr>
            <w:r>
              <w:rPr>
                <w:rFonts w:hint="eastAsia"/>
                <w:kern w:val="2"/>
                <w:sz w:val="21"/>
                <w:szCs w:val="21"/>
              </w:rPr>
              <w:t>7.99</w:t>
            </w:r>
          </w:p>
        </w:tc>
        <w:tc>
          <w:tcPr>
            <w:tcW w:w="657" w:type="dxa"/>
          </w:tcPr>
          <w:p w14:paraId="1BBFCC6C"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31" w:type="dxa"/>
          </w:tcPr>
          <w:p w14:paraId="2812048E" w14:textId="77777777" w:rsidR="003E78AB" w:rsidRDefault="00010BF9">
            <w:pPr>
              <w:spacing w:line="360" w:lineRule="exact"/>
              <w:ind w:firstLineChars="0" w:firstLine="0"/>
              <w:jc w:val="center"/>
              <w:rPr>
                <w:kern w:val="2"/>
                <w:sz w:val="21"/>
                <w:szCs w:val="21"/>
              </w:rPr>
            </w:pPr>
            <w:r>
              <w:rPr>
                <w:rFonts w:hint="eastAsia"/>
                <w:kern w:val="2"/>
                <w:sz w:val="21"/>
                <w:szCs w:val="21"/>
              </w:rPr>
              <w:t>7.86</w:t>
            </w:r>
          </w:p>
        </w:tc>
        <w:tc>
          <w:tcPr>
            <w:tcW w:w="655" w:type="dxa"/>
          </w:tcPr>
          <w:p w14:paraId="564593B3"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68" w:type="dxa"/>
          </w:tcPr>
          <w:p w14:paraId="46402B3E" w14:textId="77777777" w:rsidR="003E78AB" w:rsidRDefault="00010BF9">
            <w:pPr>
              <w:spacing w:line="360" w:lineRule="exact"/>
              <w:ind w:firstLineChars="0" w:firstLine="0"/>
              <w:jc w:val="center"/>
              <w:rPr>
                <w:kern w:val="2"/>
                <w:sz w:val="21"/>
                <w:szCs w:val="21"/>
              </w:rPr>
            </w:pPr>
            <w:r>
              <w:rPr>
                <w:rFonts w:hint="eastAsia"/>
                <w:kern w:val="2"/>
                <w:sz w:val="21"/>
                <w:szCs w:val="21"/>
              </w:rPr>
              <w:t>8.11</w:t>
            </w:r>
          </w:p>
        </w:tc>
        <w:tc>
          <w:tcPr>
            <w:tcW w:w="995" w:type="dxa"/>
          </w:tcPr>
          <w:p w14:paraId="26C7D4F9"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63" w:type="dxa"/>
          </w:tcPr>
          <w:p w14:paraId="5B421A10" w14:textId="77777777" w:rsidR="003E78AB" w:rsidRDefault="00010BF9">
            <w:pPr>
              <w:spacing w:line="360" w:lineRule="exact"/>
              <w:ind w:firstLineChars="0" w:firstLine="0"/>
              <w:jc w:val="center"/>
              <w:rPr>
                <w:kern w:val="2"/>
                <w:sz w:val="21"/>
                <w:szCs w:val="21"/>
              </w:rPr>
            </w:pPr>
            <w:r>
              <w:rPr>
                <w:rFonts w:hint="eastAsia"/>
                <w:kern w:val="2"/>
                <w:sz w:val="21"/>
                <w:szCs w:val="21"/>
              </w:rPr>
              <w:t>7.95</w:t>
            </w:r>
          </w:p>
        </w:tc>
        <w:tc>
          <w:tcPr>
            <w:tcW w:w="992" w:type="dxa"/>
          </w:tcPr>
          <w:p w14:paraId="11EECE34"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40" w:type="dxa"/>
          </w:tcPr>
          <w:p w14:paraId="11695412" w14:textId="77777777" w:rsidR="003E78AB" w:rsidRDefault="00010BF9">
            <w:pPr>
              <w:spacing w:line="360" w:lineRule="exact"/>
              <w:ind w:firstLineChars="0" w:firstLine="0"/>
              <w:jc w:val="center"/>
              <w:rPr>
                <w:kern w:val="2"/>
                <w:sz w:val="21"/>
                <w:szCs w:val="21"/>
              </w:rPr>
            </w:pPr>
            <w:r>
              <w:rPr>
                <w:rFonts w:hint="eastAsia"/>
                <w:kern w:val="2"/>
                <w:sz w:val="21"/>
                <w:szCs w:val="21"/>
              </w:rPr>
              <w:t>7.89</w:t>
            </w:r>
          </w:p>
        </w:tc>
        <w:tc>
          <w:tcPr>
            <w:tcW w:w="1006" w:type="dxa"/>
          </w:tcPr>
          <w:p w14:paraId="10CAEC57"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r w:rsidR="003E78AB" w14:paraId="5E80D424" w14:textId="77777777">
        <w:trPr>
          <w:trHeight w:val="369"/>
        </w:trPr>
        <w:tc>
          <w:tcPr>
            <w:tcW w:w="602" w:type="pct"/>
            <w:shd w:val="clear" w:color="auto" w:fill="auto"/>
          </w:tcPr>
          <w:p w14:paraId="5B6E10A0" w14:textId="77777777" w:rsidR="003E78AB" w:rsidRDefault="00010BF9">
            <w:pPr>
              <w:spacing w:line="360" w:lineRule="exact"/>
              <w:ind w:firstLineChars="0" w:firstLine="0"/>
              <w:jc w:val="center"/>
              <w:rPr>
                <w:kern w:val="2"/>
                <w:sz w:val="21"/>
                <w:szCs w:val="21"/>
              </w:rPr>
            </w:pPr>
            <w:r>
              <w:rPr>
                <w:kern w:val="2"/>
                <w:sz w:val="21"/>
                <w:szCs w:val="21"/>
              </w:rPr>
              <w:t>石油烃（</w:t>
            </w:r>
            <w:r>
              <w:rPr>
                <w:kern w:val="2"/>
                <w:sz w:val="21"/>
                <w:szCs w:val="21"/>
              </w:rPr>
              <w:t>C</w:t>
            </w:r>
            <w:r>
              <w:rPr>
                <w:kern w:val="2"/>
                <w:sz w:val="21"/>
                <w:szCs w:val="21"/>
                <w:vertAlign w:val="subscript"/>
              </w:rPr>
              <w:t>10</w:t>
            </w:r>
            <w:r>
              <w:rPr>
                <w:kern w:val="2"/>
                <w:sz w:val="21"/>
                <w:szCs w:val="21"/>
              </w:rPr>
              <w:t>~C</w:t>
            </w:r>
            <w:r>
              <w:rPr>
                <w:kern w:val="2"/>
                <w:sz w:val="21"/>
                <w:szCs w:val="21"/>
                <w:vertAlign w:val="subscript"/>
              </w:rPr>
              <w:t>40</w:t>
            </w:r>
            <w:r>
              <w:rPr>
                <w:kern w:val="2"/>
                <w:sz w:val="21"/>
                <w:szCs w:val="21"/>
              </w:rPr>
              <w:t>）</w:t>
            </w:r>
          </w:p>
        </w:tc>
        <w:tc>
          <w:tcPr>
            <w:tcW w:w="342" w:type="pct"/>
            <w:shd w:val="clear" w:color="auto" w:fill="auto"/>
          </w:tcPr>
          <w:p w14:paraId="2880A3F7" w14:textId="77777777" w:rsidR="003E78AB" w:rsidRDefault="00010BF9">
            <w:pPr>
              <w:spacing w:line="360" w:lineRule="exact"/>
              <w:ind w:firstLineChars="0" w:firstLine="0"/>
              <w:jc w:val="center"/>
              <w:rPr>
                <w:kern w:val="2"/>
                <w:sz w:val="21"/>
                <w:szCs w:val="21"/>
              </w:rPr>
            </w:pPr>
            <w:r>
              <w:rPr>
                <w:kern w:val="2"/>
                <w:sz w:val="21"/>
                <w:szCs w:val="21"/>
              </w:rPr>
              <w:t>4500</w:t>
            </w:r>
          </w:p>
        </w:tc>
        <w:tc>
          <w:tcPr>
            <w:tcW w:w="1071" w:type="dxa"/>
          </w:tcPr>
          <w:p w14:paraId="6A1F0C66" w14:textId="77777777" w:rsidR="003E78AB" w:rsidRDefault="00010BF9">
            <w:pPr>
              <w:spacing w:line="360" w:lineRule="exact"/>
              <w:ind w:firstLineChars="0" w:firstLine="0"/>
              <w:jc w:val="center"/>
              <w:rPr>
                <w:kern w:val="2"/>
                <w:sz w:val="21"/>
                <w:szCs w:val="21"/>
              </w:rPr>
            </w:pPr>
            <w:r>
              <w:rPr>
                <w:rFonts w:hint="eastAsia"/>
                <w:kern w:val="2"/>
                <w:sz w:val="21"/>
                <w:szCs w:val="21"/>
              </w:rPr>
              <w:t>10</w:t>
            </w:r>
          </w:p>
        </w:tc>
        <w:tc>
          <w:tcPr>
            <w:tcW w:w="765" w:type="dxa"/>
          </w:tcPr>
          <w:p w14:paraId="442BA4CF"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0.0022 </w:t>
            </w:r>
          </w:p>
        </w:tc>
        <w:tc>
          <w:tcPr>
            <w:tcW w:w="1148" w:type="dxa"/>
          </w:tcPr>
          <w:p w14:paraId="595E676C" w14:textId="77777777" w:rsidR="003E78AB" w:rsidRDefault="00010BF9">
            <w:pPr>
              <w:spacing w:line="360" w:lineRule="exact"/>
              <w:ind w:firstLineChars="0" w:firstLine="0"/>
              <w:jc w:val="center"/>
              <w:rPr>
                <w:kern w:val="2"/>
                <w:sz w:val="21"/>
                <w:szCs w:val="21"/>
              </w:rPr>
            </w:pPr>
            <w:r>
              <w:rPr>
                <w:rFonts w:hint="eastAsia"/>
                <w:kern w:val="2"/>
                <w:sz w:val="21"/>
                <w:szCs w:val="21"/>
              </w:rPr>
              <w:t>13</w:t>
            </w:r>
          </w:p>
        </w:tc>
        <w:tc>
          <w:tcPr>
            <w:tcW w:w="657" w:type="dxa"/>
          </w:tcPr>
          <w:p w14:paraId="15B28C5A"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0.0029 </w:t>
            </w:r>
          </w:p>
        </w:tc>
        <w:tc>
          <w:tcPr>
            <w:tcW w:w="1031" w:type="dxa"/>
          </w:tcPr>
          <w:p w14:paraId="7DBF24AB" w14:textId="77777777" w:rsidR="003E78AB" w:rsidRDefault="00010BF9">
            <w:pPr>
              <w:spacing w:line="360" w:lineRule="exact"/>
              <w:ind w:firstLineChars="0" w:firstLine="0"/>
              <w:jc w:val="center"/>
              <w:rPr>
                <w:kern w:val="2"/>
                <w:sz w:val="21"/>
                <w:szCs w:val="21"/>
              </w:rPr>
            </w:pPr>
            <w:r>
              <w:rPr>
                <w:rFonts w:hint="eastAsia"/>
                <w:kern w:val="2"/>
                <w:sz w:val="21"/>
                <w:szCs w:val="21"/>
              </w:rPr>
              <w:t>15</w:t>
            </w:r>
          </w:p>
        </w:tc>
        <w:tc>
          <w:tcPr>
            <w:tcW w:w="655" w:type="dxa"/>
          </w:tcPr>
          <w:p w14:paraId="28EEBB5E"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0.0033 </w:t>
            </w:r>
          </w:p>
        </w:tc>
        <w:tc>
          <w:tcPr>
            <w:tcW w:w="1068" w:type="dxa"/>
          </w:tcPr>
          <w:p w14:paraId="6996D9BE" w14:textId="77777777" w:rsidR="003E78AB" w:rsidRDefault="00010BF9">
            <w:pPr>
              <w:spacing w:line="360" w:lineRule="exact"/>
              <w:ind w:firstLineChars="0" w:firstLine="0"/>
              <w:jc w:val="center"/>
              <w:rPr>
                <w:kern w:val="2"/>
                <w:sz w:val="21"/>
                <w:szCs w:val="21"/>
              </w:rPr>
            </w:pPr>
            <w:r>
              <w:rPr>
                <w:rFonts w:hint="eastAsia"/>
                <w:kern w:val="2"/>
                <w:sz w:val="21"/>
                <w:szCs w:val="21"/>
              </w:rPr>
              <w:t>12</w:t>
            </w:r>
          </w:p>
        </w:tc>
        <w:tc>
          <w:tcPr>
            <w:tcW w:w="995" w:type="dxa"/>
          </w:tcPr>
          <w:p w14:paraId="5B2C2AA2"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0.0027 </w:t>
            </w:r>
          </w:p>
        </w:tc>
        <w:tc>
          <w:tcPr>
            <w:tcW w:w="1063" w:type="dxa"/>
          </w:tcPr>
          <w:p w14:paraId="486C762C" w14:textId="77777777" w:rsidR="003E78AB" w:rsidRDefault="00010BF9">
            <w:pPr>
              <w:spacing w:line="360" w:lineRule="exact"/>
              <w:ind w:firstLineChars="0" w:firstLine="0"/>
              <w:jc w:val="center"/>
              <w:rPr>
                <w:kern w:val="2"/>
                <w:sz w:val="21"/>
                <w:szCs w:val="21"/>
              </w:rPr>
            </w:pPr>
            <w:r>
              <w:rPr>
                <w:rFonts w:hint="eastAsia"/>
                <w:kern w:val="2"/>
                <w:sz w:val="21"/>
                <w:szCs w:val="21"/>
              </w:rPr>
              <w:t>15</w:t>
            </w:r>
          </w:p>
        </w:tc>
        <w:tc>
          <w:tcPr>
            <w:tcW w:w="992" w:type="dxa"/>
          </w:tcPr>
          <w:p w14:paraId="03FE505A"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0.0033 </w:t>
            </w:r>
          </w:p>
        </w:tc>
        <w:tc>
          <w:tcPr>
            <w:tcW w:w="1040" w:type="dxa"/>
          </w:tcPr>
          <w:p w14:paraId="4E5D426B" w14:textId="77777777" w:rsidR="003E78AB" w:rsidRDefault="00010BF9">
            <w:pPr>
              <w:spacing w:line="360" w:lineRule="exact"/>
              <w:ind w:firstLineChars="0" w:firstLine="0"/>
              <w:jc w:val="center"/>
              <w:rPr>
                <w:kern w:val="2"/>
                <w:sz w:val="21"/>
                <w:szCs w:val="21"/>
              </w:rPr>
            </w:pPr>
            <w:r>
              <w:rPr>
                <w:rFonts w:hint="eastAsia"/>
                <w:kern w:val="2"/>
                <w:sz w:val="21"/>
                <w:szCs w:val="21"/>
              </w:rPr>
              <w:t>16</w:t>
            </w:r>
          </w:p>
        </w:tc>
        <w:tc>
          <w:tcPr>
            <w:tcW w:w="1006" w:type="dxa"/>
          </w:tcPr>
          <w:p w14:paraId="6AC9E5C6"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0.0036 </w:t>
            </w:r>
          </w:p>
        </w:tc>
      </w:tr>
      <w:tr w:rsidR="003E78AB" w14:paraId="077E9AE9" w14:textId="77777777">
        <w:trPr>
          <w:trHeight w:val="369"/>
        </w:trPr>
        <w:tc>
          <w:tcPr>
            <w:tcW w:w="602" w:type="pct"/>
          </w:tcPr>
          <w:p w14:paraId="0F57429F" w14:textId="77777777" w:rsidR="003E78AB" w:rsidRDefault="00010BF9">
            <w:pPr>
              <w:spacing w:line="360" w:lineRule="exact"/>
              <w:ind w:firstLineChars="0" w:firstLine="0"/>
              <w:jc w:val="center"/>
              <w:rPr>
                <w:kern w:val="2"/>
                <w:sz w:val="21"/>
                <w:szCs w:val="21"/>
              </w:rPr>
            </w:pPr>
            <w:r>
              <w:rPr>
                <w:rFonts w:hint="eastAsia"/>
                <w:kern w:val="2"/>
                <w:sz w:val="21"/>
                <w:szCs w:val="21"/>
              </w:rPr>
              <w:t>钒</w:t>
            </w:r>
          </w:p>
        </w:tc>
        <w:tc>
          <w:tcPr>
            <w:tcW w:w="342" w:type="pct"/>
          </w:tcPr>
          <w:p w14:paraId="21A38390" w14:textId="77777777" w:rsidR="003E78AB" w:rsidRDefault="00010BF9">
            <w:pPr>
              <w:spacing w:line="360" w:lineRule="exact"/>
              <w:ind w:firstLineChars="0" w:firstLine="0"/>
              <w:jc w:val="center"/>
              <w:rPr>
                <w:kern w:val="2"/>
                <w:sz w:val="21"/>
                <w:szCs w:val="21"/>
              </w:rPr>
            </w:pPr>
            <w:r>
              <w:rPr>
                <w:rFonts w:hint="eastAsia"/>
                <w:kern w:val="2"/>
                <w:sz w:val="21"/>
                <w:szCs w:val="21"/>
              </w:rPr>
              <w:t>752</w:t>
            </w:r>
          </w:p>
        </w:tc>
        <w:tc>
          <w:tcPr>
            <w:tcW w:w="1071" w:type="dxa"/>
          </w:tcPr>
          <w:p w14:paraId="18FAEED3" w14:textId="77777777" w:rsidR="003E78AB" w:rsidRDefault="00010BF9">
            <w:pPr>
              <w:spacing w:line="360" w:lineRule="exact"/>
              <w:ind w:firstLineChars="0" w:firstLine="0"/>
              <w:jc w:val="center"/>
              <w:rPr>
                <w:kern w:val="2"/>
                <w:sz w:val="21"/>
                <w:szCs w:val="21"/>
              </w:rPr>
            </w:pPr>
            <w:r>
              <w:rPr>
                <w:rFonts w:hint="eastAsia"/>
                <w:kern w:val="2"/>
                <w:sz w:val="21"/>
                <w:szCs w:val="21"/>
              </w:rPr>
              <w:t>0.11</w:t>
            </w:r>
          </w:p>
        </w:tc>
        <w:tc>
          <w:tcPr>
            <w:tcW w:w="765" w:type="dxa"/>
          </w:tcPr>
          <w:p w14:paraId="6DA8E160"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0.00002 </w:t>
            </w:r>
          </w:p>
        </w:tc>
        <w:tc>
          <w:tcPr>
            <w:tcW w:w="1148" w:type="dxa"/>
          </w:tcPr>
          <w:p w14:paraId="02DB2015" w14:textId="77777777" w:rsidR="003E78AB" w:rsidRDefault="00010BF9">
            <w:pPr>
              <w:spacing w:line="360" w:lineRule="exact"/>
              <w:ind w:firstLineChars="0" w:firstLine="0"/>
              <w:jc w:val="center"/>
              <w:rPr>
                <w:kern w:val="2"/>
                <w:sz w:val="21"/>
                <w:szCs w:val="21"/>
              </w:rPr>
            </w:pPr>
            <w:r>
              <w:rPr>
                <w:rFonts w:hint="eastAsia"/>
                <w:kern w:val="2"/>
                <w:sz w:val="21"/>
                <w:szCs w:val="21"/>
              </w:rPr>
              <w:t>0.08</w:t>
            </w:r>
          </w:p>
        </w:tc>
        <w:tc>
          <w:tcPr>
            <w:tcW w:w="657" w:type="dxa"/>
          </w:tcPr>
          <w:p w14:paraId="2B6A7104"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0.00002 </w:t>
            </w:r>
          </w:p>
        </w:tc>
        <w:tc>
          <w:tcPr>
            <w:tcW w:w="1031" w:type="dxa"/>
          </w:tcPr>
          <w:p w14:paraId="2D7E6074" w14:textId="77777777" w:rsidR="003E78AB" w:rsidRDefault="00010BF9">
            <w:pPr>
              <w:spacing w:line="360" w:lineRule="exact"/>
              <w:ind w:firstLineChars="0" w:firstLine="0"/>
              <w:jc w:val="center"/>
              <w:rPr>
                <w:kern w:val="2"/>
                <w:sz w:val="21"/>
                <w:szCs w:val="21"/>
              </w:rPr>
            </w:pPr>
            <w:r>
              <w:rPr>
                <w:rFonts w:hint="eastAsia"/>
                <w:kern w:val="2"/>
                <w:sz w:val="21"/>
                <w:szCs w:val="21"/>
              </w:rPr>
              <w:t>0.06</w:t>
            </w:r>
          </w:p>
        </w:tc>
        <w:tc>
          <w:tcPr>
            <w:tcW w:w="655" w:type="dxa"/>
          </w:tcPr>
          <w:p w14:paraId="6446FCE2"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0.00001 </w:t>
            </w:r>
          </w:p>
        </w:tc>
        <w:tc>
          <w:tcPr>
            <w:tcW w:w="1068" w:type="dxa"/>
          </w:tcPr>
          <w:p w14:paraId="12605387" w14:textId="77777777" w:rsidR="003E78AB" w:rsidRDefault="00010BF9">
            <w:pPr>
              <w:spacing w:line="360" w:lineRule="exact"/>
              <w:ind w:firstLineChars="0" w:firstLine="0"/>
              <w:jc w:val="center"/>
              <w:rPr>
                <w:kern w:val="2"/>
                <w:sz w:val="21"/>
                <w:szCs w:val="21"/>
              </w:rPr>
            </w:pPr>
            <w:r>
              <w:rPr>
                <w:rFonts w:hint="eastAsia"/>
                <w:kern w:val="2"/>
                <w:sz w:val="21"/>
                <w:szCs w:val="21"/>
              </w:rPr>
              <w:t>0.08</w:t>
            </w:r>
          </w:p>
        </w:tc>
        <w:tc>
          <w:tcPr>
            <w:tcW w:w="995" w:type="dxa"/>
          </w:tcPr>
          <w:p w14:paraId="14712B53"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0.00002 </w:t>
            </w:r>
          </w:p>
        </w:tc>
        <w:tc>
          <w:tcPr>
            <w:tcW w:w="1063" w:type="dxa"/>
          </w:tcPr>
          <w:p w14:paraId="5497DB5A" w14:textId="77777777" w:rsidR="003E78AB" w:rsidRDefault="00010BF9">
            <w:pPr>
              <w:spacing w:line="360" w:lineRule="exact"/>
              <w:ind w:firstLineChars="0" w:firstLine="0"/>
              <w:jc w:val="center"/>
              <w:rPr>
                <w:kern w:val="2"/>
                <w:sz w:val="21"/>
                <w:szCs w:val="21"/>
              </w:rPr>
            </w:pPr>
            <w:r>
              <w:rPr>
                <w:rFonts w:hint="eastAsia"/>
                <w:kern w:val="2"/>
                <w:sz w:val="21"/>
                <w:szCs w:val="21"/>
              </w:rPr>
              <w:t>0.06</w:t>
            </w:r>
          </w:p>
        </w:tc>
        <w:tc>
          <w:tcPr>
            <w:tcW w:w="992" w:type="dxa"/>
          </w:tcPr>
          <w:p w14:paraId="60C7017B"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0.00001 </w:t>
            </w:r>
          </w:p>
        </w:tc>
        <w:tc>
          <w:tcPr>
            <w:tcW w:w="1040" w:type="dxa"/>
          </w:tcPr>
          <w:p w14:paraId="4D90BA34" w14:textId="77777777" w:rsidR="003E78AB" w:rsidRDefault="00010BF9">
            <w:pPr>
              <w:spacing w:line="360" w:lineRule="exact"/>
              <w:ind w:firstLineChars="0" w:firstLine="0"/>
              <w:jc w:val="center"/>
              <w:rPr>
                <w:kern w:val="2"/>
                <w:sz w:val="21"/>
                <w:szCs w:val="21"/>
              </w:rPr>
            </w:pPr>
            <w:r>
              <w:rPr>
                <w:rFonts w:hint="eastAsia"/>
                <w:kern w:val="2"/>
                <w:sz w:val="21"/>
                <w:szCs w:val="21"/>
              </w:rPr>
              <w:t>0.05</w:t>
            </w:r>
          </w:p>
        </w:tc>
        <w:tc>
          <w:tcPr>
            <w:tcW w:w="1006" w:type="dxa"/>
          </w:tcPr>
          <w:p w14:paraId="444433A8" w14:textId="77777777" w:rsidR="003E78AB" w:rsidRDefault="00010BF9">
            <w:pPr>
              <w:spacing w:line="360" w:lineRule="exact"/>
              <w:ind w:firstLineChars="0" w:firstLine="0"/>
              <w:jc w:val="center"/>
              <w:rPr>
                <w:kern w:val="2"/>
                <w:sz w:val="21"/>
                <w:szCs w:val="21"/>
              </w:rPr>
            </w:pPr>
            <w:r>
              <w:rPr>
                <w:rFonts w:hint="eastAsia"/>
                <w:kern w:val="2"/>
                <w:sz w:val="21"/>
                <w:szCs w:val="21"/>
              </w:rPr>
              <w:t xml:space="preserve">0.00001 </w:t>
            </w:r>
          </w:p>
        </w:tc>
      </w:tr>
      <w:tr w:rsidR="003E78AB" w14:paraId="49BF1927" w14:textId="77777777">
        <w:trPr>
          <w:trHeight w:val="369"/>
        </w:trPr>
        <w:tc>
          <w:tcPr>
            <w:tcW w:w="602" w:type="pct"/>
          </w:tcPr>
          <w:p w14:paraId="1F099F2F" w14:textId="77777777" w:rsidR="003E78AB" w:rsidRDefault="00010BF9">
            <w:pPr>
              <w:spacing w:line="360" w:lineRule="exact"/>
              <w:ind w:firstLineChars="0" w:firstLine="0"/>
              <w:jc w:val="center"/>
              <w:rPr>
                <w:kern w:val="2"/>
                <w:sz w:val="21"/>
                <w:szCs w:val="21"/>
              </w:rPr>
            </w:pPr>
            <w:r>
              <w:rPr>
                <w:rFonts w:hint="eastAsia"/>
                <w:kern w:val="2"/>
                <w:sz w:val="21"/>
                <w:szCs w:val="21"/>
              </w:rPr>
              <w:t>总磷</w:t>
            </w:r>
          </w:p>
        </w:tc>
        <w:tc>
          <w:tcPr>
            <w:tcW w:w="342" w:type="pct"/>
          </w:tcPr>
          <w:p w14:paraId="4F2C8CF0"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71" w:type="dxa"/>
          </w:tcPr>
          <w:p w14:paraId="7B27BC3C" w14:textId="77777777" w:rsidR="003E78AB" w:rsidRDefault="00010BF9">
            <w:pPr>
              <w:spacing w:line="360" w:lineRule="exact"/>
              <w:ind w:firstLineChars="0" w:firstLine="0"/>
              <w:jc w:val="center"/>
              <w:rPr>
                <w:kern w:val="2"/>
                <w:sz w:val="21"/>
                <w:szCs w:val="21"/>
              </w:rPr>
            </w:pPr>
            <w:r>
              <w:rPr>
                <w:rFonts w:hint="eastAsia"/>
                <w:kern w:val="2"/>
                <w:sz w:val="21"/>
                <w:szCs w:val="21"/>
              </w:rPr>
              <w:t>195</w:t>
            </w:r>
          </w:p>
        </w:tc>
        <w:tc>
          <w:tcPr>
            <w:tcW w:w="765" w:type="dxa"/>
          </w:tcPr>
          <w:p w14:paraId="3E6D3CF6"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48" w:type="dxa"/>
          </w:tcPr>
          <w:p w14:paraId="7FC88A3F" w14:textId="77777777" w:rsidR="003E78AB" w:rsidRDefault="00010BF9">
            <w:pPr>
              <w:spacing w:line="360" w:lineRule="exact"/>
              <w:ind w:firstLineChars="0" w:firstLine="0"/>
              <w:jc w:val="center"/>
              <w:rPr>
                <w:kern w:val="2"/>
                <w:sz w:val="21"/>
                <w:szCs w:val="21"/>
              </w:rPr>
            </w:pPr>
            <w:r>
              <w:rPr>
                <w:rFonts w:hint="eastAsia"/>
                <w:kern w:val="2"/>
                <w:sz w:val="21"/>
                <w:szCs w:val="21"/>
              </w:rPr>
              <w:t>204</w:t>
            </w:r>
          </w:p>
        </w:tc>
        <w:tc>
          <w:tcPr>
            <w:tcW w:w="657" w:type="dxa"/>
          </w:tcPr>
          <w:p w14:paraId="4B6C8DC5"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31" w:type="dxa"/>
          </w:tcPr>
          <w:p w14:paraId="1E879436" w14:textId="77777777" w:rsidR="003E78AB" w:rsidRDefault="00010BF9">
            <w:pPr>
              <w:spacing w:line="360" w:lineRule="exact"/>
              <w:ind w:firstLineChars="0" w:firstLine="0"/>
              <w:jc w:val="center"/>
              <w:rPr>
                <w:kern w:val="2"/>
                <w:sz w:val="21"/>
                <w:szCs w:val="21"/>
              </w:rPr>
            </w:pPr>
            <w:r>
              <w:rPr>
                <w:rFonts w:hint="eastAsia"/>
                <w:kern w:val="2"/>
                <w:sz w:val="21"/>
                <w:szCs w:val="21"/>
              </w:rPr>
              <w:t>207</w:t>
            </w:r>
          </w:p>
        </w:tc>
        <w:tc>
          <w:tcPr>
            <w:tcW w:w="655" w:type="dxa"/>
          </w:tcPr>
          <w:p w14:paraId="524DA6B2"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68" w:type="dxa"/>
          </w:tcPr>
          <w:p w14:paraId="0800D4A8" w14:textId="77777777" w:rsidR="003E78AB" w:rsidRDefault="00010BF9">
            <w:pPr>
              <w:spacing w:line="360" w:lineRule="exact"/>
              <w:ind w:firstLineChars="0" w:firstLine="0"/>
              <w:jc w:val="center"/>
              <w:rPr>
                <w:kern w:val="2"/>
                <w:sz w:val="21"/>
                <w:szCs w:val="21"/>
              </w:rPr>
            </w:pPr>
            <w:r>
              <w:rPr>
                <w:rFonts w:hint="eastAsia"/>
                <w:kern w:val="2"/>
                <w:sz w:val="21"/>
                <w:szCs w:val="21"/>
              </w:rPr>
              <w:t>185</w:t>
            </w:r>
          </w:p>
        </w:tc>
        <w:tc>
          <w:tcPr>
            <w:tcW w:w="995" w:type="dxa"/>
          </w:tcPr>
          <w:p w14:paraId="22EAEA47"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63" w:type="dxa"/>
          </w:tcPr>
          <w:p w14:paraId="292A76F1" w14:textId="77777777" w:rsidR="003E78AB" w:rsidRDefault="00010BF9">
            <w:pPr>
              <w:spacing w:line="360" w:lineRule="exact"/>
              <w:ind w:firstLineChars="0" w:firstLine="0"/>
              <w:jc w:val="center"/>
              <w:rPr>
                <w:kern w:val="2"/>
                <w:sz w:val="21"/>
                <w:szCs w:val="21"/>
              </w:rPr>
            </w:pPr>
            <w:r>
              <w:rPr>
                <w:rFonts w:hint="eastAsia"/>
                <w:kern w:val="2"/>
                <w:sz w:val="21"/>
                <w:szCs w:val="21"/>
              </w:rPr>
              <w:t>190</w:t>
            </w:r>
          </w:p>
        </w:tc>
        <w:tc>
          <w:tcPr>
            <w:tcW w:w="992" w:type="dxa"/>
          </w:tcPr>
          <w:p w14:paraId="5D21CA86"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040" w:type="dxa"/>
          </w:tcPr>
          <w:p w14:paraId="746361C0" w14:textId="77777777" w:rsidR="003E78AB" w:rsidRDefault="00010BF9">
            <w:pPr>
              <w:spacing w:line="360" w:lineRule="exact"/>
              <w:ind w:firstLineChars="0" w:firstLine="0"/>
              <w:jc w:val="center"/>
              <w:rPr>
                <w:kern w:val="2"/>
                <w:sz w:val="21"/>
                <w:szCs w:val="21"/>
              </w:rPr>
            </w:pPr>
            <w:r>
              <w:rPr>
                <w:rFonts w:hint="eastAsia"/>
                <w:kern w:val="2"/>
                <w:sz w:val="21"/>
                <w:szCs w:val="21"/>
              </w:rPr>
              <w:t>197</w:t>
            </w:r>
          </w:p>
        </w:tc>
        <w:tc>
          <w:tcPr>
            <w:tcW w:w="1006" w:type="dxa"/>
          </w:tcPr>
          <w:p w14:paraId="23A9F23F"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bl>
    <w:p w14:paraId="4334C4D6" w14:textId="77777777" w:rsidR="003E78AB" w:rsidRDefault="003E78AB">
      <w:pPr>
        <w:ind w:firstLine="480"/>
        <w:sectPr w:rsidR="003E78AB">
          <w:pgSz w:w="16838" w:h="11906" w:orient="landscape"/>
          <w:pgMar w:top="1985" w:right="1440" w:bottom="1701" w:left="1440" w:header="851" w:footer="992" w:gutter="0"/>
          <w:cols w:space="720"/>
          <w:docGrid w:linePitch="312"/>
        </w:sectPr>
      </w:pPr>
    </w:p>
    <w:p w14:paraId="5A700D26" w14:textId="77777777" w:rsidR="003E78AB" w:rsidRDefault="00010BF9">
      <w:pPr>
        <w:ind w:firstLine="480"/>
      </w:pPr>
      <w:r>
        <w:t>根据上表可知，项目区土壤各监测因子浓度均满足《土壤环境质量</w:t>
      </w:r>
      <w:r>
        <w:rPr>
          <w:rFonts w:hint="eastAsia"/>
        </w:rPr>
        <w:t xml:space="preserve"> </w:t>
      </w:r>
      <w:r>
        <w:t>建设用地土壤污染风险管控标准（试行）》（</w:t>
      </w:r>
      <w:r>
        <w:t>GB36600-2018</w:t>
      </w:r>
      <w:r>
        <w:t>）中第二类用地风险筛选值要求，当地土壤环境质量较好。</w:t>
      </w:r>
    </w:p>
    <w:p w14:paraId="17B5489E" w14:textId="77777777" w:rsidR="003E78AB" w:rsidRDefault="00010BF9">
      <w:pPr>
        <w:pStyle w:val="24"/>
        <w:keepNext w:val="0"/>
        <w:keepLines w:val="0"/>
        <w:topLinePunct/>
        <w:spacing w:before="156"/>
        <w:outlineLvl w:val="2"/>
        <w:rPr>
          <w:rFonts w:cs="Times New Roman"/>
          <w:sz w:val="28"/>
          <w:szCs w:val="28"/>
        </w:rPr>
      </w:pPr>
      <w:r>
        <w:rPr>
          <w:rFonts w:cs="Times New Roman"/>
          <w:sz w:val="28"/>
          <w:szCs w:val="28"/>
        </w:rPr>
        <w:t>4.3.5</w:t>
      </w:r>
      <w:r>
        <w:rPr>
          <w:rFonts w:cs="Times New Roman"/>
          <w:sz w:val="28"/>
          <w:szCs w:val="28"/>
        </w:rPr>
        <w:t>生态环境质量现状调查及评价</w:t>
      </w:r>
    </w:p>
    <w:p w14:paraId="20AF98C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4.3.5.1</w:t>
      </w:r>
      <w:r>
        <w:rPr>
          <w:rFonts w:ascii="Times New Roman" w:hAnsi="Times New Roman"/>
        </w:rPr>
        <w:t>生态功能区划</w:t>
      </w:r>
    </w:p>
    <w:p w14:paraId="0B842FA2" w14:textId="77777777" w:rsidR="003E78AB" w:rsidRDefault="00010BF9">
      <w:pPr>
        <w:ind w:firstLine="480"/>
      </w:pPr>
      <w:r>
        <w:t>哈密工业园南部循环经济产业园位于嘎顺一南湖戈壁荒漠植被及野生动物保护生态功能区。</w:t>
      </w:r>
    </w:p>
    <w:p w14:paraId="69241591" w14:textId="77777777" w:rsidR="003E78AB" w:rsidRDefault="00010BF9">
      <w:pPr>
        <w:ind w:firstLine="480"/>
      </w:pPr>
      <w:r>
        <w:t>该区为吐鲁番和哈密盆地之间及哈密东部、南部第三系隆起区，主要分布以泥岩为主的夹砂砾岩层，组成的剥蚀岗状平原，通称嘎顺戈壁，海拔均在</w:t>
      </w:r>
      <w:r>
        <w:t>1000m</w:t>
      </w:r>
      <w:r>
        <w:t>以上，最低地为沙尔湖，海拔</w:t>
      </w:r>
      <w:r>
        <w:t>41m</w:t>
      </w:r>
      <w:r>
        <w:t>。这里的气候特点是干燥少雨、蒸发量大、夏季酷热、冬季严寒、昼夜温差大、日照时间长、光热资源丰富。其中低山和平原区不仅风大，而且更为干燥，年降水量仅</w:t>
      </w:r>
      <w:r>
        <w:t>10</w:t>
      </w:r>
      <w:r>
        <w:t>～</w:t>
      </w:r>
      <w:r>
        <w:t>66mm</w:t>
      </w:r>
      <w:r>
        <w:t>。处于</w:t>
      </w:r>
      <w:r>
        <w:t>“</w:t>
      </w:r>
      <w:r>
        <w:t>百里风区</w:t>
      </w:r>
      <w:r>
        <w:t>”</w:t>
      </w:r>
      <w:r>
        <w:t>的十三间房，全年</w:t>
      </w:r>
      <w:r>
        <w:t>8</w:t>
      </w:r>
      <w:r>
        <w:t>级以上大风日数达</w:t>
      </w:r>
      <w:r>
        <w:t>136</w:t>
      </w:r>
      <w:r>
        <w:t>天，仅次于阿拉山口，属全疆第二，其平均风速达</w:t>
      </w:r>
      <w:r>
        <w:t>79m/s</w:t>
      </w:r>
      <w:r>
        <w:t>，居全疆之首。</w:t>
      </w:r>
    </w:p>
    <w:p w14:paraId="285C52F7" w14:textId="77777777" w:rsidR="003E78AB" w:rsidRDefault="00010BF9">
      <w:pPr>
        <w:ind w:firstLine="480"/>
      </w:pPr>
      <w:r>
        <w:t>该区降水稀少，洪流发育，无常年地表径流，地下水资源贫</w:t>
      </w:r>
      <w:r>
        <w:t>乏，但在大型汇水洼地内有地下水分布和积水出露，其量很小水质尚好。荒漠植被盖度较低，主要分布在七角井至东南部马宗山一带广阔的低山丘陵、冲积平原和剥蚀平原区。土壤主要为棕漠土，石膏棕漠土，质地以砂砾质和砾质为主。受气候、土壤和基质条件的制约，草场植被以超旱生的小半乔木、灌木、小半灌木为主，因干旱缺水，部分草地作冬场利用，应该实行退牧还草和封育保护。</w:t>
      </w:r>
    </w:p>
    <w:p w14:paraId="78E787CC" w14:textId="77777777" w:rsidR="003E78AB" w:rsidRDefault="00010BF9">
      <w:pPr>
        <w:ind w:firstLine="480"/>
      </w:pPr>
      <w:r>
        <w:t>嘎顺戈壁亦称嘎顺沙漠，主要为沙地、裸地和稀疏植被景观，无常年地表径流，生态系统极其脆弱，非常容易破坏，一旦破坏恢复相当困难。因此，这些地区应以保护为主，防止进一步沙</w:t>
      </w:r>
      <w:r>
        <w:t>化和引起沙尘暴等生态问题。这里分布有野骆驼、鹅喉羚等国家一、二类保护动物，应严禁捕猎，使其更好地繁衍生息。该区东南部有煤、锰、钒、钛等矿产，开采时应把生态保护放在第一位，尽量少占地和避免破坏植被。该区的生态功能区划见</w:t>
      </w:r>
      <w:r>
        <w:fldChar w:fldCharType="begin"/>
      </w:r>
      <w:r>
        <w:instrText xml:space="preserve"> REF _Ref20469 \r \h </w:instrText>
      </w:r>
      <w:r>
        <w:fldChar w:fldCharType="separate"/>
      </w:r>
      <w:r>
        <w:t>表</w:t>
      </w:r>
      <w:r>
        <w:t>4-16</w:t>
      </w:r>
      <w:r>
        <w:fldChar w:fldCharType="end"/>
      </w:r>
      <w:r>
        <w:t>。项目在生态功能区划位置见</w:t>
      </w:r>
      <w:r>
        <w:rPr>
          <w:rFonts w:hint="eastAsia"/>
        </w:rPr>
        <w:t>附图</w:t>
      </w:r>
      <w:r>
        <w:rPr>
          <w:rFonts w:hint="eastAsia"/>
        </w:rPr>
        <w:t>14</w:t>
      </w:r>
      <w:r>
        <w:t>。</w:t>
      </w:r>
    </w:p>
    <w:p w14:paraId="6551948B" w14:textId="77777777" w:rsidR="003E78AB" w:rsidRDefault="00010BF9">
      <w:pPr>
        <w:pStyle w:val="a0"/>
        <w:ind w:left="425" w:hanging="425"/>
        <w:rPr>
          <w:rFonts w:hint="default"/>
          <w:kern w:val="2"/>
        </w:rPr>
      </w:pPr>
      <w:bookmarkStart w:id="320" w:name="_Ref20469"/>
      <w:r>
        <w:rPr>
          <w:rFonts w:hint="default"/>
        </w:rPr>
        <w:t>项目所在地生态功能区划</w:t>
      </w:r>
      <w:bookmarkEnd w:id="320"/>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1215"/>
        <w:gridCol w:w="1218"/>
        <w:gridCol w:w="1217"/>
        <w:gridCol w:w="1216"/>
        <w:gridCol w:w="1216"/>
        <w:gridCol w:w="1216"/>
      </w:tblGrid>
      <w:tr w:rsidR="003E78AB" w14:paraId="2B7D18E0" w14:textId="77777777">
        <w:trPr>
          <w:trHeight w:val="340"/>
          <w:jc w:val="center"/>
        </w:trPr>
        <w:tc>
          <w:tcPr>
            <w:tcW w:w="2141" w:type="pct"/>
            <w:gridSpan w:val="3"/>
            <w:vAlign w:val="center"/>
          </w:tcPr>
          <w:p w14:paraId="05BC8705" w14:textId="77777777" w:rsidR="003E78AB" w:rsidRDefault="00010BF9">
            <w:pPr>
              <w:pStyle w:val="aff4"/>
              <w:rPr>
                <w:rFonts w:hint="default"/>
                <w:b/>
                <w:bCs/>
                <w:szCs w:val="21"/>
              </w:rPr>
            </w:pPr>
            <w:r>
              <w:rPr>
                <w:rFonts w:hint="default"/>
                <w:b/>
                <w:bCs/>
                <w:szCs w:val="21"/>
              </w:rPr>
              <w:t>生态功能分区单元</w:t>
            </w:r>
          </w:p>
        </w:tc>
        <w:tc>
          <w:tcPr>
            <w:tcW w:w="714" w:type="pct"/>
            <w:vMerge w:val="restart"/>
            <w:vAlign w:val="center"/>
          </w:tcPr>
          <w:p w14:paraId="2C947B39" w14:textId="77777777" w:rsidR="003E78AB" w:rsidRDefault="00010BF9">
            <w:pPr>
              <w:pStyle w:val="aff4"/>
              <w:rPr>
                <w:rFonts w:hint="default"/>
                <w:b/>
                <w:bCs/>
                <w:szCs w:val="21"/>
              </w:rPr>
            </w:pPr>
            <w:r>
              <w:rPr>
                <w:rFonts w:hint="default"/>
                <w:b/>
                <w:bCs/>
                <w:szCs w:val="21"/>
              </w:rPr>
              <w:t>隶属行政区</w:t>
            </w:r>
          </w:p>
        </w:tc>
        <w:tc>
          <w:tcPr>
            <w:tcW w:w="714" w:type="pct"/>
            <w:vMerge w:val="restart"/>
            <w:vAlign w:val="center"/>
          </w:tcPr>
          <w:p w14:paraId="5747FA38" w14:textId="77777777" w:rsidR="003E78AB" w:rsidRDefault="00010BF9">
            <w:pPr>
              <w:pStyle w:val="aff4"/>
              <w:rPr>
                <w:rFonts w:hint="default"/>
                <w:b/>
                <w:bCs/>
                <w:szCs w:val="21"/>
              </w:rPr>
            </w:pPr>
            <w:r>
              <w:rPr>
                <w:rFonts w:hint="default"/>
                <w:b/>
                <w:bCs/>
                <w:szCs w:val="21"/>
              </w:rPr>
              <w:t>主要生态服务功能</w:t>
            </w:r>
          </w:p>
        </w:tc>
        <w:tc>
          <w:tcPr>
            <w:tcW w:w="714" w:type="pct"/>
            <w:vMerge w:val="restart"/>
            <w:vAlign w:val="center"/>
          </w:tcPr>
          <w:p w14:paraId="7F571F3D" w14:textId="77777777" w:rsidR="003E78AB" w:rsidRDefault="00010BF9">
            <w:pPr>
              <w:pStyle w:val="aff4"/>
              <w:rPr>
                <w:rFonts w:hint="default"/>
                <w:b/>
                <w:bCs/>
                <w:szCs w:val="21"/>
              </w:rPr>
            </w:pPr>
            <w:r>
              <w:rPr>
                <w:rFonts w:hint="default"/>
                <w:b/>
                <w:bCs/>
                <w:szCs w:val="21"/>
              </w:rPr>
              <w:t>主要生态环境问题</w:t>
            </w:r>
          </w:p>
        </w:tc>
        <w:tc>
          <w:tcPr>
            <w:tcW w:w="714" w:type="pct"/>
            <w:vMerge w:val="restart"/>
            <w:vAlign w:val="center"/>
          </w:tcPr>
          <w:p w14:paraId="4C5672C0" w14:textId="77777777" w:rsidR="003E78AB" w:rsidRDefault="00010BF9">
            <w:pPr>
              <w:pStyle w:val="aff4"/>
              <w:rPr>
                <w:rFonts w:hint="default"/>
                <w:b/>
                <w:bCs/>
                <w:szCs w:val="21"/>
              </w:rPr>
            </w:pPr>
            <w:r>
              <w:rPr>
                <w:rFonts w:hint="default"/>
                <w:b/>
                <w:bCs/>
                <w:szCs w:val="21"/>
              </w:rPr>
              <w:t>生态敏感因子敏感程度</w:t>
            </w:r>
          </w:p>
        </w:tc>
      </w:tr>
      <w:tr w:rsidR="003E78AB" w14:paraId="18B755CC" w14:textId="77777777">
        <w:trPr>
          <w:trHeight w:val="340"/>
          <w:jc w:val="center"/>
        </w:trPr>
        <w:tc>
          <w:tcPr>
            <w:tcW w:w="713" w:type="pct"/>
            <w:vAlign w:val="center"/>
          </w:tcPr>
          <w:p w14:paraId="79301D24" w14:textId="77777777" w:rsidR="003E78AB" w:rsidRDefault="00010BF9">
            <w:pPr>
              <w:pStyle w:val="aff4"/>
              <w:rPr>
                <w:rFonts w:hint="default"/>
                <w:b/>
                <w:bCs/>
                <w:szCs w:val="21"/>
              </w:rPr>
            </w:pPr>
            <w:r>
              <w:rPr>
                <w:rFonts w:hint="default"/>
                <w:b/>
                <w:bCs/>
                <w:szCs w:val="21"/>
              </w:rPr>
              <w:t>生态区</w:t>
            </w:r>
          </w:p>
        </w:tc>
        <w:tc>
          <w:tcPr>
            <w:tcW w:w="713" w:type="pct"/>
            <w:vAlign w:val="center"/>
          </w:tcPr>
          <w:p w14:paraId="45DAF121" w14:textId="77777777" w:rsidR="003E78AB" w:rsidRDefault="00010BF9">
            <w:pPr>
              <w:pStyle w:val="aff4"/>
              <w:rPr>
                <w:rFonts w:hint="default"/>
                <w:b/>
                <w:bCs/>
                <w:szCs w:val="21"/>
              </w:rPr>
            </w:pPr>
            <w:r>
              <w:rPr>
                <w:rFonts w:hint="default"/>
                <w:b/>
                <w:bCs/>
                <w:szCs w:val="21"/>
              </w:rPr>
              <w:t>生态亚区</w:t>
            </w:r>
          </w:p>
        </w:tc>
        <w:tc>
          <w:tcPr>
            <w:tcW w:w="714" w:type="pct"/>
            <w:vAlign w:val="center"/>
          </w:tcPr>
          <w:p w14:paraId="7B614CFC" w14:textId="77777777" w:rsidR="003E78AB" w:rsidRDefault="00010BF9">
            <w:pPr>
              <w:pStyle w:val="aff4"/>
              <w:rPr>
                <w:rFonts w:hint="default"/>
                <w:b/>
                <w:bCs/>
                <w:szCs w:val="21"/>
              </w:rPr>
            </w:pPr>
            <w:r>
              <w:rPr>
                <w:rFonts w:hint="default"/>
                <w:b/>
                <w:bCs/>
                <w:szCs w:val="21"/>
              </w:rPr>
              <w:t>生态功能区</w:t>
            </w:r>
          </w:p>
        </w:tc>
        <w:tc>
          <w:tcPr>
            <w:tcW w:w="714" w:type="pct"/>
            <w:vMerge/>
            <w:vAlign w:val="center"/>
          </w:tcPr>
          <w:p w14:paraId="5ED3631F" w14:textId="77777777" w:rsidR="003E78AB" w:rsidRDefault="003E78AB">
            <w:pPr>
              <w:pStyle w:val="aff4"/>
              <w:rPr>
                <w:rFonts w:hint="default"/>
                <w:szCs w:val="21"/>
              </w:rPr>
            </w:pPr>
          </w:p>
        </w:tc>
        <w:tc>
          <w:tcPr>
            <w:tcW w:w="714" w:type="pct"/>
            <w:vMerge/>
            <w:vAlign w:val="center"/>
          </w:tcPr>
          <w:p w14:paraId="6E8E749A" w14:textId="77777777" w:rsidR="003E78AB" w:rsidRDefault="003E78AB">
            <w:pPr>
              <w:pStyle w:val="aff4"/>
              <w:rPr>
                <w:rFonts w:hint="default"/>
                <w:szCs w:val="21"/>
              </w:rPr>
            </w:pPr>
          </w:p>
        </w:tc>
        <w:tc>
          <w:tcPr>
            <w:tcW w:w="714" w:type="pct"/>
            <w:vMerge/>
            <w:vAlign w:val="center"/>
          </w:tcPr>
          <w:p w14:paraId="6A1C17B4" w14:textId="77777777" w:rsidR="003E78AB" w:rsidRDefault="003E78AB">
            <w:pPr>
              <w:pStyle w:val="aff4"/>
              <w:rPr>
                <w:rFonts w:hint="default"/>
                <w:szCs w:val="21"/>
              </w:rPr>
            </w:pPr>
          </w:p>
        </w:tc>
        <w:tc>
          <w:tcPr>
            <w:tcW w:w="714" w:type="pct"/>
            <w:vMerge/>
            <w:vAlign w:val="center"/>
          </w:tcPr>
          <w:p w14:paraId="52C633A0" w14:textId="77777777" w:rsidR="003E78AB" w:rsidRDefault="003E78AB">
            <w:pPr>
              <w:pStyle w:val="aff4"/>
              <w:rPr>
                <w:rFonts w:hint="default"/>
                <w:szCs w:val="21"/>
              </w:rPr>
            </w:pPr>
          </w:p>
        </w:tc>
      </w:tr>
      <w:tr w:rsidR="003E78AB" w14:paraId="25F071CA" w14:textId="77777777">
        <w:trPr>
          <w:trHeight w:val="340"/>
          <w:jc w:val="center"/>
        </w:trPr>
        <w:tc>
          <w:tcPr>
            <w:tcW w:w="713" w:type="pct"/>
            <w:vAlign w:val="center"/>
          </w:tcPr>
          <w:p w14:paraId="4C633053" w14:textId="77777777" w:rsidR="003E78AB" w:rsidRDefault="00010BF9">
            <w:pPr>
              <w:pStyle w:val="aff4"/>
              <w:rPr>
                <w:rFonts w:hint="default"/>
                <w:szCs w:val="21"/>
              </w:rPr>
            </w:pPr>
            <w:r>
              <w:rPr>
                <w:rFonts w:hint="default"/>
                <w:szCs w:val="21"/>
              </w:rPr>
              <w:t>Ⅲ</w:t>
            </w:r>
            <w:r>
              <w:rPr>
                <w:rFonts w:hint="default"/>
                <w:szCs w:val="21"/>
              </w:rPr>
              <w:t>天山山地干旱草原</w:t>
            </w:r>
            <w:r>
              <w:rPr>
                <w:rFonts w:hint="default"/>
                <w:szCs w:val="21"/>
              </w:rPr>
              <w:t>——</w:t>
            </w:r>
            <w:r>
              <w:rPr>
                <w:rFonts w:hint="default"/>
                <w:szCs w:val="21"/>
              </w:rPr>
              <w:t>针叶林生态区</w:t>
            </w:r>
          </w:p>
        </w:tc>
        <w:tc>
          <w:tcPr>
            <w:tcW w:w="713" w:type="pct"/>
            <w:vAlign w:val="center"/>
          </w:tcPr>
          <w:p w14:paraId="1441C95B" w14:textId="77777777" w:rsidR="003E78AB" w:rsidRDefault="00010BF9">
            <w:pPr>
              <w:pStyle w:val="aff4"/>
              <w:rPr>
                <w:rFonts w:hint="default"/>
                <w:szCs w:val="21"/>
              </w:rPr>
            </w:pPr>
            <w:r>
              <w:rPr>
                <w:rFonts w:hint="default"/>
                <w:szCs w:val="21"/>
              </w:rPr>
              <w:t>Ⅲ4</w:t>
            </w:r>
            <w:r>
              <w:rPr>
                <w:rFonts w:hint="default"/>
                <w:szCs w:val="21"/>
              </w:rPr>
              <w:t>天山南坡吐鲁番</w:t>
            </w:r>
            <w:r>
              <w:rPr>
                <w:rFonts w:hint="default"/>
                <w:szCs w:val="21"/>
              </w:rPr>
              <w:t>—</w:t>
            </w:r>
            <w:r>
              <w:rPr>
                <w:rFonts w:hint="default"/>
                <w:szCs w:val="21"/>
              </w:rPr>
              <w:t>哈密盆地戈壁荒漠、绿洲农业生态亚区</w:t>
            </w:r>
          </w:p>
        </w:tc>
        <w:tc>
          <w:tcPr>
            <w:tcW w:w="714" w:type="pct"/>
            <w:vAlign w:val="center"/>
          </w:tcPr>
          <w:p w14:paraId="3AD65C6F" w14:textId="77777777" w:rsidR="003E78AB" w:rsidRDefault="00010BF9">
            <w:pPr>
              <w:pStyle w:val="aff4"/>
              <w:rPr>
                <w:rFonts w:hint="default"/>
                <w:szCs w:val="21"/>
              </w:rPr>
            </w:pPr>
            <w:r>
              <w:rPr>
                <w:rFonts w:hint="default"/>
                <w:szCs w:val="21"/>
              </w:rPr>
              <w:t>53</w:t>
            </w:r>
            <w:r>
              <w:rPr>
                <w:rFonts w:hint="default"/>
                <w:szCs w:val="21"/>
              </w:rPr>
              <w:t>．嘎顺</w:t>
            </w:r>
            <w:r>
              <w:rPr>
                <w:rFonts w:hint="default"/>
                <w:szCs w:val="21"/>
              </w:rPr>
              <w:t>——</w:t>
            </w:r>
            <w:r>
              <w:rPr>
                <w:rFonts w:hint="default"/>
                <w:szCs w:val="21"/>
              </w:rPr>
              <w:t>南湖戈壁荒漠风蚀敏感生态功能区</w:t>
            </w:r>
          </w:p>
        </w:tc>
        <w:tc>
          <w:tcPr>
            <w:tcW w:w="714" w:type="pct"/>
            <w:vAlign w:val="center"/>
          </w:tcPr>
          <w:p w14:paraId="4CA4E6E4" w14:textId="77777777" w:rsidR="003E78AB" w:rsidRDefault="00010BF9">
            <w:pPr>
              <w:pStyle w:val="aff4"/>
              <w:rPr>
                <w:rFonts w:hint="default"/>
                <w:szCs w:val="21"/>
              </w:rPr>
            </w:pPr>
            <w:r>
              <w:rPr>
                <w:rFonts w:hint="default"/>
                <w:szCs w:val="21"/>
              </w:rPr>
              <w:t>鄯善县、哈密市</w:t>
            </w:r>
          </w:p>
        </w:tc>
        <w:tc>
          <w:tcPr>
            <w:tcW w:w="714" w:type="pct"/>
            <w:vAlign w:val="center"/>
          </w:tcPr>
          <w:p w14:paraId="6D3A8720" w14:textId="77777777" w:rsidR="003E78AB" w:rsidRDefault="00010BF9">
            <w:pPr>
              <w:pStyle w:val="aff4"/>
              <w:rPr>
                <w:rFonts w:hint="default"/>
                <w:szCs w:val="21"/>
              </w:rPr>
            </w:pPr>
            <w:r>
              <w:rPr>
                <w:rFonts w:hint="default"/>
                <w:szCs w:val="21"/>
              </w:rPr>
              <w:t>荒漠化控制、生物多样性维护、矿产资源</w:t>
            </w:r>
          </w:p>
        </w:tc>
        <w:tc>
          <w:tcPr>
            <w:tcW w:w="714" w:type="pct"/>
            <w:vAlign w:val="center"/>
          </w:tcPr>
          <w:p w14:paraId="795ECFB5" w14:textId="77777777" w:rsidR="003E78AB" w:rsidRDefault="00010BF9">
            <w:pPr>
              <w:pStyle w:val="aff4"/>
              <w:rPr>
                <w:rFonts w:hint="default"/>
                <w:szCs w:val="21"/>
              </w:rPr>
            </w:pPr>
            <w:r>
              <w:rPr>
                <w:rFonts w:hint="default"/>
                <w:szCs w:val="21"/>
              </w:rPr>
              <w:t>风沙危害铁路公路、地表形态破坏</w:t>
            </w:r>
          </w:p>
        </w:tc>
        <w:tc>
          <w:tcPr>
            <w:tcW w:w="714" w:type="pct"/>
            <w:vAlign w:val="center"/>
          </w:tcPr>
          <w:p w14:paraId="455340F9" w14:textId="77777777" w:rsidR="003E78AB" w:rsidRDefault="00010BF9">
            <w:pPr>
              <w:pStyle w:val="aff4"/>
              <w:rPr>
                <w:rFonts w:hint="default"/>
                <w:szCs w:val="21"/>
              </w:rPr>
            </w:pPr>
            <w:r>
              <w:rPr>
                <w:rFonts w:hint="default"/>
                <w:szCs w:val="21"/>
              </w:rPr>
              <w:t>生物多样性和生境不敏感、高度敏感，土壤侵蚀极度敏感，土地沙漠化轻度敏感、不敏感，土壤盐渍化不敏感。</w:t>
            </w:r>
          </w:p>
        </w:tc>
      </w:tr>
    </w:tbl>
    <w:p w14:paraId="144A2A5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4</w:t>
      </w:r>
      <w:r>
        <w:rPr>
          <w:rFonts w:ascii="Times New Roman" w:hAnsi="Times New Roman"/>
        </w:rPr>
        <w:t>.4.5.2</w:t>
      </w:r>
      <w:r>
        <w:rPr>
          <w:rFonts w:ascii="Times New Roman" w:hAnsi="Times New Roman"/>
        </w:rPr>
        <w:t>植被</w:t>
      </w:r>
    </w:p>
    <w:p w14:paraId="7C477B9C" w14:textId="77777777" w:rsidR="003E78AB" w:rsidRDefault="00010BF9">
      <w:pPr>
        <w:ind w:firstLine="480"/>
      </w:pPr>
      <w:r>
        <w:t>（</w:t>
      </w:r>
      <w:r>
        <w:t>1</w:t>
      </w:r>
      <w:r>
        <w:t>）区域植物类型</w:t>
      </w:r>
    </w:p>
    <w:p w14:paraId="5D5E035C" w14:textId="77777777" w:rsidR="003E78AB" w:rsidRDefault="00010BF9">
      <w:pPr>
        <w:ind w:firstLine="480"/>
      </w:pPr>
      <w:r>
        <w:t>哈密市位于天山南麓，辖区四周被高山丘陵环绕，中间低缓，形成哈密绿洲盆地。区内林木类型不同区域主要有：北部天山山区针叶林主要以西伯利亚落叶松为主，并混生有天山云杉；河谷区域阔叶林主要以白杨树、榆树、柳树为主；平原农业区人工林主要以防护林以及用材林树种的银白杨、新疆杨、柳树、洋槐、榆树、白蜡、毛柳等为主，经济林和果木林有杏、桃、梨、桑、苹果、核桃、红枣、葡萄等；戈壁荒漠区域主要分布林木植被有胡杨，灌木梭梭、红柳，小灌木琵琶柴、沙拐枣、麻黄，半灌木白刺等。</w:t>
      </w:r>
    </w:p>
    <w:p w14:paraId="7AB3CBA4" w14:textId="77777777" w:rsidR="003E78AB" w:rsidRDefault="00010BF9">
      <w:pPr>
        <w:ind w:firstLine="480"/>
      </w:pPr>
      <w:r>
        <w:t>牧草地主要有：山地高山亚高山草原带生长着多种苔草和蒿草等</w:t>
      </w:r>
      <w:r>
        <w:t>；森林草原带生长的早熟禾、黑燕麦、苔草、蒿属、菊科、蒲公英等杂类草；干旱草原带生长的羊茅草、蒿属、针茅、芨芨、野苜蓿等；草原荒漠草原与绿洲过滤带生长有梭梭、沙拐枣、麻黄、琵琶柴、驼绒藜、合头草、沙生针茅、白刺、猪毛菜、芨芨、甘草、骆驼刺、苦豆子等。</w:t>
      </w:r>
    </w:p>
    <w:p w14:paraId="5E985002" w14:textId="77777777" w:rsidR="003E78AB" w:rsidRDefault="00010BF9">
      <w:pPr>
        <w:ind w:firstLine="480"/>
      </w:pPr>
      <w:r>
        <w:t>绿洲农作物有小麦、高粱、玉米、糜子、豆类、油料、洋芋等。</w:t>
      </w:r>
    </w:p>
    <w:p w14:paraId="14423944" w14:textId="77777777" w:rsidR="003E78AB" w:rsidRDefault="00010BF9">
      <w:pPr>
        <w:ind w:firstLine="480"/>
      </w:pPr>
      <w:r>
        <w:t>（</w:t>
      </w:r>
      <w:r>
        <w:t>2</w:t>
      </w:r>
      <w:r>
        <w:t>）南部循环经济产业园植被类型</w:t>
      </w:r>
    </w:p>
    <w:p w14:paraId="4B9BA5B1" w14:textId="77777777" w:rsidR="003E78AB" w:rsidRDefault="00010BF9">
      <w:pPr>
        <w:ind w:firstLine="480"/>
      </w:pPr>
      <w:r>
        <w:t>哈密工业园南部循环经济产业园大部分位于嘎顺戈壁，降水稀少，无常年地表径流，主要为裸地和稀疏植被景观，生态系统极其脆弱，非常容易破坏，一旦破坏，恢复相当困难。该区域地下水位</w:t>
      </w:r>
      <w:r>
        <w:t>在</w:t>
      </w:r>
      <w:r>
        <w:t>4</w:t>
      </w:r>
      <w:r>
        <w:t>～</w:t>
      </w:r>
      <w:r>
        <w:t>10m</w:t>
      </w:r>
      <w:r>
        <w:t>不等，自然植被有柽柳、假木贼、琵琶柴、骆驼刺、盐生草等，分布极不均匀，植被盖度在</w:t>
      </w:r>
      <w:r>
        <w:t>1%</w:t>
      </w:r>
      <w:r>
        <w:t>以下，大部分地表裸露，因此，这些地区应以保护地表为主，防止地表结皮层破坏，而进一步引起沙化沙尘暴等生态问题。</w:t>
      </w:r>
    </w:p>
    <w:p w14:paraId="2D3055C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4</w:t>
      </w:r>
      <w:r>
        <w:rPr>
          <w:rFonts w:ascii="Times New Roman" w:hAnsi="Times New Roman"/>
        </w:rPr>
        <w:t>.4.5.3</w:t>
      </w:r>
      <w:r>
        <w:rPr>
          <w:rFonts w:ascii="Times New Roman" w:hAnsi="Times New Roman"/>
        </w:rPr>
        <w:t>野生动物类型及分布状况</w:t>
      </w:r>
    </w:p>
    <w:p w14:paraId="3257DBBC" w14:textId="77777777" w:rsidR="003E78AB" w:rsidRDefault="00010BF9">
      <w:pPr>
        <w:ind w:firstLine="480"/>
      </w:pPr>
      <w:r>
        <w:t>（</w:t>
      </w:r>
      <w:r>
        <w:t>1</w:t>
      </w:r>
      <w:r>
        <w:t>）区域动物类型及种类</w:t>
      </w:r>
    </w:p>
    <w:p w14:paraId="6F957B5C" w14:textId="77777777" w:rsidR="003E78AB" w:rsidRDefault="00010BF9">
      <w:pPr>
        <w:ind w:firstLine="480"/>
      </w:pPr>
      <w:r>
        <w:t>哈密</w:t>
      </w:r>
      <w:r>
        <w:rPr>
          <w:rFonts w:hint="eastAsia"/>
        </w:rPr>
        <w:t>市</w:t>
      </w:r>
      <w:r>
        <w:t>境内茂密的森林、复杂的地形地貌为野生动物的生息繁衍提供了有利的环境。野生动物种类繁多，据初步统计，境内野生动物约</w:t>
      </w:r>
      <w:r>
        <w:t>40</w:t>
      </w:r>
      <w:r>
        <w:t>目</w:t>
      </w:r>
      <w:r>
        <w:t>172</w:t>
      </w:r>
      <w:r>
        <w:t>科</w:t>
      </w:r>
      <w:r>
        <w:t>617</w:t>
      </w:r>
      <w:r>
        <w:t>种，以北部天山山区种类最多。</w:t>
      </w:r>
    </w:p>
    <w:p w14:paraId="54AA5DE0" w14:textId="77777777" w:rsidR="003E78AB" w:rsidRDefault="00010BF9">
      <w:pPr>
        <w:ind w:firstLine="480"/>
      </w:pPr>
      <w:r>
        <w:t>（</w:t>
      </w:r>
      <w:r>
        <w:t>2</w:t>
      </w:r>
      <w:r>
        <w:t>）南部循环经济产业园动物类型</w:t>
      </w:r>
    </w:p>
    <w:p w14:paraId="26E0321E" w14:textId="77777777" w:rsidR="003E78AB" w:rsidRDefault="00010BF9">
      <w:pPr>
        <w:ind w:firstLine="480"/>
      </w:pPr>
      <w:r>
        <w:t>哈密</w:t>
      </w:r>
      <w:r>
        <w:rPr>
          <w:rFonts w:hint="eastAsia"/>
        </w:rPr>
        <w:t>市</w:t>
      </w:r>
      <w:r>
        <w:t>主要野生动物种类约有</w:t>
      </w:r>
      <w:r>
        <w:t>60</w:t>
      </w:r>
      <w:r>
        <w:t>余种，分布</w:t>
      </w:r>
      <w:r>
        <w:t>在北部山区、南部荒漠平原区及绿洲三种生态类型区。工业园区在中国动物地理区划中属古北界、中亚亚界、蒙新区、西部荒漠亚区、东疆小区。</w:t>
      </w:r>
    </w:p>
    <w:p w14:paraId="01EF7747" w14:textId="77777777" w:rsidR="003E78AB" w:rsidRDefault="00010BF9">
      <w:pPr>
        <w:ind w:firstLine="480"/>
      </w:pPr>
      <w:r>
        <w:t>哈密工业园南部循环经济产业园区域也属荒芜的戈壁，有少量的戈壁野生动物，虽然这里为野骆驼、鹅喉羚等国家一、二类保护动物的分布区，但由于植被稀疏和人类的频繁活动已很难见到其踪迹。近些年来，由于保护管理有力，鹅喉羚在</w:t>
      </w:r>
      <w:r>
        <w:t>2</w:t>
      </w:r>
      <w:r>
        <w:t>个工业园区偶有出现。</w:t>
      </w:r>
    </w:p>
    <w:p w14:paraId="5ABF921E"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4.4.5.4</w:t>
      </w:r>
      <w:r>
        <w:rPr>
          <w:rFonts w:ascii="Times New Roman" w:hAnsi="Times New Roman" w:hint="eastAsia"/>
          <w:b w:val="0"/>
        </w:rPr>
        <w:t>水土流失现状</w:t>
      </w:r>
    </w:p>
    <w:p w14:paraId="02557301" w14:textId="77777777" w:rsidR="003E78AB" w:rsidRDefault="00010BF9">
      <w:pPr>
        <w:ind w:firstLine="480"/>
        <w:rPr>
          <w:bCs/>
        </w:rPr>
      </w:pPr>
      <w:r>
        <w:rPr>
          <w:rFonts w:hint="eastAsia"/>
          <w:bCs/>
        </w:rPr>
        <w:t>（</w:t>
      </w:r>
      <w:r>
        <w:rPr>
          <w:rFonts w:hint="eastAsia"/>
          <w:bCs/>
        </w:rPr>
        <w:t>1</w:t>
      </w:r>
      <w:r>
        <w:rPr>
          <w:rFonts w:hint="eastAsia"/>
          <w:bCs/>
        </w:rPr>
        <w:t>）水土流失重点防治分区</w:t>
      </w:r>
    </w:p>
    <w:p w14:paraId="23299946" w14:textId="77777777" w:rsidR="003E78AB" w:rsidRDefault="00010BF9">
      <w:pPr>
        <w:ind w:firstLine="480"/>
        <w:rPr>
          <w:bCs/>
        </w:rPr>
      </w:pPr>
      <w:r>
        <w:rPr>
          <w:rFonts w:hint="eastAsia"/>
          <w:bCs/>
        </w:rPr>
        <w:t>根据《新疆维吾尔自治区水土保持规划（</w:t>
      </w:r>
      <w:r>
        <w:rPr>
          <w:rFonts w:hint="eastAsia"/>
          <w:bCs/>
        </w:rPr>
        <w:t>2018-2030</w:t>
      </w:r>
      <w:r>
        <w:rPr>
          <w:rFonts w:hint="eastAsia"/>
          <w:bCs/>
        </w:rPr>
        <w:t>年）》和《关于印发新疆自治区级水土流失重点预防区和重点治理区复核划分成果的通知》（新水水保〔</w:t>
      </w:r>
      <w:r>
        <w:rPr>
          <w:rFonts w:hint="eastAsia"/>
          <w:bCs/>
        </w:rPr>
        <w:t>2019</w:t>
      </w:r>
      <w:r>
        <w:rPr>
          <w:rFonts w:hint="eastAsia"/>
          <w:bCs/>
        </w:rPr>
        <w:t>〕</w:t>
      </w:r>
      <w:r>
        <w:rPr>
          <w:rFonts w:hint="eastAsia"/>
          <w:bCs/>
        </w:rPr>
        <w:t>4</w:t>
      </w:r>
      <w:r>
        <w:rPr>
          <w:rFonts w:hint="eastAsia"/>
          <w:bCs/>
        </w:rPr>
        <w:t>号）等，本项目所在伊州区花园乡，不属于自治区级水土流失重点预防区和重点治理区—Ⅱ</w:t>
      </w:r>
      <w:r>
        <w:rPr>
          <w:rFonts w:hint="eastAsia"/>
          <w:bCs/>
        </w:rPr>
        <w:t>2</w:t>
      </w:r>
      <w:r>
        <w:rPr>
          <w:rFonts w:hint="eastAsia"/>
          <w:bCs/>
        </w:rPr>
        <w:t>天山北坡诸小河流域重点治理区。</w:t>
      </w:r>
    </w:p>
    <w:p w14:paraId="0DE9D6D8" w14:textId="77777777" w:rsidR="003E78AB" w:rsidRDefault="00010BF9">
      <w:pPr>
        <w:ind w:firstLine="480"/>
        <w:rPr>
          <w:bCs/>
        </w:rPr>
      </w:pPr>
      <w:r>
        <w:rPr>
          <w:rFonts w:hint="eastAsia"/>
          <w:bCs/>
        </w:rPr>
        <w:t>（</w:t>
      </w:r>
      <w:r>
        <w:rPr>
          <w:rFonts w:hint="eastAsia"/>
          <w:bCs/>
        </w:rPr>
        <w:t>2</w:t>
      </w:r>
      <w:r>
        <w:rPr>
          <w:rFonts w:hint="eastAsia"/>
          <w:bCs/>
        </w:rPr>
        <w:t>）水土流失成因</w:t>
      </w:r>
    </w:p>
    <w:p w14:paraId="5EE3E0BA" w14:textId="77777777" w:rsidR="003E78AB" w:rsidRDefault="00010BF9">
      <w:pPr>
        <w:ind w:firstLine="480"/>
        <w:rPr>
          <w:bCs/>
        </w:rPr>
      </w:pPr>
      <w:r>
        <w:rPr>
          <w:rFonts w:hint="eastAsia"/>
          <w:bCs/>
        </w:rPr>
        <w:t>项目区地形平坦，地表裸露植被稀少，林草覆盖率较低，扰动后易引发侵蚀。从年降雨频率、平均风速、最大风速分析，具备发生侵蚀的条件。</w:t>
      </w:r>
    </w:p>
    <w:p w14:paraId="67312B9D" w14:textId="77777777" w:rsidR="003E78AB" w:rsidRDefault="00010BF9">
      <w:pPr>
        <w:ind w:firstLine="480"/>
        <w:rPr>
          <w:bCs/>
        </w:rPr>
      </w:pPr>
      <w:r>
        <w:rPr>
          <w:rFonts w:hint="eastAsia"/>
          <w:bCs/>
        </w:rPr>
        <w:t>（</w:t>
      </w:r>
      <w:r>
        <w:rPr>
          <w:rFonts w:hint="eastAsia"/>
          <w:bCs/>
        </w:rPr>
        <w:t>3</w:t>
      </w:r>
      <w:r>
        <w:rPr>
          <w:rFonts w:hint="eastAsia"/>
          <w:bCs/>
        </w:rPr>
        <w:t>）水土流失现状</w:t>
      </w:r>
    </w:p>
    <w:p w14:paraId="64632363" w14:textId="77777777" w:rsidR="003E78AB" w:rsidRDefault="00010BF9">
      <w:pPr>
        <w:ind w:firstLine="480"/>
        <w:rPr>
          <w:bCs/>
        </w:rPr>
      </w:pPr>
      <w:r>
        <w:rPr>
          <w:rFonts w:hint="eastAsia"/>
          <w:bCs/>
        </w:rPr>
        <w:t>根据《土壤侵蚀分类分级标准》（</w:t>
      </w:r>
      <w:r>
        <w:rPr>
          <w:rFonts w:hint="eastAsia"/>
          <w:bCs/>
        </w:rPr>
        <w:t>SL190-2007</w:t>
      </w:r>
      <w:r>
        <w:rPr>
          <w:rFonts w:hint="eastAsia"/>
          <w:bCs/>
        </w:rPr>
        <w:t>），结合项目区的地理位</w:t>
      </w:r>
      <w:r>
        <w:rPr>
          <w:rFonts w:hint="eastAsia"/>
          <w:bCs/>
        </w:rPr>
        <w:t>置、地形地貌、气候特征、河流特征、土壤、植被及周围环境特点等具体情况进行分析，该区域水土流失类型以中度风力侵蚀为主，土壤侵蚀模数背景值取为</w:t>
      </w:r>
      <w:r>
        <w:rPr>
          <w:rFonts w:hint="eastAsia"/>
          <w:bCs/>
        </w:rPr>
        <w:t>2700t/k</w:t>
      </w:r>
      <w:r>
        <w:rPr>
          <w:bCs/>
        </w:rPr>
        <w:t>m</w:t>
      </w:r>
      <w:r>
        <w:rPr>
          <w:bCs/>
          <w:vertAlign w:val="superscript"/>
        </w:rPr>
        <w:t>2</w:t>
      </w:r>
      <w:r>
        <w:rPr>
          <w:bCs/>
        </w:rPr>
        <w:t>·a</w:t>
      </w:r>
      <w:r>
        <w:rPr>
          <w:bCs/>
        </w:rPr>
        <w:t>。根据现场调查及土壤侵蚀背景值，确定项目区容许土壤流失量取值为</w:t>
      </w:r>
      <w:r>
        <w:rPr>
          <w:bCs/>
        </w:rPr>
        <w:t>2200t/km</w:t>
      </w:r>
      <w:r>
        <w:rPr>
          <w:bCs/>
          <w:vertAlign w:val="superscript"/>
        </w:rPr>
        <w:t>2</w:t>
      </w:r>
      <w:r>
        <w:rPr>
          <w:bCs/>
        </w:rPr>
        <w:t>·a</w:t>
      </w:r>
      <w:r>
        <w:rPr>
          <w:bCs/>
        </w:rPr>
        <w:t>。</w:t>
      </w:r>
    </w:p>
    <w:p w14:paraId="4A5188BF"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r>
        <w:rPr>
          <w:rFonts w:ascii="Times New Roman" w:hAnsi="Times New Roman" w:hint="eastAsia"/>
          <w:b w:val="0"/>
        </w:rPr>
        <w:t>4.4.5.5</w:t>
      </w:r>
      <w:r>
        <w:rPr>
          <w:rFonts w:ascii="Times New Roman" w:hAnsi="Times New Roman"/>
          <w:b w:val="0"/>
        </w:rPr>
        <w:t>土地沙化现状调查</w:t>
      </w:r>
    </w:p>
    <w:p w14:paraId="34F7E3ED" w14:textId="77777777" w:rsidR="003E78AB" w:rsidRDefault="00010BF9">
      <w:pPr>
        <w:ind w:firstLine="480"/>
        <w:rPr>
          <w:bCs/>
        </w:rPr>
      </w:pPr>
      <w:r>
        <w:rPr>
          <w:bCs/>
        </w:rPr>
        <w:t>根据新疆第六次荒漠化和沙化监测领导小组办公室、新疆维吾尔自治区林业规划院</w:t>
      </w:r>
      <w:r>
        <w:rPr>
          <w:bCs/>
        </w:rPr>
        <w:t>2021</w:t>
      </w:r>
      <w:r>
        <w:rPr>
          <w:bCs/>
        </w:rPr>
        <w:t>年编制完成的《新疆第六次沙化监测报告》及图件分析，本工程所在区域属于非沙化土地。项目在新疆</w:t>
      </w:r>
      <w:r>
        <w:rPr>
          <w:rFonts w:hint="eastAsia"/>
          <w:bCs/>
        </w:rPr>
        <w:t>第六次</w:t>
      </w:r>
      <w:r>
        <w:rPr>
          <w:bCs/>
        </w:rPr>
        <w:t>沙化监测位置见</w:t>
      </w:r>
      <w:r>
        <w:rPr>
          <w:rFonts w:hint="eastAsia"/>
          <w:bCs/>
        </w:rPr>
        <w:t>附图</w:t>
      </w:r>
      <w:r>
        <w:rPr>
          <w:rFonts w:hint="eastAsia"/>
          <w:bCs/>
        </w:rPr>
        <w:t>15</w:t>
      </w:r>
      <w:r>
        <w:rPr>
          <w:bCs/>
        </w:rPr>
        <w:t>。</w:t>
      </w:r>
    </w:p>
    <w:p w14:paraId="24EFBB17" w14:textId="77777777" w:rsidR="003E78AB" w:rsidRDefault="00010BF9">
      <w:pPr>
        <w:pStyle w:val="24"/>
        <w:keepNext w:val="0"/>
        <w:keepLines w:val="0"/>
        <w:topLinePunct/>
        <w:spacing w:before="156"/>
        <w:rPr>
          <w:rFonts w:cs="Times New Roman"/>
          <w:b w:val="0"/>
        </w:rPr>
      </w:pPr>
      <w:bookmarkStart w:id="321" w:name="_Toc2569"/>
      <w:r>
        <w:rPr>
          <w:rFonts w:cs="Times New Roman"/>
          <w:b w:val="0"/>
        </w:rPr>
        <w:t>4.4</w:t>
      </w:r>
      <w:r>
        <w:rPr>
          <w:rFonts w:cs="Times New Roman"/>
          <w:b w:val="0"/>
        </w:rPr>
        <w:t>区域污染源调查</w:t>
      </w:r>
      <w:bookmarkEnd w:id="321"/>
    </w:p>
    <w:p w14:paraId="1BE9197B" w14:textId="77777777" w:rsidR="003E78AB" w:rsidRDefault="00010BF9">
      <w:pPr>
        <w:ind w:firstLine="480"/>
        <w:rPr>
          <w:b/>
          <w:bCs/>
          <w:kern w:val="2"/>
          <w:u w:val="single"/>
        </w:rPr>
      </w:pPr>
      <w:r>
        <w:rPr>
          <w:bCs/>
          <w:kern w:val="2"/>
        </w:rPr>
        <w:t>依据《建</w:t>
      </w:r>
      <w:r>
        <w:rPr>
          <w:bCs/>
          <w:kern w:val="2"/>
        </w:rPr>
        <w:t>设项目环境影响评价技术导则</w:t>
      </w:r>
      <w:r>
        <w:rPr>
          <w:rFonts w:hint="eastAsia"/>
          <w:bCs/>
          <w:kern w:val="2"/>
        </w:rPr>
        <w:t xml:space="preserve"> </w:t>
      </w:r>
      <w:r>
        <w:rPr>
          <w:bCs/>
          <w:kern w:val="2"/>
        </w:rPr>
        <w:t>总纲》（</w:t>
      </w:r>
      <w:r>
        <w:rPr>
          <w:bCs/>
          <w:kern w:val="2"/>
        </w:rPr>
        <w:t>HJ2.1-2016</w:t>
      </w:r>
      <w:r>
        <w:rPr>
          <w:bCs/>
          <w:kern w:val="2"/>
        </w:rPr>
        <w:t>），本次环评选取与本项目排放常规污染因子（</w:t>
      </w:r>
      <w:r>
        <w:rPr>
          <w:bCs/>
          <w:kern w:val="2"/>
        </w:rPr>
        <w:t>PM</w:t>
      </w:r>
      <w:r>
        <w:rPr>
          <w:bCs/>
          <w:kern w:val="2"/>
          <w:vertAlign w:val="subscript"/>
        </w:rPr>
        <w:t>10</w:t>
      </w:r>
      <w:r>
        <w:rPr>
          <w:bCs/>
          <w:kern w:val="2"/>
        </w:rPr>
        <w:t>、</w:t>
      </w:r>
      <w:r>
        <w:rPr>
          <w:bCs/>
          <w:kern w:val="2"/>
        </w:rPr>
        <w:t>SO</w:t>
      </w:r>
      <w:r>
        <w:rPr>
          <w:bCs/>
          <w:kern w:val="2"/>
          <w:vertAlign w:val="subscript"/>
        </w:rPr>
        <w:t>2</w:t>
      </w:r>
      <w:r>
        <w:rPr>
          <w:bCs/>
          <w:kern w:val="2"/>
        </w:rPr>
        <w:t>、</w:t>
      </w:r>
      <w:r>
        <w:rPr>
          <w:bCs/>
          <w:kern w:val="2"/>
        </w:rPr>
        <w:t>NOx</w:t>
      </w:r>
      <w:r>
        <w:rPr>
          <w:bCs/>
          <w:kern w:val="2"/>
        </w:rPr>
        <w:t>）及特征污染因子（硫酸雾、</w:t>
      </w:r>
      <w:r>
        <w:rPr>
          <w:rFonts w:hint="eastAsia"/>
          <w:bCs/>
          <w:kern w:val="2"/>
        </w:rPr>
        <w:t>TVOC</w:t>
      </w:r>
      <w:r>
        <w:rPr>
          <w:bCs/>
          <w:kern w:val="2"/>
        </w:rPr>
        <w:t>）作为主要调查对象，调查区域与本项目污染物类似的企业及污染物排放情况详见表</w:t>
      </w:r>
      <w:r>
        <w:rPr>
          <w:rFonts w:hint="eastAsia"/>
          <w:bCs/>
          <w:kern w:val="2"/>
        </w:rPr>
        <w:t>4-19~22</w:t>
      </w:r>
      <w:r>
        <w:rPr>
          <w:bCs/>
          <w:kern w:val="2"/>
        </w:rPr>
        <w:t>。</w:t>
      </w:r>
    </w:p>
    <w:p w14:paraId="58833908" w14:textId="77777777" w:rsidR="003E78AB" w:rsidRDefault="003E78AB">
      <w:pPr>
        <w:ind w:firstLine="482"/>
        <w:rPr>
          <w:b/>
          <w:bCs/>
          <w:highlight w:val="yellow"/>
          <w:u w:val="single"/>
        </w:rPr>
        <w:sectPr w:rsidR="003E78AB">
          <w:pgSz w:w="11906" w:h="16838"/>
          <w:pgMar w:top="1440" w:right="1803" w:bottom="1440" w:left="1803" w:header="850" w:footer="992" w:gutter="0"/>
          <w:cols w:space="720"/>
          <w:docGrid w:type="lines" w:linePitch="312"/>
        </w:sectPr>
      </w:pPr>
    </w:p>
    <w:p w14:paraId="3D2FCE55" w14:textId="77777777" w:rsidR="003E78AB" w:rsidRDefault="00010BF9">
      <w:pPr>
        <w:pStyle w:val="a0"/>
        <w:rPr>
          <w:rFonts w:hint="default"/>
          <w:bCs/>
        </w:rPr>
      </w:pPr>
      <w:r>
        <w:rPr>
          <w:bCs/>
        </w:rPr>
        <w:t>主要规模以上企业大气污染物排放情况</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535"/>
        <w:gridCol w:w="952"/>
        <w:gridCol w:w="3303"/>
        <w:gridCol w:w="1031"/>
        <w:gridCol w:w="1082"/>
        <w:gridCol w:w="833"/>
        <w:gridCol w:w="986"/>
        <w:gridCol w:w="3017"/>
      </w:tblGrid>
      <w:tr w:rsidR="003E78AB" w14:paraId="5B0F5586" w14:textId="77777777">
        <w:trPr>
          <w:trHeight w:val="284"/>
          <w:tblHeader/>
        </w:trPr>
        <w:tc>
          <w:tcPr>
            <w:tcW w:w="150" w:type="pct"/>
            <w:vMerge w:val="restart"/>
            <w:vAlign w:val="center"/>
          </w:tcPr>
          <w:p w14:paraId="6E0B7854" w14:textId="77777777" w:rsidR="003E78AB" w:rsidRDefault="00010BF9">
            <w:pPr>
              <w:pStyle w:val="aff6"/>
              <w:topLinePunct/>
              <w:rPr>
                <w:bCs/>
              </w:rPr>
            </w:pPr>
            <w:r>
              <w:rPr>
                <w:rFonts w:hint="eastAsia"/>
                <w:bCs/>
              </w:rPr>
              <w:t>序号</w:t>
            </w:r>
          </w:p>
        </w:tc>
        <w:tc>
          <w:tcPr>
            <w:tcW w:w="895" w:type="pct"/>
            <w:vMerge w:val="restart"/>
            <w:vAlign w:val="center"/>
          </w:tcPr>
          <w:p w14:paraId="49142C78" w14:textId="77777777" w:rsidR="003E78AB" w:rsidRDefault="00010BF9">
            <w:pPr>
              <w:pStyle w:val="aff6"/>
              <w:topLinePunct/>
              <w:rPr>
                <w:bCs/>
              </w:rPr>
            </w:pPr>
            <w:r>
              <w:rPr>
                <w:rFonts w:hint="eastAsia"/>
                <w:bCs/>
              </w:rPr>
              <w:t>企业名称</w:t>
            </w:r>
          </w:p>
        </w:tc>
        <w:tc>
          <w:tcPr>
            <w:tcW w:w="336" w:type="pct"/>
            <w:vMerge w:val="restart"/>
            <w:vAlign w:val="center"/>
          </w:tcPr>
          <w:p w14:paraId="25FADE79" w14:textId="77777777" w:rsidR="003E78AB" w:rsidRDefault="00010BF9">
            <w:pPr>
              <w:pStyle w:val="aff6"/>
              <w:topLinePunct/>
              <w:rPr>
                <w:bCs/>
              </w:rPr>
            </w:pPr>
            <w:r>
              <w:rPr>
                <w:rFonts w:hint="eastAsia"/>
                <w:bCs/>
              </w:rPr>
              <w:t>污染类型</w:t>
            </w:r>
          </w:p>
        </w:tc>
        <w:tc>
          <w:tcPr>
            <w:tcW w:w="1165" w:type="pct"/>
            <w:vMerge w:val="restart"/>
            <w:vAlign w:val="center"/>
          </w:tcPr>
          <w:p w14:paraId="24358A7F" w14:textId="77777777" w:rsidR="003E78AB" w:rsidRDefault="00010BF9">
            <w:pPr>
              <w:pStyle w:val="aff6"/>
              <w:topLinePunct/>
              <w:rPr>
                <w:bCs/>
              </w:rPr>
            </w:pPr>
            <w:r>
              <w:rPr>
                <w:rFonts w:hint="eastAsia"/>
                <w:bCs/>
              </w:rPr>
              <w:t>治理措施</w:t>
            </w:r>
          </w:p>
        </w:tc>
        <w:tc>
          <w:tcPr>
            <w:tcW w:w="1388" w:type="pct"/>
            <w:gridSpan w:val="4"/>
            <w:vAlign w:val="center"/>
          </w:tcPr>
          <w:p w14:paraId="350EE901" w14:textId="77777777" w:rsidR="003E78AB" w:rsidRDefault="00010BF9">
            <w:pPr>
              <w:pStyle w:val="aff6"/>
              <w:topLinePunct/>
              <w:rPr>
                <w:bCs/>
              </w:rPr>
            </w:pPr>
            <w:r>
              <w:rPr>
                <w:rFonts w:hint="eastAsia"/>
                <w:bCs/>
              </w:rPr>
              <w:t>主要污染物量</w:t>
            </w:r>
            <w:r>
              <w:rPr>
                <w:rFonts w:hint="eastAsia"/>
                <w:bCs/>
              </w:rPr>
              <w:t>(t/a)</w:t>
            </w:r>
          </w:p>
        </w:tc>
        <w:tc>
          <w:tcPr>
            <w:tcW w:w="1064" w:type="pct"/>
            <w:vMerge w:val="restart"/>
            <w:vAlign w:val="center"/>
          </w:tcPr>
          <w:p w14:paraId="180D8E0D" w14:textId="77777777" w:rsidR="003E78AB" w:rsidRDefault="00010BF9">
            <w:pPr>
              <w:pStyle w:val="aff6"/>
              <w:topLinePunct/>
              <w:rPr>
                <w:bCs/>
              </w:rPr>
            </w:pPr>
            <w:r>
              <w:rPr>
                <w:rFonts w:hint="eastAsia"/>
                <w:bCs/>
              </w:rPr>
              <w:t>数据来源</w:t>
            </w:r>
          </w:p>
        </w:tc>
      </w:tr>
      <w:tr w:rsidR="003E78AB" w14:paraId="6C30557E" w14:textId="77777777">
        <w:trPr>
          <w:trHeight w:val="284"/>
          <w:tblHeader/>
        </w:trPr>
        <w:tc>
          <w:tcPr>
            <w:tcW w:w="150" w:type="pct"/>
            <w:vMerge/>
            <w:vAlign w:val="center"/>
          </w:tcPr>
          <w:p w14:paraId="7650D67C" w14:textId="77777777" w:rsidR="003E78AB" w:rsidRDefault="003E78AB">
            <w:pPr>
              <w:pStyle w:val="aff6"/>
              <w:topLinePunct/>
              <w:rPr>
                <w:bCs/>
              </w:rPr>
            </w:pPr>
          </w:p>
        </w:tc>
        <w:tc>
          <w:tcPr>
            <w:tcW w:w="895" w:type="pct"/>
            <w:vMerge/>
            <w:vAlign w:val="center"/>
          </w:tcPr>
          <w:p w14:paraId="164146F7" w14:textId="77777777" w:rsidR="003E78AB" w:rsidRDefault="003E78AB">
            <w:pPr>
              <w:pStyle w:val="aff6"/>
              <w:topLinePunct/>
              <w:rPr>
                <w:bCs/>
              </w:rPr>
            </w:pPr>
          </w:p>
        </w:tc>
        <w:tc>
          <w:tcPr>
            <w:tcW w:w="336" w:type="pct"/>
            <w:vMerge/>
            <w:vAlign w:val="center"/>
          </w:tcPr>
          <w:p w14:paraId="614C2534" w14:textId="77777777" w:rsidR="003E78AB" w:rsidRDefault="003E78AB">
            <w:pPr>
              <w:pStyle w:val="aff6"/>
              <w:topLinePunct/>
              <w:rPr>
                <w:bCs/>
              </w:rPr>
            </w:pPr>
          </w:p>
        </w:tc>
        <w:tc>
          <w:tcPr>
            <w:tcW w:w="1165" w:type="pct"/>
            <w:vMerge/>
            <w:vAlign w:val="center"/>
          </w:tcPr>
          <w:p w14:paraId="413C33ED" w14:textId="77777777" w:rsidR="003E78AB" w:rsidRDefault="003E78AB">
            <w:pPr>
              <w:pStyle w:val="aff6"/>
              <w:topLinePunct/>
              <w:rPr>
                <w:bCs/>
              </w:rPr>
            </w:pPr>
          </w:p>
        </w:tc>
        <w:tc>
          <w:tcPr>
            <w:tcW w:w="364" w:type="pct"/>
            <w:vAlign w:val="center"/>
          </w:tcPr>
          <w:p w14:paraId="3DA0E47D" w14:textId="77777777" w:rsidR="003E78AB" w:rsidRDefault="00010BF9">
            <w:pPr>
              <w:pStyle w:val="aff6"/>
              <w:topLinePunct/>
              <w:rPr>
                <w:bCs/>
              </w:rPr>
            </w:pPr>
            <w:r>
              <w:rPr>
                <w:bCs/>
              </w:rPr>
              <w:t>SO</w:t>
            </w:r>
            <w:r>
              <w:rPr>
                <w:bCs/>
                <w:vertAlign w:val="subscript"/>
              </w:rPr>
              <w:t>2</w:t>
            </w:r>
          </w:p>
        </w:tc>
        <w:tc>
          <w:tcPr>
            <w:tcW w:w="382" w:type="pct"/>
            <w:vAlign w:val="center"/>
          </w:tcPr>
          <w:p w14:paraId="606A5DA2" w14:textId="77777777" w:rsidR="003E78AB" w:rsidRDefault="00010BF9">
            <w:pPr>
              <w:pStyle w:val="aff6"/>
              <w:topLinePunct/>
              <w:rPr>
                <w:bCs/>
              </w:rPr>
            </w:pPr>
            <w:r>
              <w:rPr>
                <w:bCs/>
              </w:rPr>
              <w:t>NO</w:t>
            </w:r>
            <w:r>
              <w:rPr>
                <w:rFonts w:hint="eastAsia"/>
                <w:bCs/>
              </w:rPr>
              <w:t>x</w:t>
            </w:r>
          </w:p>
        </w:tc>
        <w:tc>
          <w:tcPr>
            <w:tcW w:w="294" w:type="pct"/>
            <w:vAlign w:val="center"/>
          </w:tcPr>
          <w:p w14:paraId="6B9701F7" w14:textId="77777777" w:rsidR="003E78AB" w:rsidRDefault="00010BF9">
            <w:pPr>
              <w:pStyle w:val="aff6"/>
              <w:topLinePunct/>
              <w:rPr>
                <w:bCs/>
              </w:rPr>
            </w:pPr>
            <w:r>
              <w:rPr>
                <w:bCs/>
              </w:rPr>
              <w:t>VOCs</w:t>
            </w:r>
          </w:p>
        </w:tc>
        <w:tc>
          <w:tcPr>
            <w:tcW w:w="347" w:type="pct"/>
            <w:noWrap/>
            <w:vAlign w:val="center"/>
          </w:tcPr>
          <w:p w14:paraId="1B335313" w14:textId="77777777" w:rsidR="003E78AB" w:rsidRDefault="00010BF9">
            <w:pPr>
              <w:pStyle w:val="aff6"/>
              <w:topLinePunct/>
              <w:rPr>
                <w:bCs/>
              </w:rPr>
            </w:pPr>
            <w:r>
              <w:rPr>
                <w:rFonts w:hint="eastAsia"/>
                <w:bCs/>
              </w:rPr>
              <w:t>颗粒物</w:t>
            </w:r>
          </w:p>
        </w:tc>
        <w:tc>
          <w:tcPr>
            <w:tcW w:w="1064" w:type="pct"/>
            <w:vMerge/>
            <w:noWrap/>
            <w:vAlign w:val="center"/>
          </w:tcPr>
          <w:p w14:paraId="1B06BA93" w14:textId="77777777" w:rsidR="003E78AB" w:rsidRDefault="003E78AB">
            <w:pPr>
              <w:pStyle w:val="aff6"/>
              <w:topLinePunct/>
              <w:rPr>
                <w:bCs/>
              </w:rPr>
            </w:pPr>
          </w:p>
        </w:tc>
      </w:tr>
      <w:tr w:rsidR="003E78AB" w14:paraId="3B039809" w14:textId="77777777">
        <w:trPr>
          <w:trHeight w:val="510"/>
        </w:trPr>
        <w:tc>
          <w:tcPr>
            <w:tcW w:w="5000" w:type="pct"/>
            <w:gridSpan w:val="9"/>
            <w:vAlign w:val="center"/>
          </w:tcPr>
          <w:p w14:paraId="154CB68A" w14:textId="77777777" w:rsidR="003E78AB" w:rsidRDefault="00010BF9">
            <w:pPr>
              <w:pStyle w:val="aff6"/>
              <w:topLinePunct/>
              <w:rPr>
                <w:bCs/>
              </w:rPr>
            </w:pPr>
            <w:bookmarkStart w:id="322" w:name="_Hlk13824416"/>
            <w:r>
              <w:rPr>
                <w:rFonts w:hint="eastAsia"/>
                <w:bCs/>
              </w:rPr>
              <w:t>南部循环经济产业园</w:t>
            </w:r>
          </w:p>
        </w:tc>
      </w:tr>
      <w:bookmarkEnd w:id="322"/>
      <w:tr w:rsidR="003E78AB" w14:paraId="0D608E23" w14:textId="77777777">
        <w:trPr>
          <w:trHeight w:val="284"/>
        </w:trPr>
        <w:tc>
          <w:tcPr>
            <w:tcW w:w="150" w:type="pct"/>
            <w:vAlign w:val="center"/>
          </w:tcPr>
          <w:p w14:paraId="13EC6B30" w14:textId="77777777" w:rsidR="003E78AB" w:rsidRDefault="00010BF9">
            <w:pPr>
              <w:pStyle w:val="aff6"/>
              <w:topLinePunct/>
              <w:rPr>
                <w:bCs/>
              </w:rPr>
            </w:pPr>
            <w:r>
              <w:rPr>
                <w:rFonts w:hint="eastAsia"/>
                <w:bCs/>
              </w:rPr>
              <w:t>1</w:t>
            </w:r>
          </w:p>
        </w:tc>
        <w:tc>
          <w:tcPr>
            <w:tcW w:w="895" w:type="pct"/>
            <w:vAlign w:val="center"/>
          </w:tcPr>
          <w:p w14:paraId="6FD8C2B6" w14:textId="77777777" w:rsidR="003E78AB" w:rsidRDefault="00010BF9">
            <w:pPr>
              <w:pStyle w:val="aff6"/>
              <w:topLinePunct/>
              <w:rPr>
                <w:bCs/>
              </w:rPr>
            </w:pPr>
            <w:r>
              <w:rPr>
                <w:rFonts w:hint="eastAsia"/>
                <w:bCs/>
              </w:rPr>
              <w:t>新疆大安矿业有限公司</w:t>
            </w:r>
          </w:p>
        </w:tc>
        <w:tc>
          <w:tcPr>
            <w:tcW w:w="336" w:type="pct"/>
            <w:vAlign w:val="center"/>
          </w:tcPr>
          <w:p w14:paraId="69B2BBBF" w14:textId="77777777" w:rsidR="003E78AB" w:rsidRDefault="00010BF9">
            <w:pPr>
              <w:pStyle w:val="aff6"/>
              <w:topLinePunct/>
              <w:rPr>
                <w:bCs/>
              </w:rPr>
            </w:pPr>
            <w:r>
              <w:rPr>
                <w:rFonts w:hint="eastAsia"/>
                <w:bCs/>
              </w:rPr>
              <w:t>生产废气</w:t>
            </w:r>
          </w:p>
        </w:tc>
        <w:tc>
          <w:tcPr>
            <w:tcW w:w="1165" w:type="pct"/>
            <w:vAlign w:val="center"/>
          </w:tcPr>
          <w:p w14:paraId="08D98381" w14:textId="77777777" w:rsidR="003E78AB" w:rsidRDefault="00010BF9">
            <w:pPr>
              <w:pStyle w:val="aff6"/>
              <w:topLinePunct/>
              <w:rPr>
                <w:bCs/>
              </w:rPr>
            </w:pPr>
            <w:r>
              <w:rPr>
                <w:rFonts w:hint="eastAsia"/>
                <w:bCs/>
              </w:rPr>
              <w:t>厂房密闭，集尘罩收集后经袋式除尘器处理后外排</w:t>
            </w:r>
          </w:p>
        </w:tc>
        <w:tc>
          <w:tcPr>
            <w:tcW w:w="364" w:type="pct"/>
            <w:vAlign w:val="center"/>
          </w:tcPr>
          <w:p w14:paraId="1B969BAC" w14:textId="77777777" w:rsidR="003E78AB" w:rsidRDefault="00010BF9">
            <w:pPr>
              <w:pStyle w:val="aff6"/>
              <w:topLinePunct/>
              <w:rPr>
                <w:bCs/>
              </w:rPr>
            </w:pPr>
            <w:r>
              <w:rPr>
                <w:bCs/>
              </w:rPr>
              <w:t>1.15</w:t>
            </w:r>
          </w:p>
        </w:tc>
        <w:tc>
          <w:tcPr>
            <w:tcW w:w="382" w:type="pct"/>
            <w:vAlign w:val="center"/>
          </w:tcPr>
          <w:p w14:paraId="7BDEC49C" w14:textId="77777777" w:rsidR="003E78AB" w:rsidRDefault="00010BF9">
            <w:pPr>
              <w:pStyle w:val="aff6"/>
              <w:topLinePunct/>
              <w:rPr>
                <w:bCs/>
              </w:rPr>
            </w:pPr>
            <w:r>
              <w:rPr>
                <w:bCs/>
              </w:rPr>
              <w:t>0.075</w:t>
            </w:r>
          </w:p>
        </w:tc>
        <w:tc>
          <w:tcPr>
            <w:tcW w:w="294" w:type="pct"/>
            <w:vAlign w:val="center"/>
          </w:tcPr>
          <w:p w14:paraId="2C299E8B" w14:textId="77777777" w:rsidR="003E78AB" w:rsidRDefault="00010BF9">
            <w:pPr>
              <w:pStyle w:val="aff6"/>
              <w:topLinePunct/>
              <w:rPr>
                <w:bCs/>
              </w:rPr>
            </w:pPr>
            <w:r>
              <w:rPr>
                <w:rFonts w:hint="eastAsia"/>
                <w:bCs/>
              </w:rPr>
              <w:t>0</w:t>
            </w:r>
          </w:p>
        </w:tc>
        <w:tc>
          <w:tcPr>
            <w:tcW w:w="347" w:type="pct"/>
            <w:vAlign w:val="center"/>
          </w:tcPr>
          <w:p w14:paraId="53B3F65D" w14:textId="77777777" w:rsidR="003E78AB" w:rsidRDefault="00010BF9">
            <w:pPr>
              <w:pStyle w:val="aff6"/>
              <w:topLinePunct/>
              <w:rPr>
                <w:bCs/>
              </w:rPr>
            </w:pPr>
            <w:r>
              <w:rPr>
                <w:rFonts w:hint="eastAsia"/>
                <w:bCs/>
              </w:rPr>
              <w:t>10.55</w:t>
            </w:r>
          </w:p>
        </w:tc>
        <w:tc>
          <w:tcPr>
            <w:tcW w:w="1064" w:type="pct"/>
            <w:vAlign w:val="center"/>
          </w:tcPr>
          <w:p w14:paraId="39FF2CA5" w14:textId="77777777" w:rsidR="003E78AB" w:rsidRDefault="00010BF9">
            <w:pPr>
              <w:pStyle w:val="aff6"/>
              <w:topLinePunct/>
              <w:rPr>
                <w:bCs/>
              </w:rPr>
            </w:pPr>
            <w:r>
              <w:rPr>
                <w:rFonts w:hint="eastAsia"/>
                <w:bCs/>
              </w:rPr>
              <w:t>已批复的园区规划环评报告书</w:t>
            </w:r>
          </w:p>
        </w:tc>
      </w:tr>
      <w:tr w:rsidR="003E78AB" w14:paraId="6BA22FF9" w14:textId="77777777">
        <w:trPr>
          <w:trHeight w:val="284"/>
        </w:trPr>
        <w:tc>
          <w:tcPr>
            <w:tcW w:w="150" w:type="pct"/>
            <w:vAlign w:val="center"/>
          </w:tcPr>
          <w:p w14:paraId="4C39802C" w14:textId="77777777" w:rsidR="003E78AB" w:rsidRDefault="00010BF9">
            <w:pPr>
              <w:pStyle w:val="aff6"/>
              <w:topLinePunct/>
              <w:rPr>
                <w:bCs/>
              </w:rPr>
            </w:pPr>
            <w:r>
              <w:rPr>
                <w:rFonts w:hint="eastAsia"/>
                <w:bCs/>
              </w:rPr>
              <w:t>2</w:t>
            </w:r>
          </w:p>
        </w:tc>
        <w:tc>
          <w:tcPr>
            <w:tcW w:w="895" w:type="pct"/>
            <w:vAlign w:val="center"/>
          </w:tcPr>
          <w:p w14:paraId="54F6FF4F" w14:textId="77777777" w:rsidR="003E78AB" w:rsidRDefault="00010BF9">
            <w:pPr>
              <w:pStyle w:val="aff6"/>
              <w:topLinePunct/>
              <w:rPr>
                <w:bCs/>
              </w:rPr>
            </w:pPr>
            <w:r>
              <w:rPr>
                <w:rFonts w:hint="eastAsia"/>
                <w:bCs/>
              </w:rPr>
              <w:t>哈密新天山水泥有限责任公司</w:t>
            </w:r>
          </w:p>
        </w:tc>
        <w:tc>
          <w:tcPr>
            <w:tcW w:w="336" w:type="pct"/>
            <w:vAlign w:val="center"/>
          </w:tcPr>
          <w:p w14:paraId="22AD660C" w14:textId="77777777" w:rsidR="003E78AB" w:rsidRDefault="00010BF9">
            <w:pPr>
              <w:pStyle w:val="aff6"/>
              <w:topLinePunct/>
              <w:rPr>
                <w:bCs/>
              </w:rPr>
            </w:pPr>
            <w:r>
              <w:rPr>
                <w:rFonts w:hint="eastAsia"/>
                <w:bCs/>
              </w:rPr>
              <w:t>生产废气</w:t>
            </w:r>
          </w:p>
        </w:tc>
        <w:tc>
          <w:tcPr>
            <w:tcW w:w="1165" w:type="pct"/>
            <w:vAlign w:val="center"/>
          </w:tcPr>
          <w:p w14:paraId="7130A6DC" w14:textId="77777777" w:rsidR="003E78AB" w:rsidRDefault="00010BF9">
            <w:pPr>
              <w:pStyle w:val="aff6"/>
              <w:topLinePunct/>
              <w:rPr>
                <w:bCs/>
              </w:rPr>
            </w:pPr>
            <w:r>
              <w:rPr>
                <w:rFonts w:hint="eastAsia"/>
                <w:bCs/>
              </w:rPr>
              <w:t>布袋除尘器</w:t>
            </w:r>
          </w:p>
        </w:tc>
        <w:tc>
          <w:tcPr>
            <w:tcW w:w="364" w:type="pct"/>
            <w:vAlign w:val="center"/>
          </w:tcPr>
          <w:p w14:paraId="727E3137" w14:textId="77777777" w:rsidR="003E78AB" w:rsidRDefault="00010BF9">
            <w:pPr>
              <w:pStyle w:val="aff6"/>
              <w:topLinePunct/>
              <w:rPr>
                <w:bCs/>
              </w:rPr>
            </w:pPr>
            <w:r>
              <w:rPr>
                <w:rFonts w:hint="eastAsia"/>
                <w:bCs/>
              </w:rPr>
              <w:t>2.78</w:t>
            </w:r>
          </w:p>
        </w:tc>
        <w:tc>
          <w:tcPr>
            <w:tcW w:w="382" w:type="pct"/>
            <w:vAlign w:val="center"/>
          </w:tcPr>
          <w:p w14:paraId="6E330F60" w14:textId="77777777" w:rsidR="003E78AB" w:rsidRDefault="00010BF9">
            <w:pPr>
              <w:pStyle w:val="aff6"/>
              <w:topLinePunct/>
              <w:rPr>
                <w:bCs/>
              </w:rPr>
            </w:pPr>
            <w:r>
              <w:rPr>
                <w:rFonts w:hint="eastAsia"/>
                <w:bCs/>
              </w:rPr>
              <w:t>286.08</w:t>
            </w:r>
          </w:p>
        </w:tc>
        <w:tc>
          <w:tcPr>
            <w:tcW w:w="294" w:type="pct"/>
            <w:vAlign w:val="center"/>
          </w:tcPr>
          <w:p w14:paraId="37E1D494" w14:textId="77777777" w:rsidR="003E78AB" w:rsidRDefault="00010BF9">
            <w:pPr>
              <w:pStyle w:val="aff6"/>
              <w:topLinePunct/>
              <w:rPr>
                <w:bCs/>
              </w:rPr>
            </w:pPr>
            <w:r>
              <w:rPr>
                <w:rFonts w:hint="eastAsia"/>
                <w:bCs/>
              </w:rPr>
              <w:t>0</w:t>
            </w:r>
          </w:p>
        </w:tc>
        <w:tc>
          <w:tcPr>
            <w:tcW w:w="347" w:type="pct"/>
            <w:noWrap/>
            <w:vAlign w:val="center"/>
          </w:tcPr>
          <w:p w14:paraId="6DA51199" w14:textId="77777777" w:rsidR="003E78AB" w:rsidRDefault="00010BF9">
            <w:pPr>
              <w:pStyle w:val="aff6"/>
              <w:topLinePunct/>
              <w:rPr>
                <w:bCs/>
              </w:rPr>
            </w:pPr>
            <w:r>
              <w:rPr>
                <w:rFonts w:hint="eastAsia"/>
                <w:bCs/>
              </w:rPr>
              <w:t>15.613</w:t>
            </w:r>
          </w:p>
        </w:tc>
        <w:tc>
          <w:tcPr>
            <w:tcW w:w="1064" w:type="pct"/>
            <w:noWrap/>
            <w:vAlign w:val="center"/>
          </w:tcPr>
          <w:p w14:paraId="70A100A2" w14:textId="77777777" w:rsidR="003E78AB" w:rsidRDefault="00010BF9">
            <w:pPr>
              <w:pStyle w:val="aff6"/>
              <w:topLinePunct/>
              <w:rPr>
                <w:bCs/>
              </w:rPr>
            </w:pPr>
            <w:r>
              <w:rPr>
                <w:rFonts w:hint="eastAsia"/>
                <w:bCs/>
              </w:rPr>
              <w:t>2022</w:t>
            </w:r>
            <w:r>
              <w:rPr>
                <w:rFonts w:hint="eastAsia"/>
                <w:bCs/>
              </w:rPr>
              <w:t>年度排污许可执行报告</w:t>
            </w:r>
          </w:p>
        </w:tc>
      </w:tr>
      <w:tr w:rsidR="003E78AB" w14:paraId="53B865E7" w14:textId="77777777">
        <w:trPr>
          <w:trHeight w:val="284"/>
        </w:trPr>
        <w:tc>
          <w:tcPr>
            <w:tcW w:w="150" w:type="pct"/>
            <w:vAlign w:val="center"/>
          </w:tcPr>
          <w:p w14:paraId="48175DAA" w14:textId="77777777" w:rsidR="003E78AB" w:rsidRDefault="00010BF9">
            <w:pPr>
              <w:pStyle w:val="aff6"/>
              <w:topLinePunct/>
              <w:rPr>
                <w:bCs/>
              </w:rPr>
            </w:pPr>
            <w:r>
              <w:rPr>
                <w:rFonts w:hint="eastAsia"/>
                <w:bCs/>
              </w:rPr>
              <w:t>3</w:t>
            </w:r>
          </w:p>
        </w:tc>
        <w:tc>
          <w:tcPr>
            <w:tcW w:w="895" w:type="pct"/>
            <w:vAlign w:val="center"/>
          </w:tcPr>
          <w:p w14:paraId="4371267D" w14:textId="77777777" w:rsidR="003E78AB" w:rsidRDefault="00010BF9">
            <w:pPr>
              <w:pStyle w:val="aff6"/>
              <w:topLinePunct/>
              <w:rPr>
                <w:bCs/>
              </w:rPr>
            </w:pPr>
            <w:r>
              <w:rPr>
                <w:rFonts w:hint="eastAsia"/>
                <w:bCs/>
              </w:rPr>
              <w:t>新疆昕昊达矿业有限责任公司</w:t>
            </w:r>
          </w:p>
        </w:tc>
        <w:tc>
          <w:tcPr>
            <w:tcW w:w="336" w:type="pct"/>
            <w:vAlign w:val="center"/>
          </w:tcPr>
          <w:p w14:paraId="66DE5A2E" w14:textId="77777777" w:rsidR="003E78AB" w:rsidRDefault="00010BF9">
            <w:pPr>
              <w:pStyle w:val="aff6"/>
              <w:topLinePunct/>
              <w:rPr>
                <w:bCs/>
              </w:rPr>
            </w:pPr>
            <w:r>
              <w:rPr>
                <w:rFonts w:hint="eastAsia"/>
                <w:bCs/>
              </w:rPr>
              <w:t>生产废气</w:t>
            </w:r>
          </w:p>
        </w:tc>
        <w:tc>
          <w:tcPr>
            <w:tcW w:w="1165" w:type="pct"/>
            <w:vAlign w:val="center"/>
          </w:tcPr>
          <w:p w14:paraId="7B368F91" w14:textId="77777777" w:rsidR="003E78AB" w:rsidRDefault="00010BF9">
            <w:pPr>
              <w:pStyle w:val="aff6"/>
              <w:topLinePunct/>
              <w:rPr>
                <w:bCs/>
              </w:rPr>
            </w:pPr>
            <w:r>
              <w:rPr>
                <w:rFonts w:hint="eastAsia"/>
                <w:bCs/>
              </w:rPr>
              <w:t>竖炉采用</w:t>
            </w:r>
            <w:r>
              <w:rPr>
                <w:rFonts w:hint="eastAsia"/>
                <w:bCs/>
              </w:rPr>
              <w:t>HKD</w:t>
            </w:r>
            <w:r>
              <w:rPr>
                <w:rFonts w:hint="eastAsia"/>
                <w:bCs/>
              </w:rPr>
              <w:t>型高效三电场电除尘器进行烟气除尘，配料间配备回转反吹扁布袋式除尘器，煤气发生炉配备旋风除尘器、电除焦系统和干法脱硫塔，球团竖炉采用石灰石—石膏法脱硫装置脱硫</w:t>
            </w:r>
          </w:p>
        </w:tc>
        <w:tc>
          <w:tcPr>
            <w:tcW w:w="364" w:type="pct"/>
            <w:vAlign w:val="center"/>
          </w:tcPr>
          <w:p w14:paraId="772EAD5A" w14:textId="77777777" w:rsidR="003E78AB" w:rsidRDefault="00010BF9">
            <w:pPr>
              <w:pStyle w:val="aff6"/>
              <w:topLinePunct/>
              <w:rPr>
                <w:bCs/>
              </w:rPr>
            </w:pPr>
            <w:r>
              <w:rPr>
                <w:rFonts w:hint="eastAsia"/>
                <w:bCs/>
              </w:rPr>
              <w:t>715.6169</w:t>
            </w:r>
          </w:p>
        </w:tc>
        <w:tc>
          <w:tcPr>
            <w:tcW w:w="382" w:type="pct"/>
            <w:vAlign w:val="center"/>
          </w:tcPr>
          <w:p w14:paraId="54BD4351" w14:textId="77777777" w:rsidR="003E78AB" w:rsidRDefault="00010BF9">
            <w:pPr>
              <w:pStyle w:val="aff6"/>
              <w:topLinePunct/>
              <w:rPr>
                <w:bCs/>
              </w:rPr>
            </w:pPr>
            <w:r>
              <w:rPr>
                <w:rFonts w:hint="eastAsia"/>
                <w:bCs/>
              </w:rPr>
              <w:t>398.7580</w:t>
            </w:r>
          </w:p>
        </w:tc>
        <w:tc>
          <w:tcPr>
            <w:tcW w:w="294" w:type="pct"/>
            <w:vAlign w:val="center"/>
          </w:tcPr>
          <w:p w14:paraId="7BCC4A5F" w14:textId="77777777" w:rsidR="003E78AB" w:rsidRDefault="00010BF9">
            <w:pPr>
              <w:pStyle w:val="aff6"/>
              <w:topLinePunct/>
              <w:rPr>
                <w:bCs/>
              </w:rPr>
            </w:pPr>
            <w:r>
              <w:rPr>
                <w:rFonts w:hint="eastAsia"/>
                <w:bCs/>
              </w:rPr>
              <w:t>0</w:t>
            </w:r>
          </w:p>
        </w:tc>
        <w:tc>
          <w:tcPr>
            <w:tcW w:w="347" w:type="pct"/>
            <w:vAlign w:val="center"/>
          </w:tcPr>
          <w:p w14:paraId="674E1772" w14:textId="77777777" w:rsidR="003E78AB" w:rsidRDefault="00010BF9">
            <w:pPr>
              <w:pStyle w:val="aff6"/>
              <w:topLinePunct/>
              <w:rPr>
                <w:bCs/>
              </w:rPr>
            </w:pPr>
            <w:r>
              <w:rPr>
                <w:rFonts w:hint="eastAsia"/>
                <w:bCs/>
              </w:rPr>
              <w:t>92.0988</w:t>
            </w:r>
          </w:p>
        </w:tc>
        <w:tc>
          <w:tcPr>
            <w:tcW w:w="1064" w:type="pct"/>
            <w:vAlign w:val="center"/>
          </w:tcPr>
          <w:p w14:paraId="39E650D9" w14:textId="77777777" w:rsidR="003E78AB" w:rsidRDefault="00010BF9">
            <w:pPr>
              <w:pStyle w:val="aff6"/>
              <w:topLinePunct/>
              <w:rPr>
                <w:bCs/>
              </w:rPr>
            </w:pPr>
            <w:r>
              <w:rPr>
                <w:rFonts w:hint="eastAsia"/>
                <w:bCs/>
              </w:rPr>
              <w:t>2022</w:t>
            </w:r>
            <w:r>
              <w:rPr>
                <w:rFonts w:hint="eastAsia"/>
                <w:bCs/>
              </w:rPr>
              <w:t>年度排污许可执行报告</w:t>
            </w:r>
          </w:p>
        </w:tc>
      </w:tr>
      <w:tr w:rsidR="003E78AB" w14:paraId="0C56E940" w14:textId="77777777">
        <w:trPr>
          <w:trHeight w:val="284"/>
        </w:trPr>
        <w:tc>
          <w:tcPr>
            <w:tcW w:w="150" w:type="pct"/>
            <w:vAlign w:val="center"/>
          </w:tcPr>
          <w:p w14:paraId="642A3D49" w14:textId="77777777" w:rsidR="003E78AB" w:rsidRDefault="00010BF9">
            <w:pPr>
              <w:pStyle w:val="aff6"/>
              <w:topLinePunct/>
              <w:rPr>
                <w:bCs/>
              </w:rPr>
            </w:pPr>
            <w:r>
              <w:rPr>
                <w:rFonts w:hint="eastAsia"/>
                <w:bCs/>
              </w:rPr>
              <w:t>4</w:t>
            </w:r>
          </w:p>
        </w:tc>
        <w:tc>
          <w:tcPr>
            <w:tcW w:w="895" w:type="pct"/>
            <w:vAlign w:val="center"/>
          </w:tcPr>
          <w:p w14:paraId="437E08B7" w14:textId="77777777" w:rsidR="003E78AB" w:rsidRDefault="00010BF9">
            <w:pPr>
              <w:pStyle w:val="aff6"/>
              <w:topLinePunct/>
              <w:rPr>
                <w:bCs/>
              </w:rPr>
            </w:pPr>
            <w:r>
              <w:rPr>
                <w:rFonts w:hint="eastAsia"/>
                <w:bCs/>
              </w:rPr>
              <w:t>新疆回水环保新材料有限公司</w:t>
            </w:r>
          </w:p>
        </w:tc>
        <w:tc>
          <w:tcPr>
            <w:tcW w:w="336" w:type="pct"/>
            <w:vAlign w:val="center"/>
          </w:tcPr>
          <w:p w14:paraId="55211D3C" w14:textId="77777777" w:rsidR="003E78AB" w:rsidRDefault="00010BF9">
            <w:pPr>
              <w:pStyle w:val="aff6"/>
              <w:topLinePunct/>
              <w:rPr>
                <w:bCs/>
              </w:rPr>
            </w:pPr>
            <w:r>
              <w:rPr>
                <w:rFonts w:hint="eastAsia"/>
                <w:bCs/>
              </w:rPr>
              <w:t>生产废气</w:t>
            </w:r>
          </w:p>
        </w:tc>
        <w:tc>
          <w:tcPr>
            <w:tcW w:w="1165" w:type="pct"/>
            <w:vAlign w:val="center"/>
          </w:tcPr>
          <w:p w14:paraId="726B6EF2" w14:textId="77777777" w:rsidR="003E78AB" w:rsidRDefault="00010BF9">
            <w:pPr>
              <w:pStyle w:val="aff6"/>
              <w:topLinePunct/>
              <w:rPr>
                <w:bCs/>
              </w:rPr>
            </w:pPr>
            <w:r>
              <w:rPr>
                <w:rFonts w:hint="eastAsia"/>
                <w:bCs/>
              </w:rPr>
              <w:t>活化尾气燃烧脱硝后进入脱硫塔脱硫；袋式除尘器处理；洒水抑尘</w:t>
            </w:r>
          </w:p>
        </w:tc>
        <w:tc>
          <w:tcPr>
            <w:tcW w:w="364" w:type="pct"/>
            <w:vAlign w:val="center"/>
          </w:tcPr>
          <w:p w14:paraId="1E8C2630" w14:textId="77777777" w:rsidR="003E78AB" w:rsidRDefault="00010BF9">
            <w:pPr>
              <w:pStyle w:val="aff6"/>
              <w:topLinePunct/>
              <w:rPr>
                <w:bCs/>
              </w:rPr>
            </w:pPr>
            <w:r>
              <w:rPr>
                <w:bCs/>
              </w:rPr>
              <w:t>140.</w:t>
            </w:r>
            <w:r>
              <w:rPr>
                <w:rFonts w:hint="eastAsia"/>
                <w:bCs/>
              </w:rPr>
              <w:t>256</w:t>
            </w:r>
          </w:p>
        </w:tc>
        <w:tc>
          <w:tcPr>
            <w:tcW w:w="382" w:type="pct"/>
            <w:vAlign w:val="center"/>
          </w:tcPr>
          <w:p w14:paraId="01A1C50D" w14:textId="77777777" w:rsidR="003E78AB" w:rsidRDefault="00010BF9">
            <w:pPr>
              <w:pStyle w:val="aff6"/>
              <w:topLinePunct/>
              <w:rPr>
                <w:bCs/>
              </w:rPr>
            </w:pPr>
            <w:r>
              <w:rPr>
                <w:bCs/>
              </w:rPr>
              <w:t>116.06</w:t>
            </w:r>
          </w:p>
        </w:tc>
        <w:tc>
          <w:tcPr>
            <w:tcW w:w="294" w:type="pct"/>
            <w:vAlign w:val="center"/>
          </w:tcPr>
          <w:p w14:paraId="36112D62" w14:textId="77777777" w:rsidR="003E78AB" w:rsidRDefault="00010BF9">
            <w:pPr>
              <w:pStyle w:val="aff6"/>
              <w:topLinePunct/>
              <w:rPr>
                <w:bCs/>
              </w:rPr>
            </w:pPr>
            <w:r>
              <w:rPr>
                <w:bCs/>
              </w:rPr>
              <w:t>0.742</w:t>
            </w:r>
          </w:p>
        </w:tc>
        <w:tc>
          <w:tcPr>
            <w:tcW w:w="347" w:type="pct"/>
            <w:vAlign w:val="center"/>
          </w:tcPr>
          <w:p w14:paraId="4C06E224" w14:textId="77777777" w:rsidR="003E78AB" w:rsidRDefault="00010BF9">
            <w:pPr>
              <w:pStyle w:val="aff6"/>
              <w:topLinePunct/>
              <w:rPr>
                <w:bCs/>
              </w:rPr>
            </w:pPr>
            <w:r>
              <w:rPr>
                <w:rFonts w:hint="eastAsia"/>
                <w:bCs/>
              </w:rPr>
              <w:t>52.968</w:t>
            </w:r>
          </w:p>
        </w:tc>
        <w:tc>
          <w:tcPr>
            <w:tcW w:w="1064" w:type="pct"/>
            <w:vAlign w:val="center"/>
          </w:tcPr>
          <w:p w14:paraId="3F1E66B4" w14:textId="77777777" w:rsidR="003E78AB" w:rsidRDefault="00010BF9">
            <w:pPr>
              <w:pStyle w:val="aff6"/>
              <w:topLinePunct/>
              <w:rPr>
                <w:bCs/>
              </w:rPr>
            </w:pPr>
            <w:r>
              <w:rPr>
                <w:rFonts w:hint="eastAsia"/>
                <w:bCs/>
              </w:rPr>
              <w:t>2022</w:t>
            </w:r>
            <w:r>
              <w:rPr>
                <w:rFonts w:hint="eastAsia"/>
                <w:bCs/>
              </w:rPr>
              <w:t>年备案的环境影响后评价</w:t>
            </w:r>
          </w:p>
        </w:tc>
      </w:tr>
      <w:tr w:rsidR="003E78AB" w14:paraId="2CEFF10D" w14:textId="77777777">
        <w:trPr>
          <w:trHeight w:val="284"/>
        </w:trPr>
        <w:tc>
          <w:tcPr>
            <w:tcW w:w="150" w:type="pct"/>
            <w:vAlign w:val="center"/>
          </w:tcPr>
          <w:p w14:paraId="7D3EF844" w14:textId="77777777" w:rsidR="003E78AB" w:rsidRDefault="00010BF9">
            <w:pPr>
              <w:pStyle w:val="aff6"/>
              <w:topLinePunct/>
              <w:rPr>
                <w:bCs/>
              </w:rPr>
            </w:pPr>
            <w:r>
              <w:rPr>
                <w:rFonts w:hint="eastAsia"/>
                <w:bCs/>
              </w:rPr>
              <w:t>5</w:t>
            </w:r>
          </w:p>
        </w:tc>
        <w:tc>
          <w:tcPr>
            <w:tcW w:w="895" w:type="pct"/>
            <w:vAlign w:val="center"/>
          </w:tcPr>
          <w:p w14:paraId="73C7357F" w14:textId="77777777" w:rsidR="003E78AB" w:rsidRDefault="00010BF9">
            <w:pPr>
              <w:pStyle w:val="aff6"/>
              <w:topLinePunct/>
              <w:rPr>
                <w:bCs/>
              </w:rPr>
            </w:pPr>
            <w:r>
              <w:rPr>
                <w:rFonts w:hint="eastAsia"/>
                <w:bCs/>
              </w:rPr>
              <w:t>哈密汇川矿业有限责任公司</w:t>
            </w:r>
          </w:p>
        </w:tc>
        <w:tc>
          <w:tcPr>
            <w:tcW w:w="336" w:type="pct"/>
            <w:vAlign w:val="center"/>
          </w:tcPr>
          <w:p w14:paraId="3C5C3F73" w14:textId="77777777" w:rsidR="003E78AB" w:rsidRDefault="00010BF9">
            <w:pPr>
              <w:pStyle w:val="aff6"/>
              <w:topLinePunct/>
              <w:rPr>
                <w:bCs/>
              </w:rPr>
            </w:pPr>
            <w:r>
              <w:rPr>
                <w:rFonts w:hint="eastAsia"/>
                <w:bCs/>
              </w:rPr>
              <w:t>生产废气</w:t>
            </w:r>
          </w:p>
        </w:tc>
        <w:tc>
          <w:tcPr>
            <w:tcW w:w="1165" w:type="pct"/>
            <w:vAlign w:val="center"/>
          </w:tcPr>
          <w:p w14:paraId="39FAF16D" w14:textId="77777777" w:rsidR="003E78AB" w:rsidRDefault="00010BF9">
            <w:pPr>
              <w:pStyle w:val="aff6"/>
              <w:topLinePunct/>
              <w:rPr>
                <w:bCs/>
              </w:rPr>
            </w:pPr>
            <w:r>
              <w:rPr>
                <w:rFonts w:hint="eastAsia"/>
                <w:bCs/>
              </w:rPr>
              <w:t>袋式除尘器</w:t>
            </w:r>
          </w:p>
        </w:tc>
        <w:tc>
          <w:tcPr>
            <w:tcW w:w="364" w:type="pct"/>
            <w:vAlign w:val="center"/>
          </w:tcPr>
          <w:p w14:paraId="6B0CA37C" w14:textId="77777777" w:rsidR="003E78AB" w:rsidRDefault="003E78AB">
            <w:pPr>
              <w:pStyle w:val="aff6"/>
              <w:topLinePunct/>
              <w:rPr>
                <w:bCs/>
              </w:rPr>
            </w:pPr>
          </w:p>
        </w:tc>
        <w:tc>
          <w:tcPr>
            <w:tcW w:w="382" w:type="pct"/>
            <w:vAlign w:val="center"/>
          </w:tcPr>
          <w:p w14:paraId="5EE8B16C" w14:textId="77777777" w:rsidR="003E78AB" w:rsidRDefault="00010BF9">
            <w:pPr>
              <w:pStyle w:val="aff6"/>
              <w:topLinePunct/>
              <w:rPr>
                <w:bCs/>
              </w:rPr>
            </w:pPr>
            <w:r>
              <w:rPr>
                <w:bCs/>
              </w:rPr>
              <w:t>0.004</w:t>
            </w:r>
          </w:p>
        </w:tc>
        <w:tc>
          <w:tcPr>
            <w:tcW w:w="294" w:type="pct"/>
            <w:vAlign w:val="center"/>
          </w:tcPr>
          <w:p w14:paraId="1FEB734C" w14:textId="77777777" w:rsidR="003E78AB" w:rsidRDefault="00010BF9">
            <w:pPr>
              <w:pStyle w:val="aff6"/>
              <w:topLinePunct/>
              <w:rPr>
                <w:bCs/>
              </w:rPr>
            </w:pPr>
            <w:r>
              <w:rPr>
                <w:bCs/>
              </w:rPr>
              <w:t>0.022</w:t>
            </w:r>
          </w:p>
        </w:tc>
        <w:tc>
          <w:tcPr>
            <w:tcW w:w="347" w:type="pct"/>
            <w:vAlign w:val="center"/>
          </w:tcPr>
          <w:p w14:paraId="26B2F624" w14:textId="77777777" w:rsidR="003E78AB" w:rsidRDefault="00010BF9">
            <w:pPr>
              <w:pStyle w:val="aff6"/>
              <w:topLinePunct/>
              <w:rPr>
                <w:bCs/>
              </w:rPr>
            </w:pPr>
            <w:r>
              <w:rPr>
                <w:rFonts w:hint="eastAsia"/>
                <w:bCs/>
              </w:rPr>
              <w:t>0.52</w:t>
            </w:r>
          </w:p>
        </w:tc>
        <w:tc>
          <w:tcPr>
            <w:tcW w:w="1064" w:type="pct"/>
            <w:vAlign w:val="center"/>
          </w:tcPr>
          <w:p w14:paraId="3A997A27" w14:textId="77777777" w:rsidR="003E78AB" w:rsidRDefault="00010BF9">
            <w:pPr>
              <w:pStyle w:val="aff6"/>
              <w:topLinePunct/>
              <w:rPr>
                <w:bCs/>
              </w:rPr>
            </w:pPr>
            <w:r>
              <w:rPr>
                <w:rFonts w:hint="eastAsia"/>
                <w:bCs/>
              </w:rPr>
              <w:t>已批复的园区规划环评报告书</w:t>
            </w:r>
          </w:p>
        </w:tc>
      </w:tr>
      <w:tr w:rsidR="003E78AB" w14:paraId="3053DF1B" w14:textId="77777777">
        <w:trPr>
          <w:trHeight w:val="284"/>
        </w:trPr>
        <w:tc>
          <w:tcPr>
            <w:tcW w:w="150" w:type="pct"/>
            <w:vAlign w:val="center"/>
          </w:tcPr>
          <w:p w14:paraId="0BFF531F" w14:textId="77777777" w:rsidR="003E78AB" w:rsidRDefault="00010BF9">
            <w:pPr>
              <w:pStyle w:val="aff6"/>
              <w:topLinePunct/>
              <w:rPr>
                <w:bCs/>
              </w:rPr>
            </w:pPr>
            <w:r>
              <w:rPr>
                <w:rFonts w:hint="eastAsia"/>
                <w:bCs/>
              </w:rPr>
              <w:t>6</w:t>
            </w:r>
          </w:p>
        </w:tc>
        <w:tc>
          <w:tcPr>
            <w:tcW w:w="895" w:type="pct"/>
            <w:vAlign w:val="center"/>
          </w:tcPr>
          <w:p w14:paraId="5D24861B" w14:textId="77777777" w:rsidR="003E78AB" w:rsidRDefault="00010BF9">
            <w:pPr>
              <w:pStyle w:val="aff6"/>
              <w:topLinePunct/>
              <w:rPr>
                <w:bCs/>
              </w:rPr>
            </w:pPr>
            <w:r>
              <w:rPr>
                <w:rFonts w:hint="eastAsia"/>
                <w:bCs/>
              </w:rPr>
              <w:t>哈密特力石化有限责任公司</w:t>
            </w:r>
          </w:p>
        </w:tc>
        <w:tc>
          <w:tcPr>
            <w:tcW w:w="336" w:type="pct"/>
            <w:vAlign w:val="center"/>
          </w:tcPr>
          <w:p w14:paraId="5D399C56" w14:textId="77777777" w:rsidR="003E78AB" w:rsidRDefault="00010BF9">
            <w:pPr>
              <w:pStyle w:val="aff6"/>
              <w:topLinePunct/>
              <w:rPr>
                <w:bCs/>
              </w:rPr>
            </w:pPr>
            <w:r>
              <w:rPr>
                <w:rFonts w:hint="eastAsia"/>
                <w:bCs/>
              </w:rPr>
              <w:t>生产废气</w:t>
            </w:r>
          </w:p>
        </w:tc>
        <w:tc>
          <w:tcPr>
            <w:tcW w:w="1165" w:type="pct"/>
            <w:vAlign w:val="center"/>
          </w:tcPr>
          <w:p w14:paraId="062F89FB" w14:textId="77777777" w:rsidR="003E78AB" w:rsidRDefault="003E78AB">
            <w:pPr>
              <w:pStyle w:val="aff6"/>
              <w:topLinePunct/>
              <w:rPr>
                <w:bCs/>
              </w:rPr>
            </w:pPr>
          </w:p>
        </w:tc>
        <w:tc>
          <w:tcPr>
            <w:tcW w:w="364" w:type="pct"/>
            <w:vAlign w:val="center"/>
          </w:tcPr>
          <w:p w14:paraId="68CD0386" w14:textId="77777777" w:rsidR="003E78AB" w:rsidRDefault="00010BF9">
            <w:pPr>
              <w:pStyle w:val="aff6"/>
              <w:topLinePunct/>
              <w:rPr>
                <w:bCs/>
              </w:rPr>
            </w:pPr>
            <w:r>
              <w:rPr>
                <w:bCs/>
              </w:rPr>
              <w:t>2.246</w:t>
            </w:r>
          </w:p>
        </w:tc>
        <w:tc>
          <w:tcPr>
            <w:tcW w:w="382" w:type="pct"/>
            <w:vAlign w:val="center"/>
          </w:tcPr>
          <w:p w14:paraId="1C0D255E" w14:textId="77777777" w:rsidR="003E78AB" w:rsidRDefault="00010BF9">
            <w:pPr>
              <w:pStyle w:val="aff6"/>
              <w:topLinePunct/>
              <w:rPr>
                <w:bCs/>
              </w:rPr>
            </w:pPr>
            <w:r>
              <w:rPr>
                <w:bCs/>
              </w:rPr>
              <w:t>5.973</w:t>
            </w:r>
          </w:p>
        </w:tc>
        <w:tc>
          <w:tcPr>
            <w:tcW w:w="294" w:type="pct"/>
            <w:vAlign w:val="center"/>
          </w:tcPr>
          <w:p w14:paraId="3F5F3A06" w14:textId="77777777" w:rsidR="003E78AB" w:rsidRDefault="00010BF9">
            <w:pPr>
              <w:pStyle w:val="aff6"/>
              <w:topLinePunct/>
              <w:rPr>
                <w:bCs/>
              </w:rPr>
            </w:pPr>
            <w:r>
              <w:rPr>
                <w:bCs/>
              </w:rPr>
              <w:t>2.045</w:t>
            </w:r>
          </w:p>
        </w:tc>
        <w:tc>
          <w:tcPr>
            <w:tcW w:w="347" w:type="pct"/>
            <w:vAlign w:val="center"/>
          </w:tcPr>
          <w:p w14:paraId="4341DED5" w14:textId="77777777" w:rsidR="003E78AB" w:rsidRDefault="00010BF9">
            <w:pPr>
              <w:pStyle w:val="aff6"/>
              <w:topLinePunct/>
              <w:rPr>
                <w:bCs/>
              </w:rPr>
            </w:pPr>
            <w:r>
              <w:rPr>
                <w:rFonts w:hint="eastAsia"/>
                <w:bCs/>
              </w:rPr>
              <w:t>0.302</w:t>
            </w:r>
          </w:p>
        </w:tc>
        <w:tc>
          <w:tcPr>
            <w:tcW w:w="1064" w:type="pct"/>
            <w:vAlign w:val="center"/>
          </w:tcPr>
          <w:p w14:paraId="510E655F" w14:textId="77777777" w:rsidR="003E78AB" w:rsidRDefault="00010BF9">
            <w:pPr>
              <w:pStyle w:val="aff6"/>
              <w:topLinePunct/>
              <w:rPr>
                <w:bCs/>
              </w:rPr>
            </w:pPr>
            <w:r>
              <w:rPr>
                <w:rFonts w:hint="eastAsia"/>
                <w:bCs/>
              </w:rPr>
              <w:t>已批复的园区规划环评报告书</w:t>
            </w:r>
          </w:p>
        </w:tc>
      </w:tr>
      <w:tr w:rsidR="003E78AB" w14:paraId="733FB3B2" w14:textId="77777777">
        <w:trPr>
          <w:trHeight w:val="916"/>
        </w:trPr>
        <w:tc>
          <w:tcPr>
            <w:tcW w:w="150" w:type="pct"/>
            <w:vAlign w:val="center"/>
          </w:tcPr>
          <w:p w14:paraId="1CA2D060" w14:textId="77777777" w:rsidR="003E78AB" w:rsidRDefault="00010BF9">
            <w:pPr>
              <w:pStyle w:val="aff6"/>
              <w:topLinePunct/>
              <w:rPr>
                <w:bCs/>
              </w:rPr>
            </w:pPr>
            <w:r>
              <w:rPr>
                <w:rFonts w:hint="eastAsia"/>
                <w:bCs/>
              </w:rPr>
              <w:t>7</w:t>
            </w:r>
          </w:p>
        </w:tc>
        <w:tc>
          <w:tcPr>
            <w:tcW w:w="895" w:type="pct"/>
            <w:vAlign w:val="center"/>
          </w:tcPr>
          <w:p w14:paraId="2D20A3E1" w14:textId="77777777" w:rsidR="003E78AB" w:rsidRDefault="00010BF9">
            <w:pPr>
              <w:pStyle w:val="aff6"/>
              <w:topLinePunct/>
              <w:rPr>
                <w:bCs/>
              </w:rPr>
            </w:pPr>
            <w:r>
              <w:rPr>
                <w:rFonts w:hint="eastAsia"/>
                <w:bCs/>
              </w:rPr>
              <w:t>新疆腾翔镁制品有限公司</w:t>
            </w:r>
          </w:p>
        </w:tc>
        <w:tc>
          <w:tcPr>
            <w:tcW w:w="336" w:type="pct"/>
            <w:vAlign w:val="center"/>
          </w:tcPr>
          <w:p w14:paraId="583BC0A2" w14:textId="77777777" w:rsidR="003E78AB" w:rsidRDefault="00010BF9">
            <w:pPr>
              <w:pStyle w:val="aff6"/>
              <w:topLinePunct/>
              <w:rPr>
                <w:bCs/>
              </w:rPr>
            </w:pPr>
            <w:r>
              <w:rPr>
                <w:rFonts w:hint="eastAsia"/>
                <w:bCs/>
              </w:rPr>
              <w:t>生产废气</w:t>
            </w:r>
          </w:p>
        </w:tc>
        <w:tc>
          <w:tcPr>
            <w:tcW w:w="1165" w:type="pct"/>
            <w:vAlign w:val="center"/>
          </w:tcPr>
          <w:p w14:paraId="0759F526" w14:textId="77777777" w:rsidR="003E78AB" w:rsidRDefault="00010BF9">
            <w:pPr>
              <w:pStyle w:val="aff6"/>
              <w:topLinePunct/>
              <w:rPr>
                <w:bCs/>
              </w:rPr>
            </w:pPr>
            <w:r>
              <w:rPr>
                <w:rFonts w:hint="eastAsia"/>
                <w:bCs/>
              </w:rPr>
              <w:t>布袋除尘器</w:t>
            </w:r>
          </w:p>
        </w:tc>
        <w:tc>
          <w:tcPr>
            <w:tcW w:w="364" w:type="pct"/>
            <w:vAlign w:val="center"/>
          </w:tcPr>
          <w:p w14:paraId="211E74AB" w14:textId="77777777" w:rsidR="003E78AB" w:rsidRDefault="00010BF9">
            <w:pPr>
              <w:pStyle w:val="aff6"/>
              <w:topLinePunct/>
              <w:rPr>
                <w:bCs/>
              </w:rPr>
            </w:pPr>
            <w:r>
              <w:rPr>
                <w:rFonts w:hint="eastAsia"/>
                <w:bCs/>
              </w:rPr>
              <w:t>4.024435</w:t>
            </w:r>
          </w:p>
        </w:tc>
        <w:tc>
          <w:tcPr>
            <w:tcW w:w="382" w:type="pct"/>
            <w:vAlign w:val="center"/>
          </w:tcPr>
          <w:p w14:paraId="286E9100" w14:textId="77777777" w:rsidR="003E78AB" w:rsidRDefault="00010BF9">
            <w:pPr>
              <w:pStyle w:val="aff6"/>
              <w:topLinePunct/>
              <w:rPr>
                <w:bCs/>
              </w:rPr>
            </w:pPr>
            <w:r>
              <w:rPr>
                <w:rFonts w:hint="eastAsia"/>
                <w:bCs/>
              </w:rPr>
              <w:t>103.842123</w:t>
            </w:r>
          </w:p>
        </w:tc>
        <w:tc>
          <w:tcPr>
            <w:tcW w:w="294" w:type="pct"/>
            <w:vAlign w:val="center"/>
          </w:tcPr>
          <w:p w14:paraId="34BD6E6A" w14:textId="77777777" w:rsidR="003E78AB" w:rsidRDefault="00010BF9">
            <w:pPr>
              <w:pStyle w:val="aff6"/>
              <w:topLinePunct/>
              <w:rPr>
                <w:bCs/>
              </w:rPr>
            </w:pPr>
            <w:r>
              <w:rPr>
                <w:bCs/>
              </w:rPr>
              <w:t>13.68</w:t>
            </w:r>
          </w:p>
        </w:tc>
        <w:tc>
          <w:tcPr>
            <w:tcW w:w="347" w:type="pct"/>
            <w:vAlign w:val="center"/>
          </w:tcPr>
          <w:p w14:paraId="6241A1F0" w14:textId="77777777" w:rsidR="003E78AB" w:rsidRDefault="00010BF9">
            <w:pPr>
              <w:pStyle w:val="aff6"/>
              <w:topLinePunct/>
              <w:rPr>
                <w:bCs/>
              </w:rPr>
            </w:pPr>
            <w:r>
              <w:rPr>
                <w:rFonts w:hint="eastAsia"/>
                <w:bCs/>
              </w:rPr>
              <w:t>14.067526</w:t>
            </w:r>
          </w:p>
        </w:tc>
        <w:tc>
          <w:tcPr>
            <w:tcW w:w="1064" w:type="pct"/>
            <w:vAlign w:val="center"/>
          </w:tcPr>
          <w:p w14:paraId="0AEE4E54" w14:textId="77777777" w:rsidR="003E78AB" w:rsidRDefault="00010BF9">
            <w:pPr>
              <w:pStyle w:val="aff6"/>
              <w:topLinePunct/>
              <w:rPr>
                <w:bCs/>
              </w:rPr>
            </w:pPr>
            <w:r>
              <w:rPr>
                <w:rFonts w:hint="eastAsia"/>
                <w:bCs/>
              </w:rPr>
              <w:t>2022</w:t>
            </w:r>
            <w:r>
              <w:rPr>
                <w:rFonts w:hint="eastAsia"/>
                <w:bCs/>
              </w:rPr>
              <w:t>年度排污许可执行报告</w:t>
            </w:r>
          </w:p>
        </w:tc>
      </w:tr>
      <w:tr w:rsidR="003E78AB" w14:paraId="4097075A" w14:textId="77777777">
        <w:trPr>
          <w:trHeight w:val="284"/>
        </w:trPr>
        <w:tc>
          <w:tcPr>
            <w:tcW w:w="150" w:type="pct"/>
            <w:vAlign w:val="center"/>
          </w:tcPr>
          <w:p w14:paraId="6DDDA2EE" w14:textId="77777777" w:rsidR="003E78AB" w:rsidRDefault="00010BF9">
            <w:pPr>
              <w:pStyle w:val="aff6"/>
              <w:topLinePunct/>
              <w:rPr>
                <w:bCs/>
              </w:rPr>
            </w:pPr>
            <w:r>
              <w:rPr>
                <w:rFonts w:hint="eastAsia"/>
                <w:bCs/>
              </w:rPr>
              <w:t>8</w:t>
            </w:r>
          </w:p>
        </w:tc>
        <w:tc>
          <w:tcPr>
            <w:tcW w:w="895" w:type="pct"/>
            <w:vAlign w:val="center"/>
          </w:tcPr>
          <w:p w14:paraId="6AC07A9F" w14:textId="77777777" w:rsidR="003E78AB" w:rsidRDefault="00010BF9">
            <w:pPr>
              <w:pStyle w:val="aff6"/>
              <w:topLinePunct/>
              <w:rPr>
                <w:bCs/>
              </w:rPr>
            </w:pPr>
            <w:r>
              <w:rPr>
                <w:rFonts w:hint="eastAsia"/>
                <w:bCs/>
              </w:rPr>
              <w:t>哈密市纳嘉工贸有限责任公司</w:t>
            </w:r>
          </w:p>
        </w:tc>
        <w:tc>
          <w:tcPr>
            <w:tcW w:w="336" w:type="pct"/>
            <w:vAlign w:val="center"/>
          </w:tcPr>
          <w:p w14:paraId="752D10D5" w14:textId="77777777" w:rsidR="003E78AB" w:rsidRDefault="00010BF9">
            <w:pPr>
              <w:pStyle w:val="aff6"/>
              <w:topLinePunct/>
              <w:rPr>
                <w:bCs/>
              </w:rPr>
            </w:pPr>
            <w:r>
              <w:rPr>
                <w:rFonts w:hint="eastAsia"/>
                <w:bCs/>
              </w:rPr>
              <w:t>生产废气</w:t>
            </w:r>
          </w:p>
        </w:tc>
        <w:tc>
          <w:tcPr>
            <w:tcW w:w="1165" w:type="pct"/>
            <w:vAlign w:val="center"/>
          </w:tcPr>
          <w:p w14:paraId="5CEBAADF" w14:textId="77777777" w:rsidR="003E78AB" w:rsidRDefault="00010BF9">
            <w:pPr>
              <w:pStyle w:val="aff6"/>
              <w:topLinePunct/>
              <w:rPr>
                <w:bCs/>
              </w:rPr>
            </w:pPr>
            <w:r>
              <w:rPr>
                <w:rFonts w:hint="eastAsia"/>
                <w:bCs/>
              </w:rPr>
              <w:t>布袋除尘器</w:t>
            </w:r>
          </w:p>
        </w:tc>
        <w:tc>
          <w:tcPr>
            <w:tcW w:w="364" w:type="pct"/>
            <w:vAlign w:val="center"/>
          </w:tcPr>
          <w:p w14:paraId="580711A4" w14:textId="77777777" w:rsidR="003E78AB" w:rsidRDefault="003E78AB">
            <w:pPr>
              <w:pStyle w:val="aff6"/>
              <w:topLinePunct/>
              <w:rPr>
                <w:bCs/>
              </w:rPr>
            </w:pPr>
          </w:p>
        </w:tc>
        <w:tc>
          <w:tcPr>
            <w:tcW w:w="382" w:type="pct"/>
            <w:vAlign w:val="center"/>
          </w:tcPr>
          <w:p w14:paraId="223C983F" w14:textId="77777777" w:rsidR="003E78AB" w:rsidRDefault="003E78AB">
            <w:pPr>
              <w:pStyle w:val="aff6"/>
              <w:topLinePunct/>
              <w:rPr>
                <w:bCs/>
              </w:rPr>
            </w:pPr>
          </w:p>
        </w:tc>
        <w:tc>
          <w:tcPr>
            <w:tcW w:w="294" w:type="pct"/>
            <w:vAlign w:val="center"/>
          </w:tcPr>
          <w:p w14:paraId="09A9704C" w14:textId="77777777" w:rsidR="003E78AB" w:rsidRDefault="003E78AB">
            <w:pPr>
              <w:pStyle w:val="aff6"/>
              <w:topLinePunct/>
              <w:rPr>
                <w:bCs/>
              </w:rPr>
            </w:pPr>
          </w:p>
        </w:tc>
        <w:tc>
          <w:tcPr>
            <w:tcW w:w="347" w:type="pct"/>
            <w:vAlign w:val="center"/>
          </w:tcPr>
          <w:p w14:paraId="4445CB0E" w14:textId="77777777" w:rsidR="003E78AB" w:rsidRDefault="00010BF9">
            <w:pPr>
              <w:pStyle w:val="aff6"/>
              <w:topLinePunct/>
              <w:rPr>
                <w:bCs/>
              </w:rPr>
            </w:pPr>
            <w:r>
              <w:rPr>
                <w:rFonts w:hint="eastAsia"/>
                <w:bCs/>
              </w:rPr>
              <w:t>0.02</w:t>
            </w:r>
          </w:p>
        </w:tc>
        <w:tc>
          <w:tcPr>
            <w:tcW w:w="1064" w:type="pct"/>
            <w:vAlign w:val="center"/>
          </w:tcPr>
          <w:p w14:paraId="448BC1CF" w14:textId="77777777" w:rsidR="003E78AB" w:rsidRDefault="00010BF9">
            <w:pPr>
              <w:pStyle w:val="aff6"/>
              <w:topLinePunct/>
              <w:rPr>
                <w:bCs/>
              </w:rPr>
            </w:pPr>
            <w:r>
              <w:rPr>
                <w:rFonts w:hint="eastAsia"/>
                <w:bCs/>
              </w:rPr>
              <w:t>已批复的园区规划环评报告书</w:t>
            </w:r>
          </w:p>
        </w:tc>
      </w:tr>
      <w:tr w:rsidR="003E78AB" w14:paraId="1DA8803D" w14:textId="77777777">
        <w:trPr>
          <w:trHeight w:val="284"/>
        </w:trPr>
        <w:tc>
          <w:tcPr>
            <w:tcW w:w="150" w:type="pct"/>
            <w:vAlign w:val="center"/>
          </w:tcPr>
          <w:p w14:paraId="7D01E9C6" w14:textId="77777777" w:rsidR="003E78AB" w:rsidRDefault="00010BF9">
            <w:pPr>
              <w:pStyle w:val="aff6"/>
              <w:topLinePunct/>
              <w:rPr>
                <w:bCs/>
              </w:rPr>
            </w:pPr>
            <w:r>
              <w:rPr>
                <w:rFonts w:hint="eastAsia"/>
                <w:bCs/>
              </w:rPr>
              <w:t>9</w:t>
            </w:r>
          </w:p>
        </w:tc>
        <w:tc>
          <w:tcPr>
            <w:tcW w:w="895" w:type="pct"/>
            <w:vAlign w:val="center"/>
          </w:tcPr>
          <w:p w14:paraId="4D724837" w14:textId="77777777" w:rsidR="003E78AB" w:rsidRDefault="00010BF9">
            <w:pPr>
              <w:pStyle w:val="aff6"/>
              <w:topLinePunct/>
              <w:rPr>
                <w:bCs/>
              </w:rPr>
            </w:pPr>
            <w:r>
              <w:rPr>
                <w:rFonts w:hint="eastAsia"/>
                <w:bCs/>
              </w:rPr>
              <w:t>哈密乔戈里金属冶选有限公司</w:t>
            </w:r>
          </w:p>
        </w:tc>
        <w:tc>
          <w:tcPr>
            <w:tcW w:w="336" w:type="pct"/>
            <w:vAlign w:val="center"/>
          </w:tcPr>
          <w:p w14:paraId="3449466A" w14:textId="77777777" w:rsidR="003E78AB" w:rsidRDefault="00010BF9">
            <w:pPr>
              <w:pStyle w:val="aff6"/>
              <w:topLinePunct/>
              <w:rPr>
                <w:bCs/>
              </w:rPr>
            </w:pPr>
            <w:r>
              <w:rPr>
                <w:rFonts w:hint="eastAsia"/>
                <w:bCs/>
              </w:rPr>
              <w:t>生产废气</w:t>
            </w:r>
          </w:p>
        </w:tc>
        <w:tc>
          <w:tcPr>
            <w:tcW w:w="1165" w:type="pct"/>
            <w:vAlign w:val="center"/>
          </w:tcPr>
          <w:p w14:paraId="7A1F2194" w14:textId="77777777" w:rsidR="003E78AB" w:rsidRDefault="00010BF9">
            <w:pPr>
              <w:pStyle w:val="aff6"/>
              <w:topLinePunct/>
              <w:rPr>
                <w:bCs/>
              </w:rPr>
            </w:pPr>
            <w:r>
              <w:rPr>
                <w:rFonts w:hint="eastAsia"/>
                <w:bCs/>
              </w:rPr>
              <w:t>皮带输送机输送原料、原料储存采用密闭式，并安装袋式除尘装置</w:t>
            </w:r>
          </w:p>
        </w:tc>
        <w:tc>
          <w:tcPr>
            <w:tcW w:w="364" w:type="pct"/>
            <w:vAlign w:val="center"/>
          </w:tcPr>
          <w:p w14:paraId="17581923" w14:textId="77777777" w:rsidR="003E78AB" w:rsidRDefault="003E78AB">
            <w:pPr>
              <w:pStyle w:val="aff6"/>
              <w:topLinePunct/>
              <w:rPr>
                <w:bCs/>
              </w:rPr>
            </w:pPr>
          </w:p>
        </w:tc>
        <w:tc>
          <w:tcPr>
            <w:tcW w:w="382" w:type="pct"/>
            <w:vAlign w:val="center"/>
          </w:tcPr>
          <w:p w14:paraId="29C91C9F" w14:textId="77777777" w:rsidR="003E78AB" w:rsidRDefault="00010BF9">
            <w:pPr>
              <w:pStyle w:val="aff6"/>
              <w:topLinePunct/>
              <w:rPr>
                <w:bCs/>
              </w:rPr>
            </w:pPr>
            <w:r>
              <w:rPr>
                <w:bCs/>
              </w:rPr>
              <w:t>1.42</w:t>
            </w:r>
          </w:p>
        </w:tc>
        <w:tc>
          <w:tcPr>
            <w:tcW w:w="294" w:type="pct"/>
            <w:vAlign w:val="center"/>
          </w:tcPr>
          <w:p w14:paraId="235BCF7D" w14:textId="77777777" w:rsidR="003E78AB" w:rsidRDefault="00010BF9">
            <w:pPr>
              <w:pStyle w:val="aff6"/>
              <w:topLinePunct/>
              <w:rPr>
                <w:bCs/>
              </w:rPr>
            </w:pPr>
            <w:r>
              <w:rPr>
                <w:bCs/>
              </w:rPr>
              <w:t>0.12</w:t>
            </w:r>
          </w:p>
        </w:tc>
        <w:tc>
          <w:tcPr>
            <w:tcW w:w="347" w:type="pct"/>
            <w:vAlign w:val="center"/>
          </w:tcPr>
          <w:p w14:paraId="1433AC14" w14:textId="77777777" w:rsidR="003E78AB" w:rsidRDefault="00010BF9">
            <w:pPr>
              <w:pStyle w:val="aff6"/>
              <w:topLinePunct/>
              <w:rPr>
                <w:bCs/>
              </w:rPr>
            </w:pPr>
            <w:r>
              <w:rPr>
                <w:rFonts w:hint="eastAsia"/>
                <w:bCs/>
              </w:rPr>
              <w:t>119.76</w:t>
            </w:r>
          </w:p>
        </w:tc>
        <w:tc>
          <w:tcPr>
            <w:tcW w:w="1064" w:type="pct"/>
            <w:vAlign w:val="center"/>
          </w:tcPr>
          <w:p w14:paraId="1D5D418D" w14:textId="77777777" w:rsidR="003E78AB" w:rsidRDefault="00010BF9">
            <w:pPr>
              <w:pStyle w:val="aff6"/>
              <w:topLinePunct/>
              <w:rPr>
                <w:bCs/>
              </w:rPr>
            </w:pPr>
            <w:r>
              <w:rPr>
                <w:rFonts w:hint="eastAsia"/>
                <w:bCs/>
              </w:rPr>
              <w:t>已批复的园区规划环评报告书</w:t>
            </w:r>
          </w:p>
        </w:tc>
      </w:tr>
      <w:tr w:rsidR="003E78AB" w14:paraId="16D84973" w14:textId="77777777">
        <w:trPr>
          <w:trHeight w:val="284"/>
        </w:trPr>
        <w:tc>
          <w:tcPr>
            <w:tcW w:w="150" w:type="pct"/>
            <w:vAlign w:val="center"/>
          </w:tcPr>
          <w:p w14:paraId="644C589C" w14:textId="77777777" w:rsidR="003E78AB" w:rsidRDefault="00010BF9">
            <w:pPr>
              <w:pStyle w:val="aff6"/>
              <w:topLinePunct/>
              <w:rPr>
                <w:bCs/>
              </w:rPr>
            </w:pPr>
            <w:r>
              <w:rPr>
                <w:rFonts w:hint="eastAsia"/>
                <w:bCs/>
              </w:rPr>
              <w:t>10</w:t>
            </w:r>
          </w:p>
        </w:tc>
        <w:tc>
          <w:tcPr>
            <w:tcW w:w="895" w:type="pct"/>
            <w:vAlign w:val="center"/>
          </w:tcPr>
          <w:p w14:paraId="5FF03834" w14:textId="77777777" w:rsidR="003E78AB" w:rsidRDefault="00010BF9">
            <w:pPr>
              <w:pStyle w:val="aff6"/>
              <w:topLinePunct/>
              <w:rPr>
                <w:bCs/>
              </w:rPr>
            </w:pPr>
            <w:r>
              <w:rPr>
                <w:rFonts w:hint="eastAsia"/>
                <w:bCs/>
              </w:rPr>
              <w:t>新疆蓝天高科新材料有限公司</w:t>
            </w:r>
          </w:p>
        </w:tc>
        <w:tc>
          <w:tcPr>
            <w:tcW w:w="336" w:type="pct"/>
            <w:vAlign w:val="center"/>
          </w:tcPr>
          <w:p w14:paraId="1DA9136F" w14:textId="77777777" w:rsidR="003E78AB" w:rsidRDefault="00010BF9">
            <w:pPr>
              <w:pStyle w:val="aff6"/>
              <w:topLinePunct/>
              <w:rPr>
                <w:bCs/>
              </w:rPr>
            </w:pPr>
            <w:r>
              <w:rPr>
                <w:rFonts w:hint="eastAsia"/>
                <w:bCs/>
              </w:rPr>
              <w:t>生产废气</w:t>
            </w:r>
          </w:p>
        </w:tc>
        <w:tc>
          <w:tcPr>
            <w:tcW w:w="1165" w:type="pct"/>
            <w:vAlign w:val="center"/>
          </w:tcPr>
          <w:p w14:paraId="7A5B5C6B" w14:textId="77777777" w:rsidR="003E78AB" w:rsidRDefault="00010BF9">
            <w:pPr>
              <w:pStyle w:val="aff6"/>
              <w:topLinePunct/>
              <w:rPr>
                <w:bCs/>
              </w:rPr>
            </w:pPr>
            <w:r>
              <w:rPr>
                <w:rFonts w:hint="eastAsia"/>
                <w:bCs/>
              </w:rPr>
              <w:t>建设封闭式原料仓库；配套安装集气罩</w:t>
            </w:r>
          </w:p>
        </w:tc>
        <w:tc>
          <w:tcPr>
            <w:tcW w:w="364" w:type="pct"/>
            <w:vAlign w:val="center"/>
          </w:tcPr>
          <w:p w14:paraId="1DF55F92" w14:textId="77777777" w:rsidR="003E78AB" w:rsidRDefault="003E78AB">
            <w:pPr>
              <w:pStyle w:val="aff6"/>
              <w:topLinePunct/>
              <w:rPr>
                <w:bCs/>
              </w:rPr>
            </w:pPr>
          </w:p>
        </w:tc>
        <w:tc>
          <w:tcPr>
            <w:tcW w:w="382" w:type="pct"/>
            <w:vAlign w:val="center"/>
          </w:tcPr>
          <w:p w14:paraId="696030B0" w14:textId="77777777" w:rsidR="003E78AB" w:rsidRDefault="003E78AB">
            <w:pPr>
              <w:pStyle w:val="aff6"/>
              <w:topLinePunct/>
              <w:rPr>
                <w:bCs/>
              </w:rPr>
            </w:pPr>
          </w:p>
        </w:tc>
        <w:tc>
          <w:tcPr>
            <w:tcW w:w="294" w:type="pct"/>
            <w:vAlign w:val="center"/>
          </w:tcPr>
          <w:p w14:paraId="2A38C92C" w14:textId="77777777" w:rsidR="003E78AB" w:rsidRDefault="003E78AB">
            <w:pPr>
              <w:pStyle w:val="aff6"/>
              <w:topLinePunct/>
              <w:rPr>
                <w:bCs/>
              </w:rPr>
            </w:pPr>
          </w:p>
        </w:tc>
        <w:tc>
          <w:tcPr>
            <w:tcW w:w="347" w:type="pct"/>
            <w:vAlign w:val="center"/>
          </w:tcPr>
          <w:p w14:paraId="5F8A72C7" w14:textId="77777777" w:rsidR="003E78AB" w:rsidRDefault="00010BF9">
            <w:pPr>
              <w:pStyle w:val="aff6"/>
              <w:topLinePunct/>
              <w:rPr>
                <w:bCs/>
              </w:rPr>
            </w:pPr>
            <w:r>
              <w:rPr>
                <w:rFonts w:hint="eastAsia"/>
                <w:bCs/>
              </w:rPr>
              <w:t>12.5</w:t>
            </w:r>
          </w:p>
        </w:tc>
        <w:tc>
          <w:tcPr>
            <w:tcW w:w="1064" w:type="pct"/>
            <w:vAlign w:val="center"/>
          </w:tcPr>
          <w:p w14:paraId="5D62154E" w14:textId="77777777" w:rsidR="003E78AB" w:rsidRDefault="00010BF9">
            <w:pPr>
              <w:pStyle w:val="aff6"/>
              <w:topLinePunct/>
              <w:rPr>
                <w:bCs/>
              </w:rPr>
            </w:pPr>
            <w:r>
              <w:rPr>
                <w:rFonts w:hint="eastAsia"/>
                <w:bCs/>
              </w:rPr>
              <w:t>已批复的园区规划环评报告书</w:t>
            </w:r>
          </w:p>
        </w:tc>
      </w:tr>
      <w:tr w:rsidR="003E78AB" w14:paraId="2C005D59" w14:textId="77777777">
        <w:trPr>
          <w:trHeight w:val="90"/>
        </w:trPr>
        <w:tc>
          <w:tcPr>
            <w:tcW w:w="150" w:type="pct"/>
            <w:vAlign w:val="center"/>
          </w:tcPr>
          <w:p w14:paraId="02867AC7" w14:textId="77777777" w:rsidR="003E78AB" w:rsidRDefault="00010BF9">
            <w:pPr>
              <w:pStyle w:val="aff6"/>
              <w:topLinePunct/>
              <w:rPr>
                <w:bCs/>
              </w:rPr>
            </w:pPr>
            <w:r>
              <w:rPr>
                <w:rFonts w:hint="eastAsia"/>
                <w:bCs/>
              </w:rPr>
              <w:t>11</w:t>
            </w:r>
          </w:p>
        </w:tc>
        <w:tc>
          <w:tcPr>
            <w:tcW w:w="895" w:type="pct"/>
            <w:vAlign w:val="center"/>
          </w:tcPr>
          <w:p w14:paraId="7C20C808" w14:textId="77777777" w:rsidR="003E78AB" w:rsidRDefault="00010BF9">
            <w:pPr>
              <w:pStyle w:val="aff6"/>
              <w:topLinePunct/>
              <w:rPr>
                <w:bCs/>
              </w:rPr>
            </w:pPr>
            <w:r>
              <w:rPr>
                <w:rFonts w:hint="eastAsia"/>
                <w:bCs/>
              </w:rPr>
              <w:t>哈密金盛镁业有限公司</w:t>
            </w:r>
          </w:p>
        </w:tc>
        <w:tc>
          <w:tcPr>
            <w:tcW w:w="336" w:type="pct"/>
            <w:vAlign w:val="center"/>
          </w:tcPr>
          <w:p w14:paraId="10A6CD67" w14:textId="77777777" w:rsidR="003E78AB" w:rsidRDefault="00010BF9">
            <w:pPr>
              <w:pStyle w:val="aff6"/>
              <w:topLinePunct/>
              <w:rPr>
                <w:bCs/>
              </w:rPr>
            </w:pPr>
            <w:r>
              <w:rPr>
                <w:rFonts w:hint="eastAsia"/>
                <w:bCs/>
              </w:rPr>
              <w:t>生产废气</w:t>
            </w:r>
          </w:p>
        </w:tc>
        <w:tc>
          <w:tcPr>
            <w:tcW w:w="1165" w:type="pct"/>
            <w:vAlign w:val="center"/>
          </w:tcPr>
          <w:p w14:paraId="6A22A196" w14:textId="77777777" w:rsidR="003E78AB" w:rsidRDefault="00010BF9">
            <w:pPr>
              <w:pStyle w:val="aff6"/>
              <w:topLinePunct/>
              <w:rPr>
                <w:bCs/>
              </w:rPr>
            </w:pPr>
            <w:r>
              <w:rPr>
                <w:rFonts w:hint="eastAsia"/>
                <w:bCs/>
              </w:rPr>
              <w:t>袋式除尘器</w:t>
            </w:r>
          </w:p>
        </w:tc>
        <w:tc>
          <w:tcPr>
            <w:tcW w:w="364" w:type="pct"/>
            <w:vAlign w:val="center"/>
          </w:tcPr>
          <w:p w14:paraId="4D9DE809" w14:textId="77777777" w:rsidR="003E78AB" w:rsidRDefault="00010BF9">
            <w:pPr>
              <w:pStyle w:val="aff6"/>
              <w:topLinePunct/>
              <w:rPr>
                <w:bCs/>
              </w:rPr>
            </w:pPr>
            <w:r>
              <w:rPr>
                <w:rFonts w:hint="eastAsia"/>
                <w:bCs/>
              </w:rPr>
              <w:t>122.68</w:t>
            </w:r>
          </w:p>
        </w:tc>
        <w:tc>
          <w:tcPr>
            <w:tcW w:w="382" w:type="pct"/>
            <w:vAlign w:val="center"/>
          </w:tcPr>
          <w:p w14:paraId="3DDB745E" w14:textId="77777777" w:rsidR="003E78AB" w:rsidRDefault="00010BF9">
            <w:pPr>
              <w:pStyle w:val="aff6"/>
              <w:topLinePunct/>
              <w:rPr>
                <w:bCs/>
              </w:rPr>
            </w:pPr>
            <w:r>
              <w:rPr>
                <w:rFonts w:hint="eastAsia"/>
                <w:bCs/>
              </w:rPr>
              <w:t>300.67</w:t>
            </w:r>
          </w:p>
        </w:tc>
        <w:tc>
          <w:tcPr>
            <w:tcW w:w="294" w:type="pct"/>
            <w:vAlign w:val="center"/>
          </w:tcPr>
          <w:p w14:paraId="270BFE7C" w14:textId="77777777" w:rsidR="003E78AB" w:rsidRDefault="00010BF9">
            <w:pPr>
              <w:pStyle w:val="aff6"/>
              <w:topLinePunct/>
              <w:rPr>
                <w:bCs/>
              </w:rPr>
            </w:pPr>
            <w:r>
              <w:rPr>
                <w:rFonts w:hint="eastAsia"/>
                <w:bCs/>
              </w:rPr>
              <w:t>0</w:t>
            </w:r>
          </w:p>
        </w:tc>
        <w:tc>
          <w:tcPr>
            <w:tcW w:w="347" w:type="pct"/>
            <w:vAlign w:val="center"/>
          </w:tcPr>
          <w:p w14:paraId="122EA7B4" w14:textId="77777777" w:rsidR="003E78AB" w:rsidRDefault="00010BF9">
            <w:pPr>
              <w:pStyle w:val="aff6"/>
              <w:topLinePunct/>
              <w:rPr>
                <w:bCs/>
              </w:rPr>
            </w:pPr>
            <w:r>
              <w:rPr>
                <w:rFonts w:hint="eastAsia"/>
                <w:bCs/>
              </w:rPr>
              <w:t>76.8375</w:t>
            </w:r>
          </w:p>
        </w:tc>
        <w:tc>
          <w:tcPr>
            <w:tcW w:w="1064" w:type="pct"/>
            <w:vAlign w:val="center"/>
          </w:tcPr>
          <w:p w14:paraId="22E450E6" w14:textId="77777777" w:rsidR="003E78AB" w:rsidRDefault="00010BF9">
            <w:pPr>
              <w:pStyle w:val="aff6"/>
              <w:topLinePunct/>
              <w:rPr>
                <w:bCs/>
              </w:rPr>
            </w:pPr>
            <w:r>
              <w:rPr>
                <w:rFonts w:hint="eastAsia"/>
                <w:bCs/>
              </w:rPr>
              <w:t>2021</w:t>
            </w:r>
            <w:r>
              <w:rPr>
                <w:rFonts w:hint="eastAsia"/>
                <w:bCs/>
              </w:rPr>
              <w:t>年度排污许可执行报告</w:t>
            </w:r>
          </w:p>
        </w:tc>
      </w:tr>
      <w:tr w:rsidR="003E78AB" w14:paraId="0AADA623" w14:textId="77777777">
        <w:trPr>
          <w:trHeight w:val="284"/>
        </w:trPr>
        <w:tc>
          <w:tcPr>
            <w:tcW w:w="150" w:type="pct"/>
            <w:vAlign w:val="center"/>
          </w:tcPr>
          <w:p w14:paraId="2509F859" w14:textId="77777777" w:rsidR="003E78AB" w:rsidRDefault="00010BF9">
            <w:pPr>
              <w:pStyle w:val="aff6"/>
              <w:topLinePunct/>
              <w:rPr>
                <w:bCs/>
              </w:rPr>
            </w:pPr>
            <w:r>
              <w:rPr>
                <w:rFonts w:hint="eastAsia"/>
                <w:bCs/>
              </w:rPr>
              <w:t>12</w:t>
            </w:r>
          </w:p>
        </w:tc>
        <w:tc>
          <w:tcPr>
            <w:tcW w:w="895" w:type="pct"/>
            <w:vAlign w:val="center"/>
          </w:tcPr>
          <w:p w14:paraId="0A894015" w14:textId="77777777" w:rsidR="003E78AB" w:rsidRDefault="00010BF9">
            <w:pPr>
              <w:pStyle w:val="aff6"/>
              <w:topLinePunct/>
              <w:rPr>
                <w:bCs/>
              </w:rPr>
            </w:pPr>
            <w:r>
              <w:rPr>
                <w:rFonts w:hint="eastAsia"/>
                <w:bCs/>
              </w:rPr>
              <w:t>新疆鑫涛硅业有限公司</w:t>
            </w:r>
          </w:p>
        </w:tc>
        <w:tc>
          <w:tcPr>
            <w:tcW w:w="336" w:type="pct"/>
            <w:vAlign w:val="center"/>
          </w:tcPr>
          <w:p w14:paraId="4E6C1F9F" w14:textId="77777777" w:rsidR="003E78AB" w:rsidRDefault="00010BF9">
            <w:pPr>
              <w:pStyle w:val="aff6"/>
              <w:topLinePunct/>
              <w:rPr>
                <w:bCs/>
              </w:rPr>
            </w:pPr>
            <w:r>
              <w:rPr>
                <w:rFonts w:hint="eastAsia"/>
                <w:bCs/>
              </w:rPr>
              <w:t>生产废气</w:t>
            </w:r>
          </w:p>
        </w:tc>
        <w:tc>
          <w:tcPr>
            <w:tcW w:w="1165" w:type="pct"/>
            <w:vAlign w:val="center"/>
          </w:tcPr>
          <w:p w14:paraId="2506073B" w14:textId="77777777" w:rsidR="003E78AB" w:rsidRDefault="00010BF9">
            <w:pPr>
              <w:pStyle w:val="aff6"/>
              <w:topLinePunct/>
              <w:rPr>
                <w:bCs/>
              </w:rPr>
            </w:pPr>
            <w:r>
              <w:rPr>
                <w:rFonts w:hint="eastAsia"/>
                <w:bCs/>
              </w:rPr>
              <w:t>年产</w:t>
            </w:r>
            <w:r>
              <w:rPr>
                <w:rFonts w:hint="eastAsia"/>
                <w:bCs/>
              </w:rPr>
              <w:t>10</w:t>
            </w:r>
            <w:r>
              <w:rPr>
                <w:rFonts w:hint="eastAsia"/>
                <w:bCs/>
              </w:rPr>
              <w:t>万吨工业硅</w:t>
            </w:r>
          </w:p>
        </w:tc>
        <w:tc>
          <w:tcPr>
            <w:tcW w:w="364" w:type="pct"/>
            <w:vAlign w:val="center"/>
          </w:tcPr>
          <w:p w14:paraId="73502E8F" w14:textId="77777777" w:rsidR="003E78AB" w:rsidRDefault="00010BF9">
            <w:pPr>
              <w:pStyle w:val="aff6"/>
              <w:topLinePunct/>
              <w:rPr>
                <w:bCs/>
              </w:rPr>
            </w:pPr>
            <w:r>
              <w:rPr>
                <w:rFonts w:hint="eastAsia"/>
                <w:bCs/>
              </w:rPr>
              <w:t>842</w:t>
            </w:r>
          </w:p>
        </w:tc>
        <w:tc>
          <w:tcPr>
            <w:tcW w:w="382" w:type="pct"/>
            <w:vAlign w:val="center"/>
          </w:tcPr>
          <w:p w14:paraId="661712C4" w14:textId="77777777" w:rsidR="003E78AB" w:rsidRDefault="00010BF9">
            <w:pPr>
              <w:pStyle w:val="aff6"/>
              <w:topLinePunct/>
              <w:rPr>
                <w:bCs/>
              </w:rPr>
            </w:pPr>
            <w:r>
              <w:rPr>
                <w:rFonts w:hint="eastAsia"/>
                <w:bCs/>
              </w:rPr>
              <w:t>389</w:t>
            </w:r>
          </w:p>
        </w:tc>
        <w:tc>
          <w:tcPr>
            <w:tcW w:w="294" w:type="pct"/>
            <w:vAlign w:val="center"/>
          </w:tcPr>
          <w:p w14:paraId="1E37DBEC" w14:textId="77777777" w:rsidR="003E78AB" w:rsidRDefault="003E78AB">
            <w:pPr>
              <w:pStyle w:val="aff6"/>
              <w:topLinePunct/>
              <w:rPr>
                <w:bCs/>
              </w:rPr>
            </w:pPr>
          </w:p>
        </w:tc>
        <w:tc>
          <w:tcPr>
            <w:tcW w:w="347" w:type="pct"/>
            <w:vAlign w:val="center"/>
          </w:tcPr>
          <w:p w14:paraId="5FFCA3BB" w14:textId="77777777" w:rsidR="003E78AB" w:rsidRDefault="003E78AB">
            <w:pPr>
              <w:pStyle w:val="aff6"/>
              <w:topLinePunct/>
              <w:rPr>
                <w:bCs/>
              </w:rPr>
            </w:pPr>
          </w:p>
        </w:tc>
        <w:tc>
          <w:tcPr>
            <w:tcW w:w="1064" w:type="pct"/>
            <w:vAlign w:val="center"/>
          </w:tcPr>
          <w:p w14:paraId="7A222335" w14:textId="77777777" w:rsidR="003E78AB" w:rsidRDefault="00010BF9">
            <w:pPr>
              <w:pStyle w:val="aff6"/>
              <w:topLinePunct/>
              <w:rPr>
                <w:bCs/>
              </w:rPr>
            </w:pPr>
            <w:r>
              <w:rPr>
                <w:rFonts w:hint="eastAsia"/>
                <w:bCs/>
              </w:rPr>
              <w:t>已批复的园区规划环评报告书</w:t>
            </w:r>
          </w:p>
        </w:tc>
      </w:tr>
      <w:tr w:rsidR="003E78AB" w14:paraId="31C52963" w14:textId="77777777">
        <w:trPr>
          <w:trHeight w:val="417"/>
        </w:trPr>
        <w:tc>
          <w:tcPr>
            <w:tcW w:w="2547" w:type="pct"/>
            <w:gridSpan w:val="4"/>
            <w:vAlign w:val="center"/>
          </w:tcPr>
          <w:p w14:paraId="42CB462F" w14:textId="77777777" w:rsidR="003E78AB" w:rsidRDefault="00010BF9">
            <w:pPr>
              <w:pStyle w:val="aff6"/>
              <w:topLinePunct/>
              <w:rPr>
                <w:bCs/>
              </w:rPr>
            </w:pPr>
            <w:r>
              <w:rPr>
                <w:rFonts w:hint="eastAsia"/>
                <w:bCs/>
              </w:rPr>
              <w:t>总计</w:t>
            </w:r>
          </w:p>
        </w:tc>
        <w:tc>
          <w:tcPr>
            <w:tcW w:w="364" w:type="pct"/>
            <w:vAlign w:val="center"/>
          </w:tcPr>
          <w:p w14:paraId="0B505F21" w14:textId="77777777" w:rsidR="003E78AB" w:rsidRDefault="00010BF9">
            <w:pPr>
              <w:pStyle w:val="aff6"/>
              <w:topLinePunct/>
              <w:rPr>
                <w:bCs/>
              </w:rPr>
            </w:pPr>
            <w:r>
              <w:rPr>
                <w:rFonts w:hint="eastAsia"/>
                <w:bCs/>
              </w:rPr>
              <w:t>1830.753</w:t>
            </w:r>
          </w:p>
        </w:tc>
        <w:tc>
          <w:tcPr>
            <w:tcW w:w="382" w:type="pct"/>
            <w:vAlign w:val="center"/>
          </w:tcPr>
          <w:p w14:paraId="255E379A" w14:textId="77777777" w:rsidR="003E78AB" w:rsidRDefault="00010BF9">
            <w:pPr>
              <w:pStyle w:val="aff6"/>
              <w:topLinePunct/>
              <w:rPr>
                <w:bCs/>
              </w:rPr>
            </w:pPr>
            <w:r>
              <w:rPr>
                <w:rFonts w:hint="eastAsia"/>
                <w:bCs/>
              </w:rPr>
              <w:t>1601.882</w:t>
            </w:r>
          </w:p>
        </w:tc>
        <w:tc>
          <w:tcPr>
            <w:tcW w:w="294" w:type="pct"/>
            <w:vAlign w:val="center"/>
          </w:tcPr>
          <w:p w14:paraId="2A87D4C8" w14:textId="77777777" w:rsidR="003E78AB" w:rsidRDefault="00010BF9">
            <w:pPr>
              <w:pStyle w:val="aff6"/>
              <w:topLinePunct/>
              <w:rPr>
                <w:bCs/>
              </w:rPr>
            </w:pPr>
            <w:r>
              <w:rPr>
                <w:rFonts w:hint="eastAsia"/>
                <w:bCs/>
              </w:rPr>
              <w:t>16.609</w:t>
            </w:r>
          </w:p>
        </w:tc>
        <w:tc>
          <w:tcPr>
            <w:tcW w:w="347" w:type="pct"/>
            <w:vAlign w:val="center"/>
          </w:tcPr>
          <w:p w14:paraId="37FABB39" w14:textId="77777777" w:rsidR="003E78AB" w:rsidRDefault="00010BF9">
            <w:pPr>
              <w:pStyle w:val="aff6"/>
              <w:topLinePunct/>
              <w:rPr>
                <w:bCs/>
              </w:rPr>
            </w:pPr>
            <w:r>
              <w:rPr>
                <w:rFonts w:hint="eastAsia"/>
                <w:bCs/>
              </w:rPr>
              <w:t>395.327</w:t>
            </w:r>
          </w:p>
        </w:tc>
        <w:tc>
          <w:tcPr>
            <w:tcW w:w="1064" w:type="pct"/>
            <w:vAlign w:val="center"/>
          </w:tcPr>
          <w:p w14:paraId="28ED46E3" w14:textId="77777777" w:rsidR="003E78AB" w:rsidRDefault="003E78AB">
            <w:pPr>
              <w:pStyle w:val="aff6"/>
              <w:topLinePunct/>
              <w:rPr>
                <w:bCs/>
              </w:rPr>
            </w:pPr>
          </w:p>
        </w:tc>
      </w:tr>
    </w:tbl>
    <w:p w14:paraId="73D19A45" w14:textId="77777777" w:rsidR="003E78AB" w:rsidRDefault="00010BF9">
      <w:pPr>
        <w:pStyle w:val="a0"/>
        <w:rPr>
          <w:rFonts w:hint="default"/>
          <w:bCs/>
        </w:rPr>
      </w:pPr>
      <w:r>
        <w:rPr>
          <w:bCs/>
        </w:rPr>
        <w:t>主要规模以上企业水污染物排放情况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891"/>
        <w:gridCol w:w="1622"/>
        <w:gridCol w:w="2016"/>
        <w:gridCol w:w="1505"/>
        <w:gridCol w:w="1253"/>
        <w:gridCol w:w="987"/>
        <w:gridCol w:w="987"/>
        <w:gridCol w:w="987"/>
        <w:gridCol w:w="995"/>
        <w:gridCol w:w="1284"/>
      </w:tblGrid>
      <w:tr w:rsidR="003E78AB" w14:paraId="1EB1CEB4" w14:textId="77777777">
        <w:trPr>
          <w:trHeight w:val="20"/>
          <w:tblHeader/>
        </w:trPr>
        <w:tc>
          <w:tcPr>
            <w:tcW w:w="228" w:type="pct"/>
            <w:vMerge w:val="restart"/>
            <w:vAlign w:val="center"/>
          </w:tcPr>
          <w:p w14:paraId="4B184B11" w14:textId="77777777" w:rsidR="003E78AB" w:rsidRDefault="00010BF9">
            <w:pPr>
              <w:pStyle w:val="aff6"/>
              <w:topLinePunct/>
              <w:rPr>
                <w:bCs/>
              </w:rPr>
            </w:pPr>
            <w:r>
              <w:rPr>
                <w:rFonts w:hint="eastAsia"/>
                <w:bCs/>
              </w:rPr>
              <w:t>序号</w:t>
            </w:r>
          </w:p>
        </w:tc>
        <w:tc>
          <w:tcPr>
            <w:tcW w:w="667" w:type="pct"/>
            <w:vMerge w:val="restart"/>
            <w:vAlign w:val="center"/>
          </w:tcPr>
          <w:p w14:paraId="7E04AAB5" w14:textId="77777777" w:rsidR="003E78AB" w:rsidRDefault="00010BF9">
            <w:pPr>
              <w:pStyle w:val="aff6"/>
              <w:topLinePunct/>
              <w:rPr>
                <w:bCs/>
              </w:rPr>
            </w:pPr>
            <w:r>
              <w:rPr>
                <w:rFonts w:hint="eastAsia"/>
                <w:bCs/>
              </w:rPr>
              <w:t>企业名称</w:t>
            </w:r>
          </w:p>
        </w:tc>
        <w:tc>
          <w:tcPr>
            <w:tcW w:w="572" w:type="pct"/>
            <w:vMerge w:val="restart"/>
            <w:vAlign w:val="center"/>
          </w:tcPr>
          <w:p w14:paraId="1415D24D" w14:textId="77777777" w:rsidR="003E78AB" w:rsidRDefault="00010BF9">
            <w:pPr>
              <w:pStyle w:val="aff6"/>
              <w:topLinePunct/>
              <w:rPr>
                <w:bCs/>
              </w:rPr>
            </w:pPr>
            <w:r>
              <w:rPr>
                <w:rFonts w:hint="eastAsia"/>
                <w:bCs/>
              </w:rPr>
              <w:t>污染类型</w:t>
            </w:r>
          </w:p>
        </w:tc>
        <w:tc>
          <w:tcPr>
            <w:tcW w:w="711" w:type="pct"/>
            <w:vMerge w:val="restart"/>
            <w:vAlign w:val="center"/>
          </w:tcPr>
          <w:p w14:paraId="243180DB" w14:textId="77777777" w:rsidR="003E78AB" w:rsidRDefault="00010BF9">
            <w:pPr>
              <w:pStyle w:val="aff6"/>
              <w:topLinePunct/>
              <w:rPr>
                <w:bCs/>
              </w:rPr>
            </w:pPr>
            <w:r>
              <w:rPr>
                <w:rFonts w:hint="eastAsia"/>
                <w:bCs/>
              </w:rPr>
              <w:t>治理措施</w:t>
            </w:r>
          </w:p>
        </w:tc>
        <w:tc>
          <w:tcPr>
            <w:tcW w:w="529" w:type="pct"/>
            <w:vMerge w:val="restart"/>
            <w:vAlign w:val="center"/>
          </w:tcPr>
          <w:p w14:paraId="1A2923D5" w14:textId="77777777" w:rsidR="003E78AB" w:rsidRDefault="00010BF9">
            <w:pPr>
              <w:pStyle w:val="aff6"/>
              <w:topLinePunct/>
              <w:rPr>
                <w:bCs/>
              </w:rPr>
            </w:pPr>
            <w:r>
              <w:rPr>
                <w:rFonts w:hint="eastAsia"/>
                <w:bCs/>
              </w:rPr>
              <w:t>排水去向</w:t>
            </w:r>
          </w:p>
        </w:tc>
        <w:tc>
          <w:tcPr>
            <w:tcW w:w="442" w:type="pct"/>
            <w:vMerge w:val="restart"/>
            <w:vAlign w:val="center"/>
          </w:tcPr>
          <w:p w14:paraId="375066CA" w14:textId="77777777" w:rsidR="003E78AB" w:rsidRDefault="00010BF9">
            <w:pPr>
              <w:pStyle w:val="aff6"/>
              <w:topLinePunct/>
              <w:rPr>
                <w:bCs/>
              </w:rPr>
            </w:pPr>
            <w:r>
              <w:rPr>
                <w:rFonts w:hint="eastAsia"/>
                <w:bCs/>
              </w:rPr>
              <w:t>废水排放量（</w:t>
            </w:r>
            <w:r>
              <w:rPr>
                <w:bCs/>
              </w:rPr>
              <w:t>t/a</w:t>
            </w:r>
            <w:r>
              <w:rPr>
                <w:bCs/>
              </w:rPr>
              <w:t>）</w:t>
            </w:r>
          </w:p>
        </w:tc>
        <w:tc>
          <w:tcPr>
            <w:tcW w:w="1395" w:type="pct"/>
            <w:gridSpan w:val="4"/>
            <w:vAlign w:val="center"/>
          </w:tcPr>
          <w:p w14:paraId="22842701" w14:textId="77777777" w:rsidR="003E78AB" w:rsidRDefault="00010BF9">
            <w:pPr>
              <w:pStyle w:val="aff6"/>
              <w:topLinePunct/>
              <w:rPr>
                <w:bCs/>
              </w:rPr>
            </w:pPr>
            <w:r>
              <w:rPr>
                <w:rFonts w:hint="eastAsia"/>
                <w:bCs/>
              </w:rPr>
              <w:t>主要污染物排放量（</w:t>
            </w:r>
            <w:r>
              <w:rPr>
                <w:bCs/>
              </w:rPr>
              <w:t>t/a</w:t>
            </w:r>
            <w:r>
              <w:rPr>
                <w:bCs/>
              </w:rPr>
              <w:t>）</w:t>
            </w:r>
          </w:p>
        </w:tc>
        <w:tc>
          <w:tcPr>
            <w:tcW w:w="453" w:type="pct"/>
            <w:vMerge w:val="restart"/>
            <w:vAlign w:val="center"/>
          </w:tcPr>
          <w:p w14:paraId="42D9201D" w14:textId="77777777" w:rsidR="003E78AB" w:rsidRDefault="00010BF9">
            <w:pPr>
              <w:pStyle w:val="aff6"/>
              <w:topLinePunct/>
              <w:rPr>
                <w:bCs/>
              </w:rPr>
            </w:pPr>
            <w:r>
              <w:rPr>
                <w:rFonts w:hint="eastAsia"/>
                <w:bCs/>
              </w:rPr>
              <w:t>数据来源</w:t>
            </w:r>
          </w:p>
        </w:tc>
      </w:tr>
      <w:tr w:rsidR="003E78AB" w14:paraId="3933C3C9" w14:textId="77777777">
        <w:trPr>
          <w:trHeight w:val="20"/>
          <w:tblHeader/>
        </w:trPr>
        <w:tc>
          <w:tcPr>
            <w:tcW w:w="228" w:type="pct"/>
            <w:vMerge/>
            <w:vAlign w:val="center"/>
          </w:tcPr>
          <w:p w14:paraId="2653A4E3" w14:textId="77777777" w:rsidR="003E78AB" w:rsidRDefault="003E78AB">
            <w:pPr>
              <w:pStyle w:val="aff6"/>
              <w:topLinePunct/>
              <w:rPr>
                <w:bCs/>
              </w:rPr>
            </w:pPr>
          </w:p>
        </w:tc>
        <w:tc>
          <w:tcPr>
            <w:tcW w:w="667" w:type="pct"/>
            <w:vMerge/>
            <w:vAlign w:val="center"/>
          </w:tcPr>
          <w:p w14:paraId="71E9559B" w14:textId="77777777" w:rsidR="003E78AB" w:rsidRDefault="003E78AB">
            <w:pPr>
              <w:pStyle w:val="aff6"/>
              <w:topLinePunct/>
              <w:rPr>
                <w:bCs/>
              </w:rPr>
            </w:pPr>
          </w:p>
        </w:tc>
        <w:tc>
          <w:tcPr>
            <w:tcW w:w="572" w:type="pct"/>
            <w:vMerge/>
            <w:vAlign w:val="center"/>
          </w:tcPr>
          <w:p w14:paraId="1F85FD8B" w14:textId="77777777" w:rsidR="003E78AB" w:rsidRDefault="003E78AB">
            <w:pPr>
              <w:pStyle w:val="aff6"/>
              <w:topLinePunct/>
              <w:rPr>
                <w:bCs/>
              </w:rPr>
            </w:pPr>
          </w:p>
        </w:tc>
        <w:tc>
          <w:tcPr>
            <w:tcW w:w="711" w:type="pct"/>
            <w:vMerge/>
            <w:vAlign w:val="center"/>
          </w:tcPr>
          <w:p w14:paraId="725C7610" w14:textId="77777777" w:rsidR="003E78AB" w:rsidRDefault="003E78AB">
            <w:pPr>
              <w:pStyle w:val="aff6"/>
              <w:topLinePunct/>
              <w:rPr>
                <w:bCs/>
              </w:rPr>
            </w:pPr>
          </w:p>
        </w:tc>
        <w:tc>
          <w:tcPr>
            <w:tcW w:w="529" w:type="pct"/>
            <w:vMerge/>
            <w:vAlign w:val="center"/>
          </w:tcPr>
          <w:p w14:paraId="602A4955" w14:textId="77777777" w:rsidR="003E78AB" w:rsidRDefault="003E78AB">
            <w:pPr>
              <w:pStyle w:val="aff6"/>
              <w:topLinePunct/>
              <w:rPr>
                <w:bCs/>
              </w:rPr>
            </w:pPr>
          </w:p>
        </w:tc>
        <w:tc>
          <w:tcPr>
            <w:tcW w:w="442" w:type="pct"/>
            <w:vMerge/>
            <w:vAlign w:val="center"/>
          </w:tcPr>
          <w:p w14:paraId="514C3618" w14:textId="77777777" w:rsidR="003E78AB" w:rsidRDefault="003E78AB">
            <w:pPr>
              <w:pStyle w:val="aff6"/>
              <w:topLinePunct/>
              <w:rPr>
                <w:bCs/>
              </w:rPr>
            </w:pPr>
          </w:p>
        </w:tc>
        <w:tc>
          <w:tcPr>
            <w:tcW w:w="348" w:type="pct"/>
            <w:vAlign w:val="center"/>
          </w:tcPr>
          <w:p w14:paraId="73C405FD" w14:textId="77777777" w:rsidR="003E78AB" w:rsidRDefault="00010BF9">
            <w:pPr>
              <w:pStyle w:val="aff6"/>
              <w:topLinePunct/>
              <w:rPr>
                <w:bCs/>
              </w:rPr>
            </w:pPr>
            <w:r>
              <w:rPr>
                <w:bCs/>
              </w:rPr>
              <w:t>COD</w:t>
            </w:r>
          </w:p>
        </w:tc>
        <w:tc>
          <w:tcPr>
            <w:tcW w:w="348" w:type="pct"/>
            <w:vAlign w:val="center"/>
          </w:tcPr>
          <w:p w14:paraId="4226C1DB" w14:textId="77777777" w:rsidR="003E78AB" w:rsidRDefault="00010BF9">
            <w:pPr>
              <w:pStyle w:val="aff6"/>
              <w:topLinePunct/>
              <w:rPr>
                <w:bCs/>
              </w:rPr>
            </w:pPr>
            <w:r>
              <w:rPr>
                <w:bCs/>
              </w:rPr>
              <w:t>BOD</w:t>
            </w:r>
            <w:r>
              <w:rPr>
                <w:bCs/>
                <w:vertAlign w:val="subscript"/>
              </w:rPr>
              <w:t>5</w:t>
            </w:r>
          </w:p>
        </w:tc>
        <w:tc>
          <w:tcPr>
            <w:tcW w:w="348" w:type="pct"/>
            <w:vAlign w:val="center"/>
          </w:tcPr>
          <w:p w14:paraId="63E7CDA4" w14:textId="77777777" w:rsidR="003E78AB" w:rsidRDefault="00010BF9">
            <w:pPr>
              <w:pStyle w:val="aff6"/>
              <w:topLinePunct/>
              <w:rPr>
                <w:bCs/>
              </w:rPr>
            </w:pPr>
            <w:r>
              <w:rPr>
                <w:bCs/>
              </w:rPr>
              <w:t>SS</w:t>
            </w:r>
          </w:p>
        </w:tc>
        <w:tc>
          <w:tcPr>
            <w:tcW w:w="349" w:type="pct"/>
            <w:vAlign w:val="center"/>
          </w:tcPr>
          <w:p w14:paraId="4EC8F9AC" w14:textId="77777777" w:rsidR="003E78AB" w:rsidRDefault="00010BF9">
            <w:pPr>
              <w:pStyle w:val="aff6"/>
              <w:topLinePunct/>
              <w:rPr>
                <w:bCs/>
              </w:rPr>
            </w:pPr>
            <w:r>
              <w:rPr>
                <w:bCs/>
              </w:rPr>
              <w:t>NH</w:t>
            </w:r>
            <w:r>
              <w:rPr>
                <w:bCs/>
                <w:vertAlign w:val="subscript"/>
              </w:rPr>
              <w:t>3</w:t>
            </w:r>
            <w:r>
              <w:rPr>
                <w:bCs/>
              </w:rPr>
              <w:t>-N</w:t>
            </w:r>
          </w:p>
        </w:tc>
        <w:tc>
          <w:tcPr>
            <w:tcW w:w="453" w:type="pct"/>
            <w:vMerge/>
            <w:vAlign w:val="center"/>
          </w:tcPr>
          <w:p w14:paraId="0F1F274F" w14:textId="77777777" w:rsidR="003E78AB" w:rsidRDefault="003E78AB">
            <w:pPr>
              <w:pStyle w:val="aff6"/>
              <w:topLinePunct/>
              <w:rPr>
                <w:bCs/>
              </w:rPr>
            </w:pPr>
          </w:p>
        </w:tc>
      </w:tr>
      <w:tr w:rsidR="003E78AB" w14:paraId="4CF30505" w14:textId="77777777">
        <w:trPr>
          <w:trHeight w:val="20"/>
        </w:trPr>
        <w:tc>
          <w:tcPr>
            <w:tcW w:w="4546" w:type="pct"/>
            <w:gridSpan w:val="10"/>
            <w:vAlign w:val="center"/>
          </w:tcPr>
          <w:p w14:paraId="11EAD7CE" w14:textId="77777777" w:rsidR="003E78AB" w:rsidRDefault="00010BF9">
            <w:pPr>
              <w:pStyle w:val="aff6"/>
              <w:topLinePunct/>
              <w:rPr>
                <w:bCs/>
              </w:rPr>
            </w:pPr>
            <w:r>
              <w:rPr>
                <w:rFonts w:hint="eastAsia"/>
                <w:bCs/>
              </w:rPr>
              <w:t>南部循环经济产业园</w:t>
            </w:r>
          </w:p>
        </w:tc>
        <w:tc>
          <w:tcPr>
            <w:tcW w:w="453" w:type="pct"/>
            <w:vMerge/>
            <w:vAlign w:val="center"/>
          </w:tcPr>
          <w:p w14:paraId="7965AEE2" w14:textId="77777777" w:rsidR="003E78AB" w:rsidRDefault="003E78AB">
            <w:pPr>
              <w:pStyle w:val="aff6"/>
              <w:topLinePunct/>
              <w:rPr>
                <w:bCs/>
              </w:rPr>
            </w:pPr>
          </w:p>
        </w:tc>
      </w:tr>
      <w:tr w:rsidR="003E78AB" w14:paraId="36B9CEF5" w14:textId="77777777">
        <w:trPr>
          <w:trHeight w:val="20"/>
        </w:trPr>
        <w:tc>
          <w:tcPr>
            <w:tcW w:w="228" w:type="pct"/>
            <w:vAlign w:val="center"/>
          </w:tcPr>
          <w:p w14:paraId="22146078" w14:textId="77777777" w:rsidR="003E78AB" w:rsidRDefault="00010BF9">
            <w:pPr>
              <w:pStyle w:val="aff6"/>
              <w:topLinePunct/>
              <w:rPr>
                <w:bCs/>
              </w:rPr>
            </w:pPr>
            <w:r>
              <w:rPr>
                <w:bCs/>
              </w:rPr>
              <w:t>1</w:t>
            </w:r>
          </w:p>
        </w:tc>
        <w:tc>
          <w:tcPr>
            <w:tcW w:w="667" w:type="pct"/>
            <w:vAlign w:val="center"/>
          </w:tcPr>
          <w:p w14:paraId="02C5924C" w14:textId="77777777" w:rsidR="003E78AB" w:rsidRDefault="00010BF9">
            <w:pPr>
              <w:pStyle w:val="aff6"/>
              <w:topLinePunct/>
              <w:rPr>
                <w:bCs/>
              </w:rPr>
            </w:pPr>
            <w:r>
              <w:rPr>
                <w:rFonts w:hint="eastAsia"/>
                <w:bCs/>
              </w:rPr>
              <w:t>哈密新天山水泥有限责任公司</w:t>
            </w:r>
          </w:p>
        </w:tc>
        <w:tc>
          <w:tcPr>
            <w:tcW w:w="572" w:type="pct"/>
            <w:vAlign w:val="center"/>
          </w:tcPr>
          <w:p w14:paraId="708A11A6" w14:textId="77777777" w:rsidR="003E78AB" w:rsidRDefault="00010BF9">
            <w:pPr>
              <w:pStyle w:val="aff6"/>
              <w:topLinePunct/>
              <w:rPr>
                <w:bCs/>
              </w:rPr>
            </w:pPr>
            <w:r>
              <w:rPr>
                <w:rFonts w:hint="eastAsia"/>
                <w:bCs/>
              </w:rPr>
              <w:t>循环冷却排水、余热锅炉排污水、辅助设施排水</w:t>
            </w:r>
          </w:p>
        </w:tc>
        <w:tc>
          <w:tcPr>
            <w:tcW w:w="711" w:type="pct"/>
            <w:vAlign w:val="center"/>
          </w:tcPr>
          <w:p w14:paraId="7BD3F54E" w14:textId="77777777" w:rsidR="003E78AB" w:rsidRDefault="00010BF9">
            <w:pPr>
              <w:pStyle w:val="aff6"/>
              <w:topLinePunct/>
              <w:rPr>
                <w:bCs/>
              </w:rPr>
            </w:pPr>
            <w:r>
              <w:rPr>
                <w:rFonts w:hint="eastAsia"/>
                <w:bCs/>
              </w:rPr>
              <w:t>地埋式生物接触氧化污水处理设施</w:t>
            </w:r>
          </w:p>
        </w:tc>
        <w:tc>
          <w:tcPr>
            <w:tcW w:w="529" w:type="pct"/>
            <w:vAlign w:val="center"/>
          </w:tcPr>
          <w:p w14:paraId="0D76A6C1" w14:textId="77777777" w:rsidR="003E78AB" w:rsidRDefault="00010BF9">
            <w:pPr>
              <w:pStyle w:val="aff6"/>
              <w:topLinePunct/>
              <w:rPr>
                <w:bCs/>
              </w:rPr>
            </w:pPr>
            <w:r>
              <w:rPr>
                <w:rFonts w:hint="eastAsia"/>
                <w:bCs/>
              </w:rPr>
              <w:t>本厂回用</w:t>
            </w:r>
          </w:p>
        </w:tc>
        <w:tc>
          <w:tcPr>
            <w:tcW w:w="442" w:type="pct"/>
            <w:vAlign w:val="center"/>
          </w:tcPr>
          <w:p w14:paraId="1BE7DF81" w14:textId="77777777" w:rsidR="003E78AB" w:rsidRDefault="00010BF9">
            <w:pPr>
              <w:pStyle w:val="aff6"/>
              <w:topLinePunct/>
              <w:rPr>
                <w:bCs/>
              </w:rPr>
            </w:pPr>
            <w:r>
              <w:rPr>
                <w:bCs/>
              </w:rPr>
              <w:t>103850</w:t>
            </w:r>
          </w:p>
        </w:tc>
        <w:tc>
          <w:tcPr>
            <w:tcW w:w="348" w:type="pct"/>
            <w:vAlign w:val="center"/>
          </w:tcPr>
          <w:p w14:paraId="297623D8" w14:textId="77777777" w:rsidR="003E78AB" w:rsidRDefault="00010BF9">
            <w:pPr>
              <w:pStyle w:val="aff6"/>
              <w:topLinePunct/>
              <w:rPr>
                <w:bCs/>
              </w:rPr>
            </w:pPr>
            <w:r>
              <w:rPr>
                <w:bCs/>
              </w:rPr>
              <w:t>11.01</w:t>
            </w:r>
          </w:p>
        </w:tc>
        <w:tc>
          <w:tcPr>
            <w:tcW w:w="348" w:type="pct"/>
            <w:vAlign w:val="center"/>
          </w:tcPr>
          <w:p w14:paraId="3449CFFD" w14:textId="77777777" w:rsidR="003E78AB" w:rsidRDefault="00010BF9">
            <w:pPr>
              <w:pStyle w:val="aff6"/>
              <w:topLinePunct/>
              <w:rPr>
                <w:bCs/>
              </w:rPr>
            </w:pPr>
            <w:r>
              <w:rPr>
                <w:bCs/>
              </w:rPr>
              <w:t>2.75</w:t>
            </w:r>
          </w:p>
        </w:tc>
        <w:tc>
          <w:tcPr>
            <w:tcW w:w="348" w:type="pct"/>
            <w:vAlign w:val="center"/>
          </w:tcPr>
          <w:p w14:paraId="0EBCF16F" w14:textId="77777777" w:rsidR="003E78AB" w:rsidRDefault="00010BF9">
            <w:pPr>
              <w:pStyle w:val="aff6"/>
              <w:topLinePunct/>
              <w:rPr>
                <w:bCs/>
              </w:rPr>
            </w:pPr>
            <w:r>
              <w:rPr>
                <w:bCs/>
              </w:rPr>
              <w:t>8.8</w:t>
            </w:r>
          </w:p>
        </w:tc>
        <w:tc>
          <w:tcPr>
            <w:tcW w:w="349" w:type="pct"/>
            <w:vAlign w:val="center"/>
          </w:tcPr>
          <w:p w14:paraId="0186DE9C" w14:textId="77777777" w:rsidR="003E78AB" w:rsidRDefault="00010BF9">
            <w:pPr>
              <w:pStyle w:val="aff6"/>
              <w:topLinePunct/>
              <w:rPr>
                <w:bCs/>
              </w:rPr>
            </w:pPr>
            <w:r>
              <w:rPr>
                <w:bCs/>
              </w:rPr>
              <w:t>1.65</w:t>
            </w:r>
          </w:p>
        </w:tc>
        <w:tc>
          <w:tcPr>
            <w:tcW w:w="453" w:type="pct"/>
            <w:vAlign w:val="center"/>
          </w:tcPr>
          <w:p w14:paraId="2E16AB63" w14:textId="77777777" w:rsidR="003E78AB" w:rsidRDefault="00010BF9">
            <w:pPr>
              <w:pStyle w:val="aff6"/>
              <w:topLinePunct/>
              <w:rPr>
                <w:bCs/>
              </w:rPr>
            </w:pPr>
            <w:r>
              <w:rPr>
                <w:rFonts w:hint="eastAsia"/>
                <w:bCs/>
              </w:rPr>
              <w:t>已批复的园区规划环评报告书</w:t>
            </w:r>
          </w:p>
        </w:tc>
      </w:tr>
      <w:tr w:rsidR="003E78AB" w14:paraId="764B189F" w14:textId="77777777">
        <w:trPr>
          <w:trHeight w:val="20"/>
        </w:trPr>
        <w:tc>
          <w:tcPr>
            <w:tcW w:w="228" w:type="pct"/>
            <w:vAlign w:val="center"/>
          </w:tcPr>
          <w:p w14:paraId="114551C1" w14:textId="77777777" w:rsidR="003E78AB" w:rsidRDefault="00010BF9">
            <w:pPr>
              <w:pStyle w:val="aff6"/>
              <w:topLinePunct/>
              <w:rPr>
                <w:bCs/>
              </w:rPr>
            </w:pPr>
            <w:r>
              <w:rPr>
                <w:bCs/>
              </w:rPr>
              <w:t>2</w:t>
            </w:r>
          </w:p>
        </w:tc>
        <w:tc>
          <w:tcPr>
            <w:tcW w:w="667" w:type="pct"/>
            <w:vAlign w:val="center"/>
          </w:tcPr>
          <w:p w14:paraId="2B5E1283" w14:textId="77777777" w:rsidR="003E78AB" w:rsidRDefault="00010BF9">
            <w:pPr>
              <w:pStyle w:val="aff6"/>
              <w:topLinePunct/>
              <w:rPr>
                <w:bCs/>
              </w:rPr>
            </w:pPr>
            <w:r>
              <w:rPr>
                <w:rFonts w:hint="eastAsia"/>
                <w:bCs/>
              </w:rPr>
              <w:t>新疆富兴通风电装备制造有限公司</w:t>
            </w:r>
          </w:p>
        </w:tc>
        <w:tc>
          <w:tcPr>
            <w:tcW w:w="572" w:type="pct"/>
            <w:vAlign w:val="center"/>
          </w:tcPr>
          <w:p w14:paraId="52F8E44F" w14:textId="77777777" w:rsidR="003E78AB" w:rsidRDefault="00010BF9">
            <w:pPr>
              <w:pStyle w:val="aff6"/>
              <w:topLinePunct/>
              <w:rPr>
                <w:bCs/>
              </w:rPr>
            </w:pPr>
            <w:r>
              <w:rPr>
                <w:rFonts w:hint="eastAsia"/>
                <w:bCs/>
              </w:rPr>
              <w:t>生产废水</w:t>
            </w:r>
          </w:p>
        </w:tc>
        <w:tc>
          <w:tcPr>
            <w:tcW w:w="711" w:type="pct"/>
            <w:vAlign w:val="center"/>
          </w:tcPr>
          <w:p w14:paraId="315B97CC" w14:textId="77777777" w:rsidR="003E78AB" w:rsidRDefault="00010BF9">
            <w:pPr>
              <w:pStyle w:val="aff6"/>
              <w:topLinePunct/>
              <w:rPr>
                <w:bCs/>
              </w:rPr>
            </w:pPr>
            <w:r>
              <w:rPr>
                <w:rFonts w:hint="eastAsia"/>
                <w:bCs/>
              </w:rPr>
              <w:t>沉淀</w:t>
            </w:r>
          </w:p>
        </w:tc>
        <w:tc>
          <w:tcPr>
            <w:tcW w:w="529" w:type="pct"/>
            <w:vAlign w:val="center"/>
          </w:tcPr>
          <w:p w14:paraId="21DB3292" w14:textId="77777777" w:rsidR="003E78AB" w:rsidRDefault="00010BF9">
            <w:pPr>
              <w:pStyle w:val="aff6"/>
              <w:topLinePunct/>
              <w:rPr>
                <w:bCs/>
              </w:rPr>
            </w:pPr>
            <w:r>
              <w:rPr>
                <w:rFonts w:hint="eastAsia"/>
                <w:bCs/>
              </w:rPr>
              <w:t>本厂回用</w:t>
            </w:r>
          </w:p>
        </w:tc>
        <w:tc>
          <w:tcPr>
            <w:tcW w:w="442" w:type="pct"/>
            <w:vAlign w:val="center"/>
          </w:tcPr>
          <w:p w14:paraId="712FCD20" w14:textId="77777777" w:rsidR="003E78AB" w:rsidRDefault="00010BF9">
            <w:pPr>
              <w:pStyle w:val="aff6"/>
              <w:topLinePunct/>
              <w:rPr>
                <w:bCs/>
              </w:rPr>
            </w:pPr>
            <w:r>
              <w:rPr>
                <w:bCs/>
              </w:rPr>
              <w:t>420</w:t>
            </w:r>
          </w:p>
        </w:tc>
        <w:tc>
          <w:tcPr>
            <w:tcW w:w="348" w:type="pct"/>
            <w:vAlign w:val="center"/>
          </w:tcPr>
          <w:p w14:paraId="51DD2668" w14:textId="77777777" w:rsidR="003E78AB" w:rsidRDefault="00010BF9">
            <w:pPr>
              <w:pStyle w:val="aff6"/>
              <w:topLinePunct/>
              <w:rPr>
                <w:bCs/>
              </w:rPr>
            </w:pPr>
            <w:r>
              <w:rPr>
                <w:bCs/>
              </w:rPr>
              <w:t>0.17</w:t>
            </w:r>
          </w:p>
        </w:tc>
        <w:tc>
          <w:tcPr>
            <w:tcW w:w="348" w:type="pct"/>
            <w:vAlign w:val="center"/>
          </w:tcPr>
          <w:p w14:paraId="2C173F45" w14:textId="77777777" w:rsidR="003E78AB" w:rsidRDefault="00010BF9">
            <w:pPr>
              <w:pStyle w:val="aff6"/>
              <w:topLinePunct/>
              <w:rPr>
                <w:bCs/>
              </w:rPr>
            </w:pPr>
            <w:r>
              <w:rPr>
                <w:bCs/>
              </w:rPr>
              <w:t>0.084</w:t>
            </w:r>
          </w:p>
        </w:tc>
        <w:tc>
          <w:tcPr>
            <w:tcW w:w="348" w:type="pct"/>
            <w:vAlign w:val="center"/>
          </w:tcPr>
          <w:p w14:paraId="12E30B97" w14:textId="77777777" w:rsidR="003E78AB" w:rsidRDefault="00010BF9">
            <w:pPr>
              <w:pStyle w:val="aff6"/>
              <w:topLinePunct/>
              <w:rPr>
                <w:bCs/>
              </w:rPr>
            </w:pPr>
            <w:r>
              <w:rPr>
                <w:bCs/>
              </w:rPr>
              <w:t>0.092</w:t>
            </w:r>
          </w:p>
        </w:tc>
        <w:tc>
          <w:tcPr>
            <w:tcW w:w="349" w:type="pct"/>
            <w:vAlign w:val="center"/>
          </w:tcPr>
          <w:p w14:paraId="2B406B4F" w14:textId="77777777" w:rsidR="003E78AB" w:rsidRDefault="00010BF9">
            <w:pPr>
              <w:pStyle w:val="aff6"/>
              <w:topLinePunct/>
              <w:rPr>
                <w:bCs/>
              </w:rPr>
            </w:pPr>
            <w:r>
              <w:rPr>
                <w:bCs/>
              </w:rPr>
              <w:t>0.011</w:t>
            </w:r>
          </w:p>
        </w:tc>
        <w:tc>
          <w:tcPr>
            <w:tcW w:w="453" w:type="pct"/>
            <w:vAlign w:val="center"/>
          </w:tcPr>
          <w:p w14:paraId="61618C2A" w14:textId="77777777" w:rsidR="003E78AB" w:rsidRDefault="00010BF9">
            <w:pPr>
              <w:pStyle w:val="aff6"/>
              <w:topLinePunct/>
              <w:rPr>
                <w:bCs/>
              </w:rPr>
            </w:pPr>
            <w:r>
              <w:rPr>
                <w:rFonts w:hint="eastAsia"/>
                <w:bCs/>
              </w:rPr>
              <w:t>已批复的园区规划环评报告书</w:t>
            </w:r>
          </w:p>
        </w:tc>
      </w:tr>
      <w:tr w:rsidR="003E78AB" w14:paraId="0F9A4B2F" w14:textId="77777777">
        <w:trPr>
          <w:trHeight w:val="20"/>
        </w:trPr>
        <w:tc>
          <w:tcPr>
            <w:tcW w:w="228" w:type="pct"/>
            <w:vAlign w:val="center"/>
          </w:tcPr>
          <w:p w14:paraId="39FC8525" w14:textId="77777777" w:rsidR="003E78AB" w:rsidRDefault="00010BF9">
            <w:pPr>
              <w:pStyle w:val="aff6"/>
              <w:topLinePunct/>
              <w:rPr>
                <w:bCs/>
              </w:rPr>
            </w:pPr>
            <w:r>
              <w:rPr>
                <w:bCs/>
              </w:rPr>
              <w:t>3</w:t>
            </w:r>
          </w:p>
        </w:tc>
        <w:tc>
          <w:tcPr>
            <w:tcW w:w="667" w:type="pct"/>
            <w:vAlign w:val="center"/>
          </w:tcPr>
          <w:p w14:paraId="278CC02C" w14:textId="77777777" w:rsidR="003E78AB" w:rsidRDefault="00010BF9">
            <w:pPr>
              <w:pStyle w:val="aff6"/>
              <w:topLinePunct/>
              <w:rPr>
                <w:bCs/>
              </w:rPr>
            </w:pPr>
            <w:r>
              <w:rPr>
                <w:rFonts w:hint="eastAsia"/>
                <w:bCs/>
              </w:rPr>
              <w:t>哈密特力石化有限责任公司</w:t>
            </w:r>
          </w:p>
        </w:tc>
        <w:tc>
          <w:tcPr>
            <w:tcW w:w="572" w:type="pct"/>
            <w:vAlign w:val="center"/>
          </w:tcPr>
          <w:p w14:paraId="5DB528C1" w14:textId="77777777" w:rsidR="003E78AB" w:rsidRDefault="00010BF9">
            <w:pPr>
              <w:pStyle w:val="aff6"/>
              <w:topLinePunct/>
              <w:rPr>
                <w:bCs/>
              </w:rPr>
            </w:pPr>
            <w:r>
              <w:rPr>
                <w:rFonts w:hint="eastAsia"/>
                <w:bCs/>
              </w:rPr>
              <w:t>含油废水、地面冲洗水、化验废水</w:t>
            </w:r>
          </w:p>
        </w:tc>
        <w:tc>
          <w:tcPr>
            <w:tcW w:w="711" w:type="pct"/>
            <w:vAlign w:val="center"/>
          </w:tcPr>
          <w:p w14:paraId="09E96CFA" w14:textId="77777777" w:rsidR="003E78AB" w:rsidRDefault="00010BF9">
            <w:pPr>
              <w:pStyle w:val="aff6"/>
              <w:topLinePunct/>
              <w:rPr>
                <w:bCs/>
              </w:rPr>
            </w:pPr>
            <w:r>
              <w:rPr>
                <w:rFonts w:hint="eastAsia"/>
                <w:bCs/>
              </w:rPr>
              <w:t>隔油</w:t>
            </w:r>
            <w:r>
              <w:rPr>
                <w:bCs/>
              </w:rPr>
              <w:t>+</w:t>
            </w:r>
            <w:r>
              <w:rPr>
                <w:bCs/>
              </w:rPr>
              <w:t>气浮</w:t>
            </w:r>
            <w:r>
              <w:rPr>
                <w:bCs/>
              </w:rPr>
              <w:t>+</w:t>
            </w:r>
            <w:r>
              <w:rPr>
                <w:bCs/>
              </w:rPr>
              <w:t>水解</w:t>
            </w:r>
            <w:r>
              <w:rPr>
                <w:bCs/>
              </w:rPr>
              <w:t>+</w:t>
            </w:r>
            <w:r>
              <w:rPr>
                <w:bCs/>
              </w:rPr>
              <w:t>好氧</w:t>
            </w:r>
            <w:r>
              <w:rPr>
                <w:bCs/>
              </w:rPr>
              <w:t>+</w:t>
            </w:r>
            <w:r>
              <w:rPr>
                <w:bCs/>
              </w:rPr>
              <w:t>过滤</w:t>
            </w:r>
          </w:p>
        </w:tc>
        <w:tc>
          <w:tcPr>
            <w:tcW w:w="529" w:type="pct"/>
            <w:vAlign w:val="center"/>
          </w:tcPr>
          <w:p w14:paraId="5B0665C5" w14:textId="77777777" w:rsidR="003E78AB" w:rsidRDefault="00010BF9">
            <w:pPr>
              <w:pStyle w:val="aff6"/>
              <w:topLinePunct/>
              <w:rPr>
                <w:bCs/>
              </w:rPr>
            </w:pPr>
            <w:r>
              <w:rPr>
                <w:rFonts w:hint="eastAsia"/>
                <w:bCs/>
              </w:rPr>
              <w:t>重工业加工区污水处理厂</w:t>
            </w:r>
          </w:p>
        </w:tc>
        <w:tc>
          <w:tcPr>
            <w:tcW w:w="442" w:type="pct"/>
            <w:vAlign w:val="center"/>
          </w:tcPr>
          <w:p w14:paraId="1F7B2430" w14:textId="77777777" w:rsidR="003E78AB" w:rsidRDefault="00010BF9">
            <w:pPr>
              <w:pStyle w:val="aff6"/>
              <w:topLinePunct/>
              <w:rPr>
                <w:bCs/>
              </w:rPr>
            </w:pPr>
            <w:r>
              <w:rPr>
                <w:bCs/>
              </w:rPr>
              <w:t>3876</w:t>
            </w:r>
          </w:p>
        </w:tc>
        <w:tc>
          <w:tcPr>
            <w:tcW w:w="348" w:type="pct"/>
            <w:vAlign w:val="center"/>
          </w:tcPr>
          <w:p w14:paraId="5228154F" w14:textId="77777777" w:rsidR="003E78AB" w:rsidRDefault="00010BF9">
            <w:pPr>
              <w:pStyle w:val="aff6"/>
              <w:topLinePunct/>
              <w:rPr>
                <w:bCs/>
              </w:rPr>
            </w:pPr>
            <w:r>
              <w:rPr>
                <w:bCs/>
              </w:rPr>
              <w:t>0.677</w:t>
            </w:r>
          </w:p>
        </w:tc>
        <w:tc>
          <w:tcPr>
            <w:tcW w:w="348" w:type="pct"/>
            <w:vAlign w:val="center"/>
          </w:tcPr>
          <w:p w14:paraId="66C669AA" w14:textId="77777777" w:rsidR="003E78AB" w:rsidRDefault="00010BF9">
            <w:pPr>
              <w:pStyle w:val="aff6"/>
              <w:topLinePunct/>
              <w:rPr>
                <w:bCs/>
              </w:rPr>
            </w:pPr>
            <w:r>
              <w:rPr>
                <w:bCs/>
              </w:rPr>
              <w:t>0.294</w:t>
            </w:r>
          </w:p>
        </w:tc>
        <w:tc>
          <w:tcPr>
            <w:tcW w:w="348" w:type="pct"/>
            <w:vAlign w:val="center"/>
          </w:tcPr>
          <w:p w14:paraId="64D08329" w14:textId="77777777" w:rsidR="003E78AB" w:rsidRDefault="00010BF9">
            <w:pPr>
              <w:pStyle w:val="aff6"/>
              <w:topLinePunct/>
              <w:rPr>
                <w:bCs/>
              </w:rPr>
            </w:pPr>
            <w:r>
              <w:rPr>
                <w:bCs/>
              </w:rPr>
              <w:t>0.285</w:t>
            </w:r>
          </w:p>
        </w:tc>
        <w:tc>
          <w:tcPr>
            <w:tcW w:w="349" w:type="pct"/>
            <w:vAlign w:val="center"/>
          </w:tcPr>
          <w:p w14:paraId="2E44A505" w14:textId="77777777" w:rsidR="003E78AB" w:rsidRDefault="00010BF9">
            <w:pPr>
              <w:pStyle w:val="aff6"/>
              <w:topLinePunct/>
              <w:rPr>
                <w:bCs/>
              </w:rPr>
            </w:pPr>
            <w:r>
              <w:rPr>
                <w:bCs/>
              </w:rPr>
              <w:t>0.059</w:t>
            </w:r>
          </w:p>
        </w:tc>
        <w:tc>
          <w:tcPr>
            <w:tcW w:w="453" w:type="pct"/>
            <w:vAlign w:val="center"/>
          </w:tcPr>
          <w:p w14:paraId="1A7B8497" w14:textId="77777777" w:rsidR="003E78AB" w:rsidRDefault="00010BF9">
            <w:pPr>
              <w:pStyle w:val="aff6"/>
              <w:topLinePunct/>
              <w:rPr>
                <w:bCs/>
              </w:rPr>
            </w:pPr>
            <w:r>
              <w:rPr>
                <w:rFonts w:hint="eastAsia"/>
                <w:bCs/>
              </w:rPr>
              <w:t>已批复的园区规划环评报告书</w:t>
            </w:r>
          </w:p>
        </w:tc>
      </w:tr>
      <w:tr w:rsidR="003E78AB" w14:paraId="5048A9E1" w14:textId="77777777">
        <w:trPr>
          <w:trHeight w:val="20"/>
        </w:trPr>
        <w:tc>
          <w:tcPr>
            <w:tcW w:w="228" w:type="pct"/>
            <w:vAlign w:val="center"/>
          </w:tcPr>
          <w:p w14:paraId="2D42F1A3" w14:textId="77777777" w:rsidR="003E78AB" w:rsidRDefault="00010BF9">
            <w:pPr>
              <w:pStyle w:val="aff6"/>
              <w:topLinePunct/>
              <w:rPr>
                <w:bCs/>
              </w:rPr>
            </w:pPr>
            <w:r>
              <w:rPr>
                <w:bCs/>
              </w:rPr>
              <w:t>4</w:t>
            </w:r>
          </w:p>
        </w:tc>
        <w:tc>
          <w:tcPr>
            <w:tcW w:w="667" w:type="pct"/>
            <w:vAlign w:val="center"/>
          </w:tcPr>
          <w:p w14:paraId="7C3CD074" w14:textId="77777777" w:rsidR="003E78AB" w:rsidRDefault="00010BF9">
            <w:pPr>
              <w:pStyle w:val="aff6"/>
              <w:topLinePunct/>
              <w:rPr>
                <w:bCs/>
              </w:rPr>
            </w:pPr>
            <w:r>
              <w:rPr>
                <w:rFonts w:hint="eastAsia"/>
                <w:bCs/>
              </w:rPr>
              <w:t>哈密市兴利矿业有限公司</w:t>
            </w:r>
          </w:p>
        </w:tc>
        <w:tc>
          <w:tcPr>
            <w:tcW w:w="572" w:type="pct"/>
            <w:vAlign w:val="center"/>
          </w:tcPr>
          <w:p w14:paraId="4415F4F7" w14:textId="77777777" w:rsidR="003E78AB" w:rsidRDefault="00010BF9">
            <w:pPr>
              <w:pStyle w:val="aff6"/>
              <w:topLinePunct/>
              <w:rPr>
                <w:bCs/>
              </w:rPr>
            </w:pPr>
            <w:r>
              <w:rPr>
                <w:rFonts w:hint="eastAsia"/>
                <w:bCs/>
              </w:rPr>
              <w:t>生产废水</w:t>
            </w:r>
          </w:p>
        </w:tc>
        <w:tc>
          <w:tcPr>
            <w:tcW w:w="711" w:type="pct"/>
            <w:vAlign w:val="center"/>
          </w:tcPr>
          <w:p w14:paraId="19638744" w14:textId="77777777" w:rsidR="003E78AB" w:rsidRDefault="00010BF9">
            <w:pPr>
              <w:pStyle w:val="aff6"/>
              <w:topLinePunct/>
              <w:rPr>
                <w:bCs/>
              </w:rPr>
            </w:pPr>
            <w:r>
              <w:rPr>
                <w:rFonts w:hint="eastAsia"/>
                <w:bCs/>
              </w:rPr>
              <w:t>沉淀</w:t>
            </w:r>
          </w:p>
        </w:tc>
        <w:tc>
          <w:tcPr>
            <w:tcW w:w="529" w:type="pct"/>
            <w:vAlign w:val="center"/>
          </w:tcPr>
          <w:p w14:paraId="1A4905E2" w14:textId="77777777" w:rsidR="003E78AB" w:rsidRDefault="00010BF9">
            <w:pPr>
              <w:pStyle w:val="aff6"/>
              <w:topLinePunct/>
              <w:rPr>
                <w:bCs/>
              </w:rPr>
            </w:pPr>
            <w:r>
              <w:rPr>
                <w:rFonts w:hint="eastAsia"/>
                <w:bCs/>
              </w:rPr>
              <w:t>本厂回用</w:t>
            </w:r>
          </w:p>
        </w:tc>
        <w:tc>
          <w:tcPr>
            <w:tcW w:w="442" w:type="pct"/>
            <w:vAlign w:val="center"/>
          </w:tcPr>
          <w:p w14:paraId="7E738232" w14:textId="77777777" w:rsidR="003E78AB" w:rsidRDefault="00010BF9">
            <w:pPr>
              <w:pStyle w:val="aff6"/>
              <w:topLinePunct/>
              <w:rPr>
                <w:bCs/>
              </w:rPr>
            </w:pPr>
            <w:r>
              <w:rPr>
                <w:bCs/>
              </w:rPr>
              <w:t>37200</w:t>
            </w:r>
          </w:p>
        </w:tc>
        <w:tc>
          <w:tcPr>
            <w:tcW w:w="348" w:type="pct"/>
            <w:vAlign w:val="center"/>
          </w:tcPr>
          <w:p w14:paraId="3056A2DD" w14:textId="77777777" w:rsidR="003E78AB" w:rsidRDefault="00010BF9">
            <w:pPr>
              <w:pStyle w:val="aff6"/>
              <w:topLinePunct/>
              <w:rPr>
                <w:bCs/>
              </w:rPr>
            </w:pPr>
            <w:r>
              <w:rPr>
                <w:rFonts w:hint="eastAsia"/>
                <w:bCs/>
              </w:rPr>
              <w:t>/</w:t>
            </w:r>
          </w:p>
        </w:tc>
        <w:tc>
          <w:tcPr>
            <w:tcW w:w="348" w:type="pct"/>
            <w:vAlign w:val="center"/>
          </w:tcPr>
          <w:p w14:paraId="06B2C4F1" w14:textId="77777777" w:rsidR="003E78AB" w:rsidRDefault="00010BF9">
            <w:pPr>
              <w:pStyle w:val="aff6"/>
              <w:topLinePunct/>
              <w:rPr>
                <w:bCs/>
              </w:rPr>
            </w:pPr>
            <w:r>
              <w:rPr>
                <w:rFonts w:hint="eastAsia"/>
                <w:bCs/>
              </w:rPr>
              <w:t>/</w:t>
            </w:r>
          </w:p>
        </w:tc>
        <w:tc>
          <w:tcPr>
            <w:tcW w:w="348" w:type="pct"/>
            <w:vAlign w:val="center"/>
          </w:tcPr>
          <w:p w14:paraId="1339FE10" w14:textId="77777777" w:rsidR="003E78AB" w:rsidRDefault="00010BF9">
            <w:pPr>
              <w:pStyle w:val="aff6"/>
              <w:topLinePunct/>
              <w:rPr>
                <w:bCs/>
              </w:rPr>
            </w:pPr>
            <w:r>
              <w:rPr>
                <w:rFonts w:hint="eastAsia"/>
                <w:bCs/>
              </w:rPr>
              <w:t>/</w:t>
            </w:r>
          </w:p>
        </w:tc>
        <w:tc>
          <w:tcPr>
            <w:tcW w:w="349" w:type="pct"/>
            <w:vAlign w:val="center"/>
          </w:tcPr>
          <w:p w14:paraId="32D45B3E" w14:textId="77777777" w:rsidR="003E78AB" w:rsidRDefault="00010BF9">
            <w:pPr>
              <w:pStyle w:val="aff6"/>
              <w:topLinePunct/>
              <w:rPr>
                <w:bCs/>
              </w:rPr>
            </w:pPr>
            <w:r>
              <w:rPr>
                <w:rFonts w:hint="eastAsia"/>
                <w:bCs/>
              </w:rPr>
              <w:t>/</w:t>
            </w:r>
          </w:p>
        </w:tc>
        <w:tc>
          <w:tcPr>
            <w:tcW w:w="453" w:type="pct"/>
            <w:vAlign w:val="center"/>
          </w:tcPr>
          <w:p w14:paraId="17BD328B" w14:textId="77777777" w:rsidR="003E78AB" w:rsidRDefault="00010BF9">
            <w:pPr>
              <w:pStyle w:val="aff6"/>
              <w:topLinePunct/>
              <w:rPr>
                <w:bCs/>
              </w:rPr>
            </w:pPr>
            <w:r>
              <w:rPr>
                <w:rFonts w:hint="eastAsia"/>
                <w:bCs/>
              </w:rPr>
              <w:t>已批复的园区规划环评报告书</w:t>
            </w:r>
          </w:p>
        </w:tc>
      </w:tr>
      <w:tr w:rsidR="003E78AB" w14:paraId="17E12160" w14:textId="77777777">
        <w:trPr>
          <w:trHeight w:val="20"/>
        </w:trPr>
        <w:tc>
          <w:tcPr>
            <w:tcW w:w="228" w:type="pct"/>
            <w:vAlign w:val="center"/>
          </w:tcPr>
          <w:p w14:paraId="0EA9FD19" w14:textId="77777777" w:rsidR="003E78AB" w:rsidRDefault="00010BF9">
            <w:pPr>
              <w:pStyle w:val="aff6"/>
              <w:topLinePunct/>
              <w:rPr>
                <w:bCs/>
              </w:rPr>
            </w:pPr>
            <w:r>
              <w:rPr>
                <w:bCs/>
              </w:rPr>
              <w:t>5</w:t>
            </w:r>
          </w:p>
        </w:tc>
        <w:tc>
          <w:tcPr>
            <w:tcW w:w="667" w:type="pct"/>
            <w:vAlign w:val="center"/>
          </w:tcPr>
          <w:p w14:paraId="2A5F7230" w14:textId="77777777" w:rsidR="003E78AB" w:rsidRDefault="00010BF9">
            <w:pPr>
              <w:pStyle w:val="aff6"/>
              <w:topLinePunct/>
              <w:rPr>
                <w:bCs/>
              </w:rPr>
            </w:pPr>
            <w:r>
              <w:rPr>
                <w:rFonts w:hint="eastAsia"/>
                <w:bCs/>
              </w:rPr>
              <w:t>哈密市中鑫矿业开发有限责任公司</w:t>
            </w:r>
          </w:p>
        </w:tc>
        <w:tc>
          <w:tcPr>
            <w:tcW w:w="572" w:type="pct"/>
            <w:vAlign w:val="center"/>
          </w:tcPr>
          <w:p w14:paraId="2AAC6791" w14:textId="77777777" w:rsidR="003E78AB" w:rsidRDefault="00010BF9">
            <w:pPr>
              <w:pStyle w:val="aff6"/>
              <w:topLinePunct/>
              <w:rPr>
                <w:bCs/>
              </w:rPr>
            </w:pPr>
            <w:r>
              <w:rPr>
                <w:rFonts w:hint="eastAsia"/>
                <w:bCs/>
              </w:rPr>
              <w:t>清洗废水</w:t>
            </w:r>
          </w:p>
        </w:tc>
        <w:tc>
          <w:tcPr>
            <w:tcW w:w="711" w:type="pct"/>
            <w:vAlign w:val="center"/>
          </w:tcPr>
          <w:p w14:paraId="330DEE22" w14:textId="77777777" w:rsidR="003E78AB" w:rsidRDefault="00010BF9">
            <w:pPr>
              <w:pStyle w:val="aff6"/>
              <w:topLinePunct/>
              <w:rPr>
                <w:bCs/>
              </w:rPr>
            </w:pPr>
            <w:r>
              <w:rPr>
                <w:rFonts w:hint="eastAsia"/>
                <w:bCs/>
              </w:rPr>
              <w:t>沉淀</w:t>
            </w:r>
          </w:p>
        </w:tc>
        <w:tc>
          <w:tcPr>
            <w:tcW w:w="529" w:type="pct"/>
            <w:vAlign w:val="center"/>
          </w:tcPr>
          <w:p w14:paraId="38755AA1" w14:textId="77777777" w:rsidR="003E78AB" w:rsidRDefault="00010BF9">
            <w:pPr>
              <w:pStyle w:val="aff6"/>
              <w:topLinePunct/>
              <w:rPr>
                <w:bCs/>
              </w:rPr>
            </w:pPr>
            <w:r>
              <w:rPr>
                <w:rFonts w:hint="eastAsia"/>
                <w:bCs/>
              </w:rPr>
              <w:t>本厂回用</w:t>
            </w:r>
          </w:p>
        </w:tc>
        <w:tc>
          <w:tcPr>
            <w:tcW w:w="442" w:type="pct"/>
            <w:vAlign w:val="center"/>
          </w:tcPr>
          <w:p w14:paraId="0922A8E2" w14:textId="77777777" w:rsidR="003E78AB" w:rsidRDefault="00010BF9">
            <w:pPr>
              <w:pStyle w:val="aff6"/>
              <w:topLinePunct/>
              <w:rPr>
                <w:bCs/>
              </w:rPr>
            </w:pPr>
            <w:r>
              <w:rPr>
                <w:bCs/>
              </w:rPr>
              <w:t>2400</w:t>
            </w:r>
          </w:p>
        </w:tc>
        <w:tc>
          <w:tcPr>
            <w:tcW w:w="348" w:type="pct"/>
            <w:vAlign w:val="center"/>
          </w:tcPr>
          <w:p w14:paraId="11B5AA24" w14:textId="77777777" w:rsidR="003E78AB" w:rsidRDefault="00010BF9">
            <w:pPr>
              <w:pStyle w:val="aff6"/>
              <w:topLinePunct/>
              <w:rPr>
                <w:bCs/>
              </w:rPr>
            </w:pPr>
            <w:r>
              <w:rPr>
                <w:bCs/>
              </w:rPr>
              <w:t>0.72</w:t>
            </w:r>
          </w:p>
        </w:tc>
        <w:tc>
          <w:tcPr>
            <w:tcW w:w="348" w:type="pct"/>
            <w:vAlign w:val="center"/>
          </w:tcPr>
          <w:p w14:paraId="014CD7DC" w14:textId="77777777" w:rsidR="003E78AB" w:rsidRDefault="00010BF9">
            <w:pPr>
              <w:pStyle w:val="aff6"/>
              <w:topLinePunct/>
              <w:rPr>
                <w:bCs/>
              </w:rPr>
            </w:pPr>
            <w:r>
              <w:rPr>
                <w:rFonts w:hint="eastAsia"/>
                <w:bCs/>
              </w:rPr>
              <w:t>/</w:t>
            </w:r>
          </w:p>
        </w:tc>
        <w:tc>
          <w:tcPr>
            <w:tcW w:w="348" w:type="pct"/>
            <w:vAlign w:val="center"/>
          </w:tcPr>
          <w:p w14:paraId="7C01CFE9" w14:textId="77777777" w:rsidR="003E78AB" w:rsidRDefault="00010BF9">
            <w:pPr>
              <w:pStyle w:val="aff6"/>
              <w:topLinePunct/>
              <w:rPr>
                <w:bCs/>
              </w:rPr>
            </w:pPr>
            <w:r>
              <w:rPr>
                <w:rFonts w:hint="eastAsia"/>
                <w:bCs/>
              </w:rPr>
              <w:t>/</w:t>
            </w:r>
          </w:p>
        </w:tc>
        <w:tc>
          <w:tcPr>
            <w:tcW w:w="349" w:type="pct"/>
            <w:vAlign w:val="center"/>
          </w:tcPr>
          <w:p w14:paraId="6C92184D" w14:textId="77777777" w:rsidR="003E78AB" w:rsidRDefault="00010BF9">
            <w:pPr>
              <w:pStyle w:val="aff6"/>
              <w:topLinePunct/>
              <w:rPr>
                <w:bCs/>
              </w:rPr>
            </w:pPr>
            <w:r>
              <w:rPr>
                <w:bCs/>
              </w:rPr>
              <w:t>0.072</w:t>
            </w:r>
          </w:p>
        </w:tc>
        <w:tc>
          <w:tcPr>
            <w:tcW w:w="453" w:type="pct"/>
            <w:vAlign w:val="center"/>
          </w:tcPr>
          <w:p w14:paraId="3BBB34B0" w14:textId="77777777" w:rsidR="003E78AB" w:rsidRDefault="00010BF9">
            <w:pPr>
              <w:pStyle w:val="aff6"/>
              <w:topLinePunct/>
              <w:rPr>
                <w:bCs/>
              </w:rPr>
            </w:pPr>
            <w:r>
              <w:rPr>
                <w:rFonts w:hint="eastAsia"/>
                <w:bCs/>
              </w:rPr>
              <w:t>已批复的园区规划环评报告书</w:t>
            </w:r>
          </w:p>
        </w:tc>
      </w:tr>
      <w:tr w:rsidR="003E78AB" w14:paraId="79A7B287" w14:textId="77777777">
        <w:trPr>
          <w:trHeight w:val="20"/>
        </w:trPr>
        <w:tc>
          <w:tcPr>
            <w:tcW w:w="228" w:type="pct"/>
            <w:vAlign w:val="center"/>
          </w:tcPr>
          <w:p w14:paraId="32CA26C2" w14:textId="77777777" w:rsidR="003E78AB" w:rsidRDefault="00010BF9">
            <w:pPr>
              <w:pStyle w:val="aff6"/>
              <w:topLinePunct/>
              <w:rPr>
                <w:bCs/>
              </w:rPr>
            </w:pPr>
            <w:r>
              <w:rPr>
                <w:bCs/>
              </w:rPr>
              <w:t>6</w:t>
            </w:r>
          </w:p>
        </w:tc>
        <w:tc>
          <w:tcPr>
            <w:tcW w:w="667" w:type="pct"/>
            <w:vAlign w:val="center"/>
          </w:tcPr>
          <w:p w14:paraId="103DB3E0" w14:textId="77777777" w:rsidR="003E78AB" w:rsidRDefault="00010BF9">
            <w:pPr>
              <w:pStyle w:val="aff6"/>
              <w:topLinePunct/>
              <w:rPr>
                <w:bCs/>
              </w:rPr>
            </w:pPr>
            <w:r>
              <w:rPr>
                <w:rFonts w:hint="eastAsia"/>
                <w:bCs/>
              </w:rPr>
              <w:t>哈密山河石材有限公司</w:t>
            </w:r>
          </w:p>
        </w:tc>
        <w:tc>
          <w:tcPr>
            <w:tcW w:w="572" w:type="pct"/>
            <w:vAlign w:val="center"/>
          </w:tcPr>
          <w:p w14:paraId="2A2A5239" w14:textId="77777777" w:rsidR="003E78AB" w:rsidRDefault="00010BF9">
            <w:pPr>
              <w:pStyle w:val="aff6"/>
              <w:topLinePunct/>
              <w:rPr>
                <w:bCs/>
              </w:rPr>
            </w:pPr>
            <w:r>
              <w:rPr>
                <w:rFonts w:hint="eastAsia"/>
                <w:bCs/>
              </w:rPr>
              <w:t>含悬浮物废水</w:t>
            </w:r>
          </w:p>
        </w:tc>
        <w:tc>
          <w:tcPr>
            <w:tcW w:w="711" w:type="pct"/>
            <w:vAlign w:val="center"/>
          </w:tcPr>
          <w:p w14:paraId="34A110E0" w14:textId="77777777" w:rsidR="003E78AB" w:rsidRDefault="00010BF9">
            <w:pPr>
              <w:pStyle w:val="aff6"/>
              <w:topLinePunct/>
              <w:rPr>
                <w:bCs/>
              </w:rPr>
            </w:pPr>
            <w:r>
              <w:rPr>
                <w:rFonts w:hint="eastAsia"/>
                <w:bCs/>
              </w:rPr>
              <w:t>沉淀</w:t>
            </w:r>
          </w:p>
        </w:tc>
        <w:tc>
          <w:tcPr>
            <w:tcW w:w="529" w:type="pct"/>
            <w:vAlign w:val="center"/>
          </w:tcPr>
          <w:p w14:paraId="221135BF" w14:textId="77777777" w:rsidR="003E78AB" w:rsidRDefault="00010BF9">
            <w:pPr>
              <w:pStyle w:val="aff6"/>
              <w:topLinePunct/>
              <w:rPr>
                <w:bCs/>
              </w:rPr>
            </w:pPr>
            <w:r>
              <w:rPr>
                <w:rFonts w:hint="eastAsia"/>
                <w:bCs/>
              </w:rPr>
              <w:t>本厂回用</w:t>
            </w:r>
          </w:p>
        </w:tc>
        <w:tc>
          <w:tcPr>
            <w:tcW w:w="442" w:type="pct"/>
            <w:vAlign w:val="center"/>
          </w:tcPr>
          <w:p w14:paraId="0947A819" w14:textId="77777777" w:rsidR="003E78AB" w:rsidRDefault="00010BF9">
            <w:pPr>
              <w:pStyle w:val="aff6"/>
              <w:topLinePunct/>
              <w:rPr>
                <w:bCs/>
              </w:rPr>
            </w:pPr>
            <w:r>
              <w:rPr>
                <w:bCs/>
              </w:rPr>
              <w:t>10000</w:t>
            </w:r>
          </w:p>
        </w:tc>
        <w:tc>
          <w:tcPr>
            <w:tcW w:w="348" w:type="pct"/>
            <w:vAlign w:val="center"/>
          </w:tcPr>
          <w:p w14:paraId="1D08740B" w14:textId="77777777" w:rsidR="003E78AB" w:rsidRDefault="00010BF9">
            <w:pPr>
              <w:pStyle w:val="aff6"/>
              <w:topLinePunct/>
              <w:rPr>
                <w:bCs/>
              </w:rPr>
            </w:pPr>
            <w:r>
              <w:rPr>
                <w:bCs/>
              </w:rPr>
              <w:t>0.053</w:t>
            </w:r>
          </w:p>
        </w:tc>
        <w:tc>
          <w:tcPr>
            <w:tcW w:w="348" w:type="pct"/>
            <w:vAlign w:val="center"/>
          </w:tcPr>
          <w:p w14:paraId="68587CDF" w14:textId="77777777" w:rsidR="003E78AB" w:rsidRDefault="00010BF9">
            <w:pPr>
              <w:pStyle w:val="aff6"/>
              <w:topLinePunct/>
              <w:rPr>
                <w:bCs/>
              </w:rPr>
            </w:pPr>
            <w:r>
              <w:rPr>
                <w:bCs/>
              </w:rPr>
              <w:t>0.032</w:t>
            </w:r>
          </w:p>
        </w:tc>
        <w:tc>
          <w:tcPr>
            <w:tcW w:w="348" w:type="pct"/>
            <w:vAlign w:val="center"/>
          </w:tcPr>
          <w:p w14:paraId="25BB5DAA" w14:textId="77777777" w:rsidR="003E78AB" w:rsidRDefault="00010BF9">
            <w:pPr>
              <w:pStyle w:val="aff6"/>
              <w:topLinePunct/>
              <w:rPr>
                <w:bCs/>
              </w:rPr>
            </w:pPr>
            <w:r>
              <w:rPr>
                <w:bCs/>
              </w:rPr>
              <w:t>0.032</w:t>
            </w:r>
          </w:p>
        </w:tc>
        <w:tc>
          <w:tcPr>
            <w:tcW w:w="349" w:type="pct"/>
            <w:vAlign w:val="center"/>
          </w:tcPr>
          <w:p w14:paraId="200516C1" w14:textId="77777777" w:rsidR="003E78AB" w:rsidRDefault="00010BF9">
            <w:pPr>
              <w:pStyle w:val="aff6"/>
              <w:topLinePunct/>
              <w:rPr>
                <w:bCs/>
              </w:rPr>
            </w:pPr>
            <w:r>
              <w:rPr>
                <w:bCs/>
              </w:rPr>
              <w:t>0.007</w:t>
            </w:r>
          </w:p>
        </w:tc>
        <w:tc>
          <w:tcPr>
            <w:tcW w:w="453" w:type="pct"/>
            <w:vAlign w:val="center"/>
          </w:tcPr>
          <w:p w14:paraId="7E46B556" w14:textId="77777777" w:rsidR="003E78AB" w:rsidRDefault="00010BF9">
            <w:pPr>
              <w:pStyle w:val="aff6"/>
              <w:topLinePunct/>
              <w:rPr>
                <w:bCs/>
              </w:rPr>
            </w:pPr>
            <w:r>
              <w:rPr>
                <w:rFonts w:hint="eastAsia"/>
                <w:bCs/>
              </w:rPr>
              <w:t>已批复的园区规划环评报告书</w:t>
            </w:r>
          </w:p>
        </w:tc>
      </w:tr>
      <w:tr w:rsidR="003E78AB" w14:paraId="67028E3B" w14:textId="77777777">
        <w:trPr>
          <w:trHeight w:val="20"/>
        </w:trPr>
        <w:tc>
          <w:tcPr>
            <w:tcW w:w="228" w:type="pct"/>
            <w:vAlign w:val="center"/>
          </w:tcPr>
          <w:p w14:paraId="3178E2D9" w14:textId="77777777" w:rsidR="003E78AB" w:rsidRDefault="00010BF9">
            <w:pPr>
              <w:pStyle w:val="aff6"/>
              <w:topLinePunct/>
              <w:rPr>
                <w:bCs/>
              </w:rPr>
            </w:pPr>
            <w:r>
              <w:rPr>
                <w:bCs/>
              </w:rPr>
              <w:t>7</w:t>
            </w:r>
          </w:p>
        </w:tc>
        <w:tc>
          <w:tcPr>
            <w:tcW w:w="667" w:type="pct"/>
            <w:vAlign w:val="center"/>
          </w:tcPr>
          <w:p w14:paraId="05A377C7" w14:textId="77777777" w:rsidR="003E78AB" w:rsidRDefault="00010BF9">
            <w:pPr>
              <w:pStyle w:val="aff6"/>
              <w:topLinePunct/>
              <w:rPr>
                <w:bCs/>
              </w:rPr>
            </w:pPr>
            <w:r>
              <w:rPr>
                <w:rFonts w:hint="eastAsia"/>
                <w:bCs/>
              </w:rPr>
              <w:t>哈密市华尔特石材厂</w:t>
            </w:r>
          </w:p>
        </w:tc>
        <w:tc>
          <w:tcPr>
            <w:tcW w:w="572" w:type="pct"/>
            <w:vAlign w:val="center"/>
          </w:tcPr>
          <w:p w14:paraId="6B36B1B5" w14:textId="77777777" w:rsidR="003E78AB" w:rsidRDefault="00010BF9">
            <w:pPr>
              <w:pStyle w:val="aff6"/>
              <w:topLinePunct/>
              <w:rPr>
                <w:bCs/>
              </w:rPr>
            </w:pPr>
            <w:r>
              <w:rPr>
                <w:rFonts w:hint="eastAsia"/>
                <w:bCs/>
              </w:rPr>
              <w:t>生产废水</w:t>
            </w:r>
          </w:p>
        </w:tc>
        <w:tc>
          <w:tcPr>
            <w:tcW w:w="711" w:type="pct"/>
            <w:vAlign w:val="center"/>
          </w:tcPr>
          <w:p w14:paraId="2C4C513C" w14:textId="77777777" w:rsidR="003E78AB" w:rsidRDefault="00010BF9">
            <w:pPr>
              <w:pStyle w:val="aff6"/>
              <w:topLinePunct/>
              <w:rPr>
                <w:bCs/>
              </w:rPr>
            </w:pPr>
            <w:r>
              <w:rPr>
                <w:rFonts w:hint="eastAsia"/>
                <w:bCs/>
              </w:rPr>
              <w:t>沉淀循环池</w:t>
            </w:r>
          </w:p>
        </w:tc>
        <w:tc>
          <w:tcPr>
            <w:tcW w:w="529" w:type="pct"/>
            <w:vAlign w:val="center"/>
          </w:tcPr>
          <w:p w14:paraId="06D5349B" w14:textId="77777777" w:rsidR="003E78AB" w:rsidRDefault="00010BF9">
            <w:pPr>
              <w:pStyle w:val="aff6"/>
              <w:topLinePunct/>
              <w:rPr>
                <w:bCs/>
              </w:rPr>
            </w:pPr>
            <w:r>
              <w:rPr>
                <w:rFonts w:hint="eastAsia"/>
                <w:bCs/>
              </w:rPr>
              <w:t>本厂回用</w:t>
            </w:r>
          </w:p>
        </w:tc>
        <w:tc>
          <w:tcPr>
            <w:tcW w:w="442" w:type="pct"/>
            <w:vAlign w:val="center"/>
          </w:tcPr>
          <w:p w14:paraId="3C4FCE90" w14:textId="77777777" w:rsidR="003E78AB" w:rsidRDefault="003E78AB">
            <w:pPr>
              <w:pStyle w:val="aff6"/>
              <w:topLinePunct/>
              <w:rPr>
                <w:bCs/>
              </w:rPr>
            </w:pPr>
          </w:p>
        </w:tc>
        <w:tc>
          <w:tcPr>
            <w:tcW w:w="348" w:type="pct"/>
            <w:vAlign w:val="center"/>
          </w:tcPr>
          <w:p w14:paraId="5CB44340" w14:textId="77777777" w:rsidR="003E78AB" w:rsidRDefault="00010BF9">
            <w:pPr>
              <w:pStyle w:val="aff6"/>
              <w:topLinePunct/>
              <w:rPr>
                <w:bCs/>
              </w:rPr>
            </w:pPr>
            <w:r>
              <w:rPr>
                <w:bCs/>
              </w:rPr>
              <w:t>0.11</w:t>
            </w:r>
          </w:p>
        </w:tc>
        <w:tc>
          <w:tcPr>
            <w:tcW w:w="348" w:type="pct"/>
            <w:vAlign w:val="center"/>
          </w:tcPr>
          <w:p w14:paraId="0A84DF65" w14:textId="77777777" w:rsidR="003E78AB" w:rsidRDefault="00010BF9">
            <w:pPr>
              <w:pStyle w:val="aff6"/>
              <w:topLinePunct/>
              <w:rPr>
                <w:bCs/>
              </w:rPr>
            </w:pPr>
            <w:r>
              <w:rPr>
                <w:bCs/>
              </w:rPr>
              <w:t>0.06</w:t>
            </w:r>
          </w:p>
        </w:tc>
        <w:tc>
          <w:tcPr>
            <w:tcW w:w="348" w:type="pct"/>
            <w:vAlign w:val="center"/>
          </w:tcPr>
          <w:p w14:paraId="267AE3CF" w14:textId="77777777" w:rsidR="003E78AB" w:rsidRDefault="00010BF9">
            <w:pPr>
              <w:pStyle w:val="aff6"/>
              <w:topLinePunct/>
              <w:rPr>
                <w:bCs/>
              </w:rPr>
            </w:pPr>
            <w:r>
              <w:rPr>
                <w:bCs/>
              </w:rPr>
              <w:t>0.05</w:t>
            </w:r>
          </w:p>
        </w:tc>
        <w:tc>
          <w:tcPr>
            <w:tcW w:w="349" w:type="pct"/>
            <w:vAlign w:val="center"/>
          </w:tcPr>
          <w:p w14:paraId="538245EE" w14:textId="77777777" w:rsidR="003E78AB" w:rsidRDefault="00010BF9">
            <w:pPr>
              <w:pStyle w:val="aff6"/>
              <w:topLinePunct/>
              <w:rPr>
                <w:bCs/>
              </w:rPr>
            </w:pPr>
            <w:r>
              <w:rPr>
                <w:bCs/>
              </w:rPr>
              <w:t>0.01</w:t>
            </w:r>
          </w:p>
        </w:tc>
        <w:tc>
          <w:tcPr>
            <w:tcW w:w="453" w:type="pct"/>
            <w:vAlign w:val="center"/>
          </w:tcPr>
          <w:p w14:paraId="47C18B1C" w14:textId="77777777" w:rsidR="003E78AB" w:rsidRDefault="00010BF9">
            <w:pPr>
              <w:pStyle w:val="aff6"/>
              <w:topLinePunct/>
              <w:rPr>
                <w:bCs/>
              </w:rPr>
            </w:pPr>
            <w:r>
              <w:rPr>
                <w:rFonts w:hint="eastAsia"/>
                <w:bCs/>
              </w:rPr>
              <w:t>已批复的园区规划环评报告书</w:t>
            </w:r>
          </w:p>
        </w:tc>
      </w:tr>
      <w:tr w:rsidR="003E78AB" w14:paraId="3DA438A1" w14:textId="77777777">
        <w:trPr>
          <w:trHeight w:val="20"/>
        </w:trPr>
        <w:tc>
          <w:tcPr>
            <w:tcW w:w="228" w:type="pct"/>
            <w:vAlign w:val="center"/>
          </w:tcPr>
          <w:p w14:paraId="68175E33" w14:textId="77777777" w:rsidR="003E78AB" w:rsidRDefault="00010BF9">
            <w:pPr>
              <w:pStyle w:val="aff6"/>
              <w:topLinePunct/>
              <w:rPr>
                <w:bCs/>
              </w:rPr>
            </w:pPr>
            <w:r>
              <w:rPr>
                <w:bCs/>
              </w:rPr>
              <w:t>8</w:t>
            </w:r>
          </w:p>
        </w:tc>
        <w:tc>
          <w:tcPr>
            <w:tcW w:w="667" w:type="pct"/>
            <w:vAlign w:val="center"/>
          </w:tcPr>
          <w:p w14:paraId="6385B287" w14:textId="77777777" w:rsidR="003E78AB" w:rsidRDefault="00010BF9">
            <w:pPr>
              <w:pStyle w:val="aff6"/>
              <w:topLinePunct/>
              <w:rPr>
                <w:bCs/>
              </w:rPr>
            </w:pPr>
            <w:r>
              <w:rPr>
                <w:rFonts w:hint="eastAsia"/>
                <w:bCs/>
              </w:rPr>
              <w:t>哈密汇川矿业有限责任公司</w:t>
            </w:r>
          </w:p>
        </w:tc>
        <w:tc>
          <w:tcPr>
            <w:tcW w:w="572" w:type="pct"/>
            <w:vAlign w:val="center"/>
          </w:tcPr>
          <w:p w14:paraId="1B1EC361" w14:textId="77777777" w:rsidR="003E78AB" w:rsidRDefault="00010BF9">
            <w:pPr>
              <w:pStyle w:val="aff6"/>
              <w:topLinePunct/>
              <w:rPr>
                <w:bCs/>
              </w:rPr>
            </w:pPr>
            <w:r>
              <w:rPr>
                <w:rFonts w:hint="eastAsia"/>
                <w:bCs/>
              </w:rPr>
              <w:t>生产废水</w:t>
            </w:r>
          </w:p>
        </w:tc>
        <w:tc>
          <w:tcPr>
            <w:tcW w:w="711" w:type="pct"/>
            <w:vAlign w:val="center"/>
          </w:tcPr>
          <w:p w14:paraId="063A2E05" w14:textId="77777777" w:rsidR="003E78AB" w:rsidRDefault="00010BF9">
            <w:pPr>
              <w:pStyle w:val="aff6"/>
              <w:topLinePunct/>
              <w:rPr>
                <w:bCs/>
              </w:rPr>
            </w:pPr>
            <w:r>
              <w:rPr>
                <w:rFonts w:hint="eastAsia"/>
                <w:bCs/>
              </w:rPr>
              <w:t>沉淀循环池</w:t>
            </w:r>
          </w:p>
        </w:tc>
        <w:tc>
          <w:tcPr>
            <w:tcW w:w="529" w:type="pct"/>
            <w:vAlign w:val="center"/>
          </w:tcPr>
          <w:p w14:paraId="010417C3" w14:textId="77777777" w:rsidR="003E78AB" w:rsidRDefault="00010BF9">
            <w:pPr>
              <w:pStyle w:val="aff6"/>
              <w:topLinePunct/>
              <w:rPr>
                <w:bCs/>
              </w:rPr>
            </w:pPr>
            <w:r>
              <w:rPr>
                <w:rFonts w:hint="eastAsia"/>
                <w:bCs/>
              </w:rPr>
              <w:t>本厂回用</w:t>
            </w:r>
          </w:p>
        </w:tc>
        <w:tc>
          <w:tcPr>
            <w:tcW w:w="442" w:type="pct"/>
            <w:vAlign w:val="center"/>
          </w:tcPr>
          <w:p w14:paraId="1510522F" w14:textId="77777777" w:rsidR="003E78AB" w:rsidRDefault="00010BF9">
            <w:pPr>
              <w:pStyle w:val="aff6"/>
              <w:topLinePunct/>
              <w:rPr>
                <w:bCs/>
              </w:rPr>
            </w:pPr>
            <w:r>
              <w:rPr>
                <w:bCs/>
              </w:rPr>
              <w:t>2280</w:t>
            </w:r>
          </w:p>
        </w:tc>
        <w:tc>
          <w:tcPr>
            <w:tcW w:w="348" w:type="pct"/>
            <w:vAlign w:val="center"/>
          </w:tcPr>
          <w:p w14:paraId="2E2D8D59" w14:textId="77777777" w:rsidR="003E78AB" w:rsidRDefault="00010BF9">
            <w:pPr>
              <w:pStyle w:val="aff6"/>
              <w:topLinePunct/>
              <w:rPr>
                <w:bCs/>
              </w:rPr>
            </w:pPr>
            <w:r>
              <w:rPr>
                <w:bCs/>
              </w:rPr>
              <w:t>0.684</w:t>
            </w:r>
          </w:p>
        </w:tc>
        <w:tc>
          <w:tcPr>
            <w:tcW w:w="348" w:type="pct"/>
            <w:vAlign w:val="center"/>
          </w:tcPr>
          <w:p w14:paraId="24945E1F" w14:textId="77777777" w:rsidR="003E78AB" w:rsidRDefault="00010BF9">
            <w:pPr>
              <w:pStyle w:val="aff6"/>
              <w:topLinePunct/>
              <w:rPr>
                <w:bCs/>
              </w:rPr>
            </w:pPr>
            <w:r>
              <w:rPr>
                <w:bCs/>
              </w:rPr>
              <w:t>0.456</w:t>
            </w:r>
          </w:p>
        </w:tc>
        <w:tc>
          <w:tcPr>
            <w:tcW w:w="348" w:type="pct"/>
            <w:vAlign w:val="center"/>
          </w:tcPr>
          <w:p w14:paraId="6AEB91BB" w14:textId="77777777" w:rsidR="003E78AB" w:rsidRDefault="00010BF9">
            <w:pPr>
              <w:pStyle w:val="aff6"/>
              <w:topLinePunct/>
              <w:rPr>
                <w:bCs/>
              </w:rPr>
            </w:pPr>
            <w:r>
              <w:rPr>
                <w:bCs/>
              </w:rPr>
              <w:t>0.5</w:t>
            </w:r>
          </w:p>
        </w:tc>
        <w:tc>
          <w:tcPr>
            <w:tcW w:w="349" w:type="pct"/>
            <w:vAlign w:val="center"/>
          </w:tcPr>
          <w:p w14:paraId="6A42998C" w14:textId="77777777" w:rsidR="003E78AB" w:rsidRDefault="00010BF9">
            <w:pPr>
              <w:pStyle w:val="aff6"/>
              <w:topLinePunct/>
              <w:rPr>
                <w:bCs/>
              </w:rPr>
            </w:pPr>
            <w:r>
              <w:rPr>
                <w:bCs/>
              </w:rPr>
              <w:t>0.068</w:t>
            </w:r>
          </w:p>
        </w:tc>
        <w:tc>
          <w:tcPr>
            <w:tcW w:w="453" w:type="pct"/>
            <w:vAlign w:val="center"/>
          </w:tcPr>
          <w:p w14:paraId="18097397" w14:textId="77777777" w:rsidR="003E78AB" w:rsidRDefault="00010BF9">
            <w:pPr>
              <w:pStyle w:val="aff6"/>
              <w:topLinePunct/>
              <w:rPr>
                <w:bCs/>
              </w:rPr>
            </w:pPr>
            <w:r>
              <w:rPr>
                <w:rFonts w:hint="eastAsia"/>
                <w:bCs/>
              </w:rPr>
              <w:t>已批复的园区规划环评报告书</w:t>
            </w:r>
          </w:p>
        </w:tc>
      </w:tr>
      <w:tr w:rsidR="003E78AB" w14:paraId="6F323BF8" w14:textId="77777777">
        <w:trPr>
          <w:trHeight w:val="20"/>
        </w:trPr>
        <w:tc>
          <w:tcPr>
            <w:tcW w:w="228" w:type="pct"/>
            <w:vAlign w:val="center"/>
          </w:tcPr>
          <w:p w14:paraId="601D4AFC" w14:textId="77777777" w:rsidR="003E78AB" w:rsidRDefault="00010BF9">
            <w:pPr>
              <w:pStyle w:val="aff6"/>
              <w:topLinePunct/>
              <w:rPr>
                <w:bCs/>
              </w:rPr>
            </w:pPr>
            <w:r>
              <w:rPr>
                <w:bCs/>
              </w:rPr>
              <w:t>9</w:t>
            </w:r>
          </w:p>
        </w:tc>
        <w:tc>
          <w:tcPr>
            <w:tcW w:w="667" w:type="pct"/>
            <w:vAlign w:val="center"/>
          </w:tcPr>
          <w:p w14:paraId="5ED27EDC" w14:textId="77777777" w:rsidR="003E78AB" w:rsidRDefault="00010BF9">
            <w:pPr>
              <w:pStyle w:val="aff6"/>
              <w:topLinePunct/>
              <w:rPr>
                <w:bCs/>
              </w:rPr>
            </w:pPr>
            <w:r>
              <w:rPr>
                <w:rFonts w:hint="eastAsia"/>
                <w:bCs/>
              </w:rPr>
              <w:t>哈密江夏石材有限责任公司</w:t>
            </w:r>
          </w:p>
        </w:tc>
        <w:tc>
          <w:tcPr>
            <w:tcW w:w="572" w:type="pct"/>
            <w:vAlign w:val="center"/>
          </w:tcPr>
          <w:p w14:paraId="4C59AB8B" w14:textId="77777777" w:rsidR="003E78AB" w:rsidRDefault="00010BF9">
            <w:pPr>
              <w:pStyle w:val="aff6"/>
              <w:topLinePunct/>
              <w:rPr>
                <w:bCs/>
              </w:rPr>
            </w:pPr>
            <w:r>
              <w:rPr>
                <w:rFonts w:hint="eastAsia"/>
                <w:bCs/>
              </w:rPr>
              <w:t>生产废水</w:t>
            </w:r>
          </w:p>
        </w:tc>
        <w:tc>
          <w:tcPr>
            <w:tcW w:w="711" w:type="pct"/>
            <w:vAlign w:val="center"/>
          </w:tcPr>
          <w:p w14:paraId="2716C35F" w14:textId="77777777" w:rsidR="003E78AB" w:rsidRDefault="00010BF9">
            <w:pPr>
              <w:pStyle w:val="aff6"/>
              <w:topLinePunct/>
              <w:rPr>
                <w:bCs/>
              </w:rPr>
            </w:pPr>
            <w:r>
              <w:rPr>
                <w:rFonts w:hint="eastAsia"/>
                <w:bCs/>
              </w:rPr>
              <w:t>沉淀</w:t>
            </w:r>
          </w:p>
        </w:tc>
        <w:tc>
          <w:tcPr>
            <w:tcW w:w="529" w:type="pct"/>
            <w:vAlign w:val="center"/>
          </w:tcPr>
          <w:p w14:paraId="2F51DF1E" w14:textId="77777777" w:rsidR="003E78AB" w:rsidRDefault="00010BF9">
            <w:pPr>
              <w:pStyle w:val="aff6"/>
              <w:topLinePunct/>
              <w:rPr>
                <w:bCs/>
              </w:rPr>
            </w:pPr>
            <w:r>
              <w:rPr>
                <w:rFonts w:hint="eastAsia"/>
                <w:bCs/>
              </w:rPr>
              <w:t>本厂回用</w:t>
            </w:r>
          </w:p>
        </w:tc>
        <w:tc>
          <w:tcPr>
            <w:tcW w:w="442" w:type="pct"/>
            <w:vAlign w:val="center"/>
          </w:tcPr>
          <w:p w14:paraId="72E93FF0" w14:textId="77777777" w:rsidR="003E78AB" w:rsidRDefault="00010BF9">
            <w:pPr>
              <w:pStyle w:val="aff6"/>
              <w:topLinePunct/>
              <w:rPr>
                <w:bCs/>
              </w:rPr>
            </w:pPr>
            <w:r>
              <w:rPr>
                <w:rFonts w:hint="eastAsia"/>
                <w:bCs/>
              </w:rPr>
              <w:t>/</w:t>
            </w:r>
          </w:p>
        </w:tc>
        <w:tc>
          <w:tcPr>
            <w:tcW w:w="348" w:type="pct"/>
            <w:vAlign w:val="center"/>
          </w:tcPr>
          <w:p w14:paraId="7946C34F" w14:textId="77777777" w:rsidR="003E78AB" w:rsidRDefault="00010BF9">
            <w:pPr>
              <w:pStyle w:val="aff6"/>
              <w:topLinePunct/>
              <w:rPr>
                <w:bCs/>
              </w:rPr>
            </w:pPr>
            <w:r>
              <w:rPr>
                <w:bCs/>
              </w:rPr>
              <w:t>0.07</w:t>
            </w:r>
          </w:p>
        </w:tc>
        <w:tc>
          <w:tcPr>
            <w:tcW w:w="348" w:type="pct"/>
            <w:vAlign w:val="center"/>
          </w:tcPr>
          <w:p w14:paraId="2ABFA7E9" w14:textId="77777777" w:rsidR="003E78AB" w:rsidRDefault="00010BF9">
            <w:pPr>
              <w:pStyle w:val="aff6"/>
              <w:topLinePunct/>
              <w:rPr>
                <w:bCs/>
              </w:rPr>
            </w:pPr>
            <w:r>
              <w:rPr>
                <w:bCs/>
              </w:rPr>
              <w:t>0.037</w:t>
            </w:r>
          </w:p>
        </w:tc>
        <w:tc>
          <w:tcPr>
            <w:tcW w:w="348" w:type="pct"/>
            <w:vAlign w:val="center"/>
          </w:tcPr>
          <w:p w14:paraId="15995304" w14:textId="77777777" w:rsidR="003E78AB" w:rsidRDefault="00010BF9">
            <w:pPr>
              <w:pStyle w:val="aff6"/>
              <w:topLinePunct/>
              <w:rPr>
                <w:bCs/>
              </w:rPr>
            </w:pPr>
            <w:r>
              <w:rPr>
                <w:bCs/>
              </w:rPr>
              <w:t>0.032</w:t>
            </w:r>
          </w:p>
        </w:tc>
        <w:tc>
          <w:tcPr>
            <w:tcW w:w="349" w:type="pct"/>
            <w:vAlign w:val="center"/>
          </w:tcPr>
          <w:p w14:paraId="36126ADD" w14:textId="77777777" w:rsidR="003E78AB" w:rsidRDefault="00010BF9">
            <w:pPr>
              <w:pStyle w:val="aff6"/>
              <w:topLinePunct/>
              <w:rPr>
                <w:bCs/>
              </w:rPr>
            </w:pPr>
            <w:r>
              <w:rPr>
                <w:bCs/>
              </w:rPr>
              <w:t>0.0069</w:t>
            </w:r>
          </w:p>
        </w:tc>
        <w:tc>
          <w:tcPr>
            <w:tcW w:w="453" w:type="pct"/>
            <w:vAlign w:val="center"/>
          </w:tcPr>
          <w:p w14:paraId="7B9A72C7" w14:textId="77777777" w:rsidR="003E78AB" w:rsidRDefault="00010BF9">
            <w:pPr>
              <w:pStyle w:val="aff6"/>
              <w:topLinePunct/>
              <w:rPr>
                <w:bCs/>
              </w:rPr>
            </w:pPr>
            <w:r>
              <w:rPr>
                <w:rFonts w:hint="eastAsia"/>
                <w:bCs/>
              </w:rPr>
              <w:t>已批复的园区规划环评报告书</w:t>
            </w:r>
          </w:p>
        </w:tc>
      </w:tr>
      <w:tr w:rsidR="003E78AB" w14:paraId="541D97FB" w14:textId="77777777">
        <w:trPr>
          <w:trHeight w:val="20"/>
        </w:trPr>
        <w:tc>
          <w:tcPr>
            <w:tcW w:w="228" w:type="pct"/>
            <w:vAlign w:val="center"/>
          </w:tcPr>
          <w:p w14:paraId="753386B6" w14:textId="77777777" w:rsidR="003E78AB" w:rsidRDefault="00010BF9">
            <w:pPr>
              <w:pStyle w:val="aff6"/>
              <w:topLinePunct/>
              <w:rPr>
                <w:bCs/>
              </w:rPr>
            </w:pPr>
            <w:r>
              <w:rPr>
                <w:bCs/>
              </w:rPr>
              <w:t>10</w:t>
            </w:r>
          </w:p>
        </w:tc>
        <w:tc>
          <w:tcPr>
            <w:tcW w:w="667" w:type="pct"/>
            <w:vAlign w:val="center"/>
          </w:tcPr>
          <w:p w14:paraId="54C3EA6E" w14:textId="77777777" w:rsidR="003E78AB" w:rsidRDefault="00010BF9">
            <w:pPr>
              <w:pStyle w:val="aff6"/>
              <w:topLinePunct/>
              <w:rPr>
                <w:bCs/>
              </w:rPr>
            </w:pPr>
            <w:r>
              <w:rPr>
                <w:rFonts w:hint="eastAsia"/>
                <w:bCs/>
              </w:rPr>
              <w:t>哈密市立兴石材厂</w:t>
            </w:r>
          </w:p>
        </w:tc>
        <w:tc>
          <w:tcPr>
            <w:tcW w:w="572" w:type="pct"/>
            <w:vAlign w:val="center"/>
          </w:tcPr>
          <w:p w14:paraId="7B05509B" w14:textId="77777777" w:rsidR="003E78AB" w:rsidRDefault="00010BF9">
            <w:pPr>
              <w:pStyle w:val="aff6"/>
              <w:topLinePunct/>
              <w:rPr>
                <w:bCs/>
              </w:rPr>
            </w:pPr>
            <w:r>
              <w:rPr>
                <w:rFonts w:hint="eastAsia"/>
                <w:bCs/>
              </w:rPr>
              <w:t>含悬浮物废水</w:t>
            </w:r>
          </w:p>
        </w:tc>
        <w:tc>
          <w:tcPr>
            <w:tcW w:w="711" w:type="pct"/>
            <w:vAlign w:val="center"/>
          </w:tcPr>
          <w:p w14:paraId="15F23190" w14:textId="77777777" w:rsidR="003E78AB" w:rsidRDefault="00010BF9">
            <w:pPr>
              <w:pStyle w:val="aff6"/>
              <w:topLinePunct/>
              <w:rPr>
                <w:bCs/>
              </w:rPr>
            </w:pPr>
            <w:r>
              <w:rPr>
                <w:rFonts w:hint="eastAsia"/>
                <w:bCs/>
              </w:rPr>
              <w:t>沉淀分离</w:t>
            </w:r>
          </w:p>
        </w:tc>
        <w:tc>
          <w:tcPr>
            <w:tcW w:w="529" w:type="pct"/>
            <w:vAlign w:val="center"/>
          </w:tcPr>
          <w:p w14:paraId="0764207B" w14:textId="77777777" w:rsidR="003E78AB" w:rsidRDefault="00010BF9">
            <w:pPr>
              <w:pStyle w:val="aff6"/>
              <w:topLinePunct/>
              <w:rPr>
                <w:bCs/>
              </w:rPr>
            </w:pPr>
            <w:r>
              <w:rPr>
                <w:rFonts w:hint="eastAsia"/>
                <w:bCs/>
              </w:rPr>
              <w:t>本厂回用</w:t>
            </w:r>
          </w:p>
        </w:tc>
        <w:tc>
          <w:tcPr>
            <w:tcW w:w="442" w:type="pct"/>
            <w:vAlign w:val="center"/>
          </w:tcPr>
          <w:p w14:paraId="273EC6E2" w14:textId="77777777" w:rsidR="003E78AB" w:rsidRDefault="00010BF9">
            <w:pPr>
              <w:pStyle w:val="aff6"/>
              <w:topLinePunct/>
              <w:rPr>
                <w:bCs/>
              </w:rPr>
            </w:pPr>
            <w:r>
              <w:rPr>
                <w:bCs/>
              </w:rPr>
              <w:t>1800</w:t>
            </w:r>
          </w:p>
        </w:tc>
        <w:tc>
          <w:tcPr>
            <w:tcW w:w="348" w:type="pct"/>
            <w:vAlign w:val="center"/>
          </w:tcPr>
          <w:p w14:paraId="2E60886C" w14:textId="77777777" w:rsidR="003E78AB" w:rsidRDefault="00010BF9">
            <w:pPr>
              <w:pStyle w:val="aff6"/>
              <w:topLinePunct/>
              <w:rPr>
                <w:bCs/>
              </w:rPr>
            </w:pPr>
            <w:r>
              <w:rPr>
                <w:rFonts w:hint="eastAsia"/>
                <w:bCs/>
              </w:rPr>
              <w:t>/</w:t>
            </w:r>
          </w:p>
        </w:tc>
        <w:tc>
          <w:tcPr>
            <w:tcW w:w="348" w:type="pct"/>
            <w:vAlign w:val="center"/>
          </w:tcPr>
          <w:p w14:paraId="485E532D" w14:textId="77777777" w:rsidR="003E78AB" w:rsidRDefault="00010BF9">
            <w:pPr>
              <w:pStyle w:val="aff6"/>
              <w:topLinePunct/>
              <w:rPr>
                <w:bCs/>
              </w:rPr>
            </w:pPr>
            <w:r>
              <w:rPr>
                <w:rFonts w:hint="eastAsia"/>
                <w:bCs/>
              </w:rPr>
              <w:t>/</w:t>
            </w:r>
          </w:p>
        </w:tc>
        <w:tc>
          <w:tcPr>
            <w:tcW w:w="348" w:type="pct"/>
            <w:vAlign w:val="center"/>
          </w:tcPr>
          <w:p w14:paraId="65A9CB2C" w14:textId="77777777" w:rsidR="003E78AB" w:rsidRDefault="00010BF9">
            <w:pPr>
              <w:pStyle w:val="aff6"/>
              <w:topLinePunct/>
              <w:rPr>
                <w:bCs/>
              </w:rPr>
            </w:pPr>
            <w:r>
              <w:rPr>
                <w:bCs/>
              </w:rPr>
              <w:t>0.795</w:t>
            </w:r>
          </w:p>
        </w:tc>
        <w:tc>
          <w:tcPr>
            <w:tcW w:w="349" w:type="pct"/>
            <w:vAlign w:val="center"/>
          </w:tcPr>
          <w:p w14:paraId="3DE4516B" w14:textId="77777777" w:rsidR="003E78AB" w:rsidRDefault="00010BF9">
            <w:pPr>
              <w:pStyle w:val="aff6"/>
              <w:topLinePunct/>
              <w:rPr>
                <w:bCs/>
              </w:rPr>
            </w:pPr>
            <w:r>
              <w:rPr>
                <w:rFonts w:hint="eastAsia"/>
                <w:bCs/>
              </w:rPr>
              <w:t>/</w:t>
            </w:r>
          </w:p>
        </w:tc>
        <w:tc>
          <w:tcPr>
            <w:tcW w:w="453" w:type="pct"/>
            <w:vAlign w:val="center"/>
          </w:tcPr>
          <w:p w14:paraId="7B144810" w14:textId="77777777" w:rsidR="003E78AB" w:rsidRDefault="00010BF9">
            <w:pPr>
              <w:pStyle w:val="aff6"/>
              <w:topLinePunct/>
              <w:rPr>
                <w:bCs/>
              </w:rPr>
            </w:pPr>
            <w:r>
              <w:rPr>
                <w:rFonts w:hint="eastAsia"/>
                <w:bCs/>
              </w:rPr>
              <w:t>已批复的园区规划环评报告书</w:t>
            </w:r>
          </w:p>
        </w:tc>
      </w:tr>
      <w:tr w:rsidR="003E78AB" w14:paraId="6BBE9B26" w14:textId="77777777">
        <w:trPr>
          <w:trHeight w:val="20"/>
        </w:trPr>
        <w:tc>
          <w:tcPr>
            <w:tcW w:w="228" w:type="pct"/>
            <w:vAlign w:val="center"/>
          </w:tcPr>
          <w:p w14:paraId="0E5C4FEE" w14:textId="77777777" w:rsidR="003E78AB" w:rsidRDefault="00010BF9">
            <w:pPr>
              <w:pStyle w:val="aff6"/>
              <w:topLinePunct/>
              <w:rPr>
                <w:bCs/>
              </w:rPr>
            </w:pPr>
            <w:r>
              <w:rPr>
                <w:bCs/>
              </w:rPr>
              <w:t>11</w:t>
            </w:r>
          </w:p>
        </w:tc>
        <w:tc>
          <w:tcPr>
            <w:tcW w:w="667" w:type="pct"/>
            <w:vAlign w:val="center"/>
          </w:tcPr>
          <w:p w14:paraId="0673057A" w14:textId="77777777" w:rsidR="003E78AB" w:rsidRDefault="00010BF9">
            <w:pPr>
              <w:pStyle w:val="aff6"/>
              <w:topLinePunct/>
              <w:rPr>
                <w:bCs/>
              </w:rPr>
            </w:pPr>
            <w:r>
              <w:rPr>
                <w:rFonts w:hint="eastAsia"/>
                <w:bCs/>
              </w:rPr>
              <w:t>哈密新天石材有限责任公司</w:t>
            </w:r>
          </w:p>
        </w:tc>
        <w:tc>
          <w:tcPr>
            <w:tcW w:w="572" w:type="pct"/>
            <w:vAlign w:val="center"/>
          </w:tcPr>
          <w:p w14:paraId="05A5CCA6" w14:textId="77777777" w:rsidR="003E78AB" w:rsidRDefault="00010BF9">
            <w:pPr>
              <w:pStyle w:val="aff6"/>
              <w:topLinePunct/>
              <w:rPr>
                <w:bCs/>
              </w:rPr>
            </w:pPr>
            <w:r>
              <w:rPr>
                <w:rFonts w:hint="eastAsia"/>
                <w:bCs/>
              </w:rPr>
              <w:t>生产废水</w:t>
            </w:r>
          </w:p>
        </w:tc>
        <w:tc>
          <w:tcPr>
            <w:tcW w:w="711" w:type="pct"/>
            <w:vAlign w:val="center"/>
          </w:tcPr>
          <w:p w14:paraId="44A8C00A" w14:textId="77777777" w:rsidR="003E78AB" w:rsidRDefault="00010BF9">
            <w:pPr>
              <w:pStyle w:val="aff6"/>
              <w:topLinePunct/>
              <w:rPr>
                <w:bCs/>
              </w:rPr>
            </w:pPr>
            <w:r>
              <w:rPr>
                <w:rFonts w:hint="eastAsia"/>
                <w:bCs/>
              </w:rPr>
              <w:t>沉淀</w:t>
            </w:r>
          </w:p>
        </w:tc>
        <w:tc>
          <w:tcPr>
            <w:tcW w:w="529" w:type="pct"/>
            <w:vAlign w:val="center"/>
          </w:tcPr>
          <w:p w14:paraId="18DC2144" w14:textId="77777777" w:rsidR="003E78AB" w:rsidRDefault="00010BF9">
            <w:pPr>
              <w:pStyle w:val="aff6"/>
              <w:topLinePunct/>
              <w:rPr>
                <w:bCs/>
              </w:rPr>
            </w:pPr>
            <w:r>
              <w:rPr>
                <w:rFonts w:hint="eastAsia"/>
                <w:bCs/>
              </w:rPr>
              <w:t>本厂回用</w:t>
            </w:r>
          </w:p>
        </w:tc>
        <w:tc>
          <w:tcPr>
            <w:tcW w:w="442" w:type="pct"/>
            <w:vAlign w:val="center"/>
          </w:tcPr>
          <w:p w14:paraId="4FF4FB2E" w14:textId="77777777" w:rsidR="003E78AB" w:rsidRDefault="00010BF9">
            <w:pPr>
              <w:pStyle w:val="aff6"/>
              <w:topLinePunct/>
              <w:rPr>
                <w:bCs/>
              </w:rPr>
            </w:pPr>
            <w:r>
              <w:rPr>
                <w:bCs/>
              </w:rPr>
              <w:t>265</w:t>
            </w:r>
          </w:p>
        </w:tc>
        <w:tc>
          <w:tcPr>
            <w:tcW w:w="348" w:type="pct"/>
            <w:vAlign w:val="center"/>
          </w:tcPr>
          <w:p w14:paraId="0454E683" w14:textId="77777777" w:rsidR="003E78AB" w:rsidRDefault="00010BF9">
            <w:pPr>
              <w:pStyle w:val="aff6"/>
              <w:topLinePunct/>
              <w:rPr>
                <w:bCs/>
              </w:rPr>
            </w:pPr>
            <w:r>
              <w:rPr>
                <w:bCs/>
              </w:rPr>
              <w:t>0.09</w:t>
            </w:r>
          </w:p>
        </w:tc>
        <w:tc>
          <w:tcPr>
            <w:tcW w:w="348" w:type="pct"/>
            <w:vAlign w:val="center"/>
          </w:tcPr>
          <w:p w14:paraId="481BD80D" w14:textId="77777777" w:rsidR="003E78AB" w:rsidRDefault="00010BF9">
            <w:pPr>
              <w:pStyle w:val="aff6"/>
              <w:topLinePunct/>
              <w:rPr>
                <w:bCs/>
              </w:rPr>
            </w:pPr>
            <w:r>
              <w:rPr>
                <w:bCs/>
              </w:rPr>
              <w:t>0.048</w:t>
            </w:r>
          </w:p>
        </w:tc>
        <w:tc>
          <w:tcPr>
            <w:tcW w:w="348" w:type="pct"/>
            <w:vAlign w:val="center"/>
          </w:tcPr>
          <w:p w14:paraId="6F3C47DB" w14:textId="77777777" w:rsidR="003E78AB" w:rsidRDefault="00010BF9">
            <w:pPr>
              <w:pStyle w:val="aff6"/>
              <w:topLinePunct/>
              <w:rPr>
                <w:bCs/>
              </w:rPr>
            </w:pPr>
            <w:r>
              <w:rPr>
                <w:bCs/>
              </w:rPr>
              <w:t>0.041</w:t>
            </w:r>
          </w:p>
        </w:tc>
        <w:tc>
          <w:tcPr>
            <w:tcW w:w="349" w:type="pct"/>
            <w:vAlign w:val="center"/>
          </w:tcPr>
          <w:p w14:paraId="769D944A" w14:textId="77777777" w:rsidR="003E78AB" w:rsidRDefault="00010BF9">
            <w:pPr>
              <w:pStyle w:val="aff6"/>
              <w:topLinePunct/>
              <w:rPr>
                <w:bCs/>
              </w:rPr>
            </w:pPr>
            <w:r>
              <w:rPr>
                <w:bCs/>
              </w:rPr>
              <w:t>0.009</w:t>
            </w:r>
          </w:p>
        </w:tc>
        <w:tc>
          <w:tcPr>
            <w:tcW w:w="453" w:type="pct"/>
            <w:vAlign w:val="center"/>
          </w:tcPr>
          <w:p w14:paraId="164EE547" w14:textId="77777777" w:rsidR="003E78AB" w:rsidRDefault="00010BF9">
            <w:pPr>
              <w:pStyle w:val="aff6"/>
              <w:topLinePunct/>
              <w:rPr>
                <w:bCs/>
              </w:rPr>
            </w:pPr>
            <w:r>
              <w:rPr>
                <w:rFonts w:hint="eastAsia"/>
                <w:bCs/>
              </w:rPr>
              <w:t>已批复的园区规划环评报告书</w:t>
            </w:r>
          </w:p>
        </w:tc>
      </w:tr>
      <w:tr w:rsidR="003E78AB" w14:paraId="7492128A" w14:textId="77777777">
        <w:trPr>
          <w:trHeight w:val="20"/>
        </w:trPr>
        <w:tc>
          <w:tcPr>
            <w:tcW w:w="228" w:type="pct"/>
            <w:vAlign w:val="center"/>
          </w:tcPr>
          <w:p w14:paraId="0A52F027" w14:textId="77777777" w:rsidR="003E78AB" w:rsidRDefault="00010BF9">
            <w:pPr>
              <w:pStyle w:val="aff6"/>
              <w:topLinePunct/>
              <w:rPr>
                <w:bCs/>
              </w:rPr>
            </w:pPr>
            <w:r>
              <w:rPr>
                <w:bCs/>
              </w:rPr>
              <w:t>12</w:t>
            </w:r>
          </w:p>
        </w:tc>
        <w:tc>
          <w:tcPr>
            <w:tcW w:w="667" w:type="pct"/>
            <w:vAlign w:val="center"/>
          </w:tcPr>
          <w:p w14:paraId="2AD3B8A6" w14:textId="77777777" w:rsidR="003E78AB" w:rsidRDefault="00010BF9">
            <w:pPr>
              <w:pStyle w:val="aff6"/>
              <w:topLinePunct/>
              <w:rPr>
                <w:bCs/>
              </w:rPr>
            </w:pPr>
            <w:r>
              <w:rPr>
                <w:rFonts w:hint="eastAsia"/>
                <w:bCs/>
              </w:rPr>
              <w:t>哈密金盛镁业有限公司</w:t>
            </w:r>
          </w:p>
        </w:tc>
        <w:tc>
          <w:tcPr>
            <w:tcW w:w="572" w:type="pct"/>
            <w:vAlign w:val="center"/>
          </w:tcPr>
          <w:p w14:paraId="175F7FCA" w14:textId="77777777" w:rsidR="003E78AB" w:rsidRDefault="00010BF9">
            <w:pPr>
              <w:pStyle w:val="aff6"/>
              <w:topLinePunct/>
              <w:rPr>
                <w:bCs/>
              </w:rPr>
            </w:pPr>
            <w:r>
              <w:rPr>
                <w:rFonts w:hint="eastAsia"/>
                <w:bCs/>
              </w:rPr>
              <w:t>生产废水</w:t>
            </w:r>
          </w:p>
        </w:tc>
        <w:tc>
          <w:tcPr>
            <w:tcW w:w="711" w:type="pct"/>
            <w:vAlign w:val="center"/>
          </w:tcPr>
          <w:p w14:paraId="45B626CC" w14:textId="77777777" w:rsidR="003E78AB" w:rsidRDefault="00010BF9">
            <w:pPr>
              <w:pStyle w:val="aff6"/>
              <w:topLinePunct/>
              <w:rPr>
                <w:bCs/>
              </w:rPr>
            </w:pPr>
            <w:r>
              <w:rPr>
                <w:rFonts w:hint="eastAsia"/>
                <w:bCs/>
              </w:rPr>
              <w:t>好氧生物处理法</w:t>
            </w:r>
          </w:p>
        </w:tc>
        <w:tc>
          <w:tcPr>
            <w:tcW w:w="529" w:type="pct"/>
            <w:vAlign w:val="center"/>
          </w:tcPr>
          <w:p w14:paraId="77FB45B6" w14:textId="77777777" w:rsidR="003E78AB" w:rsidRDefault="00010BF9">
            <w:pPr>
              <w:pStyle w:val="aff6"/>
              <w:topLinePunct/>
              <w:rPr>
                <w:bCs/>
              </w:rPr>
            </w:pPr>
            <w:r>
              <w:rPr>
                <w:rFonts w:hint="eastAsia"/>
                <w:bCs/>
              </w:rPr>
              <w:t>重工业加工区污水处理厂</w:t>
            </w:r>
          </w:p>
        </w:tc>
        <w:tc>
          <w:tcPr>
            <w:tcW w:w="442" w:type="pct"/>
            <w:vAlign w:val="center"/>
          </w:tcPr>
          <w:p w14:paraId="7DAE3CA4" w14:textId="77777777" w:rsidR="003E78AB" w:rsidRDefault="00010BF9">
            <w:pPr>
              <w:pStyle w:val="aff6"/>
              <w:topLinePunct/>
              <w:rPr>
                <w:bCs/>
              </w:rPr>
            </w:pPr>
            <w:r>
              <w:rPr>
                <w:bCs/>
              </w:rPr>
              <w:t>66142</w:t>
            </w:r>
          </w:p>
        </w:tc>
        <w:tc>
          <w:tcPr>
            <w:tcW w:w="348" w:type="pct"/>
            <w:vAlign w:val="center"/>
          </w:tcPr>
          <w:p w14:paraId="20596494" w14:textId="77777777" w:rsidR="003E78AB" w:rsidRDefault="00010BF9">
            <w:pPr>
              <w:pStyle w:val="aff6"/>
              <w:topLinePunct/>
              <w:rPr>
                <w:bCs/>
              </w:rPr>
            </w:pPr>
            <w:r>
              <w:rPr>
                <w:bCs/>
              </w:rPr>
              <w:t>341.83</w:t>
            </w:r>
          </w:p>
        </w:tc>
        <w:tc>
          <w:tcPr>
            <w:tcW w:w="348" w:type="pct"/>
            <w:vAlign w:val="center"/>
          </w:tcPr>
          <w:p w14:paraId="20744521" w14:textId="77777777" w:rsidR="003E78AB" w:rsidRDefault="00010BF9">
            <w:pPr>
              <w:pStyle w:val="aff6"/>
              <w:topLinePunct/>
              <w:rPr>
                <w:bCs/>
              </w:rPr>
            </w:pPr>
            <w:r>
              <w:rPr>
                <w:rFonts w:hint="eastAsia"/>
                <w:bCs/>
              </w:rPr>
              <w:t>/</w:t>
            </w:r>
          </w:p>
        </w:tc>
        <w:tc>
          <w:tcPr>
            <w:tcW w:w="348" w:type="pct"/>
            <w:vAlign w:val="center"/>
          </w:tcPr>
          <w:p w14:paraId="278CC1C8" w14:textId="77777777" w:rsidR="003E78AB" w:rsidRDefault="00010BF9">
            <w:pPr>
              <w:pStyle w:val="aff6"/>
              <w:topLinePunct/>
              <w:rPr>
                <w:bCs/>
              </w:rPr>
            </w:pPr>
            <w:r>
              <w:rPr>
                <w:bCs/>
              </w:rPr>
              <w:t>19.49</w:t>
            </w:r>
          </w:p>
        </w:tc>
        <w:tc>
          <w:tcPr>
            <w:tcW w:w="349" w:type="pct"/>
            <w:vAlign w:val="center"/>
          </w:tcPr>
          <w:p w14:paraId="5DF2D15F" w14:textId="77777777" w:rsidR="003E78AB" w:rsidRDefault="00010BF9">
            <w:pPr>
              <w:pStyle w:val="aff6"/>
              <w:topLinePunct/>
              <w:rPr>
                <w:bCs/>
              </w:rPr>
            </w:pPr>
            <w:r>
              <w:rPr>
                <w:bCs/>
              </w:rPr>
              <w:t>17.81</w:t>
            </w:r>
          </w:p>
        </w:tc>
        <w:tc>
          <w:tcPr>
            <w:tcW w:w="453" w:type="pct"/>
            <w:vAlign w:val="center"/>
          </w:tcPr>
          <w:p w14:paraId="475720CC" w14:textId="77777777" w:rsidR="003E78AB" w:rsidRDefault="00010BF9">
            <w:pPr>
              <w:pStyle w:val="aff6"/>
              <w:topLinePunct/>
              <w:rPr>
                <w:bCs/>
              </w:rPr>
            </w:pPr>
            <w:r>
              <w:rPr>
                <w:rFonts w:hint="eastAsia"/>
                <w:bCs/>
              </w:rPr>
              <w:t>已批复的园区规划环评报告书</w:t>
            </w:r>
          </w:p>
        </w:tc>
      </w:tr>
      <w:tr w:rsidR="003E78AB" w14:paraId="7E72F068" w14:textId="77777777">
        <w:trPr>
          <w:trHeight w:val="20"/>
        </w:trPr>
        <w:tc>
          <w:tcPr>
            <w:tcW w:w="228" w:type="pct"/>
            <w:vAlign w:val="center"/>
          </w:tcPr>
          <w:p w14:paraId="22DE2F92" w14:textId="77777777" w:rsidR="003E78AB" w:rsidRDefault="00010BF9">
            <w:pPr>
              <w:pStyle w:val="aff6"/>
              <w:topLinePunct/>
              <w:rPr>
                <w:bCs/>
              </w:rPr>
            </w:pPr>
            <w:r>
              <w:rPr>
                <w:bCs/>
              </w:rPr>
              <w:t>13</w:t>
            </w:r>
          </w:p>
        </w:tc>
        <w:tc>
          <w:tcPr>
            <w:tcW w:w="667" w:type="pct"/>
            <w:vAlign w:val="center"/>
          </w:tcPr>
          <w:p w14:paraId="40D3BC32" w14:textId="77777777" w:rsidR="003E78AB" w:rsidRDefault="00010BF9">
            <w:pPr>
              <w:pStyle w:val="aff6"/>
              <w:topLinePunct/>
              <w:rPr>
                <w:bCs/>
              </w:rPr>
            </w:pPr>
            <w:r>
              <w:rPr>
                <w:rFonts w:hint="eastAsia"/>
                <w:bCs/>
              </w:rPr>
              <w:t>新疆炜通石材工贸有限责任公司</w:t>
            </w:r>
          </w:p>
        </w:tc>
        <w:tc>
          <w:tcPr>
            <w:tcW w:w="572" w:type="pct"/>
            <w:vAlign w:val="center"/>
          </w:tcPr>
          <w:p w14:paraId="15E7A0EF" w14:textId="77777777" w:rsidR="003E78AB" w:rsidRDefault="00010BF9">
            <w:pPr>
              <w:pStyle w:val="aff6"/>
              <w:topLinePunct/>
              <w:rPr>
                <w:bCs/>
              </w:rPr>
            </w:pPr>
            <w:r>
              <w:rPr>
                <w:rFonts w:hint="eastAsia"/>
                <w:bCs/>
              </w:rPr>
              <w:t>生产废水</w:t>
            </w:r>
          </w:p>
        </w:tc>
        <w:tc>
          <w:tcPr>
            <w:tcW w:w="711" w:type="pct"/>
            <w:vAlign w:val="center"/>
          </w:tcPr>
          <w:p w14:paraId="7215B156" w14:textId="77777777" w:rsidR="003E78AB" w:rsidRDefault="00010BF9">
            <w:pPr>
              <w:pStyle w:val="aff6"/>
              <w:topLinePunct/>
              <w:rPr>
                <w:bCs/>
              </w:rPr>
            </w:pPr>
            <w:r>
              <w:rPr>
                <w:rFonts w:hint="eastAsia"/>
                <w:bCs/>
              </w:rPr>
              <w:t>沉淀分离</w:t>
            </w:r>
          </w:p>
        </w:tc>
        <w:tc>
          <w:tcPr>
            <w:tcW w:w="529" w:type="pct"/>
            <w:vAlign w:val="center"/>
          </w:tcPr>
          <w:p w14:paraId="45411924" w14:textId="77777777" w:rsidR="003E78AB" w:rsidRDefault="00010BF9">
            <w:pPr>
              <w:pStyle w:val="aff6"/>
              <w:topLinePunct/>
              <w:rPr>
                <w:bCs/>
              </w:rPr>
            </w:pPr>
            <w:r>
              <w:rPr>
                <w:rFonts w:hint="eastAsia"/>
                <w:bCs/>
              </w:rPr>
              <w:t>本厂回用</w:t>
            </w:r>
          </w:p>
        </w:tc>
        <w:tc>
          <w:tcPr>
            <w:tcW w:w="442" w:type="pct"/>
            <w:vAlign w:val="center"/>
          </w:tcPr>
          <w:p w14:paraId="6D6E5F4E" w14:textId="77777777" w:rsidR="003E78AB" w:rsidRDefault="00010BF9">
            <w:pPr>
              <w:pStyle w:val="aff6"/>
              <w:topLinePunct/>
              <w:rPr>
                <w:bCs/>
              </w:rPr>
            </w:pPr>
            <w:r>
              <w:rPr>
                <w:bCs/>
              </w:rPr>
              <w:t>6500</w:t>
            </w:r>
          </w:p>
        </w:tc>
        <w:tc>
          <w:tcPr>
            <w:tcW w:w="348" w:type="pct"/>
            <w:vAlign w:val="center"/>
          </w:tcPr>
          <w:p w14:paraId="3E4B1C63" w14:textId="77777777" w:rsidR="003E78AB" w:rsidRDefault="00010BF9">
            <w:pPr>
              <w:pStyle w:val="aff6"/>
              <w:topLinePunct/>
              <w:rPr>
                <w:bCs/>
              </w:rPr>
            </w:pPr>
            <w:r>
              <w:rPr>
                <w:bCs/>
              </w:rPr>
              <w:t>1.89</w:t>
            </w:r>
          </w:p>
        </w:tc>
        <w:tc>
          <w:tcPr>
            <w:tcW w:w="348" w:type="pct"/>
            <w:vAlign w:val="center"/>
          </w:tcPr>
          <w:p w14:paraId="628CCEEA" w14:textId="77777777" w:rsidR="003E78AB" w:rsidRDefault="00010BF9">
            <w:pPr>
              <w:pStyle w:val="aff6"/>
              <w:topLinePunct/>
              <w:rPr>
                <w:bCs/>
              </w:rPr>
            </w:pPr>
            <w:r>
              <w:rPr>
                <w:rFonts w:hint="eastAsia"/>
                <w:bCs/>
              </w:rPr>
              <w:t>/</w:t>
            </w:r>
          </w:p>
        </w:tc>
        <w:tc>
          <w:tcPr>
            <w:tcW w:w="348" w:type="pct"/>
            <w:vAlign w:val="center"/>
          </w:tcPr>
          <w:p w14:paraId="4EEAD5C0" w14:textId="77777777" w:rsidR="003E78AB" w:rsidRDefault="00010BF9">
            <w:pPr>
              <w:pStyle w:val="aff6"/>
              <w:topLinePunct/>
              <w:rPr>
                <w:bCs/>
              </w:rPr>
            </w:pPr>
            <w:r>
              <w:rPr>
                <w:rFonts w:hint="eastAsia"/>
                <w:bCs/>
              </w:rPr>
              <w:t>/</w:t>
            </w:r>
          </w:p>
        </w:tc>
        <w:tc>
          <w:tcPr>
            <w:tcW w:w="349" w:type="pct"/>
            <w:vAlign w:val="center"/>
          </w:tcPr>
          <w:p w14:paraId="2217126D" w14:textId="77777777" w:rsidR="003E78AB" w:rsidRDefault="00010BF9">
            <w:pPr>
              <w:pStyle w:val="aff6"/>
              <w:topLinePunct/>
              <w:rPr>
                <w:bCs/>
              </w:rPr>
            </w:pPr>
            <w:r>
              <w:rPr>
                <w:rFonts w:hint="eastAsia"/>
                <w:bCs/>
              </w:rPr>
              <w:t>/</w:t>
            </w:r>
          </w:p>
        </w:tc>
        <w:tc>
          <w:tcPr>
            <w:tcW w:w="453" w:type="pct"/>
            <w:vAlign w:val="center"/>
          </w:tcPr>
          <w:p w14:paraId="6A2A93BF" w14:textId="77777777" w:rsidR="003E78AB" w:rsidRDefault="00010BF9">
            <w:pPr>
              <w:pStyle w:val="aff6"/>
              <w:topLinePunct/>
              <w:rPr>
                <w:bCs/>
              </w:rPr>
            </w:pPr>
            <w:r>
              <w:rPr>
                <w:rFonts w:hint="eastAsia"/>
                <w:bCs/>
              </w:rPr>
              <w:t>已批复的园区规划环评报告书</w:t>
            </w:r>
          </w:p>
        </w:tc>
      </w:tr>
      <w:tr w:rsidR="003E78AB" w14:paraId="3AAC544B" w14:textId="77777777">
        <w:trPr>
          <w:trHeight w:val="20"/>
        </w:trPr>
        <w:tc>
          <w:tcPr>
            <w:tcW w:w="228" w:type="pct"/>
            <w:vAlign w:val="center"/>
          </w:tcPr>
          <w:p w14:paraId="1A7DC6CF" w14:textId="77777777" w:rsidR="003E78AB" w:rsidRDefault="00010BF9">
            <w:pPr>
              <w:pStyle w:val="aff6"/>
              <w:topLinePunct/>
              <w:rPr>
                <w:bCs/>
              </w:rPr>
            </w:pPr>
            <w:r>
              <w:rPr>
                <w:bCs/>
              </w:rPr>
              <w:t>14</w:t>
            </w:r>
          </w:p>
        </w:tc>
        <w:tc>
          <w:tcPr>
            <w:tcW w:w="667" w:type="pct"/>
            <w:vAlign w:val="center"/>
          </w:tcPr>
          <w:p w14:paraId="6640C4F2" w14:textId="77777777" w:rsidR="003E78AB" w:rsidRDefault="00010BF9">
            <w:pPr>
              <w:pStyle w:val="aff6"/>
              <w:topLinePunct/>
              <w:rPr>
                <w:bCs/>
              </w:rPr>
            </w:pPr>
            <w:r>
              <w:rPr>
                <w:rFonts w:hint="eastAsia"/>
                <w:bCs/>
              </w:rPr>
              <w:t>新疆新晶浮法玻璃有限公司</w:t>
            </w:r>
          </w:p>
        </w:tc>
        <w:tc>
          <w:tcPr>
            <w:tcW w:w="572" w:type="pct"/>
            <w:vAlign w:val="center"/>
          </w:tcPr>
          <w:p w14:paraId="5DD05845" w14:textId="77777777" w:rsidR="003E78AB" w:rsidRDefault="00010BF9">
            <w:pPr>
              <w:pStyle w:val="aff6"/>
              <w:topLinePunct/>
              <w:rPr>
                <w:bCs/>
              </w:rPr>
            </w:pPr>
            <w:r>
              <w:rPr>
                <w:rFonts w:hint="eastAsia"/>
                <w:bCs/>
              </w:rPr>
              <w:t>生产废水</w:t>
            </w:r>
          </w:p>
        </w:tc>
        <w:tc>
          <w:tcPr>
            <w:tcW w:w="711" w:type="pct"/>
            <w:vAlign w:val="center"/>
          </w:tcPr>
          <w:p w14:paraId="1CD73F89" w14:textId="77777777" w:rsidR="003E78AB" w:rsidRDefault="003E78AB">
            <w:pPr>
              <w:pStyle w:val="aff6"/>
              <w:topLinePunct/>
              <w:rPr>
                <w:bCs/>
              </w:rPr>
            </w:pPr>
          </w:p>
        </w:tc>
        <w:tc>
          <w:tcPr>
            <w:tcW w:w="529" w:type="pct"/>
            <w:vAlign w:val="center"/>
          </w:tcPr>
          <w:p w14:paraId="08AD36E6" w14:textId="77777777" w:rsidR="003E78AB" w:rsidRDefault="00010BF9">
            <w:pPr>
              <w:pStyle w:val="aff6"/>
              <w:topLinePunct/>
              <w:rPr>
                <w:bCs/>
              </w:rPr>
            </w:pPr>
            <w:r>
              <w:rPr>
                <w:rFonts w:hint="eastAsia"/>
                <w:bCs/>
              </w:rPr>
              <w:t>本厂回用</w:t>
            </w:r>
          </w:p>
        </w:tc>
        <w:tc>
          <w:tcPr>
            <w:tcW w:w="442" w:type="pct"/>
            <w:vAlign w:val="center"/>
          </w:tcPr>
          <w:p w14:paraId="781FDE02" w14:textId="77777777" w:rsidR="003E78AB" w:rsidRDefault="00010BF9">
            <w:pPr>
              <w:pStyle w:val="aff6"/>
              <w:topLinePunct/>
              <w:rPr>
                <w:bCs/>
              </w:rPr>
            </w:pPr>
            <w:r>
              <w:rPr>
                <w:rFonts w:hint="eastAsia"/>
                <w:bCs/>
              </w:rPr>
              <w:t>/</w:t>
            </w:r>
          </w:p>
        </w:tc>
        <w:tc>
          <w:tcPr>
            <w:tcW w:w="348" w:type="pct"/>
            <w:vAlign w:val="center"/>
          </w:tcPr>
          <w:p w14:paraId="7994E55D" w14:textId="77777777" w:rsidR="003E78AB" w:rsidRDefault="00010BF9">
            <w:pPr>
              <w:pStyle w:val="aff6"/>
              <w:topLinePunct/>
              <w:rPr>
                <w:bCs/>
              </w:rPr>
            </w:pPr>
            <w:r>
              <w:rPr>
                <w:bCs/>
              </w:rPr>
              <w:t>1.45</w:t>
            </w:r>
          </w:p>
        </w:tc>
        <w:tc>
          <w:tcPr>
            <w:tcW w:w="348" w:type="pct"/>
            <w:vAlign w:val="center"/>
          </w:tcPr>
          <w:p w14:paraId="60301DB0" w14:textId="77777777" w:rsidR="003E78AB" w:rsidRDefault="00010BF9">
            <w:pPr>
              <w:pStyle w:val="aff6"/>
              <w:topLinePunct/>
              <w:rPr>
                <w:bCs/>
              </w:rPr>
            </w:pPr>
            <w:r>
              <w:rPr>
                <w:rFonts w:hint="eastAsia"/>
                <w:bCs/>
              </w:rPr>
              <w:t>/</w:t>
            </w:r>
          </w:p>
        </w:tc>
        <w:tc>
          <w:tcPr>
            <w:tcW w:w="348" w:type="pct"/>
            <w:vAlign w:val="center"/>
          </w:tcPr>
          <w:p w14:paraId="30EFE159" w14:textId="77777777" w:rsidR="003E78AB" w:rsidRDefault="00010BF9">
            <w:pPr>
              <w:pStyle w:val="aff6"/>
              <w:topLinePunct/>
              <w:rPr>
                <w:bCs/>
              </w:rPr>
            </w:pPr>
            <w:r>
              <w:rPr>
                <w:rFonts w:hint="eastAsia"/>
                <w:bCs/>
              </w:rPr>
              <w:t>/</w:t>
            </w:r>
          </w:p>
        </w:tc>
        <w:tc>
          <w:tcPr>
            <w:tcW w:w="349" w:type="pct"/>
            <w:vAlign w:val="center"/>
          </w:tcPr>
          <w:p w14:paraId="7DA4E932" w14:textId="77777777" w:rsidR="003E78AB" w:rsidRDefault="00010BF9">
            <w:pPr>
              <w:pStyle w:val="aff6"/>
              <w:topLinePunct/>
              <w:rPr>
                <w:bCs/>
              </w:rPr>
            </w:pPr>
            <w:r>
              <w:rPr>
                <w:bCs/>
              </w:rPr>
              <w:t>0.16</w:t>
            </w:r>
          </w:p>
        </w:tc>
        <w:tc>
          <w:tcPr>
            <w:tcW w:w="453" w:type="pct"/>
            <w:vAlign w:val="center"/>
          </w:tcPr>
          <w:p w14:paraId="3A932983" w14:textId="77777777" w:rsidR="003E78AB" w:rsidRDefault="00010BF9">
            <w:pPr>
              <w:pStyle w:val="aff6"/>
              <w:topLinePunct/>
              <w:rPr>
                <w:bCs/>
              </w:rPr>
            </w:pPr>
            <w:r>
              <w:rPr>
                <w:rFonts w:hint="eastAsia"/>
                <w:bCs/>
              </w:rPr>
              <w:t>已批复的园区规划环评报告书</w:t>
            </w:r>
          </w:p>
        </w:tc>
      </w:tr>
      <w:tr w:rsidR="003E78AB" w14:paraId="0DCE7CF4" w14:textId="77777777">
        <w:trPr>
          <w:trHeight w:val="20"/>
        </w:trPr>
        <w:tc>
          <w:tcPr>
            <w:tcW w:w="228" w:type="pct"/>
            <w:vAlign w:val="center"/>
          </w:tcPr>
          <w:p w14:paraId="002A8296" w14:textId="77777777" w:rsidR="003E78AB" w:rsidRDefault="00010BF9">
            <w:pPr>
              <w:pStyle w:val="aff6"/>
              <w:topLinePunct/>
              <w:rPr>
                <w:bCs/>
              </w:rPr>
            </w:pPr>
            <w:r>
              <w:rPr>
                <w:bCs/>
              </w:rPr>
              <w:t>15</w:t>
            </w:r>
          </w:p>
        </w:tc>
        <w:tc>
          <w:tcPr>
            <w:tcW w:w="667" w:type="pct"/>
            <w:vAlign w:val="center"/>
          </w:tcPr>
          <w:p w14:paraId="79E076F3" w14:textId="77777777" w:rsidR="003E78AB" w:rsidRDefault="00010BF9">
            <w:pPr>
              <w:pStyle w:val="aff6"/>
              <w:topLinePunct/>
              <w:rPr>
                <w:bCs/>
              </w:rPr>
            </w:pPr>
            <w:r>
              <w:rPr>
                <w:rFonts w:hint="eastAsia"/>
                <w:bCs/>
              </w:rPr>
              <w:t>新疆昕昊达矿业有限责任公司</w:t>
            </w:r>
          </w:p>
        </w:tc>
        <w:tc>
          <w:tcPr>
            <w:tcW w:w="572" w:type="pct"/>
            <w:vAlign w:val="center"/>
          </w:tcPr>
          <w:p w14:paraId="33404CE7" w14:textId="77777777" w:rsidR="003E78AB" w:rsidRDefault="00010BF9">
            <w:pPr>
              <w:pStyle w:val="aff6"/>
              <w:topLinePunct/>
              <w:rPr>
                <w:bCs/>
              </w:rPr>
            </w:pPr>
            <w:r>
              <w:rPr>
                <w:rFonts w:hint="eastAsia"/>
                <w:bCs/>
              </w:rPr>
              <w:t>含悬浮物废水</w:t>
            </w:r>
          </w:p>
        </w:tc>
        <w:tc>
          <w:tcPr>
            <w:tcW w:w="711" w:type="pct"/>
            <w:vAlign w:val="center"/>
          </w:tcPr>
          <w:p w14:paraId="44D30F1D" w14:textId="77777777" w:rsidR="003E78AB" w:rsidRDefault="00010BF9">
            <w:pPr>
              <w:pStyle w:val="aff6"/>
              <w:topLinePunct/>
              <w:rPr>
                <w:bCs/>
              </w:rPr>
            </w:pPr>
            <w:r>
              <w:rPr>
                <w:rFonts w:hint="eastAsia"/>
                <w:bCs/>
              </w:rPr>
              <w:t>沉淀分离</w:t>
            </w:r>
            <w:r>
              <w:rPr>
                <w:bCs/>
              </w:rPr>
              <w:t>+</w:t>
            </w:r>
            <w:r>
              <w:rPr>
                <w:bCs/>
              </w:rPr>
              <w:t>化学混凝法</w:t>
            </w:r>
          </w:p>
        </w:tc>
        <w:tc>
          <w:tcPr>
            <w:tcW w:w="529" w:type="pct"/>
            <w:vAlign w:val="center"/>
          </w:tcPr>
          <w:p w14:paraId="6FF7932A" w14:textId="77777777" w:rsidR="003E78AB" w:rsidRDefault="00010BF9">
            <w:pPr>
              <w:pStyle w:val="aff6"/>
              <w:topLinePunct/>
              <w:rPr>
                <w:bCs/>
              </w:rPr>
            </w:pPr>
            <w:r>
              <w:rPr>
                <w:rFonts w:hint="eastAsia"/>
                <w:bCs/>
              </w:rPr>
              <w:t>重工业加工区污水处理厂</w:t>
            </w:r>
          </w:p>
        </w:tc>
        <w:tc>
          <w:tcPr>
            <w:tcW w:w="442" w:type="pct"/>
            <w:vAlign w:val="center"/>
          </w:tcPr>
          <w:p w14:paraId="07D5A4FA" w14:textId="77777777" w:rsidR="003E78AB" w:rsidRDefault="00010BF9">
            <w:pPr>
              <w:pStyle w:val="aff6"/>
              <w:topLinePunct/>
              <w:rPr>
                <w:bCs/>
              </w:rPr>
            </w:pPr>
            <w:r>
              <w:rPr>
                <w:bCs/>
              </w:rPr>
              <w:t>18000</w:t>
            </w:r>
          </w:p>
        </w:tc>
        <w:tc>
          <w:tcPr>
            <w:tcW w:w="348" w:type="pct"/>
            <w:vAlign w:val="center"/>
          </w:tcPr>
          <w:p w14:paraId="2A26C1E5" w14:textId="77777777" w:rsidR="003E78AB" w:rsidRDefault="00010BF9">
            <w:pPr>
              <w:pStyle w:val="aff6"/>
              <w:topLinePunct/>
              <w:rPr>
                <w:bCs/>
              </w:rPr>
            </w:pPr>
            <w:r>
              <w:rPr>
                <w:bCs/>
              </w:rPr>
              <w:t>1128.6</w:t>
            </w:r>
          </w:p>
        </w:tc>
        <w:tc>
          <w:tcPr>
            <w:tcW w:w="348" w:type="pct"/>
            <w:vAlign w:val="center"/>
          </w:tcPr>
          <w:p w14:paraId="2BE93513" w14:textId="77777777" w:rsidR="003E78AB" w:rsidRDefault="00010BF9">
            <w:pPr>
              <w:pStyle w:val="aff6"/>
              <w:topLinePunct/>
              <w:rPr>
                <w:bCs/>
              </w:rPr>
            </w:pPr>
            <w:r>
              <w:rPr>
                <w:rFonts w:hint="eastAsia"/>
                <w:bCs/>
              </w:rPr>
              <w:t>/</w:t>
            </w:r>
          </w:p>
        </w:tc>
        <w:tc>
          <w:tcPr>
            <w:tcW w:w="348" w:type="pct"/>
            <w:vAlign w:val="center"/>
          </w:tcPr>
          <w:p w14:paraId="2CA5ED4D" w14:textId="77777777" w:rsidR="003E78AB" w:rsidRDefault="00010BF9">
            <w:pPr>
              <w:pStyle w:val="aff6"/>
              <w:topLinePunct/>
              <w:rPr>
                <w:bCs/>
              </w:rPr>
            </w:pPr>
            <w:r>
              <w:rPr>
                <w:rFonts w:hint="eastAsia"/>
                <w:bCs/>
              </w:rPr>
              <w:t>/</w:t>
            </w:r>
          </w:p>
        </w:tc>
        <w:tc>
          <w:tcPr>
            <w:tcW w:w="349" w:type="pct"/>
            <w:vAlign w:val="center"/>
          </w:tcPr>
          <w:p w14:paraId="748D5CD0" w14:textId="77777777" w:rsidR="003E78AB" w:rsidRDefault="00010BF9">
            <w:pPr>
              <w:pStyle w:val="aff6"/>
              <w:topLinePunct/>
              <w:rPr>
                <w:bCs/>
              </w:rPr>
            </w:pPr>
            <w:r>
              <w:rPr>
                <w:bCs/>
              </w:rPr>
              <w:t>57.42</w:t>
            </w:r>
          </w:p>
        </w:tc>
        <w:tc>
          <w:tcPr>
            <w:tcW w:w="453" w:type="pct"/>
            <w:vAlign w:val="center"/>
          </w:tcPr>
          <w:p w14:paraId="6E2EA074" w14:textId="77777777" w:rsidR="003E78AB" w:rsidRDefault="00010BF9">
            <w:pPr>
              <w:pStyle w:val="aff6"/>
              <w:topLinePunct/>
              <w:rPr>
                <w:bCs/>
              </w:rPr>
            </w:pPr>
            <w:r>
              <w:rPr>
                <w:rFonts w:hint="eastAsia"/>
                <w:bCs/>
              </w:rPr>
              <w:t>已批复的园区规划环评报告书</w:t>
            </w:r>
          </w:p>
        </w:tc>
      </w:tr>
      <w:tr w:rsidR="003E78AB" w14:paraId="1AA0263A" w14:textId="77777777">
        <w:trPr>
          <w:trHeight w:val="20"/>
        </w:trPr>
        <w:tc>
          <w:tcPr>
            <w:tcW w:w="228" w:type="pct"/>
            <w:vAlign w:val="center"/>
          </w:tcPr>
          <w:p w14:paraId="459C4507" w14:textId="77777777" w:rsidR="003E78AB" w:rsidRDefault="00010BF9">
            <w:pPr>
              <w:pStyle w:val="aff6"/>
              <w:topLinePunct/>
              <w:rPr>
                <w:bCs/>
              </w:rPr>
            </w:pPr>
            <w:r>
              <w:rPr>
                <w:bCs/>
              </w:rPr>
              <w:t>16</w:t>
            </w:r>
          </w:p>
        </w:tc>
        <w:tc>
          <w:tcPr>
            <w:tcW w:w="667" w:type="pct"/>
            <w:vAlign w:val="center"/>
          </w:tcPr>
          <w:p w14:paraId="1710F3B7" w14:textId="77777777" w:rsidR="003E78AB" w:rsidRDefault="00010BF9">
            <w:pPr>
              <w:pStyle w:val="aff6"/>
              <w:topLinePunct/>
              <w:rPr>
                <w:bCs/>
              </w:rPr>
            </w:pPr>
            <w:r>
              <w:rPr>
                <w:rFonts w:hint="eastAsia"/>
                <w:bCs/>
              </w:rPr>
              <w:t>新疆腾翔镁制品有限公司</w:t>
            </w:r>
          </w:p>
        </w:tc>
        <w:tc>
          <w:tcPr>
            <w:tcW w:w="572" w:type="pct"/>
            <w:vAlign w:val="center"/>
          </w:tcPr>
          <w:p w14:paraId="0062629D" w14:textId="77777777" w:rsidR="003E78AB" w:rsidRDefault="00010BF9">
            <w:pPr>
              <w:pStyle w:val="aff6"/>
              <w:topLinePunct/>
              <w:rPr>
                <w:bCs/>
              </w:rPr>
            </w:pPr>
            <w:r>
              <w:rPr>
                <w:rFonts w:hint="eastAsia"/>
                <w:bCs/>
              </w:rPr>
              <w:t>生产废水</w:t>
            </w:r>
          </w:p>
        </w:tc>
        <w:tc>
          <w:tcPr>
            <w:tcW w:w="711" w:type="pct"/>
            <w:vAlign w:val="center"/>
          </w:tcPr>
          <w:p w14:paraId="596DDE2D" w14:textId="77777777" w:rsidR="003E78AB" w:rsidRDefault="00010BF9">
            <w:pPr>
              <w:pStyle w:val="aff6"/>
              <w:topLinePunct/>
              <w:rPr>
                <w:bCs/>
              </w:rPr>
            </w:pPr>
            <w:r>
              <w:rPr>
                <w:bCs/>
              </w:rPr>
              <w:t>A2/O+</w:t>
            </w:r>
            <w:r>
              <w:rPr>
                <w:bCs/>
              </w:rPr>
              <w:t>化学混凝法</w:t>
            </w:r>
          </w:p>
        </w:tc>
        <w:tc>
          <w:tcPr>
            <w:tcW w:w="529" w:type="pct"/>
            <w:vAlign w:val="center"/>
          </w:tcPr>
          <w:p w14:paraId="66F14694" w14:textId="77777777" w:rsidR="003E78AB" w:rsidRDefault="00010BF9">
            <w:pPr>
              <w:pStyle w:val="aff6"/>
              <w:topLinePunct/>
              <w:rPr>
                <w:bCs/>
              </w:rPr>
            </w:pPr>
            <w:r>
              <w:rPr>
                <w:rFonts w:hint="eastAsia"/>
                <w:bCs/>
              </w:rPr>
              <w:t>本厂回用</w:t>
            </w:r>
          </w:p>
        </w:tc>
        <w:tc>
          <w:tcPr>
            <w:tcW w:w="442" w:type="pct"/>
            <w:vAlign w:val="center"/>
          </w:tcPr>
          <w:p w14:paraId="512D8903" w14:textId="77777777" w:rsidR="003E78AB" w:rsidRDefault="00010BF9">
            <w:pPr>
              <w:pStyle w:val="aff6"/>
              <w:topLinePunct/>
              <w:rPr>
                <w:bCs/>
              </w:rPr>
            </w:pPr>
            <w:r>
              <w:rPr>
                <w:bCs/>
              </w:rPr>
              <w:t>36000</w:t>
            </w:r>
          </w:p>
        </w:tc>
        <w:tc>
          <w:tcPr>
            <w:tcW w:w="348" w:type="pct"/>
            <w:vAlign w:val="center"/>
          </w:tcPr>
          <w:p w14:paraId="5AEE0B7C" w14:textId="77777777" w:rsidR="003E78AB" w:rsidRDefault="00010BF9">
            <w:pPr>
              <w:pStyle w:val="aff6"/>
              <w:topLinePunct/>
              <w:rPr>
                <w:bCs/>
              </w:rPr>
            </w:pPr>
            <w:r>
              <w:rPr>
                <w:bCs/>
              </w:rPr>
              <w:t>274.228</w:t>
            </w:r>
          </w:p>
        </w:tc>
        <w:tc>
          <w:tcPr>
            <w:tcW w:w="348" w:type="pct"/>
            <w:vAlign w:val="center"/>
          </w:tcPr>
          <w:p w14:paraId="793B7440" w14:textId="77777777" w:rsidR="003E78AB" w:rsidRDefault="00010BF9">
            <w:pPr>
              <w:pStyle w:val="aff6"/>
              <w:topLinePunct/>
              <w:rPr>
                <w:bCs/>
              </w:rPr>
            </w:pPr>
            <w:r>
              <w:rPr>
                <w:rFonts w:hint="eastAsia"/>
                <w:bCs/>
              </w:rPr>
              <w:t>/</w:t>
            </w:r>
          </w:p>
        </w:tc>
        <w:tc>
          <w:tcPr>
            <w:tcW w:w="348" w:type="pct"/>
            <w:vAlign w:val="center"/>
          </w:tcPr>
          <w:p w14:paraId="78E7C424" w14:textId="77777777" w:rsidR="003E78AB" w:rsidRDefault="00010BF9">
            <w:pPr>
              <w:pStyle w:val="aff6"/>
              <w:topLinePunct/>
              <w:rPr>
                <w:bCs/>
              </w:rPr>
            </w:pPr>
            <w:r>
              <w:rPr>
                <w:rFonts w:hint="eastAsia"/>
                <w:bCs/>
              </w:rPr>
              <w:t>/</w:t>
            </w:r>
          </w:p>
        </w:tc>
        <w:tc>
          <w:tcPr>
            <w:tcW w:w="349" w:type="pct"/>
            <w:vAlign w:val="center"/>
          </w:tcPr>
          <w:p w14:paraId="6E5C93E2" w14:textId="77777777" w:rsidR="003E78AB" w:rsidRDefault="00010BF9">
            <w:pPr>
              <w:pStyle w:val="aff6"/>
              <w:topLinePunct/>
              <w:rPr>
                <w:bCs/>
              </w:rPr>
            </w:pPr>
            <w:r>
              <w:rPr>
                <w:bCs/>
              </w:rPr>
              <w:t>13.95</w:t>
            </w:r>
          </w:p>
        </w:tc>
        <w:tc>
          <w:tcPr>
            <w:tcW w:w="453" w:type="pct"/>
            <w:vAlign w:val="center"/>
          </w:tcPr>
          <w:p w14:paraId="70A23A36" w14:textId="77777777" w:rsidR="003E78AB" w:rsidRDefault="00010BF9">
            <w:pPr>
              <w:pStyle w:val="aff6"/>
              <w:topLinePunct/>
              <w:rPr>
                <w:bCs/>
              </w:rPr>
            </w:pPr>
            <w:r>
              <w:rPr>
                <w:rFonts w:hint="eastAsia"/>
                <w:bCs/>
              </w:rPr>
              <w:t>已批复的园区规划环评报告书</w:t>
            </w:r>
          </w:p>
        </w:tc>
      </w:tr>
      <w:tr w:rsidR="003E78AB" w14:paraId="126FAD4F" w14:textId="77777777">
        <w:trPr>
          <w:trHeight w:val="20"/>
        </w:trPr>
        <w:tc>
          <w:tcPr>
            <w:tcW w:w="228" w:type="pct"/>
            <w:vAlign w:val="center"/>
          </w:tcPr>
          <w:p w14:paraId="0CE7353F" w14:textId="77777777" w:rsidR="003E78AB" w:rsidRDefault="00010BF9">
            <w:pPr>
              <w:pStyle w:val="aff6"/>
              <w:topLinePunct/>
              <w:rPr>
                <w:bCs/>
              </w:rPr>
            </w:pPr>
            <w:r>
              <w:rPr>
                <w:bCs/>
              </w:rPr>
              <w:t>17</w:t>
            </w:r>
          </w:p>
        </w:tc>
        <w:tc>
          <w:tcPr>
            <w:tcW w:w="667" w:type="pct"/>
            <w:vAlign w:val="center"/>
          </w:tcPr>
          <w:p w14:paraId="1CF271E1" w14:textId="77777777" w:rsidR="003E78AB" w:rsidRDefault="00010BF9">
            <w:pPr>
              <w:pStyle w:val="aff6"/>
              <w:topLinePunct/>
              <w:rPr>
                <w:bCs/>
              </w:rPr>
            </w:pPr>
            <w:r>
              <w:rPr>
                <w:rFonts w:hint="eastAsia"/>
                <w:bCs/>
              </w:rPr>
              <w:t>哈密乔戈里金属冶选有限公司</w:t>
            </w:r>
          </w:p>
        </w:tc>
        <w:tc>
          <w:tcPr>
            <w:tcW w:w="572" w:type="pct"/>
            <w:vAlign w:val="center"/>
          </w:tcPr>
          <w:p w14:paraId="1C077CDD" w14:textId="77777777" w:rsidR="003E78AB" w:rsidRDefault="00010BF9">
            <w:pPr>
              <w:pStyle w:val="aff6"/>
              <w:topLinePunct/>
              <w:rPr>
                <w:bCs/>
              </w:rPr>
            </w:pPr>
            <w:r>
              <w:rPr>
                <w:rFonts w:hint="eastAsia"/>
                <w:bCs/>
              </w:rPr>
              <w:t>含悬浮物废水</w:t>
            </w:r>
          </w:p>
        </w:tc>
        <w:tc>
          <w:tcPr>
            <w:tcW w:w="711" w:type="pct"/>
            <w:vAlign w:val="center"/>
          </w:tcPr>
          <w:p w14:paraId="664DDFA2" w14:textId="77777777" w:rsidR="003E78AB" w:rsidRDefault="00010BF9">
            <w:pPr>
              <w:pStyle w:val="aff6"/>
              <w:topLinePunct/>
              <w:rPr>
                <w:bCs/>
              </w:rPr>
            </w:pPr>
            <w:r>
              <w:rPr>
                <w:rFonts w:hint="eastAsia"/>
                <w:bCs/>
              </w:rPr>
              <w:t>沉淀分离</w:t>
            </w:r>
          </w:p>
        </w:tc>
        <w:tc>
          <w:tcPr>
            <w:tcW w:w="529" w:type="pct"/>
            <w:vAlign w:val="center"/>
          </w:tcPr>
          <w:p w14:paraId="54893047" w14:textId="77777777" w:rsidR="003E78AB" w:rsidRDefault="00010BF9">
            <w:pPr>
              <w:pStyle w:val="aff6"/>
              <w:topLinePunct/>
              <w:rPr>
                <w:bCs/>
              </w:rPr>
            </w:pPr>
            <w:r>
              <w:rPr>
                <w:rFonts w:hint="eastAsia"/>
                <w:bCs/>
              </w:rPr>
              <w:t>本厂回用</w:t>
            </w:r>
          </w:p>
        </w:tc>
        <w:tc>
          <w:tcPr>
            <w:tcW w:w="442" w:type="pct"/>
            <w:vAlign w:val="center"/>
          </w:tcPr>
          <w:p w14:paraId="2E0DF93F" w14:textId="77777777" w:rsidR="003E78AB" w:rsidRDefault="00010BF9">
            <w:pPr>
              <w:pStyle w:val="aff6"/>
              <w:topLinePunct/>
              <w:rPr>
                <w:bCs/>
              </w:rPr>
            </w:pPr>
            <w:r>
              <w:rPr>
                <w:bCs/>
              </w:rPr>
              <w:t>16165</w:t>
            </w:r>
          </w:p>
        </w:tc>
        <w:tc>
          <w:tcPr>
            <w:tcW w:w="348" w:type="pct"/>
            <w:vAlign w:val="center"/>
          </w:tcPr>
          <w:p w14:paraId="691FBD7A" w14:textId="77777777" w:rsidR="003E78AB" w:rsidRDefault="00010BF9">
            <w:pPr>
              <w:pStyle w:val="aff6"/>
              <w:topLinePunct/>
              <w:rPr>
                <w:bCs/>
              </w:rPr>
            </w:pPr>
            <w:r>
              <w:rPr>
                <w:bCs/>
              </w:rPr>
              <w:t>20.93</w:t>
            </w:r>
          </w:p>
        </w:tc>
        <w:tc>
          <w:tcPr>
            <w:tcW w:w="348" w:type="pct"/>
            <w:vAlign w:val="center"/>
          </w:tcPr>
          <w:p w14:paraId="01B4D820" w14:textId="77777777" w:rsidR="003E78AB" w:rsidRDefault="00010BF9">
            <w:pPr>
              <w:pStyle w:val="aff6"/>
              <w:topLinePunct/>
              <w:rPr>
                <w:bCs/>
              </w:rPr>
            </w:pPr>
            <w:r>
              <w:rPr>
                <w:rFonts w:hint="eastAsia"/>
                <w:bCs/>
              </w:rPr>
              <w:t>/</w:t>
            </w:r>
          </w:p>
        </w:tc>
        <w:tc>
          <w:tcPr>
            <w:tcW w:w="348" w:type="pct"/>
            <w:vAlign w:val="center"/>
          </w:tcPr>
          <w:p w14:paraId="11D3FF32" w14:textId="77777777" w:rsidR="003E78AB" w:rsidRDefault="00010BF9">
            <w:pPr>
              <w:pStyle w:val="aff6"/>
              <w:topLinePunct/>
              <w:rPr>
                <w:bCs/>
              </w:rPr>
            </w:pPr>
            <w:r>
              <w:rPr>
                <w:rFonts w:hint="eastAsia"/>
                <w:bCs/>
              </w:rPr>
              <w:t>/</w:t>
            </w:r>
          </w:p>
        </w:tc>
        <w:tc>
          <w:tcPr>
            <w:tcW w:w="349" w:type="pct"/>
            <w:vAlign w:val="center"/>
          </w:tcPr>
          <w:p w14:paraId="0CF1E428" w14:textId="77777777" w:rsidR="003E78AB" w:rsidRDefault="00010BF9">
            <w:pPr>
              <w:pStyle w:val="aff6"/>
              <w:topLinePunct/>
              <w:rPr>
                <w:bCs/>
              </w:rPr>
            </w:pPr>
            <w:r>
              <w:rPr>
                <w:rFonts w:hint="eastAsia"/>
                <w:bCs/>
              </w:rPr>
              <w:t>/</w:t>
            </w:r>
          </w:p>
        </w:tc>
        <w:tc>
          <w:tcPr>
            <w:tcW w:w="453" w:type="pct"/>
            <w:vAlign w:val="center"/>
          </w:tcPr>
          <w:p w14:paraId="36CA857C" w14:textId="77777777" w:rsidR="003E78AB" w:rsidRDefault="00010BF9">
            <w:pPr>
              <w:pStyle w:val="aff6"/>
              <w:topLinePunct/>
              <w:rPr>
                <w:bCs/>
              </w:rPr>
            </w:pPr>
            <w:r>
              <w:rPr>
                <w:rFonts w:hint="eastAsia"/>
                <w:bCs/>
              </w:rPr>
              <w:t>已批复的园区规划环评报告书</w:t>
            </w:r>
          </w:p>
        </w:tc>
      </w:tr>
      <w:tr w:rsidR="003E78AB" w14:paraId="03C65406" w14:textId="77777777">
        <w:trPr>
          <w:trHeight w:val="20"/>
        </w:trPr>
        <w:tc>
          <w:tcPr>
            <w:tcW w:w="228" w:type="pct"/>
            <w:vAlign w:val="center"/>
          </w:tcPr>
          <w:p w14:paraId="61585935" w14:textId="77777777" w:rsidR="003E78AB" w:rsidRDefault="00010BF9">
            <w:pPr>
              <w:pStyle w:val="aff6"/>
              <w:topLinePunct/>
              <w:rPr>
                <w:bCs/>
              </w:rPr>
            </w:pPr>
            <w:r>
              <w:rPr>
                <w:bCs/>
              </w:rPr>
              <w:t>18</w:t>
            </w:r>
          </w:p>
        </w:tc>
        <w:tc>
          <w:tcPr>
            <w:tcW w:w="667" w:type="pct"/>
            <w:vAlign w:val="center"/>
          </w:tcPr>
          <w:p w14:paraId="15633839" w14:textId="77777777" w:rsidR="003E78AB" w:rsidRDefault="00010BF9">
            <w:pPr>
              <w:pStyle w:val="aff6"/>
              <w:topLinePunct/>
              <w:rPr>
                <w:bCs/>
              </w:rPr>
            </w:pPr>
            <w:r>
              <w:rPr>
                <w:rFonts w:hint="eastAsia"/>
                <w:bCs/>
              </w:rPr>
              <w:t>哈密市河山石材厂</w:t>
            </w:r>
          </w:p>
        </w:tc>
        <w:tc>
          <w:tcPr>
            <w:tcW w:w="572" w:type="pct"/>
            <w:vAlign w:val="center"/>
          </w:tcPr>
          <w:p w14:paraId="1A70A0C0" w14:textId="77777777" w:rsidR="003E78AB" w:rsidRDefault="00010BF9">
            <w:pPr>
              <w:pStyle w:val="aff6"/>
              <w:topLinePunct/>
              <w:rPr>
                <w:bCs/>
              </w:rPr>
            </w:pPr>
            <w:r>
              <w:rPr>
                <w:rFonts w:hint="eastAsia"/>
                <w:bCs/>
              </w:rPr>
              <w:t>含悬浮物废水</w:t>
            </w:r>
          </w:p>
        </w:tc>
        <w:tc>
          <w:tcPr>
            <w:tcW w:w="711" w:type="pct"/>
            <w:vAlign w:val="center"/>
          </w:tcPr>
          <w:p w14:paraId="6DD3A882" w14:textId="77777777" w:rsidR="003E78AB" w:rsidRDefault="00010BF9">
            <w:pPr>
              <w:pStyle w:val="aff6"/>
              <w:topLinePunct/>
              <w:rPr>
                <w:bCs/>
              </w:rPr>
            </w:pPr>
            <w:r>
              <w:rPr>
                <w:rFonts w:hint="eastAsia"/>
                <w:bCs/>
              </w:rPr>
              <w:t>沉淀分离</w:t>
            </w:r>
          </w:p>
        </w:tc>
        <w:tc>
          <w:tcPr>
            <w:tcW w:w="529" w:type="pct"/>
            <w:vAlign w:val="center"/>
          </w:tcPr>
          <w:p w14:paraId="6BF47D5B" w14:textId="77777777" w:rsidR="003E78AB" w:rsidRDefault="00010BF9">
            <w:pPr>
              <w:pStyle w:val="aff6"/>
              <w:topLinePunct/>
              <w:rPr>
                <w:bCs/>
              </w:rPr>
            </w:pPr>
            <w:r>
              <w:rPr>
                <w:rFonts w:hint="eastAsia"/>
                <w:bCs/>
              </w:rPr>
              <w:t>本厂回用</w:t>
            </w:r>
          </w:p>
        </w:tc>
        <w:tc>
          <w:tcPr>
            <w:tcW w:w="442" w:type="pct"/>
            <w:vAlign w:val="center"/>
          </w:tcPr>
          <w:p w14:paraId="1D7A0F43" w14:textId="77777777" w:rsidR="003E78AB" w:rsidRDefault="00010BF9">
            <w:pPr>
              <w:pStyle w:val="aff6"/>
              <w:topLinePunct/>
              <w:rPr>
                <w:bCs/>
              </w:rPr>
            </w:pPr>
            <w:r>
              <w:rPr>
                <w:bCs/>
              </w:rPr>
              <w:t>1000</w:t>
            </w:r>
          </w:p>
        </w:tc>
        <w:tc>
          <w:tcPr>
            <w:tcW w:w="348" w:type="pct"/>
            <w:vAlign w:val="center"/>
          </w:tcPr>
          <w:p w14:paraId="6EA832E9" w14:textId="77777777" w:rsidR="003E78AB" w:rsidRDefault="00010BF9">
            <w:pPr>
              <w:pStyle w:val="aff6"/>
              <w:topLinePunct/>
              <w:rPr>
                <w:bCs/>
              </w:rPr>
            </w:pPr>
            <w:r>
              <w:rPr>
                <w:bCs/>
              </w:rPr>
              <w:t>0.848</w:t>
            </w:r>
          </w:p>
        </w:tc>
        <w:tc>
          <w:tcPr>
            <w:tcW w:w="348" w:type="pct"/>
            <w:vAlign w:val="center"/>
          </w:tcPr>
          <w:p w14:paraId="45B60FFA" w14:textId="77777777" w:rsidR="003E78AB" w:rsidRDefault="00010BF9">
            <w:pPr>
              <w:pStyle w:val="aff6"/>
              <w:topLinePunct/>
              <w:rPr>
                <w:bCs/>
              </w:rPr>
            </w:pPr>
            <w:r>
              <w:rPr>
                <w:rFonts w:hint="eastAsia"/>
                <w:bCs/>
              </w:rPr>
              <w:t>/</w:t>
            </w:r>
          </w:p>
        </w:tc>
        <w:tc>
          <w:tcPr>
            <w:tcW w:w="348" w:type="pct"/>
            <w:vAlign w:val="center"/>
          </w:tcPr>
          <w:p w14:paraId="748FC30F" w14:textId="77777777" w:rsidR="003E78AB" w:rsidRDefault="00010BF9">
            <w:pPr>
              <w:pStyle w:val="aff6"/>
              <w:topLinePunct/>
              <w:rPr>
                <w:bCs/>
              </w:rPr>
            </w:pPr>
            <w:r>
              <w:rPr>
                <w:rFonts w:hint="eastAsia"/>
                <w:bCs/>
              </w:rPr>
              <w:t>/</w:t>
            </w:r>
          </w:p>
        </w:tc>
        <w:tc>
          <w:tcPr>
            <w:tcW w:w="349" w:type="pct"/>
            <w:vAlign w:val="center"/>
          </w:tcPr>
          <w:p w14:paraId="4A3AFD1A" w14:textId="77777777" w:rsidR="003E78AB" w:rsidRDefault="00010BF9">
            <w:pPr>
              <w:pStyle w:val="aff6"/>
              <w:topLinePunct/>
              <w:rPr>
                <w:bCs/>
              </w:rPr>
            </w:pPr>
            <w:r>
              <w:rPr>
                <w:rFonts w:hint="eastAsia"/>
                <w:bCs/>
              </w:rPr>
              <w:t>/</w:t>
            </w:r>
          </w:p>
        </w:tc>
        <w:tc>
          <w:tcPr>
            <w:tcW w:w="453" w:type="pct"/>
            <w:vAlign w:val="center"/>
          </w:tcPr>
          <w:p w14:paraId="540CA297" w14:textId="77777777" w:rsidR="003E78AB" w:rsidRDefault="00010BF9">
            <w:pPr>
              <w:pStyle w:val="aff6"/>
              <w:topLinePunct/>
              <w:rPr>
                <w:bCs/>
              </w:rPr>
            </w:pPr>
            <w:r>
              <w:rPr>
                <w:rFonts w:hint="eastAsia"/>
                <w:bCs/>
              </w:rPr>
              <w:t>已批复的园区规划环评报告书</w:t>
            </w:r>
          </w:p>
        </w:tc>
      </w:tr>
      <w:tr w:rsidR="003E78AB" w14:paraId="77445B60" w14:textId="77777777">
        <w:trPr>
          <w:trHeight w:val="20"/>
        </w:trPr>
        <w:tc>
          <w:tcPr>
            <w:tcW w:w="228" w:type="pct"/>
            <w:vAlign w:val="center"/>
          </w:tcPr>
          <w:p w14:paraId="6A92237F" w14:textId="77777777" w:rsidR="003E78AB" w:rsidRDefault="00010BF9">
            <w:pPr>
              <w:pStyle w:val="aff6"/>
              <w:topLinePunct/>
              <w:rPr>
                <w:bCs/>
              </w:rPr>
            </w:pPr>
            <w:r>
              <w:rPr>
                <w:bCs/>
              </w:rPr>
              <w:t>19</w:t>
            </w:r>
          </w:p>
        </w:tc>
        <w:tc>
          <w:tcPr>
            <w:tcW w:w="667" w:type="pct"/>
            <w:vAlign w:val="center"/>
          </w:tcPr>
          <w:p w14:paraId="0368BD9F" w14:textId="77777777" w:rsidR="003E78AB" w:rsidRDefault="00010BF9">
            <w:pPr>
              <w:pStyle w:val="aff6"/>
              <w:topLinePunct/>
              <w:rPr>
                <w:bCs/>
              </w:rPr>
            </w:pPr>
            <w:r>
              <w:rPr>
                <w:rFonts w:hint="eastAsia"/>
                <w:bCs/>
              </w:rPr>
              <w:t>哈密市冠亿石材厂</w:t>
            </w:r>
          </w:p>
        </w:tc>
        <w:tc>
          <w:tcPr>
            <w:tcW w:w="572" w:type="pct"/>
            <w:vAlign w:val="center"/>
          </w:tcPr>
          <w:p w14:paraId="643F2140" w14:textId="77777777" w:rsidR="003E78AB" w:rsidRDefault="00010BF9">
            <w:pPr>
              <w:pStyle w:val="aff6"/>
              <w:topLinePunct/>
              <w:rPr>
                <w:bCs/>
              </w:rPr>
            </w:pPr>
            <w:r>
              <w:rPr>
                <w:rFonts w:hint="eastAsia"/>
                <w:bCs/>
              </w:rPr>
              <w:t>含悬浮物废水</w:t>
            </w:r>
          </w:p>
        </w:tc>
        <w:tc>
          <w:tcPr>
            <w:tcW w:w="711" w:type="pct"/>
            <w:vAlign w:val="center"/>
          </w:tcPr>
          <w:p w14:paraId="64EB7FB2" w14:textId="77777777" w:rsidR="003E78AB" w:rsidRDefault="00010BF9">
            <w:pPr>
              <w:pStyle w:val="aff6"/>
              <w:topLinePunct/>
              <w:rPr>
                <w:bCs/>
              </w:rPr>
            </w:pPr>
            <w:r>
              <w:rPr>
                <w:rFonts w:hint="eastAsia"/>
                <w:bCs/>
              </w:rPr>
              <w:t>沉淀分离</w:t>
            </w:r>
          </w:p>
        </w:tc>
        <w:tc>
          <w:tcPr>
            <w:tcW w:w="529" w:type="pct"/>
            <w:vAlign w:val="center"/>
          </w:tcPr>
          <w:p w14:paraId="398EBBA3" w14:textId="77777777" w:rsidR="003E78AB" w:rsidRDefault="00010BF9">
            <w:pPr>
              <w:pStyle w:val="aff6"/>
              <w:topLinePunct/>
              <w:rPr>
                <w:bCs/>
              </w:rPr>
            </w:pPr>
            <w:r>
              <w:rPr>
                <w:rFonts w:hint="eastAsia"/>
                <w:bCs/>
              </w:rPr>
              <w:t>本厂回用</w:t>
            </w:r>
          </w:p>
        </w:tc>
        <w:tc>
          <w:tcPr>
            <w:tcW w:w="442" w:type="pct"/>
            <w:vAlign w:val="center"/>
          </w:tcPr>
          <w:p w14:paraId="33C12C3D" w14:textId="77777777" w:rsidR="003E78AB" w:rsidRDefault="00010BF9">
            <w:pPr>
              <w:pStyle w:val="aff6"/>
              <w:topLinePunct/>
              <w:rPr>
                <w:bCs/>
              </w:rPr>
            </w:pPr>
            <w:r>
              <w:rPr>
                <w:rFonts w:hint="eastAsia"/>
                <w:bCs/>
              </w:rPr>
              <w:t>2500</w:t>
            </w:r>
          </w:p>
        </w:tc>
        <w:tc>
          <w:tcPr>
            <w:tcW w:w="348" w:type="pct"/>
            <w:vAlign w:val="center"/>
          </w:tcPr>
          <w:p w14:paraId="14CAF9B4" w14:textId="77777777" w:rsidR="003E78AB" w:rsidRDefault="00010BF9">
            <w:pPr>
              <w:pStyle w:val="aff6"/>
              <w:topLinePunct/>
              <w:rPr>
                <w:bCs/>
              </w:rPr>
            </w:pPr>
            <w:r>
              <w:rPr>
                <w:rFonts w:hint="eastAsia"/>
                <w:bCs/>
              </w:rPr>
              <w:t>0.53</w:t>
            </w:r>
          </w:p>
        </w:tc>
        <w:tc>
          <w:tcPr>
            <w:tcW w:w="348" w:type="pct"/>
            <w:vAlign w:val="center"/>
          </w:tcPr>
          <w:p w14:paraId="49DA2430" w14:textId="77777777" w:rsidR="003E78AB" w:rsidRDefault="00010BF9">
            <w:pPr>
              <w:pStyle w:val="aff6"/>
              <w:topLinePunct/>
              <w:rPr>
                <w:bCs/>
              </w:rPr>
            </w:pPr>
            <w:r>
              <w:rPr>
                <w:rFonts w:hint="eastAsia"/>
                <w:bCs/>
              </w:rPr>
              <w:t>/</w:t>
            </w:r>
          </w:p>
        </w:tc>
        <w:tc>
          <w:tcPr>
            <w:tcW w:w="348" w:type="pct"/>
            <w:vAlign w:val="center"/>
          </w:tcPr>
          <w:p w14:paraId="50AB2F4F" w14:textId="77777777" w:rsidR="003E78AB" w:rsidRDefault="00010BF9">
            <w:pPr>
              <w:pStyle w:val="aff6"/>
              <w:topLinePunct/>
              <w:rPr>
                <w:bCs/>
              </w:rPr>
            </w:pPr>
            <w:r>
              <w:rPr>
                <w:rFonts w:hint="eastAsia"/>
                <w:bCs/>
              </w:rPr>
              <w:t>/</w:t>
            </w:r>
          </w:p>
        </w:tc>
        <w:tc>
          <w:tcPr>
            <w:tcW w:w="349" w:type="pct"/>
            <w:vAlign w:val="center"/>
          </w:tcPr>
          <w:p w14:paraId="5242DCCA" w14:textId="77777777" w:rsidR="003E78AB" w:rsidRDefault="00010BF9">
            <w:pPr>
              <w:pStyle w:val="aff6"/>
              <w:topLinePunct/>
              <w:rPr>
                <w:bCs/>
              </w:rPr>
            </w:pPr>
            <w:r>
              <w:rPr>
                <w:rFonts w:hint="eastAsia"/>
                <w:bCs/>
              </w:rPr>
              <w:t>/</w:t>
            </w:r>
          </w:p>
        </w:tc>
        <w:tc>
          <w:tcPr>
            <w:tcW w:w="453" w:type="pct"/>
            <w:vAlign w:val="center"/>
          </w:tcPr>
          <w:p w14:paraId="6A1D0B38" w14:textId="77777777" w:rsidR="003E78AB" w:rsidRDefault="00010BF9">
            <w:pPr>
              <w:pStyle w:val="aff6"/>
              <w:topLinePunct/>
              <w:rPr>
                <w:bCs/>
              </w:rPr>
            </w:pPr>
            <w:r>
              <w:rPr>
                <w:rFonts w:hint="eastAsia"/>
                <w:bCs/>
              </w:rPr>
              <w:t>已批复的园区规划环评报告书</w:t>
            </w:r>
          </w:p>
        </w:tc>
      </w:tr>
      <w:tr w:rsidR="003E78AB" w14:paraId="056EFDA8" w14:textId="77777777">
        <w:trPr>
          <w:trHeight w:val="20"/>
        </w:trPr>
        <w:tc>
          <w:tcPr>
            <w:tcW w:w="228" w:type="pct"/>
            <w:vAlign w:val="center"/>
          </w:tcPr>
          <w:p w14:paraId="147271A1" w14:textId="77777777" w:rsidR="003E78AB" w:rsidRDefault="00010BF9">
            <w:pPr>
              <w:pStyle w:val="aff6"/>
              <w:topLinePunct/>
              <w:rPr>
                <w:bCs/>
              </w:rPr>
            </w:pPr>
            <w:r>
              <w:rPr>
                <w:bCs/>
              </w:rPr>
              <w:t>20</w:t>
            </w:r>
          </w:p>
        </w:tc>
        <w:tc>
          <w:tcPr>
            <w:tcW w:w="667" w:type="pct"/>
            <w:vAlign w:val="center"/>
          </w:tcPr>
          <w:p w14:paraId="057DFBCB" w14:textId="77777777" w:rsidR="003E78AB" w:rsidRDefault="00010BF9">
            <w:pPr>
              <w:pStyle w:val="aff6"/>
              <w:topLinePunct/>
              <w:rPr>
                <w:bCs/>
              </w:rPr>
            </w:pPr>
            <w:r>
              <w:rPr>
                <w:rFonts w:hint="eastAsia"/>
                <w:bCs/>
              </w:rPr>
              <w:t>哈密市广新石材厂</w:t>
            </w:r>
          </w:p>
        </w:tc>
        <w:tc>
          <w:tcPr>
            <w:tcW w:w="572" w:type="pct"/>
            <w:vAlign w:val="center"/>
          </w:tcPr>
          <w:p w14:paraId="4D31471A" w14:textId="77777777" w:rsidR="003E78AB" w:rsidRDefault="00010BF9">
            <w:pPr>
              <w:pStyle w:val="aff6"/>
              <w:topLinePunct/>
              <w:rPr>
                <w:bCs/>
              </w:rPr>
            </w:pPr>
            <w:r>
              <w:rPr>
                <w:rFonts w:hint="eastAsia"/>
                <w:bCs/>
              </w:rPr>
              <w:t>含悬浮物废水</w:t>
            </w:r>
          </w:p>
        </w:tc>
        <w:tc>
          <w:tcPr>
            <w:tcW w:w="711" w:type="pct"/>
            <w:vAlign w:val="center"/>
          </w:tcPr>
          <w:p w14:paraId="76819EA9" w14:textId="77777777" w:rsidR="003E78AB" w:rsidRDefault="00010BF9">
            <w:pPr>
              <w:pStyle w:val="aff6"/>
              <w:topLinePunct/>
              <w:rPr>
                <w:bCs/>
              </w:rPr>
            </w:pPr>
            <w:r>
              <w:rPr>
                <w:rFonts w:hint="eastAsia"/>
                <w:bCs/>
              </w:rPr>
              <w:t>沉淀分离</w:t>
            </w:r>
          </w:p>
        </w:tc>
        <w:tc>
          <w:tcPr>
            <w:tcW w:w="529" w:type="pct"/>
            <w:vAlign w:val="center"/>
          </w:tcPr>
          <w:p w14:paraId="65B0C103" w14:textId="77777777" w:rsidR="003E78AB" w:rsidRDefault="00010BF9">
            <w:pPr>
              <w:pStyle w:val="aff6"/>
              <w:topLinePunct/>
              <w:rPr>
                <w:bCs/>
              </w:rPr>
            </w:pPr>
            <w:r>
              <w:rPr>
                <w:rFonts w:hint="eastAsia"/>
                <w:bCs/>
              </w:rPr>
              <w:t>本厂回用</w:t>
            </w:r>
          </w:p>
        </w:tc>
        <w:tc>
          <w:tcPr>
            <w:tcW w:w="442" w:type="pct"/>
            <w:vAlign w:val="center"/>
          </w:tcPr>
          <w:p w14:paraId="48E9879A" w14:textId="77777777" w:rsidR="003E78AB" w:rsidRDefault="00010BF9">
            <w:pPr>
              <w:pStyle w:val="aff6"/>
              <w:topLinePunct/>
              <w:rPr>
                <w:bCs/>
              </w:rPr>
            </w:pPr>
            <w:r>
              <w:rPr>
                <w:rFonts w:hint="eastAsia"/>
                <w:bCs/>
              </w:rPr>
              <w:t>4500</w:t>
            </w:r>
          </w:p>
        </w:tc>
        <w:tc>
          <w:tcPr>
            <w:tcW w:w="348" w:type="pct"/>
            <w:vAlign w:val="center"/>
          </w:tcPr>
          <w:p w14:paraId="4203EDEC" w14:textId="77777777" w:rsidR="003E78AB" w:rsidRDefault="00010BF9">
            <w:pPr>
              <w:pStyle w:val="aff6"/>
              <w:topLinePunct/>
              <w:rPr>
                <w:bCs/>
              </w:rPr>
            </w:pPr>
            <w:r>
              <w:rPr>
                <w:rFonts w:hint="eastAsia"/>
                <w:bCs/>
              </w:rPr>
              <w:t>1.19</w:t>
            </w:r>
          </w:p>
        </w:tc>
        <w:tc>
          <w:tcPr>
            <w:tcW w:w="348" w:type="pct"/>
            <w:vAlign w:val="center"/>
          </w:tcPr>
          <w:p w14:paraId="2BCB3B72" w14:textId="77777777" w:rsidR="003E78AB" w:rsidRDefault="00010BF9">
            <w:pPr>
              <w:pStyle w:val="aff6"/>
              <w:topLinePunct/>
              <w:rPr>
                <w:bCs/>
              </w:rPr>
            </w:pPr>
            <w:r>
              <w:rPr>
                <w:rFonts w:hint="eastAsia"/>
                <w:bCs/>
              </w:rPr>
              <w:t>/</w:t>
            </w:r>
          </w:p>
        </w:tc>
        <w:tc>
          <w:tcPr>
            <w:tcW w:w="348" w:type="pct"/>
            <w:vAlign w:val="center"/>
          </w:tcPr>
          <w:p w14:paraId="2EB44D8C" w14:textId="77777777" w:rsidR="003E78AB" w:rsidRDefault="00010BF9">
            <w:pPr>
              <w:pStyle w:val="aff6"/>
              <w:topLinePunct/>
              <w:rPr>
                <w:bCs/>
              </w:rPr>
            </w:pPr>
            <w:r>
              <w:rPr>
                <w:rFonts w:hint="eastAsia"/>
                <w:bCs/>
              </w:rPr>
              <w:t>/</w:t>
            </w:r>
          </w:p>
        </w:tc>
        <w:tc>
          <w:tcPr>
            <w:tcW w:w="349" w:type="pct"/>
            <w:vAlign w:val="center"/>
          </w:tcPr>
          <w:p w14:paraId="560FB220" w14:textId="77777777" w:rsidR="003E78AB" w:rsidRDefault="00010BF9">
            <w:pPr>
              <w:pStyle w:val="aff6"/>
              <w:topLinePunct/>
              <w:rPr>
                <w:bCs/>
              </w:rPr>
            </w:pPr>
            <w:r>
              <w:rPr>
                <w:rFonts w:hint="eastAsia"/>
                <w:bCs/>
              </w:rPr>
              <w:t>/</w:t>
            </w:r>
          </w:p>
        </w:tc>
        <w:tc>
          <w:tcPr>
            <w:tcW w:w="453" w:type="pct"/>
            <w:vAlign w:val="center"/>
          </w:tcPr>
          <w:p w14:paraId="33314D4B" w14:textId="77777777" w:rsidR="003E78AB" w:rsidRDefault="00010BF9">
            <w:pPr>
              <w:pStyle w:val="aff6"/>
              <w:topLinePunct/>
              <w:rPr>
                <w:bCs/>
              </w:rPr>
            </w:pPr>
            <w:r>
              <w:rPr>
                <w:rFonts w:hint="eastAsia"/>
                <w:bCs/>
              </w:rPr>
              <w:t>已批复的园区规划环评报告书</w:t>
            </w:r>
          </w:p>
        </w:tc>
      </w:tr>
      <w:tr w:rsidR="003E78AB" w14:paraId="66D79FFE" w14:textId="77777777">
        <w:trPr>
          <w:trHeight w:val="20"/>
        </w:trPr>
        <w:tc>
          <w:tcPr>
            <w:tcW w:w="2709" w:type="pct"/>
            <w:gridSpan w:val="5"/>
            <w:noWrap/>
            <w:vAlign w:val="center"/>
          </w:tcPr>
          <w:p w14:paraId="0E05CD7B" w14:textId="77777777" w:rsidR="003E78AB" w:rsidRDefault="00010BF9">
            <w:pPr>
              <w:pStyle w:val="aff6"/>
              <w:topLinePunct/>
              <w:rPr>
                <w:bCs/>
              </w:rPr>
            </w:pPr>
            <w:r>
              <w:rPr>
                <w:rFonts w:hint="eastAsia"/>
                <w:bCs/>
              </w:rPr>
              <w:t>合计</w:t>
            </w:r>
          </w:p>
        </w:tc>
        <w:tc>
          <w:tcPr>
            <w:tcW w:w="442" w:type="pct"/>
            <w:noWrap/>
            <w:vAlign w:val="center"/>
          </w:tcPr>
          <w:p w14:paraId="0FA8AB0C" w14:textId="77777777" w:rsidR="003E78AB" w:rsidRDefault="00010BF9">
            <w:pPr>
              <w:pStyle w:val="aff6"/>
              <w:topLinePunct/>
              <w:rPr>
                <w:bCs/>
              </w:rPr>
            </w:pPr>
            <w:r>
              <w:rPr>
                <w:rFonts w:hint="eastAsia"/>
                <w:bCs/>
              </w:rPr>
              <w:t>312898</w:t>
            </w:r>
          </w:p>
        </w:tc>
        <w:tc>
          <w:tcPr>
            <w:tcW w:w="348" w:type="pct"/>
            <w:noWrap/>
            <w:vAlign w:val="center"/>
          </w:tcPr>
          <w:p w14:paraId="54B6AA26" w14:textId="77777777" w:rsidR="003E78AB" w:rsidRDefault="00010BF9">
            <w:pPr>
              <w:pStyle w:val="aff6"/>
              <w:topLinePunct/>
              <w:rPr>
                <w:bCs/>
              </w:rPr>
            </w:pPr>
            <w:r>
              <w:rPr>
                <w:rFonts w:hint="eastAsia"/>
                <w:bCs/>
              </w:rPr>
              <w:t>1785.08</w:t>
            </w:r>
          </w:p>
        </w:tc>
        <w:tc>
          <w:tcPr>
            <w:tcW w:w="348" w:type="pct"/>
            <w:noWrap/>
            <w:vAlign w:val="center"/>
          </w:tcPr>
          <w:p w14:paraId="7EAA55E2" w14:textId="77777777" w:rsidR="003E78AB" w:rsidRDefault="00010BF9">
            <w:pPr>
              <w:pStyle w:val="aff6"/>
              <w:topLinePunct/>
              <w:rPr>
                <w:bCs/>
              </w:rPr>
            </w:pPr>
            <w:r>
              <w:rPr>
                <w:rFonts w:hint="eastAsia"/>
                <w:bCs/>
              </w:rPr>
              <w:t>3.761</w:t>
            </w:r>
          </w:p>
        </w:tc>
        <w:tc>
          <w:tcPr>
            <w:tcW w:w="348" w:type="pct"/>
            <w:noWrap/>
            <w:vAlign w:val="center"/>
          </w:tcPr>
          <w:p w14:paraId="67ADB663" w14:textId="77777777" w:rsidR="003E78AB" w:rsidRDefault="00010BF9">
            <w:pPr>
              <w:pStyle w:val="aff6"/>
              <w:topLinePunct/>
              <w:rPr>
                <w:bCs/>
              </w:rPr>
            </w:pPr>
            <w:r>
              <w:rPr>
                <w:rFonts w:hint="eastAsia"/>
                <w:bCs/>
              </w:rPr>
              <w:t>30.117</w:t>
            </w:r>
          </w:p>
        </w:tc>
        <w:tc>
          <w:tcPr>
            <w:tcW w:w="349" w:type="pct"/>
            <w:noWrap/>
            <w:vAlign w:val="center"/>
          </w:tcPr>
          <w:p w14:paraId="0E3AD467" w14:textId="77777777" w:rsidR="003E78AB" w:rsidRDefault="00010BF9">
            <w:pPr>
              <w:pStyle w:val="aff6"/>
              <w:topLinePunct/>
              <w:rPr>
                <w:bCs/>
              </w:rPr>
            </w:pPr>
            <w:r>
              <w:rPr>
                <w:rFonts w:hint="eastAsia"/>
                <w:bCs/>
              </w:rPr>
              <w:t>91.2329</w:t>
            </w:r>
          </w:p>
        </w:tc>
        <w:tc>
          <w:tcPr>
            <w:tcW w:w="453" w:type="pct"/>
            <w:vAlign w:val="center"/>
          </w:tcPr>
          <w:p w14:paraId="01F31E22" w14:textId="77777777" w:rsidR="003E78AB" w:rsidRDefault="00010BF9">
            <w:pPr>
              <w:pStyle w:val="aff6"/>
              <w:topLinePunct/>
              <w:rPr>
                <w:bCs/>
              </w:rPr>
            </w:pPr>
            <w:r>
              <w:rPr>
                <w:rFonts w:hint="eastAsia"/>
                <w:bCs/>
              </w:rPr>
              <w:t>/</w:t>
            </w:r>
          </w:p>
        </w:tc>
      </w:tr>
    </w:tbl>
    <w:p w14:paraId="7921C277" w14:textId="77777777" w:rsidR="003E78AB" w:rsidRDefault="003E78AB">
      <w:pPr>
        <w:spacing w:line="460" w:lineRule="exact"/>
        <w:ind w:firstLine="482"/>
        <w:rPr>
          <w:b/>
          <w:bCs/>
          <w:u w:val="single"/>
        </w:rPr>
        <w:sectPr w:rsidR="003E78AB">
          <w:pgSz w:w="16838" w:h="11906" w:orient="landscape"/>
          <w:pgMar w:top="1985" w:right="1440" w:bottom="1701" w:left="1440" w:header="851" w:footer="992" w:gutter="0"/>
          <w:cols w:space="720"/>
          <w:docGrid w:linePitch="312"/>
        </w:sectPr>
      </w:pPr>
    </w:p>
    <w:p w14:paraId="1F2E555B" w14:textId="77777777" w:rsidR="003E78AB" w:rsidRDefault="00010BF9">
      <w:pPr>
        <w:pStyle w:val="a0"/>
        <w:rPr>
          <w:rFonts w:hint="default"/>
          <w:bCs/>
        </w:rPr>
      </w:pPr>
      <w:r>
        <w:rPr>
          <w:bCs/>
        </w:rPr>
        <w:t>主要企业一般工业固体废物排放情况</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385"/>
        <w:gridCol w:w="1460"/>
        <w:gridCol w:w="3710"/>
        <w:gridCol w:w="4178"/>
        <w:gridCol w:w="890"/>
      </w:tblGrid>
      <w:tr w:rsidR="003E78AB" w14:paraId="4ED636FC" w14:textId="77777777">
        <w:trPr>
          <w:trHeight w:val="20"/>
          <w:tblHeader/>
        </w:trPr>
        <w:tc>
          <w:tcPr>
            <w:tcW w:w="193" w:type="pct"/>
            <w:vMerge w:val="restart"/>
            <w:vAlign w:val="center"/>
          </w:tcPr>
          <w:p w14:paraId="4F8D3CEE" w14:textId="77777777" w:rsidR="003E78AB" w:rsidRDefault="00010BF9">
            <w:pPr>
              <w:pStyle w:val="aff6"/>
              <w:topLinePunct/>
              <w:rPr>
                <w:bCs/>
              </w:rPr>
            </w:pPr>
            <w:r>
              <w:rPr>
                <w:rFonts w:hint="eastAsia"/>
                <w:bCs/>
              </w:rPr>
              <w:t>序号</w:t>
            </w:r>
          </w:p>
        </w:tc>
        <w:tc>
          <w:tcPr>
            <w:tcW w:w="1193" w:type="pct"/>
            <w:vMerge w:val="restart"/>
            <w:vAlign w:val="center"/>
          </w:tcPr>
          <w:p w14:paraId="78674B20" w14:textId="77777777" w:rsidR="003E78AB" w:rsidRDefault="00010BF9">
            <w:pPr>
              <w:pStyle w:val="aff6"/>
              <w:topLinePunct/>
              <w:rPr>
                <w:bCs/>
              </w:rPr>
            </w:pPr>
            <w:r>
              <w:rPr>
                <w:rFonts w:hint="eastAsia"/>
                <w:bCs/>
              </w:rPr>
              <w:t>企业名称</w:t>
            </w:r>
          </w:p>
        </w:tc>
        <w:tc>
          <w:tcPr>
            <w:tcW w:w="3298" w:type="pct"/>
            <w:gridSpan w:val="3"/>
            <w:vAlign w:val="center"/>
          </w:tcPr>
          <w:p w14:paraId="2DBA1492" w14:textId="77777777" w:rsidR="003E78AB" w:rsidRDefault="00010BF9">
            <w:pPr>
              <w:pStyle w:val="aff6"/>
              <w:topLinePunct/>
              <w:rPr>
                <w:bCs/>
              </w:rPr>
            </w:pPr>
            <w:r>
              <w:rPr>
                <w:rFonts w:hint="eastAsia"/>
                <w:bCs/>
              </w:rPr>
              <w:t>一般工业固废</w:t>
            </w:r>
          </w:p>
        </w:tc>
        <w:tc>
          <w:tcPr>
            <w:tcW w:w="314" w:type="pct"/>
            <w:vMerge w:val="restart"/>
            <w:vAlign w:val="center"/>
          </w:tcPr>
          <w:p w14:paraId="56B3E7F3" w14:textId="77777777" w:rsidR="003E78AB" w:rsidRDefault="00010BF9">
            <w:pPr>
              <w:pStyle w:val="aff6"/>
              <w:topLinePunct/>
              <w:rPr>
                <w:bCs/>
              </w:rPr>
            </w:pPr>
            <w:r>
              <w:rPr>
                <w:rFonts w:hint="eastAsia"/>
                <w:bCs/>
              </w:rPr>
              <w:t>数据来源</w:t>
            </w:r>
          </w:p>
        </w:tc>
      </w:tr>
      <w:tr w:rsidR="003E78AB" w14:paraId="107A39F2" w14:textId="77777777">
        <w:trPr>
          <w:trHeight w:val="20"/>
          <w:tblHeader/>
        </w:trPr>
        <w:tc>
          <w:tcPr>
            <w:tcW w:w="193" w:type="pct"/>
            <w:vMerge/>
            <w:vAlign w:val="center"/>
          </w:tcPr>
          <w:p w14:paraId="0B0835FF" w14:textId="77777777" w:rsidR="003E78AB" w:rsidRDefault="003E78AB">
            <w:pPr>
              <w:pStyle w:val="aff6"/>
              <w:topLinePunct/>
              <w:rPr>
                <w:bCs/>
              </w:rPr>
            </w:pPr>
          </w:p>
        </w:tc>
        <w:tc>
          <w:tcPr>
            <w:tcW w:w="1193" w:type="pct"/>
            <w:vMerge/>
            <w:vAlign w:val="center"/>
          </w:tcPr>
          <w:p w14:paraId="550C1FF2" w14:textId="77777777" w:rsidR="003E78AB" w:rsidRDefault="003E78AB">
            <w:pPr>
              <w:pStyle w:val="aff6"/>
              <w:topLinePunct/>
              <w:rPr>
                <w:bCs/>
              </w:rPr>
            </w:pPr>
          </w:p>
        </w:tc>
        <w:tc>
          <w:tcPr>
            <w:tcW w:w="515" w:type="pct"/>
            <w:vAlign w:val="center"/>
          </w:tcPr>
          <w:p w14:paraId="4D327C7A" w14:textId="77777777" w:rsidR="003E78AB" w:rsidRDefault="00010BF9">
            <w:pPr>
              <w:pStyle w:val="aff6"/>
              <w:topLinePunct/>
              <w:rPr>
                <w:bCs/>
              </w:rPr>
            </w:pPr>
            <w:r>
              <w:rPr>
                <w:rFonts w:hint="eastAsia"/>
                <w:bCs/>
              </w:rPr>
              <w:t>产生量（</w:t>
            </w:r>
            <w:r>
              <w:rPr>
                <w:bCs/>
              </w:rPr>
              <w:t>t/a)</w:t>
            </w:r>
          </w:p>
        </w:tc>
        <w:tc>
          <w:tcPr>
            <w:tcW w:w="1309" w:type="pct"/>
            <w:vAlign w:val="center"/>
          </w:tcPr>
          <w:p w14:paraId="24DE2DF0" w14:textId="77777777" w:rsidR="003E78AB" w:rsidRDefault="00010BF9">
            <w:pPr>
              <w:pStyle w:val="aff6"/>
              <w:topLinePunct/>
              <w:rPr>
                <w:bCs/>
              </w:rPr>
            </w:pPr>
            <w:r>
              <w:rPr>
                <w:rFonts w:hint="eastAsia"/>
                <w:bCs/>
              </w:rPr>
              <w:t>种类</w:t>
            </w:r>
          </w:p>
        </w:tc>
        <w:tc>
          <w:tcPr>
            <w:tcW w:w="1473" w:type="pct"/>
            <w:vAlign w:val="center"/>
          </w:tcPr>
          <w:p w14:paraId="7A950CF3" w14:textId="77777777" w:rsidR="003E78AB" w:rsidRDefault="00010BF9">
            <w:pPr>
              <w:pStyle w:val="aff6"/>
              <w:topLinePunct/>
              <w:rPr>
                <w:bCs/>
              </w:rPr>
            </w:pPr>
            <w:r>
              <w:rPr>
                <w:rFonts w:hint="eastAsia"/>
                <w:bCs/>
              </w:rPr>
              <w:t>处置去向</w:t>
            </w:r>
          </w:p>
        </w:tc>
        <w:tc>
          <w:tcPr>
            <w:tcW w:w="314" w:type="pct"/>
            <w:vMerge/>
            <w:vAlign w:val="center"/>
          </w:tcPr>
          <w:p w14:paraId="431ED265" w14:textId="77777777" w:rsidR="003E78AB" w:rsidRDefault="003E78AB">
            <w:pPr>
              <w:pStyle w:val="aff6"/>
              <w:topLinePunct/>
              <w:rPr>
                <w:bCs/>
              </w:rPr>
            </w:pPr>
          </w:p>
        </w:tc>
      </w:tr>
      <w:tr w:rsidR="003E78AB" w14:paraId="07AE3A32" w14:textId="77777777">
        <w:trPr>
          <w:trHeight w:val="20"/>
          <w:tblHeader/>
        </w:trPr>
        <w:tc>
          <w:tcPr>
            <w:tcW w:w="4685" w:type="pct"/>
            <w:gridSpan w:val="5"/>
            <w:vAlign w:val="center"/>
          </w:tcPr>
          <w:p w14:paraId="3C0DB6CE" w14:textId="77777777" w:rsidR="003E78AB" w:rsidRDefault="00010BF9">
            <w:pPr>
              <w:pStyle w:val="aff6"/>
              <w:topLinePunct/>
              <w:rPr>
                <w:bCs/>
              </w:rPr>
            </w:pPr>
            <w:r>
              <w:rPr>
                <w:rFonts w:hint="eastAsia"/>
                <w:bCs/>
              </w:rPr>
              <w:t>南部循环经济产业园</w:t>
            </w:r>
          </w:p>
        </w:tc>
        <w:tc>
          <w:tcPr>
            <w:tcW w:w="314" w:type="pct"/>
            <w:vMerge/>
            <w:vAlign w:val="center"/>
          </w:tcPr>
          <w:p w14:paraId="752AD805" w14:textId="77777777" w:rsidR="003E78AB" w:rsidRDefault="003E78AB">
            <w:pPr>
              <w:pStyle w:val="aff6"/>
              <w:topLinePunct/>
              <w:rPr>
                <w:bCs/>
              </w:rPr>
            </w:pPr>
          </w:p>
        </w:tc>
      </w:tr>
      <w:tr w:rsidR="003E78AB" w14:paraId="0ECAE7BD" w14:textId="77777777">
        <w:trPr>
          <w:trHeight w:val="20"/>
        </w:trPr>
        <w:tc>
          <w:tcPr>
            <w:tcW w:w="193" w:type="pct"/>
            <w:vAlign w:val="center"/>
          </w:tcPr>
          <w:p w14:paraId="41FB45BD" w14:textId="77777777" w:rsidR="003E78AB" w:rsidRDefault="00010BF9">
            <w:pPr>
              <w:pStyle w:val="aff6"/>
              <w:topLinePunct/>
              <w:rPr>
                <w:bCs/>
              </w:rPr>
            </w:pPr>
            <w:r>
              <w:rPr>
                <w:bCs/>
              </w:rPr>
              <w:t>1</w:t>
            </w:r>
          </w:p>
        </w:tc>
        <w:tc>
          <w:tcPr>
            <w:tcW w:w="1193" w:type="pct"/>
            <w:vAlign w:val="center"/>
          </w:tcPr>
          <w:p w14:paraId="5FAF38A1" w14:textId="77777777" w:rsidR="003E78AB" w:rsidRDefault="00010BF9">
            <w:pPr>
              <w:pStyle w:val="aff6"/>
              <w:topLinePunct/>
              <w:rPr>
                <w:bCs/>
              </w:rPr>
            </w:pPr>
            <w:r>
              <w:rPr>
                <w:rFonts w:hint="eastAsia"/>
                <w:bCs/>
              </w:rPr>
              <w:t>新疆大安矿业有限公司</w:t>
            </w:r>
          </w:p>
        </w:tc>
        <w:tc>
          <w:tcPr>
            <w:tcW w:w="515" w:type="pct"/>
            <w:vAlign w:val="center"/>
          </w:tcPr>
          <w:p w14:paraId="601C5194" w14:textId="77777777" w:rsidR="003E78AB" w:rsidRDefault="00010BF9">
            <w:pPr>
              <w:pStyle w:val="aff6"/>
              <w:topLinePunct/>
              <w:rPr>
                <w:bCs/>
              </w:rPr>
            </w:pPr>
            <w:r>
              <w:rPr>
                <w:bCs/>
              </w:rPr>
              <w:t>3002.4</w:t>
            </w:r>
          </w:p>
        </w:tc>
        <w:tc>
          <w:tcPr>
            <w:tcW w:w="1309" w:type="pct"/>
            <w:vAlign w:val="center"/>
          </w:tcPr>
          <w:p w14:paraId="3972737B" w14:textId="77777777" w:rsidR="003E78AB" w:rsidRDefault="00010BF9">
            <w:pPr>
              <w:pStyle w:val="aff6"/>
              <w:topLinePunct/>
              <w:rPr>
                <w:bCs/>
              </w:rPr>
            </w:pPr>
            <w:r>
              <w:rPr>
                <w:rFonts w:hint="eastAsia"/>
                <w:bCs/>
              </w:rPr>
              <w:t>灰渣、粉尘</w:t>
            </w:r>
          </w:p>
        </w:tc>
        <w:tc>
          <w:tcPr>
            <w:tcW w:w="1473" w:type="pct"/>
            <w:vAlign w:val="center"/>
          </w:tcPr>
          <w:p w14:paraId="76C511EB" w14:textId="77777777" w:rsidR="003E78AB" w:rsidRDefault="00010BF9">
            <w:pPr>
              <w:pStyle w:val="aff6"/>
              <w:topLinePunct/>
              <w:rPr>
                <w:bCs/>
              </w:rPr>
            </w:pPr>
            <w:r>
              <w:rPr>
                <w:rFonts w:hint="eastAsia"/>
                <w:bCs/>
              </w:rPr>
              <w:t>灰渣铺路；粉尘：洒水、布袋除尘</w:t>
            </w:r>
          </w:p>
        </w:tc>
        <w:tc>
          <w:tcPr>
            <w:tcW w:w="314" w:type="pct"/>
            <w:vMerge w:val="restart"/>
            <w:vAlign w:val="center"/>
          </w:tcPr>
          <w:p w14:paraId="014D5538" w14:textId="77777777" w:rsidR="003E78AB" w:rsidRDefault="00010BF9">
            <w:pPr>
              <w:pStyle w:val="aff6"/>
              <w:topLinePunct/>
              <w:rPr>
                <w:bCs/>
              </w:rPr>
            </w:pPr>
            <w:r>
              <w:rPr>
                <w:rFonts w:hint="eastAsia"/>
                <w:bCs/>
              </w:rPr>
              <w:t>已批复的园区规划环评报告书</w:t>
            </w:r>
          </w:p>
        </w:tc>
      </w:tr>
      <w:tr w:rsidR="003E78AB" w14:paraId="0C145835" w14:textId="77777777">
        <w:trPr>
          <w:trHeight w:val="20"/>
        </w:trPr>
        <w:tc>
          <w:tcPr>
            <w:tcW w:w="193" w:type="pct"/>
            <w:vAlign w:val="center"/>
          </w:tcPr>
          <w:p w14:paraId="1928FF73" w14:textId="77777777" w:rsidR="003E78AB" w:rsidRDefault="00010BF9">
            <w:pPr>
              <w:pStyle w:val="aff6"/>
              <w:topLinePunct/>
              <w:rPr>
                <w:bCs/>
              </w:rPr>
            </w:pPr>
            <w:r>
              <w:rPr>
                <w:bCs/>
              </w:rPr>
              <w:t>2</w:t>
            </w:r>
          </w:p>
        </w:tc>
        <w:tc>
          <w:tcPr>
            <w:tcW w:w="1193" w:type="pct"/>
            <w:vAlign w:val="center"/>
          </w:tcPr>
          <w:p w14:paraId="54DCB030" w14:textId="77777777" w:rsidR="003E78AB" w:rsidRDefault="00010BF9">
            <w:pPr>
              <w:pStyle w:val="aff6"/>
              <w:topLinePunct/>
              <w:rPr>
                <w:bCs/>
              </w:rPr>
            </w:pPr>
            <w:r>
              <w:rPr>
                <w:rFonts w:hint="eastAsia"/>
                <w:bCs/>
              </w:rPr>
              <w:t>新疆富兴通风电装备制造有限公司</w:t>
            </w:r>
          </w:p>
        </w:tc>
        <w:tc>
          <w:tcPr>
            <w:tcW w:w="515" w:type="pct"/>
            <w:vAlign w:val="center"/>
          </w:tcPr>
          <w:p w14:paraId="315FF59F" w14:textId="77777777" w:rsidR="003E78AB" w:rsidRDefault="00010BF9">
            <w:pPr>
              <w:pStyle w:val="aff6"/>
              <w:topLinePunct/>
              <w:rPr>
                <w:bCs/>
              </w:rPr>
            </w:pPr>
            <w:r>
              <w:rPr>
                <w:bCs/>
              </w:rPr>
              <w:t>1297.5</w:t>
            </w:r>
          </w:p>
        </w:tc>
        <w:tc>
          <w:tcPr>
            <w:tcW w:w="1309" w:type="pct"/>
            <w:vAlign w:val="center"/>
          </w:tcPr>
          <w:p w14:paraId="495E9E31" w14:textId="77777777" w:rsidR="003E78AB" w:rsidRDefault="00010BF9">
            <w:pPr>
              <w:pStyle w:val="aff6"/>
              <w:topLinePunct/>
              <w:rPr>
                <w:bCs/>
              </w:rPr>
            </w:pPr>
            <w:r>
              <w:rPr>
                <w:rFonts w:hint="eastAsia"/>
                <w:bCs/>
              </w:rPr>
              <w:t>粉尘、铁粉、碎煤</w:t>
            </w:r>
          </w:p>
        </w:tc>
        <w:tc>
          <w:tcPr>
            <w:tcW w:w="1473" w:type="pct"/>
            <w:vAlign w:val="center"/>
          </w:tcPr>
          <w:p w14:paraId="4DE797F0" w14:textId="77777777" w:rsidR="003E78AB" w:rsidRDefault="00010BF9">
            <w:pPr>
              <w:pStyle w:val="aff6"/>
              <w:topLinePunct/>
              <w:rPr>
                <w:bCs/>
              </w:rPr>
            </w:pPr>
            <w:r>
              <w:rPr>
                <w:rFonts w:hint="eastAsia"/>
                <w:bCs/>
              </w:rPr>
              <w:t>可利用固废综合利用</w:t>
            </w:r>
          </w:p>
        </w:tc>
        <w:tc>
          <w:tcPr>
            <w:tcW w:w="314" w:type="pct"/>
            <w:vMerge/>
            <w:vAlign w:val="center"/>
          </w:tcPr>
          <w:p w14:paraId="48BCBFBC" w14:textId="77777777" w:rsidR="003E78AB" w:rsidRDefault="003E78AB">
            <w:pPr>
              <w:pStyle w:val="aff6"/>
              <w:topLinePunct/>
              <w:rPr>
                <w:bCs/>
              </w:rPr>
            </w:pPr>
          </w:p>
        </w:tc>
      </w:tr>
      <w:tr w:rsidR="003E78AB" w14:paraId="0CB7F1BC" w14:textId="77777777">
        <w:trPr>
          <w:trHeight w:val="20"/>
        </w:trPr>
        <w:tc>
          <w:tcPr>
            <w:tcW w:w="193" w:type="pct"/>
            <w:vAlign w:val="center"/>
          </w:tcPr>
          <w:p w14:paraId="0388929E" w14:textId="77777777" w:rsidR="003E78AB" w:rsidRDefault="00010BF9">
            <w:pPr>
              <w:pStyle w:val="aff6"/>
              <w:topLinePunct/>
              <w:rPr>
                <w:bCs/>
              </w:rPr>
            </w:pPr>
            <w:r>
              <w:rPr>
                <w:bCs/>
              </w:rPr>
              <w:t>3</w:t>
            </w:r>
          </w:p>
        </w:tc>
        <w:tc>
          <w:tcPr>
            <w:tcW w:w="1193" w:type="pct"/>
            <w:vAlign w:val="center"/>
          </w:tcPr>
          <w:p w14:paraId="296D7511" w14:textId="77777777" w:rsidR="003E78AB" w:rsidRDefault="00010BF9">
            <w:pPr>
              <w:pStyle w:val="aff6"/>
              <w:topLinePunct/>
              <w:rPr>
                <w:bCs/>
              </w:rPr>
            </w:pPr>
            <w:r>
              <w:rPr>
                <w:rFonts w:hint="eastAsia"/>
                <w:bCs/>
              </w:rPr>
              <w:t>新疆腾翔镁制品有限公司</w:t>
            </w:r>
          </w:p>
        </w:tc>
        <w:tc>
          <w:tcPr>
            <w:tcW w:w="515" w:type="pct"/>
            <w:vAlign w:val="center"/>
          </w:tcPr>
          <w:p w14:paraId="6730D375" w14:textId="77777777" w:rsidR="003E78AB" w:rsidRDefault="00010BF9">
            <w:pPr>
              <w:pStyle w:val="aff6"/>
              <w:topLinePunct/>
              <w:rPr>
                <w:bCs/>
              </w:rPr>
            </w:pPr>
            <w:r>
              <w:rPr>
                <w:bCs/>
              </w:rPr>
              <w:t>334102</w:t>
            </w:r>
          </w:p>
        </w:tc>
        <w:tc>
          <w:tcPr>
            <w:tcW w:w="1309" w:type="pct"/>
            <w:vAlign w:val="center"/>
          </w:tcPr>
          <w:p w14:paraId="572D17E1" w14:textId="77777777" w:rsidR="003E78AB" w:rsidRDefault="00010BF9">
            <w:pPr>
              <w:pStyle w:val="aff6"/>
              <w:topLinePunct/>
              <w:rPr>
                <w:bCs/>
              </w:rPr>
            </w:pPr>
            <w:r>
              <w:rPr>
                <w:rFonts w:hint="eastAsia"/>
                <w:bCs/>
              </w:rPr>
              <w:t>煤粉、焦粉、焦油渣、炉渣、废矿石等</w:t>
            </w:r>
          </w:p>
        </w:tc>
        <w:tc>
          <w:tcPr>
            <w:tcW w:w="1473" w:type="pct"/>
            <w:vAlign w:val="center"/>
          </w:tcPr>
          <w:p w14:paraId="77F9ED8C" w14:textId="77777777" w:rsidR="003E78AB" w:rsidRDefault="00010BF9">
            <w:pPr>
              <w:pStyle w:val="aff6"/>
              <w:topLinePunct/>
              <w:rPr>
                <w:bCs/>
              </w:rPr>
            </w:pPr>
            <w:r>
              <w:rPr>
                <w:rFonts w:hint="eastAsia"/>
                <w:bCs/>
              </w:rPr>
              <w:t>外售</w:t>
            </w:r>
          </w:p>
        </w:tc>
        <w:tc>
          <w:tcPr>
            <w:tcW w:w="314" w:type="pct"/>
            <w:vMerge/>
            <w:vAlign w:val="center"/>
          </w:tcPr>
          <w:p w14:paraId="4A1B19C2" w14:textId="77777777" w:rsidR="003E78AB" w:rsidRDefault="003E78AB">
            <w:pPr>
              <w:pStyle w:val="aff6"/>
              <w:topLinePunct/>
              <w:rPr>
                <w:bCs/>
              </w:rPr>
            </w:pPr>
          </w:p>
        </w:tc>
      </w:tr>
      <w:tr w:rsidR="003E78AB" w14:paraId="5233C80B" w14:textId="77777777">
        <w:trPr>
          <w:trHeight w:val="20"/>
        </w:trPr>
        <w:tc>
          <w:tcPr>
            <w:tcW w:w="193" w:type="pct"/>
            <w:vAlign w:val="center"/>
          </w:tcPr>
          <w:p w14:paraId="07C16D00" w14:textId="77777777" w:rsidR="003E78AB" w:rsidRDefault="00010BF9">
            <w:pPr>
              <w:pStyle w:val="aff6"/>
              <w:topLinePunct/>
              <w:rPr>
                <w:bCs/>
              </w:rPr>
            </w:pPr>
            <w:r>
              <w:rPr>
                <w:bCs/>
              </w:rPr>
              <w:t>4</w:t>
            </w:r>
          </w:p>
        </w:tc>
        <w:tc>
          <w:tcPr>
            <w:tcW w:w="1193" w:type="pct"/>
            <w:vAlign w:val="center"/>
          </w:tcPr>
          <w:p w14:paraId="227F5937" w14:textId="77777777" w:rsidR="003E78AB" w:rsidRDefault="00010BF9">
            <w:pPr>
              <w:pStyle w:val="aff6"/>
              <w:topLinePunct/>
              <w:rPr>
                <w:bCs/>
              </w:rPr>
            </w:pPr>
            <w:r>
              <w:rPr>
                <w:rFonts w:hint="eastAsia"/>
                <w:bCs/>
              </w:rPr>
              <w:t>新疆昕昊达矿业有限责任公司</w:t>
            </w:r>
          </w:p>
        </w:tc>
        <w:tc>
          <w:tcPr>
            <w:tcW w:w="515" w:type="pct"/>
            <w:vAlign w:val="center"/>
          </w:tcPr>
          <w:p w14:paraId="0A8E6003" w14:textId="77777777" w:rsidR="003E78AB" w:rsidRDefault="00010BF9">
            <w:pPr>
              <w:pStyle w:val="aff6"/>
              <w:topLinePunct/>
              <w:rPr>
                <w:bCs/>
              </w:rPr>
            </w:pPr>
            <w:r>
              <w:rPr>
                <w:bCs/>
              </w:rPr>
              <w:t>41300</w:t>
            </w:r>
          </w:p>
        </w:tc>
        <w:tc>
          <w:tcPr>
            <w:tcW w:w="1309" w:type="pct"/>
            <w:vAlign w:val="center"/>
          </w:tcPr>
          <w:p w14:paraId="1305FC14" w14:textId="77777777" w:rsidR="003E78AB" w:rsidRDefault="00010BF9">
            <w:pPr>
              <w:pStyle w:val="aff6"/>
              <w:topLinePunct/>
              <w:rPr>
                <w:bCs/>
              </w:rPr>
            </w:pPr>
            <w:r>
              <w:rPr>
                <w:rFonts w:hint="eastAsia"/>
                <w:bCs/>
              </w:rPr>
              <w:t>脱硫石膏，炉渣</w:t>
            </w:r>
          </w:p>
        </w:tc>
        <w:tc>
          <w:tcPr>
            <w:tcW w:w="1473" w:type="pct"/>
            <w:vAlign w:val="center"/>
          </w:tcPr>
          <w:p w14:paraId="67A44C73" w14:textId="77777777" w:rsidR="003E78AB" w:rsidRDefault="00010BF9">
            <w:pPr>
              <w:pStyle w:val="aff6"/>
              <w:topLinePunct/>
              <w:rPr>
                <w:bCs/>
              </w:rPr>
            </w:pPr>
            <w:r>
              <w:rPr>
                <w:rFonts w:hint="eastAsia"/>
                <w:bCs/>
              </w:rPr>
              <w:t>综合利用，不能利用的依托</w:t>
            </w:r>
            <w:r>
              <w:rPr>
                <w:bCs/>
              </w:rPr>
              <w:t>园区固废填埋场</w:t>
            </w:r>
          </w:p>
        </w:tc>
        <w:tc>
          <w:tcPr>
            <w:tcW w:w="314" w:type="pct"/>
            <w:vMerge/>
            <w:vAlign w:val="center"/>
          </w:tcPr>
          <w:p w14:paraId="2515D908" w14:textId="77777777" w:rsidR="003E78AB" w:rsidRDefault="003E78AB">
            <w:pPr>
              <w:pStyle w:val="aff6"/>
              <w:topLinePunct/>
              <w:rPr>
                <w:bCs/>
              </w:rPr>
            </w:pPr>
          </w:p>
        </w:tc>
      </w:tr>
      <w:tr w:rsidR="003E78AB" w14:paraId="7F5AF298" w14:textId="77777777">
        <w:trPr>
          <w:trHeight w:val="20"/>
        </w:trPr>
        <w:tc>
          <w:tcPr>
            <w:tcW w:w="193" w:type="pct"/>
            <w:vAlign w:val="center"/>
          </w:tcPr>
          <w:p w14:paraId="278E3A6B" w14:textId="77777777" w:rsidR="003E78AB" w:rsidRDefault="00010BF9">
            <w:pPr>
              <w:pStyle w:val="aff6"/>
              <w:topLinePunct/>
              <w:rPr>
                <w:bCs/>
              </w:rPr>
            </w:pPr>
            <w:r>
              <w:rPr>
                <w:bCs/>
              </w:rPr>
              <w:t>5</w:t>
            </w:r>
          </w:p>
        </w:tc>
        <w:tc>
          <w:tcPr>
            <w:tcW w:w="1193" w:type="pct"/>
            <w:vAlign w:val="center"/>
          </w:tcPr>
          <w:p w14:paraId="1663EE58" w14:textId="77777777" w:rsidR="003E78AB" w:rsidRDefault="00010BF9">
            <w:pPr>
              <w:pStyle w:val="aff6"/>
              <w:topLinePunct/>
              <w:rPr>
                <w:bCs/>
              </w:rPr>
            </w:pPr>
            <w:r>
              <w:rPr>
                <w:rFonts w:hint="eastAsia"/>
                <w:bCs/>
              </w:rPr>
              <w:t>新疆回水环保新材料有限公司</w:t>
            </w:r>
          </w:p>
        </w:tc>
        <w:tc>
          <w:tcPr>
            <w:tcW w:w="515" w:type="pct"/>
            <w:vAlign w:val="center"/>
          </w:tcPr>
          <w:p w14:paraId="12BB66C9" w14:textId="77777777" w:rsidR="003E78AB" w:rsidRDefault="00010BF9">
            <w:pPr>
              <w:pStyle w:val="aff6"/>
              <w:topLinePunct/>
              <w:rPr>
                <w:bCs/>
              </w:rPr>
            </w:pPr>
            <w:r>
              <w:rPr>
                <w:bCs/>
              </w:rPr>
              <w:t>1218</w:t>
            </w:r>
          </w:p>
        </w:tc>
        <w:tc>
          <w:tcPr>
            <w:tcW w:w="1309" w:type="pct"/>
            <w:vAlign w:val="center"/>
          </w:tcPr>
          <w:p w14:paraId="3A62E511" w14:textId="77777777" w:rsidR="003E78AB" w:rsidRDefault="00010BF9">
            <w:pPr>
              <w:pStyle w:val="aff6"/>
              <w:topLinePunct/>
              <w:rPr>
                <w:bCs/>
              </w:rPr>
            </w:pPr>
            <w:r>
              <w:rPr>
                <w:rFonts w:hint="eastAsia"/>
                <w:bCs/>
              </w:rPr>
              <w:t>兰炭粉尘、活性炭粉尘、废脱硫石膏</w:t>
            </w:r>
          </w:p>
        </w:tc>
        <w:tc>
          <w:tcPr>
            <w:tcW w:w="1473" w:type="pct"/>
            <w:vAlign w:val="center"/>
          </w:tcPr>
          <w:p w14:paraId="7EFA91EB" w14:textId="77777777" w:rsidR="003E78AB" w:rsidRDefault="00010BF9">
            <w:pPr>
              <w:pStyle w:val="aff6"/>
              <w:topLinePunct/>
              <w:rPr>
                <w:bCs/>
              </w:rPr>
            </w:pPr>
            <w:r>
              <w:rPr>
                <w:rFonts w:hint="eastAsia"/>
                <w:bCs/>
              </w:rPr>
              <w:t>外售，综合利用</w:t>
            </w:r>
          </w:p>
        </w:tc>
        <w:tc>
          <w:tcPr>
            <w:tcW w:w="314" w:type="pct"/>
            <w:vMerge/>
            <w:vAlign w:val="center"/>
          </w:tcPr>
          <w:p w14:paraId="6DBCCEEB" w14:textId="77777777" w:rsidR="003E78AB" w:rsidRDefault="003E78AB">
            <w:pPr>
              <w:pStyle w:val="aff6"/>
              <w:topLinePunct/>
              <w:rPr>
                <w:bCs/>
              </w:rPr>
            </w:pPr>
          </w:p>
        </w:tc>
      </w:tr>
      <w:tr w:rsidR="003E78AB" w14:paraId="76211E9C" w14:textId="77777777">
        <w:trPr>
          <w:trHeight w:val="20"/>
        </w:trPr>
        <w:tc>
          <w:tcPr>
            <w:tcW w:w="193" w:type="pct"/>
            <w:vAlign w:val="center"/>
          </w:tcPr>
          <w:p w14:paraId="5F19C0B4" w14:textId="77777777" w:rsidR="003E78AB" w:rsidRDefault="00010BF9">
            <w:pPr>
              <w:pStyle w:val="aff6"/>
              <w:topLinePunct/>
              <w:rPr>
                <w:bCs/>
              </w:rPr>
            </w:pPr>
            <w:r>
              <w:rPr>
                <w:bCs/>
              </w:rPr>
              <w:t>6</w:t>
            </w:r>
          </w:p>
        </w:tc>
        <w:tc>
          <w:tcPr>
            <w:tcW w:w="1193" w:type="pct"/>
            <w:vAlign w:val="center"/>
          </w:tcPr>
          <w:p w14:paraId="7A02B398" w14:textId="77777777" w:rsidR="003E78AB" w:rsidRDefault="00010BF9">
            <w:pPr>
              <w:pStyle w:val="aff6"/>
              <w:topLinePunct/>
              <w:rPr>
                <w:bCs/>
              </w:rPr>
            </w:pPr>
            <w:r>
              <w:rPr>
                <w:rFonts w:hint="eastAsia"/>
                <w:bCs/>
              </w:rPr>
              <w:t>哈密市兴利矿业有限公司</w:t>
            </w:r>
          </w:p>
        </w:tc>
        <w:tc>
          <w:tcPr>
            <w:tcW w:w="515" w:type="pct"/>
            <w:vAlign w:val="center"/>
          </w:tcPr>
          <w:p w14:paraId="54B0D83C" w14:textId="77777777" w:rsidR="003E78AB" w:rsidRDefault="00010BF9">
            <w:pPr>
              <w:pStyle w:val="aff6"/>
              <w:topLinePunct/>
              <w:rPr>
                <w:bCs/>
              </w:rPr>
            </w:pPr>
            <w:r>
              <w:rPr>
                <w:bCs/>
              </w:rPr>
              <w:t>11300.67</w:t>
            </w:r>
          </w:p>
        </w:tc>
        <w:tc>
          <w:tcPr>
            <w:tcW w:w="1309" w:type="pct"/>
            <w:vAlign w:val="center"/>
          </w:tcPr>
          <w:p w14:paraId="1F64661E" w14:textId="77777777" w:rsidR="003E78AB" w:rsidRDefault="00010BF9">
            <w:pPr>
              <w:pStyle w:val="aff6"/>
              <w:topLinePunct/>
              <w:rPr>
                <w:bCs/>
              </w:rPr>
            </w:pPr>
            <w:r>
              <w:rPr>
                <w:rFonts w:hint="eastAsia"/>
                <w:bCs/>
              </w:rPr>
              <w:t>尾矿渣、除尘设备回收粉尘</w:t>
            </w:r>
          </w:p>
        </w:tc>
        <w:tc>
          <w:tcPr>
            <w:tcW w:w="1473" w:type="pct"/>
            <w:vAlign w:val="center"/>
          </w:tcPr>
          <w:p w14:paraId="69AE4B16" w14:textId="77777777" w:rsidR="003E78AB" w:rsidRDefault="00010BF9">
            <w:pPr>
              <w:pStyle w:val="aff6"/>
              <w:topLinePunct/>
              <w:rPr>
                <w:bCs/>
              </w:rPr>
            </w:pPr>
            <w:r>
              <w:rPr>
                <w:rFonts w:hint="eastAsia"/>
                <w:bCs/>
              </w:rPr>
              <w:t>尾矿干排，综合利用</w:t>
            </w:r>
          </w:p>
        </w:tc>
        <w:tc>
          <w:tcPr>
            <w:tcW w:w="314" w:type="pct"/>
            <w:vMerge/>
            <w:vAlign w:val="center"/>
          </w:tcPr>
          <w:p w14:paraId="5E83820D" w14:textId="77777777" w:rsidR="003E78AB" w:rsidRDefault="003E78AB">
            <w:pPr>
              <w:pStyle w:val="aff6"/>
              <w:topLinePunct/>
              <w:rPr>
                <w:bCs/>
              </w:rPr>
            </w:pPr>
          </w:p>
        </w:tc>
      </w:tr>
      <w:tr w:rsidR="003E78AB" w14:paraId="04A76604" w14:textId="77777777">
        <w:trPr>
          <w:trHeight w:val="20"/>
        </w:trPr>
        <w:tc>
          <w:tcPr>
            <w:tcW w:w="193" w:type="pct"/>
            <w:vAlign w:val="center"/>
          </w:tcPr>
          <w:p w14:paraId="6FA04A78" w14:textId="77777777" w:rsidR="003E78AB" w:rsidRDefault="00010BF9">
            <w:pPr>
              <w:pStyle w:val="aff6"/>
              <w:topLinePunct/>
              <w:rPr>
                <w:bCs/>
              </w:rPr>
            </w:pPr>
            <w:r>
              <w:rPr>
                <w:bCs/>
              </w:rPr>
              <w:t>7</w:t>
            </w:r>
          </w:p>
        </w:tc>
        <w:tc>
          <w:tcPr>
            <w:tcW w:w="1193" w:type="pct"/>
            <w:vAlign w:val="center"/>
          </w:tcPr>
          <w:p w14:paraId="7355CAE9" w14:textId="77777777" w:rsidR="003E78AB" w:rsidRDefault="00010BF9">
            <w:pPr>
              <w:pStyle w:val="aff6"/>
              <w:topLinePunct/>
              <w:rPr>
                <w:bCs/>
              </w:rPr>
            </w:pPr>
            <w:r>
              <w:rPr>
                <w:rFonts w:hint="eastAsia"/>
                <w:bCs/>
              </w:rPr>
              <w:t>哈密市中鑫矿业开发有限责任公司</w:t>
            </w:r>
          </w:p>
        </w:tc>
        <w:tc>
          <w:tcPr>
            <w:tcW w:w="515" w:type="pct"/>
            <w:vAlign w:val="center"/>
          </w:tcPr>
          <w:p w14:paraId="3D564D72" w14:textId="77777777" w:rsidR="003E78AB" w:rsidRDefault="00010BF9">
            <w:pPr>
              <w:pStyle w:val="aff6"/>
              <w:topLinePunct/>
              <w:rPr>
                <w:bCs/>
              </w:rPr>
            </w:pPr>
            <w:r>
              <w:rPr>
                <w:bCs/>
              </w:rPr>
              <w:t>277.5</w:t>
            </w:r>
          </w:p>
        </w:tc>
        <w:tc>
          <w:tcPr>
            <w:tcW w:w="1309" w:type="pct"/>
            <w:vAlign w:val="center"/>
          </w:tcPr>
          <w:p w14:paraId="32E5F18C" w14:textId="77777777" w:rsidR="003E78AB" w:rsidRDefault="00010BF9">
            <w:pPr>
              <w:pStyle w:val="aff6"/>
              <w:topLinePunct/>
              <w:rPr>
                <w:bCs/>
              </w:rPr>
            </w:pPr>
            <w:r>
              <w:rPr>
                <w:rFonts w:hint="eastAsia"/>
                <w:bCs/>
              </w:rPr>
              <w:t>不合格砂石及剩余混凝土、沉淀池沉渣</w:t>
            </w:r>
          </w:p>
        </w:tc>
        <w:tc>
          <w:tcPr>
            <w:tcW w:w="1473" w:type="pct"/>
            <w:vAlign w:val="center"/>
          </w:tcPr>
          <w:p w14:paraId="3A704740" w14:textId="77777777" w:rsidR="003E78AB" w:rsidRDefault="00010BF9">
            <w:pPr>
              <w:pStyle w:val="aff6"/>
              <w:topLinePunct/>
              <w:rPr>
                <w:bCs/>
              </w:rPr>
            </w:pPr>
            <w:r>
              <w:rPr>
                <w:rFonts w:hint="eastAsia"/>
                <w:bCs/>
              </w:rPr>
              <w:t>综合利用于建筑行业，不外放</w:t>
            </w:r>
          </w:p>
        </w:tc>
        <w:tc>
          <w:tcPr>
            <w:tcW w:w="314" w:type="pct"/>
            <w:vMerge/>
            <w:vAlign w:val="center"/>
          </w:tcPr>
          <w:p w14:paraId="006A2F5B" w14:textId="77777777" w:rsidR="003E78AB" w:rsidRDefault="003E78AB">
            <w:pPr>
              <w:pStyle w:val="aff6"/>
              <w:topLinePunct/>
              <w:rPr>
                <w:bCs/>
              </w:rPr>
            </w:pPr>
          </w:p>
        </w:tc>
      </w:tr>
      <w:tr w:rsidR="003E78AB" w14:paraId="1811F6CF" w14:textId="77777777">
        <w:trPr>
          <w:trHeight w:val="20"/>
        </w:trPr>
        <w:tc>
          <w:tcPr>
            <w:tcW w:w="193" w:type="pct"/>
            <w:vAlign w:val="center"/>
          </w:tcPr>
          <w:p w14:paraId="25016486" w14:textId="77777777" w:rsidR="003E78AB" w:rsidRDefault="00010BF9">
            <w:pPr>
              <w:pStyle w:val="aff6"/>
              <w:topLinePunct/>
              <w:rPr>
                <w:bCs/>
              </w:rPr>
            </w:pPr>
            <w:r>
              <w:rPr>
                <w:bCs/>
              </w:rPr>
              <w:t>8</w:t>
            </w:r>
          </w:p>
        </w:tc>
        <w:tc>
          <w:tcPr>
            <w:tcW w:w="1193" w:type="pct"/>
            <w:vAlign w:val="center"/>
          </w:tcPr>
          <w:p w14:paraId="417A2913" w14:textId="77777777" w:rsidR="003E78AB" w:rsidRDefault="00010BF9">
            <w:pPr>
              <w:pStyle w:val="aff6"/>
              <w:topLinePunct/>
              <w:rPr>
                <w:bCs/>
              </w:rPr>
            </w:pPr>
            <w:r>
              <w:rPr>
                <w:rFonts w:hint="eastAsia"/>
                <w:bCs/>
              </w:rPr>
              <w:t>哈密市广新石材厂</w:t>
            </w:r>
          </w:p>
        </w:tc>
        <w:tc>
          <w:tcPr>
            <w:tcW w:w="515" w:type="pct"/>
            <w:vAlign w:val="center"/>
          </w:tcPr>
          <w:p w14:paraId="0686A7E4" w14:textId="77777777" w:rsidR="003E78AB" w:rsidRDefault="00010BF9">
            <w:pPr>
              <w:pStyle w:val="aff6"/>
              <w:topLinePunct/>
              <w:rPr>
                <w:bCs/>
              </w:rPr>
            </w:pPr>
            <w:r>
              <w:rPr>
                <w:bCs/>
              </w:rPr>
              <w:t>1499.76</w:t>
            </w:r>
          </w:p>
        </w:tc>
        <w:tc>
          <w:tcPr>
            <w:tcW w:w="1309" w:type="pct"/>
            <w:vAlign w:val="center"/>
          </w:tcPr>
          <w:p w14:paraId="76E399DC" w14:textId="77777777" w:rsidR="003E78AB" w:rsidRDefault="00010BF9">
            <w:pPr>
              <w:pStyle w:val="aff6"/>
              <w:topLinePunct/>
              <w:rPr>
                <w:bCs/>
              </w:rPr>
            </w:pPr>
            <w:r>
              <w:rPr>
                <w:rFonts w:hint="eastAsia"/>
                <w:bCs/>
              </w:rPr>
              <w:t>废石材、废石粉</w:t>
            </w:r>
          </w:p>
        </w:tc>
        <w:tc>
          <w:tcPr>
            <w:tcW w:w="1473" w:type="pct"/>
            <w:vAlign w:val="center"/>
          </w:tcPr>
          <w:p w14:paraId="14928A6E" w14:textId="77777777" w:rsidR="003E78AB" w:rsidRDefault="00010BF9">
            <w:pPr>
              <w:pStyle w:val="aff6"/>
              <w:topLinePunct/>
              <w:rPr>
                <w:bCs/>
              </w:rPr>
            </w:pPr>
            <w:r>
              <w:rPr>
                <w:rFonts w:hint="eastAsia"/>
                <w:bCs/>
              </w:rPr>
              <w:t>外售</w:t>
            </w:r>
          </w:p>
        </w:tc>
        <w:tc>
          <w:tcPr>
            <w:tcW w:w="314" w:type="pct"/>
            <w:vMerge/>
            <w:vAlign w:val="center"/>
          </w:tcPr>
          <w:p w14:paraId="54D55B07" w14:textId="77777777" w:rsidR="003E78AB" w:rsidRDefault="003E78AB">
            <w:pPr>
              <w:pStyle w:val="aff6"/>
              <w:topLinePunct/>
              <w:rPr>
                <w:bCs/>
              </w:rPr>
            </w:pPr>
          </w:p>
        </w:tc>
      </w:tr>
      <w:tr w:rsidR="003E78AB" w14:paraId="2FD935C4" w14:textId="77777777">
        <w:trPr>
          <w:trHeight w:val="20"/>
        </w:trPr>
        <w:tc>
          <w:tcPr>
            <w:tcW w:w="193" w:type="pct"/>
            <w:vAlign w:val="center"/>
          </w:tcPr>
          <w:p w14:paraId="04361FD2" w14:textId="77777777" w:rsidR="003E78AB" w:rsidRDefault="00010BF9">
            <w:pPr>
              <w:pStyle w:val="aff6"/>
              <w:topLinePunct/>
              <w:rPr>
                <w:bCs/>
              </w:rPr>
            </w:pPr>
            <w:r>
              <w:rPr>
                <w:bCs/>
              </w:rPr>
              <w:t>9</w:t>
            </w:r>
          </w:p>
        </w:tc>
        <w:tc>
          <w:tcPr>
            <w:tcW w:w="1193" w:type="pct"/>
            <w:vAlign w:val="center"/>
          </w:tcPr>
          <w:p w14:paraId="2B6F6CBE" w14:textId="77777777" w:rsidR="003E78AB" w:rsidRDefault="00010BF9">
            <w:pPr>
              <w:pStyle w:val="aff6"/>
              <w:topLinePunct/>
              <w:rPr>
                <w:bCs/>
              </w:rPr>
            </w:pPr>
            <w:r>
              <w:rPr>
                <w:rFonts w:hint="eastAsia"/>
                <w:bCs/>
              </w:rPr>
              <w:t>哈密乔戈里金属冶选有限公司</w:t>
            </w:r>
          </w:p>
        </w:tc>
        <w:tc>
          <w:tcPr>
            <w:tcW w:w="515" w:type="pct"/>
            <w:vAlign w:val="center"/>
          </w:tcPr>
          <w:p w14:paraId="6CAB8A5D" w14:textId="77777777" w:rsidR="003E78AB" w:rsidRDefault="00010BF9">
            <w:pPr>
              <w:pStyle w:val="aff6"/>
              <w:topLinePunct/>
              <w:rPr>
                <w:bCs/>
              </w:rPr>
            </w:pPr>
            <w:r>
              <w:rPr>
                <w:bCs/>
              </w:rPr>
              <w:t>60000</w:t>
            </w:r>
          </w:p>
        </w:tc>
        <w:tc>
          <w:tcPr>
            <w:tcW w:w="1309" w:type="pct"/>
            <w:vAlign w:val="center"/>
          </w:tcPr>
          <w:p w14:paraId="0BE80DB8" w14:textId="77777777" w:rsidR="003E78AB" w:rsidRDefault="00010BF9">
            <w:pPr>
              <w:pStyle w:val="aff6"/>
              <w:topLinePunct/>
              <w:rPr>
                <w:bCs/>
              </w:rPr>
            </w:pPr>
            <w:r>
              <w:rPr>
                <w:rFonts w:hint="eastAsia"/>
                <w:bCs/>
              </w:rPr>
              <w:t>尾矿砂</w:t>
            </w:r>
          </w:p>
        </w:tc>
        <w:tc>
          <w:tcPr>
            <w:tcW w:w="1473" w:type="pct"/>
            <w:vAlign w:val="center"/>
          </w:tcPr>
          <w:p w14:paraId="6063101A" w14:textId="77777777" w:rsidR="003E78AB" w:rsidRDefault="00010BF9">
            <w:pPr>
              <w:pStyle w:val="aff6"/>
              <w:topLinePunct/>
              <w:rPr>
                <w:bCs/>
              </w:rPr>
            </w:pPr>
            <w:r>
              <w:rPr>
                <w:rFonts w:hint="eastAsia"/>
                <w:bCs/>
              </w:rPr>
              <w:t>外售</w:t>
            </w:r>
          </w:p>
        </w:tc>
        <w:tc>
          <w:tcPr>
            <w:tcW w:w="314" w:type="pct"/>
            <w:vMerge/>
            <w:vAlign w:val="center"/>
          </w:tcPr>
          <w:p w14:paraId="536DA17E" w14:textId="77777777" w:rsidR="003E78AB" w:rsidRDefault="003E78AB">
            <w:pPr>
              <w:pStyle w:val="aff6"/>
              <w:topLinePunct/>
              <w:rPr>
                <w:bCs/>
              </w:rPr>
            </w:pPr>
          </w:p>
        </w:tc>
      </w:tr>
      <w:tr w:rsidR="003E78AB" w14:paraId="21D91282" w14:textId="77777777">
        <w:trPr>
          <w:trHeight w:val="20"/>
        </w:trPr>
        <w:tc>
          <w:tcPr>
            <w:tcW w:w="193" w:type="pct"/>
            <w:vAlign w:val="center"/>
          </w:tcPr>
          <w:p w14:paraId="3AF0759F" w14:textId="77777777" w:rsidR="003E78AB" w:rsidRDefault="00010BF9">
            <w:pPr>
              <w:pStyle w:val="aff6"/>
              <w:topLinePunct/>
              <w:rPr>
                <w:bCs/>
              </w:rPr>
            </w:pPr>
            <w:r>
              <w:rPr>
                <w:bCs/>
              </w:rPr>
              <w:t>10</w:t>
            </w:r>
          </w:p>
        </w:tc>
        <w:tc>
          <w:tcPr>
            <w:tcW w:w="1193" w:type="pct"/>
            <w:vAlign w:val="center"/>
          </w:tcPr>
          <w:p w14:paraId="35DD314D" w14:textId="77777777" w:rsidR="003E78AB" w:rsidRDefault="00010BF9">
            <w:pPr>
              <w:pStyle w:val="aff6"/>
              <w:topLinePunct/>
              <w:rPr>
                <w:bCs/>
              </w:rPr>
            </w:pPr>
            <w:r>
              <w:rPr>
                <w:rFonts w:hint="eastAsia"/>
                <w:bCs/>
              </w:rPr>
              <w:t>哈密乔戈里金属冶选有限公司</w:t>
            </w:r>
          </w:p>
        </w:tc>
        <w:tc>
          <w:tcPr>
            <w:tcW w:w="515" w:type="pct"/>
            <w:vAlign w:val="center"/>
          </w:tcPr>
          <w:p w14:paraId="01B916F7" w14:textId="77777777" w:rsidR="003E78AB" w:rsidRDefault="00010BF9">
            <w:pPr>
              <w:pStyle w:val="aff6"/>
              <w:topLinePunct/>
              <w:rPr>
                <w:bCs/>
              </w:rPr>
            </w:pPr>
            <w:r>
              <w:rPr>
                <w:bCs/>
              </w:rPr>
              <w:t>5000</w:t>
            </w:r>
          </w:p>
        </w:tc>
        <w:tc>
          <w:tcPr>
            <w:tcW w:w="1309" w:type="pct"/>
            <w:vAlign w:val="center"/>
          </w:tcPr>
          <w:p w14:paraId="34B2B9DA" w14:textId="77777777" w:rsidR="003E78AB" w:rsidRDefault="00010BF9">
            <w:pPr>
              <w:pStyle w:val="aff6"/>
              <w:topLinePunct/>
              <w:rPr>
                <w:bCs/>
              </w:rPr>
            </w:pPr>
            <w:r>
              <w:rPr>
                <w:rFonts w:hint="eastAsia"/>
                <w:bCs/>
              </w:rPr>
              <w:t>尾矿</w:t>
            </w:r>
          </w:p>
        </w:tc>
        <w:tc>
          <w:tcPr>
            <w:tcW w:w="1473" w:type="pct"/>
            <w:vAlign w:val="center"/>
          </w:tcPr>
          <w:p w14:paraId="4790BBE9" w14:textId="77777777" w:rsidR="003E78AB" w:rsidRDefault="00010BF9">
            <w:pPr>
              <w:pStyle w:val="aff6"/>
              <w:topLinePunct/>
              <w:rPr>
                <w:bCs/>
              </w:rPr>
            </w:pPr>
            <w:r>
              <w:rPr>
                <w:rFonts w:hint="eastAsia"/>
                <w:bCs/>
              </w:rPr>
              <w:t>依托园区工业固废处置场处理</w:t>
            </w:r>
          </w:p>
        </w:tc>
        <w:tc>
          <w:tcPr>
            <w:tcW w:w="314" w:type="pct"/>
            <w:vMerge/>
            <w:vAlign w:val="center"/>
          </w:tcPr>
          <w:p w14:paraId="1685B0B7" w14:textId="77777777" w:rsidR="003E78AB" w:rsidRDefault="003E78AB">
            <w:pPr>
              <w:pStyle w:val="aff6"/>
              <w:topLinePunct/>
              <w:rPr>
                <w:bCs/>
              </w:rPr>
            </w:pPr>
          </w:p>
        </w:tc>
      </w:tr>
      <w:tr w:rsidR="003E78AB" w14:paraId="010F79E7" w14:textId="77777777">
        <w:trPr>
          <w:trHeight w:val="20"/>
        </w:trPr>
        <w:tc>
          <w:tcPr>
            <w:tcW w:w="193" w:type="pct"/>
            <w:vAlign w:val="center"/>
          </w:tcPr>
          <w:p w14:paraId="1FA7B748" w14:textId="77777777" w:rsidR="003E78AB" w:rsidRDefault="00010BF9">
            <w:pPr>
              <w:pStyle w:val="aff6"/>
              <w:topLinePunct/>
              <w:rPr>
                <w:bCs/>
              </w:rPr>
            </w:pPr>
            <w:r>
              <w:rPr>
                <w:bCs/>
              </w:rPr>
              <w:t>11</w:t>
            </w:r>
          </w:p>
        </w:tc>
        <w:tc>
          <w:tcPr>
            <w:tcW w:w="1193" w:type="pct"/>
            <w:vAlign w:val="center"/>
          </w:tcPr>
          <w:p w14:paraId="002F0586" w14:textId="77777777" w:rsidR="003E78AB" w:rsidRDefault="00010BF9">
            <w:pPr>
              <w:pStyle w:val="aff6"/>
              <w:topLinePunct/>
              <w:rPr>
                <w:bCs/>
              </w:rPr>
            </w:pPr>
            <w:r>
              <w:rPr>
                <w:rFonts w:hint="eastAsia"/>
                <w:bCs/>
              </w:rPr>
              <w:t>哈密山河石材有限公司</w:t>
            </w:r>
          </w:p>
        </w:tc>
        <w:tc>
          <w:tcPr>
            <w:tcW w:w="515" w:type="pct"/>
            <w:vAlign w:val="center"/>
          </w:tcPr>
          <w:p w14:paraId="26F39A48" w14:textId="77777777" w:rsidR="003E78AB" w:rsidRDefault="00010BF9">
            <w:pPr>
              <w:pStyle w:val="aff6"/>
              <w:topLinePunct/>
              <w:rPr>
                <w:bCs/>
              </w:rPr>
            </w:pPr>
            <w:r>
              <w:rPr>
                <w:bCs/>
              </w:rPr>
              <w:t>1349.76</w:t>
            </w:r>
          </w:p>
        </w:tc>
        <w:tc>
          <w:tcPr>
            <w:tcW w:w="1309" w:type="pct"/>
            <w:vAlign w:val="center"/>
          </w:tcPr>
          <w:p w14:paraId="6A728343" w14:textId="77777777" w:rsidR="003E78AB" w:rsidRDefault="00010BF9">
            <w:pPr>
              <w:pStyle w:val="aff6"/>
              <w:topLinePunct/>
              <w:rPr>
                <w:bCs/>
              </w:rPr>
            </w:pPr>
            <w:r>
              <w:rPr>
                <w:rFonts w:hint="eastAsia"/>
                <w:bCs/>
              </w:rPr>
              <w:t>废石料、废石粉</w:t>
            </w:r>
          </w:p>
        </w:tc>
        <w:tc>
          <w:tcPr>
            <w:tcW w:w="1473" w:type="pct"/>
            <w:vAlign w:val="center"/>
          </w:tcPr>
          <w:p w14:paraId="46229807" w14:textId="77777777" w:rsidR="003E78AB" w:rsidRDefault="00010BF9">
            <w:pPr>
              <w:pStyle w:val="aff6"/>
              <w:topLinePunct/>
              <w:rPr>
                <w:bCs/>
              </w:rPr>
            </w:pPr>
            <w:r>
              <w:rPr>
                <w:rFonts w:hint="eastAsia"/>
                <w:bCs/>
              </w:rPr>
              <w:t>外售</w:t>
            </w:r>
          </w:p>
        </w:tc>
        <w:tc>
          <w:tcPr>
            <w:tcW w:w="314" w:type="pct"/>
            <w:vMerge/>
            <w:vAlign w:val="center"/>
          </w:tcPr>
          <w:p w14:paraId="382F1398" w14:textId="77777777" w:rsidR="003E78AB" w:rsidRDefault="003E78AB">
            <w:pPr>
              <w:pStyle w:val="aff6"/>
              <w:topLinePunct/>
              <w:rPr>
                <w:bCs/>
              </w:rPr>
            </w:pPr>
          </w:p>
        </w:tc>
      </w:tr>
      <w:tr w:rsidR="003E78AB" w14:paraId="354104B4" w14:textId="77777777">
        <w:trPr>
          <w:trHeight w:val="20"/>
        </w:trPr>
        <w:tc>
          <w:tcPr>
            <w:tcW w:w="193" w:type="pct"/>
            <w:vAlign w:val="center"/>
          </w:tcPr>
          <w:p w14:paraId="49C43190" w14:textId="77777777" w:rsidR="003E78AB" w:rsidRDefault="00010BF9">
            <w:pPr>
              <w:pStyle w:val="aff6"/>
              <w:topLinePunct/>
              <w:rPr>
                <w:bCs/>
              </w:rPr>
            </w:pPr>
            <w:r>
              <w:rPr>
                <w:bCs/>
              </w:rPr>
              <w:t>12</w:t>
            </w:r>
          </w:p>
        </w:tc>
        <w:tc>
          <w:tcPr>
            <w:tcW w:w="1193" w:type="pct"/>
            <w:vAlign w:val="center"/>
          </w:tcPr>
          <w:p w14:paraId="06AE4652" w14:textId="77777777" w:rsidR="003E78AB" w:rsidRDefault="00010BF9">
            <w:pPr>
              <w:pStyle w:val="aff6"/>
              <w:topLinePunct/>
              <w:rPr>
                <w:bCs/>
              </w:rPr>
            </w:pPr>
            <w:r>
              <w:rPr>
                <w:rFonts w:hint="eastAsia"/>
                <w:bCs/>
              </w:rPr>
              <w:t>哈密市华尔特石材厂</w:t>
            </w:r>
          </w:p>
        </w:tc>
        <w:tc>
          <w:tcPr>
            <w:tcW w:w="515" w:type="pct"/>
            <w:vAlign w:val="center"/>
          </w:tcPr>
          <w:p w14:paraId="66CC7108" w14:textId="77777777" w:rsidR="003E78AB" w:rsidRDefault="00010BF9">
            <w:pPr>
              <w:pStyle w:val="aff6"/>
              <w:topLinePunct/>
              <w:rPr>
                <w:bCs/>
              </w:rPr>
            </w:pPr>
            <w:r>
              <w:rPr>
                <w:bCs/>
              </w:rPr>
              <w:t>1499.76</w:t>
            </w:r>
          </w:p>
        </w:tc>
        <w:tc>
          <w:tcPr>
            <w:tcW w:w="1309" w:type="pct"/>
            <w:vAlign w:val="center"/>
          </w:tcPr>
          <w:p w14:paraId="4C19376B" w14:textId="77777777" w:rsidR="003E78AB" w:rsidRDefault="00010BF9">
            <w:pPr>
              <w:pStyle w:val="aff6"/>
              <w:topLinePunct/>
              <w:rPr>
                <w:bCs/>
              </w:rPr>
            </w:pPr>
            <w:r>
              <w:rPr>
                <w:rFonts w:hint="eastAsia"/>
                <w:bCs/>
              </w:rPr>
              <w:t>废石材、废石粉</w:t>
            </w:r>
          </w:p>
        </w:tc>
        <w:tc>
          <w:tcPr>
            <w:tcW w:w="1473" w:type="pct"/>
            <w:vAlign w:val="center"/>
          </w:tcPr>
          <w:p w14:paraId="7E6FD2D8" w14:textId="77777777" w:rsidR="003E78AB" w:rsidRDefault="00010BF9">
            <w:pPr>
              <w:pStyle w:val="aff6"/>
              <w:topLinePunct/>
              <w:rPr>
                <w:bCs/>
              </w:rPr>
            </w:pPr>
            <w:r>
              <w:rPr>
                <w:rFonts w:hint="eastAsia"/>
                <w:bCs/>
              </w:rPr>
              <w:t>外售</w:t>
            </w:r>
          </w:p>
        </w:tc>
        <w:tc>
          <w:tcPr>
            <w:tcW w:w="314" w:type="pct"/>
            <w:vMerge/>
            <w:vAlign w:val="center"/>
          </w:tcPr>
          <w:p w14:paraId="22F8938B" w14:textId="77777777" w:rsidR="003E78AB" w:rsidRDefault="003E78AB">
            <w:pPr>
              <w:pStyle w:val="aff6"/>
              <w:topLinePunct/>
              <w:rPr>
                <w:bCs/>
              </w:rPr>
            </w:pPr>
          </w:p>
        </w:tc>
      </w:tr>
      <w:tr w:rsidR="003E78AB" w14:paraId="158DCC4C" w14:textId="77777777">
        <w:trPr>
          <w:trHeight w:val="20"/>
        </w:trPr>
        <w:tc>
          <w:tcPr>
            <w:tcW w:w="193" w:type="pct"/>
            <w:vAlign w:val="center"/>
          </w:tcPr>
          <w:p w14:paraId="1A5E32A1" w14:textId="77777777" w:rsidR="003E78AB" w:rsidRDefault="00010BF9">
            <w:pPr>
              <w:pStyle w:val="aff6"/>
              <w:topLinePunct/>
              <w:rPr>
                <w:bCs/>
              </w:rPr>
            </w:pPr>
            <w:r>
              <w:rPr>
                <w:bCs/>
              </w:rPr>
              <w:t>13</w:t>
            </w:r>
          </w:p>
        </w:tc>
        <w:tc>
          <w:tcPr>
            <w:tcW w:w="1193" w:type="pct"/>
            <w:vAlign w:val="center"/>
          </w:tcPr>
          <w:p w14:paraId="2AC8F7AC" w14:textId="77777777" w:rsidR="003E78AB" w:rsidRDefault="00010BF9">
            <w:pPr>
              <w:pStyle w:val="aff6"/>
              <w:topLinePunct/>
              <w:rPr>
                <w:bCs/>
              </w:rPr>
            </w:pPr>
            <w:r>
              <w:rPr>
                <w:rFonts w:hint="eastAsia"/>
                <w:bCs/>
              </w:rPr>
              <w:t>哈密汇川矿业有限责任公司</w:t>
            </w:r>
          </w:p>
        </w:tc>
        <w:tc>
          <w:tcPr>
            <w:tcW w:w="515" w:type="pct"/>
            <w:vAlign w:val="center"/>
          </w:tcPr>
          <w:p w14:paraId="7AD24943" w14:textId="77777777" w:rsidR="003E78AB" w:rsidRDefault="00010BF9">
            <w:pPr>
              <w:pStyle w:val="aff6"/>
              <w:topLinePunct/>
              <w:rPr>
                <w:bCs/>
              </w:rPr>
            </w:pPr>
            <w:r>
              <w:rPr>
                <w:bCs/>
              </w:rPr>
              <w:t>240260.48</w:t>
            </w:r>
          </w:p>
        </w:tc>
        <w:tc>
          <w:tcPr>
            <w:tcW w:w="1309" w:type="pct"/>
            <w:vAlign w:val="center"/>
          </w:tcPr>
          <w:p w14:paraId="70518FFD" w14:textId="77777777" w:rsidR="003E78AB" w:rsidRDefault="00010BF9">
            <w:pPr>
              <w:pStyle w:val="aff6"/>
              <w:topLinePunct/>
              <w:rPr>
                <w:bCs/>
              </w:rPr>
            </w:pPr>
            <w:r>
              <w:rPr>
                <w:rFonts w:hint="eastAsia"/>
                <w:bCs/>
              </w:rPr>
              <w:t>尾矿、除尘器收尘</w:t>
            </w:r>
          </w:p>
        </w:tc>
        <w:tc>
          <w:tcPr>
            <w:tcW w:w="1473" w:type="pct"/>
            <w:vAlign w:val="center"/>
          </w:tcPr>
          <w:p w14:paraId="040DD879" w14:textId="77777777" w:rsidR="003E78AB" w:rsidRDefault="00010BF9">
            <w:pPr>
              <w:pStyle w:val="aff6"/>
              <w:topLinePunct/>
              <w:rPr>
                <w:bCs/>
              </w:rPr>
            </w:pPr>
            <w:r>
              <w:rPr>
                <w:rFonts w:hint="eastAsia"/>
                <w:bCs/>
              </w:rPr>
              <w:t>回用</w:t>
            </w:r>
          </w:p>
        </w:tc>
        <w:tc>
          <w:tcPr>
            <w:tcW w:w="314" w:type="pct"/>
            <w:vMerge/>
            <w:vAlign w:val="center"/>
          </w:tcPr>
          <w:p w14:paraId="22363B4D" w14:textId="77777777" w:rsidR="003E78AB" w:rsidRDefault="003E78AB">
            <w:pPr>
              <w:pStyle w:val="aff6"/>
              <w:topLinePunct/>
              <w:rPr>
                <w:bCs/>
              </w:rPr>
            </w:pPr>
          </w:p>
        </w:tc>
      </w:tr>
      <w:tr w:rsidR="003E78AB" w14:paraId="021B66AF" w14:textId="77777777">
        <w:trPr>
          <w:trHeight w:val="20"/>
        </w:trPr>
        <w:tc>
          <w:tcPr>
            <w:tcW w:w="193" w:type="pct"/>
            <w:vAlign w:val="center"/>
          </w:tcPr>
          <w:p w14:paraId="7BE3327B" w14:textId="77777777" w:rsidR="003E78AB" w:rsidRDefault="00010BF9">
            <w:pPr>
              <w:pStyle w:val="aff6"/>
              <w:topLinePunct/>
              <w:rPr>
                <w:bCs/>
              </w:rPr>
            </w:pPr>
            <w:r>
              <w:rPr>
                <w:bCs/>
              </w:rPr>
              <w:t>14</w:t>
            </w:r>
          </w:p>
        </w:tc>
        <w:tc>
          <w:tcPr>
            <w:tcW w:w="1193" w:type="pct"/>
            <w:vAlign w:val="center"/>
          </w:tcPr>
          <w:p w14:paraId="5614A5B3" w14:textId="77777777" w:rsidR="003E78AB" w:rsidRDefault="00010BF9">
            <w:pPr>
              <w:pStyle w:val="aff6"/>
              <w:topLinePunct/>
              <w:rPr>
                <w:bCs/>
              </w:rPr>
            </w:pPr>
            <w:r>
              <w:rPr>
                <w:rFonts w:hint="eastAsia"/>
                <w:bCs/>
              </w:rPr>
              <w:t>哈密江夏石材有限责任公司</w:t>
            </w:r>
          </w:p>
        </w:tc>
        <w:tc>
          <w:tcPr>
            <w:tcW w:w="515" w:type="pct"/>
            <w:vAlign w:val="center"/>
          </w:tcPr>
          <w:p w14:paraId="7125982B" w14:textId="77777777" w:rsidR="003E78AB" w:rsidRDefault="00010BF9">
            <w:pPr>
              <w:pStyle w:val="aff6"/>
              <w:topLinePunct/>
              <w:rPr>
                <w:bCs/>
              </w:rPr>
            </w:pPr>
            <w:r>
              <w:rPr>
                <w:bCs/>
              </w:rPr>
              <w:t>870</w:t>
            </w:r>
          </w:p>
        </w:tc>
        <w:tc>
          <w:tcPr>
            <w:tcW w:w="1309" w:type="pct"/>
            <w:vAlign w:val="center"/>
          </w:tcPr>
          <w:p w14:paraId="4A4BA926" w14:textId="77777777" w:rsidR="003E78AB" w:rsidRDefault="00010BF9">
            <w:pPr>
              <w:pStyle w:val="aff6"/>
              <w:topLinePunct/>
              <w:rPr>
                <w:bCs/>
              </w:rPr>
            </w:pPr>
            <w:r>
              <w:rPr>
                <w:rFonts w:hint="eastAsia"/>
                <w:bCs/>
              </w:rPr>
              <w:t>废石料、废石粉</w:t>
            </w:r>
          </w:p>
        </w:tc>
        <w:tc>
          <w:tcPr>
            <w:tcW w:w="1473" w:type="pct"/>
            <w:vAlign w:val="center"/>
          </w:tcPr>
          <w:p w14:paraId="53A4F6A3" w14:textId="77777777" w:rsidR="003E78AB" w:rsidRDefault="00010BF9">
            <w:pPr>
              <w:pStyle w:val="aff6"/>
              <w:topLinePunct/>
              <w:rPr>
                <w:bCs/>
              </w:rPr>
            </w:pPr>
            <w:r>
              <w:rPr>
                <w:rFonts w:hint="eastAsia"/>
                <w:bCs/>
              </w:rPr>
              <w:t>外售</w:t>
            </w:r>
          </w:p>
        </w:tc>
        <w:tc>
          <w:tcPr>
            <w:tcW w:w="314" w:type="pct"/>
            <w:vMerge/>
            <w:vAlign w:val="center"/>
          </w:tcPr>
          <w:p w14:paraId="7A96B144" w14:textId="77777777" w:rsidR="003E78AB" w:rsidRDefault="003E78AB">
            <w:pPr>
              <w:pStyle w:val="aff6"/>
              <w:topLinePunct/>
              <w:rPr>
                <w:bCs/>
              </w:rPr>
            </w:pPr>
          </w:p>
        </w:tc>
      </w:tr>
      <w:tr w:rsidR="003E78AB" w14:paraId="0A3564DD" w14:textId="77777777">
        <w:trPr>
          <w:trHeight w:val="20"/>
        </w:trPr>
        <w:tc>
          <w:tcPr>
            <w:tcW w:w="193" w:type="pct"/>
            <w:vAlign w:val="center"/>
          </w:tcPr>
          <w:p w14:paraId="703EE71E" w14:textId="77777777" w:rsidR="003E78AB" w:rsidRDefault="00010BF9">
            <w:pPr>
              <w:pStyle w:val="aff6"/>
              <w:topLinePunct/>
              <w:rPr>
                <w:bCs/>
              </w:rPr>
            </w:pPr>
            <w:r>
              <w:rPr>
                <w:bCs/>
              </w:rPr>
              <w:t>15</w:t>
            </w:r>
          </w:p>
        </w:tc>
        <w:tc>
          <w:tcPr>
            <w:tcW w:w="1193" w:type="pct"/>
            <w:vAlign w:val="center"/>
          </w:tcPr>
          <w:p w14:paraId="383555CC" w14:textId="77777777" w:rsidR="003E78AB" w:rsidRDefault="00010BF9">
            <w:pPr>
              <w:pStyle w:val="aff6"/>
              <w:topLinePunct/>
              <w:rPr>
                <w:bCs/>
              </w:rPr>
            </w:pPr>
            <w:r>
              <w:rPr>
                <w:rFonts w:hint="eastAsia"/>
                <w:bCs/>
              </w:rPr>
              <w:t>哈密市立兴石材厂</w:t>
            </w:r>
          </w:p>
        </w:tc>
        <w:tc>
          <w:tcPr>
            <w:tcW w:w="515" w:type="pct"/>
            <w:vAlign w:val="center"/>
          </w:tcPr>
          <w:p w14:paraId="7129533D" w14:textId="77777777" w:rsidR="003E78AB" w:rsidRDefault="00010BF9">
            <w:pPr>
              <w:pStyle w:val="aff6"/>
              <w:topLinePunct/>
              <w:rPr>
                <w:bCs/>
              </w:rPr>
            </w:pPr>
            <w:r>
              <w:rPr>
                <w:bCs/>
              </w:rPr>
              <w:t>1499.76</w:t>
            </w:r>
          </w:p>
        </w:tc>
        <w:tc>
          <w:tcPr>
            <w:tcW w:w="1309" w:type="pct"/>
            <w:vAlign w:val="center"/>
          </w:tcPr>
          <w:p w14:paraId="596B4D16" w14:textId="77777777" w:rsidR="003E78AB" w:rsidRDefault="00010BF9">
            <w:pPr>
              <w:pStyle w:val="aff6"/>
              <w:topLinePunct/>
              <w:rPr>
                <w:bCs/>
              </w:rPr>
            </w:pPr>
            <w:r>
              <w:rPr>
                <w:rFonts w:hint="eastAsia"/>
                <w:bCs/>
              </w:rPr>
              <w:t>废石料、废石粉</w:t>
            </w:r>
          </w:p>
        </w:tc>
        <w:tc>
          <w:tcPr>
            <w:tcW w:w="1473" w:type="pct"/>
            <w:vAlign w:val="center"/>
          </w:tcPr>
          <w:p w14:paraId="04791DA3" w14:textId="77777777" w:rsidR="003E78AB" w:rsidRDefault="00010BF9">
            <w:pPr>
              <w:pStyle w:val="aff6"/>
              <w:topLinePunct/>
              <w:rPr>
                <w:bCs/>
              </w:rPr>
            </w:pPr>
            <w:r>
              <w:rPr>
                <w:rFonts w:hint="eastAsia"/>
                <w:bCs/>
              </w:rPr>
              <w:t>外售</w:t>
            </w:r>
          </w:p>
        </w:tc>
        <w:tc>
          <w:tcPr>
            <w:tcW w:w="314" w:type="pct"/>
            <w:vMerge/>
            <w:vAlign w:val="center"/>
          </w:tcPr>
          <w:p w14:paraId="3572A51F" w14:textId="77777777" w:rsidR="003E78AB" w:rsidRDefault="003E78AB">
            <w:pPr>
              <w:pStyle w:val="aff6"/>
              <w:topLinePunct/>
              <w:rPr>
                <w:bCs/>
              </w:rPr>
            </w:pPr>
          </w:p>
        </w:tc>
      </w:tr>
      <w:tr w:rsidR="003E78AB" w14:paraId="58017CF6" w14:textId="77777777">
        <w:trPr>
          <w:trHeight w:val="20"/>
        </w:trPr>
        <w:tc>
          <w:tcPr>
            <w:tcW w:w="193" w:type="pct"/>
            <w:vAlign w:val="center"/>
          </w:tcPr>
          <w:p w14:paraId="3D6B3A84" w14:textId="77777777" w:rsidR="003E78AB" w:rsidRDefault="00010BF9">
            <w:pPr>
              <w:pStyle w:val="aff6"/>
              <w:topLinePunct/>
              <w:rPr>
                <w:bCs/>
              </w:rPr>
            </w:pPr>
            <w:r>
              <w:rPr>
                <w:bCs/>
              </w:rPr>
              <w:t>16</w:t>
            </w:r>
          </w:p>
        </w:tc>
        <w:tc>
          <w:tcPr>
            <w:tcW w:w="1193" w:type="pct"/>
            <w:vAlign w:val="center"/>
          </w:tcPr>
          <w:p w14:paraId="55B0B7B0" w14:textId="77777777" w:rsidR="003E78AB" w:rsidRDefault="00010BF9">
            <w:pPr>
              <w:pStyle w:val="aff6"/>
              <w:topLinePunct/>
              <w:rPr>
                <w:bCs/>
              </w:rPr>
            </w:pPr>
            <w:r>
              <w:rPr>
                <w:rFonts w:hint="eastAsia"/>
                <w:bCs/>
              </w:rPr>
              <w:t>哈密新天石材有限责任公司</w:t>
            </w:r>
          </w:p>
        </w:tc>
        <w:tc>
          <w:tcPr>
            <w:tcW w:w="515" w:type="pct"/>
            <w:vAlign w:val="center"/>
          </w:tcPr>
          <w:p w14:paraId="7783BDB1" w14:textId="77777777" w:rsidR="003E78AB" w:rsidRDefault="00010BF9">
            <w:pPr>
              <w:pStyle w:val="aff6"/>
              <w:topLinePunct/>
              <w:rPr>
                <w:bCs/>
              </w:rPr>
            </w:pPr>
            <w:r>
              <w:rPr>
                <w:bCs/>
              </w:rPr>
              <w:t>589</w:t>
            </w:r>
          </w:p>
        </w:tc>
        <w:tc>
          <w:tcPr>
            <w:tcW w:w="1309" w:type="pct"/>
            <w:vAlign w:val="center"/>
          </w:tcPr>
          <w:p w14:paraId="14111894" w14:textId="77777777" w:rsidR="003E78AB" w:rsidRDefault="00010BF9">
            <w:pPr>
              <w:pStyle w:val="aff6"/>
              <w:topLinePunct/>
              <w:rPr>
                <w:bCs/>
              </w:rPr>
            </w:pPr>
            <w:r>
              <w:rPr>
                <w:rFonts w:hint="eastAsia"/>
                <w:bCs/>
              </w:rPr>
              <w:t>废石料、废石粉</w:t>
            </w:r>
          </w:p>
        </w:tc>
        <w:tc>
          <w:tcPr>
            <w:tcW w:w="1473" w:type="pct"/>
            <w:vAlign w:val="center"/>
          </w:tcPr>
          <w:p w14:paraId="6EE8A12E" w14:textId="77777777" w:rsidR="003E78AB" w:rsidRDefault="00010BF9">
            <w:pPr>
              <w:pStyle w:val="aff6"/>
              <w:topLinePunct/>
              <w:rPr>
                <w:bCs/>
              </w:rPr>
            </w:pPr>
            <w:r>
              <w:rPr>
                <w:rFonts w:hint="eastAsia"/>
                <w:bCs/>
              </w:rPr>
              <w:t>回用生产；外售综合利用；依托园区工业固废处置场处理</w:t>
            </w:r>
          </w:p>
        </w:tc>
        <w:tc>
          <w:tcPr>
            <w:tcW w:w="314" w:type="pct"/>
            <w:vMerge/>
            <w:vAlign w:val="center"/>
          </w:tcPr>
          <w:p w14:paraId="6D7C637C" w14:textId="77777777" w:rsidR="003E78AB" w:rsidRDefault="003E78AB">
            <w:pPr>
              <w:pStyle w:val="aff6"/>
              <w:topLinePunct/>
              <w:rPr>
                <w:bCs/>
              </w:rPr>
            </w:pPr>
          </w:p>
        </w:tc>
      </w:tr>
      <w:tr w:rsidR="003E78AB" w14:paraId="16F2425F" w14:textId="77777777">
        <w:trPr>
          <w:trHeight w:val="20"/>
        </w:trPr>
        <w:tc>
          <w:tcPr>
            <w:tcW w:w="193" w:type="pct"/>
            <w:vAlign w:val="center"/>
          </w:tcPr>
          <w:p w14:paraId="4C23DF61" w14:textId="77777777" w:rsidR="003E78AB" w:rsidRDefault="00010BF9">
            <w:pPr>
              <w:pStyle w:val="aff6"/>
              <w:topLinePunct/>
              <w:rPr>
                <w:bCs/>
              </w:rPr>
            </w:pPr>
            <w:r>
              <w:rPr>
                <w:bCs/>
              </w:rPr>
              <w:t>17</w:t>
            </w:r>
          </w:p>
        </w:tc>
        <w:tc>
          <w:tcPr>
            <w:tcW w:w="1193" w:type="pct"/>
            <w:vAlign w:val="center"/>
          </w:tcPr>
          <w:p w14:paraId="173D694D" w14:textId="77777777" w:rsidR="003E78AB" w:rsidRDefault="00010BF9">
            <w:pPr>
              <w:pStyle w:val="aff6"/>
              <w:topLinePunct/>
              <w:rPr>
                <w:bCs/>
              </w:rPr>
            </w:pPr>
            <w:r>
              <w:rPr>
                <w:rFonts w:hint="eastAsia"/>
                <w:bCs/>
              </w:rPr>
              <w:t>新疆炜通石材工贸有限责任公司</w:t>
            </w:r>
          </w:p>
        </w:tc>
        <w:tc>
          <w:tcPr>
            <w:tcW w:w="515" w:type="pct"/>
            <w:vAlign w:val="center"/>
          </w:tcPr>
          <w:p w14:paraId="29FD7961" w14:textId="77777777" w:rsidR="003E78AB" w:rsidRDefault="00010BF9">
            <w:pPr>
              <w:pStyle w:val="aff6"/>
              <w:topLinePunct/>
              <w:rPr>
                <w:bCs/>
              </w:rPr>
            </w:pPr>
            <w:r>
              <w:rPr>
                <w:bCs/>
              </w:rPr>
              <w:t>1400</w:t>
            </w:r>
          </w:p>
        </w:tc>
        <w:tc>
          <w:tcPr>
            <w:tcW w:w="1309" w:type="pct"/>
            <w:vAlign w:val="center"/>
          </w:tcPr>
          <w:p w14:paraId="7C263FDF" w14:textId="77777777" w:rsidR="003E78AB" w:rsidRDefault="00010BF9">
            <w:pPr>
              <w:pStyle w:val="aff6"/>
              <w:topLinePunct/>
              <w:rPr>
                <w:bCs/>
              </w:rPr>
            </w:pPr>
            <w:r>
              <w:rPr>
                <w:rFonts w:hint="eastAsia"/>
                <w:bCs/>
              </w:rPr>
              <w:t>废石料、废石粉</w:t>
            </w:r>
          </w:p>
        </w:tc>
        <w:tc>
          <w:tcPr>
            <w:tcW w:w="1473" w:type="pct"/>
            <w:vAlign w:val="center"/>
          </w:tcPr>
          <w:p w14:paraId="626D52B5" w14:textId="77777777" w:rsidR="003E78AB" w:rsidRDefault="00010BF9">
            <w:pPr>
              <w:pStyle w:val="aff6"/>
              <w:topLinePunct/>
              <w:rPr>
                <w:bCs/>
              </w:rPr>
            </w:pPr>
            <w:r>
              <w:rPr>
                <w:rFonts w:hint="eastAsia"/>
                <w:bCs/>
              </w:rPr>
              <w:t>外售</w:t>
            </w:r>
          </w:p>
        </w:tc>
        <w:tc>
          <w:tcPr>
            <w:tcW w:w="314" w:type="pct"/>
            <w:vMerge/>
            <w:vAlign w:val="center"/>
          </w:tcPr>
          <w:p w14:paraId="170ADDF8" w14:textId="77777777" w:rsidR="003E78AB" w:rsidRDefault="003E78AB">
            <w:pPr>
              <w:pStyle w:val="aff6"/>
              <w:topLinePunct/>
              <w:rPr>
                <w:bCs/>
              </w:rPr>
            </w:pPr>
          </w:p>
        </w:tc>
      </w:tr>
      <w:tr w:rsidR="003E78AB" w14:paraId="686BFFDA" w14:textId="77777777">
        <w:trPr>
          <w:trHeight w:val="20"/>
        </w:trPr>
        <w:tc>
          <w:tcPr>
            <w:tcW w:w="193" w:type="pct"/>
            <w:vAlign w:val="center"/>
          </w:tcPr>
          <w:p w14:paraId="66E8F0BB" w14:textId="77777777" w:rsidR="003E78AB" w:rsidRDefault="00010BF9">
            <w:pPr>
              <w:pStyle w:val="aff6"/>
              <w:topLinePunct/>
              <w:rPr>
                <w:bCs/>
              </w:rPr>
            </w:pPr>
            <w:r>
              <w:rPr>
                <w:bCs/>
              </w:rPr>
              <w:t>18</w:t>
            </w:r>
          </w:p>
        </w:tc>
        <w:tc>
          <w:tcPr>
            <w:tcW w:w="1193" w:type="pct"/>
            <w:vAlign w:val="center"/>
          </w:tcPr>
          <w:p w14:paraId="116814F2" w14:textId="77777777" w:rsidR="003E78AB" w:rsidRDefault="00010BF9">
            <w:pPr>
              <w:pStyle w:val="aff6"/>
              <w:topLinePunct/>
              <w:rPr>
                <w:bCs/>
              </w:rPr>
            </w:pPr>
            <w:r>
              <w:rPr>
                <w:rFonts w:hint="eastAsia"/>
                <w:bCs/>
              </w:rPr>
              <w:t>新疆华祥源杆塔有限公司</w:t>
            </w:r>
          </w:p>
        </w:tc>
        <w:tc>
          <w:tcPr>
            <w:tcW w:w="515" w:type="pct"/>
            <w:vAlign w:val="center"/>
          </w:tcPr>
          <w:p w14:paraId="60F847AD" w14:textId="77777777" w:rsidR="003E78AB" w:rsidRDefault="00010BF9">
            <w:pPr>
              <w:pStyle w:val="aff6"/>
              <w:topLinePunct/>
              <w:rPr>
                <w:bCs/>
              </w:rPr>
            </w:pPr>
            <w:r>
              <w:rPr>
                <w:bCs/>
              </w:rPr>
              <w:t>389.25</w:t>
            </w:r>
          </w:p>
        </w:tc>
        <w:tc>
          <w:tcPr>
            <w:tcW w:w="1309" w:type="pct"/>
            <w:vAlign w:val="center"/>
          </w:tcPr>
          <w:p w14:paraId="2FE2A7CB" w14:textId="77777777" w:rsidR="003E78AB" w:rsidRDefault="00010BF9">
            <w:pPr>
              <w:pStyle w:val="aff6"/>
              <w:topLinePunct/>
              <w:rPr>
                <w:bCs/>
              </w:rPr>
            </w:pPr>
            <w:r>
              <w:rPr>
                <w:rFonts w:hint="eastAsia"/>
                <w:bCs/>
              </w:rPr>
              <w:t>除尘器收集粉尘、残次成品、废弃包装</w:t>
            </w:r>
          </w:p>
        </w:tc>
        <w:tc>
          <w:tcPr>
            <w:tcW w:w="1473" w:type="pct"/>
            <w:vAlign w:val="center"/>
          </w:tcPr>
          <w:p w14:paraId="254BD876" w14:textId="77777777" w:rsidR="003E78AB" w:rsidRDefault="00010BF9">
            <w:pPr>
              <w:pStyle w:val="aff6"/>
              <w:topLinePunct/>
              <w:rPr>
                <w:bCs/>
              </w:rPr>
            </w:pPr>
            <w:r>
              <w:rPr>
                <w:rFonts w:hint="eastAsia"/>
                <w:bCs/>
              </w:rPr>
              <w:t>回用于生产</w:t>
            </w:r>
          </w:p>
        </w:tc>
        <w:tc>
          <w:tcPr>
            <w:tcW w:w="314" w:type="pct"/>
            <w:vMerge/>
            <w:vAlign w:val="center"/>
          </w:tcPr>
          <w:p w14:paraId="69BBE5CE" w14:textId="77777777" w:rsidR="003E78AB" w:rsidRDefault="003E78AB">
            <w:pPr>
              <w:pStyle w:val="aff6"/>
              <w:topLinePunct/>
              <w:rPr>
                <w:bCs/>
              </w:rPr>
            </w:pPr>
          </w:p>
        </w:tc>
      </w:tr>
      <w:tr w:rsidR="003E78AB" w14:paraId="0D86ACD7" w14:textId="77777777">
        <w:trPr>
          <w:trHeight w:val="20"/>
        </w:trPr>
        <w:tc>
          <w:tcPr>
            <w:tcW w:w="193" w:type="pct"/>
            <w:vAlign w:val="center"/>
          </w:tcPr>
          <w:p w14:paraId="12433D3E" w14:textId="77777777" w:rsidR="003E78AB" w:rsidRDefault="00010BF9">
            <w:pPr>
              <w:pStyle w:val="aff6"/>
              <w:topLinePunct/>
              <w:rPr>
                <w:bCs/>
              </w:rPr>
            </w:pPr>
            <w:r>
              <w:rPr>
                <w:bCs/>
              </w:rPr>
              <w:t>19</w:t>
            </w:r>
          </w:p>
        </w:tc>
        <w:tc>
          <w:tcPr>
            <w:tcW w:w="1193" w:type="pct"/>
            <w:vAlign w:val="center"/>
          </w:tcPr>
          <w:p w14:paraId="38912E58" w14:textId="77777777" w:rsidR="003E78AB" w:rsidRDefault="00010BF9">
            <w:pPr>
              <w:pStyle w:val="aff6"/>
              <w:topLinePunct/>
              <w:rPr>
                <w:bCs/>
              </w:rPr>
            </w:pPr>
            <w:r>
              <w:rPr>
                <w:rFonts w:hint="eastAsia"/>
                <w:bCs/>
              </w:rPr>
              <w:t>新疆蓝天高科新材料有限公司</w:t>
            </w:r>
          </w:p>
        </w:tc>
        <w:tc>
          <w:tcPr>
            <w:tcW w:w="515" w:type="pct"/>
            <w:vAlign w:val="center"/>
          </w:tcPr>
          <w:p w14:paraId="34ABB000" w14:textId="77777777" w:rsidR="003E78AB" w:rsidRDefault="00010BF9">
            <w:pPr>
              <w:pStyle w:val="aff6"/>
              <w:topLinePunct/>
              <w:rPr>
                <w:bCs/>
              </w:rPr>
            </w:pPr>
            <w:r>
              <w:rPr>
                <w:bCs/>
              </w:rPr>
              <w:t>15</w:t>
            </w:r>
          </w:p>
        </w:tc>
        <w:tc>
          <w:tcPr>
            <w:tcW w:w="1309" w:type="pct"/>
            <w:vAlign w:val="center"/>
          </w:tcPr>
          <w:p w14:paraId="398BB529" w14:textId="77777777" w:rsidR="003E78AB" w:rsidRDefault="00010BF9">
            <w:pPr>
              <w:pStyle w:val="aff6"/>
              <w:topLinePunct/>
              <w:rPr>
                <w:bCs/>
              </w:rPr>
            </w:pPr>
            <w:r>
              <w:rPr>
                <w:rFonts w:hint="eastAsia"/>
                <w:bCs/>
              </w:rPr>
              <w:t>废包装袋</w:t>
            </w:r>
          </w:p>
        </w:tc>
        <w:tc>
          <w:tcPr>
            <w:tcW w:w="1473" w:type="pct"/>
            <w:vAlign w:val="center"/>
          </w:tcPr>
          <w:p w14:paraId="3FB1B279" w14:textId="77777777" w:rsidR="003E78AB" w:rsidRDefault="00010BF9">
            <w:pPr>
              <w:pStyle w:val="aff6"/>
              <w:topLinePunct/>
              <w:rPr>
                <w:bCs/>
              </w:rPr>
            </w:pPr>
            <w:r>
              <w:rPr>
                <w:rFonts w:hint="eastAsia"/>
                <w:bCs/>
              </w:rPr>
              <w:t>外售综合利用</w:t>
            </w:r>
          </w:p>
        </w:tc>
        <w:tc>
          <w:tcPr>
            <w:tcW w:w="314" w:type="pct"/>
            <w:vMerge/>
            <w:vAlign w:val="center"/>
          </w:tcPr>
          <w:p w14:paraId="1F1897DD" w14:textId="77777777" w:rsidR="003E78AB" w:rsidRDefault="003E78AB">
            <w:pPr>
              <w:pStyle w:val="aff6"/>
              <w:topLinePunct/>
              <w:rPr>
                <w:bCs/>
              </w:rPr>
            </w:pPr>
          </w:p>
        </w:tc>
      </w:tr>
      <w:tr w:rsidR="003E78AB" w14:paraId="679C6FD6" w14:textId="77777777">
        <w:trPr>
          <w:trHeight w:val="20"/>
        </w:trPr>
        <w:tc>
          <w:tcPr>
            <w:tcW w:w="193" w:type="pct"/>
            <w:vAlign w:val="center"/>
          </w:tcPr>
          <w:p w14:paraId="02A16663" w14:textId="77777777" w:rsidR="003E78AB" w:rsidRDefault="00010BF9">
            <w:pPr>
              <w:pStyle w:val="aff6"/>
              <w:topLinePunct/>
              <w:rPr>
                <w:bCs/>
              </w:rPr>
            </w:pPr>
            <w:r>
              <w:rPr>
                <w:bCs/>
              </w:rPr>
              <w:t>20</w:t>
            </w:r>
          </w:p>
        </w:tc>
        <w:tc>
          <w:tcPr>
            <w:tcW w:w="1193" w:type="pct"/>
            <w:vAlign w:val="center"/>
          </w:tcPr>
          <w:p w14:paraId="04E192E0" w14:textId="77777777" w:rsidR="003E78AB" w:rsidRDefault="00010BF9">
            <w:pPr>
              <w:pStyle w:val="aff6"/>
              <w:topLinePunct/>
              <w:rPr>
                <w:bCs/>
              </w:rPr>
            </w:pPr>
            <w:r>
              <w:rPr>
                <w:rFonts w:hint="eastAsia"/>
                <w:bCs/>
              </w:rPr>
              <w:t>哈密天山水泥有限责任公司</w:t>
            </w:r>
          </w:p>
        </w:tc>
        <w:tc>
          <w:tcPr>
            <w:tcW w:w="515" w:type="pct"/>
            <w:vAlign w:val="center"/>
          </w:tcPr>
          <w:p w14:paraId="5CCC439D" w14:textId="77777777" w:rsidR="003E78AB" w:rsidRDefault="00010BF9">
            <w:pPr>
              <w:pStyle w:val="aff6"/>
              <w:topLinePunct/>
              <w:rPr>
                <w:bCs/>
              </w:rPr>
            </w:pPr>
            <w:r>
              <w:rPr>
                <w:bCs/>
              </w:rPr>
              <w:t>190000</w:t>
            </w:r>
          </w:p>
        </w:tc>
        <w:tc>
          <w:tcPr>
            <w:tcW w:w="1309" w:type="pct"/>
            <w:vAlign w:val="center"/>
          </w:tcPr>
          <w:p w14:paraId="234ABD43" w14:textId="77777777" w:rsidR="003E78AB" w:rsidRDefault="00010BF9">
            <w:pPr>
              <w:pStyle w:val="aff6"/>
              <w:topLinePunct/>
              <w:rPr>
                <w:bCs/>
              </w:rPr>
            </w:pPr>
            <w:r>
              <w:rPr>
                <w:rFonts w:hint="eastAsia"/>
                <w:bCs/>
              </w:rPr>
              <w:t>其他废物</w:t>
            </w:r>
          </w:p>
        </w:tc>
        <w:tc>
          <w:tcPr>
            <w:tcW w:w="1473" w:type="pct"/>
            <w:vAlign w:val="center"/>
          </w:tcPr>
          <w:p w14:paraId="054B78BA" w14:textId="77777777" w:rsidR="003E78AB" w:rsidRDefault="00010BF9">
            <w:pPr>
              <w:pStyle w:val="aff6"/>
              <w:topLinePunct/>
              <w:rPr>
                <w:bCs/>
              </w:rPr>
            </w:pPr>
            <w:r>
              <w:rPr>
                <w:rFonts w:hint="eastAsia"/>
                <w:bCs/>
              </w:rPr>
              <w:t>外售综合利用</w:t>
            </w:r>
          </w:p>
        </w:tc>
        <w:tc>
          <w:tcPr>
            <w:tcW w:w="314" w:type="pct"/>
            <w:vMerge/>
            <w:vAlign w:val="center"/>
          </w:tcPr>
          <w:p w14:paraId="3B6332B0" w14:textId="77777777" w:rsidR="003E78AB" w:rsidRDefault="003E78AB">
            <w:pPr>
              <w:pStyle w:val="aff6"/>
              <w:topLinePunct/>
              <w:rPr>
                <w:bCs/>
              </w:rPr>
            </w:pPr>
          </w:p>
        </w:tc>
      </w:tr>
      <w:tr w:rsidR="003E78AB" w14:paraId="212C3517" w14:textId="77777777">
        <w:trPr>
          <w:trHeight w:val="20"/>
        </w:trPr>
        <w:tc>
          <w:tcPr>
            <w:tcW w:w="193" w:type="pct"/>
            <w:vAlign w:val="center"/>
          </w:tcPr>
          <w:p w14:paraId="777B6624" w14:textId="77777777" w:rsidR="003E78AB" w:rsidRDefault="00010BF9">
            <w:pPr>
              <w:pStyle w:val="aff6"/>
              <w:topLinePunct/>
              <w:rPr>
                <w:bCs/>
              </w:rPr>
            </w:pPr>
            <w:r>
              <w:rPr>
                <w:bCs/>
              </w:rPr>
              <w:t>21</w:t>
            </w:r>
          </w:p>
        </w:tc>
        <w:tc>
          <w:tcPr>
            <w:tcW w:w="1193" w:type="pct"/>
            <w:vAlign w:val="center"/>
          </w:tcPr>
          <w:p w14:paraId="540A6784" w14:textId="77777777" w:rsidR="003E78AB" w:rsidRDefault="00010BF9">
            <w:pPr>
              <w:pStyle w:val="aff6"/>
              <w:topLinePunct/>
              <w:rPr>
                <w:bCs/>
              </w:rPr>
            </w:pPr>
            <w:r>
              <w:rPr>
                <w:rFonts w:hint="eastAsia"/>
                <w:bCs/>
              </w:rPr>
              <w:t>哈密市冠亿石材厂</w:t>
            </w:r>
          </w:p>
        </w:tc>
        <w:tc>
          <w:tcPr>
            <w:tcW w:w="515" w:type="pct"/>
            <w:vAlign w:val="center"/>
          </w:tcPr>
          <w:p w14:paraId="2E321749" w14:textId="77777777" w:rsidR="003E78AB" w:rsidRDefault="00010BF9">
            <w:pPr>
              <w:pStyle w:val="aff6"/>
              <w:topLinePunct/>
              <w:rPr>
                <w:bCs/>
              </w:rPr>
            </w:pPr>
            <w:r>
              <w:rPr>
                <w:bCs/>
              </w:rPr>
              <w:t>400</w:t>
            </w:r>
          </w:p>
        </w:tc>
        <w:tc>
          <w:tcPr>
            <w:tcW w:w="1309" w:type="pct"/>
            <w:vAlign w:val="center"/>
          </w:tcPr>
          <w:p w14:paraId="52B40750" w14:textId="77777777" w:rsidR="003E78AB" w:rsidRDefault="00010BF9">
            <w:pPr>
              <w:pStyle w:val="aff6"/>
              <w:topLinePunct/>
              <w:rPr>
                <w:bCs/>
              </w:rPr>
            </w:pPr>
            <w:r>
              <w:rPr>
                <w:rFonts w:hint="eastAsia"/>
                <w:bCs/>
              </w:rPr>
              <w:t>其他废物</w:t>
            </w:r>
          </w:p>
        </w:tc>
        <w:tc>
          <w:tcPr>
            <w:tcW w:w="1473" w:type="pct"/>
            <w:vAlign w:val="center"/>
          </w:tcPr>
          <w:p w14:paraId="5F895FF4" w14:textId="77777777" w:rsidR="003E78AB" w:rsidRDefault="00010BF9">
            <w:pPr>
              <w:pStyle w:val="aff6"/>
              <w:topLinePunct/>
              <w:rPr>
                <w:bCs/>
              </w:rPr>
            </w:pPr>
            <w:r>
              <w:rPr>
                <w:rFonts w:hint="eastAsia"/>
                <w:bCs/>
              </w:rPr>
              <w:t>外售综合利用</w:t>
            </w:r>
          </w:p>
        </w:tc>
        <w:tc>
          <w:tcPr>
            <w:tcW w:w="314" w:type="pct"/>
            <w:vMerge/>
            <w:vAlign w:val="center"/>
          </w:tcPr>
          <w:p w14:paraId="3432EFF4" w14:textId="77777777" w:rsidR="003E78AB" w:rsidRDefault="003E78AB">
            <w:pPr>
              <w:pStyle w:val="aff6"/>
              <w:topLinePunct/>
              <w:rPr>
                <w:bCs/>
              </w:rPr>
            </w:pPr>
          </w:p>
        </w:tc>
      </w:tr>
      <w:tr w:rsidR="003E78AB" w14:paraId="76EBE7F4" w14:textId="77777777">
        <w:trPr>
          <w:trHeight w:val="20"/>
        </w:trPr>
        <w:tc>
          <w:tcPr>
            <w:tcW w:w="1387" w:type="pct"/>
            <w:gridSpan w:val="2"/>
            <w:vAlign w:val="center"/>
          </w:tcPr>
          <w:p w14:paraId="37FD77D7" w14:textId="77777777" w:rsidR="003E78AB" w:rsidRDefault="00010BF9">
            <w:pPr>
              <w:pStyle w:val="aff6"/>
              <w:topLinePunct/>
              <w:rPr>
                <w:bCs/>
              </w:rPr>
            </w:pPr>
            <w:r>
              <w:rPr>
                <w:bCs/>
              </w:rPr>
              <w:t>总计</w:t>
            </w:r>
          </w:p>
        </w:tc>
        <w:tc>
          <w:tcPr>
            <w:tcW w:w="515" w:type="pct"/>
            <w:vAlign w:val="center"/>
          </w:tcPr>
          <w:p w14:paraId="11EB4DB2" w14:textId="77777777" w:rsidR="003E78AB" w:rsidRDefault="00010BF9">
            <w:pPr>
              <w:pStyle w:val="aff6"/>
              <w:topLinePunct/>
              <w:rPr>
                <w:bCs/>
              </w:rPr>
            </w:pPr>
            <w:r>
              <w:rPr>
                <w:bCs/>
              </w:rPr>
              <w:t>897270.84</w:t>
            </w:r>
          </w:p>
        </w:tc>
        <w:tc>
          <w:tcPr>
            <w:tcW w:w="1309" w:type="pct"/>
            <w:vAlign w:val="center"/>
          </w:tcPr>
          <w:p w14:paraId="0B10704C" w14:textId="77777777" w:rsidR="003E78AB" w:rsidRDefault="003E78AB">
            <w:pPr>
              <w:pStyle w:val="aff6"/>
              <w:topLinePunct/>
              <w:rPr>
                <w:bCs/>
              </w:rPr>
            </w:pPr>
          </w:p>
        </w:tc>
        <w:tc>
          <w:tcPr>
            <w:tcW w:w="1473" w:type="pct"/>
            <w:vAlign w:val="center"/>
          </w:tcPr>
          <w:p w14:paraId="10B0C3CB" w14:textId="77777777" w:rsidR="003E78AB" w:rsidRDefault="003E78AB">
            <w:pPr>
              <w:pStyle w:val="aff6"/>
              <w:topLinePunct/>
              <w:rPr>
                <w:bCs/>
              </w:rPr>
            </w:pPr>
          </w:p>
        </w:tc>
        <w:tc>
          <w:tcPr>
            <w:tcW w:w="314" w:type="pct"/>
            <w:vAlign w:val="center"/>
          </w:tcPr>
          <w:p w14:paraId="6853EE5A" w14:textId="77777777" w:rsidR="003E78AB" w:rsidRDefault="003E78AB">
            <w:pPr>
              <w:pStyle w:val="aff6"/>
              <w:topLinePunct/>
              <w:rPr>
                <w:bCs/>
              </w:rPr>
            </w:pPr>
          </w:p>
        </w:tc>
      </w:tr>
    </w:tbl>
    <w:p w14:paraId="532E861B" w14:textId="77777777" w:rsidR="003E78AB" w:rsidRDefault="00010BF9">
      <w:pPr>
        <w:pStyle w:val="a0"/>
        <w:rPr>
          <w:rFonts w:hint="default"/>
          <w:bCs/>
        </w:rPr>
      </w:pPr>
      <w:r>
        <w:rPr>
          <w:rFonts w:hint="default"/>
          <w:bCs/>
        </w:rPr>
        <w:t>危险废物产生及处置情况表（单位：</w:t>
      </w:r>
      <w:r>
        <w:rPr>
          <w:rFonts w:hint="default"/>
          <w:bCs/>
        </w:rPr>
        <w:t>t/a</w:t>
      </w:r>
      <w:r>
        <w:rPr>
          <w:rFonts w:hint="default"/>
          <w:bCs/>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3399"/>
        <w:gridCol w:w="1540"/>
        <w:gridCol w:w="4849"/>
        <w:gridCol w:w="2435"/>
        <w:gridCol w:w="1216"/>
      </w:tblGrid>
      <w:tr w:rsidR="003E78AB" w14:paraId="45E10A28" w14:textId="77777777">
        <w:trPr>
          <w:trHeight w:val="284"/>
          <w:tblHeader/>
        </w:trPr>
        <w:tc>
          <w:tcPr>
            <w:tcW w:w="258" w:type="pct"/>
            <w:vMerge w:val="restart"/>
            <w:vAlign w:val="center"/>
          </w:tcPr>
          <w:p w14:paraId="3ADBAD6C" w14:textId="77777777" w:rsidR="003E78AB" w:rsidRDefault="00010BF9">
            <w:pPr>
              <w:pStyle w:val="aff6"/>
              <w:topLinePunct/>
              <w:rPr>
                <w:bCs/>
              </w:rPr>
            </w:pPr>
            <w:r>
              <w:rPr>
                <w:rFonts w:hint="eastAsia"/>
                <w:bCs/>
              </w:rPr>
              <w:t>序号</w:t>
            </w:r>
          </w:p>
        </w:tc>
        <w:tc>
          <w:tcPr>
            <w:tcW w:w="1198" w:type="pct"/>
            <w:vMerge w:val="restart"/>
            <w:vAlign w:val="center"/>
          </w:tcPr>
          <w:p w14:paraId="1898EC7E" w14:textId="77777777" w:rsidR="003E78AB" w:rsidRDefault="00010BF9">
            <w:pPr>
              <w:pStyle w:val="aff6"/>
              <w:topLinePunct/>
              <w:rPr>
                <w:bCs/>
              </w:rPr>
            </w:pPr>
            <w:r>
              <w:rPr>
                <w:rFonts w:hint="eastAsia"/>
                <w:bCs/>
              </w:rPr>
              <w:t>企业名称</w:t>
            </w:r>
          </w:p>
        </w:tc>
        <w:tc>
          <w:tcPr>
            <w:tcW w:w="3112" w:type="pct"/>
            <w:gridSpan w:val="3"/>
            <w:vAlign w:val="center"/>
          </w:tcPr>
          <w:p w14:paraId="3DB55299" w14:textId="77777777" w:rsidR="003E78AB" w:rsidRDefault="00010BF9">
            <w:pPr>
              <w:pStyle w:val="aff6"/>
              <w:topLinePunct/>
              <w:rPr>
                <w:bCs/>
              </w:rPr>
            </w:pPr>
            <w:r>
              <w:rPr>
                <w:rFonts w:hint="eastAsia"/>
                <w:bCs/>
              </w:rPr>
              <w:t>危险废物</w:t>
            </w:r>
          </w:p>
        </w:tc>
        <w:tc>
          <w:tcPr>
            <w:tcW w:w="429" w:type="pct"/>
            <w:vMerge w:val="restart"/>
            <w:vAlign w:val="center"/>
          </w:tcPr>
          <w:p w14:paraId="702E9397" w14:textId="77777777" w:rsidR="003E78AB" w:rsidRDefault="00010BF9">
            <w:pPr>
              <w:pStyle w:val="aff6"/>
              <w:topLinePunct/>
              <w:rPr>
                <w:bCs/>
              </w:rPr>
            </w:pPr>
            <w:r>
              <w:rPr>
                <w:rFonts w:hint="eastAsia"/>
                <w:bCs/>
              </w:rPr>
              <w:t>来源</w:t>
            </w:r>
          </w:p>
        </w:tc>
      </w:tr>
      <w:tr w:rsidR="003E78AB" w14:paraId="262E21A4" w14:textId="77777777">
        <w:trPr>
          <w:trHeight w:val="284"/>
          <w:tblHeader/>
        </w:trPr>
        <w:tc>
          <w:tcPr>
            <w:tcW w:w="258" w:type="pct"/>
            <w:vMerge/>
            <w:vAlign w:val="center"/>
          </w:tcPr>
          <w:p w14:paraId="654F7593" w14:textId="77777777" w:rsidR="003E78AB" w:rsidRDefault="003E78AB">
            <w:pPr>
              <w:pStyle w:val="aff6"/>
              <w:topLinePunct/>
              <w:rPr>
                <w:bCs/>
              </w:rPr>
            </w:pPr>
          </w:p>
        </w:tc>
        <w:tc>
          <w:tcPr>
            <w:tcW w:w="1198" w:type="pct"/>
            <w:vMerge/>
            <w:vAlign w:val="center"/>
          </w:tcPr>
          <w:p w14:paraId="345E6876" w14:textId="77777777" w:rsidR="003E78AB" w:rsidRDefault="003E78AB">
            <w:pPr>
              <w:pStyle w:val="aff6"/>
              <w:topLinePunct/>
              <w:rPr>
                <w:bCs/>
              </w:rPr>
            </w:pPr>
          </w:p>
        </w:tc>
        <w:tc>
          <w:tcPr>
            <w:tcW w:w="543" w:type="pct"/>
            <w:vAlign w:val="center"/>
          </w:tcPr>
          <w:p w14:paraId="24DA4B77" w14:textId="77777777" w:rsidR="003E78AB" w:rsidRDefault="00010BF9">
            <w:pPr>
              <w:pStyle w:val="aff6"/>
              <w:topLinePunct/>
              <w:rPr>
                <w:bCs/>
              </w:rPr>
            </w:pPr>
            <w:r>
              <w:rPr>
                <w:rFonts w:hint="eastAsia"/>
                <w:bCs/>
              </w:rPr>
              <w:t>产生量（</w:t>
            </w:r>
            <w:r>
              <w:rPr>
                <w:rFonts w:hint="eastAsia"/>
                <w:bCs/>
              </w:rPr>
              <w:t>t/a)</w:t>
            </w:r>
          </w:p>
        </w:tc>
        <w:tc>
          <w:tcPr>
            <w:tcW w:w="1711" w:type="pct"/>
            <w:vAlign w:val="center"/>
          </w:tcPr>
          <w:p w14:paraId="658DCA7A" w14:textId="77777777" w:rsidR="003E78AB" w:rsidRDefault="00010BF9">
            <w:pPr>
              <w:pStyle w:val="aff6"/>
              <w:topLinePunct/>
              <w:rPr>
                <w:bCs/>
              </w:rPr>
            </w:pPr>
            <w:r>
              <w:rPr>
                <w:rFonts w:hint="eastAsia"/>
                <w:bCs/>
              </w:rPr>
              <w:t>种类</w:t>
            </w:r>
          </w:p>
        </w:tc>
        <w:tc>
          <w:tcPr>
            <w:tcW w:w="857" w:type="pct"/>
            <w:vAlign w:val="center"/>
          </w:tcPr>
          <w:p w14:paraId="0B9D97A5" w14:textId="77777777" w:rsidR="003E78AB" w:rsidRDefault="00010BF9">
            <w:pPr>
              <w:pStyle w:val="aff6"/>
              <w:topLinePunct/>
              <w:rPr>
                <w:bCs/>
              </w:rPr>
            </w:pPr>
            <w:r>
              <w:rPr>
                <w:rFonts w:hint="eastAsia"/>
                <w:bCs/>
              </w:rPr>
              <w:t>处置去向</w:t>
            </w:r>
          </w:p>
        </w:tc>
        <w:tc>
          <w:tcPr>
            <w:tcW w:w="429" w:type="pct"/>
            <w:vMerge/>
            <w:vAlign w:val="center"/>
          </w:tcPr>
          <w:p w14:paraId="37CF48F1" w14:textId="77777777" w:rsidR="003E78AB" w:rsidRDefault="003E78AB">
            <w:pPr>
              <w:pStyle w:val="aff6"/>
              <w:topLinePunct/>
              <w:rPr>
                <w:bCs/>
              </w:rPr>
            </w:pPr>
          </w:p>
        </w:tc>
      </w:tr>
      <w:tr w:rsidR="003E78AB" w14:paraId="0FF75EA4" w14:textId="77777777">
        <w:trPr>
          <w:trHeight w:val="284"/>
          <w:tblHeader/>
        </w:trPr>
        <w:tc>
          <w:tcPr>
            <w:tcW w:w="4570" w:type="pct"/>
            <w:gridSpan w:val="5"/>
            <w:vAlign w:val="center"/>
          </w:tcPr>
          <w:p w14:paraId="52CD4D1F" w14:textId="77777777" w:rsidR="003E78AB" w:rsidRDefault="00010BF9">
            <w:pPr>
              <w:pStyle w:val="aff6"/>
              <w:topLinePunct/>
              <w:rPr>
                <w:bCs/>
              </w:rPr>
            </w:pPr>
            <w:r>
              <w:rPr>
                <w:rFonts w:hint="eastAsia"/>
                <w:bCs/>
              </w:rPr>
              <w:t>南部循环经济产业园</w:t>
            </w:r>
          </w:p>
        </w:tc>
        <w:tc>
          <w:tcPr>
            <w:tcW w:w="429" w:type="pct"/>
            <w:vMerge/>
            <w:vAlign w:val="center"/>
          </w:tcPr>
          <w:p w14:paraId="29146F1C" w14:textId="77777777" w:rsidR="003E78AB" w:rsidRDefault="003E78AB">
            <w:pPr>
              <w:pStyle w:val="aff6"/>
              <w:topLinePunct/>
              <w:rPr>
                <w:bCs/>
              </w:rPr>
            </w:pPr>
          </w:p>
        </w:tc>
      </w:tr>
      <w:tr w:rsidR="003E78AB" w14:paraId="1C029053" w14:textId="77777777">
        <w:trPr>
          <w:trHeight w:val="284"/>
          <w:tblHeader/>
        </w:trPr>
        <w:tc>
          <w:tcPr>
            <w:tcW w:w="258" w:type="pct"/>
            <w:vAlign w:val="center"/>
          </w:tcPr>
          <w:p w14:paraId="1FF66869" w14:textId="77777777" w:rsidR="003E78AB" w:rsidRDefault="00010BF9">
            <w:pPr>
              <w:pStyle w:val="aff6"/>
              <w:topLinePunct/>
              <w:rPr>
                <w:bCs/>
              </w:rPr>
            </w:pPr>
            <w:r>
              <w:rPr>
                <w:rFonts w:hint="eastAsia"/>
                <w:bCs/>
              </w:rPr>
              <w:t>1</w:t>
            </w:r>
          </w:p>
        </w:tc>
        <w:tc>
          <w:tcPr>
            <w:tcW w:w="1198" w:type="pct"/>
            <w:vAlign w:val="center"/>
          </w:tcPr>
          <w:p w14:paraId="4B104BC7" w14:textId="77777777" w:rsidR="003E78AB" w:rsidRDefault="00010BF9">
            <w:pPr>
              <w:pStyle w:val="aff6"/>
              <w:topLinePunct/>
              <w:rPr>
                <w:bCs/>
              </w:rPr>
            </w:pPr>
            <w:r>
              <w:rPr>
                <w:rFonts w:hint="eastAsia"/>
                <w:bCs/>
              </w:rPr>
              <w:t>哈密特力石化有限责任公司</w:t>
            </w:r>
          </w:p>
        </w:tc>
        <w:tc>
          <w:tcPr>
            <w:tcW w:w="543" w:type="pct"/>
            <w:vAlign w:val="center"/>
          </w:tcPr>
          <w:p w14:paraId="4B37DDA5" w14:textId="77777777" w:rsidR="003E78AB" w:rsidRDefault="00010BF9">
            <w:pPr>
              <w:pStyle w:val="aff6"/>
              <w:topLinePunct/>
              <w:rPr>
                <w:bCs/>
              </w:rPr>
            </w:pPr>
            <w:r>
              <w:rPr>
                <w:rFonts w:hint="eastAsia"/>
                <w:bCs/>
              </w:rPr>
              <w:t>1900</w:t>
            </w:r>
          </w:p>
        </w:tc>
        <w:tc>
          <w:tcPr>
            <w:tcW w:w="1711" w:type="pct"/>
            <w:vAlign w:val="center"/>
          </w:tcPr>
          <w:p w14:paraId="393EE04E" w14:textId="77777777" w:rsidR="003E78AB" w:rsidRDefault="00010BF9">
            <w:pPr>
              <w:pStyle w:val="aff6"/>
              <w:topLinePunct/>
              <w:rPr>
                <w:bCs/>
              </w:rPr>
            </w:pPr>
            <w:r>
              <w:rPr>
                <w:rFonts w:hint="eastAsia"/>
                <w:bCs/>
              </w:rPr>
              <w:t>废渣、储罐油泥。污水站油泥、废活性炭</w:t>
            </w:r>
          </w:p>
        </w:tc>
        <w:tc>
          <w:tcPr>
            <w:tcW w:w="857" w:type="pct"/>
            <w:vAlign w:val="center"/>
          </w:tcPr>
          <w:p w14:paraId="3C2FD040" w14:textId="77777777" w:rsidR="003E78AB" w:rsidRDefault="00010BF9">
            <w:pPr>
              <w:pStyle w:val="aff6"/>
              <w:topLinePunct/>
              <w:rPr>
                <w:bCs/>
              </w:rPr>
            </w:pPr>
            <w:r>
              <w:rPr>
                <w:rFonts w:hint="eastAsia"/>
                <w:bCs/>
              </w:rPr>
              <w:t>委托有资质单位处理</w:t>
            </w:r>
          </w:p>
        </w:tc>
        <w:tc>
          <w:tcPr>
            <w:tcW w:w="429" w:type="pct"/>
            <w:vMerge w:val="restart"/>
            <w:vAlign w:val="center"/>
          </w:tcPr>
          <w:p w14:paraId="1154FEC5" w14:textId="77777777" w:rsidR="003E78AB" w:rsidRDefault="00010BF9">
            <w:pPr>
              <w:pStyle w:val="aff6"/>
              <w:topLinePunct/>
              <w:rPr>
                <w:bCs/>
              </w:rPr>
            </w:pPr>
            <w:r>
              <w:rPr>
                <w:rFonts w:hint="eastAsia"/>
                <w:bCs/>
              </w:rPr>
              <w:t>跟踪评价</w:t>
            </w:r>
          </w:p>
          <w:p w14:paraId="04BE850A" w14:textId="77777777" w:rsidR="003E78AB" w:rsidRDefault="00010BF9">
            <w:pPr>
              <w:pStyle w:val="aff6"/>
              <w:topLinePunct/>
              <w:rPr>
                <w:bCs/>
              </w:rPr>
            </w:pPr>
            <w:r>
              <w:rPr>
                <w:rFonts w:hint="eastAsia"/>
                <w:bCs/>
              </w:rPr>
              <w:t>报告书</w:t>
            </w:r>
          </w:p>
        </w:tc>
      </w:tr>
      <w:tr w:rsidR="003E78AB" w14:paraId="0055BE9B" w14:textId="77777777">
        <w:trPr>
          <w:trHeight w:val="801"/>
          <w:tblHeader/>
        </w:trPr>
        <w:tc>
          <w:tcPr>
            <w:tcW w:w="258" w:type="pct"/>
            <w:vAlign w:val="center"/>
          </w:tcPr>
          <w:p w14:paraId="296782C4" w14:textId="77777777" w:rsidR="003E78AB" w:rsidRDefault="00010BF9">
            <w:pPr>
              <w:pStyle w:val="aff6"/>
              <w:topLinePunct/>
              <w:rPr>
                <w:bCs/>
              </w:rPr>
            </w:pPr>
            <w:r>
              <w:rPr>
                <w:rFonts w:hint="eastAsia"/>
                <w:bCs/>
              </w:rPr>
              <w:t>2</w:t>
            </w:r>
          </w:p>
        </w:tc>
        <w:tc>
          <w:tcPr>
            <w:tcW w:w="1198" w:type="pct"/>
            <w:vAlign w:val="center"/>
          </w:tcPr>
          <w:p w14:paraId="03105F0A" w14:textId="77777777" w:rsidR="003E78AB" w:rsidRDefault="00010BF9">
            <w:pPr>
              <w:pStyle w:val="aff6"/>
              <w:topLinePunct/>
              <w:rPr>
                <w:bCs/>
              </w:rPr>
            </w:pPr>
            <w:r>
              <w:rPr>
                <w:rFonts w:hint="eastAsia"/>
                <w:bCs/>
              </w:rPr>
              <w:t>新疆腾翔镁制品有限公司</w:t>
            </w:r>
          </w:p>
        </w:tc>
        <w:tc>
          <w:tcPr>
            <w:tcW w:w="543" w:type="pct"/>
            <w:vAlign w:val="center"/>
          </w:tcPr>
          <w:p w14:paraId="261AC133" w14:textId="77777777" w:rsidR="003E78AB" w:rsidRDefault="00010BF9">
            <w:pPr>
              <w:pStyle w:val="aff6"/>
              <w:topLinePunct/>
              <w:rPr>
                <w:bCs/>
              </w:rPr>
            </w:pPr>
            <w:r>
              <w:rPr>
                <w:rFonts w:hint="eastAsia"/>
                <w:bCs/>
              </w:rPr>
              <w:t>128</w:t>
            </w:r>
          </w:p>
        </w:tc>
        <w:tc>
          <w:tcPr>
            <w:tcW w:w="1711" w:type="pct"/>
            <w:vAlign w:val="center"/>
          </w:tcPr>
          <w:p w14:paraId="6B728EB4" w14:textId="77777777" w:rsidR="003E78AB" w:rsidRDefault="00010BF9">
            <w:pPr>
              <w:pStyle w:val="aff6"/>
              <w:topLinePunct/>
              <w:rPr>
                <w:bCs/>
              </w:rPr>
            </w:pPr>
            <w:r>
              <w:rPr>
                <w:rFonts w:hint="eastAsia"/>
                <w:bCs/>
              </w:rPr>
              <w:t>污泥</w:t>
            </w:r>
          </w:p>
        </w:tc>
        <w:tc>
          <w:tcPr>
            <w:tcW w:w="857" w:type="pct"/>
            <w:vAlign w:val="center"/>
          </w:tcPr>
          <w:p w14:paraId="24D983AE" w14:textId="77777777" w:rsidR="003E78AB" w:rsidRDefault="00010BF9">
            <w:pPr>
              <w:pStyle w:val="aff6"/>
              <w:topLinePunct/>
              <w:rPr>
                <w:bCs/>
              </w:rPr>
            </w:pPr>
            <w:r>
              <w:rPr>
                <w:rFonts w:hint="eastAsia"/>
                <w:bCs/>
              </w:rPr>
              <w:t>委托有资质单位处理</w:t>
            </w:r>
          </w:p>
        </w:tc>
        <w:tc>
          <w:tcPr>
            <w:tcW w:w="429" w:type="pct"/>
            <w:vMerge/>
            <w:vAlign w:val="center"/>
          </w:tcPr>
          <w:p w14:paraId="479D8074" w14:textId="77777777" w:rsidR="003E78AB" w:rsidRDefault="003E78AB">
            <w:pPr>
              <w:pStyle w:val="aff6"/>
              <w:topLinePunct/>
              <w:rPr>
                <w:bCs/>
              </w:rPr>
            </w:pPr>
          </w:p>
        </w:tc>
      </w:tr>
      <w:tr w:rsidR="003E78AB" w14:paraId="1ECE0CEF" w14:textId="77777777">
        <w:trPr>
          <w:trHeight w:val="284"/>
          <w:tblHeader/>
        </w:trPr>
        <w:tc>
          <w:tcPr>
            <w:tcW w:w="258" w:type="pct"/>
            <w:vAlign w:val="center"/>
          </w:tcPr>
          <w:p w14:paraId="747DF953" w14:textId="77777777" w:rsidR="003E78AB" w:rsidRDefault="00010BF9">
            <w:pPr>
              <w:pStyle w:val="aff6"/>
              <w:topLinePunct/>
              <w:rPr>
                <w:bCs/>
              </w:rPr>
            </w:pPr>
            <w:r>
              <w:rPr>
                <w:rFonts w:hint="eastAsia"/>
                <w:bCs/>
              </w:rPr>
              <w:t>3</w:t>
            </w:r>
          </w:p>
        </w:tc>
        <w:tc>
          <w:tcPr>
            <w:tcW w:w="1198" w:type="pct"/>
            <w:vAlign w:val="center"/>
          </w:tcPr>
          <w:p w14:paraId="1FD2EE20" w14:textId="77777777" w:rsidR="003E78AB" w:rsidRDefault="00010BF9">
            <w:pPr>
              <w:pStyle w:val="aff6"/>
              <w:topLinePunct/>
              <w:rPr>
                <w:bCs/>
              </w:rPr>
            </w:pPr>
            <w:r>
              <w:rPr>
                <w:rFonts w:hint="eastAsia"/>
                <w:bCs/>
              </w:rPr>
              <w:t>新疆回水环保新材料有限公司</w:t>
            </w:r>
          </w:p>
        </w:tc>
        <w:tc>
          <w:tcPr>
            <w:tcW w:w="543" w:type="pct"/>
            <w:vAlign w:val="center"/>
          </w:tcPr>
          <w:p w14:paraId="7A0604FB" w14:textId="77777777" w:rsidR="003E78AB" w:rsidRDefault="00010BF9">
            <w:pPr>
              <w:pStyle w:val="aff6"/>
              <w:topLinePunct/>
              <w:rPr>
                <w:bCs/>
              </w:rPr>
            </w:pPr>
            <w:r>
              <w:rPr>
                <w:rFonts w:hint="eastAsia"/>
                <w:bCs/>
              </w:rPr>
              <w:t>0.24</w:t>
            </w:r>
          </w:p>
        </w:tc>
        <w:tc>
          <w:tcPr>
            <w:tcW w:w="1711" w:type="pct"/>
            <w:vAlign w:val="center"/>
          </w:tcPr>
          <w:p w14:paraId="53FA1CB3" w14:textId="77777777" w:rsidR="003E78AB" w:rsidRDefault="00010BF9">
            <w:pPr>
              <w:pStyle w:val="aff6"/>
              <w:topLinePunct/>
              <w:rPr>
                <w:bCs/>
              </w:rPr>
            </w:pPr>
            <w:r>
              <w:rPr>
                <w:rFonts w:hint="eastAsia"/>
                <w:bCs/>
              </w:rPr>
              <w:t>废机油、废润滑油</w:t>
            </w:r>
          </w:p>
        </w:tc>
        <w:tc>
          <w:tcPr>
            <w:tcW w:w="857" w:type="pct"/>
            <w:vAlign w:val="center"/>
          </w:tcPr>
          <w:p w14:paraId="3D2BE142" w14:textId="77777777" w:rsidR="003E78AB" w:rsidRDefault="00010BF9">
            <w:pPr>
              <w:pStyle w:val="aff6"/>
              <w:topLinePunct/>
              <w:rPr>
                <w:bCs/>
              </w:rPr>
            </w:pPr>
            <w:r>
              <w:rPr>
                <w:rFonts w:hint="eastAsia"/>
                <w:bCs/>
              </w:rPr>
              <w:t>委托有资质单位处理</w:t>
            </w:r>
          </w:p>
        </w:tc>
        <w:tc>
          <w:tcPr>
            <w:tcW w:w="429" w:type="pct"/>
            <w:vMerge/>
            <w:vAlign w:val="center"/>
          </w:tcPr>
          <w:p w14:paraId="576D7FD6" w14:textId="77777777" w:rsidR="003E78AB" w:rsidRDefault="003E78AB">
            <w:pPr>
              <w:pStyle w:val="aff6"/>
              <w:topLinePunct/>
              <w:rPr>
                <w:bCs/>
              </w:rPr>
            </w:pPr>
          </w:p>
        </w:tc>
      </w:tr>
      <w:tr w:rsidR="003E78AB" w14:paraId="32171EBA" w14:textId="77777777">
        <w:trPr>
          <w:trHeight w:val="284"/>
          <w:tblHeader/>
        </w:trPr>
        <w:tc>
          <w:tcPr>
            <w:tcW w:w="258" w:type="pct"/>
            <w:vAlign w:val="center"/>
          </w:tcPr>
          <w:p w14:paraId="61D2FEA5" w14:textId="77777777" w:rsidR="003E78AB" w:rsidRDefault="00010BF9">
            <w:pPr>
              <w:pStyle w:val="aff6"/>
              <w:topLinePunct/>
              <w:rPr>
                <w:bCs/>
              </w:rPr>
            </w:pPr>
            <w:r>
              <w:rPr>
                <w:rFonts w:hint="eastAsia"/>
                <w:bCs/>
              </w:rPr>
              <w:t>4</w:t>
            </w:r>
          </w:p>
        </w:tc>
        <w:tc>
          <w:tcPr>
            <w:tcW w:w="1198" w:type="pct"/>
            <w:vAlign w:val="center"/>
          </w:tcPr>
          <w:p w14:paraId="767FE744" w14:textId="77777777" w:rsidR="003E78AB" w:rsidRDefault="00010BF9">
            <w:pPr>
              <w:pStyle w:val="aff6"/>
              <w:topLinePunct/>
              <w:rPr>
                <w:bCs/>
              </w:rPr>
            </w:pPr>
            <w:r>
              <w:rPr>
                <w:rFonts w:hint="eastAsia"/>
                <w:bCs/>
              </w:rPr>
              <w:t>哈密汇川矿业有限责任公司</w:t>
            </w:r>
          </w:p>
        </w:tc>
        <w:tc>
          <w:tcPr>
            <w:tcW w:w="543" w:type="pct"/>
            <w:vAlign w:val="center"/>
          </w:tcPr>
          <w:p w14:paraId="23D8080D" w14:textId="77777777" w:rsidR="003E78AB" w:rsidRDefault="00010BF9">
            <w:pPr>
              <w:pStyle w:val="aff6"/>
              <w:topLinePunct/>
              <w:rPr>
                <w:bCs/>
              </w:rPr>
            </w:pPr>
            <w:r>
              <w:rPr>
                <w:rFonts w:hint="eastAsia"/>
                <w:bCs/>
              </w:rPr>
              <w:t>0.6</w:t>
            </w:r>
          </w:p>
        </w:tc>
        <w:tc>
          <w:tcPr>
            <w:tcW w:w="1711" w:type="pct"/>
            <w:vAlign w:val="center"/>
          </w:tcPr>
          <w:p w14:paraId="31B9A760" w14:textId="77777777" w:rsidR="003E78AB" w:rsidRDefault="00010BF9">
            <w:pPr>
              <w:pStyle w:val="aff6"/>
              <w:topLinePunct/>
              <w:rPr>
                <w:bCs/>
              </w:rPr>
            </w:pPr>
            <w:r>
              <w:rPr>
                <w:rFonts w:hint="eastAsia"/>
                <w:bCs/>
              </w:rPr>
              <w:t>废机油</w:t>
            </w:r>
          </w:p>
        </w:tc>
        <w:tc>
          <w:tcPr>
            <w:tcW w:w="857" w:type="pct"/>
            <w:vAlign w:val="center"/>
          </w:tcPr>
          <w:p w14:paraId="3A56E0BF" w14:textId="77777777" w:rsidR="003E78AB" w:rsidRDefault="00010BF9">
            <w:pPr>
              <w:pStyle w:val="aff6"/>
              <w:topLinePunct/>
              <w:rPr>
                <w:bCs/>
              </w:rPr>
            </w:pPr>
            <w:r>
              <w:rPr>
                <w:rFonts w:hint="eastAsia"/>
                <w:bCs/>
              </w:rPr>
              <w:t>委托有资质单位处理</w:t>
            </w:r>
          </w:p>
        </w:tc>
        <w:tc>
          <w:tcPr>
            <w:tcW w:w="429" w:type="pct"/>
            <w:vMerge/>
            <w:vAlign w:val="center"/>
          </w:tcPr>
          <w:p w14:paraId="31F8D52E" w14:textId="77777777" w:rsidR="003E78AB" w:rsidRDefault="003E78AB">
            <w:pPr>
              <w:pStyle w:val="aff6"/>
              <w:topLinePunct/>
              <w:rPr>
                <w:bCs/>
              </w:rPr>
            </w:pPr>
          </w:p>
        </w:tc>
      </w:tr>
      <w:tr w:rsidR="003E78AB" w14:paraId="3A68B8B0" w14:textId="77777777">
        <w:trPr>
          <w:trHeight w:val="284"/>
          <w:tblHeader/>
        </w:trPr>
        <w:tc>
          <w:tcPr>
            <w:tcW w:w="258" w:type="pct"/>
            <w:vAlign w:val="center"/>
          </w:tcPr>
          <w:p w14:paraId="3C029751" w14:textId="77777777" w:rsidR="003E78AB" w:rsidRDefault="00010BF9">
            <w:pPr>
              <w:pStyle w:val="aff6"/>
              <w:topLinePunct/>
              <w:rPr>
                <w:bCs/>
              </w:rPr>
            </w:pPr>
            <w:r>
              <w:rPr>
                <w:rFonts w:hint="eastAsia"/>
                <w:bCs/>
              </w:rPr>
              <w:t>5</w:t>
            </w:r>
          </w:p>
        </w:tc>
        <w:tc>
          <w:tcPr>
            <w:tcW w:w="1198" w:type="pct"/>
            <w:vAlign w:val="center"/>
          </w:tcPr>
          <w:p w14:paraId="4A73DEC9" w14:textId="77777777" w:rsidR="003E78AB" w:rsidRDefault="00010BF9">
            <w:pPr>
              <w:pStyle w:val="aff6"/>
              <w:topLinePunct/>
              <w:rPr>
                <w:bCs/>
              </w:rPr>
            </w:pPr>
            <w:r>
              <w:rPr>
                <w:rFonts w:hint="eastAsia"/>
                <w:bCs/>
              </w:rPr>
              <w:t>新疆昕昊达矿业有限责任公司</w:t>
            </w:r>
          </w:p>
        </w:tc>
        <w:tc>
          <w:tcPr>
            <w:tcW w:w="543" w:type="pct"/>
            <w:vAlign w:val="center"/>
          </w:tcPr>
          <w:p w14:paraId="5A368F1F" w14:textId="77777777" w:rsidR="003E78AB" w:rsidRDefault="00010BF9">
            <w:pPr>
              <w:pStyle w:val="aff6"/>
              <w:topLinePunct/>
              <w:rPr>
                <w:bCs/>
              </w:rPr>
            </w:pPr>
            <w:r>
              <w:rPr>
                <w:rFonts w:hint="eastAsia"/>
                <w:bCs/>
              </w:rPr>
              <w:t>1</w:t>
            </w:r>
            <w:r>
              <w:rPr>
                <w:bCs/>
              </w:rPr>
              <w:t>439</w:t>
            </w:r>
          </w:p>
        </w:tc>
        <w:tc>
          <w:tcPr>
            <w:tcW w:w="1711" w:type="pct"/>
            <w:vAlign w:val="center"/>
          </w:tcPr>
          <w:p w14:paraId="7A1D8AC0" w14:textId="77777777" w:rsidR="003E78AB" w:rsidRDefault="00010BF9">
            <w:pPr>
              <w:pStyle w:val="aff6"/>
              <w:topLinePunct/>
              <w:rPr>
                <w:bCs/>
              </w:rPr>
            </w:pPr>
            <w:r>
              <w:rPr>
                <w:rFonts w:hint="eastAsia"/>
                <w:bCs/>
              </w:rPr>
              <w:t>精（蒸）馏残渣、废矿物油与含矿物油废物</w:t>
            </w:r>
          </w:p>
        </w:tc>
        <w:tc>
          <w:tcPr>
            <w:tcW w:w="857" w:type="pct"/>
            <w:vAlign w:val="center"/>
          </w:tcPr>
          <w:p w14:paraId="5A60D691" w14:textId="77777777" w:rsidR="003E78AB" w:rsidRDefault="00010BF9">
            <w:pPr>
              <w:pStyle w:val="aff6"/>
              <w:topLinePunct/>
              <w:rPr>
                <w:bCs/>
              </w:rPr>
            </w:pPr>
            <w:r>
              <w:rPr>
                <w:rFonts w:hint="eastAsia"/>
                <w:bCs/>
              </w:rPr>
              <w:t>委托有资质单位处理</w:t>
            </w:r>
          </w:p>
        </w:tc>
        <w:tc>
          <w:tcPr>
            <w:tcW w:w="429" w:type="pct"/>
            <w:vMerge/>
            <w:vAlign w:val="center"/>
          </w:tcPr>
          <w:p w14:paraId="50146B64" w14:textId="77777777" w:rsidR="003E78AB" w:rsidRDefault="003E78AB">
            <w:pPr>
              <w:pStyle w:val="aff6"/>
              <w:topLinePunct/>
              <w:rPr>
                <w:bCs/>
              </w:rPr>
            </w:pPr>
          </w:p>
        </w:tc>
      </w:tr>
      <w:tr w:rsidR="003E78AB" w14:paraId="6F65F0C7" w14:textId="77777777">
        <w:trPr>
          <w:trHeight w:val="144"/>
          <w:tblHeader/>
        </w:trPr>
        <w:tc>
          <w:tcPr>
            <w:tcW w:w="1457" w:type="pct"/>
            <w:gridSpan w:val="2"/>
            <w:noWrap/>
            <w:vAlign w:val="center"/>
          </w:tcPr>
          <w:p w14:paraId="5E821E37" w14:textId="77777777" w:rsidR="003E78AB" w:rsidRDefault="00010BF9">
            <w:pPr>
              <w:pStyle w:val="aff6"/>
              <w:topLinePunct/>
              <w:rPr>
                <w:bCs/>
              </w:rPr>
            </w:pPr>
            <w:r>
              <w:rPr>
                <w:rFonts w:hint="eastAsia"/>
                <w:bCs/>
              </w:rPr>
              <w:t>总计</w:t>
            </w:r>
          </w:p>
        </w:tc>
        <w:tc>
          <w:tcPr>
            <w:tcW w:w="543" w:type="pct"/>
            <w:noWrap/>
            <w:vAlign w:val="center"/>
          </w:tcPr>
          <w:p w14:paraId="40CDFB7F" w14:textId="77777777" w:rsidR="003E78AB" w:rsidRDefault="00010BF9">
            <w:pPr>
              <w:pStyle w:val="aff6"/>
              <w:topLinePunct/>
              <w:rPr>
                <w:bCs/>
              </w:rPr>
            </w:pPr>
            <w:r>
              <w:rPr>
                <w:bCs/>
              </w:rPr>
              <w:t>3467.84</w:t>
            </w:r>
          </w:p>
        </w:tc>
        <w:tc>
          <w:tcPr>
            <w:tcW w:w="1711" w:type="pct"/>
            <w:noWrap/>
            <w:vAlign w:val="center"/>
          </w:tcPr>
          <w:p w14:paraId="393616F9" w14:textId="77777777" w:rsidR="003E78AB" w:rsidRDefault="003E78AB">
            <w:pPr>
              <w:pStyle w:val="aff6"/>
              <w:topLinePunct/>
              <w:rPr>
                <w:bCs/>
              </w:rPr>
            </w:pPr>
          </w:p>
        </w:tc>
        <w:tc>
          <w:tcPr>
            <w:tcW w:w="857" w:type="pct"/>
            <w:noWrap/>
            <w:vAlign w:val="center"/>
          </w:tcPr>
          <w:p w14:paraId="6B1C0E25" w14:textId="77777777" w:rsidR="003E78AB" w:rsidRDefault="003E78AB">
            <w:pPr>
              <w:pStyle w:val="aff6"/>
              <w:topLinePunct/>
              <w:rPr>
                <w:bCs/>
              </w:rPr>
            </w:pPr>
          </w:p>
        </w:tc>
        <w:tc>
          <w:tcPr>
            <w:tcW w:w="429" w:type="pct"/>
            <w:vAlign w:val="center"/>
          </w:tcPr>
          <w:p w14:paraId="2E578A6B" w14:textId="77777777" w:rsidR="003E78AB" w:rsidRDefault="003E78AB">
            <w:pPr>
              <w:pStyle w:val="aff6"/>
              <w:topLinePunct/>
              <w:rPr>
                <w:bCs/>
              </w:rPr>
            </w:pPr>
          </w:p>
        </w:tc>
      </w:tr>
    </w:tbl>
    <w:p w14:paraId="34D2EE31" w14:textId="77777777" w:rsidR="003E78AB" w:rsidRDefault="00010BF9">
      <w:pPr>
        <w:ind w:firstLine="480"/>
        <w:jc w:val="left"/>
        <w:rPr>
          <w:bCs/>
        </w:rPr>
      </w:pPr>
      <w:r>
        <w:rPr>
          <w:bCs/>
        </w:rPr>
        <w:t>本项目评价范围内拟建在建污染源包括</w:t>
      </w:r>
      <w:bookmarkStart w:id="323" w:name="OLE_LINK62"/>
      <w:r>
        <w:rPr>
          <w:bCs/>
        </w:rPr>
        <w:t>清电硅材料有限公司年产</w:t>
      </w:r>
      <w:r>
        <w:rPr>
          <w:bCs/>
        </w:rPr>
        <w:t>20</w:t>
      </w:r>
      <w:r>
        <w:rPr>
          <w:bCs/>
        </w:rPr>
        <w:t>万吨高纯多晶硅</w:t>
      </w:r>
      <w:bookmarkEnd w:id="323"/>
      <w:r>
        <w:rPr>
          <w:bCs/>
        </w:rPr>
        <w:t>一期</w:t>
      </w:r>
      <w:r>
        <w:rPr>
          <w:bCs/>
        </w:rPr>
        <w:t>5</w:t>
      </w:r>
      <w:r>
        <w:rPr>
          <w:bCs/>
        </w:rPr>
        <w:t>万吨项目、清电硅业有限公司年产</w:t>
      </w:r>
      <w:r>
        <w:rPr>
          <w:bCs/>
        </w:rPr>
        <w:t>60GW</w:t>
      </w:r>
      <w:r>
        <w:rPr>
          <w:bCs/>
        </w:rPr>
        <w:t>单晶硅拉棒切片一期</w:t>
      </w:r>
      <w:r>
        <w:rPr>
          <w:bCs/>
        </w:rPr>
        <w:t>10GW</w:t>
      </w:r>
      <w:r>
        <w:rPr>
          <w:bCs/>
        </w:rPr>
        <w:t>项目，根据已批复的环境报告书，</w:t>
      </w:r>
      <w:r>
        <w:rPr>
          <w:rFonts w:hint="eastAsia"/>
          <w:bCs/>
        </w:rPr>
        <w:t>污染物排放情况见。</w:t>
      </w:r>
    </w:p>
    <w:p w14:paraId="1B0896DC" w14:textId="77777777" w:rsidR="003E78AB" w:rsidRDefault="00010BF9">
      <w:pPr>
        <w:pStyle w:val="a0"/>
        <w:rPr>
          <w:rFonts w:hint="default"/>
          <w:bCs/>
        </w:rPr>
      </w:pPr>
      <w:r>
        <w:rPr>
          <w:bCs/>
        </w:rPr>
        <w:t>项目评价范围内拟建在建项目</w:t>
      </w:r>
      <w:r>
        <w:rPr>
          <w:rFonts w:hint="default"/>
          <w:bCs/>
        </w:rPr>
        <w:t>情况表（单位：</w:t>
      </w:r>
      <w:r>
        <w:rPr>
          <w:rFonts w:hint="default"/>
          <w:bCs/>
        </w:rPr>
        <w:t>t/a</w:t>
      </w:r>
      <w:r>
        <w:rPr>
          <w:rFonts w:hint="default"/>
          <w:bCs/>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2618"/>
        <w:gridCol w:w="830"/>
        <w:gridCol w:w="5591"/>
        <w:gridCol w:w="1513"/>
        <w:gridCol w:w="1952"/>
        <w:gridCol w:w="1156"/>
      </w:tblGrid>
      <w:tr w:rsidR="003E78AB" w14:paraId="0EAC5FCD" w14:textId="77777777">
        <w:trPr>
          <w:tblHeader/>
        </w:trPr>
        <w:tc>
          <w:tcPr>
            <w:tcW w:w="179" w:type="pct"/>
            <w:vAlign w:val="center"/>
          </w:tcPr>
          <w:p w14:paraId="33902D38" w14:textId="77777777" w:rsidR="003E78AB" w:rsidRDefault="00010BF9">
            <w:pPr>
              <w:pStyle w:val="aff6"/>
              <w:topLinePunct/>
              <w:rPr>
                <w:b/>
                <w:bCs/>
                <w:u w:val="single"/>
              </w:rPr>
            </w:pPr>
            <w:r>
              <w:rPr>
                <w:rFonts w:hint="eastAsia"/>
                <w:b/>
                <w:bCs/>
                <w:u w:val="single"/>
              </w:rPr>
              <w:t>序号</w:t>
            </w:r>
          </w:p>
        </w:tc>
        <w:tc>
          <w:tcPr>
            <w:tcW w:w="923" w:type="pct"/>
            <w:vAlign w:val="center"/>
          </w:tcPr>
          <w:p w14:paraId="3D239922" w14:textId="77777777" w:rsidR="003E78AB" w:rsidRDefault="00010BF9">
            <w:pPr>
              <w:pStyle w:val="aff6"/>
              <w:topLinePunct/>
              <w:rPr>
                <w:b/>
                <w:bCs/>
                <w:u w:val="single"/>
              </w:rPr>
            </w:pPr>
            <w:r>
              <w:rPr>
                <w:rFonts w:hint="eastAsia"/>
                <w:b/>
                <w:bCs/>
                <w:u w:val="single"/>
              </w:rPr>
              <w:t>项目名称</w:t>
            </w:r>
          </w:p>
        </w:tc>
        <w:tc>
          <w:tcPr>
            <w:tcW w:w="293" w:type="pct"/>
            <w:vAlign w:val="center"/>
          </w:tcPr>
          <w:p w14:paraId="19B67463" w14:textId="77777777" w:rsidR="003E78AB" w:rsidRDefault="00010BF9">
            <w:pPr>
              <w:pStyle w:val="aff6"/>
              <w:topLinePunct/>
              <w:rPr>
                <w:b/>
                <w:bCs/>
                <w:u w:val="single"/>
              </w:rPr>
            </w:pPr>
            <w:r>
              <w:rPr>
                <w:rFonts w:hint="eastAsia"/>
                <w:b/>
                <w:bCs/>
                <w:u w:val="single"/>
              </w:rPr>
              <w:t>建设情况</w:t>
            </w:r>
          </w:p>
        </w:tc>
        <w:tc>
          <w:tcPr>
            <w:tcW w:w="1971" w:type="pct"/>
            <w:vAlign w:val="center"/>
          </w:tcPr>
          <w:p w14:paraId="079BB4F0" w14:textId="77777777" w:rsidR="003E78AB" w:rsidRDefault="00010BF9">
            <w:pPr>
              <w:pStyle w:val="aff6"/>
              <w:topLinePunct/>
              <w:rPr>
                <w:b/>
                <w:bCs/>
                <w:u w:val="single"/>
              </w:rPr>
            </w:pPr>
            <w:r>
              <w:rPr>
                <w:rFonts w:hint="eastAsia"/>
                <w:b/>
                <w:bCs/>
                <w:u w:val="single"/>
              </w:rPr>
              <w:t>废气污染物</w:t>
            </w:r>
          </w:p>
        </w:tc>
        <w:tc>
          <w:tcPr>
            <w:tcW w:w="533" w:type="pct"/>
            <w:vAlign w:val="center"/>
          </w:tcPr>
          <w:p w14:paraId="7B790CC9" w14:textId="77777777" w:rsidR="003E78AB" w:rsidRDefault="00010BF9">
            <w:pPr>
              <w:pStyle w:val="aff6"/>
              <w:topLinePunct/>
              <w:rPr>
                <w:b/>
                <w:bCs/>
                <w:u w:val="single"/>
              </w:rPr>
            </w:pPr>
            <w:r>
              <w:rPr>
                <w:rFonts w:hint="eastAsia"/>
                <w:b/>
                <w:bCs/>
                <w:u w:val="single"/>
              </w:rPr>
              <w:t>废水污染物</w:t>
            </w:r>
          </w:p>
        </w:tc>
        <w:tc>
          <w:tcPr>
            <w:tcW w:w="688" w:type="pct"/>
            <w:vAlign w:val="center"/>
          </w:tcPr>
          <w:p w14:paraId="6DEC84A9" w14:textId="77777777" w:rsidR="003E78AB" w:rsidRDefault="00010BF9">
            <w:pPr>
              <w:pStyle w:val="aff6"/>
              <w:topLinePunct/>
              <w:rPr>
                <w:b/>
                <w:bCs/>
                <w:u w:val="single"/>
              </w:rPr>
            </w:pPr>
            <w:r>
              <w:rPr>
                <w:rFonts w:hint="eastAsia"/>
                <w:b/>
                <w:bCs/>
                <w:u w:val="single"/>
              </w:rPr>
              <w:t>固体废物</w:t>
            </w:r>
          </w:p>
        </w:tc>
        <w:tc>
          <w:tcPr>
            <w:tcW w:w="408" w:type="pct"/>
            <w:vAlign w:val="center"/>
          </w:tcPr>
          <w:p w14:paraId="25AA3B29" w14:textId="77777777" w:rsidR="003E78AB" w:rsidRDefault="00010BF9">
            <w:pPr>
              <w:pStyle w:val="aff6"/>
              <w:topLinePunct/>
              <w:rPr>
                <w:b/>
                <w:bCs/>
                <w:u w:val="single"/>
              </w:rPr>
            </w:pPr>
            <w:r>
              <w:rPr>
                <w:rFonts w:hint="eastAsia"/>
                <w:b/>
                <w:bCs/>
                <w:u w:val="single"/>
              </w:rPr>
              <w:t>来源</w:t>
            </w:r>
          </w:p>
        </w:tc>
      </w:tr>
      <w:tr w:rsidR="003E78AB" w14:paraId="5F6C4E82" w14:textId="77777777">
        <w:trPr>
          <w:trHeight w:val="284"/>
          <w:tblHeader/>
        </w:trPr>
        <w:tc>
          <w:tcPr>
            <w:tcW w:w="179" w:type="pct"/>
            <w:vAlign w:val="center"/>
          </w:tcPr>
          <w:p w14:paraId="05E3EF07" w14:textId="77777777" w:rsidR="003E78AB" w:rsidRDefault="00010BF9">
            <w:pPr>
              <w:pStyle w:val="aff6"/>
              <w:topLinePunct/>
              <w:rPr>
                <w:b/>
                <w:bCs/>
                <w:u w:val="single"/>
              </w:rPr>
            </w:pPr>
            <w:r>
              <w:rPr>
                <w:rFonts w:hint="eastAsia"/>
                <w:b/>
                <w:bCs/>
                <w:u w:val="single"/>
              </w:rPr>
              <w:t>1</w:t>
            </w:r>
          </w:p>
        </w:tc>
        <w:tc>
          <w:tcPr>
            <w:tcW w:w="923" w:type="pct"/>
            <w:vAlign w:val="center"/>
          </w:tcPr>
          <w:p w14:paraId="145591D3" w14:textId="77777777" w:rsidR="003E78AB" w:rsidRDefault="00010BF9">
            <w:pPr>
              <w:pStyle w:val="aff6"/>
              <w:topLinePunct/>
              <w:rPr>
                <w:b/>
                <w:bCs/>
                <w:u w:val="single"/>
              </w:rPr>
            </w:pPr>
            <w:r>
              <w:rPr>
                <w:rFonts w:hint="eastAsia"/>
                <w:b/>
                <w:bCs/>
                <w:u w:val="single"/>
              </w:rPr>
              <w:t>清电硅材料有限公司年产</w:t>
            </w:r>
            <w:r>
              <w:rPr>
                <w:rFonts w:hint="eastAsia"/>
                <w:b/>
                <w:bCs/>
                <w:u w:val="single"/>
              </w:rPr>
              <w:t>20</w:t>
            </w:r>
            <w:r>
              <w:rPr>
                <w:rFonts w:hint="eastAsia"/>
                <w:b/>
                <w:bCs/>
                <w:u w:val="single"/>
              </w:rPr>
              <w:t>万吨高纯多晶硅一期</w:t>
            </w:r>
            <w:r>
              <w:rPr>
                <w:rFonts w:hint="eastAsia"/>
                <w:b/>
                <w:bCs/>
                <w:u w:val="single"/>
              </w:rPr>
              <w:t>5</w:t>
            </w:r>
            <w:r>
              <w:rPr>
                <w:rFonts w:hint="eastAsia"/>
                <w:b/>
                <w:bCs/>
                <w:u w:val="single"/>
              </w:rPr>
              <w:t>万吨项目</w:t>
            </w:r>
          </w:p>
        </w:tc>
        <w:tc>
          <w:tcPr>
            <w:tcW w:w="293" w:type="pct"/>
            <w:vAlign w:val="center"/>
          </w:tcPr>
          <w:p w14:paraId="31C7FA8F" w14:textId="77777777" w:rsidR="003E78AB" w:rsidRDefault="00010BF9">
            <w:pPr>
              <w:pStyle w:val="aff6"/>
              <w:topLinePunct/>
              <w:rPr>
                <w:b/>
                <w:bCs/>
                <w:u w:val="single"/>
              </w:rPr>
            </w:pPr>
            <w:r>
              <w:rPr>
                <w:rFonts w:hint="eastAsia"/>
                <w:b/>
                <w:bCs/>
                <w:u w:val="single"/>
              </w:rPr>
              <w:t>正在建设</w:t>
            </w:r>
          </w:p>
        </w:tc>
        <w:tc>
          <w:tcPr>
            <w:tcW w:w="1971" w:type="pct"/>
            <w:vAlign w:val="center"/>
          </w:tcPr>
          <w:p w14:paraId="5FE40E8C" w14:textId="77777777" w:rsidR="003E78AB" w:rsidRDefault="00010BF9">
            <w:pPr>
              <w:pStyle w:val="aff6"/>
              <w:topLinePunct/>
              <w:rPr>
                <w:b/>
                <w:bCs/>
                <w:u w:val="single"/>
              </w:rPr>
            </w:pPr>
            <w:r>
              <w:rPr>
                <w:rFonts w:hint="eastAsia"/>
                <w:b/>
                <w:bCs/>
                <w:u w:val="single"/>
              </w:rPr>
              <w:t>NOx</w:t>
            </w:r>
            <w:r>
              <w:rPr>
                <w:rFonts w:hint="eastAsia"/>
                <w:b/>
                <w:bCs/>
                <w:u w:val="single"/>
              </w:rPr>
              <w:t>：</w:t>
            </w:r>
            <w:r>
              <w:rPr>
                <w:rFonts w:hint="eastAsia"/>
                <w:b/>
                <w:bCs/>
                <w:u w:val="single"/>
              </w:rPr>
              <w:t>15.681</w:t>
            </w:r>
            <w:r>
              <w:rPr>
                <w:rFonts w:hint="eastAsia"/>
                <w:b/>
                <w:bCs/>
                <w:u w:val="single"/>
              </w:rPr>
              <w:t>；颗粒物：</w:t>
            </w:r>
            <w:r>
              <w:rPr>
                <w:rFonts w:hint="eastAsia"/>
                <w:b/>
                <w:bCs/>
                <w:u w:val="single"/>
              </w:rPr>
              <w:t>6.97</w:t>
            </w:r>
            <w:r>
              <w:rPr>
                <w:rFonts w:hint="eastAsia"/>
                <w:b/>
                <w:bCs/>
                <w:u w:val="single"/>
              </w:rPr>
              <w:t>；氯化氢：</w:t>
            </w:r>
            <w:r>
              <w:rPr>
                <w:rFonts w:hint="eastAsia"/>
                <w:b/>
                <w:bCs/>
                <w:u w:val="single"/>
              </w:rPr>
              <w:t>2.211</w:t>
            </w:r>
            <w:r>
              <w:rPr>
                <w:rFonts w:hint="eastAsia"/>
                <w:b/>
                <w:bCs/>
                <w:u w:val="single"/>
              </w:rPr>
              <w:t>；</w:t>
            </w:r>
          </w:p>
          <w:p w14:paraId="4B0EFF74" w14:textId="77777777" w:rsidR="003E78AB" w:rsidRDefault="00010BF9">
            <w:pPr>
              <w:pStyle w:val="aff6"/>
              <w:topLinePunct/>
              <w:rPr>
                <w:b/>
                <w:bCs/>
                <w:u w:val="single"/>
              </w:rPr>
            </w:pPr>
            <w:r>
              <w:rPr>
                <w:rFonts w:hint="eastAsia"/>
                <w:b/>
                <w:bCs/>
                <w:u w:val="single"/>
              </w:rPr>
              <w:t>氟化物：</w:t>
            </w:r>
            <w:r>
              <w:rPr>
                <w:rFonts w:hint="eastAsia"/>
                <w:b/>
                <w:bCs/>
                <w:u w:val="single"/>
              </w:rPr>
              <w:t>1.923</w:t>
            </w:r>
          </w:p>
        </w:tc>
        <w:tc>
          <w:tcPr>
            <w:tcW w:w="533" w:type="pct"/>
            <w:vAlign w:val="center"/>
          </w:tcPr>
          <w:p w14:paraId="196AE2E1" w14:textId="77777777" w:rsidR="003E78AB" w:rsidRDefault="00010BF9">
            <w:pPr>
              <w:pStyle w:val="aff6"/>
              <w:topLinePunct/>
              <w:rPr>
                <w:b/>
                <w:bCs/>
                <w:u w:val="single"/>
              </w:rPr>
            </w:pPr>
            <w:r>
              <w:rPr>
                <w:rFonts w:hint="eastAsia"/>
                <w:b/>
                <w:bCs/>
                <w:u w:val="single"/>
              </w:rPr>
              <w:t>COD</w:t>
            </w:r>
            <w:r>
              <w:rPr>
                <w:rFonts w:hint="eastAsia"/>
                <w:b/>
                <w:bCs/>
                <w:u w:val="single"/>
              </w:rPr>
              <w:t>：</w:t>
            </w:r>
            <w:r>
              <w:rPr>
                <w:rFonts w:hint="eastAsia"/>
                <w:b/>
                <w:bCs/>
                <w:u w:val="single"/>
              </w:rPr>
              <w:t>0</w:t>
            </w:r>
          </w:p>
          <w:p w14:paraId="348E8E22" w14:textId="77777777" w:rsidR="003E78AB" w:rsidRDefault="00010BF9">
            <w:pPr>
              <w:pStyle w:val="aff6"/>
              <w:topLinePunct/>
              <w:rPr>
                <w:b/>
                <w:bCs/>
                <w:u w:val="single"/>
              </w:rPr>
            </w:pPr>
            <w:r>
              <w:rPr>
                <w:rFonts w:hint="eastAsia"/>
                <w:b/>
                <w:bCs/>
                <w:u w:val="single"/>
              </w:rPr>
              <w:t>NH3-N</w:t>
            </w:r>
            <w:r>
              <w:rPr>
                <w:rFonts w:hint="eastAsia"/>
                <w:b/>
                <w:bCs/>
                <w:u w:val="single"/>
              </w:rPr>
              <w:t>：</w:t>
            </w:r>
            <w:r>
              <w:rPr>
                <w:rFonts w:hint="eastAsia"/>
                <w:b/>
                <w:bCs/>
                <w:u w:val="single"/>
              </w:rPr>
              <w:t>0</w:t>
            </w:r>
          </w:p>
        </w:tc>
        <w:tc>
          <w:tcPr>
            <w:tcW w:w="688" w:type="pct"/>
            <w:vAlign w:val="center"/>
          </w:tcPr>
          <w:p w14:paraId="5BEF7143" w14:textId="77777777" w:rsidR="003E78AB" w:rsidRDefault="00010BF9">
            <w:pPr>
              <w:pStyle w:val="aff6"/>
              <w:topLinePunct/>
              <w:rPr>
                <w:b/>
                <w:bCs/>
                <w:u w:val="single"/>
              </w:rPr>
            </w:pPr>
            <w:r>
              <w:rPr>
                <w:rFonts w:hint="eastAsia"/>
                <w:b/>
                <w:bCs/>
                <w:u w:val="single"/>
              </w:rPr>
              <w:t>一般工业固体废物：</w:t>
            </w:r>
            <w:r>
              <w:rPr>
                <w:rFonts w:hint="eastAsia"/>
                <w:b/>
                <w:bCs/>
                <w:u w:val="single"/>
              </w:rPr>
              <w:t>39085.76</w:t>
            </w:r>
          </w:p>
          <w:p w14:paraId="0BD8F90D" w14:textId="77777777" w:rsidR="003E78AB" w:rsidRDefault="00010BF9">
            <w:pPr>
              <w:pStyle w:val="aff6"/>
              <w:topLinePunct/>
              <w:rPr>
                <w:b/>
                <w:bCs/>
                <w:u w:val="single"/>
              </w:rPr>
            </w:pPr>
            <w:r>
              <w:rPr>
                <w:rFonts w:hint="eastAsia"/>
                <w:b/>
                <w:bCs/>
                <w:u w:val="single"/>
              </w:rPr>
              <w:t>危险废物：</w:t>
            </w:r>
            <w:r>
              <w:rPr>
                <w:rFonts w:hint="eastAsia"/>
                <w:b/>
                <w:bCs/>
                <w:u w:val="single"/>
              </w:rPr>
              <w:t>12274.5</w:t>
            </w:r>
          </w:p>
        </w:tc>
        <w:tc>
          <w:tcPr>
            <w:tcW w:w="408" w:type="pct"/>
            <w:vAlign w:val="center"/>
          </w:tcPr>
          <w:p w14:paraId="1DD715CE" w14:textId="77777777" w:rsidR="003E78AB" w:rsidRDefault="00010BF9">
            <w:pPr>
              <w:pStyle w:val="aff6"/>
              <w:topLinePunct/>
              <w:rPr>
                <w:b/>
                <w:bCs/>
                <w:u w:val="single"/>
              </w:rPr>
            </w:pPr>
            <w:r>
              <w:rPr>
                <w:rFonts w:hint="eastAsia"/>
                <w:b/>
                <w:bCs/>
                <w:u w:val="single"/>
              </w:rPr>
              <w:t>已批复的环境报告书</w:t>
            </w:r>
          </w:p>
        </w:tc>
      </w:tr>
      <w:tr w:rsidR="003E78AB" w14:paraId="40AEBC8A" w14:textId="77777777">
        <w:trPr>
          <w:trHeight w:val="801"/>
          <w:tblHeader/>
        </w:trPr>
        <w:tc>
          <w:tcPr>
            <w:tcW w:w="179" w:type="pct"/>
            <w:vAlign w:val="center"/>
          </w:tcPr>
          <w:p w14:paraId="590CC6CA" w14:textId="77777777" w:rsidR="003E78AB" w:rsidRDefault="00010BF9">
            <w:pPr>
              <w:pStyle w:val="aff6"/>
              <w:topLinePunct/>
              <w:rPr>
                <w:b/>
                <w:bCs/>
                <w:u w:val="single"/>
              </w:rPr>
            </w:pPr>
            <w:r>
              <w:rPr>
                <w:rFonts w:hint="eastAsia"/>
                <w:b/>
                <w:bCs/>
                <w:u w:val="single"/>
              </w:rPr>
              <w:t>2</w:t>
            </w:r>
          </w:p>
        </w:tc>
        <w:tc>
          <w:tcPr>
            <w:tcW w:w="923" w:type="pct"/>
            <w:vAlign w:val="center"/>
          </w:tcPr>
          <w:p w14:paraId="5A330CFF" w14:textId="77777777" w:rsidR="003E78AB" w:rsidRDefault="00010BF9">
            <w:pPr>
              <w:pStyle w:val="aff6"/>
              <w:topLinePunct/>
              <w:rPr>
                <w:b/>
                <w:bCs/>
                <w:u w:val="single"/>
              </w:rPr>
            </w:pPr>
            <w:r>
              <w:rPr>
                <w:rFonts w:hint="eastAsia"/>
                <w:b/>
                <w:bCs/>
                <w:u w:val="single"/>
              </w:rPr>
              <w:t>清电硅业有限公司年产</w:t>
            </w:r>
            <w:r>
              <w:rPr>
                <w:rFonts w:hint="eastAsia"/>
                <w:b/>
                <w:bCs/>
                <w:u w:val="single"/>
              </w:rPr>
              <w:t>60GW</w:t>
            </w:r>
            <w:r>
              <w:rPr>
                <w:rFonts w:hint="eastAsia"/>
                <w:b/>
                <w:bCs/>
                <w:u w:val="single"/>
              </w:rPr>
              <w:t>单晶硅拉棒切片一期</w:t>
            </w:r>
            <w:r>
              <w:rPr>
                <w:rFonts w:hint="eastAsia"/>
                <w:b/>
                <w:bCs/>
                <w:u w:val="single"/>
              </w:rPr>
              <w:t>10GW</w:t>
            </w:r>
            <w:r>
              <w:rPr>
                <w:rFonts w:hint="eastAsia"/>
                <w:b/>
                <w:bCs/>
                <w:u w:val="single"/>
              </w:rPr>
              <w:t>项目</w:t>
            </w:r>
          </w:p>
        </w:tc>
        <w:tc>
          <w:tcPr>
            <w:tcW w:w="293" w:type="pct"/>
            <w:vAlign w:val="center"/>
          </w:tcPr>
          <w:p w14:paraId="738675C4" w14:textId="77777777" w:rsidR="003E78AB" w:rsidRDefault="00010BF9">
            <w:pPr>
              <w:pStyle w:val="aff6"/>
              <w:topLinePunct/>
              <w:rPr>
                <w:b/>
                <w:bCs/>
                <w:u w:val="single"/>
              </w:rPr>
            </w:pPr>
            <w:r>
              <w:rPr>
                <w:rFonts w:hint="eastAsia"/>
                <w:b/>
                <w:bCs/>
                <w:u w:val="single"/>
              </w:rPr>
              <w:t>正在建设</w:t>
            </w:r>
          </w:p>
        </w:tc>
        <w:tc>
          <w:tcPr>
            <w:tcW w:w="1971" w:type="pct"/>
            <w:vAlign w:val="center"/>
          </w:tcPr>
          <w:p w14:paraId="0860C5F6" w14:textId="77777777" w:rsidR="003E78AB" w:rsidRDefault="00010BF9">
            <w:pPr>
              <w:pStyle w:val="aff6"/>
              <w:topLinePunct/>
              <w:rPr>
                <w:b/>
                <w:bCs/>
                <w:u w:val="single"/>
              </w:rPr>
            </w:pPr>
            <w:r>
              <w:rPr>
                <w:rFonts w:hint="eastAsia"/>
                <w:b/>
                <w:bCs/>
                <w:u w:val="single"/>
              </w:rPr>
              <w:t>NOx</w:t>
            </w:r>
            <w:r>
              <w:rPr>
                <w:rFonts w:hint="eastAsia"/>
                <w:b/>
                <w:bCs/>
                <w:u w:val="single"/>
              </w:rPr>
              <w:t>：</w:t>
            </w:r>
            <w:r>
              <w:rPr>
                <w:rFonts w:hint="eastAsia"/>
                <w:b/>
                <w:bCs/>
                <w:u w:val="single"/>
              </w:rPr>
              <w:t>12.27</w:t>
            </w:r>
            <w:r>
              <w:rPr>
                <w:rFonts w:hint="eastAsia"/>
                <w:b/>
                <w:bCs/>
                <w:u w:val="single"/>
              </w:rPr>
              <w:t>；颗粒物：</w:t>
            </w:r>
            <w:r>
              <w:rPr>
                <w:rFonts w:hint="eastAsia"/>
                <w:b/>
                <w:bCs/>
                <w:u w:val="single"/>
              </w:rPr>
              <w:t>0.40</w:t>
            </w:r>
            <w:r>
              <w:rPr>
                <w:rFonts w:hint="eastAsia"/>
                <w:b/>
                <w:bCs/>
                <w:u w:val="single"/>
              </w:rPr>
              <w:t>；非甲烷总烃：</w:t>
            </w:r>
            <w:r>
              <w:rPr>
                <w:rFonts w:hint="eastAsia"/>
                <w:b/>
                <w:bCs/>
                <w:u w:val="single"/>
              </w:rPr>
              <w:t>0.276</w:t>
            </w:r>
            <w:r>
              <w:rPr>
                <w:rFonts w:hint="eastAsia"/>
                <w:b/>
                <w:bCs/>
                <w:u w:val="single"/>
              </w:rPr>
              <w:t>；</w:t>
            </w:r>
          </w:p>
          <w:p w14:paraId="03971542" w14:textId="77777777" w:rsidR="003E78AB" w:rsidRDefault="00010BF9">
            <w:pPr>
              <w:pStyle w:val="aff6"/>
              <w:topLinePunct/>
              <w:rPr>
                <w:b/>
                <w:bCs/>
                <w:u w:val="single"/>
              </w:rPr>
            </w:pPr>
            <w:r>
              <w:rPr>
                <w:rFonts w:hint="eastAsia"/>
                <w:b/>
                <w:bCs/>
                <w:u w:val="single"/>
              </w:rPr>
              <w:t>氟化物：</w:t>
            </w:r>
            <w:r>
              <w:rPr>
                <w:rFonts w:hint="eastAsia"/>
                <w:b/>
                <w:bCs/>
                <w:u w:val="single"/>
              </w:rPr>
              <w:t>0.14</w:t>
            </w:r>
            <w:r>
              <w:rPr>
                <w:rFonts w:hint="eastAsia"/>
                <w:b/>
                <w:bCs/>
                <w:u w:val="single"/>
              </w:rPr>
              <w:t>；</w:t>
            </w:r>
          </w:p>
        </w:tc>
        <w:tc>
          <w:tcPr>
            <w:tcW w:w="533" w:type="pct"/>
            <w:vAlign w:val="center"/>
          </w:tcPr>
          <w:p w14:paraId="561742DE" w14:textId="77777777" w:rsidR="003E78AB" w:rsidRDefault="00010BF9">
            <w:pPr>
              <w:pStyle w:val="aff6"/>
              <w:topLinePunct/>
              <w:rPr>
                <w:b/>
                <w:bCs/>
                <w:u w:val="single"/>
              </w:rPr>
            </w:pPr>
            <w:r>
              <w:rPr>
                <w:rFonts w:hint="eastAsia"/>
                <w:b/>
                <w:bCs/>
                <w:u w:val="single"/>
              </w:rPr>
              <w:t>COD</w:t>
            </w:r>
            <w:r>
              <w:rPr>
                <w:rFonts w:hint="eastAsia"/>
                <w:b/>
                <w:bCs/>
                <w:u w:val="single"/>
              </w:rPr>
              <w:t>：</w:t>
            </w:r>
            <w:r>
              <w:rPr>
                <w:rFonts w:hint="eastAsia"/>
                <w:b/>
                <w:bCs/>
                <w:u w:val="single"/>
              </w:rPr>
              <w:t>315</w:t>
            </w:r>
          </w:p>
          <w:p w14:paraId="556D19D6" w14:textId="77777777" w:rsidR="003E78AB" w:rsidRDefault="00010BF9">
            <w:pPr>
              <w:pStyle w:val="aff6"/>
              <w:topLinePunct/>
              <w:rPr>
                <w:b/>
                <w:bCs/>
                <w:u w:val="single"/>
              </w:rPr>
            </w:pPr>
            <w:r>
              <w:rPr>
                <w:rFonts w:hint="eastAsia"/>
                <w:b/>
                <w:bCs/>
                <w:u w:val="single"/>
              </w:rPr>
              <w:t>NH3-N</w:t>
            </w:r>
            <w:r>
              <w:rPr>
                <w:rFonts w:hint="eastAsia"/>
                <w:b/>
                <w:bCs/>
                <w:u w:val="single"/>
              </w:rPr>
              <w:t>：</w:t>
            </w:r>
            <w:r>
              <w:rPr>
                <w:rFonts w:hint="eastAsia"/>
                <w:b/>
                <w:bCs/>
                <w:u w:val="single"/>
              </w:rPr>
              <w:t>63</w:t>
            </w:r>
          </w:p>
        </w:tc>
        <w:tc>
          <w:tcPr>
            <w:tcW w:w="688" w:type="pct"/>
            <w:vAlign w:val="center"/>
          </w:tcPr>
          <w:p w14:paraId="558502C1" w14:textId="77777777" w:rsidR="003E78AB" w:rsidRDefault="00010BF9">
            <w:pPr>
              <w:pStyle w:val="aff6"/>
              <w:topLinePunct/>
              <w:rPr>
                <w:b/>
                <w:bCs/>
                <w:u w:val="single"/>
              </w:rPr>
            </w:pPr>
            <w:r>
              <w:rPr>
                <w:rFonts w:hint="eastAsia"/>
                <w:b/>
                <w:bCs/>
                <w:u w:val="single"/>
              </w:rPr>
              <w:t>一般工业固体废物：</w:t>
            </w:r>
            <w:r>
              <w:rPr>
                <w:rFonts w:hint="eastAsia"/>
                <w:b/>
                <w:bCs/>
                <w:u w:val="single"/>
              </w:rPr>
              <w:t>31129.75</w:t>
            </w:r>
          </w:p>
          <w:p w14:paraId="6AC7820C" w14:textId="77777777" w:rsidR="003E78AB" w:rsidRDefault="00010BF9">
            <w:pPr>
              <w:pStyle w:val="aff6"/>
              <w:topLinePunct/>
              <w:rPr>
                <w:b/>
                <w:bCs/>
                <w:u w:val="single"/>
              </w:rPr>
            </w:pPr>
            <w:r>
              <w:rPr>
                <w:rFonts w:hint="eastAsia"/>
                <w:b/>
                <w:bCs/>
                <w:u w:val="single"/>
              </w:rPr>
              <w:t>危险废物：</w:t>
            </w:r>
            <w:r>
              <w:rPr>
                <w:rFonts w:hint="eastAsia"/>
                <w:b/>
                <w:bCs/>
                <w:u w:val="single"/>
              </w:rPr>
              <w:t>92.4</w:t>
            </w:r>
          </w:p>
        </w:tc>
        <w:tc>
          <w:tcPr>
            <w:tcW w:w="408" w:type="pct"/>
            <w:vAlign w:val="center"/>
          </w:tcPr>
          <w:p w14:paraId="02D501B2" w14:textId="77777777" w:rsidR="003E78AB" w:rsidRDefault="00010BF9">
            <w:pPr>
              <w:pStyle w:val="aff6"/>
              <w:topLinePunct/>
              <w:rPr>
                <w:b/>
                <w:bCs/>
                <w:u w:val="single"/>
              </w:rPr>
            </w:pPr>
            <w:r>
              <w:rPr>
                <w:rFonts w:hint="eastAsia"/>
                <w:b/>
                <w:bCs/>
                <w:u w:val="single"/>
              </w:rPr>
              <w:t>已批复的环境报告书</w:t>
            </w:r>
          </w:p>
        </w:tc>
      </w:tr>
    </w:tbl>
    <w:p w14:paraId="0A83E0CA" w14:textId="77777777" w:rsidR="003E78AB" w:rsidRDefault="003E78AB">
      <w:pPr>
        <w:pStyle w:val="a0"/>
        <w:numPr>
          <w:ilvl w:val="0"/>
          <w:numId w:val="0"/>
        </w:numPr>
        <w:rPr>
          <w:rFonts w:hint="default"/>
        </w:rPr>
      </w:pPr>
    </w:p>
    <w:p w14:paraId="00536A05" w14:textId="77777777" w:rsidR="003E78AB" w:rsidRDefault="003E78AB">
      <w:pPr>
        <w:spacing w:line="240" w:lineRule="auto"/>
        <w:ind w:firstLineChars="0" w:firstLine="0"/>
        <w:rPr>
          <w:kern w:val="2"/>
          <w:sz w:val="21"/>
        </w:rPr>
      </w:pPr>
    </w:p>
    <w:p w14:paraId="1B1703FB" w14:textId="77777777" w:rsidR="003E78AB" w:rsidRDefault="003E78AB">
      <w:pPr>
        <w:pStyle w:val="10"/>
        <w:keepNext w:val="0"/>
        <w:spacing w:before="120" w:after="120" w:line="520" w:lineRule="exact"/>
        <w:jc w:val="center"/>
        <w:rPr>
          <w:b w:val="0"/>
          <w:sz w:val="21"/>
          <w:szCs w:val="28"/>
        </w:rPr>
        <w:sectPr w:rsidR="003E78AB">
          <w:pgSz w:w="16838" w:h="11906" w:orient="landscape"/>
          <w:pgMar w:top="1803" w:right="1440" w:bottom="1803" w:left="1440" w:header="851" w:footer="992" w:gutter="0"/>
          <w:cols w:space="720"/>
          <w:docGrid w:linePitch="312"/>
        </w:sectPr>
      </w:pPr>
      <w:bookmarkStart w:id="324" w:name="_Toc10411"/>
      <w:bookmarkStart w:id="325" w:name="_Toc313433761"/>
      <w:bookmarkStart w:id="326" w:name="_Toc319402970"/>
      <w:bookmarkStart w:id="327" w:name="_Toc390713412"/>
      <w:bookmarkStart w:id="328" w:name="_Toc454899386"/>
      <w:bookmarkStart w:id="329" w:name="_Toc309715445"/>
      <w:bookmarkStart w:id="330" w:name="_Toc10924"/>
      <w:bookmarkStart w:id="331" w:name="_Toc309715414"/>
      <w:bookmarkStart w:id="332" w:name="_Toc149705161"/>
      <w:bookmarkStart w:id="333" w:name="_Toc146967262"/>
      <w:bookmarkStart w:id="334" w:name="_Toc30374"/>
      <w:bookmarkStart w:id="335" w:name="_Toc327365496"/>
      <w:bookmarkStart w:id="336" w:name="_Toc188349464"/>
    </w:p>
    <w:p w14:paraId="5D007692" w14:textId="77777777" w:rsidR="003E78AB" w:rsidRDefault="00010BF9">
      <w:pPr>
        <w:pStyle w:val="10"/>
        <w:keepNext w:val="0"/>
        <w:spacing w:before="120" w:after="120" w:line="520" w:lineRule="exact"/>
        <w:jc w:val="center"/>
        <w:rPr>
          <w:b w:val="0"/>
          <w:sz w:val="44"/>
          <w:szCs w:val="24"/>
        </w:rPr>
      </w:pPr>
      <w:bookmarkStart w:id="337" w:name="_Toc10188"/>
      <w:r>
        <w:rPr>
          <w:rFonts w:eastAsia="黑体" w:hint="eastAsia"/>
          <w:bCs/>
          <w:snapToGrid w:val="0"/>
          <w:spacing w:val="2"/>
          <w:kern w:val="44"/>
          <w:sz w:val="35"/>
          <w:szCs w:val="35"/>
        </w:rPr>
        <w:t>第五章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环境影响分析与评价</w:t>
      </w:r>
      <w:bookmarkEnd w:id="324"/>
      <w:bookmarkEnd w:id="337"/>
    </w:p>
    <w:p w14:paraId="75D1A4B7" w14:textId="77777777" w:rsidR="003E78AB" w:rsidRDefault="00010BF9">
      <w:pPr>
        <w:pStyle w:val="24"/>
        <w:keepNext w:val="0"/>
        <w:keepLines w:val="0"/>
        <w:topLinePunct/>
        <w:spacing w:before="120"/>
        <w:rPr>
          <w:rFonts w:cs="Times New Roman"/>
        </w:rPr>
      </w:pPr>
      <w:bookmarkStart w:id="338" w:name="_Toc3576"/>
      <w:bookmarkStart w:id="339" w:name="_Toc327365492"/>
      <w:bookmarkStart w:id="340" w:name="_Toc14062"/>
      <w:bookmarkStart w:id="341" w:name="_Toc25390"/>
      <w:bookmarkEnd w:id="325"/>
      <w:bookmarkEnd w:id="326"/>
      <w:bookmarkEnd w:id="327"/>
      <w:r>
        <w:rPr>
          <w:rFonts w:cs="Times New Roman" w:hint="eastAsia"/>
        </w:rPr>
        <w:t>5</w:t>
      </w:r>
      <w:r>
        <w:rPr>
          <w:rFonts w:cs="Times New Roman"/>
        </w:rPr>
        <w:t>.1</w:t>
      </w:r>
      <w:bookmarkEnd w:id="338"/>
      <w:bookmarkEnd w:id="339"/>
      <w:r>
        <w:rPr>
          <w:rFonts w:cs="Times New Roman"/>
        </w:rPr>
        <w:t>施工期环境影响分析与评价</w:t>
      </w:r>
      <w:bookmarkEnd w:id="340"/>
      <w:bookmarkEnd w:id="341"/>
    </w:p>
    <w:p w14:paraId="06A8ECFB"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w:t>
      </w:r>
      <w:r>
        <w:rPr>
          <w:rFonts w:cs="Times New Roman"/>
          <w:sz w:val="28"/>
          <w:szCs w:val="28"/>
        </w:rPr>
        <w:t>.1.1</w:t>
      </w:r>
      <w:r>
        <w:rPr>
          <w:rFonts w:cs="Times New Roman"/>
          <w:sz w:val="28"/>
          <w:szCs w:val="28"/>
        </w:rPr>
        <w:t>施工期大气环境影响分析与评价</w:t>
      </w:r>
    </w:p>
    <w:p w14:paraId="19980D4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bookmarkStart w:id="342" w:name="_5.1.1.1施工扬尘"/>
      <w:r>
        <w:rPr>
          <w:rFonts w:ascii="Times New Roman" w:hAnsi="Times New Roman"/>
        </w:rPr>
        <w:t>5.1.1.1</w:t>
      </w:r>
      <w:r>
        <w:rPr>
          <w:rFonts w:ascii="Times New Roman" w:hAnsi="Times New Roman"/>
        </w:rPr>
        <w:t>施工扬尘</w:t>
      </w:r>
    </w:p>
    <w:bookmarkEnd w:id="342"/>
    <w:p w14:paraId="79418007" w14:textId="77777777" w:rsidR="003E78AB" w:rsidRDefault="00010BF9">
      <w:pPr>
        <w:ind w:firstLine="480"/>
        <w:rPr>
          <w:kern w:val="2"/>
        </w:rPr>
      </w:pPr>
      <w:r>
        <w:rPr>
          <w:kern w:val="2"/>
        </w:rPr>
        <w:t>（</w:t>
      </w:r>
      <w:r>
        <w:rPr>
          <w:kern w:val="2"/>
        </w:rPr>
        <w:t>1</w:t>
      </w:r>
      <w:r>
        <w:rPr>
          <w:kern w:val="2"/>
        </w:rPr>
        <w:t>）运输扬尘</w:t>
      </w:r>
    </w:p>
    <w:p w14:paraId="60D991B0" w14:textId="77777777" w:rsidR="003E78AB" w:rsidRDefault="00010BF9">
      <w:pPr>
        <w:ind w:firstLine="480"/>
        <w:rPr>
          <w:kern w:val="2"/>
        </w:rPr>
      </w:pPr>
      <w:r>
        <w:rPr>
          <w:kern w:val="2"/>
        </w:rPr>
        <w:t>运输扬尘主要是由于施工车辆在施工道路上运输施工材料而引起的，引起运输扬尘的因素较多，主要与车辆行驶速度、风速、路面积尘量和路面湿度有关，其中风速、风力还直接影响到扬尘的传输距离。</w:t>
      </w:r>
    </w:p>
    <w:p w14:paraId="15B7049A" w14:textId="77777777" w:rsidR="003E78AB" w:rsidRDefault="00010BF9">
      <w:pPr>
        <w:ind w:firstLine="480"/>
        <w:rPr>
          <w:kern w:val="2"/>
        </w:rPr>
      </w:pPr>
      <w:r>
        <w:rPr>
          <w:kern w:val="2"/>
        </w:rPr>
        <w:t>道路表面由于其表面土层松散、车辆碾压频繁，也易形成尘源，采取洒水措施来减少扬尘。</w:t>
      </w:r>
    </w:p>
    <w:p w14:paraId="29383E7F" w14:textId="77777777" w:rsidR="003E78AB" w:rsidRDefault="00010BF9">
      <w:pPr>
        <w:ind w:firstLine="480"/>
        <w:rPr>
          <w:kern w:val="2"/>
        </w:rPr>
      </w:pPr>
      <w:r>
        <w:rPr>
          <w:kern w:val="2"/>
        </w:rPr>
        <w:t>施工过程中建设单位应要求施工单位经常洒水抑尘。目前国内常用于抑制路面扬尘的方法是洒水，实践验证该法抑制扬尘十分有效，具体见</w:t>
      </w:r>
      <w:r>
        <w:rPr>
          <w:kern w:val="2"/>
        </w:rPr>
        <w:fldChar w:fldCharType="begin"/>
      </w:r>
      <w:r>
        <w:rPr>
          <w:kern w:val="2"/>
        </w:rPr>
        <w:instrText xml:space="preserve"> REF _Ref8371 \r \h </w:instrText>
      </w:r>
      <w:r>
        <w:rPr>
          <w:kern w:val="2"/>
        </w:rPr>
      </w:r>
      <w:r>
        <w:rPr>
          <w:kern w:val="2"/>
        </w:rPr>
        <w:fldChar w:fldCharType="separate"/>
      </w:r>
      <w:r>
        <w:rPr>
          <w:kern w:val="2"/>
        </w:rPr>
        <w:t>表</w:t>
      </w:r>
      <w:r>
        <w:rPr>
          <w:kern w:val="2"/>
        </w:rPr>
        <w:t>5-1</w:t>
      </w:r>
      <w:r>
        <w:rPr>
          <w:kern w:val="2"/>
        </w:rPr>
        <w:fldChar w:fldCharType="end"/>
      </w:r>
      <w:r>
        <w:rPr>
          <w:kern w:val="2"/>
        </w:rPr>
        <w:t>。</w:t>
      </w:r>
    </w:p>
    <w:p w14:paraId="6DC24A9A" w14:textId="77777777" w:rsidR="003E78AB" w:rsidRDefault="00010BF9">
      <w:pPr>
        <w:pStyle w:val="a4"/>
        <w:spacing w:before="120"/>
        <w:ind w:left="425" w:hanging="425"/>
      </w:pPr>
      <w:bookmarkStart w:id="343" w:name="_Ref8371"/>
      <w:r>
        <w:t>施工路段洒水降尘试验结果</w:t>
      </w:r>
      <w:bookmarkEnd w:id="343"/>
    </w:p>
    <w:tbl>
      <w:tblPr>
        <w:tblW w:w="836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02"/>
        <w:gridCol w:w="1163"/>
        <w:gridCol w:w="1199"/>
        <w:gridCol w:w="1199"/>
        <w:gridCol w:w="1199"/>
        <w:gridCol w:w="1199"/>
        <w:gridCol w:w="1199"/>
      </w:tblGrid>
      <w:tr w:rsidR="003E78AB" w14:paraId="00C496E0" w14:textId="77777777">
        <w:trPr>
          <w:trHeight w:val="327"/>
          <w:jc w:val="center"/>
        </w:trPr>
        <w:tc>
          <w:tcPr>
            <w:tcW w:w="2365" w:type="dxa"/>
            <w:gridSpan w:val="2"/>
            <w:tcBorders>
              <w:top w:val="single" w:sz="4" w:space="0" w:color="auto"/>
              <w:left w:val="single" w:sz="4" w:space="0" w:color="auto"/>
              <w:bottom w:val="single" w:sz="4" w:space="0" w:color="auto"/>
              <w:right w:val="single" w:sz="4" w:space="0" w:color="auto"/>
            </w:tcBorders>
            <w:vAlign w:val="center"/>
          </w:tcPr>
          <w:p w14:paraId="51B4E630" w14:textId="77777777" w:rsidR="003E78AB" w:rsidRDefault="00010BF9">
            <w:pPr>
              <w:pStyle w:val="B1"/>
              <w:widowControl w:val="0"/>
              <w:spacing w:line="360" w:lineRule="exact"/>
              <w:rPr>
                <w:rFonts w:cs="Times New Roman"/>
                <w:b/>
                <w:bCs/>
                <w:lang w:val="de-DE"/>
              </w:rPr>
            </w:pPr>
            <w:r>
              <w:rPr>
                <w:rFonts w:cs="Times New Roman"/>
                <w:b/>
                <w:bCs/>
                <w:lang w:val="de-DE"/>
              </w:rPr>
              <w:t>距路边距离（</w:t>
            </w:r>
            <w:r>
              <w:rPr>
                <w:rFonts w:cs="Times New Roman"/>
                <w:b/>
                <w:bCs/>
                <w:lang w:val="de-DE"/>
              </w:rPr>
              <w:t>m</w:t>
            </w:r>
            <w:r>
              <w:rPr>
                <w:rFonts w:cs="Times New Roman"/>
                <w:b/>
                <w:bCs/>
                <w:lang w:val="de-DE"/>
              </w:rPr>
              <w:t>）</w:t>
            </w:r>
          </w:p>
        </w:tc>
        <w:tc>
          <w:tcPr>
            <w:tcW w:w="1199" w:type="dxa"/>
            <w:tcBorders>
              <w:top w:val="single" w:sz="4" w:space="0" w:color="auto"/>
              <w:left w:val="single" w:sz="4" w:space="0" w:color="auto"/>
              <w:bottom w:val="single" w:sz="4" w:space="0" w:color="auto"/>
              <w:right w:val="single" w:sz="4" w:space="0" w:color="auto"/>
            </w:tcBorders>
            <w:vAlign w:val="center"/>
          </w:tcPr>
          <w:p w14:paraId="23EF9D2D" w14:textId="77777777" w:rsidR="003E78AB" w:rsidRDefault="00010BF9">
            <w:pPr>
              <w:pStyle w:val="B1"/>
              <w:widowControl w:val="0"/>
              <w:spacing w:line="360" w:lineRule="exact"/>
              <w:rPr>
                <w:rFonts w:cs="Times New Roman"/>
                <w:b/>
                <w:bCs/>
                <w:lang w:val="de-DE"/>
              </w:rPr>
            </w:pPr>
            <w:r>
              <w:rPr>
                <w:rFonts w:cs="Times New Roman"/>
                <w:b/>
                <w:bCs/>
                <w:lang w:val="de-DE"/>
              </w:rPr>
              <w:t>0</w:t>
            </w:r>
          </w:p>
        </w:tc>
        <w:tc>
          <w:tcPr>
            <w:tcW w:w="1199" w:type="dxa"/>
            <w:tcBorders>
              <w:top w:val="single" w:sz="4" w:space="0" w:color="auto"/>
              <w:left w:val="single" w:sz="4" w:space="0" w:color="auto"/>
              <w:bottom w:val="single" w:sz="4" w:space="0" w:color="auto"/>
              <w:right w:val="single" w:sz="4" w:space="0" w:color="auto"/>
            </w:tcBorders>
            <w:vAlign w:val="center"/>
          </w:tcPr>
          <w:p w14:paraId="3A6D83BE" w14:textId="77777777" w:rsidR="003E78AB" w:rsidRDefault="00010BF9">
            <w:pPr>
              <w:pStyle w:val="B1"/>
              <w:widowControl w:val="0"/>
              <w:spacing w:line="360" w:lineRule="exact"/>
              <w:rPr>
                <w:rFonts w:cs="Times New Roman"/>
                <w:b/>
                <w:bCs/>
                <w:lang w:val="de-DE"/>
              </w:rPr>
            </w:pPr>
            <w:r>
              <w:rPr>
                <w:rFonts w:cs="Times New Roman"/>
                <w:b/>
                <w:bCs/>
                <w:lang w:val="de-DE"/>
              </w:rPr>
              <w:t>20</w:t>
            </w:r>
          </w:p>
        </w:tc>
        <w:tc>
          <w:tcPr>
            <w:tcW w:w="1199" w:type="dxa"/>
            <w:tcBorders>
              <w:top w:val="single" w:sz="4" w:space="0" w:color="auto"/>
              <w:left w:val="single" w:sz="4" w:space="0" w:color="auto"/>
              <w:bottom w:val="single" w:sz="4" w:space="0" w:color="auto"/>
              <w:right w:val="single" w:sz="4" w:space="0" w:color="auto"/>
            </w:tcBorders>
            <w:vAlign w:val="center"/>
          </w:tcPr>
          <w:p w14:paraId="1663D2F0" w14:textId="77777777" w:rsidR="003E78AB" w:rsidRDefault="00010BF9">
            <w:pPr>
              <w:pStyle w:val="B1"/>
              <w:widowControl w:val="0"/>
              <w:spacing w:line="360" w:lineRule="exact"/>
              <w:rPr>
                <w:rFonts w:cs="Times New Roman"/>
                <w:b/>
                <w:bCs/>
                <w:lang w:val="de-DE"/>
              </w:rPr>
            </w:pPr>
            <w:r>
              <w:rPr>
                <w:rFonts w:cs="Times New Roman"/>
                <w:b/>
                <w:bCs/>
                <w:lang w:val="de-DE"/>
              </w:rPr>
              <w:t>50</w:t>
            </w:r>
          </w:p>
        </w:tc>
        <w:tc>
          <w:tcPr>
            <w:tcW w:w="1199" w:type="dxa"/>
            <w:tcBorders>
              <w:top w:val="single" w:sz="4" w:space="0" w:color="auto"/>
              <w:left w:val="single" w:sz="4" w:space="0" w:color="auto"/>
              <w:bottom w:val="single" w:sz="4" w:space="0" w:color="auto"/>
              <w:right w:val="single" w:sz="4" w:space="0" w:color="auto"/>
            </w:tcBorders>
            <w:vAlign w:val="center"/>
          </w:tcPr>
          <w:p w14:paraId="0E9FFC89" w14:textId="77777777" w:rsidR="003E78AB" w:rsidRDefault="00010BF9">
            <w:pPr>
              <w:pStyle w:val="B1"/>
              <w:widowControl w:val="0"/>
              <w:spacing w:line="360" w:lineRule="exact"/>
              <w:rPr>
                <w:rFonts w:cs="Times New Roman"/>
                <w:b/>
                <w:bCs/>
                <w:lang w:val="de-DE"/>
              </w:rPr>
            </w:pPr>
            <w:r>
              <w:rPr>
                <w:rFonts w:cs="Times New Roman"/>
                <w:b/>
                <w:bCs/>
                <w:lang w:val="de-DE"/>
              </w:rPr>
              <w:t>100</w:t>
            </w:r>
          </w:p>
        </w:tc>
        <w:tc>
          <w:tcPr>
            <w:tcW w:w="1199" w:type="dxa"/>
            <w:tcBorders>
              <w:top w:val="single" w:sz="4" w:space="0" w:color="auto"/>
              <w:left w:val="single" w:sz="4" w:space="0" w:color="auto"/>
              <w:bottom w:val="single" w:sz="4" w:space="0" w:color="auto"/>
              <w:right w:val="single" w:sz="4" w:space="0" w:color="auto"/>
            </w:tcBorders>
            <w:vAlign w:val="center"/>
          </w:tcPr>
          <w:p w14:paraId="2AA7C1DA" w14:textId="77777777" w:rsidR="003E78AB" w:rsidRDefault="00010BF9">
            <w:pPr>
              <w:pStyle w:val="B1"/>
              <w:widowControl w:val="0"/>
              <w:spacing w:line="360" w:lineRule="exact"/>
              <w:rPr>
                <w:rFonts w:cs="Times New Roman"/>
                <w:b/>
                <w:bCs/>
                <w:lang w:val="de-DE"/>
              </w:rPr>
            </w:pPr>
            <w:r>
              <w:rPr>
                <w:rFonts w:cs="Times New Roman"/>
                <w:b/>
                <w:bCs/>
                <w:lang w:val="de-DE"/>
              </w:rPr>
              <w:t>200</w:t>
            </w:r>
          </w:p>
        </w:tc>
      </w:tr>
      <w:tr w:rsidR="003E78AB" w14:paraId="2716644E" w14:textId="77777777">
        <w:trPr>
          <w:trHeight w:val="327"/>
          <w:jc w:val="center"/>
        </w:trPr>
        <w:tc>
          <w:tcPr>
            <w:tcW w:w="1202" w:type="dxa"/>
            <w:vMerge w:val="restart"/>
            <w:tcBorders>
              <w:top w:val="single" w:sz="4" w:space="0" w:color="auto"/>
              <w:left w:val="single" w:sz="4" w:space="0" w:color="auto"/>
              <w:bottom w:val="single" w:sz="4" w:space="0" w:color="auto"/>
              <w:right w:val="single" w:sz="4" w:space="0" w:color="auto"/>
            </w:tcBorders>
            <w:vAlign w:val="center"/>
          </w:tcPr>
          <w:p w14:paraId="10DCB837" w14:textId="77777777" w:rsidR="003E78AB" w:rsidRDefault="00010BF9">
            <w:pPr>
              <w:pStyle w:val="B1"/>
              <w:widowControl w:val="0"/>
              <w:spacing w:line="360" w:lineRule="exact"/>
              <w:rPr>
                <w:rFonts w:cs="Times New Roman"/>
                <w:lang w:val="de-DE"/>
              </w:rPr>
            </w:pPr>
            <w:r>
              <w:rPr>
                <w:rFonts w:cs="Times New Roman"/>
                <w:lang w:val="de-DE"/>
              </w:rPr>
              <w:t>TSP</w:t>
            </w:r>
          </w:p>
          <w:p w14:paraId="7E93C93B" w14:textId="77777777" w:rsidR="003E78AB" w:rsidRDefault="00010BF9">
            <w:pPr>
              <w:pStyle w:val="B1"/>
              <w:widowControl w:val="0"/>
              <w:spacing w:line="360" w:lineRule="exact"/>
              <w:rPr>
                <w:rFonts w:cs="Times New Roman"/>
                <w:lang w:val="de-DE"/>
              </w:rPr>
            </w:pPr>
            <w:r>
              <w:rPr>
                <w:rFonts w:cs="Times New Roman"/>
                <w:lang w:val="de-DE"/>
              </w:rPr>
              <w:t>（</w:t>
            </w:r>
            <w:r>
              <w:rPr>
                <w:rFonts w:cs="Times New Roman"/>
                <w:lang w:val="de-DE"/>
              </w:rPr>
              <w:t>mg/m3</w:t>
            </w:r>
            <w:r>
              <w:rPr>
                <w:rFonts w:cs="Times New Roman"/>
                <w:lang w:val="de-DE"/>
              </w:rPr>
              <w:t>）</w:t>
            </w:r>
          </w:p>
        </w:tc>
        <w:tc>
          <w:tcPr>
            <w:tcW w:w="1163" w:type="dxa"/>
            <w:tcBorders>
              <w:top w:val="single" w:sz="4" w:space="0" w:color="auto"/>
              <w:left w:val="single" w:sz="4" w:space="0" w:color="auto"/>
              <w:bottom w:val="single" w:sz="4" w:space="0" w:color="auto"/>
              <w:right w:val="single" w:sz="4" w:space="0" w:color="auto"/>
            </w:tcBorders>
            <w:vAlign w:val="center"/>
          </w:tcPr>
          <w:p w14:paraId="069BCB12" w14:textId="77777777" w:rsidR="003E78AB" w:rsidRDefault="00010BF9">
            <w:pPr>
              <w:pStyle w:val="B1"/>
              <w:widowControl w:val="0"/>
              <w:spacing w:line="360" w:lineRule="exact"/>
              <w:rPr>
                <w:rFonts w:cs="Times New Roman"/>
                <w:lang w:val="de-DE"/>
              </w:rPr>
            </w:pPr>
            <w:r>
              <w:rPr>
                <w:rFonts w:cs="Times New Roman"/>
                <w:lang w:val="de-DE"/>
              </w:rPr>
              <w:t>不洒水</w:t>
            </w:r>
          </w:p>
        </w:tc>
        <w:tc>
          <w:tcPr>
            <w:tcW w:w="1199" w:type="dxa"/>
            <w:tcBorders>
              <w:top w:val="single" w:sz="4" w:space="0" w:color="auto"/>
              <w:left w:val="single" w:sz="4" w:space="0" w:color="auto"/>
              <w:bottom w:val="single" w:sz="4" w:space="0" w:color="auto"/>
              <w:right w:val="single" w:sz="4" w:space="0" w:color="auto"/>
            </w:tcBorders>
            <w:vAlign w:val="center"/>
          </w:tcPr>
          <w:p w14:paraId="21CA1954" w14:textId="77777777" w:rsidR="003E78AB" w:rsidRDefault="00010BF9">
            <w:pPr>
              <w:pStyle w:val="B1"/>
              <w:widowControl w:val="0"/>
              <w:spacing w:line="360" w:lineRule="exact"/>
              <w:rPr>
                <w:rFonts w:cs="Times New Roman"/>
                <w:lang w:val="de-DE"/>
              </w:rPr>
            </w:pPr>
            <w:r>
              <w:rPr>
                <w:rFonts w:cs="Times New Roman"/>
                <w:lang w:val="de-DE"/>
              </w:rPr>
              <w:t>11.03</w:t>
            </w:r>
          </w:p>
        </w:tc>
        <w:tc>
          <w:tcPr>
            <w:tcW w:w="1199" w:type="dxa"/>
            <w:tcBorders>
              <w:top w:val="single" w:sz="4" w:space="0" w:color="auto"/>
              <w:left w:val="single" w:sz="4" w:space="0" w:color="auto"/>
              <w:bottom w:val="single" w:sz="4" w:space="0" w:color="auto"/>
              <w:right w:val="single" w:sz="4" w:space="0" w:color="auto"/>
            </w:tcBorders>
            <w:vAlign w:val="center"/>
          </w:tcPr>
          <w:p w14:paraId="613A704C" w14:textId="77777777" w:rsidR="003E78AB" w:rsidRDefault="00010BF9">
            <w:pPr>
              <w:pStyle w:val="B1"/>
              <w:widowControl w:val="0"/>
              <w:spacing w:line="360" w:lineRule="exact"/>
              <w:rPr>
                <w:rFonts w:cs="Times New Roman"/>
                <w:lang w:val="de-DE"/>
              </w:rPr>
            </w:pPr>
            <w:r>
              <w:rPr>
                <w:rFonts w:cs="Times New Roman"/>
                <w:lang w:val="de-DE"/>
              </w:rPr>
              <w:t>2.89</w:t>
            </w:r>
          </w:p>
        </w:tc>
        <w:tc>
          <w:tcPr>
            <w:tcW w:w="1199" w:type="dxa"/>
            <w:tcBorders>
              <w:top w:val="single" w:sz="4" w:space="0" w:color="auto"/>
              <w:left w:val="single" w:sz="4" w:space="0" w:color="auto"/>
              <w:bottom w:val="single" w:sz="4" w:space="0" w:color="auto"/>
              <w:right w:val="single" w:sz="4" w:space="0" w:color="auto"/>
            </w:tcBorders>
            <w:vAlign w:val="center"/>
          </w:tcPr>
          <w:p w14:paraId="19F30A13" w14:textId="77777777" w:rsidR="003E78AB" w:rsidRDefault="00010BF9">
            <w:pPr>
              <w:pStyle w:val="B1"/>
              <w:widowControl w:val="0"/>
              <w:spacing w:line="360" w:lineRule="exact"/>
              <w:rPr>
                <w:rFonts w:cs="Times New Roman"/>
                <w:lang w:val="de-DE"/>
              </w:rPr>
            </w:pPr>
            <w:r>
              <w:rPr>
                <w:rFonts w:cs="Times New Roman"/>
                <w:lang w:val="de-DE"/>
              </w:rPr>
              <w:t>1.15</w:t>
            </w:r>
          </w:p>
        </w:tc>
        <w:tc>
          <w:tcPr>
            <w:tcW w:w="1199" w:type="dxa"/>
            <w:tcBorders>
              <w:top w:val="single" w:sz="4" w:space="0" w:color="auto"/>
              <w:left w:val="single" w:sz="4" w:space="0" w:color="auto"/>
              <w:bottom w:val="single" w:sz="4" w:space="0" w:color="auto"/>
              <w:right w:val="single" w:sz="4" w:space="0" w:color="auto"/>
            </w:tcBorders>
            <w:vAlign w:val="center"/>
          </w:tcPr>
          <w:p w14:paraId="1BD6350D" w14:textId="77777777" w:rsidR="003E78AB" w:rsidRDefault="00010BF9">
            <w:pPr>
              <w:pStyle w:val="B1"/>
              <w:widowControl w:val="0"/>
              <w:spacing w:line="360" w:lineRule="exact"/>
              <w:rPr>
                <w:rFonts w:cs="Times New Roman"/>
                <w:lang w:val="de-DE"/>
              </w:rPr>
            </w:pPr>
            <w:r>
              <w:rPr>
                <w:rFonts w:cs="Times New Roman"/>
                <w:lang w:val="de-DE"/>
              </w:rPr>
              <w:t>0.86</w:t>
            </w:r>
          </w:p>
        </w:tc>
        <w:tc>
          <w:tcPr>
            <w:tcW w:w="1199" w:type="dxa"/>
            <w:tcBorders>
              <w:top w:val="single" w:sz="4" w:space="0" w:color="auto"/>
              <w:left w:val="single" w:sz="4" w:space="0" w:color="auto"/>
              <w:bottom w:val="single" w:sz="4" w:space="0" w:color="auto"/>
              <w:right w:val="single" w:sz="4" w:space="0" w:color="auto"/>
            </w:tcBorders>
            <w:vAlign w:val="center"/>
          </w:tcPr>
          <w:p w14:paraId="03BDE567" w14:textId="77777777" w:rsidR="003E78AB" w:rsidRDefault="00010BF9">
            <w:pPr>
              <w:pStyle w:val="B1"/>
              <w:widowControl w:val="0"/>
              <w:spacing w:line="360" w:lineRule="exact"/>
              <w:rPr>
                <w:rFonts w:cs="Times New Roman"/>
                <w:lang w:val="de-DE"/>
              </w:rPr>
            </w:pPr>
            <w:r>
              <w:rPr>
                <w:rFonts w:cs="Times New Roman"/>
                <w:lang w:val="de-DE"/>
              </w:rPr>
              <w:t>0.56</w:t>
            </w:r>
          </w:p>
        </w:tc>
      </w:tr>
      <w:tr w:rsidR="003E78AB" w14:paraId="16F4553F" w14:textId="77777777">
        <w:trPr>
          <w:trHeight w:val="327"/>
          <w:jc w:val="center"/>
        </w:trPr>
        <w:tc>
          <w:tcPr>
            <w:tcW w:w="1202" w:type="dxa"/>
            <w:vMerge/>
            <w:tcBorders>
              <w:top w:val="single" w:sz="4" w:space="0" w:color="auto"/>
              <w:left w:val="single" w:sz="4" w:space="0" w:color="auto"/>
              <w:bottom w:val="single" w:sz="4" w:space="0" w:color="auto"/>
              <w:right w:val="single" w:sz="4" w:space="0" w:color="auto"/>
            </w:tcBorders>
            <w:vAlign w:val="center"/>
          </w:tcPr>
          <w:p w14:paraId="2112CD8B" w14:textId="77777777" w:rsidR="003E78AB" w:rsidRDefault="003E78AB">
            <w:pPr>
              <w:pStyle w:val="B1"/>
              <w:widowControl w:val="0"/>
              <w:spacing w:line="360" w:lineRule="exact"/>
              <w:rPr>
                <w:rFonts w:cs="Times New Roman"/>
                <w:lang w:val="de-DE"/>
              </w:rPr>
            </w:pPr>
          </w:p>
        </w:tc>
        <w:tc>
          <w:tcPr>
            <w:tcW w:w="1163" w:type="dxa"/>
            <w:tcBorders>
              <w:top w:val="single" w:sz="4" w:space="0" w:color="auto"/>
              <w:left w:val="single" w:sz="4" w:space="0" w:color="auto"/>
              <w:bottom w:val="single" w:sz="4" w:space="0" w:color="auto"/>
              <w:right w:val="single" w:sz="4" w:space="0" w:color="auto"/>
            </w:tcBorders>
            <w:vAlign w:val="center"/>
          </w:tcPr>
          <w:p w14:paraId="696412BA" w14:textId="77777777" w:rsidR="003E78AB" w:rsidRDefault="00010BF9">
            <w:pPr>
              <w:pStyle w:val="B1"/>
              <w:widowControl w:val="0"/>
              <w:spacing w:line="360" w:lineRule="exact"/>
              <w:rPr>
                <w:rFonts w:cs="Times New Roman"/>
                <w:lang w:val="de-DE"/>
              </w:rPr>
            </w:pPr>
            <w:r>
              <w:rPr>
                <w:rFonts w:cs="Times New Roman"/>
                <w:lang w:val="de-DE"/>
              </w:rPr>
              <w:t>洒水</w:t>
            </w:r>
          </w:p>
        </w:tc>
        <w:tc>
          <w:tcPr>
            <w:tcW w:w="1199" w:type="dxa"/>
            <w:tcBorders>
              <w:top w:val="single" w:sz="4" w:space="0" w:color="auto"/>
              <w:left w:val="single" w:sz="4" w:space="0" w:color="auto"/>
              <w:bottom w:val="single" w:sz="4" w:space="0" w:color="auto"/>
              <w:right w:val="single" w:sz="4" w:space="0" w:color="auto"/>
            </w:tcBorders>
            <w:vAlign w:val="center"/>
          </w:tcPr>
          <w:p w14:paraId="3F2F637B" w14:textId="77777777" w:rsidR="003E78AB" w:rsidRDefault="00010BF9">
            <w:pPr>
              <w:pStyle w:val="B1"/>
              <w:widowControl w:val="0"/>
              <w:spacing w:line="360" w:lineRule="exact"/>
              <w:rPr>
                <w:rFonts w:cs="Times New Roman"/>
                <w:lang w:val="de-DE"/>
              </w:rPr>
            </w:pPr>
            <w:r>
              <w:rPr>
                <w:rFonts w:cs="Times New Roman"/>
                <w:lang w:val="de-DE"/>
              </w:rPr>
              <w:t>2.11</w:t>
            </w:r>
          </w:p>
        </w:tc>
        <w:tc>
          <w:tcPr>
            <w:tcW w:w="1199" w:type="dxa"/>
            <w:tcBorders>
              <w:top w:val="single" w:sz="4" w:space="0" w:color="auto"/>
              <w:left w:val="single" w:sz="4" w:space="0" w:color="auto"/>
              <w:bottom w:val="single" w:sz="4" w:space="0" w:color="auto"/>
              <w:right w:val="single" w:sz="4" w:space="0" w:color="auto"/>
            </w:tcBorders>
            <w:vAlign w:val="center"/>
          </w:tcPr>
          <w:p w14:paraId="18082D78" w14:textId="77777777" w:rsidR="003E78AB" w:rsidRDefault="00010BF9">
            <w:pPr>
              <w:pStyle w:val="B1"/>
              <w:widowControl w:val="0"/>
              <w:spacing w:line="360" w:lineRule="exact"/>
              <w:rPr>
                <w:rFonts w:cs="Times New Roman"/>
                <w:lang w:val="de-DE"/>
              </w:rPr>
            </w:pPr>
            <w:r>
              <w:rPr>
                <w:rFonts w:cs="Times New Roman"/>
                <w:lang w:val="de-DE"/>
              </w:rPr>
              <w:t>1.40</w:t>
            </w:r>
          </w:p>
        </w:tc>
        <w:tc>
          <w:tcPr>
            <w:tcW w:w="1199" w:type="dxa"/>
            <w:tcBorders>
              <w:top w:val="single" w:sz="4" w:space="0" w:color="auto"/>
              <w:left w:val="single" w:sz="4" w:space="0" w:color="auto"/>
              <w:bottom w:val="single" w:sz="4" w:space="0" w:color="auto"/>
              <w:right w:val="single" w:sz="4" w:space="0" w:color="auto"/>
            </w:tcBorders>
            <w:vAlign w:val="center"/>
          </w:tcPr>
          <w:p w14:paraId="0CC50886" w14:textId="77777777" w:rsidR="003E78AB" w:rsidRDefault="00010BF9">
            <w:pPr>
              <w:pStyle w:val="B1"/>
              <w:widowControl w:val="0"/>
              <w:spacing w:line="360" w:lineRule="exact"/>
              <w:rPr>
                <w:rFonts w:cs="Times New Roman"/>
                <w:lang w:val="de-DE"/>
              </w:rPr>
            </w:pPr>
            <w:r>
              <w:rPr>
                <w:rFonts w:cs="Times New Roman"/>
                <w:lang w:val="de-DE"/>
              </w:rPr>
              <w:t>0.68</w:t>
            </w:r>
          </w:p>
        </w:tc>
        <w:tc>
          <w:tcPr>
            <w:tcW w:w="1199" w:type="dxa"/>
            <w:tcBorders>
              <w:top w:val="single" w:sz="4" w:space="0" w:color="auto"/>
              <w:left w:val="single" w:sz="4" w:space="0" w:color="auto"/>
              <w:bottom w:val="single" w:sz="4" w:space="0" w:color="auto"/>
              <w:right w:val="single" w:sz="4" w:space="0" w:color="auto"/>
            </w:tcBorders>
            <w:vAlign w:val="center"/>
          </w:tcPr>
          <w:p w14:paraId="7DE4AB6E" w14:textId="77777777" w:rsidR="003E78AB" w:rsidRDefault="00010BF9">
            <w:pPr>
              <w:pStyle w:val="B1"/>
              <w:widowControl w:val="0"/>
              <w:spacing w:line="360" w:lineRule="exact"/>
              <w:rPr>
                <w:rFonts w:cs="Times New Roman"/>
                <w:lang w:val="de-DE"/>
              </w:rPr>
            </w:pPr>
            <w:r>
              <w:rPr>
                <w:rFonts w:cs="Times New Roman"/>
                <w:lang w:val="de-DE"/>
              </w:rPr>
              <w:t>0.60</w:t>
            </w:r>
          </w:p>
        </w:tc>
        <w:tc>
          <w:tcPr>
            <w:tcW w:w="1199" w:type="dxa"/>
            <w:tcBorders>
              <w:top w:val="single" w:sz="4" w:space="0" w:color="auto"/>
              <w:left w:val="single" w:sz="4" w:space="0" w:color="auto"/>
              <w:bottom w:val="single" w:sz="4" w:space="0" w:color="auto"/>
              <w:right w:val="single" w:sz="4" w:space="0" w:color="auto"/>
            </w:tcBorders>
            <w:vAlign w:val="center"/>
          </w:tcPr>
          <w:p w14:paraId="4891A85A" w14:textId="77777777" w:rsidR="003E78AB" w:rsidRDefault="00010BF9">
            <w:pPr>
              <w:pStyle w:val="B1"/>
              <w:widowControl w:val="0"/>
              <w:spacing w:line="360" w:lineRule="exact"/>
              <w:rPr>
                <w:rFonts w:cs="Times New Roman"/>
                <w:lang w:val="de-DE"/>
              </w:rPr>
            </w:pPr>
            <w:r>
              <w:rPr>
                <w:rFonts w:cs="Times New Roman"/>
                <w:lang w:val="de-DE"/>
              </w:rPr>
              <w:t>0.29</w:t>
            </w:r>
          </w:p>
        </w:tc>
      </w:tr>
    </w:tbl>
    <w:p w14:paraId="36770F7B" w14:textId="77777777" w:rsidR="003E78AB" w:rsidRDefault="00010BF9">
      <w:pPr>
        <w:ind w:firstLine="480"/>
        <w:rPr>
          <w:kern w:val="2"/>
        </w:rPr>
      </w:pPr>
      <w:r>
        <w:rPr>
          <w:kern w:val="2"/>
        </w:rPr>
        <w:t>（</w:t>
      </w:r>
      <w:r>
        <w:rPr>
          <w:kern w:val="2"/>
        </w:rPr>
        <w:t>2</w:t>
      </w:r>
      <w:r>
        <w:rPr>
          <w:kern w:val="2"/>
        </w:rPr>
        <w:t>）物料堆场扬尘</w:t>
      </w:r>
    </w:p>
    <w:p w14:paraId="1099A100" w14:textId="77777777" w:rsidR="003E78AB" w:rsidRDefault="00010BF9">
      <w:pPr>
        <w:ind w:firstLine="480"/>
        <w:rPr>
          <w:kern w:val="2"/>
        </w:rPr>
      </w:pPr>
      <w:r>
        <w:rPr>
          <w:kern w:val="2"/>
        </w:rPr>
        <w:t>物料堆场扬尘量与物料的种类、性质及风速有很大关系，比重小的物料容易受扰动而起尘，物料中小颗粒比例大时起尘量相应也大。</w:t>
      </w:r>
    </w:p>
    <w:p w14:paraId="70C24321" w14:textId="77777777" w:rsidR="003E78AB" w:rsidRDefault="00010BF9">
      <w:pPr>
        <w:ind w:firstLine="480"/>
        <w:rPr>
          <w:kern w:val="2"/>
        </w:rPr>
      </w:pPr>
      <w:r>
        <w:rPr>
          <w:kern w:val="2"/>
        </w:rPr>
        <w:t>堆场的扬尘包括料堆的风吹扬尘、装卸扬尘和过往车辆引起路面积尘二次扬尘等，这将产生较大的尘污染，会对周围环境带来一定的影响。易散失的施工材料如不加强管理也将产生大量的污染源。通过遮盖、洒水可有效地抑制扬尘量，可使扬尘量减少</w:t>
      </w:r>
      <w:r>
        <w:rPr>
          <w:kern w:val="2"/>
        </w:rPr>
        <w:t>90%</w:t>
      </w:r>
      <w:r>
        <w:rPr>
          <w:kern w:val="2"/>
        </w:rPr>
        <w:t>。项目物料堆场均严格设置在工业场地内，并要求设置篷布覆盖，同时进行洒水抑尘，有效地减少了堆场扬尘的不良影响。</w:t>
      </w:r>
    </w:p>
    <w:p w14:paraId="679649C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5.1.1.2</w:t>
      </w:r>
      <w:r>
        <w:rPr>
          <w:rFonts w:ascii="Times New Roman" w:hAnsi="Times New Roman"/>
        </w:rPr>
        <w:t>施工机械废气</w:t>
      </w:r>
    </w:p>
    <w:p w14:paraId="0B99AD84" w14:textId="77777777" w:rsidR="003E78AB" w:rsidRDefault="00010BF9">
      <w:pPr>
        <w:ind w:firstLine="480"/>
        <w:rPr>
          <w:kern w:val="2"/>
        </w:rPr>
      </w:pPr>
      <w:r>
        <w:rPr>
          <w:kern w:val="2"/>
        </w:rPr>
        <w:t>施工机械废气主要为燃油机械设备运行产生的废气及运输车辆产生的废气，主要污染物为</w:t>
      </w:r>
      <w:r>
        <w:rPr>
          <w:kern w:val="2"/>
        </w:rPr>
        <w:t>SO</w:t>
      </w:r>
      <w:r>
        <w:rPr>
          <w:kern w:val="2"/>
          <w:vertAlign w:val="subscript"/>
        </w:rPr>
        <w:t>2</w:t>
      </w:r>
      <w:r>
        <w:rPr>
          <w:kern w:val="2"/>
        </w:rPr>
        <w:t>、</w:t>
      </w:r>
      <w:r>
        <w:rPr>
          <w:kern w:val="2"/>
        </w:rPr>
        <w:t>CO</w:t>
      </w:r>
      <w:r>
        <w:rPr>
          <w:kern w:val="2"/>
        </w:rPr>
        <w:t>、</w:t>
      </w:r>
      <w:r>
        <w:rPr>
          <w:kern w:val="2"/>
        </w:rPr>
        <w:t>NOx</w:t>
      </w:r>
      <w:r>
        <w:rPr>
          <w:kern w:val="2"/>
        </w:rPr>
        <w:t>等。这些废气排放特点为无组织低空排放，会造成局部地</w:t>
      </w:r>
      <w:r>
        <w:rPr>
          <w:kern w:val="2"/>
        </w:rPr>
        <w:t>区环境空气的污染。</w:t>
      </w:r>
    </w:p>
    <w:p w14:paraId="21A26058" w14:textId="77777777" w:rsidR="003E78AB" w:rsidRDefault="00010BF9">
      <w:pPr>
        <w:ind w:firstLine="480"/>
        <w:rPr>
          <w:kern w:val="2"/>
        </w:rPr>
      </w:pPr>
      <w:r>
        <w:rPr>
          <w:kern w:val="2"/>
        </w:rPr>
        <w:t>评价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14:paraId="6D56DD11"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5.1</w:t>
      </w:r>
      <w:r>
        <w:rPr>
          <w:rFonts w:cs="Times New Roman"/>
          <w:sz w:val="28"/>
          <w:szCs w:val="28"/>
        </w:rPr>
        <w:t>.2</w:t>
      </w:r>
      <w:r>
        <w:rPr>
          <w:rFonts w:cs="Times New Roman"/>
          <w:sz w:val="28"/>
          <w:szCs w:val="28"/>
        </w:rPr>
        <w:t>施工废水对环境的影响分析与评价</w:t>
      </w:r>
    </w:p>
    <w:p w14:paraId="386BD1DB" w14:textId="77777777" w:rsidR="003E78AB" w:rsidRDefault="00010BF9">
      <w:pPr>
        <w:ind w:firstLine="480"/>
      </w:pPr>
      <w:bookmarkStart w:id="344" w:name="_Toc454899371"/>
      <w:r>
        <w:t>施工期废水主要为施工废水和生活污水排放对项目区水环境的影响，这些影响主要在施工区范围内。</w:t>
      </w:r>
    </w:p>
    <w:p w14:paraId="1B5EA1FE" w14:textId="77777777" w:rsidR="003E78AB" w:rsidRDefault="00010BF9">
      <w:pPr>
        <w:ind w:firstLine="480"/>
      </w:pPr>
      <w:r>
        <w:t>（</w:t>
      </w:r>
      <w:r>
        <w:t>1</w:t>
      </w:r>
      <w:r>
        <w:t>）施工生活污水</w:t>
      </w:r>
    </w:p>
    <w:p w14:paraId="1879422D" w14:textId="77777777" w:rsidR="003E78AB" w:rsidRDefault="00010BF9">
      <w:pPr>
        <w:ind w:firstLine="480"/>
      </w:pPr>
      <w:r>
        <w:t>根据工程分析，项目施工期施工人员约</w:t>
      </w:r>
      <w:r>
        <w:t>80</w:t>
      </w:r>
      <w:r>
        <w:t>人，施工时间</w:t>
      </w:r>
      <w:r>
        <w:t>为</w:t>
      </w:r>
      <w:r>
        <w:t>12</w:t>
      </w:r>
      <w:r>
        <w:t>个月，施工人员生活用水量按</w:t>
      </w:r>
      <w:r>
        <w:t>80L/</w:t>
      </w:r>
      <w:r>
        <w:t>人</w:t>
      </w:r>
      <w:r>
        <w:t>·d</w:t>
      </w:r>
      <w:r>
        <w:t>计算，则施工人员用水量为</w:t>
      </w:r>
      <w:r>
        <w:t>6.4m</w:t>
      </w:r>
      <w:r>
        <w:rPr>
          <w:vertAlign w:val="superscript"/>
        </w:rPr>
        <w:t>3</w:t>
      </w:r>
      <w:r>
        <w:t>/d</w:t>
      </w:r>
      <w:r>
        <w:t>（</w:t>
      </w:r>
      <w:r>
        <w:t>2304m</w:t>
      </w:r>
      <w:r>
        <w:rPr>
          <w:vertAlign w:val="superscript"/>
        </w:rPr>
        <w:t>3</w:t>
      </w:r>
      <w:r>
        <w:t>），生活污水的排放量按用水量的</w:t>
      </w:r>
      <w:r>
        <w:t>80%</w:t>
      </w:r>
      <w:r>
        <w:t>计，则施工人员生活污水产生量为</w:t>
      </w:r>
      <w:r>
        <w:t>5.12m</w:t>
      </w:r>
      <w:r>
        <w:rPr>
          <w:vertAlign w:val="superscript"/>
        </w:rPr>
        <w:t>3</w:t>
      </w:r>
      <w:r>
        <w:t>/d</w:t>
      </w:r>
      <w:r>
        <w:t>（</w:t>
      </w:r>
      <w:r>
        <w:t>1843.2m</w:t>
      </w:r>
      <w:r>
        <w:rPr>
          <w:vertAlign w:val="superscript"/>
        </w:rPr>
        <w:t>3</w:t>
      </w:r>
      <w:r>
        <w:t>）。施工期间产生的生活污水通过施工营地建设的排水系统收集后排入园区下水管网，最终进入园区污水处理厂处置，不会对周边水环境造成不利影响。</w:t>
      </w:r>
    </w:p>
    <w:p w14:paraId="7EEC74F6" w14:textId="77777777" w:rsidR="003E78AB" w:rsidRDefault="00010BF9">
      <w:pPr>
        <w:ind w:firstLine="480"/>
      </w:pPr>
      <w:r>
        <w:t>（</w:t>
      </w:r>
      <w:r>
        <w:t>2</w:t>
      </w:r>
      <w:r>
        <w:t>）施工废水</w:t>
      </w:r>
    </w:p>
    <w:p w14:paraId="504FFF8C" w14:textId="77777777" w:rsidR="003E78AB" w:rsidRDefault="00010BF9">
      <w:pPr>
        <w:ind w:firstLine="480"/>
      </w:pPr>
      <w:r>
        <w:t>本项目建设过程采用少量商品混凝土，由商品混凝土公司负责配送，商品混凝土运输车辆不在厂区清洗。因此项目施工废水主要为混凝土结构养护废水以及车辆冲洗废水。施工期间在施</w:t>
      </w:r>
      <w:r>
        <w:t>工场地设置临时沉淀池用于收集施工期间产生的施工废水，废水经沉淀池澄清后可用于施工场地洒水降尘。总体而言，项目施工期产生的施工废水量很小，施工期短，对水环境影响很小。</w:t>
      </w:r>
    </w:p>
    <w:p w14:paraId="280B7334"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5.1</w:t>
      </w:r>
      <w:r>
        <w:rPr>
          <w:rFonts w:cs="Times New Roman"/>
          <w:sz w:val="28"/>
          <w:szCs w:val="28"/>
        </w:rPr>
        <w:t>.3</w:t>
      </w:r>
      <w:r>
        <w:rPr>
          <w:rFonts w:cs="Times New Roman"/>
          <w:sz w:val="28"/>
          <w:szCs w:val="28"/>
        </w:rPr>
        <w:t>施工期声环境影响分析</w:t>
      </w:r>
      <w:bookmarkEnd w:id="344"/>
      <w:r>
        <w:rPr>
          <w:rFonts w:cs="Times New Roman"/>
          <w:sz w:val="28"/>
          <w:szCs w:val="28"/>
        </w:rPr>
        <w:t>与评价</w:t>
      </w:r>
    </w:p>
    <w:p w14:paraId="5A4F677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bookmarkStart w:id="345" w:name="_Toc309715403"/>
      <w:r>
        <w:rPr>
          <w:rFonts w:ascii="Times New Roman" w:hAnsi="Times New Roman"/>
        </w:rPr>
        <w:t>5.1.3.1</w:t>
      </w:r>
      <w:r>
        <w:rPr>
          <w:rFonts w:ascii="Times New Roman" w:hAnsi="Times New Roman"/>
        </w:rPr>
        <w:t>噪声源强</w:t>
      </w:r>
    </w:p>
    <w:p w14:paraId="3340DDFA" w14:textId="77777777" w:rsidR="003E78AB" w:rsidRDefault="00010BF9">
      <w:pPr>
        <w:spacing w:line="460" w:lineRule="exact"/>
        <w:ind w:firstLine="480"/>
        <w:rPr>
          <w:kern w:val="24"/>
        </w:rPr>
      </w:pPr>
      <w:r>
        <w:rPr>
          <w:kern w:val="24"/>
        </w:rPr>
        <w:t>本项目施工期间的噪声主要来自各类施工机械和运输车辆。</w:t>
      </w:r>
    </w:p>
    <w:p w14:paraId="5A909DE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5.1.3.2</w:t>
      </w:r>
      <w:r>
        <w:rPr>
          <w:rFonts w:ascii="Times New Roman" w:hAnsi="Times New Roman"/>
        </w:rPr>
        <w:t>预测模式</w:t>
      </w:r>
    </w:p>
    <w:p w14:paraId="790792B1" w14:textId="77777777" w:rsidR="003E78AB" w:rsidRDefault="00010BF9">
      <w:pPr>
        <w:spacing w:line="460" w:lineRule="exact"/>
        <w:ind w:firstLine="480"/>
        <w:rPr>
          <w:kern w:val="24"/>
        </w:rPr>
      </w:pPr>
      <w:r>
        <w:rPr>
          <w:kern w:val="24"/>
        </w:rPr>
        <w:t>本次评价采用下列公式计算距离建设项目噪声源不同距离处的噪声值：</w:t>
      </w:r>
    </w:p>
    <w:p w14:paraId="32938B56" w14:textId="77777777" w:rsidR="003E78AB" w:rsidRDefault="00010BF9">
      <w:pPr>
        <w:spacing w:line="460" w:lineRule="exact"/>
        <w:ind w:firstLine="480"/>
        <w:jc w:val="center"/>
        <w:rPr>
          <w:i/>
          <w:kern w:val="24"/>
        </w:rPr>
      </w:pPr>
      <w:r>
        <w:rPr>
          <w:i/>
          <w:kern w:val="24"/>
        </w:rPr>
        <w:t>L</w:t>
      </w:r>
      <w:r>
        <w:rPr>
          <w:i/>
          <w:kern w:val="24"/>
          <w:vertAlign w:val="subscript"/>
        </w:rPr>
        <w:t>A(r)</w:t>
      </w:r>
      <w:r>
        <w:rPr>
          <w:i/>
          <w:kern w:val="24"/>
        </w:rPr>
        <w:t>＝</w:t>
      </w:r>
      <w:r>
        <w:rPr>
          <w:i/>
          <w:kern w:val="24"/>
        </w:rPr>
        <w:t>L</w:t>
      </w:r>
      <w:r>
        <w:rPr>
          <w:i/>
          <w:kern w:val="24"/>
          <w:vertAlign w:val="subscript"/>
        </w:rPr>
        <w:t>A(r0)</w:t>
      </w:r>
      <w:r>
        <w:rPr>
          <w:i/>
          <w:kern w:val="24"/>
        </w:rPr>
        <w:t>－</w:t>
      </w:r>
      <w:r>
        <w:rPr>
          <w:i/>
          <w:kern w:val="24"/>
        </w:rPr>
        <w:t>20lg(r/r0)</w:t>
      </w:r>
    </w:p>
    <w:p w14:paraId="61551F9B" w14:textId="77777777" w:rsidR="003E78AB" w:rsidRDefault="00010BF9">
      <w:pPr>
        <w:spacing w:line="460" w:lineRule="exact"/>
        <w:ind w:firstLine="480"/>
        <w:rPr>
          <w:kern w:val="24"/>
        </w:rPr>
      </w:pPr>
      <w:r>
        <w:rPr>
          <w:kern w:val="24"/>
        </w:rPr>
        <w:t>式中：</w:t>
      </w:r>
    </w:p>
    <w:p w14:paraId="19AA7472" w14:textId="77777777" w:rsidR="003E78AB" w:rsidRDefault="00010BF9">
      <w:pPr>
        <w:spacing w:line="460" w:lineRule="exact"/>
        <w:ind w:firstLineChars="600" w:firstLine="1440"/>
        <w:rPr>
          <w:kern w:val="24"/>
        </w:rPr>
      </w:pPr>
      <w:r>
        <w:rPr>
          <w:i/>
          <w:kern w:val="24"/>
        </w:rPr>
        <w:t>L</w:t>
      </w:r>
      <w:r>
        <w:rPr>
          <w:i/>
          <w:kern w:val="24"/>
          <w:vertAlign w:val="subscript"/>
        </w:rPr>
        <w:t>A(r)</w:t>
      </w:r>
      <w:r>
        <w:rPr>
          <w:kern w:val="24"/>
        </w:rPr>
        <w:t>－距声源</w:t>
      </w:r>
      <w:r>
        <w:rPr>
          <w:kern w:val="24"/>
        </w:rPr>
        <w:t>r</w:t>
      </w:r>
      <w:r>
        <w:rPr>
          <w:kern w:val="24"/>
        </w:rPr>
        <w:t>处的</w:t>
      </w:r>
      <w:r>
        <w:rPr>
          <w:kern w:val="24"/>
        </w:rPr>
        <w:t>A</w:t>
      </w:r>
      <w:r>
        <w:rPr>
          <w:kern w:val="24"/>
        </w:rPr>
        <w:t>声级；</w:t>
      </w:r>
    </w:p>
    <w:p w14:paraId="3B420BE9" w14:textId="77777777" w:rsidR="003E78AB" w:rsidRDefault="00010BF9">
      <w:pPr>
        <w:spacing w:line="460" w:lineRule="exact"/>
        <w:ind w:firstLineChars="600" w:firstLine="1440"/>
        <w:rPr>
          <w:kern w:val="24"/>
        </w:rPr>
      </w:pPr>
      <w:r>
        <w:rPr>
          <w:i/>
          <w:kern w:val="24"/>
        </w:rPr>
        <w:t>L</w:t>
      </w:r>
      <w:r>
        <w:rPr>
          <w:i/>
          <w:kern w:val="24"/>
          <w:vertAlign w:val="subscript"/>
        </w:rPr>
        <w:t>A(r0)</w:t>
      </w:r>
      <w:r>
        <w:rPr>
          <w:kern w:val="24"/>
        </w:rPr>
        <w:t>－参考位置</w:t>
      </w:r>
      <w:r>
        <w:rPr>
          <w:kern w:val="24"/>
        </w:rPr>
        <w:t>r0</w:t>
      </w:r>
      <w:r>
        <w:rPr>
          <w:kern w:val="24"/>
        </w:rPr>
        <w:t>处的</w:t>
      </w:r>
      <w:r>
        <w:rPr>
          <w:kern w:val="24"/>
        </w:rPr>
        <w:t>A</w:t>
      </w:r>
      <w:r>
        <w:rPr>
          <w:kern w:val="24"/>
        </w:rPr>
        <w:t>声级；</w:t>
      </w:r>
    </w:p>
    <w:p w14:paraId="6FCFC2F5" w14:textId="77777777" w:rsidR="003E78AB" w:rsidRDefault="00010BF9">
      <w:pPr>
        <w:spacing w:line="460" w:lineRule="exact"/>
        <w:ind w:firstLine="480"/>
        <w:rPr>
          <w:kern w:val="24"/>
        </w:rPr>
      </w:pPr>
      <w:r>
        <w:rPr>
          <w:kern w:val="24"/>
        </w:rPr>
        <w:t>建设项目声源在预测点产生的等效声级贡献值</w:t>
      </w:r>
      <w:r>
        <w:rPr>
          <w:kern w:val="24"/>
        </w:rPr>
        <w:t>(</w:t>
      </w:r>
      <w:r>
        <w:rPr>
          <w:i/>
          <w:kern w:val="24"/>
        </w:rPr>
        <w:t>L</w:t>
      </w:r>
      <w:r>
        <w:rPr>
          <w:i/>
          <w:kern w:val="24"/>
          <w:vertAlign w:val="subscript"/>
        </w:rPr>
        <w:t>eqg</w:t>
      </w:r>
      <w:r>
        <w:rPr>
          <w:kern w:val="24"/>
        </w:rPr>
        <w:t>)</w:t>
      </w:r>
      <w:r>
        <w:rPr>
          <w:kern w:val="24"/>
        </w:rPr>
        <w:t>计算公式：</w:t>
      </w:r>
    </w:p>
    <w:p w14:paraId="10771EA1" w14:textId="77777777" w:rsidR="003E78AB" w:rsidRDefault="00010BF9">
      <w:pPr>
        <w:spacing w:line="240" w:lineRule="auto"/>
        <w:ind w:firstLine="480"/>
        <w:rPr>
          <w:kern w:val="24"/>
        </w:rPr>
      </w:pPr>
      <m:oMathPara>
        <m:oMath>
          <m:sSub>
            <m:sSubPr>
              <m:ctrlPr>
                <w:rPr>
                  <w:rFonts w:ascii="Cambria Math" w:hAnsi="Cambria Math"/>
                  <w:kern w:val="24"/>
                </w:rPr>
              </m:ctrlPr>
            </m:sSubPr>
            <m:e>
              <m:r>
                <w:rPr>
                  <w:rFonts w:ascii="Cambria Math" w:hAnsi="Cambria Math"/>
                  <w:kern w:val="24"/>
                </w:rPr>
                <m:t>L</m:t>
              </m:r>
            </m:e>
            <m:sub>
              <m:r>
                <w:rPr>
                  <w:rFonts w:ascii="Cambria Math" w:hAnsi="Cambria Math"/>
                  <w:kern w:val="24"/>
                </w:rPr>
                <m:t>eqg</m:t>
              </m:r>
            </m:sub>
          </m:sSub>
          <m:r>
            <w:rPr>
              <w:rFonts w:ascii="Cambria Math" w:hAnsi="Cambria Math"/>
              <w:kern w:val="24"/>
            </w:rPr>
            <m:t>=10</m:t>
          </m:r>
          <m:r>
            <w:rPr>
              <w:rFonts w:ascii="Cambria Math" w:hAnsi="Cambria Math"/>
              <w:kern w:val="24"/>
            </w:rPr>
            <m:t>lg</m:t>
          </m:r>
          <m:d>
            <m:dPr>
              <m:ctrlPr>
                <w:rPr>
                  <w:rFonts w:ascii="Cambria Math" w:hAnsi="Cambria Math"/>
                  <w:i/>
                  <w:kern w:val="24"/>
                </w:rPr>
              </m:ctrlPr>
            </m:dPr>
            <m:e>
              <m:f>
                <m:fPr>
                  <m:ctrlPr>
                    <w:rPr>
                      <w:rFonts w:ascii="Cambria Math" w:hAnsi="Cambria Math"/>
                      <w:i/>
                      <w:kern w:val="24"/>
                    </w:rPr>
                  </m:ctrlPr>
                </m:fPr>
                <m:num>
                  <m:r>
                    <w:rPr>
                      <w:rFonts w:ascii="Cambria Math" w:hAnsi="Cambria Math"/>
                      <w:kern w:val="24"/>
                    </w:rPr>
                    <m:t>1</m:t>
                  </m:r>
                </m:num>
                <m:den>
                  <m:r>
                    <w:rPr>
                      <w:rFonts w:ascii="Cambria Math" w:hAnsi="Cambria Math"/>
                      <w:kern w:val="24"/>
                    </w:rPr>
                    <m:t>T</m:t>
                  </m:r>
                </m:den>
              </m:f>
              <m:nary>
                <m:naryPr>
                  <m:chr m:val="∑"/>
                  <m:limLoc m:val="undOvr"/>
                  <m:ctrlPr>
                    <w:rPr>
                      <w:rFonts w:ascii="Cambria Math" w:hAnsi="Cambria Math"/>
                      <w:i/>
                      <w:kern w:val="24"/>
                    </w:rPr>
                  </m:ctrlPr>
                </m:naryPr>
                <m:sub>
                  <m:r>
                    <w:rPr>
                      <w:rFonts w:ascii="Cambria Math" w:hAnsi="Cambria Math"/>
                      <w:kern w:val="24"/>
                    </w:rPr>
                    <m:t>i</m:t>
                  </m:r>
                  <m:r>
                    <w:rPr>
                      <w:rFonts w:ascii="Cambria Math" w:hAnsi="Cambria Math"/>
                      <w:kern w:val="24"/>
                    </w:rPr>
                    <m:t>=1</m:t>
                  </m:r>
                </m:sub>
                <m:sup>
                  <m:r>
                    <w:rPr>
                      <w:rFonts w:ascii="Cambria Math" w:hAnsi="Cambria Math"/>
                      <w:kern w:val="24"/>
                    </w:rPr>
                    <m:t>n</m:t>
                  </m:r>
                </m:sup>
                <m:e>
                  <m:sSub>
                    <m:sSubPr>
                      <m:ctrlPr>
                        <w:rPr>
                          <w:rFonts w:ascii="Cambria Math" w:hAnsi="Cambria Math"/>
                          <w:i/>
                          <w:kern w:val="24"/>
                        </w:rPr>
                      </m:ctrlPr>
                    </m:sSubPr>
                    <m:e>
                      <m:r>
                        <w:rPr>
                          <w:rFonts w:ascii="Cambria Math" w:hAnsi="Cambria Math"/>
                          <w:kern w:val="24"/>
                        </w:rPr>
                        <m:t>t</m:t>
                      </m:r>
                    </m:e>
                    <m:sub>
                      <m:r>
                        <w:rPr>
                          <w:rFonts w:ascii="Cambria Math" w:hAnsi="Cambria Math"/>
                          <w:kern w:val="24"/>
                        </w:rPr>
                        <m:t>i</m:t>
                      </m:r>
                    </m:sub>
                  </m:sSub>
                  <m:sSup>
                    <m:sSupPr>
                      <m:ctrlPr>
                        <w:rPr>
                          <w:rFonts w:ascii="Cambria Math" w:hAnsi="Cambria Math"/>
                          <w:i/>
                          <w:kern w:val="24"/>
                        </w:rPr>
                      </m:ctrlPr>
                    </m:sSupPr>
                    <m:e>
                      <m:r>
                        <w:rPr>
                          <w:rFonts w:ascii="Cambria Math" w:hAnsi="Cambria Math"/>
                          <w:kern w:val="24"/>
                        </w:rPr>
                        <m:t>10</m:t>
                      </m:r>
                    </m:e>
                    <m:sup>
                      <m:r>
                        <w:rPr>
                          <w:rFonts w:ascii="Cambria Math" w:hAnsi="Cambria Math"/>
                          <w:kern w:val="24"/>
                        </w:rPr>
                        <m:t>0.1</m:t>
                      </m:r>
                      <m:sSub>
                        <m:sSubPr>
                          <m:ctrlPr>
                            <w:rPr>
                              <w:rFonts w:ascii="Cambria Math" w:hAnsi="Cambria Math"/>
                              <w:i/>
                              <w:kern w:val="24"/>
                            </w:rPr>
                          </m:ctrlPr>
                        </m:sSubPr>
                        <m:e>
                          <m:r>
                            <w:rPr>
                              <w:rFonts w:ascii="Cambria Math" w:hAnsi="Cambria Math"/>
                              <w:kern w:val="24"/>
                            </w:rPr>
                            <m:t>L</m:t>
                          </m:r>
                        </m:e>
                        <m:sub>
                          <m:r>
                            <w:rPr>
                              <w:rFonts w:ascii="Cambria Math" w:hAnsi="Cambria Math"/>
                              <w:kern w:val="24"/>
                            </w:rPr>
                            <m:t>Ai</m:t>
                          </m:r>
                        </m:sub>
                      </m:sSub>
                    </m:sup>
                  </m:sSup>
                </m:e>
              </m:nary>
            </m:e>
          </m:d>
        </m:oMath>
      </m:oMathPara>
    </w:p>
    <w:p w14:paraId="359A1830" w14:textId="77777777" w:rsidR="003E78AB" w:rsidRDefault="00010BF9">
      <w:pPr>
        <w:spacing w:line="460" w:lineRule="exact"/>
        <w:ind w:firstLine="480"/>
        <w:rPr>
          <w:kern w:val="24"/>
        </w:rPr>
      </w:pPr>
      <w:r>
        <w:rPr>
          <w:kern w:val="24"/>
        </w:rPr>
        <w:t>式中：</w:t>
      </w:r>
    </w:p>
    <w:p w14:paraId="739EC2D3" w14:textId="77777777" w:rsidR="003E78AB" w:rsidRDefault="00010BF9">
      <w:pPr>
        <w:spacing w:line="460" w:lineRule="exact"/>
        <w:ind w:firstLineChars="600" w:firstLine="1440"/>
        <w:rPr>
          <w:kern w:val="24"/>
        </w:rPr>
      </w:pPr>
      <w:r>
        <w:rPr>
          <w:i/>
          <w:kern w:val="24"/>
        </w:rPr>
        <w:t>L</w:t>
      </w:r>
      <w:r>
        <w:rPr>
          <w:i/>
          <w:kern w:val="24"/>
          <w:vertAlign w:val="subscript"/>
        </w:rPr>
        <w:t>eqg</w:t>
      </w:r>
      <w:r>
        <w:rPr>
          <w:kern w:val="24"/>
        </w:rPr>
        <w:t>－建设项目声源在预测点的等效声级贡献值，</w:t>
      </w:r>
      <w:r>
        <w:rPr>
          <w:kern w:val="24"/>
        </w:rPr>
        <w:t>dB(A)</w:t>
      </w:r>
      <w:r>
        <w:rPr>
          <w:kern w:val="24"/>
        </w:rPr>
        <w:t>；</w:t>
      </w:r>
    </w:p>
    <w:p w14:paraId="2CA50D3E" w14:textId="77777777" w:rsidR="003E78AB" w:rsidRDefault="00010BF9">
      <w:pPr>
        <w:spacing w:line="460" w:lineRule="exact"/>
        <w:ind w:firstLineChars="600" w:firstLine="1440"/>
        <w:rPr>
          <w:kern w:val="24"/>
        </w:rPr>
      </w:pPr>
      <w:r>
        <w:rPr>
          <w:i/>
          <w:kern w:val="24"/>
        </w:rPr>
        <w:t>L</w:t>
      </w:r>
      <w:r>
        <w:rPr>
          <w:i/>
          <w:kern w:val="24"/>
          <w:vertAlign w:val="subscript"/>
        </w:rPr>
        <w:t>Ai</w:t>
      </w:r>
      <w:r>
        <w:rPr>
          <w:kern w:val="24"/>
        </w:rPr>
        <w:t>－</w:t>
      </w:r>
      <w:r>
        <w:rPr>
          <w:kern w:val="24"/>
        </w:rPr>
        <w:t>i</w:t>
      </w:r>
      <w:r>
        <w:rPr>
          <w:kern w:val="24"/>
        </w:rPr>
        <w:t>声源在预测点产生的</w:t>
      </w:r>
      <w:r>
        <w:rPr>
          <w:kern w:val="24"/>
        </w:rPr>
        <w:t>A</w:t>
      </w:r>
      <w:r>
        <w:rPr>
          <w:kern w:val="24"/>
        </w:rPr>
        <w:t>声级，</w:t>
      </w:r>
      <w:r>
        <w:rPr>
          <w:kern w:val="24"/>
        </w:rPr>
        <w:t>dB(A)</w:t>
      </w:r>
      <w:r>
        <w:rPr>
          <w:kern w:val="24"/>
        </w:rPr>
        <w:t>；</w:t>
      </w:r>
    </w:p>
    <w:p w14:paraId="52F9CF46" w14:textId="77777777" w:rsidR="003E78AB" w:rsidRDefault="00010BF9">
      <w:pPr>
        <w:spacing w:line="460" w:lineRule="exact"/>
        <w:ind w:firstLineChars="600" w:firstLine="1440"/>
        <w:rPr>
          <w:kern w:val="24"/>
        </w:rPr>
      </w:pPr>
      <w:r>
        <w:rPr>
          <w:i/>
          <w:kern w:val="24"/>
        </w:rPr>
        <w:t>T</w:t>
      </w:r>
      <w:r>
        <w:rPr>
          <w:kern w:val="24"/>
        </w:rPr>
        <w:t>－预测计算的时间段，</w:t>
      </w:r>
      <w:r>
        <w:rPr>
          <w:kern w:val="24"/>
        </w:rPr>
        <w:t>s</w:t>
      </w:r>
      <w:r>
        <w:rPr>
          <w:kern w:val="24"/>
        </w:rPr>
        <w:t>；</w:t>
      </w:r>
    </w:p>
    <w:p w14:paraId="5491A2C5" w14:textId="77777777" w:rsidR="003E78AB" w:rsidRDefault="00010BF9">
      <w:pPr>
        <w:spacing w:line="460" w:lineRule="exact"/>
        <w:ind w:firstLineChars="600" w:firstLine="1440"/>
        <w:rPr>
          <w:kern w:val="24"/>
        </w:rPr>
      </w:pPr>
      <w:r>
        <w:rPr>
          <w:i/>
          <w:kern w:val="24"/>
        </w:rPr>
        <w:t>ti</w:t>
      </w:r>
      <w:r>
        <w:rPr>
          <w:kern w:val="24"/>
        </w:rPr>
        <w:t>－</w:t>
      </w:r>
      <w:r>
        <w:rPr>
          <w:kern w:val="24"/>
        </w:rPr>
        <w:t>i</w:t>
      </w:r>
      <w:r>
        <w:rPr>
          <w:kern w:val="24"/>
        </w:rPr>
        <w:t>声源在</w:t>
      </w:r>
      <w:r>
        <w:rPr>
          <w:kern w:val="24"/>
        </w:rPr>
        <w:t>T</w:t>
      </w:r>
      <w:r>
        <w:rPr>
          <w:kern w:val="24"/>
        </w:rPr>
        <w:t>时段内的运行时间，</w:t>
      </w:r>
      <w:r>
        <w:rPr>
          <w:kern w:val="24"/>
        </w:rPr>
        <w:t>s</w:t>
      </w:r>
      <w:r>
        <w:rPr>
          <w:kern w:val="24"/>
        </w:rPr>
        <w:t>。</w:t>
      </w:r>
    </w:p>
    <w:p w14:paraId="721E4072" w14:textId="77777777" w:rsidR="003E78AB" w:rsidRDefault="00010BF9">
      <w:pPr>
        <w:spacing w:line="460" w:lineRule="exact"/>
        <w:ind w:firstLine="480"/>
        <w:rPr>
          <w:kern w:val="24"/>
        </w:rPr>
      </w:pPr>
      <w:r>
        <w:rPr>
          <w:kern w:val="24"/>
        </w:rPr>
        <w:t>预测点的预测等效声级（</w:t>
      </w:r>
      <w:r>
        <w:rPr>
          <w:kern w:val="24"/>
        </w:rPr>
        <w:t>Leq</w:t>
      </w:r>
      <w:r>
        <w:rPr>
          <w:kern w:val="24"/>
        </w:rPr>
        <w:t>）计算公式：</w:t>
      </w:r>
    </w:p>
    <w:p w14:paraId="0D9B504D" w14:textId="77777777" w:rsidR="003E78AB" w:rsidRDefault="003E78AB">
      <w:pPr>
        <w:spacing w:line="460" w:lineRule="exact"/>
        <w:ind w:firstLine="480"/>
        <w:rPr>
          <w:kern w:val="24"/>
        </w:rPr>
      </w:pPr>
    </w:p>
    <w:p w14:paraId="1A644941" w14:textId="77777777" w:rsidR="003E78AB" w:rsidRDefault="00010BF9">
      <w:pPr>
        <w:spacing w:line="460" w:lineRule="exact"/>
        <w:ind w:firstLine="480"/>
        <w:rPr>
          <w:kern w:val="24"/>
        </w:rPr>
      </w:pPr>
      <m:oMathPara>
        <m:oMath>
          <m:sSub>
            <m:sSubPr>
              <m:ctrlPr>
                <w:rPr>
                  <w:rFonts w:ascii="Cambria Math" w:hAnsi="Cambria Math"/>
                  <w:kern w:val="24"/>
                </w:rPr>
              </m:ctrlPr>
            </m:sSubPr>
            <m:e>
              <m:r>
                <w:rPr>
                  <w:rFonts w:ascii="Cambria Math" w:hAnsi="Cambria Math"/>
                  <w:kern w:val="24"/>
                </w:rPr>
                <m:t>L</m:t>
              </m:r>
            </m:e>
            <m:sub>
              <m:r>
                <w:rPr>
                  <w:rFonts w:ascii="Cambria Math" w:hAnsi="Cambria Math"/>
                  <w:kern w:val="24"/>
                </w:rPr>
                <m:t>eq</m:t>
              </m:r>
            </m:sub>
          </m:sSub>
          <m:r>
            <w:rPr>
              <w:rFonts w:ascii="Cambria Math" w:hAnsi="Cambria Math"/>
              <w:kern w:val="24"/>
            </w:rPr>
            <m:t>=10</m:t>
          </m:r>
          <m:r>
            <m:rPr>
              <m:sty m:val="p"/>
            </m:rPr>
            <w:rPr>
              <w:rFonts w:ascii="Cambria Math" w:hAnsi="Cambria Math"/>
              <w:kern w:val="24"/>
            </w:rPr>
            <m:t>lg⁡</m:t>
          </m:r>
          <m:d>
            <m:dPr>
              <m:ctrlPr>
                <w:rPr>
                  <w:rFonts w:ascii="Cambria Math" w:hAnsi="Cambria Math"/>
                  <w:i/>
                  <w:kern w:val="24"/>
                </w:rPr>
              </m:ctrlPr>
            </m:dPr>
            <m:e>
              <m:sSup>
                <m:sSupPr>
                  <m:ctrlPr>
                    <w:rPr>
                      <w:rFonts w:ascii="Cambria Math" w:hAnsi="Cambria Math"/>
                      <w:i/>
                      <w:kern w:val="24"/>
                    </w:rPr>
                  </m:ctrlPr>
                </m:sSupPr>
                <m:e>
                  <m:r>
                    <w:rPr>
                      <w:rFonts w:ascii="Cambria Math" w:hAnsi="Cambria Math"/>
                      <w:kern w:val="24"/>
                    </w:rPr>
                    <m:t>10</m:t>
                  </m:r>
                </m:e>
                <m:sup>
                  <m:r>
                    <w:rPr>
                      <w:rFonts w:ascii="Cambria Math" w:hAnsi="Cambria Math"/>
                      <w:kern w:val="24"/>
                    </w:rPr>
                    <m:t>0.1</m:t>
                  </m:r>
                  <m:sSub>
                    <m:sSubPr>
                      <m:ctrlPr>
                        <w:rPr>
                          <w:rFonts w:ascii="Cambria Math" w:hAnsi="Cambria Math"/>
                          <w:i/>
                          <w:kern w:val="24"/>
                        </w:rPr>
                      </m:ctrlPr>
                    </m:sSubPr>
                    <m:e>
                      <m:r>
                        <w:rPr>
                          <w:rFonts w:ascii="Cambria Math" w:hAnsi="Cambria Math"/>
                          <w:kern w:val="24"/>
                        </w:rPr>
                        <m:t>L</m:t>
                      </m:r>
                    </m:e>
                    <m:sub>
                      <m:r>
                        <w:rPr>
                          <w:rFonts w:ascii="Cambria Math" w:hAnsi="Cambria Math"/>
                          <w:kern w:val="24"/>
                        </w:rPr>
                        <m:t>eqg</m:t>
                      </m:r>
                    </m:sub>
                  </m:sSub>
                </m:sup>
              </m:sSup>
              <m:r>
                <w:rPr>
                  <w:rFonts w:ascii="Cambria Math" w:hAnsi="Cambria Math"/>
                  <w:kern w:val="24"/>
                </w:rPr>
                <m:t>+</m:t>
              </m:r>
              <m:sSup>
                <m:sSupPr>
                  <m:ctrlPr>
                    <w:rPr>
                      <w:rFonts w:ascii="Cambria Math" w:hAnsi="Cambria Math"/>
                      <w:i/>
                      <w:kern w:val="24"/>
                    </w:rPr>
                  </m:ctrlPr>
                </m:sSupPr>
                <m:e>
                  <m:r>
                    <w:rPr>
                      <w:rFonts w:ascii="Cambria Math" w:hAnsi="Cambria Math"/>
                      <w:kern w:val="24"/>
                    </w:rPr>
                    <m:t>10</m:t>
                  </m:r>
                </m:e>
                <m:sup>
                  <m:r>
                    <w:rPr>
                      <w:rFonts w:ascii="Cambria Math" w:hAnsi="Cambria Math"/>
                      <w:kern w:val="24"/>
                    </w:rPr>
                    <m:t>0.1</m:t>
                  </m:r>
                  <m:sSub>
                    <m:sSubPr>
                      <m:ctrlPr>
                        <w:rPr>
                          <w:rFonts w:ascii="Cambria Math" w:hAnsi="Cambria Math"/>
                          <w:i/>
                          <w:kern w:val="24"/>
                        </w:rPr>
                      </m:ctrlPr>
                    </m:sSubPr>
                    <m:e>
                      <m:r>
                        <w:rPr>
                          <w:rFonts w:ascii="Cambria Math" w:hAnsi="Cambria Math"/>
                          <w:kern w:val="24"/>
                        </w:rPr>
                        <m:t>L</m:t>
                      </m:r>
                    </m:e>
                    <m:sub>
                      <m:r>
                        <w:rPr>
                          <w:rFonts w:ascii="Cambria Math" w:hAnsi="Cambria Math"/>
                          <w:kern w:val="24"/>
                        </w:rPr>
                        <m:t>eqb</m:t>
                      </m:r>
                    </m:sub>
                  </m:sSub>
                </m:sup>
              </m:sSup>
            </m:e>
          </m:d>
        </m:oMath>
      </m:oMathPara>
    </w:p>
    <w:p w14:paraId="69796C20" w14:textId="77777777" w:rsidR="003E78AB" w:rsidRDefault="00010BF9">
      <w:pPr>
        <w:spacing w:line="460" w:lineRule="exact"/>
        <w:ind w:firstLine="480"/>
        <w:rPr>
          <w:kern w:val="24"/>
        </w:rPr>
      </w:pPr>
      <w:r>
        <w:rPr>
          <w:kern w:val="24"/>
        </w:rPr>
        <w:t>式中：</w:t>
      </w:r>
    </w:p>
    <w:p w14:paraId="7235E788" w14:textId="77777777" w:rsidR="003E78AB" w:rsidRDefault="00010BF9">
      <w:pPr>
        <w:spacing w:line="460" w:lineRule="exact"/>
        <w:ind w:firstLineChars="600" w:firstLine="1440"/>
        <w:rPr>
          <w:kern w:val="24"/>
        </w:rPr>
      </w:pPr>
      <w:r>
        <w:rPr>
          <w:i/>
          <w:kern w:val="24"/>
        </w:rPr>
        <w:t>L</w:t>
      </w:r>
      <w:r>
        <w:rPr>
          <w:i/>
          <w:kern w:val="24"/>
          <w:vertAlign w:val="subscript"/>
        </w:rPr>
        <w:t>eqg</w:t>
      </w:r>
      <w:r>
        <w:rPr>
          <w:kern w:val="24"/>
        </w:rPr>
        <w:t>－建设项目声源在预测点的等效声级贡献值，</w:t>
      </w:r>
      <w:r>
        <w:rPr>
          <w:kern w:val="24"/>
        </w:rPr>
        <w:t>dB(A)</w:t>
      </w:r>
      <w:r>
        <w:rPr>
          <w:kern w:val="24"/>
        </w:rPr>
        <w:t>；</w:t>
      </w:r>
    </w:p>
    <w:p w14:paraId="1900396E" w14:textId="77777777" w:rsidR="003E78AB" w:rsidRDefault="00010BF9">
      <w:pPr>
        <w:spacing w:line="460" w:lineRule="exact"/>
        <w:ind w:firstLineChars="600" w:firstLine="1440"/>
        <w:rPr>
          <w:kern w:val="24"/>
        </w:rPr>
      </w:pPr>
      <w:r>
        <w:rPr>
          <w:i/>
          <w:kern w:val="24"/>
        </w:rPr>
        <w:t>L</w:t>
      </w:r>
      <w:r>
        <w:rPr>
          <w:i/>
          <w:kern w:val="24"/>
          <w:vertAlign w:val="subscript"/>
        </w:rPr>
        <w:t>eqb</w:t>
      </w:r>
      <w:r>
        <w:rPr>
          <w:kern w:val="24"/>
        </w:rPr>
        <w:t>－预测点的背景值，</w:t>
      </w:r>
      <w:r>
        <w:rPr>
          <w:kern w:val="24"/>
        </w:rPr>
        <w:t>dB(A)</w:t>
      </w:r>
      <w:r>
        <w:rPr>
          <w:kern w:val="24"/>
        </w:rPr>
        <w:t>。</w:t>
      </w:r>
    </w:p>
    <w:p w14:paraId="38A7EF8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5.1.3.3</w:t>
      </w:r>
      <w:r>
        <w:rPr>
          <w:rFonts w:ascii="Times New Roman" w:hAnsi="Times New Roman"/>
        </w:rPr>
        <w:t>预测结果</w:t>
      </w:r>
    </w:p>
    <w:p w14:paraId="1D9CDB39" w14:textId="77777777" w:rsidR="003E78AB" w:rsidRDefault="00010BF9">
      <w:pPr>
        <w:spacing w:line="460" w:lineRule="exact"/>
        <w:ind w:firstLine="480"/>
        <w:rPr>
          <w:kern w:val="24"/>
        </w:rPr>
      </w:pPr>
      <w:r>
        <w:rPr>
          <w:kern w:val="24"/>
        </w:rPr>
        <w:t>将施工中使用较频繁的几种主要机械设备的噪声值分别代入前述预测模式进行计算，预测单台机械设备的噪声衰减情况见</w:t>
      </w:r>
      <w:r>
        <w:rPr>
          <w:kern w:val="24"/>
        </w:rPr>
        <w:fldChar w:fldCharType="begin"/>
      </w:r>
      <w:r>
        <w:rPr>
          <w:kern w:val="24"/>
        </w:rPr>
        <w:instrText xml:space="preserve"> REF _Ref8439 \r \h </w:instrText>
      </w:r>
      <w:r>
        <w:rPr>
          <w:kern w:val="24"/>
        </w:rPr>
      </w:r>
      <w:r>
        <w:rPr>
          <w:kern w:val="24"/>
        </w:rPr>
        <w:fldChar w:fldCharType="separate"/>
      </w:r>
      <w:r>
        <w:rPr>
          <w:kern w:val="24"/>
        </w:rPr>
        <w:t>表</w:t>
      </w:r>
      <w:r>
        <w:rPr>
          <w:kern w:val="24"/>
        </w:rPr>
        <w:t>5-2</w:t>
      </w:r>
      <w:r>
        <w:rPr>
          <w:kern w:val="24"/>
        </w:rPr>
        <w:fldChar w:fldCharType="end"/>
      </w:r>
      <w:r>
        <w:rPr>
          <w:kern w:val="24"/>
        </w:rPr>
        <w:t>。现场施工时具体投入多少台机械设备很难预测。本次评价假设有</w:t>
      </w:r>
      <w:r>
        <w:rPr>
          <w:kern w:val="24"/>
        </w:rPr>
        <w:t>3</w:t>
      </w:r>
      <w:r>
        <w:rPr>
          <w:kern w:val="24"/>
        </w:rPr>
        <w:t>台设备同时使用，将所产生的噪声叠加后预测对某个距离的总声压级，预测情况见</w:t>
      </w:r>
      <w:r>
        <w:rPr>
          <w:kern w:val="24"/>
        </w:rPr>
        <w:fldChar w:fldCharType="begin"/>
      </w:r>
      <w:r>
        <w:rPr>
          <w:kern w:val="24"/>
        </w:rPr>
        <w:instrText xml:space="preserve"> REF _Ref84</w:instrText>
      </w:r>
      <w:r>
        <w:rPr>
          <w:kern w:val="24"/>
        </w:rPr>
        <w:instrText xml:space="preserve">65 \r \h </w:instrText>
      </w:r>
      <w:r>
        <w:rPr>
          <w:kern w:val="24"/>
        </w:rPr>
      </w:r>
      <w:r>
        <w:rPr>
          <w:kern w:val="24"/>
        </w:rPr>
        <w:fldChar w:fldCharType="separate"/>
      </w:r>
      <w:r>
        <w:rPr>
          <w:kern w:val="24"/>
        </w:rPr>
        <w:t>表</w:t>
      </w:r>
      <w:r>
        <w:rPr>
          <w:kern w:val="24"/>
        </w:rPr>
        <w:t>5-3</w:t>
      </w:r>
      <w:r>
        <w:rPr>
          <w:kern w:val="24"/>
        </w:rPr>
        <w:fldChar w:fldCharType="end"/>
      </w:r>
      <w:r>
        <w:rPr>
          <w:kern w:val="24"/>
        </w:rPr>
        <w:t>。</w:t>
      </w:r>
    </w:p>
    <w:p w14:paraId="2592D0A2" w14:textId="77777777" w:rsidR="003E78AB" w:rsidRDefault="00010BF9">
      <w:pPr>
        <w:pStyle w:val="a4"/>
        <w:spacing w:before="120"/>
        <w:ind w:left="425" w:hanging="425"/>
        <w:jc w:val="right"/>
      </w:pPr>
      <w:bookmarkStart w:id="346" w:name="_Ref8439"/>
      <w:r>
        <w:t>单台机械设备的噪声预测值</w:t>
      </w:r>
      <w:r>
        <w:rPr>
          <w:rFonts w:hint="eastAsia"/>
        </w:rPr>
        <w:t xml:space="preserve">       </w:t>
      </w:r>
      <w:r>
        <w:rPr>
          <w:rFonts w:hint="eastAsia"/>
        </w:rPr>
        <w:t>单位：</w:t>
      </w:r>
      <w:r>
        <w:t>dB(A)</w:t>
      </w:r>
      <w:bookmarkEnd w:id="346"/>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0"/>
        <w:gridCol w:w="661"/>
        <w:gridCol w:w="745"/>
        <w:gridCol w:w="747"/>
        <w:gridCol w:w="745"/>
        <w:gridCol w:w="745"/>
        <w:gridCol w:w="747"/>
        <w:gridCol w:w="754"/>
        <w:gridCol w:w="718"/>
        <w:gridCol w:w="740"/>
      </w:tblGrid>
      <w:tr w:rsidR="003E78AB" w14:paraId="3A9824BD" w14:textId="77777777">
        <w:trPr>
          <w:trHeight w:val="340"/>
          <w:jc w:val="center"/>
        </w:trPr>
        <w:tc>
          <w:tcPr>
            <w:tcW w:w="1820" w:type="dxa"/>
            <w:vAlign w:val="center"/>
          </w:tcPr>
          <w:p w14:paraId="0C5A8FCD" w14:textId="77777777" w:rsidR="003E78AB" w:rsidRDefault="00010BF9">
            <w:pPr>
              <w:pStyle w:val="aff6"/>
              <w:topLinePunct/>
              <w:rPr>
                <w:b/>
                <w:bCs/>
              </w:rPr>
            </w:pPr>
            <w:r>
              <w:rPr>
                <w:b/>
                <w:bCs/>
              </w:rPr>
              <w:t>机械类型</w:t>
            </w:r>
          </w:p>
        </w:tc>
        <w:tc>
          <w:tcPr>
            <w:tcW w:w="661" w:type="dxa"/>
            <w:vAlign w:val="center"/>
          </w:tcPr>
          <w:p w14:paraId="094B60C0" w14:textId="77777777" w:rsidR="003E78AB" w:rsidRDefault="00010BF9">
            <w:pPr>
              <w:pStyle w:val="aff6"/>
              <w:topLinePunct/>
              <w:rPr>
                <w:b/>
                <w:bCs/>
              </w:rPr>
            </w:pPr>
            <w:r>
              <w:rPr>
                <w:b/>
                <w:bCs/>
              </w:rPr>
              <w:t>5m</w:t>
            </w:r>
          </w:p>
        </w:tc>
        <w:tc>
          <w:tcPr>
            <w:tcW w:w="745" w:type="dxa"/>
            <w:vAlign w:val="center"/>
          </w:tcPr>
          <w:p w14:paraId="2BCB5ED9" w14:textId="77777777" w:rsidR="003E78AB" w:rsidRDefault="00010BF9">
            <w:pPr>
              <w:pStyle w:val="aff6"/>
              <w:topLinePunct/>
              <w:rPr>
                <w:b/>
                <w:bCs/>
              </w:rPr>
            </w:pPr>
            <w:r>
              <w:rPr>
                <w:b/>
                <w:bCs/>
              </w:rPr>
              <w:t>10m</w:t>
            </w:r>
          </w:p>
        </w:tc>
        <w:tc>
          <w:tcPr>
            <w:tcW w:w="747" w:type="dxa"/>
            <w:vAlign w:val="center"/>
          </w:tcPr>
          <w:p w14:paraId="34026E0B" w14:textId="77777777" w:rsidR="003E78AB" w:rsidRDefault="00010BF9">
            <w:pPr>
              <w:pStyle w:val="aff6"/>
              <w:topLinePunct/>
              <w:rPr>
                <w:b/>
                <w:bCs/>
              </w:rPr>
            </w:pPr>
            <w:r>
              <w:rPr>
                <w:b/>
                <w:bCs/>
              </w:rPr>
              <w:t>20m</w:t>
            </w:r>
          </w:p>
        </w:tc>
        <w:tc>
          <w:tcPr>
            <w:tcW w:w="745" w:type="dxa"/>
            <w:vAlign w:val="center"/>
          </w:tcPr>
          <w:p w14:paraId="5C447336" w14:textId="77777777" w:rsidR="003E78AB" w:rsidRDefault="00010BF9">
            <w:pPr>
              <w:pStyle w:val="aff6"/>
              <w:topLinePunct/>
              <w:rPr>
                <w:b/>
                <w:bCs/>
              </w:rPr>
            </w:pPr>
            <w:r>
              <w:rPr>
                <w:b/>
                <w:bCs/>
              </w:rPr>
              <w:t>40m</w:t>
            </w:r>
          </w:p>
        </w:tc>
        <w:tc>
          <w:tcPr>
            <w:tcW w:w="745" w:type="dxa"/>
            <w:vAlign w:val="center"/>
          </w:tcPr>
          <w:p w14:paraId="4904C8F1" w14:textId="77777777" w:rsidR="003E78AB" w:rsidRDefault="00010BF9">
            <w:pPr>
              <w:pStyle w:val="aff6"/>
              <w:topLinePunct/>
              <w:rPr>
                <w:b/>
                <w:bCs/>
              </w:rPr>
            </w:pPr>
            <w:r>
              <w:rPr>
                <w:b/>
                <w:bCs/>
              </w:rPr>
              <w:t>60m</w:t>
            </w:r>
          </w:p>
        </w:tc>
        <w:tc>
          <w:tcPr>
            <w:tcW w:w="747" w:type="dxa"/>
            <w:vAlign w:val="center"/>
          </w:tcPr>
          <w:p w14:paraId="579D95B9" w14:textId="77777777" w:rsidR="003E78AB" w:rsidRDefault="00010BF9">
            <w:pPr>
              <w:pStyle w:val="aff6"/>
              <w:topLinePunct/>
              <w:rPr>
                <w:b/>
                <w:bCs/>
              </w:rPr>
            </w:pPr>
            <w:r>
              <w:rPr>
                <w:b/>
                <w:bCs/>
              </w:rPr>
              <w:t>80m</w:t>
            </w:r>
          </w:p>
        </w:tc>
        <w:tc>
          <w:tcPr>
            <w:tcW w:w="754" w:type="dxa"/>
            <w:vAlign w:val="center"/>
          </w:tcPr>
          <w:p w14:paraId="5385C1AF" w14:textId="77777777" w:rsidR="003E78AB" w:rsidRDefault="00010BF9">
            <w:pPr>
              <w:pStyle w:val="aff6"/>
              <w:topLinePunct/>
              <w:rPr>
                <w:b/>
                <w:bCs/>
              </w:rPr>
            </w:pPr>
            <w:r>
              <w:rPr>
                <w:b/>
                <w:bCs/>
              </w:rPr>
              <w:t>100m</w:t>
            </w:r>
          </w:p>
        </w:tc>
        <w:tc>
          <w:tcPr>
            <w:tcW w:w="718" w:type="dxa"/>
            <w:vAlign w:val="center"/>
          </w:tcPr>
          <w:p w14:paraId="4D642A7E" w14:textId="77777777" w:rsidR="003E78AB" w:rsidRDefault="00010BF9">
            <w:pPr>
              <w:pStyle w:val="aff6"/>
              <w:topLinePunct/>
              <w:rPr>
                <w:b/>
                <w:bCs/>
              </w:rPr>
            </w:pPr>
            <w:r>
              <w:rPr>
                <w:b/>
                <w:bCs/>
              </w:rPr>
              <w:t>150m</w:t>
            </w:r>
          </w:p>
        </w:tc>
        <w:tc>
          <w:tcPr>
            <w:tcW w:w="740" w:type="dxa"/>
            <w:vAlign w:val="center"/>
          </w:tcPr>
          <w:p w14:paraId="16BF0E66" w14:textId="77777777" w:rsidR="003E78AB" w:rsidRDefault="00010BF9">
            <w:pPr>
              <w:pStyle w:val="aff6"/>
              <w:topLinePunct/>
              <w:rPr>
                <w:b/>
                <w:bCs/>
              </w:rPr>
            </w:pPr>
            <w:r>
              <w:rPr>
                <w:b/>
                <w:bCs/>
              </w:rPr>
              <w:t>200m</w:t>
            </w:r>
          </w:p>
        </w:tc>
      </w:tr>
      <w:tr w:rsidR="003E78AB" w14:paraId="788E091A" w14:textId="77777777">
        <w:trPr>
          <w:trHeight w:val="340"/>
          <w:jc w:val="center"/>
        </w:trPr>
        <w:tc>
          <w:tcPr>
            <w:tcW w:w="1820" w:type="dxa"/>
            <w:vAlign w:val="center"/>
          </w:tcPr>
          <w:p w14:paraId="79C63DA6" w14:textId="77777777" w:rsidR="003E78AB" w:rsidRDefault="00010BF9">
            <w:pPr>
              <w:pStyle w:val="aff6"/>
              <w:topLinePunct/>
            </w:pPr>
            <w:r>
              <w:t>起重机</w:t>
            </w:r>
          </w:p>
        </w:tc>
        <w:tc>
          <w:tcPr>
            <w:tcW w:w="661" w:type="dxa"/>
            <w:vAlign w:val="center"/>
          </w:tcPr>
          <w:p w14:paraId="45380516" w14:textId="77777777" w:rsidR="003E78AB" w:rsidRDefault="00010BF9">
            <w:pPr>
              <w:pStyle w:val="aff6"/>
              <w:topLinePunct/>
            </w:pPr>
            <w:r>
              <w:t>90</w:t>
            </w:r>
          </w:p>
        </w:tc>
        <w:tc>
          <w:tcPr>
            <w:tcW w:w="745" w:type="dxa"/>
            <w:vAlign w:val="center"/>
          </w:tcPr>
          <w:p w14:paraId="1127F988" w14:textId="77777777" w:rsidR="003E78AB" w:rsidRDefault="00010BF9">
            <w:pPr>
              <w:pStyle w:val="aff6"/>
              <w:topLinePunct/>
            </w:pPr>
            <w:r>
              <w:t>84</w:t>
            </w:r>
          </w:p>
        </w:tc>
        <w:tc>
          <w:tcPr>
            <w:tcW w:w="747" w:type="dxa"/>
            <w:vAlign w:val="center"/>
          </w:tcPr>
          <w:p w14:paraId="459C9665" w14:textId="77777777" w:rsidR="003E78AB" w:rsidRDefault="00010BF9">
            <w:pPr>
              <w:pStyle w:val="aff6"/>
              <w:topLinePunct/>
            </w:pPr>
            <w:r>
              <w:t>78</w:t>
            </w:r>
          </w:p>
        </w:tc>
        <w:tc>
          <w:tcPr>
            <w:tcW w:w="745" w:type="dxa"/>
            <w:vAlign w:val="center"/>
          </w:tcPr>
          <w:p w14:paraId="23427F2E" w14:textId="77777777" w:rsidR="003E78AB" w:rsidRDefault="00010BF9">
            <w:pPr>
              <w:pStyle w:val="aff6"/>
              <w:topLinePunct/>
            </w:pPr>
            <w:r>
              <w:t>72</w:t>
            </w:r>
          </w:p>
        </w:tc>
        <w:tc>
          <w:tcPr>
            <w:tcW w:w="745" w:type="dxa"/>
            <w:vAlign w:val="center"/>
          </w:tcPr>
          <w:p w14:paraId="4915BD0F" w14:textId="77777777" w:rsidR="003E78AB" w:rsidRDefault="00010BF9">
            <w:pPr>
              <w:pStyle w:val="aff6"/>
              <w:topLinePunct/>
            </w:pPr>
            <w:r>
              <w:t>68.5</w:t>
            </w:r>
          </w:p>
        </w:tc>
        <w:tc>
          <w:tcPr>
            <w:tcW w:w="747" w:type="dxa"/>
            <w:vAlign w:val="center"/>
          </w:tcPr>
          <w:p w14:paraId="6202CEE0" w14:textId="77777777" w:rsidR="003E78AB" w:rsidRDefault="00010BF9">
            <w:pPr>
              <w:pStyle w:val="aff6"/>
              <w:topLinePunct/>
            </w:pPr>
            <w:r>
              <w:t>66</w:t>
            </w:r>
          </w:p>
        </w:tc>
        <w:tc>
          <w:tcPr>
            <w:tcW w:w="754" w:type="dxa"/>
            <w:vAlign w:val="center"/>
          </w:tcPr>
          <w:p w14:paraId="20C74CD5" w14:textId="77777777" w:rsidR="003E78AB" w:rsidRDefault="00010BF9">
            <w:pPr>
              <w:pStyle w:val="aff6"/>
              <w:topLinePunct/>
            </w:pPr>
            <w:r>
              <w:t>64.1</w:t>
            </w:r>
          </w:p>
        </w:tc>
        <w:tc>
          <w:tcPr>
            <w:tcW w:w="718" w:type="dxa"/>
            <w:vAlign w:val="center"/>
          </w:tcPr>
          <w:p w14:paraId="18DB389C" w14:textId="77777777" w:rsidR="003E78AB" w:rsidRDefault="00010BF9">
            <w:pPr>
              <w:pStyle w:val="aff6"/>
              <w:topLinePunct/>
            </w:pPr>
            <w:r>
              <w:t>60.6</w:t>
            </w:r>
          </w:p>
        </w:tc>
        <w:tc>
          <w:tcPr>
            <w:tcW w:w="740" w:type="dxa"/>
            <w:vAlign w:val="center"/>
          </w:tcPr>
          <w:p w14:paraId="2D17791D" w14:textId="77777777" w:rsidR="003E78AB" w:rsidRDefault="00010BF9">
            <w:pPr>
              <w:pStyle w:val="aff6"/>
              <w:topLinePunct/>
            </w:pPr>
            <w:r>
              <w:t>58.1</w:t>
            </w:r>
          </w:p>
        </w:tc>
      </w:tr>
      <w:tr w:rsidR="003E78AB" w14:paraId="7FD14F1A" w14:textId="77777777">
        <w:trPr>
          <w:trHeight w:val="340"/>
          <w:jc w:val="center"/>
        </w:trPr>
        <w:tc>
          <w:tcPr>
            <w:tcW w:w="1820" w:type="dxa"/>
            <w:vAlign w:val="center"/>
          </w:tcPr>
          <w:p w14:paraId="7C0013CB" w14:textId="77777777" w:rsidR="003E78AB" w:rsidRDefault="00010BF9">
            <w:pPr>
              <w:pStyle w:val="aff6"/>
              <w:topLinePunct/>
            </w:pPr>
            <w:r>
              <w:t>振捣棒</w:t>
            </w:r>
          </w:p>
        </w:tc>
        <w:tc>
          <w:tcPr>
            <w:tcW w:w="661" w:type="dxa"/>
            <w:vAlign w:val="center"/>
          </w:tcPr>
          <w:p w14:paraId="2A043B93" w14:textId="77777777" w:rsidR="003E78AB" w:rsidRDefault="00010BF9">
            <w:pPr>
              <w:pStyle w:val="aff6"/>
              <w:topLinePunct/>
            </w:pPr>
            <w:r>
              <w:t>89</w:t>
            </w:r>
          </w:p>
        </w:tc>
        <w:tc>
          <w:tcPr>
            <w:tcW w:w="745" w:type="dxa"/>
            <w:vAlign w:val="center"/>
          </w:tcPr>
          <w:p w14:paraId="7F6E2E5F" w14:textId="77777777" w:rsidR="003E78AB" w:rsidRDefault="00010BF9">
            <w:pPr>
              <w:pStyle w:val="aff6"/>
              <w:topLinePunct/>
            </w:pPr>
            <w:r>
              <w:t>83</w:t>
            </w:r>
          </w:p>
        </w:tc>
        <w:tc>
          <w:tcPr>
            <w:tcW w:w="747" w:type="dxa"/>
            <w:vAlign w:val="center"/>
          </w:tcPr>
          <w:p w14:paraId="40F5E6A7" w14:textId="77777777" w:rsidR="003E78AB" w:rsidRDefault="00010BF9">
            <w:pPr>
              <w:pStyle w:val="aff6"/>
              <w:topLinePunct/>
            </w:pPr>
            <w:r>
              <w:t>77</w:t>
            </w:r>
          </w:p>
        </w:tc>
        <w:tc>
          <w:tcPr>
            <w:tcW w:w="745" w:type="dxa"/>
            <w:vAlign w:val="center"/>
          </w:tcPr>
          <w:p w14:paraId="349E5D20" w14:textId="77777777" w:rsidR="003E78AB" w:rsidRDefault="00010BF9">
            <w:pPr>
              <w:pStyle w:val="aff6"/>
              <w:topLinePunct/>
            </w:pPr>
            <w:r>
              <w:t>71</w:t>
            </w:r>
          </w:p>
        </w:tc>
        <w:tc>
          <w:tcPr>
            <w:tcW w:w="745" w:type="dxa"/>
            <w:vAlign w:val="center"/>
          </w:tcPr>
          <w:p w14:paraId="3A6760E7" w14:textId="77777777" w:rsidR="003E78AB" w:rsidRDefault="00010BF9">
            <w:pPr>
              <w:pStyle w:val="aff6"/>
              <w:topLinePunct/>
            </w:pPr>
            <w:r>
              <w:t>67.5</w:t>
            </w:r>
          </w:p>
        </w:tc>
        <w:tc>
          <w:tcPr>
            <w:tcW w:w="747" w:type="dxa"/>
            <w:vAlign w:val="center"/>
          </w:tcPr>
          <w:p w14:paraId="2AFD5450" w14:textId="77777777" w:rsidR="003E78AB" w:rsidRDefault="00010BF9">
            <w:pPr>
              <w:pStyle w:val="aff6"/>
              <w:topLinePunct/>
            </w:pPr>
            <w:r>
              <w:t>65</w:t>
            </w:r>
          </w:p>
        </w:tc>
        <w:tc>
          <w:tcPr>
            <w:tcW w:w="754" w:type="dxa"/>
            <w:vAlign w:val="center"/>
          </w:tcPr>
          <w:p w14:paraId="53984519" w14:textId="77777777" w:rsidR="003E78AB" w:rsidRDefault="00010BF9">
            <w:pPr>
              <w:pStyle w:val="aff6"/>
              <w:topLinePunct/>
            </w:pPr>
            <w:r>
              <w:t>63.1</w:t>
            </w:r>
          </w:p>
        </w:tc>
        <w:tc>
          <w:tcPr>
            <w:tcW w:w="718" w:type="dxa"/>
            <w:vAlign w:val="center"/>
          </w:tcPr>
          <w:p w14:paraId="139FA73A" w14:textId="77777777" w:rsidR="003E78AB" w:rsidRDefault="00010BF9">
            <w:pPr>
              <w:pStyle w:val="aff6"/>
              <w:topLinePunct/>
            </w:pPr>
            <w:r>
              <w:t>59.6</w:t>
            </w:r>
          </w:p>
        </w:tc>
        <w:tc>
          <w:tcPr>
            <w:tcW w:w="740" w:type="dxa"/>
            <w:vAlign w:val="center"/>
          </w:tcPr>
          <w:p w14:paraId="6EDF190F" w14:textId="77777777" w:rsidR="003E78AB" w:rsidRDefault="00010BF9">
            <w:pPr>
              <w:pStyle w:val="aff6"/>
              <w:topLinePunct/>
            </w:pPr>
            <w:r>
              <w:t>57.1</w:t>
            </w:r>
          </w:p>
        </w:tc>
      </w:tr>
      <w:tr w:rsidR="003E78AB" w14:paraId="4FE96399" w14:textId="77777777">
        <w:trPr>
          <w:trHeight w:val="340"/>
          <w:jc w:val="center"/>
        </w:trPr>
        <w:tc>
          <w:tcPr>
            <w:tcW w:w="1820" w:type="dxa"/>
            <w:vAlign w:val="center"/>
          </w:tcPr>
          <w:p w14:paraId="1BD4A5FD" w14:textId="77777777" w:rsidR="003E78AB" w:rsidRDefault="00010BF9">
            <w:pPr>
              <w:pStyle w:val="aff6"/>
              <w:topLinePunct/>
            </w:pPr>
            <w:r>
              <w:t>电锯</w:t>
            </w:r>
          </w:p>
        </w:tc>
        <w:tc>
          <w:tcPr>
            <w:tcW w:w="661" w:type="dxa"/>
            <w:vAlign w:val="center"/>
          </w:tcPr>
          <w:p w14:paraId="47F09308" w14:textId="77777777" w:rsidR="003E78AB" w:rsidRDefault="00010BF9">
            <w:pPr>
              <w:pStyle w:val="aff6"/>
              <w:topLinePunct/>
            </w:pPr>
            <w:r>
              <w:t>96</w:t>
            </w:r>
          </w:p>
        </w:tc>
        <w:tc>
          <w:tcPr>
            <w:tcW w:w="745" w:type="dxa"/>
            <w:vAlign w:val="center"/>
          </w:tcPr>
          <w:p w14:paraId="7345759E" w14:textId="77777777" w:rsidR="003E78AB" w:rsidRDefault="00010BF9">
            <w:pPr>
              <w:pStyle w:val="aff6"/>
              <w:topLinePunct/>
            </w:pPr>
            <w:r>
              <w:t>90</w:t>
            </w:r>
          </w:p>
        </w:tc>
        <w:tc>
          <w:tcPr>
            <w:tcW w:w="747" w:type="dxa"/>
            <w:vAlign w:val="center"/>
          </w:tcPr>
          <w:p w14:paraId="4ABE14D3" w14:textId="77777777" w:rsidR="003E78AB" w:rsidRDefault="00010BF9">
            <w:pPr>
              <w:pStyle w:val="aff6"/>
              <w:topLinePunct/>
            </w:pPr>
            <w:r>
              <w:t>84</w:t>
            </w:r>
          </w:p>
        </w:tc>
        <w:tc>
          <w:tcPr>
            <w:tcW w:w="745" w:type="dxa"/>
            <w:vAlign w:val="center"/>
          </w:tcPr>
          <w:p w14:paraId="7931C82D" w14:textId="77777777" w:rsidR="003E78AB" w:rsidRDefault="00010BF9">
            <w:pPr>
              <w:pStyle w:val="aff6"/>
              <w:topLinePunct/>
            </w:pPr>
            <w:r>
              <w:t>78</w:t>
            </w:r>
          </w:p>
        </w:tc>
        <w:tc>
          <w:tcPr>
            <w:tcW w:w="745" w:type="dxa"/>
            <w:vAlign w:val="center"/>
          </w:tcPr>
          <w:p w14:paraId="05D96B46" w14:textId="77777777" w:rsidR="003E78AB" w:rsidRDefault="00010BF9">
            <w:pPr>
              <w:pStyle w:val="aff6"/>
              <w:topLinePunct/>
            </w:pPr>
            <w:r>
              <w:t>74.5</w:t>
            </w:r>
          </w:p>
        </w:tc>
        <w:tc>
          <w:tcPr>
            <w:tcW w:w="747" w:type="dxa"/>
            <w:vAlign w:val="center"/>
          </w:tcPr>
          <w:p w14:paraId="00F518E7" w14:textId="77777777" w:rsidR="003E78AB" w:rsidRDefault="00010BF9">
            <w:pPr>
              <w:pStyle w:val="aff6"/>
              <w:topLinePunct/>
            </w:pPr>
            <w:r>
              <w:t>72</w:t>
            </w:r>
          </w:p>
        </w:tc>
        <w:tc>
          <w:tcPr>
            <w:tcW w:w="754" w:type="dxa"/>
            <w:vAlign w:val="center"/>
          </w:tcPr>
          <w:p w14:paraId="55C8F96F" w14:textId="77777777" w:rsidR="003E78AB" w:rsidRDefault="00010BF9">
            <w:pPr>
              <w:pStyle w:val="aff6"/>
              <w:topLinePunct/>
            </w:pPr>
            <w:r>
              <w:t>70.1</w:t>
            </w:r>
          </w:p>
        </w:tc>
        <w:tc>
          <w:tcPr>
            <w:tcW w:w="718" w:type="dxa"/>
            <w:vAlign w:val="center"/>
          </w:tcPr>
          <w:p w14:paraId="1A15F4EA" w14:textId="77777777" w:rsidR="003E78AB" w:rsidRDefault="00010BF9">
            <w:pPr>
              <w:pStyle w:val="aff6"/>
              <w:topLinePunct/>
            </w:pPr>
            <w:r>
              <w:t>66.6</w:t>
            </w:r>
          </w:p>
        </w:tc>
        <w:tc>
          <w:tcPr>
            <w:tcW w:w="740" w:type="dxa"/>
            <w:vAlign w:val="center"/>
          </w:tcPr>
          <w:p w14:paraId="57616EED" w14:textId="77777777" w:rsidR="003E78AB" w:rsidRDefault="00010BF9">
            <w:pPr>
              <w:pStyle w:val="aff6"/>
              <w:topLinePunct/>
            </w:pPr>
            <w:r>
              <w:t>64.1</w:t>
            </w:r>
          </w:p>
        </w:tc>
      </w:tr>
    </w:tbl>
    <w:p w14:paraId="479EB4D5" w14:textId="77777777" w:rsidR="003E78AB" w:rsidRDefault="00010BF9">
      <w:pPr>
        <w:pStyle w:val="a4"/>
        <w:spacing w:before="120"/>
        <w:ind w:left="425" w:hanging="425"/>
        <w:jc w:val="right"/>
        <w:rPr>
          <w:bCs/>
        </w:rPr>
      </w:pPr>
      <w:bookmarkStart w:id="347" w:name="_Ref8465"/>
      <w:r>
        <w:t>多台机械设备同时运转的噪声预测值</w:t>
      </w:r>
      <w:r>
        <w:rPr>
          <w:rFonts w:hint="eastAsia"/>
        </w:rPr>
        <w:t xml:space="preserve">       </w:t>
      </w:r>
      <w:r>
        <w:rPr>
          <w:rFonts w:hint="eastAsia"/>
        </w:rPr>
        <w:t>单位：</w:t>
      </w:r>
      <w:r>
        <w:t>dB(A)</w:t>
      </w:r>
      <w:bookmarkEnd w:id="347"/>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843"/>
        <w:gridCol w:w="843"/>
        <w:gridCol w:w="843"/>
        <w:gridCol w:w="844"/>
        <w:gridCol w:w="844"/>
        <w:gridCol w:w="844"/>
        <w:gridCol w:w="844"/>
        <w:gridCol w:w="844"/>
        <w:gridCol w:w="844"/>
      </w:tblGrid>
      <w:tr w:rsidR="003E78AB" w14:paraId="35F70B58" w14:textId="77777777">
        <w:trPr>
          <w:trHeight w:val="340"/>
          <w:jc w:val="center"/>
        </w:trPr>
        <w:tc>
          <w:tcPr>
            <w:tcW w:w="843" w:type="dxa"/>
            <w:vAlign w:val="center"/>
          </w:tcPr>
          <w:p w14:paraId="2E8C1776" w14:textId="77777777" w:rsidR="003E78AB" w:rsidRDefault="00010BF9">
            <w:pPr>
              <w:pStyle w:val="aff6"/>
              <w:topLinePunct/>
              <w:rPr>
                <w:b/>
                <w:bCs/>
              </w:rPr>
            </w:pPr>
            <w:r>
              <w:rPr>
                <w:b/>
                <w:bCs/>
              </w:rPr>
              <w:t>距离</w:t>
            </w:r>
          </w:p>
        </w:tc>
        <w:tc>
          <w:tcPr>
            <w:tcW w:w="843" w:type="dxa"/>
            <w:vAlign w:val="center"/>
          </w:tcPr>
          <w:p w14:paraId="4F6CD9AA" w14:textId="77777777" w:rsidR="003E78AB" w:rsidRDefault="00010BF9">
            <w:pPr>
              <w:pStyle w:val="aff6"/>
              <w:topLinePunct/>
              <w:rPr>
                <w:b/>
                <w:bCs/>
              </w:rPr>
            </w:pPr>
            <w:r>
              <w:rPr>
                <w:b/>
                <w:bCs/>
              </w:rPr>
              <w:t>5m</w:t>
            </w:r>
          </w:p>
        </w:tc>
        <w:tc>
          <w:tcPr>
            <w:tcW w:w="843" w:type="dxa"/>
            <w:vAlign w:val="center"/>
          </w:tcPr>
          <w:p w14:paraId="1DE739C2" w14:textId="77777777" w:rsidR="003E78AB" w:rsidRDefault="00010BF9">
            <w:pPr>
              <w:pStyle w:val="aff6"/>
              <w:topLinePunct/>
              <w:rPr>
                <w:b/>
                <w:bCs/>
              </w:rPr>
            </w:pPr>
            <w:r>
              <w:rPr>
                <w:b/>
                <w:bCs/>
              </w:rPr>
              <w:t>10m</w:t>
            </w:r>
          </w:p>
        </w:tc>
        <w:tc>
          <w:tcPr>
            <w:tcW w:w="843" w:type="dxa"/>
            <w:vAlign w:val="center"/>
          </w:tcPr>
          <w:p w14:paraId="4A9F89A3" w14:textId="77777777" w:rsidR="003E78AB" w:rsidRDefault="00010BF9">
            <w:pPr>
              <w:pStyle w:val="aff6"/>
              <w:topLinePunct/>
              <w:rPr>
                <w:b/>
                <w:bCs/>
              </w:rPr>
            </w:pPr>
            <w:r>
              <w:rPr>
                <w:b/>
                <w:bCs/>
              </w:rPr>
              <w:t>20m</w:t>
            </w:r>
          </w:p>
        </w:tc>
        <w:tc>
          <w:tcPr>
            <w:tcW w:w="844" w:type="dxa"/>
            <w:vAlign w:val="center"/>
          </w:tcPr>
          <w:p w14:paraId="65701AF6" w14:textId="77777777" w:rsidR="003E78AB" w:rsidRDefault="00010BF9">
            <w:pPr>
              <w:pStyle w:val="aff6"/>
              <w:topLinePunct/>
              <w:rPr>
                <w:b/>
                <w:bCs/>
              </w:rPr>
            </w:pPr>
            <w:r>
              <w:rPr>
                <w:b/>
                <w:bCs/>
              </w:rPr>
              <w:t>40m</w:t>
            </w:r>
          </w:p>
        </w:tc>
        <w:tc>
          <w:tcPr>
            <w:tcW w:w="844" w:type="dxa"/>
            <w:vAlign w:val="center"/>
          </w:tcPr>
          <w:p w14:paraId="18C74D06" w14:textId="77777777" w:rsidR="003E78AB" w:rsidRDefault="00010BF9">
            <w:pPr>
              <w:pStyle w:val="aff6"/>
              <w:topLinePunct/>
              <w:rPr>
                <w:b/>
                <w:bCs/>
              </w:rPr>
            </w:pPr>
            <w:r>
              <w:rPr>
                <w:b/>
                <w:bCs/>
              </w:rPr>
              <w:t>50m</w:t>
            </w:r>
          </w:p>
        </w:tc>
        <w:tc>
          <w:tcPr>
            <w:tcW w:w="844" w:type="dxa"/>
            <w:vAlign w:val="center"/>
          </w:tcPr>
          <w:p w14:paraId="30E2AA1C" w14:textId="77777777" w:rsidR="003E78AB" w:rsidRDefault="00010BF9">
            <w:pPr>
              <w:pStyle w:val="aff6"/>
              <w:topLinePunct/>
              <w:rPr>
                <w:b/>
                <w:bCs/>
              </w:rPr>
            </w:pPr>
            <w:r>
              <w:rPr>
                <w:b/>
                <w:bCs/>
              </w:rPr>
              <w:t>89m</w:t>
            </w:r>
          </w:p>
        </w:tc>
        <w:tc>
          <w:tcPr>
            <w:tcW w:w="844" w:type="dxa"/>
            <w:vAlign w:val="center"/>
          </w:tcPr>
          <w:p w14:paraId="02A4C03A" w14:textId="77777777" w:rsidR="003E78AB" w:rsidRDefault="00010BF9">
            <w:pPr>
              <w:pStyle w:val="aff6"/>
              <w:topLinePunct/>
              <w:rPr>
                <w:b/>
                <w:bCs/>
              </w:rPr>
            </w:pPr>
            <w:r>
              <w:rPr>
                <w:b/>
                <w:bCs/>
              </w:rPr>
              <w:t>100m</w:t>
            </w:r>
          </w:p>
        </w:tc>
        <w:tc>
          <w:tcPr>
            <w:tcW w:w="844" w:type="dxa"/>
            <w:vAlign w:val="center"/>
          </w:tcPr>
          <w:p w14:paraId="056F3290" w14:textId="77777777" w:rsidR="003E78AB" w:rsidRDefault="00010BF9">
            <w:pPr>
              <w:pStyle w:val="aff6"/>
              <w:topLinePunct/>
              <w:rPr>
                <w:b/>
                <w:bCs/>
              </w:rPr>
            </w:pPr>
            <w:r>
              <w:rPr>
                <w:b/>
                <w:bCs/>
              </w:rPr>
              <w:t>150m</w:t>
            </w:r>
          </w:p>
        </w:tc>
        <w:tc>
          <w:tcPr>
            <w:tcW w:w="844" w:type="dxa"/>
            <w:vAlign w:val="center"/>
          </w:tcPr>
          <w:p w14:paraId="15F3685A" w14:textId="77777777" w:rsidR="003E78AB" w:rsidRDefault="00010BF9">
            <w:pPr>
              <w:pStyle w:val="aff6"/>
              <w:topLinePunct/>
              <w:rPr>
                <w:b/>
                <w:bCs/>
              </w:rPr>
            </w:pPr>
            <w:r>
              <w:rPr>
                <w:b/>
                <w:bCs/>
              </w:rPr>
              <w:t>200m</w:t>
            </w:r>
          </w:p>
        </w:tc>
      </w:tr>
      <w:tr w:rsidR="003E78AB" w14:paraId="03E2552E" w14:textId="77777777">
        <w:trPr>
          <w:trHeight w:val="340"/>
          <w:jc w:val="center"/>
        </w:trPr>
        <w:tc>
          <w:tcPr>
            <w:tcW w:w="843" w:type="dxa"/>
            <w:vAlign w:val="center"/>
          </w:tcPr>
          <w:p w14:paraId="617B0493" w14:textId="77777777" w:rsidR="003E78AB" w:rsidRDefault="00010BF9">
            <w:pPr>
              <w:pStyle w:val="aff6"/>
              <w:topLinePunct/>
            </w:pPr>
            <w:r>
              <w:t>声级</w:t>
            </w:r>
          </w:p>
        </w:tc>
        <w:tc>
          <w:tcPr>
            <w:tcW w:w="843" w:type="dxa"/>
            <w:vAlign w:val="center"/>
          </w:tcPr>
          <w:p w14:paraId="476B5637" w14:textId="77777777" w:rsidR="003E78AB" w:rsidRDefault="00010BF9">
            <w:pPr>
              <w:pStyle w:val="aff6"/>
              <w:topLinePunct/>
            </w:pPr>
            <w:r>
              <w:t>96</w:t>
            </w:r>
          </w:p>
        </w:tc>
        <w:tc>
          <w:tcPr>
            <w:tcW w:w="843" w:type="dxa"/>
            <w:vAlign w:val="center"/>
          </w:tcPr>
          <w:p w14:paraId="7BD75B83" w14:textId="77777777" w:rsidR="003E78AB" w:rsidRDefault="00010BF9">
            <w:pPr>
              <w:pStyle w:val="aff6"/>
              <w:topLinePunct/>
            </w:pPr>
            <w:r>
              <w:t>89</w:t>
            </w:r>
          </w:p>
        </w:tc>
        <w:tc>
          <w:tcPr>
            <w:tcW w:w="843" w:type="dxa"/>
            <w:vAlign w:val="center"/>
          </w:tcPr>
          <w:p w14:paraId="0FDEA123" w14:textId="77777777" w:rsidR="003E78AB" w:rsidRDefault="00010BF9">
            <w:pPr>
              <w:pStyle w:val="aff6"/>
              <w:topLinePunct/>
            </w:pPr>
            <w:r>
              <w:t>83</w:t>
            </w:r>
          </w:p>
        </w:tc>
        <w:tc>
          <w:tcPr>
            <w:tcW w:w="844" w:type="dxa"/>
            <w:vAlign w:val="center"/>
          </w:tcPr>
          <w:p w14:paraId="6AD86898" w14:textId="77777777" w:rsidR="003E78AB" w:rsidRDefault="00010BF9">
            <w:pPr>
              <w:pStyle w:val="aff6"/>
              <w:topLinePunct/>
            </w:pPr>
            <w:r>
              <w:t>77</w:t>
            </w:r>
          </w:p>
        </w:tc>
        <w:tc>
          <w:tcPr>
            <w:tcW w:w="844" w:type="dxa"/>
            <w:vAlign w:val="center"/>
          </w:tcPr>
          <w:p w14:paraId="0B3187DB" w14:textId="77777777" w:rsidR="003E78AB" w:rsidRDefault="00010BF9">
            <w:pPr>
              <w:pStyle w:val="aff6"/>
              <w:topLinePunct/>
            </w:pPr>
            <w:r>
              <w:t>75</w:t>
            </w:r>
          </w:p>
        </w:tc>
        <w:tc>
          <w:tcPr>
            <w:tcW w:w="844" w:type="dxa"/>
            <w:vAlign w:val="center"/>
          </w:tcPr>
          <w:p w14:paraId="0635A11F" w14:textId="77777777" w:rsidR="003E78AB" w:rsidRDefault="00010BF9">
            <w:pPr>
              <w:pStyle w:val="aff6"/>
              <w:topLinePunct/>
            </w:pPr>
            <w:r>
              <w:t>70</w:t>
            </w:r>
          </w:p>
        </w:tc>
        <w:tc>
          <w:tcPr>
            <w:tcW w:w="844" w:type="dxa"/>
            <w:vAlign w:val="center"/>
          </w:tcPr>
          <w:p w14:paraId="5272DD74" w14:textId="77777777" w:rsidR="003E78AB" w:rsidRDefault="00010BF9">
            <w:pPr>
              <w:pStyle w:val="aff6"/>
              <w:topLinePunct/>
            </w:pPr>
            <w:r>
              <w:t>69</w:t>
            </w:r>
          </w:p>
        </w:tc>
        <w:tc>
          <w:tcPr>
            <w:tcW w:w="844" w:type="dxa"/>
            <w:vAlign w:val="center"/>
          </w:tcPr>
          <w:p w14:paraId="1BA69804" w14:textId="77777777" w:rsidR="003E78AB" w:rsidRDefault="00010BF9">
            <w:pPr>
              <w:pStyle w:val="aff6"/>
              <w:topLinePunct/>
            </w:pPr>
            <w:r>
              <w:t>65</w:t>
            </w:r>
          </w:p>
        </w:tc>
        <w:tc>
          <w:tcPr>
            <w:tcW w:w="844" w:type="dxa"/>
            <w:vAlign w:val="center"/>
          </w:tcPr>
          <w:p w14:paraId="61228201" w14:textId="77777777" w:rsidR="003E78AB" w:rsidRDefault="00010BF9">
            <w:pPr>
              <w:pStyle w:val="aff6"/>
              <w:topLinePunct/>
            </w:pPr>
            <w:r>
              <w:t>62</w:t>
            </w:r>
          </w:p>
        </w:tc>
      </w:tr>
    </w:tbl>
    <w:p w14:paraId="1CEA8002" w14:textId="77777777" w:rsidR="003E78AB" w:rsidRDefault="00010BF9">
      <w:pPr>
        <w:spacing w:line="460" w:lineRule="exact"/>
        <w:ind w:firstLine="480"/>
        <w:rPr>
          <w:kern w:val="24"/>
          <w:szCs w:val="26"/>
        </w:rPr>
      </w:pPr>
      <w:r>
        <w:rPr>
          <w:kern w:val="24"/>
          <w:szCs w:val="26"/>
        </w:rPr>
        <w:t>从上表结果可看出：昼间机械设备在施工场界周围</w:t>
      </w:r>
      <w:r>
        <w:rPr>
          <w:kern w:val="24"/>
          <w:szCs w:val="26"/>
        </w:rPr>
        <w:t>89m</w:t>
      </w:r>
      <w:r>
        <w:rPr>
          <w:kern w:val="24"/>
          <w:szCs w:val="26"/>
        </w:rPr>
        <w:t>范围外的噪声值符合《建筑施工场界环境噪声排放标准》</w:t>
      </w:r>
      <w:r>
        <w:rPr>
          <w:rFonts w:hint="eastAsia"/>
          <w:kern w:val="24"/>
          <w:szCs w:val="26"/>
        </w:rPr>
        <w:t>（</w:t>
      </w:r>
      <w:r>
        <w:rPr>
          <w:kern w:val="24"/>
          <w:szCs w:val="26"/>
        </w:rPr>
        <w:t>GB12523-2011</w:t>
      </w:r>
      <w:r>
        <w:rPr>
          <w:rFonts w:hint="eastAsia"/>
          <w:kern w:val="24"/>
          <w:szCs w:val="26"/>
        </w:rPr>
        <w:t>）</w:t>
      </w:r>
      <w:r>
        <w:rPr>
          <w:kern w:val="24"/>
          <w:szCs w:val="26"/>
        </w:rPr>
        <w:t>要求，夜间</w:t>
      </w:r>
      <w:r>
        <w:rPr>
          <w:kern w:val="24"/>
          <w:szCs w:val="26"/>
        </w:rPr>
        <w:t>200m</w:t>
      </w:r>
      <w:r>
        <w:rPr>
          <w:kern w:val="24"/>
          <w:szCs w:val="26"/>
        </w:rPr>
        <w:t>还超过《建筑施工场界环境噪声排放标准》</w:t>
      </w:r>
      <w:r>
        <w:rPr>
          <w:rFonts w:hint="eastAsia"/>
          <w:kern w:val="24"/>
          <w:szCs w:val="26"/>
        </w:rPr>
        <w:t>（</w:t>
      </w:r>
      <w:r>
        <w:rPr>
          <w:kern w:val="24"/>
          <w:szCs w:val="26"/>
        </w:rPr>
        <w:t>GB12523-2011</w:t>
      </w:r>
      <w:r>
        <w:rPr>
          <w:rFonts w:hint="eastAsia"/>
          <w:kern w:val="24"/>
          <w:szCs w:val="26"/>
        </w:rPr>
        <w:t>）</w:t>
      </w:r>
      <w:r>
        <w:rPr>
          <w:kern w:val="24"/>
          <w:szCs w:val="26"/>
        </w:rPr>
        <w:t>要求。</w:t>
      </w:r>
    </w:p>
    <w:p w14:paraId="6B3D8C57" w14:textId="77777777" w:rsidR="003E78AB" w:rsidRDefault="00010BF9">
      <w:pPr>
        <w:spacing w:line="460" w:lineRule="exact"/>
        <w:ind w:firstLine="480"/>
        <w:rPr>
          <w:kern w:val="24"/>
          <w:szCs w:val="26"/>
        </w:rPr>
      </w:pPr>
      <w:r>
        <w:rPr>
          <w:kern w:val="24"/>
          <w:szCs w:val="26"/>
        </w:rPr>
        <w:t>本项目施工过程中噪声会对周围环境产生一定的影响。为了控制施工期噪声的影响，本次评价提出如下噪声控制要求：</w:t>
      </w:r>
    </w:p>
    <w:p w14:paraId="333DC79D" w14:textId="77777777" w:rsidR="003E78AB" w:rsidRDefault="00010BF9">
      <w:pPr>
        <w:spacing w:line="460" w:lineRule="exact"/>
        <w:ind w:firstLine="480"/>
        <w:rPr>
          <w:kern w:val="24"/>
          <w:szCs w:val="26"/>
        </w:rPr>
      </w:pPr>
      <w:r>
        <w:rPr>
          <w:kern w:val="24"/>
          <w:szCs w:val="26"/>
        </w:rPr>
        <w:t>（</w:t>
      </w:r>
      <w:r>
        <w:rPr>
          <w:kern w:val="24"/>
          <w:szCs w:val="26"/>
        </w:rPr>
        <w:t>1</w:t>
      </w:r>
      <w:r>
        <w:rPr>
          <w:kern w:val="24"/>
          <w:szCs w:val="26"/>
        </w:rPr>
        <w:t>）合理布置施工场地，安排施工方式，控制环境噪声污染。</w:t>
      </w:r>
    </w:p>
    <w:p w14:paraId="641F9BFD" w14:textId="77777777" w:rsidR="003E78AB" w:rsidRDefault="00010BF9">
      <w:pPr>
        <w:spacing w:line="460" w:lineRule="exact"/>
        <w:ind w:firstLine="480"/>
        <w:rPr>
          <w:kern w:val="24"/>
          <w:szCs w:val="26"/>
        </w:rPr>
      </w:pPr>
      <w:r>
        <w:rPr>
          <w:kern w:val="24"/>
          <w:szCs w:val="26"/>
        </w:rPr>
        <w:t>（</w:t>
      </w:r>
      <w:r>
        <w:rPr>
          <w:kern w:val="24"/>
          <w:szCs w:val="26"/>
        </w:rPr>
        <w:t>2</w:t>
      </w:r>
      <w:r>
        <w:rPr>
          <w:kern w:val="24"/>
          <w:szCs w:val="26"/>
        </w:rPr>
        <w:t>）选用低噪声施工机械，严格限制或禁止使用高噪声设备；</w:t>
      </w:r>
    </w:p>
    <w:p w14:paraId="2BB01D77" w14:textId="77777777" w:rsidR="003E78AB" w:rsidRDefault="00010BF9">
      <w:pPr>
        <w:spacing w:line="460" w:lineRule="exact"/>
        <w:ind w:firstLine="480"/>
        <w:rPr>
          <w:kern w:val="24"/>
          <w:szCs w:val="26"/>
        </w:rPr>
      </w:pPr>
      <w:r>
        <w:rPr>
          <w:kern w:val="24"/>
          <w:szCs w:val="26"/>
        </w:rPr>
        <w:t>（</w:t>
      </w:r>
      <w:r>
        <w:rPr>
          <w:kern w:val="24"/>
          <w:szCs w:val="26"/>
        </w:rPr>
        <w:t>3</w:t>
      </w:r>
      <w:r>
        <w:rPr>
          <w:kern w:val="24"/>
          <w:szCs w:val="26"/>
        </w:rPr>
        <w:t>）要求使用商品混凝土。</w:t>
      </w:r>
    </w:p>
    <w:p w14:paraId="1E672EEE" w14:textId="77777777" w:rsidR="003E78AB" w:rsidRDefault="00010BF9">
      <w:pPr>
        <w:spacing w:line="460" w:lineRule="exact"/>
        <w:ind w:firstLine="480"/>
        <w:rPr>
          <w:kern w:val="24"/>
          <w:szCs w:val="26"/>
        </w:rPr>
      </w:pPr>
      <w:r>
        <w:rPr>
          <w:kern w:val="24"/>
          <w:szCs w:val="26"/>
        </w:rPr>
        <w:t>（</w:t>
      </w:r>
      <w:r>
        <w:rPr>
          <w:kern w:val="24"/>
          <w:szCs w:val="26"/>
        </w:rPr>
        <w:t>4</w:t>
      </w:r>
      <w:r>
        <w:rPr>
          <w:kern w:val="24"/>
          <w:szCs w:val="26"/>
        </w:rPr>
        <w:t>）严格操作规程，加强施工机械管理，降低人为噪声影响。</w:t>
      </w:r>
    </w:p>
    <w:p w14:paraId="77802BFC" w14:textId="77777777" w:rsidR="003E78AB" w:rsidRDefault="00010BF9">
      <w:pPr>
        <w:spacing w:line="460" w:lineRule="exact"/>
        <w:ind w:firstLine="480"/>
        <w:rPr>
          <w:kern w:val="24"/>
          <w:szCs w:val="26"/>
        </w:rPr>
      </w:pPr>
      <w:r>
        <w:rPr>
          <w:kern w:val="24"/>
          <w:szCs w:val="26"/>
        </w:rPr>
        <w:t>（</w:t>
      </w:r>
      <w:r>
        <w:rPr>
          <w:kern w:val="24"/>
          <w:szCs w:val="26"/>
        </w:rPr>
        <w:t>5</w:t>
      </w:r>
      <w:r>
        <w:rPr>
          <w:kern w:val="24"/>
          <w:szCs w:val="26"/>
        </w:rPr>
        <w:t>）采取有效的隔音、基础减振、消声措施，降低噪声级。</w:t>
      </w:r>
    </w:p>
    <w:p w14:paraId="0B246659" w14:textId="77777777" w:rsidR="003E78AB" w:rsidRDefault="00010BF9">
      <w:pPr>
        <w:spacing w:line="460" w:lineRule="exact"/>
        <w:ind w:firstLine="480"/>
        <w:rPr>
          <w:kern w:val="24"/>
          <w:szCs w:val="26"/>
        </w:rPr>
      </w:pPr>
      <w:r>
        <w:rPr>
          <w:kern w:val="24"/>
          <w:szCs w:val="26"/>
        </w:rPr>
        <w:t>（</w:t>
      </w:r>
      <w:r>
        <w:rPr>
          <w:kern w:val="24"/>
          <w:szCs w:val="26"/>
        </w:rPr>
        <w:t>6</w:t>
      </w:r>
      <w:r>
        <w:rPr>
          <w:kern w:val="24"/>
          <w:szCs w:val="26"/>
        </w:rPr>
        <w:t>）合理安排工期，严格控制施工时段。</w:t>
      </w:r>
    </w:p>
    <w:p w14:paraId="0E772B4B" w14:textId="77777777" w:rsidR="003E78AB" w:rsidRDefault="00010BF9">
      <w:pPr>
        <w:spacing w:line="460" w:lineRule="exact"/>
        <w:ind w:firstLine="480"/>
        <w:rPr>
          <w:szCs w:val="26"/>
        </w:rPr>
      </w:pPr>
      <w:r>
        <w:rPr>
          <w:kern w:val="24"/>
        </w:rPr>
        <w:t>（</w:t>
      </w:r>
      <w:r>
        <w:rPr>
          <w:kern w:val="24"/>
        </w:rPr>
        <w:t>7</w:t>
      </w:r>
      <w:r>
        <w:rPr>
          <w:kern w:val="24"/>
        </w:rPr>
        <w:t>）限制作业时间，禁止夜间施工，避免造成环境噪声污染。</w:t>
      </w:r>
    </w:p>
    <w:p w14:paraId="0CC49040" w14:textId="77777777" w:rsidR="003E78AB" w:rsidRDefault="00010BF9">
      <w:pPr>
        <w:pStyle w:val="24"/>
        <w:keepNext w:val="0"/>
        <w:keepLines w:val="0"/>
        <w:topLinePunct/>
        <w:spacing w:before="120"/>
        <w:outlineLvl w:val="2"/>
        <w:rPr>
          <w:rFonts w:cs="Times New Roman"/>
          <w:sz w:val="28"/>
          <w:szCs w:val="28"/>
        </w:rPr>
      </w:pPr>
      <w:bookmarkStart w:id="348" w:name="_Toc395138417"/>
      <w:bookmarkStart w:id="349" w:name="_Toc245882765"/>
      <w:bookmarkStart w:id="350" w:name="_Toc454899372"/>
      <w:bookmarkEnd w:id="345"/>
      <w:r>
        <w:rPr>
          <w:rFonts w:cs="Times New Roman" w:hint="eastAsia"/>
          <w:sz w:val="28"/>
          <w:szCs w:val="28"/>
        </w:rPr>
        <w:t>5.1</w:t>
      </w:r>
      <w:r>
        <w:rPr>
          <w:rFonts w:cs="Times New Roman"/>
          <w:sz w:val="28"/>
          <w:szCs w:val="28"/>
        </w:rPr>
        <w:t>.4</w:t>
      </w:r>
      <w:r>
        <w:rPr>
          <w:rFonts w:cs="Times New Roman"/>
          <w:sz w:val="28"/>
          <w:szCs w:val="28"/>
        </w:rPr>
        <w:t>施工期固体废物对环境影响分析</w:t>
      </w:r>
      <w:bookmarkEnd w:id="348"/>
      <w:bookmarkEnd w:id="349"/>
      <w:bookmarkEnd w:id="350"/>
      <w:r>
        <w:rPr>
          <w:rFonts w:cs="Times New Roman"/>
          <w:sz w:val="28"/>
          <w:szCs w:val="28"/>
        </w:rPr>
        <w:t>与评价</w:t>
      </w:r>
    </w:p>
    <w:p w14:paraId="6BDE9CF9" w14:textId="77777777" w:rsidR="003E78AB" w:rsidRDefault="00010BF9">
      <w:pPr>
        <w:spacing w:line="460" w:lineRule="exact"/>
        <w:ind w:firstLine="480"/>
        <w:rPr>
          <w:kern w:val="24"/>
          <w:szCs w:val="26"/>
        </w:rPr>
      </w:pPr>
      <w:r>
        <w:rPr>
          <w:kern w:val="24"/>
          <w:szCs w:val="26"/>
        </w:rPr>
        <w:t>施工期产生的固体废物主要有废弃建筑垃圾以及施工活动产生的弃土石方和施工生活垃圾。建筑垃圾主要成分以废混凝土、废砖瓦、废木料、废钢材等为主。弃土和建筑垃圾若处置不当，则会造成占用土地、破坏景观、引发粉尘等二次污染以及引发水土流失不利影响，因此，项目必须采取相应的处置措施。</w:t>
      </w:r>
    </w:p>
    <w:p w14:paraId="5638DF5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5.1.4.1</w:t>
      </w:r>
      <w:r>
        <w:rPr>
          <w:rFonts w:ascii="Times New Roman" w:hAnsi="Times New Roman"/>
        </w:rPr>
        <w:t>建筑垃圾</w:t>
      </w:r>
    </w:p>
    <w:p w14:paraId="5EDDC3A2" w14:textId="77777777" w:rsidR="003E78AB" w:rsidRDefault="00010BF9">
      <w:pPr>
        <w:spacing w:line="460" w:lineRule="exact"/>
        <w:ind w:firstLine="480"/>
        <w:rPr>
          <w:kern w:val="24"/>
        </w:rPr>
      </w:pPr>
      <w:r>
        <w:rPr>
          <w:kern w:val="24"/>
        </w:rPr>
        <w:t>施工期建筑垃圾主要包括施工过程中产生废钢筋、各种废钢配件、金属管线废料、各种装饰材料的包装箱、包装袋等废弃物。根据调查相关资料，建筑垃圾按每</w:t>
      </w:r>
      <w:r>
        <w:rPr>
          <w:kern w:val="24"/>
        </w:rPr>
        <w:t>100m</w:t>
      </w:r>
      <w:r>
        <w:rPr>
          <w:kern w:val="24"/>
          <w:vertAlign w:val="superscript"/>
        </w:rPr>
        <w:t>2</w:t>
      </w:r>
      <w:r>
        <w:rPr>
          <w:kern w:val="24"/>
        </w:rPr>
        <w:t>建筑面积产生</w:t>
      </w:r>
      <w:r>
        <w:rPr>
          <w:kern w:val="24"/>
        </w:rPr>
        <w:t>1t</w:t>
      </w:r>
      <w:r>
        <w:rPr>
          <w:kern w:val="24"/>
        </w:rPr>
        <w:t>计算，项目总建筑面积为</w:t>
      </w:r>
      <w:r>
        <w:rPr>
          <w:kern w:val="24"/>
        </w:rPr>
        <w:t>90000m</w:t>
      </w:r>
      <w:r>
        <w:rPr>
          <w:kern w:val="24"/>
          <w:vertAlign w:val="superscript"/>
        </w:rPr>
        <w:t>2</w:t>
      </w:r>
      <w:r>
        <w:rPr>
          <w:kern w:val="24"/>
        </w:rPr>
        <w:t>，产生建筑垃圾约为</w:t>
      </w:r>
      <w:r>
        <w:rPr>
          <w:kern w:val="24"/>
        </w:rPr>
        <w:t>900t</w:t>
      </w:r>
      <w:r>
        <w:rPr>
          <w:kern w:val="24"/>
        </w:rPr>
        <w:t>。项目施工中产生的建筑垃圾采用分类收集的方式进行收集，不可再生部分收集后送往伊州区城北建筑垃圾填埋场处置。</w:t>
      </w:r>
    </w:p>
    <w:p w14:paraId="7CA6F75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5.1.4.2</w:t>
      </w:r>
      <w:r>
        <w:rPr>
          <w:rFonts w:ascii="Times New Roman" w:hAnsi="Times New Roman"/>
        </w:rPr>
        <w:t>土石方</w:t>
      </w:r>
    </w:p>
    <w:p w14:paraId="2C6AB39F" w14:textId="77777777" w:rsidR="003E78AB" w:rsidRDefault="00010BF9">
      <w:pPr>
        <w:ind w:firstLine="480"/>
      </w:pPr>
      <w:r>
        <w:t>项目在建设过程会产生土石方，根据项目区实际勘查及设计计算，项目区土地较平整，产生的挖方均在场区内回填使用，无废弃土石方外运处置，供热管网建设过程产生的土方均用于回填，亦无废弃土方外运。</w:t>
      </w:r>
    </w:p>
    <w:p w14:paraId="1479A27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5.1.4.3</w:t>
      </w:r>
      <w:r>
        <w:rPr>
          <w:rFonts w:ascii="Times New Roman" w:hAnsi="Times New Roman"/>
        </w:rPr>
        <w:t>生活垃圾</w:t>
      </w:r>
    </w:p>
    <w:p w14:paraId="195AA8EB" w14:textId="77777777" w:rsidR="003E78AB" w:rsidRDefault="00010BF9">
      <w:pPr>
        <w:ind w:firstLine="480"/>
      </w:pPr>
      <w:r>
        <w:t>项目预计施工时平均人员为</w:t>
      </w:r>
      <w:r>
        <w:t>80</w:t>
      </w:r>
      <w:r>
        <w:t>人，施工时间为</w:t>
      </w:r>
      <w:r>
        <w:t>12</w:t>
      </w:r>
      <w:r>
        <w:t>个月。施工人员按每人每天产生垃圾量</w:t>
      </w:r>
      <w:r>
        <w:t>1kg</w:t>
      </w:r>
      <w:r>
        <w:t>计算，则工程施工期产生的生活垃圾约为</w:t>
      </w:r>
      <w:r>
        <w:t>28.8t</w:t>
      </w:r>
      <w:r>
        <w:t>，经施工营地设</w:t>
      </w:r>
      <w:r>
        <w:t>置垃圾箱收集后由当地环卫部门统一清运至哈密市生活垃圾填埋场处置。</w:t>
      </w:r>
    </w:p>
    <w:p w14:paraId="460EF23F" w14:textId="77777777" w:rsidR="003E78AB" w:rsidRDefault="00010BF9">
      <w:pPr>
        <w:ind w:firstLine="480"/>
      </w:pPr>
      <w:r>
        <w:t>综上所述，采取上述措施后施工期产生的固体废物对周围环境影响较小。</w:t>
      </w:r>
    </w:p>
    <w:p w14:paraId="4670418A"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5.1</w:t>
      </w:r>
      <w:r>
        <w:rPr>
          <w:rFonts w:cs="Times New Roman"/>
          <w:sz w:val="28"/>
          <w:szCs w:val="28"/>
        </w:rPr>
        <w:t>.5</w:t>
      </w:r>
      <w:r>
        <w:rPr>
          <w:rFonts w:cs="Times New Roman"/>
          <w:sz w:val="28"/>
          <w:szCs w:val="28"/>
        </w:rPr>
        <w:t>施工期生态环境影响分析与评价</w:t>
      </w:r>
    </w:p>
    <w:p w14:paraId="5B8F1F20" w14:textId="77777777" w:rsidR="003E78AB" w:rsidRDefault="00010BF9">
      <w:pPr>
        <w:ind w:firstLine="480"/>
      </w:pPr>
      <w:r>
        <w:t>项目施工期对生态环境的影响主要是场地平整时破坏了项目区原有土壤理化性质、对区域景观的影响和可能产生的水土流失影响。</w:t>
      </w:r>
    </w:p>
    <w:p w14:paraId="1CAA003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5.1.5.1</w:t>
      </w:r>
      <w:r>
        <w:rPr>
          <w:rFonts w:ascii="Times New Roman" w:hAnsi="Times New Roman"/>
        </w:rPr>
        <w:t>占地影响</w:t>
      </w:r>
    </w:p>
    <w:p w14:paraId="40D725E8" w14:textId="77777777" w:rsidR="003E78AB" w:rsidRDefault="00010BF9">
      <w:pPr>
        <w:ind w:firstLine="480"/>
      </w:pPr>
      <w:r>
        <w:t>项目占地包括永久性占地和临时性占用，永久性占地改变了原有土地使用功能，原有植被大部分不复存在。施工作业时的临时占地，由于施工人员及施工机械对地表植被的践踏、碾压等外力因素，破坏了原有土壤结构及性能，降</w:t>
      </w:r>
      <w:r>
        <w:t>低了土壤效力。严重影响了原有的地表形态、土壤结构和理化性质，在项目结束后也难以恢复原有形态及生产力。车辆行驶也同样对地表土壤结构造成破坏，这种破坏具有暂时性，经过一定时期能够恢复。施工期地表土层遭到不同程度的破坏，植被如不及时恢复，易引起土壤沙化。</w:t>
      </w:r>
    </w:p>
    <w:p w14:paraId="18D60CA6" w14:textId="77777777" w:rsidR="003E78AB" w:rsidRDefault="00010BF9">
      <w:pPr>
        <w:ind w:firstLine="480"/>
      </w:pPr>
      <w:r>
        <w:t>本项目施工区域位于工业区规划的空地，因此施工占地对环境影响较小。</w:t>
      </w:r>
    </w:p>
    <w:p w14:paraId="66B00E3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5.1.5.2</w:t>
      </w:r>
      <w:r>
        <w:rPr>
          <w:rFonts w:ascii="Times New Roman" w:hAnsi="Times New Roman"/>
        </w:rPr>
        <w:t>对植被的影响分析</w:t>
      </w:r>
    </w:p>
    <w:p w14:paraId="0B1DA8D3" w14:textId="77777777" w:rsidR="003E78AB" w:rsidRDefault="00010BF9">
      <w:pPr>
        <w:ind w:firstLine="480"/>
      </w:pPr>
      <w:r>
        <w:t>项目的建设将不可避免的破坏、扰动原地形地貌和植被；建设占地对区域植被的破坏是永久性的，这部分植被将永远失去生产能力，从而降低该区域植被覆盖率和生物多样性，造成植被生</w:t>
      </w:r>
      <w:r>
        <w:t>物量的减少。</w:t>
      </w:r>
    </w:p>
    <w:p w14:paraId="0BE26885" w14:textId="77777777" w:rsidR="003E78AB" w:rsidRDefault="00010BF9">
      <w:pPr>
        <w:ind w:firstLine="480"/>
      </w:pPr>
      <w:r>
        <w:t>项目施工区属于已平整的工业用地，植被分布较少，项目施工完成后对厂区进行绿化，将增加厂区植被覆盖度。</w:t>
      </w:r>
    </w:p>
    <w:p w14:paraId="07D05CD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5.1.5.3</w:t>
      </w:r>
      <w:r>
        <w:rPr>
          <w:rFonts w:ascii="Times New Roman" w:hAnsi="Times New Roman"/>
        </w:rPr>
        <w:t>对动物的影响分析</w:t>
      </w:r>
    </w:p>
    <w:p w14:paraId="5F8618CA" w14:textId="77777777" w:rsidR="003E78AB" w:rsidRDefault="00010BF9">
      <w:pPr>
        <w:ind w:firstLine="480"/>
      </w:pPr>
      <w:r>
        <w:t>施工期对陆生动物的直接影响是施工人员集中活动和工程施工过程对动物的惊扰；间接影响主要是项目建设破坏植被和土壤，造成部分陆生动物栖息地的丧失。施工区的主要动物是小型常见鸟类和鼠类，且数量不多，具有较强的迁移能力，因此，施工期对这些动物的生存影响较小。</w:t>
      </w:r>
    </w:p>
    <w:p w14:paraId="3671ED2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5.1.5.4</w:t>
      </w:r>
      <w:r>
        <w:rPr>
          <w:rFonts w:ascii="Times New Roman" w:hAnsi="Times New Roman"/>
        </w:rPr>
        <w:t>对其他生态环境的影响分析</w:t>
      </w:r>
    </w:p>
    <w:p w14:paraId="4BA4B17C" w14:textId="77777777" w:rsidR="003E78AB" w:rsidRDefault="00010BF9">
      <w:pPr>
        <w:ind w:firstLine="480"/>
      </w:pPr>
      <w:r>
        <w:t>施工用的砂土若随意堆放和场地平整后未及时绿化，在大风天气将产生风蚀，造成环境空气污染，雨季又会产生水蚀，加重地表水体污染。因此必须采取相应的措施。如：施工砂土在室内堆放或搭建顶棚，堆放地周边设置围挡。场地平整后尽快夯实、硬化，大风天气适量洒水等。</w:t>
      </w:r>
    </w:p>
    <w:p w14:paraId="0839CF9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5.1.5.5</w:t>
      </w:r>
      <w:r>
        <w:rPr>
          <w:rFonts w:ascii="Times New Roman" w:hAnsi="Times New Roman"/>
        </w:rPr>
        <w:t>对水土流失的影响分析</w:t>
      </w:r>
    </w:p>
    <w:p w14:paraId="2CDDC320" w14:textId="77777777" w:rsidR="003E78AB" w:rsidRDefault="00010BF9">
      <w:pPr>
        <w:ind w:firstLine="480"/>
      </w:pPr>
      <w:r>
        <w:t>区域土壤侵蚀主要为风蚀，项目建设不可避免地要加重区域水土流失。拟建项目产生的水土流失可以分为三个阶段，第一阶段是在施工准备期，</w:t>
      </w:r>
      <w:r>
        <w:t>“</w:t>
      </w:r>
      <w:r>
        <w:t>三通一平</w:t>
      </w:r>
      <w:r>
        <w:t>”</w:t>
      </w:r>
      <w:r>
        <w:t>工作产生大量土石方的开挖、运移活动，地表扰动严重，植被几乎完全被破坏，裸露的地表水土保持功</w:t>
      </w:r>
      <w:r>
        <w:t>能明显减弱，土壤侵蚀强度增强；第二阶段是土建期，工业场地</w:t>
      </w:r>
      <w:r>
        <w:t>“</w:t>
      </w:r>
      <w:r>
        <w:t>三通一平</w:t>
      </w:r>
      <w:r>
        <w:t>”</w:t>
      </w:r>
      <w:r>
        <w:t>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建筑物等建设完成，土石方清理完毕，地表因大部分被硬化，地表土壤侵蚀强度较建设期有明显下降，但此时仍存在裸露地表，特别是林草植被种刚刚栽植，不能完全覆盖裸露的地表，林草植被措施还不能发挥作用，此时遇侵</w:t>
      </w:r>
      <w:r>
        <w:t>蚀性降雨等天气仍将不可避免地产生水土流失。营运期因采取绿化补偿等措施，可有效防止水土流失。</w:t>
      </w:r>
    </w:p>
    <w:p w14:paraId="52937259" w14:textId="77777777" w:rsidR="003E78AB" w:rsidRDefault="00010BF9">
      <w:pPr>
        <w:ind w:firstLine="480"/>
      </w:pPr>
      <w: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土流失的加剧，对当地环境及周边居民的生产生活产生影响。</w:t>
      </w:r>
    </w:p>
    <w:p w14:paraId="7D96A45C" w14:textId="77777777" w:rsidR="003E78AB" w:rsidRDefault="00010BF9">
      <w:pPr>
        <w:ind w:firstLine="480"/>
      </w:pPr>
      <w:r>
        <w:t>为减少施工期的水土</w:t>
      </w:r>
      <w:r>
        <w:t>流失，建设单位应精心组织，合理安排施工计划，在暴雨季节采取合理的防护措施，并减少雨季时的施工，对土石方挖填等方案进行周密论证，优选出水土流失较少的方案。</w:t>
      </w:r>
    </w:p>
    <w:p w14:paraId="172C4A12" w14:textId="77777777" w:rsidR="003E78AB" w:rsidRDefault="00010BF9">
      <w:pPr>
        <w:ind w:firstLine="480"/>
        <w:rPr>
          <w:szCs w:val="28"/>
        </w:rPr>
      </w:pPr>
      <w:r>
        <w:t>施工期要注意防止水土流失，要尽量做到挖、填方的平衡，减少借方和弃方；施工中所用材料统一堆放管理，设置专门的材料场；加强施工管理，把拟建项目引起的难以避免的植被破坏减少到最低限度，并采取措施，尽力减少土壤侵蚀；控制各种项目的地表剥离，加强项目完成后对破坏植被的恢复</w:t>
      </w:r>
      <w:r>
        <w:rPr>
          <w:kern w:val="24"/>
          <w:szCs w:val="26"/>
        </w:rPr>
        <w:t>。</w:t>
      </w:r>
    </w:p>
    <w:p w14:paraId="192256B4" w14:textId="77777777" w:rsidR="003E78AB" w:rsidRDefault="00010BF9">
      <w:pPr>
        <w:pStyle w:val="24"/>
        <w:keepNext w:val="0"/>
        <w:keepLines w:val="0"/>
        <w:topLinePunct/>
        <w:spacing w:before="120"/>
        <w:rPr>
          <w:rFonts w:cs="Times New Roman"/>
        </w:rPr>
      </w:pPr>
      <w:bookmarkStart w:id="351" w:name="_Toc10294"/>
      <w:bookmarkStart w:id="352" w:name="_Toc28719"/>
      <w:r>
        <w:rPr>
          <w:rFonts w:cs="Times New Roman" w:hint="eastAsia"/>
        </w:rPr>
        <w:t>5</w:t>
      </w:r>
      <w:r>
        <w:rPr>
          <w:rFonts w:cs="Times New Roman"/>
        </w:rPr>
        <w:t>.2</w:t>
      </w:r>
      <w:r>
        <w:rPr>
          <w:rFonts w:cs="Times New Roman"/>
        </w:rPr>
        <w:t>运营期环境影响分析与评价</w:t>
      </w:r>
      <w:bookmarkEnd w:id="351"/>
      <w:bookmarkEnd w:id="352"/>
    </w:p>
    <w:p w14:paraId="5564F9C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w:t>
      </w:r>
      <w:r>
        <w:rPr>
          <w:rFonts w:cs="Times New Roman"/>
          <w:sz w:val="28"/>
          <w:szCs w:val="28"/>
        </w:rPr>
        <w:t>.2.1</w:t>
      </w:r>
      <w:r>
        <w:rPr>
          <w:rFonts w:cs="Times New Roman"/>
          <w:sz w:val="28"/>
          <w:szCs w:val="28"/>
        </w:rPr>
        <w:t>运营期大气环境影响分析与评价</w:t>
      </w:r>
    </w:p>
    <w:p w14:paraId="1DCF1E96" w14:textId="77777777" w:rsidR="003E78AB" w:rsidRDefault="00010BF9">
      <w:pPr>
        <w:pStyle w:val="4"/>
        <w:keepNext w:val="0"/>
        <w:keepLines w:val="0"/>
        <w:adjustRightInd/>
        <w:snapToGrid/>
        <w:spacing w:beforeLines="0" w:line="520" w:lineRule="exact"/>
        <w:ind w:firstLineChars="0" w:firstLine="0"/>
        <w:rPr>
          <w:rFonts w:ascii="Times New Roman" w:hAnsi="Times New Roman"/>
          <w:b w:val="0"/>
        </w:rPr>
      </w:pPr>
      <w:bookmarkStart w:id="353" w:name="_5.2.1.1预测评价气象特征概述"/>
      <w:r>
        <w:rPr>
          <w:rFonts w:ascii="Times New Roman" w:hAnsi="Times New Roman"/>
          <w:b w:val="0"/>
        </w:rPr>
        <w:t>5.2.1.1</w:t>
      </w:r>
      <w:r>
        <w:rPr>
          <w:rFonts w:ascii="Times New Roman" w:hAnsi="Times New Roman" w:hint="eastAsia"/>
          <w:b w:val="0"/>
        </w:rPr>
        <w:t>区域气</w:t>
      </w:r>
      <w:r>
        <w:rPr>
          <w:rFonts w:ascii="Times New Roman" w:hAnsi="Times New Roman" w:hint="eastAsia"/>
          <w:b w:val="0"/>
        </w:rPr>
        <w:t>象特征</w:t>
      </w:r>
      <w:r>
        <w:rPr>
          <w:rFonts w:ascii="Times New Roman" w:hAnsi="Times New Roman"/>
          <w:b w:val="0"/>
        </w:rPr>
        <w:t>概述</w:t>
      </w:r>
    </w:p>
    <w:bookmarkEnd w:id="353"/>
    <w:p w14:paraId="2DD52B6C" w14:textId="77777777" w:rsidR="003E78AB" w:rsidRDefault="00010BF9">
      <w:pPr>
        <w:ind w:firstLine="480"/>
        <w:rPr>
          <w:bCs/>
          <w:kern w:val="28"/>
        </w:rPr>
      </w:pPr>
      <w:r>
        <w:rPr>
          <w:bCs/>
          <w:kern w:val="28"/>
        </w:rPr>
        <w:t>本项目地面气象观测资料采用哈密气象观测站（站号：</w:t>
      </w:r>
      <w:r>
        <w:rPr>
          <w:bCs/>
          <w:kern w:val="28"/>
        </w:rPr>
        <w:t>52203</w:t>
      </w:r>
      <w:r>
        <w:rPr>
          <w:bCs/>
          <w:kern w:val="28"/>
        </w:rPr>
        <w:t>）的资料。哈密气象站是本项目周围最近的气象站，位于本项目东北方向</w:t>
      </w:r>
      <w:r>
        <w:rPr>
          <w:bCs/>
          <w:kern w:val="28"/>
        </w:rPr>
        <w:t>19.2km</w:t>
      </w:r>
      <w:r>
        <w:rPr>
          <w:bCs/>
          <w:kern w:val="28"/>
        </w:rPr>
        <w:t>处，等级为基准站，地理位置为</w:t>
      </w:r>
      <w:r>
        <w:rPr>
          <w:bCs/>
          <w:kern w:val="28"/>
        </w:rPr>
        <w:t>E93°31′</w:t>
      </w:r>
      <w:r>
        <w:rPr>
          <w:bCs/>
          <w:kern w:val="28"/>
        </w:rPr>
        <w:t>，</w:t>
      </w:r>
      <w:r>
        <w:rPr>
          <w:bCs/>
          <w:kern w:val="28"/>
        </w:rPr>
        <w:t>N42°49′</w:t>
      </w:r>
      <w:r>
        <w:rPr>
          <w:bCs/>
          <w:kern w:val="28"/>
        </w:rPr>
        <w:t>，海拔</w:t>
      </w:r>
      <w:r>
        <w:rPr>
          <w:bCs/>
          <w:kern w:val="28"/>
        </w:rPr>
        <w:t>737.2m</w:t>
      </w:r>
      <w:r>
        <w:rPr>
          <w:bCs/>
          <w:kern w:val="28"/>
        </w:rPr>
        <w:t>，观测项目包括气温、气压、相对湿度、风速和风向、降水、日照等，气象资料可以满足《环境影响评价技术导则大气环境》（</w:t>
      </w:r>
      <w:r>
        <w:rPr>
          <w:bCs/>
          <w:kern w:val="28"/>
        </w:rPr>
        <w:t>HJ2.2-2018</w:t>
      </w:r>
      <w:r>
        <w:rPr>
          <w:bCs/>
          <w:kern w:val="28"/>
        </w:rPr>
        <w:t>）中的相关要求。</w:t>
      </w:r>
    </w:p>
    <w:p w14:paraId="65EF9A49" w14:textId="77777777" w:rsidR="003E78AB" w:rsidRDefault="00010BF9">
      <w:pPr>
        <w:ind w:firstLine="480"/>
        <w:rPr>
          <w:bCs/>
          <w:kern w:val="28"/>
        </w:rPr>
      </w:pPr>
      <w:r>
        <w:rPr>
          <w:bCs/>
          <w:kern w:val="28"/>
        </w:rPr>
        <w:t>项目地面气象参数采用当地</w:t>
      </w:r>
      <w:r>
        <w:rPr>
          <w:rFonts w:hint="eastAsia"/>
          <w:bCs/>
          <w:kern w:val="28"/>
        </w:rPr>
        <w:t>2023</w:t>
      </w:r>
      <w:r>
        <w:rPr>
          <w:bCs/>
          <w:kern w:val="28"/>
        </w:rPr>
        <w:t>年全年逐日、一日</w:t>
      </w:r>
      <w:r>
        <w:rPr>
          <w:bCs/>
          <w:kern w:val="28"/>
        </w:rPr>
        <w:t>24</w:t>
      </w:r>
      <w:r>
        <w:rPr>
          <w:bCs/>
          <w:kern w:val="28"/>
        </w:rPr>
        <w:t>次地面观测数据。地面气象数据项目包括：风向、风速、总云量、干球温度</w:t>
      </w:r>
      <w:r>
        <w:rPr>
          <w:bCs/>
          <w:kern w:val="28"/>
        </w:rPr>
        <w:t>5</w:t>
      </w:r>
      <w:r>
        <w:rPr>
          <w:bCs/>
          <w:kern w:val="28"/>
        </w:rPr>
        <w:t>项，它属于</w:t>
      </w:r>
      <w:r>
        <w:rPr>
          <w:bCs/>
          <w:kern w:val="28"/>
        </w:rPr>
        <w:t>AERMOD</w:t>
      </w:r>
      <w:r>
        <w:rPr>
          <w:bCs/>
          <w:kern w:val="28"/>
        </w:rPr>
        <w:t>预测模式必需参数。</w:t>
      </w:r>
    </w:p>
    <w:p w14:paraId="33FECA5F" w14:textId="77777777" w:rsidR="003E78AB" w:rsidRDefault="00010BF9">
      <w:pPr>
        <w:ind w:firstLine="480"/>
        <w:rPr>
          <w:b/>
          <w:bCs/>
          <w:kern w:val="28"/>
          <w:u w:val="single"/>
        </w:rPr>
      </w:pPr>
      <w:r>
        <w:rPr>
          <w:bCs/>
          <w:kern w:val="28"/>
        </w:rPr>
        <w:t>观测气象数据信息表，见</w:t>
      </w:r>
      <w:r>
        <w:rPr>
          <w:bCs/>
          <w:kern w:val="28"/>
        </w:rPr>
        <w:fldChar w:fldCharType="begin"/>
      </w:r>
      <w:r>
        <w:rPr>
          <w:bCs/>
          <w:kern w:val="28"/>
        </w:rPr>
        <w:instrText xml:space="preserve"> REF _Ref25048 \r \h  \* MERGEFORMAT </w:instrText>
      </w:r>
      <w:r>
        <w:rPr>
          <w:bCs/>
          <w:kern w:val="28"/>
        </w:rPr>
      </w:r>
      <w:r>
        <w:rPr>
          <w:bCs/>
          <w:kern w:val="28"/>
        </w:rPr>
        <w:fldChar w:fldCharType="separate"/>
      </w:r>
      <w:r>
        <w:rPr>
          <w:bCs/>
          <w:kern w:val="28"/>
        </w:rPr>
        <w:t>表</w:t>
      </w:r>
      <w:r>
        <w:rPr>
          <w:bCs/>
          <w:kern w:val="28"/>
        </w:rPr>
        <w:t>5-4</w:t>
      </w:r>
      <w:r>
        <w:rPr>
          <w:bCs/>
          <w:kern w:val="28"/>
        </w:rPr>
        <w:fldChar w:fldCharType="end"/>
      </w:r>
      <w:r>
        <w:rPr>
          <w:bCs/>
          <w:kern w:val="28"/>
        </w:rPr>
        <w:t>。</w:t>
      </w:r>
    </w:p>
    <w:p w14:paraId="50A66EE9" w14:textId="77777777" w:rsidR="003E78AB" w:rsidRDefault="00010BF9">
      <w:pPr>
        <w:pStyle w:val="a4"/>
        <w:spacing w:before="120"/>
        <w:ind w:left="425" w:hanging="425"/>
        <w:rPr>
          <w:bCs/>
        </w:rPr>
      </w:pPr>
      <w:bookmarkStart w:id="354" w:name="_Ref25048"/>
      <w:r>
        <w:rPr>
          <w:bCs/>
        </w:rPr>
        <w:t>观测气象数据信息表</w:t>
      </w:r>
      <w:bookmarkEnd w:id="354"/>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14"/>
        <w:gridCol w:w="856"/>
        <w:gridCol w:w="919"/>
        <w:gridCol w:w="850"/>
        <w:gridCol w:w="851"/>
        <w:gridCol w:w="850"/>
        <w:gridCol w:w="851"/>
        <w:gridCol w:w="658"/>
        <w:gridCol w:w="1893"/>
      </w:tblGrid>
      <w:tr w:rsidR="003E78AB" w14:paraId="51E1FAA1" w14:textId="77777777">
        <w:trPr>
          <w:trHeight w:val="340"/>
          <w:jc w:val="center"/>
        </w:trPr>
        <w:tc>
          <w:tcPr>
            <w:tcW w:w="914" w:type="dxa"/>
            <w:vMerge w:val="restart"/>
            <w:tcMar>
              <w:top w:w="0" w:type="dxa"/>
              <w:left w:w="108" w:type="dxa"/>
              <w:bottom w:w="0" w:type="dxa"/>
              <w:right w:w="108" w:type="dxa"/>
            </w:tcMar>
            <w:vAlign w:val="center"/>
          </w:tcPr>
          <w:p w14:paraId="1BF9B6AA" w14:textId="77777777" w:rsidR="003E78AB" w:rsidRDefault="00010BF9">
            <w:pPr>
              <w:pStyle w:val="aff6"/>
              <w:topLinePunct/>
              <w:rPr>
                <w:b/>
              </w:rPr>
            </w:pPr>
            <w:r>
              <w:rPr>
                <w:b/>
              </w:rPr>
              <w:t>气象站名称</w:t>
            </w:r>
          </w:p>
        </w:tc>
        <w:tc>
          <w:tcPr>
            <w:tcW w:w="856" w:type="dxa"/>
            <w:vMerge w:val="restart"/>
            <w:tcMar>
              <w:top w:w="0" w:type="dxa"/>
              <w:left w:w="108" w:type="dxa"/>
              <w:bottom w:w="0" w:type="dxa"/>
              <w:right w:w="108" w:type="dxa"/>
            </w:tcMar>
            <w:vAlign w:val="center"/>
          </w:tcPr>
          <w:p w14:paraId="55E15F50" w14:textId="77777777" w:rsidR="003E78AB" w:rsidRDefault="00010BF9">
            <w:pPr>
              <w:pStyle w:val="aff6"/>
              <w:topLinePunct/>
              <w:rPr>
                <w:b/>
              </w:rPr>
            </w:pPr>
            <w:r>
              <w:rPr>
                <w:b/>
              </w:rPr>
              <w:t>气象站编号</w:t>
            </w:r>
          </w:p>
        </w:tc>
        <w:tc>
          <w:tcPr>
            <w:tcW w:w="919" w:type="dxa"/>
            <w:vMerge w:val="restart"/>
            <w:tcMar>
              <w:top w:w="0" w:type="dxa"/>
              <w:left w:w="108" w:type="dxa"/>
              <w:bottom w:w="0" w:type="dxa"/>
              <w:right w:w="108" w:type="dxa"/>
            </w:tcMar>
            <w:vAlign w:val="center"/>
          </w:tcPr>
          <w:p w14:paraId="42126BCF" w14:textId="77777777" w:rsidR="003E78AB" w:rsidRDefault="00010BF9">
            <w:pPr>
              <w:pStyle w:val="aff6"/>
              <w:topLinePunct/>
              <w:rPr>
                <w:b/>
              </w:rPr>
            </w:pPr>
            <w:r>
              <w:rPr>
                <w:b/>
              </w:rPr>
              <w:t>气象站等级</w:t>
            </w:r>
          </w:p>
        </w:tc>
        <w:tc>
          <w:tcPr>
            <w:tcW w:w="1701" w:type="dxa"/>
            <w:gridSpan w:val="2"/>
            <w:tcMar>
              <w:top w:w="0" w:type="dxa"/>
              <w:left w:w="108" w:type="dxa"/>
              <w:bottom w:w="0" w:type="dxa"/>
              <w:right w:w="108" w:type="dxa"/>
            </w:tcMar>
            <w:vAlign w:val="center"/>
          </w:tcPr>
          <w:p w14:paraId="57BEC5AE" w14:textId="77777777" w:rsidR="003E78AB" w:rsidRDefault="00010BF9">
            <w:pPr>
              <w:pStyle w:val="aff6"/>
              <w:topLinePunct/>
              <w:rPr>
                <w:b/>
              </w:rPr>
            </w:pPr>
            <w:r>
              <w:rPr>
                <w:b/>
              </w:rPr>
              <w:t>气象站坐标</w:t>
            </w:r>
          </w:p>
        </w:tc>
        <w:tc>
          <w:tcPr>
            <w:tcW w:w="850" w:type="dxa"/>
            <w:vMerge w:val="restart"/>
            <w:tcMar>
              <w:top w:w="0" w:type="dxa"/>
              <w:left w:w="108" w:type="dxa"/>
              <w:bottom w:w="0" w:type="dxa"/>
              <w:right w:w="108" w:type="dxa"/>
            </w:tcMar>
            <w:vAlign w:val="center"/>
          </w:tcPr>
          <w:p w14:paraId="4CB28A1D" w14:textId="77777777" w:rsidR="003E78AB" w:rsidRDefault="00010BF9">
            <w:pPr>
              <w:pStyle w:val="aff6"/>
              <w:topLinePunct/>
              <w:rPr>
                <w:b/>
              </w:rPr>
            </w:pPr>
            <w:r>
              <w:rPr>
                <w:b/>
              </w:rPr>
              <w:t>相对距离</w:t>
            </w:r>
            <w:r>
              <w:rPr>
                <w:b/>
              </w:rPr>
              <w:t>(m)</w:t>
            </w:r>
          </w:p>
        </w:tc>
        <w:tc>
          <w:tcPr>
            <w:tcW w:w="851" w:type="dxa"/>
            <w:vMerge w:val="restart"/>
            <w:tcMar>
              <w:top w:w="0" w:type="dxa"/>
              <w:left w:w="108" w:type="dxa"/>
              <w:bottom w:w="0" w:type="dxa"/>
              <w:right w:w="108" w:type="dxa"/>
            </w:tcMar>
            <w:vAlign w:val="center"/>
          </w:tcPr>
          <w:p w14:paraId="78695592" w14:textId="77777777" w:rsidR="003E78AB" w:rsidRDefault="00010BF9">
            <w:pPr>
              <w:pStyle w:val="aff6"/>
              <w:topLinePunct/>
              <w:rPr>
                <w:b/>
              </w:rPr>
            </w:pPr>
            <w:r>
              <w:rPr>
                <w:b/>
              </w:rPr>
              <w:t>海拔</w:t>
            </w:r>
            <w:r>
              <w:rPr>
                <w:b/>
              </w:rPr>
              <w:t>(m)</w:t>
            </w:r>
          </w:p>
        </w:tc>
        <w:tc>
          <w:tcPr>
            <w:tcW w:w="658" w:type="dxa"/>
            <w:vMerge w:val="restart"/>
            <w:tcMar>
              <w:top w:w="0" w:type="dxa"/>
              <w:left w:w="108" w:type="dxa"/>
              <w:bottom w:w="0" w:type="dxa"/>
              <w:right w:w="108" w:type="dxa"/>
            </w:tcMar>
            <w:vAlign w:val="center"/>
          </w:tcPr>
          <w:p w14:paraId="7C04B679" w14:textId="77777777" w:rsidR="003E78AB" w:rsidRDefault="00010BF9">
            <w:pPr>
              <w:pStyle w:val="aff6"/>
              <w:topLinePunct/>
              <w:rPr>
                <w:b/>
              </w:rPr>
            </w:pPr>
            <w:r>
              <w:rPr>
                <w:b/>
              </w:rPr>
              <w:t>数据</w:t>
            </w:r>
          </w:p>
          <w:p w14:paraId="5BD94AA6" w14:textId="77777777" w:rsidR="003E78AB" w:rsidRDefault="00010BF9">
            <w:pPr>
              <w:pStyle w:val="aff6"/>
              <w:topLinePunct/>
              <w:rPr>
                <w:b/>
              </w:rPr>
            </w:pPr>
            <w:r>
              <w:rPr>
                <w:b/>
              </w:rPr>
              <w:t>年份</w:t>
            </w:r>
          </w:p>
        </w:tc>
        <w:tc>
          <w:tcPr>
            <w:tcW w:w="1893" w:type="dxa"/>
            <w:vMerge w:val="restart"/>
            <w:tcMar>
              <w:top w:w="0" w:type="dxa"/>
              <w:left w:w="108" w:type="dxa"/>
              <w:bottom w:w="0" w:type="dxa"/>
              <w:right w:w="108" w:type="dxa"/>
            </w:tcMar>
            <w:vAlign w:val="center"/>
          </w:tcPr>
          <w:p w14:paraId="3A11A489" w14:textId="77777777" w:rsidR="003E78AB" w:rsidRDefault="00010BF9">
            <w:pPr>
              <w:pStyle w:val="aff6"/>
              <w:topLinePunct/>
              <w:rPr>
                <w:b/>
              </w:rPr>
            </w:pPr>
            <w:r>
              <w:rPr>
                <w:b/>
              </w:rPr>
              <w:t>气象要素</w:t>
            </w:r>
          </w:p>
        </w:tc>
      </w:tr>
      <w:tr w:rsidR="003E78AB" w14:paraId="0984673C" w14:textId="77777777">
        <w:trPr>
          <w:trHeight w:val="340"/>
          <w:jc w:val="center"/>
        </w:trPr>
        <w:tc>
          <w:tcPr>
            <w:tcW w:w="914" w:type="dxa"/>
            <w:vMerge/>
            <w:vAlign w:val="center"/>
          </w:tcPr>
          <w:p w14:paraId="6558CAAD" w14:textId="77777777" w:rsidR="003E78AB" w:rsidRDefault="003E78AB">
            <w:pPr>
              <w:pStyle w:val="aff6"/>
              <w:topLinePunct/>
              <w:rPr>
                <w:bCs/>
              </w:rPr>
            </w:pPr>
          </w:p>
        </w:tc>
        <w:tc>
          <w:tcPr>
            <w:tcW w:w="856" w:type="dxa"/>
            <w:vMerge/>
            <w:vAlign w:val="center"/>
          </w:tcPr>
          <w:p w14:paraId="1A644709" w14:textId="77777777" w:rsidR="003E78AB" w:rsidRDefault="003E78AB">
            <w:pPr>
              <w:pStyle w:val="aff6"/>
              <w:topLinePunct/>
              <w:rPr>
                <w:bCs/>
              </w:rPr>
            </w:pPr>
          </w:p>
        </w:tc>
        <w:tc>
          <w:tcPr>
            <w:tcW w:w="919" w:type="dxa"/>
            <w:vMerge/>
            <w:vAlign w:val="center"/>
          </w:tcPr>
          <w:p w14:paraId="1405E53C" w14:textId="77777777" w:rsidR="003E78AB" w:rsidRDefault="003E78AB">
            <w:pPr>
              <w:pStyle w:val="aff6"/>
              <w:topLinePunct/>
              <w:rPr>
                <w:bCs/>
              </w:rPr>
            </w:pPr>
          </w:p>
        </w:tc>
        <w:tc>
          <w:tcPr>
            <w:tcW w:w="850" w:type="dxa"/>
            <w:tcMar>
              <w:top w:w="0" w:type="dxa"/>
              <w:left w:w="108" w:type="dxa"/>
              <w:bottom w:w="0" w:type="dxa"/>
              <w:right w:w="108" w:type="dxa"/>
            </w:tcMar>
            <w:vAlign w:val="center"/>
          </w:tcPr>
          <w:p w14:paraId="4137F4C8" w14:textId="77777777" w:rsidR="003E78AB" w:rsidRDefault="00010BF9">
            <w:pPr>
              <w:pStyle w:val="aff6"/>
              <w:topLinePunct/>
              <w:rPr>
                <w:b/>
              </w:rPr>
            </w:pPr>
            <w:r>
              <w:rPr>
                <w:b/>
              </w:rPr>
              <w:t>N</w:t>
            </w:r>
          </w:p>
        </w:tc>
        <w:tc>
          <w:tcPr>
            <w:tcW w:w="851" w:type="dxa"/>
            <w:tcMar>
              <w:top w:w="0" w:type="dxa"/>
              <w:left w:w="108" w:type="dxa"/>
              <w:bottom w:w="0" w:type="dxa"/>
              <w:right w:w="108" w:type="dxa"/>
            </w:tcMar>
            <w:vAlign w:val="center"/>
          </w:tcPr>
          <w:p w14:paraId="1AB66929" w14:textId="77777777" w:rsidR="003E78AB" w:rsidRDefault="00010BF9">
            <w:pPr>
              <w:pStyle w:val="aff6"/>
              <w:topLinePunct/>
              <w:rPr>
                <w:b/>
              </w:rPr>
            </w:pPr>
            <w:r>
              <w:rPr>
                <w:b/>
              </w:rPr>
              <w:t>E</w:t>
            </w:r>
          </w:p>
        </w:tc>
        <w:tc>
          <w:tcPr>
            <w:tcW w:w="850" w:type="dxa"/>
            <w:vMerge/>
            <w:tcMar>
              <w:top w:w="0" w:type="dxa"/>
              <w:left w:w="108" w:type="dxa"/>
              <w:bottom w:w="0" w:type="dxa"/>
              <w:right w:w="108" w:type="dxa"/>
            </w:tcMar>
            <w:vAlign w:val="center"/>
          </w:tcPr>
          <w:p w14:paraId="62ED0ED4" w14:textId="77777777" w:rsidR="003E78AB" w:rsidRDefault="003E78AB">
            <w:pPr>
              <w:pStyle w:val="aff6"/>
              <w:topLinePunct/>
              <w:rPr>
                <w:bCs/>
              </w:rPr>
            </w:pPr>
          </w:p>
        </w:tc>
        <w:tc>
          <w:tcPr>
            <w:tcW w:w="851" w:type="dxa"/>
            <w:vMerge/>
            <w:tcMar>
              <w:top w:w="0" w:type="dxa"/>
              <w:left w:w="108" w:type="dxa"/>
              <w:bottom w:w="0" w:type="dxa"/>
              <w:right w:w="108" w:type="dxa"/>
            </w:tcMar>
            <w:vAlign w:val="center"/>
          </w:tcPr>
          <w:p w14:paraId="3B5EB90D" w14:textId="77777777" w:rsidR="003E78AB" w:rsidRDefault="003E78AB">
            <w:pPr>
              <w:pStyle w:val="aff6"/>
              <w:topLinePunct/>
              <w:rPr>
                <w:bCs/>
              </w:rPr>
            </w:pPr>
          </w:p>
        </w:tc>
        <w:tc>
          <w:tcPr>
            <w:tcW w:w="658" w:type="dxa"/>
            <w:vMerge/>
            <w:tcMar>
              <w:top w:w="0" w:type="dxa"/>
              <w:left w:w="108" w:type="dxa"/>
              <w:bottom w:w="0" w:type="dxa"/>
              <w:right w:w="108" w:type="dxa"/>
            </w:tcMar>
            <w:vAlign w:val="center"/>
          </w:tcPr>
          <w:p w14:paraId="3BEDFFFD" w14:textId="77777777" w:rsidR="003E78AB" w:rsidRDefault="003E78AB">
            <w:pPr>
              <w:pStyle w:val="aff6"/>
              <w:topLinePunct/>
              <w:rPr>
                <w:bCs/>
              </w:rPr>
            </w:pPr>
          </w:p>
        </w:tc>
        <w:tc>
          <w:tcPr>
            <w:tcW w:w="1893" w:type="dxa"/>
            <w:vMerge/>
            <w:tcMar>
              <w:top w:w="0" w:type="dxa"/>
              <w:left w:w="108" w:type="dxa"/>
              <w:bottom w:w="0" w:type="dxa"/>
              <w:right w:w="108" w:type="dxa"/>
            </w:tcMar>
            <w:vAlign w:val="center"/>
          </w:tcPr>
          <w:p w14:paraId="348265B4" w14:textId="77777777" w:rsidR="003E78AB" w:rsidRDefault="003E78AB">
            <w:pPr>
              <w:pStyle w:val="aff6"/>
              <w:topLinePunct/>
              <w:rPr>
                <w:bCs/>
              </w:rPr>
            </w:pPr>
          </w:p>
        </w:tc>
      </w:tr>
      <w:tr w:rsidR="003E78AB" w14:paraId="6930648D" w14:textId="77777777">
        <w:trPr>
          <w:trHeight w:val="340"/>
          <w:jc w:val="center"/>
        </w:trPr>
        <w:tc>
          <w:tcPr>
            <w:tcW w:w="914" w:type="dxa"/>
            <w:tcMar>
              <w:top w:w="0" w:type="dxa"/>
              <w:left w:w="108" w:type="dxa"/>
              <w:bottom w:w="0" w:type="dxa"/>
              <w:right w:w="108" w:type="dxa"/>
            </w:tcMar>
            <w:vAlign w:val="center"/>
          </w:tcPr>
          <w:p w14:paraId="37792F28" w14:textId="77777777" w:rsidR="003E78AB" w:rsidRDefault="00010BF9">
            <w:pPr>
              <w:pStyle w:val="aff6"/>
              <w:topLinePunct/>
              <w:rPr>
                <w:bCs/>
              </w:rPr>
            </w:pPr>
            <w:r>
              <w:rPr>
                <w:bCs/>
              </w:rPr>
              <w:t>哈密气象站</w:t>
            </w:r>
          </w:p>
        </w:tc>
        <w:tc>
          <w:tcPr>
            <w:tcW w:w="856" w:type="dxa"/>
            <w:tcMar>
              <w:top w:w="0" w:type="dxa"/>
              <w:left w:w="108" w:type="dxa"/>
              <w:bottom w:w="0" w:type="dxa"/>
              <w:right w:w="108" w:type="dxa"/>
            </w:tcMar>
            <w:vAlign w:val="center"/>
          </w:tcPr>
          <w:p w14:paraId="3F12DA83" w14:textId="77777777" w:rsidR="003E78AB" w:rsidRDefault="00010BF9">
            <w:pPr>
              <w:pStyle w:val="aff6"/>
              <w:topLinePunct/>
              <w:rPr>
                <w:bCs/>
              </w:rPr>
            </w:pPr>
            <w:r>
              <w:rPr>
                <w:bCs/>
              </w:rPr>
              <w:t>52203</w:t>
            </w:r>
          </w:p>
        </w:tc>
        <w:tc>
          <w:tcPr>
            <w:tcW w:w="919" w:type="dxa"/>
            <w:tcMar>
              <w:top w:w="0" w:type="dxa"/>
              <w:left w:w="108" w:type="dxa"/>
              <w:bottom w:w="0" w:type="dxa"/>
              <w:right w:w="108" w:type="dxa"/>
            </w:tcMar>
            <w:vAlign w:val="center"/>
          </w:tcPr>
          <w:p w14:paraId="5155AA48" w14:textId="77777777" w:rsidR="003E78AB" w:rsidRDefault="00010BF9">
            <w:pPr>
              <w:pStyle w:val="aff6"/>
              <w:topLinePunct/>
              <w:rPr>
                <w:bCs/>
              </w:rPr>
            </w:pPr>
            <w:r>
              <w:rPr>
                <w:bCs/>
              </w:rPr>
              <w:t>基准站</w:t>
            </w:r>
          </w:p>
        </w:tc>
        <w:tc>
          <w:tcPr>
            <w:tcW w:w="850" w:type="dxa"/>
            <w:tcMar>
              <w:top w:w="0" w:type="dxa"/>
              <w:left w:w="108" w:type="dxa"/>
              <w:bottom w:w="0" w:type="dxa"/>
              <w:right w:w="108" w:type="dxa"/>
            </w:tcMar>
            <w:vAlign w:val="center"/>
          </w:tcPr>
          <w:p w14:paraId="5E726C10" w14:textId="77777777" w:rsidR="003E78AB" w:rsidRDefault="00010BF9">
            <w:pPr>
              <w:pStyle w:val="aff6"/>
              <w:topLinePunct/>
              <w:rPr>
                <w:bCs/>
              </w:rPr>
            </w:pPr>
            <w:r>
              <w:rPr>
                <w:bCs/>
              </w:rPr>
              <w:t>42°49′</w:t>
            </w:r>
          </w:p>
        </w:tc>
        <w:tc>
          <w:tcPr>
            <w:tcW w:w="851" w:type="dxa"/>
            <w:tcMar>
              <w:top w:w="0" w:type="dxa"/>
              <w:left w:w="108" w:type="dxa"/>
              <w:bottom w:w="0" w:type="dxa"/>
              <w:right w:w="108" w:type="dxa"/>
            </w:tcMar>
            <w:vAlign w:val="center"/>
          </w:tcPr>
          <w:p w14:paraId="66A88ED5" w14:textId="77777777" w:rsidR="003E78AB" w:rsidRDefault="00010BF9">
            <w:pPr>
              <w:pStyle w:val="aff6"/>
              <w:topLinePunct/>
              <w:rPr>
                <w:bCs/>
              </w:rPr>
            </w:pPr>
            <w:r>
              <w:rPr>
                <w:bCs/>
              </w:rPr>
              <w:t>93°31′</w:t>
            </w:r>
          </w:p>
        </w:tc>
        <w:tc>
          <w:tcPr>
            <w:tcW w:w="850" w:type="dxa"/>
            <w:tcMar>
              <w:top w:w="0" w:type="dxa"/>
              <w:left w:w="108" w:type="dxa"/>
              <w:bottom w:w="0" w:type="dxa"/>
              <w:right w:w="108" w:type="dxa"/>
            </w:tcMar>
            <w:vAlign w:val="center"/>
          </w:tcPr>
          <w:p w14:paraId="6B7C663B" w14:textId="77777777" w:rsidR="003E78AB" w:rsidRDefault="00010BF9">
            <w:pPr>
              <w:pStyle w:val="aff6"/>
              <w:topLinePunct/>
              <w:rPr>
                <w:bCs/>
              </w:rPr>
            </w:pPr>
            <w:r>
              <w:rPr>
                <w:bCs/>
              </w:rPr>
              <w:t>19200</w:t>
            </w:r>
          </w:p>
        </w:tc>
        <w:tc>
          <w:tcPr>
            <w:tcW w:w="851" w:type="dxa"/>
            <w:tcMar>
              <w:top w:w="0" w:type="dxa"/>
              <w:left w:w="108" w:type="dxa"/>
              <w:bottom w:w="0" w:type="dxa"/>
              <w:right w:w="108" w:type="dxa"/>
            </w:tcMar>
            <w:vAlign w:val="center"/>
          </w:tcPr>
          <w:p w14:paraId="1E6AD202" w14:textId="77777777" w:rsidR="003E78AB" w:rsidRDefault="00010BF9">
            <w:pPr>
              <w:pStyle w:val="aff6"/>
              <w:topLinePunct/>
              <w:rPr>
                <w:bCs/>
              </w:rPr>
            </w:pPr>
            <w:r>
              <w:rPr>
                <w:bCs/>
              </w:rPr>
              <w:t>737.2</w:t>
            </w:r>
          </w:p>
        </w:tc>
        <w:tc>
          <w:tcPr>
            <w:tcW w:w="658" w:type="dxa"/>
            <w:tcMar>
              <w:top w:w="0" w:type="dxa"/>
              <w:left w:w="108" w:type="dxa"/>
              <w:bottom w:w="0" w:type="dxa"/>
              <w:right w:w="108" w:type="dxa"/>
            </w:tcMar>
            <w:vAlign w:val="center"/>
          </w:tcPr>
          <w:p w14:paraId="030751D9" w14:textId="77777777" w:rsidR="003E78AB" w:rsidRDefault="00010BF9">
            <w:pPr>
              <w:pStyle w:val="aff6"/>
              <w:topLinePunct/>
              <w:rPr>
                <w:bCs/>
              </w:rPr>
            </w:pPr>
            <w:r>
              <w:rPr>
                <w:rFonts w:hint="eastAsia"/>
                <w:bCs/>
              </w:rPr>
              <w:t>2023</w:t>
            </w:r>
            <w:r>
              <w:rPr>
                <w:bCs/>
              </w:rPr>
              <w:t>年</w:t>
            </w:r>
          </w:p>
        </w:tc>
        <w:tc>
          <w:tcPr>
            <w:tcW w:w="1893" w:type="dxa"/>
            <w:tcMar>
              <w:top w:w="0" w:type="dxa"/>
              <w:left w:w="108" w:type="dxa"/>
              <w:bottom w:w="0" w:type="dxa"/>
              <w:right w:w="108" w:type="dxa"/>
            </w:tcMar>
            <w:vAlign w:val="center"/>
          </w:tcPr>
          <w:p w14:paraId="4ADBB15F" w14:textId="77777777" w:rsidR="003E78AB" w:rsidRDefault="00010BF9">
            <w:pPr>
              <w:pStyle w:val="aff6"/>
              <w:topLinePunct/>
              <w:rPr>
                <w:bCs/>
              </w:rPr>
            </w:pPr>
            <w:r>
              <w:rPr>
                <w:bCs/>
              </w:rPr>
              <w:t>风向、风速、总云、低云、干球温度</w:t>
            </w:r>
          </w:p>
        </w:tc>
      </w:tr>
    </w:tbl>
    <w:p w14:paraId="008E5A4E" w14:textId="77777777" w:rsidR="003E78AB" w:rsidRDefault="00010BF9">
      <w:pPr>
        <w:ind w:firstLine="480"/>
        <w:rPr>
          <w:bCs/>
          <w:kern w:val="28"/>
        </w:rPr>
      </w:pPr>
      <w:r>
        <w:rPr>
          <w:bCs/>
          <w:kern w:val="28"/>
        </w:rPr>
        <w:t>（</w:t>
      </w:r>
      <w:r>
        <w:rPr>
          <w:bCs/>
          <w:kern w:val="28"/>
        </w:rPr>
        <w:t>1</w:t>
      </w:r>
      <w:r>
        <w:rPr>
          <w:bCs/>
          <w:kern w:val="28"/>
        </w:rPr>
        <w:t>）温度</w:t>
      </w:r>
    </w:p>
    <w:p w14:paraId="702B1715" w14:textId="77777777" w:rsidR="003E78AB" w:rsidRDefault="00010BF9">
      <w:pPr>
        <w:ind w:firstLine="480"/>
        <w:rPr>
          <w:bCs/>
          <w:kern w:val="28"/>
        </w:rPr>
      </w:pPr>
      <w:r>
        <w:rPr>
          <w:bCs/>
          <w:kern w:val="28"/>
        </w:rPr>
        <w:t>根据哈密市气象站</w:t>
      </w:r>
      <w:r>
        <w:rPr>
          <w:rFonts w:hint="eastAsia"/>
          <w:bCs/>
          <w:kern w:val="28"/>
        </w:rPr>
        <w:t>2023</w:t>
      </w:r>
      <w:r>
        <w:rPr>
          <w:bCs/>
          <w:kern w:val="28"/>
        </w:rPr>
        <w:t>年统计资料，年平均气温月变化情况见</w:t>
      </w:r>
      <w:r>
        <w:rPr>
          <w:bCs/>
          <w:kern w:val="28"/>
        </w:rPr>
        <w:fldChar w:fldCharType="begin"/>
      </w:r>
      <w:r>
        <w:rPr>
          <w:bCs/>
          <w:kern w:val="28"/>
        </w:rPr>
        <w:instrText xml:space="preserve"> REF _Ref28033 \r \h  \* MERGEFORMAT </w:instrText>
      </w:r>
      <w:r>
        <w:rPr>
          <w:bCs/>
          <w:kern w:val="28"/>
        </w:rPr>
      </w:r>
      <w:r>
        <w:rPr>
          <w:bCs/>
          <w:kern w:val="28"/>
        </w:rPr>
        <w:fldChar w:fldCharType="separate"/>
      </w:r>
      <w:r>
        <w:rPr>
          <w:bCs/>
          <w:kern w:val="28"/>
        </w:rPr>
        <w:t>表</w:t>
      </w:r>
      <w:r>
        <w:rPr>
          <w:bCs/>
          <w:kern w:val="28"/>
        </w:rPr>
        <w:t>5-5</w:t>
      </w:r>
      <w:r>
        <w:rPr>
          <w:bCs/>
          <w:kern w:val="28"/>
        </w:rPr>
        <w:fldChar w:fldCharType="end"/>
      </w:r>
      <w:r>
        <w:rPr>
          <w:bCs/>
          <w:kern w:val="28"/>
        </w:rPr>
        <w:t>，</w:t>
      </w:r>
      <w:r>
        <w:rPr>
          <w:rFonts w:hint="eastAsia"/>
          <w:bCs/>
          <w:kern w:val="28"/>
        </w:rPr>
        <w:t>2023</w:t>
      </w:r>
      <w:r>
        <w:rPr>
          <w:bCs/>
          <w:kern w:val="28"/>
        </w:rPr>
        <w:t>年平均气温月变化曲线见</w:t>
      </w:r>
      <w:r>
        <w:rPr>
          <w:bCs/>
          <w:kern w:val="28"/>
        </w:rPr>
        <w:fldChar w:fldCharType="begin"/>
      </w:r>
      <w:r>
        <w:rPr>
          <w:bCs/>
          <w:kern w:val="28"/>
        </w:rPr>
        <w:instrText xml:space="preserve"> REF _Ref8629 \r \h  \* MERGEFORMAT </w:instrText>
      </w:r>
      <w:r>
        <w:rPr>
          <w:bCs/>
          <w:kern w:val="28"/>
        </w:rPr>
      </w:r>
      <w:r>
        <w:rPr>
          <w:bCs/>
          <w:kern w:val="28"/>
        </w:rPr>
        <w:fldChar w:fldCharType="separate"/>
      </w:r>
      <w:r>
        <w:rPr>
          <w:bCs/>
          <w:kern w:val="28"/>
        </w:rPr>
        <w:t>图</w:t>
      </w:r>
      <w:r>
        <w:rPr>
          <w:bCs/>
          <w:kern w:val="28"/>
        </w:rPr>
        <w:t>5-1</w:t>
      </w:r>
      <w:r>
        <w:rPr>
          <w:bCs/>
          <w:kern w:val="28"/>
        </w:rPr>
        <w:fldChar w:fldCharType="end"/>
      </w:r>
      <w:r>
        <w:rPr>
          <w:bCs/>
          <w:kern w:val="28"/>
        </w:rPr>
        <w:t>。从年平均气温月变化资料中可以看出</w:t>
      </w:r>
      <w:r>
        <w:rPr>
          <w:bCs/>
          <w:kern w:val="28"/>
        </w:rPr>
        <w:t>7</w:t>
      </w:r>
      <w:r>
        <w:rPr>
          <w:bCs/>
          <w:kern w:val="28"/>
        </w:rPr>
        <w:t>月份平均气温最高（</w:t>
      </w:r>
      <w:r>
        <w:rPr>
          <w:bCs/>
          <w:kern w:val="28"/>
        </w:rPr>
        <w:t>28.46ºC</w:t>
      </w:r>
      <w:r>
        <w:rPr>
          <w:bCs/>
          <w:kern w:val="28"/>
        </w:rPr>
        <w:t>），</w:t>
      </w:r>
      <w:r>
        <w:rPr>
          <w:bCs/>
          <w:kern w:val="28"/>
        </w:rPr>
        <w:t>12</w:t>
      </w:r>
      <w:r>
        <w:rPr>
          <w:bCs/>
          <w:kern w:val="28"/>
        </w:rPr>
        <w:t>月气温平均最低（</w:t>
      </w:r>
      <w:r>
        <w:rPr>
          <w:bCs/>
          <w:kern w:val="28"/>
        </w:rPr>
        <w:t>-8.98ºC</w:t>
      </w:r>
      <w:r>
        <w:rPr>
          <w:bCs/>
          <w:kern w:val="28"/>
        </w:rPr>
        <w:t>）。</w:t>
      </w:r>
    </w:p>
    <w:p w14:paraId="40217C0A" w14:textId="77777777" w:rsidR="003E78AB" w:rsidRDefault="00010BF9">
      <w:pPr>
        <w:pStyle w:val="a4"/>
        <w:spacing w:before="120"/>
        <w:ind w:left="425" w:hanging="425"/>
        <w:rPr>
          <w:bCs/>
        </w:rPr>
      </w:pPr>
      <w:bookmarkStart w:id="355" w:name="_Ref28033"/>
      <w:r>
        <w:rPr>
          <w:rFonts w:hint="eastAsia"/>
          <w:bCs/>
        </w:rPr>
        <w:t>哈</w:t>
      </w:r>
      <w:r>
        <w:rPr>
          <w:bCs/>
        </w:rPr>
        <w:t>密市</w:t>
      </w:r>
      <w:r>
        <w:rPr>
          <w:bCs/>
        </w:rPr>
        <w:t>2023</w:t>
      </w:r>
      <w:r>
        <w:rPr>
          <w:bCs/>
        </w:rPr>
        <w:t>年各月平均温度变化统计表</w:t>
      </w:r>
      <w:bookmarkEnd w:id="355"/>
    </w:p>
    <w:tbl>
      <w:tblPr>
        <w:tblW w:w="4994"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5"/>
        <w:gridCol w:w="611"/>
        <w:gridCol w:w="613"/>
        <w:gridCol w:w="600"/>
        <w:gridCol w:w="681"/>
        <w:gridCol w:w="681"/>
        <w:gridCol w:w="623"/>
        <w:gridCol w:w="688"/>
        <w:gridCol w:w="689"/>
        <w:gridCol w:w="687"/>
        <w:gridCol w:w="686"/>
        <w:gridCol w:w="587"/>
        <w:gridCol w:w="655"/>
      </w:tblGrid>
      <w:tr w:rsidR="003E78AB" w14:paraId="3BA0F763" w14:textId="77777777">
        <w:trPr>
          <w:trHeight w:val="340"/>
          <w:jc w:val="center"/>
        </w:trPr>
        <w:tc>
          <w:tcPr>
            <w:tcW w:w="414" w:type="pct"/>
            <w:tcBorders>
              <w:top w:val="single" w:sz="4" w:space="0" w:color="auto"/>
              <w:left w:val="single" w:sz="4" w:space="0" w:color="auto"/>
              <w:bottom w:val="single" w:sz="4" w:space="0" w:color="auto"/>
              <w:right w:val="single" w:sz="4" w:space="0" w:color="auto"/>
            </w:tcBorders>
            <w:vAlign w:val="center"/>
          </w:tcPr>
          <w:p w14:paraId="5FA050F1"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月份</w:t>
            </w:r>
          </w:p>
        </w:tc>
        <w:tc>
          <w:tcPr>
            <w:tcW w:w="359" w:type="pct"/>
            <w:tcBorders>
              <w:top w:val="single" w:sz="4" w:space="0" w:color="auto"/>
              <w:left w:val="single" w:sz="4" w:space="0" w:color="auto"/>
              <w:bottom w:val="single" w:sz="4" w:space="0" w:color="auto"/>
              <w:right w:val="single" w:sz="4" w:space="0" w:color="auto"/>
            </w:tcBorders>
            <w:vAlign w:val="center"/>
          </w:tcPr>
          <w:p w14:paraId="244E0811"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w:t>
            </w:r>
          </w:p>
        </w:tc>
        <w:tc>
          <w:tcPr>
            <w:tcW w:w="360" w:type="pct"/>
            <w:tcBorders>
              <w:top w:val="single" w:sz="4" w:space="0" w:color="auto"/>
              <w:left w:val="single" w:sz="4" w:space="0" w:color="auto"/>
              <w:bottom w:val="single" w:sz="4" w:space="0" w:color="auto"/>
              <w:right w:val="single" w:sz="4" w:space="0" w:color="auto"/>
            </w:tcBorders>
            <w:vAlign w:val="center"/>
          </w:tcPr>
          <w:p w14:paraId="609837D6"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2</w:t>
            </w:r>
          </w:p>
        </w:tc>
        <w:tc>
          <w:tcPr>
            <w:tcW w:w="352" w:type="pct"/>
            <w:tcBorders>
              <w:top w:val="single" w:sz="4" w:space="0" w:color="auto"/>
              <w:left w:val="single" w:sz="4" w:space="0" w:color="auto"/>
              <w:bottom w:val="single" w:sz="4" w:space="0" w:color="auto"/>
              <w:right w:val="single" w:sz="4" w:space="0" w:color="auto"/>
            </w:tcBorders>
            <w:vAlign w:val="center"/>
          </w:tcPr>
          <w:p w14:paraId="4AA2E768"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3</w:t>
            </w:r>
          </w:p>
        </w:tc>
        <w:tc>
          <w:tcPr>
            <w:tcW w:w="400" w:type="pct"/>
            <w:tcBorders>
              <w:top w:val="single" w:sz="4" w:space="0" w:color="auto"/>
              <w:left w:val="single" w:sz="4" w:space="0" w:color="auto"/>
              <w:bottom w:val="single" w:sz="4" w:space="0" w:color="auto"/>
              <w:right w:val="single" w:sz="4" w:space="0" w:color="auto"/>
            </w:tcBorders>
            <w:vAlign w:val="center"/>
          </w:tcPr>
          <w:p w14:paraId="66945260"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4</w:t>
            </w:r>
          </w:p>
        </w:tc>
        <w:tc>
          <w:tcPr>
            <w:tcW w:w="400" w:type="pct"/>
            <w:tcBorders>
              <w:top w:val="single" w:sz="4" w:space="0" w:color="auto"/>
              <w:left w:val="single" w:sz="4" w:space="0" w:color="auto"/>
              <w:bottom w:val="single" w:sz="4" w:space="0" w:color="auto"/>
              <w:right w:val="single" w:sz="4" w:space="0" w:color="auto"/>
            </w:tcBorders>
            <w:vAlign w:val="center"/>
          </w:tcPr>
          <w:p w14:paraId="632925A8"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5</w:t>
            </w:r>
          </w:p>
        </w:tc>
        <w:tc>
          <w:tcPr>
            <w:tcW w:w="366" w:type="pct"/>
            <w:tcBorders>
              <w:top w:val="single" w:sz="4" w:space="0" w:color="auto"/>
              <w:left w:val="single" w:sz="4" w:space="0" w:color="auto"/>
              <w:bottom w:val="single" w:sz="4" w:space="0" w:color="auto"/>
              <w:right w:val="single" w:sz="4" w:space="0" w:color="auto"/>
            </w:tcBorders>
            <w:vAlign w:val="center"/>
          </w:tcPr>
          <w:p w14:paraId="3C9696BE"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6</w:t>
            </w:r>
          </w:p>
        </w:tc>
        <w:tc>
          <w:tcPr>
            <w:tcW w:w="404" w:type="pct"/>
            <w:tcBorders>
              <w:top w:val="single" w:sz="4" w:space="0" w:color="auto"/>
              <w:left w:val="single" w:sz="4" w:space="0" w:color="auto"/>
              <w:bottom w:val="single" w:sz="4" w:space="0" w:color="auto"/>
              <w:right w:val="single" w:sz="4" w:space="0" w:color="auto"/>
            </w:tcBorders>
            <w:vAlign w:val="center"/>
          </w:tcPr>
          <w:p w14:paraId="7821C266"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7</w:t>
            </w:r>
          </w:p>
        </w:tc>
        <w:tc>
          <w:tcPr>
            <w:tcW w:w="404" w:type="pct"/>
            <w:tcBorders>
              <w:top w:val="single" w:sz="4" w:space="0" w:color="auto"/>
              <w:left w:val="single" w:sz="4" w:space="0" w:color="auto"/>
              <w:bottom w:val="single" w:sz="4" w:space="0" w:color="auto"/>
              <w:right w:val="single" w:sz="4" w:space="0" w:color="auto"/>
            </w:tcBorders>
            <w:vAlign w:val="center"/>
          </w:tcPr>
          <w:p w14:paraId="422BB8EB"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8</w:t>
            </w:r>
          </w:p>
        </w:tc>
        <w:tc>
          <w:tcPr>
            <w:tcW w:w="403" w:type="pct"/>
            <w:tcBorders>
              <w:top w:val="single" w:sz="4" w:space="0" w:color="auto"/>
              <w:left w:val="single" w:sz="4" w:space="0" w:color="auto"/>
              <w:bottom w:val="single" w:sz="4" w:space="0" w:color="auto"/>
              <w:right w:val="single" w:sz="4" w:space="0" w:color="auto"/>
            </w:tcBorders>
            <w:vAlign w:val="center"/>
          </w:tcPr>
          <w:p w14:paraId="2261DE93"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9</w:t>
            </w:r>
          </w:p>
        </w:tc>
        <w:tc>
          <w:tcPr>
            <w:tcW w:w="402" w:type="pct"/>
            <w:tcBorders>
              <w:top w:val="single" w:sz="4" w:space="0" w:color="auto"/>
              <w:left w:val="single" w:sz="4" w:space="0" w:color="auto"/>
              <w:bottom w:val="single" w:sz="4" w:space="0" w:color="auto"/>
              <w:right w:val="single" w:sz="4" w:space="0" w:color="auto"/>
            </w:tcBorders>
            <w:vAlign w:val="center"/>
          </w:tcPr>
          <w:p w14:paraId="1FA460A8"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10</w:t>
            </w:r>
          </w:p>
        </w:tc>
        <w:tc>
          <w:tcPr>
            <w:tcW w:w="344" w:type="pct"/>
            <w:tcBorders>
              <w:top w:val="single" w:sz="4" w:space="0" w:color="auto"/>
              <w:left w:val="single" w:sz="4" w:space="0" w:color="auto"/>
              <w:bottom w:val="single" w:sz="4" w:space="0" w:color="auto"/>
              <w:right w:val="single" w:sz="4" w:space="0" w:color="auto"/>
            </w:tcBorders>
            <w:vAlign w:val="center"/>
          </w:tcPr>
          <w:p w14:paraId="001CC9CD"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11</w:t>
            </w:r>
          </w:p>
        </w:tc>
        <w:tc>
          <w:tcPr>
            <w:tcW w:w="384" w:type="pct"/>
            <w:tcBorders>
              <w:top w:val="single" w:sz="4" w:space="0" w:color="auto"/>
              <w:left w:val="single" w:sz="4" w:space="0" w:color="auto"/>
              <w:bottom w:val="single" w:sz="4" w:space="0" w:color="auto"/>
              <w:right w:val="single" w:sz="4" w:space="0" w:color="auto"/>
            </w:tcBorders>
            <w:vAlign w:val="center"/>
          </w:tcPr>
          <w:p w14:paraId="6B767CDC"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12</w:t>
            </w:r>
          </w:p>
        </w:tc>
      </w:tr>
      <w:tr w:rsidR="003E78AB" w14:paraId="34768D7F" w14:textId="77777777">
        <w:trPr>
          <w:trHeight w:val="340"/>
          <w:jc w:val="center"/>
        </w:trPr>
        <w:tc>
          <w:tcPr>
            <w:tcW w:w="414" w:type="pct"/>
            <w:tcBorders>
              <w:top w:val="single" w:sz="4" w:space="0" w:color="auto"/>
              <w:left w:val="single" w:sz="4" w:space="0" w:color="auto"/>
              <w:bottom w:val="single" w:sz="4" w:space="0" w:color="auto"/>
              <w:right w:val="single" w:sz="4" w:space="0" w:color="auto"/>
            </w:tcBorders>
            <w:vAlign w:val="center"/>
          </w:tcPr>
          <w:p w14:paraId="293F75BF"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温度</w:t>
            </w:r>
            <w:r>
              <w:rPr>
                <w:b/>
                <w:bCs/>
                <w:kern w:val="2"/>
                <w:sz w:val="18"/>
                <w:szCs w:val="18"/>
                <w:u w:val="single"/>
              </w:rPr>
              <w:t>/℃</w:t>
            </w:r>
          </w:p>
        </w:tc>
        <w:tc>
          <w:tcPr>
            <w:tcW w:w="359" w:type="pct"/>
            <w:tcBorders>
              <w:top w:val="single" w:sz="4" w:space="0" w:color="auto"/>
              <w:left w:val="single" w:sz="4" w:space="0" w:color="auto"/>
              <w:bottom w:val="single" w:sz="4" w:space="0" w:color="auto"/>
              <w:right w:val="single" w:sz="4" w:space="0" w:color="auto"/>
            </w:tcBorders>
            <w:vAlign w:val="center"/>
          </w:tcPr>
          <w:p w14:paraId="0294DFA1"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-7.55</w:t>
            </w:r>
          </w:p>
        </w:tc>
        <w:tc>
          <w:tcPr>
            <w:tcW w:w="360" w:type="pct"/>
            <w:tcBorders>
              <w:top w:val="single" w:sz="4" w:space="0" w:color="auto"/>
              <w:left w:val="single" w:sz="4" w:space="0" w:color="auto"/>
              <w:bottom w:val="single" w:sz="4" w:space="0" w:color="auto"/>
              <w:right w:val="single" w:sz="4" w:space="0" w:color="auto"/>
            </w:tcBorders>
            <w:vAlign w:val="center"/>
          </w:tcPr>
          <w:p w14:paraId="2453E2A8"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-2.94</w:t>
            </w:r>
          </w:p>
        </w:tc>
        <w:tc>
          <w:tcPr>
            <w:tcW w:w="352" w:type="pct"/>
            <w:tcBorders>
              <w:top w:val="single" w:sz="4" w:space="0" w:color="auto"/>
              <w:left w:val="single" w:sz="4" w:space="0" w:color="auto"/>
              <w:bottom w:val="single" w:sz="4" w:space="0" w:color="auto"/>
              <w:right w:val="single" w:sz="4" w:space="0" w:color="auto"/>
            </w:tcBorders>
            <w:vAlign w:val="center"/>
          </w:tcPr>
          <w:p w14:paraId="412AFF3B"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3.31</w:t>
            </w:r>
          </w:p>
        </w:tc>
        <w:tc>
          <w:tcPr>
            <w:tcW w:w="400" w:type="pct"/>
            <w:tcBorders>
              <w:top w:val="single" w:sz="4" w:space="0" w:color="auto"/>
              <w:left w:val="single" w:sz="4" w:space="0" w:color="auto"/>
              <w:bottom w:val="single" w:sz="4" w:space="0" w:color="auto"/>
              <w:right w:val="single" w:sz="4" w:space="0" w:color="auto"/>
            </w:tcBorders>
            <w:vAlign w:val="center"/>
          </w:tcPr>
          <w:p w14:paraId="298E4DC1"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12.09</w:t>
            </w:r>
          </w:p>
        </w:tc>
        <w:tc>
          <w:tcPr>
            <w:tcW w:w="400" w:type="pct"/>
            <w:tcBorders>
              <w:top w:val="single" w:sz="4" w:space="0" w:color="auto"/>
              <w:left w:val="single" w:sz="4" w:space="0" w:color="auto"/>
              <w:bottom w:val="single" w:sz="4" w:space="0" w:color="auto"/>
              <w:right w:val="single" w:sz="4" w:space="0" w:color="auto"/>
            </w:tcBorders>
            <w:vAlign w:val="center"/>
          </w:tcPr>
          <w:p w14:paraId="5349BE5A"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19.57</w:t>
            </w:r>
          </w:p>
        </w:tc>
        <w:tc>
          <w:tcPr>
            <w:tcW w:w="366" w:type="pct"/>
            <w:tcBorders>
              <w:top w:val="single" w:sz="4" w:space="0" w:color="auto"/>
              <w:left w:val="single" w:sz="4" w:space="0" w:color="auto"/>
              <w:bottom w:val="single" w:sz="4" w:space="0" w:color="auto"/>
              <w:right w:val="single" w:sz="4" w:space="0" w:color="auto"/>
            </w:tcBorders>
            <w:vAlign w:val="center"/>
          </w:tcPr>
          <w:p w14:paraId="4F186959"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26.74</w:t>
            </w:r>
          </w:p>
        </w:tc>
        <w:tc>
          <w:tcPr>
            <w:tcW w:w="404" w:type="pct"/>
            <w:tcBorders>
              <w:top w:val="single" w:sz="4" w:space="0" w:color="auto"/>
              <w:left w:val="single" w:sz="4" w:space="0" w:color="auto"/>
              <w:bottom w:val="single" w:sz="4" w:space="0" w:color="auto"/>
              <w:right w:val="single" w:sz="4" w:space="0" w:color="auto"/>
            </w:tcBorders>
            <w:vAlign w:val="center"/>
          </w:tcPr>
          <w:p w14:paraId="768E4F53"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28.46</w:t>
            </w:r>
          </w:p>
        </w:tc>
        <w:tc>
          <w:tcPr>
            <w:tcW w:w="404" w:type="pct"/>
            <w:tcBorders>
              <w:top w:val="single" w:sz="4" w:space="0" w:color="auto"/>
              <w:left w:val="single" w:sz="4" w:space="0" w:color="auto"/>
              <w:bottom w:val="single" w:sz="4" w:space="0" w:color="auto"/>
              <w:right w:val="single" w:sz="4" w:space="0" w:color="auto"/>
            </w:tcBorders>
            <w:vAlign w:val="center"/>
          </w:tcPr>
          <w:p w14:paraId="4C8614BE"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25.35</w:t>
            </w:r>
          </w:p>
        </w:tc>
        <w:tc>
          <w:tcPr>
            <w:tcW w:w="403" w:type="pct"/>
            <w:tcBorders>
              <w:top w:val="single" w:sz="4" w:space="0" w:color="auto"/>
              <w:left w:val="single" w:sz="4" w:space="0" w:color="auto"/>
              <w:bottom w:val="single" w:sz="4" w:space="0" w:color="auto"/>
              <w:right w:val="single" w:sz="4" w:space="0" w:color="auto"/>
            </w:tcBorders>
            <w:vAlign w:val="center"/>
          </w:tcPr>
          <w:p w14:paraId="4ED6A4F3"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19.22</w:t>
            </w:r>
          </w:p>
        </w:tc>
        <w:tc>
          <w:tcPr>
            <w:tcW w:w="402" w:type="pct"/>
            <w:tcBorders>
              <w:top w:val="single" w:sz="4" w:space="0" w:color="auto"/>
              <w:left w:val="single" w:sz="4" w:space="0" w:color="auto"/>
              <w:bottom w:val="single" w:sz="4" w:space="0" w:color="auto"/>
              <w:right w:val="single" w:sz="4" w:space="0" w:color="auto"/>
            </w:tcBorders>
            <w:vAlign w:val="center"/>
          </w:tcPr>
          <w:p w14:paraId="1B82D5A5"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11.20</w:t>
            </w:r>
          </w:p>
        </w:tc>
        <w:tc>
          <w:tcPr>
            <w:tcW w:w="344" w:type="pct"/>
            <w:tcBorders>
              <w:top w:val="single" w:sz="4" w:space="0" w:color="auto"/>
              <w:left w:val="single" w:sz="4" w:space="0" w:color="auto"/>
              <w:bottom w:val="single" w:sz="4" w:space="0" w:color="auto"/>
              <w:right w:val="single" w:sz="4" w:space="0" w:color="auto"/>
            </w:tcBorders>
            <w:vAlign w:val="center"/>
          </w:tcPr>
          <w:p w14:paraId="054AECD8"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2.33</w:t>
            </w:r>
          </w:p>
        </w:tc>
        <w:tc>
          <w:tcPr>
            <w:tcW w:w="384" w:type="pct"/>
            <w:tcBorders>
              <w:top w:val="single" w:sz="4" w:space="0" w:color="auto"/>
              <w:left w:val="single" w:sz="4" w:space="0" w:color="auto"/>
              <w:bottom w:val="single" w:sz="4" w:space="0" w:color="auto"/>
              <w:right w:val="single" w:sz="4" w:space="0" w:color="auto"/>
            </w:tcBorders>
            <w:vAlign w:val="center"/>
          </w:tcPr>
          <w:p w14:paraId="266CBC0A" w14:textId="77777777" w:rsidR="003E78AB" w:rsidRDefault="00010BF9">
            <w:pPr>
              <w:spacing w:line="360" w:lineRule="exact"/>
              <w:ind w:firstLineChars="0" w:firstLine="0"/>
              <w:jc w:val="center"/>
              <w:rPr>
                <w:b/>
                <w:bCs/>
                <w:kern w:val="2"/>
                <w:sz w:val="18"/>
                <w:szCs w:val="18"/>
                <w:u w:val="single"/>
              </w:rPr>
            </w:pPr>
            <w:r>
              <w:rPr>
                <w:b/>
                <w:bCs/>
                <w:kern w:val="2"/>
                <w:sz w:val="18"/>
                <w:szCs w:val="18"/>
                <w:u w:val="single"/>
              </w:rPr>
              <w:t>-8.98</w:t>
            </w:r>
          </w:p>
        </w:tc>
      </w:tr>
    </w:tbl>
    <w:p w14:paraId="431F0E03" w14:textId="77777777" w:rsidR="003E78AB" w:rsidRDefault="003E78AB">
      <w:pPr>
        <w:ind w:firstLine="482"/>
        <w:jc w:val="center"/>
        <w:rPr>
          <w:b/>
          <w:bCs/>
          <w:kern w:val="2"/>
          <w:u w:val="single"/>
        </w:rPr>
      </w:pPr>
    </w:p>
    <w:p w14:paraId="196970DE" w14:textId="77777777" w:rsidR="003E78AB" w:rsidRDefault="00010BF9">
      <w:pPr>
        <w:spacing w:line="240" w:lineRule="atLeast"/>
        <w:ind w:firstLineChars="0" w:firstLine="0"/>
        <w:jc w:val="center"/>
        <w:rPr>
          <w:b/>
          <w:bCs/>
          <w:kern w:val="2"/>
          <w:u w:val="single"/>
        </w:rPr>
      </w:pPr>
      <w:r>
        <w:rPr>
          <w:b/>
          <w:bCs/>
          <w:noProof/>
          <w:kern w:val="2"/>
          <w:u w:val="single"/>
        </w:rPr>
        <w:drawing>
          <wp:inline distT="0" distB="0" distL="114300" distR="114300">
            <wp:extent cx="4982210" cy="2037715"/>
            <wp:effectExtent l="4445" t="4445" r="23495" b="15240"/>
            <wp:docPr id="20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1BBE13" w14:textId="77777777" w:rsidR="003E78AB" w:rsidRDefault="00010BF9">
      <w:pPr>
        <w:pStyle w:val="a9"/>
        <w:spacing w:before="120"/>
        <w:ind w:left="425" w:hanging="425"/>
      </w:pPr>
      <w:bookmarkStart w:id="356" w:name="_Ref8629"/>
      <w:r>
        <w:t>哈密市</w:t>
      </w:r>
      <w:r>
        <w:rPr>
          <w:rFonts w:hint="eastAsia"/>
        </w:rPr>
        <w:t>2023</w:t>
      </w:r>
      <w:r>
        <w:t>年各月平均温度变化曲线图</w:t>
      </w:r>
      <w:bookmarkEnd w:id="356"/>
    </w:p>
    <w:p w14:paraId="2C57DF68" w14:textId="77777777" w:rsidR="003E78AB" w:rsidRDefault="00010BF9">
      <w:pPr>
        <w:ind w:firstLine="480"/>
        <w:rPr>
          <w:bCs/>
          <w:kern w:val="28"/>
        </w:rPr>
      </w:pPr>
      <w:r>
        <w:rPr>
          <w:bCs/>
          <w:kern w:val="28"/>
        </w:rPr>
        <w:t>（</w:t>
      </w:r>
      <w:r>
        <w:rPr>
          <w:bCs/>
          <w:kern w:val="28"/>
        </w:rPr>
        <w:t>2</w:t>
      </w:r>
      <w:r>
        <w:rPr>
          <w:bCs/>
          <w:kern w:val="28"/>
        </w:rPr>
        <w:t>）风速、风频</w:t>
      </w:r>
    </w:p>
    <w:p w14:paraId="4222600A" w14:textId="77777777" w:rsidR="003E78AB" w:rsidRDefault="00010BF9">
      <w:pPr>
        <w:ind w:firstLine="480"/>
        <w:rPr>
          <w:bCs/>
          <w:kern w:val="28"/>
        </w:rPr>
      </w:pPr>
      <w:r>
        <w:rPr>
          <w:bCs/>
          <w:kern w:val="28"/>
        </w:rPr>
        <w:t>哈密市气象站</w:t>
      </w:r>
      <w:r>
        <w:rPr>
          <w:rFonts w:hint="eastAsia"/>
          <w:bCs/>
          <w:kern w:val="28"/>
        </w:rPr>
        <w:t>2023</w:t>
      </w:r>
      <w:r>
        <w:rPr>
          <w:bCs/>
          <w:kern w:val="28"/>
        </w:rPr>
        <w:t>年风速月变化见</w:t>
      </w:r>
      <w:r>
        <w:rPr>
          <w:bCs/>
          <w:kern w:val="28"/>
        </w:rPr>
        <w:fldChar w:fldCharType="begin"/>
      </w:r>
      <w:r>
        <w:rPr>
          <w:bCs/>
          <w:kern w:val="28"/>
        </w:rPr>
        <w:instrText xml:space="preserve"> REF _Ref8671 \r \h  \* MERGEFORMAT </w:instrText>
      </w:r>
      <w:r>
        <w:rPr>
          <w:bCs/>
          <w:kern w:val="28"/>
        </w:rPr>
      </w:r>
      <w:r>
        <w:rPr>
          <w:bCs/>
          <w:kern w:val="28"/>
        </w:rPr>
        <w:fldChar w:fldCharType="separate"/>
      </w:r>
      <w:r>
        <w:rPr>
          <w:bCs/>
          <w:kern w:val="28"/>
        </w:rPr>
        <w:t>表</w:t>
      </w:r>
      <w:r>
        <w:rPr>
          <w:bCs/>
          <w:kern w:val="28"/>
        </w:rPr>
        <w:t>5-6</w:t>
      </w:r>
      <w:r>
        <w:rPr>
          <w:bCs/>
          <w:kern w:val="28"/>
        </w:rPr>
        <w:fldChar w:fldCharType="end"/>
      </w:r>
      <w:r>
        <w:rPr>
          <w:bCs/>
          <w:kern w:val="28"/>
        </w:rPr>
        <w:t>，</w:t>
      </w:r>
      <w:r>
        <w:rPr>
          <w:bCs/>
          <w:kern w:val="28"/>
        </w:rPr>
        <w:fldChar w:fldCharType="begin"/>
      </w:r>
      <w:r>
        <w:rPr>
          <w:bCs/>
          <w:kern w:val="28"/>
        </w:rPr>
        <w:instrText xml:space="preserve"> REF _Ref28780 \r \h  \* MERGEFORMAT </w:instrText>
      </w:r>
      <w:r>
        <w:rPr>
          <w:bCs/>
          <w:kern w:val="28"/>
        </w:rPr>
      </w:r>
      <w:r>
        <w:rPr>
          <w:bCs/>
          <w:kern w:val="28"/>
        </w:rPr>
        <w:fldChar w:fldCharType="separate"/>
      </w:r>
      <w:r>
        <w:rPr>
          <w:bCs/>
          <w:kern w:val="28"/>
        </w:rPr>
        <w:t>图</w:t>
      </w:r>
      <w:r>
        <w:rPr>
          <w:bCs/>
          <w:kern w:val="28"/>
        </w:rPr>
        <w:t>5-2</w:t>
      </w:r>
      <w:r>
        <w:rPr>
          <w:bCs/>
          <w:kern w:val="28"/>
        </w:rPr>
        <w:fldChar w:fldCharType="end"/>
      </w:r>
      <w:r>
        <w:rPr>
          <w:bCs/>
          <w:kern w:val="28"/>
        </w:rPr>
        <w:t>，季小时平均风速变化</w:t>
      </w:r>
      <w:r>
        <w:rPr>
          <w:bCs/>
          <w:kern w:val="28"/>
        </w:rPr>
        <w:t>见</w:t>
      </w:r>
      <w:r>
        <w:rPr>
          <w:bCs/>
          <w:kern w:val="28"/>
        </w:rPr>
        <w:fldChar w:fldCharType="begin"/>
      </w:r>
      <w:r>
        <w:rPr>
          <w:bCs/>
          <w:kern w:val="28"/>
        </w:rPr>
        <w:instrText xml:space="preserve"> REF _Ref28943 \r \h  \* MERGEFORMAT </w:instrText>
      </w:r>
      <w:r>
        <w:rPr>
          <w:bCs/>
          <w:kern w:val="28"/>
        </w:rPr>
      </w:r>
      <w:r>
        <w:rPr>
          <w:bCs/>
          <w:kern w:val="28"/>
        </w:rPr>
        <w:fldChar w:fldCharType="separate"/>
      </w:r>
      <w:r>
        <w:rPr>
          <w:bCs/>
          <w:kern w:val="28"/>
        </w:rPr>
        <w:t>表</w:t>
      </w:r>
      <w:r>
        <w:rPr>
          <w:bCs/>
          <w:kern w:val="28"/>
        </w:rPr>
        <w:t>5-7</w:t>
      </w:r>
      <w:r>
        <w:rPr>
          <w:bCs/>
          <w:kern w:val="28"/>
        </w:rPr>
        <w:fldChar w:fldCharType="end"/>
      </w:r>
      <w:r>
        <w:rPr>
          <w:rFonts w:hint="eastAsia"/>
          <w:bCs/>
          <w:kern w:val="28"/>
        </w:rPr>
        <w:t>，</w:t>
      </w:r>
      <w:r>
        <w:rPr>
          <w:bCs/>
          <w:kern w:val="28"/>
        </w:rPr>
        <w:fldChar w:fldCharType="begin"/>
      </w:r>
      <w:r>
        <w:rPr>
          <w:bCs/>
          <w:kern w:val="28"/>
        </w:rPr>
        <w:instrText xml:space="preserve"> REF _Ref28962 \r \h  \* MERGEFORMAT </w:instrText>
      </w:r>
      <w:r>
        <w:rPr>
          <w:bCs/>
          <w:kern w:val="28"/>
        </w:rPr>
      </w:r>
      <w:r>
        <w:rPr>
          <w:bCs/>
          <w:kern w:val="28"/>
        </w:rPr>
        <w:fldChar w:fldCharType="separate"/>
      </w:r>
      <w:r>
        <w:rPr>
          <w:bCs/>
          <w:kern w:val="28"/>
        </w:rPr>
        <w:t>图</w:t>
      </w:r>
      <w:r>
        <w:rPr>
          <w:bCs/>
          <w:kern w:val="28"/>
        </w:rPr>
        <w:t>5-3</w:t>
      </w:r>
      <w:r>
        <w:rPr>
          <w:bCs/>
          <w:kern w:val="28"/>
        </w:rPr>
        <w:fldChar w:fldCharType="end"/>
      </w:r>
      <w:r>
        <w:rPr>
          <w:bCs/>
          <w:kern w:val="28"/>
        </w:rPr>
        <w:t>，全年及四季各风向频率见</w:t>
      </w:r>
      <w:r>
        <w:rPr>
          <w:bCs/>
          <w:kern w:val="28"/>
        </w:rPr>
        <w:fldChar w:fldCharType="begin"/>
      </w:r>
      <w:r>
        <w:rPr>
          <w:bCs/>
          <w:kern w:val="28"/>
        </w:rPr>
        <w:instrText xml:space="preserve"> REF _Ref29106 \r \h  \* MERGEFO</w:instrText>
      </w:r>
      <w:r>
        <w:rPr>
          <w:bCs/>
          <w:kern w:val="28"/>
        </w:rPr>
        <w:instrText xml:space="preserve">RMAT </w:instrText>
      </w:r>
      <w:r>
        <w:rPr>
          <w:bCs/>
          <w:kern w:val="28"/>
        </w:rPr>
      </w:r>
      <w:r>
        <w:rPr>
          <w:bCs/>
          <w:kern w:val="28"/>
        </w:rPr>
        <w:fldChar w:fldCharType="separate"/>
      </w:r>
      <w:r>
        <w:rPr>
          <w:bCs/>
          <w:kern w:val="28"/>
        </w:rPr>
        <w:t>表</w:t>
      </w:r>
      <w:r>
        <w:rPr>
          <w:bCs/>
          <w:kern w:val="28"/>
        </w:rPr>
        <w:t>5-9</w:t>
      </w:r>
      <w:r>
        <w:rPr>
          <w:bCs/>
          <w:kern w:val="28"/>
        </w:rPr>
        <w:fldChar w:fldCharType="end"/>
      </w:r>
      <w:r>
        <w:rPr>
          <w:rFonts w:hint="eastAsia"/>
          <w:bCs/>
          <w:kern w:val="28"/>
        </w:rPr>
        <w:t>，</w:t>
      </w:r>
      <w:r>
        <w:rPr>
          <w:bCs/>
          <w:kern w:val="28"/>
        </w:rPr>
        <w:fldChar w:fldCharType="begin"/>
      </w:r>
      <w:r>
        <w:rPr>
          <w:bCs/>
          <w:kern w:val="28"/>
        </w:rPr>
        <w:instrText xml:space="preserve"> REF _Ref29126 \r \h  \* MERGEFORMAT </w:instrText>
      </w:r>
      <w:r>
        <w:rPr>
          <w:bCs/>
          <w:kern w:val="28"/>
        </w:rPr>
      </w:r>
      <w:r>
        <w:rPr>
          <w:bCs/>
          <w:kern w:val="28"/>
        </w:rPr>
        <w:fldChar w:fldCharType="separate"/>
      </w:r>
      <w:r>
        <w:rPr>
          <w:bCs/>
          <w:kern w:val="28"/>
        </w:rPr>
        <w:t>图</w:t>
      </w:r>
      <w:r>
        <w:rPr>
          <w:bCs/>
          <w:kern w:val="28"/>
        </w:rPr>
        <w:t>5-4</w:t>
      </w:r>
      <w:r>
        <w:rPr>
          <w:bCs/>
          <w:kern w:val="28"/>
        </w:rPr>
        <w:fldChar w:fldCharType="end"/>
      </w:r>
      <w:r>
        <w:rPr>
          <w:bCs/>
          <w:kern w:val="28"/>
        </w:rPr>
        <w:t>，风速频率见</w:t>
      </w:r>
      <w:r>
        <w:rPr>
          <w:bCs/>
          <w:kern w:val="28"/>
        </w:rPr>
        <w:fldChar w:fldCharType="begin"/>
      </w:r>
      <w:r>
        <w:rPr>
          <w:bCs/>
          <w:kern w:val="28"/>
        </w:rPr>
        <w:instrText xml:space="preserve"> REF _Ref29240 \r \h  \* MERGEFORMAT </w:instrText>
      </w:r>
      <w:r>
        <w:rPr>
          <w:bCs/>
          <w:kern w:val="28"/>
        </w:rPr>
      </w:r>
      <w:r>
        <w:rPr>
          <w:bCs/>
          <w:kern w:val="28"/>
        </w:rPr>
        <w:fldChar w:fldCharType="separate"/>
      </w:r>
      <w:r>
        <w:rPr>
          <w:bCs/>
          <w:kern w:val="28"/>
        </w:rPr>
        <w:t>表</w:t>
      </w:r>
      <w:r>
        <w:rPr>
          <w:bCs/>
          <w:kern w:val="28"/>
        </w:rPr>
        <w:t>5-10</w:t>
      </w:r>
      <w:r>
        <w:rPr>
          <w:bCs/>
          <w:kern w:val="28"/>
        </w:rPr>
        <w:fldChar w:fldCharType="end"/>
      </w:r>
      <w:r>
        <w:rPr>
          <w:rFonts w:hint="eastAsia"/>
          <w:bCs/>
          <w:kern w:val="28"/>
        </w:rPr>
        <w:t>，</w:t>
      </w:r>
      <w:r>
        <w:rPr>
          <w:bCs/>
          <w:kern w:val="28"/>
        </w:rPr>
        <w:fldChar w:fldCharType="begin"/>
      </w:r>
      <w:r>
        <w:rPr>
          <w:bCs/>
          <w:kern w:val="28"/>
        </w:rPr>
        <w:instrText xml:space="preserve"> REF _Ref29253 \r \h  \* MERGEFORMAT </w:instrText>
      </w:r>
      <w:r>
        <w:rPr>
          <w:bCs/>
          <w:kern w:val="28"/>
        </w:rPr>
      </w:r>
      <w:r>
        <w:rPr>
          <w:bCs/>
          <w:kern w:val="28"/>
        </w:rPr>
        <w:fldChar w:fldCharType="separate"/>
      </w:r>
      <w:r>
        <w:rPr>
          <w:bCs/>
          <w:kern w:val="28"/>
        </w:rPr>
        <w:t>图</w:t>
      </w:r>
      <w:r>
        <w:rPr>
          <w:bCs/>
          <w:kern w:val="28"/>
        </w:rPr>
        <w:t>5-5</w:t>
      </w:r>
      <w:r>
        <w:rPr>
          <w:bCs/>
          <w:kern w:val="28"/>
        </w:rPr>
        <w:fldChar w:fldCharType="end"/>
      </w:r>
      <w:r>
        <w:rPr>
          <w:bCs/>
          <w:kern w:val="28"/>
        </w:rPr>
        <w:t>。</w:t>
      </w:r>
    </w:p>
    <w:p w14:paraId="3BCB2F82" w14:textId="77777777" w:rsidR="003E78AB" w:rsidRDefault="00010BF9">
      <w:pPr>
        <w:ind w:firstLine="480"/>
        <w:rPr>
          <w:bCs/>
          <w:kern w:val="28"/>
        </w:rPr>
      </w:pPr>
      <w:r>
        <w:rPr>
          <w:bCs/>
          <w:kern w:val="28"/>
        </w:rPr>
        <w:t>（</w:t>
      </w:r>
      <w:r>
        <w:rPr>
          <w:bCs/>
          <w:kern w:val="28"/>
        </w:rPr>
        <w:t>3</w:t>
      </w:r>
      <w:r>
        <w:rPr>
          <w:bCs/>
          <w:kern w:val="28"/>
        </w:rPr>
        <w:t>）污染系数</w:t>
      </w:r>
    </w:p>
    <w:p w14:paraId="7CEA59D3" w14:textId="77777777" w:rsidR="003E78AB" w:rsidRDefault="00010BF9">
      <w:pPr>
        <w:ind w:firstLine="480"/>
        <w:rPr>
          <w:bCs/>
          <w:kern w:val="28"/>
        </w:rPr>
      </w:pPr>
      <w:r>
        <w:rPr>
          <w:bCs/>
          <w:kern w:val="28"/>
        </w:rPr>
        <w:t>污染系数是用某风向的频率与该风向平均风速的比来表示的，值越大则其下风向受污染的概率也越大。根据哈密市</w:t>
      </w:r>
      <w:r>
        <w:rPr>
          <w:rFonts w:hint="eastAsia"/>
          <w:bCs/>
          <w:kern w:val="28"/>
        </w:rPr>
        <w:t>2023</w:t>
      </w:r>
      <w:r>
        <w:rPr>
          <w:bCs/>
          <w:kern w:val="28"/>
        </w:rPr>
        <w:t>年气象统计资料，项目区域污染系数统计结果见</w:t>
      </w:r>
      <w:r>
        <w:rPr>
          <w:bCs/>
          <w:kern w:val="28"/>
        </w:rPr>
        <w:fldChar w:fldCharType="begin"/>
      </w:r>
      <w:r>
        <w:rPr>
          <w:bCs/>
          <w:kern w:val="28"/>
        </w:rPr>
        <w:instrText xml:space="preserve"> REF _Ref8671 \r \h  \* MERGEFORMAT </w:instrText>
      </w:r>
      <w:r>
        <w:rPr>
          <w:bCs/>
          <w:kern w:val="28"/>
        </w:rPr>
      </w:r>
      <w:r>
        <w:rPr>
          <w:bCs/>
          <w:kern w:val="28"/>
        </w:rPr>
        <w:fldChar w:fldCharType="separate"/>
      </w:r>
      <w:r>
        <w:rPr>
          <w:bCs/>
          <w:kern w:val="28"/>
        </w:rPr>
        <w:fldChar w:fldCharType="begin"/>
      </w:r>
      <w:r>
        <w:rPr>
          <w:bCs/>
          <w:kern w:val="28"/>
        </w:rPr>
        <w:instrText xml:space="preserve"> REF _Ref29361 \r \h </w:instrText>
      </w:r>
      <w:r>
        <w:rPr>
          <w:bCs/>
          <w:kern w:val="28"/>
        </w:rPr>
      </w:r>
      <w:r>
        <w:rPr>
          <w:bCs/>
          <w:kern w:val="28"/>
        </w:rPr>
        <w:fldChar w:fldCharType="separate"/>
      </w:r>
      <w:r>
        <w:rPr>
          <w:bCs/>
          <w:kern w:val="28"/>
        </w:rPr>
        <w:t>表</w:t>
      </w:r>
      <w:r>
        <w:rPr>
          <w:bCs/>
          <w:kern w:val="28"/>
        </w:rPr>
        <w:t>5-11</w:t>
      </w:r>
      <w:r>
        <w:rPr>
          <w:bCs/>
          <w:kern w:val="28"/>
        </w:rPr>
        <w:fldChar w:fldCharType="end"/>
      </w:r>
      <w:r>
        <w:rPr>
          <w:rFonts w:hint="eastAsia"/>
          <w:bCs/>
          <w:kern w:val="28"/>
        </w:rPr>
        <w:t>，</w:t>
      </w:r>
      <w:r>
        <w:rPr>
          <w:bCs/>
          <w:kern w:val="28"/>
        </w:rPr>
        <w:fldChar w:fldCharType="begin"/>
      </w:r>
      <w:r>
        <w:rPr>
          <w:bCs/>
          <w:kern w:val="28"/>
        </w:rPr>
        <w:instrText xml:space="preserve"> REF _Ref29367 \r \h </w:instrText>
      </w:r>
      <w:r>
        <w:rPr>
          <w:bCs/>
          <w:kern w:val="28"/>
        </w:rPr>
      </w:r>
      <w:r>
        <w:rPr>
          <w:bCs/>
          <w:kern w:val="28"/>
        </w:rPr>
        <w:fldChar w:fldCharType="separate"/>
      </w:r>
      <w:r>
        <w:rPr>
          <w:bCs/>
          <w:kern w:val="28"/>
        </w:rPr>
        <w:t>图</w:t>
      </w:r>
      <w:r>
        <w:rPr>
          <w:bCs/>
          <w:kern w:val="28"/>
        </w:rPr>
        <w:t>5-6</w:t>
      </w:r>
      <w:r>
        <w:rPr>
          <w:bCs/>
          <w:kern w:val="28"/>
        </w:rPr>
        <w:fldChar w:fldCharType="end"/>
      </w:r>
      <w:r>
        <w:rPr>
          <w:bCs/>
          <w:kern w:val="28"/>
        </w:rPr>
        <w:fldChar w:fldCharType="end"/>
      </w:r>
      <w:r>
        <w:rPr>
          <w:bCs/>
          <w:kern w:val="28"/>
        </w:rPr>
        <w:t>。</w:t>
      </w:r>
    </w:p>
    <w:p w14:paraId="4584FE6B" w14:textId="77777777" w:rsidR="003E78AB" w:rsidRDefault="00010BF9">
      <w:pPr>
        <w:pStyle w:val="a4"/>
        <w:spacing w:before="120"/>
        <w:ind w:left="425" w:hanging="425"/>
        <w:rPr>
          <w:bCs/>
        </w:rPr>
      </w:pPr>
      <w:bookmarkStart w:id="357" w:name="_Ref8671"/>
      <w:r>
        <w:rPr>
          <w:bCs/>
        </w:rPr>
        <w:t>年平均风速的月变化</w:t>
      </w:r>
      <w:bookmarkEnd w:id="357"/>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330"/>
        <w:gridCol w:w="574"/>
        <w:gridCol w:w="574"/>
        <w:gridCol w:w="574"/>
        <w:gridCol w:w="574"/>
        <w:gridCol w:w="574"/>
        <w:gridCol w:w="574"/>
        <w:gridCol w:w="574"/>
        <w:gridCol w:w="574"/>
        <w:gridCol w:w="574"/>
        <w:gridCol w:w="676"/>
        <w:gridCol w:w="668"/>
        <w:gridCol w:w="676"/>
      </w:tblGrid>
      <w:tr w:rsidR="003E78AB" w14:paraId="70EB6A0B" w14:textId="77777777">
        <w:trPr>
          <w:trHeight w:val="333"/>
          <w:tblHeader/>
          <w:jc w:val="center"/>
        </w:trPr>
        <w:tc>
          <w:tcPr>
            <w:tcW w:w="58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213800" w14:textId="77777777" w:rsidR="003E78AB" w:rsidRDefault="00010BF9">
            <w:pPr>
              <w:spacing w:line="360" w:lineRule="exact"/>
              <w:ind w:firstLineChars="0" w:firstLine="0"/>
              <w:jc w:val="center"/>
              <w:rPr>
                <w:bCs/>
                <w:kern w:val="2"/>
                <w:sz w:val="21"/>
                <w:szCs w:val="21"/>
              </w:rPr>
            </w:pPr>
            <w:r>
              <w:rPr>
                <w:bCs/>
                <w:kern w:val="2"/>
                <w:sz w:val="21"/>
                <w:szCs w:val="21"/>
              </w:rPr>
              <w:t>月份</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76E0569" w14:textId="77777777" w:rsidR="003E78AB" w:rsidRDefault="00010BF9">
            <w:pPr>
              <w:spacing w:line="360" w:lineRule="exact"/>
              <w:ind w:firstLineChars="0" w:firstLine="0"/>
              <w:jc w:val="center"/>
              <w:rPr>
                <w:bCs/>
                <w:kern w:val="2"/>
                <w:sz w:val="21"/>
                <w:szCs w:val="21"/>
              </w:rPr>
            </w:pPr>
            <w:r>
              <w:rPr>
                <w:bCs/>
                <w:kern w:val="2"/>
                <w:sz w:val="21"/>
                <w:szCs w:val="21"/>
              </w:rPr>
              <w:t>1</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2D24378" w14:textId="77777777" w:rsidR="003E78AB" w:rsidRDefault="00010BF9">
            <w:pPr>
              <w:spacing w:line="360" w:lineRule="exact"/>
              <w:ind w:firstLineChars="0" w:firstLine="0"/>
              <w:jc w:val="center"/>
              <w:rPr>
                <w:bCs/>
                <w:kern w:val="2"/>
                <w:sz w:val="21"/>
                <w:szCs w:val="21"/>
              </w:rPr>
            </w:pPr>
            <w:r>
              <w:rPr>
                <w:bCs/>
                <w:kern w:val="2"/>
                <w:sz w:val="21"/>
                <w:szCs w:val="21"/>
              </w:rPr>
              <w:t>2</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732084" w14:textId="77777777" w:rsidR="003E78AB" w:rsidRDefault="00010BF9">
            <w:pPr>
              <w:spacing w:line="360" w:lineRule="exact"/>
              <w:ind w:firstLineChars="0" w:firstLine="0"/>
              <w:jc w:val="center"/>
              <w:rPr>
                <w:bCs/>
                <w:kern w:val="2"/>
                <w:sz w:val="21"/>
                <w:szCs w:val="21"/>
              </w:rPr>
            </w:pPr>
            <w:r>
              <w:rPr>
                <w:bCs/>
                <w:kern w:val="2"/>
                <w:sz w:val="21"/>
                <w:szCs w:val="21"/>
              </w:rPr>
              <w:t>3</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B36490" w14:textId="77777777" w:rsidR="003E78AB" w:rsidRDefault="00010BF9">
            <w:pPr>
              <w:spacing w:line="360" w:lineRule="exact"/>
              <w:ind w:firstLineChars="0" w:firstLine="0"/>
              <w:jc w:val="center"/>
              <w:rPr>
                <w:bCs/>
                <w:kern w:val="2"/>
                <w:sz w:val="21"/>
                <w:szCs w:val="21"/>
              </w:rPr>
            </w:pPr>
            <w:r>
              <w:rPr>
                <w:bCs/>
                <w:kern w:val="2"/>
                <w:sz w:val="21"/>
                <w:szCs w:val="21"/>
              </w:rPr>
              <w:t>4</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B259E7B" w14:textId="77777777" w:rsidR="003E78AB" w:rsidRDefault="00010BF9">
            <w:pPr>
              <w:spacing w:line="360" w:lineRule="exact"/>
              <w:ind w:firstLineChars="0" w:firstLine="0"/>
              <w:jc w:val="center"/>
              <w:rPr>
                <w:bCs/>
                <w:kern w:val="2"/>
                <w:sz w:val="21"/>
                <w:szCs w:val="21"/>
              </w:rPr>
            </w:pPr>
            <w:r>
              <w:rPr>
                <w:bCs/>
                <w:kern w:val="2"/>
                <w:sz w:val="21"/>
                <w:szCs w:val="21"/>
              </w:rPr>
              <w:t>5</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3DE166" w14:textId="77777777" w:rsidR="003E78AB" w:rsidRDefault="00010BF9">
            <w:pPr>
              <w:spacing w:line="360" w:lineRule="exact"/>
              <w:ind w:firstLineChars="0" w:firstLine="0"/>
              <w:jc w:val="center"/>
              <w:rPr>
                <w:bCs/>
                <w:kern w:val="2"/>
                <w:sz w:val="21"/>
                <w:szCs w:val="21"/>
              </w:rPr>
            </w:pPr>
            <w:r>
              <w:rPr>
                <w:bCs/>
                <w:kern w:val="2"/>
                <w:sz w:val="21"/>
                <w:szCs w:val="21"/>
              </w:rPr>
              <w:t>6</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9FCE4B0" w14:textId="77777777" w:rsidR="003E78AB" w:rsidRDefault="00010BF9">
            <w:pPr>
              <w:spacing w:line="360" w:lineRule="exact"/>
              <w:ind w:firstLineChars="0" w:firstLine="0"/>
              <w:jc w:val="center"/>
              <w:rPr>
                <w:bCs/>
                <w:kern w:val="2"/>
                <w:sz w:val="21"/>
                <w:szCs w:val="21"/>
              </w:rPr>
            </w:pPr>
            <w:r>
              <w:rPr>
                <w:bCs/>
                <w:kern w:val="2"/>
                <w:sz w:val="21"/>
                <w:szCs w:val="21"/>
              </w:rPr>
              <w:t>7</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5DE1DA9" w14:textId="77777777" w:rsidR="003E78AB" w:rsidRDefault="00010BF9">
            <w:pPr>
              <w:spacing w:line="360" w:lineRule="exact"/>
              <w:ind w:firstLineChars="0" w:firstLine="0"/>
              <w:jc w:val="center"/>
              <w:rPr>
                <w:bCs/>
                <w:kern w:val="2"/>
                <w:sz w:val="21"/>
                <w:szCs w:val="21"/>
              </w:rPr>
            </w:pPr>
            <w:r>
              <w:rPr>
                <w:bCs/>
                <w:kern w:val="2"/>
                <w:sz w:val="21"/>
                <w:szCs w:val="21"/>
              </w:rPr>
              <w:t>8</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24C19F" w14:textId="77777777" w:rsidR="003E78AB" w:rsidRDefault="00010BF9">
            <w:pPr>
              <w:spacing w:line="360" w:lineRule="exact"/>
              <w:ind w:firstLineChars="0" w:firstLine="0"/>
              <w:jc w:val="center"/>
              <w:rPr>
                <w:bCs/>
                <w:kern w:val="2"/>
                <w:sz w:val="21"/>
                <w:szCs w:val="21"/>
              </w:rPr>
            </w:pPr>
            <w:r>
              <w:rPr>
                <w:bCs/>
                <w:kern w:val="2"/>
                <w:sz w:val="21"/>
                <w:szCs w:val="21"/>
              </w:rPr>
              <w:t>9</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E24D9E3" w14:textId="77777777" w:rsidR="003E78AB" w:rsidRDefault="00010BF9">
            <w:pPr>
              <w:spacing w:line="360" w:lineRule="exact"/>
              <w:ind w:firstLineChars="0" w:firstLine="0"/>
              <w:jc w:val="center"/>
              <w:rPr>
                <w:bCs/>
                <w:kern w:val="2"/>
                <w:sz w:val="21"/>
                <w:szCs w:val="21"/>
              </w:rPr>
            </w:pPr>
            <w:r>
              <w:rPr>
                <w:bCs/>
                <w:kern w:val="2"/>
                <w:sz w:val="21"/>
                <w:szCs w:val="21"/>
              </w:rPr>
              <w:t>10</w:t>
            </w:r>
            <w:r>
              <w:rPr>
                <w:bCs/>
                <w:kern w:val="2"/>
                <w:sz w:val="21"/>
                <w:szCs w:val="21"/>
              </w:rPr>
              <w:t>月</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6C7AD3B" w14:textId="77777777" w:rsidR="003E78AB" w:rsidRDefault="00010BF9">
            <w:pPr>
              <w:spacing w:line="360" w:lineRule="exact"/>
              <w:ind w:firstLineChars="0" w:firstLine="0"/>
              <w:jc w:val="center"/>
              <w:rPr>
                <w:bCs/>
                <w:kern w:val="2"/>
                <w:sz w:val="21"/>
                <w:szCs w:val="21"/>
              </w:rPr>
            </w:pPr>
            <w:r>
              <w:rPr>
                <w:bCs/>
                <w:kern w:val="2"/>
                <w:sz w:val="21"/>
                <w:szCs w:val="21"/>
              </w:rPr>
              <w:t>11</w:t>
            </w:r>
            <w:r>
              <w:rPr>
                <w:bCs/>
                <w:kern w:val="2"/>
                <w:sz w:val="21"/>
                <w:szCs w:val="21"/>
              </w:rPr>
              <w:t>月</w:t>
            </w:r>
          </w:p>
        </w:tc>
        <w:tc>
          <w:tcPr>
            <w:tcW w:w="3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4DB37B" w14:textId="77777777" w:rsidR="003E78AB" w:rsidRDefault="00010BF9">
            <w:pPr>
              <w:spacing w:line="360" w:lineRule="exact"/>
              <w:ind w:firstLineChars="0" w:firstLine="0"/>
              <w:jc w:val="center"/>
              <w:rPr>
                <w:bCs/>
                <w:kern w:val="2"/>
                <w:sz w:val="21"/>
                <w:szCs w:val="21"/>
              </w:rPr>
            </w:pPr>
            <w:r>
              <w:rPr>
                <w:bCs/>
                <w:kern w:val="2"/>
                <w:sz w:val="21"/>
                <w:szCs w:val="21"/>
              </w:rPr>
              <w:t>12</w:t>
            </w:r>
            <w:r>
              <w:rPr>
                <w:bCs/>
                <w:kern w:val="2"/>
                <w:sz w:val="21"/>
                <w:szCs w:val="21"/>
              </w:rPr>
              <w:t>月</w:t>
            </w:r>
          </w:p>
        </w:tc>
      </w:tr>
      <w:tr w:rsidR="003E78AB" w14:paraId="611C114E" w14:textId="77777777">
        <w:trPr>
          <w:trHeight w:val="333"/>
          <w:jc w:val="center"/>
        </w:trPr>
        <w:tc>
          <w:tcPr>
            <w:tcW w:w="58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502B93" w14:textId="77777777" w:rsidR="003E78AB" w:rsidRDefault="00010BF9">
            <w:pPr>
              <w:spacing w:line="360" w:lineRule="exact"/>
              <w:ind w:firstLineChars="0" w:firstLine="0"/>
              <w:jc w:val="center"/>
              <w:rPr>
                <w:bCs/>
                <w:kern w:val="2"/>
                <w:sz w:val="21"/>
                <w:szCs w:val="21"/>
              </w:rPr>
            </w:pPr>
            <w:r>
              <w:rPr>
                <w:bCs/>
                <w:kern w:val="2"/>
                <w:sz w:val="21"/>
                <w:szCs w:val="21"/>
              </w:rPr>
              <w:t>风速（</w:t>
            </w:r>
            <w:r>
              <w:rPr>
                <w:bCs/>
                <w:kern w:val="2"/>
                <w:sz w:val="21"/>
                <w:szCs w:val="21"/>
              </w:rPr>
              <w:t>m/s</w:t>
            </w:r>
            <w:r>
              <w:rPr>
                <w:bCs/>
                <w:kern w:val="2"/>
                <w:sz w:val="21"/>
                <w:szCs w:val="21"/>
              </w:rPr>
              <w:t>）</w:t>
            </w:r>
          </w:p>
        </w:tc>
        <w:tc>
          <w:tcPr>
            <w:tcW w:w="367" w:type="pct"/>
            <w:tcBorders>
              <w:top w:val="single" w:sz="4" w:space="0" w:color="auto"/>
              <w:left w:val="single" w:sz="4" w:space="0" w:color="auto"/>
              <w:bottom w:val="single" w:sz="4" w:space="0" w:color="auto"/>
              <w:right w:val="single" w:sz="4" w:space="0" w:color="auto"/>
            </w:tcBorders>
            <w:noWrap/>
            <w:vAlign w:val="center"/>
          </w:tcPr>
          <w:p w14:paraId="28A45862" w14:textId="77777777" w:rsidR="003E78AB" w:rsidRDefault="00010BF9">
            <w:pPr>
              <w:spacing w:line="360" w:lineRule="exact"/>
              <w:ind w:firstLineChars="0" w:firstLine="0"/>
              <w:jc w:val="center"/>
              <w:rPr>
                <w:bCs/>
                <w:kern w:val="2"/>
                <w:sz w:val="21"/>
                <w:szCs w:val="21"/>
              </w:rPr>
            </w:pPr>
            <w:r>
              <w:rPr>
                <w:bCs/>
                <w:kern w:val="2"/>
                <w:sz w:val="21"/>
                <w:szCs w:val="21"/>
              </w:rPr>
              <w:t>1.43</w:t>
            </w:r>
          </w:p>
        </w:tc>
        <w:tc>
          <w:tcPr>
            <w:tcW w:w="367" w:type="pct"/>
            <w:tcBorders>
              <w:top w:val="single" w:sz="4" w:space="0" w:color="auto"/>
              <w:left w:val="single" w:sz="4" w:space="0" w:color="auto"/>
              <w:bottom w:val="single" w:sz="4" w:space="0" w:color="auto"/>
              <w:right w:val="single" w:sz="4" w:space="0" w:color="auto"/>
            </w:tcBorders>
            <w:noWrap/>
            <w:vAlign w:val="center"/>
          </w:tcPr>
          <w:p w14:paraId="43DF60FF" w14:textId="77777777" w:rsidR="003E78AB" w:rsidRDefault="00010BF9">
            <w:pPr>
              <w:spacing w:line="360" w:lineRule="exact"/>
              <w:ind w:firstLineChars="0" w:firstLine="0"/>
              <w:jc w:val="center"/>
              <w:rPr>
                <w:bCs/>
                <w:kern w:val="2"/>
                <w:sz w:val="21"/>
                <w:szCs w:val="21"/>
              </w:rPr>
            </w:pPr>
            <w:r>
              <w:rPr>
                <w:bCs/>
                <w:kern w:val="2"/>
                <w:sz w:val="21"/>
                <w:szCs w:val="21"/>
              </w:rPr>
              <w:t>1.41</w:t>
            </w:r>
          </w:p>
        </w:tc>
        <w:tc>
          <w:tcPr>
            <w:tcW w:w="367" w:type="pct"/>
            <w:tcBorders>
              <w:top w:val="single" w:sz="4" w:space="0" w:color="auto"/>
              <w:left w:val="single" w:sz="4" w:space="0" w:color="auto"/>
              <w:bottom w:val="single" w:sz="4" w:space="0" w:color="auto"/>
              <w:right w:val="single" w:sz="4" w:space="0" w:color="auto"/>
            </w:tcBorders>
            <w:noWrap/>
            <w:vAlign w:val="center"/>
          </w:tcPr>
          <w:p w14:paraId="6B98F5B8" w14:textId="77777777" w:rsidR="003E78AB" w:rsidRDefault="00010BF9">
            <w:pPr>
              <w:spacing w:line="360" w:lineRule="exact"/>
              <w:ind w:firstLineChars="0" w:firstLine="0"/>
              <w:jc w:val="center"/>
              <w:rPr>
                <w:bCs/>
                <w:kern w:val="2"/>
                <w:sz w:val="21"/>
                <w:szCs w:val="21"/>
              </w:rPr>
            </w:pPr>
            <w:r>
              <w:rPr>
                <w:bCs/>
                <w:kern w:val="2"/>
                <w:sz w:val="21"/>
                <w:szCs w:val="21"/>
              </w:rPr>
              <w:t>2.16</w:t>
            </w:r>
          </w:p>
        </w:tc>
        <w:tc>
          <w:tcPr>
            <w:tcW w:w="367" w:type="pct"/>
            <w:tcBorders>
              <w:top w:val="single" w:sz="4" w:space="0" w:color="auto"/>
              <w:left w:val="single" w:sz="4" w:space="0" w:color="auto"/>
              <w:bottom w:val="single" w:sz="4" w:space="0" w:color="auto"/>
              <w:right w:val="single" w:sz="4" w:space="0" w:color="auto"/>
            </w:tcBorders>
            <w:noWrap/>
            <w:vAlign w:val="center"/>
          </w:tcPr>
          <w:p w14:paraId="661780F0" w14:textId="77777777" w:rsidR="003E78AB" w:rsidRDefault="00010BF9">
            <w:pPr>
              <w:spacing w:line="360" w:lineRule="exact"/>
              <w:ind w:firstLineChars="0" w:firstLine="0"/>
              <w:jc w:val="center"/>
              <w:rPr>
                <w:bCs/>
                <w:kern w:val="2"/>
                <w:sz w:val="21"/>
                <w:szCs w:val="21"/>
              </w:rPr>
            </w:pPr>
            <w:r>
              <w:rPr>
                <w:bCs/>
                <w:kern w:val="2"/>
                <w:sz w:val="21"/>
                <w:szCs w:val="21"/>
              </w:rPr>
              <w:t>2.24</w:t>
            </w:r>
          </w:p>
        </w:tc>
        <w:tc>
          <w:tcPr>
            <w:tcW w:w="367" w:type="pct"/>
            <w:tcBorders>
              <w:top w:val="single" w:sz="4" w:space="0" w:color="auto"/>
              <w:left w:val="single" w:sz="4" w:space="0" w:color="auto"/>
              <w:bottom w:val="single" w:sz="4" w:space="0" w:color="auto"/>
              <w:right w:val="single" w:sz="4" w:space="0" w:color="auto"/>
            </w:tcBorders>
            <w:noWrap/>
            <w:vAlign w:val="center"/>
          </w:tcPr>
          <w:p w14:paraId="2EBA6303" w14:textId="77777777" w:rsidR="003E78AB" w:rsidRDefault="00010BF9">
            <w:pPr>
              <w:spacing w:line="360" w:lineRule="exact"/>
              <w:ind w:firstLineChars="0" w:firstLine="0"/>
              <w:jc w:val="center"/>
              <w:rPr>
                <w:bCs/>
                <w:kern w:val="2"/>
                <w:sz w:val="21"/>
                <w:szCs w:val="21"/>
              </w:rPr>
            </w:pPr>
            <w:r>
              <w:rPr>
                <w:bCs/>
                <w:kern w:val="2"/>
                <w:sz w:val="21"/>
                <w:szCs w:val="21"/>
              </w:rPr>
              <w:t>1.86</w:t>
            </w:r>
          </w:p>
        </w:tc>
        <w:tc>
          <w:tcPr>
            <w:tcW w:w="367" w:type="pct"/>
            <w:tcBorders>
              <w:top w:val="single" w:sz="4" w:space="0" w:color="auto"/>
              <w:left w:val="single" w:sz="4" w:space="0" w:color="auto"/>
              <w:bottom w:val="single" w:sz="4" w:space="0" w:color="auto"/>
              <w:right w:val="single" w:sz="4" w:space="0" w:color="auto"/>
            </w:tcBorders>
            <w:noWrap/>
            <w:vAlign w:val="center"/>
          </w:tcPr>
          <w:p w14:paraId="3F752C2D" w14:textId="77777777" w:rsidR="003E78AB" w:rsidRDefault="00010BF9">
            <w:pPr>
              <w:spacing w:line="360" w:lineRule="exact"/>
              <w:ind w:firstLineChars="0" w:firstLine="0"/>
              <w:jc w:val="center"/>
              <w:rPr>
                <w:bCs/>
                <w:kern w:val="2"/>
                <w:sz w:val="21"/>
                <w:szCs w:val="21"/>
              </w:rPr>
            </w:pPr>
            <w:r>
              <w:rPr>
                <w:bCs/>
                <w:kern w:val="2"/>
                <w:sz w:val="21"/>
                <w:szCs w:val="21"/>
              </w:rPr>
              <w:t>1.66</w:t>
            </w:r>
          </w:p>
        </w:tc>
        <w:tc>
          <w:tcPr>
            <w:tcW w:w="367" w:type="pct"/>
            <w:tcBorders>
              <w:top w:val="single" w:sz="4" w:space="0" w:color="auto"/>
              <w:left w:val="single" w:sz="4" w:space="0" w:color="auto"/>
              <w:bottom w:val="single" w:sz="4" w:space="0" w:color="auto"/>
              <w:right w:val="single" w:sz="4" w:space="0" w:color="auto"/>
            </w:tcBorders>
            <w:noWrap/>
            <w:vAlign w:val="center"/>
          </w:tcPr>
          <w:p w14:paraId="0D2C9C22" w14:textId="77777777" w:rsidR="003E78AB" w:rsidRDefault="00010BF9">
            <w:pPr>
              <w:spacing w:line="360" w:lineRule="exact"/>
              <w:ind w:firstLineChars="0" w:firstLine="0"/>
              <w:jc w:val="center"/>
              <w:rPr>
                <w:bCs/>
                <w:kern w:val="2"/>
                <w:sz w:val="21"/>
                <w:szCs w:val="21"/>
              </w:rPr>
            </w:pPr>
            <w:r>
              <w:rPr>
                <w:bCs/>
                <w:kern w:val="2"/>
                <w:sz w:val="21"/>
                <w:szCs w:val="21"/>
              </w:rPr>
              <w:t>1.31</w:t>
            </w:r>
          </w:p>
        </w:tc>
        <w:tc>
          <w:tcPr>
            <w:tcW w:w="367" w:type="pct"/>
            <w:tcBorders>
              <w:top w:val="single" w:sz="4" w:space="0" w:color="auto"/>
              <w:left w:val="single" w:sz="4" w:space="0" w:color="auto"/>
              <w:bottom w:val="single" w:sz="4" w:space="0" w:color="auto"/>
              <w:right w:val="single" w:sz="4" w:space="0" w:color="auto"/>
            </w:tcBorders>
            <w:noWrap/>
            <w:vAlign w:val="center"/>
          </w:tcPr>
          <w:p w14:paraId="036E7968" w14:textId="77777777" w:rsidR="003E78AB" w:rsidRDefault="00010BF9">
            <w:pPr>
              <w:spacing w:line="360" w:lineRule="exact"/>
              <w:ind w:firstLineChars="0" w:firstLine="0"/>
              <w:jc w:val="center"/>
              <w:rPr>
                <w:bCs/>
                <w:kern w:val="2"/>
                <w:sz w:val="21"/>
                <w:szCs w:val="21"/>
              </w:rPr>
            </w:pPr>
            <w:r>
              <w:rPr>
                <w:bCs/>
                <w:kern w:val="2"/>
                <w:sz w:val="21"/>
                <w:szCs w:val="21"/>
              </w:rPr>
              <w:t>1.51</w:t>
            </w:r>
          </w:p>
        </w:tc>
        <w:tc>
          <w:tcPr>
            <w:tcW w:w="367" w:type="pct"/>
            <w:tcBorders>
              <w:top w:val="single" w:sz="4" w:space="0" w:color="auto"/>
              <w:left w:val="single" w:sz="4" w:space="0" w:color="auto"/>
              <w:bottom w:val="single" w:sz="4" w:space="0" w:color="auto"/>
              <w:right w:val="single" w:sz="4" w:space="0" w:color="auto"/>
            </w:tcBorders>
            <w:noWrap/>
            <w:vAlign w:val="center"/>
          </w:tcPr>
          <w:p w14:paraId="40342EF9" w14:textId="77777777" w:rsidR="003E78AB" w:rsidRDefault="00010BF9">
            <w:pPr>
              <w:spacing w:line="360" w:lineRule="exact"/>
              <w:ind w:firstLineChars="0" w:firstLine="0"/>
              <w:jc w:val="center"/>
              <w:rPr>
                <w:bCs/>
                <w:kern w:val="2"/>
                <w:sz w:val="21"/>
                <w:szCs w:val="21"/>
              </w:rPr>
            </w:pPr>
            <w:r>
              <w:rPr>
                <w:bCs/>
                <w:kern w:val="2"/>
                <w:sz w:val="21"/>
                <w:szCs w:val="21"/>
              </w:rPr>
              <w:t>1.29</w:t>
            </w:r>
          </w:p>
        </w:tc>
        <w:tc>
          <w:tcPr>
            <w:tcW w:w="367" w:type="pct"/>
            <w:tcBorders>
              <w:top w:val="single" w:sz="4" w:space="0" w:color="auto"/>
              <w:left w:val="single" w:sz="4" w:space="0" w:color="auto"/>
              <w:bottom w:val="single" w:sz="4" w:space="0" w:color="auto"/>
              <w:right w:val="single" w:sz="4" w:space="0" w:color="auto"/>
            </w:tcBorders>
            <w:noWrap/>
            <w:vAlign w:val="center"/>
          </w:tcPr>
          <w:p w14:paraId="2CFAD608" w14:textId="77777777" w:rsidR="003E78AB" w:rsidRDefault="00010BF9">
            <w:pPr>
              <w:spacing w:line="360" w:lineRule="exact"/>
              <w:ind w:firstLineChars="0" w:firstLine="0"/>
              <w:jc w:val="center"/>
              <w:rPr>
                <w:bCs/>
                <w:kern w:val="2"/>
                <w:sz w:val="21"/>
                <w:szCs w:val="21"/>
              </w:rPr>
            </w:pPr>
            <w:r>
              <w:rPr>
                <w:bCs/>
                <w:kern w:val="2"/>
                <w:sz w:val="21"/>
                <w:szCs w:val="21"/>
              </w:rPr>
              <w:t>1.28</w:t>
            </w:r>
          </w:p>
        </w:tc>
        <w:tc>
          <w:tcPr>
            <w:tcW w:w="367" w:type="pct"/>
            <w:tcBorders>
              <w:top w:val="single" w:sz="4" w:space="0" w:color="auto"/>
              <w:left w:val="single" w:sz="4" w:space="0" w:color="auto"/>
              <w:bottom w:val="single" w:sz="4" w:space="0" w:color="auto"/>
              <w:right w:val="single" w:sz="4" w:space="0" w:color="auto"/>
            </w:tcBorders>
            <w:noWrap/>
            <w:vAlign w:val="center"/>
          </w:tcPr>
          <w:p w14:paraId="2DF1C700" w14:textId="77777777" w:rsidR="003E78AB" w:rsidRDefault="00010BF9">
            <w:pPr>
              <w:spacing w:line="360" w:lineRule="exact"/>
              <w:ind w:firstLineChars="0" w:firstLine="0"/>
              <w:jc w:val="center"/>
              <w:rPr>
                <w:bCs/>
                <w:kern w:val="2"/>
                <w:sz w:val="21"/>
                <w:szCs w:val="21"/>
              </w:rPr>
            </w:pPr>
            <w:r>
              <w:rPr>
                <w:bCs/>
                <w:kern w:val="2"/>
                <w:sz w:val="21"/>
                <w:szCs w:val="21"/>
              </w:rPr>
              <w:t>1.36</w:t>
            </w:r>
          </w:p>
        </w:tc>
        <w:tc>
          <w:tcPr>
            <w:tcW w:w="372" w:type="pct"/>
            <w:tcBorders>
              <w:top w:val="single" w:sz="4" w:space="0" w:color="auto"/>
              <w:left w:val="single" w:sz="4" w:space="0" w:color="auto"/>
              <w:bottom w:val="single" w:sz="4" w:space="0" w:color="auto"/>
              <w:right w:val="single" w:sz="4" w:space="0" w:color="auto"/>
            </w:tcBorders>
            <w:noWrap/>
            <w:vAlign w:val="center"/>
          </w:tcPr>
          <w:p w14:paraId="2F6C1987" w14:textId="77777777" w:rsidR="003E78AB" w:rsidRDefault="00010BF9">
            <w:pPr>
              <w:spacing w:line="360" w:lineRule="exact"/>
              <w:ind w:firstLineChars="0" w:firstLine="0"/>
              <w:jc w:val="center"/>
              <w:rPr>
                <w:bCs/>
                <w:kern w:val="2"/>
                <w:sz w:val="21"/>
                <w:szCs w:val="21"/>
              </w:rPr>
            </w:pPr>
            <w:r>
              <w:rPr>
                <w:bCs/>
                <w:kern w:val="2"/>
                <w:sz w:val="21"/>
                <w:szCs w:val="21"/>
              </w:rPr>
              <w:t>1.35</w:t>
            </w:r>
          </w:p>
        </w:tc>
      </w:tr>
    </w:tbl>
    <w:p w14:paraId="0CD0BF32" w14:textId="77777777" w:rsidR="003E78AB" w:rsidRDefault="00010BF9">
      <w:pPr>
        <w:pStyle w:val="a4"/>
        <w:spacing w:before="120"/>
        <w:ind w:left="425" w:hanging="425"/>
        <w:rPr>
          <w:bCs/>
        </w:rPr>
      </w:pPr>
      <w:bookmarkStart w:id="358" w:name="_Ref28943"/>
      <w:r>
        <w:rPr>
          <w:bCs/>
        </w:rPr>
        <w:t>季小时平均风速的日变化</w:t>
      </w:r>
      <w:bookmarkEnd w:id="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14"/>
        <w:gridCol w:w="594"/>
        <w:gridCol w:w="596"/>
        <w:gridCol w:w="595"/>
        <w:gridCol w:w="597"/>
        <w:gridCol w:w="595"/>
        <w:gridCol w:w="597"/>
        <w:gridCol w:w="597"/>
        <w:gridCol w:w="595"/>
        <w:gridCol w:w="597"/>
        <w:gridCol w:w="595"/>
        <w:gridCol w:w="597"/>
        <w:gridCol w:w="587"/>
      </w:tblGrid>
      <w:tr w:rsidR="003E78AB" w14:paraId="4B1E3CDE" w14:textId="77777777">
        <w:trPr>
          <w:trHeight w:val="340"/>
          <w:tblHeader/>
          <w:jc w:val="center"/>
        </w:trPr>
        <w:tc>
          <w:tcPr>
            <w:tcW w:w="726" w:type="pct"/>
            <w:vAlign w:val="center"/>
          </w:tcPr>
          <w:p w14:paraId="3F439D2F"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小时</w:t>
            </w:r>
            <w:r>
              <w:rPr>
                <w:bCs/>
                <w:kern w:val="2"/>
                <w:sz w:val="21"/>
                <w:szCs w:val="21"/>
                <w:lang w:eastAsia="en-US"/>
              </w:rPr>
              <w:t>(h)</w:t>
            </w:r>
          </w:p>
          <w:p w14:paraId="1FF1DA82"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风速</w:t>
            </w:r>
            <w:r>
              <w:rPr>
                <w:bCs/>
                <w:kern w:val="2"/>
                <w:sz w:val="21"/>
                <w:szCs w:val="21"/>
                <w:lang w:eastAsia="en-US"/>
              </w:rPr>
              <w:t>(m/s)</w:t>
            </w:r>
          </w:p>
        </w:tc>
        <w:tc>
          <w:tcPr>
            <w:tcW w:w="355" w:type="pct"/>
            <w:noWrap/>
            <w:vAlign w:val="center"/>
          </w:tcPr>
          <w:p w14:paraId="1C587D2D"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w:t>
            </w:r>
          </w:p>
        </w:tc>
        <w:tc>
          <w:tcPr>
            <w:tcW w:w="356" w:type="pct"/>
            <w:noWrap/>
            <w:vAlign w:val="center"/>
          </w:tcPr>
          <w:p w14:paraId="09C6F9EC"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2</w:t>
            </w:r>
          </w:p>
        </w:tc>
        <w:tc>
          <w:tcPr>
            <w:tcW w:w="356" w:type="pct"/>
            <w:noWrap/>
            <w:vAlign w:val="center"/>
          </w:tcPr>
          <w:p w14:paraId="316E8CA8"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3</w:t>
            </w:r>
          </w:p>
        </w:tc>
        <w:tc>
          <w:tcPr>
            <w:tcW w:w="357" w:type="pct"/>
            <w:noWrap/>
            <w:vAlign w:val="center"/>
          </w:tcPr>
          <w:p w14:paraId="7916CC2A"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4</w:t>
            </w:r>
          </w:p>
        </w:tc>
        <w:tc>
          <w:tcPr>
            <w:tcW w:w="356" w:type="pct"/>
            <w:noWrap/>
            <w:vAlign w:val="center"/>
          </w:tcPr>
          <w:p w14:paraId="7AA35DDE"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5</w:t>
            </w:r>
          </w:p>
        </w:tc>
        <w:tc>
          <w:tcPr>
            <w:tcW w:w="357" w:type="pct"/>
            <w:noWrap/>
            <w:vAlign w:val="center"/>
          </w:tcPr>
          <w:p w14:paraId="6854FC2A"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6</w:t>
            </w:r>
          </w:p>
        </w:tc>
        <w:tc>
          <w:tcPr>
            <w:tcW w:w="357" w:type="pct"/>
            <w:noWrap/>
            <w:vAlign w:val="center"/>
          </w:tcPr>
          <w:p w14:paraId="1F5AD477"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7</w:t>
            </w:r>
          </w:p>
        </w:tc>
        <w:tc>
          <w:tcPr>
            <w:tcW w:w="356" w:type="pct"/>
            <w:noWrap/>
            <w:vAlign w:val="center"/>
          </w:tcPr>
          <w:p w14:paraId="7A95A0B5"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8</w:t>
            </w:r>
          </w:p>
        </w:tc>
        <w:tc>
          <w:tcPr>
            <w:tcW w:w="357" w:type="pct"/>
            <w:noWrap/>
            <w:vAlign w:val="center"/>
          </w:tcPr>
          <w:p w14:paraId="59434AE5"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9</w:t>
            </w:r>
          </w:p>
        </w:tc>
        <w:tc>
          <w:tcPr>
            <w:tcW w:w="356" w:type="pct"/>
            <w:noWrap/>
            <w:vAlign w:val="center"/>
          </w:tcPr>
          <w:p w14:paraId="059D18DF"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10</w:t>
            </w:r>
          </w:p>
        </w:tc>
        <w:tc>
          <w:tcPr>
            <w:tcW w:w="357" w:type="pct"/>
            <w:noWrap/>
            <w:vAlign w:val="center"/>
          </w:tcPr>
          <w:p w14:paraId="76CFE924"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11</w:t>
            </w:r>
          </w:p>
        </w:tc>
        <w:tc>
          <w:tcPr>
            <w:tcW w:w="351" w:type="pct"/>
            <w:noWrap/>
            <w:vAlign w:val="center"/>
          </w:tcPr>
          <w:p w14:paraId="21300AE2"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12</w:t>
            </w:r>
          </w:p>
        </w:tc>
      </w:tr>
      <w:tr w:rsidR="003E78AB" w14:paraId="1169377F" w14:textId="77777777">
        <w:trPr>
          <w:trHeight w:val="340"/>
          <w:jc w:val="center"/>
        </w:trPr>
        <w:tc>
          <w:tcPr>
            <w:tcW w:w="726" w:type="pct"/>
            <w:noWrap/>
            <w:vAlign w:val="center"/>
          </w:tcPr>
          <w:p w14:paraId="6211F666"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春季</w:t>
            </w:r>
          </w:p>
        </w:tc>
        <w:tc>
          <w:tcPr>
            <w:tcW w:w="355" w:type="pct"/>
            <w:noWrap/>
            <w:vAlign w:val="center"/>
          </w:tcPr>
          <w:p w14:paraId="66269A84" w14:textId="77777777" w:rsidR="003E78AB" w:rsidRDefault="00010BF9">
            <w:pPr>
              <w:spacing w:line="360" w:lineRule="exact"/>
              <w:ind w:firstLineChars="0" w:firstLine="0"/>
              <w:jc w:val="center"/>
              <w:rPr>
                <w:bCs/>
                <w:kern w:val="2"/>
                <w:sz w:val="21"/>
                <w:szCs w:val="21"/>
              </w:rPr>
            </w:pPr>
            <w:r>
              <w:rPr>
                <w:bCs/>
                <w:kern w:val="2"/>
                <w:sz w:val="21"/>
                <w:szCs w:val="21"/>
              </w:rPr>
              <w:t>2.06</w:t>
            </w:r>
          </w:p>
        </w:tc>
        <w:tc>
          <w:tcPr>
            <w:tcW w:w="356" w:type="pct"/>
            <w:noWrap/>
            <w:vAlign w:val="center"/>
          </w:tcPr>
          <w:p w14:paraId="7202B6A2" w14:textId="77777777" w:rsidR="003E78AB" w:rsidRDefault="00010BF9">
            <w:pPr>
              <w:spacing w:line="360" w:lineRule="exact"/>
              <w:ind w:firstLineChars="0" w:firstLine="0"/>
              <w:jc w:val="center"/>
              <w:rPr>
                <w:bCs/>
                <w:kern w:val="2"/>
                <w:sz w:val="21"/>
                <w:szCs w:val="21"/>
              </w:rPr>
            </w:pPr>
            <w:r>
              <w:rPr>
                <w:bCs/>
                <w:kern w:val="2"/>
                <w:sz w:val="21"/>
                <w:szCs w:val="21"/>
              </w:rPr>
              <w:t>2.06</w:t>
            </w:r>
          </w:p>
        </w:tc>
        <w:tc>
          <w:tcPr>
            <w:tcW w:w="356" w:type="pct"/>
            <w:noWrap/>
            <w:vAlign w:val="center"/>
          </w:tcPr>
          <w:p w14:paraId="6D254847" w14:textId="77777777" w:rsidR="003E78AB" w:rsidRDefault="00010BF9">
            <w:pPr>
              <w:spacing w:line="360" w:lineRule="exact"/>
              <w:ind w:firstLineChars="0" w:firstLine="0"/>
              <w:jc w:val="center"/>
              <w:rPr>
                <w:bCs/>
                <w:kern w:val="2"/>
                <w:sz w:val="21"/>
                <w:szCs w:val="21"/>
              </w:rPr>
            </w:pPr>
            <w:r>
              <w:rPr>
                <w:bCs/>
                <w:kern w:val="2"/>
                <w:sz w:val="21"/>
                <w:szCs w:val="21"/>
              </w:rPr>
              <w:t>1.88</w:t>
            </w:r>
          </w:p>
        </w:tc>
        <w:tc>
          <w:tcPr>
            <w:tcW w:w="357" w:type="pct"/>
            <w:noWrap/>
            <w:vAlign w:val="center"/>
          </w:tcPr>
          <w:p w14:paraId="4A52CD7E" w14:textId="77777777" w:rsidR="003E78AB" w:rsidRDefault="00010BF9">
            <w:pPr>
              <w:spacing w:line="360" w:lineRule="exact"/>
              <w:ind w:firstLineChars="0" w:firstLine="0"/>
              <w:jc w:val="center"/>
              <w:rPr>
                <w:bCs/>
                <w:kern w:val="2"/>
                <w:sz w:val="21"/>
                <w:szCs w:val="21"/>
              </w:rPr>
            </w:pPr>
            <w:r>
              <w:rPr>
                <w:bCs/>
                <w:kern w:val="2"/>
                <w:sz w:val="21"/>
                <w:szCs w:val="21"/>
              </w:rPr>
              <w:t>1.76</w:t>
            </w:r>
          </w:p>
        </w:tc>
        <w:tc>
          <w:tcPr>
            <w:tcW w:w="356" w:type="pct"/>
            <w:noWrap/>
            <w:vAlign w:val="center"/>
          </w:tcPr>
          <w:p w14:paraId="65A244CC" w14:textId="77777777" w:rsidR="003E78AB" w:rsidRDefault="00010BF9">
            <w:pPr>
              <w:spacing w:line="360" w:lineRule="exact"/>
              <w:ind w:firstLineChars="0" w:firstLine="0"/>
              <w:jc w:val="center"/>
              <w:rPr>
                <w:bCs/>
                <w:kern w:val="2"/>
                <w:sz w:val="21"/>
                <w:szCs w:val="21"/>
              </w:rPr>
            </w:pPr>
            <w:r>
              <w:rPr>
                <w:bCs/>
                <w:kern w:val="2"/>
                <w:sz w:val="21"/>
                <w:szCs w:val="21"/>
              </w:rPr>
              <w:t>1.75</w:t>
            </w:r>
          </w:p>
        </w:tc>
        <w:tc>
          <w:tcPr>
            <w:tcW w:w="357" w:type="pct"/>
            <w:noWrap/>
            <w:vAlign w:val="center"/>
          </w:tcPr>
          <w:p w14:paraId="1D3620C6" w14:textId="77777777" w:rsidR="003E78AB" w:rsidRDefault="00010BF9">
            <w:pPr>
              <w:spacing w:line="360" w:lineRule="exact"/>
              <w:ind w:firstLineChars="0" w:firstLine="0"/>
              <w:jc w:val="center"/>
              <w:rPr>
                <w:bCs/>
                <w:kern w:val="2"/>
                <w:sz w:val="21"/>
                <w:szCs w:val="21"/>
              </w:rPr>
            </w:pPr>
            <w:r>
              <w:rPr>
                <w:bCs/>
                <w:kern w:val="2"/>
                <w:sz w:val="21"/>
                <w:szCs w:val="21"/>
              </w:rPr>
              <w:t>1.74</w:t>
            </w:r>
          </w:p>
        </w:tc>
        <w:tc>
          <w:tcPr>
            <w:tcW w:w="357" w:type="pct"/>
            <w:noWrap/>
            <w:vAlign w:val="center"/>
          </w:tcPr>
          <w:p w14:paraId="40941D87" w14:textId="77777777" w:rsidR="003E78AB" w:rsidRDefault="00010BF9">
            <w:pPr>
              <w:spacing w:line="360" w:lineRule="exact"/>
              <w:ind w:firstLineChars="0" w:firstLine="0"/>
              <w:jc w:val="center"/>
              <w:rPr>
                <w:bCs/>
                <w:kern w:val="2"/>
                <w:sz w:val="21"/>
                <w:szCs w:val="21"/>
              </w:rPr>
            </w:pPr>
            <w:r>
              <w:rPr>
                <w:bCs/>
                <w:kern w:val="2"/>
                <w:sz w:val="21"/>
                <w:szCs w:val="21"/>
              </w:rPr>
              <w:t>1.79</w:t>
            </w:r>
          </w:p>
        </w:tc>
        <w:tc>
          <w:tcPr>
            <w:tcW w:w="356" w:type="pct"/>
            <w:noWrap/>
            <w:vAlign w:val="center"/>
          </w:tcPr>
          <w:p w14:paraId="0D3D9678" w14:textId="77777777" w:rsidR="003E78AB" w:rsidRDefault="00010BF9">
            <w:pPr>
              <w:spacing w:line="360" w:lineRule="exact"/>
              <w:ind w:firstLineChars="0" w:firstLine="0"/>
              <w:jc w:val="center"/>
              <w:rPr>
                <w:bCs/>
                <w:kern w:val="2"/>
                <w:sz w:val="21"/>
                <w:szCs w:val="21"/>
              </w:rPr>
            </w:pPr>
            <w:r>
              <w:rPr>
                <w:bCs/>
                <w:kern w:val="2"/>
                <w:sz w:val="21"/>
                <w:szCs w:val="21"/>
              </w:rPr>
              <w:t>1.99</w:t>
            </w:r>
          </w:p>
        </w:tc>
        <w:tc>
          <w:tcPr>
            <w:tcW w:w="357" w:type="pct"/>
            <w:noWrap/>
            <w:vAlign w:val="center"/>
          </w:tcPr>
          <w:p w14:paraId="0EC22594" w14:textId="77777777" w:rsidR="003E78AB" w:rsidRDefault="00010BF9">
            <w:pPr>
              <w:spacing w:line="360" w:lineRule="exact"/>
              <w:ind w:firstLineChars="0" w:firstLine="0"/>
              <w:jc w:val="center"/>
              <w:rPr>
                <w:bCs/>
                <w:kern w:val="2"/>
                <w:sz w:val="21"/>
                <w:szCs w:val="21"/>
              </w:rPr>
            </w:pPr>
            <w:r>
              <w:rPr>
                <w:bCs/>
                <w:kern w:val="2"/>
                <w:sz w:val="21"/>
                <w:szCs w:val="21"/>
              </w:rPr>
              <w:t>2.10</w:t>
            </w:r>
          </w:p>
        </w:tc>
        <w:tc>
          <w:tcPr>
            <w:tcW w:w="356" w:type="pct"/>
            <w:noWrap/>
            <w:vAlign w:val="center"/>
          </w:tcPr>
          <w:p w14:paraId="49286A25" w14:textId="77777777" w:rsidR="003E78AB" w:rsidRDefault="00010BF9">
            <w:pPr>
              <w:spacing w:line="360" w:lineRule="exact"/>
              <w:ind w:firstLineChars="0" w:firstLine="0"/>
              <w:jc w:val="center"/>
              <w:rPr>
                <w:bCs/>
                <w:kern w:val="2"/>
                <w:sz w:val="21"/>
                <w:szCs w:val="21"/>
              </w:rPr>
            </w:pPr>
            <w:r>
              <w:rPr>
                <w:bCs/>
                <w:kern w:val="2"/>
                <w:sz w:val="21"/>
                <w:szCs w:val="21"/>
              </w:rPr>
              <w:t>2.26</w:t>
            </w:r>
          </w:p>
        </w:tc>
        <w:tc>
          <w:tcPr>
            <w:tcW w:w="357" w:type="pct"/>
            <w:noWrap/>
            <w:vAlign w:val="center"/>
          </w:tcPr>
          <w:p w14:paraId="2E7CDCF1" w14:textId="77777777" w:rsidR="003E78AB" w:rsidRDefault="00010BF9">
            <w:pPr>
              <w:spacing w:line="360" w:lineRule="exact"/>
              <w:ind w:firstLineChars="0" w:firstLine="0"/>
              <w:jc w:val="center"/>
              <w:rPr>
                <w:bCs/>
                <w:kern w:val="2"/>
                <w:sz w:val="21"/>
                <w:szCs w:val="21"/>
              </w:rPr>
            </w:pPr>
            <w:r>
              <w:rPr>
                <w:bCs/>
                <w:kern w:val="2"/>
                <w:sz w:val="21"/>
                <w:szCs w:val="21"/>
              </w:rPr>
              <w:t>2.24</w:t>
            </w:r>
          </w:p>
        </w:tc>
        <w:tc>
          <w:tcPr>
            <w:tcW w:w="351" w:type="pct"/>
            <w:noWrap/>
            <w:vAlign w:val="center"/>
          </w:tcPr>
          <w:p w14:paraId="0734D8AE" w14:textId="77777777" w:rsidR="003E78AB" w:rsidRDefault="00010BF9">
            <w:pPr>
              <w:spacing w:line="360" w:lineRule="exact"/>
              <w:ind w:firstLineChars="0" w:firstLine="0"/>
              <w:jc w:val="center"/>
              <w:rPr>
                <w:bCs/>
                <w:kern w:val="2"/>
                <w:sz w:val="21"/>
                <w:szCs w:val="21"/>
              </w:rPr>
            </w:pPr>
            <w:r>
              <w:rPr>
                <w:bCs/>
                <w:kern w:val="2"/>
                <w:sz w:val="21"/>
                <w:szCs w:val="21"/>
              </w:rPr>
              <w:t>2.18</w:t>
            </w:r>
          </w:p>
        </w:tc>
      </w:tr>
      <w:tr w:rsidR="003E78AB" w14:paraId="5969FB72" w14:textId="77777777">
        <w:trPr>
          <w:trHeight w:val="340"/>
          <w:jc w:val="center"/>
        </w:trPr>
        <w:tc>
          <w:tcPr>
            <w:tcW w:w="726" w:type="pct"/>
            <w:shd w:val="clear" w:color="auto" w:fill="FFFFFF"/>
            <w:noWrap/>
            <w:vAlign w:val="center"/>
          </w:tcPr>
          <w:p w14:paraId="0C82C407"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夏季</w:t>
            </w:r>
          </w:p>
        </w:tc>
        <w:tc>
          <w:tcPr>
            <w:tcW w:w="355" w:type="pct"/>
            <w:noWrap/>
            <w:vAlign w:val="center"/>
          </w:tcPr>
          <w:p w14:paraId="0FA6FF90" w14:textId="77777777" w:rsidR="003E78AB" w:rsidRDefault="00010BF9">
            <w:pPr>
              <w:spacing w:line="360" w:lineRule="exact"/>
              <w:ind w:firstLineChars="0" w:firstLine="0"/>
              <w:jc w:val="center"/>
              <w:rPr>
                <w:bCs/>
                <w:kern w:val="2"/>
                <w:sz w:val="21"/>
                <w:szCs w:val="21"/>
              </w:rPr>
            </w:pPr>
            <w:r>
              <w:rPr>
                <w:bCs/>
                <w:kern w:val="2"/>
                <w:sz w:val="21"/>
                <w:szCs w:val="21"/>
              </w:rPr>
              <w:t>1.63</w:t>
            </w:r>
          </w:p>
        </w:tc>
        <w:tc>
          <w:tcPr>
            <w:tcW w:w="356" w:type="pct"/>
            <w:noWrap/>
            <w:vAlign w:val="center"/>
          </w:tcPr>
          <w:p w14:paraId="14A6E193" w14:textId="77777777" w:rsidR="003E78AB" w:rsidRDefault="00010BF9">
            <w:pPr>
              <w:spacing w:line="360" w:lineRule="exact"/>
              <w:ind w:firstLineChars="0" w:firstLine="0"/>
              <w:jc w:val="center"/>
              <w:rPr>
                <w:bCs/>
                <w:kern w:val="2"/>
                <w:sz w:val="21"/>
                <w:szCs w:val="21"/>
              </w:rPr>
            </w:pPr>
            <w:r>
              <w:rPr>
                <w:bCs/>
                <w:kern w:val="2"/>
                <w:sz w:val="21"/>
                <w:szCs w:val="21"/>
              </w:rPr>
              <w:t>1.49</w:t>
            </w:r>
          </w:p>
        </w:tc>
        <w:tc>
          <w:tcPr>
            <w:tcW w:w="356" w:type="pct"/>
            <w:noWrap/>
            <w:vAlign w:val="center"/>
          </w:tcPr>
          <w:p w14:paraId="612888F6" w14:textId="77777777" w:rsidR="003E78AB" w:rsidRDefault="00010BF9">
            <w:pPr>
              <w:spacing w:line="360" w:lineRule="exact"/>
              <w:ind w:firstLineChars="0" w:firstLine="0"/>
              <w:jc w:val="center"/>
              <w:rPr>
                <w:bCs/>
                <w:kern w:val="2"/>
                <w:sz w:val="21"/>
                <w:szCs w:val="21"/>
              </w:rPr>
            </w:pPr>
            <w:r>
              <w:rPr>
                <w:bCs/>
                <w:kern w:val="2"/>
                <w:sz w:val="21"/>
                <w:szCs w:val="21"/>
              </w:rPr>
              <w:t>1.38</w:t>
            </w:r>
          </w:p>
        </w:tc>
        <w:tc>
          <w:tcPr>
            <w:tcW w:w="357" w:type="pct"/>
            <w:noWrap/>
            <w:vAlign w:val="center"/>
          </w:tcPr>
          <w:p w14:paraId="6B1B26EC" w14:textId="77777777" w:rsidR="003E78AB" w:rsidRDefault="00010BF9">
            <w:pPr>
              <w:spacing w:line="360" w:lineRule="exact"/>
              <w:ind w:firstLineChars="0" w:firstLine="0"/>
              <w:jc w:val="center"/>
              <w:rPr>
                <w:bCs/>
                <w:kern w:val="2"/>
                <w:sz w:val="21"/>
                <w:szCs w:val="21"/>
              </w:rPr>
            </w:pPr>
            <w:r>
              <w:rPr>
                <w:bCs/>
                <w:kern w:val="2"/>
                <w:sz w:val="21"/>
                <w:szCs w:val="21"/>
              </w:rPr>
              <w:t>1.40</w:t>
            </w:r>
          </w:p>
        </w:tc>
        <w:tc>
          <w:tcPr>
            <w:tcW w:w="356" w:type="pct"/>
            <w:noWrap/>
            <w:vAlign w:val="center"/>
          </w:tcPr>
          <w:p w14:paraId="0BB1189C" w14:textId="77777777" w:rsidR="003E78AB" w:rsidRDefault="00010BF9">
            <w:pPr>
              <w:spacing w:line="360" w:lineRule="exact"/>
              <w:ind w:firstLineChars="0" w:firstLine="0"/>
              <w:jc w:val="center"/>
              <w:rPr>
                <w:bCs/>
                <w:kern w:val="2"/>
                <w:sz w:val="21"/>
                <w:szCs w:val="21"/>
              </w:rPr>
            </w:pPr>
            <w:r>
              <w:rPr>
                <w:bCs/>
                <w:kern w:val="2"/>
                <w:sz w:val="21"/>
                <w:szCs w:val="21"/>
              </w:rPr>
              <w:t>1.41</w:t>
            </w:r>
          </w:p>
        </w:tc>
        <w:tc>
          <w:tcPr>
            <w:tcW w:w="357" w:type="pct"/>
            <w:noWrap/>
            <w:vAlign w:val="center"/>
          </w:tcPr>
          <w:p w14:paraId="2409C94D" w14:textId="77777777" w:rsidR="003E78AB" w:rsidRDefault="00010BF9">
            <w:pPr>
              <w:spacing w:line="360" w:lineRule="exact"/>
              <w:ind w:firstLineChars="0" w:firstLine="0"/>
              <w:jc w:val="center"/>
              <w:rPr>
                <w:bCs/>
                <w:kern w:val="2"/>
                <w:sz w:val="21"/>
                <w:szCs w:val="21"/>
              </w:rPr>
            </w:pPr>
            <w:r>
              <w:rPr>
                <w:bCs/>
                <w:kern w:val="2"/>
                <w:sz w:val="21"/>
                <w:szCs w:val="21"/>
              </w:rPr>
              <w:t>1.28</w:t>
            </w:r>
          </w:p>
        </w:tc>
        <w:tc>
          <w:tcPr>
            <w:tcW w:w="357" w:type="pct"/>
            <w:noWrap/>
            <w:vAlign w:val="center"/>
          </w:tcPr>
          <w:p w14:paraId="267C6465" w14:textId="77777777" w:rsidR="003E78AB" w:rsidRDefault="00010BF9">
            <w:pPr>
              <w:spacing w:line="360" w:lineRule="exact"/>
              <w:ind w:firstLineChars="0" w:firstLine="0"/>
              <w:jc w:val="center"/>
              <w:rPr>
                <w:bCs/>
                <w:kern w:val="2"/>
                <w:sz w:val="21"/>
                <w:szCs w:val="21"/>
              </w:rPr>
            </w:pPr>
            <w:r>
              <w:rPr>
                <w:bCs/>
                <w:kern w:val="2"/>
                <w:sz w:val="21"/>
                <w:szCs w:val="21"/>
              </w:rPr>
              <w:t>1.17</w:t>
            </w:r>
          </w:p>
        </w:tc>
        <w:tc>
          <w:tcPr>
            <w:tcW w:w="356" w:type="pct"/>
            <w:noWrap/>
            <w:vAlign w:val="center"/>
          </w:tcPr>
          <w:p w14:paraId="0D242CDE" w14:textId="77777777" w:rsidR="003E78AB" w:rsidRDefault="00010BF9">
            <w:pPr>
              <w:spacing w:line="360" w:lineRule="exact"/>
              <w:ind w:firstLineChars="0" w:firstLine="0"/>
              <w:jc w:val="center"/>
              <w:rPr>
                <w:bCs/>
                <w:kern w:val="2"/>
                <w:sz w:val="21"/>
                <w:szCs w:val="21"/>
              </w:rPr>
            </w:pPr>
            <w:r>
              <w:rPr>
                <w:bCs/>
                <w:kern w:val="2"/>
                <w:sz w:val="21"/>
                <w:szCs w:val="21"/>
              </w:rPr>
              <w:t>1.24</w:t>
            </w:r>
          </w:p>
        </w:tc>
        <w:tc>
          <w:tcPr>
            <w:tcW w:w="357" w:type="pct"/>
            <w:noWrap/>
            <w:vAlign w:val="center"/>
          </w:tcPr>
          <w:p w14:paraId="3FDA00A3" w14:textId="77777777" w:rsidR="003E78AB" w:rsidRDefault="00010BF9">
            <w:pPr>
              <w:spacing w:line="360" w:lineRule="exact"/>
              <w:ind w:firstLineChars="0" w:firstLine="0"/>
              <w:jc w:val="center"/>
              <w:rPr>
                <w:bCs/>
                <w:kern w:val="2"/>
                <w:sz w:val="21"/>
                <w:szCs w:val="21"/>
              </w:rPr>
            </w:pPr>
            <w:r>
              <w:rPr>
                <w:bCs/>
                <w:kern w:val="2"/>
                <w:sz w:val="21"/>
                <w:szCs w:val="21"/>
              </w:rPr>
              <w:t>1.34</w:t>
            </w:r>
          </w:p>
        </w:tc>
        <w:tc>
          <w:tcPr>
            <w:tcW w:w="356" w:type="pct"/>
            <w:noWrap/>
            <w:vAlign w:val="center"/>
          </w:tcPr>
          <w:p w14:paraId="29574BB3" w14:textId="77777777" w:rsidR="003E78AB" w:rsidRDefault="00010BF9">
            <w:pPr>
              <w:spacing w:line="360" w:lineRule="exact"/>
              <w:ind w:firstLineChars="0" w:firstLine="0"/>
              <w:jc w:val="center"/>
              <w:rPr>
                <w:bCs/>
                <w:kern w:val="2"/>
                <w:sz w:val="21"/>
                <w:szCs w:val="21"/>
              </w:rPr>
            </w:pPr>
            <w:r>
              <w:rPr>
                <w:bCs/>
                <w:kern w:val="2"/>
                <w:sz w:val="21"/>
                <w:szCs w:val="21"/>
              </w:rPr>
              <w:t>1.48</w:t>
            </w:r>
          </w:p>
        </w:tc>
        <w:tc>
          <w:tcPr>
            <w:tcW w:w="357" w:type="pct"/>
            <w:noWrap/>
            <w:vAlign w:val="center"/>
          </w:tcPr>
          <w:p w14:paraId="14FFEDBE" w14:textId="77777777" w:rsidR="003E78AB" w:rsidRDefault="00010BF9">
            <w:pPr>
              <w:spacing w:line="360" w:lineRule="exact"/>
              <w:ind w:firstLineChars="0" w:firstLine="0"/>
              <w:jc w:val="center"/>
              <w:rPr>
                <w:bCs/>
                <w:kern w:val="2"/>
                <w:sz w:val="21"/>
                <w:szCs w:val="21"/>
              </w:rPr>
            </w:pPr>
            <w:r>
              <w:rPr>
                <w:bCs/>
                <w:kern w:val="2"/>
                <w:sz w:val="21"/>
                <w:szCs w:val="21"/>
              </w:rPr>
              <w:t>1.50</w:t>
            </w:r>
          </w:p>
        </w:tc>
        <w:tc>
          <w:tcPr>
            <w:tcW w:w="351" w:type="pct"/>
            <w:noWrap/>
            <w:vAlign w:val="center"/>
          </w:tcPr>
          <w:p w14:paraId="39505216" w14:textId="77777777" w:rsidR="003E78AB" w:rsidRDefault="00010BF9">
            <w:pPr>
              <w:spacing w:line="360" w:lineRule="exact"/>
              <w:ind w:firstLineChars="0" w:firstLine="0"/>
              <w:jc w:val="center"/>
              <w:rPr>
                <w:bCs/>
                <w:kern w:val="2"/>
                <w:sz w:val="21"/>
                <w:szCs w:val="21"/>
              </w:rPr>
            </w:pPr>
            <w:r>
              <w:rPr>
                <w:bCs/>
                <w:kern w:val="2"/>
                <w:sz w:val="21"/>
                <w:szCs w:val="21"/>
              </w:rPr>
              <w:t>1.58</w:t>
            </w:r>
          </w:p>
        </w:tc>
      </w:tr>
      <w:tr w:rsidR="003E78AB" w14:paraId="2CD6B54E" w14:textId="77777777">
        <w:trPr>
          <w:trHeight w:val="340"/>
          <w:jc w:val="center"/>
        </w:trPr>
        <w:tc>
          <w:tcPr>
            <w:tcW w:w="726" w:type="pct"/>
            <w:shd w:val="clear" w:color="auto" w:fill="FFFFFF"/>
            <w:noWrap/>
            <w:vAlign w:val="center"/>
          </w:tcPr>
          <w:p w14:paraId="51E01C01"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秋季</w:t>
            </w:r>
          </w:p>
        </w:tc>
        <w:tc>
          <w:tcPr>
            <w:tcW w:w="355" w:type="pct"/>
            <w:noWrap/>
            <w:vAlign w:val="center"/>
          </w:tcPr>
          <w:p w14:paraId="1D9F392B" w14:textId="77777777" w:rsidR="003E78AB" w:rsidRDefault="00010BF9">
            <w:pPr>
              <w:spacing w:line="360" w:lineRule="exact"/>
              <w:ind w:firstLineChars="0" w:firstLine="0"/>
              <w:jc w:val="center"/>
              <w:rPr>
                <w:bCs/>
                <w:kern w:val="2"/>
                <w:sz w:val="21"/>
                <w:szCs w:val="21"/>
              </w:rPr>
            </w:pPr>
            <w:r>
              <w:rPr>
                <w:bCs/>
                <w:kern w:val="2"/>
                <w:sz w:val="21"/>
                <w:szCs w:val="21"/>
              </w:rPr>
              <w:t>1.22</w:t>
            </w:r>
          </w:p>
        </w:tc>
        <w:tc>
          <w:tcPr>
            <w:tcW w:w="356" w:type="pct"/>
            <w:noWrap/>
            <w:vAlign w:val="center"/>
          </w:tcPr>
          <w:p w14:paraId="0060E231" w14:textId="77777777" w:rsidR="003E78AB" w:rsidRDefault="00010BF9">
            <w:pPr>
              <w:spacing w:line="360" w:lineRule="exact"/>
              <w:ind w:firstLineChars="0" w:firstLine="0"/>
              <w:jc w:val="center"/>
              <w:rPr>
                <w:bCs/>
                <w:kern w:val="2"/>
                <w:sz w:val="21"/>
                <w:szCs w:val="21"/>
              </w:rPr>
            </w:pPr>
            <w:r>
              <w:rPr>
                <w:bCs/>
                <w:kern w:val="2"/>
                <w:sz w:val="21"/>
                <w:szCs w:val="21"/>
              </w:rPr>
              <w:t>1.20</w:t>
            </w:r>
          </w:p>
        </w:tc>
        <w:tc>
          <w:tcPr>
            <w:tcW w:w="356" w:type="pct"/>
            <w:noWrap/>
            <w:vAlign w:val="center"/>
          </w:tcPr>
          <w:p w14:paraId="1FD234CA" w14:textId="77777777" w:rsidR="003E78AB" w:rsidRDefault="00010BF9">
            <w:pPr>
              <w:spacing w:line="360" w:lineRule="exact"/>
              <w:ind w:firstLineChars="0" w:firstLine="0"/>
              <w:jc w:val="center"/>
              <w:rPr>
                <w:bCs/>
                <w:kern w:val="2"/>
                <w:sz w:val="21"/>
                <w:szCs w:val="21"/>
              </w:rPr>
            </w:pPr>
            <w:r>
              <w:rPr>
                <w:bCs/>
                <w:kern w:val="2"/>
                <w:sz w:val="21"/>
                <w:szCs w:val="21"/>
              </w:rPr>
              <w:t>1.15</w:t>
            </w:r>
          </w:p>
        </w:tc>
        <w:tc>
          <w:tcPr>
            <w:tcW w:w="357" w:type="pct"/>
            <w:noWrap/>
            <w:vAlign w:val="center"/>
          </w:tcPr>
          <w:p w14:paraId="5E3FEBB2" w14:textId="77777777" w:rsidR="003E78AB" w:rsidRDefault="00010BF9">
            <w:pPr>
              <w:spacing w:line="360" w:lineRule="exact"/>
              <w:ind w:firstLineChars="0" w:firstLine="0"/>
              <w:jc w:val="center"/>
              <w:rPr>
                <w:bCs/>
                <w:kern w:val="2"/>
                <w:sz w:val="21"/>
                <w:szCs w:val="21"/>
              </w:rPr>
            </w:pPr>
            <w:r>
              <w:rPr>
                <w:bCs/>
                <w:kern w:val="2"/>
                <w:sz w:val="21"/>
                <w:szCs w:val="21"/>
              </w:rPr>
              <w:t>1.25</w:t>
            </w:r>
          </w:p>
        </w:tc>
        <w:tc>
          <w:tcPr>
            <w:tcW w:w="356" w:type="pct"/>
            <w:noWrap/>
            <w:vAlign w:val="center"/>
          </w:tcPr>
          <w:p w14:paraId="5541EA5F" w14:textId="77777777" w:rsidR="003E78AB" w:rsidRDefault="00010BF9">
            <w:pPr>
              <w:spacing w:line="360" w:lineRule="exact"/>
              <w:ind w:firstLineChars="0" w:firstLine="0"/>
              <w:jc w:val="center"/>
              <w:rPr>
                <w:bCs/>
                <w:kern w:val="2"/>
                <w:sz w:val="21"/>
                <w:szCs w:val="21"/>
              </w:rPr>
            </w:pPr>
            <w:r>
              <w:rPr>
                <w:bCs/>
                <w:kern w:val="2"/>
                <w:sz w:val="21"/>
                <w:szCs w:val="21"/>
              </w:rPr>
              <w:t>1.36</w:t>
            </w:r>
          </w:p>
        </w:tc>
        <w:tc>
          <w:tcPr>
            <w:tcW w:w="357" w:type="pct"/>
            <w:noWrap/>
            <w:vAlign w:val="center"/>
          </w:tcPr>
          <w:p w14:paraId="5CC92F21" w14:textId="77777777" w:rsidR="003E78AB" w:rsidRDefault="00010BF9">
            <w:pPr>
              <w:spacing w:line="360" w:lineRule="exact"/>
              <w:ind w:firstLineChars="0" w:firstLine="0"/>
              <w:jc w:val="center"/>
              <w:rPr>
                <w:bCs/>
                <w:kern w:val="2"/>
                <w:sz w:val="21"/>
                <w:szCs w:val="21"/>
              </w:rPr>
            </w:pPr>
            <w:r>
              <w:rPr>
                <w:bCs/>
                <w:kern w:val="2"/>
                <w:sz w:val="21"/>
                <w:szCs w:val="21"/>
              </w:rPr>
              <w:t>1.23</w:t>
            </w:r>
          </w:p>
        </w:tc>
        <w:tc>
          <w:tcPr>
            <w:tcW w:w="357" w:type="pct"/>
            <w:noWrap/>
            <w:vAlign w:val="center"/>
          </w:tcPr>
          <w:p w14:paraId="2D21DF0E" w14:textId="77777777" w:rsidR="003E78AB" w:rsidRDefault="00010BF9">
            <w:pPr>
              <w:spacing w:line="360" w:lineRule="exact"/>
              <w:ind w:firstLineChars="0" w:firstLine="0"/>
              <w:jc w:val="center"/>
              <w:rPr>
                <w:bCs/>
                <w:kern w:val="2"/>
                <w:sz w:val="21"/>
                <w:szCs w:val="21"/>
              </w:rPr>
            </w:pPr>
            <w:r>
              <w:rPr>
                <w:bCs/>
                <w:kern w:val="2"/>
                <w:sz w:val="21"/>
                <w:szCs w:val="21"/>
              </w:rPr>
              <w:t>1.33</w:t>
            </w:r>
          </w:p>
        </w:tc>
        <w:tc>
          <w:tcPr>
            <w:tcW w:w="356" w:type="pct"/>
            <w:noWrap/>
            <w:vAlign w:val="center"/>
          </w:tcPr>
          <w:p w14:paraId="0776DC4E" w14:textId="77777777" w:rsidR="003E78AB" w:rsidRDefault="00010BF9">
            <w:pPr>
              <w:spacing w:line="360" w:lineRule="exact"/>
              <w:ind w:firstLineChars="0" w:firstLine="0"/>
              <w:jc w:val="center"/>
              <w:rPr>
                <w:bCs/>
                <w:kern w:val="2"/>
                <w:sz w:val="21"/>
                <w:szCs w:val="21"/>
              </w:rPr>
            </w:pPr>
            <w:r>
              <w:rPr>
                <w:bCs/>
                <w:kern w:val="2"/>
                <w:sz w:val="21"/>
                <w:szCs w:val="21"/>
              </w:rPr>
              <w:t>1.39</w:t>
            </w:r>
          </w:p>
        </w:tc>
        <w:tc>
          <w:tcPr>
            <w:tcW w:w="357" w:type="pct"/>
            <w:noWrap/>
            <w:vAlign w:val="center"/>
          </w:tcPr>
          <w:p w14:paraId="75EE42FF" w14:textId="77777777" w:rsidR="003E78AB" w:rsidRDefault="00010BF9">
            <w:pPr>
              <w:spacing w:line="360" w:lineRule="exact"/>
              <w:ind w:firstLineChars="0" w:firstLine="0"/>
              <w:jc w:val="center"/>
              <w:rPr>
                <w:bCs/>
                <w:kern w:val="2"/>
                <w:sz w:val="21"/>
                <w:szCs w:val="21"/>
              </w:rPr>
            </w:pPr>
            <w:r>
              <w:rPr>
                <w:bCs/>
                <w:kern w:val="2"/>
                <w:sz w:val="21"/>
                <w:szCs w:val="21"/>
              </w:rPr>
              <w:t>1.41</w:t>
            </w:r>
          </w:p>
        </w:tc>
        <w:tc>
          <w:tcPr>
            <w:tcW w:w="356" w:type="pct"/>
            <w:noWrap/>
            <w:vAlign w:val="center"/>
          </w:tcPr>
          <w:p w14:paraId="508D2659" w14:textId="77777777" w:rsidR="003E78AB" w:rsidRDefault="00010BF9">
            <w:pPr>
              <w:spacing w:line="360" w:lineRule="exact"/>
              <w:ind w:firstLineChars="0" w:firstLine="0"/>
              <w:jc w:val="center"/>
              <w:rPr>
                <w:bCs/>
                <w:kern w:val="2"/>
                <w:sz w:val="21"/>
                <w:szCs w:val="21"/>
              </w:rPr>
            </w:pPr>
            <w:r>
              <w:rPr>
                <w:bCs/>
                <w:kern w:val="2"/>
                <w:sz w:val="21"/>
                <w:szCs w:val="21"/>
              </w:rPr>
              <w:t>1.61</w:t>
            </w:r>
          </w:p>
        </w:tc>
        <w:tc>
          <w:tcPr>
            <w:tcW w:w="357" w:type="pct"/>
            <w:noWrap/>
            <w:vAlign w:val="center"/>
          </w:tcPr>
          <w:p w14:paraId="52050BF5" w14:textId="77777777" w:rsidR="003E78AB" w:rsidRDefault="00010BF9">
            <w:pPr>
              <w:spacing w:line="360" w:lineRule="exact"/>
              <w:ind w:firstLineChars="0" w:firstLine="0"/>
              <w:jc w:val="center"/>
              <w:rPr>
                <w:bCs/>
                <w:kern w:val="2"/>
                <w:sz w:val="21"/>
                <w:szCs w:val="21"/>
              </w:rPr>
            </w:pPr>
            <w:r>
              <w:rPr>
                <w:bCs/>
                <w:kern w:val="2"/>
                <w:sz w:val="21"/>
                <w:szCs w:val="21"/>
              </w:rPr>
              <w:t>1.67</w:t>
            </w:r>
          </w:p>
        </w:tc>
        <w:tc>
          <w:tcPr>
            <w:tcW w:w="351" w:type="pct"/>
            <w:noWrap/>
            <w:vAlign w:val="center"/>
          </w:tcPr>
          <w:p w14:paraId="26A897DD" w14:textId="77777777" w:rsidR="003E78AB" w:rsidRDefault="00010BF9">
            <w:pPr>
              <w:spacing w:line="360" w:lineRule="exact"/>
              <w:ind w:firstLineChars="0" w:firstLine="0"/>
              <w:jc w:val="center"/>
              <w:rPr>
                <w:bCs/>
                <w:kern w:val="2"/>
                <w:sz w:val="21"/>
                <w:szCs w:val="21"/>
              </w:rPr>
            </w:pPr>
            <w:r>
              <w:rPr>
                <w:bCs/>
                <w:kern w:val="2"/>
                <w:sz w:val="21"/>
                <w:szCs w:val="21"/>
              </w:rPr>
              <w:t>1.73</w:t>
            </w:r>
          </w:p>
        </w:tc>
      </w:tr>
      <w:tr w:rsidR="003E78AB" w14:paraId="7DAFB3BF" w14:textId="77777777">
        <w:trPr>
          <w:trHeight w:val="340"/>
          <w:jc w:val="center"/>
        </w:trPr>
        <w:tc>
          <w:tcPr>
            <w:tcW w:w="726" w:type="pct"/>
            <w:shd w:val="clear" w:color="auto" w:fill="FFFFFF"/>
            <w:noWrap/>
            <w:vAlign w:val="center"/>
          </w:tcPr>
          <w:p w14:paraId="43F637C5"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冬季</w:t>
            </w:r>
          </w:p>
        </w:tc>
        <w:tc>
          <w:tcPr>
            <w:tcW w:w="355" w:type="pct"/>
            <w:noWrap/>
            <w:vAlign w:val="center"/>
          </w:tcPr>
          <w:p w14:paraId="57C65084" w14:textId="77777777" w:rsidR="003E78AB" w:rsidRDefault="00010BF9">
            <w:pPr>
              <w:spacing w:line="360" w:lineRule="exact"/>
              <w:ind w:firstLineChars="0" w:firstLine="0"/>
              <w:jc w:val="center"/>
              <w:rPr>
                <w:bCs/>
                <w:kern w:val="2"/>
                <w:sz w:val="21"/>
                <w:szCs w:val="21"/>
              </w:rPr>
            </w:pPr>
            <w:r>
              <w:rPr>
                <w:bCs/>
                <w:kern w:val="2"/>
                <w:sz w:val="21"/>
                <w:szCs w:val="21"/>
              </w:rPr>
              <w:t>1.22</w:t>
            </w:r>
          </w:p>
        </w:tc>
        <w:tc>
          <w:tcPr>
            <w:tcW w:w="356" w:type="pct"/>
            <w:noWrap/>
            <w:vAlign w:val="center"/>
          </w:tcPr>
          <w:p w14:paraId="6E0BAA86" w14:textId="77777777" w:rsidR="003E78AB" w:rsidRDefault="00010BF9">
            <w:pPr>
              <w:spacing w:line="360" w:lineRule="exact"/>
              <w:ind w:firstLineChars="0" w:firstLine="0"/>
              <w:jc w:val="center"/>
              <w:rPr>
                <w:bCs/>
                <w:kern w:val="2"/>
                <w:sz w:val="21"/>
                <w:szCs w:val="21"/>
              </w:rPr>
            </w:pPr>
            <w:r>
              <w:rPr>
                <w:bCs/>
                <w:kern w:val="2"/>
                <w:sz w:val="21"/>
                <w:szCs w:val="21"/>
              </w:rPr>
              <w:t>1.16</w:t>
            </w:r>
          </w:p>
        </w:tc>
        <w:tc>
          <w:tcPr>
            <w:tcW w:w="356" w:type="pct"/>
            <w:noWrap/>
            <w:vAlign w:val="center"/>
          </w:tcPr>
          <w:p w14:paraId="5099B6F6" w14:textId="77777777" w:rsidR="003E78AB" w:rsidRDefault="00010BF9">
            <w:pPr>
              <w:spacing w:line="360" w:lineRule="exact"/>
              <w:ind w:firstLineChars="0" w:firstLine="0"/>
              <w:jc w:val="center"/>
              <w:rPr>
                <w:bCs/>
                <w:kern w:val="2"/>
                <w:sz w:val="21"/>
                <w:szCs w:val="21"/>
              </w:rPr>
            </w:pPr>
            <w:r>
              <w:rPr>
                <w:bCs/>
                <w:kern w:val="2"/>
                <w:sz w:val="21"/>
                <w:szCs w:val="21"/>
              </w:rPr>
              <w:t>1.30</w:t>
            </w:r>
          </w:p>
        </w:tc>
        <w:tc>
          <w:tcPr>
            <w:tcW w:w="357" w:type="pct"/>
            <w:noWrap/>
            <w:vAlign w:val="center"/>
          </w:tcPr>
          <w:p w14:paraId="340CE4F1" w14:textId="77777777" w:rsidR="003E78AB" w:rsidRDefault="00010BF9">
            <w:pPr>
              <w:spacing w:line="360" w:lineRule="exact"/>
              <w:ind w:firstLineChars="0" w:firstLine="0"/>
              <w:jc w:val="center"/>
              <w:rPr>
                <w:bCs/>
                <w:kern w:val="2"/>
                <w:sz w:val="21"/>
                <w:szCs w:val="21"/>
              </w:rPr>
            </w:pPr>
            <w:r>
              <w:rPr>
                <w:bCs/>
                <w:kern w:val="2"/>
                <w:sz w:val="21"/>
                <w:szCs w:val="21"/>
              </w:rPr>
              <w:t>1.23</w:t>
            </w:r>
          </w:p>
        </w:tc>
        <w:tc>
          <w:tcPr>
            <w:tcW w:w="356" w:type="pct"/>
            <w:noWrap/>
            <w:vAlign w:val="center"/>
          </w:tcPr>
          <w:p w14:paraId="6DB7C8C4" w14:textId="77777777" w:rsidR="003E78AB" w:rsidRDefault="00010BF9">
            <w:pPr>
              <w:spacing w:line="360" w:lineRule="exact"/>
              <w:ind w:firstLineChars="0" w:firstLine="0"/>
              <w:jc w:val="center"/>
              <w:rPr>
                <w:bCs/>
                <w:kern w:val="2"/>
                <w:sz w:val="21"/>
                <w:szCs w:val="21"/>
              </w:rPr>
            </w:pPr>
            <w:r>
              <w:rPr>
                <w:bCs/>
                <w:kern w:val="2"/>
                <w:sz w:val="21"/>
                <w:szCs w:val="21"/>
              </w:rPr>
              <w:t>1.24</w:t>
            </w:r>
          </w:p>
        </w:tc>
        <w:tc>
          <w:tcPr>
            <w:tcW w:w="357" w:type="pct"/>
            <w:noWrap/>
            <w:vAlign w:val="center"/>
          </w:tcPr>
          <w:p w14:paraId="3E9DF187" w14:textId="77777777" w:rsidR="003E78AB" w:rsidRDefault="00010BF9">
            <w:pPr>
              <w:spacing w:line="360" w:lineRule="exact"/>
              <w:ind w:firstLineChars="0" w:firstLine="0"/>
              <w:jc w:val="center"/>
              <w:rPr>
                <w:bCs/>
                <w:kern w:val="2"/>
                <w:sz w:val="21"/>
                <w:szCs w:val="21"/>
              </w:rPr>
            </w:pPr>
            <w:r>
              <w:rPr>
                <w:bCs/>
                <w:kern w:val="2"/>
                <w:sz w:val="21"/>
                <w:szCs w:val="21"/>
              </w:rPr>
              <w:t>1.27</w:t>
            </w:r>
          </w:p>
        </w:tc>
        <w:tc>
          <w:tcPr>
            <w:tcW w:w="357" w:type="pct"/>
            <w:noWrap/>
            <w:vAlign w:val="center"/>
          </w:tcPr>
          <w:p w14:paraId="4C47984A" w14:textId="77777777" w:rsidR="003E78AB" w:rsidRDefault="00010BF9">
            <w:pPr>
              <w:spacing w:line="360" w:lineRule="exact"/>
              <w:ind w:firstLineChars="0" w:firstLine="0"/>
              <w:jc w:val="center"/>
              <w:rPr>
                <w:bCs/>
                <w:kern w:val="2"/>
                <w:sz w:val="21"/>
                <w:szCs w:val="21"/>
              </w:rPr>
            </w:pPr>
            <w:r>
              <w:rPr>
                <w:bCs/>
                <w:kern w:val="2"/>
                <w:sz w:val="21"/>
                <w:szCs w:val="21"/>
              </w:rPr>
              <w:t>1.24</w:t>
            </w:r>
          </w:p>
        </w:tc>
        <w:tc>
          <w:tcPr>
            <w:tcW w:w="356" w:type="pct"/>
            <w:noWrap/>
            <w:vAlign w:val="center"/>
          </w:tcPr>
          <w:p w14:paraId="71AA3D53" w14:textId="77777777" w:rsidR="003E78AB" w:rsidRDefault="00010BF9">
            <w:pPr>
              <w:spacing w:line="360" w:lineRule="exact"/>
              <w:ind w:firstLineChars="0" w:firstLine="0"/>
              <w:jc w:val="center"/>
              <w:rPr>
                <w:bCs/>
                <w:kern w:val="2"/>
                <w:sz w:val="21"/>
                <w:szCs w:val="21"/>
              </w:rPr>
            </w:pPr>
            <w:r>
              <w:rPr>
                <w:bCs/>
                <w:kern w:val="2"/>
                <w:sz w:val="21"/>
                <w:szCs w:val="21"/>
              </w:rPr>
              <w:t>1.30</w:t>
            </w:r>
          </w:p>
        </w:tc>
        <w:tc>
          <w:tcPr>
            <w:tcW w:w="357" w:type="pct"/>
            <w:noWrap/>
            <w:vAlign w:val="center"/>
          </w:tcPr>
          <w:p w14:paraId="2AFF8F51" w14:textId="77777777" w:rsidR="003E78AB" w:rsidRDefault="00010BF9">
            <w:pPr>
              <w:spacing w:line="360" w:lineRule="exact"/>
              <w:ind w:firstLineChars="0" w:firstLine="0"/>
              <w:jc w:val="center"/>
              <w:rPr>
                <w:bCs/>
                <w:kern w:val="2"/>
                <w:sz w:val="21"/>
                <w:szCs w:val="21"/>
              </w:rPr>
            </w:pPr>
            <w:r>
              <w:rPr>
                <w:bCs/>
                <w:kern w:val="2"/>
                <w:sz w:val="21"/>
                <w:szCs w:val="21"/>
              </w:rPr>
              <w:t>1.43</w:t>
            </w:r>
          </w:p>
        </w:tc>
        <w:tc>
          <w:tcPr>
            <w:tcW w:w="356" w:type="pct"/>
            <w:noWrap/>
            <w:vAlign w:val="center"/>
          </w:tcPr>
          <w:p w14:paraId="2929DB23" w14:textId="77777777" w:rsidR="003E78AB" w:rsidRDefault="00010BF9">
            <w:pPr>
              <w:spacing w:line="360" w:lineRule="exact"/>
              <w:ind w:firstLineChars="0" w:firstLine="0"/>
              <w:jc w:val="center"/>
              <w:rPr>
                <w:bCs/>
                <w:kern w:val="2"/>
                <w:sz w:val="21"/>
                <w:szCs w:val="21"/>
              </w:rPr>
            </w:pPr>
            <w:r>
              <w:rPr>
                <w:bCs/>
                <w:kern w:val="2"/>
                <w:sz w:val="21"/>
                <w:szCs w:val="21"/>
              </w:rPr>
              <w:t>1.53</w:t>
            </w:r>
          </w:p>
        </w:tc>
        <w:tc>
          <w:tcPr>
            <w:tcW w:w="357" w:type="pct"/>
            <w:noWrap/>
            <w:vAlign w:val="center"/>
          </w:tcPr>
          <w:p w14:paraId="45C896D8" w14:textId="77777777" w:rsidR="003E78AB" w:rsidRDefault="00010BF9">
            <w:pPr>
              <w:spacing w:line="360" w:lineRule="exact"/>
              <w:ind w:firstLineChars="0" w:firstLine="0"/>
              <w:jc w:val="center"/>
              <w:rPr>
                <w:bCs/>
                <w:kern w:val="2"/>
                <w:sz w:val="21"/>
                <w:szCs w:val="21"/>
              </w:rPr>
            </w:pPr>
            <w:r>
              <w:rPr>
                <w:bCs/>
                <w:kern w:val="2"/>
                <w:sz w:val="21"/>
                <w:szCs w:val="21"/>
              </w:rPr>
              <w:t>1.68</w:t>
            </w:r>
          </w:p>
        </w:tc>
        <w:tc>
          <w:tcPr>
            <w:tcW w:w="351" w:type="pct"/>
            <w:noWrap/>
            <w:vAlign w:val="center"/>
          </w:tcPr>
          <w:p w14:paraId="3B4FC119" w14:textId="77777777" w:rsidR="003E78AB" w:rsidRDefault="00010BF9">
            <w:pPr>
              <w:spacing w:line="360" w:lineRule="exact"/>
              <w:ind w:firstLineChars="0" w:firstLine="0"/>
              <w:jc w:val="center"/>
              <w:rPr>
                <w:bCs/>
                <w:kern w:val="2"/>
                <w:sz w:val="21"/>
                <w:szCs w:val="21"/>
              </w:rPr>
            </w:pPr>
            <w:r>
              <w:rPr>
                <w:bCs/>
                <w:kern w:val="2"/>
                <w:sz w:val="21"/>
                <w:szCs w:val="21"/>
              </w:rPr>
              <w:t>1.70</w:t>
            </w:r>
          </w:p>
        </w:tc>
      </w:tr>
      <w:tr w:rsidR="003E78AB" w14:paraId="1FA94B81" w14:textId="77777777">
        <w:trPr>
          <w:trHeight w:val="340"/>
          <w:jc w:val="center"/>
        </w:trPr>
        <w:tc>
          <w:tcPr>
            <w:tcW w:w="726" w:type="pct"/>
            <w:vAlign w:val="center"/>
          </w:tcPr>
          <w:p w14:paraId="588F9428"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小时</w:t>
            </w:r>
            <w:r>
              <w:rPr>
                <w:bCs/>
                <w:kern w:val="2"/>
                <w:sz w:val="21"/>
                <w:szCs w:val="21"/>
                <w:lang w:eastAsia="en-US"/>
              </w:rPr>
              <w:t>(h)</w:t>
            </w:r>
          </w:p>
          <w:p w14:paraId="1733A06B"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风速</w:t>
            </w:r>
            <w:r>
              <w:rPr>
                <w:bCs/>
                <w:kern w:val="2"/>
                <w:sz w:val="21"/>
                <w:szCs w:val="21"/>
                <w:lang w:eastAsia="en-US"/>
              </w:rPr>
              <w:t>(m/s)</w:t>
            </w:r>
          </w:p>
        </w:tc>
        <w:tc>
          <w:tcPr>
            <w:tcW w:w="355" w:type="pct"/>
            <w:noWrap/>
            <w:vAlign w:val="center"/>
          </w:tcPr>
          <w:p w14:paraId="329DF333"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13</w:t>
            </w:r>
          </w:p>
        </w:tc>
        <w:tc>
          <w:tcPr>
            <w:tcW w:w="356" w:type="pct"/>
            <w:noWrap/>
            <w:vAlign w:val="center"/>
          </w:tcPr>
          <w:p w14:paraId="7087CC8F"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14</w:t>
            </w:r>
          </w:p>
        </w:tc>
        <w:tc>
          <w:tcPr>
            <w:tcW w:w="356" w:type="pct"/>
            <w:noWrap/>
            <w:vAlign w:val="center"/>
          </w:tcPr>
          <w:p w14:paraId="24BF6C68"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15</w:t>
            </w:r>
          </w:p>
        </w:tc>
        <w:tc>
          <w:tcPr>
            <w:tcW w:w="357" w:type="pct"/>
            <w:noWrap/>
            <w:vAlign w:val="center"/>
          </w:tcPr>
          <w:p w14:paraId="5EAE9F55"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16</w:t>
            </w:r>
          </w:p>
        </w:tc>
        <w:tc>
          <w:tcPr>
            <w:tcW w:w="356" w:type="pct"/>
            <w:noWrap/>
            <w:vAlign w:val="center"/>
          </w:tcPr>
          <w:p w14:paraId="6C2359A4"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17</w:t>
            </w:r>
          </w:p>
        </w:tc>
        <w:tc>
          <w:tcPr>
            <w:tcW w:w="357" w:type="pct"/>
            <w:noWrap/>
            <w:vAlign w:val="center"/>
          </w:tcPr>
          <w:p w14:paraId="2332D9A6"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18</w:t>
            </w:r>
          </w:p>
        </w:tc>
        <w:tc>
          <w:tcPr>
            <w:tcW w:w="357" w:type="pct"/>
            <w:noWrap/>
            <w:vAlign w:val="center"/>
          </w:tcPr>
          <w:p w14:paraId="70D46C86"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19</w:t>
            </w:r>
          </w:p>
        </w:tc>
        <w:tc>
          <w:tcPr>
            <w:tcW w:w="356" w:type="pct"/>
            <w:noWrap/>
            <w:vAlign w:val="center"/>
          </w:tcPr>
          <w:p w14:paraId="20544BDD"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20</w:t>
            </w:r>
          </w:p>
        </w:tc>
        <w:tc>
          <w:tcPr>
            <w:tcW w:w="357" w:type="pct"/>
            <w:noWrap/>
            <w:vAlign w:val="center"/>
          </w:tcPr>
          <w:p w14:paraId="5CEF2870"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21</w:t>
            </w:r>
          </w:p>
        </w:tc>
        <w:tc>
          <w:tcPr>
            <w:tcW w:w="356" w:type="pct"/>
            <w:noWrap/>
            <w:vAlign w:val="center"/>
          </w:tcPr>
          <w:p w14:paraId="5DEF31A5"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22</w:t>
            </w:r>
          </w:p>
        </w:tc>
        <w:tc>
          <w:tcPr>
            <w:tcW w:w="357" w:type="pct"/>
            <w:noWrap/>
            <w:vAlign w:val="center"/>
          </w:tcPr>
          <w:p w14:paraId="3C50626E"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23</w:t>
            </w:r>
          </w:p>
        </w:tc>
        <w:tc>
          <w:tcPr>
            <w:tcW w:w="351" w:type="pct"/>
            <w:noWrap/>
            <w:vAlign w:val="center"/>
          </w:tcPr>
          <w:p w14:paraId="72DCE77B"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24</w:t>
            </w:r>
          </w:p>
        </w:tc>
      </w:tr>
      <w:tr w:rsidR="003E78AB" w14:paraId="562C0A41" w14:textId="77777777">
        <w:trPr>
          <w:trHeight w:val="340"/>
          <w:jc w:val="center"/>
        </w:trPr>
        <w:tc>
          <w:tcPr>
            <w:tcW w:w="726" w:type="pct"/>
            <w:shd w:val="clear" w:color="auto" w:fill="FFFFFF"/>
            <w:noWrap/>
            <w:vAlign w:val="center"/>
          </w:tcPr>
          <w:p w14:paraId="3CC2440B"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春季</w:t>
            </w:r>
          </w:p>
        </w:tc>
        <w:tc>
          <w:tcPr>
            <w:tcW w:w="355" w:type="pct"/>
            <w:noWrap/>
            <w:vAlign w:val="center"/>
          </w:tcPr>
          <w:p w14:paraId="03B92BF9" w14:textId="77777777" w:rsidR="003E78AB" w:rsidRDefault="00010BF9">
            <w:pPr>
              <w:spacing w:line="360" w:lineRule="exact"/>
              <w:ind w:firstLineChars="0" w:firstLine="0"/>
              <w:jc w:val="center"/>
              <w:rPr>
                <w:bCs/>
                <w:kern w:val="2"/>
                <w:sz w:val="21"/>
                <w:szCs w:val="21"/>
                <w:lang w:eastAsia="en-US"/>
              </w:rPr>
            </w:pPr>
            <w:r>
              <w:rPr>
                <w:bCs/>
                <w:kern w:val="2"/>
                <w:sz w:val="21"/>
                <w:szCs w:val="21"/>
              </w:rPr>
              <w:t>2.34</w:t>
            </w:r>
          </w:p>
        </w:tc>
        <w:tc>
          <w:tcPr>
            <w:tcW w:w="356" w:type="pct"/>
            <w:noWrap/>
            <w:vAlign w:val="center"/>
          </w:tcPr>
          <w:p w14:paraId="71D897FE" w14:textId="77777777" w:rsidR="003E78AB" w:rsidRDefault="00010BF9">
            <w:pPr>
              <w:spacing w:line="360" w:lineRule="exact"/>
              <w:ind w:firstLineChars="0" w:firstLine="0"/>
              <w:jc w:val="center"/>
              <w:rPr>
                <w:bCs/>
                <w:kern w:val="2"/>
                <w:sz w:val="21"/>
                <w:szCs w:val="21"/>
                <w:lang w:eastAsia="en-US"/>
              </w:rPr>
            </w:pPr>
            <w:r>
              <w:rPr>
                <w:bCs/>
                <w:kern w:val="2"/>
                <w:sz w:val="21"/>
                <w:szCs w:val="21"/>
              </w:rPr>
              <w:t>2.50</w:t>
            </w:r>
          </w:p>
        </w:tc>
        <w:tc>
          <w:tcPr>
            <w:tcW w:w="356" w:type="pct"/>
            <w:noWrap/>
            <w:vAlign w:val="center"/>
          </w:tcPr>
          <w:p w14:paraId="1D4BCF61" w14:textId="77777777" w:rsidR="003E78AB" w:rsidRDefault="00010BF9">
            <w:pPr>
              <w:spacing w:line="360" w:lineRule="exact"/>
              <w:ind w:firstLineChars="0" w:firstLine="0"/>
              <w:jc w:val="center"/>
              <w:rPr>
                <w:bCs/>
                <w:kern w:val="2"/>
                <w:sz w:val="21"/>
                <w:szCs w:val="21"/>
                <w:lang w:eastAsia="en-US"/>
              </w:rPr>
            </w:pPr>
            <w:r>
              <w:rPr>
                <w:bCs/>
                <w:kern w:val="2"/>
                <w:sz w:val="21"/>
                <w:szCs w:val="21"/>
              </w:rPr>
              <w:t>2.57</w:t>
            </w:r>
          </w:p>
        </w:tc>
        <w:tc>
          <w:tcPr>
            <w:tcW w:w="357" w:type="pct"/>
            <w:noWrap/>
            <w:vAlign w:val="center"/>
          </w:tcPr>
          <w:p w14:paraId="005F897E" w14:textId="77777777" w:rsidR="003E78AB" w:rsidRDefault="00010BF9">
            <w:pPr>
              <w:spacing w:line="360" w:lineRule="exact"/>
              <w:ind w:firstLineChars="0" w:firstLine="0"/>
              <w:jc w:val="center"/>
              <w:rPr>
                <w:bCs/>
                <w:kern w:val="2"/>
                <w:sz w:val="21"/>
                <w:szCs w:val="21"/>
                <w:lang w:eastAsia="en-US"/>
              </w:rPr>
            </w:pPr>
            <w:r>
              <w:rPr>
                <w:bCs/>
                <w:kern w:val="2"/>
                <w:sz w:val="21"/>
                <w:szCs w:val="21"/>
              </w:rPr>
              <w:t>2.51</w:t>
            </w:r>
          </w:p>
        </w:tc>
        <w:tc>
          <w:tcPr>
            <w:tcW w:w="356" w:type="pct"/>
            <w:noWrap/>
            <w:vAlign w:val="center"/>
          </w:tcPr>
          <w:p w14:paraId="6C2A64A9" w14:textId="77777777" w:rsidR="003E78AB" w:rsidRDefault="00010BF9">
            <w:pPr>
              <w:spacing w:line="360" w:lineRule="exact"/>
              <w:ind w:firstLineChars="0" w:firstLine="0"/>
              <w:jc w:val="center"/>
              <w:rPr>
                <w:bCs/>
                <w:kern w:val="2"/>
                <w:sz w:val="21"/>
                <w:szCs w:val="21"/>
                <w:lang w:eastAsia="en-US"/>
              </w:rPr>
            </w:pPr>
            <w:r>
              <w:rPr>
                <w:bCs/>
                <w:kern w:val="2"/>
                <w:sz w:val="21"/>
                <w:szCs w:val="21"/>
              </w:rPr>
              <w:t>2.57</w:t>
            </w:r>
          </w:p>
        </w:tc>
        <w:tc>
          <w:tcPr>
            <w:tcW w:w="357" w:type="pct"/>
            <w:noWrap/>
            <w:vAlign w:val="center"/>
          </w:tcPr>
          <w:p w14:paraId="3164A8F3" w14:textId="77777777" w:rsidR="003E78AB" w:rsidRDefault="00010BF9">
            <w:pPr>
              <w:spacing w:line="360" w:lineRule="exact"/>
              <w:ind w:firstLineChars="0" w:firstLine="0"/>
              <w:jc w:val="center"/>
              <w:rPr>
                <w:bCs/>
                <w:kern w:val="2"/>
                <w:sz w:val="21"/>
                <w:szCs w:val="21"/>
                <w:lang w:eastAsia="en-US"/>
              </w:rPr>
            </w:pPr>
            <w:r>
              <w:rPr>
                <w:bCs/>
                <w:kern w:val="2"/>
                <w:sz w:val="21"/>
                <w:szCs w:val="21"/>
              </w:rPr>
              <w:t>2.29</w:t>
            </w:r>
          </w:p>
        </w:tc>
        <w:tc>
          <w:tcPr>
            <w:tcW w:w="357" w:type="pct"/>
            <w:noWrap/>
            <w:vAlign w:val="center"/>
          </w:tcPr>
          <w:p w14:paraId="7DB23662" w14:textId="77777777" w:rsidR="003E78AB" w:rsidRDefault="00010BF9">
            <w:pPr>
              <w:spacing w:line="360" w:lineRule="exact"/>
              <w:ind w:firstLineChars="0" w:firstLine="0"/>
              <w:jc w:val="center"/>
              <w:rPr>
                <w:bCs/>
                <w:kern w:val="2"/>
                <w:sz w:val="21"/>
                <w:szCs w:val="21"/>
                <w:lang w:eastAsia="en-US"/>
              </w:rPr>
            </w:pPr>
            <w:r>
              <w:rPr>
                <w:bCs/>
                <w:kern w:val="2"/>
                <w:sz w:val="21"/>
                <w:szCs w:val="21"/>
              </w:rPr>
              <w:t>2.11</w:t>
            </w:r>
          </w:p>
        </w:tc>
        <w:tc>
          <w:tcPr>
            <w:tcW w:w="356" w:type="pct"/>
            <w:noWrap/>
            <w:vAlign w:val="center"/>
          </w:tcPr>
          <w:p w14:paraId="38DD5213" w14:textId="77777777" w:rsidR="003E78AB" w:rsidRDefault="00010BF9">
            <w:pPr>
              <w:spacing w:line="360" w:lineRule="exact"/>
              <w:ind w:firstLineChars="0" w:firstLine="0"/>
              <w:jc w:val="center"/>
              <w:rPr>
                <w:bCs/>
                <w:kern w:val="2"/>
                <w:sz w:val="21"/>
                <w:szCs w:val="21"/>
                <w:lang w:eastAsia="en-US"/>
              </w:rPr>
            </w:pPr>
            <w:r>
              <w:rPr>
                <w:bCs/>
                <w:kern w:val="2"/>
                <w:sz w:val="21"/>
                <w:szCs w:val="21"/>
              </w:rPr>
              <w:t>1.84</w:t>
            </w:r>
          </w:p>
        </w:tc>
        <w:tc>
          <w:tcPr>
            <w:tcW w:w="357" w:type="pct"/>
            <w:noWrap/>
            <w:vAlign w:val="center"/>
          </w:tcPr>
          <w:p w14:paraId="1DA28223" w14:textId="77777777" w:rsidR="003E78AB" w:rsidRDefault="00010BF9">
            <w:pPr>
              <w:spacing w:line="360" w:lineRule="exact"/>
              <w:ind w:firstLineChars="0" w:firstLine="0"/>
              <w:jc w:val="center"/>
              <w:rPr>
                <w:bCs/>
                <w:kern w:val="2"/>
                <w:sz w:val="21"/>
                <w:szCs w:val="21"/>
                <w:lang w:eastAsia="en-US"/>
              </w:rPr>
            </w:pPr>
            <w:r>
              <w:rPr>
                <w:bCs/>
                <w:kern w:val="2"/>
                <w:sz w:val="21"/>
                <w:szCs w:val="21"/>
              </w:rPr>
              <w:t>1.79</w:t>
            </w:r>
          </w:p>
        </w:tc>
        <w:tc>
          <w:tcPr>
            <w:tcW w:w="356" w:type="pct"/>
            <w:noWrap/>
            <w:vAlign w:val="center"/>
          </w:tcPr>
          <w:p w14:paraId="7E674D61" w14:textId="77777777" w:rsidR="003E78AB" w:rsidRDefault="00010BF9">
            <w:pPr>
              <w:spacing w:line="360" w:lineRule="exact"/>
              <w:ind w:firstLineChars="0" w:firstLine="0"/>
              <w:jc w:val="center"/>
              <w:rPr>
                <w:bCs/>
                <w:kern w:val="2"/>
                <w:sz w:val="21"/>
                <w:szCs w:val="21"/>
                <w:lang w:eastAsia="en-US"/>
              </w:rPr>
            </w:pPr>
            <w:r>
              <w:rPr>
                <w:bCs/>
                <w:kern w:val="2"/>
                <w:sz w:val="21"/>
                <w:szCs w:val="21"/>
              </w:rPr>
              <w:t>1.87</w:t>
            </w:r>
          </w:p>
        </w:tc>
        <w:tc>
          <w:tcPr>
            <w:tcW w:w="357" w:type="pct"/>
            <w:noWrap/>
            <w:vAlign w:val="center"/>
          </w:tcPr>
          <w:p w14:paraId="5C108C2E" w14:textId="77777777" w:rsidR="003E78AB" w:rsidRDefault="00010BF9">
            <w:pPr>
              <w:spacing w:line="360" w:lineRule="exact"/>
              <w:ind w:firstLineChars="0" w:firstLine="0"/>
              <w:jc w:val="center"/>
              <w:rPr>
                <w:bCs/>
                <w:kern w:val="2"/>
                <w:sz w:val="21"/>
                <w:szCs w:val="21"/>
                <w:lang w:eastAsia="en-US"/>
              </w:rPr>
            </w:pPr>
            <w:r>
              <w:rPr>
                <w:bCs/>
                <w:kern w:val="2"/>
                <w:sz w:val="21"/>
                <w:szCs w:val="21"/>
              </w:rPr>
              <w:t>1.88</w:t>
            </w:r>
          </w:p>
        </w:tc>
        <w:tc>
          <w:tcPr>
            <w:tcW w:w="351" w:type="pct"/>
            <w:noWrap/>
            <w:vAlign w:val="center"/>
          </w:tcPr>
          <w:p w14:paraId="01DEA9FD" w14:textId="77777777" w:rsidR="003E78AB" w:rsidRDefault="00010BF9">
            <w:pPr>
              <w:spacing w:line="360" w:lineRule="exact"/>
              <w:ind w:firstLineChars="0" w:firstLine="0"/>
              <w:jc w:val="center"/>
              <w:rPr>
                <w:bCs/>
                <w:kern w:val="2"/>
                <w:sz w:val="21"/>
                <w:szCs w:val="21"/>
                <w:lang w:eastAsia="en-US"/>
              </w:rPr>
            </w:pPr>
            <w:r>
              <w:rPr>
                <w:bCs/>
                <w:kern w:val="2"/>
                <w:sz w:val="21"/>
                <w:szCs w:val="21"/>
              </w:rPr>
              <w:t>1.92</w:t>
            </w:r>
          </w:p>
        </w:tc>
      </w:tr>
      <w:tr w:rsidR="003E78AB" w14:paraId="6DA35DDF" w14:textId="77777777">
        <w:trPr>
          <w:trHeight w:val="340"/>
          <w:jc w:val="center"/>
        </w:trPr>
        <w:tc>
          <w:tcPr>
            <w:tcW w:w="726" w:type="pct"/>
            <w:shd w:val="clear" w:color="auto" w:fill="FFFFFF"/>
            <w:noWrap/>
            <w:vAlign w:val="center"/>
          </w:tcPr>
          <w:p w14:paraId="7292340F"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夏季</w:t>
            </w:r>
          </w:p>
        </w:tc>
        <w:tc>
          <w:tcPr>
            <w:tcW w:w="355" w:type="pct"/>
            <w:noWrap/>
            <w:vAlign w:val="center"/>
          </w:tcPr>
          <w:p w14:paraId="6DE40920" w14:textId="77777777" w:rsidR="003E78AB" w:rsidRDefault="00010BF9">
            <w:pPr>
              <w:spacing w:line="360" w:lineRule="exact"/>
              <w:ind w:firstLineChars="0" w:firstLine="0"/>
              <w:jc w:val="center"/>
              <w:rPr>
                <w:bCs/>
                <w:kern w:val="2"/>
                <w:sz w:val="21"/>
                <w:szCs w:val="21"/>
                <w:lang w:eastAsia="en-US"/>
              </w:rPr>
            </w:pPr>
            <w:r>
              <w:rPr>
                <w:bCs/>
                <w:kern w:val="2"/>
                <w:sz w:val="21"/>
                <w:szCs w:val="21"/>
              </w:rPr>
              <w:t>1.74</w:t>
            </w:r>
          </w:p>
        </w:tc>
        <w:tc>
          <w:tcPr>
            <w:tcW w:w="356" w:type="pct"/>
            <w:noWrap/>
            <w:vAlign w:val="center"/>
          </w:tcPr>
          <w:p w14:paraId="603EFD32" w14:textId="77777777" w:rsidR="003E78AB" w:rsidRDefault="00010BF9">
            <w:pPr>
              <w:spacing w:line="360" w:lineRule="exact"/>
              <w:ind w:firstLineChars="0" w:firstLine="0"/>
              <w:jc w:val="center"/>
              <w:rPr>
                <w:bCs/>
                <w:kern w:val="2"/>
                <w:sz w:val="21"/>
                <w:szCs w:val="21"/>
                <w:lang w:eastAsia="en-US"/>
              </w:rPr>
            </w:pPr>
            <w:r>
              <w:rPr>
                <w:bCs/>
                <w:kern w:val="2"/>
                <w:sz w:val="21"/>
                <w:szCs w:val="21"/>
              </w:rPr>
              <w:t>1.72</w:t>
            </w:r>
          </w:p>
        </w:tc>
        <w:tc>
          <w:tcPr>
            <w:tcW w:w="356" w:type="pct"/>
            <w:noWrap/>
            <w:vAlign w:val="center"/>
          </w:tcPr>
          <w:p w14:paraId="6B8448A5" w14:textId="77777777" w:rsidR="003E78AB" w:rsidRDefault="00010BF9">
            <w:pPr>
              <w:spacing w:line="360" w:lineRule="exact"/>
              <w:ind w:firstLineChars="0" w:firstLine="0"/>
              <w:jc w:val="center"/>
              <w:rPr>
                <w:bCs/>
                <w:kern w:val="2"/>
                <w:sz w:val="21"/>
                <w:szCs w:val="21"/>
                <w:lang w:eastAsia="en-US"/>
              </w:rPr>
            </w:pPr>
            <w:r>
              <w:rPr>
                <w:bCs/>
                <w:kern w:val="2"/>
                <w:sz w:val="21"/>
                <w:szCs w:val="21"/>
              </w:rPr>
              <w:t>1.84</w:t>
            </w:r>
          </w:p>
        </w:tc>
        <w:tc>
          <w:tcPr>
            <w:tcW w:w="357" w:type="pct"/>
            <w:noWrap/>
            <w:vAlign w:val="center"/>
          </w:tcPr>
          <w:p w14:paraId="4CE3C7D8" w14:textId="77777777" w:rsidR="003E78AB" w:rsidRDefault="00010BF9">
            <w:pPr>
              <w:spacing w:line="360" w:lineRule="exact"/>
              <w:ind w:firstLineChars="0" w:firstLine="0"/>
              <w:jc w:val="center"/>
              <w:rPr>
                <w:bCs/>
                <w:kern w:val="2"/>
                <w:sz w:val="21"/>
                <w:szCs w:val="21"/>
                <w:lang w:eastAsia="en-US"/>
              </w:rPr>
            </w:pPr>
            <w:r>
              <w:rPr>
                <w:bCs/>
                <w:kern w:val="2"/>
                <w:sz w:val="21"/>
                <w:szCs w:val="21"/>
              </w:rPr>
              <w:t>1.77</w:t>
            </w:r>
          </w:p>
        </w:tc>
        <w:tc>
          <w:tcPr>
            <w:tcW w:w="356" w:type="pct"/>
            <w:noWrap/>
            <w:vAlign w:val="center"/>
          </w:tcPr>
          <w:p w14:paraId="59768481" w14:textId="77777777" w:rsidR="003E78AB" w:rsidRDefault="00010BF9">
            <w:pPr>
              <w:spacing w:line="360" w:lineRule="exact"/>
              <w:ind w:firstLineChars="0" w:firstLine="0"/>
              <w:jc w:val="center"/>
              <w:rPr>
                <w:bCs/>
                <w:kern w:val="2"/>
                <w:sz w:val="21"/>
                <w:szCs w:val="21"/>
                <w:lang w:eastAsia="en-US"/>
              </w:rPr>
            </w:pPr>
            <w:r>
              <w:rPr>
                <w:bCs/>
                <w:kern w:val="2"/>
                <w:sz w:val="21"/>
                <w:szCs w:val="21"/>
              </w:rPr>
              <w:t>1.62</w:t>
            </w:r>
          </w:p>
        </w:tc>
        <w:tc>
          <w:tcPr>
            <w:tcW w:w="357" w:type="pct"/>
            <w:noWrap/>
            <w:vAlign w:val="center"/>
          </w:tcPr>
          <w:p w14:paraId="32C63D4E" w14:textId="77777777" w:rsidR="003E78AB" w:rsidRDefault="00010BF9">
            <w:pPr>
              <w:spacing w:line="360" w:lineRule="exact"/>
              <w:ind w:firstLineChars="0" w:firstLine="0"/>
              <w:jc w:val="center"/>
              <w:rPr>
                <w:bCs/>
                <w:kern w:val="2"/>
                <w:sz w:val="21"/>
                <w:szCs w:val="21"/>
                <w:lang w:eastAsia="en-US"/>
              </w:rPr>
            </w:pPr>
            <w:r>
              <w:rPr>
                <w:bCs/>
                <w:kern w:val="2"/>
                <w:sz w:val="21"/>
                <w:szCs w:val="21"/>
              </w:rPr>
              <w:t>1.41</w:t>
            </w:r>
          </w:p>
        </w:tc>
        <w:tc>
          <w:tcPr>
            <w:tcW w:w="357" w:type="pct"/>
            <w:noWrap/>
            <w:vAlign w:val="center"/>
          </w:tcPr>
          <w:p w14:paraId="7A2A9726" w14:textId="77777777" w:rsidR="003E78AB" w:rsidRDefault="00010BF9">
            <w:pPr>
              <w:spacing w:line="360" w:lineRule="exact"/>
              <w:ind w:firstLineChars="0" w:firstLine="0"/>
              <w:jc w:val="center"/>
              <w:rPr>
                <w:bCs/>
                <w:kern w:val="2"/>
                <w:sz w:val="21"/>
                <w:szCs w:val="21"/>
                <w:lang w:eastAsia="en-US"/>
              </w:rPr>
            </w:pPr>
            <w:r>
              <w:rPr>
                <w:bCs/>
                <w:kern w:val="2"/>
                <w:sz w:val="21"/>
                <w:szCs w:val="21"/>
              </w:rPr>
              <w:t>1.20</w:t>
            </w:r>
          </w:p>
        </w:tc>
        <w:tc>
          <w:tcPr>
            <w:tcW w:w="356" w:type="pct"/>
            <w:noWrap/>
            <w:vAlign w:val="center"/>
          </w:tcPr>
          <w:p w14:paraId="4EF58763" w14:textId="77777777" w:rsidR="003E78AB" w:rsidRDefault="00010BF9">
            <w:pPr>
              <w:spacing w:line="360" w:lineRule="exact"/>
              <w:ind w:firstLineChars="0" w:firstLine="0"/>
              <w:jc w:val="center"/>
              <w:rPr>
                <w:bCs/>
                <w:kern w:val="2"/>
                <w:sz w:val="21"/>
                <w:szCs w:val="21"/>
                <w:lang w:eastAsia="en-US"/>
              </w:rPr>
            </w:pPr>
            <w:r>
              <w:rPr>
                <w:bCs/>
                <w:kern w:val="2"/>
                <w:sz w:val="21"/>
                <w:szCs w:val="21"/>
              </w:rPr>
              <w:t>1.14</w:t>
            </w:r>
          </w:p>
        </w:tc>
        <w:tc>
          <w:tcPr>
            <w:tcW w:w="357" w:type="pct"/>
            <w:noWrap/>
            <w:vAlign w:val="center"/>
          </w:tcPr>
          <w:p w14:paraId="3C57C119" w14:textId="77777777" w:rsidR="003E78AB" w:rsidRDefault="00010BF9">
            <w:pPr>
              <w:spacing w:line="360" w:lineRule="exact"/>
              <w:ind w:firstLineChars="0" w:firstLine="0"/>
              <w:jc w:val="center"/>
              <w:rPr>
                <w:bCs/>
                <w:kern w:val="2"/>
                <w:sz w:val="21"/>
                <w:szCs w:val="21"/>
                <w:lang w:eastAsia="en-US"/>
              </w:rPr>
            </w:pPr>
            <w:r>
              <w:rPr>
                <w:bCs/>
                <w:kern w:val="2"/>
                <w:sz w:val="21"/>
                <w:szCs w:val="21"/>
              </w:rPr>
              <w:t>1.49</w:t>
            </w:r>
          </w:p>
        </w:tc>
        <w:tc>
          <w:tcPr>
            <w:tcW w:w="356" w:type="pct"/>
            <w:noWrap/>
            <w:vAlign w:val="center"/>
          </w:tcPr>
          <w:p w14:paraId="0D97B7A6" w14:textId="77777777" w:rsidR="003E78AB" w:rsidRDefault="00010BF9">
            <w:pPr>
              <w:spacing w:line="360" w:lineRule="exact"/>
              <w:ind w:firstLineChars="0" w:firstLine="0"/>
              <w:jc w:val="center"/>
              <w:rPr>
                <w:bCs/>
                <w:kern w:val="2"/>
                <w:sz w:val="21"/>
                <w:szCs w:val="21"/>
                <w:lang w:eastAsia="en-US"/>
              </w:rPr>
            </w:pPr>
            <w:r>
              <w:rPr>
                <w:bCs/>
                <w:kern w:val="2"/>
                <w:sz w:val="21"/>
                <w:szCs w:val="21"/>
              </w:rPr>
              <w:t>1.72</w:t>
            </w:r>
          </w:p>
        </w:tc>
        <w:tc>
          <w:tcPr>
            <w:tcW w:w="357" w:type="pct"/>
            <w:noWrap/>
            <w:vAlign w:val="center"/>
          </w:tcPr>
          <w:p w14:paraId="106D0D6F" w14:textId="77777777" w:rsidR="003E78AB" w:rsidRDefault="00010BF9">
            <w:pPr>
              <w:spacing w:line="360" w:lineRule="exact"/>
              <w:ind w:firstLineChars="0" w:firstLine="0"/>
              <w:jc w:val="center"/>
              <w:rPr>
                <w:bCs/>
                <w:kern w:val="2"/>
                <w:sz w:val="21"/>
                <w:szCs w:val="21"/>
                <w:lang w:eastAsia="en-US"/>
              </w:rPr>
            </w:pPr>
            <w:r>
              <w:rPr>
                <w:bCs/>
                <w:kern w:val="2"/>
                <w:sz w:val="21"/>
                <w:szCs w:val="21"/>
              </w:rPr>
              <w:t>1.61</w:t>
            </w:r>
          </w:p>
        </w:tc>
        <w:tc>
          <w:tcPr>
            <w:tcW w:w="351" w:type="pct"/>
            <w:noWrap/>
            <w:vAlign w:val="center"/>
          </w:tcPr>
          <w:p w14:paraId="42A922A8" w14:textId="77777777" w:rsidR="003E78AB" w:rsidRDefault="00010BF9">
            <w:pPr>
              <w:spacing w:line="360" w:lineRule="exact"/>
              <w:ind w:firstLineChars="0" w:firstLine="0"/>
              <w:jc w:val="center"/>
              <w:rPr>
                <w:bCs/>
                <w:kern w:val="2"/>
                <w:sz w:val="21"/>
                <w:szCs w:val="21"/>
                <w:lang w:eastAsia="en-US"/>
              </w:rPr>
            </w:pPr>
            <w:r>
              <w:rPr>
                <w:bCs/>
                <w:kern w:val="2"/>
                <w:sz w:val="21"/>
                <w:szCs w:val="21"/>
              </w:rPr>
              <w:t>1.70</w:t>
            </w:r>
          </w:p>
        </w:tc>
      </w:tr>
      <w:tr w:rsidR="003E78AB" w14:paraId="3801EBFF" w14:textId="77777777">
        <w:trPr>
          <w:trHeight w:val="340"/>
          <w:jc w:val="center"/>
        </w:trPr>
        <w:tc>
          <w:tcPr>
            <w:tcW w:w="726" w:type="pct"/>
            <w:shd w:val="clear" w:color="auto" w:fill="FFFFFF"/>
            <w:noWrap/>
            <w:vAlign w:val="center"/>
          </w:tcPr>
          <w:p w14:paraId="2F5521DC"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秋季</w:t>
            </w:r>
          </w:p>
        </w:tc>
        <w:tc>
          <w:tcPr>
            <w:tcW w:w="355" w:type="pct"/>
            <w:noWrap/>
            <w:vAlign w:val="center"/>
          </w:tcPr>
          <w:p w14:paraId="7000B37C" w14:textId="77777777" w:rsidR="003E78AB" w:rsidRDefault="00010BF9">
            <w:pPr>
              <w:spacing w:line="360" w:lineRule="exact"/>
              <w:ind w:firstLineChars="0" w:firstLine="0"/>
              <w:jc w:val="center"/>
              <w:rPr>
                <w:bCs/>
                <w:kern w:val="2"/>
                <w:sz w:val="21"/>
                <w:szCs w:val="21"/>
                <w:lang w:eastAsia="en-US"/>
              </w:rPr>
            </w:pPr>
            <w:r>
              <w:rPr>
                <w:bCs/>
                <w:kern w:val="2"/>
                <w:sz w:val="21"/>
                <w:szCs w:val="21"/>
              </w:rPr>
              <w:t>1.77</w:t>
            </w:r>
          </w:p>
        </w:tc>
        <w:tc>
          <w:tcPr>
            <w:tcW w:w="356" w:type="pct"/>
            <w:noWrap/>
            <w:vAlign w:val="center"/>
          </w:tcPr>
          <w:p w14:paraId="65F28F96" w14:textId="77777777" w:rsidR="003E78AB" w:rsidRDefault="00010BF9">
            <w:pPr>
              <w:spacing w:line="360" w:lineRule="exact"/>
              <w:ind w:firstLineChars="0" w:firstLine="0"/>
              <w:jc w:val="center"/>
              <w:rPr>
                <w:bCs/>
                <w:kern w:val="2"/>
                <w:sz w:val="21"/>
                <w:szCs w:val="21"/>
                <w:lang w:eastAsia="en-US"/>
              </w:rPr>
            </w:pPr>
            <w:r>
              <w:rPr>
                <w:bCs/>
                <w:kern w:val="2"/>
                <w:sz w:val="21"/>
                <w:szCs w:val="21"/>
              </w:rPr>
              <w:t>1.66</w:t>
            </w:r>
          </w:p>
        </w:tc>
        <w:tc>
          <w:tcPr>
            <w:tcW w:w="356" w:type="pct"/>
            <w:noWrap/>
            <w:vAlign w:val="center"/>
          </w:tcPr>
          <w:p w14:paraId="257B4AEE" w14:textId="77777777" w:rsidR="003E78AB" w:rsidRDefault="00010BF9">
            <w:pPr>
              <w:spacing w:line="360" w:lineRule="exact"/>
              <w:ind w:firstLineChars="0" w:firstLine="0"/>
              <w:jc w:val="center"/>
              <w:rPr>
                <w:bCs/>
                <w:kern w:val="2"/>
                <w:sz w:val="21"/>
                <w:szCs w:val="21"/>
                <w:lang w:eastAsia="en-US"/>
              </w:rPr>
            </w:pPr>
            <w:r>
              <w:rPr>
                <w:bCs/>
                <w:kern w:val="2"/>
                <w:sz w:val="21"/>
                <w:szCs w:val="21"/>
              </w:rPr>
              <w:t>1.58</w:t>
            </w:r>
          </w:p>
        </w:tc>
        <w:tc>
          <w:tcPr>
            <w:tcW w:w="357" w:type="pct"/>
            <w:noWrap/>
            <w:vAlign w:val="center"/>
          </w:tcPr>
          <w:p w14:paraId="05F65359" w14:textId="77777777" w:rsidR="003E78AB" w:rsidRDefault="00010BF9">
            <w:pPr>
              <w:spacing w:line="360" w:lineRule="exact"/>
              <w:ind w:firstLineChars="0" w:firstLine="0"/>
              <w:jc w:val="center"/>
              <w:rPr>
                <w:bCs/>
                <w:kern w:val="2"/>
                <w:sz w:val="21"/>
                <w:szCs w:val="21"/>
                <w:lang w:eastAsia="en-US"/>
              </w:rPr>
            </w:pPr>
            <w:r>
              <w:rPr>
                <w:bCs/>
                <w:kern w:val="2"/>
                <w:sz w:val="21"/>
                <w:szCs w:val="21"/>
              </w:rPr>
              <w:t>1.47</w:t>
            </w:r>
          </w:p>
        </w:tc>
        <w:tc>
          <w:tcPr>
            <w:tcW w:w="356" w:type="pct"/>
            <w:noWrap/>
            <w:vAlign w:val="center"/>
          </w:tcPr>
          <w:p w14:paraId="55E82A5D" w14:textId="77777777" w:rsidR="003E78AB" w:rsidRDefault="00010BF9">
            <w:pPr>
              <w:spacing w:line="360" w:lineRule="exact"/>
              <w:ind w:firstLineChars="0" w:firstLine="0"/>
              <w:jc w:val="center"/>
              <w:rPr>
                <w:bCs/>
                <w:kern w:val="2"/>
                <w:sz w:val="21"/>
                <w:szCs w:val="21"/>
                <w:lang w:eastAsia="en-US"/>
              </w:rPr>
            </w:pPr>
            <w:r>
              <w:rPr>
                <w:bCs/>
                <w:kern w:val="2"/>
                <w:sz w:val="21"/>
                <w:szCs w:val="21"/>
              </w:rPr>
              <w:t>1.13</w:t>
            </w:r>
          </w:p>
        </w:tc>
        <w:tc>
          <w:tcPr>
            <w:tcW w:w="357" w:type="pct"/>
            <w:noWrap/>
            <w:vAlign w:val="center"/>
          </w:tcPr>
          <w:p w14:paraId="46AE11FE" w14:textId="77777777" w:rsidR="003E78AB" w:rsidRDefault="00010BF9">
            <w:pPr>
              <w:spacing w:line="360" w:lineRule="exact"/>
              <w:ind w:firstLineChars="0" w:firstLine="0"/>
              <w:jc w:val="center"/>
              <w:rPr>
                <w:bCs/>
                <w:kern w:val="2"/>
                <w:sz w:val="21"/>
                <w:szCs w:val="21"/>
                <w:lang w:eastAsia="en-US"/>
              </w:rPr>
            </w:pPr>
            <w:r>
              <w:rPr>
                <w:bCs/>
                <w:kern w:val="2"/>
                <w:sz w:val="21"/>
                <w:szCs w:val="21"/>
              </w:rPr>
              <w:t>0.60</w:t>
            </w:r>
          </w:p>
        </w:tc>
        <w:tc>
          <w:tcPr>
            <w:tcW w:w="357" w:type="pct"/>
            <w:noWrap/>
            <w:vAlign w:val="center"/>
          </w:tcPr>
          <w:p w14:paraId="1EF51FCE" w14:textId="77777777" w:rsidR="003E78AB" w:rsidRDefault="00010BF9">
            <w:pPr>
              <w:spacing w:line="360" w:lineRule="exact"/>
              <w:ind w:firstLineChars="0" w:firstLine="0"/>
              <w:jc w:val="center"/>
              <w:rPr>
                <w:bCs/>
                <w:kern w:val="2"/>
                <w:sz w:val="21"/>
                <w:szCs w:val="21"/>
                <w:lang w:eastAsia="en-US"/>
              </w:rPr>
            </w:pPr>
            <w:r>
              <w:rPr>
                <w:bCs/>
                <w:kern w:val="2"/>
                <w:sz w:val="21"/>
                <w:szCs w:val="21"/>
              </w:rPr>
              <w:t>0.73</w:t>
            </w:r>
          </w:p>
        </w:tc>
        <w:tc>
          <w:tcPr>
            <w:tcW w:w="356" w:type="pct"/>
            <w:noWrap/>
            <w:vAlign w:val="center"/>
          </w:tcPr>
          <w:p w14:paraId="3CD1F635" w14:textId="77777777" w:rsidR="003E78AB" w:rsidRDefault="00010BF9">
            <w:pPr>
              <w:spacing w:line="360" w:lineRule="exact"/>
              <w:ind w:firstLineChars="0" w:firstLine="0"/>
              <w:jc w:val="center"/>
              <w:rPr>
                <w:bCs/>
                <w:kern w:val="2"/>
                <w:sz w:val="21"/>
                <w:szCs w:val="21"/>
                <w:lang w:eastAsia="en-US"/>
              </w:rPr>
            </w:pPr>
            <w:r>
              <w:rPr>
                <w:bCs/>
                <w:kern w:val="2"/>
                <w:sz w:val="21"/>
                <w:szCs w:val="21"/>
              </w:rPr>
              <w:t>0.90</w:t>
            </w:r>
          </w:p>
        </w:tc>
        <w:tc>
          <w:tcPr>
            <w:tcW w:w="357" w:type="pct"/>
            <w:noWrap/>
            <w:vAlign w:val="center"/>
          </w:tcPr>
          <w:p w14:paraId="5DDF16F5" w14:textId="77777777" w:rsidR="003E78AB" w:rsidRDefault="00010BF9">
            <w:pPr>
              <w:spacing w:line="360" w:lineRule="exact"/>
              <w:ind w:firstLineChars="0" w:firstLine="0"/>
              <w:jc w:val="center"/>
              <w:rPr>
                <w:bCs/>
                <w:kern w:val="2"/>
                <w:sz w:val="21"/>
                <w:szCs w:val="21"/>
                <w:lang w:eastAsia="en-US"/>
              </w:rPr>
            </w:pPr>
            <w:r>
              <w:rPr>
                <w:bCs/>
                <w:kern w:val="2"/>
                <w:sz w:val="21"/>
                <w:szCs w:val="21"/>
              </w:rPr>
              <w:t>1.14</w:t>
            </w:r>
          </w:p>
        </w:tc>
        <w:tc>
          <w:tcPr>
            <w:tcW w:w="356" w:type="pct"/>
            <w:noWrap/>
            <w:vAlign w:val="center"/>
          </w:tcPr>
          <w:p w14:paraId="5280AEB0" w14:textId="77777777" w:rsidR="003E78AB" w:rsidRDefault="00010BF9">
            <w:pPr>
              <w:spacing w:line="360" w:lineRule="exact"/>
              <w:ind w:firstLineChars="0" w:firstLine="0"/>
              <w:jc w:val="center"/>
              <w:rPr>
                <w:bCs/>
                <w:kern w:val="2"/>
                <w:sz w:val="21"/>
                <w:szCs w:val="21"/>
                <w:lang w:eastAsia="en-US"/>
              </w:rPr>
            </w:pPr>
            <w:r>
              <w:rPr>
                <w:bCs/>
                <w:kern w:val="2"/>
                <w:sz w:val="21"/>
                <w:szCs w:val="21"/>
              </w:rPr>
              <w:t>1.29</w:t>
            </w:r>
          </w:p>
        </w:tc>
        <w:tc>
          <w:tcPr>
            <w:tcW w:w="357" w:type="pct"/>
            <w:noWrap/>
            <w:vAlign w:val="center"/>
          </w:tcPr>
          <w:p w14:paraId="2DBA6F2E" w14:textId="77777777" w:rsidR="003E78AB" w:rsidRDefault="00010BF9">
            <w:pPr>
              <w:spacing w:line="360" w:lineRule="exact"/>
              <w:ind w:firstLineChars="0" w:firstLine="0"/>
              <w:jc w:val="center"/>
              <w:rPr>
                <w:bCs/>
                <w:kern w:val="2"/>
                <w:sz w:val="21"/>
                <w:szCs w:val="21"/>
                <w:lang w:eastAsia="en-US"/>
              </w:rPr>
            </w:pPr>
            <w:r>
              <w:rPr>
                <w:bCs/>
                <w:kern w:val="2"/>
                <w:sz w:val="21"/>
                <w:szCs w:val="21"/>
              </w:rPr>
              <w:t>1.30</w:t>
            </w:r>
          </w:p>
        </w:tc>
        <w:tc>
          <w:tcPr>
            <w:tcW w:w="351" w:type="pct"/>
            <w:noWrap/>
            <w:vAlign w:val="center"/>
          </w:tcPr>
          <w:p w14:paraId="6447F7FF" w14:textId="77777777" w:rsidR="003E78AB" w:rsidRDefault="00010BF9">
            <w:pPr>
              <w:spacing w:line="360" w:lineRule="exact"/>
              <w:ind w:firstLineChars="0" w:firstLine="0"/>
              <w:jc w:val="center"/>
              <w:rPr>
                <w:bCs/>
                <w:kern w:val="2"/>
                <w:sz w:val="21"/>
                <w:szCs w:val="21"/>
                <w:lang w:eastAsia="en-US"/>
              </w:rPr>
            </w:pPr>
            <w:r>
              <w:rPr>
                <w:bCs/>
                <w:kern w:val="2"/>
                <w:sz w:val="21"/>
                <w:szCs w:val="21"/>
              </w:rPr>
              <w:t>1.37</w:t>
            </w:r>
          </w:p>
        </w:tc>
      </w:tr>
      <w:tr w:rsidR="003E78AB" w14:paraId="1CBCE2CB" w14:textId="77777777">
        <w:trPr>
          <w:trHeight w:val="340"/>
          <w:jc w:val="center"/>
        </w:trPr>
        <w:tc>
          <w:tcPr>
            <w:tcW w:w="726" w:type="pct"/>
            <w:shd w:val="clear" w:color="auto" w:fill="FFFFFF"/>
            <w:noWrap/>
            <w:vAlign w:val="center"/>
          </w:tcPr>
          <w:p w14:paraId="3CC760DE" w14:textId="77777777" w:rsidR="003E78AB" w:rsidRDefault="00010BF9">
            <w:pPr>
              <w:spacing w:line="360" w:lineRule="exact"/>
              <w:ind w:firstLineChars="0" w:firstLine="0"/>
              <w:jc w:val="center"/>
              <w:rPr>
                <w:bCs/>
                <w:kern w:val="2"/>
                <w:sz w:val="21"/>
                <w:szCs w:val="21"/>
                <w:lang w:eastAsia="en-US"/>
              </w:rPr>
            </w:pPr>
            <w:r>
              <w:rPr>
                <w:bCs/>
                <w:kern w:val="2"/>
                <w:sz w:val="21"/>
                <w:szCs w:val="21"/>
                <w:lang w:eastAsia="en-US"/>
              </w:rPr>
              <w:t>冬季</w:t>
            </w:r>
          </w:p>
        </w:tc>
        <w:tc>
          <w:tcPr>
            <w:tcW w:w="355" w:type="pct"/>
            <w:noWrap/>
            <w:vAlign w:val="center"/>
          </w:tcPr>
          <w:p w14:paraId="47DBE636" w14:textId="77777777" w:rsidR="003E78AB" w:rsidRDefault="00010BF9">
            <w:pPr>
              <w:spacing w:line="360" w:lineRule="exact"/>
              <w:ind w:firstLineChars="0" w:firstLine="0"/>
              <w:jc w:val="center"/>
              <w:rPr>
                <w:bCs/>
                <w:kern w:val="2"/>
                <w:sz w:val="21"/>
                <w:szCs w:val="21"/>
                <w:lang w:eastAsia="en-US"/>
              </w:rPr>
            </w:pPr>
            <w:r>
              <w:rPr>
                <w:bCs/>
                <w:kern w:val="2"/>
                <w:sz w:val="21"/>
                <w:szCs w:val="21"/>
              </w:rPr>
              <w:t>1.76</w:t>
            </w:r>
          </w:p>
        </w:tc>
        <w:tc>
          <w:tcPr>
            <w:tcW w:w="356" w:type="pct"/>
            <w:noWrap/>
            <w:vAlign w:val="center"/>
          </w:tcPr>
          <w:p w14:paraId="5A1B7CFB" w14:textId="77777777" w:rsidR="003E78AB" w:rsidRDefault="00010BF9">
            <w:pPr>
              <w:spacing w:line="360" w:lineRule="exact"/>
              <w:ind w:firstLineChars="0" w:firstLine="0"/>
              <w:jc w:val="center"/>
              <w:rPr>
                <w:bCs/>
                <w:kern w:val="2"/>
                <w:sz w:val="21"/>
                <w:szCs w:val="21"/>
                <w:lang w:eastAsia="en-US"/>
              </w:rPr>
            </w:pPr>
            <w:r>
              <w:rPr>
                <w:bCs/>
                <w:kern w:val="2"/>
                <w:sz w:val="21"/>
                <w:szCs w:val="21"/>
              </w:rPr>
              <w:t>1.80</w:t>
            </w:r>
          </w:p>
        </w:tc>
        <w:tc>
          <w:tcPr>
            <w:tcW w:w="356" w:type="pct"/>
            <w:noWrap/>
            <w:vAlign w:val="center"/>
          </w:tcPr>
          <w:p w14:paraId="6B96A171" w14:textId="77777777" w:rsidR="003E78AB" w:rsidRDefault="00010BF9">
            <w:pPr>
              <w:spacing w:line="360" w:lineRule="exact"/>
              <w:ind w:firstLineChars="0" w:firstLine="0"/>
              <w:jc w:val="center"/>
              <w:rPr>
                <w:bCs/>
                <w:kern w:val="2"/>
                <w:sz w:val="21"/>
                <w:szCs w:val="21"/>
                <w:lang w:eastAsia="en-US"/>
              </w:rPr>
            </w:pPr>
            <w:r>
              <w:rPr>
                <w:bCs/>
                <w:kern w:val="2"/>
                <w:sz w:val="21"/>
                <w:szCs w:val="21"/>
              </w:rPr>
              <w:t>1.77</w:t>
            </w:r>
          </w:p>
        </w:tc>
        <w:tc>
          <w:tcPr>
            <w:tcW w:w="357" w:type="pct"/>
            <w:noWrap/>
            <w:vAlign w:val="center"/>
          </w:tcPr>
          <w:p w14:paraId="0CBC5A59" w14:textId="77777777" w:rsidR="003E78AB" w:rsidRDefault="00010BF9">
            <w:pPr>
              <w:spacing w:line="360" w:lineRule="exact"/>
              <w:ind w:firstLineChars="0" w:firstLine="0"/>
              <w:jc w:val="center"/>
              <w:rPr>
                <w:bCs/>
                <w:kern w:val="2"/>
                <w:sz w:val="21"/>
                <w:szCs w:val="21"/>
                <w:lang w:eastAsia="en-US"/>
              </w:rPr>
            </w:pPr>
            <w:r>
              <w:rPr>
                <w:bCs/>
                <w:kern w:val="2"/>
                <w:sz w:val="21"/>
                <w:szCs w:val="21"/>
              </w:rPr>
              <w:t>1.67</w:t>
            </w:r>
          </w:p>
        </w:tc>
        <w:tc>
          <w:tcPr>
            <w:tcW w:w="356" w:type="pct"/>
            <w:noWrap/>
            <w:vAlign w:val="center"/>
          </w:tcPr>
          <w:p w14:paraId="30E2CA32" w14:textId="77777777" w:rsidR="003E78AB" w:rsidRDefault="00010BF9">
            <w:pPr>
              <w:spacing w:line="360" w:lineRule="exact"/>
              <w:ind w:firstLineChars="0" w:firstLine="0"/>
              <w:jc w:val="center"/>
              <w:rPr>
                <w:bCs/>
                <w:kern w:val="2"/>
                <w:sz w:val="21"/>
                <w:szCs w:val="21"/>
                <w:lang w:eastAsia="en-US"/>
              </w:rPr>
            </w:pPr>
            <w:r>
              <w:rPr>
                <w:bCs/>
                <w:kern w:val="2"/>
                <w:sz w:val="21"/>
                <w:szCs w:val="21"/>
              </w:rPr>
              <w:t>1.46</w:t>
            </w:r>
          </w:p>
        </w:tc>
        <w:tc>
          <w:tcPr>
            <w:tcW w:w="357" w:type="pct"/>
            <w:noWrap/>
            <w:vAlign w:val="center"/>
          </w:tcPr>
          <w:p w14:paraId="0773AD0B" w14:textId="77777777" w:rsidR="003E78AB" w:rsidRDefault="00010BF9">
            <w:pPr>
              <w:spacing w:line="360" w:lineRule="exact"/>
              <w:ind w:firstLineChars="0" w:firstLine="0"/>
              <w:jc w:val="center"/>
              <w:rPr>
                <w:bCs/>
                <w:kern w:val="2"/>
                <w:sz w:val="21"/>
                <w:szCs w:val="21"/>
                <w:lang w:eastAsia="en-US"/>
              </w:rPr>
            </w:pPr>
            <w:r>
              <w:rPr>
                <w:bCs/>
                <w:kern w:val="2"/>
                <w:sz w:val="21"/>
                <w:szCs w:val="21"/>
              </w:rPr>
              <w:t>1.12</w:t>
            </w:r>
          </w:p>
        </w:tc>
        <w:tc>
          <w:tcPr>
            <w:tcW w:w="357" w:type="pct"/>
            <w:noWrap/>
            <w:vAlign w:val="center"/>
          </w:tcPr>
          <w:p w14:paraId="7BC24068" w14:textId="77777777" w:rsidR="003E78AB" w:rsidRDefault="00010BF9">
            <w:pPr>
              <w:spacing w:line="360" w:lineRule="exact"/>
              <w:ind w:firstLineChars="0" w:firstLine="0"/>
              <w:jc w:val="center"/>
              <w:rPr>
                <w:bCs/>
                <w:kern w:val="2"/>
                <w:sz w:val="21"/>
                <w:szCs w:val="21"/>
                <w:lang w:eastAsia="en-US"/>
              </w:rPr>
            </w:pPr>
            <w:r>
              <w:rPr>
                <w:bCs/>
                <w:kern w:val="2"/>
                <w:sz w:val="21"/>
                <w:szCs w:val="21"/>
              </w:rPr>
              <w:t>1.12</w:t>
            </w:r>
          </w:p>
        </w:tc>
        <w:tc>
          <w:tcPr>
            <w:tcW w:w="356" w:type="pct"/>
            <w:noWrap/>
            <w:vAlign w:val="center"/>
          </w:tcPr>
          <w:p w14:paraId="662DC592" w14:textId="77777777" w:rsidR="003E78AB" w:rsidRDefault="00010BF9">
            <w:pPr>
              <w:spacing w:line="360" w:lineRule="exact"/>
              <w:ind w:firstLineChars="0" w:firstLine="0"/>
              <w:jc w:val="center"/>
              <w:rPr>
                <w:bCs/>
                <w:kern w:val="2"/>
                <w:sz w:val="21"/>
                <w:szCs w:val="21"/>
                <w:lang w:eastAsia="en-US"/>
              </w:rPr>
            </w:pPr>
            <w:r>
              <w:rPr>
                <w:bCs/>
                <w:kern w:val="2"/>
                <w:sz w:val="21"/>
                <w:szCs w:val="21"/>
              </w:rPr>
              <w:t>1.30</w:t>
            </w:r>
          </w:p>
        </w:tc>
        <w:tc>
          <w:tcPr>
            <w:tcW w:w="357" w:type="pct"/>
            <w:noWrap/>
            <w:vAlign w:val="center"/>
          </w:tcPr>
          <w:p w14:paraId="0501728C" w14:textId="77777777" w:rsidR="003E78AB" w:rsidRDefault="00010BF9">
            <w:pPr>
              <w:spacing w:line="360" w:lineRule="exact"/>
              <w:ind w:firstLineChars="0" w:firstLine="0"/>
              <w:jc w:val="center"/>
              <w:rPr>
                <w:bCs/>
                <w:kern w:val="2"/>
                <w:sz w:val="21"/>
                <w:szCs w:val="21"/>
                <w:lang w:eastAsia="en-US"/>
              </w:rPr>
            </w:pPr>
            <w:r>
              <w:rPr>
                <w:bCs/>
                <w:kern w:val="2"/>
                <w:sz w:val="21"/>
                <w:szCs w:val="21"/>
              </w:rPr>
              <w:t>1.31</w:t>
            </w:r>
          </w:p>
        </w:tc>
        <w:tc>
          <w:tcPr>
            <w:tcW w:w="356" w:type="pct"/>
            <w:noWrap/>
            <w:vAlign w:val="center"/>
          </w:tcPr>
          <w:p w14:paraId="239405AE" w14:textId="77777777" w:rsidR="003E78AB" w:rsidRDefault="00010BF9">
            <w:pPr>
              <w:spacing w:line="360" w:lineRule="exact"/>
              <w:ind w:firstLineChars="0" w:firstLine="0"/>
              <w:jc w:val="center"/>
              <w:rPr>
                <w:bCs/>
                <w:kern w:val="2"/>
                <w:sz w:val="21"/>
                <w:szCs w:val="21"/>
                <w:lang w:eastAsia="en-US"/>
              </w:rPr>
            </w:pPr>
            <w:r>
              <w:rPr>
                <w:bCs/>
                <w:kern w:val="2"/>
                <w:sz w:val="21"/>
                <w:szCs w:val="21"/>
              </w:rPr>
              <w:t>1.23</w:t>
            </w:r>
          </w:p>
        </w:tc>
        <w:tc>
          <w:tcPr>
            <w:tcW w:w="357" w:type="pct"/>
            <w:noWrap/>
            <w:vAlign w:val="center"/>
          </w:tcPr>
          <w:p w14:paraId="00AAAD1F" w14:textId="77777777" w:rsidR="003E78AB" w:rsidRDefault="00010BF9">
            <w:pPr>
              <w:spacing w:line="360" w:lineRule="exact"/>
              <w:ind w:firstLineChars="0" w:firstLine="0"/>
              <w:jc w:val="center"/>
              <w:rPr>
                <w:bCs/>
                <w:kern w:val="2"/>
                <w:sz w:val="21"/>
                <w:szCs w:val="21"/>
                <w:lang w:eastAsia="en-US"/>
              </w:rPr>
            </w:pPr>
            <w:r>
              <w:rPr>
                <w:bCs/>
                <w:kern w:val="2"/>
                <w:sz w:val="21"/>
                <w:szCs w:val="21"/>
              </w:rPr>
              <w:t>1.33</w:t>
            </w:r>
          </w:p>
        </w:tc>
        <w:tc>
          <w:tcPr>
            <w:tcW w:w="351" w:type="pct"/>
            <w:noWrap/>
            <w:vAlign w:val="center"/>
          </w:tcPr>
          <w:p w14:paraId="2EC027A0" w14:textId="77777777" w:rsidR="003E78AB" w:rsidRDefault="00010BF9">
            <w:pPr>
              <w:spacing w:line="360" w:lineRule="exact"/>
              <w:ind w:firstLineChars="0" w:firstLine="0"/>
              <w:jc w:val="center"/>
              <w:rPr>
                <w:bCs/>
                <w:kern w:val="2"/>
                <w:sz w:val="21"/>
                <w:szCs w:val="21"/>
                <w:lang w:eastAsia="en-US"/>
              </w:rPr>
            </w:pPr>
            <w:r>
              <w:rPr>
                <w:bCs/>
                <w:kern w:val="2"/>
                <w:sz w:val="21"/>
                <w:szCs w:val="21"/>
              </w:rPr>
              <w:t>1.32</w:t>
            </w:r>
          </w:p>
        </w:tc>
      </w:tr>
    </w:tbl>
    <w:p w14:paraId="15555789" w14:textId="77777777" w:rsidR="003E78AB" w:rsidRDefault="003E78AB">
      <w:pPr>
        <w:ind w:firstLine="482"/>
        <w:rPr>
          <w:b/>
          <w:bCs/>
          <w:u w:val="single"/>
        </w:rPr>
      </w:pPr>
    </w:p>
    <w:p w14:paraId="060BCD12" w14:textId="77777777" w:rsidR="003E78AB" w:rsidRDefault="00010BF9">
      <w:pPr>
        <w:spacing w:line="240" w:lineRule="atLeast"/>
        <w:ind w:firstLineChars="0" w:firstLine="0"/>
        <w:rPr>
          <w:b/>
          <w:bCs/>
          <w:kern w:val="2"/>
          <w:u w:val="single"/>
        </w:rPr>
      </w:pPr>
      <w:r>
        <w:rPr>
          <w:b/>
          <w:bCs/>
          <w:noProof/>
          <w:kern w:val="2"/>
          <w:u w:val="single"/>
        </w:rPr>
        <w:drawing>
          <wp:inline distT="0" distB="0" distL="114300" distR="114300">
            <wp:extent cx="5215255" cy="2007235"/>
            <wp:effectExtent l="4445" t="4445" r="19050" b="7620"/>
            <wp:docPr id="20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C6E068" w14:textId="77777777" w:rsidR="003E78AB" w:rsidRDefault="00010BF9">
      <w:pPr>
        <w:pStyle w:val="a9"/>
        <w:spacing w:before="120"/>
        <w:ind w:left="425" w:hanging="425"/>
      </w:pPr>
      <w:bookmarkStart w:id="359" w:name="_Ref28780"/>
      <w:r>
        <w:t>哈密市</w:t>
      </w:r>
      <w:r>
        <w:t>2023</w:t>
      </w:r>
      <w:r>
        <w:t>年各月平均风速变化曲线图</w:t>
      </w:r>
      <w:bookmarkEnd w:id="359"/>
    </w:p>
    <w:p w14:paraId="219B9BBC" w14:textId="77777777" w:rsidR="003E78AB" w:rsidRDefault="003E78AB">
      <w:pPr>
        <w:ind w:firstLine="482"/>
        <w:rPr>
          <w:b/>
          <w:bCs/>
          <w:u w:val="single"/>
        </w:rPr>
      </w:pPr>
    </w:p>
    <w:p w14:paraId="69B241FD" w14:textId="77777777" w:rsidR="003E78AB" w:rsidRDefault="00010BF9">
      <w:pPr>
        <w:spacing w:line="240" w:lineRule="atLeast"/>
        <w:ind w:firstLineChars="0" w:firstLine="0"/>
        <w:jc w:val="center"/>
        <w:rPr>
          <w:b/>
          <w:bCs/>
          <w:kern w:val="2"/>
          <w:u w:val="single"/>
        </w:rPr>
      </w:pPr>
      <w:r>
        <w:rPr>
          <w:b/>
          <w:bCs/>
          <w:noProof/>
          <w:kern w:val="2"/>
          <w:u w:val="single"/>
        </w:rPr>
        <w:drawing>
          <wp:inline distT="0" distB="0" distL="114300" distR="114300">
            <wp:extent cx="5215255" cy="2176145"/>
            <wp:effectExtent l="4445" t="4445" r="19050" b="10160"/>
            <wp:docPr id="20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69A826D" w14:textId="77777777" w:rsidR="003E78AB" w:rsidRDefault="00010BF9">
      <w:pPr>
        <w:pStyle w:val="a9"/>
        <w:spacing w:before="120"/>
        <w:ind w:left="425" w:hanging="425"/>
        <w:rPr>
          <w:kern w:val="0"/>
          <w:sz w:val="21"/>
          <w:szCs w:val="21"/>
        </w:rPr>
      </w:pPr>
      <w:bookmarkStart w:id="360" w:name="_Ref28962"/>
      <w:r>
        <w:t>哈密市</w:t>
      </w:r>
      <w:r>
        <w:t>2023</w:t>
      </w:r>
      <w:r>
        <w:t>年季小时平均风速日变化曲线图</w:t>
      </w:r>
      <w:bookmarkEnd w:id="360"/>
    </w:p>
    <w:p w14:paraId="208A8D54" w14:textId="77777777" w:rsidR="003E78AB" w:rsidRDefault="00010BF9">
      <w:pPr>
        <w:ind w:firstLine="480"/>
        <w:rPr>
          <w:bCs/>
          <w:kern w:val="28"/>
        </w:rPr>
      </w:pPr>
      <w:r>
        <w:rPr>
          <w:bCs/>
          <w:kern w:val="28"/>
        </w:rPr>
        <w:t>（</w:t>
      </w:r>
      <w:r>
        <w:rPr>
          <w:bCs/>
          <w:kern w:val="28"/>
        </w:rPr>
        <w:t>4</w:t>
      </w:r>
      <w:r>
        <w:rPr>
          <w:bCs/>
          <w:kern w:val="28"/>
        </w:rPr>
        <w:t>）高空气象特征</w:t>
      </w:r>
    </w:p>
    <w:p w14:paraId="7E5CA18F" w14:textId="77777777" w:rsidR="003E78AB" w:rsidRDefault="00010BF9">
      <w:pPr>
        <w:ind w:firstLine="480"/>
        <w:rPr>
          <w:bCs/>
          <w:kern w:val="28"/>
        </w:rPr>
      </w:pPr>
      <w:r>
        <w:rPr>
          <w:bCs/>
          <w:kern w:val="28"/>
        </w:rPr>
        <w:t>本环评报告采用的高空探空数据是采用大气环境影响评价数值模式</w:t>
      </w:r>
      <w:r>
        <w:rPr>
          <w:bCs/>
          <w:kern w:val="28"/>
        </w:rPr>
        <w:t>WRF</w:t>
      </w:r>
      <w:r>
        <w:rPr>
          <w:bCs/>
          <w:kern w:val="28"/>
        </w:rPr>
        <w:t>模拟生成，模式计算过程中把全国共划分为</w:t>
      </w:r>
      <w:r>
        <w:rPr>
          <w:bCs/>
          <w:kern w:val="28"/>
        </w:rPr>
        <w:t>189×159</w:t>
      </w:r>
      <w:r>
        <w:rPr>
          <w:bCs/>
          <w:kern w:val="28"/>
        </w:rPr>
        <w:t>个网格，分辨率为</w:t>
      </w:r>
      <w:r>
        <w:rPr>
          <w:bCs/>
          <w:kern w:val="28"/>
        </w:rPr>
        <w:t>27km×27km</w:t>
      </w:r>
      <w:r>
        <w:rPr>
          <w:bCs/>
          <w:kern w:val="28"/>
        </w:rPr>
        <w:t>，模式采用的原始数据有地形高度、土地利用、陆地</w:t>
      </w:r>
      <w:r>
        <w:rPr>
          <w:bCs/>
          <w:kern w:val="28"/>
        </w:rPr>
        <w:t>-</w:t>
      </w:r>
      <w:r>
        <w:rPr>
          <w:bCs/>
          <w:kern w:val="28"/>
        </w:rPr>
        <w:t>水体标志、植被组成等数据，数据源主要为美国</w:t>
      </w:r>
      <w:r>
        <w:rPr>
          <w:bCs/>
          <w:kern w:val="28"/>
        </w:rPr>
        <w:t>USGS</w:t>
      </w:r>
      <w:r>
        <w:rPr>
          <w:bCs/>
          <w:kern w:val="28"/>
        </w:rPr>
        <w:t>数据。模式采用美国国家环境预报中心（</w:t>
      </w:r>
      <w:r>
        <w:rPr>
          <w:bCs/>
          <w:kern w:val="28"/>
        </w:rPr>
        <w:t>NCEP</w:t>
      </w:r>
      <w:r>
        <w:rPr>
          <w:bCs/>
          <w:kern w:val="28"/>
        </w:rPr>
        <w:t>）的再分析数据作为模型输入场和边界场。</w:t>
      </w:r>
    </w:p>
    <w:p w14:paraId="42AEE72E" w14:textId="77777777" w:rsidR="003E78AB" w:rsidRDefault="00010BF9">
      <w:pPr>
        <w:ind w:firstLine="480"/>
        <w:rPr>
          <w:bCs/>
          <w:kern w:val="28"/>
        </w:rPr>
      </w:pPr>
      <w:r>
        <w:rPr>
          <w:bCs/>
          <w:kern w:val="28"/>
        </w:rPr>
        <w:t>本项目高空探测数据采用中尺度数值模式</w:t>
      </w:r>
      <w:r>
        <w:rPr>
          <w:rFonts w:hint="eastAsia"/>
          <w:bCs/>
          <w:kern w:val="28"/>
        </w:rPr>
        <w:t>（</w:t>
      </w:r>
      <w:r>
        <w:rPr>
          <w:bCs/>
          <w:kern w:val="28"/>
        </w:rPr>
        <w:t>WRF</w:t>
      </w:r>
      <w:r>
        <w:rPr>
          <w:rFonts w:hint="eastAsia"/>
          <w:bCs/>
          <w:kern w:val="28"/>
        </w:rPr>
        <w:t>）</w:t>
      </w:r>
      <w:r>
        <w:rPr>
          <w:bCs/>
          <w:kern w:val="28"/>
        </w:rPr>
        <w:t>模拟的</w:t>
      </w:r>
      <w:r>
        <w:rPr>
          <w:bCs/>
          <w:kern w:val="28"/>
        </w:rPr>
        <w:t>50km</w:t>
      </w:r>
      <w:r>
        <w:rPr>
          <w:bCs/>
          <w:kern w:val="28"/>
        </w:rPr>
        <w:t>内的格点气象资料。</w:t>
      </w:r>
    </w:p>
    <w:p w14:paraId="4AE7AFD8" w14:textId="77777777" w:rsidR="003E78AB" w:rsidRDefault="00010BF9">
      <w:pPr>
        <w:ind w:firstLine="480"/>
        <w:rPr>
          <w:bCs/>
          <w:kern w:val="28"/>
        </w:rPr>
      </w:pPr>
      <w:r>
        <w:rPr>
          <w:bCs/>
          <w:kern w:val="28"/>
        </w:rPr>
        <w:t>WRF</w:t>
      </w:r>
      <w:r>
        <w:rPr>
          <w:bCs/>
          <w:kern w:val="28"/>
        </w:rPr>
        <w:t>模拟高空气象资料的格点参数表，见</w:t>
      </w:r>
      <w:r>
        <w:rPr>
          <w:bCs/>
          <w:kern w:val="28"/>
        </w:rPr>
        <w:fldChar w:fldCharType="begin"/>
      </w:r>
      <w:r>
        <w:rPr>
          <w:bCs/>
          <w:kern w:val="28"/>
        </w:rPr>
        <w:instrText xml:space="preserve"> REF _Ref30022 \r \h  \* MERGEFORMAT </w:instrText>
      </w:r>
      <w:r>
        <w:rPr>
          <w:bCs/>
          <w:kern w:val="28"/>
        </w:rPr>
      </w:r>
      <w:r>
        <w:rPr>
          <w:bCs/>
          <w:kern w:val="28"/>
        </w:rPr>
        <w:fldChar w:fldCharType="separate"/>
      </w:r>
      <w:r>
        <w:rPr>
          <w:bCs/>
          <w:kern w:val="28"/>
        </w:rPr>
        <w:t>表</w:t>
      </w:r>
      <w:r>
        <w:rPr>
          <w:bCs/>
          <w:kern w:val="28"/>
        </w:rPr>
        <w:t>5-8</w:t>
      </w:r>
      <w:r>
        <w:rPr>
          <w:bCs/>
          <w:kern w:val="28"/>
        </w:rPr>
        <w:fldChar w:fldCharType="end"/>
      </w:r>
      <w:r>
        <w:rPr>
          <w:bCs/>
          <w:kern w:val="28"/>
        </w:rPr>
        <w:t>。</w:t>
      </w:r>
    </w:p>
    <w:p w14:paraId="3551CD08" w14:textId="77777777" w:rsidR="003E78AB" w:rsidRDefault="00010BF9">
      <w:pPr>
        <w:pStyle w:val="a4"/>
        <w:spacing w:before="120"/>
        <w:ind w:left="425" w:hanging="425"/>
        <w:rPr>
          <w:bCs/>
        </w:rPr>
      </w:pPr>
      <w:bookmarkStart w:id="361" w:name="_Ref30022"/>
      <w:r>
        <w:rPr>
          <w:bCs/>
        </w:rPr>
        <w:t>WRF</w:t>
      </w:r>
      <w:r>
        <w:rPr>
          <w:bCs/>
        </w:rPr>
        <w:t>模拟高空气象资料的格点参数表</w:t>
      </w:r>
      <w:bookmarkEnd w:id="36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902"/>
        <w:gridCol w:w="1507"/>
        <w:gridCol w:w="1335"/>
        <w:gridCol w:w="2193"/>
        <w:gridCol w:w="1490"/>
      </w:tblGrid>
      <w:tr w:rsidR="003E78AB" w14:paraId="78E85683" w14:textId="77777777">
        <w:trPr>
          <w:trHeight w:val="340"/>
          <w:jc w:val="center"/>
        </w:trPr>
        <w:tc>
          <w:tcPr>
            <w:tcW w:w="1167" w:type="pct"/>
            <w:gridSpan w:val="2"/>
            <w:tcMar>
              <w:top w:w="0" w:type="dxa"/>
              <w:left w:w="108" w:type="dxa"/>
              <w:bottom w:w="0" w:type="dxa"/>
              <w:right w:w="108" w:type="dxa"/>
            </w:tcMar>
            <w:vAlign w:val="center"/>
          </w:tcPr>
          <w:p w14:paraId="1E338466" w14:textId="77777777" w:rsidR="003E78AB" w:rsidRDefault="00010BF9">
            <w:pPr>
              <w:spacing w:line="360" w:lineRule="exact"/>
              <w:ind w:firstLineChars="0" w:firstLine="0"/>
              <w:jc w:val="center"/>
              <w:rPr>
                <w:bCs/>
                <w:kern w:val="2"/>
                <w:sz w:val="21"/>
                <w:szCs w:val="21"/>
              </w:rPr>
            </w:pPr>
            <w:r>
              <w:rPr>
                <w:bCs/>
                <w:kern w:val="2"/>
                <w:sz w:val="21"/>
                <w:szCs w:val="21"/>
              </w:rPr>
              <w:t>模拟点坐标</w:t>
            </w:r>
            <w:r>
              <w:rPr>
                <w:bCs/>
                <w:kern w:val="2"/>
                <w:sz w:val="21"/>
                <w:szCs w:val="21"/>
              </w:rPr>
              <w:t>(m)</w:t>
            </w:r>
          </w:p>
        </w:tc>
        <w:tc>
          <w:tcPr>
            <w:tcW w:w="885" w:type="pct"/>
            <w:vMerge w:val="restart"/>
            <w:tcMar>
              <w:top w:w="0" w:type="dxa"/>
              <w:left w:w="108" w:type="dxa"/>
              <w:bottom w:w="0" w:type="dxa"/>
              <w:right w:w="108" w:type="dxa"/>
            </w:tcMar>
            <w:vAlign w:val="center"/>
          </w:tcPr>
          <w:p w14:paraId="396B0463" w14:textId="77777777" w:rsidR="003E78AB" w:rsidRDefault="00010BF9">
            <w:pPr>
              <w:spacing w:line="360" w:lineRule="exact"/>
              <w:ind w:firstLineChars="0" w:firstLine="0"/>
              <w:jc w:val="center"/>
              <w:rPr>
                <w:bCs/>
                <w:kern w:val="2"/>
                <w:sz w:val="21"/>
                <w:szCs w:val="21"/>
              </w:rPr>
            </w:pPr>
            <w:r>
              <w:rPr>
                <w:bCs/>
                <w:kern w:val="2"/>
                <w:sz w:val="21"/>
                <w:szCs w:val="21"/>
              </w:rPr>
              <w:t>相对距离</w:t>
            </w:r>
            <w:r>
              <w:rPr>
                <w:bCs/>
                <w:kern w:val="2"/>
                <w:sz w:val="21"/>
                <w:szCs w:val="21"/>
              </w:rPr>
              <w:t>(m)</w:t>
            </w:r>
          </w:p>
        </w:tc>
        <w:tc>
          <w:tcPr>
            <w:tcW w:w="784" w:type="pct"/>
            <w:vMerge w:val="restart"/>
            <w:tcMar>
              <w:top w:w="0" w:type="dxa"/>
              <w:left w:w="108" w:type="dxa"/>
              <w:bottom w:w="0" w:type="dxa"/>
              <w:right w:w="108" w:type="dxa"/>
            </w:tcMar>
            <w:vAlign w:val="center"/>
          </w:tcPr>
          <w:p w14:paraId="599420CE" w14:textId="77777777" w:rsidR="003E78AB" w:rsidRDefault="00010BF9">
            <w:pPr>
              <w:spacing w:line="360" w:lineRule="exact"/>
              <w:ind w:firstLineChars="0" w:firstLine="0"/>
              <w:jc w:val="center"/>
              <w:rPr>
                <w:bCs/>
                <w:kern w:val="2"/>
                <w:sz w:val="21"/>
                <w:szCs w:val="21"/>
              </w:rPr>
            </w:pPr>
            <w:r>
              <w:rPr>
                <w:bCs/>
                <w:kern w:val="2"/>
                <w:sz w:val="21"/>
                <w:szCs w:val="21"/>
              </w:rPr>
              <w:t>数据年份</w:t>
            </w:r>
          </w:p>
        </w:tc>
        <w:tc>
          <w:tcPr>
            <w:tcW w:w="1287" w:type="pct"/>
            <w:vMerge w:val="restart"/>
            <w:tcMar>
              <w:top w:w="0" w:type="dxa"/>
              <w:left w:w="108" w:type="dxa"/>
              <w:bottom w:w="0" w:type="dxa"/>
              <w:right w:w="108" w:type="dxa"/>
            </w:tcMar>
            <w:vAlign w:val="center"/>
          </w:tcPr>
          <w:p w14:paraId="22BB6CAF" w14:textId="77777777" w:rsidR="003E78AB" w:rsidRDefault="00010BF9">
            <w:pPr>
              <w:spacing w:line="360" w:lineRule="exact"/>
              <w:ind w:firstLineChars="0" w:firstLine="0"/>
              <w:jc w:val="center"/>
              <w:rPr>
                <w:bCs/>
                <w:kern w:val="2"/>
                <w:sz w:val="21"/>
                <w:szCs w:val="21"/>
              </w:rPr>
            </w:pPr>
            <w:r>
              <w:rPr>
                <w:bCs/>
                <w:kern w:val="2"/>
                <w:sz w:val="21"/>
                <w:szCs w:val="21"/>
              </w:rPr>
              <w:t>模拟气象要素</w:t>
            </w:r>
          </w:p>
        </w:tc>
        <w:tc>
          <w:tcPr>
            <w:tcW w:w="875" w:type="pct"/>
            <w:vMerge w:val="restart"/>
            <w:tcMar>
              <w:top w:w="0" w:type="dxa"/>
              <w:left w:w="108" w:type="dxa"/>
              <w:bottom w:w="0" w:type="dxa"/>
              <w:right w:w="108" w:type="dxa"/>
            </w:tcMar>
            <w:vAlign w:val="center"/>
          </w:tcPr>
          <w:p w14:paraId="0B4533FE" w14:textId="77777777" w:rsidR="003E78AB" w:rsidRDefault="00010BF9">
            <w:pPr>
              <w:spacing w:line="360" w:lineRule="exact"/>
              <w:ind w:firstLineChars="0" w:firstLine="0"/>
              <w:jc w:val="center"/>
              <w:rPr>
                <w:bCs/>
                <w:kern w:val="2"/>
                <w:sz w:val="21"/>
                <w:szCs w:val="21"/>
              </w:rPr>
            </w:pPr>
            <w:r>
              <w:rPr>
                <w:bCs/>
                <w:kern w:val="2"/>
                <w:sz w:val="21"/>
                <w:szCs w:val="21"/>
              </w:rPr>
              <w:t>模拟方式</w:t>
            </w:r>
          </w:p>
        </w:tc>
      </w:tr>
      <w:tr w:rsidR="003E78AB" w14:paraId="6512F5FE" w14:textId="77777777">
        <w:trPr>
          <w:trHeight w:val="340"/>
          <w:jc w:val="center"/>
        </w:trPr>
        <w:tc>
          <w:tcPr>
            <w:tcW w:w="637" w:type="pct"/>
            <w:tcMar>
              <w:top w:w="0" w:type="dxa"/>
              <w:left w:w="108" w:type="dxa"/>
              <w:bottom w:w="0" w:type="dxa"/>
              <w:right w:w="108" w:type="dxa"/>
            </w:tcMar>
            <w:vAlign w:val="center"/>
          </w:tcPr>
          <w:p w14:paraId="044BC51F" w14:textId="77777777" w:rsidR="003E78AB" w:rsidRDefault="00010BF9">
            <w:pPr>
              <w:spacing w:line="360" w:lineRule="exact"/>
              <w:ind w:firstLineChars="0" w:firstLine="0"/>
              <w:jc w:val="center"/>
              <w:rPr>
                <w:bCs/>
                <w:kern w:val="2"/>
                <w:sz w:val="21"/>
                <w:szCs w:val="21"/>
              </w:rPr>
            </w:pPr>
            <w:r>
              <w:rPr>
                <w:bCs/>
                <w:kern w:val="2"/>
                <w:sz w:val="21"/>
                <w:szCs w:val="21"/>
              </w:rPr>
              <w:t>N</w:t>
            </w:r>
          </w:p>
        </w:tc>
        <w:tc>
          <w:tcPr>
            <w:tcW w:w="529" w:type="pct"/>
            <w:tcMar>
              <w:top w:w="0" w:type="dxa"/>
              <w:left w:w="108" w:type="dxa"/>
              <w:bottom w:w="0" w:type="dxa"/>
              <w:right w:w="108" w:type="dxa"/>
            </w:tcMar>
            <w:vAlign w:val="center"/>
          </w:tcPr>
          <w:p w14:paraId="69D5EE88" w14:textId="77777777" w:rsidR="003E78AB" w:rsidRDefault="00010BF9">
            <w:pPr>
              <w:spacing w:line="360" w:lineRule="exact"/>
              <w:ind w:firstLineChars="0" w:firstLine="0"/>
              <w:jc w:val="center"/>
              <w:rPr>
                <w:bCs/>
                <w:kern w:val="2"/>
                <w:sz w:val="21"/>
                <w:szCs w:val="21"/>
              </w:rPr>
            </w:pPr>
            <w:r>
              <w:rPr>
                <w:bCs/>
                <w:kern w:val="2"/>
                <w:sz w:val="21"/>
                <w:szCs w:val="21"/>
              </w:rPr>
              <w:t>E</w:t>
            </w:r>
          </w:p>
        </w:tc>
        <w:tc>
          <w:tcPr>
            <w:tcW w:w="885" w:type="pct"/>
            <w:vMerge/>
            <w:tcMar>
              <w:top w:w="0" w:type="dxa"/>
              <w:left w:w="108" w:type="dxa"/>
              <w:bottom w:w="0" w:type="dxa"/>
              <w:right w:w="108" w:type="dxa"/>
            </w:tcMar>
            <w:vAlign w:val="center"/>
          </w:tcPr>
          <w:p w14:paraId="4F2CC10E" w14:textId="77777777" w:rsidR="003E78AB" w:rsidRDefault="003E78AB">
            <w:pPr>
              <w:spacing w:line="360" w:lineRule="exact"/>
              <w:ind w:firstLineChars="0" w:firstLine="0"/>
              <w:jc w:val="center"/>
              <w:rPr>
                <w:bCs/>
                <w:kern w:val="2"/>
                <w:sz w:val="21"/>
                <w:szCs w:val="21"/>
              </w:rPr>
            </w:pPr>
          </w:p>
        </w:tc>
        <w:tc>
          <w:tcPr>
            <w:tcW w:w="784" w:type="pct"/>
            <w:vMerge/>
            <w:tcMar>
              <w:top w:w="0" w:type="dxa"/>
              <w:left w:w="108" w:type="dxa"/>
              <w:bottom w:w="0" w:type="dxa"/>
              <w:right w:w="108" w:type="dxa"/>
            </w:tcMar>
            <w:vAlign w:val="center"/>
          </w:tcPr>
          <w:p w14:paraId="02F71446" w14:textId="77777777" w:rsidR="003E78AB" w:rsidRDefault="003E78AB">
            <w:pPr>
              <w:spacing w:line="360" w:lineRule="exact"/>
              <w:ind w:firstLineChars="0" w:firstLine="0"/>
              <w:jc w:val="center"/>
              <w:rPr>
                <w:bCs/>
                <w:kern w:val="2"/>
                <w:sz w:val="21"/>
                <w:szCs w:val="21"/>
              </w:rPr>
            </w:pPr>
          </w:p>
        </w:tc>
        <w:tc>
          <w:tcPr>
            <w:tcW w:w="1287" w:type="pct"/>
            <w:vMerge/>
            <w:tcMar>
              <w:top w:w="0" w:type="dxa"/>
              <w:left w:w="108" w:type="dxa"/>
              <w:bottom w:w="0" w:type="dxa"/>
              <w:right w:w="108" w:type="dxa"/>
            </w:tcMar>
            <w:vAlign w:val="center"/>
          </w:tcPr>
          <w:p w14:paraId="5BD18144" w14:textId="77777777" w:rsidR="003E78AB" w:rsidRDefault="003E78AB">
            <w:pPr>
              <w:spacing w:line="360" w:lineRule="exact"/>
              <w:ind w:firstLineChars="0" w:firstLine="0"/>
              <w:jc w:val="center"/>
              <w:rPr>
                <w:bCs/>
                <w:kern w:val="2"/>
                <w:sz w:val="21"/>
                <w:szCs w:val="21"/>
              </w:rPr>
            </w:pPr>
          </w:p>
        </w:tc>
        <w:tc>
          <w:tcPr>
            <w:tcW w:w="875" w:type="pct"/>
            <w:vMerge/>
            <w:tcMar>
              <w:top w:w="0" w:type="dxa"/>
              <w:left w:w="108" w:type="dxa"/>
              <w:bottom w:w="0" w:type="dxa"/>
              <w:right w:w="108" w:type="dxa"/>
            </w:tcMar>
            <w:vAlign w:val="center"/>
          </w:tcPr>
          <w:p w14:paraId="0F59049F" w14:textId="77777777" w:rsidR="003E78AB" w:rsidRDefault="003E78AB">
            <w:pPr>
              <w:spacing w:line="360" w:lineRule="exact"/>
              <w:ind w:firstLineChars="0" w:firstLine="0"/>
              <w:jc w:val="center"/>
              <w:rPr>
                <w:bCs/>
                <w:kern w:val="2"/>
                <w:sz w:val="21"/>
                <w:szCs w:val="21"/>
              </w:rPr>
            </w:pPr>
          </w:p>
        </w:tc>
      </w:tr>
      <w:tr w:rsidR="003E78AB" w14:paraId="5D3D53CB" w14:textId="77777777">
        <w:trPr>
          <w:trHeight w:val="340"/>
          <w:jc w:val="center"/>
        </w:trPr>
        <w:tc>
          <w:tcPr>
            <w:tcW w:w="637" w:type="pct"/>
            <w:tcMar>
              <w:top w:w="0" w:type="dxa"/>
              <w:left w:w="108" w:type="dxa"/>
              <w:bottom w:w="0" w:type="dxa"/>
              <w:right w:w="108" w:type="dxa"/>
            </w:tcMar>
            <w:vAlign w:val="center"/>
          </w:tcPr>
          <w:p w14:paraId="2373EDE3" w14:textId="77777777" w:rsidR="003E78AB" w:rsidRDefault="00010BF9">
            <w:pPr>
              <w:spacing w:line="360" w:lineRule="exact"/>
              <w:ind w:firstLineChars="0" w:firstLine="0"/>
              <w:jc w:val="center"/>
              <w:rPr>
                <w:bCs/>
                <w:kern w:val="2"/>
                <w:sz w:val="21"/>
                <w:szCs w:val="21"/>
              </w:rPr>
            </w:pPr>
            <w:r>
              <w:rPr>
                <w:bCs/>
                <w:kern w:val="2"/>
                <w:sz w:val="21"/>
                <w:szCs w:val="21"/>
              </w:rPr>
              <w:t>42.82°</w:t>
            </w:r>
          </w:p>
        </w:tc>
        <w:tc>
          <w:tcPr>
            <w:tcW w:w="529" w:type="pct"/>
            <w:tcMar>
              <w:top w:w="0" w:type="dxa"/>
              <w:left w:w="108" w:type="dxa"/>
              <w:bottom w:w="0" w:type="dxa"/>
              <w:right w:w="108" w:type="dxa"/>
            </w:tcMar>
            <w:vAlign w:val="center"/>
          </w:tcPr>
          <w:p w14:paraId="3179E46C" w14:textId="77777777" w:rsidR="003E78AB" w:rsidRDefault="00010BF9">
            <w:pPr>
              <w:spacing w:line="360" w:lineRule="exact"/>
              <w:ind w:firstLineChars="0" w:firstLine="0"/>
              <w:jc w:val="center"/>
              <w:rPr>
                <w:bCs/>
                <w:kern w:val="2"/>
                <w:sz w:val="21"/>
                <w:szCs w:val="21"/>
              </w:rPr>
            </w:pPr>
            <w:r>
              <w:rPr>
                <w:bCs/>
                <w:kern w:val="2"/>
                <w:sz w:val="21"/>
                <w:szCs w:val="21"/>
              </w:rPr>
              <w:t>93.52°</w:t>
            </w:r>
          </w:p>
        </w:tc>
        <w:tc>
          <w:tcPr>
            <w:tcW w:w="885" w:type="pct"/>
            <w:tcMar>
              <w:top w:w="0" w:type="dxa"/>
              <w:left w:w="108" w:type="dxa"/>
              <w:bottom w:w="0" w:type="dxa"/>
              <w:right w:w="108" w:type="dxa"/>
            </w:tcMar>
            <w:vAlign w:val="center"/>
          </w:tcPr>
          <w:p w14:paraId="2C3CDD99" w14:textId="77777777" w:rsidR="003E78AB" w:rsidRDefault="00010BF9">
            <w:pPr>
              <w:spacing w:line="360" w:lineRule="exact"/>
              <w:ind w:firstLineChars="0" w:firstLine="0"/>
              <w:jc w:val="center"/>
              <w:rPr>
                <w:bCs/>
                <w:kern w:val="2"/>
                <w:sz w:val="21"/>
                <w:szCs w:val="21"/>
              </w:rPr>
            </w:pPr>
            <w:r>
              <w:rPr>
                <w:bCs/>
                <w:kern w:val="2"/>
                <w:sz w:val="21"/>
                <w:szCs w:val="21"/>
              </w:rPr>
              <w:t>19800</w:t>
            </w:r>
          </w:p>
        </w:tc>
        <w:tc>
          <w:tcPr>
            <w:tcW w:w="784" w:type="pct"/>
            <w:tcMar>
              <w:top w:w="0" w:type="dxa"/>
              <w:left w:w="108" w:type="dxa"/>
              <w:bottom w:w="0" w:type="dxa"/>
              <w:right w:w="108" w:type="dxa"/>
            </w:tcMar>
            <w:vAlign w:val="center"/>
          </w:tcPr>
          <w:p w14:paraId="360E12AB" w14:textId="77777777" w:rsidR="003E78AB" w:rsidRDefault="00010BF9">
            <w:pPr>
              <w:spacing w:line="360" w:lineRule="exact"/>
              <w:ind w:firstLineChars="0" w:firstLine="0"/>
              <w:jc w:val="center"/>
              <w:rPr>
                <w:bCs/>
                <w:kern w:val="2"/>
                <w:sz w:val="21"/>
                <w:szCs w:val="21"/>
              </w:rPr>
            </w:pPr>
            <w:r>
              <w:rPr>
                <w:bCs/>
                <w:kern w:val="2"/>
                <w:sz w:val="21"/>
                <w:szCs w:val="21"/>
              </w:rPr>
              <w:t>202</w:t>
            </w:r>
            <w:r>
              <w:rPr>
                <w:rFonts w:hint="eastAsia"/>
                <w:bCs/>
                <w:kern w:val="2"/>
                <w:sz w:val="21"/>
                <w:szCs w:val="21"/>
              </w:rPr>
              <w:t>3</w:t>
            </w:r>
          </w:p>
        </w:tc>
        <w:tc>
          <w:tcPr>
            <w:tcW w:w="1287" w:type="pct"/>
            <w:tcMar>
              <w:top w:w="0" w:type="dxa"/>
              <w:left w:w="108" w:type="dxa"/>
              <w:bottom w:w="0" w:type="dxa"/>
              <w:right w:w="108" w:type="dxa"/>
            </w:tcMar>
            <w:vAlign w:val="center"/>
          </w:tcPr>
          <w:p w14:paraId="54EF0D07" w14:textId="77777777" w:rsidR="003E78AB" w:rsidRDefault="00010BF9">
            <w:pPr>
              <w:spacing w:line="360" w:lineRule="exact"/>
              <w:ind w:firstLineChars="0" w:firstLine="0"/>
              <w:jc w:val="center"/>
              <w:rPr>
                <w:bCs/>
                <w:kern w:val="2"/>
                <w:sz w:val="21"/>
                <w:szCs w:val="21"/>
              </w:rPr>
            </w:pPr>
            <w:r>
              <w:rPr>
                <w:bCs/>
                <w:kern w:val="2"/>
                <w:sz w:val="21"/>
                <w:szCs w:val="21"/>
              </w:rPr>
              <w:t>风向、风速、总云、低云、干球温度</w:t>
            </w:r>
          </w:p>
        </w:tc>
        <w:tc>
          <w:tcPr>
            <w:tcW w:w="875" w:type="pct"/>
            <w:tcMar>
              <w:top w:w="0" w:type="dxa"/>
              <w:left w:w="108" w:type="dxa"/>
              <w:bottom w:w="0" w:type="dxa"/>
              <w:right w:w="108" w:type="dxa"/>
            </w:tcMar>
            <w:vAlign w:val="center"/>
          </w:tcPr>
          <w:p w14:paraId="71D39663" w14:textId="77777777" w:rsidR="003E78AB" w:rsidRDefault="00010BF9">
            <w:pPr>
              <w:spacing w:line="360" w:lineRule="exact"/>
              <w:ind w:firstLineChars="0" w:firstLine="0"/>
              <w:jc w:val="center"/>
              <w:rPr>
                <w:bCs/>
                <w:kern w:val="2"/>
                <w:sz w:val="21"/>
                <w:szCs w:val="21"/>
              </w:rPr>
            </w:pPr>
            <w:r>
              <w:rPr>
                <w:bCs/>
                <w:kern w:val="2"/>
                <w:sz w:val="21"/>
                <w:szCs w:val="21"/>
              </w:rPr>
              <w:t>WRF-ARW</w:t>
            </w:r>
          </w:p>
        </w:tc>
      </w:tr>
    </w:tbl>
    <w:p w14:paraId="14C46818" w14:textId="77777777" w:rsidR="003E78AB" w:rsidRDefault="003E78AB">
      <w:pPr>
        <w:ind w:firstLine="482"/>
        <w:rPr>
          <w:b/>
          <w:bCs/>
          <w:u w:val="single"/>
        </w:rPr>
        <w:sectPr w:rsidR="003E78AB">
          <w:pgSz w:w="11906" w:h="16838"/>
          <w:pgMar w:top="1440" w:right="1803" w:bottom="1440" w:left="1803" w:header="851" w:footer="992" w:gutter="0"/>
          <w:cols w:space="720"/>
          <w:docGrid w:linePitch="312"/>
        </w:sectPr>
      </w:pPr>
    </w:p>
    <w:p w14:paraId="4DDA0FEC" w14:textId="77777777" w:rsidR="003E78AB" w:rsidRDefault="00010BF9">
      <w:pPr>
        <w:pStyle w:val="a4"/>
        <w:spacing w:before="120"/>
        <w:ind w:left="425" w:hanging="425"/>
        <w:jc w:val="right"/>
        <w:rPr>
          <w:b/>
          <w:bCs/>
          <w:u w:val="single"/>
        </w:rPr>
      </w:pPr>
      <w:bookmarkStart w:id="362" w:name="_Ref29106"/>
      <w:r>
        <w:rPr>
          <w:b/>
          <w:bCs/>
          <w:u w:val="single"/>
        </w:rPr>
        <w:t>哈密市</w:t>
      </w:r>
      <w:r>
        <w:rPr>
          <w:b/>
          <w:bCs/>
          <w:u w:val="single"/>
        </w:rPr>
        <w:t>2023</w:t>
      </w:r>
      <w:r>
        <w:rPr>
          <w:b/>
          <w:bCs/>
          <w:u w:val="single"/>
        </w:rPr>
        <w:t>年各月、季及全年风向频率表</w:t>
      </w:r>
      <w:r>
        <w:rPr>
          <w:rFonts w:hint="eastAsia"/>
          <w:b/>
          <w:bCs/>
          <w:u w:val="single"/>
        </w:rPr>
        <w:t xml:space="preserve">                        </w:t>
      </w:r>
      <w:r>
        <w:rPr>
          <w:rFonts w:hint="eastAsia"/>
          <w:b/>
          <w:bCs/>
          <w:u w:val="single"/>
        </w:rPr>
        <w:t>单位：</w:t>
      </w:r>
      <w:r>
        <w:rPr>
          <w:b/>
          <w:bCs/>
          <w:u w:val="single"/>
        </w:rPr>
        <w:t>%</w:t>
      </w:r>
      <w:bookmarkEnd w:id="362"/>
    </w:p>
    <w:tbl>
      <w:tblPr>
        <w:tblStyle w:val="afe"/>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782"/>
        <w:gridCol w:w="782"/>
        <w:gridCol w:w="782"/>
        <w:gridCol w:w="782"/>
        <w:gridCol w:w="782"/>
        <w:gridCol w:w="782"/>
        <w:gridCol w:w="782"/>
        <w:gridCol w:w="782"/>
        <w:gridCol w:w="782"/>
        <w:gridCol w:w="782"/>
        <w:gridCol w:w="782"/>
        <w:gridCol w:w="782"/>
        <w:gridCol w:w="782"/>
        <w:gridCol w:w="835"/>
        <w:gridCol w:w="729"/>
        <w:gridCol w:w="782"/>
        <w:gridCol w:w="789"/>
      </w:tblGrid>
      <w:tr w:rsidR="003E78AB" w14:paraId="5C031437" w14:textId="77777777">
        <w:trPr>
          <w:trHeight w:val="369"/>
          <w:tblHeader/>
        </w:trPr>
        <w:tc>
          <w:tcPr>
            <w:tcW w:w="874" w:type="dxa"/>
          </w:tcPr>
          <w:p w14:paraId="41A1BB3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月份</w:t>
            </w:r>
          </w:p>
        </w:tc>
        <w:tc>
          <w:tcPr>
            <w:tcW w:w="782" w:type="dxa"/>
          </w:tcPr>
          <w:p w14:paraId="7497BE5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w:t>
            </w:r>
          </w:p>
        </w:tc>
        <w:tc>
          <w:tcPr>
            <w:tcW w:w="782" w:type="dxa"/>
          </w:tcPr>
          <w:p w14:paraId="7C6ED50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NNE</w:t>
            </w:r>
          </w:p>
        </w:tc>
        <w:tc>
          <w:tcPr>
            <w:tcW w:w="782" w:type="dxa"/>
          </w:tcPr>
          <w:p w14:paraId="42EEF58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NE</w:t>
            </w:r>
          </w:p>
        </w:tc>
        <w:tc>
          <w:tcPr>
            <w:tcW w:w="782" w:type="dxa"/>
          </w:tcPr>
          <w:p w14:paraId="644F599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ENE</w:t>
            </w:r>
          </w:p>
        </w:tc>
        <w:tc>
          <w:tcPr>
            <w:tcW w:w="782" w:type="dxa"/>
          </w:tcPr>
          <w:p w14:paraId="532C221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w:t>
            </w:r>
          </w:p>
        </w:tc>
        <w:tc>
          <w:tcPr>
            <w:tcW w:w="782" w:type="dxa"/>
          </w:tcPr>
          <w:p w14:paraId="5F247CF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ESE</w:t>
            </w:r>
          </w:p>
        </w:tc>
        <w:tc>
          <w:tcPr>
            <w:tcW w:w="782" w:type="dxa"/>
          </w:tcPr>
          <w:p w14:paraId="15DBA4F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SE</w:t>
            </w:r>
          </w:p>
        </w:tc>
        <w:tc>
          <w:tcPr>
            <w:tcW w:w="782" w:type="dxa"/>
          </w:tcPr>
          <w:p w14:paraId="2654744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SSE</w:t>
            </w:r>
          </w:p>
        </w:tc>
        <w:tc>
          <w:tcPr>
            <w:tcW w:w="782" w:type="dxa"/>
          </w:tcPr>
          <w:p w14:paraId="10FD3B0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w:t>
            </w:r>
          </w:p>
        </w:tc>
        <w:tc>
          <w:tcPr>
            <w:tcW w:w="782" w:type="dxa"/>
          </w:tcPr>
          <w:p w14:paraId="5DCF669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SSW</w:t>
            </w:r>
          </w:p>
        </w:tc>
        <w:tc>
          <w:tcPr>
            <w:tcW w:w="782" w:type="dxa"/>
          </w:tcPr>
          <w:p w14:paraId="789ECAC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SW</w:t>
            </w:r>
          </w:p>
        </w:tc>
        <w:tc>
          <w:tcPr>
            <w:tcW w:w="782" w:type="dxa"/>
          </w:tcPr>
          <w:p w14:paraId="7ED50E2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WSW</w:t>
            </w:r>
          </w:p>
        </w:tc>
        <w:tc>
          <w:tcPr>
            <w:tcW w:w="782" w:type="dxa"/>
          </w:tcPr>
          <w:p w14:paraId="4E8DB9E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w:t>
            </w:r>
          </w:p>
        </w:tc>
        <w:tc>
          <w:tcPr>
            <w:tcW w:w="835" w:type="dxa"/>
          </w:tcPr>
          <w:p w14:paraId="2E20A50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WNW</w:t>
            </w:r>
          </w:p>
        </w:tc>
        <w:tc>
          <w:tcPr>
            <w:tcW w:w="729" w:type="dxa"/>
          </w:tcPr>
          <w:p w14:paraId="3567276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NW</w:t>
            </w:r>
          </w:p>
        </w:tc>
        <w:tc>
          <w:tcPr>
            <w:tcW w:w="782" w:type="dxa"/>
          </w:tcPr>
          <w:p w14:paraId="515E6C0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NNW</w:t>
            </w:r>
          </w:p>
        </w:tc>
        <w:tc>
          <w:tcPr>
            <w:tcW w:w="789" w:type="dxa"/>
          </w:tcPr>
          <w:p w14:paraId="2E6461A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C</w:t>
            </w:r>
          </w:p>
        </w:tc>
      </w:tr>
      <w:tr w:rsidR="003E78AB" w14:paraId="4152866D" w14:textId="77777777">
        <w:trPr>
          <w:trHeight w:val="369"/>
        </w:trPr>
        <w:tc>
          <w:tcPr>
            <w:tcW w:w="874" w:type="dxa"/>
          </w:tcPr>
          <w:p w14:paraId="7D2B65E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一月</w:t>
            </w:r>
          </w:p>
        </w:tc>
        <w:tc>
          <w:tcPr>
            <w:tcW w:w="782" w:type="dxa"/>
          </w:tcPr>
          <w:p w14:paraId="04F2678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w:t>
            </w:r>
          </w:p>
        </w:tc>
        <w:tc>
          <w:tcPr>
            <w:tcW w:w="782" w:type="dxa"/>
          </w:tcPr>
          <w:p w14:paraId="6279861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5.65</w:t>
            </w:r>
          </w:p>
        </w:tc>
        <w:tc>
          <w:tcPr>
            <w:tcW w:w="782" w:type="dxa"/>
          </w:tcPr>
          <w:p w14:paraId="6B1941F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18.82</w:t>
            </w:r>
          </w:p>
        </w:tc>
        <w:tc>
          <w:tcPr>
            <w:tcW w:w="782" w:type="dxa"/>
          </w:tcPr>
          <w:p w14:paraId="4303BFD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16.53</w:t>
            </w:r>
          </w:p>
        </w:tc>
        <w:tc>
          <w:tcPr>
            <w:tcW w:w="782" w:type="dxa"/>
          </w:tcPr>
          <w:p w14:paraId="01E3C71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10.22</w:t>
            </w:r>
          </w:p>
        </w:tc>
        <w:tc>
          <w:tcPr>
            <w:tcW w:w="782" w:type="dxa"/>
          </w:tcPr>
          <w:p w14:paraId="1A58ABD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9.27</w:t>
            </w:r>
          </w:p>
        </w:tc>
        <w:tc>
          <w:tcPr>
            <w:tcW w:w="782" w:type="dxa"/>
          </w:tcPr>
          <w:p w14:paraId="56C5610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5.24</w:t>
            </w:r>
          </w:p>
        </w:tc>
        <w:tc>
          <w:tcPr>
            <w:tcW w:w="782" w:type="dxa"/>
          </w:tcPr>
          <w:p w14:paraId="6D29098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3.23</w:t>
            </w:r>
          </w:p>
        </w:tc>
        <w:tc>
          <w:tcPr>
            <w:tcW w:w="782" w:type="dxa"/>
          </w:tcPr>
          <w:p w14:paraId="5A60AAF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3.49</w:t>
            </w:r>
          </w:p>
        </w:tc>
        <w:tc>
          <w:tcPr>
            <w:tcW w:w="782" w:type="dxa"/>
          </w:tcPr>
          <w:p w14:paraId="498C5F1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c>
          <w:tcPr>
            <w:tcW w:w="782" w:type="dxa"/>
          </w:tcPr>
          <w:p w14:paraId="2928AB2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3.09</w:t>
            </w:r>
          </w:p>
        </w:tc>
        <w:tc>
          <w:tcPr>
            <w:tcW w:w="782" w:type="dxa"/>
          </w:tcPr>
          <w:p w14:paraId="183AE10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2.96</w:t>
            </w:r>
          </w:p>
        </w:tc>
        <w:tc>
          <w:tcPr>
            <w:tcW w:w="782" w:type="dxa"/>
          </w:tcPr>
          <w:p w14:paraId="25D82FB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4.17</w:t>
            </w:r>
          </w:p>
        </w:tc>
        <w:tc>
          <w:tcPr>
            <w:tcW w:w="835" w:type="dxa"/>
          </w:tcPr>
          <w:p w14:paraId="71ABA60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5.24</w:t>
            </w:r>
          </w:p>
        </w:tc>
        <w:tc>
          <w:tcPr>
            <w:tcW w:w="729" w:type="dxa"/>
          </w:tcPr>
          <w:p w14:paraId="610DEC0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2.42</w:t>
            </w:r>
          </w:p>
        </w:tc>
        <w:tc>
          <w:tcPr>
            <w:tcW w:w="782" w:type="dxa"/>
          </w:tcPr>
          <w:p w14:paraId="6E24C8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3.36</w:t>
            </w:r>
          </w:p>
        </w:tc>
        <w:tc>
          <w:tcPr>
            <w:tcW w:w="789" w:type="dxa"/>
          </w:tcPr>
          <w:p w14:paraId="142A999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r>
      <w:tr w:rsidR="003E78AB" w14:paraId="2796AFD8" w14:textId="77777777">
        <w:trPr>
          <w:trHeight w:val="369"/>
        </w:trPr>
        <w:tc>
          <w:tcPr>
            <w:tcW w:w="874" w:type="dxa"/>
          </w:tcPr>
          <w:p w14:paraId="15FBDE4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二月</w:t>
            </w:r>
          </w:p>
        </w:tc>
        <w:tc>
          <w:tcPr>
            <w:tcW w:w="782" w:type="dxa"/>
          </w:tcPr>
          <w:p w14:paraId="7A8A81E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2.23</w:t>
            </w:r>
          </w:p>
        </w:tc>
        <w:tc>
          <w:tcPr>
            <w:tcW w:w="782" w:type="dxa"/>
          </w:tcPr>
          <w:p w14:paraId="2EA7A69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5.36</w:t>
            </w:r>
          </w:p>
        </w:tc>
        <w:tc>
          <w:tcPr>
            <w:tcW w:w="782" w:type="dxa"/>
          </w:tcPr>
          <w:p w14:paraId="70AF810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18.90</w:t>
            </w:r>
          </w:p>
        </w:tc>
        <w:tc>
          <w:tcPr>
            <w:tcW w:w="782" w:type="dxa"/>
          </w:tcPr>
          <w:p w14:paraId="17F5683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8.93</w:t>
            </w:r>
          </w:p>
        </w:tc>
        <w:tc>
          <w:tcPr>
            <w:tcW w:w="782" w:type="dxa"/>
          </w:tcPr>
          <w:p w14:paraId="3CAB15D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8.33</w:t>
            </w:r>
          </w:p>
        </w:tc>
        <w:tc>
          <w:tcPr>
            <w:tcW w:w="782" w:type="dxa"/>
          </w:tcPr>
          <w:p w14:paraId="0A70A9A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7.44</w:t>
            </w:r>
          </w:p>
        </w:tc>
        <w:tc>
          <w:tcPr>
            <w:tcW w:w="782" w:type="dxa"/>
          </w:tcPr>
          <w:p w14:paraId="1F28298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5.80</w:t>
            </w:r>
          </w:p>
        </w:tc>
        <w:tc>
          <w:tcPr>
            <w:tcW w:w="782" w:type="dxa"/>
          </w:tcPr>
          <w:p w14:paraId="62CE080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4.91</w:t>
            </w:r>
          </w:p>
        </w:tc>
        <w:tc>
          <w:tcPr>
            <w:tcW w:w="782" w:type="dxa"/>
          </w:tcPr>
          <w:p w14:paraId="15176C5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4.02</w:t>
            </w:r>
          </w:p>
        </w:tc>
        <w:tc>
          <w:tcPr>
            <w:tcW w:w="782" w:type="dxa"/>
          </w:tcPr>
          <w:p w14:paraId="3EA3C6A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2.83</w:t>
            </w:r>
          </w:p>
        </w:tc>
        <w:tc>
          <w:tcPr>
            <w:tcW w:w="782" w:type="dxa"/>
          </w:tcPr>
          <w:p w14:paraId="2C08E35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4.02</w:t>
            </w:r>
          </w:p>
        </w:tc>
        <w:tc>
          <w:tcPr>
            <w:tcW w:w="782" w:type="dxa"/>
          </w:tcPr>
          <w:p w14:paraId="6C063EF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4.32</w:t>
            </w:r>
          </w:p>
        </w:tc>
        <w:tc>
          <w:tcPr>
            <w:tcW w:w="782" w:type="dxa"/>
          </w:tcPr>
          <w:p w14:paraId="46A9A88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6.70</w:t>
            </w:r>
          </w:p>
        </w:tc>
        <w:tc>
          <w:tcPr>
            <w:tcW w:w="835" w:type="dxa"/>
          </w:tcPr>
          <w:p w14:paraId="75B3EC9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5.65</w:t>
            </w:r>
          </w:p>
        </w:tc>
        <w:tc>
          <w:tcPr>
            <w:tcW w:w="729" w:type="dxa"/>
          </w:tcPr>
          <w:p w14:paraId="1287F54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4.91</w:t>
            </w:r>
          </w:p>
        </w:tc>
        <w:tc>
          <w:tcPr>
            <w:tcW w:w="782" w:type="dxa"/>
          </w:tcPr>
          <w:p w14:paraId="04D9AD6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2.98</w:t>
            </w:r>
          </w:p>
        </w:tc>
        <w:tc>
          <w:tcPr>
            <w:tcW w:w="789" w:type="dxa"/>
          </w:tcPr>
          <w:p w14:paraId="2DDD8DD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2.68</w:t>
            </w:r>
          </w:p>
        </w:tc>
      </w:tr>
      <w:tr w:rsidR="003E78AB" w14:paraId="3AE9FD47" w14:textId="77777777">
        <w:trPr>
          <w:trHeight w:val="369"/>
        </w:trPr>
        <w:tc>
          <w:tcPr>
            <w:tcW w:w="874" w:type="dxa"/>
          </w:tcPr>
          <w:p w14:paraId="5AE4C3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三月</w:t>
            </w:r>
          </w:p>
        </w:tc>
        <w:tc>
          <w:tcPr>
            <w:tcW w:w="782" w:type="dxa"/>
          </w:tcPr>
          <w:p w14:paraId="1524D5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2.15</w:t>
            </w:r>
          </w:p>
        </w:tc>
        <w:tc>
          <w:tcPr>
            <w:tcW w:w="782" w:type="dxa"/>
          </w:tcPr>
          <w:p w14:paraId="41143E9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2.96</w:t>
            </w:r>
          </w:p>
        </w:tc>
        <w:tc>
          <w:tcPr>
            <w:tcW w:w="782" w:type="dxa"/>
          </w:tcPr>
          <w:p w14:paraId="40B2667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15.46</w:t>
            </w:r>
          </w:p>
        </w:tc>
        <w:tc>
          <w:tcPr>
            <w:tcW w:w="782" w:type="dxa"/>
          </w:tcPr>
          <w:p w14:paraId="17110E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9.95</w:t>
            </w:r>
          </w:p>
        </w:tc>
        <w:tc>
          <w:tcPr>
            <w:tcW w:w="782" w:type="dxa"/>
          </w:tcPr>
          <w:p w14:paraId="046E3A2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9.54</w:t>
            </w:r>
          </w:p>
        </w:tc>
        <w:tc>
          <w:tcPr>
            <w:tcW w:w="782" w:type="dxa"/>
          </w:tcPr>
          <w:p w14:paraId="13B9C27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12.10</w:t>
            </w:r>
          </w:p>
        </w:tc>
        <w:tc>
          <w:tcPr>
            <w:tcW w:w="782" w:type="dxa"/>
          </w:tcPr>
          <w:p w14:paraId="5864F5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11.16</w:t>
            </w:r>
          </w:p>
        </w:tc>
        <w:tc>
          <w:tcPr>
            <w:tcW w:w="782" w:type="dxa"/>
          </w:tcPr>
          <w:p w14:paraId="341C3CB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4.03</w:t>
            </w:r>
          </w:p>
        </w:tc>
        <w:tc>
          <w:tcPr>
            <w:tcW w:w="782" w:type="dxa"/>
          </w:tcPr>
          <w:p w14:paraId="3A530B6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3.09</w:t>
            </w:r>
          </w:p>
        </w:tc>
        <w:tc>
          <w:tcPr>
            <w:tcW w:w="782" w:type="dxa"/>
          </w:tcPr>
          <w:p w14:paraId="1EE8779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4.03</w:t>
            </w:r>
          </w:p>
        </w:tc>
        <w:tc>
          <w:tcPr>
            <w:tcW w:w="782" w:type="dxa"/>
          </w:tcPr>
          <w:p w14:paraId="574065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c>
          <w:tcPr>
            <w:tcW w:w="782" w:type="dxa"/>
          </w:tcPr>
          <w:p w14:paraId="5C8F093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3.90</w:t>
            </w:r>
          </w:p>
        </w:tc>
        <w:tc>
          <w:tcPr>
            <w:tcW w:w="782" w:type="dxa"/>
          </w:tcPr>
          <w:p w14:paraId="7660B02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7.39</w:t>
            </w:r>
          </w:p>
        </w:tc>
        <w:tc>
          <w:tcPr>
            <w:tcW w:w="835" w:type="dxa"/>
          </w:tcPr>
          <w:p w14:paraId="7653DFE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5.91</w:t>
            </w:r>
          </w:p>
        </w:tc>
        <w:tc>
          <w:tcPr>
            <w:tcW w:w="729" w:type="dxa"/>
          </w:tcPr>
          <w:p w14:paraId="0AC273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3.09</w:t>
            </w:r>
          </w:p>
        </w:tc>
        <w:tc>
          <w:tcPr>
            <w:tcW w:w="782" w:type="dxa"/>
          </w:tcPr>
          <w:p w14:paraId="60E2085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2.15</w:t>
            </w:r>
          </w:p>
        </w:tc>
        <w:tc>
          <w:tcPr>
            <w:tcW w:w="789" w:type="dxa"/>
          </w:tcPr>
          <w:p w14:paraId="5A66F5A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0.54</w:t>
            </w:r>
          </w:p>
        </w:tc>
      </w:tr>
      <w:tr w:rsidR="003E78AB" w14:paraId="76855229" w14:textId="77777777">
        <w:trPr>
          <w:trHeight w:val="369"/>
        </w:trPr>
        <w:tc>
          <w:tcPr>
            <w:tcW w:w="874" w:type="dxa"/>
          </w:tcPr>
          <w:p w14:paraId="3DA653D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四月</w:t>
            </w:r>
          </w:p>
        </w:tc>
        <w:tc>
          <w:tcPr>
            <w:tcW w:w="782" w:type="dxa"/>
          </w:tcPr>
          <w:p w14:paraId="30EAA6F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2.36</w:t>
            </w:r>
          </w:p>
        </w:tc>
        <w:tc>
          <w:tcPr>
            <w:tcW w:w="782" w:type="dxa"/>
          </w:tcPr>
          <w:p w14:paraId="3514E98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3.19</w:t>
            </w:r>
          </w:p>
        </w:tc>
        <w:tc>
          <w:tcPr>
            <w:tcW w:w="782" w:type="dxa"/>
          </w:tcPr>
          <w:p w14:paraId="7E4F29D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12.64</w:t>
            </w:r>
          </w:p>
        </w:tc>
        <w:tc>
          <w:tcPr>
            <w:tcW w:w="782" w:type="dxa"/>
          </w:tcPr>
          <w:p w14:paraId="3E061D5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10.28</w:t>
            </w:r>
          </w:p>
        </w:tc>
        <w:tc>
          <w:tcPr>
            <w:tcW w:w="782" w:type="dxa"/>
          </w:tcPr>
          <w:p w14:paraId="0BA0577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8.89</w:t>
            </w:r>
          </w:p>
        </w:tc>
        <w:tc>
          <w:tcPr>
            <w:tcW w:w="782" w:type="dxa"/>
          </w:tcPr>
          <w:p w14:paraId="2148474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14.58</w:t>
            </w:r>
          </w:p>
        </w:tc>
        <w:tc>
          <w:tcPr>
            <w:tcW w:w="782" w:type="dxa"/>
          </w:tcPr>
          <w:p w14:paraId="6CE40AF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7.64</w:t>
            </w:r>
          </w:p>
        </w:tc>
        <w:tc>
          <w:tcPr>
            <w:tcW w:w="782" w:type="dxa"/>
          </w:tcPr>
          <w:p w14:paraId="0386B10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4.58</w:t>
            </w:r>
          </w:p>
        </w:tc>
        <w:tc>
          <w:tcPr>
            <w:tcW w:w="782" w:type="dxa"/>
          </w:tcPr>
          <w:p w14:paraId="6143267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w:t>
            </w:r>
          </w:p>
        </w:tc>
        <w:tc>
          <w:tcPr>
            <w:tcW w:w="782" w:type="dxa"/>
          </w:tcPr>
          <w:p w14:paraId="6826E4B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2.08</w:t>
            </w:r>
          </w:p>
        </w:tc>
        <w:tc>
          <w:tcPr>
            <w:tcW w:w="782" w:type="dxa"/>
          </w:tcPr>
          <w:p w14:paraId="3722142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2.78</w:t>
            </w:r>
          </w:p>
        </w:tc>
        <w:tc>
          <w:tcPr>
            <w:tcW w:w="782" w:type="dxa"/>
          </w:tcPr>
          <w:p w14:paraId="316B1E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3.89</w:t>
            </w:r>
          </w:p>
        </w:tc>
        <w:tc>
          <w:tcPr>
            <w:tcW w:w="782" w:type="dxa"/>
          </w:tcPr>
          <w:p w14:paraId="7575D0B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8.75</w:t>
            </w:r>
          </w:p>
        </w:tc>
        <w:tc>
          <w:tcPr>
            <w:tcW w:w="835" w:type="dxa"/>
          </w:tcPr>
          <w:p w14:paraId="43D553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7.50</w:t>
            </w:r>
          </w:p>
        </w:tc>
        <w:tc>
          <w:tcPr>
            <w:tcW w:w="729" w:type="dxa"/>
          </w:tcPr>
          <w:p w14:paraId="69E6A20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5.69</w:t>
            </w:r>
          </w:p>
        </w:tc>
        <w:tc>
          <w:tcPr>
            <w:tcW w:w="782" w:type="dxa"/>
          </w:tcPr>
          <w:p w14:paraId="4FE2A4B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2.50</w:t>
            </w:r>
          </w:p>
        </w:tc>
        <w:tc>
          <w:tcPr>
            <w:tcW w:w="789" w:type="dxa"/>
          </w:tcPr>
          <w:p w14:paraId="44D690F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0.83</w:t>
            </w:r>
          </w:p>
        </w:tc>
      </w:tr>
      <w:tr w:rsidR="003E78AB" w14:paraId="1D8649B0" w14:textId="77777777">
        <w:trPr>
          <w:trHeight w:val="369"/>
        </w:trPr>
        <w:tc>
          <w:tcPr>
            <w:tcW w:w="874" w:type="dxa"/>
          </w:tcPr>
          <w:p w14:paraId="73ADF2B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五月</w:t>
            </w:r>
          </w:p>
        </w:tc>
        <w:tc>
          <w:tcPr>
            <w:tcW w:w="782" w:type="dxa"/>
          </w:tcPr>
          <w:p w14:paraId="73445D9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3.23</w:t>
            </w:r>
          </w:p>
        </w:tc>
        <w:tc>
          <w:tcPr>
            <w:tcW w:w="782" w:type="dxa"/>
          </w:tcPr>
          <w:p w14:paraId="20C8773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6.18</w:t>
            </w:r>
          </w:p>
        </w:tc>
        <w:tc>
          <w:tcPr>
            <w:tcW w:w="782" w:type="dxa"/>
          </w:tcPr>
          <w:p w14:paraId="4591C2A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13.44</w:t>
            </w:r>
          </w:p>
        </w:tc>
        <w:tc>
          <w:tcPr>
            <w:tcW w:w="782" w:type="dxa"/>
          </w:tcPr>
          <w:p w14:paraId="03E58CC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9.01</w:t>
            </w:r>
          </w:p>
        </w:tc>
        <w:tc>
          <w:tcPr>
            <w:tcW w:w="782" w:type="dxa"/>
          </w:tcPr>
          <w:p w14:paraId="1856C82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7.53</w:t>
            </w:r>
          </w:p>
        </w:tc>
        <w:tc>
          <w:tcPr>
            <w:tcW w:w="782" w:type="dxa"/>
          </w:tcPr>
          <w:p w14:paraId="5448239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6.59</w:t>
            </w:r>
          </w:p>
        </w:tc>
        <w:tc>
          <w:tcPr>
            <w:tcW w:w="782" w:type="dxa"/>
          </w:tcPr>
          <w:p w14:paraId="6E89C83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9.27</w:t>
            </w:r>
          </w:p>
        </w:tc>
        <w:tc>
          <w:tcPr>
            <w:tcW w:w="782" w:type="dxa"/>
          </w:tcPr>
          <w:p w14:paraId="36D2016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3.23</w:t>
            </w:r>
          </w:p>
        </w:tc>
        <w:tc>
          <w:tcPr>
            <w:tcW w:w="782" w:type="dxa"/>
          </w:tcPr>
          <w:p w14:paraId="318D95B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2.02</w:t>
            </w:r>
          </w:p>
        </w:tc>
        <w:tc>
          <w:tcPr>
            <w:tcW w:w="782" w:type="dxa"/>
          </w:tcPr>
          <w:p w14:paraId="1FB5E65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3.09</w:t>
            </w:r>
          </w:p>
        </w:tc>
        <w:tc>
          <w:tcPr>
            <w:tcW w:w="782" w:type="dxa"/>
          </w:tcPr>
          <w:p w14:paraId="2051CB4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4.57</w:t>
            </w:r>
          </w:p>
        </w:tc>
        <w:tc>
          <w:tcPr>
            <w:tcW w:w="782" w:type="dxa"/>
          </w:tcPr>
          <w:p w14:paraId="7CEF52E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5.91</w:t>
            </w:r>
          </w:p>
        </w:tc>
        <w:tc>
          <w:tcPr>
            <w:tcW w:w="782" w:type="dxa"/>
          </w:tcPr>
          <w:p w14:paraId="044D57E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7.12</w:t>
            </w:r>
          </w:p>
        </w:tc>
        <w:tc>
          <w:tcPr>
            <w:tcW w:w="835" w:type="dxa"/>
          </w:tcPr>
          <w:p w14:paraId="2631A12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5.78</w:t>
            </w:r>
          </w:p>
        </w:tc>
        <w:tc>
          <w:tcPr>
            <w:tcW w:w="729" w:type="dxa"/>
          </w:tcPr>
          <w:p w14:paraId="5900B23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6.99</w:t>
            </w:r>
          </w:p>
        </w:tc>
        <w:tc>
          <w:tcPr>
            <w:tcW w:w="782" w:type="dxa"/>
          </w:tcPr>
          <w:p w14:paraId="0AC16EF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3.90</w:t>
            </w:r>
          </w:p>
        </w:tc>
        <w:tc>
          <w:tcPr>
            <w:tcW w:w="789" w:type="dxa"/>
          </w:tcPr>
          <w:p w14:paraId="39CA35F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2.15</w:t>
            </w:r>
          </w:p>
        </w:tc>
      </w:tr>
      <w:tr w:rsidR="003E78AB" w14:paraId="6BCF3753" w14:textId="77777777">
        <w:trPr>
          <w:trHeight w:val="369"/>
        </w:trPr>
        <w:tc>
          <w:tcPr>
            <w:tcW w:w="874" w:type="dxa"/>
          </w:tcPr>
          <w:p w14:paraId="43C594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六月</w:t>
            </w:r>
          </w:p>
        </w:tc>
        <w:tc>
          <w:tcPr>
            <w:tcW w:w="782" w:type="dxa"/>
          </w:tcPr>
          <w:p w14:paraId="0DDC930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4.03</w:t>
            </w:r>
          </w:p>
        </w:tc>
        <w:tc>
          <w:tcPr>
            <w:tcW w:w="782" w:type="dxa"/>
          </w:tcPr>
          <w:p w14:paraId="62018DE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8.06</w:t>
            </w:r>
          </w:p>
        </w:tc>
        <w:tc>
          <w:tcPr>
            <w:tcW w:w="782" w:type="dxa"/>
          </w:tcPr>
          <w:p w14:paraId="70AD6A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17.36</w:t>
            </w:r>
          </w:p>
        </w:tc>
        <w:tc>
          <w:tcPr>
            <w:tcW w:w="782" w:type="dxa"/>
          </w:tcPr>
          <w:p w14:paraId="47EBCCA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8.89</w:t>
            </w:r>
          </w:p>
        </w:tc>
        <w:tc>
          <w:tcPr>
            <w:tcW w:w="782" w:type="dxa"/>
          </w:tcPr>
          <w:p w14:paraId="3C180D3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6.39</w:t>
            </w:r>
          </w:p>
        </w:tc>
        <w:tc>
          <w:tcPr>
            <w:tcW w:w="782" w:type="dxa"/>
          </w:tcPr>
          <w:p w14:paraId="01C1022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7.64</w:t>
            </w:r>
          </w:p>
        </w:tc>
        <w:tc>
          <w:tcPr>
            <w:tcW w:w="782" w:type="dxa"/>
          </w:tcPr>
          <w:p w14:paraId="647C6A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6.25</w:t>
            </w:r>
          </w:p>
        </w:tc>
        <w:tc>
          <w:tcPr>
            <w:tcW w:w="782" w:type="dxa"/>
          </w:tcPr>
          <w:p w14:paraId="14201C3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4.31</w:t>
            </w:r>
          </w:p>
        </w:tc>
        <w:tc>
          <w:tcPr>
            <w:tcW w:w="782" w:type="dxa"/>
          </w:tcPr>
          <w:p w14:paraId="2EE720F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2.50</w:t>
            </w:r>
          </w:p>
        </w:tc>
        <w:tc>
          <w:tcPr>
            <w:tcW w:w="782" w:type="dxa"/>
          </w:tcPr>
          <w:p w14:paraId="73E8FD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1.67</w:t>
            </w:r>
          </w:p>
        </w:tc>
        <w:tc>
          <w:tcPr>
            <w:tcW w:w="782" w:type="dxa"/>
          </w:tcPr>
          <w:p w14:paraId="4C427F9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3.06</w:t>
            </w:r>
          </w:p>
        </w:tc>
        <w:tc>
          <w:tcPr>
            <w:tcW w:w="782" w:type="dxa"/>
          </w:tcPr>
          <w:p w14:paraId="2E25F06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5.97</w:t>
            </w:r>
          </w:p>
        </w:tc>
        <w:tc>
          <w:tcPr>
            <w:tcW w:w="782" w:type="dxa"/>
          </w:tcPr>
          <w:p w14:paraId="0084F89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4.17</w:t>
            </w:r>
          </w:p>
        </w:tc>
        <w:tc>
          <w:tcPr>
            <w:tcW w:w="835" w:type="dxa"/>
          </w:tcPr>
          <w:p w14:paraId="08406EE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4.58</w:t>
            </w:r>
          </w:p>
        </w:tc>
        <w:tc>
          <w:tcPr>
            <w:tcW w:w="729" w:type="dxa"/>
          </w:tcPr>
          <w:p w14:paraId="2AEC3FE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6.94</w:t>
            </w:r>
          </w:p>
        </w:tc>
        <w:tc>
          <w:tcPr>
            <w:tcW w:w="782" w:type="dxa"/>
          </w:tcPr>
          <w:p w14:paraId="445D7DE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4.44</w:t>
            </w:r>
          </w:p>
        </w:tc>
        <w:tc>
          <w:tcPr>
            <w:tcW w:w="789" w:type="dxa"/>
          </w:tcPr>
          <w:p w14:paraId="51B36FA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3.75</w:t>
            </w:r>
          </w:p>
        </w:tc>
      </w:tr>
      <w:tr w:rsidR="003E78AB" w14:paraId="2F82F98B" w14:textId="77777777">
        <w:trPr>
          <w:trHeight w:val="369"/>
        </w:trPr>
        <w:tc>
          <w:tcPr>
            <w:tcW w:w="874" w:type="dxa"/>
          </w:tcPr>
          <w:p w14:paraId="078A6D4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七月</w:t>
            </w:r>
          </w:p>
        </w:tc>
        <w:tc>
          <w:tcPr>
            <w:tcW w:w="782" w:type="dxa"/>
          </w:tcPr>
          <w:p w14:paraId="649010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2.96</w:t>
            </w:r>
          </w:p>
        </w:tc>
        <w:tc>
          <w:tcPr>
            <w:tcW w:w="782" w:type="dxa"/>
          </w:tcPr>
          <w:p w14:paraId="05D3A75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7.39</w:t>
            </w:r>
          </w:p>
        </w:tc>
        <w:tc>
          <w:tcPr>
            <w:tcW w:w="782" w:type="dxa"/>
          </w:tcPr>
          <w:p w14:paraId="23C7FB8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14.11</w:t>
            </w:r>
          </w:p>
        </w:tc>
        <w:tc>
          <w:tcPr>
            <w:tcW w:w="782" w:type="dxa"/>
          </w:tcPr>
          <w:p w14:paraId="4A09C0C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6.99</w:t>
            </w:r>
          </w:p>
        </w:tc>
        <w:tc>
          <w:tcPr>
            <w:tcW w:w="782" w:type="dxa"/>
          </w:tcPr>
          <w:p w14:paraId="7335CF2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10.08</w:t>
            </w:r>
          </w:p>
        </w:tc>
        <w:tc>
          <w:tcPr>
            <w:tcW w:w="782" w:type="dxa"/>
          </w:tcPr>
          <w:p w14:paraId="725A3B0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10.22</w:t>
            </w:r>
          </w:p>
        </w:tc>
        <w:tc>
          <w:tcPr>
            <w:tcW w:w="782" w:type="dxa"/>
          </w:tcPr>
          <w:p w14:paraId="0A98610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5.24</w:t>
            </w:r>
          </w:p>
        </w:tc>
        <w:tc>
          <w:tcPr>
            <w:tcW w:w="782" w:type="dxa"/>
          </w:tcPr>
          <w:p w14:paraId="12CF146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3.49</w:t>
            </w:r>
          </w:p>
        </w:tc>
        <w:tc>
          <w:tcPr>
            <w:tcW w:w="782" w:type="dxa"/>
          </w:tcPr>
          <w:p w14:paraId="2D4E52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1.88</w:t>
            </w:r>
          </w:p>
        </w:tc>
        <w:tc>
          <w:tcPr>
            <w:tcW w:w="782" w:type="dxa"/>
          </w:tcPr>
          <w:p w14:paraId="30B1F4B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2.42</w:t>
            </w:r>
          </w:p>
        </w:tc>
        <w:tc>
          <w:tcPr>
            <w:tcW w:w="782" w:type="dxa"/>
          </w:tcPr>
          <w:p w14:paraId="3604D3F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3.63</w:t>
            </w:r>
          </w:p>
        </w:tc>
        <w:tc>
          <w:tcPr>
            <w:tcW w:w="782" w:type="dxa"/>
          </w:tcPr>
          <w:p w14:paraId="72445DE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5.38</w:t>
            </w:r>
          </w:p>
        </w:tc>
        <w:tc>
          <w:tcPr>
            <w:tcW w:w="782" w:type="dxa"/>
          </w:tcPr>
          <w:p w14:paraId="43D369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5.65</w:t>
            </w:r>
          </w:p>
        </w:tc>
        <w:tc>
          <w:tcPr>
            <w:tcW w:w="835" w:type="dxa"/>
          </w:tcPr>
          <w:p w14:paraId="2080FE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4.44</w:t>
            </w:r>
          </w:p>
        </w:tc>
        <w:tc>
          <w:tcPr>
            <w:tcW w:w="729" w:type="dxa"/>
          </w:tcPr>
          <w:p w14:paraId="0F9FF99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5.78</w:t>
            </w:r>
          </w:p>
        </w:tc>
        <w:tc>
          <w:tcPr>
            <w:tcW w:w="782" w:type="dxa"/>
          </w:tcPr>
          <w:p w14:paraId="0736014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4.57</w:t>
            </w:r>
          </w:p>
        </w:tc>
        <w:tc>
          <w:tcPr>
            <w:tcW w:w="789" w:type="dxa"/>
          </w:tcPr>
          <w:p w14:paraId="3DDBAC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5.78</w:t>
            </w:r>
          </w:p>
        </w:tc>
      </w:tr>
      <w:tr w:rsidR="003E78AB" w14:paraId="3E2BE8A8" w14:textId="77777777">
        <w:trPr>
          <w:trHeight w:val="369"/>
        </w:trPr>
        <w:tc>
          <w:tcPr>
            <w:tcW w:w="874" w:type="dxa"/>
          </w:tcPr>
          <w:p w14:paraId="4EAC14E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八月</w:t>
            </w:r>
          </w:p>
        </w:tc>
        <w:tc>
          <w:tcPr>
            <w:tcW w:w="782" w:type="dxa"/>
          </w:tcPr>
          <w:p w14:paraId="3AA9A4E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3.23</w:t>
            </w:r>
          </w:p>
        </w:tc>
        <w:tc>
          <w:tcPr>
            <w:tcW w:w="782" w:type="dxa"/>
          </w:tcPr>
          <w:p w14:paraId="1926F48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8.06</w:t>
            </w:r>
          </w:p>
        </w:tc>
        <w:tc>
          <w:tcPr>
            <w:tcW w:w="782" w:type="dxa"/>
          </w:tcPr>
          <w:p w14:paraId="067EA5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15.32</w:t>
            </w:r>
          </w:p>
        </w:tc>
        <w:tc>
          <w:tcPr>
            <w:tcW w:w="782" w:type="dxa"/>
          </w:tcPr>
          <w:p w14:paraId="439263B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11.16</w:t>
            </w:r>
          </w:p>
        </w:tc>
        <w:tc>
          <w:tcPr>
            <w:tcW w:w="782" w:type="dxa"/>
          </w:tcPr>
          <w:p w14:paraId="620762A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13.31</w:t>
            </w:r>
          </w:p>
        </w:tc>
        <w:tc>
          <w:tcPr>
            <w:tcW w:w="782" w:type="dxa"/>
          </w:tcPr>
          <w:p w14:paraId="50617DD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12.23</w:t>
            </w:r>
          </w:p>
        </w:tc>
        <w:tc>
          <w:tcPr>
            <w:tcW w:w="782" w:type="dxa"/>
          </w:tcPr>
          <w:p w14:paraId="47253F4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6.45</w:t>
            </w:r>
          </w:p>
        </w:tc>
        <w:tc>
          <w:tcPr>
            <w:tcW w:w="782" w:type="dxa"/>
          </w:tcPr>
          <w:p w14:paraId="7AFA4E8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c>
          <w:tcPr>
            <w:tcW w:w="782" w:type="dxa"/>
          </w:tcPr>
          <w:p w14:paraId="6FA37DE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2.02</w:t>
            </w:r>
          </w:p>
        </w:tc>
        <w:tc>
          <w:tcPr>
            <w:tcW w:w="782" w:type="dxa"/>
          </w:tcPr>
          <w:p w14:paraId="6E2250F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c>
          <w:tcPr>
            <w:tcW w:w="782" w:type="dxa"/>
          </w:tcPr>
          <w:p w14:paraId="358A427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c>
          <w:tcPr>
            <w:tcW w:w="782" w:type="dxa"/>
          </w:tcPr>
          <w:p w14:paraId="1425BF5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1.61</w:t>
            </w:r>
          </w:p>
        </w:tc>
        <w:tc>
          <w:tcPr>
            <w:tcW w:w="782" w:type="dxa"/>
          </w:tcPr>
          <w:p w14:paraId="072AC8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2.69</w:t>
            </w:r>
          </w:p>
        </w:tc>
        <w:tc>
          <w:tcPr>
            <w:tcW w:w="835" w:type="dxa"/>
          </w:tcPr>
          <w:p w14:paraId="0F69D3E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2.42</w:t>
            </w:r>
          </w:p>
        </w:tc>
        <w:tc>
          <w:tcPr>
            <w:tcW w:w="729" w:type="dxa"/>
          </w:tcPr>
          <w:p w14:paraId="69F42A0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6.18</w:t>
            </w:r>
          </w:p>
        </w:tc>
        <w:tc>
          <w:tcPr>
            <w:tcW w:w="782" w:type="dxa"/>
          </w:tcPr>
          <w:p w14:paraId="56FD1CD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2.42</w:t>
            </w:r>
          </w:p>
        </w:tc>
        <w:tc>
          <w:tcPr>
            <w:tcW w:w="789" w:type="dxa"/>
          </w:tcPr>
          <w:p w14:paraId="47485D3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5.24</w:t>
            </w:r>
          </w:p>
        </w:tc>
      </w:tr>
      <w:tr w:rsidR="003E78AB" w14:paraId="40169C73" w14:textId="77777777">
        <w:trPr>
          <w:trHeight w:val="369"/>
        </w:trPr>
        <w:tc>
          <w:tcPr>
            <w:tcW w:w="874" w:type="dxa"/>
          </w:tcPr>
          <w:p w14:paraId="358956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九月</w:t>
            </w:r>
          </w:p>
        </w:tc>
        <w:tc>
          <w:tcPr>
            <w:tcW w:w="782" w:type="dxa"/>
          </w:tcPr>
          <w:p w14:paraId="70C025E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3.33</w:t>
            </w:r>
          </w:p>
        </w:tc>
        <w:tc>
          <w:tcPr>
            <w:tcW w:w="782" w:type="dxa"/>
          </w:tcPr>
          <w:p w14:paraId="167A10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9.03</w:t>
            </w:r>
          </w:p>
        </w:tc>
        <w:tc>
          <w:tcPr>
            <w:tcW w:w="782" w:type="dxa"/>
          </w:tcPr>
          <w:p w14:paraId="63CA020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19.58</w:t>
            </w:r>
          </w:p>
        </w:tc>
        <w:tc>
          <w:tcPr>
            <w:tcW w:w="782" w:type="dxa"/>
          </w:tcPr>
          <w:p w14:paraId="57BCB54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12.78</w:t>
            </w:r>
          </w:p>
        </w:tc>
        <w:tc>
          <w:tcPr>
            <w:tcW w:w="782" w:type="dxa"/>
          </w:tcPr>
          <w:p w14:paraId="7D839D3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9.58</w:t>
            </w:r>
          </w:p>
        </w:tc>
        <w:tc>
          <w:tcPr>
            <w:tcW w:w="782" w:type="dxa"/>
          </w:tcPr>
          <w:p w14:paraId="3D323B5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7.22</w:t>
            </w:r>
          </w:p>
        </w:tc>
        <w:tc>
          <w:tcPr>
            <w:tcW w:w="782" w:type="dxa"/>
          </w:tcPr>
          <w:p w14:paraId="4B1A561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6.53</w:t>
            </w:r>
          </w:p>
        </w:tc>
        <w:tc>
          <w:tcPr>
            <w:tcW w:w="782" w:type="dxa"/>
          </w:tcPr>
          <w:p w14:paraId="4C6564A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3.89</w:t>
            </w:r>
          </w:p>
        </w:tc>
        <w:tc>
          <w:tcPr>
            <w:tcW w:w="782" w:type="dxa"/>
          </w:tcPr>
          <w:p w14:paraId="68D352A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2.92</w:t>
            </w:r>
          </w:p>
        </w:tc>
        <w:tc>
          <w:tcPr>
            <w:tcW w:w="782" w:type="dxa"/>
          </w:tcPr>
          <w:p w14:paraId="0E15BCE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2.22</w:t>
            </w:r>
          </w:p>
        </w:tc>
        <w:tc>
          <w:tcPr>
            <w:tcW w:w="782" w:type="dxa"/>
          </w:tcPr>
          <w:p w14:paraId="72FD08F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w:t>
            </w:r>
          </w:p>
        </w:tc>
        <w:tc>
          <w:tcPr>
            <w:tcW w:w="782" w:type="dxa"/>
          </w:tcPr>
          <w:p w14:paraId="704EC3A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1.53</w:t>
            </w:r>
          </w:p>
        </w:tc>
        <w:tc>
          <w:tcPr>
            <w:tcW w:w="782" w:type="dxa"/>
          </w:tcPr>
          <w:p w14:paraId="18B4AD5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4.44</w:t>
            </w:r>
          </w:p>
        </w:tc>
        <w:tc>
          <w:tcPr>
            <w:tcW w:w="835" w:type="dxa"/>
          </w:tcPr>
          <w:p w14:paraId="6669D98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3.75</w:t>
            </w:r>
          </w:p>
        </w:tc>
        <w:tc>
          <w:tcPr>
            <w:tcW w:w="729" w:type="dxa"/>
          </w:tcPr>
          <w:p w14:paraId="05CC3AB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4.03</w:t>
            </w:r>
          </w:p>
        </w:tc>
        <w:tc>
          <w:tcPr>
            <w:tcW w:w="782" w:type="dxa"/>
          </w:tcPr>
          <w:p w14:paraId="06F42F7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2.64</w:t>
            </w:r>
          </w:p>
        </w:tc>
        <w:tc>
          <w:tcPr>
            <w:tcW w:w="789" w:type="dxa"/>
          </w:tcPr>
          <w:p w14:paraId="60CD53D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4.72</w:t>
            </w:r>
          </w:p>
        </w:tc>
      </w:tr>
      <w:tr w:rsidR="003E78AB" w14:paraId="5AC26A82" w14:textId="77777777">
        <w:trPr>
          <w:trHeight w:val="369"/>
        </w:trPr>
        <w:tc>
          <w:tcPr>
            <w:tcW w:w="874" w:type="dxa"/>
          </w:tcPr>
          <w:p w14:paraId="3E7CC1D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十月</w:t>
            </w:r>
          </w:p>
        </w:tc>
        <w:tc>
          <w:tcPr>
            <w:tcW w:w="782" w:type="dxa"/>
          </w:tcPr>
          <w:p w14:paraId="53253BA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2.69</w:t>
            </w:r>
          </w:p>
        </w:tc>
        <w:tc>
          <w:tcPr>
            <w:tcW w:w="782" w:type="dxa"/>
          </w:tcPr>
          <w:p w14:paraId="566F759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9.14</w:t>
            </w:r>
          </w:p>
        </w:tc>
        <w:tc>
          <w:tcPr>
            <w:tcW w:w="782" w:type="dxa"/>
          </w:tcPr>
          <w:p w14:paraId="0CFF644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24.19</w:t>
            </w:r>
          </w:p>
        </w:tc>
        <w:tc>
          <w:tcPr>
            <w:tcW w:w="782" w:type="dxa"/>
          </w:tcPr>
          <w:p w14:paraId="3CB778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10.89</w:t>
            </w:r>
          </w:p>
        </w:tc>
        <w:tc>
          <w:tcPr>
            <w:tcW w:w="782" w:type="dxa"/>
          </w:tcPr>
          <w:p w14:paraId="65A204F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9.54</w:t>
            </w:r>
          </w:p>
        </w:tc>
        <w:tc>
          <w:tcPr>
            <w:tcW w:w="782" w:type="dxa"/>
          </w:tcPr>
          <w:p w14:paraId="13A691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7.26</w:t>
            </w:r>
          </w:p>
        </w:tc>
        <w:tc>
          <w:tcPr>
            <w:tcW w:w="782" w:type="dxa"/>
          </w:tcPr>
          <w:p w14:paraId="781AD82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5.24</w:t>
            </w:r>
          </w:p>
        </w:tc>
        <w:tc>
          <w:tcPr>
            <w:tcW w:w="782" w:type="dxa"/>
          </w:tcPr>
          <w:p w14:paraId="38E28A3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3.49</w:t>
            </w:r>
          </w:p>
        </w:tc>
        <w:tc>
          <w:tcPr>
            <w:tcW w:w="782" w:type="dxa"/>
          </w:tcPr>
          <w:p w14:paraId="65DC146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2.28</w:t>
            </w:r>
          </w:p>
        </w:tc>
        <w:tc>
          <w:tcPr>
            <w:tcW w:w="782" w:type="dxa"/>
          </w:tcPr>
          <w:p w14:paraId="470779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2.69</w:t>
            </w:r>
          </w:p>
        </w:tc>
        <w:tc>
          <w:tcPr>
            <w:tcW w:w="782" w:type="dxa"/>
          </w:tcPr>
          <w:p w14:paraId="04C930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3.23</w:t>
            </w:r>
          </w:p>
        </w:tc>
        <w:tc>
          <w:tcPr>
            <w:tcW w:w="782" w:type="dxa"/>
          </w:tcPr>
          <w:p w14:paraId="356692A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3.49</w:t>
            </w:r>
          </w:p>
        </w:tc>
        <w:tc>
          <w:tcPr>
            <w:tcW w:w="782" w:type="dxa"/>
          </w:tcPr>
          <w:p w14:paraId="3B15882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3.09</w:t>
            </w:r>
          </w:p>
        </w:tc>
        <w:tc>
          <w:tcPr>
            <w:tcW w:w="835" w:type="dxa"/>
          </w:tcPr>
          <w:p w14:paraId="44153E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3.36</w:t>
            </w:r>
          </w:p>
        </w:tc>
        <w:tc>
          <w:tcPr>
            <w:tcW w:w="729" w:type="dxa"/>
          </w:tcPr>
          <w:p w14:paraId="7E16F0E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2.82</w:t>
            </w:r>
          </w:p>
        </w:tc>
        <w:tc>
          <w:tcPr>
            <w:tcW w:w="782" w:type="dxa"/>
          </w:tcPr>
          <w:p w14:paraId="51248A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1.88</w:t>
            </w:r>
          </w:p>
        </w:tc>
        <w:tc>
          <w:tcPr>
            <w:tcW w:w="789" w:type="dxa"/>
          </w:tcPr>
          <w:p w14:paraId="01EC213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4.70</w:t>
            </w:r>
          </w:p>
        </w:tc>
      </w:tr>
      <w:tr w:rsidR="003E78AB" w14:paraId="5B3CB2A1" w14:textId="77777777">
        <w:trPr>
          <w:trHeight w:val="369"/>
        </w:trPr>
        <w:tc>
          <w:tcPr>
            <w:tcW w:w="874" w:type="dxa"/>
          </w:tcPr>
          <w:p w14:paraId="6F7CD3E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十一月</w:t>
            </w:r>
          </w:p>
        </w:tc>
        <w:tc>
          <w:tcPr>
            <w:tcW w:w="782" w:type="dxa"/>
          </w:tcPr>
          <w:p w14:paraId="22DAD54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1.53</w:t>
            </w:r>
          </w:p>
        </w:tc>
        <w:tc>
          <w:tcPr>
            <w:tcW w:w="782" w:type="dxa"/>
          </w:tcPr>
          <w:p w14:paraId="40350F3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5.97</w:t>
            </w:r>
          </w:p>
        </w:tc>
        <w:tc>
          <w:tcPr>
            <w:tcW w:w="782" w:type="dxa"/>
          </w:tcPr>
          <w:p w14:paraId="4E946AB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23.89</w:t>
            </w:r>
          </w:p>
        </w:tc>
        <w:tc>
          <w:tcPr>
            <w:tcW w:w="782" w:type="dxa"/>
          </w:tcPr>
          <w:p w14:paraId="2ECEFD3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15.56</w:t>
            </w:r>
          </w:p>
        </w:tc>
        <w:tc>
          <w:tcPr>
            <w:tcW w:w="782" w:type="dxa"/>
          </w:tcPr>
          <w:p w14:paraId="55D5282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9.72</w:t>
            </w:r>
          </w:p>
        </w:tc>
        <w:tc>
          <w:tcPr>
            <w:tcW w:w="782" w:type="dxa"/>
          </w:tcPr>
          <w:p w14:paraId="6D72661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8.47</w:t>
            </w:r>
          </w:p>
        </w:tc>
        <w:tc>
          <w:tcPr>
            <w:tcW w:w="782" w:type="dxa"/>
          </w:tcPr>
          <w:p w14:paraId="58C2645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6.39</w:t>
            </w:r>
          </w:p>
        </w:tc>
        <w:tc>
          <w:tcPr>
            <w:tcW w:w="782" w:type="dxa"/>
          </w:tcPr>
          <w:p w14:paraId="3490CA4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3.33</w:t>
            </w:r>
          </w:p>
        </w:tc>
        <w:tc>
          <w:tcPr>
            <w:tcW w:w="782" w:type="dxa"/>
          </w:tcPr>
          <w:p w14:paraId="31ADE49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2.78</w:t>
            </w:r>
          </w:p>
        </w:tc>
        <w:tc>
          <w:tcPr>
            <w:tcW w:w="782" w:type="dxa"/>
          </w:tcPr>
          <w:p w14:paraId="7727F9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3.19</w:t>
            </w:r>
          </w:p>
        </w:tc>
        <w:tc>
          <w:tcPr>
            <w:tcW w:w="782" w:type="dxa"/>
          </w:tcPr>
          <w:p w14:paraId="538B6E3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3.47</w:t>
            </w:r>
          </w:p>
        </w:tc>
        <w:tc>
          <w:tcPr>
            <w:tcW w:w="782" w:type="dxa"/>
          </w:tcPr>
          <w:p w14:paraId="27115C0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1.94</w:t>
            </w:r>
          </w:p>
        </w:tc>
        <w:tc>
          <w:tcPr>
            <w:tcW w:w="782" w:type="dxa"/>
          </w:tcPr>
          <w:p w14:paraId="6003422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3.75</w:t>
            </w:r>
          </w:p>
        </w:tc>
        <w:tc>
          <w:tcPr>
            <w:tcW w:w="835" w:type="dxa"/>
          </w:tcPr>
          <w:p w14:paraId="780E411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3.19</w:t>
            </w:r>
          </w:p>
        </w:tc>
        <w:tc>
          <w:tcPr>
            <w:tcW w:w="729" w:type="dxa"/>
          </w:tcPr>
          <w:p w14:paraId="55E4D90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2.64</w:t>
            </w:r>
          </w:p>
        </w:tc>
        <w:tc>
          <w:tcPr>
            <w:tcW w:w="782" w:type="dxa"/>
          </w:tcPr>
          <w:p w14:paraId="476736D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w:t>
            </w:r>
          </w:p>
        </w:tc>
        <w:tc>
          <w:tcPr>
            <w:tcW w:w="789" w:type="dxa"/>
          </w:tcPr>
          <w:p w14:paraId="5DB09B2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3.06</w:t>
            </w:r>
          </w:p>
        </w:tc>
      </w:tr>
      <w:tr w:rsidR="003E78AB" w14:paraId="0ED71CC9" w14:textId="77777777">
        <w:trPr>
          <w:trHeight w:val="369"/>
        </w:trPr>
        <w:tc>
          <w:tcPr>
            <w:tcW w:w="874" w:type="dxa"/>
          </w:tcPr>
          <w:p w14:paraId="429DC2A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十二月</w:t>
            </w:r>
          </w:p>
        </w:tc>
        <w:tc>
          <w:tcPr>
            <w:tcW w:w="782" w:type="dxa"/>
          </w:tcPr>
          <w:p w14:paraId="394227D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1.75</w:t>
            </w:r>
          </w:p>
        </w:tc>
        <w:tc>
          <w:tcPr>
            <w:tcW w:w="782" w:type="dxa"/>
          </w:tcPr>
          <w:p w14:paraId="39FE1C8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3.49</w:t>
            </w:r>
          </w:p>
        </w:tc>
        <w:tc>
          <w:tcPr>
            <w:tcW w:w="782" w:type="dxa"/>
          </w:tcPr>
          <w:p w14:paraId="6499F35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17.88</w:t>
            </w:r>
          </w:p>
        </w:tc>
        <w:tc>
          <w:tcPr>
            <w:tcW w:w="782" w:type="dxa"/>
          </w:tcPr>
          <w:p w14:paraId="0119FBB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18.15</w:t>
            </w:r>
          </w:p>
        </w:tc>
        <w:tc>
          <w:tcPr>
            <w:tcW w:w="782" w:type="dxa"/>
          </w:tcPr>
          <w:p w14:paraId="5CDA9FE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11.16</w:t>
            </w:r>
          </w:p>
        </w:tc>
        <w:tc>
          <w:tcPr>
            <w:tcW w:w="782" w:type="dxa"/>
          </w:tcPr>
          <w:p w14:paraId="4A34530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7.80</w:t>
            </w:r>
          </w:p>
        </w:tc>
        <w:tc>
          <w:tcPr>
            <w:tcW w:w="782" w:type="dxa"/>
          </w:tcPr>
          <w:p w14:paraId="5461319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7.12</w:t>
            </w:r>
          </w:p>
        </w:tc>
        <w:tc>
          <w:tcPr>
            <w:tcW w:w="782" w:type="dxa"/>
          </w:tcPr>
          <w:p w14:paraId="2FB9559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3.09</w:t>
            </w:r>
          </w:p>
        </w:tc>
        <w:tc>
          <w:tcPr>
            <w:tcW w:w="782" w:type="dxa"/>
          </w:tcPr>
          <w:p w14:paraId="7415378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5.11</w:t>
            </w:r>
          </w:p>
        </w:tc>
        <w:tc>
          <w:tcPr>
            <w:tcW w:w="782" w:type="dxa"/>
          </w:tcPr>
          <w:p w14:paraId="6CFF2B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2.96</w:t>
            </w:r>
          </w:p>
        </w:tc>
        <w:tc>
          <w:tcPr>
            <w:tcW w:w="782" w:type="dxa"/>
          </w:tcPr>
          <w:p w14:paraId="14402C8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2.82</w:t>
            </w:r>
          </w:p>
        </w:tc>
        <w:tc>
          <w:tcPr>
            <w:tcW w:w="782" w:type="dxa"/>
          </w:tcPr>
          <w:p w14:paraId="7CF8A41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4.44</w:t>
            </w:r>
          </w:p>
        </w:tc>
        <w:tc>
          <w:tcPr>
            <w:tcW w:w="782" w:type="dxa"/>
          </w:tcPr>
          <w:p w14:paraId="69BBBB8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4.03</w:t>
            </w:r>
          </w:p>
        </w:tc>
        <w:tc>
          <w:tcPr>
            <w:tcW w:w="835" w:type="dxa"/>
          </w:tcPr>
          <w:p w14:paraId="62170F3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3.76</w:t>
            </w:r>
          </w:p>
        </w:tc>
        <w:tc>
          <w:tcPr>
            <w:tcW w:w="729" w:type="dxa"/>
          </w:tcPr>
          <w:p w14:paraId="29AFF95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2.82</w:t>
            </w:r>
          </w:p>
        </w:tc>
        <w:tc>
          <w:tcPr>
            <w:tcW w:w="782" w:type="dxa"/>
          </w:tcPr>
          <w:p w14:paraId="5EFD4D3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w:t>
            </w:r>
          </w:p>
        </w:tc>
        <w:tc>
          <w:tcPr>
            <w:tcW w:w="789" w:type="dxa"/>
          </w:tcPr>
          <w:p w14:paraId="3687B2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2.42</w:t>
            </w:r>
          </w:p>
        </w:tc>
      </w:tr>
      <w:tr w:rsidR="003E78AB" w14:paraId="3886635F" w14:textId="77777777">
        <w:trPr>
          <w:trHeight w:val="369"/>
        </w:trPr>
        <w:tc>
          <w:tcPr>
            <w:tcW w:w="874" w:type="dxa"/>
          </w:tcPr>
          <w:p w14:paraId="6D78076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春季</w:t>
            </w:r>
          </w:p>
        </w:tc>
        <w:tc>
          <w:tcPr>
            <w:tcW w:w="782" w:type="dxa"/>
          </w:tcPr>
          <w:p w14:paraId="30C1306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2.56</w:t>
            </w:r>
          </w:p>
        </w:tc>
        <w:tc>
          <w:tcPr>
            <w:tcW w:w="782" w:type="dxa"/>
          </w:tcPr>
          <w:p w14:paraId="7E6B5AA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6.21</w:t>
            </w:r>
          </w:p>
        </w:tc>
        <w:tc>
          <w:tcPr>
            <w:tcW w:w="782" w:type="dxa"/>
          </w:tcPr>
          <w:p w14:paraId="778194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17.61</w:t>
            </w:r>
          </w:p>
        </w:tc>
        <w:tc>
          <w:tcPr>
            <w:tcW w:w="782" w:type="dxa"/>
          </w:tcPr>
          <w:p w14:paraId="411AB42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11.61</w:t>
            </w:r>
          </w:p>
        </w:tc>
        <w:tc>
          <w:tcPr>
            <w:tcW w:w="782" w:type="dxa"/>
          </w:tcPr>
          <w:p w14:paraId="387F3EB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9.54</w:t>
            </w:r>
          </w:p>
        </w:tc>
        <w:tc>
          <w:tcPr>
            <w:tcW w:w="782" w:type="dxa"/>
          </w:tcPr>
          <w:p w14:paraId="04961C4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9.25</w:t>
            </w:r>
          </w:p>
        </w:tc>
        <w:tc>
          <w:tcPr>
            <w:tcW w:w="782" w:type="dxa"/>
          </w:tcPr>
          <w:p w14:paraId="0DC74D7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6.87</w:t>
            </w:r>
          </w:p>
        </w:tc>
        <w:tc>
          <w:tcPr>
            <w:tcW w:w="782" w:type="dxa"/>
          </w:tcPr>
          <w:p w14:paraId="31F3DC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3.66</w:t>
            </w:r>
          </w:p>
        </w:tc>
        <w:tc>
          <w:tcPr>
            <w:tcW w:w="782" w:type="dxa"/>
          </w:tcPr>
          <w:p w14:paraId="7362918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2.82</w:t>
            </w:r>
          </w:p>
        </w:tc>
        <w:tc>
          <w:tcPr>
            <w:tcW w:w="782" w:type="dxa"/>
          </w:tcPr>
          <w:p w14:paraId="2776C25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2.69</w:t>
            </w:r>
          </w:p>
        </w:tc>
        <w:tc>
          <w:tcPr>
            <w:tcW w:w="782" w:type="dxa"/>
          </w:tcPr>
          <w:p w14:paraId="120B323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3.13</w:t>
            </w:r>
          </w:p>
        </w:tc>
        <w:tc>
          <w:tcPr>
            <w:tcW w:w="782" w:type="dxa"/>
          </w:tcPr>
          <w:p w14:paraId="529340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3.78</w:t>
            </w:r>
          </w:p>
        </w:tc>
        <w:tc>
          <w:tcPr>
            <w:tcW w:w="782" w:type="dxa"/>
          </w:tcPr>
          <w:p w14:paraId="7629CED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5.15</w:t>
            </w:r>
          </w:p>
        </w:tc>
        <w:tc>
          <w:tcPr>
            <w:tcW w:w="835" w:type="dxa"/>
          </w:tcPr>
          <w:p w14:paraId="3CF1DEA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4.62</w:t>
            </w:r>
          </w:p>
        </w:tc>
        <w:tc>
          <w:tcPr>
            <w:tcW w:w="729" w:type="dxa"/>
          </w:tcPr>
          <w:p w14:paraId="25F8B6B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4.52</w:t>
            </w:r>
          </w:p>
        </w:tc>
        <w:tc>
          <w:tcPr>
            <w:tcW w:w="782" w:type="dxa"/>
          </w:tcPr>
          <w:p w14:paraId="51866DD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2.76</w:t>
            </w:r>
          </w:p>
        </w:tc>
        <w:tc>
          <w:tcPr>
            <w:tcW w:w="789" w:type="dxa"/>
          </w:tcPr>
          <w:p w14:paraId="2D307F0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3.21</w:t>
            </w:r>
          </w:p>
        </w:tc>
      </w:tr>
      <w:tr w:rsidR="003E78AB" w14:paraId="5AAFFBF8" w14:textId="77777777">
        <w:trPr>
          <w:trHeight w:val="369"/>
        </w:trPr>
        <w:tc>
          <w:tcPr>
            <w:tcW w:w="874" w:type="dxa"/>
          </w:tcPr>
          <w:p w14:paraId="169F0A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夏季</w:t>
            </w:r>
          </w:p>
        </w:tc>
        <w:tc>
          <w:tcPr>
            <w:tcW w:w="782" w:type="dxa"/>
          </w:tcPr>
          <w:p w14:paraId="6E740B8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2.58</w:t>
            </w:r>
          </w:p>
        </w:tc>
        <w:tc>
          <w:tcPr>
            <w:tcW w:w="782" w:type="dxa"/>
          </w:tcPr>
          <w:p w14:paraId="74EA3E0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4.12</w:t>
            </w:r>
          </w:p>
        </w:tc>
        <w:tc>
          <w:tcPr>
            <w:tcW w:w="782" w:type="dxa"/>
          </w:tcPr>
          <w:p w14:paraId="595AC7F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13.86</w:t>
            </w:r>
          </w:p>
        </w:tc>
        <w:tc>
          <w:tcPr>
            <w:tcW w:w="782" w:type="dxa"/>
          </w:tcPr>
          <w:p w14:paraId="0AB55F5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9.74</w:t>
            </w:r>
          </w:p>
        </w:tc>
        <w:tc>
          <w:tcPr>
            <w:tcW w:w="782" w:type="dxa"/>
          </w:tcPr>
          <w:p w14:paraId="6B1656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8.65</w:t>
            </w:r>
          </w:p>
        </w:tc>
        <w:tc>
          <w:tcPr>
            <w:tcW w:w="782" w:type="dxa"/>
          </w:tcPr>
          <w:p w14:paraId="52F12B2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11.05</w:t>
            </w:r>
          </w:p>
        </w:tc>
        <w:tc>
          <w:tcPr>
            <w:tcW w:w="782" w:type="dxa"/>
          </w:tcPr>
          <w:p w14:paraId="091295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9.38</w:t>
            </w:r>
          </w:p>
        </w:tc>
        <w:tc>
          <w:tcPr>
            <w:tcW w:w="782" w:type="dxa"/>
          </w:tcPr>
          <w:p w14:paraId="290D5AA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3.94</w:t>
            </w:r>
          </w:p>
        </w:tc>
        <w:tc>
          <w:tcPr>
            <w:tcW w:w="782" w:type="dxa"/>
          </w:tcPr>
          <w:p w14:paraId="005B275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2.31</w:t>
            </w:r>
          </w:p>
        </w:tc>
        <w:tc>
          <w:tcPr>
            <w:tcW w:w="782" w:type="dxa"/>
          </w:tcPr>
          <w:p w14:paraId="4401CFD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3.08</w:t>
            </w:r>
          </w:p>
        </w:tc>
        <w:tc>
          <w:tcPr>
            <w:tcW w:w="782" w:type="dxa"/>
          </w:tcPr>
          <w:p w14:paraId="148F0F4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3.31</w:t>
            </w:r>
          </w:p>
        </w:tc>
        <w:tc>
          <w:tcPr>
            <w:tcW w:w="782" w:type="dxa"/>
          </w:tcPr>
          <w:p w14:paraId="4F4AB49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4.57</w:t>
            </w:r>
          </w:p>
        </w:tc>
        <w:tc>
          <w:tcPr>
            <w:tcW w:w="782" w:type="dxa"/>
          </w:tcPr>
          <w:p w14:paraId="7FFE165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7.74</w:t>
            </w:r>
          </w:p>
        </w:tc>
        <w:tc>
          <w:tcPr>
            <w:tcW w:w="835" w:type="dxa"/>
          </w:tcPr>
          <w:p w14:paraId="51ABBE2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6.39</w:t>
            </w:r>
          </w:p>
        </w:tc>
        <w:tc>
          <w:tcPr>
            <w:tcW w:w="729" w:type="dxa"/>
          </w:tcPr>
          <w:p w14:paraId="44AAC10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5.25</w:t>
            </w:r>
          </w:p>
        </w:tc>
        <w:tc>
          <w:tcPr>
            <w:tcW w:w="782" w:type="dxa"/>
          </w:tcPr>
          <w:p w14:paraId="65BAE6E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2.85</w:t>
            </w:r>
          </w:p>
        </w:tc>
        <w:tc>
          <w:tcPr>
            <w:tcW w:w="789" w:type="dxa"/>
          </w:tcPr>
          <w:p w14:paraId="4E38235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1.18</w:t>
            </w:r>
          </w:p>
        </w:tc>
      </w:tr>
      <w:tr w:rsidR="003E78AB" w14:paraId="608930AD" w14:textId="77777777">
        <w:trPr>
          <w:trHeight w:val="369"/>
        </w:trPr>
        <w:tc>
          <w:tcPr>
            <w:tcW w:w="874" w:type="dxa"/>
          </w:tcPr>
          <w:p w14:paraId="2C624A9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秋季</w:t>
            </w:r>
          </w:p>
        </w:tc>
        <w:tc>
          <w:tcPr>
            <w:tcW w:w="782" w:type="dxa"/>
          </w:tcPr>
          <w:p w14:paraId="51D523A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3.40</w:t>
            </w:r>
          </w:p>
        </w:tc>
        <w:tc>
          <w:tcPr>
            <w:tcW w:w="782" w:type="dxa"/>
          </w:tcPr>
          <w:p w14:paraId="78C4B2F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7.84</w:t>
            </w:r>
          </w:p>
        </w:tc>
        <w:tc>
          <w:tcPr>
            <w:tcW w:w="782" w:type="dxa"/>
          </w:tcPr>
          <w:p w14:paraId="2D12F25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15.58</w:t>
            </w:r>
          </w:p>
        </w:tc>
        <w:tc>
          <w:tcPr>
            <w:tcW w:w="782" w:type="dxa"/>
          </w:tcPr>
          <w:p w14:paraId="4AE7E56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9.01</w:t>
            </w:r>
          </w:p>
        </w:tc>
        <w:tc>
          <w:tcPr>
            <w:tcW w:w="782" w:type="dxa"/>
          </w:tcPr>
          <w:p w14:paraId="3D5936B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9.96</w:t>
            </w:r>
          </w:p>
        </w:tc>
        <w:tc>
          <w:tcPr>
            <w:tcW w:w="782" w:type="dxa"/>
          </w:tcPr>
          <w:p w14:paraId="2294626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10.05</w:t>
            </w:r>
          </w:p>
        </w:tc>
        <w:tc>
          <w:tcPr>
            <w:tcW w:w="782" w:type="dxa"/>
          </w:tcPr>
          <w:p w14:paraId="318F8F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5.98</w:t>
            </w:r>
          </w:p>
        </w:tc>
        <w:tc>
          <w:tcPr>
            <w:tcW w:w="782" w:type="dxa"/>
          </w:tcPr>
          <w:p w14:paraId="6B891CD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3.44</w:t>
            </w:r>
          </w:p>
        </w:tc>
        <w:tc>
          <w:tcPr>
            <w:tcW w:w="782" w:type="dxa"/>
          </w:tcPr>
          <w:p w14:paraId="0624819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2.13</w:t>
            </w:r>
          </w:p>
        </w:tc>
        <w:tc>
          <w:tcPr>
            <w:tcW w:w="782" w:type="dxa"/>
          </w:tcPr>
          <w:p w14:paraId="418CE9F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2.22</w:t>
            </w:r>
          </w:p>
        </w:tc>
        <w:tc>
          <w:tcPr>
            <w:tcW w:w="782" w:type="dxa"/>
          </w:tcPr>
          <w:p w14:paraId="55F81CE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3.08</w:t>
            </w:r>
          </w:p>
        </w:tc>
        <w:tc>
          <w:tcPr>
            <w:tcW w:w="782" w:type="dxa"/>
          </w:tcPr>
          <w:p w14:paraId="2A793C3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4.30</w:t>
            </w:r>
          </w:p>
        </w:tc>
        <w:tc>
          <w:tcPr>
            <w:tcW w:w="782" w:type="dxa"/>
          </w:tcPr>
          <w:p w14:paraId="08078DE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4.17</w:t>
            </w:r>
          </w:p>
        </w:tc>
        <w:tc>
          <w:tcPr>
            <w:tcW w:w="835" w:type="dxa"/>
          </w:tcPr>
          <w:p w14:paraId="24DAB54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3.80</w:t>
            </w:r>
          </w:p>
        </w:tc>
        <w:tc>
          <w:tcPr>
            <w:tcW w:w="729" w:type="dxa"/>
          </w:tcPr>
          <w:p w14:paraId="756A062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6.30</w:t>
            </w:r>
          </w:p>
        </w:tc>
        <w:tc>
          <w:tcPr>
            <w:tcW w:w="782" w:type="dxa"/>
          </w:tcPr>
          <w:p w14:paraId="7F7B662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3.80</w:t>
            </w:r>
          </w:p>
        </w:tc>
        <w:tc>
          <w:tcPr>
            <w:tcW w:w="789" w:type="dxa"/>
          </w:tcPr>
          <w:p w14:paraId="3C09D6F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4.94</w:t>
            </w:r>
          </w:p>
        </w:tc>
      </w:tr>
      <w:tr w:rsidR="003E78AB" w14:paraId="3B92AD90" w14:textId="77777777">
        <w:trPr>
          <w:trHeight w:val="369"/>
        </w:trPr>
        <w:tc>
          <w:tcPr>
            <w:tcW w:w="874" w:type="dxa"/>
          </w:tcPr>
          <w:p w14:paraId="0A1D405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冬季</w:t>
            </w:r>
          </w:p>
        </w:tc>
        <w:tc>
          <w:tcPr>
            <w:tcW w:w="782" w:type="dxa"/>
          </w:tcPr>
          <w:p w14:paraId="1F3A9EE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2.52</w:t>
            </w:r>
          </w:p>
        </w:tc>
        <w:tc>
          <w:tcPr>
            <w:tcW w:w="782" w:type="dxa"/>
          </w:tcPr>
          <w:p w14:paraId="26EFC8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8.06</w:t>
            </w:r>
          </w:p>
        </w:tc>
        <w:tc>
          <w:tcPr>
            <w:tcW w:w="782" w:type="dxa"/>
          </w:tcPr>
          <w:p w14:paraId="57FD373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22.57</w:t>
            </w:r>
          </w:p>
        </w:tc>
        <w:tc>
          <w:tcPr>
            <w:tcW w:w="782" w:type="dxa"/>
          </w:tcPr>
          <w:p w14:paraId="283B4AF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13.05</w:t>
            </w:r>
          </w:p>
        </w:tc>
        <w:tc>
          <w:tcPr>
            <w:tcW w:w="782" w:type="dxa"/>
          </w:tcPr>
          <w:p w14:paraId="05B88CE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9.62</w:t>
            </w:r>
          </w:p>
        </w:tc>
        <w:tc>
          <w:tcPr>
            <w:tcW w:w="782" w:type="dxa"/>
          </w:tcPr>
          <w:p w14:paraId="1401335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7.65</w:t>
            </w:r>
          </w:p>
        </w:tc>
        <w:tc>
          <w:tcPr>
            <w:tcW w:w="782" w:type="dxa"/>
          </w:tcPr>
          <w:p w14:paraId="0D1C1CE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6.04</w:t>
            </w:r>
          </w:p>
        </w:tc>
        <w:tc>
          <w:tcPr>
            <w:tcW w:w="782" w:type="dxa"/>
          </w:tcPr>
          <w:p w14:paraId="0A8E750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3.57</w:t>
            </w:r>
          </w:p>
        </w:tc>
        <w:tc>
          <w:tcPr>
            <w:tcW w:w="782" w:type="dxa"/>
          </w:tcPr>
          <w:p w14:paraId="162C91F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2.66</w:t>
            </w:r>
          </w:p>
        </w:tc>
        <w:tc>
          <w:tcPr>
            <w:tcW w:w="782" w:type="dxa"/>
          </w:tcPr>
          <w:p w14:paraId="46E7A2D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2.70</w:t>
            </w:r>
          </w:p>
        </w:tc>
        <w:tc>
          <w:tcPr>
            <w:tcW w:w="782" w:type="dxa"/>
          </w:tcPr>
          <w:p w14:paraId="3F5E04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2.84</w:t>
            </w:r>
          </w:p>
        </w:tc>
        <w:tc>
          <w:tcPr>
            <w:tcW w:w="782" w:type="dxa"/>
          </w:tcPr>
          <w:p w14:paraId="14E7C3B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2.34</w:t>
            </w:r>
          </w:p>
        </w:tc>
        <w:tc>
          <w:tcPr>
            <w:tcW w:w="782" w:type="dxa"/>
          </w:tcPr>
          <w:p w14:paraId="1A4AFD4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3.75</w:t>
            </w:r>
          </w:p>
        </w:tc>
        <w:tc>
          <w:tcPr>
            <w:tcW w:w="835" w:type="dxa"/>
          </w:tcPr>
          <w:p w14:paraId="49E4159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3.43</w:t>
            </w:r>
          </w:p>
        </w:tc>
        <w:tc>
          <w:tcPr>
            <w:tcW w:w="729" w:type="dxa"/>
          </w:tcPr>
          <w:p w14:paraId="4E1D188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3.16</w:t>
            </w:r>
          </w:p>
        </w:tc>
        <w:tc>
          <w:tcPr>
            <w:tcW w:w="782" w:type="dxa"/>
          </w:tcPr>
          <w:p w14:paraId="4D4392C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1.88</w:t>
            </w:r>
          </w:p>
        </w:tc>
        <w:tc>
          <w:tcPr>
            <w:tcW w:w="789" w:type="dxa"/>
          </w:tcPr>
          <w:p w14:paraId="346256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4.17</w:t>
            </w:r>
          </w:p>
        </w:tc>
      </w:tr>
      <w:tr w:rsidR="003E78AB" w14:paraId="7DF91ACE" w14:textId="77777777">
        <w:trPr>
          <w:trHeight w:val="369"/>
        </w:trPr>
        <w:tc>
          <w:tcPr>
            <w:tcW w:w="874" w:type="dxa"/>
          </w:tcPr>
          <w:p w14:paraId="0519338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全年</w:t>
            </w:r>
          </w:p>
        </w:tc>
        <w:tc>
          <w:tcPr>
            <w:tcW w:w="782" w:type="dxa"/>
          </w:tcPr>
          <w:p w14:paraId="32DA56B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1.71</w:t>
            </w:r>
          </w:p>
        </w:tc>
        <w:tc>
          <w:tcPr>
            <w:tcW w:w="782" w:type="dxa"/>
          </w:tcPr>
          <w:p w14:paraId="7D3DD62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4.81</w:t>
            </w:r>
          </w:p>
        </w:tc>
        <w:tc>
          <w:tcPr>
            <w:tcW w:w="782" w:type="dxa"/>
          </w:tcPr>
          <w:p w14:paraId="484D023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18.52</w:t>
            </w:r>
          </w:p>
        </w:tc>
        <w:tc>
          <w:tcPr>
            <w:tcW w:w="782" w:type="dxa"/>
          </w:tcPr>
          <w:p w14:paraId="4D5BAC0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14.72</w:t>
            </w:r>
          </w:p>
        </w:tc>
        <w:tc>
          <w:tcPr>
            <w:tcW w:w="782" w:type="dxa"/>
          </w:tcPr>
          <w:p w14:paraId="50E2BE5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9.95</w:t>
            </w:r>
          </w:p>
        </w:tc>
        <w:tc>
          <w:tcPr>
            <w:tcW w:w="782" w:type="dxa"/>
          </w:tcPr>
          <w:p w14:paraId="25ADD65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8.19</w:t>
            </w:r>
          </w:p>
        </w:tc>
        <w:tc>
          <w:tcPr>
            <w:tcW w:w="782" w:type="dxa"/>
          </w:tcPr>
          <w:p w14:paraId="1905B32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6.06</w:t>
            </w:r>
          </w:p>
        </w:tc>
        <w:tc>
          <w:tcPr>
            <w:tcW w:w="782" w:type="dxa"/>
          </w:tcPr>
          <w:p w14:paraId="0AB6EBA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3.70</w:t>
            </w:r>
          </w:p>
        </w:tc>
        <w:tc>
          <w:tcPr>
            <w:tcW w:w="782" w:type="dxa"/>
          </w:tcPr>
          <w:p w14:paraId="267B7BF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4.21</w:t>
            </w:r>
          </w:p>
        </w:tc>
        <w:tc>
          <w:tcPr>
            <w:tcW w:w="782" w:type="dxa"/>
          </w:tcPr>
          <w:p w14:paraId="6A4FE78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2.78</w:t>
            </w:r>
          </w:p>
        </w:tc>
        <w:tc>
          <w:tcPr>
            <w:tcW w:w="782" w:type="dxa"/>
          </w:tcPr>
          <w:p w14:paraId="167231B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3.29</w:t>
            </w:r>
          </w:p>
        </w:tc>
        <w:tc>
          <w:tcPr>
            <w:tcW w:w="782" w:type="dxa"/>
          </w:tcPr>
          <w:p w14:paraId="35E9DCC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3.89</w:t>
            </w:r>
          </w:p>
        </w:tc>
        <w:tc>
          <w:tcPr>
            <w:tcW w:w="782" w:type="dxa"/>
          </w:tcPr>
          <w:p w14:paraId="67C7609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4.91</w:t>
            </w:r>
          </w:p>
        </w:tc>
        <w:tc>
          <w:tcPr>
            <w:tcW w:w="835" w:type="dxa"/>
          </w:tcPr>
          <w:p w14:paraId="66D221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4.86</w:t>
            </w:r>
          </w:p>
        </w:tc>
        <w:tc>
          <w:tcPr>
            <w:tcW w:w="729" w:type="dxa"/>
          </w:tcPr>
          <w:p w14:paraId="2669989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3.33</w:t>
            </w:r>
          </w:p>
        </w:tc>
        <w:tc>
          <w:tcPr>
            <w:tcW w:w="782" w:type="dxa"/>
          </w:tcPr>
          <w:p w14:paraId="3C0F9E0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2.50</w:t>
            </w:r>
          </w:p>
        </w:tc>
        <w:tc>
          <w:tcPr>
            <w:tcW w:w="789" w:type="dxa"/>
          </w:tcPr>
          <w:p w14:paraId="3E2DCC0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r>
    </w:tbl>
    <w:p w14:paraId="5886511D" w14:textId="77777777" w:rsidR="003E78AB" w:rsidRDefault="00010BF9">
      <w:pPr>
        <w:spacing w:line="240" w:lineRule="auto"/>
        <w:ind w:firstLineChars="0" w:firstLine="0"/>
        <w:rPr>
          <w:b/>
          <w:bCs/>
          <w:kern w:val="28"/>
          <w:sz w:val="21"/>
          <w:u w:val="single"/>
        </w:rPr>
      </w:pPr>
      <w:r>
        <w:rPr>
          <w:b/>
          <w:bCs/>
          <w:kern w:val="28"/>
          <w:sz w:val="21"/>
          <w:u w:val="single"/>
        </w:rPr>
        <w:br w:type="page"/>
      </w:r>
    </w:p>
    <w:p w14:paraId="33E29E2D" w14:textId="77777777" w:rsidR="003E78AB" w:rsidRDefault="00010BF9">
      <w:pPr>
        <w:pStyle w:val="a4"/>
        <w:spacing w:before="120"/>
        <w:ind w:left="425" w:hanging="425"/>
        <w:jc w:val="right"/>
        <w:rPr>
          <w:b/>
          <w:bCs/>
          <w:u w:val="single"/>
        </w:rPr>
      </w:pPr>
      <w:bookmarkStart w:id="363" w:name="_Ref29240"/>
      <w:r>
        <w:rPr>
          <w:b/>
          <w:bCs/>
          <w:u w:val="single"/>
        </w:rPr>
        <w:t>哈密市</w:t>
      </w:r>
      <w:r>
        <w:rPr>
          <w:b/>
          <w:bCs/>
          <w:u w:val="single"/>
        </w:rPr>
        <w:t>2023</w:t>
      </w:r>
      <w:r>
        <w:rPr>
          <w:b/>
          <w:bCs/>
          <w:u w:val="single"/>
        </w:rPr>
        <w:t>年各月、季及全年风速频率表</w:t>
      </w:r>
      <w:r>
        <w:rPr>
          <w:rFonts w:hint="eastAsia"/>
          <w:b/>
          <w:bCs/>
          <w:u w:val="single"/>
        </w:rPr>
        <w:t xml:space="preserve">                    </w:t>
      </w:r>
      <w:r>
        <w:rPr>
          <w:rFonts w:hint="eastAsia"/>
          <w:b/>
          <w:bCs/>
          <w:u w:val="single"/>
        </w:rPr>
        <w:t>单位：</w:t>
      </w:r>
      <w:r>
        <w:rPr>
          <w:b/>
          <w:bCs/>
          <w:u w:val="single"/>
        </w:rPr>
        <w:t>m/s</w:t>
      </w:r>
      <w:bookmarkEnd w:id="363"/>
    </w:p>
    <w:tbl>
      <w:tblPr>
        <w:tblStyle w:val="afe"/>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782"/>
        <w:gridCol w:w="782"/>
        <w:gridCol w:w="782"/>
        <w:gridCol w:w="782"/>
        <w:gridCol w:w="782"/>
        <w:gridCol w:w="782"/>
        <w:gridCol w:w="782"/>
        <w:gridCol w:w="782"/>
        <w:gridCol w:w="782"/>
        <w:gridCol w:w="782"/>
        <w:gridCol w:w="782"/>
        <w:gridCol w:w="782"/>
        <w:gridCol w:w="782"/>
        <w:gridCol w:w="852"/>
        <w:gridCol w:w="712"/>
        <w:gridCol w:w="782"/>
        <w:gridCol w:w="789"/>
      </w:tblGrid>
      <w:tr w:rsidR="003E78AB" w14:paraId="55442EEF" w14:textId="77777777">
        <w:trPr>
          <w:trHeight w:val="369"/>
        </w:trPr>
        <w:tc>
          <w:tcPr>
            <w:tcW w:w="874" w:type="dxa"/>
          </w:tcPr>
          <w:p w14:paraId="17DAF99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月份</w:t>
            </w:r>
          </w:p>
        </w:tc>
        <w:tc>
          <w:tcPr>
            <w:tcW w:w="782" w:type="dxa"/>
          </w:tcPr>
          <w:p w14:paraId="46A6F10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w:t>
            </w:r>
          </w:p>
        </w:tc>
        <w:tc>
          <w:tcPr>
            <w:tcW w:w="782" w:type="dxa"/>
          </w:tcPr>
          <w:p w14:paraId="0D78553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NNE</w:t>
            </w:r>
          </w:p>
        </w:tc>
        <w:tc>
          <w:tcPr>
            <w:tcW w:w="782" w:type="dxa"/>
          </w:tcPr>
          <w:p w14:paraId="5C6A962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NE</w:t>
            </w:r>
          </w:p>
        </w:tc>
        <w:tc>
          <w:tcPr>
            <w:tcW w:w="782" w:type="dxa"/>
          </w:tcPr>
          <w:p w14:paraId="000FD26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ENE</w:t>
            </w:r>
          </w:p>
        </w:tc>
        <w:tc>
          <w:tcPr>
            <w:tcW w:w="782" w:type="dxa"/>
          </w:tcPr>
          <w:p w14:paraId="7A06962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w:t>
            </w:r>
          </w:p>
        </w:tc>
        <w:tc>
          <w:tcPr>
            <w:tcW w:w="782" w:type="dxa"/>
          </w:tcPr>
          <w:p w14:paraId="69BB118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ESE</w:t>
            </w:r>
          </w:p>
        </w:tc>
        <w:tc>
          <w:tcPr>
            <w:tcW w:w="782" w:type="dxa"/>
          </w:tcPr>
          <w:p w14:paraId="489BB0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SE</w:t>
            </w:r>
          </w:p>
        </w:tc>
        <w:tc>
          <w:tcPr>
            <w:tcW w:w="782" w:type="dxa"/>
          </w:tcPr>
          <w:p w14:paraId="17DB472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SSE</w:t>
            </w:r>
          </w:p>
        </w:tc>
        <w:tc>
          <w:tcPr>
            <w:tcW w:w="782" w:type="dxa"/>
          </w:tcPr>
          <w:p w14:paraId="524554F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w:t>
            </w:r>
          </w:p>
        </w:tc>
        <w:tc>
          <w:tcPr>
            <w:tcW w:w="782" w:type="dxa"/>
          </w:tcPr>
          <w:p w14:paraId="48DA8C7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SSW</w:t>
            </w:r>
          </w:p>
        </w:tc>
        <w:tc>
          <w:tcPr>
            <w:tcW w:w="782" w:type="dxa"/>
          </w:tcPr>
          <w:p w14:paraId="034B4BD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SW</w:t>
            </w:r>
          </w:p>
        </w:tc>
        <w:tc>
          <w:tcPr>
            <w:tcW w:w="782" w:type="dxa"/>
          </w:tcPr>
          <w:p w14:paraId="7AA8F05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WSW</w:t>
            </w:r>
          </w:p>
        </w:tc>
        <w:tc>
          <w:tcPr>
            <w:tcW w:w="782" w:type="dxa"/>
          </w:tcPr>
          <w:p w14:paraId="3E19EC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w:t>
            </w:r>
          </w:p>
        </w:tc>
        <w:tc>
          <w:tcPr>
            <w:tcW w:w="852" w:type="dxa"/>
          </w:tcPr>
          <w:p w14:paraId="038AAED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WNW</w:t>
            </w:r>
          </w:p>
        </w:tc>
        <w:tc>
          <w:tcPr>
            <w:tcW w:w="712" w:type="dxa"/>
          </w:tcPr>
          <w:p w14:paraId="7A61834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NW</w:t>
            </w:r>
          </w:p>
        </w:tc>
        <w:tc>
          <w:tcPr>
            <w:tcW w:w="782" w:type="dxa"/>
          </w:tcPr>
          <w:p w14:paraId="09F5541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NNW</w:t>
            </w:r>
          </w:p>
        </w:tc>
        <w:tc>
          <w:tcPr>
            <w:tcW w:w="789" w:type="dxa"/>
          </w:tcPr>
          <w:p w14:paraId="23A6E8F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C</w:t>
            </w:r>
          </w:p>
        </w:tc>
      </w:tr>
      <w:tr w:rsidR="003E78AB" w14:paraId="710B796C" w14:textId="77777777">
        <w:trPr>
          <w:trHeight w:val="369"/>
        </w:trPr>
        <w:tc>
          <w:tcPr>
            <w:tcW w:w="874" w:type="dxa"/>
          </w:tcPr>
          <w:p w14:paraId="33C9738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一月</w:t>
            </w:r>
          </w:p>
        </w:tc>
        <w:tc>
          <w:tcPr>
            <w:tcW w:w="782" w:type="dxa"/>
          </w:tcPr>
          <w:p w14:paraId="52628AD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297530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1.31</w:t>
            </w:r>
          </w:p>
        </w:tc>
        <w:tc>
          <w:tcPr>
            <w:tcW w:w="782" w:type="dxa"/>
          </w:tcPr>
          <w:p w14:paraId="0FDDE20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c>
          <w:tcPr>
            <w:tcW w:w="782" w:type="dxa"/>
          </w:tcPr>
          <w:p w14:paraId="4E34A07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53FD26C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1.55</w:t>
            </w:r>
          </w:p>
        </w:tc>
        <w:tc>
          <w:tcPr>
            <w:tcW w:w="782" w:type="dxa"/>
          </w:tcPr>
          <w:p w14:paraId="31C6BFC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1.60</w:t>
            </w:r>
          </w:p>
        </w:tc>
        <w:tc>
          <w:tcPr>
            <w:tcW w:w="782" w:type="dxa"/>
          </w:tcPr>
          <w:p w14:paraId="30B7C9F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1.63</w:t>
            </w:r>
          </w:p>
        </w:tc>
        <w:tc>
          <w:tcPr>
            <w:tcW w:w="782" w:type="dxa"/>
          </w:tcPr>
          <w:p w14:paraId="15CC346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1.44</w:t>
            </w:r>
          </w:p>
        </w:tc>
        <w:tc>
          <w:tcPr>
            <w:tcW w:w="782" w:type="dxa"/>
          </w:tcPr>
          <w:p w14:paraId="5602BF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1.38</w:t>
            </w:r>
          </w:p>
        </w:tc>
        <w:tc>
          <w:tcPr>
            <w:tcW w:w="782" w:type="dxa"/>
          </w:tcPr>
          <w:p w14:paraId="4278EC1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1.45</w:t>
            </w:r>
          </w:p>
        </w:tc>
        <w:tc>
          <w:tcPr>
            <w:tcW w:w="782" w:type="dxa"/>
          </w:tcPr>
          <w:p w14:paraId="3406D5E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0547B4D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82" w:type="dxa"/>
          </w:tcPr>
          <w:p w14:paraId="2AF1540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1.64</w:t>
            </w:r>
          </w:p>
        </w:tc>
        <w:tc>
          <w:tcPr>
            <w:tcW w:w="852" w:type="dxa"/>
          </w:tcPr>
          <w:p w14:paraId="0730712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12" w:type="dxa"/>
          </w:tcPr>
          <w:p w14:paraId="6872716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1.59</w:t>
            </w:r>
          </w:p>
        </w:tc>
        <w:tc>
          <w:tcPr>
            <w:tcW w:w="782" w:type="dxa"/>
          </w:tcPr>
          <w:p w14:paraId="0975AD7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1.44</w:t>
            </w:r>
          </w:p>
        </w:tc>
        <w:tc>
          <w:tcPr>
            <w:tcW w:w="789" w:type="dxa"/>
          </w:tcPr>
          <w:p w14:paraId="028CDD1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r>
      <w:tr w:rsidR="003E78AB" w14:paraId="46B62720" w14:textId="77777777">
        <w:trPr>
          <w:trHeight w:val="369"/>
        </w:trPr>
        <w:tc>
          <w:tcPr>
            <w:tcW w:w="874" w:type="dxa"/>
          </w:tcPr>
          <w:p w14:paraId="603E26E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二月</w:t>
            </w:r>
          </w:p>
        </w:tc>
        <w:tc>
          <w:tcPr>
            <w:tcW w:w="782" w:type="dxa"/>
          </w:tcPr>
          <w:p w14:paraId="4B67A12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619ED75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782" w:type="dxa"/>
          </w:tcPr>
          <w:p w14:paraId="25B92EC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1.51</w:t>
            </w:r>
          </w:p>
        </w:tc>
        <w:tc>
          <w:tcPr>
            <w:tcW w:w="782" w:type="dxa"/>
          </w:tcPr>
          <w:p w14:paraId="4C455FC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1.32</w:t>
            </w:r>
          </w:p>
        </w:tc>
        <w:tc>
          <w:tcPr>
            <w:tcW w:w="782" w:type="dxa"/>
          </w:tcPr>
          <w:p w14:paraId="1C77AE4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3664DB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1.64</w:t>
            </w:r>
          </w:p>
        </w:tc>
        <w:tc>
          <w:tcPr>
            <w:tcW w:w="782" w:type="dxa"/>
          </w:tcPr>
          <w:p w14:paraId="564434A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82" w:type="dxa"/>
          </w:tcPr>
          <w:p w14:paraId="11A3DA8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2" w:type="dxa"/>
          </w:tcPr>
          <w:p w14:paraId="560274C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1.19</w:t>
            </w:r>
          </w:p>
        </w:tc>
        <w:tc>
          <w:tcPr>
            <w:tcW w:w="782" w:type="dxa"/>
          </w:tcPr>
          <w:p w14:paraId="374708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w:t>
            </w:r>
          </w:p>
        </w:tc>
        <w:tc>
          <w:tcPr>
            <w:tcW w:w="782" w:type="dxa"/>
          </w:tcPr>
          <w:p w14:paraId="3B1A38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1.25</w:t>
            </w:r>
          </w:p>
        </w:tc>
        <w:tc>
          <w:tcPr>
            <w:tcW w:w="782" w:type="dxa"/>
          </w:tcPr>
          <w:p w14:paraId="7805B57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2" w:type="dxa"/>
          </w:tcPr>
          <w:p w14:paraId="0E0F248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1.60</w:t>
            </w:r>
          </w:p>
        </w:tc>
        <w:tc>
          <w:tcPr>
            <w:tcW w:w="852" w:type="dxa"/>
          </w:tcPr>
          <w:p w14:paraId="75F9B6A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1.53</w:t>
            </w:r>
          </w:p>
        </w:tc>
        <w:tc>
          <w:tcPr>
            <w:tcW w:w="712" w:type="dxa"/>
          </w:tcPr>
          <w:p w14:paraId="07E0C3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1.54</w:t>
            </w:r>
          </w:p>
        </w:tc>
        <w:tc>
          <w:tcPr>
            <w:tcW w:w="782" w:type="dxa"/>
          </w:tcPr>
          <w:p w14:paraId="54A9199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1.31</w:t>
            </w:r>
          </w:p>
        </w:tc>
        <w:tc>
          <w:tcPr>
            <w:tcW w:w="789" w:type="dxa"/>
          </w:tcPr>
          <w:p w14:paraId="7648176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r>
      <w:tr w:rsidR="003E78AB" w14:paraId="134F3D9E" w14:textId="77777777">
        <w:trPr>
          <w:trHeight w:val="369"/>
        </w:trPr>
        <w:tc>
          <w:tcPr>
            <w:tcW w:w="874" w:type="dxa"/>
          </w:tcPr>
          <w:p w14:paraId="5507E1B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三月</w:t>
            </w:r>
          </w:p>
        </w:tc>
        <w:tc>
          <w:tcPr>
            <w:tcW w:w="782" w:type="dxa"/>
          </w:tcPr>
          <w:p w14:paraId="2A6A592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4CEB382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1.83</w:t>
            </w:r>
          </w:p>
        </w:tc>
        <w:tc>
          <w:tcPr>
            <w:tcW w:w="782" w:type="dxa"/>
          </w:tcPr>
          <w:p w14:paraId="76D6548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2.82</w:t>
            </w:r>
          </w:p>
        </w:tc>
        <w:tc>
          <w:tcPr>
            <w:tcW w:w="782" w:type="dxa"/>
          </w:tcPr>
          <w:p w14:paraId="1776DFB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2.13</w:t>
            </w:r>
          </w:p>
        </w:tc>
        <w:tc>
          <w:tcPr>
            <w:tcW w:w="782" w:type="dxa"/>
          </w:tcPr>
          <w:p w14:paraId="467173B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2.19</w:t>
            </w:r>
          </w:p>
        </w:tc>
        <w:tc>
          <w:tcPr>
            <w:tcW w:w="782" w:type="dxa"/>
          </w:tcPr>
          <w:p w14:paraId="0971974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2.44</w:t>
            </w:r>
          </w:p>
        </w:tc>
        <w:tc>
          <w:tcPr>
            <w:tcW w:w="782" w:type="dxa"/>
          </w:tcPr>
          <w:p w14:paraId="65C4C65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2.24</w:t>
            </w:r>
          </w:p>
        </w:tc>
        <w:tc>
          <w:tcPr>
            <w:tcW w:w="782" w:type="dxa"/>
          </w:tcPr>
          <w:p w14:paraId="48FB0CF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1.74</w:t>
            </w:r>
          </w:p>
        </w:tc>
        <w:tc>
          <w:tcPr>
            <w:tcW w:w="782" w:type="dxa"/>
          </w:tcPr>
          <w:p w14:paraId="622D537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1.53</w:t>
            </w:r>
          </w:p>
        </w:tc>
        <w:tc>
          <w:tcPr>
            <w:tcW w:w="782" w:type="dxa"/>
          </w:tcPr>
          <w:p w14:paraId="7FE8FAF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1.62</w:t>
            </w:r>
          </w:p>
        </w:tc>
        <w:tc>
          <w:tcPr>
            <w:tcW w:w="782" w:type="dxa"/>
          </w:tcPr>
          <w:p w14:paraId="27F0A8A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2.02</w:t>
            </w:r>
          </w:p>
        </w:tc>
        <w:tc>
          <w:tcPr>
            <w:tcW w:w="782" w:type="dxa"/>
          </w:tcPr>
          <w:p w14:paraId="5683D1A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1.66</w:t>
            </w:r>
          </w:p>
        </w:tc>
        <w:tc>
          <w:tcPr>
            <w:tcW w:w="782" w:type="dxa"/>
          </w:tcPr>
          <w:p w14:paraId="1A10027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2.05</w:t>
            </w:r>
          </w:p>
        </w:tc>
        <w:tc>
          <w:tcPr>
            <w:tcW w:w="852" w:type="dxa"/>
          </w:tcPr>
          <w:p w14:paraId="733A50A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2.24</w:t>
            </w:r>
          </w:p>
        </w:tc>
        <w:tc>
          <w:tcPr>
            <w:tcW w:w="712" w:type="dxa"/>
          </w:tcPr>
          <w:p w14:paraId="1F364D2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1.86</w:t>
            </w:r>
          </w:p>
        </w:tc>
        <w:tc>
          <w:tcPr>
            <w:tcW w:w="782" w:type="dxa"/>
          </w:tcPr>
          <w:p w14:paraId="013A83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1.54</w:t>
            </w:r>
          </w:p>
        </w:tc>
        <w:tc>
          <w:tcPr>
            <w:tcW w:w="789" w:type="dxa"/>
          </w:tcPr>
          <w:p w14:paraId="3CC6023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2.16</w:t>
            </w:r>
          </w:p>
        </w:tc>
      </w:tr>
      <w:tr w:rsidR="003E78AB" w14:paraId="3C121C0B" w14:textId="77777777">
        <w:trPr>
          <w:trHeight w:val="369"/>
        </w:trPr>
        <w:tc>
          <w:tcPr>
            <w:tcW w:w="874" w:type="dxa"/>
          </w:tcPr>
          <w:p w14:paraId="61FB823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四月</w:t>
            </w:r>
          </w:p>
        </w:tc>
        <w:tc>
          <w:tcPr>
            <w:tcW w:w="782" w:type="dxa"/>
          </w:tcPr>
          <w:p w14:paraId="08BFF53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1.78</w:t>
            </w:r>
          </w:p>
        </w:tc>
        <w:tc>
          <w:tcPr>
            <w:tcW w:w="782" w:type="dxa"/>
          </w:tcPr>
          <w:p w14:paraId="472FFCE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2.19</w:t>
            </w:r>
          </w:p>
        </w:tc>
        <w:tc>
          <w:tcPr>
            <w:tcW w:w="782" w:type="dxa"/>
          </w:tcPr>
          <w:p w14:paraId="1705F84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2.40</w:t>
            </w:r>
          </w:p>
        </w:tc>
        <w:tc>
          <w:tcPr>
            <w:tcW w:w="782" w:type="dxa"/>
          </w:tcPr>
          <w:p w14:paraId="5B132EE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2.33</w:t>
            </w:r>
          </w:p>
        </w:tc>
        <w:tc>
          <w:tcPr>
            <w:tcW w:w="782" w:type="dxa"/>
          </w:tcPr>
          <w:p w14:paraId="09FC70E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2.42</w:t>
            </w:r>
          </w:p>
        </w:tc>
        <w:tc>
          <w:tcPr>
            <w:tcW w:w="782" w:type="dxa"/>
          </w:tcPr>
          <w:p w14:paraId="3484EF5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2.63</w:t>
            </w:r>
          </w:p>
        </w:tc>
        <w:tc>
          <w:tcPr>
            <w:tcW w:w="782" w:type="dxa"/>
          </w:tcPr>
          <w:p w14:paraId="6ADFB69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2.26</w:t>
            </w:r>
          </w:p>
        </w:tc>
        <w:tc>
          <w:tcPr>
            <w:tcW w:w="782" w:type="dxa"/>
          </w:tcPr>
          <w:p w14:paraId="236DEA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1.91</w:t>
            </w:r>
          </w:p>
        </w:tc>
        <w:tc>
          <w:tcPr>
            <w:tcW w:w="782" w:type="dxa"/>
          </w:tcPr>
          <w:p w14:paraId="4ADA2EA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1.98</w:t>
            </w:r>
          </w:p>
        </w:tc>
        <w:tc>
          <w:tcPr>
            <w:tcW w:w="782" w:type="dxa"/>
          </w:tcPr>
          <w:p w14:paraId="2F3BE0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2.19</w:t>
            </w:r>
          </w:p>
        </w:tc>
        <w:tc>
          <w:tcPr>
            <w:tcW w:w="782" w:type="dxa"/>
          </w:tcPr>
          <w:p w14:paraId="2731E44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1.88</w:t>
            </w:r>
          </w:p>
        </w:tc>
        <w:tc>
          <w:tcPr>
            <w:tcW w:w="782" w:type="dxa"/>
          </w:tcPr>
          <w:p w14:paraId="400E75D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2.17</w:t>
            </w:r>
          </w:p>
        </w:tc>
        <w:tc>
          <w:tcPr>
            <w:tcW w:w="782" w:type="dxa"/>
          </w:tcPr>
          <w:p w14:paraId="05CCA0D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2.48</w:t>
            </w:r>
          </w:p>
        </w:tc>
        <w:tc>
          <w:tcPr>
            <w:tcW w:w="852" w:type="dxa"/>
          </w:tcPr>
          <w:p w14:paraId="16430D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1.91</w:t>
            </w:r>
          </w:p>
        </w:tc>
        <w:tc>
          <w:tcPr>
            <w:tcW w:w="712" w:type="dxa"/>
          </w:tcPr>
          <w:p w14:paraId="2573810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1.71</w:t>
            </w:r>
          </w:p>
        </w:tc>
        <w:tc>
          <w:tcPr>
            <w:tcW w:w="782" w:type="dxa"/>
          </w:tcPr>
          <w:p w14:paraId="5B2AA4B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1.86</w:t>
            </w:r>
          </w:p>
        </w:tc>
        <w:tc>
          <w:tcPr>
            <w:tcW w:w="789" w:type="dxa"/>
          </w:tcPr>
          <w:p w14:paraId="0DFCF36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2.24</w:t>
            </w:r>
          </w:p>
        </w:tc>
      </w:tr>
      <w:tr w:rsidR="003E78AB" w14:paraId="07434CF3" w14:textId="77777777">
        <w:trPr>
          <w:trHeight w:val="369"/>
        </w:trPr>
        <w:tc>
          <w:tcPr>
            <w:tcW w:w="874" w:type="dxa"/>
          </w:tcPr>
          <w:p w14:paraId="1DCAAE3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五月</w:t>
            </w:r>
          </w:p>
        </w:tc>
        <w:tc>
          <w:tcPr>
            <w:tcW w:w="782" w:type="dxa"/>
          </w:tcPr>
          <w:p w14:paraId="038AFE4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2.02</w:t>
            </w:r>
          </w:p>
        </w:tc>
        <w:tc>
          <w:tcPr>
            <w:tcW w:w="782" w:type="dxa"/>
          </w:tcPr>
          <w:p w14:paraId="0649B2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2.26</w:t>
            </w:r>
          </w:p>
        </w:tc>
        <w:tc>
          <w:tcPr>
            <w:tcW w:w="782" w:type="dxa"/>
          </w:tcPr>
          <w:p w14:paraId="544DCD4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2.59</w:t>
            </w:r>
          </w:p>
        </w:tc>
        <w:tc>
          <w:tcPr>
            <w:tcW w:w="782" w:type="dxa"/>
          </w:tcPr>
          <w:p w14:paraId="47C89E3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82" w:type="dxa"/>
          </w:tcPr>
          <w:p w14:paraId="766A8F2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1.65</w:t>
            </w:r>
          </w:p>
        </w:tc>
        <w:tc>
          <w:tcPr>
            <w:tcW w:w="782" w:type="dxa"/>
          </w:tcPr>
          <w:p w14:paraId="7101B51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1.57</w:t>
            </w:r>
          </w:p>
        </w:tc>
        <w:tc>
          <w:tcPr>
            <w:tcW w:w="782" w:type="dxa"/>
          </w:tcPr>
          <w:p w14:paraId="698CED9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1.32</w:t>
            </w:r>
          </w:p>
        </w:tc>
        <w:tc>
          <w:tcPr>
            <w:tcW w:w="782" w:type="dxa"/>
          </w:tcPr>
          <w:p w14:paraId="5E82FF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629025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1.13</w:t>
            </w:r>
          </w:p>
        </w:tc>
        <w:tc>
          <w:tcPr>
            <w:tcW w:w="782" w:type="dxa"/>
          </w:tcPr>
          <w:p w14:paraId="4EEDC1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1.54</w:t>
            </w:r>
          </w:p>
        </w:tc>
        <w:tc>
          <w:tcPr>
            <w:tcW w:w="782" w:type="dxa"/>
          </w:tcPr>
          <w:p w14:paraId="12347D0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c>
          <w:tcPr>
            <w:tcW w:w="782" w:type="dxa"/>
          </w:tcPr>
          <w:p w14:paraId="02AC71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2.13</w:t>
            </w:r>
          </w:p>
        </w:tc>
        <w:tc>
          <w:tcPr>
            <w:tcW w:w="782" w:type="dxa"/>
          </w:tcPr>
          <w:p w14:paraId="2C7D73D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2.57</w:t>
            </w:r>
          </w:p>
        </w:tc>
        <w:tc>
          <w:tcPr>
            <w:tcW w:w="852" w:type="dxa"/>
          </w:tcPr>
          <w:p w14:paraId="63D263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2.20</w:t>
            </w:r>
          </w:p>
        </w:tc>
        <w:tc>
          <w:tcPr>
            <w:tcW w:w="712" w:type="dxa"/>
          </w:tcPr>
          <w:p w14:paraId="193136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2.14</w:t>
            </w:r>
          </w:p>
        </w:tc>
        <w:tc>
          <w:tcPr>
            <w:tcW w:w="782" w:type="dxa"/>
          </w:tcPr>
          <w:p w14:paraId="0FF5C39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1.67</w:t>
            </w:r>
          </w:p>
        </w:tc>
        <w:tc>
          <w:tcPr>
            <w:tcW w:w="789" w:type="dxa"/>
          </w:tcPr>
          <w:p w14:paraId="625C3AA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1.86</w:t>
            </w:r>
          </w:p>
        </w:tc>
      </w:tr>
      <w:tr w:rsidR="003E78AB" w14:paraId="02D3857C" w14:textId="77777777">
        <w:trPr>
          <w:trHeight w:val="369"/>
        </w:trPr>
        <w:tc>
          <w:tcPr>
            <w:tcW w:w="874" w:type="dxa"/>
          </w:tcPr>
          <w:p w14:paraId="3BEBBA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六月</w:t>
            </w:r>
          </w:p>
        </w:tc>
        <w:tc>
          <w:tcPr>
            <w:tcW w:w="782" w:type="dxa"/>
          </w:tcPr>
          <w:p w14:paraId="5D6A30F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1.23</w:t>
            </w:r>
          </w:p>
        </w:tc>
        <w:tc>
          <w:tcPr>
            <w:tcW w:w="782" w:type="dxa"/>
          </w:tcPr>
          <w:p w14:paraId="4DE5ACE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1.64</w:t>
            </w:r>
          </w:p>
        </w:tc>
        <w:tc>
          <w:tcPr>
            <w:tcW w:w="782" w:type="dxa"/>
          </w:tcPr>
          <w:p w14:paraId="7F26073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2.65</w:t>
            </w:r>
          </w:p>
        </w:tc>
        <w:tc>
          <w:tcPr>
            <w:tcW w:w="782" w:type="dxa"/>
          </w:tcPr>
          <w:p w14:paraId="70EF636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1.80</w:t>
            </w:r>
          </w:p>
        </w:tc>
        <w:tc>
          <w:tcPr>
            <w:tcW w:w="782" w:type="dxa"/>
          </w:tcPr>
          <w:p w14:paraId="2AC6517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c>
          <w:tcPr>
            <w:tcW w:w="782" w:type="dxa"/>
          </w:tcPr>
          <w:p w14:paraId="152F5E3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1.13</w:t>
            </w:r>
          </w:p>
        </w:tc>
        <w:tc>
          <w:tcPr>
            <w:tcW w:w="782" w:type="dxa"/>
          </w:tcPr>
          <w:p w14:paraId="553DB7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1.15</w:t>
            </w:r>
          </w:p>
        </w:tc>
        <w:tc>
          <w:tcPr>
            <w:tcW w:w="782" w:type="dxa"/>
          </w:tcPr>
          <w:p w14:paraId="3BC5BA1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2" w:type="dxa"/>
          </w:tcPr>
          <w:p w14:paraId="2B7FF62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1.26</w:t>
            </w:r>
          </w:p>
        </w:tc>
        <w:tc>
          <w:tcPr>
            <w:tcW w:w="782" w:type="dxa"/>
          </w:tcPr>
          <w:p w14:paraId="6712A65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5184E4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72485E9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1.58</w:t>
            </w:r>
          </w:p>
        </w:tc>
        <w:tc>
          <w:tcPr>
            <w:tcW w:w="782" w:type="dxa"/>
          </w:tcPr>
          <w:p w14:paraId="5D625DB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1.48</w:t>
            </w:r>
          </w:p>
        </w:tc>
        <w:tc>
          <w:tcPr>
            <w:tcW w:w="852" w:type="dxa"/>
          </w:tcPr>
          <w:p w14:paraId="21B2F83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1.65</w:t>
            </w:r>
          </w:p>
        </w:tc>
        <w:tc>
          <w:tcPr>
            <w:tcW w:w="712" w:type="dxa"/>
          </w:tcPr>
          <w:p w14:paraId="69E87C8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1.89</w:t>
            </w:r>
          </w:p>
        </w:tc>
        <w:tc>
          <w:tcPr>
            <w:tcW w:w="782" w:type="dxa"/>
          </w:tcPr>
          <w:p w14:paraId="16FDB2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2.18</w:t>
            </w:r>
          </w:p>
        </w:tc>
        <w:tc>
          <w:tcPr>
            <w:tcW w:w="789" w:type="dxa"/>
          </w:tcPr>
          <w:p w14:paraId="1DB34E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1.66</w:t>
            </w:r>
          </w:p>
        </w:tc>
      </w:tr>
      <w:tr w:rsidR="003E78AB" w14:paraId="11692EE5" w14:textId="77777777">
        <w:trPr>
          <w:trHeight w:val="369"/>
        </w:trPr>
        <w:tc>
          <w:tcPr>
            <w:tcW w:w="874" w:type="dxa"/>
          </w:tcPr>
          <w:p w14:paraId="07B4A5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七月</w:t>
            </w:r>
          </w:p>
        </w:tc>
        <w:tc>
          <w:tcPr>
            <w:tcW w:w="782" w:type="dxa"/>
          </w:tcPr>
          <w:p w14:paraId="3830074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1.61</w:t>
            </w:r>
          </w:p>
        </w:tc>
        <w:tc>
          <w:tcPr>
            <w:tcW w:w="782" w:type="dxa"/>
          </w:tcPr>
          <w:p w14:paraId="2595392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w:t>
            </w:r>
          </w:p>
        </w:tc>
        <w:tc>
          <w:tcPr>
            <w:tcW w:w="782" w:type="dxa"/>
          </w:tcPr>
          <w:p w14:paraId="68BD96E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1.59</w:t>
            </w:r>
          </w:p>
        </w:tc>
        <w:tc>
          <w:tcPr>
            <w:tcW w:w="782" w:type="dxa"/>
          </w:tcPr>
          <w:p w14:paraId="4C54108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w:t>
            </w:r>
          </w:p>
        </w:tc>
        <w:tc>
          <w:tcPr>
            <w:tcW w:w="782" w:type="dxa"/>
          </w:tcPr>
          <w:p w14:paraId="500B3D1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2" w:type="dxa"/>
          </w:tcPr>
          <w:p w14:paraId="5A32CB8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1.42</w:t>
            </w:r>
          </w:p>
        </w:tc>
        <w:tc>
          <w:tcPr>
            <w:tcW w:w="782" w:type="dxa"/>
          </w:tcPr>
          <w:p w14:paraId="69B7F5A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0.98</w:t>
            </w:r>
          </w:p>
        </w:tc>
        <w:tc>
          <w:tcPr>
            <w:tcW w:w="782" w:type="dxa"/>
          </w:tcPr>
          <w:p w14:paraId="515702A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w:t>
            </w:r>
          </w:p>
        </w:tc>
        <w:tc>
          <w:tcPr>
            <w:tcW w:w="782" w:type="dxa"/>
          </w:tcPr>
          <w:p w14:paraId="120E4A8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1.24</w:t>
            </w:r>
          </w:p>
        </w:tc>
        <w:tc>
          <w:tcPr>
            <w:tcW w:w="782" w:type="dxa"/>
          </w:tcPr>
          <w:p w14:paraId="494D6F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1.16</w:t>
            </w:r>
          </w:p>
        </w:tc>
        <w:tc>
          <w:tcPr>
            <w:tcW w:w="782" w:type="dxa"/>
          </w:tcPr>
          <w:p w14:paraId="3AAC78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1.19</w:t>
            </w:r>
          </w:p>
        </w:tc>
        <w:tc>
          <w:tcPr>
            <w:tcW w:w="782" w:type="dxa"/>
          </w:tcPr>
          <w:p w14:paraId="0588BC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1.44</w:t>
            </w:r>
          </w:p>
        </w:tc>
        <w:tc>
          <w:tcPr>
            <w:tcW w:w="782" w:type="dxa"/>
          </w:tcPr>
          <w:p w14:paraId="69B1EE9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1.42</w:t>
            </w:r>
          </w:p>
        </w:tc>
        <w:tc>
          <w:tcPr>
            <w:tcW w:w="852" w:type="dxa"/>
          </w:tcPr>
          <w:p w14:paraId="6A1B629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1.49</w:t>
            </w:r>
          </w:p>
        </w:tc>
        <w:tc>
          <w:tcPr>
            <w:tcW w:w="712" w:type="dxa"/>
          </w:tcPr>
          <w:p w14:paraId="37A1E9C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1.63</w:t>
            </w:r>
          </w:p>
        </w:tc>
        <w:tc>
          <w:tcPr>
            <w:tcW w:w="782" w:type="dxa"/>
          </w:tcPr>
          <w:p w14:paraId="5991AC7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1.85</w:t>
            </w:r>
          </w:p>
        </w:tc>
        <w:tc>
          <w:tcPr>
            <w:tcW w:w="789" w:type="dxa"/>
          </w:tcPr>
          <w:p w14:paraId="4491334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1.31</w:t>
            </w:r>
          </w:p>
        </w:tc>
      </w:tr>
      <w:tr w:rsidR="003E78AB" w14:paraId="59979767" w14:textId="77777777">
        <w:trPr>
          <w:trHeight w:val="369"/>
        </w:trPr>
        <w:tc>
          <w:tcPr>
            <w:tcW w:w="874" w:type="dxa"/>
          </w:tcPr>
          <w:p w14:paraId="0B38C39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八月</w:t>
            </w:r>
          </w:p>
        </w:tc>
        <w:tc>
          <w:tcPr>
            <w:tcW w:w="782" w:type="dxa"/>
          </w:tcPr>
          <w:p w14:paraId="1BB4146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c>
          <w:tcPr>
            <w:tcW w:w="782" w:type="dxa"/>
          </w:tcPr>
          <w:p w14:paraId="667F951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1.20</w:t>
            </w:r>
          </w:p>
        </w:tc>
        <w:tc>
          <w:tcPr>
            <w:tcW w:w="782" w:type="dxa"/>
          </w:tcPr>
          <w:p w14:paraId="4788C11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1.47</w:t>
            </w:r>
          </w:p>
        </w:tc>
        <w:tc>
          <w:tcPr>
            <w:tcW w:w="782" w:type="dxa"/>
          </w:tcPr>
          <w:p w14:paraId="64639E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1.47</w:t>
            </w:r>
          </w:p>
        </w:tc>
        <w:tc>
          <w:tcPr>
            <w:tcW w:w="782" w:type="dxa"/>
          </w:tcPr>
          <w:p w14:paraId="5CB9732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1.82</w:t>
            </w:r>
          </w:p>
        </w:tc>
        <w:tc>
          <w:tcPr>
            <w:tcW w:w="782" w:type="dxa"/>
          </w:tcPr>
          <w:p w14:paraId="5184855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2.37</w:t>
            </w:r>
          </w:p>
        </w:tc>
        <w:tc>
          <w:tcPr>
            <w:tcW w:w="782" w:type="dxa"/>
          </w:tcPr>
          <w:p w14:paraId="63FBA44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w:t>
            </w:r>
          </w:p>
        </w:tc>
        <w:tc>
          <w:tcPr>
            <w:tcW w:w="782" w:type="dxa"/>
          </w:tcPr>
          <w:p w14:paraId="47DA43E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1.26</w:t>
            </w:r>
          </w:p>
        </w:tc>
        <w:tc>
          <w:tcPr>
            <w:tcW w:w="782" w:type="dxa"/>
          </w:tcPr>
          <w:p w14:paraId="1B6C0EC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1.02</w:t>
            </w:r>
          </w:p>
        </w:tc>
        <w:tc>
          <w:tcPr>
            <w:tcW w:w="782" w:type="dxa"/>
          </w:tcPr>
          <w:p w14:paraId="1B7E8BB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1.16</w:t>
            </w:r>
          </w:p>
        </w:tc>
        <w:tc>
          <w:tcPr>
            <w:tcW w:w="782" w:type="dxa"/>
          </w:tcPr>
          <w:p w14:paraId="60C25B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1B49628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69569E3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1.47</w:t>
            </w:r>
          </w:p>
        </w:tc>
        <w:tc>
          <w:tcPr>
            <w:tcW w:w="852" w:type="dxa"/>
          </w:tcPr>
          <w:p w14:paraId="3B0008B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2.31</w:t>
            </w:r>
          </w:p>
        </w:tc>
        <w:tc>
          <w:tcPr>
            <w:tcW w:w="712" w:type="dxa"/>
          </w:tcPr>
          <w:p w14:paraId="0B5ADD1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1.68</w:t>
            </w:r>
          </w:p>
        </w:tc>
        <w:tc>
          <w:tcPr>
            <w:tcW w:w="782" w:type="dxa"/>
          </w:tcPr>
          <w:p w14:paraId="37E0DDA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9" w:type="dxa"/>
          </w:tcPr>
          <w:p w14:paraId="48A413C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1.51</w:t>
            </w:r>
          </w:p>
        </w:tc>
      </w:tr>
      <w:tr w:rsidR="003E78AB" w14:paraId="3D477ED6" w14:textId="77777777">
        <w:trPr>
          <w:trHeight w:val="369"/>
        </w:trPr>
        <w:tc>
          <w:tcPr>
            <w:tcW w:w="874" w:type="dxa"/>
          </w:tcPr>
          <w:p w14:paraId="279829A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九月</w:t>
            </w:r>
          </w:p>
        </w:tc>
        <w:tc>
          <w:tcPr>
            <w:tcW w:w="782" w:type="dxa"/>
          </w:tcPr>
          <w:p w14:paraId="1382C05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1.13</w:t>
            </w:r>
          </w:p>
        </w:tc>
        <w:tc>
          <w:tcPr>
            <w:tcW w:w="782" w:type="dxa"/>
          </w:tcPr>
          <w:p w14:paraId="1A1986D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1.14</w:t>
            </w:r>
          </w:p>
        </w:tc>
        <w:tc>
          <w:tcPr>
            <w:tcW w:w="782" w:type="dxa"/>
          </w:tcPr>
          <w:p w14:paraId="60560F7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1.48</w:t>
            </w:r>
          </w:p>
        </w:tc>
        <w:tc>
          <w:tcPr>
            <w:tcW w:w="782" w:type="dxa"/>
          </w:tcPr>
          <w:p w14:paraId="609D09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c>
          <w:tcPr>
            <w:tcW w:w="782" w:type="dxa"/>
          </w:tcPr>
          <w:p w14:paraId="0374CF6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1.56</w:t>
            </w:r>
          </w:p>
        </w:tc>
        <w:tc>
          <w:tcPr>
            <w:tcW w:w="782" w:type="dxa"/>
          </w:tcPr>
          <w:p w14:paraId="33443DD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1.22</w:t>
            </w:r>
          </w:p>
        </w:tc>
        <w:tc>
          <w:tcPr>
            <w:tcW w:w="782" w:type="dxa"/>
          </w:tcPr>
          <w:p w14:paraId="5C04274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1.10</w:t>
            </w:r>
          </w:p>
        </w:tc>
        <w:tc>
          <w:tcPr>
            <w:tcW w:w="782" w:type="dxa"/>
          </w:tcPr>
          <w:p w14:paraId="2663E36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1.23</w:t>
            </w:r>
          </w:p>
        </w:tc>
        <w:tc>
          <w:tcPr>
            <w:tcW w:w="782" w:type="dxa"/>
          </w:tcPr>
          <w:p w14:paraId="6116BB2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2" w:type="dxa"/>
          </w:tcPr>
          <w:p w14:paraId="4015D85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1.16</w:t>
            </w:r>
          </w:p>
        </w:tc>
        <w:tc>
          <w:tcPr>
            <w:tcW w:w="782" w:type="dxa"/>
          </w:tcPr>
          <w:p w14:paraId="2119B5B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725DBA3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1.25</w:t>
            </w:r>
          </w:p>
        </w:tc>
        <w:tc>
          <w:tcPr>
            <w:tcW w:w="782" w:type="dxa"/>
          </w:tcPr>
          <w:p w14:paraId="10BEF1A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1.38</w:t>
            </w:r>
          </w:p>
        </w:tc>
        <w:tc>
          <w:tcPr>
            <w:tcW w:w="852" w:type="dxa"/>
          </w:tcPr>
          <w:p w14:paraId="0848995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1.31</w:t>
            </w:r>
          </w:p>
        </w:tc>
        <w:tc>
          <w:tcPr>
            <w:tcW w:w="712" w:type="dxa"/>
          </w:tcPr>
          <w:p w14:paraId="642E54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1.51</w:t>
            </w:r>
          </w:p>
        </w:tc>
        <w:tc>
          <w:tcPr>
            <w:tcW w:w="782" w:type="dxa"/>
          </w:tcPr>
          <w:p w14:paraId="605F179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1.63</w:t>
            </w:r>
          </w:p>
        </w:tc>
        <w:tc>
          <w:tcPr>
            <w:tcW w:w="789" w:type="dxa"/>
          </w:tcPr>
          <w:p w14:paraId="3B18B0E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1.29</w:t>
            </w:r>
          </w:p>
        </w:tc>
      </w:tr>
      <w:tr w:rsidR="003E78AB" w14:paraId="6004B361" w14:textId="77777777">
        <w:trPr>
          <w:trHeight w:val="369"/>
        </w:trPr>
        <w:tc>
          <w:tcPr>
            <w:tcW w:w="874" w:type="dxa"/>
          </w:tcPr>
          <w:p w14:paraId="7AD9A75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十月</w:t>
            </w:r>
          </w:p>
        </w:tc>
        <w:tc>
          <w:tcPr>
            <w:tcW w:w="782" w:type="dxa"/>
          </w:tcPr>
          <w:p w14:paraId="0AF4A48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2.01</w:t>
            </w:r>
          </w:p>
        </w:tc>
        <w:tc>
          <w:tcPr>
            <w:tcW w:w="782" w:type="dxa"/>
          </w:tcPr>
          <w:p w14:paraId="665850E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2" w:type="dxa"/>
          </w:tcPr>
          <w:p w14:paraId="65250F9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1.16</w:t>
            </w:r>
          </w:p>
        </w:tc>
        <w:tc>
          <w:tcPr>
            <w:tcW w:w="782" w:type="dxa"/>
          </w:tcPr>
          <w:p w14:paraId="59D464A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w:t>
            </w:r>
          </w:p>
        </w:tc>
        <w:tc>
          <w:tcPr>
            <w:tcW w:w="782" w:type="dxa"/>
          </w:tcPr>
          <w:p w14:paraId="442749F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1.63</w:t>
            </w:r>
          </w:p>
        </w:tc>
        <w:tc>
          <w:tcPr>
            <w:tcW w:w="782" w:type="dxa"/>
          </w:tcPr>
          <w:p w14:paraId="324D720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1.68</w:t>
            </w:r>
          </w:p>
        </w:tc>
        <w:tc>
          <w:tcPr>
            <w:tcW w:w="782" w:type="dxa"/>
          </w:tcPr>
          <w:p w14:paraId="601B721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1.48</w:t>
            </w:r>
          </w:p>
        </w:tc>
        <w:tc>
          <w:tcPr>
            <w:tcW w:w="782" w:type="dxa"/>
          </w:tcPr>
          <w:p w14:paraId="17F3F0F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2" w:type="dxa"/>
          </w:tcPr>
          <w:p w14:paraId="0470C2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782" w:type="dxa"/>
          </w:tcPr>
          <w:p w14:paraId="74D7D3E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c>
          <w:tcPr>
            <w:tcW w:w="782" w:type="dxa"/>
          </w:tcPr>
          <w:p w14:paraId="16E944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1.45</w:t>
            </w:r>
          </w:p>
        </w:tc>
        <w:tc>
          <w:tcPr>
            <w:tcW w:w="782" w:type="dxa"/>
          </w:tcPr>
          <w:p w14:paraId="0E04E85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c>
          <w:tcPr>
            <w:tcW w:w="782" w:type="dxa"/>
          </w:tcPr>
          <w:p w14:paraId="6D51778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1.32</w:t>
            </w:r>
          </w:p>
        </w:tc>
        <w:tc>
          <w:tcPr>
            <w:tcW w:w="852" w:type="dxa"/>
          </w:tcPr>
          <w:p w14:paraId="6963DC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1.20</w:t>
            </w:r>
          </w:p>
        </w:tc>
        <w:tc>
          <w:tcPr>
            <w:tcW w:w="712" w:type="dxa"/>
          </w:tcPr>
          <w:p w14:paraId="3712AFF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62F5CD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w:t>
            </w:r>
          </w:p>
        </w:tc>
        <w:tc>
          <w:tcPr>
            <w:tcW w:w="789" w:type="dxa"/>
          </w:tcPr>
          <w:p w14:paraId="0AE721B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r>
      <w:tr w:rsidR="003E78AB" w14:paraId="06DF83C4" w14:textId="77777777">
        <w:trPr>
          <w:trHeight w:val="369"/>
        </w:trPr>
        <w:tc>
          <w:tcPr>
            <w:tcW w:w="874" w:type="dxa"/>
          </w:tcPr>
          <w:p w14:paraId="2F628A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十一月</w:t>
            </w:r>
          </w:p>
        </w:tc>
        <w:tc>
          <w:tcPr>
            <w:tcW w:w="782" w:type="dxa"/>
          </w:tcPr>
          <w:p w14:paraId="72775A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0.82</w:t>
            </w:r>
          </w:p>
        </w:tc>
        <w:tc>
          <w:tcPr>
            <w:tcW w:w="782" w:type="dxa"/>
          </w:tcPr>
          <w:p w14:paraId="67CFC6A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1.14</w:t>
            </w:r>
          </w:p>
        </w:tc>
        <w:tc>
          <w:tcPr>
            <w:tcW w:w="782" w:type="dxa"/>
          </w:tcPr>
          <w:p w14:paraId="290626E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2" w:type="dxa"/>
          </w:tcPr>
          <w:p w14:paraId="6C0E508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7C33BC6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1.64</w:t>
            </w:r>
          </w:p>
        </w:tc>
        <w:tc>
          <w:tcPr>
            <w:tcW w:w="782" w:type="dxa"/>
          </w:tcPr>
          <w:p w14:paraId="67D0B82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1.77</w:t>
            </w:r>
          </w:p>
        </w:tc>
        <w:tc>
          <w:tcPr>
            <w:tcW w:w="782" w:type="dxa"/>
          </w:tcPr>
          <w:p w14:paraId="4D34A0A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1.62</w:t>
            </w:r>
          </w:p>
        </w:tc>
        <w:tc>
          <w:tcPr>
            <w:tcW w:w="782" w:type="dxa"/>
          </w:tcPr>
          <w:p w14:paraId="7705131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c>
          <w:tcPr>
            <w:tcW w:w="782" w:type="dxa"/>
          </w:tcPr>
          <w:p w14:paraId="18BB52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1.18</w:t>
            </w:r>
          </w:p>
        </w:tc>
        <w:tc>
          <w:tcPr>
            <w:tcW w:w="782" w:type="dxa"/>
          </w:tcPr>
          <w:p w14:paraId="6568E64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1.20</w:t>
            </w:r>
          </w:p>
        </w:tc>
        <w:tc>
          <w:tcPr>
            <w:tcW w:w="782" w:type="dxa"/>
          </w:tcPr>
          <w:p w14:paraId="0457E52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1.29</w:t>
            </w:r>
          </w:p>
        </w:tc>
        <w:tc>
          <w:tcPr>
            <w:tcW w:w="782" w:type="dxa"/>
          </w:tcPr>
          <w:p w14:paraId="3AFEC01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2" w:type="dxa"/>
          </w:tcPr>
          <w:p w14:paraId="5A1C11A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852" w:type="dxa"/>
          </w:tcPr>
          <w:p w14:paraId="01DE826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1.64</w:t>
            </w:r>
          </w:p>
        </w:tc>
        <w:tc>
          <w:tcPr>
            <w:tcW w:w="712" w:type="dxa"/>
          </w:tcPr>
          <w:p w14:paraId="503D3C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1.59</w:t>
            </w:r>
          </w:p>
        </w:tc>
        <w:tc>
          <w:tcPr>
            <w:tcW w:w="782" w:type="dxa"/>
          </w:tcPr>
          <w:p w14:paraId="5839676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1.23</w:t>
            </w:r>
          </w:p>
        </w:tc>
        <w:tc>
          <w:tcPr>
            <w:tcW w:w="789" w:type="dxa"/>
          </w:tcPr>
          <w:p w14:paraId="2D3FE27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1.36</w:t>
            </w:r>
          </w:p>
        </w:tc>
      </w:tr>
      <w:tr w:rsidR="003E78AB" w14:paraId="2B449761" w14:textId="77777777">
        <w:trPr>
          <w:trHeight w:val="369"/>
        </w:trPr>
        <w:tc>
          <w:tcPr>
            <w:tcW w:w="874" w:type="dxa"/>
          </w:tcPr>
          <w:p w14:paraId="47CEA0D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十二月</w:t>
            </w:r>
          </w:p>
        </w:tc>
        <w:tc>
          <w:tcPr>
            <w:tcW w:w="782" w:type="dxa"/>
          </w:tcPr>
          <w:p w14:paraId="5CFD19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74BA6D6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1.11</w:t>
            </w:r>
          </w:p>
        </w:tc>
        <w:tc>
          <w:tcPr>
            <w:tcW w:w="782" w:type="dxa"/>
          </w:tcPr>
          <w:p w14:paraId="2F03841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c>
          <w:tcPr>
            <w:tcW w:w="782" w:type="dxa"/>
          </w:tcPr>
          <w:p w14:paraId="34EE925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1.31</w:t>
            </w:r>
          </w:p>
        </w:tc>
        <w:tc>
          <w:tcPr>
            <w:tcW w:w="782" w:type="dxa"/>
          </w:tcPr>
          <w:p w14:paraId="3F71BBD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1.57</w:t>
            </w:r>
          </w:p>
        </w:tc>
        <w:tc>
          <w:tcPr>
            <w:tcW w:w="782" w:type="dxa"/>
          </w:tcPr>
          <w:p w14:paraId="09413B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1.66</w:t>
            </w:r>
          </w:p>
        </w:tc>
        <w:tc>
          <w:tcPr>
            <w:tcW w:w="782" w:type="dxa"/>
          </w:tcPr>
          <w:p w14:paraId="269FB62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c>
          <w:tcPr>
            <w:tcW w:w="782" w:type="dxa"/>
          </w:tcPr>
          <w:p w14:paraId="581C0D7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1.20</w:t>
            </w:r>
          </w:p>
        </w:tc>
        <w:tc>
          <w:tcPr>
            <w:tcW w:w="782" w:type="dxa"/>
          </w:tcPr>
          <w:p w14:paraId="473CC45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1.23</w:t>
            </w:r>
          </w:p>
        </w:tc>
        <w:tc>
          <w:tcPr>
            <w:tcW w:w="782" w:type="dxa"/>
          </w:tcPr>
          <w:p w14:paraId="014586C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6350C1E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1.23</w:t>
            </w:r>
          </w:p>
        </w:tc>
        <w:tc>
          <w:tcPr>
            <w:tcW w:w="782" w:type="dxa"/>
          </w:tcPr>
          <w:p w14:paraId="2C2BC8E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1.29</w:t>
            </w:r>
          </w:p>
        </w:tc>
        <w:tc>
          <w:tcPr>
            <w:tcW w:w="782" w:type="dxa"/>
          </w:tcPr>
          <w:p w14:paraId="26C7599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852" w:type="dxa"/>
          </w:tcPr>
          <w:p w14:paraId="48C5434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12" w:type="dxa"/>
          </w:tcPr>
          <w:p w14:paraId="52B409C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c>
          <w:tcPr>
            <w:tcW w:w="782" w:type="dxa"/>
          </w:tcPr>
          <w:p w14:paraId="5FE846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9" w:type="dxa"/>
          </w:tcPr>
          <w:p w14:paraId="6CF5C2F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r>
      <w:tr w:rsidR="003E78AB" w14:paraId="54814EC3" w14:textId="77777777">
        <w:trPr>
          <w:trHeight w:val="369"/>
        </w:trPr>
        <w:tc>
          <w:tcPr>
            <w:tcW w:w="874" w:type="dxa"/>
          </w:tcPr>
          <w:p w14:paraId="0170399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春季</w:t>
            </w:r>
          </w:p>
        </w:tc>
        <w:tc>
          <w:tcPr>
            <w:tcW w:w="782" w:type="dxa"/>
          </w:tcPr>
          <w:p w14:paraId="495DDEB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1.48</w:t>
            </w:r>
          </w:p>
        </w:tc>
        <w:tc>
          <w:tcPr>
            <w:tcW w:w="782" w:type="dxa"/>
          </w:tcPr>
          <w:p w14:paraId="31353D2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1.43</w:t>
            </w:r>
          </w:p>
        </w:tc>
        <w:tc>
          <w:tcPr>
            <w:tcW w:w="782" w:type="dxa"/>
          </w:tcPr>
          <w:p w14:paraId="6277514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1.74</w:t>
            </w:r>
          </w:p>
        </w:tc>
        <w:tc>
          <w:tcPr>
            <w:tcW w:w="782" w:type="dxa"/>
          </w:tcPr>
          <w:p w14:paraId="16765B1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1.50</w:t>
            </w:r>
          </w:p>
        </w:tc>
        <w:tc>
          <w:tcPr>
            <w:tcW w:w="782" w:type="dxa"/>
          </w:tcPr>
          <w:p w14:paraId="5591B8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1.68</w:t>
            </w:r>
          </w:p>
        </w:tc>
        <w:tc>
          <w:tcPr>
            <w:tcW w:w="782" w:type="dxa"/>
          </w:tcPr>
          <w:p w14:paraId="525C3DF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1.86</w:t>
            </w:r>
          </w:p>
        </w:tc>
        <w:tc>
          <w:tcPr>
            <w:tcW w:w="782" w:type="dxa"/>
          </w:tcPr>
          <w:p w14:paraId="37C1A11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1.54</w:t>
            </w:r>
          </w:p>
        </w:tc>
        <w:tc>
          <w:tcPr>
            <w:tcW w:w="782" w:type="dxa"/>
          </w:tcPr>
          <w:p w14:paraId="1A4ECF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c>
          <w:tcPr>
            <w:tcW w:w="782" w:type="dxa"/>
          </w:tcPr>
          <w:p w14:paraId="5C876F8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2" w:type="dxa"/>
          </w:tcPr>
          <w:p w14:paraId="52CF39E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c>
          <w:tcPr>
            <w:tcW w:w="782" w:type="dxa"/>
          </w:tcPr>
          <w:p w14:paraId="72ED504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c>
          <w:tcPr>
            <w:tcW w:w="782" w:type="dxa"/>
          </w:tcPr>
          <w:p w14:paraId="152D62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1.62</w:t>
            </w:r>
          </w:p>
        </w:tc>
        <w:tc>
          <w:tcPr>
            <w:tcW w:w="782" w:type="dxa"/>
          </w:tcPr>
          <w:p w14:paraId="0935FB5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w:t>
            </w:r>
          </w:p>
        </w:tc>
        <w:tc>
          <w:tcPr>
            <w:tcW w:w="852" w:type="dxa"/>
          </w:tcPr>
          <w:p w14:paraId="76F92B7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1.73</w:t>
            </w:r>
          </w:p>
        </w:tc>
        <w:tc>
          <w:tcPr>
            <w:tcW w:w="712" w:type="dxa"/>
          </w:tcPr>
          <w:p w14:paraId="5006ABF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1.71</w:t>
            </w:r>
          </w:p>
        </w:tc>
        <w:tc>
          <w:tcPr>
            <w:tcW w:w="782" w:type="dxa"/>
          </w:tcPr>
          <w:p w14:paraId="2B00BE5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1.63</w:t>
            </w:r>
          </w:p>
        </w:tc>
        <w:tc>
          <w:tcPr>
            <w:tcW w:w="789" w:type="dxa"/>
          </w:tcPr>
          <w:p w14:paraId="5692B04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1.57</w:t>
            </w:r>
          </w:p>
        </w:tc>
      </w:tr>
      <w:tr w:rsidR="003E78AB" w14:paraId="0713AFFB" w14:textId="77777777">
        <w:trPr>
          <w:trHeight w:val="369"/>
        </w:trPr>
        <w:tc>
          <w:tcPr>
            <w:tcW w:w="874" w:type="dxa"/>
          </w:tcPr>
          <w:p w14:paraId="7FB766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夏季</w:t>
            </w:r>
          </w:p>
        </w:tc>
        <w:tc>
          <w:tcPr>
            <w:tcW w:w="782" w:type="dxa"/>
          </w:tcPr>
          <w:p w14:paraId="39EFD01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1.77</w:t>
            </w:r>
          </w:p>
        </w:tc>
        <w:tc>
          <w:tcPr>
            <w:tcW w:w="782" w:type="dxa"/>
          </w:tcPr>
          <w:p w14:paraId="400FDC4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2.14</w:t>
            </w:r>
          </w:p>
        </w:tc>
        <w:tc>
          <w:tcPr>
            <w:tcW w:w="782" w:type="dxa"/>
          </w:tcPr>
          <w:p w14:paraId="3B8341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2.62</w:t>
            </w:r>
          </w:p>
        </w:tc>
        <w:tc>
          <w:tcPr>
            <w:tcW w:w="782" w:type="dxa"/>
          </w:tcPr>
          <w:p w14:paraId="3580286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1.99</w:t>
            </w:r>
          </w:p>
        </w:tc>
        <w:tc>
          <w:tcPr>
            <w:tcW w:w="782" w:type="dxa"/>
          </w:tcPr>
          <w:p w14:paraId="109B6DA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2.11</w:t>
            </w:r>
          </w:p>
        </w:tc>
        <w:tc>
          <w:tcPr>
            <w:tcW w:w="782" w:type="dxa"/>
          </w:tcPr>
          <w:p w14:paraId="35C9B4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2.34</w:t>
            </w:r>
          </w:p>
        </w:tc>
        <w:tc>
          <w:tcPr>
            <w:tcW w:w="782" w:type="dxa"/>
          </w:tcPr>
          <w:p w14:paraId="1627D58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1.94</w:t>
            </w:r>
          </w:p>
        </w:tc>
        <w:tc>
          <w:tcPr>
            <w:tcW w:w="782" w:type="dxa"/>
          </w:tcPr>
          <w:p w14:paraId="1136B91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2" w:type="dxa"/>
          </w:tcPr>
          <w:p w14:paraId="7B6676A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1.53</w:t>
            </w:r>
          </w:p>
        </w:tc>
        <w:tc>
          <w:tcPr>
            <w:tcW w:w="782" w:type="dxa"/>
          </w:tcPr>
          <w:p w14:paraId="24E398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1.72</w:t>
            </w:r>
          </w:p>
        </w:tc>
        <w:tc>
          <w:tcPr>
            <w:tcW w:w="782" w:type="dxa"/>
          </w:tcPr>
          <w:p w14:paraId="4A6B9A1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1.70</w:t>
            </w:r>
          </w:p>
        </w:tc>
        <w:tc>
          <w:tcPr>
            <w:tcW w:w="782" w:type="dxa"/>
          </w:tcPr>
          <w:p w14:paraId="1D0450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2.00</w:t>
            </w:r>
          </w:p>
        </w:tc>
        <w:tc>
          <w:tcPr>
            <w:tcW w:w="782" w:type="dxa"/>
          </w:tcPr>
          <w:p w14:paraId="4985DCE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2.37</w:t>
            </w:r>
          </w:p>
        </w:tc>
        <w:tc>
          <w:tcPr>
            <w:tcW w:w="852" w:type="dxa"/>
          </w:tcPr>
          <w:p w14:paraId="2F77F6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2.10</w:t>
            </w:r>
          </w:p>
        </w:tc>
        <w:tc>
          <w:tcPr>
            <w:tcW w:w="712" w:type="dxa"/>
          </w:tcPr>
          <w:p w14:paraId="283038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1.93</w:t>
            </w:r>
          </w:p>
        </w:tc>
        <w:tc>
          <w:tcPr>
            <w:tcW w:w="782" w:type="dxa"/>
          </w:tcPr>
          <w:p w14:paraId="5CE4C7E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9" w:type="dxa"/>
          </w:tcPr>
          <w:p w14:paraId="4FD706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2.08</w:t>
            </w:r>
          </w:p>
        </w:tc>
      </w:tr>
      <w:tr w:rsidR="003E78AB" w14:paraId="1E89910E" w14:textId="77777777">
        <w:trPr>
          <w:trHeight w:val="369"/>
        </w:trPr>
        <w:tc>
          <w:tcPr>
            <w:tcW w:w="874" w:type="dxa"/>
          </w:tcPr>
          <w:p w14:paraId="1952F14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秋季</w:t>
            </w:r>
          </w:p>
        </w:tc>
        <w:tc>
          <w:tcPr>
            <w:tcW w:w="782" w:type="dxa"/>
          </w:tcPr>
          <w:p w14:paraId="1DFFC48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c>
          <w:tcPr>
            <w:tcW w:w="782" w:type="dxa"/>
          </w:tcPr>
          <w:p w14:paraId="782359A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2" w:type="dxa"/>
          </w:tcPr>
          <w:p w14:paraId="7F33BA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1.94</w:t>
            </w:r>
          </w:p>
        </w:tc>
        <w:tc>
          <w:tcPr>
            <w:tcW w:w="782" w:type="dxa"/>
          </w:tcPr>
          <w:p w14:paraId="7E9247F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1.51</w:t>
            </w:r>
          </w:p>
        </w:tc>
        <w:tc>
          <w:tcPr>
            <w:tcW w:w="782" w:type="dxa"/>
          </w:tcPr>
          <w:p w14:paraId="4CE0254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1.56</w:t>
            </w:r>
          </w:p>
        </w:tc>
        <w:tc>
          <w:tcPr>
            <w:tcW w:w="782" w:type="dxa"/>
          </w:tcPr>
          <w:p w14:paraId="4E01E39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1.74</w:t>
            </w:r>
          </w:p>
        </w:tc>
        <w:tc>
          <w:tcPr>
            <w:tcW w:w="782" w:type="dxa"/>
          </w:tcPr>
          <w:p w14:paraId="3984DB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1.12</w:t>
            </w:r>
          </w:p>
        </w:tc>
        <w:tc>
          <w:tcPr>
            <w:tcW w:w="782" w:type="dxa"/>
          </w:tcPr>
          <w:p w14:paraId="38E351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1.23</w:t>
            </w:r>
          </w:p>
        </w:tc>
        <w:tc>
          <w:tcPr>
            <w:tcW w:w="782" w:type="dxa"/>
          </w:tcPr>
          <w:p w14:paraId="03C3E21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1.18</w:t>
            </w:r>
          </w:p>
        </w:tc>
        <w:tc>
          <w:tcPr>
            <w:tcW w:w="782" w:type="dxa"/>
          </w:tcPr>
          <w:p w14:paraId="0CC5F7D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1.20</w:t>
            </w:r>
          </w:p>
        </w:tc>
        <w:tc>
          <w:tcPr>
            <w:tcW w:w="782" w:type="dxa"/>
          </w:tcPr>
          <w:p w14:paraId="21C2626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3946CF9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1.49</w:t>
            </w:r>
          </w:p>
        </w:tc>
        <w:tc>
          <w:tcPr>
            <w:tcW w:w="782" w:type="dxa"/>
          </w:tcPr>
          <w:p w14:paraId="6C9654C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1.45</w:t>
            </w:r>
          </w:p>
        </w:tc>
        <w:tc>
          <w:tcPr>
            <w:tcW w:w="852" w:type="dxa"/>
          </w:tcPr>
          <w:p w14:paraId="5E3E50D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1.73</w:t>
            </w:r>
          </w:p>
        </w:tc>
        <w:tc>
          <w:tcPr>
            <w:tcW w:w="712" w:type="dxa"/>
          </w:tcPr>
          <w:p w14:paraId="17B05B7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1.74</w:t>
            </w:r>
          </w:p>
        </w:tc>
        <w:tc>
          <w:tcPr>
            <w:tcW w:w="782" w:type="dxa"/>
          </w:tcPr>
          <w:p w14:paraId="63B2AF4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1.87</w:t>
            </w:r>
          </w:p>
        </w:tc>
        <w:tc>
          <w:tcPr>
            <w:tcW w:w="789" w:type="dxa"/>
          </w:tcPr>
          <w:p w14:paraId="58FA89E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1.49</w:t>
            </w:r>
          </w:p>
        </w:tc>
      </w:tr>
      <w:tr w:rsidR="003E78AB" w14:paraId="4465E5A6" w14:textId="77777777">
        <w:trPr>
          <w:trHeight w:val="369"/>
        </w:trPr>
        <w:tc>
          <w:tcPr>
            <w:tcW w:w="874" w:type="dxa"/>
          </w:tcPr>
          <w:p w14:paraId="1E8E7EA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冬季</w:t>
            </w:r>
          </w:p>
        </w:tc>
        <w:tc>
          <w:tcPr>
            <w:tcW w:w="782" w:type="dxa"/>
          </w:tcPr>
          <w:p w14:paraId="5B9DD23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50956F8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1.20</w:t>
            </w:r>
          </w:p>
        </w:tc>
        <w:tc>
          <w:tcPr>
            <w:tcW w:w="782" w:type="dxa"/>
          </w:tcPr>
          <w:p w14:paraId="0FE3693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1.32</w:t>
            </w:r>
          </w:p>
        </w:tc>
        <w:tc>
          <w:tcPr>
            <w:tcW w:w="782" w:type="dxa"/>
          </w:tcPr>
          <w:p w14:paraId="2247B25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339204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1.61</w:t>
            </w:r>
          </w:p>
        </w:tc>
        <w:tc>
          <w:tcPr>
            <w:tcW w:w="782" w:type="dxa"/>
          </w:tcPr>
          <w:p w14:paraId="03D4F1D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1.57</w:t>
            </w:r>
          </w:p>
        </w:tc>
        <w:tc>
          <w:tcPr>
            <w:tcW w:w="782" w:type="dxa"/>
          </w:tcPr>
          <w:p w14:paraId="1B4D84F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1.39</w:t>
            </w:r>
          </w:p>
        </w:tc>
        <w:tc>
          <w:tcPr>
            <w:tcW w:w="782" w:type="dxa"/>
          </w:tcPr>
          <w:p w14:paraId="07F3C23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2" w:type="dxa"/>
          </w:tcPr>
          <w:p w14:paraId="2D6F805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w:t>
            </w:r>
          </w:p>
        </w:tc>
        <w:tc>
          <w:tcPr>
            <w:tcW w:w="782" w:type="dxa"/>
          </w:tcPr>
          <w:p w14:paraId="299A7B5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w:t>
            </w:r>
          </w:p>
        </w:tc>
        <w:tc>
          <w:tcPr>
            <w:tcW w:w="782" w:type="dxa"/>
          </w:tcPr>
          <w:p w14:paraId="2679AEB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782" w:type="dxa"/>
          </w:tcPr>
          <w:p w14:paraId="25315A1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782" w:type="dxa"/>
          </w:tcPr>
          <w:p w14:paraId="715AA8A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852" w:type="dxa"/>
          </w:tcPr>
          <w:p w14:paraId="3E050F9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12" w:type="dxa"/>
          </w:tcPr>
          <w:p w14:paraId="633511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1.50</w:t>
            </w:r>
          </w:p>
        </w:tc>
        <w:tc>
          <w:tcPr>
            <w:tcW w:w="782" w:type="dxa"/>
          </w:tcPr>
          <w:p w14:paraId="05EBDF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9" w:type="dxa"/>
          </w:tcPr>
          <w:p w14:paraId="44F349E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1.31</w:t>
            </w:r>
          </w:p>
        </w:tc>
      </w:tr>
      <w:tr w:rsidR="003E78AB" w14:paraId="236F84BD" w14:textId="77777777">
        <w:trPr>
          <w:trHeight w:val="369"/>
        </w:trPr>
        <w:tc>
          <w:tcPr>
            <w:tcW w:w="874" w:type="dxa"/>
          </w:tcPr>
          <w:p w14:paraId="1427F1E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全年</w:t>
            </w:r>
          </w:p>
        </w:tc>
        <w:tc>
          <w:tcPr>
            <w:tcW w:w="782" w:type="dxa"/>
          </w:tcPr>
          <w:p w14:paraId="5B77707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1.32</w:t>
            </w:r>
          </w:p>
        </w:tc>
        <w:tc>
          <w:tcPr>
            <w:tcW w:w="782" w:type="dxa"/>
          </w:tcPr>
          <w:p w14:paraId="1022B81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w:t>
            </w:r>
          </w:p>
        </w:tc>
        <w:tc>
          <w:tcPr>
            <w:tcW w:w="782" w:type="dxa"/>
          </w:tcPr>
          <w:p w14:paraId="1EFCED9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1.44</w:t>
            </w:r>
          </w:p>
        </w:tc>
        <w:tc>
          <w:tcPr>
            <w:tcW w:w="782" w:type="dxa"/>
          </w:tcPr>
          <w:p w14:paraId="6832E2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782" w:type="dxa"/>
          </w:tcPr>
          <w:p w14:paraId="031957D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1.50</w:t>
            </w:r>
          </w:p>
        </w:tc>
        <w:tc>
          <w:tcPr>
            <w:tcW w:w="782" w:type="dxa"/>
          </w:tcPr>
          <w:p w14:paraId="7E4B9C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1.63</w:t>
            </w:r>
          </w:p>
        </w:tc>
        <w:tc>
          <w:tcPr>
            <w:tcW w:w="782" w:type="dxa"/>
          </w:tcPr>
          <w:p w14:paraId="35C9AD8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1.49</w:t>
            </w:r>
          </w:p>
        </w:tc>
        <w:tc>
          <w:tcPr>
            <w:tcW w:w="782" w:type="dxa"/>
          </w:tcPr>
          <w:p w14:paraId="1512BF9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2" w:type="dxa"/>
          </w:tcPr>
          <w:p w14:paraId="0B4C58B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1.26</w:t>
            </w:r>
          </w:p>
        </w:tc>
        <w:tc>
          <w:tcPr>
            <w:tcW w:w="782" w:type="dxa"/>
          </w:tcPr>
          <w:p w14:paraId="0AF38CE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1.35</w:t>
            </w:r>
          </w:p>
        </w:tc>
        <w:tc>
          <w:tcPr>
            <w:tcW w:w="782" w:type="dxa"/>
          </w:tcPr>
          <w:p w14:paraId="3C70D3B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w:t>
            </w:r>
          </w:p>
        </w:tc>
        <w:tc>
          <w:tcPr>
            <w:tcW w:w="782" w:type="dxa"/>
          </w:tcPr>
          <w:p w14:paraId="4F76882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1.47</w:t>
            </w:r>
          </w:p>
        </w:tc>
        <w:tc>
          <w:tcPr>
            <w:tcW w:w="782" w:type="dxa"/>
          </w:tcPr>
          <w:p w14:paraId="1152A30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1.57</w:t>
            </w:r>
          </w:p>
        </w:tc>
        <w:tc>
          <w:tcPr>
            <w:tcW w:w="852" w:type="dxa"/>
          </w:tcPr>
          <w:p w14:paraId="2A4603D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1.49</w:t>
            </w:r>
          </w:p>
        </w:tc>
        <w:tc>
          <w:tcPr>
            <w:tcW w:w="712" w:type="dxa"/>
          </w:tcPr>
          <w:p w14:paraId="5B0EFC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1.52</w:t>
            </w:r>
          </w:p>
        </w:tc>
        <w:tc>
          <w:tcPr>
            <w:tcW w:w="782" w:type="dxa"/>
          </w:tcPr>
          <w:p w14:paraId="68F8507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9" w:type="dxa"/>
          </w:tcPr>
          <w:p w14:paraId="19350E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r>
    </w:tbl>
    <w:p w14:paraId="08440CF2" w14:textId="77777777" w:rsidR="003E78AB" w:rsidRDefault="003E78AB">
      <w:pPr>
        <w:spacing w:line="240" w:lineRule="auto"/>
        <w:ind w:firstLineChars="0" w:firstLine="0"/>
        <w:rPr>
          <w:b/>
          <w:bCs/>
          <w:kern w:val="28"/>
          <w:sz w:val="21"/>
          <w:u w:val="single"/>
        </w:rPr>
      </w:pPr>
    </w:p>
    <w:p w14:paraId="35B161ED" w14:textId="77777777" w:rsidR="003E78AB" w:rsidRDefault="00010BF9">
      <w:pPr>
        <w:spacing w:line="240" w:lineRule="auto"/>
        <w:ind w:firstLineChars="0" w:firstLine="0"/>
        <w:rPr>
          <w:b/>
          <w:bCs/>
          <w:kern w:val="28"/>
          <w:sz w:val="21"/>
          <w:u w:val="single"/>
        </w:rPr>
      </w:pPr>
      <w:r>
        <w:rPr>
          <w:b/>
          <w:bCs/>
          <w:kern w:val="28"/>
          <w:sz w:val="21"/>
          <w:u w:val="single"/>
        </w:rPr>
        <w:br w:type="page"/>
      </w:r>
    </w:p>
    <w:p w14:paraId="71069BE8" w14:textId="77777777" w:rsidR="003E78AB" w:rsidRDefault="00010BF9">
      <w:pPr>
        <w:pStyle w:val="a4"/>
        <w:spacing w:before="120"/>
        <w:ind w:left="425" w:hanging="425"/>
        <w:rPr>
          <w:b/>
          <w:bCs/>
          <w:u w:val="single"/>
        </w:rPr>
      </w:pPr>
      <w:bookmarkStart w:id="364" w:name="_Ref29361"/>
      <w:r>
        <w:rPr>
          <w:b/>
          <w:bCs/>
          <w:u w:val="single"/>
        </w:rPr>
        <w:t>哈密市</w:t>
      </w:r>
      <w:r>
        <w:rPr>
          <w:b/>
          <w:bCs/>
          <w:u w:val="single"/>
        </w:rPr>
        <w:t>2023</w:t>
      </w:r>
      <w:r>
        <w:rPr>
          <w:b/>
          <w:bCs/>
          <w:u w:val="single"/>
        </w:rPr>
        <w:t>年各月、季及全年污染系数表</w:t>
      </w:r>
      <w:bookmarkEnd w:id="364"/>
    </w:p>
    <w:tbl>
      <w:tblPr>
        <w:tblStyle w:val="afe"/>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782"/>
        <w:gridCol w:w="782"/>
        <w:gridCol w:w="782"/>
        <w:gridCol w:w="782"/>
        <w:gridCol w:w="782"/>
        <w:gridCol w:w="782"/>
        <w:gridCol w:w="782"/>
        <w:gridCol w:w="782"/>
        <w:gridCol w:w="782"/>
        <w:gridCol w:w="782"/>
        <w:gridCol w:w="782"/>
        <w:gridCol w:w="782"/>
        <w:gridCol w:w="782"/>
        <w:gridCol w:w="835"/>
        <w:gridCol w:w="729"/>
        <w:gridCol w:w="782"/>
        <w:gridCol w:w="789"/>
      </w:tblGrid>
      <w:tr w:rsidR="003E78AB" w14:paraId="70008545" w14:textId="77777777">
        <w:trPr>
          <w:trHeight w:val="369"/>
        </w:trPr>
        <w:tc>
          <w:tcPr>
            <w:tcW w:w="874" w:type="dxa"/>
          </w:tcPr>
          <w:p w14:paraId="2598192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月份</w:t>
            </w:r>
          </w:p>
        </w:tc>
        <w:tc>
          <w:tcPr>
            <w:tcW w:w="782" w:type="dxa"/>
          </w:tcPr>
          <w:p w14:paraId="570AC3F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w:t>
            </w:r>
          </w:p>
        </w:tc>
        <w:tc>
          <w:tcPr>
            <w:tcW w:w="782" w:type="dxa"/>
          </w:tcPr>
          <w:p w14:paraId="530CB4C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NNE</w:t>
            </w:r>
          </w:p>
        </w:tc>
        <w:tc>
          <w:tcPr>
            <w:tcW w:w="782" w:type="dxa"/>
          </w:tcPr>
          <w:p w14:paraId="2980B65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NE</w:t>
            </w:r>
          </w:p>
        </w:tc>
        <w:tc>
          <w:tcPr>
            <w:tcW w:w="782" w:type="dxa"/>
          </w:tcPr>
          <w:p w14:paraId="49DF5B2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ENE</w:t>
            </w:r>
          </w:p>
        </w:tc>
        <w:tc>
          <w:tcPr>
            <w:tcW w:w="782" w:type="dxa"/>
          </w:tcPr>
          <w:p w14:paraId="18B9C31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w:t>
            </w:r>
          </w:p>
        </w:tc>
        <w:tc>
          <w:tcPr>
            <w:tcW w:w="782" w:type="dxa"/>
          </w:tcPr>
          <w:p w14:paraId="297CFE0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ESE</w:t>
            </w:r>
          </w:p>
        </w:tc>
        <w:tc>
          <w:tcPr>
            <w:tcW w:w="782" w:type="dxa"/>
          </w:tcPr>
          <w:p w14:paraId="3B2920E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SE</w:t>
            </w:r>
          </w:p>
        </w:tc>
        <w:tc>
          <w:tcPr>
            <w:tcW w:w="782" w:type="dxa"/>
          </w:tcPr>
          <w:p w14:paraId="33DF8AF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SSE</w:t>
            </w:r>
          </w:p>
        </w:tc>
        <w:tc>
          <w:tcPr>
            <w:tcW w:w="782" w:type="dxa"/>
          </w:tcPr>
          <w:p w14:paraId="21E3122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w:t>
            </w:r>
          </w:p>
        </w:tc>
        <w:tc>
          <w:tcPr>
            <w:tcW w:w="782" w:type="dxa"/>
          </w:tcPr>
          <w:p w14:paraId="1F3C35A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SSW</w:t>
            </w:r>
          </w:p>
        </w:tc>
        <w:tc>
          <w:tcPr>
            <w:tcW w:w="782" w:type="dxa"/>
          </w:tcPr>
          <w:p w14:paraId="63E2956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SW</w:t>
            </w:r>
          </w:p>
        </w:tc>
        <w:tc>
          <w:tcPr>
            <w:tcW w:w="782" w:type="dxa"/>
          </w:tcPr>
          <w:p w14:paraId="0689FBB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WSW</w:t>
            </w:r>
          </w:p>
        </w:tc>
        <w:tc>
          <w:tcPr>
            <w:tcW w:w="782" w:type="dxa"/>
          </w:tcPr>
          <w:p w14:paraId="768B56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w:t>
            </w:r>
          </w:p>
        </w:tc>
        <w:tc>
          <w:tcPr>
            <w:tcW w:w="835" w:type="dxa"/>
          </w:tcPr>
          <w:p w14:paraId="5A7E97F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WNW</w:t>
            </w:r>
          </w:p>
        </w:tc>
        <w:tc>
          <w:tcPr>
            <w:tcW w:w="729" w:type="dxa"/>
          </w:tcPr>
          <w:p w14:paraId="4598C3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NW</w:t>
            </w:r>
          </w:p>
        </w:tc>
        <w:tc>
          <w:tcPr>
            <w:tcW w:w="782" w:type="dxa"/>
          </w:tcPr>
          <w:p w14:paraId="10A2770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NNW</w:t>
            </w:r>
          </w:p>
        </w:tc>
        <w:tc>
          <w:tcPr>
            <w:tcW w:w="789" w:type="dxa"/>
          </w:tcPr>
          <w:p w14:paraId="43BE20E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C</w:t>
            </w:r>
          </w:p>
        </w:tc>
      </w:tr>
      <w:tr w:rsidR="003E78AB" w14:paraId="1D6A9F32" w14:textId="77777777">
        <w:trPr>
          <w:trHeight w:val="369"/>
        </w:trPr>
        <w:tc>
          <w:tcPr>
            <w:tcW w:w="874" w:type="dxa"/>
          </w:tcPr>
          <w:p w14:paraId="5F059BF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一月</w:t>
            </w:r>
          </w:p>
        </w:tc>
        <w:tc>
          <w:tcPr>
            <w:tcW w:w="782" w:type="dxa"/>
          </w:tcPr>
          <w:p w14:paraId="753DC60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0.87</w:t>
            </w:r>
          </w:p>
        </w:tc>
        <w:tc>
          <w:tcPr>
            <w:tcW w:w="782" w:type="dxa"/>
          </w:tcPr>
          <w:p w14:paraId="5DE2A5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4.31</w:t>
            </w:r>
          </w:p>
        </w:tc>
        <w:tc>
          <w:tcPr>
            <w:tcW w:w="782" w:type="dxa"/>
          </w:tcPr>
          <w:p w14:paraId="5B0175B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13.44</w:t>
            </w:r>
          </w:p>
        </w:tc>
        <w:tc>
          <w:tcPr>
            <w:tcW w:w="782" w:type="dxa"/>
          </w:tcPr>
          <w:p w14:paraId="620E897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11.89</w:t>
            </w:r>
          </w:p>
        </w:tc>
        <w:tc>
          <w:tcPr>
            <w:tcW w:w="782" w:type="dxa"/>
          </w:tcPr>
          <w:p w14:paraId="62BC376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6.59</w:t>
            </w:r>
          </w:p>
        </w:tc>
        <w:tc>
          <w:tcPr>
            <w:tcW w:w="782" w:type="dxa"/>
          </w:tcPr>
          <w:p w14:paraId="69A550F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5.79</w:t>
            </w:r>
          </w:p>
        </w:tc>
        <w:tc>
          <w:tcPr>
            <w:tcW w:w="782" w:type="dxa"/>
          </w:tcPr>
          <w:p w14:paraId="061FED9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3.21</w:t>
            </w:r>
          </w:p>
        </w:tc>
        <w:tc>
          <w:tcPr>
            <w:tcW w:w="782" w:type="dxa"/>
          </w:tcPr>
          <w:p w14:paraId="11E9CB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2.24</w:t>
            </w:r>
          </w:p>
        </w:tc>
        <w:tc>
          <w:tcPr>
            <w:tcW w:w="782" w:type="dxa"/>
          </w:tcPr>
          <w:p w14:paraId="5138DE8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2.53</w:t>
            </w:r>
          </w:p>
        </w:tc>
        <w:tc>
          <w:tcPr>
            <w:tcW w:w="782" w:type="dxa"/>
          </w:tcPr>
          <w:p w14:paraId="0DBCEF7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1.76</w:t>
            </w:r>
          </w:p>
        </w:tc>
        <w:tc>
          <w:tcPr>
            <w:tcW w:w="782" w:type="dxa"/>
          </w:tcPr>
          <w:p w14:paraId="243B00E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2.32</w:t>
            </w:r>
          </w:p>
        </w:tc>
        <w:tc>
          <w:tcPr>
            <w:tcW w:w="782" w:type="dxa"/>
          </w:tcPr>
          <w:p w14:paraId="069E1D2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2.03</w:t>
            </w:r>
          </w:p>
        </w:tc>
        <w:tc>
          <w:tcPr>
            <w:tcW w:w="782" w:type="dxa"/>
          </w:tcPr>
          <w:p w14:paraId="7AD1DB8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2.54</w:t>
            </w:r>
          </w:p>
        </w:tc>
        <w:tc>
          <w:tcPr>
            <w:tcW w:w="835" w:type="dxa"/>
          </w:tcPr>
          <w:p w14:paraId="5FDEB86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3.59</w:t>
            </w:r>
          </w:p>
        </w:tc>
        <w:tc>
          <w:tcPr>
            <w:tcW w:w="729" w:type="dxa"/>
          </w:tcPr>
          <w:p w14:paraId="7E545D3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1.52</w:t>
            </w:r>
          </w:p>
        </w:tc>
        <w:tc>
          <w:tcPr>
            <w:tcW w:w="782" w:type="dxa"/>
          </w:tcPr>
          <w:p w14:paraId="058A04F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2.33</w:t>
            </w:r>
          </w:p>
        </w:tc>
        <w:tc>
          <w:tcPr>
            <w:tcW w:w="789" w:type="dxa"/>
          </w:tcPr>
          <w:p w14:paraId="1AED51D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4.19</w:t>
            </w:r>
          </w:p>
        </w:tc>
      </w:tr>
      <w:tr w:rsidR="003E78AB" w14:paraId="1515D673" w14:textId="77777777">
        <w:trPr>
          <w:trHeight w:val="369"/>
        </w:trPr>
        <w:tc>
          <w:tcPr>
            <w:tcW w:w="874" w:type="dxa"/>
          </w:tcPr>
          <w:p w14:paraId="1E6A0A1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二月</w:t>
            </w:r>
          </w:p>
        </w:tc>
        <w:tc>
          <w:tcPr>
            <w:tcW w:w="782" w:type="dxa"/>
          </w:tcPr>
          <w:p w14:paraId="6511244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1.68</w:t>
            </w:r>
          </w:p>
        </w:tc>
        <w:tc>
          <w:tcPr>
            <w:tcW w:w="782" w:type="dxa"/>
          </w:tcPr>
          <w:p w14:paraId="5DA9025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3.97</w:t>
            </w:r>
          </w:p>
        </w:tc>
        <w:tc>
          <w:tcPr>
            <w:tcW w:w="782" w:type="dxa"/>
          </w:tcPr>
          <w:p w14:paraId="37CCBC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12.52</w:t>
            </w:r>
          </w:p>
        </w:tc>
        <w:tc>
          <w:tcPr>
            <w:tcW w:w="782" w:type="dxa"/>
          </w:tcPr>
          <w:p w14:paraId="4473A01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6.77</w:t>
            </w:r>
          </w:p>
        </w:tc>
        <w:tc>
          <w:tcPr>
            <w:tcW w:w="782" w:type="dxa"/>
          </w:tcPr>
          <w:p w14:paraId="22D2A0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6.26</w:t>
            </w:r>
          </w:p>
        </w:tc>
        <w:tc>
          <w:tcPr>
            <w:tcW w:w="782" w:type="dxa"/>
          </w:tcPr>
          <w:p w14:paraId="0553D8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4.54</w:t>
            </w:r>
          </w:p>
        </w:tc>
        <w:tc>
          <w:tcPr>
            <w:tcW w:w="782" w:type="dxa"/>
          </w:tcPr>
          <w:p w14:paraId="7CA30AD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3.97</w:t>
            </w:r>
          </w:p>
        </w:tc>
        <w:tc>
          <w:tcPr>
            <w:tcW w:w="782" w:type="dxa"/>
          </w:tcPr>
          <w:p w14:paraId="15E4B9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3.58</w:t>
            </w:r>
          </w:p>
        </w:tc>
        <w:tc>
          <w:tcPr>
            <w:tcW w:w="782" w:type="dxa"/>
          </w:tcPr>
          <w:p w14:paraId="02B698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3.38</w:t>
            </w:r>
          </w:p>
        </w:tc>
        <w:tc>
          <w:tcPr>
            <w:tcW w:w="782" w:type="dxa"/>
          </w:tcPr>
          <w:p w14:paraId="32109DB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2.23</w:t>
            </w:r>
          </w:p>
        </w:tc>
        <w:tc>
          <w:tcPr>
            <w:tcW w:w="782" w:type="dxa"/>
          </w:tcPr>
          <w:p w14:paraId="427FDDB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3.22</w:t>
            </w:r>
          </w:p>
        </w:tc>
        <w:tc>
          <w:tcPr>
            <w:tcW w:w="782" w:type="dxa"/>
          </w:tcPr>
          <w:p w14:paraId="3E686F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2.56</w:t>
            </w:r>
          </w:p>
        </w:tc>
        <w:tc>
          <w:tcPr>
            <w:tcW w:w="782" w:type="dxa"/>
          </w:tcPr>
          <w:p w14:paraId="4793BED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4.19</w:t>
            </w:r>
          </w:p>
        </w:tc>
        <w:tc>
          <w:tcPr>
            <w:tcW w:w="835" w:type="dxa"/>
          </w:tcPr>
          <w:p w14:paraId="0A0C15E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3.69</w:t>
            </w:r>
          </w:p>
        </w:tc>
        <w:tc>
          <w:tcPr>
            <w:tcW w:w="729" w:type="dxa"/>
          </w:tcPr>
          <w:p w14:paraId="0CB0ADF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3.19</w:t>
            </w:r>
          </w:p>
        </w:tc>
        <w:tc>
          <w:tcPr>
            <w:tcW w:w="782" w:type="dxa"/>
          </w:tcPr>
          <w:p w14:paraId="710F746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2.27</w:t>
            </w:r>
          </w:p>
        </w:tc>
        <w:tc>
          <w:tcPr>
            <w:tcW w:w="789" w:type="dxa"/>
          </w:tcPr>
          <w:p w14:paraId="78F2C8F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4.25</w:t>
            </w:r>
          </w:p>
        </w:tc>
      </w:tr>
      <w:tr w:rsidR="003E78AB" w14:paraId="547DB62F" w14:textId="77777777">
        <w:trPr>
          <w:trHeight w:val="369"/>
        </w:trPr>
        <w:tc>
          <w:tcPr>
            <w:tcW w:w="874" w:type="dxa"/>
          </w:tcPr>
          <w:p w14:paraId="01D0BE5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三月</w:t>
            </w:r>
          </w:p>
        </w:tc>
        <w:tc>
          <w:tcPr>
            <w:tcW w:w="782" w:type="dxa"/>
          </w:tcPr>
          <w:p w14:paraId="4022CAC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1.55</w:t>
            </w:r>
          </w:p>
        </w:tc>
        <w:tc>
          <w:tcPr>
            <w:tcW w:w="782" w:type="dxa"/>
          </w:tcPr>
          <w:p w14:paraId="11CAE0F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1.62</w:t>
            </w:r>
          </w:p>
        </w:tc>
        <w:tc>
          <w:tcPr>
            <w:tcW w:w="782" w:type="dxa"/>
          </w:tcPr>
          <w:p w14:paraId="2F25EB1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5.48</w:t>
            </w:r>
          </w:p>
        </w:tc>
        <w:tc>
          <w:tcPr>
            <w:tcW w:w="782" w:type="dxa"/>
          </w:tcPr>
          <w:p w14:paraId="5CB9303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4.67</w:t>
            </w:r>
          </w:p>
        </w:tc>
        <w:tc>
          <w:tcPr>
            <w:tcW w:w="782" w:type="dxa"/>
          </w:tcPr>
          <w:p w14:paraId="477AA94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4.36</w:t>
            </w:r>
          </w:p>
        </w:tc>
        <w:tc>
          <w:tcPr>
            <w:tcW w:w="782" w:type="dxa"/>
          </w:tcPr>
          <w:p w14:paraId="47BD150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4.96</w:t>
            </w:r>
          </w:p>
        </w:tc>
        <w:tc>
          <w:tcPr>
            <w:tcW w:w="782" w:type="dxa"/>
          </w:tcPr>
          <w:p w14:paraId="3BDDBB7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4.98</w:t>
            </w:r>
          </w:p>
        </w:tc>
        <w:tc>
          <w:tcPr>
            <w:tcW w:w="782" w:type="dxa"/>
          </w:tcPr>
          <w:p w14:paraId="446E78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2.32</w:t>
            </w:r>
          </w:p>
        </w:tc>
        <w:tc>
          <w:tcPr>
            <w:tcW w:w="782" w:type="dxa"/>
          </w:tcPr>
          <w:p w14:paraId="5D11113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2.02</w:t>
            </w:r>
          </w:p>
        </w:tc>
        <w:tc>
          <w:tcPr>
            <w:tcW w:w="782" w:type="dxa"/>
          </w:tcPr>
          <w:p w14:paraId="72CEB24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2.49</w:t>
            </w:r>
          </w:p>
        </w:tc>
        <w:tc>
          <w:tcPr>
            <w:tcW w:w="782" w:type="dxa"/>
          </w:tcPr>
          <w:p w14:paraId="7E9AA10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1.26</w:t>
            </w:r>
          </w:p>
        </w:tc>
        <w:tc>
          <w:tcPr>
            <w:tcW w:w="782" w:type="dxa"/>
          </w:tcPr>
          <w:p w14:paraId="0D1FF2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2.35</w:t>
            </w:r>
          </w:p>
        </w:tc>
        <w:tc>
          <w:tcPr>
            <w:tcW w:w="782" w:type="dxa"/>
          </w:tcPr>
          <w:p w14:paraId="1D973BE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3.60</w:t>
            </w:r>
          </w:p>
        </w:tc>
        <w:tc>
          <w:tcPr>
            <w:tcW w:w="835" w:type="dxa"/>
          </w:tcPr>
          <w:p w14:paraId="4DE1640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2.64</w:t>
            </w:r>
          </w:p>
        </w:tc>
        <w:tc>
          <w:tcPr>
            <w:tcW w:w="729" w:type="dxa"/>
          </w:tcPr>
          <w:p w14:paraId="5AC673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1.66</w:t>
            </w:r>
          </w:p>
        </w:tc>
        <w:tc>
          <w:tcPr>
            <w:tcW w:w="782" w:type="dxa"/>
          </w:tcPr>
          <w:p w14:paraId="0A5629F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1.40</w:t>
            </w:r>
          </w:p>
        </w:tc>
        <w:tc>
          <w:tcPr>
            <w:tcW w:w="789" w:type="dxa"/>
          </w:tcPr>
          <w:p w14:paraId="26959B9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2.96</w:t>
            </w:r>
          </w:p>
        </w:tc>
      </w:tr>
      <w:tr w:rsidR="003E78AB" w14:paraId="6CAAF66F" w14:textId="77777777">
        <w:trPr>
          <w:trHeight w:val="369"/>
        </w:trPr>
        <w:tc>
          <w:tcPr>
            <w:tcW w:w="874" w:type="dxa"/>
          </w:tcPr>
          <w:p w14:paraId="75C2FED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四月</w:t>
            </w:r>
          </w:p>
        </w:tc>
        <w:tc>
          <w:tcPr>
            <w:tcW w:w="782" w:type="dxa"/>
          </w:tcPr>
          <w:p w14:paraId="54B863A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1.33</w:t>
            </w:r>
          </w:p>
        </w:tc>
        <w:tc>
          <w:tcPr>
            <w:tcW w:w="782" w:type="dxa"/>
          </w:tcPr>
          <w:p w14:paraId="40D4428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82" w:type="dxa"/>
          </w:tcPr>
          <w:p w14:paraId="2A082F3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5.27</w:t>
            </w:r>
          </w:p>
        </w:tc>
        <w:tc>
          <w:tcPr>
            <w:tcW w:w="782" w:type="dxa"/>
          </w:tcPr>
          <w:p w14:paraId="170867D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4.41</w:t>
            </w:r>
          </w:p>
        </w:tc>
        <w:tc>
          <w:tcPr>
            <w:tcW w:w="782" w:type="dxa"/>
          </w:tcPr>
          <w:p w14:paraId="388362B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3.67</w:t>
            </w:r>
          </w:p>
        </w:tc>
        <w:tc>
          <w:tcPr>
            <w:tcW w:w="782" w:type="dxa"/>
          </w:tcPr>
          <w:p w14:paraId="236DE8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5.54</w:t>
            </w:r>
          </w:p>
        </w:tc>
        <w:tc>
          <w:tcPr>
            <w:tcW w:w="782" w:type="dxa"/>
          </w:tcPr>
          <w:p w14:paraId="4A8726C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3.38</w:t>
            </w:r>
          </w:p>
        </w:tc>
        <w:tc>
          <w:tcPr>
            <w:tcW w:w="782" w:type="dxa"/>
          </w:tcPr>
          <w:p w14:paraId="3DE6908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2.40</w:t>
            </w:r>
          </w:p>
        </w:tc>
        <w:tc>
          <w:tcPr>
            <w:tcW w:w="782" w:type="dxa"/>
          </w:tcPr>
          <w:p w14:paraId="51428F4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0.91</w:t>
            </w:r>
          </w:p>
        </w:tc>
        <w:tc>
          <w:tcPr>
            <w:tcW w:w="782" w:type="dxa"/>
          </w:tcPr>
          <w:p w14:paraId="017ED4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0.95</w:t>
            </w:r>
          </w:p>
        </w:tc>
        <w:tc>
          <w:tcPr>
            <w:tcW w:w="782" w:type="dxa"/>
          </w:tcPr>
          <w:p w14:paraId="79AA560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1.48</w:t>
            </w:r>
          </w:p>
        </w:tc>
        <w:tc>
          <w:tcPr>
            <w:tcW w:w="782" w:type="dxa"/>
          </w:tcPr>
          <w:p w14:paraId="16B391E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1.79</w:t>
            </w:r>
          </w:p>
        </w:tc>
        <w:tc>
          <w:tcPr>
            <w:tcW w:w="782" w:type="dxa"/>
          </w:tcPr>
          <w:p w14:paraId="01F223D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3.53</w:t>
            </w:r>
          </w:p>
        </w:tc>
        <w:tc>
          <w:tcPr>
            <w:tcW w:w="835" w:type="dxa"/>
          </w:tcPr>
          <w:p w14:paraId="4154BFE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3.93</w:t>
            </w:r>
          </w:p>
        </w:tc>
        <w:tc>
          <w:tcPr>
            <w:tcW w:w="729" w:type="dxa"/>
          </w:tcPr>
          <w:p w14:paraId="6B53A70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3.33</w:t>
            </w:r>
          </w:p>
        </w:tc>
        <w:tc>
          <w:tcPr>
            <w:tcW w:w="782" w:type="dxa"/>
          </w:tcPr>
          <w:p w14:paraId="033B0C9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9" w:type="dxa"/>
          </w:tcPr>
          <w:p w14:paraId="0B5F938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2.80</w:t>
            </w:r>
          </w:p>
        </w:tc>
      </w:tr>
      <w:tr w:rsidR="003E78AB" w14:paraId="0CDB5901" w14:textId="77777777">
        <w:trPr>
          <w:trHeight w:val="369"/>
        </w:trPr>
        <w:tc>
          <w:tcPr>
            <w:tcW w:w="874" w:type="dxa"/>
          </w:tcPr>
          <w:p w14:paraId="75BCFC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五月</w:t>
            </w:r>
          </w:p>
        </w:tc>
        <w:tc>
          <w:tcPr>
            <w:tcW w:w="782" w:type="dxa"/>
          </w:tcPr>
          <w:p w14:paraId="6E20187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1.60</w:t>
            </w:r>
          </w:p>
        </w:tc>
        <w:tc>
          <w:tcPr>
            <w:tcW w:w="782" w:type="dxa"/>
          </w:tcPr>
          <w:p w14:paraId="605818F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2.73</w:t>
            </w:r>
          </w:p>
        </w:tc>
        <w:tc>
          <w:tcPr>
            <w:tcW w:w="782" w:type="dxa"/>
          </w:tcPr>
          <w:p w14:paraId="2EC1FC4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5.19</w:t>
            </w:r>
          </w:p>
        </w:tc>
        <w:tc>
          <w:tcPr>
            <w:tcW w:w="782" w:type="dxa"/>
          </w:tcPr>
          <w:p w14:paraId="62F79C4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6.17</w:t>
            </w:r>
          </w:p>
        </w:tc>
        <w:tc>
          <w:tcPr>
            <w:tcW w:w="782" w:type="dxa"/>
          </w:tcPr>
          <w:p w14:paraId="50347A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4.56</w:t>
            </w:r>
          </w:p>
        </w:tc>
        <w:tc>
          <w:tcPr>
            <w:tcW w:w="782" w:type="dxa"/>
          </w:tcPr>
          <w:p w14:paraId="084138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4.20</w:t>
            </w:r>
          </w:p>
        </w:tc>
        <w:tc>
          <w:tcPr>
            <w:tcW w:w="782" w:type="dxa"/>
          </w:tcPr>
          <w:p w14:paraId="4924E3E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7.02</w:t>
            </w:r>
          </w:p>
        </w:tc>
        <w:tc>
          <w:tcPr>
            <w:tcW w:w="782" w:type="dxa"/>
          </w:tcPr>
          <w:p w14:paraId="2748EA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2.43</w:t>
            </w:r>
          </w:p>
        </w:tc>
        <w:tc>
          <w:tcPr>
            <w:tcW w:w="782" w:type="dxa"/>
          </w:tcPr>
          <w:p w14:paraId="335C87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1.79</w:t>
            </w:r>
          </w:p>
        </w:tc>
        <w:tc>
          <w:tcPr>
            <w:tcW w:w="782" w:type="dxa"/>
          </w:tcPr>
          <w:p w14:paraId="7FC677B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2.01</w:t>
            </w:r>
          </w:p>
        </w:tc>
        <w:tc>
          <w:tcPr>
            <w:tcW w:w="782" w:type="dxa"/>
          </w:tcPr>
          <w:p w14:paraId="7BEB6EE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3.24</w:t>
            </w:r>
          </w:p>
        </w:tc>
        <w:tc>
          <w:tcPr>
            <w:tcW w:w="782" w:type="dxa"/>
          </w:tcPr>
          <w:p w14:paraId="1209D85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2.77</w:t>
            </w:r>
          </w:p>
        </w:tc>
        <w:tc>
          <w:tcPr>
            <w:tcW w:w="782" w:type="dxa"/>
          </w:tcPr>
          <w:p w14:paraId="1EBDBF1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2.77</w:t>
            </w:r>
          </w:p>
        </w:tc>
        <w:tc>
          <w:tcPr>
            <w:tcW w:w="835" w:type="dxa"/>
          </w:tcPr>
          <w:p w14:paraId="70590A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2.63</w:t>
            </w:r>
          </w:p>
        </w:tc>
        <w:tc>
          <w:tcPr>
            <w:tcW w:w="729" w:type="dxa"/>
          </w:tcPr>
          <w:p w14:paraId="22E4A5F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3.27</w:t>
            </w:r>
          </w:p>
        </w:tc>
        <w:tc>
          <w:tcPr>
            <w:tcW w:w="782" w:type="dxa"/>
          </w:tcPr>
          <w:p w14:paraId="38BFC29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2.34</w:t>
            </w:r>
          </w:p>
        </w:tc>
        <w:tc>
          <w:tcPr>
            <w:tcW w:w="789" w:type="dxa"/>
          </w:tcPr>
          <w:p w14:paraId="2F989D6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3.42</w:t>
            </w:r>
          </w:p>
        </w:tc>
      </w:tr>
      <w:tr w:rsidR="003E78AB" w14:paraId="2D7A8845" w14:textId="77777777">
        <w:trPr>
          <w:trHeight w:val="369"/>
        </w:trPr>
        <w:tc>
          <w:tcPr>
            <w:tcW w:w="874" w:type="dxa"/>
          </w:tcPr>
          <w:p w14:paraId="55F2340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六月</w:t>
            </w:r>
          </w:p>
        </w:tc>
        <w:tc>
          <w:tcPr>
            <w:tcW w:w="782" w:type="dxa"/>
          </w:tcPr>
          <w:p w14:paraId="47C216D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3.28</w:t>
            </w:r>
          </w:p>
        </w:tc>
        <w:tc>
          <w:tcPr>
            <w:tcW w:w="782" w:type="dxa"/>
          </w:tcPr>
          <w:p w14:paraId="7BF3992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4.91</w:t>
            </w:r>
          </w:p>
        </w:tc>
        <w:tc>
          <w:tcPr>
            <w:tcW w:w="782" w:type="dxa"/>
          </w:tcPr>
          <w:p w14:paraId="4B46BBC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6.55</w:t>
            </w:r>
          </w:p>
        </w:tc>
        <w:tc>
          <w:tcPr>
            <w:tcW w:w="782" w:type="dxa"/>
          </w:tcPr>
          <w:p w14:paraId="739F19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4.94</w:t>
            </w:r>
          </w:p>
        </w:tc>
        <w:tc>
          <w:tcPr>
            <w:tcW w:w="782" w:type="dxa"/>
          </w:tcPr>
          <w:p w14:paraId="39AC1E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4.56</w:t>
            </w:r>
          </w:p>
        </w:tc>
        <w:tc>
          <w:tcPr>
            <w:tcW w:w="782" w:type="dxa"/>
          </w:tcPr>
          <w:p w14:paraId="1B197FC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6.76</w:t>
            </w:r>
          </w:p>
        </w:tc>
        <w:tc>
          <w:tcPr>
            <w:tcW w:w="782" w:type="dxa"/>
          </w:tcPr>
          <w:p w14:paraId="3C4849F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5.43</w:t>
            </w:r>
          </w:p>
        </w:tc>
        <w:tc>
          <w:tcPr>
            <w:tcW w:w="782" w:type="dxa"/>
          </w:tcPr>
          <w:p w14:paraId="3C49690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3.32</w:t>
            </w:r>
          </w:p>
        </w:tc>
        <w:tc>
          <w:tcPr>
            <w:tcW w:w="782" w:type="dxa"/>
          </w:tcPr>
          <w:p w14:paraId="67503B5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1.98</w:t>
            </w:r>
          </w:p>
        </w:tc>
        <w:tc>
          <w:tcPr>
            <w:tcW w:w="782" w:type="dxa"/>
          </w:tcPr>
          <w:p w14:paraId="0C02539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1.26</w:t>
            </w:r>
          </w:p>
        </w:tc>
        <w:tc>
          <w:tcPr>
            <w:tcW w:w="782" w:type="dxa"/>
          </w:tcPr>
          <w:p w14:paraId="504DF53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2.20</w:t>
            </w:r>
          </w:p>
        </w:tc>
        <w:tc>
          <w:tcPr>
            <w:tcW w:w="782" w:type="dxa"/>
          </w:tcPr>
          <w:p w14:paraId="59C60B2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3.78</w:t>
            </w:r>
          </w:p>
        </w:tc>
        <w:tc>
          <w:tcPr>
            <w:tcW w:w="782" w:type="dxa"/>
          </w:tcPr>
          <w:p w14:paraId="1DA61FB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2.82</w:t>
            </w:r>
          </w:p>
        </w:tc>
        <w:tc>
          <w:tcPr>
            <w:tcW w:w="835" w:type="dxa"/>
          </w:tcPr>
          <w:p w14:paraId="091BC62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2.78</w:t>
            </w:r>
          </w:p>
        </w:tc>
        <w:tc>
          <w:tcPr>
            <w:tcW w:w="729" w:type="dxa"/>
          </w:tcPr>
          <w:p w14:paraId="098DF77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3.67</w:t>
            </w:r>
          </w:p>
        </w:tc>
        <w:tc>
          <w:tcPr>
            <w:tcW w:w="782" w:type="dxa"/>
          </w:tcPr>
          <w:p w14:paraId="265AC77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2.04</w:t>
            </w:r>
          </w:p>
        </w:tc>
        <w:tc>
          <w:tcPr>
            <w:tcW w:w="789" w:type="dxa"/>
          </w:tcPr>
          <w:p w14:paraId="03A35E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3.77</w:t>
            </w:r>
          </w:p>
        </w:tc>
      </w:tr>
      <w:tr w:rsidR="003E78AB" w14:paraId="624AF4B9" w14:textId="77777777">
        <w:trPr>
          <w:trHeight w:val="369"/>
        </w:trPr>
        <w:tc>
          <w:tcPr>
            <w:tcW w:w="874" w:type="dxa"/>
          </w:tcPr>
          <w:p w14:paraId="50CA85F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七月</w:t>
            </w:r>
          </w:p>
        </w:tc>
        <w:tc>
          <w:tcPr>
            <w:tcW w:w="782" w:type="dxa"/>
          </w:tcPr>
          <w:p w14:paraId="04818EA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1.84</w:t>
            </w:r>
          </w:p>
        </w:tc>
        <w:tc>
          <w:tcPr>
            <w:tcW w:w="782" w:type="dxa"/>
          </w:tcPr>
          <w:p w14:paraId="794B3CB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5.82</w:t>
            </w:r>
          </w:p>
        </w:tc>
        <w:tc>
          <w:tcPr>
            <w:tcW w:w="782" w:type="dxa"/>
          </w:tcPr>
          <w:p w14:paraId="566434D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8.87</w:t>
            </w:r>
          </w:p>
        </w:tc>
        <w:tc>
          <w:tcPr>
            <w:tcW w:w="782" w:type="dxa"/>
          </w:tcPr>
          <w:p w14:paraId="5D4BA3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5.78</w:t>
            </w:r>
          </w:p>
        </w:tc>
        <w:tc>
          <w:tcPr>
            <w:tcW w:w="782" w:type="dxa"/>
          </w:tcPr>
          <w:p w14:paraId="39D8A45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7.75</w:t>
            </w:r>
          </w:p>
        </w:tc>
        <w:tc>
          <w:tcPr>
            <w:tcW w:w="782" w:type="dxa"/>
          </w:tcPr>
          <w:p w14:paraId="4724F9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7.20</w:t>
            </w:r>
          </w:p>
        </w:tc>
        <w:tc>
          <w:tcPr>
            <w:tcW w:w="782" w:type="dxa"/>
          </w:tcPr>
          <w:p w14:paraId="708CBB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5.35</w:t>
            </w:r>
          </w:p>
        </w:tc>
        <w:tc>
          <w:tcPr>
            <w:tcW w:w="782" w:type="dxa"/>
          </w:tcPr>
          <w:p w14:paraId="61F26AD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3.14</w:t>
            </w:r>
          </w:p>
        </w:tc>
        <w:tc>
          <w:tcPr>
            <w:tcW w:w="782" w:type="dxa"/>
          </w:tcPr>
          <w:p w14:paraId="2BF9ECA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1.52</w:t>
            </w:r>
          </w:p>
        </w:tc>
        <w:tc>
          <w:tcPr>
            <w:tcW w:w="782" w:type="dxa"/>
          </w:tcPr>
          <w:p w14:paraId="2DF8E3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2.09</w:t>
            </w:r>
          </w:p>
        </w:tc>
        <w:tc>
          <w:tcPr>
            <w:tcW w:w="782" w:type="dxa"/>
          </w:tcPr>
          <w:p w14:paraId="403B1E6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3.05</w:t>
            </w:r>
          </w:p>
        </w:tc>
        <w:tc>
          <w:tcPr>
            <w:tcW w:w="782" w:type="dxa"/>
          </w:tcPr>
          <w:p w14:paraId="370B1F6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3.74</w:t>
            </w:r>
          </w:p>
        </w:tc>
        <w:tc>
          <w:tcPr>
            <w:tcW w:w="782" w:type="dxa"/>
          </w:tcPr>
          <w:p w14:paraId="40C08A2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3.98</w:t>
            </w:r>
          </w:p>
        </w:tc>
        <w:tc>
          <w:tcPr>
            <w:tcW w:w="835" w:type="dxa"/>
          </w:tcPr>
          <w:p w14:paraId="3581154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2.98</w:t>
            </w:r>
          </w:p>
        </w:tc>
        <w:tc>
          <w:tcPr>
            <w:tcW w:w="729" w:type="dxa"/>
          </w:tcPr>
          <w:p w14:paraId="3419D1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3.55</w:t>
            </w:r>
          </w:p>
        </w:tc>
        <w:tc>
          <w:tcPr>
            <w:tcW w:w="782" w:type="dxa"/>
          </w:tcPr>
          <w:p w14:paraId="5D90C3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2.47</w:t>
            </w:r>
          </w:p>
        </w:tc>
        <w:tc>
          <w:tcPr>
            <w:tcW w:w="789" w:type="dxa"/>
          </w:tcPr>
          <w:p w14:paraId="159DD04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4.32</w:t>
            </w:r>
          </w:p>
        </w:tc>
      </w:tr>
      <w:tr w:rsidR="003E78AB" w14:paraId="71B401A4" w14:textId="77777777">
        <w:trPr>
          <w:trHeight w:val="369"/>
        </w:trPr>
        <w:tc>
          <w:tcPr>
            <w:tcW w:w="874" w:type="dxa"/>
          </w:tcPr>
          <w:p w14:paraId="709B565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八月</w:t>
            </w:r>
          </w:p>
        </w:tc>
        <w:tc>
          <w:tcPr>
            <w:tcW w:w="782" w:type="dxa"/>
          </w:tcPr>
          <w:p w14:paraId="124D22F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2.26</w:t>
            </w:r>
          </w:p>
        </w:tc>
        <w:tc>
          <w:tcPr>
            <w:tcW w:w="782" w:type="dxa"/>
          </w:tcPr>
          <w:p w14:paraId="344387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6.72</w:t>
            </w:r>
          </w:p>
        </w:tc>
        <w:tc>
          <w:tcPr>
            <w:tcW w:w="782" w:type="dxa"/>
          </w:tcPr>
          <w:p w14:paraId="1DB5A3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10.42</w:t>
            </w:r>
          </w:p>
        </w:tc>
        <w:tc>
          <w:tcPr>
            <w:tcW w:w="782" w:type="dxa"/>
          </w:tcPr>
          <w:p w14:paraId="5C51BBB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7.59</w:t>
            </w:r>
          </w:p>
        </w:tc>
        <w:tc>
          <w:tcPr>
            <w:tcW w:w="782" w:type="dxa"/>
          </w:tcPr>
          <w:p w14:paraId="469BFA0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7.31</w:t>
            </w:r>
          </w:p>
        </w:tc>
        <w:tc>
          <w:tcPr>
            <w:tcW w:w="782" w:type="dxa"/>
          </w:tcPr>
          <w:p w14:paraId="68D2E8F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5.16</w:t>
            </w:r>
          </w:p>
        </w:tc>
        <w:tc>
          <w:tcPr>
            <w:tcW w:w="782" w:type="dxa"/>
          </w:tcPr>
          <w:p w14:paraId="7E40BF3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5.33</w:t>
            </w:r>
          </w:p>
        </w:tc>
        <w:tc>
          <w:tcPr>
            <w:tcW w:w="782" w:type="dxa"/>
          </w:tcPr>
          <w:p w14:paraId="14F5BA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2.02</w:t>
            </w:r>
          </w:p>
        </w:tc>
        <w:tc>
          <w:tcPr>
            <w:tcW w:w="782" w:type="dxa"/>
          </w:tcPr>
          <w:p w14:paraId="31FF345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1.98</w:t>
            </w:r>
          </w:p>
        </w:tc>
        <w:tc>
          <w:tcPr>
            <w:tcW w:w="782" w:type="dxa"/>
          </w:tcPr>
          <w:p w14:paraId="2687773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2.20</w:t>
            </w:r>
          </w:p>
        </w:tc>
        <w:tc>
          <w:tcPr>
            <w:tcW w:w="782" w:type="dxa"/>
          </w:tcPr>
          <w:p w14:paraId="35F49C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1.99</w:t>
            </w:r>
          </w:p>
        </w:tc>
        <w:tc>
          <w:tcPr>
            <w:tcW w:w="782" w:type="dxa"/>
          </w:tcPr>
          <w:p w14:paraId="04284E7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w:t>
            </w:r>
          </w:p>
        </w:tc>
        <w:tc>
          <w:tcPr>
            <w:tcW w:w="782" w:type="dxa"/>
          </w:tcPr>
          <w:p w14:paraId="1957A7A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1.83</w:t>
            </w:r>
          </w:p>
        </w:tc>
        <w:tc>
          <w:tcPr>
            <w:tcW w:w="835" w:type="dxa"/>
          </w:tcPr>
          <w:p w14:paraId="52C7FC9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1.05</w:t>
            </w:r>
          </w:p>
        </w:tc>
        <w:tc>
          <w:tcPr>
            <w:tcW w:w="729" w:type="dxa"/>
          </w:tcPr>
          <w:p w14:paraId="5D3168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3.68</w:t>
            </w:r>
          </w:p>
        </w:tc>
        <w:tc>
          <w:tcPr>
            <w:tcW w:w="782" w:type="dxa"/>
          </w:tcPr>
          <w:p w14:paraId="4B8C3CF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w:t>
            </w:r>
          </w:p>
        </w:tc>
        <w:tc>
          <w:tcPr>
            <w:tcW w:w="789" w:type="dxa"/>
          </w:tcPr>
          <w:p w14:paraId="5E0B47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3.91</w:t>
            </w:r>
          </w:p>
        </w:tc>
      </w:tr>
      <w:tr w:rsidR="003E78AB" w14:paraId="1E78F32F" w14:textId="77777777">
        <w:trPr>
          <w:trHeight w:val="369"/>
        </w:trPr>
        <w:tc>
          <w:tcPr>
            <w:tcW w:w="874" w:type="dxa"/>
          </w:tcPr>
          <w:p w14:paraId="21AFF62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九月</w:t>
            </w:r>
          </w:p>
        </w:tc>
        <w:tc>
          <w:tcPr>
            <w:tcW w:w="782" w:type="dxa"/>
          </w:tcPr>
          <w:p w14:paraId="7683F11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2.95</w:t>
            </w:r>
          </w:p>
        </w:tc>
        <w:tc>
          <w:tcPr>
            <w:tcW w:w="782" w:type="dxa"/>
          </w:tcPr>
          <w:p w14:paraId="3EC4E9E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7.92</w:t>
            </w:r>
          </w:p>
        </w:tc>
        <w:tc>
          <w:tcPr>
            <w:tcW w:w="782" w:type="dxa"/>
          </w:tcPr>
          <w:p w14:paraId="234E28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13.23</w:t>
            </w:r>
          </w:p>
        </w:tc>
        <w:tc>
          <w:tcPr>
            <w:tcW w:w="782" w:type="dxa"/>
          </w:tcPr>
          <w:p w14:paraId="0866FC7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8.94</w:t>
            </w:r>
          </w:p>
        </w:tc>
        <w:tc>
          <w:tcPr>
            <w:tcW w:w="782" w:type="dxa"/>
          </w:tcPr>
          <w:p w14:paraId="71F13A9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6.14</w:t>
            </w:r>
          </w:p>
        </w:tc>
        <w:tc>
          <w:tcPr>
            <w:tcW w:w="782" w:type="dxa"/>
          </w:tcPr>
          <w:p w14:paraId="4E60FA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5.92</w:t>
            </w:r>
          </w:p>
        </w:tc>
        <w:tc>
          <w:tcPr>
            <w:tcW w:w="782" w:type="dxa"/>
          </w:tcPr>
          <w:p w14:paraId="796BB72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5.94</w:t>
            </w:r>
          </w:p>
        </w:tc>
        <w:tc>
          <w:tcPr>
            <w:tcW w:w="782" w:type="dxa"/>
          </w:tcPr>
          <w:p w14:paraId="345EC66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3.16</w:t>
            </w:r>
          </w:p>
        </w:tc>
        <w:tc>
          <w:tcPr>
            <w:tcW w:w="782" w:type="dxa"/>
          </w:tcPr>
          <w:p w14:paraId="32ED8ED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2.25</w:t>
            </w:r>
          </w:p>
        </w:tc>
        <w:tc>
          <w:tcPr>
            <w:tcW w:w="782" w:type="dxa"/>
          </w:tcPr>
          <w:p w14:paraId="5E8CD35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1.91</w:t>
            </w:r>
          </w:p>
        </w:tc>
        <w:tc>
          <w:tcPr>
            <w:tcW w:w="782" w:type="dxa"/>
          </w:tcPr>
          <w:p w14:paraId="5B95CF7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1.41</w:t>
            </w:r>
          </w:p>
        </w:tc>
        <w:tc>
          <w:tcPr>
            <w:tcW w:w="782" w:type="dxa"/>
          </w:tcPr>
          <w:p w14:paraId="1D45981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1.22</w:t>
            </w:r>
          </w:p>
        </w:tc>
        <w:tc>
          <w:tcPr>
            <w:tcW w:w="782" w:type="dxa"/>
          </w:tcPr>
          <w:p w14:paraId="11E7C41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3.22</w:t>
            </w:r>
          </w:p>
        </w:tc>
        <w:tc>
          <w:tcPr>
            <w:tcW w:w="835" w:type="dxa"/>
          </w:tcPr>
          <w:p w14:paraId="035A0F6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2.86</w:t>
            </w:r>
          </w:p>
        </w:tc>
        <w:tc>
          <w:tcPr>
            <w:tcW w:w="729" w:type="dxa"/>
          </w:tcPr>
          <w:p w14:paraId="310EB27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2.67</w:t>
            </w:r>
          </w:p>
        </w:tc>
        <w:tc>
          <w:tcPr>
            <w:tcW w:w="782" w:type="dxa"/>
          </w:tcPr>
          <w:p w14:paraId="1BE198B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1.62</w:t>
            </w:r>
          </w:p>
        </w:tc>
        <w:tc>
          <w:tcPr>
            <w:tcW w:w="789" w:type="dxa"/>
          </w:tcPr>
          <w:p w14:paraId="38AB4B6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4.46</w:t>
            </w:r>
          </w:p>
        </w:tc>
      </w:tr>
      <w:tr w:rsidR="003E78AB" w14:paraId="344F3484" w14:textId="77777777">
        <w:trPr>
          <w:trHeight w:val="369"/>
        </w:trPr>
        <w:tc>
          <w:tcPr>
            <w:tcW w:w="874" w:type="dxa"/>
          </w:tcPr>
          <w:p w14:paraId="2116051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十月</w:t>
            </w:r>
          </w:p>
        </w:tc>
        <w:tc>
          <w:tcPr>
            <w:tcW w:w="782" w:type="dxa"/>
          </w:tcPr>
          <w:p w14:paraId="64CE84A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1.34</w:t>
            </w:r>
          </w:p>
        </w:tc>
        <w:tc>
          <w:tcPr>
            <w:tcW w:w="782" w:type="dxa"/>
          </w:tcPr>
          <w:p w14:paraId="61C4863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7.03</w:t>
            </w:r>
          </w:p>
        </w:tc>
        <w:tc>
          <w:tcPr>
            <w:tcW w:w="782" w:type="dxa"/>
          </w:tcPr>
          <w:p w14:paraId="4B5E9E2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20.85</w:t>
            </w:r>
          </w:p>
        </w:tc>
        <w:tc>
          <w:tcPr>
            <w:tcW w:w="782" w:type="dxa"/>
          </w:tcPr>
          <w:p w14:paraId="07E5859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9.81</w:t>
            </w:r>
          </w:p>
        </w:tc>
        <w:tc>
          <w:tcPr>
            <w:tcW w:w="782" w:type="dxa"/>
          </w:tcPr>
          <w:p w14:paraId="0B43131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5.85</w:t>
            </w:r>
          </w:p>
        </w:tc>
        <w:tc>
          <w:tcPr>
            <w:tcW w:w="782" w:type="dxa"/>
          </w:tcPr>
          <w:p w14:paraId="2740A21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4.32</w:t>
            </w:r>
          </w:p>
        </w:tc>
        <w:tc>
          <w:tcPr>
            <w:tcW w:w="782" w:type="dxa"/>
          </w:tcPr>
          <w:p w14:paraId="7597176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3.54</w:t>
            </w:r>
          </w:p>
        </w:tc>
        <w:tc>
          <w:tcPr>
            <w:tcW w:w="782" w:type="dxa"/>
          </w:tcPr>
          <w:p w14:paraId="406AD75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2.55</w:t>
            </w:r>
          </w:p>
        </w:tc>
        <w:tc>
          <w:tcPr>
            <w:tcW w:w="782" w:type="dxa"/>
          </w:tcPr>
          <w:p w14:paraId="5DD2F7B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2" w:type="dxa"/>
          </w:tcPr>
          <w:p w14:paraId="0177328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1.88</w:t>
            </w:r>
          </w:p>
        </w:tc>
        <w:tc>
          <w:tcPr>
            <w:tcW w:w="782" w:type="dxa"/>
          </w:tcPr>
          <w:p w14:paraId="54D949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2.23</w:t>
            </w:r>
          </w:p>
        </w:tc>
        <w:tc>
          <w:tcPr>
            <w:tcW w:w="782" w:type="dxa"/>
          </w:tcPr>
          <w:p w14:paraId="2EEDDCE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2.48</w:t>
            </w:r>
          </w:p>
        </w:tc>
        <w:tc>
          <w:tcPr>
            <w:tcW w:w="782" w:type="dxa"/>
          </w:tcPr>
          <w:p w14:paraId="7641678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2.34</w:t>
            </w:r>
          </w:p>
        </w:tc>
        <w:tc>
          <w:tcPr>
            <w:tcW w:w="835" w:type="dxa"/>
          </w:tcPr>
          <w:p w14:paraId="462DBAC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2.80</w:t>
            </w:r>
          </w:p>
        </w:tc>
        <w:tc>
          <w:tcPr>
            <w:tcW w:w="729" w:type="dxa"/>
          </w:tcPr>
          <w:p w14:paraId="63632D3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2.03</w:t>
            </w:r>
          </w:p>
        </w:tc>
        <w:tc>
          <w:tcPr>
            <w:tcW w:w="782" w:type="dxa"/>
          </w:tcPr>
          <w:p w14:paraId="6EC9CD4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9" w:type="dxa"/>
          </w:tcPr>
          <w:p w14:paraId="4ED3F44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4.53</w:t>
            </w:r>
          </w:p>
        </w:tc>
      </w:tr>
      <w:tr w:rsidR="003E78AB" w14:paraId="403B99C1" w14:textId="77777777">
        <w:trPr>
          <w:trHeight w:val="369"/>
        </w:trPr>
        <w:tc>
          <w:tcPr>
            <w:tcW w:w="874" w:type="dxa"/>
          </w:tcPr>
          <w:p w14:paraId="5D9E74E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十一月</w:t>
            </w:r>
          </w:p>
        </w:tc>
        <w:tc>
          <w:tcPr>
            <w:tcW w:w="782" w:type="dxa"/>
          </w:tcPr>
          <w:p w14:paraId="22F8CB8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1.87</w:t>
            </w:r>
          </w:p>
        </w:tc>
        <w:tc>
          <w:tcPr>
            <w:tcW w:w="782" w:type="dxa"/>
          </w:tcPr>
          <w:p w14:paraId="3DA466D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5.24</w:t>
            </w:r>
          </w:p>
        </w:tc>
        <w:tc>
          <w:tcPr>
            <w:tcW w:w="782" w:type="dxa"/>
          </w:tcPr>
          <w:p w14:paraId="670AF2F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17.83</w:t>
            </w:r>
          </w:p>
        </w:tc>
        <w:tc>
          <w:tcPr>
            <w:tcW w:w="782" w:type="dxa"/>
          </w:tcPr>
          <w:p w14:paraId="2A16EC6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12.16</w:t>
            </w:r>
          </w:p>
        </w:tc>
        <w:tc>
          <w:tcPr>
            <w:tcW w:w="782" w:type="dxa"/>
          </w:tcPr>
          <w:p w14:paraId="4C7817F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5.93</w:t>
            </w:r>
          </w:p>
        </w:tc>
        <w:tc>
          <w:tcPr>
            <w:tcW w:w="782" w:type="dxa"/>
          </w:tcPr>
          <w:p w14:paraId="363D265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4.79</w:t>
            </w:r>
          </w:p>
        </w:tc>
        <w:tc>
          <w:tcPr>
            <w:tcW w:w="782" w:type="dxa"/>
          </w:tcPr>
          <w:p w14:paraId="62F3D05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3.94</w:t>
            </w:r>
          </w:p>
        </w:tc>
        <w:tc>
          <w:tcPr>
            <w:tcW w:w="782" w:type="dxa"/>
          </w:tcPr>
          <w:p w14:paraId="3E8D389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2.33</w:t>
            </w:r>
          </w:p>
        </w:tc>
        <w:tc>
          <w:tcPr>
            <w:tcW w:w="782" w:type="dxa"/>
          </w:tcPr>
          <w:p w14:paraId="4AC079D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2.36</w:t>
            </w:r>
          </w:p>
        </w:tc>
        <w:tc>
          <w:tcPr>
            <w:tcW w:w="782" w:type="dxa"/>
          </w:tcPr>
          <w:p w14:paraId="550EA1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2.66</w:t>
            </w:r>
          </w:p>
        </w:tc>
        <w:tc>
          <w:tcPr>
            <w:tcW w:w="782" w:type="dxa"/>
          </w:tcPr>
          <w:p w14:paraId="2D5ED24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2.69</w:t>
            </w:r>
          </w:p>
        </w:tc>
        <w:tc>
          <w:tcPr>
            <w:tcW w:w="782" w:type="dxa"/>
          </w:tcPr>
          <w:p w14:paraId="29B6D89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1.45</w:t>
            </w:r>
          </w:p>
        </w:tc>
        <w:tc>
          <w:tcPr>
            <w:tcW w:w="782" w:type="dxa"/>
          </w:tcPr>
          <w:p w14:paraId="66A02C6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2.80</w:t>
            </w:r>
          </w:p>
        </w:tc>
        <w:tc>
          <w:tcPr>
            <w:tcW w:w="835" w:type="dxa"/>
          </w:tcPr>
          <w:p w14:paraId="29D3C4C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1.95</w:t>
            </w:r>
          </w:p>
        </w:tc>
        <w:tc>
          <w:tcPr>
            <w:tcW w:w="729" w:type="dxa"/>
          </w:tcPr>
          <w:p w14:paraId="3C30047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1.66</w:t>
            </w:r>
          </w:p>
        </w:tc>
        <w:tc>
          <w:tcPr>
            <w:tcW w:w="782" w:type="dxa"/>
          </w:tcPr>
          <w:p w14:paraId="1927453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0.90</w:t>
            </w:r>
          </w:p>
        </w:tc>
        <w:tc>
          <w:tcPr>
            <w:tcW w:w="789" w:type="dxa"/>
          </w:tcPr>
          <w:p w14:paraId="1296DA2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4.41</w:t>
            </w:r>
          </w:p>
        </w:tc>
      </w:tr>
      <w:tr w:rsidR="003E78AB" w14:paraId="5600D44A" w14:textId="77777777">
        <w:trPr>
          <w:trHeight w:val="369"/>
        </w:trPr>
        <w:tc>
          <w:tcPr>
            <w:tcW w:w="874" w:type="dxa"/>
          </w:tcPr>
          <w:p w14:paraId="4986528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十二月</w:t>
            </w:r>
          </w:p>
        </w:tc>
        <w:tc>
          <w:tcPr>
            <w:tcW w:w="782" w:type="dxa"/>
          </w:tcPr>
          <w:p w14:paraId="411A22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2" w:type="dxa"/>
          </w:tcPr>
          <w:p w14:paraId="22B5C6B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3.14</w:t>
            </w:r>
          </w:p>
        </w:tc>
        <w:tc>
          <w:tcPr>
            <w:tcW w:w="782" w:type="dxa"/>
          </w:tcPr>
          <w:p w14:paraId="32948BA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12.77</w:t>
            </w:r>
          </w:p>
        </w:tc>
        <w:tc>
          <w:tcPr>
            <w:tcW w:w="782" w:type="dxa"/>
          </w:tcPr>
          <w:p w14:paraId="07BE829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13.85</w:t>
            </w:r>
          </w:p>
        </w:tc>
        <w:tc>
          <w:tcPr>
            <w:tcW w:w="782" w:type="dxa"/>
          </w:tcPr>
          <w:p w14:paraId="32A4136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7.11</w:t>
            </w:r>
          </w:p>
        </w:tc>
        <w:tc>
          <w:tcPr>
            <w:tcW w:w="782" w:type="dxa"/>
          </w:tcPr>
          <w:p w14:paraId="5B8818C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4.70</w:t>
            </w:r>
          </w:p>
        </w:tc>
        <w:tc>
          <w:tcPr>
            <w:tcW w:w="782" w:type="dxa"/>
          </w:tcPr>
          <w:p w14:paraId="0F2B480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5.05</w:t>
            </w:r>
          </w:p>
        </w:tc>
        <w:tc>
          <w:tcPr>
            <w:tcW w:w="782" w:type="dxa"/>
          </w:tcPr>
          <w:p w14:paraId="0A774E8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2.58</w:t>
            </w:r>
          </w:p>
        </w:tc>
        <w:tc>
          <w:tcPr>
            <w:tcW w:w="782" w:type="dxa"/>
          </w:tcPr>
          <w:p w14:paraId="1E0C289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4.15</w:t>
            </w:r>
          </w:p>
        </w:tc>
        <w:tc>
          <w:tcPr>
            <w:tcW w:w="782" w:type="dxa"/>
          </w:tcPr>
          <w:p w14:paraId="537D44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2.23</w:t>
            </w:r>
          </w:p>
        </w:tc>
        <w:tc>
          <w:tcPr>
            <w:tcW w:w="782" w:type="dxa"/>
          </w:tcPr>
          <w:p w14:paraId="07AF411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2.29</w:t>
            </w:r>
          </w:p>
        </w:tc>
        <w:tc>
          <w:tcPr>
            <w:tcW w:w="782" w:type="dxa"/>
          </w:tcPr>
          <w:p w14:paraId="69609E9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3.44</w:t>
            </w:r>
          </w:p>
        </w:tc>
        <w:tc>
          <w:tcPr>
            <w:tcW w:w="782" w:type="dxa"/>
          </w:tcPr>
          <w:p w14:paraId="3AAFF5A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2.76</w:t>
            </w:r>
          </w:p>
        </w:tc>
        <w:tc>
          <w:tcPr>
            <w:tcW w:w="835" w:type="dxa"/>
          </w:tcPr>
          <w:p w14:paraId="0B6F940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2.58</w:t>
            </w:r>
          </w:p>
        </w:tc>
        <w:tc>
          <w:tcPr>
            <w:tcW w:w="729" w:type="dxa"/>
          </w:tcPr>
          <w:p w14:paraId="528ECF9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1.97</w:t>
            </w:r>
          </w:p>
        </w:tc>
        <w:tc>
          <w:tcPr>
            <w:tcW w:w="782" w:type="dxa"/>
          </w:tcPr>
          <w:p w14:paraId="4BBFE30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0.93</w:t>
            </w:r>
          </w:p>
        </w:tc>
        <w:tc>
          <w:tcPr>
            <w:tcW w:w="789" w:type="dxa"/>
          </w:tcPr>
          <w:p w14:paraId="1B74417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4.43</w:t>
            </w:r>
          </w:p>
        </w:tc>
      </w:tr>
      <w:tr w:rsidR="003E78AB" w14:paraId="7C821B65" w14:textId="77777777">
        <w:trPr>
          <w:trHeight w:val="369"/>
        </w:trPr>
        <w:tc>
          <w:tcPr>
            <w:tcW w:w="874" w:type="dxa"/>
          </w:tcPr>
          <w:p w14:paraId="78DCF5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春季</w:t>
            </w:r>
          </w:p>
        </w:tc>
        <w:tc>
          <w:tcPr>
            <w:tcW w:w="782" w:type="dxa"/>
          </w:tcPr>
          <w:p w14:paraId="4FB38E3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1.73</w:t>
            </w:r>
          </w:p>
        </w:tc>
        <w:tc>
          <w:tcPr>
            <w:tcW w:w="782" w:type="dxa"/>
          </w:tcPr>
          <w:p w14:paraId="366458A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4.34</w:t>
            </w:r>
          </w:p>
        </w:tc>
        <w:tc>
          <w:tcPr>
            <w:tcW w:w="782" w:type="dxa"/>
          </w:tcPr>
          <w:p w14:paraId="42A9FC1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10.12</w:t>
            </w:r>
          </w:p>
        </w:tc>
        <w:tc>
          <w:tcPr>
            <w:tcW w:w="782" w:type="dxa"/>
          </w:tcPr>
          <w:p w14:paraId="0E39277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7.74</w:t>
            </w:r>
          </w:p>
        </w:tc>
        <w:tc>
          <w:tcPr>
            <w:tcW w:w="782" w:type="dxa"/>
          </w:tcPr>
          <w:p w14:paraId="41ABFF0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5.68</w:t>
            </w:r>
          </w:p>
        </w:tc>
        <w:tc>
          <w:tcPr>
            <w:tcW w:w="782" w:type="dxa"/>
          </w:tcPr>
          <w:p w14:paraId="7E62D67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4.97</w:t>
            </w:r>
          </w:p>
        </w:tc>
        <w:tc>
          <w:tcPr>
            <w:tcW w:w="782" w:type="dxa"/>
          </w:tcPr>
          <w:p w14:paraId="30C9FB1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4.46</w:t>
            </w:r>
          </w:p>
        </w:tc>
        <w:tc>
          <w:tcPr>
            <w:tcW w:w="782" w:type="dxa"/>
          </w:tcPr>
          <w:p w14:paraId="4FB3021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2.60</w:t>
            </w:r>
          </w:p>
        </w:tc>
        <w:tc>
          <w:tcPr>
            <w:tcW w:w="782" w:type="dxa"/>
          </w:tcPr>
          <w:p w14:paraId="2163160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2.17</w:t>
            </w:r>
          </w:p>
        </w:tc>
        <w:tc>
          <w:tcPr>
            <w:tcW w:w="782" w:type="dxa"/>
          </w:tcPr>
          <w:p w14:paraId="7151BC5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1.91</w:t>
            </w:r>
          </w:p>
        </w:tc>
        <w:tc>
          <w:tcPr>
            <w:tcW w:w="782" w:type="dxa"/>
          </w:tcPr>
          <w:p w14:paraId="67B2A08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2.24</w:t>
            </w:r>
          </w:p>
        </w:tc>
        <w:tc>
          <w:tcPr>
            <w:tcW w:w="782" w:type="dxa"/>
          </w:tcPr>
          <w:p w14:paraId="4AC650B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2.33</w:t>
            </w:r>
          </w:p>
        </w:tc>
        <w:tc>
          <w:tcPr>
            <w:tcW w:w="782" w:type="dxa"/>
          </w:tcPr>
          <w:p w14:paraId="351329E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2.85</w:t>
            </w:r>
          </w:p>
        </w:tc>
        <w:tc>
          <w:tcPr>
            <w:tcW w:w="835" w:type="dxa"/>
          </w:tcPr>
          <w:p w14:paraId="3B3AC62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2.67</w:t>
            </w:r>
          </w:p>
        </w:tc>
        <w:tc>
          <w:tcPr>
            <w:tcW w:w="729" w:type="dxa"/>
          </w:tcPr>
          <w:p w14:paraId="58D094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2.64</w:t>
            </w:r>
          </w:p>
        </w:tc>
        <w:tc>
          <w:tcPr>
            <w:tcW w:w="782" w:type="dxa"/>
          </w:tcPr>
          <w:p w14:paraId="54CE32F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9" w:type="dxa"/>
          </w:tcPr>
          <w:p w14:paraId="0585E3D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3.76</w:t>
            </w:r>
          </w:p>
        </w:tc>
      </w:tr>
      <w:tr w:rsidR="003E78AB" w14:paraId="7AD6249E" w14:textId="77777777">
        <w:trPr>
          <w:trHeight w:val="369"/>
        </w:trPr>
        <w:tc>
          <w:tcPr>
            <w:tcW w:w="874" w:type="dxa"/>
          </w:tcPr>
          <w:p w14:paraId="2661FAA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夏季</w:t>
            </w:r>
          </w:p>
        </w:tc>
        <w:tc>
          <w:tcPr>
            <w:tcW w:w="782" w:type="dxa"/>
          </w:tcPr>
          <w:p w14:paraId="17DA00B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1.46</w:t>
            </w:r>
          </w:p>
        </w:tc>
        <w:tc>
          <w:tcPr>
            <w:tcW w:w="782" w:type="dxa"/>
          </w:tcPr>
          <w:p w14:paraId="215AEFE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1.93</w:t>
            </w:r>
          </w:p>
        </w:tc>
        <w:tc>
          <w:tcPr>
            <w:tcW w:w="782" w:type="dxa"/>
          </w:tcPr>
          <w:p w14:paraId="38B184C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5.29</w:t>
            </w:r>
          </w:p>
        </w:tc>
        <w:tc>
          <w:tcPr>
            <w:tcW w:w="782" w:type="dxa"/>
          </w:tcPr>
          <w:p w14:paraId="0D405BD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4.89</w:t>
            </w:r>
          </w:p>
        </w:tc>
        <w:tc>
          <w:tcPr>
            <w:tcW w:w="782" w:type="dxa"/>
          </w:tcPr>
          <w:p w14:paraId="790FA60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4.10</w:t>
            </w:r>
          </w:p>
        </w:tc>
        <w:tc>
          <w:tcPr>
            <w:tcW w:w="782" w:type="dxa"/>
          </w:tcPr>
          <w:p w14:paraId="686289A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4.72</w:t>
            </w:r>
          </w:p>
        </w:tc>
        <w:tc>
          <w:tcPr>
            <w:tcW w:w="782" w:type="dxa"/>
          </w:tcPr>
          <w:p w14:paraId="2748B85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4.84</w:t>
            </w:r>
          </w:p>
        </w:tc>
        <w:tc>
          <w:tcPr>
            <w:tcW w:w="782" w:type="dxa"/>
          </w:tcPr>
          <w:p w14:paraId="2BD4E38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2.33</w:t>
            </w:r>
          </w:p>
        </w:tc>
        <w:tc>
          <w:tcPr>
            <w:tcW w:w="782" w:type="dxa"/>
          </w:tcPr>
          <w:p w14:paraId="2129B0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1.51</w:t>
            </w:r>
          </w:p>
        </w:tc>
        <w:tc>
          <w:tcPr>
            <w:tcW w:w="782" w:type="dxa"/>
          </w:tcPr>
          <w:p w14:paraId="57742EE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1.79</w:t>
            </w:r>
          </w:p>
        </w:tc>
        <w:tc>
          <w:tcPr>
            <w:tcW w:w="782" w:type="dxa"/>
          </w:tcPr>
          <w:p w14:paraId="1F37914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1.95</w:t>
            </w:r>
          </w:p>
        </w:tc>
        <w:tc>
          <w:tcPr>
            <w:tcW w:w="782" w:type="dxa"/>
          </w:tcPr>
          <w:p w14:paraId="31CE4B2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2.29</w:t>
            </w:r>
          </w:p>
        </w:tc>
        <w:tc>
          <w:tcPr>
            <w:tcW w:w="782" w:type="dxa"/>
          </w:tcPr>
          <w:p w14:paraId="5227087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3.27</w:t>
            </w:r>
          </w:p>
        </w:tc>
        <w:tc>
          <w:tcPr>
            <w:tcW w:w="835" w:type="dxa"/>
          </w:tcPr>
          <w:p w14:paraId="3E7D890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3.04</w:t>
            </w:r>
          </w:p>
        </w:tc>
        <w:tc>
          <w:tcPr>
            <w:tcW w:w="729" w:type="dxa"/>
          </w:tcPr>
          <w:p w14:paraId="70FE1D9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2.72</w:t>
            </w:r>
          </w:p>
        </w:tc>
        <w:tc>
          <w:tcPr>
            <w:tcW w:w="782" w:type="dxa"/>
          </w:tcPr>
          <w:p w14:paraId="5FC314F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1.69</w:t>
            </w:r>
          </w:p>
        </w:tc>
        <w:tc>
          <w:tcPr>
            <w:tcW w:w="789" w:type="dxa"/>
          </w:tcPr>
          <w:p w14:paraId="5A07DDD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2.99</w:t>
            </w:r>
          </w:p>
        </w:tc>
      </w:tr>
      <w:tr w:rsidR="003E78AB" w14:paraId="54B43236" w14:textId="77777777">
        <w:trPr>
          <w:trHeight w:val="369"/>
        </w:trPr>
        <w:tc>
          <w:tcPr>
            <w:tcW w:w="874" w:type="dxa"/>
          </w:tcPr>
          <w:p w14:paraId="0447C55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秋季</w:t>
            </w:r>
          </w:p>
        </w:tc>
        <w:tc>
          <w:tcPr>
            <w:tcW w:w="782" w:type="dxa"/>
          </w:tcPr>
          <w:p w14:paraId="506ABC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2.43</w:t>
            </w:r>
          </w:p>
        </w:tc>
        <w:tc>
          <w:tcPr>
            <w:tcW w:w="782" w:type="dxa"/>
          </w:tcPr>
          <w:p w14:paraId="29C3CF32"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5.72</w:t>
            </w:r>
          </w:p>
        </w:tc>
        <w:tc>
          <w:tcPr>
            <w:tcW w:w="782" w:type="dxa"/>
          </w:tcPr>
          <w:p w14:paraId="57F067A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8.03</w:t>
            </w:r>
          </w:p>
        </w:tc>
        <w:tc>
          <w:tcPr>
            <w:tcW w:w="782" w:type="dxa"/>
          </w:tcPr>
          <w:p w14:paraId="3CC4B41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5.97</w:t>
            </w:r>
          </w:p>
        </w:tc>
        <w:tc>
          <w:tcPr>
            <w:tcW w:w="782" w:type="dxa"/>
          </w:tcPr>
          <w:p w14:paraId="613D314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6.38</w:t>
            </w:r>
          </w:p>
        </w:tc>
        <w:tc>
          <w:tcPr>
            <w:tcW w:w="782" w:type="dxa"/>
          </w:tcPr>
          <w:p w14:paraId="0397DAE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5.78</w:t>
            </w:r>
          </w:p>
        </w:tc>
        <w:tc>
          <w:tcPr>
            <w:tcW w:w="782" w:type="dxa"/>
          </w:tcPr>
          <w:p w14:paraId="73B61B5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5.34</w:t>
            </w:r>
          </w:p>
        </w:tc>
        <w:tc>
          <w:tcPr>
            <w:tcW w:w="782" w:type="dxa"/>
          </w:tcPr>
          <w:p w14:paraId="2C44051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2.80</w:t>
            </w:r>
          </w:p>
        </w:tc>
        <w:tc>
          <w:tcPr>
            <w:tcW w:w="782" w:type="dxa"/>
          </w:tcPr>
          <w:p w14:paraId="4884229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w:t>
            </w:r>
          </w:p>
        </w:tc>
        <w:tc>
          <w:tcPr>
            <w:tcW w:w="782" w:type="dxa"/>
          </w:tcPr>
          <w:p w14:paraId="102FCF8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1.85</w:t>
            </w:r>
          </w:p>
        </w:tc>
        <w:tc>
          <w:tcPr>
            <w:tcW w:w="782" w:type="dxa"/>
          </w:tcPr>
          <w:p w14:paraId="15392B4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2.41</w:t>
            </w:r>
          </w:p>
        </w:tc>
        <w:tc>
          <w:tcPr>
            <w:tcW w:w="782" w:type="dxa"/>
          </w:tcPr>
          <w:p w14:paraId="4D3D6C2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2.89</w:t>
            </w:r>
          </w:p>
        </w:tc>
        <w:tc>
          <w:tcPr>
            <w:tcW w:w="782" w:type="dxa"/>
          </w:tcPr>
          <w:p w14:paraId="486BD51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2.88</w:t>
            </w:r>
          </w:p>
        </w:tc>
        <w:tc>
          <w:tcPr>
            <w:tcW w:w="835" w:type="dxa"/>
          </w:tcPr>
          <w:p w14:paraId="6BDA858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2.20</w:t>
            </w:r>
          </w:p>
        </w:tc>
        <w:tc>
          <w:tcPr>
            <w:tcW w:w="729" w:type="dxa"/>
          </w:tcPr>
          <w:p w14:paraId="39428D4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3.62</w:t>
            </w:r>
          </w:p>
        </w:tc>
        <w:tc>
          <w:tcPr>
            <w:tcW w:w="782" w:type="dxa"/>
          </w:tcPr>
          <w:p w14:paraId="4931A30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2.03</w:t>
            </w:r>
          </w:p>
        </w:tc>
        <w:tc>
          <w:tcPr>
            <w:tcW w:w="789" w:type="dxa"/>
          </w:tcPr>
          <w:p w14:paraId="1048D23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3.88</w:t>
            </w:r>
          </w:p>
        </w:tc>
      </w:tr>
      <w:tr w:rsidR="003E78AB" w14:paraId="4A5E642B" w14:textId="77777777">
        <w:trPr>
          <w:trHeight w:val="369"/>
        </w:trPr>
        <w:tc>
          <w:tcPr>
            <w:tcW w:w="874" w:type="dxa"/>
          </w:tcPr>
          <w:p w14:paraId="1FF712FE"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冬季</w:t>
            </w:r>
          </w:p>
        </w:tc>
        <w:tc>
          <w:tcPr>
            <w:tcW w:w="782" w:type="dxa"/>
          </w:tcPr>
          <w:p w14:paraId="64A057C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1.81</w:t>
            </w:r>
          </w:p>
        </w:tc>
        <w:tc>
          <w:tcPr>
            <w:tcW w:w="782" w:type="dxa"/>
          </w:tcPr>
          <w:p w14:paraId="7654BF1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6.72</w:t>
            </w:r>
          </w:p>
        </w:tc>
        <w:tc>
          <w:tcPr>
            <w:tcW w:w="782" w:type="dxa"/>
          </w:tcPr>
          <w:p w14:paraId="2C33C5F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17.10</w:t>
            </w:r>
          </w:p>
        </w:tc>
        <w:tc>
          <w:tcPr>
            <w:tcW w:w="782" w:type="dxa"/>
          </w:tcPr>
          <w:p w14:paraId="593EBB9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10.20</w:t>
            </w:r>
          </w:p>
        </w:tc>
        <w:tc>
          <w:tcPr>
            <w:tcW w:w="782" w:type="dxa"/>
          </w:tcPr>
          <w:p w14:paraId="56AFA3C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5.98</w:t>
            </w:r>
          </w:p>
        </w:tc>
        <w:tc>
          <w:tcPr>
            <w:tcW w:w="782" w:type="dxa"/>
          </w:tcPr>
          <w:p w14:paraId="2B2A5F1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4.87</w:t>
            </w:r>
          </w:p>
        </w:tc>
        <w:tc>
          <w:tcPr>
            <w:tcW w:w="782" w:type="dxa"/>
          </w:tcPr>
          <w:p w14:paraId="138F84E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4.35</w:t>
            </w:r>
          </w:p>
        </w:tc>
        <w:tc>
          <w:tcPr>
            <w:tcW w:w="782" w:type="dxa"/>
          </w:tcPr>
          <w:p w14:paraId="03EA293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2.66</w:t>
            </w:r>
          </w:p>
        </w:tc>
        <w:tc>
          <w:tcPr>
            <w:tcW w:w="782" w:type="dxa"/>
          </w:tcPr>
          <w:p w14:paraId="493C35F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2.09</w:t>
            </w:r>
          </w:p>
        </w:tc>
        <w:tc>
          <w:tcPr>
            <w:tcW w:w="782" w:type="dxa"/>
          </w:tcPr>
          <w:p w14:paraId="25F0134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2.13</w:t>
            </w:r>
          </w:p>
        </w:tc>
        <w:tc>
          <w:tcPr>
            <w:tcW w:w="782" w:type="dxa"/>
          </w:tcPr>
          <w:p w14:paraId="0620B25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2.10</w:t>
            </w:r>
          </w:p>
        </w:tc>
        <w:tc>
          <w:tcPr>
            <w:tcW w:w="782" w:type="dxa"/>
          </w:tcPr>
          <w:p w14:paraId="2F66466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1.73</w:t>
            </w:r>
          </w:p>
        </w:tc>
        <w:tc>
          <w:tcPr>
            <w:tcW w:w="782" w:type="dxa"/>
          </w:tcPr>
          <w:p w14:paraId="01A81AB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2.78</w:t>
            </w:r>
          </w:p>
        </w:tc>
        <w:tc>
          <w:tcPr>
            <w:tcW w:w="835" w:type="dxa"/>
          </w:tcPr>
          <w:p w14:paraId="2914A509"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2.50</w:t>
            </w:r>
          </w:p>
        </w:tc>
        <w:tc>
          <w:tcPr>
            <w:tcW w:w="729" w:type="dxa"/>
          </w:tcPr>
          <w:p w14:paraId="180C0E9C"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2.11</w:t>
            </w:r>
          </w:p>
        </w:tc>
        <w:tc>
          <w:tcPr>
            <w:tcW w:w="782" w:type="dxa"/>
          </w:tcPr>
          <w:p w14:paraId="2199287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1.37</w:t>
            </w:r>
          </w:p>
        </w:tc>
        <w:tc>
          <w:tcPr>
            <w:tcW w:w="789" w:type="dxa"/>
          </w:tcPr>
          <w:p w14:paraId="0BB21864"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4.41</w:t>
            </w:r>
          </w:p>
        </w:tc>
      </w:tr>
      <w:tr w:rsidR="003E78AB" w14:paraId="33566923" w14:textId="77777777">
        <w:trPr>
          <w:trHeight w:val="369"/>
        </w:trPr>
        <w:tc>
          <w:tcPr>
            <w:tcW w:w="874" w:type="dxa"/>
          </w:tcPr>
          <w:p w14:paraId="2235B1C8"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全年</w:t>
            </w:r>
          </w:p>
        </w:tc>
        <w:tc>
          <w:tcPr>
            <w:tcW w:w="782" w:type="dxa"/>
          </w:tcPr>
          <w:p w14:paraId="00F213E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1.30</w:t>
            </w:r>
          </w:p>
        </w:tc>
        <w:tc>
          <w:tcPr>
            <w:tcW w:w="782" w:type="dxa"/>
          </w:tcPr>
          <w:p w14:paraId="61F190D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3.76</w:t>
            </w:r>
          </w:p>
        </w:tc>
        <w:tc>
          <w:tcPr>
            <w:tcW w:w="782" w:type="dxa"/>
          </w:tcPr>
          <w:p w14:paraId="0B4EED8A"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12.86</w:t>
            </w:r>
          </w:p>
        </w:tc>
        <w:tc>
          <w:tcPr>
            <w:tcW w:w="782" w:type="dxa"/>
          </w:tcPr>
          <w:p w14:paraId="6DFB8D1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10.90</w:t>
            </w:r>
          </w:p>
        </w:tc>
        <w:tc>
          <w:tcPr>
            <w:tcW w:w="782" w:type="dxa"/>
          </w:tcPr>
          <w:p w14:paraId="6661846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6.63</w:t>
            </w:r>
          </w:p>
        </w:tc>
        <w:tc>
          <w:tcPr>
            <w:tcW w:w="782" w:type="dxa"/>
          </w:tcPr>
          <w:p w14:paraId="4621286D"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5.02</w:t>
            </w:r>
          </w:p>
        </w:tc>
        <w:tc>
          <w:tcPr>
            <w:tcW w:w="782" w:type="dxa"/>
          </w:tcPr>
          <w:p w14:paraId="0118C29B"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4.07</w:t>
            </w:r>
          </w:p>
        </w:tc>
        <w:tc>
          <w:tcPr>
            <w:tcW w:w="782" w:type="dxa"/>
          </w:tcPr>
          <w:p w14:paraId="2DEE621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2.76</w:t>
            </w:r>
          </w:p>
        </w:tc>
        <w:tc>
          <w:tcPr>
            <w:tcW w:w="782" w:type="dxa"/>
          </w:tcPr>
          <w:p w14:paraId="2D35E586"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3.34</w:t>
            </w:r>
          </w:p>
        </w:tc>
        <w:tc>
          <w:tcPr>
            <w:tcW w:w="782" w:type="dxa"/>
          </w:tcPr>
          <w:p w14:paraId="07B30A81"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2.06</w:t>
            </w:r>
          </w:p>
        </w:tc>
        <w:tc>
          <w:tcPr>
            <w:tcW w:w="782" w:type="dxa"/>
          </w:tcPr>
          <w:p w14:paraId="7AA6B743"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2.59</w:t>
            </w:r>
          </w:p>
        </w:tc>
        <w:tc>
          <w:tcPr>
            <w:tcW w:w="782" w:type="dxa"/>
          </w:tcPr>
          <w:p w14:paraId="68D176F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2.65</w:t>
            </w:r>
          </w:p>
        </w:tc>
        <w:tc>
          <w:tcPr>
            <w:tcW w:w="782" w:type="dxa"/>
          </w:tcPr>
          <w:p w14:paraId="46CDE06F"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3.13</w:t>
            </w:r>
          </w:p>
        </w:tc>
        <w:tc>
          <w:tcPr>
            <w:tcW w:w="835" w:type="dxa"/>
          </w:tcPr>
          <w:p w14:paraId="6327E215"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3.26</w:t>
            </w:r>
          </w:p>
        </w:tc>
        <w:tc>
          <w:tcPr>
            <w:tcW w:w="729" w:type="dxa"/>
          </w:tcPr>
          <w:p w14:paraId="0C191EB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2.19</w:t>
            </w:r>
          </w:p>
        </w:tc>
        <w:tc>
          <w:tcPr>
            <w:tcW w:w="782" w:type="dxa"/>
          </w:tcPr>
          <w:p w14:paraId="3ABC1937"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1.82</w:t>
            </w:r>
          </w:p>
        </w:tc>
        <w:tc>
          <w:tcPr>
            <w:tcW w:w="789" w:type="dxa"/>
          </w:tcPr>
          <w:p w14:paraId="5D201870" w14:textId="77777777" w:rsidR="003E78AB" w:rsidRDefault="00010BF9">
            <w:pPr>
              <w:spacing w:line="360" w:lineRule="exact"/>
              <w:ind w:firstLineChars="0" w:firstLine="0"/>
              <w:jc w:val="center"/>
              <w:rPr>
                <w:b/>
                <w:bCs/>
                <w:kern w:val="2"/>
                <w:sz w:val="21"/>
                <w:szCs w:val="21"/>
                <w:u w:val="single"/>
                <w:lang w:eastAsia="en-US"/>
              </w:rPr>
            </w:pPr>
            <w:r>
              <w:rPr>
                <w:b/>
                <w:bCs/>
                <w:kern w:val="2"/>
                <w:sz w:val="21"/>
                <w:szCs w:val="21"/>
                <w:u w:val="single"/>
                <w:lang w:eastAsia="en-US"/>
              </w:rPr>
              <w:t>4.27</w:t>
            </w:r>
          </w:p>
        </w:tc>
      </w:tr>
    </w:tbl>
    <w:p w14:paraId="150C4580" w14:textId="77777777" w:rsidR="003E78AB" w:rsidRDefault="003E78AB">
      <w:pPr>
        <w:spacing w:line="240" w:lineRule="auto"/>
        <w:ind w:firstLineChars="0" w:firstLine="0"/>
        <w:rPr>
          <w:b/>
          <w:bCs/>
          <w:kern w:val="28"/>
          <w:sz w:val="21"/>
          <w:u w:val="single"/>
        </w:rPr>
      </w:pPr>
    </w:p>
    <w:p w14:paraId="12D2F48D" w14:textId="77777777" w:rsidR="003E78AB" w:rsidRDefault="003E78AB">
      <w:pPr>
        <w:ind w:firstLine="482"/>
        <w:rPr>
          <w:b/>
          <w:bCs/>
          <w:kern w:val="28"/>
          <w:u w:val="single"/>
        </w:rPr>
        <w:sectPr w:rsidR="003E78AB">
          <w:pgSz w:w="16838" w:h="11906" w:orient="landscape"/>
          <w:pgMar w:top="1803" w:right="1440" w:bottom="1803" w:left="1440" w:header="851" w:footer="992" w:gutter="0"/>
          <w:cols w:space="720"/>
          <w:docGrid w:linePitch="312"/>
        </w:sectPr>
      </w:pPr>
    </w:p>
    <w:p w14:paraId="41FC8FC7" w14:textId="77777777" w:rsidR="003E78AB" w:rsidRDefault="00010BF9">
      <w:pPr>
        <w:pStyle w:val="a9"/>
        <w:numPr>
          <w:ilvl w:val="0"/>
          <w:numId w:val="0"/>
        </w:numPr>
        <w:spacing w:before="120" w:line="240" w:lineRule="atLeast"/>
        <w:jc w:val="both"/>
        <w:rPr>
          <w:b/>
          <w:u w:val="single"/>
        </w:rPr>
      </w:pPr>
      <w:r>
        <w:rPr>
          <w:b/>
          <w:noProof/>
          <w:u w:val="single"/>
        </w:rPr>
        <w:drawing>
          <wp:inline distT="0" distB="0" distL="114300" distR="114300">
            <wp:extent cx="5263515" cy="7505065"/>
            <wp:effectExtent l="0" t="0" r="13335" b="63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58"/>
                    <a:stretch>
                      <a:fillRect/>
                    </a:stretch>
                  </pic:blipFill>
                  <pic:spPr>
                    <a:xfrm>
                      <a:off x="0" y="0"/>
                      <a:ext cx="5263515" cy="7505065"/>
                    </a:xfrm>
                    <a:prstGeom prst="rect">
                      <a:avLst/>
                    </a:prstGeom>
                    <a:noFill/>
                    <a:ln>
                      <a:noFill/>
                    </a:ln>
                  </pic:spPr>
                </pic:pic>
              </a:graphicData>
            </a:graphic>
          </wp:inline>
        </w:drawing>
      </w:r>
    </w:p>
    <w:p w14:paraId="112494DF" w14:textId="77777777" w:rsidR="003E78AB" w:rsidRDefault="00010BF9">
      <w:pPr>
        <w:pStyle w:val="a9"/>
        <w:spacing w:before="120"/>
        <w:ind w:left="425" w:hanging="425"/>
        <w:rPr>
          <w:b/>
          <w:u w:val="single"/>
        </w:rPr>
      </w:pPr>
      <w:bookmarkStart w:id="365" w:name="_Ref29126"/>
      <w:r>
        <w:rPr>
          <w:b/>
          <w:u w:val="single"/>
        </w:rPr>
        <w:t>哈密市</w:t>
      </w:r>
      <w:r>
        <w:rPr>
          <w:rFonts w:hint="eastAsia"/>
          <w:b/>
          <w:u w:val="single"/>
        </w:rPr>
        <w:t>2023</w:t>
      </w:r>
      <w:r>
        <w:rPr>
          <w:b/>
          <w:u w:val="single"/>
        </w:rPr>
        <w:t>年各月、季及全年风向玫瑰图</w:t>
      </w:r>
      <w:bookmarkEnd w:id="365"/>
    </w:p>
    <w:p w14:paraId="436FDEBE" w14:textId="77777777" w:rsidR="003E78AB" w:rsidRDefault="00010BF9">
      <w:pPr>
        <w:spacing w:line="240" w:lineRule="auto"/>
        <w:ind w:firstLineChars="0" w:firstLine="0"/>
        <w:rPr>
          <w:b/>
          <w:bCs/>
          <w:kern w:val="28"/>
          <w:sz w:val="21"/>
          <w:u w:val="single"/>
        </w:rPr>
      </w:pPr>
      <w:r>
        <w:rPr>
          <w:b/>
          <w:bCs/>
          <w:kern w:val="28"/>
          <w:sz w:val="21"/>
          <w:u w:val="single"/>
        </w:rPr>
        <w:br w:type="page"/>
      </w:r>
    </w:p>
    <w:p w14:paraId="35C0ED8D" w14:textId="77777777" w:rsidR="003E78AB" w:rsidRDefault="00010BF9">
      <w:pPr>
        <w:pStyle w:val="a9"/>
        <w:numPr>
          <w:ilvl w:val="0"/>
          <w:numId w:val="0"/>
        </w:numPr>
        <w:spacing w:before="120" w:line="240" w:lineRule="atLeast"/>
        <w:jc w:val="both"/>
        <w:rPr>
          <w:b/>
          <w:u w:val="single"/>
        </w:rPr>
      </w:pPr>
      <w:r>
        <w:rPr>
          <w:b/>
          <w:noProof/>
          <w:u w:val="single"/>
        </w:rPr>
        <w:drawing>
          <wp:inline distT="0" distB="0" distL="114300" distR="114300">
            <wp:extent cx="5263515" cy="7505065"/>
            <wp:effectExtent l="0" t="0" r="13335" b="63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59"/>
                    <a:stretch>
                      <a:fillRect/>
                    </a:stretch>
                  </pic:blipFill>
                  <pic:spPr>
                    <a:xfrm>
                      <a:off x="0" y="0"/>
                      <a:ext cx="5263515" cy="7505065"/>
                    </a:xfrm>
                    <a:prstGeom prst="rect">
                      <a:avLst/>
                    </a:prstGeom>
                    <a:noFill/>
                    <a:ln>
                      <a:noFill/>
                    </a:ln>
                  </pic:spPr>
                </pic:pic>
              </a:graphicData>
            </a:graphic>
          </wp:inline>
        </w:drawing>
      </w:r>
    </w:p>
    <w:p w14:paraId="4565FB7C" w14:textId="77777777" w:rsidR="003E78AB" w:rsidRDefault="00010BF9">
      <w:pPr>
        <w:pStyle w:val="a9"/>
        <w:spacing w:before="120"/>
        <w:ind w:left="425" w:hanging="425"/>
        <w:rPr>
          <w:b/>
          <w:u w:val="single"/>
        </w:rPr>
      </w:pPr>
      <w:bookmarkStart w:id="366" w:name="_Ref29253"/>
      <w:r>
        <w:rPr>
          <w:b/>
          <w:u w:val="single"/>
        </w:rPr>
        <w:t>哈密市</w:t>
      </w:r>
      <w:r>
        <w:rPr>
          <w:rFonts w:hint="eastAsia"/>
          <w:b/>
          <w:u w:val="single"/>
        </w:rPr>
        <w:t>2023</w:t>
      </w:r>
      <w:r>
        <w:rPr>
          <w:b/>
          <w:u w:val="single"/>
        </w:rPr>
        <w:t>年各月、季及全年风速玫瑰图</w:t>
      </w:r>
      <w:bookmarkEnd w:id="366"/>
    </w:p>
    <w:p w14:paraId="746DA5E6" w14:textId="77777777" w:rsidR="003E78AB" w:rsidRDefault="00010BF9">
      <w:pPr>
        <w:spacing w:line="240" w:lineRule="auto"/>
        <w:ind w:firstLineChars="0" w:firstLine="0"/>
        <w:rPr>
          <w:b/>
          <w:bCs/>
          <w:kern w:val="28"/>
          <w:sz w:val="21"/>
          <w:u w:val="single"/>
        </w:rPr>
      </w:pPr>
      <w:r>
        <w:rPr>
          <w:b/>
          <w:bCs/>
          <w:kern w:val="28"/>
          <w:sz w:val="21"/>
          <w:u w:val="single"/>
        </w:rPr>
        <w:br w:type="page"/>
      </w:r>
    </w:p>
    <w:p w14:paraId="2D82714D" w14:textId="77777777" w:rsidR="003E78AB" w:rsidRDefault="00010BF9">
      <w:pPr>
        <w:pStyle w:val="a9"/>
        <w:numPr>
          <w:ilvl w:val="0"/>
          <w:numId w:val="0"/>
        </w:numPr>
        <w:spacing w:before="120" w:line="240" w:lineRule="atLeast"/>
        <w:jc w:val="both"/>
        <w:rPr>
          <w:b/>
          <w:u w:val="single"/>
        </w:rPr>
      </w:pPr>
      <w:r>
        <w:rPr>
          <w:b/>
          <w:noProof/>
          <w:u w:val="single"/>
        </w:rPr>
        <w:drawing>
          <wp:inline distT="0" distB="0" distL="114300" distR="114300">
            <wp:extent cx="5263515" cy="7506970"/>
            <wp:effectExtent l="0" t="0" r="13335" b="1778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60"/>
                    <a:stretch>
                      <a:fillRect/>
                    </a:stretch>
                  </pic:blipFill>
                  <pic:spPr>
                    <a:xfrm>
                      <a:off x="0" y="0"/>
                      <a:ext cx="5263515" cy="7506970"/>
                    </a:xfrm>
                    <a:prstGeom prst="rect">
                      <a:avLst/>
                    </a:prstGeom>
                    <a:noFill/>
                    <a:ln>
                      <a:noFill/>
                    </a:ln>
                  </pic:spPr>
                </pic:pic>
              </a:graphicData>
            </a:graphic>
          </wp:inline>
        </w:drawing>
      </w:r>
    </w:p>
    <w:p w14:paraId="00415D7C" w14:textId="77777777" w:rsidR="003E78AB" w:rsidRDefault="00010BF9">
      <w:pPr>
        <w:pStyle w:val="a9"/>
        <w:spacing w:before="120"/>
        <w:ind w:left="425" w:hanging="425"/>
      </w:pPr>
      <w:bookmarkStart w:id="367" w:name="_Ref29367"/>
      <w:r>
        <w:t>哈密市</w:t>
      </w:r>
      <w:r>
        <w:rPr>
          <w:rFonts w:hint="eastAsia"/>
        </w:rPr>
        <w:t>2023</w:t>
      </w:r>
      <w:r>
        <w:t>年各月、季及全年污染系数图</w:t>
      </w:r>
      <w:bookmarkEnd w:id="367"/>
    </w:p>
    <w:p w14:paraId="66AC0E99" w14:textId="77777777" w:rsidR="003E78AB" w:rsidRDefault="003E78AB">
      <w:pPr>
        <w:spacing w:line="240" w:lineRule="auto"/>
        <w:ind w:firstLineChars="0" w:firstLine="0"/>
        <w:rPr>
          <w:b/>
          <w:bCs/>
          <w:kern w:val="28"/>
          <w:sz w:val="21"/>
          <w:u w:val="single"/>
        </w:rPr>
      </w:pPr>
    </w:p>
    <w:p w14:paraId="71B8F865" w14:textId="77777777" w:rsidR="003E78AB" w:rsidRDefault="00010BF9">
      <w:pPr>
        <w:ind w:firstLine="482"/>
        <w:rPr>
          <w:b/>
          <w:bCs/>
          <w:u w:val="single"/>
        </w:rPr>
      </w:pPr>
      <w:r>
        <w:rPr>
          <w:rFonts w:hint="eastAsia"/>
          <w:b/>
          <w:bCs/>
          <w:u w:val="single"/>
        </w:rPr>
        <w:t>（</w:t>
      </w:r>
      <w:r>
        <w:rPr>
          <w:rFonts w:hint="eastAsia"/>
          <w:b/>
          <w:bCs/>
          <w:u w:val="single"/>
        </w:rPr>
        <w:t>5</w:t>
      </w:r>
      <w:r>
        <w:rPr>
          <w:rFonts w:hint="eastAsia"/>
          <w:b/>
          <w:bCs/>
          <w:u w:val="single"/>
        </w:rPr>
        <w:t>）地形数据</w:t>
      </w:r>
    </w:p>
    <w:p w14:paraId="601E29BC" w14:textId="77777777" w:rsidR="003E78AB" w:rsidRDefault="00010BF9">
      <w:pPr>
        <w:ind w:firstLine="482"/>
        <w:rPr>
          <w:b/>
          <w:bCs/>
          <w:u w:val="single"/>
        </w:rPr>
      </w:pPr>
      <w:r>
        <w:rPr>
          <w:rFonts w:hint="eastAsia"/>
          <w:b/>
          <w:bCs/>
          <w:u w:val="single"/>
        </w:rPr>
        <w:t>地形数据范围覆盖评价范围，地形采用航天飞机雷达拓扑测绘</w:t>
      </w:r>
      <w:r>
        <w:rPr>
          <w:rFonts w:hint="eastAsia"/>
          <w:b/>
          <w:bCs/>
          <w:u w:val="single"/>
        </w:rPr>
        <w:t>SRTM</w:t>
      </w:r>
      <w:r>
        <w:rPr>
          <w:rFonts w:hint="eastAsia"/>
          <w:b/>
          <w:bCs/>
          <w:u w:val="single"/>
        </w:rPr>
        <w:t>的</w:t>
      </w:r>
      <w:r>
        <w:rPr>
          <w:rFonts w:hint="eastAsia"/>
          <w:b/>
          <w:bCs/>
          <w:u w:val="single"/>
        </w:rPr>
        <w:t>90m</w:t>
      </w:r>
      <w:r>
        <w:rPr>
          <w:rFonts w:hint="eastAsia"/>
          <w:b/>
          <w:bCs/>
          <w:u w:val="single"/>
        </w:rPr>
        <w:t>分辨率数据（即东西向网格间距</w:t>
      </w:r>
      <w:r>
        <w:rPr>
          <w:rFonts w:hint="eastAsia"/>
          <w:b/>
          <w:bCs/>
          <w:u w:val="single"/>
        </w:rPr>
        <w:t>3</w:t>
      </w:r>
      <w:r>
        <w:rPr>
          <w:rFonts w:hint="eastAsia"/>
          <w:b/>
          <w:bCs/>
          <w:u w:val="single"/>
        </w:rPr>
        <w:t>″、南北向网格间距为</w:t>
      </w:r>
      <w:r>
        <w:rPr>
          <w:rFonts w:hint="eastAsia"/>
          <w:b/>
          <w:bCs/>
          <w:u w:val="single"/>
        </w:rPr>
        <w:t>3</w:t>
      </w:r>
      <w:r>
        <w:rPr>
          <w:rFonts w:hint="eastAsia"/>
          <w:b/>
          <w:bCs/>
          <w:u w:val="single"/>
        </w:rPr>
        <w:t>″），格式为</w:t>
      </w:r>
      <w:r>
        <w:rPr>
          <w:rFonts w:hint="eastAsia"/>
          <w:b/>
          <w:bCs/>
          <w:u w:val="single"/>
        </w:rPr>
        <w:t>DEM</w:t>
      </w:r>
      <w:r>
        <w:rPr>
          <w:rFonts w:hint="eastAsia"/>
          <w:b/>
          <w:bCs/>
          <w:u w:val="single"/>
        </w:rPr>
        <w:t>。</w:t>
      </w:r>
    </w:p>
    <w:p w14:paraId="0033F2A2" w14:textId="77777777" w:rsidR="003E78AB" w:rsidRDefault="00010BF9">
      <w:pPr>
        <w:ind w:firstLine="482"/>
        <w:rPr>
          <w:b/>
          <w:bCs/>
          <w:u w:val="single"/>
        </w:rPr>
      </w:pPr>
      <w:r>
        <w:rPr>
          <w:rFonts w:hint="eastAsia"/>
          <w:b/>
          <w:bCs/>
          <w:u w:val="single"/>
        </w:rPr>
        <w:t>本次工程所在区域为复杂地形，以</w:t>
      </w:r>
      <w:r>
        <w:rPr>
          <w:rFonts w:hint="eastAsia"/>
          <w:b/>
          <w:bCs/>
          <w:u w:val="single"/>
        </w:rPr>
        <w:t>1</w:t>
      </w:r>
      <w:r>
        <w:rPr>
          <w:rFonts w:hint="eastAsia"/>
          <w:b/>
          <w:bCs/>
          <w:u w:val="single"/>
        </w:rPr>
        <w:t>：</w:t>
      </w:r>
      <w:r>
        <w:rPr>
          <w:rFonts w:hint="eastAsia"/>
          <w:b/>
          <w:bCs/>
          <w:u w:val="single"/>
        </w:rPr>
        <w:t>5</w:t>
      </w:r>
      <w:r>
        <w:rPr>
          <w:rFonts w:hint="eastAsia"/>
          <w:b/>
          <w:bCs/>
          <w:u w:val="single"/>
        </w:rPr>
        <w:t>万地形图为环境背景预测底图。根据评价范围内当前</w:t>
      </w:r>
      <w:r>
        <w:rPr>
          <w:rFonts w:hint="eastAsia"/>
          <w:b/>
          <w:bCs/>
          <w:u w:val="single"/>
        </w:rPr>
        <w:t>DEM</w:t>
      </w:r>
      <w:r>
        <w:rPr>
          <w:rFonts w:hint="eastAsia"/>
          <w:b/>
          <w:bCs/>
          <w:u w:val="single"/>
        </w:rPr>
        <w:t>所需的</w:t>
      </w:r>
      <w:r>
        <w:rPr>
          <w:rFonts w:hint="eastAsia"/>
          <w:b/>
          <w:bCs/>
          <w:u w:val="single"/>
        </w:rPr>
        <w:t>SRTM</w:t>
      </w:r>
      <w:r>
        <w:rPr>
          <w:rFonts w:hint="eastAsia"/>
          <w:b/>
          <w:bCs/>
          <w:u w:val="single"/>
        </w:rPr>
        <w:t>资源文件，从地址（</w:t>
      </w:r>
      <w:r>
        <w:rPr>
          <w:rFonts w:hint="eastAsia"/>
          <w:b/>
          <w:bCs/>
          <w:u w:val="single"/>
        </w:rPr>
        <w:t>http://srtm.csi.cgiar.org/SRT-ZIP/SRTM_v41/SRTM_Data_ArcASCII/srtm_55_04.zip</w:t>
      </w:r>
      <w:r>
        <w:rPr>
          <w:rFonts w:hint="eastAsia"/>
          <w:b/>
          <w:bCs/>
          <w:u w:val="single"/>
        </w:rPr>
        <w:t>）下载获取并生成本工程</w:t>
      </w:r>
      <w:r>
        <w:rPr>
          <w:rFonts w:hint="eastAsia"/>
          <w:b/>
          <w:bCs/>
          <w:u w:val="single"/>
        </w:rPr>
        <w:t>DEM</w:t>
      </w:r>
      <w:r>
        <w:rPr>
          <w:rFonts w:hint="eastAsia"/>
          <w:b/>
          <w:bCs/>
          <w:u w:val="single"/>
        </w:rPr>
        <w:t>文件</w:t>
      </w:r>
      <w:r>
        <w:rPr>
          <w:rFonts w:hint="eastAsia"/>
          <w:b/>
          <w:bCs/>
          <w:u w:val="single"/>
        </w:rPr>
        <w:t>(90m</w:t>
      </w:r>
      <w:r>
        <w:rPr>
          <w:rFonts w:hint="eastAsia"/>
          <w:b/>
          <w:bCs/>
          <w:u w:val="single"/>
        </w:rPr>
        <w:t>分辨率</w:t>
      </w:r>
      <w:r>
        <w:rPr>
          <w:rFonts w:hint="eastAsia"/>
          <w:b/>
          <w:bCs/>
          <w:u w:val="single"/>
        </w:rPr>
        <w:t>)</w:t>
      </w:r>
      <w:r>
        <w:rPr>
          <w:rFonts w:hint="eastAsia"/>
          <w:b/>
          <w:bCs/>
          <w:u w:val="single"/>
        </w:rPr>
        <w:t>。</w:t>
      </w:r>
    </w:p>
    <w:p w14:paraId="63EFE274" w14:textId="77777777" w:rsidR="003E78AB" w:rsidRDefault="00010BF9">
      <w:pPr>
        <w:ind w:firstLine="482"/>
        <w:rPr>
          <w:b/>
          <w:bCs/>
          <w:u w:val="single"/>
        </w:rPr>
      </w:pPr>
      <w:r>
        <w:rPr>
          <w:rFonts w:hint="eastAsia"/>
          <w:b/>
          <w:bCs/>
          <w:u w:val="single"/>
        </w:rPr>
        <w:t>本项目所在区域地形参数见</w:t>
      </w:r>
      <w:r>
        <w:rPr>
          <w:rFonts w:hint="eastAsia"/>
          <w:b/>
          <w:bCs/>
          <w:u w:val="single"/>
        </w:rPr>
        <w:fldChar w:fldCharType="begin"/>
      </w:r>
      <w:r>
        <w:rPr>
          <w:rFonts w:hint="eastAsia"/>
          <w:b/>
          <w:bCs/>
          <w:u w:val="single"/>
        </w:rPr>
        <w:instrText xml:space="preserve"> REF _Ref13039 \r \h </w:instrText>
      </w:r>
      <w:r>
        <w:rPr>
          <w:rFonts w:hint="eastAsia"/>
          <w:b/>
          <w:bCs/>
          <w:u w:val="single"/>
        </w:rPr>
      </w:r>
      <w:r>
        <w:rPr>
          <w:rFonts w:hint="eastAsia"/>
          <w:b/>
          <w:bCs/>
          <w:u w:val="single"/>
        </w:rPr>
        <w:fldChar w:fldCharType="separate"/>
      </w:r>
      <w:r>
        <w:rPr>
          <w:rFonts w:hint="eastAsia"/>
          <w:b/>
          <w:bCs/>
          <w:u w:val="single"/>
        </w:rPr>
        <w:t>表</w:t>
      </w:r>
      <w:r>
        <w:rPr>
          <w:rFonts w:hint="eastAsia"/>
          <w:b/>
          <w:bCs/>
          <w:u w:val="single"/>
        </w:rPr>
        <w:t>5-12</w:t>
      </w:r>
      <w:r>
        <w:rPr>
          <w:rFonts w:hint="eastAsia"/>
          <w:b/>
          <w:bCs/>
          <w:u w:val="single"/>
        </w:rPr>
        <w:fldChar w:fldCharType="end"/>
      </w:r>
      <w:r>
        <w:rPr>
          <w:rFonts w:hint="eastAsia"/>
          <w:b/>
          <w:bCs/>
          <w:u w:val="single"/>
        </w:rPr>
        <w:t>，评价区地形等高线示意图见图</w:t>
      </w:r>
      <w:r>
        <w:rPr>
          <w:rFonts w:hint="eastAsia"/>
          <w:b/>
          <w:bCs/>
          <w:u w:val="single"/>
        </w:rPr>
        <w:t>4.2-7</w:t>
      </w:r>
      <w:r>
        <w:rPr>
          <w:rFonts w:hint="eastAsia"/>
          <w:b/>
          <w:bCs/>
          <w:u w:val="single"/>
        </w:rPr>
        <w:t>。</w:t>
      </w:r>
    </w:p>
    <w:p w14:paraId="04CF5F6D" w14:textId="77777777" w:rsidR="003E78AB" w:rsidRDefault="00010BF9">
      <w:pPr>
        <w:pStyle w:val="a4"/>
        <w:spacing w:before="120"/>
        <w:rPr>
          <w:b/>
          <w:bCs/>
          <w:u w:val="single"/>
        </w:rPr>
      </w:pPr>
      <w:bookmarkStart w:id="368" w:name="_Ref13039"/>
      <w:r>
        <w:rPr>
          <w:b/>
          <w:bCs/>
          <w:u w:val="single"/>
        </w:rPr>
        <w:t>模式计算选用的参数</w:t>
      </w:r>
      <w:bookmarkEnd w:id="36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752"/>
        <w:gridCol w:w="1146"/>
        <w:gridCol w:w="1072"/>
        <w:gridCol w:w="1255"/>
        <w:gridCol w:w="1345"/>
        <w:gridCol w:w="1522"/>
      </w:tblGrid>
      <w:tr w:rsidR="003E78AB" w14:paraId="77B96B0A" w14:textId="77777777">
        <w:trPr>
          <w:trHeight w:val="340"/>
          <w:jc w:val="center"/>
        </w:trPr>
        <w:tc>
          <w:tcPr>
            <w:tcW w:w="833" w:type="pct"/>
            <w:vAlign w:val="center"/>
          </w:tcPr>
          <w:p w14:paraId="228C8DF3" w14:textId="77777777" w:rsidR="003E78AB" w:rsidRDefault="00010BF9">
            <w:pPr>
              <w:pStyle w:val="aff6"/>
              <w:topLinePunct/>
              <w:rPr>
                <w:b/>
                <w:bCs/>
                <w:u w:val="single"/>
              </w:rPr>
            </w:pPr>
            <w:r>
              <w:rPr>
                <w:b/>
                <w:bCs/>
                <w:u w:val="single"/>
              </w:rPr>
              <w:t>扇区</w:t>
            </w:r>
          </w:p>
        </w:tc>
        <w:tc>
          <w:tcPr>
            <w:tcW w:w="441" w:type="pct"/>
            <w:vAlign w:val="center"/>
          </w:tcPr>
          <w:p w14:paraId="052E6358" w14:textId="77777777" w:rsidR="003E78AB" w:rsidRDefault="00010BF9">
            <w:pPr>
              <w:pStyle w:val="aff6"/>
              <w:topLinePunct/>
              <w:rPr>
                <w:b/>
                <w:bCs/>
                <w:u w:val="single"/>
              </w:rPr>
            </w:pPr>
            <w:r>
              <w:rPr>
                <w:b/>
                <w:bCs/>
                <w:u w:val="single"/>
              </w:rPr>
              <w:t>季节</w:t>
            </w:r>
          </w:p>
        </w:tc>
        <w:tc>
          <w:tcPr>
            <w:tcW w:w="673" w:type="pct"/>
            <w:vAlign w:val="center"/>
          </w:tcPr>
          <w:p w14:paraId="5FA5E60F" w14:textId="77777777" w:rsidR="003E78AB" w:rsidRDefault="00010BF9">
            <w:pPr>
              <w:pStyle w:val="aff6"/>
              <w:topLinePunct/>
              <w:rPr>
                <w:b/>
                <w:bCs/>
                <w:u w:val="single"/>
              </w:rPr>
            </w:pPr>
            <w:r>
              <w:rPr>
                <w:b/>
                <w:bCs/>
                <w:u w:val="single"/>
              </w:rPr>
              <w:t>地表类型</w:t>
            </w:r>
          </w:p>
        </w:tc>
        <w:tc>
          <w:tcPr>
            <w:tcW w:w="630" w:type="pct"/>
            <w:vAlign w:val="center"/>
          </w:tcPr>
          <w:p w14:paraId="7A77A50A" w14:textId="77777777" w:rsidR="003E78AB" w:rsidRDefault="00010BF9">
            <w:pPr>
              <w:pStyle w:val="aff6"/>
              <w:topLinePunct/>
              <w:rPr>
                <w:b/>
                <w:bCs/>
                <w:u w:val="single"/>
              </w:rPr>
            </w:pPr>
            <w:r>
              <w:rPr>
                <w:b/>
                <w:bCs/>
                <w:u w:val="single"/>
              </w:rPr>
              <w:t>地表湿度</w:t>
            </w:r>
          </w:p>
        </w:tc>
        <w:tc>
          <w:tcPr>
            <w:tcW w:w="737" w:type="pct"/>
            <w:vAlign w:val="center"/>
          </w:tcPr>
          <w:p w14:paraId="5B03576F" w14:textId="77777777" w:rsidR="003E78AB" w:rsidRDefault="00010BF9">
            <w:pPr>
              <w:pStyle w:val="aff6"/>
              <w:topLinePunct/>
              <w:rPr>
                <w:b/>
                <w:bCs/>
                <w:u w:val="single"/>
              </w:rPr>
            </w:pPr>
            <w:r>
              <w:rPr>
                <w:b/>
                <w:bCs/>
                <w:u w:val="single"/>
              </w:rPr>
              <w:t>正午反照率</w:t>
            </w:r>
          </w:p>
        </w:tc>
        <w:tc>
          <w:tcPr>
            <w:tcW w:w="790" w:type="pct"/>
            <w:vAlign w:val="center"/>
          </w:tcPr>
          <w:p w14:paraId="2A3E1F42" w14:textId="77777777" w:rsidR="003E78AB" w:rsidRDefault="00010BF9">
            <w:pPr>
              <w:pStyle w:val="aff6"/>
              <w:topLinePunct/>
              <w:rPr>
                <w:b/>
                <w:bCs/>
                <w:u w:val="single"/>
              </w:rPr>
            </w:pPr>
            <w:r>
              <w:rPr>
                <w:b/>
                <w:bCs/>
                <w:u w:val="single"/>
              </w:rPr>
              <w:t>波文</w:t>
            </w:r>
            <w:r>
              <w:rPr>
                <w:b/>
                <w:bCs/>
                <w:u w:val="single"/>
              </w:rPr>
              <w:t>(BOWEN)</w:t>
            </w:r>
          </w:p>
        </w:tc>
        <w:tc>
          <w:tcPr>
            <w:tcW w:w="894" w:type="pct"/>
            <w:vAlign w:val="center"/>
          </w:tcPr>
          <w:p w14:paraId="2C41E9F7" w14:textId="77777777" w:rsidR="003E78AB" w:rsidRDefault="00010BF9">
            <w:pPr>
              <w:pStyle w:val="aff6"/>
              <w:topLinePunct/>
              <w:rPr>
                <w:b/>
                <w:bCs/>
                <w:u w:val="single"/>
              </w:rPr>
            </w:pPr>
            <w:r>
              <w:rPr>
                <w:b/>
                <w:bCs/>
                <w:u w:val="single"/>
              </w:rPr>
              <w:t>地面粗糙度</w:t>
            </w:r>
            <w:r>
              <w:rPr>
                <w:b/>
                <w:bCs/>
                <w:u w:val="single"/>
              </w:rPr>
              <w:t>(m)</w:t>
            </w:r>
          </w:p>
        </w:tc>
      </w:tr>
      <w:tr w:rsidR="003E78AB" w14:paraId="61AB9311" w14:textId="77777777">
        <w:trPr>
          <w:trHeight w:val="340"/>
          <w:jc w:val="center"/>
        </w:trPr>
        <w:tc>
          <w:tcPr>
            <w:tcW w:w="833" w:type="pct"/>
            <w:vMerge w:val="restart"/>
            <w:vAlign w:val="center"/>
          </w:tcPr>
          <w:p w14:paraId="1F4C5552" w14:textId="77777777" w:rsidR="003E78AB" w:rsidRDefault="00010BF9">
            <w:pPr>
              <w:pStyle w:val="aff6"/>
              <w:topLinePunct/>
              <w:rPr>
                <w:b/>
                <w:bCs/>
                <w:u w:val="single"/>
              </w:rPr>
            </w:pPr>
            <w:r>
              <w:rPr>
                <w:b/>
                <w:bCs/>
                <w:u w:val="single"/>
              </w:rPr>
              <w:t>0°-360°</w:t>
            </w:r>
          </w:p>
        </w:tc>
        <w:tc>
          <w:tcPr>
            <w:tcW w:w="441" w:type="pct"/>
            <w:vAlign w:val="center"/>
          </w:tcPr>
          <w:p w14:paraId="4E71F9D6" w14:textId="77777777" w:rsidR="003E78AB" w:rsidRDefault="00010BF9">
            <w:pPr>
              <w:pStyle w:val="aff6"/>
              <w:topLinePunct/>
              <w:rPr>
                <w:b/>
                <w:bCs/>
                <w:u w:val="single"/>
              </w:rPr>
            </w:pPr>
            <w:r>
              <w:rPr>
                <w:b/>
                <w:bCs/>
                <w:u w:val="single"/>
              </w:rPr>
              <w:t>冬季</w:t>
            </w:r>
          </w:p>
        </w:tc>
        <w:tc>
          <w:tcPr>
            <w:tcW w:w="673" w:type="pct"/>
            <w:vMerge w:val="restart"/>
            <w:vAlign w:val="center"/>
          </w:tcPr>
          <w:p w14:paraId="058A78C9" w14:textId="77777777" w:rsidR="003E78AB" w:rsidRDefault="00010BF9">
            <w:pPr>
              <w:pStyle w:val="aff6"/>
              <w:topLinePunct/>
              <w:rPr>
                <w:b/>
                <w:bCs/>
                <w:u w:val="single"/>
              </w:rPr>
            </w:pPr>
            <w:r>
              <w:rPr>
                <w:b/>
                <w:bCs/>
                <w:u w:val="single"/>
              </w:rPr>
              <w:t>沙漠化</w:t>
            </w:r>
          </w:p>
          <w:p w14:paraId="2C487C08" w14:textId="77777777" w:rsidR="003E78AB" w:rsidRDefault="00010BF9">
            <w:pPr>
              <w:pStyle w:val="aff6"/>
              <w:topLinePunct/>
              <w:rPr>
                <w:b/>
                <w:bCs/>
                <w:u w:val="single"/>
              </w:rPr>
            </w:pPr>
            <w:r>
              <w:rPr>
                <w:b/>
                <w:bCs/>
                <w:u w:val="single"/>
              </w:rPr>
              <w:t>荒地</w:t>
            </w:r>
          </w:p>
        </w:tc>
        <w:tc>
          <w:tcPr>
            <w:tcW w:w="630" w:type="pct"/>
            <w:vMerge w:val="restart"/>
            <w:vAlign w:val="center"/>
          </w:tcPr>
          <w:p w14:paraId="73CAFD8B" w14:textId="77777777" w:rsidR="003E78AB" w:rsidRDefault="00010BF9">
            <w:pPr>
              <w:pStyle w:val="aff6"/>
              <w:topLinePunct/>
              <w:rPr>
                <w:b/>
                <w:bCs/>
                <w:u w:val="single"/>
              </w:rPr>
            </w:pPr>
            <w:r>
              <w:rPr>
                <w:b/>
                <w:bCs/>
                <w:u w:val="single"/>
              </w:rPr>
              <w:t>干燥</w:t>
            </w:r>
          </w:p>
          <w:p w14:paraId="4D6DB801" w14:textId="77777777" w:rsidR="003E78AB" w:rsidRDefault="00010BF9">
            <w:pPr>
              <w:pStyle w:val="aff6"/>
              <w:topLinePunct/>
              <w:rPr>
                <w:b/>
                <w:bCs/>
                <w:u w:val="single"/>
              </w:rPr>
            </w:pPr>
            <w:r>
              <w:rPr>
                <w:b/>
                <w:bCs/>
                <w:u w:val="single"/>
              </w:rPr>
              <w:t>气候</w:t>
            </w:r>
          </w:p>
        </w:tc>
        <w:tc>
          <w:tcPr>
            <w:tcW w:w="737" w:type="pct"/>
            <w:vAlign w:val="center"/>
          </w:tcPr>
          <w:p w14:paraId="0538D79B" w14:textId="77777777" w:rsidR="003E78AB" w:rsidRDefault="00010BF9">
            <w:pPr>
              <w:pStyle w:val="aff6"/>
              <w:topLinePunct/>
              <w:rPr>
                <w:b/>
                <w:bCs/>
                <w:u w:val="single"/>
              </w:rPr>
            </w:pPr>
            <w:r>
              <w:rPr>
                <w:b/>
                <w:bCs/>
                <w:u w:val="single"/>
              </w:rPr>
              <w:t>0.45</w:t>
            </w:r>
          </w:p>
        </w:tc>
        <w:tc>
          <w:tcPr>
            <w:tcW w:w="790" w:type="pct"/>
            <w:vAlign w:val="center"/>
          </w:tcPr>
          <w:p w14:paraId="70B41598" w14:textId="77777777" w:rsidR="003E78AB" w:rsidRDefault="00010BF9">
            <w:pPr>
              <w:pStyle w:val="aff6"/>
              <w:topLinePunct/>
              <w:rPr>
                <w:b/>
                <w:bCs/>
                <w:u w:val="single"/>
              </w:rPr>
            </w:pPr>
            <w:r>
              <w:rPr>
                <w:b/>
                <w:bCs/>
                <w:u w:val="single"/>
              </w:rPr>
              <w:t>10</w:t>
            </w:r>
          </w:p>
        </w:tc>
        <w:tc>
          <w:tcPr>
            <w:tcW w:w="894" w:type="pct"/>
            <w:vAlign w:val="center"/>
          </w:tcPr>
          <w:p w14:paraId="47AD6294" w14:textId="77777777" w:rsidR="003E78AB" w:rsidRDefault="00010BF9">
            <w:pPr>
              <w:pStyle w:val="aff6"/>
              <w:topLinePunct/>
              <w:rPr>
                <w:b/>
                <w:bCs/>
                <w:u w:val="single"/>
              </w:rPr>
            </w:pPr>
            <w:r>
              <w:rPr>
                <w:b/>
                <w:bCs/>
                <w:u w:val="single"/>
              </w:rPr>
              <w:t>0.15</w:t>
            </w:r>
          </w:p>
        </w:tc>
      </w:tr>
      <w:tr w:rsidR="003E78AB" w14:paraId="28D30A21" w14:textId="77777777">
        <w:trPr>
          <w:trHeight w:val="340"/>
          <w:jc w:val="center"/>
        </w:trPr>
        <w:tc>
          <w:tcPr>
            <w:tcW w:w="833" w:type="pct"/>
            <w:vMerge/>
            <w:vAlign w:val="center"/>
          </w:tcPr>
          <w:p w14:paraId="0E35E213" w14:textId="77777777" w:rsidR="003E78AB" w:rsidRDefault="003E78AB">
            <w:pPr>
              <w:pStyle w:val="aff6"/>
              <w:topLinePunct/>
              <w:rPr>
                <w:b/>
                <w:bCs/>
                <w:u w:val="single"/>
              </w:rPr>
            </w:pPr>
          </w:p>
        </w:tc>
        <w:tc>
          <w:tcPr>
            <w:tcW w:w="441" w:type="pct"/>
            <w:vAlign w:val="center"/>
          </w:tcPr>
          <w:p w14:paraId="442E9FC9" w14:textId="77777777" w:rsidR="003E78AB" w:rsidRDefault="00010BF9">
            <w:pPr>
              <w:pStyle w:val="aff6"/>
              <w:topLinePunct/>
              <w:rPr>
                <w:b/>
                <w:bCs/>
                <w:u w:val="single"/>
              </w:rPr>
            </w:pPr>
            <w:r>
              <w:rPr>
                <w:b/>
                <w:bCs/>
                <w:u w:val="single"/>
              </w:rPr>
              <w:t>春季</w:t>
            </w:r>
          </w:p>
        </w:tc>
        <w:tc>
          <w:tcPr>
            <w:tcW w:w="673" w:type="pct"/>
            <w:vMerge/>
            <w:vAlign w:val="center"/>
          </w:tcPr>
          <w:p w14:paraId="4BB4B44A" w14:textId="77777777" w:rsidR="003E78AB" w:rsidRDefault="003E78AB">
            <w:pPr>
              <w:pStyle w:val="aff6"/>
              <w:topLinePunct/>
              <w:rPr>
                <w:b/>
                <w:bCs/>
                <w:u w:val="single"/>
              </w:rPr>
            </w:pPr>
          </w:p>
        </w:tc>
        <w:tc>
          <w:tcPr>
            <w:tcW w:w="630" w:type="pct"/>
            <w:vMerge/>
            <w:vAlign w:val="center"/>
          </w:tcPr>
          <w:p w14:paraId="6E7565A7" w14:textId="77777777" w:rsidR="003E78AB" w:rsidRDefault="003E78AB">
            <w:pPr>
              <w:pStyle w:val="aff6"/>
              <w:topLinePunct/>
              <w:rPr>
                <w:b/>
                <w:bCs/>
                <w:u w:val="single"/>
              </w:rPr>
            </w:pPr>
          </w:p>
        </w:tc>
        <w:tc>
          <w:tcPr>
            <w:tcW w:w="737" w:type="pct"/>
            <w:vAlign w:val="center"/>
          </w:tcPr>
          <w:p w14:paraId="28C9B1A7" w14:textId="77777777" w:rsidR="003E78AB" w:rsidRDefault="00010BF9">
            <w:pPr>
              <w:pStyle w:val="aff6"/>
              <w:topLinePunct/>
              <w:rPr>
                <w:b/>
                <w:bCs/>
                <w:u w:val="single"/>
              </w:rPr>
            </w:pPr>
            <w:r>
              <w:rPr>
                <w:b/>
                <w:bCs/>
                <w:u w:val="single"/>
              </w:rPr>
              <w:t>0.3</w:t>
            </w:r>
          </w:p>
        </w:tc>
        <w:tc>
          <w:tcPr>
            <w:tcW w:w="790" w:type="pct"/>
            <w:vAlign w:val="center"/>
          </w:tcPr>
          <w:p w14:paraId="5CB1226B" w14:textId="77777777" w:rsidR="003E78AB" w:rsidRDefault="00010BF9">
            <w:pPr>
              <w:pStyle w:val="aff6"/>
              <w:topLinePunct/>
              <w:rPr>
                <w:b/>
                <w:bCs/>
                <w:u w:val="single"/>
              </w:rPr>
            </w:pPr>
            <w:r>
              <w:rPr>
                <w:b/>
                <w:bCs/>
                <w:u w:val="single"/>
              </w:rPr>
              <w:t>5</w:t>
            </w:r>
          </w:p>
        </w:tc>
        <w:tc>
          <w:tcPr>
            <w:tcW w:w="894" w:type="pct"/>
            <w:vAlign w:val="center"/>
          </w:tcPr>
          <w:p w14:paraId="1282390B" w14:textId="77777777" w:rsidR="003E78AB" w:rsidRDefault="00010BF9">
            <w:pPr>
              <w:pStyle w:val="aff6"/>
              <w:topLinePunct/>
              <w:rPr>
                <w:b/>
                <w:bCs/>
                <w:u w:val="single"/>
              </w:rPr>
            </w:pPr>
            <w:r>
              <w:rPr>
                <w:b/>
                <w:bCs/>
                <w:u w:val="single"/>
              </w:rPr>
              <w:t>0.3</w:t>
            </w:r>
          </w:p>
        </w:tc>
      </w:tr>
      <w:tr w:rsidR="003E78AB" w14:paraId="5901E63F" w14:textId="77777777">
        <w:trPr>
          <w:trHeight w:val="340"/>
          <w:jc w:val="center"/>
        </w:trPr>
        <w:tc>
          <w:tcPr>
            <w:tcW w:w="833" w:type="pct"/>
            <w:vMerge/>
            <w:vAlign w:val="center"/>
          </w:tcPr>
          <w:p w14:paraId="43385121" w14:textId="77777777" w:rsidR="003E78AB" w:rsidRDefault="003E78AB">
            <w:pPr>
              <w:pStyle w:val="aff6"/>
              <w:topLinePunct/>
              <w:rPr>
                <w:b/>
                <w:bCs/>
                <w:u w:val="single"/>
              </w:rPr>
            </w:pPr>
          </w:p>
        </w:tc>
        <w:tc>
          <w:tcPr>
            <w:tcW w:w="441" w:type="pct"/>
            <w:vAlign w:val="center"/>
          </w:tcPr>
          <w:p w14:paraId="628D4138" w14:textId="77777777" w:rsidR="003E78AB" w:rsidRDefault="00010BF9">
            <w:pPr>
              <w:pStyle w:val="aff6"/>
              <w:topLinePunct/>
              <w:rPr>
                <w:b/>
                <w:bCs/>
                <w:u w:val="single"/>
              </w:rPr>
            </w:pPr>
            <w:r>
              <w:rPr>
                <w:b/>
                <w:bCs/>
                <w:u w:val="single"/>
              </w:rPr>
              <w:t>夏季</w:t>
            </w:r>
          </w:p>
        </w:tc>
        <w:tc>
          <w:tcPr>
            <w:tcW w:w="673" w:type="pct"/>
            <w:vMerge/>
            <w:vAlign w:val="center"/>
          </w:tcPr>
          <w:p w14:paraId="600BE034" w14:textId="77777777" w:rsidR="003E78AB" w:rsidRDefault="003E78AB">
            <w:pPr>
              <w:pStyle w:val="aff6"/>
              <w:topLinePunct/>
              <w:rPr>
                <w:b/>
                <w:bCs/>
                <w:u w:val="single"/>
              </w:rPr>
            </w:pPr>
          </w:p>
        </w:tc>
        <w:tc>
          <w:tcPr>
            <w:tcW w:w="630" w:type="pct"/>
            <w:vMerge/>
            <w:vAlign w:val="center"/>
          </w:tcPr>
          <w:p w14:paraId="42A50315" w14:textId="77777777" w:rsidR="003E78AB" w:rsidRDefault="003E78AB">
            <w:pPr>
              <w:pStyle w:val="aff6"/>
              <w:topLinePunct/>
              <w:rPr>
                <w:b/>
                <w:bCs/>
                <w:u w:val="single"/>
              </w:rPr>
            </w:pPr>
          </w:p>
        </w:tc>
        <w:tc>
          <w:tcPr>
            <w:tcW w:w="737" w:type="pct"/>
            <w:vAlign w:val="center"/>
          </w:tcPr>
          <w:p w14:paraId="4F740E73" w14:textId="77777777" w:rsidR="003E78AB" w:rsidRDefault="00010BF9">
            <w:pPr>
              <w:pStyle w:val="aff6"/>
              <w:topLinePunct/>
              <w:rPr>
                <w:b/>
                <w:bCs/>
                <w:u w:val="single"/>
              </w:rPr>
            </w:pPr>
            <w:r>
              <w:rPr>
                <w:b/>
                <w:bCs/>
                <w:u w:val="single"/>
              </w:rPr>
              <w:t>0.28</w:t>
            </w:r>
          </w:p>
        </w:tc>
        <w:tc>
          <w:tcPr>
            <w:tcW w:w="790" w:type="pct"/>
            <w:vAlign w:val="center"/>
          </w:tcPr>
          <w:p w14:paraId="325B391B" w14:textId="77777777" w:rsidR="003E78AB" w:rsidRDefault="00010BF9">
            <w:pPr>
              <w:pStyle w:val="aff6"/>
              <w:topLinePunct/>
              <w:rPr>
                <w:b/>
                <w:bCs/>
                <w:u w:val="single"/>
              </w:rPr>
            </w:pPr>
            <w:r>
              <w:rPr>
                <w:b/>
                <w:bCs/>
                <w:u w:val="single"/>
              </w:rPr>
              <w:t>6</w:t>
            </w:r>
          </w:p>
        </w:tc>
        <w:tc>
          <w:tcPr>
            <w:tcW w:w="894" w:type="pct"/>
            <w:vAlign w:val="center"/>
          </w:tcPr>
          <w:p w14:paraId="70AA86CA" w14:textId="77777777" w:rsidR="003E78AB" w:rsidRDefault="00010BF9">
            <w:pPr>
              <w:pStyle w:val="aff6"/>
              <w:topLinePunct/>
              <w:rPr>
                <w:b/>
                <w:bCs/>
                <w:u w:val="single"/>
              </w:rPr>
            </w:pPr>
            <w:r>
              <w:rPr>
                <w:b/>
                <w:bCs/>
                <w:u w:val="single"/>
              </w:rPr>
              <w:t>0.3</w:t>
            </w:r>
          </w:p>
        </w:tc>
      </w:tr>
      <w:tr w:rsidR="003E78AB" w14:paraId="41696AAC" w14:textId="77777777">
        <w:trPr>
          <w:trHeight w:val="340"/>
          <w:jc w:val="center"/>
        </w:trPr>
        <w:tc>
          <w:tcPr>
            <w:tcW w:w="833" w:type="pct"/>
            <w:vMerge/>
            <w:vAlign w:val="center"/>
          </w:tcPr>
          <w:p w14:paraId="38EAEA42" w14:textId="77777777" w:rsidR="003E78AB" w:rsidRDefault="003E78AB">
            <w:pPr>
              <w:pStyle w:val="aff6"/>
              <w:topLinePunct/>
              <w:rPr>
                <w:b/>
                <w:bCs/>
                <w:u w:val="single"/>
              </w:rPr>
            </w:pPr>
          </w:p>
        </w:tc>
        <w:tc>
          <w:tcPr>
            <w:tcW w:w="441" w:type="pct"/>
            <w:vAlign w:val="center"/>
          </w:tcPr>
          <w:p w14:paraId="2729CAFB" w14:textId="77777777" w:rsidR="003E78AB" w:rsidRDefault="00010BF9">
            <w:pPr>
              <w:pStyle w:val="aff6"/>
              <w:topLinePunct/>
              <w:rPr>
                <w:b/>
                <w:bCs/>
                <w:u w:val="single"/>
              </w:rPr>
            </w:pPr>
            <w:r>
              <w:rPr>
                <w:b/>
                <w:bCs/>
                <w:u w:val="single"/>
              </w:rPr>
              <w:t>秋季</w:t>
            </w:r>
          </w:p>
        </w:tc>
        <w:tc>
          <w:tcPr>
            <w:tcW w:w="673" w:type="pct"/>
            <w:vMerge/>
            <w:vAlign w:val="center"/>
          </w:tcPr>
          <w:p w14:paraId="095CD355" w14:textId="77777777" w:rsidR="003E78AB" w:rsidRDefault="003E78AB">
            <w:pPr>
              <w:pStyle w:val="aff6"/>
              <w:topLinePunct/>
              <w:rPr>
                <w:b/>
                <w:bCs/>
                <w:u w:val="single"/>
              </w:rPr>
            </w:pPr>
          </w:p>
        </w:tc>
        <w:tc>
          <w:tcPr>
            <w:tcW w:w="630" w:type="pct"/>
            <w:vMerge/>
            <w:vAlign w:val="center"/>
          </w:tcPr>
          <w:p w14:paraId="492416AE" w14:textId="77777777" w:rsidR="003E78AB" w:rsidRDefault="003E78AB">
            <w:pPr>
              <w:pStyle w:val="aff6"/>
              <w:topLinePunct/>
              <w:rPr>
                <w:b/>
                <w:bCs/>
                <w:u w:val="single"/>
              </w:rPr>
            </w:pPr>
          </w:p>
        </w:tc>
        <w:tc>
          <w:tcPr>
            <w:tcW w:w="737" w:type="pct"/>
            <w:vAlign w:val="center"/>
          </w:tcPr>
          <w:p w14:paraId="0886F0E6" w14:textId="77777777" w:rsidR="003E78AB" w:rsidRDefault="00010BF9">
            <w:pPr>
              <w:pStyle w:val="aff6"/>
              <w:topLinePunct/>
              <w:rPr>
                <w:b/>
                <w:bCs/>
                <w:u w:val="single"/>
              </w:rPr>
            </w:pPr>
            <w:r>
              <w:rPr>
                <w:b/>
                <w:bCs/>
                <w:u w:val="single"/>
              </w:rPr>
              <w:t>0.28</w:t>
            </w:r>
          </w:p>
        </w:tc>
        <w:tc>
          <w:tcPr>
            <w:tcW w:w="790" w:type="pct"/>
            <w:vAlign w:val="center"/>
          </w:tcPr>
          <w:p w14:paraId="3BD4594F" w14:textId="77777777" w:rsidR="003E78AB" w:rsidRDefault="00010BF9">
            <w:pPr>
              <w:pStyle w:val="aff6"/>
              <w:topLinePunct/>
              <w:rPr>
                <w:b/>
                <w:bCs/>
                <w:u w:val="single"/>
              </w:rPr>
            </w:pPr>
            <w:r>
              <w:rPr>
                <w:b/>
                <w:bCs/>
                <w:u w:val="single"/>
              </w:rPr>
              <w:t>10</w:t>
            </w:r>
          </w:p>
        </w:tc>
        <w:tc>
          <w:tcPr>
            <w:tcW w:w="894" w:type="pct"/>
            <w:vAlign w:val="center"/>
          </w:tcPr>
          <w:p w14:paraId="5C72F68D" w14:textId="77777777" w:rsidR="003E78AB" w:rsidRDefault="00010BF9">
            <w:pPr>
              <w:pStyle w:val="aff6"/>
              <w:topLinePunct/>
              <w:rPr>
                <w:b/>
                <w:bCs/>
                <w:u w:val="single"/>
              </w:rPr>
            </w:pPr>
            <w:r>
              <w:rPr>
                <w:b/>
                <w:bCs/>
                <w:u w:val="single"/>
              </w:rPr>
              <w:t>0.3</w:t>
            </w:r>
          </w:p>
        </w:tc>
      </w:tr>
    </w:tbl>
    <w:p w14:paraId="042E0E19" w14:textId="77777777" w:rsidR="003E78AB" w:rsidRDefault="003E78AB">
      <w:pPr>
        <w:spacing w:line="240" w:lineRule="atLeast"/>
        <w:ind w:firstLineChars="0" w:firstLine="0"/>
        <w:rPr>
          <w:b/>
          <w:bCs/>
          <w:u w:val="single"/>
        </w:rPr>
      </w:pPr>
    </w:p>
    <w:p w14:paraId="75DF7EBD" w14:textId="77777777" w:rsidR="003E78AB" w:rsidRDefault="00010BF9">
      <w:pPr>
        <w:spacing w:line="240" w:lineRule="atLeast"/>
        <w:ind w:firstLineChars="0" w:firstLine="0"/>
        <w:rPr>
          <w:b/>
          <w:bCs/>
          <w:u w:val="single"/>
        </w:rPr>
      </w:pPr>
      <w:r>
        <w:rPr>
          <w:b/>
          <w:bCs/>
          <w:noProof/>
          <w:u w:val="single"/>
        </w:rPr>
        <w:drawing>
          <wp:inline distT="0" distB="0" distL="114300" distR="114300">
            <wp:extent cx="5263515" cy="3001010"/>
            <wp:effectExtent l="0" t="0" r="1333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1"/>
                    <a:stretch>
                      <a:fillRect/>
                    </a:stretch>
                  </pic:blipFill>
                  <pic:spPr>
                    <a:xfrm>
                      <a:off x="0" y="0"/>
                      <a:ext cx="5263515" cy="3001010"/>
                    </a:xfrm>
                    <a:prstGeom prst="rect">
                      <a:avLst/>
                    </a:prstGeom>
                    <a:noFill/>
                    <a:ln>
                      <a:noFill/>
                    </a:ln>
                  </pic:spPr>
                </pic:pic>
              </a:graphicData>
            </a:graphic>
          </wp:inline>
        </w:drawing>
      </w:r>
    </w:p>
    <w:p w14:paraId="1A0E1891" w14:textId="77777777" w:rsidR="003E78AB" w:rsidRDefault="00010BF9">
      <w:pPr>
        <w:pStyle w:val="a9"/>
        <w:spacing w:before="120"/>
        <w:rPr>
          <w:b/>
          <w:u w:val="single"/>
        </w:rPr>
      </w:pPr>
      <w:r>
        <w:rPr>
          <w:b/>
          <w:u w:val="single"/>
        </w:rPr>
        <w:t>评价区地形等高线示意图</w:t>
      </w:r>
    </w:p>
    <w:p w14:paraId="29D1288D" w14:textId="77777777" w:rsidR="003E78AB" w:rsidRDefault="00010BF9">
      <w:pPr>
        <w:pStyle w:val="4"/>
        <w:keepNext w:val="0"/>
        <w:keepLines w:val="0"/>
        <w:adjustRightInd/>
        <w:snapToGrid/>
        <w:spacing w:beforeLines="0" w:line="520" w:lineRule="exact"/>
        <w:ind w:firstLineChars="0" w:firstLine="0"/>
        <w:rPr>
          <w:rFonts w:ascii="Times New Roman" w:hAnsi="Times New Roman"/>
          <w:u w:val="single"/>
        </w:rPr>
      </w:pPr>
      <w:r>
        <w:rPr>
          <w:rFonts w:ascii="Times New Roman" w:hAnsi="Times New Roman"/>
          <w:u w:val="single"/>
        </w:rPr>
        <w:t>5.2.1.2</w:t>
      </w:r>
      <w:r>
        <w:rPr>
          <w:rFonts w:ascii="Times New Roman" w:hAnsi="Times New Roman" w:hint="eastAsia"/>
          <w:u w:val="single"/>
        </w:rPr>
        <w:t>大气影响预测</w:t>
      </w:r>
    </w:p>
    <w:p w14:paraId="580D73B3" w14:textId="77777777" w:rsidR="003E78AB" w:rsidRDefault="00010BF9">
      <w:pPr>
        <w:pStyle w:val="5"/>
        <w:keepNext w:val="0"/>
        <w:keepLines w:val="0"/>
        <w:ind w:firstLine="482"/>
        <w:rPr>
          <w:bCs/>
          <w:sz w:val="24"/>
          <w:u w:val="single"/>
        </w:rPr>
      </w:pPr>
      <w:r>
        <w:rPr>
          <w:rFonts w:hint="eastAsia"/>
          <w:bCs/>
          <w:sz w:val="24"/>
          <w:u w:val="single"/>
        </w:rPr>
        <w:t>1.</w:t>
      </w:r>
      <w:r>
        <w:rPr>
          <w:bCs/>
          <w:sz w:val="24"/>
          <w:u w:val="single"/>
        </w:rPr>
        <w:t>预测模型及参数</w:t>
      </w:r>
    </w:p>
    <w:p w14:paraId="171C8900" w14:textId="77777777" w:rsidR="003E78AB" w:rsidRDefault="00010BF9">
      <w:pPr>
        <w:ind w:firstLine="482"/>
        <w:rPr>
          <w:b/>
          <w:bCs/>
          <w:u w:val="single"/>
        </w:rPr>
      </w:pPr>
      <w:r>
        <w:rPr>
          <w:rFonts w:hint="eastAsia"/>
          <w:b/>
          <w:bCs/>
          <w:u w:val="single"/>
        </w:rPr>
        <w:t>（</w:t>
      </w:r>
      <w:r>
        <w:rPr>
          <w:b/>
          <w:bCs/>
          <w:u w:val="single"/>
        </w:rPr>
        <w:t>1</w:t>
      </w:r>
      <w:r>
        <w:rPr>
          <w:rFonts w:hint="eastAsia"/>
          <w:b/>
          <w:bCs/>
          <w:u w:val="single"/>
        </w:rPr>
        <w:t>）</w:t>
      </w:r>
      <w:r>
        <w:rPr>
          <w:b/>
          <w:bCs/>
          <w:u w:val="single"/>
        </w:rPr>
        <w:t>预测模式</w:t>
      </w:r>
    </w:p>
    <w:p w14:paraId="3CC078DA" w14:textId="77777777" w:rsidR="003E78AB" w:rsidRDefault="00010BF9">
      <w:pPr>
        <w:ind w:firstLine="482"/>
        <w:rPr>
          <w:b/>
          <w:bCs/>
          <w:u w:val="single"/>
        </w:rPr>
      </w:pPr>
      <w:r>
        <w:rPr>
          <w:b/>
          <w:bCs/>
          <w:u w:val="single"/>
        </w:rPr>
        <w:t>根据《环境影响评价技术导则</w:t>
      </w:r>
      <w:r>
        <w:rPr>
          <w:b/>
          <w:bCs/>
          <w:u w:val="single"/>
        </w:rPr>
        <w:t xml:space="preserve"> </w:t>
      </w:r>
      <w:r>
        <w:rPr>
          <w:b/>
          <w:bCs/>
          <w:u w:val="single"/>
        </w:rPr>
        <w:t>大气环境》（</w:t>
      </w:r>
      <w:r>
        <w:rPr>
          <w:b/>
          <w:bCs/>
          <w:u w:val="single"/>
        </w:rPr>
        <w:t>HJ2.2-2018</w:t>
      </w:r>
      <w:r>
        <w:rPr>
          <w:b/>
          <w:bCs/>
          <w:u w:val="single"/>
        </w:rPr>
        <w:t>），本项目大气环境影响预测选取</w:t>
      </w:r>
      <w:r>
        <w:rPr>
          <w:b/>
          <w:bCs/>
          <w:u w:val="single"/>
        </w:rPr>
        <w:t>AERMOD</w:t>
      </w:r>
      <w:r>
        <w:rPr>
          <w:b/>
          <w:bCs/>
          <w:u w:val="single"/>
        </w:rPr>
        <w:t>模型进行大气预测分析。</w:t>
      </w:r>
      <w:r>
        <w:rPr>
          <w:b/>
          <w:bCs/>
          <w:u w:val="single"/>
        </w:rPr>
        <w:t>AERMOD</w:t>
      </w:r>
      <w:r>
        <w:rPr>
          <w:b/>
          <w:bCs/>
          <w:u w:val="single"/>
        </w:rPr>
        <w:t>是一个稳态烟羽扩散模式，可基于大气边界层数据特征模拟点源、面源和体源等排放出的污染物在短期（小时平均、日平均）、长期（年平均）的浓度分布，适用于农村或城市地区、简单或复杂地形。</w:t>
      </w:r>
      <w:r>
        <w:rPr>
          <w:b/>
          <w:bCs/>
          <w:u w:val="single"/>
        </w:rPr>
        <w:t>AERMOD</w:t>
      </w:r>
      <w:r>
        <w:rPr>
          <w:b/>
          <w:bCs/>
          <w:u w:val="single"/>
        </w:rPr>
        <w:t>考虑了建筑物尾流的影响，即烟羽下洗。模式使用每小时连续预处理气象数据模拟大于等于</w:t>
      </w:r>
      <w:r>
        <w:rPr>
          <w:b/>
          <w:bCs/>
          <w:u w:val="single"/>
        </w:rPr>
        <w:t>1</w:t>
      </w:r>
      <w:r>
        <w:rPr>
          <w:b/>
          <w:bCs/>
          <w:u w:val="single"/>
        </w:rPr>
        <w:t>小时平均时间的浓度分布。。</w:t>
      </w:r>
    </w:p>
    <w:p w14:paraId="3EE91159" w14:textId="77777777" w:rsidR="003E78AB" w:rsidRDefault="00010BF9">
      <w:pPr>
        <w:ind w:firstLine="482"/>
        <w:rPr>
          <w:b/>
          <w:bCs/>
          <w:u w:val="single"/>
        </w:rPr>
      </w:pPr>
      <w:r>
        <w:rPr>
          <w:rFonts w:hint="eastAsia"/>
          <w:b/>
          <w:bCs/>
          <w:u w:val="single"/>
        </w:rPr>
        <w:t>（</w:t>
      </w:r>
      <w:r>
        <w:rPr>
          <w:b/>
          <w:bCs/>
          <w:u w:val="single"/>
        </w:rPr>
        <w:t>2</w:t>
      </w:r>
      <w:r>
        <w:rPr>
          <w:rFonts w:hint="eastAsia"/>
          <w:b/>
          <w:bCs/>
          <w:u w:val="single"/>
        </w:rPr>
        <w:t>）</w:t>
      </w:r>
      <w:r>
        <w:rPr>
          <w:b/>
          <w:bCs/>
          <w:u w:val="single"/>
        </w:rPr>
        <w:t>预测因子</w:t>
      </w:r>
    </w:p>
    <w:p w14:paraId="0E4B481F" w14:textId="77777777" w:rsidR="003E78AB" w:rsidRDefault="00010BF9">
      <w:pPr>
        <w:ind w:firstLine="482"/>
        <w:rPr>
          <w:b/>
          <w:bCs/>
          <w:u w:val="single"/>
        </w:rPr>
      </w:pPr>
      <w:r>
        <w:rPr>
          <w:b/>
          <w:bCs/>
          <w:u w:val="single"/>
        </w:rPr>
        <w:t>本项目大气环境影响预测重点为项目废气点源、面源对大气环境的影响程度和范围，同时考虑项目评价</w:t>
      </w:r>
      <w:r>
        <w:rPr>
          <w:b/>
          <w:bCs/>
          <w:u w:val="single"/>
        </w:rPr>
        <w:t>范围内新增大气污染物的叠加影响。本项目的环境影响评价因子为</w:t>
      </w:r>
      <w:r>
        <w:rPr>
          <w:b/>
          <w:bCs/>
          <w:u w:val="single"/>
        </w:rPr>
        <w:t>TSP</w:t>
      </w:r>
      <w:r>
        <w:rPr>
          <w:b/>
          <w:bCs/>
          <w:u w:val="single"/>
        </w:rPr>
        <w:t>、</w:t>
      </w:r>
      <w:r>
        <w:rPr>
          <w:b/>
          <w:bCs/>
          <w:u w:val="single"/>
        </w:rPr>
        <w:t>PM</w:t>
      </w:r>
      <w:r>
        <w:rPr>
          <w:b/>
          <w:bCs/>
          <w:u w:val="single"/>
          <w:vertAlign w:val="subscript"/>
        </w:rPr>
        <w:t>10</w:t>
      </w:r>
      <w:r>
        <w:rPr>
          <w:b/>
          <w:bCs/>
          <w:u w:val="single"/>
        </w:rPr>
        <w:t>、</w:t>
      </w:r>
      <w:r>
        <w:rPr>
          <w:rFonts w:hint="eastAsia"/>
          <w:b/>
          <w:bCs/>
          <w:u w:val="single"/>
        </w:rPr>
        <w:t>硫酸雾、</w:t>
      </w:r>
      <w:r>
        <w:rPr>
          <w:rFonts w:hint="eastAsia"/>
          <w:b/>
          <w:bCs/>
          <w:u w:val="single"/>
        </w:rPr>
        <w:t>TVOC</w:t>
      </w:r>
      <w:r>
        <w:rPr>
          <w:b/>
          <w:bCs/>
          <w:u w:val="single"/>
        </w:rPr>
        <w:t>。</w:t>
      </w:r>
    </w:p>
    <w:p w14:paraId="791A76FE" w14:textId="77777777" w:rsidR="003E78AB" w:rsidRDefault="00010BF9">
      <w:pPr>
        <w:ind w:firstLine="482"/>
        <w:rPr>
          <w:b/>
          <w:bCs/>
          <w:u w:val="single"/>
        </w:rPr>
      </w:pPr>
      <w:r>
        <w:rPr>
          <w:rFonts w:hint="eastAsia"/>
          <w:b/>
          <w:bCs/>
          <w:u w:val="single"/>
        </w:rPr>
        <w:t>（</w:t>
      </w:r>
      <w:r>
        <w:rPr>
          <w:rFonts w:hint="eastAsia"/>
          <w:b/>
          <w:bCs/>
          <w:u w:val="single"/>
        </w:rPr>
        <w:t>3</w:t>
      </w:r>
      <w:r>
        <w:rPr>
          <w:rFonts w:hint="eastAsia"/>
          <w:b/>
          <w:bCs/>
          <w:u w:val="single"/>
        </w:rPr>
        <w:t>）</w:t>
      </w:r>
      <w:r>
        <w:rPr>
          <w:b/>
          <w:bCs/>
          <w:u w:val="single"/>
        </w:rPr>
        <w:t>评价标准</w:t>
      </w:r>
    </w:p>
    <w:p w14:paraId="0753F526" w14:textId="77777777" w:rsidR="003E78AB" w:rsidRDefault="00010BF9">
      <w:pPr>
        <w:ind w:firstLine="482"/>
        <w:rPr>
          <w:b/>
          <w:bCs/>
          <w:u w:val="single"/>
        </w:rPr>
      </w:pPr>
      <w:r>
        <w:rPr>
          <w:b/>
          <w:bCs/>
          <w:u w:val="single"/>
        </w:rPr>
        <w:t>TSP</w:t>
      </w:r>
      <w:r>
        <w:rPr>
          <w:b/>
          <w:bCs/>
          <w:u w:val="single"/>
        </w:rPr>
        <w:t>、</w:t>
      </w:r>
      <w:r>
        <w:rPr>
          <w:b/>
          <w:bCs/>
          <w:u w:val="single"/>
        </w:rPr>
        <w:t>PM</w:t>
      </w:r>
      <w:r>
        <w:rPr>
          <w:b/>
          <w:bCs/>
          <w:u w:val="single"/>
          <w:vertAlign w:val="subscript"/>
        </w:rPr>
        <w:t>10</w:t>
      </w:r>
      <w:r>
        <w:rPr>
          <w:b/>
          <w:bCs/>
          <w:u w:val="single"/>
        </w:rPr>
        <w:t>、</w:t>
      </w:r>
      <w:r>
        <w:rPr>
          <w:rFonts w:hint="eastAsia"/>
          <w:b/>
          <w:bCs/>
          <w:u w:val="single"/>
        </w:rPr>
        <w:t>SO</w:t>
      </w:r>
      <w:r>
        <w:rPr>
          <w:rFonts w:hint="eastAsia"/>
          <w:b/>
          <w:bCs/>
          <w:u w:val="single"/>
          <w:vertAlign w:val="subscript"/>
        </w:rPr>
        <w:t>2</w:t>
      </w:r>
      <w:r>
        <w:rPr>
          <w:rFonts w:hint="eastAsia"/>
          <w:b/>
          <w:bCs/>
          <w:u w:val="single"/>
        </w:rPr>
        <w:t>、</w:t>
      </w:r>
      <w:r>
        <w:rPr>
          <w:rFonts w:hint="eastAsia"/>
          <w:b/>
          <w:bCs/>
          <w:u w:val="single"/>
        </w:rPr>
        <w:t>NO</w:t>
      </w:r>
      <w:r>
        <w:rPr>
          <w:rFonts w:hint="eastAsia"/>
          <w:b/>
          <w:bCs/>
          <w:u w:val="single"/>
          <w:vertAlign w:val="subscript"/>
        </w:rPr>
        <w:t>2</w:t>
      </w:r>
      <w:r>
        <w:rPr>
          <w:b/>
          <w:bCs/>
          <w:u w:val="single"/>
        </w:rPr>
        <w:t>执行《环境空气质量标准》</w:t>
      </w:r>
      <w:r>
        <w:rPr>
          <w:rFonts w:hint="eastAsia"/>
          <w:b/>
          <w:bCs/>
          <w:u w:val="single"/>
        </w:rPr>
        <w:t>（</w:t>
      </w:r>
      <w:r>
        <w:rPr>
          <w:b/>
          <w:bCs/>
          <w:u w:val="single"/>
        </w:rPr>
        <w:t>GB3095-2012</w:t>
      </w:r>
      <w:r>
        <w:rPr>
          <w:rFonts w:hint="eastAsia"/>
          <w:b/>
          <w:bCs/>
          <w:u w:val="single"/>
        </w:rPr>
        <w:t>）</w:t>
      </w:r>
      <w:r>
        <w:rPr>
          <w:b/>
          <w:bCs/>
          <w:u w:val="single"/>
        </w:rPr>
        <w:t>及修改单中二级标准限值，</w:t>
      </w:r>
      <w:r>
        <w:rPr>
          <w:rFonts w:hint="eastAsia"/>
          <w:b/>
          <w:bCs/>
          <w:u w:val="single"/>
        </w:rPr>
        <w:t>TVOC</w:t>
      </w:r>
      <w:r>
        <w:rPr>
          <w:rFonts w:hint="eastAsia"/>
          <w:b/>
          <w:bCs/>
          <w:u w:val="single"/>
        </w:rPr>
        <w:t>和</w:t>
      </w:r>
      <w:r>
        <w:rPr>
          <w:b/>
          <w:bCs/>
          <w:snapToGrid w:val="0"/>
          <w:u w:val="single"/>
        </w:rPr>
        <w:t>硫酸雾执行</w:t>
      </w:r>
      <w:r>
        <w:rPr>
          <w:b/>
          <w:bCs/>
          <w:kern w:val="2"/>
          <w:u w:val="single"/>
        </w:rPr>
        <w:t>《环境影响评价技术导则</w:t>
      </w:r>
      <w:r>
        <w:rPr>
          <w:b/>
          <w:bCs/>
          <w:kern w:val="2"/>
          <w:u w:val="single"/>
        </w:rPr>
        <w:t xml:space="preserve"> </w:t>
      </w:r>
      <w:r>
        <w:rPr>
          <w:b/>
          <w:bCs/>
          <w:kern w:val="2"/>
          <w:u w:val="single"/>
        </w:rPr>
        <w:t>大气环境》（</w:t>
      </w:r>
      <w:r>
        <w:rPr>
          <w:b/>
          <w:bCs/>
          <w:kern w:val="2"/>
          <w:u w:val="single"/>
        </w:rPr>
        <w:t>HJ2.2-2018</w:t>
      </w:r>
      <w:r>
        <w:rPr>
          <w:b/>
          <w:bCs/>
          <w:kern w:val="2"/>
          <w:u w:val="single"/>
        </w:rPr>
        <w:t>）中附录</w:t>
      </w:r>
      <w:r>
        <w:rPr>
          <w:b/>
          <w:bCs/>
          <w:kern w:val="2"/>
          <w:u w:val="single"/>
        </w:rPr>
        <w:t>D“</w:t>
      </w:r>
      <w:r>
        <w:rPr>
          <w:b/>
          <w:bCs/>
          <w:kern w:val="2"/>
          <w:u w:val="single"/>
        </w:rPr>
        <w:t>表</w:t>
      </w:r>
      <w:r>
        <w:rPr>
          <w:b/>
          <w:bCs/>
          <w:kern w:val="2"/>
          <w:u w:val="single"/>
        </w:rPr>
        <w:t>D.1</w:t>
      </w:r>
      <w:r>
        <w:rPr>
          <w:b/>
          <w:bCs/>
          <w:kern w:val="2"/>
          <w:u w:val="single"/>
        </w:rPr>
        <w:t>其他污染物空气质量浓度参考限值</w:t>
      </w:r>
      <w:r>
        <w:rPr>
          <w:b/>
          <w:bCs/>
          <w:kern w:val="2"/>
          <w:u w:val="single"/>
        </w:rPr>
        <w:t>”</w:t>
      </w:r>
      <w:r>
        <w:rPr>
          <w:b/>
          <w:bCs/>
          <w:kern w:val="2"/>
          <w:u w:val="single"/>
        </w:rPr>
        <w:t>要求，</w:t>
      </w:r>
      <w:r>
        <w:rPr>
          <w:b/>
          <w:bCs/>
          <w:u w:val="single"/>
        </w:rPr>
        <w:t>具体标准值见</w:t>
      </w:r>
      <w:r>
        <w:rPr>
          <w:b/>
          <w:bCs/>
          <w:u w:val="single"/>
        </w:rPr>
        <w:fldChar w:fldCharType="begin"/>
      </w:r>
      <w:r>
        <w:rPr>
          <w:b/>
          <w:bCs/>
          <w:u w:val="single"/>
        </w:rPr>
        <w:instrText xml:space="preserve"> REF _Ref15184 \r \h </w:instrText>
      </w:r>
      <w:r>
        <w:rPr>
          <w:b/>
          <w:bCs/>
          <w:u w:val="single"/>
        </w:rPr>
      </w:r>
      <w:r>
        <w:rPr>
          <w:b/>
          <w:bCs/>
          <w:u w:val="single"/>
        </w:rPr>
        <w:fldChar w:fldCharType="separate"/>
      </w:r>
      <w:r>
        <w:rPr>
          <w:b/>
          <w:bCs/>
          <w:u w:val="single"/>
        </w:rPr>
        <w:t>表</w:t>
      </w:r>
      <w:r>
        <w:rPr>
          <w:b/>
          <w:bCs/>
          <w:u w:val="single"/>
        </w:rPr>
        <w:t>5-15</w:t>
      </w:r>
      <w:r>
        <w:rPr>
          <w:b/>
          <w:bCs/>
          <w:u w:val="single"/>
        </w:rPr>
        <w:fldChar w:fldCharType="end"/>
      </w:r>
      <w:r>
        <w:rPr>
          <w:b/>
          <w:bCs/>
          <w:u w:val="single"/>
        </w:rPr>
        <w:t>。</w:t>
      </w:r>
    </w:p>
    <w:p w14:paraId="3AF0647C" w14:textId="77777777" w:rsidR="003E78AB" w:rsidRDefault="00010BF9">
      <w:pPr>
        <w:pStyle w:val="a4"/>
        <w:spacing w:before="120"/>
        <w:ind w:left="425"/>
        <w:rPr>
          <w:b/>
          <w:bCs/>
          <w:u w:val="single"/>
        </w:rPr>
      </w:pPr>
      <w:r>
        <w:rPr>
          <w:rFonts w:hint="eastAsia"/>
          <w:b/>
          <w:bCs/>
          <w:u w:val="single"/>
        </w:rPr>
        <w:t>大气预测评价标准</w:t>
      </w:r>
    </w:p>
    <w:tbl>
      <w:tblPr>
        <w:tblStyle w:val="TableNormal"/>
        <w:tblW w:w="501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63"/>
        <w:gridCol w:w="1386"/>
        <w:gridCol w:w="1306"/>
        <w:gridCol w:w="1061"/>
        <w:gridCol w:w="1114"/>
        <w:gridCol w:w="1177"/>
        <w:gridCol w:w="1831"/>
      </w:tblGrid>
      <w:tr w:rsidR="003E78AB" w14:paraId="7C613FE7" w14:textId="77777777">
        <w:trPr>
          <w:trHeight w:val="321"/>
        </w:trPr>
        <w:tc>
          <w:tcPr>
            <w:tcW w:w="277" w:type="pct"/>
            <w:vMerge w:val="restart"/>
            <w:tcBorders>
              <w:bottom w:val="nil"/>
            </w:tcBorders>
            <w:vAlign w:val="center"/>
          </w:tcPr>
          <w:p w14:paraId="334BACEF" w14:textId="77777777" w:rsidR="003E78AB" w:rsidRDefault="00010BF9">
            <w:pPr>
              <w:pStyle w:val="aff6"/>
              <w:topLinePunct/>
              <w:rPr>
                <w:b/>
                <w:bCs/>
                <w:u w:val="single"/>
              </w:rPr>
            </w:pPr>
            <w:r>
              <w:rPr>
                <w:b/>
                <w:bCs/>
                <w:u w:val="single"/>
              </w:rPr>
              <w:t>序号</w:t>
            </w:r>
          </w:p>
        </w:tc>
        <w:tc>
          <w:tcPr>
            <w:tcW w:w="831" w:type="pct"/>
            <w:vMerge w:val="restart"/>
            <w:tcBorders>
              <w:bottom w:val="nil"/>
            </w:tcBorders>
            <w:vAlign w:val="center"/>
          </w:tcPr>
          <w:p w14:paraId="79361607" w14:textId="77777777" w:rsidR="003E78AB" w:rsidRDefault="00010BF9">
            <w:pPr>
              <w:pStyle w:val="aff6"/>
              <w:topLinePunct/>
              <w:rPr>
                <w:b/>
                <w:bCs/>
                <w:u w:val="single"/>
              </w:rPr>
            </w:pPr>
            <w:r>
              <w:rPr>
                <w:b/>
                <w:bCs/>
                <w:u w:val="single"/>
              </w:rPr>
              <w:t>污染物</w:t>
            </w:r>
          </w:p>
        </w:tc>
        <w:tc>
          <w:tcPr>
            <w:tcW w:w="2793" w:type="pct"/>
            <w:gridSpan w:val="4"/>
            <w:vAlign w:val="center"/>
          </w:tcPr>
          <w:p w14:paraId="2AF7F624" w14:textId="77777777" w:rsidR="003E78AB" w:rsidRDefault="00010BF9">
            <w:pPr>
              <w:pStyle w:val="aff6"/>
              <w:topLinePunct/>
              <w:rPr>
                <w:b/>
                <w:bCs/>
                <w:u w:val="single"/>
              </w:rPr>
            </w:pPr>
            <w:r>
              <w:rPr>
                <w:b/>
                <w:bCs/>
                <w:u w:val="single"/>
              </w:rPr>
              <w:t>浓度限值</w:t>
            </w:r>
            <w:r>
              <w:rPr>
                <w:b/>
                <w:bCs/>
                <w:u w:val="single"/>
              </w:rPr>
              <w:t>(ug/m³)</w:t>
            </w:r>
          </w:p>
        </w:tc>
        <w:tc>
          <w:tcPr>
            <w:tcW w:w="1098" w:type="pct"/>
            <w:vMerge w:val="restart"/>
            <w:tcBorders>
              <w:bottom w:val="nil"/>
            </w:tcBorders>
            <w:vAlign w:val="center"/>
          </w:tcPr>
          <w:p w14:paraId="05AA96A1" w14:textId="77777777" w:rsidR="003E78AB" w:rsidRDefault="00010BF9">
            <w:pPr>
              <w:pStyle w:val="aff6"/>
              <w:topLinePunct/>
              <w:rPr>
                <w:b/>
                <w:bCs/>
                <w:u w:val="single"/>
              </w:rPr>
            </w:pPr>
            <w:r>
              <w:rPr>
                <w:b/>
                <w:bCs/>
                <w:u w:val="single"/>
              </w:rPr>
              <w:t>标准来源</w:t>
            </w:r>
          </w:p>
        </w:tc>
      </w:tr>
      <w:tr w:rsidR="003E78AB" w14:paraId="2C6B51F8" w14:textId="77777777">
        <w:trPr>
          <w:trHeight w:val="316"/>
        </w:trPr>
        <w:tc>
          <w:tcPr>
            <w:tcW w:w="277" w:type="pct"/>
            <w:vMerge/>
            <w:tcBorders>
              <w:top w:val="nil"/>
            </w:tcBorders>
            <w:vAlign w:val="center"/>
          </w:tcPr>
          <w:p w14:paraId="39DD8192" w14:textId="77777777" w:rsidR="003E78AB" w:rsidRDefault="003E78AB">
            <w:pPr>
              <w:pStyle w:val="aff6"/>
              <w:topLinePunct/>
              <w:rPr>
                <w:b/>
                <w:bCs/>
                <w:u w:val="single"/>
              </w:rPr>
            </w:pPr>
          </w:p>
        </w:tc>
        <w:tc>
          <w:tcPr>
            <w:tcW w:w="831" w:type="pct"/>
            <w:vMerge/>
            <w:tcBorders>
              <w:top w:val="nil"/>
            </w:tcBorders>
            <w:vAlign w:val="center"/>
          </w:tcPr>
          <w:p w14:paraId="01C0933D" w14:textId="77777777" w:rsidR="003E78AB" w:rsidRDefault="003E78AB">
            <w:pPr>
              <w:pStyle w:val="aff6"/>
              <w:topLinePunct/>
              <w:rPr>
                <w:b/>
                <w:bCs/>
                <w:u w:val="single"/>
              </w:rPr>
            </w:pPr>
          </w:p>
        </w:tc>
        <w:tc>
          <w:tcPr>
            <w:tcW w:w="783" w:type="pct"/>
            <w:vAlign w:val="center"/>
          </w:tcPr>
          <w:p w14:paraId="53DD2C6D" w14:textId="77777777" w:rsidR="003E78AB" w:rsidRDefault="00010BF9">
            <w:pPr>
              <w:pStyle w:val="aff6"/>
              <w:topLinePunct/>
              <w:rPr>
                <w:b/>
                <w:bCs/>
                <w:u w:val="single"/>
              </w:rPr>
            </w:pPr>
            <w:r>
              <w:rPr>
                <w:b/>
                <w:bCs/>
                <w:u w:val="single"/>
              </w:rPr>
              <w:t>小时平均</w:t>
            </w:r>
          </w:p>
        </w:tc>
        <w:tc>
          <w:tcPr>
            <w:tcW w:w="636" w:type="pct"/>
            <w:vAlign w:val="center"/>
          </w:tcPr>
          <w:p w14:paraId="66FE4450" w14:textId="77777777" w:rsidR="003E78AB" w:rsidRDefault="00010BF9">
            <w:pPr>
              <w:pStyle w:val="aff6"/>
              <w:topLinePunct/>
              <w:rPr>
                <w:b/>
                <w:bCs/>
                <w:u w:val="single"/>
              </w:rPr>
            </w:pPr>
            <w:r>
              <w:rPr>
                <w:rFonts w:hint="eastAsia"/>
                <w:b/>
                <w:bCs/>
                <w:u w:val="single"/>
              </w:rPr>
              <w:t>8h</w:t>
            </w:r>
            <w:r>
              <w:rPr>
                <w:rFonts w:hint="eastAsia"/>
                <w:b/>
                <w:bCs/>
                <w:u w:val="single"/>
              </w:rPr>
              <w:t>平均</w:t>
            </w:r>
          </w:p>
        </w:tc>
        <w:tc>
          <w:tcPr>
            <w:tcW w:w="668" w:type="pct"/>
            <w:vAlign w:val="center"/>
          </w:tcPr>
          <w:p w14:paraId="438FA56D" w14:textId="77777777" w:rsidR="003E78AB" w:rsidRDefault="00010BF9">
            <w:pPr>
              <w:pStyle w:val="aff6"/>
              <w:topLinePunct/>
              <w:rPr>
                <w:b/>
                <w:bCs/>
                <w:u w:val="single"/>
              </w:rPr>
            </w:pPr>
            <w:r>
              <w:rPr>
                <w:b/>
                <w:bCs/>
                <w:u w:val="single"/>
              </w:rPr>
              <w:t>日平均</w:t>
            </w:r>
          </w:p>
        </w:tc>
        <w:tc>
          <w:tcPr>
            <w:tcW w:w="705" w:type="pct"/>
            <w:vAlign w:val="center"/>
          </w:tcPr>
          <w:p w14:paraId="78CA23CE" w14:textId="77777777" w:rsidR="003E78AB" w:rsidRDefault="00010BF9">
            <w:pPr>
              <w:pStyle w:val="aff6"/>
              <w:topLinePunct/>
              <w:rPr>
                <w:b/>
                <w:bCs/>
                <w:u w:val="single"/>
              </w:rPr>
            </w:pPr>
            <w:r>
              <w:rPr>
                <w:b/>
                <w:bCs/>
                <w:u w:val="single"/>
              </w:rPr>
              <w:t>年平均</w:t>
            </w:r>
          </w:p>
        </w:tc>
        <w:tc>
          <w:tcPr>
            <w:tcW w:w="1098" w:type="pct"/>
            <w:vMerge/>
            <w:tcBorders>
              <w:top w:val="nil"/>
            </w:tcBorders>
            <w:vAlign w:val="center"/>
          </w:tcPr>
          <w:p w14:paraId="7DCC9489" w14:textId="77777777" w:rsidR="003E78AB" w:rsidRDefault="003E78AB">
            <w:pPr>
              <w:pStyle w:val="aff6"/>
              <w:topLinePunct/>
              <w:rPr>
                <w:b/>
                <w:bCs/>
                <w:u w:val="single"/>
              </w:rPr>
            </w:pPr>
          </w:p>
        </w:tc>
      </w:tr>
      <w:tr w:rsidR="003E78AB" w14:paraId="64E8F823" w14:textId="77777777">
        <w:trPr>
          <w:trHeight w:val="343"/>
        </w:trPr>
        <w:tc>
          <w:tcPr>
            <w:tcW w:w="277" w:type="pct"/>
            <w:vAlign w:val="center"/>
          </w:tcPr>
          <w:p w14:paraId="2C3456DC" w14:textId="77777777" w:rsidR="003E78AB" w:rsidRDefault="00010BF9">
            <w:pPr>
              <w:pStyle w:val="aff6"/>
              <w:topLinePunct/>
              <w:rPr>
                <w:b/>
                <w:bCs/>
                <w:u w:val="single"/>
              </w:rPr>
            </w:pPr>
            <w:r>
              <w:rPr>
                <w:b/>
                <w:bCs/>
                <w:u w:val="single"/>
              </w:rPr>
              <w:t>1</w:t>
            </w:r>
          </w:p>
        </w:tc>
        <w:tc>
          <w:tcPr>
            <w:tcW w:w="831" w:type="pct"/>
            <w:vAlign w:val="center"/>
          </w:tcPr>
          <w:p w14:paraId="6EF4FF80" w14:textId="77777777" w:rsidR="003E78AB" w:rsidRDefault="00010BF9">
            <w:pPr>
              <w:pStyle w:val="aff6"/>
              <w:topLinePunct/>
              <w:rPr>
                <w:b/>
                <w:bCs/>
                <w:u w:val="single"/>
              </w:rPr>
            </w:pPr>
            <w:r>
              <w:rPr>
                <w:b/>
                <w:bCs/>
                <w:u w:val="single"/>
              </w:rPr>
              <w:t>TSP</w:t>
            </w:r>
          </w:p>
        </w:tc>
        <w:tc>
          <w:tcPr>
            <w:tcW w:w="783" w:type="pct"/>
            <w:vAlign w:val="center"/>
          </w:tcPr>
          <w:p w14:paraId="47FAB993" w14:textId="77777777" w:rsidR="003E78AB" w:rsidRDefault="00010BF9">
            <w:pPr>
              <w:pStyle w:val="aff6"/>
              <w:topLinePunct/>
              <w:rPr>
                <w:b/>
                <w:bCs/>
                <w:u w:val="single"/>
              </w:rPr>
            </w:pPr>
            <w:r>
              <w:rPr>
                <w:b/>
                <w:bCs/>
                <w:u w:val="single"/>
              </w:rPr>
              <w:t>—</w:t>
            </w:r>
          </w:p>
        </w:tc>
        <w:tc>
          <w:tcPr>
            <w:tcW w:w="636" w:type="pct"/>
            <w:vAlign w:val="center"/>
          </w:tcPr>
          <w:p w14:paraId="78AE21C7" w14:textId="77777777" w:rsidR="003E78AB" w:rsidRDefault="00010BF9">
            <w:pPr>
              <w:pStyle w:val="aff6"/>
              <w:topLinePunct/>
              <w:rPr>
                <w:b/>
                <w:bCs/>
                <w:u w:val="single"/>
              </w:rPr>
            </w:pPr>
            <w:r>
              <w:rPr>
                <w:b/>
                <w:bCs/>
                <w:u w:val="single"/>
              </w:rPr>
              <w:t>—</w:t>
            </w:r>
          </w:p>
        </w:tc>
        <w:tc>
          <w:tcPr>
            <w:tcW w:w="668" w:type="pct"/>
            <w:vAlign w:val="center"/>
          </w:tcPr>
          <w:p w14:paraId="4B52C647" w14:textId="77777777" w:rsidR="003E78AB" w:rsidRDefault="00010BF9">
            <w:pPr>
              <w:pStyle w:val="aff6"/>
              <w:topLinePunct/>
              <w:rPr>
                <w:b/>
                <w:bCs/>
                <w:u w:val="single"/>
              </w:rPr>
            </w:pPr>
            <w:r>
              <w:rPr>
                <w:b/>
                <w:bCs/>
                <w:u w:val="single"/>
              </w:rPr>
              <w:t>300</w:t>
            </w:r>
          </w:p>
        </w:tc>
        <w:tc>
          <w:tcPr>
            <w:tcW w:w="705" w:type="pct"/>
            <w:vAlign w:val="center"/>
          </w:tcPr>
          <w:p w14:paraId="418D7CB7" w14:textId="77777777" w:rsidR="003E78AB" w:rsidRDefault="00010BF9">
            <w:pPr>
              <w:pStyle w:val="aff6"/>
              <w:topLinePunct/>
              <w:rPr>
                <w:b/>
                <w:bCs/>
                <w:u w:val="single"/>
              </w:rPr>
            </w:pPr>
            <w:r>
              <w:rPr>
                <w:b/>
                <w:bCs/>
                <w:u w:val="single"/>
              </w:rPr>
              <w:t>200</w:t>
            </w:r>
          </w:p>
        </w:tc>
        <w:tc>
          <w:tcPr>
            <w:tcW w:w="1098" w:type="pct"/>
            <w:vMerge w:val="restart"/>
            <w:vAlign w:val="center"/>
          </w:tcPr>
          <w:p w14:paraId="6BF65A09" w14:textId="77777777" w:rsidR="003E78AB" w:rsidRDefault="00010BF9">
            <w:pPr>
              <w:pStyle w:val="aff6"/>
              <w:topLinePunct/>
              <w:rPr>
                <w:b/>
                <w:bCs/>
                <w:u w:val="single"/>
              </w:rPr>
            </w:pPr>
            <w:r>
              <w:rPr>
                <w:b/>
                <w:bCs/>
                <w:u w:val="single"/>
              </w:rPr>
              <w:t>GB3095-2012</w:t>
            </w:r>
          </w:p>
        </w:tc>
      </w:tr>
      <w:tr w:rsidR="003E78AB" w14:paraId="67CA3F9B" w14:textId="77777777">
        <w:trPr>
          <w:trHeight w:val="316"/>
        </w:trPr>
        <w:tc>
          <w:tcPr>
            <w:tcW w:w="277" w:type="pct"/>
            <w:vAlign w:val="center"/>
          </w:tcPr>
          <w:p w14:paraId="58845412" w14:textId="77777777" w:rsidR="003E78AB" w:rsidRDefault="00010BF9">
            <w:pPr>
              <w:pStyle w:val="aff6"/>
              <w:topLinePunct/>
              <w:rPr>
                <w:b/>
                <w:bCs/>
                <w:u w:val="single"/>
              </w:rPr>
            </w:pPr>
            <w:r>
              <w:rPr>
                <w:b/>
                <w:bCs/>
                <w:u w:val="single"/>
              </w:rPr>
              <w:t>2</w:t>
            </w:r>
          </w:p>
        </w:tc>
        <w:tc>
          <w:tcPr>
            <w:tcW w:w="831" w:type="pct"/>
            <w:vAlign w:val="center"/>
          </w:tcPr>
          <w:p w14:paraId="679A0BF5" w14:textId="77777777" w:rsidR="003E78AB" w:rsidRDefault="00010BF9">
            <w:pPr>
              <w:pStyle w:val="aff6"/>
              <w:topLinePunct/>
              <w:rPr>
                <w:b/>
                <w:bCs/>
                <w:u w:val="single"/>
              </w:rPr>
            </w:pPr>
            <w:r>
              <w:rPr>
                <w:b/>
                <w:bCs/>
                <w:u w:val="single"/>
              </w:rPr>
              <w:t>PM</w:t>
            </w:r>
            <w:r>
              <w:rPr>
                <w:b/>
                <w:bCs/>
                <w:u w:val="single"/>
                <w:vertAlign w:val="subscript"/>
              </w:rPr>
              <w:t>10</w:t>
            </w:r>
          </w:p>
        </w:tc>
        <w:tc>
          <w:tcPr>
            <w:tcW w:w="783" w:type="pct"/>
            <w:vAlign w:val="center"/>
          </w:tcPr>
          <w:p w14:paraId="1BC9928B" w14:textId="77777777" w:rsidR="003E78AB" w:rsidRDefault="00010BF9">
            <w:pPr>
              <w:pStyle w:val="aff6"/>
              <w:topLinePunct/>
              <w:rPr>
                <w:b/>
                <w:bCs/>
                <w:u w:val="single"/>
              </w:rPr>
            </w:pPr>
            <w:r>
              <w:rPr>
                <w:b/>
                <w:bCs/>
                <w:u w:val="single"/>
              </w:rPr>
              <w:t>—</w:t>
            </w:r>
          </w:p>
        </w:tc>
        <w:tc>
          <w:tcPr>
            <w:tcW w:w="636" w:type="pct"/>
            <w:vAlign w:val="center"/>
          </w:tcPr>
          <w:p w14:paraId="1F079E7D" w14:textId="77777777" w:rsidR="003E78AB" w:rsidRDefault="00010BF9">
            <w:pPr>
              <w:pStyle w:val="aff6"/>
              <w:topLinePunct/>
              <w:rPr>
                <w:b/>
                <w:bCs/>
                <w:u w:val="single"/>
              </w:rPr>
            </w:pPr>
            <w:r>
              <w:rPr>
                <w:b/>
                <w:bCs/>
                <w:u w:val="single"/>
              </w:rPr>
              <w:t>—</w:t>
            </w:r>
          </w:p>
        </w:tc>
        <w:tc>
          <w:tcPr>
            <w:tcW w:w="668" w:type="pct"/>
            <w:vAlign w:val="center"/>
          </w:tcPr>
          <w:p w14:paraId="0257D989" w14:textId="77777777" w:rsidR="003E78AB" w:rsidRDefault="00010BF9">
            <w:pPr>
              <w:pStyle w:val="aff6"/>
              <w:topLinePunct/>
              <w:rPr>
                <w:b/>
                <w:bCs/>
                <w:u w:val="single"/>
              </w:rPr>
            </w:pPr>
            <w:r>
              <w:rPr>
                <w:b/>
                <w:bCs/>
                <w:u w:val="single"/>
              </w:rPr>
              <w:t>150</w:t>
            </w:r>
          </w:p>
        </w:tc>
        <w:tc>
          <w:tcPr>
            <w:tcW w:w="705" w:type="pct"/>
            <w:vAlign w:val="center"/>
          </w:tcPr>
          <w:p w14:paraId="7F41121D" w14:textId="77777777" w:rsidR="003E78AB" w:rsidRDefault="00010BF9">
            <w:pPr>
              <w:pStyle w:val="aff6"/>
              <w:topLinePunct/>
              <w:rPr>
                <w:b/>
                <w:bCs/>
                <w:u w:val="single"/>
              </w:rPr>
            </w:pPr>
            <w:r>
              <w:rPr>
                <w:b/>
                <w:bCs/>
                <w:u w:val="single"/>
              </w:rPr>
              <w:t>70</w:t>
            </w:r>
          </w:p>
        </w:tc>
        <w:tc>
          <w:tcPr>
            <w:tcW w:w="1098" w:type="pct"/>
            <w:vMerge/>
            <w:vAlign w:val="center"/>
          </w:tcPr>
          <w:p w14:paraId="7E60EF53" w14:textId="77777777" w:rsidR="003E78AB" w:rsidRDefault="003E78AB">
            <w:pPr>
              <w:pStyle w:val="aff6"/>
              <w:topLinePunct/>
              <w:rPr>
                <w:b/>
                <w:bCs/>
                <w:u w:val="single"/>
              </w:rPr>
            </w:pPr>
          </w:p>
        </w:tc>
      </w:tr>
      <w:tr w:rsidR="003E78AB" w14:paraId="5C3A5417" w14:textId="77777777">
        <w:trPr>
          <w:trHeight w:val="316"/>
        </w:trPr>
        <w:tc>
          <w:tcPr>
            <w:tcW w:w="277" w:type="pct"/>
            <w:vAlign w:val="center"/>
          </w:tcPr>
          <w:p w14:paraId="54F71245" w14:textId="77777777" w:rsidR="003E78AB" w:rsidRDefault="00010BF9">
            <w:pPr>
              <w:pStyle w:val="aff6"/>
              <w:topLinePunct/>
              <w:rPr>
                <w:b/>
                <w:bCs/>
                <w:u w:val="single"/>
              </w:rPr>
            </w:pPr>
            <w:r>
              <w:rPr>
                <w:b/>
                <w:bCs/>
                <w:u w:val="single"/>
              </w:rPr>
              <w:t>3</w:t>
            </w:r>
          </w:p>
        </w:tc>
        <w:tc>
          <w:tcPr>
            <w:tcW w:w="831" w:type="pct"/>
            <w:vAlign w:val="center"/>
          </w:tcPr>
          <w:p w14:paraId="2584CFAA" w14:textId="77777777" w:rsidR="003E78AB" w:rsidRDefault="00010BF9">
            <w:pPr>
              <w:pStyle w:val="aff6"/>
              <w:topLinePunct/>
              <w:rPr>
                <w:b/>
                <w:bCs/>
                <w:u w:val="single"/>
              </w:rPr>
            </w:pPr>
            <w:r>
              <w:rPr>
                <w:rFonts w:hint="eastAsia"/>
                <w:b/>
                <w:bCs/>
                <w:u w:val="single"/>
              </w:rPr>
              <w:t>SO</w:t>
            </w:r>
            <w:r>
              <w:rPr>
                <w:rFonts w:hint="eastAsia"/>
                <w:b/>
                <w:bCs/>
                <w:u w:val="single"/>
                <w:vertAlign w:val="subscript"/>
              </w:rPr>
              <w:t>2</w:t>
            </w:r>
          </w:p>
        </w:tc>
        <w:tc>
          <w:tcPr>
            <w:tcW w:w="783" w:type="pct"/>
            <w:vAlign w:val="center"/>
          </w:tcPr>
          <w:p w14:paraId="731F6421" w14:textId="77777777" w:rsidR="003E78AB" w:rsidRDefault="00010BF9">
            <w:pPr>
              <w:pStyle w:val="aff6"/>
              <w:topLinePunct/>
              <w:rPr>
                <w:b/>
                <w:bCs/>
                <w:u w:val="single"/>
              </w:rPr>
            </w:pPr>
            <w:r>
              <w:rPr>
                <w:b/>
                <w:bCs/>
                <w:u w:val="single"/>
              </w:rPr>
              <w:t>—</w:t>
            </w:r>
          </w:p>
        </w:tc>
        <w:tc>
          <w:tcPr>
            <w:tcW w:w="636" w:type="pct"/>
            <w:vAlign w:val="center"/>
          </w:tcPr>
          <w:p w14:paraId="165128BF" w14:textId="77777777" w:rsidR="003E78AB" w:rsidRDefault="00010BF9">
            <w:pPr>
              <w:pStyle w:val="aff6"/>
              <w:topLinePunct/>
              <w:rPr>
                <w:b/>
                <w:bCs/>
                <w:u w:val="single"/>
              </w:rPr>
            </w:pPr>
            <w:r>
              <w:rPr>
                <w:b/>
                <w:bCs/>
                <w:u w:val="single"/>
              </w:rPr>
              <w:t>—</w:t>
            </w:r>
          </w:p>
        </w:tc>
        <w:tc>
          <w:tcPr>
            <w:tcW w:w="668" w:type="pct"/>
            <w:vAlign w:val="center"/>
          </w:tcPr>
          <w:p w14:paraId="4294EA73" w14:textId="77777777" w:rsidR="003E78AB" w:rsidRDefault="00010BF9">
            <w:pPr>
              <w:pStyle w:val="aff6"/>
              <w:topLinePunct/>
              <w:rPr>
                <w:b/>
                <w:bCs/>
                <w:u w:val="single"/>
              </w:rPr>
            </w:pPr>
            <w:r>
              <w:rPr>
                <w:rFonts w:hint="eastAsia"/>
                <w:b/>
                <w:bCs/>
                <w:u w:val="single"/>
              </w:rPr>
              <w:t>150</w:t>
            </w:r>
          </w:p>
        </w:tc>
        <w:tc>
          <w:tcPr>
            <w:tcW w:w="705" w:type="pct"/>
            <w:vAlign w:val="center"/>
          </w:tcPr>
          <w:p w14:paraId="65F3070E" w14:textId="77777777" w:rsidR="003E78AB" w:rsidRDefault="00010BF9">
            <w:pPr>
              <w:pStyle w:val="aff6"/>
              <w:topLinePunct/>
              <w:rPr>
                <w:b/>
                <w:bCs/>
                <w:u w:val="single"/>
              </w:rPr>
            </w:pPr>
            <w:r>
              <w:rPr>
                <w:rFonts w:hint="eastAsia"/>
                <w:b/>
                <w:bCs/>
                <w:u w:val="single"/>
              </w:rPr>
              <w:t>60</w:t>
            </w:r>
          </w:p>
        </w:tc>
        <w:tc>
          <w:tcPr>
            <w:tcW w:w="1098" w:type="pct"/>
            <w:vMerge/>
            <w:vAlign w:val="center"/>
          </w:tcPr>
          <w:p w14:paraId="376296A7" w14:textId="77777777" w:rsidR="003E78AB" w:rsidRDefault="003E78AB">
            <w:pPr>
              <w:pStyle w:val="aff6"/>
              <w:topLinePunct/>
              <w:rPr>
                <w:b/>
                <w:bCs/>
                <w:u w:val="single"/>
              </w:rPr>
            </w:pPr>
          </w:p>
        </w:tc>
      </w:tr>
      <w:tr w:rsidR="003E78AB" w14:paraId="0D3F1E5D" w14:textId="77777777">
        <w:trPr>
          <w:trHeight w:val="316"/>
        </w:trPr>
        <w:tc>
          <w:tcPr>
            <w:tcW w:w="277" w:type="pct"/>
            <w:vAlign w:val="center"/>
          </w:tcPr>
          <w:p w14:paraId="44B8E4E0" w14:textId="77777777" w:rsidR="003E78AB" w:rsidRDefault="00010BF9">
            <w:pPr>
              <w:pStyle w:val="aff6"/>
              <w:topLinePunct/>
              <w:rPr>
                <w:b/>
                <w:bCs/>
                <w:u w:val="single"/>
              </w:rPr>
            </w:pPr>
            <w:r>
              <w:rPr>
                <w:b/>
                <w:bCs/>
                <w:u w:val="single"/>
              </w:rPr>
              <w:t>4</w:t>
            </w:r>
          </w:p>
        </w:tc>
        <w:tc>
          <w:tcPr>
            <w:tcW w:w="831" w:type="pct"/>
            <w:vAlign w:val="center"/>
          </w:tcPr>
          <w:p w14:paraId="04313C25" w14:textId="77777777" w:rsidR="003E78AB" w:rsidRDefault="00010BF9">
            <w:pPr>
              <w:pStyle w:val="aff6"/>
              <w:topLinePunct/>
              <w:rPr>
                <w:b/>
                <w:bCs/>
                <w:u w:val="single"/>
              </w:rPr>
            </w:pPr>
            <w:r>
              <w:rPr>
                <w:rFonts w:hint="eastAsia"/>
                <w:b/>
                <w:bCs/>
                <w:u w:val="single"/>
              </w:rPr>
              <w:t>NO</w:t>
            </w:r>
            <w:r>
              <w:rPr>
                <w:rFonts w:hint="eastAsia"/>
                <w:b/>
                <w:bCs/>
                <w:u w:val="single"/>
                <w:vertAlign w:val="subscript"/>
              </w:rPr>
              <w:t>2</w:t>
            </w:r>
          </w:p>
        </w:tc>
        <w:tc>
          <w:tcPr>
            <w:tcW w:w="783" w:type="pct"/>
            <w:vAlign w:val="center"/>
          </w:tcPr>
          <w:p w14:paraId="6FDD17F4" w14:textId="77777777" w:rsidR="003E78AB" w:rsidRDefault="00010BF9">
            <w:pPr>
              <w:pStyle w:val="aff6"/>
              <w:topLinePunct/>
              <w:rPr>
                <w:b/>
                <w:bCs/>
                <w:u w:val="single"/>
              </w:rPr>
            </w:pPr>
            <w:r>
              <w:rPr>
                <w:b/>
                <w:bCs/>
                <w:u w:val="single"/>
              </w:rPr>
              <w:t>—</w:t>
            </w:r>
          </w:p>
        </w:tc>
        <w:tc>
          <w:tcPr>
            <w:tcW w:w="636" w:type="pct"/>
            <w:vAlign w:val="center"/>
          </w:tcPr>
          <w:p w14:paraId="0FECD48B" w14:textId="77777777" w:rsidR="003E78AB" w:rsidRDefault="00010BF9">
            <w:pPr>
              <w:pStyle w:val="aff6"/>
              <w:topLinePunct/>
              <w:rPr>
                <w:b/>
                <w:bCs/>
                <w:u w:val="single"/>
              </w:rPr>
            </w:pPr>
            <w:r>
              <w:rPr>
                <w:b/>
                <w:bCs/>
                <w:u w:val="single"/>
              </w:rPr>
              <w:t>—</w:t>
            </w:r>
          </w:p>
        </w:tc>
        <w:tc>
          <w:tcPr>
            <w:tcW w:w="668" w:type="pct"/>
            <w:vAlign w:val="center"/>
          </w:tcPr>
          <w:p w14:paraId="0BA2975D" w14:textId="77777777" w:rsidR="003E78AB" w:rsidRDefault="00010BF9">
            <w:pPr>
              <w:pStyle w:val="aff6"/>
              <w:topLinePunct/>
              <w:rPr>
                <w:b/>
                <w:bCs/>
                <w:u w:val="single"/>
              </w:rPr>
            </w:pPr>
            <w:r>
              <w:rPr>
                <w:rFonts w:hint="eastAsia"/>
                <w:b/>
                <w:bCs/>
                <w:u w:val="single"/>
              </w:rPr>
              <w:t>80</w:t>
            </w:r>
          </w:p>
        </w:tc>
        <w:tc>
          <w:tcPr>
            <w:tcW w:w="705" w:type="pct"/>
            <w:vAlign w:val="center"/>
          </w:tcPr>
          <w:p w14:paraId="77958D78" w14:textId="77777777" w:rsidR="003E78AB" w:rsidRDefault="00010BF9">
            <w:pPr>
              <w:pStyle w:val="aff6"/>
              <w:topLinePunct/>
              <w:rPr>
                <w:b/>
                <w:bCs/>
                <w:u w:val="single"/>
              </w:rPr>
            </w:pPr>
            <w:r>
              <w:rPr>
                <w:rFonts w:hint="eastAsia"/>
                <w:b/>
                <w:bCs/>
                <w:u w:val="single"/>
              </w:rPr>
              <w:t>40</w:t>
            </w:r>
          </w:p>
        </w:tc>
        <w:tc>
          <w:tcPr>
            <w:tcW w:w="1098" w:type="pct"/>
            <w:vMerge/>
            <w:tcBorders>
              <w:bottom w:val="single" w:sz="4" w:space="0" w:color="auto"/>
            </w:tcBorders>
            <w:vAlign w:val="center"/>
          </w:tcPr>
          <w:p w14:paraId="3F6127C2" w14:textId="77777777" w:rsidR="003E78AB" w:rsidRDefault="003E78AB">
            <w:pPr>
              <w:pStyle w:val="aff6"/>
              <w:topLinePunct/>
              <w:rPr>
                <w:b/>
                <w:bCs/>
                <w:u w:val="single"/>
              </w:rPr>
            </w:pPr>
          </w:p>
        </w:tc>
      </w:tr>
      <w:tr w:rsidR="003E78AB" w14:paraId="5AAD073B" w14:textId="77777777">
        <w:trPr>
          <w:trHeight w:val="316"/>
        </w:trPr>
        <w:tc>
          <w:tcPr>
            <w:tcW w:w="277" w:type="pct"/>
            <w:vAlign w:val="center"/>
          </w:tcPr>
          <w:p w14:paraId="497C83F1" w14:textId="77777777" w:rsidR="003E78AB" w:rsidRDefault="00010BF9">
            <w:pPr>
              <w:pStyle w:val="aff6"/>
              <w:topLinePunct/>
              <w:rPr>
                <w:b/>
                <w:bCs/>
                <w:u w:val="single"/>
              </w:rPr>
            </w:pPr>
            <w:r>
              <w:rPr>
                <w:rFonts w:hint="eastAsia"/>
                <w:b/>
                <w:bCs/>
                <w:u w:val="single"/>
              </w:rPr>
              <w:t>5</w:t>
            </w:r>
          </w:p>
        </w:tc>
        <w:tc>
          <w:tcPr>
            <w:tcW w:w="831" w:type="pct"/>
            <w:shd w:val="clear" w:color="auto" w:fill="auto"/>
            <w:vAlign w:val="center"/>
          </w:tcPr>
          <w:p w14:paraId="48DE8A32" w14:textId="77777777" w:rsidR="003E78AB" w:rsidRDefault="00010BF9">
            <w:pPr>
              <w:pStyle w:val="aff6"/>
              <w:topLinePunct/>
              <w:rPr>
                <w:b/>
                <w:bCs/>
                <w:u w:val="single"/>
              </w:rPr>
            </w:pPr>
            <w:r>
              <w:rPr>
                <w:rFonts w:hint="eastAsia"/>
                <w:b/>
                <w:bCs/>
                <w:u w:val="single"/>
              </w:rPr>
              <w:t>硫酸雾</w:t>
            </w:r>
          </w:p>
        </w:tc>
        <w:tc>
          <w:tcPr>
            <w:tcW w:w="783" w:type="pct"/>
            <w:shd w:val="clear" w:color="auto" w:fill="auto"/>
            <w:vAlign w:val="center"/>
          </w:tcPr>
          <w:p w14:paraId="1C686B3F" w14:textId="77777777" w:rsidR="003E78AB" w:rsidRDefault="00010BF9">
            <w:pPr>
              <w:pStyle w:val="aff6"/>
              <w:topLinePunct/>
              <w:rPr>
                <w:b/>
                <w:bCs/>
                <w:u w:val="single"/>
              </w:rPr>
            </w:pPr>
            <w:r>
              <w:rPr>
                <w:b/>
                <w:bCs/>
                <w:u w:val="single"/>
              </w:rPr>
              <w:t>300</w:t>
            </w:r>
          </w:p>
        </w:tc>
        <w:tc>
          <w:tcPr>
            <w:tcW w:w="636" w:type="pct"/>
            <w:shd w:val="clear" w:color="auto" w:fill="auto"/>
            <w:vAlign w:val="center"/>
          </w:tcPr>
          <w:p w14:paraId="6CE70383" w14:textId="77777777" w:rsidR="003E78AB" w:rsidRDefault="00010BF9">
            <w:pPr>
              <w:pStyle w:val="aff6"/>
              <w:topLinePunct/>
              <w:rPr>
                <w:b/>
                <w:bCs/>
                <w:u w:val="single"/>
              </w:rPr>
            </w:pPr>
            <w:r>
              <w:rPr>
                <w:b/>
                <w:bCs/>
                <w:u w:val="single"/>
              </w:rPr>
              <w:t>—</w:t>
            </w:r>
          </w:p>
        </w:tc>
        <w:tc>
          <w:tcPr>
            <w:tcW w:w="668" w:type="pct"/>
            <w:shd w:val="clear" w:color="auto" w:fill="auto"/>
            <w:vAlign w:val="center"/>
          </w:tcPr>
          <w:p w14:paraId="757E9832" w14:textId="77777777" w:rsidR="003E78AB" w:rsidRDefault="00010BF9">
            <w:pPr>
              <w:pStyle w:val="aff6"/>
              <w:topLinePunct/>
              <w:rPr>
                <w:b/>
                <w:bCs/>
                <w:u w:val="single"/>
              </w:rPr>
            </w:pPr>
            <w:r>
              <w:rPr>
                <w:b/>
                <w:bCs/>
                <w:u w:val="single"/>
              </w:rPr>
              <w:t>100</w:t>
            </w:r>
          </w:p>
        </w:tc>
        <w:tc>
          <w:tcPr>
            <w:tcW w:w="705" w:type="pct"/>
            <w:tcBorders>
              <w:right w:val="single" w:sz="4" w:space="0" w:color="auto"/>
            </w:tcBorders>
            <w:shd w:val="clear" w:color="auto" w:fill="auto"/>
            <w:vAlign w:val="center"/>
          </w:tcPr>
          <w:p w14:paraId="14A1ADAD" w14:textId="77777777" w:rsidR="003E78AB" w:rsidRDefault="00010BF9">
            <w:pPr>
              <w:pStyle w:val="aff6"/>
              <w:topLinePunct/>
              <w:rPr>
                <w:b/>
                <w:bCs/>
                <w:u w:val="single"/>
              </w:rPr>
            </w:pPr>
            <w:r>
              <w:rPr>
                <w:b/>
                <w:bCs/>
                <w:u w:val="single"/>
              </w:rPr>
              <w:t>—</w:t>
            </w:r>
          </w:p>
        </w:tc>
        <w:tc>
          <w:tcPr>
            <w:tcW w:w="1098" w:type="pct"/>
            <w:vMerge w:val="restart"/>
            <w:tcBorders>
              <w:top w:val="single" w:sz="4" w:space="0" w:color="auto"/>
              <w:left w:val="single" w:sz="4" w:space="0" w:color="auto"/>
              <w:right w:val="single" w:sz="4" w:space="0" w:color="auto"/>
            </w:tcBorders>
            <w:vAlign w:val="center"/>
          </w:tcPr>
          <w:p w14:paraId="199094E6" w14:textId="77777777" w:rsidR="003E78AB" w:rsidRDefault="00010BF9">
            <w:pPr>
              <w:pStyle w:val="aff6"/>
              <w:topLinePunct/>
              <w:rPr>
                <w:b/>
                <w:bCs/>
                <w:u w:val="single"/>
              </w:rPr>
            </w:pPr>
            <w:r>
              <w:rPr>
                <w:b/>
                <w:bCs/>
                <w:u w:val="single"/>
              </w:rPr>
              <w:t>HJ2.2-2018</w:t>
            </w:r>
            <w:r>
              <w:rPr>
                <w:b/>
                <w:bCs/>
                <w:u w:val="single"/>
              </w:rPr>
              <w:t>附录</w:t>
            </w:r>
            <w:r>
              <w:rPr>
                <w:b/>
                <w:bCs/>
                <w:u w:val="single"/>
              </w:rPr>
              <w:t>D</w:t>
            </w:r>
          </w:p>
        </w:tc>
      </w:tr>
      <w:tr w:rsidR="003E78AB" w14:paraId="2D79C928" w14:textId="77777777">
        <w:trPr>
          <w:trHeight w:val="316"/>
        </w:trPr>
        <w:tc>
          <w:tcPr>
            <w:tcW w:w="277" w:type="pct"/>
            <w:vAlign w:val="center"/>
          </w:tcPr>
          <w:p w14:paraId="3AFB4DCE" w14:textId="77777777" w:rsidR="003E78AB" w:rsidRDefault="00010BF9">
            <w:pPr>
              <w:pStyle w:val="aff6"/>
              <w:topLinePunct/>
              <w:rPr>
                <w:b/>
                <w:bCs/>
                <w:u w:val="single"/>
              </w:rPr>
            </w:pPr>
            <w:r>
              <w:rPr>
                <w:rFonts w:hint="eastAsia"/>
                <w:b/>
                <w:bCs/>
                <w:u w:val="single"/>
              </w:rPr>
              <w:t>6</w:t>
            </w:r>
          </w:p>
        </w:tc>
        <w:tc>
          <w:tcPr>
            <w:tcW w:w="831" w:type="pct"/>
            <w:vAlign w:val="center"/>
          </w:tcPr>
          <w:p w14:paraId="55E4BCD7" w14:textId="77777777" w:rsidR="003E78AB" w:rsidRDefault="00010BF9">
            <w:pPr>
              <w:pStyle w:val="aff6"/>
              <w:topLinePunct/>
              <w:rPr>
                <w:b/>
                <w:bCs/>
                <w:u w:val="single"/>
              </w:rPr>
            </w:pPr>
            <w:r>
              <w:rPr>
                <w:rFonts w:hint="eastAsia"/>
                <w:b/>
                <w:bCs/>
                <w:u w:val="single"/>
              </w:rPr>
              <w:t>TVOC</w:t>
            </w:r>
          </w:p>
        </w:tc>
        <w:tc>
          <w:tcPr>
            <w:tcW w:w="783" w:type="pct"/>
            <w:vAlign w:val="center"/>
          </w:tcPr>
          <w:p w14:paraId="432D5840" w14:textId="77777777" w:rsidR="003E78AB" w:rsidRDefault="00010BF9">
            <w:pPr>
              <w:pStyle w:val="aff6"/>
              <w:topLinePunct/>
              <w:rPr>
                <w:b/>
                <w:bCs/>
                <w:u w:val="single"/>
              </w:rPr>
            </w:pPr>
            <w:r>
              <w:rPr>
                <w:b/>
                <w:bCs/>
                <w:u w:val="single"/>
              </w:rPr>
              <w:t>—</w:t>
            </w:r>
          </w:p>
        </w:tc>
        <w:tc>
          <w:tcPr>
            <w:tcW w:w="636" w:type="pct"/>
            <w:vAlign w:val="center"/>
          </w:tcPr>
          <w:p w14:paraId="3D9F686A" w14:textId="77777777" w:rsidR="003E78AB" w:rsidRDefault="00010BF9">
            <w:pPr>
              <w:pStyle w:val="aff6"/>
              <w:topLinePunct/>
              <w:rPr>
                <w:b/>
                <w:bCs/>
                <w:u w:val="single"/>
              </w:rPr>
            </w:pPr>
            <w:r>
              <w:rPr>
                <w:rFonts w:hint="eastAsia"/>
                <w:b/>
                <w:bCs/>
                <w:u w:val="single"/>
              </w:rPr>
              <w:t>600</w:t>
            </w:r>
          </w:p>
        </w:tc>
        <w:tc>
          <w:tcPr>
            <w:tcW w:w="668" w:type="pct"/>
            <w:vAlign w:val="center"/>
          </w:tcPr>
          <w:p w14:paraId="27758A31" w14:textId="77777777" w:rsidR="003E78AB" w:rsidRDefault="00010BF9">
            <w:pPr>
              <w:spacing w:line="360" w:lineRule="exact"/>
              <w:ind w:firstLineChars="0" w:firstLine="0"/>
              <w:jc w:val="center"/>
              <w:rPr>
                <w:b/>
                <w:bCs/>
                <w:u w:val="single"/>
              </w:rPr>
            </w:pPr>
            <w:r>
              <w:rPr>
                <w:b/>
                <w:bCs/>
                <w:u w:val="single"/>
              </w:rPr>
              <w:t>—</w:t>
            </w:r>
          </w:p>
        </w:tc>
        <w:tc>
          <w:tcPr>
            <w:tcW w:w="705" w:type="pct"/>
            <w:tcBorders>
              <w:right w:val="single" w:sz="4" w:space="0" w:color="auto"/>
            </w:tcBorders>
            <w:vAlign w:val="center"/>
          </w:tcPr>
          <w:p w14:paraId="634351EA" w14:textId="77777777" w:rsidR="003E78AB" w:rsidRDefault="00010BF9">
            <w:pPr>
              <w:spacing w:line="360" w:lineRule="exact"/>
              <w:ind w:firstLineChars="0" w:firstLine="0"/>
              <w:jc w:val="center"/>
              <w:rPr>
                <w:b/>
                <w:bCs/>
                <w:u w:val="single"/>
              </w:rPr>
            </w:pPr>
            <w:r>
              <w:rPr>
                <w:b/>
                <w:bCs/>
                <w:u w:val="single"/>
              </w:rPr>
              <w:t>—</w:t>
            </w:r>
          </w:p>
        </w:tc>
        <w:tc>
          <w:tcPr>
            <w:tcW w:w="1098" w:type="pct"/>
            <w:vMerge/>
            <w:tcBorders>
              <w:left w:val="single" w:sz="4" w:space="0" w:color="auto"/>
              <w:bottom w:val="single" w:sz="4" w:space="0" w:color="auto"/>
              <w:right w:val="single" w:sz="4" w:space="0" w:color="auto"/>
            </w:tcBorders>
            <w:vAlign w:val="center"/>
          </w:tcPr>
          <w:p w14:paraId="28AA6F3A" w14:textId="77777777" w:rsidR="003E78AB" w:rsidRDefault="003E78AB">
            <w:pPr>
              <w:pStyle w:val="aff6"/>
              <w:topLinePunct/>
              <w:rPr>
                <w:b/>
                <w:bCs/>
                <w:u w:val="single"/>
              </w:rPr>
            </w:pPr>
          </w:p>
        </w:tc>
      </w:tr>
    </w:tbl>
    <w:p w14:paraId="3426C924" w14:textId="77777777" w:rsidR="003E78AB" w:rsidRDefault="00010BF9">
      <w:pPr>
        <w:ind w:firstLine="482"/>
        <w:rPr>
          <w:b/>
          <w:bCs/>
          <w:u w:val="single"/>
        </w:rPr>
      </w:pPr>
      <w:r>
        <w:rPr>
          <w:rFonts w:hint="eastAsia"/>
          <w:b/>
          <w:bCs/>
          <w:u w:val="single"/>
        </w:rPr>
        <w:t>（</w:t>
      </w:r>
      <w:r>
        <w:rPr>
          <w:rFonts w:hint="eastAsia"/>
          <w:b/>
          <w:bCs/>
          <w:u w:val="single"/>
        </w:rPr>
        <w:t>4</w:t>
      </w:r>
      <w:r>
        <w:rPr>
          <w:rFonts w:hint="eastAsia"/>
          <w:b/>
          <w:bCs/>
          <w:u w:val="single"/>
        </w:rPr>
        <w:t>）预测范围</w:t>
      </w:r>
    </w:p>
    <w:p w14:paraId="4EFF3A1A" w14:textId="77777777" w:rsidR="003E78AB" w:rsidRDefault="00010BF9">
      <w:pPr>
        <w:ind w:firstLine="482"/>
        <w:rPr>
          <w:bCs/>
          <w:u w:val="single"/>
        </w:rPr>
      </w:pPr>
      <w:r>
        <w:rPr>
          <w:rFonts w:hint="eastAsia"/>
          <w:b/>
          <w:bCs/>
          <w:u w:val="single"/>
        </w:rPr>
        <w:t>本次评价综合考虑评价等级、区域自然环境条件、环境敏感因素、主导风向、人群密集程度等，确定预测范围为以项目厂区中心为原点，</w:t>
      </w:r>
      <w:r>
        <w:rPr>
          <w:rFonts w:hint="eastAsia"/>
          <w:b/>
          <w:bCs/>
          <w:u w:val="single"/>
        </w:rPr>
        <w:t>5km</w:t>
      </w:r>
      <w:r>
        <w:rPr>
          <w:rFonts w:hint="eastAsia"/>
          <w:b/>
          <w:bCs/>
          <w:u w:val="single"/>
        </w:rPr>
        <w:t>×</w:t>
      </w:r>
      <w:r>
        <w:rPr>
          <w:rFonts w:hint="eastAsia"/>
          <w:b/>
          <w:bCs/>
          <w:u w:val="single"/>
        </w:rPr>
        <w:t>5km</w:t>
      </w:r>
      <w:r>
        <w:rPr>
          <w:rFonts w:hint="eastAsia"/>
          <w:b/>
          <w:bCs/>
          <w:u w:val="single"/>
        </w:rPr>
        <w:t>的矩形范围内，计算污染源对评价范围的影响时，取东西向为</w:t>
      </w:r>
      <w:r>
        <w:rPr>
          <w:rFonts w:hint="eastAsia"/>
          <w:b/>
          <w:bCs/>
          <w:u w:val="single"/>
        </w:rPr>
        <w:t>X</w:t>
      </w:r>
      <w:r>
        <w:rPr>
          <w:rFonts w:hint="eastAsia"/>
          <w:b/>
          <w:bCs/>
          <w:u w:val="single"/>
        </w:rPr>
        <w:t>坐标轴、南北向为</w:t>
      </w:r>
      <w:r>
        <w:rPr>
          <w:rFonts w:hint="eastAsia"/>
          <w:b/>
          <w:bCs/>
          <w:u w:val="single"/>
        </w:rPr>
        <w:t>Y</w:t>
      </w:r>
      <w:r>
        <w:rPr>
          <w:rFonts w:hint="eastAsia"/>
          <w:b/>
          <w:bCs/>
          <w:u w:val="single"/>
        </w:rPr>
        <w:t>坐标轴。预测网格为直角网格，计算网格点总数</w:t>
      </w:r>
      <w:r>
        <w:rPr>
          <w:rFonts w:hint="eastAsia"/>
          <w:bCs/>
          <w:u w:val="single"/>
        </w:rPr>
        <w:t>3309</w:t>
      </w:r>
      <w:r>
        <w:rPr>
          <w:rFonts w:hint="eastAsia"/>
          <w:bCs/>
          <w:u w:val="single"/>
        </w:rPr>
        <w:t>个，预测网格边长为</w:t>
      </w:r>
      <w:r>
        <w:rPr>
          <w:rFonts w:hint="eastAsia"/>
          <w:bCs/>
          <w:u w:val="single"/>
        </w:rPr>
        <w:t>100m</w:t>
      </w:r>
      <w:r>
        <w:rPr>
          <w:rFonts w:hint="eastAsia"/>
          <w:bCs/>
          <w:u w:val="single"/>
        </w:rPr>
        <w:t>。</w:t>
      </w:r>
    </w:p>
    <w:p w14:paraId="3064D0FC" w14:textId="77777777" w:rsidR="003E78AB" w:rsidRDefault="00010BF9">
      <w:pPr>
        <w:ind w:firstLine="482"/>
        <w:rPr>
          <w:b/>
          <w:bCs/>
          <w:u w:val="single"/>
        </w:rPr>
      </w:pPr>
      <w:r>
        <w:rPr>
          <w:rFonts w:hint="eastAsia"/>
          <w:b/>
          <w:bCs/>
          <w:u w:val="single"/>
        </w:rPr>
        <w:t>（</w:t>
      </w:r>
      <w:r>
        <w:rPr>
          <w:rFonts w:hint="eastAsia"/>
          <w:b/>
          <w:bCs/>
          <w:u w:val="single"/>
        </w:rPr>
        <w:t>5</w:t>
      </w:r>
      <w:r>
        <w:rPr>
          <w:rFonts w:hint="eastAsia"/>
          <w:b/>
          <w:bCs/>
          <w:u w:val="single"/>
        </w:rPr>
        <w:t>）预测方案</w:t>
      </w:r>
    </w:p>
    <w:p w14:paraId="26B22FB6" w14:textId="77777777" w:rsidR="003E78AB" w:rsidRDefault="00010BF9">
      <w:pPr>
        <w:ind w:firstLine="482"/>
        <w:rPr>
          <w:b/>
          <w:bCs/>
          <w:u w:val="single"/>
        </w:rPr>
      </w:pPr>
      <w:r>
        <w:rPr>
          <w:rFonts w:hint="eastAsia"/>
          <w:b/>
          <w:bCs/>
          <w:u w:val="single"/>
        </w:rPr>
        <w:t>以本项目所有废气处理装置为本项目点源预测内容；面源主要考虑</w:t>
      </w:r>
      <w:r>
        <w:rPr>
          <w:rFonts w:hint="eastAsia"/>
          <w:b/>
          <w:bCs/>
          <w:u w:val="single"/>
        </w:rPr>
        <w:t>生产车间</w:t>
      </w:r>
      <w:r>
        <w:rPr>
          <w:rFonts w:hint="eastAsia"/>
          <w:b/>
          <w:bCs/>
          <w:u w:val="single"/>
        </w:rPr>
        <w:t>的无组织排放。</w:t>
      </w:r>
      <w:r>
        <w:rPr>
          <w:rFonts w:hint="eastAsia"/>
          <w:b/>
          <w:bCs/>
          <w:u w:val="single"/>
        </w:rPr>
        <w:t>根据哈密市环境监测站</w:t>
      </w:r>
      <w:r>
        <w:rPr>
          <w:rFonts w:hint="eastAsia"/>
          <w:b/>
          <w:bCs/>
          <w:u w:val="single"/>
        </w:rPr>
        <w:t>2023</w:t>
      </w:r>
      <w:r>
        <w:rPr>
          <w:rFonts w:hint="eastAsia"/>
          <w:b/>
          <w:bCs/>
          <w:u w:val="single"/>
        </w:rPr>
        <w:t>年的监测数据统计结果，本项目所在区域为环境空气质量非达标区，根据《环境影响评价技术导则</w:t>
      </w:r>
      <w:r>
        <w:rPr>
          <w:rFonts w:hint="eastAsia"/>
          <w:b/>
          <w:bCs/>
          <w:u w:val="single"/>
        </w:rPr>
        <w:t xml:space="preserve"> </w:t>
      </w:r>
      <w:r>
        <w:rPr>
          <w:rFonts w:hint="eastAsia"/>
          <w:b/>
          <w:bCs/>
          <w:u w:val="single"/>
        </w:rPr>
        <w:t>大气环</w:t>
      </w:r>
      <w:r>
        <w:rPr>
          <w:rFonts w:hint="eastAsia"/>
          <w:b/>
          <w:bCs/>
          <w:u w:val="single"/>
        </w:rPr>
        <w:t>境》（</w:t>
      </w:r>
      <w:r>
        <w:rPr>
          <w:rFonts w:hint="eastAsia"/>
          <w:b/>
          <w:bCs/>
          <w:u w:val="single"/>
        </w:rPr>
        <w:t>HJ2.2-2018</w:t>
      </w:r>
      <w:r>
        <w:rPr>
          <w:rFonts w:hint="eastAsia"/>
          <w:b/>
          <w:bCs/>
          <w:u w:val="single"/>
        </w:rPr>
        <w:t>）中</w:t>
      </w:r>
      <w:r>
        <w:rPr>
          <w:rFonts w:hint="eastAsia"/>
          <w:b/>
          <w:bCs/>
          <w:u w:val="single"/>
        </w:rPr>
        <w:t>8.7.2.1</w:t>
      </w:r>
      <w:r>
        <w:rPr>
          <w:rFonts w:hint="eastAsia"/>
          <w:b/>
          <w:bCs/>
          <w:u w:val="single"/>
        </w:rPr>
        <w:t>项目正常排放条件下，预测环境空气保护目标和网格点主要污染物的短期浓度和长期浓度贡献值，评价其最大浓度占标率。</w:t>
      </w:r>
      <w:r>
        <w:rPr>
          <w:rFonts w:hint="eastAsia"/>
          <w:b/>
          <w:bCs/>
          <w:u w:val="single"/>
        </w:rPr>
        <w:t>8.7.2.2</w:t>
      </w:r>
      <w:r>
        <w:rPr>
          <w:rFonts w:hint="eastAsia"/>
          <w:b/>
          <w:bCs/>
          <w:u w:val="single"/>
        </w:rPr>
        <w:t>项目正常排放条件下，预测评价叠加大气环境质量限期达标规划（简称“达标规划”）的目标浓度后，环境空气保护目标和网格点主要污染物保证率日平均质量浓度和年平均质量浓度的达标情况；对于项目排放的主要污染物仅有短期浓度限值的，评价其短期浓度叠加后的达标情况。如果是改建、扩建项目，还应同步减去“以新带老”污染源的环境影响。如果有区域达标规划之外的削减项目，</w:t>
      </w:r>
      <w:r>
        <w:rPr>
          <w:rFonts w:hint="eastAsia"/>
          <w:b/>
          <w:bCs/>
          <w:u w:val="single"/>
        </w:rPr>
        <w:t>应同步减去削减源的环境影响。如果评价范围内还有其他排放同类污染物的在建、拟建项目，还应叠加在建、拟建项目的环境影响。</w:t>
      </w:r>
      <w:r>
        <w:rPr>
          <w:rFonts w:hint="eastAsia"/>
          <w:b/>
          <w:bCs/>
          <w:u w:val="single"/>
        </w:rPr>
        <w:t>8.7.2.3</w:t>
      </w:r>
      <w:r>
        <w:rPr>
          <w:rFonts w:hint="eastAsia"/>
          <w:b/>
          <w:bCs/>
          <w:u w:val="single"/>
        </w:rPr>
        <w:t>对于无法获得达标规划目标浓度场或区域污染源清单的评价项目，需评价区域环境质量的整体变化情况。</w:t>
      </w:r>
      <w:r>
        <w:rPr>
          <w:rFonts w:hint="eastAsia"/>
          <w:b/>
          <w:bCs/>
          <w:u w:val="single"/>
        </w:rPr>
        <w:t>8.7.2.4</w:t>
      </w:r>
      <w:r>
        <w:rPr>
          <w:rFonts w:hint="eastAsia"/>
          <w:b/>
          <w:bCs/>
          <w:u w:val="single"/>
        </w:rPr>
        <w:t>项目非正常排放条件下，预测环境空气保护目标和网格点主要污染物的</w:t>
      </w:r>
      <w:r>
        <w:rPr>
          <w:rFonts w:hint="eastAsia"/>
          <w:b/>
          <w:bCs/>
          <w:u w:val="single"/>
        </w:rPr>
        <w:t>1h</w:t>
      </w:r>
      <w:r>
        <w:rPr>
          <w:rFonts w:hint="eastAsia"/>
          <w:b/>
          <w:bCs/>
          <w:u w:val="single"/>
        </w:rPr>
        <w:t>最大浓度贡献值，评价其最大浓度占标率。</w:t>
      </w:r>
    </w:p>
    <w:p w14:paraId="3DF42CD2" w14:textId="77777777" w:rsidR="003E78AB" w:rsidRDefault="00010BF9">
      <w:pPr>
        <w:ind w:firstLine="482"/>
        <w:rPr>
          <w:b/>
          <w:bCs/>
          <w:u w:val="single"/>
        </w:rPr>
      </w:pPr>
      <w:r>
        <w:rPr>
          <w:rFonts w:hint="eastAsia"/>
          <w:b/>
          <w:bCs/>
          <w:u w:val="single"/>
        </w:rPr>
        <w:t>对照《环境影响评价技术导则</w:t>
      </w:r>
      <w:r>
        <w:rPr>
          <w:rFonts w:hint="eastAsia"/>
          <w:b/>
          <w:bCs/>
          <w:u w:val="single"/>
        </w:rPr>
        <w:t xml:space="preserve"> </w:t>
      </w:r>
      <w:r>
        <w:rPr>
          <w:rFonts w:hint="eastAsia"/>
          <w:b/>
          <w:bCs/>
          <w:u w:val="single"/>
        </w:rPr>
        <w:t>大气环境》（</w:t>
      </w:r>
      <w:r>
        <w:rPr>
          <w:rFonts w:hint="eastAsia"/>
          <w:b/>
          <w:bCs/>
          <w:u w:val="single"/>
        </w:rPr>
        <w:t>HJ2.2-2018</w:t>
      </w:r>
      <w:r>
        <w:rPr>
          <w:rFonts w:hint="eastAsia"/>
          <w:b/>
          <w:bCs/>
          <w:u w:val="single"/>
        </w:rPr>
        <w:t>）表</w:t>
      </w:r>
      <w:r>
        <w:rPr>
          <w:rFonts w:hint="eastAsia"/>
          <w:b/>
          <w:bCs/>
          <w:u w:val="single"/>
        </w:rPr>
        <w:t>5</w:t>
      </w:r>
      <w:r>
        <w:rPr>
          <w:rFonts w:hint="eastAsia"/>
          <w:b/>
          <w:bCs/>
          <w:u w:val="single"/>
        </w:rPr>
        <w:t>预测内容和评价要求，本项目预测方案见</w:t>
      </w:r>
      <w:r>
        <w:rPr>
          <w:rFonts w:hint="eastAsia"/>
          <w:b/>
          <w:bCs/>
          <w:u w:val="single"/>
        </w:rPr>
        <w:fldChar w:fldCharType="begin"/>
      </w:r>
      <w:r>
        <w:rPr>
          <w:rFonts w:hint="eastAsia"/>
          <w:b/>
          <w:bCs/>
          <w:u w:val="single"/>
        </w:rPr>
        <w:instrText xml:space="preserve"> REF _Ref14573 \r \h </w:instrText>
      </w:r>
      <w:r>
        <w:rPr>
          <w:rFonts w:hint="eastAsia"/>
          <w:b/>
          <w:bCs/>
          <w:u w:val="single"/>
        </w:rPr>
      </w:r>
      <w:r>
        <w:rPr>
          <w:rFonts w:hint="eastAsia"/>
          <w:b/>
          <w:bCs/>
          <w:u w:val="single"/>
        </w:rPr>
        <w:fldChar w:fldCharType="separate"/>
      </w:r>
      <w:r>
        <w:rPr>
          <w:rFonts w:hint="eastAsia"/>
          <w:b/>
          <w:bCs/>
          <w:u w:val="single"/>
        </w:rPr>
        <w:t>表</w:t>
      </w:r>
      <w:r>
        <w:rPr>
          <w:rFonts w:hint="eastAsia"/>
          <w:b/>
          <w:bCs/>
          <w:u w:val="single"/>
        </w:rPr>
        <w:t>5-14</w:t>
      </w:r>
      <w:r>
        <w:rPr>
          <w:rFonts w:hint="eastAsia"/>
          <w:b/>
          <w:bCs/>
          <w:u w:val="single"/>
        </w:rPr>
        <w:fldChar w:fldCharType="end"/>
      </w:r>
      <w:r>
        <w:rPr>
          <w:rFonts w:hint="eastAsia"/>
          <w:b/>
          <w:bCs/>
          <w:u w:val="single"/>
        </w:rPr>
        <w:t>。</w:t>
      </w:r>
    </w:p>
    <w:p w14:paraId="5B6845F6" w14:textId="77777777" w:rsidR="003E78AB" w:rsidRDefault="00010BF9">
      <w:pPr>
        <w:pStyle w:val="a4"/>
        <w:spacing w:before="120"/>
        <w:rPr>
          <w:b/>
          <w:bCs/>
          <w:u w:val="single"/>
        </w:rPr>
      </w:pPr>
      <w:bookmarkStart w:id="369" w:name="_Ref14573"/>
      <w:r>
        <w:rPr>
          <w:rFonts w:hint="eastAsia"/>
          <w:b/>
          <w:bCs/>
          <w:u w:val="single"/>
        </w:rPr>
        <w:t>本项目大气环境影响评价方案</w:t>
      </w:r>
      <w:bookmarkEnd w:id="369"/>
    </w:p>
    <w:tbl>
      <w:tblPr>
        <w:tblStyle w:val="af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5"/>
        <w:gridCol w:w="1852"/>
        <w:gridCol w:w="1668"/>
        <w:gridCol w:w="1718"/>
        <w:gridCol w:w="2173"/>
      </w:tblGrid>
      <w:tr w:rsidR="003E78AB" w14:paraId="53CCA8A2" w14:textId="77777777">
        <w:trPr>
          <w:trHeight w:val="340"/>
          <w:tblHeader/>
        </w:trPr>
        <w:tc>
          <w:tcPr>
            <w:tcW w:w="566" w:type="pct"/>
          </w:tcPr>
          <w:p w14:paraId="4A50C7C2" w14:textId="77777777" w:rsidR="003E78AB" w:rsidRDefault="00010BF9">
            <w:pPr>
              <w:pStyle w:val="aff6"/>
              <w:topLinePunct/>
              <w:rPr>
                <w:b/>
                <w:bCs/>
                <w:u w:val="single"/>
              </w:rPr>
            </w:pPr>
            <w:r>
              <w:rPr>
                <w:b/>
                <w:bCs/>
                <w:u w:val="single"/>
              </w:rPr>
              <w:t>评价对象</w:t>
            </w:r>
          </w:p>
        </w:tc>
        <w:tc>
          <w:tcPr>
            <w:tcW w:w="1108" w:type="pct"/>
          </w:tcPr>
          <w:p w14:paraId="180C2BB4" w14:textId="77777777" w:rsidR="003E78AB" w:rsidRDefault="00010BF9">
            <w:pPr>
              <w:pStyle w:val="aff6"/>
              <w:topLinePunct/>
              <w:rPr>
                <w:b/>
                <w:bCs/>
                <w:u w:val="single"/>
              </w:rPr>
            </w:pPr>
            <w:r>
              <w:rPr>
                <w:b/>
                <w:bCs/>
                <w:u w:val="single"/>
              </w:rPr>
              <w:t>污染源</w:t>
            </w:r>
          </w:p>
        </w:tc>
        <w:tc>
          <w:tcPr>
            <w:tcW w:w="998" w:type="pct"/>
          </w:tcPr>
          <w:p w14:paraId="25F56425" w14:textId="77777777" w:rsidR="003E78AB" w:rsidRDefault="00010BF9">
            <w:pPr>
              <w:pStyle w:val="aff6"/>
              <w:topLinePunct/>
              <w:rPr>
                <w:b/>
                <w:bCs/>
                <w:u w:val="single"/>
              </w:rPr>
            </w:pPr>
            <w:r>
              <w:rPr>
                <w:b/>
                <w:bCs/>
                <w:u w:val="single"/>
              </w:rPr>
              <w:t>污染源排放形式</w:t>
            </w:r>
          </w:p>
        </w:tc>
        <w:tc>
          <w:tcPr>
            <w:tcW w:w="1028" w:type="pct"/>
          </w:tcPr>
          <w:p w14:paraId="520FAB6B" w14:textId="77777777" w:rsidR="003E78AB" w:rsidRDefault="00010BF9">
            <w:pPr>
              <w:pStyle w:val="aff6"/>
              <w:topLinePunct/>
              <w:rPr>
                <w:b/>
                <w:bCs/>
                <w:u w:val="single"/>
              </w:rPr>
            </w:pPr>
            <w:r>
              <w:rPr>
                <w:b/>
                <w:bCs/>
                <w:u w:val="single"/>
              </w:rPr>
              <w:t>预测内容</w:t>
            </w:r>
          </w:p>
        </w:tc>
        <w:tc>
          <w:tcPr>
            <w:tcW w:w="1300" w:type="pct"/>
          </w:tcPr>
          <w:p w14:paraId="3E3008C1" w14:textId="77777777" w:rsidR="003E78AB" w:rsidRDefault="00010BF9">
            <w:pPr>
              <w:pStyle w:val="aff6"/>
              <w:topLinePunct/>
              <w:rPr>
                <w:b/>
                <w:bCs/>
                <w:u w:val="single"/>
              </w:rPr>
            </w:pPr>
            <w:r>
              <w:rPr>
                <w:b/>
                <w:bCs/>
                <w:u w:val="single"/>
              </w:rPr>
              <w:t>评价内容</w:t>
            </w:r>
          </w:p>
        </w:tc>
      </w:tr>
      <w:tr w:rsidR="003E78AB" w14:paraId="2D51779F" w14:textId="77777777">
        <w:trPr>
          <w:trHeight w:val="340"/>
        </w:trPr>
        <w:tc>
          <w:tcPr>
            <w:tcW w:w="566" w:type="pct"/>
            <w:vMerge w:val="restart"/>
          </w:tcPr>
          <w:p w14:paraId="6D6E247E" w14:textId="77777777" w:rsidR="003E78AB" w:rsidRDefault="00010BF9">
            <w:pPr>
              <w:pStyle w:val="aff6"/>
              <w:topLinePunct/>
              <w:rPr>
                <w:b/>
                <w:bCs/>
                <w:u w:val="single"/>
              </w:rPr>
            </w:pPr>
            <w:r>
              <w:rPr>
                <w:b/>
                <w:bCs/>
                <w:u w:val="single"/>
              </w:rPr>
              <w:t>现状达标因子</w:t>
            </w:r>
          </w:p>
        </w:tc>
        <w:tc>
          <w:tcPr>
            <w:tcW w:w="1108" w:type="pct"/>
          </w:tcPr>
          <w:p w14:paraId="357AE737" w14:textId="77777777" w:rsidR="003E78AB" w:rsidRDefault="00010BF9">
            <w:pPr>
              <w:pStyle w:val="aff6"/>
              <w:topLinePunct/>
              <w:rPr>
                <w:b/>
                <w:bCs/>
                <w:u w:val="single"/>
              </w:rPr>
            </w:pPr>
            <w:r>
              <w:rPr>
                <w:b/>
                <w:bCs/>
                <w:u w:val="single"/>
              </w:rPr>
              <w:t>新增污染源</w:t>
            </w:r>
          </w:p>
        </w:tc>
        <w:tc>
          <w:tcPr>
            <w:tcW w:w="998" w:type="pct"/>
          </w:tcPr>
          <w:p w14:paraId="4705031E" w14:textId="77777777" w:rsidR="003E78AB" w:rsidRDefault="00010BF9">
            <w:pPr>
              <w:pStyle w:val="aff6"/>
              <w:topLinePunct/>
              <w:rPr>
                <w:b/>
                <w:bCs/>
                <w:u w:val="single"/>
              </w:rPr>
            </w:pPr>
            <w:r>
              <w:rPr>
                <w:b/>
                <w:bCs/>
                <w:u w:val="single"/>
              </w:rPr>
              <w:t>正常排放</w:t>
            </w:r>
          </w:p>
        </w:tc>
        <w:tc>
          <w:tcPr>
            <w:tcW w:w="1028" w:type="pct"/>
          </w:tcPr>
          <w:p w14:paraId="26558372" w14:textId="77777777" w:rsidR="003E78AB" w:rsidRDefault="00010BF9">
            <w:pPr>
              <w:pStyle w:val="aff6"/>
              <w:topLinePunct/>
              <w:rPr>
                <w:b/>
                <w:bCs/>
                <w:u w:val="single"/>
              </w:rPr>
            </w:pPr>
            <w:r>
              <w:rPr>
                <w:b/>
                <w:bCs/>
                <w:u w:val="single"/>
              </w:rPr>
              <w:t>短期浓度</w:t>
            </w:r>
          </w:p>
          <w:p w14:paraId="39A07552" w14:textId="77777777" w:rsidR="003E78AB" w:rsidRDefault="00010BF9">
            <w:pPr>
              <w:pStyle w:val="aff6"/>
              <w:topLinePunct/>
              <w:rPr>
                <w:b/>
                <w:bCs/>
                <w:u w:val="single"/>
              </w:rPr>
            </w:pPr>
            <w:r>
              <w:rPr>
                <w:b/>
                <w:bCs/>
                <w:u w:val="single"/>
              </w:rPr>
              <w:t>长期浓度</w:t>
            </w:r>
          </w:p>
        </w:tc>
        <w:tc>
          <w:tcPr>
            <w:tcW w:w="1300" w:type="pct"/>
          </w:tcPr>
          <w:p w14:paraId="5BC19A83" w14:textId="77777777" w:rsidR="003E78AB" w:rsidRDefault="00010BF9">
            <w:pPr>
              <w:pStyle w:val="aff6"/>
              <w:topLinePunct/>
              <w:rPr>
                <w:b/>
                <w:bCs/>
                <w:u w:val="single"/>
              </w:rPr>
            </w:pPr>
            <w:r>
              <w:rPr>
                <w:b/>
                <w:bCs/>
                <w:u w:val="single"/>
              </w:rPr>
              <w:t>最大浓度占标率</w:t>
            </w:r>
          </w:p>
        </w:tc>
      </w:tr>
      <w:tr w:rsidR="003E78AB" w14:paraId="26DF0CDE" w14:textId="77777777">
        <w:trPr>
          <w:trHeight w:val="340"/>
        </w:trPr>
        <w:tc>
          <w:tcPr>
            <w:tcW w:w="566" w:type="pct"/>
            <w:vMerge/>
          </w:tcPr>
          <w:p w14:paraId="2966D50C" w14:textId="77777777" w:rsidR="003E78AB" w:rsidRDefault="003E78AB">
            <w:pPr>
              <w:pStyle w:val="aff6"/>
              <w:topLinePunct/>
              <w:rPr>
                <w:b/>
                <w:bCs/>
                <w:u w:val="single"/>
              </w:rPr>
            </w:pPr>
          </w:p>
        </w:tc>
        <w:tc>
          <w:tcPr>
            <w:tcW w:w="1108" w:type="pct"/>
          </w:tcPr>
          <w:p w14:paraId="6907EF5E" w14:textId="77777777" w:rsidR="003E78AB" w:rsidRDefault="00010BF9">
            <w:pPr>
              <w:pStyle w:val="aff6"/>
              <w:topLinePunct/>
              <w:rPr>
                <w:b/>
                <w:bCs/>
                <w:u w:val="single"/>
              </w:rPr>
            </w:pPr>
            <w:r>
              <w:rPr>
                <w:b/>
                <w:bCs/>
                <w:u w:val="single"/>
              </w:rPr>
              <w:t>新增污染源</w:t>
            </w:r>
          </w:p>
        </w:tc>
        <w:tc>
          <w:tcPr>
            <w:tcW w:w="998" w:type="pct"/>
          </w:tcPr>
          <w:p w14:paraId="7076EA52" w14:textId="77777777" w:rsidR="003E78AB" w:rsidRDefault="00010BF9">
            <w:pPr>
              <w:pStyle w:val="aff6"/>
              <w:topLinePunct/>
              <w:rPr>
                <w:b/>
                <w:bCs/>
                <w:u w:val="single"/>
              </w:rPr>
            </w:pPr>
            <w:r>
              <w:rPr>
                <w:b/>
                <w:bCs/>
                <w:u w:val="single"/>
              </w:rPr>
              <w:t>非正常排放</w:t>
            </w:r>
          </w:p>
        </w:tc>
        <w:tc>
          <w:tcPr>
            <w:tcW w:w="1028" w:type="pct"/>
          </w:tcPr>
          <w:p w14:paraId="1D0851B0" w14:textId="77777777" w:rsidR="003E78AB" w:rsidRDefault="00010BF9">
            <w:pPr>
              <w:pStyle w:val="aff6"/>
              <w:topLinePunct/>
              <w:rPr>
                <w:b/>
                <w:bCs/>
                <w:u w:val="single"/>
              </w:rPr>
            </w:pPr>
            <w:r>
              <w:rPr>
                <w:b/>
                <w:bCs/>
                <w:u w:val="single"/>
              </w:rPr>
              <w:t>1h</w:t>
            </w:r>
            <w:r>
              <w:rPr>
                <w:b/>
                <w:bCs/>
                <w:u w:val="single"/>
              </w:rPr>
              <w:t>平均质量浓度</w:t>
            </w:r>
          </w:p>
        </w:tc>
        <w:tc>
          <w:tcPr>
            <w:tcW w:w="1300" w:type="pct"/>
          </w:tcPr>
          <w:p w14:paraId="63329731" w14:textId="77777777" w:rsidR="003E78AB" w:rsidRDefault="00010BF9">
            <w:pPr>
              <w:pStyle w:val="aff6"/>
              <w:topLinePunct/>
              <w:rPr>
                <w:b/>
                <w:bCs/>
                <w:u w:val="single"/>
              </w:rPr>
            </w:pPr>
            <w:r>
              <w:rPr>
                <w:b/>
                <w:bCs/>
                <w:u w:val="single"/>
              </w:rPr>
              <w:t>最大浓度占标率</w:t>
            </w:r>
          </w:p>
        </w:tc>
      </w:tr>
      <w:tr w:rsidR="003E78AB" w14:paraId="47E77398" w14:textId="77777777">
        <w:trPr>
          <w:trHeight w:val="340"/>
        </w:trPr>
        <w:tc>
          <w:tcPr>
            <w:tcW w:w="566" w:type="pct"/>
            <w:vMerge/>
          </w:tcPr>
          <w:p w14:paraId="55FD60DC" w14:textId="77777777" w:rsidR="003E78AB" w:rsidRDefault="003E78AB">
            <w:pPr>
              <w:pStyle w:val="aff6"/>
              <w:topLinePunct/>
              <w:rPr>
                <w:b/>
                <w:bCs/>
                <w:u w:val="single"/>
              </w:rPr>
            </w:pPr>
          </w:p>
        </w:tc>
        <w:tc>
          <w:tcPr>
            <w:tcW w:w="1108" w:type="pct"/>
          </w:tcPr>
          <w:p w14:paraId="7479CB4F" w14:textId="77777777" w:rsidR="003E78AB" w:rsidRDefault="00010BF9">
            <w:pPr>
              <w:pStyle w:val="aff6"/>
              <w:topLinePunct/>
              <w:rPr>
                <w:b/>
                <w:bCs/>
                <w:u w:val="single"/>
              </w:rPr>
            </w:pPr>
            <w:r>
              <w:rPr>
                <w:b/>
                <w:bCs/>
                <w:u w:val="single"/>
              </w:rPr>
              <w:t>新增污染源</w:t>
            </w:r>
            <w:r>
              <w:rPr>
                <w:b/>
                <w:bCs/>
                <w:u w:val="single"/>
              </w:rPr>
              <w:t>+</w:t>
            </w:r>
            <w:r>
              <w:rPr>
                <w:b/>
                <w:bCs/>
                <w:u w:val="single"/>
              </w:rPr>
              <w:t>其他在建、拟建污染源</w:t>
            </w:r>
            <w:r>
              <w:rPr>
                <w:rFonts w:hint="eastAsia"/>
                <w:b/>
                <w:bCs/>
                <w:u w:val="single"/>
              </w:rPr>
              <w:t>-</w:t>
            </w:r>
            <w:r>
              <w:rPr>
                <w:rFonts w:hint="eastAsia"/>
                <w:b/>
                <w:bCs/>
                <w:u w:val="single"/>
              </w:rPr>
              <w:t>区域</w:t>
            </w:r>
            <w:r>
              <w:rPr>
                <w:b/>
                <w:bCs/>
                <w:u w:val="single"/>
              </w:rPr>
              <w:t>削减源</w:t>
            </w:r>
          </w:p>
        </w:tc>
        <w:tc>
          <w:tcPr>
            <w:tcW w:w="998" w:type="pct"/>
          </w:tcPr>
          <w:p w14:paraId="7F798B68" w14:textId="77777777" w:rsidR="003E78AB" w:rsidRDefault="00010BF9">
            <w:pPr>
              <w:pStyle w:val="aff6"/>
              <w:topLinePunct/>
              <w:rPr>
                <w:b/>
                <w:bCs/>
                <w:u w:val="single"/>
              </w:rPr>
            </w:pPr>
            <w:r>
              <w:rPr>
                <w:b/>
                <w:bCs/>
                <w:u w:val="single"/>
              </w:rPr>
              <w:t>正常排放</w:t>
            </w:r>
          </w:p>
        </w:tc>
        <w:tc>
          <w:tcPr>
            <w:tcW w:w="1028" w:type="pct"/>
          </w:tcPr>
          <w:p w14:paraId="74E622C4" w14:textId="77777777" w:rsidR="003E78AB" w:rsidRDefault="00010BF9">
            <w:pPr>
              <w:pStyle w:val="aff6"/>
              <w:topLinePunct/>
              <w:rPr>
                <w:b/>
                <w:bCs/>
                <w:u w:val="single"/>
              </w:rPr>
            </w:pPr>
            <w:r>
              <w:rPr>
                <w:b/>
                <w:bCs/>
                <w:u w:val="single"/>
              </w:rPr>
              <w:t>短期浓度</w:t>
            </w:r>
          </w:p>
          <w:p w14:paraId="3BD0C180" w14:textId="77777777" w:rsidR="003E78AB" w:rsidRDefault="00010BF9">
            <w:pPr>
              <w:pStyle w:val="aff6"/>
              <w:topLinePunct/>
              <w:rPr>
                <w:b/>
                <w:bCs/>
                <w:u w:val="single"/>
              </w:rPr>
            </w:pPr>
            <w:r>
              <w:rPr>
                <w:b/>
                <w:bCs/>
                <w:u w:val="single"/>
              </w:rPr>
              <w:t>长期浓度</w:t>
            </w:r>
          </w:p>
        </w:tc>
        <w:tc>
          <w:tcPr>
            <w:tcW w:w="1300" w:type="pct"/>
          </w:tcPr>
          <w:p w14:paraId="529C0E8F" w14:textId="77777777" w:rsidR="003E78AB" w:rsidRDefault="00010BF9">
            <w:pPr>
              <w:pStyle w:val="aff6"/>
              <w:topLinePunct/>
              <w:rPr>
                <w:b/>
                <w:bCs/>
                <w:u w:val="single"/>
              </w:rPr>
            </w:pPr>
            <w:r>
              <w:rPr>
                <w:b/>
                <w:bCs/>
                <w:u w:val="single"/>
              </w:rPr>
              <w:t>评价其叠加现状浓度后保证率日平均质量浓度和年平均质量浓度的占标率或短期浓度达标情况</w:t>
            </w:r>
          </w:p>
        </w:tc>
      </w:tr>
      <w:tr w:rsidR="003E78AB" w14:paraId="37ADDC9A" w14:textId="77777777">
        <w:trPr>
          <w:trHeight w:val="340"/>
        </w:trPr>
        <w:tc>
          <w:tcPr>
            <w:tcW w:w="566" w:type="pct"/>
            <w:vMerge w:val="restart"/>
          </w:tcPr>
          <w:p w14:paraId="154A5A6C" w14:textId="77777777" w:rsidR="003E78AB" w:rsidRDefault="00010BF9">
            <w:pPr>
              <w:pStyle w:val="aff6"/>
              <w:topLinePunct/>
              <w:rPr>
                <w:b/>
                <w:bCs/>
                <w:u w:val="single"/>
              </w:rPr>
            </w:pPr>
            <w:r>
              <w:rPr>
                <w:b/>
                <w:bCs/>
                <w:u w:val="single"/>
              </w:rPr>
              <w:t>现状不达标因子</w:t>
            </w:r>
          </w:p>
        </w:tc>
        <w:tc>
          <w:tcPr>
            <w:tcW w:w="1108" w:type="pct"/>
          </w:tcPr>
          <w:p w14:paraId="607BB0A8" w14:textId="77777777" w:rsidR="003E78AB" w:rsidRDefault="00010BF9">
            <w:pPr>
              <w:pStyle w:val="aff6"/>
              <w:topLinePunct/>
              <w:rPr>
                <w:b/>
                <w:bCs/>
                <w:u w:val="single"/>
              </w:rPr>
            </w:pPr>
            <w:r>
              <w:rPr>
                <w:b/>
                <w:bCs/>
                <w:u w:val="single"/>
              </w:rPr>
              <w:t>新增污染源</w:t>
            </w:r>
          </w:p>
        </w:tc>
        <w:tc>
          <w:tcPr>
            <w:tcW w:w="998" w:type="pct"/>
          </w:tcPr>
          <w:p w14:paraId="04350B8E" w14:textId="77777777" w:rsidR="003E78AB" w:rsidRDefault="00010BF9">
            <w:pPr>
              <w:pStyle w:val="aff6"/>
              <w:topLinePunct/>
              <w:rPr>
                <w:b/>
                <w:bCs/>
                <w:u w:val="single"/>
              </w:rPr>
            </w:pPr>
            <w:r>
              <w:rPr>
                <w:b/>
                <w:bCs/>
                <w:u w:val="single"/>
              </w:rPr>
              <w:t>正常排放</w:t>
            </w:r>
          </w:p>
        </w:tc>
        <w:tc>
          <w:tcPr>
            <w:tcW w:w="1028" w:type="pct"/>
          </w:tcPr>
          <w:p w14:paraId="0208F6FE" w14:textId="77777777" w:rsidR="003E78AB" w:rsidRDefault="00010BF9">
            <w:pPr>
              <w:pStyle w:val="aff6"/>
              <w:topLinePunct/>
              <w:rPr>
                <w:b/>
                <w:bCs/>
                <w:u w:val="single"/>
              </w:rPr>
            </w:pPr>
            <w:r>
              <w:rPr>
                <w:b/>
                <w:bCs/>
                <w:u w:val="single"/>
              </w:rPr>
              <w:t>短期浓度</w:t>
            </w:r>
          </w:p>
          <w:p w14:paraId="2CF82ECA" w14:textId="77777777" w:rsidR="003E78AB" w:rsidRDefault="00010BF9">
            <w:pPr>
              <w:pStyle w:val="aff6"/>
              <w:topLinePunct/>
              <w:rPr>
                <w:b/>
                <w:bCs/>
                <w:u w:val="single"/>
              </w:rPr>
            </w:pPr>
            <w:r>
              <w:rPr>
                <w:b/>
                <w:bCs/>
                <w:u w:val="single"/>
              </w:rPr>
              <w:t>长期浓度</w:t>
            </w:r>
          </w:p>
        </w:tc>
        <w:tc>
          <w:tcPr>
            <w:tcW w:w="1300" w:type="pct"/>
          </w:tcPr>
          <w:p w14:paraId="4827BDEC" w14:textId="77777777" w:rsidR="003E78AB" w:rsidRDefault="00010BF9">
            <w:pPr>
              <w:pStyle w:val="aff6"/>
              <w:topLinePunct/>
              <w:rPr>
                <w:b/>
                <w:bCs/>
                <w:u w:val="single"/>
              </w:rPr>
            </w:pPr>
            <w:r>
              <w:rPr>
                <w:b/>
                <w:bCs/>
                <w:u w:val="single"/>
              </w:rPr>
              <w:t>最大浓度占标率</w:t>
            </w:r>
          </w:p>
        </w:tc>
      </w:tr>
      <w:tr w:rsidR="003E78AB" w14:paraId="37589E6A" w14:textId="77777777">
        <w:trPr>
          <w:trHeight w:val="340"/>
        </w:trPr>
        <w:tc>
          <w:tcPr>
            <w:tcW w:w="566" w:type="pct"/>
            <w:vMerge/>
          </w:tcPr>
          <w:p w14:paraId="23F4DFEE" w14:textId="77777777" w:rsidR="003E78AB" w:rsidRDefault="003E78AB">
            <w:pPr>
              <w:pStyle w:val="aff6"/>
              <w:topLinePunct/>
              <w:rPr>
                <w:b/>
                <w:bCs/>
                <w:u w:val="single"/>
              </w:rPr>
            </w:pPr>
          </w:p>
        </w:tc>
        <w:tc>
          <w:tcPr>
            <w:tcW w:w="1108" w:type="pct"/>
          </w:tcPr>
          <w:p w14:paraId="043F7B17" w14:textId="77777777" w:rsidR="003E78AB" w:rsidRDefault="00010BF9">
            <w:pPr>
              <w:pStyle w:val="aff6"/>
              <w:topLinePunct/>
              <w:rPr>
                <w:b/>
                <w:bCs/>
                <w:u w:val="single"/>
              </w:rPr>
            </w:pPr>
            <w:r>
              <w:rPr>
                <w:b/>
                <w:bCs/>
                <w:u w:val="single"/>
              </w:rPr>
              <w:t>新增污染源</w:t>
            </w:r>
          </w:p>
        </w:tc>
        <w:tc>
          <w:tcPr>
            <w:tcW w:w="998" w:type="pct"/>
          </w:tcPr>
          <w:p w14:paraId="1261DBBA" w14:textId="77777777" w:rsidR="003E78AB" w:rsidRDefault="00010BF9">
            <w:pPr>
              <w:pStyle w:val="aff6"/>
              <w:topLinePunct/>
              <w:rPr>
                <w:b/>
                <w:bCs/>
                <w:u w:val="single"/>
              </w:rPr>
            </w:pPr>
            <w:r>
              <w:rPr>
                <w:b/>
                <w:bCs/>
                <w:u w:val="single"/>
              </w:rPr>
              <w:t>非正常排放</w:t>
            </w:r>
          </w:p>
        </w:tc>
        <w:tc>
          <w:tcPr>
            <w:tcW w:w="1028" w:type="pct"/>
          </w:tcPr>
          <w:p w14:paraId="4F373527" w14:textId="77777777" w:rsidR="003E78AB" w:rsidRDefault="00010BF9">
            <w:pPr>
              <w:pStyle w:val="aff6"/>
              <w:topLinePunct/>
              <w:rPr>
                <w:b/>
                <w:bCs/>
                <w:u w:val="single"/>
              </w:rPr>
            </w:pPr>
            <w:r>
              <w:rPr>
                <w:b/>
                <w:bCs/>
                <w:u w:val="single"/>
              </w:rPr>
              <w:t>1h</w:t>
            </w:r>
            <w:r>
              <w:rPr>
                <w:b/>
                <w:bCs/>
                <w:u w:val="single"/>
              </w:rPr>
              <w:t>平均质量浓度</w:t>
            </w:r>
          </w:p>
        </w:tc>
        <w:tc>
          <w:tcPr>
            <w:tcW w:w="1300" w:type="pct"/>
          </w:tcPr>
          <w:p w14:paraId="13FEF70E" w14:textId="77777777" w:rsidR="003E78AB" w:rsidRDefault="00010BF9">
            <w:pPr>
              <w:pStyle w:val="aff6"/>
              <w:topLinePunct/>
              <w:rPr>
                <w:b/>
                <w:bCs/>
                <w:u w:val="single"/>
              </w:rPr>
            </w:pPr>
            <w:r>
              <w:rPr>
                <w:b/>
                <w:bCs/>
                <w:u w:val="single"/>
              </w:rPr>
              <w:t>最大浓度占标率</w:t>
            </w:r>
          </w:p>
        </w:tc>
      </w:tr>
      <w:tr w:rsidR="003E78AB" w14:paraId="6D487BDB" w14:textId="77777777">
        <w:trPr>
          <w:trHeight w:val="340"/>
        </w:trPr>
        <w:tc>
          <w:tcPr>
            <w:tcW w:w="566" w:type="pct"/>
            <w:vMerge/>
          </w:tcPr>
          <w:p w14:paraId="5DC2298A" w14:textId="77777777" w:rsidR="003E78AB" w:rsidRDefault="003E78AB">
            <w:pPr>
              <w:pStyle w:val="aff6"/>
              <w:topLinePunct/>
              <w:rPr>
                <w:b/>
                <w:bCs/>
                <w:u w:val="single"/>
              </w:rPr>
            </w:pPr>
          </w:p>
        </w:tc>
        <w:tc>
          <w:tcPr>
            <w:tcW w:w="1108" w:type="pct"/>
          </w:tcPr>
          <w:p w14:paraId="7CC07596" w14:textId="77777777" w:rsidR="003E78AB" w:rsidRDefault="00010BF9">
            <w:pPr>
              <w:pStyle w:val="aff6"/>
              <w:topLinePunct/>
              <w:rPr>
                <w:b/>
                <w:bCs/>
                <w:u w:val="single"/>
              </w:rPr>
            </w:pPr>
            <w:r>
              <w:rPr>
                <w:b/>
                <w:bCs/>
                <w:u w:val="single"/>
              </w:rPr>
              <w:t>新增污染源</w:t>
            </w:r>
            <w:r>
              <w:rPr>
                <w:b/>
                <w:bCs/>
                <w:u w:val="single"/>
              </w:rPr>
              <w:t>+</w:t>
            </w:r>
            <w:r>
              <w:rPr>
                <w:b/>
                <w:bCs/>
                <w:u w:val="single"/>
              </w:rPr>
              <w:t>其他在建、拟建污染源</w:t>
            </w:r>
          </w:p>
        </w:tc>
        <w:tc>
          <w:tcPr>
            <w:tcW w:w="998" w:type="pct"/>
          </w:tcPr>
          <w:p w14:paraId="7E6BEF41" w14:textId="77777777" w:rsidR="003E78AB" w:rsidRDefault="00010BF9">
            <w:pPr>
              <w:pStyle w:val="aff6"/>
              <w:topLinePunct/>
              <w:rPr>
                <w:b/>
                <w:bCs/>
                <w:u w:val="single"/>
              </w:rPr>
            </w:pPr>
            <w:r>
              <w:rPr>
                <w:b/>
                <w:bCs/>
                <w:u w:val="single"/>
              </w:rPr>
              <w:t>正常排放</w:t>
            </w:r>
          </w:p>
        </w:tc>
        <w:tc>
          <w:tcPr>
            <w:tcW w:w="1028" w:type="pct"/>
          </w:tcPr>
          <w:p w14:paraId="0DC682E2" w14:textId="77777777" w:rsidR="003E78AB" w:rsidRDefault="00010BF9">
            <w:pPr>
              <w:pStyle w:val="aff6"/>
              <w:topLinePunct/>
              <w:rPr>
                <w:b/>
                <w:bCs/>
                <w:u w:val="single"/>
              </w:rPr>
            </w:pPr>
            <w:r>
              <w:rPr>
                <w:b/>
                <w:bCs/>
                <w:u w:val="single"/>
              </w:rPr>
              <w:t>短期浓度</w:t>
            </w:r>
          </w:p>
          <w:p w14:paraId="1397CBBB" w14:textId="77777777" w:rsidR="003E78AB" w:rsidRDefault="00010BF9">
            <w:pPr>
              <w:pStyle w:val="aff6"/>
              <w:topLinePunct/>
              <w:rPr>
                <w:b/>
                <w:bCs/>
                <w:u w:val="single"/>
              </w:rPr>
            </w:pPr>
            <w:r>
              <w:rPr>
                <w:b/>
                <w:bCs/>
                <w:u w:val="single"/>
              </w:rPr>
              <w:t>长期浓度</w:t>
            </w:r>
          </w:p>
        </w:tc>
        <w:tc>
          <w:tcPr>
            <w:tcW w:w="1300" w:type="pct"/>
          </w:tcPr>
          <w:p w14:paraId="416F7E2E" w14:textId="77777777" w:rsidR="003E78AB" w:rsidRDefault="00010BF9">
            <w:pPr>
              <w:pStyle w:val="aff6"/>
              <w:topLinePunct/>
              <w:rPr>
                <w:b/>
                <w:bCs/>
                <w:u w:val="single"/>
              </w:rPr>
            </w:pPr>
            <w:r>
              <w:rPr>
                <w:b/>
                <w:bCs/>
                <w:u w:val="single"/>
              </w:rPr>
              <w:t>评价年均质量浓度变化率</w:t>
            </w:r>
          </w:p>
        </w:tc>
      </w:tr>
      <w:tr w:rsidR="003E78AB" w14:paraId="44B906C8" w14:textId="77777777">
        <w:trPr>
          <w:trHeight w:val="340"/>
        </w:trPr>
        <w:tc>
          <w:tcPr>
            <w:tcW w:w="566" w:type="pct"/>
          </w:tcPr>
          <w:p w14:paraId="10C475E6" w14:textId="77777777" w:rsidR="003E78AB" w:rsidRDefault="00010BF9">
            <w:pPr>
              <w:pStyle w:val="aff6"/>
              <w:topLinePunct/>
              <w:rPr>
                <w:b/>
                <w:bCs/>
                <w:u w:val="single"/>
              </w:rPr>
            </w:pPr>
            <w:r>
              <w:rPr>
                <w:rFonts w:hint="eastAsia"/>
                <w:b/>
                <w:bCs/>
                <w:u w:val="single"/>
              </w:rPr>
              <w:t>大气环境防护距离</w:t>
            </w:r>
          </w:p>
        </w:tc>
        <w:tc>
          <w:tcPr>
            <w:tcW w:w="1108" w:type="pct"/>
          </w:tcPr>
          <w:p w14:paraId="5BEBBD6A" w14:textId="77777777" w:rsidR="003E78AB" w:rsidRDefault="00010BF9">
            <w:pPr>
              <w:pStyle w:val="aff6"/>
              <w:topLinePunct/>
              <w:rPr>
                <w:b/>
                <w:bCs/>
                <w:u w:val="single"/>
              </w:rPr>
            </w:pPr>
            <w:r>
              <w:rPr>
                <w:b/>
                <w:bCs/>
                <w:u w:val="single"/>
              </w:rPr>
              <w:t>新增污染源</w:t>
            </w:r>
            <w:r>
              <w:rPr>
                <w:rFonts w:hint="eastAsia"/>
                <w:b/>
                <w:bCs/>
                <w:u w:val="single"/>
              </w:rPr>
              <w:t>-</w:t>
            </w:r>
            <w:r>
              <w:rPr>
                <w:rFonts w:hint="eastAsia"/>
                <w:b/>
                <w:bCs/>
                <w:u w:val="single"/>
              </w:rPr>
              <w:t>“以新带老”污染源</w:t>
            </w:r>
            <w:r>
              <w:rPr>
                <w:rFonts w:hint="eastAsia"/>
                <w:b/>
                <w:bCs/>
                <w:u w:val="single"/>
              </w:rPr>
              <w:t>+</w:t>
            </w:r>
            <w:r>
              <w:rPr>
                <w:rFonts w:hint="eastAsia"/>
                <w:b/>
                <w:bCs/>
                <w:u w:val="single"/>
              </w:rPr>
              <w:t>全厂现有污染源</w:t>
            </w:r>
          </w:p>
        </w:tc>
        <w:tc>
          <w:tcPr>
            <w:tcW w:w="998" w:type="pct"/>
          </w:tcPr>
          <w:p w14:paraId="7DCE6292" w14:textId="77777777" w:rsidR="003E78AB" w:rsidRDefault="00010BF9">
            <w:pPr>
              <w:pStyle w:val="aff6"/>
              <w:topLinePunct/>
              <w:rPr>
                <w:b/>
                <w:bCs/>
                <w:u w:val="single"/>
              </w:rPr>
            </w:pPr>
            <w:r>
              <w:rPr>
                <w:rFonts w:hint="eastAsia"/>
                <w:b/>
                <w:bCs/>
                <w:u w:val="single"/>
              </w:rPr>
              <w:t>正常排放</w:t>
            </w:r>
          </w:p>
        </w:tc>
        <w:tc>
          <w:tcPr>
            <w:tcW w:w="1028" w:type="pct"/>
          </w:tcPr>
          <w:p w14:paraId="71A87DC9" w14:textId="77777777" w:rsidR="003E78AB" w:rsidRDefault="00010BF9">
            <w:pPr>
              <w:pStyle w:val="aff6"/>
              <w:topLinePunct/>
              <w:rPr>
                <w:b/>
                <w:bCs/>
                <w:u w:val="single"/>
              </w:rPr>
            </w:pPr>
            <w:r>
              <w:rPr>
                <w:b/>
                <w:bCs/>
                <w:u w:val="single"/>
              </w:rPr>
              <w:t>短期浓度</w:t>
            </w:r>
          </w:p>
        </w:tc>
        <w:tc>
          <w:tcPr>
            <w:tcW w:w="1300" w:type="pct"/>
          </w:tcPr>
          <w:p w14:paraId="67EE86DF" w14:textId="77777777" w:rsidR="003E78AB" w:rsidRDefault="00010BF9">
            <w:pPr>
              <w:pStyle w:val="aff6"/>
              <w:topLinePunct/>
              <w:rPr>
                <w:b/>
                <w:bCs/>
                <w:u w:val="single"/>
              </w:rPr>
            </w:pPr>
            <w:r>
              <w:rPr>
                <w:rFonts w:hint="eastAsia"/>
                <w:b/>
                <w:bCs/>
                <w:u w:val="single"/>
              </w:rPr>
              <w:t>大气环境防护距离</w:t>
            </w:r>
          </w:p>
        </w:tc>
      </w:tr>
    </w:tbl>
    <w:p w14:paraId="09460478" w14:textId="77777777" w:rsidR="003E78AB" w:rsidRDefault="00010BF9">
      <w:pPr>
        <w:ind w:firstLine="482"/>
        <w:rPr>
          <w:b/>
          <w:bCs/>
          <w:u w:val="single"/>
        </w:rPr>
      </w:pPr>
      <w:r>
        <w:rPr>
          <w:rFonts w:hint="eastAsia"/>
          <w:b/>
          <w:bCs/>
          <w:u w:val="single"/>
        </w:rPr>
        <w:t>（</w:t>
      </w:r>
      <w:r>
        <w:rPr>
          <w:rFonts w:hint="eastAsia"/>
          <w:b/>
          <w:bCs/>
          <w:u w:val="single"/>
        </w:rPr>
        <w:t>6</w:t>
      </w:r>
      <w:r>
        <w:rPr>
          <w:rFonts w:hint="eastAsia"/>
          <w:b/>
          <w:bCs/>
          <w:u w:val="single"/>
        </w:rPr>
        <w:t>）预测内容</w:t>
      </w:r>
    </w:p>
    <w:p w14:paraId="5E2632F4" w14:textId="77777777" w:rsidR="003E78AB" w:rsidRDefault="00010BF9">
      <w:pPr>
        <w:ind w:firstLine="482"/>
        <w:rPr>
          <w:b/>
          <w:bCs/>
          <w:u w:val="single"/>
        </w:rPr>
      </w:pPr>
      <w:r>
        <w:rPr>
          <w:rFonts w:hint="eastAsia"/>
          <w:b/>
          <w:bCs/>
          <w:u w:val="single"/>
        </w:rPr>
        <w:t>①全年逐时气象条件下，环境保护目标及预测点、网格点处的地面小时平均质量浓度和评价范围内的最大地面小时浓度；</w:t>
      </w:r>
    </w:p>
    <w:p w14:paraId="7A7D9FCA" w14:textId="77777777" w:rsidR="003E78AB" w:rsidRDefault="00010BF9">
      <w:pPr>
        <w:ind w:firstLine="482"/>
        <w:rPr>
          <w:b/>
          <w:bCs/>
          <w:u w:val="single"/>
        </w:rPr>
      </w:pPr>
      <w:r>
        <w:rPr>
          <w:rFonts w:hint="eastAsia"/>
          <w:b/>
          <w:bCs/>
          <w:u w:val="single"/>
        </w:rPr>
        <w:t>②全年逐日气象条件下，环境保护目标及预测点、网格点处的地面质量浓度和评价范围内的最大地面日平均浓度；</w:t>
      </w:r>
    </w:p>
    <w:p w14:paraId="406810D4" w14:textId="77777777" w:rsidR="003E78AB" w:rsidRDefault="00010BF9">
      <w:pPr>
        <w:ind w:firstLine="482"/>
        <w:rPr>
          <w:b/>
          <w:bCs/>
          <w:u w:val="single"/>
        </w:rPr>
      </w:pPr>
      <w:r>
        <w:rPr>
          <w:rFonts w:hint="eastAsia"/>
          <w:b/>
          <w:bCs/>
          <w:u w:val="single"/>
        </w:rPr>
        <w:t>③长期气象条件下，环境保护目标及预测点、网格点处和评价范围内的最大地面年平均质量浓度；</w:t>
      </w:r>
    </w:p>
    <w:p w14:paraId="735A6603" w14:textId="77777777" w:rsidR="003E78AB" w:rsidRDefault="00010BF9">
      <w:pPr>
        <w:ind w:firstLine="482"/>
        <w:rPr>
          <w:b/>
          <w:bCs/>
          <w:u w:val="single"/>
        </w:rPr>
      </w:pPr>
      <w:r>
        <w:rPr>
          <w:rFonts w:hint="eastAsia"/>
          <w:b/>
          <w:bCs/>
          <w:u w:val="single"/>
        </w:rPr>
        <w:t>④全年逐时气象条件下，预测非正常工况排放情况，本工程各污染物在环境保护目标及预测点的最大地面小时浓度和评价范围内最大地面小时浓度；</w:t>
      </w:r>
    </w:p>
    <w:p w14:paraId="6E08687D" w14:textId="77777777" w:rsidR="003E78AB" w:rsidRDefault="00010BF9">
      <w:pPr>
        <w:ind w:firstLine="482"/>
        <w:rPr>
          <w:b/>
          <w:bCs/>
          <w:u w:val="single"/>
        </w:rPr>
      </w:pPr>
      <w:r>
        <w:rPr>
          <w:rFonts w:hint="eastAsia"/>
          <w:b/>
          <w:bCs/>
          <w:u w:val="single"/>
        </w:rPr>
        <w:t>⑤项目投运后对环境空气保护目标最终的环境影响，分别在全年逐日气象条件下，环境保护目标及预测点、网格点处和评价范围内的最大地面保证率日均、年平均质量浓度，并绘制叠加后的保证率日均、年平均质量浓</w:t>
      </w:r>
      <w:r>
        <w:rPr>
          <w:rFonts w:hint="eastAsia"/>
          <w:b/>
          <w:bCs/>
          <w:u w:val="single"/>
        </w:rPr>
        <w:t>度等值线分布图。</w:t>
      </w:r>
    </w:p>
    <w:p w14:paraId="539D76B9" w14:textId="77777777" w:rsidR="003E78AB" w:rsidRDefault="00010BF9">
      <w:pPr>
        <w:ind w:firstLine="482"/>
        <w:rPr>
          <w:b/>
          <w:bCs/>
          <w:u w:val="single"/>
        </w:rPr>
      </w:pPr>
      <w:r>
        <w:rPr>
          <w:rFonts w:hint="eastAsia"/>
          <w:b/>
          <w:bCs/>
          <w:u w:val="single"/>
        </w:rPr>
        <w:t>A</w:t>
      </w:r>
      <w:r>
        <w:rPr>
          <w:rFonts w:hint="eastAsia"/>
          <w:b/>
          <w:bCs/>
          <w:u w:val="single"/>
        </w:rPr>
        <w:t>、网格点</w:t>
      </w:r>
    </w:p>
    <w:p w14:paraId="5AE08606" w14:textId="77777777" w:rsidR="003E78AB" w:rsidRDefault="00010BF9">
      <w:pPr>
        <w:ind w:firstLine="482"/>
        <w:rPr>
          <w:b/>
          <w:bCs/>
          <w:u w:val="single"/>
        </w:rPr>
      </w:pPr>
      <w:r>
        <w:rPr>
          <w:rFonts w:hint="eastAsia"/>
          <w:b/>
          <w:bCs/>
          <w:u w:val="single"/>
        </w:rPr>
        <w:t>预测网格点的布点方式采用导则中规定的直角坐标系网格法，坐标系覆盖所有预测范围，预测网格点设置方法见</w:t>
      </w:r>
      <w:r>
        <w:rPr>
          <w:rFonts w:hint="eastAsia"/>
          <w:b/>
          <w:bCs/>
          <w:u w:val="single"/>
        </w:rPr>
        <w:fldChar w:fldCharType="begin"/>
      </w:r>
      <w:r>
        <w:rPr>
          <w:rFonts w:hint="eastAsia"/>
          <w:b/>
          <w:bCs/>
          <w:u w:val="single"/>
        </w:rPr>
        <w:instrText xml:space="preserve"> REF _Ref15249 \r \h </w:instrText>
      </w:r>
      <w:r>
        <w:rPr>
          <w:rFonts w:hint="eastAsia"/>
          <w:b/>
          <w:bCs/>
          <w:u w:val="single"/>
        </w:rPr>
      </w:r>
      <w:r>
        <w:rPr>
          <w:rFonts w:hint="eastAsia"/>
          <w:b/>
          <w:bCs/>
          <w:u w:val="single"/>
        </w:rPr>
        <w:fldChar w:fldCharType="separate"/>
      </w:r>
      <w:r>
        <w:rPr>
          <w:rFonts w:hint="eastAsia"/>
          <w:b/>
          <w:bCs/>
          <w:u w:val="single"/>
        </w:rPr>
        <w:t>表</w:t>
      </w:r>
      <w:r>
        <w:rPr>
          <w:rFonts w:hint="eastAsia"/>
          <w:b/>
          <w:bCs/>
          <w:u w:val="single"/>
        </w:rPr>
        <w:t>5-15</w:t>
      </w:r>
      <w:r>
        <w:rPr>
          <w:rFonts w:hint="eastAsia"/>
          <w:b/>
          <w:bCs/>
          <w:u w:val="single"/>
        </w:rPr>
        <w:fldChar w:fldCharType="end"/>
      </w:r>
      <w:r>
        <w:rPr>
          <w:rFonts w:hint="eastAsia"/>
          <w:b/>
          <w:bCs/>
          <w:u w:val="single"/>
        </w:rPr>
        <w:t>。</w:t>
      </w:r>
    </w:p>
    <w:p w14:paraId="728286D1" w14:textId="77777777" w:rsidR="003E78AB" w:rsidRDefault="00010BF9">
      <w:pPr>
        <w:pStyle w:val="a4"/>
        <w:spacing w:before="120"/>
        <w:rPr>
          <w:b/>
          <w:bCs/>
          <w:u w:val="single"/>
        </w:rPr>
      </w:pPr>
      <w:bookmarkStart w:id="370" w:name="_Ref15249"/>
      <w:r>
        <w:rPr>
          <w:rFonts w:hint="eastAsia"/>
          <w:b/>
          <w:bCs/>
          <w:u w:val="single"/>
        </w:rPr>
        <w:t>预测网格点设置方法</w:t>
      </w:r>
      <w:bookmarkEnd w:id="370"/>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15"/>
        <w:gridCol w:w="5501"/>
      </w:tblGrid>
      <w:tr w:rsidR="003E78AB" w14:paraId="267ADCB0" w14:textId="77777777">
        <w:trPr>
          <w:trHeight w:val="340"/>
          <w:jc w:val="center"/>
        </w:trPr>
        <w:tc>
          <w:tcPr>
            <w:tcW w:w="1770" w:type="pct"/>
            <w:tcBorders>
              <w:top w:val="single" w:sz="4" w:space="0" w:color="auto"/>
              <w:left w:val="single" w:sz="4" w:space="0" w:color="auto"/>
            </w:tcBorders>
            <w:vAlign w:val="center"/>
          </w:tcPr>
          <w:p w14:paraId="147AFCAF" w14:textId="77777777" w:rsidR="003E78AB" w:rsidRDefault="00010BF9">
            <w:pPr>
              <w:pStyle w:val="aff6"/>
              <w:topLinePunct/>
              <w:rPr>
                <w:b/>
                <w:bCs/>
                <w:u w:val="single"/>
              </w:rPr>
            </w:pPr>
            <w:r>
              <w:rPr>
                <w:rFonts w:hint="eastAsia"/>
                <w:b/>
                <w:bCs/>
                <w:u w:val="single"/>
              </w:rPr>
              <w:t>预测网格法</w:t>
            </w:r>
          </w:p>
        </w:tc>
        <w:tc>
          <w:tcPr>
            <w:tcW w:w="3229" w:type="pct"/>
            <w:tcBorders>
              <w:top w:val="single" w:sz="4" w:space="0" w:color="auto"/>
              <w:right w:val="single" w:sz="4" w:space="0" w:color="auto"/>
            </w:tcBorders>
            <w:vAlign w:val="center"/>
          </w:tcPr>
          <w:p w14:paraId="4D3C89AF" w14:textId="77777777" w:rsidR="003E78AB" w:rsidRDefault="00010BF9">
            <w:pPr>
              <w:pStyle w:val="aff6"/>
              <w:topLinePunct/>
              <w:rPr>
                <w:b/>
                <w:bCs/>
                <w:u w:val="single"/>
              </w:rPr>
            </w:pPr>
            <w:r>
              <w:rPr>
                <w:rFonts w:hint="eastAsia"/>
                <w:b/>
                <w:bCs/>
                <w:u w:val="single"/>
              </w:rPr>
              <w:t>直角坐标系法</w:t>
            </w:r>
          </w:p>
        </w:tc>
      </w:tr>
      <w:tr w:rsidR="003E78AB" w14:paraId="2302213B" w14:textId="77777777">
        <w:trPr>
          <w:trHeight w:val="340"/>
          <w:jc w:val="center"/>
        </w:trPr>
        <w:tc>
          <w:tcPr>
            <w:tcW w:w="1770" w:type="pct"/>
            <w:tcBorders>
              <w:left w:val="single" w:sz="4" w:space="0" w:color="auto"/>
            </w:tcBorders>
            <w:vAlign w:val="center"/>
          </w:tcPr>
          <w:p w14:paraId="527104CF" w14:textId="77777777" w:rsidR="003E78AB" w:rsidRDefault="00010BF9">
            <w:pPr>
              <w:pStyle w:val="aff6"/>
              <w:topLinePunct/>
              <w:rPr>
                <w:b/>
                <w:bCs/>
                <w:u w:val="single"/>
              </w:rPr>
            </w:pPr>
            <w:r>
              <w:rPr>
                <w:rFonts w:hint="eastAsia"/>
                <w:b/>
                <w:bCs/>
                <w:u w:val="single"/>
              </w:rPr>
              <w:t>布点原则</w:t>
            </w:r>
          </w:p>
        </w:tc>
        <w:tc>
          <w:tcPr>
            <w:tcW w:w="3229" w:type="pct"/>
            <w:tcBorders>
              <w:right w:val="single" w:sz="4" w:space="0" w:color="auto"/>
            </w:tcBorders>
            <w:vAlign w:val="center"/>
          </w:tcPr>
          <w:p w14:paraId="54D24DDE" w14:textId="77777777" w:rsidR="003E78AB" w:rsidRDefault="00010BF9">
            <w:pPr>
              <w:pStyle w:val="aff6"/>
              <w:topLinePunct/>
              <w:rPr>
                <w:b/>
                <w:bCs/>
                <w:u w:val="single"/>
              </w:rPr>
            </w:pPr>
            <w:r>
              <w:rPr>
                <w:rFonts w:hint="eastAsia"/>
                <w:b/>
                <w:bCs/>
                <w:u w:val="single"/>
              </w:rPr>
              <w:t>网络平均分布法</w:t>
            </w:r>
          </w:p>
        </w:tc>
      </w:tr>
      <w:tr w:rsidR="003E78AB" w14:paraId="0C591368" w14:textId="77777777">
        <w:trPr>
          <w:trHeight w:val="340"/>
          <w:jc w:val="center"/>
        </w:trPr>
        <w:tc>
          <w:tcPr>
            <w:tcW w:w="1770" w:type="pct"/>
            <w:tcBorders>
              <w:left w:val="single" w:sz="4" w:space="0" w:color="auto"/>
              <w:bottom w:val="single" w:sz="4" w:space="0" w:color="auto"/>
            </w:tcBorders>
            <w:vAlign w:val="center"/>
          </w:tcPr>
          <w:p w14:paraId="23C19746" w14:textId="77777777" w:rsidR="003E78AB" w:rsidRDefault="00010BF9">
            <w:pPr>
              <w:pStyle w:val="aff6"/>
              <w:topLinePunct/>
              <w:rPr>
                <w:b/>
                <w:bCs/>
                <w:u w:val="single"/>
              </w:rPr>
            </w:pPr>
            <w:r>
              <w:rPr>
                <w:rFonts w:hint="eastAsia"/>
                <w:b/>
                <w:bCs/>
                <w:u w:val="single"/>
              </w:rPr>
              <w:t>预测网格点网格距</w:t>
            </w:r>
          </w:p>
        </w:tc>
        <w:tc>
          <w:tcPr>
            <w:tcW w:w="3229" w:type="pct"/>
            <w:tcBorders>
              <w:bottom w:val="single" w:sz="4" w:space="0" w:color="auto"/>
              <w:right w:val="single" w:sz="4" w:space="0" w:color="auto"/>
            </w:tcBorders>
            <w:vAlign w:val="center"/>
          </w:tcPr>
          <w:p w14:paraId="54D50CCE" w14:textId="77777777" w:rsidR="003E78AB" w:rsidRDefault="00010BF9">
            <w:pPr>
              <w:pStyle w:val="aff6"/>
              <w:topLinePunct/>
              <w:rPr>
                <w:b/>
                <w:bCs/>
                <w:u w:val="single"/>
              </w:rPr>
            </w:pPr>
            <w:r>
              <w:rPr>
                <w:rFonts w:hint="eastAsia"/>
                <w:b/>
                <w:bCs/>
                <w:u w:val="single"/>
              </w:rPr>
              <w:t>100m</w:t>
            </w:r>
          </w:p>
        </w:tc>
      </w:tr>
    </w:tbl>
    <w:p w14:paraId="504A24B8" w14:textId="77777777" w:rsidR="003E78AB" w:rsidRDefault="00010BF9">
      <w:pPr>
        <w:ind w:firstLine="482"/>
        <w:rPr>
          <w:b/>
          <w:bCs/>
          <w:u w:val="single"/>
        </w:rPr>
      </w:pPr>
      <w:r>
        <w:rPr>
          <w:rFonts w:hint="eastAsia"/>
          <w:b/>
          <w:bCs/>
          <w:u w:val="single"/>
        </w:rPr>
        <w:t>B</w:t>
      </w:r>
      <w:r>
        <w:rPr>
          <w:rFonts w:hint="eastAsia"/>
          <w:b/>
          <w:bCs/>
          <w:u w:val="single"/>
        </w:rPr>
        <w:t>、敏感点</w:t>
      </w:r>
    </w:p>
    <w:p w14:paraId="476F7991" w14:textId="77777777" w:rsidR="003E78AB" w:rsidRDefault="00010BF9">
      <w:pPr>
        <w:ind w:firstLine="482"/>
        <w:rPr>
          <w:b/>
          <w:bCs/>
          <w:u w:val="single"/>
        </w:rPr>
      </w:pPr>
      <w:r>
        <w:rPr>
          <w:rFonts w:hint="eastAsia"/>
          <w:b/>
          <w:bCs/>
          <w:u w:val="single"/>
        </w:rPr>
        <w:t>本项目大气环境影响评价范围内无环境敏感目标分布，距厂区东侧</w:t>
      </w:r>
      <w:r>
        <w:rPr>
          <w:rFonts w:hint="eastAsia"/>
          <w:b/>
          <w:bCs/>
          <w:u w:val="single"/>
        </w:rPr>
        <w:t>3.2km</w:t>
      </w:r>
      <w:r>
        <w:rPr>
          <w:rFonts w:hint="eastAsia"/>
          <w:b/>
          <w:bCs/>
          <w:u w:val="single"/>
        </w:rPr>
        <w:t>处为集中居民区安居富民小区，故本次项目选择安居富民小区、厂区上风向及厂区下风向作为关心点进行预测评价，具体坐标见</w:t>
      </w:r>
      <w:r>
        <w:rPr>
          <w:rFonts w:hint="eastAsia"/>
          <w:b/>
          <w:bCs/>
          <w:u w:val="single"/>
        </w:rPr>
        <w:fldChar w:fldCharType="begin"/>
      </w:r>
      <w:r>
        <w:rPr>
          <w:rFonts w:hint="eastAsia"/>
          <w:b/>
          <w:bCs/>
          <w:u w:val="single"/>
        </w:rPr>
        <w:instrText xml:space="preserve"> REF _Ref21265 \r \h </w:instrText>
      </w:r>
      <w:r>
        <w:rPr>
          <w:rFonts w:hint="eastAsia"/>
          <w:b/>
          <w:bCs/>
          <w:u w:val="single"/>
        </w:rPr>
      </w:r>
      <w:r>
        <w:rPr>
          <w:rFonts w:hint="eastAsia"/>
          <w:b/>
          <w:bCs/>
          <w:u w:val="single"/>
        </w:rPr>
        <w:fldChar w:fldCharType="separate"/>
      </w:r>
      <w:r>
        <w:rPr>
          <w:rFonts w:hint="eastAsia"/>
          <w:b/>
          <w:bCs/>
          <w:u w:val="single"/>
        </w:rPr>
        <w:t>表</w:t>
      </w:r>
      <w:r>
        <w:rPr>
          <w:rFonts w:hint="eastAsia"/>
          <w:b/>
          <w:bCs/>
          <w:u w:val="single"/>
        </w:rPr>
        <w:t>5-16</w:t>
      </w:r>
      <w:r>
        <w:rPr>
          <w:rFonts w:hint="eastAsia"/>
          <w:b/>
          <w:bCs/>
          <w:u w:val="single"/>
        </w:rPr>
        <w:fldChar w:fldCharType="end"/>
      </w:r>
      <w:r>
        <w:rPr>
          <w:rFonts w:hint="eastAsia"/>
          <w:b/>
          <w:bCs/>
          <w:u w:val="single"/>
        </w:rPr>
        <w:t>。</w:t>
      </w:r>
    </w:p>
    <w:p w14:paraId="1A977789" w14:textId="77777777" w:rsidR="003E78AB" w:rsidRDefault="00010BF9">
      <w:pPr>
        <w:pStyle w:val="a4"/>
        <w:spacing w:before="120"/>
        <w:rPr>
          <w:b/>
          <w:bCs/>
          <w:u w:val="single"/>
        </w:rPr>
      </w:pPr>
      <w:bookmarkStart w:id="371" w:name="_Ref21265"/>
      <w:r>
        <w:rPr>
          <w:rFonts w:hint="eastAsia"/>
          <w:b/>
          <w:bCs/>
          <w:u w:val="single"/>
        </w:rPr>
        <w:t>大气环境影响预测敏感点</w:t>
      </w:r>
      <w:bookmarkEnd w:id="371"/>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4"/>
        <w:gridCol w:w="1872"/>
        <w:gridCol w:w="1145"/>
        <w:gridCol w:w="1288"/>
        <w:gridCol w:w="1719"/>
        <w:gridCol w:w="1538"/>
      </w:tblGrid>
      <w:tr w:rsidR="003E78AB" w14:paraId="227A9112" w14:textId="77777777">
        <w:trPr>
          <w:trHeight w:val="340"/>
          <w:jc w:val="center"/>
        </w:trPr>
        <w:tc>
          <w:tcPr>
            <w:tcW w:w="561" w:type="pct"/>
            <w:vMerge w:val="restart"/>
            <w:tcBorders>
              <w:top w:val="single" w:sz="4" w:space="0" w:color="auto"/>
              <w:left w:val="single" w:sz="4" w:space="0" w:color="auto"/>
            </w:tcBorders>
            <w:vAlign w:val="center"/>
          </w:tcPr>
          <w:p w14:paraId="3FD17DAA" w14:textId="77777777" w:rsidR="003E78AB" w:rsidRDefault="00010BF9">
            <w:pPr>
              <w:pStyle w:val="aff6"/>
              <w:topLinePunct/>
              <w:rPr>
                <w:b/>
                <w:bCs/>
                <w:u w:val="single"/>
              </w:rPr>
            </w:pPr>
            <w:r>
              <w:rPr>
                <w:rFonts w:hint="eastAsia"/>
                <w:b/>
                <w:bCs/>
                <w:u w:val="single"/>
              </w:rPr>
              <w:t>序号</w:t>
            </w:r>
          </w:p>
        </w:tc>
        <w:tc>
          <w:tcPr>
            <w:tcW w:w="1098" w:type="pct"/>
            <w:vMerge w:val="restart"/>
            <w:tcBorders>
              <w:top w:val="single" w:sz="4" w:space="0" w:color="auto"/>
            </w:tcBorders>
            <w:vAlign w:val="center"/>
          </w:tcPr>
          <w:p w14:paraId="62CEB3C1" w14:textId="77777777" w:rsidR="003E78AB" w:rsidRDefault="00010BF9">
            <w:pPr>
              <w:pStyle w:val="aff6"/>
              <w:topLinePunct/>
              <w:rPr>
                <w:b/>
                <w:bCs/>
                <w:u w:val="single"/>
              </w:rPr>
            </w:pPr>
            <w:r>
              <w:rPr>
                <w:rFonts w:hint="eastAsia"/>
                <w:b/>
                <w:bCs/>
                <w:u w:val="single"/>
              </w:rPr>
              <w:t>关心点名称</w:t>
            </w:r>
          </w:p>
        </w:tc>
        <w:tc>
          <w:tcPr>
            <w:tcW w:w="672" w:type="pct"/>
            <w:vMerge w:val="restart"/>
            <w:tcBorders>
              <w:top w:val="single" w:sz="4" w:space="0" w:color="auto"/>
            </w:tcBorders>
            <w:vAlign w:val="center"/>
          </w:tcPr>
          <w:p w14:paraId="2ED2DA84" w14:textId="77777777" w:rsidR="003E78AB" w:rsidRDefault="00010BF9">
            <w:pPr>
              <w:pStyle w:val="aff6"/>
              <w:topLinePunct/>
              <w:rPr>
                <w:b/>
                <w:bCs/>
                <w:u w:val="single"/>
              </w:rPr>
            </w:pPr>
            <w:r>
              <w:rPr>
                <w:rFonts w:hint="eastAsia"/>
                <w:b/>
                <w:bCs/>
                <w:u w:val="single"/>
              </w:rPr>
              <w:t>方位</w:t>
            </w:r>
          </w:p>
        </w:tc>
        <w:tc>
          <w:tcPr>
            <w:tcW w:w="756" w:type="pct"/>
            <w:vMerge w:val="restart"/>
            <w:tcBorders>
              <w:top w:val="single" w:sz="4" w:space="0" w:color="auto"/>
            </w:tcBorders>
            <w:vAlign w:val="center"/>
          </w:tcPr>
          <w:p w14:paraId="6A15C6E7" w14:textId="77777777" w:rsidR="003E78AB" w:rsidRDefault="00010BF9">
            <w:pPr>
              <w:pStyle w:val="aff6"/>
              <w:topLinePunct/>
              <w:rPr>
                <w:b/>
                <w:bCs/>
                <w:u w:val="single"/>
              </w:rPr>
            </w:pPr>
            <w:r>
              <w:rPr>
                <w:rFonts w:hint="eastAsia"/>
                <w:b/>
                <w:bCs/>
                <w:u w:val="single"/>
              </w:rPr>
              <w:t>高程</w:t>
            </w:r>
            <w:r>
              <w:rPr>
                <w:rFonts w:hint="eastAsia"/>
                <w:b/>
                <w:bCs/>
                <w:u w:val="single"/>
              </w:rPr>
              <w:t>m</w:t>
            </w:r>
          </w:p>
        </w:tc>
        <w:tc>
          <w:tcPr>
            <w:tcW w:w="1910" w:type="pct"/>
            <w:gridSpan w:val="2"/>
            <w:tcBorders>
              <w:top w:val="single" w:sz="4" w:space="0" w:color="auto"/>
              <w:right w:val="single" w:sz="4" w:space="0" w:color="auto"/>
            </w:tcBorders>
            <w:vAlign w:val="center"/>
          </w:tcPr>
          <w:p w14:paraId="607C7AA9" w14:textId="77777777" w:rsidR="003E78AB" w:rsidRDefault="00010BF9">
            <w:pPr>
              <w:pStyle w:val="aff6"/>
              <w:topLinePunct/>
              <w:rPr>
                <w:b/>
                <w:bCs/>
                <w:u w:val="single"/>
              </w:rPr>
            </w:pPr>
            <w:r>
              <w:rPr>
                <w:rFonts w:hint="eastAsia"/>
                <w:b/>
                <w:bCs/>
                <w:u w:val="single"/>
              </w:rPr>
              <w:t>坐标</w:t>
            </w:r>
          </w:p>
        </w:tc>
      </w:tr>
      <w:tr w:rsidR="003E78AB" w14:paraId="72B1EF52" w14:textId="77777777">
        <w:trPr>
          <w:trHeight w:val="340"/>
          <w:jc w:val="center"/>
        </w:trPr>
        <w:tc>
          <w:tcPr>
            <w:tcW w:w="0" w:type="auto"/>
            <w:vMerge/>
            <w:tcBorders>
              <w:left w:val="single" w:sz="4" w:space="0" w:color="auto"/>
            </w:tcBorders>
            <w:vAlign w:val="center"/>
          </w:tcPr>
          <w:p w14:paraId="531C13B0" w14:textId="77777777" w:rsidR="003E78AB" w:rsidRDefault="003E78AB">
            <w:pPr>
              <w:pStyle w:val="aff6"/>
              <w:topLinePunct/>
              <w:rPr>
                <w:b/>
                <w:bCs/>
                <w:u w:val="single"/>
              </w:rPr>
            </w:pPr>
          </w:p>
        </w:tc>
        <w:tc>
          <w:tcPr>
            <w:tcW w:w="1098" w:type="pct"/>
            <w:vMerge/>
            <w:vAlign w:val="center"/>
          </w:tcPr>
          <w:p w14:paraId="772C30F5" w14:textId="77777777" w:rsidR="003E78AB" w:rsidRDefault="003E78AB">
            <w:pPr>
              <w:pStyle w:val="aff6"/>
              <w:topLinePunct/>
              <w:rPr>
                <w:b/>
                <w:bCs/>
                <w:u w:val="single"/>
              </w:rPr>
            </w:pPr>
          </w:p>
        </w:tc>
        <w:tc>
          <w:tcPr>
            <w:tcW w:w="672" w:type="pct"/>
            <w:vMerge/>
            <w:vAlign w:val="center"/>
          </w:tcPr>
          <w:p w14:paraId="755F2807" w14:textId="77777777" w:rsidR="003E78AB" w:rsidRDefault="003E78AB">
            <w:pPr>
              <w:pStyle w:val="aff6"/>
              <w:topLinePunct/>
              <w:rPr>
                <w:b/>
                <w:bCs/>
                <w:u w:val="single"/>
              </w:rPr>
            </w:pPr>
          </w:p>
        </w:tc>
        <w:tc>
          <w:tcPr>
            <w:tcW w:w="756" w:type="pct"/>
            <w:vMerge/>
            <w:vAlign w:val="center"/>
          </w:tcPr>
          <w:p w14:paraId="5E8F8CA7" w14:textId="77777777" w:rsidR="003E78AB" w:rsidRDefault="003E78AB">
            <w:pPr>
              <w:pStyle w:val="aff6"/>
              <w:topLinePunct/>
              <w:rPr>
                <w:b/>
                <w:bCs/>
                <w:u w:val="single"/>
              </w:rPr>
            </w:pPr>
          </w:p>
        </w:tc>
        <w:tc>
          <w:tcPr>
            <w:tcW w:w="1008" w:type="pct"/>
            <w:vAlign w:val="center"/>
          </w:tcPr>
          <w:p w14:paraId="4413C31A" w14:textId="77777777" w:rsidR="003E78AB" w:rsidRDefault="00010BF9">
            <w:pPr>
              <w:pStyle w:val="aff6"/>
              <w:topLinePunct/>
              <w:rPr>
                <w:b/>
                <w:bCs/>
                <w:u w:val="single"/>
              </w:rPr>
            </w:pPr>
            <w:r>
              <w:rPr>
                <w:rFonts w:hint="eastAsia"/>
                <w:b/>
                <w:bCs/>
                <w:u w:val="single"/>
              </w:rPr>
              <w:t>X</w:t>
            </w:r>
          </w:p>
        </w:tc>
        <w:tc>
          <w:tcPr>
            <w:tcW w:w="902" w:type="pct"/>
            <w:tcBorders>
              <w:right w:val="single" w:sz="4" w:space="0" w:color="auto"/>
            </w:tcBorders>
            <w:vAlign w:val="center"/>
          </w:tcPr>
          <w:p w14:paraId="45308D85" w14:textId="77777777" w:rsidR="003E78AB" w:rsidRDefault="00010BF9">
            <w:pPr>
              <w:pStyle w:val="aff6"/>
              <w:topLinePunct/>
              <w:rPr>
                <w:b/>
                <w:bCs/>
                <w:u w:val="single"/>
              </w:rPr>
            </w:pPr>
            <w:r>
              <w:rPr>
                <w:rFonts w:hint="eastAsia"/>
                <w:b/>
                <w:bCs/>
                <w:u w:val="single"/>
              </w:rPr>
              <w:t>Y</w:t>
            </w:r>
          </w:p>
        </w:tc>
      </w:tr>
      <w:tr w:rsidR="003E78AB" w14:paraId="6AEB7A64" w14:textId="77777777">
        <w:trPr>
          <w:trHeight w:val="340"/>
          <w:jc w:val="center"/>
        </w:trPr>
        <w:tc>
          <w:tcPr>
            <w:tcW w:w="561" w:type="pct"/>
            <w:tcBorders>
              <w:left w:val="single" w:sz="4" w:space="0" w:color="auto"/>
            </w:tcBorders>
            <w:vAlign w:val="center"/>
          </w:tcPr>
          <w:p w14:paraId="2F370BFC" w14:textId="77777777" w:rsidR="003E78AB" w:rsidRDefault="00010BF9">
            <w:pPr>
              <w:pStyle w:val="aff6"/>
              <w:topLinePunct/>
              <w:rPr>
                <w:b/>
                <w:bCs/>
                <w:u w:val="single"/>
              </w:rPr>
            </w:pPr>
            <w:r>
              <w:rPr>
                <w:rFonts w:hint="eastAsia"/>
                <w:b/>
                <w:bCs/>
                <w:u w:val="single"/>
              </w:rPr>
              <w:t>1</w:t>
            </w:r>
          </w:p>
        </w:tc>
        <w:tc>
          <w:tcPr>
            <w:tcW w:w="1098" w:type="pct"/>
            <w:vAlign w:val="center"/>
          </w:tcPr>
          <w:p w14:paraId="6DD38B4D" w14:textId="77777777" w:rsidR="003E78AB" w:rsidRDefault="00010BF9">
            <w:pPr>
              <w:pStyle w:val="aff6"/>
              <w:topLinePunct/>
              <w:rPr>
                <w:b/>
                <w:bCs/>
                <w:u w:val="single"/>
              </w:rPr>
            </w:pPr>
            <w:r>
              <w:rPr>
                <w:rFonts w:hint="eastAsia"/>
                <w:b/>
                <w:bCs/>
                <w:u w:val="single"/>
              </w:rPr>
              <w:t>安居富民小区</w:t>
            </w:r>
          </w:p>
        </w:tc>
        <w:tc>
          <w:tcPr>
            <w:tcW w:w="672" w:type="pct"/>
            <w:vAlign w:val="center"/>
          </w:tcPr>
          <w:p w14:paraId="6793F11F" w14:textId="77777777" w:rsidR="003E78AB" w:rsidRDefault="00010BF9">
            <w:pPr>
              <w:pStyle w:val="aff6"/>
              <w:topLinePunct/>
              <w:rPr>
                <w:b/>
                <w:bCs/>
                <w:u w:val="single"/>
              </w:rPr>
            </w:pPr>
            <w:r>
              <w:rPr>
                <w:rFonts w:hint="eastAsia"/>
                <w:b/>
                <w:bCs/>
                <w:u w:val="single"/>
              </w:rPr>
              <w:t>E</w:t>
            </w:r>
          </w:p>
        </w:tc>
        <w:tc>
          <w:tcPr>
            <w:tcW w:w="756" w:type="pct"/>
            <w:vAlign w:val="center"/>
          </w:tcPr>
          <w:p w14:paraId="31961EAF" w14:textId="77777777" w:rsidR="003E78AB" w:rsidRDefault="00010BF9">
            <w:pPr>
              <w:pStyle w:val="aff6"/>
              <w:topLinePunct/>
              <w:rPr>
                <w:b/>
                <w:bCs/>
                <w:u w:val="single"/>
              </w:rPr>
            </w:pPr>
            <w:r>
              <w:rPr>
                <w:rFonts w:hint="eastAsia"/>
                <w:b/>
                <w:bCs/>
                <w:u w:val="single"/>
              </w:rPr>
              <w:t>650.95</w:t>
            </w:r>
          </w:p>
        </w:tc>
        <w:tc>
          <w:tcPr>
            <w:tcW w:w="1008" w:type="pct"/>
            <w:vAlign w:val="center"/>
          </w:tcPr>
          <w:p w14:paraId="6723F30B" w14:textId="77777777" w:rsidR="003E78AB" w:rsidRDefault="00010BF9">
            <w:pPr>
              <w:pStyle w:val="aff6"/>
              <w:topLinePunct/>
              <w:rPr>
                <w:b/>
                <w:bCs/>
                <w:u w:val="single"/>
              </w:rPr>
            </w:pPr>
            <w:r>
              <w:rPr>
                <w:rFonts w:hint="eastAsia"/>
                <w:b/>
                <w:bCs/>
                <w:u w:val="single"/>
              </w:rPr>
              <w:t>3567</w:t>
            </w:r>
          </w:p>
        </w:tc>
        <w:tc>
          <w:tcPr>
            <w:tcW w:w="902" w:type="pct"/>
            <w:tcBorders>
              <w:right w:val="single" w:sz="4" w:space="0" w:color="auto"/>
            </w:tcBorders>
            <w:vAlign w:val="center"/>
          </w:tcPr>
          <w:p w14:paraId="692FD42C" w14:textId="77777777" w:rsidR="003E78AB" w:rsidRDefault="00010BF9">
            <w:pPr>
              <w:pStyle w:val="aff6"/>
              <w:topLinePunct/>
              <w:rPr>
                <w:b/>
                <w:bCs/>
                <w:u w:val="single"/>
              </w:rPr>
            </w:pPr>
            <w:r>
              <w:rPr>
                <w:rFonts w:hint="eastAsia"/>
                <w:b/>
                <w:bCs/>
                <w:u w:val="single"/>
              </w:rPr>
              <w:t>-150</w:t>
            </w:r>
          </w:p>
        </w:tc>
      </w:tr>
      <w:tr w:rsidR="003E78AB" w14:paraId="2ED80C56" w14:textId="77777777">
        <w:trPr>
          <w:trHeight w:val="340"/>
          <w:jc w:val="center"/>
        </w:trPr>
        <w:tc>
          <w:tcPr>
            <w:tcW w:w="561" w:type="pct"/>
            <w:tcBorders>
              <w:left w:val="single" w:sz="4" w:space="0" w:color="auto"/>
            </w:tcBorders>
            <w:vAlign w:val="center"/>
          </w:tcPr>
          <w:p w14:paraId="66C3496F" w14:textId="77777777" w:rsidR="003E78AB" w:rsidRDefault="00010BF9">
            <w:pPr>
              <w:pStyle w:val="aff6"/>
              <w:topLinePunct/>
              <w:rPr>
                <w:b/>
                <w:bCs/>
                <w:u w:val="single"/>
              </w:rPr>
            </w:pPr>
            <w:r>
              <w:rPr>
                <w:rFonts w:hint="eastAsia"/>
                <w:b/>
                <w:bCs/>
                <w:u w:val="single"/>
              </w:rPr>
              <w:t>2</w:t>
            </w:r>
          </w:p>
        </w:tc>
        <w:tc>
          <w:tcPr>
            <w:tcW w:w="1098" w:type="pct"/>
            <w:vAlign w:val="center"/>
          </w:tcPr>
          <w:p w14:paraId="6CE511F2" w14:textId="77777777" w:rsidR="003E78AB" w:rsidRDefault="00010BF9">
            <w:pPr>
              <w:pStyle w:val="aff6"/>
              <w:topLinePunct/>
              <w:rPr>
                <w:b/>
                <w:bCs/>
                <w:u w:val="single"/>
              </w:rPr>
            </w:pPr>
            <w:r>
              <w:rPr>
                <w:rFonts w:hint="eastAsia"/>
                <w:b/>
                <w:bCs/>
                <w:u w:val="single"/>
              </w:rPr>
              <w:t>厂区上风向</w:t>
            </w:r>
          </w:p>
        </w:tc>
        <w:tc>
          <w:tcPr>
            <w:tcW w:w="672" w:type="pct"/>
            <w:vAlign w:val="center"/>
          </w:tcPr>
          <w:p w14:paraId="2AEE5CF6" w14:textId="77777777" w:rsidR="003E78AB" w:rsidRDefault="00010BF9">
            <w:pPr>
              <w:pStyle w:val="aff6"/>
              <w:topLinePunct/>
              <w:rPr>
                <w:b/>
                <w:bCs/>
                <w:u w:val="single"/>
              </w:rPr>
            </w:pPr>
            <w:r>
              <w:rPr>
                <w:rFonts w:hint="eastAsia"/>
                <w:b/>
                <w:bCs/>
                <w:u w:val="single"/>
              </w:rPr>
              <w:t>NE</w:t>
            </w:r>
          </w:p>
        </w:tc>
        <w:tc>
          <w:tcPr>
            <w:tcW w:w="756" w:type="pct"/>
            <w:vAlign w:val="center"/>
          </w:tcPr>
          <w:p w14:paraId="15712083" w14:textId="77777777" w:rsidR="003E78AB" w:rsidRDefault="00010BF9">
            <w:pPr>
              <w:pStyle w:val="aff6"/>
              <w:topLinePunct/>
              <w:rPr>
                <w:b/>
                <w:bCs/>
                <w:u w:val="single"/>
              </w:rPr>
            </w:pPr>
            <w:r>
              <w:rPr>
                <w:rFonts w:hint="eastAsia"/>
                <w:b/>
                <w:bCs/>
                <w:u w:val="single"/>
              </w:rPr>
              <w:t>675.25</w:t>
            </w:r>
          </w:p>
        </w:tc>
        <w:tc>
          <w:tcPr>
            <w:tcW w:w="1008" w:type="pct"/>
            <w:vAlign w:val="center"/>
          </w:tcPr>
          <w:p w14:paraId="2FF8FE95" w14:textId="77777777" w:rsidR="003E78AB" w:rsidRDefault="00010BF9">
            <w:pPr>
              <w:pStyle w:val="aff6"/>
              <w:topLinePunct/>
              <w:rPr>
                <w:b/>
                <w:bCs/>
                <w:u w:val="single"/>
              </w:rPr>
            </w:pPr>
            <w:r>
              <w:rPr>
                <w:rFonts w:hint="eastAsia"/>
                <w:b/>
                <w:bCs/>
                <w:u w:val="single"/>
              </w:rPr>
              <w:t>380</w:t>
            </w:r>
          </w:p>
        </w:tc>
        <w:tc>
          <w:tcPr>
            <w:tcW w:w="902" w:type="pct"/>
            <w:tcBorders>
              <w:right w:val="single" w:sz="4" w:space="0" w:color="auto"/>
            </w:tcBorders>
            <w:vAlign w:val="center"/>
          </w:tcPr>
          <w:p w14:paraId="7E4B6E6B" w14:textId="77777777" w:rsidR="003E78AB" w:rsidRDefault="00010BF9">
            <w:pPr>
              <w:pStyle w:val="aff6"/>
              <w:topLinePunct/>
              <w:rPr>
                <w:b/>
                <w:bCs/>
                <w:u w:val="single"/>
              </w:rPr>
            </w:pPr>
            <w:r>
              <w:rPr>
                <w:rFonts w:hint="eastAsia"/>
                <w:b/>
                <w:bCs/>
                <w:u w:val="single"/>
              </w:rPr>
              <w:t>350</w:t>
            </w:r>
          </w:p>
        </w:tc>
      </w:tr>
      <w:tr w:rsidR="003E78AB" w14:paraId="3BCACFA0" w14:textId="77777777">
        <w:trPr>
          <w:trHeight w:val="340"/>
          <w:jc w:val="center"/>
        </w:trPr>
        <w:tc>
          <w:tcPr>
            <w:tcW w:w="561" w:type="pct"/>
            <w:tcBorders>
              <w:left w:val="single" w:sz="4" w:space="0" w:color="auto"/>
              <w:bottom w:val="single" w:sz="4" w:space="0" w:color="auto"/>
            </w:tcBorders>
            <w:vAlign w:val="center"/>
          </w:tcPr>
          <w:p w14:paraId="315E16AF" w14:textId="77777777" w:rsidR="003E78AB" w:rsidRDefault="00010BF9">
            <w:pPr>
              <w:pStyle w:val="aff6"/>
              <w:topLinePunct/>
              <w:rPr>
                <w:b/>
                <w:bCs/>
                <w:u w:val="single"/>
              </w:rPr>
            </w:pPr>
            <w:r>
              <w:rPr>
                <w:rFonts w:hint="eastAsia"/>
                <w:b/>
                <w:bCs/>
                <w:u w:val="single"/>
              </w:rPr>
              <w:t>3</w:t>
            </w:r>
          </w:p>
        </w:tc>
        <w:tc>
          <w:tcPr>
            <w:tcW w:w="1098" w:type="pct"/>
            <w:tcBorders>
              <w:bottom w:val="single" w:sz="4" w:space="0" w:color="auto"/>
            </w:tcBorders>
            <w:vAlign w:val="center"/>
          </w:tcPr>
          <w:p w14:paraId="01991071" w14:textId="77777777" w:rsidR="003E78AB" w:rsidRDefault="00010BF9">
            <w:pPr>
              <w:pStyle w:val="aff6"/>
              <w:topLinePunct/>
              <w:rPr>
                <w:b/>
                <w:bCs/>
                <w:u w:val="single"/>
              </w:rPr>
            </w:pPr>
            <w:r>
              <w:rPr>
                <w:rFonts w:hint="eastAsia"/>
                <w:b/>
                <w:bCs/>
                <w:u w:val="single"/>
              </w:rPr>
              <w:t>厂区下风向</w:t>
            </w:r>
          </w:p>
        </w:tc>
        <w:tc>
          <w:tcPr>
            <w:tcW w:w="672" w:type="pct"/>
            <w:tcBorders>
              <w:bottom w:val="single" w:sz="4" w:space="0" w:color="auto"/>
            </w:tcBorders>
            <w:vAlign w:val="center"/>
          </w:tcPr>
          <w:p w14:paraId="681882DC" w14:textId="77777777" w:rsidR="003E78AB" w:rsidRDefault="00010BF9">
            <w:pPr>
              <w:pStyle w:val="aff6"/>
              <w:topLinePunct/>
              <w:rPr>
                <w:b/>
                <w:bCs/>
                <w:u w:val="single"/>
              </w:rPr>
            </w:pPr>
            <w:r>
              <w:rPr>
                <w:rFonts w:hint="eastAsia"/>
                <w:b/>
                <w:bCs/>
                <w:u w:val="single"/>
              </w:rPr>
              <w:t>SW</w:t>
            </w:r>
          </w:p>
        </w:tc>
        <w:tc>
          <w:tcPr>
            <w:tcW w:w="756" w:type="pct"/>
            <w:tcBorders>
              <w:bottom w:val="single" w:sz="4" w:space="0" w:color="auto"/>
            </w:tcBorders>
            <w:vAlign w:val="center"/>
          </w:tcPr>
          <w:p w14:paraId="0F611A87" w14:textId="77777777" w:rsidR="003E78AB" w:rsidRDefault="00010BF9">
            <w:pPr>
              <w:pStyle w:val="aff6"/>
              <w:topLinePunct/>
              <w:rPr>
                <w:b/>
                <w:bCs/>
                <w:u w:val="single"/>
              </w:rPr>
            </w:pPr>
            <w:r>
              <w:rPr>
                <w:rFonts w:hint="eastAsia"/>
                <w:b/>
                <w:bCs/>
                <w:u w:val="single"/>
              </w:rPr>
              <w:t>670.87</w:t>
            </w:r>
          </w:p>
        </w:tc>
        <w:tc>
          <w:tcPr>
            <w:tcW w:w="1008" w:type="pct"/>
            <w:tcBorders>
              <w:bottom w:val="single" w:sz="4" w:space="0" w:color="auto"/>
            </w:tcBorders>
            <w:vAlign w:val="center"/>
          </w:tcPr>
          <w:p w14:paraId="1B435B80" w14:textId="77777777" w:rsidR="003E78AB" w:rsidRDefault="00010BF9">
            <w:pPr>
              <w:pStyle w:val="aff6"/>
              <w:topLinePunct/>
              <w:rPr>
                <w:b/>
                <w:bCs/>
                <w:u w:val="single"/>
              </w:rPr>
            </w:pPr>
            <w:r>
              <w:rPr>
                <w:rFonts w:hint="eastAsia"/>
                <w:b/>
                <w:bCs/>
                <w:u w:val="single"/>
              </w:rPr>
              <w:t>-586</w:t>
            </w:r>
          </w:p>
        </w:tc>
        <w:tc>
          <w:tcPr>
            <w:tcW w:w="902" w:type="pct"/>
            <w:tcBorders>
              <w:bottom w:val="single" w:sz="4" w:space="0" w:color="auto"/>
              <w:right w:val="single" w:sz="4" w:space="0" w:color="auto"/>
            </w:tcBorders>
            <w:vAlign w:val="center"/>
          </w:tcPr>
          <w:p w14:paraId="021A08A8" w14:textId="77777777" w:rsidR="003E78AB" w:rsidRDefault="00010BF9">
            <w:pPr>
              <w:pStyle w:val="aff6"/>
              <w:topLinePunct/>
              <w:rPr>
                <w:b/>
                <w:bCs/>
                <w:u w:val="single"/>
              </w:rPr>
            </w:pPr>
            <w:r>
              <w:rPr>
                <w:rFonts w:hint="eastAsia"/>
                <w:b/>
                <w:bCs/>
                <w:u w:val="single"/>
              </w:rPr>
              <w:t>-404</w:t>
            </w:r>
          </w:p>
        </w:tc>
      </w:tr>
    </w:tbl>
    <w:p w14:paraId="6E8C089D" w14:textId="77777777" w:rsidR="003E78AB" w:rsidRDefault="00010BF9">
      <w:pPr>
        <w:pStyle w:val="5"/>
        <w:keepNext w:val="0"/>
        <w:keepLines w:val="0"/>
        <w:ind w:firstLine="482"/>
        <w:rPr>
          <w:bCs/>
          <w:sz w:val="24"/>
          <w:u w:val="single"/>
        </w:rPr>
      </w:pPr>
      <w:r>
        <w:rPr>
          <w:rFonts w:hint="eastAsia"/>
          <w:bCs/>
          <w:sz w:val="24"/>
          <w:u w:val="single"/>
        </w:rPr>
        <w:t>2.</w:t>
      </w:r>
      <w:r>
        <w:rPr>
          <w:bCs/>
          <w:sz w:val="24"/>
          <w:u w:val="single"/>
        </w:rPr>
        <w:t>污染源参数的选择</w:t>
      </w:r>
    </w:p>
    <w:p w14:paraId="0D335790" w14:textId="77777777" w:rsidR="003E78AB" w:rsidRDefault="00010BF9">
      <w:pPr>
        <w:pStyle w:val="affe"/>
        <w:spacing w:line="460" w:lineRule="exact"/>
        <w:ind w:firstLine="482"/>
        <w:rPr>
          <w:rFonts w:ascii="Times New Roman" w:eastAsia="宋体" w:hAnsi="Times New Roman" w:cs="Times New Roman"/>
          <w:b/>
          <w:bCs/>
          <w:kern w:val="28"/>
          <w:u w:val="single"/>
        </w:rPr>
      </w:pPr>
      <w:r>
        <w:rPr>
          <w:rFonts w:ascii="Times New Roman" w:eastAsia="宋体" w:hAnsi="Times New Roman" w:cs="Times New Roman" w:hint="eastAsia"/>
          <w:b/>
          <w:bCs/>
          <w:kern w:val="28"/>
          <w:u w:val="single"/>
        </w:rPr>
        <w:t>（</w:t>
      </w:r>
      <w:r>
        <w:rPr>
          <w:rFonts w:ascii="Times New Roman" w:eastAsia="宋体" w:hAnsi="Times New Roman" w:cs="Times New Roman" w:hint="eastAsia"/>
          <w:b/>
          <w:bCs/>
          <w:kern w:val="28"/>
          <w:u w:val="single"/>
        </w:rPr>
        <w:t>1</w:t>
      </w:r>
      <w:r>
        <w:rPr>
          <w:rFonts w:ascii="Times New Roman" w:eastAsia="宋体" w:hAnsi="Times New Roman" w:cs="Times New Roman" w:hint="eastAsia"/>
          <w:b/>
          <w:bCs/>
          <w:kern w:val="28"/>
          <w:u w:val="single"/>
        </w:rPr>
        <w:t>）本项目污染物排放源强</w:t>
      </w:r>
    </w:p>
    <w:p w14:paraId="05B2F1C7" w14:textId="77777777" w:rsidR="003E78AB" w:rsidRDefault="00010BF9">
      <w:pPr>
        <w:ind w:firstLine="482"/>
        <w:rPr>
          <w:b/>
          <w:bCs/>
          <w:u w:val="single"/>
        </w:rPr>
      </w:pPr>
      <w:r>
        <w:rPr>
          <w:b/>
          <w:bCs/>
          <w:u w:val="single"/>
        </w:rPr>
        <w:t>本项目正常运营时，大气预测所选用废气排放参数均来自于工程分析，全厂正常工况下废气排放源主要参数见</w:t>
      </w:r>
      <w:r>
        <w:rPr>
          <w:b/>
          <w:bCs/>
          <w:u w:val="single"/>
        </w:rPr>
        <w:fldChar w:fldCharType="begin"/>
      </w:r>
      <w:r>
        <w:rPr>
          <w:b/>
          <w:bCs/>
          <w:u w:val="single"/>
        </w:rPr>
        <w:instrText xml:space="preserve"> REF _Ref2855 \r \h </w:instrText>
      </w:r>
      <w:r>
        <w:rPr>
          <w:b/>
          <w:bCs/>
          <w:u w:val="single"/>
        </w:rPr>
      </w:r>
      <w:r>
        <w:rPr>
          <w:b/>
          <w:bCs/>
          <w:u w:val="single"/>
        </w:rPr>
        <w:fldChar w:fldCharType="separate"/>
      </w:r>
      <w:r>
        <w:rPr>
          <w:b/>
          <w:bCs/>
          <w:u w:val="single"/>
        </w:rPr>
        <w:t>表</w:t>
      </w:r>
      <w:r>
        <w:rPr>
          <w:b/>
          <w:bCs/>
          <w:u w:val="single"/>
        </w:rPr>
        <w:t>5-12</w:t>
      </w:r>
      <w:r>
        <w:rPr>
          <w:b/>
          <w:bCs/>
          <w:u w:val="single"/>
        </w:rPr>
        <w:fldChar w:fldCharType="end"/>
      </w:r>
      <w:r>
        <w:rPr>
          <w:b/>
          <w:bCs/>
          <w:u w:val="single"/>
        </w:rPr>
        <w:t>~</w:t>
      </w:r>
      <w:r>
        <w:rPr>
          <w:b/>
          <w:bCs/>
          <w:u w:val="single"/>
        </w:rPr>
        <w:fldChar w:fldCharType="begin"/>
      </w:r>
      <w:r>
        <w:rPr>
          <w:b/>
          <w:bCs/>
          <w:u w:val="single"/>
        </w:rPr>
        <w:instrText xml:space="preserve"> REF _Ref2885 \r \h </w:instrText>
      </w:r>
      <w:r>
        <w:rPr>
          <w:b/>
          <w:bCs/>
          <w:u w:val="single"/>
        </w:rPr>
      </w:r>
      <w:r>
        <w:rPr>
          <w:b/>
          <w:bCs/>
          <w:u w:val="single"/>
        </w:rPr>
        <w:fldChar w:fldCharType="separate"/>
      </w:r>
      <w:r>
        <w:rPr>
          <w:b/>
          <w:bCs/>
          <w:u w:val="single"/>
        </w:rPr>
        <w:t>表</w:t>
      </w:r>
      <w:r>
        <w:rPr>
          <w:b/>
          <w:bCs/>
          <w:u w:val="single"/>
        </w:rPr>
        <w:t>5-13</w:t>
      </w:r>
      <w:r>
        <w:rPr>
          <w:b/>
          <w:bCs/>
          <w:u w:val="single"/>
        </w:rPr>
        <w:fldChar w:fldCharType="end"/>
      </w:r>
      <w:r>
        <w:rPr>
          <w:b/>
          <w:bCs/>
          <w:u w:val="single"/>
        </w:rPr>
        <w:t>。</w:t>
      </w:r>
    </w:p>
    <w:p w14:paraId="3CF21731" w14:textId="77777777" w:rsidR="003E78AB" w:rsidRDefault="00010BF9">
      <w:pPr>
        <w:ind w:firstLine="482"/>
        <w:rPr>
          <w:b/>
          <w:bCs/>
          <w:u w:val="single"/>
        </w:rPr>
      </w:pPr>
      <w:r>
        <w:rPr>
          <w:b/>
          <w:bCs/>
          <w:u w:val="single"/>
        </w:rPr>
        <w:t>（</w:t>
      </w:r>
      <w:r>
        <w:rPr>
          <w:b/>
          <w:bCs/>
          <w:u w:val="single"/>
        </w:rPr>
        <w:t>2</w:t>
      </w:r>
      <w:r>
        <w:rPr>
          <w:b/>
          <w:bCs/>
          <w:u w:val="single"/>
        </w:rPr>
        <w:t>）其他拟建在建污染源</w:t>
      </w:r>
    </w:p>
    <w:p w14:paraId="2E70799C" w14:textId="77777777" w:rsidR="003E78AB" w:rsidRDefault="00010BF9">
      <w:pPr>
        <w:ind w:firstLine="482"/>
        <w:rPr>
          <w:b/>
          <w:bCs/>
          <w:u w:val="single"/>
        </w:rPr>
      </w:pPr>
      <w:r>
        <w:rPr>
          <w:b/>
          <w:bCs/>
          <w:u w:val="single"/>
        </w:rPr>
        <w:t>根据调查，项目大气环境评价范围内与本项目排放污染物相关的在建、拟建项目主要包括清电硅材料有限公司年产</w:t>
      </w:r>
      <w:r>
        <w:rPr>
          <w:b/>
          <w:bCs/>
          <w:u w:val="single"/>
        </w:rPr>
        <w:t>20</w:t>
      </w:r>
      <w:r>
        <w:rPr>
          <w:b/>
          <w:bCs/>
          <w:u w:val="single"/>
        </w:rPr>
        <w:t>万吨高纯多晶硅一期</w:t>
      </w:r>
      <w:r>
        <w:rPr>
          <w:b/>
          <w:bCs/>
          <w:u w:val="single"/>
        </w:rPr>
        <w:t>5</w:t>
      </w:r>
      <w:r>
        <w:rPr>
          <w:b/>
          <w:bCs/>
          <w:u w:val="single"/>
        </w:rPr>
        <w:t>万吨项目（简称多晶硅项目）、清电硅业有限公司年产</w:t>
      </w:r>
      <w:r>
        <w:rPr>
          <w:b/>
          <w:bCs/>
          <w:u w:val="single"/>
        </w:rPr>
        <w:t>60GW</w:t>
      </w:r>
      <w:r>
        <w:rPr>
          <w:b/>
          <w:bCs/>
          <w:u w:val="single"/>
        </w:rPr>
        <w:t>单晶硅拉</w:t>
      </w:r>
      <w:r>
        <w:rPr>
          <w:b/>
          <w:bCs/>
          <w:u w:val="single"/>
        </w:rPr>
        <w:t>棒切片一期</w:t>
      </w:r>
      <w:r>
        <w:rPr>
          <w:b/>
          <w:bCs/>
          <w:u w:val="single"/>
        </w:rPr>
        <w:t>10GW</w:t>
      </w:r>
      <w:r>
        <w:rPr>
          <w:b/>
          <w:bCs/>
          <w:u w:val="single"/>
        </w:rPr>
        <w:t>项目（简称拉棒切片项目）。涉及污染物为有组织排放，具体点源污染源参数见表</w:t>
      </w:r>
      <w:r>
        <w:rPr>
          <w:b/>
          <w:bCs/>
          <w:u w:val="single"/>
        </w:rPr>
        <w:t>4.2-17</w:t>
      </w:r>
      <w:r>
        <w:rPr>
          <w:b/>
          <w:bCs/>
          <w:u w:val="single"/>
        </w:rPr>
        <w:t>。各污染源数据均来自项目已批复的环境影响报告书。</w:t>
      </w:r>
    </w:p>
    <w:p w14:paraId="01B4874E" w14:textId="77777777" w:rsidR="003E78AB" w:rsidRDefault="003E78AB">
      <w:pPr>
        <w:pStyle w:val="a4"/>
        <w:spacing w:before="120"/>
        <w:rPr>
          <w:b/>
          <w:bCs/>
          <w:u w:val="single"/>
        </w:rPr>
        <w:sectPr w:rsidR="003E78AB">
          <w:footerReference w:type="default" r:id="rId62"/>
          <w:pgSz w:w="11906" w:h="16839"/>
          <w:pgMar w:top="1440" w:right="1803" w:bottom="1440" w:left="1803" w:header="850" w:footer="992" w:gutter="0"/>
          <w:cols w:space="720"/>
        </w:sectPr>
      </w:pPr>
      <w:bookmarkStart w:id="372" w:name="_Ref2855"/>
    </w:p>
    <w:p w14:paraId="05B76CDE" w14:textId="77777777" w:rsidR="003E78AB" w:rsidRDefault="00010BF9">
      <w:pPr>
        <w:pStyle w:val="a4"/>
        <w:spacing w:before="120"/>
        <w:ind w:left="425" w:hanging="425"/>
        <w:rPr>
          <w:b/>
          <w:bCs/>
          <w:u w:val="single"/>
        </w:rPr>
      </w:pPr>
      <w:r>
        <w:rPr>
          <w:b/>
          <w:bCs/>
          <w:u w:val="single"/>
        </w:rPr>
        <w:t>有组织废气污染源排放参数</w:t>
      </w:r>
      <w:bookmarkEnd w:id="372"/>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8"/>
        <w:gridCol w:w="903"/>
        <w:gridCol w:w="950"/>
        <w:gridCol w:w="951"/>
        <w:gridCol w:w="976"/>
        <w:gridCol w:w="735"/>
        <w:gridCol w:w="909"/>
        <w:gridCol w:w="1004"/>
        <w:gridCol w:w="756"/>
        <w:gridCol w:w="961"/>
        <w:gridCol w:w="1115"/>
        <w:gridCol w:w="1017"/>
        <w:gridCol w:w="799"/>
        <w:gridCol w:w="1656"/>
        <w:gridCol w:w="1009"/>
      </w:tblGrid>
      <w:tr w:rsidR="003E78AB" w14:paraId="26615C9B" w14:textId="77777777">
        <w:trPr>
          <w:trHeight w:val="375"/>
          <w:tblHeader/>
        </w:trPr>
        <w:tc>
          <w:tcPr>
            <w:tcW w:w="95" w:type="pct"/>
            <w:vMerge w:val="restart"/>
            <w:tcMar>
              <w:top w:w="0" w:type="dxa"/>
              <w:left w:w="28" w:type="dxa"/>
              <w:bottom w:w="0" w:type="dxa"/>
              <w:right w:w="28" w:type="dxa"/>
            </w:tcMar>
            <w:vAlign w:val="center"/>
          </w:tcPr>
          <w:p w14:paraId="68D8369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编号</w:t>
            </w:r>
          </w:p>
        </w:tc>
        <w:tc>
          <w:tcPr>
            <w:tcW w:w="322" w:type="pct"/>
            <w:vMerge w:val="restart"/>
            <w:tcMar>
              <w:top w:w="0" w:type="dxa"/>
              <w:left w:w="28" w:type="dxa"/>
              <w:bottom w:w="0" w:type="dxa"/>
              <w:right w:w="28" w:type="dxa"/>
            </w:tcMar>
            <w:vAlign w:val="center"/>
          </w:tcPr>
          <w:p w14:paraId="49B3740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排气筒</w:t>
            </w:r>
          </w:p>
          <w:p w14:paraId="0476DCAE"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名称</w:t>
            </w:r>
          </w:p>
        </w:tc>
        <w:tc>
          <w:tcPr>
            <w:tcW w:w="677" w:type="pct"/>
            <w:gridSpan w:val="2"/>
            <w:tcMar>
              <w:top w:w="0" w:type="dxa"/>
              <w:left w:w="28" w:type="dxa"/>
              <w:bottom w:w="0" w:type="dxa"/>
              <w:right w:w="28" w:type="dxa"/>
            </w:tcMar>
            <w:vAlign w:val="center"/>
          </w:tcPr>
          <w:p w14:paraId="5EFCB22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排气筒中心坐标</w:t>
            </w:r>
            <w:r>
              <w:rPr>
                <w:b/>
                <w:bCs/>
                <w:kern w:val="2"/>
                <w:sz w:val="21"/>
                <w:szCs w:val="21"/>
                <w:u w:val="single"/>
              </w:rPr>
              <w:t>/m</w:t>
            </w:r>
          </w:p>
        </w:tc>
        <w:tc>
          <w:tcPr>
            <w:tcW w:w="348" w:type="pct"/>
            <w:vMerge w:val="restart"/>
            <w:tcMar>
              <w:top w:w="0" w:type="dxa"/>
              <w:left w:w="28" w:type="dxa"/>
              <w:bottom w:w="0" w:type="dxa"/>
              <w:right w:w="28" w:type="dxa"/>
            </w:tcMar>
            <w:vAlign w:val="center"/>
          </w:tcPr>
          <w:p w14:paraId="1F4BBC8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排气筒底海拔高度</w:t>
            </w:r>
            <w:r>
              <w:rPr>
                <w:b/>
                <w:bCs/>
                <w:kern w:val="2"/>
                <w:sz w:val="21"/>
                <w:szCs w:val="21"/>
                <w:u w:val="single"/>
              </w:rPr>
              <w:t>/m</w:t>
            </w:r>
          </w:p>
        </w:tc>
        <w:tc>
          <w:tcPr>
            <w:tcW w:w="262" w:type="pct"/>
            <w:vMerge w:val="restart"/>
            <w:tcMar>
              <w:top w:w="0" w:type="dxa"/>
              <w:left w:w="28" w:type="dxa"/>
              <w:bottom w:w="0" w:type="dxa"/>
              <w:right w:w="28" w:type="dxa"/>
            </w:tcMar>
            <w:vAlign w:val="center"/>
          </w:tcPr>
          <w:p w14:paraId="378BE3D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排气筒高度</w:t>
            </w:r>
            <w:r>
              <w:rPr>
                <w:b/>
                <w:bCs/>
                <w:kern w:val="2"/>
                <w:sz w:val="21"/>
                <w:szCs w:val="21"/>
                <w:u w:val="single"/>
              </w:rPr>
              <w:t>/m</w:t>
            </w:r>
          </w:p>
        </w:tc>
        <w:tc>
          <w:tcPr>
            <w:tcW w:w="324" w:type="pct"/>
            <w:vMerge w:val="restart"/>
            <w:tcMar>
              <w:top w:w="0" w:type="dxa"/>
              <w:left w:w="28" w:type="dxa"/>
              <w:bottom w:w="0" w:type="dxa"/>
              <w:right w:w="28" w:type="dxa"/>
            </w:tcMar>
            <w:vAlign w:val="center"/>
          </w:tcPr>
          <w:p w14:paraId="0CB0079F"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排气筒出口内径</w:t>
            </w:r>
            <w:r>
              <w:rPr>
                <w:b/>
                <w:bCs/>
                <w:kern w:val="2"/>
                <w:sz w:val="21"/>
                <w:szCs w:val="21"/>
                <w:u w:val="single"/>
              </w:rPr>
              <w:t>/m</w:t>
            </w:r>
          </w:p>
        </w:tc>
        <w:tc>
          <w:tcPr>
            <w:tcW w:w="358" w:type="pct"/>
            <w:vMerge w:val="restart"/>
            <w:tcMar>
              <w:top w:w="0" w:type="dxa"/>
              <w:left w:w="28" w:type="dxa"/>
              <w:bottom w:w="0" w:type="dxa"/>
              <w:right w:w="28" w:type="dxa"/>
            </w:tcMar>
            <w:vAlign w:val="center"/>
          </w:tcPr>
          <w:p w14:paraId="58211CCD"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烟气流速</w:t>
            </w:r>
            <w:r>
              <w:rPr>
                <w:b/>
                <w:bCs/>
                <w:kern w:val="2"/>
                <w:sz w:val="21"/>
                <w:szCs w:val="21"/>
                <w:u w:val="single"/>
              </w:rPr>
              <w:t>/(m/s)</w:t>
            </w:r>
          </w:p>
        </w:tc>
        <w:tc>
          <w:tcPr>
            <w:tcW w:w="270" w:type="pct"/>
            <w:vMerge w:val="restart"/>
            <w:tcMar>
              <w:top w:w="0" w:type="dxa"/>
              <w:left w:w="28" w:type="dxa"/>
              <w:bottom w:w="0" w:type="dxa"/>
              <w:right w:w="28" w:type="dxa"/>
            </w:tcMar>
            <w:vAlign w:val="center"/>
          </w:tcPr>
          <w:p w14:paraId="095ACD9A"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烟气温度</w:t>
            </w:r>
            <w:r>
              <w:rPr>
                <w:b/>
                <w:bCs/>
                <w:kern w:val="2"/>
                <w:sz w:val="21"/>
                <w:szCs w:val="21"/>
                <w:u w:val="single"/>
              </w:rPr>
              <w:t>/℃</w:t>
            </w:r>
          </w:p>
        </w:tc>
        <w:tc>
          <w:tcPr>
            <w:tcW w:w="343" w:type="pct"/>
            <w:vMerge w:val="restart"/>
            <w:tcMar>
              <w:top w:w="0" w:type="dxa"/>
              <w:left w:w="28" w:type="dxa"/>
              <w:bottom w:w="0" w:type="dxa"/>
              <w:right w:w="28" w:type="dxa"/>
            </w:tcMar>
            <w:vAlign w:val="center"/>
          </w:tcPr>
          <w:p w14:paraId="7B8E3A5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年排放小时数</w:t>
            </w:r>
            <w:r>
              <w:rPr>
                <w:b/>
                <w:bCs/>
                <w:kern w:val="2"/>
                <w:sz w:val="21"/>
                <w:szCs w:val="21"/>
                <w:u w:val="single"/>
              </w:rPr>
              <w:t>/h</w:t>
            </w:r>
          </w:p>
        </w:tc>
        <w:tc>
          <w:tcPr>
            <w:tcW w:w="1997" w:type="pct"/>
            <w:gridSpan w:val="5"/>
            <w:tcMar>
              <w:top w:w="0" w:type="dxa"/>
              <w:left w:w="28" w:type="dxa"/>
              <w:bottom w:w="0" w:type="dxa"/>
              <w:right w:w="28" w:type="dxa"/>
            </w:tcMar>
            <w:vAlign w:val="center"/>
          </w:tcPr>
          <w:p w14:paraId="1A616B6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污染物排放速率（</w:t>
            </w:r>
            <w:r>
              <w:rPr>
                <w:b/>
                <w:bCs/>
                <w:kern w:val="2"/>
                <w:sz w:val="21"/>
                <w:szCs w:val="21"/>
                <w:u w:val="single"/>
              </w:rPr>
              <w:t>kg/h</w:t>
            </w:r>
            <w:r>
              <w:rPr>
                <w:b/>
                <w:bCs/>
                <w:kern w:val="2"/>
                <w:sz w:val="21"/>
                <w:szCs w:val="21"/>
                <w:u w:val="single"/>
              </w:rPr>
              <w:t>）</w:t>
            </w:r>
          </w:p>
        </w:tc>
      </w:tr>
      <w:tr w:rsidR="003E78AB" w14:paraId="64172879" w14:textId="77777777">
        <w:trPr>
          <w:trHeight w:val="228"/>
          <w:tblHeader/>
        </w:trPr>
        <w:tc>
          <w:tcPr>
            <w:tcW w:w="95" w:type="pct"/>
            <w:vMerge/>
            <w:tcMar>
              <w:top w:w="0" w:type="dxa"/>
              <w:left w:w="28" w:type="dxa"/>
              <w:bottom w:w="0" w:type="dxa"/>
              <w:right w:w="28" w:type="dxa"/>
            </w:tcMar>
            <w:vAlign w:val="center"/>
          </w:tcPr>
          <w:p w14:paraId="002A5D29" w14:textId="77777777" w:rsidR="003E78AB" w:rsidRDefault="003E78AB">
            <w:pPr>
              <w:spacing w:line="360" w:lineRule="exact"/>
              <w:ind w:firstLineChars="0" w:firstLine="0"/>
              <w:jc w:val="center"/>
              <w:rPr>
                <w:b/>
                <w:bCs/>
                <w:kern w:val="2"/>
                <w:sz w:val="21"/>
                <w:szCs w:val="21"/>
                <w:u w:val="single"/>
              </w:rPr>
            </w:pPr>
          </w:p>
        </w:tc>
        <w:tc>
          <w:tcPr>
            <w:tcW w:w="322" w:type="pct"/>
            <w:vMerge/>
            <w:tcMar>
              <w:top w:w="0" w:type="dxa"/>
              <w:left w:w="28" w:type="dxa"/>
              <w:bottom w:w="0" w:type="dxa"/>
              <w:right w:w="28" w:type="dxa"/>
            </w:tcMar>
            <w:vAlign w:val="center"/>
          </w:tcPr>
          <w:p w14:paraId="74449FDE" w14:textId="77777777" w:rsidR="003E78AB" w:rsidRDefault="003E78AB">
            <w:pPr>
              <w:spacing w:line="360" w:lineRule="exact"/>
              <w:ind w:firstLineChars="0" w:firstLine="0"/>
              <w:jc w:val="center"/>
              <w:rPr>
                <w:b/>
                <w:bCs/>
                <w:kern w:val="2"/>
                <w:sz w:val="21"/>
                <w:szCs w:val="21"/>
                <w:u w:val="single"/>
              </w:rPr>
            </w:pPr>
          </w:p>
        </w:tc>
        <w:tc>
          <w:tcPr>
            <w:tcW w:w="338" w:type="pct"/>
            <w:tcMar>
              <w:top w:w="0" w:type="dxa"/>
              <w:left w:w="28" w:type="dxa"/>
              <w:bottom w:w="0" w:type="dxa"/>
              <w:right w:w="28" w:type="dxa"/>
            </w:tcMar>
            <w:vAlign w:val="center"/>
          </w:tcPr>
          <w:p w14:paraId="07B60DC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东经</w:t>
            </w:r>
          </w:p>
        </w:tc>
        <w:tc>
          <w:tcPr>
            <w:tcW w:w="339" w:type="pct"/>
            <w:tcMar>
              <w:top w:w="0" w:type="dxa"/>
              <w:left w:w="28" w:type="dxa"/>
              <w:bottom w:w="0" w:type="dxa"/>
              <w:right w:w="28" w:type="dxa"/>
            </w:tcMar>
            <w:vAlign w:val="center"/>
          </w:tcPr>
          <w:p w14:paraId="6E3B2C0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北纬</w:t>
            </w:r>
          </w:p>
        </w:tc>
        <w:tc>
          <w:tcPr>
            <w:tcW w:w="348" w:type="pct"/>
            <w:vMerge/>
            <w:tcMar>
              <w:top w:w="0" w:type="dxa"/>
              <w:left w:w="28" w:type="dxa"/>
              <w:bottom w:w="0" w:type="dxa"/>
              <w:right w:w="28" w:type="dxa"/>
            </w:tcMar>
            <w:vAlign w:val="center"/>
          </w:tcPr>
          <w:p w14:paraId="6F153D91" w14:textId="77777777" w:rsidR="003E78AB" w:rsidRDefault="003E78AB">
            <w:pPr>
              <w:spacing w:line="360" w:lineRule="exact"/>
              <w:ind w:firstLineChars="0" w:firstLine="0"/>
              <w:jc w:val="center"/>
              <w:rPr>
                <w:b/>
                <w:bCs/>
                <w:kern w:val="2"/>
                <w:sz w:val="21"/>
                <w:szCs w:val="21"/>
                <w:u w:val="single"/>
              </w:rPr>
            </w:pPr>
          </w:p>
        </w:tc>
        <w:tc>
          <w:tcPr>
            <w:tcW w:w="262" w:type="pct"/>
            <w:vMerge/>
            <w:tcMar>
              <w:top w:w="0" w:type="dxa"/>
              <w:left w:w="28" w:type="dxa"/>
              <w:bottom w:w="0" w:type="dxa"/>
              <w:right w:w="28" w:type="dxa"/>
            </w:tcMar>
            <w:vAlign w:val="center"/>
          </w:tcPr>
          <w:p w14:paraId="1CE7DDE3" w14:textId="77777777" w:rsidR="003E78AB" w:rsidRDefault="003E78AB">
            <w:pPr>
              <w:spacing w:line="360" w:lineRule="exact"/>
              <w:ind w:firstLineChars="0" w:firstLine="0"/>
              <w:jc w:val="center"/>
              <w:rPr>
                <w:b/>
                <w:bCs/>
                <w:kern w:val="2"/>
                <w:sz w:val="21"/>
                <w:szCs w:val="21"/>
                <w:u w:val="single"/>
              </w:rPr>
            </w:pPr>
          </w:p>
        </w:tc>
        <w:tc>
          <w:tcPr>
            <w:tcW w:w="324" w:type="pct"/>
            <w:vMerge/>
            <w:tcMar>
              <w:top w:w="0" w:type="dxa"/>
              <w:left w:w="28" w:type="dxa"/>
              <w:bottom w:w="0" w:type="dxa"/>
              <w:right w:w="28" w:type="dxa"/>
            </w:tcMar>
            <w:vAlign w:val="center"/>
          </w:tcPr>
          <w:p w14:paraId="06380AD6" w14:textId="77777777" w:rsidR="003E78AB" w:rsidRDefault="003E78AB">
            <w:pPr>
              <w:spacing w:line="360" w:lineRule="exact"/>
              <w:ind w:firstLineChars="0" w:firstLine="0"/>
              <w:jc w:val="center"/>
              <w:rPr>
                <w:b/>
                <w:bCs/>
                <w:kern w:val="2"/>
                <w:sz w:val="21"/>
                <w:szCs w:val="21"/>
                <w:u w:val="single"/>
              </w:rPr>
            </w:pPr>
          </w:p>
        </w:tc>
        <w:tc>
          <w:tcPr>
            <w:tcW w:w="358" w:type="pct"/>
            <w:vMerge/>
            <w:tcMar>
              <w:top w:w="0" w:type="dxa"/>
              <w:left w:w="28" w:type="dxa"/>
              <w:bottom w:w="0" w:type="dxa"/>
              <w:right w:w="28" w:type="dxa"/>
            </w:tcMar>
            <w:vAlign w:val="center"/>
          </w:tcPr>
          <w:p w14:paraId="2F045E27" w14:textId="77777777" w:rsidR="003E78AB" w:rsidRDefault="003E78AB">
            <w:pPr>
              <w:spacing w:line="360" w:lineRule="exact"/>
              <w:ind w:firstLineChars="0" w:firstLine="0"/>
              <w:jc w:val="center"/>
              <w:rPr>
                <w:b/>
                <w:bCs/>
                <w:kern w:val="2"/>
                <w:sz w:val="21"/>
                <w:szCs w:val="21"/>
                <w:u w:val="single"/>
              </w:rPr>
            </w:pPr>
          </w:p>
        </w:tc>
        <w:tc>
          <w:tcPr>
            <w:tcW w:w="270" w:type="pct"/>
            <w:vMerge/>
            <w:tcMar>
              <w:top w:w="0" w:type="dxa"/>
              <w:left w:w="28" w:type="dxa"/>
              <w:bottom w:w="0" w:type="dxa"/>
              <w:right w:w="28" w:type="dxa"/>
            </w:tcMar>
            <w:vAlign w:val="center"/>
          </w:tcPr>
          <w:p w14:paraId="559CD0AA" w14:textId="77777777" w:rsidR="003E78AB" w:rsidRDefault="003E78AB">
            <w:pPr>
              <w:spacing w:line="360" w:lineRule="exact"/>
              <w:ind w:firstLineChars="0" w:firstLine="0"/>
              <w:jc w:val="center"/>
              <w:rPr>
                <w:b/>
                <w:bCs/>
                <w:kern w:val="2"/>
                <w:sz w:val="21"/>
                <w:szCs w:val="21"/>
                <w:u w:val="single"/>
              </w:rPr>
            </w:pPr>
          </w:p>
        </w:tc>
        <w:tc>
          <w:tcPr>
            <w:tcW w:w="343" w:type="pct"/>
            <w:vMerge/>
            <w:tcMar>
              <w:top w:w="0" w:type="dxa"/>
              <w:left w:w="28" w:type="dxa"/>
              <w:bottom w:w="0" w:type="dxa"/>
              <w:right w:w="28" w:type="dxa"/>
            </w:tcMar>
            <w:vAlign w:val="center"/>
          </w:tcPr>
          <w:p w14:paraId="7BFDE312" w14:textId="77777777" w:rsidR="003E78AB" w:rsidRDefault="003E78AB">
            <w:pPr>
              <w:spacing w:line="360" w:lineRule="exact"/>
              <w:ind w:firstLineChars="0" w:firstLine="0"/>
              <w:jc w:val="center"/>
              <w:rPr>
                <w:b/>
                <w:bCs/>
                <w:kern w:val="2"/>
                <w:sz w:val="21"/>
                <w:szCs w:val="21"/>
                <w:u w:val="single"/>
              </w:rPr>
            </w:pPr>
          </w:p>
        </w:tc>
        <w:tc>
          <w:tcPr>
            <w:tcW w:w="398" w:type="pct"/>
            <w:tcMar>
              <w:top w:w="0" w:type="dxa"/>
              <w:left w:w="28" w:type="dxa"/>
              <w:bottom w:w="0" w:type="dxa"/>
              <w:right w:w="28" w:type="dxa"/>
            </w:tcMar>
            <w:vAlign w:val="center"/>
          </w:tcPr>
          <w:p w14:paraId="55FD1728"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PM</w:t>
            </w:r>
            <w:r>
              <w:rPr>
                <w:b/>
                <w:bCs/>
                <w:kern w:val="2"/>
                <w:sz w:val="21"/>
                <w:szCs w:val="21"/>
                <w:u w:val="single"/>
                <w:vertAlign w:val="subscript"/>
              </w:rPr>
              <w:t>10</w:t>
            </w:r>
          </w:p>
        </w:tc>
        <w:tc>
          <w:tcPr>
            <w:tcW w:w="363" w:type="pct"/>
            <w:tcMar>
              <w:top w:w="0" w:type="dxa"/>
              <w:left w:w="28" w:type="dxa"/>
              <w:bottom w:w="0" w:type="dxa"/>
              <w:right w:w="28" w:type="dxa"/>
            </w:tcMar>
            <w:vAlign w:val="center"/>
          </w:tcPr>
          <w:p w14:paraId="696E4FD7"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SO</w:t>
            </w:r>
            <w:r>
              <w:rPr>
                <w:b/>
                <w:bCs/>
                <w:kern w:val="2"/>
                <w:sz w:val="21"/>
                <w:szCs w:val="21"/>
                <w:u w:val="single"/>
                <w:vertAlign w:val="subscript"/>
              </w:rPr>
              <w:t>2</w:t>
            </w:r>
          </w:p>
        </w:tc>
        <w:tc>
          <w:tcPr>
            <w:tcW w:w="285" w:type="pct"/>
            <w:tcMar>
              <w:top w:w="0" w:type="dxa"/>
              <w:left w:w="28" w:type="dxa"/>
              <w:bottom w:w="0" w:type="dxa"/>
              <w:right w:w="28" w:type="dxa"/>
            </w:tcMar>
            <w:vAlign w:val="center"/>
          </w:tcPr>
          <w:p w14:paraId="47F9E40A"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NOx</w:t>
            </w:r>
          </w:p>
        </w:tc>
        <w:tc>
          <w:tcPr>
            <w:tcW w:w="591" w:type="pct"/>
            <w:tcMar>
              <w:top w:w="0" w:type="dxa"/>
              <w:left w:w="28" w:type="dxa"/>
              <w:bottom w:w="0" w:type="dxa"/>
              <w:right w:w="28" w:type="dxa"/>
            </w:tcMar>
            <w:vAlign w:val="center"/>
          </w:tcPr>
          <w:p w14:paraId="58AE33E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硫酸雾</w:t>
            </w:r>
          </w:p>
        </w:tc>
        <w:tc>
          <w:tcPr>
            <w:tcW w:w="359" w:type="pct"/>
            <w:vAlign w:val="center"/>
          </w:tcPr>
          <w:p w14:paraId="2E0A818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VOCs</w:t>
            </w:r>
          </w:p>
        </w:tc>
      </w:tr>
      <w:tr w:rsidR="003E78AB" w14:paraId="1F744468" w14:textId="77777777">
        <w:trPr>
          <w:trHeight w:val="489"/>
        </w:trPr>
        <w:tc>
          <w:tcPr>
            <w:tcW w:w="95" w:type="pct"/>
            <w:tcMar>
              <w:top w:w="0" w:type="dxa"/>
              <w:left w:w="28" w:type="dxa"/>
              <w:bottom w:w="0" w:type="dxa"/>
              <w:right w:w="28" w:type="dxa"/>
            </w:tcMar>
            <w:vAlign w:val="center"/>
          </w:tcPr>
          <w:p w14:paraId="6778986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1</w:t>
            </w:r>
          </w:p>
        </w:tc>
        <w:tc>
          <w:tcPr>
            <w:tcW w:w="322" w:type="pct"/>
            <w:tcMar>
              <w:top w:w="0" w:type="dxa"/>
              <w:left w:w="28" w:type="dxa"/>
              <w:bottom w:w="0" w:type="dxa"/>
              <w:right w:w="28" w:type="dxa"/>
            </w:tcMar>
            <w:vAlign w:val="center"/>
          </w:tcPr>
          <w:p w14:paraId="187B7738"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DA001</w:t>
            </w:r>
          </w:p>
        </w:tc>
        <w:tc>
          <w:tcPr>
            <w:tcW w:w="949" w:type="dxa"/>
            <w:tcMar>
              <w:top w:w="0" w:type="dxa"/>
              <w:left w:w="28" w:type="dxa"/>
              <w:bottom w:w="0" w:type="dxa"/>
              <w:right w:w="28" w:type="dxa"/>
            </w:tcMar>
            <w:vAlign w:val="center"/>
          </w:tcPr>
          <w:p w14:paraId="539963F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93.251388</w:t>
            </w:r>
          </w:p>
        </w:tc>
        <w:tc>
          <w:tcPr>
            <w:tcW w:w="950" w:type="dxa"/>
            <w:tcMar>
              <w:top w:w="0" w:type="dxa"/>
              <w:left w:w="28" w:type="dxa"/>
              <w:bottom w:w="0" w:type="dxa"/>
              <w:right w:w="28" w:type="dxa"/>
            </w:tcMar>
            <w:vAlign w:val="center"/>
          </w:tcPr>
          <w:p w14:paraId="3E9D5658"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42.413960</w:t>
            </w:r>
          </w:p>
        </w:tc>
        <w:tc>
          <w:tcPr>
            <w:tcW w:w="348" w:type="pct"/>
            <w:tcMar>
              <w:top w:w="0" w:type="dxa"/>
              <w:left w:w="28" w:type="dxa"/>
              <w:bottom w:w="0" w:type="dxa"/>
              <w:right w:w="28" w:type="dxa"/>
            </w:tcMar>
            <w:vAlign w:val="center"/>
          </w:tcPr>
          <w:p w14:paraId="350656B8"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676</w:t>
            </w:r>
          </w:p>
        </w:tc>
        <w:tc>
          <w:tcPr>
            <w:tcW w:w="262" w:type="pct"/>
            <w:tcMar>
              <w:top w:w="0" w:type="dxa"/>
              <w:left w:w="28" w:type="dxa"/>
              <w:bottom w:w="0" w:type="dxa"/>
              <w:right w:w="28" w:type="dxa"/>
            </w:tcMar>
            <w:vAlign w:val="center"/>
          </w:tcPr>
          <w:p w14:paraId="4F39A82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20</w:t>
            </w:r>
            <w:r>
              <w:rPr>
                <w:rFonts w:hint="eastAsia"/>
                <w:b/>
                <w:bCs/>
                <w:kern w:val="2"/>
                <w:sz w:val="21"/>
                <w:szCs w:val="21"/>
                <w:u w:val="single"/>
              </w:rPr>
              <w:t>.5</w:t>
            </w:r>
          </w:p>
        </w:tc>
        <w:tc>
          <w:tcPr>
            <w:tcW w:w="324" w:type="pct"/>
            <w:tcMar>
              <w:top w:w="0" w:type="dxa"/>
              <w:left w:w="28" w:type="dxa"/>
              <w:bottom w:w="0" w:type="dxa"/>
              <w:right w:w="28" w:type="dxa"/>
            </w:tcMar>
            <w:vAlign w:val="center"/>
          </w:tcPr>
          <w:p w14:paraId="71F411A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w:t>
            </w:r>
            <w:r>
              <w:rPr>
                <w:rFonts w:hint="eastAsia"/>
                <w:b/>
                <w:bCs/>
                <w:kern w:val="2"/>
                <w:sz w:val="21"/>
                <w:szCs w:val="21"/>
                <w:u w:val="single"/>
              </w:rPr>
              <w:t>4</w:t>
            </w:r>
          </w:p>
        </w:tc>
        <w:tc>
          <w:tcPr>
            <w:tcW w:w="358" w:type="pct"/>
            <w:tcMar>
              <w:top w:w="0" w:type="dxa"/>
              <w:left w:w="28" w:type="dxa"/>
              <w:bottom w:w="0" w:type="dxa"/>
              <w:right w:w="28" w:type="dxa"/>
            </w:tcMar>
            <w:vAlign w:val="center"/>
          </w:tcPr>
          <w:p w14:paraId="3B55B2FF" w14:textId="77777777" w:rsidR="003E78AB" w:rsidRDefault="00010BF9">
            <w:pPr>
              <w:spacing w:line="360" w:lineRule="exact"/>
              <w:ind w:firstLineChars="0" w:firstLine="0"/>
              <w:jc w:val="center"/>
              <w:textAlignment w:val="center"/>
              <w:rPr>
                <w:b/>
                <w:bCs/>
                <w:kern w:val="2"/>
                <w:sz w:val="21"/>
                <w:szCs w:val="21"/>
                <w:u w:val="single"/>
              </w:rPr>
            </w:pPr>
            <w:r>
              <w:rPr>
                <w:rFonts w:hint="eastAsia"/>
                <w:b/>
                <w:bCs/>
                <w:kern w:val="2"/>
                <w:sz w:val="21"/>
                <w:szCs w:val="21"/>
                <w:u w:val="single"/>
              </w:rPr>
              <w:t>17.69</w:t>
            </w:r>
          </w:p>
        </w:tc>
        <w:tc>
          <w:tcPr>
            <w:tcW w:w="270" w:type="pct"/>
            <w:tcMar>
              <w:top w:w="0" w:type="dxa"/>
              <w:left w:w="28" w:type="dxa"/>
              <w:bottom w:w="0" w:type="dxa"/>
              <w:right w:w="28" w:type="dxa"/>
            </w:tcMar>
            <w:vAlign w:val="center"/>
          </w:tcPr>
          <w:p w14:paraId="61C0A23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20</w:t>
            </w:r>
          </w:p>
        </w:tc>
        <w:tc>
          <w:tcPr>
            <w:tcW w:w="343" w:type="pct"/>
            <w:tcMar>
              <w:top w:w="0" w:type="dxa"/>
              <w:left w:w="28" w:type="dxa"/>
              <w:bottom w:w="0" w:type="dxa"/>
              <w:right w:w="28" w:type="dxa"/>
            </w:tcMar>
            <w:vAlign w:val="center"/>
          </w:tcPr>
          <w:p w14:paraId="361B55E5"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250</w:t>
            </w:r>
            <w:r>
              <w:rPr>
                <w:b/>
                <w:bCs/>
                <w:kern w:val="2"/>
                <w:sz w:val="21"/>
                <w:szCs w:val="21"/>
                <w:u w:val="single"/>
              </w:rPr>
              <w:t>0</w:t>
            </w:r>
          </w:p>
        </w:tc>
        <w:tc>
          <w:tcPr>
            <w:tcW w:w="398" w:type="pct"/>
            <w:tcMar>
              <w:top w:w="0" w:type="dxa"/>
              <w:left w:w="28" w:type="dxa"/>
              <w:bottom w:w="0" w:type="dxa"/>
              <w:right w:w="28" w:type="dxa"/>
            </w:tcMar>
            <w:vAlign w:val="center"/>
          </w:tcPr>
          <w:p w14:paraId="51BB041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0.0436</w:t>
            </w:r>
          </w:p>
        </w:tc>
        <w:tc>
          <w:tcPr>
            <w:tcW w:w="363" w:type="pct"/>
            <w:tcMar>
              <w:top w:w="0" w:type="dxa"/>
              <w:left w:w="28" w:type="dxa"/>
              <w:bottom w:w="0" w:type="dxa"/>
              <w:right w:w="28" w:type="dxa"/>
            </w:tcMar>
            <w:vAlign w:val="center"/>
          </w:tcPr>
          <w:p w14:paraId="0E98AE4A"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285" w:type="pct"/>
            <w:tcMar>
              <w:top w:w="0" w:type="dxa"/>
              <w:left w:w="28" w:type="dxa"/>
              <w:bottom w:w="0" w:type="dxa"/>
              <w:right w:w="28" w:type="dxa"/>
            </w:tcMar>
            <w:vAlign w:val="center"/>
          </w:tcPr>
          <w:p w14:paraId="12630EBF"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591" w:type="pct"/>
            <w:tcMar>
              <w:top w:w="0" w:type="dxa"/>
              <w:left w:w="28" w:type="dxa"/>
              <w:bottom w:w="0" w:type="dxa"/>
              <w:right w:w="28" w:type="dxa"/>
            </w:tcMar>
            <w:vAlign w:val="center"/>
          </w:tcPr>
          <w:p w14:paraId="7D39824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359" w:type="pct"/>
          </w:tcPr>
          <w:p w14:paraId="22472C1E"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r>
      <w:tr w:rsidR="003E78AB" w14:paraId="732AED3A" w14:textId="77777777">
        <w:trPr>
          <w:trHeight w:val="90"/>
        </w:trPr>
        <w:tc>
          <w:tcPr>
            <w:tcW w:w="95" w:type="pct"/>
            <w:tcMar>
              <w:top w:w="0" w:type="dxa"/>
              <w:left w:w="28" w:type="dxa"/>
              <w:bottom w:w="0" w:type="dxa"/>
              <w:right w:w="28" w:type="dxa"/>
            </w:tcMar>
            <w:vAlign w:val="center"/>
          </w:tcPr>
          <w:p w14:paraId="4A71048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w:t>
            </w:r>
          </w:p>
        </w:tc>
        <w:tc>
          <w:tcPr>
            <w:tcW w:w="322" w:type="pct"/>
            <w:tcMar>
              <w:top w:w="0" w:type="dxa"/>
              <w:left w:w="28" w:type="dxa"/>
              <w:bottom w:w="0" w:type="dxa"/>
              <w:right w:w="28" w:type="dxa"/>
            </w:tcMar>
            <w:vAlign w:val="bottom"/>
          </w:tcPr>
          <w:p w14:paraId="6CC7721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DA002</w:t>
            </w:r>
          </w:p>
        </w:tc>
        <w:tc>
          <w:tcPr>
            <w:tcW w:w="949" w:type="dxa"/>
            <w:tcMar>
              <w:top w:w="0" w:type="dxa"/>
              <w:left w:w="28" w:type="dxa"/>
              <w:bottom w:w="0" w:type="dxa"/>
              <w:right w:w="28" w:type="dxa"/>
            </w:tcMar>
            <w:vAlign w:val="center"/>
          </w:tcPr>
          <w:p w14:paraId="3A713F17"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93.251579</w:t>
            </w:r>
          </w:p>
        </w:tc>
        <w:tc>
          <w:tcPr>
            <w:tcW w:w="950" w:type="dxa"/>
            <w:tcMar>
              <w:top w:w="0" w:type="dxa"/>
              <w:left w:w="28" w:type="dxa"/>
              <w:bottom w:w="0" w:type="dxa"/>
              <w:right w:w="28" w:type="dxa"/>
            </w:tcMar>
            <w:vAlign w:val="center"/>
          </w:tcPr>
          <w:p w14:paraId="258E21B6"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42.413960</w:t>
            </w:r>
          </w:p>
        </w:tc>
        <w:tc>
          <w:tcPr>
            <w:tcW w:w="348" w:type="pct"/>
            <w:tcMar>
              <w:top w:w="0" w:type="dxa"/>
              <w:left w:w="28" w:type="dxa"/>
              <w:bottom w:w="0" w:type="dxa"/>
              <w:right w:w="28" w:type="dxa"/>
            </w:tcMar>
            <w:vAlign w:val="bottom"/>
          </w:tcPr>
          <w:p w14:paraId="58AFFA1D"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676</w:t>
            </w:r>
          </w:p>
        </w:tc>
        <w:tc>
          <w:tcPr>
            <w:tcW w:w="262" w:type="pct"/>
            <w:tcMar>
              <w:top w:w="0" w:type="dxa"/>
              <w:left w:w="28" w:type="dxa"/>
              <w:bottom w:w="0" w:type="dxa"/>
              <w:right w:w="28" w:type="dxa"/>
            </w:tcMar>
            <w:vAlign w:val="center"/>
          </w:tcPr>
          <w:p w14:paraId="721B10CF"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20</w:t>
            </w:r>
            <w:r>
              <w:rPr>
                <w:rFonts w:hint="eastAsia"/>
                <w:b/>
                <w:bCs/>
                <w:kern w:val="2"/>
                <w:sz w:val="21"/>
                <w:szCs w:val="21"/>
                <w:u w:val="single"/>
              </w:rPr>
              <w:t>.5</w:t>
            </w:r>
          </w:p>
        </w:tc>
        <w:tc>
          <w:tcPr>
            <w:tcW w:w="324" w:type="pct"/>
            <w:tcMar>
              <w:top w:w="0" w:type="dxa"/>
              <w:left w:w="28" w:type="dxa"/>
              <w:bottom w:w="0" w:type="dxa"/>
              <w:right w:w="28" w:type="dxa"/>
            </w:tcMar>
            <w:vAlign w:val="center"/>
          </w:tcPr>
          <w:p w14:paraId="1360D315"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w:t>
            </w:r>
            <w:r>
              <w:rPr>
                <w:rFonts w:hint="eastAsia"/>
                <w:b/>
                <w:bCs/>
                <w:kern w:val="2"/>
                <w:sz w:val="21"/>
                <w:szCs w:val="21"/>
                <w:u w:val="single"/>
              </w:rPr>
              <w:t>4</w:t>
            </w:r>
          </w:p>
        </w:tc>
        <w:tc>
          <w:tcPr>
            <w:tcW w:w="358" w:type="pct"/>
            <w:tcMar>
              <w:top w:w="0" w:type="dxa"/>
              <w:left w:w="28" w:type="dxa"/>
              <w:bottom w:w="0" w:type="dxa"/>
              <w:right w:w="28" w:type="dxa"/>
            </w:tcMar>
            <w:vAlign w:val="center"/>
          </w:tcPr>
          <w:p w14:paraId="048E861A" w14:textId="77777777" w:rsidR="003E78AB" w:rsidRDefault="00010BF9">
            <w:pPr>
              <w:spacing w:line="360" w:lineRule="exact"/>
              <w:ind w:firstLineChars="0" w:firstLine="0"/>
              <w:jc w:val="center"/>
              <w:textAlignment w:val="center"/>
              <w:rPr>
                <w:b/>
                <w:bCs/>
                <w:kern w:val="2"/>
                <w:sz w:val="21"/>
                <w:szCs w:val="21"/>
                <w:u w:val="single"/>
              </w:rPr>
            </w:pPr>
            <w:r>
              <w:rPr>
                <w:rFonts w:hint="eastAsia"/>
                <w:b/>
                <w:bCs/>
                <w:kern w:val="2"/>
                <w:sz w:val="21"/>
                <w:szCs w:val="21"/>
                <w:u w:val="single"/>
              </w:rPr>
              <w:t>17.69</w:t>
            </w:r>
          </w:p>
        </w:tc>
        <w:tc>
          <w:tcPr>
            <w:tcW w:w="270" w:type="pct"/>
            <w:tcMar>
              <w:top w:w="0" w:type="dxa"/>
              <w:left w:w="28" w:type="dxa"/>
              <w:bottom w:w="0" w:type="dxa"/>
              <w:right w:w="28" w:type="dxa"/>
            </w:tcMar>
            <w:vAlign w:val="center"/>
          </w:tcPr>
          <w:p w14:paraId="6ABB532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20</w:t>
            </w:r>
          </w:p>
        </w:tc>
        <w:tc>
          <w:tcPr>
            <w:tcW w:w="343" w:type="pct"/>
            <w:tcMar>
              <w:top w:w="0" w:type="dxa"/>
              <w:left w:w="28" w:type="dxa"/>
              <w:bottom w:w="0" w:type="dxa"/>
              <w:right w:w="28" w:type="dxa"/>
            </w:tcMar>
            <w:vAlign w:val="center"/>
          </w:tcPr>
          <w:p w14:paraId="2F712854"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180</w:t>
            </w:r>
            <w:r>
              <w:rPr>
                <w:b/>
                <w:bCs/>
                <w:kern w:val="2"/>
                <w:sz w:val="21"/>
                <w:szCs w:val="21"/>
                <w:u w:val="single"/>
              </w:rPr>
              <w:t>0</w:t>
            </w:r>
          </w:p>
        </w:tc>
        <w:tc>
          <w:tcPr>
            <w:tcW w:w="398" w:type="pct"/>
            <w:tcMar>
              <w:top w:w="0" w:type="dxa"/>
              <w:left w:w="28" w:type="dxa"/>
              <w:bottom w:w="0" w:type="dxa"/>
              <w:right w:w="28" w:type="dxa"/>
            </w:tcMar>
            <w:vAlign w:val="center"/>
          </w:tcPr>
          <w:p w14:paraId="2324E45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0.0307</w:t>
            </w:r>
          </w:p>
        </w:tc>
        <w:tc>
          <w:tcPr>
            <w:tcW w:w="363" w:type="pct"/>
            <w:tcMar>
              <w:top w:w="0" w:type="dxa"/>
              <w:left w:w="28" w:type="dxa"/>
              <w:bottom w:w="0" w:type="dxa"/>
              <w:right w:w="28" w:type="dxa"/>
            </w:tcMar>
            <w:vAlign w:val="center"/>
          </w:tcPr>
          <w:p w14:paraId="59590F4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285" w:type="pct"/>
            <w:tcMar>
              <w:top w:w="0" w:type="dxa"/>
              <w:left w:w="28" w:type="dxa"/>
              <w:bottom w:w="0" w:type="dxa"/>
              <w:right w:w="28" w:type="dxa"/>
            </w:tcMar>
            <w:vAlign w:val="center"/>
          </w:tcPr>
          <w:p w14:paraId="48AB4A8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591" w:type="pct"/>
            <w:tcMar>
              <w:top w:w="0" w:type="dxa"/>
              <w:left w:w="28" w:type="dxa"/>
              <w:bottom w:w="0" w:type="dxa"/>
              <w:right w:w="28" w:type="dxa"/>
            </w:tcMar>
            <w:vAlign w:val="center"/>
          </w:tcPr>
          <w:p w14:paraId="6E56873D"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359" w:type="pct"/>
          </w:tcPr>
          <w:p w14:paraId="088F0E7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r>
      <w:tr w:rsidR="003E78AB" w14:paraId="4FA95ED0" w14:textId="77777777">
        <w:tc>
          <w:tcPr>
            <w:tcW w:w="95" w:type="pct"/>
            <w:tcMar>
              <w:top w:w="0" w:type="dxa"/>
              <w:left w:w="28" w:type="dxa"/>
              <w:bottom w:w="0" w:type="dxa"/>
              <w:right w:w="28" w:type="dxa"/>
            </w:tcMar>
            <w:vAlign w:val="center"/>
          </w:tcPr>
          <w:p w14:paraId="50DBCFE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3</w:t>
            </w:r>
          </w:p>
        </w:tc>
        <w:tc>
          <w:tcPr>
            <w:tcW w:w="322" w:type="pct"/>
            <w:tcMar>
              <w:top w:w="0" w:type="dxa"/>
              <w:left w:w="28" w:type="dxa"/>
              <w:bottom w:w="0" w:type="dxa"/>
              <w:right w:w="28" w:type="dxa"/>
            </w:tcMar>
            <w:vAlign w:val="bottom"/>
          </w:tcPr>
          <w:p w14:paraId="1BC3478E"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DA003</w:t>
            </w:r>
          </w:p>
        </w:tc>
        <w:tc>
          <w:tcPr>
            <w:tcW w:w="949" w:type="dxa"/>
            <w:tcMar>
              <w:top w:w="0" w:type="dxa"/>
              <w:left w:w="28" w:type="dxa"/>
              <w:bottom w:w="0" w:type="dxa"/>
              <w:right w:w="28" w:type="dxa"/>
            </w:tcMar>
            <w:vAlign w:val="center"/>
          </w:tcPr>
          <w:p w14:paraId="2D9CD161"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93.251364</w:t>
            </w:r>
          </w:p>
        </w:tc>
        <w:tc>
          <w:tcPr>
            <w:tcW w:w="950" w:type="dxa"/>
            <w:tcMar>
              <w:top w:w="0" w:type="dxa"/>
              <w:left w:w="28" w:type="dxa"/>
              <w:bottom w:w="0" w:type="dxa"/>
              <w:right w:w="28" w:type="dxa"/>
            </w:tcMar>
            <w:vAlign w:val="center"/>
          </w:tcPr>
          <w:p w14:paraId="741931F4"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42.413960</w:t>
            </w:r>
          </w:p>
        </w:tc>
        <w:tc>
          <w:tcPr>
            <w:tcW w:w="348" w:type="pct"/>
            <w:tcMar>
              <w:top w:w="0" w:type="dxa"/>
              <w:left w:w="28" w:type="dxa"/>
              <w:bottom w:w="0" w:type="dxa"/>
              <w:right w:w="28" w:type="dxa"/>
            </w:tcMar>
            <w:vAlign w:val="bottom"/>
          </w:tcPr>
          <w:p w14:paraId="059E54EE"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676</w:t>
            </w:r>
          </w:p>
        </w:tc>
        <w:tc>
          <w:tcPr>
            <w:tcW w:w="262" w:type="pct"/>
            <w:tcMar>
              <w:top w:w="0" w:type="dxa"/>
              <w:left w:w="28" w:type="dxa"/>
              <w:bottom w:w="0" w:type="dxa"/>
              <w:right w:w="28" w:type="dxa"/>
            </w:tcMar>
            <w:vAlign w:val="center"/>
          </w:tcPr>
          <w:p w14:paraId="262CE888"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20</w:t>
            </w:r>
            <w:r>
              <w:rPr>
                <w:rFonts w:hint="eastAsia"/>
                <w:b/>
                <w:bCs/>
                <w:kern w:val="2"/>
                <w:sz w:val="21"/>
                <w:szCs w:val="21"/>
                <w:u w:val="single"/>
              </w:rPr>
              <w:t>.5</w:t>
            </w:r>
          </w:p>
        </w:tc>
        <w:tc>
          <w:tcPr>
            <w:tcW w:w="324" w:type="pct"/>
            <w:tcMar>
              <w:top w:w="0" w:type="dxa"/>
              <w:left w:w="28" w:type="dxa"/>
              <w:bottom w:w="0" w:type="dxa"/>
              <w:right w:w="28" w:type="dxa"/>
            </w:tcMar>
            <w:vAlign w:val="center"/>
          </w:tcPr>
          <w:p w14:paraId="23E17A7B"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w:t>
            </w:r>
            <w:r>
              <w:rPr>
                <w:rFonts w:hint="eastAsia"/>
                <w:b/>
                <w:bCs/>
                <w:kern w:val="2"/>
                <w:sz w:val="21"/>
                <w:szCs w:val="21"/>
                <w:u w:val="single"/>
              </w:rPr>
              <w:t>5</w:t>
            </w:r>
          </w:p>
        </w:tc>
        <w:tc>
          <w:tcPr>
            <w:tcW w:w="358" w:type="pct"/>
            <w:tcMar>
              <w:top w:w="0" w:type="dxa"/>
              <w:left w:w="28" w:type="dxa"/>
              <w:bottom w:w="0" w:type="dxa"/>
              <w:right w:w="28" w:type="dxa"/>
            </w:tcMar>
            <w:vAlign w:val="center"/>
          </w:tcPr>
          <w:p w14:paraId="1C2488B1" w14:textId="77777777" w:rsidR="003E78AB" w:rsidRDefault="00010BF9">
            <w:pPr>
              <w:spacing w:line="360" w:lineRule="exact"/>
              <w:ind w:firstLineChars="0" w:firstLine="0"/>
              <w:jc w:val="center"/>
              <w:textAlignment w:val="center"/>
              <w:rPr>
                <w:b/>
                <w:bCs/>
                <w:kern w:val="2"/>
                <w:sz w:val="21"/>
                <w:szCs w:val="21"/>
                <w:u w:val="single"/>
              </w:rPr>
            </w:pPr>
            <w:r>
              <w:rPr>
                <w:rFonts w:hint="eastAsia"/>
                <w:b/>
                <w:bCs/>
                <w:kern w:val="2"/>
                <w:sz w:val="21"/>
                <w:szCs w:val="21"/>
                <w:u w:val="single"/>
              </w:rPr>
              <w:t>14.15</w:t>
            </w:r>
          </w:p>
        </w:tc>
        <w:tc>
          <w:tcPr>
            <w:tcW w:w="270" w:type="pct"/>
            <w:tcMar>
              <w:top w:w="0" w:type="dxa"/>
              <w:left w:w="28" w:type="dxa"/>
              <w:bottom w:w="0" w:type="dxa"/>
              <w:right w:w="28" w:type="dxa"/>
            </w:tcMar>
            <w:vAlign w:val="center"/>
          </w:tcPr>
          <w:p w14:paraId="409CB72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20</w:t>
            </w:r>
          </w:p>
        </w:tc>
        <w:tc>
          <w:tcPr>
            <w:tcW w:w="343" w:type="pct"/>
            <w:tcMar>
              <w:top w:w="0" w:type="dxa"/>
              <w:left w:w="28" w:type="dxa"/>
              <w:bottom w:w="0" w:type="dxa"/>
              <w:right w:w="28" w:type="dxa"/>
            </w:tcMar>
            <w:vAlign w:val="center"/>
          </w:tcPr>
          <w:p w14:paraId="572A5C1B" w14:textId="77777777" w:rsidR="003E78AB" w:rsidRDefault="00010BF9">
            <w:pPr>
              <w:spacing w:line="360" w:lineRule="exact"/>
              <w:ind w:firstLineChars="0" w:firstLine="0"/>
              <w:jc w:val="center"/>
              <w:rPr>
                <w:b/>
                <w:bCs/>
                <w:sz w:val="21"/>
                <w:szCs w:val="21"/>
                <w:u w:val="single"/>
              </w:rPr>
            </w:pPr>
            <w:r>
              <w:rPr>
                <w:b/>
                <w:bCs/>
                <w:sz w:val="21"/>
                <w:szCs w:val="21"/>
                <w:u w:val="single"/>
              </w:rPr>
              <w:t>7920</w:t>
            </w:r>
          </w:p>
        </w:tc>
        <w:tc>
          <w:tcPr>
            <w:tcW w:w="398" w:type="pct"/>
            <w:tcMar>
              <w:top w:w="0" w:type="dxa"/>
              <w:left w:w="28" w:type="dxa"/>
              <w:bottom w:w="0" w:type="dxa"/>
              <w:right w:w="28" w:type="dxa"/>
            </w:tcMar>
            <w:vAlign w:val="center"/>
          </w:tcPr>
          <w:p w14:paraId="0F1C5FF6"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w:t>
            </w:r>
          </w:p>
        </w:tc>
        <w:tc>
          <w:tcPr>
            <w:tcW w:w="363" w:type="pct"/>
            <w:tcMar>
              <w:top w:w="0" w:type="dxa"/>
              <w:left w:w="28" w:type="dxa"/>
              <w:bottom w:w="0" w:type="dxa"/>
              <w:right w:w="28" w:type="dxa"/>
            </w:tcMar>
            <w:vAlign w:val="center"/>
          </w:tcPr>
          <w:p w14:paraId="4E9A264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285" w:type="pct"/>
            <w:tcMar>
              <w:top w:w="0" w:type="dxa"/>
              <w:left w:w="28" w:type="dxa"/>
              <w:bottom w:w="0" w:type="dxa"/>
              <w:right w:w="28" w:type="dxa"/>
            </w:tcMar>
            <w:vAlign w:val="center"/>
          </w:tcPr>
          <w:p w14:paraId="0ABB375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591" w:type="pct"/>
            <w:tcMar>
              <w:top w:w="0" w:type="dxa"/>
              <w:left w:w="28" w:type="dxa"/>
              <w:bottom w:w="0" w:type="dxa"/>
              <w:right w:w="28" w:type="dxa"/>
            </w:tcMar>
            <w:vAlign w:val="center"/>
          </w:tcPr>
          <w:p w14:paraId="4B465A9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0.1420</w:t>
            </w:r>
          </w:p>
        </w:tc>
        <w:tc>
          <w:tcPr>
            <w:tcW w:w="359" w:type="pct"/>
          </w:tcPr>
          <w:p w14:paraId="650D70B3"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0.0461</w:t>
            </w:r>
          </w:p>
        </w:tc>
      </w:tr>
      <w:tr w:rsidR="003E78AB" w14:paraId="3C88E9A3" w14:textId="77777777">
        <w:tc>
          <w:tcPr>
            <w:tcW w:w="95" w:type="pct"/>
            <w:tcMar>
              <w:top w:w="0" w:type="dxa"/>
              <w:left w:w="28" w:type="dxa"/>
              <w:bottom w:w="0" w:type="dxa"/>
              <w:right w:w="28" w:type="dxa"/>
            </w:tcMar>
            <w:vAlign w:val="center"/>
          </w:tcPr>
          <w:p w14:paraId="2FA73EF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4</w:t>
            </w:r>
          </w:p>
        </w:tc>
        <w:tc>
          <w:tcPr>
            <w:tcW w:w="322" w:type="pct"/>
            <w:tcMar>
              <w:top w:w="0" w:type="dxa"/>
              <w:left w:w="28" w:type="dxa"/>
              <w:bottom w:w="0" w:type="dxa"/>
              <w:right w:w="28" w:type="dxa"/>
            </w:tcMar>
            <w:vAlign w:val="bottom"/>
          </w:tcPr>
          <w:p w14:paraId="3E271E56"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DA004</w:t>
            </w:r>
          </w:p>
        </w:tc>
        <w:tc>
          <w:tcPr>
            <w:tcW w:w="949" w:type="dxa"/>
            <w:tcMar>
              <w:top w:w="0" w:type="dxa"/>
              <w:left w:w="28" w:type="dxa"/>
              <w:bottom w:w="0" w:type="dxa"/>
              <w:right w:w="28" w:type="dxa"/>
            </w:tcMar>
            <w:vAlign w:val="center"/>
          </w:tcPr>
          <w:p w14:paraId="7DC3A134"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93.250698</w:t>
            </w:r>
          </w:p>
        </w:tc>
        <w:tc>
          <w:tcPr>
            <w:tcW w:w="950" w:type="dxa"/>
            <w:tcMar>
              <w:top w:w="0" w:type="dxa"/>
              <w:left w:w="28" w:type="dxa"/>
              <w:bottom w:w="0" w:type="dxa"/>
              <w:right w:w="28" w:type="dxa"/>
            </w:tcMar>
            <w:vAlign w:val="center"/>
          </w:tcPr>
          <w:p w14:paraId="550C5188"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42.413961</w:t>
            </w:r>
          </w:p>
        </w:tc>
        <w:tc>
          <w:tcPr>
            <w:tcW w:w="348" w:type="pct"/>
            <w:tcMar>
              <w:top w:w="0" w:type="dxa"/>
              <w:left w:w="28" w:type="dxa"/>
              <w:bottom w:w="0" w:type="dxa"/>
              <w:right w:w="28" w:type="dxa"/>
            </w:tcMar>
            <w:vAlign w:val="bottom"/>
          </w:tcPr>
          <w:p w14:paraId="54A0C22B"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676</w:t>
            </w:r>
          </w:p>
        </w:tc>
        <w:tc>
          <w:tcPr>
            <w:tcW w:w="262" w:type="pct"/>
            <w:tcMar>
              <w:top w:w="0" w:type="dxa"/>
              <w:left w:w="28" w:type="dxa"/>
              <w:bottom w:w="0" w:type="dxa"/>
              <w:right w:w="28" w:type="dxa"/>
            </w:tcMar>
            <w:vAlign w:val="bottom"/>
          </w:tcPr>
          <w:p w14:paraId="3645DDD0"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15</w:t>
            </w:r>
          </w:p>
        </w:tc>
        <w:tc>
          <w:tcPr>
            <w:tcW w:w="324" w:type="pct"/>
            <w:tcMar>
              <w:top w:w="0" w:type="dxa"/>
              <w:left w:w="28" w:type="dxa"/>
              <w:bottom w:w="0" w:type="dxa"/>
              <w:right w:w="28" w:type="dxa"/>
            </w:tcMar>
            <w:vAlign w:val="bottom"/>
          </w:tcPr>
          <w:p w14:paraId="315B478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w:t>
            </w:r>
            <w:r>
              <w:rPr>
                <w:rFonts w:hint="eastAsia"/>
                <w:b/>
                <w:bCs/>
                <w:kern w:val="2"/>
                <w:sz w:val="21"/>
                <w:szCs w:val="21"/>
                <w:u w:val="single"/>
              </w:rPr>
              <w:t>3</w:t>
            </w:r>
          </w:p>
        </w:tc>
        <w:tc>
          <w:tcPr>
            <w:tcW w:w="358" w:type="pct"/>
            <w:tcMar>
              <w:top w:w="0" w:type="dxa"/>
              <w:left w:w="28" w:type="dxa"/>
              <w:bottom w:w="0" w:type="dxa"/>
              <w:right w:w="28" w:type="dxa"/>
            </w:tcMar>
            <w:vAlign w:val="center"/>
          </w:tcPr>
          <w:p w14:paraId="15D322FE" w14:textId="77777777" w:rsidR="003E78AB" w:rsidRDefault="00010BF9">
            <w:pPr>
              <w:spacing w:line="360" w:lineRule="exact"/>
              <w:ind w:firstLineChars="0" w:firstLine="0"/>
              <w:jc w:val="center"/>
              <w:textAlignment w:val="center"/>
              <w:rPr>
                <w:b/>
                <w:bCs/>
                <w:kern w:val="2"/>
                <w:sz w:val="21"/>
                <w:szCs w:val="21"/>
                <w:u w:val="single"/>
              </w:rPr>
            </w:pPr>
            <w:r>
              <w:rPr>
                <w:rFonts w:hint="eastAsia"/>
                <w:b/>
                <w:bCs/>
                <w:kern w:val="2"/>
                <w:sz w:val="21"/>
                <w:szCs w:val="21"/>
                <w:u w:val="single"/>
              </w:rPr>
              <w:t>18.52</w:t>
            </w:r>
          </w:p>
        </w:tc>
        <w:tc>
          <w:tcPr>
            <w:tcW w:w="270" w:type="pct"/>
            <w:tcMar>
              <w:top w:w="0" w:type="dxa"/>
              <w:left w:w="28" w:type="dxa"/>
              <w:bottom w:w="0" w:type="dxa"/>
              <w:right w:w="28" w:type="dxa"/>
            </w:tcMar>
            <w:vAlign w:val="center"/>
          </w:tcPr>
          <w:p w14:paraId="5FF218CD"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8</w:t>
            </w:r>
            <w:r>
              <w:rPr>
                <w:b/>
                <w:bCs/>
                <w:kern w:val="2"/>
                <w:sz w:val="21"/>
                <w:szCs w:val="21"/>
                <w:u w:val="single"/>
              </w:rPr>
              <w:t>0</w:t>
            </w:r>
          </w:p>
        </w:tc>
        <w:tc>
          <w:tcPr>
            <w:tcW w:w="343" w:type="pct"/>
            <w:tcMar>
              <w:top w:w="0" w:type="dxa"/>
              <w:left w:w="28" w:type="dxa"/>
              <w:bottom w:w="0" w:type="dxa"/>
              <w:right w:w="28" w:type="dxa"/>
            </w:tcMar>
            <w:vAlign w:val="center"/>
          </w:tcPr>
          <w:p w14:paraId="65AE68F5" w14:textId="77777777" w:rsidR="003E78AB" w:rsidRDefault="00010BF9">
            <w:pPr>
              <w:spacing w:line="360" w:lineRule="exact"/>
              <w:ind w:firstLineChars="0" w:firstLine="0"/>
              <w:jc w:val="center"/>
              <w:rPr>
                <w:b/>
                <w:bCs/>
                <w:sz w:val="21"/>
                <w:szCs w:val="21"/>
                <w:u w:val="single"/>
              </w:rPr>
            </w:pPr>
            <w:r>
              <w:rPr>
                <w:rFonts w:hint="eastAsia"/>
                <w:b/>
                <w:bCs/>
                <w:kern w:val="2"/>
                <w:sz w:val="21"/>
                <w:szCs w:val="21"/>
                <w:u w:val="single"/>
              </w:rPr>
              <w:t>43</w:t>
            </w:r>
            <w:r>
              <w:rPr>
                <w:b/>
                <w:bCs/>
                <w:kern w:val="2"/>
                <w:sz w:val="21"/>
                <w:szCs w:val="21"/>
                <w:u w:val="single"/>
              </w:rPr>
              <w:t>20</w:t>
            </w:r>
          </w:p>
        </w:tc>
        <w:tc>
          <w:tcPr>
            <w:tcW w:w="398" w:type="pct"/>
            <w:tcMar>
              <w:top w:w="0" w:type="dxa"/>
              <w:left w:w="28" w:type="dxa"/>
              <w:bottom w:w="0" w:type="dxa"/>
              <w:right w:w="28" w:type="dxa"/>
            </w:tcMar>
            <w:vAlign w:val="center"/>
          </w:tcPr>
          <w:p w14:paraId="6EFD5BD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0.0278</w:t>
            </w:r>
          </w:p>
        </w:tc>
        <w:tc>
          <w:tcPr>
            <w:tcW w:w="363" w:type="pct"/>
            <w:tcMar>
              <w:top w:w="0" w:type="dxa"/>
              <w:left w:w="28" w:type="dxa"/>
              <w:bottom w:w="0" w:type="dxa"/>
              <w:right w:w="28" w:type="dxa"/>
            </w:tcMar>
            <w:vAlign w:val="center"/>
          </w:tcPr>
          <w:p w14:paraId="08B922F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0.0354</w:t>
            </w:r>
          </w:p>
        </w:tc>
        <w:tc>
          <w:tcPr>
            <w:tcW w:w="285" w:type="pct"/>
            <w:tcMar>
              <w:top w:w="0" w:type="dxa"/>
              <w:left w:w="28" w:type="dxa"/>
              <w:bottom w:w="0" w:type="dxa"/>
              <w:right w:w="28" w:type="dxa"/>
            </w:tcMar>
            <w:vAlign w:val="center"/>
          </w:tcPr>
          <w:p w14:paraId="417F523F"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0.2355</w:t>
            </w:r>
          </w:p>
        </w:tc>
        <w:tc>
          <w:tcPr>
            <w:tcW w:w="591" w:type="pct"/>
            <w:tcMar>
              <w:top w:w="0" w:type="dxa"/>
              <w:left w:w="28" w:type="dxa"/>
              <w:bottom w:w="0" w:type="dxa"/>
              <w:right w:w="28" w:type="dxa"/>
            </w:tcMar>
            <w:vAlign w:val="center"/>
          </w:tcPr>
          <w:p w14:paraId="4C82FFAC"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c>
          <w:tcPr>
            <w:tcW w:w="359" w:type="pct"/>
          </w:tcPr>
          <w:p w14:paraId="58973995"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p>
        </w:tc>
      </w:tr>
    </w:tbl>
    <w:p w14:paraId="6B77EA41" w14:textId="77777777" w:rsidR="003E78AB" w:rsidRDefault="00010BF9">
      <w:pPr>
        <w:pStyle w:val="a4"/>
        <w:spacing w:before="120"/>
        <w:ind w:left="425" w:hanging="425"/>
        <w:rPr>
          <w:b/>
          <w:bCs/>
          <w:u w:val="single"/>
        </w:rPr>
      </w:pPr>
      <w:bookmarkStart w:id="373" w:name="_Ref2885"/>
      <w:r>
        <w:rPr>
          <w:b/>
          <w:bCs/>
          <w:u w:val="single"/>
        </w:rPr>
        <w:t>无组织废气污染源排放参数</w:t>
      </w:r>
      <w:bookmarkEnd w:id="37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3"/>
        <w:gridCol w:w="2376"/>
        <w:gridCol w:w="1054"/>
        <w:gridCol w:w="949"/>
        <w:gridCol w:w="1365"/>
        <w:gridCol w:w="1377"/>
        <w:gridCol w:w="1377"/>
        <w:gridCol w:w="1080"/>
        <w:gridCol w:w="1738"/>
        <w:gridCol w:w="2178"/>
      </w:tblGrid>
      <w:tr w:rsidR="003E78AB" w14:paraId="5D8AB60C" w14:textId="77777777">
        <w:trPr>
          <w:trHeight w:val="276"/>
          <w:tblHeader/>
          <w:jc w:val="center"/>
        </w:trPr>
        <w:tc>
          <w:tcPr>
            <w:tcW w:w="185" w:type="pct"/>
            <w:vMerge w:val="restart"/>
            <w:noWrap/>
            <w:vAlign w:val="center"/>
          </w:tcPr>
          <w:p w14:paraId="7262A9DC"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编号</w:t>
            </w:r>
          </w:p>
        </w:tc>
        <w:tc>
          <w:tcPr>
            <w:tcW w:w="849" w:type="pct"/>
            <w:vMerge w:val="restart"/>
            <w:noWrap/>
            <w:vAlign w:val="center"/>
          </w:tcPr>
          <w:p w14:paraId="4E1B4CA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污染源名称</w:t>
            </w:r>
          </w:p>
        </w:tc>
        <w:tc>
          <w:tcPr>
            <w:tcW w:w="699" w:type="pct"/>
            <w:gridSpan w:val="2"/>
            <w:noWrap/>
            <w:vAlign w:val="center"/>
          </w:tcPr>
          <w:p w14:paraId="085802D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中心坐标</w:t>
            </w:r>
            <w:r>
              <w:rPr>
                <w:b/>
                <w:bCs/>
                <w:kern w:val="2"/>
                <w:sz w:val="21"/>
                <w:szCs w:val="21"/>
                <w:u w:val="single"/>
              </w:rPr>
              <w:t>/m</w:t>
            </w:r>
          </w:p>
        </w:tc>
        <w:tc>
          <w:tcPr>
            <w:tcW w:w="490" w:type="pct"/>
            <w:vMerge w:val="restart"/>
            <w:noWrap/>
            <w:vAlign w:val="center"/>
          </w:tcPr>
          <w:p w14:paraId="33712AED"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面</w:t>
            </w:r>
            <w:r>
              <w:rPr>
                <w:b/>
                <w:bCs/>
                <w:kern w:val="2"/>
                <w:sz w:val="21"/>
                <w:szCs w:val="21"/>
                <w:u w:val="single"/>
              </w:rPr>
              <w:t>(</w:t>
            </w:r>
            <w:r>
              <w:rPr>
                <w:b/>
                <w:bCs/>
                <w:kern w:val="2"/>
                <w:sz w:val="21"/>
                <w:szCs w:val="21"/>
                <w:u w:val="single"/>
              </w:rPr>
              <w:t>体</w:t>
            </w:r>
            <w:r>
              <w:rPr>
                <w:b/>
                <w:bCs/>
                <w:kern w:val="2"/>
                <w:sz w:val="21"/>
                <w:szCs w:val="21"/>
                <w:u w:val="single"/>
              </w:rPr>
              <w:t>)</w:t>
            </w:r>
            <w:r>
              <w:rPr>
                <w:b/>
                <w:bCs/>
                <w:kern w:val="2"/>
                <w:sz w:val="21"/>
                <w:szCs w:val="21"/>
                <w:u w:val="single"/>
              </w:rPr>
              <w:t>源宽度</w:t>
            </w:r>
          </w:p>
        </w:tc>
        <w:tc>
          <w:tcPr>
            <w:tcW w:w="493" w:type="pct"/>
            <w:vMerge w:val="restart"/>
            <w:noWrap/>
            <w:vAlign w:val="center"/>
          </w:tcPr>
          <w:p w14:paraId="17888A83"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面</w:t>
            </w:r>
            <w:r>
              <w:rPr>
                <w:b/>
                <w:bCs/>
                <w:kern w:val="2"/>
                <w:sz w:val="21"/>
                <w:szCs w:val="21"/>
                <w:u w:val="single"/>
              </w:rPr>
              <w:t>(</w:t>
            </w:r>
            <w:r>
              <w:rPr>
                <w:b/>
                <w:bCs/>
                <w:kern w:val="2"/>
                <w:sz w:val="21"/>
                <w:szCs w:val="21"/>
                <w:u w:val="single"/>
              </w:rPr>
              <w:t>体</w:t>
            </w:r>
            <w:r>
              <w:rPr>
                <w:b/>
                <w:bCs/>
                <w:kern w:val="2"/>
                <w:sz w:val="21"/>
                <w:szCs w:val="21"/>
                <w:u w:val="single"/>
              </w:rPr>
              <w:t>)</w:t>
            </w:r>
            <w:r>
              <w:rPr>
                <w:b/>
                <w:bCs/>
                <w:kern w:val="2"/>
                <w:sz w:val="21"/>
                <w:szCs w:val="21"/>
                <w:u w:val="single"/>
              </w:rPr>
              <w:t>源长度</w:t>
            </w:r>
          </w:p>
        </w:tc>
        <w:tc>
          <w:tcPr>
            <w:tcW w:w="493" w:type="pct"/>
            <w:vMerge w:val="restart"/>
            <w:noWrap/>
            <w:vAlign w:val="center"/>
          </w:tcPr>
          <w:p w14:paraId="6C3670D8"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面</w:t>
            </w:r>
            <w:r>
              <w:rPr>
                <w:b/>
                <w:bCs/>
                <w:kern w:val="2"/>
                <w:sz w:val="21"/>
                <w:szCs w:val="21"/>
                <w:u w:val="single"/>
              </w:rPr>
              <w:t>(</w:t>
            </w:r>
            <w:r>
              <w:rPr>
                <w:b/>
                <w:bCs/>
                <w:kern w:val="2"/>
                <w:sz w:val="21"/>
                <w:szCs w:val="21"/>
                <w:u w:val="single"/>
              </w:rPr>
              <w:t>体</w:t>
            </w:r>
            <w:r>
              <w:rPr>
                <w:b/>
                <w:bCs/>
                <w:kern w:val="2"/>
                <w:sz w:val="21"/>
                <w:szCs w:val="21"/>
                <w:u w:val="single"/>
              </w:rPr>
              <w:t>)</w:t>
            </w:r>
            <w:r>
              <w:rPr>
                <w:b/>
                <w:bCs/>
                <w:kern w:val="2"/>
                <w:sz w:val="21"/>
                <w:szCs w:val="21"/>
                <w:u w:val="single"/>
              </w:rPr>
              <w:t>源角度</w:t>
            </w:r>
          </w:p>
        </w:tc>
        <w:tc>
          <w:tcPr>
            <w:tcW w:w="387" w:type="pct"/>
            <w:vMerge w:val="restart"/>
            <w:noWrap/>
            <w:vAlign w:val="center"/>
          </w:tcPr>
          <w:p w14:paraId="7F940394"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有效高</w:t>
            </w:r>
            <w:r>
              <w:rPr>
                <w:b/>
                <w:bCs/>
                <w:kern w:val="2"/>
                <w:sz w:val="21"/>
                <w:szCs w:val="21"/>
                <w:u w:val="single"/>
              </w:rPr>
              <w:t>He</w:t>
            </w:r>
          </w:p>
        </w:tc>
        <w:tc>
          <w:tcPr>
            <w:tcW w:w="1400" w:type="pct"/>
            <w:gridSpan w:val="2"/>
            <w:noWrap/>
            <w:vAlign w:val="center"/>
          </w:tcPr>
          <w:p w14:paraId="6C5A415E"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污染物排放速率（</w:t>
            </w:r>
            <w:r>
              <w:rPr>
                <w:b/>
                <w:bCs/>
                <w:kern w:val="2"/>
                <w:sz w:val="21"/>
                <w:szCs w:val="21"/>
                <w:u w:val="single"/>
              </w:rPr>
              <w:t>kg/h</w:t>
            </w:r>
            <w:r>
              <w:rPr>
                <w:b/>
                <w:bCs/>
                <w:kern w:val="2"/>
                <w:sz w:val="21"/>
                <w:szCs w:val="21"/>
                <w:u w:val="single"/>
              </w:rPr>
              <w:t>）</w:t>
            </w:r>
          </w:p>
        </w:tc>
      </w:tr>
      <w:tr w:rsidR="003E78AB" w14:paraId="5D234FE1" w14:textId="77777777">
        <w:trPr>
          <w:trHeight w:val="276"/>
          <w:tblHeader/>
          <w:jc w:val="center"/>
        </w:trPr>
        <w:tc>
          <w:tcPr>
            <w:tcW w:w="185" w:type="pct"/>
            <w:vMerge/>
            <w:noWrap/>
            <w:vAlign w:val="center"/>
          </w:tcPr>
          <w:p w14:paraId="2D76D0CA" w14:textId="77777777" w:rsidR="003E78AB" w:rsidRDefault="003E78AB">
            <w:pPr>
              <w:spacing w:line="360" w:lineRule="exact"/>
              <w:ind w:firstLineChars="0" w:firstLine="0"/>
              <w:jc w:val="center"/>
              <w:rPr>
                <w:b/>
                <w:bCs/>
                <w:kern w:val="2"/>
                <w:sz w:val="21"/>
                <w:szCs w:val="21"/>
                <w:u w:val="single"/>
              </w:rPr>
            </w:pPr>
          </w:p>
        </w:tc>
        <w:tc>
          <w:tcPr>
            <w:tcW w:w="849" w:type="pct"/>
            <w:vMerge/>
            <w:noWrap/>
            <w:vAlign w:val="center"/>
          </w:tcPr>
          <w:p w14:paraId="42349479" w14:textId="77777777" w:rsidR="003E78AB" w:rsidRDefault="003E78AB">
            <w:pPr>
              <w:spacing w:line="360" w:lineRule="exact"/>
              <w:ind w:firstLineChars="0" w:firstLine="0"/>
              <w:jc w:val="center"/>
              <w:rPr>
                <w:b/>
                <w:bCs/>
                <w:kern w:val="2"/>
                <w:sz w:val="21"/>
                <w:szCs w:val="21"/>
                <w:u w:val="single"/>
              </w:rPr>
            </w:pPr>
          </w:p>
        </w:tc>
        <w:tc>
          <w:tcPr>
            <w:tcW w:w="377" w:type="pct"/>
            <w:noWrap/>
            <w:vAlign w:val="center"/>
          </w:tcPr>
          <w:p w14:paraId="7630BD8C"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东经</w:t>
            </w:r>
          </w:p>
        </w:tc>
        <w:tc>
          <w:tcPr>
            <w:tcW w:w="322" w:type="pct"/>
            <w:noWrap/>
            <w:vAlign w:val="center"/>
          </w:tcPr>
          <w:p w14:paraId="46E48AA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北纬</w:t>
            </w:r>
          </w:p>
        </w:tc>
        <w:tc>
          <w:tcPr>
            <w:tcW w:w="490" w:type="pct"/>
            <w:vMerge/>
            <w:noWrap/>
            <w:vAlign w:val="center"/>
          </w:tcPr>
          <w:p w14:paraId="48A85753" w14:textId="77777777" w:rsidR="003E78AB" w:rsidRDefault="003E78AB">
            <w:pPr>
              <w:spacing w:line="360" w:lineRule="exact"/>
              <w:ind w:firstLineChars="0" w:firstLine="0"/>
              <w:jc w:val="center"/>
              <w:rPr>
                <w:b/>
                <w:bCs/>
                <w:kern w:val="2"/>
                <w:sz w:val="21"/>
                <w:szCs w:val="21"/>
                <w:u w:val="single"/>
              </w:rPr>
            </w:pPr>
          </w:p>
        </w:tc>
        <w:tc>
          <w:tcPr>
            <w:tcW w:w="493" w:type="pct"/>
            <w:vMerge/>
            <w:noWrap/>
            <w:vAlign w:val="center"/>
          </w:tcPr>
          <w:p w14:paraId="7D2AF480" w14:textId="77777777" w:rsidR="003E78AB" w:rsidRDefault="003E78AB">
            <w:pPr>
              <w:spacing w:line="360" w:lineRule="exact"/>
              <w:ind w:firstLineChars="0" w:firstLine="0"/>
              <w:jc w:val="center"/>
              <w:rPr>
                <w:b/>
                <w:bCs/>
                <w:kern w:val="2"/>
                <w:sz w:val="21"/>
                <w:szCs w:val="21"/>
                <w:u w:val="single"/>
              </w:rPr>
            </w:pPr>
          </w:p>
        </w:tc>
        <w:tc>
          <w:tcPr>
            <w:tcW w:w="493" w:type="pct"/>
            <w:vMerge/>
            <w:noWrap/>
            <w:vAlign w:val="center"/>
          </w:tcPr>
          <w:p w14:paraId="73F2BB2C" w14:textId="77777777" w:rsidR="003E78AB" w:rsidRDefault="003E78AB">
            <w:pPr>
              <w:spacing w:line="360" w:lineRule="exact"/>
              <w:ind w:firstLineChars="0" w:firstLine="0"/>
              <w:jc w:val="center"/>
              <w:rPr>
                <w:b/>
                <w:bCs/>
                <w:kern w:val="2"/>
                <w:sz w:val="21"/>
                <w:szCs w:val="21"/>
                <w:u w:val="single"/>
              </w:rPr>
            </w:pPr>
          </w:p>
        </w:tc>
        <w:tc>
          <w:tcPr>
            <w:tcW w:w="387" w:type="pct"/>
            <w:vMerge/>
            <w:noWrap/>
            <w:vAlign w:val="center"/>
          </w:tcPr>
          <w:p w14:paraId="42037DBF" w14:textId="77777777" w:rsidR="003E78AB" w:rsidRDefault="003E78AB">
            <w:pPr>
              <w:spacing w:line="360" w:lineRule="exact"/>
              <w:ind w:firstLineChars="0" w:firstLine="0"/>
              <w:jc w:val="center"/>
              <w:rPr>
                <w:b/>
                <w:bCs/>
                <w:kern w:val="2"/>
                <w:sz w:val="21"/>
                <w:szCs w:val="21"/>
                <w:u w:val="single"/>
              </w:rPr>
            </w:pPr>
          </w:p>
        </w:tc>
        <w:tc>
          <w:tcPr>
            <w:tcW w:w="622" w:type="pct"/>
            <w:noWrap/>
            <w:vAlign w:val="center"/>
          </w:tcPr>
          <w:p w14:paraId="1AFBDE7B"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TSP</w:t>
            </w:r>
          </w:p>
        </w:tc>
        <w:tc>
          <w:tcPr>
            <w:tcW w:w="778" w:type="pct"/>
          </w:tcPr>
          <w:p w14:paraId="4B92E335"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硫酸雾</w:t>
            </w:r>
          </w:p>
        </w:tc>
      </w:tr>
      <w:tr w:rsidR="003E78AB" w14:paraId="234A1B33" w14:textId="77777777">
        <w:trPr>
          <w:trHeight w:val="276"/>
          <w:jc w:val="center"/>
        </w:trPr>
        <w:tc>
          <w:tcPr>
            <w:tcW w:w="185" w:type="pct"/>
            <w:noWrap/>
            <w:vAlign w:val="center"/>
          </w:tcPr>
          <w:p w14:paraId="2EBC4C9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1</w:t>
            </w:r>
          </w:p>
        </w:tc>
        <w:tc>
          <w:tcPr>
            <w:tcW w:w="849" w:type="pct"/>
            <w:noWrap/>
            <w:vAlign w:val="bottom"/>
          </w:tcPr>
          <w:p w14:paraId="08D3459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生产车间一</w:t>
            </w:r>
          </w:p>
        </w:tc>
        <w:tc>
          <w:tcPr>
            <w:tcW w:w="1052" w:type="dxa"/>
            <w:noWrap/>
            <w:vAlign w:val="bottom"/>
          </w:tcPr>
          <w:p w14:paraId="2C21EB61"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93.2515343</w:t>
            </w:r>
          </w:p>
        </w:tc>
        <w:tc>
          <w:tcPr>
            <w:tcW w:w="949" w:type="dxa"/>
            <w:noWrap/>
            <w:vAlign w:val="bottom"/>
          </w:tcPr>
          <w:p w14:paraId="2C4FB83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42.413874</w:t>
            </w:r>
          </w:p>
        </w:tc>
        <w:tc>
          <w:tcPr>
            <w:tcW w:w="490" w:type="pct"/>
            <w:noWrap/>
            <w:vAlign w:val="center"/>
          </w:tcPr>
          <w:p w14:paraId="0959DC03"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96</w:t>
            </w:r>
          </w:p>
        </w:tc>
        <w:tc>
          <w:tcPr>
            <w:tcW w:w="493" w:type="pct"/>
            <w:noWrap/>
            <w:vAlign w:val="center"/>
          </w:tcPr>
          <w:p w14:paraId="575A190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58</w:t>
            </w:r>
          </w:p>
        </w:tc>
        <w:tc>
          <w:tcPr>
            <w:tcW w:w="493" w:type="pct"/>
            <w:noWrap/>
            <w:vAlign w:val="center"/>
          </w:tcPr>
          <w:p w14:paraId="367E4B3A"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w:t>
            </w:r>
          </w:p>
        </w:tc>
        <w:tc>
          <w:tcPr>
            <w:tcW w:w="387" w:type="pct"/>
            <w:noWrap/>
            <w:vAlign w:val="center"/>
          </w:tcPr>
          <w:p w14:paraId="2618C052"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6</w:t>
            </w:r>
          </w:p>
        </w:tc>
        <w:tc>
          <w:tcPr>
            <w:tcW w:w="622" w:type="pct"/>
            <w:noWrap/>
            <w:vAlign w:val="center"/>
          </w:tcPr>
          <w:p w14:paraId="1E96D1DF"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0.0657</w:t>
            </w:r>
          </w:p>
        </w:tc>
        <w:tc>
          <w:tcPr>
            <w:tcW w:w="778" w:type="pct"/>
            <w:vAlign w:val="center"/>
          </w:tcPr>
          <w:p w14:paraId="1AFE27D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0.0088</w:t>
            </w:r>
          </w:p>
        </w:tc>
      </w:tr>
    </w:tbl>
    <w:p w14:paraId="6D0235B0" w14:textId="77777777" w:rsidR="003E78AB" w:rsidRDefault="00010BF9">
      <w:pPr>
        <w:pStyle w:val="a4"/>
        <w:spacing w:before="120"/>
        <w:ind w:left="425" w:hanging="425"/>
        <w:rPr>
          <w:b/>
          <w:bCs/>
          <w:u w:val="single"/>
        </w:rPr>
      </w:pPr>
      <w:r>
        <w:rPr>
          <w:rFonts w:hint="eastAsia"/>
          <w:b/>
          <w:bCs/>
          <w:u w:val="single"/>
        </w:rPr>
        <w:t>项目非正常工况污染物、排放参数一览表</w:t>
      </w:r>
    </w:p>
    <w:tbl>
      <w:tblPr>
        <w:tblW w:w="4996"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601"/>
        <w:gridCol w:w="1215"/>
        <w:gridCol w:w="1109"/>
        <w:gridCol w:w="1109"/>
        <w:gridCol w:w="1054"/>
        <w:gridCol w:w="867"/>
        <w:gridCol w:w="949"/>
        <w:gridCol w:w="988"/>
        <w:gridCol w:w="776"/>
        <w:gridCol w:w="980"/>
        <w:gridCol w:w="1720"/>
        <w:gridCol w:w="1397"/>
        <w:gridCol w:w="1399"/>
      </w:tblGrid>
      <w:tr w:rsidR="003E78AB" w14:paraId="64578F42" w14:textId="77777777">
        <w:trPr>
          <w:trHeight w:val="340"/>
          <w:jc w:val="center"/>
        </w:trPr>
        <w:tc>
          <w:tcPr>
            <w:tcW w:w="212" w:type="pct"/>
            <w:vMerge w:val="restart"/>
            <w:vAlign w:val="center"/>
          </w:tcPr>
          <w:p w14:paraId="08D289B1"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编号</w:t>
            </w:r>
          </w:p>
        </w:tc>
        <w:tc>
          <w:tcPr>
            <w:tcW w:w="428" w:type="pct"/>
            <w:vMerge w:val="restart"/>
            <w:vAlign w:val="center"/>
          </w:tcPr>
          <w:p w14:paraId="0FF8FC6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名称</w:t>
            </w:r>
          </w:p>
        </w:tc>
        <w:tc>
          <w:tcPr>
            <w:tcW w:w="782" w:type="pct"/>
            <w:gridSpan w:val="2"/>
            <w:vAlign w:val="center"/>
          </w:tcPr>
          <w:p w14:paraId="5DF6EE1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排气筒底部中心坐标</w:t>
            </w:r>
          </w:p>
        </w:tc>
        <w:tc>
          <w:tcPr>
            <w:tcW w:w="372" w:type="pct"/>
            <w:vMerge w:val="restart"/>
            <w:vAlign w:val="center"/>
          </w:tcPr>
          <w:p w14:paraId="6519459E"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排气筒底部海拔高度（</w:t>
            </w:r>
            <w:r>
              <w:rPr>
                <w:rFonts w:hint="eastAsia"/>
                <w:b/>
                <w:bCs/>
                <w:kern w:val="2"/>
                <w:sz w:val="21"/>
                <w:szCs w:val="21"/>
                <w:u w:val="single"/>
              </w:rPr>
              <w:t>m</w:t>
            </w:r>
            <w:r>
              <w:rPr>
                <w:rFonts w:hint="eastAsia"/>
                <w:b/>
                <w:bCs/>
                <w:kern w:val="2"/>
                <w:sz w:val="21"/>
                <w:szCs w:val="21"/>
                <w:u w:val="single"/>
              </w:rPr>
              <w:t>）</w:t>
            </w:r>
          </w:p>
        </w:tc>
        <w:tc>
          <w:tcPr>
            <w:tcW w:w="306" w:type="pct"/>
            <w:vMerge w:val="restart"/>
            <w:vAlign w:val="center"/>
          </w:tcPr>
          <w:p w14:paraId="1590A70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排气筒高度（</w:t>
            </w:r>
            <w:r>
              <w:rPr>
                <w:rFonts w:hint="eastAsia"/>
                <w:b/>
                <w:bCs/>
                <w:kern w:val="2"/>
                <w:sz w:val="21"/>
                <w:szCs w:val="21"/>
                <w:u w:val="single"/>
              </w:rPr>
              <w:t>m</w:t>
            </w:r>
            <w:r>
              <w:rPr>
                <w:rFonts w:hint="eastAsia"/>
                <w:b/>
                <w:bCs/>
                <w:kern w:val="2"/>
                <w:sz w:val="21"/>
                <w:szCs w:val="21"/>
                <w:u w:val="single"/>
              </w:rPr>
              <w:t>）</w:t>
            </w:r>
          </w:p>
        </w:tc>
        <w:tc>
          <w:tcPr>
            <w:tcW w:w="335" w:type="pct"/>
            <w:vMerge w:val="restart"/>
            <w:vAlign w:val="center"/>
          </w:tcPr>
          <w:p w14:paraId="6963745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排气筒出口内径（</w:t>
            </w:r>
            <w:r>
              <w:rPr>
                <w:rFonts w:hint="eastAsia"/>
                <w:b/>
                <w:bCs/>
                <w:kern w:val="2"/>
                <w:sz w:val="21"/>
                <w:szCs w:val="21"/>
                <w:u w:val="single"/>
              </w:rPr>
              <w:t>m</w:t>
            </w:r>
            <w:r>
              <w:rPr>
                <w:rFonts w:hint="eastAsia"/>
                <w:b/>
                <w:bCs/>
                <w:kern w:val="2"/>
                <w:sz w:val="21"/>
                <w:szCs w:val="21"/>
                <w:u w:val="single"/>
              </w:rPr>
              <w:t>）</w:t>
            </w:r>
          </w:p>
        </w:tc>
        <w:tc>
          <w:tcPr>
            <w:tcW w:w="348" w:type="pct"/>
            <w:vMerge w:val="restart"/>
            <w:vAlign w:val="center"/>
          </w:tcPr>
          <w:p w14:paraId="27739A3B"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烟气流量（</w:t>
            </w:r>
            <w:r>
              <w:rPr>
                <w:rFonts w:hint="eastAsia"/>
                <w:b/>
                <w:bCs/>
                <w:kern w:val="2"/>
                <w:sz w:val="21"/>
                <w:szCs w:val="21"/>
                <w:u w:val="single"/>
              </w:rPr>
              <w:t>m3/h</w:t>
            </w:r>
            <w:r>
              <w:rPr>
                <w:rFonts w:hint="eastAsia"/>
                <w:b/>
                <w:bCs/>
                <w:kern w:val="2"/>
                <w:sz w:val="21"/>
                <w:szCs w:val="21"/>
                <w:u w:val="single"/>
              </w:rPr>
              <w:t>）</w:t>
            </w:r>
          </w:p>
        </w:tc>
        <w:tc>
          <w:tcPr>
            <w:tcW w:w="274" w:type="pct"/>
            <w:vMerge w:val="restart"/>
            <w:vAlign w:val="center"/>
          </w:tcPr>
          <w:p w14:paraId="18F094BD"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烟气温度（℃）</w:t>
            </w:r>
          </w:p>
        </w:tc>
        <w:tc>
          <w:tcPr>
            <w:tcW w:w="346" w:type="pct"/>
            <w:vMerge w:val="restart"/>
            <w:vAlign w:val="center"/>
          </w:tcPr>
          <w:p w14:paraId="6086DF3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非正常工况原因</w:t>
            </w:r>
          </w:p>
        </w:tc>
        <w:tc>
          <w:tcPr>
            <w:tcW w:w="606" w:type="pct"/>
            <w:vMerge w:val="restart"/>
            <w:vAlign w:val="center"/>
          </w:tcPr>
          <w:p w14:paraId="312D2E0C"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排放工况</w:t>
            </w:r>
          </w:p>
        </w:tc>
        <w:tc>
          <w:tcPr>
            <w:tcW w:w="985" w:type="pct"/>
            <w:gridSpan w:val="2"/>
            <w:vMerge w:val="restart"/>
            <w:vAlign w:val="center"/>
          </w:tcPr>
          <w:p w14:paraId="2D4C54A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污染物排放速率（</w:t>
            </w:r>
            <w:r>
              <w:rPr>
                <w:rFonts w:hint="eastAsia"/>
                <w:b/>
                <w:bCs/>
                <w:kern w:val="2"/>
                <w:sz w:val="21"/>
                <w:szCs w:val="21"/>
                <w:u w:val="single"/>
              </w:rPr>
              <w:t>kg/h</w:t>
            </w:r>
            <w:r>
              <w:rPr>
                <w:rFonts w:hint="eastAsia"/>
                <w:b/>
                <w:bCs/>
                <w:kern w:val="2"/>
                <w:sz w:val="21"/>
                <w:szCs w:val="21"/>
                <w:u w:val="single"/>
              </w:rPr>
              <w:t>）</w:t>
            </w:r>
          </w:p>
        </w:tc>
      </w:tr>
      <w:tr w:rsidR="003E78AB" w14:paraId="35B48439" w14:textId="77777777">
        <w:trPr>
          <w:trHeight w:val="520"/>
          <w:jc w:val="center"/>
        </w:trPr>
        <w:tc>
          <w:tcPr>
            <w:tcW w:w="212" w:type="pct"/>
            <w:vMerge/>
            <w:vAlign w:val="center"/>
          </w:tcPr>
          <w:p w14:paraId="0E1FD0F7" w14:textId="77777777" w:rsidR="003E78AB" w:rsidRDefault="003E78AB">
            <w:pPr>
              <w:ind w:firstLine="482"/>
              <w:jc w:val="center"/>
              <w:rPr>
                <w:b/>
                <w:bCs/>
                <w:color w:val="FF0000"/>
                <w:u w:val="single"/>
              </w:rPr>
            </w:pPr>
          </w:p>
        </w:tc>
        <w:tc>
          <w:tcPr>
            <w:tcW w:w="428" w:type="pct"/>
            <w:vMerge/>
            <w:vAlign w:val="center"/>
          </w:tcPr>
          <w:p w14:paraId="75A03C1D" w14:textId="77777777" w:rsidR="003E78AB" w:rsidRDefault="003E78AB">
            <w:pPr>
              <w:ind w:firstLine="482"/>
              <w:jc w:val="center"/>
              <w:rPr>
                <w:b/>
                <w:bCs/>
                <w:color w:val="FF0000"/>
                <w:u w:val="single"/>
              </w:rPr>
            </w:pPr>
          </w:p>
        </w:tc>
        <w:tc>
          <w:tcPr>
            <w:tcW w:w="391" w:type="pct"/>
            <w:vMerge w:val="restart"/>
            <w:vAlign w:val="center"/>
          </w:tcPr>
          <w:p w14:paraId="1F2F2111"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东经</w:t>
            </w:r>
          </w:p>
        </w:tc>
        <w:tc>
          <w:tcPr>
            <w:tcW w:w="391" w:type="pct"/>
            <w:vMerge w:val="restart"/>
            <w:vAlign w:val="center"/>
          </w:tcPr>
          <w:p w14:paraId="6E145ED1"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北纬</w:t>
            </w:r>
          </w:p>
        </w:tc>
        <w:tc>
          <w:tcPr>
            <w:tcW w:w="372" w:type="pct"/>
            <w:vMerge/>
            <w:vAlign w:val="center"/>
          </w:tcPr>
          <w:p w14:paraId="1E86695F" w14:textId="77777777" w:rsidR="003E78AB" w:rsidRDefault="003E78AB">
            <w:pPr>
              <w:ind w:firstLine="482"/>
              <w:jc w:val="center"/>
              <w:rPr>
                <w:b/>
                <w:bCs/>
                <w:color w:val="FF0000"/>
                <w:u w:val="single"/>
              </w:rPr>
            </w:pPr>
          </w:p>
        </w:tc>
        <w:tc>
          <w:tcPr>
            <w:tcW w:w="306" w:type="pct"/>
            <w:vMerge/>
            <w:vAlign w:val="center"/>
          </w:tcPr>
          <w:p w14:paraId="2585154A" w14:textId="77777777" w:rsidR="003E78AB" w:rsidRDefault="003E78AB">
            <w:pPr>
              <w:ind w:firstLine="482"/>
              <w:jc w:val="center"/>
              <w:rPr>
                <w:b/>
                <w:bCs/>
                <w:color w:val="FF0000"/>
                <w:u w:val="single"/>
              </w:rPr>
            </w:pPr>
          </w:p>
        </w:tc>
        <w:tc>
          <w:tcPr>
            <w:tcW w:w="335" w:type="pct"/>
            <w:vMerge/>
            <w:vAlign w:val="center"/>
          </w:tcPr>
          <w:p w14:paraId="7D8E7F10" w14:textId="77777777" w:rsidR="003E78AB" w:rsidRDefault="003E78AB">
            <w:pPr>
              <w:ind w:firstLine="482"/>
              <w:jc w:val="center"/>
              <w:rPr>
                <w:b/>
                <w:bCs/>
                <w:color w:val="FF0000"/>
                <w:u w:val="single"/>
              </w:rPr>
            </w:pPr>
          </w:p>
        </w:tc>
        <w:tc>
          <w:tcPr>
            <w:tcW w:w="348" w:type="pct"/>
            <w:vMerge/>
            <w:vAlign w:val="center"/>
          </w:tcPr>
          <w:p w14:paraId="5EAD7814" w14:textId="77777777" w:rsidR="003E78AB" w:rsidRDefault="003E78AB">
            <w:pPr>
              <w:ind w:firstLine="482"/>
              <w:jc w:val="center"/>
              <w:rPr>
                <w:b/>
                <w:bCs/>
                <w:color w:val="FF0000"/>
                <w:u w:val="single"/>
              </w:rPr>
            </w:pPr>
          </w:p>
        </w:tc>
        <w:tc>
          <w:tcPr>
            <w:tcW w:w="274" w:type="pct"/>
            <w:vMerge/>
            <w:vAlign w:val="center"/>
          </w:tcPr>
          <w:p w14:paraId="3FE48D6E" w14:textId="77777777" w:rsidR="003E78AB" w:rsidRDefault="003E78AB">
            <w:pPr>
              <w:ind w:firstLine="482"/>
              <w:jc w:val="center"/>
              <w:rPr>
                <w:b/>
                <w:bCs/>
                <w:color w:val="FF0000"/>
                <w:u w:val="single"/>
              </w:rPr>
            </w:pPr>
          </w:p>
        </w:tc>
        <w:tc>
          <w:tcPr>
            <w:tcW w:w="346" w:type="pct"/>
            <w:vMerge/>
            <w:vAlign w:val="center"/>
          </w:tcPr>
          <w:p w14:paraId="3E127998" w14:textId="77777777" w:rsidR="003E78AB" w:rsidRDefault="003E78AB">
            <w:pPr>
              <w:ind w:firstLine="482"/>
              <w:jc w:val="center"/>
              <w:rPr>
                <w:b/>
                <w:bCs/>
                <w:color w:val="FF0000"/>
                <w:u w:val="single"/>
              </w:rPr>
            </w:pPr>
          </w:p>
        </w:tc>
        <w:tc>
          <w:tcPr>
            <w:tcW w:w="606" w:type="pct"/>
            <w:vMerge/>
            <w:vAlign w:val="center"/>
          </w:tcPr>
          <w:p w14:paraId="65CFA4BE" w14:textId="77777777" w:rsidR="003E78AB" w:rsidRDefault="003E78AB">
            <w:pPr>
              <w:ind w:firstLine="482"/>
              <w:jc w:val="center"/>
              <w:rPr>
                <w:b/>
                <w:bCs/>
                <w:color w:val="FF0000"/>
                <w:u w:val="single"/>
              </w:rPr>
            </w:pPr>
          </w:p>
        </w:tc>
        <w:tc>
          <w:tcPr>
            <w:tcW w:w="985" w:type="pct"/>
            <w:gridSpan w:val="2"/>
            <w:vMerge/>
            <w:tcBorders>
              <w:bottom w:val="single" w:sz="4" w:space="0" w:color="auto"/>
            </w:tcBorders>
            <w:vAlign w:val="center"/>
          </w:tcPr>
          <w:p w14:paraId="69EFF5C5" w14:textId="77777777" w:rsidR="003E78AB" w:rsidRDefault="003E78AB">
            <w:pPr>
              <w:ind w:firstLine="482"/>
              <w:jc w:val="center"/>
              <w:rPr>
                <w:b/>
                <w:bCs/>
                <w:color w:val="FF0000"/>
                <w:u w:val="single"/>
              </w:rPr>
            </w:pPr>
          </w:p>
        </w:tc>
      </w:tr>
      <w:tr w:rsidR="003E78AB" w14:paraId="3997190C" w14:textId="77777777">
        <w:trPr>
          <w:trHeight w:val="569"/>
          <w:jc w:val="center"/>
        </w:trPr>
        <w:tc>
          <w:tcPr>
            <w:tcW w:w="212" w:type="pct"/>
            <w:vMerge/>
            <w:vAlign w:val="center"/>
          </w:tcPr>
          <w:p w14:paraId="694149A2" w14:textId="77777777" w:rsidR="003E78AB" w:rsidRDefault="003E78AB">
            <w:pPr>
              <w:ind w:firstLine="482"/>
              <w:jc w:val="center"/>
              <w:rPr>
                <w:b/>
                <w:bCs/>
                <w:color w:val="FF0000"/>
                <w:u w:val="single"/>
              </w:rPr>
            </w:pPr>
          </w:p>
        </w:tc>
        <w:tc>
          <w:tcPr>
            <w:tcW w:w="428" w:type="pct"/>
            <w:vMerge/>
            <w:vAlign w:val="center"/>
          </w:tcPr>
          <w:p w14:paraId="08B2BE45" w14:textId="77777777" w:rsidR="003E78AB" w:rsidRDefault="003E78AB">
            <w:pPr>
              <w:ind w:firstLine="482"/>
              <w:jc w:val="center"/>
              <w:rPr>
                <w:b/>
                <w:bCs/>
                <w:color w:val="FF0000"/>
                <w:u w:val="single"/>
              </w:rPr>
            </w:pPr>
          </w:p>
        </w:tc>
        <w:tc>
          <w:tcPr>
            <w:tcW w:w="391" w:type="pct"/>
            <w:vMerge/>
            <w:vAlign w:val="center"/>
          </w:tcPr>
          <w:p w14:paraId="4C3A1E8E" w14:textId="77777777" w:rsidR="003E78AB" w:rsidRDefault="003E78AB">
            <w:pPr>
              <w:spacing w:line="360" w:lineRule="exact"/>
              <w:ind w:firstLineChars="0" w:firstLine="0"/>
              <w:jc w:val="center"/>
              <w:rPr>
                <w:b/>
                <w:bCs/>
                <w:kern w:val="2"/>
                <w:sz w:val="21"/>
                <w:szCs w:val="21"/>
                <w:u w:val="single"/>
              </w:rPr>
            </w:pPr>
          </w:p>
        </w:tc>
        <w:tc>
          <w:tcPr>
            <w:tcW w:w="391" w:type="pct"/>
            <w:vMerge/>
            <w:vAlign w:val="center"/>
          </w:tcPr>
          <w:p w14:paraId="6CB2FDFB" w14:textId="77777777" w:rsidR="003E78AB" w:rsidRDefault="003E78AB">
            <w:pPr>
              <w:spacing w:line="360" w:lineRule="exact"/>
              <w:ind w:firstLineChars="0" w:firstLine="0"/>
              <w:jc w:val="center"/>
              <w:rPr>
                <w:b/>
                <w:bCs/>
                <w:kern w:val="2"/>
                <w:sz w:val="21"/>
                <w:szCs w:val="21"/>
                <w:u w:val="single"/>
              </w:rPr>
            </w:pPr>
          </w:p>
        </w:tc>
        <w:tc>
          <w:tcPr>
            <w:tcW w:w="372" w:type="pct"/>
            <w:vMerge/>
            <w:vAlign w:val="center"/>
          </w:tcPr>
          <w:p w14:paraId="29C68291" w14:textId="77777777" w:rsidR="003E78AB" w:rsidRDefault="003E78AB">
            <w:pPr>
              <w:ind w:firstLine="482"/>
              <w:jc w:val="center"/>
              <w:rPr>
                <w:b/>
                <w:bCs/>
                <w:color w:val="FF0000"/>
                <w:u w:val="single"/>
              </w:rPr>
            </w:pPr>
          </w:p>
        </w:tc>
        <w:tc>
          <w:tcPr>
            <w:tcW w:w="306" w:type="pct"/>
            <w:vMerge/>
            <w:vAlign w:val="center"/>
          </w:tcPr>
          <w:p w14:paraId="3F8BBC3C" w14:textId="77777777" w:rsidR="003E78AB" w:rsidRDefault="003E78AB">
            <w:pPr>
              <w:ind w:firstLine="482"/>
              <w:jc w:val="center"/>
              <w:rPr>
                <w:b/>
                <w:bCs/>
                <w:color w:val="FF0000"/>
                <w:u w:val="single"/>
              </w:rPr>
            </w:pPr>
          </w:p>
        </w:tc>
        <w:tc>
          <w:tcPr>
            <w:tcW w:w="335" w:type="pct"/>
            <w:vMerge/>
            <w:vAlign w:val="center"/>
          </w:tcPr>
          <w:p w14:paraId="6EC10F2E" w14:textId="77777777" w:rsidR="003E78AB" w:rsidRDefault="003E78AB">
            <w:pPr>
              <w:ind w:firstLine="482"/>
              <w:jc w:val="center"/>
              <w:rPr>
                <w:b/>
                <w:bCs/>
                <w:color w:val="FF0000"/>
                <w:u w:val="single"/>
              </w:rPr>
            </w:pPr>
          </w:p>
        </w:tc>
        <w:tc>
          <w:tcPr>
            <w:tcW w:w="348" w:type="pct"/>
            <w:vMerge/>
            <w:vAlign w:val="center"/>
          </w:tcPr>
          <w:p w14:paraId="7F703930" w14:textId="77777777" w:rsidR="003E78AB" w:rsidRDefault="003E78AB">
            <w:pPr>
              <w:ind w:firstLine="482"/>
              <w:jc w:val="center"/>
              <w:rPr>
                <w:b/>
                <w:bCs/>
                <w:color w:val="FF0000"/>
                <w:u w:val="single"/>
              </w:rPr>
            </w:pPr>
          </w:p>
        </w:tc>
        <w:tc>
          <w:tcPr>
            <w:tcW w:w="274" w:type="pct"/>
            <w:vMerge/>
            <w:vAlign w:val="center"/>
          </w:tcPr>
          <w:p w14:paraId="0F4EF2C8" w14:textId="77777777" w:rsidR="003E78AB" w:rsidRDefault="003E78AB">
            <w:pPr>
              <w:ind w:firstLine="482"/>
              <w:jc w:val="center"/>
              <w:rPr>
                <w:b/>
                <w:bCs/>
                <w:color w:val="FF0000"/>
                <w:u w:val="single"/>
              </w:rPr>
            </w:pPr>
          </w:p>
        </w:tc>
        <w:tc>
          <w:tcPr>
            <w:tcW w:w="346" w:type="pct"/>
            <w:vMerge/>
            <w:vAlign w:val="center"/>
          </w:tcPr>
          <w:p w14:paraId="62C49E5F" w14:textId="77777777" w:rsidR="003E78AB" w:rsidRDefault="003E78AB">
            <w:pPr>
              <w:ind w:firstLine="482"/>
              <w:jc w:val="center"/>
              <w:rPr>
                <w:b/>
                <w:bCs/>
                <w:color w:val="FF0000"/>
                <w:u w:val="single"/>
              </w:rPr>
            </w:pPr>
          </w:p>
        </w:tc>
        <w:tc>
          <w:tcPr>
            <w:tcW w:w="606" w:type="pct"/>
            <w:vMerge/>
            <w:vAlign w:val="center"/>
          </w:tcPr>
          <w:p w14:paraId="2BFC99CD" w14:textId="77777777" w:rsidR="003E78AB" w:rsidRDefault="003E78AB">
            <w:pPr>
              <w:ind w:firstLine="482"/>
              <w:jc w:val="center"/>
              <w:rPr>
                <w:b/>
                <w:bCs/>
                <w:color w:val="FF0000"/>
                <w:u w:val="single"/>
              </w:rPr>
            </w:pPr>
          </w:p>
        </w:tc>
        <w:tc>
          <w:tcPr>
            <w:tcW w:w="492" w:type="pct"/>
            <w:tcBorders>
              <w:top w:val="single" w:sz="4" w:space="0" w:color="auto"/>
            </w:tcBorders>
            <w:vAlign w:val="center"/>
          </w:tcPr>
          <w:p w14:paraId="14A5078C"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硫酸雾</w:t>
            </w:r>
          </w:p>
        </w:tc>
        <w:tc>
          <w:tcPr>
            <w:tcW w:w="493" w:type="pct"/>
            <w:tcBorders>
              <w:top w:val="single" w:sz="4" w:space="0" w:color="auto"/>
            </w:tcBorders>
            <w:vAlign w:val="center"/>
          </w:tcPr>
          <w:p w14:paraId="1A1F309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VOCs</w:t>
            </w:r>
          </w:p>
        </w:tc>
      </w:tr>
      <w:tr w:rsidR="003E78AB" w14:paraId="0F5F0B35" w14:textId="77777777">
        <w:trPr>
          <w:trHeight w:val="573"/>
          <w:jc w:val="center"/>
        </w:trPr>
        <w:tc>
          <w:tcPr>
            <w:tcW w:w="212" w:type="pct"/>
            <w:vAlign w:val="center"/>
          </w:tcPr>
          <w:p w14:paraId="74A8AA3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1</w:t>
            </w:r>
          </w:p>
        </w:tc>
        <w:tc>
          <w:tcPr>
            <w:tcW w:w="428" w:type="pct"/>
            <w:vAlign w:val="center"/>
          </w:tcPr>
          <w:p w14:paraId="0595E28F"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DA003</w:t>
            </w:r>
          </w:p>
        </w:tc>
        <w:tc>
          <w:tcPr>
            <w:tcW w:w="391" w:type="pct"/>
            <w:vAlign w:val="center"/>
          </w:tcPr>
          <w:p w14:paraId="622149CF"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93.251364</w:t>
            </w:r>
          </w:p>
        </w:tc>
        <w:tc>
          <w:tcPr>
            <w:tcW w:w="391" w:type="pct"/>
            <w:vAlign w:val="center"/>
          </w:tcPr>
          <w:p w14:paraId="32197D71"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42.413960</w:t>
            </w:r>
          </w:p>
        </w:tc>
        <w:tc>
          <w:tcPr>
            <w:tcW w:w="372" w:type="pct"/>
            <w:vAlign w:val="center"/>
          </w:tcPr>
          <w:p w14:paraId="16EE1977"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676</w:t>
            </w:r>
          </w:p>
        </w:tc>
        <w:tc>
          <w:tcPr>
            <w:tcW w:w="306" w:type="pct"/>
            <w:vAlign w:val="center"/>
          </w:tcPr>
          <w:p w14:paraId="4753B3A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20</w:t>
            </w:r>
            <w:r>
              <w:rPr>
                <w:rFonts w:hint="eastAsia"/>
                <w:b/>
                <w:bCs/>
                <w:kern w:val="2"/>
                <w:sz w:val="21"/>
                <w:szCs w:val="21"/>
                <w:u w:val="single"/>
              </w:rPr>
              <w:t>.5</w:t>
            </w:r>
          </w:p>
        </w:tc>
        <w:tc>
          <w:tcPr>
            <w:tcW w:w="335" w:type="pct"/>
            <w:vAlign w:val="center"/>
          </w:tcPr>
          <w:p w14:paraId="71203488"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w:t>
            </w:r>
            <w:r>
              <w:rPr>
                <w:rFonts w:hint="eastAsia"/>
                <w:b/>
                <w:bCs/>
                <w:kern w:val="2"/>
                <w:sz w:val="21"/>
                <w:szCs w:val="21"/>
                <w:u w:val="single"/>
              </w:rPr>
              <w:t>5</w:t>
            </w:r>
          </w:p>
        </w:tc>
        <w:tc>
          <w:tcPr>
            <w:tcW w:w="348" w:type="pct"/>
            <w:vAlign w:val="center"/>
          </w:tcPr>
          <w:p w14:paraId="7B8C32F3"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10000</w:t>
            </w:r>
          </w:p>
        </w:tc>
        <w:tc>
          <w:tcPr>
            <w:tcW w:w="274" w:type="pct"/>
            <w:vAlign w:val="center"/>
          </w:tcPr>
          <w:p w14:paraId="4C8B83B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20</w:t>
            </w:r>
          </w:p>
        </w:tc>
        <w:tc>
          <w:tcPr>
            <w:tcW w:w="346" w:type="pct"/>
            <w:vAlign w:val="center"/>
          </w:tcPr>
          <w:p w14:paraId="1F482167"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环保设施故障</w:t>
            </w:r>
          </w:p>
        </w:tc>
        <w:tc>
          <w:tcPr>
            <w:tcW w:w="606" w:type="pct"/>
            <w:vAlign w:val="center"/>
          </w:tcPr>
          <w:p w14:paraId="2D3628D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非正常</w:t>
            </w:r>
          </w:p>
        </w:tc>
        <w:tc>
          <w:tcPr>
            <w:tcW w:w="492" w:type="pct"/>
            <w:vAlign w:val="center"/>
          </w:tcPr>
          <w:p w14:paraId="11C8767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2.2713</w:t>
            </w:r>
          </w:p>
        </w:tc>
        <w:tc>
          <w:tcPr>
            <w:tcW w:w="493" w:type="pct"/>
            <w:vAlign w:val="center"/>
          </w:tcPr>
          <w:p w14:paraId="5275E1AA"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0.2910</w:t>
            </w:r>
          </w:p>
        </w:tc>
      </w:tr>
    </w:tbl>
    <w:p w14:paraId="4C3D9891" w14:textId="77777777" w:rsidR="003E78AB" w:rsidRDefault="00010BF9">
      <w:pPr>
        <w:pStyle w:val="a4"/>
        <w:spacing w:before="120"/>
        <w:ind w:left="425" w:hanging="425"/>
        <w:rPr>
          <w:b/>
          <w:bCs/>
          <w:u w:val="single"/>
        </w:rPr>
      </w:pPr>
      <w:r>
        <w:rPr>
          <w:rFonts w:hint="eastAsia"/>
          <w:b/>
          <w:bCs/>
          <w:u w:val="single"/>
        </w:rPr>
        <w:t>区域拟建、在建点源污染物、排放参数一览表</w:t>
      </w:r>
    </w:p>
    <w:tbl>
      <w:tblPr>
        <w:tblW w:w="499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531"/>
        <w:gridCol w:w="1482"/>
        <w:gridCol w:w="759"/>
        <w:gridCol w:w="802"/>
        <w:gridCol w:w="1094"/>
        <w:gridCol w:w="915"/>
        <w:gridCol w:w="997"/>
        <w:gridCol w:w="1068"/>
        <w:gridCol w:w="844"/>
        <w:gridCol w:w="875"/>
        <w:gridCol w:w="847"/>
        <w:gridCol w:w="1286"/>
        <w:gridCol w:w="1244"/>
        <w:gridCol w:w="1422"/>
      </w:tblGrid>
      <w:tr w:rsidR="003E78AB" w14:paraId="7D795360" w14:textId="77777777">
        <w:trPr>
          <w:trHeight w:val="340"/>
          <w:tblHeader/>
          <w:jc w:val="center"/>
        </w:trPr>
        <w:tc>
          <w:tcPr>
            <w:tcW w:w="187" w:type="pct"/>
            <w:vMerge w:val="restart"/>
            <w:vAlign w:val="center"/>
          </w:tcPr>
          <w:p w14:paraId="7212C1DF" w14:textId="77777777" w:rsidR="003E78AB" w:rsidRDefault="00010BF9">
            <w:pPr>
              <w:pStyle w:val="aff6"/>
              <w:topLinePunct/>
              <w:rPr>
                <w:b/>
                <w:bCs/>
                <w:u w:val="single"/>
              </w:rPr>
            </w:pPr>
            <w:r>
              <w:rPr>
                <w:rFonts w:hint="eastAsia"/>
                <w:b/>
                <w:bCs/>
                <w:u w:val="single"/>
              </w:rPr>
              <w:t>编号</w:t>
            </w:r>
          </w:p>
        </w:tc>
        <w:tc>
          <w:tcPr>
            <w:tcW w:w="522" w:type="pct"/>
            <w:vMerge w:val="restart"/>
            <w:vAlign w:val="center"/>
          </w:tcPr>
          <w:p w14:paraId="54A487FD" w14:textId="77777777" w:rsidR="003E78AB" w:rsidRDefault="00010BF9">
            <w:pPr>
              <w:pStyle w:val="aff6"/>
              <w:topLinePunct/>
              <w:rPr>
                <w:b/>
                <w:bCs/>
                <w:u w:val="single"/>
              </w:rPr>
            </w:pPr>
            <w:r>
              <w:rPr>
                <w:rFonts w:hint="eastAsia"/>
                <w:b/>
                <w:bCs/>
                <w:u w:val="single"/>
              </w:rPr>
              <w:t>名称</w:t>
            </w:r>
          </w:p>
        </w:tc>
        <w:tc>
          <w:tcPr>
            <w:tcW w:w="551" w:type="pct"/>
            <w:gridSpan w:val="2"/>
            <w:vAlign w:val="center"/>
          </w:tcPr>
          <w:p w14:paraId="4701D80A" w14:textId="77777777" w:rsidR="003E78AB" w:rsidRDefault="00010BF9">
            <w:pPr>
              <w:pStyle w:val="aff6"/>
              <w:topLinePunct/>
              <w:rPr>
                <w:b/>
                <w:bCs/>
                <w:u w:val="single"/>
              </w:rPr>
            </w:pPr>
            <w:r>
              <w:rPr>
                <w:rFonts w:hint="eastAsia"/>
                <w:b/>
                <w:bCs/>
                <w:u w:val="single"/>
              </w:rPr>
              <w:t>排气筒底部中心坐标</w:t>
            </w:r>
          </w:p>
        </w:tc>
        <w:tc>
          <w:tcPr>
            <w:tcW w:w="385" w:type="pct"/>
            <w:vMerge w:val="restart"/>
            <w:vAlign w:val="center"/>
          </w:tcPr>
          <w:p w14:paraId="2CC9DD63" w14:textId="77777777" w:rsidR="003E78AB" w:rsidRDefault="00010BF9">
            <w:pPr>
              <w:pStyle w:val="aff6"/>
              <w:topLinePunct/>
              <w:rPr>
                <w:b/>
                <w:bCs/>
                <w:u w:val="single"/>
              </w:rPr>
            </w:pPr>
            <w:r>
              <w:rPr>
                <w:rFonts w:hint="eastAsia"/>
                <w:b/>
                <w:bCs/>
                <w:u w:val="single"/>
              </w:rPr>
              <w:t>排气筒底部海拔高度（</w:t>
            </w:r>
            <w:r>
              <w:rPr>
                <w:rFonts w:hint="eastAsia"/>
                <w:b/>
                <w:bCs/>
                <w:u w:val="single"/>
              </w:rPr>
              <w:t>m</w:t>
            </w:r>
            <w:r>
              <w:rPr>
                <w:rFonts w:hint="eastAsia"/>
                <w:b/>
                <w:bCs/>
                <w:u w:val="single"/>
              </w:rPr>
              <w:t>）</w:t>
            </w:r>
          </w:p>
        </w:tc>
        <w:tc>
          <w:tcPr>
            <w:tcW w:w="322" w:type="pct"/>
            <w:vMerge w:val="restart"/>
            <w:vAlign w:val="center"/>
          </w:tcPr>
          <w:p w14:paraId="573EEC11" w14:textId="77777777" w:rsidR="003E78AB" w:rsidRDefault="00010BF9">
            <w:pPr>
              <w:pStyle w:val="aff6"/>
              <w:topLinePunct/>
              <w:rPr>
                <w:b/>
                <w:bCs/>
                <w:u w:val="single"/>
              </w:rPr>
            </w:pPr>
            <w:r>
              <w:rPr>
                <w:rFonts w:hint="eastAsia"/>
                <w:b/>
                <w:bCs/>
                <w:u w:val="single"/>
              </w:rPr>
              <w:t>排气筒高度（</w:t>
            </w:r>
            <w:r>
              <w:rPr>
                <w:rFonts w:hint="eastAsia"/>
                <w:b/>
                <w:bCs/>
                <w:u w:val="single"/>
              </w:rPr>
              <w:t>m</w:t>
            </w:r>
            <w:r>
              <w:rPr>
                <w:rFonts w:hint="eastAsia"/>
                <w:b/>
                <w:bCs/>
                <w:u w:val="single"/>
              </w:rPr>
              <w:t>）</w:t>
            </w:r>
          </w:p>
        </w:tc>
        <w:tc>
          <w:tcPr>
            <w:tcW w:w="351" w:type="pct"/>
            <w:vMerge w:val="restart"/>
            <w:vAlign w:val="center"/>
          </w:tcPr>
          <w:p w14:paraId="23F31E7F" w14:textId="77777777" w:rsidR="003E78AB" w:rsidRDefault="00010BF9">
            <w:pPr>
              <w:pStyle w:val="aff6"/>
              <w:topLinePunct/>
              <w:rPr>
                <w:b/>
                <w:bCs/>
                <w:u w:val="single"/>
              </w:rPr>
            </w:pPr>
            <w:r>
              <w:rPr>
                <w:rFonts w:hint="eastAsia"/>
                <w:b/>
                <w:bCs/>
                <w:u w:val="single"/>
              </w:rPr>
              <w:t>排气筒出口内径（</w:t>
            </w:r>
            <w:r>
              <w:rPr>
                <w:rFonts w:hint="eastAsia"/>
                <w:b/>
                <w:bCs/>
                <w:u w:val="single"/>
              </w:rPr>
              <w:t>m</w:t>
            </w:r>
            <w:r>
              <w:rPr>
                <w:rFonts w:hint="eastAsia"/>
                <w:b/>
                <w:bCs/>
                <w:u w:val="single"/>
              </w:rPr>
              <w:t>）</w:t>
            </w:r>
          </w:p>
        </w:tc>
        <w:tc>
          <w:tcPr>
            <w:tcW w:w="376" w:type="pct"/>
            <w:vMerge w:val="restart"/>
            <w:vAlign w:val="center"/>
          </w:tcPr>
          <w:p w14:paraId="40E5AB34" w14:textId="77777777" w:rsidR="003E78AB" w:rsidRDefault="00010BF9">
            <w:pPr>
              <w:pStyle w:val="aff6"/>
              <w:topLinePunct/>
              <w:rPr>
                <w:b/>
                <w:bCs/>
                <w:u w:val="single"/>
              </w:rPr>
            </w:pPr>
            <w:r>
              <w:rPr>
                <w:rFonts w:hint="eastAsia"/>
                <w:b/>
                <w:bCs/>
                <w:u w:val="single"/>
              </w:rPr>
              <w:t>烟气流量（</w:t>
            </w:r>
            <w:r>
              <w:rPr>
                <w:rFonts w:hint="eastAsia"/>
                <w:b/>
                <w:bCs/>
                <w:u w:val="single"/>
              </w:rPr>
              <w:t>m3/h</w:t>
            </w:r>
            <w:r>
              <w:rPr>
                <w:rFonts w:hint="eastAsia"/>
                <w:b/>
                <w:bCs/>
                <w:u w:val="single"/>
              </w:rPr>
              <w:t>）</w:t>
            </w:r>
          </w:p>
        </w:tc>
        <w:tc>
          <w:tcPr>
            <w:tcW w:w="298" w:type="pct"/>
            <w:vMerge w:val="restart"/>
            <w:vAlign w:val="center"/>
          </w:tcPr>
          <w:p w14:paraId="45E5C527" w14:textId="77777777" w:rsidR="003E78AB" w:rsidRDefault="00010BF9">
            <w:pPr>
              <w:pStyle w:val="aff6"/>
              <w:topLinePunct/>
              <w:rPr>
                <w:b/>
                <w:bCs/>
                <w:u w:val="single"/>
              </w:rPr>
            </w:pPr>
            <w:r>
              <w:rPr>
                <w:rFonts w:hint="eastAsia"/>
                <w:b/>
                <w:bCs/>
                <w:u w:val="single"/>
              </w:rPr>
              <w:t>烟气温度（℃）</w:t>
            </w:r>
          </w:p>
        </w:tc>
        <w:tc>
          <w:tcPr>
            <w:tcW w:w="309" w:type="pct"/>
            <w:vMerge w:val="restart"/>
            <w:vAlign w:val="center"/>
          </w:tcPr>
          <w:p w14:paraId="1AC94C27" w14:textId="77777777" w:rsidR="003E78AB" w:rsidRDefault="00010BF9">
            <w:pPr>
              <w:pStyle w:val="aff6"/>
              <w:topLinePunct/>
              <w:rPr>
                <w:b/>
                <w:bCs/>
                <w:u w:val="single"/>
              </w:rPr>
            </w:pPr>
            <w:r>
              <w:rPr>
                <w:rFonts w:hint="eastAsia"/>
                <w:b/>
                <w:bCs/>
                <w:u w:val="single"/>
              </w:rPr>
              <w:t>年排放小时数</w:t>
            </w:r>
            <w:r>
              <w:rPr>
                <w:rFonts w:hint="eastAsia"/>
                <w:b/>
                <w:bCs/>
                <w:u w:val="single"/>
              </w:rPr>
              <w:t>/h</w:t>
            </w:r>
          </w:p>
        </w:tc>
        <w:tc>
          <w:tcPr>
            <w:tcW w:w="299" w:type="pct"/>
            <w:vMerge w:val="restart"/>
            <w:vAlign w:val="center"/>
          </w:tcPr>
          <w:p w14:paraId="377B259F" w14:textId="77777777" w:rsidR="003E78AB" w:rsidRDefault="00010BF9">
            <w:pPr>
              <w:pStyle w:val="aff6"/>
              <w:topLinePunct/>
              <w:rPr>
                <w:b/>
                <w:bCs/>
                <w:u w:val="single"/>
              </w:rPr>
            </w:pPr>
            <w:r>
              <w:rPr>
                <w:rFonts w:hint="eastAsia"/>
                <w:b/>
                <w:bCs/>
                <w:u w:val="single"/>
              </w:rPr>
              <w:t>排放工况</w:t>
            </w:r>
          </w:p>
        </w:tc>
        <w:tc>
          <w:tcPr>
            <w:tcW w:w="1392" w:type="pct"/>
            <w:gridSpan w:val="3"/>
            <w:vMerge w:val="restart"/>
            <w:vAlign w:val="center"/>
          </w:tcPr>
          <w:p w14:paraId="0A5F1A1C" w14:textId="77777777" w:rsidR="003E78AB" w:rsidRDefault="00010BF9">
            <w:pPr>
              <w:pStyle w:val="aff6"/>
              <w:topLinePunct/>
              <w:rPr>
                <w:b/>
                <w:bCs/>
                <w:u w:val="single"/>
              </w:rPr>
            </w:pPr>
            <w:r>
              <w:rPr>
                <w:rFonts w:hint="eastAsia"/>
                <w:b/>
                <w:bCs/>
                <w:u w:val="single"/>
              </w:rPr>
              <w:t>污染物排放速率（</w:t>
            </w:r>
            <w:r>
              <w:rPr>
                <w:rFonts w:hint="eastAsia"/>
                <w:b/>
                <w:bCs/>
                <w:u w:val="single"/>
              </w:rPr>
              <w:t>kg/h</w:t>
            </w:r>
            <w:r>
              <w:rPr>
                <w:rFonts w:hint="eastAsia"/>
                <w:b/>
                <w:bCs/>
                <w:u w:val="single"/>
              </w:rPr>
              <w:t>）</w:t>
            </w:r>
          </w:p>
        </w:tc>
      </w:tr>
      <w:tr w:rsidR="003E78AB" w14:paraId="45BA6E1D" w14:textId="77777777">
        <w:trPr>
          <w:trHeight w:val="340"/>
          <w:tblHeader/>
          <w:jc w:val="center"/>
        </w:trPr>
        <w:tc>
          <w:tcPr>
            <w:tcW w:w="187" w:type="pct"/>
            <w:vMerge/>
            <w:vAlign w:val="center"/>
          </w:tcPr>
          <w:p w14:paraId="32807459" w14:textId="77777777" w:rsidR="003E78AB" w:rsidRDefault="003E78AB">
            <w:pPr>
              <w:pStyle w:val="aff6"/>
              <w:topLinePunct/>
              <w:rPr>
                <w:b/>
                <w:bCs/>
                <w:u w:val="single"/>
              </w:rPr>
            </w:pPr>
          </w:p>
        </w:tc>
        <w:tc>
          <w:tcPr>
            <w:tcW w:w="522" w:type="pct"/>
            <w:vMerge/>
            <w:vAlign w:val="center"/>
          </w:tcPr>
          <w:p w14:paraId="04FC5885" w14:textId="77777777" w:rsidR="003E78AB" w:rsidRDefault="003E78AB">
            <w:pPr>
              <w:pStyle w:val="aff6"/>
              <w:topLinePunct/>
              <w:rPr>
                <w:b/>
                <w:bCs/>
                <w:u w:val="single"/>
              </w:rPr>
            </w:pPr>
          </w:p>
        </w:tc>
        <w:tc>
          <w:tcPr>
            <w:tcW w:w="268" w:type="pct"/>
            <w:vAlign w:val="center"/>
          </w:tcPr>
          <w:p w14:paraId="5FDCA627" w14:textId="77777777" w:rsidR="003E78AB" w:rsidRDefault="00010BF9">
            <w:pPr>
              <w:pStyle w:val="aff6"/>
              <w:topLinePunct/>
              <w:rPr>
                <w:b/>
                <w:bCs/>
                <w:u w:val="single"/>
              </w:rPr>
            </w:pPr>
            <w:r>
              <w:rPr>
                <w:rFonts w:hint="eastAsia"/>
                <w:b/>
                <w:bCs/>
                <w:u w:val="single"/>
              </w:rPr>
              <w:t>X</w:t>
            </w:r>
          </w:p>
        </w:tc>
        <w:tc>
          <w:tcPr>
            <w:tcW w:w="283" w:type="pct"/>
            <w:vAlign w:val="center"/>
          </w:tcPr>
          <w:p w14:paraId="2EDF1D15" w14:textId="77777777" w:rsidR="003E78AB" w:rsidRDefault="00010BF9">
            <w:pPr>
              <w:pStyle w:val="aff6"/>
              <w:topLinePunct/>
              <w:rPr>
                <w:b/>
                <w:bCs/>
                <w:u w:val="single"/>
              </w:rPr>
            </w:pPr>
            <w:r>
              <w:rPr>
                <w:rFonts w:hint="eastAsia"/>
                <w:b/>
                <w:bCs/>
                <w:u w:val="single"/>
              </w:rPr>
              <w:t>Y</w:t>
            </w:r>
          </w:p>
        </w:tc>
        <w:tc>
          <w:tcPr>
            <w:tcW w:w="385" w:type="pct"/>
            <w:vMerge/>
            <w:vAlign w:val="center"/>
          </w:tcPr>
          <w:p w14:paraId="406B6C38" w14:textId="77777777" w:rsidR="003E78AB" w:rsidRDefault="003E78AB">
            <w:pPr>
              <w:pStyle w:val="aff6"/>
              <w:topLinePunct/>
              <w:rPr>
                <w:b/>
                <w:bCs/>
                <w:u w:val="single"/>
              </w:rPr>
            </w:pPr>
          </w:p>
        </w:tc>
        <w:tc>
          <w:tcPr>
            <w:tcW w:w="322" w:type="pct"/>
            <w:vMerge/>
            <w:vAlign w:val="center"/>
          </w:tcPr>
          <w:p w14:paraId="74238605" w14:textId="77777777" w:rsidR="003E78AB" w:rsidRDefault="003E78AB">
            <w:pPr>
              <w:pStyle w:val="aff6"/>
              <w:topLinePunct/>
              <w:rPr>
                <w:b/>
                <w:bCs/>
                <w:u w:val="single"/>
              </w:rPr>
            </w:pPr>
          </w:p>
        </w:tc>
        <w:tc>
          <w:tcPr>
            <w:tcW w:w="351" w:type="pct"/>
            <w:vMerge/>
            <w:vAlign w:val="center"/>
          </w:tcPr>
          <w:p w14:paraId="11D95A51" w14:textId="77777777" w:rsidR="003E78AB" w:rsidRDefault="003E78AB">
            <w:pPr>
              <w:pStyle w:val="aff6"/>
              <w:topLinePunct/>
              <w:rPr>
                <w:b/>
                <w:bCs/>
                <w:u w:val="single"/>
              </w:rPr>
            </w:pPr>
          </w:p>
        </w:tc>
        <w:tc>
          <w:tcPr>
            <w:tcW w:w="376" w:type="pct"/>
            <w:vMerge/>
            <w:vAlign w:val="center"/>
          </w:tcPr>
          <w:p w14:paraId="5A6A8980" w14:textId="77777777" w:rsidR="003E78AB" w:rsidRDefault="003E78AB">
            <w:pPr>
              <w:pStyle w:val="aff6"/>
              <w:topLinePunct/>
              <w:rPr>
                <w:b/>
                <w:bCs/>
                <w:u w:val="single"/>
              </w:rPr>
            </w:pPr>
          </w:p>
        </w:tc>
        <w:tc>
          <w:tcPr>
            <w:tcW w:w="298" w:type="pct"/>
            <w:vMerge/>
            <w:vAlign w:val="center"/>
          </w:tcPr>
          <w:p w14:paraId="4429D68E" w14:textId="77777777" w:rsidR="003E78AB" w:rsidRDefault="003E78AB">
            <w:pPr>
              <w:pStyle w:val="aff6"/>
              <w:topLinePunct/>
              <w:rPr>
                <w:b/>
                <w:bCs/>
                <w:u w:val="single"/>
              </w:rPr>
            </w:pPr>
          </w:p>
        </w:tc>
        <w:tc>
          <w:tcPr>
            <w:tcW w:w="309" w:type="pct"/>
            <w:vMerge/>
            <w:vAlign w:val="center"/>
          </w:tcPr>
          <w:p w14:paraId="1418E460" w14:textId="77777777" w:rsidR="003E78AB" w:rsidRDefault="003E78AB">
            <w:pPr>
              <w:pStyle w:val="aff6"/>
              <w:topLinePunct/>
              <w:rPr>
                <w:b/>
                <w:bCs/>
                <w:u w:val="single"/>
              </w:rPr>
            </w:pPr>
          </w:p>
        </w:tc>
        <w:tc>
          <w:tcPr>
            <w:tcW w:w="299" w:type="pct"/>
            <w:vMerge/>
            <w:vAlign w:val="center"/>
          </w:tcPr>
          <w:p w14:paraId="19FDE1BD" w14:textId="77777777" w:rsidR="003E78AB" w:rsidRDefault="003E78AB">
            <w:pPr>
              <w:pStyle w:val="aff6"/>
              <w:topLinePunct/>
              <w:rPr>
                <w:b/>
                <w:bCs/>
                <w:u w:val="single"/>
              </w:rPr>
            </w:pPr>
          </w:p>
        </w:tc>
        <w:tc>
          <w:tcPr>
            <w:tcW w:w="1392" w:type="pct"/>
            <w:gridSpan w:val="3"/>
            <w:vMerge/>
            <w:vAlign w:val="center"/>
          </w:tcPr>
          <w:p w14:paraId="3BC9BF3D" w14:textId="77777777" w:rsidR="003E78AB" w:rsidRDefault="003E78AB">
            <w:pPr>
              <w:pStyle w:val="aff6"/>
              <w:topLinePunct/>
              <w:rPr>
                <w:b/>
                <w:bCs/>
                <w:u w:val="single"/>
              </w:rPr>
            </w:pPr>
          </w:p>
        </w:tc>
      </w:tr>
      <w:tr w:rsidR="003E78AB" w14:paraId="0E99529A" w14:textId="77777777">
        <w:trPr>
          <w:trHeight w:val="597"/>
          <w:jc w:val="center"/>
        </w:trPr>
        <w:tc>
          <w:tcPr>
            <w:tcW w:w="187" w:type="pct"/>
            <w:vAlign w:val="center"/>
          </w:tcPr>
          <w:p w14:paraId="1C1F180B" w14:textId="77777777" w:rsidR="003E78AB" w:rsidRDefault="00010BF9">
            <w:pPr>
              <w:pStyle w:val="aff6"/>
              <w:topLinePunct/>
              <w:rPr>
                <w:b/>
                <w:bCs/>
                <w:u w:val="single"/>
              </w:rPr>
            </w:pPr>
            <w:r>
              <w:rPr>
                <w:rFonts w:hint="eastAsia"/>
                <w:b/>
                <w:bCs/>
                <w:u w:val="single"/>
              </w:rPr>
              <w:t>1#</w:t>
            </w:r>
          </w:p>
        </w:tc>
        <w:tc>
          <w:tcPr>
            <w:tcW w:w="522" w:type="pct"/>
            <w:vAlign w:val="center"/>
          </w:tcPr>
          <w:p w14:paraId="6FEA18BD" w14:textId="77777777" w:rsidR="003E78AB" w:rsidRDefault="00010BF9">
            <w:pPr>
              <w:pStyle w:val="aff6"/>
              <w:topLinePunct/>
              <w:rPr>
                <w:b/>
                <w:bCs/>
                <w:u w:val="single"/>
              </w:rPr>
            </w:pPr>
            <w:r>
              <w:rPr>
                <w:rFonts w:hint="eastAsia"/>
                <w:b/>
                <w:bCs/>
                <w:u w:val="single"/>
              </w:rPr>
              <w:t>多晶硅解析气</w:t>
            </w:r>
          </w:p>
        </w:tc>
        <w:tc>
          <w:tcPr>
            <w:tcW w:w="268" w:type="pct"/>
            <w:vAlign w:val="center"/>
          </w:tcPr>
          <w:p w14:paraId="02C3F417" w14:textId="77777777" w:rsidR="003E78AB" w:rsidRDefault="00010BF9">
            <w:pPr>
              <w:pStyle w:val="aff6"/>
              <w:topLinePunct/>
              <w:rPr>
                <w:b/>
                <w:bCs/>
                <w:u w:val="single"/>
              </w:rPr>
            </w:pPr>
            <w:r>
              <w:rPr>
                <w:rFonts w:hint="eastAsia"/>
                <w:b/>
                <w:bCs/>
                <w:u w:val="single"/>
              </w:rPr>
              <w:t>-2340</w:t>
            </w:r>
          </w:p>
        </w:tc>
        <w:tc>
          <w:tcPr>
            <w:tcW w:w="283" w:type="pct"/>
            <w:vAlign w:val="center"/>
          </w:tcPr>
          <w:p w14:paraId="3277B959" w14:textId="77777777" w:rsidR="003E78AB" w:rsidRDefault="00010BF9">
            <w:pPr>
              <w:pStyle w:val="aff6"/>
              <w:topLinePunct/>
              <w:rPr>
                <w:b/>
                <w:bCs/>
                <w:u w:val="single"/>
              </w:rPr>
            </w:pPr>
            <w:r>
              <w:rPr>
                <w:rFonts w:hint="eastAsia"/>
                <w:b/>
                <w:bCs/>
                <w:u w:val="single"/>
              </w:rPr>
              <w:t>2204</w:t>
            </w:r>
          </w:p>
        </w:tc>
        <w:tc>
          <w:tcPr>
            <w:tcW w:w="385" w:type="pct"/>
            <w:vAlign w:val="center"/>
          </w:tcPr>
          <w:p w14:paraId="360E5E81" w14:textId="77777777" w:rsidR="003E78AB" w:rsidRDefault="00010BF9">
            <w:pPr>
              <w:pStyle w:val="aff6"/>
              <w:topLinePunct/>
              <w:rPr>
                <w:b/>
                <w:bCs/>
                <w:u w:val="single"/>
              </w:rPr>
            </w:pPr>
            <w:r>
              <w:rPr>
                <w:rFonts w:hint="eastAsia"/>
                <w:b/>
                <w:bCs/>
                <w:u w:val="single"/>
              </w:rPr>
              <w:t>655</w:t>
            </w:r>
          </w:p>
        </w:tc>
        <w:tc>
          <w:tcPr>
            <w:tcW w:w="322" w:type="pct"/>
            <w:vAlign w:val="center"/>
          </w:tcPr>
          <w:p w14:paraId="604C5D2B" w14:textId="77777777" w:rsidR="003E78AB" w:rsidRDefault="00010BF9">
            <w:pPr>
              <w:pStyle w:val="aff6"/>
              <w:topLinePunct/>
              <w:rPr>
                <w:b/>
                <w:bCs/>
                <w:u w:val="single"/>
              </w:rPr>
            </w:pPr>
            <w:r>
              <w:rPr>
                <w:rFonts w:hint="eastAsia"/>
                <w:b/>
                <w:bCs/>
                <w:u w:val="single"/>
              </w:rPr>
              <w:t>15</w:t>
            </w:r>
          </w:p>
        </w:tc>
        <w:tc>
          <w:tcPr>
            <w:tcW w:w="351" w:type="pct"/>
            <w:vAlign w:val="center"/>
          </w:tcPr>
          <w:p w14:paraId="6C9F2072" w14:textId="77777777" w:rsidR="003E78AB" w:rsidRDefault="00010BF9">
            <w:pPr>
              <w:pStyle w:val="aff6"/>
              <w:topLinePunct/>
              <w:rPr>
                <w:b/>
                <w:bCs/>
                <w:u w:val="single"/>
              </w:rPr>
            </w:pPr>
            <w:r>
              <w:rPr>
                <w:rFonts w:hint="eastAsia"/>
                <w:b/>
                <w:bCs/>
                <w:u w:val="single"/>
              </w:rPr>
              <w:t>0.2</w:t>
            </w:r>
          </w:p>
        </w:tc>
        <w:tc>
          <w:tcPr>
            <w:tcW w:w="376" w:type="pct"/>
            <w:vAlign w:val="center"/>
          </w:tcPr>
          <w:p w14:paraId="2FACAFD9" w14:textId="77777777" w:rsidR="003E78AB" w:rsidRDefault="00010BF9">
            <w:pPr>
              <w:pStyle w:val="aff6"/>
              <w:topLinePunct/>
              <w:rPr>
                <w:b/>
                <w:bCs/>
                <w:u w:val="single"/>
              </w:rPr>
            </w:pPr>
            <w:r>
              <w:rPr>
                <w:rFonts w:hint="eastAsia"/>
                <w:b/>
                <w:bCs/>
                <w:u w:val="single"/>
              </w:rPr>
              <w:t>3000</w:t>
            </w:r>
          </w:p>
        </w:tc>
        <w:tc>
          <w:tcPr>
            <w:tcW w:w="298" w:type="pct"/>
            <w:vAlign w:val="center"/>
          </w:tcPr>
          <w:p w14:paraId="0EE2EA2E" w14:textId="77777777" w:rsidR="003E78AB" w:rsidRDefault="00010BF9">
            <w:pPr>
              <w:pStyle w:val="aff6"/>
              <w:topLinePunct/>
              <w:rPr>
                <w:b/>
                <w:bCs/>
                <w:u w:val="single"/>
              </w:rPr>
            </w:pPr>
            <w:r>
              <w:rPr>
                <w:rFonts w:hint="eastAsia"/>
                <w:b/>
                <w:bCs/>
                <w:u w:val="single"/>
              </w:rPr>
              <w:t>20</w:t>
            </w:r>
          </w:p>
        </w:tc>
        <w:tc>
          <w:tcPr>
            <w:tcW w:w="309" w:type="pct"/>
            <w:vAlign w:val="center"/>
          </w:tcPr>
          <w:p w14:paraId="323EB217" w14:textId="77777777" w:rsidR="003E78AB" w:rsidRDefault="00010BF9">
            <w:pPr>
              <w:pStyle w:val="aff6"/>
              <w:topLinePunct/>
              <w:rPr>
                <w:b/>
                <w:bCs/>
                <w:u w:val="single"/>
              </w:rPr>
            </w:pPr>
            <w:r>
              <w:rPr>
                <w:rFonts w:hint="eastAsia"/>
                <w:b/>
                <w:bCs/>
                <w:u w:val="single"/>
              </w:rPr>
              <w:t>8000</w:t>
            </w:r>
          </w:p>
        </w:tc>
        <w:tc>
          <w:tcPr>
            <w:tcW w:w="299" w:type="pct"/>
            <w:vAlign w:val="center"/>
          </w:tcPr>
          <w:p w14:paraId="2A42EBDB" w14:textId="77777777" w:rsidR="003E78AB" w:rsidRDefault="00010BF9">
            <w:pPr>
              <w:pStyle w:val="aff6"/>
              <w:topLinePunct/>
              <w:rPr>
                <w:b/>
                <w:bCs/>
                <w:u w:val="single"/>
              </w:rPr>
            </w:pPr>
            <w:r>
              <w:rPr>
                <w:rFonts w:hint="eastAsia"/>
                <w:b/>
                <w:bCs/>
                <w:u w:val="single"/>
              </w:rPr>
              <w:t>正常</w:t>
            </w:r>
          </w:p>
        </w:tc>
        <w:tc>
          <w:tcPr>
            <w:tcW w:w="453" w:type="pct"/>
            <w:vAlign w:val="center"/>
          </w:tcPr>
          <w:p w14:paraId="645EFFAE"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0.06</w:t>
            </w:r>
          </w:p>
        </w:tc>
        <w:tc>
          <w:tcPr>
            <w:tcW w:w="438" w:type="pct"/>
            <w:vAlign w:val="center"/>
          </w:tcPr>
          <w:p w14:paraId="2B83AF39" w14:textId="77777777" w:rsidR="003E78AB" w:rsidRDefault="00010BF9">
            <w:pPr>
              <w:pStyle w:val="aff6"/>
              <w:topLinePunct/>
              <w:rPr>
                <w:b/>
                <w:bCs/>
                <w:u w:val="single"/>
              </w:rPr>
            </w:pPr>
            <w:r>
              <w:rPr>
                <w:rFonts w:hint="eastAsia"/>
                <w:b/>
                <w:bCs/>
                <w:u w:val="single"/>
              </w:rPr>
              <w:t>/</w:t>
            </w:r>
          </w:p>
        </w:tc>
        <w:tc>
          <w:tcPr>
            <w:tcW w:w="501" w:type="pct"/>
            <w:vAlign w:val="center"/>
          </w:tcPr>
          <w:p w14:paraId="75E5DE98" w14:textId="77777777" w:rsidR="003E78AB" w:rsidRDefault="00010BF9">
            <w:pPr>
              <w:pStyle w:val="aff6"/>
              <w:topLinePunct/>
              <w:rPr>
                <w:b/>
                <w:bCs/>
                <w:u w:val="single"/>
              </w:rPr>
            </w:pPr>
            <w:r>
              <w:rPr>
                <w:rFonts w:hint="eastAsia"/>
                <w:b/>
                <w:bCs/>
                <w:u w:val="single"/>
              </w:rPr>
              <w:t>/</w:t>
            </w:r>
          </w:p>
        </w:tc>
      </w:tr>
      <w:tr w:rsidR="003E78AB" w14:paraId="3C286EAF" w14:textId="77777777">
        <w:trPr>
          <w:trHeight w:val="283"/>
          <w:jc w:val="center"/>
        </w:trPr>
        <w:tc>
          <w:tcPr>
            <w:tcW w:w="187" w:type="pct"/>
            <w:vAlign w:val="center"/>
          </w:tcPr>
          <w:p w14:paraId="2B028848" w14:textId="77777777" w:rsidR="003E78AB" w:rsidRDefault="00010BF9">
            <w:pPr>
              <w:pStyle w:val="aff6"/>
              <w:topLinePunct/>
              <w:rPr>
                <w:b/>
                <w:bCs/>
                <w:u w:val="single"/>
              </w:rPr>
            </w:pPr>
            <w:r>
              <w:rPr>
                <w:rFonts w:hint="eastAsia"/>
                <w:b/>
                <w:bCs/>
                <w:u w:val="single"/>
              </w:rPr>
              <w:t>2#</w:t>
            </w:r>
          </w:p>
        </w:tc>
        <w:tc>
          <w:tcPr>
            <w:tcW w:w="522" w:type="pct"/>
            <w:vAlign w:val="center"/>
          </w:tcPr>
          <w:p w14:paraId="1B32FDB0" w14:textId="77777777" w:rsidR="003E78AB" w:rsidRDefault="00010BF9">
            <w:pPr>
              <w:pStyle w:val="aff6"/>
              <w:topLinePunct/>
              <w:rPr>
                <w:b/>
                <w:bCs/>
                <w:u w:val="single"/>
              </w:rPr>
            </w:pPr>
            <w:r>
              <w:rPr>
                <w:rFonts w:hint="eastAsia"/>
                <w:b/>
                <w:bCs/>
                <w:u w:val="single"/>
              </w:rPr>
              <w:t>多晶硅加料废气</w:t>
            </w:r>
            <w:r>
              <w:rPr>
                <w:rFonts w:hint="eastAsia"/>
                <w:b/>
                <w:bCs/>
                <w:u w:val="single"/>
              </w:rPr>
              <w:t>1</w:t>
            </w:r>
          </w:p>
        </w:tc>
        <w:tc>
          <w:tcPr>
            <w:tcW w:w="268" w:type="pct"/>
            <w:vAlign w:val="center"/>
          </w:tcPr>
          <w:p w14:paraId="0E3B0003" w14:textId="77777777" w:rsidR="003E78AB" w:rsidRDefault="00010BF9">
            <w:pPr>
              <w:pStyle w:val="aff6"/>
              <w:topLinePunct/>
              <w:rPr>
                <w:b/>
                <w:bCs/>
                <w:u w:val="single"/>
              </w:rPr>
            </w:pPr>
            <w:r>
              <w:rPr>
                <w:rFonts w:hint="eastAsia"/>
                <w:b/>
                <w:bCs/>
                <w:u w:val="single"/>
              </w:rPr>
              <w:t>-2347</w:t>
            </w:r>
          </w:p>
        </w:tc>
        <w:tc>
          <w:tcPr>
            <w:tcW w:w="283" w:type="pct"/>
            <w:vAlign w:val="center"/>
          </w:tcPr>
          <w:p w14:paraId="087C39FA" w14:textId="77777777" w:rsidR="003E78AB" w:rsidRDefault="00010BF9">
            <w:pPr>
              <w:pStyle w:val="aff6"/>
              <w:topLinePunct/>
              <w:rPr>
                <w:b/>
                <w:bCs/>
                <w:u w:val="single"/>
              </w:rPr>
            </w:pPr>
            <w:r>
              <w:rPr>
                <w:rFonts w:hint="eastAsia"/>
                <w:b/>
                <w:bCs/>
                <w:u w:val="single"/>
              </w:rPr>
              <w:t>2075</w:t>
            </w:r>
          </w:p>
        </w:tc>
        <w:tc>
          <w:tcPr>
            <w:tcW w:w="385" w:type="pct"/>
            <w:vAlign w:val="center"/>
          </w:tcPr>
          <w:p w14:paraId="20C8D8DB" w14:textId="77777777" w:rsidR="003E78AB" w:rsidRDefault="00010BF9">
            <w:pPr>
              <w:pStyle w:val="aff6"/>
              <w:topLinePunct/>
              <w:rPr>
                <w:b/>
                <w:bCs/>
                <w:u w:val="single"/>
              </w:rPr>
            </w:pPr>
            <w:r>
              <w:rPr>
                <w:rFonts w:hint="eastAsia"/>
                <w:b/>
                <w:bCs/>
                <w:u w:val="single"/>
              </w:rPr>
              <w:t>687</w:t>
            </w:r>
          </w:p>
        </w:tc>
        <w:tc>
          <w:tcPr>
            <w:tcW w:w="322" w:type="pct"/>
            <w:vAlign w:val="center"/>
          </w:tcPr>
          <w:p w14:paraId="54340367" w14:textId="77777777" w:rsidR="003E78AB" w:rsidRDefault="00010BF9">
            <w:pPr>
              <w:pStyle w:val="aff6"/>
              <w:topLinePunct/>
              <w:rPr>
                <w:b/>
                <w:bCs/>
                <w:u w:val="single"/>
              </w:rPr>
            </w:pPr>
            <w:r>
              <w:rPr>
                <w:rFonts w:hint="eastAsia"/>
                <w:b/>
                <w:bCs/>
                <w:u w:val="single"/>
              </w:rPr>
              <w:t>15</w:t>
            </w:r>
          </w:p>
        </w:tc>
        <w:tc>
          <w:tcPr>
            <w:tcW w:w="351" w:type="pct"/>
            <w:vAlign w:val="center"/>
          </w:tcPr>
          <w:p w14:paraId="6A7368F2" w14:textId="77777777" w:rsidR="003E78AB" w:rsidRDefault="00010BF9">
            <w:pPr>
              <w:pStyle w:val="aff6"/>
              <w:topLinePunct/>
              <w:rPr>
                <w:b/>
                <w:bCs/>
                <w:u w:val="single"/>
              </w:rPr>
            </w:pPr>
            <w:r>
              <w:rPr>
                <w:rFonts w:hint="eastAsia"/>
                <w:b/>
                <w:bCs/>
                <w:u w:val="single"/>
              </w:rPr>
              <w:t>0.2</w:t>
            </w:r>
          </w:p>
        </w:tc>
        <w:tc>
          <w:tcPr>
            <w:tcW w:w="376" w:type="pct"/>
            <w:vAlign w:val="center"/>
          </w:tcPr>
          <w:p w14:paraId="688E06A5" w14:textId="77777777" w:rsidR="003E78AB" w:rsidRDefault="00010BF9">
            <w:pPr>
              <w:pStyle w:val="aff6"/>
              <w:topLinePunct/>
              <w:rPr>
                <w:b/>
                <w:bCs/>
                <w:u w:val="single"/>
              </w:rPr>
            </w:pPr>
            <w:r>
              <w:rPr>
                <w:rFonts w:hint="eastAsia"/>
                <w:b/>
                <w:bCs/>
                <w:u w:val="single"/>
              </w:rPr>
              <w:t>1050</w:t>
            </w:r>
          </w:p>
        </w:tc>
        <w:tc>
          <w:tcPr>
            <w:tcW w:w="298" w:type="pct"/>
            <w:vAlign w:val="center"/>
          </w:tcPr>
          <w:p w14:paraId="2BA1D603" w14:textId="77777777" w:rsidR="003E78AB" w:rsidRDefault="00010BF9">
            <w:pPr>
              <w:pStyle w:val="aff6"/>
              <w:topLinePunct/>
              <w:rPr>
                <w:b/>
                <w:bCs/>
                <w:u w:val="single"/>
              </w:rPr>
            </w:pPr>
            <w:r>
              <w:rPr>
                <w:rFonts w:hint="eastAsia"/>
                <w:b/>
                <w:bCs/>
                <w:u w:val="single"/>
              </w:rPr>
              <w:t>20</w:t>
            </w:r>
          </w:p>
        </w:tc>
        <w:tc>
          <w:tcPr>
            <w:tcW w:w="309" w:type="pct"/>
            <w:vAlign w:val="center"/>
          </w:tcPr>
          <w:p w14:paraId="7A9C0468" w14:textId="77777777" w:rsidR="003E78AB" w:rsidRDefault="00010BF9">
            <w:pPr>
              <w:pStyle w:val="aff6"/>
              <w:topLinePunct/>
              <w:rPr>
                <w:b/>
                <w:bCs/>
                <w:u w:val="single"/>
              </w:rPr>
            </w:pPr>
            <w:r>
              <w:rPr>
                <w:rFonts w:hint="eastAsia"/>
                <w:b/>
                <w:bCs/>
                <w:u w:val="single"/>
              </w:rPr>
              <w:t>1000</w:t>
            </w:r>
          </w:p>
        </w:tc>
        <w:tc>
          <w:tcPr>
            <w:tcW w:w="299" w:type="pct"/>
            <w:vAlign w:val="center"/>
          </w:tcPr>
          <w:p w14:paraId="4E620962" w14:textId="77777777" w:rsidR="003E78AB" w:rsidRDefault="00010BF9">
            <w:pPr>
              <w:pStyle w:val="aff6"/>
              <w:topLinePunct/>
              <w:rPr>
                <w:b/>
                <w:bCs/>
                <w:u w:val="single"/>
              </w:rPr>
            </w:pPr>
            <w:r>
              <w:rPr>
                <w:rFonts w:hint="eastAsia"/>
                <w:b/>
                <w:bCs/>
                <w:u w:val="single"/>
              </w:rPr>
              <w:t>正常</w:t>
            </w:r>
          </w:p>
        </w:tc>
        <w:tc>
          <w:tcPr>
            <w:tcW w:w="453" w:type="pct"/>
            <w:vAlign w:val="center"/>
          </w:tcPr>
          <w:p w14:paraId="220EDB55"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2F01007B" w14:textId="77777777" w:rsidR="003E78AB" w:rsidRDefault="00010BF9">
            <w:pPr>
              <w:pStyle w:val="aff6"/>
              <w:topLinePunct/>
              <w:rPr>
                <w:b/>
                <w:bCs/>
                <w:u w:val="single"/>
              </w:rPr>
            </w:pPr>
            <w:r>
              <w:rPr>
                <w:rFonts w:hint="eastAsia"/>
                <w:b/>
                <w:bCs/>
                <w:u w:val="single"/>
              </w:rPr>
              <w:t>/</w:t>
            </w:r>
          </w:p>
        </w:tc>
        <w:tc>
          <w:tcPr>
            <w:tcW w:w="501" w:type="pct"/>
            <w:vAlign w:val="center"/>
          </w:tcPr>
          <w:p w14:paraId="547C35CA" w14:textId="77777777" w:rsidR="003E78AB" w:rsidRDefault="00010BF9">
            <w:pPr>
              <w:pStyle w:val="aff6"/>
              <w:topLinePunct/>
              <w:rPr>
                <w:b/>
                <w:bCs/>
                <w:u w:val="single"/>
              </w:rPr>
            </w:pPr>
            <w:r>
              <w:rPr>
                <w:rFonts w:hint="eastAsia"/>
                <w:b/>
                <w:bCs/>
                <w:u w:val="single"/>
              </w:rPr>
              <w:t>/</w:t>
            </w:r>
          </w:p>
        </w:tc>
      </w:tr>
      <w:tr w:rsidR="003E78AB" w14:paraId="06AFABE8" w14:textId="77777777">
        <w:trPr>
          <w:trHeight w:val="283"/>
          <w:jc w:val="center"/>
        </w:trPr>
        <w:tc>
          <w:tcPr>
            <w:tcW w:w="187" w:type="pct"/>
            <w:vAlign w:val="center"/>
          </w:tcPr>
          <w:p w14:paraId="762B036A" w14:textId="77777777" w:rsidR="003E78AB" w:rsidRDefault="00010BF9">
            <w:pPr>
              <w:pStyle w:val="aff6"/>
              <w:topLinePunct/>
              <w:rPr>
                <w:b/>
                <w:bCs/>
                <w:u w:val="single"/>
              </w:rPr>
            </w:pPr>
            <w:r>
              <w:rPr>
                <w:rFonts w:hint="eastAsia"/>
                <w:b/>
                <w:bCs/>
                <w:u w:val="single"/>
              </w:rPr>
              <w:t>3#</w:t>
            </w:r>
          </w:p>
        </w:tc>
        <w:tc>
          <w:tcPr>
            <w:tcW w:w="522" w:type="pct"/>
            <w:vAlign w:val="center"/>
          </w:tcPr>
          <w:p w14:paraId="6B2F0386" w14:textId="77777777" w:rsidR="003E78AB" w:rsidRDefault="00010BF9">
            <w:pPr>
              <w:pStyle w:val="aff6"/>
              <w:topLinePunct/>
              <w:rPr>
                <w:b/>
                <w:bCs/>
                <w:u w:val="single"/>
              </w:rPr>
            </w:pPr>
            <w:r>
              <w:rPr>
                <w:rFonts w:hint="eastAsia"/>
                <w:b/>
                <w:bCs/>
                <w:u w:val="single"/>
              </w:rPr>
              <w:t>多晶硅加料废气</w:t>
            </w:r>
            <w:r>
              <w:rPr>
                <w:rFonts w:hint="eastAsia"/>
                <w:b/>
                <w:bCs/>
                <w:u w:val="single"/>
              </w:rPr>
              <w:t>2</w:t>
            </w:r>
          </w:p>
        </w:tc>
        <w:tc>
          <w:tcPr>
            <w:tcW w:w="268" w:type="pct"/>
            <w:vAlign w:val="center"/>
          </w:tcPr>
          <w:p w14:paraId="05A71C00" w14:textId="77777777" w:rsidR="003E78AB" w:rsidRDefault="00010BF9">
            <w:pPr>
              <w:pStyle w:val="aff6"/>
              <w:topLinePunct/>
              <w:rPr>
                <w:b/>
                <w:bCs/>
                <w:u w:val="single"/>
              </w:rPr>
            </w:pPr>
            <w:r>
              <w:rPr>
                <w:rFonts w:hint="eastAsia"/>
                <w:b/>
                <w:bCs/>
                <w:u w:val="single"/>
              </w:rPr>
              <w:t>-2341</w:t>
            </w:r>
          </w:p>
        </w:tc>
        <w:tc>
          <w:tcPr>
            <w:tcW w:w="283" w:type="pct"/>
            <w:vAlign w:val="center"/>
          </w:tcPr>
          <w:p w14:paraId="76E9EA43" w14:textId="77777777" w:rsidR="003E78AB" w:rsidRDefault="00010BF9">
            <w:pPr>
              <w:pStyle w:val="aff6"/>
              <w:topLinePunct/>
              <w:rPr>
                <w:b/>
                <w:bCs/>
                <w:u w:val="single"/>
              </w:rPr>
            </w:pPr>
            <w:r>
              <w:rPr>
                <w:rFonts w:hint="eastAsia"/>
                <w:b/>
                <w:bCs/>
                <w:u w:val="single"/>
              </w:rPr>
              <w:t>2073</w:t>
            </w:r>
          </w:p>
        </w:tc>
        <w:tc>
          <w:tcPr>
            <w:tcW w:w="385" w:type="pct"/>
            <w:vAlign w:val="center"/>
          </w:tcPr>
          <w:p w14:paraId="06CD0A60" w14:textId="77777777" w:rsidR="003E78AB" w:rsidRDefault="00010BF9">
            <w:pPr>
              <w:pStyle w:val="aff6"/>
              <w:topLinePunct/>
              <w:rPr>
                <w:b/>
                <w:bCs/>
                <w:u w:val="single"/>
              </w:rPr>
            </w:pPr>
            <w:r>
              <w:rPr>
                <w:rFonts w:hint="eastAsia"/>
                <w:b/>
                <w:bCs/>
                <w:u w:val="single"/>
              </w:rPr>
              <w:t>687</w:t>
            </w:r>
          </w:p>
        </w:tc>
        <w:tc>
          <w:tcPr>
            <w:tcW w:w="322" w:type="pct"/>
            <w:vAlign w:val="center"/>
          </w:tcPr>
          <w:p w14:paraId="0313A613" w14:textId="77777777" w:rsidR="003E78AB" w:rsidRDefault="00010BF9">
            <w:pPr>
              <w:pStyle w:val="aff6"/>
              <w:topLinePunct/>
              <w:rPr>
                <w:b/>
                <w:bCs/>
                <w:u w:val="single"/>
              </w:rPr>
            </w:pPr>
            <w:r>
              <w:rPr>
                <w:rFonts w:hint="eastAsia"/>
                <w:b/>
                <w:bCs/>
                <w:u w:val="single"/>
              </w:rPr>
              <w:t>15</w:t>
            </w:r>
          </w:p>
        </w:tc>
        <w:tc>
          <w:tcPr>
            <w:tcW w:w="351" w:type="pct"/>
            <w:vAlign w:val="center"/>
          </w:tcPr>
          <w:p w14:paraId="23D6C5ED" w14:textId="77777777" w:rsidR="003E78AB" w:rsidRDefault="00010BF9">
            <w:pPr>
              <w:pStyle w:val="aff6"/>
              <w:topLinePunct/>
              <w:rPr>
                <w:b/>
                <w:bCs/>
                <w:u w:val="single"/>
              </w:rPr>
            </w:pPr>
            <w:r>
              <w:rPr>
                <w:rFonts w:hint="eastAsia"/>
                <w:b/>
                <w:bCs/>
                <w:u w:val="single"/>
              </w:rPr>
              <w:t>0.2</w:t>
            </w:r>
          </w:p>
        </w:tc>
        <w:tc>
          <w:tcPr>
            <w:tcW w:w="376" w:type="pct"/>
            <w:vAlign w:val="center"/>
          </w:tcPr>
          <w:p w14:paraId="0173D039" w14:textId="77777777" w:rsidR="003E78AB" w:rsidRDefault="00010BF9">
            <w:pPr>
              <w:pStyle w:val="aff6"/>
              <w:topLinePunct/>
              <w:rPr>
                <w:b/>
                <w:bCs/>
                <w:u w:val="single"/>
              </w:rPr>
            </w:pPr>
            <w:r>
              <w:rPr>
                <w:rFonts w:hint="eastAsia"/>
                <w:b/>
                <w:bCs/>
                <w:u w:val="single"/>
              </w:rPr>
              <w:t>1050</w:t>
            </w:r>
          </w:p>
        </w:tc>
        <w:tc>
          <w:tcPr>
            <w:tcW w:w="298" w:type="pct"/>
            <w:vAlign w:val="center"/>
          </w:tcPr>
          <w:p w14:paraId="5307CAE3" w14:textId="77777777" w:rsidR="003E78AB" w:rsidRDefault="00010BF9">
            <w:pPr>
              <w:pStyle w:val="aff6"/>
              <w:topLinePunct/>
              <w:rPr>
                <w:b/>
                <w:bCs/>
                <w:u w:val="single"/>
              </w:rPr>
            </w:pPr>
            <w:r>
              <w:rPr>
                <w:rFonts w:hint="eastAsia"/>
                <w:b/>
                <w:bCs/>
                <w:u w:val="single"/>
              </w:rPr>
              <w:t>20</w:t>
            </w:r>
          </w:p>
        </w:tc>
        <w:tc>
          <w:tcPr>
            <w:tcW w:w="309" w:type="pct"/>
            <w:vAlign w:val="center"/>
          </w:tcPr>
          <w:p w14:paraId="6CFF386F" w14:textId="77777777" w:rsidR="003E78AB" w:rsidRDefault="00010BF9">
            <w:pPr>
              <w:pStyle w:val="aff6"/>
              <w:topLinePunct/>
              <w:rPr>
                <w:b/>
                <w:bCs/>
                <w:u w:val="single"/>
              </w:rPr>
            </w:pPr>
            <w:r>
              <w:rPr>
                <w:rFonts w:hint="eastAsia"/>
                <w:b/>
                <w:bCs/>
                <w:u w:val="single"/>
              </w:rPr>
              <w:t>1000</w:t>
            </w:r>
          </w:p>
        </w:tc>
        <w:tc>
          <w:tcPr>
            <w:tcW w:w="299" w:type="pct"/>
            <w:vAlign w:val="center"/>
          </w:tcPr>
          <w:p w14:paraId="1624FB0E" w14:textId="77777777" w:rsidR="003E78AB" w:rsidRDefault="00010BF9">
            <w:pPr>
              <w:pStyle w:val="aff6"/>
              <w:topLinePunct/>
              <w:rPr>
                <w:b/>
                <w:bCs/>
                <w:u w:val="single"/>
              </w:rPr>
            </w:pPr>
            <w:r>
              <w:rPr>
                <w:rFonts w:hint="eastAsia"/>
                <w:b/>
                <w:bCs/>
                <w:u w:val="single"/>
              </w:rPr>
              <w:t>正常</w:t>
            </w:r>
          </w:p>
        </w:tc>
        <w:tc>
          <w:tcPr>
            <w:tcW w:w="453" w:type="pct"/>
            <w:vAlign w:val="center"/>
          </w:tcPr>
          <w:p w14:paraId="23BFFDF6"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177E90D9" w14:textId="77777777" w:rsidR="003E78AB" w:rsidRDefault="00010BF9">
            <w:pPr>
              <w:pStyle w:val="aff6"/>
              <w:topLinePunct/>
              <w:rPr>
                <w:b/>
                <w:bCs/>
                <w:u w:val="single"/>
              </w:rPr>
            </w:pPr>
            <w:r>
              <w:rPr>
                <w:rFonts w:hint="eastAsia"/>
                <w:b/>
                <w:bCs/>
                <w:u w:val="single"/>
              </w:rPr>
              <w:t>/</w:t>
            </w:r>
          </w:p>
        </w:tc>
        <w:tc>
          <w:tcPr>
            <w:tcW w:w="501" w:type="pct"/>
            <w:vAlign w:val="center"/>
          </w:tcPr>
          <w:p w14:paraId="6D879D6F" w14:textId="77777777" w:rsidR="003E78AB" w:rsidRDefault="00010BF9">
            <w:pPr>
              <w:pStyle w:val="aff6"/>
              <w:topLinePunct/>
              <w:rPr>
                <w:b/>
                <w:bCs/>
                <w:u w:val="single"/>
              </w:rPr>
            </w:pPr>
            <w:r>
              <w:rPr>
                <w:rFonts w:hint="eastAsia"/>
                <w:b/>
                <w:bCs/>
                <w:u w:val="single"/>
              </w:rPr>
              <w:t>/</w:t>
            </w:r>
          </w:p>
        </w:tc>
      </w:tr>
      <w:tr w:rsidR="003E78AB" w14:paraId="478F041D" w14:textId="77777777">
        <w:trPr>
          <w:trHeight w:val="283"/>
          <w:jc w:val="center"/>
        </w:trPr>
        <w:tc>
          <w:tcPr>
            <w:tcW w:w="187" w:type="pct"/>
            <w:vAlign w:val="center"/>
          </w:tcPr>
          <w:p w14:paraId="1C628B12" w14:textId="77777777" w:rsidR="003E78AB" w:rsidRDefault="00010BF9">
            <w:pPr>
              <w:pStyle w:val="aff6"/>
              <w:topLinePunct/>
              <w:rPr>
                <w:b/>
                <w:bCs/>
                <w:u w:val="single"/>
              </w:rPr>
            </w:pPr>
            <w:r>
              <w:rPr>
                <w:rFonts w:hint="eastAsia"/>
                <w:b/>
                <w:bCs/>
                <w:u w:val="single"/>
              </w:rPr>
              <w:t>4#</w:t>
            </w:r>
          </w:p>
        </w:tc>
        <w:tc>
          <w:tcPr>
            <w:tcW w:w="522" w:type="pct"/>
            <w:vAlign w:val="center"/>
          </w:tcPr>
          <w:p w14:paraId="0B7DF654" w14:textId="77777777" w:rsidR="003E78AB" w:rsidRDefault="00010BF9">
            <w:pPr>
              <w:pStyle w:val="aff6"/>
              <w:topLinePunct/>
              <w:rPr>
                <w:b/>
                <w:bCs/>
                <w:u w:val="single"/>
              </w:rPr>
            </w:pPr>
            <w:r>
              <w:rPr>
                <w:rFonts w:hint="eastAsia"/>
                <w:b/>
                <w:bCs/>
                <w:u w:val="single"/>
              </w:rPr>
              <w:t>多晶硅加料废气</w:t>
            </w:r>
            <w:r>
              <w:rPr>
                <w:rFonts w:hint="eastAsia"/>
                <w:b/>
                <w:bCs/>
                <w:u w:val="single"/>
              </w:rPr>
              <w:t>3</w:t>
            </w:r>
          </w:p>
        </w:tc>
        <w:tc>
          <w:tcPr>
            <w:tcW w:w="268" w:type="pct"/>
            <w:vAlign w:val="center"/>
          </w:tcPr>
          <w:p w14:paraId="7A5F9E3F" w14:textId="77777777" w:rsidR="003E78AB" w:rsidRDefault="00010BF9">
            <w:pPr>
              <w:pStyle w:val="aff6"/>
              <w:topLinePunct/>
              <w:rPr>
                <w:b/>
                <w:bCs/>
                <w:u w:val="single"/>
              </w:rPr>
            </w:pPr>
            <w:r>
              <w:rPr>
                <w:rFonts w:hint="eastAsia"/>
                <w:b/>
                <w:bCs/>
                <w:u w:val="single"/>
              </w:rPr>
              <w:t>-2343</w:t>
            </w:r>
          </w:p>
        </w:tc>
        <w:tc>
          <w:tcPr>
            <w:tcW w:w="283" w:type="pct"/>
            <w:vAlign w:val="center"/>
          </w:tcPr>
          <w:p w14:paraId="4146DDC2" w14:textId="77777777" w:rsidR="003E78AB" w:rsidRDefault="00010BF9">
            <w:pPr>
              <w:pStyle w:val="aff6"/>
              <w:topLinePunct/>
              <w:rPr>
                <w:b/>
                <w:bCs/>
                <w:u w:val="single"/>
              </w:rPr>
            </w:pPr>
            <w:r>
              <w:rPr>
                <w:rFonts w:hint="eastAsia"/>
                <w:b/>
                <w:bCs/>
                <w:u w:val="single"/>
              </w:rPr>
              <w:t>2072</w:t>
            </w:r>
          </w:p>
        </w:tc>
        <w:tc>
          <w:tcPr>
            <w:tcW w:w="385" w:type="pct"/>
            <w:vAlign w:val="center"/>
          </w:tcPr>
          <w:p w14:paraId="56B63384" w14:textId="77777777" w:rsidR="003E78AB" w:rsidRDefault="00010BF9">
            <w:pPr>
              <w:pStyle w:val="aff6"/>
              <w:topLinePunct/>
              <w:rPr>
                <w:b/>
                <w:bCs/>
                <w:u w:val="single"/>
              </w:rPr>
            </w:pPr>
            <w:r>
              <w:rPr>
                <w:rFonts w:hint="eastAsia"/>
                <w:b/>
                <w:bCs/>
                <w:u w:val="single"/>
              </w:rPr>
              <w:t>686</w:t>
            </w:r>
          </w:p>
        </w:tc>
        <w:tc>
          <w:tcPr>
            <w:tcW w:w="322" w:type="pct"/>
            <w:vAlign w:val="center"/>
          </w:tcPr>
          <w:p w14:paraId="26E33934" w14:textId="77777777" w:rsidR="003E78AB" w:rsidRDefault="00010BF9">
            <w:pPr>
              <w:pStyle w:val="aff6"/>
              <w:topLinePunct/>
              <w:rPr>
                <w:b/>
                <w:bCs/>
                <w:u w:val="single"/>
              </w:rPr>
            </w:pPr>
            <w:r>
              <w:rPr>
                <w:rFonts w:hint="eastAsia"/>
                <w:b/>
                <w:bCs/>
                <w:u w:val="single"/>
              </w:rPr>
              <w:t>15</w:t>
            </w:r>
          </w:p>
        </w:tc>
        <w:tc>
          <w:tcPr>
            <w:tcW w:w="351" w:type="pct"/>
            <w:vAlign w:val="center"/>
          </w:tcPr>
          <w:p w14:paraId="76164918" w14:textId="77777777" w:rsidR="003E78AB" w:rsidRDefault="00010BF9">
            <w:pPr>
              <w:pStyle w:val="aff6"/>
              <w:topLinePunct/>
              <w:rPr>
                <w:b/>
                <w:bCs/>
                <w:u w:val="single"/>
              </w:rPr>
            </w:pPr>
            <w:r>
              <w:rPr>
                <w:rFonts w:hint="eastAsia"/>
                <w:b/>
                <w:bCs/>
                <w:u w:val="single"/>
              </w:rPr>
              <w:t>0.2</w:t>
            </w:r>
          </w:p>
        </w:tc>
        <w:tc>
          <w:tcPr>
            <w:tcW w:w="376" w:type="pct"/>
            <w:vAlign w:val="center"/>
          </w:tcPr>
          <w:p w14:paraId="4FFF0951" w14:textId="77777777" w:rsidR="003E78AB" w:rsidRDefault="00010BF9">
            <w:pPr>
              <w:pStyle w:val="aff6"/>
              <w:topLinePunct/>
              <w:rPr>
                <w:b/>
                <w:bCs/>
                <w:u w:val="single"/>
              </w:rPr>
            </w:pPr>
            <w:r>
              <w:rPr>
                <w:rFonts w:hint="eastAsia"/>
                <w:b/>
                <w:bCs/>
                <w:u w:val="single"/>
              </w:rPr>
              <w:t>1050</w:t>
            </w:r>
          </w:p>
        </w:tc>
        <w:tc>
          <w:tcPr>
            <w:tcW w:w="298" w:type="pct"/>
            <w:vAlign w:val="center"/>
          </w:tcPr>
          <w:p w14:paraId="06153BFA" w14:textId="77777777" w:rsidR="003E78AB" w:rsidRDefault="00010BF9">
            <w:pPr>
              <w:pStyle w:val="aff6"/>
              <w:topLinePunct/>
              <w:rPr>
                <w:b/>
                <w:bCs/>
                <w:u w:val="single"/>
              </w:rPr>
            </w:pPr>
            <w:r>
              <w:rPr>
                <w:rFonts w:hint="eastAsia"/>
                <w:b/>
                <w:bCs/>
                <w:u w:val="single"/>
              </w:rPr>
              <w:t>20</w:t>
            </w:r>
          </w:p>
        </w:tc>
        <w:tc>
          <w:tcPr>
            <w:tcW w:w="309" w:type="pct"/>
            <w:vAlign w:val="center"/>
          </w:tcPr>
          <w:p w14:paraId="77AA873C" w14:textId="77777777" w:rsidR="003E78AB" w:rsidRDefault="00010BF9">
            <w:pPr>
              <w:pStyle w:val="aff6"/>
              <w:topLinePunct/>
              <w:rPr>
                <w:b/>
                <w:bCs/>
                <w:u w:val="single"/>
              </w:rPr>
            </w:pPr>
            <w:r>
              <w:rPr>
                <w:rFonts w:hint="eastAsia"/>
                <w:b/>
                <w:bCs/>
                <w:u w:val="single"/>
              </w:rPr>
              <w:t>1000</w:t>
            </w:r>
          </w:p>
        </w:tc>
        <w:tc>
          <w:tcPr>
            <w:tcW w:w="299" w:type="pct"/>
            <w:vAlign w:val="center"/>
          </w:tcPr>
          <w:p w14:paraId="64130972" w14:textId="77777777" w:rsidR="003E78AB" w:rsidRDefault="00010BF9">
            <w:pPr>
              <w:pStyle w:val="aff6"/>
              <w:topLinePunct/>
              <w:rPr>
                <w:b/>
                <w:bCs/>
                <w:u w:val="single"/>
              </w:rPr>
            </w:pPr>
            <w:r>
              <w:rPr>
                <w:rFonts w:hint="eastAsia"/>
                <w:b/>
                <w:bCs/>
                <w:u w:val="single"/>
              </w:rPr>
              <w:t>正常</w:t>
            </w:r>
          </w:p>
        </w:tc>
        <w:tc>
          <w:tcPr>
            <w:tcW w:w="453" w:type="pct"/>
            <w:vAlign w:val="center"/>
          </w:tcPr>
          <w:p w14:paraId="495E55F8"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4314F917" w14:textId="77777777" w:rsidR="003E78AB" w:rsidRDefault="00010BF9">
            <w:pPr>
              <w:pStyle w:val="aff6"/>
              <w:topLinePunct/>
              <w:rPr>
                <w:b/>
                <w:bCs/>
                <w:u w:val="single"/>
              </w:rPr>
            </w:pPr>
            <w:r>
              <w:rPr>
                <w:rFonts w:hint="eastAsia"/>
                <w:b/>
                <w:bCs/>
                <w:u w:val="single"/>
              </w:rPr>
              <w:t>/</w:t>
            </w:r>
          </w:p>
        </w:tc>
        <w:tc>
          <w:tcPr>
            <w:tcW w:w="501" w:type="pct"/>
            <w:vAlign w:val="center"/>
          </w:tcPr>
          <w:p w14:paraId="16A4B3B6" w14:textId="77777777" w:rsidR="003E78AB" w:rsidRDefault="00010BF9">
            <w:pPr>
              <w:pStyle w:val="aff6"/>
              <w:topLinePunct/>
              <w:rPr>
                <w:b/>
                <w:bCs/>
                <w:u w:val="single"/>
              </w:rPr>
            </w:pPr>
            <w:r>
              <w:rPr>
                <w:rFonts w:hint="eastAsia"/>
                <w:b/>
                <w:bCs/>
                <w:u w:val="single"/>
              </w:rPr>
              <w:t>/</w:t>
            </w:r>
          </w:p>
        </w:tc>
      </w:tr>
      <w:tr w:rsidR="003E78AB" w14:paraId="087D0253" w14:textId="77777777">
        <w:trPr>
          <w:trHeight w:val="283"/>
          <w:jc w:val="center"/>
        </w:trPr>
        <w:tc>
          <w:tcPr>
            <w:tcW w:w="187" w:type="pct"/>
            <w:vAlign w:val="center"/>
          </w:tcPr>
          <w:p w14:paraId="549DB2D0" w14:textId="77777777" w:rsidR="003E78AB" w:rsidRDefault="00010BF9">
            <w:pPr>
              <w:pStyle w:val="aff6"/>
              <w:topLinePunct/>
              <w:rPr>
                <w:b/>
                <w:bCs/>
                <w:u w:val="single"/>
              </w:rPr>
            </w:pPr>
            <w:r>
              <w:rPr>
                <w:rFonts w:hint="eastAsia"/>
                <w:b/>
                <w:bCs/>
                <w:u w:val="single"/>
              </w:rPr>
              <w:t>5#</w:t>
            </w:r>
          </w:p>
        </w:tc>
        <w:tc>
          <w:tcPr>
            <w:tcW w:w="522" w:type="pct"/>
            <w:vAlign w:val="center"/>
          </w:tcPr>
          <w:p w14:paraId="40E1AD14" w14:textId="77777777" w:rsidR="003E78AB" w:rsidRDefault="00010BF9">
            <w:pPr>
              <w:pStyle w:val="aff6"/>
              <w:topLinePunct/>
              <w:rPr>
                <w:b/>
                <w:bCs/>
                <w:u w:val="single"/>
              </w:rPr>
            </w:pPr>
            <w:r>
              <w:rPr>
                <w:rFonts w:hint="eastAsia"/>
                <w:b/>
                <w:bCs/>
                <w:u w:val="single"/>
              </w:rPr>
              <w:t>多晶硅加料干燥废气</w:t>
            </w:r>
            <w:r>
              <w:rPr>
                <w:rFonts w:hint="eastAsia"/>
                <w:b/>
                <w:bCs/>
                <w:u w:val="single"/>
              </w:rPr>
              <w:t>1</w:t>
            </w:r>
          </w:p>
        </w:tc>
        <w:tc>
          <w:tcPr>
            <w:tcW w:w="268" w:type="pct"/>
            <w:vAlign w:val="center"/>
          </w:tcPr>
          <w:p w14:paraId="2CB9B81A" w14:textId="77777777" w:rsidR="003E78AB" w:rsidRDefault="00010BF9">
            <w:pPr>
              <w:pStyle w:val="aff6"/>
              <w:topLinePunct/>
              <w:rPr>
                <w:b/>
                <w:bCs/>
                <w:u w:val="single"/>
              </w:rPr>
            </w:pPr>
            <w:r>
              <w:rPr>
                <w:rFonts w:hint="eastAsia"/>
                <w:b/>
                <w:bCs/>
                <w:u w:val="single"/>
              </w:rPr>
              <w:t>-2329</w:t>
            </w:r>
          </w:p>
        </w:tc>
        <w:tc>
          <w:tcPr>
            <w:tcW w:w="283" w:type="pct"/>
            <w:vAlign w:val="center"/>
          </w:tcPr>
          <w:p w14:paraId="6BD87D22" w14:textId="77777777" w:rsidR="003E78AB" w:rsidRDefault="00010BF9">
            <w:pPr>
              <w:pStyle w:val="aff6"/>
              <w:topLinePunct/>
              <w:rPr>
                <w:b/>
                <w:bCs/>
                <w:u w:val="single"/>
              </w:rPr>
            </w:pPr>
            <w:r>
              <w:rPr>
                <w:rFonts w:hint="eastAsia"/>
                <w:b/>
                <w:bCs/>
                <w:u w:val="single"/>
              </w:rPr>
              <w:t>2070</w:t>
            </w:r>
          </w:p>
        </w:tc>
        <w:tc>
          <w:tcPr>
            <w:tcW w:w="385" w:type="pct"/>
            <w:vAlign w:val="center"/>
          </w:tcPr>
          <w:p w14:paraId="6B456A53" w14:textId="77777777" w:rsidR="003E78AB" w:rsidRDefault="00010BF9">
            <w:pPr>
              <w:pStyle w:val="aff6"/>
              <w:topLinePunct/>
              <w:rPr>
                <w:b/>
                <w:bCs/>
                <w:u w:val="single"/>
              </w:rPr>
            </w:pPr>
            <w:r>
              <w:rPr>
                <w:rFonts w:hint="eastAsia"/>
                <w:b/>
                <w:bCs/>
                <w:u w:val="single"/>
              </w:rPr>
              <w:t>687</w:t>
            </w:r>
          </w:p>
        </w:tc>
        <w:tc>
          <w:tcPr>
            <w:tcW w:w="322" w:type="pct"/>
            <w:vAlign w:val="center"/>
          </w:tcPr>
          <w:p w14:paraId="610CDE6C" w14:textId="77777777" w:rsidR="003E78AB" w:rsidRDefault="00010BF9">
            <w:pPr>
              <w:pStyle w:val="aff6"/>
              <w:topLinePunct/>
              <w:rPr>
                <w:b/>
                <w:bCs/>
                <w:u w:val="single"/>
              </w:rPr>
            </w:pPr>
            <w:r>
              <w:rPr>
                <w:rFonts w:hint="eastAsia"/>
                <w:b/>
                <w:bCs/>
                <w:u w:val="single"/>
              </w:rPr>
              <w:t>15</w:t>
            </w:r>
          </w:p>
        </w:tc>
        <w:tc>
          <w:tcPr>
            <w:tcW w:w="351" w:type="pct"/>
            <w:vAlign w:val="center"/>
          </w:tcPr>
          <w:p w14:paraId="45BDC135" w14:textId="77777777" w:rsidR="003E78AB" w:rsidRDefault="00010BF9">
            <w:pPr>
              <w:pStyle w:val="aff6"/>
              <w:topLinePunct/>
              <w:rPr>
                <w:b/>
                <w:bCs/>
                <w:u w:val="single"/>
              </w:rPr>
            </w:pPr>
            <w:r>
              <w:rPr>
                <w:rFonts w:hint="eastAsia"/>
                <w:b/>
                <w:bCs/>
                <w:u w:val="single"/>
              </w:rPr>
              <w:t>0.2</w:t>
            </w:r>
          </w:p>
        </w:tc>
        <w:tc>
          <w:tcPr>
            <w:tcW w:w="376" w:type="pct"/>
            <w:vAlign w:val="center"/>
          </w:tcPr>
          <w:p w14:paraId="1BA9DE48" w14:textId="77777777" w:rsidR="003E78AB" w:rsidRDefault="00010BF9">
            <w:pPr>
              <w:pStyle w:val="aff6"/>
              <w:topLinePunct/>
              <w:rPr>
                <w:b/>
                <w:bCs/>
                <w:u w:val="single"/>
              </w:rPr>
            </w:pPr>
            <w:r>
              <w:rPr>
                <w:rFonts w:hint="eastAsia"/>
                <w:b/>
                <w:bCs/>
                <w:u w:val="single"/>
              </w:rPr>
              <w:t>1050</w:t>
            </w:r>
          </w:p>
        </w:tc>
        <w:tc>
          <w:tcPr>
            <w:tcW w:w="298" w:type="pct"/>
            <w:vAlign w:val="center"/>
          </w:tcPr>
          <w:p w14:paraId="5EC12355" w14:textId="77777777" w:rsidR="003E78AB" w:rsidRDefault="00010BF9">
            <w:pPr>
              <w:pStyle w:val="aff6"/>
              <w:topLinePunct/>
              <w:rPr>
                <w:b/>
                <w:bCs/>
                <w:u w:val="single"/>
              </w:rPr>
            </w:pPr>
            <w:r>
              <w:rPr>
                <w:rFonts w:hint="eastAsia"/>
                <w:b/>
                <w:bCs/>
                <w:u w:val="single"/>
              </w:rPr>
              <w:t>20</w:t>
            </w:r>
          </w:p>
        </w:tc>
        <w:tc>
          <w:tcPr>
            <w:tcW w:w="309" w:type="pct"/>
            <w:vAlign w:val="center"/>
          </w:tcPr>
          <w:p w14:paraId="3275500B" w14:textId="77777777" w:rsidR="003E78AB" w:rsidRDefault="00010BF9">
            <w:pPr>
              <w:pStyle w:val="aff6"/>
              <w:topLinePunct/>
              <w:rPr>
                <w:b/>
                <w:bCs/>
                <w:u w:val="single"/>
              </w:rPr>
            </w:pPr>
            <w:r>
              <w:rPr>
                <w:rFonts w:hint="eastAsia"/>
                <w:b/>
                <w:bCs/>
                <w:u w:val="single"/>
              </w:rPr>
              <w:t>1000</w:t>
            </w:r>
          </w:p>
        </w:tc>
        <w:tc>
          <w:tcPr>
            <w:tcW w:w="299" w:type="pct"/>
            <w:vAlign w:val="center"/>
          </w:tcPr>
          <w:p w14:paraId="598C7981" w14:textId="77777777" w:rsidR="003E78AB" w:rsidRDefault="00010BF9">
            <w:pPr>
              <w:pStyle w:val="aff6"/>
              <w:topLinePunct/>
              <w:rPr>
                <w:b/>
                <w:bCs/>
                <w:u w:val="single"/>
              </w:rPr>
            </w:pPr>
            <w:r>
              <w:rPr>
                <w:rFonts w:hint="eastAsia"/>
                <w:b/>
                <w:bCs/>
                <w:u w:val="single"/>
              </w:rPr>
              <w:t>正常</w:t>
            </w:r>
          </w:p>
        </w:tc>
        <w:tc>
          <w:tcPr>
            <w:tcW w:w="453" w:type="pct"/>
            <w:vAlign w:val="center"/>
          </w:tcPr>
          <w:p w14:paraId="7D1E3CF3"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0C15367C" w14:textId="77777777" w:rsidR="003E78AB" w:rsidRDefault="00010BF9">
            <w:pPr>
              <w:pStyle w:val="aff6"/>
              <w:topLinePunct/>
              <w:rPr>
                <w:b/>
                <w:bCs/>
                <w:u w:val="single"/>
              </w:rPr>
            </w:pPr>
            <w:r>
              <w:rPr>
                <w:rFonts w:hint="eastAsia"/>
                <w:b/>
                <w:bCs/>
                <w:u w:val="single"/>
              </w:rPr>
              <w:t>/</w:t>
            </w:r>
          </w:p>
        </w:tc>
        <w:tc>
          <w:tcPr>
            <w:tcW w:w="501" w:type="pct"/>
            <w:vAlign w:val="center"/>
          </w:tcPr>
          <w:p w14:paraId="24D7DE6F" w14:textId="77777777" w:rsidR="003E78AB" w:rsidRDefault="00010BF9">
            <w:pPr>
              <w:pStyle w:val="aff6"/>
              <w:topLinePunct/>
              <w:rPr>
                <w:b/>
                <w:bCs/>
                <w:u w:val="single"/>
              </w:rPr>
            </w:pPr>
            <w:r>
              <w:rPr>
                <w:rFonts w:hint="eastAsia"/>
                <w:b/>
                <w:bCs/>
                <w:u w:val="single"/>
              </w:rPr>
              <w:t>/</w:t>
            </w:r>
          </w:p>
        </w:tc>
      </w:tr>
      <w:tr w:rsidR="003E78AB" w14:paraId="708E181A" w14:textId="77777777">
        <w:trPr>
          <w:trHeight w:val="283"/>
          <w:jc w:val="center"/>
        </w:trPr>
        <w:tc>
          <w:tcPr>
            <w:tcW w:w="187" w:type="pct"/>
            <w:vAlign w:val="center"/>
          </w:tcPr>
          <w:p w14:paraId="3ECECDE5" w14:textId="77777777" w:rsidR="003E78AB" w:rsidRDefault="00010BF9">
            <w:pPr>
              <w:pStyle w:val="aff6"/>
              <w:topLinePunct/>
              <w:rPr>
                <w:b/>
                <w:bCs/>
                <w:u w:val="single"/>
              </w:rPr>
            </w:pPr>
            <w:r>
              <w:rPr>
                <w:rFonts w:hint="eastAsia"/>
                <w:b/>
                <w:bCs/>
                <w:u w:val="single"/>
              </w:rPr>
              <w:t>6#</w:t>
            </w:r>
          </w:p>
        </w:tc>
        <w:tc>
          <w:tcPr>
            <w:tcW w:w="522" w:type="pct"/>
            <w:vAlign w:val="center"/>
          </w:tcPr>
          <w:p w14:paraId="1EBD9652" w14:textId="77777777" w:rsidR="003E78AB" w:rsidRDefault="00010BF9">
            <w:pPr>
              <w:pStyle w:val="aff6"/>
              <w:topLinePunct/>
              <w:rPr>
                <w:b/>
                <w:bCs/>
                <w:u w:val="single"/>
              </w:rPr>
            </w:pPr>
            <w:r>
              <w:rPr>
                <w:rFonts w:hint="eastAsia"/>
                <w:b/>
                <w:bCs/>
                <w:u w:val="single"/>
              </w:rPr>
              <w:t>多晶硅加料干燥废气</w:t>
            </w:r>
            <w:r>
              <w:rPr>
                <w:rFonts w:hint="eastAsia"/>
                <w:b/>
                <w:bCs/>
                <w:u w:val="single"/>
              </w:rPr>
              <w:t>2</w:t>
            </w:r>
          </w:p>
        </w:tc>
        <w:tc>
          <w:tcPr>
            <w:tcW w:w="268" w:type="pct"/>
            <w:vAlign w:val="center"/>
          </w:tcPr>
          <w:p w14:paraId="6A3C903E" w14:textId="77777777" w:rsidR="003E78AB" w:rsidRDefault="00010BF9">
            <w:pPr>
              <w:pStyle w:val="aff6"/>
              <w:topLinePunct/>
              <w:rPr>
                <w:b/>
                <w:bCs/>
                <w:u w:val="single"/>
              </w:rPr>
            </w:pPr>
            <w:r>
              <w:rPr>
                <w:rFonts w:hint="eastAsia"/>
                <w:b/>
                <w:bCs/>
                <w:u w:val="single"/>
              </w:rPr>
              <w:t>-2324</w:t>
            </w:r>
          </w:p>
        </w:tc>
        <w:tc>
          <w:tcPr>
            <w:tcW w:w="283" w:type="pct"/>
            <w:vAlign w:val="center"/>
          </w:tcPr>
          <w:p w14:paraId="30768D2A" w14:textId="77777777" w:rsidR="003E78AB" w:rsidRDefault="00010BF9">
            <w:pPr>
              <w:pStyle w:val="aff6"/>
              <w:topLinePunct/>
              <w:rPr>
                <w:b/>
                <w:bCs/>
                <w:u w:val="single"/>
              </w:rPr>
            </w:pPr>
            <w:r>
              <w:rPr>
                <w:rFonts w:hint="eastAsia"/>
                <w:b/>
                <w:bCs/>
                <w:u w:val="single"/>
              </w:rPr>
              <w:t>2065</w:t>
            </w:r>
          </w:p>
        </w:tc>
        <w:tc>
          <w:tcPr>
            <w:tcW w:w="385" w:type="pct"/>
            <w:vAlign w:val="center"/>
          </w:tcPr>
          <w:p w14:paraId="4F125AA6" w14:textId="77777777" w:rsidR="003E78AB" w:rsidRDefault="00010BF9">
            <w:pPr>
              <w:pStyle w:val="aff6"/>
              <w:topLinePunct/>
              <w:rPr>
                <w:b/>
                <w:bCs/>
                <w:u w:val="single"/>
              </w:rPr>
            </w:pPr>
            <w:r>
              <w:rPr>
                <w:rFonts w:hint="eastAsia"/>
                <w:b/>
                <w:bCs/>
                <w:u w:val="single"/>
              </w:rPr>
              <w:t>687</w:t>
            </w:r>
          </w:p>
        </w:tc>
        <w:tc>
          <w:tcPr>
            <w:tcW w:w="322" w:type="pct"/>
            <w:vAlign w:val="center"/>
          </w:tcPr>
          <w:p w14:paraId="0E2C7CB5" w14:textId="77777777" w:rsidR="003E78AB" w:rsidRDefault="00010BF9">
            <w:pPr>
              <w:pStyle w:val="aff6"/>
              <w:topLinePunct/>
              <w:rPr>
                <w:b/>
                <w:bCs/>
                <w:u w:val="single"/>
              </w:rPr>
            </w:pPr>
            <w:r>
              <w:rPr>
                <w:rFonts w:hint="eastAsia"/>
                <w:b/>
                <w:bCs/>
                <w:u w:val="single"/>
              </w:rPr>
              <w:t>15</w:t>
            </w:r>
          </w:p>
        </w:tc>
        <w:tc>
          <w:tcPr>
            <w:tcW w:w="351" w:type="pct"/>
            <w:vAlign w:val="center"/>
          </w:tcPr>
          <w:p w14:paraId="5BB8DC88" w14:textId="77777777" w:rsidR="003E78AB" w:rsidRDefault="00010BF9">
            <w:pPr>
              <w:pStyle w:val="aff6"/>
              <w:topLinePunct/>
              <w:rPr>
                <w:b/>
                <w:bCs/>
                <w:u w:val="single"/>
              </w:rPr>
            </w:pPr>
            <w:r>
              <w:rPr>
                <w:rFonts w:hint="eastAsia"/>
                <w:b/>
                <w:bCs/>
                <w:u w:val="single"/>
              </w:rPr>
              <w:t>0.2</w:t>
            </w:r>
          </w:p>
        </w:tc>
        <w:tc>
          <w:tcPr>
            <w:tcW w:w="376" w:type="pct"/>
            <w:vAlign w:val="center"/>
          </w:tcPr>
          <w:p w14:paraId="5DF130C2" w14:textId="77777777" w:rsidR="003E78AB" w:rsidRDefault="00010BF9">
            <w:pPr>
              <w:pStyle w:val="aff6"/>
              <w:topLinePunct/>
              <w:rPr>
                <w:b/>
                <w:bCs/>
                <w:u w:val="single"/>
              </w:rPr>
            </w:pPr>
            <w:r>
              <w:rPr>
                <w:rFonts w:hint="eastAsia"/>
                <w:b/>
                <w:bCs/>
                <w:u w:val="single"/>
              </w:rPr>
              <w:t>1050</w:t>
            </w:r>
          </w:p>
        </w:tc>
        <w:tc>
          <w:tcPr>
            <w:tcW w:w="298" w:type="pct"/>
            <w:vAlign w:val="center"/>
          </w:tcPr>
          <w:p w14:paraId="08E87D23" w14:textId="77777777" w:rsidR="003E78AB" w:rsidRDefault="00010BF9">
            <w:pPr>
              <w:pStyle w:val="aff6"/>
              <w:topLinePunct/>
              <w:rPr>
                <w:b/>
                <w:bCs/>
                <w:u w:val="single"/>
              </w:rPr>
            </w:pPr>
            <w:r>
              <w:rPr>
                <w:rFonts w:hint="eastAsia"/>
                <w:b/>
                <w:bCs/>
                <w:u w:val="single"/>
              </w:rPr>
              <w:t>20</w:t>
            </w:r>
          </w:p>
        </w:tc>
        <w:tc>
          <w:tcPr>
            <w:tcW w:w="309" w:type="pct"/>
            <w:vAlign w:val="center"/>
          </w:tcPr>
          <w:p w14:paraId="5A156874" w14:textId="77777777" w:rsidR="003E78AB" w:rsidRDefault="00010BF9">
            <w:pPr>
              <w:pStyle w:val="aff6"/>
              <w:topLinePunct/>
              <w:rPr>
                <w:b/>
                <w:bCs/>
                <w:u w:val="single"/>
              </w:rPr>
            </w:pPr>
            <w:r>
              <w:rPr>
                <w:rFonts w:hint="eastAsia"/>
                <w:b/>
                <w:bCs/>
                <w:u w:val="single"/>
              </w:rPr>
              <w:t>1000</w:t>
            </w:r>
          </w:p>
        </w:tc>
        <w:tc>
          <w:tcPr>
            <w:tcW w:w="299" w:type="pct"/>
            <w:vAlign w:val="center"/>
          </w:tcPr>
          <w:p w14:paraId="02550196" w14:textId="77777777" w:rsidR="003E78AB" w:rsidRDefault="00010BF9">
            <w:pPr>
              <w:pStyle w:val="aff6"/>
              <w:topLinePunct/>
              <w:rPr>
                <w:b/>
                <w:bCs/>
                <w:u w:val="single"/>
              </w:rPr>
            </w:pPr>
            <w:r>
              <w:rPr>
                <w:rFonts w:hint="eastAsia"/>
                <w:b/>
                <w:bCs/>
                <w:u w:val="single"/>
              </w:rPr>
              <w:t>正常</w:t>
            </w:r>
          </w:p>
        </w:tc>
        <w:tc>
          <w:tcPr>
            <w:tcW w:w="453" w:type="pct"/>
            <w:vAlign w:val="center"/>
          </w:tcPr>
          <w:p w14:paraId="122A89FF"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04FCBF74" w14:textId="77777777" w:rsidR="003E78AB" w:rsidRDefault="00010BF9">
            <w:pPr>
              <w:pStyle w:val="aff6"/>
              <w:topLinePunct/>
              <w:rPr>
                <w:b/>
                <w:bCs/>
                <w:u w:val="single"/>
              </w:rPr>
            </w:pPr>
            <w:r>
              <w:rPr>
                <w:rFonts w:hint="eastAsia"/>
                <w:b/>
                <w:bCs/>
                <w:u w:val="single"/>
              </w:rPr>
              <w:t>/</w:t>
            </w:r>
          </w:p>
        </w:tc>
        <w:tc>
          <w:tcPr>
            <w:tcW w:w="501" w:type="pct"/>
            <w:vAlign w:val="center"/>
          </w:tcPr>
          <w:p w14:paraId="6F497804" w14:textId="77777777" w:rsidR="003E78AB" w:rsidRDefault="00010BF9">
            <w:pPr>
              <w:pStyle w:val="aff6"/>
              <w:topLinePunct/>
              <w:rPr>
                <w:b/>
                <w:bCs/>
                <w:u w:val="single"/>
              </w:rPr>
            </w:pPr>
            <w:r>
              <w:rPr>
                <w:rFonts w:hint="eastAsia"/>
                <w:b/>
                <w:bCs/>
                <w:u w:val="single"/>
              </w:rPr>
              <w:t>/</w:t>
            </w:r>
          </w:p>
        </w:tc>
      </w:tr>
      <w:tr w:rsidR="003E78AB" w14:paraId="1371A33D" w14:textId="77777777">
        <w:trPr>
          <w:trHeight w:val="283"/>
          <w:jc w:val="center"/>
        </w:trPr>
        <w:tc>
          <w:tcPr>
            <w:tcW w:w="187" w:type="pct"/>
            <w:vAlign w:val="center"/>
          </w:tcPr>
          <w:p w14:paraId="163F97F5" w14:textId="77777777" w:rsidR="003E78AB" w:rsidRDefault="00010BF9">
            <w:pPr>
              <w:pStyle w:val="aff6"/>
              <w:topLinePunct/>
              <w:rPr>
                <w:b/>
                <w:bCs/>
                <w:u w:val="single"/>
              </w:rPr>
            </w:pPr>
            <w:r>
              <w:rPr>
                <w:rFonts w:hint="eastAsia"/>
                <w:b/>
                <w:bCs/>
                <w:u w:val="single"/>
              </w:rPr>
              <w:t>7#</w:t>
            </w:r>
          </w:p>
        </w:tc>
        <w:tc>
          <w:tcPr>
            <w:tcW w:w="522" w:type="pct"/>
            <w:vAlign w:val="center"/>
          </w:tcPr>
          <w:p w14:paraId="20B544E2" w14:textId="77777777" w:rsidR="003E78AB" w:rsidRDefault="00010BF9">
            <w:pPr>
              <w:pStyle w:val="aff6"/>
              <w:topLinePunct/>
              <w:rPr>
                <w:b/>
                <w:bCs/>
                <w:u w:val="single"/>
              </w:rPr>
            </w:pPr>
            <w:r>
              <w:rPr>
                <w:rFonts w:hint="eastAsia"/>
                <w:b/>
                <w:bCs/>
                <w:u w:val="single"/>
              </w:rPr>
              <w:t>多晶硅加料干燥废气</w:t>
            </w:r>
            <w:r>
              <w:rPr>
                <w:rFonts w:hint="eastAsia"/>
                <w:b/>
                <w:bCs/>
                <w:u w:val="single"/>
              </w:rPr>
              <w:t>3</w:t>
            </w:r>
          </w:p>
        </w:tc>
        <w:tc>
          <w:tcPr>
            <w:tcW w:w="268" w:type="pct"/>
            <w:vAlign w:val="center"/>
          </w:tcPr>
          <w:p w14:paraId="65205263" w14:textId="77777777" w:rsidR="003E78AB" w:rsidRDefault="00010BF9">
            <w:pPr>
              <w:pStyle w:val="aff6"/>
              <w:topLinePunct/>
              <w:rPr>
                <w:b/>
                <w:bCs/>
                <w:u w:val="single"/>
              </w:rPr>
            </w:pPr>
            <w:r>
              <w:rPr>
                <w:rFonts w:hint="eastAsia"/>
                <w:b/>
                <w:bCs/>
                <w:u w:val="single"/>
              </w:rPr>
              <w:t>-2319</w:t>
            </w:r>
          </w:p>
        </w:tc>
        <w:tc>
          <w:tcPr>
            <w:tcW w:w="283" w:type="pct"/>
            <w:vAlign w:val="center"/>
          </w:tcPr>
          <w:p w14:paraId="24059A53" w14:textId="77777777" w:rsidR="003E78AB" w:rsidRDefault="00010BF9">
            <w:pPr>
              <w:pStyle w:val="aff6"/>
              <w:topLinePunct/>
              <w:rPr>
                <w:b/>
                <w:bCs/>
                <w:u w:val="single"/>
              </w:rPr>
            </w:pPr>
            <w:r>
              <w:rPr>
                <w:rFonts w:hint="eastAsia"/>
                <w:b/>
                <w:bCs/>
                <w:u w:val="single"/>
              </w:rPr>
              <w:t>2060</w:t>
            </w:r>
          </w:p>
        </w:tc>
        <w:tc>
          <w:tcPr>
            <w:tcW w:w="385" w:type="pct"/>
            <w:vAlign w:val="center"/>
          </w:tcPr>
          <w:p w14:paraId="05FE2D62" w14:textId="77777777" w:rsidR="003E78AB" w:rsidRDefault="00010BF9">
            <w:pPr>
              <w:pStyle w:val="aff6"/>
              <w:topLinePunct/>
              <w:rPr>
                <w:b/>
                <w:bCs/>
                <w:u w:val="single"/>
              </w:rPr>
            </w:pPr>
            <w:r>
              <w:rPr>
                <w:rFonts w:hint="eastAsia"/>
                <w:b/>
                <w:bCs/>
                <w:u w:val="single"/>
              </w:rPr>
              <w:t>687</w:t>
            </w:r>
          </w:p>
        </w:tc>
        <w:tc>
          <w:tcPr>
            <w:tcW w:w="322" w:type="pct"/>
            <w:vAlign w:val="center"/>
          </w:tcPr>
          <w:p w14:paraId="031FCA2B" w14:textId="77777777" w:rsidR="003E78AB" w:rsidRDefault="00010BF9">
            <w:pPr>
              <w:pStyle w:val="aff6"/>
              <w:topLinePunct/>
              <w:rPr>
                <w:b/>
                <w:bCs/>
                <w:u w:val="single"/>
              </w:rPr>
            </w:pPr>
            <w:r>
              <w:rPr>
                <w:rFonts w:hint="eastAsia"/>
                <w:b/>
                <w:bCs/>
                <w:u w:val="single"/>
              </w:rPr>
              <w:t>15</w:t>
            </w:r>
          </w:p>
        </w:tc>
        <w:tc>
          <w:tcPr>
            <w:tcW w:w="351" w:type="pct"/>
            <w:vAlign w:val="center"/>
          </w:tcPr>
          <w:p w14:paraId="759B849F" w14:textId="77777777" w:rsidR="003E78AB" w:rsidRDefault="00010BF9">
            <w:pPr>
              <w:pStyle w:val="aff6"/>
              <w:topLinePunct/>
              <w:rPr>
                <w:b/>
                <w:bCs/>
                <w:u w:val="single"/>
              </w:rPr>
            </w:pPr>
            <w:r>
              <w:rPr>
                <w:rFonts w:hint="eastAsia"/>
                <w:b/>
                <w:bCs/>
                <w:u w:val="single"/>
              </w:rPr>
              <w:t>0.2</w:t>
            </w:r>
          </w:p>
        </w:tc>
        <w:tc>
          <w:tcPr>
            <w:tcW w:w="376" w:type="pct"/>
            <w:vAlign w:val="center"/>
          </w:tcPr>
          <w:p w14:paraId="6A3BC006" w14:textId="77777777" w:rsidR="003E78AB" w:rsidRDefault="00010BF9">
            <w:pPr>
              <w:pStyle w:val="aff6"/>
              <w:topLinePunct/>
              <w:rPr>
                <w:b/>
                <w:bCs/>
                <w:u w:val="single"/>
              </w:rPr>
            </w:pPr>
            <w:r>
              <w:rPr>
                <w:rFonts w:hint="eastAsia"/>
                <w:b/>
                <w:bCs/>
                <w:u w:val="single"/>
              </w:rPr>
              <w:t>1050</w:t>
            </w:r>
          </w:p>
        </w:tc>
        <w:tc>
          <w:tcPr>
            <w:tcW w:w="298" w:type="pct"/>
            <w:vAlign w:val="center"/>
          </w:tcPr>
          <w:p w14:paraId="1142851E" w14:textId="77777777" w:rsidR="003E78AB" w:rsidRDefault="00010BF9">
            <w:pPr>
              <w:pStyle w:val="aff6"/>
              <w:topLinePunct/>
              <w:rPr>
                <w:b/>
                <w:bCs/>
                <w:u w:val="single"/>
              </w:rPr>
            </w:pPr>
            <w:r>
              <w:rPr>
                <w:rFonts w:hint="eastAsia"/>
                <w:b/>
                <w:bCs/>
                <w:u w:val="single"/>
              </w:rPr>
              <w:t>20</w:t>
            </w:r>
          </w:p>
        </w:tc>
        <w:tc>
          <w:tcPr>
            <w:tcW w:w="309" w:type="pct"/>
            <w:vAlign w:val="center"/>
          </w:tcPr>
          <w:p w14:paraId="3FF988B2" w14:textId="77777777" w:rsidR="003E78AB" w:rsidRDefault="00010BF9">
            <w:pPr>
              <w:pStyle w:val="aff6"/>
              <w:topLinePunct/>
              <w:rPr>
                <w:b/>
                <w:bCs/>
                <w:u w:val="single"/>
              </w:rPr>
            </w:pPr>
            <w:r>
              <w:rPr>
                <w:rFonts w:hint="eastAsia"/>
                <w:b/>
                <w:bCs/>
                <w:u w:val="single"/>
              </w:rPr>
              <w:t>1000</w:t>
            </w:r>
          </w:p>
        </w:tc>
        <w:tc>
          <w:tcPr>
            <w:tcW w:w="299" w:type="pct"/>
            <w:vAlign w:val="center"/>
          </w:tcPr>
          <w:p w14:paraId="62FDE25D" w14:textId="77777777" w:rsidR="003E78AB" w:rsidRDefault="00010BF9">
            <w:pPr>
              <w:pStyle w:val="aff6"/>
              <w:topLinePunct/>
              <w:rPr>
                <w:b/>
                <w:bCs/>
                <w:u w:val="single"/>
              </w:rPr>
            </w:pPr>
            <w:r>
              <w:rPr>
                <w:rFonts w:hint="eastAsia"/>
                <w:b/>
                <w:bCs/>
                <w:u w:val="single"/>
              </w:rPr>
              <w:t>正常</w:t>
            </w:r>
          </w:p>
        </w:tc>
        <w:tc>
          <w:tcPr>
            <w:tcW w:w="453" w:type="pct"/>
            <w:vAlign w:val="center"/>
          </w:tcPr>
          <w:p w14:paraId="40E1F17C"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36FA0ADF" w14:textId="77777777" w:rsidR="003E78AB" w:rsidRDefault="00010BF9">
            <w:pPr>
              <w:pStyle w:val="aff6"/>
              <w:topLinePunct/>
              <w:rPr>
                <w:b/>
                <w:bCs/>
                <w:u w:val="single"/>
              </w:rPr>
            </w:pPr>
            <w:r>
              <w:rPr>
                <w:rFonts w:hint="eastAsia"/>
                <w:b/>
                <w:bCs/>
                <w:u w:val="single"/>
              </w:rPr>
              <w:t>/</w:t>
            </w:r>
          </w:p>
        </w:tc>
        <w:tc>
          <w:tcPr>
            <w:tcW w:w="501" w:type="pct"/>
            <w:vAlign w:val="center"/>
          </w:tcPr>
          <w:p w14:paraId="317FEB46" w14:textId="77777777" w:rsidR="003E78AB" w:rsidRDefault="00010BF9">
            <w:pPr>
              <w:pStyle w:val="aff6"/>
              <w:topLinePunct/>
              <w:rPr>
                <w:b/>
                <w:bCs/>
                <w:u w:val="single"/>
              </w:rPr>
            </w:pPr>
            <w:r>
              <w:rPr>
                <w:rFonts w:hint="eastAsia"/>
                <w:b/>
                <w:bCs/>
                <w:u w:val="single"/>
              </w:rPr>
              <w:t>/</w:t>
            </w:r>
          </w:p>
        </w:tc>
      </w:tr>
      <w:tr w:rsidR="003E78AB" w14:paraId="22F00EF4" w14:textId="77777777">
        <w:trPr>
          <w:trHeight w:val="283"/>
          <w:jc w:val="center"/>
        </w:trPr>
        <w:tc>
          <w:tcPr>
            <w:tcW w:w="187" w:type="pct"/>
            <w:vAlign w:val="center"/>
          </w:tcPr>
          <w:p w14:paraId="09902797" w14:textId="77777777" w:rsidR="003E78AB" w:rsidRDefault="00010BF9">
            <w:pPr>
              <w:pStyle w:val="aff6"/>
              <w:topLinePunct/>
              <w:rPr>
                <w:b/>
                <w:bCs/>
                <w:u w:val="single"/>
              </w:rPr>
            </w:pPr>
            <w:r>
              <w:rPr>
                <w:rFonts w:hint="eastAsia"/>
                <w:b/>
                <w:bCs/>
                <w:u w:val="single"/>
              </w:rPr>
              <w:t>8#</w:t>
            </w:r>
          </w:p>
        </w:tc>
        <w:tc>
          <w:tcPr>
            <w:tcW w:w="522" w:type="pct"/>
            <w:vAlign w:val="center"/>
          </w:tcPr>
          <w:p w14:paraId="7A4B89D1" w14:textId="77777777" w:rsidR="003E78AB" w:rsidRDefault="00010BF9">
            <w:pPr>
              <w:pStyle w:val="aff6"/>
              <w:topLinePunct/>
              <w:rPr>
                <w:b/>
                <w:bCs/>
                <w:u w:val="single"/>
              </w:rPr>
            </w:pPr>
            <w:r>
              <w:rPr>
                <w:rFonts w:hint="eastAsia"/>
                <w:b/>
                <w:bCs/>
                <w:u w:val="single"/>
              </w:rPr>
              <w:t>多晶硅加料干燥废气</w:t>
            </w:r>
            <w:r>
              <w:rPr>
                <w:rFonts w:hint="eastAsia"/>
                <w:b/>
                <w:bCs/>
                <w:u w:val="single"/>
              </w:rPr>
              <w:t>4</w:t>
            </w:r>
          </w:p>
        </w:tc>
        <w:tc>
          <w:tcPr>
            <w:tcW w:w="268" w:type="pct"/>
            <w:vAlign w:val="center"/>
          </w:tcPr>
          <w:p w14:paraId="3EF31F72" w14:textId="77777777" w:rsidR="003E78AB" w:rsidRDefault="00010BF9">
            <w:pPr>
              <w:pStyle w:val="aff6"/>
              <w:topLinePunct/>
              <w:rPr>
                <w:b/>
                <w:bCs/>
                <w:u w:val="single"/>
              </w:rPr>
            </w:pPr>
            <w:r>
              <w:rPr>
                <w:rFonts w:hint="eastAsia"/>
                <w:b/>
                <w:bCs/>
                <w:u w:val="single"/>
              </w:rPr>
              <w:t>-2314</w:t>
            </w:r>
          </w:p>
        </w:tc>
        <w:tc>
          <w:tcPr>
            <w:tcW w:w="283" w:type="pct"/>
            <w:vAlign w:val="center"/>
          </w:tcPr>
          <w:p w14:paraId="100A3075" w14:textId="77777777" w:rsidR="003E78AB" w:rsidRDefault="00010BF9">
            <w:pPr>
              <w:pStyle w:val="aff6"/>
              <w:topLinePunct/>
              <w:rPr>
                <w:b/>
                <w:bCs/>
                <w:u w:val="single"/>
              </w:rPr>
            </w:pPr>
            <w:r>
              <w:rPr>
                <w:rFonts w:hint="eastAsia"/>
                <w:b/>
                <w:bCs/>
                <w:u w:val="single"/>
              </w:rPr>
              <w:t>2055</w:t>
            </w:r>
          </w:p>
        </w:tc>
        <w:tc>
          <w:tcPr>
            <w:tcW w:w="385" w:type="pct"/>
            <w:vAlign w:val="center"/>
          </w:tcPr>
          <w:p w14:paraId="71F1BC63" w14:textId="77777777" w:rsidR="003E78AB" w:rsidRDefault="00010BF9">
            <w:pPr>
              <w:pStyle w:val="aff6"/>
              <w:topLinePunct/>
              <w:rPr>
                <w:b/>
                <w:bCs/>
                <w:u w:val="single"/>
              </w:rPr>
            </w:pPr>
            <w:r>
              <w:rPr>
                <w:rFonts w:hint="eastAsia"/>
                <w:b/>
                <w:bCs/>
                <w:u w:val="single"/>
              </w:rPr>
              <w:t>687</w:t>
            </w:r>
          </w:p>
        </w:tc>
        <w:tc>
          <w:tcPr>
            <w:tcW w:w="322" w:type="pct"/>
            <w:vAlign w:val="center"/>
          </w:tcPr>
          <w:p w14:paraId="61D51188" w14:textId="77777777" w:rsidR="003E78AB" w:rsidRDefault="00010BF9">
            <w:pPr>
              <w:pStyle w:val="aff6"/>
              <w:topLinePunct/>
              <w:rPr>
                <w:b/>
                <w:bCs/>
                <w:u w:val="single"/>
              </w:rPr>
            </w:pPr>
            <w:r>
              <w:rPr>
                <w:rFonts w:hint="eastAsia"/>
                <w:b/>
                <w:bCs/>
                <w:u w:val="single"/>
              </w:rPr>
              <w:t>15</w:t>
            </w:r>
          </w:p>
        </w:tc>
        <w:tc>
          <w:tcPr>
            <w:tcW w:w="351" w:type="pct"/>
            <w:vAlign w:val="center"/>
          </w:tcPr>
          <w:p w14:paraId="460E7A14" w14:textId="77777777" w:rsidR="003E78AB" w:rsidRDefault="00010BF9">
            <w:pPr>
              <w:pStyle w:val="aff6"/>
              <w:topLinePunct/>
              <w:rPr>
                <w:b/>
                <w:bCs/>
                <w:u w:val="single"/>
              </w:rPr>
            </w:pPr>
            <w:r>
              <w:rPr>
                <w:rFonts w:hint="eastAsia"/>
                <w:b/>
                <w:bCs/>
                <w:u w:val="single"/>
              </w:rPr>
              <w:t>0.2</w:t>
            </w:r>
          </w:p>
        </w:tc>
        <w:tc>
          <w:tcPr>
            <w:tcW w:w="376" w:type="pct"/>
            <w:vAlign w:val="center"/>
          </w:tcPr>
          <w:p w14:paraId="346E2BC8" w14:textId="77777777" w:rsidR="003E78AB" w:rsidRDefault="00010BF9">
            <w:pPr>
              <w:pStyle w:val="aff6"/>
              <w:topLinePunct/>
              <w:rPr>
                <w:b/>
                <w:bCs/>
                <w:u w:val="single"/>
              </w:rPr>
            </w:pPr>
            <w:r>
              <w:rPr>
                <w:rFonts w:hint="eastAsia"/>
                <w:b/>
                <w:bCs/>
                <w:u w:val="single"/>
              </w:rPr>
              <w:t>1050</w:t>
            </w:r>
          </w:p>
        </w:tc>
        <w:tc>
          <w:tcPr>
            <w:tcW w:w="298" w:type="pct"/>
            <w:vAlign w:val="center"/>
          </w:tcPr>
          <w:p w14:paraId="01925B52" w14:textId="77777777" w:rsidR="003E78AB" w:rsidRDefault="00010BF9">
            <w:pPr>
              <w:pStyle w:val="aff6"/>
              <w:topLinePunct/>
              <w:rPr>
                <w:b/>
                <w:bCs/>
                <w:u w:val="single"/>
              </w:rPr>
            </w:pPr>
            <w:r>
              <w:rPr>
                <w:rFonts w:hint="eastAsia"/>
                <w:b/>
                <w:bCs/>
                <w:u w:val="single"/>
              </w:rPr>
              <w:t>20</w:t>
            </w:r>
          </w:p>
        </w:tc>
        <w:tc>
          <w:tcPr>
            <w:tcW w:w="309" w:type="pct"/>
            <w:vAlign w:val="center"/>
          </w:tcPr>
          <w:p w14:paraId="66C60D16" w14:textId="77777777" w:rsidR="003E78AB" w:rsidRDefault="00010BF9">
            <w:pPr>
              <w:pStyle w:val="aff6"/>
              <w:topLinePunct/>
              <w:rPr>
                <w:b/>
                <w:bCs/>
                <w:u w:val="single"/>
              </w:rPr>
            </w:pPr>
            <w:r>
              <w:rPr>
                <w:rFonts w:hint="eastAsia"/>
                <w:b/>
                <w:bCs/>
                <w:u w:val="single"/>
              </w:rPr>
              <w:t>1000</w:t>
            </w:r>
          </w:p>
        </w:tc>
        <w:tc>
          <w:tcPr>
            <w:tcW w:w="299" w:type="pct"/>
            <w:vAlign w:val="center"/>
          </w:tcPr>
          <w:p w14:paraId="56F0FCF4" w14:textId="77777777" w:rsidR="003E78AB" w:rsidRDefault="00010BF9">
            <w:pPr>
              <w:pStyle w:val="aff6"/>
              <w:topLinePunct/>
              <w:rPr>
                <w:b/>
                <w:bCs/>
                <w:u w:val="single"/>
              </w:rPr>
            </w:pPr>
            <w:r>
              <w:rPr>
                <w:rFonts w:hint="eastAsia"/>
                <w:b/>
                <w:bCs/>
                <w:u w:val="single"/>
              </w:rPr>
              <w:t>正常</w:t>
            </w:r>
          </w:p>
        </w:tc>
        <w:tc>
          <w:tcPr>
            <w:tcW w:w="453" w:type="pct"/>
            <w:vAlign w:val="center"/>
          </w:tcPr>
          <w:p w14:paraId="7624FA86"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0.03</w:t>
            </w:r>
          </w:p>
        </w:tc>
        <w:tc>
          <w:tcPr>
            <w:tcW w:w="438" w:type="pct"/>
            <w:vAlign w:val="center"/>
          </w:tcPr>
          <w:p w14:paraId="03ABD760" w14:textId="77777777" w:rsidR="003E78AB" w:rsidRDefault="00010BF9">
            <w:pPr>
              <w:pStyle w:val="aff6"/>
              <w:topLinePunct/>
              <w:rPr>
                <w:b/>
                <w:bCs/>
                <w:u w:val="single"/>
              </w:rPr>
            </w:pPr>
            <w:r>
              <w:rPr>
                <w:rFonts w:hint="eastAsia"/>
                <w:b/>
                <w:bCs/>
                <w:u w:val="single"/>
              </w:rPr>
              <w:t>/</w:t>
            </w:r>
          </w:p>
        </w:tc>
        <w:tc>
          <w:tcPr>
            <w:tcW w:w="501" w:type="pct"/>
            <w:vAlign w:val="center"/>
          </w:tcPr>
          <w:p w14:paraId="7272388B" w14:textId="77777777" w:rsidR="003E78AB" w:rsidRDefault="00010BF9">
            <w:pPr>
              <w:pStyle w:val="aff6"/>
              <w:topLinePunct/>
              <w:rPr>
                <w:b/>
                <w:bCs/>
                <w:u w:val="single"/>
              </w:rPr>
            </w:pPr>
            <w:r>
              <w:rPr>
                <w:rFonts w:hint="eastAsia"/>
                <w:b/>
                <w:bCs/>
                <w:u w:val="single"/>
              </w:rPr>
              <w:t>/</w:t>
            </w:r>
          </w:p>
        </w:tc>
      </w:tr>
      <w:tr w:rsidR="003E78AB" w14:paraId="591ABD90" w14:textId="77777777">
        <w:trPr>
          <w:trHeight w:val="283"/>
          <w:jc w:val="center"/>
        </w:trPr>
        <w:tc>
          <w:tcPr>
            <w:tcW w:w="187" w:type="pct"/>
            <w:vAlign w:val="center"/>
          </w:tcPr>
          <w:p w14:paraId="6E7A7430" w14:textId="77777777" w:rsidR="003E78AB" w:rsidRDefault="00010BF9">
            <w:pPr>
              <w:pStyle w:val="aff6"/>
              <w:topLinePunct/>
              <w:rPr>
                <w:b/>
                <w:bCs/>
                <w:u w:val="single"/>
              </w:rPr>
            </w:pPr>
            <w:r>
              <w:rPr>
                <w:rFonts w:hint="eastAsia"/>
                <w:b/>
                <w:bCs/>
                <w:u w:val="single"/>
              </w:rPr>
              <w:t>9#</w:t>
            </w:r>
          </w:p>
        </w:tc>
        <w:tc>
          <w:tcPr>
            <w:tcW w:w="522" w:type="pct"/>
            <w:vAlign w:val="center"/>
          </w:tcPr>
          <w:p w14:paraId="6AC85590" w14:textId="77777777" w:rsidR="003E78AB" w:rsidRDefault="00010BF9">
            <w:pPr>
              <w:pStyle w:val="aff6"/>
              <w:topLinePunct/>
              <w:rPr>
                <w:b/>
                <w:bCs/>
                <w:u w:val="single"/>
              </w:rPr>
            </w:pPr>
            <w:r>
              <w:rPr>
                <w:rFonts w:hint="eastAsia"/>
                <w:b/>
                <w:bCs/>
                <w:u w:val="single"/>
              </w:rPr>
              <w:t>多晶硅渣浆水解废气</w:t>
            </w:r>
          </w:p>
        </w:tc>
        <w:tc>
          <w:tcPr>
            <w:tcW w:w="268" w:type="pct"/>
            <w:vAlign w:val="center"/>
          </w:tcPr>
          <w:p w14:paraId="22876688" w14:textId="77777777" w:rsidR="003E78AB" w:rsidRDefault="00010BF9">
            <w:pPr>
              <w:pStyle w:val="aff6"/>
              <w:topLinePunct/>
              <w:rPr>
                <w:b/>
                <w:bCs/>
                <w:u w:val="single"/>
              </w:rPr>
            </w:pPr>
            <w:r>
              <w:rPr>
                <w:rFonts w:hint="eastAsia"/>
                <w:b/>
                <w:bCs/>
                <w:u w:val="single"/>
              </w:rPr>
              <w:t>-2279</w:t>
            </w:r>
          </w:p>
        </w:tc>
        <w:tc>
          <w:tcPr>
            <w:tcW w:w="283" w:type="pct"/>
            <w:vAlign w:val="center"/>
          </w:tcPr>
          <w:p w14:paraId="3F753491" w14:textId="77777777" w:rsidR="003E78AB" w:rsidRDefault="00010BF9">
            <w:pPr>
              <w:pStyle w:val="aff6"/>
              <w:topLinePunct/>
              <w:rPr>
                <w:b/>
                <w:bCs/>
                <w:u w:val="single"/>
              </w:rPr>
            </w:pPr>
            <w:r>
              <w:rPr>
                <w:rFonts w:hint="eastAsia"/>
                <w:b/>
                <w:bCs/>
                <w:u w:val="single"/>
              </w:rPr>
              <w:t>1995</w:t>
            </w:r>
          </w:p>
        </w:tc>
        <w:tc>
          <w:tcPr>
            <w:tcW w:w="385" w:type="pct"/>
            <w:vAlign w:val="center"/>
          </w:tcPr>
          <w:p w14:paraId="0E6E6B41" w14:textId="77777777" w:rsidR="003E78AB" w:rsidRDefault="00010BF9">
            <w:pPr>
              <w:pStyle w:val="aff6"/>
              <w:topLinePunct/>
              <w:rPr>
                <w:b/>
                <w:bCs/>
                <w:u w:val="single"/>
              </w:rPr>
            </w:pPr>
            <w:r>
              <w:rPr>
                <w:rFonts w:hint="eastAsia"/>
                <w:b/>
                <w:bCs/>
                <w:u w:val="single"/>
              </w:rPr>
              <w:t>684</w:t>
            </w:r>
          </w:p>
        </w:tc>
        <w:tc>
          <w:tcPr>
            <w:tcW w:w="322" w:type="pct"/>
            <w:vAlign w:val="center"/>
          </w:tcPr>
          <w:p w14:paraId="3D156884" w14:textId="77777777" w:rsidR="003E78AB" w:rsidRDefault="00010BF9">
            <w:pPr>
              <w:pStyle w:val="aff6"/>
              <w:topLinePunct/>
              <w:rPr>
                <w:b/>
                <w:bCs/>
                <w:u w:val="single"/>
              </w:rPr>
            </w:pPr>
            <w:r>
              <w:rPr>
                <w:rFonts w:hint="eastAsia"/>
                <w:b/>
                <w:bCs/>
                <w:u w:val="single"/>
              </w:rPr>
              <w:t>15</w:t>
            </w:r>
          </w:p>
        </w:tc>
        <w:tc>
          <w:tcPr>
            <w:tcW w:w="351" w:type="pct"/>
            <w:vAlign w:val="center"/>
          </w:tcPr>
          <w:p w14:paraId="795769DD" w14:textId="77777777" w:rsidR="003E78AB" w:rsidRDefault="00010BF9">
            <w:pPr>
              <w:pStyle w:val="aff6"/>
              <w:topLinePunct/>
              <w:rPr>
                <w:b/>
                <w:bCs/>
                <w:u w:val="single"/>
              </w:rPr>
            </w:pPr>
            <w:r>
              <w:rPr>
                <w:rFonts w:hint="eastAsia"/>
                <w:b/>
                <w:bCs/>
                <w:u w:val="single"/>
              </w:rPr>
              <w:t>0.2</w:t>
            </w:r>
          </w:p>
        </w:tc>
        <w:tc>
          <w:tcPr>
            <w:tcW w:w="376" w:type="pct"/>
            <w:vAlign w:val="center"/>
          </w:tcPr>
          <w:p w14:paraId="2985424A" w14:textId="77777777" w:rsidR="003E78AB" w:rsidRDefault="00010BF9">
            <w:pPr>
              <w:pStyle w:val="aff6"/>
              <w:topLinePunct/>
              <w:rPr>
                <w:b/>
                <w:bCs/>
                <w:u w:val="single"/>
              </w:rPr>
            </w:pPr>
            <w:r>
              <w:rPr>
                <w:rFonts w:hint="eastAsia"/>
                <w:b/>
                <w:bCs/>
                <w:u w:val="single"/>
              </w:rPr>
              <w:t>600</w:t>
            </w:r>
          </w:p>
        </w:tc>
        <w:tc>
          <w:tcPr>
            <w:tcW w:w="298" w:type="pct"/>
            <w:vAlign w:val="center"/>
          </w:tcPr>
          <w:p w14:paraId="784CE639" w14:textId="77777777" w:rsidR="003E78AB" w:rsidRDefault="00010BF9">
            <w:pPr>
              <w:pStyle w:val="aff6"/>
              <w:topLinePunct/>
              <w:rPr>
                <w:b/>
                <w:bCs/>
                <w:u w:val="single"/>
              </w:rPr>
            </w:pPr>
            <w:r>
              <w:rPr>
                <w:rFonts w:hint="eastAsia"/>
                <w:b/>
                <w:bCs/>
                <w:u w:val="single"/>
              </w:rPr>
              <w:t>20</w:t>
            </w:r>
          </w:p>
        </w:tc>
        <w:tc>
          <w:tcPr>
            <w:tcW w:w="309" w:type="pct"/>
            <w:vAlign w:val="center"/>
          </w:tcPr>
          <w:p w14:paraId="392914A4" w14:textId="77777777" w:rsidR="003E78AB" w:rsidRDefault="00010BF9">
            <w:pPr>
              <w:pStyle w:val="aff6"/>
              <w:topLinePunct/>
              <w:rPr>
                <w:b/>
                <w:bCs/>
                <w:u w:val="single"/>
              </w:rPr>
            </w:pPr>
            <w:r>
              <w:rPr>
                <w:rFonts w:hint="eastAsia"/>
                <w:b/>
                <w:bCs/>
                <w:u w:val="single"/>
              </w:rPr>
              <w:t>8000</w:t>
            </w:r>
          </w:p>
        </w:tc>
        <w:tc>
          <w:tcPr>
            <w:tcW w:w="299" w:type="pct"/>
            <w:vAlign w:val="center"/>
          </w:tcPr>
          <w:p w14:paraId="78099BD6" w14:textId="77777777" w:rsidR="003E78AB" w:rsidRDefault="00010BF9">
            <w:pPr>
              <w:pStyle w:val="aff6"/>
              <w:topLinePunct/>
              <w:rPr>
                <w:b/>
                <w:bCs/>
                <w:u w:val="single"/>
              </w:rPr>
            </w:pPr>
            <w:r>
              <w:rPr>
                <w:rFonts w:hint="eastAsia"/>
                <w:b/>
                <w:bCs/>
                <w:u w:val="single"/>
              </w:rPr>
              <w:t>正常</w:t>
            </w:r>
          </w:p>
        </w:tc>
        <w:tc>
          <w:tcPr>
            <w:tcW w:w="453" w:type="pct"/>
            <w:vAlign w:val="center"/>
          </w:tcPr>
          <w:p w14:paraId="23AC4CCA"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0.006</w:t>
            </w:r>
          </w:p>
        </w:tc>
        <w:tc>
          <w:tcPr>
            <w:tcW w:w="438" w:type="pct"/>
            <w:vAlign w:val="center"/>
          </w:tcPr>
          <w:p w14:paraId="240AB887" w14:textId="77777777" w:rsidR="003E78AB" w:rsidRDefault="00010BF9">
            <w:pPr>
              <w:pStyle w:val="aff6"/>
              <w:topLinePunct/>
              <w:rPr>
                <w:b/>
                <w:bCs/>
                <w:u w:val="single"/>
              </w:rPr>
            </w:pPr>
            <w:r>
              <w:rPr>
                <w:rFonts w:hint="eastAsia"/>
                <w:b/>
                <w:bCs/>
                <w:u w:val="single"/>
              </w:rPr>
              <w:t>/</w:t>
            </w:r>
          </w:p>
        </w:tc>
        <w:tc>
          <w:tcPr>
            <w:tcW w:w="501" w:type="pct"/>
            <w:vAlign w:val="center"/>
          </w:tcPr>
          <w:p w14:paraId="4A55D009" w14:textId="77777777" w:rsidR="003E78AB" w:rsidRDefault="00010BF9">
            <w:pPr>
              <w:pStyle w:val="aff6"/>
              <w:topLinePunct/>
              <w:rPr>
                <w:b/>
                <w:bCs/>
                <w:u w:val="single"/>
              </w:rPr>
            </w:pPr>
            <w:r>
              <w:rPr>
                <w:rFonts w:hint="eastAsia"/>
                <w:b/>
                <w:bCs/>
                <w:u w:val="single"/>
              </w:rPr>
              <w:t>/</w:t>
            </w:r>
          </w:p>
        </w:tc>
      </w:tr>
      <w:tr w:rsidR="003E78AB" w14:paraId="3A8086A8" w14:textId="77777777">
        <w:trPr>
          <w:trHeight w:val="283"/>
          <w:jc w:val="center"/>
        </w:trPr>
        <w:tc>
          <w:tcPr>
            <w:tcW w:w="187" w:type="pct"/>
            <w:vAlign w:val="center"/>
          </w:tcPr>
          <w:p w14:paraId="71E72469" w14:textId="77777777" w:rsidR="003E78AB" w:rsidRDefault="00010BF9">
            <w:pPr>
              <w:pStyle w:val="aff6"/>
              <w:topLinePunct/>
              <w:rPr>
                <w:b/>
                <w:bCs/>
                <w:u w:val="single"/>
              </w:rPr>
            </w:pPr>
            <w:r>
              <w:rPr>
                <w:rFonts w:hint="eastAsia"/>
                <w:b/>
                <w:bCs/>
                <w:u w:val="single"/>
              </w:rPr>
              <w:t>10#</w:t>
            </w:r>
          </w:p>
        </w:tc>
        <w:tc>
          <w:tcPr>
            <w:tcW w:w="522" w:type="pct"/>
            <w:vAlign w:val="center"/>
          </w:tcPr>
          <w:p w14:paraId="4B6CCDF3" w14:textId="77777777" w:rsidR="003E78AB" w:rsidRDefault="00010BF9">
            <w:pPr>
              <w:pStyle w:val="aff6"/>
              <w:topLinePunct/>
              <w:rPr>
                <w:b/>
                <w:bCs/>
                <w:u w:val="single"/>
              </w:rPr>
            </w:pPr>
            <w:r>
              <w:rPr>
                <w:rFonts w:hint="eastAsia"/>
                <w:b/>
                <w:bCs/>
                <w:u w:val="single"/>
              </w:rPr>
              <w:t>多晶硅破碎废气</w:t>
            </w:r>
          </w:p>
        </w:tc>
        <w:tc>
          <w:tcPr>
            <w:tcW w:w="268" w:type="pct"/>
            <w:vAlign w:val="center"/>
          </w:tcPr>
          <w:p w14:paraId="2825BC38" w14:textId="77777777" w:rsidR="003E78AB" w:rsidRDefault="00010BF9">
            <w:pPr>
              <w:pStyle w:val="aff6"/>
              <w:topLinePunct/>
              <w:rPr>
                <w:b/>
                <w:bCs/>
                <w:u w:val="single"/>
              </w:rPr>
            </w:pPr>
            <w:r>
              <w:rPr>
                <w:rFonts w:hint="eastAsia"/>
                <w:b/>
                <w:bCs/>
                <w:u w:val="single"/>
              </w:rPr>
              <w:t>-2311</w:t>
            </w:r>
          </w:p>
        </w:tc>
        <w:tc>
          <w:tcPr>
            <w:tcW w:w="283" w:type="pct"/>
            <w:vAlign w:val="center"/>
          </w:tcPr>
          <w:p w14:paraId="4AB27B1F" w14:textId="77777777" w:rsidR="003E78AB" w:rsidRDefault="00010BF9">
            <w:pPr>
              <w:pStyle w:val="aff6"/>
              <w:topLinePunct/>
              <w:rPr>
                <w:b/>
                <w:bCs/>
                <w:u w:val="single"/>
              </w:rPr>
            </w:pPr>
            <w:r>
              <w:rPr>
                <w:rFonts w:hint="eastAsia"/>
                <w:b/>
                <w:bCs/>
                <w:u w:val="single"/>
              </w:rPr>
              <w:t>2010</w:t>
            </w:r>
          </w:p>
        </w:tc>
        <w:tc>
          <w:tcPr>
            <w:tcW w:w="385" w:type="pct"/>
            <w:vAlign w:val="center"/>
          </w:tcPr>
          <w:p w14:paraId="3C2A38BE" w14:textId="77777777" w:rsidR="003E78AB" w:rsidRDefault="00010BF9">
            <w:pPr>
              <w:pStyle w:val="aff6"/>
              <w:topLinePunct/>
              <w:rPr>
                <w:b/>
                <w:bCs/>
                <w:u w:val="single"/>
              </w:rPr>
            </w:pPr>
            <w:r>
              <w:rPr>
                <w:rFonts w:hint="eastAsia"/>
                <w:b/>
                <w:bCs/>
                <w:u w:val="single"/>
              </w:rPr>
              <w:t>690</w:t>
            </w:r>
          </w:p>
        </w:tc>
        <w:tc>
          <w:tcPr>
            <w:tcW w:w="322" w:type="pct"/>
            <w:vAlign w:val="center"/>
          </w:tcPr>
          <w:p w14:paraId="3ACF9AC1" w14:textId="77777777" w:rsidR="003E78AB" w:rsidRDefault="00010BF9">
            <w:pPr>
              <w:pStyle w:val="aff6"/>
              <w:topLinePunct/>
              <w:rPr>
                <w:b/>
                <w:bCs/>
                <w:u w:val="single"/>
              </w:rPr>
            </w:pPr>
            <w:r>
              <w:rPr>
                <w:rFonts w:hint="eastAsia"/>
                <w:b/>
                <w:bCs/>
                <w:u w:val="single"/>
              </w:rPr>
              <w:t>15</w:t>
            </w:r>
          </w:p>
        </w:tc>
        <w:tc>
          <w:tcPr>
            <w:tcW w:w="351" w:type="pct"/>
            <w:vAlign w:val="center"/>
          </w:tcPr>
          <w:p w14:paraId="4970ADC3" w14:textId="77777777" w:rsidR="003E78AB" w:rsidRDefault="00010BF9">
            <w:pPr>
              <w:pStyle w:val="aff6"/>
              <w:topLinePunct/>
              <w:rPr>
                <w:b/>
                <w:bCs/>
                <w:u w:val="single"/>
              </w:rPr>
            </w:pPr>
            <w:r>
              <w:rPr>
                <w:rFonts w:hint="eastAsia"/>
                <w:b/>
                <w:bCs/>
                <w:u w:val="single"/>
              </w:rPr>
              <w:t>0.2</w:t>
            </w:r>
          </w:p>
        </w:tc>
        <w:tc>
          <w:tcPr>
            <w:tcW w:w="376" w:type="pct"/>
            <w:vAlign w:val="center"/>
          </w:tcPr>
          <w:p w14:paraId="02C6EEE8" w14:textId="77777777" w:rsidR="003E78AB" w:rsidRDefault="00010BF9">
            <w:pPr>
              <w:pStyle w:val="aff6"/>
              <w:topLinePunct/>
              <w:rPr>
                <w:b/>
                <w:bCs/>
                <w:u w:val="single"/>
              </w:rPr>
            </w:pPr>
            <w:r>
              <w:rPr>
                <w:rFonts w:hint="eastAsia"/>
                <w:b/>
                <w:bCs/>
                <w:u w:val="single"/>
              </w:rPr>
              <w:t>17000</w:t>
            </w:r>
          </w:p>
        </w:tc>
        <w:tc>
          <w:tcPr>
            <w:tcW w:w="298" w:type="pct"/>
            <w:vAlign w:val="center"/>
          </w:tcPr>
          <w:p w14:paraId="24C7DE53" w14:textId="77777777" w:rsidR="003E78AB" w:rsidRDefault="00010BF9">
            <w:pPr>
              <w:pStyle w:val="aff6"/>
              <w:topLinePunct/>
              <w:rPr>
                <w:b/>
                <w:bCs/>
                <w:u w:val="single"/>
              </w:rPr>
            </w:pPr>
            <w:r>
              <w:rPr>
                <w:rFonts w:hint="eastAsia"/>
                <w:b/>
                <w:bCs/>
                <w:u w:val="single"/>
              </w:rPr>
              <w:t>20</w:t>
            </w:r>
          </w:p>
        </w:tc>
        <w:tc>
          <w:tcPr>
            <w:tcW w:w="309" w:type="pct"/>
            <w:vAlign w:val="center"/>
          </w:tcPr>
          <w:p w14:paraId="22A8D7CB" w14:textId="77777777" w:rsidR="003E78AB" w:rsidRDefault="00010BF9">
            <w:pPr>
              <w:pStyle w:val="aff6"/>
              <w:topLinePunct/>
              <w:rPr>
                <w:b/>
                <w:bCs/>
                <w:u w:val="single"/>
              </w:rPr>
            </w:pPr>
            <w:r>
              <w:rPr>
                <w:rFonts w:hint="eastAsia"/>
                <w:b/>
                <w:bCs/>
                <w:u w:val="single"/>
              </w:rPr>
              <w:t>8000</w:t>
            </w:r>
          </w:p>
        </w:tc>
        <w:tc>
          <w:tcPr>
            <w:tcW w:w="299" w:type="pct"/>
            <w:vAlign w:val="center"/>
          </w:tcPr>
          <w:p w14:paraId="426B55B8" w14:textId="77777777" w:rsidR="003E78AB" w:rsidRDefault="00010BF9">
            <w:pPr>
              <w:pStyle w:val="aff6"/>
              <w:topLinePunct/>
              <w:rPr>
                <w:b/>
                <w:bCs/>
                <w:u w:val="single"/>
              </w:rPr>
            </w:pPr>
            <w:r>
              <w:rPr>
                <w:rFonts w:hint="eastAsia"/>
                <w:b/>
                <w:bCs/>
                <w:u w:val="single"/>
              </w:rPr>
              <w:t>正常</w:t>
            </w:r>
          </w:p>
        </w:tc>
        <w:tc>
          <w:tcPr>
            <w:tcW w:w="453" w:type="pct"/>
            <w:vAlign w:val="center"/>
          </w:tcPr>
          <w:p w14:paraId="2AC45EEB"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0.51</w:t>
            </w:r>
          </w:p>
        </w:tc>
        <w:tc>
          <w:tcPr>
            <w:tcW w:w="438" w:type="pct"/>
            <w:vAlign w:val="center"/>
          </w:tcPr>
          <w:p w14:paraId="4A7A2680" w14:textId="77777777" w:rsidR="003E78AB" w:rsidRDefault="00010BF9">
            <w:pPr>
              <w:pStyle w:val="aff6"/>
              <w:topLinePunct/>
              <w:rPr>
                <w:b/>
                <w:bCs/>
                <w:u w:val="single"/>
              </w:rPr>
            </w:pPr>
            <w:r>
              <w:rPr>
                <w:rFonts w:hint="eastAsia"/>
                <w:b/>
                <w:bCs/>
                <w:u w:val="single"/>
              </w:rPr>
              <w:t>/</w:t>
            </w:r>
          </w:p>
        </w:tc>
        <w:tc>
          <w:tcPr>
            <w:tcW w:w="501" w:type="pct"/>
            <w:vAlign w:val="center"/>
          </w:tcPr>
          <w:p w14:paraId="4B23E121" w14:textId="77777777" w:rsidR="003E78AB" w:rsidRDefault="00010BF9">
            <w:pPr>
              <w:pStyle w:val="aff6"/>
              <w:topLinePunct/>
              <w:rPr>
                <w:b/>
                <w:bCs/>
                <w:u w:val="single"/>
              </w:rPr>
            </w:pPr>
            <w:r>
              <w:rPr>
                <w:rFonts w:hint="eastAsia"/>
                <w:b/>
                <w:bCs/>
                <w:u w:val="single"/>
              </w:rPr>
              <w:t>/</w:t>
            </w:r>
          </w:p>
        </w:tc>
      </w:tr>
      <w:tr w:rsidR="003E78AB" w14:paraId="32760571" w14:textId="77777777">
        <w:trPr>
          <w:trHeight w:val="283"/>
          <w:jc w:val="center"/>
        </w:trPr>
        <w:tc>
          <w:tcPr>
            <w:tcW w:w="187" w:type="pct"/>
            <w:vAlign w:val="center"/>
          </w:tcPr>
          <w:p w14:paraId="6FBAA26F" w14:textId="77777777" w:rsidR="003E78AB" w:rsidRDefault="00010BF9">
            <w:pPr>
              <w:pStyle w:val="aff6"/>
              <w:topLinePunct/>
              <w:rPr>
                <w:b/>
                <w:bCs/>
                <w:u w:val="single"/>
              </w:rPr>
            </w:pPr>
            <w:r>
              <w:rPr>
                <w:rFonts w:hint="eastAsia"/>
                <w:b/>
                <w:bCs/>
                <w:u w:val="single"/>
              </w:rPr>
              <w:t>11#</w:t>
            </w:r>
          </w:p>
        </w:tc>
        <w:tc>
          <w:tcPr>
            <w:tcW w:w="522" w:type="pct"/>
            <w:vAlign w:val="center"/>
          </w:tcPr>
          <w:p w14:paraId="65F6807F" w14:textId="77777777" w:rsidR="003E78AB" w:rsidRDefault="00010BF9">
            <w:pPr>
              <w:pStyle w:val="aff6"/>
              <w:topLinePunct/>
              <w:rPr>
                <w:b/>
                <w:bCs/>
                <w:u w:val="single"/>
              </w:rPr>
            </w:pPr>
            <w:r>
              <w:rPr>
                <w:rFonts w:hint="eastAsia"/>
                <w:b/>
                <w:bCs/>
                <w:u w:val="single"/>
              </w:rPr>
              <w:t>多晶硅酸洗废气</w:t>
            </w:r>
          </w:p>
        </w:tc>
        <w:tc>
          <w:tcPr>
            <w:tcW w:w="268" w:type="pct"/>
            <w:vAlign w:val="center"/>
          </w:tcPr>
          <w:p w14:paraId="3CAC71DC" w14:textId="77777777" w:rsidR="003E78AB" w:rsidRDefault="00010BF9">
            <w:pPr>
              <w:pStyle w:val="aff6"/>
              <w:topLinePunct/>
              <w:rPr>
                <w:b/>
                <w:bCs/>
                <w:u w:val="single"/>
              </w:rPr>
            </w:pPr>
            <w:r>
              <w:rPr>
                <w:rFonts w:hint="eastAsia"/>
                <w:b/>
                <w:bCs/>
                <w:u w:val="single"/>
              </w:rPr>
              <w:t>-2313</w:t>
            </w:r>
          </w:p>
        </w:tc>
        <w:tc>
          <w:tcPr>
            <w:tcW w:w="283" w:type="pct"/>
            <w:vAlign w:val="center"/>
          </w:tcPr>
          <w:p w14:paraId="3E98EA13" w14:textId="77777777" w:rsidR="003E78AB" w:rsidRDefault="00010BF9">
            <w:pPr>
              <w:pStyle w:val="aff6"/>
              <w:topLinePunct/>
              <w:rPr>
                <w:b/>
                <w:bCs/>
                <w:u w:val="single"/>
              </w:rPr>
            </w:pPr>
            <w:r>
              <w:rPr>
                <w:rFonts w:hint="eastAsia"/>
                <w:b/>
                <w:bCs/>
                <w:u w:val="single"/>
              </w:rPr>
              <w:t>2007</w:t>
            </w:r>
          </w:p>
        </w:tc>
        <w:tc>
          <w:tcPr>
            <w:tcW w:w="385" w:type="pct"/>
            <w:vAlign w:val="center"/>
          </w:tcPr>
          <w:p w14:paraId="0B58BCFD" w14:textId="77777777" w:rsidR="003E78AB" w:rsidRDefault="00010BF9">
            <w:pPr>
              <w:pStyle w:val="aff6"/>
              <w:topLinePunct/>
              <w:rPr>
                <w:b/>
                <w:bCs/>
                <w:u w:val="single"/>
              </w:rPr>
            </w:pPr>
            <w:r>
              <w:rPr>
                <w:rFonts w:hint="eastAsia"/>
                <w:b/>
                <w:bCs/>
                <w:u w:val="single"/>
              </w:rPr>
              <w:t>690</w:t>
            </w:r>
          </w:p>
        </w:tc>
        <w:tc>
          <w:tcPr>
            <w:tcW w:w="322" w:type="pct"/>
            <w:vAlign w:val="center"/>
          </w:tcPr>
          <w:p w14:paraId="6656E078" w14:textId="77777777" w:rsidR="003E78AB" w:rsidRDefault="00010BF9">
            <w:pPr>
              <w:pStyle w:val="aff6"/>
              <w:topLinePunct/>
              <w:rPr>
                <w:b/>
                <w:bCs/>
                <w:u w:val="single"/>
              </w:rPr>
            </w:pPr>
            <w:r>
              <w:rPr>
                <w:rFonts w:hint="eastAsia"/>
                <w:b/>
                <w:bCs/>
                <w:u w:val="single"/>
              </w:rPr>
              <w:t>35</w:t>
            </w:r>
          </w:p>
        </w:tc>
        <w:tc>
          <w:tcPr>
            <w:tcW w:w="351" w:type="pct"/>
            <w:vAlign w:val="center"/>
          </w:tcPr>
          <w:p w14:paraId="2DEE3C07" w14:textId="77777777" w:rsidR="003E78AB" w:rsidRDefault="00010BF9">
            <w:pPr>
              <w:pStyle w:val="aff6"/>
              <w:topLinePunct/>
              <w:rPr>
                <w:b/>
                <w:bCs/>
                <w:u w:val="single"/>
              </w:rPr>
            </w:pPr>
            <w:r>
              <w:rPr>
                <w:rFonts w:hint="eastAsia"/>
                <w:b/>
                <w:bCs/>
                <w:u w:val="single"/>
              </w:rPr>
              <w:t>1.2</w:t>
            </w:r>
          </w:p>
        </w:tc>
        <w:tc>
          <w:tcPr>
            <w:tcW w:w="376" w:type="pct"/>
            <w:vAlign w:val="center"/>
          </w:tcPr>
          <w:p w14:paraId="2781A99E" w14:textId="77777777" w:rsidR="003E78AB" w:rsidRDefault="00010BF9">
            <w:pPr>
              <w:pStyle w:val="aff6"/>
              <w:topLinePunct/>
              <w:rPr>
                <w:b/>
                <w:bCs/>
                <w:u w:val="single"/>
              </w:rPr>
            </w:pPr>
            <w:r>
              <w:rPr>
                <w:rFonts w:hint="eastAsia"/>
                <w:b/>
                <w:bCs/>
                <w:u w:val="single"/>
              </w:rPr>
              <w:t>40000</w:t>
            </w:r>
          </w:p>
        </w:tc>
        <w:tc>
          <w:tcPr>
            <w:tcW w:w="298" w:type="pct"/>
            <w:vAlign w:val="center"/>
          </w:tcPr>
          <w:p w14:paraId="3454DA68" w14:textId="77777777" w:rsidR="003E78AB" w:rsidRDefault="00010BF9">
            <w:pPr>
              <w:pStyle w:val="aff6"/>
              <w:topLinePunct/>
              <w:rPr>
                <w:b/>
                <w:bCs/>
                <w:u w:val="single"/>
              </w:rPr>
            </w:pPr>
            <w:r>
              <w:rPr>
                <w:rFonts w:hint="eastAsia"/>
                <w:b/>
                <w:bCs/>
                <w:u w:val="single"/>
              </w:rPr>
              <w:t>20</w:t>
            </w:r>
          </w:p>
        </w:tc>
        <w:tc>
          <w:tcPr>
            <w:tcW w:w="309" w:type="pct"/>
            <w:vAlign w:val="center"/>
          </w:tcPr>
          <w:p w14:paraId="364B909D" w14:textId="77777777" w:rsidR="003E78AB" w:rsidRDefault="00010BF9">
            <w:pPr>
              <w:pStyle w:val="aff6"/>
              <w:topLinePunct/>
              <w:rPr>
                <w:b/>
                <w:bCs/>
                <w:u w:val="single"/>
              </w:rPr>
            </w:pPr>
            <w:r>
              <w:rPr>
                <w:rFonts w:hint="eastAsia"/>
                <w:b/>
                <w:bCs/>
                <w:u w:val="single"/>
              </w:rPr>
              <w:t>8000</w:t>
            </w:r>
          </w:p>
        </w:tc>
        <w:tc>
          <w:tcPr>
            <w:tcW w:w="299" w:type="pct"/>
            <w:vAlign w:val="center"/>
          </w:tcPr>
          <w:p w14:paraId="0BF79FCB" w14:textId="77777777" w:rsidR="003E78AB" w:rsidRDefault="00010BF9">
            <w:pPr>
              <w:pStyle w:val="aff6"/>
              <w:topLinePunct/>
              <w:rPr>
                <w:b/>
                <w:bCs/>
                <w:u w:val="single"/>
              </w:rPr>
            </w:pPr>
            <w:r>
              <w:rPr>
                <w:rFonts w:hint="eastAsia"/>
                <w:b/>
                <w:bCs/>
                <w:u w:val="single"/>
              </w:rPr>
              <w:t>正常</w:t>
            </w:r>
          </w:p>
        </w:tc>
        <w:tc>
          <w:tcPr>
            <w:tcW w:w="453" w:type="pct"/>
            <w:vAlign w:val="center"/>
          </w:tcPr>
          <w:p w14:paraId="35B9F089" w14:textId="77777777" w:rsidR="003E78AB" w:rsidRDefault="00010BF9">
            <w:pPr>
              <w:pStyle w:val="aff6"/>
              <w:topLinePunct/>
              <w:rPr>
                <w:b/>
                <w:bCs/>
                <w:u w:val="single"/>
              </w:rPr>
            </w:pPr>
            <w:r>
              <w:rPr>
                <w:rFonts w:hint="eastAsia"/>
                <w:b/>
                <w:bCs/>
                <w:u w:val="single"/>
              </w:rPr>
              <w:t>NOx</w:t>
            </w:r>
            <w:r>
              <w:rPr>
                <w:rFonts w:hint="eastAsia"/>
                <w:b/>
                <w:bCs/>
                <w:u w:val="single"/>
              </w:rPr>
              <w:t>：</w:t>
            </w:r>
            <w:r>
              <w:rPr>
                <w:rFonts w:hint="eastAsia"/>
                <w:b/>
                <w:bCs/>
                <w:u w:val="single"/>
              </w:rPr>
              <w:t>1.96</w:t>
            </w:r>
          </w:p>
        </w:tc>
        <w:tc>
          <w:tcPr>
            <w:tcW w:w="438" w:type="pct"/>
            <w:vAlign w:val="center"/>
          </w:tcPr>
          <w:p w14:paraId="394D7DAE" w14:textId="77777777" w:rsidR="003E78AB" w:rsidRDefault="00010BF9">
            <w:pPr>
              <w:pStyle w:val="aff6"/>
              <w:topLinePunct/>
              <w:rPr>
                <w:b/>
                <w:bCs/>
                <w:u w:val="single"/>
              </w:rPr>
            </w:pPr>
            <w:r>
              <w:rPr>
                <w:rFonts w:hint="eastAsia"/>
                <w:b/>
                <w:bCs/>
                <w:u w:val="single"/>
              </w:rPr>
              <w:t>/</w:t>
            </w:r>
          </w:p>
        </w:tc>
        <w:tc>
          <w:tcPr>
            <w:tcW w:w="501" w:type="pct"/>
            <w:vAlign w:val="center"/>
          </w:tcPr>
          <w:p w14:paraId="6CDB41BE" w14:textId="77777777" w:rsidR="003E78AB" w:rsidRDefault="00010BF9">
            <w:pPr>
              <w:pStyle w:val="aff6"/>
              <w:topLinePunct/>
              <w:rPr>
                <w:b/>
                <w:bCs/>
                <w:u w:val="single"/>
              </w:rPr>
            </w:pPr>
            <w:r>
              <w:rPr>
                <w:rFonts w:hint="eastAsia"/>
                <w:b/>
                <w:bCs/>
                <w:u w:val="single"/>
              </w:rPr>
              <w:t>/</w:t>
            </w:r>
          </w:p>
        </w:tc>
      </w:tr>
      <w:tr w:rsidR="003E78AB" w14:paraId="1E98137A" w14:textId="77777777">
        <w:trPr>
          <w:trHeight w:val="283"/>
          <w:jc w:val="center"/>
        </w:trPr>
        <w:tc>
          <w:tcPr>
            <w:tcW w:w="187" w:type="pct"/>
            <w:vAlign w:val="center"/>
          </w:tcPr>
          <w:p w14:paraId="74BB9DC8" w14:textId="77777777" w:rsidR="003E78AB" w:rsidRDefault="00010BF9">
            <w:pPr>
              <w:pStyle w:val="aff6"/>
              <w:topLinePunct/>
              <w:rPr>
                <w:b/>
                <w:bCs/>
                <w:u w:val="single"/>
              </w:rPr>
            </w:pPr>
            <w:r>
              <w:rPr>
                <w:rFonts w:hint="eastAsia"/>
                <w:b/>
                <w:bCs/>
                <w:u w:val="single"/>
              </w:rPr>
              <w:t>12#</w:t>
            </w:r>
          </w:p>
        </w:tc>
        <w:tc>
          <w:tcPr>
            <w:tcW w:w="522" w:type="pct"/>
            <w:vAlign w:val="center"/>
          </w:tcPr>
          <w:p w14:paraId="5CA10AC6" w14:textId="77777777" w:rsidR="003E78AB" w:rsidRDefault="00010BF9">
            <w:pPr>
              <w:pStyle w:val="aff6"/>
              <w:topLinePunct/>
              <w:rPr>
                <w:b/>
                <w:bCs/>
                <w:u w:val="single"/>
              </w:rPr>
            </w:pPr>
            <w:r>
              <w:rPr>
                <w:rFonts w:hint="eastAsia"/>
                <w:b/>
                <w:bCs/>
                <w:u w:val="single"/>
              </w:rPr>
              <w:t>多晶硅洗涤尾气</w:t>
            </w:r>
            <w:r>
              <w:rPr>
                <w:rFonts w:hint="eastAsia"/>
                <w:b/>
                <w:bCs/>
                <w:u w:val="single"/>
              </w:rPr>
              <w:t>1</w:t>
            </w:r>
          </w:p>
        </w:tc>
        <w:tc>
          <w:tcPr>
            <w:tcW w:w="268" w:type="pct"/>
            <w:vAlign w:val="center"/>
          </w:tcPr>
          <w:p w14:paraId="2927375B" w14:textId="77777777" w:rsidR="003E78AB" w:rsidRDefault="00010BF9">
            <w:pPr>
              <w:pStyle w:val="aff6"/>
              <w:topLinePunct/>
              <w:rPr>
                <w:b/>
                <w:bCs/>
                <w:u w:val="single"/>
              </w:rPr>
            </w:pPr>
            <w:r>
              <w:rPr>
                <w:rFonts w:hint="eastAsia"/>
                <w:b/>
                <w:bCs/>
                <w:u w:val="single"/>
              </w:rPr>
              <w:t>-2315</w:t>
            </w:r>
          </w:p>
        </w:tc>
        <w:tc>
          <w:tcPr>
            <w:tcW w:w="283" w:type="pct"/>
            <w:vAlign w:val="center"/>
          </w:tcPr>
          <w:p w14:paraId="60836756" w14:textId="77777777" w:rsidR="003E78AB" w:rsidRDefault="00010BF9">
            <w:pPr>
              <w:pStyle w:val="aff6"/>
              <w:topLinePunct/>
              <w:rPr>
                <w:b/>
                <w:bCs/>
                <w:u w:val="single"/>
              </w:rPr>
            </w:pPr>
            <w:r>
              <w:rPr>
                <w:rFonts w:hint="eastAsia"/>
                <w:b/>
                <w:bCs/>
                <w:u w:val="single"/>
              </w:rPr>
              <w:t>2005</w:t>
            </w:r>
          </w:p>
        </w:tc>
        <w:tc>
          <w:tcPr>
            <w:tcW w:w="385" w:type="pct"/>
            <w:vAlign w:val="center"/>
          </w:tcPr>
          <w:p w14:paraId="2C2040CF" w14:textId="77777777" w:rsidR="003E78AB" w:rsidRDefault="00010BF9">
            <w:pPr>
              <w:pStyle w:val="aff6"/>
              <w:topLinePunct/>
              <w:rPr>
                <w:b/>
                <w:bCs/>
                <w:u w:val="single"/>
              </w:rPr>
            </w:pPr>
            <w:r>
              <w:rPr>
                <w:rFonts w:hint="eastAsia"/>
                <w:b/>
                <w:bCs/>
                <w:u w:val="single"/>
              </w:rPr>
              <w:t>690</w:t>
            </w:r>
          </w:p>
        </w:tc>
        <w:tc>
          <w:tcPr>
            <w:tcW w:w="322" w:type="pct"/>
            <w:vAlign w:val="center"/>
          </w:tcPr>
          <w:p w14:paraId="6C63149F" w14:textId="77777777" w:rsidR="003E78AB" w:rsidRDefault="00010BF9">
            <w:pPr>
              <w:pStyle w:val="aff6"/>
              <w:topLinePunct/>
              <w:rPr>
                <w:b/>
                <w:bCs/>
                <w:u w:val="single"/>
              </w:rPr>
            </w:pPr>
            <w:r>
              <w:rPr>
                <w:rFonts w:hint="eastAsia"/>
                <w:b/>
                <w:bCs/>
                <w:u w:val="single"/>
              </w:rPr>
              <w:t>25</w:t>
            </w:r>
          </w:p>
        </w:tc>
        <w:tc>
          <w:tcPr>
            <w:tcW w:w="351" w:type="pct"/>
            <w:vAlign w:val="center"/>
          </w:tcPr>
          <w:p w14:paraId="301B0648" w14:textId="77777777" w:rsidR="003E78AB" w:rsidRDefault="00010BF9">
            <w:pPr>
              <w:pStyle w:val="aff6"/>
              <w:topLinePunct/>
              <w:rPr>
                <w:b/>
                <w:bCs/>
                <w:u w:val="single"/>
              </w:rPr>
            </w:pPr>
            <w:r>
              <w:rPr>
                <w:rFonts w:hint="eastAsia"/>
                <w:b/>
                <w:bCs/>
                <w:u w:val="single"/>
              </w:rPr>
              <w:t>0.5</w:t>
            </w:r>
          </w:p>
        </w:tc>
        <w:tc>
          <w:tcPr>
            <w:tcW w:w="376" w:type="pct"/>
            <w:vAlign w:val="center"/>
          </w:tcPr>
          <w:p w14:paraId="17CCCF00" w14:textId="77777777" w:rsidR="003E78AB" w:rsidRDefault="00010BF9">
            <w:pPr>
              <w:pStyle w:val="aff6"/>
              <w:topLinePunct/>
              <w:rPr>
                <w:b/>
                <w:bCs/>
                <w:u w:val="single"/>
              </w:rPr>
            </w:pPr>
            <w:r>
              <w:rPr>
                <w:rFonts w:hint="eastAsia"/>
                <w:b/>
                <w:bCs/>
                <w:u w:val="single"/>
              </w:rPr>
              <w:t>1000</w:t>
            </w:r>
          </w:p>
        </w:tc>
        <w:tc>
          <w:tcPr>
            <w:tcW w:w="298" w:type="pct"/>
            <w:vAlign w:val="center"/>
          </w:tcPr>
          <w:p w14:paraId="272DFA7C" w14:textId="77777777" w:rsidR="003E78AB" w:rsidRDefault="00010BF9">
            <w:pPr>
              <w:pStyle w:val="aff6"/>
              <w:topLinePunct/>
              <w:rPr>
                <w:b/>
                <w:bCs/>
                <w:u w:val="single"/>
              </w:rPr>
            </w:pPr>
            <w:r>
              <w:rPr>
                <w:rFonts w:hint="eastAsia"/>
                <w:b/>
                <w:bCs/>
                <w:u w:val="single"/>
              </w:rPr>
              <w:t>20</w:t>
            </w:r>
          </w:p>
        </w:tc>
        <w:tc>
          <w:tcPr>
            <w:tcW w:w="309" w:type="pct"/>
            <w:vAlign w:val="center"/>
          </w:tcPr>
          <w:p w14:paraId="29EF2577" w14:textId="77777777" w:rsidR="003E78AB" w:rsidRDefault="00010BF9">
            <w:pPr>
              <w:pStyle w:val="aff6"/>
              <w:topLinePunct/>
              <w:rPr>
                <w:b/>
                <w:bCs/>
                <w:u w:val="single"/>
              </w:rPr>
            </w:pPr>
            <w:r>
              <w:rPr>
                <w:rFonts w:hint="eastAsia"/>
                <w:b/>
                <w:bCs/>
                <w:u w:val="single"/>
              </w:rPr>
              <w:t>8000</w:t>
            </w:r>
          </w:p>
        </w:tc>
        <w:tc>
          <w:tcPr>
            <w:tcW w:w="299" w:type="pct"/>
            <w:vAlign w:val="center"/>
          </w:tcPr>
          <w:p w14:paraId="567D0578" w14:textId="77777777" w:rsidR="003E78AB" w:rsidRDefault="00010BF9">
            <w:pPr>
              <w:pStyle w:val="aff6"/>
              <w:topLinePunct/>
              <w:rPr>
                <w:b/>
                <w:bCs/>
                <w:u w:val="single"/>
              </w:rPr>
            </w:pPr>
            <w:r>
              <w:rPr>
                <w:rFonts w:hint="eastAsia"/>
                <w:b/>
                <w:bCs/>
                <w:u w:val="single"/>
              </w:rPr>
              <w:t>正常</w:t>
            </w:r>
          </w:p>
        </w:tc>
        <w:tc>
          <w:tcPr>
            <w:tcW w:w="453" w:type="pct"/>
            <w:vAlign w:val="center"/>
          </w:tcPr>
          <w:p w14:paraId="1547B220"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7A892DD1" w14:textId="77777777" w:rsidR="003E78AB" w:rsidRDefault="00010BF9">
            <w:pPr>
              <w:pStyle w:val="aff6"/>
              <w:topLinePunct/>
              <w:rPr>
                <w:b/>
                <w:bCs/>
                <w:u w:val="single"/>
              </w:rPr>
            </w:pPr>
            <w:r>
              <w:rPr>
                <w:rFonts w:hint="eastAsia"/>
                <w:b/>
                <w:bCs/>
                <w:u w:val="single"/>
              </w:rPr>
              <w:t>/</w:t>
            </w:r>
          </w:p>
        </w:tc>
        <w:tc>
          <w:tcPr>
            <w:tcW w:w="501" w:type="pct"/>
            <w:vAlign w:val="center"/>
          </w:tcPr>
          <w:p w14:paraId="7BAFB3F7" w14:textId="77777777" w:rsidR="003E78AB" w:rsidRDefault="00010BF9">
            <w:pPr>
              <w:pStyle w:val="aff6"/>
              <w:topLinePunct/>
              <w:rPr>
                <w:b/>
                <w:bCs/>
                <w:u w:val="single"/>
              </w:rPr>
            </w:pPr>
            <w:r>
              <w:rPr>
                <w:rFonts w:hint="eastAsia"/>
                <w:b/>
                <w:bCs/>
                <w:u w:val="single"/>
              </w:rPr>
              <w:t>/</w:t>
            </w:r>
          </w:p>
        </w:tc>
      </w:tr>
      <w:tr w:rsidR="003E78AB" w14:paraId="5EA38ED3" w14:textId="77777777">
        <w:trPr>
          <w:trHeight w:val="283"/>
          <w:jc w:val="center"/>
        </w:trPr>
        <w:tc>
          <w:tcPr>
            <w:tcW w:w="187" w:type="pct"/>
            <w:vAlign w:val="center"/>
          </w:tcPr>
          <w:p w14:paraId="4B2FF5D4" w14:textId="77777777" w:rsidR="003E78AB" w:rsidRDefault="00010BF9">
            <w:pPr>
              <w:pStyle w:val="aff6"/>
              <w:topLinePunct/>
              <w:rPr>
                <w:b/>
                <w:bCs/>
                <w:u w:val="single"/>
              </w:rPr>
            </w:pPr>
            <w:r>
              <w:rPr>
                <w:rFonts w:hint="eastAsia"/>
                <w:b/>
                <w:bCs/>
                <w:u w:val="single"/>
              </w:rPr>
              <w:t>13#</w:t>
            </w:r>
          </w:p>
        </w:tc>
        <w:tc>
          <w:tcPr>
            <w:tcW w:w="522" w:type="pct"/>
            <w:vAlign w:val="center"/>
          </w:tcPr>
          <w:p w14:paraId="09F69CF0" w14:textId="77777777" w:rsidR="003E78AB" w:rsidRDefault="00010BF9">
            <w:pPr>
              <w:pStyle w:val="aff6"/>
              <w:topLinePunct/>
              <w:rPr>
                <w:b/>
                <w:bCs/>
                <w:u w:val="single"/>
              </w:rPr>
            </w:pPr>
            <w:r>
              <w:rPr>
                <w:rFonts w:hint="eastAsia"/>
                <w:b/>
                <w:bCs/>
                <w:u w:val="single"/>
              </w:rPr>
              <w:t>多晶硅洗涤尾气</w:t>
            </w:r>
            <w:r>
              <w:rPr>
                <w:rFonts w:hint="eastAsia"/>
                <w:b/>
                <w:bCs/>
                <w:u w:val="single"/>
              </w:rPr>
              <w:t>2</w:t>
            </w:r>
          </w:p>
        </w:tc>
        <w:tc>
          <w:tcPr>
            <w:tcW w:w="268" w:type="pct"/>
            <w:vAlign w:val="center"/>
          </w:tcPr>
          <w:p w14:paraId="54EF4B46" w14:textId="77777777" w:rsidR="003E78AB" w:rsidRDefault="00010BF9">
            <w:pPr>
              <w:pStyle w:val="aff6"/>
              <w:topLinePunct/>
              <w:rPr>
                <w:b/>
                <w:bCs/>
                <w:u w:val="single"/>
              </w:rPr>
            </w:pPr>
            <w:r>
              <w:rPr>
                <w:rFonts w:hint="eastAsia"/>
                <w:b/>
                <w:bCs/>
                <w:u w:val="single"/>
              </w:rPr>
              <w:t>-2318</w:t>
            </w:r>
          </w:p>
        </w:tc>
        <w:tc>
          <w:tcPr>
            <w:tcW w:w="283" w:type="pct"/>
            <w:vAlign w:val="center"/>
          </w:tcPr>
          <w:p w14:paraId="7B279D15" w14:textId="77777777" w:rsidR="003E78AB" w:rsidRDefault="00010BF9">
            <w:pPr>
              <w:pStyle w:val="aff6"/>
              <w:topLinePunct/>
              <w:rPr>
                <w:b/>
                <w:bCs/>
                <w:u w:val="single"/>
              </w:rPr>
            </w:pPr>
            <w:r>
              <w:rPr>
                <w:rFonts w:hint="eastAsia"/>
                <w:b/>
                <w:bCs/>
                <w:u w:val="single"/>
              </w:rPr>
              <w:t>2001</w:t>
            </w:r>
          </w:p>
        </w:tc>
        <w:tc>
          <w:tcPr>
            <w:tcW w:w="385" w:type="pct"/>
            <w:vAlign w:val="center"/>
          </w:tcPr>
          <w:p w14:paraId="39C23AF8" w14:textId="77777777" w:rsidR="003E78AB" w:rsidRDefault="00010BF9">
            <w:pPr>
              <w:pStyle w:val="aff6"/>
              <w:topLinePunct/>
              <w:rPr>
                <w:b/>
                <w:bCs/>
                <w:u w:val="single"/>
              </w:rPr>
            </w:pPr>
            <w:r>
              <w:rPr>
                <w:rFonts w:hint="eastAsia"/>
                <w:b/>
                <w:bCs/>
                <w:u w:val="single"/>
              </w:rPr>
              <w:t>690</w:t>
            </w:r>
          </w:p>
        </w:tc>
        <w:tc>
          <w:tcPr>
            <w:tcW w:w="322" w:type="pct"/>
            <w:vAlign w:val="center"/>
          </w:tcPr>
          <w:p w14:paraId="6B5D1E2C" w14:textId="77777777" w:rsidR="003E78AB" w:rsidRDefault="00010BF9">
            <w:pPr>
              <w:pStyle w:val="aff6"/>
              <w:topLinePunct/>
              <w:rPr>
                <w:b/>
                <w:bCs/>
                <w:u w:val="single"/>
              </w:rPr>
            </w:pPr>
            <w:r>
              <w:rPr>
                <w:rFonts w:hint="eastAsia"/>
                <w:b/>
                <w:bCs/>
                <w:u w:val="single"/>
              </w:rPr>
              <w:t>25</w:t>
            </w:r>
          </w:p>
        </w:tc>
        <w:tc>
          <w:tcPr>
            <w:tcW w:w="351" w:type="pct"/>
            <w:vAlign w:val="center"/>
          </w:tcPr>
          <w:p w14:paraId="6E5B7545" w14:textId="77777777" w:rsidR="003E78AB" w:rsidRDefault="00010BF9">
            <w:pPr>
              <w:pStyle w:val="aff6"/>
              <w:topLinePunct/>
              <w:rPr>
                <w:b/>
                <w:bCs/>
                <w:u w:val="single"/>
              </w:rPr>
            </w:pPr>
            <w:r>
              <w:rPr>
                <w:rFonts w:hint="eastAsia"/>
                <w:b/>
                <w:bCs/>
                <w:u w:val="single"/>
              </w:rPr>
              <w:t>0.5</w:t>
            </w:r>
          </w:p>
        </w:tc>
        <w:tc>
          <w:tcPr>
            <w:tcW w:w="376" w:type="pct"/>
            <w:vAlign w:val="center"/>
          </w:tcPr>
          <w:p w14:paraId="45AEB880" w14:textId="77777777" w:rsidR="003E78AB" w:rsidRDefault="00010BF9">
            <w:pPr>
              <w:pStyle w:val="aff6"/>
              <w:topLinePunct/>
              <w:rPr>
                <w:b/>
                <w:bCs/>
                <w:u w:val="single"/>
              </w:rPr>
            </w:pPr>
            <w:r>
              <w:rPr>
                <w:rFonts w:hint="eastAsia"/>
                <w:b/>
                <w:bCs/>
                <w:u w:val="single"/>
              </w:rPr>
              <w:t>1000</w:t>
            </w:r>
          </w:p>
        </w:tc>
        <w:tc>
          <w:tcPr>
            <w:tcW w:w="298" w:type="pct"/>
            <w:vAlign w:val="center"/>
          </w:tcPr>
          <w:p w14:paraId="5AE8D7A5" w14:textId="77777777" w:rsidR="003E78AB" w:rsidRDefault="00010BF9">
            <w:pPr>
              <w:pStyle w:val="aff6"/>
              <w:topLinePunct/>
              <w:rPr>
                <w:b/>
                <w:bCs/>
                <w:u w:val="single"/>
              </w:rPr>
            </w:pPr>
            <w:r>
              <w:rPr>
                <w:rFonts w:hint="eastAsia"/>
                <w:b/>
                <w:bCs/>
                <w:u w:val="single"/>
              </w:rPr>
              <w:t>20</w:t>
            </w:r>
          </w:p>
        </w:tc>
        <w:tc>
          <w:tcPr>
            <w:tcW w:w="309" w:type="pct"/>
            <w:vAlign w:val="center"/>
          </w:tcPr>
          <w:p w14:paraId="31A5CA48" w14:textId="77777777" w:rsidR="003E78AB" w:rsidRDefault="00010BF9">
            <w:pPr>
              <w:pStyle w:val="aff6"/>
              <w:topLinePunct/>
              <w:rPr>
                <w:b/>
                <w:bCs/>
                <w:u w:val="single"/>
              </w:rPr>
            </w:pPr>
            <w:r>
              <w:rPr>
                <w:rFonts w:hint="eastAsia"/>
                <w:b/>
                <w:bCs/>
                <w:u w:val="single"/>
              </w:rPr>
              <w:t>8000</w:t>
            </w:r>
          </w:p>
        </w:tc>
        <w:tc>
          <w:tcPr>
            <w:tcW w:w="299" w:type="pct"/>
            <w:vAlign w:val="center"/>
          </w:tcPr>
          <w:p w14:paraId="404DF0DE" w14:textId="77777777" w:rsidR="003E78AB" w:rsidRDefault="00010BF9">
            <w:pPr>
              <w:pStyle w:val="aff6"/>
              <w:topLinePunct/>
              <w:rPr>
                <w:b/>
                <w:bCs/>
                <w:u w:val="single"/>
              </w:rPr>
            </w:pPr>
            <w:r>
              <w:rPr>
                <w:rFonts w:hint="eastAsia"/>
                <w:b/>
                <w:bCs/>
                <w:u w:val="single"/>
              </w:rPr>
              <w:t>正常</w:t>
            </w:r>
          </w:p>
        </w:tc>
        <w:tc>
          <w:tcPr>
            <w:tcW w:w="453" w:type="pct"/>
            <w:vAlign w:val="center"/>
          </w:tcPr>
          <w:p w14:paraId="091E3DC8"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6834DFEB" w14:textId="77777777" w:rsidR="003E78AB" w:rsidRDefault="00010BF9">
            <w:pPr>
              <w:pStyle w:val="aff6"/>
              <w:topLinePunct/>
              <w:rPr>
                <w:b/>
                <w:bCs/>
                <w:u w:val="single"/>
              </w:rPr>
            </w:pPr>
            <w:r>
              <w:rPr>
                <w:rFonts w:hint="eastAsia"/>
                <w:b/>
                <w:bCs/>
                <w:u w:val="single"/>
              </w:rPr>
              <w:t>/</w:t>
            </w:r>
          </w:p>
        </w:tc>
        <w:tc>
          <w:tcPr>
            <w:tcW w:w="501" w:type="pct"/>
            <w:vAlign w:val="center"/>
          </w:tcPr>
          <w:p w14:paraId="4F7F3866" w14:textId="77777777" w:rsidR="003E78AB" w:rsidRDefault="00010BF9">
            <w:pPr>
              <w:pStyle w:val="aff6"/>
              <w:topLinePunct/>
              <w:rPr>
                <w:b/>
                <w:bCs/>
                <w:u w:val="single"/>
              </w:rPr>
            </w:pPr>
            <w:r>
              <w:rPr>
                <w:rFonts w:hint="eastAsia"/>
                <w:b/>
                <w:bCs/>
                <w:u w:val="single"/>
              </w:rPr>
              <w:t>/</w:t>
            </w:r>
          </w:p>
        </w:tc>
      </w:tr>
      <w:tr w:rsidR="003E78AB" w14:paraId="4FA5FCED" w14:textId="77777777">
        <w:trPr>
          <w:trHeight w:val="283"/>
          <w:jc w:val="center"/>
        </w:trPr>
        <w:tc>
          <w:tcPr>
            <w:tcW w:w="187" w:type="pct"/>
            <w:vAlign w:val="center"/>
          </w:tcPr>
          <w:p w14:paraId="43AB1276" w14:textId="77777777" w:rsidR="003E78AB" w:rsidRDefault="00010BF9">
            <w:pPr>
              <w:pStyle w:val="aff6"/>
              <w:topLinePunct/>
              <w:rPr>
                <w:b/>
                <w:bCs/>
                <w:u w:val="single"/>
              </w:rPr>
            </w:pPr>
            <w:r>
              <w:rPr>
                <w:rFonts w:hint="eastAsia"/>
                <w:b/>
                <w:bCs/>
                <w:u w:val="single"/>
              </w:rPr>
              <w:t>14#</w:t>
            </w:r>
          </w:p>
        </w:tc>
        <w:tc>
          <w:tcPr>
            <w:tcW w:w="522" w:type="pct"/>
            <w:vAlign w:val="center"/>
          </w:tcPr>
          <w:p w14:paraId="14F02298" w14:textId="77777777" w:rsidR="003E78AB" w:rsidRDefault="00010BF9">
            <w:pPr>
              <w:pStyle w:val="aff6"/>
              <w:topLinePunct/>
              <w:rPr>
                <w:b/>
                <w:bCs/>
                <w:u w:val="single"/>
              </w:rPr>
            </w:pPr>
            <w:r>
              <w:rPr>
                <w:rFonts w:hint="eastAsia"/>
                <w:b/>
                <w:bCs/>
                <w:u w:val="single"/>
              </w:rPr>
              <w:t>多晶硅洗涤尾气</w:t>
            </w:r>
            <w:r>
              <w:rPr>
                <w:rFonts w:hint="eastAsia"/>
                <w:b/>
                <w:bCs/>
                <w:u w:val="single"/>
              </w:rPr>
              <w:t>3</w:t>
            </w:r>
          </w:p>
        </w:tc>
        <w:tc>
          <w:tcPr>
            <w:tcW w:w="268" w:type="pct"/>
            <w:vAlign w:val="center"/>
          </w:tcPr>
          <w:p w14:paraId="5B6BE002" w14:textId="77777777" w:rsidR="003E78AB" w:rsidRDefault="00010BF9">
            <w:pPr>
              <w:pStyle w:val="aff6"/>
              <w:topLinePunct/>
              <w:rPr>
                <w:b/>
                <w:bCs/>
                <w:u w:val="single"/>
              </w:rPr>
            </w:pPr>
            <w:r>
              <w:rPr>
                <w:rFonts w:hint="eastAsia"/>
                <w:b/>
                <w:bCs/>
                <w:u w:val="single"/>
              </w:rPr>
              <w:t>-2321</w:t>
            </w:r>
          </w:p>
        </w:tc>
        <w:tc>
          <w:tcPr>
            <w:tcW w:w="283" w:type="pct"/>
            <w:vAlign w:val="center"/>
          </w:tcPr>
          <w:p w14:paraId="547D8ECF" w14:textId="77777777" w:rsidR="003E78AB" w:rsidRDefault="00010BF9">
            <w:pPr>
              <w:pStyle w:val="aff6"/>
              <w:topLinePunct/>
              <w:rPr>
                <w:b/>
                <w:bCs/>
                <w:u w:val="single"/>
              </w:rPr>
            </w:pPr>
            <w:r>
              <w:rPr>
                <w:rFonts w:hint="eastAsia"/>
                <w:b/>
                <w:bCs/>
                <w:u w:val="single"/>
              </w:rPr>
              <w:t>1999</w:t>
            </w:r>
          </w:p>
        </w:tc>
        <w:tc>
          <w:tcPr>
            <w:tcW w:w="385" w:type="pct"/>
            <w:vAlign w:val="center"/>
          </w:tcPr>
          <w:p w14:paraId="6FDC6C1F" w14:textId="77777777" w:rsidR="003E78AB" w:rsidRDefault="00010BF9">
            <w:pPr>
              <w:pStyle w:val="aff6"/>
              <w:topLinePunct/>
              <w:rPr>
                <w:b/>
                <w:bCs/>
                <w:u w:val="single"/>
              </w:rPr>
            </w:pPr>
            <w:r>
              <w:rPr>
                <w:rFonts w:hint="eastAsia"/>
                <w:b/>
                <w:bCs/>
                <w:u w:val="single"/>
              </w:rPr>
              <w:t>690</w:t>
            </w:r>
          </w:p>
        </w:tc>
        <w:tc>
          <w:tcPr>
            <w:tcW w:w="322" w:type="pct"/>
            <w:vAlign w:val="center"/>
          </w:tcPr>
          <w:p w14:paraId="762CC1B1" w14:textId="77777777" w:rsidR="003E78AB" w:rsidRDefault="00010BF9">
            <w:pPr>
              <w:pStyle w:val="aff6"/>
              <w:topLinePunct/>
              <w:rPr>
                <w:b/>
                <w:bCs/>
                <w:u w:val="single"/>
              </w:rPr>
            </w:pPr>
            <w:r>
              <w:rPr>
                <w:rFonts w:hint="eastAsia"/>
                <w:b/>
                <w:bCs/>
                <w:u w:val="single"/>
              </w:rPr>
              <w:t>25</w:t>
            </w:r>
          </w:p>
        </w:tc>
        <w:tc>
          <w:tcPr>
            <w:tcW w:w="351" w:type="pct"/>
            <w:vAlign w:val="center"/>
          </w:tcPr>
          <w:p w14:paraId="2E0F9AD0" w14:textId="77777777" w:rsidR="003E78AB" w:rsidRDefault="00010BF9">
            <w:pPr>
              <w:pStyle w:val="aff6"/>
              <w:topLinePunct/>
              <w:rPr>
                <w:b/>
                <w:bCs/>
                <w:u w:val="single"/>
              </w:rPr>
            </w:pPr>
            <w:r>
              <w:rPr>
                <w:rFonts w:hint="eastAsia"/>
                <w:b/>
                <w:bCs/>
                <w:u w:val="single"/>
              </w:rPr>
              <w:t>0.5</w:t>
            </w:r>
          </w:p>
        </w:tc>
        <w:tc>
          <w:tcPr>
            <w:tcW w:w="376" w:type="pct"/>
            <w:vAlign w:val="center"/>
          </w:tcPr>
          <w:p w14:paraId="27B2EC9D" w14:textId="77777777" w:rsidR="003E78AB" w:rsidRDefault="00010BF9">
            <w:pPr>
              <w:pStyle w:val="aff6"/>
              <w:topLinePunct/>
              <w:rPr>
                <w:b/>
                <w:bCs/>
                <w:u w:val="single"/>
              </w:rPr>
            </w:pPr>
            <w:r>
              <w:rPr>
                <w:rFonts w:hint="eastAsia"/>
                <w:b/>
                <w:bCs/>
                <w:u w:val="single"/>
              </w:rPr>
              <w:t>1000</w:t>
            </w:r>
          </w:p>
        </w:tc>
        <w:tc>
          <w:tcPr>
            <w:tcW w:w="298" w:type="pct"/>
            <w:vAlign w:val="center"/>
          </w:tcPr>
          <w:p w14:paraId="162C0EB7" w14:textId="77777777" w:rsidR="003E78AB" w:rsidRDefault="00010BF9">
            <w:pPr>
              <w:pStyle w:val="aff6"/>
              <w:topLinePunct/>
              <w:rPr>
                <w:b/>
                <w:bCs/>
                <w:u w:val="single"/>
              </w:rPr>
            </w:pPr>
            <w:r>
              <w:rPr>
                <w:rFonts w:hint="eastAsia"/>
                <w:b/>
                <w:bCs/>
                <w:u w:val="single"/>
              </w:rPr>
              <w:t>20</w:t>
            </w:r>
          </w:p>
        </w:tc>
        <w:tc>
          <w:tcPr>
            <w:tcW w:w="309" w:type="pct"/>
            <w:vAlign w:val="center"/>
          </w:tcPr>
          <w:p w14:paraId="333D477E" w14:textId="77777777" w:rsidR="003E78AB" w:rsidRDefault="00010BF9">
            <w:pPr>
              <w:pStyle w:val="aff6"/>
              <w:topLinePunct/>
              <w:rPr>
                <w:b/>
                <w:bCs/>
                <w:u w:val="single"/>
              </w:rPr>
            </w:pPr>
            <w:r>
              <w:rPr>
                <w:rFonts w:hint="eastAsia"/>
                <w:b/>
                <w:bCs/>
                <w:u w:val="single"/>
              </w:rPr>
              <w:t>8000</w:t>
            </w:r>
          </w:p>
        </w:tc>
        <w:tc>
          <w:tcPr>
            <w:tcW w:w="299" w:type="pct"/>
            <w:vAlign w:val="center"/>
          </w:tcPr>
          <w:p w14:paraId="50EC6B6A" w14:textId="77777777" w:rsidR="003E78AB" w:rsidRDefault="00010BF9">
            <w:pPr>
              <w:pStyle w:val="aff6"/>
              <w:topLinePunct/>
              <w:rPr>
                <w:b/>
                <w:bCs/>
                <w:u w:val="single"/>
              </w:rPr>
            </w:pPr>
            <w:r>
              <w:rPr>
                <w:rFonts w:hint="eastAsia"/>
                <w:b/>
                <w:bCs/>
                <w:u w:val="single"/>
              </w:rPr>
              <w:t>正常</w:t>
            </w:r>
          </w:p>
        </w:tc>
        <w:tc>
          <w:tcPr>
            <w:tcW w:w="453" w:type="pct"/>
            <w:vAlign w:val="center"/>
          </w:tcPr>
          <w:p w14:paraId="18E195A8"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213700D6" w14:textId="77777777" w:rsidR="003E78AB" w:rsidRDefault="00010BF9">
            <w:pPr>
              <w:pStyle w:val="aff6"/>
              <w:topLinePunct/>
              <w:rPr>
                <w:b/>
                <w:bCs/>
                <w:u w:val="single"/>
              </w:rPr>
            </w:pPr>
            <w:r>
              <w:rPr>
                <w:rFonts w:hint="eastAsia"/>
                <w:b/>
                <w:bCs/>
                <w:u w:val="single"/>
              </w:rPr>
              <w:t>/</w:t>
            </w:r>
          </w:p>
        </w:tc>
        <w:tc>
          <w:tcPr>
            <w:tcW w:w="501" w:type="pct"/>
            <w:vAlign w:val="center"/>
          </w:tcPr>
          <w:p w14:paraId="5627CB10" w14:textId="77777777" w:rsidR="003E78AB" w:rsidRDefault="00010BF9">
            <w:pPr>
              <w:pStyle w:val="aff6"/>
              <w:topLinePunct/>
              <w:rPr>
                <w:b/>
                <w:bCs/>
                <w:u w:val="single"/>
              </w:rPr>
            </w:pPr>
            <w:r>
              <w:rPr>
                <w:rFonts w:hint="eastAsia"/>
                <w:b/>
                <w:bCs/>
                <w:u w:val="single"/>
              </w:rPr>
              <w:t>/</w:t>
            </w:r>
          </w:p>
        </w:tc>
      </w:tr>
      <w:tr w:rsidR="003E78AB" w14:paraId="24261848" w14:textId="77777777">
        <w:trPr>
          <w:trHeight w:val="283"/>
          <w:jc w:val="center"/>
        </w:trPr>
        <w:tc>
          <w:tcPr>
            <w:tcW w:w="187" w:type="pct"/>
            <w:vAlign w:val="center"/>
          </w:tcPr>
          <w:p w14:paraId="2DE50151" w14:textId="77777777" w:rsidR="003E78AB" w:rsidRDefault="00010BF9">
            <w:pPr>
              <w:pStyle w:val="aff6"/>
              <w:topLinePunct/>
              <w:rPr>
                <w:b/>
                <w:bCs/>
                <w:u w:val="single"/>
              </w:rPr>
            </w:pPr>
            <w:r>
              <w:rPr>
                <w:rFonts w:hint="eastAsia"/>
                <w:b/>
                <w:bCs/>
                <w:u w:val="single"/>
              </w:rPr>
              <w:t>15#</w:t>
            </w:r>
          </w:p>
        </w:tc>
        <w:tc>
          <w:tcPr>
            <w:tcW w:w="522" w:type="pct"/>
            <w:vAlign w:val="center"/>
          </w:tcPr>
          <w:p w14:paraId="45704582" w14:textId="77777777" w:rsidR="003E78AB" w:rsidRDefault="00010BF9">
            <w:pPr>
              <w:pStyle w:val="aff6"/>
              <w:topLinePunct/>
              <w:rPr>
                <w:b/>
                <w:bCs/>
                <w:u w:val="single"/>
              </w:rPr>
            </w:pPr>
            <w:r>
              <w:rPr>
                <w:rFonts w:hint="eastAsia"/>
                <w:b/>
                <w:bCs/>
                <w:u w:val="single"/>
              </w:rPr>
              <w:t>多晶硅洗涤尾气</w:t>
            </w:r>
            <w:r>
              <w:rPr>
                <w:rFonts w:hint="eastAsia"/>
                <w:b/>
                <w:bCs/>
                <w:u w:val="single"/>
              </w:rPr>
              <w:t>4</w:t>
            </w:r>
          </w:p>
        </w:tc>
        <w:tc>
          <w:tcPr>
            <w:tcW w:w="268" w:type="pct"/>
            <w:vAlign w:val="center"/>
          </w:tcPr>
          <w:p w14:paraId="7F277832" w14:textId="77777777" w:rsidR="003E78AB" w:rsidRDefault="00010BF9">
            <w:pPr>
              <w:pStyle w:val="aff6"/>
              <w:topLinePunct/>
              <w:rPr>
                <w:b/>
                <w:bCs/>
                <w:u w:val="single"/>
              </w:rPr>
            </w:pPr>
            <w:r>
              <w:rPr>
                <w:rFonts w:hint="eastAsia"/>
                <w:b/>
                <w:bCs/>
                <w:u w:val="single"/>
              </w:rPr>
              <w:t>-2318</w:t>
            </w:r>
          </w:p>
        </w:tc>
        <w:tc>
          <w:tcPr>
            <w:tcW w:w="283" w:type="pct"/>
            <w:vAlign w:val="center"/>
          </w:tcPr>
          <w:p w14:paraId="283B0C8D" w14:textId="77777777" w:rsidR="003E78AB" w:rsidRDefault="00010BF9">
            <w:pPr>
              <w:pStyle w:val="aff6"/>
              <w:topLinePunct/>
              <w:rPr>
                <w:b/>
                <w:bCs/>
                <w:u w:val="single"/>
              </w:rPr>
            </w:pPr>
            <w:r>
              <w:rPr>
                <w:rFonts w:hint="eastAsia"/>
                <w:b/>
                <w:bCs/>
                <w:u w:val="single"/>
              </w:rPr>
              <w:t>1996</w:t>
            </w:r>
          </w:p>
        </w:tc>
        <w:tc>
          <w:tcPr>
            <w:tcW w:w="385" w:type="pct"/>
            <w:vAlign w:val="center"/>
          </w:tcPr>
          <w:p w14:paraId="7C5D56C2" w14:textId="77777777" w:rsidR="003E78AB" w:rsidRDefault="00010BF9">
            <w:pPr>
              <w:pStyle w:val="aff6"/>
              <w:topLinePunct/>
              <w:rPr>
                <w:b/>
                <w:bCs/>
                <w:u w:val="single"/>
              </w:rPr>
            </w:pPr>
            <w:r>
              <w:rPr>
                <w:rFonts w:hint="eastAsia"/>
                <w:b/>
                <w:bCs/>
                <w:u w:val="single"/>
              </w:rPr>
              <w:t>690</w:t>
            </w:r>
          </w:p>
        </w:tc>
        <w:tc>
          <w:tcPr>
            <w:tcW w:w="322" w:type="pct"/>
            <w:vAlign w:val="center"/>
          </w:tcPr>
          <w:p w14:paraId="23D65301" w14:textId="77777777" w:rsidR="003E78AB" w:rsidRDefault="00010BF9">
            <w:pPr>
              <w:pStyle w:val="aff6"/>
              <w:topLinePunct/>
              <w:rPr>
                <w:b/>
                <w:bCs/>
                <w:u w:val="single"/>
              </w:rPr>
            </w:pPr>
            <w:r>
              <w:rPr>
                <w:rFonts w:hint="eastAsia"/>
                <w:b/>
                <w:bCs/>
                <w:u w:val="single"/>
              </w:rPr>
              <w:t>25</w:t>
            </w:r>
          </w:p>
        </w:tc>
        <w:tc>
          <w:tcPr>
            <w:tcW w:w="351" w:type="pct"/>
            <w:vAlign w:val="center"/>
          </w:tcPr>
          <w:p w14:paraId="703B1105" w14:textId="77777777" w:rsidR="003E78AB" w:rsidRDefault="00010BF9">
            <w:pPr>
              <w:pStyle w:val="aff6"/>
              <w:topLinePunct/>
              <w:rPr>
                <w:b/>
                <w:bCs/>
                <w:u w:val="single"/>
              </w:rPr>
            </w:pPr>
            <w:r>
              <w:rPr>
                <w:rFonts w:hint="eastAsia"/>
                <w:b/>
                <w:bCs/>
                <w:u w:val="single"/>
              </w:rPr>
              <w:t>0.5</w:t>
            </w:r>
          </w:p>
        </w:tc>
        <w:tc>
          <w:tcPr>
            <w:tcW w:w="376" w:type="pct"/>
            <w:vAlign w:val="center"/>
          </w:tcPr>
          <w:p w14:paraId="2508EDD8" w14:textId="77777777" w:rsidR="003E78AB" w:rsidRDefault="00010BF9">
            <w:pPr>
              <w:pStyle w:val="aff6"/>
              <w:topLinePunct/>
              <w:rPr>
                <w:b/>
                <w:bCs/>
                <w:u w:val="single"/>
              </w:rPr>
            </w:pPr>
            <w:r>
              <w:rPr>
                <w:rFonts w:hint="eastAsia"/>
                <w:b/>
                <w:bCs/>
                <w:u w:val="single"/>
              </w:rPr>
              <w:t>1000</w:t>
            </w:r>
          </w:p>
        </w:tc>
        <w:tc>
          <w:tcPr>
            <w:tcW w:w="298" w:type="pct"/>
            <w:vAlign w:val="center"/>
          </w:tcPr>
          <w:p w14:paraId="62994937" w14:textId="77777777" w:rsidR="003E78AB" w:rsidRDefault="00010BF9">
            <w:pPr>
              <w:pStyle w:val="aff6"/>
              <w:topLinePunct/>
              <w:rPr>
                <w:b/>
                <w:bCs/>
                <w:u w:val="single"/>
              </w:rPr>
            </w:pPr>
            <w:r>
              <w:rPr>
                <w:rFonts w:hint="eastAsia"/>
                <w:b/>
                <w:bCs/>
                <w:u w:val="single"/>
              </w:rPr>
              <w:t>20</w:t>
            </w:r>
          </w:p>
        </w:tc>
        <w:tc>
          <w:tcPr>
            <w:tcW w:w="309" w:type="pct"/>
            <w:vAlign w:val="center"/>
          </w:tcPr>
          <w:p w14:paraId="2D9AA357" w14:textId="77777777" w:rsidR="003E78AB" w:rsidRDefault="00010BF9">
            <w:pPr>
              <w:pStyle w:val="aff6"/>
              <w:topLinePunct/>
              <w:rPr>
                <w:b/>
                <w:bCs/>
                <w:u w:val="single"/>
              </w:rPr>
            </w:pPr>
            <w:r>
              <w:rPr>
                <w:rFonts w:hint="eastAsia"/>
                <w:b/>
                <w:bCs/>
                <w:u w:val="single"/>
              </w:rPr>
              <w:t>8000</w:t>
            </w:r>
          </w:p>
        </w:tc>
        <w:tc>
          <w:tcPr>
            <w:tcW w:w="299" w:type="pct"/>
            <w:vAlign w:val="center"/>
          </w:tcPr>
          <w:p w14:paraId="20790AB6" w14:textId="77777777" w:rsidR="003E78AB" w:rsidRDefault="00010BF9">
            <w:pPr>
              <w:pStyle w:val="aff6"/>
              <w:topLinePunct/>
              <w:rPr>
                <w:b/>
                <w:bCs/>
                <w:u w:val="single"/>
              </w:rPr>
            </w:pPr>
            <w:r>
              <w:rPr>
                <w:rFonts w:hint="eastAsia"/>
                <w:b/>
                <w:bCs/>
                <w:u w:val="single"/>
              </w:rPr>
              <w:t>正常</w:t>
            </w:r>
          </w:p>
        </w:tc>
        <w:tc>
          <w:tcPr>
            <w:tcW w:w="453" w:type="pct"/>
            <w:vAlign w:val="center"/>
          </w:tcPr>
          <w:p w14:paraId="5E9CB43E"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3CBB9D58" w14:textId="77777777" w:rsidR="003E78AB" w:rsidRDefault="00010BF9">
            <w:pPr>
              <w:pStyle w:val="aff6"/>
              <w:topLinePunct/>
              <w:rPr>
                <w:b/>
                <w:bCs/>
                <w:u w:val="single"/>
              </w:rPr>
            </w:pPr>
            <w:r>
              <w:rPr>
                <w:rFonts w:hint="eastAsia"/>
                <w:b/>
                <w:bCs/>
                <w:u w:val="single"/>
              </w:rPr>
              <w:t>/</w:t>
            </w:r>
          </w:p>
        </w:tc>
        <w:tc>
          <w:tcPr>
            <w:tcW w:w="501" w:type="pct"/>
            <w:vAlign w:val="center"/>
          </w:tcPr>
          <w:p w14:paraId="04900540" w14:textId="77777777" w:rsidR="003E78AB" w:rsidRDefault="00010BF9">
            <w:pPr>
              <w:pStyle w:val="aff6"/>
              <w:topLinePunct/>
              <w:rPr>
                <w:b/>
                <w:bCs/>
                <w:u w:val="single"/>
              </w:rPr>
            </w:pPr>
            <w:r>
              <w:rPr>
                <w:rFonts w:hint="eastAsia"/>
                <w:b/>
                <w:bCs/>
                <w:u w:val="single"/>
              </w:rPr>
              <w:t>/</w:t>
            </w:r>
          </w:p>
        </w:tc>
      </w:tr>
      <w:tr w:rsidR="003E78AB" w14:paraId="3B490C5A" w14:textId="77777777">
        <w:trPr>
          <w:trHeight w:val="283"/>
          <w:jc w:val="center"/>
        </w:trPr>
        <w:tc>
          <w:tcPr>
            <w:tcW w:w="187" w:type="pct"/>
            <w:vAlign w:val="center"/>
          </w:tcPr>
          <w:p w14:paraId="647E4630" w14:textId="77777777" w:rsidR="003E78AB" w:rsidRDefault="00010BF9">
            <w:pPr>
              <w:pStyle w:val="aff6"/>
              <w:topLinePunct/>
              <w:rPr>
                <w:b/>
                <w:bCs/>
                <w:u w:val="single"/>
              </w:rPr>
            </w:pPr>
            <w:r>
              <w:rPr>
                <w:rFonts w:hint="eastAsia"/>
                <w:b/>
                <w:bCs/>
                <w:u w:val="single"/>
              </w:rPr>
              <w:t>16#</w:t>
            </w:r>
          </w:p>
        </w:tc>
        <w:tc>
          <w:tcPr>
            <w:tcW w:w="522" w:type="pct"/>
            <w:vAlign w:val="center"/>
          </w:tcPr>
          <w:p w14:paraId="5B579CF1" w14:textId="77777777" w:rsidR="003E78AB" w:rsidRDefault="00010BF9">
            <w:pPr>
              <w:pStyle w:val="aff6"/>
              <w:topLinePunct/>
              <w:rPr>
                <w:b/>
                <w:bCs/>
                <w:u w:val="single"/>
              </w:rPr>
            </w:pPr>
            <w:r>
              <w:rPr>
                <w:rFonts w:hint="eastAsia"/>
                <w:b/>
                <w:bCs/>
                <w:u w:val="single"/>
              </w:rPr>
              <w:t>多晶硅洗涤尾气</w:t>
            </w:r>
            <w:r>
              <w:rPr>
                <w:rFonts w:hint="eastAsia"/>
                <w:b/>
                <w:bCs/>
                <w:u w:val="single"/>
              </w:rPr>
              <w:t>5</w:t>
            </w:r>
          </w:p>
        </w:tc>
        <w:tc>
          <w:tcPr>
            <w:tcW w:w="268" w:type="pct"/>
            <w:vAlign w:val="center"/>
          </w:tcPr>
          <w:p w14:paraId="4B2CACE8" w14:textId="77777777" w:rsidR="003E78AB" w:rsidRDefault="00010BF9">
            <w:pPr>
              <w:pStyle w:val="aff6"/>
              <w:topLinePunct/>
              <w:rPr>
                <w:b/>
                <w:bCs/>
                <w:u w:val="single"/>
              </w:rPr>
            </w:pPr>
            <w:r>
              <w:rPr>
                <w:rFonts w:hint="eastAsia"/>
                <w:b/>
                <w:bCs/>
                <w:u w:val="single"/>
              </w:rPr>
              <w:t>-2317</w:t>
            </w:r>
          </w:p>
        </w:tc>
        <w:tc>
          <w:tcPr>
            <w:tcW w:w="283" w:type="pct"/>
            <w:vAlign w:val="center"/>
          </w:tcPr>
          <w:p w14:paraId="0BF21494" w14:textId="77777777" w:rsidR="003E78AB" w:rsidRDefault="00010BF9">
            <w:pPr>
              <w:pStyle w:val="aff6"/>
              <w:topLinePunct/>
              <w:rPr>
                <w:b/>
                <w:bCs/>
                <w:u w:val="single"/>
              </w:rPr>
            </w:pPr>
            <w:r>
              <w:rPr>
                <w:rFonts w:hint="eastAsia"/>
                <w:b/>
                <w:bCs/>
                <w:u w:val="single"/>
              </w:rPr>
              <w:t>1995</w:t>
            </w:r>
          </w:p>
        </w:tc>
        <w:tc>
          <w:tcPr>
            <w:tcW w:w="385" w:type="pct"/>
            <w:vAlign w:val="center"/>
          </w:tcPr>
          <w:p w14:paraId="610C3281" w14:textId="77777777" w:rsidR="003E78AB" w:rsidRDefault="00010BF9">
            <w:pPr>
              <w:pStyle w:val="aff6"/>
              <w:topLinePunct/>
              <w:rPr>
                <w:b/>
                <w:bCs/>
                <w:u w:val="single"/>
              </w:rPr>
            </w:pPr>
            <w:r>
              <w:rPr>
                <w:rFonts w:hint="eastAsia"/>
                <w:b/>
                <w:bCs/>
                <w:u w:val="single"/>
              </w:rPr>
              <w:t>690</w:t>
            </w:r>
          </w:p>
        </w:tc>
        <w:tc>
          <w:tcPr>
            <w:tcW w:w="322" w:type="pct"/>
            <w:vAlign w:val="center"/>
          </w:tcPr>
          <w:p w14:paraId="2BFA564E" w14:textId="77777777" w:rsidR="003E78AB" w:rsidRDefault="00010BF9">
            <w:pPr>
              <w:pStyle w:val="aff6"/>
              <w:topLinePunct/>
              <w:rPr>
                <w:b/>
                <w:bCs/>
                <w:u w:val="single"/>
              </w:rPr>
            </w:pPr>
            <w:r>
              <w:rPr>
                <w:rFonts w:hint="eastAsia"/>
                <w:b/>
                <w:bCs/>
                <w:u w:val="single"/>
              </w:rPr>
              <w:t>25</w:t>
            </w:r>
          </w:p>
        </w:tc>
        <w:tc>
          <w:tcPr>
            <w:tcW w:w="351" w:type="pct"/>
            <w:vAlign w:val="center"/>
          </w:tcPr>
          <w:p w14:paraId="3DCDC734" w14:textId="77777777" w:rsidR="003E78AB" w:rsidRDefault="00010BF9">
            <w:pPr>
              <w:pStyle w:val="aff6"/>
              <w:topLinePunct/>
              <w:rPr>
                <w:b/>
                <w:bCs/>
                <w:u w:val="single"/>
              </w:rPr>
            </w:pPr>
            <w:r>
              <w:rPr>
                <w:rFonts w:hint="eastAsia"/>
                <w:b/>
                <w:bCs/>
                <w:u w:val="single"/>
              </w:rPr>
              <w:t>0.5</w:t>
            </w:r>
          </w:p>
        </w:tc>
        <w:tc>
          <w:tcPr>
            <w:tcW w:w="376" w:type="pct"/>
            <w:vAlign w:val="center"/>
          </w:tcPr>
          <w:p w14:paraId="1A5FD9B4" w14:textId="77777777" w:rsidR="003E78AB" w:rsidRDefault="00010BF9">
            <w:pPr>
              <w:pStyle w:val="aff6"/>
              <w:topLinePunct/>
              <w:rPr>
                <w:b/>
                <w:bCs/>
                <w:u w:val="single"/>
              </w:rPr>
            </w:pPr>
            <w:r>
              <w:rPr>
                <w:rFonts w:hint="eastAsia"/>
                <w:b/>
                <w:bCs/>
                <w:u w:val="single"/>
              </w:rPr>
              <w:t>1000</w:t>
            </w:r>
          </w:p>
        </w:tc>
        <w:tc>
          <w:tcPr>
            <w:tcW w:w="298" w:type="pct"/>
            <w:vAlign w:val="center"/>
          </w:tcPr>
          <w:p w14:paraId="6A2F90A0" w14:textId="77777777" w:rsidR="003E78AB" w:rsidRDefault="00010BF9">
            <w:pPr>
              <w:pStyle w:val="aff6"/>
              <w:topLinePunct/>
              <w:rPr>
                <w:b/>
                <w:bCs/>
                <w:u w:val="single"/>
              </w:rPr>
            </w:pPr>
            <w:r>
              <w:rPr>
                <w:rFonts w:hint="eastAsia"/>
                <w:b/>
                <w:bCs/>
                <w:u w:val="single"/>
              </w:rPr>
              <w:t>20</w:t>
            </w:r>
          </w:p>
        </w:tc>
        <w:tc>
          <w:tcPr>
            <w:tcW w:w="309" w:type="pct"/>
            <w:vAlign w:val="center"/>
          </w:tcPr>
          <w:p w14:paraId="3DCC39D8" w14:textId="77777777" w:rsidR="003E78AB" w:rsidRDefault="00010BF9">
            <w:pPr>
              <w:pStyle w:val="aff6"/>
              <w:topLinePunct/>
              <w:rPr>
                <w:b/>
                <w:bCs/>
                <w:u w:val="single"/>
              </w:rPr>
            </w:pPr>
            <w:r>
              <w:rPr>
                <w:rFonts w:hint="eastAsia"/>
                <w:b/>
                <w:bCs/>
                <w:u w:val="single"/>
              </w:rPr>
              <w:t>8000</w:t>
            </w:r>
          </w:p>
        </w:tc>
        <w:tc>
          <w:tcPr>
            <w:tcW w:w="299" w:type="pct"/>
            <w:vAlign w:val="center"/>
          </w:tcPr>
          <w:p w14:paraId="5ED3E6A3" w14:textId="77777777" w:rsidR="003E78AB" w:rsidRDefault="00010BF9">
            <w:pPr>
              <w:pStyle w:val="aff6"/>
              <w:topLinePunct/>
              <w:rPr>
                <w:b/>
                <w:bCs/>
                <w:u w:val="single"/>
              </w:rPr>
            </w:pPr>
            <w:r>
              <w:rPr>
                <w:rFonts w:hint="eastAsia"/>
                <w:b/>
                <w:bCs/>
                <w:u w:val="single"/>
              </w:rPr>
              <w:t>正常</w:t>
            </w:r>
          </w:p>
        </w:tc>
        <w:tc>
          <w:tcPr>
            <w:tcW w:w="453" w:type="pct"/>
            <w:vAlign w:val="center"/>
          </w:tcPr>
          <w:p w14:paraId="0243ECE3"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02E362A3" w14:textId="77777777" w:rsidR="003E78AB" w:rsidRDefault="00010BF9">
            <w:pPr>
              <w:pStyle w:val="aff6"/>
              <w:topLinePunct/>
              <w:rPr>
                <w:b/>
                <w:bCs/>
                <w:u w:val="single"/>
              </w:rPr>
            </w:pPr>
            <w:r>
              <w:rPr>
                <w:rFonts w:hint="eastAsia"/>
                <w:b/>
                <w:bCs/>
                <w:u w:val="single"/>
              </w:rPr>
              <w:t>/</w:t>
            </w:r>
          </w:p>
        </w:tc>
        <w:tc>
          <w:tcPr>
            <w:tcW w:w="501" w:type="pct"/>
            <w:vAlign w:val="center"/>
          </w:tcPr>
          <w:p w14:paraId="684BB419" w14:textId="77777777" w:rsidR="003E78AB" w:rsidRDefault="00010BF9">
            <w:pPr>
              <w:pStyle w:val="aff6"/>
              <w:topLinePunct/>
              <w:rPr>
                <w:b/>
                <w:bCs/>
                <w:u w:val="single"/>
              </w:rPr>
            </w:pPr>
            <w:r>
              <w:rPr>
                <w:rFonts w:hint="eastAsia"/>
                <w:b/>
                <w:bCs/>
                <w:u w:val="single"/>
              </w:rPr>
              <w:t>/</w:t>
            </w:r>
          </w:p>
        </w:tc>
      </w:tr>
      <w:tr w:rsidR="003E78AB" w14:paraId="7140344B" w14:textId="77777777">
        <w:trPr>
          <w:trHeight w:val="283"/>
          <w:jc w:val="center"/>
        </w:trPr>
        <w:tc>
          <w:tcPr>
            <w:tcW w:w="187" w:type="pct"/>
            <w:vAlign w:val="center"/>
          </w:tcPr>
          <w:p w14:paraId="7C6BB2C1" w14:textId="77777777" w:rsidR="003E78AB" w:rsidRDefault="00010BF9">
            <w:pPr>
              <w:pStyle w:val="aff6"/>
              <w:topLinePunct/>
              <w:rPr>
                <w:b/>
                <w:bCs/>
                <w:u w:val="single"/>
              </w:rPr>
            </w:pPr>
            <w:r>
              <w:rPr>
                <w:rFonts w:hint="eastAsia"/>
                <w:b/>
                <w:bCs/>
                <w:u w:val="single"/>
              </w:rPr>
              <w:t>17#</w:t>
            </w:r>
          </w:p>
        </w:tc>
        <w:tc>
          <w:tcPr>
            <w:tcW w:w="522" w:type="pct"/>
            <w:vAlign w:val="center"/>
          </w:tcPr>
          <w:p w14:paraId="4AB5A30E" w14:textId="77777777" w:rsidR="003E78AB" w:rsidRDefault="00010BF9">
            <w:pPr>
              <w:pStyle w:val="aff6"/>
              <w:topLinePunct/>
              <w:rPr>
                <w:b/>
                <w:bCs/>
                <w:u w:val="single"/>
              </w:rPr>
            </w:pPr>
            <w:r>
              <w:rPr>
                <w:rFonts w:hint="eastAsia"/>
                <w:b/>
                <w:bCs/>
                <w:u w:val="single"/>
              </w:rPr>
              <w:t>多晶硅洗涤尾气</w:t>
            </w:r>
            <w:r>
              <w:rPr>
                <w:rFonts w:hint="eastAsia"/>
                <w:b/>
                <w:bCs/>
                <w:u w:val="single"/>
              </w:rPr>
              <w:t>6</w:t>
            </w:r>
          </w:p>
        </w:tc>
        <w:tc>
          <w:tcPr>
            <w:tcW w:w="268" w:type="pct"/>
            <w:vAlign w:val="center"/>
          </w:tcPr>
          <w:p w14:paraId="353D1D30" w14:textId="77777777" w:rsidR="003E78AB" w:rsidRDefault="00010BF9">
            <w:pPr>
              <w:pStyle w:val="aff6"/>
              <w:topLinePunct/>
              <w:rPr>
                <w:b/>
                <w:bCs/>
                <w:u w:val="single"/>
              </w:rPr>
            </w:pPr>
            <w:r>
              <w:rPr>
                <w:rFonts w:hint="eastAsia"/>
                <w:b/>
                <w:bCs/>
                <w:u w:val="single"/>
              </w:rPr>
              <w:t>-2315</w:t>
            </w:r>
          </w:p>
        </w:tc>
        <w:tc>
          <w:tcPr>
            <w:tcW w:w="283" w:type="pct"/>
            <w:vAlign w:val="center"/>
          </w:tcPr>
          <w:p w14:paraId="049590C2" w14:textId="77777777" w:rsidR="003E78AB" w:rsidRDefault="00010BF9">
            <w:pPr>
              <w:pStyle w:val="aff6"/>
              <w:topLinePunct/>
              <w:rPr>
                <w:b/>
                <w:bCs/>
                <w:u w:val="single"/>
              </w:rPr>
            </w:pPr>
            <w:r>
              <w:rPr>
                <w:rFonts w:hint="eastAsia"/>
                <w:b/>
                <w:bCs/>
                <w:u w:val="single"/>
              </w:rPr>
              <w:t>1993</w:t>
            </w:r>
          </w:p>
        </w:tc>
        <w:tc>
          <w:tcPr>
            <w:tcW w:w="385" w:type="pct"/>
            <w:vAlign w:val="center"/>
          </w:tcPr>
          <w:p w14:paraId="78DF1F8A" w14:textId="77777777" w:rsidR="003E78AB" w:rsidRDefault="00010BF9">
            <w:pPr>
              <w:pStyle w:val="aff6"/>
              <w:topLinePunct/>
              <w:rPr>
                <w:b/>
                <w:bCs/>
                <w:u w:val="single"/>
              </w:rPr>
            </w:pPr>
            <w:r>
              <w:rPr>
                <w:rFonts w:hint="eastAsia"/>
                <w:b/>
                <w:bCs/>
                <w:u w:val="single"/>
              </w:rPr>
              <w:t>690</w:t>
            </w:r>
          </w:p>
        </w:tc>
        <w:tc>
          <w:tcPr>
            <w:tcW w:w="322" w:type="pct"/>
            <w:vAlign w:val="center"/>
          </w:tcPr>
          <w:p w14:paraId="22C9F2C3" w14:textId="77777777" w:rsidR="003E78AB" w:rsidRDefault="00010BF9">
            <w:pPr>
              <w:pStyle w:val="aff6"/>
              <w:topLinePunct/>
              <w:rPr>
                <w:b/>
                <w:bCs/>
                <w:u w:val="single"/>
              </w:rPr>
            </w:pPr>
            <w:r>
              <w:rPr>
                <w:rFonts w:hint="eastAsia"/>
                <w:b/>
                <w:bCs/>
                <w:u w:val="single"/>
              </w:rPr>
              <w:t>25</w:t>
            </w:r>
          </w:p>
        </w:tc>
        <w:tc>
          <w:tcPr>
            <w:tcW w:w="351" w:type="pct"/>
            <w:vAlign w:val="center"/>
          </w:tcPr>
          <w:p w14:paraId="3872DF9C" w14:textId="77777777" w:rsidR="003E78AB" w:rsidRDefault="00010BF9">
            <w:pPr>
              <w:pStyle w:val="aff6"/>
              <w:topLinePunct/>
              <w:rPr>
                <w:b/>
                <w:bCs/>
                <w:u w:val="single"/>
              </w:rPr>
            </w:pPr>
            <w:r>
              <w:rPr>
                <w:rFonts w:hint="eastAsia"/>
                <w:b/>
                <w:bCs/>
                <w:u w:val="single"/>
              </w:rPr>
              <w:t>0.5</w:t>
            </w:r>
          </w:p>
        </w:tc>
        <w:tc>
          <w:tcPr>
            <w:tcW w:w="376" w:type="pct"/>
            <w:vAlign w:val="center"/>
          </w:tcPr>
          <w:p w14:paraId="29F92310" w14:textId="77777777" w:rsidR="003E78AB" w:rsidRDefault="00010BF9">
            <w:pPr>
              <w:pStyle w:val="aff6"/>
              <w:topLinePunct/>
              <w:rPr>
                <w:b/>
                <w:bCs/>
                <w:u w:val="single"/>
              </w:rPr>
            </w:pPr>
            <w:r>
              <w:rPr>
                <w:rFonts w:hint="eastAsia"/>
                <w:b/>
                <w:bCs/>
                <w:u w:val="single"/>
              </w:rPr>
              <w:t>1000</w:t>
            </w:r>
          </w:p>
        </w:tc>
        <w:tc>
          <w:tcPr>
            <w:tcW w:w="298" w:type="pct"/>
            <w:vAlign w:val="center"/>
          </w:tcPr>
          <w:p w14:paraId="55C2E9EA" w14:textId="77777777" w:rsidR="003E78AB" w:rsidRDefault="00010BF9">
            <w:pPr>
              <w:pStyle w:val="aff6"/>
              <w:topLinePunct/>
              <w:rPr>
                <w:b/>
                <w:bCs/>
                <w:u w:val="single"/>
              </w:rPr>
            </w:pPr>
            <w:r>
              <w:rPr>
                <w:rFonts w:hint="eastAsia"/>
                <w:b/>
                <w:bCs/>
                <w:u w:val="single"/>
              </w:rPr>
              <w:t>20</w:t>
            </w:r>
          </w:p>
        </w:tc>
        <w:tc>
          <w:tcPr>
            <w:tcW w:w="309" w:type="pct"/>
            <w:vAlign w:val="center"/>
          </w:tcPr>
          <w:p w14:paraId="31948C54" w14:textId="77777777" w:rsidR="003E78AB" w:rsidRDefault="00010BF9">
            <w:pPr>
              <w:pStyle w:val="aff6"/>
              <w:topLinePunct/>
              <w:rPr>
                <w:b/>
                <w:bCs/>
                <w:u w:val="single"/>
              </w:rPr>
            </w:pPr>
            <w:r>
              <w:rPr>
                <w:rFonts w:hint="eastAsia"/>
                <w:b/>
                <w:bCs/>
                <w:u w:val="single"/>
              </w:rPr>
              <w:t>8000</w:t>
            </w:r>
          </w:p>
        </w:tc>
        <w:tc>
          <w:tcPr>
            <w:tcW w:w="299" w:type="pct"/>
            <w:vAlign w:val="center"/>
          </w:tcPr>
          <w:p w14:paraId="2AD82F95" w14:textId="77777777" w:rsidR="003E78AB" w:rsidRDefault="00010BF9">
            <w:pPr>
              <w:pStyle w:val="aff6"/>
              <w:topLinePunct/>
              <w:rPr>
                <w:b/>
                <w:bCs/>
                <w:u w:val="single"/>
              </w:rPr>
            </w:pPr>
            <w:r>
              <w:rPr>
                <w:rFonts w:hint="eastAsia"/>
                <w:b/>
                <w:bCs/>
                <w:u w:val="single"/>
              </w:rPr>
              <w:t>正常</w:t>
            </w:r>
          </w:p>
        </w:tc>
        <w:tc>
          <w:tcPr>
            <w:tcW w:w="453" w:type="pct"/>
            <w:vAlign w:val="center"/>
          </w:tcPr>
          <w:p w14:paraId="42A64264"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7F4DD94E" w14:textId="77777777" w:rsidR="003E78AB" w:rsidRDefault="00010BF9">
            <w:pPr>
              <w:pStyle w:val="aff6"/>
              <w:topLinePunct/>
              <w:rPr>
                <w:b/>
                <w:bCs/>
                <w:u w:val="single"/>
              </w:rPr>
            </w:pPr>
            <w:r>
              <w:rPr>
                <w:rFonts w:hint="eastAsia"/>
                <w:b/>
                <w:bCs/>
                <w:u w:val="single"/>
              </w:rPr>
              <w:t>/</w:t>
            </w:r>
          </w:p>
        </w:tc>
        <w:tc>
          <w:tcPr>
            <w:tcW w:w="501" w:type="pct"/>
            <w:vAlign w:val="center"/>
          </w:tcPr>
          <w:p w14:paraId="68968383" w14:textId="77777777" w:rsidR="003E78AB" w:rsidRDefault="00010BF9">
            <w:pPr>
              <w:pStyle w:val="aff6"/>
              <w:topLinePunct/>
              <w:rPr>
                <w:b/>
                <w:bCs/>
                <w:u w:val="single"/>
              </w:rPr>
            </w:pPr>
            <w:r>
              <w:rPr>
                <w:rFonts w:hint="eastAsia"/>
                <w:b/>
                <w:bCs/>
                <w:u w:val="single"/>
              </w:rPr>
              <w:t>/</w:t>
            </w:r>
          </w:p>
        </w:tc>
      </w:tr>
      <w:tr w:rsidR="003E78AB" w14:paraId="725F1978" w14:textId="77777777">
        <w:trPr>
          <w:trHeight w:val="283"/>
          <w:jc w:val="center"/>
        </w:trPr>
        <w:tc>
          <w:tcPr>
            <w:tcW w:w="187" w:type="pct"/>
            <w:vAlign w:val="center"/>
          </w:tcPr>
          <w:p w14:paraId="47231D2D" w14:textId="77777777" w:rsidR="003E78AB" w:rsidRDefault="00010BF9">
            <w:pPr>
              <w:pStyle w:val="aff6"/>
              <w:topLinePunct/>
              <w:rPr>
                <w:b/>
                <w:bCs/>
                <w:u w:val="single"/>
              </w:rPr>
            </w:pPr>
            <w:r>
              <w:rPr>
                <w:rFonts w:hint="eastAsia"/>
                <w:b/>
                <w:bCs/>
                <w:u w:val="single"/>
              </w:rPr>
              <w:t>18#</w:t>
            </w:r>
          </w:p>
        </w:tc>
        <w:tc>
          <w:tcPr>
            <w:tcW w:w="522" w:type="pct"/>
            <w:vAlign w:val="center"/>
          </w:tcPr>
          <w:p w14:paraId="292331F9" w14:textId="77777777" w:rsidR="003E78AB" w:rsidRDefault="00010BF9">
            <w:pPr>
              <w:pStyle w:val="aff6"/>
              <w:topLinePunct/>
              <w:rPr>
                <w:b/>
                <w:bCs/>
                <w:u w:val="single"/>
              </w:rPr>
            </w:pPr>
            <w:r>
              <w:rPr>
                <w:rFonts w:hint="eastAsia"/>
                <w:b/>
                <w:bCs/>
                <w:u w:val="single"/>
              </w:rPr>
              <w:t>多晶硅洗涤尾气</w:t>
            </w:r>
            <w:r>
              <w:rPr>
                <w:rFonts w:hint="eastAsia"/>
                <w:b/>
                <w:bCs/>
                <w:u w:val="single"/>
              </w:rPr>
              <w:t>7</w:t>
            </w:r>
          </w:p>
        </w:tc>
        <w:tc>
          <w:tcPr>
            <w:tcW w:w="268" w:type="pct"/>
            <w:vAlign w:val="center"/>
          </w:tcPr>
          <w:p w14:paraId="4640E324" w14:textId="77777777" w:rsidR="003E78AB" w:rsidRDefault="00010BF9">
            <w:pPr>
              <w:pStyle w:val="aff6"/>
              <w:topLinePunct/>
              <w:rPr>
                <w:b/>
                <w:bCs/>
                <w:u w:val="single"/>
              </w:rPr>
            </w:pPr>
            <w:r>
              <w:rPr>
                <w:rFonts w:hint="eastAsia"/>
                <w:b/>
                <w:bCs/>
                <w:u w:val="single"/>
              </w:rPr>
              <w:t>-2313</w:t>
            </w:r>
          </w:p>
        </w:tc>
        <w:tc>
          <w:tcPr>
            <w:tcW w:w="283" w:type="pct"/>
            <w:vAlign w:val="center"/>
          </w:tcPr>
          <w:p w14:paraId="4256B312" w14:textId="77777777" w:rsidR="003E78AB" w:rsidRDefault="00010BF9">
            <w:pPr>
              <w:pStyle w:val="aff6"/>
              <w:topLinePunct/>
              <w:rPr>
                <w:b/>
                <w:bCs/>
                <w:u w:val="single"/>
              </w:rPr>
            </w:pPr>
            <w:r>
              <w:rPr>
                <w:rFonts w:hint="eastAsia"/>
                <w:b/>
                <w:bCs/>
                <w:u w:val="single"/>
              </w:rPr>
              <w:t>1991</w:t>
            </w:r>
          </w:p>
        </w:tc>
        <w:tc>
          <w:tcPr>
            <w:tcW w:w="385" w:type="pct"/>
            <w:vAlign w:val="center"/>
          </w:tcPr>
          <w:p w14:paraId="13208EF6" w14:textId="77777777" w:rsidR="003E78AB" w:rsidRDefault="00010BF9">
            <w:pPr>
              <w:pStyle w:val="aff6"/>
              <w:topLinePunct/>
              <w:rPr>
                <w:b/>
                <w:bCs/>
                <w:u w:val="single"/>
              </w:rPr>
            </w:pPr>
            <w:r>
              <w:rPr>
                <w:rFonts w:hint="eastAsia"/>
                <w:b/>
                <w:bCs/>
                <w:u w:val="single"/>
              </w:rPr>
              <w:t>690</w:t>
            </w:r>
          </w:p>
        </w:tc>
        <w:tc>
          <w:tcPr>
            <w:tcW w:w="322" w:type="pct"/>
            <w:vAlign w:val="center"/>
          </w:tcPr>
          <w:p w14:paraId="6319298A" w14:textId="77777777" w:rsidR="003E78AB" w:rsidRDefault="00010BF9">
            <w:pPr>
              <w:pStyle w:val="aff6"/>
              <w:topLinePunct/>
              <w:rPr>
                <w:b/>
                <w:bCs/>
                <w:u w:val="single"/>
              </w:rPr>
            </w:pPr>
            <w:r>
              <w:rPr>
                <w:rFonts w:hint="eastAsia"/>
                <w:b/>
                <w:bCs/>
                <w:u w:val="single"/>
              </w:rPr>
              <w:t>25</w:t>
            </w:r>
          </w:p>
        </w:tc>
        <w:tc>
          <w:tcPr>
            <w:tcW w:w="351" w:type="pct"/>
            <w:vAlign w:val="center"/>
          </w:tcPr>
          <w:p w14:paraId="575B797C" w14:textId="77777777" w:rsidR="003E78AB" w:rsidRDefault="00010BF9">
            <w:pPr>
              <w:pStyle w:val="aff6"/>
              <w:topLinePunct/>
              <w:rPr>
                <w:b/>
                <w:bCs/>
                <w:u w:val="single"/>
              </w:rPr>
            </w:pPr>
            <w:r>
              <w:rPr>
                <w:rFonts w:hint="eastAsia"/>
                <w:b/>
                <w:bCs/>
                <w:u w:val="single"/>
              </w:rPr>
              <w:t>0.5</w:t>
            </w:r>
          </w:p>
        </w:tc>
        <w:tc>
          <w:tcPr>
            <w:tcW w:w="376" w:type="pct"/>
            <w:vAlign w:val="center"/>
          </w:tcPr>
          <w:p w14:paraId="6B506887" w14:textId="77777777" w:rsidR="003E78AB" w:rsidRDefault="00010BF9">
            <w:pPr>
              <w:pStyle w:val="aff6"/>
              <w:topLinePunct/>
              <w:rPr>
                <w:b/>
                <w:bCs/>
                <w:u w:val="single"/>
              </w:rPr>
            </w:pPr>
            <w:r>
              <w:rPr>
                <w:rFonts w:hint="eastAsia"/>
                <w:b/>
                <w:bCs/>
                <w:u w:val="single"/>
              </w:rPr>
              <w:t>1000</w:t>
            </w:r>
          </w:p>
        </w:tc>
        <w:tc>
          <w:tcPr>
            <w:tcW w:w="298" w:type="pct"/>
            <w:vAlign w:val="center"/>
          </w:tcPr>
          <w:p w14:paraId="06C7051F" w14:textId="77777777" w:rsidR="003E78AB" w:rsidRDefault="00010BF9">
            <w:pPr>
              <w:pStyle w:val="aff6"/>
              <w:topLinePunct/>
              <w:rPr>
                <w:b/>
                <w:bCs/>
                <w:u w:val="single"/>
              </w:rPr>
            </w:pPr>
            <w:r>
              <w:rPr>
                <w:rFonts w:hint="eastAsia"/>
                <w:b/>
                <w:bCs/>
                <w:u w:val="single"/>
              </w:rPr>
              <w:t>20</w:t>
            </w:r>
          </w:p>
        </w:tc>
        <w:tc>
          <w:tcPr>
            <w:tcW w:w="309" w:type="pct"/>
            <w:vAlign w:val="center"/>
          </w:tcPr>
          <w:p w14:paraId="1C1C3654" w14:textId="77777777" w:rsidR="003E78AB" w:rsidRDefault="00010BF9">
            <w:pPr>
              <w:pStyle w:val="aff6"/>
              <w:topLinePunct/>
              <w:rPr>
                <w:b/>
                <w:bCs/>
                <w:u w:val="single"/>
              </w:rPr>
            </w:pPr>
            <w:r>
              <w:rPr>
                <w:rFonts w:hint="eastAsia"/>
                <w:b/>
                <w:bCs/>
                <w:u w:val="single"/>
              </w:rPr>
              <w:t>8000</w:t>
            </w:r>
          </w:p>
        </w:tc>
        <w:tc>
          <w:tcPr>
            <w:tcW w:w="299" w:type="pct"/>
            <w:vAlign w:val="center"/>
          </w:tcPr>
          <w:p w14:paraId="015CF39C" w14:textId="77777777" w:rsidR="003E78AB" w:rsidRDefault="00010BF9">
            <w:pPr>
              <w:pStyle w:val="aff6"/>
              <w:topLinePunct/>
              <w:rPr>
                <w:b/>
                <w:bCs/>
                <w:u w:val="single"/>
              </w:rPr>
            </w:pPr>
            <w:r>
              <w:rPr>
                <w:rFonts w:hint="eastAsia"/>
                <w:b/>
                <w:bCs/>
                <w:u w:val="single"/>
              </w:rPr>
              <w:t>正常</w:t>
            </w:r>
          </w:p>
        </w:tc>
        <w:tc>
          <w:tcPr>
            <w:tcW w:w="453" w:type="pct"/>
            <w:vAlign w:val="center"/>
          </w:tcPr>
          <w:p w14:paraId="65FA58E6"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5031565B" w14:textId="77777777" w:rsidR="003E78AB" w:rsidRDefault="00010BF9">
            <w:pPr>
              <w:pStyle w:val="aff6"/>
              <w:topLinePunct/>
              <w:rPr>
                <w:b/>
                <w:bCs/>
                <w:u w:val="single"/>
              </w:rPr>
            </w:pPr>
            <w:r>
              <w:rPr>
                <w:rFonts w:hint="eastAsia"/>
                <w:b/>
                <w:bCs/>
                <w:u w:val="single"/>
              </w:rPr>
              <w:t>/</w:t>
            </w:r>
          </w:p>
        </w:tc>
        <w:tc>
          <w:tcPr>
            <w:tcW w:w="501" w:type="pct"/>
            <w:vAlign w:val="center"/>
          </w:tcPr>
          <w:p w14:paraId="0FCACE75" w14:textId="77777777" w:rsidR="003E78AB" w:rsidRDefault="00010BF9">
            <w:pPr>
              <w:pStyle w:val="aff6"/>
              <w:topLinePunct/>
              <w:rPr>
                <w:b/>
                <w:bCs/>
                <w:u w:val="single"/>
              </w:rPr>
            </w:pPr>
            <w:r>
              <w:rPr>
                <w:rFonts w:hint="eastAsia"/>
                <w:b/>
                <w:bCs/>
                <w:u w:val="single"/>
              </w:rPr>
              <w:t>/</w:t>
            </w:r>
          </w:p>
        </w:tc>
      </w:tr>
      <w:tr w:rsidR="003E78AB" w14:paraId="3B98AAD7" w14:textId="77777777">
        <w:trPr>
          <w:trHeight w:val="283"/>
          <w:jc w:val="center"/>
        </w:trPr>
        <w:tc>
          <w:tcPr>
            <w:tcW w:w="187" w:type="pct"/>
            <w:vAlign w:val="center"/>
          </w:tcPr>
          <w:p w14:paraId="45610EEC" w14:textId="77777777" w:rsidR="003E78AB" w:rsidRDefault="00010BF9">
            <w:pPr>
              <w:pStyle w:val="aff6"/>
              <w:topLinePunct/>
              <w:rPr>
                <w:b/>
                <w:bCs/>
                <w:u w:val="single"/>
              </w:rPr>
            </w:pPr>
            <w:r>
              <w:rPr>
                <w:rFonts w:hint="eastAsia"/>
                <w:b/>
                <w:bCs/>
                <w:u w:val="single"/>
              </w:rPr>
              <w:t>19#</w:t>
            </w:r>
          </w:p>
        </w:tc>
        <w:tc>
          <w:tcPr>
            <w:tcW w:w="522" w:type="pct"/>
            <w:vAlign w:val="center"/>
          </w:tcPr>
          <w:p w14:paraId="3786572A" w14:textId="77777777" w:rsidR="003E78AB" w:rsidRDefault="00010BF9">
            <w:pPr>
              <w:pStyle w:val="aff6"/>
              <w:topLinePunct/>
              <w:rPr>
                <w:b/>
                <w:bCs/>
                <w:u w:val="single"/>
              </w:rPr>
            </w:pPr>
            <w:r>
              <w:rPr>
                <w:rFonts w:hint="eastAsia"/>
                <w:b/>
                <w:bCs/>
                <w:u w:val="single"/>
              </w:rPr>
              <w:t>多晶硅洗涤尾气</w:t>
            </w:r>
            <w:r>
              <w:rPr>
                <w:rFonts w:hint="eastAsia"/>
                <w:b/>
                <w:bCs/>
                <w:u w:val="single"/>
              </w:rPr>
              <w:t>8</w:t>
            </w:r>
          </w:p>
        </w:tc>
        <w:tc>
          <w:tcPr>
            <w:tcW w:w="268" w:type="pct"/>
            <w:vAlign w:val="center"/>
          </w:tcPr>
          <w:p w14:paraId="37CAC185" w14:textId="77777777" w:rsidR="003E78AB" w:rsidRDefault="00010BF9">
            <w:pPr>
              <w:pStyle w:val="aff6"/>
              <w:topLinePunct/>
              <w:rPr>
                <w:b/>
                <w:bCs/>
                <w:u w:val="single"/>
              </w:rPr>
            </w:pPr>
            <w:r>
              <w:rPr>
                <w:rFonts w:hint="eastAsia"/>
                <w:b/>
                <w:bCs/>
                <w:u w:val="single"/>
              </w:rPr>
              <w:t>-2312</w:t>
            </w:r>
          </w:p>
        </w:tc>
        <w:tc>
          <w:tcPr>
            <w:tcW w:w="283" w:type="pct"/>
            <w:vAlign w:val="center"/>
          </w:tcPr>
          <w:p w14:paraId="786EEE4B" w14:textId="77777777" w:rsidR="003E78AB" w:rsidRDefault="00010BF9">
            <w:pPr>
              <w:pStyle w:val="aff6"/>
              <w:topLinePunct/>
              <w:rPr>
                <w:b/>
                <w:bCs/>
                <w:u w:val="single"/>
              </w:rPr>
            </w:pPr>
            <w:r>
              <w:rPr>
                <w:rFonts w:hint="eastAsia"/>
                <w:b/>
                <w:bCs/>
                <w:u w:val="single"/>
              </w:rPr>
              <w:t>1990</w:t>
            </w:r>
          </w:p>
        </w:tc>
        <w:tc>
          <w:tcPr>
            <w:tcW w:w="385" w:type="pct"/>
            <w:vAlign w:val="center"/>
          </w:tcPr>
          <w:p w14:paraId="52B8B16D" w14:textId="77777777" w:rsidR="003E78AB" w:rsidRDefault="00010BF9">
            <w:pPr>
              <w:pStyle w:val="aff6"/>
              <w:topLinePunct/>
              <w:rPr>
                <w:b/>
                <w:bCs/>
                <w:u w:val="single"/>
              </w:rPr>
            </w:pPr>
            <w:r>
              <w:rPr>
                <w:rFonts w:hint="eastAsia"/>
                <w:b/>
                <w:bCs/>
                <w:u w:val="single"/>
              </w:rPr>
              <w:t>690</w:t>
            </w:r>
          </w:p>
        </w:tc>
        <w:tc>
          <w:tcPr>
            <w:tcW w:w="322" w:type="pct"/>
            <w:vAlign w:val="center"/>
          </w:tcPr>
          <w:p w14:paraId="127B77F2" w14:textId="77777777" w:rsidR="003E78AB" w:rsidRDefault="00010BF9">
            <w:pPr>
              <w:pStyle w:val="aff6"/>
              <w:topLinePunct/>
              <w:rPr>
                <w:b/>
                <w:bCs/>
                <w:u w:val="single"/>
              </w:rPr>
            </w:pPr>
            <w:r>
              <w:rPr>
                <w:rFonts w:hint="eastAsia"/>
                <w:b/>
                <w:bCs/>
                <w:u w:val="single"/>
              </w:rPr>
              <w:t>25</w:t>
            </w:r>
          </w:p>
        </w:tc>
        <w:tc>
          <w:tcPr>
            <w:tcW w:w="351" w:type="pct"/>
            <w:vAlign w:val="center"/>
          </w:tcPr>
          <w:p w14:paraId="25B52E1F" w14:textId="77777777" w:rsidR="003E78AB" w:rsidRDefault="00010BF9">
            <w:pPr>
              <w:pStyle w:val="aff6"/>
              <w:topLinePunct/>
              <w:rPr>
                <w:b/>
                <w:bCs/>
                <w:u w:val="single"/>
              </w:rPr>
            </w:pPr>
            <w:r>
              <w:rPr>
                <w:rFonts w:hint="eastAsia"/>
                <w:b/>
                <w:bCs/>
                <w:u w:val="single"/>
              </w:rPr>
              <w:t>0.5</w:t>
            </w:r>
          </w:p>
        </w:tc>
        <w:tc>
          <w:tcPr>
            <w:tcW w:w="376" w:type="pct"/>
            <w:vAlign w:val="center"/>
          </w:tcPr>
          <w:p w14:paraId="32B71F5F" w14:textId="77777777" w:rsidR="003E78AB" w:rsidRDefault="00010BF9">
            <w:pPr>
              <w:pStyle w:val="aff6"/>
              <w:topLinePunct/>
              <w:rPr>
                <w:b/>
                <w:bCs/>
                <w:u w:val="single"/>
              </w:rPr>
            </w:pPr>
            <w:r>
              <w:rPr>
                <w:rFonts w:hint="eastAsia"/>
                <w:b/>
                <w:bCs/>
                <w:u w:val="single"/>
              </w:rPr>
              <w:t>1000</w:t>
            </w:r>
          </w:p>
        </w:tc>
        <w:tc>
          <w:tcPr>
            <w:tcW w:w="298" w:type="pct"/>
            <w:vAlign w:val="center"/>
          </w:tcPr>
          <w:p w14:paraId="363B5D9F" w14:textId="77777777" w:rsidR="003E78AB" w:rsidRDefault="00010BF9">
            <w:pPr>
              <w:pStyle w:val="aff6"/>
              <w:topLinePunct/>
              <w:rPr>
                <w:b/>
                <w:bCs/>
                <w:u w:val="single"/>
              </w:rPr>
            </w:pPr>
            <w:r>
              <w:rPr>
                <w:rFonts w:hint="eastAsia"/>
                <w:b/>
                <w:bCs/>
                <w:u w:val="single"/>
              </w:rPr>
              <w:t>20</w:t>
            </w:r>
          </w:p>
        </w:tc>
        <w:tc>
          <w:tcPr>
            <w:tcW w:w="309" w:type="pct"/>
            <w:vAlign w:val="center"/>
          </w:tcPr>
          <w:p w14:paraId="1E837BFF" w14:textId="77777777" w:rsidR="003E78AB" w:rsidRDefault="00010BF9">
            <w:pPr>
              <w:pStyle w:val="aff6"/>
              <w:topLinePunct/>
              <w:rPr>
                <w:b/>
                <w:bCs/>
                <w:u w:val="single"/>
              </w:rPr>
            </w:pPr>
            <w:r>
              <w:rPr>
                <w:rFonts w:hint="eastAsia"/>
                <w:b/>
                <w:bCs/>
                <w:u w:val="single"/>
              </w:rPr>
              <w:t>8000</w:t>
            </w:r>
          </w:p>
        </w:tc>
        <w:tc>
          <w:tcPr>
            <w:tcW w:w="299" w:type="pct"/>
            <w:vAlign w:val="center"/>
          </w:tcPr>
          <w:p w14:paraId="3538BA4F" w14:textId="77777777" w:rsidR="003E78AB" w:rsidRDefault="00010BF9">
            <w:pPr>
              <w:pStyle w:val="aff6"/>
              <w:topLinePunct/>
              <w:rPr>
                <w:b/>
                <w:bCs/>
                <w:u w:val="single"/>
              </w:rPr>
            </w:pPr>
            <w:r>
              <w:rPr>
                <w:rFonts w:hint="eastAsia"/>
                <w:b/>
                <w:bCs/>
                <w:u w:val="single"/>
              </w:rPr>
              <w:t>正常</w:t>
            </w:r>
          </w:p>
        </w:tc>
        <w:tc>
          <w:tcPr>
            <w:tcW w:w="453" w:type="pct"/>
            <w:vAlign w:val="center"/>
          </w:tcPr>
          <w:p w14:paraId="5C5025EA" w14:textId="77777777" w:rsidR="003E78AB" w:rsidRDefault="00010BF9">
            <w:pPr>
              <w:pStyle w:val="aff6"/>
              <w:topLinePunct/>
              <w:rPr>
                <w:b/>
                <w:bCs/>
                <w:u w:val="single"/>
              </w:rPr>
            </w:pPr>
            <w:r>
              <w:rPr>
                <w:rFonts w:hint="eastAsia"/>
                <w:b/>
                <w:bCs/>
                <w:u w:val="single"/>
              </w:rPr>
              <w:t>HCl</w:t>
            </w:r>
            <w:r>
              <w:rPr>
                <w:rFonts w:hint="eastAsia"/>
                <w:b/>
                <w:bCs/>
                <w:u w:val="single"/>
              </w:rPr>
              <w:t>：</w:t>
            </w:r>
            <w:r>
              <w:rPr>
                <w:rFonts w:hint="eastAsia"/>
                <w:b/>
                <w:bCs/>
                <w:u w:val="single"/>
              </w:rPr>
              <w:t>0.02</w:t>
            </w:r>
          </w:p>
        </w:tc>
        <w:tc>
          <w:tcPr>
            <w:tcW w:w="438" w:type="pct"/>
            <w:vAlign w:val="center"/>
          </w:tcPr>
          <w:p w14:paraId="09CB6B36" w14:textId="77777777" w:rsidR="003E78AB" w:rsidRDefault="00010BF9">
            <w:pPr>
              <w:pStyle w:val="aff6"/>
              <w:topLinePunct/>
              <w:rPr>
                <w:b/>
                <w:bCs/>
                <w:u w:val="single"/>
              </w:rPr>
            </w:pPr>
            <w:r>
              <w:rPr>
                <w:rFonts w:hint="eastAsia"/>
                <w:b/>
                <w:bCs/>
                <w:u w:val="single"/>
              </w:rPr>
              <w:t>/</w:t>
            </w:r>
          </w:p>
        </w:tc>
        <w:tc>
          <w:tcPr>
            <w:tcW w:w="501" w:type="pct"/>
            <w:vAlign w:val="center"/>
          </w:tcPr>
          <w:p w14:paraId="5BDCAAFE" w14:textId="77777777" w:rsidR="003E78AB" w:rsidRDefault="00010BF9">
            <w:pPr>
              <w:pStyle w:val="aff6"/>
              <w:topLinePunct/>
              <w:rPr>
                <w:b/>
                <w:bCs/>
                <w:u w:val="single"/>
              </w:rPr>
            </w:pPr>
            <w:r>
              <w:rPr>
                <w:rFonts w:hint="eastAsia"/>
                <w:b/>
                <w:bCs/>
                <w:u w:val="single"/>
              </w:rPr>
              <w:t>/</w:t>
            </w:r>
          </w:p>
        </w:tc>
      </w:tr>
      <w:tr w:rsidR="003E78AB" w14:paraId="77940B2E" w14:textId="77777777">
        <w:trPr>
          <w:trHeight w:val="283"/>
          <w:jc w:val="center"/>
        </w:trPr>
        <w:tc>
          <w:tcPr>
            <w:tcW w:w="187" w:type="pct"/>
            <w:vAlign w:val="center"/>
          </w:tcPr>
          <w:p w14:paraId="6ADEC867" w14:textId="77777777" w:rsidR="003E78AB" w:rsidRDefault="00010BF9">
            <w:pPr>
              <w:pStyle w:val="aff6"/>
              <w:topLinePunct/>
              <w:rPr>
                <w:b/>
                <w:bCs/>
                <w:u w:val="single"/>
              </w:rPr>
            </w:pPr>
            <w:r>
              <w:rPr>
                <w:rFonts w:hint="eastAsia"/>
                <w:b/>
                <w:bCs/>
                <w:u w:val="single"/>
              </w:rPr>
              <w:t>20#</w:t>
            </w:r>
          </w:p>
        </w:tc>
        <w:tc>
          <w:tcPr>
            <w:tcW w:w="522" w:type="pct"/>
            <w:vAlign w:val="center"/>
          </w:tcPr>
          <w:p w14:paraId="7FBB1080" w14:textId="77777777" w:rsidR="003E78AB" w:rsidRDefault="00010BF9">
            <w:pPr>
              <w:pStyle w:val="aff6"/>
              <w:topLinePunct/>
              <w:rPr>
                <w:b/>
                <w:bCs/>
                <w:u w:val="single"/>
              </w:rPr>
            </w:pPr>
            <w:r>
              <w:rPr>
                <w:rFonts w:hint="eastAsia"/>
                <w:b/>
                <w:bCs/>
                <w:u w:val="single"/>
              </w:rPr>
              <w:t>拉棒切片项目拉制废气</w:t>
            </w:r>
          </w:p>
        </w:tc>
        <w:tc>
          <w:tcPr>
            <w:tcW w:w="268" w:type="pct"/>
            <w:vAlign w:val="center"/>
          </w:tcPr>
          <w:p w14:paraId="4674ECB8" w14:textId="77777777" w:rsidR="003E78AB" w:rsidRDefault="00010BF9">
            <w:pPr>
              <w:pStyle w:val="aff6"/>
              <w:topLinePunct/>
              <w:rPr>
                <w:b/>
                <w:bCs/>
                <w:u w:val="single"/>
              </w:rPr>
            </w:pPr>
            <w:r>
              <w:rPr>
                <w:rFonts w:hint="eastAsia"/>
                <w:b/>
                <w:bCs/>
                <w:u w:val="single"/>
              </w:rPr>
              <w:t>-2185</w:t>
            </w:r>
          </w:p>
        </w:tc>
        <w:tc>
          <w:tcPr>
            <w:tcW w:w="283" w:type="pct"/>
            <w:vAlign w:val="center"/>
          </w:tcPr>
          <w:p w14:paraId="0EAA302E" w14:textId="77777777" w:rsidR="003E78AB" w:rsidRDefault="00010BF9">
            <w:pPr>
              <w:pStyle w:val="aff6"/>
              <w:topLinePunct/>
              <w:rPr>
                <w:b/>
                <w:bCs/>
                <w:u w:val="single"/>
              </w:rPr>
            </w:pPr>
            <w:r>
              <w:rPr>
                <w:rFonts w:hint="eastAsia"/>
                <w:b/>
                <w:bCs/>
                <w:u w:val="single"/>
              </w:rPr>
              <w:t>1748</w:t>
            </w:r>
          </w:p>
        </w:tc>
        <w:tc>
          <w:tcPr>
            <w:tcW w:w="385" w:type="pct"/>
            <w:vAlign w:val="center"/>
          </w:tcPr>
          <w:p w14:paraId="32070651" w14:textId="77777777" w:rsidR="003E78AB" w:rsidRDefault="00010BF9">
            <w:pPr>
              <w:pStyle w:val="aff6"/>
              <w:topLinePunct/>
              <w:rPr>
                <w:b/>
                <w:bCs/>
                <w:u w:val="single"/>
              </w:rPr>
            </w:pPr>
            <w:r>
              <w:rPr>
                <w:rFonts w:hint="eastAsia"/>
                <w:b/>
                <w:bCs/>
                <w:u w:val="single"/>
              </w:rPr>
              <w:t>685</w:t>
            </w:r>
          </w:p>
        </w:tc>
        <w:tc>
          <w:tcPr>
            <w:tcW w:w="322" w:type="pct"/>
            <w:vAlign w:val="center"/>
          </w:tcPr>
          <w:p w14:paraId="528A0E57" w14:textId="77777777" w:rsidR="003E78AB" w:rsidRDefault="00010BF9">
            <w:pPr>
              <w:pStyle w:val="aff6"/>
              <w:topLinePunct/>
              <w:rPr>
                <w:b/>
                <w:bCs/>
                <w:u w:val="single"/>
              </w:rPr>
            </w:pPr>
            <w:r>
              <w:rPr>
                <w:rFonts w:hint="eastAsia"/>
                <w:b/>
                <w:bCs/>
                <w:u w:val="single"/>
              </w:rPr>
              <w:t>20</w:t>
            </w:r>
          </w:p>
        </w:tc>
        <w:tc>
          <w:tcPr>
            <w:tcW w:w="351" w:type="pct"/>
            <w:vAlign w:val="center"/>
          </w:tcPr>
          <w:p w14:paraId="1555134C" w14:textId="77777777" w:rsidR="003E78AB" w:rsidRDefault="00010BF9">
            <w:pPr>
              <w:pStyle w:val="aff6"/>
              <w:topLinePunct/>
              <w:rPr>
                <w:b/>
                <w:bCs/>
                <w:u w:val="single"/>
              </w:rPr>
            </w:pPr>
            <w:r>
              <w:rPr>
                <w:rFonts w:hint="eastAsia"/>
                <w:b/>
                <w:bCs/>
                <w:u w:val="single"/>
              </w:rPr>
              <w:t>0.4</w:t>
            </w:r>
          </w:p>
        </w:tc>
        <w:tc>
          <w:tcPr>
            <w:tcW w:w="376" w:type="pct"/>
            <w:vAlign w:val="center"/>
          </w:tcPr>
          <w:p w14:paraId="7BD20F77" w14:textId="77777777" w:rsidR="003E78AB" w:rsidRDefault="00010BF9">
            <w:pPr>
              <w:pStyle w:val="aff6"/>
              <w:topLinePunct/>
              <w:rPr>
                <w:b/>
                <w:bCs/>
                <w:u w:val="single"/>
              </w:rPr>
            </w:pPr>
            <w:r>
              <w:rPr>
                <w:rFonts w:hint="eastAsia"/>
                <w:b/>
                <w:bCs/>
                <w:u w:val="single"/>
              </w:rPr>
              <w:t>10000</w:t>
            </w:r>
          </w:p>
        </w:tc>
        <w:tc>
          <w:tcPr>
            <w:tcW w:w="298" w:type="pct"/>
            <w:vAlign w:val="center"/>
          </w:tcPr>
          <w:p w14:paraId="44A845A9" w14:textId="77777777" w:rsidR="003E78AB" w:rsidRDefault="00010BF9">
            <w:pPr>
              <w:pStyle w:val="aff6"/>
              <w:topLinePunct/>
              <w:rPr>
                <w:b/>
                <w:bCs/>
                <w:u w:val="single"/>
              </w:rPr>
            </w:pPr>
            <w:r>
              <w:rPr>
                <w:rFonts w:hint="eastAsia"/>
                <w:b/>
                <w:bCs/>
                <w:u w:val="single"/>
              </w:rPr>
              <w:t>20</w:t>
            </w:r>
          </w:p>
        </w:tc>
        <w:tc>
          <w:tcPr>
            <w:tcW w:w="309" w:type="pct"/>
            <w:vAlign w:val="center"/>
          </w:tcPr>
          <w:p w14:paraId="068540EF" w14:textId="77777777" w:rsidR="003E78AB" w:rsidRDefault="00010BF9">
            <w:pPr>
              <w:pStyle w:val="aff6"/>
              <w:topLinePunct/>
              <w:rPr>
                <w:b/>
                <w:bCs/>
                <w:u w:val="single"/>
              </w:rPr>
            </w:pPr>
            <w:r>
              <w:rPr>
                <w:rFonts w:hint="eastAsia"/>
                <w:b/>
                <w:bCs/>
                <w:u w:val="single"/>
              </w:rPr>
              <w:t>7200</w:t>
            </w:r>
          </w:p>
        </w:tc>
        <w:tc>
          <w:tcPr>
            <w:tcW w:w="299" w:type="pct"/>
            <w:vAlign w:val="center"/>
          </w:tcPr>
          <w:p w14:paraId="4118D0D0" w14:textId="77777777" w:rsidR="003E78AB" w:rsidRDefault="00010BF9">
            <w:pPr>
              <w:pStyle w:val="aff6"/>
              <w:topLinePunct/>
              <w:rPr>
                <w:b/>
                <w:bCs/>
                <w:u w:val="single"/>
              </w:rPr>
            </w:pPr>
            <w:r>
              <w:rPr>
                <w:rFonts w:hint="eastAsia"/>
                <w:b/>
                <w:bCs/>
                <w:u w:val="single"/>
              </w:rPr>
              <w:t>正常</w:t>
            </w:r>
          </w:p>
        </w:tc>
        <w:tc>
          <w:tcPr>
            <w:tcW w:w="453" w:type="pct"/>
            <w:vAlign w:val="center"/>
          </w:tcPr>
          <w:p w14:paraId="700F9A0B" w14:textId="77777777" w:rsidR="003E78AB" w:rsidRDefault="00010BF9">
            <w:pPr>
              <w:pStyle w:val="aff6"/>
              <w:topLinePunct/>
              <w:rPr>
                <w:b/>
                <w:bCs/>
                <w:u w:val="single"/>
              </w:rPr>
            </w:pPr>
            <w:r>
              <w:rPr>
                <w:rFonts w:hint="eastAsia"/>
                <w:b/>
                <w:bCs/>
                <w:u w:val="single"/>
              </w:rPr>
              <w:t>PM10</w:t>
            </w:r>
            <w:r>
              <w:rPr>
                <w:rFonts w:hint="eastAsia"/>
                <w:b/>
                <w:bCs/>
                <w:u w:val="single"/>
              </w:rPr>
              <w:t>：</w:t>
            </w:r>
            <w:r>
              <w:rPr>
                <w:rFonts w:hint="eastAsia"/>
                <w:b/>
                <w:bCs/>
                <w:u w:val="single"/>
              </w:rPr>
              <w:t>0.046</w:t>
            </w:r>
          </w:p>
        </w:tc>
        <w:tc>
          <w:tcPr>
            <w:tcW w:w="438" w:type="pct"/>
            <w:vAlign w:val="center"/>
          </w:tcPr>
          <w:p w14:paraId="21959A13" w14:textId="77777777" w:rsidR="003E78AB" w:rsidRDefault="00010BF9">
            <w:pPr>
              <w:pStyle w:val="aff6"/>
              <w:topLinePunct/>
              <w:rPr>
                <w:b/>
                <w:bCs/>
                <w:u w:val="single"/>
              </w:rPr>
            </w:pPr>
            <w:r>
              <w:rPr>
                <w:rFonts w:hint="eastAsia"/>
                <w:b/>
                <w:bCs/>
                <w:u w:val="single"/>
              </w:rPr>
              <w:t>/</w:t>
            </w:r>
          </w:p>
        </w:tc>
        <w:tc>
          <w:tcPr>
            <w:tcW w:w="501" w:type="pct"/>
            <w:vAlign w:val="center"/>
          </w:tcPr>
          <w:p w14:paraId="03448AF8" w14:textId="77777777" w:rsidR="003E78AB" w:rsidRDefault="00010BF9">
            <w:pPr>
              <w:pStyle w:val="aff6"/>
              <w:topLinePunct/>
              <w:rPr>
                <w:b/>
                <w:bCs/>
                <w:u w:val="single"/>
              </w:rPr>
            </w:pPr>
            <w:r>
              <w:rPr>
                <w:rFonts w:hint="eastAsia"/>
                <w:b/>
                <w:bCs/>
                <w:u w:val="single"/>
              </w:rPr>
              <w:t>/</w:t>
            </w:r>
          </w:p>
        </w:tc>
      </w:tr>
      <w:tr w:rsidR="003E78AB" w14:paraId="025C82DD" w14:textId="77777777">
        <w:trPr>
          <w:trHeight w:val="283"/>
          <w:jc w:val="center"/>
        </w:trPr>
        <w:tc>
          <w:tcPr>
            <w:tcW w:w="187" w:type="pct"/>
            <w:vAlign w:val="center"/>
          </w:tcPr>
          <w:p w14:paraId="057DE1AC" w14:textId="77777777" w:rsidR="003E78AB" w:rsidRDefault="00010BF9">
            <w:pPr>
              <w:pStyle w:val="aff6"/>
              <w:topLinePunct/>
              <w:rPr>
                <w:b/>
                <w:bCs/>
                <w:u w:val="single"/>
              </w:rPr>
            </w:pPr>
            <w:r>
              <w:rPr>
                <w:rFonts w:hint="eastAsia"/>
                <w:b/>
                <w:bCs/>
                <w:u w:val="single"/>
              </w:rPr>
              <w:t>21#</w:t>
            </w:r>
          </w:p>
        </w:tc>
        <w:tc>
          <w:tcPr>
            <w:tcW w:w="522" w:type="pct"/>
            <w:vAlign w:val="center"/>
          </w:tcPr>
          <w:p w14:paraId="49473490" w14:textId="77777777" w:rsidR="003E78AB" w:rsidRDefault="00010BF9">
            <w:pPr>
              <w:pStyle w:val="aff6"/>
              <w:topLinePunct/>
              <w:rPr>
                <w:b/>
                <w:bCs/>
                <w:u w:val="single"/>
              </w:rPr>
            </w:pPr>
            <w:r>
              <w:rPr>
                <w:rFonts w:hint="eastAsia"/>
                <w:b/>
                <w:bCs/>
                <w:u w:val="single"/>
              </w:rPr>
              <w:t>拉棒切片项目切片废气</w:t>
            </w:r>
          </w:p>
        </w:tc>
        <w:tc>
          <w:tcPr>
            <w:tcW w:w="268" w:type="pct"/>
            <w:vAlign w:val="center"/>
          </w:tcPr>
          <w:p w14:paraId="4BB8512D" w14:textId="77777777" w:rsidR="003E78AB" w:rsidRDefault="00010BF9">
            <w:pPr>
              <w:pStyle w:val="aff6"/>
              <w:topLinePunct/>
              <w:rPr>
                <w:b/>
                <w:bCs/>
                <w:u w:val="single"/>
              </w:rPr>
            </w:pPr>
            <w:r>
              <w:rPr>
                <w:rFonts w:hint="eastAsia"/>
                <w:b/>
                <w:bCs/>
                <w:u w:val="single"/>
              </w:rPr>
              <w:t>-2166</w:t>
            </w:r>
          </w:p>
        </w:tc>
        <w:tc>
          <w:tcPr>
            <w:tcW w:w="283" w:type="pct"/>
            <w:vAlign w:val="center"/>
          </w:tcPr>
          <w:p w14:paraId="790F1585" w14:textId="77777777" w:rsidR="003E78AB" w:rsidRDefault="00010BF9">
            <w:pPr>
              <w:pStyle w:val="aff6"/>
              <w:topLinePunct/>
              <w:rPr>
                <w:b/>
                <w:bCs/>
                <w:u w:val="single"/>
              </w:rPr>
            </w:pPr>
            <w:r>
              <w:rPr>
                <w:rFonts w:hint="eastAsia"/>
                <w:b/>
                <w:bCs/>
                <w:u w:val="single"/>
              </w:rPr>
              <w:t>1822</w:t>
            </w:r>
          </w:p>
        </w:tc>
        <w:tc>
          <w:tcPr>
            <w:tcW w:w="385" w:type="pct"/>
            <w:vAlign w:val="center"/>
          </w:tcPr>
          <w:p w14:paraId="52B977EA" w14:textId="77777777" w:rsidR="003E78AB" w:rsidRDefault="00010BF9">
            <w:pPr>
              <w:pStyle w:val="aff6"/>
              <w:topLinePunct/>
              <w:rPr>
                <w:b/>
                <w:bCs/>
                <w:u w:val="single"/>
              </w:rPr>
            </w:pPr>
            <w:r>
              <w:rPr>
                <w:rFonts w:hint="eastAsia"/>
                <w:b/>
                <w:bCs/>
                <w:u w:val="single"/>
              </w:rPr>
              <w:t>686</w:t>
            </w:r>
          </w:p>
        </w:tc>
        <w:tc>
          <w:tcPr>
            <w:tcW w:w="322" w:type="pct"/>
            <w:vAlign w:val="center"/>
          </w:tcPr>
          <w:p w14:paraId="303A3BBA" w14:textId="77777777" w:rsidR="003E78AB" w:rsidRDefault="00010BF9">
            <w:pPr>
              <w:pStyle w:val="aff6"/>
              <w:topLinePunct/>
              <w:rPr>
                <w:b/>
                <w:bCs/>
                <w:u w:val="single"/>
              </w:rPr>
            </w:pPr>
            <w:r>
              <w:rPr>
                <w:rFonts w:hint="eastAsia"/>
                <w:b/>
                <w:bCs/>
                <w:u w:val="single"/>
              </w:rPr>
              <w:t>20</w:t>
            </w:r>
          </w:p>
        </w:tc>
        <w:tc>
          <w:tcPr>
            <w:tcW w:w="351" w:type="pct"/>
            <w:vAlign w:val="center"/>
          </w:tcPr>
          <w:p w14:paraId="451221BE" w14:textId="77777777" w:rsidR="003E78AB" w:rsidRDefault="00010BF9">
            <w:pPr>
              <w:pStyle w:val="aff6"/>
              <w:topLinePunct/>
              <w:rPr>
                <w:b/>
                <w:bCs/>
                <w:u w:val="single"/>
              </w:rPr>
            </w:pPr>
            <w:r>
              <w:rPr>
                <w:rFonts w:hint="eastAsia"/>
                <w:b/>
                <w:bCs/>
                <w:u w:val="single"/>
              </w:rPr>
              <w:t>0.4</w:t>
            </w:r>
          </w:p>
        </w:tc>
        <w:tc>
          <w:tcPr>
            <w:tcW w:w="376" w:type="pct"/>
            <w:vAlign w:val="center"/>
          </w:tcPr>
          <w:p w14:paraId="63A54153" w14:textId="77777777" w:rsidR="003E78AB" w:rsidRDefault="00010BF9">
            <w:pPr>
              <w:pStyle w:val="aff6"/>
              <w:topLinePunct/>
              <w:rPr>
                <w:b/>
                <w:bCs/>
                <w:u w:val="single"/>
              </w:rPr>
            </w:pPr>
            <w:r>
              <w:rPr>
                <w:rFonts w:hint="eastAsia"/>
                <w:b/>
                <w:bCs/>
                <w:u w:val="single"/>
              </w:rPr>
              <w:t>10000</w:t>
            </w:r>
          </w:p>
        </w:tc>
        <w:tc>
          <w:tcPr>
            <w:tcW w:w="298" w:type="pct"/>
            <w:vAlign w:val="center"/>
          </w:tcPr>
          <w:p w14:paraId="55C7FC0C" w14:textId="77777777" w:rsidR="003E78AB" w:rsidRDefault="00010BF9">
            <w:pPr>
              <w:pStyle w:val="aff6"/>
              <w:topLinePunct/>
              <w:rPr>
                <w:b/>
                <w:bCs/>
                <w:u w:val="single"/>
              </w:rPr>
            </w:pPr>
            <w:r>
              <w:rPr>
                <w:rFonts w:hint="eastAsia"/>
                <w:b/>
                <w:bCs/>
                <w:u w:val="single"/>
              </w:rPr>
              <w:t>20</w:t>
            </w:r>
          </w:p>
        </w:tc>
        <w:tc>
          <w:tcPr>
            <w:tcW w:w="309" w:type="pct"/>
            <w:vAlign w:val="center"/>
          </w:tcPr>
          <w:p w14:paraId="741D2B9A" w14:textId="77777777" w:rsidR="003E78AB" w:rsidRDefault="00010BF9">
            <w:pPr>
              <w:pStyle w:val="aff6"/>
              <w:topLinePunct/>
              <w:rPr>
                <w:b/>
                <w:bCs/>
                <w:u w:val="single"/>
              </w:rPr>
            </w:pPr>
            <w:r>
              <w:rPr>
                <w:rFonts w:hint="eastAsia"/>
                <w:b/>
                <w:bCs/>
                <w:u w:val="single"/>
              </w:rPr>
              <w:t>7200</w:t>
            </w:r>
          </w:p>
        </w:tc>
        <w:tc>
          <w:tcPr>
            <w:tcW w:w="299" w:type="pct"/>
            <w:vAlign w:val="center"/>
          </w:tcPr>
          <w:p w14:paraId="1E1EAB95" w14:textId="77777777" w:rsidR="003E78AB" w:rsidRDefault="00010BF9">
            <w:pPr>
              <w:pStyle w:val="aff6"/>
              <w:topLinePunct/>
              <w:rPr>
                <w:b/>
                <w:bCs/>
                <w:u w:val="single"/>
              </w:rPr>
            </w:pPr>
            <w:r>
              <w:rPr>
                <w:rFonts w:hint="eastAsia"/>
                <w:b/>
                <w:bCs/>
                <w:u w:val="single"/>
              </w:rPr>
              <w:t>正常</w:t>
            </w:r>
          </w:p>
        </w:tc>
        <w:tc>
          <w:tcPr>
            <w:tcW w:w="453" w:type="pct"/>
            <w:vAlign w:val="center"/>
          </w:tcPr>
          <w:p w14:paraId="19A937B1" w14:textId="77777777" w:rsidR="003E78AB" w:rsidRDefault="00010BF9">
            <w:pPr>
              <w:pStyle w:val="aff6"/>
              <w:topLinePunct/>
              <w:rPr>
                <w:b/>
                <w:bCs/>
                <w:u w:val="single"/>
              </w:rPr>
            </w:pPr>
            <w:r>
              <w:rPr>
                <w:rFonts w:hint="eastAsia"/>
                <w:b/>
                <w:bCs/>
                <w:u w:val="single"/>
              </w:rPr>
              <w:t>NMHC</w:t>
            </w:r>
            <w:r>
              <w:rPr>
                <w:rFonts w:hint="eastAsia"/>
                <w:b/>
                <w:bCs/>
                <w:u w:val="single"/>
              </w:rPr>
              <w:t>：</w:t>
            </w:r>
            <w:r>
              <w:rPr>
                <w:rFonts w:hint="eastAsia"/>
                <w:b/>
                <w:bCs/>
                <w:u w:val="single"/>
              </w:rPr>
              <w:t>0.276</w:t>
            </w:r>
          </w:p>
        </w:tc>
        <w:tc>
          <w:tcPr>
            <w:tcW w:w="438" w:type="pct"/>
            <w:vAlign w:val="center"/>
          </w:tcPr>
          <w:p w14:paraId="0BCA3C7F" w14:textId="77777777" w:rsidR="003E78AB" w:rsidRDefault="00010BF9">
            <w:pPr>
              <w:pStyle w:val="aff6"/>
              <w:topLinePunct/>
              <w:rPr>
                <w:b/>
                <w:bCs/>
                <w:u w:val="single"/>
              </w:rPr>
            </w:pPr>
            <w:r>
              <w:rPr>
                <w:rFonts w:hint="eastAsia"/>
                <w:b/>
                <w:bCs/>
                <w:u w:val="single"/>
              </w:rPr>
              <w:t>/</w:t>
            </w:r>
          </w:p>
        </w:tc>
        <w:tc>
          <w:tcPr>
            <w:tcW w:w="501" w:type="pct"/>
            <w:vAlign w:val="center"/>
          </w:tcPr>
          <w:p w14:paraId="687F9AA4" w14:textId="77777777" w:rsidR="003E78AB" w:rsidRDefault="00010BF9">
            <w:pPr>
              <w:pStyle w:val="aff6"/>
              <w:topLinePunct/>
              <w:rPr>
                <w:b/>
                <w:bCs/>
                <w:u w:val="single"/>
              </w:rPr>
            </w:pPr>
            <w:r>
              <w:rPr>
                <w:rFonts w:hint="eastAsia"/>
                <w:b/>
                <w:bCs/>
                <w:u w:val="single"/>
              </w:rPr>
              <w:t>/</w:t>
            </w:r>
          </w:p>
        </w:tc>
      </w:tr>
      <w:tr w:rsidR="003E78AB" w14:paraId="14F56399" w14:textId="77777777">
        <w:trPr>
          <w:trHeight w:val="283"/>
          <w:jc w:val="center"/>
        </w:trPr>
        <w:tc>
          <w:tcPr>
            <w:tcW w:w="187" w:type="pct"/>
            <w:vAlign w:val="center"/>
          </w:tcPr>
          <w:p w14:paraId="3215005F" w14:textId="77777777" w:rsidR="003E78AB" w:rsidRDefault="00010BF9">
            <w:pPr>
              <w:pStyle w:val="aff6"/>
              <w:topLinePunct/>
              <w:rPr>
                <w:b/>
                <w:bCs/>
                <w:u w:val="single"/>
              </w:rPr>
            </w:pPr>
            <w:r>
              <w:rPr>
                <w:rFonts w:hint="eastAsia"/>
                <w:b/>
                <w:bCs/>
                <w:u w:val="single"/>
              </w:rPr>
              <w:t>22#</w:t>
            </w:r>
          </w:p>
        </w:tc>
        <w:tc>
          <w:tcPr>
            <w:tcW w:w="522" w:type="pct"/>
            <w:vAlign w:val="center"/>
          </w:tcPr>
          <w:p w14:paraId="6ABC1D2B" w14:textId="77777777" w:rsidR="003E78AB" w:rsidRDefault="00010BF9">
            <w:pPr>
              <w:pStyle w:val="aff6"/>
              <w:topLinePunct/>
              <w:rPr>
                <w:b/>
                <w:bCs/>
                <w:u w:val="single"/>
              </w:rPr>
            </w:pPr>
            <w:r>
              <w:rPr>
                <w:rFonts w:hint="eastAsia"/>
                <w:b/>
                <w:bCs/>
                <w:u w:val="single"/>
              </w:rPr>
              <w:t>拉棒切片项目前处理废气</w:t>
            </w:r>
          </w:p>
        </w:tc>
        <w:tc>
          <w:tcPr>
            <w:tcW w:w="268" w:type="pct"/>
            <w:vAlign w:val="center"/>
          </w:tcPr>
          <w:p w14:paraId="4DB7F79A" w14:textId="77777777" w:rsidR="003E78AB" w:rsidRDefault="00010BF9">
            <w:pPr>
              <w:pStyle w:val="aff6"/>
              <w:topLinePunct/>
              <w:rPr>
                <w:b/>
                <w:bCs/>
                <w:u w:val="single"/>
              </w:rPr>
            </w:pPr>
            <w:r>
              <w:rPr>
                <w:rFonts w:hint="eastAsia"/>
                <w:b/>
                <w:bCs/>
                <w:u w:val="single"/>
              </w:rPr>
              <w:t>-2250</w:t>
            </w:r>
          </w:p>
        </w:tc>
        <w:tc>
          <w:tcPr>
            <w:tcW w:w="283" w:type="pct"/>
            <w:vAlign w:val="center"/>
          </w:tcPr>
          <w:p w14:paraId="25A2A7E3" w14:textId="77777777" w:rsidR="003E78AB" w:rsidRDefault="00010BF9">
            <w:pPr>
              <w:pStyle w:val="aff6"/>
              <w:topLinePunct/>
              <w:rPr>
                <w:b/>
                <w:bCs/>
                <w:u w:val="single"/>
              </w:rPr>
            </w:pPr>
            <w:r>
              <w:rPr>
                <w:rFonts w:hint="eastAsia"/>
                <w:b/>
                <w:bCs/>
                <w:u w:val="single"/>
              </w:rPr>
              <w:t>1726</w:t>
            </w:r>
          </w:p>
        </w:tc>
        <w:tc>
          <w:tcPr>
            <w:tcW w:w="385" w:type="pct"/>
            <w:vAlign w:val="center"/>
          </w:tcPr>
          <w:p w14:paraId="6C0F7A3E" w14:textId="77777777" w:rsidR="003E78AB" w:rsidRDefault="00010BF9">
            <w:pPr>
              <w:pStyle w:val="aff6"/>
              <w:topLinePunct/>
              <w:rPr>
                <w:b/>
                <w:bCs/>
                <w:u w:val="single"/>
              </w:rPr>
            </w:pPr>
            <w:r>
              <w:rPr>
                <w:rFonts w:hint="eastAsia"/>
                <w:b/>
                <w:bCs/>
                <w:u w:val="single"/>
              </w:rPr>
              <w:t>687</w:t>
            </w:r>
          </w:p>
        </w:tc>
        <w:tc>
          <w:tcPr>
            <w:tcW w:w="322" w:type="pct"/>
            <w:vAlign w:val="center"/>
          </w:tcPr>
          <w:p w14:paraId="28D18101" w14:textId="77777777" w:rsidR="003E78AB" w:rsidRDefault="00010BF9">
            <w:pPr>
              <w:pStyle w:val="aff6"/>
              <w:topLinePunct/>
              <w:rPr>
                <w:b/>
                <w:bCs/>
                <w:u w:val="single"/>
              </w:rPr>
            </w:pPr>
            <w:r>
              <w:rPr>
                <w:rFonts w:hint="eastAsia"/>
                <w:b/>
                <w:bCs/>
                <w:u w:val="single"/>
              </w:rPr>
              <w:t>30</w:t>
            </w:r>
          </w:p>
        </w:tc>
        <w:tc>
          <w:tcPr>
            <w:tcW w:w="351" w:type="pct"/>
            <w:vAlign w:val="center"/>
          </w:tcPr>
          <w:p w14:paraId="084ECD2C" w14:textId="77777777" w:rsidR="003E78AB" w:rsidRDefault="00010BF9">
            <w:pPr>
              <w:pStyle w:val="aff6"/>
              <w:topLinePunct/>
              <w:rPr>
                <w:b/>
                <w:bCs/>
                <w:u w:val="single"/>
              </w:rPr>
            </w:pPr>
            <w:r>
              <w:rPr>
                <w:rFonts w:hint="eastAsia"/>
                <w:b/>
                <w:bCs/>
                <w:u w:val="single"/>
              </w:rPr>
              <w:t>0.6</w:t>
            </w:r>
          </w:p>
        </w:tc>
        <w:tc>
          <w:tcPr>
            <w:tcW w:w="376" w:type="pct"/>
            <w:vAlign w:val="center"/>
          </w:tcPr>
          <w:p w14:paraId="5221C13D" w14:textId="77777777" w:rsidR="003E78AB" w:rsidRDefault="00010BF9">
            <w:pPr>
              <w:pStyle w:val="aff6"/>
              <w:topLinePunct/>
              <w:rPr>
                <w:b/>
                <w:bCs/>
                <w:u w:val="single"/>
              </w:rPr>
            </w:pPr>
            <w:r>
              <w:rPr>
                <w:rFonts w:hint="eastAsia"/>
                <w:b/>
                <w:bCs/>
                <w:u w:val="single"/>
              </w:rPr>
              <w:t>20000</w:t>
            </w:r>
          </w:p>
        </w:tc>
        <w:tc>
          <w:tcPr>
            <w:tcW w:w="298" w:type="pct"/>
            <w:vAlign w:val="center"/>
          </w:tcPr>
          <w:p w14:paraId="73FF1A19" w14:textId="77777777" w:rsidR="003E78AB" w:rsidRDefault="00010BF9">
            <w:pPr>
              <w:pStyle w:val="aff6"/>
              <w:topLinePunct/>
              <w:rPr>
                <w:b/>
                <w:bCs/>
                <w:u w:val="single"/>
              </w:rPr>
            </w:pPr>
            <w:r>
              <w:rPr>
                <w:rFonts w:hint="eastAsia"/>
                <w:b/>
                <w:bCs/>
                <w:u w:val="single"/>
              </w:rPr>
              <w:t>20</w:t>
            </w:r>
          </w:p>
        </w:tc>
        <w:tc>
          <w:tcPr>
            <w:tcW w:w="309" w:type="pct"/>
            <w:vAlign w:val="center"/>
          </w:tcPr>
          <w:p w14:paraId="1C99223A" w14:textId="77777777" w:rsidR="003E78AB" w:rsidRDefault="00010BF9">
            <w:pPr>
              <w:pStyle w:val="aff6"/>
              <w:topLinePunct/>
              <w:rPr>
                <w:b/>
                <w:bCs/>
                <w:u w:val="single"/>
              </w:rPr>
            </w:pPr>
            <w:r>
              <w:rPr>
                <w:rFonts w:hint="eastAsia"/>
                <w:b/>
                <w:bCs/>
                <w:u w:val="single"/>
              </w:rPr>
              <w:t>7200</w:t>
            </w:r>
          </w:p>
        </w:tc>
        <w:tc>
          <w:tcPr>
            <w:tcW w:w="299" w:type="pct"/>
            <w:vAlign w:val="center"/>
          </w:tcPr>
          <w:p w14:paraId="39C2C956" w14:textId="77777777" w:rsidR="003E78AB" w:rsidRDefault="00010BF9">
            <w:pPr>
              <w:pStyle w:val="aff6"/>
              <w:topLinePunct/>
              <w:rPr>
                <w:b/>
                <w:bCs/>
                <w:u w:val="single"/>
              </w:rPr>
            </w:pPr>
            <w:r>
              <w:rPr>
                <w:rFonts w:hint="eastAsia"/>
                <w:b/>
                <w:bCs/>
                <w:u w:val="single"/>
              </w:rPr>
              <w:t>正常</w:t>
            </w:r>
          </w:p>
        </w:tc>
        <w:tc>
          <w:tcPr>
            <w:tcW w:w="453" w:type="pct"/>
            <w:vAlign w:val="center"/>
          </w:tcPr>
          <w:p w14:paraId="00B2BFEA" w14:textId="77777777" w:rsidR="003E78AB" w:rsidRDefault="00010BF9">
            <w:pPr>
              <w:pStyle w:val="aff6"/>
              <w:topLinePunct/>
              <w:rPr>
                <w:b/>
                <w:bCs/>
                <w:u w:val="single"/>
              </w:rPr>
            </w:pPr>
            <w:r>
              <w:rPr>
                <w:rFonts w:hint="eastAsia"/>
                <w:b/>
                <w:bCs/>
                <w:u w:val="single"/>
              </w:rPr>
              <w:t>NOx</w:t>
            </w:r>
            <w:r>
              <w:rPr>
                <w:rFonts w:hint="eastAsia"/>
                <w:b/>
                <w:bCs/>
                <w:u w:val="single"/>
              </w:rPr>
              <w:t>：</w:t>
            </w:r>
            <w:r>
              <w:rPr>
                <w:rFonts w:hint="eastAsia"/>
                <w:b/>
                <w:bCs/>
                <w:u w:val="single"/>
              </w:rPr>
              <w:t>1.42</w:t>
            </w:r>
          </w:p>
        </w:tc>
        <w:tc>
          <w:tcPr>
            <w:tcW w:w="438" w:type="pct"/>
            <w:vAlign w:val="center"/>
          </w:tcPr>
          <w:p w14:paraId="6479150D" w14:textId="77777777" w:rsidR="003E78AB" w:rsidRDefault="00010BF9">
            <w:pPr>
              <w:pStyle w:val="aff6"/>
              <w:topLinePunct/>
              <w:rPr>
                <w:b/>
                <w:bCs/>
                <w:u w:val="single"/>
              </w:rPr>
            </w:pPr>
            <w:r>
              <w:rPr>
                <w:rFonts w:hint="eastAsia"/>
                <w:b/>
                <w:bCs/>
                <w:u w:val="single"/>
              </w:rPr>
              <w:t>/</w:t>
            </w:r>
          </w:p>
        </w:tc>
        <w:tc>
          <w:tcPr>
            <w:tcW w:w="501" w:type="pct"/>
            <w:vAlign w:val="center"/>
          </w:tcPr>
          <w:p w14:paraId="14297189" w14:textId="77777777" w:rsidR="003E78AB" w:rsidRDefault="00010BF9">
            <w:pPr>
              <w:pStyle w:val="aff6"/>
              <w:topLinePunct/>
              <w:rPr>
                <w:b/>
                <w:bCs/>
                <w:u w:val="single"/>
              </w:rPr>
            </w:pPr>
            <w:r>
              <w:rPr>
                <w:rFonts w:hint="eastAsia"/>
                <w:b/>
                <w:bCs/>
                <w:u w:val="single"/>
              </w:rPr>
              <w:t>/</w:t>
            </w:r>
          </w:p>
        </w:tc>
      </w:tr>
    </w:tbl>
    <w:p w14:paraId="24FA9B5B" w14:textId="77777777" w:rsidR="003E78AB" w:rsidRDefault="003E78AB">
      <w:pPr>
        <w:ind w:firstLine="482"/>
        <w:rPr>
          <w:b/>
          <w:bCs/>
          <w:kern w:val="28"/>
          <w:u w:val="single"/>
        </w:rPr>
        <w:sectPr w:rsidR="003E78AB">
          <w:pgSz w:w="16839" w:h="11906" w:orient="landscape"/>
          <w:pgMar w:top="1803" w:right="1440" w:bottom="1803" w:left="1440" w:header="850" w:footer="992" w:gutter="0"/>
          <w:cols w:space="720"/>
        </w:sectPr>
      </w:pPr>
    </w:p>
    <w:p w14:paraId="3D26C36E" w14:textId="77777777" w:rsidR="003E78AB" w:rsidRDefault="00010BF9">
      <w:pPr>
        <w:pStyle w:val="5"/>
        <w:keepNext w:val="0"/>
        <w:keepLines w:val="0"/>
        <w:ind w:firstLine="482"/>
        <w:rPr>
          <w:bCs/>
          <w:sz w:val="24"/>
          <w:u w:val="single"/>
        </w:rPr>
      </w:pPr>
      <w:r>
        <w:rPr>
          <w:rFonts w:hint="eastAsia"/>
          <w:bCs/>
          <w:sz w:val="24"/>
          <w:u w:val="single"/>
        </w:rPr>
        <w:t>3.</w:t>
      </w:r>
      <w:r>
        <w:rPr>
          <w:rFonts w:hint="eastAsia"/>
          <w:bCs/>
          <w:sz w:val="24"/>
          <w:u w:val="single"/>
        </w:rPr>
        <w:t>大气预测结果</w:t>
      </w:r>
    </w:p>
    <w:p w14:paraId="132436D8" w14:textId="77777777" w:rsidR="003E78AB" w:rsidRDefault="00010BF9">
      <w:pPr>
        <w:ind w:firstLine="482"/>
        <w:rPr>
          <w:b/>
          <w:bCs/>
          <w:u w:val="single"/>
        </w:rPr>
      </w:pPr>
      <w:r>
        <w:rPr>
          <w:b/>
          <w:bCs/>
          <w:u w:val="single"/>
        </w:rPr>
        <w:t>（</w:t>
      </w:r>
      <w:r>
        <w:rPr>
          <w:b/>
          <w:bCs/>
          <w:u w:val="single"/>
        </w:rPr>
        <w:t>1</w:t>
      </w:r>
      <w:r>
        <w:rPr>
          <w:b/>
          <w:bCs/>
          <w:u w:val="single"/>
        </w:rPr>
        <w:t>）</w:t>
      </w:r>
      <w:r>
        <w:rPr>
          <w:b/>
          <w:bCs/>
          <w:u w:val="single"/>
        </w:rPr>
        <w:t>项目正常工况下大气污染物浓度预测结果</w:t>
      </w:r>
    </w:p>
    <w:p w14:paraId="6F58B4D0" w14:textId="77777777" w:rsidR="003E78AB" w:rsidRDefault="00010BF9">
      <w:pPr>
        <w:ind w:firstLine="482"/>
        <w:rPr>
          <w:b/>
          <w:bCs/>
          <w:u w:val="single"/>
        </w:rPr>
      </w:pPr>
      <w:r>
        <w:rPr>
          <w:b/>
          <w:bCs/>
          <w:u w:val="single"/>
        </w:rPr>
        <w:t>1</w:t>
      </w:r>
      <w:r>
        <w:rPr>
          <w:b/>
          <w:bCs/>
          <w:u w:val="single"/>
        </w:rPr>
        <w:t>）</w:t>
      </w:r>
      <w:r>
        <w:rPr>
          <w:b/>
          <w:bCs/>
          <w:u w:val="single"/>
        </w:rPr>
        <w:t>1</w:t>
      </w:r>
      <w:r>
        <w:rPr>
          <w:b/>
          <w:bCs/>
          <w:u w:val="single"/>
        </w:rPr>
        <w:t>小时浓度</w:t>
      </w:r>
    </w:p>
    <w:p w14:paraId="391D802E" w14:textId="77777777" w:rsidR="003E78AB" w:rsidRDefault="00010BF9">
      <w:pPr>
        <w:pStyle w:val="a4"/>
        <w:spacing w:before="120"/>
        <w:rPr>
          <w:b/>
          <w:bCs/>
          <w:u w:val="single"/>
        </w:rPr>
      </w:pPr>
      <w:r>
        <w:rPr>
          <w:rFonts w:hint="eastAsia"/>
          <w:b/>
          <w:bCs/>
          <w:u w:val="single"/>
        </w:rPr>
        <w:t>本项目</w:t>
      </w:r>
      <w:r>
        <w:rPr>
          <w:rFonts w:hint="eastAsia"/>
          <w:b/>
          <w:bCs/>
          <w:u w:val="single"/>
        </w:rPr>
        <w:t>NO</w:t>
      </w:r>
      <w:r>
        <w:rPr>
          <w:rFonts w:hint="eastAsia"/>
          <w:b/>
          <w:bCs/>
          <w:u w:val="single"/>
          <w:vertAlign w:val="subscript"/>
        </w:rPr>
        <w:t>2</w:t>
      </w:r>
      <w:r>
        <w:rPr>
          <w:rFonts w:hint="eastAsia"/>
          <w:b/>
          <w:bCs/>
          <w:u w:val="single"/>
        </w:rPr>
        <w:t>1</w:t>
      </w:r>
      <w:r>
        <w:rPr>
          <w:rFonts w:hint="eastAsia"/>
          <w:b/>
          <w:bCs/>
          <w:u w:val="single"/>
        </w:rPr>
        <w:t>小时浓度贡献质量浓度预测结果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148"/>
        <w:gridCol w:w="1058"/>
        <w:gridCol w:w="1080"/>
        <w:gridCol w:w="1713"/>
        <w:gridCol w:w="1347"/>
        <w:gridCol w:w="1036"/>
        <w:gridCol w:w="851"/>
      </w:tblGrid>
      <w:tr w:rsidR="003E78AB" w14:paraId="5C20E603" w14:textId="77777777">
        <w:trPr>
          <w:tblHeader/>
        </w:trPr>
        <w:tc>
          <w:tcPr>
            <w:tcW w:w="527" w:type="dxa"/>
            <w:tcBorders>
              <w:tl2br w:val="nil"/>
              <w:tr2bl w:val="nil"/>
            </w:tcBorders>
            <w:noWrap/>
            <w:tcMar>
              <w:top w:w="15" w:type="dxa"/>
              <w:left w:w="15" w:type="dxa"/>
              <w:right w:w="15" w:type="dxa"/>
            </w:tcMar>
            <w:vAlign w:val="center"/>
          </w:tcPr>
          <w:p w14:paraId="3BCB3ED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148" w:type="dxa"/>
            <w:tcBorders>
              <w:tl2br w:val="nil"/>
              <w:tr2bl w:val="nil"/>
            </w:tcBorders>
            <w:noWrap/>
            <w:tcMar>
              <w:top w:w="15" w:type="dxa"/>
              <w:left w:w="15" w:type="dxa"/>
              <w:right w:w="15" w:type="dxa"/>
            </w:tcMar>
            <w:vAlign w:val="center"/>
          </w:tcPr>
          <w:p w14:paraId="7F36F86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7AE36A2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1058" w:type="dxa"/>
            <w:tcBorders>
              <w:tl2br w:val="nil"/>
              <w:tr2bl w:val="nil"/>
            </w:tcBorders>
            <w:noWrap/>
            <w:tcMar>
              <w:top w:w="15" w:type="dxa"/>
              <w:left w:w="15" w:type="dxa"/>
              <w:right w:w="15" w:type="dxa"/>
            </w:tcMar>
            <w:vAlign w:val="center"/>
          </w:tcPr>
          <w:p w14:paraId="016BDD3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2213583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5B2CBEE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5EA57A3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0D4EE96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275DB2B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509E188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5D0606CB" w14:textId="77777777">
        <w:tc>
          <w:tcPr>
            <w:tcW w:w="527" w:type="dxa"/>
            <w:tcBorders>
              <w:tl2br w:val="nil"/>
              <w:tr2bl w:val="nil"/>
            </w:tcBorders>
            <w:noWrap/>
            <w:tcMar>
              <w:top w:w="15" w:type="dxa"/>
              <w:left w:w="15" w:type="dxa"/>
              <w:right w:w="15" w:type="dxa"/>
            </w:tcMar>
            <w:vAlign w:val="center"/>
          </w:tcPr>
          <w:p w14:paraId="7524E68A"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148" w:type="dxa"/>
            <w:tcBorders>
              <w:tl2br w:val="nil"/>
              <w:tr2bl w:val="nil"/>
            </w:tcBorders>
            <w:noWrap/>
            <w:tcMar>
              <w:top w:w="15" w:type="dxa"/>
              <w:left w:w="15" w:type="dxa"/>
              <w:right w:w="15" w:type="dxa"/>
            </w:tcMar>
            <w:vAlign w:val="center"/>
          </w:tcPr>
          <w:p w14:paraId="23AD3A17" w14:textId="77777777" w:rsidR="003E78AB" w:rsidRDefault="00010BF9">
            <w:pPr>
              <w:pStyle w:val="aff6"/>
              <w:topLinePunct/>
              <w:rPr>
                <w:b/>
                <w:bCs/>
                <w:color w:val="000000"/>
                <w:u w:val="single"/>
              </w:rPr>
            </w:pPr>
            <w:r>
              <w:rPr>
                <w:b/>
                <w:bCs/>
                <w:u w:val="single"/>
              </w:rPr>
              <w:t>安居富民小区</w:t>
            </w:r>
          </w:p>
        </w:tc>
        <w:tc>
          <w:tcPr>
            <w:tcW w:w="1058" w:type="dxa"/>
            <w:tcBorders>
              <w:tl2br w:val="nil"/>
              <w:tr2bl w:val="nil"/>
            </w:tcBorders>
            <w:noWrap/>
            <w:tcMar>
              <w:top w:w="15" w:type="dxa"/>
              <w:left w:w="15" w:type="dxa"/>
              <w:right w:w="15" w:type="dxa"/>
            </w:tcMar>
            <w:vAlign w:val="center"/>
          </w:tcPr>
          <w:p w14:paraId="479A44DE"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0450E18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1.450</w:t>
            </w:r>
          </w:p>
        </w:tc>
        <w:tc>
          <w:tcPr>
            <w:tcW w:w="1713" w:type="dxa"/>
            <w:tcBorders>
              <w:tl2br w:val="nil"/>
              <w:tr2bl w:val="nil"/>
            </w:tcBorders>
            <w:noWrap/>
            <w:tcMar>
              <w:top w:w="15" w:type="dxa"/>
              <w:left w:w="15" w:type="dxa"/>
              <w:right w:w="15" w:type="dxa"/>
            </w:tcMar>
            <w:vAlign w:val="center"/>
          </w:tcPr>
          <w:p w14:paraId="2DE99D1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2</w:t>
            </w:r>
            <w:r>
              <w:rPr>
                <w:rFonts w:hint="eastAsia"/>
                <w:b/>
                <w:bCs/>
                <w:color w:val="000000"/>
                <w:sz w:val="21"/>
                <w:szCs w:val="21"/>
                <w:u w:val="single"/>
                <w:lang w:bidi="ar"/>
              </w:rPr>
              <w:t>3</w:t>
            </w:r>
            <w:r>
              <w:rPr>
                <w:b/>
                <w:bCs/>
                <w:color w:val="000000"/>
                <w:sz w:val="21"/>
                <w:szCs w:val="21"/>
                <w:u w:val="single"/>
                <w:lang w:bidi="ar"/>
              </w:rPr>
              <w:t>052508</w:t>
            </w:r>
          </w:p>
        </w:tc>
        <w:tc>
          <w:tcPr>
            <w:tcW w:w="1347" w:type="dxa"/>
            <w:tcBorders>
              <w:tl2br w:val="nil"/>
              <w:tr2bl w:val="nil"/>
            </w:tcBorders>
            <w:noWrap/>
            <w:tcMar>
              <w:top w:w="15" w:type="dxa"/>
              <w:left w:w="15" w:type="dxa"/>
              <w:right w:w="15" w:type="dxa"/>
            </w:tcMar>
            <w:vAlign w:val="center"/>
          </w:tcPr>
          <w:p w14:paraId="763C3E0A" w14:textId="77777777" w:rsidR="003E78AB" w:rsidRDefault="00010BF9">
            <w:pPr>
              <w:pStyle w:val="aff4"/>
              <w:rPr>
                <w:rFonts w:hint="default"/>
                <w:b/>
                <w:bCs/>
                <w:color w:val="000000"/>
                <w:szCs w:val="21"/>
                <w:u w:val="single"/>
              </w:rPr>
            </w:pPr>
            <w:r>
              <w:rPr>
                <w:rFonts w:hint="default"/>
                <w:b/>
                <w:bCs/>
                <w:color w:val="000000"/>
                <w:szCs w:val="21"/>
                <w:u w:val="single"/>
              </w:rPr>
              <w:t>200</w:t>
            </w:r>
          </w:p>
        </w:tc>
        <w:tc>
          <w:tcPr>
            <w:tcW w:w="1036" w:type="dxa"/>
            <w:tcBorders>
              <w:tl2br w:val="nil"/>
              <w:tr2bl w:val="nil"/>
            </w:tcBorders>
            <w:noWrap/>
            <w:tcMar>
              <w:top w:w="15" w:type="dxa"/>
              <w:left w:w="15" w:type="dxa"/>
              <w:right w:w="15" w:type="dxa"/>
            </w:tcMar>
            <w:vAlign w:val="center"/>
          </w:tcPr>
          <w:p w14:paraId="0024F8CD"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0.72</w:t>
            </w:r>
          </w:p>
        </w:tc>
        <w:tc>
          <w:tcPr>
            <w:tcW w:w="851" w:type="dxa"/>
            <w:tcBorders>
              <w:tl2br w:val="nil"/>
              <w:tr2bl w:val="nil"/>
            </w:tcBorders>
            <w:noWrap/>
            <w:tcMar>
              <w:top w:w="15" w:type="dxa"/>
              <w:left w:w="15" w:type="dxa"/>
              <w:right w:w="15" w:type="dxa"/>
            </w:tcMar>
            <w:vAlign w:val="center"/>
          </w:tcPr>
          <w:p w14:paraId="25698AFE"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097D4885" w14:textId="77777777">
        <w:tc>
          <w:tcPr>
            <w:tcW w:w="527" w:type="dxa"/>
            <w:tcBorders>
              <w:tl2br w:val="nil"/>
              <w:tr2bl w:val="nil"/>
            </w:tcBorders>
            <w:noWrap/>
            <w:tcMar>
              <w:top w:w="15" w:type="dxa"/>
              <w:left w:w="15" w:type="dxa"/>
              <w:right w:w="15" w:type="dxa"/>
            </w:tcMar>
            <w:vAlign w:val="center"/>
          </w:tcPr>
          <w:p w14:paraId="4B3F7DC6"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148" w:type="dxa"/>
            <w:tcBorders>
              <w:tl2br w:val="nil"/>
              <w:tr2bl w:val="nil"/>
            </w:tcBorders>
            <w:noWrap/>
            <w:tcMar>
              <w:top w:w="15" w:type="dxa"/>
              <w:left w:w="15" w:type="dxa"/>
              <w:right w:w="15" w:type="dxa"/>
            </w:tcMar>
            <w:vAlign w:val="center"/>
          </w:tcPr>
          <w:p w14:paraId="5DC90193" w14:textId="77777777" w:rsidR="003E78AB" w:rsidRDefault="00010BF9">
            <w:pPr>
              <w:pStyle w:val="aff6"/>
              <w:topLinePunct/>
              <w:rPr>
                <w:b/>
                <w:bCs/>
                <w:color w:val="000000"/>
                <w:u w:val="single"/>
              </w:rPr>
            </w:pPr>
            <w:r>
              <w:rPr>
                <w:b/>
                <w:bCs/>
                <w:u w:val="single"/>
              </w:rPr>
              <w:t>项目区上风向</w:t>
            </w:r>
          </w:p>
        </w:tc>
        <w:tc>
          <w:tcPr>
            <w:tcW w:w="1058" w:type="dxa"/>
            <w:tcBorders>
              <w:tl2br w:val="nil"/>
              <w:tr2bl w:val="nil"/>
            </w:tcBorders>
            <w:noWrap/>
            <w:tcMar>
              <w:top w:w="15" w:type="dxa"/>
              <w:left w:w="15" w:type="dxa"/>
              <w:right w:w="15" w:type="dxa"/>
            </w:tcMar>
            <w:vAlign w:val="center"/>
          </w:tcPr>
          <w:p w14:paraId="034E4CC8"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6DE4491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1.080</w:t>
            </w:r>
          </w:p>
        </w:tc>
        <w:tc>
          <w:tcPr>
            <w:tcW w:w="1713" w:type="dxa"/>
            <w:tcBorders>
              <w:tl2br w:val="nil"/>
              <w:tr2bl w:val="nil"/>
            </w:tcBorders>
            <w:noWrap/>
            <w:tcMar>
              <w:top w:w="15" w:type="dxa"/>
              <w:left w:w="15" w:type="dxa"/>
              <w:right w:w="15" w:type="dxa"/>
            </w:tcMar>
            <w:vAlign w:val="center"/>
          </w:tcPr>
          <w:p w14:paraId="69D57058"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2</w:t>
            </w:r>
            <w:r>
              <w:rPr>
                <w:rFonts w:hint="eastAsia"/>
                <w:b/>
                <w:bCs/>
                <w:color w:val="000000"/>
                <w:sz w:val="21"/>
                <w:szCs w:val="21"/>
                <w:u w:val="single"/>
                <w:lang w:bidi="ar"/>
              </w:rPr>
              <w:t>3</w:t>
            </w:r>
            <w:r>
              <w:rPr>
                <w:b/>
                <w:bCs/>
                <w:color w:val="000000"/>
                <w:sz w:val="21"/>
                <w:szCs w:val="21"/>
                <w:u w:val="single"/>
                <w:lang w:bidi="ar"/>
              </w:rPr>
              <w:t>072119</w:t>
            </w:r>
          </w:p>
        </w:tc>
        <w:tc>
          <w:tcPr>
            <w:tcW w:w="1347" w:type="dxa"/>
            <w:tcBorders>
              <w:tl2br w:val="nil"/>
              <w:tr2bl w:val="nil"/>
            </w:tcBorders>
            <w:noWrap/>
            <w:tcMar>
              <w:top w:w="15" w:type="dxa"/>
              <w:left w:w="15" w:type="dxa"/>
              <w:right w:w="15" w:type="dxa"/>
            </w:tcMar>
            <w:vAlign w:val="center"/>
          </w:tcPr>
          <w:p w14:paraId="3C43C127"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200</w:t>
            </w:r>
          </w:p>
        </w:tc>
        <w:tc>
          <w:tcPr>
            <w:tcW w:w="1036" w:type="dxa"/>
            <w:tcBorders>
              <w:tl2br w:val="nil"/>
              <w:tr2bl w:val="nil"/>
            </w:tcBorders>
            <w:noWrap/>
            <w:tcMar>
              <w:top w:w="15" w:type="dxa"/>
              <w:left w:w="15" w:type="dxa"/>
              <w:right w:w="15" w:type="dxa"/>
            </w:tcMar>
            <w:vAlign w:val="center"/>
          </w:tcPr>
          <w:p w14:paraId="0E55BF33"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0.54</w:t>
            </w:r>
          </w:p>
        </w:tc>
        <w:tc>
          <w:tcPr>
            <w:tcW w:w="851" w:type="dxa"/>
            <w:tcBorders>
              <w:tl2br w:val="nil"/>
              <w:tr2bl w:val="nil"/>
            </w:tcBorders>
            <w:noWrap/>
            <w:tcMar>
              <w:top w:w="15" w:type="dxa"/>
              <w:left w:w="15" w:type="dxa"/>
              <w:right w:w="15" w:type="dxa"/>
            </w:tcMar>
            <w:vAlign w:val="center"/>
          </w:tcPr>
          <w:p w14:paraId="0A94CCB1"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01594BE7" w14:textId="77777777">
        <w:tc>
          <w:tcPr>
            <w:tcW w:w="527" w:type="dxa"/>
            <w:tcBorders>
              <w:tl2br w:val="nil"/>
              <w:tr2bl w:val="nil"/>
            </w:tcBorders>
            <w:noWrap/>
            <w:tcMar>
              <w:top w:w="15" w:type="dxa"/>
              <w:left w:w="15" w:type="dxa"/>
              <w:right w:w="15" w:type="dxa"/>
            </w:tcMar>
            <w:vAlign w:val="center"/>
          </w:tcPr>
          <w:p w14:paraId="2653BBDB"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148" w:type="dxa"/>
            <w:tcBorders>
              <w:tl2br w:val="nil"/>
              <w:tr2bl w:val="nil"/>
            </w:tcBorders>
            <w:noWrap/>
            <w:tcMar>
              <w:top w:w="15" w:type="dxa"/>
              <w:left w:w="15" w:type="dxa"/>
              <w:right w:w="15" w:type="dxa"/>
            </w:tcMar>
            <w:vAlign w:val="center"/>
          </w:tcPr>
          <w:p w14:paraId="755A9A78" w14:textId="77777777" w:rsidR="003E78AB" w:rsidRDefault="00010BF9">
            <w:pPr>
              <w:pStyle w:val="aff6"/>
              <w:topLinePunct/>
              <w:rPr>
                <w:b/>
                <w:bCs/>
                <w:color w:val="000000"/>
                <w:u w:val="single"/>
              </w:rPr>
            </w:pPr>
            <w:r>
              <w:rPr>
                <w:b/>
                <w:bCs/>
                <w:u w:val="single"/>
              </w:rPr>
              <w:t>项目区下风向</w:t>
            </w:r>
          </w:p>
        </w:tc>
        <w:tc>
          <w:tcPr>
            <w:tcW w:w="1058" w:type="dxa"/>
            <w:tcBorders>
              <w:tl2br w:val="nil"/>
              <w:tr2bl w:val="nil"/>
            </w:tcBorders>
            <w:noWrap/>
            <w:tcMar>
              <w:top w:w="15" w:type="dxa"/>
              <w:left w:w="15" w:type="dxa"/>
              <w:right w:w="15" w:type="dxa"/>
            </w:tcMar>
            <w:vAlign w:val="center"/>
          </w:tcPr>
          <w:p w14:paraId="2FE4EC99"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7C557EE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3.060</w:t>
            </w:r>
          </w:p>
        </w:tc>
        <w:tc>
          <w:tcPr>
            <w:tcW w:w="1713" w:type="dxa"/>
            <w:tcBorders>
              <w:tl2br w:val="nil"/>
              <w:tr2bl w:val="nil"/>
            </w:tcBorders>
            <w:noWrap/>
            <w:tcMar>
              <w:top w:w="15" w:type="dxa"/>
              <w:left w:w="15" w:type="dxa"/>
              <w:right w:w="15" w:type="dxa"/>
            </w:tcMar>
            <w:vAlign w:val="center"/>
          </w:tcPr>
          <w:p w14:paraId="76F31FA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2</w:t>
            </w:r>
            <w:r>
              <w:rPr>
                <w:rFonts w:hint="eastAsia"/>
                <w:b/>
                <w:bCs/>
                <w:color w:val="000000"/>
                <w:sz w:val="21"/>
                <w:szCs w:val="21"/>
                <w:u w:val="single"/>
                <w:lang w:bidi="ar"/>
              </w:rPr>
              <w:t>3</w:t>
            </w:r>
            <w:r>
              <w:rPr>
                <w:b/>
                <w:bCs/>
                <w:color w:val="000000"/>
                <w:sz w:val="21"/>
                <w:szCs w:val="21"/>
                <w:u w:val="single"/>
                <w:lang w:bidi="ar"/>
              </w:rPr>
              <w:t>031519</w:t>
            </w:r>
          </w:p>
        </w:tc>
        <w:tc>
          <w:tcPr>
            <w:tcW w:w="1347" w:type="dxa"/>
            <w:tcBorders>
              <w:tl2br w:val="nil"/>
              <w:tr2bl w:val="nil"/>
            </w:tcBorders>
            <w:noWrap/>
            <w:tcMar>
              <w:top w:w="15" w:type="dxa"/>
              <w:left w:w="15" w:type="dxa"/>
              <w:right w:w="15" w:type="dxa"/>
            </w:tcMar>
            <w:vAlign w:val="center"/>
          </w:tcPr>
          <w:p w14:paraId="6812A761"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200</w:t>
            </w:r>
          </w:p>
        </w:tc>
        <w:tc>
          <w:tcPr>
            <w:tcW w:w="1036" w:type="dxa"/>
            <w:tcBorders>
              <w:tl2br w:val="nil"/>
              <w:tr2bl w:val="nil"/>
            </w:tcBorders>
            <w:noWrap/>
            <w:tcMar>
              <w:top w:w="15" w:type="dxa"/>
              <w:left w:w="15" w:type="dxa"/>
              <w:right w:w="15" w:type="dxa"/>
            </w:tcMar>
            <w:vAlign w:val="center"/>
          </w:tcPr>
          <w:p w14:paraId="2EAC205C"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1.53</w:t>
            </w:r>
          </w:p>
        </w:tc>
        <w:tc>
          <w:tcPr>
            <w:tcW w:w="851" w:type="dxa"/>
            <w:tcBorders>
              <w:tl2br w:val="nil"/>
              <w:tr2bl w:val="nil"/>
            </w:tcBorders>
            <w:noWrap/>
            <w:tcMar>
              <w:top w:w="15" w:type="dxa"/>
              <w:left w:w="15" w:type="dxa"/>
              <w:right w:w="15" w:type="dxa"/>
            </w:tcMar>
            <w:vAlign w:val="center"/>
          </w:tcPr>
          <w:p w14:paraId="1C624762"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4DAD1E15" w14:textId="77777777">
        <w:tc>
          <w:tcPr>
            <w:tcW w:w="527" w:type="dxa"/>
            <w:tcBorders>
              <w:tl2br w:val="nil"/>
              <w:tr2bl w:val="nil"/>
            </w:tcBorders>
            <w:noWrap/>
            <w:tcMar>
              <w:top w:w="15" w:type="dxa"/>
              <w:left w:w="15" w:type="dxa"/>
              <w:right w:w="15" w:type="dxa"/>
            </w:tcMar>
            <w:vAlign w:val="center"/>
          </w:tcPr>
          <w:p w14:paraId="59C19377"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4</w:t>
            </w:r>
          </w:p>
        </w:tc>
        <w:tc>
          <w:tcPr>
            <w:tcW w:w="1148" w:type="dxa"/>
            <w:tcBorders>
              <w:tl2br w:val="nil"/>
              <w:tr2bl w:val="nil"/>
            </w:tcBorders>
            <w:noWrap/>
            <w:tcMar>
              <w:top w:w="15" w:type="dxa"/>
              <w:left w:w="15" w:type="dxa"/>
              <w:right w:w="15" w:type="dxa"/>
            </w:tcMar>
            <w:vAlign w:val="center"/>
          </w:tcPr>
          <w:p w14:paraId="72431F0F"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1058" w:type="dxa"/>
            <w:tcBorders>
              <w:tl2br w:val="nil"/>
              <w:tr2bl w:val="nil"/>
            </w:tcBorders>
            <w:noWrap/>
            <w:tcMar>
              <w:top w:w="15" w:type="dxa"/>
              <w:left w:w="15" w:type="dxa"/>
              <w:right w:w="15" w:type="dxa"/>
            </w:tcMar>
            <w:vAlign w:val="center"/>
          </w:tcPr>
          <w:p w14:paraId="140B7E29"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17F39A2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7.170</w:t>
            </w:r>
          </w:p>
        </w:tc>
        <w:tc>
          <w:tcPr>
            <w:tcW w:w="1713" w:type="dxa"/>
            <w:tcBorders>
              <w:tl2br w:val="nil"/>
              <w:tr2bl w:val="nil"/>
            </w:tcBorders>
            <w:noWrap/>
            <w:tcMar>
              <w:top w:w="15" w:type="dxa"/>
              <w:left w:w="15" w:type="dxa"/>
              <w:right w:w="15" w:type="dxa"/>
            </w:tcMar>
            <w:vAlign w:val="center"/>
          </w:tcPr>
          <w:p w14:paraId="776E7B6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2</w:t>
            </w:r>
            <w:r>
              <w:rPr>
                <w:rFonts w:hint="eastAsia"/>
                <w:b/>
                <w:bCs/>
                <w:color w:val="000000"/>
                <w:sz w:val="21"/>
                <w:szCs w:val="21"/>
                <w:u w:val="single"/>
                <w:lang w:bidi="ar"/>
              </w:rPr>
              <w:t>3</w:t>
            </w:r>
            <w:r>
              <w:rPr>
                <w:b/>
                <w:bCs/>
                <w:color w:val="000000"/>
                <w:sz w:val="21"/>
                <w:szCs w:val="21"/>
                <w:u w:val="single"/>
                <w:lang w:bidi="ar"/>
              </w:rPr>
              <w:t>082524</w:t>
            </w:r>
          </w:p>
        </w:tc>
        <w:tc>
          <w:tcPr>
            <w:tcW w:w="1347" w:type="dxa"/>
            <w:tcBorders>
              <w:tl2br w:val="nil"/>
              <w:tr2bl w:val="nil"/>
            </w:tcBorders>
            <w:noWrap/>
            <w:tcMar>
              <w:top w:w="15" w:type="dxa"/>
              <w:left w:w="15" w:type="dxa"/>
              <w:right w:w="15" w:type="dxa"/>
            </w:tcMar>
            <w:vAlign w:val="center"/>
          </w:tcPr>
          <w:p w14:paraId="6481DE96"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200</w:t>
            </w:r>
          </w:p>
        </w:tc>
        <w:tc>
          <w:tcPr>
            <w:tcW w:w="1036" w:type="dxa"/>
            <w:tcBorders>
              <w:tl2br w:val="nil"/>
              <w:tr2bl w:val="nil"/>
            </w:tcBorders>
            <w:noWrap/>
            <w:tcMar>
              <w:top w:w="15" w:type="dxa"/>
              <w:left w:w="15" w:type="dxa"/>
              <w:right w:w="15" w:type="dxa"/>
            </w:tcMar>
            <w:vAlign w:val="center"/>
          </w:tcPr>
          <w:p w14:paraId="6545002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3.58</w:t>
            </w:r>
          </w:p>
        </w:tc>
        <w:tc>
          <w:tcPr>
            <w:tcW w:w="851" w:type="dxa"/>
            <w:tcBorders>
              <w:tl2br w:val="nil"/>
              <w:tr2bl w:val="nil"/>
            </w:tcBorders>
            <w:noWrap/>
            <w:tcMar>
              <w:top w:w="15" w:type="dxa"/>
              <w:left w:w="15" w:type="dxa"/>
              <w:right w:w="15" w:type="dxa"/>
            </w:tcMar>
            <w:vAlign w:val="center"/>
          </w:tcPr>
          <w:p w14:paraId="23249677"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0567F714" w14:textId="77777777" w:rsidR="003E78AB" w:rsidRDefault="00010BF9">
      <w:pPr>
        <w:pStyle w:val="a4"/>
        <w:spacing w:before="120"/>
        <w:rPr>
          <w:b/>
          <w:bCs/>
          <w:color w:val="000000"/>
          <w:u w:val="single"/>
        </w:rPr>
      </w:pPr>
      <w:r>
        <w:rPr>
          <w:b/>
          <w:bCs/>
          <w:color w:val="000000"/>
          <w:u w:val="single"/>
        </w:rPr>
        <w:t>本项目</w:t>
      </w:r>
      <w:r>
        <w:rPr>
          <w:rFonts w:hint="eastAsia"/>
          <w:b/>
          <w:bCs/>
          <w:color w:val="000000"/>
          <w:u w:val="single"/>
        </w:rPr>
        <w:t>S</w:t>
      </w:r>
      <w:r>
        <w:rPr>
          <w:b/>
          <w:bCs/>
          <w:color w:val="000000"/>
          <w:u w:val="single"/>
        </w:rPr>
        <w:t>O</w:t>
      </w:r>
      <w:r>
        <w:rPr>
          <w:b/>
          <w:bCs/>
          <w:color w:val="000000"/>
          <w:u w:val="single"/>
          <w:vertAlign w:val="subscript"/>
        </w:rPr>
        <w:t>2</w:t>
      </w:r>
      <w:r>
        <w:rPr>
          <w:b/>
          <w:bCs/>
          <w:color w:val="000000"/>
          <w:u w:val="single"/>
        </w:rPr>
        <w:t>1</w:t>
      </w:r>
      <w:r>
        <w:rPr>
          <w:b/>
          <w:bCs/>
          <w:color w:val="000000"/>
          <w:u w:val="single"/>
        </w:rPr>
        <w:t>小时浓度贡献质量浓度预测结果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148"/>
        <w:gridCol w:w="1058"/>
        <w:gridCol w:w="1080"/>
        <w:gridCol w:w="1713"/>
        <w:gridCol w:w="1347"/>
        <w:gridCol w:w="1036"/>
        <w:gridCol w:w="851"/>
      </w:tblGrid>
      <w:tr w:rsidR="003E78AB" w14:paraId="205F9AE0" w14:textId="77777777">
        <w:trPr>
          <w:tblHeader/>
        </w:trPr>
        <w:tc>
          <w:tcPr>
            <w:tcW w:w="527" w:type="dxa"/>
            <w:tcBorders>
              <w:tl2br w:val="nil"/>
              <w:tr2bl w:val="nil"/>
            </w:tcBorders>
            <w:noWrap/>
            <w:tcMar>
              <w:top w:w="15" w:type="dxa"/>
              <w:left w:w="15" w:type="dxa"/>
              <w:right w:w="15" w:type="dxa"/>
            </w:tcMar>
            <w:vAlign w:val="center"/>
          </w:tcPr>
          <w:p w14:paraId="007E7FE1"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148" w:type="dxa"/>
            <w:tcBorders>
              <w:tl2br w:val="nil"/>
              <w:tr2bl w:val="nil"/>
            </w:tcBorders>
            <w:noWrap/>
            <w:tcMar>
              <w:top w:w="15" w:type="dxa"/>
              <w:left w:w="15" w:type="dxa"/>
              <w:right w:w="15" w:type="dxa"/>
            </w:tcMar>
            <w:vAlign w:val="center"/>
          </w:tcPr>
          <w:p w14:paraId="0FFC846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6570169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1058" w:type="dxa"/>
            <w:tcBorders>
              <w:tl2br w:val="nil"/>
              <w:tr2bl w:val="nil"/>
            </w:tcBorders>
            <w:noWrap/>
            <w:tcMar>
              <w:top w:w="15" w:type="dxa"/>
              <w:left w:w="15" w:type="dxa"/>
              <w:right w:w="15" w:type="dxa"/>
            </w:tcMar>
            <w:vAlign w:val="center"/>
          </w:tcPr>
          <w:p w14:paraId="181FACE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12382C3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1005638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39C8A75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61C9426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0106067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5F321BC1"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50B142FF" w14:textId="77777777">
        <w:tc>
          <w:tcPr>
            <w:tcW w:w="527" w:type="dxa"/>
            <w:tcBorders>
              <w:tl2br w:val="nil"/>
              <w:tr2bl w:val="nil"/>
            </w:tcBorders>
            <w:noWrap/>
            <w:tcMar>
              <w:top w:w="15" w:type="dxa"/>
              <w:left w:w="15" w:type="dxa"/>
              <w:right w:w="15" w:type="dxa"/>
            </w:tcMar>
            <w:vAlign w:val="center"/>
          </w:tcPr>
          <w:p w14:paraId="0EC54790"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148" w:type="dxa"/>
            <w:tcBorders>
              <w:tl2br w:val="nil"/>
              <w:tr2bl w:val="nil"/>
            </w:tcBorders>
            <w:noWrap/>
            <w:tcMar>
              <w:top w:w="15" w:type="dxa"/>
              <w:left w:w="15" w:type="dxa"/>
              <w:right w:w="15" w:type="dxa"/>
            </w:tcMar>
            <w:vAlign w:val="center"/>
          </w:tcPr>
          <w:p w14:paraId="41571E07" w14:textId="77777777" w:rsidR="003E78AB" w:rsidRDefault="00010BF9">
            <w:pPr>
              <w:pStyle w:val="aff6"/>
              <w:topLinePunct/>
              <w:rPr>
                <w:b/>
                <w:bCs/>
                <w:color w:val="000000"/>
                <w:u w:val="single"/>
              </w:rPr>
            </w:pPr>
            <w:r>
              <w:rPr>
                <w:b/>
                <w:bCs/>
                <w:u w:val="single"/>
              </w:rPr>
              <w:t>安居富民小区</w:t>
            </w:r>
          </w:p>
        </w:tc>
        <w:tc>
          <w:tcPr>
            <w:tcW w:w="1058" w:type="dxa"/>
            <w:tcBorders>
              <w:tl2br w:val="nil"/>
              <w:tr2bl w:val="nil"/>
            </w:tcBorders>
            <w:noWrap/>
            <w:tcMar>
              <w:top w:w="15" w:type="dxa"/>
              <w:left w:w="15" w:type="dxa"/>
              <w:right w:w="15" w:type="dxa"/>
            </w:tcMar>
            <w:vAlign w:val="center"/>
          </w:tcPr>
          <w:p w14:paraId="4627CDA8"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00097B1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1.060</w:t>
            </w:r>
          </w:p>
        </w:tc>
        <w:tc>
          <w:tcPr>
            <w:tcW w:w="1713" w:type="dxa"/>
            <w:tcBorders>
              <w:tl2br w:val="nil"/>
              <w:tr2bl w:val="nil"/>
            </w:tcBorders>
            <w:noWrap/>
            <w:tcMar>
              <w:top w:w="15" w:type="dxa"/>
              <w:left w:w="15" w:type="dxa"/>
              <w:right w:w="15" w:type="dxa"/>
            </w:tcMar>
            <w:vAlign w:val="center"/>
          </w:tcPr>
          <w:p w14:paraId="06C367F7" w14:textId="77777777" w:rsidR="003E78AB" w:rsidRDefault="00010BF9">
            <w:pPr>
              <w:spacing w:line="360" w:lineRule="exact"/>
              <w:ind w:firstLineChars="0" w:firstLine="0"/>
              <w:jc w:val="center"/>
              <w:textAlignment w:val="center"/>
              <w:rPr>
                <w:b/>
                <w:bCs/>
                <w:color w:val="000000"/>
                <w:sz w:val="21"/>
                <w:szCs w:val="21"/>
                <w:u w:val="single"/>
              </w:rPr>
            </w:pPr>
            <w:r>
              <w:rPr>
                <w:b/>
                <w:bCs/>
                <w:sz w:val="21"/>
                <w:szCs w:val="21"/>
                <w:u w:val="single"/>
              </w:rPr>
              <w:t>23071514</w:t>
            </w:r>
          </w:p>
        </w:tc>
        <w:tc>
          <w:tcPr>
            <w:tcW w:w="1347" w:type="dxa"/>
            <w:tcBorders>
              <w:tl2br w:val="nil"/>
              <w:tr2bl w:val="nil"/>
            </w:tcBorders>
            <w:noWrap/>
            <w:tcMar>
              <w:top w:w="15" w:type="dxa"/>
              <w:left w:w="15" w:type="dxa"/>
              <w:right w:w="15" w:type="dxa"/>
            </w:tcMar>
            <w:vAlign w:val="center"/>
          </w:tcPr>
          <w:p w14:paraId="11781CF7" w14:textId="77777777" w:rsidR="003E78AB" w:rsidRDefault="00010BF9">
            <w:pPr>
              <w:pStyle w:val="aff4"/>
              <w:rPr>
                <w:rFonts w:hint="default"/>
                <w:b/>
                <w:bCs/>
                <w:color w:val="000000"/>
                <w:szCs w:val="21"/>
                <w:u w:val="single"/>
              </w:rPr>
            </w:pPr>
            <w:r>
              <w:rPr>
                <w:rFonts w:hint="default"/>
                <w:b/>
                <w:bCs/>
                <w:color w:val="000000"/>
                <w:szCs w:val="21"/>
                <w:u w:val="single"/>
              </w:rPr>
              <w:t>500</w:t>
            </w:r>
          </w:p>
        </w:tc>
        <w:tc>
          <w:tcPr>
            <w:tcW w:w="1036" w:type="dxa"/>
            <w:tcBorders>
              <w:tl2br w:val="nil"/>
              <w:tr2bl w:val="nil"/>
            </w:tcBorders>
            <w:noWrap/>
            <w:tcMar>
              <w:top w:w="15" w:type="dxa"/>
              <w:left w:w="15" w:type="dxa"/>
              <w:right w:w="15" w:type="dxa"/>
            </w:tcMar>
            <w:vAlign w:val="center"/>
          </w:tcPr>
          <w:p w14:paraId="47FBF3A2"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0.21</w:t>
            </w:r>
          </w:p>
        </w:tc>
        <w:tc>
          <w:tcPr>
            <w:tcW w:w="851" w:type="dxa"/>
            <w:tcBorders>
              <w:tl2br w:val="nil"/>
              <w:tr2bl w:val="nil"/>
            </w:tcBorders>
            <w:noWrap/>
            <w:tcMar>
              <w:top w:w="15" w:type="dxa"/>
              <w:left w:w="15" w:type="dxa"/>
              <w:right w:w="15" w:type="dxa"/>
            </w:tcMar>
            <w:vAlign w:val="center"/>
          </w:tcPr>
          <w:p w14:paraId="27BE7593"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2C6E31A3" w14:textId="77777777">
        <w:tc>
          <w:tcPr>
            <w:tcW w:w="527" w:type="dxa"/>
            <w:tcBorders>
              <w:tl2br w:val="nil"/>
              <w:tr2bl w:val="nil"/>
            </w:tcBorders>
            <w:noWrap/>
            <w:tcMar>
              <w:top w:w="15" w:type="dxa"/>
              <w:left w:w="15" w:type="dxa"/>
              <w:right w:w="15" w:type="dxa"/>
            </w:tcMar>
            <w:vAlign w:val="center"/>
          </w:tcPr>
          <w:p w14:paraId="3B640C20"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148" w:type="dxa"/>
            <w:tcBorders>
              <w:tl2br w:val="nil"/>
              <w:tr2bl w:val="nil"/>
            </w:tcBorders>
            <w:noWrap/>
            <w:tcMar>
              <w:top w:w="15" w:type="dxa"/>
              <w:left w:w="15" w:type="dxa"/>
              <w:right w:w="15" w:type="dxa"/>
            </w:tcMar>
            <w:vAlign w:val="center"/>
          </w:tcPr>
          <w:p w14:paraId="0831F927" w14:textId="77777777" w:rsidR="003E78AB" w:rsidRDefault="00010BF9">
            <w:pPr>
              <w:pStyle w:val="aff6"/>
              <w:topLinePunct/>
              <w:rPr>
                <w:b/>
                <w:bCs/>
                <w:color w:val="000000"/>
                <w:u w:val="single"/>
              </w:rPr>
            </w:pPr>
            <w:r>
              <w:rPr>
                <w:b/>
                <w:bCs/>
                <w:u w:val="single"/>
              </w:rPr>
              <w:t>项目区上风向</w:t>
            </w:r>
          </w:p>
        </w:tc>
        <w:tc>
          <w:tcPr>
            <w:tcW w:w="1058" w:type="dxa"/>
            <w:tcBorders>
              <w:tl2br w:val="nil"/>
              <w:tr2bl w:val="nil"/>
            </w:tcBorders>
            <w:noWrap/>
            <w:tcMar>
              <w:top w:w="15" w:type="dxa"/>
              <w:left w:w="15" w:type="dxa"/>
              <w:right w:w="15" w:type="dxa"/>
            </w:tcMar>
            <w:vAlign w:val="center"/>
          </w:tcPr>
          <w:p w14:paraId="002FF243"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4A6DA472"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0.611</w:t>
            </w:r>
          </w:p>
        </w:tc>
        <w:tc>
          <w:tcPr>
            <w:tcW w:w="1713" w:type="dxa"/>
            <w:tcBorders>
              <w:tl2br w:val="nil"/>
              <w:tr2bl w:val="nil"/>
            </w:tcBorders>
            <w:noWrap/>
            <w:tcMar>
              <w:top w:w="15" w:type="dxa"/>
              <w:left w:w="15" w:type="dxa"/>
              <w:right w:w="15" w:type="dxa"/>
            </w:tcMar>
            <w:vAlign w:val="center"/>
          </w:tcPr>
          <w:p w14:paraId="6B4A746B" w14:textId="77777777" w:rsidR="003E78AB" w:rsidRDefault="00010BF9">
            <w:pPr>
              <w:spacing w:line="360" w:lineRule="exact"/>
              <w:ind w:firstLineChars="0" w:firstLine="0"/>
              <w:jc w:val="center"/>
              <w:textAlignment w:val="center"/>
              <w:rPr>
                <w:b/>
                <w:bCs/>
                <w:color w:val="000000"/>
                <w:sz w:val="21"/>
                <w:szCs w:val="21"/>
                <w:u w:val="single"/>
              </w:rPr>
            </w:pPr>
            <w:r>
              <w:rPr>
                <w:b/>
                <w:bCs/>
                <w:sz w:val="21"/>
                <w:szCs w:val="21"/>
                <w:u w:val="single"/>
              </w:rPr>
              <w:t>23061009</w:t>
            </w:r>
          </w:p>
        </w:tc>
        <w:tc>
          <w:tcPr>
            <w:tcW w:w="1347" w:type="dxa"/>
            <w:tcBorders>
              <w:tl2br w:val="nil"/>
              <w:tr2bl w:val="nil"/>
            </w:tcBorders>
            <w:noWrap/>
            <w:tcMar>
              <w:top w:w="15" w:type="dxa"/>
              <w:left w:w="15" w:type="dxa"/>
              <w:right w:w="15" w:type="dxa"/>
            </w:tcMar>
            <w:vAlign w:val="center"/>
          </w:tcPr>
          <w:p w14:paraId="22610E48"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w:t>
            </w:r>
          </w:p>
        </w:tc>
        <w:tc>
          <w:tcPr>
            <w:tcW w:w="1036" w:type="dxa"/>
            <w:tcBorders>
              <w:tl2br w:val="nil"/>
              <w:tr2bl w:val="nil"/>
            </w:tcBorders>
            <w:noWrap/>
            <w:tcMar>
              <w:top w:w="15" w:type="dxa"/>
              <w:left w:w="15" w:type="dxa"/>
              <w:right w:w="15" w:type="dxa"/>
            </w:tcMar>
            <w:vAlign w:val="center"/>
          </w:tcPr>
          <w:p w14:paraId="006D98BB"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0.12</w:t>
            </w:r>
          </w:p>
        </w:tc>
        <w:tc>
          <w:tcPr>
            <w:tcW w:w="851" w:type="dxa"/>
            <w:tcBorders>
              <w:tl2br w:val="nil"/>
              <w:tr2bl w:val="nil"/>
            </w:tcBorders>
            <w:noWrap/>
            <w:tcMar>
              <w:top w:w="15" w:type="dxa"/>
              <w:left w:w="15" w:type="dxa"/>
              <w:right w:w="15" w:type="dxa"/>
            </w:tcMar>
            <w:vAlign w:val="center"/>
          </w:tcPr>
          <w:p w14:paraId="0788F6BC"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3057A20E" w14:textId="77777777">
        <w:tc>
          <w:tcPr>
            <w:tcW w:w="527" w:type="dxa"/>
            <w:tcBorders>
              <w:tl2br w:val="nil"/>
              <w:tr2bl w:val="nil"/>
            </w:tcBorders>
            <w:noWrap/>
            <w:tcMar>
              <w:top w:w="15" w:type="dxa"/>
              <w:left w:w="15" w:type="dxa"/>
              <w:right w:w="15" w:type="dxa"/>
            </w:tcMar>
            <w:vAlign w:val="center"/>
          </w:tcPr>
          <w:p w14:paraId="1A73070E"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148" w:type="dxa"/>
            <w:tcBorders>
              <w:tl2br w:val="nil"/>
              <w:tr2bl w:val="nil"/>
            </w:tcBorders>
            <w:noWrap/>
            <w:tcMar>
              <w:top w:w="15" w:type="dxa"/>
              <w:left w:w="15" w:type="dxa"/>
              <w:right w:w="15" w:type="dxa"/>
            </w:tcMar>
            <w:vAlign w:val="center"/>
          </w:tcPr>
          <w:p w14:paraId="49E27532" w14:textId="77777777" w:rsidR="003E78AB" w:rsidRDefault="00010BF9">
            <w:pPr>
              <w:pStyle w:val="aff6"/>
              <w:topLinePunct/>
              <w:rPr>
                <w:b/>
                <w:bCs/>
                <w:color w:val="000000"/>
                <w:u w:val="single"/>
              </w:rPr>
            </w:pPr>
            <w:r>
              <w:rPr>
                <w:b/>
                <w:bCs/>
                <w:u w:val="single"/>
              </w:rPr>
              <w:t>项目区下风向</w:t>
            </w:r>
          </w:p>
        </w:tc>
        <w:tc>
          <w:tcPr>
            <w:tcW w:w="1058" w:type="dxa"/>
            <w:tcBorders>
              <w:tl2br w:val="nil"/>
              <w:tr2bl w:val="nil"/>
            </w:tcBorders>
            <w:noWrap/>
            <w:tcMar>
              <w:top w:w="15" w:type="dxa"/>
              <w:left w:w="15" w:type="dxa"/>
              <w:right w:w="15" w:type="dxa"/>
            </w:tcMar>
            <w:vAlign w:val="center"/>
          </w:tcPr>
          <w:p w14:paraId="0FB6DDD7"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756934A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0.845</w:t>
            </w:r>
          </w:p>
        </w:tc>
        <w:tc>
          <w:tcPr>
            <w:tcW w:w="1713" w:type="dxa"/>
            <w:tcBorders>
              <w:tl2br w:val="nil"/>
              <w:tr2bl w:val="nil"/>
            </w:tcBorders>
            <w:noWrap/>
            <w:tcMar>
              <w:top w:w="15" w:type="dxa"/>
              <w:left w:w="15" w:type="dxa"/>
              <w:right w:w="15" w:type="dxa"/>
            </w:tcMar>
            <w:vAlign w:val="center"/>
          </w:tcPr>
          <w:p w14:paraId="6015E9AB" w14:textId="77777777" w:rsidR="003E78AB" w:rsidRDefault="00010BF9">
            <w:pPr>
              <w:spacing w:line="360" w:lineRule="exact"/>
              <w:ind w:firstLineChars="0" w:firstLine="0"/>
              <w:jc w:val="center"/>
              <w:textAlignment w:val="center"/>
              <w:rPr>
                <w:b/>
                <w:bCs/>
                <w:color w:val="000000"/>
                <w:sz w:val="21"/>
                <w:szCs w:val="21"/>
                <w:u w:val="single"/>
              </w:rPr>
            </w:pPr>
            <w:r>
              <w:rPr>
                <w:b/>
                <w:bCs/>
                <w:sz w:val="21"/>
                <w:szCs w:val="21"/>
                <w:u w:val="single"/>
              </w:rPr>
              <w:t>23080317</w:t>
            </w:r>
          </w:p>
        </w:tc>
        <w:tc>
          <w:tcPr>
            <w:tcW w:w="1347" w:type="dxa"/>
            <w:tcBorders>
              <w:tl2br w:val="nil"/>
              <w:tr2bl w:val="nil"/>
            </w:tcBorders>
            <w:noWrap/>
            <w:tcMar>
              <w:top w:w="15" w:type="dxa"/>
              <w:left w:w="15" w:type="dxa"/>
              <w:right w:w="15" w:type="dxa"/>
            </w:tcMar>
            <w:vAlign w:val="center"/>
          </w:tcPr>
          <w:p w14:paraId="43B240D4"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w:t>
            </w:r>
          </w:p>
        </w:tc>
        <w:tc>
          <w:tcPr>
            <w:tcW w:w="1036" w:type="dxa"/>
            <w:tcBorders>
              <w:tl2br w:val="nil"/>
              <w:tr2bl w:val="nil"/>
            </w:tcBorders>
            <w:noWrap/>
            <w:tcMar>
              <w:top w:w="15" w:type="dxa"/>
              <w:left w:w="15" w:type="dxa"/>
              <w:right w:w="15" w:type="dxa"/>
            </w:tcMar>
            <w:vAlign w:val="center"/>
          </w:tcPr>
          <w:p w14:paraId="286DDA96"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0.17</w:t>
            </w:r>
          </w:p>
        </w:tc>
        <w:tc>
          <w:tcPr>
            <w:tcW w:w="851" w:type="dxa"/>
            <w:tcBorders>
              <w:tl2br w:val="nil"/>
              <w:tr2bl w:val="nil"/>
            </w:tcBorders>
            <w:noWrap/>
            <w:tcMar>
              <w:top w:w="15" w:type="dxa"/>
              <w:left w:w="15" w:type="dxa"/>
              <w:right w:w="15" w:type="dxa"/>
            </w:tcMar>
            <w:vAlign w:val="center"/>
          </w:tcPr>
          <w:p w14:paraId="1967709B"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29E93EEC" w14:textId="77777777">
        <w:tc>
          <w:tcPr>
            <w:tcW w:w="527" w:type="dxa"/>
            <w:tcBorders>
              <w:tl2br w:val="nil"/>
              <w:tr2bl w:val="nil"/>
            </w:tcBorders>
            <w:noWrap/>
            <w:tcMar>
              <w:top w:w="15" w:type="dxa"/>
              <w:left w:w="15" w:type="dxa"/>
              <w:right w:w="15" w:type="dxa"/>
            </w:tcMar>
            <w:vAlign w:val="center"/>
          </w:tcPr>
          <w:p w14:paraId="2CF0D252"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4</w:t>
            </w:r>
          </w:p>
        </w:tc>
        <w:tc>
          <w:tcPr>
            <w:tcW w:w="1148" w:type="dxa"/>
            <w:tcBorders>
              <w:tl2br w:val="nil"/>
              <w:tr2bl w:val="nil"/>
            </w:tcBorders>
            <w:noWrap/>
            <w:tcMar>
              <w:top w:w="15" w:type="dxa"/>
              <w:left w:w="15" w:type="dxa"/>
              <w:right w:w="15" w:type="dxa"/>
            </w:tcMar>
            <w:vAlign w:val="center"/>
          </w:tcPr>
          <w:p w14:paraId="2DC1687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1058" w:type="dxa"/>
            <w:tcBorders>
              <w:tl2br w:val="nil"/>
              <w:tr2bl w:val="nil"/>
            </w:tcBorders>
            <w:noWrap/>
            <w:tcMar>
              <w:top w:w="15" w:type="dxa"/>
              <w:left w:w="15" w:type="dxa"/>
              <w:right w:w="15" w:type="dxa"/>
            </w:tcMar>
            <w:vAlign w:val="center"/>
          </w:tcPr>
          <w:p w14:paraId="6FD13415"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47C7F2D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8.700</w:t>
            </w:r>
          </w:p>
        </w:tc>
        <w:tc>
          <w:tcPr>
            <w:tcW w:w="1713" w:type="dxa"/>
            <w:tcBorders>
              <w:tl2br w:val="nil"/>
              <w:tr2bl w:val="nil"/>
            </w:tcBorders>
            <w:noWrap/>
            <w:tcMar>
              <w:top w:w="15" w:type="dxa"/>
              <w:left w:w="15" w:type="dxa"/>
              <w:right w:w="15" w:type="dxa"/>
            </w:tcMar>
            <w:vAlign w:val="center"/>
          </w:tcPr>
          <w:p w14:paraId="5CBB89C1" w14:textId="77777777" w:rsidR="003E78AB" w:rsidRDefault="00010BF9">
            <w:pPr>
              <w:spacing w:line="360" w:lineRule="exact"/>
              <w:ind w:firstLineChars="0" w:firstLine="0"/>
              <w:jc w:val="center"/>
              <w:rPr>
                <w:b/>
                <w:bCs/>
                <w:color w:val="000000"/>
                <w:sz w:val="21"/>
                <w:szCs w:val="21"/>
                <w:u w:val="single"/>
              </w:rPr>
            </w:pPr>
            <w:r>
              <w:rPr>
                <w:b/>
                <w:bCs/>
                <w:sz w:val="21"/>
                <w:szCs w:val="21"/>
                <w:u w:val="single"/>
              </w:rPr>
              <w:t>23091210</w:t>
            </w:r>
          </w:p>
        </w:tc>
        <w:tc>
          <w:tcPr>
            <w:tcW w:w="1347" w:type="dxa"/>
            <w:tcBorders>
              <w:tl2br w:val="nil"/>
              <w:tr2bl w:val="nil"/>
            </w:tcBorders>
            <w:noWrap/>
            <w:tcMar>
              <w:top w:w="15" w:type="dxa"/>
              <w:left w:w="15" w:type="dxa"/>
              <w:right w:w="15" w:type="dxa"/>
            </w:tcMar>
            <w:vAlign w:val="center"/>
          </w:tcPr>
          <w:p w14:paraId="21A089AE"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w:t>
            </w:r>
          </w:p>
        </w:tc>
        <w:tc>
          <w:tcPr>
            <w:tcW w:w="1036" w:type="dxa"/>
            <w:tcBorders>
              <w:tl2br w:val="nil"/>
              <w:tr2bl w:val="nil"/>
            </w:tcBorders>
            <w:noWrap/>
            <w:tcMar>
              <w:top w:w="15" w:type="dxa"/>
              <w:left w:w="15" w:type="dxa"/>
              <w:right w:w="15" w:type="dxa"/>
            </w:tcMar>
            <w:vAlign w:val="center"/>
          </w:tcPr>
          <w:p w14:paraId="26CEA683"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1.74</w:t>
            </w:r>
          </w:p>
        </w:tc>
        <w:tc>
          <w:tcPr>
            <w:tcW w:w="851" w:type="dxa"/>
            <w:tcBorders>
              <w:tl2br w:val="nil"/>
              <w:tr2bl w:val="nil"/>
            </w:tcBorders>
            <w:noWrap/>
            <w:tcMar>
              <w:top w:w="15" w:type="dxa"/>
              <w:left w:w="15" w:type="dxa"/>
              <w:right w:w="15" w:type="dxa"/>
            </w:tcMar>
            <w:vAlign w:val="center"/>
          </w:tcPr>
          <w:p w14:paraId="60D6C24F"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741F9EA0" w14:textId="77777777" w:rsidR="003E78AB" w:rsidRDefault="00010BF9">
      <w:pPr>
        <w:pStyle w:val="a4"/>
        <w:spacing w:before="120"/>
        <w:rPr>
          <w:b/>
          <w:bCs/>
          <w:color w:val="000000"/>
          <w:u w:val="single"/>
        </w:rPr>
      </w:pPr>
      <w:r>
        <w:rPr>
          <w:b/>
          <w:bCs/>
          <w:color w:val="000000"/>
          <w:u w:val="single"/>
        </w:rPr>
        <w:t>本项目</w:t>
      </w:r>
      <w:r>
        <w:rPr>
          <w:b/>
          <w:bCs/>
          <w:color w:val="000000"/>
          <w:u w:val="single"/>
        </w:rPr>
        <w:t>TVOC</w:t>
      </w:r>
      <w:r>
        <w:rPr>
          <w:b/>
          <w:bCs/>
          <w:color w:val="000000"/>
          <w:u w:val="single"/>
        </w:rPr>
        <w:t>1</w:t>
      </w:r>
      <w:r>
        <w:rPr>
          <w:b/>
          <w:bCs/>
          <w:color w:val="000000"/>
          <w:u w:val="single"/>
        </w:rPr>
        <w:t>小时浓度贡献质量浓度预测结果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148"/>
        <w:gridCol w:w="1058"/>
        <w:gridCol w:w="1080"/>
        <w:gridCol w:w="1713"/>
        <w:gridCol w:w="1347"/>
        <w:gridCol w:w="1036"/>
        <w:gridCol w:w="851"/>
      </w:tblGrid>
      <w:tr w:rsidR="003E78AB" w14:paraId="0186E395" w14:textId="77777777">
        <w:trPr>
          <w:trHeight w:val="90"/>
          <w:tblHeader/>
        </w:trPr>
        <w:tc>
          <w:tcPr>
            <w:tcW w:w="527" w:type="dxa"/>
            <w:tcBorders>
              <w:tl2br w:val="nil"/>
              <w:tr2bl w:val="nil"/>
            </w:tcBorders>
            <w:noWrap/>
            <w:tcMar>
              <w:top w:w="15" w:type="dxa"/>
              <w:left w:w="15" w:type="dxa"/>
              <w:right w:w="15" w:type="dxa"/>
            </w:tcMar>
            <w:vAlign w:val="center"/>
          </w:tcPr>
          <w:p w14:paraId="7C15577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148" w:type="dxa"/>
            <w:tcBorders>
              <w:tl2br w:val="nil"/>
              <w:tr2bl w:val="nil"/>
            </w:tcBorders>
            <w:noWrap/>
            <w:tcMar>
              <w:top w:w="15" w:type="dxa"/>
              <w:left w:w="15" w:type="dxa"/>
              <w:right w:w="15" w:type="dxa"/>
            </w:tcMar>
            <w:vAlign w:val="center"/>
          </w:tcPr>
          <w:p w14:paraId="59CA178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38F543A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1058" w:type="dxa"/>
            <w:tcBorders>
              <w:tl2br w:val="nil"/>
              <w:tr2bl w:val="nil"/>
            </w:tcBorders>
            <w:noWrap/>
            <w:tcMar>
              <w:top w:w="15" w:type="dxa"/>
              <w:left w:w="15" w:type="dxa"/>
              <w:right w:w="15" w:type="dxa"/>
            </w:tcMar>
            <w:vAlign w:val="center"/>
          </w:tcPr>
          <w:p w14:paraId="34320F1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7F7933D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67C62361"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374838A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68B20E2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11D68DF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6F1130B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624698B1" w14:textId="77777777">
        <w:tc>
          <w:tcPr>
            <w:tcW w:w="527" w:type="dxa"/>
            <w:tcBorders>
              <w:tl2br w:val="nil"/>
              <w:tr2bl w:val="nil"/>
            </w:tcBorders>
            <w:noWrap/>
            <w:tcMar>
              <w:top w:w="15" w:type="dxa"/>
              <w:left w:w="15" w:type="dxa"/>
              <w:right w:w="15" w:type="dxa"/>
            </w:tcMar>
            <w:vAlign w:val="center"/>
          </w:tcPr>
          <w:p w14:paraId="2ED56B6D"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148" w:type="dxa"/>
            <w:tcBorders>
              <w:tl2br w:val="nil"/>
              <w:tr2bl w:val="nil"/>
            </w:tcBorders>
            <w:noWrap/>
            <w:tcMar>
              <w:top w:w="15" w:type="dxa"/>
              <w:left w:w="15" w:type="dxa"/>
              <w:right w:w="15" w:type="dxa"/>
            </w:tcMar>
            <w:vAlign w:val="center"/>
          </w:tcPr>
          <w:p w14:paraId="4C86F317" w14:textId="77777777" w:rsidR="003E78AB" w:rsidRDefault="00010BF9">
            <w:pPr>
              <w:pStyle w:val="aff6"/>
              <w:topLinePunct/>
              <w:rPr>
                <w:b/>
                <w:bCs/>
                <w:color w:val="000000"/>
                <w:u w:val="single"/>
              </w:rPr>
            </w:pPr>
            <w:r>
              <w:rPr>
                <w:b/>
                <w:bCs/>
                <w:u w:val="single"/>
              </w:rPr>
              <w:t>安居富民小区</w:t>
            </w:r>
          </w:p>
        </w:tc>
        <w:tc>
          <w:tcPr>
            <w:tcW w:w="1058" w:type="dxa"/>
            <w:tcBorders>
              <w:tl2br w:val="nil"/>
              <w:tr2bl w:val="nil"/>
            </w:tcBorders>
            <w:noWrap/>
            <w:tcMar>
              <w:top w:w="15" w:type="dxa"/>
              <w:left w:w="15" w:type="dxa"/>
              <w:right w:w="15" w:type="dxa"/>
            </w:tcMar>
            <w:vAlign w:val="center"/>
          </w:tcPr>
          <w:p w14:paraId="70288B10"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5E6BD4E7" w14:textId="77777777" w:rsidR="003E78AB" w:rsidRDefault="00010BF9">
            <w:pPr>
              <w:pStyle w:val="aff4"/>
              <w:rPr>
                <w:rFonts w:hint="default"/>
                <w:b/>
                <w:bCs/>
                <w:color w:val="000000"/>
                <w:szCs w:val="21"/>
                <w:u w:val="single"/>
              </w:rPr>
            </w:pPr>
            <w:r>
              <w:rPr>
                <w:b/>
                <w:bCs/>
                <w:u w:val="single"/>
              </w:rPr>
              <w:t>0.3648</w:t>
            </w:r>
          </w:p>
        </w:tc>
        <w:tc>
          <w:tcPr>
            <w:tcW w:w="1713" w:type="dxa"/>
            <w:tcBorders>
              <w:tl2br w:val="nil"/>
              <w:tr2bl w:val="nil"/>
            </w:tcBorders>
            <w:noWrap/>
            <w:tcMar>
              <w:top w:w="15" w:type="dxa"/>
              <w:left w:w="15" w:type="dxa"/>
              <w:right w:w="15" w:type="dxa"/>
            </w:tcMar>
            <w:vAlign w:val="center"/>
          </w:tcPr>
          <w:p w14:paraId="69D397EE" w14:textId="77777777" w:rsidR="003E78AB" w:rsidRDefault="00010BF9">
            <w:pPr>
              <w:pStyle w:val="aff4"/>
              <w:rPr>
                <w:rFonts w:hint="default"/>
                <w:b/>
                <w:bCs/>
                <w:color w:val="000000"/>
                <w:szCs w:val="21"/>
                <w:u w:val="single"/>
              </w:rPr>
            </w:pPr>
            <w:r>
              <w:rPr>
                <w:b/>
                <w:bCs/>
                <w:u w:val="single"/>
              </w:rPr>
              <w:t>23051506</w:t>
            </w:r>
          </w:p>
        </w:tc>
        <w:tc>
          <w:tcPr>
            <w:tcW w:w="1347" w:type="dxa"/>
            <w:tcBorders>
              <w:tl2br w:val="nil"/>
              <w:tr2bl w:val="nil"/>
            </w:tcBorders>
            <w:noWrap/>
            <w:tcMar>
              <w:top w:w="15" w:type="dxa"/>
              <w:left w:w="15" w:type="dxa"/>
              <w:right w:w="15" w:type="dxa"/>
            </w:tcMar>
            <w:vAlign w:val="center"/>
          </w:tcPr>
          <w:p w14:paraId="75786285" w14:textId="77777777" w:rsidR="003E78AB" w:rsidRDefault="00010BF9">
            <w:pPr>
              <w:pStyle w:val="aff4"/>
              <w:rPr>
                <w:rFonts w:hint="default"/>
                <w:b/>
                <w:bCs/>
                <w:color w:val="000000"/>
                <w:szCs w:val="21"/>
                <w:u w:val="single"/>
              </w:rPr>
            </w:pPr>
            <w:r>
              <w:rPr>
                <w:b/>
                <w:bCs/>
                <w:u w:val="single"/>
              </w:rPr>
              <w:t>1200</w:t>
            </w:r>
          </w:p>
        </w:tc>
        <w:tc>
          <w:tcPr>
            <w:tcW w:w="1036" w:type="dxa"/>
            <w:tcBorders>
              <w:tl2br w:val="nil"/>
              <w:tr2bl w:val="nil"/>
            </w:tcBorders>
            <w:noWrap/>
            <w:tcMar>
              <w:top w:w="15" w:type="dxa"/>
              <w:left w:w="15" w:type="dxa"/>
              <w:right w:w="15" w:type="dxa"/>
            </w:tcMar>
            <w:vAlign w:val="center"/>
          </w:tcPr>
          <w:p w14:paraId="26687916" w14:textId="77777777" w:rsidR="003E78AB" w:rsidRDefault="00010BF9">
            <w:pPr>
              <w:pStyle w:val="aff4"/>
              <w:rPr>
                <w:rFonts w:hint="default"/>
                <w:b/>
                <w:bCs/>
                <w:color w:val="000000"/>
                <w:kern w:val="2"/>
                <w:szCs w:val="21"/>
                <w:u w:val="single"/>
              </w:rPr>
            </w:pPr>
            <w:r>
              <w:rPr>
                <w:b/>
                <w:bCs/>
                <w:u w:val="single"/>
              </w:rPr>
              <w:t>0.03</w:t>
            </w:r>
          </w:p>
        </w:tc>
        <w:tc>
          <w:tcPr>
            <w:tcW w:w="851" w:type="dxa"/>
            <w:tcBorders>
              <w:tl2br w:val="nil"/>
              <w:tr2bl w:val="nil"/>
            </w:tcBorders>
            <w:noWrap/>
            <w:tcMar>
              <w:top w:w="15" w:type="dxa"/>
              <w:left w:w="15" w:type="dxa"/>
              <w:right w:w="15" w:type="dxa"/>
            </w:tcMar>
            <w:vAlign w:val="center"/>
          </w:tcPr>
          <w:p w14:paraId="10FA02B5"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5C0383A8" w14:textId="77777777">
        <w:tc>
          <w:tcPr>
            <w:tcW w:w="527" w:type="dxa"/>
            <w:tcBorders>
              <w:tl2br w:val="nil"/>
              <w:tr2bl w:val="nil"/>
            </w:tcBorders>
            <w:noWrap/>
            <w:tcMar>
              <w:top w:w="15" w:type="dxa"/>
              <w:left w:w="15" w:type="dxa"/>
              <w:right w:w="15" w:type="dxa"/>
            </w:tcMar>
            <w:vAlign w:val="center"/>
          </w:tcPr>
          <w:p w14:paraId="495CAE51"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148" w:type="dxa"/>
            <w:tcBorders>
              <w:tl2br w:val="nil"/>
              <w:tr2bl w:val="nil"/>
            </w:tcBorders>
            <w:noWrap/>
            <w:tcMar>
              <w:top w:w="15" w:type="dxa"/>
              <w:left w:w="15" w:type="dxa"/>
              <w:right w:w="15" w:type="dxa"/>
            </w:tcMar>
            <w:vAlign w:val="center"/>
          </w:tcPr>
          <w:p w14:paraId="03984879" w14:textId="77777777" w:rsidR="003E78AB" w:rsidRDefault="00010BF9">
            <w:pPr>
              <w:pStyle w:val="aff6"/>
              <w:topLinePunct/>
              <w:rPr>
                <w:b/>
                <w:bCs/>
                <w:color w:val="000000"/>
                <w:u w:val="single"/>
              </w:rPr>
            </w:pPr>
            <w:r>
              <w:rPr>
                <w:b/>
                <w:bCs/>
                <w:u w:val="single"/>
              </w:rPr>
              <w:t>项目区上风向</w:t>
            </w:r>
          </w:p>
        </w:tc>
        <w:tc>
          <w:tcPr>
            <w:tcW w:w="1058" w:type="dxa"/>
            <w:tcBorders>
              <w:tl2br w:val="nil"/>
              <w:tr2bl w:val="nil"/>
            </w:tcBorders>
            <w:noWrap/>
            <w:tcMar>
              <w:top w:w="15" w:type="dxa"/>
              <w:left w:w="15" w:type="dxa"/>
              <w:right w:w="15" w:type="dxa"/>
            </w:tcMar>
            <w:vAlign w:val="center"/>
          </w:tcPr>
          <w:p w14:paraId="042104C8"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01C11054" w14:textId="77777777" w:rsidR="003E78AB" w:rsidRDefault="00010BF9">
            <w:pPr>
              <w:pStyle w:val="aff4"/>
              <w:rPr>
                <w:rFonts w:hint="default"/>
                <w:b/>
                <w:bCs/>
                <w:color w:val="000000"/>
                <w:szCs w:val="21"/>
                <w:u w:val="single"/>
              </w:rPr>
            </w:pPr>
            <w:r>
              <w:rPr>
                <w:b/>
                <w:bCs/>
                <w:u w:val="single"/>
              </w:rPr>
              <w:t>0.4863</w:t>
            </w:r>
          </w:p>
        </w:tc>
        <w:tc>
          <w:tcPr>
            <w:tcW w:w="1713" w:type="dxa"/>
            <w:tcBorders>
              <w:tl2br w:val="nil"/>
              <w:tr2bl w:val="nil"/>
            </w:tcBorders>
            <w:noWrap/>
            <w:tcMar>
              <w:top w:w="15" w:type="dxa"/>
              <w:left w:w="15" w:type="dxa"/>
              <w:right w:w="15" w:type="dxa"/>
            </w:tcMar>
            <w:vAlign w:val="center"/>
          </w:tcPr>
          <w:p w14:paraId="669C054F" w14:textId="77777777" w:rsidR="003E78AB" w:rsidRDefault="00010BF9">
            <w:pPr>
              <w:pStyle w:val="aff4"/>
              <w:rPr>
                <w:rFonts w:hint="default"/>
                <w:b/>
                <w:bCs/>
                <w:color w:val="000000"/>
                <w:szCs w:val="21"/>
                <w:u w:val="single"/>
              </w:rPr>
            </w:pPr>
            <w:r>
              <w:rPr>
                <w:b/>
                <w:bCs/>
                <w:u w:val="single"/>
              </w:rPr>
              <w:t>23050922</w:t>
            </w:r>
          </w:p>
        </w:tc>
        <w:tc>
          <w:tcPr>
            <w:tcW w:w="1347" w:type="dxa"/>
            <w:tcBorders>
              <w:tl2br w:val="nil"/>
              <w:tr2bl w:val="nil"/>
            </w:tcBorders>
            <w:noWrap/>
            <w:tcMar>
              <w:top w:w="15" w:type="dxa"/>
              <w:left w:w="15" w:type="dxa"/>
              <w:right w:w="15" w:type="dxa"/>
            </w:tcMar>
            <w:vAlign w:val="center"/>
          </w:tcPr>
          <w:p w14:paraId="0A849AA5" w14:textId="77777777" w:rsidR="003E78AB" w:rsidRDefault="00010BF9">
            <w:pPr>
              <w:pStyle w:val="aff4"/>
              <w:rPr>
                <w:rFonts w:hint="default"/>
                <w:b/>
                <w:bCs/>
                <w:color w:val="000000"/>
                <w:szCs w:val="21"/>
                <w:u w:val="single"/>
              </w:rPr>
            </w:pPr>
            <w:r>
              <w:rPr>
                <w:b/>
                <w:bCs/>
                <w:u w:val="single"/>
              </w:rPr>
              <w:t>1200</w:t>
            </w:r>
          </w:p>
        </w:tc>
        <w:tc>
          <w:tcPr>
            <w:tcW w:w="1036" w:type="dxa"/>
            <w:tcBorders>
              <w:tl2br w:val="nil"/>
              <w:tr2bl w:val="nil"/>
            </w:tcBorders>
            <w:noWrap/>
            <w:tcMar>
              <w:top w:w="15" w:type="dxa"/>
              <w:left w:w="15" w:type="dxa"/>
              <w:right w:w="15" w:type="dxa"/>
            </w:tcMar>
            <w:vAlign w:val="center"/>
          </w:tcPr>
          <w:p w14:paraId="1C2D687C" w14:textId="77777777" w:rsidR="003E78AB" w:rsidRDefault="00010BF9">
            <w:pPr>
              <w:pStyle w:val="aff4"/>
              <w:rPr>
                <w:rFonts w:hint="default"/>
                <w:b/>
                <w:bCs/>
                <w:color w:val="000000"/>
                <w:kern w:val="2"/>
                <w:szCs w:val="21"/>
                <w:u w:val="single"/>
              </w:rPr>
            </w:pPr>
            <w:r>
              <w:rPr>
                <w:b/>
                <w:bCs/>
                <w:u w:val="single"/>
              </w:rPr>
              <w:t>0.04</w:t>
            </w:r>
          </w:p>
        </w:tc>
        <w:tc>
          <w:tcPr>
            <w:tcW w:w="851" w:type="dxa"/>
            <w:tcBorders>
              <w:tl2br w:val="nil"/>
              <w:tr2bl w:val="nil"/>
            </w:tcBorders>
            <w:noWrap/>
            <w:tcMar>
              <w:top w:w="15" w:type="dxa"/>
              <w:left w:w="15" w:type="dxa"/>
              <w:right w:w="15" w:type="dxa"/>
            </w:tcMar>
            <w:vAlign w:val="center"/>
          </w:tcPr>
          <w:p w14:paraId="150E2DE6"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79478E34" w14:textId="77777777">
        <w:tc>
          <w:tcPr>
            <w:tcW w:w="527" w:type="dxa"/>
            <w:tcBorders>
              <w:tl2br w:val="nil"/>
              <w:tr2bl w:val="nil"/>
            </w:tcBorders>
            <w:noWrap/>
            <w:tcMar>
              <w:top w:w="15" w:type="dxa"/>
              <w:left w:w="15" w:type="dxa"/>
              <w:right w:w="15" w:type="dxa"/>
            </w:tcMar>
            <w:vAlign w:val="center"/>
          </w:tcPr>
          <w:p w14:paraId="0DDE993A"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148" w:type="dxa"/>
            <w:tcBorders>
              <w:tl2br w:val="nil"/>
              <w:tr2bl w:val="nil"/>
            </w:tcBorders>
            <w:noWrap/>
            <w:tcMar>
              <w:top w:w="15" w:type="dxa"/>
              <w:left w:w="15" w:type="dxa"/>
              <w:right w:w="15" w:type="dxa"/>
            </w:tcMar>
            <w:vAlign w:val="center"/>
          </w:tcPr>
          <w:p w14:paraId="2FA90DB4" w14:textId="77777777" w:rsidR="003E78AB" w:rsidRDefault="00010BF9">
            <w:pPr>
              <w:pStyle w:val="aff6"/>
              <w:topLinePunct/>
              <w:rPr>
                <w:b/>
                <w:bCs/>
                <w:color w:val="000000"/>
                <w:u w:val="single"/>
              </w:rPr>
            </w:pPr>
            <w:r>
              <w:rPr>
                <w:b/>
                <w:bCs/>
                <w:u w:val="single"/>
              </w:rPr>
              <w:t>项目区下风向</w:t>
            </w:r>
          </w:p>
        </w:tc>
        <w:tc>
          <w:tcPr>
            <w:tcW w:w="1058" w:type="dxa"/>
            <w:tcBorders>
              <w:tl2br w:val="nil"/>
              <w:tr2bl w:val="nil"/>
            </w:tcBorders>
            <w:noWrap/>
            <w:tcMar>
              <w:top w:w="15" w:type="dxa"/>
              <w:left w:w="15" w:type="dxa"/>
              <w:right w:w="15" w:type="dxa"/>
            </w:tcMar>
            <w:vAlign w:val="center"/>
          </w:tcPr>
          <w:p w14:paraId="037F7EBF"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4D2E1C62" w14:textId="77777777" w:rsidR="003E78AB" w:rsidRDefault="00010BF9">
            <w:pPr>
              <w:pStyle w:val="aff4"/>
              <w:rPr>
                <w:rFonts w:hint="default"/>
                <w:b/>
                <w:bCs/>
                <w:color w:val="000000"/>
                <w:szCs w:val="21"/>
                <w:u w:val="single"/>
              </w:rPr>
            </w:pPr>
            <w:r>
              <w:rPr>
                <w:b/>
                <w:bCs/>
                <w:u w:val="single"/>
              </w:rPr>
              <w:t>0.3625</w:t>
            </w:r>
          </w:p>
        </w:tc>
        <w:tc>
          <w:tcPr>
            <w:tcW w:w="1713" w:type="dxa"/>
            <w:tcBorders>
              <w:tl2br w:val="nil"/>
              <w:tr2bl w:val="nil"/>
            </w:tcBorders>
            <w:noWrap/>
            <w:tcMar>
              <w:top w:w="15" w:type="dxa"/>
              <w:left w:w="15" w:type="dxa"/>
              <w:right w:w="15" w:type="dxa"/>
            </w:tcMar>
            <w:vAlign w:val="center"/>
          </w:tcPr>
          <w:p w14:paraId="7D03C1E0" w14:textId="77777777" w:rsidR="003E78AB" w:rsidRDefault="00010BF9">
            <w:pPr>
              <w:pStyle w:val="aff4"/>
              <w:rPr>
                <w:rFonts w:hint="default"/>
                <w:b/>
                <w:bCs/>
                <w:color w:val="000000"/>
                <w:szCs w:val="21"/>
                <w:u w:val="single"/>
              </w:rPr>
            </w:pPr>
            <w:r>
              <w:rPr>
                <w:b/>
                <w:bCs/>
                <w:u w:val="single"/>
              </w:rPr>
              <w:t>23021520</w:t>
            </w:r>
          </w:p>
        </w:tc>
        <w:tc>
          <w:tcPr>
            <w:tcW w:w="1347" w:type="dxa"/>
            <w:tcBorders>
              <w:tl2br w:val="nil"/>
              <w:tr2bl w:val="nil"/>
            </w:tcBorders>
            <w:noWrap/>
            <w:tcMar>
              <w:top w:w="15" w:type="dxa"/>
              <w:left w:w="15" w:type="dxa"/>
              <w:right w:w="15" w:type="dxa"/>
            </w:tcMar>
            <w:vAlign w:val="center"/>
          </w:tcPr>
          <w:p w14:paraId="1431AC42" w14:textId="77777777" w:rsidR="003E78AB" w:rsidRDefault="00010BF9">
            <w:pPr>
              <w:pStyle w:val="aff4"/>
              <w:rPr>
                <w:rFonts w:hint="default"/>
                <w:b/>
                <w:bCs/>
                <w:color w:val="000000"/>
                <w:szCs w:val="21"/>
                <w:u w:val="single"/>
              </w:rPr>
            </w:pPr>
            <w:r>
              <w:rPr>
                <w:b/>
                <w:bCs/>
                <w:u w:val="single"/>
              </w:rPr>
              <w:t>1200</w:t>
            </w:r>
          </w:p>
        </w:tc>
        <w:tc>
          <w:tcPr>
            <w:tcW w:w="1036" w:type="dxa"/>
            <w:tcBorders>
              <w:tl2br w:val="nil"/>
              <w:tr2bl w:val="nil"/>
            </w:tcBorders>
            <w:noWrap/>
            <w:tcMar>
              <w:top w:w="15" w:type="dxa"/>
              <w:left w:w="15" w:type="dxa"/>
              <w:right w:w="15" w:type="dxa"/>
            </w:tcMar>
            <w:vAlign w:val="center"/>
          </w:tcPr>
          <w:p w14:paraId="50AA1972" w14:textId="77777777" w:rsidR="003E78AB" w:rsidRDefault="00010BF9">
            <w:pPr>
              <w:pStyle w:val="aff4"/>
              <w:rPr>
                <w:rFonts w:hint="default"/>
                <w:b/>
                <w:bCs/>
                <w:color w:val="000000"/>
                <w:kern w:val="2"/>
                <w:szCs w:val="21"/>
                <w:u w:val="single"/>
              </w:rPr>
            </w:pPr>
            <w:r>
              <w:rPr>
                <w:b/>
                <w:bCs/>
                <w:u w:val="single"/>
              </w:rPr>
              <w:t>0.03</w:t>
            </w:r>
          </w:p>
        </w:tc>
        <w:tc>
          <w:tcPr>
            <w:tcW w:w="851" w:type="dxa"/>
            <w:tcBorders>
              <w:tl2br w:val="nil"/>
              <w:tr2bl w:val="nil"/>
            </w:tcBorders>
            <w:noWrap/>
            <w:tcMar>
              <w:top w:w="15" w:type="dxa"/>
              <w:left w:w="15" w:type="dxa"/>
              <w:right w:w="15" w:type="dxa"/>
            </w:tcMar>
            <w:vAlign w:val="center"/>
          </w:tcPr>
          <w:p w14:paraId="289F1078"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6A2F687F" w14:textId="77777777">
        <w:tc>
          <w:tcPr>
            <w:tcW w:w="527" w:type="dxa"/>
            <w:tcBorders>
              <w:tl2br w:val="nil"/>
              <w:tr2bl w:val="nil"/>
            </w:tcBorders>
            <w:noWrap/>
            <w:tcMar>
              <w:top w:w="15" w:type="dxa"/>
              <w:left w:w="15" w:type="dxa"/>
              <w:right w:w="15" w:type="dxa"/>
            </w:tcMar>
            <w:vAlign w:val="center"/>
          </w:tcPr>
          <w:p w14:paraId="49274D16"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4</w:t>
            </w:r>
          </w:p>
        </w:tc>
        <w:tc>
          <w:tcPr>
            <w:tcW w:w="1148" w:type="dxa"/>
            <w:tcBorders>
              <w:tl2br w:val="nil"/>
              <w:tr2bl w:val="nil"/>
            </w:tcBorders>
            <w:noWrap/>
            <w:tcMar>
              <w:top w:w="15" w:type="dxa"/>
              <w:left w:w="15" w:type="dxa"/>
              <w:right w:w="15" w:type="dxa"/>
            </w:tcMar>
            <w:vAlign w:val="center"/>
          </w:tcPr>
          <w:p w14:paraId="03C529E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rFonts w:hint="eastAsia"/>
                <w:b/>
                <w:bCs/>
                <w:sz w:val="21"/>
                <w:szCs w:val="21"/>
                <w:u w:val="single"/>
              </w:rPr>
              <w:t>710</w:t>
            </w:r>
            <w:r>
              <w:rPr>
                <w:b/>
                <w:bCs/>
                <w:sz w:val="21"/>
                <w:szCs w:val="21"/>
                <w:u w:val="single"/>
              </w:rPr>
              <w:t>，</w:t>
            </w:r>
            <w:r>
              <w:rPr>
                <w:b/>
                <w:bCs/>
                <w:sz w:val="21"/>
                <w:szCs w:val="21"/>
                <w:u w:val="single"/>
              </w:rPr>
              <w:t>-</w:t>
            </w:r>
            <w:r>
              <w:rPr>
                <w:rFonts w:hint="eastAsia"/>
                <w:b/>
                <w:bCs/>
                <w:sz w:val="21"/>
                <w:szCs w:val="21"/>
                <w:u w:val="single"/>
              </w:rPr>
              <w:t>291</w:t>
            </w:r>
            <w:r>
              <w:rPr>
                <w:b/>
                <w:bCs/>
                <w:color w:val="000000"/>
                <w:sz w:val="21"/>
                <w:szCs w:val="21"/>
                <w:u w:val="single"/>
              </w:rPr>
              <w:t>）</w:t>
            </w:r>
          </w:p>
        </w:tc>
        <w:tc>
          <w:tcPr>
            <w:tcW w:w="1058" w:type="dxa"/>
            <w:tcBorders>
              <w:tl2br w:val="nil"/>
              <w:tr2bl w:val="nil"/>
            </w:tcBorders>
            <w:noWrap/>
            <w:tcMar>
              <w:top w:w="15" w:type="dxa"/>
              <w:left w:w="15" w:type="dxa"/>
              <w:right w:w="15" w:type="dxa"/>
            </w:tcMar>
            <w:vAlign w:val="center"/>
          </w:tcPr>
          <w:p w14:paraId="3DE60FE9"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3DFD3AEE" w14:textId="77777777" w:rsidR="003E78AB" w:rsidRDefault="00010BF9">
            <w:pPr>
              <w:pStyle w:val="aff4"/>
              <w:rPr>
                <w:rFonts w:hint="default"/>
                <w:b/>
                <w:bCs/>
                <w:color w:val="000000"/>
                <w:szCs w:val="21"/>
                <w:u w:val="single"/>
              </w:rPr>
            </w:pPr>
            <w:r>
              <w:rPr>
                <w:b/>
                <w:bCs/>
                <w:u w:val="single"/>
              </w:rPr>
              <w:t>2.4158</w:t>
            </w:r>
          </w:p>
        </w:tc>
        <w:tc>
          <w:tcPr>
            <w:tcW w:w="1713" w:type="dxa"/>
            <w:tcBorders>
              <w:tl2br w:val="nil"/>
              <w:tr2bl w:val="nil"/>
            </w:tcBorders>
            <w:noWrap/>
            <w:tcMar>
              <w:top w:w="15" w:type="dxa"/>
              <w:left w:w="15" w:type="dxa"/>
              <w:right w:w="15" w:type="dxa"/>
            </w:tcMar>
            <w:vAlign w:val="center"/>
          </w:tcPr>
          <w:p w14:paraId="36CA9BC5" w14:textId="77777777" w:rsidR="003E78AB" w:rsidRDefault="00010BF9">
            <w:pPr>
              <w:pStyle w:val="aff4"/>
              <w:rPr>
                <w:rFonts w:hint="default"/>
                <w:b/>
                <w:bCs/>
                <w:color w:val="000000"/>
                <w:szCs w:val="21"/>
                <w:u w:val="single"/>
              </w:rPr>
            </w:pPr>
            <w:r>
              <w:rPr>
                <w:b/>
                <w:bCs/>
                <w:u w:val="single"/>
              </w:rPr>
              <w:t>23051119</w:t>
            </w:r>
          </w:p>
        </w:tc>
        <w:tc>
          <w:tcPr>
            <w:tcW w:w="1347" w:type="dxa"/>
            <w:tcBorders>
              <w:tl2br w:val="nil"/>
              <w:tr2bl w:val="nil"/>
            </w:tcBorders>
            <w:noWrap/>
            <w:tcMar>
              <w:top w:w="15" w:type="dxa"/>
              <w:left w:w="15" w:type="dxa"/>
              <w:right w:w="15" w:type="dxa"/>
            </w:tcMar>
            <w:vAlign w:val="center"/>
          </w:tcPr>
          <w:p w14:paraId="15C6B035" w14:textId="77777777" w:rsidR="003E78AB" w:rsidRDefault="00010BF9">
            <w:pPr>
              <w:pStyle w:val="aff4"/>
              <w:rPr>
                <w:rFonts w:hint="default"/>
                <w:b/>
                <w:bCs/>
                <w:color w:val="000000"/>
                <w:szCs w:val="21"/>
                <w:u w:val="single"/>
              </w:rPr>
            </w:pPr>
            <w:r>
              <w:rPr>
                <w:b/>
                <w:bCs/>
                <w:u w:val="single"/>
              </w:rPr>
              <w:t>1200</w:t>
            </w:r>
          </w:p>
        </w:tc>
        <w:tc>
          <w:tcPr>
            <w:tcW w:w="1036" w:type="dxa"/>
            <w:tcBorders>
              <w:tl2br w:val="nil"/>
              <w:tr2bl w:val="nil"/>
            </w:tcBorders>
            <w:noWrap/>
            <w:tcMar>
              <w:top w:w="15" w:type="dxa"/>
              <w:left w:w="15" w:type="dxa"/>
              <w:right w:w="15" w:type="dxa"/>
            </w:tcMar>
            <w:vAlign w:val="center"/>
          </w:tcPr>
          <w:p w14:paraId="02629A5A" w14:textId="77777777" w:rsidR="003E78AB" w:rsidRDefault="00010BF9">
            <w:pPr>
              <w:pStyle w:val="aff4"/>
              <w:rPr>
                <w:rFonts w:hint="default"/>
                <w:b/>
                <w:bCs/>
                <w:color w:val="000000"/>
                <w:szCs w:val="21"/>
                <w:u w:val="single"/>
              </w:rPr>
            </w:pPr>
            <w:r>
              <w:rPr>
                <w:b/>
                <w:bCs/>
                <w:u w:val="single"/>
              </w:rPr>
              <w:t>0.2</w:t>
            </w:r>
          </w:p>
        </w:tc>
        <w:tc>
          <w:tcPr>
            <w:tcW w:w="851" w:type="dxa"/>
            <w:tcBorders>
              <w:tl2br w:val="nil"/>
              <w:tr2bl w:val="nil"/>
            </w:tcBorders>
            <w:noWrap/>
            <w:tcMar>
              <w:top w:w="15" w:type="dxa"/>
              <w:left w:w="15" w:type="dxa"/>
              <w:right w:w="15" w:type="dxa"/>
            </w:tcMar>
            <w:vAlign w:val="center"/>
          </w:tcPr>
          <w:p w14:paraId="1BC831E9"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37C8D177" w14:textId="77777777" w:rsidR="003E78AB" w:rsidRDefault="00010BF9">
      <w:pPr>
        <w:pStyle w:val="a4"/>
        <w:spacing w:before="120"/>
        <w:rPr>
          <w:b/>
          <w:bCs/>
          <w:color w:val="000000"/>
          <w:u w:val="single"/>
        </w:rPr>
      </w:pPr>
      <w:r>
        <w:rPr>
          <w:b/>
          <w:bCs/>
          <w:color w:val="000000"/>
          <w:u w:val="single"/>
        </w:rPr>
        <w:t>本项目</w:t>
      </w:r>
      <w:r>
        <w:rPr>
          <w:rFonts w:hint="eastAsia"/>
          <w:b/>
          <w:bCs/>
          <w:color w:val="000000"/>
          <w:u w:val="single"/>
        </w:rPr>
        <w:t>硫酸雾</w:t>
      </w:r>
      <w:r>
        <w:rPr>
          <w:b/>
          <w:bCs/>
          <w:color w:val="000000"/>
          <w:u w:val="single"/>
        </w:rPr>
        <w:t>1</w:t>
      </w:r>
      <w:r>
        <w:rPr>
          <w:b/>
          <w:bCs/>
          <w:color w:val="000000"/>
          <w:u w:val="single"/>
        </w:rPr>
        <w:t>小时浓度贡献质量浓度预测结果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148"/>
        <w:gridCol w:w="1058"/>
        <w:gridCol w:w="1080"/>
        <w:gridCol w:w="1713"/>
        <w:gridCol w:w="1347"/>
        <w:gridCol w:w="1036"/>
        <w:gridCol w:w="851"/>
      </w:tblGrid>
      <w:tr w:rsidR="003E78AB" w14:paraId="36684D2E" w14:textId="77777777">
        <w:trPr>
          <w:trHeight w:val="90"/>
          <w:tblHeader/>
        </w:trPr>
        <w:tc>
          <w:tcPr>
            <w:tcW w:w="527" w:type="dxa"/>
            <w:tcBorders>
              <w:tl2br w:val="nil"/>
              <w:tr2bl w:val="nil"/>
            </w:tcBorders>
            <w:noWrap/>
            <w:tcMar>
              <w:top w:w="15" w:type="dxa"/>
              <w:left w:w="15" w:type="dxa"/>
              <w:right w:w="15" w:type="dxa"/>
            </w:tcMar>
            <w:vAlign w:val="center"/>
          </w:tcPr>
          <w:p w14:paraId="2E18895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148" w:type="dxa"/>
            <w:tcBorders>
              <w:tl2br w:val="nil"/>
              <w:tr2bl w:val="nil"/>
            </w:tcBorders>
            <w:noWrap/>
            <w:tcMar>
              <w:top w:w="15" w:type="dxa"/>
              <w:left w:w="15" w:type="dxa"/>
              <w:right w:w="15" w:type="dxa"/>
            </w:tcMar>
            <w:vAlign w:val="center"/>
          </w:tcPr>
          <w:p w14:paraId="7E59908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4D0AF85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1058" w:type="dxa"/>
            <w:tcBorders>
              <w:tl2br w:val="nil"/>
              <w:tr2bl w:val="nil"/>
            </w:tcBorders>
            <w:noWrap/>
            <w:tcMar>
              <w:top w:w="15" w:type="dxa"/>
              <w:left w:w="15" w:type="dxa"/>
              <w:right w:w="15" w:type="dxa"/>
            </w:tcMar>
            <w:vAlign w:val="center"/>
          </w:tcPr>
          <w:p w14:paraId="38E6055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6B67850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7D66BCF2"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696B8FA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5E73616B"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0B6D3EF5"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791504DB"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771B6741" w14:textId="77777777">
        <w:tc>
          <w:tcPr>
            <w:tcW w:w="527" w:type="dxa"/>
            <w:tcBorders>
              <w:tl2br w:val="nil"/>
              <w:tr2bl w:val="nil"/>
            </w:tcBorders>
            <w:noWrap/>
            <w:tcMar>
              <w:top w:w="15" w:type="dxa"/>
              <w:left w:w="15" w:type="dxa"/>
              <w:right w:w="15" w:type="dxa"/>
            </w:tcMar>
            <w:vAlign w:val="center"/>
          </w:tcPr>
          <w:p w14:paraId="5A65AEDB"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148" w:type="dxa"/>
            <w:tcBorders>
              <w:tl2br w:val="nil"/>
              <w:tr2bl w:val="nil"/>
            </w:tcBorders>
            <w:noWrap/>
            <w:tcMar>
              <w:top w:w="15" w:type="dxa"/>
              <w:left w:w="15" w:type="dxa"/>
              <w:right w:w="15" w:type="dxa"/>
            </w:tcMar>
            <w:vAlign w:val="center"/>
          </w:tcPr>
          <w:p w14:paraId="09F1FCE6" w14:textId="77777777" w:rsidR="003E78AB" w:rsidRDefault="00010BF9">
            <w:pPr>
              <w:pStyle w:val="aff6"/>
              <w:topLinePunct/>
              <w:rPr>
                <w:b/>
                <w:bCs/>
                <w:color w:val="000000"/>
                <w:u w:val="single"/>
              </w:rPr>
            </w:pPr>
            <w:r>
              <w:rPr>
                <w:b/>
                <w:bCs/>
                <w:u w:val="single"/>
              </w:rPr>
              <w:t>安居富民小区</w:t>
            </w:r>
          </w:p>
        </w:tc>
        <w:tc>
          <w:tcPr>
            <w:tcW w:w="1058" w:type="dxa"/>
            <w:tcBorders>
              <w:tl2br w:val="nil"/>
              <w:tr2bl w:val="nil"/>
            </w:tcBorders>
            <w:noWrap/>
            <w:tcMar>
              <w:top w:w="15" w:type="dxa"/>
              <w:left w:w="15" w:type="dxa"/>
              <w:right w:w="15" w:type="dxa"/>
            </w:tcMar>
            <w:vAlign w:val="center"/>
          </w:tcPr>
          <w:p w14:paraId="237FC84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7832A1D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0.111</w:t>
            </w:r>
          </w:p>
        </w:tc>
        <w:tc>
          <w:tcPr>
            <w:tcW w:w="1713" w:type="dxa"/>
            <w:tcBorders>
              <w:tl2br w:val="nil"/>
              <w:tr2bl w:val="nil"/>
            </w:tcBorders>
            <w:noWrap/>
            <w:tcMar>
              <w:top w:w="15" w:type="dxa"/>
              <w:left w:w="15" w:type="dxa"/>
              <w:right w:w="15" w:type="dxa"/>
            </w:tcMar>
            <w:vAlign w:val="center"/>
          </w:tcPr>
          <w:p w14:paraId="49774D02"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081106</w:t>
            </w:r>
          </w:p>
        </w:tc>
        <w:tc>
          <w:tcPr>
            <w:tcW w:w="1347" w:type="dxa"/>
            <w:tcBorders>
              <w:tl2br w:val="nil"/>
              <w:tr2bl w:val="nil"/>
            </w:tcBorders>
            <w:noWrap/>
            <w:tcMar>
              <w:top w:w="15" w:type="dxa"/>
              <w:left w:w="15" w:type="dxa"/>
              <w:right w:w="15" w:type="dxa"/>
            </w:tcMar>
            <w:vAlign w:val="center"/>
          </w:tcPr>
          <w:p w14:paraId="00D21D79" w14:textId="77777777" w:rsidR="003E78AB" w:rsidRDefault="00010BF9">
            <w:pPr>
              <w:pStyle w:val="aff4"/>
              <w:rPr>
                <w:rFonts w:hint="default"/>
                <w:b/>
                <w:bCs/>
                <w:color w:val="000000"/>
                <w:szCs w:val="21"/>
                <w:u w:val="single"/>
              </w:rPr>
            </w:pPr>
            <w:r>
              <w:rPr>
                <w:rFonts w:hint="default"/>
                <w:b/>
                <w:bCs/>
                <w:color w:val="000000"/>
                <w:szCs w:val="21"/>
                <w:u w:val="single"/>
              </w:rPr>
              <w:t>300</w:t>
            </w:r>
          </w:p>
        </w:tc>
        <w:tc>
          <w:tcPr>
            <w:tcW w:w="1036" w:type="dxa"/>
            <w:tcBorders>
              <w:tl2br w:val="nil"/>
              <w:tr2bl w:val="nil"/>
            </w:tcBorders>
            <w:noWrap/>
            <w:tcMar>
              <w:top w:w="15" w:type="dxa"/>
              <w:left w:w="15" w:type="dxa"/>
              <w:right w:w="15" w:type="dxa"/>
            </w:tcMar>
            <w:vAlign w:val="center"/>
          </w:tcPr>
          <w:p w14:paraId="17C152F9"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0.04</w:t>
            </w:r>
          </w:p>
        </w:tc>
        <w:tc>
          <w:tcPr>
            <w:tcW w:w="851" w:type="dxa"/>
            <w:tcBorders>
              <w:tl2br w:val="nil"/>
              <w:tr2bl w:val="nil"/>
            </w:tcBorders>
            <w:noWrap/>
            <w:tcMar>
              <w:top w:w="15" w:type="dxa"/>
              <w:left w:w="15" w:type="dxa"/>
              <w:right w:w="15" w:type="dxa"/>
            </w:tcMar>
            <w:vAlign w:val="center"/>
          </w:tcPr>
          <w:p w14:paraId="6E98CDC8"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27E8E7CE" w14:textId="77777777">
        <w:tc>
          <w:tcPr>
            <w:tcW w:w="527" w:type="dxa"/>
            <w:tcBorders>
              <w:tl2br w:val="nil"/>
              <w:tr2bl w:val="nil"/>
            </w:tcBorders>
            <w:noWrap/>
            <w:tcMar>
              <w:top w:w="15" w:type="dxa"/>
              <w:left w:w="15" w:type="dxa"/>
              <w:right w:w="15" w:type="dxa"/>
            </w:tcMar>
            <w:vAlign w:val="center"/>
          </w:tcPr>
          <w:p w14:paraId="715518EE"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148" w:type="dxa"/>
            <w:tcBorders>
              <w:tl2br w:val="nil"/>
              <w:tr2bl w:val="nil"/>
            </w:tcBorders>
            <w:noWrap/>
            <w:tcMar>
              <w:top w:w="15" w:type="dxa"/>
              <w:left w:w="15" w:type="dxa"/>
              <w:right w:w="15" w:type="dxa"/>
            </w:tcMar>
            <w:vAlign w:val="center"/>
          </w:tcPr>
          <w:p w14:paraId="68AA4716" w14:textId="77777777" w:rsidR="003E78AB" w:rsidRDefault="00010BF9">
            <w:pPr>
              <w:pStyle w:val="aff6"/>
              <w:topLinePunct/>
              <w:rPr>
                <w:b/>
                <w:bCs/>
                <w:color w:val="000000"/>
                <w:u w:val="single"/>
              </w:rPr>
            </w:pPr>
            <w:r>
              <w:rPr>
                <w:b/>
                <w:bCs/>
                <w:u w:val="single"/>
              </w:rPr>
              <w:t>项目区上风向</w:t>
            </w:r>
          </w:p>
        </w:tc>
        <w:tc>
          <w:tcPr>
            <w:tcW w:w="1058" w:type="dxa"/>
            <w:tcBorders>
              <w:tl2br w:val="nil"/>
              <w:tr2bl w:val="nil"/>
            </w:tcBorders>
            <w:noWrap/>
            <w:tcMar>
              <w:top w:w="15" w:type="dxa"/>
              <w:left w:w="15" w:type="dxa"/>
              <w:right w:w="15" w:type="dxa"/>
            </w:tcMar>
            <w:vAlign w:val="center"/>
          </w:tcPr>
          <w:p w14:paraId="67761518"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38142E75"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0.056</w:t>
            </w:r>
          </w:p>
        </w:tc>
        <w:tc>
          <w:tcPr>
            <w:tcW w:w="1713" w:type="dxa"/>
            <w:tcBorders>
              <w:tl2br w:val="nil"/>
              <w:tr2bl w:val="nil"/>
            </w:tcBorders>
            <w:noWrap/>
            <w:tcMar>
              <w:top w:w="15" w:type="dxa"/>
              <w:left w:w="15" w:type="dxa"/>
              <w:right w:w="15" w:type="dxa"/>
            </w:tcMar>
            <w:vAlign w:val="center"/>
          </w:tcPr>
          <w:p w14:paraId="79471831"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070420</w:t>
            </w:r>
          </w:p>
        </w:tc>
        <w:tc>
          <w:tcPr>
            <w:tcW w:w="1347" w:type="dxa"/>
            <w:tcBorders>
              <w:tl2br w:val="nil"/>
              <w:tr2bl w:val="nil"/>
            </w:tcBorders>
            <w:noWrap/>
            <w:tcMar>
              <w:top w:w="15" w:type="dxa"/>
              <w:left w:w="15" w:type="dxa"/>
              <w:right w:w="15" w:type="dxa"/>
            </w:tcMar>
            <w:vAlign w:val="center"/>
          </w:tcPr>
          <w:p w14:paraId="3777F9E6"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300</w:t>
            </w:r>
          </w:p>
        </w:tc>
        <w:tc>
          <w:tcPr>
            <w:tcW w:w="1036" w:type="dxa"/>
            <w:tcBorders>
              <w:tl2br w:val="nil"/>
              <w:tr2bl w:val="nil"/>
            </w:tcBorders>
            <w:noWrap/>
            <w:tcMar>
              <w:top w:w="15" w:type="dxa"/>
              <w:left w:w="15" w:type="dxa"/>
              <w:right w:w="15" w:type="dxa"/>
            </w:tcMar>
            <w:vAlign w:val="center"/>
          </w:tcPr>
          <w:p w14:paraId="10BACE31"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0.02</w:t>
            </w:r>
          </w:p>
        </w:tc>
        <w:tc>
          <w:tcPr>
            <w:tcW w:w="851" w:type="dxa"/>
            <w:tcBorders>
              <w:tl2br w:val="nil"/>
              <w:tr2bl w:val="nil"/>
            </w:tcBorders>
            <w:noWrap/>
            <w:tcMar>
              <w:top w:w="15" w:type="dxa"/>
              <w:left w:w="15" w:type="dxa"/>
              <w:right w:w="15" w:type="dxa"/>
            </w:tcMar>
            <w:vAlign w:val="center"/>
          </w:tcPr>
          <w:p w14:paraId="6984D4E9"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0BAA8F51" w14:textId="77777777">
        <w:tc>
          <w:tcPr>
            <w:tcW w:w="527" w:type="dxa"/>
            <w:tcBorders>
              <w:tl2br w:val="nil"/>
              <w:tr2bl w:val="nil"/>
            </w:tcBorders>
            <w:noWrap/>
            <w:tcMar>
              <w:top w:w="15" w:type="dxa"/>
              <w:left w:w="15" w:type="dxa"/>
              <w:right w:w="15" w:type="dxa"/>
            </w:tcMar>
            <w:vAlign w:val="center"/>
          </w:tcPr>
          <w:p w14:paraId="2D1198A9"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148" w:type="dxa"/>
            <w:tcBorders>
              <w:tl2br w:val="nil"/>
              <w:tr2bl w:val="nil"/>
            </w:tcBorders>
            <w:noWrap/>
            <w:tcMar>
              <w:top w:w="15" w:type="dxa"/>
              <w:left w:w="15" w:type="dxa"/>
              <w:right w:w="15" w:type="dxa"/>
            </w:tcMar>
            <w:vAlign w:val="center"/>
          </w:tcPr>
          <w:p w14:paraId="171A6889" w14:textId="77777777" w:rsidR="003E78AB" w:rsidRDefault="00010BF9">
            <w:pPr>
              <w:pStyle w:val="aff6"/>
              <w:topLinePunct/>
              <w:rPr>
                <w:b/>
                <w:bCs/>
                <w:color w:val="000000"/>
                <w:u w:val="single"/>
              </w:rPr>
            </w:pPr>
            <w:r>
              <w:rPr>
                <w:b/>
                <w:bCs/>
                <w:u w:val="single"/>
              </w:rPr>
              <w:t>项目区下风向</w:t>
            </w:r>
          </w:p>
        </w:tc>
        <w:tc>
          <w:tcPr>
            <w:tcW w:w="1058" w:type="dxa"/>
            <w:tcBorders>
              <w:tl2br w:val="nil"/>
              <w:tr2bl w:val="nil"/>
            </w:tcBorders>
            <w:noWrap/>
            <w:tcMar>
              <w:top w:w="15" w:type="dxa"/>
              <w:left w:w="15" w:type="dxa"/>
              <w:right w:w="15" w:type="dxa"/>
            </w:tcMar>
            <w:vAlign w:val="center"/>
          </w:tcPr>
          <w:p w14:paraId="6B28FAC7"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1E29882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0.185</w:t>
            </w:r>
          </w:p>
        </w:tc>
        <w:tc>
          <w:tcPr>
            <w:tcW w:w="1713" w:type="dxa"/>
            <w:tcBorders>
              <w:tl2br w:val="nil"/>
              <w:tr2bl w:val="nil"/>
            </w:tcBorders>
            <w:noWrap/>
            <w:tcMar>
              <w:top w:w="15" w:type="dxa"/>
              <w:left w:w="15" w:type="dxa"/>
              <w:right w:w="15" w:type="dxa"/>
            </w:tcMar>
            <w:vAlign w:val="center"/>
          </w:tcPr>
          <w:p w14:paraId="3A59DEC5"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041302</w:t>
            </w:r>
          </w:p>
        </w:tc>
        <w:tc>
          <w:tcPr>
            <w:tcW w:w="1347" w:type="dxa"/>
            <w:tcBorders>
              <w:tl2br w:val="nil"/>
              <w:tr2bl w:val="nil"/>
            </w:tcBorders>
            <w:noWrap/>
            <w:tcMar>
              <w:top w:w="15" w:type="dxa"/>
              <w:left w:w="15" w:type="dxa"/>
              <w:right w:w="15" w:type="dxa"/>
            </w:tcMar>
            <w:vAlign w:val="center"/>
          </w:tcPr>
          <w:p w14:paraId="24C3FCCA"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300</w:t>
            </w:r>
          </w:p>
        </w:tc>
        <w:tc>
          <w:tcPr>
            <w:tcW w:w="1036" w:type="dxa"/>
            <w:tcBorders>
              <w:tl2br w:val="nil"/>
              <w:tr2bl w:val="nil"/>
            </w:tcBorders>
            <w:noWrap/>
            <w:tcMar>
              <w:top w:w="15" w:type="dxa"/>
              <w:left w:w="15" w:type="dxa"/>
              <w:right w:w="15" w:type="dxa"/>
            </w:tcMar>
            <w:vAlign w:val="center"/>
          </w:tcPr>
          <w:p w14:paraId="0DC5A754"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0.06</w:t>
            </w:r>
          </w:p>
        </w:tc>
        <w:tc>
          <w:tcPr>
            <w:tcW w:w="851" w:type="dxa"/>
            <w:tcBorders>
              <w:tl2br w:val="nil"/>
              <w:tr2bl w:val="nil"/>
            </w:tcBorders>
            <w:noWrap/>
            <w:tcMar>
              <w:top w:w="15" w:type="dxa"/>
              <w:left w:w="15" w:type="dxa"/>
              <w:right w:w="15" w:type="dxa"/>
            </w:tcMar>
            <w:vAlign w:val="center"/>
          </w:tcPr>
          <w:p w14:paraId="72B1021A"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79C3055C" w14:textId="77777777">
        <w:tc>
          <w:tcPr>
            <w:tcW w:w="527" w:type="dxa"/>
            <w:tcBorders>
              <w:tl2br w:val="nil"/>
              <w:tr2bl w:val="nil"/>
            </w:tcBorders>
            <w:noWrap/>
            <w:tcMar>
              <w:top w:w="15" w:type="dxa"/>
              <w:left w:w="15" w:type="dxa"/>
              <w:right w:w="15" w:type="dxa"/>
            </w:tcMar>
            <w:vAlign w:val="center"/>
          </w:tcPr>
          <w:p w14:paraId="2948D13F"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4</w:t>
            </w:r>
          </w:p>
        </w:tc>
        <w:tc>
          <w:tcPr>
            <w:tcW w:w="1148" w:type="dxa"/>
            <w:tcBorders>
              <w:tl2br w:val="nil"/>
              <w:tr2bl w:val="nil"/>
            </w:tcBorders>
            <w:noWrap/>
            <w:tcMar>
              <w:top w:w="15" w:type="dxa"/>
              <w:left w:w="15" w:type="dxa"/>
              <w:right w:w="15" w:type="dxa"/>
            </w:tcMar>
            <w:vAlign w:val="center"/>
          </w:tcPr>
          <w:p w14:paraId="699027E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600</w:t>
            </w:r>
            <w:r>
              <w:rPr>
                <w:b/>
                <w:bCs/>
                <w:color w:val="000000"/>
                <w:sz w:val="21"/>
                <w:szCs w:val="21"/>
                <w:u w:val="single"/>
              </w:rPr>
              <w:t>）</w:t>
            </w:r>
          </w:p>
        </w:tc>
        <w:tc>
          <w:tcPr>
            <w:tcW w:w="1058" w:type="dxa"/>
            <w:tcBorders>
              <w:tl2br w:val="nil"/>
              <w:tr2bl w:val="nil"/>
            </w:tcBorders>
            <w:noWrap/>
            <w:tcMar>
              <w:top w:w="15" w:type="dxa"/>
              <w:left w:w="15" w:type="dxa"/>
              <w:right w:w="15" w:type="dxa"/>
            </w:tcMar>
            <w:vAlign w:val="center"/>
          </w:tcPr>
          <w:p w14:paraId="5A582787"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02F158F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0.344</w:t>
            </w:r>
          </w:p>
        </w:tc>
        <w:tc>
          <w:tcPr>
            <w:tcW w:w="1713" w:type="dxa"/>
            <w:tcBorders>
              <w:tl2br w:val="nil"/>
              <w:tr2bl w:val="nil"/>
            </w:tcBorders>
            <w:noWrap/>
            <w:tcMar>
              <w:top w:w="15" w:type="dxa"/>
              <w:left w:w="15" w:type="dxa"/>
              <w:right w:w="15" w:type="dxa"/>
            </w:tcMar>
            <w:vAlign w:val="center"/>
          </w:tcPr>
          <w:p w14:paraId="7FEF8772"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102406</w:t>
            </w:r>
          </w:p>
        </w:tc>
        <w:tc>
          <w:tcPr>
            <w:tcW w:w="1347" w:type="dxa"/>
            <w:tcBorders>
              <w:tl2br w:val="nil"/>
              <w:tr2bl w:val="nil"/>
            </w:tcBorders>
            <w:noWrap/>
            <w:tcMar>
              <w:top w:w="15" w:type="dxa"/>
              <w:left w:w="15" w:type="dxa"/>
              <w:right w:w="15" w:type="dxa"/>
            </w:tcMar>
            <w:vAlign w:val="center"/>
          </w:tcPr>
          <w:p w14:paraId="232C20B2"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300</w:t>
            </w:r>
          </w:p>
        </w:tc>
        <w:tc>
          <w:tcPr>
            <w:tcW w:w="1036" w:type="dxa"/>
            <w:tcBorders>
              <w:tl2br w:val="nil"/>
              <w:tr2bl w:val="nil"/>
            </w:tcBorders>
            <w:noWrap/>
            <w:tcMar>
              <w:top w:w="15" w:type="dxa"/>
              <w:left w:w="15" w:type="dxa"/>
              <w:right w:w="15" w:type="dxa"/>
            </w:tcMar>
            <w:vAlign w:val="center"/>
          </w:tcPr>
          <w:p w14:paraId="6EEF160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0.11</w:t>
            </w:r>
          </w:p>
        </w:tc>
        <w:tc>
          <w:tcPr>
            <w:tcW w:w="851" w:type="dxa"/>
            <w:tcBorders>
              <w:tl2br w:val="nil"/>
              <w:tr2bl w:val="nil"/>
            </w:tcBorders>
            <w:noWrap/>
            <w:tcMar>
              <w:top w:w="15" w:type="dxa"/>
              <w:left w:w="15" w:type="dxa"/>
              <w:right w:w="15" w:type="dxa"/>
            </w:tcMar>
            <w:vAlign w:val="center"/>
          </w:tcPr>
          <w:p w14:paraId="652C90FC"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49B19741" w14:textId="77777777" w:rsidR="003E78AB" w:rsidRDefault="00010BF9">
      <w:pPr>
        <w:pStyle w:val="a4"/>
        <w:spacing w:before="120"/>
        <w:rPr>
          <w:b/>
          <w:bCs/>
          <w:color w:val="000000"/>
          <w:u w:val="single"/>
        </w:rPr>
      </w:pPr>
      <w:r>
        <w:rPr>
          <w:b/>
          <w:bCs/>
          <w:color w:val="000000"/>
          <w:u w:val="single"/>
        </w:rPr>
        <w:t>评价范围内主要污染物</w:t>
      </w:r>
      <w:r>
        <w:rPr>
          <w:b/>
          <w:bCs/>
          <w:color w:val="000000"/>
          <w:u w:val="single"/>
        </w:rPr>
        <w:t>1</w:t>
      </w:r>
      <w:r>
        <w:rPr>
          <w:b/>
          <w:bCs/>
          <w:color w:val="000000"/>
          <w:u w:val="single"/>
        </w:rPr>
        <w:t>小时浓度贡献值最大占标率汇总</w:t>
      </w:r>
    </w:p>
    <w:tbl>
      <w:tblPr>
        <w:tblW w:w="49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0"/>
        <w:gridCol w:w="1153"/>
        <w:gridCol w:w="1022"/>
        <w:gridCol w:w="1199"/>
        <w:gridCol w:w="2009"/>
        <w:gridCol w:w="1220"/>
        <w:gridCol w:w="1008"/>
      </w:tblGrid>
      <w:tr w:rsidR="003E78AB" w14:paraId="0602F1FD" w14:textId="77777777">
        <w:trPr>
          <w:trHeight w:val="369"/>
          <w:jc w:val="center"/>
        </w:trPr>
        <w:tc>
          <w:tcPr>
            <w:tcW w:w="528" w:type="pct"/>
            <w:tcBorders>
              <w:tl2br w:val="nil"/>
              <w:tr2bl w:val="nil"/>
            </w:tcBorders>
            <w:vAlign w:val="center"/>
          </w:tcPr>
          <w:p w14:paraId="3D0463C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预测点</w:t>
            </w:r>
          </w:p>
        </w:tc>
        <w:tc>
          <w:tcPr>
            <w:tcW w:w="677" w:type="pct"/>
            <w:tcBorders>
              <w:tl2br w:val="nil"/>
              <w:tr2bl w:val="nil"/>
            </w:tcBorders>
            <w:vAlign w:val="center"/>
          </w:tcPr>
          <w:p w14:paraId="6C74372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预测因子</w:t>
            </w:r>
          </w:p>
        </w:tc>
        <w:tc>
          <w:tcPr>
            <w:tcW w:w="600" w:type="pct"/>
            <w:tcBorders>
              <w:tl2br w:val="nil"/>
              <w:tr2bl w:val="nil"/>
            </w:tcBorders>
            <w:vAlign w:val="center"/>
          </w:tcPr>
          <w:p w14:paraId="4174FB62" w14:textId="77777777" w:rsidR="003E78AB" w:rsidRDefault="00010BF9">
            <w:pPr>
              <w:spacing w:line="360" w:lineRule="exact"/>
              <w:ind w:firstLineChars="0" w:firstLine="0"/>
              <w:jc w:val="center"/>
              <w:rPr>
                <w:b/>
                <w:bCs/>
                <w:color w:val="000000"/>
                <w:kern w:val="2"/>
                <w:sz w:val="21"/>
                <w:szCs w:val="21"/>
                <w:u w:val="single"/>
                <w:lang w:bidi="ar"/>
              </w:rPr>
            </w:pPr>
            <w:r>
              <w:rPr>
                <w:b/>
                <w:bCs/>
                <w:color w:val="000000"/>
                <w:kern w:val="2"/>
                <w:sz w:val="21"/>
                <w:szCs w:val="21"/>
                <w:u w:val="single"/>
                <w:lang w:bidi="ar"/>
              </w:rPr>
              <w:t>浓度</w:t>
            </w:r>
          </w:p>
          <w:p w14:paraId="3FDCB033"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类型</w:t>
            </w:r>
          </w:p>
        </w:tc>
        <w:tc>
          <w:tcPr>
            <w:tcW w:w="704" w:type="pct"/>
            <w:tcBorders>
              <w:tl2br w:val="nil"/>
              <w:tr2bl w:val="nil"/>
            </w:tcBorders>
            <w:vAlign w:val="center"/>
          </w:tcPr>
          <w:p w14:paraId="106066F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浓度增量（</w:t>
            </w:r>
            <w:r>
              <w:rPr>
                <w:b/>
                <w:bCs/>
                <w:color w:val="000000"/>
                <w:kern w:val="2"/>
                <w:sz w:val="21"/>
                <w:szCs w:val="21"/>
                <w:u w:val="single"/>
                <w:lang w:bidi="ar"/>
              </w:rPr>
              <w:t>μg/m</w:t>
            </w:r>
            <w:r>
              <w:rPr>
                <w:b/>
                <w:bCs/>
                <w:color w:val="000000"/>
                <w:kern w:val="2"/>
                <w:sz w:val="21"/>
                <w:szCs w:val="21"/>
                <w:u w:val="single"/>
                <w:vertAlign w:val="superscript"/>
                <w:lang w:bidi="ar"/>
              </w:rPr>
              <w:t>3</w:t>
            </w:r>
            <w:r>
              <w:rPr>
                <w:b/>
                <w:bCs/>
                <w:color w:val="000000"/>
                <w:kern w:val="2"/>
                <w:sz w:val="21"/>
                <w:szCs w:val="21"/>
                <w:u w:val="single"/>
                <w:lang w:bidi="ar"/>
              </w:rPr>
              <w:t>）</w:t>
            </w:r>
          </w:p>
        </w:tc>
        <w:tc>
          <w:tcPr>
            <w:tcW w:w="1179" w:type="pct"/>
            <w:tcBorders>
              <w:tl2br w:val="nil"/>
              <w:tr2bl w:val="nil"/>
            </w:tcBorders>
            <w:vAlign w:val="center"/>
          </w:tcPr>
          <w:p w14:paraId="5D5A4A9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出现时间（</w:t>
            </w:r>
            <w:r>
              <w:rPr>
                <w:b/>
                <w:bCs/>
                <w:color w:val="000000"/>
                <w:kern w:val="2"/>
                <w:sz w:val="21"/>
                <w:szCs w:val="21"/>
                <w:u w:val="single"/>
                <w:lang w:bidi="ar"/>
              </w:rPr>
              <w:t>YYMMDDHH</w:t>
            </w:r>
            <w:r>
              <w:rPr>
                <w:b/>
                <w:bCs/>
                <w:color w:val="000000"/>
                <w:kern w:val="2"/>
                <w:sz w:val="21"/>
                <w:szCs w:val="21"/>
                <w:u w:val="single"/>
                <w:lang w:bidi="ar"/>
              </w:rPr>
              <w:t>）</w:t>
            </w:r>
          </w:p>
        </w:tc>
        <w:tc>
          <w:tcPr>
            <w:tcW w:w="717" w:type="pct"/>
            <w:tcBorders>
              <w:tl2br w:val="nil"/>
              <w:tr2bl w:val="nil"/>
            </w:tcBorders>
            <w:vAlign w:val="center"/>
          </w:tcPr>
          <w:p w14:paraId="6BEDA78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评价标准（</w:t>
            </w:r>
            <w:r>
              <w:rPr>
                <w:b/>
                <w:bCs/>
                <w:color w:val="000000"/>
                <w:kern w:val="2"/>
                <w:sz w:val="21"/>
                <w:szCs w:val="21"/>
                <w:u w:val="single"/>
                <w:lang w:bidi="ar"/>
              </w:rPr>
              <w:t>μg/m</w:t>
            </w:r>
            <w:r>
              <w:rPr>
                <w:b/>
                <w:bCs/>
                <w:color w:val="000000"/>
                <w:kern w:val="2"/>
                <w:sz w:val="21"/>
                <w:szCs w:val="21"/>
                <w:u w:val="single"/>
                <w:vertAlign w:val="superscript"/>
                <w:lang w:bidi="ar"/>
              </w:rPr>
              <w:t>3</w:t>
            </w:r>
            <w:r>
              <w:rPr>
                <w:b/>
                <w:bCs/>
                <w:color w:val="000000"/>
                <w:kern w:val="2"/>
                <w:sz w:val="21"/>
                <w:szCs w:val="21"/>
                <w:u w:val="single"/>
                <w:lang w:bidi="ar"/>
              </w:rPr>
              <w:t>）</w:t>
            </w:r>
          </w:p>
        </w:tc>
        <w:tc>
          <w:tcPr>
            <w:tcW w:w="592" w:type="pct"/>
            <w:tcBorders>
              <w:tl2br w:val="nil"/>
              <w:tr2bl w:val="nil"/>
            </w:tcBorders>
            <w:vAlign w:val="center"/>
          </w:tcPr>
          <w:p w14:paraId="173FCF5D"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占标率</w:t>
            </w:r>
            <w:r>
              <w:rPr>
                <w:b/>
                <w:bCs/>
                <w:color w:val="000000"/>
                <w:kern w:val="2"/>
                <w:sz w:val="21"/>
                <w:szCs w:val="21"/>
                <w:u w:val="single"/>
                <w:lang w:bidi="ar"/>
              </w:rPr>
              <w:t>/%</w:t>
            </w:r>
          </w:p>
        </w:tc>
      </w:tr>
      <w:tr w:rsidR="003E78AB" w14:paraId="6B2B2DC1" w14:textId="77777777">
        <w:trPr>
          <w:trHeight w:val="369"/>
          <w:jc w:val="center"/>
        </w:trPr>
        <w:tc>
          <w:tcPr>
            <w:tcW w:w="528" w:type="pct"/>
            <w:vMerge w:val="restart"/>
            <w:tcBorders>
              <w:tl2br w:val="nil"/>
              <w:tr2bl w:val="nil"/>
            </w:tcBorders>
            <w:vAlign w:val="center"/>
          </w:tcPr>
          <w:p w14:paraId="3A0A2A2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评价范围内最大浓度点</w:t>
            </w:r>
          </w:p>
        </w:tc>
        <w:tc>
          <w:tcPr>
            <w:tcW w:w="677" w:type="pct"/>
            <w:tcBorders>
              <w:tl2br w:val="nil"/>
              <w:tr2bl w:val="nil"/>
            </w:tcBorders>
            <w:vAlign w:val="center"/>
          </w:tcPr>
          <w:p w14:paraId="33004A0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NO</w:t>
            </w:r>
            <w:r>
              <w:rPr>
                <w:b/>
                <w:bCs/>
                <w:color w:val="000000"/>
                <w:kern w:val="2"/>
                <w:sz w:val="21"/>
                <w:szCs w:val="21"/>
                <w:u w:val="single"/>
                <w:vertAlign w:val="subscript"/>
                <w:lang w:bidi="ar"/>
              </w:rPr>
              <w:t>2</w:t>
            </w:r>
          </w:p>
        </w:tc>
        <w:tc>
          <w:tcPr>
            <w:tcW w:w="600" w:type="pct"/>
            <w:tcBorders>
              <w:tl2br w:val="nil"/>
              <w:tr2bl w:val="nil"/>
            </w:tcBorders>
            <w:vAlign w:val="center"/>
          </w:tcPr>
          <w:p w14:paraId="2D24ADE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1</w:t>
            </w:r>
            <w:r>
              <w:rPr>
                <w:b/>
                <w:bCs/>
                <w:color w:val="000000"/>
                <w:kern w:val="2"/>
                <w:sz w:val="21"/>
                <w:szCs w:val="21"/>
                <w:u w:val="single"/>
                <w:lang w:bidi="ar"/>
              </w:rPr>
              <w:t>小时</w:t>
            </w:r>
          </w:p>
        </w:tc>
        <w:tc>
          <w:tcPr>
            <w:tcW w:w="1199" w:type="dxa"/>
            <w:tcBorders>
              <w:tl2br w:val="nil"/>
              <w:tr2bl w:val="nil"/>
            </w:tcBorders>
            <w:vAlign w:val="center"/>
          </w:tcPr>
          <w:p w14:paraId="733176EC"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7.170</w:t>
            </w:r>
          </w:p>
        </w:tc>
        <w:tc>
          <w:tcPr>
            <w:tcW w:w="2008" w:type="dxa"/>
            <w:tcBorders>
              <w:tl2br w:val="nil"/>
              <w:tr2bl w:val="nil"/>
            </w:tcBorders>
            <w:vAlign w:val="center"/>
          </w:tcPr>
          <w:p w14:paraId="4BAC386A"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2</w:t>
            </w:r>
            <w:r>
              <w:rPr>
                <w:rFonts w:hint="eastAsia"/>
                <w:b/>
                <w:bCs/>
                <w:color w:val="000000"/>
                <w:sz w:val="21"/>
                <w:szCs w:val="21"/>
                <w:u w:val="single"/>
                <w:lang w:bidi="ar"/>
              </w:rPr>
              <w:t>3</w:t>
            </w:r>
            <w:r>
              <w:rPr>
                <w:b/>
                <w:bCs/>
                <w:color w:val="000000"/>
                <w:sz w:val="21"/>
                <w:szCs w:val="21"/>
                <w:u w:val="single"/>
                <w:lang w:bidi="ar"/>
              </w:rPr>
              <w:t>082524</w:t>
            </w:r>
          </w:p>
        </w:tc>
        <w:tc>
          <w:tcPr>
            <w:tcW w:w="1221" w:type="dxa"/>
            <w:tcBorders>
              <w:tl2br w:val="nil"/>
              <w:tr2bl w:val="nil"/>
            </w:tcBorders>
            <w:vAlign w:val="center"/>
          </w:tcPr>
          <w:p w14:paraId="28FD1DF0"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200</w:t>
            </w:r>
          </w:p>
        </w:tc>
        <w:tc>
          <w:tcPr>
            <w:tcW w:w="1009" w:type="dxa"/>
            <w:tcBorders>
              <w:tl2br w:val="nil"/>
              <w:tr2bl w:val="nil"/>
            </w:tcBorders>
            <w:vAlign w:val="center"/>
          </w:tcPr>
          <w:p w14:paraId="11725B74"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3.58</w:t>
            </w:r>
          </w:p>
        </w:tc>
      </w:tr>
      <w:tr w:rsidR="003E78AB" w14:paraId="7CABE208" w14:textId="77777777">
        <w:trPr>
          <w:trHeight w:val="369"/>
          <w:jc w:val="center"/>
        </w:trPr>
        <w:tc>
          <w:tcPr>
            <w:tcW w:w="528" w:type="pct"/>
            <w:vMerge/>
            <w:tcBorders>
              <w:tl2br w:val="nil"/>
              <w:tr2bl w:val="nil"/>
            </w:tcBorders>
            <w:vAlign w:val="center"/>
          </w:tcPr>
          <w:p w14:paraId="7287434A" w14:textId="77777777" w:rsidR="003E78AB" w:rsidRDefault="003E78AB">
            <w:pPr>
              <w:spacing w:line="360" w:lineRule="exact"/>
              <w:ind w:firstLineChars="0" w:firstLine="0"/>
              <w:jc w:val="center"/>
              <w:rPr>
                <w:b/>
                <w:bCs/>
                <w:color w:val="000000"/>
                <w:sz w:val="21"/>
                <w:szCs w:val="21"/>
                <w:u w:val="single"/>
              </w:rPr>
            </w:pPr>
          </w:p>
        </w:tc>
        <w:tc>
          <w:tcPr>
            <w:tcW w:w="677" w:type="pct"/>
            <w:tcBorders>
              <w:tl2br w:val="nil"/>
              <w:tr2bl w:val="nil"/>
            </w:tcBorders>
            <w:vAlign w:val="center"/>
          </w:tcPr>
          <w:p w14:paraId="4A2D699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SO</w:t>
            </w:r>
            <w:r>
              <w:rPr>
                <w:b/>
                <w:bCs/>
                <w:color w:val="000000"/>
                <w:kern w:val="2"/>
                <w:sz w:val="21"/>
                <w:szCs w:val="21"/>
                <w:u w:val="single"/>
                <w:vertAlign w:val="subscript"/>
              </w:rPr>
              <w:t>2</w:t>
            </w:r>
          </w:p>
        </w:tc>
        <w:tc>
          <w:tcPr>
            <w:tcW w:w="600" w:type="pct"/>
            <w:tcBorders>
              <w:tl2br w:val="nil"/>
              <w:tr2bl w:val="nil"/>
            </w:tcBorders>
            <w:vAlign w:val="center"/>
          </w:tcPr>
          <w:p w14:paraId="4B389B8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1</w:t>
            </w:r>
            <w:r>
              <w:rPr>
                <w:b/>
                <w:bCs/>
                <w:color w:val="000000"/>
                <w:kern w:val="2"/>
                <w:sz w:val="21"/>
                <w:szCs w:val="21"/>
                <w:u w:val="single"/>
                <w:lang w:bidi="ar"/>
              </w:rPr>
              <w:t>小时</w:t>
            </w:r>
          </w:p>
        </w:tc>
        <w:tc>
          <w:tcPr>
            <w:tcW w:w="1199" w:type="dxa"/>
            <w:tcBorders>
              <w:tl2br w:val="nil"/>
              <w:tr2bl w:val="nil"/>
            </w:tcBorders>
            <w:vAlign w:val="center"/>
          </w:tcPr>
          <w:p w14:paraId="55B24894"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8.700</w:t>
            </w:r>
          </w:p>
        </w:tc>
        <w:tc>
          <w:tcPr>
            <w:tcW w:w="2008" w:type="dxa"/>
            <w:tcBorders>
              <w:tl2br w:val="nil"/>
              <w:tr2bl w:val="nil"/>
            </w:tcBorders>
            <w:vAlign w:val="center"/>
          </w:tcPr>
          <w:p w14:paraId="33972FC1" w14:textId="77777777" w:rsidR="003E78AB" w:rsidRDefault="00010BF9">
            <w:pPr>
              <w:spacing w:line="360" w:lineRule="exact"/>
              <w:ind w:firstLineChars="0" w:firstLine="0"/>
              <w:jc w:val="center"/>
              <w:rPr>
                <w:b/>
                <w:bCs/>
                <w:color w:val="000000"/>
                <w:kern w:val="2"/>
                <w:sz w:val="21"/>
                <w:szCs w:val="21"/>
                <w:u w:val="single"/>
              </w:rPr>
            </w:pPr>
            <w:r>
              <w:rPr>
                <w:b/>
                <w:bCs/>
                <w:sz w:val="21"/>
                <w:szCs w:val="21"/>
                <w:u w:val="single"/>
              </w:rPr>
              <w:t>23091210</w:t>
            </w:r>
          </w:p>
        </w:tc>
        <w:tc>
          <w:tcPr>
            <w:tcW w:w="1221" w:type="dxa"/>
            <w:tcBorders>
              <w:tl2br w:val="nil"/>
              <w:tr2bl w:val="nil"/>
            </w:tcBorders>
            <w:vAlign w:val="center"/>
          </w:tcPr>
          <w:p w14:paraId="4A0FDEB9"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500</w:t>
            </w:r>
          </w:p>
        </w:tc>
        <w:tc>
          <w:tcPr>
            <w:tcW w:w="1009" w:type="dxa"/>
            <w:tcBorders>
              <w:tl2br w:val="nil"/>
              <w:tr2bl w:val="nil"/>
            </w:tcBorders>
            <w:vAlign w:val="center"/>
          </w:tcPr>
          <w:p w14:paraId="5DE0305A"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1.74</w:t>
            </w:r>
          </w:p>
        </w:tc>
      </w:tr>
      <w:tr w:rsidR="003E78AB" w14:paraId="4A7C486A" w14:textId="77777777">
        <w:trPr>
          <w:trHeight w:val="369"/>
          <w:jc w:val="center"/>
        </w:trPr>
        <w:tc>
          <w:tcPr>
            <w:tcW w:w="528" w:type="pct"/>
            <w:vMerge/>
            <w:tcBorders>
              <w:tl2br w:val="nil"/>
              <w:tr2bl w:val="nil"/>
            </w:tcBorders>
            <w:vAlign w:val="center"/>
          </w:tcPr>
          <w:p w14:paraId="690B37FA" w14:textId="77777777" w:rsidR="003E78AB" w:rsidRDefault="003E78AB">
            <w:pPr>
              <w:spacing w:line="360" w:lineRule="exact"/>
              <w:ind w:firstLineChars="0" w:firstLine="0"/>
              <w:jc w:val="center"/>
              <w:rPr>
                <w:b/>
                <w:bCs/>
                <w:color w:val="000000"/>
                <w:sz w:val="21"/>
                <w:szCs w:val="21"/>
                <w:u w:val="single"/>
              </w:rPr>
            </w:pPr>
          </w:p>
        </w:tc>
        <w:tc>
          <w:tcPr>
            <w:tcW w:w="677" w:type="pct"/>
            <w:tcBorders>
              <w:tl2br w:val="nil"/>
              <w:tr2bl w:val="nil"/>
            </w:tcBorders>
            <w:shd w:val="clear" w:color="auto" w:fill="auto"/>
            <w:vAlign w:val="center"/>
          </w:tcPr>
          <w:p w14:paraId="6E6F6163"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TVOC</w:t>
            </w:r>
          </w:p>
        </w:tc>
        <w:tc>
          <w:tcPr>
            <w:tcW w:w="600" w:type="pct"/>
            <w:tcBorders>
              <w:tl2br w:val="nil"/>
              <w:tr2bl w:val="nil"/>
            </w:tcBorders>
            <w:shd w:val="clear" w:color="auto" w:fill="auto"/>
            <w:vAlign w:val="center"/>
          </w:tcPr>
          <w:p w14:paraId="41F7FE9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1</w:t>
            </w:r>
            <w:r>
              <w:rPr>
                <w:b/>
                <w:bCs/>
                <w:color w:val="000000"/>
                <w:kern w:val="2"/>
                <w:sz w:val="21"/>
                <w:szCs w:val="21"/>
                <w:u w:val="single"/>
                <w:lang w:bidi="ar"/>
              </w:rPr>
              <w:t>小时</w:t>
            </w:r>
          </w:p>
        </w:tc>
        <w:tc>
          <w:tcPr>
            <w:tcW w:w="1199" w:type="dxa"/>
            <w:tcBorders>
              <w:tl2br w:val="nil"/>
              <w:tr2bl w:val="nil"/>
            </w:tcBorders>
            <w:shd w:val="clear" w:color="auto" w:fill="auto"/>
            <w:vAlign w:val="center"/>
          </w:tcPr>
          <w:p w14:paraId="61EDADDB" w14:textId="77777777" w:rsidR="003E78AB" w:rsidRDefault="00010BF9">
            <w:pPr>
              <w:pStyle w:val="aff4"/>
              <w:rPr>
                <w:rFonts w:hint="default"/>
                <w:b/>
                <w:bCs/>
                <w:color w:val="000000"/>
                <w:kern w:val="2"/>
                <w:szCs w:val="21"/>
                <w:u w:val="single"/>
              </w:rPr>
            </w:pPr>
            <w:r>
              <w:rPr>
                <w:b/>
                <w:bCs/>
                <w:u w:val="single"/>
              </w:rPr>
              <w:t>2.4158</w:t>
            </w:r>
          </w:p>
        </w:tc>
        <w:tc>
          <w:tcPr>
            <w:tcW w:w="2008" w:type="dxa"/>
            <w:tcBorders>
              <w:tl2br w:val="nil"/>
              <w:tr2bl w:val="nil"/>
            </w:tcBorders>
            <w:shd w:val="clear" w:color="auto" w:fill="auto"/>
            <w:vAlign w:val="center"/>
          </w:tcPr>
          <w:p w14:paraId="763398B3" w14:textId="77777777" w:rsidR="003E78AB" w:rsidRDefault="00010BF9">
            <w:pPr>
              <w:pStyle w:val="aff4"/>
              <w:rPr>
                <w:rFonts w:hint="default"/>
                <w:b/>
                <w:bCs/>
                <w:color w:val="000000"/>
                <w:kern w:val="2"/>
                <w:szCs w:val="21"/>
                <w:u w:val="single"/>
              </w:rPr>
            </w:pPr>
            <w:r>
              <w:rPr>
                <w:b/>
                <w:bCs/>
                <w:u w:val="single"/>
              </w:rPr>
              <w:t>23051119</w:t>
            </w:r>
          </w:p>
        </w:tc>
        <w:tc>
          <w:tcPr>
            <w:tcW w:w="1221" w:type="dxa"/>
            <w:tcBorders>
              <w:tl2br w:val="nil"/>
              <w:tr2bl w:val="nil"/>
            </w:tcBorders>
            <w:shd w:val="clear" w:color="auto" w:fill="auto"/>
            <w:vAlign w:val="center"/>
          </w:tcPr>
          <w:p w14:paraId="34760BAE" w14:textId="77777777" w:rsidR="003E78AB" w:rsidRDefault="00010BF9">
            <w:pPr>
              <w:pStyle w:val="aff4"/>
              <w:rPr>
                <w:rFonts w:hint="default"/>
                <w:b/>
                <w:bCs/>
                <w:color w:val="000000"/>
                <w:kern w:val="2"/>
                <w:szCs w:val="21"/>
                <w:u w:val="single"/>
              </w:rPr>
            </w:pPr>
            <w:r>
              <w:rPr>
                <w:b/>
                <w:bCs/>
                <w:u w:val="single"/>
              </w:rPr>
              <w:t>1200</w:t>
            </w:r>
          </w:p>
        </w:tc>
        <w:tc>
          <w:tcPr>
            <w:tcW w:w="1009" w:type="dxa"/>
            <w:tcBorders>
              <w:tl2br w:val="nil"/>
              <w:tr2bl w:val="nil"/>
            </w:tcBorders>
            <w:shd w:val="clear" w:color="auto" w:fill="auto"/>
            <w:vAlign w:val="center"/>
          </w:tcPr>
          <w:p w14:paraId="2FAAE768" w14:textId="77777777" w:rsidR="003E78AB" w:rsidRDefault="00010BF9">
            <w:pPr>
              <w:pStyle w:val="aff4"/>
              <w:rPr>
                <w:rFonts w:hint="default"/>
                <w:b/>
                <w:bCs/>
                <w:color w:val="000000"/>
                <w:kern w:val="2"/>
                <w:szCs w:val="21"/>
                <w:u w:val="single"/>
              </w:rPr>
            </w:pPr>
            <w:r>
              <w:rPr>
                <w:b/>
                <w:bCs/>
                <w:u w:val="single"/>
              </w:rPr>
              <w:t>0.2</w:t>
            </w:r>
          </w:p>
        </w:tc>
      </w:tr>
      <w:tr w:rsidR="003E78AB" w14:paraId="54CEC99F" w14:textId="77777777">
        <w:trPr>
          <w:trHeight w:val="90"/>
          <w:jc w:val="center"/>
        </w:trPr>
        <w:tc>
          <w:tcPr>
            <w:tcW w:w="528" w:type="pct"/>
            <w:vMerge/>
            <w:tcBorders>
              <w:tl2br w:val="nil"/>
              <w:tr2bl w:val="nil"/>
            </w:tcBorders>
            <w:vAlign w:val="center"/>
          </w:tcPr>
          <w:p w14:paraId="1CF2D6DD" w14:textId="77777777" w:rsidR="003E78AB" w:rsidRDefault="003E78AB">
            <w:pPr>
              <w:spacing w:line="360" w:lineRule="exact"/>
              <w:ind w:firstLineChars="0" w:firstLine="0"/>
              <w:jc w:val="center"/>
              <w:rPr>
                <w:b/>
                <w:bCs/>
                <w:color w:val="000000"/>
                <w:sz w:val="21"/>
                <w:szCs w:val="21"/>
                <w:u w:val="single"/>
              </w:rPr>
            </w:pPr>
          </w:p>
        </w:tc>
        <w:tc>
          <w:tcPr>
            <w:tcW w:w="677" w:type="pct"/>
            <w:tcBorders>
              <w:tl2br w:val="nil"/>
              <w:tr2bl w:val="nil"/>
            </w:tcBorders>
            <w:vAlign w:val="center"/>
          </w:tcPr>
          <w:p w14:paraId="2B299349"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硫酸雾</w:t>
            </w:r>
          </w:p>
        </w:tc>
        <w:tc>
          <w:tcPr>
            <w:tcW w:w="600" w:type="pct"/>
            <w:tcBorders>
              <w:tl2br w:val="nil"/>
              <w:tr2bl w:val="nil"/>
            </w:tcBorders>
            <w:vAlign w:val="center"/>
          </w:tcPr>
          <w:p w14:paraId="7504176E" w14:textId="77777777" w:rsidR="003E78AB" w:rsidRDefault="00010BF9">
            <w:pPr>
              <w:spacing w:line="360" w:lineRule="exact"/>
              <w:ind w:firstLineChars="0" w:firstLine="0"/>
              <w:jc w:val="center"/>
              <w:rPr>
                <w:b/>
                <w:bCs/>
                <w:color w:val="000000"/>
                <w:kern w:val="2"/>
                <w:sz w:val="21"/>
                <w:szCs w:val="21"/>
                <w:u w:val="single"/>
                <w:lang w:bidi="ar"/>
              </w:rPr>
            </w:pPr>
            <w:r>
              <w:rPr>
                <w:b/>
                <w:bCs/>
                <w:color w:val="000000"/>
                <w:kern w:val="2"/>
                <w:sz w:val="21"/>
                <w:szCs w:val="21"/>
                <w:u w:val="single"/>
                <w:lang w:bidi="ar"/>
              </w:rPr>
              <w:t>1</w:t>
            </w:r>
            <w:r>
              <w:rPr>
                <w:b/>
                <w:bCs/>
                <w:color w:val="000000"/>
                <w:kern w:val="2"/>
                <w:sz w:val="21"/>
                <w:szCs w:val="21"/>
                <w:u w:val="single"/>
                <w:lang w:bidi="ar"/>
              </w:rPr>
              <w:t>小时</w:t>
            </w:r>
          </w:p>
        </w:tc>
        <w:tc>
          <w:tcPr>
            <w:tcW w:w="1199" w:type="dxa"/>
            <w:tcBorders>
              <w:tl2br w:val="nil"/>
              <w:tr2bl w:val="nil"/>
            </w:tcBorders>
            <w:vAlign w:val="center"/>
          </w:tcPr>
          <w:p w14:paraId="3903D4D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0.344</w:t>
            </w:r>
          </w:p>
        </w:tc>
        <w:tc>
          <w:tcPr>
            <w:tcW w:w="2008" w:type="dxa"/>
            <w:tcBorders>
              <w:tl2br w:val="nil"/>
              <w:tr2bl w:val="nil"/>
            </w:tcBorders>
            <w:vAlign w:val="center"/>
          </w:tcPr>
          <w:p w14:paraId="63091BF0"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102406</w:t>
            </w:r>
          </w:p>
        </w:tc>
        <w:tc>
          <w:tcPr>
            <w:tcW w:w="1221" w:type="dxa"/>
            <w:tcBorders>
              <w:tl2br w:val="nil"/>
              <w:tr2bl w:val="nil"/>
            </w:tcBorders>
            <w:vAlign w:val="center"/>
          </w:tcPr>
          <w:p w14:paraId="6F81AC3D"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300</w:t>
            </w:r>
          </w:p>
        </w:tc>
        <w:tc>
          <w:tcPr>
            <w:tcW w:w="1009" w:type="dxa"/>
            <w:tcBorders>
              <w:tl2br w:val="nil"/>
              <w:tr2bl w:val="nil"/>
            </w:tcBorders>
            <w:vAlign w:val="center"/>
          </w:tcPr>
          <w:p w14:paraId="5CB98922"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0.11</w:t>
            </w:r>
          </w:p>
        </w:tc>
      </w:tr>
    </w:tbl>
    <w:p w14:paraId="1C19C4A9" w14:textId="77777777" w:rsidR="003E78AB" w:rsidRDefault="00010BF9">
      <w:pPr>
        <w:pStyle w:val="afd"/>
        <w:spacing w:after="0"/>
        <w:ind w:firstLineChars="200" w:firstLine="482"/>
        <w:rPr>
          <w:b/>
          <w:bCs/>
          <w:color w:val="000000"/>
          <w:u w:val="single"/>
        </w:rPr>
      </w:pPr>
      <w:r>
        <w:rPr>
          <w:b/>
          <w:bCs/>
          <w:color w:val="000000"/>
          <w:sz w:val="24"/>
          <w:szCs w:val="21"/>
          <w:u w:val="single"/>
        </w:rPr>
        <w:t>根据以上表格预测结果可知，本项目正常排放情况下，环境空气保护目标和网格点主要新增污染源</w:t>
      </w:r>
      <w:r>
        <w:rPr>
          <w:b/>
          <w:bCs/>
          <w:color w:val="000000"/>
          <w:sz w:val="24"/>
          <w:szCs w:val="21"/>
          <w:u w:val="single"/>
        </w:rPr>
        <w:t>NO</w:t>
      </w:r>
      <w:r>
        <w:rPr>
          <w:b/>
          <w:bCs/>
          <w:color w:val="000000"/>
          <w:sz w:val="24"/>
          <w:szCs w:val="21"/>
          <w:u w:val="single"/>
          <w:vertAlign w:val="subscript"/>
        </w:rPr>
        <w:t>2</w:t>
      </w:r>
      <w:r>
        <w:rPr>
          <w:b/>
          <w:bCs/>
          <w:color w:val="000000"/>
          <w:sz w:val="24"/>
          <w:szCs w:val="21"/>
          <w:u w:val="single"/>
        </w:rPr>
        <w:t>、</w:t>
      </w:r>
      <w:r>
        <w:rPr>
          <w:b/>
          <w:bCs/>
          <w:color w:val="000000"/>
          <w:sz w:val="24"/>
          <w:u w:val="single"/>
        </w:rPr>
        <w:t>SO</w:t>
      </w:r>
      <w:r>
        <w:rPr>
          <w:b/>
          <w:bCs/>
          <w:color w:val="000000"/>
          <w:sz w:val="24"/>
          <w:u w:val="single"/>
          <w:vertAlign w:val="subscript"/>
        </w:rPr>
        <w:t>2</w:t>
      </w:r>
      <w:r>
        <w:rPr>
          <w:b/>
          <w:bCs/>
          <w:color w:val="000000"/>
          <w:sz w:val="24"/>
          <w:szCs w:val="21"/>
          <w:u w:val="single"/>
        </w:rPr>
        <w:t>、</w:t>
      </w:r>
      <w:r>
        <w:rPr>
          <w:rFonts w:hint="eastAsia"/>
          <w:b/>
          <w:bCs/>
          <w:color w:val="000000"/>
          <w:sz w:val="24"/>
          <w:szCs w:val="21"/>
          <w:u w:val="single"/>
        </w:rPr>
        <w:t>TVOC</w:t>
      </w:r>
      <w:r>
        <w:rPr>
          <w:rFonts w:hint="eastAsia"/>
          <w:b/>
          <w:bCs/>
          <w:color w:val="000000"/>
          <w:sz w:val="24"/>
          <w:szCs w:val="21"/>
          <w:u w:val="single"/>
        </w:rPr>
        <w:t>、硫酸雾</w:t>
      </w:r>
      <w:r>
        <w:rPr>
          <w:rFonts w:hint="eastAsia"/>
          <w:b/>
          <w:bCs/>
          <w:color w:val="000000"/>
          <w:sz w:val="24"/>
          <w:szCs w:val="21"/>
          <w:u w:val="single"/>
        </w:rPr>
        <w:t xml:space="preserve"> </w:t>
      </w:r>
      <w:r>
        <w:rPr>
          <w:b/>
          <w:bCs/>
          <w:color w:val="000000"/>
          <w:sz w:val="24"/>
          <w:szCs w:val="21"/>
          <w:u w:val="single"/>
        </w:rPr>
        <w:t>1</w:t>
      </w:r>
      <w:r>
        <w:rPr>
          <w:b/>
          <w:bCs/>
          <w:color w:val="000000"/>
          <w:sz w:val="24"/>
          <w:szCs w:val="21"/>
          <w:u w:val="single"/>
        </w:rPr>
        <w:t>小时平均贡献值最大浓度占标率分别为</w:t>
      </w:r>
      <w:r>
        <w:rPr>
          <w:rFonts w:hint="eastAsia"/>
          <w:b/>
          <w:bCs/>
          <w:color w:val="000000"/>
          <w:sz w:val="24"/>
          <w:szCs w:val="21"/>
          <w:u w:val="single"/>
        </w:rPr>
        <w:t>3.58</w:t>
      </w:r>
      <w:r>
        <w:rPr>
          <w:b/>
          <w:bCs/>
          <w:color w:val="000000"/>
          <w:sz w:val="24"/>
          <w:szCs w:val="21"/>
          <w:u w:val="single"/>
        </w:rPr>
        <w:t>%</w:t>
      </w:r>
      <w:r>
        <w:rPr>
          <w:b/>
          <w:bCs/>
          <w:color w:val="000000"/>
          <w:sz w:val="24"/>
          <w:szCs w:val="21"/>
          <w:u w:val="single"/>
        </w:rPr>
        <w:t>、</w:t>
      </w:r>
      <w:r>
        <w:rPr>
          <w:rFonts w:hint="eastAsia"/>
          <w:b/>
          <w:bCs/>
          <w:color w:val="000000"/>
          <w:sz w:val="24"/>
          <w:szCs w:val="21"/>
          <w:u w:val="single"/>
        </w:rPr>
        <w:t>1.74</w:t>
      </w:r>
      <w:r>
        <w:rPr>
          <w:b/>
          <w:bCs/>
          <w:color w:val="000000"/>
          <w:sz w:val="24"/>
          <w:szCs w:val="21"/>
          <w:u w:val="single"/>
        </w:rPr>
        <w:t>%</w:t>
      </w:r>
      <w:r>
        <w:rPr>
          <w:b/>
          <w:bCs/>
          <w:color w:val="000000"/>
          <w:sz w:val="24"/>
          <w:szCs w:val="21"/>
          <w:u w:val="single"/>
        </w:rPr>
        <w:t>、</w:t>
      </w:r>
      <w:r>
        <w:rPr>
          <w:rFonts w:hint="eastAsia"/>
          <w:b/>
          <w:bCs/>
          <w:color w:val="000000"/>
          <w:sz w:val="24"/>
          <w:szCs w:val="21"/>
          <w:u w:val="single"/>
        </w:rPr>
        <w:t>0.2</w:t>
      </w:r>
      <w:r>
        <w:rPr>
          <w:b/>
          <w:bCs/>
          <w:color w:val="000000"/>
          <w:sz w:val="24"/>
          <w:szCs w:val="21"/>
          <w:u w:val="single"/>
        </w:rPr>
        <w:t>%</w:t>
      </w:r>
      <w:r>
        <w:rPr>
          <w:rFonts w:hint="eastAsia"/>
          <w:b/>
          <w:bCs/>
          <w:color w:val="000000"/>
          <w:sz w:val="24"/>
          <w:szCs w:val="21"/>
          <w:u w:val="single"/>
        </w:rPr>
        <w:t>、</w:t>
      </w:r>
      <w:r>
        <w:rPr>
          <w:rFonts w:hint="eastAsia"/>
          <w:b/>
          <w:bCs/>
          <w:color w:val="000000"/>
          <w:sz w:val="24"/>
          <w:szCs w:val="21"/>
          <w:u w:val="single"/>
        </w:rPr>
        <w:t>0.11</w:t>
      </w:r>
      <w:r>
        <w:rPr>
          <w:b/>
          <w:bCs/>
          <w:color w:val="000000"/>
          <w:sz w:val="24"/>
          <w:szCs w:val="21"/>
          <w:u w:val="single"/>
        </w:rPr>
        <w:t>%</w:t>
      </w:r>
      <w:r>
        <w:rPr>
          <w:b/>
          <w:bCs/>
          <w:color w:val="000000"/>
          <w:sz w:val="24"/>
          <w:szCs w:val="21"/>
          <w:u w:val="single"/>
        </w:rPr>
        <w:t>。评价范围内各污染物</w:t>
      </w:r>
      <w:r>
        <w:rPr>
          <w:b/>
          <w:bCs/>
          <w:color w:val="000000"/>
          <w:sz w:val="24"/>
          <w:szCs w:val="21"/>
          <w:u w:val="single"/>
        </w:rPr>
        <w:t>1</w:t>
      </w:r>
      <w:r>
        <w:rPr>
          <w:b/>
          <w:bCs/>
          <w:color w:val="000000"/>
          <w:sz w:val="24"/>
          <w:szCs w:val="21"/>
          <w:u w:val="single"/>
        </w:rPr>
        <w:t>小时平均贡献的最大浓度占标率最大值为</w:t>
      </w:r>
      <w:r>
        <w:rPr>
          <w:rFonts w:hint="eastAsia"/>
          <w:b/>
          <w:bCs/>
          <w:color w:val="000000"/>
          <w:sz w:val="24"/>
          <w:szCs w:val="21"/>
          <w:u w:val="single"/>
        </w:rPr>
        <w:t>3.58</w:t>
      </w:r>
      <w:r>
        <w:rPr>
          <w:b/>
          <w:bCs/>
          <w:color w:val="000000"/>
          <w:sz w:val="24"/>
          <w:szCs w:val="21"/>
          <w:u w:val="single"/>
        </w:rPr>
        <w:t>%</w:t>
      </w:r>
      <w:r>
        <w:rPr>
          <w:b/>
          <w:bCs/>
          <w:color w:val="000000"/>
          <w:sz w:val="24"/>
          <w:szCs w:val="21"/>
          <w:u w:val="single"/>
        </w:rPr>
        <w:t>＜</w:t>
      </w:r>
      <w:r>
        <w:rPr>
          <w:b/>
          <w:bCs/>
          <w:color w:val="000000"/>
          <w:sz w:val="24"/>
          <w:szCs w:val="21"/>
          <w:u w:val="single"/>
        </w:rPr>
        <w:t>100%</w:t>
      </w:r>
      <w:r>
        <w:rPr>
          <w:b/>
          <w:bCs/>
          <w:color w:val="000000"/>
          <w:sz w:val="24"/>
          <w:szCs w:val="21"/>
          <w:u w:val="single"/>
        </w:rPr>
        <w:t>。</w:t>
      </w:r>
    </w:p>
    <w:p w14:paraId="239A5074" w14:textId="77777777" w:rsidR="003E78AB" w:rsidRDefault="00010BF9">
      <w:pPr>
        <w:ind w:firstLine="482"/>
        <w:rPr>
          <w:b/>
          <w:bCs/>
          <w:color w:val="000000"/>
          <w:szCs w:val="22"/>
          <w:u w:val="single"/>
        </w:rPr>
      </w:pPr>
      <w:r>
        <w:rPr>
          <w:b/>
          <w:bCs/>
          <w:color w:val="000000"/>
          <w:u w:val="single"/>
        </w:rPr>
        <w:t>2</w:t>
      </w:r>
      <w:r>
        <w:rPr>
          <w:b/>
          <w:bCs/>
          <w:color w:val="000000"/>
          <w:u w:val="single"/>
        </w:rPr>
        <w:t>）日平均浓度</w:t>
      </w:r>
    </w:p>
    <w:p w14:paraId="720D296F" w14:textId="77777777" w:rsidR="003E78AB" w:rsidRDefault="00010BF9">
      <w:pPr>
        <w:pStyle w:val="a4"/>
        <w:spacing w:before="120"/>
        <w:rPr>
          <w:b/>
          <w:bCs/>
          <w:color w:val="000000"/>
          <w:u w:val="single"/>
        </w:rPr>
      </w:pPr>
      <w:r>
        <w:rPr>
          <w:b/>
          <w:bCs/>
          <w:color w:val="000000"/>
          <w:u w:val="single"/>
        </w:rPr>
        <w:t>本项目</w:t>
      </w:r>
      <w:r>
        <w:rPr>
          <w:b/>
          <w:bCs/>
          <w:color w:val="000000"/>
          <w:u w:val="single"/>
        </w:rPr>
        <w:t>NO</w:t>
      </w:r>
      <w:r>
        <w:rPr>
          <w:b/>
          <w:bCs/>
          <w:color w:val="000000"/>
          <w:u w:val="single"/>
        </w:rPr>
        <w:t>2</w:t>
      </w:r>
      <w:r>
        <w:rPr>
          <w:rFonts w:hint="eastAsia"/>
          <w:b/>
          <w:bCs/>
          <w:color w:val="000000"/>
          <w:u w:val="single"/>
        </w:rPr>
        <w:t>日平均</w:t>
      </w:r>
      <w:r>
        <w:rPr>
          <w:b/>
          <w:bCs/>
          <w:color w:val="000000"/>
          <w:u w:val="single"/>
        </w:rPr>
        <w:t>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424"/>
        <w:gridCol w:w="782"/>
        <w:gridCol w:w="1080"/>
        <w:gridCol w:w="1713"/>
        <w:gridCol w:w="1347"/>
        <w:gridCol w:w="1036"/>
        <w:gridCol w:w="851"/>
      </w:tblGrid>
      <w:tr w:rsidR="003E78AB" w14:paraId="7E5712D7" w14:textId="77777777">
        <w:trPr>
          <w:tblHeader/>
        </w:trPr>
        <w:tc>
          <w:tcPr>
            <w:tcW w:w="527" w:type="dxa"/>
            <w:tcBorders>
              <w:tl2br w:val="nil"/>
              <w:tr2bl w:val="nil"/>
            </w:tcBorders>
            <w:noWrap/>
            <w:tcMar>
              <w:top w:w="15" w:type="dxa"/>
              <w:left w:w="15" w:type="dxa"/>
              <w:right w:w="15" w:type="dxa"/>
            </w:tcMar>
            <w:vAlign w:val="center"/>
          </w:tcPr>
          <w:p w14:paraId="7DFB897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424" w:type="dxa"/>
            <w:tcBorders>
              <w:tl2br w:val="nil"/>
              <w:tr2bl w:val="nil"/>
            </w:tcBorders>
            <w:noWrap/>
            <w:tcMar>
              <w:top w:w="15" w:type="dxa"/>
              <w:left w:w="15" w:type="dxa"/>
              <w:right w:w="15" w:type="dxa"/>
            </w:tcMar>
            <w:vAlign w:val="center"/>
          </w:tcPr>
          <w:p w14:paraId="35D5D46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674341F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782" w:type="dxa"/>
            <w:tcBorders>
              <w:tl2br w:val="nil"/>
              <w:tr2bl w:val="nil"/>
            </w:tcBorders>
            <w:noWrap/>
            <w:tcMar>
              <w:top w:w="15" w:type="dxa"/>
              <w:left w:w="15" w:type="dxa"/>
              <w:right w:w="15" w:type="dxa"/>
            </w:tcMar>
            <w:vAlign w:val="center"/>
          </w:tcPr>
          <w:p w14:paraId="1A46C84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287DDE9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7FD1841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23C692B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13F7879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1A1A8C05"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077A6A92"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3F0D4D31" w14:textId="77777777">
        <w:tc>
          <w:tcPr>
            <w:tcW w:w="527" w:type="dxa"/>
            <w:tcBorders>
              <w:tl2br w:val="nil"/>
              <w:tr2bl w:val="nil"/>
            </w:tcBorders>
            <w:noWrap/>
            <w:tcMar>
              <w:top w:w="15" w:type="dxa"/>
              <w:left w:w="15" w:type="dxa"/>
              <w:right w:w="15" w:type="dxa"/>
            </w:tcMar>
            <w:vAlign w:val="center"/>
          </w:tcPr>
          <w:p w14:paraId="6D7ABDF6"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424" w:type="dxa"/>
            <w:tcBorders>
              <w:tl2br w:val="nil"/>
              <w:tr2bl w:val="nil"/>
            </w:tcBorders>
            <w:noWrap/>
            <w:tcMar>
              <w:top w:w="15" w:type="dxa"/>
              <w:left w:w="15" w:type="dxa"/>
              <w:right w:w="15" w:type="dxa"/>
            </w:tcMar>
            <w:vAlign w:val="center"/>
          </w:tcPr>
          <w:p w14:paraId="18D669F3" w14:textId="77777777" w:rsidR="003E78AB" w:rsidRDefault="00010BF9">
            <w:pPr>
              <w:pStyle w:val="aff6"/>
              <w:topLinePunct/>
              <w:rPr>
                <w:b/>
                <w:bCs/>
                <w:color w:val="000000"/>
                <w:u w:val="single"/>
              </w:rPr>
            </w:pPr>
            <w:r>
              <w:rPr>
                <w:b/>
                <w:bCs/>
                <w:u w:val="single"/>
              </w:rPr>
              <w:t>安居富民小区</w:t>
            </w:r>
          </w:p>
        </w:tc>
        <w:tc>
          <w:tcPr>
            <w:tcW w:w="782" w:type="dxa"/>
            <w:tcBorders>
              <w:tl2br w:val="nil"/>
              <w:tr2bl w:val="nil"/>
            </w:tcBorders>
            <w:noWrap/>
            <w:tcMar>
              <w:top w:w="15" w:type="dxa"/>
              <w:left w:w="15" w:type="dxa"/>
              <w:right w:w="15" w:type="dxa"/>
            </w:tcMar>
            <w:vAlign w:val="center"/>
          </w:tcPr>
          <w:p w14:paraId="74AB522F"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6B7CDD2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0.224</w:t>
            </w:r>
          </w:p>
        </w:tc>
        <w:tc>
          <w:tcPr>
            <w:tcW w:w="1713" w:type="dxa"/>
            <w:tcBorders>
              <w:tl2br w:val="nil"/>
              <w:tr2bl w:val="nil"/>
            </w:tcBorders>
            <w:noWrap/>
            <w:tcMar>
              <w:top w:w="15" w:type="dxa"/>
              <w:left w:w="15" w:type="dxa"/>
              <w:right w:w="15" w:type="dxa"/>
            </w:tcMar>
            <w:vAlign w:val="center"/>
          </w:tcPr>
          <w:p w14:paraId="303CA8E3"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0706</w:t>
            </w:r>
          </w:p>
        </w:tc>
        <w:tc>
          <w:tcPr>
            <w:tcW w:w="1347" w:type="dxa"/>
            <w:tcBorders>
              <w:tl2br w:val="nil"/>
              <w:tr2bl w:val="nil"/>
            </w:tcBorders>
            <w:noWrap/>
            <w:tcMar>
              <w:top w:w="15" w:type="dxa"/>
              <w:left w:w="15" w:type="dxa"/>
              <w:right w:w="15" w:type="dxa"/>
            </w:tcMar>
            <w:vAlign w:val="center"/>
          </w:tcPr>
          <w:p w14:paraId="2227DB37" w14:textId="77777777" w:rsidR="003E78AB" w:rsidRDefault="00010BF9">
            <w:pPr>
              <w:pStyle w:val="aff4"/>
              <w:rPr>
                <w:rFonts w:hint="default"/>
                <w:b/>
                <w:bCs/>
                <w:color w:val="000000"/>
                <w:szCs w:val="21"/>
                <w:u w:val="single"/>
              </w:rPr>
            </w:pPr>
            <w:r>
              <w:rPr>
                <w:rFonts w:hint="default"/>
                <w:b/>
                <w:bCs/>
                <w:color w:val="000000"/>
                <w:szCs w:val="21"/>
                <w:u w:val="single"/>
              </w:rPr>
              <w:t>80</w:t>
            </w:r>
          </w:p>
        </w:tc>
        <w:tc>
          <w:tcPr>
            <w:tcW w:w="1036" w:type="dxa"/>
            <w:tcBorders>
              <w:tl2br w:val="nil"/>
              <w:tr2bl w:val="nil"/>
            </w:tcBorders>
            <w:noWrap/>
            <w:tcMar>
              <w:top w:w="15" w:type="dxa"/>
              <w:left w:w="15" w:type="dxa"/>
              <w:right w:w="15" w:type="dxa"/>
            </w:tcMar>
            <w:vAlign w:val="center"/>
          </w:tcPr>
          <w:p w14:paraId="6E11A325"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0.28</w:t>
            </w:r>
          </w:p>
        </w:tc>
        <w:tc>
          <w:tcPr>
            <w:tcW w:w="851" w:type="dxa"/>
            <w:tcBorders>
              <w:tl2br w:val="nil"/>
              <w:tr2bl w:val="nil"/>
            </w:tcBorders>
            <w:noWrap/>
            <w:tcMar>
              <w:top w:w="15" w:type="dxa"/>
              <w:left w:w="15" w:type="dxa"/>
              <w:right w:w="15" w:type="dxa"/>
            </w:tcMar>
            <w:vAlign w:val="center"/>
          </w:tcPr>
          <w:p w14:paraId="35ACBE4D"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1F8821CA" w14:textId="77777777">
        <w:tc>
          <w:tcPr>
            <w:tcW w:w="527" w:type="dxa"/>
            <w:tcBorders>
              <w:tl2br w:val="nil"/>
              <w:tr2bl w:val="nil"/>
            </w:tcBorders>
            <w:noWrap/>
            <w:tcMar>
              <w:top w:w="15" w:type="dxa"/>
              <w:left w:w="15" w:type="dxa"/>
              <w:right w:w="15" w:type="dxa"/>
            </w:tcMar>
            <w:vAlign w:val="center"/>
          </w:tcPr>
          <w:p w14:paraId="7C5713A2"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424" w:type="dxa"/>
            <w:tcBorders>
              <w:tl2br w:val="nil"/>
              <w:tr2bl w:val="nil"/>
            </w:tcBorders>
            <w:noWrap/>
            <w:tcMar>
              <w:top w:w="15" w:type="dxa"/>
              <w:left w:w="15" w:type="dxa"/>
              <w:right w:w="15" w:type="dxa"/>
            </w:tcMar>
            <w:vAlign w:val="center"/>
          </w:tcPr>
          <w:p w14:paraId="33992EF4" w14:textId="77777777" w:rsidR="003E78AB" w:rsidRDefault="00010BF9">
            <w:pPr>
              <w:pStyle w:val="aff6"/>
              <w:topLinePunct/>
              <w:rPr>
                <w:b/>
                <w:bCs/>
                <w:color w:val="000000"/>
                <w:u w:val="single"/>
              </w:rPr>
            </w:pPr>
            <w:r>
              <w:rPr>
                <w:b/>
                <w:bCs/>
                <w:u w:val="single"/>
              </w:rPr>
              <w:t>项目区上风向</w:t>
            </w:r>
          </w:p>
        </w:tc>
        <w:tc>
          <w:tcPr>
            <w:tcW w:w="782" w:type="dxa"/>
            <w:tcBorders>
              <w:tl2br w:val="nil"/>
              <w:tr2bl w:val="nil"/>
            </w:tcBorders>
            <w:noWrap/>
            <w:tcMar>
              <w:top w:w="15" w:type="dxa"/>
              <w:left w:w="15" w:type="dxa"/>
              <w:right w:w="15" w:type="dxa"/>
            </w:tcMar>
            <w:vAlign w:val="center"/>
          </w:tcPr>
          <w:p w14:paraId="16AB1F49"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3DDBE26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0.101</w:t>
            </w:r>
          </w:p>
        </w:tc>
        <w:tc>
          <w:tcPr>
            <w:tcW w:w="1713" w:type="dxa"/>
            <w:tcBorders>
              <w:tl2br w:val="nil"/>
              <w:tr2bl w:val="nil"/>
            </w:tcBorders>
            <w:noWrap/>
            <w:tcMar>
              <w:top w:w="15" w:type="dxa"/>
              <w:left w:w="15" w:type="dxa"/>
              <w:right w:w="15" w:type="dxa"/>
            </w:tcMar>
            <w:vAlign w:val="center"/>
          </w:tcPr>
          <w:p w14:paraId="378A3E33"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0220</w:t>
            </w:r>
          </w:p>
        </w:tc>
        <w:tc>
          <w:tcPr>
            <w:tcW w:w="1347" w:type="dxa"/>
            <w:tcBorders>
              <w:tl2br w:val="nil"/>
              <w:tr2bl w:val="nil"/>
            </w:tcBorders>
            <w:noWrap/>
            <w:tcMar>
              <w:top w:w="15" w:type="dxa"/>
              <w:left w:w="15" w:type="dxa"/>
              <w:right w:w="15" w:type="dxa"/>
            </w:tcMar>
            <w:vAlign w:val="center"/>
          </w:tcPr>
          <w:p w14:paraId="4D80F2C2"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80</w:t>
            </w:r>
          </w:p>
        </w:tc>
        <w:tc>
          <w:tcPr>
            <w:tcW w:w="1036" w:type="dxa"/>
            <w:tcBorders>
              <w:tl2br w:val="nil"/>
              <w:tr2bl w:val="nil"/>
            </w:tcBorders>
            <w:noWrap/>
            <w:tcMar>
              <w:top w:w="15" w:type="dxa"/>
              <w:left w:w="15" w:type="dxa"/>
              <w:right w:w="15" w:type="dxa"/>
            </w:tcMar>
            <w:vAlign w:val="center"/>
          </w:tcPr>
          <w:p w14:paraId="66EDDA36"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0.13</w:t>
            </w:r>
          </w:p>
        </w:tc>
        <w:tc>
          <w:tcPr>
            <w:tcW w:w="851" w:type="dxa"/>
            <w:tcBorders>
              <w:tl2br w:val="nil"/>
              <w:tr2bl w:val="nil"/>
            </w:tcBorders>
            <w:noWrap/>
            <w:tcMar>
              <w:top w:w="15" w:type="dxa"/>
              <w:left w:w="15" w:type="dxa"/>
              <w:right w:w="15" w:type="dxa"/>
            </w:tcMar>
            <w:vAlign w:val="center"/>
          </w:tcPr>
          <w:p w14:paraId="4DD92C5F"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50B144A1" w14:textId="77777777">
        <w:tc>
          <w:tcPr>
            <w:tcW w:w="527" w:type="dxa"/>
            <w:tcBorders>
              <w:tl2br w:val="nil"/>
              <w:tr2bl w:val="nil"/>
            </w:tcBorders>
            <w:noWrap/>
            <w:tcMar>
              <w:top w:w="15" w:type="dxa"/>
              <w:left w:w="15" w:type="dxa"/>
              <w:right w:w="15" w:type="dxa"/>
            </w:tcMar>
            <w:vAlign w:val="center"/>
          </w:tcPr>
          <w:p w14:paraId="4484FDBA"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424" w:type="dxa"/>
            <w:tcBorders>
              <w:tl2br w:val="nil"/>
              <w:tr2bl w:val="nil"/>
            </w:tcBorders>
            <w:noWrap/>
            <w:tcMar>
              <w:top w:w="15" w:type="dxa"/>
              <w:left w:w="15" w:type="dxa"/>
              <w:right w:w="15" w:type="dxa"/>
            </w:tcMar>
            <w:vAlign w:val="center"/>
          </w:tcPr>
          <w:p w14:paraId="3D069D04" w14:textId="77777777" w:rsidR="003E78AB" w:rsidRDefault="00010BF9">
            <w:pPr>
              <w:pStyle w:val="aff6"/>
              <w:topLinePunct/>
              <w:rPr>
                <w:b/>
                <w:bCs/>
                <w:color w:val="000000"/>
                <w:u w:val="single"/>
              </w:rPr>
            </w:pPr>
            <w:r>
              <w:rPr>
                <w:b/>
                <w:bCs/>
                <w:u w:val="single"/>
              </w:rPr>
              <w:t>项目区下风向</w:t>
            </w:r>
          </w:p>
        </w:tc>
        <w:tc>
          <w:tcPr>
            <w:tcW w:w="782" w:type="dxa"/>
            <w:tcBorders>
              <w:tl2br w:val="nil"/>
              <w:tr2bl w:val="nil"/>
            </w:tcBorders>
            <w:noWrap/>
            <w:tcMar>
              <w:top w:w="15" w:type="dxa"/>
              <w:left w:w="15" w:type="dxa"/>
              <w:right w:w="15" w:type="dxa"/>
            </w:tcMar>
            <w:vAlign w:val="center"/>
          </w:tcPr>
          <w:p w14:paraId="41C27121"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5B7ACE30"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0.171</w:t>
            </w:r>
          </w:p>
        </w:tc>
        <w:tc>
          <w:tcPr>
            <w:tcW w:w="1713" w:type="dxa"/>
            <w:tcBorders>
              <w:tl2br w:val="nil"/>
              <w:tr2bl w:val="nil"/>
            </w:tcBorders>
            <w:noWrap/>
            <w:tcMar>
              <w:top w:w="15" w:type="dxa"/>
              <w:left w:w="15" w:type="dxa"/>
              <w:right w:w="15" w:type="dxa"/>
            </w:tcMar>
            <w:vAlign w:val="center"/>
          </w:tcPr>
          <w:p w14:paraId="1144E10E"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0528</w:t>
            </w:r>
          </w:p>
        </w:tc>
        <w:tc>
          <w:tcPr>
            <w:tcW w:w="1347" w:type="dxa"/>
            <w:tcBorders>
              <w:tl2br w:val="nil"/>
              <w:tr2bl w:val="nil"/>
            </w:tcBorders>
            <w:noWrap/>
            <w:tcMar>
              <w:top w:w="15" w:type="dxa"/>
              <w:left w:w="15" w:type="dxa"/>
              <w:right w:w="15" w:type="dxa"/>
            </w:tcMar>
            <w:vAlign w:val="center"/>
          </w:tcPr>
          <w:p w14:paraId="1A7A92DB"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80</w:t>
            </w:r>
          </w:p>
        </w:tc>
        <w:tc>
          <w:tcPr>
            <w:tcW w:w="1036" w:type="dxa"/>
            <w:tcBorders>
              <w:tl2br w:val="nil"/>
              <w:tr2bl w:val="nil"/>
            </w:tcBorders>
            <w:noWrap/>
            <w:tcMar>
              <w:top w:w="15" w:type="dxa"/>
              <w:left w:w="15" w:type="dxa"/>
              <w:right w:w="15" w:type="dxa"/>
            </w:tcMar>
            <w:vAlign w:val="center"/>
          </w:tcPr>
          <w:p w14:paraId="6B609AF2"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0.21</w:t>
            </w:r>
          </w:p>
        </w:tc>
        <w:tc>
          <w:tcPr>
            <w:tcW w:w="851" w:type="dxa"/>
            <w:tcBorders>
              <w:tl2br w:val="nil"/>
              <w:tr2bl w:val="nil"/>
            </w:tcBorders>
            <w:noWrap/>
            <w:tcMar>
              <w:top w:w="15" w:type="dxa"/>
              <w:left w:w="15" w:type="dxa"/>
              <w:right w:w="15" w:type="dxa"/>
            </w:tcMar>
            <w:vAlign w:val="center"/>
          </w:tcPr>
          <w:p w14:paraId="74252960"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629AD15A" w14:textId="77777777">
        <w:tc>
          <w:tcPr>
            <w:tcW w:w="527" w:type="dxa"/>
            <w:tcBorders>
              <w:tl2br w:val="nil"/>
              <w:tr2bl w:val="nil"/>
            </w:tcBorders>
            <w:noWrap/>
            <w:tcMar>
              <w:top w:w="15" w:type="dxa"/>
              <w:left w:w="15" w:type="dxa"/>
              <w:right w:w="15" w:type="dxa"/>
            </w:tcMar>
            <w:vAlign w:val="center"/>
          </w:tcPr>
          <w:p w14:paraId="3BA2BEF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1424" w:type="dxa"/>
            <w:tcBorders>
              <w:tl2br w:val="nil"/>
              <w:tr2bl w:val="nil"/>
            </w:tcBorders>
            <w:noWrap/>
            <w:tcMar>
              <w:top w:w="15" w:type="dxa"/>
              <w:left w:w="15" w:type="dxa"/>
              <w:right w:w="15" w:type="dxa"/>
            </w:tcMar>
            <w:vAlign w:val="center"/>
          </w:tcPr>
          <w:p w14:paraId="6D84C17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782" w:type="dxa"/>
            <w:tcBorders>
              <w:tl2br w:val="nil"/>
              <w:tr2bl w:val="nil"/>
            </w:tcBorders>
            <w:noWrap/>
            <w:tcMar>
              <w:top w:w="15" w:type="dxa"/>
              <w:left w:w="15" w:type="dxa"/>
              <w:right w:w="15" w:type="dxa"/>
            </w:tcMar>
            <w:vAlign w:val="center"/>
          </w:tcPr>
          <w:p w14:paraId="18FF448F"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13F5D055"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0.791</w:t>
            </w:r>
          </w:p>
        </w:tc>
        <w:tc>
          <w:tcPr>
            <w:tcW w:w="1713" w:type="dxa"/>
            <w:tcBorders>
              <w:tl2br w:val="nil"/>
              <w:tr2bl w:val="nil"/>
            </w:tcBorders>
            <w:noWrap/>
            <w:tcMar>
              <w:top w:w="15" w:type="dxa"/>
              <w:left w:w="15" w:type="dxa"/>
              <w:right w:w="15" w:type="dxa"/>
            </w:tcMar>
            <w:vAlign w:val="center"/>
          </w:tcPr>
          <w:p w14:paraId="58461110"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0117</w:t>
            </w:r>
          </w:p>
        </w:tc>
        <w:tc>
          <w:tcPr>
            <w:tcW w:w="1347" w:type="dxa"/>
            <w:tcBorders>
              <w:tl2br w:val="nil"/>
              <w:tr2bl w:val="nil"/>
            </w:tcBorders>
            <w:noWrap/>
            <w:tcMar>
              <w:top w:w="15" w:type="dxa"/>
              <w:left w:w="15" w:type="dxa"/>
              <w:right w:w="15" w:type="dxa"/>
            </w:tcMar>
            <w:vAlign w:val="center"/>
          </w:tcPr>
          <w:p w14:paraId="130977E5"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80</w:t>
            </w:r>
          </w:p>
        </w:tc>
        <w:tc>
          <w:tcPr>
            <w:tcW w:w="1036" w:type="dxa"/>
            <w:tcBorders>
              <w:tl2br w:val="nil"/>
              <w:tr2bl w:val="nil"/>
            </w:tcBorders>
            <w:noWrap/>
            <w:tcMar>
              <w:top w:w="15" w:type="dxa"/>
              <w:left w:w="15" w:type="dxa"/>
              <w:right w:w="15" w:type="dxa"/>
            </w:tcMar>
            <w:vAlign w:val="center"/>
          </w:tcPr>
          <w:p w14:paraId="6D4940F0"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0.99</w:t>
            </w:r>
          </w:p>
        </w:tc>
        <w:tc>
          <w:tcPr>
            <w:tcW w:w="851" w:type="dxa"/>
            <w:tcBorders>
              <w:tl2br w:val="nil"/>
              <w:tr2bl w:val="nil"/>
            </w:tcBorders>
            <w:noWrap/>
            <w:tcMar>
              <w:top w:w="15" w:type="dxa"/>
              <w:left w:w="15" w:type="dxa"/>
              <w:right w:w="15" w:type="dxa"/>
            </w:tcMar>
            <w:vAlign w:val="center"/>
          </w:tcPr>
          <w:p w14:paraId="2E4D3299"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685E4541" w14:textId="77777777" w:rsidR="003E78AB" w:rsidRDefault="00010BF9">
      <w:pPr>
        <w:pStyle w:val="a4"/>
        <w:spacing w:before="120"/>
        <w:rPr>
          <w:b/>
          <w:bCs/>
          <w:color w:val="000000"/>
          <w:u w:val="single"/>
        </w:rPr>
      </w:pPr>
      <w:r>
        <w:rPr>
          <w:b/>
          <w:bCs/>
          <w:color w:val="000000"/>
          <w:u w:val="single"/>
        </w:rPr>
        <w:t>本项目</w:t>
      </w:r>
      <w:r>
        <w:rPr>
          <w:rFonts w:hint="eastAsia"/>
          <w:b/>
          <w:bCs/>
          <w:color w:val="000000"/>
          <w:u w:val="single"/>
        </w:rPr>
        <w:t>S</w:t>
      </w:r>
      <w:r>
        <w:rPr>
          <w:b/>
          <w:bCs/>
          <w:color w:val="000000"/>
          <w:u w:val="single"/>
        </w:rPr>
        <w:t>O</w:t>
      </w:r>
      <w:r>
        <w:rPr>
          <w:b/>
          <w:bCs/>
          <w:color w:val="000000"/>
          <w:u w:val="single"/>
          <w:vertAlign w:val="subscript"/>
        </w:rPr>
        <w:t>2</w:t>
      </w:r>
      <w:r>
        <w:rPr>
          <w:rFonts w:hint="eastAsia"/>
          <w:b/>
          <w:bCs/>
          <w:color w:val="000000"/>
          <w:u w:val="single"/>
        </w:rPr>
        <w:t>日平均</w:t>
      </w:r>
      <w:r>
        <w:rPr>
          <w:b/>
          <w:bCs/>
          <w:color w:val="000000"/>
          <w:u w:val="single"/>
        </w:rPr>
        <w:t>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379"/>
        <w:gridCol w:w="827"/>
        <w:gridCol w:w="1080"/>
        <w:gridCol w:w="1713"/>
        <w:gridCol w:w="1347"/>
        <w:gridCol w:w="1036"/>
        <w:gridCol w:w="851"/>
      </w:tblGrid>
      <w:tr w:rsidR="003E78AB" w14:paraId="3362C7E9" w14:textId="77777777">
        <w:trPr>
          <w:tblHeader/>
        </w:trPr>
        <w:tc>
          <w:tcPr>
            <w:tcW w:w="527" w:type="dxa"/>
            <w:tcBorders>
              <w:tl2br w:val="nil"/>
              <w:tr2bl w:val="nil"/>
            </w:tcBorders>
            <w:noWrap/>
            <w:tcMar>
              <w:top w:w="15" w:type="dxa"/>
              <w:left w:w="15" w:type="dxa"/>
              <w:right w:w="15" w:type="dxa"/>
            </w:tcMar>
            <w:vAlign w:val="center"/>
          </w:tcPr>
          <w:p w14:paraId="0393CD7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379" w:type="dxa"/>
            <w:tcBorders>
              <w:tl2br w:val="nil"/>
              <w:tr2bl w:val="nil"/>
            </w:tcBorders>
            <w:noWrap/>
            <w:tcMar>
              <w:top w:w="15" w:type="dxa"/>
              <w:left w:w="15" w:type="dxa"/>
              <w:right w:w="15" w:type="dxa"/>
            </w:tcMar>
            <w:vAlign w:val="center"/>
          </w:tcPr>
          <w:p w14:paraId="583E3BE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预测点名称</w:t>
            </w:r>
          </w:p>
        </w:tc>
        <w:tc>
          <w:tcPr>
            <w:tcW w:w="827" w:type="dxa"/>
            <w:tcBorders>
              <w:tl2br w:val="nil"/>
              <w:tr2bl w:val="nil"/>
            </w:tcBorders>
            <w:noWrap/>
            <w:tcMar>
              <w:top w:w="15" w:type="dxa"/>
              <w:left w:w="15" w:type="dxa"/>
              <w:right w:w="15" w:type="dxa"/>
            </w:tcMar>
            <w:vAlign w:val="center"/>
          </w:tcPr>
          <w:p w14:paraId="668DC9F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6888EA0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678719A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44F1342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746B87D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5C487AE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63A105A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7484E32B" w14:textId="77777777">
        <w:tc>
          <w:tcPr>
            <w:tcW w:w="527" w:type="dxa"/>
            <w:tcBorders>
              <w:tl2br w:val="nil"/>
              <w:tr2bl w:val="nil"/>
            </w:tcBorders>
            <w:noWrap/>
            <w:tcMar>
              <w:top w:w="15" w:type="dxa"/>
              <w:left w:w="15" w:type="dxa"/>
              <w:right w:w="15" w:type="dxa"/>
            </w:tcMar>
            <w:vAlign w:val="center"/>
          </w:tcPr>
          <w:p w14:paraId="6F9C133A"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379" w:type="dxa"/>
            <w:tcBorders>
              <w:tl2br w:val="nil"/>
              <w:tr2bl w:val="nil"/>
            </w:tcBorders>
            <w:noWrap/>
            <w:tcMar>
              <w:top w:w="15" w:type="dxa"/>
              <w:left w:w="15" w:type="dxa"/>
              <w:right w:w="15" w:type="dxa"/>
            </w:tcMar>
            <w:vAlign w:val="center"/>
          </w:tcPr>
          <w:p w14:paraId="519A9340" w14:textId="77777777" w:rsidR="003E78AB" w:rsidRDefault="00010BF9">
            <w:pPr>
              <w:pStyle w:val="aff6"/>
              <w:topLinePunct/>
              <w:rPr>
                <w:b/>
                <w:bCs/>
                <w:color w:val="000000"/>
                <w:u w:val="single"/>
              </w:rPr>
            </w:pPr>
            <w:r>
              <w:rPr>
                <w:b/>
                <w:bCs/>
                <w:u w:val="single"/>
              </w:rPr>
              <w:t>安居富民小区</w:t>
            </w:r>
          </w:p>
        </w:tc>
        <w:tc>
          <w:tcPr>
            <w:tcW w:w="827" w:type="dxa"/>
            <w:tcBorders>
              <w:tl2br w:val="nil"/>
              <w:tr2bl w:val="nil"/>
            </w:tcBorders>
            <w:noWrap/>
            <w:tcMar>
              <w:top w:w="15" w:type="dxa"/>
              <w:left w:w="15" w:type="dxa"/>
              <w:right w:w="15" w:type="dxa"/>
            </w:tcMar>
            <w:vAlign w:val="center"/>
          </w:tcPr>
          <w:p w14:paraId="320FEFC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286E1329"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0.094</w:t>
            </w:r>
          </w:p>
        </w:tc>
        <w:tc>
          <w:tcPr>
            <w:tcW w:w="1713" w:type="dxa"/>
            <w:tcBorders>
              <w:tl2br w:val="nil"/>
              <w:tr2bl w:val="nil"/>
            </w:tcBorders>
            <w:noWrap/>
            <w:tcMar>
              <w:top w:w="15" w:type="dxa"/>
              <w:left w:w="15" w:type="dxa"/>
              <w:right w:w="15" w:type="dxa"/>
            </w:tcMar>
            <w:vAlign w:val="center"/>
          </w:tcPr>
          <w:p w14:paraId="21E1E762"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0601</w:t>
            </w:r>
          </w:p>
        </w:tc>
        <w:tc>
          <w:tcPr>
            <w:tcW w:w="1347" w:type="dxa"/>
            <w:tcBorders>
              <w:tl2br w:val="nil"/>
              <w:tr2bl w:val="nil"/>
            </w:tcBorders>
            <w:noWrap/>
            <w:tcMar>
              <w:top w:w="15" w:type="dxa"/>
              <w:left w:w="15" w:type="dxa"/>
              <w:right w:w="15" w:type="dxa"/>
            </w:tcMar>
            <w:vAlign w:val="center"/>
          </w:tcPr>
          <w:p w14:paraId="72766C1F" w14:textId="77777777" w:rsidR="003E78AB" w:rsidRDefault="00010BF9">
            <w:pPr>
              <w:pStyle w:val="aff4"/>
              <w:rPr>
                <w:rFonts w:hint="default"/>
                <w:b/>
                <w:bCs/>
                <w:color w:val="000000"/>
                <w:szCs w:val="21"/>
                <w:u w:val="single"/>
              </w:rPr>
            </w:pPr>
            <w:r>
              <w:rPr>
                <w:rFonts w:hint="default"/>
                <w:b/>
                <w:bCs/>
                <w:color w:val="000000"/>
                <w:szCs w:val="21"/>
                <w:u w:val="single"/>
              </w:rPr>
              <w:t>150</w:t>
            </w:r>
          </w:p>
        </w:tc>
        <w:tc>
          <w:tcPr>
            <w:tcW w:w="1036" w:type="dxa"/>
            <w:tcBorders>
              <w:tl2br w:val="nil"/>
              <w:tr2bl w:val="nil"/>
            </w:tcBorders>
            <w:noWrap/>
            <w:tcMar>
              <w:top w:w="15" w:type="dxa"/>
              <w:left w:w="15" w:type="dxa"/>
              <w:right w:w="15" w:type="dxa"/>
            </w:tcMar>
            <w:vAlign w:val="center"/>
          </w:tcPr>
          <w:p w14:paraId="441ED314"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0.06</w:t>
            </w:r>
          </w:p>
        </w:tc>
        <w:tc>
          <w:tcPr>
            <w:tcW w:w="851" w:type="dxa"/>
            <w:tcBorders>
              <w:tl2br w:val="nil"/>
              <w:tr2bl w:val="nil"/>
            </w:tcBorders>
            <w:noWrap/>
            <w:tcMar>
              <w:top w:w="15" w:type="dxa"/>
              <w:left w:w="15" w:type="dxa"/>
              <w:right w:w="15" w:type="dxa"/>
            </w:tcMar>
            <w:vAlign w:val="center"/>
          </w:tcPr>
          <w:p w14:paraId="6D947CCE"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63961B75" w14:textId="77777777">
        <w:tc>
          <w:tcPr>
            <w:tcW w:w="527" w:type="dxa"/>
            <w:tcBorders>
              <w:tl2br w:val="nil"/>
              <w:tr2bl w:val="nil"/>
            </w:tcBorders>
            <w:noWrap/>
            <w:tcMar>
              <w:top w:w="15" w:type="dxa"/>
              <w:left w:w="15" w:type="dxa"/>
              <w:right w:w="15" w:type="dxa"/>
            </w:tcMar>
            <w:vAlign w:val="center"/>
          </w:tcPr>
          <w:p w14:paraId="290BDE09"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379" w:type="dxa"/>
            <w:tcBorders>
              <w:tl2br w:val="nil"/>
              <w:tr2bl w:val="nil"/>
            </w:tcBorders>
            <w:noWrap/>
            <w:tcMar>
              <w:top w:w="15" w:type="dxa"/>
              <w:left w:w="15" w:type="dxa"/>
              <w:right w:w="15" w:type="dxa"/>
            </w:tcMar>
            <w:vAlign w:val="center"/>
          </w:tcPr>
          <w:p w14:paraId="4751CB06" w14:textId="77777777" w:rsidR="003E78AB" w:rsidRDefault="00010BF9">
            <w:pPr>
              <w:pStyle w:val="aff6"/>
              <w:topLinePunct/>
              <w:rPr>
                <w:b/>
                <w:bCs/>
                <w:color w:val="000000"/>
                <w:u w:val="single"/>
              </w:rPr>
            </w:pPr>
            <w:r>
              <w:rPr>
                <w:b/>
                <w:bCs/>
                <w:u w:val="single"/>
              </w:rPr>
              <w:t>项目区上风向</w:t>
            </w:r>
          </w:p>
        </w:tc>
        <w:tc>
          <w:tcPr>
            <w:tcW w:w="827" w:type="dxa"/>
            <w:tcBorders>
              <w:tl2br w:val="nil"/>
              <w:tr2bl w:val="nil"/>
            </w:tcBorders>
            <w:noWrap/>
            <w:tcMar>
              <w:top w:w="15" w:type="dxa"/>
              <w:left w:w="15" w:type="dxa"/>
              <w:right w:w="15" w:type="dxa"/>
            </w:tcMar>
            <w:vAlign w:val="center"/>
          </w:tcPr>
          <w:p w14:paraId="27E67129"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4E8FEC6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0.050</w:t>
            </w:r>
          </w:p>
        </w:tc>
        <w:tc>
          <w:tcPr>
            <w:tcW w:w="1713" w:type="dxa"/>
            <w:tcBorders>
              <w:tl2br w:val="nil"/>
              <w:tr2bl w:val="nil"/>
            </w:tcBorders>
            <w:noWrap/>
            <w:tcMar>
              <w:top w:w="15" w:type="dxa"/>
              <w:left w:w="15" w:type="dxa"/>
              <w:right w:w="15" w:type="dxa"/>
            </w:tcMar>
            <w:vAlign w:val="center"/>
          </w:tcPr>
          <w:p w14:paraId="026D7308"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0220</w:t>
            </w:r>
          </w:p>
        </w:tc>
        <w:tc>
          <w:tcPr>
            <w:tcW w:w="1347" w:type="dxa"/>
            <w:tcBorders>
              <w:tl2br w:val="nil"/>
              <w:tr2bl w:val="nil"/>
            </w:tcBorders>
            <w:noWrap/>
            <w:tcMar>
              <w:top w:w="15" w:type="dxa"/>
              <w:left w:w="15" w:type="dxa"/>
              <w:right w:w="15" w:type="dxa"/>
            </w:tcMar>
            <w:vAlign w:val="center"/>
          </w:tcPr>
          <w:p w14:paraId="3BE2A930"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1036" w:type="dxa"/>
            <w:tcBorders>
              <w:tl2br w:val="nil"/>
              <w:tr2bl w:val="nil"/>
            </w:tcBorders>
            <w:noWrap/>
            <w:tcMar>
              <w:top w:w="15" w:type="dxa"/>
              <w:left w:w="15" w:type="dxa"/>
              <w:right w:w="15" w:type="dxa"/>
            </w:tcMar>
            <w:vAlign w:val="center"/>
          </w:tcPr>
          <w:p w14:paraId="01816186"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0.03</w:t>
            </w:r>
          </w:p>
        </w:tc>
        <w:tc>
          <w:tcPr>
            <w:tcW w:w="851" w:type="dxa"/>
            <w:tcBorders>
              <w:tl2br w:val="nil"/>
              <w:tr2bl w:val="nil"/>
            </w:tcBorders>
            <w:noWrap/>
            <w:tcMar>
              <w:top w:w="15" w:type="dxa"/>
              <w:left w:w="15" w:type="dxa"/>
              <w:right w:w="15" w:type="dxa"/>
            </w:tcMar>
            <w:vAlign w:val="center"/>
          </w:tcPr>
          <w:p w14:paraId="5B86F5F2"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35C37344" w14:textId="77777777">
        <w:tc>
          <w:tcPr>
            <w:tcW w:w="527" w:type="dxa"/>
            <w:tcBorders>
              <w:tl2br w:val="nil"/>
              <w:tr2bl w:val="nil"/>
            </w:tcBorders>
            <w:noWrap/>
            <w:tcMar>
              <w:top w:w="15" w:type="dxa"/>
              <w:left w:w="15" w:type="dxa"/>
              <w:right w:w="15" w:type="dxa"/>
            </w:tcMar>
            <w:vAlign w:val="center"/>
          </w:tcPr>
          <w:p w14:paraId="10A834F1"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379" w:type="dxa"/>
            <w:tcBorders>
              <w:tl2br w:val="nil"/>
              <w:tr2bl w:val="nil"/>
            </w:tcBorders>
            <w:noWrap/>
            <w:tcMar>
              <w:top w:w="15" w:type="dxa"/>
              <w:left w:w="15" w:type="dxa"/>
              <w:right w:w="15" w:type="dxa"/>
            </w:tcMar>
            <w:vAlign w:val="center"/>
          </w:tcPr>
          <w:p w14:paraId="2003C86F" w14:textId="77777777" w:rsidR="003E78AB" w:rsidRDefault="00010BF9">
            <w:pPr>
              <w:pStyle w:val="aff6"/>
              <w:topLinePunct/>
              <w:rPr>
                <w:b/>
                <w:bCs/>
                <w:color w:val="000000"/>
                <w:u w:val="single"/>
              </w:rPr>
            </w:pPr>
            <w:r>
              <w:rPr>
                <w:b/>
                <w:bCs/>
                <w:u w:val="single"/>
              </w:rPr>
              <w:t>项目区下风向</w:t>
            </w:r>
          </w:p>
        </w:tc>
        <w:tc>
          <w:tcPr>
            <w:tcW w:w="827" w:type="dxa"/>
            <w:tcBorders>
              <w:tl2br w:val="nil"/>
              <w:tr2bl w:val="nil"/>
            </w:tcBorders>
            <w:noWrap/>
            <w:tcMar>
              <w:top w:w="15" w:type="dxa"/>
              <w:left w:w="15" w:type="dxa"/>
              <w:right w:w="15" w:type="dxa"/>
            </w:tcMar>
            <w:vAlign w:val="center"/>
          </w:tcPr>
          <w:p w14:paraId="4C2D1DB8"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79D9FC0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0.065</w:t>
            </w:r>
          </w:p>
        </w:tc>
        <w:tc>
          <w:tcPr>
            <w:tcW w:w="1713" w:type="dxa"/>
            <w:tcBorders>
              <w:tl2br w:val="nil"/>
              <w:tr2bl w:val="nil"/>
            </w:tcBorders>
            <w:noWrap/>
            <w:tcMar>
              <w:top w:w="15" w:type="dxa"/>
              <w:left w:w="15" w:type="dxa"/>
              <w:right w:w="15" w:type="dxa"/>
            </w:tcMar>
            <w:vAlign w:val="center"/>
          </w:tcPr>
          <w:p w14:paraId="3AA76141"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0528</w:t>
            </w:r>
          </w:p>
        </w:tc>
        <w:tc>
          <w:tcPr>
            <w:tcW w:w="1347" w:type="dxa"/>
            <w:tcBorders>
              <w:tl2br w:val="nil"/>
              <w:tr2bl w:val="nil"/>
            </w:tcBorders>
            <w:noWrap/>
            <w:tcMar>
              <w:top w:w="15" w:type="dxa"/>
              <w:left w:w="15" w:type="dxa"/>
              <w:right w:w="15" w:type="dxa"/>
            </w:tcMar>
            <w:vAlign w:val="center"/>
          </w:tcPr>
          <w:p w14:paraId="424ACF0F"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1036" w:type="dxa"/>
            <w:tcBorders>
              <w:tl2br w:val="nil"/>
              <w:tr2bl w:val="nil"/>
            </w:tcBorders>
            <w:noWrap/>
            <w:tcMar>
              <w:top w:w="15" w:type="dxa"/>
              <w:left w:w="15" w:type="dxa"/>
              <w:right w:w="15" w:type="dxa"/>
            </w:tcMar>
            <w:vAlign w:val="center"/>
          </w:tcPr>
          <w:p w14:paraId="4AF64120"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0.04</w:t>
            </w:r>
          </w:p>
        </w:tc>
        <w:tc>
          <w:tcPr>
            <w:tcW w:w="851" w:type="dxa"/>
            <w:tcBorders>
              <w:tl2br w:val="nil"/>
              <w:tr2bl w:val="nil"/>
            </w:tcBorders>
            <w:noWrap/>
            <w:tcMar>
              <w:top w:w="15" w:type="dxa"/>
              <w:left w:w="15" w:type="dxa"/>
              <w:right w:w="15" w:type="dxa"/>
            </w:tcMar>
            <w:vAlign w:val="center"/>
          </w:tcPr>
          <w:p w14:paraId="642D37D3"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327723C6" w14:textId="77777777">
        <w:tc>
          <w:tcPr>
            <w:tcW w:w="527" w:type="dxa"/>
            <w:tcBorders>
              <w:tl2br w:val="nil"/>
              <w:tr2bl w:val="nil"/>
            </w:tcBorders>
            <w:noWrap/>
            <w:tcMar>
              <w:top w:w="15" w:type="dxa"/>
              <w:left w:w="15" w:type="dxa"/>
              <w:right w:w="15" w:type="dxa"/>
            </w:tcMar>
            <w:vAlign w:val="center"/>
          </w:tcPr>
          <w:p w14:paraId="2629DAD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1379" w:type="dxa"/>
            <w:tcBorders>
              <w:tl2br w:val="nil"/>
              <w:tr2bl w:val="nil"/>
            </w:tcBorders>
            <w:noWrap/>
            <w:tcMar>
              <w:top w:w="15" w:type="dxa"/>
              <w:left w:w="15" w:type="dxa"/>
              <w:right w:w="15" w:type="dxa"/>
            </w:tcMar>
            <w:vAlign w:val="center"/>
          </w:tcPr>
          <w:p w14:paraId="2EBD0322"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827" w:type="dxa"/>
            <w:tcBorders>
              <w:tl2br w:val="nil"/>
              <w:tr2bl w:val="nil"/>
            </w:tcBorders>
            <w:noWrap/>
            <w:tcMar>
              <w:top w:w="15" w:type="dxa"/>
              <w:left w:w="15" w:type="dxa"/>
              <w:right w:w="15" w:type="dxa"/>
            </w:tcMar>
            <w:vAlign w:val="center"/>
          </w:tcPr>
          <w:p w14:paraId="242DFC74"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133AC47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0.473</w:t>
            </w:r>
          </w:p>
        </w:tc>
        <w:tc>
          <w:tcPr>
            <w:tcW w:w="1713" w:type="dxa"/>
            <w:tcBorders>
              <w:tl2br w:val="nil"/>
              <w:tr2bl w:val="nil"/>
            </w:tcBorders>
            <w:noWrap/>
            <w:tcMar>
              <w:top w:w="15" w:type="dxa"/>
              <w:left w:w="15" w:type="dxa"/>
              <w:right w:w="15" w:type="dxa"/>
            </w:tcMar>
            <w:vAlign w:val="center"/>
          </w:tcPr>
          <w:p w14:paraId="508F9FEF"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0522</w:t>
            </w:r>
          </w:p>
        </w:tc>
        <w:tc>
          <w:tcPr>
            <w:tcW w:w="1347" w:type="dxa"/>
            <w:tcBorders>
              <w:tl2br w:val="nil"/>
              <w:tr2bl w:val="nil"/>
            </w:tcBorders>
            <w:noWrap/>
            <w:tcMar>
              <w:top w:w="15" w:type="dxa"/>
              <w:left w:w="15" w:type="dxa"/>
              <w:right w:w="15" w:type="dxa"/>
            </w:tcMar>
            <w:vAlign w:val="center"/>
          </w:tcPr>
          <w:p w14:paraId="30F76F17"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1036" w:type="dxa"/>
            <w:tcBorders>
              <w:tl2br w:val="nil"/>
              <w:tr2bl w:val="nil"/>
            </w:tcBorders>
            <w:noWrap/>
            <w:tcMar>
              <w:top w:w="15" w:type="dxa"/>
              <w:left w:w="15" w:type="dxa"/>
              <w:right w:w="15" w:type="dxa"/>
            </w:tcMar>
            <w:vAlign w:val="center"/>
          </w:tcPr>
          <w:p w14:paraId="1F6D81F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0.32</w:t>
            </w:r>
          </w:p>
        </w:tc>
        <w:tc>
          <w:tcPr>
            <w:tcW w:w="851" w:type="dxa"/>
            <w:tcBorders>
              <w:tl2br w:val="nil"/>
              <w:tr2bl w:val="nil"/>
            </w:tcBorders>
            <w:noWrap/>
            <w:tcMar>
              <w:top w:w="15" w:type="dxa"/>
              <w:left w:w="15" w:type="dxa"/>
              <w:right w:w="15" w:type="dxa"/>
            </w:tcMar>
            <w:vAlign w:val="center"/>
          </w:tcPr>
          <w:p w14:paraId="47200546"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1FA43880" w14:textId="77777777" w:rsidR="003E78AB" w:rsidRDefault="00010BF9">
      <w:pPr>
        <w:pStyle w:val="a4"/>
        <w:spacing w:before="120"/>
        <w:rPr>
          <w:b/>
          <w:bCs/>
          <w:color w:val="000000"/>
          <w:u w:val="single"/>
        </w:rPr>
      </w:pPr>
      <w:r>
        <w:rPr>
          <w:b/>
          <w:bCs/>
          <w:color w:val="000000"/>
          <w:u w:val="single"/>
        </w:rPr>
        <w:t>本项目</w:t>
      </w:r>
      <w:r>
        <w:rPr>
          <w:rFonts w:hint="eastAsia"/>
          <w:b/>
          <w:bCs/>
          <w:color w:val="000000"/>
          <w:u w:val="single"/>
        </w:rPr>
        <w:t>PM</w:t>
      </w:r>
      <w:r>
        <w:rPr>
          <w:b/>
          <w:bCs/>
          <w:color w:val="000000"/>
          <w:u w:val="single"/>
          <w:vertAlign w:val="subscript"/>
        </w:rPr>
        <w:t>10</w:t>
      </w:r>
      <w:r>
        <w:rPr>
          <w:rFonts w:hint="eastAsia"/>
          <w:b/>
          <w:bCs/>
          <w:color w:val="000000"/>
          <w:u w:val="single"/>
        </w:rPr>
        <w:t>日平均</w:t>
      </w:r>
      <w:r>
        <w:rPr>
          <w:b/>
          <w:bCs/>
          <w:color w:val="000000"/>
          <w:u w:val="single"/>
        </w:rPr>
        <w:t>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335"/>
        <w:gridCol w:w="871"/>
        <w:gridCol w:w="1080"/>
        <w:gridCol w:w="1713"/>
        <w:gridCol w:w="1347"/>
        <w:gridCol w:w="1036"/>
        <w:gridCol w:w="851"/>
      </w:tblGrid>
      <w:tr w:rsidR="003E78AB" w14:paraId="6208E3D0" w14:textId="77777777">
        <w:trPr>
          <w:tblHeader/>
        </w:trPr>
        <w:tc>
          <w:tcPr>
            <w:tcW w:w="527" w:type="dxa"/>
            <w:tcBorders>
              <w:tl2br w:val="nil"/>
              <w:tr2bl w:val="nil"/>
            </w:tcBorders>
            <w:noWrap/>
            <w:tcMar>
              <w:top w:w="15" w:type="dxa"/>
              <w:left w:w="15" w:type="dxa"/>
              <w:right w:w="15" w:type="dxa"/>
            </w:tcMar>
            <w:vAlign w:val="center"/>
          </w:tcPr>
          <w:p w14:paraId="7A184A9B"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335" w:type="dxa"/>
            <w:tcBorders>
              <w:tl2br w:val="nil"/>
              <w:tr2bl w:val="nil"/>
            </w:tcBorders>
            <w:noWrap/>
            <w:tcMar>
              <w:top w:w="15" w:type="dxa"/>
              <w:left w:w="15" w:type="dxa"/>
              <w:right w:w="15" w:type="dxa"/>
            </w:tcMar>
            <w:vAlign w:val="center"/>
          </w:tcPr>
          <w:p w14:paraId="10F320C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预测点名称</w:t>
            </w:r>
          </w:p>
        </w:tc>
        <w:tc>
          <w:tcPr>
            <w:tcW w:w="871" w:type="dxa"/>
            <w:tcBorders>
              <w:tl2br w:val="nil"/>
              <w:tr2bl w:val="nil"/>
            </w:tcBorders>
            <w:noWrap/>
            <w:tcMar>
              <w:top w:w="15" w:type="dxa"/>
              <w:left w:w="15" w:type="dxa"/>
              <w:right w:w="15" w:type="dxa"/>
            </w:tcMar>
            <w:vAlign w:val="center"/>
          </w:tcPr>
          <w:p w14:paraId="5A3D77E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032D3A8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7929FDB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5AF73EA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5A2C8B0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79DE6202"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6362D81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188871FA" w14:textId="77777777">
        <w:tc>
          <w:tcPr>
            <w:tcW w:w="527" w:type="dxa"/>
            <w:tcBorders>
              <w:tl2br w:val="nil"/>
              <w:tr2bl w:val="nil"/>
            </w:tcBorders>
            <w:noWrap/>
            <w:tcMar>
              <w:top w:w="15" w:type="dxa"/>
              <w:left w:w="15" w:type="dxa"/>
              <w:right w:w="15" w:type="dxa"/>
            </w:tcMar>
            <w:vAlign w:val="center"/>
          </w:tcPr>
          <w:p w14:paraId="0A188D44"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335" w:type="dxa"/>
            <w:tcBorders>
              <w:tl2br w:val="nil"/>
              <w:tr2bl w:val="nil"/>
            </w:tcBorders>
            <w:noWrap/>
            <w:tcMar>
              <w:top w:w="15" w:type="dxa"/>
              <w:left w:w="15" w:type="dxa"/>
              <w:right w:w="15" w:type="dxa"/>
            </w:tcMar>
            <w:vAlign w:val="center"/>
          </w:tcPr>
          <w:p w14:paraId="6AF00FFD" w14:textId="77777777" w:rsidR="003E78AB" w:rsidRDefault="00010BF9">
            <w:pPr>
              <w:pStyle w:val="aff6"/>
              <w:topLinePunct/>
              <w:rPr>
                <w:b/>
                <w:bCs/>
                <w:color w:val="000000"/>
                <w:u w:val="single"/>
              </w:rPr>
            </w:pPr>
            <w:r>
              <w:rPr>
                <w:b/>
                <w:bCs/>
                <w:u w:val="single"/>
              </w:rPr>
              <w:t>安居富民小区</w:t>
            </w:r>
          </w:p>
        </w:tc>
        <w:tc>
          <w:tcPr>
            <w:tcW w:w="871" w:type="dxa"/>
            <w:tcBorders>
              <w:tl2br w:val="nil"/>
              <w:tr2bl w:val="nil"/>
            </w:tcBorders>
            <w:noWrap/>
            <w:tcMar>
              <w:top w:w="15" w:type="dxa"/>
              <w:left w:w="15" w:type="dxa"/>
              <w:right w:w="15" w:type="dxa"/>
            </w:tcMar>
            <w:vAlign w:val="center"/>
          </w:tcPr>
          <w:p w14:paraId="16A2562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6CCF9F62"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0.039</w:t>
            </w:r>
          </w:p>
        </w:tc>
        <w:tc>
          <w:tcPr>
            <w:tcW w:w="1713" w:type="dxa"/>
            <w:tcBorders>
              <w:tl2br w:val="nil"/>
              <w:tr2bl w:val="nil"/>
            </w:tcBorders>
            <w:noWrap/>
            <w:tcMar>
              <w:top w:w="15" w:type="dxa"/>
              <w:left w:w="15" w:type="dxa"/>
              <w:right w:w="15" w:type="dxa"/>
            </w:tcMar>
            <w:vAlign w:val="center"/>
          </w:tcPr>
          <w:p w14:paraId="7422598D"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0706</w:t>
            </w:r>
          </w:p>
        </w:tc>
        <w:tc>
          <w:tcPr>
            <w:tcW w:w="1347" w:type="dxa"/>
            <w:tcBorders>
              <w:tl2br w:val="nil"/>
              <w:tr2bl w:val="nil"/>
            </w:tcBorders>
            <w:noWrap/>
            <w:tcMar>
              <w:top w:w="15" w:type="dxa"/>
              <w:left w:w="15" w:type="dxa"/>
              <w:right w:w="15" w:type="dxa"/>
            </w:tcMar>
            <w:vAlign w:val="center"/>
          </w:tcPr>
          <w:p w14:paraId="64D2663D" w14:textId="77777777" w:rsidR="003E78AB" w:rsidRDefault="00010BF9">
            <w:pPr>
              <w:pStyle w:val="aff4"/>
              <w:rPr>
                <w:rFonts w:hint="default"/>
                <w:b/>
                <w:bCs/>
                <w:color w:val="000000"/>
                <w:szCs w:val="21"/>
                <w:u w:val="single"/>
              </w:rPr>
            </w:pPr>
            <w:r>
              <w:rPr>
                <w:rFonts w:hint="default"/>
                <w:b/>
                <w:bCs/>
                <w:color w:val="000000"/>
                <w:szCs w:val="21"/>
                <w:u w:val="single"/>
              </w:rPr>
              <w:t>150</w:t>
            </w:r>
          </w:p>
        </w:tc>
        <w:tc>
          <w:tcPr>
            <w:tcW w:w="1036" w:type="dxa"/>
            <w:tcBorders>
              <w:tl2br w:val="nil"/>
              <w:tr2bl w:val="nil"/>
            </w:tcBorders>
            <w:noWrap/>
            <w:tcMar>
              <w:top w:w="15" w:type="dxa"/>
              <w:left w:w="15" w:type="dxa"/>
              <w:right w:w="15" w:type="dxa"/>
            </w:tcMar>
            <w:vAlign w:val="center"/>
          </w:tcPr>
          <w:p w14:paraId="76A92147"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0.03</w:t>
            </w:r>
          </w:p>
        </w:tc>
        <w:tc>
          <w:tcPr>
            <w:tcW w:w="851" w:type="dxa"/>
            <w:tcBorders>
              <w:tl2br w:val="nil"/>
              <w:tr2bl w:val="nil"/>
            </w:tcBorders>
            <w:noWrap/>
            <w:tcMar>
              <w:top w:w="15" w:type="dxa"/>
              <w:left w:w="15" w:type="dxa"/>
              <w:right w:w="15" w:type="dxa"/>
            </w:tcMar>
            <w:vAlign w:val="center"/>
          </w:tcPr>
          <w:p w14:paraId="516E88F1"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4D2AFED0" w14:textId="77777777">
        <w:tc>
          <w:tcPr>
            <w:tcW w:w="527" w:type="dxa"/>
            <w:tcBorders>
              <w:tl2br w:val="nil"/>
              <w:tr2bl w:val="nil"/>
            </w:tcBorders>
            <w:noWrap/>
            <w:tcMar>
              <w:top w:w="15" w:type="dxa"/>
              <w:left w:w="15" w:type="dxa"/>
              <w:right w:w="15" w:type="dxa"/>
            </w:tcMar>
            <w:vAlign w:val="center"/>
          </w:tcPr>
          <w:p w14:paraId="458930ED"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335" w:type="dxa"/>
            <w:tcBorders>
              <w:tl2br w:val="nil"/>
              <w:tr2bl w:val="nil"/>
            </w:tcBorders>
            <w:noWrap/>
            <w:tcMar>
              <w:top w:w="15" w:type="dxa"/>
              <w:left w:w="15" w:type="dxa"/>
              <w:right w:w="15" w:type="dxa"/>
            </w:tcMar>
            <w:vAlign w:val="center"/>
          </w:tcPr>
          <w:p w14:paraId="3B26DB46" w14:textId="77777777" w:rsidR="003E78AB" w:rsidRDefault="00010BF9">
            <w:pPr>
              <w:pStyle w:val="aff6"/>
              <w:topLinePunct/>
              <w:rPr>
                <w:b/>
                <w:bCs/>
                <w:color w:val="000000"/>
                <w:u w:val="single"/>
              </w:rPr>
            </w:pPr>
            <w:r>
              <w:rPr>
                <w:b/>
                <w:bCs/>
                <w:u w:val="single"/>
              </w:rPr>
              <w:t>项目区上风向</w:t>
            </w:r>
          </w:p>
        </w:tc>
        <w:tc>
          <w:tcPr>
            <w:tcW w:w="871" w:type="dxa"/>
            <w:tcBorders>
              <w:tl2br w:val="nil"/>
              <w:tr2bl w:val="nil"/>
            </w:tcBorders>
            <w:noWrap/>
            <w:tcMar>
              <w:top w:w="15" w:type="dxa"/>
              <w:left w:w="15" w:type="dxa"/>
              <w:right w:w="15" w:type="dxa"/>
            </w:tcMar>
            <w:vAlign w:val="center"/>
          </w:tcPr>
          <w:p w14:paraId="5CB6EAD7"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705C0ED9"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0.017</w:t>
            </w:r>
          </w:p>
        </w:tc>
        <w:tc>
          <w:tcPr>
            <w:tcW w:w="1713" w:type="dxa"/>
            <w:tcBorders>
              <w:tl2br w:val="nil"/>
              <w:tr2bl w:val="nil"/>
            </w:tcBorders>
            <w:noWrap/>
            <w:tcMar>
              <w:top w:w="15" w:type="dxa"/>
              <w:left w:w="15" w:type="dxa"/>
              <w:right w:w="15" w:type="dxa"/>
            </w:tcMar>
            <w:vAlign w:val="center"/>
          </w:tcPr>
          <w:p w14:paraId="16B28562"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0220</w:t>
            </w:r>
          </w:p>
        </w:tc>
        <w:tc>
          <w:tcPr>
            <w:tcW w:w="1347" w:type="dxa"/>
            <w:tcBorders>
              <w:tl2br w:val="nil"/>
              <w:tr2bl w:val="nil"/>
            </w:tcBorders>
            <w:noWrap/>
            <w:tcMar>
              <w:top w:w="15" w:type="dxa"/>
              <w:left w:w="15" w:type="dxa"/>
              <w:right w:w="15" w:type="dxa"/>
            </w:tcMar>
            <w:vAlign w:val="center"/>
          </w:tcPr>
          <w:p w14:paraId="59B3BF77"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1036" w:type="dxa"/>
            <w:tcBorders>
              <w:tl2br w:val="nil"/>
              <w:tr2bl w:val="nil"/>
            </w:tcBorders>
            <w:noWrap/>
            <w:tcMar>
              <w:top w:w="15" w:type="dxa"/>
              <w:left w:w="15" w:type="dxa"/>
              <w:right w:w="15" w:type="dxa"/>
            </w:tcMar>
            <w:vAlign w:val="center"/>
          </w:tcPr>
          <w:p w14:paraId="5FC52147"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0.01</w:t>
            </w:r>
          </w:p>
        </w:tc>
        <w:tc>
          <w:tcPr>
            <w:tcW w:w="851" w:type="dxa"/>
            <w:tcBorders>
              <w:tl2br w:val="nil"/>
              <w:tr2bl w:val="nil"/>
            </w:tcBorders>
            <w:noWrap/>
            <w:tcMar>
              <w:top w:w="15" w:type="dxa"/>
              <w:left w:w="15" w:type="dxa"/>
              <w:right w:w="15" w:type="dxa"/>
            </w:tcMar>
            <w:vAlign w:val="center"/>
          </w:tcPr>
          <w:p w14:paraId="289A93F6"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77F59B73" w14:textId="77777777">
        <w:tc>
          <w:tcPr>
            <w:tcW w:w="527" w:type="dxa"/>
            <w:tcBorders>
              <w:tl2br w:val="nil"/>
              <w:tr2bl w:val="nil"/>
            </w:tcBorders>
            <w:noWrap/>
            <w:tcMar>
              <w:top w:w="15" w:type="dxa"/>
              <w:left w:w="15" w:type="dxa"/>
              <w:right w:w="15" w:type="dxa"/>
            </w:tcMar>
            <w:vAlign w:val="center"/>
          </w:tcPr>
          <w:p w14:paraId="057E3F1E"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335" w:type="dxa"/>
            <w:tcBorders>
              <w:tl2br w:val="nil"/>
              <w:tr2bl w:val="nil"/>
            </w:tcBorders>
            <w:noWrap/>
            <w:tcMar>
              <w:top w:w="15" w:type="dxa"/>
              <w:left w:w="15" w:type="dxa"/>
              <w:right w:w="15" w:type="dxa"/>
            </w:tcMar>
            <w:vAlign w:val="center"/>
          </w:tcPr>
          <w:p w14:paraId="5748154C" w14:textId="77777777" w:rsidR="003E78AB" w:rsidRDefault="00010BF9">
            <w:pPr>
              <w:pStyle w:val="aff6"/>
              <w:topLinePunct/>
              <w:rPr>
                <w:b/>
                <w:bCs/>
                <w:color w:val="000000"/>
                <w:u w:val="single"/>
              </w:rPr>
            </w:pPr>
            <w:r>
              <w:rPr>
                <w:b/>
                <w:bCs/>
                <w:u w:val="single"/>
              </w:rPr>
              <w:t>项目区下风向</w:t>
            </w:r>
          </w:p>
        </w:tc>
        <w:tc>
          <w:tcPr>
            <w:tcW w:w="871" w:type="dxa"/>
            <w:tcBorders>
              <w:tl2br w:val="nil"/>
              <w:tr2bl w:val="nil"/>
            </w:tcBorders>
            <w:noWrap/>
            <w:tcMar>
              <w:top w:w="15" w:type="dxa"/>
              <w:left w:w="15" w:type="dxa"/>
              <w:right w:w="15" w:type="dxa"/>
            </w:tcMar>
            <w:vAlign w:val="center"/>
          </w:tcPr>
          <w:p w14:paraId="0365F5AE"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798ECB5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0.029</w:t>
            </w:r>
          </w:p>
        </w:tc>
        <w:tc>
          <w:tcPr>
            <w:tcW w:w="1713" w:type="dxa"/>
            <w:tcBorders>
              <w:tl2br w:val="nil"/>
              <w:tr2bl w:val="nil"/>
            </w:tcBorders>
            <w:noWrap/>
            <w:tcMar>
              <w:top w:w="15" w:type="dxa"/>
              <w:left w:w="15" w:type="dxa"/>
              <w:right w:w="15" w:type="dxa"/>
            </w:tcMar>
            <w:vAlign w:val="center"/>
          </w:tcPr>
          <w:p w14:paraId="761C5645"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0528</w:t>
            </w:r>
          </w:p>
        </w:tc>
        <w:tc>
          <w:tcPr>
            <w:tcW w:w="1347" w:type="dxa"/>
            <w:tcBorders>
              <w:tl2br w:val="nil"/>
              <w:tr2bl w:val="nil"/>
            </w:tcBorders>
            <w:noWrap/>
            <w:tcMar>
              <w:top w:w="15" w:type="dxa"/>
              <w:left w:w="15" w:type="dxa"/>
              <w:right w:w="15" w:type="dxa"/>
            </w:tcMar>
            <w:vAlign w:val="center"/>
          </w:tcPr>
          <w:p w14:paraId="38268AC8"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1036" w:type="dxa"/>
            <w:tcBorders>
              <w:tl2br w:val="nil"/>
              <w:tr2bl w:val="nil"/>
            </w:tcBorders>
            <w:noWrap/>
            <w:tcMar>
              <w:top w:w="15" w:type="dxa"/>
              <w:left w:w="15" w:type="dxa"/>
              <w:right w:w="15" w:type="dxa"/>
            </w:tcMar>
            <w:vAlign w:val="center"/>
          </w:tcPr>
          <w:p w14:paraId="39A6DBEB"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0.02</w:t>
            </w:r>
          </w:p>
        </w:tc>
        <w:tc>
          <w:tcPr>
            <w:tcW w:w="851" w:type="dxa"/>
            <w:tcBorders>
              <w:tl2br w:val="nil"/>
              <w:tr2bl w:val="nil"/>
            </w:tcBorders>
            <w:noWrap/>
            <w:tcMar>
              <w:top w:w="15" w:type="dxa"/>
              <w:left w:w="15" w:type="dxa"/>
              <w:right w:w="15" w:type="dxa"/>
            </w:tcMar>
            <w:vAlign w:val="center"/>
          </w:tcPr>
          <w:p w14:paraId="514FA83A"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达标</w:t>
            </w:r>
          </w:p>
        </w:tc>
      </w:tr>
      <w:tr w:rsidR="003E78AB" w14:paraId="5FB5F518" w14:textId="77777777">
        <w:tc>
          <w:tcPr>
            <w:tcW w:w="527" w:type="dxa"/>
            <w:tcBorders>
              <w:tl2br w:val="nil"/>
              <w:tr2bl w:val="nil"/>
            </w:tcBorders>
            <w:noWrap/>
            <w:tcMar>
              <w:top w:w="15" w:type="dxa"/>
              <w:left w:w="15" w:type="dxa"/>
              <w:right w:w="15" w:type="dxa"/>
            </w:tcMar>
            <w:vAlign w:val="center"/>
          </w:tcPr>
          <w:p w14:paraId="2459779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1335" w:type="dxa"/>
            <w:tcBorders>
              <w:tl2br w:val="nil"/>
              <w:tr2bl w:val="nil"/>
            </w:tcBorders>
            <w:noWrap/>
            <w:tcMar>
              <w:top w:w="15" w:type="dxa"/>
              <w:left w:w="15" w:type="dxa"/>
              <w:right w:w="15" w:type="dxa"/>
            </w:tcMar>
            <w:vAlign w:val="center"/>
          </w:tcPr>
          <w:p w14:paraId="174D125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w:t>
            </w:r>
            <w:r>
              <w:rPr>
                <w:rFonts w:hint="eastAsia"/>
                <w:b/>
                <w:bCs/>
                <w:color w:val="000000"/>
                <w:sz w:val="21"/>
                <w:szCs w:val="21"/>
                <w:u w:val="single"/>
              </w:rPr>
              <w:t>1</w:t>
            </w:r>
            <w:r>
              <w:rPr>
                <w:b/>
                <w:bCs/>
                <w:color w:val="000000"/>
                <w:sz w:val="21"/>
                <w:szCs w:val="21"/>
                <w:u w:val="single"/>
              </w:rPr>
              <w:t>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871" w:type="dxa"/>
            <w:tcBorders>
              <w:tl2br w:val="nil"/>
              <w:tr2bl w:val="nil"/>
            </w:tcBorders>
            <w:noWrap/>
            <w:tcMar>
              <w:top w:w="15" w:type="dxa"/>
              <w:left w:w="15" w:type="dxa"/>
              <w:right w:w="15" w:type="dxa"/>
            </w:tcMar>
            <w:vAlign w:val="center"/>
          </w:tcPr>
          <w:p w14:paraId="02C5D945"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日平均</w:t>
            </w:r>
          </w:p>
        </w:tc>
        <w:tc>
          <w:tcPr>
            <w:tcW w:w="1080" w:type="dxa"/>
            <w:tcBorders>
              <w:tl2br w:val="nil"/>
              <w:tr2bl w:val="nil"/>
            </w:tcBorders>
            <w:noWrap/>
            <w:tcMar>
              <w:top w:w="15" w:type="dxa"/>
              <w:left w:w="15" w:type="dxa"/>
              <w:right w:w="15" w:type="dxa"/>
            </w:tcMar>
            <w:vAlign w:val="center"/>
          </w:tcPr>
          <w:p w14:paraId="7B2CE5F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0.132</w:t>
            </w:r>
          </w:p>
        </w:tc>
        <w:tc>
          <w:tcPr>
            <w:tcW w:w="1713" w:type="dxa"/>
            <w:tcBorders>
              <w:tl2br w:val="nil"/>
              <w:tr2bl w:val="nil"/>
            </w:tcBorders>
            <w:noWrap/>
            <w:tcMar>
              <w:top w:w="15" w:type="dxa"/>
              <w:left w:w="15" w:type="dxa"/>
              <w:right w:w="15" w:type="dxa"/>
            </w:tcMar>
            <w:vAlign w:val="center"/>
          </w:tcPr>
          <w:p w14:paraId="047FDE0D"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0117</w:t>
            </w:r>
          </w:p>
        </w:tc>
        <w:tc>
          <w:tcPr>
            <w:tcW w:w="1347" w:type="dxa"/>
            <w:tcBorders>
              <w:tl2br w:val="nil"/>
              <w:tr2bl w:val="nil"/>
            </w:tcBorders>
            <w:noWrap/>
            <w:tcMar>
              <w:top w:w="15" w:type="dxa"/>
              <w:left w:w="15" w:type="dxa"/>
              <w:right w:w="15" w:type="dxa"/>
            </w:tcMar>
            <w:vAlign w:val="center"/>
          </w:tcPr>
          <w:p w14:paraId="387659B0"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1036" w:type="dxa"/>
            <w:tcBorders>
              <w:tl2br w:val="nil"/>
              <w:tr2bl w:val="nil"/>
            </w:tcBorders>
            <w:noWrap/>
            <w:tcMar>
              <w:top w:w="15" w:type="dxa"/>
              <w:left w:w="15" w:type="dxa"/>
              <w:right w:w="15" w:type="dxa"/>
            </w:tcMar>
            <w:vAlign w:val="center"/>
          </w:tcPr>
          <w:p w14:paraId="2F5B7AE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0.09</w:t>
            </w:r>
          </w:p>
        </w:tc>
        <w:tc>
          <w:tcPr>
            <w:tcW w:w="851" w:type="dxa"/>
            <w:tcBorders>
              <w:tl2br w:val="nil"/>
              <w:tr2bl w:val="nil"/>
            </w:tcBorders>
            <w:noWrap/>
            <w:tcMar>
              <w:top w:w="15" w:type="dxa"/>
              <w:left w:w="15" w:type="dxa"/>
              <w:right w:w="15" w:type="dxa"/>
            </w:tcMar>
            <w:vAlign w:val="center"/>
          </w:tcPr>
          <w:p w14:paraId="63877C3C"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628877C1" w14:textId="77777777" w:rsidR="003E78AB" w:rsidRDefault="00010BF9">
      <w:pPr>
        <w:pStyle w:val="a4"/>
        <w:spacing w:before="120"/>
        <w:rPr>
          <w:b/>
          <w:bCs/>
          <w:color w:val="000000"/>
          <w:u w:val="single"/>
        </w:rPr>
      </w:pPr>
      <w:r>
        <w:rPr>
          <w:b/>
          <w:bCs/>
          <w:color w:val="000000"/>
          <w:u w:val="single"/>
        </w:rPr>
        <w:t>评价范围内主要污染物</w:t>
      </w:r>
      <w:r>
        <w:rPr>
          <w:rFonts w:hint="eastAsia"/>
          <w:b/>
          <w:bCs/>
          <w:color w:val="000000"/>
          <w:u w:val="single"/>
        </w:rPr>
        <w:t>日均</w:t>
      </w:r>
      <w:r>
        <w:rPr>
          <w:b/>
          <w:bCs/>
          <w:color w:val="000000"/>
          <w:u w:val="single"/>
        </w:rPr>
        <w:t>浓度贡献值最大占标率汇总</w:t>
      </w:r>
    </w:p>
    <w:tbl>
      <w:tblPr>
        <w:tblW w:w="490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84"/>
        <w:gridCol w:w="1131"/>
        <w:gridCol w:w="1003"/>
        <w:gridCol w:w="1176"/>
        <w:gridCol w:w="1968"/>
        <w:gridCol w:w="1197"/>
        <w:gridCol w:w="988"/>
      </w:tblGrid>
      <w:tr w:rsidR="003E78AB" w14:paraId="59683DE8" w14:textId="77777777">
        <w:trPr>
          <w:trHeight w:val="369"/>
          <w:tblHeader/>
          <w:jc w:val="center"/>
        </w:trPr>
        <w:tc>
          <w:tcPr>
            <w:tcW w:w="529" w:type="pct"/>
            <w:tcBorders>
              <w:tl2br w:val="nil"/>
              <w:tr2bl w:val="nil"/>
            </w:tcBorders>
            <w:vAlign w:val="center"/>
          </w:tcPr>
          <w:p w14:paraId="2866FF61"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预测点</w:t>
            </w:r>
          </w:p>
        </w:tc>
        <w:tc>
          <w:tcPr>
            <w:tcW w:w="677" w:type="pct"/>
            <w:tcBorders>
              <w:tl2br w:val="nil"/>
              <w:tr2bl w:val="nil"/>
            </w:tcBorders>
            <w:vAlign w:val="center"/>
          </w:tcPr>
          <w:p w14:paraId="1260050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预测因子</w:t>
            </w:r>
          </w:p>
        </w:tc>
        <w:tc>
          <w:tcPr>
            <w:tcW w:w="600" w:type="pct"/>
            <w:tcBorders>
              <w:tl2br w:val="nil"/>
              <w:tr2bl w:val="nil"/>
            </w:tcBorders>
            <w:vAlign w:val="center"/>
          </w:tcPr>
          <w:p w14:paraId="08ADC0C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浓度类型</w:t>
            </w:r>
          </w:p>
        </w:tc>
        <w:tc>
          <w:tcPr>
            <w:tcW w:w="704" w:type="pct"/>
            <w:tcBorders>
              <w:tl2br w:val="nil"/>
              <w:tr2bl w:val="nil"/>
            </w:tcBorders>
            <w:vAlign w:val="center"/>
          </w:tcPr>
          <w:p w14:paraId="0CC84C1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浓度增量（</w:t>
            </w:r>
            <w:r>
              <w:rPr>
                <w:b/>
                <w:bCs/>
                <w:color w:val="000000"/>
                <w:kern w:val="2"/>
                <w:sz w:val="21"/>
                <w:szCs w:val="21"/>
                <w:u w:val="single"/>
                <w:lang w:bidi="ar"/>
              </w:rPr>
              <w:t>μg/m</w:t>
            </w:r>
            <w:r>
              <w:rPr>
                <w:b/>
                <w:bCs/>
                <w:color w:val="000000"/>
                <w:kern w:val="2"/>
                <w:sz w:val="21"/>
                <w:szCs w:val="21"/>
                <w:u w:val="single"/>
                <w:vertAlign w:val="superscript"/>
                <w:lang w:bidi="ar"/>
              </w:rPr>
              <w:t>3</w:t>
            </w:r>
            <w:r>
              <w:rPr>
                <w:b/>
                <w:bCs/>
                <w:color w:val="000000"/>
                <w:kern w:val="2"/>
                <w:sz w:val="21"/>
                <w:szCs w:val="21"/>
                <w:u w:val="single"/>
                <w:lang w:bidi="ar"/>
              </w:rPr>
              <w:t>）</w:t>
            </w:r>
          </w:p>
        </w:tc>
        <w:tc>
          <w:tcPr>
            <w:tcW w:w="1178" w:type="pct"/>
            <w:tcBorders>
              <w:tl2br w:val="nil"/>
              <w:tr2bl w:val="nil"/>
            </w:tcBorders>
            <w:vAlign w:val="center"/>
          </w:tcPr>
          <w:p w14:paraId="7B1C972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出现时间（</w:t>
            </w:r>
            <w:r>
              <w:rPr>
                <w:b/>
                <w:bCs/>
                <w:color w:val="000000"/>
                <w:kern w:val="2"/>
                <w:sz w:val="21"/>
                <w:szCs w:val="21"/>
                <w:u w:val="single"/>
                <w:lang w:bidi="ar"/>
              </w:rPr>
              <w:t>YYMMDDHH</w:t>
            </w:r>
            <w:r>
              <w:rPr>
                <w:b/>
                <w:bCs/>
                <w:color w:val="000000"/>
                <w:kern w:val="2"/>
                <w:sz w:val="21"/>
                <w:szCs w:val="21"/>
                <w:u w:val="single"/>
                <w:lang w:bidi="ar"/>
              </w:rPr>
              <w:t>）</w:t>
            </w:r>
          </w:p>
        </w:tc>
        <w:tc>
          <w:tcPr>
            <w:tcW w:w="717" w:type="pct"/>
            <w:tcBorders>
              <w:tl2br w:val="nil"/>
              <w:tr2bl w:val="nil"/>
            </w:tcBorders>
            <w:vAlign w:val="center"/>
          </w:tcPr>
          <w:p w14:paraId="12DF89DD"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评价标准（</w:t>
            </w:r>
            <w:r>
              <w:rPr>
                <w:b/>
                <w:bCs/>
                <w:color w:val="000000"/>
                <w:kern w:val="2"/>
                <w:sz w:val="21"/>
                <w:szCs w:val="21"/>
                <w:u w:val="single"/>
                <w:lang w:bidi="ar"/>
              </w:rPr>
              <w:t>μg/m</w:t>
            </w:r>
            <w:r>
              <w:rPr>
                <w:b/>
                <w:bCs/>
                <w:color w:val="000000"/>
                <w:kern w:val="2"/>
                <w:sz w:val="21"/>
                <w:szCs w:val="21"/>
                <w:u w:val="single"/>
                <w:vertAlign w:val="superscript"/>
                <w:lang w:bidi="ar"/>
              </w:rPr>
              <w:t>3</w:t>
            </w:r>
            <w:r>
              <w:rPr>
                <w:b/>
                <w:bCs/>
                <w:color w:val="000000"/>
                <w:kern w:val="2"/>
                <w:sz w:val="21"/>
                <w:szCs w:val="21"/>
                <w:u w:val="single"/>
                <w:lang w:bidi="ar"/>
              </w:rPr>
              <w:t>）</w:t>
            </w:r>
          </w:p>
        </w:tc>
        <w:tc>
          <w:tcPr>
            <w:tcW w:w="592" w:type="pct"/>
            <w:tcBorders>
              <w:tl2br w:val="nil"/>
              <w:tr2bl w:val="nil"/>
            </w:tcBorders>
            <w:vAlign w:val="center"/>
          </w:tcPr>
          <w:p w14:paraId="24B89CE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占标率</w:t>
            </w:r>
            <w:r>
              <w:rPr>
                <w:b/>
                <w:bCs/>
                <w:color w:val="000000"/>
                <w:kern w:val="2"/>
                <w:sz w:val="21"/>
                <w:szCs w:val="21"/>
                <w:u w:val="single"/>
                <w:lang w:bidi="ar"/>
              </w:rPr>
              <w:t>/%</w:t>
            </w:r>
          </w:p>
        </w:tc>
      </w:tr>
      <w:tr w:rsidR="003E78AB" w14:paraId="49034728" w14:textId="77777777">
        <w:trPr>
          <w:trHeight w:val="369"/>
          <w:jc w:val="center"/>
        </w:trPr>
        <w:tc>
          <w:tcPr>
            <w:tcW w:w="529" w:type="pct"/>
            <w:vMerge w:val="restart"/>
            <w:tcBorders>
              <w:tl2br w:val="nil"/>
              <w:tr2bl w:val="nil"/>
            </w:tcBorders>
            <w:vAlign w:val="center"/>
          </w:tcPr>
          <w:p w14:paraId="0F1BCE0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评价范围内最大浓度点</w:t>
            </w:r>
          </w:p>
        </w:tc>
        <w:tc>
          <w:tcPr>
            <w:tcW w:w="677" w:type="pct"/>
            <w:tcBorders>
              <w:tl2br w:val="nil"/>
              <w:tr2bl w:val="nil"/>
            </w:tcBorders>
            <w:vAlign w:val="center"/>
          </w:tcPr>
          <w:p w14:paraId="38BB360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NO</w:t>
            </w:r>
            <w:r>
              <w:rPr>
                <w:b/>
                <w:bCs/>
                <w:color w:val="000000"/>
                <w:kern w:val="2"/>
                <w:sz w:val="21"/>
                <w:szCs w:val="21"/>
                <w:u w:val="single"/>
                <w:vertAlign w:val="subscript"/>
                <w:lang w:bidi="ar"/>
              </w:rPr>
              <w:t>2</w:t>
            </w:r>
          </w:p>
        </w:tc>
        <w:tc>
          <w:tcPr>
            <w:tcW w:w="600" w:type="pct"/>
            <w:tcBorders>
              <w:tl2br w:val="nil"/>
              <w:tr2bl w:val="nil"/>
            </w:tcBorders>
            <w:vAlign w:val="center"/>
          </w:tcPr>
          <w:p w14:paraId="0114D529"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lang w:bidi="ar"/>
              </w:rPr>
              <w:t>日平均</w:t>
            </w:r>
          </w:p>
        </w:tc>
        <w:tc>
          <w:tcPr>
            <w:tcW w:w="704" w:type="pct"/>
            <w:tcBorders>
              <w:tl2br w:val="nil"/>
              <w:tr2bl w:val="nil"/>
            </w:tcBorders>
            <w:vAlign w:val="center"/>
          </w:tcPr>
          <w:p w14:paraId="174229DD"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0.791</w:t>
            </w:r>
          </w:p>
        </w:tc>
        <w:tc>
          <w:tcPr>
            <w:tcW w:w="1178" w:type="pct"/>
            <w:tcBorders>
              <w:tl2br w:val="nil"/>
              <w:tr2bl w:val="nil"/>
            </w:tcBorders>
            <w:vAlign w:val="center"/>
          </w:tcPr>
          <w:p w14:paraId="604CBDF4"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lang w:bidi="ar"/>
              </w:rPr>
              <w:t>200117</w:t>
            </w:r>
          </w:p>
        </w:tc>
        <w:tc>
          <w:tcPr>
            <w:tcW w:w="717" w:type="pct"/>
            <w:tcBorders>
              <w:tl2br w:val="nil"/>
              <w:tr2bl w:val="nil"/>
            </w:tcBorders>
            <w:vAlign w:val="center"/>
          </w:tcPr>
          <w:p w14:paraId="7B20279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80</w:t>
            </w:r>
          </w:p>
        </w:tc>
        <w:tc>
          <w:tcPr>
            <w:tcW w:w="592" w:type="pct"/>
            <w:tcBorders>
              <w:tl2br w:val="nil"/>
              <w:tr2bl w:val="nil"/>
            </w:tcBorders>
            <w:vAlign w:val="center"/>
          </w:tcPr>
          <w:p w14:paraId="1B9BF499" w14:textId="77777777" w:rsidR="003E78AB" w:rsidRDefault="00010BF9">
            <w:pPr>
              <w:pStyle w:val="aff4"/>
              <w:rPr>
                <w:rFonts w:hint="default"/>
                <w:b/>
                <w:bCs/>
                <w:color w:val="000000"/>
                <w:kern w:val="2"/>
                <w:szCs w:val="21"/>
                <w:u w:val="single"/>
              </w:rPr>
            </w:pPr>
            <w:r>
              <w:rPr>
                <w:rFonts w:hint="default"/>
                <w:b/>
                <w:bCs/>
                <w:color w:val="000000"/>
                <w:szCs w:val="21"/>
                <w:u w:val="single"/>
              </w:rPr>
              <w:t>0.99</w:t>
            </w:r>
          </w:p>
        </w:tc>
      </w:tr>
      <w:tr w:rsidR="003E78AB" w14:paraId="18BDFD33" w14:textId="77777777">
        <w:trPr>
          <w:trHeight w:val="369"/>
          <w:jc w:val="center"/>
        </w:trPr>
        <w:tc>
          <w:tcPr>
            <w:tcW w:w="529" w:type="pct"/>
            <w:vMerge/>
            <w:tcBorders>
              <w:tl2br w:val="nil"/>
              <w:tr2bl w:val="nil"/>
            </w:tcBorders>
            <w:vAlign w:val="center"/>
          </w:tcPr>
          <w:p w14:paraId="1DCD9E81" w14:textId="77777777" w:rsidR="003E78AB" w:rsidRDefault="003E78AB">
            <w:pPr>
              <w:spacing w:line="360" w:lineRule="exact"/>
              <w:ind w:firstLineChars="0" w:firstLine="0"/>
              <w:jc w:val="center"/>
              <w:rPr>
                <w:b/>
                <w:bCs/>
                <w:color w:val="000000"/>
                <w:sz w:val="21"/>
                <w:szCs w:val="21"/>
                <w:u w:val="single"/>
              </w:rPr>
            </w:pPr>
          </w:p>
        </w:tc>
        <w:tc>
          <w:tcPr>
            <w:tcW w:w="677" w:type="pct"/>
            <w:tcBorders>
              <w:tl2br w:val="nil"/>
              <w:tr2bl w:val="nil"/>
            </w:tcBorders>
            <w:vAlign w:val="center"/>
          </w:tcPr>
          <w:p w14:paraId="74466D9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SO</w:t>
            </w:r>
            <w:r>
              <w:rPr>
                <w:b/>
                <w:bCs/>
                <w:color w:val="000000"/>
                <w:kern w:val="2"/>
                <w:sz w:val="21"/>
                <w:szCs w:val="21"/>
                <w:u w:val="single"/>
                <w:vertAlign w:val="subscript"/>
              </w:rPr>
              <w:t>2</w:t>
            </w:r>
          </w:p>
        </w:tc>
        <w:tc>
          <w:tcPr>
            <w:tcW w:w="600" w:type="pct"/>
            <w:tcBorders>
              <w:tl2br w:val="nil"/>
              <w:tr2bl w:val="nil"/>
            </w:tcBorders>
            <w:vAlign w:val="center"/>
          </w:tcPr>
          <w:p w14:paraId="4CE71292"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lang w:bidi="ar"/>
              </w:rPr>
              <w:t>日平均</w:t>
            </w:r>
          </w:p>
        </w:tc>
        <w:tc>
          <w:tcPr>
            <w:tcW w:w="704" w:type="pct"/>
            <w:tcBorders>
              <w:tl2br w:val="nil"/>
              <w:tr2bl w:val="nil"/>
            </w:tcBorders>
            <w:vAlign w:val="center"/>
          </w:tcPr>
          <w:p w14:paraId="57C04746"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0.</w:t>
            </w:r>
            <w:r>
              <w:rPr>
                <w:rFonts w:hint="eastAsia"/>
                <w:b/>
                <w:bCs/>
                <w:color w:val="000000"/>
                <w:sz w:val="21"/>
                <w:szCs w:val="21"/>
                <w:u w:val="single"/>
              </w:rPr>
              <w:t>473</w:t>
            </w:r>
          </w:p>
        </w:tc>
        <w:tc>
          <w:tcPr>
            <w:tcW w:w="1178" w:type="pct"/>
            <w:tcBorders>
              <w:tl2br w:val="nil"/>
              <w:tr2bl w:val="nil"/>
            </w:tcBorders>
            <w:vAlign w:val="center"/>
          </w:tcPr>
          <w:p w14:paraId="067B3947"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200522</w:t>
            </w:r>
          </w:p>
        </w:tc>
        <w:tc>
          <w:tcPr>
            <w:tcW w:w="717" w:type="pct"/>
            <w:tcBorders>
              <w:tl2br w:val="nil"/>
              <w:tr2bl w:val="nil"/>
            </w:tcBorders>
            <w:vAlign w:val="center"/>
          </w:tcPr>
          <w:p w14:paraId="4050FB09"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150</w:t>
            </w:r>
          </w:p>
        </w:tc>
        <w:tc>
          <w:tcPr>
            <w:tcW w:w="592" w:type="pct"/>
            <w:tcBorders>
              <w:tl2br w:val="nil"/>
              <w:tr2bl w:val="nil"/>
            </w:tcBorders>
            <w:vAlign w:val="center"/>
          </w:tcPr>
          <w:p w14:paraId="7DBB627B"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w:t>
            </w:r>
            <w:r>
              <w:rPr>
                <w:rFonts w:hint="eastAsia"/>
                <w:b/>
                <w:bCs/>
                <w:color w:val="000000"/>
                <w:sz w:val="21"/>
                <w:szCs w:val="21"/>
                <w:u w:val="single"/>
                <w:lang w:bidi="ar"/>
              </w:rPr>
              <w:t>32</w:t>
            </w:r>
          </w:p>
        </w:tc>
      </w:tr>
      <w:tr w:rsidR="003E78AB" w14:paraId="620D5F04" w14:textId="77777777">
        <w:trPr>
          <w:trHeight w:val="369"/>
          <w:jc w:val="center"/>
        </w:trPr>
        <w:tc>
          <w:tcPr>
            <w:tcW w:w="529" w:type="pct"/>
            <w:vMerge/>
            <w:tcBorders>
              <w:tl2br w:val="nil"/>
              <w:tr2bl w:val="nil"/>
            </w:tcBorders>
            <w:vAlign w:val="center"/>
          </w:tcPr>
          <w:p w14:paraId="4BA75263" w14:textId="77777777" w:rsidR="003E78AB" w:rsidRDefault="003E78AB">
            <w:pPr>
              <w:spacing w:line="360" w:lineRule="exact"/>
              <w:ind w:firstLineChars="0" w:firstLine="0"/>
              <w:jc w:val="center"/>
              <w:rPr>
                <w:b/>
                <w:bCs/>
                <w:color w:val="000000"/>
                <w:sz w:val="21"/>
                <w:szCs w:val="21"/>
                <w:u w:val="single"/>
              </w:rPr>
            </w:pPr>
          </w:p>
        </w:tc>
        <w:tc>
          <w:tcPr>
            <w:tcW w:w="677" w:type="pct"/>
            <w:tcBorders>
              <w:tl2br w:val="nil"/>
              <w:tr2bl w:val="nil"/>
            </w:tcBorders>
            <w:vAlign w:val="center"/>
          </w:tcPr>
          <w:p w14:paraId="6D10770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PM</w:t>
            </w:r>
            <w:r>
              <w:rPr>
                <w:b/>
                <w:bCs/>
                <w:color w:val="000000"/>
                <w:kern w:val="2"/>
                <w:sz w:val="21"/>
                <w:szCs w:val="21"/>
                <w:u w:val="single"/>
                <w:vertAlign w:val="subscript"/>
              </w:rPr>
              <w:t>10</w:t>
            </w:r>
          </w:p>
        </w:tc>
        <w:tc>
          <w:tcPr>
            <w:tcW w:w="600" w:type="pct"/>
            <w:tcBorders>
              <w:tl2br w:val="nil"/>
              <w:tr2bl w:val="nil"/>
            </w:tcBorders>
            <w:vAlign w:val="center"/>
          </w:tcPr>
          <w:p w14:paraId="2BB34A4B" w14:textId="77777777" w:rsidR="003E78AB" w:rsidRDefault="00010BF9">
            <w:pPr>
              <w:spacing w:line="360" w:lineRule="exact"/>
              <w:ind w:firstLineChars="0" w:firstLine="0"/>
              <w:jc w:val="center"/>
              <w:rPr>
                <w:b/>
                <w:bCs/>
                <w:color w:val="000000"/>
                <w:sz w:val="21"/>
                <w:szCs w:val="21"/>
                <w:u w:val="single"/>
                <w:lang w:bidi="ar"/>
              </w:rPr>
            </w:pPr>
            <w:r>
              <w:rPr>
                <w:b/>
                <w:bCs/>
                <w:color w:val="000000"/>
                <w:sz w:val="21"/>
                <w:szCs w:val="21"/>
                <w:u w:val="single"/>
                <w:lang w:bidi="ar"/>
              </w:rPr>
              <w:t>日平均</w:t>
            </w:r>
          </w:p>
        </w:tc>
        <w:tc>
          <w:tcPr>
            <w:tcW w:w="704" w:type="pct"/>
            <w:tcBorders>
              <w:tl2br w:val="nil"/>
              <w:tr2bl w:val="nil"/>
            </w:tcBorders>
            <w:vAlign w:val="center"/>
          </w:tcPr>
          <w:p w14:paraId="1835F7B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0.132</w:t>
            </w:r>
          </w:p>
        </w:tc>
        <w:tc>
          <w:tcPr>
            <w:tcW w:w="1178" w:type="pct"/>
            <w:tcBorders>
              <w:tl2br w:val="nil"/>
              <w:tr2bl w:val="nil"/>
            </w:tcBorders>
            <w:vAlign w:val="center"/>
          </w:tcPr>
          <w:p w14:paraId="696DD4F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200117</w:t>
            </w:r>
          </w:p>
        </w:tc>
        <w:tc>
          <w:tcPr>
            <w:tcW w:w="717" w:type="pct"/>
            <w:tcBorders>
              <w:tl2br w:val="nil"/>
              <w:tr2bl w:val="nil"/>
            </w:tcBorders>
            <w:vAlign w:val="center"/>
          </w:tcPr>
          <w:p w14:paraId="3590EB1E"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w:t>
            </w:r>
          </w:p>
        </w:tc>
        <w:tc>
          <w:tcPr>
            <w:tcW w:w="592" w:type="pct"/>
            <w:tcBorders>
              <w:tl2br w:val="nil"/>
              <w:tr2bl w:val="nil"/>
            </w:tcBorders>
            <w:vAlign w:val="center"/>
          </w:tcPr>
          <w:p w14:paraId="1398A562"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0.09</w:t>
            </w:r>
          </w:p>
        </w:tc>
      </w:tr>
      <w:tr w:rsidR="003E78AB" w14:paraId="634F735B" w14:textId="77777777">
        <w:trPr>
          <w:trHeight w:val="90"/>
          <w:jc w:val="center"/>
        </w:trPr>
        <w:tc>
          <w:tcPr>
            <w:tcW w:w="529" w:type="pct"/>
            <w:vMerge/>
            <w:tcBorders>
              <w:tl2br w:val="nil"/>
              <w:tr2bl w:val="nil"/>
            </w:tcBorders>
            <w:vAlign w:val="center"/>
          </w:tcPr>
          <w:p w14:paraId="3603020F" w14:textId="77777777" w:rsidR="003E78AB" w:rsidRDefault="003E78AB">
            <w:pPr>
              <w:spacing w:line="360" w:lineRule="exact"/>
              <w:ind w:firstLineChars="0" w:firstLine="0"/>
              <w:jc w:val="center"/>
              <w:rPr>
                <w:b/>
                <w:bCs/>
                <w:color w:val="000000"/>
                <w:sz w:val="21"/>
                <w:szCs w:val="21"/>
                <w:u w:val="single"/>
              </w:rPr>
            </w:pPr>
          </w:p>
        </w:tc>
        <w:tc>
          <w:tcPr>
            <w:tcW w:w="677" w:type="pct"/>
            <w:tcBorders>
              <w:tl2br w:val="nil"/>
              <w:tr2bl w:val="nil"/>
            </w:tcBorders>
            <w:vAlign w:val="center"/>
          </w:tcPr>
          <w:p w14:paraId="2C72B89E"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硫酸雾</w:t>
            </w:r>
          </w:p>
        </w:tc>
        <w:tc>
          <w:tcPr>
            <w:tcW w:w="600" w:type="pct"/>
            <w:tcBorders>
              <w:tl2br w:val="nil"/>
              <w:tr2bl w:val="nil"/>
            </w:tcBorders>
            <w:vAlign w:val="center"/>
          </w:tcPr>
          <w:p w14:paraId="48213D98" w14:textId="77777777" w:rsidR="003E78AB" w:rsidRDefault="00010BF9">
            <w:pPr>
              <w:spacing w:line="360" w:lineRule="exact"/>
              <w:ind w:firstLineChars="0" w:firstLine="0"/>
              <w:jc w:val="center"/>
              <w:rPr>
                <w:b/>
                <w:bCs/>
                <w:color w:val="000000"/>
                <w:kern w:val="2"/>
                <w:sz w:val="21"/>
                <w:szCs w:val="21"/>
                <w:u w:val="single"/>
                <w:lang w:bidi="ar"/>
              </w:rPr>
            </w:pPr>
            <w:r>
              <w:rPr>
                <w:b/>
                <w:bCs/>
                <w:color w:val="000000"/>
                <w:sz w:val="21"/>
                <w:szCs w:val="21"/>
                <w:u w:val="single"/>
                <w:lang w:bidi="ar"/>
              </w:rPr>
              <w:t>日平均</w:t>
            </w:r>
          </w:p>
        </w:tc>
        <w:tc>
          <w:tcPr>
            <w:tcW w:w="704" w:type="pct"/>
            <w:tcBorders>
              <w:tl2br w:val="nil"/>
              <w:tr2bl w:val="nil"/>
            </w:tcBorders>
            <w:vAlign w:val="center"/>
          </w:tcPr>
          <w:p w14:paraId="3E44D2E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w:t>
            </w:r>
            <w:r>
              <w:rPr>
                <w:rFonts w:hint="eastAsia"/>
                <w:b/>
                <w:bCs/>
                <w:color w:val="000000"/>
                <w:sz w:val="21"/>
                <w:szCs w:val="21"/>
                <w:u w:val="single"/>
                <w:lang w:bidi="ar"/>
              </w:rPr>
              <w:t>032</w:t>
            </w:r>
          </w:p>
        </w:tc>
        <w:tc>
          <w:tcPr>
            <w:tcW w:w="1178" w:type="pct"/>
            <w:tcBorders>
              <w:tl2br w:val="nil"/>
              <w:tr2bl w:val="nil"/>
            </w:tcBorders>
            <w:vAlign w:val="center"/>
          </w:tcPr>
          <w:p w14:paraId="715BA3D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200123</w:t>
            </w:r>
          </w:p>
        </w:tc>
        <w:tc>
          <w:tcPr>
            <w:tcW w:w="717" w:type="pct"/>
            <w:tcBorders>
              <w:tl2br w:val="nil"/>
              <w:tr2bl w:val="nil"/>
            </w:tcBorders>
            <w:vAlign w:val="center"/>
          </w:tcPr>
          <w:p w14:paraId="63AA14BF"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100</w:t>
            </w:r>
          </w:p>
        </w:tc>
        <w:tc>
          <w:tcPr>
            <w:tcW w:w="592" w:type="pct"/>
            <w:tcBorders>
              <w:tl2br w:val="nil"/>
              <w:tr2bl w:val="nil"/>
            </w:tcBorders>
            <w:vAlign w:val="center"/>
          </w:tcPr>
          <w:p w14:paraId="0EEADDE6"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w:t>
            </w:r>
            <w:r>
              <w:rPr>
                <w:rFonts w:hint="eastAsia"/>
                <w:b/>
                <w:bCs/>
                <w:color w:val="000000"/>
                <w:sz w:val="21"/>
                <w:szCs w:val="21"/>
                <w:u w:val="single"/>
                <w:lang w:bidi="ar"/>
              </w:rPr>
              <w:t>03</w:t>
            </w:r>
          </w:p>
        </w:tc>
      </w:tr>
    </w:tbl>
    <w:p w14:paraId="7A0949BD" w14:textId="77777777" w:rsidR="003E78AB" w:rsidRDefault="00010BF9">
      <w:pPr>
        <w:pStyle w:val="afd"/>
        <w:spacing w:after="0"/>
        <w:ind w:firstLineChars="200" w:firstLine="482"/>
        <w:rPr>
          <w:b/>
          <w:bCs/>
          <w:color w:val="000000"/>
          <w:u w:val="single"/>
        </w:rPr>
      </w:pPr>
      <w:r>
        <w:rPr>
          <w:b/>
          <w:bCs/>
          <w:color w:val="000000"/>
          <w:sz w:val="24"/>
          <w:szCs w:val="21"/>
          <w:u w:val="single"/>
        </w:rPr>
        <w:t>根据以上表格预测结果可知，本项目正常排放情况下，环境空气保护目标和网格点主要新增污染源</w:t>
      </w:r>
      <w:r>
        <w:rPr>
          <w:b/>
          <w:bCs/>
          <w:color w:val="000000"/>
          <w:sz w:val="24"/>
          <w:szCs w:val="21"/>
          <w:u w:val="single"/>
        </w:rPr>
        <w:t>NO</w:t>
      </w:r>
      <w:r>
        <w:rPr>
          <w:b/>
          <w:bCs/>
          <w:color w:val="000000"/>
          <w:sz w:val="24"/>
          <w:szCs w:val="21"/>
          <w:u w:val="single"/>
          <w:vertAlign w:val="subscript"/>
        </w:rPr>
        <w:t>2</w:t>
      </w:r>
      <w:r>
        <w:rPr>
          <w:b/>
          <w:bCs/>
          <w:color w:val="000000"/>
          <w:sz w:val="24"/>
          <w:szCs w:val="21"/>
          <w:u w:val="single"/>
        </w:rPr>
        <w:t>、</w:t>
      </w:r>
      <w:r>
        <w:rPr>
          <w:b/>
          <w:bCs/>
          <w:color w:val="000000"/>
          <w:sz w:val="24"/>
          <w:u w:val="single"/>
        </w:rPr>
        <w:t>SO</w:t>
      </w:r>
      <w:r>
        <w:rPr>
          <w:b/>
          <w:bCs/>
          <w:color w:val="000000"/>
          <w:sz w:val="24"/>
          <w:u w:val="single"/>
          <w:vertAlign w:val="subscript"/>
        </w:rPr>
        <w:t>2</w:t>
      </w:r>
      <w:r>
        <w:rPr>
          <w:b/>
          <w:bCs/>
          <w:color w:val="000000"/>
          <w:sz w:val="24"/>
          <w:szCs w:val="21"/>
          <w:u w:val="single"/>
        </w:rPr>
        <w:t>、</w:t>
      </w:r>
      <w:r>
        <w:rPr>
          <w:rFonts w:hint="eastAsia"/>
          <w:b/>
          <w:bCs/>
          <w:color w:val="000000"/>
          <w:sz w:val="24"/>
          <w:szCs w:val="21"/>
          <w:u w:val="single"/>
        </w:rPr>
        <w:t>PM</w:t>
      </w:r>
      <w:r>
        <w:rPr>
          <w:rFonts w:hint="eastAsia"/>
          <w:b/>
          <w:bCs/>
          <w:color w:val="000000"/>
          <w:sz w:val="24"/>
          <w:szCs w:val="21"/>
          <w:u w:val="single"/>
          <w:vertAlign w:val="subscript"/>
        </w:rPr>
        <w:t>10</w:t>
      </w:r>
      <w:r>
        <w:rPr>
          <w:rFonts w:hint="eastAsia"/>
          <w:b/>
          <w:bCs/>
          <w:color w:val="000000"/>
          <w:sz w:val="24"/>
          <w:szCs w:val="21"/>
          <w:u w:val="single"/>
        </w:rPr>
        <w:t>、硫酸雾日</w:t>
      </w:r>
      <w:r>
        <w:rPr>
          <w:b/>
          <w:bCs/>
          <w:color w:val="000000"/>
          <w:sz w:val="24"/>
          <w:szCs w:val="21"/>
          <w:u w:val="single"/>
        </w:rPr>
        <w:t>平均贡献值最大浓度占标率分别为</w:t>
      </w:r>
      <w:r>
        <w:rPr>
          <w:rFonts w:hint="eastAsia"/>
          <w:b/>
          <w:bCs/>
          <w:color w:val="000000"/>
          <w:sz w:val="24"/>
          <w:szCs w:val="21"/>
          <w:u w:val="single"/>
        </w:rPr>
        <w:t>0.99</w:t>
      </w:r>
      <w:r>
        <w:rPr>
          <w:b/>
          <w:bCs/>
          <w:color w:val="000000"/>
          <w:sz w:val="24"/>
          <w:szCs w:val="21"/>
          <w:u w:val="single"/>
        </w:rPr>
        <w:t>%</w:t>
      </w:r>
      <w:r>
        <w:rPr>
          <w:b/>
          <w:bCs/>
          <w:color w:val="000000"/>
          <w:sz w:val="24"/>
          <w:szCs w:val="21"/>
          <w:u w:val="single"/>
        </w:rPr>
        <w:t>、</w:t>
      </w:r>
      <w:r>
        <w:rPr>
          <w:b/>
          <w:bCs/>
          <w:color w:val="000000"/>
          <w:sz w:val="24"/>
          <w:szCs w:val="21"/>
          <w:u w:val="single"/>
        </w:rPr>
        <w:t>0.</w:t>
      </w:r>
      <w:r>
        <w:rPr>
          <w:rFonts w:hint="eastAsia"/>
          <w:b/>
          <w:bCs/>
          <w:color w:val="000000"/>
          <w:sz w:val="24"/>
          <w:szCs w:val="21"/>
          <w:u w:val="single"/>
        </w:rPr>
        <w:t>32</w:t>
      </w:r>
      <w:r>
        <w:rPr>
          <w:b/>
          <w:bCs/>
          <w:color w:val="000000"/>
          <w:sz w:val="24"/>
          <w:szCs w:val="21"/>
          <w:u w:val="single"/>
        </w:rPr>
        <w:t>%</w:t>
      </w:r>
      <w:r>
        <w:rPr>
          <w:b/>
          <w:bCs/>
          <w:color w:val="000000"/>
          <w:sz w:val="24"/>
          <w:szCs w:val="21"/>
          <w:u w:val="single"/>
        </w:rPr>
        <w:t>、</w:t>
      </w:r>
      <w:r>
        <w:rPr>
          <w:rFonts w:hint="eastAsia"/>
          <w:b/>
          <w:bCs/>
          <w:color w:val="000000"/>
          <w:sz w:val="24"/>
          <w:szCs w:val="21"/>
          <w:u w:val="single"/>
        </w:rPr>
        <w:t>0.09%</w:t>
      </w:r>
      <w:r>
        <w:rPr>
          <w:rFonts w:hint="eastAsia"/>
          <w:b/>
          <w:bCs/>
          <w:color w:val="000000"/>
          <w:sz w:val="24"/>
          <w:szCs w:val="21"/>
          <w:u w:val="single"/>
        </w:rPr>
        <w:t>、</w:t>
      </w:r>
      <w:r>
        <w:rPr>
          <w:rFonts w:hint="eastAsia"/>
          <w:b/>
          <w:bCs/>
          <w:color w:val="000000"/>
          <w:sz w:val="24"/>
          <w:szCs w:val="21"/>
          <w:u w:val="single"/>
        </w:rPr>
        <w:t>0.03</w:t>
      </w:r>
      <w:r>
        <w:rPr>
          <w:b/>
          <w:bCs/>
          <w:color w:val="000000"/>
          <w:sz w:val="24"/>
          <w:szCs w:val="21"/>
          <w:u w:val="single"/>
        </w:rPr>
        <w:t>%</w:t>
      </w:r>
      <w:r>
        <w:rPr>
          <w:b/>
          <w:bCs/>
          <w:color w:val="000000"/>
          <w:sz w:val="24"/>
          <w:szCs w:val="21"/>
          <w:u w:val="single"/>
        </w:rPr>
        <w:t>。评价范围内各污染物</w:t>
      </w:r>
      <w:r>
        <w:rPr>
          <w:b/>
          <w:bCs/>
          <w:color w:val="000000"/>
          <w:sz w:val="24"/>
          <w:szCs w:val="21"/>
          <w:u w:val="single"/>
        </w:rPr>
        <w:t>1</w:t>
      </w:r>
      <w:r>
        <w:rPr>
          <w:b/>
          <w:bCs/>
          <w:color w:val="000000"/>
          <w:sz w:val="24"/>
          <w:szCs w:val="21"/>
          <w:u w:val="single"/>
        </w:rPr>
        <w:t>小时平均贡献的最大浓度占标率最大值为</w:t>
      </w:r>
      <w:r>
        <w:rPr>
          <w:rFonts w:hint="eastAsia"/>
          <w:b/>
          <w:bCs/>
          <w:color w:val="000000"/>
          <w:sz w:val="24"/>
          <w:szCs w:val="21"/>
          <w:u w:val="single"/>
        </w:rPr>
        <w:t>0.99</w:t>
      </w:r>
      <w:r>
        <w:rPr>
          <w:b/>
          <w:bCs/>
          <w:color w:val="000000"/>
          <w:sz w:val="24"/>
          <w:szCs w:val="21"/>
          <w:u w:val="single"/>
        </w:rPr>
        <w:t>%</w:t>
      </w:r>
      <w:r>
        <w:rPr>
          <w:b/>
          <w:bCs/>
          <w:color w:val="000000"/>
          <w:sz w:val="24"/>
          <w:szCs w:val="21"/>
          <w:u w:val="single"/>
        </w:rPr>
        <w:t>＜</w:t>
      </w:r>
      <w:r>
        <w:rPr>
          <w:b/>
          <w:bCs/>
          <w:color w:val="000000"/>
          <w:sz w:val="24"/>
          <w:szCs w:val="21"/>
          <w:u w:val="single"/>
        </w:rPr>
        <w:t>100%</w:t>
      </w:r>
      <w:r>
        <w:rPr>
          <w:b/>
          <w:bCs/>
          <w:color w:val="000000"/>
          <w:sz w:val="24"/>
          <w:szCs w:val="21"/>
          <w:u w:val="single"/>
        </w:rPr>
        <w:t>。</w:t>
      </w:r>
    </w:p>
    <w:p w14:paraId="515ED623" w14:textId="77777777" w:rsidR="003E78AB" w:rsidRDefault="00010BF9">
      <w:pPr>
        <w:pStyle w:val="afff3"/>
        <w:snapToGrid/>
        <w:ind w:firstLine="482"/>
        <w:rPr>
          <w:rFonts w:ascii="Times New Roman" w:hAnsi="Times New Roman"/>
          <w:b/>
          <w:bCs/>
          <w:color w:val="000000"/>
          <w:sz w:val="24"/>
          <w:szCs w:val="24"/>
          <w:u w:val="single"/>
        </w:rPr>
      </w:pPr>
      <w:r>
        <w:rPr>
          <w:rFonts w:ascii="Times New Roman" w:hAnsi="Times New Roman"/>
          <w:b/>
          <w:bCs/>
          <w:color w:val="000000"/>
          <w:sz w:val="24"/>
          <w:szCs w:val="24"/>
          <w:u w:val="single"/>
        </w:rPr>
        <w:t>3</w:t>
      </w:r>
      <w:r>
        <w:rPr>
          <w:rFonts w:ascii="Times New Roman" w:hAnsi="Times New Roman"/>
          <w:b/>
          <w:bCs/>
          <w:color w:val="000000"/>
          <w:sz w:val="24"/>
          <w:szCs w:val="24"/>
          <w:u w:val="single"/>
        </w:rPr>
        <w:t>）年平均浓度</w:t>
      </w:r>
    </w:p>
    <w:p w14:paraId="3E49EDEF" w14:textId="77777777" w:rsidR="003E78AB" w:rsidRDefault="00010BF9">
      <w:pPr>
        <w:pStyle w:val="a4"/>
        <w:spacing w:before="120"/>
        <w:rPr>
          <w:b/>
          <w:bCs/>
          <w:color w:val="000000"/>
          <w:u w:val="single"/>
        </w:rPr>
      </w:pPr>
      <w:r>
        <w:rPr>
          <w:b/>
          <w:bCs/>
          <w:color w:val="000000"/>
          <w:u w:val="single"/>
        </w:rPr>
        <w:t>本项目</w:t>
      </w:r>
      <w:r>
        <w:rPr>
          <w:b/>
          <w:bCs/>
          <w:color w:val="000000"/>
          <w:u w:val="single"/>
        </w:rPr>
        <w:t>NO</w:t>
      </w:r>
      <w:r>
        <w:rPr>
          <w:b/>
          <w:bCs/>
          <w:color w:val="000000"/>
          <w:u w:val="single"/>
          <w:vertAlign w:val="subscript"/>
        </w:rPr>
        <w:t>2</w:t>
      </w:r>
      <w:r>
        <w:rPr>
          <w:rFonts w:hint="eastAsia"/>
          <w:b/>
          <w:bCs/>
          <w:color w:val="000000"/>
          <w:u w:val="single"/>
        </w:rPr>
        <w:t>年平均</w:t>
      </w:r>
      <w:r>
        <w:rPr>
          <w:b/>
          <w:bCs/>
          <w:color w:val="000000"/>
          <w:u w:val="single"/>
        </w:rPr>
        <w:t>浓度贡献质量浓度预测结果</w:t>
      </w:r>
    </w:p>
    <w:tbl>
      <w:tblPr>
        <w:tblW w:w="5000"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
        <w:gridCol w:w="2093"/>
        <w:gridCol w:w="725"/>
        <w:gridCol w:w="1098"/>
        <w:gridCol w:w="1934"/>
        <w:gridCol w:w="1271"/>
        <w:gridCol w:w="725"/>
      </w:tblGrid>
      <w:tr w:rsidR="003E78AB" w14:paraId="5AB483AC" w14:textId="77777777">
        <w:trPr>
          <w:tblHeader/>
        </w:trPr>
        <w:tc>
          <w:tcPr>
            <w:tcW w:w="290" w:type="pct"/>
            <w:tcBorders>
              <w:tl2br w:val="nil"/>
              <w:tr2bl w:val="nil"/>
            </w:tcBorders>
            <w:noWrap/>
            <w:tcMar>
              <w:top w:w="15" w:type="dxa"/>
              <w:left w:w="15" w:type="dxa"/>
              <w:right w:w="15" w:type="dxa"/>
            </w:tcMar>
            <w:vAlign w:val="center"/>
          </w:tcPr>
          <w:p w14:paraId="3539AEE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255" w:type="pct"/>
            <w:tcBorders>
              <w:tl2br w:val="nil"/>
              <w:tr2bl w:val="nil"/>
            </w:tcBorders>
            <w:noWrap/>
            <w:tcMar>
              <w:top w:w="15" w:type="dxa"/>
              <w:left w:w="15" w:type="dxa"/>
              <w:right w:w="15" w:type="dxa"/>
            </w:tcMar>
            <w:vAlign w:val="center"/>
          </w:tcPr>
          <w:p w14:paraId="00F7E642"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预测点名称</w:t>
            </w:r>
          </w:p>
        </w:tc>
        <w:tc>
          <w:tcPr>
            <w:tcW w:w="435" w:type="pct"/>
            <w:tcBorders>
              <w:tl2br w:val="nil"/>
              <w:tr2bl w:val="nil"/>
            </w:tcBorders>
            <w:noWrap/>
            <w:tcMar>
              <w:top w:w="15" w:type="dxa"/>
              <w:left w:w="15" w:type="dxa"/>
              <w:right w:w="15" w:type="dxa"/>
            </w:tcMar>
            <w:vAlign w:val="center"/>
          </w:tcPr>
          <w:p w14:paraId="41491BA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659" w:type="pct"/>
            <w:tcBorders>
              <w:tl2br w:val="nil"/>
              <w:tr2bl w:val="nil"/>
            </w:tcBorders>
            <w:noWrap/>
            <w:tcMar>
              <w:top w:w="15" w:type="dxa"/>
              <w:left w:w="15" w:type="dxa"/>
              <w:right w:w="15" w:type="dxa"/>
            </w:tcMar>
            <w:vAlign w:val="center"/>
          </w:tcPr>
          <w:p w14:paraId="2CB615C2"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160" w:type="pct"/>
            <w:tcBorders>
              <w:tl2br w:val="nil"/>
              <w:tr2bl w:val="nil"/>
            </w:tcBorders>
            <w:noWrap/>
            <w:tcMar>
              <w:top w:w="15" w:type="dxa"/>
              <w:left w:w="15" w:type="dxa"/>
              <w:right w:w="15" w:type="dxa"/>
            </w:tcMar>
            <w:vAlign w:val="center"/>
          </w:tcPr>
          <w:p w14:paraId="606D74B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763" w:type="pct"/>
            <w:tcBorders>
              <w:tl2br w:val="nil"/>
              <w:tr2bl w:val="nil"/>
            </w:tcBorders>
            <w:noWrap/>
            <w:tcMar>
              <w:top w:w="15" w:type="dxa"/>
              <w:left w:w="15" w:type="dxa"/>
              <w:right w:w="15" w:type="dxa"/>
            </w:tcMar>
            <w:vAlign w:val="center"/>
          </w:tcPr>
          <w:p w14:paraId="6224588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435" w:type="pct"/>
            <w:tcBorders>
              <w:tl2br w:val="nil"/>
              <w:tr2bl w:val="nil"/>
            </w:tcBorders>
            <w:noWrap/>
            <w:tcMar>
              <w:top w:w="15" w:type="dxa"/>
              <w:left w:w="15" w:type="dxa"/>
              <w:right w:w="15" w:type="dxa"/>
            </w:tcMar>
            <w:vAlign w:val="center"/>
          </w:tcPr>
          <w:p w14:paraId="2764A25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r>
      <w:tr w:rsidR="003E78AB" w14:paraId="4B08DA5D" w14:textId="77777777">
        <w:tc>
          <w:tcPr>
            <w:tcW w:w="290" w:type="pct"/>
            <w:tcBorders>
              <w:tl2br w:val="nil"/>
              <w:tr2bl w:val="nil"/>
            </w:tcBorders>
            <w:noWrap/>
            <w:tcMar>
              <w:top w:w="15" w:type="dxa"/>
              <w:left w:w="15" w:type="dxa"/>
              <w:right w:w="15" w:type="dxa"/>
            </w:tcMar>
            <w:vAlign w:val="center"/>
          </w:tcPr>
          <w:p w14:paraId="5A2C53CB"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255" w:type="pct"/>
            <w:tcBorders>
              <w:tl2br w:val="nil"/>
              <w:tr2bl w:val="nil"/>
            </w:tcBorders>
            <w:noWrap/>
            <w:tcMar>
              <w:top w:w="15" w:type="dxa"/>
              <w:left w:w="15" w:type="dxa"/>
              <w:right w:w="15" w:type="dxa"/>
            </w:tcMar>
            <w:vAlign w:val="center"/>
          </w:tcPr>
          <w:p w14:paraId="71978BAD" w14:textId="77777777" w:rsidR="003E78AB" w:rsidRDefault="00010BF9">
            <w:pPr>
              <w:pStyle w:val="aff6"/>
              <w:topLinePunct/>
              <w:rPr>
                <w:b/>
                <w:bCs/>
                <w:color w:val="000000"/>
                <w:u w:val="single"/>
              </w:rPr>
            </w:pPr>
            <w:r>
              <w:rPr>
                <w:b/>
                <w:bCs/>
                <w:u w:val="single"/>
              </w:rPr>
              <w:t>安居富民小区</w:t>
            </w:r>
          </w:p>
        </w:tc>
        <w:tc>
          <w:tcPr>
            <w:tcW w:w="435" w:type="pct"/>
            <w:tcBorders>
              <w:tl2br w:val="nil"/>
              <w:tr2bl w:val="nil"/>
            </w:tcBorders>
            <w:noWrap/>
            <w:tcMar>
              <w:top w:w="15" w:type="dxa"/>
              <w:left w:w="15" w:type="dxa"/>
              <w:right w:w="15" w:type="dxa"/>
            </w:tcMar>
            <w:vAlign w:val="center"/>
          </w:tcPr>
          <w:p w14:paraId="5DD6727E"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年平均</w:t>
            </w:r>
          </w:p>
        </w:tc>
        <w:tc>
          <w:tcPr>
            <w:tcW w:w="659" w:type="pct"/>
            <w:tcBorders>
              <w:tl2br w:val="nil"/>
              <w:tr2bl w:val="nil"/>
            </w:tcBorders>
            <w:noWrap/>
            <w:tcMar>
              <w:top w:w="15" w:type="dxa"/>
              <w:left w:w="15" w:type="dxa"/>
              <w:right w:w="15" w:type="dxa"/>
            </w:tcMar>
            <w:vAlign w:val="center"/>
          </w:tcPr>
          <w:p w14:paraId="06F3355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0.034</w:t>
            </w:r>
          </w:p>
        </w:tc>
        <w:tc>
          <w:tcPr>
            <w:tcW w:w="1160" w:type="pct"/>
            <w:tcBorders>
              <w:tl2br w:val="nil"/>
              <w:tr2bl w:val="nil"/>
            </w:tcBorders>
            <w:noWrap/>
            <w:tcMar>
              <w:top w:w="15" w:type="dxa"/>
              <w:left w:w="15" w:type="dxa"/>
              <w:right w:w="15" w:type="dxa"/>
            </w:tcMar>
            <w:vAlign w:val="center"/>
          </w:tcPr>
          <w:p w14:paraId="3B526E8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763" w:type="pct"/>
            <w:tcBorders>
              <w:tl2br w:val="nil"/>
              <w:tr2bl w:val="nil"/>
            </w:tcBorders>
            <w:noWrap/>
            <w:tcMar>
              <w:top w:w="15" w:type="dxa"/>
              <w:left w:w="15" w:type="dxa"/>
              <w:right w:w="15" w:type="dxa"/>
            </w:tcMar>
            <w:vAlign w:val="center"/>
          </w:tcPr>
          <w:p w14:paraId="6467DB2E" w14:textId="77777777" w:rsidR="003E78AB" w:rsidRDefault="00010BF9">
            <w:pPr>
              <w:pStyle w:val="aff4"/>
              <w:rPr>
                <w:rFonts w:hint="default"/>
                <w:b/>
                <w:bCs/>
                <w:color w:val="000000"/>
                <w:szCs w:val="21"/>
                <w:u w:val="single"/>
              </w:rPr>
            </w:pPr>
            <w:r>
              <w:rPr>
                <w:rFonts w:hint="default"/>
                <w:b/>
                <w:bCs/>
                <w:color w:val="000000"/>
                <w:szCs w:val="21"/>
                <w:u w:val="single"/>
              </w:rPr>
              <w:t>40</w:t>
            </w:r>
          </w:p>
        </w:tc>
        <w:tc>
          <w:tcPr>
            <w:tcW w:w="435" w:type="pct"/>
            <w:tcBorders>
              <w:tl2br w:val="nil"/>
              <w:tr2bl w:val="nil"/>
            </w:tcBorders>
            <w:noWrap/>
            <w:tcMar>
              <w:top w:w="15" w:type="dxa"/>
              <w:left w:w="15" w:type="dxa"/>
              <w:right w:w="15" w:type="dxa"/>
            </w:tcMar>
            <w:vAlign w:val="center"/>
          </w:tcPr>
          <w:p w14:paraId="7F506A3E"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0.08</w:t>
            </w:r>
          </w:p>
        </w:tc>
      </w:tr>
      <w:tr w:rsidR="003E78AB" w14:paraId="5B158187" w14:textId="77777777">
        <w:tc>
          <w:tcPr>
            <w:tcW w:w="290" w:type="pct"/>
            <w:tcBorders>
              <w:tl2br w:val="nil"/>
              <w:tr2bl w:val="nil"/>
            </w:tcBorders>
            <w:noWrap/>
            <w:tcMar>
              <w:top w:w="15" w:type="dxa"/>
              <w:left w:w="15" w:type="dxa"/>
              <w:right w:w="15" w:type="dxa"/>
            </w:tcMar>
            <w:vAlign w:val="center"/>
          </w:tcPr>
          <w:p w14:paraId="2DADF5C8"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255" w:type="pct"/>
            <w:tcBorders>
              <w:tl2br w:val="nil"/>
              <w:tr2bl w:val="nil"/>
            </w:tcBorders>
            <w:noWrap/>
            <w:tcMar>
              <w:top w:w="15" w:type="dxa"/>
              <w:left w:w="15" w:type="dxa"/>
              <w:right w:w="15" w:type="dxa"/>
            </w:tcMar>
            <w:vAlign w:val="center"/>
          </w:tcPr>
          <w:p w14:paraId="05BAC4E3" w14:textId="77777777" w:rsidR="003E78AB" w:rsidRDefault="00010BF9">
            <w:pPr>
              <w:pStyle w:val="aff6"/>
              <w:topLinePunct/>
              <w:rPr>
                <w:b/>
                <w:bCs/>
                <w:color w:val="000000"/>
                <w:u w:val="single"/>
              </w:rPr>
            </w:pPr>
            <w:r>
              <w:rPr>
                <w:b/>
                <w:bCs/>
                <w:u w:val="single"/>
              </w:rPr>
              <w:t>项目区上风向</w:t>
            </w:r>
          </w:p>
        </w:tc>
        <w:tc>
          <w:tcPr>
            <w:tcW w:w="435" w:type="pct"/>
            <w:tcBorders>
              <w:tl2br w:val="nil"/>
              <w:tr2bl w:val="nil"/>
            </w:tcBorders>
            <w:noWrap/>
            <w:tcMar>
              <w:top w:w="15" w:type="dxa"/>
              <w:left w:w="15" w:type="dxa"/>
              <w:right w:w="15" w:type="dxa"/>
            </w:tcMar>
            <w:vAlign w:val="center"/>
          </w:tcPr>
          <w:p w14:paraId="691FFA06"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年平均</w:t>
            </w:r>
          </w:p>
        </w:tc>
        <w:tc>
          <w:tcPr>
            <w:tcW w:w="659" w:type="pct"/>
            <w:tcBorders>
              <w:tl2br w:val="nil"/>
              <w:tr2bl w:val="nil"/>
            </w:tcBorders>
            <w:noWrap/>
            <w:tcMar>
              <w:top w:w="15" w:type="dxa"/>
              <w:left w:w="15" w:type="dxa"/>
              <w:right w:w="15" w:type="dxa"/>
            </w:tcMar>
            <w:vAlign w:val="center"/>
          </w:tcPr>
          <w:p w14:paraId="0AC7B5E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0.010</w:t>
            </w:r>
          </w:p>
        </w:tc>
        <w:tc>
          <w:tcPr>
            <w:tcW w:w="1160" w:type="pct"/>
            <w:tcBorders>
              <w:tl2br w:val="nil"/>
              <w:tr2bl w:val="nil"/>
            </w:tcBorders>
            <w:noWrap/>
            <w:tcMar>
              <w:top w:w="15" w:type="dxa"/>
              <w:left w:w="15" w:type="dxa"/>
              <w:right w:w="15" w:type="dxa"/>
            </w:tcMar>
            <w:vAlign w:val="center"/>
          </w:tcPr>
          <w:p w14:paraId="2A9A7D8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763" w:type="pct"/>
            <w:tcBorders>
              <w:tl2br w:val="nil"/>
              <w:tr2bl w:val="nil"/>
            </w:tcBorders>
            <w:noWrap/>
            <w:tcMar>
              <w:top w:w="15" w:type="dxa"/>
              <w:left w:w="15" w:type="dxa"/>
              <w:right w:w="15" w:type="dxa"/>
            </w:tcMar>
            <w:vAlign w:val="center"/>
          </w:tcPr>
          <w:p w14:paraId="03CF056E"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40</w:t>
            </w:r>
          </w:p>
        </w:tc>
        <w:tc>
          <w:tcPr>
            <w:tcW w:w="435" w:type="pct"/>
            <w:tcBorders>
              <w:tl2br w:val="nil"/>
              <w:tr2bl w:val="nil"/>
            </w:tcBorders>
            <w:noWrap/>
            <w:tcMar>
              <w:top w:w="15" w:type="dxa"/>
              <w:left w:w="15" w:type="dxa"/>
              <w:right w:w="15" w:type="dxa"/>
            </w:tcMar>
            <w:vAlign w:val="center"/>
          </w:tcPr>
          <w:p w14:paraId="38100ED3"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0.02</w:t>
            </w:r>
          </w:p>
        </w:tc>
      </w:tr>
      <w:tr w:rsidR="003E78AB" w14:paraId="3BDA66A5" w14:textId="77777777">
        <w:tc>
          <w:tcPr>
            <w:tcW w:w="290" w:type="pct"/>
            <w:tcBorders>
              <w:tl2br w:val="nil"/>
              <w:tr2bl w:val="nil"/>
            </w:tcBorders>
            <w:noWrap/>
            <w:tcMar>
              <w:top w:w="15" w:type="dxa"/>
              <w:left w:w="15" w:type="dxa"/>
              <w:right w:w="15" w:type="dxa"/>
            </w:tcMar>
            <w:vAlign w:val="center"/>
          </w:tcPr>
          <w:p w14:paraId="6316FFD1"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255" w:type="pct"/>
            <w:tcBorders>
              <w:tl2br w:val="nil"/>
              <w:tr2bl w:val="nil"/>
            </w:tcBorders>
            <w:noWrap/>
            <w:tcMar>
              <w:top w:w="15" w:type="dxa"/>
              <w:left w:w="15" w:type="dxa"/>
              <w:right w:w="15" w:type="dxa"/>
            </w:tcMar>
            <w:vAlign w:val="center"/>
          </w:tcPr>
          <w:p w14:paraId="0460E4B9" w14:textId="77777777" w:rsidR="003E78AB" w:rsidRDefault="00010BF9">
            <w:pPr>
              <w:pStyle w:val="aff6"/>
              <w:topLinePunct/>
              <w:rPr>
                <w:b/>
                <w:bCs/>
                <w:color w:val="000000"/>
                <w:u w:val="single"/>
              </w:rPr>
            </w:pPr>
            <w:r>
              <w:rPr>
                <w:b/>
                <w:bCs/>
                <w:u w:val="single"/>
              </w:rPr>
              <w:t>项目区下风向</w:t>
            </w:r>
          </w:p>
        </w:tc>
        <w:tc>
          <w:tcPr>
            <w:tcW w:w="435" w:type="pct"/>
            <w:tcBorders>
              <w:tl2br w:val="nil"/>
              <w:tr2bl w:val="nil"/>
            </w:tcBorders>
            <w:noWrap/>
            <w:tcMar>
              <w:top w:w="15" w:type="dxa"/>
              <w:left w:w="15" w:type="dxa"/>
              <w:right w:w="15" w:type="dxa"/>
            </w:tcMar>
            <w:vAlign w:val="center"/>
          </w:tcPr>
          <w:p w14:paraId="143340FC"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年平均</w:t>
            </w:r>
          </w:p>
        </w:tc>
        <w:tc>
          <w:tcPr>
            <w:tcW w:w="659" w:type="pct"/>
            <w:tcBorders>
              <w:tl2br w:val="nil"/>
              <w:tr2bl w:val="nil"/>
            </w:tcBorders>
            <w:noWrap/>
            <w:tcMar>
              <w:top w:w="15" w:type="dxa"/>
              <w:left w:w="15" w:type="dxa"/>
              <w:right w:w="15" w:type="dxa"/>
            </w:tcMar>
            <w:vAlign w:val="center"/>
          </w:tcPr>
          <w:p w14:paraId="0D50CAB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0.008</w:t>
            </w:r>
          </w:p>
        </w:tc>
        <w:tc>
          <w:tcPr>
            <w:tcW w:w="1160" w:type="pct"/>
            <w:tcBorders>
              <w:tl2br w:val="nil"/>
              <w:tr2bl w:val="nil"/>
            </w:tcBorders>
            <w:noWrap/>
            <w:tcMar>
              <w:top w:w="15" w:type="dxa"/>
              <w:left w:w="15" w:type="dxa"/>
              <w:right w:w="15" w:type="dxa"/>
            </w:tcMar>
            <w:vAlign w:val="center"/>
          </w:tcPr>
          <w:p w14:paraId="6F7E30D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763" w:type="pct"/>
            <w:tcBorders>
              <w:tl2br w:val="nil"/>
              <w:tr2bl w:val="nil"/>
            </w:tcBorders>
            <w:noWrap/>
            <w:tcMar>
              <w:top w:w="15" w:type="dxa"/>
              <w:left w:w="15" w:type="dxa"/>
              <w:right w:w="15" w:type="dxa"/>
            </w:tcMar>
            <w:vAlign w:val="center"/>
          </w:tcPr>
          <w:p w14:paraId="572477D4"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40</w:t>
            </w:r>
          </w:p>
        </w:tc>
        <w:tc>
          <w:tcPr>
            <w:tcW w:w="435" w:type="pct"/>
            <w:tcBorders>
              <w:tl2br w:val="nil"/>
              <w:tr2bl w:val="nil"/>
            </w:tcBorders>
            <w:noWrap/>
            <w:tcMar>
              <w:top w:w="15" w:type="dxa"/>
              <w:left w:w="15" w:type="dxa"/>
              <w:right w:w="15" w:type="dxa"/>
            </w:tcMar>
            <w:vAlign w:val="center"/>
          </w:tcPr>
          <w:p w14:paraId="2D15E40C"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0.02</w:t>
            </w:r>
          </w:p>
        </w:tc>
      </w:tr>
      <w:tr w:rsidR="003E78AB" w14:paraId="4229FDAC" w14:textId="77777777">
        <w:tc>
          <w:tcPr>
            <w:tcW w:w="290" w:type="pct"/>
            <w:tcBorders>
              <w:tl2br w:val="nil"/>
              <w:tr2bl w:val="nil"/>
            </w:tcBorders>
            <w:noWrap/>
            <w:tcMar>
              <w:top w:w="15" w:type="dxa"/>
              <w:left w:w="15" w:type="dxa"/>
              <w:right w:w="15" w:type="dxa"/>
            </w:tcMar>
            <w:vAlign w:val="center"/>
          </w:tcPr>
          <w:p w14:paraId="44A089F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1255" w:type="pct"/>
            <w:tcBorders>
              <w:tl2br w:val="nil"/>
              <w:tr2bl w:val="nil"/>
            </w:tcBorders>
            <w:noWrap/>
            <w:tcMar>
              <w:top w:w="15" w:type="dxa"/>
              <w:left w:w="15" w:type="dxa"/>
              <w:right w:w="15" w:type="dxa"/>
            </w:tcMar>
            <w:vAlign w:val="center"/>
          </w:tcPr>
          <w:p w14:paraId="5DD9307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435" w:type="pct"/>
            <w:tcBorders>
              <w:tl2br w:val="nil"/>
              <w:tr2bl w:val="nil"/>
            </w:tcBorders>
            <w:noWrap/>
            <w:tcMar>
              <w:top w:w="15" w:type="dxa"/>
              <w:left w:w="15" w:type="dxa"/>
              <w:right w:w="15" w:type="dxa"/>
            </w:tcMar>
            <w:vAlign w:val="center"/>
          </w:tcPr>
          <w:p w14:paraId="7024B1AC"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年平均</w:t>
            </w:r>
          </w:p>
        </w:tc>
        <w:tc>
          <w:tcPr>
            <w:tcW w:w="659" w:type="pct"/>
            <w:tcBorders>
              <w:tl2br w:val="nil"/>
              <w:tr2bl w:val="nil"/>
            </w:tcBorders>
            <w:noWrap/>
            <w:tcMar>
              <w:top w:w="15" w:type="dxa"/>
              <w:left w:w="15" w:type="dxa"/>
              <w:right w:w="15" w:type="dxa"/>
            </w:tcMar>
            <w:vAlign w:val="center"/>
          </w:tcPr>
          <w:p w14:paraId="4AC1040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0.099</w:t>
            </w:r>
          </w:p>
        </w:tc>
        <w:tc>
          <w:tcPr>
            <w:tcW w:w="1160" w:type="pct"/>
            <w:tcBorders>
              <w:tl2br w:val="nil"/>
              <w:tr2bl w:val="nil"/>
            </w:tcBorders>
            <w:noWrap/>
            <w:tcMar>
              <w:top w:w="15" w:type="dxa"/>
              <w:left w:w="15" w:type="dxa"/>
              <w:right w:w="15" w:type="dxa"/>
            </w:tcMar>
            <w:vAlign w:val="center"/>
          </w:tcPr>
          <w:p w14:paraId="69C453C9"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763" w:type="pct"/>
            <w:tcBorders>
              <w:tl2br w:val="nil"/>
              <w:tr2bl w:val="nil"/>
            </w:tcBorders>
            <w:noWrap/>
            <w:tcMar>
              <w:top w:w="15" w:type="dxa"/>
              <w:left w:w="15" w:type="dxa"/>
              <w:right w:w="15" w:type="dxa"/>
            </w:tcMar>
            <w:vAlign w:val="center"/>
          </w:tcPr>
          <w:p w14:paraId="2BCF3EA8"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40</w:t>
            </w:r>
          </w:p>
        </w:tc>
        <w:tc>
          <w:tcPr>
            <w:tcW w:w="435" w:type="pct"/>
            <w:tcBorders>
              <w:tl2br w:val="nil"/>
              <w:tr2bl w:val="nil"/>
            </w:tcBorders>
            <w:noWrap/>
            <w:tcMar>
              <w:top w:w="15" w:type="dxa"/>
              <w:left w:w="15" w:type="dxa"/>
              <w:right w:w="15" w:type="dxa"/>
            </w:tcMar>
            <w:vAlign w:val="center"/>
          </w:tcPr>
          <w:p w14:paraId="48A37771"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0.25</w:t>
            </w:r>
          </w:p>
        </w:tc>
      </w:tr>
    </w:tbl>
    <w:p w14:paraId="5FF57E3B" w14:textId="77777777" w:rsidR="003E78AB" w:rsidRDefault="00010BF9">
      <w:pPr>
        <w:pStyle w:val="a4"/>
        <w:spacing w:before="120"/>
        <w:rPr>
          <w:b/>
          <w:bCs/>
          <w:color w:val="000000"/>
          <w:u w:val="single"/>
        </w:rPr>
      </w:pPr>
      <w:r>
        <w:rPr>
          <w:b/>
          <w:bCs/>
          <w:color w:val="000000"/>
          <w:u w:val="single"/>
        </w:rPr>
        <w:t>本项目</w:t>
      </w:r>
      <w:r>
        <w:rPr>
          <w:rFonts w:hint="eastAsia"/>
          <w:b/>
          <w:bCs/>
          <w:color w:val="000000"/>
          <w:u w:val="single"/>
        </w:rPr>
        <w:t>S</w:t>
      </w:r>
      <w:r>
        <w:rPr>
          <w:b/>
          <w:bCs/>
          <w:color w:val="000000"/>
          <w:u w:val="single"/>
        </w:rPr>
        <w:t>O</w:t>
      </w:r>
      <w:r>
        <w:rPr>
          <w:b/>
          <w:bCs/>
          <w:color w:val="000000"/>
          <w:u w:val="single"/>
          <w:vertAlign w:val="subscript"/>
        </w:rPr>
        <w:t>2</w:t>
      </w:r>
      <w:r>
        <w:rPr>
          <w:rFonts w:hint="eastAsia"/>
          <w:b/>
          <w:bCs/>
          <w:color w:val="000000"/>
          <w:u w:val="single"/>
        </w:rPr>
        <w:t>年平均</w:t>
      </w:r>
      <w:r>
        <w:rPr>
          <w:b/>
          <w:bCs/>
          <w:color w:val="000000"/>
          <w:u w:val="single"/>
        </w:rPr>
        <w:t>浓度贡献质量浓度预测结果</w:t>
      </w:r>
    </w:p>
    <w:tbl>
      <w:tblPr>
        <w:tblW w:w="4998"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6"/>
        <w:gridCol w:w="2197"/>
        <w:gridCol w:w="725"/>
        <w:gridCol w:w="1100"/>
        <w:gridCol w:w="1934"/>
        <w:gridCol w:w="1274"/>
        <w:gridCol w:w="724"/>
      </w:tblGrid>
      <w:tr w:rsidR="003E78AB" w14:paraId="774A73D7" w14:textId="77777777">
        <w:trPr>
          <w:tblHeader/>
        </w:trPr>
        <w:tc>
          <w:tcPr>
            <w:tcW w:w="333" w:type="pct"/>
            <w:tcBorders>
              <w:tl2br w:val="nil"/>
              <w:tr2bl w:val="nil"/>
            </w:tcBorders>
            <w:noWrap/>
            <w:tcMar>
              <w:top w:w="15" w:type="dxa"/>
              <w:left w:w="15" w:type="dxa"/>
              <w:right w:w="15" w:type="dxa"/>
            </w:tcMar>
            <w:vAlign w:val="center"/>
          </w:tcPr>
          <w:p w14:paraId="67F899F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725" w:type="pct"/>
            <w:tcBorders>
              <w:tl2br w:val="nil"/>
              <w:tr2bl w:val="nil"/>
            </w:tcBorders>
            <w:noWrap/>
            <w:tcMar>
              <w:top w:w="15" w:type="dxa"/>
              <w:left w:w="15" w:type="dxa"/>
              <w:right w:w="15" w:type="dxa"/>
            </w:tcMar>
            <w:vAlign w:val="center"/>
          </w:tcPr>
          <w:p w14:paraId="47376E3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348C643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668" w:type="pct"/>
            <w:tcBorders>
              <w:tl2br w:val="nil"/>
              <w:tr2bl w:val="nil"/>
            </w:tcBorders>
            <w:noWrap/>
            <w:tcMar>
              <w:top w:w="15" w:type="dxa"/>
              <w:left w:w="15" w:type="dxa"/>
              <w:right w:w="15" w:type="dxa"/>
            </w:tcMar>
            <w:vAlign w:val="center"/>
          </w:tcPr>
          <w:p w14:paraId="08ED4DD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682" w:type="pct"/>
            <w:tcBorders>
              <w:tl2br w:val="nil"/>
              <w:tr2bl w:val="nil"/>
            </w:tcBorders>
            <w:noWrap/>
            <w:tcMar>
              <w:top w:w="15" w:type="dxa"/>
              <w:left w:w="15" w:type="dxa"/>
              <w:right w:w="15" w:type="dxa"/>
            </w:tcMar>
            <w:vAlign w:val="center"/>
          </w:tcPr>
          <w:p w14:paraId="12D05CB2"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83" w:type="pct"/>
            <w:tcBorders>
              <w:tl2br w:val="nil"/>
              <w:tr2bl w:val="nil"/>
            </w:tcBorders>
            <w:noWrap/>
            <w:tcMar>
              <w:top w:w="15" w:type="dxa"/>
              <w:left w:w="15" w:type="dxa"/>
              <w:right w:w="15" w:type="dxa"/>
            </w:tcMar>
            <w:vAlign w:val="center"/>
          </w:tcPr>
          <w:p w14:paraId="5E80CA7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851" w:type="pct"/>
            <w:tcBorders>
              <w:tl2br w:val="nil"/>
              <w:tr2bl w:val="nil"/>
            </w:tcBorders>
            <w:noWrap/>
            <w:tcMar>
              <w:top w:w="15" w:type="dxa"/>
              <w:left w:w="15" w:type="dxa"/>
              <w:right w:w="15" w:type="dxa"/>
            </w:tcMar>
            <w:vAlign w:val="center"/>
          </w:tcPr>
          <w:p w14:paraId="0DE5159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655" w:type="pct"/>
            <w:tcBorders>
              <w:tl2br w:val="nil"/>
              <w:tr2bl w:val="nil"/>
            </w:tcBorders>
            <w:noWrap/>
            <w:tcMar>
              <w:top w:w="15" w:type="dxa"/>
              <w:left w:w="15" w:type="dxa"/>
              <w:right w:w="15" w:type="dxa"/>
            </w:tcMar>
            <w:vAlign w:val="center"/>
          </w:tcPr>
          <w:p w14:paraId="287A4F8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r>
      <w:tr w:rsidR="003E78AB" w14:paraId="3BF546A3" w14:textId="77777777">
        <w:tc>
          <w:tcPr>
            <w:tcW w:w="333" w:type="pct"/>
            <w:tcBorders>
              <w:tl2br w:val="nil"/>
              <w:tr2bl w:val="nil"/>
            </w:tcBorders>
            <w:noWrap/>
            <w:tcMar>
              <w:top w:w="15" w:type="dxa"/>
              <w:left w:w="15" w:type="dxa"/>
              <w:right w:w="15" w:type="dxa"/>
            </w:tcMar>
            <w:vAlign w:val="center"/>
          </w:tcPr>
          <w:p w14:paraId="7E4AF1F8"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725" w:type="pct"/>
            <w:tcBorders>
              <w:tl2br w:val="nil"/>
              <w:tr2bl w:val="nil"/>
            </w:tcBorders>
            <w:noWrap/>
            <w:tcMar>
              <w:top w:w="15" w:type="dxa"/>
              <w:left w:w="15" w:type="dxa"/>
              <w:right w:w="15" w:type="dxa"/>
            </w:tcMar>
            <w:vAlign w:val="center"/>
          </w:tcPr>
          <w:p w14:paraId="1C31A278" w14:textId="77777777" w:rsidR="003E78AB" w:rsidRDefault="00010BF9">
            <w:pPr>
              <w:pStyle w:val="aff6"/>
              <w:topLinePunct/>
              <w:rPr>
                <w:b/>
                <w:bCs/>
                <w:color w:val="000000"/>
                <w:u w:val="single"/>
              </w:rPr>
            </w:pPr>
            <w:r>
              <w:rPr>
                <w:b/>
                <w:bCs/>
                <w:u w:val="single"/>
              </w:rPr>
              <w:t>安居富民小区</w:t>
            </w:r>
          </w:p>
        </w:tc>
        <w:tc>
          <w:tcPr>
            <w:tcW w:w="668" w:type="pct"/>
            <w:tcBorders>
              <w:tl2br w:val="nil"/>
              <w:tr2bl w:val="nil"/>
            </w:tcBorders>
            <w:noWrap/>
            <w:tcMar>
              <w:top w:w="15" w:type="dxa"/>
              <w:left w:w="15" w:type="dxa"/>
              <w:right w:w="15" w:type="dxa"/>
            </w:tcMar>
            <w:vAlign w:val="center"/>
          </w:tcPr>
          <w:p w14:paraId="3732944F"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年平均</w:t>
            </w:r>
          </w:p>
        </w:tc>
        <w:tc>
          <w:tcPr>
            <w:tcW w:w="682" w:type="pct"/>
            <w:tcBorders>
              <w:tl2br w:val="nil"/>
              <w:tr2bl w:val="nil"/>
            </w:tcBorders>
            <w:noWrap/>
            <w:tcMar>
              <w:top w:w="15" w:type="dxa"/>
              <w:left w:w="15" w:type="dxa"/>
              <w:right w:w="15" w:type="dxa"/>
            </w:tcMar>
            <w:vAlign w:val="center"/>
          </w:tcPr>
          <w:p w14:paraId="2A7075D0"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0.018</w:t>
            </w:r>
          </w:p>
        </w:tc>
        <w:tc>
          <w:tcPr>
            <w:tcW w:w="1083" w:type="pct"/>
            <w:tcBorders>
              <w:tl2br w:val="nil"/>
              <w:tr2bl w:val="nil"/>
            </w:tcBorders>
            <w:noWrap/>
            <w:tcMar>
              <w:top w:w="15" w:type="dxa"/>
              <w:left w:w="15" w:type="dxa"/>
              <w:right w:w="15" w:type="dxa"/>
            </w:tcMar>
            <w:vAlign w:val="center"/>
          </w:tcPr>
          <w:p w14:paraId="3764819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平均值</w:t>
            </w:r>
          </w:p>
        </w:tc>
        <w:tc>
          <w:tcPr>
            <w:tcW w:w="851" w:type="pct"/>
            <w:tcBorders>
              <w:tl2br w:val="nil"/>
              <w:tr2bl w:val="nil"/>
            </w:tcBorders>
            <w:noWrap/>
            <w:tcMar>
              <w:top w:w="15" w:type="dxa"/>
              <w:left w:w="15" w:type="dxa"/>
              <w:right w:w="15" w:type="dxa"/>
            </w:tcMar>
            <w:vAlign w:val="center"/>
          </w:tcPr>
          <w:p w14:paraId="25CCF75E" w14:textId="77777777" w:rsidR="003E78AB" w:rsidRDefault="00010BF9">
            <w:pPr>
              <w:pStyle w:val="aff4"/>
              <w:rPr>
                <w:rFonts w:hint="default"/>
                <w:b/>
                <w:bCs/>
                <w:color w:val="000000"/>
                <w:szCs w:val="21"/>
                <w:u w:val="single"/>
              </w:rPr>
            </w:pPr>
            <w:r>
              <w:rPr>
                <w:rFonts w:hint="default"/>
                <w:b/>
                <w:bCs/>
                <w:color w:val="000000"/>
                <w:szCs w:val="21"/>
                <w:u w:val="single"/>
              </w:rPr>
              <w:t>60</w:t>
            </w:r>
          </w:p>
        </w:tc>
        <w:tc>
          <w:tcPr>
            <w:tcW w:w="655" w:type="pct"/>
            <w:tcBorders>
              <w:tl2br w:val="nil"/>
              <w:tr2bl w:val="nil"/>
            </w:tcBorders>
            <w:noWrap/>
            <w:tcMar>
              <w:top w:w="15" w:type="dxa"/>
              <w:left w:w="15" w:type="dxa"/>
              <w:right w:w="15" w:type="dxa"/>
            </w:tcMar>
            <w:vAlign w:val="center"/>
          </w:tcPr>
          <w:p w14:paraId="433AA5BE"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0.03</w:t>
            </w:r>
          </w:p>
        </w:tc>
      </w:tr>
      <w:tr w:rsidR="003E78AB" w14:paraId="74CF2101" w14:textId="77777777">
        <w:tc>
          <w:tcPr>
            <w:tcW w:w="333" w:type="pct"/>
            <w:tcBorders>
              <w:tl2br w:val="nil"/>
              <w:tr2bl w:val="nil"/>
            </w:tcBorders>
            <w:noWrap/>
            <w:tcMar>
              <w:top w:w="15" w:type="dxa"/>
              <w:left w:w="15" w:type="dxa"/>
              <w:right w:w="15" w:type="dxa"/>
            </w:tcMar>
            <w:vAlign w:val="center"/>
          </w:tcPr>
          <w:p w14:paraId="4BA3A22C"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725" w:type="pct"/>
            <w:tcBorders>
              <w:tl2br w:val="nil"/>
              <w:tr2bl w:val="nil"/>
            </w:tcBorders>
            <w:noWrap/>
            <w:tcMar>
              <w:top w:w="15" w:type="dxa"/>
              <w:left w:w="15" w:type="dxa"/>
              <w:right w:w="15" w:type="dxa"/>
            </w:tcMar>
            <w:vAlign w:val="center"/>
          </w:tcPr>
          <w:p w14:paraId="5F914C59" w14:textId="77777777" w:rsidR="003E78AB" w:rsidRDefault="00010BF9">
            <w:pPr>
              <w:pStyle w:val="aff6"/>
              <w:topLinePunct/>
              <w:rPr>
                <w:b/>
                <w:bCs/>
                <w:color w:val="000000"/>
                <w:u w:val="single"/>
              </w:rPr>
            </w:pPr>
            <w:r>
              <w:rPr>
                <w:b/>
                <w:bCs/>
                <w:u w:val="single"/>
              </w:rPr>
              <w:t>项目区上风向</w:t>
            </w:r>
          </w:p>
        </w:tc>
        <w:tc>
          <w:tcPr>
            <w:tcW w:w="668" w:type="pct"/>
            <w:tcBorders>
              <w:tl2br w:val="nil"/>
              <w:tr2bl w:val="nil"/>
            </w:tcBorders>
            <w:noWrap/>
            <w:tcMar>
              <w:top w:w="15" w:type="dxa"/>
              <w:left w:w="15" w:type="dxa"/>
              <w:right w:w="15" w:type="dxa"/>
            </w:tcMar>
            <w:vAlign w:val="center"/>
          </w:tcPr>
          <w:p w14:paraId="642ACE6B"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年平均</w:t>
            </w:r>
          </w:p>
        </w:tc>
        <w:tc>
          <w:tcPr>
            <w:tcW w:w="682" w:type="pct"/>
            <w:tcBorders>
              <w:tl2br w:val="nil"/>
              <w:tr2bl w:val="nil"/>
            </w:tcBorders>
            <w:noWrap/>
            <w:tcMar>
              <w:top w:w="15" w:type="dxa"/>
              <w:left w:w="15" w:type="dxa"/>
              <w:right w:w="15" w:type="dxa"/>
            </w:tcMar>
            <w:vAlign w:val="center"/>
          </w:tcPr>
          <w:p w14:paraId="593DC1C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0.006</w:t>
            </w:r>
          </w:p>
        </w:tc>
        <w:tc>
          <w:tcPr>
            <w:tcW w:w="1083" w:type="pct"/>
            <w:tcBorders>
              <w:tl2br w:val="nil"/>
              <w:tr2bl w:val="nil"/>
            </w:tcBorders>
            <w:noWrap/>
            <w:tcMar>
              <w:top w:w="15" w:type="dxa"/>
              <w:left w:w="15" w:type="dxa"/>
              <w:right w:w="15" w:type="dxa"/>
            </w:tcMar>
            <w:vAlign w:val="center"/>
          </w:tcPr>
          <w:p w14:paraId="313FC02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平均值</w:t>
            </w:r>
          </w:p>
        </w:tc>
        <w:tc>
          <w:tcPr>
            <w:tcW w:w="851" w:type="pct"/>
            <w:tcBorders>
              <w:tl2br w:val="nil"/>
              <w:tr2bl w:val="nil"/>
            </w:tcBorders>
            <w:noWrap/>
            <w:tcMar>
              <w:top w:w="15" w:type="dxa"/>
              <w:left w:w="15" w:type="dxa"/>
              <w:right w:w="15" w:type="dxa"/>
            </w:tcMar>
            <w:vAlign w:val="center"/>
          </w:tcPr>
          <w:p w14:paraId="75BAFE8A"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60</w:t>
            </w:r>
          </w:p>
        </w:tc>
        <w:tc>
          <w:tcPr>
            <w:tcW w:w="655" w:type="pct"/>
            <w:tcBorders>
              <w:tl2br w:val="nil"/>
              <w:tr2bl w:val="nil"/>
            </w:tcBorders>
            <w:noWrap/>
            <w:tcMar>
              <w:top w:w="15" w:type="dxa"/>
              <w:left w:w="15" w:type="dxa"/>
              <w:right w:w="15" w:type="dxa"/>
            </w:tcMar>
            <w:vAlign w:val="center"/>
          </w:tcPr>
          <w:p w14:paraId="21C3EFB1"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0.01</w:t>
            </w:r>
          </w:p>
        </w:tc>
      </w:tr>
      <w:tr w:rsidR="003E78AB" w14:paraId="533312FD" w14:textId="77777777">
        <w:tc>
          <w:tcPr>
            <w:tcW w:w="333" w:type="pct"/>
            <w:tcBorders>
              <w:tl2br w:val="nil"/>
              <w:tr2bl w:val="nil"/>
            </w:tcBorders>
            <w:noWrap/>
            <w:tcMar>
              <w:top w:w="15" w:type="dxa"/>
              <w:left w:w="15" w:type="dxa"/>
              <w:right w:w="15" w:type="dxa"/>
            </w:tcMar>
            <w:vAlign w:val="center"/>
          </w:tcPr>
          <w:p w14:paraId="49321D0C"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725" w:type="pct"/>
            <w:tcBorders>
              <w:tl2br w:val="nil"/>
              <w:tr2bl w:val="nil"/>
            </w:tcBorders>
            <w:noWrap/>
            <w:tcMar>
              <w:top w:w="15" w:type="dxa"/>
              <w:left w:w="15" w:type="dxa"/>
              <w:right w:w="15" w:type="dxa"/>
            </w:tcMar>
            <w:vAlign w:val="center"/>
          </w:tcPr>
          <w:p w14:paraId="22912E9A" w14:textId="77777777" w:rsidR="003E78AB" w:rsidRDefault="00010BF9">
            <w:pPr>
              <w:pStyle w:val="aff6"/>
              <w:topLinePunct/>
              <w:rPr>
                <w:b/>
                <w:bCs/>
                <w:color w:val="000000"/>
                <w:u w:val="single"/>
              </w:rPr>
            </w:pPr>
            <w:r>
              <w:rPr>
                <w:b/>
                <w:bCs/>
                <w:u w:val="single"/>
              </w:rPr>
              <w:t>项目区下风向</w:t>
            </w:r>
          </w:p>
        </w:tc>
        <w:tc>
          <w:tcPr>
            <w:tcW w:w="668" w:type="pct"/>
            <w:tcBorders>
              <w:tl2br w:val="nil"/>
              <w:tr2bl w:val="nil"/>
            </w:tcBorders>
            <w:noWrap/>
            <w:tcMar>
              <w:top w:w="15" w:type="dxa"/>
              <w:left w:w="15" w:type="dxa"/>
              <w:right w:w="15" w:type="dxa"/>
            </w:tcMar>
            <w:vAlign w:val="center"/>
          </w:tcPr>
          <w:p w14:paraId="36B58A3C"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年平均</w:t>
            </w:r>
          </w:p>
        </w:tc>
        <w:tc>
          <w:tcPr>
            <w:tcW w:w="682" w:type="pct"/>
            <w:tcBorders>
              <w:tl2br w:val="nil"/>
              <w:tr2bl w:val="nil"/>
            </w:tcBorders>
            <w:noWrap/>
            <w:tcMar>
              <w:top w:w="15" w:type="dxa"/>
              <w:left w:w="15" w:type="dxa"/>
              <w:right w:w="15" w:type="dxa"/>
            </w:tcMar>
            <w:vAlign w:val="center"/>
          </w:tcPr>
          <w:p w14:paraId="6D84F3C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0.003</w:t>
            </w:r>
          </w:p>
        </w:tc>
        <w:tc>
          <w:tcPr>
            <w:tcW w:w="1083" w:type="pct"/>
            <w:tcBorders>
              <w:tl2br w:val="nil"/>
              <w:tr2bl w:val="nil"/>
            </w:tcBorders>
            <w:noWrap/>
            <w:tcMar>
              <w:top w:w="15" w:type="dxa"/>
              <w:left w:w="15" w:type="dxa"/>
              <w:right w:w="15" w:type="dxa"/>
            </w:tcMar>
            <w:vAlign w:val="center"/>
          </w:tcPr>
          <w:p w14:paraId="20897DF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平均值</w:t>
            </w:r>
          </w:p>
        </w:tc>
        <w:tc>
          <w:tcPr>
            <w:tcW w:w="851" w:type="pct"/>
            <w:tcBorders>
              <w:tl2br w:val="nil"/>
              <w:tr2bl w:val="nil"/>
            </w:tcBorders>
            <w:noWrap/>
            <w:tcMar>
              <w:top w:w="15" w:type="dxa"/>
              <w:left w:w="15" w:type="dxa"/>
              <w:right w:w="15" w:type="dxa"/>
            </w:tcMar>
            <w:vAlign w:val="center"/>
          </w:tcPr>
          <w:p w14:paraId="55B2A162"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60</w:t>
            </w:r>
          </w:p>
        </w:tc>
        <w:tc>
          <w:tcPr>
            <w:tcW w:w="655" w:type="pct"/>
            <w:tcBorders>
              <w:tl2br w:val="nil"/>
              <w:tr2bl w:val="nil"/>
            </w:tcBorders>
            <w:noWrap/>
            <w:tcMar>
              <w:top w:w="15" w:type="dxa"/>
              <w:left w:w="15" w:type="dxa"/>
              <w:right w:w="15" w:type="dxa"/>
            </w:tcMar>
            <w:vAlign w:val="center"/>
          </w:tcPr>
          <w:p w14:paraId="40E603F8"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0.01</w:t>
            </w:r>
          </w:p>
        </w:tc>
      </w:tr>
      <w:tr w:rsidR="003E78AB" w14:paraId="281BF4D9" w14:textId="77777777">
        <w:tc>
          <w:tcPr>
            <w:tcW w:w="333" w:type="pct"/>
            <w:tcBorders>
              <w:tl2br w:val="nil"/>
              <w:tr2bl w:val="nil"/>
            </w:tcBorders>
            <w:noWrap/>
            <w:tcMar>
              <w:top w:w="15" w:type="dxa"/>
              <w:left w:w="15" w:type="dxa"/>
              <w:right w:w="15" w:type="dxa"/>
            </w:tcMar>
            <w:vAlign w:val="center"/>
          </w:tcPr>
          <w:p w14:paraId="696C623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725" w:type="pct"/>
            <w:tcBorders>
              <w:tl2br w:val="nil"/>
              <w:tr2bl w:val="nil"/>
            </w:tcBorders>
            <w:noWrap/>
            <w:tcMar>
              <w:top w:w="15" w:type="dxa"/>
              <w:left w:w="15" w:type="dxa"/>
              <w:right w:w="15" w:type="dxa"/>
            </w:tcMar>
            <w:vAlign w:val="center"/>
          </w:tcPr>
          <w:p w14:paraId="7E004D1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668" w:type="pct"/>
            <w:tcBorders>
              <w:tl2br w:val="nil"/>
              <w:tr2bl w:val="nil"/>
            </w:tcBorders>
            <w:noWrap/>
            <w:tcMar>
              <w:top w:w="15" w:type="dxa"/>
              <w:left w:w="15" w:type="dxa"/>
              <w:right w:w="15" w:type="dxa"/>
            </w:tcMar>
            <w:vAlign w:val="center"/>
          </w:tcPr>
          <w:p w14:paraId="6C9B44C6"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年平均</w:t>
            </w:r>
          </w:p>
        </w:tc>
        <w:tc>
          <w:tcPr>
            <w:tcW w:w="682" w:type="pct"/>
            <w:tcBorders>
              <w:tl2br w:val="nil"/>
              <w:tr2bl w:val="nil"/>
            </w:tcBorders>
            <w:noWrap/>
            <w:tcMar>
              <w:top w:w="15" w:type="dxa"/>
              <w:left w:w="15" w:type="dxa"/>
              <w:right w:w="15" w:type="dxa"/>
            </w:tcMar>
            <w:vAlign w:val="center"/>
          </w:tcPr>
          <w:p w14:paraId="1BAA47D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0.038</w:t>
            </w:r>
          </w:p>
        </w:tc>
        <w:tc>
          <w:tcPr>
            <w:tcW w:w="1083" w:type="pct"/>
            <w:tcBorders>
              <w:tl2br w:val="nil"/>
              <w:tr2bl w:val="nil"/>
            </w:tcBorders>
            <w:noWrap/>
            <w:tcMar>
              <w:top w:w="15" w:type="dxa"/>
              <w:left w:w="15" w:type="dxa"/>
              <w:right w:w="15" w:type="dxa"/>
            </w:tcMar>
            <w:vAlign w:val="center"/>
          </w:tcPr>
          <w:p w14:paraId="6E9373FF"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平均值</w:t>
            </w:r>
          </w:p>
        </w:tc>
        <w:tc>
          <w:tcPr>
            <w:tcW w:w="851" w:type="pct"/>
            <w:tcBorders>
              <w:tl2br w:val="nil"/>
              <w:tr2bl w:val="nil"/>
            </w:tcBorders>
            <w:noWrap/>
            <w:tcMar>
              <w:top w:w="15" w:type="dxa"/>
              <w:left w:w="15" w:type="dxa"/>
              <w:right w:w="15" w:type="dxa"/>
            </w:tcMar>
            <w:vAlign w:val="center"/>
          </w:tcPr>
          <w:p w14:paraId="29D5FCDE"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60</w:t>
            </w:r>
          </w:p>
        </w:tc>
        <w:tc>
          <w:tcPr>
            <w:tcW w:w="655" w:type="pct"/>
            <w:tcBorders>
              <w:tl2br w:val="nil"/>
              <w:tr2bl w:val="nil"/>
            </w:tcBorders>
            <w:noWrap/>
            <w:tcMar>
              <w:top w:w="15" w:type="dxa"/>
              <w:left w:w="15" w:type="dxa"/>
              <w:right w:w="15" w:type="dxa"/>
            </w:tcMar>
            <w:vAlign w:val="center"/>
          </w:tcPr>
          <w:p w14:paraId="1152949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0.06</w:t>
            </w:r>
          </w:p>
        </w:tc>
      </w:tr>
    </w:tbl>
    <w:p w14:paraId="538CE9F2" w14:textId="77777777" w:rsidR="003E78AB" w:rsidRDefault="00010BF9">
      <w:pPr>
        <w:pStyle w:val="a4"/>
        <w:spacing w:before="120"/>
        <w:rPr>
          <w:b/>
          <w:bCs/>
          <w:color w:val="000000"/>
          <w:u w:val="single"/>
        </w:rPr>
      </w:pPr>
      <w:r>
        <w:rPr>
          <w:b/>
          <w:bCs/>
          <w:color w:val="000000"/>
          <w:u w:val="single"/>
        </w:rPr>
        <w:t>本项目</w:t>
      </w:r>
      <w:r>
        <w:rPr>
          <w:rFonts w:hint="eastAsia"/>
          <w:b/>
          <w:bCs/>
          <w:color w:val="000000"/>
          <w:u w:val="single"/>
        </w:rPr>
        <w:t>PM</w:t>
      </w:r>
      <w:r>
        <w:rPr>
          <w:b/>
          <w:bCs/>
          <w:color w:val="000000"/>
          <w:u w:val="single"/>
          <w:vertAlign w:val="subscript"/>
        </w:rPr>
        <w:t>10</w:t>
      </w:r>
      <w:r>
        <w:rPr>
          <w:rFonts w:hint="eastAsia"/>
          <w:b/>
          <w:bCs/>
          <w:color w:val="000000"/>
          <w:u w:val="single"/>
        </w:rPr>
        <w:t>年平均</w:t>
      </w:r>
      <w:r>
        <w:rPr>
          <w:b/>
          <w:bCs/>
          <w:color w:val="000000"/>
          <w:u w:val="single"/>
        </w:rPr>
        <w:t>浓度贡献质量浓度预测结果</w:t>
      </w:r>
    </w:p>
    <w:tbl>
      <w:tblPr>
        <w:tblW w:w="499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6"/>
        <w:gridCol w:w="2197"/>
        <w:gridCol w:w="725"/>
        <w:gridCol w:w="1100"/>
        <w:gridCol w:w="1934"/>
        <w:gridCol w:w="1274"/>
        <w:gridCol w:w="724"/>
      </w:tblGrid>
      <w:tr w:rsidR="003E78AB" w14:paraId="52E397AA" w14:textId="77777777">
        <w:trPr>
          <w:tblHeader/>
        </w:trPr>
        <w:tc>
          <w:tcPr>
            <w:tcW w:w="349" w:type="pct"/>
            <w:tcBorders>
              <w:tl2br w:val="nil"/>
              <w:tr2bl w:val="nil"/>
            </w:tcBorders>
            <w:noWrap/>
            <w:tcMar>
              <w:top w:w="15" w:type="dxa"/>
              <w:left w:w="15" w:type="dxa"/>
              <w:right w:w="15" w:type="dxa"/>
            </w:tcMar>
            <w:vAlign w:val="center"/>
          </w:tcPr>
          <w:p w14:paraId="5FF7BCD5"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738" w:type="pct"/>
            <w:tcBorders>
              <w:tl2br w:val="nil"/>
              <w:tr2bl w:val="nil"/>
            </w:tcBorders>
            <w:noWrap/>
            <w:tcMar>
              <w:top w:w="15" w:type="dxa"/>
              <w:left w:w="15" w:type="dxa"/>
              <w:right w:w="15" w:type="dxa"/>
            </w:tcMar>
            <w:vAlign w:val="center"/>
          </w:tcPr>
          <w:p w14:paraId="3E142201"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2569460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662" w:type="pct"/>
            <w:tcBorders>
              <w:tl2br w:val="nil"/>
              <w:tr2bl w:val="nil"/>
            </w:tcBorders>
            <w:noWrap/>
            <w:tcMar>
              <w:top w:w="15" w:type="dxa"/>
              <w:left w:w="15" w:type="dxa"/>
              <w:right w:w="15" w:type="dxa"/>
            </w:tcMar>
            <w:vAlign w:val="center"/>
          </w:tcPr>
          <w:p w14:paraId="52B1115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684" w:type="pct"/>
            <w:tcBorders>
              <w:tl2br w:val="nil"/>
              <w:tr2bl w:val="nil"/>
            </w:tcBorders>
            <w:noWrap/>
            <w:tcMar>
              <w:top w:w="15" w:type="dxa"/>
              <w:left w:w="15" w:type="dxa"/>
              <w:right w:w="15" w:type="dxa"/>
            </w:tcMar>
            <w:vAlign w:val="center"/>
          </w:tcPr>
          <w:p w14:paraId="6DF37F1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122" w:type="pct"/>
            <w:tcBorders>
              <w:tl2br w:val="nil"/>
              <w:tr2bl w:val="nil"/>
            </w:tcBorders>
            <w:noWrap/>
            <w:tcMar>
              <w:top w:w="15" w:type="dxa"/>
              <w:left w:w="15" w:type="dxa"/>
              <w:right w:w="15" w:type="dxa"/>
            </w:tcMar>
            <w:vAlign w:val="center"/>
          </w:tcPr>
          <w:p w14:paraId="3160581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865" w:type="pct"/>
            <w:tcBorders>
              <w:tl2br w:val="nil"/>
              <w:tr2bl w:val="nil"/>
            </w:tcBorders>
            <w:noWrap/>
            <w:tcMar>
              <w:top w:w="15" w:type="dxa"/>
              <w:left w:w="15" w:type="dxa"/>
              <w:right w:w="15" w:type="dxa"/>
            </w:tcMar>
            <w:vAlign w:val="center"/>
          </w:tcPr>
          <w:p w14:paraId="581F90F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577" w:type="pct"/>
            <w:tcBorders>
              <w:tl2br w:val="nil"/>
              <w:tr2bl w:val="nil"/>
            </w:tcBorders>
            <w:noWrap/>
            <w:tcMar>
              <w:top w:w="15" w:type="dxa"/>
              <w:left w:w="15" w:type="dxa"/>
              <w:right w:w="15" w:type="dxa"/>
            </w:tcMar>
            <w:vAlign w:val="center"/>
          </w:tcPr>
          <w:p w14:paraId="4E09392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r>
      <w:tr w:rsidR="003E78AB" w14:paraId="0F249981" w14:textId="77777777">
        <w:tc>
          <w:tcPr>
            <w:tcW w:w="349" w:type="pct"/>
            <w:tcBorders>
              <w:tl2br w:val="nil"/>
              <w:tr2bl w:val="nil"/>
            </w:tcBorders>
            <w:noWrap/>
            <w:tcMar>
              <w:top w:w="15" w:type="dxa"/>
              <w:left w:w="15" w:type="dxa"/>
              <w:right w:w="15" w:type="dxa"/>
            </w:tcMar>
            <w:vAlign w:val="center"/>
          </w:tcPr>
          <w:p w14:paraId="003E3B90"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738" w:type="pct"/>
            <w:tcBorders>
              <w:tl2br w:val="nil"/>
              <w:tr2bl w:val="nil"/>
            </w:tcBorders>
            <w:noWrap/>
            <w:tcMar>
              <w:top w:w="15" w:type="dxa"/>
              <w:left w:w="15" w:type="dxa"/>
              <w:right w:w="15" w:type="dxa"/>
            </w:tcMar>
            <w:vAlign w:val="center"/>
          </w:tcPr>
          <w:p w14:paraId="6E7FBEE1" w14:textId="77777777" w:rsidR="003E78AB" w:rsidRDefault="00010BF9">
            <w:pPr>
              <w:pStyle w:val="aff6"/>
              <w:topLinePunct/>
              <w:rPr>
                <w:b/>
                <w:bCs/>
                <w:color w:val="000000"/>
                <w:u w:val="single"/>
              </w:rPr>
            </w:pPr>
            <w:r>
              <w:rPr>
                <w:b/>
                <w:bCs/>
                <w:u w:val="single"/>
              </w:rPr>
              <w:t>安居富民小区</w:t>
            </w:r>
          </w:p>
        </w:tc>
        <w:tc>
          <w:tcPr>
            <w:tcW w:w="662" w:type="pct"/>
            <w:tcBorders>
              <w:tl2br w:val="nil"/>
              <w:tr2bl w:val="nil"/>
            </w:tcBorders>
            <w:noWrap/>
            <w:tcMar>
              <w:top w:w="15" w:type="dxa"/>
              <w:left w:w="15" w:type="dxa"/>
              <w:right w:w="15" w:type="dxa"/>
            </w:tcMar>
            <w:vAlign w:val="center"/>
          </w:tcPr>
          <w:p w14:paraId="35CAA717"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年平均</w:t>
            </w:r>
          </w:p>
        </w:tc>
        <w:tc>
          <w:tcPr>
            <w:tcW w:w="684" w:type="pct"/>
            <w:tcBorders>
              <w:tl2br w:val="nil"/>
              <w:tr2bl w:val="nil"/>
            </w:tcBorders>
            <w:noWrap/>
            <w:tcMar>
              <w:top w:w="15" w:type="dxa"/>
              <w:left w:w="15" w:type="dxa"/>
              <w:right w:w="15" w:type="dxa"/>
            </w:tcMar>
            <w:vAlign w:val="center"/>
          </w:tcPr>
          <w:p w14:paraId="3A78EE0E"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0.001</w:t>
            </w:r>
          </w:p>
        </w:tc>
        <w:tc>
          <w:tcPr>
            <w:tcW w:w="1122" w:type="pct"/>
            <w:tcBorders>
              <w:tl2br w:val="nil"/>
              <w:tr2bl w:val="nil"/>
            </w:tcBorders>
            <w:noWrap/>
            <w:tcMar>
              <w:top w:w="15" w:type="dxa"/>
              <w:left w:w="15" w:type="dxa"/>
              <w:right w:w="15" w:type="dxa"/>
            </w:tcMar>
            <w:vAlign w:val="center"/>
          </w:tcPr>
          <w:p w14:paraId="4C515A9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865" w:type="pct"/>
            <w:tcBorders>
              <w:tl2br w:val="nil"/>
              <w:tr2bl w:val="nil"/>
            </w:tcBorders>
            <w:noWrap/>
            <w:tcMar>
              <w:top w:w="15" w:type="dxa"/>
              <w:left w:w="15" w:type="dxa"/>
              <w:right w:w="15" w:type="dxa"/>
            </w:tcMar>
            <w:vAlign w:val="center"/>
          </w:tcPr>
          <w:p w14:paraId="680E1678"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70</w:t>
            </w:r>
          </w:p>
        </w:tc>
        <w:tc>
          <w:tcPr>
            <w:tcW w:w="577" w:type="pct"/>
            <w:tcBorders>
              <w:tl2br w:val="nil"/>
              <w:tr2bl w:val="nil"/>
            </w:tcBorders>
            <w:noWrap/>
            <w:tcMar>
              <w:top w:w="15" w:type="dxa"/>
              <w:left w:w="15" w:type="dxa"/>
              <w:right w:w="15" w:type="dxa"/>
            </w:tcMar>
            <w:vAlign w:val="center"/>
          </w:tcPr>
          <w:p w14:paraId="7F80E6D6"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0.01</w:t>
            </w:r>
          </w:p>
        </w:tc>
      </w:tr>
      <w:tr w:rsidR="003E78AB" w14:paraId="600405EE" w14:textId="77777777">
        <w:tc>
          <w:tcPr>
            <w:tcW w:w="349" w:type="pct"/>
            <w:tcBorders>
              <w:tl2br w:val="nil"/>
              <w:tr2bl w:val="nil"/>
            </w:tcBorders>
            <w:noWrap/>
            <w:tcMar>
              <w:top w:w="15" w:type="dxa"/>
              <w:left w:w="15" w:type="dxa"/>
              <w:right w:w="15" w:type="dxa"/>
            </w:tcMar>
            <w:vAlign w:val="center"/>
          </w:tcPr>
          <w:p w14:paraId="0A21A3C9"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738" w:type="pct"/>
            <w:tcBorders>
              <w:tl2br w:val="nil"/>
              <w:tr2bl w:val="nil"/>
            </w:tcBorders>
            <w:noWrap/>
            <w:tcMar>
              <w:top w:w="15" w:type="dxa"/>
              <w:left w:w="15" w:type="dxa"/>
              <w:right w:w="15" w:type="dxa"/>
            </w:tcMar>
            <w:vAlign w:val="center"/>
          </w:tcPr>
          <w:p w14:paraId="47951928" w14:textId="77777777" w:rsidR="003E78AB" w:rsidRDefault="00010BF9">
            <w:pPr>
              <w:pStyle w:val="aff6"/>
              <w:topLinePunct/>
              <w:rPr>
                <w:b/>
                <w:bCs/>
                <w:color w:val="000000"/>
                <w:u w:val="single"/>
              </w:rPr>
            </w:pPr>
            <w:r>
              <w:rPr>
                <w:b/>
                <w:bCs/>
                <w:u w:val="single"/>
              </w:rPr>
              <w:t>项目区上风向</w:t>
            </w:r>
          </w:p>
        </w:tc>
        <w:tc>
          <w:tcPr>
            <w:tcW w:w="662" w:type="pct"/>
            <w:tcBorders>
              <w:tl2br w:val="nil"/>
              <w:tr2bl w:val="nil"/>
            </w:tcBorders>
            <w:noWrap/>
            <w:tcMar>
              <w:top w:w="15" w:type="dxa"/>
              <w:left w:w="15" w:type="dxa"/>
              <w:right w:w="15" w:type="dxa"/>
            </w:tcMar>
            <w:vAlign w:val="center"/>
          </w:tcPr>
          <w:p w14:paraId="3DF2E3C8"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年平均</w:t>
            </w:r>
          </w:p>
        </w:tc>
        <w:tc>
          <w:tcPr>
            <w:tcW w:w="684" w:type="pct"/>
            <w:tcBorders>
              <w:tl2br w:val="nil"/>
              <w:tr2bl w:val="nil"/>
            </w:tcBorders>
            <w:noWrap/>
            <w:tcMar>
              <w:top w:w="15" w:type="dxa"/>
              <w:left w:w="15" w:type="dxa"/>
              <w:right w:w="15" w:type="dxa"/>
            </w:tcMar>
            <w:vAlign w:val="center"/>
          </w:tcPr>
          <w:p w14:paraId="2A1937B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0.000</w:t>
            </w:r>
          </w:p>
        </w:tc>
        <w:tc>
          <w:tcPr>
            <w:tcW w:w="1122" w:type="pct"/>
            <w:tcBorders>
              <w:tl2br w:val="nil"/>
              <w:tr2bl w:val="nil"/>
            </w:tcBorders>
            <w:noWrap/>
            <w:tcMar>
              <w:top w:w="15" w:type="dxa"/>
              <w:left w:w="15" w:type="dxa"/>
              <w:right w:w="15" w:type="dxa"/>
            </w:tcMar>
            <w:vAlign w:val="center"/>
          </w:tcPr>
          <w:p w14:paraId="247C1D7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865" w:type="pct"/>
            <w:tcBorders>
              <w:tl2br w:val="nil"/>
              <w:tr2bl w:val="nil"/>
            </w:tcBorders>
            <w:noWrap/>
            <w:tcMar>
              <w:top w:w="15" w:type="dxa"/>
              <w:left w:w="15" w:type="dxa"/>
              <w:right w:w="15" w:type="dxa"/>
            </w:tcMar>
            <w:vAlign w:val="center"/>
          </w:tcPr>
          <w:p w14:paraId="4882FC80"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70</w:t>
            </w:r>
          </w:p>
        </w:tc>
        <w:tc>
          <w:tcPr>
            <w:tcW w:w="577" w:type="pct"/>
            <w:tcBorders>
              <w:tl2br w:val="nil"/>
              <w:tr2bl w:val="nil"/>
            </w:tcBorders>
            <w:noWrap/>
            <w:tcMar>
              <w:top w:w="15" w:type="dxa"/>
              <w:left w:w="15" w:type="dxa"/>
              <w:right w:w="15" w:type="dxa"/>
            </w:tcMar>
            <w:vAlign w:val="center"/>
          </w:tcPr>
          <w:p w14:paraId="641DA306"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w:t>
            </w:r>
          </w:p>
        </w:tc>
      </w:tr>
      <w:tr w:rsidR="003E78AB" w14:paraId="14E8F857" w14:textId="77777777">
        <w:tc>
          <w:tcPr>
            <w:tcW w:w="349" w:type="pct"/>
            <w:tcBorders>
              <w:tl2br w:val="nil"/>
              <w:tr2bl w:val="nil"/>
            </w:tcBorders>
            <w:noWrap/>
            <w:tcMar>
              <w:top w:w="15" w:type="dxa"/>
              <w:left w:w="15" w:type="dxa"/>
              <w:right w:w="15" w:type="dxa"/>
            </w:tcMar>
            <w:vAlign w:val="center"/>
          </w:tcPr>
          <w:p w14:paraId="156452C1"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738" w:type="pct"/>
            <w:tcBorders>
              <w:tl2br w:val="nil"/>
              <w:tr2bl w:val="nil"/>
            </w:tcBorders>
            <w:noWrap/>
            <w:tcMar>
              <w:top w:w="15" w:type="dxa"/>
              <w:left w:w="15" w:type="dxa"/>
              <w:right w:w="15" w:type="dxa"/>
            </w:tcMar>
            <w:vAlign w:val="center"/>
          </w:tcPr>
          <w:p w14:paraId="44C7810B" w14:textId="77777777" w:rsidR="003E78AB" w:rsidRDefault="00010BF9">
            <w:pPr>
              <w:pStyle w:val="aff6"/>
              <w:topLinePunct/>
              <w:rPr>
                <w:b/>
                <w:bCs/>
                <w:color w:val="000000"/>
                <w:u w:val="single"/>
              </w:rPr>
            </w:pPr>
            <w:r>
              <w:rPr>
                <w:b/>
                <w:bCs/>
                <w:u w:val="single"/>
              </w:rPr>
              <w:t>项目区下风向</w:t>
            </w:r>
          </w:p>
        </w:tc>
        <w:tc>
          <w:tcPr>
            <w:tcW w:w="662" w:type="pct"/>
            <w:tcBorders>
              <w:tl2br w:val="nil"/>
              <w:tr2bl w:val="nil"/>
            </w:tcBorders>
            <w:noWrap/>
            <w:tcMar>
              <w:top w:w="15" w:type="dxa"/>
              <w:left w:w="15" w:type="dxa"/>
              <w:right w:w="15" w:type="dxa"/>
            </w:tcMar>
            <w:vAlign w:val="center"/>
          </w:tcPr>
          <w:p w14:paraId="34AE4F0D"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年平均</w:t>
            </w:r>
          </w:p>
        </w:tc>
        <w:tc>
          <w:tcPr>
            <w:tcW w:w="684" w:type="pct"/>
            <w:tcBorders>
              <w:tl2br w:val="nil"/>
              <w:tr2bl w:val="nil"/>
            </w:tcBorders>
            <w:noWrap/>
            <w:tcMar>
              <w:top w:w="15" w:type="dxa"/>
              <w:left w:w="15" w:type="dxa"/>
              <w:right w:w="15" w:type="dxa"/>
            </w:tcMar>
            <w:vAlign w:val="center"/>
          </w:tcPr>
          <w:p w14:paraId="1E1B673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0.001</w:t>
            </w:r>
          </w:p>
        </w:tc>
        <w:tc>
          <w:tcPr>
            <w:tcW w:w="1122" w:type="pct"/>
            <w:tcBorders>
              <w:tl2br w:val="nil"/>
              <w:tr2bl w:val="nil"/>
            </w:tcBorders>
            <w:noWrap/>
            <w:tcMar>
              <w:top w:w="15" w:type="dxa"/>
              <w:left w:w="15" w:type="dxa"/>
              <w:right w:w="15" w:type="dxa"/>
            </w:tcMar>
            <w:vAlign w:val="center"/>
          </w:tcPr>
          <w:p w14:paraId="1C535305"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865" w:type="pct"/>
            <w:tcBorders>
              <w:tl2br w:val="nil"/>
              <w:tr2bl w:val="nil"/>
            </w:tcBorders>
            <w:noWrap/>
            <w:tcMar>
              <w:top w:w="15" w:type="dxa"/>
              <w:left w:w="15" w:type="dxa"/>
              <w:right w:w="15" w:type="dxa"/>
            </w:tcMar>
            <w:vAlign w:val="center"/>
          </w:tcPr>
          <w:p w14:paraId="43A49679"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70</w:t>
            </w:r>
          </w:p>
        </w:tc>
        <w:tc>
          <w:tcPr>
            <w:tcW w:w="577" w:type="pct"/>
            <w:tcBorders>
              <w:tl2br w:val="nil"/>
              <w:tr2bl w:val="nil"/>
            </w:tcBorders>
            <w:noWrap/>
            <w:tcMar>
              <w:top w:w="15" w:type="dxa"/>
              <w:left w:w="15" w:type="dxa"/>
              <w:right w:w="15" w:type="dxa"/>
            </w:tcMar>
            <w:vAlign w:val="center"/>
          </w:tcPr>
          <w:p w14:paraId="1C2D6784"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w:t>
            </w:r>
          </w:p>
        </w:tc>
      </w:tr>
      <w:tr w:rsidR="003E78AB" w14:paraId="322F732D" w14:textId="77777777">
        <w:tc>
          <w:tcPr>
            <w:tcW w:w="349" w:type="pct"/>
            <w:tcBorders>
              <w:tl2br w:val="nil"/>
              <w:tr2bl w:val="nil"/>
            </w:tcBorders>
            <w:noWrap/>
            <w:tcMar>
              <w:top w:w="15" w:type="dxa"/>
              <w:left w:w="15" w:type="dxa"/>
              <w:right w:w="15" w:type="dxa"/>
            </w:tcMar>
            <w:vAlign w:val="center"/>
          </w:tcPr>
          <w:p w14:paraId="488BDCB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738" w:type="pct"/>
            <w:tcBorders>
              <w:tl2br w:val="nil"/>
              <w:tr2bl w:val="nil"/>
            </w:tcBorders>
            <w:noWrap/>
            <w:tcMar>
              <w:top w:w="15" w:type="dxa"/>
              <w:left w:w="15" w:type="dxa"/>
              <w:right w:w="15" w:type="dxa"/>
            </w:tcMar>
            <w:vAlign w:val="center"/>
          </w:tcPr>
          <w:p w14:paraId="389F8B1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1100</w:t>
            </w:r>
            <w:r>
              <w:rPr>
                <w:b/>
                <w:bCs/>
                <w:color w:val="000000"/>
                <w:sz w:val="21"/>
                <w:szCs w:val="21"/>
                <w:u w:val="single"/>
              </w:rPr>
              <w:t>，</w:t>
            </w:r>
            <w:r>
              <w:rPr>
                <w:b/>
                <w:bCs/>
                <w:color w:val="000000"/>
                <w:sz w:val="21"/>
                <w:szCs w:val="21"/>
                <w:u w:val="single"/>
              </w:rPr>
              <w:t>800</w:t>
            </w:r>
            <w:r>
              <w:rPr>
                <w:b/>
                <w:bCs/>
                <w:color w:val="000000"/>
                <w:sz w:val="21"/>
                <w:szCs w:val="21"/>
                <w:u w:val="single"/>
              </w:rPr>
              <w:t>）</w:t>
            </w:r>
          </w:p>
        </w:tc>
        <w:tc>
          <w:tcPr>
            <w:tcW w:w="662" w:type="pct"/>
            <w:tcBorders>
              <w:tl2br w:val="nil"/>
              <w:tr2bl w:val="nil"/>
            </w:tcBorders>
            <w:noWrap/>
            <w:tcMar>
              <w:top w:w="15" w:type="dxa"/>
              <w:left w:w="15" w:type="dxa"/>
              <w:right w:w="15" w:type="dxa"/>
            </w:tcMar>
            <w:vAlign w:val="center"/>
          </w:tcPr>
          <w:p w14:paraId="5BA88C35" w14:textId="77777777" w:rsidR="003E78AB" w:rsidRDefault="00010BF9">
            <w:pPr>
              <w:spacing w:line="360" w:lineRule="exact"/>
              <w:ind w:firstLineChars="0" w:firstLine="0"/>
              <w:jc w:val="center"/>
              <w:textAlignment w:val="center"/>
              <w:rPr>
                <w:b/>
                <w:bCs/>
                <w:color w:val="000000"/>
                <w:sz w:val="21"/>
                <w:szCs w:val="21"/>
                <w:u w:val="single"/>
                <w:lang w:bidi="ar"/>
              </w:rPr>
            </w:pPr>
            <w:r>
              <w:rPr>
                <w:rFonts w:hint="eastAsia"/>
                <w:b/>
                <w:bCs/>
                <w:color w:val="000000"/>
                <w:sz w:val="21"/>
                <w:szCs w:val="21"/>
                <w:u w:val="single"/>
                <w:lang w:bidi="ar"/>
              </w:rPr>
              <w:t>年平均</w:t>
            </w:r>
          </w:p>
        </w:tc>
        <w:tc>
          <w:tcPr>
            <w:tcW w:w="684" w:type="pct"/>
            <w:tcBorders>
              <w:tl2br w:val="nil"/>
              <w:tr2bl w:val="nil"/>
            </w:tcBorders>
            <w:noWrap/>
            <w:tcMar>
              <w:top w:w="15" w:type="dxa"/>
              <w:left w:w="15" w:type="dxa"/>
              <w:right w:w="15" w:type="dxa"/>
            </w:tcMar>
            <w:vAlign w:val="center"/>
          </w:tcPr>
          <w:p w14:paraId="6C17C1B1"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0.001</w:t>
            </w:r>
          </w:p>
        </w:tc>
        <w:tc>
          <w:tcPr>
            <w:tcW w:w="1122" w:type="pct"/>
            <w:tcBorders>
              <w:tl2br w:val="nil"/>
              <w:tr2bl w:val="nil"/>
            </w:tcBorders>
            <w:noWrap/>
            <w:tcMar>
              <w:top w:w="15" w:type="dxa"/>
              <w:left w:w="15" w:type="dxa"/>
              <w:right w:w="15" w:type="dxa"/>
            </w:tcMar>
            <w:vAlign w:val="center"/>
          </w:tcPr>
          <w:p w14:paraId="666E877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平均值</w:t>
            </w:r>
          </w:p>
        </w:tc>
        <w:tc>
          <w:tcPr>
            <w:tcW w:w="865" w:type="pct"/>
            <w:tcBorders>
              <w:tl2br w:val="nil"/>
              <w:tr2bl w:val="nil"/>
            </w:tcBorders>
            <w:noWrap/>
            <w:tcMar>
              <w:top w:w="15" w:type="dxa"/>
              <w:left w:w="15" w:type="dxa"/>
              <w:right w:w="15" w:type="dxa"/>
            </w:tcMar>
            <w:vAlign w:val="center"/>
          </w:tcPr>
          <w:p w14:paraId="39504DFB"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70</w:t>
            </w:r>
          </w:p>
        </w:tc>
        <w:tc>
          <w:tcPr>
            <w:tcW w:w="577" w:type="pct"/>
            <w:tcBorders>
              <w:tl2br w:val="nil"/>
              <w:tr2bl w:val="nil"/>
            </w:tcBorders>
            <w:noWrap/>
            <w:tcMar>
              <w:top w:w="15" w:type="dxa"/>
              <w:left w:w="15" w:type="dxa"/>
              <w:right w:w="15" w:type="dxa"/>
            </w:tcMar>
            <w:vAlign w:val="center"/>
          </w:tcPr>
          <w:p w14:paraId="58CC56E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0.02</w:t>
            </w:r>
          </w:p>
        </w:tc>
      </w:tr>
    </w:tbl>
    <w:p w14:paraId="61625E36" w14:textId="77777777" w:rsidR="003E78AB" w:rsidRDefault="00010BF9">
      <w:pPr>
        <w:pStyle w:val="a4"/>
        <w:spacing w:before="120"/>
        <w:rPr>
          <w:b/>
          <w:bCs/>
          <w:color w:val="000000"/>
          <w:u w:val="single"/>
        </w:rPr>
      </w:pPr>
      <w:r>
        <w:rPr>
          <w:b/>
          <w:bCs/>
          <w:color w:val="000000"/>
          <w:u w:val="single"/>
        </w:rPr>
        <w:t>评价范围内主要污染物</w:t>
      </w:r>
      <w:r>
        <w:rPr>
          <w:rFonts w:hint="eastAsia"/>
          <w:b/>
          <w:bCs/>
          <w:color w:val="000000"/>
          <w:u w:val="single"/>
        </w:rPr>
        <w:t>年均</w:t>
      </w:r>
      <w:r>
        <w:rPr>
          <w:b/>
          <w:bCs/>
          <w:color w:val="000000"/>
          <w:u w:val="single"/>
        </w:rPr>
        <w:t>浓度贡献值最大占标率汇总</w:t>
      </w:r>
    </w:p>
    <w:tbl>
      <w:tblPr>
        <w:tblW w:w="49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0"/>
        <w:gridCol w:w="1153"/>
        <w:gridCol w:w="1022"/>
        <w:gridCol w:w="1199"/>
        <w:gridCol w:w="2009"/>
        <w:gridCol w:w="1220"/>
        <w:gridCol w:w="1008"/>
      </w:tblGrid>
      <w:tr w:rsidR="003E78AB" w14:paraId="7C91ECEE" w14:textId="77777777">
        <w:trPr>
          <w:trHeight w:val="369"/>
          <w:jc w:val="center"/>
        </w:trPr>
        <w:tc>
          <w:tcPr>
            <w:tcW w:w="528" w:type="pct"/>
            <w:tcBorders>
              <w:tl2br w:val="nil"/>
              <w:tr2bl w:val="nil"/>
            </w:tcBorders>
            <w:vAlign w:val="center"/>
          </w:tcPr>
          <w:p w14:paraId="15C527C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预测点</w:t>
            </w:r>
          </w:p>
        </w:tc>
        <w:tc>
          <w:tcPr>
            <w:tcW w:w="677" w:type="pct"/>
            <w:tcBorders>
              <w:tl2br w:val="nil"/>
              <w:tr2bl w:val="nil"/>
            </w:tcBorders>
            <w:vAlign w:val="center"/>
          </w:tcPr>
          <w:p w14:paraId="479458F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预测因子</w:t>
            </w:r>
          </w:p>
        </w:tc>
        <w:tc>
          <w:tcPr>
            <w:tcW w:w="600" w:type="pct"/>
            <w:tcBorders>
              <w:tl2br w:val="nil"/>
              <w:tr2bl w:val="nil"/>
            </w:tcBorders>
            <w:vAlign w:val="center"/>
          </w:tcPr>
          <w:p w14:paraId="212684E7" w14:textId="77777777" w:rsidR="003E78AB" w:rsidRDefault="00010BF9">
            <w:pPr>
              <w:spacing w:line="360" w:lineRule="exact"/>
              <w:ind w:firstLineChars="0" w:firstLine="0"/>
              <w:jc w:val="center"/>
              <w:rPr>
                <w:b/>
                <w:bCs/>
                <w:color w:val="000000"/>
                <w:kern w:val="2"/>
                <w:sz w:val="21"/>
                <w:szCs w:val="21"/>
                <w:u w:val="single"/>
                <w:lang w:bidi="ar"/>
              </w:rPr>
            </w:pPr>
            <w:r>
              <w:rPr>
                <w:b/>
                <w:bCs/>
                <w:color w:val="000000"/>
                <w:kern w:val="2"/>
                <w:sz w:val="21"/>
                <w:szCs w:val="21"/>
                <w:u w:val="single"/>
                <w:lang w:bidi="ar"/>
              </w:rPr>
              <w:t>浓度</w:t>
            </w:r>
          </w:p>
          <w:p w14:paraId="5DC5651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类型</w:t>
            </w:r>
          </w:p>
        </w:tc>
        <w:tc>
          <w:tcPr>
            <w:tcW w:w="704" w:type="pct"/>
            <w:tcBorders>
              <w:tl2br w:val="nil"/>
              <w:tr2bl w:val="nil"/>
            </w:tcBorders>
            <w:vAlign w:val="center"/>
          </w:tcPr>
          <w:p w14:paraId="78C3EEA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浓度增量（</w:t>
            </w:r>
            <w:r>
              <w:rPr>
                <w:b/>
                <w:bCs/>
                <w:color w:val="000000"/>
                <w:kern w:val="2"/>
                <w:sz w:val="21"/>
                <w:szCs w:val="21"/>
                <w:u w:val="single"/>
                <w:lang w:bidi="ar"/>
              </w:rPr>
              <w:t>μg/m</w:t>
            </w:r>
            <w:r>
              <w:rPr>
                <w:b/>
                <w:bCs/>
                <w:color w:val="000000"/>
                <w:kern w:val="2"/>
                <w:sz w:val="21"/>
                <w:szCs w:val="21"/>
                <w:u w:val="single"/>
                <w:vertAlign w:val="superscript"/>
                <w:lang w:bidi="ar"/>
              </w:rPr>
              <w:t>3</w:t>
            </w:r>
            <w:r>
              <w:rPr>
                <w:b/>
                <w:bCs/>
                <w:color w:val="000000"/>
                <w:kern w:val="2"/>
                <w:sz w:val="21"/>
                <w:szCs w:val="21"/>
                <w:u w:val="single"/>
                <w:lang w:bidi="ar"/>
              </w:rPr>
              <w:t>）</w:t>
            </w:r>
          </w:p>
        </w:tc>
        <w:tc>
          <w:tcPr>
            <w:tcW w:w="1179" w:type="pct"/>
            <w:tcBorders>
              <w:tl2br w:val="nil"/>
              <w:tr2bl w:val="nil"/>
            </w:tcBorders>
            <w:vAlign w:val="center"/>
          </w:tcPr>
          <w:p w14:paraId="0FA791E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出现时间（</w:t>
            </w:r>
            <w:r>
              <w:rPr>
                <w:b/>
                <w:bCs/>
                <w:color w:val="000000"/>
                <w:kern w:val="2"/>
                <w:sz w:val="21"/>
                <w:szCs w:val="21"/>
                <w:u w:val="single"/>
                <w:lang w:bidi="ar"/>
              </w:rPr>
              <w:t>YYMMDDHH</w:t>
            </w:r>
            <w:r>
              <w:rPr>
                <w:b/>
                <w:bCs/>
                <w:color w:val="000000"/>
                <w:kern w:val="2"/>
                <w:sz w:val="21"/>
                <w:szCs w:val="21"/>
                <w:u w:val="single"/>
                <w:lang w:bidi="ar"/>
              </w:rPr>
              <w:t>）</w:t>
            </w:r>
          </w:p>
        </w:tc>
        <w:tc>
          <w:tcPr>
            <w:tcW w:w="717" w:type="pct"/>
            <w:tcBorders>
              <w:tl2br w:val="nil"/>
              <w:tr2bl w:val="nil"/>
            </w:tcBorders>
            <w:vAlign w:val="center"/>
          </w:tcPr>
          <w:p w14:paraId="2A96045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评价标准（</w:t>
            </w:r>
            <w:r>
              <w:rPr>
                <w:b/>
                <w:bCs/>
                <w:color w:val="000000"/>
                <w:kern w:val="2"/>
                <w:sz w:val="21"/>
                <w:szCs w:val="21"/>
                <w:u w:val="single"/>
                <w:lang w:bidi="ar"/>
              </w:rPr>
              <w:t>μg/m</w:t>
            </w:r>
            <w:r>
              <w:rPr>
                <w:b/>
                <w:bCs/>
                <w:color w:val="000000"/>
                <w:kern w:val="2"/>
                <w:sz w:val="21"/>
                <w:szCs w:val="21"/>
                <w:u w:val="single"/>
                <w:vertAlign w:val="superscript"/>
                <w:lang w:bidi="ar"/>
              </w:rPr>
              <w:t>3</w:t>
            </w:r>
            <w:r>
              <w:rPr>
                <w:b/>
                <w:bCs/>
                <w:color w:val="000000"/>
                <w:kern w:val="2"/>
                <w:sz w:val="21"/>
                <w:szCs w:val="21"/>
                <w:u w:val="single"/>
                <w:lang w:bidi="ar"/>
              </w:rPr>
              <w:t>）</w:t>
            </w:r>
          </w:p>
        </w:tc>
        <w:tc>
          <w:tcPr>
            <w:tcW w:w="592" w:type="pct"/>
            <w:tcBorders>
              <w:tl2br w:val="nil"/>
              <w:tr2bl w:val="nil"/>
            </w:tcBorders>
            <w:vAlign w:val="center"/>
          </w:tcPr>
          <w:p w14:paraId="5831763D"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lang w:bidi="ar"/>
              </w:rPr>
              <w:t>占标率</w:t>
            </w:r>
            <w:r>
              <w:rPr>
                <w:b/>
                <w:bCs/>
                <w:color w:val="000000"/>
                <w:kern w:val="2"/>
                <w:sz w:val="21"/>
                <w:szCs w:val="21"/>
                <w:u w:val="single"/>
                <w:lang w:bidi="ar"/>
              </w:rPr>
              <w:t>/%</w:t>
            </w:r>
          </w:p>
        </w:tc>
      </w:tr>
      <w:tr w:rsidR="003E78AB" w14:paraId="58B54EEF" w14:textId="77777777">
        <w:trPr>
          <w:trHeight w:val="369"/>
          <w:jc w:val="center"/>
        </w:trPr>
        <w:tc>
          <w:tcPr>
            <w:tcW w:w="528" w:type="pct"/>
            <w:vMerge w:val="restart"/>
            <w:tcBorders>
              <w:tl2br w:val="nil"/>
              <w:tr2bl w:val="nil"/>
            </w:tcBorders>
            <w:vAlign w:val="center"/>
          </w:tcPr>
          <w:p w14:paraId="053B607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评价范围内最大浓度点</w:t>
            </w:r>
          </w:p>
        </w:tc>
        <w:tc>
          <w:tcPr>
            <w:tcW w:w="677" w:type="pct"/>
            <w:tcBorders>
              <w:tl2br w:val="nil"/>
              <w:tr2bl w:val="nil"/>
            </w:tcBorders>
            <w:vAlign w:val="center"/>
          </w:tcPr>
          <w:p w14:paraId="51EFC42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NO</w:t>
            </w:r>
            <w:r>
              <w:rPr>
                <w:b/>
                <w:bCs/>
                <w:color w:val="000000"/>
                <w:sz w:val="21"/>
                <w:szCs w:val="21"/>
                <w:u w:val="single"/>
                <w:vertAlign w:val="subscript"/>
              </w:rPr>
              <w:t>2</w:t>
            </w:r>
          </w:p>
        </w:tc>
        <w:tc>
          <w:tcPr>
            <w:tcW w:w="600" w:type="pct"/>
            <w:tcBorders>
              <w:tl2br w:val="nil"/>
              <w:tr2bl w:val="nil"/>
            </w:tcBorders>
            <w:vAlign w:val="center"/>
          </w:tcPr>
          <w:p w14:paraId="7645556C"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年</w:t>
            </w:r>
            <w:r>
              <w:rPr>
                <w:b/>
                <w:bCs/>
                <w:color w:val="000000"/>
                <w:sz w:val="21"/>
                <w:szCs w:val="21"/>
                <w:u w:val="single"/>
              </w:rPr>
              <w:t>平均</w:t>
            </w:r>
          </w:p>
        </w:tc>
        <w:tc>
          <w:tcPr>
            <w:tcW w:w="704" w:type="pct"/>
            <w:tcBorders>
              <w:tl2br w:val="nil"/>
              <w:tr2bl w:val="nil"/>
            </w:tcBorders>
            <w:vAlign w:val="center"/>
          </w:tcPr>
          <w:p w14:paraId="5CEB0C1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0.099</w:t>
            </w:r>
          </w:p>
        </w:tc>
        <w:tc>
          <w:tcPr>
            <w:tcW w:w="1179" w:type="pct"/>
            <w:tcBorders>
              <w:tl2br w:val="nil"/>
              <w:tr2bl w:val="nil"/>
            </w:tcBorders>
            <w:vAlign w:val="center"/>
          </w:tcPr>
          <w:p w14:paraId="403BB1E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平均值</w:t>
            </w:r>
          </w:p>
        </w:tc>
        <w:tc>
          <w:tcPr>
            <w:tcW w:w="717" w:type="pct"/>
            <w:tcBorders>
              <w:tl2br w:val="nil"/>
              <w:tr2bl w:val="nil"/>
            </w:tcBorders>
            <w:vAlign w:val="center"/>
          </w:tcPr>
          <w:p w14:paraId="4D26070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40</w:t>
            </w:r>
          </w:p>
        </w:tc>
        <w:tc>
          <w:tcPr>
            <w:tcW w:w="592" w:type="pct"/>
            <w:tcBorders>
              <w:tl2br w:val="nil"/>
              <w:tr2bl w:val="nil"/>
            </w:tcBorders>
            <w:vAlign w:val="center"/>
          </w:tcPr>
          <w:p w14:paraId="46E84BEB"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0.25</w:t>
            </w:r>
          </w:p>
        </w:tc>
      </w:tr>
      <w:tr w:rsidR="003E78AB" w14:paraId="08FB5B32" w14:textId="77777777">
        <w:trPr>
          <w:trHeight w:val="369"/>
          <w:jc w:val="center"/>
        </w:trPr>
        <w:tc>
          <w:tcPr>
            <w:tcW w:w="528" w:type="pct"/>
            <w:vMerge/>
            <w:tcBorders>
              <w:tl2br w:val="nil"/>
              <w:tr2bl w:val="nil"/>
            </w:tcBorders>
            <w:vAlign w:val="center"/>
          </w:tcPr>
          <w:p w14:paraId="3EA21B7D" w14:textId="77777777" w:rsidR="003E78AB" w:rsidRDefault="003E78AB">
            <w:pPr>
              <w:spacing w:line="360" w:lineRule="exact"/>
              <w:ind w:firstLineChars="0" w:firstLine="0"/>
              <w:jc w:val="center"/>
              <w:textAlignment w:val="baseline"/>
              <w:rPr>
                <w:b/>
                <w:bCs/>
                <w:color w:val="000000"/>
                <w:sz w:val="21"/>
                <w:szCs w:val="21"/>
                <w:u w:val="single"/>
              </w:rPr>
            </w:pPr>
          </w:p>
        </w:tc>
        <w:tc>
          <w:tcPr>
            <w:tcW w:w="677" w:type="pct"/>
            <w:tcBorders>
              <w:tl2br w:val="nil"/>
              <w:tr2bl w:val="nil"/>
            </w:tcBorders>
            <w:vAlign w:val="center"/>
          </w:tcPr>
          <w:p w14:paraId="6C055D21"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SO</w:t>
            </w:r>
            <w:r>
              <w:rPr>
                <w:b/>
                <w:bCs/>
                <w:color w:val="000000"/>
                <w:sz w:val="21"/>
                <w:szCs w:val="21"/>
                <w:u w:val="single"/>
                <w:vertAlign w:val="subscript"/>
              </w:rPr>
              <w:t>2</w:t>
            </w:r>
          </w:p>
        </w:tc>
        <w:tc>
          <w:tcPr>
            <w:tcW w:w="600" w:type="pct"/>
            <w:tcBorders>
              <w:tl2br w:val="nil"/>
              <w:tr2bl w:val="nil"/>
            </w:tcBorders>
            <w:vAlign w:val="center"/>
          </w:tcPr>
          <w:p w14:paraId="24D2A936"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年</w:t>
            </w:r>
            <w:r>
              <w:rPr>
                <w:b/>
                <w:bCs/>
                <w:color w:val="000000"/>
                <w:sz w:val="21"/>
                <w:szCs w:val="21"/>
                <w:u w:val="single"/>
              </w:rPr>
              <w:t>平均</w:t>
            </w:r>
          </w:p>
        </w:tc>
        <w:tc>
          <w:tcPr>
            <w:tcW w:w="704" w:type="pct"/>
            <w:tcBorders>
              <w:tl2br w:val="nil"/>
              <w:tr2bl w:val="nil"/>
            </w:tcBorders>
            <w:vAlign w:val="center"/>
          </w:tcPr>
          <w:p w14:paraId="40B2379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0.0</w:t>
            </w:r>
            <w:r>
              <w:rPr>
                <w:rFonts w:hint="eastAsia"/>
                <w:b/>
                <w:bCs/>
                <w:color w:val="000000"/>
                <w:sz w:val="21"/>
                <w:szCs w:val="21"/>
                <w:u w:val="single"/>
              </w:rPr>
              <w:t>38</w:t>
            </w:r>
          </w:p>
        </w:tc>
        <w:tc>
          <w:tcPr>
            <w:tcW w:w="1179" w:type="pct"/>
            <w:tcBorders>
              <w:tl2br w:val="nil"/>
              <w:tr2bl w:val="nil"/>
            </w:tcBorders>
            <w:vAlign w:val="center"/>
          </w:tcPr>
          <w:p w14:paraId="100B4D76"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平均值</w:t>
            </w:r>
          </w:p>
        </w:tc>
        <w:tc>
          <w:tcPr>
            <w:tcW w:w="717" w:type="pct"/>
            <w:tcBorders>
              <w:tl2br w:val="nil"/>
              <w:tr2bl w:val="nil"/>
            </w:tcBorders>
            <w:vAlign w:val="center"/>
          </w:tcPr>
          <w:p w14:paraId="1CA764C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60</w:t>
            </w:r>
          </w:p>
        </w:tc>
        <w:tc>
          <w:tcPr>
            <w:tcW w:w="592" w:type="pct"/>
            <w:tcBorders>
              <w:tl2br w:val="nil"/>
              <w:tr2bl w:val="nil"/>
            </w:tcBorders>
            <w:vAlign w:val="center"/>
          </w:tcPr>
          <w:p w14:paraId="5CD2405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0.0</w:t>
            </w:r>
            <w:r>
              <w:rPr>
                <w:rFonts w:hint="eastAsia"/>
                <w:b/>
                <w:bCs/>
                <w:color w:val="000000"/>
                <w:sz w:val="21"/>
                <w:szCs w:val="21"/>
                <w:u w:val="single"/>
              </w:rPr>
              <w:t>6</w:t>
            </w:r>
          </w:p>
        </w:tc>
      </w:tr>
      <w:tr w:rsidR="003E78AB" w14:paraId="688218B4" w14:textId="77777777">
        <w:trPr>
          <w:trHeight w:val="369"/>
          <w:jc w:val="center"/>
        </w:trPr>
        <w:tc>
          <w:tcPr>
            <w:tcW w:w="528" w:type="pct"/>
            <w:vMerge/>
            <w:tcBorders>
              <w:tl2br w:val="nil"/>
              <w:tr2bl w:val="nil"/>
            </w:tcBorders>
            <w:vAlign w:val="center"/>
          </w:tcPr>
          <w:p w14:paraId="2DE63DDE" w14:textId="77777777" w:rsidR="003E78AB" w:rsidRDefault="003E78AB">
            <w:pPr>
              <w:spacing w:line="360" w:lineRule="exact"/>
              <w:ind w:firstLineChars="0" w:firstLine="0"/>
              <w:jc w:val="center"/>
              <w:textAlignment w:val="baseline"/>
              <w:rPr>
                <w:b/>
                <w:bCs/>
                <w:color w:val="000000"/>
                <w:sz w:val="21"/>
                <w:szCs w:val="21"/>
                <w:u w:val="single"/>
              </w:rPr>
            </w:pPr>
          </w:p>
        </w:tc>
        <w:tc>
          <w:tcPr>
            <w:tcW w:w="677" w:type="pct"/>
            <w:tcBorders>
              <w:tl2br w:val="nil"/>
              <w:tr2bl w:val="nil"/>
            </w:tcBorders>
            <w:vAlign w:val="center"/>
          </w:tcPr>
          <w:p w14:paraId="74E04A08"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PM</w:t>
            </w:r>
            <w:r>
              <w:rPr>
                <w:b/>
                <w:bCs/>
                <w:color w:val="000000"/>
                <w:sz w:val="21"/>
                <w:szCs w:val="21"/>
                <w:u w:val="single"/>
                <w:vertAlign w:val="subscript"/>
              </w:rPr>
              <w:t>10</w:t>
            </w:r>
          </w:p>
        </w:tc>
        <w:tc>
          <w:tcPr>
            <w:tcW w:w="600" w:type="pct"/>
            <w:tcBorders>
              <w:tl2br w:val="nil"/>
              <w:tr2bl w:val="nil"/>
            </w:tcBorders>
            <w:vAlign w:val="center"/>
          </w:tcPr>
          <w:p w14:paraId="5B8513AF" w14:textId="77777777" w:rsidR="003E78AB" w:rsidRDefault="00010BF9">
            <w:pPr>
              <w:spacing w:line="360" w:lineRule="exact"/>
              <w:ind w:firstLineChars="0" w:firstLine="0"/>
              <w:jc w:val="center"/>
              <w:textAlignment w:val="baseline"/>
              <w:rPr>
                <w:b/>
                <w:bCs/>
                <w:color w:val="000000"/>
                <w:sz w:val="21"/>
                <w:szCs w:val="21"/>
                <w:u w:val="single"/>
              </w:rPr>
            </w:pPr>
            <w:r>
              <w:rPr>
                <w:rFonts w:hint="eastAsia"/>
                <w:b/>
                <w:bCs/>
                <w:color w:val="000000"/>
                <w:sz w:val="21"/>
                <w:szCs w:val="21"/>
                <w:u w:val="single"/>
              </w:rPr>
              <w:t>年</w:t>
            </w:r>
            <w:r>
              <w:rPr>
                <w:b/>
                <w:bCs/>
                <w:color w:val="000000"/>
                <w:sz w:val="21"/>
                <w:szCs w:val="21"/>
                <w:u w:val="single"/>
              </w:rPr>
              <w:t>平均</w:t>
            </w:r>
          </w:p>
        </w:tc>
        <w:tc>
          <w:tcPr>
            <w:tcW w:w="704" w:type="pct"/>
            <w:tcBorders>
              <w:tl2br w:val="nil"/>
              <w:tr2bl w:val="nil"/>
            </w:tcBorders>
            <w:vAlign w:val="center"/>
          </w:tcPr>
          <w:p w14:paraId="1B51074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0.001</w:t>
            </w:r>
          </w:p>
        </w:tc>
        <w:tc>
          <w:tcPr>
            <w:tcW w:w="1179" w:type="pct"/>
            <w:tcBorders>
              <w:tl2br w:val="nil"/>
              <w:tr2bl w:val="nil"/>
            </w:tcBorders>
            <w:vAlign w:val="center"/>
          </w:tcPr>
          <w:p w14:paraId="0E91EFF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平均值</w:t>
            </w:r>
          </w:p>
        </w:tc>
        <w:tc>
          <w:tcPr>
            <w:tcW w:w="717" w:type="pct"/>
            <w:tcBorders>
              <w:tl2br w:val="nil"/>
              <w:tr2bl w:val="nil"/>
            </w:tcBorders>
            <w:vAlign w:val="center"/>
          </w:tcPr>
          <w:p w14:paraId="0FAE914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70</w:t>
            </w:r>
          </w:p>
        </w:tc>
        <w:tc>
          <w:tcPr>
            <w:tcW w:w="592" w:type="pct"/>
            <w:tcBorders>
              <w:tl2br w:val="nil"/>
              <w:tr2bl w:val="nil"/>
            </w:tcBorders>
            <w:vAlign w:val="center"/>
          </w:tcPr>
          <w:p w14:paraId="3708D28C"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0.02</w:t>
            </w:r>
          </w:p>
        </w:tc>
      </w:tr>
    </w:tbl>
    <w:p w14:paraId="61FA950B" w14:textId="77777777" w:rsidR="003E78AB" w:rsidRDefault="00010BF9">
      <w:pPr>
        <w:ind w:firstLine="482"/>
        <w:rPr>
          <w:b/>
          <w:bCs/>
          <w:color w:val="000000"/>
          <w:szCs w:val="22"/>
          <w:u w:val="single"/>
        </w:rPr>
      </w:pPr>
      <w:r>
        <w:rPr>
          <w:b/>
          <w:bCs/>
          <w:color w:val="000000"/>
          <w:kern w:val="2"/>
          <w:u w:val="single"/>
          <w:lang w:bidi="ar"/>
        </w:rPr>
        <w:t>根</w:t>
      </w:r>
      <w:r>
        <w:rPr>
          <w:b/>
          <w:bCs/>
          <w:color w:val="000000"/>
          <w:szCs w:val="21"/>
          <w:u w:val="single"/>
        </w:rPr>
        <w:t>据预测结果，项目正常排放条件下，评价范围内环境空气保护目标和网格点主要污染物</w:t>
      </w:r>
      <w:r>
        <w:rPr>
          <w:b/>
          <w:bCs/>
          <w:color w:val="000000"/>
          <w:szCs w:val="21"/>
          <w:u w:val="single"/>
        </w:rPr>
        <w:t>NO</w:t>
      </w:r>
      <w:r>
        <w:rPr>
          <w:b/>
          <w:bCs/>
          <w:color w:val="000000"/>
          <w:szCs w:val="21"/>
          <w:u w:val="single"/>
          <w:vertAlign w:val="subscript"/>
        </w:rPr>
        <w:t>2</w:t>
      </w:r>
      <w:r>
        <w:rPr>
          <w:b/>
          <w:bCs/>
          <w:color w:val="000000"/>
          <w:szCs w:val="21"/>
          <w:u w:val="single"/>
        </w:rPr>
        <w:t>、</w:t>
      </w:r>
      <w:r>
        <w:rPr>
          <w:b/>
          <w:bCs/>
          <w:color w:val="000000"/>
          <w:szCs w:val="21"/>
          <w:u w:val="single"/>
        </w:rPr>
        <w:t>SO</w:t>
      </w:r>
      <w:r>
        <w:rPr>
          <w:b/>
          <w:bCs/>
          <w:color w:val="000000"/>
          <w:szCs w:val="21"/>
          <w:u w:val="single"/>
          <w:vertAlign w:val="subscript"/>
        </w:rPr>
        <w:t>2</w:t>
      </w:r>
      <w:r>
        <w:rPr>
          <w:b/>
          <w:bCs/>
          <w:color w:val="000000"/>
          <w:szCs w:val="21"/>
          <w:u w:val="single"/>
        </w:rPr>
        <w:t>、</w:t>
      </w:r>
      <w:r>
        <w:rPr>
          <w:b/>
          <w:bCs/>
          <w:color w:val="000000"/>
          <w:szCs w:val="21"/>
          <w:u w:val="single"/>
        </w:rPr>
        <w:t>PM</w:t>
      </w:r>
      <w:r>
        <w:rPr>
          <w:b/>
          <w:bCs/>
          <w:color w:val="000000"/>
          <w:szCs w:val="21"/>
          <w:u w:val="single"/>
          <w:vertAlign w:val="subscript"/>
        </w:rPr>
        <w:t>10</w:t>
      </w:r>
      <w:r>
        <w:rPr>
          <w:b/>
          <w:bCs/>
          <w:color w:val="000000"/>
          <w:szCs w:val="21"/>
          <w:u w:val="single"/>
        </w:rPr>
        <w:t>年平均长期浓度贡献值最大浓度占标率分别为</w:t>
      </w:r>
      <w:r>
        <w:rPr>
          <w:rFonts w:hint="eastAsia"/>
          <w:b/>
          <w:bCs/>
          <w:color w:val="000000"/>
          <w:szCs w:val="21"/>
          <w:u w:val="single"/>
        </w:rPr>
        <w:t>0.25</w:t>
      </w:r>
      <w:r>
        <w:rPr>
          <w:b/>
          <w:bCs/>
          <w:color w:val="000000"/>
          <w:szCs w:val="21"/>
          <w:u w:val="single"/>
        </w:rPr>
        <w:t>%</w:t>
      </w:r>
      <w:r>
        <w:rPr>
          <w:b/>
          <w:bCs/>
          <w:color w:val="000000"/>
          <w:szCs w:val="21"/>
          <w:u w:val="single"/>
        </w:rPr>
        <w:t>、</w:t>
      </w:r>
      <w:r>
        <w:rPr>
          <w:b/>
          <w:bCs/>
          <w:color w:val="000000"/>
          <w:szCs w:val="21"/>
          <w:u w:val="single"/>
        </w:rPr>
        <w:t>0.0</w:t>
      </w:r>
      <w:r>
        <w:rPr>
          <w:rFonts w:hint="eastAsia"/>
          <w:b/>
          <w:bCs/>
          <w:color w:val="000000"/>
          <w:szCs w:val="21"/>
          <w:u w:val="single"/>
        </w:rPr>
        <w:t>6</w:t>
      </w:r>
      <w:r>
        <w:rPr>
          <w:b/>
          <w:bCs/>
          <w:color w:val="000000"/>
          <w:szCs w:val="21"/>
          <w:u w:val="single"/>
        </w:rPr>
        <w:t>%</w:t>
      </w:r>
      <w:r>
        <w:rPr>
          <w:b/>
          <w:bCs/>
          <w:color w:val="000000"/>
          <w:szCs w:val="21"/>
          <w:u w:val="single"/>
        </w:rPr>
        <w:t>、</w:t>
      </w:r>
      <w:r>
        <w:rPr>
          <w:rFonts w:hint="eastAsia"/>
          <w:b/>
          <w:bCs/>
          <w:color w:val="000000"/>
          <w:szCs w:val="21"/>
          <w:u w:val="single"/>
        </w:rPr>
        <w:t>0.02</w:t>
      </w:r>
      <w:r>
        <w:rPr>
          <w:b/>
          <w:bCs/>
          <w:color w:val="000000"/>
          <w:szCs w:val="21"/>
          <w:u w:val="single"/>
        </w:rPr>
        <w:t>%</w:t>
      </w:r>
      <w:r>
        <w:rPr>
          <w:b/>
          <w:bCs/>
          <w:color w:val="000000"/>
          <w:szCs w:val="21"/>
          <w:u w:val="single"/>
        </w:rPr>
        <w:t>。评价范围内各污染物年平均长期浓度贡献值最大浓度占标率为</w:t>
      </w:r>
      <w:r>
        <w:rPr>
          <w:rFonts w:hint="eastAsia"/>
          <w:b/>
          <w:bCs/>
          <w:color w:val="000000"/>
          <w:szCs w:val="21"/>
          <w:u w:val="single"/>
        </w:rPr>
        <w:t>0.25</w:t>
      </w:r>
      <w:r>
        <w:rPr>
          <w:b/>
          <w:bCs/>
          <w:color w:val="000000"/>
          <w:szCs w:val="21"/>
          <w:u w:val="single"/>
        </w:rPr>
        <w:t>%</w:t>
      </w:r>
      <w:r>
        <w:rPr>
          <w:b/>
          <w:bCs/>
          <w:color w:val="000000"/>
          <w:szCs w:val="21"/>
          <w:u w:val="single"/>
        </w:rPr>
        <w:t>＜</w:t>
      </w:r>
      <w:r>
        <w:rPr>
          <w:b/>
          <w:bCs/>
          <w:color w:val="000000"/>
          <w:szCs w:val="21"/>
          <w:u w:val="single"/>
        </w:rPr>
        <w:t>30%</w:t>
      </w:r>
      <w:r>
        <w:rPr>
          <w:b/>
          <w:bCs/>
          <w:color w:val="000000"/>
          <w:szCs w:val="21"/>
          <w:u w:val="single"/>
        </w:rPr>
        <w:t>。</w:t>
      </w:r>
    </w:p>
    <w:p w14:paraId="6534B729" w14:textId="77777777" w:rsidR="003E78AB" w:rsidRDefault="00010BF9">
      <w:pPr>
        <w:ind w:firstLine="482"/>
        <w:rPr>
          <w:b/>
          <w:bCs/>
          <w:color w:val="000000"/>
          <w:u w:val="single"/>
        </w:rPr>
      </w:pPr>
      <w:r>
        <w:rPr>
          <w:rFonts w:hint="eastAsia"/>
          <w:b/>
          <w:bCs/>
          <w:color w:val="000000"/>
          <w:u w:val="single"/>
        </w:rPr>
        <w:t>（</w:t>
      </w:r>
      <w:r>
        <w:rPr>
          <w:rFonts w:hint="eastAsia"/>
          <w:b/>
          <w:bCs/>
          <w:color w:val="000000"/>
          <w:u w:val="single"/>
        </w:rPr>
        <w:t>2</w:t>
      </w:r>
      <w:r>
        <w:rPr>
          <w:rFonts w:hint="eastAsia"/>
          <w:b/>
          <w:bCs/>
          <w:color w:val="000000"/>
          <w:u w:val="single"/>
        </w:rPr>
        <w:t>）</w:t>
      </w:r>
      <w:r>
        <w:rPr>
          <w:b/>
          <w:bCs/>
          <w:color w:val="000000"/>
          <w:u w:val="single"/>
        </w:rPr>
        <w:t>叠加现状环境质量浓度及其他污染源影响后预测结果</w:t>
      </w:r>
    </w:p>
    <w:p w14:paraId="32639CE0" w14:textId="77777777" w:rsidR="003E78AB" w:rsidRDefault="00010BF9">
      <w:pPr>
        <w:ind w:firstLine="482"/>
        <w:rPr>
          <w:b/>
          <w:bCs/>
          <w:szCs w:val="21"/>
          <w:u w:val="single"/>
        </w:rPr>
      </w:pPr>
      <w:r>
        <w:rPr>
          <w:rFonts w:hint="eastAsia"/>
          <w:b/>
          <w:bCs/>
          <w:szCs w:val="21"/>
          <w:u w:val="single"/>
        </w:rPr>
        <w:t>本项目位于环境质量不达标区，现状浓度超标的污染物为</w:t>
      </w:r>
      <w:r>
        <w:rPr>
          <w:rFonts w:hint="eastAsia"/>
          <w:b/>
          <w:bCs/>
          <w:szCs w:val="21"/>
          <w:u w:val="single"/>
        </w:rPr>
        <w:t>PM</w:t>
      </w:r>
      <w:r>
        <w:rPr>
          <w:rFonts w:hint="eastAsia"/>
          <w:b/>
          <w:bCs/>
          <w:szCs w:val="21"/>
          <w:u w:val="single"/>
          <w:vertAlign w:val="subscript"/>
        </w:rPr>
        <w:t>10</w:t>
      </w:r>
      <w:r>
        <w:rPr>
          <w:rFonts w:hint="eastAsia"/>
          <w:b/>
          <w:bCs/>
          <w:szCs w:val="21"/>
          <w:u w:val="single"/>
        </w:rPr>
        <w:t>，现状浓度达标的污染物为</w:t>
      </w:r>
      <w:r>
        <w:rPr>
          <w:rFonts w:hint="eastAsia"/>
          <w:b/>
          <w:bCs/>
          <w:szCs w:val="21"/>
          <w:u w:val="single"/>
        </w:rPr>
        <w:t>NO</w:t>
      </w:r>
      <w:r>
        <w:rPr>
          <w:rFonts w:hint="eastAsia"/>
          <w:b/>
          <w:bCs/>
          <w:szCs w:val="21"/>
          <w:u w:val="single"/>
          <w:vertAlign w:val="subscript"/>
        </w:rPr>
        <w:t>2</w:t>
      </w:r>
      <w:r>
        <w:rPr>
          <w:rFonts w:hint="eastAsia"/>
          <w:b/>
          <w:bCs/>
          <w:szCs w:val="21"/>
          <w:u w:val="single"/>
        </w:rPr>
        <w:t>、</w:t>
      </w:r>
      <w:r>
        <w:rPr>
          <w:rFonts w:hint="eastAsia"/>
          <w:b/>
          <w:bCs/>
          <w:szCs w:val="21"/>
          <w:u w:val="single"/>
        </w:rPr>
        <w:t>SO</w:t>
      </w:r>
      <w:r>
        <w:rPr>
          <w:rFonts w:hint="eastAsia"/>
          <w:b/>
          <w:bCs/>
          <w:szCs w:val="21"/>
          <w:u w:val="single"/>
          <w:vertAlign w:val="subscript"/>
        </w:rPr>
        <w:t>2</w:t>
      </w:r>
      <w:r>
        <w:rPr>
          <w:rFonts w:hint="eastAsia"/>
          <w:b/>
          <w:bCs/>
          <w:szCs w:val="21"/>
          <w:u w:val="single"/>
        </w:rPr>
        <w:t>，短期浓度限值的污染物</w:t>
      </w:r>
      <w:r>
        <w:rPr>
          <w:rFonts w:hint="eastAsia"/>
          <w:b/>
          <w:bCs/>
          <w:szCs w:val="21"/>
          <w:u w:val="single"/>
        </w:rPr>
        <w:t>TVOC</w:t>
      </w:r>
      <w:r>
        <w:rPr>
          <w:rFonts w:hint="eastAsia"/>
          <w:b/>
          <w:bCs/>
          <w:szCs w:val="21"/>
          <w:u w:val="single"/>
        </w:rPr>
        <w:t>和硫酸雾为现状达标因子。</w:t>
      </w:r>
    </w:p>
    <w:p w14:paraId="32861651" w14:textId="77777777" w:rsidR="003E78AB" w:rsidRDefault="00010BF9">
      <w:pPr>
        <w:ind w:firstLine="482"/>
        <w:rPr>
          <w:b/>
          <w:bCs/>
          <w:color w:val="000000"/>
          <w:kern w:val="2"/>
          <w:szCs w:val="21"/>
          <w:u w:val="single"/>
        </w:rPr>
      </w:pPr>
      <w:r>
        <w:rPr>
          <w:b/>
          <w:bCs/>
          <w:color w:val="000000"/>
          <w:kern w:val="2"/>
          <w:u w:val="single"/>
          <w:lang w:bidi="ar"/>
        </w:rPr>
        <w:t>预测项目建成后</w:t>
      </w:r>
      <w:r>
        <w:rPr>
          <w:rFonts w:hint="eastAsia"/>
          <w:b/>
          <w:bCs/>
          <w:color w:val="000000"/>
          <w:kern w:val="2"/>
          <w:u w:val="single"/>
          <w:lang w:bidi="ar"/>
        </w:rPr>
        <w:t>PM</w:t>
      </w:r>
      <w:r>
        <w:rPr>
          <w:rFonts w:hint="eastAsia"/>
          <w:b/>
          <w:bCs/>
          <w:color w:val="000000"/>
          <w:kern w:val="2"/>
          <w:u w:val="single"/>
          <w:vertAlign w:val="subscript"/>
          <w:lang w:bidi="ar"/>
        </w:rPr>
        <w:t>10</w:t>
      </w:r>
      <w:r>
        <w:rPr>
          <w:rFonts w:hint="eastAsia"/>
          <w:b/>
          <w:bCs/>
          <w:color w:val="000000"/>
          <w:kern w:val="2"/>
          <w:u w:val="single"/>
          <w:lang w:bidi="ar"/>
        </w:rPr>
        <w:t>、</w:t>
      </w:r>
      <w:r>
        <w:rPr>
          <w:b/>
          <w:bCs/>
          <w:color w:val="000000"/>
          <w:kern w:val="2"/>
          <w:u w:val="single"/>
          <w:lang w:bidi="ar"/>
        </w:rPr>
        <w:t>NO</w:t>
      </w:r>
      <w:r>
        <w:rPr>
          <w:b/>
          <w:bCs/>
          <w:color w:val="000000"/>
          <w:kern w:val="2"/>
          <w:u w:val="single"/>
          <w:vertAlign w:val="subscript"/>
          <w:lang w:bidi="ar"/>
        </w:rPr>
        <w:t>2</w:t>
      </w:r>
      <w:r>
        <w:rPr>
          <w:b/>
          <w:bCs/>
          <w:color w:val="000000"/>
          <w:szCs w:val="21"/>
          <w:u w:val="single"/>
        </w:rPr>
        <w:t>、</w:t>
      </w:r>
      <w:r>
        <w:rPr>
          <w:b/>
          <w:bCs/>
          <w:color w:val="000000"/>
          <w:szCs w:val="21"/>
          <w:u w:val="single"/>
        </w:rPr>
        <w:t>SO</w:t>
      </w:r>
      <w:r>
        <w:rPr>
          <w:b/>
          <w:bCs/>
          <w:color w:val="000000"/>
          <w:szCs w:val="21"/>
          <w:u w:val="single"/>
          <w:vertAlign w:val="subscript"/>
        </w:rPr>
        <w:t>2</w:t>
      </w:r>
      <w:r>
        <w:rPr>
          <w:b/>
          <w:bCs/>
          <w:color w:val="000000"/>
          <w:kern w:val="2"/>
          <w:u w:val="single"/>
          <w:lang w:bidi="ar"/>
        </w:rPr>
        <w:t>、</w:t>
      </w:r>
      <w:r>
        <w:rPr>
          <w:rFonts w:hint="eastAsia"/>
          <w:b/>
          <w:bCs/>
          <w:color w:val="000000"/>
          <w:kern w:val="2"/>
          <w:u w:val="single"/>
          <w:lang w:bidi="ar"/>
        </w:rPr>
        <w:t>TVOC</w:t>
      </w:r>
      <w:r>
        <w:rPr>
          <w:rFonts w:hint="eastAsia"/>
          <w:b/>
          <w:bCs/>
          <w:color w:val="000000"/>
          <w:kern w:val="2"/>
          <w:u w:val="single"/>
          <w:lang w:bidi="ar"/>
        </w:rPr>
        <w:t>、硫酸雾</w:t>
      </w:r>
      <w:r>
        <w:rPr>
          <w:b/>
          <w:bCs/>
          <w:color w:val="000000"/>
          <w:kern w:val="2"/>
          <w:u w:val="single"/>
          <w:lang w:bidi="ar"/>
        </w:rPr>
        <w:t>等污染物对预测范围的环境影响，采用本项目的贡献浓度，</w:t>
      </w:r>
      <w:r>
        <w:rPr>
          <w:b/>
          <w:bCs/>
          <w:color w:val="000000"/>
          <w:kern w:val="2"/>
          <w:szCs w:val="21"/>
          <w:u w:val="single"/>
        </w:rPr>
        <w:t>叠加（减去）区域削减源和区域其他在建、拟建项目污染源环境影响，并叠加环境质量现状浓度，计算公式如下：</w:t>
      </w:r>
    </w:p>
    <w:p w14:paraId="5D12EC34" w14:textId="77777777" w:rsidR="003E78AB" w:rsidRDefault="00010BF9">
      <w:pPr>
        <w:ind w:firstLine="482"/>
        <w:jc w:val="center"/>
        <w:rPr>
          <w:b/>
          <w:bCs/>
          <w:color w:val="000000"/>
          <w:kern w:val="2"/>
          <w:szCs w:val="21"/>
          <w:u w:val="single"/>
        </w:rPr>
      </w:pPr>
      <w:r>
        <w:rPr>
          <w:b/>
          <w:bCs/>
          <w:color w:val="000000"/>
          <w:kern w:val="2"/>
          <w:position w:val="-14"/>
          <w:u w:val="single"/>
          <w:lang w:bidi="ar"/>
        </w:rPr>
        <w:object w:dxaOrig="6630" w:dyaOrig="405" w14:anchorId="7622B40B">
          <v:shape id="_x0000_i1040" type="#_x0000_t75" style="width:331.5pt;height:20.25pt" o:ole="">
            <v:imagedata r:id="rId63" o:title=""/>
          </v:shape>
          <o:OLEObject Type="Embed" ProgID="Equation.3" ShapeID="_x0000_i1040" DrawAspect="Content" ObjectID="_1814684983" r:id="rId64"/>
        </w:object>
      </w:r>
    </w:p>
    <w:p w14:paraId="45DDF2EA" w14:textId="77777777" w:rsidR="003E78AB" w:rsidRDefault="00010BF9">
      <w:pPr>
        <w:ind w:firstLine="482"/>
        <w:rPr>
          <w:b/>
          <w:bCs/>
          <w:color w:val="000000"/>
          <w:kern w:val="2"/>
          <w:szCs w:val="21"/>
          <w:u w:val="single"/>
        </w:rPr>
      </w:pPr>
      <w:r>
        <w:rPr>
          <w:b/>
          <w:bCs/>
          <w:color w:val="000000"/>
          <w:kern w:val="2"/>
          <w:u w:val="single"/>
          <w:lang w:bidi="ar"/>
        </w:rPr>
        <w:t>式中：</w:t>
      </w:r>
      <w:r>
        <w:rPr>
          <w:b/>
          <w:bCs/>
          <w:color w:val="000000"/>
          <w:kern w:val="2"/>
          <w:u w:val="single"/>
          <w:lang w:bidi="ar"/>
        </w:rPr>
        <w:t>ρ</w:t>
      </w:r>
      <w:r>
        <w:rPr>
          <w:b/>
          <w:bCs/>
          <w:color w:val="000000"/>
          <w:kern w:val="2"/>
          <w:u w:val="single"/>
          <w:vertAlign w:val="subscript"/>
          <w:lang w:bidi="ar"/>
        </w:rPr>
        <w:t>叠加</w:t>
      </w:r>
      <w:r>
        <w:rPr>
          <w:b/>
          <w:bCs/>
          <w:color w:val="000000"/>
          <w:kern w:val="2"/>
          <w:u w:val="single"/>
          <w:vertAlign w:val="subscript"/>
          <w:lang w:bidi="ar"/>
        </w:rPr>
        <w:t>(x,y,t)</w:t>
      </w:r>
      <w:r>
        <w:rPr>
          <w:b/>
          <w:bCs/>
          <w:color w:val="000000"/>
          <w:kern w:val="2"/>
          <w:u w:val="single"/>
          <w:lang w:bidi="ar"/>
        </w:rPr>
        <w:t>——</w:t>
      </w:r>
      <w:r>
        <w:rPr>
          <w:b/>
          <w:bCs/>
          <w:color w:val="000000"/>
          <w:kern w:val="2"/>
          <w:u w:val="single"/>
          <w:lang w:bidi="ar"/>
        </w:rPr>
        <w:t>在</w:t>
      </w:r>
      <w:r>
        <w:rPr>
          <w:b/>
          <w:bCs/>
          <w:color w:val="000000"/>
          <w:kern w:val="2"/>
          <w:u w:val="single"/>
          <w:lang w:bidi="ar"/>
        </w:rPr>
        <w:t>t</w:t>
      </w:r>
      <w:r>
        <w:rPr>
          <w:b/>
          <w:bCs/>
          <w:color w:val="000000"/>
          <w:kern w:val="2"/>
          <w:u w:val="single"/>
          <w:lang w:bidi="ar"/>
        </w:rPr>
        <w:t>时刻，预测点（</w:t>
      </w:r>
      <w:r>
        <w:rPr>
          <w:b/>
          <w:bCs/>
          <w:color w:val="000000"/>
          <w:kern w:val="2"/>
          <w:u w:val="single"/>
          <w:lang w:bidi="ar"/>
        </w:rPr>
        <w:t>x,y</w:t>
      </w:r>
      <w:r>
        <w:rPr>
          <w:b/>
          <w:bCs/>
          <w:color w:val="000000"/>
          <w:kern w:val="2"/>
          <w:u w:val="single"/>
          <w:lang w:bidi="ar"/>
        </w:rPr>
        <w:t>）叠加各污染源及现状浓度后的环境质量浓度，</w:t>
      </w:r>
      <w:r>
        <w:rPr>
          <w:b/>
          <w:bCs/>
          <w:color w:val="000000"/>
          <w:kern w:val="2"/>
          <w:u w:val="single"/>
          <w:lang w:bidi="ar"/>
        </w:rPr>
        <w:t>μg/m</w:t>
      </w:r>
      <w:r>
        <w:rPr>
          <w:b/>
          <w:bCs/>
          <w:color w:val="000000"/>
          <w:kern w:val="2"/>
          <w:u w:val="single"/>
          <w:vertAlign w:val="superscript"/>
          <w:lang w:bidi="ar"/>
        </w:rPr>
        <w:t>3</w:t>
      </w:r>
      <w:r>
        <w:rPr>
          <w:b/>
          <w:bCs/>
          <w:color w:val="000000"/>
          <w:kern w:val="2"/>
          <w:u w:val="single"/>
          <w:lang w:bidi="ar"/>
        </w:rPr>
        <w:t>；</w:t>
      </w:r>
    </w:p>
    <w:p w14:paraId="6EBCE04F" w14:textId="77777777" w:rsidR="003E78AB" w:rsidRDefault="00010BF9">
      <w:pPr>
        <w:ind w:firstLine="482"/>
        <w:rPr>
          <w:b/>
          <w:bCs/>
          <w:color w:val="000000"/>
          <w:kern w:val="2"/>
          <w:szCs w:val="21"/>
          <w:u w:val="single"/>
        </w:rPr>
      </w:pPr>
      <w:r>
        <w:rPr>
          <w:b/>
          <w:bCs/>
          <w:color w:val="000000"/>
          <w:kern w:val="2"/>
          <w:u w:val="single"/>
          <w:lang w:bidi="ar"/>
        </w:rPr>
        <w:t>ρ</w:t>
      </w:r>
      <w:r>
        <w:rPr>
          <w:b/>
          <w:bCs/>
          <w:color w:val="000000"/>
          <w:kern w:val="2"/>
          <w:u w:val="single"/>
          <w:vertAlign w:val="subscript"/>
          <w:lang w:bidi="ar"/>
        </w:rPr>
        <w:t>本项目</w:t>
      </w:r>
      <w:r>
        <w:rPr>
          <w:b/>
          <w:bCs/>
          <w:color w:val="000000"/>
          <w:kern w:val="2"/>
          <w:u w:val="single"/>
          <w:vertAlign w:val="subscript"/>
          <w:lang w:bidi="ar"/>
        </w:rPr>
        <w:t>(x,y,t)</w:t>
      </w:r>
      <w:r>
        <w:rPr>
          <w:b/>
          <w:bCs/>
          <w:color w:val="000000"/>
          <w:kern w:val="2"/>
          <w:u w:val="single"/>
          <w:lang w:bidi="ar"/>
        </w:rPr>
        <w:t>——</w:t>
      </w:r>
      <w:r>
        <w:rPr>
          <w:b/>
          <w:bCs/>
          <w:color w:val="000000"/>
          <w:kern w:val="2"/>
          <w:u w:val="single"/>
          <w:lang w:bidi="ar"/>
        </w:rPr>
        <w:t>在</w:t>
      </w:r>
      <w:r>
        <w:rPr>
          <w:b/>
          <w:bCs/>
          <w:color w:val="000000"/>
          <w:kern w:val="2"/>
          <w:u w:val="single"/>
          <w:lang w:bidi="ar"/>
        </w:rPr>
        <w:t>t</w:t>
      </w:r>
      <w:r>
        <w:rPr>
          <w:b/>
          <w:bCs/>
          <w:color w:val="000000"/>
          <w:kern w:val="2"/>
          <w:u w:val="single"/>
          <w:lang w:bidi="ar"/>
        </w:rPr>
        <w:t>时刻，本项目对预测点（</w:t>
      </w:r>
      <w:r>
        <w:rPr>
          <w:b/>
          <w:bCs/>
          <w:color w:val="000000"/>
          <w:kern w:val="2"/>
          <w:u w:val="single"/>
          <w:lang w:bidi="ar"/>
        </w:rPr>
        <w:t>x,y</w:t>
      </w:r>
      <w:r>
        <w:rPr>
          <w:b/>
          <w:bCs/>
          <w:color w:val="000000"/>
          <w:kern w:val="2"/>
          <w:u w:val="single"/>
          <w:lang w:bidi="ar"/>
        </w:rPr>
        <w:t>）的贡献浓度，</w:t>
      </w:r>
      <w:r>
        <w:rPr>
          <w:b/>
          <w:bCs/>
          <w:color w:val="000000"/>
          <w:kern w:val="2"/>
          <w:u w:val="single"/>
          <w:lang w:bidi="ar"/>
        </w:rPr>
        <w:t>μg/m</w:t>
      </w:r>
      <w:r>
        <w:rPr>
          <w:b/>
          <w:bCs/>
          <w:color w:val="000000"/>
          <w:kern w:val="2"/>
          <w:u w:val="single"/>
          <w:vertAlign w:val="superscript"/>
          <w:lang w:bidi="ar"/>
        </w:rPr>
        <w:t>3</w:t>
      </w:r>
      <w:r>
        <w:rPr>
          <w:b/>
          <w:bCs/>
          <w:color w:val="000000"/>
          <w:kern w:val="2"/>
          <w:u w:val="single"/>
          <w:lang w:bidi="ar"/>
        </w:rPr>
        <w:t>；</w:t>
      </w:r>
    </w:p>
    <w:p w14:paraId="5EF626B7" w14:textId="77777777" w:rsidR="003E78AB" w:rsidRDefault="00010BF9">
      <w:pPr>
        <w:ind w:firstLine="482"/>
        <w:rPr>
          <w:b/>
          <w:bCs/>
          <w:color w:val="000000"/>
          <w:kern w:val="2"/>
          <w:szCs w:val="21"/>
          <w:u w:val="single"/>
        </w:rPr>
      </w:pPr>
      <w:r>
        <w:rPr>
          <w:b/>
          <w:bCs/>
          <w:color w:val="000000"/>
          <w:kern w:val="2"/>
          <w:u w:val="single"/>
          <w:lang w:bidi="ar"/>
        </w:rPr>
        <w:t>ρ</w:t>
      </w:r>
      <w:r>
        <w:rPr>
          <w:b/>
          <w:bCs/>
          <w:color w:val="000000"/>
          <w:kern w:val="2"/>
          <w:u w:val="single"/>
          <w:vertAlign w:val="subscript"/>
          <w:lang w:bidi="ar"/>
        </w:rPr>
        <w:t>区域削减</w:t>
      </w:r>
      <w:r>
        <w:rPr>
          <w:b/>
          <w:bCs/>
          <w:color w:val="000000"/>
          <w:kern w:val="2"/>
          <w:u w:val="single"/>
          <w:vertAlign w:val="subscript"/>
          <w:lang w:bidi="ar"/>
        </w:rPr>
        <w:t>(x,y,t)</w:t>
      </w:r>
      <w:r>
        <w:rPr>
          <w:b/>
          <w:bCs/>
          <w:color w:val="000000"/>
          <w:kern w:val="2"/>
          <w:u w:val="single"/>
          <w:lang w:bidi="ar"/>
        </w:rPr>
        <w:t>——</w:t>
      </w:r>
      <w:r>
        <w:rPr>
          <w:b/>
          <w:bCs/>
          <w:color w:val="000000"/>
          <w:kern w:val="2"/>
          <w:u w:val="single"/>
          <w:lang w:bidi="ar"/>
        </w:rPr>
        <w:t>在</w:t>
      </w:r>
      <w:r>
        <w:rPr>
          <w:b/>
          <w:bCs/>
          <w:color w:val="000000"/>
          <w:kern w:val="2"/>
          <w:u w:val="single"/>
          <w:lang w:bidi="ar"/>
        </w:rPr>
        <w:t>t</w:t>
      </w:r>
      <w:r>
        <w:rPr>
          <w:b/>
          <w:bCs/>
          <w:color w:val="000000"/>
          <w:kern w:val="2"/>
          <w:u w:val="single"/>
          <w:lang w:bidi="ar"/>
        </w:rPr>
        <w:t>时刻，区域削减源对预测点（</w:t>
      </w:r>
      <w:r>
        <w:rPr>
          <w:b/>
          <w:bCs/>
          <w:color w:val="000000"/>
          <w:kern w:val="2"/>
          <w:u w:val="single"/>
          <w:lang w:bidi="ar"/>
        </w:rPr>
        <w:t>x,y</w:t>
      </w:r>
      <w:r>
        <w:rPr>
          <w:b/>
          <w:bCs/>
          <w:color w:val="000000"/>
          <w:kern w:val="2"/>
          <w:u w:val="single"/>
          <w:lang w:bidi="ar"/>
        </w:rPr>
        <w:t>）的贡献浓度，</w:t>
      </w:r>
      <w:r>
        <w:rPr>
          <w:b/>
          <w:bCs/>
          <w:color w:val="000000"/>
          <w:kern w:val="2"/>
          <w:u w:val="single"/>
          <w:lang w:bidi="ar"/>
        </w:rPr>
        <w:t>μg/m</w:t>
      </w:r>
      <w:r>
        <w:rPr>
          <w:b/>
          <w:bCs/>
          <w:color w:val="000000"/>
          <w:kern w:val="2"/>
          <w:u w:val="single"/>
          <w:vertAlign w:val="superscript"/>
          <w:lang w:bidi="ar"/>
        </w:rPr>
        <w:t>3</w:t>
      </w:r>
      <w:r>
        <w:rPr>
          <w:b/>
          <w:bCs/>
          <w:color w:val="000000"/>
          <w:kern w:val="2"/>
          <w:u w:val="single"/>
          <w:lang w:bidi="ar"/>
        </w:rPr>
        <w:t>；</w:t>
      </w:r>
    </w:p>
    <w:p w14:paraId="2438299A" w14:textId="77777777" w:rsidR="003E78AB" w:rsidRDefault="00010BF9">
      <w:pPr>
        <w:ind w:firstLine="482"/>
        <w:rPr>
          <w:b/>
          <w:bCs/>
          <w:color w:val="000000"/>
          <w:kern w:val="2"/>
          <w:szCs w:val="21"/>
          <w:u w:val="single"/>
        </w:rPr>
      </w:pPr>
      <w:r>
        <w:rPr>
          <w:b/>
          <w:bCs/>
          <w:color w:val="000000"/>
          <w:kern w:val="2"/>
          <w:u w:val="single"/>
          <w:lang w:bidi="ar"/>
        </w:rPr>
        <w:t>ρ</w:t>
      </w:r>
      <w:r>
        <w:rPr>
          <w:b/>
          <w:bCs/>
          <w:color w:val="000000"/>
          <w:kern w:val="2"/>
          <w:u w:val="single"/>
          <w:vertAlign w:val="subscript"/>
          <w:lang w:bidi="ar"/>
        </w:rPr>
        <w:t>现状</w:t>
      </w:r>
      <w:r>
        <w:rPr>
          <w:b/>
          <w:bCs/>
          <w:color w:val="000000"/>
          <w:kern w:val="2"/>
          <w:u w:val="single"/>
          <w:vertAlign w:val="subscript"/>
          <w:lang w:bidi="ar"/>
        </w:rPr>
        <w:t>(x,y,t)</w:t>
      </w:r>
      <w:r>
        <w:rPr>
          <w:b/>
          <w:bCs/>
          <w:color w:val="000000"/>
          <w:kern w:val="2"/>
          <w:u w:val="single"/>
          <w:lang w:bidi="ar"/>
        </w:rPr>
        <w:t>——</w:t>
      </w:r>
      <w:r>
        <w:rPr>
          <w:b/>
          <w:bCs/>
          <w:color w:val="000000"/>
          <w:kern w:val="2"/>
          <w:u w:val="single"/>
          <w:lang w:bidi="ar"/>
        </w:rPr>
        <w:t>在</w:t>
      </w:r>
      <w:r>
        <w:rPr>
          <w:b/>
          <w:bCs/>
          <w:color w:val="000000"/>
          <w:kern w:val="2"/>
          <w:u w:val="single"/>
          <w:lang w:bidi="ar"/>
        </w:rPr>
        <w:t>t</w:t>
      </w:r>
      <w:r>
        <w:rPr>
          <w:b/>
          <w:bCs/>
          <w:color w:val="000000"/>
          <w:kern w:val="2"/>
          <w:u w:val="single"/>
          <w:lang w:bidi="ar"/>
        </w:rPr>
        <w:t>时刻，预测点（</w:t>
      </w:r>
      <w:r>
        <w:rPr>
          <w:b/>
          <w:bCs/>
          <w:color w:val="000000"/>
          <w:kern w:val="2"/>
          <w:u w:val="single"/>
          <w:lang w:bidi="ar"/>
        </w:rPr>
        <w:t>x,y</w:t>
      </w:r>
      <w:r>
        <w:rPr>
          <w:b/>
          <w:bCs/>
          <w:color w:val="000000"/>
          <w:kern w:val="2"/>
          <w:u w:val="single"/>
          <w:lang w:bidi="ar"/>
        </w:rPr>
        <w:t>）的环境质量现状浓度，</w:t>
      </w:r>
      <w:r>
        <w:rPr>
          <w:b/>
          <w:bCs/>
          <w:color w:val="000000"/>
          <w:kern w:val="2"/>
          <w:u w:val="single"/>
          <w:lang w:bidi="ar"/>
        </w:rPr>
        <w:t>μg/m</w:t>
      </w:r>
      <w:r>
        <w:rPr>
          <w:b/>
          <w:bCs/>
          <w:color w:val="000000"/>
          <w:kern w:val="2"/>
          <w:u w:val="single"/>
          <w:vertAlign w:val="superscript"/>
          <w:lang w:bidi="ar"/>
        </w:rPr>
        <w:t>3</w:t>
      </w:r>
      <w:r>
        <w:rPr>
          <w:b/>
          <w:bCs/>
          <w:color w:val="000000"/>
          <w:kern w:val="2"/>
          <w:u w:val="single"/>
          <w:lang w:bidi="ar"/>
        </w:rPr>
        <w:t>；</w:t>
      </w:r>
    </w:p>
    <w:p w14:paraId="19A0BABC" w14:textId="77777777" w:rsidR="003E78AB" w:rsidRDefault="00010BF9">
      <w:pPr>
        <w:ind w:firstLine="482"/>
        <w:rPr>
          <w:b/>
          <w:bCs/>
          <w:color w:val="000000"/>
          <w:kern w:val="2"/>
          <w:u w:val="single"/>
          <w:lang w:bidi="ar"/>
        </w:rPr>
      </w:pPr>
      <w:r>
        <w:rPr>
          <w:b/>
          <w:bCs/>
          <w:color w:val="000000"/>
          <w:kern w:val="2"/>
          <w:u w:val="single"/>
          <w:lang w:bidi="ar"/>
        </w:rPr>
        <w:t>ρ</w:t>
      </w:r>
      <w:r>
        <w:rPr>
          <w:b/>
          <w:bCs/>
          <w:color w:val="000000"/>
          <w:kern w:val="2"/>
          <w:u w:val="single"/>
          <w:vertAlign w:val="subscript"/>
          <w:lang w:bidi="ar"/>
        </w:rPr>
        <w:t>拟在建</w:t>
      </w:r>
      <w:r>
        <w:rPr>
          <w:b/>
          <w:bCs/>
          <w:color w:val="000000"/>
          <w:kern w:val="2"/>
          <w:u w:val="single"/>
          <w:vertAlign w:val="subscript"/>
          <w:lang w:bidi="ar"/>
        </w:rPr>
        <w:t>(x,y,t)</w:t>
      </w:r>
      <w:r>
        <w:rPr>
          <w:b/>
          <w:bCs/>
          <w:color w:val="000000"/>
          <w:kern w:val="2"/>
          <w:u w:val="single"/>
          <w:lang w:bidi="ar"/>
        </w:rPr>
        <w:t>——</w:t>
      </w:r>
      <w:r>
        <w:rPr>
          <w:b/>
          <w:bCs/>
          <w:color w:val="000000"/>
          <w:kern w:val="2"/>
          <w:u w:val="single"/>
          <w:lang w:bidi="ar"/>
        </w:rPr>
        <w:t>在</w:t>
      </w:r>
      <w:r>
        <w:rPr>
          <w:b/>
          <w:bCs/>
          <w:color w:val="000000"/>
          <w:kern w:val="2"/>
          <w:u w:val="single"/>
          <w:lang w:bidi="ar"/>
        </w:rPr>
        <w:t>t</w:t>
      </w:r>
      <w:r>
        <w:rPr>
          <w:b/>
          <w:bCs/>
          <w:color w:val="000000"/>
          <w:kern w:val="2"/>
          <w:u w:val="single"/>
          <w:lang w:bidi="ar"/>
        </w:rPr>
        <w:t>时刻，其他在建、拟建项目污染源对预测点（</w:t>
      </w:r>
      <w:r>
        <w:rPr>
          <w:b/>
          <w:bCs/>
          <w:color w:val="000000"/>
          <w:kern w:val="2"/>
          <w:u w:val="single"/>
          <w:lang w:bidi="ar"/>
        </w:rPr>
        <w:t>x,y</w:t>
      </w:r>
      <w:r>
        <w:rPr>
          <w:b/>
          <w:bCs/>
          <w:color w:val="000000"/>
          <w:kern w:val="2"/>
          <w:u w:val="single"/>
          <w:lang w:bidi="ar"/>
        </w:rPr>
        <w:t>）的贡献浓度，</w:t>
      </w:r>
      <w:r>
        <w:rPr>
          <w:b/>
          <w:bCs/>
          <w:color w:val="000000"/>
          <w:kern w:val="2"/>
          <w:u w:val="single"/>
          <w:lang w:bidi="ar"/>
        </w:rPr>
        <w:t>μg/m</w:t>
      </w:r>
      <w:r>
        <w:rPr>
          <w:b/>
          <w:bCs/>
          <w:color w:val="000000"/>
          <w:kern w:val="2"/>
          <w:u w:val="single"/>
          <w:vertAlign w:val="superscript"/>
          <w:lang w:bidi="ar"/>
        </w:rPr>
        <w:t>3</w:t>
      </w:r>
      <w:r>
        <w:rPr>
          <w:b/>
          <w:bCs/>
          <w:color w:val="000000"/>
          <w:kern w:val="2"/>
          <w:u w:val="single"/>
          <w:lang w:bidi="ar"/>
        </w:rPr>
        <w:t>。</w:t>
      </w:r>
    </w:p>
    <w:p w14:paraId="46288434" w14:textId="77777777" w:rsidR="003E78AB" w:rsidRDefault="00010BF9">
      <w:pPr>
        <w:pStyle w:val="afff3"/>
        <w:snapToGrid/>
        <w:ind w:firstLine="482"/>
        <w:rPr>
          <w:rFonts w:ascii="Times New Roman" w:hAnsi="Times New Roman"/>
          <w:b/>
          <w:bCs/>
          <w:color w:val="000000"/>
          <w:sz w:val="24"/>
          <w:szCs w:val="24"/>
          <w:u w:val="single"/>
        </w:rPr>
      </w:pPr>
      <w:r>
        <w:rPr>
          <w:rFonts w:ascii="Times New Roman" w:hAnsi="Times New Roman"/>
          <w:b/>
          <w:bCs/>
          <w:color w:val="000000"/>
          <w:sz w:val="24"/>
          <w:szCs w:val="24"/>
          <w:u w:val="single"/>
        </w:rPr>
        <w:t>①</w:t>
      </w:r>
      <w:r>
        <w:rPr>
          <w:rFonts w:ascii="Times New Roman" w:hAnsi="Times New Roman"/>
          <w:b/>
          <w:bCs/>
          <w:color w:val="000000"/>
          <w:sz w:val="24"/>
          <w:szCs w:val="24"/>
          <w:u w:val="single"/>
        </w:rPr>
        <w:t>保证率日平均质量浓度及年平均质量浓度（</w:t>
      </w:r>
      <w:r>
        <w:rPr>
          <w:rFonts w:ascii="Times New Roman" w:hAnsi="Times New Roman"/>
          <w:b/>
          <w:bCs/>
          <w:color w:val="000000"/>
          <w:sz w:val="24"/>
          <w:szCs w:val="24"/>
          <w:u w:val="single"/>
        </w:rPr>
        <w:t>NO</w:t>
      </w:r>
      <w:r>
        <w:rPr>
          <w:rFonts w:ascii="Times New Roman" w:hAnsi="Times New Roman"/>
          <w:b/>
          <w:bCs/>
          <w:color w:val="000000"/>
          <w:sz w:val="24"/>
          <w:szCs w:val="24"/>
          <w:u w:val="single"/>
          <w:vertAlign w:val="subscript"/>
        </w:rPr>
        <w:t>2</w:t>
      </w:r>
      <w:r>
        <w:rPr>
          <w:rFonts w:ascii="Times New Roman" w:hAnsi="Times New Roman"/>
          <w:b/>
          <w:bCs/>
          <w:color w:val="000000"/>
          <w:sz w:val="24"/>
          <w:szCs w:val="24"/>
          <w:u w:val="single"/>
        </w:rPr>
        <w:t>、</w:t>
      </w:r>
      <w:r>
        <w:rPr>
          <w:rFonts w:ascii="Times New Roman" w:hAnsi="Times New Roman"/>
          <w:b/>
          <w:bCs/>
          <w:color w:val="000000"/>
          <w:sz w:val="24"/>
          <w:szCs w:val="24"/>
          <w:u w:val="single"/>
        </w:rPr>
        <w:t>SO</w:t>
      </w:r>
      <w:r>
        <w:rPr>
          <w:rFonts w:ascii="Times New Roman" w:hAnsi="Times New Roman"/>
          <w:b/>
          <w:bCs/>
          <w:color w:val="000000"/>
          <w:sz w:val="24"/>
          <w:szCs w:val="24"/>
          <w:u w:val="single"/>
          <w:vertAlign w:val="subscript"/>
        </w:rPr>
        <w:t>2</w:t>
      </w:r>
      <w:r>
        <w:rPr>
          <w:rFonts w:ascii="Times New Roman" w:hAnsi="Times New Roman"/>
          <w:b/>
          <w:bCs/>
          <w:color w:val="000000"/>
          <w:sz w:val="24"/>
          <w:szCs w:val="24"/>
          <w:u w:val="single"/>
        </w:rPr>
        <w:t>）</w:t>
      </w:r>
    </w:p>
    <w:p w14:paraId="1B64AACA" w14:textId="77777777" w:rsidR="003E78AB" w:rsidRDefault="00010BF9">
      <w:pPr>
        <w:ind w:firstLine="482"/>
        <w:rPr>
          <w:b/>
          <w:bCs/>
          <w:color w:val="000000"/>
          <w:szCs w:val="22"/>
          <w:u w:val="single"/>
        </w:rPr>
      </w:pPr>
      <w:r>
        <w:rPr>
          <w:b/>
          <w:bCs/>
          <w:color w:val="000000"/>
          <w:kern w:val="2"/>
          <w:u w:val="single"/>
          <w:lang w:bidi="ar"/>
        </w:rPr>
        <w:t>本项目正常排放条件下，预测评价环境空气保护目标和网格点主要污染物的保证率日平均质量浓度和年平均质量浓度达标情况，见下表。</w:t>
      </w:r>
    </w:p>
    <w:p w14:paraId="7FF8D06F" w14:textId="77777777" w:rsidR="003E78AB" w:rsidRDefault="00010BF9">
      <w:pPr>
        <w:pStyle w:val="a4"/>
        <w:spacing w:before="120"/>
        <w:rPr>
          <w:b/>
          <w:bCs/>
          <w:color w:val="000000"/>
          <w:u w:val="single"/>
        </w:rPr>
      </w:pPr>
      <w:r>
        <w:rPr>
          <w:b/>
          <w:bCs/>
          <w:color w:val="000000"/>
          <w:u w:val="single"/>
        </w:rPr>
        <w:t>叠加后</w:t>
      </w:r>
      <w:r>
        <w:rPr>
          <w:b/>
          <w:bCs/>
          <w:color w:val="000000"/>
          <w:u w:val="single"/>
        </w:rPr>
        <w:t>NO</w:t>
      </w:r>
      <w:r>
        <w:rPr>
          <w:b/>
          <w:bCs/>
          <w:color w:val="000000"/>
          <w:u w:val="single"/>
          <w:vertAlign w:val="subscript"/>
        </w:rPr>
        <w:t>2</w:t>
      </w:r>
      <w:r>
        <w:rPr>
          <w:b/>
          <w:bCs/>
          <w:color w:val="000000"/>
          <w:u w:val="single"/>
        </w:rPr>
        <w:t>98%</w:t>
      </w:r>
      <w:r>
        <w:rPr>
          <w:b/>
          <w:bCs/>
          <w:color w:val="000000"/>
          <w:u w:val="single"/>
        </w:rPr>
        <w:t>保证率日平均质量浓度</w:t>
      </w:r>
    </w:p>
    <w:tbl>
      <w:tblPr>
        <w:tblW w:w="497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
        <w:gridCol w:w="1349"/>
        <w:gridCol w:w="774"/>
        <w:gridCol w:w="915"/>
        <w:gridCol w:w="925"/>
        <w:gridCol w:w="1130"/>
        <w:gridCol w:w="1008"/>
        <w:gridCol w:w="1182"/>
        <w:gridCol w:w="665"/>
      </w:tblGrid>
      <w:tr w:rsidR="003E78AB" w14:paraId="3E917D8C" w14:textId="77777777">
        <w:trPr>
          <w:trHeight w:val="369"/>
          <w:tblHeader/>
        </w:trPr>
        <w:tc>
          <w:tcPr>
            <w:tcW w:w="204" w:type="pct"/>
            <w:tcBorders>
              <w:tl2br w:val="nil"/>
              <w:tr2bl w:val="nil"/>
            </w:tcBorders>
            <w:noWrap/>
            <w:tcMar>
              <w:top w:w="12" w:type="dxa"/>
              <w:left w:w="12" w:type="dxa"/>
              <w:right w:w="12" w:type="dxa"/>
            </w:tcMar>
            <w:vAlign w:val="center"/>
          </w:tcPr>
          <w:p w14:paraId="0761365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813" w:type="pct"/>
            <w:tcBorders>
              <w:tl2br w:val="nil"/>
              <w:tr2bl w:val="nil"/>
            </w:tcBorders>
            <w:noWrap/>
            <w:tcMar>
              <w:top w:w="12" w:type="dxa"/>
              <w:left w:w="12" w:type="dxa"/>
              <w:right w:w="12" w:type="dxa"/>
            </w:tcMar>
            <w:vAlign w:val="center"/>
          </w:tcPr>
          <w:p w14:paraId="376ED045"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467" w:type="pct"/>
            <w:tcBorders>
              <w:tl2br w:val="nil"/>
              <w:tr2bl w:val="nil"/>
            </w:tcBorders>
            <w:noWrap/>
            <w:tcMar>
              <w:top w:w="12" w:type="dxa"/>
              <w:left w:w="12" w:type="dxa"/>
              <w:right w:w="12" w:type="dxa"/>
            </w:tcMar>
            <w:vAlign w:val="center"/>
          </w:tcPr>
          <w:p w14:paraId="3138BC0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552" w:type="pct"/>
            <w:tcBorders>
              <w:tl2br w:val="nil"/>
              <w:tr2bl w:val="nil"/>
            </w:tcBorders>
            <w:noWrap/>
            <w:tcMar>
              <w:top w:w="12" w:type="dxa"/>
              <w:left w:w="12" w:type="dxa"/>
              <w:right w:w="12" w:type="dxa"/>
            </w:tcMar>
            <w:vAlign w:val="center"/>
          </w:tcPr>
          <w:p w14:paraId="68927E5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558" w:type="pct"/>
            <w:tcBorders>
              <w:tl2br w:val="nil"/>
              <w:tr2bl w:val="nil"/>
            </w:tcBorders>
            <w:noWrap/>
            <w:tcMar>
              <w:top w:w="12" w:type="dxa"/>
              <w:left w:w="12" w:type="dxa"/>
              <w:right w:w="12" w:type="dxa"/>
            </w:tcMar>
            <w:vAlign w:val="center"/>
          </w:tcPr>
          <w:p w14:paraId="57066823"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81" w:type="pct"/>
            <w:tcBorders>
              <w:tl2br w:val="nil"/>
              <w:tr2bl w:val="nil"/>
            </w:tcBorders>
            <w:noWrap/>
            <w:tcMar>
              <w:top w:w="12" w:type="dxa"/>
              <w:left w:w="12" w:type="dxa"/>
              <w:right w:w="12" w:type="dxa"/>
            </w:tcMar>
            <w:vAlign w:val="center"/>
          </w:tcPr>
          <w:p w14:paraId="2BD5E2F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4770751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2" w:type="pct"/>
            <w:tcBorders>
              <w:tl2br w:val="nil"/>
              <w:tr2bl w:val="nil"/>
            </w:tcBorders>
            <w:noWrap/>
            <w:tcMar>
              <w:top w:w="12" w:type="dxa"/>
              <w:left w:w="12" w:type="dxa"/>
              <w:right w:w="12" w:type="dxa"/>
            </w:tcMar>
            <w:vAlign w:val="center"/>
          </w:tcPr>
          <w:p w14:paraId="4049EED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1" w:type="pct"/>
            <w:tcBorders>
              <w:tl2br w:val="nil"/>
              <w:tr2bl w:val="nil"/>
            </w:tcBorders>
            <w:noWrap/>
            <w:tcMar>
              <w:top w:w="12" w:type="dxa"/>
              <w:left w:w="12" w:type="dxa"/>
              <w:right w:w="12" w:type="dxa"/>
            </w:tcMar>
            <w:vAlign w:val="center"/>
          </w:tcPr>
          <w:p w14:paraId="6F5D94D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7424B06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7DAEBFB2" w14:textId="77777777">
        <w:trPr>
          <w:trHeight w:val="369"/>
        </w:trPr>
        <w:tc>
          <w:tcPr>
            <w:tcW w:w="204" w:type="pct"/>
            <w:tcBorders>
              <w:tl2br w:val="nil"/>
              <w:tr2bl w:val="nil"/>
            </w:tcBorders>
            <w:noWrap/>
            <w:tcMar>
              <w:top w:w="12" w:type="dxa"/>
              <w:left w:w="12" w:type="dxa"/>
              <w:right w:w="12" w:type="dxa"/>
            </w:tcMar>
            <w:vAlign w:val="center"/>
          </w:tcPr>
          <w:p w14:paraId="6E8A3B0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813" w:type="pct"/>
            <w:tcBorders>
              <w:tl2br w:val="nil"/>
              <w:tr2bl w:val="nil"/>
            </w:tcBorders>
            <w:noWrap/>
            <w:tcMar>
              <w:top w:w="12" w:type="dxa"/>
              <w:left w:w="12" w:type="dxa"/>
              <w:right w:w="12" w:type="dxa"/>
            </w:tcMar>
            <w:vAlign w:val="center"/>
          </w:tcPr>
          <w:p w14:paraId="4806525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安居富民小区</w:t>
            </w:r>
          </w:p>
        </w:tc>
        <w:tc>
          <w:tcPr>
            <w:tcW w:w="467" w:type="pct"/>
            <w:tcBorders>
              <w:tl2br w:val="nil"/>
              <w:tr2bl w:val="nil"/>
            </w:tcBorders>
            <w:noWrap/>
            <w:tcMar>
              <w:top w:w="12" w:type="dxa"/>
              <w:left w:w="12" w:type="dxa"/>
              <w:right w:w="12" w:type="dxa"/>
            </w:tcMar>
            <w:vAlign w:val="center"/>
          </w:tcPr>
          <w:p w14:paraId="3592418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552" w:type="pct"/>
            <w:tcBorders>
              <w:tl2br w:val="nil"/>
              <w:tr2bl w:val="nil"/>
            </w:tcBorders>
            <w:noWrap/>
            <w:tcMar>
              <w:top w:w="12" w:type="dxa"/>
              <w:left w:w="12" w:type="dxa"/>
              <w:right w:w="12" w:type="dxa"/>
            </w:tcMar>
            <w:vAlign w:val="center"/>
          </w:tcPr>
          <w:p w14:paraId="46E7C08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1.200</w:t>
            </w:r>
          </w:p>
        </w:tc>
        <w:tc>
          <w:tcPr>
            <w:tcW w:w="558" w:type="pct"/>
            <w:tcBorders>
              <w:tl2br w:val="nil"/>
              <w:tr2bl w:val="nil"/>
            </w:tcBorders>
            <w:noWrap/>
            <w:tcMar>
              <w:top w:w="12" w:type="dxa"/>
              <w:left w:w="12" w:type="dxa"/>
              <w:right w:w="12" w:type="dxa"/>
            </w:tcMar>
            <w:vAlign w:val="center"/>
          </w:tcPr>
          <w:p w14:paraId="43D23D55"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59</w:t>
            </w:r>
          </w:p>
        </w:tc>
        <w:tc>
          <w:tcPr>
            <w:tcW w:w="681" w:type="pct"/>
            <w:tcBorders>
              <w:tl2br w:val="nil"/>
              <w:tr2bl w:val="nil"/>
            </w:tcBorders>
            <w:noWrap/>
            <w:tcMar>
              <w:top w:w="12" w:type="dxa"/>
              <w:left w:w="12" w:type="dxa"/>
              <w:right w:w="12" w:type="dxa"/>
            </w:tcMar>
            <w:vAlign w:val="center"/>
          </w:tcPr>
          <w:p w14:paraId="7387BF7E"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60</w:t>
            </w:r>
            <w:r>
              <w:rPr>
                <w:b/>
                <w:bCs/>
                <w:color w:val="000000"/>
                <w:szCs w:val="21"/>
                <w:u w:val="single"/>
              </w:rPr>
              <w:t>.200</w:t>
            </w:r>
          </w:p>
        </w:tc>
        <w:tc>
          <w:tcPr>
            <w:tcW w:w="608" w:type="pct"/>
            <w:tcBorders>
              <w:tl2br w:val="nil"/>
              <w:tr2bl w:val="nil"/>
            </w:tcBorders>
            <w:noWrap/>
            <w:tcMar>
              <w:top w:w="12" w:type="dxa"/>
              <w:left w:w="12" w:type="dxa"/>
              <w:right w:w="12" w:type="dxa"/>
            </w:tcMar>
            <w:vAlign w:val="center"/>
          </w:tcPr>
          <w:p w14:paraId="39CA27E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80</w:t>
            </w:r>
          </w:p>
        </w:tc>
        <w:tc>
          <w:tcPr>
            <w:tcW w:w="712" w:type="pct"/>
            <w:tcBorders>
              <w:tl2br w:val="nil"/>
              <w:tr2bl w:val="nil"/>
            </w:tcBorders>
            <w:noWrap/>
            <w:tcMar>
              <w:top w:w="12" w:type="dxa"/>
              <w:left w:w="12" w:type="dxa"/>
              <w:right w:w="12" w:type="dxa"/>
            </w:tcMar>
            <w:vAlign w:val="center"/>
          </w:tcPr>
          <w:p w14:paraId="1B69AEC0"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75.25 </w:t>
            </w:r>
          </w:p>
        </w:tc>
        <w:tc>
          <w:tcPr>
            <w:tcW w:w="401" w:type="pct"/>
            <w:tcBorders>
              <w:tl2br w:val="nil"/>
              <w:tr2bl w:val="nil"/>
            </w:tcBorders>
            <w:noWrap/>
            <w:tcMar>
              <w:top w:w="12" w:type="dxa"/>
              <w:left w:w="12" w:type="dxa"/>
              <w:right w:w="12" w:type="dxa"/>
            </w:tcMar>
            <w:vAlign w:val="center"/>
          </w:tcPr>
          <w:p w14:paraId="4061A97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3EBC6236" w14:textId="77777777">
        <w:trPr>
          <w:trHeight w:val="369"/>
        </w:trPr>
        <w:tc>
          <w:tcPr>
            <w:tcW w:w="204" w:type="pct"/>
            <w:tcBorders>
              <w:tl2br w:val="nil"/>
              <w:tr2bl w:val="nil"/>
            </w:tcBorders>
            <w:noWrap/>
            <w:tcMar>
              <w:top w:w="12" w:type="dxa"/>
              <w:left w:w="12" w:type="dxa"/>
              <w:right w:w="12" w:type="dxa"/>
            </w:tcMar>
            <w:vAlign w:val="center"/>
          </w:tcPr>
          <w:p w14:paraId="33FD19D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813" w:type="pct"/>
            <w:tcBorders>
              <w:tl2br w:val="nil"/>
              <w:tr2bl w:val="nil"/>
            </w:tcBorders>
            <w:noWrap/>
            <w:tcMar>
              <w:top w:w="12" w:type="dxa"/>
              <w:left w:w="12" w:type="dxa"/>
              <w:right w:w="12" w:type="dxa"/>
            </w:tcMar>
            <w:vAlign w:val="center"/>
          </w:tcPr>
          <w:p w14:paraId="0FD4D82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项目区上风向</w:t>
            </w:r>
          </w:p>
        </w:tc>
        <w:tc>
          <w:tcPr>
            <w:tcW w:w="467" w:type="pct"/>
            <w:tcBorders>
              <w:tl2br w:val="nil"/>
              <w:tr2bl w:val="nil"/>
            </w:tcBorders>
            <w:noWrap/>
            <w:tcMar>
              <w:top w:w="12" w:type="dxa"/>
              <w:left w:w="12" w:type="dxa"/>
              <w:right w:w="12" w:type="dxa"/>
            </w:tcMar>
            <w:vAlign w:val="center"/>
          </w:tcPr>
          <w:p w14:paraId="7373EBA2"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552" w:type="pct"/>
            <w:tcBorders>
              <w:tl2br w:val="nil"/>
              <w:tr2bl w:val="nil"/>
            </w:tcBorders>
            <w:noWrap/>
            <w:tcMar>
              <w:top w:w="12" w:type="dxa"/>
              <w:left w:w="12" w:type="dxa"/>
              <w:right w:w="12" w:type="dxa"/>
            </w:tcMar>
            <w:vAlign w:val="center"/>
          </w:tcPr>
          <w:p w14:paraId="4123A5E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1.330</w:t>
            </w:r>
          </w:p>
        </w:tc>
        <w:tc>
          <w:tcPr>
            <w:tcW w:w="558" w:type="pct"/>
            <w:tcBorders>
              <w:tl2br w:val="nil"/>
              <w:tr2bl w:val="nil"/>
            </w:tcBorders>
            <w:noWrap/>
            <w:tcMar>
              <w:top w:w="12" w:type="dxa"/>
              <w:left w:w="12" w:type="dxa"/>
              <w:right w:w="12" w:type="dxa"/>
            </w:tcMar>
            <w:vAlign w:val="center"/>
          </w:tcPr>
          <w:p w14:paraId="0FA0791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59</w:t>
            </w:r>
          </w:p>
        </w:tc>
        <w:tc>
          <w:tcPr>
            <w:tcW w:w="681" w:type="pct"/>
            <w:tcBorders>
              <w:tl2br w:val="nil"/>
              <w:tr2bl w:val="nil"/>
            </w:tcBorders>
            <w:noWrap/>
            <w:tcMar>
              <w:top w:w="12" w:type="dxa"/>
              <w:left w:w="12" w:type="dxa"/>
              <w:right w:w="12" w:type="dxa"/>
            </w:tcMar>
            <w:vAlign w:val="center"/>
          </w:tcPr>
          <w:p w14:paraId="1A524FF5"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60</w:t>
            </w:r>
            <w:r>
              <w:rPr>
                <w:b/>
                <w:bCs/>
                <w:color w:val="000000"/>
                <w:szCs w:val="21"/>
                <w:u w:val="single"/>
              </w:rPr>
              <w:t>.3</w:t>
            </w:r>
            <w:r>
              <w:rPr>
                <w:rFonts w:hint="eastAsia"/>
                <w:b/>
                <w:bCs/>
                <w:color w:val="000000"/>
                <w:szCs w:val="21"/>
                <w:u w:val="single"/>
              </w:rPr>
              <w:t>3</w:t>
            </w:r>
            <w:r>
              <w:rPr>
                <w:b/>
                <w:bCs/>
                <w:color w:val="000000"/>
                <w:szCs w:val="21"/>
                <w:u w:val="single"/>
              </w:rPr>
              <w:t>0</w:t>
            </w:r>
          </w:p>
        </w:tc>
        <w:tc>
          <w:tcPr>
            <w:tcW w:w="608" w:type="pct"/>
            <w:tcBorders>
              <w:tl2br w:val="nil"/>
              <w:tr2bl w:val="nil"/>
            </w:tcBorders>
            <w:noWrap/>
            <w:tcMar>
              <w:top w:w="12" w:type="dxa"/>
              <w:left w:w="12" w:type="dxa"/>
              <w:right w:w="12" w:type="dxa"/>
            </w:tcMar>
            <w:vAlign w:val="center"/>
          </w:tcPr>
          <w:p w14:paraId="62D2335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80</w:t>
            </w:r>
          </w:p>
        </w:tc>
        <w:tc>
          <w:tcPr>
            <w:tcW w:w="712" w:type="pct"/>
            <w:tcBorders>
              <w:tl2br w:val="nil"/>
              <w:tr2bl w:val="nil"/>
            </w:tcBorders>
            <w:noWrap/>
            <w:tcMar>
              <w:top w:w="12" w:type="dxa"/>
              <w:left w:w="12" w:type="dxa"/>
              <w:right w:w="12" w:type="dxa"/>
            </w:tcMar>
            <w:vAlign w:val="center"/>
          </w:tcPr>
          <w:p w14:paraId="3509239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75.41 </w:t>
            </w:r>
          </w:p>
        </w:tc>
        <w:tc>
          <w:tcPr>
            <w:tcW w:w="401" w:type="pct"/>
            <w:tcBorders>
              <w:tl2br w:val="nil"/>
              <w:tr2bl w:val="nil"/>
            </w:tcBorders>
            <w:noWrap/>
            <w:tcMar>
              <w:top w:w="12" w:type="dxa"/>
              <w:left w:w="12" w:type="dxa"/>
              <w:right w:w="12" w:type="dxa"/>
            </w:tcMar>
            <w:vAlign w:val="center"/>
          </w:tcPr>
          <w:p w14:paraId="3AA74986"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095697A8" w14:textId="77777777">
        <w:trPr>
          <w:trHeight w:val="369"/>
        </w:trPr>
        <w:tc>
          <w:tcPr>
            <w:tcW w:w="204" w:type="pct"/>
            <w:tcBorders>
              <w:tl2br w:val="nil"/>
              <w:tr2bl w:val="nil"/>
            </w:tcBorders>
            <w:noWrap/>
            <w:tcMar>
              <w:top w:w="12" w:type="dxa"/>
              <w:left w:w="12" w:type="dxa"/>
              <w:right w:w="12" w:type="dxa"/>
            </w:tcMar>
            <w:vAlign w:val="center"/>
          </w:tcPr>
          <w:p w14:paraId="5C1084D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813" w:type="pct"/>
            <w:tcBorders>
              <w:tl2br w:val="nil"/>
              <w:tr2bl w:val="nil"/>
            </w:tcBorders>
            <w:noWrap/>
            <w:tcMar>
              <w:top w:w="12" w:type="dxa"/>
              <w:left w:w="12" w:type="dxa"/>
              <w:right w:w="12" w:type="dxa"/>
            </w:tcMar>
            <w:vAlign w:val="center"/>
          </w:tcPr>
          <w:p w14:paraId="00C5E49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项目区下风向</w:t>
            </w:r>
          </w:p>
        </w:tc>
        <w:tc>
          <w:tcPr>
            <w:tcW w:w="467" w:type="pct"/>
            <w:tcBorders>
              <w:tl2br w:val="nil"/>
              <w:tr2bl w:val="nil"/>
            </w:tcBorders>
            <w:noWrap/>
            <w:tcMar>
              <w:top w:w="12" w:type="dxa"/>
              <w:left w:w="12" w:type="dxa"/>
              <w:right w:w="12" w:type="dxa"/>
            </w:tcMar>
            <w:vAlign w:val="center"/>
          </w:tcPr>
          <w:p w14:paraId="42DE065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552" w:type="pct"/>
            <w:tcBorders>
              <w:tl2br w:val="nil"/>
              <w:tr2bl w:val="nil"/>
            </w:tcBorders>
            <w:noWrap/>
            <w:tcMar>
              <w:top w:w="12" w:type="dxa"/>
              <w:left w:w="12" w:type="dxa"/>
              <w:right w:w="12" w:type="dxa"/>
            </w:tcMar>
            <w:vAlign w:val="center"/>
          </w:tcPr>
          <w:p w14:paraId="5AA6CB0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2.070</w:t>
            </w:r>
          </w:p>
        </w:tc>
        <w:tc>
          <w:tcPr>
            <w:tcW w:w="558" w:type="pct"/>
            <w:tcBorders>
              <w:tl2br w:val="nil"/>
              <w:tr2bl w:val="nil"/>
            </w:tcBorders>
            <w:noWrap/>
            <w:tcMar>
              <w:top w:w="12" w:type="dxa"/>
              <w:left w:w="12" w:type="dxa"/>
              <w:right w:w="12" w:type="dxa"/>
            </w:tcMar>
            <w:vAlign w:val="center"/>
          </w:tcPr>
          <w:p w14:paraId="4BC83F3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59</w:t>
            </w:r>
          </w:p>
        </w:tc>
        <w:tc>
          <w:tcPr>
            <w:tcW w:w="681" w:type="pct"/>
            <w:tcBorders>
              <w:tl2br w:val="nil"/>
              <w:tr2bl w:val="nil"/>
            </w:tcBorders>
            <w:noWrap/>
            <w:tcMar>
              <w:top w:w="12" w:type="dxa"/>
              <w:left w:w="12" w:type="dxa"/>
              <w:right w:w="12" w:type="dxa"/>
            </w:tcMar>
            <w:vAlign w:val="center"/>
          </w:tcPr>
          <w:p w14:paraId="5C2DC8C4"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61</w:t>
            </w:r>
            <w:r>
              <w:rPr>
                <w:b/>
                <w:bCs/>
                <w:color w:val="000000"/>
                <w:szCs w:val="21"/>
                <w:u w:val="single"/>
              </w:rPr>
              <w:t>.100</w:t>
            </w:r>
          </w:p>
        </w:tc>
        <w:tc>
          <w:tcPr>
            <w:tcW w:w="608" w:type="pct"/>
            <w:tcBorders>
              <w:tl2br w:val="nil"/>
              <w:tr2bl w:val="nil"/>
            </w:tcBorders>
            <w:noWrap/>
            <w:tcMar>
              <w:top w:w="12" w:type="dxa"/>
              <w:left w:w="12" w:type="dxa"/>
              <w:right w:w="12" w:type="dxa"/>
            </w:tcMar>
            <w:vAlign w:val="center"/>
          </w:tcPr>
          <w:p w14:paraId="637BF259"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80</w:t>
            </w:r>
          </w:p>
        </w:tc>
        <w:tc>
          <w:tcPr>
            <w:tcW w:w="712" w:type="pct"/>
            <w:tcBorders>
              <w:tl2br w:val="nil"/>
              <w:tr2bl w:val="nil"/>
            </w:tcBorders>
            <w:noWrap/>
            <w:tcMar>
              <w:top w:w="12" w:type="dxa"/>
              <w:left w:w="12" w:type="dxa"/>
              <w:right w:w="12" w:type="dxa"/>
            </w:tcMar>
            <w:vAlign w:val="center"/>
          </w:tcPr>
          <w:p w14:paraId="250D36CC"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76.38 </w:t>
            </w:r>
          </w:p>
        </w:tc>
        <w:tc>
          <w:tcPr>
            <w:tcW w:w="401" w:type="pct"/>
            <w:tcBorders>
              <w:tl2br w:val="nil"/>
              <w:tr2bl w:val="nil"/>
            </w:tcBorders>
            <w:noWrap/>
            <w:tcMar>
              <w:top w:w="12" w:type="dxa"/>
              <w:left w:w="12" w:type="dxa"/>
              <w:right w:w="12" w:type="dxa"/>
            </w:tcMar>
            <w:vAlign w:val="center"/>
          </w:tcPr>
          <w:p w14:paraId="06FBEA42"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40E0FF6B" w14:textId="77777777">
        <w:trPr>
          <w:trHeight w:val="369"/>
        </w:trPr>
        <w:tc>
          <w:tcPr>
            <w:tcW w:w="204" w:type="pct"/>
            <w:tcBorders>
              <w:tl2br w:val="nil"/>
              <w:tr2bl w:val="nil"/>
            </w:tcBorders>
            <w:noWrap/>
            <w:tcMar>
              <w:top w:w="12" w:type="dxa"/>
              <w:left w:w="12" w:type="dxa"/>
              <w:right w:w="12" w:type="dxa"/>
            </w:tcMar>
            <w:vAlign w:val="center"/>
          </w:tcPr>
          <w:p w14:paraId="5A04CBE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813" w:type="pct"/>
            <w:tcBorders>
              <w:tl2br w:val="nil"/>
              <w:tr2bl w:val="nil"/>
            </w:tcBorders>
            <w:noWrap/>
            <w:tcMar>
              <w:top w:w="12" w:type="dxa"/>
              <w:left w:w="12" w:type="dxa"/>
              <w:right w:w="12" w:type="dxa"/>
            </w:tcMar>
            <w:vAlign w:val="center"/>
          </w:tcPr>
          <w:p w14:paraId="050FBF9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网格点最大值（</w:t>
            </w:r>
            <w:r>
              <w:rPr>
                <w:rFonts w:hint="eastAsia"/>
                <w:b/>
                <w:bCs/>
                <w:color w:val="000000"/>
                <w:szCs w:val="21"/>
                <w:u w:val="single"/>
              </w:rPr>
              <w:t>1100</w:t>
            </w:r>
            <w:r>
              <w:rPr>
                <w:b/>
                <w:bCs/>
                <w:color w:val="000000"/>
                <w:szCs w:val="21"/>
                <w:u w:val="single"/>
              </w:rPr>
              <w:t>，</w:t>
            </w:r>
            <w:r>
              <w:rPr>
                <w:rFonts w:hint="eastAsia"/>
                <w:b/>
                <w:bCs/>
                <w:color w:val="000000"/>
                <w:szCs w:val="21"/>
                <w:u w:val="single"/>
              </w:rPr>
              <w:t>700</w:t>
            </w:r>
            <w:r>
              <w:rPr>
                <w:b/>
                <w:bCs/>
                <w:color w:val="000000"/>
                <w:szCs w:val="21"/>
                <w:u w:val="single"/>
              </w:rPr>
              <w:t>）</w:t>
            </w:r>
          </w:p>
        </w:tc>
        <w:tc>
          <w:tcPr>
            <w:tcW w:w="467" w:type="pct"/>
            <w:tcBorders>
              <w:tl2br w:val="nil"/>
              <w:tr2bl w:val="nil"/>
            </w:tcBorders>
            <w:noWrap/>
            <w:tcMar>
              <w:top w:w="12" w:type="dxa"/>
              <w:left w:w="12" w:type="dxa"/>
              <w:right w:w="12" w:type="dxa"/>
            </w:tcMar>
            <w:vAlign w:val="center"/>
          </w:tcPr>
          <w:p w14:paraId="4835560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552" w:type="pct"/>
            <w:tcBorders>
              <w:tl2br w:val="nil"/>
              <w:tr2bl w:val="nil"/>
            </w:tcBorders>
            <w:noWrap/>
            <w:tcMar>
              <w:top w:w="12" w:type="dxa"/>
              <w:left w:w="12" w:type="dxa"/>
              <w:right w:w="12" w:type="dxa"/>
            </w:tcMar>
            <w:vAlign w:val="center"/>
          </w:tcPr>
          <w:p w14:paraId="4131118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7.770</w:t>
            </w:r>
          </w:p>
        </w:tc>
        <w:tc>
          <w:tcPr>
            <w:tcW w:w="558" w:type="pct"/>
            <w:tcBorders>
              <w:tl2br w:val="nil"/>
              <w:tr2bl w:val="nil"/>
            </w:tcBorders>
            <w:noWrap/>
            <w:tcMar>
              <w:top w:w="12" w:type="dxa"/>
              <w:left w:w="12" w:type="dxa"/>
              <w:right w:w="12" w:type="dxa"/>
            </w:tcMar>
            <w:vAlign w:val="center"/>
          </w:tcPr>
          <w:p w14:paraId="127AEFA5"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59</w:t>
            </w:r>
          </w:p>
        </w:tc>
        <w:tc>
          <w:tcPr>
            <w:tcW w:w="681" w:type="pct"/>
            <w:tcBorders>
              <w:tl2br w:val="nil"/>
              <w:tr2bl w:val="nil"/>
            </w:tcBorders>
            <w:noWrap/>
            <w:tcMar>
              <w:top w:w="12" w:type="dxa"/>
              <w:left w:w="12" w:type="dxa"/>
              <w:right w:w="12" w:type="dxa"/>
            </w:tcMar>
            <w:vAlign w:val="center"/>
          </w:tcPr>
          <w:p w14:paraId="114840DF"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66</w:t>
            </w:r>
            <w:r>
              <w:rPr>
                <w:b/>
                <w:bCs/>
                <w:color w:val="000000"/>
                <w:szCs w:val="21"/>
                <w:u w:val="single"/>
              </w:rPr>
              <w:t>.</w:t>
            </w:r>
            <w:r>
              <w:rPr>
                <w:rFonts w:hint="eastAsia"/>
                <w:b/>
                <w:bCs/>
                <w:color w:val="000000"/>
                <w:szCs w:val="21"/>
                <w:u w:val="single"/>
              </w:rPr>
              <w:t>77</w:t>
            </w:r>
            <w:r>
              <w:rPr>
                <w:b/>
                <w:bCs/>
                <w:color w:val="000000"/>
                <w:szCs w:val="21"/>
                <w:u w:val="single"/>
              </w:rPr>
              <w:t>0</w:t>
            </w:r>
          </w:p>
        </w:tc>
        <w:tc>
          <w:tcPr>
            <w:tcW w:w="608" w:type="pct"/>
            <w:tcBorders>
              <w:tl2br w:val="nil"/>
              <w:tr2bl w:val="nil"/>
            </w:tcBorders>
            <w:noWrap/>
            <w:tcMar>
              <w:top w:w="12" w:type="dxa"/>
              <w:left w:w="12" w:type="dxa"/>
              <w:right w:w="12" w:type="dxa"/>
            </w:tcMar>
            <w:vAlign w:val="center"/>
          </w:tcPr>
          <w:p w14:paraId="1BED59C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80</w:t>
            </w:r>
          </w:p>
        </w:tc>
        <w:tc>
          <w:tcPr>
            <w:tcW w:w="712" w:type="pct"/>
            <w:tcBorders>
              <w:tl2br w:val="nil"/>
              <w:tr2bl w:val="nil"/>
            </w:tcBorders>
            <w:noWrap/>
            <w:tcMar>
              <w:top w:w="12" w:type="dxa"/>
              <w:left w:w="12" w:type="dxa"/>
              <w:right w:w="12" w:type="dxa"/>
            </w:tcMar>
            <w:vAlign w:val="center"/>
          </w:tcPr>
          <w:p w14:paraId="7B999B3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83.46 </w:t>
            </w:r>
          </w:p>
        </w:tc>
        <w:tc>
          <w:tcPr>
            <w:tcW w:w="401" w:type="pct"/>
            <w:tcBorders>
              <w:tl2br w:val="nil"/>
              <w:tr2bl w:val="nil"/>
            </w:tcBorders>
            <w:noWrap/>
            <w:tcMar>
              <w:top w:w="12" w:type="dxa"/>
              <w:left w:w="12" w:type="dxa"/>
              <w:right w:w="12" w:type="dxa"/>
            </w:tcMar>
            <w:vAlign w:val="center"/>
          </w:tcPr>
          <w:p w14:paraId="4EE4F6E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bl>
    <w:p w14:paraId="12B37D3F" w14:textId="77777777" w:rsidR="003E78AB" w:rsidRDefault="00010BF9">
      <w:pPr>
        <w:pStyle w:val="a4"/>
        <w:spacing w:before="120"/>
        <w:rPr>
          <w:b/>
          <w:bCs/>
          <w:color w:val="000000"/>
          <w:u w:val="single"/>
        </w:rPr>
      </w:pPr>
      <w:r>
        <w:rPr>
          <w:b/>
          <w:bCs/>
          <w:color w:val="000000"/>
          <w:u w:val="single"/>
        </w:rPr>
        <w:t>叠加后</w:t>
      </w:r>
      <w:r>
        <w:rPr>
          <w:b/>
          <w:bCs/>
          <w:color w:val="000000"/>
          <w:u w:val="single"/>
        </w:rPr>
        <w:t>NO</w:t>
      </w:r>
      <w:r>
        <w:rPr>
          <w:b/>
          <w:bCs/>
          <w:color w:val="000000"/>
          <w:u w:val="single"/>
          <w:vertAlign w:val="subscript"/>
        </w:rPr>
        <w:t>2</w:t>
      </w:r>
      <w:r>
        <w:rPr>
          <w:rFonts w:hint="eastAsia"/>
          <w:b/>
          <w:bCs/>
          <w:color w:val="000000"/>
          <w:u w:val="single"/>
        </w:rPr>
        <w:t>年</w:t>
      </w:r>
      <w:r>
        <w:rPr>
          <w:b/>
          <w:bCs/>
          <w:color w:val="000000"/>
          <w:u w:val="single"/>
        </w:rPr>
        <w:t>平均质量浓度</w:t>
      </w:r>
    </w:p>
    <w:tbl>
      <w:tblPr>
        <w:tblW w:w="497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
        <w:gridCol w:w="1324"/>
        <w:gridCol w:w="812"/>
        <w:gridCol w:w="902"/>
        <w:gridCol w:w="1047"/>
        <w:gridCol w:w="1008"/>
        <w:gridCol w:w="1008"/>
        <w:gridCol w:w="1182"/>
        <w:gridCol w:w="665"/>
      </w:tblGrid>
      <w:tr w:rsidR="003E78AB" w14:paraId="4CC003AD" w14:textId="77777777">
        <w:trPr>
          <w:trHeight w:val="369"/>
        </w:trPr>
        <w:tc>
          <w:tcPr>
            <w:tcW w:w="204" w:type="pct"/>
            <w:tcBorders>
              <w:tl2br w:val="nil"/>
              <w:tr2bl w:val="nil"/>
            </w:tcBorders>
            <w:noWrap/>
            <w:tcMar>
              <w:top w:w="12" w:type="dxa"/>
              <w:left w:w="12" w:type="dxa"/>
              <w:right w:w="12" w:type="dxa"/>
            </w:tcMar>
            <w:vAlign w:val="center"/>
          </w:tcPr>
          <w:p w14:paraId="0AD8976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798" w:type="pct"/>
            <w:tcBorders>
              <w:tl2br w:val="nil"/>
              <w:tr2bl w:val="nil"/>
            </w:tcBorders>
            <w:noWrap/>
            <w:tcMar>
              <w:top w:w="12" w:type="dxa"/>
              <w:left w:w="12" w:type="dxa"/>
              <w:right w:w="12" w:type="dxa"/>
            </w:tcMar>
            <w:vAlign w:val="center"/>
          </w:tcPr>
          <w:p w14:paraId="32352921"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490" w:type="pct"/>
            <w:tcBorders>
              <w:tl2br w:val="nil"/>
              <w:tr2bl w:val="nil"/>
            </w:tcBorders>
            <w:noWrap/>
            <w:tcMar>
              <w:top w:w="12" w:type="dxa"/>
              <w:left w:w="12" w:type="dxa"/>
              <w:right w:w="12" w:type="dxa"/>
            </w:tcMar>
            <w:vAlign w:val="center"/>
          </w:tcPr>
          <w:p w14:paraId="3C77A13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544" w:type="pct"/>
            <w:tcBorders>
              <w:tl2br w:val="nil"/>
              <w:tr2bl w:val="nil"/>
            </w:tcBorders>
            <w:noWrap/>
            <w:tcMar>
              <w:top w:w="12" w:type="dxa"/>
              <w:left w:w="12" w:type="dxa"/>
              <w:right w:w="12" w:type="dxa"/>
            </w:tcMar>
            <w:vAlign w:val="center"/>
          </w:tcPr>
          <w:p w14:paraId="5471A19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31" w:type="pct"/>
            <w:tcBorders>
              <w:tl2br w:val="nil"/>
              <w:tr2bl w:val="nil"/>
            </w:tcBorders>
            <w:noWrap/>
            <w:tcMar>
              <w:top w:w="12" w:type="dxa"/>
              <w:left w:w="12" w:type="dxa"/>
              <w:right w:w="12" w:type="dxa"/>
            </w:tcMar>
            <w:vAlign w:val="center"/>
          </w:tcPr>
          <w:p w14:paraId="2650DE1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0764259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2801FB0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2" w:type="pct"/>
            <w:tcBorders>
              <w:tl2br w:val="nil"/>
              <w:tr2bl w:val="nil"/>
            </w:tcBorders>
            <w:noWrap/>
            <w:tcMar>
              <w:top w:w="12" w:type="dxa"/>
              <w:left w:w="12" w:type="dxa"/>
              <w:right w:w="12" w:type="dxa"/>
            </w:tcMar>
            <w:vAlign w:val="center"/>
          </w:tcPr>
          <w:p w14:paraId="6F07FCB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1" w:type="pct"/>
            <w:tcBorders>
              <w:tl2br w:val="nil"/>
              <w:tr2bl w:val="nil"/>
            </w:tcBorders>
            <w:noWrap/>
            <w:tcMar>
              <w:top w:w="12" w:type="dxa"/>
              <w:left w:w="12" w:type="dxa"/>
              <w:right w:w="12" w:type="dxa"/>
            </w:tcMar>
            <w:vAlign w:val="center"/>
          </w:tcPr>
          <w:p w14:paraId="20776CD3"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20969AD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2E305B35" w14:textId="77777777">
        <w:trPr>
          <w:trHeight w:val="369"/>
        </w:trPr>
        <w:tc>
          <w:tcPr>
            <w:tcW w:w="204" w:type="pct"/>
            <w:tcBorders>
              <w:tl2br w:val="nil"/>
              <w:tr2bl w:val="nil"/>
            </w:tcBorders>
            <w:noWrap/>
            <w:tcMar>
              <w:top w:w="12" w:type="dxa"/>
              <w:left w:w="12" w:type="dxa"/>
              <w:right w:w="12" w:type="dxa"/>
            </w:tcMar>
            <w:vAlign w:val="center"/>
          </w:tcPr>
          <w:p w14:paraId="7D59D33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798" w:type="pct"/>
            <w:tcBorders>
              <w:tl2br w:val="nil"/>
              <w:tr2bl w:val="nil"/>
            </w:tcBorders>
            <w:noWrap/>
            <w:tcMar>
              <w:top w:w="12" w:type="dxa"/>
              <w:left w:w="12" w:type="dxa"/>
              <w:right w:w="12" w:type="dxa"/>
            </w:tcMar>
            <w:vAlign w:val="center"/>
          </w:tcPr>
          <w:p w14:paraId="7A080CB6"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安居富民小区</w:t>
            </w:r>
          </w:p>
        </w:tc>
        <w:tc>
          <w:tcPr>
            <w:tcW w:w="490" w:type="pct"/>
            <w:tcBorders>
              <w:tl2br w:val="nil"/>
              <w:tr2bl w:val="nil"/>
            </w:tcBorders>
            <w:noWrap/>
            <w:tcMar>
              <w:top w:w="12" w:type="dxa"/>
              <w:left w:w="12" w:type="dxa"/>
              <w:right w:w="12" w:type="dxa"/>
            </w:tcMar>
            <w:vAlign w:val="center"/>
          </w:tcPr>
          <w:p w14:paraId="21DCA385"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年</w:t>
            </w:r>
            <w:r>
              <w:rPr>
                <w:b/>
                <w:bCs/>
                <w:color w:val="000000"/>
                <w:szCs w:val="21"/>
                <w:u w:val="single"/>
              </w:rPr>
              <w:t>平均</w:t>
            </w:r>
          </w:p>
        </w:tc>
        <w:tc>
          <w:tcPr>
            <w:tcW w:w="544" w:type="pct"/>
            <w:tcBorders>
              <w:tl2br w:val="nil"/>
              <w:tr2bl w:val="nil"/>
            </w:tcBorders>
            <w:noWrap/>
            <w:tcMar>
              <w:top w:w="12" w:type="dxa"/>
              <w:left w:w="12" w:type="dxa"/>
              <w:right w:w="12" w:type="dxa"/>
            </w:tcMar>
            <w:vAlign w:val="center"/>
          </w:tcPr>
          <w:p w14:paraId="2879F37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0.195</w:t>
            </w:r>
          </w:p>
        </w:tc>
        <w:tc>
          <w:tcPr>
            <w:tcW w:w="631" w:type="pct"/>
            <w:tcBorders>
              <w:tl2br w:val="nil"/>
              <w:tr2bl w:val="nil"/>
            </w:tcBorders>
            <w:noWrap/>
            <w:tcMar>
              <w:top w:w="12" w:type="dxa"/>
              <w:left w:w="12" w:type="dxa"/>
              <w:right w:w="12" w:type="dxa"/>
            </w:tcMar>
            <w:vAlign w:val="center"/>
          </w:tcPr>
          <w:p w14:paraId="697E0760"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p>
        </w:tc>
        <w:tc>
          <w:tcPr>
            <w:tcW w:w="608" w:type="pct"/>
            <w:tcBorders>
              <w:tl2br w:val="nil"/>
              <w:tr2bl w:val="nil"/>
            </w:tcBorders>
            <w:noWrap/>
            <w:tcMar>
              <w:top w:w="12" w:type="dxa"/>
              <w:left w:w="12" w:type="dxa"/>
              <w:right w:w="12" w:type="dxa"/>
            </w:tcMar>
            <w:vAlign w:val="center"/>
          </w:tcPr>
          <w:p w14:paraId="22EDE457"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r>
              <w:rPr>
                <w:b/>
                <w:bCs/>
                <w:color w:val="000000"/>
                <w:szCs w:val="21"/>
                <w:u w:val="single"/>
              </w:rPr>
              <w:t>.</w:t>
            </w:r>
            <w:r>
              <w:rPr>
                <w:rFonts w:hint="eastAsia"/>
                <w:b/>
                <w:bCs/>
                <w:color w:val="000000"/>
                <w:szCs w:val="21"/>
                <w:u w:val="single"/>
              </w:rPr>
              <w:t>195</w:t>
            </w:r>
          </w:p>
        </w:tc>
        <w:tc>
          <w:tcPr>
            <w:tcW w:w="608" w:type="pct"/>
            <w:tcBorders>
              <w:tl2br w:val="nil"/>
              <w:tr2bl w:val="nil"/>
            </w:tcBorders>
            <w:noWrap/>
            <w:tcMar>
              <w:top w:w="12" w:type="dxa"/>
              <w:left w:w="12" w:type="dxa"/>
              <w:right w:w="12" w:type="dxa"/>
            </w:tcMar>
            <w:vAlign w:val="center"/>
          </w:tcPr>
          <w:p w14:paraId="1B5D97C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40</w:t>
            </w:r>
          </w:p>
        </w:tc>
        <w:tc>
          <w:tcPr>
            <w:tcW w:w="712" w:type="pct"/>
            <w:tcBorders>
              <w:tl2br w:val="nil"/>
              <w:tr2bl w:val="nil"/>
            </w:tcBorders>
            <w:noWrap/>
            <w:tcMar>
              <w:top w:w="12" w:type="dxa"/>
              <w:left w:w="12" w:type="dxa"/>
              <w:right w:w="12" w:type="dxa"/>
            </w:tcMar>
            <w:vAlign w:val="center"/>
          </w:tcPr>
          <w:p w14:paraId="709378C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62.99 </w:t>
            </w:r>
          </w:p>
        </w:tc>
        <w:tc>
          <w:tcPr>
            <w:tcW w:w="401" w:type="pct"/>
            <w:tcBorders>
              <w:tl2br w:val="nil"/>
              <w:tr2bl w:val="nil"/>
            </w:tcBorders>
            <w:noWrap/>
            <w:tcMar>
              <w:top w:w="12" w:type="dxa"/>
              <w:left w:w="12" w:type="dxa"/>
              <w:right w:w="12" w:type="dxa"/>
            </w:tcMar>
            <w:vAlign w:val="center"/>
          </w:tcPr>
          <w:p w14:paraId="648DC7A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0CAFFC16" w14:textId="77777777">
        <w:trPr>
          <w:trHeight w:val="369"/>
        </w:trPr>
        <w:tc>
          <w:tcPr>
            <w:tcW w:w="204" w:type="pct"/>
            <w:tcBorders>
              <w:tl2br w:val="nil"/>
              <w:tr2bl w:val="nil"/>
            </w:tcBorders>
            <w:noWrap/>
            <w:tcMar>
              <w:top w:w="12" w:type="dxa"/>
              <w:left w:w="12" w:type="dxa"/>
              <w:right w:w="12" w:type="dxa"/>
            </w:tcMar>
            <w:vAlign w:val="center"/>
          </w:tcPr>
          <w:p w14:paraId="1027D36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798" w:type="pct"/>
            <w:tcBorders>
              <w:tl2br w:val="nil"/>
              <w:tr2bl w:val="nil"/>
            </w:tcBorders>
            <w:noWrap/>
            <w:tcMar>
              <w:top w:w="12" w:type="dxa"/>
              <w:left w:w="12" w:type="dxa"/>
              <w:right w:w="12" w:type="dxa"/>
            </w:tcMar>
            <w:vAlign w:val="center"/>
          </w:tcPr>
          <w:p w14:paraId="62E6C7E6"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项目区上风向</w:t>
            </w:r>
          </w:p>
        </w:tc>
        <w:tc>
          <w:tcPr>
            <w:tcW w:w="490" w:type="pct"/>
            <w:tcBorders>
              <w:tl2br w:val="nil"/>
              <w:tr2bl w:val="nil"/>
            </w:tcBorders>
            <w:noWrap/>
            <w:tcMar>
              <w:top w:w="12" w:type="dxa"/>
              <w:left w:w="12" w:type="dxa"/>
              <w:right w:w="12" w:type="dxa"/>
            </w:tcMar>
            <w:vAlign w:val="center"/>
          </w:tcPr>
          <w:p w14:paraId="4A8FB173"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年</w:t>
            </w:r>
            <w:r>
              <w:rPr>
                <w:b/>
                <w:bCs/>
                <w:color w:val="000000"/>
                <w:szCs w:val="21"/>
                <w:u w:val="single"/>
              </w:rPr>
              <w:t>平均</w:t>
            </w:r>
          </w:p>
        </w:tc>
        <w:tc>
          <w:tcPr>
            <w:tcW w:w="544" w:type="pct"/>
            <w:tcBorders>
              <w:tl2br w:val="nil"/>
              <w:tr2bl w:val="nil"/>
            </w:tcBorders>
            <w:noWrap/>
            <w:tcMar>
              <w:top w:w="12" w:type="dxa"/>
              <w:left w:w="12" w:type="dxa"/>
              <w:right w:w="12" w:type="dxa"/>
            </w:tcMar>
            <w:vAlign w:val="center"/>
          </w:tcPr>
          <w:p w14:paraId="05975C0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0.142</w:t>
            </w:r>
          </w:p>
        </w:tc>
        <w:tc>
          <w:tcPr>
            <w:tcW w:w="631" w:type="pct"/>
            <w:tcBorders>
              <w:tl2br w:val="nil"/>
              <w:tr2bl w:val="nil"/>
            </w:tcBorders>
            <w:noWrap/>
            <w:tcMar>
              <w:top w:w="12" w:type="dxa"/>
              <w:left w:w="12" w:type="dxa"/>
              <w:right w:w="12" w:type="dxa"/>
            </w:tcMar>
            <w:vAlign w:val="center"/>
          </w:tcPr>
          <w:p w14:paraId="1AB22474"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p>
        </w:tc>
        <w:tc>
          <w:tcPr>
            <w:tcW w:w="608" w:type="pct"/>
            <w:tcBorders>
              <w:tl2br w:val="nil"/>
              <w:tr2bl w:val="nil"/>
            </w:tcBorders>
            <w:noWrap/>
            <w:tcMar>
              <w:top w:w="12" w:type="dxa"/>
              <w:left w:w="12" w:type="dxa"/>
              <w:right w:w="12" w:type="dxa"/>
            </w:tcMar>
            <w:vAlign w:val="center"/>
          </w:tcPr>
          <w:p w14:paraId="3F2D3A8D"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r>
              <w:rPr>
                <w:b/>
                <w:bCs/>
                <w:color w:val="000000"/>
                <w:szCs w:val="21"/>
                <w:u w:val="single"/>
              </w:rPr>
              <w:t>.1</w:t>
            </w:r>
            <w:r>
              <w:rPr>
                <w:rFonts w:hint="eastAsia"/>
                <w:b/>
                <w:bCs/>
                <w:color w:val="000000"/>
                <w:szCs w:val="21"/>
                <w:u w:val="single"/>
              </w:rPr>
              <w:t>42</w:t>
            </w:r>
          </w:p>
        </w:tc>
        <w:tc>
          <w:tcPr>
            <w:tcW w:w="608" w:type="pct"/>
            <w:tcBorders>
              <w:tl2br w:val="nil"/>
              <w:tr2bl w:val="nil"/>
            </w:tcBorders>
            <w:noWrap/>
            <w:tcMar>
              <w:top w:w="12" w:type="dxa"/>
              <w:left w:w="12" w:type="dxa"/>
              <w:right w:w="12" w:type="dxa"/>
            </w:tcMar>
            <w:vAlign w:val="center"/>
          </w:tcPr>
          <w:p w14:paraId="452C06D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40</w:t>
            </w:r>
          </w:p>
        </w:tc>
        <w:tc>
          <w:tcPr>
            <w:tcW w:w="712" w:type="pct"/>
            <w:tcBorders>
              <w:tl2br w:val="nil"/>
              <w:tr2bl w:val="nil"/>
            </w:tcBorders>
            <w:noWrap/>
            <w:tcMar>
              <w:top w:w="12" w:type="dxa"/>
              <w:left w:w="12" w:type="dxa"/>
              <w:right w:w="12" w:type="dxa"/>
            </w:tcMar>
            <w:vAlign w:val="center"/>
          </w:tcPr>
          <w:p w14:paraId="450F5B3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62.86 </w:t>
            </w:r>
          </w:p>
        </w:tc>
        <w:tc>
          <w:tcPr>
            <w:tcW w:w="401" w:type="pct"/>
            <w:tcBorders>
              <w:tl2br w:val="nil"/>
              <w:tr2bl w:val="nil"/>
            </w:tcBorders>
            <w:noWrap/>
            <w:tcMar>
              <w:top w:w="12" w:type="dxa"/>
              <w:left w:w="12" w:type="dxa"/>
              <w:right w:w="12" w:type="dxa"/>
            </w:tcMar>
            <w:vAlign w:val="center"/>
          </w:tcPr>
          <w:p w14:paraId="792B4982"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46C59B13" w14:textId="77777777">
        <w:trPr>
          <w:trHeight w:val="369"/>
        </w:trPr>
        <w:tc>
          <w:tcPr>
            <w:tcW w:w="204" w:type="pct"/>
            <w:tcBorders>
              <w:tl2br w:val="nil"/>
              <w:tr2bl w:val="nil"/>
            </w:tcBorders>
            <w:noWrap/>
            <w:tcMar>
              <w:top w:w="12" w:type="dxa"/>
              <w:left w:w="12" w:type="dxa"/>
              <w:right w:w="12" w:type="dxa"/>
            </w:tcMar>
            <w:vAlign w:val="center"/>
          </w:tcPr>
          <w:p w14:paraId="5666953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798" w:type="pct"/>
            <w:tcBorders>
              <w:tl2br w:val="nil"/>
              <w:tr2bl w:val="nil"/>
            </w:tcBorders>
            <w:noWrap/>
            <w:tcMar>
              <w:top w:w="12" w:type="dxa"/>
              <w:left w:w="12" w:type="dxa"/>
              <w:right w:w="12" w:type="dxa"/>
            </w:tcMar>
            <w:vAlign w:val="center"/>
          </w:tcPr>
          <w:p w14:paraId="3876FB7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项目区下风向</w:t>
            </w:r>
          </w:p>
        </w:tc>
        <w:tc>
          <w:tcPr>
            <w:tcW w:w="490" w:type="pct"/>
            <w:tcBorders>
              <w:tl2br w:val="nil"/>
              <w:tr2bl w:val="nil"/>
            </w:tcBorders>
            <w:noWrap/>
            <w:tcMar>
              <w:top w:w="12" w:type="dxa"/>
              <w:left w:w="12" w:type="dxa"/>
              <w:right w:w="12" w:type="dxa"/>
            </w:tcMar>
            <w:vAlign w:val="center"/>
          </w:tcPr>
          <w:p w14:paraId="47996BE1"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年</w:t>
            </w:r>
            <w:r>
              <w:rPr>
                <w:b/>
                <w:bCs/>
                <w:color w:val="000000"/>
                <w:szCs w:val="21"/>
                <w:u w:val="single"/>
              </w:rPr>
              <w:t>平均</w:t>
            </w:r>
          </w:p>
        </w:tc>
        <w:tc>
          <w:tcPr>
            <w:tcW w:w="544" w:type="pct"/>
            <w:tcBorders>
              <w:tl2br w:val="nil"/>
              <w:tr2bl w:val="nil"/>
            </w:tcBorders>
            <w:noWrap/>
            <w:tcMar>
              <w:top w:w="12" w:type="dxa"/>
              <w:left w:w="12" w:type="dxa"/>
              <w:right w:w="12" w:type="dxa"/>
            </w:tcMar>
            <w:vAlign w:val="center"/>
          </w:tcPr>
          <w:p w14:paraId="63CC6F4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0.183</w:t>
            </w:r>
          </w:p>
        </w:tc>
        <w:tc>
          <w:tcPr>
            <w:tcW w:w="631" w:type="pct"/>
            <w:tcBorders>
              <w:tl2br w:val="nil"/>
              <w:tr2bl w:val="nil"/>
            </w:tcBorders>
            <w:noWrap/>
            <w:tcMar>
              <w:top w:w="12" w:type="dxa"/>
              <w:left w:w="12" w:type="dxa"/>
              <w:right w:w="12" w:type="dxa"/>
            </w:tcMar>
            <w:vAlign w:val="center"/>
          </w:tcPr>
          <w:p w14:paraId="34D6D1A3"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p>
        </w:tc>
        <w:tc>
          <w:tcPr>
            <w:tcW w:w="608" w:type="pct"/>
            <w:tcBorders>
              <w:tl2br w:val="nil"/>
              <w:tr2bl w:val="nil"/>
            </w:tcBorders>
            <w:noWrap/>
            <w:tcMar>
              <w:top w:w="12" w:type="dxa"/>
              <w:left w:w="12" w:type="dxa"/>
              <w:right w:w="12" w:type="dxa"/>
            </w:tcMar>
            <w:vAlign w:val="center"/>
          </w:tcPr>
          <w:p w14:paraId="30352CF0"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r>
              <w:rPr>
                <w:b/>
                <w:bCs/>
                <w:color w:val="000000"/>
                <w:szCs w:val="21"/>
                <w:u w:val="single"/>
              </w:rPr>
              <w:t>.</w:t>
            </w:r>
            <w:r>
              <w:rPr>
                <w:rFonts w:hint="eastAsia"/>
                <w:b/>
                <w:bCs/>
                <w:color w:val="000000"/>
                <w:szCs w:val="21"/>
                <w:u w:val="single"/>
              </w:rPr>
              <w:t>183</w:t>
            </w:r>
          </w:p>
        </w:tc>
        <w:tc>
          <w:tcPr>
            <w:tcW w:w="608" w:type="pct"/>
            <w:tcBorders>
              <w:tl2br w:val="nil"/>
              <w:tr2bl w:val="nil"/>
            </w:tcBorders>
            <w:noWrap/>
            <w:tcMar>
              <w:top w:w="12" w:type="dxa"/>
              <w:left w:w="12" w:type="dxa"/>
              <w:right w:w="12" w:type="dxa"/>
            </w:tcMar>
            <w:vAlign w:val="center"/>
          </w:tcPr>
          <w:p w14:paraId="0309BB0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40</w:t>
            </w:r>
          </w:p>
        </w:tc>
        <w:tc>
          <w:tcPr>
            <w:tcW w:w="712" w:type="pct"/>
            <w:tcBorders>
              <w:tl2br w:val="nil"/>
              <w:tr2bl w:val="nil"/>
            </w:tcBorders>
            <w:noWrap/>
            <w:tcMar>
              <w:top w:w="12" w:type="dxa"/>
              <w:left w:w="12" w:type="dxa"/>
              <w:right w:w="12" w:type="dxa"/>
            </w:tcMar>
            <w:vAlign w:val="center"/>
          </w:tcPr>
          <w:p w14:paraId="27597641"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62.96 </w:t>
            </w:r>
          </w:p>
        </w:tc>
        <w:tc>
          <w:tcPr>
            <w:tcW w:w="401" w:type="pct"/>
            <w:tcBorders>
              <w:tl2br w:val="nil"/>
              <w:tr2bl w:val="nil"/>
            </w:tcBorders>
            <w:noWrap/>
            <w:tcMar>
              <w:top w:w="12" w:type="dxa"/>
              <w:left w:w="12" w:type="dxa"/>
              <w:right w:w="12" w:type="dxa"/>
            </w:tcMar>
            <w:vAlign w:val="center"/>
          </w:tcPr>
          <w:p w14:paraId="2E1A6C9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0FC8EA91" w14:textId="77777777">
        <w:trPr>
          <w:trHeight w:val="369"/>
        </w:trPr>
        <w:tc>
          <w:tcPr>
            <w:tcW w:w="204" w:type="pct"/>
            <w:tcBorders>
              <w:tl2br w:val="nil"/>
              <w:tr2bl w:val="nil"/>
            </w:tcBorders>
            <w:noWrap/>
            <w:tcMar>
              <w:top w:w="12" w:type="dxa"/>
              <w:left w:w="12" w:type="dxa"/>
              <w:right w:w="12" w:type="dxa"/>
            </w:tcMar>
            <w:vAlign w:val="center"/>
          </w:tcPr>
          <w:p w14:paraId="25DB122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798" w:type="pct"/>
            <w:tcBorders>
              <w:tl2br w:val="nil"/>
              <w:tr2bl w:val="nil"/>
            </w:tcBorders>
            <w:noWrap/>
            <w:tcMar>
              <w:top w:w="12" w:type="dxa"/>
              <w:left w:w="12" w:type="dxa"/>
              <w:right w:w="12" w:type="dxa"/>
            </w:tcMar>
            <w:vAlign w:val="center"/>
          </w:tcPr>
          <w:p w14:paraId="60542B5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网格点最大值（</w:t>
            </w:r>
            <w:r>
              <w:rPr>
                <w:rFonts w:hint="eastAsia"/>
                <w:b/>
                <w:bCs/>
                <w:color w:val="000000"/>
                <w:szCs w:val="21"/>
                <w:u w:val="single"/>
              </w:rPr>
              <w:t>2200</w:t>
            </w:r>
            <w:r>
              <w:rPr>
                <w:b/>
                <w:bCs/>
                <w:color w:val="000000"/>
                <w:szCs w:val="21"/>
                <w:u w:val="single"/>
              </w:rPr>
              <w:t>，</w:t>
            </w:r>
            <w:r>
              <w:rPr>
                <w:rFonts w:hint="eastAsia"/>
                <w:b/>
                <w:bCs/>
                <w:color w:val="000000"/>
                <w:szCs w:val="21"/>
                <w:u w:val="single"/>
              </w:rPr>
              <w:t>60</w:t>
            </w:r>
            <w:r>
              <w:rPr>
                <w:b/>
                <w:bCs/>
                <w:color w:val="000000"/>
                <w:szCs w:val="21"/>
                <w:u w:val="single"/>
              </w:rPr>
              <w:t>0</w:t>
            </w:r>
            <w:r>
              <w:rPr>
                <w:b/>
                <w:bCs/>
                <w:color w:val="000000"/>
                <w:szCs w:val="21"/>
                <w:u w:val="single"/>
              </w:rPr>
              <w:t>）</w:t>
            </w:r>
          </w:p>
        </w:tc>
        <w:tc>
          <w:tcPr>
            <w:tcW w:w="490" w:type="pct"/>
            <w:tcBorders>
              <w:tl2br w:val="nil"/>
              <w:tr2bl w:val="nil"/>
            </w:tcBorders>
            <w:noWrap/>
            <w:tcMar>
              <w:top w:w="12" w:type="dxa"/>
              <w:left w:w="12" w:type="dxa"/>
              <w:right w:w="12" w:type="dxa"/>
            </w:tcMar>
            <w:vAlign w:val="center"/>
          </w:tcPr>
          <w:p w14:paraId="1810C71D"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年</w:t>
            </w:r>
            <w:r>
              <w:rPr>
                <w:b/>
                <w:bCs/>
                <w:color w:val="000000"/>
                <w:szCs w:val="21"/>
                <w:u w:val="single"/>
              </w:rPr>
              <w:t>平均</w:t>
            </w:r>
          </w:p>
        </w:tc>
        <w:tc>
          <w:tcPr>
            <w:tcW w:w="544" w:type="pct"/>
            <w:tcBorders>
              <w:tl2br w:val="nil"/>
              <w:tr2bl w:val="nil"/>
            </w:tcBorders>
            <w:noWrap/>
            <w:tcMar>
              <w:top w:w="12" w:type="dxa"/>
              <w:left w:w="12" w:type="dxa"/>
              <w:right w:w="12" w:type="dxa"/>
            </w:tcMar>
            <w:vAlign w:val="center"/>
          </w:tcPr>
          <w:p w14:paraId="56B350B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0.900</w:t>
            </w:r>
          </w:p>
        </w:tc>
        <w:tc>
          <w:tcPr>
            <w:tcW w:w="631" w:type="pct"/>
            <w:tcBorders>
              <w:tl2br w:val="nil"/>
              <w:tr2bl w:val="nil"/>
            </w:tcBorders>
            <w:noWrap/>
            <w:tcMar>
              <w:top w:w="12" w:type="dxa"/>
              <w:left w:w="12" w:type="dxa"/>
              <w:right w:w="12" w:type="dxa"/>
            </w:tcMar>
            <w:vAlign w:val="center"/>
          </w:tcPr>
          <w:p w14:paraId="382C6AA0"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p>
        </w:tc>
        <w:tc>
          <w:tcPr>
            <w:tcW w:w="608" w:type="pct"/>
            <w:tcBorders>
              <w:tl2br w:val="nil"/>
              <w:tr2bl w:val="nil"/>
            </w:tcBorders>
            <w:noWrap/>
            <w:tcMar>
              <w:top w:w="12" w:type="dxa"/>
              <w:left w:w="12" w:type="dxa"/>
              <w:right w:w="12" w:type="dxa"/>
            </w:tcMar>
            <w:vAlign w:val="center"/>
          </w:tcPr>
          <w:p w14:paraId="1B03566B"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25</w:t>
            </w:r>
            <w:r>
              <w:rPr>
                <w:b/>
                <w:bCs/>
                <w:color w:val="000000"/>
                <w:szCs w:val="21"/>
                <w:u w:val="single"/>
              </w:rPr>
              <w:t>.900</w:t>
            </w:r>
          </w:p>
        </w:tc>
        <w:tc>
          <w:tcPr>
            <w:tcW w:w="608" w:type="pct"/>
            <w:tcBorders>
              <w:tl2br w:val="nil"/>
              <w:tr2bl w:val="nil"/>
            </w:tcBorders>
            <w:noWrap/>
            <w:tcMar>
              <w:top w:w="12" w:type="dxa"/>
              <w:left w:w="12" w:type="dxa"/>
              <w:right w:w="12" w:type="dxa"/>
            </w:tcMar>
            <w:vAlign w:val="center"/>
          </w:tcPr>
          <w:p w14:paraId="6A16F5A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40</w:t>
            </w:r>
          </w:p>
        </w:tc>
        <w:tc>
          <w:tcPr>
            <w:tcW w:w="712" w:type="pct"/>
            <w:tcBorders>
              <w:tl2br w:val="nil"/>
              <w:tr2bl w:val="nil"/>
            </w:tcBorders>
            <w:noWrap/>
            <w:tcMar>
              <w:top w:w="12" w:type="dxa"/>
              <w:left w:w="12" w:type="dxa"/>
              <w:right w:w="12" w:type="dxa"/>
            </w:tcMar>
            <w:vAlign w:val="center"/>
          </w:tcPr>
          <w:p w14:paraId="0DD9E22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64.75 </w:t>
            </w:r>
          </w:p>
        </w:tc>
        <w:tc>
          <w:tcPr>
            <w:tcW w:w="401" w:type="pct"/>
            <w:tcBorders>
              <w:tl2br w:val="nil"/>
              <w:tr2bl w:val="nil"/>
            </w:tcBorders>
            <w:noWrap/>
            <w:tcMar>
              <w:top w:w="12" w:type="dxa"/>
              <w:left w:w="12" w:type="dxa"/>
              <w:right w:w="12" w:type="dxa"/>
            </w:tcMar>
            <w:vAlign w:val="center"/>
          </w:tcPr>
          <w:p w14:paraId="7AC5C2A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bl>
    <w:p w14:paraId="29DB8030" w14:textId="77777777" w:rsidR="003E78AB" w:rsidRDefault="00010BF9">
      <w:pPr>
        <w:pStyle w:val="a4"/>
        <w:spacing w:before="120"/>
        <w:rPr>
          <w:b/>
          <w:bCs/>
          <w:color w:val="000000"/>
          <w:u w:val="single"/>
        </w:rPr>
      </w:pPr>
      <w:r>
        <w:rPr>
          <w:b/>
          <w:bCs/>
          <w:color w:val="000000"/>
          <w:u w:val="single"/>
        </w:rPr>
        <w:t>叠加后</w:t>
      </w:r>
      <w:r>
        <w:rPr>
          <w:rFonts w:hint="eastAsia"/>
          <w:b/>
          <w:bCs/>
          <w:color w:val="000000"/>
          <w:u w:val="single"/>
        </w:rPr>
        <w:t>S</w:t>
      </w:r>
      <w:r>
        <w:rPr>
          <w:b/>
          <w:bCs/>
          <w:color w:val="000000"/>
          <w:u w:val="single"/>
        </w:rPr>
        <w:t>O</w:t>
      </w:r>
      <w:r>
        <w:rPr>
          <w:b/>
          <w:bCs/>
          <w:color w:val="000000"/>
          <w:u w:val="single"/>
          <w:vertAlign w:val="subscript"/>
        </w:rPr>
        <w:t>2</w:t>
      </w:r>
      <w:r>
        <w:rPr>
          <w:b/>
          <w:bCs/>
          <w:color w:val="000000"/>
          <w:u w:val="single"/>
        </w:rPr>
        <w:t>98%</w:t>
      </w:r>
      <w:r>
        <w:rPr>
          <w:b/>
          <w:bCs/>
          <w:color w:val="000000"/>
          <w:u w:val="single"/>
        </w:rPr>
        <w:t>保证率日平均质量浓度</w:t>
      </w:r>
    </w:p>
    <w:tbl>
      <w:tblPr>
        <w:tblW w:w="497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9"/>
        <w:gridCol w:w="1163"/>
        <w:gridCol w:w="824"/>
        <w:gridCol w:w="1052"/>
        <w:gridCol w:w="842"/>
        <w:gridCol w:w="1213"/>
        <w:gridCol w:w="1008"/>
        <w:gridCol w:w="1180"/>
        <w:gridCol w:w="665"/>
      </w:tblGrid>
      <w:tr w:rsidR="003E78AB" w14:paraId="4B7BAF32" w14:textId="77777777">
        <w:trPr>
          <w:trHeight w:val="369"/>
          <w:tblHeader/>
        </w:trPr>
        <w:tc>
          <w:tcPr>
            <w:tcW w:w="205" w:type="pct"/>
            <w:tcBorders>
              <w:tl2br w:val="nil"/>
              <w:tr2bl w:val="nil"/>
            </w:tcBorders>
            <w:noWrap/>
            <w:tcMar>
              <w:top w:w="12" w:type="dxa"/>
              <w:left w:w="12" w:type="dxa"/>
              <w:right w:w="12" w:type="dxa"/>
            </w:tcMar>
            <w:vAlign w:val="center"/>
          </w:tcPr>
          <w:p w14:paraId="64D17E2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701" w:type="pct"/>
            <w:tcBorders>
              <w:tl2br w:val="nil"/>
              <w:tr2bl w:val="nil"/>
            </w:tcBorders>
            <w:noWrap/>
            <w:tcMar>
              <w:top w:w="12" w:type="dxa"/>
              <w:left w:w="12" w:type="dxa"/>
              <w:right w:w="12" w:type="dxa"/>
            </w:tcMar>
            <w:vAlign w:val="center"/>
          </w:tcPr>
          <w:p w14:paraId="53E1EB1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497" w:type="pct"/>
            <w:tcBorders>
              <w:tl2br w:val="nil"/>
              <w:tr2bl w:val="nil"/>
            </w:tcBorders>
            <w:noWrap/>
            <w:tcMar>
              <w:top w:w="12" w:type="dxa"/>
              <w:left w:w="12" w:type="dxa"/>
              <w:right w:w="12" w:type="dxa"/>
            </w:tcMar>
            <w:vAlign w:val="center"/>
          </w:tcPr>
          <w:p w14:paraId="1D04EFC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634" w:type="pct"/>
            <w:tcBorders>
              <w:tl2br w:val="nil"/>
              <w:tr2bl w:val="nil"/>
            </w:tcBorders>
            <w:noWrap/>
            <w:tcMar>
              <w:top w:w="12" w:type="dxa"/>
              <w:left w:w="12" w:type="dxa"/>
              <w:right w:w="12" w:type="dxa"/>
            </w:tcMar>
            <w:vAlign w:val="center"/>
          </w:tcPr>
          <w:p w14:paraId="616E988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508" w:type="pct"/>
            <w:tcBorders>
              <w:tl2br w:val="nil"/>
              <w:tr2bl w:val="nil"/>
            </w:tcBorders>
            <w:noWrap/>
            <w:tcMar>
              <w:top w:w="12" w:type="dxa"/>
              <w:left w:w="12" w:type="dxa"/>
              <w:right w:w="12" w:type="dxa"/>
            </w:tcMar>
            <w:vAlign w:val="center"/>
          </w:tcPr>
          <w:p w14:paraId="6ADD5B1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31" w:type="pct"/>
            <w:tcBorders>
              <w:tl2br w:val="nil"/>
              <w:tr2bl w:val="nil"/>
            </w:tcBorders>
            <w:noWrap/>
            <w:tcMar>
              <w:top w:w="12" w:type="dxa"/>
              <w:left w:w="12" w:type="dxa"/>
              <w:right w:w="12" w:type="dxa"/>
            </w:tcMar>
            <w:vAlign w:val="center"/>
          </w:tcPr>
          <w:p w14:paraId="48FC4D1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1226F73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1" w:type="pct"/>
            <w:tcBorders>
              <w:tl2br w:val="nil"/>
              <w:tr2bl w:val="nil"/>
            </w:tcBorders>
            <w:noWrap/>
            <w:tcMar>
              <w:top w:w="12" w:type="dxa"/>
              <w:left w:w="12" w:type="dxa"/>
              <w:right w:w="12" w:type="dxa"/>
            </w:tcMar>
            <w:vAlign w:val="center"/>
          </w:tcPr>
          <w:p w14:paraId="7BE72D8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1" w:type="pct"/>
            <w:tcBorders>
              <w:tl2br w:val="nil"/>
              <w:tr2bl w:val="nil"/>
            </w:tcBorders>
            <w:noWrap/>
            <w:tcMar>
              <w:top w:w="12" w:type="dxa"/>
              <w:left w:w="12" w:type="dxa"/>
              <w:right w:w="12" w:type="dxa"/>
            </w:tcMar>
            <w:vAlign w:val="center"/>
          </w:tcPr>
          <w:p w14:paraId="6ECB975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137A076D"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572B2EC2" w14:textId="77777777">
        <w:trPr>
          <w:trHeight w:val="369"/>
        </w:trPr>
        <w:tc>
          <w:tcPr>
            <w:tcW w:w="205" w:type="pct"/>
            <w:tcBorders>
              <w:tl2br w:val="nil"/>
              <w:tr2bl w:val="nil"/>
            </w:tcBorders>
            <w:noWrap/>
            <w:tcMar>
              <w:top w:w="12" w:type="dxa"/>
              <w:left w:w="12" w:type="dxa"/>
              <w:right w:w="12" w:type="dxa"/>
            </w:tcMar>
            <w:vAlign w:val="center"/>
          </w:tcPr>
          <w:p w14:paraId="62FCFFC2"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1162" w:type="dxa"/>
            <w:tcBorders>
              <w:tl2br w:val="nil"/>
              <w:tr2bl w:val="nil"/>
            </w:tcBorders>
            <w:noWrap/>
            <w:tcMar>
              <w:top w:w="12" w:type="dxa"/>
              <w:left w:w="12" w:type="dxa"/>
              <w:right w:w="12" w:type="dxa"/>
            </w:tcMar>
            <w:vAlign w:val="center"/>
          </w:tcPr>
          <w:p w14:paraId="1EEC933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安居富民小区</w:t>
            </w:r>
          </w:p>
        </w:tc>
        <w:tc>
          <w:tcPr>
            <w:tcW w:w="497" w:type="pct"/>
            <w:tcBorders>
              <w:tl2br w:val="nil"/>
              <w:tr2bl w:val="nil"/>
            </w:tcBorders>
            <w:noWrap/>
            <w:tcMar>
              <w:top w:w="12" w:type="dxa"/>
              <w:left w:w="12" w:type="dxa"/>
              <w:right w:w="12" w:type="dxa"/>
            </w:tcMar>
            <w:vAlign w:val="center"/>
          </w:tcPr>
          <w:p w14:paraId="74D8615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634" w:type="pct"/>
            <w:tcBorders>
              <w:tl2br w:val="nil"/>
              <w:tr2bl w:val="nil"/>
            </w:tcBorders>
            <w:noWrap/>
            <w:tcMar>
              <w:top w:w="12" w:type="dxa"/>
              <w:left w:w="12" w:type="dxa"/>
              <w:right w:w="12" w:type="dxa"/>
            </w:tcMar>
            <w:vAlign w:val="center"/>
          </w:tcPr>
          <w:p w14:paraId="2C1C62C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0.485</w:t>
            </w:r>
          </w:p>
        </w:tc>
        <w:tc>
          <w:tcPr>
            <w:tcW w:w="508" w:type="pct"/>
            <w:tcBorders>
              <w:tl2br w:val="nil"/>
              <w:tr2bl w:val="nil"/>
            </w:tcBorders>
            <w:noWrap/>
            <w:tcMar>
              <w:top w:w="12" w:type="dxa"/>
              <w:left w:w="12" w:type="dxa"/>
              <w:right w:w="12" w:type="dxa"/>
            </w:tcMar>
            <w:vAlign w:val="center"/>
          </w:tcPr>
          <w:p w14:paraId="58069ACD"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p>
        </w:tc>
        <w:tc>
          <w:tcPr>
            <w:tcW w:w="731" w:type="pct"/>
            <w:tcBorders>
              <w:tl2br w:val="nil"/>
              <w:tr2bl w:val="nil"/>
            </w:tcBorders>
            <w:noWrap/>
            <w:tcMar>
              <w:top w:w="12" w:type="dxa"/>
              <w:left w:w="12" w:type="dxa"/>
              <w:right w:w="12" w:type="dxa"/>
            </w:tcMar>
            <w:vAlign w:val="center"/>
          </w:tcPr>
          <w:p w14:paraId="106D85E3"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r>
              <w:rPr>
                <w:b/>
                <w:bCs/>
                <w:color w:val="000000"/>
                <w:szCs w:val="21"/>
                <w:u w:val="single"/>
              </w:rPr>
              <w:t>.</w:t>
            </w:r>
            <w:r>
              <w:rPr>
                <w:rFonts w:hint="eastAsia"/>
                <w:b/>
                <w:bCs/>
                <w:color w:val="000000"/>
                <w:szCs w:val="21"/>
                <w:u w:val="single"/>
              </w:rPr>
              <w:t>485</w:t>
            </w:r>
          </w:p>
        </w:tc>
        <w:tc>
          <w:tcPr>
            <w:tcW w:w="608" w:type="pct"/>
            <w:tcBorders>
              <w:tl2br w:val="nil"/>
              <w:tr2bl w:val="nil"/>
            </w:tcBorders>
            <w:noWrap/>
            <w:tcMar>
              <w:top w:w="12" w:type="dxa"/>
              <w:left w:w="12" w:type="dxa"/>
              <w:right w:w="12" w:type="dxa"/>
            </w:tcMar>
            <w:vAlign w:val="center"/>
          </w:tcPr>
          <w:p w14:paraId="54B6200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150</w:t>
            </w:r>
          </w:p>
        </w:tc>
        <w:tc>
          <w:tcPr>
            <w:tcW w:w="1179" w:type="dxa"/>
            <w:tcBorders>
              <w:tl2br w:val="nil"/>
              <w:tr2bl w:val="nil"/>
            </w:tcBorders>
            <w:noWrap/>
            <w:tcMar>
              <w:top w:w="12" w:type="dxa"/>
              <w:left w:w="12" w:type="dxa"/>
              <w:right w:w="12" w:type="dxa"/>
            </w:tcMar>
            <w:vAlign w:val="center"/>
          </w:tcPr>
          <w:p w14:paraId="69F72F63"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31.66 </w:t>
            </w:r>
          </w:p>
        </w:tc>
        <w:tc>
          <w:tcPr>
            <w:tcW w:w="401" w:type="pct"/>
            <w:tcBorders>
              <w:tl2br w:val="nil"/>
              <w:tr2bl w:val="nil"/>
            </w:tcBorders>
            <w:noWrap/>
            <w:tcMar>
              <w:top w:w="12" w:type="dxa"/>
              <w:left w:w="12" w:type="dxa"/>
              <w:right w:w="12" w:type="dxa"/>
            </w:tcMar>
            <w:vAlign w:val="center"/>
          </w:tcPr>
          <w:p w14:paraId="4AE1E56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167CA5B4" w14:textId="77777777">
        <w:trPr>
          <w:trHeight w:val="369"/>
        </w:trPr>
        <w:tc>
          <w:tcPr>
            <w:tcW w:w="205" w:type="pct"/>
            <w:tcBorders>
              <w:tl2br w:val="nil"/>
              <w:tr2bl w:val="nil"/>
            </w:tcBorders>
            <w:noWrap/>
            <w:tcMar>
              <w:top w:w="12" w:type="dxa"/>
              <w:left w:w="12" w:type="dxa"/>
              <w:right w:w="12" w:type="dxa"/>
            </w:tcMar>
            <w:vAlign w:val="center"/>
          </w:tcPr>
          <w:p w14:paraId="2EADB01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1162" w:type="dxa"/>
            <w:tcBorders>
              <w:tl2br w:val="nil"/>
              <w:tr2bl w:val="nil"/>
            </w:tcBorders>
            <w:noWrap/>
            <w:tcMar>
              <w:top w:w="12" w:type="dxa"/>
              <w:left w:w="12" w:type="dxa"/>
              <w:right w:w="12" w:type="dxa"/>
            </w:tcMar>
            <w:vAlign w:val="center"/>
          </w:tcPr>
          <w:p w14:paraId="5849B74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项目区上风向</w:t>
            </w:r>
          </w:p>
        </w:tc>
        <w:tc>
          <w:tcPr>
            <w:tcW w:w="497" w:type="pct"/>
            <w:tcBorders>
              <w:tl2br w:val="nil"/>
              <w:tr2bl w:val="nil"/>
            </w:tcBorders>
            <w:noWrap/>
            <w:tcMar>
              <w:top w:w="12" w:type="dxa"/>
              <w:left w:w="12" w:type="dxa"/>
              <w:right w:w="12" w:type="dxa"/>
            </w:tcMar>
            <w:vAlign w:val="center"/>
          </w:tcPr>
          <w:p w14:paraId="1F09E75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634" w:type="pct"/>
            <w:tcBorders>
              <w:tl2br w:val="nil"/>
              <w:tr2bl w:val="nil"/>
            </w:tcBorders>
            <w:noWrap/>
            <w:tcMar>
              <w:top w:w="12" w:type="dxa"/>
              <w:left w:w="12" w:type="dxa"/>
              <w:right w:w="12" w:type="dxa"/>
            </w:tcMar>
            <w:vAlign w:val="center"/>
          </w:tcPr>
          <w:p w14:paraId="59FD547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0.463</w:t>
            </w:r>
          </w:p>
        </w:tc>
        <w:tc>
          <w:tcPr>
            <w:tcW w:w="508" w:type="pct"/>
            <w:tcBorders>
              <w:tl2br w:val="nil"/>
              <w:tr2bl w:val="nil"/>
            </w:tcBorders>
            <w:noWrap/>
            <w:tcMar>
              <w:top w:w="12" w:type="dxa"/>
              <w:left w:w="12" w:type="dxa"/>
              <w:right w:w="12" w:type="dxa"/>
            </w:tcMar>
            <w:vAlign w:val="center"/>
          </w:tcPr>
          <w:p w14:paraId="669F35B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p>
        </w:tc>
        <w:tc>
          <w:tcPr>
            <w:tcW w:w="731" w:type="pct"/>
            <w:tcBorders>
              <w:tl2br w:val="nil"/>
              <w:tr2bl w:val="nil"/>
            </w:tcBorders>
            <w:noWrap/>
            <w:tcMar>
              <w:top w:w="12" w:type="dxa"/>
              <w:left w:w="12" w:type="dxa"/>
              <w:right w:w="12" w:type="dxa"/>
            </w:tcMar>
            <w:vAlign w:val="center"/>
          </w:tcPr>
          <w:p w14:paraId="04DCCCC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r>
              <w:rPr>
                <w:b/>
                <w:bCs/>
                <w:color w:val="000000"/>
                <w:szCs w:val="21"/>
                <w:u w:val="single"/>
              </w:rPr>
              <w:t>.</w:t>
            </w:r>
            <w:r>
              <w:rPr>
                <w:rFonts w:hint="eastAsia"/>
                <w:b/>
                <w:bCs/>
                <w:color w:val="000000"/>
                <w:szCs w:val="21"/>
                <w:u w:val="single"/>
              </w:rPr>
              <w:t>463</w:t>
            </w:r>
          </w:p>
        </w:tc>
        <w:tc>
          <w:tcPr>
            <w:tcW w:w="608" w:type="pct"/>
            <w:tcBorders>
              <w:tl2br w:val="nil"/>
              <w:tr2bl w:val="nil"/>
            </w:tcBorders>
            <w:noWrap/>
            <w:tcMar>
              <w:top w:w="12" w:type="dxa"/>
              <w:left w:w="12" w:type="dxa"/>
              <w:right w:w="12" w:type="dxa"/>
            </w:tcMar>
            <w:vAlign w:val="center"/>
          </w:tcPr>
          <w:p w14:paraId="25A8CE9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150</w:t>
            </w:r>
          </w:p>
        </w:tc>
        <w:tc>
          <w:tcPr>
            <w:tcW w:w="1179" w:type="dxa"/>
            <w:tcBorders>
              <w:tl2br w:val="nil"/>
              <w:tr2bl w:val="nil"/>
            </w:tcBorders>
            <w:noWrap/>
            <w:tcMar>
              <w:top w:w="12" w:type="dxa"/>
              <w:left w:w="12" w:type="dxa"/>
              <w:right w:w="12" w:type="dxa"/>
            </w:tcMar>
            <w:vAlign w:val="center"/>
          </w:tcPr>
          <w:p w14:paraId="5809C6E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31.64 </w:t>
            </w:r>
          </w:p>
        </w:tc>
        <w:tc>
          <w:tcPr>
            <w:tcW w:w="401" w:type="pct"/>
            <w:tcBorders>
              <w:tl2br w:val="nil"/>
              <w:tr2bl w:val="nil"/>
            </w:tcBorders>
            <w:noWrap/>
            <w:tcMar>
              <w:top w:w="12" w:type="dxa"/>
              <w:left w:w="12" w:type="dxa"/>
              <w:right w:w="12" w:type="dxa"/>
            </w:tcMar>
            <w:vAlign w:val="center"/>
          </w:tcPr>
          <w:p w14:paraId="0A205C2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757625C7" w14:textId="77777777">
        <w:trPr>
          <w:trHeight w:val="369"/>
        </w:trPr>
        <w:tc>
          <w:tcPr>
            <w:tcW w:w="205" w:type="pct"/>
            <w:tcBorders>
              <w:tl2br w:val="nil"/>
              <w:tr2bl w:val="nil"/>
            </w:tcBorders>
            <w:noWrap/>
            <w:tcMar>
              <w:top w:w="12" w:type="dxa"/>
              <w:left w:w="12" w:type="dxa"/>
              <w:right w:w="12" w:type="dxa"/>
            </w:tcMar>
            <w:vAlign w:val="center"/>
          </w:tcPr>
          <w:p w14:paraId="46EDBA3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1162" w:type="dxa"/>
            <w:tcBorders>
              <w:tl2br w:val="nil"/>
              <w:tr2bl w:val="nil"/>
            </w:tcBorders>
            <w:noWrap/>
            <w:tcMar>
              <w:top w:w="12" w:type="dxa"/>
              <w:left w:w="12" w:type="dxa"/>
              <w:right w:w="12" w:type="dxa"/>
            </w:tcMar>
            <w:vAlign w:val="center"/>
          </w:tcPr>
          <w:p w14:paraId="290CAE7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项目区下风向</w:t>
            </w:r>
          </w:p>
        </w:tc>
        <w:tc>
          <w:tcPr>
            <w:tcW w:w="497" w:type="pct"/>
            <w:tcBorders>
              <w:tl2br w:val="nil"/>
              <w:tr2bl w:val="nil"/>
            </w:tcBorders>
            <w:noWrap/>
            <w:tcMar>
              <w:top w:w="12" w:type="dxa"/>
              <w:left w:w="12" w:type="dxa"/>
              <w:right w:w="12" w:type="dxa"/>
            </w:tcMar>
            <w:vAlign w:val="center"/>
          </w:tcPr>
          <w:p w14:paraId="668CC0D9"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634" w:type="pct"/>
            <w:tcBorders>
              <w:tl2br w:val="nil"/>
              <w:tr2bl w:val="nil"/>
            </w:tcBorders>
            <w:noWrap/>
            <w:tcMar>
              <w:top w:w="12" w:type="dxa"/>
              <w:left w:w="12" w:type="dxa"/>
              <w:right w:w="12" w:type="dxa"/>
            </w:tcMar>
            <w:vAlign w:val="center"/>
          </w:tcPr>
          <w:p w14:paraId="40CF2D9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0.437</w:t>
            </w:r>
          </w:p>
        </w:tc>
        <w:tc>
          <w:tcPr>
            <w:tcW w:w="508" w:type="pct"/>
            <w:tcBorders>
              <w:tl2br w:val="nil"/>
              <w:tr2bl w:val="nil"/>
            </w:tcBorders>
            <w:noWrap/>
            <w:tcMar>
              <w:top w:w="12" w:type="dxa"/>
              <w:left w:w="12" w:type="dxa"/>
              <w:right w:w="12" w:type="dxa"/>
            </w:tcMar>
            <w:vAlign w:val="center"/>
          </w:tcPr>
          <w:p w14:paraId="6714846B"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p>
        </w:tc>
        <w:tc>
          <w:tcPr>
            <w:tcW w:w="731" w:type="pct"/>
            <w:tcBorders>
              <w:tl2br w:val="nil"/>
              <w:tr2bl w:val="nil"/>
            </w:tcBorders>
            <w:noWrap/>
            <w:tcMar>
              <w:top w:w="12" w:type="dxa"/>
              <w:left w:w="12" w:type="dxa"/>
              <w:right w:w="12" w:type="dxa"/>
            </w:tcMar>
            <w:vAlign w:val="center"/>
          </w:tcPr>
          <w:p w14:paraId="1928EE2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r>
              <w:rPr>
                <w:b/>
                <w:bCs/>
                <w:color w:val="000000"/>
                <w:szCs w:val="21"/>
                <w:u w:val="single"/>
              </w:rPr>
              <w:t>.4</w:t>
            </w:r>
            <w:r>
              <w:rPr>
                <w:rFonts w:hint="eastAsia"/>
                <w:b/>
                <w:bCs/>
                <w:color w:val="000000"/>
                <w:szCs w:val="21"/>
                <w:u w:val="single"/>
              </w:rPr>
              <w:t>37</w:t>
            </w:r>
          </w:p>
        </w:tc>
        <w:tc>
          <w:tcPr>
            <w:tcW w:w="608" w:type="pct"/>
            <w:tcBorders>
              <w:tl2br w:val="nil"/>
              <w:tr2bl w:val="nil"/>
            </w:tcBorders>
            <w:noWrap/>
            <w:tcMar>
              <w:top w:w="12" w:type="dxa"/>
              <w:left w:w="12" w:type="dxa"/>
              <w:right w:w="12" w:type="dxa"/>
            </w:tcMar>
            <w:vAlign w:val="center"/>
          </w:tcPr>
          <w:p w14:paraId="52458D4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150</w:t>
            </w:r>
          </w:p>
        </w:tc>
        <w:tc>
          <w:tcPr>
            <w:tcW w:w="1179" w:type="dxa"/>
            <w:tcBorders>
              <w:tl2br w:val="nil"/>
              <w:tr2bl w:val="nil"/>
            </w:tcBorders>
            <w:noWrap/>
            <w:tcMar>
              <w:top w:w="12" w:type="dxa"/>
              <w:left w:w="12" w:type="dxa"/>
              <w:right w:w="12" w:type="dxa"/>
            </w:tcMar>
            <w:vAlign w:val="center"/>
          </w:tcPr>
          <w:p w14:paraId="514AF78D"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31.62 </w:t>
            </w:r>
          </w:p>
        </w:tc>
        <w:tc>
          <w:tcPr>
            <w:tcW w:w="401" w:type="pct"/>
            <w:tcBorders>
              <w:tl2br w:val="nil"/>
              <w:tr2bl w:val="nil"/>
            </w:tcBorders>
            <w:noWrap/>
            <w:tcMar>
              <w:top w:w="12" w:type="dxa"/>
              <w:left w:w="12" w:type="dxa"/>
              <w:right w:w="12" w:type="dxa"/>
            </w:tcMar>
            <w:vAlign w:val="center"/>
          </w:tcPr>
          <w:p w14:paraId="4407AC9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22B68745" w14:textId="77777777">
        <w:trPr>
          <w:trHeight w:val="369"/>
        </w:trPr>
        <w:tc>
          <w:tcPr>
            <w:tcW w:w="205" w:type="pct"/>
            <w:tcBorders>
              <w:tl2br w:val="nil"/>
              <w:tr2bl w:val="nil"/>
            </w:tcBorders>
            <w:noWrap/>
            <w:tcMar>
              <w:top w:w="12" w:type="dxa"/>
              <w:left w:w="12" w:type="dxa"/>
              <w:right w:w="12" w:type="dxa"/>
            </w:tcMar>
            <w:vAlign w:val="center"/>
          </w:tcPr>
          <w:p w14:paraId="50943136"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701" w:type="pct"/>
            <w:tcBorders>
              <w:tl2br w:val="nil"/>
              <w:tr2bl w:val="nil"/>
            </w:tcBorders>
            <w:noWrap/>
            <w:tcMar>
              <w:top w:w="12" w:type="dxa"/>
              <w:left w:w="12" w:type="dxa"/>
              <w:right w:w="12" w:type="dxa"/>
            </w:tcMar>
            <w:vAlign w:val="center"/>
          </w:tcPr>
          <w:p w14:paraId="6030D07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网格点最大值（</w:t>
            </w:r>
            <w:r>
              <w:rPr>
                <w:b/>
                <w:bCs/>
                <w:color w:val="000000"/>
                <w:szCs w:val="21"/>
                <w:u w:val="single"/>
              </w:rPr>
              <w:t>-</w:t>
            </w:r>
            <w:r>
              <w:rPr>
                <w:rFonts w:hint="eastAsia"/>
                <w:b/>
                <w:bCs/>
                <w:color w:val="000000"/>
                <w:szCs w:val="21"/>
                <w:u w:val="single"/>
              </w:rPr>
              <w:t>1200</w:t>
            </w:r>
            <w:r>
              <w:rPr>
                <w:b/>
                <w:bCs/>
                <w:color w:val="000000"/>
                <w:szCs w:val="21"/>
                <w:u w:val="single"/>
              </w:rPr>
              <w:t>，</w:t>
            </w:r>
            <w:r>
              <w:rPr>
                <w:rFonts w:hint="eastAsia"/>
                <w:b/>
                <w:bCs/>
                <w:color w:val="000000"/>
                <w:szCs w:val="21"/>
                <w:u w:val="single"/>
              </w:rPr>
              <w:t>-800</w:t>
            </w:r>
            <w:r>
              <w:rPr>
                <w:b/>
                <w:bCs/>
                <w:color w:val="000000"/>
                <w:szCs w:val="21"/>
                <w:u w:val="single"/>
              </w:rPr>
              <w:t>）</w:t>
            </w:r>
          </w:p>
        </w:tc>
        <w:tc>
          <w:tcPr>
            <w:tcW w:w="497" w:type="pct"/>
            <w:tcBorders>
              <w:tl2br w:val="nil"/>
              <w:tr2bl w:val="nil"/>
            </w:tcBorders>
            <w:noWrap/>
            <w:tcMar>
              <w:top w:w="12" w:type="dxa"/>
              <w:left w:w="12" w:type="dxa"/>
              <w:right w:w="12" w:type="dxa"/>
            </w:tcMar>
            <w:vAlign w:val="center"/>
          </w:tcPr>
          <w:p w14:paraId="4BB9412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日平均</w:t>
            </w:r>
          </w:p>
        </w:tc>
        <w:tc>
          <w:tcPr>
            <w:tcW w:w="634" w:type="pct"/>
            <w:tcBorders>
              <w:tl2br w:val="nil"/>
              <w:tr2bl w:val="nil"/>
            </w:tcBorders>
            <w:noWrap/>
            <w:tcMar>
              <w:top w:w="12" w:type="dxa"/>
              <w:left w:w="12" w:type="dxa"/>
              <w:right w:w="12" w:type="dxa"/>
            </w:tcMar>
            <w:vAlign w:val="center"/>
          </w:tcPr>
          <w:p w14:paraId="1D04BD8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5.890</w:t>
            </w:r>
          </w:p>
        </w:tc>
        <w:tc>
          <w:tcPr>
            <w:tcW w:w="508" w:type="pct"/>
            <w:tcBorders>
              <w:tl2br w:val="nil"/>
              <w:tr2bl w:val="nil"/>
            </w:tcBorders>
            <w:noWrap/>
            <w:tcMar>
              <w:top w:w="12" w:type="dxa"/>
              <w:left w:w="12" w:type="dxa"/>
              <w:right w:w="12" w:type="dxa"/>
            </w:tcMar>
            <w:vAlign w:val="center"/>
          </w:tcPr>
          <w:p w14:paraId="59E68C8C"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47</w:t>
            </w:r>
          </w:p>
        </w:tc>
        <w:tc>
          <w:tcPr>
            <w:tcW w:w="731" w:type="pct"/>
            <w:tcBorders>
              <w:tl2br w:val="nil"/>
              <w:tr2bl w:val="nil"/>
            </w:tcBorders>
            <w:noWrap/>
            <w:tcMar>
              <w:top w:w="12" w:type="dxa"/>
              <w:left w:w="12" w:type="dxa"/>
              <w:right w:w="12" w:type="dxa"/>
            </w:tcMar>
            <w:vAlign w:val="center"/>
          </w:tcPr>
          <w:p w14:paraId="7CAAC7C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52</w:t>
            </w:r>
            <w:r>
              <w:rPr>
                <w:b/>
                <w:bCs/>
                <w:color w:val="000000"/>
                <w:szCs w:val="21"/>
                <w:u w:val="single"/>
              </w:rPr>
              <w:t>.</w:t>
            </w:r>
            <w:r>
              <w:rPr>
                <w:rFonts w:hint="eastAsia"/>
                <w:b/>
                <w:bCs/>
                <w:color w:val="000000"/>
                <w:szCs w:val="21"/>
                <w:u w:val="single"/>
              </w:rPr>
              <w:t>890</w:t>
            </w:r>
          </w:p>
        </w:tc>
        <w:tc>
          <w:tcPr>
            <w:tcW w:w="608" w:type="pct"/>
            <w:tcBorders>
              <w:tl2br w:val="nil"/>
              <w:tr2bl w:val="nil"/>
            </w:tcBorders>
            <w:noWrap/>
            <w:tcMar>
              <w:top w:w="12" w:type="dxa"/>
              <w:left w:w="12" w:type="dxa"/>
              <w:right w:w="12" w:type="dxa"/>
            </w:tcMar>
            <w:vAlign w:val="center"/>
          </w:tcPr>
          <w:p w14:paraId="3EBEECDE"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150</w:t>
            </w:r>
          </w:p>
        </w:tc>
        <w:tc>
          <w:tcPr>
            <w:tcW w:w="1179" w:type="dxa"/>
            <w:tcBorders>
              <w:tl2br w:val="nil"/>
              <w:tr2bl w:val="nil"/>
            </w:tcBorders>
            <w:noWrap/>
            <w:tcMar>
              <w:top w:w="12" w:type="dxa"/>
              <w:left w:w="12" w:type="dxa"/>
              <w:right w:w="12" w:type="dxa"/>
            </w:tcMar>
            <w:vAlign w:val="center"/>
          </w:tcPr>
          <w:p w14:paraId="3D91D6E4"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35.26 </w:t>
            </w:r>
          </w:p>
        </w:tc>
        <w:tc>
          <w:tcPr>
            <w:tcW w:w="401" w:type="pct"/>
            <w:tcBorders>
              <w:tl2br w:val="nil"/>
              <w:tr2bl w:val="nil"/>
            </w:tcBorders>
            <w:noWrap/>
            <w:tcMar>
              <w:top w:w="12" w:type="dxa"/>
              <w:left w:w="12" w:type="dxa"/>
              <w:right w:w="12" w:type="dxa"/>
            </w:tcMar>
            <w:vAlign w:val="center"/>
          </w:tcPr>
          <w:p w14:paraId="1EEDC54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bl>
    <w:p w14:paraId="4F701E4F" w14:textId="77777777" w:rsidR="003E78AB" w:rsidRDefault="00010BF9">
      <w:pPr>
        <w:pStyle w:val="a4"/>
        <w:spacing w:before="120"/>
        <w:rPr>
          <w:b/>
          <w:bCs/>
          <w:color w:val="000000"/>
          <w:u w:val="single"/>
        </w:rPr>
      </w:pPr>
      <w:r>
        <w:rPr>
          <w:b/>
          <w:bCs/>
          <w:color w:val="000000"/>
          <w:u w:val="single"/>
        </w:rPr>
        <w:t>叠加后</w:t>
      </w:r>
      <w:r>
        <w:rPr>
          <w:rFonts w:hint="eastAsia"/>
          <w:b/>
          <w:bCs/>
          <w:color w:val="000000"/>
          <w:u w:val="single"/>
        </w:rPr>
        <w:t>S</w:t>
      </w:r>
      <w:r>
        <w:rPr>
          <w:b/>
          <w:bCs/>
          <w:color w:val="000000"/>
          <w:u w:val="single"/>
        </w:rPr>
        <w:t>O</w:t>
      </w:r>
      <w:r>
        <w:rPr>
          <w:b/>
          <w:bCs/>
          <w:color w:val="000000"/>
          <w:u w:val="single"/>
          <w:vertAlign w:val="subscript"/>
        </w:rPr>
        <w:t>2</w:t>
      </w:r>
      <w:r>
        <w:rPr>
          <w:rFonts w:hint="eastAsia"/>
          <w:b/>
          <w:bCs/>
          <w:color w:val="000000"/>
          <w:u w:val="single"/>
        </w:rPr>
        <w:t>年</w:t>
      </w:r>
      <w:r>
        <w:rPr>
          <w:b/>
          <w:bCs/>
          <w:color w:val="000000"/>
          <w:u w:val="single"/>
        </w:rPr>
        <w:t>平均质量浓度</w:t>
      </w:r>
    </w:p>
    <w:tbl>
      <w:tblPr>
        <w:tblW w:w="497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
        <w:gridCol w:w="1349"/>
        <w:gridCol w:w="774"/>
        <w:gridCol w:w="915"/>
        <w:gridCol w:w="971"/>
        <w:gridCol w:w="1084"/>
        <w:gridCol w:w="1008"/>
        <w:gridCol w:w="1182"/>
        <w:gridCol w:w="665"/>
      </w:tblGrid>
      <w:tr w:rsidR="003E78AB" w14:paraId="18D7FBB7" w14:textId="77777777">
        <w:trPr>
          <w:trHeight w:val="369"/>
        </w:trPr>
        <w:tc>
          <w:tcPr>
            <w:tcW w:w="204" w:type="pct"/>
            <w:tcBorders>
              <w:tl2br w:val="nil"/>
              <w:tr2bl w:val="nil"/>
            </w:tcBorders>
            <w:noWrap/>
            <w:tcMar>
              <w:top w:w="12" w:type="dxa"/>
              <w:left w:w="12" w:type="dxa"/>
              <w:right w:w="12" w:type="dxa"/>
            </w:tcMar>
            <w:vAlign w:val="center"/>
          </w:tcPr>
          <w:p w14:paraId="1B47980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813" w:type="pct"/>
            <w:tcBorders>
              <w:tl2br w:val="nil"/>
              <w:tr2bl w:val="nil"/>
            </w:tcBorders>
            <w:noWrap/>
            <w:tcMar>
              <w:top w:w="12" w:type="dxa"/>
              <w:left w:w="12" w:type="dxa"/>
              <w:right w:w="12" w:type="dxa"/>
            </w:tcMar>
            <w:vAlign w:val="center"/>
          </w:tcPr>
          <w:p w14:paraId="24A07B3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467" w:type="pct"/>
            <w:tcBorders>
              <w:tl2br w:val="nil"/>
              <w:tr2bl w:val="nil"/>
            </w:tcBorders>
            <w:noWrap/>
            <w:tcMar>
              <w:top w:w="12" w:type="dxa"/>
              <w:left w:w="12" w:type="dxa"/>
              <w:right w:w="12" w:type="dxa"/>
            </w:tcMar>
            <w:vAlign w:val="center"/>
          </w:tcPr>
          <w:p w14:paraId="3BA3E70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552" w:type="pct"/>
            <w:tcBorders>
              <w:tl2br w:val="nil"/>
              <w:tr2bl w:val="nil"/>
            </w:tcBorders>
            <w:noWrap/>
            <w:tcMar>
              <w:top w:w="12" w:type="dxa"/>
              <w:left w:w="12" w:type="dxa"/>
              <w:right w:w="12" w:type="dxa"/>
            </w:tcMar>
            <w:vAlign w:val="center"/>
          </w:tcPr>
          <w:p w14:paraId="19E3405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586" w:type="pct"/>
            <w:tcBorders>
              <w:tl2br w:val="nil"/>
              <w:tr2bl w:val="nil"/>
            </w:tcBorders>
            <w:noWrap/>
            <w:tcMar>
              <w:top w:w="12" w:type="dxa"/>
              <w:left w:w="12" w:type="dxa"/>
              <w:right w:w="12" w:type="dxa"/>
            </w:tcMar>
            <w:vAlign w:val="center"/>
          </w:tcPr>
          <w:p w14:paraId="3E288EB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53" w:type="pct"/>
            <w:tcBorders>
              <w:tl2br w:val="nil"/>
              <w:tr2bl w:val="nil"/>
            </w:tcBorders>
            <w:noWrap/>
            <w:tcMar>
              <w:top w:w="12" w:type="dxa"/>
              <w:left w:w="12" w:type="dxa"/>
              <w:right w:w="12" w:type="dxa"/>
            </w:tcMar>
            <w:vAlign w:val="center"/>
          </w:tcPr>
          <w:p w14:paraId="34F8E4E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4B71DED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2" w:type="pct"/>
            <w:tcBorders>
              <w:tl2br w:val="nil"/>
              <w:tr2bl w:val="nil"/>
            </w:tcBorders>
            <w:noWrap/>
            <w:tcMar>
              <w:top w:w="12" w:type="dxa"/>
              <w:left w:w="12" w:type="dxa"/>
              <w:right w:w="12" w:type="dxa"/>
            </w:tcMar>
            <w:vAlign w:val="center"/>
          </w:tcPr>
          <w:p w14:paraId="6A7D9F3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1" w:type="pct"/>
            <w:tcBorders>
              <w:tl2br w:val="nil"/>
              <w:tr2bl w:val="nil"/>
            </w:tcBorders>
            <w:noWrap/>
            <w:tcMar>
              <w:top w:w="12" w:type="dxa"/>
              <w:left w:w="12" w:type="dxa"/>
              <w:right w:w="12" w:type="dxa"/>
            </w:tcMar>
            <w:vAlign w:val="center"/>
          </w:tcPr>
          <w:p w14:paraId="7050D52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680EBF91"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3B2BD73A" w14:textId="77777777">
        <w:trPr>
          <w:trHeight w:val="369"/>
        </w:trPr>
        <w:tc>
          <w:tcPr>
            <w:tcW w:w="204" w:type="pct"/>
            <w:tcBorders>
              <w:tl2br w:val="nil"/>
              <w:tr2bl w:val="nil"/>
            </w:tcBorders>
            <w:noWrap/>
            <w:tcMar>
              <w:top w:w="12" w:type="dxa"/>
              <w:left w:w="12" w:type="dxa"/>
              <w:right w:w="12" w:type="dxa"/>
            </w:tcMar>
            <w:vAlign w:val="center"/>
          </w:tcPr>
          <w:p w14:paraId="30E04D62"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813" w:type="pct"/>
            <w:tcBorders>
              <w:tl2br w:val="nil"/>
              <w:tr2bl w:val="nil"/>
            </w:tcBorders>
            <w:noWrap/>
            <w:tcMar>
              <w:top w:w="12" w:type="dxa"/>
              <w:left w:w="12" w:type="dxa"/>
              <w:right w:w="12" w:type="dxa"/>
            </w:tcMar>
            <w:vAlign w:val="center"/>
          </w:tcPr>
          <w:p w14:paraId="2805816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安居富民小区</w:t>
            </w:r>
          </w:p>
        </w:tc>
        <w:tc>
          <w:tcPr>
            <w:tcW w:w="467" w:type="pct"/>
            <w:tcBorders>
              <w:tl2br w:val="nil"/>
              <w:tr2bl w:val="nil"/>
            </w:tcBorders>
            <w:noWrap/>
            <w:tcMar>
              <w:top w:w="12" w:type="dxa"/>
              <w:left w:w="12" w:type="dxa"/>
              <w:right w:w="12" w:type="dxa"/>
            </w:tcMar>
            <w:vAlign w:val="center"/>
          </w:tcPr>
          <w:p w14:paraId="7641BC8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年平均</w:t>
            </w:r>
          </w:p>
        </w:tc>
        <w:tc>
          <w:tcPr>
            <w:tcW w:w="552" w:type="pct"/>
            <w:tcBorders>
              <w:tl2br w:val="nil"/>
              <w:tr2bl w:val="nil"/>
            </w:tcBorders>
            <w:noWrap/>
            <w:tcMar>
              <w:top w:w="12" w:type="dxa"/>
              <w:left w:w="12" w:type="dxa"/>
              <w:right w:w="12" w:type="dxa"/>
            </w:tcMar>
            <w:vAlign w:val="center"/>
          </w:tcPr>
          <w:p w14:paraId="52EA9A2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0.081</w:t>
            </w:r>
          </w:p>
        </w:tc>
        <w:tc>
          <w:tcPr>
            <w:tcW w:w="586" w:type="pct"/>
            <w:tcBorders>
              <w:tl2br w:val="nil"/>
              <w:tr2bl w:val="nil"/>
            </w:tcBorders>
            <w:noWrap/>
            <w:tcMar>
              <w:top w:w="12" w:type="dxa"/>
              <w:left w:w="12" w:type="dxa"/>
              <w:right w:w="12" w:type="dxa"/>
            </w:tcMar>
            <w:vAlign w:val="center"/>
          </w:tcPr>
          <w:p w14:paraId="0D27AD0C"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p>
        </w:tc>
        <w:tc>
          <w:tcPr>
            <w:tcW w:w="653" w:type="pct"/>
            <w:tcBorders>
              <w:tl2br w:val="nil"/>
              <w:tr2bl w:val="nil"/>
            </w:tcBorders>
            <w:noWrap/>
            <w:tcMar>
              <w:top w:w="12" w:type="dxa"/>
              <w:left w:w="12" w:type="dxa"/>
              <w:right w:w="12" w:type="dxa"/>
            </w:tcMar>
            <w:vAlign w:val="center"/>
          </w:tcPr>
          <w:p w14:paraId="46265CA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r>
              <w:rPr>
                <w:b/>
                <w:bCs/>
                <w:color w:val="000000"/>
                <w:szCs w:val="21"/>
                <w:u w:val="single"/>
              </w:rPr>
              <w:t>.08</w:t>
            </w:r>
            <w:r>
              <w:rPr>
                <w:rFonts w:hint="eastAsia"/>
                <w:b/>
                <w:bCs/>
                <w:color w:val="000000"/>
                <w:szCs w:val="21"/>
                <w:u w:val="single"/>
              </w:rPr>
              <w:t>1</w:t>
            </w:r>
          </w:p>
        </w:tc>
        <w:tc>
          <w:tcPr>
            <w:tcW w:w="608" w:type="pct"/>
            <w:tcBorders>
              <w:tl2br w:val="nil"/>
              <w:tr2bl w:val="nil"/>
            </w:tcBorders>
            <w:noWrap/>
            <w:tcMar>
              <w:top w:w="12" w:type="dxa"/>
              <w:left w:w="12" w:type="dxa"/>
              <w:right w:w="12" w:type="dxa"/>
            </w:tcMar>
            <w:vAlign w:val="center"/>
          </w:tcPr>
          <w:p w14:paraId="48BD74D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60</w:t>
            </w:r>
          </w:p>
        </w:tc>
        <w:tc>
          <w:tcPr>
            <w:tcW w:w="712" w:type="pct"/>
            <w:tcBorders>
              <w:tl2br w:val="nil"/>
              <w:tr2bl w:val="nil"/>
            </w:tcBorders>
            <w:noWrap/>
            <w:tcMar>
              <w:top w:w="12" w:type="dxa"/>
              <w:left w:w="12" w:type="dxa"/>
              <w:right w:w="12" w:type="dxa"/>
            </w:tcMar>
            <w:vAlign w:val="center"/>
          </w:tcPr>
          <w:p w14:paraId="27376353"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18.47 </w:t>
            </w:r>
          </w:p>
        </w:tc>
        <w:tc>
          <w:tcPr>
            <w:tcW w:w="401" w:type="pct"/>
            <w:tcBorders>
              <w:tl2br w:val="nil"/>
              <w:tr2bl w:val="nil"/>
            </w:tcBorders>
            <w:noWrap/>
            <w:tcMar>
              <w:top w:w="12" w:type="dxa"/>
              <w:left w:w="12" w:type="dxa"/>
              <w:right w:w="12" w:type="dxa"/>
            </w:tcMar>
            <w:vAlign w:val="center"/>
          </w:tcPr>
          <w:p w14:paraId="12EA222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6A1F5358" w14:textId="77777777">
        <w:trPr>
          <w:trHeight w:val="369"/>
        </w:trPr>
        <w:tc>
          <w:tcPr>
            <w:tcW w:w="204" w:type="pct"/>
            <w:tcBorders>
              <w:tl2br w:val="nil"/>
              <w:tr2bl w:val="nil"/>
            </w:tcBorders>
            <w:noWrap/>
            <w:tcMar>
              <w:top w:w="12" w:type="dxa"/>
              <w:left w:w="12" w:type="dxa"/>
              <w:right w:w="12" w:type="dxa"/>
            </w:tcMar>
            <w:vAlign w:val="center"/>
          </w:tcPr>
          <w:p w14:paraId="1BECAF5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813" w:type="pct"/>
            <w:tcBorders>
              <w:tl2br w:val="nil"/>
              <w:tr2bl w:val="nil"/>
            </w:tcBorders>
            <w:noWrap/>
            <w:tcMar>
              <w:top w:w="12" w:type="dxa"/>
              <w:left w:w="12" w:type="dxa"/>
              <w:right w:w="12" w:type="dxa"/>
            </w:tcMar>
            <w:vAlign w:val="center"/>
          </w:tcPr>
          <w:p w14:paraId="620FDD0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项目区上风向</w:t>
            </w:r>
          </w:p>
        </w:tc>
        <w:tc>
          <w:tcPr>
            <w:tcW w:w="467" w:type="pct"/>
            <w:tcBorders>
              <w:tl2br w:val="nil"/>
              <w:tr2bl w:val="nil"/>
            </w:tcBorders>
            <w:noWrap/>
            <w:tcMar>
              <w:top w:w="12" w:type="dxa"/>
              <w:left w:w="12" w:type="dxa"/>
              <w:right w:w="12" w:type="dxa"/>
            </w:tcMar>
            <w:vAlign w:val="center"/>
          </w:tcPr>
          <w:p w14:paraId="159EF40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年平均</w:t>
            </w:r>
          </w:p>
        </w:tc>
        <w:tc>
          <w:tcPr>
            <w:tcW w:w="552" w:type="pct"/>
            <w:tcBorders>
              <w:tl2br w:val="nil"/>
              <w:tr2bl w:val="nil"/>
            </w:tcBorders>
            <w:noWrap/>
            <w:tcMar>
              <w:top w:w="12" w:type="dxa"/>
              <w:left w:w="12" w:type="dxa"/>
              <w:right w:w="12" w:type="dxa"/>
            </w:tcMar>
            <w:vAlign w:val="center"/>
          </w:tcPr>
          <w:p w14:paraId="0E04FAB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0.065</w:t>
            </w:r>
          </w:p>
        </w:tc>
        <w:tc>
          <w:tcPr>
            <w:tcW w:w="586" w:type="pct"/>
            <w:tcBorders>
              <w:tl2br w:val="nil"/>
              <w:tr2bl w:val="nil"/>
            </w:tcBorders>
            <w:noWrap/>
            <w:tcMar>
              <w:top w:w="12" w:type="dxa"/>
              <w:left w:w="12" w:type="dxa"/>
              <w:right w:w="12" w:type="dxa"/>
            </w:tcMar>
            <w:vAlign w:val="center"/>
          </w:tcPr>
          <w:p w14:paraId="7012816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p>
        </w:tc>
        <w:tc>
          <w:tcPr>
            <w:tcW w:w="653" w:type="pct"/>
            <w:tcBorders>
              <w:tl2br w:val="nil"/>
              <w:tr2bl w:val="nil"/>
            </w:tcBorders>
            <w:noWrap/>
            <w:tcMar>
              <w:top w:w="12" w:type="dxa"/>
              <w:left w:w="12" w:type="dxa"/>
              <w:right w:w="12" w:type="dxa"/>
            </w:tcMar>
            <w:vAlign w:val="center"/>
          </w:tcPr>
          <w:p w14:paraId="10FB97ED"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r>
              <w:rPr>
                <w:b/>
                <w:bCs/>
                <w:color w:val="000000"/>
                <w:szCs w:val="21"/>
                <w:u w:val="single"/>
              </w:rPr>
              <w:t>.06</w:t>
            </w:r>
            <w:r>
              <w:rPr>
                <w:rFonts w:hint="eastAsia"/>
                <w:b/>
                <w:bCs/>
                <w:color w:val="000000"/>
                <w:szCs w:val="21"/>
                <w:u w:val="single"/>
              </w:rPr>
              <w:t>5</w:t>
            </w:r>
          </w:p>
        </w:tc>
        <w:tc>
          <w:tcPr>
            <w:tcW w:w="608" w:type="pct"/>
            <w:tcBorders>
              <w:tl2br w:val="nil"/>
              <w:tr2bl w:val="nil"/>
            </w:tcBorders>
            <w:noWrap/>
            <w:tcMar>
              <w:top w:w="12" w:type="dxa"/>
              <w:left w:w="12" w:type="dxa"/>
              <w:right w:w="12" w:type="dxa"/>
            </w:tcMar>
            <w:vAlign w:val="center"/>
          </w:tcPr>
          <w:p w14:paraId="1F001F7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60</w:t>
            </w:r>
          </w:p>
        </w:tc>
        <w:tc>
          <w:tcPr>
            <w:tcW w:w="712" w:type="pct"/>
            <w:tcBorders>
              <w:tl2br w:val="nil"/>
              <w:tr2bl w:val="nil"/>
            </w:tcBorders>
            <w:noWrap/>
            <w:tcMar>
              <w:top w:w="12" w:type="dxa"/>
              <w:left w:w="12" w:type="dxa"/>
              <w:right w:w="12" w:type="dxa"/>
            </w:tcMar>
            <w:vAlign w:val="center"/>
          </w:tcPr>
          <w:p w14:paraId="62C3CCD4"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18.44 </w:t>
            </w:r>
          </w:p>
        </w:tc>
        <w:tc>
          <w:tcPr>
            <w:tcW w:w="401" w:type="pct"/>
            <w:tcBorders>
              <w:tl2br w:val="nil"/>
              <w:tr2bl w:val="nil"/>
            </w:tcBorders>
            <w:noWrap/>
            <w:tcMar>
              <w:top w:w="12" w:type="dxa"/>
              <w:left w:w="12" w:type="dxa"/>
              <w:right w:w="12" w:type="dxa"/>
            </w:tcMar>
            <w:vAlign w:val="center"/>
          </w:tcPr>
          <w:p w14:paraId="0C95CE7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4B581F21" w14:textId="77777777">
        <w:trPr>
          <w:trHeight w:val="369"/>
        </w:trPr>
        <w:tc>
          <w:tcPr>
            <w:tcW w:w="204" w:type="pct"/>
            <w:tcBorders>
              <w:tl2br w:val="nil"/>
              <w:tr2bl w:val="nil"/>
            </w:tcBorders>
            <w:noWrap/>
            <w:tcMar>
              <w:top w:w="12" w:type="dxa"/>
              <w:left w:w="12" w:type="dxa"/>
              <w:right w:w="12" w:type="dxa"/>
            </w:tcMar>
            <w:vAlign w:val="center"/>
          </w:tcPr>
          <w:p w14:paraId="4ECD512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813" w:type="pct"/>
            <w:tcBorders>
              <w:tl2br w:val="nil"/>
              <w:tr2bl w:val="nil"/>
            </w:tcBorders>
            <w:noWrap/>
            <w:tcMar>
              <w:top w:w="12" w:type="dxa"/>
              <w:left w:w="12" w:type="dxa"/>
              <w:right w:w="12" w:type="dxa"/>
            </w:tcMar>
            <w:vAlign w:val="center"/>
          </w:tcPr>
          <w:p w14:paraId="35B00F0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项目区下风向</w:t>
            </w:r>
          </w:p>
        </w:tc>
        <w:tc>
          <w:tcPr>
            <w:tcW w:w="467" w:type="pct"/>
            <w:tcBorders>
              <w:tl2br w:val="nil"/>
              <w:tr2bl w:val="nil"/>
            </w:tcBorders>
            <w:noWrap/>
            <w:tcMar>
              <w:top w:w="12" w:type="dxa"/>
              <w:left w:w="12" w:type="dxa"/>
              <w:right w:w="12" w:type="dxa"/>
            </w:tcMar>
            <w:vAlign w:val="center"/>
          </w:tcPr>
          <w:p w14:paraId="3E3C632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年平均</w:t>
            </w:r>
          </w:p>
        </w:tc>
        <w:tc>
          <w:tcPr>
            <w:tcW w:w="552" w:type="pct"/>
            <w:tcBorders>
              <w:tl2br w:val="nil"/>
              <w:tr2bl w:val="nil"/>
            </w:tcBorders>
            <w:noWrap/>
            <w:tcMar>
              <w:top w:w="12" w:type="dxa"/>
              <w:left w:w="12" w:type="dxa"/>
              <w:right w:w="12" w:type="dxa"/>
            </w:tcMar>
            <w:vAlign w:val="center"/>
          </w:tcPr>
          <w:p w14:paraId="2DB53F3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0.058</w:t>
            </w:r>
          </w:p>
        </w:tc>
        <w:tc>
          <w:tcPr>
            <w:tcW w:w="586" w:type="pct"/>
            <w:tcBorders>
              <w:tl2br w:val="nil"/>
              <w:tr2bl w:val="nil"/>
            </w:tcBorders>
            <w:noWrap/>
            <w:tcMar>
              <w:top w:w="12" w:type="dxa"/>
              <w:left w:w="12" w:type="dxa"/>
              <w:right w:w="12" w:type="dxa"/>
            </w:tcMar>
            <w:vAlign w:val="center"/>
          </w:tcPr>
          <w:p w14:paraId="1D47E01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p>
        </w:tc>
        <w:tc>
          <w:tcPr>
            <w:tcW w:w="653" w:type="pct"/>
            <w:tcBorders>
              <w:tl2br w:val="nil"/>
              <w:tr2bl w:val="nil"/>
            </w:tcBorders>
            <w:noWrap/>
            <w:tcMar>
              <w:top w:w="12" w:type="dxa"/>
              <w:left w:w="12" w:type="dxa"/>
              <w:right w:w="12" w:type="dxa"/>
            </w:tcMar>
            <w:vAlign w:val="center"/>
          </w:tcPr>
          <w:p w14:paraId="696D103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r>
              <w:rPr>
                <w:b/>
                <w:bCs/>
                <w:color w:val="000000"/>
                <w:szCs w:val="21"/>
                <w:u w:val="single"/>
              </w:rPr>
              <w:t>.0</w:t>
            </w:r>
            <w:r>
              <w:rPr>
                <w:rFonts w:hint="eastAsia"/>
                <w:b/>
                <w:bCs/>
                <w:color w:val="000000"/>
                <w:szCs w:val="21"/>
                <w:u w:val="single"/>
              </w:rPr>
              <w:t>58</w:t>
            </w:r>
          </w:p>
        </w:tc>
        <w:tc>
          <w:tcPr>
            <w:tcW w:w="608" w:type="pct"/>
            <w:tcBorders>
              <w:tl2br w:val="nil"/>
              <w:tr2bl w:val="nil"/>
            </w:tcBorders>
            <w:noWrap/>
            <w:tcMar>
              <w:top w:w="12" w:type="dxa"/>
              <w:left w:w="12" w:type="dxa"/>
              <w:right w:w="12" w:type="dxa"/>
            </w:tcMar>
            <w:vAlign w:val="center"/>
          </w:tcPr>
          <w:p w14:paraId="18143F3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60</w:t>
            </w:r>
          </w:p>
        </w:tc>
        <w:tc>
          <w:tcPr>
            <w:tcW w:w="712" w:type="pct"/>
            <w:tcBorders>
              <w:tl2br w:val="nil"/>
              <w:tr2bl w:val="nil"/>
            </w:tcBorders>
            <w:noWrap/>
            <w:tcMar>
              <w:top w:w="12" w:type="dxa"/>
              <w:left w:w="12" w:type="dxa"/>
              <w:right w:w="12" w:type="dxa"/>
            </w:tcMar>
            <w:vAlign w:val="center"/>
          </w:tcPr>
          <w:p w14:paraId="5BC8DE2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18.43 </w:t>
            </w:r>
          </w:p>
        </w:tc>
        <w:tc>
          <w:tcPr>
            <w:tcW w:w="401" w:type="pct"/>
            <w:tcBorders>
              <w:tl2br w:val="nil"/>
              <w:tr2bl w:val="nil"/>
            </w:tcBorders>
            <w:noWrap/>
            <w:tcMar>
              <w:top w:w="12" w:type="dxa"/>
              <w:left w:w="12" w:type="dxa"/>
              <w:right w:w="12" w:type="dxa"/>
            </w:tcMar>
            <w:vAlign w:val="center"/>
          </w:tcPr>
          <w:p w14:paraId="43FFE74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65A9A7FF" w14:textId="77777777">
        <w:trPr>
          <w:trHeight w:val="369"/>
        </w:trPr>
        <w:tc>
          <w:tcPr>
            <w:tcW w:w="204" w:type="pct"/>
            <w:tcBorders>
              <w:tl2br w:val="nil"/>
              <w:tr2bl w:val="nil"/>
            </w:tcBorders>
            <w:noWrap/>
            <w:tcMar>
              <w:top w:w="12" w:type="dxa"/>
              <w:left w:w="12" w:type="dxa"/>
              <w:right w:w="12" w:type="dxa"/>
            </w:tcMar>
            <w:vAlign w:val="center"/>
          </w:tcPr>
          <w:p w14:paraId="0EAEFF6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813" w:type="pct"/>
            <w:tcBorders>
              <w:tl2br w:val="nil"/>
              <w:tr2bl w:val="nil"/>
            </w:tcBorders>
            <w:noWrap/>
            <w:tcMar>
              <w:top w:w="12" w:type="dxa"/>
              <w:left w:w="12" w:type="dxa"/>
              <w:right w:w="12" w:type="dxa"/>
            </w:tcMar>
            <w:vAlign w:val="center"/>
          </w:tcPr>
          <w:p w14:paraId="6A88875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网格点最大值（</w:t>
            </w:r>
            <w:r>
              <w:rPr>
                <w:rFonts w:hint="eastAsia"/>
                <w:b/>
                <w:bCs/>
                <w:color w:val="000000"/>
                <w:szCs w:val="21"/>
                <w:u w:val="single"/>
              </w:rPr>
              <w:t>1900</w:t>
            </w:r>
            <w:r>
              <w:rPr>
                <w:b/>
                <w:bCs/>
                <w:color w:val="000000"/>
                <w:szCs w:val="21"/>
                <w:u w:val="single"/>
              </w:rPr>
              <w:t>，</w:t>
            </w:r>
            <w:r>
              <w:rPr>
                <w:rFonts w:hint="eastAsia"/>
                <w:b/>
                <w:bCs/>
                <w:color w:val="000000"/>
                <w:szCs w:val="21"/>
                <w:u w:val="single"/>
              </w:rPr>
              <w:t>80</w:t>
            </w:r>
            <w:r>
              <w:rPr>
                <w:b/>
                <w:bCs/>
                <w:color w:val="000000"/>
                <w:szCs w:val="21"/>
                <w:u w:val="single"/>
              </w:rPr>
              <w:t>0</w:t>
            </w:r>
            <w:r>
              <w:rPr>
                <w:b/>
                <w:bCs/>
                <w:color w:val="000000"/>
                <w:szCs w:val="21"/>
                <w:u w:val="single"/>
              </w:rPr>
              <w:t>）</w:t>
            </w:r>
          </w:p>
        </w:tc>
        <w:tc>
          <w:tcPr>
            <w:tcW w:w="467" w:type="pct"/>
            <w:tcBorders>
              <w:tl2br w:val="nil"/>
              <w:tr2bl w:val="nil"/>
            </w:tcBorders>
            <w:noWrap/>
            <w:tcMar>
              <w:top w:w="12" w:type="dxa"/>
              <w:left w:w="12" w:type="dxa"/>
              <w:right w:w="12" w:type="dxa"/>
            </w:tcMar>
            <w:vAlign w:val="center"/>
          </w:tcPr>
          <w:p w14:paraId="12BC7FD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年平均</w:t>
            </w:r>
          </w:p>
        </w:tc>
        <w:tc>
          <w:tcPr>
            <w:tcW w:w="552" w:type="pct"/>
            <w:tcBorders>
              <w:tl2br w:val="nil"/>
              <w:tr2bl w:val="nil"/>
            </w:tcBorders>
            <w:noWrap/>
            <w:tcMar>
              <w:top w:w="12" w:type="dxa"/>
              <w:left w:w="12" w:type="dxa"/>
              <w:right w:w="12" w:type="dxa"/>
            </w:tcMar>
            <w:vAlign w:val="center"/>
          </w:tcPr>
          <w:p w14:paraId="64819BF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0.328</w:t>
            </w:r>
          </w:p>
        </w:tc>
        <w:tc>
          <w:tcPr>
            <w:tcW w:w="586" w:type="pct"/>
            <w:tcBorders>
              <w:tl2br w:val="nil"/>
              <w:tr2bl w:val="nil"/>
            </w:tcBorders>
            <w:noWrap/>
            <w:tcMar>
              <w:top w:w="12" w:type="dxa"/>
              <w:left w:w="12" w:type="dxa"/>
              <w:right w:w="12" w:type="dxa"/>
            </w:tcMar>
            <w:vAlign w:val="center"/>
          </w:tcPr>
          <w:p w14:paraId="5B4967C3"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p>
        </w:tc>
        <w:tc>
          <w:tcPr>
            <w:tcW w:w="653" w:type="pct"/>
            <w:tcBorders>
              <w:tl2br w:val="nil"/>
              <w:tr2bl w:val="nil"/>
            </w:tcBorders>
            <w:noWrap/>
            <w:tcMar>
              <w:top w:w="12" w:type="dxa"/>
              <w:left w:w="12" w:type="dxa"/>
              <w:right w:w="12" w:type="dxa"/>
            </w:tcMar>
            <w:vAlign w:val="center"/>
          </w:tcPr>
          <w:p w14:paraId="2A1E888C"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11</w:t>
            </w:r>
            <w:r>
              <w:rPr>
                <w:b/>
                <w:bCs/>
                <w:color w:val="000000"/>
                <w:szCs w:val="21"/>
                <w:u w:val="single"/>
              </w:rPr>
              <w:t>.3</w:t>
            </w:r>
            <w:r>
              <w:rPr>
                <w:rFonts w:hint="eastAsia"/>
                <w:b/>
                <w:bCs/>
                <w:color w:val="000000"/>
                <w:szCs w:val="21"/>
                <w:u w:val="single"/>
              </w:rPr>
              <w:t>28</w:t>
            </w:r>
          </w:p>
        </w:tc>
        <w:tc>
          <w:tcPr>
            <w:tcW w:w="608" w:type="pct"/>
            <w:tcBorders>
              <w:tl2br w:val="nil"/>
              <w:tr2bl w:val="nil"/>
            </w:tcBorders>
            <w:noWrap/>
            <w:tcMar>
              <w:top w:w="12" w:type="dxa"/>
              <w:left w:w="12" w:type="dxa"/>
              <w:right w:w="12" w:type="dxa"/>
            </w:tcMar>
            <w:vAlign w:val="center"/>
          </w:tcPr>
          <w:p w14:paraId="70691B2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60</w:t>
            </w:r>
          </w:p>
        </w:tc>
        <w:tc>
          <w:tcPr>
            <w:tcW w:w="712" w:type="pct"/>
            <w:tcBorders>
              <w:tl2br w:val="nil"/>
              <w:tr2bl w:val="nil"/>
            </w:tcBorders>
            <w:noWrap/>
            <w:tcMar>
              <w:top w:w="12" w:type="dxa"/>
              <w:left w:w="12" w:type="dxa"/>
              <w:right w:w="12" w:type="dxa"/>
            </w:tcMar>
            <w:vAlign w:val="center"/>
          </w:tcPr>
          <w:p w14:paraId="0B42AAA4"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18.88 </w:t>
            </w:r>
          </w:p>
        </w:tc>
        <w:tc>
          <w:tcPr>
            <w:tcW w:w="401" w:type="pct"/>
            <w:tcBorders>
              <w:tl2br w:val="nil"/>
              <w:tr2bl w:val="nil"/>
            </w:tcBorders>
            <w:noWrap/>
            <w:tcMar>
              <w:top w:w="12" w:type="dxa"/>
              <w:left w:w="12" w:type="dxa"/>
              <w:right w:w="12" w:type="dxa"/>
            </w:tcMar>
            <w:vAlign w:val="center"/>
          </w:tcPr>
          <w:p w14:paraId="17990D8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bl>
    <w:p w14:paraId="389ED04E" w14:textId="77777777" w:rsidR="003E78AB" w:rsidRDefault="00010BF9">
      <w:pPr>
        <w:pStyle w:val="afff3"/>
        <w:snapToGrid/>
        <w:ind w:firstLine="482"/>
        <w:rPr>
          <w:rFonts w:ascii="Times New Roman" w:hAnsi="Times New Roman"/>
          <w:b/>
          <w:bCs/>
          <w:color w:val="000000"/>
          <w:sz w:val="24"/>
          <w:szCs w:val="24"/>
          <w:u w:val="single"/>
        </w:rPr>
      </w:pPr>
      <w:r>
        <w:rPr>
          <w:rFonts w:ascii="Times New Roman" w:hAnsi="Times New Roman"/>
          <w:b/>
          <w:bCs/>
          <w:color w:val="000000"/>
          <w:sz w:val="24"/>
          <w:szCs w:val="24"/>
          <w:u w:val="single"/>
        </w:rPr>
        <w:t>②</w:t>
      </w:r>
      <w:r>
        <w:rPr>
          <w:rFonts w:ascii="Times New Roman" w:hAnsi="Times New Roman"/>
          <w:b/>
          <w:bCs/>
          <w:color w:val="000000"/>
          <w:sz w:val="24"/>
          <w:szCs w:val="24"/>
          <w:u w:val="single"/>
        </w:rPr>
        <w:t>短期质量浓度（</w:t>
      </w:r>
      <w:r>
        <w:rPr>
          <w:rFonts w:ascii="Times New Roman" w:hAnsi="Times New Roman" w:hint="eastAsia"/>
          <w:b/>
          <w:bCs/>
          <w:color w:val="000000"/>
          <w:sz w:val="24"/>
          <w:szCs w:val="24"/>
          <w:u w:val="single"/>
        </w:rPr>
        <w:t>TVOC</w:t>
      </w:r>
      <w:r>
        <w:rPr>
          <w:rFonts w:ascii="Times New Roman" w:hAnsi="Times New Roman" w:hint="eastAsia"/>
          <w:b/>
          <w:bCs/>
          <w:color w:val="000000"/>
          <w:sz w:val="24"/>
          <w:szCs w:val="24"/>
          <w:u w:val="single"/>
        </w:rPr>
        <w:t>、硫酸雾</w:t>
      </w:r>
      <w:r>
        <w:rPr>
          <w:rFonts w:ascii="Times New Roman" w:hAnsi="Times New Roman"/>
          <w:b/>
          <w:bCs/>
          <w:color w:val="000000"/>
          <w:sz w:val="24"/>
          <w:szCs w:val="24"/>
          <w:u w:val="single"/>
        </w:rPr>
        <w:t>）</w:t>
      </w:r>
    </w:p>
    <w:p w14:paraId="3FAA250A" w14:textId="77777777" w:rsidR="003E78AB" w:rsidRDefault="00010BF9">
      <w:pPr>
        <w:ind w:firstLine="482"/>
        <w:rPr>
          <w:b/>
          <w:bCs/>
          <w:color w:val="000000"/>
          <w:szCs w:val="22"/>
          <w:u w:val="single"/>
        </w:rPr>
      </w:pPr>
      <w:r>
        <w:rPr>
          <w:b/>
          <w:bCs/>
          <w:color w:val="000000"/>
          <w:kern w:val="2"/>
          <w:u w:val="single"/>
          <w:lang w:bidi="ar"/>
        </w:rPr>
        <w:t>本项目正常排放条件下，对于项目排放的主要污染物仅有短期浓度限值的，预测评价叠加环境空气质量现状浓度和区域其他在建拟建项目污染源环境影响后，环境空气保护目标和网格点主要污染物的短期浓度叠加后的达标情况，见下表。</w:t>
      </w:r>
    </w:p>
    <w:p w14:paraId="7D5BCF44" w14:textId="77777777" w:rsidR="003E78AB" w:rsidRDefault="00010BF9">
      <w:pPr>
        <w:pStyle w:val="a4"/>
        <w:spacing w:before="120"/>
        <w:rPr>
          <w:b/>
          <w:bCs/>
          <w:color w:val="000000"/>
          <w:u w:val="single"/>
        </w:rPr>
      </w:pPr>
      <w:r>
        <w:rPr>
          <w:b/>
          <w:bCs/>
          <w:color w:val="000000"/>
          <w:u w:val="single"/>
        </w:rPr>
        <w:t>叠加后非甲烷总烃的短期质量浓度</w:t>
      </w:r>
    </w:p>
    <w:tbl>
      <w:tblPr>
        <w:tblW w:w="4975"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9"/>
        <w:gridCol w:w="1335"/>
        <w:gridCol w:w="649"/>
        <w:gridCol w:w="1052"/>
        <w:gridCol w:w="959"/>
        <w:gridCol w:w="1097"/>
        <w:gridCol w:w="1007"/>
        <w:gridCol w:w="1181"/>
        <w:gridCol w:w="663"/>
      </w:tblGrid>
      <w:tr w:rsidR="003E78AB" w14:paraId="34F50F94" w14:textId="77777777">
        <w:trPr>
          <w:trHeight w:val="369"/>
          <w:tblHeader/>
        </w:trPr>
        <w:tc>
          <w:tcPr>
            <w:tcW w:w="205" w:type="pct"/>
            <w:tcBorders>
              <w:tl2br w:val="nil"/>
              <w:tr2bl w:val="nil"/>
            </w:tcBorders>
            <w:noWrap/>
            <w:tcMar>
              <w:top w:w="12" w:type="dxa"/>
              <w:left w:w="12" w:type="dxa"/>
              <w:right w:w="12" w:type="dxa"/>
            </w:tcMar>
            <w:vAlign w:val="center"/>
          </w:tcPr>
          <w:p w14:paraId="462B4D5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805" w:type="pct"/>
            <w:tcBorders>
              <w:tl2br w:val="nil"/>
              <w:tr2bl w:val="nil"/>
            </w:tcBorders>
            <w:noWrap/>
            <w:tcMar>
              <w:top w:w="12" w:type="dxa"/>
              <w:left w:w="12" w:type="dxa"/>
              <w:right w:w="12" w:type="dxa"/>
            </w:tcMar>
            <w:vAlign w:val="center"/>
          </w:tcPr>
          <w:p w14:paraId="0643540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392" w:type="pct"/>
            <w:tcBorders>
              <w:tl2br w:val="nil"/>
              <w:tr2bl w:val="nil"/>
            </w:tcBorders>
            <w:noWrap/>
            <w:tcMar>
              <w:top w:w="12" w:type="dxa"/>
              <w:left w:w="12" w:type="dxa"/>
              <w:right w:w="12" w:type="dxa"/>
            </w:tcMar>
            <w:vAlign w:val="center"/>
          </w:tcPr>
          <w:p w14:paraId="5FFB84A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634" w:type="pct"/>
            <w:tcBorders>
              <w:tl2br w:val="nil"/>
              <w:tr2bl w:val="nil"/>
            </w:tcBorders>
            <w:noWrap/>
            <w:tcMar>
              <w:top w:w="12" w:type="dxa"/>
              <w:left w:w="12" w:type="dxa"/>
              <w:right w:w="12" w:type="dxa"/>
            </w:tcMar>
            <w:vAlign w:val="center"/>
          </w:tcPr>
          <w:p w14:paraId="4F1DF5E1"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578" w:type="pct"/>
            <w:tcBorders>
              <w:tl2br w:val="nil"/>
              <w:tr2bl w:val="nil"/>
            </w:tcBorders>
            <w:noWrap/>
            <w:tcMar>
              <w:top w:w="12" w:type="dxa"/>
              <w:left w:w="12" w:type="dxa"/>
              <w:right w:w="12" w:type="dxa"/>
            </w:tcMar>
            <w:vAlign w:val="center"/>
          </w:tcPr>
          <w:p w14:paraId="4B6E9D71"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61" w:type="pct"/>
            <w:tcBorders>
              <w:tl2br w:val="nil"/>
              <w:tr2bl w:val="nil"/>
            </w:tcBorders>
            <w:noWrap/>
            <w:tcMar>
              <w:top w:w="12" w:type="dxa"/>
              <w:left w:w="12" w:type="dxa"/>
              <w:right w:w="12" w:type="dxa"/>
            </w:tcMar>
            <w:vAlign w:val="center"/>
          </w:tcPr>
          <w:p w14:paraId="6D9AD6A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7" w:type="pct"/>
            <w:tcBorders>
              <w:tl2br w:val="nil"/>
              <w:tr2bl w:val="nil"/>
            </w:tcBorders>
            <w:noWrap/>
            <w:tcMar>
              <w:top w:w="12" w:type="dxa"/>
              <w:left w:w="12" w:type="dxa"/>
              <w:right w:w="12" w:type="dxa"/>
            </w:tcMar>
            <w:vAlign w:val="center"/>
          </w:tcPr>
          <w:p w14:paraId="682AE13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2" w:type="pct"/>
            <w:tcBorders>
              <w:tl2br w:val="nil"/>
              <w:tr2bl w:val="nil"/>
            </w:tcBorders>
            <w:noWrap/>
            <w:tcMar>
              <w:top w:w="12" w:type="dxa"/>
              <w:left w:w="12" w:type="dxa"/>
              <w:right w:w="12" w:type="dxa"/>
            </w:tcMar>
            <w:vAlign w:val="center"/>
          </w:tcPr>
          <w:p w14:paraId="500F260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0" w:type="pct"/>
            <w:tcBorders>
              <w:tl2br w:val="nil"/>
              <w:tr2bl w:val="nil"/>
            </w:tcBorders>
            <w:noWrap/>
            <w:tcMar>
              <w:top w:w="12" w:type="dxa"/>
              <w:left w:w="12" w:type="dxa"/>
              <w:right w:w="12" w:type="dxa"/>
            </w:tcMar>
            <w:vAlign w:val="center"/>
          </w:tcPr>
          <w:p w14:paraId="703341C5"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796F113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6D757A10" w14:textId="77777777">
        <w:trPr>
          <w:trHeight w:val="369"/>
        </w:trPr>
        <w:tc>
          <w:tcPr>
            <w:tcW w:w="205" w:type="pct"/>
            <w:tcBorders>
              <w:tl2br w:val="nil"/>
              <w:tr2bl w:val="nil"/>
            </w:tcBorders>
            <w:noWrap/>
            <w:tcMar>
              <w:top w:w="12" w:type="dxa"/>
              <w:left w:w="12" w:type="dxa"/>
              <w:right w:w="12" w:type="dxa"/>
            </w:tcMar>
            <w:vAlign w:val="center"/>
          </w:tcPr>
          <w:p w14:paraId="3863601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805" w:type="pct"/>
            <w:tcBorders>
              <w:tl2br w:val="nil"/>
              <w:tr2bl w:val="nil"/>
            </w:tcBorders>
            <w:noWrap/>
            <w:tcMar>
              <w:top w:w="12" w:type="dxa"/>
              <w:left w:w="12" w:type="dxa"/>
              <w:right w:w="12" w:type="dxa"/>
            </w:tcMar>
            <w:vAlign w:val="center"/>
          </w:tcPr>
          <w:p w14:paraId="5769CBC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安居富民小区</w:t>
            </w:r>
          </w:p>
        </w:tc>
        <w:tc>
          <w:tcPr>
            <w:tcW w:w="392" w:type="pct"/>
            <w:tcBorders>
              <w:tl2br w:val="nil"/>
              <w:tr2bl w:val="nil"/>
            </w:tcBorders>
            <w:noWrap/>
            <w:tcMar>
              <w:top w:w="12" w:type="dxa"/>
              <w:left w:w="12" w:type="dxa"/>
              <w:right w:w="12" w:type="dxa"/>
            </w:tcMar>
            <w:vAlign w:val="center"/>
          </w:tcPr>
          <w:p w14:paraId="10BAD24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6A21D0D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1.5465 </w:t>
            </w:r>
          </w:p>
        </w:tc>
        <w:tc>
          <w:tcPr>
            <w:tcW w:w="578" w:type="pct"/>
            <w:tcBorders>
              <w:tl2br w:val="nil"/>
              <w:tr2bl w:val="nil"/>
            </w:tcBorders>
            <w:noWrap/>
            <w:tcMar>
              <w:top w:w="12" w:type="dxa"/>
              <w:left w:w="12" w:type="dxa"/>
              <w:right w:w="12" w:type="dxa"/>
            </w:tcMar>
            <w:vAlign w:val="center"/>
          </w:tcPr>
          <w:p w14:paraId="2E55F39E"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30.8</w:t>
            </w:r>
          </w:p>
        </w:tc>
        <w:tc>
          <w:tcPr>
            <w:tcW w:w="661" w:type="pct"/>
            <w:tcBorders>
              <w:tl2br w:val="nil"/>
              <w:tr2bl w:val="nil"/>
            </w:tcBorders>
            <w:noWrap/>
            <w:tcMar>
              <w:top w:w="12" w:type="dxa"/>
              <w:left w:w="12" w:type="dxa"/>
              <w:right w:w="12" w:type="dxa"/>
            </w:tcMar>
            <w:vAlign w:val="center"/>
          </w:tcPr>
          <w:p w14:paraId="326FC59F"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32.3465</w:t>
            </w:r>
          </w:p>
        </w:tc>
        <w:tc>
          <w:tcPr>
            <w:tcW w:w="607" w:type="pct"/>
            <w:tcBorders>
              <w:tl2br w:val="nil"/>
              <w:tr2bl w:val="nil"/>
            </w:tcBorders>
            <w:noWrap/>
            <w:tcMar>
              <w:top w:w="12" w:type="dxa"/>
              <w:left w:w="12" w:type="dxa"/>
              <w:right w:w="12" w:type="dxa"/>
            </w:tcMar>
            <w:vAlign w:val="center"/>
          </w:tcPr>
          <w:p w14:paraId="04FD3AB5"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1200</w:t>
            </w:r>
          </w:p>
        </w:tc>
        <w:tc>
          <w:tcPr>
            <w:tcW w:w="712" w:type="pct"/>
            <w:tcBorders>
              <w:tl2br w:val="nil"/>
              <w:tr2bl w:val="nil"/>
            </w:tcBorders>
            <w:noWrap/>
            <w:tcMar>
              <w:top w:w="12" w:type="dxa"/>
              <w:left w:w="12" w:type="dxa"/>
              <w:right w:w="12" w:type="dxa"/>
            </w:tcMar>
            <w:vAlign w:val="center"/>
          </w:tcPr>
          <w:p w14:paraId="01C1F25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2.70</w:t>
            </w:r>
          </w:p>
        </w:tc>
        <w:tc>
          <w:tcPr>
            <w:tcW w:w="400" w:type="pct"/>
            <w:tcBorders>
              <w:tl2br w:val="nil"/>
              <w:tr2bl w:val="nil"/>
            </w:tcBorders>
            <w:noWrap/>
            <w:tcMar>
              <w:top w:w="12" w:type="dxa"/>
              <w:left w:w="12" w:type="dxa"/>
              <w:right w:w="12" w:type="dxa"/>
            </w:tcMar>
            <w:vAlign w:val="center"/>
          </w:tcPr>
          <w:p w14:paraId="087AE37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达标</w:t>
            </w:r>
          </w:p>
        </w:tc>
      </w:tr>
      <w:tr w:rsidR="003E78AB" w14:paraId="6C7B7ED5" w14:textId="77777777">
        <w:trPr>
          <w:trHeight w:val="369"/>
        </w:trPr>
        <w:tc>
          <w:tcPr>
            <w:tcW w:w="205" w:type="pct"/>
            <w:tcBorders>
              <w:tl2br w:val="nil"/>
              <w:tr2bl w:val="nil"/>
            </w:tcBorders>
            <w:noWrap/>
            <w:tcMar>
              <w:top w:w="12" w:type="dxa"/>
              <w:left w:w="12" w:type="dxa"/>
              <w:right w:w="12" w:type="dxa"/>
            </w:tcMar>
            <w:vAlign w:val="center"/>
          </w:tcPr>
          <w:p w14:paraId="4ED8B83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805" w:type="pct"/>
            <w:tcBorders>
              <w:tl2br w:val="nil"/>
              <w:tr2bl w:val="nil"/>
            </w:tcBorders>
            <w:noWrap/>
            <w:tcMar>
              <w:top w:w="12" w:type="dxa"/>
              <w:left w:w="12" w:type="dxa"/>
              <w:right w:w="12" w:type="dxa"/>
            </w:tcMar>
            <w:vAlign w:val="center"/>
          </w:tcPr>
          <w:p w14:paraId="6B2086D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项目区上风向</w:t>
            </w:r>
          </w:p>
        </w:tc>
        <w:tc>
          <w:tcPr>
            <w:tcW w:w="392" w:type="pct"/>
            <w:tcBorders>
              <w:tl2br w:val="nil"/>
              <w:tr2bl w:val="nil"/>
            </w:tcBorders>
            <w:noWrap/>
            <w:tcMar>
              <w:top w:w="12" w:type="dxa"/>
              <w:left w:w="12" w:type="dxa"/>
              <w:right w:w="12" w:type="dxa"/>
            </w:tcMar>
            <w:vAlign w:val="center"/>
          </w:tcPr>
          <w:p w14:paraId="59E3183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7825C67B"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1.0508 </w:t>
            </w:r>
          </w:p>
        </w:tc>
        <w:tc>
          <w:tcPr>
            <w:tcW w:w="578" w:type="pct"/>
            <w:tcBorders>
              <w:tl2br w:val="nil"/>
              <w:tr2bl w:val="nil"/>
            </w:tcBorders>
            <w:noWrap/>
            <w:tcMar>
              <w:top w:w="12" w:type="dxa"/>
              <w:left w:w="12" w:type="dxa"/>
              <w:right w:w="12" w:type="dxa"/>
            </w:tcMar>
            <w:vAlign w:val="center"/>
          </w:tcPr>
          <w:p w14:paraId="5C3C533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30.8</w:t>
            </w:r>
          </w:p>
        </w:tc>
        <w:tc>
          <w:tcPr>
            <w:tcW w:w="661" w:type="pct"/>
            <w:tcBorders>
              <w:tl2br w:val="nil"/>
              <w:tr2bl w:val="nil"/>
            </w:tcBorders>
            <w:noWrap/>
            <w:tcMar>
              <w:top w:w="12" w:type="dxa"/>
              <w:left w:w="12" w:type="dxa"/>
              <w:right w:w="12" w:type="dxa"/>
            </w:tcMar>
            <w:vAlign w:val="center"/>
          </w:tcPr>
          <w:p w14:paraId="115172F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31.8508</w:t>
            </w:r>
          </w:p>
        </w:tc>
        <w:tc>
          <w:tcPr>
            <w:tcW w:w="607" w:type="pct"/>
            <w:tcBorders>
              <w:tl2br w:val="nil"/>
              <w:tr2bl w:val="nil"/>
            </w:tcBorders>
            <w:noWrap/>
            <w:tcMar>
              <w:top w:w="12" w:type="dxa"/>
              <w:left w:w="12" w:type="dxa"/>
              <w:right w:w="12" w:type="dxa"/>
            </w:tcMar>
            <w:vAlign w:val="center"/>
          </w:tcPr>
          <w:p w14:paraId="7CB475F2"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1200</w:t>
            </w:r>
          </w:p>
        </w:tc>
        <w:tc>
          <w:tcPr>
            <w:tcW w:w="712" w:type="pct"/>
            <w:tcBorders>
              <w:tl2br w:val="nil"/>
              <w:tr2bl w:val="nil"/>
            </w:tcBorders>
            <w:noWrap/>
            <w:tcMar>
              <w:top w:w="12" w:type="dxa"/>
              <w:left w:w="12" w:type="dxa"/>
              <w:right w:w="12" w:type="dxa"/>
            </w:tcMar>
            <w:vAlign w:val="center"/>
          </w:tcPr>
          <w:p w14:paraId="321DCDA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2.65</w:t>
            </w:r>
          </w:p>
        </w:tc>
        <w:tc>
          <w:tcPr>
            <w:tcW w:w="400" w:type="pct"/>
            <w:tcBorders>
              <w:tl2br w:val="nil"/>
              <w:tr2bl w:val="nil"/>
            </w:tcBorders>
            <w:noWrap/>
            <w:tcMar>
              <w:top w:w="12" w:type="dxa"/>
              <w:left w:w="12" w:type="dxa"/>
              <w:right w:w="12" w:type="dxa"/>
            </w:tcMar>
            <w:vAlign w:val="center"/>
          </w:tcPr>
          <w:p w14:paraId="3C6792E7"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达标</w:t>
            </w:r>
          </w:p>
        </w:tc>
      </w:tr>
      <w:tr w:rsidR="003E78AB" w14:paraId="35596396" w14:textId="77777777">
        <w:trPr>
          <w:trHeight w:val="369"/>
        </w:trPr>
        <w:tc>
          <w:tcPr>
            <w:tcW w:w="205" w:type="pct"/>
            <w:tcBorders>
              <w:tl2br w:val="nil"/>
              <w:tr2bl w:val="nil"/>
            </w:tcBorders>
            <w:noWrap/>
            <w:tcMar>
              <w:top w:w="12" w:type="dxa"/>
              <w:left w:w="12" w:type="dxa"/>
              <w:right w:w="12" w:type="dxa"/>
            </w:tcMar>
            <w:vAlign w:val="center"/>
          </w:tcPr>
          <w:p w14:paraId="58BDA63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805" w:type="pct"/>
            <w:tcBorders>
              <w:tl2br w:val="nil"/>
              <w:tr2bl w:val="nil"/>
            </w:tcBorders>
            <w:noWrap/>
            <w:tcMar>
              <w:top w:w="12" w:type="dxa"/>
              <w:left w:w="12" w:type="dxa"/>
              <w:right w:w="12" w:type="dxa"/>
            </w:tcMar>
            <w:vAlign w:val="center"/>
          </w:tcPr>
          <w:p w14:paraId="7E9D868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项目区下风向</w:t>
            </w:r>
          </w:p>
        </w:tc>
        <w:tc>
          <w:tcPr>
            <w:tcW w:w="392" w:type="pct"/>
            <w:tcBorders>
              <w:tl2br w:val="nil"/>
              <w:tr2bl w:val="nil"/>
            </w:tcBorders>
            <w:noWrap/>
            <w:tcMar>
              <w:top w:w="12" w:type="dxa"/>
              <w:left w:w="12" w:type="dxa"/>
              <w:right w:w="12" w:type="dxa"/>
            </w:tcMar>
            <w:vAlign w:val="center"/>
          </w:tcPr>
          <w:p w14:paraId="7C3EFC59"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1763E6BC"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1.5886 </w:t>
            </w:r>
          </w:p>
        </w:tc>
        <w:tc>
          <w:tcPr>
            <w:tcW w:w="578" w:type="pct"/>
            <w:tcBorders>
              <w:tl2br w:val="nil"/>
              <w:tr2bl w:val="nil"/>
            </w:tcBorders>
            <w:noWrap/>
            <w:tcMar>
              <w:top w:w="12" w:type="dxa"/>
              <w:left w:w="12" w:type="dxa"/>
              <w:right w:w="12" w:type="dxa"/>
            </w:tcMar>
            <w:vAlign w:val="center"/>
          </w:tcPr>
          <w:p w14:paraId="6E976C4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30.8</w:t>
            </w:r>
          </w:p>
        </w:tc>
        <w:tc>
          <w:tcPr>
            <w:tcW w:w="661" w:type="pct"/>
            <w:tcBorders>
              <w:tl2br w:val="nil"/>
              <w:tr2bl w:val="nil"/>
            </w:tcBorders>
            <w:noWrap/>
            <w:tcMar>
              <w:top w:w="12" w:type="dxa"/>
              <w:left w:w="12" w:type="dxa"/>
              <w:right w:w="12" w:type="dxa"/>
            </w:tcMar>
            <w:vAlign w:val="center"/>
          </w:tcPr>
          <w:p w14:paraId="42219930"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32.3886</w:t>
            </w:r>
          </w:p>
        </w:tc>
        <w:tc>
          <w:tcPr>
            <w:tcW w:w="607" w:type="pct"/>
            <w:tcBorders>
              <w:tl2br w:val="nil"/>
              <w:tr2bl w:val="nil"/>
            </w:tcBorders>
            <w:noWrap/>
            <w:tcMar>
              <w:top w:w="12" w:type="dxa"/>
              <w:left w:w="12" w:type="dxa"/>
              <w:right w:w="12" w:type="dxa"/>
            </w:tcMar>
            <w:vAlign w:val="center"/>
          </w:tcPr>
          <w:p w14:paraId="1DFEA5AC"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1200</w:t>
            </w:r>
          </w:p>
        </w:tc>
        <w:tc>
          <w:tcPr>
            <w:tcW w:w="712" w:type="pct"/>
            <w:tcBorders>
              <w:tl2br w:val="nil"/>
              <w:tr2bl w:val="nil"/>
            </w:tcBorders>
            <w:noWrap/>
            <w:tcMar>
              <w:top w:w="12" w:type="dxa"/>
              <w:left w:w="12" w:type="dxa"/>
              <w:right w:w="12" w:type="dxa"/>
            </w:tcMar>
            <w:vAlign w:val="center"/>
          </w:tcPr>
          <w:p w14:paraId="4D268C27"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2.70</w:t>
            </w:r>
          </w:p>
        </w:tc>
        <w:tc>
          <w:tcPr>
            <w:tcW w:w="400" w:type="pct"/>
            <w:tcBorders>
              <w:tl2br w:val="nil"/>
              <w:tr2bl w:val="nil"/>
            </w:tcBorders>
            <w:noWrap/>
            <w:tcMar>
              <w:top w:w="12" w:type="dxa"/>
              <w:left w:w="12" w:type="dxa"/>
              <w:right w:w="12" w:type="dxa"/>
            </w:tcMar>
            <w:vAlign w:val="center"/>
          </w:tcPr>
          <w:p w14:paraId="5ADB97BF"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达标</w:t>
            </w:r>
          </w:p>
        </w:tc>
      </w:tr>
      <w:tr w:rsidR="003E78AB" w14:paraId="7A542FF9" w14:textId="77777777">
        <w:trPr>
          <w:trHeight w:val="369"/>
        </w:trPr>
        <w:tc>
          <w:tcPr>
            <w:tcW w:w="205" w:type="pct"/>
            <w:tcBorders>
              <w:tl2br w:val="nil"/>
              <w:tr2bl w:val="nil"/>
            </w:tcBorders>
            <w:noWrap/>
            <w:tcMar>
              <w:top w:w="12" w:type="dxa"/>
              <w:left w:w="12" w:type="dxa"/>
              <w:right w:w="12" w:type="dxa"/>
            </w:tcMar>
            <w:vAlign w:val="center"/>
          </w:tcPr>
          <w:p w14:paraId="414E4C3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805" w:type="pct"/>
            <w:tcBorders>
              <w:tl2br w:val="nil"/>
              <w:tr2bl w:val="nil"/>
            </w:tcBorders>
            <w:noWrap/>
            <w:tcMar>
              <w:top w:w="12" w:type="dxa"/>
              <w:left w:w="12" w:type="dxa"/>
              <w:right w:w="12" w:type="dxa"/>
            </w:tcMar>
            <w:vAlign w:val="center"/>
          </w:tcPr>
          <w:p w14:paraId="73CF4BF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网格点最大值（</w:t>
            </w:r>
            <w:r>
              <w:rPr>
                <w:rFonts w:hint="eastAsia"/>
                <w:b/>
                <w:bCs/>
                <w:color w:val="000000"/>
                <w:szCs w:val="21"/>
                <w:u w:val="single"/>
              </w:rPr>
              <w:t>410</w:t>
            </w:r>
            <w:r>
              <w:rPr>
                <w:b/>
                <w:bCs/>
                <w:color w:val="000000"/>
                <w:szCs w:val="21"/>
                <w:u w:val="single"/>
              </w:rPr>
              <w:t>,</w:t>
            </w:r>
            <w:r>
              <w:rPr>
                <w:rFonts w:hint="eastAsia"/>
                <w:b/>
                <w:bCs/>
                <w:color w:val="000000"/>
                <w:szCs w:val="21"/>
                <w:u w:val="single"/>
              </w:rPr>
              <w:t>-291</w:t>
            </w:r>
            <w:r>
              <w:rPr>
                <w:b/>
                <w:bCs/>
                <w:color w:val="000000"/>
                <w:szCs w:val="21"/>
                <w:u w:val="single"/>
              </w:rPr>
              <w:t>）</w:t>
            </w:r>
          </w:p>
        </w:tc>
        <w:tc>
          <w:tcPr>
            <w:tcW w:w="392" w:type="pct"/>
            <w:tcBorders>
              <w:tl2br w:val="nil"/>
              <w:tr2bl w:val="nil"/>
            </w:tcBorders>
            <w:noWrap/>
            <w:tcMar>
              <w:top w:w="12" w:type="dxa"/>
              <w:left w:w="12" w:type="dxa"/>
              <w:right w:w="12" w:type="dxa"/>
            </w:tcMar>
            <w:vAlign w:val="center"/>
          </w:tcPr>
          <w:p w14:paraId="72A36A4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0231DEC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 xml:space="preserve">20.9231 </w:t>
            </w:r>
          </w:p>
        </w:tc>
        <w:tc>
          <w:tcPr>
            <w:tcW w:w="578" w:type="pct"/>
            <w:tcBorders>
              <w:tl2br w:val="nil"/>
              <w:tr2bl w:val="nil"/>
            </w:tcBorders>
            <w:noWrap/>
            <w:tcMar>
              <w:top w:w="12" w:type="dxa"/>
              <w:left w:w="12" w:type="dxa"/>
              <w:right w:w="12" w:type="dxa"/>
            </w:tcMar>
            <w:vAlign w:val="center"/>
          </w:tcPr>
          <w:p w14:paraId="4E3BFA77"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30.8</w:t>
            </w:r>
          </w:p>
        </w:tc>
        <w:tc>
          <w:tcPr>
            <w:tcW w:w="661" w:type="pct"/>
            <w:tcBorders>
              <w:tl2br w:val="nil"/>
              <w:tr2bl w:val="nil"/>
            </w:tcBorders>
            <w:noWrap/>
            <w:tcMar>
              <w:top w:w="12" w:type="dxa"/>
              <w:left w:w="12" w:type="dxa"/>
              <w:right w:w="12" w:type="dxa"/>
            </w:tcMar>
            <w:vAlign w:val="center"/>
          </w:tcPr>
          <w:p w14:paraId="6E048B5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51.7231</w:t>
            </w:r>
          </w:p>
        </w:tc>
        <w:tc>
          <w:tcPr>
            <w:tcW w:w="607" w:type="pct"/>
            <w:tcBorders>
              <w:tl2br w:val="nil"/>
              <w:tr2bl w:val="nil"/>
            </w:tcBorders>
            <w:noWrap/>
            <w:tcMar>
              <w:top w:w="12" w:type="dxa"/>
              <w:left w:w="12" w:type="dxa"/>
              <w:right w:w="12" w:type="dxa"/>
            </w:tcMar>
            <w:vAlign w:val="center"/>
          </w:tcPr>
          <w:p w14:paraId="3F62467F"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1200</w:t>
            </w:r>
          </w:p>
        </w:tc>
        <w:tc>
          <w:tcPr>
            <w:tcW w:w="712" w:type="pct"/>
            <w:tcBorders>
              <w:tl2br w:val="nil"/>
              <w:tr2bl w:val="nil"/>
            </w:tcBorders>
            <w:noWrap/>
            <w:tcMar>
              <w:top w:w="12" w:type="dxa"/>
              <w:left w:w="12" w:type="dxa"/>
              <w:right w:w="12" w:type="dxa"/>
            </w:tcMar>
            <w:vAlign w:val="center"/>
          </w:tcPr>
          <w:p w14:paraId="3837517A"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4.31</w:t>
            </w:r>
          </w:p>
        </w:tc>
        <w:tc>
          <w:tcPr>
            <w:tcW w:w="400" w:type="pct"/>
            <w:tcBorders>
              <w:tl2br w:val="nil"/>
              <w:tr2bl w:val="nil"/>
            </w:tcBorders>
            <w:noWrap/>
            <w:tcMar>
              <w:top w:w="12" w:type="dxa"/>
              <w:left w:w="12" w:type="dxa"/>
              <w:right w:w="12" w:type="dxa"/>
            </w:tcMar>
            <w:vAlign w:val="center"/>
          </w:tcPr>
          <w:p w14:paraId="3D3D78E8"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达标</w:t>
            </w:r>
          </w:p>
        </w:tc>
      </w:tr>
    </w:tbl>
    <w:p w14:paraId="0AC15F8B" w14:textId="77777777" w:rsidR="003E78AB" w:rsidRDefault="00010BF9">
      <w:pPr>
        <w:pStyle w:val="a4"/>
        <w:spacing w:before="120"/>
        <w:rPr>
          <w:b/>
          <w:bCs/>
          <w:color w:val="000000"/>
          <w:u w:val="single"/>
        </w:rPr>
      </w:pPr>
      <w:r>
        <w:rPr>
          <w:b/>
          <w:bCs/>
          <w:color w:val="000000"/>
          <w:u w:val="single"/>
        </w:rPr>
        <w:t>叠加后</w:t>
      </w:r>
      <w:r>
        <w:rPr>
          <w:rFonts w:hint="eastAsia"/>
          <w:b/>
          <w:bCs/>
          <w:color w:val="000000"/>
          <w:u w:val="single"/>
        </w:rPr>
        <w:t>硫酸雾</w:t>
      </w:r>
      <w:r>
        <w:rPr>
          <w:b/>
          <w:bCs/>
          <w:color w:val="000000"/>
          <w:u w:val="single"/>
        </w:rPr>
        <w:t>的短期质量浓度</w:t>
      </w:r>
    </w:p>
    <w:tbl>
      <w:tblPr>
        <w:tblW w:w="497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9"/>
        <w:gridCol w:w="1163"/>
        <w:gridCol w:w="824"/>
        <w:gridCol w:w="1052"/>
        <w:gridCol w:w="842"/>
        <w:gridCol w:w="1213"/>
        <w:gridCol w:w="1008"/>
        <w:gridCol w:w="1180"/>
        <w:gridCol w:w="665"/>
      </w:tblGrid>
      <w:tr w:rsidR="003E78AB" w14:paraId="4E88179A" w14:textId="77777777">
        <w:trPr>
          <w:trHeight w:val="369"/>
          <w:tblHeader/>
        </w:trPr>
        <w:tc>
          <w:tcPr>
            <w:tcW w:w="205" w:type="pct"/>
            <w:tcBorders>
              <w:tl2br w:val="nil"/>
              <w:tr2bl w:val="nil"/>
            </w:tcBorders>
            <w:noWrap/>
            <w:tcMar>
              <w:top w:w="12" w:type="dxa"/>
              <w:left w:w="12" w:type="dxa"/>
              <w:right w:w="12" w:type="dxa"/>
            </w:tcMar>
            <w:vAlign w:val="center"/>
          </w:tcPr>
          <w:p w14:paraId="377B032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701" w:type="pct"/>
            <w:tcBorders>
              <w:tl2br w:val="nil"/>
              <w:tr2bl w:val="nil"/>
            </w:tcBorders>
            <w:noWrap/>
            <w:tcMar>
              <w:top w:w="12" w:type="dxa"/>
              <w:left w:w="12" w:type="dxa"/>
              <w:right w:w="12" w:type="dxa"/>
            </w:tcMar>
            <w:vAlign w:val="center"/>
          </w:tcPr>
          <w:p w14:paraId="0535D195"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497" w:type="pct"/>
            <w:tcBorders>
              <w:tl2br w:val="nil"/>
              <w:tr2bl w:val="nil"/>
            </w:tcBorders>
            <w:noWrap/>
            <w:tcMar>
              <w:top w:w="12" w:type="dxa"/>
              <w:left w:w="12" w:type="dxa"/>
              <w:right w:w="12" w:type="dxa"/>
            </w:tcMar>
            <w:vAlign w:val="center"/>
          </w:tcPr>
          <w:p w14:paraId="7CB5FAB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634" w:type="pct"/>
            <w:tcBorders>
              <w:tl2br w:val="nil"/>
              <w:tr2bl w:val="nil"/>
            </w:tcBorders>
            <w:noWrap/>
            <w:tcMar>
              <w:top w:w="12" w:type="dxa"/>
              <w:left w:w="12" w:type="dxa"/>
              <w:right w:w="12" w:type="dxa"/>
            </w:tcMar>
            <w:vAlign w:val="center"/>
          </w:tcPr>
          <w:p w14:paraId="6C61656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508" w:type="pct"/>
            <w:tcBorders>
              <w:tl2br w:val="nil"/>
              <w:tr2bl w:val="nil"/>
            </w:tcBorders>
            <w:noWrap/>
            <w:tcMar>
              <w:top w:w="12" w:type="dxa"/>
              <w:left w:w="12" w:type="dxa"/>
              <w:right w:w="12" w:type="dxa"/>
            </w:tcMar>
            <w:vAlign w:val="center"/>
          </w:tcPr>
          <w:p w14:paraId="6F7AF49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31" w:type="pct"/>
            <w:tcBorders>
              <w:tl2br w:val="nil"/>
              <w:tr2bl w:val="nil"/>
            </w:tcBorders>
            <w:noWrap/>
            <w:tcMar>
              <w:top w:w="12" w:type="dxa"/>
              <w:left w:w="12" w:type="dxa"/>
              <w:right w:w="12" w:type="dxa"/>
            </w:tcMar>
            <w:vAlign w:val="center"/>
          </w:tcPr>
          <w:p w14:paraId="5B06CB5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2EB33A7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1" w:type="pct"/>
            <w:tcBorders>
              <w:tl2br w:val="nil"/>
              <w:tr2bl w:val="nil"/>
            </w:tcBorders>
            <w:noWrap/>
            <w:tcMar>
              <w:top w:w="12" w:type="dxa"/>
              <w:left w:w="12" w:type="dxa"/>
              <w:right w:w="12" w:type="dxa"/>
            </w:tcMar>
            <w:vAlign w:val="center"/>
          </w:tcPr>
          <w:p w14:paraId="2CD5F49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1" w:type="pct"/>
            <w:tcBorders>
              <w:tl2br w:val="nil"/>
              <w:tr2bl w:val="nil"/>
            </w:tcBorders>
            <w:noWrap/>
            <w:tcMar>
              <w:top w:w="12" w:type="dxa"/>
              <w:left w:w="12" w:type="dxa"/>
              <w:right w:w="12" w:type="dxa"/>
            </w:tcMar>
            <w:vAlign w:val="center"/>
          </w:tcPr>
          <w:p w14:paraId="27152225"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70CB9E6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4ABB8B5B" w14:textId="77777777">
        <w:trPr>
          <w:trHeight w:val="369"/>
        </w:trPr>
        <w:tc>
          <w:tcPr>
            <w:tcW w:w="205" w:type="pct"/>
            <w:tcBorders>
              <w:tl2br w:val="nil"/>
              <w:tr2bl w:val="nil"/>
            </w:tcBorders>
            <w:noWrap/>
            <w:tcMar>
              <w:top w:w="12" w:type="dxa"/>
              <w:left w:w="12" w:type="dxa"/>
              <w:right w:w="12" w:type="dxa"/>
            </w:tcMar>
            <w:vAlign w:val="center"/>
          </w:tcPr>
          <w:p w14:paraId="55FE4E7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1162" w:type="dxa"/>
            <w:tcBorders>
              <w:tl2br w:val="nil"/>
              <w:tr2bl w:val="nil"/>
            </w:tcBorders>
            <w:noWrap/>
            <w:tcMar>
              <w:top w:w="12" w:type="dxa"/>
              <w:left w:w="12" w:type="dxa"/>
              <w:right w:w="12" w:type="dxa"/>
            </w:tcMar>
            <w:vAlign w:val="center"/>
          </w:tcPr>
          <w:p w14:paraId="18158EDE"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安居富民小区</w:t>
            </w:r>
          </w:p>
        </w:tc>
        <w:tc>
          <w:tcPr>
            <w:tcW w:w="497" w:type="pct"/>
            <w:tcBorders>
              <w:tl2br w:val="nil"/>
              <w:tr2bl w:val="nil"/>
            </w:tcBorders>
            <w:noWrap/>
            <w:tcMar>
              <w:top w:w="12" w:type="dxa"/>
              <w:left w:w="12" w:type="dxa"/>
              <w:right w:w="12" w:type="dxa"/>
            </w:tcMar>
            <w:vAlign w:val="center"/>
          </w:tcPr>
          <w:p w14:paraId="0E168762"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11547EF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0.241</w:t>
            </w:r>
          </w:p>
        </w:tc>
        <w:tc>
          <w:tcPr>
            <w:tcW w:w="508" w:type="pct"/>
            <w:tcBorders>
              <w:tl2br w:val="nil"/>
              <w:tr2bl w:val="nil"/>
            </w:tcBorders>
            <w:noWrap/>
            <w:tcMar>
              <w:top w:w="12" w:type="dxa"/>
              <w:left w:w="12" w:type="dxa"/>
              <w:right w:w="12" w:type="dxa"/>
            </w:tcMar>
            <w:vAlign w:val="center"/>
          </w:tcPr>
          <w:p w14:paraId="719689D6"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未检出</w:t>
            </w:r>
          </w:p>
        </w:tc>
        <w:tc>
          <w:tcPr>
            <w:tcW w:w="731" w:type="pct"/>
            <w:tcBorders>
              <w:tl2br w:val="nil"/>
              <w:tr2bl w:val="nil"/>
            </w:tcBorders>
            <w:noWrap/>
            <w:tcMar>
              <w:top w:w="12" w:type="dxa"/>
              <w:left w:w="12" w:type="dxa"/>
              <w:right w:w="12" w:type="dxa"/>
            </w:tcMar>
            <w:vAlign w:val="center"/>
          </w:tcPr>
          <w:p w14:paraId="3732CFF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0.241</w:t>
            </w:r>
          </w:p>
        </w:tc>
        <w:tc>
          <w:tcPr>
            <w:tcW w:w="608" w:type="pct"/>
            <w:tcBorders>
              <w:tl2br w:val="nil"/>
              <w:tr2bl w:val="nil"/>
            </w:tcBorders>
            <w:noWrap/>
            <w:tcMar>
              <w:top w:w="12" w:type="dxa"/>
              <w:left w:w="12" w:type="dxa"/>
              <w:right w:w="12" w:type="dxa"/>
            </w:tcMar>
            <w:vAlign w:val="center"/>
          </w:tcPr>
          <w:p w14:paraId="33617FC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300</w:t>
            </w:r>
          </w:p>
        </w:tc>
        <w:tc>
          <w:tcPr>
            <w:tcW w:w="711" w:type="pct"/>
            <w:tcBorders>
              <w:tl2br w:val="nil"/>
              <w:tr2bl w:val="nil"/>
            </w:tcBorders>
            <w:noWrap/>
            <w:tcMar>
              <w:top w:w="12" w:type="dxa"/>
              <w:left w:w="12" w:type="dxa"/>
              <w:right w:w="12" w:type="dxa"/>
            </w:tcMar>
            <w:vAlign w:val="center"/>
          </w:tcPr>
          <w:p w14:paraId="3E6F42C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0.08</w:t>
            </w:r>
          </w:p>
        </w:tc>
        <w:tc>
          <w:tcPr>
            <w:tcW w:w="401" w:type="pct"/>
            <w:tcBorders>
              <w:tl2br w:val="nil"/>
              <w:tr2bl w:val="nil"/>
            </w:tcBorders>
            <w:noWrap/>
            <w:tcMar>
              <w:top w:w="12" w:type="dxa"/>
              <w:left w:w="12" w:type="dxa"/>
              <w:right w:w="12" w:type="dxa"/>
            </w:tcMar>
            <w:vAlign w:val="center"/>
          </w:tcPr>
          <w:p w14:paraId="4D622F4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3B0B06DE" w14:textId="77777777">
        <w:trPr>
          <w:trHeight w:val="369"/>
        </w:trPr>
        <w:tc>
          <w:tcPr>
            <w:tcW w:w="205" w:type="pct"/>
            <w:tcBorders>
              <w:tl2br w:val="nil"/>
              <w:tr2bl w:val="nil"/>
            </w:tcBorders>
            <w:noWrap/>
            <w:tcMar>
              <w:top w:w="12" w:type="dxa"/>
              <w:left w:w="12" w:type="dxa"/>
              <w:right w:w="12" w:type="dxa"/>
            </w:tcMar>
            <w:vAlign w:val="center"/>
          </w:tcPr>
          <w:p w14:paraId="17DE0B7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1162" w:type="dxa"/>
            <w:tcBorders>
              <w:tl2br w:val="nil"/>
              <w:tr2bl w:val="nil"/>
            </w:tcBorders>
            <w:noWrap/>
            <w:tcMar>
              <w:top w:w="12" w:type="dxa"/>
              <w:left w:w="12" w:type="dxa"/>
              <w:right w:w="12" w:type="dxa"/>
            </w:tcMar>
            <w:vAlign w:val="center"/>
          </w:tcPr>
          <w:p w14:paraId="3C6B5D5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项目区上风向</w:t>
            </w:r>
          </w:p>
        </w:tc>
        <w:tc>
          <w:tcPr>
            <w:tcW w:w="497" w:type="pct"/>
            <w:tcBorders>
              <w:tl2br w:val="nil"/>
              <w:tr2bl w:val="nil"/>
            </w:tcBorders>
            <w:noWrap/>
            <w:tcMar>
              <w:top w:w="12" w:type="dxa"/>
              <w:left w:w="12" w:type="dxa"/>
              <w:right w:w="12" w:type="dxa"/>
            </w:tcMar>
            <w:vAlign w:val="center"/>
          </w:tcPr>
          <w:p w14:paraId="7DE82BB7"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4EE2014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0.198</w:t>
            </w:r>
          </w:p>
        </w:tc>
        <w:tc>
          <w:tcPr>
            <w:tcW w:w="508" w:type="pct"/>
            <w:tcBorders>
              <w:tl2br w:val="nil"/>
              <w:tr2bl w:val="nil"/>
            </w:tcBorders>
            <w:noWrap/>
            <w:tcMar>
              <w:top w:w="12" w:type="dxa"/>
              <w:left w:w="12" w:type="dxa"/>
              <w:right w:w="12" w:type="dxa"/>
            </w:tcMar>
            <w:vAlign w:val="center"/>
          </w:tcPr>
          <w:p w14:paraId="4F577C3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未检出</w:t>
            </w:r>
          </w:p>
        </w:tc>
        <w:tc>
          <w:tcPr>
            <w:tcW w:w="731" w:type="pct"/>
            <w:tcBorders>
              <w:tl2br w:val="nil"/>
              <w:tr2bl w:val="nil"/>
            </w:tcBorders>
            <w:noWrap/>
            <w:tcMar>
              <w:top w:w="12" w:type="dxa"/>
              <w:left w:w="12" w:type="dxa"/>
              <w:right w:w="12" w:type="dxa"/>
            </w:tcMar>
            <w:vAlign w:val="center"/>
          </w:tcPr>
          <w:p w14:paraId="6A456D79"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0.198</w:t>
            </w:r>
          </w:p>
        </w:tc>
        <w:tc>
          <w:tcPr>
            <w:tcW w:w="608" w:type="pct"/>
            <w:tcBorders>
              <w:tl2br w:val="nil"/>
              <w:tr2bl w:val="nil"/>
            </w:tcBorders>
            <w:noWrap/>
            <w:tcMar>
              <w:top w:w="12" w:type="dxa"/>
              <w:left w:w="12" w:type="dxa"/>
              <w:right w:w="12" w:type="dxa"/>
            </w:tcMar>
            <w:vAlign w:val="center"/>
          </w:tcPr>
          <w:p w14:paraId="0485A1D6"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300</w:t>
            </w:r>
          </w:p>
        </w:tc>
        <w:tc>
          <w:tcPr>
            <w:tcW w:w="711" w:type="pct"/>
            <w:tcBorders>
              <w:tl2br w:val="nil"/>
              <w:tr2bl w:val="nil"/>
            </w:tcBorders>
            <w:noWrap/>
            <w:tcMar>
              <w:top w:w="12" w:type="dxa"/>
              <w:left w:w="12" w:type="dxa"/>
              <w:right w:w="12" w:type="dxa"/>
            </w:tcMar>
            <w:vAlign w:val="center"/>
          </w:tcPr>
          <w:p w14:paraId="159E5148"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0.07</w:t>
            </w:r>
          </w:p>
        </w:tc>
        <w:tc>
          <w:tcPr>
            <w:tcW w:w="401" w:type="pct"/>
            <w:tcBorders>
              <w:tl2br w:val="nil"/>
              <w:tr2bl w:val="nil"/>
            </w:tcBorders>
            <w:noWrap/>
            <w:tcMar>
              <w:top w:w="12" w:type="dxa"/>
              <w:left w:w="12" w:type="dxa"/>
              <w:right w:w="12" w:type="dxa"/>
            </w:tcMar>
            <w:vAlign w:val="center"/>
          </w:tcPr>
          <w:p w14:paraId="75A0F605"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7E6683F0" w14:textId="77777777">
        <w:trPr>
          <w:trHeight w:val="369"/>
        </w:trPr>
        <w:tc>
          <w:tcPr>
            <w:tcW w:w="205" w:type="pct"/>
            <w:tcBorders>
              <w:tl2br w:val="nil"/>
              <w:tr2bl w:val="nil"/>
            </w:tcBorders>
            <w:noWrap/>
            <w:tcMar>
              <w:top w:w="12" w:type="dxa"/>
              <w:left w:w="12" w:type="dxa"/>
              <w:right w:w="12" w:type="dxa"/>
            </w:tcMar>
            <w:vAlign w:val="center"/>
          </w:tcPr>
          <w:p w14:paraId="31133F9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1162" w:type="dxa"/>
            <w:tcBorders>
              <w:tl2br w:val="nil"/>
              <w:tr2bl w:val="nil"/>
            </w:tcBorders>
            <w:noWrap/>
            <w:tcMar>
              <w:top w:w="12" w:type="dxa"/>
              <w:left w:w="12" w:type="dxa"/>
              <w:right w:w="12" w:type="dxa"/>
            </w:tcMar>
            <w:vAlign w:val="center"/>
          </w:tcPr>
          <w:p w14:paraId="4A7BBF5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项目区下风向</w:t>
            </w:r>
          </w:p>
        </w:tc>
        <w:tc>
          <w:tcPr>
            <w:tcW w:w="497" w:type="pct"/>
            <w:tcBorders>
              <w:tl2br w:val="nil"/>
              <w:tr2bl w:val="nil"/>
            </w:tcBorders>
            <w:noWrap/>
            <w:tcMar>
              <w:top w:w="12" w:type="dxa"/>
              <w:left w:w="12" w:type="dxa"/>
              <w:right w:w="12" w:type="dxa"/>
            </w:tcMar>
            <w:vAlign w:val="center"/>
          </w:tcPr>
          <w:p w14:paraId="0867BED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0F107F2B"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0.283</w:t>
            </w:r>
          </w:p>
        </w:tc>
        <w:tc>
          <w:tcPr>
            <w:tcW w:w="508" w:type="pct"/>
            <w:tcBorders>
              <w:tl2br w:val="nil"/>
              <w:tr2bl w:val="nil"/>
            </w:tcBorders>
            <w:noWrap/>
            <w:tcMar>
              <w:top w:w="12" w:type="dxa"/>
              <w:left w:w="12" w:type="dxa"/>
              <w:right w:w="12" w:type="dxa"/>
            </w:tcMar>
            <w:vAlign w:val="center"/>
          </w:tcPr>
          <w:p w14:paraId="06EB5849"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未检出</w:t>
            </w:r>
          </w:p>
        </w:tc>
        <w:tc>
          <w:tcPr>
            <w:tcW w:w="731" w:type="pct"/>
            <w:tcBorders>
              <w:tl2br w:val="nil"/>
              <w:tr2bl w:val="nil"/>
            </w:tcBorders>
            <w:noWrap/>
            <w:tcMar>
              <w:top w:w="12" w:type="dxa"/>
              <w:left w:w="12" w:type="dxa"/>
              <w:right w:w="12" w:type="dxa"/>
            </w:tcMar>
            <w:vAlign w:val="center"/>
          </w:tcPr>
          <w:p w14:paraId="0DA69CD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0.283</w:t>
            </w:r>
          </w:p>
        </w:tc>
        <w:tc>
          <w:tcPr>
            <w:tcW w:w="608" w:type="pct"/>
            <w:tcBorders>
              <w:tl2br w:val="nil"/>
              <w:tr2bl w:val="nil"/>
            </w:tcBorders>
            <w:noWrap/>
            <w:tcMar>
              <w:top w:w="12" w:type="dxa"/>
              <w:left w:w="12" w:type="dxa"/>
              <w:right w:w="12" w:type="dxa"/>
            </w:tcMar>
            <w:vAlign w:val="center"/>
          </w:tcPr>
          <w:p w14:paraId="4BDAF5E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300</w:t>
            </w:r>
          </w:p>
        </w:tc>
        <w:tc>
          <w:tcPr>
            <w:tcW w:w="711" w:type="pct"/>
            <w:tcBorders>
              <w:tl2br w:val="nil"/>
              <w:tr2bl w:val="nil"/>
            </w:tcBorders>
            <w:noWrap/>
            <w:tcMar>
              <w:top w:w="12" w:type="dxa"/>
              <w:left w:w="12" w:type="dxa"/>
              <w:right w:w="12" w:type="dxa"/>
            </w:tcMar>
            <w:vAlign w:val="center"/>
          </w:tcPr>
          <w:p w14:paraId="2A17D7E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0.09</w:t>
            </w:r>
          </w:p>
        </w:tc>
        <w:tc>
          <w:tcPr>
            <w:tcW w:w="401" w:type="pct"/>
            <w:tcBorders>
              <w:tl2br w:val="nil"/>
              <w:tr2bl w:val="nil"/>
            </w:tcBorders>
            <w:noWrap/>
            <w:tcMar>
              <w:top w:w="12" w:type="dxa"/>
              <w:left w:w="12" w:type="dxa"/>
              <w:right w:w="12" w:type="dxa"/>
            </w:tcMar>
            <w:vAlign w:val="center"/>
          </w:tcPr>
          <w:p w14:paraId="6FC1F1CF"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r w:rsidR="003E78AB" w14:paraId="723380A5" w14:textId="77777777">
        <w:trPr>
          <w:trHeight w:val="369"/>
        </w:trPr>
        <w:tc>
          <w:tcPr>
            <w:tcW w:w="205" w:type="pct"/>
            <w:tcBorders>
              <w:tl2br w:val="nil"/>
              <w:tr2bl w:val="nil"/>
            </w:tcBorders>
            <w:noWrap/>
            <w:tcMar>
              <w:top w:w="12" w:type="dxa"/>
              <w:left w:w="12" w:type="dxa"/>
              <w:right w:w="12" w:type="dxa"/>
            </w:tcMar>
            <w:vAlign w:val="center"/>
          </w:tcPr>
          <w:p w14:paraId="3DE08433"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701" w:type="pct"/>
            <w:tcBorders>
              <w:tl2br w:val="nil"/>
              <w:tr2bl w:val="nil"/>
            </w:tcBorders>
            <w:noWrap/>
            <w:tcMar>
              <w:top w:w="12" w:type="dxa"/>
              <w:left w:w="12" w:type="dxa"/>
              <w:right w:w="12" w:type="dxa"/>
            </w:tcMar>
            <w:vAlign w:val="center"/>
          </w:tcPr>
          <w:p w14:paraId="693C75A9"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网格点最大值（</w:t>
            </w:r>
            <w:r>
              <w:rPr>
                <w:b/>
                <w:bCs/>
                <w:color w:val="000000"/>
                <w:szCs w:val="21"/>
                <w:u w:val="single"/>
              </w:rPr>
              <w:t>2100</w:t>
            </w:r>
            <w:r>
              <w:rPr>
                <w:b/>
                <w:bCs/>
                <w:color w:val="000000"/>
                <w:szCs w:val="21"/>
                <w:u w:val="single"/>
              </w:rPr>
              <w:t>，</w:t>
            </w:r>
            <w:r>
              <w:rPr>
                <w:b/>
                <w:bCs/>
                <w:color w:val="000000"/>
                <w:szCs w:val="21"/>
                <w:u w:val="single"/>
              </w:rPr>
              <w:t>200</w:t>
            </w:r>
            <w:r>
              <w:rPr>
                <w:b/>
                <w:bCs/>
                <w:color w:val="000000"/>
                <w:szCs w:val="21"/>
                <w:u w:val="single"/>
              </w:rPr>
              <w:t>）</w:t>
            </w:r>
          </w:p>
        </w:tc>
        <w:tc>
          <w:tcPr>
            <w:tcW w:w="497" w:type="pct"/>
            <w:tcBorders>
              <w:tl2br w:val="nil"/>
              <w:tr2bl w:val="nil"/>
            </w:tcBorders>
            <w:noWrap/>
            <w:tcMar>
              <w:top w:w="12" w:type="dxa"/>
              <w:left w:w="12" w:type="dxa"/>
              <w:right w:w="12" w:type="dxa"/>
            </w:tcMar>
            <w:vAlign w:val="center"/>
          </w:tcPr>
          <w:p w14:paraId="4F7ACC21"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r>
              <w:rPr>
                <w:b/>
                <w:bCs/>
                <w:color w:val="000000"/>
                <w:szCs w:val="21"/>
                <w:u w:val="single"/>
              </w:rPr>
              <w:t>小时</w:t>
            </w:r>
          </w:p>
        </w:tc>
        <w:tc>
          <w:tcPr>
            <w:tcW w:w="634" w:type="pct"/>
            <w:tcBorders>
              <w:tl2br w:val="nil"/>
              <w:tr2bl w:val="nil"/>
            </w:tcBorders>
            <w:noWrap/>
            <w:tcMar>
              <w:top w:w="12" w:type="dxa"/>
              <w:left w:w="12" w:type="dxa"/>
              <w:right w:w="12" w:type="dxa"/>
            </w:tcMar>
            <w:vAlign w:val="center"/>
          </w:tcPr>
          <w:p w14:paraId="34F5F1DE"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2.360</w:t>
            </w:r>
          </w:p>
        </w:tc>
        <w:tc>
          <w:tcPr>
            <w:tcW w:w="508" w:type="pct"/>
            <w:tcBorders>
              <w:tl2br w:val="nil"/>
              <w:tr2bl w:val="nil"/>
            </w:tcBorders>
            <w:noWrap/>
            <w:tcMar>
              <w:top w:w="12" w:type="dxa"/>
              <w:left w:w="12" w:type="dxa"/>
              <w:right w:w="12" w:type="dxa"/>
            </w:tcMar>
            <w:vAlign w:val="center"/>
          </w:tcPr>
          <w:p w14:paraId="5A4CB05B" w14:textId="77777777" w:rsidR="003E78AB" w:rsidRDefault="00010BF9">
            <w:pPr>
              <w:pStyle w:val="afff4"/>
              <w:topLinePunct/>
              <w:autoSpaceDE/>
              <w:autoSpaceDN/>
              <w:adjustRightInd/>
              <w:snapToGrid/>
              <w:rPr>
                <w:b/>
                <w:bCs/>
                <w:color w:val="000000"/>
                <w:szCs w:val="21"/>
                <w:u w:val="single"/>
              </w:rPr>
            </w:pPr>
            <w:r>
              <w:rPr>
                <w:rFonts w:hint="eastAsia"/>
                <w:b/>
                <w:bCs/>
                <w:color w:val="000000"/>
                <w:szCs w:val="21"/>
                <w:u w:val="single"/>
              </w:rPr>
              <w:t>未检出</w:t>
            </w:r>
          </w:p>
        </w:tc>
        <w:tc>
          <w:tcPr>
            <w:tcW w:w="731" w:type="pct"/>
            <w:tcBorders>
              <w:tl2br w:val="nil"/>
              <w:tr2bl w:val="nil"/>
            </w:tcBorders>
            <w:noWrap/>
            <w:tcMar>
              <w:top w:w="12" w:type="dxa"/>
              <w:left w:w="12" w:type="dxa"/>
              <w:right w:w="12" w:type="dxa"/>
            </w:tcMar>
            <w:vAlign w:val="center"/>
          </w:tcPr>
          <w:p w14:paraId="4B1683AD"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2.360</w:t>
            </w:r>
          </w:p>
        </w:tc>
        <w:tc>
          <w:tcPr>
            <w:tcW w:w="608" w:type="pct"/>
            <w:tcBorders>
              <w:tl2br w:val="nil"/>
              <w:tr2bl w:val="nil"/>
            </w:tcBorders>
            <w:noWrap/>
            <w:tcMar>
              <w:top w:w="12" w:type="dxa"/>
              <w:left w:w="12" w:type="dxa"/>
              <w:right w:w="12" w:type="dxa"/>
            </w:tcMar>
            <w:vAlign w:val="center"/>
          </w:tcPr>
          <w:p w14:paraId="39C65DE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300</w:t>
            </w:r>
          </w:p>
        </w:tc>
        <w:tc>
          <w:tcPr>
            <w:tcW w:w="711" w:type="pct"/>
            <w:tcBorders>
              <w:tl2br w:val="nil"/>
              <w:tr2bl w:val="nil"/>
            </w:tcBorders>
            <w:noWrap/>
            <w:tcMar>
              <w:top w:w="12" w:type="dxa"/>
              <w:left w:w="12" w:type="dxa"/>
              <w:right w:w="12" w:type="dxa"/>
            </w:tcMar>
            <w:vAlign w:val="center"/>
          </w:tcPr>
          <w:p w14:paraId="0A0D9A3A"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0.79</w:t>
            </w:r>
          </w:p>
        </w:tc>
        <w:tc>
          <w:tcPr>
            <w:tcW w:w="401" w:type="pct"/>
            <w:tcBorders>
              <w:tl2br w:val="nil"/>
              <w:tr2bl w:val="nil"/>
            </w:tcBorders>
            <w:noWrap/>
            <w:tcMar>
              <w:top w:w="12" w:type="dxa"/>
              <w:left w:w="12" w:type="dxa"/>
              <w:right w:w="12" w:type="dxa"/>
            </w:tcMar>
            <w:vAlign w:val="center"/>
          </w:tcPr>
          <w:p w14:paraId="46E249BC"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达标</w:t>
            </w:r>
          </w:p>
        </w:tc>
      </w:tr>
    </w:tbl>
    <w:p w14:paraId="3CDB217E" w14:textId="77777777" w:rsidR="003E78AB" w:rsidRDefault="00010BF9">
      <w:pPr>
        <w:pStyle w:val="a4"/>
        <w:spacing w:before="120"/>
        <w:rPr>
          <w:b/>
          <w:bCs/>
          <w:color w:val="000000"/>
          <w:u w:val="single"/>
        </w:rPr>
      </w:pPr>
      <w:r>
        <w:rPr>
          <w:b/>
          <w:bCs/>
          <w:color w:val="000000"/>
          <w:u w:val="single"/>
        </w:rPr>
        <w:t>叠加后</w:t>
      </w:r>
      <w:r>
        <w:rPr>
          <w:rFonts w:hint="eastAsia"/>
          <w:b/>
          <w:bCs/>
          <w:color w:val="000000"/>
          <w:u w:val="single"/>
        </w:rPr>
        <w:t>硫酸雾日</w:t>
      </w:r>
      <w:r>
        <w:rPr>
          <w:b/>
          <w:bCs/>
          <w:color w:val="000000"/>
          <w:u w:val="single"/>
        </w:rPr>
        <w:t>平均质量浓度</w:t>
      </w:r>
    </w:p>
    <w:tbl>
      <w:tblPr>
        <w:tblW w:w="497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7"/>
        <w:gridCol w:w="1163"/>
        <w:gridCol w:w="824"/>
        <w:gridCol w:w="1052"/>
        <w:gridCol w:w="946"/>
        <w:gridCol w:w="1109"/>
        <w:gridCol w:w="1008"/>
        <w:gridCol w:w="1182"/>
        <w:gridCol w:w="665"/>
      </w:tblGrid>
      <w:tr w:rsidR="003E78AB" w14:paraId="7E399A54" w14:textId="77777777">
        <w:trPr>
          <w:trHeight w:val="369"/>
          <w:tblHeader/>
        </w:trPr>
        <w:tc>
          <w:tcPr>
            <w:tcW w:w="204" w:type="pct"/>
            <w:tcBorders>
              <w:tl2br w:val="nil"/>
              <w:tr2bl w:val="nil"/>
            </w:tcBorders>
            <w:noWrap/>
            <w:tcMar>
              <w:top w:w="12" w:type="dxa"/>
              <w:left w:w="12" w:type="dxa"/>
              <w:right w:w="12" w:type="dxa"/>
            </w:tcMar>
            <w:vAlign w:val="center"/>
          </w:tcPr>
          <w:p w14:paraId="3DA0B9D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序号</w:t>
            </w:r>
          </w:p>
        </w:tc>
        <w:tc>
          <w:tcPr>
            <w:tcW w:w="701" w:type="pct"/>
            <w:tcBorders>
              <w:tl2br w:val="nil"/>
              <w:tr2bl w:val="nil"/>
            </w:tcBorders>
            <w:noWrap/>
            <w:tcMar>
              <w:top w:w="12" w:type="dxa"/>
              <w:left w:w="12" w:type="dxa"/>
              <w:right w:w="12" w:type="dxa"/>
            </w:tcMar>
            <w:vAlign w:val="center"/>
          </w:tcPr>
          <w:p w14:paraId="5A052EA3"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预测点名称</w:t>
            </w:r>
          </w:p>
        </w:tc>
        <w:tc>
          <w:tcPr>
            <w:tcW w:w="497" w:type="pct"/>
            <w:tcBorders>
              <w:tl2br w:val="nil"/>
              <w:tr2bl w:val="nil"/>
            </w:tcBorders>
            <w:noWrap/>
            <w:tcMar>
              <w:top w:w="12" w:type="dxa"/>
              <w:left w:w="12" w:type="dxa"/>
              <w:right w:w="12" w:type="dxa"/>
            </w:tcMar>
            <w:vAlign w:val="center"/>
          </w:tcPr>
          <w:p w14:paraId="13DB076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浓度类型</w:t>
            </w:r>
          </w:p>
        </w:tc>
        <w:tc>
          <w:tcPr>
            <w:tcW w:w="634" w:type="pct"/>
            <w:tcBorders>
              <w:tl2br w:val="nil"/>
              <w:tr2bl w:val="nil"/>
            </w:tcBorders>
            <w:noWrap/>
            <w:tcMar>
              <w:top w:w="12" w:type="dxa"/>
              <w:left w:w="12" w:type="dxa"/>
              <w:right w:w="12" w:type="dxa"/>
            </w:tcMar>
            <w:vAlign w:val="center"/>
          </w:tcPr>
          <w:p w14:paraId="54B781E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贡献值</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571" w:type="pct"/>
            <w:tcBorders>
              <w:tl2br w:val="nil"/>
              <w:tr2bl w:val="nil"/>
            </w:tcBorders>
            <w:noWrap/>
            <w:tcMar>
              <w:top w:w="12" w:type="dxa"/>
              <w:left w:w="12" w:type="dxa"/>
              <w:right w:w="12" w:type="dxa"/>
            </w:tcMar>
            <w:vAlign w:val="center"/>
          </w:tcPr>
          <w:p w14:paraId="1EFFA7C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背景浓度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68" w:type="pct"/>
            <w:tcBorders>
              <w:tl2br w:val="nil"/>
              <w:tr2bl w:val="nil"/>
            </w:tcBorders>
            <w:noWrap/>
            <w:tcMar>
              <w:top w:w="12" w:type="dxa"/>
              <w:left w:w="12" w:type="dxa"/>
              <w:right w:w="12" w:type="dxa"/>
            </w:tcMar>
            <w:vAlign w:val="center"/>
          </w:tcPr>
          <w:p w14:paraId="50D458D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叠加浓度</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608" w:type="pct"/>
            <w:tcBorders>
              <w:tl2br w:val="nil"/>
              <w:tr2bl w:val="nil"/>
            </w:tcBorders>
            <w:noWrap/>
            <w:tcMar>
              <w:top w:w="12" w:type="dxa"/>
              <w:left w:w="12" w:type="dxa"/>
              <w:right w:w="12" w:type="dxa"/>
            </w:tcMar>
            <w:vAlign w:val="center"/>
          </w:tcPr>
          <w:p w14:paraId="7D61A20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评价标准</w:t>
            </w:r>
            <w:r>
              <w:rPr>
                <w:b/>
                <w:bCs/>
                <w:color w:val="000000"/>
                <w:kern w:val="2"/>
                <w:sz w:val="21"/>
                <w:szCs w:val="21"/>
                <w:u w:val="single"/>
              </w:rPr>
              <w:t>(μg/m</w:t>
            </w:r>
            <w:r>
              <w:rPr>
                <w:b/>
                <w:bCs/>
                <w:color w:val="000000"/>
                <w:kern w:val="2"/>
                <w:sz w:val="21"/>
                <w:szCs w:val="21"/>
                <w:u w:val="single"/>
                <w:vertAlign w:val="superscript"/>
              </w:rPr>
              <w:t>3</w:t>
            </w:r>
            <w:r>
              <w:rPr>
                <w:b/>
                <w:bCs/>
                <w:color w:val="000000"/>
                <w:kern w:val="2"/>
                <w:sz w:val="21"/>
                <w:szCs w:val="21"/>
                <w:u w:val="single"/>
              </w:rPr>
              <w:t>)</w:t>
            </w:r>
          </w:p>
        </w:tc>
        <w:tc>
          <w:tcPr>
            <w:tcW w:w="712" w:type="pct"/>
            <w:tcBorders>
              <w:tl2br w:val="nil"/>
              <w:tr2bl w:val="nil"/>
            </w:tcBorders>
            <w:noWrap/>
            <w:tcMar>
              <w:top w:w="12" w:type="dxa"/>
              <w:left w:w="12" w:type="dxa"/>
              <w:right w:w="12" w:type="dxa"/>
            </w:tcMar>
            <w:vAlign w:val="center"/>
          </w:tcPr>
          <w:p w14:paraId="2592940E"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占标率</w:t>
            </w:r>
            <w:r>
              <w:rPr>
                <w:b/>
                <w:bCs/>
                <w:color w:val="000000"/>
                <w:kern w:val="2"/>
                <w:sz w:val="21"/>
                <w:szCs w:val="21"/>
                <w:u w:val="single"/>
              </w:rPr>
              <w:t>%(</w:t>
            </w:r>
            <w:r>
              <w:rPr>
                <w:b/>
                <w:bCs/>
                <w:color w:val="000000"/>
                <w:kern w:val="2"/>
                <w:sz w:val="21"/>
                <w:szCs w:val="21"/>
                <w:u w:val="single"/>
              </w:rPr>
              <w:t>叠加浓度</w:t>
            </w:r>
            <w:r>
              <w:rPr>
                <w:b/>
                <w:bCs/>
                <w:color w:val="000000"/>
                <w:kern w:val="2"/>
                <w:sz w:val="21"/>
                <w:szCs w:val="21"/>
                <w:u w:val="single"/>
              </w:rPr>
              <w:t>)</w:t>
            </w:r>
          </w:p>
        </w:tc>
        <w:tc>
          <w:tcPr>
            <w:tcW w:w="401" w:type="pct"/>
            <w:tcBorders>
              <w:tl2br w:val="nil"/>
              <w:tr2bl w:val="nil"/>
            </w:tcBorders>
            <w:noWrap/>
            <w:tcMar>
              <w:top w:w="12" w:type="dxa"/>
              <w:left w:w="12" w:type="dxa"/>
              <w:right w:w="12" w:type="dxa"/>
            </w:tcMar>
            <w:vAlign w:val="center"/>
          </w:tcPr>
          <w:p w14:paraId="0346B3E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是否</w:t>
            </w:r>
          </w:p>
          <w:p w14:paraId="4A7178F1"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超标</w:t>
            </w:r>
          </w:p>
        </w:tc>
      </w:tr>
      <w:tr w:rsidR="003E78AB" w14:paraId="797A2C48" w14:textId="77777777">
        <w:trPr>
          <w:trHeight w:val="369"/>
        </w:trPr>
        <w:tc>
          <w:tcPr>
            <w:tcW w:w="204" w:type="pct"/>
            <w:tcBorders>
              <w:tl2br w:val="nil"/>
              <w:tr2bl w:val="nil"/>
            </w:tcBorders>
            <w:noWrap/>
            <w:tcMar>
              <w:top w:w="12" w:type="dxa"/>
              <w:left w:w="12" w:type="dxa"/>
              <w:right w:w="12" w:type="dxa"/>
            </w:tcMar>
            <w:vAlign w:val="center"/>
          </w:tcPr>
          <w:p w14:paraId="02E28520"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w:t>
            </w:r>
          </w:p>
        </w:tc>
        <w:tc>
          <w:tcPr>
            <w:tcW w:w="701" w:type="pct"/>
            <w:tcBorders>
              <w:tl2br w:val="nil"/>
              <w:tr2bl w:val="nil"/>
            </w:tcBorders>
            <w:noWrap/>
            <w:tcMar>
              <w:top w:w="12" w:type="dxa"/>
              <w:left w:w="12" w:type="dxa"/>
              <w:right w:w="12" w:type="dxa"/>
            </w:tcMar>
            <w:vAlign w:val="center"/>
          </w:tcPr>
          <w:p w14:paraId="4719D2CC" w14:textId="77777777" w:rsidR="003E78AB" w:rsidRDefault="00010BF9">
            <w:pPr>
              <w:pStyle w:val="aff6"/>
              <w:topLinePunct/>
              <w:rPr>
                <w:b/>
                <w:bCs/>
                <w:color w:val="000000"/>
                <w:u w:val="single"/>
              </w:rPr>
            </w:pPr>
            <w:r>
              <w:rPr>
                <w:b/>
                <w:bCs/>
                <w:u w:val="single"/>
              </w:rPr>
              <w:t>安居富民小区</w:t>
            </w:r>
          </w:p>
        </w:tc>
        <w:tc>
          <w:tcPr>
            <w:tcW w:w="497" w:type="pct"/>
            <w:tcBorders>
              <w:tl2br w:val="nil"/>
              <w:tr2bl w:val="nil"/>
            </w:tcBorders>
            <w:noWrap/>
            <w:tcMar>
              <w:top w:w="12" w:type="dxa"/>
              <w:left w:w="12" w:type="dxa"/>
              <w:right w:w="12" w:type="dxa"/>
            </w:tcMar>
            <w:vAlign w:val="center"/>
          </w:tcPr>
          <w:p w14:paraId="44B8C27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1</w:t>
            </w:r>
            <w:r>
              <w:rPr>
                <w:b/>
                <w:bCs/>
                <w:color w:val="000000"/>
                <w:sz w:val="21"/>
                <w:szCs w:val="21"/>
                <w:u w:val="single"/>
              </w:rPr>
              <w:t>小时</w:t>
            </w:r>
          </w:p>
        </w:tc>
        <w:tc>
          <w:tcPr>
            <w:tcW w:w="634" w:type="pct"/>
            <w:tcBorders>
              <w:tl2br w:val="nil"/>
              <w:tr2bl w:val="nil"/>
            </w:tcBorders>
            <w:noWrap/>
            <w:tcMar>
              <w:top w:w="12" w:type="dxa"/>
              <w:left w:w="12" w:type="dxa"/>
              <w:right w:w="12" w:type="dxa"/>
            </w:tcMar>
            <w:vAlign w:val="center"/>
          </w:tcPr>
          <w:p w14:paraId="7F091E5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0.019</w:t>
            </w:r>
          </w:p>
        </w:tc>
        <w:tc>
          <w:tcPr>
            <w:tcW w:w="571" w:type="pct"/>
            <w:tcBorders>
              <w:tl2br w:val="nil"/>
              <w:tr2bl w:val="nil"/>
            </w:tcBorders>
            <w:noWrap/>
            <w:tcMar>
              <w:top w:w="12" w:type="dxa"/>
              <w:left w:w="12" w:type="dxa"/>
              <w:right w:w="12" w:type="dxa"/>
            </w:tcMar>
            <w:vAlign w:val="center"/>
          </w:tcPr>
          <w:p w14:paraId="1BDE5BB5"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未检出</w:t>
            </w:r>
          </w:p>
        </w:tc>
        <w:tc>
          <w:tcPr>
            <w:tcW w:w="668" w:type="pct"/>
            <w:tcBorders>
              <w:tl2br w:val="nil"/>
              <w:tr2bl w:val="nil"/>
            </w:tcBorders>
            <w:noWrap/>
            <w:tcMar>
              <w:top w:w="12" w:type="dxa"/>
              <w:left w:w="12" w:type="dxa"/>
              <w:right w:w="12" w:type="dxa"/>
            </w:tcMar>
            <w:vAlign w:val="center"/>
          </w:tcPr>
          <w:p w14:paraId="3C70EFB8"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2.519</w:t>
            </w:r>
          </w:p>
        </w:tc>
        <w:tc>
          <w:tcPr>
            <w:tcW w:w="608" w:type="pct"/>
            <w:tcBorders>
              <w:tl2br w:val="nil"/>
              <w:tr2bl w:val="nil"/>
            </w:tcBorders>
            <w:noWrap/>
            <w:tcMar>
              <w:top w:w="12" w:type="dxa"/>
              <w:left w:w="12" w:type="dxa"/>
              <w:right w:w="12" w:type="dxa"/>
            </w:tcMar>
            <w:vAlign w:val="center"/>
          </w:tcPr>
          <w:p w14:paraId="53A92BD3"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100</w:t>
            </w:r>
          </w:p>
        </w:tc>
        <w:tc>
          <w:tcPr>
            <w:tcW w:w="712" w:type="pct"/>
            <w:tcBorders>
              <w:tl2br w:val="nil"/>
              <w:tr2bl w:val="nil"/>
            </w:tcBorders>
            <w:noWrap/>
            <w:tcMar>
              <w:top w:w="12" w:type="dxa"/>
              <w:left w:w="12" w:type="dxa"/>
              <w:right w:w="12" w:type="dxa"/>
            </w:tcMar>
            <w:vAlign w:val="center"/>
          </w:tcPr>
          <w:p w14:paraId="1C033085"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0.02</w:t>
            </w:r>
          </w:p>
        </w:tc>
        <w:tc>
          <w:tcPr>
            <w:tcW w:w="401" w:type="pct"/>
            <w:tcBorders>
              <w:tl2br w:val="nil"/>
              <w:tr2bl w:val="nil"/>
            </w:tcBorders>
            <w:noWrap/>
            <w:tcMar>
              <w:top w:w="12" w:type="dxa"/>
              <w:left w:w="12" w:type="dxa"/>
              <w:right w:w="12" w:type="dxa"/>
            </w:tcMar>
            <w:vAlign w:val="center"/>
          </w:tcPr>
          <w:p w14:paraId="41692340"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6702A994" w14:textId="77777777">
        <w:trPr>
          <w:trHeight w:val="369"/>
        </w:trPr>
        <w:tc>
          <w:tcPr>
            <w:tcW w:w="204" w:type="pct"/>
            <w:tcBorders>
              <w:tl2br w:val="nil"/>
              <w:tr2bl w:val="nil"/>
            </w:tcBorders>
            <w:noWrap/>
            <w:tcMar>
              <w:top w:w="12" w:type="dxa"/>
              <w:left w:w="12" w:type="dxa"/>
              <w:right w:w="12" w:type="dxa"/>
            </w:tcMar>
            <w:vAlign w:val="center"/>
          </w:tcPr>
          <w:p w14:paraId="5F01C4C9"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2</w:t>
            </w:r>
          </w:p>
        </w:tc>
        <w:tc>
          <w:tcPr>
            <w:tcW w:w="701" w:type="pct"/>
            <w:tcBorders>
              <w:tl2br w:val="nil"/>
              <w:tr2bl w:val="nil"/>
            </w:tcBorders>
            <w:noWrap/>
            <w:tcMar>
              <w:top w:w="12" w:type="dxa"/>
              <w:left w:w="12" w:type="dxa"/>
              <w:right w:w="12" w:type="dxa"/>
            </w:tcMar>
            <w:vAlign w:val="center"/>
          </w:tcPr>
          <w:p w14:paraId="61E72BF5" w14:textId="77777777" w:rsidR="003E78AB" w:rsidRDefault="00010BF9">
            <w:pPr>
              <w:pStyle w:val="aff6"/>
              <w:topLinePunct/>
              <w:rPr>
                <w:b/>
                <w:bCs/>
                <w:color w:val="000000"/>
                <w:u w:val="single"/>
              </w:rPr>
            </w:pPr>
            <w:r>
              <w:rPr>
                <w:b/>
                <w:bCs/>
                <w:u w:val="single"/>
              </w:rPr>
              <w:t>项目区上风向</w:t>
            </w:r>
          </w:p>
        </w:tc>
        <w:tc>
          <w:tcPr>
            <w:tcW w:w="497" w:type="pct"/>
            <w:tcBorders>
              <w:tl2br w:val="nil"/>
              <w:tr2bl w:val="nil"/>
            </w:tcBorders>
            <w:noWrap/>
            <w:tcMar>
              <w:top w:w="12" w:type="dxa"/>
              <w:left w:w="12" w:type="dxa"/>
              <w:right w:w="12" w:type="dxa"/>
            </w:tcMar>
            <w:vAlign w:val="center"/>
          </w:tcPr>
          <w:p w14:paraId="7C8E472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1</w:t>
            </w:r>
            <w:r>
              <w:rPr>
                <w:b/>
                <w:bCs/>
                <w:color w:val="000000"/>
                <w:sz w:val="21"/>
                <w:szCs w:val="21"/>
                <w:u w:val="single"/>
              </w:rPr>
              <w:t>小时</w:t>
            </w:r>
          </w:p>
        </w:tc>
        <w:tc>
          <w:tcPr>
            <w:tcW w:w="634" w:type="pct"/>
            <w:tcBorders>
              <w:tl2br w:val="nil"/>
              <w:tr2bl w:val="nil"/>
            </w:tcBorders>
            <w:noWrap/>
            <w:tcMar>
              <w:top w:w="12" w:type="dxa"/>
              <w:left w:w="12" w:type="dxa"/>
              <w:right w:w="12" w:type="dxa"/>
            </w:tcMar>
            <w:vAlign w:val="center"/>
          </w:tcPr>
          <w:p w14:paraId="794C3AE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0.014</w:t>
            </w:r>
          </w:p>
        </w:tc>
        <w:tc>
          <w:tcPr>
            <w:tcW w:w="571" w:type="pct"/>
            <w:tcBorders>
              <w:tl2br w:val="nil"/>
              <w:tr2bl w:val="nil"/>
            </w:tcBorders>
            <w:noWrap/>
            <w:tcMar>
              <w:top w:w="12" w:type="dxa"/>
              <w:left w:w="12" w:type="dxa"/>
              <w:right w:w="12" w:type="dxa"/>
            </w:tcMar>
            <w:vAlign w:val="center"/>
          </w:tcPr>
          <w:p w14:paraId="7C7D3989"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未检出</w:t>
            </w:r>
          </w:p>
        </w:tc>
        <w:tc>
          <w:tcPr>
            <w:tcW w:w="668" w:type="pct"/>
            <w:tcBorders>
              <w:tl2br w:val="nil"/>
              <w:tr2bl w:val="nil"/>
            </w:tcBorders>
            <w:noWrap/>
            <w:tcMar>
              <w:top w:w="12" w:type="dxa"/>
              <w:left w:w="12" w:type="dxa"/>
              <w:right w:w="12" w:type="dxa"/>
            </w:tcMar>
            <w:vAlign w:val="center"/>
          </w:tcPr>
          <w:p w14:paraId="6B1539D3"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2.514</w:t>
            </w:r>
          </w:p>
        </w:tc>
        <w:tc>
          <w:tcPr>
            <w:tcW w:w="608" w:type="pct"/>
            <w:tcBorders>
              <w:tl2br w:val="nil"/>
              <w:tr2bl w:val="nil"/>
            </w:tcBorders>
            <w:noWrap/>
            <w:tcMar>
              <w:top w:w="12" w:type="dxa"/>
              <w:left w:w="12" w:type="dxa"/>
              <w:right w:w="12" w:type="dxa"/>
            </w:tcMar>
            <w:vAlign w:val="center"/>
          </w:tcPr>
          <w:p w14:paraId="285833A3"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100</w:t>
            </w:r>
          </w:p>
        </w:tc>
        <w:tc>
          <w:tcPr>
            <w:tcW w:w="712" w:type="pct"/>
            <w:tcBorders>
              <w:tl2br w:val="nil"/>
              <w:tr2bl w:val="nil"/>
            </w:tcBorders>
            <w:noWrap/>
            <w:tcMar>
              <w:top w:w="12" w:type="dxa"/>
              <w:left w:w="12" w:type="dxa"/>
              <w:right w:w="12" w:type="dxa"/>
            </w:tcMar>
            <w:vAlign w:val="center"/>
          </w:tcPr>
          <w:p w14:paraId="5AC1C1E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0.01</w:t>
            </w:r>
          </w:p>
        </w:tc>
        <w:tc>
          <w:tcPr>
            <w:tcW w:w="401" w:type="pct"/>
            <w:tcBorders>
              <w:tl2br w:val="nil"/>
              <w:tr2bl w:val="nil"/>
            </w:tcBorders>
            <w:noWrap/>
            <w:tcMar>
              <w:top w:w="12" w:type="dxa"/>
              <w:left w:w="12" w:type="dxa"/>
              <w:right w:w="12" w:type="dxa"/>
            </w:tcMar>
            <w:vAlign w:val="center"/>
          </w:tcPr>
          <w:p w14:paraId="563915B5"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45909C71" w14:textId="77777777">
        <w:trPr>
          <w:trHeight w:val="369"/>
        </w:trPr>
        <w:tc>
          <w:tcPr>
            <w:tcW w:w="204" w:type="pct"/>
            <w:tcBorders>
              <w:tl2br w:val="nil"/>
              <w:tr2bl w:val="nil"/>
            </w:tcBorders>
            <w:noWrap/>
            <w:tcMar>
              <w:top w:w="12" w:type="dxa"/>
              <w:left w:w="12" w:type="dxa"/>
              <w:right w:w="12" w:type="dxa"/>
            </w:tcMar>
            <w:vAlign w:val="center"/>
          </w:tcPr>
          <w:p w14:paraId="6C307106"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3</w:t>
            </w:r>
          </w:p>
        </w:tc>
        <w:tc>
          <w:tcPr>
            <w:tcW w:w="701" w:type="pct"/>
            <w:tcBorders>
              <w:tl2br w:val="nil"/>
              <w:tr2bl w:val="nil"/>
            </w:tcBorders>
            <w:noWrap/>
            <w:tcMar>
              <w:top w:w="12" w:type="dxa"/>
              <w:left w:w="12" w:type="dxa"/>
              <w:right w:w="12" w:type="dxa"/>
            </w:tcMar>
            <w:vAlign w:val="center"/>
          </w:tcPr>
          <w:p w14:paraId="196CE05A" w14:textId="77777777" w:rsidR="003E78AB" w:rsidRDefault="00010BF9">
            <w:pPr>
              <w:pStyle w:val="aff6"/>
              <w:topLinePunct/>
              <w:rPr>
                <w:b/>
                <w:bCs/>
                <w:color w:val="000000"/>
                <w:u w:val="single"/>
              </w:rPr>
            </w:pPr>
            <w:r>
              <w:rPr>
                <w:b/>
                <w:bCs/>
                <w:u w:val="single"/>
              </w:rPr>
              <w:t>项目区下风向</w:t>
            </w:r>
          </w:p>
        </w:tc>
        <w:tc>
          <w:tcPr>
            <w:tcW w:w="497" w:type="pct"/>
            <w:tcBorders>
              <w:tl2br w:val="nil"/>
              <w:tr2bl w:val="nil"/>
            </w:tcBorders>
            <w:noWrap/>
            <w:tcMar>
              <w:top w:w="12" w:type="dxa"/>
              <w:left w:w="12" w:type="dxa"/>
              <w:right w:w="12" w:type="dxa"/>
            </w:tcMar>
            <w:vAlign w:val="center"/>
          </w:tcPr>
          <w:p w14:paraId="00E7A93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1</w:t>
            </w:r>
            <w:r>
              <w:rPr>
                <w:b/>
                <w:bCs/>
                <w:color w:val="000000"/>
                <w:sz w:val="21"/>
                <w:szCs w:val="21"/>
                <w:u w:val="single"/>
              </w:rPr>
              <w:t>小时</w:t>
            </w:r>
          </w:p>
        </w:tc>
        <w:tc>
          <w:tcPr>
            <w:tcW w:w="634" w:type="pct"/>
            <w:tcBorders>
              <w:tl2br w:val="nil"/>
              <w:tr2bl w:val="nil"/>
            </w:tcBorders>
            <w:noWrap/>
            <w:tcMar>
              <w:top w:w="12" w:type="dxa"/>
              <w:left w:w="12" w:type="dxa"/>
              <w:right w:w="12" w:type="dxa"/>
            </w:tcMar>
            <w:vAlign w:val="center"/>
          </w:tcPr>
          <w:p w14:paraId="5252CE76"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0.013</w:t>
            </w:r>
          </w:p>
        </w:tc>
        <w:tc>
          <w:tcPr>
            <w:tcW w:w="571" w:type="pct"/>
            <w:tcBorders>
              <w:tl2br w:val="nil"/>
              <w:tr2bl w:val="nil"/>
            </w:tcBorders>
            <w:noWrap/>
            <w:tcMar>
              <w:top w:w="12" w:type="dxa"/>
              <w:left w:w="12" w:type="dxa"/>
              <w:right w:w="12" w:type="dxa"/>
            </w:tcMar>
            <w:vAlign w:val="center"/>
          </w:tcPr>
          <w:p w14:paraId="4DC762E7"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未检出</w:t>
            </w:r>
          </w:p>
        </w:tc>
        <w:tc>
          <w:tcPr>
            <w:tcW w:w="668" w:type="pct"/>
            <w:tcBorders>
              <w:tl2br w:val="nil"/>
              <w:tr2bl w:val="nil"/>
            </w:tcBorders>
            <w:noWrap/>
            <w:tcMar>
              <w:top w:w="12" w:type="dxa"/>
              <w:left w:w="12" w:type="dxa"/>
              <w:right w:w="12" w:type="dxa"/>
            </w:tcMar>
            <w:vAlign w:val="center"/>
          </w:tcPr>
          <w:p w14:paraId="752A1BA5"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2.513</w:t>
            </w:r>
          </w:p>
        </w:tc>
        <w:tc>
          <w:tcPr>
            <w:tcW w:w="608" w:type="pct"/>
            <w:tcBorders>
              <w:tl2br w:val="nil"/>
              <w:tr2bl w:val="nil"/>
            </w:tcBorders>
            <w:noWrap/>
            <w:tcMar>
              <w:top w:w="12" w:type="dxa"/>
              <w:left w:w="12" w:type="dxa"/>
              <w:right w:w="12" w:type="dxa"/>
            </w:tcMar>
            <w:vAlign w:val="center"/>
          </w:tcPr>
          <w:p w14:paraId="6B738013"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100</w:t>
            </w:r>
          </w:p>
        </w:tc>
        <w:tc>
          <w:tcPr>
            <w:tcW w:w="712" w:type="pct"/>
            <w:tcBorders>
              <w:tl2br w:val="nil"/>
              <w:tr2bl w:val="nil"/>
            </w:tcBorders>
            <w:noWrap/>
            <w:tcMar>
              <w:top w:w="12" w:type="dxa"/>
              <w:left w:w="12" w:type="dxa"/>
              <w:right w:w="12" w:type="dxa"/>
            </w:tcMar>
            <w:vAlign w:val="center"/>
          </w:tcPr>
          <w:p w14:paraId="490551E9"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0.01</w:t>
            </w:r>
          </w:p>
        </w:tc>
        <w:tc>
          <w:tcPr>
            <w:tcW w:w="401" w:type="pct"/>
            <w:tcBorders>
              <w:tl2br w:val="nil"/>
              <w:tr2bl w:val="nil"/>
            </w:tcBorders>
            <w:noWrap/>
            <w:tcMar>
              <w:top w:w="12" w:type="dxa"/>
              <w:left w:w="12" w:type="dxa"/>
              <w:right w:w="12" w:type="dxa"/>
            </w:tcMar>
            <w:vAlign w:val="center"/>
          </w:tcPr>
          <w:p w14:paraId="6C243EF8"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r w:rsidR="003E78AB" w14:paraId="71043454" w14:textId="77777777">
        <w:trPr>
          <w:trHeight w:val="369"/>
        </w:trPr>
        <w:tc>
          <w:tcPr>
            <w:tcW w:w="204" w:type="pct"/>
            <w:tcBorders>
              <w:tl2br w:val="nil"/>
              <w:tr2bl w:val="nil"/>
            </w:tcBorders>
            <w:noWrap/>
            <w:tcMar>
              <w:top w:w="12" w:type="dxa"/>
              <w:left w:w="12" w:type="dxa"/>
              <w:right w:w="12" w:type="dxa"/>
            </w:tcMar>
            <w:vAlign w:val="center"/>
          </w:tcPr>
          <w:p w14:paraId="57CE67B4" w14:textId="77777777" w:rsidR="003E78AB" w:rsidRDefault="00010BF9">
            <w:pPr>
              <w:pStyle w:val="afff4"/>
              <w:topLinePunct/>
              <w:autoSpaceDE/>
              <w:autoSpaceDN/>
              <w:adjustRightInd/>
              <w:snapToGrid/>
              <w:rPr>
                <w:b/>
                <w:bCs/>
                <w:color w:val="000000"/>
                <w:szCs w:val="21"/>
                <w:u w:val="single"/>
              </w:rPr>
            </w:pPr>
            <w:r>
              <w:rPr>
                <w:b/>
                <w:bCs/>
                <w:color w:val="000000"/>
                <w:szCs w:val="21"/>
                <w:u w:val="single"/>
              </w:rPr>
              <w:t>19</w:t>
            </w:r>
          </w:p>
        </w:tc>
        <w:tc>
          <w:tcPr>
            <w:tcW w:w="701" w:type="pct"/>
            <w:tcBorders>
              <w:tl2br w:val="nil"/>
              <w:tr2bl w:val="nil"/>
            </w:tcBorders>
            <w:noWrap/>
            <w:tcMar>
              <w:top w:w="12" w:type="dxa"/>
              <w:left w:w="12" w:type="dxa"/>
              <w:right w:w="12" w:type="dxa"/>
            </w:tcMar>
            <w:vAlign w:val="center"/>
          </w:tcPr>
          <w:p w14:paraId="246D3743"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rPr>
              <w:t>网格点最大值（</w:t>
            </w:r>
            <w:r>
              <w:rPr>
                <w:b/>
                <w:bCs/>
                <w:color w:val="000000"/>
                <w:sz w:val="21"/>
                <w:szCs w:val="21"/>
                <w:u w:val="single"/>
              </w:rPr>
              <w:t>2200</w:t>
            </w:r>
            <w:r>
              <w:rPr>
                <w:b/>
                <w:bCs/>
                <w:color w:val="000000"/>
                <w:sz w:val="21"/>
                <w:szCs w:val="21"/>
                <w:u w:val="single"/>
              </w:rPr>
              <w:t>，</w:t>
            </w:r>
            <w:r>
              <w:rPr>
                <w:b/>
                <w:bCs/>
                <w:color w:val="000000"/>
                <w:sz w:val="21"/>
                <w:szCs w:val="21"/>
                <w:u w:val="single"/>
              </w:rPr>
              <w:t>-100</w:t>
            </w:r>
            <w:r>
              <w:rPr>
                <w:b/>
                <w:bCs/>
                <w:color w:val="000000"/>
                <w:sz w:val="21"/>
                <w:szCs w:val="21"/>
                <w:u w:val="single"/>
              </w:rPr>
              <w:t>）</w:t>
            </w:r>
          </w:p>
        </w:tc>
        <w:tc>
          <w:tcPr>
            <w:tcW w:w="497" w:type="pct"/>
            <w:tcBorders>
              <w:tl2br w:val="nil"/>
              <w:tr2bl w:val="nil"/>
            </w:tcBorders>
            <w:noWrap/>
            <w:tcMar>
              <w:top w:w="12" w:type="dxa"/>
              <w:left w:w="12" w:type="dxa"/>
              <w:right w:w="12" w:type="dxa"/>
            </w:tcMar>
            <w:vAlign w:val="center"/>
          </w:tcPr>
          <w:p w14:paraId="0CEDDB23"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1</w:t>
            </w:r>
            <w:r>
              <w:rPr>
                <w:b/>
                <w:bCs/>
                <w:color w:val="000000"/>
                <w:sz w:val="21"/>
                <w:szCs w:val="21"/>
                <w:u w:val="single"/>
              </w:rPr>
              <w:t>小时</w:t>
            </w:r>
          </w:p>
        </w:tc>
        <w:tc>
          <w:tcPr>
            <w:tcW w:w="634" w:type="pct"/>
            <w:tcBorders>
              <w:tl2br w:val="nil"/>
              <w:tr2bl w:val="nil"/>
            </w:tcBorders>
            <w:noWrap/>
            <w:tcMar>
              <w:top w:w="12" w:type="dxa"/>
              <w:left w:w="12" w:type="dxa"/>
              <w:right w:w="12" w:type="dxa"/>
            </w:tcMar>
            <w:vAlign w:val="center"/>
          </w:tcPr>
          <w:p w14:paraId="1BFC805E"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0.267</w:t>
            </w:r>
          </w:p>
        </w:tc>
        <w:tc>
          <w:tcPr>
            <w:tcW w:w="571" w:type="pct"/>
            <w:tcBorders>
              <w:tl2br w:val="nil"/>
              <w:tr2bl w:val="nil"/>
            </w:tcBorders>
            <w:noWrap/>
            <w:tcMar>
              <w:top w:w="12" w:type="dxa"/>
              <w:left w:w="12" w:type="dxa"/>
              <w:right w:w="12" w:type="dxa"/>
            </w:tcMar>
            <w:vAlign w:val="center"/>
          </w:tcPr>
          <w:p w14:paraId="40D567E5"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sz w:val="21"/>
                <w:szCs w:val="21"/>
                <w:u w:val="single"/>
              </w:rPr>
              <w:t>未检出</w:t>
            </w:r>
          </w:p>
        </w:tc>
        <w:tc>
          <w:tcPr>
            <w:tcW w:w="668" w:type="pct"/>
            <w:tcBorders>
              <w:tl2br w:val="nil"/>
              <w:tr2bl w:val="nil"/>
            </w:tcBorders>
            <w:noWrap/>
            <w:tcMar>
              <w:top w:w="12" w:type="dxa"/>
              <w:left w:w="12" w:type="dxa"/>
              <w:right w:w="12" w:type="dxa"/>
            </w:tcMar>
            <w:vAlign w:val="center"/>
          </w:tcPr>
          <w:p w14:paraId="55FF9C8C"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2.767</w:t>
            </w:r>
          </w:p>
        </w:tc>
        <w:tc>
          <w:tcPr>
            <w:tcW w:w="608" w:type="pct"/>
            <w:tcBorders>
              <w:tl2br w:val="nil"/>
              <w:tr2bl w:val="nil"/>
            </w:tcBorders>
            <w:noWrap/>
            <w:tcMar>
              <w:top w:w="12" w:type="dxa"/>
              <w:left w:w="12" w:type="dxa"/>
              <w:right w:w="12" w:type="dxa"/>
            </w:tcMar>
            <w:vAlign w:val="center"/>
          </w:tcPr>
          <w:p w14:paraId="4A259754"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100</w:t>
            </w:r>
          </w:p>
        </w:tc>
        <w:tc>
          <w:tcPr>
            <w:tcW w:w="712" w:type="pct"/>
            <w:tcBorders>
              <w:tl2br w:val="nil"/>
              <w:tr2bl w:val="nil"/>
            </w:tcBorders>
            <w:noWrap/>
            <w:tcMar>
              <w:top w:w="12" w:type="dxa"/>
              <w:left w:w="12" w:type="dxa"/>
              <w:right w:w="12" w:type="dxa"/>
            </w:tcMar>
            <w:vAlign w:val="center"/>
          </w:tcPr>
          <w:p w14:paraId="1F2B3DA5"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0.27</w:t>
            </w:r>
          </w:p>
        </w:tc>
        <w:tc>
          <w:tcPr>
            <w:tcW w:w="401" w:type="pct"/>
            <w:tcBorders>
              <w:tl2br w:val="nil"/>
              <w:tr2bl w:val="nil"/>
            </w:tcBorders>
            <w:noWrap/>
            <w:tcMar>
              <w:top w:w="12" w:type="dxa"/>
              <w:left w:w="12" w:type="dxa"/>
              <w:right w:w="12" w:type="dxa"/>
            </w:tcMar>
            <w:vAlign w:val="center"/>
          </w:tcPr>
          <w:p w14:paraId="58E8AB65" w14:textId="77777777" w:rsidR="003E78AB" w:rsidRDefault="00010BF9">
            <w:pPr>
              <w:pStyle w:val="aff4"/>
              <w:rPr>
                <w:rFonts w:hint="default"/>
                <w:b/>
                <w:bCs/>
                <w:color w:val="000000"/>
                <w:szCs w:val="21"/>
                <w:u w:val="single"/>
              </w:rPr>
            </w:pPr>
            <w:r>
              <w:rPr>
                <w:rFonts w:hint="default"/>
                <w:b/>
                <w:bCs/>
                <w:color w:val="000000"/>
                <w:szCs w:val="21"/>
                <w:u w:val="single"/>
              </w:rPr>
              <w:t>达标</w:t>
            </w:r>
          </w:p>
        </w:tc>
      </w:tr>
    </w:tbl>
    <w:p w14:paraId="49587745" w14:textId="77777777" w:rsidR="003E78AB" w:rsidRDefault="00010BF9">
      <w:pPr>
        <w:ind w:firstLine="482"/>
        <w:rPr>
          <w:b/>
          <w:bCs/>
          <w:color w:val="000000"/>
          <w:u w:val="single"/>
        </w:rPr>
      </w:pPr>
      <w:r>
        <w:rPr>
          <w:b/>
          <w:bCs/>
          <w:color w:val="000000"/>
          <w:kern w:val="2"/>
          <w:u w:val="single"/>
          <w:lang w:bidi="ar"/>
        </w:rPr>
        <w:t>根据以上预测结果，本项目正常排放条件下，贡献值叠加环境空气质量现状浓度后，环境空气保护目标和网格点</w:t>
      </w:r>
      <w:r>
        <w:rPr>
          <w:rFonts w:hint="eastAsia"/>
          <w:b/>
          <w:bCs/>
          <w:color w:val="000000"/>
          <w:kern w:val="2"/>
          <w:u w:val="single"/>
          <w:lang w:bidi="ar"/>
        </w:rPr>
        <w:t>PM</w:t>
      </w:r>
      <w:r>
        <w:rPr>
          <w:rFonts w:hint="eastAsia"/>
          <w:b/>
          <w:bCs/>
          <w:color w:val="000000"/>
          <w:kern w:val="2"/>
          <w:u w:val="single"/>
          <w:vertAlign w:val="subscript"/>
          <w:lang w:bidi="ar"/>
        </w:rPr>
        <w:t>10</w:t>
      </w:r>
      <w:r>
        <w:rPr>
          <w:rFonts w:hint="eastAsia"/>
          <w:b/>
          <w:bCs/>
          <w:color w:val="000000"/>
          <w:kern w:val="2"/>
          <w:u w:val="single"/>
          <w:lang w:bidi="ar"/>
        </w:rPr>
        <w:t>的</w:t>
      </w:r>
      <w:r>
        <w:rPr>
          <w:rFonts w:hint="eastAsia"/>
          <w:b/>
          <w:bCs/>
          <w:color w:val="000000"/>
          <w:kern w:val="2"/>
          <w:u w:val="single"/>
          <w:lang w:bidi="ar"/>
        </w:rPr>
        <w:t>95%</w:t>
      </w:r>
      <w:r>
        <w:rPr>
          <w:rFonts w:hint="eastAsia"/>
          <w:b/>
          <w:bCs/>
          <w:color w:val="000000"/>
          <w:kern w:val="2"/>
          <w:u w:val="single"/>
          <w:lang w:bidi="ar"/>
        </w:rPr>
        <w:t>保证率、</w:t>
      </w:r>
      <w:r>
        <w:rPr>
          <w:b/>
          <w:bCs/>
          <w:color w:val="000000"/>
          <w:kern w:val="2"/>
          <w:u w:val="single"/>
          <w:lang w:bidi="ar"/>
        </w:rPr>
        <w:t>NO</w:t>
      </w:r>
      <w:r>
        <w:rPr>
          <w:b/>
          <w:bCs/>
          <w:color w:val="000000"/>
          <w:kern w:val="2"/>
          <w:u w:val="single"/>
          <w:vertAlign w:val="subscript"/>
          <w:lang w:bidi="ar"/>
        </w:rPr>
        <w:t>2</w:t>
      </w:r>
      <w:r>
        <w:rPr>
          <w:b/>
          <w:bCs/>
          <w:color w:val="000000"/>
          <w:kern w:val="2"/>
          <w:u w:val="single"/>
          <w:lang w:bidi="ar"/>
        </w:rPr>
        <w:t>及</w:t>
      </w:r>
      <w:r>
        <w:rPr>
          <w:b/>
          <w:bCs/>
          <w:color w:val="000000"/>
          <w:kern w:val="2"/>
          <w:u w:val="single"/>
          <w:lang w:bidi="ar"/>
        </w:rPr>
        <w:t>SO</w:t>
      </w:r>
      <w:r>
        <w:rPr>
          <w:b/>
          <w:bCs/>
          <w:color w:val="000000"/>
          <w:kern w:val="2"/>
          <w:u w:val="single"/>
          <w:vertAlign w:val="subscript"/>
          <w:lang w:bidi="ar"/>
        </w:rPr>
        <w:t>2</w:t>
      </w:r>
      <w:r>
        <w:rPr>
          <w:b/>
          <w:bCs/>
          <w:color w:val="000000"/>
          <w:kern w:val="2"/>
          <w:u w:val="single"/>
          <w:lang w:bidi="ar"/>
        </w:rPr>
        <w:t>的</w:t>
      </w:r>
      <w:r>
        <w:rPr>
          <w:b/>
          <w:bCs/>
          <w:color w:val="000000"/>
          <w:kern w:val="2"/>
          <w:u w:val="single"/>
          <w:lang w:bidi="ar"/>
        </w:rPr>
        <w:t>98%</w:t>
      </w:r>
      <w:r>
        <w:rPr>
          <w:b/>
          <w:bCs/>
          <w:color w:val="000000"/>
          <w:kern w:val="2"/>
          <w:u w:val="single"/>
          <w:lang w:bidi="ar"/>
        </w:rPr>
        <w:t>保证率日平均质量浓度和年平均质量浓度满足《环境空气质量标准》（</w:t>
      </w:r>
      <w:r>
        <w:rPr>
          <w:b/>
          <w:bCs/>
          <w:color w:val="000000"/>
          <w:kern w:val="2"/>
          <w:u w:val="single"/>
          <w:lang w:bidi="ar"/>
        </w:rPr>
        <w:t>GB 3095-2012</w:t>
      </w:r>
      <w:r>
        <w:rPr>
          <w:b/>
          <w:bCs/>
          <w:color w:val="000000"/>
          <w:kern w:val="2"/>
          <w:u w:val="single"/>
          <w:lang w:bidi="ar"/>
        </w:rPr>
        <w:t>）二级标准；</w:t>
      </w:r>
      <w:r>
        <w:rPr>
          <w:rFonts w:hint="eastAsia"/>
          <w:b/>
          <w:bCs/>
          <w:color w:val="000000"/>
          <w:u w:val="single"/>
        </w:rPr>
        <w:t>TVOC</w:t>
      </w:r>
      <w:r>
        <w:rPr>
          <w:rFonts w:hint="eastAsia"/>
          <w:b/>
          <w:bCs/>
          <w:color w:val="000000"/>
          <w:u w:val="single"/>
        </w:rPr>
        <w:t>、硫酸雾</w:t>
      </w:r>
      <w:r>
        <w:rPr>
          <w:b/>
          <w:bCs/>
          <w:color w:val="000000"/>
          <w:kern w:val="2"/>
          <w:u w:val="single"/>
          <w:lang w:bidi="ar"/>
        </w:rPr>
        <w:t>的短期质量浓度</w:t>
      </w:r>
      <w:r>
        <w:rPr>
          <w:b/>
          <w:bCs/>
          <w:color w:val="000000"/>
          <w:u w:val="single"/>
        </w:rPr>
        <w:t>满足《环境影响评价技术导则</w:t>
      </w:r>
      <w:r>
        <w:rPr>
          <w:b/>
          <w:bCs/>
          <w:color w:val="000000"/>
          <w:u w:val="single"/>
        </w:rPr>
        <w:t xml:space="preserve"> </w:t>
      </w:r>
      <w:r>
        <w:rPr>
          <w:b/>
          <w:bCs/>
          <w:color w:val="000000"/>
          <w:u w:val="single"/>
        </w:rPr>
        <w:t>大气环境》（</w:t>
      </w:r>
      <w:r>
        <w:rPr>
          <w:b/>
          <w:bCs/>
          <w:color w:val="000000"/>
          <w:u w:val="single"/>
        </w:rPr>
        <w:t>HJ2.2-2018</w:t>
      </w:r>
      <w:r>
        <w:rPr>
          <w:b/>
          <w:bCs/>
          <w:color w:val="000000"/>
          <w:u w:val="single"/>
        </w:rPr>
        <w:t>）附录</w:t>
      </w:r>
      <w:r>
        <w:rPr>
          <w:b/>
          <w:bCs/>
          <w:color w:val="000000"/>
          <w:u w:val="single"/>
        </w:rPr>
        <w:t>D</w:t>
      </w:r>
      <w:r>
        <w:rPr>
          <w:b/>
          <w:bCs/>
          <w:color w:val="000000"/>
          <w:u w:val="single"/>
        </w:rPr>
        <w:t>质量浓度参考限值。</w:t>
      </w:r>
    </w:p>
    <w:p w14:paraId="61E47C8A" w14:textId="77777777" w:rsidR="003E78AB" w:rsidRDefault="00010BF9">
      <w:pPr>
        <w:pStyle w:val="ZY6"/>
        <w:widowControl w:val="0"/>
        <w:numPr>
          <w:ilvl w:val="0"/>
          <w:numId w:val="0"/>
        </w:numPr>
        <w:spacing w:before="0" w:after="0" w:line="240" w:lineRule="atLeast"/>
        <w:rPr>
          <w:rFonts w:cs="Times New Roman"/>
          <w:b/>
          <w:bCs/>
          <w:color w:val="000000"/>
          <w:szCs w:val="22"/>
          <w:u w:val="single"/>
        </w:rPr>
      </w:pPr>
      <w:r>
        <w:rPr>
          <w:rFonts w:cs="Times New Roman"/>
          <w:b/>
          <w:bCs/>
          <w:noProof/>
          <w:color w:val="000000"/>
          <w:szCs w:val="22"/>
          <w:u w:val="single"/>
        </w:rPr>
        <w:drawing>
          <wp:inline distT="0" distB="0" distL="114300" distR="114300">
            <wp:extent cx="4140200" cy="3693160"/>
            <wp:effectExtent l="9525" t="9525" r="22225" b="12065"/>
            <wp:docPr id="34" name="图片 34" descr="图5-1NO2保证率日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5-1NO2保证率日平均质量浓度分布图_01"/>
                    <pic:cNvPicPr>
                      <a:picLocks noChangeAspect="1"/>
                    </pic:cNvPicPr>
                  </pic:nvPicPr>
                  <pic:blipFill>
                    <a:blip r:embed="rId65"/>
                    <a:srcRect l="4297" t="9231" r="61806" b="8476"/>
                    <a:stretch>
                      <a:fillRect/>
                    </a:stretch>
                  </pic:blipFill>
                  <pic:spPr>
                    <a:xfrm>
                      <a:off x="0" y="0"/>
                      <a:ext cx="4140200" cy="3693160"/>
                    </a:xfrm>
                    <a:prstGeom prst="rect">
                      <a:avLst/>
                    </a:prstGeom>
                    <a:ln w="3175">
                      <a:solidFill>
                        <a:schemeClr val="tx1"/>
                      </a:solidFill>
                    </a:ln>
                  </pic:spPr>
                </pic:pic>
              </a:graphicData>
            </a:graphic>
          </wp:inline>
        </w:drawing>
      </w:r>
    </w:p>
    <w:p w14:paraId="158A983F" w14:textId="77777777" w:rsidR="003E78AB" w:rsidRDefault="00010BF9">
      <w:pPr>
        <w:pStyle w:val="a9"/>
        <w:spacing w:before="120"/>
        <w:ind w:left="425" w:hanging="425"/>
      </w:pPr>
      <w:r>
        <w:t>NO</w:t>
      </w:r>
      <w:r>
        <w:rPr>
          <w:vertAlign w:val="subscript"/>
        </w:rPr>
        <w:t>2</w:t>
      </w:r>
      <w:r>
        <w:t>保证率日平均质量浓度分布图</w:t>
      </w:r>
    </w:p>
    <w:p w14:paraId="00FF61C3" w14:textId="77777777" w:rsidR="003E78AB" w:rsidRDefault="00010BF9">
      <w:pPr>
        <w:pStyle w:val="ZY6"/>
        <w:widowControl w:val="0"/>
        <w:numPr>
          <w:ilvl w:val="0"/>
          <w:numId w:val="0"/>
        </w:numPr>
        <w:spacing w:before="0" w:after="0" w:line="240" w:lineRule="atLeast"/>
        <w:rPr>
          <w:rFonts w:cs="Times New Roman"/>
          <w:b/>
          <w:bCs/>
          <w:color w:val="000000"/>
          <w:szCs w:val="22"/>
          <w:u w:val="single"/>
        </w:rPr>
      </w:pPr>
      <w:r>
        <w:rPr>
          <w:rFonts w:cs="Times New Roman"/>
          <w:b/>
          <w:bCs/>
          <w:noProof/>
          <w:color w:val="000000"/>
          <w:szCs w:val="22"/>
          <w:u w:val="single"/>
        </w:rPr>
        <w:drawing>
          <wp:inline distT="0" distB="0" distL="114300" distR="114300">
            <wp:extent cx="4140200" cy="3700145"/>
            <wp:effectExtent l="9525" t="9525" r="22225" b="24130"/>
            <wp:docPr id="33" name="图片 33" descr="图5-2NO2年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5-2NO2年平均质量浓度分布图_01"/>
                    <pic:cNvPicPr>
                      <a:picLocks noChangeAspect="1"/>
                    </pic:cNvPicPr>
                  </pic:nvPicPr>
                  <pic:blipFill>
                    <a:blip r:embed="rId66"/>
                    <a:srcRect l="4515" t="8410" r="61637" b="9264"/>
                    <a:stretch>
                      <a:fillRect/>
                    </a:stretch>
                  </pic:blipFill>
                  <pic:spPr>
                    <a:xfrm>
                      <a:off x="0" y="0"/>
                      <a:ext cx="4140200" cy="3700145"/>
                    </a:xfrm>
                    <a:prstGeom prst="rect">
                      <a:avLst/>
                    </a:prstGeom>
                    <a:ln>
                      <a:solidFill>
                        <a:schemeClr val="tx1"/>
                      </a:solidFill>
                    </a:ln>
                  </pic:spPr>
                </pic:pic>
              </a:graphicData>
            </a:graphic>
          </wp:inline>
        </w:drawing>
      </w:r>
    </w:p>
    <w:p w14:paraId="60562425" w14:textId="77777777" w:rsidR="003E78AB" w:rsidRDefault="00010BF9">
      <w:pPr>
        <w:pStyle w:val="a9"/>
        <w:spacing w:before="120"/>
        <w:ind w:left="425" w:hanging="425"/>
      </w:pPr>
      <w:r>
        <w:t>NO</w:t>
      </w:r>
      <w:r>
        <w:rPr>
          <w:vertAlign w:val="subscript"/>
        </w:rPr>
        <w:t>2</w:t>
      </w:r>
      <w:r>
        <w:t>年平均质量浓度分布图</w:t>
      </w:r>
    </w:p>
    <w:p w14:paraId="63B58305" w14:textId="77777777" w:rsidR="003E78AB" w:rsidRDefault="003E78AB">
      <w:pPr>
        <w:pStyle w:val="a9"/>
        <w:numPr>
          <w:ilvl w:val="255"/>
          <w:numId w:val="0"/>
        </w:numPr>
        <w:spacing w:before="120"/>
        <w:jc w:val="both"/>
      </w:pPr>
    </w:p>
    <w:p w14:paraId="45704B7B" w14:textId="77777777" w:rsidR="003E78AB" w:rsidRDefault="00010BF9">
      <w:pPr>
        <w:pStyle w:val="ZY6"/>
        <w:widowControl w:val="0"/>
        <w:numPr>
          <w:ilvl w:val="0"/>
          <w:numId w:val="0"/>
        </w:numPr>
        <w:spacing w:before="0" w:after="0" w:line="240" w:lineRule="atLeast"/>
        <w:rPr>
          <w:b/>
          <w:bCs/>
          <w:color w:val="000000"/>
          <w:u w:val="single"/>
        </w:rPr>
      </w:pPr>
      <w:r>
        <w:rPr>
          <w:rFonts w:cs="Times New Roman" w:hint="eastAsia"/>
          <w:b/>
          <w:bCs/>
          <w:noProof/>
          <w:color w:val="000000"/>
          <w:szCs w:val="22"/>
          <w:u w:val="single"/>
        </w:rPr>
        <w:drawing>
          <wp:inline distT="0" distB="0" distL="114300" distR="114300">
            <wp:extent cx="4140200" cy="3799205"/>
            <wp:effectExtent l="9525" t="9525" r="22225" b="20320"/>
            <wp:docPr id="32" name="图片 32" descr="图5-7SO2保证率日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5-7SO2保证率日平均质量浓度分布图_01"/>
                    <pic:cNvPicPr>
                      <a:picLocks noChangeAspect="1"/>
                    </pic:cNvPicPr>
                  </pic:nvPicPr>
                  <pic:blipFill>
                    <a:blip r:embed="rId67"/>
                    <a:srcRect l="5094" t="8968" r="61758" b="8246"/>
                    <a:stretch>
                      <a:fillRect/>
                    </a:stretch>
                  </pic:blipFill>
                  <pic:spPr>
                    <a:xfrm>
                      <a:off x="0" y="0"/>
                      <a:ext cx="4140200" cy="3799205"/>
                    </a:xfrm>
                    <a:prstGeom prst="rect">
                      <a:avLst/>
                    </a:prstGeom>
                    <a:ln>
                      <a:solidFill>
                        <a:schemeClr val="tx1"/>
                      </a:solidFill>
                    </a:ln>
                  </pic:spPr>
                </pic:pic>
              </a:graphicData>
            </a:graphic>
          </wp:inline>
        </w:drawing>
      </w:r>
    </w:p>
    <w:p w14:paraId="000C8069" w14:textId="77777777" w:rsidR="003E78AB" w:rsidRDefault="00010BF9">
      <w:pPr>
        <w:pStyle w:val="a9"/>
        <w:spacing w:before="120"/>
        <w:ind w:left="425" w:hanging="425"/>
      </w:pPr>
      <w:r>
        <w:t>SO</w:t>
      </w:r>
      <w:r>
        <w:rPr>
          <w:vertAlign w:val="subscript"/>
        </w:rPr>
        <w:t>2</w:t>
      </w:r>
      <w:r>
        <w:t>保证率日平均质量浓度分布图</w:t>
      </w:r>
    </w:p>
    <w:p w14:paraId="7AA6DDA2" w14:textId="77777777" w:rsidR="003E78AB" w:rsidRDefault="00010BF9">
      <w:pPr>
        <w:pStyle w:val="ZY6"/>
        <w:widowControl w:val="0"/>
        <w:numPr>
          <w:ilvl w:val="0"/>
          <w:numId w:val="0"/>
        </w:numPr>
        <w:spacing w:before="0" w:after="0" w:line="240" w:lineRule="atLeast"/>
        <w:rPr>
          <w:rFonts w:cs="Times New Roman"/>
          <w:b/>
          <w:bCs/>
          <w:color w:val="000000"/>
          <w:szCs w:val="22"/>
          <w:u w:val="single"/>
        </w:rPr>
      </w:pPr>
      <w:r>
        <w:rPr>
          <w:rFonts w:cs="Times New Roman" w:hint="eastAsia"/>
          <w:b/>
          <w:bCs/>
          <w:noProof/>
          <w:color w:val="000000"/>
          <w:szCs w:val="22"/>
          <w:u w:val="single"/>
        </w:rPr>
        <w:drawing>
          <wp:inline distT="0" distB="0" distL="114300" distR="114300">
            <wp:extent cx="4140200" cy="3804285"/>
            <wp:effectExtent l="9525" t="9525" r="22225" b="15240"/>
            <wp:docPr id="29" name="图片 29" descr="图5-4SO2年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5-4SO2年平均质量浓度分布图_01"/>
                    <pic:cNvPicPr>
                      <a:picLocks noChangeAspect="1"/>
                    </pic:cNvPicPr>
                  </pic:nvPicPr>
                  <pic:blipFill>
                    <a:blip r:embed="rId68"/>
                    <a:srcRect l="4404" t="8640" r="62422" b="8410"/>
                    <a:stretch>
                      <a:fillRect/>
                    </a:stretch>
                  </pic:blipFill>
                  <pic:spPr>
                    <a:xfrm>
                      <a:off x="0" y="0"/>
                      <a:ext cx="4140200" cy="3804285"/>
                    </a:xfrm>
                    <a:prstGeom prst="rect">
                      <a:avLst/>
                    </a:prstGeom>
                    <a:ln>
                      <a:solidFill>
                        <a:schemeClr val="tx1"/>
                      </a:solidFill>
                    </a:ln>
                  </pic:spPr>
                </pic:pic>
              </a:graphicData>
            </a:graphic>
          </wp:inline>
        </w:drawing>
      </w:r>
    </w:p>
    <w:p w14:paraId="6E919778" w14:textId="77777777" w:rsidR="003E78AB" w:rsidRDefault="00010BF9">
      <w:pPr>
        <w:pStyle w:val="a9"/>
        <w:spacing w:before="120"/>
        <w:ind w:left="425" w:hanging="425"/>
      </w:pPr>
      <w:r>
        <w:t>SO</w:t>
      </w:r>
      <w:r>
        <w:rPr>
          <w:vertAlign w:val="subscript"/>
        </w:rPr>
        <w:t>2</w:t>
      </w:r>
      <w:r>
        <w:t>年平均质量浓度分布图</w:t>
      </w:r>
    </w:p>
    <w:p w14:paraId="626CDBBD" w14:textId="77777777" w:rsidR="003E78AB" w:rsidRDefault="003E78AB">
      <w:pPr>
        <w:pStyle w:val="a9"/>
        <w:numPr>
          <w:ilvl w:val="255"/>
          <w:numId w:val="0"/>
        </w:numPr>
        <w:spacing w:before="120"/>
        <w:jc w:val="both"/>
      </w:pPr>
    </w:p>
    <w:p w14:paraId="0536D953" w14:textId="77777777" w:rsidR="003E78AB" w:rsidRDefault="00010BF9">
      <w:pPr>
        <w:pStyle w:val="ZY6"/>
        <w:widowControl w:val="0"/>
        <w:numPr>
          <w:ilvl w:val="0"/>
          <w:numId w:val="0"/>
        </w:numPr>
        <w:spacing w:before="0" w:after="0" w:line="240" w:lineRule="atLeast"/>
        <w:rPr>
          <w:b/>
          <w:bCs/>
          <w:color w:val="000000"/>
          <w:u w:val="single"/>
        </w:rPr>
      </w:pPr>
      <w:r>
        <w:rPr>
          <w:rFonts w:cs="Times New Roman" w:hint="eastAsia"/>
          <w:b/>
          <w:bCs/>
          <w:noProof/>
          <w:color w:val="000000"/>
          <w:szCs w:val="22"/>
          <w:u w:val="single"/>
        </w:rPr>
        <w:drawing>
          <wp:inline distT="0" distB="0" distL="114300" distR="114300">
            <wp:extent cx="4140200" cy="3749040"/>
            <wp:effectExtent l="9525" t="9525" r="22225" b="13335"/>
            <wp:docPr id="27" name="图片 27" descr="图5-6PM10年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5-6PM10年平均质量浓度分布图_01"/>
                    <pic:cNvPicPr>
                      <a:picLocks noChangeAspect="1"/>
                    </pic:cNvPicPr>
                  </pic:nvPicPr>
                  <pic:blipFill>
                    <a:blip r:embed="rId69"/>
                    <a:srcRect l="4466" t="9264" r="62035" b="8180"/>
                    <a:stretch>
                      <a:fillRect/>
                    </a:stretch>
                  </pic:blipFill>
                  <pic:spPr>
                    <a:xfrm>
                      <a:off x="0" y="0"/>
                      <a:ext cx="4140200" cy="3749040"/>
                    </a:xfrm>
                    <a:prstGeom prst="rect">
                      <a:avLst/>
                    </a:prstGeom>
                    <a:ln>
                      <a:solidFill>
                        <a:schemeClr val="tx1"/>
                      </a:solidFill>
                    </a:ln>
                  </pic:spPr>
                </pic:pic>
              </a:graphicData>
            </a:graphic>
          </wp:inline>
        </w:drawing>
      </w:r>
    </w:p>
    <w:p w14:paraId="243BFBB4" w14:textId="77777777" w:rsidR="003E78AB" w:rsidRDefault="00010BF9">
      <w:pPr>
        <w:pStyle w:val="a9"/>
        <w:spacing w:before="120"/>
        <w:ind w:left="425" w:hanging="425"/>
      </w:pPr>
      <w:r>
        <w:t>PM</w:t>
      </w:r>
      <w:r>
        <w:rPr>
          <w:vertAlign w:val="subscript"/>
        </w:rPr>
        <w:t>10</w:t>
      </w:r>
      <w:r>
        <w:t>保证率日平均质量浓度分布图</w:t>
      </w:r>
    </w:p>
    <w:p w14:paraId="2C33E4DC" w14:textId="77777777" w:rsidR="003E78AB" w:rsidRDefault="00010BF9">
      <w:pPr>
        <w:pStyle w:val="ZY6"/>
        <w:widowControl w:val="0"/>
        <w:numPr>
          <w:ilvl w:val="0"/>
          <w:numId w:val="0"/>
        </w:numPr>
        <w:spacing w:before="0" w:after="0" w:line="240" w:lineRule="atLeast"/>
        <w:rPr>
          <w:rFonts w:cs="Times New Roman"/>
          <w:b/>
          <w:bCs/>
          <w:color w:val="000000"/>
          <w:szCs w:val="22"/>
          <w:u w:val="single"/>
        </w:rPr>
      </w:pPr>
      <w:r>
        <w:rPr>
          <w:rFonts w:cs="Times New Roman" w:hint="eastAsia"/>
          <w:b/>
          <w:bCs/>
          <w:noProof/>
          <w:color w:val="000000"/>
          <w:szCs w:val="22"/>
          <w:u w:val="single"/>
        </w:rPr>
        <w:drawing>
          <wp:inline distT="0" distB="0" distL="114300" distR="114300">
            <wp:extent cx="4140200" cy="3841115"/>
            <wp:effectExtent l="9525" t="9525" r="22225" b="16510"/>
            <wp:docPr id="28" name="图片 28" descr="图5-6PM10年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5-6PM10年平均质量浓度分布图_01"/>
                    <pic:cNvPicPr>
                      <a:picLocks noChangeAspect="1"/>
                    </pic:cNvPicPr>
                  </pic:nvPicPr>
                  <pic:blipFill>
                    <a:blip r:embed="rId70"/>
                    <a:srcRect l="4768" t="8903" r="62373" b="8147"/>
                    <a:stretch>
                      <a:fillRect/>
                    </a:stretch>
                  </pic:blipFill>
                  <pic:spPr>
                    <a:xfrm>
                      <a:off x="0" y="0"/>
                      <a:ext cx="4140200" cy="3841115"/>
                    </a:xfrm>
                    <a:prstGeom prst="rect">
                      <a:avLst/>
                    </a:prstGeom>
                    <a:ln>
                      <a:solidFill>
                        <a:schemeClr val="tx1"/>
                      </a:solidFill>
                    </a:ln>
                  </pic:spPr>
                </pic:pic>
              </a:graphicData>
            </a:graphic>
          </wp:inline>
        </w:drawing>
      </w:r>
    </w:p>
    <w:p w14:paraId="5DDF95CD" w14:textId="77777777" w:rsidR="003E78AB" w:rsidRDefault="00010BF9">
      <w:pPr>
        <w:pStyle w:val="a9"/>
        <w:spacing w:before="120"/>
        <w:ind w:left="425" w:hanging="425"/>
      </w:pPr>
      <w:r>
        <w:t>PM</w:t>
      </w:r>
      <w:r>
        <w:rPr>
          <w:vertAlign w:val="subscript"/>
        </w:rPr>
        <w:t>10</w:t>
      </w:r>
      <w:r>
        <w:t>年平均质量浓度分布图</w:t>
      </w:r>
    </w:p>
    <w:p w14:paraId="6582B70E" w14:textId="77777777" w:rsidR="003E78AB" w:rsidRDefault="003E78AB">
      <w:pPr>
        <w:pStyle w:val="a9"/>
        <w:numPr>
          <w:ilvl w:val="255"/>
          <w:numId w:val="0"/>
        </w:numPr>
        <w:spacing w:before="120"/>
        <w:jc w:val="both"/>
      </w:pPr>
    </w:p>
    <w:p w14:paraId="62B58F44" w14:textId="77777777" w:rsidR="003E78AB" w:rsidRDefault="00010BF9">
      <w:pPr>
        <w:spacing w:line="240" w:lineRule="atLeast"/>
        <w:ind w:firstLineChars="0" w:firstLine="0"/>
        <w:jc w:val="center"/>
        <w:rPr>
          <w:b/>
          <w:bCs/>
          <w:u w:val="single"/>
        </w:rPr>
      </w:pPr>
      <w:r>
        <w:rPr>
          <w:rFonts w:hint="eastAsia"/>
          <w:b/>
          <w:bCs/>
          <w:noProof/>
          <w:u w:val="single"/>
        </w:rPr>
        <w:drawing>
          <wp:inline distT="0" distB="0" distL="114300" distR="114300">
            <wp:extent cx="4140200" cy="3867785"/>
            <wp:effectExtent l="9525" t="9525" r="22225" b="27940"/>
            <wp:docPr id="26" name="图片 26" descr="图5-1 非甲烷总烃1h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5-1 非甲烷总烃1h平均质量浓度分布图_01"/>
                    <pic:cNvPicPr>
                      <a:picLocks noChangeAspect="1"/>
                    </pic:cNvPicPr>
                  </pic:nvPicPr>
                  <pic:blipFill>
                    <a:blip r:embed="rId71"/>
                    <a:srcRect l="5493" t="8607" r="62035" b="8837"/>
                    <a:stretch>
                      <a:fillRect/>
                    </a:stretch>
                  </pic:blipFill>
                  <pic:spPr>
                    <a:xfrm>
                      <a:off x="0" y="0"/>
                      <a:ext cx="4140200" cy="3867785"/>
                    </a:xfrm>
                    <a:prstGeom prst="rect">
                      <a:avLst/>
                    </a:prstGeom>
                    <a:ln>
                      <a:solidFill>
                        <a:schemeClr val="tx1"/>
                      </a:solidFill>
                    </a:ln>
                  </pic:spPr>
                </pic:pic>
              </a:graphicData>
            </a:graphic>
          </wp:inline>
        </w:drawing>
      </w:r>
    </w:p>
    <w:p w14:paraId="6A461538" w14:textId="77777777" w:rsidR="003E78AB" w:rsidRDefault="00010BF9">
      <w:pPr>
        <w:pStyle w:val="a9"/>
        <w:spacing w:before="120"/>
        <w:ind w:left="425" w:hanging="425"/>
      </w:pPr>
      <w:r>
        <w:t>非甲烷总烃</w:t>
      </w:r>
      <w:r>
        <w:t>1h</w:t>
      </w:r>
      <w:r>
        <w:t>平均质量浓度分布图</w:t>
      </w:r>
    </w:p>
    <w:p w14:paraId="1DA8E64E" w14:textId="77777777" w:rsidR="003E78AB" w:rsidRDefault="00010BF9">
      <w:pPr>
        <w:spacing w:line="240" w:lineRule="atLeast"/>
        <w:ind w:firstLineChars="0" w:firstLine="0"/>
        <w:jc w:val="center"/>
        <w:rPr>
          <w:b/>
          <w:bCs/>
          <w:u w:val="single"/>
        </w:rPr>
      </w:pPr>
      <w:r>
        <w:rPr>
          <w:b/>
          <w:bCs/>
          <w:noProof/>
          <w:u w:val="single"/>
        </w:rPr>
        <w:drawing>
          <wp:inline distT="0" distB="0" distL="114300" distR="114300">
            <wp:extent cx="4140200" cy="3816985"/>
            <wp:effectExtent l="0" t="0" r="12700" b="12065"/>
            <wp:docPr id="31" name="图片 31" descr="图5-7硫酸雾 1h平均质量浓度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5-7硫酸雾 1h平均质量浓度分布图_01"/>
                    <pic:cNvPicPr>
                      <a:picLocks noChangeAspect="1"/>
                    </pic:cNvPicPr>
                  </pic:nvPicPr>
                  <pic:blipFill>
                    <a:blip r:embed="rId72"/>
                    <a:srcRect l="4611" t="7556" r="61999" b="8673"/>
                    <a:stretch>
                      <a:fillRect/>
                    </a:stretch>
                  </pic:blipFill>
                  <pic:spPr>
                    <a:xfrm>
                      <a:off x="0" y="0"/>
                      <a:ext cx="4140200" cy="3816985"/>
                    </a:xfrm>
                    <a:prstGeom prst="rect">
                      <a:avLst/>
                    </a:prstGeom>
                  </pic:spPr>
                </pic:pic>
              </a:graphicData>
            </a:graphic>
          </wp:inline>
        </w:drawing>
      </w:r>
    </w:p>
    <w:p w14:paraId="7397F375" w14:textId="77777777" w:rsidR="003E78AB" w:rsidRDefault="00010BF9">
      <w:pPr>
        <w:pStyle w:val="a9"/>
        <w:spacing w:before="120"/>
        <w:ind w:left="425" w:hanging="425"/>
      </w:pPr>
      <w:r>
        <w:t>硫酸雾</w:t>
      </w:r>
      <w:r>
        <w:t>1h</w:t>
      </w:r>
      <w:r>
        <w:t>平均质量浓度分布图</w:t>
      </w:r>
    </w:p>
    <w:p w14:paraId="2763C764" w14:textId="77777777" w:rsidR="003E78AB" w:rsidRDefault="00010BF9">
      <w:pPr>
        <w:pStyle w:val="ZY6"/>
        <w:widowControl w:val="0"/>
        <w:numPr>
          <w:ilvl w:val="0"/>
          <w:numId w:val="0"/>
        </w:numPr>
        <w:spacing w:before="0" w:after="0" w:line="240" w:lineRule="atLeast"/>
        <w:rPr>
          <w:b/>
          <w:bCs/>
          <w:color w:val="000000"/>
          <w:u w:val="single"/>
        </w:rPr>
      </w:pPr>
      <w:r>
        <w:rPr>
          <w:rFonts w:hint="eastAsia"/>
          <w:b/>
          <w:bCs/>
          <w:noProof/>
          <w:color w:val="000000"/>
          <w:u w:val="single"/>
        </w:rPr>
        <w:drawing>
          <wp:inline distT="0" distB="0" distL="114300" distR="114300">
            <wp:extent cx="4140200" cy="3830955"/>
            <wp:effectExtent l="9525" t="9525" r="22225" b="26670"/>
            <wp:docPr id="30" name="图片 30" descr="图5-16 硫酸雾日平均质量浓度分布图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5-16 硫酸雾日平均质量浓度分布图_01(2)"/>
                    <pic:cNvPicPr>
                      <a:picLocks noChangeAspect="1"/>
                    </pic:cNvPicPr>
                  </pic:nvPicPr>
                  <pic:blipFill>
                    <a:blip r:embed="rId73"/>
                    <a:srcRect l="4611" t="8344" r="62120" b="7884"/>
                    <a:stretch>
                      <a:fillRect/>
                    </a:stretch>
                  </pic:blipFill>
                  <pic:spPr>
                    <a:xfrm>
                      <a:off x="0" y="0"/>
                      <a:ext cx="4140200" cy="3830955"/>
                    </a:xfrm>
                    <a:prstGeom prst="rect">
                      <a:avLst/>
                    </a:prstGeom>
                    <a:ln>
                      <a:solidFill>
                        <a:schemeClr val="tx1"/>
                      </a:solidFill>
                    </a:ln>
                  </pic:spPr>
                </pic:pic>
              </a:graphicData>
            </a:graphic>
          </wp:inline>
        </w:drawing>
      </w:r>
    </w:p>
    <w:p w14:paraId="39E512C8" w14:textId="77777777" w:rsidR="003E78AB" w:rsidRDefault="00010BF9">
      <w:pPr>
        <w:pStyle w:val="a9"/>
        <w:spacing w:before="120"/>
        <w:ind w:left="425" w:hanging="425"/>
      </w:pPr>
      <w:r>
        <w:t>硫酸雾日</w:t>
      </w:r>
      <w:r>
        <w:t>平均质量浓度分布图</w:t>
      </w:r>
    </w:p>
    <w:p w14:paraId="240E5920" w14:textId="77777777" w:rsidR="003E78AB" w:rsidRDefault="00010BF9">
      <w:pPr>
        <w:pStyle w:val="afff3"/>
        <w:snapToGrid/>
        <w:ind w:firstLine="482"/>
        <w:rPr>
          <w:rFonts w:ascii="Times New Roman" w:hAnsi="Times New Roman"/>
          <w:b/>
          <w:bCs/>
          <w:color w:val="000000"/>
          <w:kern w:val="2"/>
          <w:sz w:val="24"/>
          <w:szCs w:val="24"/>
          <w:u w:val="single"/>
          <w:lang w:bidi="ar"/>
        </w:rPr>
      </w:pPr>
      <w:r>
        <w:rPr>
          <w:rFonts w:ascii="Times New Roman" w:hAnsi="Times New Roman" w:hint="eastAsia"/>
          <w:b/>
          <w:bCs/>
          <w:color w:val="000000"/>
          <w:kern w:val="2"/>
          <w:sz w:val="24"/>
          <w:szCs w:val="24"/>
          <w:u w:val="single"/>
          <w:lang w:bidi="ar"/>
        </w:rPr>
        <w:t>2</w:t>
      </w:r>
      <w:r>
        <w:rPr>
          <w:rFonts w:ascii="Times New Roman" w:hAnsi="Times New Roman" w:hint="eastAsia"/>
          <w:b/>
          <w:bCs/>
          <w:color w:val="000000"/>
          <w:kern w:val="2"/>
          <w:sz w:val="24"/>
          <w:szCs w:val="24"/>
          <w:u w:val="single"/>
          <w:lang w:bidi="ar"/>
        </w:rPr>
        <w:t>）</w:t>
      </w:r>
      <w:r>
        <w:rPr>
          <w:rFonts w:ascii="Times New Roman" w:hAnsi="Times New Roman"/>
          <w:b/>
          <w:bCs/>
          <w:color w:val="000000"/>
          <w:kern w:val="2"/>
          <w:sz w:val="24"/>
          <w:szCs w:val="24"/>
          <w:u w:val="single"/>
          <w:lang w:bidi="ar"/>
        </w:rPr>
        <w:t>现状浓度超标的污染物（</w:t>
      </w:r>
      <w:r>
        <w:rPr>
          <w:rFonts w:ascii="Times New Roman" w:hAnsi="Times New Roman"/>
          <w:b/>
          <w:bCs/>
          <w:color w:val="000000"/>
          <w:kern w:val="2"/>
          <w:sz w:val="24"/>
          <w:szCs w:val="24"/>
          <w:u w:val="single"/>
          <w:lang w:bidi="ar"/>
        </w:rPr>
        <w:t>PM</w:t>
      </w:r>
      <w:r>
        <w:rPr>
          <w:rFonts w:ascii="Times New Roman" w:hAnsi="Times New Roman"/>
          <w:b/>
          <w:bCs/>
          <w:color w:val="000000"/>
          <w:kern w:val="2"/>
          <w:sz w:val="24"/>
          <w:szCs w:val="24"/>
          <w:u w:val="single"/>
          <w:vertAlign w:val="subscript"/>
          <w:lang w:bidi="ar"/>
        </w:rPr>
        <w:t>10</w:t>
      </w:r>
      <w:r>
        <w:rPr>
          <w:rFonts w:ascii="Times New Roman" w:hAnsi="Times New Roman"/>
          <w:b/>
          <w:bCs/>
          <w:color w:val="000000"/>
          <w:kern w:val="2"/>
          <w:sz w:val="24"/>
          <w:szCs w:val="24"/>
          <w:u w:val="single"/>
          <w:lang w:bidi="ar"/>
        </w:rPr>
        <w:t>）</w:t>
      </w:r>
    </w:p>
    <w:p w14:paraId="557DEBA1" w14:textId="77777777" w:rsidR="003E78AB" w:rsidRDefault="00010BF9">
      <w:pPr>
        <w:spacing w:line="560" w:lineRule="exact"/>
        <w:ind w:firstLine="482"/>
        <w:rPr>
          <w:b/>
          <w:bCs/>
          <w:kern w:val="2"/>
          <w:szCs w:val="21"/>
          <w:u w:val="single"/>
        </w:rPr>
      </w:pPr>
      <w:r>
        <w:rPr>
          <w:b/>
          <w:bCs/>
          <w:snapToGrid w:val="0"/>
          <w:u w:val="single"/>
        </w:rPr>
        <w:t>本评价根据</w:t>
      </w:r>
      <w:r>
        <w:rPr>
          <w:b/>
          <w:bCs/>
          <w:snapToGrid w:val="0"/>
          <w:u w:val="single"/>
        </w:rPr>
        <w:t>HJ2.2-2018</w:t>
      </w:r>
      <w:r>
        <w:rPr>
          <w:b/>
          <w:bCs/>
          <w:snapToGrid w:val="0"/>
          <w:u w:val="single"/>
        </w:rPr>
        <w:t>中要求，计算</w:t>
      </w:r>
      <w:r>
        <w:rPr>
          <w:b/>
          <w:bCs/>
          <w:u w:val="single"/>
        </w:rPr>
        <w:t>PM</w:t>
      </w:r>
      <w:r>
        <w:rPr>
          <w:b/>
          <w:bCs/>
          <w:u w:val="single"/>
          <w:vertAlign w:val="subscript"/>
        </w:rPr>
        <w:t>10</w:t>
      </w:r>
      <w:r>
        <w:rPr>
          <w:b/>
          <w:bCs/>
          <w:snapToGrid w:val="0"/>
          <w:u w:val="single"/>
        </w:rPr>
        <w:t>的年平均质量浓度变化率</w:t>
      </w:r>
      <w:r>
        <w:rPr>
          <w:b/>
          <w:bCs/>
          <w:snapToGrid w:val="0"/>
          <w:u w:val="single"/>
        </w:rPr>
        <w:t>k</w:t>
      </w:r>
      <w:r>
        <w:rPr>
          <w:b/>
          <w:bCs/>
          <w:snapToGrid w:val="0"/>
          <w:u w:val="single"/>
        </w:rPr>
        <w:t>值。</w:t>
      </w:r>
      <w:r>
        <w:rPr>
          <w:b/>
          <w:bCs/>
          <w:u w:val="single"/>
        </w:rPr>
        <w:t>区域实施削减方案后，通过计算预测范围的年平均质量浓度变化率</w:t>
      </w:r>
      <w:r>
        <w:rPr>
          <w:b/>
          <w:bCs/>
          <w:u w:val="single"/>
        </w:rPr>
        <w:t>k</w:t>
      </w:r>
      <w:r>
        <w:rPr>
          <w:b/>
          <w:bCs/>
          <w:u w:val="single"/>
        </w:rPr>
        <w:t>，当</w:t>
      </w:r>
      <w:r>
        <w:rPr>
          <w:b/>
          <w:bCs/>
          <w:u w:val="single"/>
        </w:rPr>
        <w:t>k≤-20%</w:t>
      </w:r>
      <w:r>
        <w:rPr>
          <w:b/>
          <w:bCs/>
          <w:u w:val="single"/>
        </w:rPr>
        <w:t>时，可判定项目建设后区域环境质量得到整体改善。</w:t>
      </w:r>
    </w:p>
    <w:p w14:paraId="5AC55282" w14:textId="77777777" w:rsidR="003E78AB" w:rsidRDefault="00010BF9">
      <w:pPr>
        <w:spacing w:line="560" w:lineRule="exact"/>
        <w:ind w:firstLine="482"/>
        <w:rPr>
          <w:b/>
          <w:bCs/>
          <w:kern w:val="2"/>
          <w:szCs w:val="21"/>
          <w:u w:val="single"/>
        </w:rPr>
      </w:pPr>
      <w:r>
        <w:rPr>
          <w:b/>
          <w:bCs/>
          <w:kern w:val="2"/>
          <w:position w:val="-14"/>
          <w:szCs w:val="21"/>
          <w:u w:val="single"/>
        </w:rPr>
        <w:object w:dxaOrig="4500" w:dyaOrig="375" w14:anchorId="22678F49">
          <v:shape id="_x0000_i1041" type="#_x0000_t75" style="width:225pt;height:18.75pt" o:ole="">
            <v:imagedata r:id="rId74" o:title=""/>
          </v:shape>
          <o:OLEObject Type="Embed" ProgID="Equation.3" ShapeID="_x0000_i1041" DrawAspect="Content" ObjectID="_1814684984" r:id="rId75"/>
        </w:object>
      </w:r>
    </w:p>
    <w:p w14:paraId="2221D52B" w14:textId="77777777" w:rsidR="003E78AB" w:rsidRDefault="00010BF9">
      <w:pPr>
        <w:spacing w:line="560" w:lineRule="exact"/>
        <w:ind w:firstLine="482"/>
        <w:rPr>
          <w:b/>
          <w:bCs/>
          <w:kern w:val="2"/>
          <w:szCs w:val="21"/>
          <w:u w:val="single"/>
        </w:rPr>
      </w:pPr>
      <w:r>
        <w:rPr>
          <w:b/>
          <w:bCs/>
          <w:kern w:val="2"/>
          <w:szCs w:val="21"/>
          <w:u w:val="single"/>
        </w:rPr>
        <w:t>式中：</w:t>
      </w:r>
      <w:r>
        <w:rPr>
          <w:b/>
          <w:bCs/>
          <w:kern w:val="2"/>
          <w:szCs w:val="21"/>
          <w:u w:val="single"/>
        </w:rPr>
        <w:t>k——</w:t>
      </w:r>
      <w:r>
        <w:rPr>
          <w:b/>
          <w:bCs/>
          <w:kern w:val="2"/>
          <w:szCs w:val="21"/>
          <w:u w:val="single"/>
        </w:rPr>
        <w:t>预测范围年平均质量浓度变化率，</w:t>
      </w:r>
      <w:r>
        <w:rPr>
          <w:b/>
          <w:bCs/>
          <w:kern w:val="2"/>
          <w:szCs w:val="21"/>
          <w:u w:val="single"/>
        </w:rPr>
        <w:t>%</w:t>
      </w:r>
      <w:r>
        <w:rPr>
          <w:b/>
          <w:bCs/>
          <w:kern w:val="2"/>
          <w:szCs w:val="21"/>
          <w:u w:val="single"/>
        </w:rPr>
        <w:t>；</w:t>
      </w:r>
    </w:p>
    <w:p w14:paraId="06FB8CB2" w14:textId="77777777" w:rsidR="003E78AB" w:rsidRDefault="00010BF9">
      <w:pPr>
        <w:spacing w:line="560" w:lineRule="exact"/>
        <w:ind w:firstLine="482"/>
        <w:rPr>
          <w:b/>
          <w:bCs/>
          <w:kern w:val="2"/>
          <w:szCs w:val="21"/>
          <w:u w:val="single"/>
        </w:rPr>
      </w:pPr>
      <w:r>
        <w:rPr>
          <w:b/>
          <w:bCs/>
          <w:kern w:val="2"/>
          <w:position w:val="-10"/>
          <w:szCs w:val="21"/>
          <w:u w:val="single"/>
          <w:vertAlign w:val="subscript"/>
        </w:rPr>
        <w:object w:dxaOrig="240" w:dyaOrig="300" w14:anchorId="5A1FBFAD">
          <v:shape id="_x0000_i1042" type="#_x0000_t75" style="width:12pt;height:15pt" o:ole="">
            <v:imagedata r:id="rId76" o:title=""/>
          </v:shape>
          <o:OLEObject Type="Embed" ProgID="Equation.3" ShapeID="_x0000_i1042" DrawAspect="Content" ObjectID="_1814684985" r:id="rId77"/>
        </w:object>
      </w:r>
      <w:r>
        <w:rPr>
          <w:b/>
          <w:bCs/>
          <w:kern w:val="2"/>
          <w:szCs w:val="21"/>
          <w:u w:val="single"/>
        </w:rPr>
        <w:t>本项目（</w:t>
      </w:r>
      <w:r>
        <w:rPr>
          <w:b/>
          <w:bCs/>
          <w:kern w:val="2"/>
          <w:szCs w:val="21"/>
          <w:u w:val="single"/>
        </w:rPr>
        <w:t>a</w:t>
      </w:r>
      <w:r>
        <w:rPr>
          <w:b/>
          <w:bCs/>
          <w:kern w:val="2"/>
          <w:szCs w:val="21"/>
          <w:u w:val="single"/>
        </w:rPr>
        <w:t>）</w:t>
      </w:r>
      <w:r>
        <w:rPr>
          <w:b/>
          <w:bCs/>
          <w:kern w:val="2"/>
          <w:szCs w:val="21"/>
          <w:u w:val="single"/>
        </w:rPr>
        <w:t>——</w:t>
      </w:r>
      <w:r>
        <w:rPr>
          <w:b/>
          <w:bCs/>
          <w:kern w:val="2"/>
          <w:szCs w:val="21"/>
          <w:u w:val="single"/>
        </w:rPr>
        <w:t>本项目对所有网格点年平均质量浓度贡献值算数平均值，</w:t>
      </w:r>
      <w:r>
        <w:rPr>
          <w:b/>
          <w:bCs/>
          <w:kern w:val="2"/>
          <w:szCs w:val="21"/>
          <w:u w:val="single"/>
        </w:rPr>
        <w:t>μg/m</w:t>
      </w:r>
      <w:r>
        <w:rPr>
          <w:b/>
          <w:bCs/>
          <w:kern w:val="2"/>
          <w:szCs w:val="21"/>
          <w:u w:val="single"/>
          <w:vertAlign w:val="superscript"/>
        </w:rPr>
        <w:t>3</w:t>
      </w:r>
      <w:r>
        <w:rPr>
          <w:b/>
          <w:bCs/>
          <w:kern w:val="2"/>
          <w:szCs w:val="21"/>
          <w:u w:val="single"/>
        </w:rPr>
        <w:t>；</w:t>
      </w:r>
    </w:p>
    <w:p w14:paraId="6FC47D42" w14:textId="77777777" w:rsidR="003E78AB" w:rsidRDefault="00010BF9">
      <w:pPr>
        <w:spacing w:line="560" w:lineRule="exact"/>
        <w:ind w:firstLine="482"/>
        <w:rPr>
          <w:b/>
          <w:bCs/>
          <w:kern w:val="2"/>
          <w:szCs w:val="21"/>
          <w:u w:val="single"/>
        </w:rPr>
      </w:pPr>
      <w:r>
        <w:rPr>
          <w:b/>
          <w:bCs/>
          <w:kern w:val="2"/>
          <w:position w:val="-10"/>
          <w:szCs w:val="21"/>
          <w:u w:val="single"/>
          <w:vertAlign w:val="subscript"/>
        </w:rPr>
        <w:object w:dxaOrig="240" w:dyaOrig="300" w14:anchorId="3D3688E9">
          <v:shape id="_x0000_i1043" type="#_x0000_t75" style="width:12pt;height:15pt" o:ole="">
            <v:imagedata r:id="rId76" o:title=""/>
          </v:shape>
          <o:OLEObject Type="Embed" ProgID="Equation.3" ShapeID="_x0000_i1043" DrawAspect="Content" ObjectID="_1814684986" r:id="rId78"/>
        </w:object>
      </w:r>
      <w:r>
        <w:rPr>
          <w:b/>
          <w:bCs/>
          <w:kern w:val="2"/>
          <w:szCs w:val="21"/>
          <w:u w:val="single"/>
        </w:rPr>
        <w:t>区域削减（</w:t>
      </w:r>
      <w:r>
        <w:rPr>
          <w:b/>
          <w:bCs/>
          <w:kern w:val="2"/>
          <w:szCs w:val="21"/>
          <w:u w:val="single"/>
        </w:rPr>
        <w:t>a</w:t>
      </w:r>
      <w:r>
        <w:rPr>
          <w:b/>
          <w:bCs/>
          <w:kern w:val="2"/>
          <w:szCs w:val="21"/>
          <w:u w:val="single"/>
        </w:rPr>
        <w:t>）</w:t>
      </w:r>
      <w:r>
        <w:rPr>
          <w:b/>
          <w:bCs/>
          <w:kern w:val="2"/>
          <w:szCs w:val="21"/>
          <w:u w:val="single"/>
        </w:rPr>
        <w:t>——</w:t>
      </w:r>
      <w:r>
        <w:rPr>
          <w:b/>
          <w:bCs/>
          <w:kern w:val="2"/>
          <w:szCs w:val="21"/>
          <w:u w:val="single"/>
        </w:rPr>
        <w:t>区域削减源对所有网格点的年平均质量浓度贡献值算数平均值，</w:t>
      </w:r>
      <w:r>
        <w:rPr>
          <w:b/>
          <w:bCs/>
          <w:kern w:val="2"/>
          <w:szCs w:val="21"/>
          <w:u w:val="single"/>
        </w:rPr>
        <w:t>μg/m</w:t>
      </w:r>
      <w:r>
        <w:rPr>
          <w:b/>
          <w:bCs/>
          <w:kern w:val="2"/>
          <w:szCs w:val="21"/>
          <w:u w:val="single"/>
          <w:vertAlign w:val="superscript"/>
        </w:rPr>
        <w:t>3</w:t>
      </w:r>
      <w:r>
        <w:rPr>
          <w:b/>
          <w:bCs/>
          <w:kern w:val="2"/>
          <w:szCs w:val="21"/>
          <w:u w:val="single"/>
        </w:rPr>
        <w:t>。</w:t>
      </w:r>
    </w:p>
    <w:p w14:paraId="5BB0AF64" w14:textId="77777777" w:rsidR="003E78AB" w:rsidRDefault="00010BF9">
      <w:pPr>
        <w:spacing w:line="560" w:lineRule="exact"/>
        <w:ind w:firstLine="482"/>
        <w:rPr>
          <w:b/>
          <w:bCs/>
          <w:u w:val="single"/>
        </w:rPr>
      </w:pPr>
      <w:r>
        <w:rPr>
          <w:rFonts w:hint="eastAsia"/>
          <w:b/>
          <w:bCs/>
          <w:kern w:val="2"/>
          <w:szCs w:val="21"/>
          <w:u w:val="single"/>
        </w:rPr>
        <w:t>区域削减源：区域扬尘治理。</w:t>
      </w:r>
    </w:p>
    <w:p w14:paraId="24457CF3" w14:textId="77777777" w:rsidR="003E78AB" w:rsidRDefault="00010BF9">
      <w:pPr>
        <w:spacing w:line="560" w:lineRule="exact"/>
        <w:ind w:firstLine="482"/>
        <w:rPr>
          <w:b/>
          <w:bCs/>
          <w:u w:val="single"/>
        </w:rPr>
      </w:pPr>
      <w:r>
        <w:rPr>
          <w:rFonts w:hint="eastAsia"/>
          <w:b/>
          <w:bCs/>
          <w:u w:val="single"/>
        </w:rPr>
        <w:t>通过计算</w:t>
      </w:r>
      <w:r>
        <w:rPr>
          <w:rFonts w:hint="eastAsia"/>
          <w:b/>
          <w:bCs/>
          <w:u w:val="single"/>
        </w:rPr>
        <w:t>k</w:t>
      </w:r>
      <w:r>
        <w:rPr>
          <w:rFonts w:hint="eastAsia"/>
          <w:b/>
          <w:bCs/>
          <w:u w:val="single"/>
        </w:rPr>
        <w:t>值，评价区域环境质量的整体变化情况。</w:t>
      </w:r>
    </w:p>
    <w:p w14:paraId="18D74627" w14:textId="77777777" w:rsidR="003E78AB" w:rsidRDefault="00010BF9">
      <w:pPr>
        <w:pStyle w:val="a4"/>
        <w:spacing w:before="120"/>
        <w:ind w:left="425" w:hanging="425"/>
        <w:rPr>
          <w:b/>
          <w:bCs/>
          <w:u w:val="single"/>
        </w:rPr>
      </w:pPr>
      <w:r>
        <w:rPr>
          <w:rFonts w:hint="eastAsia"/>
          <w:bCs/>
        </w:rPr>
        <w:t>年平均质量浓度变化率</w:t>
      </w:r>
    </w:p>
    <w:tbl>
      <w:tblPr>
        <w:tblW w:w="5000" w:type="pct"/>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517"/>
        <w:gridCol w:w="1010"/>
        <w:gridCol w:w="1649"/>
        <w:gridCol w:w="1469"/>
        <w:gridCol w:w="1073"/>
        <w:gridCol w:w="2612"/>
      </w:tblGrid>
      <w:tr w:rsidR="003E78AB" w14:paraId="0D6E0FBA" w14:textId="77777777">
        <w:trPr>
          <w:trHeight w:val="194"/>
        </w:trPr>
        <w:tc>
          <w:tcPr>
            <w:tcW w:w="310" w:type="pct"/>
            <w:tcBorders>
              <w:bottom w:val="single" w:sz="4" w:space="0" w:color="000000"/>
              <w:right w:val="single" w:sz="4" w:space="0" w:color="000000"/>
            </w:tcBorders>
            <w:tcMar>
              <w:top w:w="15" w:type="dxa"/>
              <w:left w:w="15" w:type="dxa"/>
              <w:right w:w="15" w:type="dxa"/>
            </w:tcMar>
            <w:vAlign w:val="center"/>
          </w:tcPr>
          <w:p w14:paraId="15AB11C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序号</w:t>
            </w:r>
          </w:p>
        </w:tc>
        <w:tc>
          <w:tcPr>
            <w:tcW w:w="606" w:type="pct"/>
            <w:tcBorders>
              <w:left w:val="single" w:sz="4" w:space="0" w:color="000000"/>
              <w:bottom w:val="single" w:sz="4" w:space="0" w:color="000000"/>
              <w:right w:val="single" w:sz="4" w:space="0" w:color="000000"/>
            </w:tcBorders>
            <w:tcMar>
              <w:top w:w="15" w:type="dxa"/>
              <w:left w:w="15" w:type="dxa"/>
              <w:right w:w="15" w:type="dxa"/>
            </w:tcMar>
            <w:vAlign w:val="center"/>
          </w:tcPr>
          <w:p w14:paraId="5ED596F8"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污染因子</w:t>
            </w:r>
          </w:p>
        </w:tc>
        <w:tc>
          <w:tcPr>
            <w:tcW w:w="989" w:type="pct"/>
            <w:tcBorders>
              <w:left w:val="single" w:sz="4" w:space="0" w:color="000000"/>
              <w:bottom w:val="single" w:sz="4" w:space="0" w:color="000000"/>
              <w:right w:val="single" w:sz="4" w:space="0" w:color="000000"/>
            </w:tcBorders>
            <w:tcMar>
              <w:top w:w="15" w:type="dxa"/>
              <w:left w:w="15" w:type="dxa"/>
              <w:right w:w="15" w:type="dxa"/>
            </w:tcMar>
            <w:vAlign w:val="center"/>
          </w:tcPr>
          <w:p w14:paraId="430D9138" w14:textId="77777777" w:rsidR="003E78AB" w:rsidRDefault="00010BF9">
            <w:pPr>
              <w:spacing w:line="360" w:lineRule="exact"/>
              <w:ind w:firstLineChars="0" w:firstLine="0"/>
              <w:jc w:val="center"/>
              <w:rPr>
                <w:b/>
                <w:bCs/>
                <w:kern w:val="2"/>
                <w:sz w:val="21"/>
                <w:szCs w:val="21"/>
                <w:u w:val="single"/>
                <w:vertAlign w:val="subscript"/>
              </w:rPr>
            </w:pPr>
            <w:r>
              <w:rPr>
                <w:b/>
                <w:bCs/>
                <w:kern w:val="2"/>
                <w:position w:val="-10"/>
                <w:sz w:val="21"/>
                <w:szCs w:val="21"/>
                <w:u w:val="single"/>
                <w:vertAlign w:val="subscript"/>
              </w:rPr>
              <w:object w:dxaOrig="240" w:dyaOrig="300" w14:anchorId="7B815DF0">
                <v:shape id="_x0000_i1044" type="#_x0000_t75" style="width:12pt;height:15pt" o:ole="">
                  <v:imagedata r:id="rId76" o:title=""/>
                </v:shape>
                <o:OLEObject Type="Embed" ProgID="Equation.3" ShapeID="_x0000_i1044" DrawAspect="Content" ObjectID="_1814684987" r:id="rId79"/>
              </w:object>
            </w:r>
            <w:r>
              <w:rPr>
                <w:b/>
                <w:bCs/>
                <w:kern w:val="2"/>
                <w:sz w:val="21"/>
                <w:szCs w:val="21"/>
                <w:u w:val="single"/>
                <w:vertAlign w:val="subscript"/>
              </w:rPr>
              <w:t>本项目（</w:t>
            </w:r>
            <w:r>
              <w:rPr>
                <w:b/>
                <w:bCs/>
                <w:kern w:val="2"/>
                <w:sz w:val="21"/>
                <w:szCs w:val="21"/>
                <w:u w:val="single"/>
                <w:vertAlign w:val="subscript"/>
              </w:rPr>
              <w:t>a</w:t>
            </w:r>
            <w:r>
              <w:rPr>
                <w:b/>
                <w:bCs/>
                <w:kern w:val="2"/>
                <w:sz w:val="21"/>
                <w:szCs w:val="21"/>
                <w:u w:val="single"/>
                <w:vertAlign w:val="subscript"/>
              </w:rPr>
              <w:t>）</w:t>
            </w:r>
          </w:p>
          <w:p w14:paraId="1E0F8AF9"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r>
              <w:rPr>
                <w:b/>
                <w:bCs/>
                <w:kern w:val="2"/>
                <w:sz w:val="21"/>
                <w:szCs w:val="21"/>
                <w:u w:val="single"/>
              </w:rPr>
              <w:t>μg/m</w:t>
            </w:r>
            <w:r>
              <w:rPr>
                <w:b/>
                <w:bCs/>
                <w:kern w:val="2"/>
                <w:sz w:val="21"/>
                <w:szCs w:val="21"/>
                <w:u w:val="single"/>
                <w:vertAlign w:val="superscript"/>
              </w:rPr>
              <w:t>3</w:t>
            </w:r>
            <w:r>
              <w:rPr>
                <w:b/>
                <w:bCs/>
                <w:kern w:val="2"/>
                <w:sz w:val="21"/>
                <w:szCs w:val="21"/>
                <w:u w:val="single"/>
              </w:rPr>
              <w:t>）</w:t>
            </w:r>
          </w:p>
        </w:tc>
        <w:tc>
          <w:tcPr>
            <w:tcW w:w="881" w:type="pct"/>
            <w:tcBorders>
              <w:left w:val="single" w:sz="4" w:space="0" w:color="000000"/>
              <w:bottom w:val="single" w:sz="4" w:space="0" w:color="000000"/>
              <w:right w:val="single" w:sz="4" w:space="0" w:color="000000"/>
            </w:tcBorders>
            <w:tcMar>
              <w:top w:w="15" w:type="dxa"/>
              <w:left w:w="15" w:type="dxa"/>
              <w:right w:w="15" w:type="dxa"/>
            </w:tcMar>
            <w:vAlign w:val="center"/>
          </w:tcPr>
          <w:p w14:paraId="55533CA3" w14:textId="77777777" w:rsidR="003E78AB" w:rsidRDefault="00010BF9">
            <w:pPr>
              <w:spacing w:line="360" w:lineRule="exact"/>
              <w:ind w:firstLineChars="0" w:firstLine="0"/>
              <w:jc w:val="center"/>
              <w:rPr>
                <w:b/>
                <w:bCs/>
                <w:kern w:val="2"/>
                <w:sz w:val="21"/>
                <w:szCs w:val="21"/>
                <w:u w:val="single"/>
                <w:vertAlign w:val="subscript"/>
              </w:rPr>
            </w:pPr>
            <w:r>
              <w:rPr>
                <w:b/>
                <w:bCs/>
                <w:kern w:val="2"/>
                <w:position w:val="-10"/>
                <w:sz w:val="21"/>
                <w:szCs w:val="21"/>
                <w:u w:val="single"/>
                <w:vertAlign w:val="subscript"/>
              </w:rPr>
              <w:object w:dxaOrig="240" w:dyaOrig="300" w14:anchorId="13ACC7EC">
                <v:shape id="_x0000_i1045" type="#_x0000_t75" style="width:12pt;height:15pt" o:ole="">
                  <v:imagedata r:id="rId76" o:title=""/>
                </v:shape>
                <o:OLEObject Type="Embed" ProgID="Equation.3" ShapeID="_x0000_i1045" DrawAspect="Content" ObjectID="_1814684988" r:id="rId80"/>
              </w:object>
            </w:r>
            <w:r>
              <w:rPr>
                <w:b/>
                <w:bCs/>
                <w:kern w:val="2"/>
                <w:sz w:val="21"/>
                <w:szCs w:val="21"/>
                <w:u w:val="single"/>
                <w:vertAlign w:val="subscript"/>
              </w:rPr>
              <w:t>区域削减（</w:t>
            </w:r>
            <w:r>
              <w:rPr>
                <w:b/>
                <w:bCs/>
                <w:kern w:val="2"/>
                <w:sz w:val="21"/>
                <w:szCs w:val="21"/>
                <w:u w:val="single"/>
                <w:vertAlign w:val="subscript"/>
              </w:rPr>
              <w:t>a</w:t>
            </w:r>
            <w:r>
              <w:rPr>
                <w:b/>
                <w:bCs/>
                <w:kern w:val="2"/>
                <w:sz w:val="21"/>
                <w:szCs w:val="21"/>
                <w:u w:val="single"/>
                <w:vertAlign w:val="subscript"/>
              </w:rPr>
              <w:t>）</w:t>
            </w:r>
          </w:p>
          <w:p w14:paraId="1884B6B7"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r>
              <w:rPr>
                <w:b/>
                <w:bCs/>
                <w:kern w:val="2"/>
                <w:sz w:val="21"/>
                <w:szCs w:val="21"/>
                <w:u w:val="single"/>
              </w:rPr>
              <w:t>μg/m</w:t>
            </w:r>
            <w:r>
              <w:rPr>
                <w:b/>
                <w:bCs/>
                <w:kern w:val="2"/>
                <w:sz w:val="21"/>
                <w:szCs w:val="21"/>
                <w:u w:val="single"/>
                <w:vertAlign w:val="superscript"/>
              </w:rPr>
              <w:t>3</w:t>
            </w:r>
            <w:r>
              <w:rPr>
                <w:b/>
                <w:bCs/>
                <w:kern w:val="2"/>
                <w:sz w:val="21"/>
                <w:szCs w:val="21"/>
                <w:u w:val="single"/>
              </w:rPr>
              <w:t>）</w:t>
            </w:r>
          </w:p>
        </w:tc>
        <w:tc>
          <w:tcPr>
            <w:tcW w:w="644" w:type="pct"/>
            <w:tcBorders>
              <w:left w:val="single" w:sz="4" w:space="0" w:color="000000"/>
              <w:bottom w:val="single" w:sz="4" w:space="0" w:color="000000"/>
              <w:right w:val="single" w:sz="4" w:space="0" w:color="000000"/>
            </w:tcBorders>
            <w:tcMar>
              <w:top w:w="15" w:type="dxa"/>
              <w:left w:w="15" w:type="dxa"/>
              <w:right w:w="15" w:type="dxa"/>
            </w:tcMar>
            <w:vAlign w:val="center"/>
          </w:tcPr>
          <w:p w14:paraId="3662447A"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k/%</w:t>
            </w:r>
          </w:p>
        </w:tc>
        <w:tc>
          <w:tcPr>
            <w:tcW w:w="1567" w:type="pct"/>
            <w:tcBorders>
              <w:left w:val="single" w:sz="4" w:space="0" w:color="000000"/>
              <w:bottom w:val="single" w:sz="4" w:space="0" w:color="000000"/>
            </w:tcBorders>
            <w:tcMar>
              <w:top w:w="15" w:type="dxa"/>
              <w:left w:w="15" w:type="dxa"/>
              <w:right w:w="15" w:type="dxa"/>
            </w:tcMar>
            <w:vAlign w:val="center"/>
          </w:tcPr>
          <w:p w14:paraId="72E9C66C"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判定结果</w:t>
            </w:r>
          </w:p>
        </w:tc>
      </w:tr>
      <w:tr w:rsidR="003E78AB" w14:paraId="7225DADE" w14:textId="77777777">
        <w:trPr>
          <w:trHeight w:val="299"/>
        </w:trPr>
        <w:tc>
          <w:tcPr>
            <w:tcW w:w="310" w:type="pct"/>
            <w:tcBorders>
              <w:top w:val="single" w:sz="4" w:space="0" w:color="000000"/>
              <w:right w:val="single" w:sz="4" w:space="0" w:color="000000"/>
            </w:tcBorders>
            <w:tcMar>
              <w:top w:w="15" w:type="dxa"/>
              <w:left w:w="15" w:type="dxa"/>
              <w:right w:w="15" w:type="dxa"/>
            </w:tcMar>
            <w:vAlign w:val="center"/>
          </w:tcPr>
          <w:p w14:paraId="525E1B06"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1</w:t>
            </w:r>
          </w:p>
        </w:tc>
        <w:tc>
          <w:tcPr>
            <w:tcW w:w="606" w:type="pct"/>
            <w:tcBorders>
              <w:top w:val="single" w:sz="4" w:space="0" w:color="000000"/>
              <w:left w:val="single" w:sz="4" w:space="0" w:color="000000"/>
              <w:right w:val="single" w:sz="4" w:space="0" w:color="000000"/>
            </w:tcBorders>
            <w:tcMar>
              <w:top w:w="15" w:type="dxa"/>
              <w:left w:w="15" w:type="dxa"/>
              <w:right w:w="15" w:type="dxa"/>
            </w:tcMar>
            <w:vAlign w:val="center"/>
          </w:tcPr>
          <w:p w14:paraId="7F3FA7D1"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PM</w:t>
            </w:r>
            <w:r>
              <w:rPr>
                <w:b/>
                <w:bCs/>
                <w:kern w:val="2"/>
                <w:sz w:val="21"/>
                <w:szCs w:val="21"/>
                <w:u w:val="single"/>
                <w:vertAlign w:val="subscript"/>
              </w:rPr>
              <w:t>10</w:t>
            </w:r>
          </w:p>
        </w:tc>
        <w:tc>
          <w:tcPr>
            <w:tcW w:w="989" w:type="pct"/>
            <w:tcBorders>
              <w:top w:val="single" w:sz="4" w:space="0" w:color="000000"/>
              <w:left w:val="single" w:sz="4" w:space="0" w:color="000000"/>
              <w:right w:val="single" w:sz="4" w:space="0" w:color="000000"/>
            </w:tcBorders>
            <w:tcMar>
              <w:top w:w="15" w:type="dxa"/>
              <w:left w:w="15" w:type="dxa"/>
              <w:right w:w="15" w:type="dxa"/>
            </w:tcMar>
            <w:vAlign w:val="center"/>
          </w:tcPr>
          <w:p w14:paraId="4815F9AE"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0.0</w:t>
            </w:r>
            <w:r>
              <w:rPr>
                <w:rFonts w:hint="eastAsia"/>
                <w:b/>
                <w:bCs/>
                <w:kern w:val="2"/>
                <w:sz w:val="21"/>
                <w:szCs w:val="21"/>
                <w:u w:val="single"/>
              </w:rPr>
              <w:t>084</w:t>
            </w:r>
          </w:p>
        </w:tc>
        <w:tc>
          <w:tcPr>
            <w:tcW w:w="881" w:type="pct"/>
            <w:tcBorders>
              <w:top w:val="single" w:sz="4" w:space="0" w:color="000000"/>
              <w:left w:val="single" w:sz="4" w:space="0" w:color="000000"/>
              <w:right w:val="single" w:sz="4" w:space="0" w:color="000000"/>
            </w:tcBorders>
            <w:tcMar>
              <w:top w:w="15" w:type="dxa"/>
              <w:left w:w="15" w:type="dxa"/>
              <w:right w:w="15" w:type="dxa"/>
            </w:tcMar>
            <w:vAlign w:val="center"/>
          </w:tcPr>
          <w:p w14:paraId="0E1872B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0.0110</w:t>
            </w:r>
          </w:p>
        </w:tc>
        <w:tc>
          <w:tcPr>
            <w:tcW w:w="644" w:type="pct"/>
            <w:tcBorders>
              <w:top w:val="single" w:sz="4" w:space="0" w:color="000000"/>
              <w:left w:val="single" w:sz="4" w:space="0" w:color="000000"/>
              <w:right w:val="single" w:sz="4" w:space="0" w:color="000000"/>
            </w:tcBorders>
            <w:tcMar>
              <w:top w:w="15" w:type="dxa"/>
              <w:left w:w="15" w:type="dxa"/>
              <w:right w:w="15" w:type="dxa"/>
            </w:tcMar>
            <w:vAlign w:val="center"/>
          </w:tcPr>
          <w:p w14:paraId="5AF481AF"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w:t>
            </w:r>
            <w:r>
              <w:rPr>
                <w:rFonts w:hint="eastAsia"/>
                <w:b/>
                <w:bCs/>
                <w:kern w:val="2"/>
                <w:sz w:val="21"/>
                <w:szCs w:val="21"/>
                <w:u w:val="single"/>
              </w:rPr>
              <w:t>23.64</w:t>
            </w:r>
          </w:p>
        </w:tc>
        <w:tc>
          <w:tcPr>
            <w:tcW w:w="1567" w:type="pct"/>
            <w:tcBorders>
              <w:top w:val="single" w:sz="4" w:space="0" w:color="000000"/>
              <w:left w:val="single" w:sz="4" w:space="0" w:color="000000"/>
            </w:tcBorders>
            <w:tcMar>
              <w:top w:w="15" w:type="dxa"/>
              <w:left w:w="15" w:type="dxa"/>
              <w:right w:w="15" w:type="dxa"/>
            </w:tcMar>
            <w:vAlign w:val="center"/>
          </w:tcPr>
          <w:p w14:paraId="711FF5CE" w14:textId="77777777" w:rsidR="003E78AB" w:rsidRDefault="00010BF9">
            <w:pPr>
              <w:spacing w:line="360" w:lineRule="exact"/>
              <w:ind w:firstLineChars="0" w:firstLine="0"/>
              <w:jc w:val="center"/>
              <w:rPr>
                <w:b/>
                <w:bCs/>
                <w:kern w:val="2"/>
                <w:sz w:val="21"/>
                <w:szCs w:val="21"/>
                <w:u w:val="single"/>
              </w:rPr>
            </w:pPr>
            <w:r>
              <w:rPr>
                <w:b/>
                <w:bCs/>
                <w:kern w:val="2"/>
                <w:sz w:val="21"/>
                <w:szCs w:val="21"/>
                <w:u w:val="single"/>
              </w:rPr>
              <w:t>k</w:t>
            </w:r>
            <w:r>
              <w:rPr>
                <w:b/>
                <w:bCs/>
                <w:kern w:val="2"/>
                <w:sz w:val="21"/>
                <w:szCs w:val="21"/>
                <w:u w:val="single"/>
              </w:rPr>
              <w:t>＜</w:t>
            </w:r>
            <w:r>
              <w:rPr>
                <w:b/>
                <w:bCs/>
                <w:kern w:val="2"/>
                <w:sz w:val="21"/>
                <w:szCs w:val="21"/>
                <w:u w:val="single"/>
              </w:rPr>
              <w:t>-20%</w:t>
            </w:r>
            <w:r>
              <w:rPr>
                <w:b/>
                <w:bCs/>
                <w:kern w:val="2"/>
                <w:sz w:val="21"/>
                <w:szCs w:val="21"/>
                <w:u w:val="single"/>
              </w:rPr>
              <w:t>，区域环境质量得到整体改善</w:t>
            </w:r>
          </w:p>
        </w:tc>
      </w:tr>
    </w:tbl>
    <w:p w14:paraId="314A5A61" w14:textId="77777777" w:rsidR="003E78AB" w:rsidRDefault="00010BF9">
      <w:pPr>
        <w:spacing w:line="560" w:lineRule="exact"/>
        <w:ind w:firstLine="482"/>
        <w:rPr>
          <w:b/>
          <w:bCs/>
          <w:kern w:val="2"/>
          <w:szCs w:val="21"/>
          <w:u w:val="single"/>
        </w:rPr>
      </w:pPr>
      <w:r>
        <w:rPr>
          <w:b/>
          <w:bCs/>
          <w:kern w:val="2"/>
          <w:szCs w:val="21"/>
          <w:u w:val="single"/>
        </w:rPr>
        <w:t>根据上表可知，通过实施区域逐年削减方案，经计算本项目</w:t>
      </w:r>
      <w:r>
        <w:rPr>
          <w:b/>
          <w:bCs/>
          <w:kern w:val="2"/>
          <w:szCs w:val="21"/>
          <w:u w:val="single"/>
        </w:rPr>
        <w:t>PM</w:t>
      </w:r>
      <w:r>
        <w:rPr>
          <w:b/>
          <w:bCs/>
          <w:kern w:val="2"/>
          <w:szCs w:val="21"/>
          <w:u w:val="single"/>
          <w:vertAlign w:val="subscript"/>
        </w:rPr>
        <w:t>10</w:t>
      </w:r>
      <w:r>
        <w:rPr>
          <w:b/>
          <w:bCs/>
          <w:kern w:val="2"/>
          <w:szCs w:val="21"/>
          <w:u w:val="single"/>
        </w:rPr>
        <w:t>年平均质量浓度变化率</w:t>
      </w:r>
      <w:r>
        <w:rPr>
          <w:b/>
          <w:bCs/>
          <w:kern w:val="2"/>
          <w:szCs w:val="21"/>
          <w:u w:val="single"/>
        </w:rPr>
        <w:t>k</w:t>
      </w:r>
      <w:r>
        <w:rPr>
          <w:b/>
          <w:bCs/>
          <w:kern w:val="2"/>
          <w:szCs w:val="21"/>
          <w:u w:val="single"/>
        </w:rPr>
        <w:t>＜</w:t>
      </w:r>
      <w:r>
        <w:rPr>
          <w:b/>
          <w:bCs/>
          <w:kern w:val="2"/>
          <w:szCs w:val="21"/>
          <w:u w:val="single"/>
        </w:rPr>
        <w:t>-20%</w:t>
      </w:r>
      <w:r>
        <w:rPr>
          <w:b/>
          <w:bCs/>
          <w:kern w:val="2"/>
          <w:szCs w:val="21"/>
          <w:u w:val="single"/>
        </w:rPr>
        <w:t>，可判定项目建成后污染物</w:t>
      </w:r>
      <w:r>
        <w:rPr>
          <w:b/>
          <w:bCs/>
          <w:kern w:val="2"/>
          <w:szCs w:val="21"/>
          <w:u w:val="single"/>
        </w:rPr>
        <w:t>PM</w:t>
      </w:r>
      <w:r>
        <w:rPr>
          <w:b/>
          <w:bCs/>
          <w:kern w:val="2"/>
          <w:szCs w:val="21"/>
          <w:u w:val="single"/>
          <w:vertAlign w:val="subscript"/>
        </w:rPr>
        <w:t>10</w:t>
      </w:r>
      <w:r>
        <w:rPr>
          <w:b/>
          <w:bCs/>
          <w:kern w:val="2"/>
          <w:szCs w:val="21"/>
          <w:u w:val="single"/>
        </w:rPr>
        <w:t>对该区域环境空气的影响得到整体改善。</w:t>
      </w:r>
    </w:p>
    <w:p w14:paraId="0C7A0C17" w14:textId="77777777" w:rsidR="003E78AB" w:rsidRDefault="00010BF9">
      <w:pPr>
        <w:ind w:firstLine="482"/>
        <w:rPr>
          <w:b/>
          <w:bCs/>
          <w:color w:val="000000"/>
          <w:kern w:val="2"/>
          <w:szCs w:val="21"/>
          <w:u w:val="single"/>
        </w:rPr>
      </w:pPr>
      <w:r>
        <w:rPr>
          <w:b/>
          <w:bCs/>
          <w:color w:val="000000"/>
          <w:kern w:val="2"/>
          <w:szCs w:val="21"/>
          <w:u w:val="single"/>
        </w:rPr>
        <w:t>（</w:t>
      </w:r>
      <w:r>
        <w:rPr>
          <w:b/>
          <w:bCs/>
          <w:color w:val="000000"/>
          <w:kern w:val="2"/>
          <w:szCs w:val="21"/>
          <w:u w:val="single"/>
        </w:rPr>
        <w:t>3</w:t>
      </w:r>
      <w:r>
        <w:rPr>
          <w:b/>
          <w:bCs/>
          <w:color w:val="000000"/>
          <w:kern w:val="2"/>
          <w:szCs w:val="21"/>
          <w:u w:val="single"/>
        </w:rPr>
        <w:t>）非正常排放</w:t>
      </w:r>
      <w:r>
        <w:rPr>
          <w:b/>
          <w:bCs/>
          <w:color w:val="000000"/>
          <w:kern w:val="2"/>
          <w:szCs w:val="21"/>
          <w:u w:val="single"/>
        </w:rPr>
        <w:t>1</w:t>
      </w:r>
      <w:r>
        <w:rPr>
          <w:b/>
          <w:bCs/>
          <w:color w:val="000000"/>
          <w:kern w:val="2"/>
          <w:szCs w:val="21"/>
          <w:u w:val="single"/>
        </w:rPr>
        <w:t>小时贡献值</w:t>
      </w:r>
    </w:p>
    <w:p w14:paraId="412E8175" w14:textId="77777777" w:rsidR="003E78AB" w:rsidRDefault="00010BF9">
      <w:pPr>
        <w:ind w:firstLine="482"/>
        <w:rPr>
          <w:b/>
          <w:bCs/>
          <w:color w:val="000000"/>
          <w:kern w:val="2"/>
          <w:szCs w:val="21"/>
          <w:u w:val="single"/>
        </w:rPr>
      </w:pPr>
      <w:r>
        <w:rPr>
          <w:b/>
          <w:bCs/>
          <w:color w:val="000000"/>
          <w:kern w:val="2"/>
          <w:szCs w:val="21"/>
          <w:u w:val="single"/>
        </w:rPr>
        <w:t>本项目废气污染物非正常工况为：喷淋塔吸收剂（碱液或水）未及时更换，废气综合处理效率降低至</w:t>
      </w:r>
      <w:r>
        <w:rPr>
          <w:rFonts w:hint="eastAsia"/>
          <w:b/>
          <w:bCs/>
          <w:color w:val="000000"/>
          <w:kern w:val="2"/>
          <w:szCs w:val="21"/>
          <w:u w:val="single"/>
        </w:rPr>
        <w:t>36</w:t>
      </w:r>
      <w:r>
        <w:rPr>
          <w:b/>
          <w:bCs/>
          <w:color w:val="000000"/>
          <w:kern w:val="2"/>
          <w:szCs w:val="21"/>
          <w:u w:val="single"/>
        </w:rPr>
        <w:t>%</w:t>
      </w:r>
      <w:r>
        <w:rPr>
          <w:b/>
          <w:bCs/>
          <w:color w:val="000000"/>
          <w:kern w:val="2"/>
          <w:szCs w:val="21"/>
          <w:u w:val="single"/>
        </w:rPr>
        <w:t>。</w:t>
      </w:r>
    </w:p>
    <w:p w14:paraId="30293AB3" w14:textId="77777777" w:rsidR="003E78AB" w:rsidRDefault="00010BF9">
      <w:pPr>
        <w:pStyle w:val="a4"/>
        <w:spacing w:before="120"/>
        <w:ind w:left="425" w:hanging="425"/>
        <w:rPr>
          <w:bCs/>
        </w:rPr>
      </w:pPr>
      <w:r>
        <w:rPr>
          <w:rFonts w:hint="eastAsia"/>
          <w:bCs/>
        </w:rPr>
        <w:t>本项目非正常工况</w:t>
      </w:r>
      <w:r>
        <w:rPr>
          <w:rFonts w:hint="eastAsia"/>
          <w:bCs/>
        </w:rPr>
        <w:t>TVOC1</w:t>
      </w:r>
      <w:r>
        <w:rPr>
          <w:rFonts w:hint="eastAsia"/>
          <w:bCs/>
        </w:rPr>
        <w:t>小时浓度贡献质量浓度预测结果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338"/>
        <w:gridCol w:w="868"/>
        <w:gridCol w:w="1080"/>
        <w:gridCol w:w="1713"/>
        <w:gridCol w:w="1347"/>
        <w:gridCol w:w="1036"/>
        <w:gridCol w:w="851"/>
      </w:tblGrid>
      <w:tr w:rsidR="003E78AB" w14:paraId="4A7F3F8D" w14:textId="77777777">
        <w:trPr>
          <w:tblHeader/>
        </w:trPr>
        <w:tc>
          <w:tcPr>
            <w:tcW w:w="527" w:type="dxa"/>
            <w:tcBorders>
              <w:tl2br w:val="nil"/>
              <w:tr2bl w:val="nil"/>
            </w:tcBorders>
            <w:noWrap/>
            <w:tcMar>
              <w:top w:w="15" w:type="dxa"/>
              <w:left w:w="15" w:type="dxa"/>
              <w:right w:w="15" w:type="dxa"/>
            </w:tcMar>
            <w:vAlign w:val="center"/>
          </w:tcPr>
          <w:p w14:paraId="38BDACA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338" w:type="dxa"/>
            <w:tcBorders>
              <w:tl2br w:val="nil"/>
              <w:tr2bl w:val="nil"/>
            </w:tcBorders>
            <w:noWrap/>
            <w:tcMar>
              <w:top w:w="15" w:type="dxa"/>
              <w:left w:w="15" w:type="dxa"/>
              <w:right w:w="15" w:type="dxa"/>
            </w:tcMar>
            <w:vAlign w:val="center"/>
          </w:tcPr>
          <w:p w14:paraId="5F959BB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预测点名称</w:t>
            </w:r>
          </w:p>
        </w:tc>
        <w:tc>
          <w:tcPr>
            <w:tcW w:w="868" w:type="dxa"/>
            <w:tcBorders>
              <w:tl2br w:val="nil"/>
              <w:tr2bl w:val="nil"/>
            </w:tcBorders>
            <w:noWrap/>
            <w:tcMar>
              <w:top w:w="15" w:type="dxa"/>
              <w:left w:w="15" w:type="dxa"/>
              <w:right w:w="15" w:type="dxa"/>
            </w:tcMar>
            <w:vAlign w:val="center"/>
          </w:tcPr>
          <w:p w14:paraId="0984CBC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468944AA"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1B1C0547"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1D032E44"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1E12A665"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4C86334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536AFD2B"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300538A8" w14:textId="77777777">
        <w:tc>
          <w:tcPr>
            <w:tcW w:w="527" w:type="dxa"/>
            <w:tcBorders>
              <w:tl2br w:val="nil"/>
              <w:tr2bl w:val="nil"/>
            </w:tcBorders>
            <w:noWrap/>
            <w:tcMar>
              <w:top w:w="15" w:type="dxa"/>
              <w:left w:w="15" w:type="dxa"/>
              <w:right w:w="15" w:type="dxa"/>
            </w:tcMar>
            <w:vAlign w:val="center"/>
          </w:tcPr>
          <w:p w14:paraId="0EB5D167"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338" w:type="dxa"/>
            <w:tcBorders>
              <w:tl2br w:val="nil"/>
              <w:tr2bl w:val="nil"/>
            </w:tcBorders>
            <w:noWrap/>
            <w:tcMar>
              <w:top w:w="15" w:type="dxa"/>
              <w:left w:w="15" w:type="dxa"/>
              <w:right w:w="15" w:type="dxa"/>
            </w:tcMar>
            <w:vAlign w:val="center"/>
          </w:tcPr>
          <w:p w14:paraId="702F1356" w14:textId="77777777" w:rsidR="003E78AB" w:rsidRDefault="00010BF9">
            <w:pPr>
              <w:pStyle w:val="aff6"/>
              <w:topLinePunct/>
              <w:rPr>
                <w:b/>
                <w:bCs/>
                <w:color w:val="000000"/>
                <w:u w:val="single"/>
              </w:rPr>
            </w:pPr>
            <w:r>
              <w:rPr>
                <w:b/>
                <w:bCs/>
                <w:u w:val="single"/>
              </w:rPr>
              <w:t>安居富民小区</w:t>
            </w:r>
          </w:p>
        </w:tc>
        <w:tc>
          <w:tcPr>
            <w:tcW w:w="868" w:type="dxa"/>
            <w:tcBorders>
              <w:tl2br w:val="nil"/>
              <w:tr2bl w:val="nil"/>
            </w:tcBorders>
            <w:noWrap/>
            <w:tcMar>
              <w:top w:w="15" w:type="dxa"/>
              <w:left w:w="15" w:type="dxa"/>
              <w:right w:w="15" w:type="dxa"/>
            </w:tcMar>
            <w:vAlign w:val="center"/>
          </w:tcPr>
          <w:p w14:paraId="5905CFE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4F061FA5"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89.500</w:t>
            </w:r>
          </w:p>
        </w:tc>
        <w:tc>
          <w:tcPr>
            <w:tcW w:w="1713" w:type="dxa"/>
            <w:tcBorders>
              <w:tl2br w:val="nil"/>
              <w:tr2bl w:val="nil"/>
            </w:tcBorders>
            <w:noWrap/>
            <w:tcMar>
              <w:top w:w="15" w:type="dxa"/>
              <w:left w:w="15" w:type="dxa"/>
              <w:right w:w="15" w:type="dxa"/>
            </w:tcMar>
            <w:vAlign w:val="center"/>
          </w:tcPr>
          <w:p w14:paraId="38F8DC67"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081307</w:t>
            </w:r>
          </w:p>
        </w:tc>
        <w:tc>
          <w:tcPr>
            <w:tcW w:w="1347" w:type="dxa"/>
            <w:tcBorders>
              <w:tl2br w:val="nil"/>
              <w:tr2bl w:val="nil"/>
            </w:tcBorders>
            <w:noWrap/>
            <w:tcMar>
              <w:top w:w="15" w:type="dxa"/>
              <w:left w:w="15" w:type="dxa"/>
              <w:right w:w="15" w:type="dxa"/>
            </w:tcMar>
            <w:vAlign w:val="center"/>
          </w:tcPr>
          <w:p w14:paraId="3E2C1EA1" w14:textId="77777777" w:rsidR="003E78AB" w:rsidRDefault="00010BF9">
            <w:pPr>
              <w:pStyle w:val="aff4"/>
              <w:rPr>
                <w:rFonts w:hint="default"/>
                <w:b/>
                <w:bCs/>
                <w:color w:val="000000"/>
                <w:szCs w:val="21"/>
                <w:u w:val="single"/>
              </w:rPr>
            </w:pPr>
            <w:r>
              <w:rPr>
                <w:rFonts w:hint="default"/>
                <w:b/>
                <w:bCs/>
                <w:color w:val="000000"/>
                <w:szCs w:val="21"/>
                <w:u w:val="single"/>
              </w:rPr>
              <w:t>50</w:t>
            </w:r>
          </w:p>
        </w:tc>
        <w:tc>
          <w:tcPr>
            <w:tcW w:w="1036" w:type="dxa"/>
            <w:tcBorders>
              <w:tl2br w:val="nil"/>
              <w:tr2bl w:val="nil"/>
            </w:tcBorders>
            <w:noWrap/>
            <w:tcMar>
              <w:top w:w="15" w:type="dxa"/>
              <w:left w:w="15" w:type="dxa"/>
              <w:right w:w="15" w:type="dxa"/>
            </w:tcMar>
            <w:vAlign w:val="center"/>
          </w:tcPr>
          <w:p w14:paraId="3D9FDDB5"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178.92</w:t>
            </w:r>
          </w:p>
        </w:tc>
        <w:tc>
          <w:tcPr>
            <w:tcW w:w="851" w:type="dxa"/>
            <w:tcBorders>
              <w:tl2br w:val="nil"/>
              <w:tr2bl w:val="nil"/>
            </w:tcBorders>
            <w:noWrap/>
            <w:tcMar>
              <w:top w:w="15" w:type="dxa"/>
              <w:left w:w="15" w:type="dxa"/>
              <w:right w:w="15" w:type="dxa"/>
            </w:tcMar>
            <w:vAlign w:val="center"/>
          </w:tcPr>
          <w:p w14:paraId="39092CB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超标</w:t>
            </w:r>
          </w:p>
        </w:tc>
      </w:tr>
      <w:tr w:rsidR="003E78AB" w14:paraId="4FBAA04B" w14:textId="77777777">
        <w:tc>
          <w:tcPr>
            <w:tcW w:w="527" w:type="dxa"/>
            <w:tcBorders>
              <w:tl2br w:val="nil"/>
              <w:tr2bl w:val="nil"/>
            </w:tcBorders>
            <w:noWrap/>
            <w:tcMar>
              <w:top w:w="15" w:type="dxa"/>
              <w:left w:w="15" w:type="dxa"/>
              <w:right w:w="15" w:type="dxa"/>
            </w:tcMar>
            <w:vAlign w:val="center"/>
          </w:tcPr>
          <w:p w14:paraId="535B4625"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338" w:type="dxa"/>
            <w:tcBorders>
              <w:tl2br w:val="nil"/>
              <w:tr2bl w:val="nil"/>
            </w:tcBorders>
            <w:noWrap/>
            <w:tcMar>
              <w:top w:w="15" w:type="dxa"/>
              <w:left w:w="15" w:type="dxa"/>
              <w:right w:w="15" w:type="dxa"/>
            </w:tcMar>
            <w:vAlign w:val="center"/>
          </w:tcPr>
          <w:p w14:paraId="6F9ECD5C" w14:textId="77777777" w:rsidR="003E78AB" w:rsidRDefault="00010BF9">
            <w:pPr>
              <w:pStyle w:val="aff6"/>
              <w:topLinePunct/>
              <w:rPr>
                <w:b/>
                <w:bCs/>
                <w:color w:val="000000"/>
                <w:u w:val="single"/>
              </w:rPr>
            </w:pPr>
            <w:r>
              <w:rPr>
                <w:b/>
                <w:bCs/>
                <w:u w:val="single"/>
              </w:rPr>
              <w:t>项目区上风向</w:t>
            </w:r>
          </w:p>
        </w:tc>
        <w:tc>
          <w:tcPr>
            <w:tcW w:w="868" w:type="dxa"/>
            <w:tcBorders>
              <w:tl2br w:val="nil"/>
              <w:tr2bl w:val="nil"/>
            </w:tcBorders>
            <w:noWrap/>
            <w:tcMar>
              <w:top w:w="15" w:type="dxa"/>
              <w:left w:w="15" w:type="dxa"/>
              <w:right w:w="15" w:type="dxa"/>
            </w:tcMar>
            <w:vAlign w:val="center"/>
          </w:tcPr>
          <w:p w14:paraId="3A392D0C"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3E81EB1E"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52.600</w:t>
            </w:r>
          </w:p>
        </w:tc>
        <w:tc>
          <w:tcPr>
            <w:tcW w:w="1713" w:type="dxa"/>
            <w:tcBorders>
              <w:tl2br w:val="nil"/>
              <w:tr2bl w:val="nil"/>
            </w:tcBorders>
            <w:noWrap/>
            <w:tcMar>
              <w:top w:w="15" w:type="dxa"/>
              <w:left w:w="15" w:type="dxa"/>
              <w:right w:w="15" w:type="dxa"/>
            </w:tcMar>
            <w:vAlign w:val="center"/>
          </w:tcPr>
          <w:p w14:paraId="1925BBDC"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021811</w:t>
            </w:r>
          </w:p>
        </w:tc>
        <w:tc>
          <w:tcPr>
            <w:tcW w:w="1347" w:type="dxa"/>
            <w:tcBorders>
              <w:tl2br w:val="nil"/>
              <w:tr2bl w:val="nil"/>
            </w:tcBorders>
            <w:noWrap/>
            <w:tcMar>
              <w:top w:w="15" w:type="dxa"/>
              <w:left w:w="15" w:type="dxa"/>
              <w:right w:w="15" w:type="dxa"/>
            </w:tcMar>
            <w:vAlign w:val="center"/>
          </w:tcPr>
          <w:p w14:paraId="57A4B838"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w:t>
            </w:r>
          </w:p>
        </w:tc>
        <w:tc>
          <w:tcPr>
            <w:tcW w:w="1036" w:type="dxa"/>
            <w:tcBorders>
              <w:tl2br w:val="nil"/>
              <w:tr2bl w:val="nil"/>
            </w:tcBorders>
            <w:noWrap/>
            <w:tcMar>
              <w:top w:w="15" w:type="dxa"/>
              <w:left w:w="15" w:type="dxa"/>
              <w:right w:w="15" w:type="dxa"/>
            </w:tcMar>
            <w:vAlign w:val="center"/>
          </w:tcPr>
          <w:p w14:paraId="653C1941"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105.29</w:t>
            </w:r>
          </w:p>
        </w:tc>
        <w:tc>
          <w:tcPr>
            <w:tcW w:w="851" w:type="dxa"/>
            <w:tcBorders>
              <w:tl2br w:val="nil"/>
              <w:tr2bl w:val="nil"/>
            </w:tcBorders>
            <w:noWrap/>
            <w:tcMar>
              <w:top w:w="15" w:type="dxa"/>
              <w:left w:w="15" w:type="dxa"/>
              <w:right w:w="15" w:type="dxa"/>
            </w:tcMar>
            <w:vAlign w:val="center"/>
          </w:tcPr>
          <w:p w14:paraId="4DA1B571"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超标</w:t>
            </w:r>
          </w:p>
        </w:tc>
      </w:tr>
      <w:tr w:rsidR="003E78AB" w14:paraId="5B96DB26" w14:textId="77777777">
        <w:tc>
          <w:tcPr>
            <w:tcW w:w="527" w:type="dxa"/>
            <w:tcBorders>
              <w:tl2br w:val="nil"/>
              <w:tr2bl w:val="nil"/>
            </w:tcBorders>
            <w:noWrap/>
            <w:tcMar>
              <w:top w:w="15" w:type="dxa"/>
              <w:left w:w="15" w:type="dxa"/>
              <w:right w:w="15" w:type="dxa"/>
            </w:tcMar>
            <w:vAlign w:val="center"/>
          </w:tcPr>
          <w:p w14:paraId="45A43AD5"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338" w:type="dxa"/>
            <w:tcBorders>
              <w:tl2br w:val="nil"/>
              <w:tr2bl w:val="nil"/>
            </w:tcBorders>
            <w:noWrap/>
            <w:tcMar>
              <w:top w:w="15" w:type="dxa"/>
              <w:left w:w="15" w:type="dxa"/>
              <w:right w:w="15" w:type="dxa"/>
            </w:tcMar>
            <w:vAlign w:val="center"/>
          </w:tcPr>
          <w:p w14:paraId="4871D233" w14:textId="77777777" w:rsidR="003E78AB" w:rsidRDefault="00010BF9">
            <w:pPr>
              <w:pStyle w:val="aff6"/>
              <w:topLinePunct/>
              <w:rPr>
                <w:b/>
                <w:bCs/>
                <w:color w:val="000000"/>
                <w:u w:val="single"/>
              </w:rPr>
            </w:pPr>
            <w:r>
              <w:rPr>
                <w:b/>
                <w:bCs/>
                <w:u w:val="single"/>
              </w:rPr>
              <w:t>项目区下风向</w:t>
            </w:r>
          </w:p>
        </w:tc>
        <w:tc>
          <w:tcPr>
            <w:tcW w:w="868" w:type="dxa"/>
            <w:tcBorders>
              <w:tl2br w:val="nil"/>
              <w:tr2bl w:val="nil"/>
            </w:tcBorders>
            <w:noWrap/>
            <w:tcMar>
              <w:top w:w="15" w:type="dxa"/>
              <w:left w:w="15" w:type="dxa"/>
              <w:right w:w="15" w:type="dxa"/>
            </w:tcMar>
            <w:vAlign w:val="center"/>
          </w:tcPr>
          <w:p w14:paraId="5199B9AE"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1175292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43.500</w:t>
            </w:r>
          </w:p>
        </w:tc>
        <w:tc>
          <w:tcPr>
            <w:tcW w:w="1713" w:type="dxa"/>
            <w:tcBorders>
              <w:tl2br w:val="nil"/>
              <w:tr2bl w:val="nil"/>
            </w:tcBorders>
            <w:noWrap/>
            <w:tcMar>
              <w:top w:w="15" w:type="dxa"/>
              <w:left w:w="15" w:type="dxa"/>
              <w:right w:w="15" w:type="dxa"/>
            </w:tcMar>
            <w:vAlign w:val="center"/>
          </w:tcPr>
          <w:p w14:paraId="56B9321C"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090419</w:t>
            </w:r>
          </w:p>
        </w:tc>
        <w:tc>
          <w:tcPr>
            <w:tcW w:w="1347" w:type="dxa"/>
            <w:tcBorders>
              <w:tl2br w:val="nil"/>
              <w:tr2bl w:val="nil"/>
            </w:tcBorders>
            <w:noWrap/>
            <w:tcMar>
              <w:top w:w="15" w:type="dxa"/>
              <w:left w:w="15" w:type="dxa"/>
              <w:right w:w="15" w:type="dxa"/>
            </w:tcMar>
            <w:vAlign w:val="center"/>
          </w:tcPr>
          <w:p w14:paraId="19C42DB2"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w:t>
            </w:r>
          </w:p>
        </w:tc>
        <w:tc>
          <w:tcPr>
            <w:tcW w:w="1036" w:type="dxa"/>
            <w:tcBorders>
              <w:tl2br w:val="nil"/>
              <w:tr2bl w:val="nil"/>
            </w:tcBorders>
            <w:noWrap/>
            <w:tcMar>
              <w:top w:w="15" w:type="dxa"/>
              <w:left w:w="15" w:type="dxa"/>
              <w:right w:w="15" w:type="dxa"/>
            </w:tcMar>
            <w:vAlign w:val="center"/>
          </w:tcPr>
          <w:p w14:paraId="1619D11F"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1"/>
                <w:szCs w:val="21"/>
                <w:u w:val="single"/>
                <w:lang w:bidi="ar"/>
              </w:rPr>
              <w:t>86.9</w:t>
            </w:r>
          </w:p>
        </w:tc>
        <w:tc>
          <w:tcPr>
            <w:tcW w:w="851" w:type="dxa"/>
            <w:tcBorders>
              <w:tl2br w:val="nil"/>
              <w:tr2bl w:val="nil"/>
            </w:tcBorders>
            <w:noWrap/>
            <w:tcMar>
              <w:top w:w="15" w:type="dxa"/>
              <w:left w:w="15" w:type="dxa"/>
              <w:right w:w="15" w:type="dxa"/>
            </w:tcMar>
            <w:vAlign w:val="center"/>
          </w:tcPr>
          <w:p w14:paraId="7778425D"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达标</w:t>
            </w:r>
          </w:p>
        </w:tc>
      </w:tr>
      <w:tr w:rsidR="003E78AB" w14:paraId="4204DD15" w14:textId="77777777">
        <w:tc>
          <w:tcPr>
            <w:tcW w:w="527" w:type="dxa"/>
            <w:tcBorders>
              <w:tl2br w:val="nil"/>
              <w:tr2bl w:val="nil"/>
            </w:tcBorders>
            <w:noWrap/>
            <w:tcMar>
              <w:top w:w="15" w:type="dxa"/>
              <w:left w:w="15" w:type="dxa"/>
              <w:right w:w="15" w:type="dxa"/>
            </w:tcMar>
            <w:vAlign w:val="center"/>
          </w:tcPr>
          <w:p w14:paraId="45623A4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1338" w:type="dxa"/>
            <w:tcBorders>
              <w:tl2br w:val="nil"/>
              <w:tr2bl w:val="nil"/>
            </w:tcBorders>
            <w:noWrap/>
            <w:tcMar>
              <w:top w:w="15" w:type="dxa"/>
              <w:left w:w="15" w:type="dxa"/>
              <w:right w:w="15" w:type="dxa"/>
            </w:tcMar>
            <w:vAlign w:val="center"/>
          </w:tcPr>
          <w:p w14:paraId="64620709"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1400</w:t>
            </w:r>
            <w:r>
              <w:rPr>
                <w:b/>
                <w:bCs/>
                <w:color w:val="000000"/>
                <w:sz w:val="21"/>
                <w:szCs w:val="21"/>
                <w:u w:val="single"/>
              </w:rPr>
              <w:t>，</w:t>
            </w:r>
            <w:r>
              <w:rPr>
                <w:b/>
                <w:bCs/>
                <w:color w:val="000000"/>
                <w:sz w:val="21"/>
                <w:szCs w:val="21"/>
                <w:u w:val="single"/>
              </w:rPr>
              <w:t>400</w:t>
            </w:r>
            <w:r>
              <w:rPr>
                <w:b/>
                <w:bCs/>
                <w:color w:val="000000"/>
                <w:sz w:val="21"/>
                <w:szCs w:val="21"/>
                <w:u w:val="single"/>
              </w:rPr>
              <w:t>）</w:t>
            </w:r>
          </w:p>
        </w:tc>
        <w:tc>
          <w:tcPr>
            <w:tcW w:w="868" w:type="dxa"/>
            <w:tcBorders>
              <w:tl2br w:val="nil"/>
              <w:tr2bl w:val="nil"/>
            </w:tcBorders>
            <w:noWrap/>
            <w:tcMar>
              <w:top w:w="15" w:type="dxa"/>
              <w:left w:w="15" w:type="dxa"/>
              <w:right w:w="15" w:type="dxa"/>
            </w:tcMar>
            <w:vAlign w:val="center"/>
          </w:tcPr>
          <w:p w14:paraId="1FB4D749"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77B3DE63"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652.000</w:t>
            </w:r>
          </w:p>
        </w:tc>
        <w:tc>
          <w:tcPr>
            <w:tcW w:w="1713" w:type="dxa"/>
            <w:tcBorders>
              <w:tl2br w:val="nil"/>
              <w:tr2bl w:val="nil"/>
            </w:tcBorders>
            <w:noWrap/>
            <w:tcMar>
              <w:top w:w="15" w:type="dxa"/>
              <w:left w:w="15" w:type="dxa"/>
              <w:right w:w="15" w:type="dxa"/>
            </w:tcMar>
            <w:vAlign w:val="center"/>
          </w:tcPr>
          <w:p w14:paraId="4A67781F"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1"/>
                <w:szCs w:val="21"/>
                <w:u w:val="single"/>
                <w:lang w:bidi="ar"/>
              </w:rPr>
              <w:t>052201</w:t>
            </w:r>
          </w:p>
        </w:tc>
        <w:tc>
          <w:tcPr>
            <w:tcW w:w="1347" w:type="dxa"/>
            <w:tcBorders>
              <w:tl2br w:val="nil"/>
              <w:tr2bl w:val="nil"/>
            </w:tcBorders>
            <w:noWrap/>
            <w:tcMar>
              <w:top w:w="15" w:type="dxa"/>
              <w:left w:w="15" w:type="dxa"/>
              <w:right w:w="15" w:type="dxa"/>
            </w:tcMar>
            <w:vAlign w:val="center"/>
          </w:tcPr>
          <w:p w14:paraId="7E781659"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w:t>
            </w:r>
          </w:p>
        </w:tc>
        <w:tc>
          <w:tcPr>
            <w:tcW w:w="1036" w:type="dxa"/>
            <w:tcBorders>
              <w:tl2br w:val="nil"/>
              <w:tr2bl w:val="nil"/>
            </w:tcBorders>
            <w:noWrap/>
            <w:tcMar>
              <w:top w:w="15" w:type="dxa"/>
              <w:left w:w="15" w:type="dxa"/>
              <w:right w:w="15" w:type="dxa"/>
            </w:tcMar>
            <w:vAlign w:val="center"/>
          </w:tcPr>
          <w:p w14:paraId="5FFE5369"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1303.79</w:t>
            </w:r>
          </w:p>
        </w:tc>
        <w:tc>
          <w:tcPr>
            <w:tcW w:w="851" w:type="dxa"/>
            <w:tcBorders>
              <w:tl2br w:val="nil"/>
              <w:tr2bl w:val="nil"/>
            </w:tcBorders>
            <w:noWrap/>
            <w:tcMar>
              <w:top w:w="15" w:type="dxa"/>
              <w:left w:w="15" w:type="dxa"/>
              <w:right w:w="15" w:type="dxa"/>
            </w:tcMar>
            <w:vAlign w:val="center"/>
          </w:tcPr>
          <w:p w14:paraId="3AD2BF62"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超标</w:t>
            </w:r>
          </w:p>
        </w:tc>
      </w:tr>
    </w:tbl>
    <w:p w14:paraId="4FA2373C" w14:textId="77777777" w:rsidR="003E78AB" w:rsidRDefault="00010BF9">
      <w:pPr>
        <w:pStyle w:val="a4"/>
        <w:spacing w:before="120"/>
        <w:ind w:left="425" w:hanging="425"/>
        <w:rPr>
          <w:bCs/>
        </w:rPr>
      </w:pPr>
      <w:r>
        <w:rPr>
          <w:rFonts w:hint="eastAsia"/>
          <w:bCs/>
        </w:rPr>
        <w:t>本项目非正常工况硫酸雾</w:t>
      </w:r>
      <w:r>
        <w:rPr>
          <w:rFonts w:hint="eastAsia"/>
          <w:bCs/>
        </w:rPr>
        <w:t>1</w:t>
      </w:r>
      <w:r>
        <w:rPr>
          <w:rFonts w:hint="eastAsia"/>
          <w:bCs/>
        </w:rPr>
        <w:t>小时浓度贡献质量浓度预测结果</w:t>
      </w:r>
    </w:p>
    <w:tbl>
      <w:tblPr>
        <w:tblW w:w="876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1463"/>
        <w:gridCol w:w="743"/>
        <w:gridCol w:w="1080"/>
        <w:gridCol w:w="1713"/>
        <w:gridCol w:w="1347"/>
        <w:gridCol w:w="1036"/>
        <w:gridCol w:w="851"/>
      </w:tblGrid>
      <w:tr w:rsidR="003E78AB" w14:paraId="12BD4051" w14:textId="77777777">
        <w:trPr>
          <w:tblHeader/>
        </w:trPr>
        <w:tc>
          <w:tcPr>
            <w:tcW w:w="527" w:type="dxa"/>
            <w:tcBorders>
              <w:tl2br w:val="nil"/>
              <w:tr2bl w:val="nil"/>
            </w:tcBorders>
            <w:noWrap/>
            <w:tcMar>
              <w:top w:w="15" w:type="dxa"/>
              <w:left w:w="15" w:type="dxa"/>
              <w:right w:w="15" w:type="dxa"/>
            </w:tcMar>
            <w:vAlign w:val="center"/>
          </w:tcPr>
          <w:p w14:paraId="1D2DD30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序号</w:t>
            </w:r>
          </w:p>
        </w:tc>
        <w:tc>
          <w:tcPr>
            <w:tcW w:w="1463" w:type="dxa"/>
            <w:tcBorders>
              <w:tl2br w:val="nil"/>
              <w:tr2bl w:val="nil"/>
            </w:tcBorders>
            <w:noWrap/>
            <w:tcMar>
              <w:top w:w="15" w:type="dxa"/>
              <w:left w:w="15" w:type="dxa"/>
              <w:right w:w="15" w:type="dxa"/>
            </w:tcMar>
            <w:vAlign w:val="center"/>
          </w:tcPr>
          <w:p w14:paraId="0204E83F"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预测点</w:t>
            </w:r>
          </w:p>
          <w:p w14:paraId="114E575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名称</w:t>
            </w:r>
          </w:p>
        </w:tc>
        <w:tc>
          <w:tcPr>
            <w:tcW w:w="743" w:type="dxa"/>
            <w:tcBorders>
              <w:tl2br w:val="nil"/>
              <w:tr2bl w:val="nil"/>
            </w:tcBorders>
            <w:noWrap/>
            <w:tcMar>
              <w:top w:w="15" w:type="dxa"/>
              <w:left w:w="15" w:type="dxa"/>
              <w:right w:w="15" w:type="dxa"/>
            </w:tcMar>
            <w:vAlign w:val="center"/>
          </w:tcPr>
          <w:p w14:paraId="057841C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浓度类型</w:t>
            </w:r>
          </w:p>
        </w:tc>
        <w:tc>
          <w:tcPr>
            <w:tcW w:w="1080" w:type="dxa"/>
            <w:tcBorders>
              <w:tl2br w:val="nil"/>
              <w:tr2bl w:val="nil"/>
            </w:tcBorders>
            <w:noWrap/>
            <w:tcMar>
              <w:top w:w="15" w:type="dxa"/>
              <w:left w:w="15" w:type="dxa"/>
              <w:right w:w="15" w:type="dxa"/>
            </w:tcMar>
            <w:vAlign w:val="center"/>
          </w:tcPr>
          <w:p w14:paraId="7181269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贡献值</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713" w:type="dxa"/>
            <w:tcBorders>
              <w:tl2br w:val="nil"/>
              <w:tr2bl w:val="nil"/>
            </w:tcBorders>
            <w:noWrap/>
            <w:tcMar>
              <w:top w:w="15" w:type="dxa"/>
              <w:left w:w="15" w:type="dxa"/>
              <w:right w:w="15" w:type="dxa"/>
            </w:tcMar>
            <w:vAlign w:val="center"/>
          </w:tcPr>
          <w:p w14:paraId="02B370BD"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出现时间</w:t>
            </w:r>
            <w:r>
              <w:rPr>
                <w:b/>
                <w:bCs/>
                <w:color w:val="000000"/>
                <w:sz w:val="21"/>
                <w:szCs w:val="21"/>
                <w:u w:val="single"/>
              </w:rPr>
              <w:t>(YYMMDDHH)</w:t>
            </w:r>
          </w:p>
        </w:tc>
        <w:tc>
          <w:tcPr>
            <w:tcW w:w="1347" w:type="dxa"/>
            <w:tcBorders>
              <w:tl2br w:val="nil"/>
              <w:tr2bl w:val="nil"/>
            </w:tcBorders>
            <w:noWrap/>
            <w:tcMar>
              <w:top w:w="15" w:type="dxa"/>
              <w:left w:w="15" w:type="dxa"/>
              <w:right w:w="15" w:type="dxa"/>
            </w:tcMar>
            <w:vAlign w:val="center"/>
          </w:tcPr>
          <w:p w14:paraId="38F8C785"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评价标准</w:t>
            </w:r>
            <w:r>
              <w:rPr>
                <w:b/>
                <w:bCs/>
                <w:color w:val="000000"/>
                <w:sz w:val="21"/>
                <w:szCs w:val="21"/>
                <w:u w:val="single"/>
              </w:rPr>
              <w:t>(μg/m</w:t>
            </w:r>
            <w:r>
              <w:rPr>
                <w:b/>
                <w:bCs/>
                <w:color w:val="000000"/>
                <w:sz w:val="21"/>
                <w:szCs w:val="21"/>
                <w:u w:val="single"/>
                <w:vertAlign w:val="superscript"/>
              </w:rPr>
              <w:t>3</w:t>
            </w:r>
            <w:r>
              <w:rPr>
                <w:b/>
                <w:bCs/>
                <w:color w:val="000000"/>
                <w:sz w:val="21"/>
                <w:szCs w:val="21"/>
                <w:u w:val="single"/>
              </w:rPr>
              <w:t>)</w:t>
            </w:r>
          </w:p>
        </w:tc>
        <w:tc>
          <w:tcPr>
            <w:tcW w:w="1036" w:type="dxa"/>
            <w:tcBorders>
              <w:tl2br w:val="nil"/>
              <w:tr2bl w:val="nil"/>
            </w:tcBorders>
            <w:noWrap/>
            <w:tcMar>
              <w:top w:w="15" w:type="dxa"/>
              <w:left w:w="15" w:type="dxa"/>
              <w:right w:w="15" w:type="dxa"/>
            </w:tcMar>
            <w:vAlign w:val="center"/>
          </w:tcPr>
          <w:p w14:paraId="3B0B1063"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占标率</w:t>
            </w:r>
            <w:r>
              <w:rPr>
                <w:b/>
                <w:bCs/>
                <w:color w:val="000000"/>
                <w:sz w:val="21"/>
                <w:szCs w:val="21"/>
                <w:u w:val="single"/>
              </w:rPr>
              <w:t>%</w:t>
            </w:r>
          </w:p>
        </w:tc>
        <w:tc>
          <w:tcPr>
            <w:tcW w:w="851" w:type="dxa"/>
            <w:tcBorders>
              <w:tl2br w:val="nil"/>
              <w:tr2bl w:val="nil"/>
            </w:tcBorders>
            <w:noWrap/>
            <w:tcMar>
              <w:top w:w="15" w:type="dxa"/>
              <w:left w:w="15" w:type="dxa"/>
              <w:right w:w="15" w:type="dxa"/>
            </w:tcMar>
            <w:vAlign w:val="center"/>
          </w:tcPr>
          <w:p w14:paraId="328072FE"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是否</w:t>
            </w:r>
          </w:p>
          <w:p w14:paraId="04C849A0"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超标</w:t>
            </w:r>
          </w:p>
        </w:tc>
      </w:tr>
      <w:tr w:rsidR="003E78AB" w14:paraId="7BE6A18E" w14:textId="77777777">
        <w:tc>
          <w:tcPr>
            <w:tcW w:w="527" w:type="dxa"/>
            <w:tcBorders>
              <w:tl2br w:val="nil"/>
              <w:tr2bl w:val="nil"/>
            </w:tcBorders>
            <w:noWrap/>
            <w:tcMar>
              <w:top w:w="15" w:type="dxa"/>
              <w:left w:w="15" w:type="dxa"/>
              <w:right w:w="15" w:type="dxa"/>
            </w:tcMar>
            <w:vAlign w:val="center"/>
          </w:tcPr>
          <w:p w14:paraId="015917F4"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1</w:t>
            </w:r>
          </w:p>
        </w:tc>
        <w:tc>
          <w:tcPr>
            <w:tcW w:w="1463" w:type="dxa"/>
            <w:tcBorders>
              <w:tl2br w:val="nil"/>
              <w:tr2bl w:val="nil"/>
            </w:tcBorders>
            <w:noWrap/>
            <w:tcMar>
              <w:top w:w="15" w:type="dxa"/>
              <w:left w:w="15" w:type="dxa"/>
              <w:right w:w="15" w:type="dxa"/>
            </w:tcMar>
            <w:vAlign w:val="center"/>
          </w:tcPr>
          <w:p w14:paraId="51F8ABC7" w14:textId="77777777" w:rsidR="003E78AB" w:rsidRDefault="00010BF9">
            <w:pPr>
              <w:pStyle w:val="aff6"/>
              <w:topLinePunct/>
              <w:rPr>
                <w:b/>
                <w:bCs/>
                <w:color w:val="000000"/>
                <w:u w:val="single"/>
              </w:rPr>
            </w:pPr>
            <w:r>
              <w:rPr>
                <w:b/>
                <w:bCs/>
                <w:u w:val="single"/>
              </w:rPr>
              <w:t>安居富民小区</w:t>
            </w:r>
          </w:p>
        </w:tc>
        <w:tc>
          <w:tcPr>
            <w:tcW w:w="743" w:type="dxa"/>
            <w:tcBorders>
              <w:tl2br w:val="nil"/>
              <w:tr2bl w:val="nil"/>
            </w:tcBorders>
            <w:noWrap/>
            <w:tcMar>
              <w:top w:w="15" w:type="dxa"/>
              <w:left w:w="15" w:type="dxa"/>
              <w:right w:w="15" w:type="dxa"/>
            </w:tcMar>
            <w:vAlign w:val="center"/>
          </w:tcPr>
          <w:p w14:paraId="4BE2DDB7"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5960946A"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1.550</w:t>
            </w:r>
          </w:p>
        </w:tc>
        <w:tc>
          <w:tcPr>
            <w:tcW w:w="1713" w:type="dxa"/>
            <w:tcBorders>
              <w:tl2br w:val="nil"/>
              <w:tr2bl w:val="nil"/>
            </w:tcBorders>
            <w:noWrap/>
            <w:tcMar>
              <w:top w:w="15" w:type="dxa"/>
              <w:left w:w="15" w:type="dxa"/>
              <w:right w:w="15" w:type="dxa"/>
            </w:tcMar>
            <w:vAlign w:val="center"/>
          </w:tcPr>
          <w:p w14:paraId="692A85AA"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2"/>
                <w:szCs w:val="22"/>
                <w:u w:val="single"/>
                <w:lang w:bidi="ar"/>
              </w:rPr>
              <w:t>090708</w:t>
            </w:r>
          </w:p>
        </w:tc>
        <w:tc>
          <w:tcPr>
            <w:tcW w:w="1347" w:type="dxa"/>
            <w:tcBorders>
              <w:tl2br w:val="nil"/>
              <w:tr2bl w:val="nil"/>
            </w:tcBorders>
            <w:noWrap/>
            <w:tcMar>
              <w:top w:w="15" w:type="dxa"/>
              <w:left w:w="15" w:type="dxa"/>
              <w:right w:w="15" w:type="dxa"/>
            </w:tcMar>
            <w:vAlign w:val="center"/>
          </w:tcPr>
          <w:p w14:paraId="1F56BED3" w14:textId="77777777" w:rsidR="003E78AB" w:rsidRDefault="00010BF9">
            <w:pPr>
              <w:pStyle w:val="aff4"/>
              <w:rPr>
                <w:rFonts w:hint="default"/>
                <w:b/>
                <w:bCs/>
                <w:color w:val="000000"/>
                <w:szCs w:val="21"/>
                <w:u w:val="single"/>
              </w:rPr>
            </w:pPr>
            <w:r>
              <w:rPr>
                <w:rFonts w:hint="default"/>
                <w:b/>
                <w:bCs/>
                <w:color w:val="000000"/>
                <w:szCs w:val="21"/>
                <w:u w:val="single"/>
              </w:rPr>
              <w:t>500</w:t>
            </w:r>
          </w:p>
        </w:tc>
        <w:tc>
          <w:tcPr>
            <w:tcW w:w="1036" w:type="dxa"/>
            <w:tcBorders>
              <w:tl2br w:val="nil"/>
              <w:tr2bl w:val="nil"/>
            </w:tcBorders>
            <w:noWrap/>
            <w:tcMar>
              <w:top w:w="15" w:type="dxa"/>
              <w:left w:w="15" w:type="dxa"/>
              <w:right w:w="15" w:type="dxa"/>
            </w:tcMar>
            <w:vAlign w:val="center"/>
          </w:tcPr>
          <w:p w14:paraId="5DE365FD"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0.31</w:t>
            </w:r>
          </w:p>
        </w:tc>
        <w:tc>
          <w:tcPr>
            <w:tcW w:w="851" w:type="dxa"/>
            <w:tcBorders>
              <w:tl2br w:val="nil"/>
              <w:tr2bl w:val="nil"/>
            </w:tcBorders>
            <w:noWrap/>
            <w:tcMar>
              <w:top w:w="15" w:type="dxa"/>
              <w:left w:w="15" w:type="dxa"/>
              <w:right w:w="15" w:type="dxa"/>
            </w:tcMar>
            <w:vAlign w:val="center"/>
          </w:tcPr>
          <w:p w14:paraId="77CC83B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达标</w:t>
            </w:r>
          </w:p>
        </w:tc>
      </w:tr>
      <w:tr w:rsidR="003E78AB" w14:paraId="40386F55" w14:textId="77777777">
        <w:tc>
          <w:tcPr>
            <w:tcW w:w="527" w:type="dxa"/>
            <w:tcBorders>
              <w:tl2br w:val="nil"/>
              <w:tr2bl w:val="nil"/>
            </w:tcBorders>
            <w:noWrap/>
            <w:tcMar>
              <w:top w:w="15" w:type="dxa"/>
              <w:left w:w="15" w:type="dxa"/>
              <w:right w:w="15" w:type="dxa"/>
            </w:tcMar>
            <w:vAlign w:val="center"/>
          </w:tcPr>
          <w:p w14:paraId="59D0B1E8"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2</w:t>
            </w:r>
          </w:p>
        </w:tc>
        <w:tc>
          <w:tcPr>
            <w:tcW w:w="1463" w:type="dxa"/>
            <w:tcBorders>
              <w:tl2br w:val="nil"/>
              <w:tr2bl w:val="nil"/>
            </w:tcBorders>
            <w:noWrap/>
            <w:tcMar>
              <w:top w:w="15" w:type="dxa"/>
              <w:left w:w="15" w:type="dxa"/>
              <w:right w:w="15" w:type="dxa"/>
            </w:tcMar>
            <w:vAlign w:val="center"/>
          </w:tcPr>
          <w:p w14:paraId="3645EBB8" w14:textId="77777777" w:rsidR="003E78AB" w:rsidRDefault="00010BF9">
            <w:pPr>
              <w:pStyle w:val="aff6"/>
              <w:topLinePunct/>
              <w:rPr>
                <w:b/>
                <w:bCs/>
                <w:color w:val="000000"/>
                <w:u w:val="single"/>
              </w:rPr>
            </w:pPr>
            <w:r>
              <w:rPr>
                <w:b/>
                <w:bCs/>
                <w:u w:val="single"/>
              </w:rPr>
              <w:t>项目区上风向</w:t>
            </w:r>
          </w:p>
        </w:tc>
        <w:tc>
          <w:tcPr>
            <w:tcW w:w="743" w:type="dxa"/>
            <w:tcBorders>
              <w:tl2br w:val="nil"/>
              <w:tr2bl w:val="nil"/>
            </w:tcBorders>
            <w:noWrap/>
            <w:tcMar>
              <w:top w:w="15" w:type="dxa"/>
              <w:left w:w="15" w:type="dxa"/>
              <w:right w:w="15" w:type="dxa"/>
            </w:tcMar>
            <w:vAlign w:val="center"/>
          </w:tcPr>
          <w:p w14:paraId="3370D4E6"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0AA45A58"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1.490</w:t>
            </w:r>
          </w:p>
        </w:tc>
        <w:tc>
          <w:tcPr>
            <w:tcW w:w="1713" w:type="dxa"/>
            <w:tcBorders>
              <w:tl2br w:val="nil"/>
              <w:tr2bl w:val="nil"/>
            </w:tcBorders>
            <w:noWrap/>
            <w:tcMar>
              <w:top w:w="15" w:type="dxa"/>
              <w:left w:w="15" w:type="dxa"/>
              <w:right w:w="15" w:type="dxa"/>
            </w:tcMar>
            <w:vAlign w:val="center"/>
          </w:tcPr>
          <w:p w14:paraId="5E2A8CD4"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2"/>
                <w:szCs w:val="22"/>
                <w:u w:val="single"/>
                <w:lang w:bidi="ar"/>
              </w:rPr>
              <w:t>022013</w:t>
            </w:r>
          </w:p>
        </w:tc>
        <w:tc>
          <w:tcPr>
            <w:tcW w:w="1347" w:type="dxa"/>
            <w:tcBorders>
              <w:tl2br w:val="nil"/>
              <w:tr2bl w:val="nil"/>
            </w:tcBorders>
            <w:noWrap/>
            <w:tcMar>
              <w:top w:w="15" w:type="dxa"/>
              <w:left w:w="15" w:type="dxa"/>
              <w:right w:w="15" w:type="dxa"/>
            </w:tcMar>
            <w:vAlign w:val="center"/>
          </w:tcPr>
          <w:p w14:paraId="216976F6"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w:t>
            </w:r>
          </w:p>
        </w:tc>
        <w:tc>
          <w:tcPr>
            <w:tcW w:w="1036" w:type="dxa"/>
            <w:tcBorders>
              <w:tl2br w:val="nil"/>
              <w:tr2bl w:val="nil"/>
            </w:tcBorders>
            <w:noWrap/>
            <w:tcMar>
              <w:top w:w="15" w:type="dxa"/>
              <w:left w:w="15" w:type="dxa"/>
              <w:right w:w="15" w:type="dxa"/>
            </w:tcMar>
            <w:vAlign w:val="center"/>
          </w:tcPr>
          <w:p w14:paraId="66057BF4"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0.3</w:t>
            </w:r>
          </w:p>
        </w:tc>
        <w:tc>
          <w:tcPr>
            <w:tcW w:w="851" w:type="dxa"/>
            <w:tcBorders>
              <w:tl2br w:val="nil"/>
              <w:tr2bl w:val="nil"/>
            </w:tcBorders>
            <w:noWrap/>
            <w:tcMar>
              <w:top w:w="15" w:type="dxa"/>
              <w:left w:w="15" w:type="dxa"/>
              <w:right w:w="15" w:type="dxa"/>
            </w:tcMar>
            <w:vAlign w:val="center"/>
          </w:tcPr>
          <w:p w14:paraId="7B712F81"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达标</w:t>
            </w:r>
          </w:p>
        </w:tc>
      </w:tr>
      <w:tr w:rsidR="003E78AB" w14:paraId="6C36B717" w14:textId="77777777">
        <w:tc>
          <w:tcPr>
            <w:tcW w:w="527" w:type="dxa"/>
            <w:tcBorders>
              <w:tl2br w:val="nil"/>
              <w:tr2bl w:val="nil"/>
            </w:tcBorders>
            <w:noWrap/>
            <w:tcMar>
              <w:top w:w="15" w:type="dxa"/>
              <w:left w:w="15" w:type="dxa"/>
              <w:right w:w="15" w:type="dxa"/>
            </w:tcMar>
            <w:vAlign w:val="center"/>
          </w:tcPr>
          <w:p w14:paraId="5013F94D" w14:textId="77777777" w:rsidR="003E78AB" w:rsidRDefault="00010BF9">
            <w:pPr>
              <w:spacing w:line="360" w:lineRule="exact"/>
              <w:ind w:firstLineChars="0" w:firstLine="0"/>
              <w:jc w:val="center"/>
              <w:textAlignment w:val="baseline"/>
              <w:rPr>
                <w:b/>
                <w:bCs/>
                <w:color w:val="000000"/>
                <w:kern w:val="2"/>
                <w:sz w:val="21"/>
                <w:szCs w:val="21"/>
                <w:u w:val="single"/>
              </w:rPr>
            </w:pPr>
            <w:r>
              <w:rPr>
                <w:b/>
                <w:bCs/>
                <w:color w:val="000000"/>
                <w:sz w:val="21"/>
                <w:szCs w:val="21"/>
                <w:u w:val="single"/>
              </w:rPr>
              <w:t>3</w:t>
            </w:r>
          </w:p>
        </w:tc>
        <w:tc>
          <w:tcPr>
            <w:tcW w:w="1463" w:type="dxa"/>
            <w:tcBorders>
              <w:tl2br w:val="nil"/>
              <w:tr2bl w:val="nil"/>
            </w:tcBorders>
            <w:noWrap/>
            <w:tcMar>
              <w:top w:w="15" w:type="dxa"/>
              <w:left w:w="15" w:type="dxa"/>
              <w:right w:w="15" w:type="dxa"/>
            </w:tcMar>
            <w:vAlign w:val="center"/>
          </w:tcPr>
          <w:p w14:paraId="294FEE9E" w14:textId="77777777" w:rsidR="003E78AB" w:rsidRDefault="00010BF9">
            <w:pPr>
              <w:pStyle w:val="aff6"/>
              <w:topLinePunct/>
              <w:rPr>
                <w:b/>
                <w:bCs/>
                <w:color w:val="000000"/>
                <w:u w:val="single"/>
              </w:rPr>
            </w:pPr>
            <w:r>
              <w:rPr>
                <w:b/>
                <w:bCs/>
                <w:u w:val="single"/>
              </w:rPr>
              <w:t>项目区下风向</w:t>
            </w:r>
          </w:p>
        </w:tc>
        <w:tc>
          <w:tcPr>
            <w:tcW w:w="743" w:type="dxa"/>
            <w:tcBorders>
              <w:tl2br w:val="nil"/>
              <w:tr2bl w:val="nil"/>
            </w:tcBorders>
            <w:noWrap/>
            <w:tcMar>
              <w:top w:w="15" w:type="dxa"/>
              <w:left w:w="15" w:type="dxa"/>
              <w:right w:w="15" w:type="dxa"/>
            </w:tcMar>
            <w:vAlign w:val="center"/>
          </w:tcPr>
          <w:p w14:paraId="7A81EF99"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65D1B65E"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1.160</w:t>
            </w:r>
          </w:p>
        </w:tc>
        <w:tc>
          <w:tcPr>
            <w:tcW w:w="1713" w:type="dxa"/>
            <w:tcBorders>
              <w:tl2br w:val="nil"/>
              <w:tr2bl w:val="nil"/>
            </w:tcBorders>
            <w:noWrap/>
            <w:tcMar>
              <w:top w:w="15" w:type="dxa"/>
              <w:left w:w="15" w:type="dxa"/>
              <w:right w:w="15" w:type="dxa"/>
            </w:tcMar>
            <w:vAlign w:val="center"/>
          </w:tcPr>
          <w:p w14:paraId="394E22AB"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2"/>
                <w:szCs w:val="22"/>
                <w:u w:val="single"/>
                <w:lang w:bidi="ar"/>
              </w:rPr>
              <w:t>013112</w:t>
            </w:r>
          </w:p>
        </w:tc>
        <w:tc>
          <w:tcPr>
            <w:tcW w:w="1347" w:type="dxa"/>
            <w:tcBorders>
              <w:tl2br w:val="nil"/>
              <w:tr2bl w:val="nil"/>
            </w:tcBorders>
            <w:noWrap/>
            <w:tcMar>
              <w:top w:w="15" w:type="dxa"/>
              <w:left w:w="15" w:type="dxa"/>
              <w:right w:w="15" w:type="dxa"/>
            </w:tcMar>
            <w:vAlign w:val="center"/>
          </w:tcPr>
          <w:p w14:paraId="0594D0E4"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w:t>
            </w:r>
          </w:p>
        </w:tc>
        <w:tc>
          <w:tcPr>
            <w:tcW w:w="1036" w:type="dxa"/>
            <w:tcBorders>
              <w:tl2br w:val="nil"/>
              <w:tr2bl w:val="nil"/>
            </w:tcBorders>
            <w:noWrap/>
            <w:tcMar>
              <w:top w:w="15" w:type="dxa"/>
              <w:left w:w="15" w:type="dxa"/>
              <w:right w:w="15" w:type="dxa"/>
            </w:tcMar>
            <w:vAlign w:val="center"/>
          </w:tcPr>
          <w:p w14:paraId="391E7B58" w14:textId="77777777" w:rsidR="003E78AB" w:rsidRDefault="00010BF9">
            <w:pPr>
              <w:spacing w:line="360" w:lineRule="exact"/>
              <w:ind w:firstLineChars="0" w:firstLine="0"/>
              <w:jc w:val="center"/>
              <w:textAlignment w:val="center"/>
              <w:rPr>
                <w:b/>
                <w:bCs/>
                <w:color w:val="000000"/>
                <w:kern w:val="2"/>
                <w:sz w:val="21"/>
                <w:szCs w:val="21"/>
                <w:u w:val="single"/>
              </w:rPr>
            </w:pPr>
            <w:r>
              <w:rPr>
                <w:b/>
                <w:bCs/>
                <w:color w:val="000000"/>
                <w:sz w:val="22"/>
                <w:szCs w:val="22"/>
                <w:u w:val="single"/>
                <w:lang w:bidi="ar"/>
              </w:rPr>
              <w:t>0.23</w:t>
            </w:r>
          </w:p>
        </w:tc>
        <w:tc>
          <w:tcPr>
            <w:tcW w:w="851" w:type="dxa"/>
            <w:tcBorders>
              <w:tl2br w:val="nil"/>
              <w:tr2bl w:val="nil"/>
            </w:tcBorders>
            <w:noWrap/>
            <w:tcMar>
              <w:top w:w="15" w:type="dxa"/>
              <w:left w:w="15" w:type="dxa"/>
              <w:right w:w="15" w:type="dxa"/>
            </w:tcMar>
            <w:vAlign w:val="center"/>
          </w:tcPr>
          <w:p w14:paraId="616EA181"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达标</w:t>
            </w:r>
          </w:p>
        </w:tc>
      </w:tr>
      <w:tr w:rsidR="003E78AB" w14:paraId="17258D6B" w14:textId="77777777">
        <w:tc>
          <w:tcPr>
            <w:tcW w:w="527" w:type="dxa"/>
            <w:tcBorders>
              <w:tl2br w:val="nil"/>
              <w:tr2bl w:val="nil"/>
            </w:tcBorders>
            <w:noWrap/>
            <w:tcMar>
              <w:top w:w="15" w:type="dxa"/>
              <w:left w:w="15" w:type="dxa"/>
              <w:right w:w="15" w:type="dxa"/>
            </w:tcMar>
            <w:vAlign w:val="center"/>
          </w:tcPr>
          <w:p w14:paraId="0A1AD669" w14:textId="77777777" w:rsidR="003E78AB" w:rsidRDefault="00010BF9">
            <w:pPr>
              <w:spacing w:line="360" w:lineRule="exact"/>
              <w:ind w:firstLineChars="0" w:firstLine="0"/>
              <w:jc w:val="center"/>
              <w:textAlignment w:val="baseline"/>
              <w:rPr>
                <w:b/>
                <w:bCs/>
                <w:color w:val="000000"/>
                <w:sz w:val="21"/>
                <w:szCs w:val="21"/>
                <w:u w:val="single"/>
              </w:rPr>
            </w:pPr>
            <w:r>
              <w:rPr>
                <w:b/>
                <w:bCs/>
                <w:color w:val="000000"/>
                <w:sz w:val="21"/>
                <w:szCs w:val="21"/>
                <w:u w:val="single"/>
              </w:rPr>
              <w:t>19</w:t>
            </w:r>
          </w:p>
        </w:tc>
        <w:tc>
          <w:tcPr>
            <w:tcW w:w="1463" w:type="dxa"/>
            <w:tcBorders>
              <w:tl2br w:val="nil"/>
              <w:tr2bl w:val="nil"/>
            </w:tcBorders>
            <w:noWrap/>
            <w:tcMar>
              <w:top w:w="15" w:type="dxa"/>
              <w:left w:w="15" w:type="dxa"/>
              <w:right w:w="15" w:type="dxa"/>
            </w:tcMar>
            <w:vAlign w:val="center"/>
          </w:tcPr>
          <w:p w14:paraId="42A020B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rPr>
              <w:t>网格点最大值（</w:t>
            </w:r>
            <w:r>
              <w:rPr>
                <w:b/>
                <w:bCs/>
                <w:color w:val="000000"/>
                <w:sz w:val="21"/>
                <w:szCs w:val="21"/>
                <w:u w:val="single"/>
              </w:rPr>
              <w:t>1400</w:t>
            </w:r>
            <w:r>
              <w:rPr>
                <w:b/>
                <w:bCs/>
                <w:color w:val="000000"/>
                <w:sz w:val="21"/>
                <w:szCs w:val="21"/>
                <w:u w:val="single"/>
              </w:rPr>
              <w:t>，</w:t>
            </w:r>
            <w:r>
              <w:rPr>
                <w:b/>
                <w:bCs/>
                <w:color w:val="000000"/>
                <w:sz w:val="21"/>
                <w:szCs w:val="21"/>
                <w:u w:val="single"/>
              </w:rPr>
              <w:t>400</w:t>
            </w:r>
            <w:r>
              <w:rPr>
                <w:b/>
                <w:bCs/>
                <w:color w:val="000000"/>
                <w:sz w:val="21"/>
                <w:szCs w:val="21"/>
                <w:u w:val="single"/>
              </w:rPr>
              <w:t>）</w:t>
            </w:r>
          </w:p>
        </w:tc>
        <w:tc>
          <w:tcPr>
            <w:tcW w:w="743" w:type="dxa"/>
            <w:tcBorders>
              <w:tl2br w:val="nil"/>
              <w:tr2bl w:val="nil"/>
            </w:tcBorders>
            <w:noWrap/>
            <w:tcMar>
              <w:top w:w="15" w:type="dxa"/>
              <w:left w:w="15" w:type="dxa"/>
              <w:right w:w="15" w:type="dxa"/>
            </w:tcMar>
            <w:vAlign w:val="center"/>
          </w:tcPr>
          <w:p w14:paraId="141494AE" w14:textId="77777777" w:rsidR="003E78AB" w:rsidRDefault="00010BF9">
            <w:pPr>
              <w:spacing w:line="360" w:lineRule="exact"/>
              <w:ind w:firstLineChars="0" w:firstLine="0"/>
              <w:jc w:val="center"/>
              <w:textAlignment w:val="center"/>
              <w:rPr>
                <w:b/>
                <w:bCs/>
                <w:color w:val="000000"/>
                <w:sz w:val="21"/>
                <w:szCs w:val="21"/>
                <w:u w:val="single"/>
                <w:lang w:bidi="ar"/>
              </w:rPr>
            </w:pPr>
            <w:r>
              <w:rPr>
                <w:b/>
                <w:bCs/>
                <w:color w:val="000000"/>
                <w:sz w:val="21"/>
                <w:szCs w:val="21"/>
                <w:u w:val="single"/>
                <w:lang w:bidi="ar"/>
              </w:rPr>
              <w:t>1</w:t>
            </w:r>
            <w:r>
              <w:rPr>
                <w:b/>
                <w:bCs/>
                <w:color w:val="000000"/>
                <w:sz w:val="21"/>
                <w:szCs w:val="21"/>
                <w:u w:val="single"/>
                <w:lang w:bidi="ar"/>
              </w:rPr>
              <w:t>小时</w:t>
            </w:r>
          </w:p>
        </w:tc>
        <w:tc>
          <w:tcPr>
            <w:tcW w:w="1080" w:type="dxa"/>
            <w:tcBorders>
              <w:tl2br w:val="nil"/>
              <w:tr2bl w:val="nil"/>
            </w:tcBorders>
            <w:noWrap/>
            <w:tcMar>
              <w:top w:w="15" w:type="dxa"/>
              <w:left w:w="15" w:type="dxa"/>
              <w:right w:w="15" w:type="dxa"/>
            </w:tcMar>
            <w:vAlign w:val="center"/>
          </w:tcPr>
          <w:p w14:paraId="74989C84"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9.840</w:t>
            </w:r>
          </w:p>
        </w:tc>
        <w:tc>
          <w:tcPr>
            <w:tcW w:w="1713" w:type="dxa"/>
            <w:tcBorders>
              <w:tl2br w:val="nil"/>
              <w:tr2bl w:val="nil"/>
            </w:tcBorders>
            <w:noWrap/>
            <w:tcMar>
              <w:top w:w="15" w:type="dxa"/>
              <w:left w:w="15" w:type="dxa"/>
              <w:right w:w="15" w:type="dxa"/>
            </w:tcMar>
            <w:vAlign w:val="center"/>
          </w:tcPr>
          <w:p w14:paraId="1DB974D5" w14:textId="77777777" w:rsidR="003E78AB" w:rsidRDefault="00010BF9">
            <w:pPr>
              <w:spacing w:line="360" w:lineRule="exact"/>
              <w:ind w:firstLineChars="0" w:firstLine="0"/>
              <w:jc w:val="center"/>
              <w:textAlignment w:val="center"/>
              <w:rPr>
                <w:b/>
                <w:bCs/>
                <w:color w:val="000000"/>
                <w:sz w:val="21"/>
                <w:szCs w:val="21"/>
                <w:u w:val="single"/>
              </w:rPr>
            </w:pPr>
            <w:r>
              <w:rPr>
                <w:rFonts w:hint="eastAsia"/>
                <w:b/>
                <w:bCs/>
                <w:color w:val="000000"/>
                <w:sz w:val="21"/>
                <w:szCs w:val="21"/>
                <w:u w:val="single"/>
                <w:lang w:bidi="ar"/>
              </w:rPr>
              <w:t>23</w:t>
            </w:r>
            <w:r>
              <w:rPr>
                <w:b/>
                <w:bCs/>
                <w:color w:val="000000"/>
                <w:sz w:val="22"/>
                <w:szCs w:val="22"/>
                <w:u w:val="single"/>
                <w:lang w:bidi="ar"/>
              </w:rPr>
              <w:t>121924</w:t>
            </w:r>
          </w:p>
        </w:tc>
        <w:tc>
          <w:tcPr>
            <w:tcW w:w="1347" w:type="dxa"/>
            <w:tcBorders>
              <w:tl2br w:val="nil"/>
              <w:tr2bl w:val="nil"/>
            </w:tcBorders>
            <w:noWrap/>
            <w:tcMar>
              <w:top w:w="15" w:type="dxa"/>
              <w:left w:w="15" w:type="dxa"/>
              <w:right w:w="15" w:type="dxa"/>
            </w:tcMar>
            <w:vAlign w:val="center"/>
          </w:tcPr>
          <w:p w14:paraId="6EC3D309"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w:t>
            </w:r>
          </w:p>
        </w:tc>
        <w:tc>
          <w:tcPr>
            <w:tcW w:w="1036" w:type="dxa"/>
            <w:tcBorders>
              <w:tl2br w:val="nil"/>
              <w:tr2bl w:val="nil"/>
            </w:tcBorders>
            <w:noWrap/>
            <w:tcMar>
              <w:top w:w="15" w:type="dxa"/>
              <w:left w:w="15" w:type="dxa"/>
              <w:right w:w="15" w:type="dxa"/>
            </w:tcMar>
            <w:vAlign w:val="center"/>
          </w:tcPr>
          <w:p w14:paraId="6984014B"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2"/>
                <w:szCs w:val="22"/>
                <w:u w:val="single"/>
                <w:lang w:bidi="ar"/>
              </w:rPr>
              <w:t>1.97</w:t>
            </w:r>
          </w:p>
        </w:tc>
        <w:tc>
          <w:tcPr>
            <w:tcW w:w="851" w:type="dxa"/>
            <w:tcBorders>
              <w:tl2br w:val="nil"/>
              <w:tr2bl w:val="nil"/>
            </w:tcBorders>
            <w:noWrap/>
            <w:tcMar>
              <w:top w:w="15" w:type="dxa"/>
              <w:left w:w="15" w:type="dxa"/>
              <w:right w:w="15" w:type="dxa"/>
            </w:tcMar>
            <w:vAlign w:val="center"/>
          </w:tcPr>
          <w:p w14:paraId="0832925C" w14:textId="77777777" w:rsidR="003E78AB" w:rsidRDefault="00010BF9">
            <w:pPr>
              <w:spacing w:line="360" w:lineRule="exact"/>
              <w:ind w:firstLineChars="0" w:firstLine="0"/>
              <w:jc w:val="center"/>
              <w:textAlignment w:val="center"/>
              <w:rPr>
                <w:b/>
                <w:bCs/>
                <w:color w:val="000000"/>
                <w:sz w:val="21"/>
                <w:szCs w:val="21"/>
                <w:u w:val="single"/>
              </w:rPr>
            </w:pPr>
            <w:r>
              <w:rPr>
                <w:b/>
                <w:bCs/>
                <w:color w:val="000000"/>
                <w:sz w:val="21"/>
                <w:szCs w:val="21"/>
                <w:u w:val="single"/>
                <w:lang w:bidi="ar"/>
              </w:rPr>
              <w:t>达标</w:t>
            </w:r>
          </w:p>
        </w:tc>
      </w:tr>
    </w:tbl>
    <w:p w14:paraId="16AF0BFA" w14:textId="77777777" w:rsidR="003E78AB" w:rsidRDefault="00010BF9">
      <w:pPr>
        <w:ind w:firstLine="482"/>
        <w:rPr>
          <w:b/>
          <w:bCs/>
          <w:color w:val="000000"/>
          <w:szCs w:val="22"/>
          <w:u w:val="single"/>
        </w:rPr>
      </w:pPr>
      <w:r>
        <w:rPr>
          <w:b/>
          <w:bCs/>
          <w:color w:val="000000"/>
          <w:u w:val="single"/>
        </w:rPr>
        <w:t>由上表可知，在非正常工况下</w:t>
      </w:r>
      <w:r>
        <w:rPr>
          <w:rFonts w:hint="eastAsia"/>
          <w:b/>
          <w:bCs/>
          <w:color w:val="000000"/>
          <w:u w:val="single"/>
        </w:rPr>
        <w:t>TVOC</w:t>
      </w:r>
      <w:r>
        <w:rPr>
          <w:rFonts w:hint="eastAsia"/>
          <w:b/>
          <w:bCs/>
          <w:color w:val="000000"/>
          <w:u w:val="single"/>
        </w:rPr>
        <w:t>和硫酸雾在敏感点处的</w:t>
      </w:r>
      <w:r>
        <w:rPr>
          <w:b/>
          <w:bCs/>
          <w:color w:val="000000"/>
          <w:u w:val="single"/>
        </w:rPr>
        <w:t>最大落地浓度贡献值</w:t>
      </w:r>
      <w:r>
        <w:rPr>
          <w:rFonts w:hint="eastAsia"/>
          <w:b/>
          <w:bCs/>
          <w:color w:val="000000"/>
          <w:u w:val="single"/>
        </w:rPr>
        <w:t>不</w:t>
      </w:r>
      <w:r>
        <w:rPr>
          <w:b/>
          <w:bCs/>
          <w:color w:val="000000"/>
          <w:u w:val="single"/>
        </w:rPr>
        <w:t>能够满足相应标准要求，</w:t>
      </w:r>
      <w:r>
        <w:rPr>
          <w:rFonts w:hint="eastAsia"/>
          <w:b/>
          <w:bCs/>
          <w:color w:val="000000"/>
          <w:u w:val="single"/>
        </w:rPr>
        <w:t>对敏感点的环境影响明显增强</w:t>
      </w:r>
      <w:r>
        <w:rPr>
          <w:b/>
          <w:bCs/>
          <w:color w:val="000000"/>
          <w:u w:val="single"/>
        </w:rPr>
        <w:t>。因此，出现非正常情况时，应立即停产检修，待所有生产设备、环保设施恢复正常后再投入生产，避免环保设施效率下降对区域环境空气质量造成较大影响。</w:t>
      </w:r>
    </w:p>
    <w:p w14:paraId="546B41F2" w14:textId="77777777" w:rsidR="003E78AB" w:rsidRDefault="00010BF9">
      <w:pPr>
        <w:pStyle w:val="afff3"/>
        <w:snapToGrid/>
        <w:ind w:firstLine="482"/>
        <w:rPr>
          <w:rFonts w:ascii="Times New Roman" w:hAnsi="Times New Roman"/>
          <w:b/>
          <w:bCs/>
          <w:color w:val="000000"/>
          <w:sz w:val="24"/>
          <w:szCs w:val="24"/>
          <w:u w:val="single"/>
        </w:rPr>
      </w:pPr>
      <w:r>
        <w:rPr>
          <w:rFonts w:ascii="Times New Roman" w:hAnsi="Times New Roman"/>
          <w:b/>
          <w:bCs/>
          <w:color w:val="000000"/>
          <w:sz w:val="24"/>
          <w:szCs w:val="24"/>
          <w:u w:val="single"/>
        </w:rPr>
        <w:t>（</w:t>
      </w:r>
      <w:r>
        <w:rPr>
          <w:rFonts w:ascii="Times New Roman" w:hAnsi="Times New Roman"/>
          <w:b/>
          <w:bCs/>
          <w:color w:val="000000"/>
          <w:sz w:val="24"/>
          <w:szCs w:val="24"/>
          <w:u w:val="single"/>
        </w:rPr>
        <w:t>4</w:t>
      </w:r>
      <w:r>
        <w:rPr>
          <w:rFonts w:ascii="Times New Roman" w:hAnsi="Times New Roman"/>
          <w:b/>
          <w:bCs/>
          <w:color w:val="000000"/>
          <w:sz w:val="24"/>
          <w:szCs w:val="24"/>
          <w:u w:val="single"/>
        </w:rPr>
        <w:t>）厂界无组织排放监控浓度预测</w:t>
      </w:r>
    </w:p>
    <w:p w14:paraId="31CDCFBC" w14:textId="77777777" w:rsidR="003E78AB" w:rsidRDefault="00010BF9">
      <w:pPr>
        <w:ind w:firstLine="482"/>
        <w:rPr>
          <w:b/>
          <w:bCs/>
          <w:color w:val="000000"/>
          <w:kern w:val="2"/>
          <w:szCs w:val="21"/>
          <w:u w:val="single"/>
        </w:rPr>
      </w:pPr>
      <w:r>
        <w:rPr>
          <w:b/>
          <w:bCs/>
          <w:color w:val="000000"/>
          <w:kern w:val="2"/>
          <w:szCs w:val="21"/>
          <w:u w:val="single"/>
        </w:rPr>
        <w:t>本次评价预测并统计了各厂界处最大贡献值，见下表。</w:t>
      </w:r>
    </w:p>
    <w:p w14:paraId="3FA72B93" w14:textId="77777777" w:rsidR="003E78AB" w:rsidRDefault="00010BF9">
      <w:pPr>
        <w:pStyle w:val="a4"/>
        <w:spacing w:before="120"/>
        <w:ind w:left="425" w:hanging="425"/>
        <w:jc w:val="right"/>
        <w:rPr>
          <w:bCs/>
        </w:rPr>
      </w:pPr>
      <w:r>
        <w:rPr>
          <w:rFonts w:hint="eastAsia"/>
          <w:bCs/>
        </w:rPr>
        <w:t>厂界无组织排放监控点预测结果</w:t>
      </w:r>
      <w:r>
        <w:rPr>
          <w:rFonts w:hint="eastAsia"/>
          <w:bCs/>
        </w:rPr>
        <w:t xml:space="preserve">  </w:t>
      </w:r>
      <w:r>
        <w:rPr>
          <w:rFonts w:hint="eastAsia"/>
          <w:bCs/>
        </w:rPr>
        <w:t>单位：</w:t>
      </w:r>
      <w:r>
        <w:rPr>
          <w:rFonts w:hint="eastAsia"/>
          <w:bCs/>
        </w:rPr>
        <w:t>mg/m</w:t>
      </w:r>
      <w:r>
        <w:rPr>
          <w:rFonts w:hint="eastAsia"/>
          <w:bCs/>
          <w:vertAlign w:val="superscript"/>
        </w:rPr>
        <w:t>3</w:t>
      </w:r>
    </w:p>
    <w:tbl>
      <w:tblPr>
        <w:tblW w:w="4997"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401"/>
        <w:gridCol w:w="1425"/>
        <w:gridCol w:w="1425"/>
        <w:gridCol w:w="1425"/>
        <w:gridCol w:w="1432"/>
        <w:gridCol w:w="1403"/>
      </w:tblGrid>
      <w:tr w:rsidR="003E78AB" w14:paraId="2DFEC37C" w14:textId="77777777">
        <w:tc>
          <w:tcPr>
            <w:tcW w:w="823" w:type="pct"/>
            <w:vMerge w:val="restart"/>
            <w:tcBorders>
              <w:tl2br w:val="nil"/>
              <w:tr2bl w:val="nil"/>
            </w:tcBorders>
            <w:vAlign w:val="center"/>
          </w:tcPr>
          <w:p w14:paraId="0B3F7CC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污染物</w:t>
            </w:r>
          </w:p>
        </w:tc>
        <w:tc>
          <w:tcPr>
            <w:tcW w:w="3352" w:type="pct"/>
            <w:gridSpan w:val="4"/>
            <w:tcBorders>
              <w:tl2br w:val="nil"/>
              <w:tr2bl w:val="nil"/>
            </w:tcBorders>
            <w:vAlign w:val="center"/>
          </w:tcPr>
          <w:p w14:paraId="1DA3622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1</w:t>
            </w:r>
            <w:r>
              <w:rPr>
                <w:b/>
                <w:bCs/>
                <w:color w:val="000000"/>
                <w:kern w:val="2"/>
                <w:sz w:val="21"/>
                <w:szCs w:val="21"/>
                <w:u w:val="single"/>
              </w:rPr>
              <w:t>小时浓度贡献值</w:t>
            </w:r>
          </w:p>
        </w:tc>
        <w:tc>
          <w:tcPr>
            <w:tcW w:w="824" w:type="pct"/>
            <w:vMerge w:val="restart"/>
            <w:tcBorders>
              <w:tl2br w:val="nil"/>
              <w:tr2bl w:val="nil"/>
            </w:tcBorders>
            <w:vAlign w:val="center"/>
          </w:tcPr>
          <w:p w14:paraId="1FF8FC96"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浓度限值</w:t>
            </w:r>
          </w:p>
        </w:tc>
      </w:tr>
      <w:tr w:rsidR="003E78AB" w14:paraId="2C029FDB" w14:textId="77777777">
        <w:trPr>
          <w:trHeight w:val="335"/>
        </w:trPr>
        <w:tc>
          <w:tcPr>
            <w:tcW w:w="823" w:type="pct"/>
            <w:vMerge/>
            <w:tcBorders>
              <w:tl2br w:val="nil"/>
              <w:tr2bl w:val="nil"/>
            </w:tcBorders>
            <w:vAlign w:val="center"/>
          </w:tcPr>
          <w:p w14:paraId="219E4058" w14:textId="77777777" w:rsidR="003E78AB" w:rsidRDefault="003E78AB">
            <w:pPr>
              <w:spacing w:line="360" w:lineRule="exact"/>
              <w:ind w:firstLineChars="0" w:firstLine="0"/>
              <w:jc w:val="center"/>
              <w:rPr>
                <w:b/>
                <w:bCs/>
                <w:color w:val="000000"/>
                <w:kern w:val="2"/>
                <w:sz w:val="21"/>
                <w:szCs w:val="21"/>
                <w:u w:val="single"/>
              </w:rPr>
            </w:pPr>
          </w:p>
        </w:tc>
        <w:tc>
          <w:tcPr>
            <w:tcW w:w="837" w:type="pct"/>
            <w:tcBorders>
              <w:tl2br w:val="nil"/>
              <w:tr2bl w:val="nil"/>
            </w:tcBorders>
            <w:vAlign w:val="center"/>
          </w:tcPr>
          <w:p w14:paraId="4F1730B5"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东厂界</w:t>
            </w:r>
          </w:p>
        </w:tc>
        <w:tc>
          <w:tcPr>
            <w:tcW w:w="837" w:type="pct"/>
            <w:tcBorders>
              <w:tl2br w:val="nil"/>
              <w:tr2bl w:val="nil"/>
            </w:tcBorders>
            <w:vAlign w:val="center"/>
          </w:tcPr>
          <w:p w14:paraId="47B4673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南厂界</w:t>
            </w:r>
          </w:p>
        </w:tc>
        <w:tc>
          <w:tcPr>
            <w:tcW w:w="837" w:type="pct"/>
            <w:tcBorders>
              <w:tl2br w:val="nil"/>
              <w:tr2bl w:val="nil"/>
            </w:tcBorders>
            <w:vAlign w:val="center"/>
          </w:tcPr>
          <w:p w14:paraId="6EE7C20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西厂界</w:t>
            </w:r>
          </w:p>
        </w:tc>
        <w:tc>
          <w:tcPr>
            <w:tcW w:w="840" w:type="pct"/>
            <w:tcBorders>
              <w:tl2br w:val="nil"/>
              <w:tr2bl w:val="nil"/>
            </w:tcBorders>
            <w:vAlign w:val="center"/>
          </w:tcPr>
          <w:p w14:paraId="4C0B70B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北厂界</w:t>
            </w:r>
          </w:p>
        </w:tc>
        <w:tc>
          <w:tcPr>
            <w:tcW w:w="824" w:type="pct"/>
            <w:vMerge/>
            <w:tcBorders>
              <w:tl2br w:val="nil"/>
              <w:tr2bl w:val="nil"/>
            </w:tcBorders>
            <w:vAlign w:val="center"/>
          </w:tcPr>
          <w:p w14:paraId="6DF00527" w14:textId="77777777" w:rsidR="003E78AB" w:rsidRDefault="003E78AB">
            <w:pPr>
              <w:spacing w:line="360" w:lineRule="exact"/>
              <w:ind w:firstLineChars="0" w:firstLine="0"/>
              <w:jc w:val="center"/>
              <w:rPr>
                <w:b/>
                <w:bCs/>
                <w:color w:val="000000"/>
                <w:kern w:val="2"/>
                <w:sz w:val="21"/>
                <w:szCs w:val="21"/>
                <w:u w:val="single"/>
              </w:rPr>
            </w:pPr>
          </w:p>
        </w:tc>
      </w:tr>
      <w:tr w:rsidR="003E78AB" w14:paraId="7F6748B3" w14:textId="77777777">
        <w:tc>
          <w:tcPr>
            <w:tcW w:w="823" w:type="pct"/>
            <w:tcBorders>
              <w:tl2br w:val="nil"/>
              <w:tr2bl w:val="nil"/>
            </w:tcBorders>
            <w:vAlign w:val="center"/>
          </w:tcPr>
          <w:p w14:paraId="7BBB639B"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TVOC</w:t>
            </w:r>
          </w:p>
        </w:tc>
        <w:tc>
          <w:tcPr>
            <w:tcW w:w="1425" w:type="dxa"/>
            <w:tcBorders>
              <w:tl2br w:val="nil"/>
              <w:tr2bl w:val="nil"/>
            </w:tcBorders>
            <w:vAlign w:val="center"/>
          </w:tcPr>
          <w:p w14:paraId="5EE92359" w14:textId="77777777" w:rsidR="003E78AB" w:rsidRDefault="00010BF9">
            <w:pPr>
              <w:spacing w:line="360" w:lineRule="exact"/>
              <w:ind w:firstLineChars="0" w:firstLine="0"/>
              <w:jc w:val="center"/>
              <w:rPr>
                <w:b/>
                <w:bCs/>
                <w:color w:val="000000"/>
                <w:kern w:val="2"/>
                <w:sz w:val="21"/>
                <w:szCs w:val="21"/>
                <w:u w:val="single"/>
              </w:rPr>
            </w:pPr>
            <w:r>
              <w:rPr>
                <w:rFonts w:hint="eastAsia"/>
                <w:b/>
                <w:bCs/>
                <w:kern w:val="2"/>
                <w:sz w:val="21"/>
                <w:szCs w:val="21"/>
                <w:u w:val="single"/>
              </w:rPr>
              <w:t>0.0015</w:t>
            </w:r>
          </w:p>
        </w:tc>
        <w:tc>
          <w:tcPr>
            <w:tcW w:w="1425" w:type="dxa"/>
            <w:tcBorders>
              <w:tl2br w:val="nil"/>
              <w:tr2bl w:val="nil"/>
            </w:tcBorders>
            <w:vAlign w:val="center"/>
          </w:tcPr>
          <w:p w14:paraId="30FDF8DB" w14:textId="77777777" w:rsidR="003E78AB" w:rsidRDefault="00010BF9">
            <w:pPr>
              <w:spacing w:line="360" w:lineRule="exact"/>
              <w:ind w:firstLineChars="0" w:firstLine="0"/>
              <w:jc w:val="center"/>
              <w:rPr>
                <w:b/>
                <w:bCs/>
                <w:color w:val="000000"/>
                <w:kern w:val="2"/>
                <w:sz w:val="21"/>
                <w:szCs w:val="21"/>
                <w:u w:val="single"/>
              </w:rPr>
            </w:pPr>
            <w:r>
              <w:rPr>
                <w:rFonts w:hint="eastAsia"/>
                <w:b/>
                <w:bCs/>
                <w:kern w:val="2"/>
                <w:sz w:val="21"/>
                <w:szCs w:val="21"/>
                <w:u w:val="single"/>
              </w:rPr>
              <w:t>0.0038</w:t>
            </w:r>
          </w:p>
        </w:tc>
        <w:tc>
          <w:tcPr>
            <w:tcW w:w="1425" w:type="dxa"/>
            <w:tcBorders>
              <w:tl2br w:val="nil"/>
              <w:tr2bl w:val="nil"/>
            </w:tcBorders>
            <w:vAlign w:val="center"/>
          </w:tcPr>
          <w:p w14:paraId="1A40B623" w14:textId="77777777" w:rsidR="003E78AB" w:rsidRDefault="00010BF9">
            <w:pPr>
              <w:spacing w:line="360" w:lineRule="exact"/>
              <w:ind w:firstLineChars="0" w:firstLine="0"/>
              <w:jc w:val="center"/>
              <w:rPr>
                <w:b/>
                <w:bCs/>
                <w:color w:val="000000"/>
                <w:kern w:val="2"/>
                <w:sz w:val="21"/>
                <w:szCs w:val="21"/>
                <w:u w:val="single"/>
              </w:rPr>
            </w:pPr>
            <w:r>
              <w:rPr>
                <w:rFonts w:hint="eastAsia"/>
                <w:b/>
                <w:bCs/>
                <w:kern w:val="2"/>
                <w:sz w:val="21"/>
                <w:szCs w:val="21"/>
                <w:u w:val="single"/>
              </w:rPr>
              <w:t>0.0013</w:t>
            </w:r>
          </w:p>
        </w:tc>
        <w:tc>
          <w:tcPr>
            <w:tcW w:w="1431" w:type="dxa"/>
            <w:tcBorders>
              <w:tl2br w:val="nil"/>
              <w:tr2bl w:val="nil"/>
            </w:tcBorders>
            <w:vAlign w:val="center"/>
          </w:tcPr>
          <w:p w14:paraId="3F98289E" w14:textId="77777777" w:rsidR="003E78AB" w:rsidRDefault="00010BF9">
            <w:pPr>
              <w:spacing w:line="360" w:lineRule="exact"/>
              <w:ind w:firstLineChars="0" w:firstLine="0"/>
              <w:jc w:val="center"/>
              <w:rPr>
                <w:b/>
                <w:bCs/>
                <w:color w:val="000000"/>
                <w:kern w:val="2"/>
                <w:sz w:val="21"/>
                <w:szCs w:val="21"/>
                <w:u w:val="single"/>
              </w:rPr>
            </w:pPr>
            <w:r>
              <w:rPr>
                <w:rFonts w:hint="eastAsia"/>
                <w:b/>
                <w:bCs/>
                <w:kern w:val="2"/>
                <w:sz w:val="21"/>
                <w:szCs w:val="21"/>
                <w:u w:val="single"/>
              </w:rPr>
              <w:t>0.0031</w:t>
            </w:r>
          </w:p>
        </w:tc>
        <w:tc>
          <w:tcPr>
            <w:tcW w:w="824" w:type="pct"/>
            <w:tcBorders>
              <w:tl2br w:val="nil"/>
              <w:tr2bl w:val="nil"/>
            </w:tcBorders>
            <w:vAlign w:val="center"/>
          </w:tcPr>
          <w:p w14:paraId="4B5B0F50"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0.6</w:t>
            </w:r>
          </w:p>
        </w:tc>
      </w:tr>
      <w:tr w:rsidR="003E78AB" w14:paraId="7F893D65" w14:textId="77777777">
        <w:tc>
          <w:tcPr>
            <w:tcW w:w="823" w:type="pct"/>
            <w:tcBorders>
              <w:tl2br w:val="nil"/>
              <w:tr2bl w:val="nil"/>
            </w:tcBorders>
            <w:vAlign w:val="center"/>
          </w:tcPr>
          <w:p w14:paraId="385CF6A9"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硫酸雾</w:t>
            </w:r>
          </w:p>
        </w:tc>
        <w:tc>
          <w:tcPr>
            <w:tcW w:w="837" w:type="pct"/>
            <w:tcBorders>
              <w:tl2br w:val="nil"/>
              <w:tr2bl w:val="nil"/>
            </w:tcBorders>
            <w:vAlign w:val="center"/>
          </w:tcPr>
          <w:p w14:paraId="616F8024"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0.0002</w:t>
            </w:r>
          </w:p>
        </w:tc>
        <w:tc>
          <w:tcPr>
            <w:tcW w:w="837" w:type="pct"/>
            <w:tcBorders>
              <w:tl2br w:val="nil"/>
              <w:tr2bl w:val="nil"/>
            </w:tcBorders>
            <w:vAlign w:val="center"/>
          </w:tcPr>
          <w:p w14:paraId="0D93E19D"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0.0001</w:t>
            </w:r>
          </w:p>
        </w:tc>
        <w:tc>
          <w:tcPr>
            <w:tcW w:w="837" w:type="pct"/>
            <w:tcBorders>
              <w:tl2br w:val="nil"/>
              <w:tr2bl w:val="nil"/>
            </w:tcBorders>
            <w:vAlign w:val="center"/>
          </w:tcPr>
          <w:p w14:paraId="7D42F329"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0.0001</w:t>
            </w:r>
          </w:p>
        </w:tc>
        <w:tc>
          <w:tcPr>
            <w:tcW w:w="840" w:type="pct"/>
            <w:tcBorders>
              <w:tl2br w:val="nil"/>
              <w:tr2bl w:val="nil"/>
            </w:tcBorders>
            <w:vAlign w:val="center"/>
          </w:tcPr>
          <w:p w14:paraId="0C7775C4"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0.0001</w:t>
            </w:r>
          </w:p>
        </w:tc>
        <w:tc>
          <w:tcPr>
            <w:tcW w:w="824" w:type="pct"/>
            <w:tcBorders>
              <w:tl2br w:val="nil"/>
              <w:tr2bl w:val="nil"/>
            </w:tcBorders>
            <w:vAlign w:val="center"/>
          </w:tcPr>
          <w:p w14:paraId="5DED9C12"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1.2</w:t>
            </w:r>
          </w:p>
        </w:tc>
      </w:tr>
      <w:tr w:rsidR="003E78AB" w14:paraId="4F9E00DC" w14:textId="77777777">
        <w:tc>
          <w:tcPr>
            <w:tcW w:w="823" w:type="pct"/>
            <w:tcBorders>
              <w:tl2br w:val="nil"/>
              <w:tr2bl w:val="nil"/>
            </w:tcBorders>
            <w:vAlign w:val="center"/>
          </w:tcPr>
          <w:p w14:paraId="4F054A3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颗粒物</w:t>
            </w:r>
          </w:p>
        </w:tc>
        <w:tc>
          <w:tcPr>
            <w:tcW w:w="837" w:type="pct"/>
            <w:tcBorders>
              <w:tl2br w:val="nil"/>
              <w:tr2bl w:val="nil"/>
            </w:tcBorders>
            <w:vAlign w:val="center"/>
          </w:tcPr>
          <w:p w14:paraId="18FE24C9"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0.0004</w:t>
            </w:r>
          </w:p>
        </w:tc>
        <w:tc>
          <w:tcPr>
            <w:tcW w:w="837" w:type="pct"/>
            <w:tcBorders>
              <w:tl2br w:val="nil"/>
              <w:tr2bl w:val="nil"/>
            </w:tcBorders>
            <w:vAlign w:val="center"/>
          </w:tcPr>
          <w:p w14:paraId="68D5FAF3"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0.0004</w:t>
            </w:r>
          </w:p>
        </w:tc>
        <w:tc>
          <w:tcPr>
            <w:tcW w:w="837" w:type="pct"/>
            <w:tcBorders>
              <w:tl2br w:val="nil"/>
              <w:tr2bl w:val="nil"/>
            </w:tcBorders>
            <w:vAlign w:val="center"/>
          </w:tcPr>
          <w:p w14:paraId="74092480" w14:textId="77777777" w:rsidR="003E78AB" w:rsidRDefault="00010BF9">
            <w:pPr>
              <w:spacing w:line="360" w:lineRule="exact"/>
              <w:ind w:firstLineChars="0" w:firstLine="0"/>
              <w:jc w:val="center"/>
              <w:textAlignment w:val="center"/>
              <w:rPr>
                <w:b/>
                <w:bCs/>
                <w:color w:val="000000"/>
                <w:kern w:val="2"/>
                <w:sz w:val="22"/>
                <w:szCs w:val="22"/>
                <w:u w:val="single"/>
              </w:rPr>
            </w:pPr>
            <w:r>
              <w:rPr>
                <w:rFonts w:hint="eastAsia"/>
                <w:b/>
                <w:bCs/>
                <w:color w:val="000000"/>
                <w:kern w:val="2"/>
                <w:sz w:val="22"/>
                <w:szCs w:val="22"/>
                <w:u w:val="single"/>
              </w:rPr>
              <w:t>0.0003</w:t>
            </w:r>
          </w:p>
        </w:tc>
        <w:tc>
          <w:tcPr>
            <w:tcW w:w="840" w:type="pct"/>
            <w:tcBorders>
              <w:tl2br w:val="nil"/>
              <w:tr2bl w:val="nil"/>
            </w:tcBorders>
            <w:vAlign w:val="center"/>
          </w:tcPr>
          <w:p w14:paraId="1DCA35BE"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0.0004</w:t>
            </w:r>
          </w:p>
        </w:tc>
        <w:tc>
          <w:tcPr>
            <w:tcW w:w="824" w:type="pct"/>
            <w:tcBorders>
              <w:tl2br w:val="nil"/>
              <w:tr2bl w:val="nil"/>
            </w:tcBorders>
            <w:vAlign w:val="center"/>
          </w:tcPr>
          <w:p w14:paraId="717C7B95"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1.0</w:t>
            </w:r>
          </w:p>
        </w:tc>
      </w:tr>
      <w:tr w:rsidR="003E78AB" w14:paraId="47DA8F40" w14:textId="77777777">
        <w:tc>
          <w:tcPr>
            <w:tcW w:w="823" w:type="pct"/>
            <w:tcBorders>
              <w:tl2br w:val="nil"/>
              <w:tr2bl w:val="nil"/>
            </w:tcBorders>
            <w:vAlign w:val="center"/>
          </w:tcPr>
          <w:p w14:paraId="7B93C9F7"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SO</w:t>
            </w:r>
            <w:r>
              <w:rPr>
                <w:rFonts w:hint="eastAsia"/>
                <w:b/>
                <w:bCs/>
                <w:color w:val="000000"/>
                <w:kern w:val="2"/>
                <w:sz w:val="21"/>
                <w:szCs w:val="21"/>
                <w:u w:val="single"/>
                <w:vertAlign w:val="subscript"/>
              </w:rPr>
              <w:t>2</w:t>
            </w:r>
          </w:p>
        </w:tc>
        <w:tc>
          <w:tcPr>
            <w:tcW w:w="837" w:type="pct"/>
            <w:tcBorders>
              <w:tl2br w:val="nil"/>
              <w:tr2bl w:val="nil"/>
            </w:tcBorders>
            <w:vAlign w:val="center"/>
          </w:tcPr>
          <w:p w14:paraId="6FB804F6"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0.0009</w:t>
            </w:r>
          </w:p>
        </w:tc>
        <w:tc>
          <w:tcPr>
            <w:tcW w:w="837" w:type="pct"/>
            <w:tcBorders>
              <w:tl2br w:val="nil"/>
              <w:tr2bl w:val="nil"/>
            </w:tcBorders>
            <w:vAlign w:val="center"/>
          </w:tcPr>
          <w:p w14:paraId="01A33181"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0.0009</w:t>
            </w:r>
          </w:p>
        </w:tc>
        <w:tc>
          <w:tcPr>
            <w:tcW w:w="837" w:type="pct"/>
            <w:tcBorders>
              <w:tl2br w:val="nil"/>
              <w:tr2bl w:val="nil"/>
            </w:tcBorders>
            <w:vAlign w:val="center"/>
          </w:tcPr>
          <w:p w14:paraId="6CAED723"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0.0008</w:t>
            </w:r>
          </w:p>
        </w:tc>
        <w:tc>
          <w:tcPr>
            <w:tcW w:w="840" w:type="pct"/>
            <w:tcBorders>
              <w:tl2br w:val="nil"/>
              <w:tr2bl w:val="nil"/>
            </w:tcBorders>
            <w:vAlign w:val="center"/>
          </w:tcPr>
          <w:p w14:paraId="0A80392E"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0.0011</w:t>
            </w:r>
          </w:p>
        </w:tc>
        <w:tc>
          <w:tcPr>
            <w:tcW w:w="824" w:type="pct"/>
            <w:tcBorders>
              <w:tl2br w:val="nil"/>
              <w:tr2bl w:val="nil"/>
            </w:tcBorders>
            <w:vAlign w:val="center"/>
          </w:tcPr>
          <w:p w14:paraId="741E4218"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0.40</w:t>
            </w:r>
          </w:p>
        </w:tc>
      </w:tr>
      <w:tr w:rsidR="003E78AB" w14:paraId="0C6155B7" w14:textId="77777777">
        <w:tc>
          <w:tcPr>
            <w:tcW w:w="823" w:type="pct"/>
            <w:tcBorders>
              <w:tl2br w:val="nil"/>
              <w:tr2bl w:val="nil"/>
            </w:tcBorders>
            <w:vAlign w:val="center"/>
          </w:tcPr>
          <w:p w14:paraId="26B65FE5"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NO</w:t>
            </w:r>
            <w:r>
              <w:rPr>
                <w:rFonts w:hint="eastAsia"/>
                <w:b/>
                <w:bCs/>
                <w:color w:val="000000"/>
                <w:kern w:val="2"/>
                <w:sz w:val="21"/>
                <w:szCs w:val="21"/>
                <w:u w:val="single"/>
                <w:vertAlign w:val="subscript"/>
              </w:rPr>
              <w:t>X</w:t>
            </w:r>
          </w:p>
        </w:tc>
        <w:tc>
          <w:tcPr>
            <w:tcW w:w="837" w:type="pct"/>
            <w:tcBorders>
              <w:tl2br w:val="nil"/>
              <w:tr2bl w:val="nil"/>
            </w:tcBorders>
            <w:vAlign w:val="center"/>
          </w:tcPr>
          <w:p w14:paraId="3D899F45"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0.0025</w:t>
            </w:r>
          </w:p>
        </w:tc>
        <w:tc>
          <w:tcPr>
            <w:tcW w:w="837" w:type="pct"/>
            <w:tcBorders>
              <w:tl2br w:val="nil"/>
              <w:tr2bl w:val="nil"/>
            </w:tcBorders>
            <w:vAlign w:val="center"/>
          </w:tcPr>
          <w:p w14:paraId="63AFF40E"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0.0024</w:t>
            </w:r>
          </w:p>
        </w:tc>
        <w:tc>
          <w:tcPr>
            <w:tcW w:w="837" w:type="pct"/>
            <w:tcBorders>
              <w:tl2br w:val="nil"/>
              <w:tr2bl w:val="nil"/>
            </w:tcBorders>
            <w:vAlign w:val="center"/>
          </w:tcPr>
          <w:p w14:paraId="70329CB1" w14:textId="77777777" w:rsidR="003E78AB" w:rsidRDefault="00010BF9">
            <w:pPr>
              <w:spacing w:line="360" w:lineRule="exact"/>
              <w:ind w:firstLineChars="0" w:firstLine="0"/>
              <w:jc w:val="center"/>
              <w:textAlignment w:val="center"/>
              <w:rPr>
                <w:b/>
                <w:bCs/>
                <w:color w:val="000000"/>
                <w:kern w:val="2"/>
                <w:sz w:val="21"/>
                <w:szCs w:val="21"/>
                <w:u w:val="single"/>
              </w:rPr>
            </w:pPr>
            <w:r>
              <w:rPr>
                <w:rFonts w:hint="eastAsia"/>
                <w:b/>
                <w:bCs/>
                <w:color w:val="000000"/>
                <w:kern w:val="2"/>
                <w:sz w:val="21"/>
                <w:szCs w:val="21"/>
                <w:u w:val="single"/>
              </w:rPr>
              <w:t>0.019</w:t>
            </w:r>
          </w:p>
        </w:tc>
        <w:tc>
          <w:tcPr>
            <w:tcW w:w="840" w:type="pct"/>
            <w:tcBorders>
              <w:tl2br w:val="nil"/>
              <w:tr2bl w:val="nil"/>
            </w:tcBorders>
            <w:vAlign w:val="center"/>
          </w:tcPr>
          <w:p w14:paraId="60B229CF"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0.0025</w:t>
            </w:r>
          </w:p>
        </w:tc>
        <w:tc>
          <w:tcPr>
            <w:tcW w:w="824" w:type="pct"/>
            <w:tcBorders>
              <w:tl2br w:val="nil"/>
              <w:tr2bl w:val="nil"/>
            </w:tcBorders>
            <w:vAlign w:val="center"/>
          </w:tcPr>
          <w:p w14:paraId="2DFADF9D"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0.12</w:t>
            </w:r>
          </w:p>
        </w:tc>
      </w:tr>
    </w:tbl>
    <w:p w14:paraId="0D22127E" w14:textId="77777777" w:rsidR="003E78AB" w:rsidRDefault="00010BF9">
      <w:pPr>
        <w:ind w:firstLine="482"/>
        <w:rPr>
          <w:b/>
          <w:bCs/>
          <w:color w:val="000000"/>
          <w:kern w:val="2"/>
          <w:szCs w:val="21"/>
          <w:u w:val="single"/>
        </w:rPr>
      </w:pPr>
      <w:r>
        <w:rPr>
          <w:b/>
          <w:bCs/>
          <w:color w:val="000000"/>
          <w:kern w:val="2"/>
          <w:szCs w:val="21"/>
          <w:u w:val="single"/>
        </w:rPr>
        <w:t>从上表可知，本项目运行后厂界无组织排放监控点颗粒物</w:t>
      </w:r>
      <w:r>
        <w:rPr>
          <w:rFonts w:hint="eastAsia"/>
          <w:b/>
          <w:bCs/>
          <w:color w:val="000000"/>
          <w:kern w:val="2"/>
          <w:szCs w:val="21"/>
          <w:u w:val="single"/>
        </w:rPr>
        <w:t>、二氧化硫、氮氧化物、</w:t>
      </w:r>
      <w:r>
        <w:rPr>
          <w:rFonts w:hint="eastAsia"/>
          <w:b/>
          <w:bCs/>
          <w:color w:val="000000"/>
          <w:kern w:val="2"/>
          <w:szCs w:val="21"/>
          <w:u w:val="single"/>
        </w:rPr>
        <w:t>TVOC</w:t>
      </w:r>
      <w:r>
        <w:rPr>
          <w:rFonts w:hint="eastAsia"/>
          <w:b/>
          <w:bCs/>
          <w:color w:val="000000"/>
          <w:kern w:val="2"/>
          <w:szCs w:val="21"/>
          <w:u w:val="single"/>
        </w:rPr>
        <w:t>、硫酸雾</w:t>
      </w:r>
      <w:r>
        <w:rPr>
          <w:b/>
          <w:bCs/>
          <w:color w:val="000000"/>
          <w:kern w:val="2"/>
          <w:szCs w:val="21"/>
          <w:u w:val="single"/>
        </w:rPr>
        <w:t>可以满足《大气污染物综合排放标准》（</w:t>
      </w:r>
      <w:r>
        <w:rPr>
          <w:b/>
          <w:bCs/>
          <w:color w:val="000000"/>
          <w:kern w:val="2"/>
          <w:szCs w:val="21"/>
          <w:u w:val="single"/>
        </w:rPr>
        <w:t>GB16297-1996</w:t>
      </w:r>
      <w:r>
        <w:rPr>
          <w:b/>
          <w:bCs/>
          <w:color w:val="000000"/>
          <w:kern w:val="2"/>
          <w:szCs w:val="21"/>
          <w:u w:val="single"/>
        </w:rPr>
        <w:t>）表</w:t>
      </w:r>
      <w:r>
        <w:rPr>
          <w:b/>
          <w:bCs/>
          <w:color w:val="000000"/>
          <w:kern w:val="2"/>
          <w:szCs w:val="21"/>
          <w:u w:val="single"/>
        </w:rPr>
        <w:t>2</w:t>
      </w:r>
      <w:r>
        <w:rPr>
          <w:b/>
          <w:bCs/>
          <w:color w:val="000000"/>
          <w:kern w:val="2"/>
          <w:szCs w:val="21"/>
          <w:u w:val="single"/>
        </w:rPr>
        <w:t>限值要求。</w:t>
      </w:r>
    </w:p>
    <w:p w14:paraId="6F2C2A69" w14:textId="77777777" w:rsidR="003E78AB" w:rsidRDefault="00010BF9">
      <w:pPr>
        <w:pStyle w:val="4"/>
        <w:keepNext w:val="0"/>
        <w:keepLines w:val="0"/>
        <w:adjustRightInd/>
        <w:snapToGrid/>
        <w:spacing w:beforeLines="0" w:line="520" w:lineRule="exact"/>
        <w:ind w:firstLineChars="0" w:firstLine="0"/>
        <w:rPr>
          <w:rFonts w:ascii="Times New Roman" w:hAnsi="Times New Roman"/>
          <w:u w:val="single"/>
        </w:rPr>
      </w:pPr>
      <w:r>
        <w:rPr>
          <w:rFonts w:ascii="Times New Roman" w:hAnsi="Times New Roman"/>
          <w:u w:val="single"/>
        </w:rPr>
        <w:t>5.2.</w:t>
      </w:r>
      <w:r>
        <w:rPr>
          <w:rFonts w:ascii="Times New Roman" w:hAnsi="Times New Roman" w:hint="eastAsia"/>
          <w:u w:val="single"/>
        </w:rPr>
        <w:t>1.</w:t>
      </w:r>
      <w:r>
        <w:rPr>
          <w:rFonts w:ascii="Times New Roman" w:hAnsi="Times New Roman"/>
          <w:u w:val="single"/>
        </w:rPr>
        <w:t>3</w:t>
      </w:r>
      <w:r>
        <w:rPr>
          <w:rFonts w:ascii="Times New Roman" w:hAnsi="Times New Roman"/>
          <w:u w:val="single"/>
        </w:rPr>
        <w:t>大气环境防护距离</w:t>
      </w:r>
    </w:p>
    <w:p w14:paraId="0C63F8A8" w14:textId="77777777" w:rsidR="003E78AB" w:rsidRDefault="00010BF9">
      <w:pPr>
        <w:pStyle w:val="afff3"/>
        <w:snapToGrid/>
        <w:ind w:firstLine="482"/>
        <w:rPr>
          <w:rFonts w:ascii="Times New Roman" w:hAnsi="Times New Roman"/>
          <w:b/>
          <w:bCs/>
          <w:color w:val="000000"/>
          <w:sz w:val="24"/>
          <w:szCs w:val="24"/>
          <w:u w:val="single"/>
        </w:rPr>
      </w:pPr>
      <w:r>
        <w:rPr>
          <w:rFonts w:ascii="Times New Roman" w:hAnsi="Times New Roman"/>
          <w:b/>
          <w:bCs/>
          <w:color w:val="000000"/>
          <w:sz w:val="24"/>
          <w:szCs w:val="24"/>
          <w:u w:val="single"/>
        </w:rPr>
        <w:t>根据《环境影响评价技术导则</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大气环境》（</w:t>
      </w:r>
      <w:r>
        <w:rPr>
          <w:rFonts w:ascii="Times New Roman" w:hAnsi="Times New Roman"/>
          <w:b/>
          <w:bCs/>
          <w:color w:val="000000"/>
          <w:sz w:val="24"/>
          <w:szCs w:val="24"/>
          <w:u w:val="single"/>
        </w:rPr>
        <w:t>HJ 2.2-2018</w:t>
      </w:r>
      <w:r>
        <w:rPr>
          <w:rFonts w:ascii="Times New Roman" w:hAnsi="Times New Roman"/>
          <w:b/>
          <w:bCs/>
          <w:color w:val="000000"/>
          <w:sz w:val="24"/>
          <w:szCs w:val="24"/>
          <w:u w:val="single"/>
        </w:rPr>
        <w:t>），采用进一步预测模型模拟评价基准年内，本项目所有污染物对厂界外网格点的短期贡献浓度。厂界外预测网格分辨率不应超过</w:t>
      </w:r>
      <w:r>
        <w:rPr>
          <w:rFonts w:ascii="Times New Roman" w:hAnsi="Times New Roman"/>
          <w:b/>
          <w:bCs/>
          <w:color w:val="000000"/>
          <w:sz w:val="24"/>
          <w:szCs w:val="24"/>
          <w:u w:val="single"/>
        </w:rPr>
        <w:t>50m</w:t>
      </w:r>
      <w:r>
        <w:rPr>
          <w:rFonts w:ascii="Times New Roman" w:hAnsi="Times New Roman"/>
          <w:b/>
          <w:bCs/>
          <w:color w:val="000000"/>
          <w:sz w:val="24"/>
          <w:szCs w:val="24"/>
          <w:u w:val="single"/>
        </w:rPr>
        <w:t>。</w:t>
      </w:r>
    </w:p>
    <w:p w14:paraId="7246F7E8" w14:textId="77777777" w:rsidR="003E78AB" w:rsidRDefault="00010BF9">
      <w:pPr>
        <w:pStyle w:val="afff3"/>
        <w:snapToGrid/>
        <w:ind w:firstLine="482"/>
        <w:rPr>
          <w:rFonts w:ascii="Times New Roman" w:hAnsi="Times New Roman"/>
          <w:b/>
          <w:bCs/>
          <w:color w:val="000000"/>
          <w:sz w:val="24"/>
          <w:szCs w:val="24"/>
          <w:u w:val="single"/>
        </w:rPr>
      </w:pPr>
      <w:r>
        <w:rPr>
          <w:rFonts w:ascii="Times New Roman" w:hAnsi="Times New Roman"/>
          <w:b/>
          <w:bCs/>
          <w:color w:val="000000"/>
          <w:sz w:val="24"/>
          <w:szCs w:val="24"/>
          <w:u w:val="single"/>
        </w:rPr>
        <w:t>本评价采用</w:t>
      </w:r>
      <w:r>
        <w:rPr>
          <w:rFonts w:ascii="Times New Roman" w:hAnsi="Times New Roman"/>
          <w:b/>
          <w:bCs/>
          <w:color w:val="000000"/>
          <w:sz w:val="24"/>
          <w:szCs w:val="24"/>
          <w:u w:val="single"/>
        </w:rPr>
        <w:t>AERMOD</w:t>
      </w:r>
      <w:r>
        <w:rPr>
          <w:rFonts w:ascii="Times New Roman" w:hAnsi="Times New Roman"/>
          <w:b/>
          <w:bCs/>
          <w:color w:val="000000"/>
          <w:sz w:val="24"/>
          <w:szCs w:val="24"/>
          <w:u w:val="single"/>
        </w:rPr>
        <w:t>模型预测进一步预测时，预测网格分辨率为</w:t>
      </w:r>
      <w:r>
        <w:rPr>
          <w:rFonts w:ascii="Times New Roman" w:hAnsi="Times New Roman"/>
          <w:b/>
          <w:bCs/>
          <w:color w:val="000000"/>
          <w:sz w:val="24"/>
          <w:szCs w:val="24"/>
          <w:u w:val="single"/>
        </w:rPr>
        <w:t>10m×10m</w:t>
      </w:r>
      <w:r>
        <w:rPr>
          <w:rFonts w:ascii="Times New Roman" w:hAnsi="Times New Roman"/>
          <w:b/>
          <w:bCs/>
          <w:color w:val="000000"/>
          <w:sz w:val="24"/>
          <w:szCs w:val="24"/>
          <w:u w:val="single"/>
        </w:rPr>
        <w:t>，满足</w:t>
      </w:r>
      <w:r>
        <w:rPr>
          <w:rFonts w:ascii="Times New Roman" w:hAnsi="Times New Roman"/>
          <w:b/>
          <w:bCs/>
          <w:color w:val="000000"/>
          <w:sz w:val="24"/>
          <w:szCs w:val="24"/>
          <w:u w:val="single"/>
        </w:rPr>
        <w:t>HJ2.2-2018</w:t>
      </w:r>
      <w:r>
        <w:rPr>
          <w:rFonts w:ascii="Times New Roman" w:hAnsi="Times New Roman"/>
          <w:b/>
          <w:bCs/>
          <w:color w:val="000000"/>
          <w:sz w:val="24"/>
          <w:szCs w:val="24"/>
          <w:u w:val="single"/>
        </w:rPr>
        <w:t>中对于大气防护距离设置预测要求。</w:t>
      </w:r>
    </w:p>
    <w:p w14:paraId="27A165EF" w14:textId="77777777" w:rsidR="003E78AB" w:rsidRDefault="00010BF9">
      <w:pPr>
        <w:pStyle w:val="a4"/>
        <w:spacing w:before="120"/>
        <w:ind w:left="425" w:hanging="425"/>
        <w:rPr>
          <w:bCs/>
        </w:rPr>
      </w:pPr>
      <w:r>
        <w:rPr>
          <w:rFonts w:hint="eastAsia"/>
          <w:bCs/>
        </w:rPr>
        <w:t>大气环境防护距离计算结果</w:t>
      </w:r>
    </w:p>
    <w:tbl>
      <w:tblPr>
        <w:tblW w:w="4997"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927"/>
        <w:gridCol w:w="1410"/>
        <w:gridCol w:w="1904"/>
        <w:gridCol w:w="1084"/>
        <w:gridCol w:w="1399"/>
        <w:gridCol w:w="1787"/>
      </w:tblGrid>
      <w:tr w:rsidR="003E78AB" w14:paraId="12139EB8" w14:textId="77777777">
        <w:trPr>
          <w:trHeight w:val="340"/>
          <w:tblHeader/>
          <w:jc w:val="center"/>
        </w:trPr>
        <w:tc>
          <w:tcPr>
            <w:tcW w:w="544" w:type="pct"/>
            <w:tcBorders>
              <w:tl2br w:val="nil"/>
              <w:tr2bl w:val="nil"/>
            </w:tcBorders>
            <w:vAlign w:val="center"/>
          </w:tcPr>
          <w:p w14:paraId="75D055F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污染物种类</w:t>
            </w:r>
          </w:p>
        </w:tc>
        <w:tc>
          <w:tcPr>
            <w:tcW w:w="828" w:type="pct"/>
            <w:tcBorders>
              <w:tl2br w:val="nil"/>
              <w:tr2bl w:val="nil"/>
            </w:tcBorders>
            <w:vAlign w:val="center"/>
          </w:tcPr>
          <w:p w14:paraId="547EE44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平均时间</w:t>
            </w:r>
          </w:p>
        </w:tc>
        <w:tc>
          <w:tcPr>
            <w:tcW w:w="1117" w:type="pct"/>
            <w:tcBorders>
              <w:tl2br w:val="nil"/>
              <w:tr2bl w:val="nil"/>
            </w:tcBorders>
            <w:vAlign w:val="center"/>
          </w:tcPr>
          <w:p w14:paraId="230797D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厂界外最大短期浓度值</w:t>
            </w:r>
          </w:p>
        </w:tc>
        <w:tc>
          <w:tcPr>
            <w:tcW w:w="637" w:type="pct"/>
            <w:tcBorders>
              <w:tl2br w:val="nil"/>
              <w:tr2bl w:val="nil"/>
            </w:tcBorders>
            <w:vAlign w:val="center"/>
          </w:tcPr>
          <w:p w14:paraId="7557C640"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标准限值</w:t>
            </w:r>
          </w:p>
        </w:tc>
        <w:tc>
          <w:tcPr>
            <w:tcW w:w="822" w:type="pct"/>
            <w:tcBorders>
              <w:tl2br w:val="nil"/>
              <w:tr2bl w:val="nil"/>
            </w:tcBorders>
            <w:vAlign w:val="center"/>
          </w:tcPr>
          <w:p w14:paraId="435D6E3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厂界外是否超标</w:t>
            </w:r>
          </w:p>
        </w:tc>
        <w:tc>
          <w:tcPr>
            <w:tcW w:w="1049" w:type="pct"/>
            <w:tcBorders>
              <w:tl2br w:val="nil"/>
              <w:tr2bl w:val="nil"/>
            </w:tcBorders>
            <w:vAlign w:val="center"/>
          </w:tcPr>
          <w:p w14:paraId="725A6CFA"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最远超标网格距离厂界距离</w:t>
            </w:r>
            <w:r>
              <w:rPr>
                <w:b/>
                <w:bCs/>
                <w:color w:val="000000"/>
                <w:kern w:val="2"/>
                <w:sz w:val="21"/>
                <w:szCs w:val="21"/>
                <w:u w:val="single"/>
              </w:rPr>
              <w:t>/m</w:t>
            </w:r>
          </w:p>
        </w:tc>
      </w:tr>
      <w:tr w:rsidR="003E78AB" w14:paraId="6D34A8BC" w14:textId="77777777">
        <w:trPr>
          <w:trHeight w:val="340"/>
          <w:jc w:val="center"/>
        </w:trPr>
        <w:tc>
          <w:tcPr>
            <w:tcW w:w="544" w:type="pct"/>
            <w:vMerge w:val="restart"/>
            <w:tcBorders>
              <w:tl2br w:val="nil"/>
              <w:tr2bl w:val="nil"/>
            </w:tcBorders>
            <w:vAlign w:val="center"/>
          </w:tcPr>
          <w:p w14:paraId="15BCC1E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NO</w:t>
            </w:r>
            <w:r>
              <w:rPr>
                <w:b/>
                <w:bCs/>
                <w:color w:val="000000"/>
                <w:kern w:val="2"/>
                <w:sz w:val="21"/>
                <w:szCs w:val="21"/>
                <w:u w:val="single"/>
                <w:vertAlign w:val="subscript"/>
              </w:rPr>
              <w:t>2</w:t>
            </w:r>
          </w:p>
        </w:tc>
        <w:tc>
          <w:tcPr>
            <w:tcW w:w="828" w:type="pct"/>
            <w:tcBorders>
              <w:tl2br w:val="nil"/>
              <w:tr2bl w:val="nil"/>
            </w:tcBorders>
            <w:vAlign w:val="center"/>
          </w:tcPr>
          <w:p w14:paraId="0567723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1</w:t>
            </w:r>
            <w:r>
              <w:rPr>
                <w:b/>
                <w:bCs/>
                <w:color w:val="000000"/>
                <w:kern w:val="2"/>
                <w:sz w:val="21"/>
                <w:szCs w:val="21"/>
                <w:u w:val="single"/>
              </w:rPr>
              <w:t>小时平均</w:t>
            </w:r>
          </w:p>
        </w:tc>
        <w:tc>
          <w:tcPr>
            <w:tcW w:w="1117" w:type="pct"/>
            <w:tcBorders>
              <w:tl2br w:val="nil"/>
              <w:tr2bl w:val="nil"/>
            </w:tcBorders>
            <w:vAlign w:val="center"/>
          </w:tcPr>
          <w:p w14:paraId="6C9583C4"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2.49</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3EECE399"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200μg/m</w:t>
            </w:r>
            <w:r>
              <w:rPr>
                <w:b/>
                <w:bCs/>
                <w:color w:val="000000"/>
                <w:sz w:val="21"/>
                <w:szCs w:val="21"/>
                <w:u w:val="single"/>
                <w:vertAlign w:val="superscript"/>
              </w:rPr>
              <w:t>3</w:t>
            </w:r>
          </w:p>
        </w:tc>
        <w:tc>
          <w:tcPr>
            <w:tcW w:w="822" w:type="pct"/>
            <w:vMerge w:val="restart"/>
            <w:tcBorders>
              <w:tl2br w:val="nil"/>
              <w:tr2bl w:val="nil"/>
            </w:tcBorders>
            <w:vAlign w:val="center"/>
          </w:tcPr>
          <w:p w14:paraId="20E445E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否</w:t>
            </w:r>
          </w:p>
        </w:tc>
        <w:tc>
          <w:tcPr>
            <w:tcW w:w="1049" w:type="pct"/>
            <w:vMerge w:val="restart"/>
            <w:tcBorders>
              <w:tl2br w:val="nil"/>
              <w:tr2bl w:val="nil"/>
            </w:tcBorders>
            <w:vAlign w:val="center"/>
          </w:tcPr>
          <w:p w14:paraId="705AF9F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0</w:t>
            </w:r>
          </w:p>
        </w:tc>
      </w:tr>
      <w:tr w:rsidR="003E78AB" w14:paraId="01E23BE8" w14:textId="77777777">
        <w:trPr>
          <w:trHeight w:val="340"/>
          <w:jc w:val="center"/>
        </w:trPr>
        <w:tc>
          <w:tcPr>
            <w:tcW w:w="544" w:type="pct"/>
            <w:vMerge/>
            <w:tcBorders>
              <w:tl2br w:val="nil"/>
              <w:tr2bl w:val="nil"/>
            </w:tcBorders>
            <w:vAlign w:val="center"/>
          </w:tcPr>
          <w:p w14:paraId="183A2810" w14:textId="77777777" w:rsidR="003E78AB" w:rsidRDefault="003E78AB">
            <w:pPr>
              <w:spacing w:line="360" w:lineRule="exact"/>
              <w:ind w:firstLineChars="0" w:firstLine="0"/>
              <w:jc w:val="center"/>
              <w:rPr>
                <w:b/>
                <w:bCs/>
                <w:color w:val="000000"/>
                <w:kern w:val="2"/>
                <w:sz w:val="21"/>
                <w:szCs w:val="21"/>
                <w:u w:val="single"/>
              </w:rPr>
            </w:pPr>
          </w:p>
        </w:tc>
        <w:tc>
          <w:tcPr>
            <w:tcW w:w="828" w:type="pct"/>
            <w:tcBorders>
              <w:tl2br w:val="nil"/>
              <w:tr2bl w:val="nil"/>
            </w:tcBorders>
            <w:vAlign w:val="center"/>
          </w:tcPr>
          <w:p w14:paraId="0A1FB9B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日均</w:t>
            </w:r>
          </w:p>
        </w:tc>
        <w:tc>
          <w:tcPr>
            <w:tcW w:w="1117" w:type="pct"/>
            <w:tcBorders>
              <w:tl2br w:val="nil"/>
              <w:tr2bl w:val="nil"/>
            </w:tcBorders>
            <w:vAlign w:val="center"/>
          </w:tcPr>
          <w:p w14:paraId="7E247B64"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sz w:val="21"/>
                <w:szCs w:val="21"/>
                <w:u w:val="single"/>
              </w:rPr>
              <w:t>0.612</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589EAA55"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80μg/m</w:t>
            </w:r>
            <w:r>
              <w:rPr>
                <w:b/>
                <w:bCs/>
                <w:color w:val="000000"/>
                <w:sz w:val="21"/>
                <w:szCs w:val="21"/>
                <w:u w:val="single"/>
                <w:vertAlign w:val="superscript"/>
              </w:rPr>
              <w:t>3</w:t>
            </w:r>
          </w:p>
        </w:tc>
        <w:tc>
          <w:tcPr>
            <w:tcW w:w="822" w:type="pct"/>
            <w:vMerge/>
            <w:tcBorders>
              <w:tl2br w:val="nil"/>
              <w:tr2bl w:val="nil"/>
            </w:tcBorders>
            <w:vAlign w:val="center"/>
          </w:tcPr>
          <w:p w14:paraId="59F95439" w14:textId="77777777" w:rsidR="003E78AB" w:rsidRDefault="003E78AB">
            <w:pPr>
              <w:spacing w:line="360" w:lineRule="exact"/>
              <w:ind w:firstLineChars="0" w:firstLine="0"/>
              <w:jc w:val="center"/>
              <w:rPr>
                <w:b/>
                <w:bCs/>
                <w:color w:val="000000"/>
                <w:kern w:val="2"/>
                <w:sz w:val="21"/>
                <w:szCs w:val="21"/>
                <w:u w:val="single"/>
              </w:rPr>
            </w:pPr>
          </w:p>
        </w:tc>
        <w:tc>
          <w:tcPr>
            <w:tcW w:w="1049" w:type="pct"/>
            <w:vMerge/>
            <w:tcBorders>
              <w:tl2br w:val="nil"/>
              <w:tr2bl w:val="nil"/>
            </w:tcBorders>
            <w:vAlign w:val="center"/>
          </w:tcPr>
          <w:p w14:paraId="4D20E446" w14:textId="77777777" w:rsidR="003E78AB" w:rsidRDefault="003E78AB">
            <w:pPr>
              <w:spacing w:line="360" w:lineRule="exact"/>
              <w:ind w:firstLineChars="0" w:firstLine="0"/>
              <w:jc w:val="center"/>
              <w:rPr>
                <w:b/>
                <w:bCs/>
                <w:color w:val="000000"/>
                <w:kern w:val="2"/>
                <w:sz w:val="21"/>
                <w:szCs w:val="21"/>
                <w:u w:val="single"/>
              </w:rPr>
            </w:pPr>
          </w:p>
        </w:tc>
      </w:tr>
      <w:tr w:rsidR="003E78AB" w14:paraId="06D52027" w14:textId="77777777">
        <w:trPr>
          <w:trHeight w:val="340"/>
          <w:jc w:val="center"/>
        </w:trPr>
        <w:tc>
          <w:tcPr>
            <w:tcW w:w="544" w:type="pct"/>
            <w:vMerge w:val="restart"/>
            <w:tcBorders>
              <w:tl2br w:val="nil"/>
              <w:tr2bl w:val="nil"/>
            </w:tcBorders>
            <w:vAlign w:val="center"/>
          </w:tcPr>
          <w:p w14:paraId="5F20EB0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SO</w:t>
            </w:r>
            <w:r>
              <w:rPr>
                <w:b/>
                <w:bCs/>
                <w:color w:val="000000"/>
                <w:kern w:val="2"/>
                <w:sz w:val="21"/>
                <w:szCs w:val="21"/>
                <w:u w:val="single"/>
                <w:vertAlign w:val="subscript"/>
              </w:rPr>
              <w:t>2</w:t>
            </w:r>
          </w:p>
        </w:tc>
        <w:tc>
          <w:tcPr>
            <w:tcW w:w="828" w:type="pct"/>
            <w:tcBorders>
              <w:tl2br w:val="nil"/>
              <w:tr2bl w:val="nil"/>
            </w:tcBorders>
            <w:vAlign w:val="center"/>
          </w:tcPr>
          <w:p w14:paraId="0CE54AC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1</w:t>
            </w:r>
            <w:r>
              <w:rPr>
                <w:b/>
                <w:bCs/>
                <w:color w:val="000000"/>
                <w:kern w:val="2"/>
                <w:sz w:val="21"/>
                <w:szCs w:val="21"/>
                <w:u w:val="single"/>
              </w:rPr>
              <w:t>小时平均</w:t>
            </w:r>
          </w:p>
        </w:tc>
        <w:tc>
          <w:tcPr>
            <w:tcW w:w="1117" w:type="pct"/>
            <w:tcBorders>
              <w:tl2br w:val="nil"/>
              <w:tr2bl w:val="nil"/>
            </w:tcBorders>
            <w:vAlign w:val="center"/>
          </w:tcPr>
          <w:p w14:paraId="53729FF7"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1.56</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6F6FA13E"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500μg/m</w:t>
            </w:r>
            <w:r>
              <w:rPr>
                <w:b/>
                <w:bCs/>
                <w:color w:val="000000"/>
                <w:sz w:val="21"/>
                <w:szCs w:val="21"/>
                <w:u w:val="single"/>
                <w:vertAlign w:val="superscript"/>
              </w:rPr>
              <w:t>3</w:t>
            </w:r>
          </w:p>
        </w:tc>
        <w:tc>
          <w:tcPr>
            <w:tcW w:w="822" w:type="pct"/>
            <w:vMerge w:val="restart"/>
            <w:tcBorders>
              <w:tl2br w:val="nil"/>
              <w:tr2bl w:val="nil"/>
            </w:tcBorders>
            <w:vAlign w:val="center"/>
          </w:tcPr>
          <w:p w14:paraId="2889B18C"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否</w:t>
            </w:r>
          </w:p>
        </w:tc>
        <w:tc>
          <w:tcPr>
            <w:tcW w:w="1049" w:type="pct"/>
            <w:vMerge w:val="restart"/>
            <w:tcBorders>
              <w:tl2br w:val="nil"/>
              <w:tr2bl w:val="nil"/>
            </w:tcBorders>
            <w:vAlign w:val="center"/>
          </w:tcPr>
          <w:p w14:paraId="456D229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0</w:t>
            </w:r>
          </w:p>
        </w:tc>
      </w:tr>
      <w:tr w:rsidR="003E78AB" w14:paraId="34B1C393" w14:textId="77777777">
        <w:trPr>
          <w:trHeight w:val="340"/>
          <w:jc w:val="center"/>
        </w:trPr>
        <w:tc>
          <w:tcPr>
            <w:tcW w:w="544" w:type="pct"/>
            <w:vMerge/>
            <w:tcBorders>
              <w:tl2br w:val="nil"/>
              <w:tr2bl w:val="nil"/>
            </w:tcBorders>
            <w:vAlign w:val="center"/>
          </w:tcPr>
          <w:p w14:paraId="393F201B" w14:textId="77777777" w:rsidR="003E78AB" w:rsidRDefault="003E78AB">
            <w:pPr>
              <w:spacing w:line="360" w:lineRule="exact"/>
              <w:ind w:firstLineChars="0" w:firstLine="0"/>
              <w:jc w:val="center"/>
              <w:rPr>
                <w:b/>
                <w:bCs/>
                <w:color w:val="000000"/>
                <w:kern w:val="2"/>
                <w:sz w:val="21"/>
                <w:szCs w:val="21"/>
                <w:u w:val="single"/>
              </w:rPr>
            </w:pPr>
          </w:p>
        </w:tc>
        <w:tc>
          <w:tcPr>
            <w:tcW w:w="828" w:type="pct"/>
            <w:tcBorders>
              <w:tl2br w:val="nil"/>
              <w:tr2bl w:val="nil"/>
            </w:tcBorders>
            <w:vAlign w:val="center"/>
          </w:tcPr>
          <w:p w14:paraId="45BF7E88"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日均</w:t>
            </w:r>
          </w:p>
        </w:tc>
        <w:tc>
          <w:tcPr>
            <w:tcW w:w="1117" w:type="pct"/>
            <w:tcBorders>
              <w:tl2br w:val="nil"/>
              <w:tr2bl w:val="nil"/>
            </w:tcBorders>
            <w:vAlign w:val="center"/>
          </w:tcPr>
          <w:p w14:paraId="5E65EF43"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0.</w:t>
            </w:r>
            <w:r>
              <w:rPr>
                <w:rFonts w:hint="eastAsia"/>
                <w:b/>
                <w:bCs/>
                <w:color w:val="000000"/>
                <w:sz w:val="21"/>
                <w:szCs w:val="21"/>
                <w:u w:val="single"/>
              </w:rPr>
              <w:t>242</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0798BE9A" w14:textId="77777777" w:rsidR="003E78AB" w:rsidRDefault="00010BF9">
            <w:pPr>
              <w:spacing w:line="360" w:lineRule="exact"/>
              <w:ind w:firstLineChars="0" w:firstLine="0"/>
              <w:jc w:val="center"/>
              <w:rPr>
                <w:b/>
                <w:bCs/>
                <w:color w:val="000000"/>
                <w:sz w:val="21"/>
                <w:szCs w:val="21"/>
                <w:u w:val="single"/>
              </w:rPr>
            </w:pPr>
            <w:r>
              <w:rPr>
                <w:b/>
                <w:bCs/>
                <w:color w:val="000000"/>
                <w:sz w:val="21"/>
                <w:szCs w:val="21"/>
                <w:u w:val="single"/>
              </w:rPr>
              <w:t>150μg/m</w:t>
            </w:r>
            <w:r>
              <w:rPr>
                <w:b/>
                <w:bCs/>
                <w:color w:val="000000"/>
                <w:sz w:val="21"/>
                <w:szCs w:val="21"/>
                <w:u w:val="single"/>
                <w:vertAlign w:val="superscript"/>
              </w:rPr>
              <w:t>3</w:t>
            </w:r>
          </w:p>
        </w:tc>
        <w:tc>
          <w:tcPr>
            <w:tcW w:w="822" w:type="pct"/>
            <w:vMerge/>
            <w:tcBorders>
              <w:tl2br w:val="nil"/>
              <w:tr2bl w:val="nil"/>
            </w:tcBorders>
            <w:vAlign w:val="center"/>
          </w:tcPr>
          <w:p w14:paraId="09D4C495" w14:textId="77777777" w:rsidR="003E78AB" w:rsidRDefault="003E78AB">
            <w:pPr>
              <w:spacing w:line="360" w:lineRule="exact"/>
              <w:ind w:firstLineChars="0" w:firstLine="0"/>
              <w:jc w:val="center"/>
              <w:rPr>
                <w:b/>
                <w:bCs/>
                <w:color w:val="000000"/>
                <w:kern w:val="2"/>
                <w:sz w:val="21"/>
                <w:szCs w:val="21"/>
                <w:u w:val="single"/>
              </w:rPr>
            </w:pPr>
          </w:p>
        </w:tc>
        <w:tc>
          <w:tcPr>
            <w:tcW w:w="1049" w:type="pct"/>
            <w:vMerge/>
            <w:tcBorders>
              <w:tl2br w:val="nil"/>
              <w:tr2bl w:val="nil"/>
            </w:tcBorders>
            <w:vAlign w:val="center"/>
          </w:tcPr>
          <w:p w14:paraId="4286492B" w14:textId="77777777" w:rsidR="003E78AB" w:rsidRDefault="003E78AB">
            <w:pPr>
              <w:spacing w:line="360" w:lineRule="exact"/>
              <w:ind w:firstLineChars="0" w:firstLine="0"/>
              <w:jc w:val="center"/>
              <w:rPr>
                <w:b/>
                <w:bCs/>
                <w:color w:val="000000"/>
                <w:kern w:val="2"/>
                <w:sz w:val="21"/>
                <w:szCs w:val="21"/>
                <w:u w:val="single"/>
              </w:rPr>
            </w:pPr>
          </w:p>
        </w:tc>
      </w:tr>
      <w:tr w:rsidR="003E78AB" w14:paraId="3E528250" w14:textId="77777777">
        <w:trPr>
          <w:trHeight w:val="340"/>
          <w:jc w:val="center"/>
        </w:trPr>
        <w:tc>
          <w:tcPr>
            <w:tcW w:w="544" w:type="pct"/>
            <w:tcBorders>
              <w:tl2br w:val="nil"/>
              <w:tr2bl w:val="nil"/>
            </w:tcBorders>
            <w:vAlign w:val="center"/>
          </w:tcPr>
          <w:p w14:paraId="22A8A6C9"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PM</w:t>
            </w:r>
            <w:r>
              <w:rPr>
                <w:b/>
                <w:bCs/>
                <w:color w:val="000000"/>
                <w:kern w:val="2"/>
                <w:sz w:val="21"/>
                <w:szCs w:val="21"/>
                <w:u w:val="single"/>
                <w:vertAlign w:val="subscript"/>
              </w:rPr>
              <w:t>10</w:t>
            </w:r>
          </w:p>
        </w:tc>
        <w:tc>
          <w:tcPr>
            <w:tcW w:w="828" w:type="pct"/>
            <w:tcBorders>
              <w:tl2br w:val="nil"/>
              <w:tr2bl w:val="nil"/>
            </w:tcBorders>
            <w:vAlign w:val="center"/>
          </w:tcPr>
          <w:p w14:paraId="3B133254"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日均</w:t>
            </w:r>
          </w:p>
        </w:tc>
        <w:tc>
          <w:tcPr>
            <w:tcW w:w="1117" w:type="pct"/>
            <w:tcBorders>
              <w:tl2br w:val="nil"/>
              <w:tr2bl w:val="nil"/>
            </w:tcBorders>
            <w:vAlign w:val="center"/>
          </w:tcPr>
          <w:p w14:paraId="6A7E9B07"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sz w:val="21"/>
                <w:szCs w:val="21"/>
                <w:u w:val="single"/>
              </w:rPr>
              <w:t>0.108</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160E4592" w14:textId="77777777" w:rsidR="003E78AB" w:rsidRDefault="00010BF9">
            <w:pPr>
              <w:spacing w:line="360" w:lineRule="exact"/>
              <w:ind w:firstLineChars="0" w:firstLine="0"/>
              <w:jc w:val="center"/>
              <w:rPr>
                <w:b/>
                <w:bCs/>
                <w:color w:val="000000"/>
                <w:kern w:val="2"/>
                <w:sz w:val="21"/>
                <w:szCs w:val="21"/>
                <w:u w:val="single"/>
              </w:rPr>
            </w:pPr>
            <w:r>
              <w:rPr>
                <w:b/>
                <w:bCs/>
                <w:color w:val="000000"/>
                <w:sz w:val="21"/>
                <w:szCs w:val="21"/>
                <w:u w:val="single"/>
              </w:rPr>
              <w:t>150μg/m</w:t>
            </w:r>
            <w:r>
              <w:rPr>
                <w:b/>
                <w:bCs/>
                <w:color w:val="000000"/>
                <w:sz w:val="21"/>
                <w:szCs w:val="21"/>
                <w:u w:val="single"/>
                <w:vertAlign w:val="superscript"/>
              </w:rPr>
              <w:t>3</w:t>
            </w:r>
          </w:p>
        </w:tc>
        <w:tc>
          <w:tcPr>
            <w:tcW w:w="822" w:type="pct"/>
            <w:tcBorders>
              <w:tl2br w:val="nil"/>
              <w:tr2bl w:val="nil"/>
            </w:tcBorders>
            <w:vAlign w:val="center"/>
          </w:tcPr>
          <w:p w14:paraId="3C8FA657"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否</w:t>
            </w:r>
          </w:p>
        </w:tc>
        <w:tc>
          <w:tcPr>
            <w:tcW w:w="1049" w:type="pct"/>
            <w:tcBorders>
              <w:tl2br w:val="nil"/>
              <w:tr2bl w:val="nil"/>
            </w:tcBorders>
            <w:vAlign w:val="center"/>
          </w:tcPr>
          <w:p w14:paraId="6DED2933"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0</w:t>
            </w:r>
          </w:p>
        </w:tc>
      </w:tr>
      <w:tr w:rsidR="003E78AB" w14:paraId="49344E4D" w14:textId="77777777">
        <w:trPr>
          <w:trHeight w:val="340"/>
          <w:jc w:val="center"/>
        </w:trPr>
        <w:tc>
          <w:tcPr>
            <w:tcW w:w="544" w:type="pct"/>
            <w:tcBorders>
              <w:tl2br w:val="nil"/>
              <w:tr2bl w:val="nil"/>
            </w:tcBorders>
            <w:vAlign w:val="center"/>
          </w:tcPr>
          <w:p w14:paraId="7E5E0968"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TVOC</w:t>
            </w:r>
          </w:p>
        </w:tc>
        <w:tc>
          <w:tcPr>
            <w:tcW w:w="828" w:type="pct"/>
            <w:tcBorders>
              <w:tl2br w:val="nil"/>
              <w:tr2bl w:val="nil"/>
            </w:tcBorders>
            <w:vAlign w:val="center"/>
          </w:tcPr>
          <w:p w14:paraId="789BCC85"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8</w:t>
            </w:r>
            <w:r>
              <w:rPr>
                <w:b/>
                <w:bCs/>
                <w:color w:val="000000"/>
                <w:kern w:val="2"/>
                <w:sz w:val="21"/>
                <w:szCs w:val="21"/>
                <w:u w:val="single"/>
              </w:rPr>
              <w:t>小时平均</w:t>
            </w:r>
          </w:p>
        </w:tc>
        <w:tc>
          <w:tcPr>
            <w:tcW w:w="1117" w:type="pct"/>
            <w:tcBorders>
              <w:tl2br w:val="nil"/>
              <w:tr2bl w:val="nil"/>
            </w:tcBorders>
            <w:vAlign w:val="center"/>
          </w:tcPr>
          <w:p w14:paraId="0C020055"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31.6</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43D373A7"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600</w:t>
            </w:r>
            <w:r>
              <w:rPr>
                <w:b/>
                <w:bCs/>
                <w:color w:val="000000"/>
                <w:sz w:val="21"/>
                <w:szCs w:val="21"/>
                <w:u w:val="single"/>
              </w:rPr>
              <w:t>μg/m</w:t>
            </w:r>
            <w:r>
              <w:rPr>
                <w:b/>
                <w:bCs/>
                <w:color w:val="000000"/>
                <w:sz w:val="21"/>
                <w:szCs w:val="21"/>
                <w:u w:val="single"/>
                <w:vertAlign w:val="superscript"/>
              </w:rPr>
              <w:t>3</w:t>
            </w:r>
          </w:p>
        </w:tc>
        <w:tc>
          <w:tcPr>
            <w:tcW w:w="822" w:type="pct"/>
            <w:tcBorders>
              <w:tl2br w:val="nil"/>
              <w:tr2bl w:val="nil"/>
            </w:tcBorders>
            <w:vAlign w:val="center"/>
          </w:tcPr>
          <w:p w14:paraId="22089F0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否</w:t>
            </w:r>
          </w:p>
        </w:tc>
        <w:tc>
          <w:tcPr>
            <w:tcW w:w="1049" w:type="pct"/>
            <w:tcBorders>
              <w:tl2br w:val="nil"/>
              <w:tr2bl w:val="nil"/>
            </w:tcBorders>
            <w:vAlign w:val="center"/>
          </w:tcPr>
          <w:p w14:paraId="3FCA2683"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w:t>
            </w:r>
          </w:p>
        </w:tc>
      </w:tr>
      <w:tr w:rsidR="003E78AB" w14:paraId="6F1FBC2B" w14:textId="77777777">
        <w:trPr>
          <w:trHeight w:val="340"/>
          <w:jc w:val="center"/>
        </w:trPr>
        <w:tc>
          <w:tcPr>
            <w:tcW w:w="544" w:type="pct"/>
            <w:vMerge w:val="restart"/>
            <w:tcBorders>
              <w:tl2br w:val="nil"/>
              <w:tr2bl w:val="nil"/>
            </w:tcBorders>
            <w:vAlign w:val="center"/>
          </w:tcPr>
          <w:p w14:paraId="76ACAA39"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硫酸雾</w:t>
            </w:r>
          </w:p>
        </w:tc>
        <w:tc>
          <w:tcPr>
            <w:tcW w:w="828" w:type="pct"/>
            <w:tcBorders>
              <w:tl2br w:val="nil"/>
              <w:tr2bl w:val="nil"/>
            </w:tcBorders>
            <w:vAlign w:val="center"/>
          </w:tcPr>
          <w:p w14:paraId="590B4D22"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1</w:t>
            </w:r>
            <w:r>
              <w:rPr>
                <w:b/>
                <w:bCs/>
                <w:color w:val="000000"/>
                <w:kern w:val="2"/>
                <w:sz w:val="21"/>
                <w:szCs w:val="21"/>
                <w:u w:val="single"/>
              </w:rPr>
              <w:t>小时平均</w:t>
            </w:r>
          </w:p>
        </w:tc>
        <w:tc>
          <w:tcPr>
            <w:tcW w:w="1117" w:type="pct"/>
            <w:tcBorders>
              <w:tl2br w:val="nil"/>
              <w:tr2bl w:val="nil"/>
            </w:tcBorders>
            <w:vAlign w:val="center"/>
          </w:tcPr>
          <w:p w14:paraId="219AF815"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0.173</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512BF23A"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300</w:t>
            </w:r>
            <w:r>
              <w:rPr>
                <w:b/>
                <w:bCs/>
                <w:color w:val="000000"/>
                <w:sz w:val="21"/>
                <w:szCs w:val="21"/>
                <w:u w:val="single"/>
              </w:rPr>
              <w:t>μg/m</w:t>
            </w:r>
            <w:r>
              <w:rPr>
                <w:b/>
                <w:bCs/>
                <w:color w:val="000000"/>
                <w:sz w:val="21"/>
                <w:szCs w:val="21"/>
                <w:u w:val="single"/>
                <w:vertAlign w:val="superscript"/>
              </w:rPr>
              <w:t>3</w:t>
            </w:r>
          </w:p>
        </w:tc>
        <w:tc>
          <w:tcPr>
            <w:tcW w:w="822" w:type="pct"/>
            <w:vMerge w:val="restart"/>
            <w:tcBorders>
              <w:tl2br w:val="nil"/>
              <w:tr2bl w:val="nil"/>
            </w:tcBorders>
            <w:vAlign w:val="center"/>
          </w:tcPr>
          <w:p w14:paraId="1DF8888B"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否</w:t>
            </w:r>
          </w:p>
        </w:tc>
        <w:tc>
          <w:tcPr>
            <w:tcW w:w="1049" w:type="pct"/>
            <w:vMerge w:val="restart"/>
            <w:tcBorders>
              <w:tl2br w:val="nil"/>
              <w:tr2bl w:val="nil"/>
            </w:tcBorders>
            <w:vAlign w:val="center"/>
          </w:tcPr>
          <w:p w14:paraId="629AFE6E" w14:textId="77777777" w:rsidR="003E78AB" w:rsidRDefault="00010BF9">
            <w:pPr>
              <w:spacing w:line="360" w:lineRule="exact"/>
              <w:ind w:firstLineChars="0" w:firstLine="0"/>
              <w:jc w:val="center"/>
              <w:rPr>
                <w:b/>
                <w:bCs/>
                <w:color w:val="000000"/>
                <w:kern w:val="2"/>
                <w:sz w:val="21"/>
                <w:szCs w:val="21"/>
                <w:u w:val="single"/>
              </w:rPr>
            </w:pPr>
            <w:r>
              <w:rPr>
                <w:rFonts w:hint="eastAsia"/>
                <w:b/>
                <w:bCs/>
                <w:color w:val="000000"/>
                <w:kern w:val="2"/>
                <w:sz w:val="21"/>
                <w:szCs w:val="21"/>
                <w:u w:val="single"/>
              </w:rPr>
              <w:t>0</w:t>
            </w:r>
          </w:p>
        </w:tc>
      </w:tr>
      <w:tr w:rsidR="003E78AB" w14:paraId="2F5C8CD1" w14:textId="77777777">
        <w:trPr>
          <w:trHeight w:val="340"/>
          <w:jc w:val="center"/>
        </w:trPr>
        <w:tc>
          <w:tcPr>
            <w:tcW w:w="544" w:type="pct"/>
            <w:vMerge/>
            <w:tcBorders>
              <w:tl2br w:val="nil"/>
              <w:tr2bl w:val="nil"/>
            </w:tcBorders>
            <w:vAlign w:val="center"/>
          </w:tcPr>
          <w:p w14:paraId="2F82A147" w14:textId="77777777" w:rsidR="003E78AB" w:rsidRDefault="003E78AB">
            <w:pPr>
              <w:spacing w:line="360" w:lineRule="exact"/>
              <w:ind w:firstLineChars="0" w:firstLine="0"/>
              <w:jc w:val="center"/>
              <w:rPr>
                <w:b/>
                <w:bCs/>
                <w:color w:val="000000"/>
                <w:kern w:val="2"/>
                <w:sz w:val="21"/>
                <w:szCs w:val="21"/>
                <w:u w:val="single"/>
              </w:rPr>
            </w:pPr>
          </w:p>
        </w:tc>
        <w:tc>
          <w:tcPr>
            <w:tcW w:w="828" w:type="pct"/>
            <w:tcBorders>
              <w:tl2br w:val="nil"/>
              <w:tr2bl w:val="nil"/>
            </w:tcBorders>
            <w:vAlign w:val="center"/>
          </w:tcPr>
          <w:p w14:paraId="4171EABF" w14:textId="77777777" w:rsidR="003E78AB" w:rsidRDefault="00010BF9">
            <w:pPr>
              <w:spacing w:line="360" w:lineRule="exact"/>
              <w:ind w:firstLineChars="0" w:firstLine="0"/>
              <w:jc w:val="center"/>
              <w:rPr>
                <w:b/>
                <w:bCs/>
                <w:color w:val="000000"/>
                <w:kern w:val="2"/>
                <w:sz w:val="21"/>
                <w:szCs w:val="21"/>
                <w:u w:val="single"/>
              </w:rPr>
            </w:pPr>
            <w:r>
              <w:rPr>
                <w:b/>
                <w:bCs/>
                <w:color w:val="000000"/>
                <w:kern w:val="2"/>
                <w:sz w:val="21"/>
                <w:szCs w:val="21"/>
                <w:u w:val="single"/>
              </w:rPr>
              <w:t>日均</w:t>
            </w:r>
          </w:p>
        </w:tc>
        <w:tc>
          <w:tcPr>
            <w:tcW w:w="1117" w:type="pct"/>
            <w:tcBorders>
              <w:tl2br w:val="nil"/>
              <w:tr2bl w:val="nil"/>
            </w:tcBorders>
            <w:vAlign w:val="center"/>
          </w:tcPr>
          <w:p w14:paraId="4A4785F1"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0.028</w:t>
            </w:r>
            <w:r>
              <w:rPr>
                <w:b/>
                <w:bCs/>
                <w:color w:val="000000"/>
                <w:sz w:val="21"/>
                <w:szCs w:val="21"/>
                <w:u w:val="single"/>
              </w:rPr>
              <w:t>μg/m</w:t>
            </w:r>
            <w:r>
              <w:rPr>
                <w:b/>
                <w:bCs/>
                <w:color w:val="000000"/>
                <w:sz w:val="21"/>
                <w:szCs w:val="21"/>
                <w:u w:val="single"/>
                <w:vertAlign w:val="superscript"/>
              </w:rPr>
              <w:t>3</w:t>
            </w:r>
          </w:p>
        </w:tc>
        <w:tc>
          <w:tcPr>
            <w:tcW w:w="637" w:type="pct"/>
            <w:tcBorders>
              <w:tl2br w:val="nil"/>
              <w:tr2bl w:val="nil"/>
            </w:tcBorders>
            <w:vAlign w:val="center"/>
          </w:tcPr>
          <w:p w14:paraId="34EA3F40" w14:textId="77777777" w:rsidR="003E78AB" w:rsidRDefault="00010BF9">
            <w:pPr>
              <w:spacing w:line="360" w:lineRule="exact"/>
              <w:ind w:firstLineChars="0" w:firstLine="0"/>
              <w:jc w:val="center"/>
              <w:rPr>
                <w:b/>
                <w:bCs/>
                <w:color w:val="000000"/>
                <w:sz w:val="21"/>
                <w:szCs w:val="21"/>
                <w:u w:val="single"/>
              </w:rPr>
            </w:pPr>
            <w:r>
              <w:rPr>
                <w:rFonts w:hint="eastAsia"/>
                <w:b/>
                <w:bCs/>
                <w:color w:val="000000"/>
                <w:sz w:val="21"/>
                <w:szCs w:val="21"/>
                <w:u w:val="single"/>
              </w:rPr>
              <w:t>100</w:t>
            </w:r>
            <w:r>
              <w:rPr>
                <w:b/>
                <w:bCs/>
                <w:color w:val="000000"/>
                <w:sz w:val="21"/>
                <w:szCs w:val="21"/>
                <w:u w:val="single"/>
              </w:rPr>
              <w:t>μg/m</w:t>
            </w:r>
            <w:r>
              <w:rPr>
                <w:b/>
                <w:bCs/>
                <w:color w:val="000000"/>
                <w:sz w:val="21"/>
                <w:szCs w:val="21"/>
                <w:u w:val="single"/>
                <w:vertAlign w:val="superscript"/>
              </w:rPr>
              <w:t>3</w:t>
            </w:r>
          </w:p>
        </w:tc>
        <w:tc>
          <w:tcPr>
            <w:tcW w:w="822" w:type="pct"/>
            <w:vMerge/>
            <w:tcBorders>
              <w:tl2br w:val="nil"/>
              <w:tr2bl w:val="nil"/>
            </w:tcBorders>
            <w:vAlign w:val="center"/>
          </w:tcPr>
          <w:p w14:paraId="198945C8" w14:textId="77777777" w:rsidR="003E78AB" w:rsidRDefault="003E78AB">
            <w:pPr>
              <w:spacing w:line="360" w:lineRule="exact"/>
              <w:ind w:firstLineChars="0" w:firstLine="0"/>
              <w:jc w:val="center"/>
              <w:rPr>
                <w:b/>
                <w:bCs/>
                <w:color w:val="000000"/>
                <w:kern w:val="2"/>
                <w:sz w:val="21"/>
                <w:szCs w:val="21"/>
                <w:u w:val="single"/>
              </w:rPr>
            </w:pPr>
          </w:p>
        </w:tc>
        <w:tc>
          <w:tcPr>
            <w:tcW w:w="1049" w:type="pct"/>
            <w:vMerge/>
            <w:tcBorders>
              <w:tl2br w:val="nil"/>
              <w:tr2bl w:val="nil"/>
            </w:tcBorders>
            <w:vAlign w:val="center"/>
          </w:tcPr>
          <w:p w14:paraId="4246C0BB" w14:textId="77777777" w:rsidR="003E78AB" w:rsidRDefault="003E78AB">
            <w:pPr>
              <w:spacing w:line="360" w:lineRule="exact"/>
              <w:ind w:firstLineChars="0" w:firstLine="0"/>
              <w:jc w:val="center"/>
              <w:rPr>
                <w:b/>
                <w:bCs/>
                <w:color w:val="000000"/>
                <w:kern w:val="2"/>
                <w:sz w:val="21"/>
                <w:szCs w:val="21"/>
                <w:u w:val="single"/>
              </w:rPr>
            </w:pPr>
          </w:p>
        </w:tc>
      </w:tr>
    </w:tbl>
    <w:p w14:paraId="0C930153" w14:textId="77777777" w:rsidR="003E78AB" w:rsidRDefault="00010BF9">
      <w:pPr>
        <w:ind w:firstLine="482"/>
        <w:rPr>
          <w:b/>
          <w:bCs/>
          <w:color w:val="000000"/>
          <w:szCs w:val="22"/>
          <w:u w:val="single"/>
        </w:rPr>
      </w:pPr>
      <w:r>
        <w:rPr>
          <w:b/>
          <w:bCs/>
          <w:color w:val="000000"/>
          <w:u w:val="single"/>
        </w:rPr>
        <w:t>从上表可知，各污染物厂界外均未出现超标，本项目无需设置大气环境防护距离。</w:t>
      </w:r>
    </w:p>
    <w:p w14:paraId="7EA686FE" w14:textId="77777777" w:rsidR="003E78AB" w:rsidRDefault="00010BF9">
      <w:pPr>
        <w:ind w:firstLine="482"/>
        <w:rPr>
          <w:b/>
          <w:bCs/>
          <w:kern w:val="28"/>
          <w:u w:val="single"/>
        </w:rPr>
      </w:pPr>
      <w:bookmarkStart w:id="374" w:name="_Toc19101"/>
      <w:r>
        <w:rPr>
          <w:b/>
          <w:bCs/>
          <w:kern w:val="28"/>
          <w:u w:val="single"/>
        </w:rPr>
        <w:t>根据《环境影响评价技术导则</w:t>
      </w:r>
      <w:r>
        <w:rPr>
          <w:rFonts w:hint="eastAsia"/>
          <w:b/>
          <w:bCs/>
          <w:kern w:val="28"/>
          <w:u w:val="single"/>
        </w:rPr>
        <w:t xml:space="preserve"> </w:t>
      </w:r>
      <w:r>
        <w:rPr>
          <w:b/>
          <w:bCs/>
          <w:kern w:val="28"/>
          <w:u w:val="single"/>
        </w:rPr>
        <w:t>大气环境》</w:t>
      </w:r>
      <w:r>
        <w:rPr>
          <w:rFonts w:hint="eastAsia"/>
          <w:b/>
          <w:bCs/>
          <w:kern w:val="28"/>
          <w:u w:val="single"/>
        </w:rPr>
        <w:t>（</w:t>
      </w:r>
      <w:r>
        <w:rPr>
          <w:b/>
          <w:bCs/>
          <w:kern w:val="28"/>
          <w:u w:val="single"/>
        </w:rPr>
        <w:t>HJ2.2-2018</w:t>
      </w:r>
      <w:r>
        <w:rPr>
          <w:rFonts w:hint="eastAsia"/>
          <w:b/>
          <w:bCs/>
          <w:kern w:val="28"/>
          <w:u w:val="single"/>
        </w:rPr>
        <w:t>）</w:t>
      </w:r>
      <w:r>
        <w:rPr>
          <w:b/>
          <w:bCs/>
          <w:kern w:val="28"/>
          <w:u w:val="single"/>
        </w:rPr>
        <w:t>中的大气环境防护距离的要求，本项目厂界浓度满足大气污染物厂界浓度限值，因此本项目不设置大气环境防护距离。</w:t>
      </w:r>
    </w:p>
    <w:p w14:paraId="5595C72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5.2.1.</w:t>
      </w:r>
      <w:r>
        <w:rPr>
          <w:rFonts w:ascii="Times New Roman" w:hAnsi="Times New Roman" w:hint="eastAsia"/>
        </w:rPr>
        <w:t>4</w:t>
      </w:r>
      <w:r>
        <w:rPr>
          <w:rFonts w:ascii="Times New Roman" w:hAnsi="Times New Roman"/>
        </w:rPr>
        <w:t>污染物排放量核算</w:t>
      </w:r>
      <w:bookmarkEnd w:id="374"/>
    </w:p>
    <w:p w14:paraId="6E069110" w14:textId="77777777" w:rsidR="003E78AB" w:rsidRDefault="00010BF9">
      <w:pPr>
        <w:ind w:firstLine="480"/>
        <w:rPr>
          <w:kern w:val="28"/>
        </w:rPr>
      </w:pPr>
      <w:r>
        <w:rPr>
          <w:kern w:val="28"/>
        </w:rPr>
        <w:t>项目有组织废气排放核算见</w:t>
      </w:r>
      <w:r>
        <w:rPr>
          <w:kern w:val="28"/>
        </w:rPr>
        <w:fldChar w:fldCharType="begin"/>
      </w:r>
      <w:r>
        <w:rPr>
          <w:kern w:val="28"/>
        </w:rPr>
        <w:instrText xml:space="preserve"> REF _Ref5448 \r \h </w:instrText>
      </w:r>
      <w:r>
        <w:rPr>
          <w:kern w:val="28"/>
        </w:rPr>
      </w:r>
      <w:r>
        <w:rPr>
          <w:kern w:val="28"/>
        </w:rPr>
        <w:fldChar w:fldCharType="separate"/>
      </w:r>
      <w:r>
        <w:rPr>
          <w:kern w:val="28"/>
        </w:rPr>
        <w:t>表</w:t>
      </w:r>
      <w:r>
        <w:rPr>
          <w:kern w:val="28"/>
        </w:rPr>
        <w:t>5-46</w:t>
      </w:r>
      <w:r>
        <w:rPr>
          <w:kern w:val="28"/>
        </w:rPr>
        <w:fldChar w:fldCharType="end"/>
      </w:r>
      <w:r>
        <w:rPr>
          <w:kern w:val="28"/>
        </w:rPr>
        <w:t>，无组织废气排放核算见</w:t>
      </w:r>
      <w:r>
        <w:rPr>
          <w:kern w:val="28"/>
        </w:rPr>
        <w:fldChar w:fldCharType="begin"/>
      </w:r>
      <w:r>
        <w:rPr>
          <w:kern w:val="28"/>
        </w:rPr>
        <w:instrText xml:space="preserve"> REF _Ref5477 \r \h </w:instrText>
      </w:r>
      <w:r>
        <w:rPr>
          <w:kern w:val="28"/>
        </w:rPr>
      </w:r>
      <w:r>
        <w:rPr>
          <w:kern w:val="28"/>
        </w:rPr>
        <w:fldChar w:fldCharType="separate"/>
      </w:r>
      <w:r>
        <w:rPr>
          <w:kern w:val="28"/>
        </w:rPr>
        <w:t>表</w:t>
      </w:r>
      <w:r>
        <w:rPr>
          <w:kern w:val="28"/>
        </w:rPr>
        <w:t>5-47</w:t>
      </w:r>
      <w:r>
        <w:rPr>
          <w:kern w:val="28"/>
        </w:rPr>
        <w:fldChar w:fldCharType="end"/>
      </w:r>
      <w:r>
        <w:rPr>
          <w:kern w:val="28"/>
        </w:rPr>
        <w:t>，大气污染物年排放量核算见</w:t>
      </w:r>
      <w:r>
        <w:rPr>
          <w:kern w:val="28"/>
        </w:rPr>
        <w:fldChar w:fldCharType="begin"/>
      </w:r>
      <w:r>
        <w:rPr>
          <w:kern w:val="28"/>
        </w:rPr>
        <w:instrText xml:space="preserve"> REF _Ref5500 \r \h </w:instrText>
      </w:r>
      <w:r>
        <w:rPr>
          <w:kern w:val="28"/>
        </w:rPr>
      </w:r>
      <w:r>
        <w:rPr>
          <w:kern w:val="28"/>
        </w:rPr>
        <w:fldChar w:fldCharType="separate"/>
      </w:r>
      <w:r>
        <w:rPr>
          <w:kern w:val="28"/>
        </w:rPr>
        <w:t>表</w:t>
      </w:r>
      <w:r>
        <w:rPr>
          <w:kern w:val="28"/>
        </w:rPr>
        <w:t>5-48</w:t>
      </w:r>
      <w:r>
        <w:rPr>
          <w:kern w:val="28"/>
        </w:rPr>
        <w:fldChar w:fldCharType="end"/>
      </w:r>
      <w:r>
        <w:rPr>
          <w:kern w:val="28"/>
        </w:rPr>
        <w:t>。</w:t>
      </w:r>
    </w:p>
    <w:p w14:paraId="0CF807DB" w14:textId="77777777" w:rsidR="003E78AB" w:rsidRDefault="00010BF9">
      <w:pPr>
        <w:pStyle w:val="a4"/>
        <w:spacing w:before="120"/>
        <w:ind w:left="425" w:hanging="425"/>
        <w:rPr>
          <w:bCs/>
        </w:rPr>
      </w:pPr>
      <w:bookmarkStart w:id="375" w:name="_Ref5448"/>
      <w:r>
        <w:rPr>
          <w:rFonts w:hint="eastAsia"/>
          <w:bCs/>
        </w:rPr>
        <w:t>本项目有组织废气排放核算表</w:t>
      </w:r>
      <w:bookmarkEnd w:id="375"/>
    </w:p>
    <w:tbl>
      <w:tblPr>
        <w:tblStyle w:val="TableNormal"/>
        <w:tblW w:w="500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367"/>
        <w:gridCol w:w="1498"/>
        <w:gridCol w:w="1620"/>
        <w:gridCol w:w="1611"/>
        <w:gridCol w:w="1573"/>
      </w:tblGrid>
      <w:tr w:rsidR="003E78AB" w14:paraId="28D259AA" w14:textId="77777777">
        <w:trPr>
          <w:trHeight w:val="633"/>
          <w:tblHeader/>
        </w:trPr>
        <w:tc>
          <w:tcPr>
            <w:tcW w:w="388" w:type="pct"/>
            <w:vAlign w:val="center"/>
          </w:tcPr>
          <w:p w14:paraId="2252058C" w14:textId="77777777" w:rsidR="003E78AB" w:rsidRDefault="00010BF9">
            <w:pPr>
              <w:pStyle w:val="aff6"/>
              <w:topLinePunct/>
              <w:rPr>
                <w:b/>
                <w:bCs/>
              </w:rPr>
            </w:pPr>
            <w:r>
              <w:rPr>
                <w:b/>
                <w:bCs/>
              </w:rPr>
              <w:t>序号</w:t>
            </w:r>
          </w:p>
        </w:tc>
        <w:tc>
          <w:tcPr>
            <w:tcW w:w="821" w:type="pct"/>
            <w:vAlign w:val="center"/>
          </w:tcPr>
          <w:p w14:paraId="3FAB8D0C" w14:textId="77777777" w:rsidR="003E78AB" w:rsidRDefault="00010BF9">
            <w:pPr>
              <w:pStyle w:val="aff6"/>
              <w:topLinePunct/>
              <w:rPr>
                <w:b/>
                <w:bCs/>
              </w:rPr>
            </w:pPr>
            <w:r>
              <w:rPr>
                <w:b/>
                <w:bCs/>
              </w:rPr>
              <w:t>排放口编号</w:t>
            </w:r>
          </w:p>
        </w:tc>
        <w:tc>
          <w:tcPr>
            <w:tcW w:w="901" w:type="pct"/>
            <w:vAlign w:val="center"/>
          </w:tcPr>
          <w:p w14:paraId="334EE040" w14:textId="77777777" w:rsidR="003E78AB" w:rsidRDefault="00010BF9">
            <w:pPr>
              <w:pStyle w:val="aff6"/>
              <w:topLinePunct/>
              <w:rPr>
                <w:b/>
                <w:bCs/>
              </w:rPr>
            </w:pPr>
            <w:r>
              <w:rPr>
                <w:b/>
                <w:bCs/>
              </w:rPr>
              <w:t>污染物</w:t>
            </w:r>
          </w:p>
        </w:tc>
        <w:tc>
          <w:tcPr>
            <w:tcW w:w="974" w:type="pct"/>
            <w:vAlign w:val="center"/>
          </w:tcPr>
          <w:p w14:paraId="73FDB763" w14:textId="77777777" w:rsidR="003E78AB" w:rsidRDefault="00010BF9">
            <w:pPr>
              <w:pStyle w:val="aff6"/>
              <w:topLinePunct/>
              <w:rPr>
                <w:b/>
                <w:bCs/>
              </w:rPr>
            </w:pPr>
            <w:r>
              <w:rPr>
                <w:b/>
                <w:bCs/>
              </w:rPr>
              <w:t>核算排放浓度</w:t>
            </w:r>
          </w:p>
          <w:p w14:paraId="67713D62" w14:textId="77777777" w:rsidR="003E78AB" w:rsidRDefault="00010BF9">
            <w:pPr>
              <w:pStyle w:val="aff6"/>
              <w:topLinePunct/>
              <w:rPr>
                <w:b/>
                <w:bCs/>
              </w:rPr>
            </w:pPr>
            <w:r>
              <w:rPr>
                <w:b/>
                <w:bCs/>
              </w:rPr>
              <w:t>(mg/m</w:t>
            </w:r>
            <w:r>
              <w:rPr>
                <w:b/>
                <w:bCs/>
                <w:vertAlign w:val="superscript"/>
              </w:rPr>
              <w:t>3</w:t>
            </w:r>
            <w:r>
              <w:rPr>
                <w:b/>
                <w:bCs/>
              </w:rPr>
              <w:t>)</w:t>
            </w:r>
          </w:p>
        </w:tc>
        <w:tc>
          <w:tcPr>
            <w:tcW w:w="968" w:type="pct"/>
            <w:vAlign w:val="center"/>
          </w:tcPr>
          <w:p w14:paraId="7E4CD282" w14:textId="77777777" w:rsidR="003E78AB" w:rsidRDefault="00010BF9">
            <w:pPr>
              <w:pStyle w:val="aff6"/>
              <w:topLinePunct/>
              <w:rPr>
                <w:b/>
                <w:bCs/>
              </w:rPr>
            </w:pPr>
            <w:r>
              <w:rPr>
                <w:b/>
                <w:bCs/>
              </w:rPr>
              <w:t>核算排放速率</w:t>
            </w:r>
          </w:p>
          <w:p w14:paraId="6434B35F" w14:textId="77777777" w:rsidR="003E78AB" w:rsidRDefault="00010BF9">
            <w:pPr>
              <w:pStyle w:val="aff6"/>
              <w:topLinePunct/>
              <w:rPr>
                <w:b/>
                <w:bCs/>
              </w:rPr>
            </w:pPr>
            <w:r>
              <w:rPr>
                <w:b/>
                <w:bCs/>
              </w:rPr>
              <w:t>(kg/h)</w:t>
            </w:r>
          </w:p>
        </w:tc>
        <w:tc>
          <w:tcPr>
            <w:tcW w:w="944" w:type="pct"/>
            <w:vAlign w:val="center"/>
          </w:tcPr>
          <w:p w14:paraId="54D21DF3" w14:textId="77777777" w:rsidR="003E78AB" w:rsidRDefault="00010BF9">
            <w:pPr>
              <w:pStyle w:val="aff6"/>
              <w:topLinePunct/>
              <w:rPr>
                <w:b/>
                <w:bCs/>
              </w:rPr>
            </w:pPr>
            <w:r>
              <w:rPr>
                <w:b/>
                <w:bCs/>
              </w:rPr>
              <w:t>核算年排放量</w:t>
            </w:r>
          </w:p>
          <w:p w14:paraId="1BD3D656" w14:textId="77777777" w:rsidR="003E78AB" w:rsidRDefault="00010BF9">
            <w:pPr>
              <w:pStyle w:val="aff6"/>
              <w:topLinePunct/>
              <w:rPr>
                <w:b/>
                <w:bCs/>
              </w:rPr>
            </w:pPr>
            <w:r>
              <w:rPr>
                <w:b/>
                <w:bCs/>
              </w:rPr>
              <w:t>(t/a)</w:t>
            </w:r>
          </w:p>
        </w:tc>
      </w:tr>
      <w:tr w:rsidR="003E78AB" w14:paraId="66F43620" w14:textId="77777777">
        <w:trPr>
          <w:trHeight w:val="448"/>
        </w:trPr>
        <w:tc>
          <w:tcPr>
            <w:tcW w:w="5000" w:type="pct"/>
            <w:gridSpan w:val="6"/>
            <w:vAlign w:val="center"/>
          </w:tcPr>
          <w:p w14:paraId="28C69FFB" w14:textId="77777777" w:rsidR="003E78AB" w:rsidRDefault="00010BF9">
            <w:pPr>
              <w:pStyle w:val="aff6"/>
              <w:topLinePunct/>
            </w:pPr>
            <w:r>
              <w:t>主要排放口</w:t>
            </w:r>
          </w:p>
        </w:tc>
      </w:tr>
      <w:tr w:rsidR="003E78AB" w14:paraId="63B769A3" w14:textId="77777777">
        <w:trPr>
          <w:trHeight w:val="279"/>
        </w:trPr>
        <w:tc>
          <w:tcPr>
            <w:tcW w:w="388" w:type="pct"/>
            <w:vAlign w:val="center"/>
          </w:tcPr>
          <w:p w14:paraId="41CD5094" w14:textId="77777777" w:rsidR="003E78AB" w:rsidRDefault="00010BF9">
            <w:pPr>
              <w:pStyle w:val="aff6"/>
              <w:topLinePunct/>
            </w:pPr>
            <w:r>
              <w:t>/</w:t>
            </w:r>
          </w:p>
        </w:tc>
        <w:tc>
          <w:tcPr>
            <w:tcW w:w="821" w:type="pct"/>
            <w:vAlign w:val="center"/>
          </w:tcPr>
          <w:p w14:paraId="7C990744" w14:textId="77777777" w:rsidR="003E78AB" w:rsidRDefault="00010BF9">
            <w:pPr>
              <w:pStyle w:val="aff6"/>
              <w:topLinePunct/>
            </w:pPr>
            <w:r>
              <w:t>/</w:t>
            </w:r>
          </w:p>
        </w:tc>
        <w:tc>
          <w:tcPr>
            <w:tcW w:w="901" w:type="pct"/>
            <w:vAlign w:val="center"/>
          </w:tcPr>
          <w:p w14:paraId="15B8C32D" w14:textId="77777777" w:rsidR="003E78AB" w:rsidRDefault="00010BF9">
            <w:pPr>
              <w:pStyle w:val="aff6"/>
              <w:topLinePunct/>
            </w:pPr>
            <w:r>
              <w:t>/</w:t>
            </w:r>
          </w:p>
        </w:tc>
        <w:tc>
          <w:tcPr>
            <w:tcW w:w="974" w:type="pct"/>
            <w:vAlign w:val="center"/>
          </w:tcPr>
          <w:p w14:paraId="6C245868" w14:textId="77777777" w:rsidR="003E78AB" w:rsidRDefault="00010BF9">
            <w:pPr>
              <w:pStyle w:val="aff6"/>
              <w:topLinePunct/>
            </w:pPr>
            <w:r>
              <w:t>/</w:t>
            </w:r>
          </w:p>
        </w:tc>
        <w:tc>
          <w:tcPr>
            <w:tcW w:w="968" w:type="pct"/>
            <w:vAlign w:val="center"/>
          </w:tcPr>
          <w:p w14:paraId="49607D6D" w14:textId="77777777" w:rsidR="003E78AB" w:rsidRDefault="00010BF9">
            <w:pPr>
              <w:pStyle w:val="aff6"/>
              <w:topLinePunct/>
            </w:pPr>
            <w:r>
              <w:t>/</w:t>
            </w:r>
          </w:p>
        </w:tc>
        <w:tc>
          <w:tcPr>
            <w:tcW w:w="944" w:type="pct"/>
            <w:vAlign w:val="center"/>
          </w:tcPr>
          <w:p w14:paraId="15B88AF4" w14:textId="77777777" w:rsidR="003E78AB" w:rsidRDefault="00010BF9">
            <w:pPr>
              <w:pStyle w:val="aff6"/>
              <w:topLinePunct/>
            </w:pPr>
            <w:r>
              <w:t>/</w:t>
            </w:r>
          </w:p>
        </w:tc>
      </w:tr>
      <w:tr w:rsidR="003E78AB" w14:paraId="2D6C4989" w14:textId="77777777">
        <w:trPr>
          <w:trHeight w:val="316"/>
        </w:trPr>
        <w:tc>
          <w:tcPr>
            <w:tcW w:w="1210" w:type="pct"/>
            <w:gridSpan w:val="2"/>
            <w:vAlign w:val="center"/>
          </w:tcPr>
          <w:p w14:paraId="0E5C787F" w14:textId="77777777" w:rsidR="003E78AB" w:rsidRDefault="00010BF9">
            <w:pPr>
              <w:pStyle w:val="aff6"/>
              <w:topLinePunct/>
            </w:pPr>
            <w:r>
              <w:t>主要排放口合计</w:t>
            </w:r>
          </w:p>
        </w:tc>
        <w:tc>
          <w:tcPr>
            <w:tcW w:w="2844" w:type="pct"/>
            <w:gridSpan w:val="3"/>
            <w:vAlign w:val="center"/>
          </w:tcPr>
          <w:p w14:paraId="0C87514B" w14:textId="77777777" w:rsidR="003E78AB" w:rsidRDefault="00010BF9">
            <w:pPr>
              <w:pStyle w:val="aff6"/>
              <w:topLinePunct/>
            </w:pPr>
            <w:r>
              <w:t>/</w:t>
            </w:r>
          </w:p>
        </w:tc>
        <w:tc>
          <w:tcPr>
            <w:tcW w:w="944" w:type="pct"/>
            <w:vAlign w:val="center"/>
          </w:tcPr>
          <w:p w14:paraId="3E4663B7" w14:textId="77777777" w:rsidR="003E78AB" w:rsidRDefault="00010BF9">
            <w:pPr>
              <w:pStyle w:val="aff6"/>
              <w:topLinePunct/>
            </w:pPr>
            <w:r>
              <w:t>/</w:t>
            </w:r>
          </w:p>
        </w:tc>
      </w:tr>
      <w:tr w:rsidR="003E78AB" w14:paraId="7A19A86E" w14:textId="77777777">
        <w:trPr>
          <w:trHeight w:val="513"/>
        </w:trPr>
        <w:tc>
          <w:tcPr>
            <w:tcW w:w="5000" w:type="pct"/>
            <w:gridSpan w:val="6"/>
            <w:vAlign w:val="center"/>
          </w:tcPr>
          <w:p w14:paraId="2E4DCF62" w14:textId="77777777" w:rsidR="003E78AB" w:rsidRDefault="00010BF9">
            <w:pPr>
              <w:pStyle w:val="aff6"/>
              <w:topLinePunct/>
            </w:pPr>
            <w:r>
              <w:t>一般排放口</w:t>
            </w:r>
          </w:p>
        </w:tc>
      </w:tr>
      <w:tr w:rsidR="003E78AB" w14:paraId="281246AB" w14:textId="77777777">
        <w:trPr>
          <w:trHeight w:val="424"/>
        </w:trPr>
        <w:tc>
          <w:tcPr>
            <w:tcW w:w="388" w:type="pct"/>
            <w:vAlign w:val="center"/>
          </w:tcPr>
          <w:p w14:paraId="455F8F41" w14:textId="77777777" w:rsidR="003E78AB" w:rsidRDefault="00010BF9">
            <w:pPr>
              <w:pStyle w:val="aff6"/>
              <w:topLinePunct/>
            </w:pPr>
            <w:r>
              <w:t>1</w:t>
            </w:r>
          </w:p>
        </w:tc>
        <w:tc>
          <w:tcPr>
            <w:tcW w:w="821" w:type="pct"/>
            <w:vAlign w:val="center"/>
          </w:tcPr>
          <w:p w14:paraId="7E077DDC" w14:textId="77777777" w:rsidR="003E78AB" w:rsidRDefault="00010BF9">
            <w:pPr>
              <w:pStyle w:val="aff6"/>
              <w:topLinePunct/>
            </w:pPr>
            <w:r>
              <w:t>DA001</w:t>
            </w:r>
          </w:p>
        </w:tc>
        <w:tc>
          <w:tcPr>
            <w:tcW w:w="901" w:type="pct"/>
            <w:vAlign w:val="center"/>
          </w:tcPr>
          <w:p w14:paraId="00746B8B" w14:textId="77777777" w:rsidR="003E78AB" w:rsidRDefault="00010BF9">
            <w:pPr>
              <w:pStyle w:val="aff6"/>
              <w:topLinePunct/>
            </w:pPr>
            <w:r>
              <w:t>颗粒物</w:t>
            </w:r>
          </w:p>
        </w:tc>
        <w:tc>
          <w:tcPr>
            <w:tcW w:w="974" w:type="pct"/>
            <w:vAlign w:val="center"/>
          </w:tcPr>
          <w:p w14:paraId="0D4E6879" w14:textId="77777777" w:rsidR="003E78AB" w:rsidRDefault="00010BF9">
            <w:pPr>
              <w:pStyle w:val="aff6"/>
              <w:topLinePunct/>
            </w:pPr>
            <w:r>
              <w:t>6.90</w:t>
            </w:r>
          </w:p>
        </w:tc>
        <w:tc>
          <w:tcPr>
            <w:tcW w:w="968" w:type="pct"/>
            <w:vAlign w:val="center"/>
          </w:tcPr>
          <w:p w14:paraId="140AAD8C" w14:textId="77777777" w:rsidR="003E78AB" w:rsidRDefault="00010BF9">
            <w:pPr>
              <w:pStyle w:val="aff6"/>
              <w:topLinePunct/>
            </w:pPr>
            <w:r>
              <w:t>0.0436</w:t>
            </w:r>
          </w:p>
        </w:tc>
        <w:tc>
          <w:tcPr>
            <w:tcW w:w="944" w:type="pct"/>
            <w:vAlign w:val="center"/>
          </w:tcPr>
          <w:p w14:paraId="78B08CB0" w14:textId="77777777" w:rsidR="003E78AB" w:rsidRDefault="00010BF9">
            <w:pPr>
              <w:pStyle w:val="aff6"/>
              <w:topLinePunct/>
            </w:pPr>
            <w:r>
              <w:t>0.1379</w:t>
            </w:r>
          </w:p>
        </w:tc>
      </w:tr>
      <w:tr w:rsidR="003E78AB" w14:paraId="49A30022" w14:textId="77777777">
        <w:trPr>
          <w:trHeight w:val="422"/>
        </w:trPr>
        <w:tc>
          <w:tcPr>
            <w:tcW w:w="388" w:type="pct"/>
            <w:vAlign w:val="center"/>
          </w:tcPr>
          <w:p w14:paraId="602DE09E" w14:textId="77777777" w:rsidR="003E78AB" w:rsidRDefault="00010BF9">
            <w:pPr>
              <w:pStyle w:val="aff6"/>
              <w:topLinePunct/>
            </w:pPr>
            <w:r>
              <w:t>2</w:t>
            </w:r>
          </w:p>
        </w:tc>
        <w:tc>
          <w:tcPr>
            <w:tcW w:w="821" w:type="pct"/>
            <w:vAlign w:val="center"/>
          </w:tcPr>
          <w:p w14:paraId="5B0EE6B6" w14:textId="77777777" w:rsidR="003E78AB" w:rsidRDefault="00010BF9">
            <w:pPr>
              <w:pStyle w:val="aff6"/>
              <w:topLinePunct/>
            </w:pPr>
            <w:r>
              <w:t>DA002</w:t>
            </w:r>
          </w:p>
        </w:tc>
        <w:tc>
          <w:tcPr>
            <w:tcW w:w="901" w:type="pct"/>
            <w:vAlign w:val="center"/>
          </w:tcPr>
          <w:p w14:paraId="65B5C1BC" w14:textId="77777777" w:rsidR="003E78AB" w:rsidRDefault="00010BF9">
            <w:pPr>
              <w:pStyle w:val="aff6"/>
              <w:topLinePunct/>
            </w:pPr>
            <w:r>
              <w:rPr>
                <w:rFonts w:hint="eastAsia"/>
              </w:rPr>
              <w:t>颗粒物</w:t>
            </w:r>
          </w:p>
        </w:tc>
        <w:tc>
          <w:tcPr>
            <w:tcW w:w="974" w:type="pct"/>
            <w:vAlign w:val="center"/>
          </w:tcPr>
          <w:p w14:paraId="08D63F8A" w14:textId="77777777" w:rsidR="003E78AB" w:rsidRDefault="00010BF9">
            <w:pPr>
              <w:pStyle w:val="aff6"/>
              <w:topLinePunct/>
            </w:pPr>
            <w:r>
              <w:t>4.87</w:t>
            </w:r>
          </w:p>
        </w:tc>
        <w:tc>
          <w:tcPr>
            <w:tcW w:w="968" w:type="pct"/>
            <w:vAlign w:val="center"/>
          </w:tcPr>
          <w:p w14:paraId="1E503660" w14:textId="77777777" w:rsidR="003E78AB" w:rsidRDefault="00010BF9">
            <w:pPr>
              <w:pStyle w:val="aff6"/>
              <w:topLinePunct/>
            </w:pPr>
            <w:r>
              <w:rPr>
                <w:rFonts w:hint="eastAsia"/>
              </w:rPr>
              <w:t>0.0605</w:t>
            </w:r>
          </w:p>
        </w:tc>
        <w:tc>
          <w:tcPr>
            <w:tcW w:w="944" w:type="pct"/>
            <w:vAlign w:val="center"/>
          </w:tcPr>
          <w:p w14:paraId="0642BEEB" w14:textId="77777777" w:rsidR="003E78AB" w:rsidRDefault="00010BF9">
            <w:pPr>
              <w:pStyle w:val="aff6"/>
              <w:topLinePunct/>
            </w:pPr>
            <w:r>
              <w:rPr>
                <w:rFonts w:hint="eastAsia"/>
              </w:rPr>
              <w:t>0.0701</w:t>
            </w:r>
          </w:p>
        </w:tc>
      </w:tr>
      <w:tr w:rsidR="003E78AB" w14:paraId="2AA47243" w14:textId="77777777">
        <w:trPr>
          <w:trHeight w:val="421"/>
        </w:trPr>
        <w:tc>
          <w:tcPr>
            <w:tcW w:w="388" w:type="pct"/>
            <w:vMerge w:val="restart"/>
            <w:vAlign w:val="center"/>
          </w:tcPr>
          <w:p w14:paraId="0D48EC20" w14:textId="77777777" w:rsidR="003E78AB" w:rsidRDefault="00010BF9">
            <w:pPr>
              <w:pStyle w:val="aff6"/>
              <w:topLinePunct/>
            </w:pPr>
            <w:r>
              <w:t>3</w:t>
            </w:r>
          </w:p>
        </w:tc>
        <w:tc>
          <w:tcPr>
            <w:tcW w:w="821" w:type="pct"/>
            <w:vMerge w:val="restart"/>
            <w:vAlign w:val="center"/>
          </w:tcPr>
          <w:p w14:paraId="41973DF3" w14:textId="77777777" w:rsidR="003E78AB" w:rsidRDefault="00010BF9">
            <w:pPr>
              <w:pStyle w:val="aff6"/>
              <w:topLinePunct/>
            </w:pPr>
            <w:r>
              <w:t>DA003</w:t>
            </w:r>
          </w:p>
        </w:tc>
        <w:tc>
          <w:tcPr>
            <w:tcW w:w="901" w:type="pct"/>
            <w:vAlign w:val="center"/>
          </w:tcPr>
          <w:p w14:paraId="62306133" w14:textId="77777777" w:rsidR="003E78AB" w:rsidRDefault="00010BF9">
            <w:pPr>
              <w:pStyle w:val="aff6"/>
              <w:topLinePunct/>
            </w:pPr>
            <w:r>
              <w:rPr>
                <w:rFonts w:hint="eastAsia"/>
              </w:rPr>
              <w:t>硫酸雾</w:t>
            </w:r>
          </w:p>
        </w:tc>
        <w:tc>
          <w:tcPr>
            <w:tcW w:w="974" w:type="pct"/>
            <w:vAlign w:val="center"/>
          </w:tcPr>
          <w:p w14:paraId="750DDE21" w14:textId="77777777" w:rsidR="003E78AB" w:rsidRDefault="00010BF9">
            <w:pPr>
              <w:pStyle w:val="aff6"/>
              <w:topLinePunct/>
            </w:pPr>
            <w:r>
              <w:rPr>
                <w:rFonts w:hint="eastAsia"/>
              </w:rPr>
              <w:t>14.20</w:t>
            </w:r>
          </w:p>
        </w:tc>
        <w:tc>
          <w:tcPr>
            <w:tcW w:w="968" w:type="pct"/>
            <w:vAlign w:val="center"/>
          </w:tcPr>
          <w:p w14:paraId="300F9AD0" w14:textId="77777777" w:rsidR="003E78AB" w:rsidRDefault="00010BF9">
            <w:pPr>
              <w:pStyle w:val="aff6"/>
              <w:topLinePunct/>
            </w:pPr>
            <w:r>
              <w:rPr>
                <w:rFonts w:hint="eastAsia"/>
              </w:rPr>
              <w:t>0.1420</w:t>
            </w:r>
          </w:p>
        </w:tc>
        <w:tc>
          <w:tcPr>
            <w:tcW w:w="944" w:type="pct"/>
            <w:vAlign w:val="center"/>
          </w:tcPr>
          <w:p w14:paraId="61B2FD18" w14:textId="77777777" w:rsidR="003E78AB" w:rsidRDefault="00010BF9">
            <w:pPr>
              <w:pStyle w:val="aff6"/>
              <w:topLinePunct/>
            </w:pPr>
            <w:r>
              <w:rPr>
                <w:rFonts w:hint="eastAsia"/>
              </w:rPr>
              <w:t>1.1243</w:t>
            </w:r>
          </w:p>
        </w:tc>
      </w:tr>
      <w:tr w:rsidR="003E78AB" w14:paraId="0C3EAB17" w14:textId="77777777">
        <w:trPr>
          <w:trHeight w:val="421"/>
        </w:trPr>
        <w:tc>
          <w:tcPr>
            <w:tcW w:w="388" w:type="pct"/>
            <w:vMerge/>
            <w:vAlign w:val="center"/>
          </w:tcPr>
          <w:p w14:paraId="01C04770" w14:textId="77777777" w:rsidR="003E78AB" w:rsidRDefault="003E78AB">
            <w:pPr>
              <w:pStyle w:val="aff6"/>
              <w:topLinePunct/>
            </w:pPr>
          </w:p>
        </w:tc>
        <w:tc>
          <w:tcPr>
            <w:tcW w:w="821" w:type="pct"/>
            <w:vMerge/>
            <w:vAlign w:val="center"/>
          </w:tcPr>
          <w:p w14:paraId="48815806" w14:textId="77777777" w:rsidR="003E78AB" w:rsidRDefault="003E78AB">
            <w:pPr>
              <w:pStyle w:val="aff6"/>
              <w:topLinePunct/>
            </w:pPr>
          </w:p>
        </w:tc>
        <w:tc>
          <w:tcPr>
            <w:tcW w:w="901" w:type="pct"/>
            <w:vAlign w:val="center"/>
          </w:tcPr>
          <w:p w14:paraId="251AAAD6" w14:textId="77777777" w:rsidR="003E78AB" w:rsidRDefault="00010BF9">
            <w:pPr>
              <w:pStyle w:val="aff6"/>
              <w:topLinePunct/>
              <w:rPr>
                <w:b/>
                <w:bCs/>
                <w:u w:val="single"/>
              </w:rPr>
            </w:pPr>
            <w:r>
              <w:rPr>
                <w:rFonts w:hint="eastAsia"/>
                <w:b/>
                <w:bCs/>
                <w:u w:val="single"/>
              </w:rPr>
              <w:t>磷酸雾</w:t>
            </w:r>
          </w:p>
        </w:tc>
        <w:tc>
          <w:tcPr>
            <w:tcW w:w="1620" w:type="dxa"/>
            <w:vAlign w:val="center"/>
          </w:tcPr>
          <w:p w14:paraId="0B189742" w14:textId="77777777" w:rsidR="003E78AB" w:rsidRDefault="00010BF9">
            <w:pPr>
              <w:pStyle w:val="aff6"/>
              <w:topLinePunct/>
              <w:textAlignment w:val="center"/>
              <w:rPr>
                <w:b/>
                <w:bCs/>
                <w:u w:val="single"/>
              </w:rPr>
            </w:pPr>
            <w:r>
              <w:rPr>
                <w:rFonts w:hint="eastAsia"/>
                <w:b/>
                <w:bCs/>
                <w:u w:val="single"/>
                <w:lang w:bidi="ar"/>
              </w:rPr>
              <w:t>2.29</w:t>
            </w:r>
          </w:p>
        </w:tc>
        <w:tc>
          <w:tcPr>
            <w:tcW w:w="1611" w:type="dxa"/>
            <w:vAlign w:val="center"/>
          </w:tcPr>
          <w:p w14:paraId="496F6557" w14:textId="77777777" w:rsidR="003E78AB" w:rsidRDefault="00010BF9">
            <w:pPr>
              <w:pStyle w:val="aff6"/>
              <w:topLinePunct/>
              <w:textAlignment w:val="center"/>
              <w:rPr>
                <w:b/>
                <w:bCs/>
                <w:u w:val="single"/>
              </w:rPr>
            </w:pPr>
            <w:r>
              <w:rPr>
                <w:rFonts w:hint="eastAsia"/>
                <w:b/>
                <w:bCs/>
                <w:u w:val="single"/>
                <w:lang w:bidi="ar"/>
              </w:rPr>
              <w:t>0.0229</w:t>
            </w:r>
          </w:p>
        </w:tc>
        <w:tc>
          <w:tcPr>
            <w:tcW w:w="1574" w:type="dxa"/>
            <w:vAlign w:val="center"/>
          </w:tcPr>
          <w:p w14:paraId="518F9472" w14:textId="77777777" w:rsidR="003E78AB" w:rsidRDefault="00010BF9">
            <w:pPr>
              <w:pStyle w:val="aff6"/>
              <w:topLinePunct/>
              <w:textAlignment w:val="center"/>
              <w:rPr>
                <w:b/>
                <w:bCs/>
                <w:u w:val="single"/>
              </w:rPr>
            </w:pPr>
            <w:r>
              <w:rPr>
                <w:rFonts w:hint="eastAsia"/>
                <w:b/>
                <w:bCs/>
                <w:u w:val="single"/>
                <w:lang w:bidi="ar"/>
              </w:rPr>
              <w:t>0.1810</w:t>
            </w:r>
          </w:p>
        </w:tc>
      </w:tr>
      <w:tr w:rsidR="003E78AB" w14:paraId="24C623E7" w14:textId="77777777">
        <w:trPr>
          <w:trHeight w:val="421"/>
        </w:trPr>
        <w:tc>
          <w:tcPr>
            <w:tcW w:w="388" w:type="pct"/>
            <w:vMerge/>
            <w:vAlign w:val="center"/>
          </w:tcPr>
          <w:p w14:paraId="5B364461" w14:textId="77777777" w:rsidR="003E78AB" w:rsidRDefault="003E78AB">
            <w:pPr>
              <w:pStyle w:val="aff6"/>
              <w:topLinePunct/>
            </w:pPr>
          </w:p>
        </w:tc>
        <w:tc>
          <w:tcPr>
            <w:tcW w:w="821" w:type="pct"/>
            <w:vMerge/>
            <w:vAlign w:val="center"/>
          </w:tcPr>
          <w:p w14:paraId="4BEA31D4" w14:textId="77777777" w:rsidR="003E78AB" w:rsidRDefault="003E78AB">
            <w:pPr>
              <w:pStyle w:val="aff6"/>
              <w:topLinePunct/>
            </w:pPr>
          </w:p>
        </w:tc>
        <w:tc>
          <w:tcPr>
            <w:tcW w:w="901" w:type="pct"/>
            <w:vAlign w:val="center"/>
          </w:tcPr>
          <w:p w14:paraId="72865DC4" w14:textId="77777777" w:rsidR="003E78AB" w:rsidRDefault="00010BF9">
            <w:pPr>
              <w:pStyle w:val="aff6"/>
              <w:topLinePunct/>
              <w:rPr>
                <w:b/>
                <w:bCs/>
                <w:u w:val="single"/>
              </w:rPr>
            </w:pPr>
            <w:r>
              <w:rPr>
                <w:rFonts w:hint="eastAsia"/>
                <w:b/>
                <w:bCs/>
                <w:u w:val="single"/>
              </w:rPr>
              <w:t>VOCs</w:t>
            </w:r>
          </w:p>
        </w:tc>
        <w:tc>
          <w:tcPr>
            <w:tcW w:w="1620" w:type="dxa"/>
            <w:vAlign w:val="center"/>
          </w:tcPr>
          <w:p w14:paraId="27C81A8C" w14:textId="77777777" w:rsidR="003E78AB" w:rsidRDefault="00010BF9">
            <w:pPr>
              <w:pStyle w:val="aff6"/>
              <w:topLinePunct/>
              <w:textAlignment w:val="center"/>
              <w:rPr>
                <w:b/>
                <w:bCs/>
                <w:u w:val="single"/>
              </w:rPr>
            </w:pPr>
            <w:r>
              <w:rPr>
                <w:rFonts w:hint="eastAsia"/>
                <w:b/>
                <w:bCs/>
                <w:u w:val="single"/>
                <w:lang w:bidi="ar"/>
              </w:rPr>
              <w:t>4.61</w:t>
            </w:r>
          </w:p>
        </w:tc>
        <w:tc>
          <w:tcPr>
            <w:tcW w:w="1611" w:type="dxa"/>
            <w:vAlign w:val="center"/>
          </w:tcPr>
          <w:p w14:paraId="42AF2787" w14:textId="77777777" w:rsidR="003E78AB" w:rsidRDefault="00010BF9">
            <w:pPr>
              <w:pStyle w:val="aff6"/>
              <w:topLinePunct/>
              <w:textAlignment w:val="center"/>
              <w:rPr>
                <w:b/>
                <w:bCs/>
                <w:u w:val="single"/>
              </w:rPr>
            </w:pPr>
            <w:r>
              <w:rPr>
                <w:rFonts w:hint="eastAsia"/>
                <w:b/>
                <w:bCs/>
                <w:u w:val="single"/>
                <w:lang w:bidi="ar"/>
              </w:rPr>
              <w:t>0.0461</w:t>
            </w:r>
          </w:p>
        </w:tc>
        <w:tc>
          <w:tcPr>
            <w:tcW w:w="1574" w:type="dxa"/>
            <w:vAlign w:val="center"/>
          </w:tcPr>
          <w:p w14:paraId="548C487F" w14:textId="77777777" w:rsidR="003E78AB" w:rsidRDefault="00010BF9">
            <w:pPr>
              <w:pStyle w:val="aff6"/>
              <w:topLinePunct/>
              <w:textAlignment w:val="center"/>
              <w:rPr>
                <w:b/>
                <w:bCs/>
                <w:u w:val="single"/>
              </w:rPr>
            </w:pPr>
            <w:r>
              <w:rPr>
                <w:rFonts w:hint="eastAsia"/>
                <w:b/>
                <w:bCs/>
                <w:u w:val="single"/>
                <w:lang w:bidi="ar"/>
              </w:rPr>
              <w:t>0.3649</w:t>
            </w:r>
          </w:p>
        </w:tc>
      </w:tr>
      <w:tr w:rsidR="003E78AB" w14:paraId="7572DC61" w14:textId="77777777">
        <w:trPr>
          <w:trHeight w:val="421"/>
        </w:trPr>
        <w:tc>
          <w:tcPr>
            <w:tcW w:w="388" w:type="pct"/>
            <w:vMerge w:val="restart"/>
            <w:vAlign w:val="center"/>
          </w:tcPr>
          <w:p w14:paraId="605C20BE" w14:textId="77777777" w:rsidR="003E78AB" w:rsidRDefault="00010BF9">
            <w:pPr>
              <w:pStyle w:val="aff6"/>
              <w:topLinePunct/>
            </w:pPr>
            <w:r>
              <w:t>4</w:t>
            </w:r>
          </w:p>
        </w:tc>
        <w:tc>
          <w:tcPr>
            <w:tcW w:w="821" w:type="pct"/>
            <w:vMerge w:val="restart"/>
            <w:vAlign w:val="center"/>
          </w:tcPr>
          <w:p w14:paraId="49611255" w14:textId="77777777" w:rsidR="003E78AB" w:rsidRDefault="00010BF9">
            <w:pPr>
              <w:pStyle w:val="aff6"/>
              <w:topLinePunct/>
            </w:pPr>
            <w:r>
              <w:t>DA004</w:t>
            </w:r>
          </w:p>
        </w:tc>
        <w:tc>
          <w:tcPr>
            <w:tcW w:w="901" w:type="pct"/>
            <w:vAlign w:val="center"/>
          </w:tcPr>
          <w:p w14:paraId="2C0923A4" w14:textId="77777777" w:rsidR="003E78AB" w:rsidRDefault="00010BF9">
            <w:pPr>
              <w:pStyle w:val="aff6"/>
              <w:topLinePunct/>
            </w:pPr>
            <w:r>
              <w:t>颗粒物</w:t>
            </w:r>
          </w:p>
        </w:tc>
        <w:tc>
          <w:tcPr>
            <w:tcW w:w="974" w:type="pct"/>
            <w:vAlign w:val="center"/>
          </w:tcPr>
          <w:p w14:paraId="75A91F78" w14:textId="77777777" w:rsidR="003E78AB" w:rsidRDefault="00010BF9">
            <w:pPr>
              <w:pStyle w:val="aff6"/>
              <w:topLinePunct/>
            </w:pPr>
            <w:r>
              <w:rPr>
                <w:rFonts w:hint="eastAsia"/>
              </w:rPr>
              <w:t>5.90</w:t>
            </w:r>
          </w:p>
        </w:tc>
        <w:tc>
          <w:tcPr>
            <w:tcW w:w="968" w:type="pct"/>
            <w:vAlign w:val="center"/>
          </w:tcPr>
          <w:p w14:paraId="74293713" w14:textId="77777777" w:rsidR="003E78AB" w:rsidRDefault="00010BF9">
            <w:pPr>
              <w:pStyle w:val="aff6"/>
              <w:topLinePunct/>
            </w:pPr>
            <w:r>
              <w:rPr>
                <w:rFonts w:hint="eastAsia"/>
              </w:rPr>
              <w:t>0.0278</w:t>
            </w:r>
          </w:p>
        </w:tc>
        <w:tc>
          <w:tcPr>
            <w:tcW w:w="944" w:type="pct"/>
            <w:vAlign w:val="center"/>
          </w:tcPr>
          <w:p w14:paraId="6C32D719" w14:textId="77777777" w:rsidR="003E78AB" w:rsidRDefault="00010BF9">
            <w:pPr>
              <w:pStyle w:val="aff6"/>
              <w:topLinePunct/>
            </w:pPr>
            <w:r>
              <w:rPr>
                <w:rFonts w:hint="eastAsia"/>
              </w:rPr>
              <w:t>0.1201</w:t>
            </w:r>
          </w:p>
        </w:tc>
      </w:tr>
      <w:tr w:rsidR="003E78AB" w14:paraId="2AB0F332" w14:textId="77777777">
        <w:trPr>
          <w:trHeight w:val="421"/>
        </w:trPr>
        <w:tc>
          <w:tcPr>
            <w:tcW w:w="388" w:type="pct"/>
            <w:vMerge/>
            <w:vAlign w:val="center"/>
          </w:tcPr>
          <w:p w14:paraId="527D70A5" w14:textId="77777777" w:rsidR="003E78AB" w:rsidRDefault="003E78AB">
            <w:pPr>
              <w:pStyle w:val="aff6"/>
              <w:topLinePunct/>
            </w:pPr>
          </w:p>
        </w:tc>
        <w:tc>
          <w:tcPr>
            <w:tcW w:w="821" w:type="pct"/>
            <w:vMerge/>
            <w:vAlign w:val="center"/>
          </w:tcPr>
          <w:p w14:paraId="31574A13" w14:textId="77777777" w:rsidR="003E78AB" w:rsidRDefault="003E78AB">
            <w:pPr>
              <w:pStyle w:val="aff6"/>
              <w:topLinePunct/>
            </w:pPr>
          </w:p>
        </w:tc>
        <w:tc>
          <w:tcPr>
            <w:tcW w:w="901" w:type="pct"/>
            <w:vAlign w:val="center"/>
          </w:tcPr>
          <w:p w14:paraId="7CC19676" w14:textId="77777777" w:rsidR="003E78AB" w:rsidRDefault="00010BF9">
            <w:pPr>
              <w:pStyle w:val="aff6"/>
              <w:topLinePunct/>
            </w:pPr>
            <w:r>
              <w:rPr>
                <w:rFonts w:hint="eastAsia"/>
              </w:rPr>
              <w:t>SO</w:t>
            </w:r>
            <w:r>
              <w:rPr>
                <w:rFonts w:hint="eastAsia"/>
                <w:vertAlign w:val="subscript"/>
              </w:rPr>
              <w:t>2</w:t>
            </w:r>
          </w:p>
        </w:tc>
        <w:tc>
          <w:tcPr>
            <w:tcW w:w="974" w:type="pct"/>
            <w:vAlign w:val="center"/>
          </w:tcPr>
          <w:p w14:paraId="29B62BB9" w14:textId="77777777" w:rsidR="003E78AB" w:rsidRDefault="00010BF9">
            <w:pPr>
              <w:pStyle w:val="aff6"/>
              <w:topLinePunct/>
            </w:pPr>
            <w:r>
              <w:rPr>
                <w:rFonts w:hint="eastAsia"/>
              </w:rPr>
              <w:t>7.51</w:t>
            </w:r>
          </w:p>
        </w:tc>
        <w:tc>
          <w:tcPr>
            <w:tcW w:w="968" w:type="pct"/>
            <w:vAlign w:val="center"/>
          </w:tcPr>
          <w:p w14:paraId="4CB81F9D" w14:textId="77777777" w:rsidR="003E78AB" w:rsidRDefault="00010BF9">
            <w:pPr>
              <w:pStyle w:val="aff6"/>
              <w:topLinePunct/>
            </w:pPr>
            <w:r>
              <w:rPr>
                <w:rFonts w:hint="eastAsia"/>
              </w:rPr>
              <w:t>0.0354</w:t>
            </w:r>
          </w:p>
        </w:tc>
        <w:tc>
          <w:tcPr>
            <w:tcW w:w="944" w:type="pct"/>
            <w:vAlign w:val="center"/>
          </w:tcPr>
          <w:p w14:paraId="4EA1A7D8" w14:textId="77777777" w:rsidR="003E78AB" w:rsidRDefault="00010BF9">
            <w:pPr>
              <w:pStyle w:val="aff6"/>
              <w:topLinePunct/>
            </w:pPr>
            <w:r>
              <w:rPr>
                <w:rFonts w:hint="eastAsia"/>
              </w:rPr>
              <w:t>0.1529</w:t>
            </w:r>
          </w:p>
        </w:tc>
      </w:tr>
      <w:tr w:rsidR="003E78AB" w14:paraId="68136795" w14:textId="77777777">
        <w:trPr>
          <w:trHeight w:val="422"/>
        </w:trPr>
        <w:tc>
          <w:tcPr>
            <w:tcW w:w="388" w:type="pct"/>
            <w:vMerge/>
            <w:vAlign w:val="center"/>
          </w:tcPr>
          <w:p w14:paraId="616E83F4" w14:textId="77777777" w:rsidR="003E78AB" w:rsidRDefault="003E78AB">
            <w:pPr>
              <w:pStyle w:val="aff6"/>
              <w:topLinePunct/>
            </w:pPr>
          </w:p>
        </w:tc>
        <w:tc>
          <w:tcPr>
            <w:tcW w:w="821" w:type="pct"/>
            <w:vMerge/>
            <w:vAlign w:val="center"/>
          </w:tcPr>
          <w:p w14:paraId="67C909B8" w14:textId="77777777" w:rsidR="003E78AB" w:rsidRDefault="003E78AB">
            <w:pPr>
              <w:pStyle w:val="aff6"/>
              <w:topLinePunct/>
            </w:pPr>
          </w:p>
        </w:tc>
        <w:tc>
          <w:tcPr>
            <w:tcW w:w="901" w:type="pct"/>
            <w:vAlign w:val="center"/>
          </w:tcPr>
          <w:p w14:paraId="2686CF22" w14:textId="77777777" w:rsidR="003E78AB" w:rsidRDefault="00010BF9">
            <w:pPr>
              <w:pStyle w:val="aff6"/>
              <w:topLinePunct/>
            </w:pPr>
            <w:r>
              <w:rPr>
                <w:rFonts w:hint="eastAsia"/>
              </w:rPr>
              <w:t>NOx</w:t>
            </w:r>
          </w:p>
        </w:tc>
        <w:tc>
          <w:tcPr>
            <w:tcW w:w="974" w:type="pct"/>
            <w:vAlign w:val="center"/>
          </w:tcPr>
          <w:p w14:paraId="1CC5056C" w14:textId="77777777" w:rsidR="003E78AB" w:rsidRDefault="00010BF9">
            <w:pPr>
              <w:pStyle w:val="aff6"/>
              <w:topLinePunct/>
            </w:pPr>
            <w:r>
              <w:rPr>
                <w:rFonts w:hint="eastAsia"/>
              </w:rPr>
              <w:t>50.00</w:t>
            </w:r>
          </w:p>
        </w:tc>
        <w:tc>
          <w:tcPr>
            <w:tcW w:w="968" w:type="pct"/>
            <w:vAlign w:val="center"/>
          </w:tcPr>
          <w:p w14:paraId="4D6DD14E" w14:textId="77777777" w:rsidR="003E78AB" w:rsidRDefault="00010BF9">
            <w:pPr>
              <w:pStyle w:val="aff6"/>
              <w:topLinePunct/>
            </w:pPr>
            <w:r>
              <w:rPr>
                <w:rFonts w:hint="eastAsia"/>
              </w:rPr>
              <w:t>0.2355</w:t>
            </w:r>
          </w:p>
        </w:tc>
        <w:tc>
          <w:tcPr>
            <w:tcW w:w="944" w:type="pct"/>
            <w:vAlign w:val="center"/>
          </w:tcPr>
          <w:p w14:paraId="09038BB6" w14:textId="77777777" w:rsidR="003E78AB" w:rsidRDefault="00010BF9">
            <w:pPr>
              <w:pStyle w:val="aff6"/>
              <w:topLinePunct/>
            </w:pPr>
            <w:r>
              <w:rPr>
                <w:rFonts w:hint="eastAsia"/>
              </w:rPr>
              <w:t>1.0175</w:t>
            </w:r>
          </w:p>
        </w:tc>
      </w:tr>
      <w:tr w:rsidR="003E78AB" w14:paraId="2C1FF208" w14:textId="77777777">
        <w:trPr>
          <w:trHeight w:val="422"/>
        </w:trPr>
        <w:tc>
          <w:tcPr>
            <w:tcW w:w="1210" w:type="pct"/>
            <w:gridSpan w:val="2"/>
            <w:vMerge w:val="restart"/>
            <w:vAlign w:val="center"/>
          </w:tcPr>
          <w:p w14:paraId="4B79AE3F" w14:textId="77777777" w:rsidR="003E78AB" w:rsidRDefault="00010BF9">
            <w:pPr>
              <w:pStyle w:val="aff6"/>
              <w:topLinePunct/>
            </w:pPr>
            <w:r>
              <w:t>一般排放口合计</w:t>
            </w:r>
          </w:p>
        </w:tc>
        <w:tc>
          <w:tcPr>
            <w:tcW w:w="2844" w:type="pct"/>
            <w:gridSpan w:val="3"/>
            <w:vAlign w:val="center"/>
          </w:tcPr>
          <w:p w14:paraId="161E8F0A" w14:textId="77777777" w:rsidR="003E78AB" w:rsidRDefault="00010BF9">
            <w:pPr>
              <w:pStyle w:val="aff6"/>
              <w:topLinePunct/>
            </w:pPr>
            <w:r>
              <w:t>颗粒物</w:t>
            </w:r>
          </w:p>
        </w:tc>
        <w:tc>
          <w:tcPr>
            <w:tcW w:w="944" w:type="pct"/>
            <w:shd w:val="clear" w:color="auto" w:fill="auto"/>
            <w:vAlign w:val="center"/>
          </w:tcPr>
          <w:p w14:paraId="2D62388B" w14:textId="77777777" w:rsidR="003E78AB" w:rsidRDefault="00010BF9">
            <w:pPr>
              <w:pStyle w:val="aff6"/>
              <w:topLinePunct/>
            </w:pPr>
            <w:r>
              <w:rPr>
                <w:rFonts w:hint="eastAsia"/>
              </w:rPr>
              <w:t>0.3281</w:t>
            </w:r>
          </w:p>
        </w:tc>
      </w:tr>
      <w:tr w:rsidR="003E78AB" w14:paraId="0A8217EA" w14:textId="77777777">
        <w:trPr>
          <w:trHeight w:val="422"/>
        </w:trPr>
        <w:tc>
          <w:tcPr>
            <w:tcW w:w="1210" w:type="pct"/>
            <w:gridSpan w:val="2"/>
            <w:vMerge/>
            <w:vAlign w:val="center"/>
          </w:tcPr>
          <w:p w14:paraId="6094E5F6" w14:textId="77777777" w:rsidR="003E78AB" w:rsidRDefault="003E78AB">
            <w:pPr>
              <w:pStyle w:val="aff6"/>
              <w:topLinePunct/>
            </w:pPr>
          </w:p>
        </w:tc>
        <w:tc>
          <w:tcPr>
            <w:tcW w:w="2844" w:type="pct"/>
            <w:gridSpan w:val="3"/>
            <w:vAlign w:val="center"/>
          </w:tcPr>
          <w:p w14:paraId="4B46EC07" w14:textId="77777777" w:rsidR="003E78AB" w:rsidRDefault="00010BF9">
            <w:pPr>
              <w:pStyle w:val="aff6"/>
              <w:topLinePunct/>
            </w:pPr>
            <w:r>
              <w:t>硫酸雾</w:t>
            </w:r>
          </w:p>
        </w:tc>
        <w:tc>
          <w:tcPr>
            <w:tcW w:w="944" w:type="pct"/>
            <w:vAlign w:val="center"/>
          </w:tcPr>
          <w:p w14:paraId="7AD9A454" w14:textId="77777777" w:rsidR="003E78AB" w:rsidRDefault="00010BF9">
            <w:pPr>
              <w:pStyle w:val="aff6"/>
              <w:topLinePunct/>
            </w:pPr>
            <w:r>
              <w:rPr>
                <w:rFonts w:hint="eastAsia"/>
              </w:rPr>
              <w:t>1.1243</w:t>
            </w:r>
          </w:p>
        </w:tc>
      </w:tr>
      <w:tr w:rsidR="003E78AB" w14:paraId="07160D4D" w14:textId="77777777">
        <w:trPr>
          <w:trHeight w:val="422"/>
        </w:trPr>
        <w:tc>
          <w:tcPr>
            <w:tcW w:w="1210" w:type="pct"/>
            <w:gridSpan w:val="2"/>
            <w:vMerge/>
            <w:vAlign w:val="center"/>
          </w:tcPr>
          <w:p w14:paraId="3BDC26FA" w14:textId="77777777" w:rsidR="003E78AB" w:rsidRDefault="003E78AB">
            <w:pPr>
              <w:pStyle w:val="aff6"/>
              <w:topLinePunct/>
            </w:pPr>
          </w:p>
        </w:tc>
        <w:tc>
          <w:tcPr>
            <w:tcW w:w="2844" w:type="pct"/>
            <w:gridSpan w:val="3"/>
            <w:vAlign w:val="center"/>
          </w:tcPr>
          <w:p w14:paraId="07D01CCA" w14:textId="77777777" w:rsidR="003E78AB" w:rsidRDefault="00010BF9">
            <w:pPr>
              <w:pStyle w:val="aff6"/>
              <w:topLinePunct/>
              <w:rPr>
                <w:b/>
                <w:bCs/>
                <w:u w:val="single"/>
              </w:rPr>
            </w:pPr>
            <w:r>
              <w:rPr>
                <w:rFonts w:hint="eastAsia"/>
                <w:b/>
                <w:bCs/>
                <w:u w:val="single"/>
              </w:rPr>
              <w:t>磷酸雾</w:t>
            </w:r>
          </w:p>
        </w:tc>
        <w:tc>
          <w:tcPr>
            <w:tcW w:w="944" w:type="pct"/>
            <w:vAlign w:val="center"/>
          </w:tcPr>
          <w:p w14:paraId="55ED2E4C" w14:textId="77777777" w:rsidR="003E78AB" w:rsidRDefault="00010BF9">
            <w:pPr>
              <w:pStyle w:val="aff6"/>
              <w:topLinePunct/>
              <w:rPr>
                <w:b/>
                <w:bCs/>
                <w:u w:val="single"/>
              </w:rPr>
            </w:pPr>
            <w:r>
              <w:rPr>
                <w:rFonts w:hint="eastAsia"/>
                <w:b/>
                <w:bCs/>
                <w:u w:val="single"/>
              </w:rPr>
              <w:t>0.1810</w:t>
            </w:r>
          </w:p>
        </w:tc>
      </w:tr>
      <w:tr w:rsidR="003E78AB" w14:paraId="1CDB52A2" w14:textId="77777777">
        <w:trPr>
          <w:trHeight w:val="421"/>
        </w:trPr>
        <w:tc>
          <w:tcPr>
            <w:tcW w:w="1210" w:type="pct"/>
            <w:gridSpan w:val="2"/>
            <w:vMerge/>
            <w:vAlign w:val="center"/>
          </w:tcPr>
          <w:p w14:paraId="740907D4" w14:textId="77777777" w:rsidR="003E78AB" w:rsidRDefault="003E78AB">
            <w:pPr>
              <w:pStyle w:val="aff6"/>
              <w:topLinePunct/>
            </w:pPr>
          </w:p>
        </w:tc>
        <w:tc>
          <w:tcPr>
            <w:tcW w:w="2844" w:type="pct"/>
            <w:gridSpan w:val="3"/>
            <w:vAlign w:val="center"/>
          </w:tcPr>
          <w:p w14:paraId="197E4D73" w14:textId="77777777" w:rsidR="003E78AB" w:rsidRDefault="00010BF9">
            <w:pPr>
              <w:pStyle w:val="aff6"/>
              <w:topLinePunct/>
              <w:rPr>
                <w:b/>
                <w:bCs/>
                <w:u w:val="single"/>
              </w:rPr>
            </w:pPr>
            <w:r>
              <w:rPr>
                <w:rFonts w:hint="eastAsia"/>
                <w:b/>
                <w:bCs/>
                <w:u w:val="single"/>
              </w:rPr>
              <w:t>VOCs</w:t>
            </w:r>
          </w:p>
        </w:tc>
        <w:tc>
          <w:tcPr>
            <w:tcW w:w="944" w:type="pct"/>
            <w:vAlign w:val="center"/>
          </w:tcPr>
          <w:p w14:paraId="1D6DEAF4" w14:textId="77777777" w:rsidR="003E78AB" w:rsidRDefault="00010BF9">
            <w:pPr>
              <w:pStyle w:val="aff6"/>
              <w:topLinePunct/>
              <w:rPr>
                <w:b/>
                <w:bCs/>
                <w:u w:val="single"/>
              </w:rPr>
            </w:pPr>
            <w:r>
              <w:rPr>
                <w:rFonts w:hint="eastAsia"/>
                <w:b/>
                <w:bCs/>
                <w:u w:val="single"/>
              </w:rPr>
              <w:t>0.3649</w:t>
            </w:r>
          </w:p>
        </w:tc>
      </w:tr>
      <w:tr w:rsidR="003E78AB" w14:paraId="5E3B1DD0" w14:textId="77777777">
        <w:trPr>
          <w:trHeight w:val="421"/>
        </w:trPr>
        <w:tc>
          <w:tcPr>
            <w:tcW w:w="1210" w:type="pct"/>
            <w:gridSpan w:val="2"/>
            <w:vMerge/>
            <w:vAlign w:val="center"/>
          </w:tcPr>
          <w:p w14:paraId="24FDC8FA" w14:textId="77777777" w:rsidR="003E78AB" w:rsidRDefault="003E78AB">
            <w:pPr>
              <w:pStyle w:val="aff6"/>
              <w:topLinePunct/>
            </w:pPr>
          </w:p>
        </w:tc>
        <w:tc>
          <w:tcPr>
            <w:tcW w:w="2844" w:type="pct"/>
            <w:gridSpan w:val="3"/>
            <w:vAlign w:val="center"/>
          </w:tcPr>
          <w:p w14:paraId="3713D42C" w14:textId="77777777" w:rsidR="003E78AB" w:rsidRDefault="00010BF9">
            <w:pPr>
              <w:pStyle w:val="aff6"/>
              <w:topLinePunct/>
            </w:pPr>
            <w:r>
              <w:rPr>
                <w:rFonts w:hint="eastAsia"/>
              </w:rPr>
              <w:t>SO</w:t>
            </w:r>
            <w:r>
              <w:rPr>
                <w:rFonts w:hint="eastAsia"/>
                <w:vertAlign w:val="subscript"/>
              </w:rPr>
              <w:t>2</w:t>
            </w:r>
          </w:p>
        </w:tc>
        <w:tc>
          <w:tcPr>
            <w:tcW w:w="944" w:type="pct"/>
            <w:vAlign w:val="center"/>
          </w:tcPr>
          <w:p w14:paraId="0EBF5C0D" w14:textId="77777777" w:rsidR="003E78AB" w:rsidRDefault="00010BF9">
            <w:pPr>
              <w:pStyle w:val="aff6"/>
              <w:topLinePunct/>
            </w:pPr>
            <w:r>
              <w:rPr>
                <w:rFonts w:hint="eastAsia"/>
              </w:rPr>
              <w:t>0.1529</w:t>
            </w:r>
          </w:p>
        </w:tc>
      </w:tr>
      <w:tr w:rsidR="003E78AB" w14:paraId="7E231587" w14:textId="77777777">
        <w:trPr>
          <w:trHeight w:val="422"/>
        </w:trPr>
        <w:tc>
          <w:tcPr>
            <w:tcW w:w="1210" w:type="pct"/>
            <w:gridSpan w:val="2"/>
            <w:vMerge/>
            <w:vAlign w:val="center"/>
          </w:tcPr>
          <w:p w14:paraId="1CF38C28" w14:textId="77777777" w:rsidR="003E78AB" w:rsidRDefault="003E78AB">
            <w:pPr>
              <w:pStyle w:val="aff6"/>
              <w:topLinePunct/>
            </w:pPr>
          </w:p>
        </w:tc>
        <w:tc>
          <w:tcPr>
            <w:tcW w:w="2844" w:type="pct"/>
            <w:gridSpan w:val="3"/>
            <w:vAlign w:val="center"/>
          </w:tcPr>
          <w:p w14:paraId="46549AF8" w14:textId="77777777" w:rsidR="003E78AB" w:rsidRDefault="00010BF9">
            <w:pPr>
              <w:pStyle w:val="aff6"/>
              <w:topLinePunct/>
            </w:pPr>
            <w:r>
              <w:rPr>
                <w:rFonts w:hint="eastAsia"/>
              </w:rPr>
              <w:t>NOx</w:t>
            </w:r>
          </w:p>
        </w:tc>
        <w:tc>
          <w:tcPr>
            <w:tcW w:w="944" w:type="pct"/>
            <w:vAlign w:val="center"/>
          </w:tcPr>
          <w:p w14:paraId="36C9FE07" w14:textId="77777777" w:rsidR="003E78AB" w:rsidRDefault="00010BF9">
            <w:pPr>
              <w:pStyle w:val="aff6"/>
              <w:topLinePunct/>
            </w:pPr>
            <w:r>
              <w:rPr>
                <w:rFonts w:hint="eastAsia"/>
              </w:rPr>
              <w:t>1.0175</w:t>
            </w:r>
          </w:p>
        </w:tc>
      </w:tr>
      <w:tr w:rsidR="003E78AB" w14:paraId="7C70973D" w14:textId="77777777">
        <w:trPr>
          <w:trHeight w:val="422"/>
        </w:trPr>
        <w:tc>
          <w:tcPr>
            <w:tcW w:w="5000" w:type="pct"/>
            <w:gridSpan w:val="6"/>
            <w:vAlign w:val="center"/>
          </w:tcPr>
          <w:p w14:paraId="22FDC4B8" w14:textId="77777777" w:rsidR="003E78AB" w:rsidRDefault="00010BF9">
            <w:pPr>
              <w:pStyle w:val="aff6"/>
              <w:topLinePunct/>
            </w:pPr>
            <w:r>
              <w:t>有组织排放总计</w:t>
            </w:r>
          </w:p>
        </w:tc>
      </w:tr>
      <w:tr w:rsidR="003E78AB" w14:paraId="1B23E614" w14:textId="77777777">
        <w:trPr>
          <w:trHeight w:val="422"/>
        </w:trPr>
        <w:tc>
          <w:tcPr>
            <w:tcW w:w="1210" w:type="pct"/>
            <w:gridSpan w:val="2"/>
            <w:vMerge w:val="restart"/>
            <w:vAlign w:val="center"/>
          </w:tcPr>
          <w:p w14:paraId="0666FB8C" w14:textId="77777777" w:rsidR="003E78AB" w:rsidRDefault="00010BF9">
            <w:pPr>
              <w:pStyle w:val="aff6"/>
              <w:topLinePunct/>
            </w:pPr>
            <w:r>
              <w:t>有组织排放总计</w:t>
            </w:r>
          </w:p>
        </w:tc>
        <w:tc>
          <w:tcPr>
            <w:tcW w:w="2844" w:type="pct"/>
            <w:gridSpan w:val="3"/>
            <w:vAlign w:val="center"/>
          </w:tcPr>
          <w:p w14:paraId="37CCCB0E" w14:textId="77777777" w:rsidR="003E78AB" w:rsidRDefault="00010BF9">
            <w:pPr>
              <w:pStyle w:val="aff6"/>
              <w:topLinePunct/>
            </w:pPr>
            <w:r>
              <w:t>颗粒物</w:t>
            </w:r>
          </w:p>
        </w:tc>
        <w:tc>
          <w:tcPr>
            <w:tcW w:w="1574" w:type="dxa"/>
            <w:vAlign w:val="center"/>
          </w:tcPr>
          <w:p w14:paraId="46969D78" w14:textId="77777777" w:rsidR="003E78AB" w:rsidRDefault="00010BF9">
            <w:pPr>
              <w:pStyle w:val="aff6"/>
              <w:topLinePunct/>
            </w:pPr>
            <w:r>
              <w:rPr>
                <w:rFonts w:hint="eastAsia"/>
              </w:rPr>
              <w:t>0.3281</w:t>
            </w:r>
          </w:p>
        </w:tc>
      </w:tr>
      <w:tr w:rsidR="003E78AB" w14:paraId="48915FF5" w14:textId="77777777">
        <w:trPr>
          <w:trHeight w:val="422"/>
        </w:trPr>
        <w:tc>
          <w:tcPr>
            <w:tcW w:w="1210" w:type="pct"/>
            <w:gridSpan w:val="2"/>
            <w:vMerge/>
            <w:vAlign w:val="center"/>
          </w:tcPr>
          <w:p w14:paraId="4B3E4CCE" w14:textId="77777777" w:rsidR="003E78AB" w:rsidRDefault="003E78AB">
            <w:pPr>
              <w:pStyle w:val="aff6"/>
              <w:topLinePunct/>
            </w:pPr>
          </w:p>
        </w:tc>
        <w:tc>
          <w:tcPr>
            <w:tcW w:w="2844" w:type="pct"/>
            <w:gridSpan w:val="3"/>
            <w:vAlign w:val="center"/>
          </w:tcPr>
          <w:p w14:paraId="301555E0" w14:textId="77777777" w:rsidR="003E78AB" w:rsidRDefault="00010BF9">
            <w:pPr>
              <w:pStyle w:val="aff6"/>
              <w:topLinePunct/>
            </w:pPr>
            <w:r>
              <w:t>硫酸雾</w:t>
            </w:r>
          </w:p>
        </w:tc>
        <w:tc>
          <w:tcPr>
            <w:tcW w:w="1574" w:type="dxa"/>
            <w:vAlign w:val="center"/>
          </w:tcPr>
          <w:p w14:paraId="3D8C4073" w14:textId="77777777" w:rsidR="003E78AB" w:rsidRDefault="00010BF9">
            <w:pPr>
              <w:pStyle w:val="aff6"/>
              <w:topLinePunct/>
            </w:pPr>
            <w:r>
              <w:rPr>
                <w:rFonts w:hint="eastAsia"/>
              </w:rPr>
              <w:t>1.1243</w:t>
            </w:r>
          </w:p>
        </w:tc>
      </w:tr>
      <w:tr w:rsidR="003E78AB" w14:paraId="3DE1DF9D" w14:textId="77777777">
        <w:trPr>
          <w:trHeight w:val="422"/>
        </w:trPr>
        <w:tc>
          <w:tcPr>
            <w:tcW w:w="1210" w:type="pct"/>
            <w:gridSpan w:val="2"/>
            <w:vMerge/>
            <w:vAlign w:val="center"/>
          </w:tcPr>
          <w:p w14:paraId="0C1B0E3A" w14:textId="77777777" w:rsidR="003E78AB" w:rsidRDefault="003E78AB">
            <w:pPr>
              <w:pStyle w:val="aff6"/>
              <w:topLinePunct/>
            </w:pPr>
          </w:p>
        </w:tc>
        <w:tc>
          <w:tcPr>
            <w:tcW w:w="2844" w:type="pct"/>
            <w:gridSpan w:val="3"/>
            <w:vAlign w:val="center"/>
          </w:tcPr>
          <w:p w14:paraId="04FD80D8" w14:textId="77777777" w:rsidR="003E78AB" w:rsidRDefault="00010BF9">
            <w:pPr>
              <w:pStyle w:val="aff6"/>
              <w:topLinePunct/>
              <w:rPr>
                <w:b/>
                <w:bCs/>
                <w:u w:val="single"/>
              </w:rPr>
            </w:pPr>
            <w:r>
              <w:rPr>
                <w:rFonts w:hint="eastAsia"/>
                <w:b/>
                <w:bCs/>
                <w:u w:val="single"/>
              </w:rPr>
              <w:t>磷酸雾</w:t>
            </w:r>
          </w:p>
        </w:tc>
        <w:tc>
          <w:tcPr>
            <w:tcW w:w="1574" w:type="dxa"/>
            <w:vAlign w:val="center"/>
          </w:tcPr>
          <w:p w14:paraId="0C4493AC" w14:textId="77777777" w:rsidR="003E78AB" w:rsidRDefault="00010BF9">
            <w:pPr>
              <w:pStyle w:val="aff6"/>
              <w:topLinePunct/>
              <w:rPr>
                <w:b/>
                <w:bCs/>
                <w:u w:val="single"/>
              </w:rPr>
            </w:pPr>
            <w:r>
              <w:rPr>
                <w:rFonts w:hint="eastAsia"/>
                <w:b/>
                <w:bCs/>
                <w:u w:val="single"/>
              </w:rPr>
              <w:t>0.1810</w:t>
            </w:r>
          </w:p>
        </w:tc>
      </w:tr>
      <w:tr w:rsidR="003E78AB" w14:paraId="39B0CCE4" w14:textId="77777777">
        <w:trPr>
          <w:trHeight w:val="422"/>
        </w:trPr>
        <w:tc>
          <w:tcPr>
            <w:tcW w:w="1210" w:type="pct"/>
            <w:gridSpan w:val="2"/>
            <w:vMerge/>
            <w:vAlign w:val="center"/>
          </w:tcPr>
          <w:p w14:paraId="1D4C515F" w14:textId="77777777" w:rsidR="003E78AB" w:rsidRDefault="003E78AB">
            <w:pPr>
              <w:pStyle w:val="aff6"/>
              <w:topLinePunct/>
            </w:pPr>
          </w:p>
        </w:tc>
        <w:tc>
          <w:tcPr>
            <w:tcW w:w="2844" w:type="pct"/>
            <w:gridSpan w:val="3"/>
            <w:vAlign w:val="center"/>
          </w:tcPr>
          <w:p w14:paraId="13DA59FE" w14:textId="77777777" w:rsidR="003E78AB" w:rsidRDefault="00010BF9">
            <w:pPr>
              <w:pStyle w:val="aff6"/>
              <w:topLinePunct/>
              <w:rPr>
                <w:b/>
                <w:bCs/>
                <w:u w:val="single"/>
              </w:rPr>
            </w:pPr>
            <w:r>
              <w:rPr>
                <w:rFonts w:hint="eastAsia"/>
                <w:b/>
                <w:bCs/>
                <w:u w:val="single"/>
              </w:rPr>
              <w:t>VOCs</w:t>
            </w:r>
          </w:p>
        </w:tc>
        <w:tc>
          <w:tcPr>
            <w:tcW w:w="1574" w:type="dxa"/>
            <w:vAlign w:val="center"/>
          </w:tcPr>
          <w:p w14:paraId="3ABB2CC1" w14:textId="77777777" w:rsidR="003E78AB" w:rsidRDefault="00010BF9">
            <w:pPr>
              <w:pStyle w:val="aff6"/>
              <w:topLinePunct/>
              <w:rPr>
                <w:b/>
                <w:bCs/>
                <w:u w:val="single"/>
              </w:rPr>
            </w:pPr>
            <w:r>
              <w:rPr>
                <w:rFonts w:hint="eastAsia"/>
                <w:b/>
                <w:bCs/>
                <w:u w:val="single"/>
              </w:rPr>
              <w:t>0.3649</w:t>
            </w:r>
          </w:p>
        </w:tc>
      </w:tr>
      <w:tr w:rsidR="003E78AB" w14:paraId="37E6A6ED" w14:textId="77777777">
        <w:trPr>
          <w:trHeight w:val="422"/>
        </w:trPr>
        <w:tc>
          <w:tcPr>
            <w:tcW w:w="1210" w:type="pct"/>
            <w:gridSpan w:val="2"/>
            <w:vMerge/>
            <w:vAlign w:val="center"/>
          </w:tcPr>
          <w:p w14:paraId="4EB12C6E" w14:textId="77777777" w:rsidR="003E78AB" w:rsidRDefault="003E78AB">
            <w:pPr>
              <w:pStyle w:val="aff6"/>
              <w:topLinePunct/>
            </w:pPr>
          </w:p>
        </w:tc>
        <w:tc>
          <w:tcPr>
            <w:tcW w:w="2844" w:type="pct"/>
            <w:gridSpan w:val="3"/>
            <w:vAlign w:val="center"/>
          </w:tcPr>
          <w:p w14:paraId="7E025D7C" w14:textId="77777777" w:rsidR="003E78AB" w:rsidRDefault="00010BF9">
            <w:pPr>
              <w:pStyle w:val="aff6"/>
              <w:topLinePunct/>
            </w:pPr>
            <w:r>
              <w:rPr>
                <w:rFonts w:hint="eastAsia"/>
              </w:rPr>
              <w:t>SO</w:t>
            </w:r>
            <w:r>
              <w:rPr>
                <w:rFonts w:hint="eastAsia"/>
                <w:vertAlign w:val="subscript"/>
              </w:rPr>
              <w:t>2</w:t>
            </w:r>
          </w:p>
        </w:tc>
        <w:tc>
          <w:tcPr>
            <w:tcW w:w="1574" w:type="dxa"/>
            <w:vAlign w:val="center"/>
          </w:tcPr>
          <w:p w14:paraId="3BC962F8" w14:textId="77777777" w:rsidR="003E78AB" w:rsidRDefault="00010BF9">
            <w:pPr>
              <w:pStyle w:val="aff6"/>
              <w:topLinePunct/>
            </w:pPr>
            <w:r>
              <w:rPr>
                <w:rFonts w:hint="eastAsia"/>
              </w:rPr>
              <w:t>0.1529</w:t>
            </w:r>
          </w:p>
        </w:tc>
      </w:tr>
      <w:tr w:rsidR="003E78AB" w14:paraId="45EB5C19" w14:textId="77777777">
        <w:trPr>
          <w:trHeight w:val="426"/>
        </w:trPr>
        <w:tc>
          <w:tcPr>
            <w:tcW w:w="1210" w:type="pct"/>
            <w:gridSpan w:val="2"/>
            <w:vMerge/>
            <w:vAlign w:val="center"/>
          </w:tcPr>
          <w:p w14:paraId="269E9BFB" w14:textId="77777777" w:rsidR="003E78AB" w:rsidRDefault="003E78AB">
            <w:pPr>
              <w:pStyle w:val="aff6"/>
              <w:topLinePunct/>
            </w:pPr>
          </w:p>
        </w:tc>
        <w:tc>
          <w:tcPr>
            <w:tcW w:w="2844" w:type="pct"/>
            <w:gridSpan w:val="3"/>
            <w:vAlign w:val="center"/>
          </w:tcPr>
          <w:p w14:paraId="2DD2A368" w14:textId="77777777" w:rsidR="003E78AB" w:rsidRDefault="00010BF9">
            <w:pPr>
              <w:pStyle w:val="aff6"/>
              <w:topLinePunct/>
            </w:pPr>
            <w:r>
              <w:rPr>
                <w:rFonts w:hint="eastAsia"/>
              </w:rPr>
              <w:t>NOx</w:t>
            </w:r>
          </w:p>
        </w:tc>
        <w:tc>
          <w:tcPr>
            <w:tcW w:w="1574" w:type="dxa"/>
            <w:vAlign w:val="center"/>
          </w:tcPr>
          <w:p w14:paraId="04D3A19B" w14:textId="77777777" w:rsidR="003E78AB" w:rsidRDefault="00010BF9">
            <w:pPr>
              <w:pStyle w:val="aff6"/>
              <w:topLinePunct/>
            </w:pPr>
            <w:r>
              <w:rPr>
                <w:rFonts w:hint="eastAsia"/>
              </w:rPr>
              <w:t>1.0175</w:t>
            </w:r>
          </w:p>
        </w:tc>
      </w:tr>
    </w:tbl>
    <w:p w14:paraId="71390C09" w14:textId="77777777" w:rsidR="003E78AB" w:rsidRDefault="00010BF9">
      <w:pPr>
        <w:pStyle w:val="a4"/>
        <w:spacing w:before="120"/>
        <w:ind w:left="425" w:hanging="425"/>
      </w:pPr>
      <w:bookmarkStart w:id="376" w:name="_Ref5477"/>
      <w:r>
        <w:t>本项目无组织废气排放核算表</w:t>
      </w:r>
      <w:bookmarkEnd w:id="376"/>
    </w:p>
    <w:tbl>
      <w:tblPr>
        <w:tblStyle w:val="TableNormal"/>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93"/>
        <w:gridCol w:w="864"/>
        <w:gridCol w:w="789"/>
        <w:gridCol w:w="1264"/>
        <w:gridCol w:w="2835"/>
        <w:gridCol w:w="1052"/>
        <w:gridCol w:w="911"/>
      </w:tblGrid>
      <w:tr w:rsidR="003E78AB" w14:paraId="0FA04143" w14:textId="77777777">
        <w:trPr>
          <w:trHeight w:val="321"/>
          <w:tblHeader/>
        </w:trPr>
        <w:tc>
          <w:tcPr>
            <w:tcW w:w="357" w:type="pct"/>
            <w:vMerge w:val="restart"/>
            <w:tcBorders>
              <w:bottom w:val="nil"/>
            </w:tcBorders>
            <w:vAlign w:val="center"/>
          </w:tcPr>
          <w:p w14:paraId="348FB71F" w14:textId="77777777" w:rsidR="003E78AB" w:rsidRDefault="00010BF9">
            <w:pPr>
              <w:pStyle w:val="aff6"/>
              <w:topLinePunct/>
              <w:rPr>
                <w:b/>
                <w:bCs/>
              </w:rPr>
            </w:pPr>
            <w:r>
              <w:rPr>
                <w:b/>
                <w:bCs/>
              </w:rPr>
              <w:t>序号</w:t>
            </w:r>
          </w:p>
        </w:tc>
        <w:tc>
          <w:tcPr>
            <w:tcW w:w="520" w:type="pct"/>
            <w:vMerge w:val="restart"/>
            <w:tcBorders>
              <w:bottom w:val="nil"/>
            </w:tcBorders>
            <w:vAlign w:val="center"/>
          </w:tcPr>
          <w:p w14:paraId="0870F1DD" w14:textId="77777777" w:rsidR="003E78AB" w:rsidRDefault="00010BF9">
            <w:pPr>
              <w:pStyle w:val="aff6"/>
              <w:topLinePunct/>
              <w:rPr>
                <w:b/>
                <w:bCs/>
              </w:rPr>
            </w:pPr>
            <w:r>
              <w:rPr>
                <w:b/>
                <w:bCs/>
              </w:rPr>
              <w:t>排放口编号</w:t>
            </w:r>
          </w:p>
        </w:tc>
        <w:tc>
          <w:tcPr>
            <w:tcW w:w="475" w:type="pct"/>
            <w:vMerge w:val="restart"/>
            <w:tcBorders>
              <w:bottom w:val="nil"/>
            </w:tcBorders>
            <w:vAlign w:val="center"/>
          </w:tcPr>
          <w:p w14:paraId="6FFB5757" w14:textId="77777777" w:rsidR="003E78AB" w:rsidRDefault="00010BF9">
            <w:pPr>
              <w:pStyle w:val="aff6"/>
              <w:topLinePunct/>
              <w:rPr>
                <w:b/>
                <w:bCs/>
              </w:rPr>
            </w:pPr>
            <w:r>
              <w:rPr>
                <w:b/>
                <w:bCs/>
              </w:rPr>
              <w:t>污染物</w:t>
            </w:r>
          </w:p>
        </w:tc>
        <w:tc>
          <w:tcPr>
            <w:tcW w:w="761" w:type="pct"/>
            <w:vMerge w:val="restart"/>
            <w:tcBorders>
              <w:bottom w:val="nil"/>
            </w:tcBorders>
            <w:vAlign w:val="center"/>
          </w:tcPr>
          <w:p w14:paraId="18529D51" w14:textId="77777777" w:rsidR="003E78AB" w:rsidRDefault="00010BF9">
            <w:pPr>
              <w:pStyle w:val="aff6"/>
              <w:topLinePunct/>
              <w:rPr>
                <w:b/>
                <w:bCs/>
              </w:rPr>
            </w:pPr>
            <w:r>
              <w:rPr>
                <w:b/>
                <w:bCs/>
              </w:rPr>
              <w:t>主要污染防治措施</w:t>
            </w:r>
          </w:p>
        </w:tc>
        <w:tc>
          <w:tcPr>
            <w:tcW w:w="2338" w:type="pct"/>
            <w:gridSpan w:val="2"/>
            <w:vAlign w:val="center"/>
          </w:tcPr>
          <w:p w14:paraId="3469F7E1" w14:textId="77777777" w:rsidR="003E78AB" w:rsidRDefault="00010BF9">
            <w:pPr>
              <w:pStyle w:val="aff6"/>
              <w:topLinePunct/>
              <w:rPr>
                <w:b/>
                <w:bCs/>
              </w:rPr>
            </w:pPr>
            <w:r>
              <w:rPr>
                <w:b/>
                <w:bCs/>
              </w:rPr>
              <w:t>国家或地方污染物排放标准</w:t>
            </w:r>
          </w:p>
        </w:tc>
        <w:tc>
          <w:tcPr>
            <w:tcW w:w="546" w:type="pct"/>
            <w:vMerge w:val="restart"/>
            <w:tcBorders>
              <w:bottom w:val="nil"/>
            </w:tcBorders>
            <w:vAlign w:val="center"/>
          </w:tcPr>
          <w:p w14:paraId="60574934" w14:textId="77777777" w:rsidR="003E78AB" w:rsidRDefault="00010BF9">
            <w:pPr>
              <w:pStyle w:val="aff6"/>
              <w:topLinePunct/>
              <w:rPr>
                <w:b/>
                <w:bCs/>
              </w:rPr>
            </w:pPr>
            <w:r>
              <w:rPr>
                <w:b/>
                <w:bCs/>
              </w:rPr>
              <w:t>年排放量</w:t>
            </w:r>
            <w:r>
              <w:rPr>
                <w:b/>
                <w:bCs/>
              </w:rPr>
              <w:t>(t/a)</w:t>
            </w:r>
          </w:p>
        </w:tc>
      </w:tr>
      <w:tr w:rsidR="003E78AB" w14:paraId="713BF7D3" w14:textId="77777777">
        <w:trPr>
          <w:trHeight w:val="628"/>
          <w:tblHeader/>
        </w:trPr>
        <w:tc>
          <w:tcPr>
            <w:tcW w:w="357" w:type="pct"/>
            <w:vMerge/>
            <w:tcBorders>
              <w:top w:val="nil"/>
            </w:tcBorders>
            <w:vAlign w:val="center"/>
          </w:tcPr>
          <w:p w14:paraId="11F45400" w14:textId="77777777" w:rsidR="003E78AB" w:rsidRDefault="003E78AB">
            <w:pPr>
              <w:pStyle w:val="aff6"/>
              <w:topLinePunct/>
            </w:pPr>
          </w:p>
        </w:tc>
        <w:tc>
          <w:tcPr>
            <w:tcW w:w="520" w:type="pct"/>
            <w:vMerge/>
            <w:tcBorders>
              <w:top w:val="nil"/>
            </w:tcBorders>
            <w:vAlign w:val="center"/>
          </w:tcPr>
          <w:p w14:paraId="6547415D" w14:textId="77777777" w:rsidR="003E78AB" w:rsidRDefault="003E78AB">
            <w:pPr>
              <w:pStyle w:val="aff6"/>
              <w:topLinePunct/>
            </w:pPr>
          </w:p>
        </w:tc>
        <w:tc>
          <w:tcPr>
            <w:tcW w:w="475" w:type="pct"/>
            <w:vMerge/>
            <w:tcBorders>
              <w:top w:val="nil"/>
            </w:tcBorders>
            <w:vAlign w:val="center"/>
          </w:tcPr>
          <w:p w14:paraId="79A383EB" w14:textId="77777777" w:rsidR="003E78AB" w:rsidRDefault="003E78AB">
            <w:pPr>
              <w:pStyle w:val="aff6"/>
              <w:topLinePunct/>
            </w:pPr>
          </w:p>
        </w:tc>
        <w:tc>
          <w:tcPr>
            <w:tcW w:w="761" w:type="pct"/>
            <w:vMerge/>
            <w:tcBorders>
              <w:top w:val="nil"/>
            </w:tcBorders>
            <w:vAlign w:val="center"/>
          </w:tcPr>
          <w:p w14:paraId="1108C73C" w14:textId="77777777" w:rsidR="003E78AB" w:rsidRDefault="003E78AB">
            <w:pPr>
              <w:pStyle w:val="aff6"/>
              <w:topLinePunct/>
            </w:pPr>
          </w:p>
        </w:tc>
        <w:tc>
          <w:tcPr>
            <w:tcW w:w="1706" w:type="pct"/>
            <w:tcBorders>
              <w:bottom w:val="single" w:sz="4" w:space="0" w:color="auto"/>
            </w:tcBorders>
            <w:vAlign w:val="center"/>
          </w:tcPr>
          <w:p w14:paraId="18CFFBD3" w14:textId="77777777" w:rsidR="003E78AB" w:rsidRDefault="00010BF9">
            <w:pPr>
              <w:pStyle w:val="aff6"/>
              <w:topLinePunct/>
              <w:rPr>
                <w:b/>
                <w:bCs/>
              </w:rPr>
            </w:pPr>
            <w:r>
              <w:rPr>
                <w:b/>
                <w:bCs/>
              </w:rPr>
              <w:t>标准名称</w:t>
            </w:r>
          </w:p>
        </w:tc>
        <w:tc>
          <w:tcPr>
            <w:tcW w:w="632" w:type="pct"/>
            <w:vAlign w:val="center"/>
          </w:tcPr>
          <w:p w14:paraId="7DFC9BE0" w14:textId="77777777" w:rsidR="003E78AB" w:rsidRDefault="00010BF9">
            <w:pPr>
              <w:pStyle w:val="aff6"/>
              <w:topLinePunct/>
              <w:rPr>
                <w:b/>
                <w:bCs/>
              </w:rPr>
            </w:pPr>
            <w:r>
              <w:rPr>
                <w:b/>
                <w:bCs/>
              </w:rPr>
              <w:t>浓度限值</w:t>
            </w:r>
            <w:r>
              <w:rPr>
                <w:b/>
                <w:bCs/>
              </w:rPr>
              <w:t>(mg/m</w:t>
            </w:r>
            <w:r>
              <w:rPr>
                <w:b/>
                <w:bCs/>
                <w:vertAlign w:val="superscript"/>
              </w:rPr>
              <w:t>3</w:t>
            </w:r>
            <w:r>
              <w:rPr>
                <w:b/>
                <w:bCs/>
              </w:rPr>
              <w:t>)</w:t>
            </w:r>
          </w:p>
        </w:tc>
        <w:tc>
          <w:tcPr>
            <w:tcW w:w="546" w:type="pct"/>
            <w:vMerge/>
            <w:tcBorders>
              <w:top w:val="nil"/>
            </w:tcBorders>
            <w:vAlign w:val="center"/>
          </w:tcPr>
          <w:p w14:paraId="5EF4D27D" w14:textId="77777777" w:rsidR="003E78AB" w:rsidRDefault="003E78AB">
            <w:pPr>
              <w:pStyle w:val="aff6"/>
              <w:topLinePunct/>
            </w:pPr>
          </w:p>
        </w:tc>
      </w:tr>
      <w:tr w:rsidR="003E78AB" w14:paraId="3382F98B" w14:textId="77777777">
        <w:trPr>
          <w:trHeight w:val="814"/>
        </w:trPr>
        <w:tc>
          <w:tcPr>
            <w:tcW w:w="357" w:type="pct"/>
            <w:vMerge w:val="restart"/>
            <w:tcBorders>
              <w:bottom w:val="nil"/>
            </w:tcBorders>
            <w:vAlign w:val="center"/>
          </w:tcPr>
          <w:p w14:paraId="249F4181" w14:textId="77777777" w:rsidR="003E78AB" w:rsidRDefault="00010BF9">
            <w:pPr>
              <w:pStyle w:val="aff6"/>
              <w:topLinePunct/>
            </w:pPr>
            <w:r>
              <w:t>1</w:t>
            </w:r>
          </w:p>
        </w:tc>
        <w:tc>
          <w:tcPr>
            <w:tcW w:w="520" w:type="pct"/>
            <w:vMerge w:val="restart"/>
            <w:tcBorders>
              <w:bottom w:val="nil"/>
            </w:tcBorders>
            <w:vAlign w:val="center"/>
          </w:tcPr>
          <w:p w14:paraId="0CA0C26A" w14:textId="77777777" w:rsidR="003E78AB" w:rsidRDefault="00010BF9">
            <w:pPr>
              <w:pStyle w:val="aff6"/>
              <w:topLinePunct/>
            </w:pPr>
            <w:r>
              <w:rPr>
                <w:rFonts w:hint="eastAsia"/>
              </w:rPr>
              <w:t>生产</w:t>
            </w:r>
            <w:r>
              <w:t>车间</w:t>
            </w:r>
            <w:r>
              <w:rPr>
                <w:rFonts w:hint="eastAsia"/>
              </w:rPr>
              <w:t>一</w:t>
            </w:r>
          </w:p>
        </w:tc>
        <w:tc>
          <w:tcPr>
            <w:tcW w:w="475" w:type="pct"/>
            <w:vAlign w:val="center"/>
          </w:tcPr>
          <w:p w14:paraId="0E4F1A1A" w14:textId="77777777" w:rsidR="003E78AB" w:rsidRDefault="00010BF9">
            <w:pPr>
              <w:pStyle w:val="aff6"/>
              <w:topLinePunct/>
            </w:pPr>
            <w:r>
              <w:t>硫酸雾</w:t>
            </w:r>
          </w:p>
        </w:tc>
        <w:tc>
          <w:tcPr>
            <w:tcW w:w="761" w:type="pct"/>
            <w:tcBorders>
              <w:right w:val="single" w:sz="4" w:space="0" w:color="auto"/>
            </w:tcBorders>
            <w:vAlign w:val="center"/>
          </w:tcPr>
          <w:p w14:paraId="0BA916C3" w14:textId="77777777" w:rsidR="003E78AB" w:rsidRDefault="00010BF9">
            <w:pPr>
              <w:pStyle w:val="aff6"/>
              <w:topLinePunct/>
            </w:pPr>
            <w:r>
              <w:t>加强管理、加强车间通风</w:t>
            </w:r>
          </w:p>
        </w:tc>
        <w:tc>
          <w:tcPr>
            <w:tcW w:w="1706" w:type="pct"/>
            <w:tcBorders>
              <w:top w:val="single" w:sz="4" w:space="0" w:color="auto"/>
              <w:left w:val="single" w:sz="4" w:space="0" w:color="auto"/>
              <w:bottom w:val="single" w:sz="4" w:space="0" w:color="auto"/>
              <w:right w:val="single" w:sz="4" w:space="0" w:color="auto"/>
            </w:tcBorders>
            <w:vAlign w:val="center"/>
          </w:tcPr>
          <w:p w14:paraId="70DAFCF8" w14:textId="77777777" w:rsidR="003E78AB" w:rsidRDefault="00010BF9">
            <w:pPr>
              <w:pStyle w:val="aff6"/>
              <w:topLinePunct/>
            </w:pPr>
            <w:r>
              <w:t>《无机化学工业污染物排放标准》（</w:t>
            </w:r>
            <w:r>
              <w:t>GB31573-2015</w:t>
            </w:r>
            <w:r>
              <w:t>）</w:t>
            </w:r>
          </w:p>
        </w:tc>
        <w:tc>
          <w:tcPr>
            <w:tcW w:w="632" w:type="pct"/>
            <w:tcBorders>
              <w:left w:val="single" w:sz="4" w:space="0" w:color="auto"/>
            </w:tcBorders>
            <w:vAlign w:val="center"/>
          </w:tcPr>
          <w:p w14:paraId="1C27B6E6" w14:textId="77777777" w:rsidR="003E78AB" w:rsidRDefault="00010BF9">
            <w:pPr>
              <w:pStyle w:val="aff6"/>
              <w:topLinePunct/>
            </w:pPr>
            <w:r>
              <w:rPr>
                <w:rFonts w:hint="eastAsia"/>
              </w:rPr>
              <w:t>0.3</w:t>
            </w:r>
          </w:p>
        </w:tc>
        <w:tc>
          <w:tcPr>
            <w:tcW w:w="546" w:type="pct"/>
            <w:vAlign w:val="center"/>
          </w:tcPr>
          <w:p w14:paraId="3AA05252" w14:textId="77777777" w:rsidR="003E78AB" w:rsidRDefault="00010BF9">
            <w:pPr>
              <w:pStyle w:val="aff6"/>
              <w:topLinePunct/>
            </w:pPr>
            <w:r>
              <w:rPr>
                <w:rFonts w:hint="eastAsia"/>
              </w:rPr>
              <w:t>0.2178</w:t>
            </w:r>
          </w:p>
        </w:tc>
      </w:tr>
      <w:tr w:rsidR="003E78AB" w14:paraId="098DC889" w14:textId="77777777">
        <w:trPr>
          <w:trHeight w:val="814"/>
        </w:trPr>
        <w:tc>
          <w:tcPr>
            <w:tcW w:w="357" w:type="pct"/>
            <w:vMerge/>
            <w:tcBorders>
              <w:top w:val="nil"/>
            </w:tcBorders>
            <w:vAlign w:val="center"/>
          </w:tcPr>
          <w:p w14:paraId="42AC1699" w14:textId="77777777" w:rsidR="003E78AB" w:rsidRDefault="003E78AB">
            <w:pPr>
              <w:pStyle w:val="aff6"/>
              <w:topLinePunct/>
            </w:pPr>
          </w:p>
        </w:tc>
        <w:tc>
          <w:tcPr>
            <w:tcW w:w="520" w:type="pct"/>
            <w:vMerge/>
            <w:tcBorders>
              <w:top w:val="nil"/>
            </w:tcBorders>
            <w:vAlign w:val="center"/>
          </w:tcPr>
          <w:p w14:paraId="5EEBC1E6" w14:textId="77777777" w:rsidR="003E78AB" w:rsidRDefault="003E78AB">
            <w:pPr>
              <w:pStyle w:val="aff6"/>
              <w:topLinePunct/>
            </w:pPr>
          </w:p>
        </w:tc>
        <w:tc>
          <w:tcPr>
            <w:tcW w:w="475" w:type="pct"/>
            <w:vAlign w:val="center"/>
          </w:tcPr>
          <w:p w14:paraId="157A77FD" w14:textId="77777777" w:rsidR="003E78AB" w:rsidRDefault="00010BF9">
            <w:pPr>
              <w:pStyle w:val="aff6"/>
              <w:topLinePunct/>
            </w:pPr>
            <w:r>
              <w:t>颗粒物</w:t>
            </w:r>
          </w:p>
        </w:tc>
        <w:tc>
          <w:tcPr>
            <w:tcW w:w="761" w:type="pct"/>
            <w:tcBorders>
              <w:right w:val="single" w:sz="4" w:space="0" w:color="auto"/>
            </w:tcBorders>
            <w:vAlign w:val="center"/>
          </w:tcPr>
          <w:p w14:paraId="1659D9D0" w14:textId="77777777" w:rsidR="003E78AB" w:rsidRDefault="00010BF9">
            <w:pPr>
              <w:pStyle w:val="aff6"/>
              <w:topLinePunct/>
            </w:pPr>
            <w:r>
              <w:t>加强管理、及时清扫</w:t>
            </w:r>
          </w:p>
        </w:tc>
        <w:tc>
          <w:tcPr>
            <w:tcW w:w="1706" w:type="pct"/>
            <w:tcBorders>
              <w:top w:val="single" w:sz="4" w:space="0" w:color="auto"/>
              <w:left w:val="single" w:sz="4" w:space="0" w:color="auto"/>
              <w:bottom w:val="single" w:sz="4" w:space="0" w:color="auto"/>
              <w:right w:val="single" w:sz="4" w:space="0" w:color="auto"/>
            </w:tcBorders>
            <w:vAlign w:val="center"/>
          </w:tcPr>
          <w:p w14:paraId="1005BD2F" w14:textId="77777777" w:rsidR="003E78AB" w:rsidRDefault="00010BF9">
            <w:pPr>
              <w:pStyle w:val="aff6"/>
              <w:topLinePunct/>
            </w:pPr>
            <w:r>
              <w:t>《大气污染物综合排放标准》</w:t>
            </w:r>
            <w:r>
              <w:rPr>
                <w:rFonts w:hint="eastAsia"/>
              </w:rPr>
              <w:t>（</w:t>
            </w:r>
            <w:r>
              <w:t>GB16297-1996</w:t>
            </w:r>
            <w:r>
              <w:rPr>
                <w:rFonts w:hint="eastAsia"/>
              </w:rPr>
              <w:t>）</w:t>
            </w:r>
            <w:r>
              <w:t>表</w:t>
            </w:r>
            <w:r>
              <w:t>2</w:t>
            </w:r>
            <w:r>
              <w:t>中二级标准要求</w:t>
            </w:r>
          </w:p>
        </w:tc>
        <w:tc>
          <w:tcPr>
            <w:tcW w:w="632" w:type="pct"/>
            <w:tcBorders>
              <w:left w:val="single" w:sz="4" w:space="0" w:color="auto"/>
            </w:tcBorders>
            <w:vAlign w:val="center"/>
          </w:tcPr>
          <w:p w14:paraId="47376587" w14:textId="77777777" w:rsidR="003E78AB" w:rsidRDefault="00010BF9">
            <w:pPr>
              <w:pStyle w:val="aff6"/>
              <w:topLinePunct/>
            </w:pPr>
            <w:r>
              <w:t>1.0</w:t>
            </w:r>
          </w:p>
        </w:tc>
        <w:tc>
          <w:tcPr>
            <w:tcW w:w="546" w:type="pct"/>
            <w:vAlign w:val="center"/>
          </w:tcPr>
          <w:p w14:paraId="333EC163" w14:textId="77777777" w:rsidR="003E78AB" w:rsidRDefault="00010BF9">
            <w:pPr>
              <w:pStyle w:val="aff6"/>
              <w:topLinePunct/>
            </w:pPr>
            <w:r>
              <w:rPr>
                <w:rFonts w:hint="eastAsia"/>
              </w:rPr>
              <w:t>0.0697</w:t>
            </w:r>
          </w:p>
        </w:tc>
      </w:tr>
      <w:tr w:rsidR="003E78AB" w14:paraId="4C62DCD9" w14:textId="77777777">
        <w:trPr>
          <w:trHeight w:val="317"/>
        </w:trPr>
        <w:tc>
          <w:tcPr>
            <w:tcW w:w="5000" w:type="pct"/>
            <w:gridSpan w:val="7"/>
            <w:vAlign w:val="center"/>
          </w:tcPr>
          <w:p w14:paraId="1F52F3E2" w14:textId="77777777" w:rsidR="003E78AB" w:rsidRDefault="00010BF9">
            <w:pPr>
              <w:pStyle w:val="aff6"/>
              <w:topLinePunct/>
            </w:pPr>
            <w:r>
              <w:t>无组织排放总计</w:t>
            </w:r>
          </w:p>
        </w:tc>
      </w:tr>
      <w:tr w:rsidR="003E78AB" w14:paraId="787A9F8E" w14:textId="77777777">
        <w:trPr>
          <w:trHeight w:val="316"/>
        </w:trPr>
        <w:tc>
          <w:tcPr>
            <w:tcW w:w="877" w:type="pct"/>
            <w:gridSpan w:val="2"/>
            <w:vMerge w:val="restart"/>
            <w:tcBorders>
              <w:bottom w:val="nil"/>
            </w:tcBorders>
            <w:vAlign w:val="center"/>
          </w:tcPr>
          <w:p w14:paraId="07BF5012" w14:textId="77777777" w:rsidR="003E78AB" w:rsidRDefault="00010BF9">
            <w:pPr>
              <w:pStyle w:val="aff6"/>
              <w:topLinePunct/>
            </w:pPr>
            <w:r>
              <w:t>无组织排放总计</w:t>
            </w:r>
          </w:p>
        </w:tc>
        <w:tc>
          <w:tcPr>
            <w:tcW w:w="3575" w:type="pct"/>
            <w:gridSpan w:val="4"/>
            <w:vAlign w:val="center"/>
          </w:tcPr>
          <w:p w14:paraId="516F70D8" w14:textId="77777777" w:rsidR="003E78AB" w:rsidRDefault="00010BF9">
            <w:pPr>
              <w:pStyle w:val="aff6"/>
              <w:topLinePunct/>
            </w:pPr>
            <w:r>
              <w:t>硫酸雾</w:t>
            </w:r>
          </w:p>
        </w:tc>
        <w:tc>
          <w:tcPr>
            <w:tcW w:w="546" w:type="pct"/>
            <w:vAlign w:val="center"/>
          </w:tcPr>
          <w:p w14:paraId="3B48F20D" w14:textId="77777777" w:rsidR="003E78AB" w:rsidRDefault="00010BF9">
            <w:pPr>
              <w:pStyle w:val="aff6"/>
              <w:topLinePunct/>
            </w:pPr>
            <w:r>
              <w:rPr>
                <w:rFonts w:hint="eastAsia"/>
              </w:rPr>
              <w:t>0.2178</w:t>
            </w:r>
          </w:p>
        </w:tc>
      </w:tr>
      <w:tr w:rsidR="003E78AB" w14:paraId="715B6DDE" w14:textId="77777777">
        <w:trPr>
          <w:trHeight w:val="321"/>
        </w:trPr>
        <w:tc>
          <w:tcPr>
            <w:tcW w:w="877" w:type="pct"/>
            <w:gridSpan w:val="2"/>
            <w:vMerge/>
            <w:tcBorders>
              <w:top w:val="nil"/>
            </w:tcBorders>
            <w:vAlign w:val="center"/>
          </w:tcPr>
          <w:p w14:paraId="13480BB1" w14:textId="77777777" w:rsidR="003E78AB" w:rsidRDefault="003E78AB">
            <w:pPr>
              <w:pStyle w:val="aff6"/>
              <w:topLinePunct/>
            </w:pPr>
          </w:p>
        </w:tc>
        <w:tc>
          <w:tcPr>
            <w:tcW w:w="3575" w:type="pct"/>
            <w:gridSpan w:val="4"/>
            <w:vAlign w:val="center"/>
          </w:tcPr>
          <w:p w14:paraId="4DF53794" w14:textId="77777777" w:rsidR="003E78AB" w:rsidRDefault="00010BF9">
            <w:pPr>
              <w:pStyle w:val="aff6"/>
              <w:topLinePunct/>
            </w:pPr>
            <w:r>
              <w:t>颗粒物</w:t>
            </w:r>
          </w:p>
        </w:tc>
        <w:tc>
          <w:tcPr>
            <w:tcW w:w="546" w:type="pct"/>
            <w:vAlign w:val="center"/>
          </w:tcPr>
          <w:p w14:paraId="5361FE08" w14:textId="77777777" w:rsidR="003E78AB" w:rsidRDefault="00010BF9">
            <w:pPr>
              <w:pStyle w:val="aff6"/>
              <w:topLinePunct/>
            </w:pPr>
            <w:r>
              <w:rPr>
                <w:rFonts w:hint="eastAsia"/>
              </w:rPr>
              <w:t>0.0697</w:t>
            </w:r>
          </w:p>
        </w:tc>
      </w:tr>
    </w:tbl>
    <w:p w14:paraId="5B92CC3E" w14:textId="77777777" w:rsidR="003E78AB" w:rsidRDefault="00010BF9">
      <w:pPr>
        <w:pStyle w:val="a4"/>
        <w:spacing w:before="120"/>
        <w:ind w:left="425" w:hanging="425"/>
      </w:pPr>
      <w:bookmarkStart w:id="377" w:name="_Ref5500"/>
      <w:r>
        <w:t>本项目大气污染物年排放量核算表</w:t>
      </w:r>
      <w:bookmarkEnd w:id="377"/>
    </w:p>
    <w:tbl>
      <w:tblPr>
        <w:tblStyle w:val="TableNormal"/>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769"/>
        <w:gridCol w:w="2766"/>
        <w:gridCol w:w="2773"/>
      </w:tblGrid>
      <w:tr w:rsidR="003E78AB" w14:paraId="7D186FF5" w14:textId="77777777">
        <w:trPr>
          <w:trHeight w:val="321"/>
        </w:trPr>
        <w:tc>
          <w:tcPr>
            <w:tcW w:w="1666" w:type="pct"/>
            <w:vAlign w:val="center"/>
          </w:tcPr>
          <w:p w14:paraId="29B24443" w14:textId="77777777" w:rsidR="003E78AB" w:rsidRDefault="00010BF9">
            <w:pPr>
              <w:pStyle w:val="aff6"/>
              <w:topLinePunct/>
              <w:rPr>
                <w:b/>
                <w:bCs/>
              </w:rPr>
            </w:pPr>
            <w:r>
              <w:rPr>
                <w:b/>
                <w:bCs/>
              </w:rPr>
              <w:t>序号</w:t>
            </w:r>
          </w:p>
        </w:tc>
        <w:tc>
          <w:tcPr>
            <w:tcW w:w="1664" w:type="pct"/>
            <w:vAlign w:val="center"/>
          </w:tcPr>
          <w:p w14:paraId="36F17ABC" w14:textId="77777777" w:rsidR="003E78AB" w:rsidRDefault="00010BF9">
            <w:pPr>
              <w:pStyle w:val="aff6"/>
              <w:topLinePunct/>
              <w:rPr>
                <w:b/>
                <w:bCs/>
              </w:rPr>
            </w:pPr>
            <w:r>
              <w:rPr>
                <w:b/>
                <w:bCs/>
              </w:rPr>
              <w:t>污染物</w:t>
            </w:r>
          </w:p>
        </w:tc>
        <w:tc>
          <w:tcPr>
            <w:tcW w:w="1668" w:type="pct"/>
            <w:vAlign w:val="center"/>
          </w:tcPr>
          <w:p w14:paraId="68FE4135" w14:textId="77777777" w:rsidR="003E78AB" w:rsidRDefault="00010BF9">
            <w:pPr>
              <w:pStyle w:val="aff6"/>
              <w:topLinePunct/>
              <w:rPr>
                <w:b/>
                <w:bCs/>
              </w:rPr>
            </w:pPr>
            <w:r>
              <w:rPr>
                <w:b/>
                <w:bCs/>
              </w:rPr>
              <w:t>年排放量</w:t>
            </w:r>
            <w:r>
              <w:rPr>
                <w:b/>
                <w:bCs/>
              </w:rPr>
              <w:t>(t/a)</w:t>
            </w:r>
          </w:p>
        </w:tc>
      </w:tr>
      <w:tr w:rsidR="003E78AB" w14:paraId="0861B215" w14:textId="77777777">
        <w:trPr>
          <w:trHeight w:val="316"/>
        </w:trPr>
        <w:tc>
          <w:tcPr>
            <w:tcW w:w="1666" w:type="pct"/>
            <w:vAlign w:val="center"/>
          </w:tcPr>
          <w:p w14:paraId="2D8C04D0" w14:textId="77777777" w:rsidR="003E78AB" w:rsidRDefault="00010BF9">
            <w:pPr>
              <w:pStyle w:val="aff6"/>
              <w:topLinePunct/>
            </w:pPr>
            <w:r>
              <w:t>1</w:t>
            </w:r>
          </w:p>
        </w:tc>
        <w:tc>
          <w:tcPr>
            <w:tcW w:w="1664" w:type="pct"/>
            <w:vAlign w:val="center"/>
          </w:tcPr>
          <w:p w14:paraId="6FA16E4F" w14:textId="77777777" w:rsidR="003E78AB" w:rsidRDefault="00010BF9">
            <w:pPr>
              <w:pStyle w:val="aff6"/>
              <w:topLinePunct/>
            </w:pPr>
            <w:r>
              <w:t>颗粒物</w:t>
            </w:r>
          </w:p>
        </w:tc>
        <w:tc>
          <w:tcPr>
            <w:tcW w:w="2771" w:type="dxa"/>
            <w:vAlign w:val="bottom"/>
          </w:tcPr>
          <w:p w14:paraId="1F11C93B" w14:textId="77777777" w:rsidR="003E78AB" w:rsidRDefault="00010BF9">
            <w:pPr>
              <w:pStyle w:val="aff6"/>
              <w:topLinePunct/>
            </w:pPr>
            <w:r>
              <w:t>0.5459</w:t>
            </w:r>
          </w:p>
        </w:tc>
      </w:tr>
      <w:tr w:rsidR="003E78AB" w14:paraId="51012B2F" w14:textId="77777777">
        <w:trPr>
          <w:trHeight w:val="316"/>
        </w:trPr>
        <w:tc>
          <w:tcPr>
            <w:tcW w:w="1666" w:type="pct"/>
            <w:vAlign w:val="center"/>
          </w:tcPr>
          <w:p w14:paraId="26F97458" w14:textId="77777777" w:rsidR="003E78AB" w:rsidRDefault="00010BF9">
            <w:pPr>
              <w:pStyle w:val="aff6"/>
              <w:topLinePunct/>
            </w:pPr>
            <w:r>
              <w:t>2</w:t>
            </w:r>
          </w:p>
        </w:tc>
        <w:tc>
          <w:tcPr>
            <w:tcW w:w="1664" w:type="pct"/>
            <w:vAlign w:val="center"/>
          </w:tcPr>
          <w:p w14:paraId="4AF12DF5" w14:textId="77777777" w:rsidR="003E78AB" w:rsidRDefault="00010BF9">
            <w:pPr>
              <w:pStyle w:val="aff6"/>
              <w:topLinePunct/>
            </w:pPr>
            <w:r>
              <w:t>硫酸雾</w:t>
            </w:r>
          </w:p>
        </w:tc>
        <w:tc>
          <w:tcPr>
            <w:tcW w:w="2771" w:type="dxa"/>
            <w:vAlign w:val="bottom"/>
          </w:tcPr>
          <w:p w14:paraId="217CEF9D" w14:textId="77777777" w:rsidR="003E78AB" w:rsidRDefault="00010BF9">
            <w:pPr>
              <w:pStyle w:val="aff6"/>
              <w:topLinePunct/>
            </w:pPr>
            <w:r>
              <w:t>1.1940</w:t>
            </w:r>
          </w:p>
        </w:tc>
      </w:tr>
      <w:tr w:rsidR="003E78AB" w14:paraId="294D31C5" w14:textId="77777777">
        <w:trPr>
          <w:trHeight w:val="316"/>
        </w:trPr>
        <w:tc>
          <w:tcPr>
            <w:tcW w:w="1666" w:type="pct"/>
            <w:shd w:val="clear" w:color="auto" w:fill="auto"/>
            <w:vAlign w:val="center"/>
          </w:tcPr>
          <w:p w14:paraId="34E2790D" w14:textId="77777777" w:rsidR="003E78AB" w:rsidRDefault="00010BF9">
            <w:pPr>
              <w:pStyle w:val="aff6"/>
              <w:topLinePunct/>
            </w:pPr>
            <w:r>
              <w:t>3</w:t>
            </w:r>
          </w:p>
        </w:tc>
        <w:tc>
          <w:tcPr>
            <w:tcW w:w="1664" w:type="pct"/>
            <w:vAlign w:val="center"/>
          </w:tcPr>
          <w:p w14:paraId="6F4AAC6E" w14:textId="77777777" w:rsidR="003E78AB" w:rsidRDefault="00010BF9">
            <w:pPr>
              <w:pStyle w:val="aff6"/>
              <w:topLinePunct/>
              <w:rPr>
                <w:b/>
                <w:bCs/>
                <w:u w:val="single"/>
              </w:rPr>
            </w:pPr>
            <w:r>
              <w:rPr>
                <w:rFonts w:hint="eastAsia"/>
                <w:b/>
                <w:bCs/>
                <w:u w:val="single"/>
              </w:rPr>
              <w:t>磷酸雾</w:t>
            </w:r>
          </w:p>
        </w:tc>
        <w:tc>
          <w:tcPr>
            <w:tcW w:w="2771" w:type="dxa"/>
            <w:vAlign w:val="center"/>
          </w:tcPr>
          <w:p w14:paraId="1EC5E775" w14:textId="77777777" w:rsidR="003E78AB" w:rsidRDefault="00010BF9">
            <w:pPr>
              <w:pStyle w:val="aff6"/>
              <w:topLinePunct/>
              <w:rPr>
                <w:b/>
                <w:bCs/>
                <w:u w:val="single"/>
              </w:rPr>
            </w:pPr>
            <w:r>
              <w:rPr>
                <w:rFonts w:hint="eastAsia"/>
                <w:b/>
                <w:bCs/>
                <w:u w:val="single"/>
              </w:rPr>
              <w:t>0.1810</w:t>
            </w:r>
          </w:p>
        </w:tc>
      </w:tr>
      <w:tr w:rsidR="003E78AB" w14:paraId="025943C1" w14:textId="77777777">
        <w:trPr>
          <w:trHeight w:val="316"/>
        </w:trPr>
        <w:tc>
          <w:tcPr>
            <w:tcW w:w="1666" w:type="pct"/>
            <w:shd w:val="clear" w:color="auto" w:fill="auto"/>
            <w:vAlign w:val="center"/>
          </w:tcPr>
          <w:p w14:paraId="117B2A3C" w14:textId="77777777" w:rsidR="003E78AB" w:rsidRDefault="00010BF9">
            <w:pPr>
              <w:pStyle w:val="aff6"/>
              <w:topLinePunct/>
            </w:pPr>
            <w:r>
              <w:rPr>
                <w:rFonts w:hint="eastAsia"/>
              </w:rPr>
              <w:t>4</w:t>
            </w:r>
          </w:p>
        </w:tc>
        <w:tc>
          <w:tcPr>
            <w:tcW w:w="1664" w:type="pct"/>
            <w:vAlign w:val="center"/>
          </w:tcPr>
          <w:p w14:paraId="3D100734" w14:textId="77777777" w:rsidR="003E78AB" w:rsidRDefault="00010BF9">
            <w:pPr>
              <w:pStyle w:val="aff6"/>
              <w:topLinePunct/>
              <w:rPr>
                <w:b/>
                <w:bCs/>
                <w:u w:val="single"/>
              </w:rPr>
            </w:pPr>
            <w:r>
              <w:rPr>
                <w:rFonts w:hint="eastAsia"/>
                <w:b/>
                <w:bCs/>
                <w:u w:val="single"/>
              </w:rPr>
              <w:t>VOCs</w:t>
            </w:r>
          </w:p>
        </w:tc>
        <w:tc>
          <w:tcPr>
            <w:tcW w:w="2771" w:type="dxa"/>
            <w:vAlign w:val="center"/>
          </w:tcPr>
          <w:p w14:paraId="2AF133B4" w14:textId="77777777" w:rsidR="003E78AB" w:rsidRDefault="00010BF9">
            <w:pPr>
              <w:pStyle w:val="aff6"/>
              <w:topLinePunct/>
              <w:rPr>
                <w:b/>
                <w:bCs/>
                <w:u w:val="single"/>
              </w:rPr>
            </w:pPr>
            <w:r>
              <w:rPr>
                <w:rFonts w:hint="eastAsia"/>
                <w:b/>
                <w:bCs/>
                <w:u w:val="single"/>
              </w:rPr>
              <w:t>0.3649</w:t>
            </w:r>
          </w:p>
        </w:tc>
      </w:tr>
      <w:tr w:rsidR="003E78AB" w14:paraId="2A6ACB77" w14:textId="77777777">
        <w:trPr>
          <w:trHeight w:val="316"/>
        </w:trPr>
        <w:tc>
          <w:tcPr>
            <w:tcW w:w="1666" w:type="pct"/>
            <w:shd w:val="clear" w:color="auto" w:fill="auto"/>
            <w:vAlign w:val="center"/>
          </w:tcPr>
          <w:p w14:paraId="358901E7" w14:textId="77777777" w:rsidR="003E78AB" w:rsidRDefault="00010BF9">
            <w:pPr>
              <w:pStyle w:val="aff6"/>
              <w:topLinePunct/>
            </w:pPr>
            <w:r>
              <w:rPr>
                <w:rFonts w:hint="eastAsia"/>
              </w:rPr>
              <w:t>5</w:t>
            </w:r>
          </w:p>
        </w:tc>
        <w:tc>
          <w:tcPr>
            <w:tcW w:w="1664" w:type="pct"/>
            <w:vAlign w:val="center"/>
          </w:tcPr>
          <w:p w14:paraId="641ADD00" w14:textId="77777777" w:rsidR="003E78AB" w:rsidRDefault="00010BF9">
            <w:pPr>
              <w:pStyle w:val="aff6"/>
              <w:topLinePunct/>
            </w:pPr>
            <w:r>
              <w:rPr>
                <w:rFonts w:hint="eastAsia"/>
              </w:rPr>
              <w:t>SO</w:t>
            </w:r>
            <w:r>
              <w:rPr>
                <w:rFonts w:hint="eastAsia"/>
                <w:vertAlign w:val="subscript"/>
              </w:rPr>
              <w:t>2</w:t>
            </w:r>
          </w:p>
        </w:tc>
        <w:tc>
          <w:tcPr>
            <w:tcW w:w="2771" w:type="dxa"/>
            <w:vAlign w:val="center"/>
          </w:tcPr>
          <w:p w14:paraId="759D30EC" w14:textId="77777777" w:rsidR="003E78AB" w:rsidRDefault="00010BF9">
            <w:pPr>
              <w:pStyle w:val="aff6"/>
              <w:topLinePunct/>
            </w:pPr>
            <w:r>
              <w:rPr>
                <w:rFonts w:hint="eastAsia"/>
              </w:rPr>
              <w:t>0.1529</w:t>
            </w:r>
          </w:p>
        </w:tc>
      </w:tr>
      <w:tr w:rsidR="003E78AB" w14:paraId="1C3EDCDE" w14:textId="77777777">
        <w:trPr>
          <w:trHeight w:val="316"/>
        </w:trPr>
        <w:tc>
          <w:tcPr>
            <w:tcW w:w="1666" w:type="pct"/>
            <w:vAlign w:val="center"/>
          </w:tcPr>
          <w:p w14:paraId="5E0C6647" w14:textId="77777777" w:rsidR="003E78AB" w:rsidRDefault="00010BF9">
            <w:pPr>
              <w:pStyle w:val="aff6"/>
              <w:topLinePunct/>
            </w:pPr>
            <w:r>
              <w:rPr>
                <w:rFonts w:hint="eastAsia"/>
              </w:rPr>
              <w:t>6</w:t>
            </w:r>
          </w:p>
        </w:tc>
        <w:tc>
          <w:tcPr>
            <w:tcW w:w="1664" w:type="pct"/>
            <w:vAlign w:val="center"/>
          </w:tcPr>
          <w:p w14:paraId="1CBC87AA" w14:textId="77777777" w:rsidR="003E78AB" w:rsidRDefault="00010BF9">
            <w:pPr>
              <w:pStyle w:val="aff6"/>
              <w:topLinePunct/>
            </w:pPr>
            <w:r>
              <w:rPr>
                <w:rFonts w:hint="eastAsia"/>
              </w:rPr>
              <w:t>NOx</w:t>
            </w:r>
          </w:p>
        </w:tc>
        <w:tc>
          <w:tcPr>
            <w:tcW w:w="2771" w:type="dxa"/>
            <w:vAlign w:val="center"/>
          </w:tcPr>
          <w:p w14:paraId="07AD3E62" w14:textId="77777777" w:rsidR="003E78AB" w:rsidRDefault="00010BF9">
            <w:pPr>
              <w:pStyle w:val="aff6"/>
              <w:topLinePunct/>
            </w:pPr>
            <w:r>
              <w:rPr>
                <w:rFonts w:hint="eastAsia"/>
              </w:rPr>
              <w:t>1.0175</w:t>
            </w:r>
          </w:p>
        </w:tc>
      </w:tr>
    </w:tbl>
    <w:p w14:paraId="32ABEB0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5.2.</w:t>
      </w:r>
      <w:r>
        <w:rPr>
          <w:rFonts w:ascii="Times New Roman" w:hAnsi="Times New Roman" w:hint="eastAsia"/>
        </w:rPr>
        <w:t>1.5</w:t>
      </w:r>
      <w:r>
        <w:rPr>
          <w:rFonts w:ascii="Times New Roman" w:hAnsi="Times New Roman"/>
        </w:rPr>
        <w:t>重金属环境影响分析</w:t>
      </w:r>
    </w:p>
    <w:p w14:paraId="0863E567" w14:textId="77777777" w:rsidR="003E78AB" w:rsidRDefault="00010BF9">
      <w:pPr>
        <w:ind w:firstLine="480"/>
        <w:rPr>
          <w:kern w:val="28"/>
        </w:rPr>
      </w:pPr>
      <w:r>
        <w:rPr>
          <w:kern w:val="28"/>
        </w:rPr>
        <w:t>重金属原义是指比重大于</w:t>
      </w:r>
      <w:r>
        <w:rPr>
          <w:kern w:val="28"/>
        </w:rPr>
        <w:t>5</w:t>
      </w:r>
      <w:r>
        <w:rPr>
          <w:kern w:val="28"/>
        </w:rPr>
        <w:t>的金属</w:t>
      </w:r>
      <w:r>
        <w:rPr>
          <w:rFonts w:hint="eastAsia"/>
          <w:kern w:val="28"/>
        </w:rPr>
        <w:t>（</w:t>
      </w:r>
      <w:r>
        <w:rPr>
          <w:kern w:val="28"/>
        </w:rPr>
        <w:t>一般来讲密度大于</w:t>
      </w:r>
      <w:r>
        <w:rPr>
          <w:kern w:val="28"/>
        </w:rPr>
        <w:t>4.5</w:t>
      </w:r>
      <w:r>
        <w:rPr>
          <w:kern w:val="28"/>
        </w:rPr>
        <w:t>克每立方厘米的金属</w:t>
      </w:r>
      <w:r>
        <w:rPr>
          <w:rFonts w:hint="eastAsia"/>
          <w:kern w:val="28"/>
        </w:rPr>
        <w:t>）</w:t>
      </w:r>
      <w:r>
        <w:rPr>
          <w:kern w:val="28"/>
        </w:rPr>
        <w:t>，约有</w:t>
      </w:r>
      <w:r>
        <w:rPr>
          <w:kern w:val="28"/>
        </w:rPr>
        <w:t>45</w:t>
      </w:r>
      <w:r>
        <w:rPr>
          <w:kern w:val="28"/>
        </w:rPr>
        <w:t>种，如铜、铅、锌、铁、钴、镍、锰、镉、汞、钨、钼、金、银</w:t>
      </w:r>
      <w:r>
        <w:rPr>
          <w:rFonts w:hint="eastAsia"/>
          <w:kern w:val="28"/>
        </w:rPr>
        <w:t>、钒</w:t>
      </w:r>
      <w:r>
        <w:rPr>
          <w:kern w:val="28"/>
        </w:rPr>
        <w:t>等。在工业上真正划入重金属的为</w:t>
      </w:r>
      <w:r>
        <w:rPr>
          <w:kern w:val="28"/>
        </w:rPr>
        <w:t>10</w:t>
      </w:r>
      <w:r>
        <w:rPr>
          <w:kern w:val="28"/>
        </w:rPr>
        <w:t>种金属元素：铜、铅、锌、锡、镍、钴、锑、汞、镉和铋。根据《关于进一步加强重金属污染防控的意见》</w:t>
      </w:r>
      <w:r>
        <w:rPr>
          <w:rFonts w:hint="eastAsia"/>
          <w:kern w:val="28"/>
        </w:rPr>
        <w:t>（</w:t>
      </w:r>
      <w:r>
        <w:rPr>
          <w:kern w:val="28"/>
        </w:rPr>
        <w:t>环固体</w:t>
      </w:r>
      <w:r>
        <w:rPr>
          <w:rFonts w:hint="eastAsia"/>
          <w:kern w:val="28"/>
        </w:rPr>
        <w:t>〔</w:t>
      </w:r>
      <w:r>
        <w:rPr>
          <w:rFonts w:hint="eastAsia"/>
          <w:kern w:val="28"/>
        </w:rPr>
        <w:t>2022</w:t>
      </w:r>
      <w:r>
        <w:rPr>
          <w:rFonts w:hint="eastAsia"/>
          <w:kern w:val="28"/>
        </w:rPr>
        <w:t>〕</w:t>
      </w:r>
      <w:r>
        <w:rPr>
          <w:rFonts w:hint="eastAsia"/>
          <w:kern w:val="28"/>
        </w:rPr>
        <w:t>17</w:t>
      </w:r>
      <w:r>
        <w:rPr>
          <w:rFonts w:hint="eastAsia"/>
          <w:kern w:val="28"/>
        </w:rPr>
        <w:t>号）</w:t>
      </w:r>
      <w:r>
        <w:rPr>
          <w:kern w:val="28"/>
        </w:rPr>
        <w:t>，提出：重点防控的重金属污染物是铅、汞、镉、铬、砷、铊和锑，并对铅、汞、镉、铬和砷五种重点重金属污染物排放量实施总量控制。</w:t>
      </w:r>
    </w:p>
    <w:p w14:paraId="7B6457F0" w14:textId="77777777" w:rsidR="003E78AB" w:rsidRDefault="00010BF9">
      <w:pPr>
        <w:ind w:firstLine="480"/>
        <w:rPr>
          <w:kern w:val="28"/>
        </w:rPr>
      </w:pPr>
      <w:r>
        <w:rPr>
          <w:kern w:val="28"/>
        </w:rPr>
        <w:t>本项目</w:t>
      </w:r>
      <w:r>
        <w:rPr>
          <w:rFonts w:hint="eastAsia"/>
          <w:kern w:val="28"/>
        </w:rPr>
        <w:t>涉及的重金属为钒，不</w:t>
      </w:r>
      <w:r>
        <w:rPr>
          <w:kern w:val="28"/>
        </w:rPr>
        <w:t>涉及重点防控的重金属</w:t>
      </w:r>
      <w:r>
        <w:rPr>
          <w:rFonts w:hint="eastAsia"/>
          <w:kern w:val="28"/>
        </w:rPr>
        <w:t>。钒</w:t>
      </w:r>
      <w:r>
        <w:rPr>
          <w:kern w:val="28"/>
        </w:rPr>
        <w:t>重金属元素主要以氧化物的形式存在。根据工程分析可知，重金属元素在生产过程中的去向主要为在</w:t>
      </w:r>
      <w:r>
        <w:rPr>
          <w:rFonts w:hint="eastAsia"/>
          <w:kern w:val="28"/>
        </w:rPr>
        <w:t>拆包投料</w:t>
      </w:r>
      <w:r>
        <w:rPr>
          <w:kern w:val="28"/>
        </w:rPr>
        <w:t>工序中随粉尘被布袋除尘器捕集，仅有很微量的重金属随粉尘排放至环境中。</w:t>
      </w:r>
    </w:p>
    <w:p w14:paraId="538E82E1" w14:textId="77777777" w:rsidR="003E78AB" w:rsidRDefault="00010BF9">
      <w:pPr>
        <w:ind w:firstLine="480"/>
        <w:rPr>
          <w:kern w:val="28"/>
        </w:rPr>
      </w:pPr>
      <w:r>
        <w:rPr>
          <w:kern w:val="28"/>
        </w:rPr>
        <w:t>粉尘对植物的危害主要体现在以下三个方面：沉积在绿色植物叶面，堵塞气孔，阻碍光合作用、呼吸作用、蒸腾作用等，危害植物健康。且颗粒降尘中一些有毒物质可通过溶解渗透，进入植物体内，产生毒害作用。由于植物叶表面吸湿性、分泌粘液、多绒毛等特性，使粉尘易滞留于叶表，并随时间而递增，进而影响植物生长。</w:t>
      </w:r>
    </w:p>
    <w:p w14:paraId="1D3FD2C6" w14:textId="77777777" w:rsidR="003E78AB" w:rsidRDefault="00010BF9">
      <w:pPr>
        <w:ind w:firstLine="480"/>
        <w:rPr>
          <w:kern w:val="28"/>
        </w:rPr>
      </w:pPr>
      <w:r>
        <w:rPr>
          <w:kern w:val="28"/>
        </w:rPr>
        <w:t>金属元素进入</w:t>
      </w:r>
      <w:r>
        <w:rPr>
          <w:kern w:val="28"/>
        </w:rPr>
        <w:t>环境以后，受到各种因素的相互作用，常常会在化学形态上发生变化，并在大气、水体、土壤和生物体之间不断迁移和转化，并经过食物链的逐渐转移和富集，增加了有毒金属对人体健康的潜在危害。重金属进入人体后，不易排泄，逐渐蓄积后就会引起人体生理功能的改变，导致急、慢性疾病或长远疾病或产生长远危害。</w:t>
      </w:r>
    </w:p>
    <w:p w14:paraId="3485B206" w14:textId="77777777" w:rsidR="003E78AB" w:rsidRDefault="00010BF9">
      <w:pPr>
        <w:ind w:firstLine="480"/>
        <w:rPr>
          <w:kern w:val="28"/>
        </w:rPr>
      </w:pPr>
      <w:r>
        <w:rPr>
          <w:kern w:val="28"/>
        </w:rPr>
        <w:t>因此，企业应严格按照本次环评中提出的各项污染防治措施和风险防范措施进行污染物的治理和风险事故的预防。在生产过程应严格做好防尘措施。若发生意外事故，导致废气处理设施不能正常运行，应立即停止生产，待废气处理设施恢复正常使用后，再恢</w:t>
      </w:r>
      <w:r>
        <w:rPr>
          <w:kern w:val="28"/>
        </w:rPr>
        <w:t>复生产。</w:t>
      </w:r>
    </w:p>
    <w:p w14:paraId="080B5D9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rPr>
        <w:t>5.2.</w:t>
      </w:r>
      <w:r>
        <w:rPr>
          <w:rFonts w:ascii="Times New Roman" w:hAnsi="Times New Roman" w:hint="eastAsia"/>
        </w:rPr>
        <w:t>1.6</w:t>
      </w:r>
      <w:r>
        <w:rPr>
          <w:rFonts w:ascii="Times New Roman" w:hAnsi="Times New Roman" w:hint="eastAsia"/>
        </w:rPr>
        <w:t>小结</w:t>
      </w:r>
    </w:p>
    <w:p w14:paraId="3711E8F5" w14:textId="77777777" w:rsidR="003E78AB" w:rsidRDefault="00010BF9">
      <w:pPr>
        <w:ind w:firstLine="480"/>
        <w:rPr>
          <w:kern w:val="28"/>
        </w:rPr>
      </w:pPr>
      <w:r>
        <w:rPr>
          <w:kern w:val="28"/>
        </w:rPr>
        <w:t>项目在落实评价提出的大气治理措施后，各污染物达标排放，项目投产后对区域环境空气质量影响不大，不会降低区域大气环境功能级别。因此，在落实项目各大气污染防治措施的前提下，本项目对大气环境的影响较小，本项目的建设对周围大气环境的影响在可接受范围内。</w:t>
      </w:r>
    </w:p>
    <w:p w14:paraId="4522D1F3" w14:textId="77777777" w:rsidR="003E78AB" w:rsidRDefault="00010BF9">
      <w:pPr>
        <w:ind w:firstLine="480"/>
        <w:rPr>
          <w:kern w:val="28"/>
        </w:rPr>
      </w:pPr>
      <w:r>
        <w:rPr>
          <w:kern w:val="28"/>
        </w:rPr>
        <w:t>本项目大气环境影响评价自查</w:t>
      </w:r>
      <w:r>
        <w:rPr>
          <w:kern w:val="28"/>
        </w:rPr>
        <w:fldChar w:fldCharType="begin"/>
      </w:r>
      <w:r>
        <w:rPr>
          <w:kern w:val="28"/>
        </w:rPr>
        <w:instrText xml:space="preserve"> REF _Ref19275 \r \h </w:instrText>
      </w:r>
      <w:r>
        <w:rPr>
          <w:kern w:val="28"/>
        </w:rPr>
      </w:r>
      <w:r>
        <w:rPr>
          <w:kern w:val="28"/>
        </w:rPr>
        <w:fldChar w:fldCharType="separate"/>
      </w:r>
      <w:r>
        <w:rPr>
          <w:kern w:val="28"/>
        </w:rPr>
        <w:t>表</w:t>
      </w:r>
      <w:r>
        <w:rPr>
          <w:kern w:val="28"/>
        </w:rPr>
        <w:t>5-49</w:t>
      </w:r>
      <w:r>
        <w:rPr>
          <w:kern w:val="28"/>
        </w:rPr>
        <w:fldChar w:fldCharType="end"/>
      </w:r>
      <w:r>
        <w:rPr>
          <w:kern w:val="28"/>
        </w:rPr>
        <w:t>。</w:t>
      </w:r>
    </w:p>
    <w:p w14:paraId="63DD3409" w14:textId="77777777" w:rsidR="003E78AB" w:rsidRDefault="00010BF9">
      <w:pPr>
        <w:pStyle w:val="a4"/>
        <w:spacing w:before="120"/>
        <w:ind w:left="425" w:hanging="425"/>
        <w:rPr>
          <w:u w:val="single"/>
        </w:rPr>
      </w:pPr>
      <w:bookmarkStart w:id="378" w:name="_Ref19275"/>
      <w:r>
        <w:rPr>
          <w:noProof/>
          <w:u w:val="single"/>
        </w:rPr>
        <mc:AlternateContent>
          <mc:Choice Requires="wps">
            <w:drawing>
              <wp:anchor distT="0" distB="0" distL="114300" distR="114300" simplePos="0" relativeHeight="251675648" behindDoc="0" locked="0" layoutInCell="0" allowOverlap="1">
                <wp:simplePos x="0" y="0"/>
                <wp:positionH relativeFrom="page">
                  <wp:posOffset>3808730</wp:posOffset>
                </wp:positionH>
                <wp:positionV relativeFrom="page">
                  <wp:posOffset>9944735</wp:posOffset>
                </wp:positionV>
                <wp:extent cx="183515" cy="1276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3515" cy="127635"/>
                        </a:xfrm>
                        <a:prstGeom prst="rect">
                          <a:avLst/>
                        </a:prstGeom>
                        <a:noFill/>
                        <a:ln>
                          <a:noFill/>
                        </a:ln>
                      </wps:spPr>
                      <wps:txbx>
                        <w:txbxContent>
                          <w:p w14:paraId="7C38D917" w14:textId="77777777" w:rsidR="003E78AB" w:rsidRDefault="00010BF9">
                            <w:pPr>
                              <w:spacing w:before="19" w:line="197" w:lineRule="auto"/>
                              <w:ind w:left="20" w:firstLine="332"/>
                              <w:rPr>
                                <w:rFonts w:eastAsia="Times New Roman"/>
                                <w:sz w:val="17"/>
                                <w:szCs w:val="17"/>
                              </w:rPr>
                            </w:pPr>
                            <w:r>
                              <w:rPr>
                                <w:rFonts w:eastAsia="Times New Roman"/>
                                <w:spacing w:val="-2"/>
                                <w:sz w:val="17"/>
                                <w:szCs w:val="17"/>
                              </w:rPr>
                              <w:t xml:space="preserve">1  </w:t>
                            </w:r>
                            <w:r>
                              <w:rPr>
                                <w:rFonts w:eastAsia="Times New Roman"/>
                                <w:spacing w:val="-1"/>
                                <w:sz w:val="17"/>
                                <w:szCs w:val="17"/>
                              </w:rPr>
                              <w:t>4</w:t>
                            </w:r>
                          </w:p>
                        </w:txbxContent>
                      </wps:txbx>
                      <wps:bodyPr lIns="0" tIns="0" rIns="0" bIns="0" upright="1"/>
                    </wps:wsp>
                  </a:graphicData>
                </a:graphic>
              </wp:anchor>
            </w:drawing>
          </mc:Choice>
          <mc:Fallback>
            <w:pict>
              <v:shape id="文本框 9" o:spid="_x0000_s1027" type="#_x0000_t202" style="position:absolute;left:0;text-align:left;margin-left:299.9pt;margin-top:783.05pt;width:14.45pt;height:10.0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" o:allowincell="f" filled="f" stroked="f">
                <v:textbox inset="0,0,0,0">
                  <w:txbxContent>
                    <w:p w14:paraId="7C38D917" w14:textId="77777777" w:rsidR="003E78AB" w:rsidRDefault="00010BF9">
                      <w:pPr>
                        <w:spacing w:before="19" w:line="197" w:lineRule="auto"/>
                        <w:ind w:left="20" w:firstLine="332"/>
                        <w:rPr>
                          <w:rFonts w:eastAsia="Times New Roman"/>
                          <w:sz w:val="17"/>
                          <w:szCs w:val="17"/>
                        </w:rPr>
                      </w:pPr>
                      <w:r>
                        <w:rPr>
                          <w:rFonts w:eastAsia="Times New Roman"/>
                          <w:spacing w:val="-2"/>
                          <w:sz w:val="17"/>
                          <w:szCs w:val="17"/>
                        </w:rPr>
                        <w:t xml:space="preserve">1  </w:t>
                      </w:r>
                      <w:r>
                        <w:rPr>
                          <w:rFonts w:eastAsia="Times New Roman"/>
                          <w:spacing w:val="-1"/>
                          <w:sz w:val="17"/>
                          <w:szCs w:val="17"/>
                        </w:rPr>
                        <w:t>4</w:t>
                      </w:r>
                    </w:p>
                  </w:txbxContent>
                </v:textbox>
                <w10:wrap anchorx="page" anchory="page"/>
              </v:shape>
            </w:pict>
          </mc:Fallback>
        </mc:AlternateContent>
      </w:r>
      <w:r>
        <w:rPr>
          <w:u w:val="single"/>
        </w:rPr>
        <w:t>建设项目大气</w:t>
      </w:r>
      <w:r>
        <w:rPr>
          <w:u w:val="single"/>
        </w:rPr>
        <w:t>环境影响评价自查表</w:t>
      </w:r>
      <w:bookmarkEnd w:id="378"/>
    </w:p>
    <w:tbl>
      <w:tblPr>
        <w:tblStyle w:val="TableNormal"/>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1"/>
        <w:gridCol w:w="281"/>
        <w:gridCol w:w="1404"/>
        <w:gridCol w:w="331"/>
        <w:gridCol w:w="743"/>
        <w:gridCol w:w="756"/>
        <w:gridCol w:w="389"/>
        <w:gridCol w:w="19"/>
        <w:gridCol w:w="121"/>
        <w:gridCol w:w="147"/>
        <w:gridCol w:w="186"/>
        <w:gridCol w:w="850"/>
        <w:gridCol w:w="112"/>
        <w:gridCol w:w="488"/>
        <w:gridCol w:w="490"/>
        <w:gridCol w:w="65"/>
        <w:gridCol w:w="39"/>
        <w:gridCol w:w="314"/>
        <w:gridCol w:w="410"/>
        <w:gridCol w:w="607"/>
      </w:tblGrid>
      <w:tr w:rsidR="003E78AB" w14:paraId="511A39F1" w14:textId="77777777">
        <w:trPr>
          <w:trHeight w:val="339"/>
        </w:trPr>
        <w:tc>
          <w:tcPr>
            <w:tcW w:w="2787" w:type="dxa"/>
            <w:gridSpan w:val="4"/>
            <w:vAlign w:val="center"/>
          </w:tcPr>
          <w:p w14:paraId="2BED4995" w14:textId="77777777" w:rsidR="003E78AB" w:rsidRDefault="00010BF9">
            <w:pPr>
              <w:pStyle w:val="aff6"/>
              <w:topLinePunct/>
              <w:rPr>
                <w:b/>
                <w:bCs/>
              </w:rPr>
            </w:pPr>
            <w:r>
              <w:rPr>
                <w:b/>
                <w:bCs/>
              </w:rPr>
              <w:t>工作内容</w:t>
            </w:r>
          </w:p>
        </w:tc>
        <w:tc>
          <w:tcPr>
            <w:tcW w:w="5736" w:type="dxa"/>
            <w:gridSpan w:val="16"/>
            <w:vAlign w:val="center"/>
          </w:tcPr>
          <w:p w14:paraId="492CA747" w14:textId="77777777" w:rsidR="003E78AB" w:rsidRDefault="00010BF9">
            <w:pPr>
              <w:pStyle w:val="aff6"/>
              <w:topLinePunct/>
              <w:rPr>
                <w:b/>
                <w:bCs/>
              </w:rPr>
            </w:pPr>
            <w:r>
              <w:rPr>
                <w:b/>
                <w:bCs/>
              </w:rPr>
              <w:t>自查项目</w:t>
            </w:r>
          </w:p>
        </w:tc>
      </w:tr>
      <w:tr w:rsidR="003E78AB" w14:paraId="1C4DC390" w14:textId="77777777">
        <w:trPr>
          <w:trHeight w:val="335"/>
        </w:trPr>
        <w:tc>
          <w:tcPr>
            <w:tcW w:w="1052" w:type="dxa"/>
            <w:gridSpan w:val="2"/>
            <w:vMerge w:val="restart"/>
            <w:tcBorders>
              <w:bottom w:val="nil"/>
            </w:tcBorders>
            <w:vAlign w:val="center"/>
          </w:tcPr>
          <w:p w14:paraId="762DA2A5" w14:textId="77777777" w:rsidR="003E78AB" w:rsidRDefault="00010BF9">
            <w:pPr>
              <w:pStyle w:val="aff6"/>
              <w:topLinePunct/>
            </w:pPr>
            <w:r>
              <w:t>评价等级与范围</w:t>
            </w:r>
          </w:p>
        </w:tc>
        <w:tc>
          <w:tcPr>
            <w:tcW w:w="1735" w:type="dxa"/>
            <w:gridSpan w:val="2"/>
            <w:vAlign w:val="center"/>
          </w:tcPr>
          <w:p w14:paraId="4FC59AD0" w14:textId="77777777" w:rsidR="003E78AB" w:rsidRDefault="00010BF9">
            <w:pPr>
              <w:pStyle w:val="aff6"/>
              <w:topLinePunct/>
            </w:pPr>
            <w:r>
              <w:t>评价等级</w:t>
            </w:r>
          </w:p>
        </w:tc>
        <w:tc>
          <w:tcPr>
            <w:tcW w:w="2028" w:type="dxa"/>
            <w:gridSpan w:val="5"/>
            <w:vAlign w:val="center"/>
          </w:tcPr>
          <w:p w14:paraId="6AD0F59A" w14:textId="77777777" w:rsidR="003E78AB" w:rsidRDefault="00010BF9">
            <w:pPr>
              <w:pStyle w:val="aff6"/>
              <w:topLinePunct/>
              <w:rPr>
                <w:bdr w:val="single" w:sz="4" w:space="0" w:color="auto"/>
              </w:rPr>
            </w:pPr>
            <w:r>
              <w:t>一级</w:t>
            </w:r>
            <w:r>
              <w:t>⎕</w:t>
            </w:r>
          </w:p>
        </w:tc>
        <w:tc>
          <w:tcPr>
            <w:tcW w:w="1783" w:type="dxa"/>
            <w:gridSpan w:val="5"/>
            <w:vAlign w:val="center"/>
          </w:tcPr>
          <w:p w14:paraId="6D6AFF31" w14:textId="77777777" w:rsidR="003E78AB" w:rsidRDefault="00010BF9">
            <w:pPr>
              <w:pStyle w:val="aff6"/>
              <w:topLinePunct/>
            </w:pPr>
            <w:r>
              <w:t>二级</w:t>
            </w:r>
            <w:r>
              <w:rPr>
                <w:rFonts w:hint="eastAsia"/>
                <w:bdr w:val="single" w:sz="4" w:space="0" w:color="auto"/>
              </w:rPr>
              <w:t>√</w:t>
            </w:r>
          </w:p>
        </w:tc>
        <w:tc>
          <w:tcPr>
            <w:tcW w:w="1925" w:type="dxa"/>
            <w:gridSpan w:val="6"/>
            <w:vAlign w:val="center"/>
          </w:tcPr>
          <w:p w14:paraId="3CCCEA85" w14:textId="77777777" w:rsidR="003E78AB" w:rsidRDefault="00010BF9">
            <w:pPr>
              <w:pStyle w:val="aff6"/>
              <w:topLinePunct/>
            </w:pPr>
            <w:r>
              <w:t>三级</w:t>
            </w:r>
            <w:r>
              <w:t>⎕</w:t>
            </w:r>
          </w:p>
        </w:tc>
      </w:tr>
      <w:tr w:rsidR="003E78AB" w14:paraId="3E9E88C3" w14:textId="77777777">
        <w:trPr>
          <w:trHeight w:val="335"/>
        </w:trPr>
        <w:tc>
          <w:tcPr>
            <w:tcW w:w="1052" w:type="dxa"/>
            <w:gridSpan w:val="2"/>
            <w:vMerge/>
            <w:tcBorders>
              <w:top w:val="nil"/>
            </w:tcBorders>
            <w:vAlign w:val="center"/>
          </w:tcPr>
          <w:p w14:paraId="6E543D95" w14:textId="77777777" w:rsidR="003E78AB" w:rsidRDefault="003E78AB">
            <w:pPr>
              <w:pStyle w:val="aff6"/>
              <w:topLinePunct/>
            </w:pPr>
          </w:p>
        </w:tc>
        <w:tc>
          <w:tcPr>
            <w:tcW w:w="1735" w:type="dxa"/>
            <w:gridSpan w:val="2"/>
            <w:vAlign w:val="center"/>
          </w:tcPr>
          <w:p w14:paraId="30CB67E7" w14:textId="77777777" w:rsidR="003E78AB" w:rsidRDefault="00010BF9">
            <w:pPr>
              <w:pStyle w:val="aff6"/>
              <w:topLinePunct/>
            </w:pPr>
            <w:r>
              <w:t>评价范围</w:t>
            </w:r>
          </w:p>
        </w:tc>
        <w:tc>
          <w:tcPr>
            <w:tcW w:w="2028" w:type="dxa"/>
            <w:gridSpan w:val="5"/>
            <w:vAlign w:val="center"/>
          </w:tcPr>
          <w:p w14:paraId="065DDC9E" w14:textId="77777777" w:rsidR="003E78AB" w:rsidRDefault="00010BF9">
            <w:pPr>
              <w:pStyle w:val="aff6"/>
              <w:topLinePunct/>
            </w:pPr>
            <w:r>
              <w:t>边长</w:t>
            </w:r>
            <w:r>
              <w:t>=50km⎕</w:t>
            </w:r>
          </w:p>
        </w:tc>
        <w:tc>
          <w:tcPr>
            <w:tcW w:w="1783" w:type="dxa"/>
            <w:gridSpan w:val="5"/>
            <w:vAlign w:val="center"/>
          </w:tcPr>
          <w:p w14:paraId="59E548C0" w14:textId="77777777" w:rsidR="003E78AB" w:rsidRDefault="00010BF9">
            <w:pPr>
              <w:pStyle w:val="aff6"/>
              <w:topLinePunct/>
            </w:pPr>
            <w:r>
              <w:t>边长</w:t>
            </w:r>
            <w:r>
              <w:t>5~50km⎕</w:t>
            </w:r>
          </w:p>
        </w:tc>
        <w:tc>
          <w:tcPr>
            <w:tcW w:w="1925" w:type="dxa"/>
            <w:gridSpan w:val="6"/>
            <w:vAlign w:val="center"/>
          </w:tcPr>
          <w:p w14:paraId="4C24E629" w14:textId="77777777" w:rsidR="003E78AB" w:rsidRDefault="00010BF9">
            <w:pPr>
              <w:pStyle w:val="aff6"/>
              <w:topLinePunct/>
            </w:pPr>
            <w:r>
              <w:t>边长</w:t>
            </w:r>
            <w:r>
              <w:t>=5km</w:t>
            </w:r>
            <w:r>
              <w:rPr>
                <w:rFonts w:hint="eastAsia"/>
                <w:bdr w:val="single" w:sz="4" w:space="0" w:color="auto"/>
              </w:rPr>
              <w:t>√</w:t>
            </w:r>
          </w:p>
        </w:tc>
      </w:tr>
      <w:tr w:rsidR="003E78AB" w14:paraId="0E07BE6C" w14:textId="77777777">
        <w:trPr>
          <w:trHeight w:val="335"/>
        </w:trPr>
        <w:tc>
          <w:tcPr>
            <w:tcW w:w="1052" w:type="dxa"/>
            <w:gridSpan w:val="2"/>
            <w:vMerge w:val="restart"/>
            <w:tcBorders>
              <w:bottom w:val="nil"/>
            </w:tcBorders>
            <w:vAlign w:val="center"/>
          </w:tcPr>
          <w:p w14:paraId="62F180D2" w14:textId="77777777" w:rsidR="003E78AB" w:rsidRDefault="00010BF9">
            <w:pPr>
              <w:pStyle w:val="aff6"/>
              <w:topLinePunct/>
            </w:pPr>
            <w:r>
              <w:t>评价因子</w:t>
            </w:r>
          </w:p>
        </w:tc>
        <w:tc>
          <w:tcPr>
            <w:tcW w:w="1735" w:type="dxa"/>
            <w:gridSpan w:val="2"/>
            <w:vAlign w:val="center"/>
          </w:tcPr>
          <w:p w14:paraId="65E7EC47" w14:textId="77777777" w:rsidR="003E78AB" w:rsidRDefault="00010BF9">
            <w:pPr>
              <w:pStyle w:val="aff6"/>
              <w:topLinePunct/>
            </w:pPr>
            <w:r>
              <w:t>SO</w:t>
            </w:r>
            <w:r>
              <w:rPr>
                <w:vertAlign w:val="subscript"/>
              </w:rPr>
              <w:t>2</w:t>
            </w:r>
            <w:r>
              <w:t>+NO</w:t>
            </w:r>
            <w:r>
              <w:rPr>
                <w:rFonts w:hint="eastAsia"/>
              </w:rPr>
              <w:t>x</w:t>
            </w:r>
            <w:r>
              <w:t>排放量</w:t>
            </w:r>
          </w:p>
        </w:tc>
        <w:tc>
          <w:tcPr>
            <w:tcW w:w="2028" w:type="dxa"/>
            <w:gridSpan w:val="5"/>
            <w:vAlign w:val="center"/>
          </w:tcPr>
          <w:p w14:paraId="0D604087" w14:textId="77777777" w:rsidR="003E78AB" w:rsidRDefault="00010BF9">
            <w:pPr>
              <w:pStyle w:val="aff6"/>
              <w:topLinePunct/>
            </w:pPr>
            <w:r>
              <w:t>≥2000t/a⎕</w:t>
            </w:r>
          </w:p>
        </w:tc>
        <w:tc>
          <w:tcPr>
            <w:tcW w:w="1783" w:type="dxa"/>
            <w:gridSpan w:val="5"/>
            <w:vAlign w:val="center"/>
          </w:tcPr>
          <w:p w14:paraId="409841A0" w14:textId="77777777" w:rsidR="003E78AB" w:rsidRDefault="00010BF9">
            <w:pPr>
              <w:pStyle w:val="aff6"/>
              <w:topLinePunct/>
            </w:pPr>
            <w:r>
              <w:t>500~2000t/a⎕</w:t>
            </w:r>
          </w:p>
        </w:tc>
        <w:tc>
          <w:tcPr>
            <w:tcW w:w="1925" w:type="dxa"/>
            <w:gridSpan w:val="6"/>
            <w:vAlign w:val="center"/>
          </w:tcPr>
          <w:p w14:paraId="2C1A7503" w14:textId="77777777" w:rsidR="003E78AB" w:rsidRDefault="00010BF9">
            <w:pPr>
              <w:pStyle w:val="aff6"/>
              <w:topLinePunct/>
            </w:pPr>
            <w:r>
              <w:t>＜</w:t>
            </w:r>
            <w:r>
              <w:t>500t/a</w:t>
            </w:r>
            <w:r>
              <w:rPr>
                <w:rFonts w:hint="eastAsia"/>
                <w:bdr w:val="single" w:sz="4" w:space="0" w:color="auto"/>
              </w:rPr>
              <w:t>√</w:t>
            </w:r>
          </w:p>
        </w:tc>
      </w:tr>
      <w:tr w:rsidR="003E78AB" w14:paraId="4C73B0FF" w14:textId="77777777">
        <w:trPr>
          <w:trHeight w:val="1044"/>
        </w:trPr>
        <w:tc>
          <w:tcPr>
            <w:tcW w:w="1052" w:type="dxa"/>
            <w:gridSpan w:val="2"/>
            <w:vMerge/>
            <w:tcBorders>
              <w:top w:val="nil"/>
            </w:tcBorders>
            <w:vAlign w:val="center"/>
          </w:tcPr>
          <w:p w14:paraId="5A20EFE7" w14:textId="77777777" w:rsidR="003E78AB" w:rsidRDefault="003E78AB">
            <w:pPr>
              <w:pStyle w:val="aff6"/>
              <w:topLinePunct/>
            </w:pPr>
          </w:p>
        </w:tc>
        <w:tc>
          <w:tcPr>
            <w:tcW w:w="1404" w:type="dxa"/>
            <w:vAlign w:val="center"/>
          </w:tcPr>
          <w:p w14:paraId="3CA05360" w14:textId="77777777" w:rsidR="003E78AB" w:rsidRDefault="00010BF9">
            <w:pPr>
              <w:pStyle w:val="aff6"/>
              <w:topLinePunct/>
            </w:pPr>
            <w:r>
              <w:t>评价因子</w:t>
            </w:r>
          </w:p>
        </w:tc>
        <w:tc>
          <w:tcPr>
            <w:tcW w:w="3654" w:type="dxa"/>
            <w:gridSpan w:val="10"/>
            <w:vAlign w:val="center"/>
          </w:tcPr>
          <w:p w14:paraId="6DAB5746" w14:textId="77777777" w:rsidR="003E78AB" w:rsidRDefault="00010BF9">
            <w:pPr>
              <w:pStyle w:val="aff6"/>
              <w:topLinePunct/>
            </w:pPr>
            <w:r>
              <w:t>基本污染物</w:t>
            </w:r>
          </w:p>
          <w:p w14:paraId="61400A9E" w14:textId="77777777" w:rsidR="003E78AB" w:rsidRDefault="00010BF9">
            <w:pPr>
              <w:pStyle w:val="aff6"/>
              <w:topLinePunct/>
            </w:pPr>
            <w:r>
              <w:t>(SO</w:t>
            </w:r>
            <w:r>
              <w:rPr>
                <w:vertAlign w:val="subscript"/>
              </w:rPr>
              <w:t>2</w:t>
            </w:r>
            <w:r>
              <w:t>、</w:t>
            </w:r>
            <w:r>
              <w:t>NO</w:t>
            </w:r>
            <w:r>
              <w:rPr>
                <w:vertAlign w:val="subscript"/>
              </w:rPr>
              <w:t>2</w:t>
            </w:r>
            <w:r>
              <w:t>、</w:t>
            </w:r>
            <w:r>
              <w:t>PM</w:t>
            </w:r>
            <w:r>
              <w:rPr>
                <w:vertAlign w:val="subscript"/>
              </w:rPr>
              <w:t>10</w:t>
            </w:r>
            <w:r>
              <w:t>、</w:t>
            </w:r>
            <w:r>
              <w:t>PM</w:t>
            </w:r>
            <w:r>
              <w:rPr>
                <w:vertAlign w:val="subscript"/>
              </w:rPr>
              <w:t>2.5</w:t>
            </w:r>
            <w:r>
              <w:t>、</w:t>
            </w:r>
            <w:r>
              <w:t>CO</w:t>
            </w:r>
            <w:r>
              <w:t>、</w:t>
            </w:r>
            <w:r>
              <w:t>O</w:t>
            </w:r>
            <w:r>
              <w:rPr>
                <w:vertAlign w:val="subscript"/>
              </w:rPr>
              <w:t>3</w:t>
            </w:r>
            <w:r>
              <w:t>)</w:t>
            </w:r>
          </w:p>
          <w:p w14:paraId="70E448B4" w14:textId="77777777" w:rsidR="003E78AB" w:rsidRDefault="00010BF9">
            <w:pPr>
              <w:pStyle w:val="aff6"/>
              <w:topLinePunct/>
            </w:pPr>
            <w:r>
              <w:t>其他污染物</w:t>
            </w:r>
            <w:r>
              <w:t>(TSP</w:t>
            </w:r>
            <w:r>
              <w:t>、硫酸雾</w:t>
            </w:r>
            <w:r>
              <w:rPr>
                <w:rFonts w:hint="eastAsia"/>
              </w:rPr>
              <w:t>、</w:t>
            </w:r>
            <w:r>
              <w:rPr>
                <w:rFonts w:hint="eastAsia"/>
              </w:rPr>
              <w:t>VOCs</w:t>
            </w:r>
            <w:r>
              <w:t>)</w:t>
            </w:r>
          </w:p>
        </w:tc>
        <w:tc>
          <w:tcPr>
            <w:tcW w:w="2413" w:type="dxa"/>
            <w:gridSpan w:val="7"/>
            <w:vAlign w:val="center"/>
          </w:tcPr>
          <w:p w14:paraId="00C62485" w14:textId="77777777" w:rsidR="003E78AB" w:rsidRDefault="00010BF9">
            <w:pPr>
              <w:pStyle w:val="aff6"/>
              <w:topLinePunct/>
            </w:pPr>
            <w:r>
              <w:t>包括二次</w:t>
            </w:r>
            <w:r>
              <w:t>PM2.5⎕</w:t>
            </w:r>
            <w:r>
              <w:t>不包括二次</w:t>
            </w:r>
            <w:r>
              <w:t>PM2.5</w:t>
            </w:r>
            <w:r>
              <w:rPr>
                <w:rFonts w:hint="eastAsia"/>
                <w:bdr w:val="single" w:sz="4" w:space="0" w:color="auto"/>
              </w:rPr>
              <w:t>√</w:t>
            </w:r>
          </w:p>
        </w:tc>
      </w:tr>
      <w:tr w:rsidR="003E78AB" w14:paraId="3E3D5D89" w14:textId="77777777">
        <w:trPr>
          <w:trHeight w:val="335"/>
        </w:trPr>
        <w:tc>
          <w:tcPr>
            <w:tcW w:w="1052" w:type="dxa"/>
            <w:gridSpan w:val="2"/>
            <w:vAlign w:val="center"/>
          </w:tcPr>
          <w:p w14:paraId="0D5A06B3" w14:textId="77777777" w:rsidR="003E78AB" w:rsidRDefault="00010BF9">
            <w:pPr>
              <w:pStyle w:val="aff6"/>
              <w:topLinePunct/>
            </w:pPr>
            <w:r>
              <w:t>评价标准</w:t>
            </w:r>
          </w:p>
        </w:tc>
        <w:tc>
          <w:tcPr>
            <w:tcW w:w="2478" w:type="dxa"/>
            <w:gridSpan w:val="3"/>
            <w:vAlign w:val="center"/>
          </w:tcPr>
          <w:p w14:paraId="51BFBAB9" w14:textId="77777777" w:rsidR="003E78AB" w:rsidRDefault="00010BF9">
            <w:pPr>
              <w:pStyle w:val="aff6"/>
              <w:topLinePunct/>
            </w:pPr>
            <w:r>
              <w:t>评价标准</w:t>
            </w:r>
          </w:p>
        </w:tc>
        <w:tc>
          <w:tcPr>
            <w:tcW w:w="1164" w:type="dxa"/>
            <w:gridSpan w:val="3"/>
            <w:vAlign w:val="center"/>
          </w:tcPr>
          <w:p w14:paraId="436B1FCD" w14:textId="77777777" w:rsidR="003E78AB" w:rsidRDefault="00010BF9">
            <w:pPr>
              <w:pStyle w:val="aff6"/>
              <w:topLinePunct/>
            </w:pPr>
            <w:r>
              <w:t>国家标准</w:t>
            </w:r>
            <w:r>
              <w:rPr>
                <w:rFonts w:hint="eastAsia"/>
                <w:bdr w:val="single" w:sz="4" w:space="0" w:color="auto"/>
              </w:rPr>
              <w:t>√</w:t>
            </w:r>
          </w:p>
        </w:tc>
        <w:tc>
          <w:tcPr>
            <w:tcW w:w="1416" w:type="dxa"/>
            <w:gridSpan w:val="5"/>
            <w:vAlign w:val="center"/>
          </w:tcPr>
          <w:p w14:paraId="7FAFD815" w14:textId="77777777" w:rsidR="003E78AB" w:rsidRDefault="00010BF9">
            <w:pPr>
              <w:pStyle w:val="aff6"/>
              <w:topLinePunct/>
            </w:pPr>
            <w:r>
              <w:t>地方标准</w:t>
            </w:r>
            <w:r>
              <w:rPr>
                <w:rFonts w:hint="eastAsia"/>
                <w:bdr w:val="single" w:sz="4" w:space="0" w:color="auto"/>
              </w:rPr>
              <w:t>√</w:t>
            </w:r>
          </w:p>
        </w:tc>
        <w:tc>
          <w:tcPr>
            <w:tcW w:w="978" w:type="dxa"/>
            <w:gridSpan w:val="2"/>
            <w:vAlign w:val="center"/>
          </w:tcPr>
          <w:p w14:paraId="18018AF4" w14:textId="77777777" w:rsidR="003E78AB" w:rsidRDefault="00010BF9">
            <w:pPr>
              <w:pStyle w:val="aff6"/>
              <w:topLinePunct/>
            </w:pPr>
            <w:r>
              <w:t>附录</w:t>
            </w:r>
            <w:r>
              <w:t>D</w:t>
            </w:r>
            <w:r>
              <w:rPr>
                <w:rFonts w:hint="eastAsia"/>
                <w:bdr w:val="single" w:sz="4" w:space="0" w:color="auto"/>
              </w:rPr>
              <w:t>√</w:t>
            </w:r>
          </w:p>
        </w:tc>
        <w:tc>
          <w:tcPr>
            <w:tcW w:w="1435" w:type="dxa"/>
            <w:gridSpan w:val="5"/>
            <w:vAlign w:val="center"/>
          </w:tcPr>
          <w:p w14:paraId="0E3C66B8" w14:textId="77777777" w:rsidR="003E78AB" w:rsidRDefault="00010BF9">
            <w:pPr>
              <w:pStyle w:val="aff6"/>
              <w:topLinePunct/>
            </w:pPr>
            <w:r>
              <w:t>其他标准</w:t>
            </w:r>
            <w:r>
              <w:rPr>
                <w:noProof/>
              </w:rPr>
              <w:drawing>
                <wp:inline distT="0" distB="0" distL="0" distR="0">
                  <wp:extent cx="93345" cy="120015"/>
                  <wp:effectExtent l="0" t="0" r="1905" b="13335"/>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81"/>
                          <a:stretch>
                            <a:fillRect/>
                          </a:stretch>
                        </pic:blipFill>
                        <pic:spPr>
                          <a:xfrm>
                            <a:off x="0" y="0"/>
                            <a:ext cx="93648" cy="120357"/>
                          </a:xfrm>
                          <a:prstGeom prst="rect">
                            <a:avLst/>
                          </a:prstGeom>
                        </pic:spPr>
                      </pic:pic>
                    </a:graphicData>
                  </a:graphic>
                </wp:inline>
              </w:drawing>
            </w:r>
          </w:p>
        </w:tc>
      </w:tr>
      <w:tr w:rsidR="003E78AB" w14:paraId="4C2BA124" w14:textId="77777777">
        <w:trPr>
          <w:trHeight w:val="335"/>
        </w:trPr>
        <w:tc>
          <w:tcPr>
            <w:tcW w:w="1052" w:type="dxa"/>
            <w:gridSpan w:val="2"/>
            <w:vMerge w:val="restart"/>
            <w:tcBorders>
              <w:bottom w:val="nil"/>
            </w:tcBorders>
            <w:vAlign w:val="center"/>
          </w:tcPr>
          <w:p w14:paraId="533A2F8E" w14:textId="77777777" w:rsidR="003E78AB" w:rsidRDefault="00010BF9">
            <w:pPr>
              <w:pStyle w:val="aff6"/>
              <w:topLinePunct/>
            </w:pPr>
            <w:r>
              <w:t>现状评价</w:t>
            </w:r>
          </w:p>
        </w:tc>
        <w:tc>
          <w:tcPr>
            <w:tcW w:w="2478" w:type="dxa"/>
            <w:gridSpan w:val="3"/>
            <w:vAlign w:val="center"/>
          </w:tcPr>
          <w:p w14:paraId="7A3F2BCE" w14:textId="77777777" w:rsidR="003E78AB" w:rsidRDefault="00010BF9">
            <w:pPr>
              <w:pStyle w:val="aff6"/>
              <w:topLinePunct/>
            </w:pPr>
            <w:r>
              <w:t>环境功能区</w:t>
            </w:r>
          </w:p>
        </w:tc>
        <w:tc>
          <w:tcPr>
            <w:tcW w:w="1285" w:type="dxa"/>
            <w:gridSpan w:val="4"/>
            <w:vAlign w:val="center"/>
          </w:tcPr>
          <w:p w14:paraId="64807A24" w14:textId="77777777" w:rsidR="003E78AB" w:rsidRDefault="00010BF9">
            <w:pPr>
              <w:pStyle w:val="aff6"/>
              <w:topLinePunct/>
            </w:pPr>
            <w:r>
              <w:t>一类区</w:t>
            </w:r>
            <w:r>
              <w:t>⎕</w:t>
            </w:r>
          </w:p>
        </w:tc>
        <w:tc>
          <w:tcPr>
            <w:tcW w:w="1783" w:type="dxa"/>
            <w:gridSpan w:val="5"/>
            <w:vAlign w:val="center"/>
          </w:tcPr>
          <w:p w14:paraId="2FDA9E1B" w14:textId="77777777" w:rsidR="003E78AB" w:rsidRDefault="00010BF9">
            <w:pPr>
              <w:pStyle w:val="aff6"/>
              <w:topLinePunct/>
            </w:pPr>
            <w:r>
              <w:t>二类区</w:t>
            </w:r>
            <w:r>
              <w:rPr>
                <w:rFonts w:hint="eastAsia"/>
                <w:bdr w:val="single" w:sz="4" w:space="0" w:color="auto"/>
              </w:rPr>
              <w:t>√</w:t>
            </w:r>
          </w:p>
        </w:tc>
        <w:tc>
          <w:tcPr>
            <w:tcW w:w="1925" w:type="dxa"/>
            <w:gridSpan w:val="6"/>
            <w:vAlign w:val="center"/>
          </w:tcPr>
          <w:p w14:paraId="70F04247" w14:textId="77777777" w:rsidR="003E78AB" w:rsidRDefault="00010BF9">
            <w:pPr>
              <w:pStyle w:val="aff6"/>
              <w:topLinePunct/>
            </w:pPr>
            <w:r>
              <w:t>一类区和二类区</w:t>
            </w:r>
            <w:r>
              <w:t>⎕</w:t>
            </w:r>
          </w:p>
        </w:tc>
      </w:tr>
      <w:tr w:rsidR="003E78AB" w14:paraId="1D918A96" w14:textId="77777777">
        <w:trPr>
          <w:trHeight w:val="335"/>
        </w:trPr>
        <w:tc>
          <w:tcPr>
            <w:tcW w:w="1052" w:type="dxa"/>
            <w:gridSpan w:val="2"/>
            <w:vMerge/>
            <w:tcBorders>
              <w:top w:val="nil"/>
              <w:bottom w:val="nil"/>
            </w:tcBorders>
            <w:vAlign w:val="center"/>
          </w:tcPr>
          <w:p w14:paraId="40D1CBF4" w14:textId="77777777" w:rsidR="003E78AB" w:rsidRDefault="003E78AB">
            <w:pPr>
              <w:pStyle w:val="aff6"/>
              <w:topLinePunct/>
            </w:pPr>
          </w:p>
        </w:tc>
        <w:tc>
          <w:tcPr>
            <w:tcW w:w="2478" w:type="dxa"/>
            <w:gridSpan w:val="3"/>
            <w:vAlign w:val="center"/>
          </w:tcPr>
          <w:p w14:paraId="4B8A1C5E" w14:textId="77777777" w:rsidR="003E78AB" w:rsidRDefault="00010BF9">
            <w:pPr>
              <w:pStyle w:val="aff6"/>
              <w:topLinePunct/>
            </w:pPr>
            <w:r>
              <w:t>评价基准年</w:t>
            </w:r>
          </w:p>
        </w:tc>
        <w:tc>
          <w:tcPr>
            <w:tcW w:w="4993" w:type="dxa"/>
            <w:gridSpan w:val="15"/>
            <w:vAlign w:val="center"/>
          </w:tcPr>
          <w:p w14:paraId="0C6F1BFE" w14:textId="77777777" w:rsidR="003E78AB" w:rsidRDefault="00010BF9">
            <w:pPr>
              <w:pStyle w:val="aff6"/>
              <w:topLinePunct/>
            </w:pPr>
            <w:r>
              <w:t>(202</w:t>
            </w:r>
            <w:r>
              <w:rPr>
                <w:rFonts w:hint="eastAsia"/>
              </w:rPr>
              <w:t>3</w:t>
            </w:r>
            <w:r>
              <w:t>)</w:t>
            </w:r>
            <w:r>
              <w:t>年</w:t>
            </w:r>
          </w:p>
        </w:tc>
      </w:tr>
      <w:tr w:rsidR="003E78AB" w14:paraId="2C308C29" w14:textId="77777777">
        <w:trPr>
          <w:trHeight w:val="592"/>
        </w:trPr>
        <w:tc>
          <w:tcPr>
            <w:tcW w:w="1052" w:type="dxa"/>
            <w:gridSpan w:val="2"/>
            <w:vMerge/>
            <w:tcBorders>
              <w:top w:val="nil"/>
              <w:bottom w:val="nil"/>
            </w:tcBorders>
            <w:vAlign w:val="center"/>
          </w:tcPr>
          <w:p w14:paraId="737E4F84" w14:textId="77777777" w:rsidR="003E78AB" w:rsidRDefault="003E78AB">
            <w:pPr>
              <w:pStyle w:val="aff6"/>
              <w:topLinePunct/>
            </w:pPr>
          </w:p>
        </w:tc>
        <w:tc>
          <w:tcPr>
            <w:tcW w:w="2478" w:type="dxa"/>
            <w:gridSpan w:val="3"/>
            <w:vAlign w:val="center"/>
          </w:tcPr>
          <w:p w14:paraId="4FBD6F8A" w14:textId="77777777" w:rsidR="003E78AB" w:rsidRDefault="00010BF9">
            <w:pPr>
              <w:pStyle w:val="aff6"/>
              <w:topLinePunct/>
            </w:pPr>
            <w:r>
              <w:t>环境空气质量现状调查数据来源</w:t>
            </w:r>
          </w:p>
        </w:tc>
        <w:tc>
          <w:tcPr>
            <w:tcW w:w="1618" w:type="dxa"/>
            <w:gridSpan w:val="6"/>
            <w:vAlign w:val="center"/>
          </w:tcPr>
          <w:p w14:paraId="316CF340" w14:textId="77777777" w:rsidR="003E78AB" w:rsidRDefault="00010BF9">
            <w:pPr>
              <w:pStyle w:val="aff6"/>
              <w:topLinePunct/>
            </w:pPr>
            <w:r>
              <w:t>长期例行监测数据</w:t>
            </w:r>
            <w:r>
              <w:t>⎕</w:t>
            </w:r>
          </w:p>
        </w:tc>
        <w:tc>
          <w:tcPr>
            <w:tcW w:w="1940" w:type="dxa"/>
            <w:gridSpan w:val="4"/>
            <w:vAlign w:val="center"/>
          </w:tcPr>
          <w:p w14:paraId="3BBCAA3A" w14:textId="77777777" w:rsidR="003E78AB" w:rsidRDefault="00010BF9">
            <w:pPr>
              <w:pStyle w:val="aff6"/>
              <w:topLinePunct/>
            </w:pPr>
            <w:r>
              <w:t>主管部门发布的数据</w:t>
            </w:r>
            <w:r>
              <w:rPr>
                <w:rFonts w:hint="eastAsia"/>
                <w:bdr w:val="single" w:sz="4" w:space="0" w:color="auto"/>
              </w:rPr>
              <w:t>√</w:t>
            </w:r>
          </w:p>
        </w:tc>
        <w:tc>
          <w:tcPr>
            <w:tcW w:w="1435" w:type="dxa"/>
            <w:gridSpan w:val="5"/>
            <w:vAlign w:val="center"/>
          </w:tcPr>
          <w:p w14:paraId="4FDB53F4" w14:textId="77777777" w:rsidR="003E78AB" w:rsidRDefault="00010BF9">
            <w:pPr>
              <w:pStyle w:val="aff6"/>
              <w:topLinePunct/>
            </w:pPr>
            <w:r>
              <w:t>现状补充监测</w:t>
            </w:r>
            <w:r>
              <w:rPr>
                <w:rFonts w:hint="eastAsia"/>
                <w:bdr w:val="single" w:sz="4" w:space="0" w:color="auto"/>
              </w:rPr>
              <w:t>√</w:t>
            </w:r>
          </w:p>
        </w:tc>
      </w:tr>
      <w:tr w:rsidR="003E78AB" w14:paraId="79666984" w14:textId="77777777">
        <w:trPr>
          <w:trHeight w:val="335"/>
        </w:trPr>
        <w:tc>
          <w:tcPr>
            <w:tcW w:w="1052" w:type="dxa"/>
            <w:gridSpan w:val="2"/>
            <w:vMerge/>
            <w:tcBorders>
              <w:top w:val="nil"/>
            </w:tcBorders>
            <w:vAlign w:val="center"/>
          </w:tcPr>
          <w:p w14:paraId="5D7DD689" w14:textId="77777777" w:rsidR="003E78AB" w:rsidRDefault="003E78AB">
            <w:pPr>
              <w:pStyle w:val="aff6"/>
              <w:topLinePunct/>
            </w:pPr>
          </w:p>
        </w:tc>
        <w:tc>
          <w:tcPr>
            <w:tcW w:w="2478" w:type="dxa"/>
            <w:gridSpan w:val="3"/>
            <w:vAlign w:val="center"/>
          </w:tcPr>
          <w:p w14:paraId="3F9C3736" w14:textId="77777777" w:rsidR="003E78AB" w:rsidRDefault="00010BF9">
            <w:pPr>
              <w:pStyle w:val="aff6"/>
              <w:topLinePunct/>
            </w:pPr>
            <w:r>
              <w:t>现状评价</w:t>
            </w:r>
          </w:p>
        </w:tc>
        <w:tc>
          <w:tcPr>
            <w:tcW w:w="2580" w:type="dxa"/>
            <w:gridSpan w:val="8"/>
            <w:vAlign w:val="center"/>
          </w:tcPr>
          <w:p w14:paraId="66FEEC9B" w14:textId="77777777" w:rsidR="003E78AB" w:rsidRDefault="00010BF9">
            <w:pPr>
              <w:pStyle w:val="aff6"/>
              <w:topLinePunct/>
            </w:pPr>
            <w:r>
              <w:t>达标区</w:t>
            </w:r>
            <w:r>
              <w:t>⎕</w:t>
            </w:r>
          </w:p>
        </w:tc>
        <w:tc>
          <w:tcPr>
            <w:tcW w:w="2413" w:type="dxa"/>
            <w:gridSpan w:val="7"/>
            <w:vAlign w:val="center"/>
          </w:tcPr>
          <w:p w14:paraId="5CC7D5EA" w14:textId="77777777" w:rsidR="003E78AB" w:rsidRDefault="00010BF9">
            <w:pPr>
              <w:pStyle w:val="aff6"/>
              <w:topLinePunct/>
            </w:pPr>
            <w:r>
              <w:t>不达标区团</w:t>
            </w:r>
          </w:p>
        </w:tc>
      </w:tr>
      <w:tr w:rsidR="003E78AB" w14:paraId="364CDBBE" w14:textId="77777777">
        <w:trPr>
          <w:trHeight w:val="755"/>
        </w:trPr>
        <w:tc>
          <w:tcPr>
            <w:tcW w:w="1052" w:type="dxa"/>
            <w:gridSpan w:val="2"/>
            <w:vAlign w:val="center"/>
          </w:tcPr>
          <w:p w14:paraId="68EAE24A" w14:textId="77777777" w:rsidR="003E78AB" w:rsidRDefault="00010BF9">
            <w:pPr>
              <w:pStyle w:val="aff6"/>
              <w:topLinePunct/>
            </w:pPr>
            <w:r>
              <w:t>污染源调查</w:t>
            </w:r>
          </w:p>
        </w:tc>
        <w:tc>
          <w:tcPr>
            <w:tcW w:w="1404" w:type="dxa"/>
            <w:vAlign w:val="center"/>
          </w:tcPr>
          <w:p w14:paraId="15F81C1C" w14:textId="77777777" w:rsidR="003E78AB" w:rsidRDefault="00010BF9">
            <w:pPr>
              <w:pStyle w:val="aff6"/>
              <w:topLinePunct/>
            </w:pPr>
            <w:r>
              <w:t>调查内容</w:t>
            </w:r>
          </w:p>
        </w:tc>
        <w:tc>
          <w:tcPr>
            <w:tcW w:w="2238" w:type="dxa"/>
            <w:gridSpan w:val="5"/>
            <w:vAlign w:val="center"/>
          </w:tcPr>
          <w:p w14:paraId="6A5B0EDF" w14:textId="77777777" w:rsidR="003E78AB" w:rsidRDefault="00010BF9">
            <w:pPr>
              <w:pStyle w:val="aff6"/>
              <w:topLinePunct/>
            </w:pPr>
            <w:r>
              <w:t>本项目正常排放源</w:t>
            </w:r>
            <w:r>
              <w:rPr>
                <w:rFonts w:hint="eastAsia"/>
                <w:bdr w:val="single" w:sz="4" w:space="0" w:color="auto"/>
              </w:rPr>
              <w:t>√</w:t>
            </w:r>
            <w:r>
              <w:t>本项目非正常排放源</w:t>
            </w:r>
            <w:r>
              <w:rPr>
                <w:rFonts w:hint="eastAsia"/>
                <w:bdr w:val="single" w:sz="4" w:space="0" w:color="auto"/>
              </w:rPr>
              <w:t>√</w:t>
            </w:r>
            <w:r>
              <w:t>现有污染源</w:t>
            </w:r>
            <w:r>
              <w:t>⎕</w:t>
            </w:r>
          </w:p>
        </w:tc>
        <w:tc>
          <w:tcPr>
            <w:tcW w:w="1416" w:type="dxa"/>
            <w:gridSpan w:val="5"/>
            <w:vAlign w:val="center"/>
          </w:tcPr>
          <w:p w14:paraId="425683C3" w14:textId="77777777" w:rsidR="003E78AB" w:rsidRDefault="00010BF9">
            <w:pPr>
              <w:pStyle w:val="aff6"/>
              <w:topLinePunct/>
            </w:pPr>
            <w:r>
              <w:t>拟替代的污染源</w:t>
            </w:r>
            <w:r>
              <w:t>⎕</w:t>
            </w:r>
          </w:p>
        </w:tc>
        <w:tc>
          <w:tcPr>
            <w:tcW w:w="1396" w:type="dxa"/>
            <w:gridSpan w:val="5"/>
            <w:vAlign w:val="center"/>
          </w:tcPr>
          <w:p w14:paraId="0C09A842" w14:textId="77777777" w:rsidR="003E78AB" w:rsidRDefault="00010BF9">
            <w:pPr>
              <w:pStyle w:val="aff6"/>
              <w:topLinePunct/>
            </w:pPr>
            <w:r>
              <w:t>其他在建、拟</w:t>
            </w:r>
          </w:p>
          <w:p w14:paraId="6988AC56" w14:textId="77777777" w:rsidR="003E78AB" w:rsidRDefault="00010BF9">
            <w:pPr>
              <w:pStyle w:val="aff6"/>
              <w:topLinePunct/>
            </w:pPr>
            <w:r>
              <w:t>建项目污染</w:t>
            </w:r>
          </w:p>
          <w:p w14:paraId="3B486092" w14:textId="77777777" w:rsidR="003E78AB" w:rsidRDefault="00010BF9">
            <w:pPr>
              <w:pStyle w:val="aff6"/>
              <w:topLinePunct/>
            </w:pPr>
            <w:r>
              <w:t>源</w:t>
            </w:r>
            <w:r>
              <w:t>⎕</w:t>
            </w:r>
          </w:p>
        </w:tc>
        <w:tc>
          <w:tcPr>
            <w:tcW w:w="1017" w:type="dxa"/>
            <w:gridSpan w:val="2"/>
            <w:vAlign w:val="center"/>
          </w:tcPr>
          <w:p w14:paraId="62AD8825" w14:textId="77777777" w:rsidR="003E78AB" w:rsidRDefault="00010BF9">
            <w:pPr>
              <w:pStyle w:val="aff6"/>
              <w:topLinePunct/>
            </w:pPr>
            <w:r>
              <w:t>区域污染源</w:t>
            </w:r>
            <w:r>
              <w:t>⎕</w:t>
            </w:r>
          </w:p>
        </w:tc>
      </w:tr>
      <w:tr w:rsidR="003E78AB" w14:paraId="31DFC63E" w14:textId="77777777">
        <w:trPr>
          <w:trHeight w:val="530"/>
        </w:trPr>
        <w:tc>
          <w:tcPr>
            <w:tcW w:w="771" w:type="dxa"/>
            <w:vMerge w:val="restart"/>
            <w:tcBorders>
              <w:bottom w:val="nil"/>
            </w:tcBorders>
            <w:vAlign w:val="center"/>
          </w:tcPr>
          <w:p w14:paraId="3D96DBDE" w14:textId="77777777" w:rsidR="003E78AB" w:rsidRDefault="00010BF9">
            <w:pPr>
              <w:pStyle w:val="aff6"/>
              <w:topLinePunct/>
            </w:pPr>
            <w:r>
              <w:t>大气环</w:t>
            </w:r>
          </w:p>
          <w:p w14:paraId="5F7DB74D" w14:textId="77777777" w:rsidR="003E78AB" w:rsidRDefault="00010BF9">
            <w:pPr>
              <w:pStyle w:val="aff6"/>
              <w:topLinePunct/>
            </w:pPr>
            <w:r>
              <w:t>境影响</w:t>
            </w:r>
          </w:p>
          <w:p w14:paraId="74EDF523" w14:textId="77777777" w:rsidR="003E78AB" w:rsidRDefault="00010BF9">
            <w:pPr>
              <w:pStyle w:val="aff6"/>
              <w:topLinePunct/>
            </w:pPr>
            <w:r>
              <w:t>预测与</w:t>
            </w:r>
          </w:p>
          <w:p w14:paraId="67E23CB1" w14:textId="77777777" w:rsidR="003E78AB" w:rsidRDefault="00010BF9">
            <w:pPr>
              <w:pStyle w:val="aff6"/>
              <w:topLinePunct/>
            </w:pPr>
            <w:r>
              <w:t>评价</w:t>
            </w:r>
          </w:p>
        </w:tc>
        <w:tc>
          <w:tcPr>
            <w:tcW w:w="1685" w:type="dxa"/>
            <w:gridSpan w:val="2"/>
            <w:vAlign w:val="center"/>
          </w:tcPr>
          <w:p w14:paraId="6D3F519A" w14:textId="77777777" w:rsidR="003E78AB" w:rsidRDefault="00010BF9">
            <w:pPr>
              <w:pStyle w:val="aff6"/>
              <w:topLinePunct/>
            </w:pPr>
            <w:r>
              <w:t>预测模型</w:t>
            </w:r>
          </w:p>
        </w:tc>
        <w:tc>
          <w:tcPr>
            <w:tcW w:w="1074" w:type="dxa"/>
            <w:gridSpan w:val="2"/>
            <w:vAlign w:val="center"/>
          </w:tcPr>
          <w:p w14:paraId="312A7217" w14:textId="77777777" w:rsidR="003E78AB" w:rsidRDefault="00010BF9">
            <w:pPr>
              <w:pStyle w:val="aff6"/>
              <w:topLinePunct/>
            </w:pPr>
            <w:r>
              <w:t>AERMOD</w:t>
            </w:r>
            <w:r>
              <w:rPr>
                <w:rFonts w:hint="eastAsia"/>
                <w:bdr w:val="single" w:sz="4" w:space="0" w:color="auto"/>
              </w:rPr>
              <w:t>√</w:t>
            </w:r>
          </w:p>
        </w:tc>
        <w:tc>
          <w:tcPr>
            <w:tcW w:w="756" w:type="dxa"/>
            <w:vAlign w:val="center"/>
          </w:tcPr>
          <w:p w14:paraId="44679A9F" w14:textId="77777777" w:rsidR="003E78AB" w:rsidRDefault="00010BF9">
            <w:pPr>
              <w:pStyle w:val="aff6"/>
              <w:topLinePunct/>
            </w:pPr>
            <w:r>
              <w:t>ADMS⎕</w:t>
            </w:r>
          </w:p>
        </w:tc>
        <w:tc>
          <w:tcPr>
            <w:tcW w:w="862" w:type="dxa"/>
            <w:gridSpan w:val="5"/>
            <w:vAlign w:val="center"/>
          </w:tcPr>
          <w:p w14:paraId="55A39D6D" w14:textId="77777777" w:rsidR="003E78AB" w:rsidRDefault="00010BF9">
            <w:pPr>
              <w:pStyle w:val="aff6"/>
              <w:topLinePunct/>
            </w:pPr>
            <w:r>
              <w:t>AUSTAL2000⎕</w:t>
            </w:r>
          </w:p>
        </w:tc>
        <w:tc>
          <w:tcPr>
            <w:tcW w:w="962" w:type="dxa"/>
            <w:gridSpan w:val="2"/>
            <w:vAlign w:val="center"/>
          </w:tcPr>
          <w:p w14:paraId="00DB4C5F" w14:textId="77777777" w:rsidR="003E78AB" w:rsidRDefault="00010BF9">
            <w:pPr>
              <w:pStyle w:val="aff6"/>
              <w:topLinePunct/>
            </w:pPr>
            <w:r>
              <w:t>EDMS/AEDT⎕</w:t>
            </w:r>
          </w:p>
        </w:tc>
        <w:tc>
          <w:tcPr>
            <w:tcW w:w="1043" w:type="dxa"/>
            <w:gridSpan w:val="3"/>
            <w:vAlign w:val="center"/>
          </w:tcPr>
          <w:p w14:paraId="780D8FF5" w14:textId="77777777" w:rsidR="003E78AB" w:rsidRDefault="00010BF9">
            <w:pPr>
              <w:pStyle w:val="aff6"/>
              <w:topLinePunct/>
            </w:pPr>
            <w:r>
              <w:t>CALPUFF⎕</w:t>
            </w:r>
          </w:p>
        </w:tc>
        <w:tc>
          <w:tcPr>
            <w:tcW w:w="763" w:type="dxa"/>
            <w:gridSpan w:val="3"/>
            <w:vAlign w:val="center"/>
          </w:tcPr>
          <w:p w14:paraId="3B5893BB" w14:textId="77777777" w:rsidR="003E78AB" w:rsidRDefault="00010BF9">
            <w:pPr>
              <w:pStyle w:val="aff6"/>
              <w:topLinePunct/>
            </w:pPr>
            <w:r>
              <w:t>网格模型</w:t>
            </w:r>
            <w:r>
              <w:t>⎕</w:t>
            </w:r>
          </w:p>
        </w:tc>
        <w:tc>
          <w:tcPr>
            <w:tcW w:w="607" w:type="dxa"/>
            <w:vAlign w:val="center"/>
          </w:tcPr>
          <w:p w14:paraId="50283756" w14:textId="77777777" w:rsidR="003E78AB" w:rsidRDefault="00010BF9">
            <w:pPr>
              <w:pStyle w:val="aff6"/>
              <w:topLinePunct/>
            </w:pPr>
            <w:r>
              <w:t>其他</w:t>
            </w:r>
            <w:r>
              <w:t>⎕</w:t>
            </w:r>
          </w:p>
        </w:tc>
      </w:tr>
      <w:tr w:rsidR="003E78AB" w14:paraId="14108FE6" w14:textId="77777777">
        <w:trPr>
          <w:trHeight w:val="335"/>
        </w:trPr>
        <w:tc>
          <w:tcPr>
            <w:tcW w:w="771" w:type="dxa"/>
            <w:vMerge/>
            <w:tcBorders>
              <w:top w:val="nil"/>
              <w:bottom w:val="nil"/>
            </w:tcBorders>
            <w:vAlign w:val="center"/>
          </w:tcPr>
          <w:p w14:paraId="70C516DB" w14:textId="77777777" w:rsidR="003E78AB" w:rsidRDefault="003E78AB">
            <w:pPr>
              <w:pStyle w:val="aff6"/>
              <w:topLinePunct/>
            </w:pPr>
          </w:p>
        </w:tc>
        <w:tc>
          <w:tcPr>
            <w:tcW w:w="1685" w:type="dxa"/>
            <w:gridSpan w:val="2"/>
            <w:vAlign w:val="center"/>
          </w:tcPr>
          <w:p w14:paraId="540AC3B2" w14:textId="77777777" w:rsidR="003E78AB" w:rsidRDefault="00010BF9">
            <w:pPr>
              <w:pStyle w:val="aff6"/>
              <w:topLinePunct/>
            </w:pPr>
            <w:r>
              <w:t>预测范围</w:t>
            </w:r>
          </w:p>
        </w:tc>
        <w:tc>
          <w:tcPr>
            <w:tcW w:w="1830" w:type="dxa"/>
            <w:gridSpan w:val="3"/>
            <w:vAlign w:val="center"/>
          </w:tcPr>
          <w:p w14:paraId="3C02727C" w14:textId="77777777" w:rsidR="003E78AB" w:rsidRDefault="00010BF9">
            <w:pPr>
              <w:pStyle w:val="aff6"/>
              <w:topLinePunct/>
            </w:pPr>
            <w:r>
              <w:t>边长</w:t>
            </w:r>
            <w:r>
              <w:t>≥50km⎕</w:t>
            </w:r>
          </w:p>
        </w:tc>
        <w:tc>
          <w:tcPr>
            <w:tcW w:w="1824" w:type="dxa"/>
            <w:gridSpan w:val="7"/>
            <w:vAlign w:val="center"/>
          </w:tcPr>
          <w:p w14:paraId="44EECB53" w14:textId="77777777" w:rsidR="003E78AB" w:rsidRDefault="00010BF9">
            <w:pPr>
              <w:pStyle w:val="aff6"/>
              <w:topLinePunct/>
            </w:pPr>
            <w:r>
              <w:t>边长</w:t>
            </w:r>
            <w:r>
              <w:t>5~50km⎕</w:t>
            </w:r>
          </w:p>
        </w:tc>
        <w:tc>
          <w:tcPr>
            <w:tcW w:w="2413" w:type="dxa"/>
            <w:gridSpan w:val="7"/>
            <w:vAlign w:val="center"/>
          </w:tcPr>
          <w:p w14:paraId="17FB058C" w14:textId="77777777" w:rsidR="003E78AB" w:rsidRDefault="00010BF9">
            <w:pPr>
              <w:pStyle w:val="aff6"/>
              <w:topLinePunct/>
            </w:pPr>
            <w:r>
              <w:t>边长</w:t>
            </w:r>
            <w:r>
              <w:t>=5km</w:t>
            </w:r>
            <w:r>
              <w:rPr>
                <w:rFonts w:hint="eastAsia"/>
                <w:bdr w:val="single" w:sz="4" w:space="0" w:color="auto"/>
              </w:rPr>
              <w:t>√</w:t>
            </w:r>
          </w:p>
        </w:tc>
      </w:tr>
      <w:tr w:rsidR="003E78AB" w14:paraId="70E0C1F1" w14:textId="77777777">
        <w:trPr>
          <w:trHeight w:val="529"/>
        </w:trPr>
        <w:tc>
          <w:tcPr>
            <w:tcW w:w="771" w:type="dxa"/>
            <w:vMerge/>
            <w:tcBorders>
              <w:top w:val="nil"/>
              <w:bottom w:val="nil"/>
            </w:tcBorders>
            <w:vAlign w:val="center"/>
          </w:tcPr>
          <w:p w14:paraId="5A6D1B55" w14:textId="77777777" w:rsidR="003E78AB" w:rsidRDefault="003E78AB">
            <w:pPr>
              <w:pStyle w:val="aff6"/>
              <w:topLinePunct/>
            </w:pPr>
          </w:p>
        </w:tc>
        <w:tc>
          <w:tcPr>
            <w:tcW w:w="1685" w:type="dxa"/>
            <w:gridSpan w:val="2"/>
            <w:vAlign w:val="center"/>
          </w:tcPr>
          <w:p w14:paraId="26BE6F3C" w14:textId="77777777" w:rsidR="003E78AB" w:rsidRDefault="00010BF9">
            <w:pPr>
              <w:pStyle w:val="aff6"/>
              <w:topLinePunct/>
            </w:pPr>
            <w:r>
              <w:t>预测因子</w:t>
            </w:r>
          </w:p>
        </w:tc>
        <w:tc>
          <w:tcPr>
            <w:tcW w:w="3654" w:type="dxa"/>
            <w:gridSpan w:val="10"/>
            <w:vAlign w:val="center"/>
          </w:tcPr>
          <w:p w14:paraId="72BE2517" w14:textId="77777777" w:rsidR="003E78AB" w:rsidRDefault="00010BF9">
            <w:pPr>
              <w:pStyle w:val="aff6"/>
              <w:topLinePunct/>
            </w:pPr>
            <w:r>
              <w:t>预测因子</w:t>
            </w:r>
            <w:r>
              <w:t>(</w:t>
            </w:r>
            <w:r>
              <w:rPr>
                <w:rFonts w:hint="eastAsia"/>
              </w:rPr>
              <w:t>PM10</w:t>
            </w:r>
            <w:r>
              <w:rPr>
                <w:rFonts w:hint="eastAsia"/>
              </w:rPr>
              <w:t>、硫酸雾、</w:t>
            </w:r>
            <w:r>
              <w:rPr>
                <w:rFonts w:hint="eastAsia"/>
              </w:rPr>
              <w:t>TVOC</w:t>
            </w:r>
            <w:r>
              <w:rPr>
                <w:rFonts w:hint="eastAsia"/>
              </w:rPr>
              <w:t>、</w:t>
            </w:r>
            <w:r>
              <w:rPr>
                <w:rFonts w:hint="eastAsia"/>
              </w:rPr>
              <w:t>SO</w:t>
            </w:r>
            <w:r>
              <w:rPr>
                <w:rFonts w:hint="eastAsia"/>
                <w:vertAlign w:val="subscript"/>
              </w:rPr>
              <w:t>2</w:t>
            </w:r>
            <w:r>
              <w:rPr>
                <w:rFonts w:hint="eastAsia"/>
              </w:rPr>
              <w:t>、</w:t>
            </w:r>
            <w:r>
              <w:rPr>
                <w:rFonts w:hint="eastAsia"/>
              </w:rPr>
              <w:t>NOx</w:t>
            </w:r>
            <w:r>
              <w:t>)</w:t>
            </w:r>
          </w:p>
        </w:tc>
        <w:tc>
          <w:tcPr>
            <w:tcW w:w="2413" w:type="dxa"/>
            <w:gridSpan w:val="7"/>
            <w:vAlign w:val="center"/>
          </w:tcPr>
          <w:p w14:paraId="03A1CA76" w14:textId="77777777" w:rsidR="003E78AB" w:rsidRDefault="00010BF9">
            <w:pPr>
              <w:pStyle w:val="aff6"/>
              <w:topLinePunct/>
            </w:pPr>
            <w:r>
              <w:t>包括二次</w:t>
            </w:r>
            <w:r>
              <w:t>PM</w:t>
            </w:r>
            <w:r>
              <w:rPr>
                <w:vertAlign w:val="subscript"/>
              </w:rPr>
              <w:t>2.5</w:t>
            </w:r>
            <w:r>
              <w:t>⎕</w:t>
            </w:r>
            <w:r>
              <w:t>不包括二次</w:t>
            </w:r>
            <w:r>
              <w:t>PM</w:t>
            </w:r>
            <w:r>
              <w:rPr>
                <w:vertAlign w:val="subscript"/>
              </w:rPr>
              <w:t>2.5</w:t>
            </w:r>
            <w:r>
              <w:rPr>
                <w:rFonts w:hint="eastAsia"/>
                <w:bdr w:val="single" w:sz="4" w:space="0" w:color="auto"/>
              </w:rPr>
              <w:t>√</w:t>
            </w:r>
          </w:p>
        </w:tc>
      </w:tr>
      <w:tr w:rsidR="003E78AB" w14:paraId="218907C4" w14:textId="77777777">
        <w:trPr>
          <w:trHeight w:val="476"/>
        </w:trPr>
        <w:tc>
          <w:tcPr>
            <w:tcW w:w="771" w:type="dxa"/>
            <w:vMerge/>
            <w:tcBorders>
              <w:top w:val="nil"/>
              <w:bottom w:val="nil"/>
            </w:tcBorders>
            <w:vAlign w:val="center"/>
          </w:tcPr>
          <w:p w14:paraId="797D39C7" w14:textId="77777777" w:rsidR="003E78AB" w:rsidRDefault="003E78AB">
            <w:pPr>
              <w:pStyle w:val="aff6"/>
              <w:topLinePunct/>
            </w:pPr>
          </w:p>
        </w:tc>
        <w:tc>
          <w:tcPr>
            <w:tcW w:w="1685" w:type="dxa"/>
            <w:gridSpan w:val="2"/>
            <w:vAlign w:val="center"/>
          </w:tcPr>
          <w:p w14:paraId="541E719E" w14:textId="77777777" w:rsidR="003E78AB" w:rsidRDefault="00010BF9">
            <w:pPr>
              <w:pStyle w:val="aff6"/>
              <w:topLinePunct/>
            </w:pPr>
            <w:r>
              <w:t>正常排放短期浓度贡献值</w:t>
            </w:r>
          </w:p>
        </w:tc>
        <w:tc>
          <w:tcPr>
            <w:tcW w:w="3654" w:type="dxa"/>
            <w:gridSpan w:val="10"/>
            <w:vAlign w:val="center"/>
          </w:tcPr>
          <w:p w14:paraId="2EF98AA6" w14:textId="77777777" w:rsidR="003E78AB" w:rsidRDefault="00010BF9">
            <w:pPr>
              <w:pStyle w:val="aff6"/>
              <w:topLinePunct/>
            </w:pPr>
            <w:r>
              <w:t>C</w:t>
            </w:r>
            <w:r>
              <w:t>本项目最大占标率</w:t>
            </w:r>
            <w:r>
              <w:t>≤100%</w:t>
            </w:r>
            <w:r>
              <w:rPr>
                <w:rFonts w:hint="eastAsia"/>
                <w:bdr w:val="single" w:sz="4" w:space="0" w:color="auto"/>
              </w:rPr>
              <w:t>√</w:t>
            </w:r>
          </w:p>
        </w:tc>
        <w:tc>
          <w:tcPr>
            <w:tcW w:w="2413" w:type="dxa"/>
            <w:gridSpan w:val="7"/>
            <w:vAlign w:val="center"/>
          </w:tcPr>
          <w:p w14:paraId="3648CA63" w14:textId="77777777" w:rsidR="003E78AB" w:rsidRDefault="00010BF9">
            <w:pPr>
              <w:pStyle w:val="aff6"/>
              <w:topLinePunct/>
            </w:pPr>
            <w:r>
              <w:t>C</w:t>
            </w:r>
            <w:r>
              <w:t>本项目最大占标率＞</w:t>
            </w:r>
            <w:r>
              <w:t>100%⎕</w:t>
            </w:r>
          </w:p>
        </w:tc>
      </w:tr>
      <w:tr w:rsidR="003E78AB" w14:paraId="28636473" w14:textId="77777777">
        <w:trPr>
          <w:trHeight w:val="335"/>
        </w:trPr>
        <w:tc>
          <w:tcPr>
            <w:tcW w:w="771" w:type="dxa"/>
            <w:vMerge/>
            <w:tcBorders>
              <w:top w:val="nil"/>
              <w:bottom w:val="nil"/>
            </w:tcBorders>
            <w:vAlign w:val="center"/>
          </w:tcPr>
          <w:p w14:paraId="20FBAED7" w14:textId="77777777" w:rsidR="003E78AB" w:rsidRDefault="003E78AB">
            <w:pPr>
              <w:pStyle w:val="aff6"/>
              <w:topLinePunct/>
            </w:pPr>
          </w:p>
        </w:tc>
        <w:tc>
          <w:tcPr>
            <w:tcW w:w="1685" w:type="dxa"/>
            <w:gridSpan w:val="2"/>
            <w:vMerge w:val="restart"/>
            <w:tcBorders>
              <w:bottom w:val="nil"/>
            </w:tcBorders>
            <w:vAlign w:val="center"/>
          </w:tcPr>
          <w:p w14:paraId="726F3044" w14:textId="77777777" w:rsidR="003E78AB" w:rsidRDefault="00010BF9">
            <w:pPr>
              <w:pStyle w:val="aff6"/>
              <w:topLinePunct/>
            </w:pPr>
            <w:r>
              <w:t>正常排放年均浓度贡献值</w:t>
            </w:r>
          </w:p>
        </w:tc>
        <w:tc>
          <w:tcPr>
            <w:tcW w:w="1074" w:type="dxa"/>
            <w:gridSpan w:val="2"/>
            <w:vAlign w:val="center"/>
          </w:tcPr>
          <w:p w14:paraId="2E9B8974" w14:textId="77777777" w:rsidR="003E78AB" w:rsidRDefault="00010BF9">
            <w:pPr>
              <w:pStyle w:val="aff6"/>
              <w:topLinePunct/>
            </w:pPr>
            <w:r>
              <w:t>一类区</w:t>
            </w:r>
          </w:p>
        </w:tc>
        <w:tc>
          <w:tcPr>
            <w:tcW w:w="2580" w:type="dxa"/>
            <w:gridSpan w:val="8"/>
            <w:vAlign w:val="center"/>
          </w:tcPr>
          <w:p w14:paraId="1FF4FE96" w14:textId="77777777" w:rsidR="003E78AB" w:rsidRDefault="00010BF9">
            <w:pPr>
              <w:pStyle w:val="aff6"/>
              <w:topLinePunct/>
            </w:pPr>
            <w:r>
              <w:t>C</w:t>
            </w:r>
            <w:r>
              <w:t>本项目最大占标率</w:t>
            </w:r>
            <w:r>
              <w:t>≤10%⎕</w:t>
            </w:r>
          </w:p>
        </w:tc>
        <w:tc>
          <w:tcPr>
            <w:tcW w:w="2413" w:type="dxa"/>
            <w:gridSpan w:val="7"/>
            <w:vAlign w:val="center"/>
          </w:tcPr>
          <w:p w14:paraId="14D772FF" w14:textId="77777777" w:rsidR="003E78AB" w:rsidRDefault="00010BF9">
            <w:pPr>
              <w:pStyle w:val="aff6"/>
              <w:topLinePunct/>
            </w:pPr>
            <w:r>
              <w:t>C</w:t>
            </w:r>
            <w:r>
              <w:t>本项目最大占标率＞</w:t>
            </w:r>
            <w:r>
              <w:t>10%⎕</w:t>
            </w:r>
          </w:p>
        </w:tc>
      </w:tr>
      <w:tr w:rsidR="003E78AB" w14:paraId="709A70BF" w14:textId="77777777">
        <w:trPr>
          <w:trHeight w:val="335"/>
        </w:trPr>
        <w:tc>
          <w:tcPr>
            <w:tcW w:w="771" w:type="dxa"/>
            <w:vMerge/>
            <w:tcBorders>
              <w:top w:val="nil"/>
              <w:bottom w:val="nil"/>
            </w:tcBorders>
            <w:vAlign w:val="center"/>
          </w:tcPr>
          <w:p w14:paraId="08115205" w14:textId="77777777" w:rsidR="003E78AB" w:rsidRDefault="003E78AB">
            <w:pPr>
              <w:pStyle w:val="aff6"/>
              <w:topLinePunct/>
            </w:pPr>
          </w:p>
        </w:tc>
        <w:tc>
          <w:tcPr>
            <w:tcW w:w="1685" w:type="dxa"/>
            <w:gridSpan w:val="2"/>
            <w:vMerge/>
            <w:tcBorders>
              <w:top w:val="nil"/>
            </w:tcBorders>
            <w:vAlign w:val="center"/>
          </w:tcPr>
          <w:p w14:paraId="1B842CCF" w14:textId="77777777" w:rsidR="003E78AB" w:rsidRDefault="003E78AB">
            <w:pPr>
              <w:pStyle w:val="aff6"/>
              <w:topLinePunct/>
            </w:pPr>
          </w:p>
        </w:tc>
        <w:tc>
          <w:tcPr>
            <w:tcW w:w="1074" w:type="dxa"/>
            <w:gridSpan w:val="2"/>
            <w:vAlign w:val="center"/>
          </w:tcPr>
          <w:p w14:paraId="38B7D45F" w14:textId="77777777" w:rsidR="003E78AB" w:rsidRDefault="00010BF9">
            <w:pPr>
              <w:pStyle w:val="aff6"/>
              <w:topLinePunct/>
            </w:pPr>
            <w:r>
              <w:t>二类区</w:t>
            </w:r>
          </w:p>
        </w:tc>
        <w:tc>
          <w:tcPr>
            <w:tcW w:w="2580" w:type="dxa"/>
            <w:gridSpan w:val="8"/>
            <w:vAlign w:val="center"/>
          </w:tcPr>
          <w:p w14:paraId="7F5B0BD0" w14:textId="77777777" w:rsidR="003E78AB" w:rsidRDefault="00010BF9">
            <w:pPr>
              <w:pStyle w:val="aff6"/>
              <w:topLinePunct/>
            </w:pPr>
            <w:r>
              <w:t>C</w:t>
            </w:r>
            <w:r>
              <w:t>本项目最大占标率</w:t>
            </w:r>
            <w:r>
              <w:t>≤30%</w:t>
            </w:r>
            <w:r>
              <w:rPr>
                <w:rFonts w:hint="eastAsia"/>
                <w:bdr w:val="single" w:sz="4" w:space="0" w:color="auto"/>
              </w:rPr>
              <w:t>√</w:t>
            </w:r>
          </w:p>
        </w:tc>
        <w:tc>
          <w:tcPr>
            <w:tcW w:w="2413" w:type="dxa"/>
            <w:gridSpan w:val="7"/>
            <w:vAlign w:val="center"/>
          </w:tcPr>
          <w:p w14:paraId="62E11974" w14:textId="77777777" w:rsidR="003E78AB" w:rsidRDefault="00010BF9">
            <w:pPr>
              <w:pStyle w:val="aff6"/>
              <w:topLinePunct/>
            </w:pPr>
            <w:r>
              <w:t>C</w:t>
            </w:r>
            <w:r>
              <w:t>本项目最大占标率＞</w:t>
            </w:r>
            <w:r>
              <w:t>30%⎕</w:t>
            </w:r>
          </w:p>
        </w:tc>
      </w:tr>
      <w:tr w:rsidR="003E78AB" w14:paraId="0E042131" w14:textId="77777777">
        <w:trPr>
          <w:trHeight w:val="553"/>
        </w:trPr>
        <w:tc>
          <w:tcPr>
            <w:tcW w:w="771" w:type="dxa"/>
            <w:vMerge/>
            <w:tcBorders>
              <w:top w:val="nil"/>
              <w:bottom w:val="nil"/>
            </w:tcBorders>
            <w:vAlign w:val="center"/>
          </w:tcPr>
          <w:p w14:paraId="6FE44805" w14:textId="77777777" w:rsidR="003E78AB" w:rsidRDefault="003E78AB">
            <w:pPr>
              <w:pStyle w:val="aff6"/>
              <w:topLinePunct/>
            </w:pPr>
          </w:p>
        </w:tc>
        <w:tc>
          <w:tcPr>
            <w:tcW w:w="1685" w:type="dxa"/>
            <w:gridSpan w:val="2"/>
            <w:vAlign w:val="center"/>
          </w:tcPr>
          <w:p w14:paraId="23ABD2BE" w14:textId="77777777" w:rsidR="003E78AB" w:rsidRDefault="00010BF9">
            <w:pPr>
              <w:pStyle w:val="aff6"/>
              <w:topLinePunct/>
            </w:pPr>
            <w:r>
              <w:t>非正常排放</w:t>
            </w:r>
            <w:r>
              <w:t>1h</w:t>
            </w:r>
            <w:r>
              <w:t>浓度贡献值</w:t>
            </w:r>
          </w:p>
        </w:tc>
        <w:tc>
          <w:tcPr>
            <w:tcW w:w="1074" w:type="dxa"/>
            <w:gridSpan w:val="2"/>
            <w:vAlign w:val="center"/>
          </w:tcPr>
          <w:p w14:paraId="11C07E4B" w14:textId="77777777" w:rsidR="003E78AB" w:rsidRDefault="00010BF9">
            <w:pPr>
              <w:pStyle w:val="aff6"/>
              <w:topLinePunct/>
            </w:pPr>
            <w:r>
              <w:t>非正常持续时长</w:t>
            </w:r>
            <w:r>
              <w:t>(</w:t>
            </w:r>
            <w:r>
              <w:rPr>
                <w:rFonts w:hint="eastAsia"/>
              </w:rPr>
              <w:t>1</w:t>
            </w:r>
            <w:r>
              <w:t>h)</w:t>
            </w:r>
          </w:p>
        </w:tc>
        <w:tc>
          <w:tcPr>
            <w:tcW w:w="2580" w:type="dxa"/>
            <w:gridSpan w:val="8"/>
            <w:vAlign w:val="center"/>
          </w:tcPr>
          <w:p w14:paraId="20B9D0B9" w14:textId="77777777" w:rsidR="003E78AB" w:rsidRDefault="00010BF9">
            <w:pPr>
              <w:pStyle w:val="aff6"/>
              <w:topLinePunct/>
            </w:pPr>
            <w:r>
              <w:t>C</w:t>
            </w:r>
            <w:r>
              <w:t>本项目最大占标率</w:t>
            </w:r>
            <w:r>
              <w:t>≤100%</w:t>
            </w:r>
            <w:r>
              <w:rPr>
                <w:rFonts w:hint="eastAsia"/>
                <w:bdr w:val="single" w:sz="4" w:space="0" w:color="auto"/>
              </w:rPr>
              <w:t>√</w:t>
            </w:r>
          </w:p>
        </w:tc>
        <w:tc>
          <w:tcPr>
            <w:tcW w:w="2413" w:type="dxa"/>
            <w:gridSpan w:val="7"/>
            <w:vAlign w:val="center"/>
          </w:tcPr>
          <w:p w14:paraId="13891C01" w14:textId="77777777" w:rsidR="003E78AB" w:rsidRDefault="00010BF9">
            <w:pPr>
              <w:pStyle w:val="aff6"/>
              <w:topLinePunct/>
            </w:pPr>
            <w:r>
              <w:t>C</w:t>
            </w:r>
            <w:r>
              <w:t>本项目最大占标率＞</w:t>
            </w:r>
            <w:r>
              <w:t>100%</w:t>
            </w:r>
          </w:p>
        </w:tc>
      </w:tr>
      <w:tr w:rsidR="003E78AB" w14:paraId="144EA5E7" w14:textId="77777777">
        <w:trPr>
          <w:trHeight w:val="518"/>
        </w:trPr>
        <w:tc>
          <w:tcPr>
            <w:tcW w:w="771" w:type="dxa"/>
            <w:vMerge/>
            <w:tcBorders>
              <w:top w:val="nil"/>
              <w:bottom w:val="nil"/>
            </w:tcBorders>
            <w:vAlign w:val="center"/>
          </w:tcPr>
          <w:p w14:paraId="4F7A0B93" w14:textId="77777777" w:rsidR="003E78AB" w:rsidRDefault="003E78AB">
            <w:pPr>
              <w:pStyle w:val="aff6"/>
              <w:topLinePunct/>
            </w:pPr>
          </w:p>
        </w:tc>
        <w:tc>
          <w:tcPr>
            <w:tcW w:w="1685" w:type="dxa"/>
            <w:gridSpan w:val="2"/>
            <w:vAlign w:val="center"/>
          </w:tcPr>
          <w:p w14:paraId="181AD7C7" w14:textId="77777777" w:rsidR="003E78AB" w:rsidRDefault="00010BF9">
            <w:pPr>
              <w:pStyle w:val="aff6"/>
              <w:topLinePunct/>
            </w:pPr>
            <w:r>
              <w:t>保证率日平均浓度和年平均浓度</w:t>
            </w:r>
          </w:p>
        </w:tc>
        <w:tc>
          <w:tcPr>
            <w:tcW w:w="2506" w:type="dxa"/>
            <w:gridSpan w:val="7"/>
            <w:vAlign w:val="center"/>
          </w:tcPr>
          <w:p w14:paraId="58D4AACF" w14:textId="77777777" w:rsidR="003E78AB" w:rsidRDefault="00010BF9">
            <w:pPr>
              <w:pStyle w:val="aff6"/>
              <w:topLinePunct/>
            </w:pPr>
            <w:r>
              <w:t>C</w:t>
            </w:r>
            <w:r>
              <w:t>叠加达标</w:t>
            </w:r>
            <w:r>
              <w:rPr>
                <w:rFonts w:hint="eastAsia"/>
                <w:bdr w:val="single" w:sz="4" w:space="0" w:color="auto"/>
              </w:rPr>
              <w:t>√</w:t>
            </w:r>
          </w:p>
        </w:tc>
        <w:tc>
          <w:tcPr>
            <w:tcW w:w="3561" w:type="dxa"/>
            <w:gridSpan w:val="10"/>
            <w:vAlign w:val="center"/>
          </w:tcPr>
          <w:p w14:paraId="71A9A5E8" w14:textId="77777777" w:rsidR="003E78AB" w:rsidRDefault="00010BF9">
            <w:pPr>
              <w:pStyle w:val="aff6"/>
              <w:topLinePunct/>
            </w:pPr>
            <w:r>
              <w:t>C</w:t>
            </w:r>
            <w:r>
              <w:t>叠加不达标</w:t>
            </w:r>
            <w:r>
              <w:t>⎕</w:t>
            </w:r>
          </w:p>
        </w:tc>
      </w:tr>
      <w:tr w:rsidR="003E78AB" w14:paraId="015383A3" w14:textId="77777777">
        <w:trPr>
          <w:trHeight w:val="521"/>
        </w:trPr>
        <w:tc>
          <w:tcPr>
            <w:tcW w:w="771" w:type="dxa"/>
            <w:vMerge/>
            <w:tcBorders>
              <w:top w:val="nil"/>
            </w:tcBorders>
            <w:vAlign w:val="center"/>
          </w:tcPr>
          <w:p w14:paraId="283F42B2" w14:textId="77777777" w:rsidR="003E78AB" w:rsidRDefault="003E78AB">
            <w:pPr>
              <w:pStyle w:val="aff6"/>
              <w:topLinePunct/>
            </w:pPr>
          </w:p>
        </w:tc>
        <w:tc>
          <w:tcPr>
            <w:tcW w:w="1685" w:type="dxa"/>
            <w:gridSpan w:val="2"/>
            <w:vAlign w:val="center"/>
          </w:tcPr>
          <w:p w14:paraId="1DEE6DD9" w14:textId="77777777" w:rsidR="003E78AB" w:rsidRDefault="00010BF9">
            <w:pPr>
              <w:pStyle w:val="aff6"/>
              <w:topLinePunct/>
            </w:pPr>
            <w:r>
              <w:t>区域环境质量整体变化情况</w:t>
            </w:r>
          </w:p>
        </w:tc>
        <w:tc>
          <w:tcPr>
            <w:tcW w:w="2506" w:type="dxa"/>
            <w:gridSpan w:val="7"/>
            <w:vAlign w:val="center"/>
          </w:tcPr>
          <w:p w14:paraId="5EF8E6BC" w14:textId="77777777" w:rsidR="003E78AB" w:rsidRDefault="00010BF9">
            <w:pPr>
              <w:pStyle w:val="aff6"/>
              <w:topLinePunct/>
            </w:pPr>
            <w:r>
              <w:t>k≤-20%</w:t>
            </w:r>
            <w:r>
              <w:rPr>
                <w:rFonts w:hint="eastAsia"/>
                <w:bdr w:val="single" w:sz="4" w:space="0" w:color="auto"/>
              </w:rPr>
              <w:t>√</w:t>
            </w:r>
          </w:p>
        </w:tc>
        <w:tc>
          <w:tcPr>
            <w:tcW w:w="3561" w:type="dxa"/>
            <w:gridSpan w:val="10"/>
            <w:vAlign w:val="center"/>
          </w:tcPr>
          <w:p w14:paraId="0DB8B063" w14:textId="77777777" w:rsidR="003E78AB" w:rsidRDefault="00010BF9">
            <w:pPr>
              <w:pStyle w:val="aff6"/>
              <w:topLinePunct/>
            </w:pPr>
            <w:r>
              <w:t>k</w:t>
            </w:r>
            <w:r>
              <w:t>＞</w:t>
            </w:r>
            <w:r>
              <w:t>-20%⎕</w:t>
            </w:r>
          </w:p>
        </w:tc>
      </w:tr>
      <w:tr w:rsidR="003E78AB" w14:paraId="6D794669" w14:textId="77777777">
        <w:trPr>
          <w:trHeight w:val="855"/>
        </w:trPr>
        <w:tc>
          <w:tcPr>
            <w:tcW w:w="771" w:type="dxa"/>
            <w:vMerge w:val="restart"/>
            <w:tcBorders>
              <w:bottom w:val="nil"/>
            </w:tcBorders>
            <w:vAlign w:val="center"/>
          </w:tcPr>
          <w:p w14:paraId="7BEDA422" w14:textId="77777777" w:rsidR="003E78AB" w:rsidRDefault="00010BF9">
            <w:pPr>
              <w:pStyle w:val="aff6"/>
              <w:topLinePunct/>
            </w:pPr>
            <w:r>
              <w:t>环境监测计划</w:t>
            </w:r>
          </w:p>
        </w:tc>
        <w:tc>
          <w:tcPr>
            <w:tcW w:w="1685" w:type="dxa"/>
            <w:gridSpan w:val="2"/>
            <w:vAlign w:val="center"/>
          </w:tcPr>
          <w:p w14:paraId="66BE94BA" w14:textId="77777777" w:rsidR="003E78AB" w:rsidRDefault="00010BF9">
            <w:pPr>
              <w:pStyle w:val="aff6"/>
              <w:topLinePunct/>
            </w:pPr>
            <w:r>
              <w:t>污染源监测</w:t>
            </w:r>
          </w:p>
        </w:tc>
        <w:tc>
          <w:tcPr>
            <w:tcW w:w="2506" w:type="dxa"/>
            <w:gridSpan w:val="7"/>
            <w:vAlign w:val="center"/>
          </w:tcPr>
          <w:p w14:paraId="385C8A00" w14:textId="77777777" w:rsidR="003E78AB" w:rsidRDefault="00010BF9">
            <w:pPr>
              <w:pStyle w:val="aff6"/>
              <w:topLinePunct/>
            </w:pPr>
            <w:r>
              <w:t>监测因子</w:t>
            </w:r>
            <w:r>
              <w:t>(</w:t>
            </w:r>
            <w:r>
              <w:t>颗粒物、硫酸雾、</w:t>
            </w:r>
          </w:p>
          <w:p w14:paraId="5126E117" w14:textId="77777777" w:rsidR="003E78AB" w:rsidRDefault="00010BF9">
            <w:pPr>
              <w:pStyle w:val="aff6"/>
              <w:topLinePunct/>
            </w:pPr>
            <w:r>
              <w:rPr>
                <w:rFonts w:hint="eastAsia"/>
              </w:rPr>
              <w:t>VOCs</w:t>
            </w:r>
            <w:r>
              <w:rPr>
                <w:rFonts w:hint="eastAsia"/>
              </w:rPr>
              <w:t>、</w:t>
            </w:r>
            <w:r>
              <w:rPr>
                <w:rFonts w:hint="eastAsia"/>
              </w:rPr>
              <w:t>SO</w:t>
            </w:r>
            <w:r>
              <w:rPr>
                <w:rFonts w:hint="eastAsia"/>
                <w:vertAlign w:val="subscript"/>
              </w:rPr>
              <w:t>2</w:t>
            </w:r>
            <w:r>
              <w:rPr>
                <w:rFonts w:hint="eastAsia"/>
              </w:rPr>
              <w:t>、</w:t>
            </w:r>
            <w:r>
              <w:rPr>
                <w:rFonts w:hint="eastAsia"/>
              </w:rPr>
              <w:t>NOx</w:t>
            </w:r>
            <w:r>
              <w:t>)</w:t>
            </w:r>
          </w:p>
        </w:tc>
        <w:tc>
          <w:tcPr>
            <w:tcW w:w="1148" w:type="dxa"/>
            <w:gridSpan w:val="3"/>
            <w:vAlign w:val="center"/>
          </w:tcPr>
          <w:p w14:paraId="5B9606F2" w14:textId="77777777" w:rsidR="003E78AB" w:rsidRDefault="00010BF9">
            <w:pPr>
              <w:pStyle w:val="aff6"/>
              <w:topLinePunct/>
            </w:pPr>
            <w:r>
              <w:t>有组织废气监测</w:t>
            </w:r>
            <w:r>
              <w:rPr>
                <w:rFonts w:hint="eastAsia"/>
                <w:bdr w:val="single" w:sz="4" w:space="0" w:color="auto"/>
              </w:rPr>
              <w:t>√</w:t>
            </w:r>
            <w:r>
              <w:t>无组织废气监测</w:t>
            </w:r>
            <w:r>
              <w:rPr>
                <w:rFonts w:hint="eastAsia"/>
                <w:bdr w:val="single" w:sz="4" w:space="0" w:color="auto"/>
              </w:rPr>
              <w:t>√</w:t>
            </w:r>
          </w:p>
        </w:tc>
        <w:tc>
          <w:tcPr>
            <w:tcW w:w="2413" w:type="dxa"/>
            <w:gridSpan w:val="7"/>
            <w:vAlign w:val="center"/>
          </w:tcPr>
          <w:p w14:paraId="259558B8" w14:textId="77777777" w:rsidR="003E78AB" w:rsidRDefault="00010BF9">
            <w:pPr>
              <w:pStyle w:val="aff6"/>
              <w:topLinePunct/>
            </w:pPr>
            <w:r>
              <w:t>无监测</w:t>
            </w:r>
            <w:r>
              <w:t>⎕</w:t>
            </w:r>
          </w:p>
        </w:tc>
      </w:tr>
      <w:tr w:rsidR="003E78AB" w14:paraId="6E765174" w14:textId="77777777">
        <w:trPr>
          <w:trHeight w:val="335"/>
        </w:trPr>
        <w:tc>
          <w:tcPr>
            <w:tcW w:w="771" w:type="dxa"/>
            <w:vMerge/>
            <w:tcBorders>
              <w:top w:val="nil"/>
            </w:tcBorders>
            <w:vAlign w:val="center"/>
          </w:tcPr>
          <w:p w14:paraId="608F137E" w14:textId="77777777" w:rsidR="003E78AB" w:rsidRDefault="003E78AB">
            <w:pPr>
              <w:pStyle w:val="aff6"/>
              <w:topLinePunct/>
            </w:pPr>
          </w:p>
        </w:tc>
        <w:tc>
          <w:tcPr>
            <w:tcW w:w="1685" w:type="dxa"/>
            <w:gridSpan w:val="2"/>
            <w:vAlign w:val="center"/>
          </w:tcPr>
          <w:p w14:paraId="6BEBB199" w14:textId="77777777" w:rsidR="003E78AB" w:rsidRDefault="00010BF9">
            <w:pPr>
              <w:pStyle w:val="aff6"/>
              <w:topLinePunct/>
            </w:pPr>
            <w:r>
              <w:t>环境质量监测</w:t>
            </w:r>
          </w:p>
        </w:tc>
        <w:tc>
          <w:tcPr>
            <w:tcW w:w="2506" w:type="dxa"/>
            <w:gridSpan w:val="7"/>
            <w:vAlign w:val="center"/>
          </w:tcPr>
          <w:p w14:paraId="4C0918D7" w14:textId="77777777" w:rsidR="003E78AB" w:rsidRDefault="00010BF9">
            <w:pPr>
              <w:pStyle w:val="aff6"/>
              <w:topLinePunct/>
            </w:pPr>
            <w:r>
              <w:t>监测因子</w:t>
            </w:r>
            <w:r>
              <w:t>(/)</w:t>
            </w:r>
          </w:p>
        </w:tc>
        <w:tc>
          <w:tcPr>
            <w:tcW w:w="1148" w:type="dxa"/>
            <w:gridSpan w:val="3"/>
            <w:vAlign w:val="center"/>
          </w:tcPr>
          <w:p w14:paraId="140ADD6E" w14:textId="77777777" w:rsidR="003E78AB" w:rsidRDefault="00010BF9">
            <w:pPr>
              <w:pStyle w:val="aff6"/>
              <w:topLinePunct/>
            </w:pPr>
            <w:r>
              <w:t>监测点位数</w:t>
            </w:r>
            <w:r>
              <w:t>(/)</w:t>
            </w:r>
          </w:p>
        </w:tc>
        <w:tc>
          <w:tcPr>
            <w:tcW w:w="2413" w:type="dxa"/>
            <w:gridSpan w:val="7"/>
            <w:vAlign w:val="center"/>
          </w:tcPr>
          <w:p w14:paraId="7FDD78F5" w14:textId="77777777" w:rsidR="003E78AB" w:rsidRDefault="00010BF9">
            <w:pPr>
              <w:pStyle w:val="aff6"/>
              <w:topLinePunct/>
            </w:pPr>
            <w:r>
              <w:t>无监测</w:t>
            </w:r>
            <w:r>
              <w:rPr>
                <w:rFonts w:hint="eastAsia"/>
                <w:bdr w:val="single" w:sz="4" w:space="0" w:color="auto"/>
              </w:rPr>
              <w:t>√</w:t>
            </w:r>
          </w:p>
        </w:tc>
      </w:tr>
      <w:tr w:rsidR="003E78AB" w14:paraId="53FD33D6" w14:textId="77777777">
        <w:trPr>
          <w:trHeight w:val="335"/>
        </w:trPr>
        <w:tc>
          <w:tcPr>
            <w:tcW w:w="771" w:type="dxa"/>
            <w:vMerge w:val="restart"/>
            <w:tcBorders>
              <w:bottom w:val="nil"/>
            </w:tcBorders>
            <w:vAlign w:val="center"/>
          </w:tcPr>
          <w:p w14:paraId="4C1FB21F" w14:textId="77777777" w:rsidR="003E78AB" w:rsidRDefault="00010BF9">
            <w:pPr>
              <w:pStyle w:val="aff6"/>
              <w:topLinePunct/>
            </w:pPr>
            <w:r>
              <w:t>评价</w:t>
            </w:r>
          </w:p>
          <w:p w14:paraId="77012726" w14:textId="77777777" w:rsidR="003E78AB" w:rsidRDefault="00010BF9">
            <w:pPr>
              <w:pStyle w:val="aff6"/>
              <w:topLinePunct/>
            </w:pPr>
            <w:r>
              <w:t>结论</w:t>
            </w:r>
          </w:p>
        </w:tc>
        <w:tc>
          <w:tcPr>
            <w:tcW w:w="1685" w:type="dxa"/>
            <w:gridSpan w:val="2"/>
            <w:vAlign w:val="center"/>
          </w:tcPr>
          <w:p w14:paraId="0247DF7C" w14:textId="77777777" w:rsidR="003E78AB" w:rsidRDefault="00010BF9">
            <w:pPr>
              <w:pStyle w:val="aff6"/>
              <w:topLinePunct/>
            </w:pPr>
            <w:r>
              <w:t>环境影响</w:t>
            </w:r>
          </w:p>
        </w:tc>
        <w:tc>
          <w:tcPr>
            <w:tcW w:w="6067" w:type="dxa"/>
            <w:gridSpan w:val="17"/>
            <w:vAlign w:val="center"/>
          </w:tcPr>
          <w:p w14:paraId="1A554322" w14:textId="77777777" w:rsidR="003E78AB" w:rsidRDefault="00010BF9">
            <w:pPr>
              <w:pStyle w:val="aff6"/>
              <w:topLinePunct/>
            </w:pPr>
            <w:r>
              <w:t>可以接受</w:t>
            </w:r>
            <w:r>
              <w:rPr>
                <w:rFonts w:hint="eastAsia"/>
                <w:bdr w:val="single" w:sz="4" w:space="0" w:color="auto"/>
              </w:rPr>
              <w:t>√</w:t>
            </w:r>
            <w:r>
              <w:t xml:space="preserve">      </w:t>
            </w:r>
            <w:r>
              <w:t>不可以接受</w:t>
            </w:r>
            <w:r>
              <w:t>⎕</w:t>
            </w:r>
          </w:p>
        </w:tc>
      </w:tr>
      <w:tr w:rsidR="003E78AB" w14:paraId="04A430CB" w14:textId="77777777">
        <w:trPr>
          <w:trHeight w:val="499"/>
        </w:trPr>
        <w:tc>
          <w:tcPr>
            <w:tcW w:w="771" w:type="dxa"/>
            <w:vMerge/>
            <w:tcBorders>
              <w:top w:val="nil"/>
              <w:bottom w:val="nil"/>
            </w:tcBorders>
            <w:vAlign w:val="center"/>
          </w:tcPr>
          <w:p w14:paraId="33BA8A56" w14:textId="77777777" w:rsidR="003E78AB" w:rsidRDefault="003E78AB">
            <w:pPr>
              <w:pStyle w:val="aff6"/>
              <w:topLinePunct/>
            </w:pPr>
          </w:p>
        </w:tc>
        <w:tc>
          <w:tcPr>
            <w:tcW w:w="1685" w:type="dxa"/>
            <w:gridSpan w:val="2"/>
            <w:vAlign w:val="center"/>
          </w:tcPr>
          <w:p w14:paraId="1659C6CF" w14:textId="77777777" w:rsidR="003E78AB" w:rsidRDefault="00010BF9">
            <w:pPr>
              <w:pStyle w:val="aff6"/>
              <w:topLinePunct/>
            </w:pPr>
            <w:r>
              <w:t>大气环境防护距离</w:t>
            </w:r>
          </w:p>
        </w:tc>
        <w:tc>
          <w:tcPr>
            <w:tcW w:w="6067" w:type="dxa"/>
            <w:gridSpan w:val="17"/>
            <w:vAlign w:val="center"/>
          </w:tcPr>
          <w:p w14:paraId="0D2CA435" w14:textId="77777777" w:rsidR="003E78AB" w:rsidRDefault="00010BF9">
            <w:pPr>
              <w:pStyle w:val="aff6"/>
              <w:topLinePunct/>
            </w:pPr>
            <w:r>
              <w:t>距</w:t>
            </w:r>
            <w:r>
              <w:t>(/)</w:t>
            </w:r>
            <w:r>
              <w:t>厂界最远</w:t>
            </w:r>
            <w:r>
              <w:t>(/)m</w:t>
            </w:r>
          </w:p>
        </w:tc>
      </w:tr>
      <w:tr w:rsidR="003E78AB" w14:paraId="30BC1376" w14:textId="77777777">
        <w:trPr>
          <w:trHeight w:val="585"/>
        </w:trPr>
        <w:tc>
          <w:tcPr>
            <w:tcW w:w="771" w:type="dxa"/>
            <w:vMerge/>
            <w:tcBorders>
              <w:top w:val="nil"/>
            </w:tcBorders>
            <w:vAlign w:val="center"/>
          </w:tcPr>
          <w:p w14:paraId="29F07D51" w14:textId="77777777" w:rsidR="003E78AB" w:rsidRDefault="003E78AB">
            <w:pPr>
              <w:pStyle w:val="aff6"/>
              <w:topLinePunct/>
            </w:pPr>
          </w:p>
        </w:tc>
        <w:tc>
          <w:tcPr>
            <w:tcW w:w="1685" w:type="dxa"/>
            <w:gridSpan w:val="2"/>
            <w:vAlign w:val="center"/>
          </w:tcPr>
          <w:p w14:paraId="0A044E4B" w14:textId="77777777" w:rsidR="003E78AB" w:rsidRDefault="00010BF9">
            <w:pPr>
              <w:pStyle w:val="aff6"/>
              <w:topLinePunct/>
            </w:pPr>
            <w:r>
              <w:t>污染源年排放量</w:t>
            </w:r>
          </w:p>
        </w:tc>
        <w:tc>
          <w:tcPr>
            <w:tcW w:w="1074" w:type="dxa"/>
            <w:gridSpan w:val="2"/>
            <w:vAlign w:val="center"/>
          </w:tcPr>
          <w:p w14:paraId="623C39C2" w14:textId="77777777" w:rsidR="003E78AB" w:rsidRDefault="00010BF9">
            <w:pPr>
              <w:pStyle w:val="aff6"/>
              <w:topLinePunct/>
            </w:pPr>
            <w:r>
              <w:t>SO</w:t>
            </w:r>
            <w:r>
              <w:rPr>
                <w:vertAlign w:val="subscript"/>
              </w:rPr>
              <w:t>2</w:t>
            </w:r>
            <w:r>
              <w:t>(0</w:t>
            </w:r>
            <w:r>
              <w:rPr>
                <w:rFonts w:hint="eastAsia"/>
              </w:rPr>
              <w:t>.1529</w:t>
            </w:r>
            <w:r>
              <w:t>)t/a</w:t>
            </w:r>
          </w:p>
        </w:tc>
        <w:tc>
          <w:tcPr>
            <w:tcW w:w="1145" w:type="dxa"/>
            <w:gridSpan w:val="2"/>
            <w:vAlign w:val="center"/>
          </w:tcPr>
          <w:p w14:paraId="3B80AF41" w14:textId="77777777" w:rsidR="003E78AB" w:rsidRDefault="00010BF9">
            <w:pPr>
              <w:pStyle w:val="aff6"/>
              <w:topLinePunct/>
            </w:pPr>
            <w:r>
              <w:t>NO</w:t>
            </w:r>
            <w:r>
              <w:rPr>
                <w:rFonts w:hint="eastAsia"/>
              </w:rPr>
              <w:t>x</w:t>
            </w:r>
            <w:r>
              <w:t>(</w:t>
            </w:r>
            <w:r>
              <w:rPr>
                <w:rFonts w:hint="eastAsia"/>
              </w:rPr>
              <w:t>1.0175</w:t>
            </w:r>
            <w:r>
              <w:t>)t/a</w:t>
            </w:r>
          </w:p>
        </w:tc>
        <w:tc>
          <w:tcPr>
            <w:tcW w:w="1323" w:type="dxa"/>
            <w:gridSpan w:val="5"/>
            <w:vAlign w:val="center"/>
          </w:tcPr>
          <w:p w14:paraId="52D01A0B" w14:textId="77777777" w:rsidR="003E78AB" w:rsidRDefault="00010BF9">
            <w:pPr>
              <w:pStyle w:val="aff6"/>
              <w:topLinePunct/>
            </w:pPr>
            <w:r>
              <w:t>颗粒物</w:t>
            </w:r>
            <w:r>
              <w:t>(</w:t>
            </w:r>
            <w:r>
              <w:rPr>
                <w:rFonts w:hint="eastAsia"/>
              </w:rPr>
              <w:t>0.5459</w:t>
            </w:r>
            <w:r>
              <w:t>)t/a</w:t>
            </w:r>
          </w:p>
        </w:tc>
        <w:tc>
          <w:tcPr>
            <w:tcW w:w="1194" w:type="dxa"/>
            <w:gridSpan w:val="5"/>
            <w:tcBorders>
              <w:right w:val="single" w:sz="4" w:space="0" w:color="auto"/>
            </w:tcBorders>
            <w:vAlign w:val="center"/>
          </w:tcPr>
          <w:p w14:paraId="1483F223" w14:textId="77777777" w:rsidR="003E78AB" w:rsidRDefault="00010BF9">
            <w:pPr>
              <w:pStyle w:val="aff6"/>
              <w:topLinePunct/>
            </w:pPr>
            <w:r>
              <w:t>VOCs(</w:t>
            </w:r>
            <w:r>
              <w:rPr>
                <w:rFonts w:hint="eastAsia"/>
              </w:rPr>
              <w:t>0.</w:t>
            </w:r>
            <w:r>
              <w:rPr>
                <w:rFonts w:hint="eastAsia"/>
              </w:rPr>
              <w:t>3649</w:t>
            </w:r>
            <w:r>
              <w:t>)t/a</w:t>
            </w:r>
          </w:p>
        </w:tc>
        <w:tc>
          <w:tcPr>
            <w:tcW w:w="1331" w:type="dxa"/>
            <w:gridSpan w:val="3"/>
            <w:tcBorders>
              <w:left w:val="single" w:sz="4" w:space="0" w:color="auto"/>
            </w:tcBorders>
            <w:vAlign w:val="center"/>
          </w:tcPr>
          <w:p w14:paraId="24ECEFE6" w14:textId="77777777" w:rsidR="003E78AB" w:rsidRDefault="00010BF9">
            <w:pPr>
              <w:pStyle w:val="aff6"/>
              <w:topLinePunct/>
            </w:pPr>
            <w:r>
              <w:rPr>
                <w:rFonts w:hint="eastAsia"/>
              </w:rPr>
              <w:t>硫酸雾</w:t>
            </w:r>
            <w:r>
              <w:rPr>
                <w:rFonts w:hint="eastAsia"/>
              </w:rPr>
              <w:t>(1.194)t/a</w:t>
            </w:r>
          </w:p>
        </w:tc>
      </w:tr>
      <w:tr w:rsidR="003E78AB" w14:paraId="469D35E2" w14:textId="77777777">
        <w:trPr>
          <w:trHeight w:val="339"/>
        </w:trPr>
        <w:tc>
          <w:tcPr>
            <w:tcW w:w="8523" w:type="dxa"/>
            <w:gridSpan w:val="20"/>
            <w:vAlign w:val="center"/>
          </w:tcPr>
          <w:p w14:paraId="3A436597" w14:textId="77777777" w:rsidR="003E78AB" w:rsidRDefault="00010BF9">
            <w:pPr>
              <w:pStyle w:val="aff6"/>
              <w:topLinePunct/>
            </w:pPr>
            <w:r>
              <w:t>注：</w:t>
            </w:r>
            <w:r>
              <w:t>“⎕”</w:t>
            </w:r>
            <w:r>
              <w:t>为勾选项，填</w:t>
            </w:r>
            <w:r>
              <w:t>“√”</w:t>
            </w:r>
            <w:r>
              <w:t>；</w:t>
            </w:r>
            <w:r>
              <w:t>“(</w:t>
            </w:r>
            <w:r>
              <w:rPr>
                <w:rFonts w:hint="eastAsia"/>
              </w:rPr>
              <w:t xml:space="preserve">  </w:t>
            </w:r>
            <w:r>
              <w:t>)”</w:t>
            </w:r>
            <w:r>
              <w:t>为内容填写项</w:t>
            </w:r>
          </w:p>
        </w:tc>
      </w:tr>
    </w:tbl>
    <w:p w14:paraId="18290BC0"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5.2</w:t>
      </w:r>
      <w:r>
        <w:rPr>
          <w:rFonts w:cs="Times New Roman"/>
          <w:sz w:val="28"/>
          <w:szCs w:val="28"/>
        </w:rPr>
        <w:t>.2</w:t>
      </w:r>
      <w:r>
        <w:rPr>
          <w:rFonts w:cs="Times New Roman"/>
          <w:sz w:val="28"/>
          <w:szCs w:val="28"/>
        </w:rPr>
        <w:t>运营期水环境影响分析</w:t>
      </w:r>
    </w:p>
    <w:p w14:paraId="79B486C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.2.1</w:t>
      </w:r>
      <w:r>
        <w:rPr>
          <w:rFonts w:ascii="Times New Roman" w:hAnsi="Times New Roman"/>
        </w:rPr>
        <w:t>地表水环境影响分析</w:t>
      </w:r>
    </w:p>
    <w:p w14:paraId="1DA2C1A8" w14:textId="77777777" w:rsidR="003E78AB" w:rsidRDefault="00010BF9">
      <w:pPr>
        <w:pStyle w:val="5"/>
        <w:keepNext w:val="0"/>
        <w:keepLines w:val="0"/>
        <w:ind w:firstLine="482"/>
        <w:rPr>
          <w:sz w:val="24"/>
        </w:rPr>
      </w:pPr>
      <w:r>
        <w:rPr>
          <w:rFonts w:hint="eastAsia"/>
          <w:sz w:val="24"/>
        </w:rPr>
        <w:t>1.</w:t>
      </w:r>
      <w:r>
        <w:rPr>
          <w:sz w:val="24"/>
        </w:rPr>
        <w:t>地表水评价等级划分</w:t>
      </w:r>
    </w:p>
    <w:p w14:paraId="07EC0335" w14:textId="77777777" w:rsidR="003E78AB" w:rsidRDefault="00010BF9">
      <w:pPr>
        <w:ind w:firstLine="480"/>
        <w:rPr>
          <w:kern w:val="2"/>
        </w:rPr>
      </w:pPr>
      <w:r>
        <w:rPr>
          <w:kern w:val="2"/>
        </w:rPr>
        <w:t>依据《环境影响评价技术导则</w:t>
      </w:r>
      <w:r>
        <w:rPr>
          <w:kern w:val="2"/>
        </w:rPr>
        <w:t xml:space="preserve"> </w:t>
      </w:r>
      <w:r>
        <w:rPr>
          <w:kern w:val="2"/>
        </w:rPr>
        <w:t>地表水环境》（</w:t>
      </w:r>
      <w:r>
        <w:rPr>
          <w:kern w:val="2"/>
        </w:rPr>
        <w:t>HJ2.3-2018</w:t>
      </w:r>
      <w:r>
        <w:rPr>
          <w:kern w:val="2"/>
        </w:rPr>
        <w:t>），建设项目地表水环境影响评价等级按照影响类型、排放方式、排放量或影响情况、受纳水</w:t>
      </w:r>
      <w:r>
        <w:rPr>
          <w:rFonts w:hint="eastAsia"/>
          <w:kern w:val="2"/>
        </w:rPr>
        <w:t>环</w:t>
      </w:r>
      <w:r>
        <w:rPr>
          <w:kern w:val="2"/>
        </w:rPr>
        <w:t>境质量现状、水环境保护目标等综合确定。本项目为水污染型项目，水污染影响型建设项目评价等级判定详见</w:t>
      </w:r>
      <w:r>
        <w:rPr>
          <w:kern w:val="2"/>
        </w:rPr>
        <w:fldChar w:fldCharType="begin"/>
      </w:r>
      <w:r>
        <w:rPr>
          <w:kern w:val="2"/>
        </w:rPr>
        <w:instrText xml:space="preserve"> REF _Ref17558 \r \h </w:instrText>
      </w:r>
      <w:r>
        <w:rPr>
          <w:kern w:val="2"/>
        </w:rPr>
      </w:r>
      <w:r>
        <w:rPr>
          <w:kern w:val="2"/>
        </w:rPr>
        <w:fldChar w:fldCharType="separate"/>
      </w:r>
      <w:r>
        <w:rPr>
          <w:kern w:val="2"/>
        </w:rPr>
        <w:t>表</w:t>
      </w:r>
      <w:r>
        <w:rPr>
          <w:kern w:val="2"/>
        </w:rPr>
        <w:t>5-50</w:t>
      </w:r>
      <w:r>
        <w:rPr>
          <w:kern w:val="2"/>
        </w:rPr>
        <w:fldChar w:fldCharType="end"/>
      </w:r>
      <w:r>
        <w:rPr>
          <w:kern w:val="2"/>
        </w:rPr>
        <w:t>。</w:t>
      </w:r>
    </w:p>
    <w:p w14:paraId="0443AC13" w14:textId="77777777" w:rsidR="003E78AB" w:rsidRDefault="00010BF9">
      <w:pPr>
        <w:pStyle w:val="a4"/>
        <w:spacing w:before="120"/>
        <w:ind w:left="425" w:hanging="425"/>
      </w:pPr>
      <w:bookmarkStart w:id="379" w:name="_Ref17558"/>
      <w:r>
        <w:t>水污染影响型建设项目评价等级判定表</w:t>
      </w:r>
      <w:bookmarkEnd w:id="379"/>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257"/>
        <w:gridCol w:w="6002"/>
      </w:tblGrid>
      <w:tr w:rsidR="003E78AB" w14:paraId="23FD83E0" w14:textId="77777777">
        <w:trPr>
          <w:trHeight w:val="283"/>
          <w:jc w:val="center"/>
        </w:trPr>
        <w:tc>
          <w:tcPr>
            <w:tcW w:w="737" w:type="pct"/>
            <w:vMerge w:val="restart"/>
            <w:vAlign w:val="center"/>
          </w:tcPr>
          <w:p w14:paraId="332D01A3" w14:textId="77777777" w:rsidR="003E78AB" w:rsidRDefault="00010BF9">
            <w:pPr>
              <w:spacing w:line="360" w:lineRule="exact"/>
              <w:ind w:firstLineChars="0" w:firstLine="0"/>
              <w:jc w:val="center"/>
              <w:textAlignment w:val="baseline"/>
              <w:rPr>
                <w:b/>
                <w:bCs/>
                <w:kern w:val="2"/>
                <w:sz w:val="21"/>
              </w:rPr>
            </w:pPr>
            <w:r>
              <w:rPr>
                <w:b/>
                <w:bCs/>
                <w:kern w:val="2"/>
                <w:sz w:val="21"/>
              </w:rPr>
              <w:t>评价等级</w:t>
            </w:r>
          </w:p>
        </w:tc>
        <w:tc>
          <w:tcPr>
            <w:tcW w:w="4262" w:type="pct"/>
            <w:gridSpan w:val="2"/>
            <w:vAlign w:val="center"/>
          </w:tcPr>
          <w:p w14:paraId="60A48E8C" w14:textId="77777777" w:rsidR="003E78AB" w:rsidRDefault="00010BF9">
            <w:pPr>
              <w:spacing w:line="360" w:lineRule="exact"/>
              <w:ind w:firstLineChars="0" w:firstLine="0"/>
              <w:jc w:val="center"/>
              <w:textAlignment w:val="baseline"/>
              <w:rPr>
                <w:b/>
                <w:bCs/>
                <w:kern w:val="2"/>
                <w:sz w:val="21"/>
              </w:rPr>
            </w:pPr>
            <w:r>
              <w:rPr>
                <w:b/>
                <w:bCs/>
                <w:kern w:val="2"/>
                <w:sz w:val="21"/>
              </w:rPr>
              <w:t>判定依据</w:t>
            </w:r>
          </w:p>
        </w:tc>
      </w:tr>
      <w:tr w:rsidR="003E78AB" w14:paraId="23211BD2" w14:textId="77777777">
        <w:trPr>
          <w:trHeight w:val="283"/>
          <w:jc w:val="center"/>
        </w:trPr>
        <w:tc>
          <w:tcPr>
            <w:tcW w:w="737" w:type="pct"/>
            <w:vMerge/>
            <w:vAlign w:val="center"/>
          </w:tcPr>
          <w:p w14:paraId="4FB8FB3F" w14:textId="77777777" w:rsidR="003E78AB" w:rsidRDefault="003E78AB">
            <w:pPr>
              <w:spacing w:line="360" w:lineRule="exact"/>
              <w:ind w:firstLineChars="0" w:firstLine="0"/>
              <w:jc w:val="center"/>
              <w:textAlignment w:val="baseline"/>
              <w:rPr>
                <w:b/>
                <w:bCs/>
                <w:kern w:val="2"/>
                <w:sz w:val="21"/>
              </w:rPr>
            </w:pPr>
          </w:p>
        </w:tc>
        <w:tc>
          <w:tcPr>
            <w:tcW w:w="738" w:type="pct"/>
            <w:vAlign w:val="center"/>
          </w:tcPr>
          <w:p w14:paraId="068B75AF" w14:textId="77777777" w:rsidR="003E78AB" w:rsidRDefault="00010BF9">
            <w:pPr>
              <w:spacing w:line="360" w:lineRule="exact"/>
              <w:ind w:firstLineChars="0" w:firstLine="0"/>
              <w:jc w:val="center"/>
              <w:textAlignment w:val="baseline"/>
              <w:rPr>
                <w:b/>
                <w:bCs/>
                <w:kern w:val="2"/>
                <w:sz w:val="21"/>
              </w:rPr>
            </w:pPr>
            <w:r>
              <w:rPr>
                <w:b/>
                <w:bCs/>
                <w:kern w:val="2"/>
                <w:sz w:val="21"/>
              </w:rPr>
              <w:t>排放方式</w:t>
            </w:r>
          </w:p>
        </w:tc>
        <w:tc>
          <w:tcPr>
            <w:tcW w:w="3524" w:type="pct"/>
            <w:vAlign w:val="center"/>
          </w:tcPr>
          <w:p w14:paraId="2F2E6D3A" w14:textId="77777777" w:rsidR="003E78AB" w:rsidRDefault="00010BF9">
            <w:pPr>
              <w:spacing w:line="360" w:lineRule="exact"/>
              <w:ind w:firstLineChars="0" w:firstLine="0"/>
              <w:jc w:val="center"/>
              <w:textAlignment w:val="baseline"/>
              <w:rPr>
                <w:b/>
                <w:bCs/>
                <w:kern w:val="2"/>
                <w:sz w:val="21"/>
              </w:rPr>
            </w:pPr>
            <w:r>
              <w:rPr>
                <w:b/>
                <w:bCs/>
                <w:kern w:val="2"/>
                <w:sz w:val="21"/>
              </w:rPr>
              <w:t>废水排放量</w:t>
            </w:r>
            <w:r>
              <w:rPr>
                <w:b/>
                <w:bCs/>
                <w:kern w:val="2"/>
                <w:sz w:val="21"/>
              </w:rPr>
              <w:t>Q/</w:t>
            </w:r>
            <w:r>
              <w:rPr>
                <w:b/>
                <w:bCs/>
                <w:kern w:val="2"/>
                <w:sz w:val="21"/>
              </w:rPr>
              <w:t>（</w:t>
            </w:r>
            <w:r>
              <w:rPr>
                <w:b/>
                <w:bCs/>
                <w:kern w:val="2"/>
                <w:sz w:val="21"/>
              </w:rPr>
              <w:t>m</w:t>
            </w:r>
            <w:r>
              <w:rPr>
                <w:b/>
                <w:bCs/>
                <w:kern w:val="2"/>
                <w:sz w:val="21"/>
                <w:vertAlign w:val="superscript"/>
              </w:rPr>
              <w:t>3</w:t>
            </w:r>
            <w:r>
              <w:rPr>
                <w:b/>
                <w:bCs/>
                <w:kern w:val="2"/>
                <w:sz w:val="21"/>
              </w:rPr>
              <w:t>/d</w:t>
            </w:r>
            <w:r>
              <w:rPr>
                <w:b/>
                <w:bCs/>
                <w:kern w:val="2"/>
                <w:sz w:val="21"/>
              </w:rPr>
              <w:t>）；水污染物当量数</w:t>
            </w:r>
            <w:r>
              <w:rPr>
                <w:b/>
                <w:bCs/>
                <w:kern w:val="2"/>
                <w:sz w:val="21"/>
              </w:rPr>
              <w:t>W/</w:t>
            </w:r>
            <w:r>
              <w:rPr>
                <w:b/>
                <w:bCs/>
                <w:kern w:val="2"/>
                <w:sz w:val="21"/>
              </w:rPr>
              <w:t>（无量纲）</w:t>
            </w:r>
          </w:p>
        </w:tc>
      </w:tr>
      <w:tr w:rsidR="003E78AB" w14:paraId="219A8312" w14:textId="77777777">
        <w:trPr>
          <w:trHeight w:val="283"/>
          <w:jc w:val="center"/>
        </w:trPr>
        <w:tc>
          <w:tcPr>
            <w:tcW w:w="737" w:type="pct"/>
            <w:vAlign w:val="center"/>
          </w:tcPr>
          <w:p w14:paraId="48350149" w14:textId="77777777" w:rsidR="003E78AB" w:rsidRDefault="00010BF9">
            <w:pPr>
              <w:spacing w:line="360" w:lineRule="exact"/>
              <w:ind w:firstLineChars="0" w:firstLine="0"/>
              <w:jc w:val="center"/>
              <w:textAlignment w:val="baseline"/>
              <w:rPr>
                <w:kern w:val="2"/>
                <w:sz w:val="21"/>
              </w:rPr>
            </w:pPr>
            <w:r>
              <w:rPr>
                <w:kern w:val="2"/>
                <w:sz w:val="21"/>
              </w:rPr>
              <w:t>一级</w:t>
            </w:r>
          </w:p>
        </w:tc>
        <w:tc>
          <w:tcPr>
            <w:tcW w:w="738" w:type="pct"/>
            <w:vAlign w:val="center"/>
          </w:tcPr>
          <w:p w14:paraId="347F17A0" w14:textId="77777777" w:rsidR="003E78AB" w:rsidRDefault="00010BF9">
            <w:pPr>
              <w:spacing w:line="360" w:lineRule="exact"/>
              <w:ind w:firstLineChars="0" w:firstLine="0"/>
              <w:jc w:val="center"/>
              <w:textAlignment w:val="baseline"/>
              <w:rPr>
                <w:kern w:val="2"/>
                <w:sz w:val="21"/>
              </w:rPr>
            </w:pPr>
            <w:r>
              <w:rPr>
                <w:kern w:val="2"/>
                <w:sz w:val="21"/>
              </w:rPr>
              <w:t>直接排放</w:t>
            </w:r>
          </w:p>
        </w:tc>
        <w:tc>
          <w:tcPr>
            <w:tcW w:w="3524" w:type="pct"/>
            <w:vAlign w:val="center"/>
          </w:tcPr>
          <w:p w14:paraId="0ABA2141" w14:textId="77777777" w:rsidR="003E78AB" w:rsidRDefault="00010BF9">
            <w:pPr>
              <w:spacing w:line="360" w:lineRule="exact"/>
              <w:ind w:firstLineChars="0" w:firstLine="0"/>
              <w:jc w:val="center"/>
              <w:textAlignment w:val="baseline"/>
              <w:rPr>
                <w:kern w:val="2"/>
                <w:sz w:val="21"/>
              </w:rPr>
            </w:pPr>
            <w:r>
              <w:rPr>
                <w:kern w:val="2"/>
                <w:sz w:val="21"/>
              </w:rPr>
              <w:t>Q≥20000</w:t>
            </w:r>
            <w:r>
              <w:rPr>
                <w:kern w:val="2"/>
                <w:sz w:val="21"/>
              </w:rPr>
              <w:t>或</w:t>
            </w:r>
            <w:r>
              <w:rPr>
                <w:kern w:val="2"/>
                <w:sz w:val="21"/>
              </w:rPr>
              <w:t>W≥600000</w:t>
            </w:r>
          </w:p>
        </w:tc>
      </w:tr>
      <w:tr w:rsidR="003E78AB" w14:paraId="67FEFFCB" w14:textId="77777777">
        <w:trPr>
          <w:trHeight w:val="283"/>
          <w:jc w:val="center"/>
        </w:trPr>
        <w:tc>
          <w:tcPr>
            <w:tcW w:w="737" w:type="pct"/>
            <w:vAlign w:val="center"/>
          </w:tcPr>
          <w:p w14:paraId="3FA315D1" w14:textId="77777777" w:rsidR="003E78AB" w:rsidRDefault="00010BF9">
            <w:pPr>
              <w:spacing w:line="360" w:lineRule="exact"/>
              <w:ind w:firstLineChars="0" w:firstLine="0"/>
              <w:jc w:val="center"/>
              <w:textAlignment w:val="baseline"/>
              <w:rPr>
                <w:kern w:val="2"/>
                <w:sz w:val="21"/>
              </w:rPr>
            </w:pPr>
            <w:r>
              <w:rPr>
                <w:kern w:val="2"/>
                <w:sz w:val="21"/>
              </w:rPr>
              <w:t>二级</w:t>
            </w:r>
          </w:p>
        </w:tc>
        <w:tc>
          <w:tcPr>
            <w:tcW w:w="738" w:type="pct"/>
            <w:vAlign w:val="center"/>
          </w:tcPr>
          <w:p w14:paraId="6E88C951" w14:textId="77777777" w:rsidR="003E78AB" w:rsidRDefault="00010BF9">
            <w:pPr>
              <w:spacing w:line="360" w:lineRule="exact"/>
              <w:ind w:firstLineChars="0" w:firstLine="0"/>
              <w:jc w:val="center"/>
              <w:textAlignment w:val="baseline"/>
              <w:rPr>
                <w:kern w:val="2"/>
                <w:sz w:val="21"/>
              </w:rPr>
            </w:pPr>
            <w:r>
              <w:rPr>
                <w:kern w:val="2"/>
                <w:sz w:val="21"/>
              </w:rPr>
              <w:t>直接排放</w:t>
            </w:r>
          </w:p>
        </w:tc>
        <w:tc>
          <w:tcPr>
            <w:tcW w:w="3524" w:type="pct"/>
            <w:vAlign w:val="center"/>
          </w:tcPr>
          <w:p w14:paraId="10A012D4" w14:textId="77777777" w:rsidR="003E78AB" w:rsidRDefault="00010BF9">
            <w:pPr>
              <w:spacing w:line="360" w:lineRule="exact"/>
              <w:ind w:firstLineChars="0" w:firstLine="0"/>
              <w:jc w:val="center"/>
              <w:textAlignment w:val="baseline"/>
              <w:rPr>
                <w:kern w:val="2"/>
                <w:sz w:val="21"/>
              </w:rPr>
            </w:pPr>
            <w:r>
              <w:rPr>
                <w:kern w:val="2"/>
                <w:sz w:val="21"/>
              </w:rPr>
              <w:t>其他</w:t>
            </w:r>
          </w:p>
        </w:tc>
      </w:tr>
      <w:tr w:rsidR="003E78AB" w14:paraId="11A7C049" w14:textId="77777777">
        <w:trPr>
          <w:trHeight w:val="283"/>
          <w:jc w:val="center"/>
        </w:trPr>
        <w:tc>
          <w:tcPr>
            <w:tcW w:w="737" w:type="pct"/>
            <w:vAlign w:val="center"/>
          </w:tcPr>
          <w:p w14:paraId="3CA7F21A" w14:textId="77777777" w:rsidR="003E78AB" w:rsidRDefault="00010BF9">
            <w:pPr>
              <w:spacing w:line="360" w:lineRule="exact"/>
              <w:ind w:firstLineChars="0" w:firstLine="0"/>
              <w:jc w:val="center"/>
              <w:textAlignment w:val="baseline"/>
              <w:rPr>
                <w:kern w:val="2"/>
                <w:sz w:val="21"/>
              </w:rPr>
            </w:pPr>
            <w:r>
              <w:rPr>
                <w:kern w:val="2"/>
                <w:sz w:val="21"/>
              </w:rPr>
              <w:t>三级</w:t>
            </w:r>
            <w:r>
              <w:rPr>
                <w:kern w:val="2"/>
                <w:sz w:val="21"/>
              </w:rPr>
              <w:t>A</w:t>
            </w:r>
          </w:p>
        </w:tc>
        <w:tc>
          <w:tcPr>
            <w:tcW w:w="738" w:type="pct"/>
            <w:vAlign w:val="center"/>
          </w:tcPr>
          <w:p w14:paraId="11FFA3BE" w14:textId="77777777" w:rsidR="003E78AB" w:rsidRDefault="00010BF9">
            <w:pPr>
              <w:spacing w:line="360" w:lineRule="exact"/>
              <w:ind w:firstLineChars="0" w:firstLine="0"/>
              <w:jc w:val="center"/>
              <w:textAlignment w:val="baseline"/>
              <w:rPr>
                <w:kern w:val="2"/>
                <w:sz w:val="21"/>
              </w:rPr>
            </w:pPr>
            <w:r>
              <w:rPr>
                <w:kern w:val="2"/>
                <w:sz w:val="21"/>
              </w:rPr>
              <w:t>直接排放</w:t>
            </w:r>
          </w:p>
        </w:tc>
        <w:tc>
          <w:tcPr>
            <w:tcW w:w="3524" w:type="pct"/>
            <w:vAlign w:val="center"/>
          </w:tcPr>
          <w:p w14:paraId="173970C4" w14:textId="77777777" w:rsidR="003E78AB" w:rsidRDefault="00010BF9">
            <w:pPr>
              <w:spacing w:line="360" w:lineRule="exact"/>
              <w:ind w:firstLineChars="0" w:firstLine="0"/>
              <w:jc w:val="center"/>
              <w:textAlignment w:val="baseline"/>
              <w:rPr>
                <w:kern w:val="2"/>
                <w:sz w:val="21"/>
              </w:rPr>
            </w:pPr>
            <w:r>
              <w:rPr>
                <w:kern w:val="2"/>
                <w:sz w:val="21"/>
              </w:rPr>
              <w:t>Q&lt;200</w:t>
            </w:r>
            <w:r>
              <w:rPr>
                <w:kern w:val="2"/>
                <w:sz w:val="21"/>
              </w:rPr>
              <w:t>且</w:t>
            </w:r>
            <w:r>
              <w:rPr>
                <w:kern w:val="2"/>
                <w:sz w:val="21"/>
              </w:rPr>
              <w:t>W&lt;6000</w:t>
            </w:r>
          </w:p>
        </w:tc>
      </w:tr>
      <w:tr w:rsidR="003E78AB" w14:paraId="324634D1" w14:textId="77777777">
        <w:trPr>
          <w:trHeight w:val="283"/>
          <w:jc w:val="center"/>
        </w:trPr>
        <w:tc>
          <w:tcPr>
            <w:tcW w:w="737" w:type="pct"/>
            <w:shd w:val="clear" w:color="auto" w:fill="D7D7D7"/>
            <w:vAlign w:val="center"/>
          </w:tcPr>
          <w:p w14:paraId="6B886305" w14:textId="77777777" w:rsidR="003E78AB" w:rsidRDefault="00010BF9">
            <w:pPr>
              <w:spacing w:line="360" w:lineRule="exact"/>
              <w:ind w:firstLineChars="0" w:firstLine="0"/>
              <w:jc w:val="center"/>
              <w:textAlignment w:val="baseline"/>
              <w:rPr>
                <w:kern w:val="2"/>
                <w:sz w:val="21"/>
              </w:rPr>
            </w:pPr>
            <w:r>
              <w:rPr>
                <w:kern w:val="2"/>
                <w:sz w:val="21"/>
              </w:rPr>
              <w:t>三级</w:t>
            </w:r>
            <w:r>
              <w:rPr>
                <w:kern w:val="2"/>
                <w:sz w:val="21"/>
              </w:rPr>
              <w:t>B</w:t>
            </w:r>
          </w:p>
        </w:tc>
        <w:tc>
          <w:tcPr>
            <w:tcW w:w="738" w:type="pct"/>
            <w:shd w:val="clear" w:color="auto" w:fill="D7D7D7"/>
            <w:vAlign w:val="center"/>
          </w:tcPr>
          <w:p w14:paraId="6A4BA0FD" w14:textId="77777777" w:rsidR="003E78AB" w:rsidRDefault="00010BF9">
            <w:pPr>
              <w:spacing w:line="360" w:lineRule="exact"/>
              <w:ind w:firstLineChars="0" w:firstLine="0"/>
              <w:jc w:val="center"/>
              <w:textAlignment w:val="baseline"/>
              <w:rPr>
                <w:kern w:val="2"/>
                <w:sz w:val="21"/>
              </w:rPr>
            </w:pPr>
            <w:r>
              <w:rPr>
                <w:kern w:val="2"/>
                <w:sz w:val="21"/>
              </w:rPr>
              <w:t>间接排放</w:t>
            </w:r>
          </w:p>
        </w:tc>
        <w:tc>
          <w:tcPr>
            <w:tcW w:w="3524" w:type="pct"/>
            <w:shd w:val="clear" w:color="auto" w:fill="D7D7D7"/>
            <w:vAlign w:val="center"/>
          </w:tcPr>
          <w:p w14:paraId="726BF295" w14:textId="77777777" w:rsidR="003E78AB" w:rsidRDefault="00010BF9">
            <w:pPr>
              <w:spacing w:line="360" w:lineRule="exact"/>
              <w:ind w:firstLineChars="0" w:firstLine="0"/>
              <w:jc w:val="center"/>
              <w:textAlignment w:val="baseline"/>
              <w:rPr>
                <w:kern w:val="2"/>
                <w:sz w:val="21"/>
              </w:rPr>
            </w:pPr>
            <w:r>
              <w:rPr>
                <w:kern w:val="2"/>
                <w:sz w:val="21"/>
              </w:rPr>
              <w:t>--</w:t>
            </w:r>
          </w:p>
        </w:tc>
      </w:tr>
    </w:tbl>
    <w:p w14:paraId="4A6504FA" w14:textId="77777777" w:rsidR="003E78AB" w:rsidRDefault="00010BF9">
      <w:pPr>
        <w:ind w:firstLine="480"/>
        <w:rPr>
          <w:kern w:val="2"/>
          <w:szCs w:val="20"/>
        </w:rPr>
      </w:pPr>
      <w:r>
        <w:rPr>
          <w:kern w:val="2"/>
          <w:szCs w:val="20"/>
        </w:rPr>
        <w:t>由工程分析可知，</w:t>
      </w:r>
      <w:r>
        <w:rPr>
          <w:kern w:val="2"/>
        </w:rPr>
        <w:t>本项目无生产废水外排，</w:t>
      </w:r>
      <w:r>
        <w:t>工艺废气处理废水</w:t>
      </w:r>
      <w:r>
        <w:rPr>
          <w:rFonts w:hint="eastAsia"/>
        </w:rPr>
        <w:t>经蒸发冷凝后回用于淋洗补水配碱，</w:t>
      </w:r>
      <w:r>
        <w:rPr>
          <w:rFonts w:hint="eastAsia"/>
          <w:kern w:val="2"/>
        </w:rPr>
        <w:t>实验废水经生产车间</w:t>
      </w:r>
      <w:r>
        <w:rPr>
          <w:rFonts w:hint="eastAsia"/>
          <w:kern w:val="2"/>
        </w:rPr>
        <w:t>15m</w:t>
      </w:r>
      <w:r>
        <w:rPr>
          <w:rFonts w:hint="eastAsia"/>
          <w:kern w:val="2"/>
          <w:vertAlign w:val="superscript"/>
        </w:rPr>
        <w:t>3</w:t>
      </w:r>
      <w:r>
        <w:rPr>
          <w:rFonts w:hint="eastAsia"/>
          <w:kern w:val="2"/>
        </w:rPr>
        <w:t>电解液事故罐收集后回用于生产，</w:t>
      </w:r>
      <w:r>
        <w:rPr>
          <w:rFonts w:hint="eastAsia"/>
        </w:rPr>
        <w:t>地面冲洗水、</w:t>
      </w:r>
      <w:r>
        <w:rPr>
          <w:kern w:val="2"/>
        </w:rPr>
        <w:t>软水制备及纯水制备排浓水、锅炉排水经厂内污水管道收集，生活污水经预处理后，一并经厂区总排口排入园区污水厂进一步处理。</w:t>
      </w:r>
      <w:r>
        <w:rPr>
          <w:kern w:val="2"/>
          <w:szCs w:val="20"/>
        </w:rPr>
        <w:t>依据《环境影响评价技术导则</w:t>
      </w:r>
      <w:r>
        <w:rPr>
          <w:kern w:val="2"/>
          <w:szCs w:val="20"/>
        </w:rPr>
        <w:t xml:space="preserve"> </w:t>
      </w:r>
      <w:r>
        <w:rPr>
          <w:kern w:val="2"/>
          <w:szCs w:val="20"/>
        </w:rPr>
        <w:t>地表水环境》（</w:t>
      </w:r>
      <w:r>
        <w:rPr>
          <w:kern w:val="2"/>
          <w:szCs w:val="20"/>
        </w:rPr>
        <w:t>HJ2.3-2018</w:t>
      </w:r>
      <w:r>
        <w:rPr>
          <w:kern w:val="2"/>
          <w:szCs w:val="20"/>
        </w:rPr>
        <w:t>），本项目地表水评价等级为三级</w:t>
      </w:r>
      <w:r>
        <w:rPr>
          <w:kern w:val="2"/>
          <w:szCs w:val="20"/>
        </w:rPr>
        <w:t>B</w:t>
      </w:r>
      <w:r>
        <w:rPr>
          <w:kern w:val="2"/>
          <w:szCs w:val="20"/>
        </w:rPr>
        <w:t>，本次仅对项目废水处理措施合理性进行分析。</w:t>
      </w:r>
    </w:p>
    <w:p w14:paraId="207CB680" w14:textId="77777777" w:rsidR="003E78AB" w:rsidRDefault="00010BF9">
      <w:pPr>
        <w:pStyle w:val="5"/>
        <w:keepNext w:val="0"/>
        <w:keepLines w:val="0"/>
        <w:ind w:firstLine="482"/>
        <w:rPr>
          <w:sz w:val="24"/>
        </w:rPr>
      </w:pPr>
      <w:r>
        <w:rPr>
          <w:rFonts w:hint="eastAsia"/>
          <w:sz w:val="24"/>
        </w:rPr>
        <w:t>2.</w:t>
      </w:r>
      <w:r>
        <w:rPr>
          <w:rFonts w:hint="eastAsia"/>
          <w:sz w:val="24"/>
        </w:rPr>
        <w:t>地表水环境影响分析</w:t>
      </w:r>
    </w:p>
    <w:p w14:paraId="6B721182" w14:textId="77777777" w:rsidR="003E78AB" w:rsidRDefault="00010BF9">
      <w:pPr>
        <w:ind w:firstLine="480"/>
        <w:rPr>
          <w:kern w:val="28"/>
        </w:rPr>
      </w:pPr>
      <w:r>
        <w:rPr>
          <w:kern w:val="28"/>
        </w:rPr>
        <w:t>根据工程分析内容，本项目</w:t>
      </w:r>
      <w:r>
        <w:rPr>
          <w:rFonts w:hint="eastAsia"/>
          <w:kern w:val="28"/>
        </w:rPr>
        <w:t>外排</w:t>
      </w:r>
      <w:r>
        <w:rPr>
          <w:kern w:val="28"/>
        </w:rPr>
        <w:t>废水</w:t>
      </w:r>
      <w:r>
        <w:rPr>
          <w:rFonts w:hint="eastAsia"/>
          <w:kern w:val="28"/>
        </w:rPr>
        <w:t>水质</w:t>
      </w:r>
      <w:r>
        <w:rPr>
          <w:kern w:val="28"/>
        </w:rPr>
        <w:t>可以满足</w:t>
      </w:r>
      <w:r>
        <w:rPr>
          <w:kern w:val="2"/>
        </w:rPr>
        <w:t>《无机化学工业污染物排放标准》（</w:t>
      </w:r>
      <w:r>
        <w:rPr>
          <w:kern w:val="2"/>
        </w:rPr>
        <w:t>GB31573-2015</w:t>
      </w:r>
      <w:r>
        <w:rPr>
          <w:kern w:val="2"/>
        </w:rPr>
        <w:t>）间接排放标准，同</w:t>
      </w:r>
      <w:r>
        <w:rPr>
          <w:kern w:val="2"/>
        </w:rPr>
        <w:t>时需满足园区污水处理厂纳管要求即《污水综合排放标准》（</w:t>
      </w:r>
      <w:r>
        <w:rPr>
          <w:kern w:val="2"/>
        </w:rPr>
        <w:t>GB8978-1996</w:t>
      </w:r>
      <w:r>
        <w:rPr>
          <w:kern w:val="2"/>
        </w:rPr>
        <w:t>）中三级标准限值</w:t>
      </w:r>
      <w:r>
        <w:rPr>
          <w:kern w:val="28"/>
        </w:rPr>
        <w:t>。本项目废水排放情况见</w:t>
      </w:r>
      <w:r>
        <w:rPr>
          <w:kern w:val="28"/>
        </w:rPr>
        <w:fldChar w:fldCharType="begin"/>
      </w:r>
      <w:r>
        <w:rPr>
          <w:kern w:val="28"/>
        </w:rPr>
        <w:instrText xml:space="preserve"> REF _Ref31773 \r \h </w:instrText>
      </w:r>
      <w:r>
        <w:rPr>
          <w:kern w:val="28"/>
        </w:rPr>
      </w:r>
      <w:r>
        <w:rPr>
          <w:kern w:val="28"/>
        </w:rPr>
        <w:fldChar w:fldCharType="separate"/>
      </w:r>
      <w:r>
        <w:rPr>
          <w:kern w:val="28"/>
        </w:rPr>
        <w:t>表</w:t>
      </w:r>
      <w:r>
        <w:rPr>
          <w:kern w:val="28"/>
        </w:rPr>
        <w:t>5-51</w:t>
      </w:r>
      <w:r>
        <w:rPr>
          <w:kern w:val="28"/>
        </w:rPr>
        <w:fldChar w:fldCharType="end"/>
      </w:r>
      <w:r>
        <w:rPr>
          <w:kern w:val="28"/>
        </w:rPr>
        <w:t>。</w:t>
      </w:r>
    </w:p>
    <w:p w14:paraId="7FC9CBCD" w14:textId="77777777" w:rsidR="003E78AB" w:rsidRDefault="003E78AB">
      <w:pPr>
        <w:pStyle w:val="a4"/>
        <w:spacing w:before="120"/>
        <w:sectPr w:rsidR="003E78AB">
          <w:footerReference w:type="default" r:id="rId82"/>
          <w:pgSz w:w="11906" w:h="16838"/>
          <w:pgMar w:top="1440" w:right="1803" w:bottom="1440" w:left="1803" w:header="851" w:footer="992" w:gutter="0"/>
          <w:cols w:space="720"/>
          <w:docGrid w:linePitch="312"/>
        </w:sectPr>
      </w:pPr>
      <w:bookmarkStart w:id="380" w:name="_Ref2696"/>
    </w:p>
    <w:p w14:paraId="7B9C62EB" w14:textId="77777777" w:rsidR="003E78AB" w:rsidRDefault="00010BF9">
      <w:pPr>
        <w:pStyle w:val="a4"/>
        <w:spacing w:before="120"/>
        <w:ind w:left="425" w:hanging="425"/>
      </w:pPr>
      <w:bookmarkStart w:id="381" w:name="_Ref31773"/>
      <w:r>
        <w:t>废水类别、污染物及污染源措施信息表</w:t>
      </w:r>
      <w:bookmarkEnd w:id="380"/>
      <w:bookmarkEnd w:id="381"/>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89"/>
        <w:gridCol w:w="1579"/>
        <w:gridCol w:w="956"/>
        <w:gridCol w:w="1089"/>
        <w:gridCol w:w="919"/>
        <w:gridCol w:w="975"/>
        <w:gridCol w:w="1055"/>
        <w:gridCol w:w="726"/>
        <w:gridCol w:w="647"/>
        <w:gridCol w:w="1076"/>
        <w:gridCol w:w="1028"/>
        <w:gridCol w:w="1088"/>
        <w:gridCol w:w="938"/>
        <w:gridCol w:w="972"/>
      </w:tblGrid>
      <w:tr w:rsidR="003E78AB" w14:paraId="727E3982" w14:textId="77777777">
        <w:trPr>
          <w:trHeight w:val="313"/>
          <w:jc w:val="center"/>
        </w:trPr>
        <w:tc>
          <w:tcPr>
            <w:tcW w:w="150" w:type="pct"/>
            <w:vMerge w:val="restart"/>
            <w:vAlign w:val="center"/>
          </w:tcPr>
          <w:p w14:paraId="398BBD7E" w14:textId="77777777" w:rsidR="003E78AB" w:rsidRDefault="00010BF9">
            <w:pPr>
              <w:spacing w:line="360" w:lineRule="exact"/>
              <w:ind w:firstLineChars="0" w:firstLine="0"/>
              <w:jc w:val="center"/>
              <w:rPr>
                <w:b/>
                <w:bCs/>
                <w:kern w:val="2"/>
                <w:sz w:val="21"/>
                <w:szCs w:val="21"/>
              </w:rPr>
            </w:pPr>
            <w:r>
              <w:rPr>
                <w:b/>
                <w:bCs/>
                <w:kern w:val="2"/>
                <w:sz w:val="21"/>
                <w:szCs w:val="21"/>
              </w:rPr>
              <w:t>序号</w:t>
            </w:r>
          </w:p>
        </w:tc>
        <w:tc>
          <w:tcPr>
            <w:tcW w:w="243" w:type="pct"/>
            <w:vMerge w:val="restart"/>
            <w:vAlign w:val="center"/>
          </w:tcPr>
          <w:p w14:paraId="40F168CF" w14:textId="77777777" w:rsidR="003E78AB" w:rsidRDefault="00010BF9">
            <w:pPr>
              <w:spacing w:line="360" w:lineRule="exact"/>
              <w:ind w:firstLineChars="0" w:firstLine="0"/>
              <w:jc w:val="center"/>
              <w:rPr>
                <w:b/>
                <w:bCs/>
                <w:kern w:val="2"/>
                <w:sz w:val="21"/>
                <w:szCs w:val="21"/>
              </w:rPr>
            </w:pPr>
            <w:r>
              <w:rPr>
                <w:b/>
                <w:bCs/>
                <w:kern w:val="2"/>
                <w:sz w:val="21"/>
                <w:szCs w:val="21"/>
              </w:rPr>
              <w:t>废水类别</w:t>
            </w:r>
          </w:p>
        </w:tc>
        <w:tc>
          <w:tcPr>
            <w:tcW w:w="556" w:type="pct"/>
            <w:vMerge w:val="restart"/>
            <w:vAlign w:val="center"/>
          </w:tcPr>
          <w:p w14:paraId="084EA578" w14:textId="77777777" w:rsidR="003E78AB" w:rsidRDefault="00010BF9">
            <w:pPr>
              <w:spacing w:line="360" w:lineRule="exact"/>
              <w:ind w:firstLineChars="0" w:firstLine="0"/>
              <w:jc w:val="center"/>
              <w:rPr>
                <w:b/>
                <w:bCs/>
                <w:kern w:val="2"/>
                <w:sz w:val="21"/>
                <w:szCs w:val="21"/>
              </w:rPr>
            </w:pPr>
            <w:r>
              <w:rPr>
                <w:b/>
                <w:bCs/>
                <w:kern w:val="2"/>
                <w:sz w:val="21"/>
                <w:szCs w:val="21"/>
              </w:rPr>
              <w:t>地理位置</w:t>
            </w:r>
          </w:p>
        </w:tc>
        <w:tc>
          <w:tcPr>
            <w:tcW w:w="337" w:type="pct"/>
            <w:vMerge w:val="restart"/>
            <w:vAlign w:val="center"/>
          </w:tcPr>
          <w:p w14:paraId="4C2E9F05" w14:textId="77777777" w:rsidR="003E78AB" w:rsidRDefault="00010BF9">
            <w:pPr>
              <w:spacing w:line="360" w:lineRule="exact"/>
              <w:ind w:firstLineChars="0" w:firstLine="0"/>
              <w:jc w:val="center"/>
              <w:rPr>
                <w:b/>
                <w:bCs/>
                <w:kern w:val="2"/>
                <w:sz w:val="21"/>
                <w:szCs w:val="21"/>
              </w:rPr>
            </w:pPr>
            <w:r>
              <w:rPr>
                <w:b/>
                <w:bCs/>
                <w:kern w:val="2"/>
                <w:sz w:val="21"/>
                <w:szCs w:val="21"/>
              </w:rPr>
              <w:t>排放</w:t>
            </w:r>
          </w:p>
          <w:p w14:paraId="33976606" w14:textId="77777777" w:rsidR="003E78AB" w:rsidRDefault="00010BF9">
            <w:pPr>
              <w:spacing w:line="360" w:lineRule="exact"/>
              <w:ind w:firstLineChars="0" w:firstLine="0"/>
              <w:jc w:val="center"/>
              <w:rPr>
                <w:b/>
                <w:bCs/>
                <w:kern w:val="2"/>
                <w:sz w:val="21"/>
                <w:szCs w:val="21"/>
              </w:rPr>
            </w:pPr>
            <w:r>
              <w:rPr>
                <w:b/>
                <w:bCs/>
                <w:kern w:val="2"/>
                <w:sz w:val="21"/>
                <w:szCs w:val="21"/>
              </w:rPr>
              <w:t>去向</w:t>
            </w:r>
          </w:p>
        </w:tc>
        <w:tc>
          <w:tcPr>
            <w:tcW w:w="384" w:type="pct"/>
            <w:vMerge w:val="restart"/>
            <w:vAlign w:val="center"/>
          </w:tcPr>
          <w:p w14:paraId="5231BA89" w14:textId="77777777" w:rsidR="003E78AB" w:rsidRDefault="00010BF9">
            <w:pPr>
              <w:spacing w:line="360" w:lineRule="exact"/>
              <w:ind w:firstLineChars="0" w:firstLine="0"/>
              <w:jc w:val="center"/>
              <w:rPr>
                <w:b/>
                <w:bCs/>
                <w:kern w:val="2"/>
                <w:sz w:val="21"/>
                <w:szCs w:val="21"/>
              </w:rPr>
            </w:pPr>
            <w:r>
              <w:rPr>
                <w:b/>
                <w:bCs/>
                <w:kern w:val="2"/>
                <w:sz w:val="21"/>
                <w:szCs w:val="21"/>
              </w:rPr>
              <w:t>排放</w:t>
            </w:r>
          </w:p>
          <w:p w14:paraId="58CE091D" w14:textId="77777777" w:rsidR="003E78AB" w:rsidRDefault="00010BF9">
            <w:pPr>
              <w:spacing w:line="360" w:lineRule="exact"/>
              <w:ind w:firstLineChars="0" w:firstLine="0"/>
              <w:jc w:val="center"/>
              <w:rPr>
                <w:b/>
                <w:bCs/>
                <w:kern w:val="2"/>
                <w:sz w:val="21"/>
                <w:szCs w:val="21"/>
              </w:rPr>
            </w:pPr>
            <w:r>
              <w:rPr>
                <w:b/>
                <w:bCs/>
                <w:kern w:val="2"/>
                <w:sz w:val="21"/>
                <w:szCs w:val="21"/>
              </w:rPr>
              <w:t>规律</w:t>
            </w:r>
          </w:p>
        </w:tc>
        <w:tc>
          <w:tcPr>
            <w:tcW w:w="1040" w:type="pct"/>
            <w:gridSpan w:val="3"/>
            <w:vAlign w:val="center"/>
          </w:tcPr>
          <w:p w14:paraId="73407439"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w:t>
            </w:r>
          </w:p>
        </w:tc>
        <w:tc>
          <w:tcPr>
            <w:tcW w:w="256" w:type="pct"/>
            <w:vMerge w:val="restart"/>
            <w:vAlign w:val="center"/>
          </w:tcPr>
          <w:p w14:paraId="0AB7B4FB" w14:textId="77777777" w:rsidR="003E78AB" w:rsidRDefault="00010BF9">
            <w:pPr>
              <w:spacing w:line="360" w:lineRule="exact"/>
              <w:ind w:firstLineChars="0" w:firstLine="0"/>
              <w:jc w:val="center"/>
              <w:rPr>
                <w:b/>
                <w:bCs/>
                <w:kern w:val="2"/>
                <w:sz w:val="21"/>
                <w:szCs w:val="21"/>
              </w:rPr>
            </w:pPr>
            <w:r>
              <w:rPr>
                <w:b/>
                <w:bCs/>
                <w:kern w:val="2"/>
                <w:sz w:val="21"/>
                <w:szCs w:val="21"/>
              </w:rPr>
              <w:t>排放口编号</w:t>
            </w:r>
          </w:p>
        </w:tc>
        <w:tc>
          <w:tcPr>
            <w:tcW w:w="228" w:type="pct"/>
            <w:vMerge w:val="restart"/>
            <w:vAlign w:val="center"/>
          </w:tcPr>
          <w:p w14:paraId="44A6C7D7" w14:textId="77777777" w:rsidR="003E78AB" w:rsidRDefault="00010BF9">
            <w:pPr>
              <w:spacing w:line="360" w:lineRule="exact"/>
              <w:ind w:firstLineChars="0" w:firstLine="0"/>
              <w:jc w:val="center"/>
              <w:rPr>
                <w:b/>
                <w:bCs/>
                <w:kern w:val="2"/>
                <w:sz w:val="21"/>
                <w:szCs w:val="21"/>
              </w:rPr>
            </w:pPr>
            <w:r>
              <w:rPr>
                <w:b/>
                <w:bCs/>
                <w:kern w:val="2"/>
                <w:sz w:val="21"/>
                <w:szCs w:val="21"/>
              </w:rPr>
              <w:t>排放口类型</w:t>
            </w:r>
          </w:p>
        </w:tc>
        <w:tc>
          <w:tcPr>
            <w:tcW w:w="380" w:type="pct"/>
            <w:vMerge w:val="restart"/>
            <w:vAlign w:val="center"/>
          </w:tcPr>
          <w:p w14:paraId="4D4D67F5" w14:textId="77777777" w:rsidR="003E78AB" w:rsidRDefault="00010BF9">
            <w:pPr>
              <w:spacing w:line="360" w:lineRule="exact"/>
              <w:ind w:firstLineChars="0" w:firstLine="0"/>
              <w:jc w:val="center"/>
              <w:rPr>
                <w:b/>
                <w:bCs/>
                <w:kern w:val="2"/>
                <w:sz w:val="21"/>
                <w:szCs w:val="21"/>
              </w:rPr>
            </w:pPr>
            <w:r>
              <w:rPr>
                <w:b/>
                <w:bCs/>
                <w:kern w:val="2"/>
                <w:sz w:val="21"/>
                <w:szCs w:val="21"/>
              </w:rPr>
              <w:t>污染物类别</w:t>
            </w:r>
          </w:p>
        </w:tc>
        <w:tc>
          <w:tcPr>
            <w:tcW w:w="363" w:type="pct"/>
            <w:vMerge w:val="restart"/>
            <w:vAlign w:val="center"/>
          </w:tcPr>
          <w:p w14:paraId="2D9A0E94" w14:textId="77777777" w:rsidR="003E78AB" w:rsidRDefault="00010BF9">
            <w:pPr>
              <w:spacing w:line="360" w:lineRule="exact"/>
              <w:ind w:firstLineChars="0" w:firstLine="0"/>
              <w:jc w:val="center"/>
              <w:rPr>
                <w:b/>
                <w:bCs/>
                <w:kern w:val="2"/>
                <w:sz w:val="21"/>
                <w:szCs w:val="21"/>
              </w:rPr>
            </w:pPr>
            <w:r>
              <w:rPr>
                <w:b/>
                <w:bCs/>
                <w:kern w:val="2"/>
                <w:sz w:val="21"/>
                <w:szCs w:val="21"/>
              </w:rPr>
              <w:t>排放</w:t>
            </w:r>
            <w:r>
              <w:rPr>
                <w:rFonts w:hint="eastAsia"/>
                <w:b/>
                <w:bCs/>
                <w:kern w:val="2"/>
                <w:sz w:val="21"/>
                <w:szCs w:val="21"/>
              </w:rPr>
              <w:t>量</w:t>
            </w:r>
            <w:r>
              <w:rPr>
                <w:rFonts w:hint="eastAsia"/>
                <w:b/>
                <w:bCs/>
                <w:kern w:val="2"/>
                <w:sz w:val="21"/>
                <w:szCs w:val="21"/>
              </w:rPr>
              <w:t>t/a</w:t>
            </w:r>
          </w:p>
        </w:tc>
        <w:tc>
          <w:tcPr>
            <w:tcW w:w="383" w:type="pct"/>
            <w:vMerge w:val="restart"/>
            <w:vAlign w:val="center"/>
          </w:tcPr>
          <w:p w14:paraId="0A2DFED0"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排放浓度</w:t>
            </w:r>
            <w:r>
              <w:rPr>
                <w:b/>
                <w:bCs/>
                <w:kern w:val="2"/>
                <w:sz w:val="21"/>
                <w:szCs w:val="21"/>
              </w:rPr>
              <w:t>mg/L</w:t>
            </w:r>
          </w:p>
        </w:tc>
        <w:tc>
          <w:tcPr>
            <w:tcW w:w="674" w:type="pct"/>
            <w:gridSpan w:val="2"/>
            <w:vAlign w:val="center"/>
          </w:tcPr>
          <w:p w14:paraId="21952A23"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执行标准</w:t>
            </w:r>
          </w:p>
        </w:tc>
      </w:tr>
      <w:tr w:rsidR="003E78AB" w14:paraId="6246B947" w14:textId="77777777">
        <w:trPr>
          <w:trHeight w:val="241"/>
          <w:jc w:val="center"/>
        </w:trPr>
        <w:tc>
          <w:tcPr>
            <w:tcW w:w="150" w:type="pct"/>
            <w:vMerge/>
            <w:vAlign w:val="center"/>
          </w:tcPr>
          <w:p w14:paraId="6F71244A" w14:textId="77777777" w:rsidR="003E78AB" w:rsidRDefault="003E78AB">
            <w:pPr>
              <w:spacing w:line="360" w:lineRule="exact"/>
              <w:ind w:firstLineChars="0" w:firstLine="0"/>
              <w:jc w:val="center"/>
              <w:rPr>
                <w:kern w:val="2"/>
                <w:sz w:val="21"/>
                <w:szCs w:val="21"/>
              </w:rPr>
            </w:pPr>
          </w:p>
        </w:tc>
        <w:tc>
          <w:tcPr>
            <w:tcW w:w="243" w:type="pct"/>
            <w:vMerge/>
            <w:vAlign w:val="center"/>
          </w:tcPr>
          <w:p w14:paraId="628A12A8" w14:textId="77777777" w:rsidR="003E78AB" w:rsidRDefault="003E78AB">
            <w:pPr>
              <w:spacing w:line="360" w:lineRule="exact"/>
              <w:ind w:firstLineChars="0" w:firstLine="0"/>
              <w:jc w:val="center"/>
              <w:rPr>
                <w:kern w:val="2"/>
                <w:sz w:val="21"/>
                <w:szCs w:val="21"/>
              </w:rPr>
            </w:pPr>
          </w:p>
        </w:tc>
        <w:tc>
          <w:tcPr>
            <w:tcW w:w="556" w:type="pct"/>
            <w:vMerge/>
            <w:vAlign w:val="center"/>
          </w:tcPr>
          <w:p w14:paraId="65FAA6E6" w14:textId="77777777" w:rsidR="003E78AB" w:rsidRDefault="003E78AB">
            <w:pPr>
              <w:spacing w:line="360" w:lineRule="exact"/>
              <w:ind w:firstLineChars="0" w:firstLine="0"/>
              <w:jc w:val="center"/>
              <w:rPr>
                <w:kern w:val="2"/>
                <w:sz w:val="21"/>
                <w:szCs w:val="21"/>
              </w:rPr>
            </w:pPr>
          </w:p>
        </w:tc>
        <w:tc>
          <w:tcPr>
            <w:tcW w:w="337" w:type="pct"/>
            <w:vMerge/>
            <w:vAlign w:val="center"/>
          </w:tcPr>
          <w:p w14:paraId="5BE1A6A9" w14:textId="77777777" w:rsidR="003E78AB" w:rsidRDefault="003E78AB">
            <w:pPr>
              <w:spacing w:line="360" w:lineRule="exact"/>
              <w:ind w:firstLineChars="0" w:firstLine="0"/>
              <w:jc w:val="center"/>
              <w:rPr>
                <w:kern w:val="2"/>
                <w:sz w:val="21"/>
                <w:szCs w:val="21"/>
              </w:rPr>
            </w:pPr>
          </w:p>
        </w:tc>
        <w:tc>
          <w:tcPr>
            <w:tcW w:w="384" w:type="pct"/>
            <w:vMerge/>
            <w:vAlign w:val="center"/>
          </w:tcPr>
          <w:p w14:paraId="7AC38AD1" w14:textId="77777777" w:rsidR="003E78AB" w:rsidRDefault="003E78AB">
            <w:pPr>
              <w:spacing w:line="360" w:lineRule="exact"/>
              <w:ind w:firstLineChars="0" w:firstLine="0"/>
              <w:jc w:val="center"/>
              <w:rPr>
                <w:kern w:val="2"/>
                <w:sz w:val="21"/>
                <w:szCs w:val="21"/>
              </w:rPr>
            </w:pPr>
          </w:p>
        </w:tc>
        <w:tc>
          <w:tcPr>
            <w:tcW w:w="324" w:type="pct"/>
            <w:vAlign w:val="center"/>
          </w:tcPr>
          <w:p w14:paraId="3AB16392"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污染物治理设施编号</w:t>
            </w:r>
          </w:p>
        </w:tc>
        <w:tc>
          <w:tcPr>
            <w:tcW w:w="344" w:type="pct"/>
            <w:vAlign w:val="center"/>
          </w:tcPr>
          <w:p w14:paraId="4245A464"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污染物治理设施名称</w:t>
            </w:r>
          </w:p>
        </w:tc>
        <w:tc>
          <w:tcPr>
            <w:tcW w:w="372" w:type="pct"/>
            <w:vAlign w:val="center"/>
          </w:tcPr>
          <w:p w14:paraId="04C06DB1"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污染物治理设施工艺</w:t>
            </w:r>
          </w:p>
        </w:tc>
        <w:tc>
          <w:tcPr>
            <w:tcW w:w="256" w:type="pct"/>
            <w:vMerge/>
            <w:vAlign w:val="center"/>
          </w:tcPr>
          <w:p w14:paraId="653CDF36" w14:textId="77777777" w:rsidR="003E78AB" w:rsidRDefault="003E78AB">
            <w:pPr>
              <w:spacing w:line="360" w:lineRule="exact"/>
              <w:ind w:firstLineChars="0" w:firstLine="0"/>
              <w:jc w:val="center"/>
              <w:rPr>
                <w:kern w:val="2"/>
                <w:sz w:val="21"/>
                <w:szCs w:val="21"/>
              </w:rPr>
            </w:pPr>
          </w:p>
        </w:tc>
        <w:tc>
          <w:tcPr>
            <w:tcW w:w="228" w:type="pct"/>
            <w:vMerge/>
            <w:vAlign w:val="center"/>
          </w:tcPr>
          <w:p w14:paraId="6B4C187F" w14:textId="77777777" w:rsidR="003E78AB" w:rsidRDefault="003E78AB">
            <w:pPr>
              <w:spacing w:line="360" w:lineRule="exact"/>
              <w:ind w:firstLineChars="0" w:firstLine="0"/>
              <w:jc w:val="center"/>
              <w:rPr>
                <w:kern w:val="2"/>
                <w:sz w:val="21"/>
                <w:szCs w:val="21"/>
              </w:rPr>
            </w:pPr>
          </w:p>
        </w:tc>
        <w:tc>
          <w:tcPr>
            <w:tcW w:w="380" w:type="pct"/>
            <w:vMerge/>
            <w:vAlign w:val="center"/>
          </w:tcPr>
          <w:p w14:paraId="61549FF8" w14:textId="77777777" w:rsidR="003E78AB" w:rsidRDefault="003E78AB">
            <w:pPr>
              <w:spacing w:line="360" w:lineRule="exact"/>
              <w:ind w:firstLineChars="0" w:firstLine="0"/>
              <w:jc w:val="center"/>
              <w:rPr>
                <w:kern w:val="2"/>
                <w:sz w:val="21"/>
                <w:szCs w:val="21"/>
              </w:rPr>
            </w:pPr>
          </w:p>
        </w:tc>
        <w:tc>
          <w:tcPr>
            <w:tcW w:w="363" w:type="pct"/>
            <w:vMerge/>
            <w:vAlign w:val="center"/>
          </w:tcPr>
          <w:p w14:paraId="0689D33A" w14:textId="77777777" w:rsidR="003E78AB" w:rsidRDefault="003E78AB">
            <w:pPr>
              <w:spacing w:line="360" w:lineRule="exact"/>
              <w:ind w:firstLineChars="0" w:firstLine="0"/>
              <w:jc w:val="center"/>
              <w:rPr>
                <w:kern w:val="2"/>
                <w:sz w:val="21"/>
                <w:szCs w:val="21"/>
              </w:rPr>
            </w:pPr>
          </w:p>
        </w:tc>
        <w:tc>
          <w:tcPr>
            <w:tcW w:w="383" w:type="pct"/>
            <w:vMerge/>
            <w:vAlign w:val="center"/>
          </w:tcPr>
          <w:p w14:paraId="7078FB49" w14:textId="77777777" w:rsidR="003E78AB" w:rsidRDefault="003E78AB">
            <w:pPr>
              <w:spacing w:line="360" w:lineRule="exact"/>
              <w:ind w:firstLineChars="0" w:firstLine="0"/>
              <w:jc w:val="center"/>
              <w:rPr>
                <w:kern w:val="2"/>
                <w:sz w:val="21"/>
                <w:szCs w:val="21"/>
              </w:rPr>
            </w:pPr>
          </w:p>
        </w:tc>
        <w:tc>
          <w:tcPr>
            <w:tcW w:w="331" w:type="pct"/>
            <w:vAlign w:val="center"/>
          </w:tcPr>
          <w:p w14:paraId="6C4D0798" w14:textId="77777777" w:rsidR="003E78AB" w:rsidRDefault="00010BF9">
            <w:pPr>
              <w:spacing w:line="360" w:lineRule="exact"/>
              <w:ind w:firstLineChars="0" w:firstLine="0"/>
              <w:jc w:val="center"/>
              <w:rPr>
                <w:b/>
                <w:bCs/>
                <w:kern w:val="2"/>
                <w:sz w:val="21"/>
                <w:szCs w:val="21"/>
              </w:rPr>
            </w:pPr>
            <w:r>
              <w:rPr>
                <w:b/>
                <w:bCs/>
                <w:kern w:val="2"/>
                <w:sz w:val="21"/>
                <w:szCs w:val="21"/>
              </w:rPr>
              <w:t>GB21904-2008</w:t>
            </w:r>
          </w:p>
        </w:tc>
        <w:tc>
          <w:tcPr>
            <w:tcW w:w="343" w:type="pct"/>
            <w:vAlign w:val="center"/>
          </w:tcPr>
          <w:p w14:paraId="62293798" w14:textId="77777777" w:rsidR="003E78AB" w:rsidRDefault="00010BF9">
            <w:pPr>
              <w:spacing w:line="360" w:lineRule="exact"/>
              <w:ind w:firstLineChars="0" w:firstLine="0"/>
              <w:jc w:val="center"/>
              <w:rPr>
                <w:b/>
                <w:bCs/>
                <w:kern w:val="2"/>
                <w:sz w:val="21"/>
                <w:szCs w:val="21"/>
              </w:rPr>
            </w:pPr>
            <w:r>
              <w:rPr>
                <w:b/>
                <w:bCs/>
                <w:kern w:val="2"/>
                <w:sz w:val="21"/>
                <w:szCs w:val="21"/>
              </w:rPr>
              <w:t>GB8978-1996</w:t>
            </w:r>
          </w:p>
        </w:tc>
      </w:tr>
      <w:tr w:rsidR="003E78AB" w14:paraId="207481A1" w14:textId="77777777">
        <w:trPr>
          <w:trHeight w:val="544"/>
          <w:jc w:val="center"/>
        </w:trPr>
        <w:tc>
          <w:tcPr>
            <w:tcW w:w="150" w:type="pct"/>
            <w:vMerge w:val="restart"/>
            <w:vAlign w:val="center"/>
          </w:tcPr>
          <w:p w14:paraId="4E3ECAAF" w14:textId="77777777" w:rsidR="003E78AB" w:rsidRDefault="00010BF9">
            <w:pPr>
              <w:spacing w:line="360" w:lineRule="exact"/>
              <w:ind w:firstLineChars="0" w:firstLine="0"/>
              <w:jc w:val="center"/>
              <w:rPr>
                <w:kern w:val="2"/>
                <w:sz w:val="21"/>
                <w:szCs w:val="21"/>
              </w:rPr>
            </w:pPr>
            <w:r>
              <w:rPr>
                <w:kern w:val="2"/>
                <w:sz w:val="21"/>
                <w:szCs w:val="21"/>
              </w:rPr>
              <w:t>1</w:t>
            </w:r>
          </w:p>
        </w:tc>
        <w:tc>
          <w:tcPr>
            <w:tcW w:w="243" w:type="pct"/>
            <w:vMerge w:val="restart"/>
            <w:vAlign w:val="center"/>
          </w:tcPr>
          <w:p w14:paraId="59F27902" w14:textId="77777777" w:rsidR="003E78AB" w:rsidRDefault="00010BF9">
            <w:pPr>
              <w:spacing w:line="360" w:lineRule="exact"/>
              <w:ind w:firstLineChars="0" w:firstLine="0"/>
              <w:jc w:val="center"/>
              <w:rPr>
                <w:kern w:val="2"/>
                <w:sz w:val="21"/>
                <w:szCs w:val="21"/>
              </w:rPr>
            </w:pPr>
            <w:r>
              <w:rPr>
                <w:kern w:val="2"/>
                <w:sz w:val="21"/>
                <w:szCs w:val="21"/>
              </w:rPr>
              <w:t>综合废水</w:t>
            </w:r>
          </w:p>
        </w:tc>
        <w:tc>
          <w:tcPr>
            <w:tcW w:w="556" w:type="pct"/>
            <w:vMerge w:val="restart"/>
            <w:vAlign w:val="center"/>
          </w:tcPr>
          <w:p w14:paraId="46192EF9" w14:textId="77777777" w:rsidR="003E78AB" w:rsidRDefault="00010BF9">
            <w:pPr>
              <w:spacing w:line="360" w:lineRule="exact"/>
              <w:ind w:firstLineChars="0" w:firstLine="0"/>
              <w:jc w:val="center"/>
              <w:rPr>
                <w:kern w:val="2"/>
                <w:sz w:val="21"/>
                <w:szCs w:val="21"/>
              </w:rPr>
            </w:pPr>
            <w:r>
              <w:rPr>
                <w:rFonts w:hint="eastAsia"/>
                <w:kern w:val="2"/>
                <w:sz w:val="21"/>
                <w:szCs w:val="21"/>
              </w:rPr>
              <w:t>93.251082</w:t>
            </w:r>
            <w:r>
              <w:rPr>
                <w:rFonts w:hint="eastAsia"/>
                <w:kern w:val="2"/>
                <w:sz w:val="21"/>
                <w:szCs w:val="21"/>
              </w:rPr>
              <w:t>°</w:t>
            </w:r>
            <w:r>
              <w:rPr>
                <w:rFonts w:hint="eastAsia"/>
                <w:kern w:val="2"/>
                <w:sz w:val="21"/>
                <w:szCs w:val="21"/>
              </w:rPr>
              <w:t>E</w:t>
            </w:r>
            <w:r>
              <w:rPr>
                <w:rFonts w:hint="eastAsia"/>
                <w:kern w:val="2"/>
                <w:sz w:val="21"/>
                <w:szCs w:val="21"/>
              </w:rPr>
              <w:t>，</w:t>
            </w:r>
            <w:r>
              <w:rPr>
                <w:rFonts w:hint="eastAsia"/>
                <w:kern w:val="2"/>
                <w:sz w:val="21"/>
                <w:szCs w:val="21"/>
              </w:rPr>
              <w:t>42.413383</w:t>
            </w:r>
            <w:r>
              <w:rPr>
                <w:rFonts w:hint="eastAsia"/>
                <w:kern w:val="2"/>
                <w:sz w:val="21"/>
                <w:szCs w:val="21"/>
              </w:rPr>
              <w:t>°</w:t>
            </w:r>
            <w:r>
              <w:rPr>
                <w:rFonts w:hint="eastAsia"/>
                <w:kern w:val="2"/>
                <w:sz w:val="21"/>
                <w:szCs w:val="21"/>
              </w:rPr>
              <w:t>N</w:t>
            </w:r>
          </w:p>
        </w:tc>
        <w:tc>
          <w:tcPr>
            <w:tcW w:w="337" w:type="pct"/>
            <w:vMerge w:val="restart"/>
            <w:vAlign w:val="center"/>
          </w:tcPr>
          <w:p w14:paraId="4F2BD9DA" w14:textId="77777777" w:rsidR="003E78AB" w:rsidRDefault="00010BF9">
            <w:pPr>
              <w:spacing w:line="360" w:lineRule="exact"/>
              <w:ind w:firstLineChars="0" w:firstLine="0"/>
              <w:jc w:val="center"/>
              <w:rPr>
                <w:kern w:val="2"/>
                <w:sz w:val="21"/>
                <w:szCs w:val="21"/>
              </w:rPr>
            </w:pPr>
            <w:r>
              <w:rPr>
                <w:kern w:val="2"/>
                <w:sz w:val="21"/>
                <w:szCs w:val="21"/>
              </w:rPr>
              <w:t>南部循环经济产业园污水处理厂</w:t>
            </w:r>
          </w:p>
        </w:tc>
        <w:tc>
          <w:tcPr>
            <w:tcW w:w="384" w:type="pct"/>
            <w:vMerge w:val="restart"/>
            <w:vAlign w:val="center"/>
          </w:tcPr>
          <w:p w14:paraId="60516067" w14:textId="77777777" w:rsidR="003E78AB" w:rsidRDefault="00010BF9">
            <w:pPr>
              <w:spacing w:line="360" w:lineRule="exact"/>
              <w:ind w:firstLineChars="0" w:firstLine="0"/>
              <w:jc w:val="center"/>
              <w:rPr>
                <w:kern w:val="2"/>
                <w:sz w:val="21"/>
                <w:szCs w:val="21"/>
              </w:rPr>
            </w:pPr>
            <w:r>
              <w:rPr>
                <w:kern w:val="2"/>
                <w:sz w:val="21"/>
                <w:szCs w:val="21"/>
              </w:rPr>
              <w:t>连续排放，流量不稳定且无规律，但不属于冲击型排放</w:t>
            </w:r>
          </w:p>
        </w:tc>
        <w:tc>
          <w:tcPr>
            <w:tcW w:w="324" w:type="pct"/>
            <w:vMerge w:val="restart"/>
            <w:vAlign w:val="center"/>
          </w:tcPr>
          <w:p w14:paraId="2CEC31F3" w14:textId="77777777" w:rsidR="003E78AB" w:rsidRDefault="00010BF9">
            <w:pPr>
              <w:spacing w:line="360" w:lineRule="exact"/>
              <w:ind w:firstLineChars="0" w:firstLine="0"/>
              <w:jc w:val="center"/>
              <w:rPr>
                <w:kern w:val="2"/>
                <w:sz w:val="21"/>
                <w:szCs w:val="21"/>
              </w:rPr>
            </w:pPr>
            <w:r>
              <w:rPr>
                <w:rFonts w:hint="eastAsia"/>
                <w:kern w:val="2"/>
                <w:sz w:val="21"/>
                <w:szCs w:val="21"/>
              </w:rPr>
              <w:t>TW001</w:t>
            </w:r>
          </w:p>
        </w:tc>
        <w:tc>
          <w:tcPr>
            <w:tcW w:w="344" w:type="pct"/>
            <w:vMerge w:val="restart"/>
            <w:vAlign w:val="center"/>
          </w:tcPr>
          <w:p w14:paraId="7C450BA5" w14:textId="77777777" w:rsidR="003E78AB" w:rsidRDefault="00010BF9">
            <w:pPr>
              <w:spacing w:line="360" w:lineRule="exact"/>
              <w:ind w:firstLineChars="0" w:firstLine="0"/>
              <w:jc w:val="center"/>
              <w:rPr>
                <w:kern w:val="2"/>
                <w:sz w:val="21"/>
                <w:szCs w:val="21"/>
              </w:rPr>
            </w:pPr>
            <w:r>
              <w:rPr>
                <w:rFonts w:hint="eastAsia"/>
                <w:kern w:val="2"/>
                <w:sz w:val="21"/>
                <w:szCs w:val="21"/>
              </w:rPr>
              <w:t>蒸发结晶装置</w:t>
            </w:r>
          </w:p>
        </w:tc>
        <w:tc>
          <w:tcPr>
            <w:tcW w:w="372" w:type="pct"/>
            <w:vMerge w:val="restart"/>
            <w:vAlign w:val="center"/>
          </w:tcPr>
          <w:p w14:paraId="7FDCA702" w14:textId="77777777" w:rsidR="003E78AB" w:rsidRDefault="00010BF9">
            <w:pPr>
              <w:spacing w:line="360" w:lineRule="exact"/>
              <w:ind w:firstLineChars="0" w:firstLine="0"/>
              <w:jc w:val="center"/>
              <w:rPr>
                <w:kern w:val="2"/>
                <w:sz w:val="21"/>
                <w:szCs w:val="21"/>
              </w:rPr>
            </w:pPr>
            <w:r>
              <w:rPr>
                <w:rFonts w:hint="eastAsia"/>
                <w:kern w:val="2"/>
                <w:sz w:val="21"/>
                <w:szCs w:val="21"/>
              </w:rPr>
              <w:t>蒸发结晶</w:t>
            </w:r>
          </w:p>
        </w:tc>
        <w:tc>
          <w:tcPr>
            <w:tcW w:w="256" w:type="pct"/>
            <w:vMerge w:val="restart"/>
            <w:vAlign w:val="center"/>
          </w:tcPr>
          <w:p w14:paraId="4EFFF17C" w14:textId="77777777" w:rsidR="003E78AB" w:rsidRDefault="00010BF9">
            <w:pPr>
              <w:spacing w:line="360" w:lineRule="exact"/>
              <w:ind w:firstLineChars="0" w:firstLine="0"/>
              <w:jc w:val="center"/>
              <w:rPr>
                <w:kern w:val="2"/>
                <w:sz w:val="21"/>
                <w:szCs w:val="21"/>
              </w:rPr>
            </w:pPr>
            <w:r>
              <w:rPr>
                <w:kern w:val="2"/>
                <w:sz w:val="21"/>
                <w:szCs w:val="21"/>
              </w:rPr>
              <w:t>DW001</w:t>
            </w:r>
          </w:p>
        </w:tc>
        <w:tc>
          <w:tcPr>
            <w:tcW w:w="228" w:type="pct"/>
            <w:vMerge w:val="restart"/>
            <w:vAlign w:val="center"/>
          </w:tcPr>
          <w:p w14:paraId="4BE00254" w14:textId="77777777" w:rsidR="003E78AB" w:rsidRDefault="00010BF9">
            <w:pPr>
              <w:spacing w:line="360" w:lineRule="exact"/>
              <w:ind w:firstLineChars="0" w:firstLine="0"/>
              <w:jc w:val="center"/>
              <w:rPr>
                <w:kern w:val="2"/>
                <w:sz w:val="21"/>
                <w:szCs w:val="21"/>
              </w:rPr>
            </w:pPr>
            <w:r>
              <w:rPr>
                <w:rFonts w:hint="eastAsia"/>
                <w:kern w:val="2"/>
                <w:sz w:val="21"/>
                <w:szCs w:val="21"/>
              </w:rPr>
              <w:t>一般</w:t>
            </w:r>
            <w:r>
              <w:rPr>
                <w:kern w:val="2"/>
                <w:sz w:val="21"/>
                <w:szCs w:val="21"/>
              </w:rPr>
              <w:t>排放口</w:t>
            </w:r>
          </w:p>
        </w:tc>
        <w:tc>
          <w:tcPr>
            <w:tcW w:w="1127" w:type="pct"/>
            <w:gridSpan w:val="3"/>
            <w:vAlign w:val="center"/>
          </w:tcPr>
          <w:p w14:paraId="6BC63A03" w14:textId="77777777" w:rsidR="003E78AB" w:rsidRDefault="00010BF9">
            <w:pPr>
              <w:spacing w:line="360" w:lineRule="exact"/>
              <w:ind w:firstLineChars="0" w:firstLine="0"/>
              <w:jc w:val="center"/>
              <w:rPr>
                <w:kern w:val="2"/>
                <w:sz w:val="21"/>
                <w:szCs w:val="21"/>
              </w:rPr>
            </w:pPr>
            <w:r>
              <w:rPr>
                <w:kern w:val="2"/>
                <w:sz w:val="21"/>
                <w:szCs w:val="21"/>
              </w:rPr>
              <w:t>废水量</w:t>
            </w:r>
            <w:r>
              <w:rPr>
                <w:rFonts w:hint="eastAsia"/>
                <w:sz w:val="21"/>
                <w:szCs w:val="21"/>
                <w:lang w:bidi="ar"/>
              </w:rPr>
              <w:t>16468.52</w:t>
            </w:r>
            <w:r>
              <w:rPr>
                <w:kern w:val="2"/>
                <w:sz w:val="21"/>
                <w:szCs w:val="21"/>
              </w:rPr>
              <w:t>m</w:t>
            </w:r>
            <w:r>
              <w:rPr>
                <w:kern w:val="2"/>
                <w:sz w:val="21"/>
                <w:szCs w:val="21"/>
                <w:vertAlign w:val="superscript"/>
              </w:rPr>
              <w:t>3</w:t>
            </w:r>
            <w:r>
              <w:rPr>
                <w:kern w:val="2"/>
                <w:sz w:val="21"/>
                <w:szCs w:val="21"/>
              </w:rPr>
              <w:t>/a</w:t>
            </w:r>
          </w:p>
        </w:tc>
        <w:tc>
          <w:tcPr>
            <w:tcW w:w="331" w:type="pct"/>
            <w:vAlign w:val="center"/>
          </w:tcPr>
          <w:p w14:paraId="2EAC7BB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2A12708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778AA7D9" w14:textId="77777777">
        <w:trPr>
          <w:trHeight w:val="544"/>
          <w:jc w:val="center"/>
        </w:trPr>
        <w:tc>
          <w:tcPr>
            <w:tcW w:w="150" w:type="pct"/>
            <w:vMerge/>
            <w:vAlign w:val="center"/>
          </w:tcPr>
          <w:p w14:paraId="309DBE01" w14:textId="77777777" w:rsidR="003E78AB" w:rsidRDefault="003E78AB">
            <w:pPr>
              <w:spacing w:line="360" w:lineRule="exact"/>
              <w:ind w:firstLineChars="0" w:firstLine="0"/>
              <w:jc w:val="center"/>
              <w:rPr>
                <w:kern w:val="2"/>
                <w:sz w:val="21"/>
                <w:szCs w:val="21"/>
              </w:rPr>
            </w:pPr>
          </w:p>
        </w:tc>
        <w:tc>
          <w:tcPr>
            <w:tcW w:w="243" w:type="pct"/>
            <w:vMerge/>
            <w:vAlign w:val="center"/>
          </w:tcPr>
          <w:p w14:paraId="2E8EEEE7" w14:textId="77777777" w:rsidR="003E78AB" w:rsidRDefault="003E78AB">
            <w:pPr>
              <w:spacing w:line="360" w:lineRule="exact"/>
              <w:ind w:firstLineChars="0" w:firstLine="0"/>
              <w:jc w:val="center"/>
              <w:rPr>
                <w:kern w:val="2"/>
                <w:sz w:val="21"/>
                <w:szCs w:val="21"/>
              </w:rPr>
            </w:pPr>
          </w:p>
        </w:tc>
        <w:tc>
          <w:tcPr>
            <w:tcW w:w="556" w:type="pct"/>
            <w:vMerge/>
            <w:vAlign w:val="center"/>
          </w:tcPr>
          <w:p w14:paraId="3C6FD2C9" w14:textId="77777777" w:rsidR="003E78AB" w:rsidRDefault="003E78AB">
            <w:pPr>
              <w:spacing w:line="360" w:lineRule="exact"/>
              <w:ind w:firstLineChars="0" w:firstLine="0"/>
              <w:jc w:val="center"/>
              <w:rPr>
                <w:kern w:val="2"/>
                <w:sz w:val="21"/>
                <w:szCs w:val="21"/>
              </w:rPr>
            </w:pPr>
          </w:p>
        </w:tc>
        <w:tc>
          <w:tcPr>
            <w:tcW w:w="337" w:type="pct"/>
            <w:vMerge/>
            <w:vAlign w:val="center"/>
          </w:tcPr>
          <w:p w14:paraId="28F62BB5" w14:textId="77777777" w:rsidR="003E78AB" w:rsidRDefault="003E78AB">
            <w:pPr>
              <w:spacing w:line="360" w:lineRule="exact"/>
              <w:ind w:firstLineChars="0" w:firstLine="0"/>
              <w:jc w:val="center"/>
              <w:rPr>
                <w:kern w:val="2"/>
                <w:sz w:val="21"/>
                <w:szCs w:val="21"/>
              </w:rPr>
            </w:pPr>
          </w:p>
        </w:tc>
        <w:tc>
          <w:tcPr>
            <w:tcW w:w="384" w:type="pct"/>
            <w:vMerge/>
            <w:vAlign w:val="center"/>
          </w:tcPr>
          <w:p w14:paraId="06F78B8F" w14:textId="77777777" w:rsidR="003E78AB" w:rsidRDefault="003E78AB">
            <w:pPr>
              <w:spacing w:line="360" w:lineRule="exact"/>
              <w:ind w:firstLineChars="0" w:firstLine="0"/>
              <w:jc w:val="center"/>
              <w:rPr>
                <w:kern w:val="2"/>
                <w:sz w:val="21"/>
                <w:szCs w:val="21"/>
              </w:rPr>
            </w:pPr>
          </w:p>
        </w:tc>
        <w:tc>
          <w:tcPr>
            <w:tcW w:w="324" w:type="pct"/>
            <w:vMerge/>
            <w:vAlign w:val="center"/>
          </w:tcPr>
          <w:p w14:paraId="61B1A764" w14:textId="77777777" w:rsidR="003E78AB" w:rsidRDefault="003E78AB">
            <w:pPr>
              <w:spacing w:line="360" w:lineRule="exact"/>
              <w:ind w:firstLineChars="0" w:firstLine="0"/>
              <w:jc w:val="center"/>
              <w:rPr>
                <w:kern w:val="2"/>
                <w:sz w:val="21"/>
                <w:szCs w:val="21"/>
              </w:rPr>
            </w:pPr>
          </w:p>
        </w:tc>
        <w:tc>
          <w:tcPr>
            <w:tcW w:w="344" w:type="pct"/>
            <w:vMerge/>
            <w:vAlign w:val="center"/>
          </w:tcPr>
          <w:p w14:paraId="776F9B3D" w14:textId="77777777" w:rsidR="003E78AB" w:rsidRDefault="003E78AB">
            <w:pPr>
              <w:spacing w:line="360" w:lineRule="exact"/>
              <w:ind w:firstLineChars="0" w:firstLine="0"/>
              <w:jc w:val="center"/>
              <w:rPr>
                <w:kern w:val="2"/>
                <w:sz w:val="21"/>
                <w:szCs w:val="21"/>
              </w:rPr>
            </w:pPr>
          </w:p>
        </w:tc>
        <w:tc>
          <w:tcPr>
            <w:tcW w:w="372" w:type="pct"/>
            <w:vMerge/>
            <w:vAlign w:val="center"/>
          </w:tcPr>
          <w:p w14:paraId="0FA3734A" w14:textId="77777777" w:rsidR="003E78AB" w:rsidRDefault="003E78AB">
            <w:pPr>
              <w:spacing w:line="360" w:lineRule="exact"/>
              <w:ind w:firstLineChars="0" w:firstLine="0"/>
              <w:jc w:val="center"/>
              <w:rPr>
                <w:kern w:val="2"/>
                <w:sz w:val="21"/>
                <w:szCs w:val="21"/>
              </w:rPr>
            </w:pPr>
          </w:p>
        </w:tc>
        <w:tc>
          <w:tcPr>
            <w:tcW w:w="256" w:type="pct"/>
            <w:vMerge/>
            <w:vAlign w:val="center"/>
          </w:tcPr>
          <w:p w14:paraId="0C8AA8BD" w14:textId="77777777" w:rsidR="003E78AB" w:rsidRDefault="003E78AB">
            <w:pPr>
              <w:spacing w:line="360" w:lineRule="exact"/>
              <w:ind w:firstLineChars="0" w:firstLine="0"/>
              <w:jc w:val="center"/>
              <w:rPr>
                <w:kern w:val="2"/>
                <w:sz w:val="21"/>
                <w:szCs w:val="21"/>
              </w:rPr>
            </w:pPr>
          </w:p>
        </w:tc>
        <w:tc>
          <w:tcPr>
            <w:tcW w:w="228" w:type="pct"/>
            <w:vMerge/>
            <w:vAlign w:val="center"/>
          </w:tcPr>
          <w:p w14:paraId="3E781FBF" w14:textId="77777777" w:rsidR="003E78AB" w:rsidRDefault="003E78AB">
            <w:pPr>
              <w:spacing w:line="360" w:lineRule="exact"/>
              <w:ind w:firstLineChars="0" w:firstLine="0"/>
              <w:jc w:val="center"/>
              <w:rPr>
                <w:kern w:val="2"/>
                <w:sz w:val="21"/>
                <w:szCs w:val="21"/>
              </w:rPr>
            </w:pPr>
          </w:p>
        </w:tc>
        <w:tc>
          <w:tcPr>
            <w:tcW w:w="380" w:type="pct"/>
            <w:vAlign w:val="center"/>
          </w:tcPr>
          <w:p w14:paraId="2166A7FF" w14:textId="77777777" w:rsidR="003E78AB" w:rsidRDefault="00010BF9">
            <w:pPr>
              <w:spacing w:line="360" w:lineRule="exact"/>
              <w:ind w:firstLineChars="0" w:firstLine="0"/>
              <w:jc w:val="center"/>
              <w:textAlignment w:val="center"/>
              <w:rPr>
                <w:kern w:val="2"/>
                <w:sz w:val="21"/>
                <w:szCs w:val="21"/>
              </w:rPr>
            </w:pPr>
            <w:r>
              <w:rPr>
                <w:sz w:val="21"/>
                <w:szCs w:val="21"/>
                <w:lang w:bidi="ar"/>
              </w:rPr>
              <w:t>pH</w:t>
            </w:r>
          </w:p>
        </w:tc>
        <w:tc>
          <w:tcPr>
            <w:tcW w:w="363" w:type="pct"/>
            <w:vAlign w:val="center"/>
          </w:tcPr>
          <w:p w14:paraId="7A47B1A8" w14:textId="77777777" w:rsidR="003E78AB" w:rsidRDefault="00010BF9">
            <w:pPr>
              <w:spacing w:line="360" w:lineRule="exact"/>
              <w:ind w:firstLineChars="0" w:firstLine="0"/>
              <w:jc w:val="center"/>
              <w:textAlignment w:val="center"/>
              <w:rPr>
                <w:kern w:val="2"/>
                <w:sz w:val="21"/>
                <w:szCs w:val="21"/>
              </w:rPr>
            </w:pPr>
            <w:r>
              <w:rPr>
                <w:sz w:val="21"/>
                <w:szCs w:val="21"/>
                <w:lang w:bidi="ar"/>
              </w:rPr>
              <w:t>/</w:t>
            </w:r>
          </w:p>
        </w:tc>
        <w:tc>
          <w:tcPr>
            <w:tcW w:w="383" w:type="pct"/>
            <w:vAlign w:val="center"/>
          </w:tcPr>
          <w:p w14:paraId="2B7779EF" w14:textId="77777777" w:rsidR="003E78AB" w:rsidRDefault="00010BF9">
            <w:pPr>
              <w:spacing w:line="360" w:lineRule="exact"/>
              <w:ind w:firstLineChars="0" w:firstLine="0"/>
              <w:jc w:val="center"/>
              <w:textAlignment w:val="center"/>
              <w:rPr>
                <w:kern w:val="2"/>
                <w:sz w:val="21"/>
                <w:szCs w:val="21"/>
              </w:rPr>
            </w:pPr>
            <w:r>
              <w:rPr>
                <w:sz w:val="21"/>
                <w:szCs w:val="21"/>
                <w:lang w:bidi="ar"/>
              </w:rPr>
              <w:t>6~9</w:t>
            </w:r>
          </w:p>
        </w:tc>
        <w:tc>
          <w:tcPr>
            <w:tcW w:w="331" w:type="pct"/>
            <w:vAlign w:val="center"/>
          </w:tcPr>
          <w:p w14:paraId="218DA210"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c>
          <w:tcPr>
            <w:tcW w:w="343" w:type="pct"/>
            <w:vAlign w:val="center"/>
          </w:tcPr>
          <w:p w14:paraId="518F0A4A"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00C509C5" w14:textId="77777777">
        <w:trPr>
          <w:trHeight w:val="360"/>
          <w:jc w:val="center"/>
        </w:trPr>
        <w:tc>
          <w:tcPr>
            <w:tcW w:w="150" w:type="pct"/>
            <w:vMerge/>
            <w:vAlign w:val="center"/>
          </w:tcPr>
          <w:p w14:paraId="1D563069" w14:textId="77777777" w:rsidR="003E78AB" w:rsidRDefault="003E78AB">
            <w:pPr>
              <w:spacing w:line="360" w:lineRule="exact"/>
              <w:ind w:firstLineChars="0" w:firstLine="0"/>
              <w:jc w:val="center"/>
              <w:rPr>
                <w:kern w:val="2"/>
                <w:sz w:val="21"/>
                <w:szCs w:val="21"/>
              </w:rPr>
            </w:pPr>
          </w:p>
        </w:tc>
        <w:tc>
          <w:tcPr>
            <w:tcW w:w="243" w:type="pct"/>
            <w:vMerge/>
            <w:vAlign w:val="center"/>
          </w:tcPr>
          <w:p w14:paraId="0E8BFA4C" w14:textId="77777777" w:rsidR="003E78AB" w:rsidRDefault="003E78AB">
            <w:pPr>
              <w:spacing w:line="360" w:lineRule="exact"/>
              <w:ind w:firstLineChars="0" w:firstLine="0"/>
              <w:jc w:val="center"/>
              <w:rPr>
                <w:kern w:val="2"/>
                <w:sz w:val="21"/>
                <w:szCs w:val="21"/>
              </w:rPr>
            </w:pPr>
          </w:p>
        </w:tc>
        <w:tc>
          <w:tcPr>
            <w:tcW w:w="556" w:type="pct"/>
            <w:vMerge/>
            <w:vAlign w:val="center"/>
          </w:tcPr>
          <w:p w14:paraId="2B0DFA65" w14:textId="77777777" w:rsidR="003E78AB" w:rsidRDefault="003E78AB">
            <w:pPr>
              <w:spacing w:line="360" w:lineRule="exact"/>
              <w:ind w:firstLineChars="0" w:firstLine="0"/>
              <w:jc w:val="center"/>
              <w:rPr>
                <w:kern w:val="2"/>
                <w:sz w:val="21"/>
                <w:szCs w:val="21"/>
              </w:rPr>
            </w:pPr>
          </w:p>
        </w:tc>
        <w:tc>
          <w:tcPr>
            <w:tcW w:w="337" w:type="pct"/>
            <w:vMerge/>
            <w:vAlign w:val="center"/>
          </w:tcPr>
          <w:p w14:paraId="524BC4CA" w14:textId="77777777" w:rsidR="003E78AB" w:rsidRDefault="003E78AB">
            <w:pPr>
              <w:spacing w:line="360" w:lineRule="exact"/>
              <w:ind w:firstLineChars="0" w:firstLine="0"/>
              <w:jc w:val="center"/>
              <w:rPr>
                <w:kern w:val="2"/>
                <w:sz w:val="21"/>
                <w:szCs w:val="21"/>
              </w:rPr>
            </w:pPr>
          </w:p>
        </w:tc>
        <w:tc>
          <w:tcPr>
            <w:tcW w:w="384" w:type="pct"/>
            <w:vMerge/>
            <w:vAlign w:val="center"/>
          </w:tcPr>
          <w:p w14:paraId="3FC959E4" w14:textId="77777777" w:rsidR="003E78AB" w:rsidRDefault="003E78AB">
            <w:pPr>
              <w:spacing w:line="360" w:lineRule="exact"/>
              <w:ind w:firstLineChars="0" w:firstLine="0"/>
              <w:jc w:val="center"/>
              <w:rPr>
                <w:kern w:val="2"/>
                <w:sz w:val="21"/>
                <w:szCs w:val="21"/>
              </w:rPr>
            </w:pPr>
          </w:p>
        </w:tc>
        <w:tc>
          <w:tcPr>
            <w:tcW w:w="324" w:type="pct"/>
            <w:vMerge/>
            <w:vAlign w:val="center"/>
          </w:tcPr>
          <w:p w14:paraId="2A8A57DF" w14:textId="77777777" w:rsidR="003E78AB" w:rsidRDefault="003E78AB">
            <w:pPr>
              <w:spacing w:line="360" w:lineRule="exact"/>
              <w:ind w:firstLineChars="0" w:firstLine="0"/>
              <w:jc w:val="center"/>
              <w:rPr>
                <w:kern w:val="2"/>
                <w:sz w:val="21"/>
                <w:szCs w:val="21"/>
              </w:rPr>
            </w:pPr>
          </w:p>
        </w:tc>
        <w:tc>
          <w:tcPr>
            <w:tcW w:w="344" w:type="pct"/>
            <w:vMerge/>
            <w:vAlign w:val="center"/>
          </w:tcPr>
          <w:p w14:paraId="1859C9E6" w14:textId="77777777" w:rsidR="003E78AB" w:rsidRDefault="003E78AB">
            <w:pPr>
              <w:spacing w:line="360" w:lineRule="exact"/>
              <w:ind w:firstLineChars="0" w:firstLine="0"/>
              <w:jc w:val="center"/>
              <w:rPr>
                <w:kern w:val="2"/>
                <w:sz w:val="21"/>
                <w:szCs w:val="21"/>
              </w:rPr>
            </w:pPr>
          </w:p>
        </w:tc>
        <w:tc>
          <w:tcPr>
            <w:tcW w:w="372" w:type="pct"/>
            <w:vMerge/>
            <w:vAlign w:val="center"/>
          </w:tcPr>
          <w:p w14:paraId="47A345C2" w14:textId="77777777" w:rsidR="003E78AB" w:rsidRDefault="003E78AB">
            <w:pPr>
              <w:spacing w:line="360" w:lineRule="exact"/>
              <w:ind w:firstLineChars="0" w:firstLine="0"/>
              <w:jc w:val="center"/>
              <w:rPr>
                <w:kern w:val="2"/>
                <w:sz w:val="21"/>
                <w:szCs w:val="21"/>
              </w:rPr>
            </w:pPr>
          </w:p>
        </w:tc>
        <w:tc>
          <w:tcPr>
            <w:tcW w:w="256" w:type="pct"/>
            <w:vMerge/>
            <w:vAlign w:val="center"/>
          </w:tcPr>
          <w:p w14:paraId="5DB80F12" w14:textId="77777777" w:rsidR="003E78AB" w:rsidRDefault="003E78AB">
            <w:pPr>
              <w:spacing w:line="360" w:lineRule="exact"/>
              <w:ind w:firstLineChars="0" w:firstLine="0"/>
              <w:jc w:val="center"/>
              <w:rPr>
                <w:kern w:val="2"/>
                <w:sz w:val="21"/>
                <w:szCs w:val="21"/>
              </w:rPr>
            </w:pPr>
          </w:p>
        </w:tc>
        <w:tc>
          <w:tcPr>
            <w:tcW w:w="228" w:type="pct"/>
            <w:vMerge/>
            <w:vAlign w:val="center"/>
          </w:tcPr>
          <w:p w14:paraId="79271F72" w14:textId="77777777" w:rsidR="003E78AB" w:rsidRDefault="003E78AB">
            <w:pPr>
              <w:spacing w:line="360" w:lineRule="exact"/>
              <w:ind w:firstLineChars="0" w:firstLine="0"/>
              <w:jc w:val="center"/>
              <w:rPr>
                <w:kern w:val="2"/>
                <w:sz w:val="21"/>
                <w:szCs w:val="21"/>
              </w:rPr>
            </w:pPr>
          </w:p>
        </w:tc>
        <w:tc>
          <w:tcPr>
            <w:tcW w:w="380" w:type="pct"/>
            <w:vMerge w:val="restart"/>
            <w:vAlign w:val="center"/>
          </w:tcPr>
          <w:p w14:paraId="6CEE468E" w14:textId="77777777" w:rsidR="003E78AB" w:rsidRDefault="00010BF9">
            <w:pPr>
              <w:spacing w:line="360" w:lineRule="exact"/>
              <w:ind w:firstLineChars="0" w:firstLine="0"/>
              <w:jc w:val="center"/>
              <w:textAlignment w:val="center"/>
              <w:rPr>
                <w:kern w:val="2"/>
                <w:sz w:val="21"/>
                <w:szCs w:val="21"/>
              </w:rPr>
            </w:pPr>
            <w:r>
              <w:rPr>
                <w:sz w:val="21"/>
                <w:szCs w:val="21"/>
                <w:lang w:bidi="ar"/>
              </w:rPr>
              <w:t>CODcr</w:t>
            </w:r>
          </w:p>
        </w:tc>
        <w:tc>
          <w:tcPr>
            <w:tcW w:w="363" w:type="pct"/>
            <w:vMerge w:val="restart"/>
            <w:vAlign w:val="center"/>
          </w:tcPr>
          <w:p w14:paraId="0C15B664" w14:textId="77777777" w:rsidR="003E78AB" w:rsidRDefault="00010BF9">
            <w:pPr>
              <w:spacing w:line="360" w:lineRule="exact"/>
              <w:ind w:firstLineChars="0" w:firstLine="0"/>
              <w:jc w:val="center"/>
              <w:textAlignment w:val="center"/>
              <w:rPr>
                <w:kern w:val="2"/>
                <w:sz w:val="21"/>
                <w:szCs w:val="21"/>
              </w:rPr>
            </w:pPr>
            <w:r>
              <w:rPr>
                <w:sz w:val="21"/>
                <w:szCs w:val="21"/>
                <w:lang w:bidi="ar"/>
              </w:rPr>
              <w:t>1.3543</w:t>
            </w:r>
          </w:p>
        </w:tc>
        <w:tc>
          <w:tcPr>
            <w:tcW w:w="383" w:type="pct"/>
            <w:vMerge w:val="restart"/>
            <w:vAlign w:val="center"/>
          </w:tcPr>
          <w:p w14:paraId="3802D719" w14:textId="77777777" w:rsidR="003E78AB" w:rsidRDefault="00010BF9">
            <w:pPr>
              <w:spacing w:line="360" w:lineRule="exact"/>
              <w:ind w:firstLineChars="0" w:firstLine="0"/>
              <w:jc w:val="center"/>
              <w:textAlignment w:val="center"/>
              <w:rPr>
                <w:kern w:val="2"/>
                <w:sz w:val="21"/>
                <w:szCs w:val="21"/>
              </w:rPr>
            </w:pPr>
            <w:r>
              <w:rPr>
                <w:sz w:val="21"/>
                <w:szCs w:val="21"/>
                <w:lang w:bidi="ar"/>
              </w:rPr>
              <w:t>82.24</w:t>
            </w:r>
          </w:p>
        </w:tc>
        <w:tc>
          <w:tcPr>
            <w:tcW w:w="331" w:type="pct"/>
            <w:vMerge w:val="restart"/>
            <w:vAlign w:val="center"/>
          </w:tcPr>
          <w:p w14:paraId="6002997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200</w:t>
            </w:r>
          </w:p>
        </w:tc>
        <w:tc>
          <w:tcPr>
            <w:tcW w:w="343" w:type="pct"/>
            <w:vMerge w:val="restart"/>
            <w:vAlign w:val="center"/>
          </w:tcPr>
          <w:p w14:paraId="5EC6840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500</w:t>
            </w:r>
          </w:p>
        </w:tc>
      </w:tr>
      <w:tr w:rsidR="003E78AB" w14:paraId="6F84C75A" w14:textId="77777777">
        <w:trPr>
          <w:trHeight w:val="360"/>
          <w:jc w:val="center"/>
        </w:trPr>
        <w:tc>
          <w:tcPr>
            <w:tcW w:w="150" w:type="pct"/>
            <w:vMerge/>
            <w:vAlign w:val="center"/>
          </w:tcPr>
          <w:p w14:paraId="221487A3" w14:textId="77777777" w:rsidR="003E78AB" w:rsidRDefault="003E78AB">
            <w:pPr>
              <w:spacing w:line="360" w:lineRule="exact"/>
              <w:ind w:firstLineChars="0" w:firstLine="0"/>
              <w:jc w:val="center"/>
              <w:rPr>
                <w:kern w:val="2"/>
                <w:sz w:val="21"/>
                <w:szCs w:val="21"/>
              </w:rPr>
            </w:pPr>
          </w:p>
        </w:tc>
        <w:tc>
          <w:tcPr>
            <w:tcW w:w="243" w:type="pct"/>
            <w:vMerge/>
            <w:vAlign w:val="center"/>
          </w:tcPr>
          <w:p w14:paraId="08A42D1E" w14:textId="77777777" w:rsidR="003E78AB" w:rsidRDefault="003E78AB">
            <w:pPr>
              <w:spacing w:line="360" w:lineRule="exact"/>
              <w:ind w:firstLineChars="0" w:firstLine="0"/>
              <w:jc w:val="center"/>
              <w:rPr>
                <w:kern w:val="2"/>
                <w:sz w:val="21"/>
                <w:szCs w:val="21"/>
              </w:rPr>
            </w:pPr>
          </w:p>
        </w:tc>
        <w:tc>
          <w:tcPr>
            <w:tcW w:w="556" w:type="pct"/>
            <w:vMerge/>
            <w:vAlign w:val="center"/>
          </w:tcPr>
          <w:p w14:paraId="1D63A005" w14:textId="77777777" w:rsidR="003E78AB" w:rsidRDefault="003E78AB">
            <w:pPr>
              <w:spacing w:line="360" w:lineRule="exact"/>
              <w:ind w:firstLineChars="0" w:firstLine="0"/>
              <w:jc w:val="center"/>
              <w:rPr>
                <w:kern w:val="2"/>
                <w:sz w:val="21"/>
                <w:szCs w:val="21"/>
              </w:rPr>
            </w:pPr>
          </w:p>
        </w:tc>
        <w:tc>
          <w:tcPr>
            <w:tcW w:w="337" w:type="pct"/>
            <w:vMerge/>
            <w:vAlign w:val="center"/>
          </w:tcPr>
          <w:p w14:paraId="11FE9FEC" w14:textId="77777777" w:rsidR="003E78AB" w:rsidRDefault="003E78AB">
            <w:pPr>
              <w:spacing w:line="360" w:lineRule="exact"/>
              <w:ind w:firstLineChars="0" w:firstLine="0"/>
              <w:jc w:val="center"/>
              <w:rPr>
                <w:kern w:val="2"/>
                <w:sz w:val="21"/>
                <w:szCs w:val="21"/>
              </w:rPr>
            </w:pPr>
          </w:p>
        </w:tc>
        <w:tc>
          <w:tcPr>
            <w:tcW w:w="384" w:type="pct"/>
            <w:vMerge/>
            <w:vAlign w:val="center"/>
          </w:tcPr>
          <w:p w14:paraId="7049D020" w14:textId="77777777" w:rsidR="003E78AB" w:rsidRDefault="003E78AB">
            <w:pPr>
              <w:spacing w:line="360" w:lineRule="exact"/>
              <w:ind w:firstLineChars="0" w:firstLine="0"/>
              <w:jc w:val="center"/>
              <w:rPr>
                <w:kern w:val="2"/>
                <w:sz w:val="21"/>
                <w:szCs w:val="21"/>
              </w:rPr>
            </w:pPr>
          </w:p>
        </w:tc>
        <w:tc>
          <w:tcPr>
            <w:tcW w:w="324" w:type="pct"/>
            <w:vMerge w:val="restart"/>
            <w:vAlign w:val="center"/>
          </w:tcPr>
          <w:p w14:paraId="5AC24456" w14:textId="77777777" w:rsidR="003E78AB" w:rsidRDefault="00010BF9">
            <w:pPr>
              <w:spacing w:line="360" w:lineRule="exact"/>
              <w:ind w:firstLineChars="0" w:firstLine="0"/>
              <w:jc w:val="center"/>
              <w:rPr>
                <w:kern w:val="2"/>
                <w:sz w:val="21"/>
                <w:szCs w:val="21"/>
              </w:rPr>
            </w:pPr>
            <w:r>
              <w:rPr>
                <w:rFonts w:hint="eastAsia"/>
                <w:kern w:val="2"/>
                <w:sz w:val="21"/>
                <w:szCs w:val="21"/>
              </w:rPr>
              <w:t>TW002</w:t>
            </w:r>
          </w:p>
        </w:tc>
        <w:tc>
          <w:tcPr>
            <w:tcW w:w="344" w:type="pct"/>
            <w:vMerge w:val="restart"/>
            <w:vAlign w:val="center"/>
          </w:tcPr>
          <w:p w14:paraId="69C47E44" w14:textId="77777777" w:rsidR="003E78AB" w:rsidRDefault="00010BF9">
            <w:pPr>
              <w:spacing w:line="360" w:lineRule="exact"/>
              <w:ind w:firstLineChars="0" w:firstLine="0"/>
              <w:jc w:val="center"/>
              <w:rPr>
                <w:kern w:val="2"/>
                <w:sz w:val="21"/>
                <w:szCs w:val="21"/>
              </w:rPr>
            </w:pPr>
            <w:r>
              <w:rPr>
                <w:rFonts w:hint="eastAsia"/>
                <w:kern w:val="2"/>
                <w:sz w:val="21"/>
                <w:szCs w:val="21"/>
              </w:rPr>
              <w:t>沉淀池</w:t>
            </w:r>
          </w:p>
        </w:tc>
        <w:tc>
          <w:tcPr>
            <w:tcW w:w="372" w:type="pct"/>
            <w:vMerge w:val="restart"/>
            <w:vAlign w:val="center"/>
          </w:tcPr>
          <w:p w14:paraId="322CED8A" w14:textId="77777777" w:rsidR="003E78AB" w:rsidRDefault="00010BF9">
            <w:pPr>
              <w:spacing w:line="360" w:lineRule="exact"/>
              <w:ind w:firstLineChars="0" w:firstLine="0"/>
              <w:jc w:val="center"/>
              <w:rPr>
                <w:kern w:val="2"/>
                <w:sz w:val="21"/>
                <w:szCs w:val="21"/>
              </w:rPr>
            </w:pPr>
            <w:r>
              <w:rPr>
                <w:rFonts w:hint="eastAsia"/>
                <w:kern w:val="2"/>
                <w:sz w:val="21"/>
                <w:szCs w:val="21"/>
              </w:rPr>
              <w:t>沉淀</w:t>
            </w:r>
          </w:p>
        </w:tc>
        <w:tc>
          <w:tcPr>
            <w:tcW w:w="256" w:type="pct"/>
            <w:vMerge/>
            <w:vAlign w:val="center"/>
          </w:tcPr>
          <w:p w14:paraId="00A1A41F" w14:textId="77777777" w:rsidR="003E78AB" w:rsidRDefault="003E78AB">
            <w:pPr>
              <w:spacing w:line="360" w:lineRule="exact"/>
              <w:ind w:firstLineChars="0" w:firstLine="0"/>
              <w:jc w:val="center"/>
              <w:rPr>
                <w:kern w:val="2"/>
                <w:sz w:val="21"/>
                <w:szCs w:val="21"/>
              </w:rPr>
            </w:pPr>
          </w:p>
        </w:tc>
        <w:tc>
          <w:tcPr>
            <w:tcW w:w="228" w:type="pct"/>
            <w:vMerge/>
            <w:vAlign w:val="center"/>
          </w:tcPr>
          <w:p w14:paraId="5421FCB2" w14:textId="77777777" w:rsidR="003E78AB" w:rsidRDefault="003E78AB">
            <w:pPr>
              <w:spacing w:line="360" w:lineRule="exact"/>
              <w:ind w:firstLineChars="0" w:firstLine="0"/>
              <w:jc w:val="center"/>
              <w:rPr>
                <w:kern w:val="2"/>
                <w:sz w:val="21"/>
                <w:szCs w:val="21"/>
              </w:rPr>
            </w:pPr>
          </w:p>
        </w:tc>
        <w:tc>
          <w:tcPr>
            <w:tcW w:w="380" w:type="pct"/>
            <w:vMerge/>
            <w:vAlign w:val="center"/>
          </w:tcPr>
          <w:p w14:paraId="36E824CA" w14:textId="77777777" w:rsidR="003E78AB" w:rsidRDefault="003E78AB">
            <w:pPr>
              <w:spacing w:line="360" w:lineRule="exact"/>
              <w:ind w:firstLineChars="0" w:firstLine="0"/>
              <w:jc w:val="center"/>
              <w:rPr>
                <w:kern w:val="2"/>
                <w:sz w:val="21"/>
                <w:szCs w:val="21"/>
              </w:rPr>
            </w:pPr>
          </w:p>
        </w:tc>
        <w:tc>
          <w:tcPr>
            <w:tcW w:w="363" w:type="pct"/>
            <w:vMerge/>
            <w:vAlign w:val="center"/>
          </w:tcPr>
          <w:p w14:paraId="02D81C73" w14:textId="77777777" w:rsidR="003E78AB" w:rsidRDefault="003E78AB">
            <w:pPr>
              <w:spacing w:line="360" w:lineRule="exact"/>
              <w:ind w:firstLineChars="0" w:firstLine="0"/>
              <w:jc w:val="center"/>
              <w:rPr>
                <w:kern w:val="2"/>
                <w:sz w:val="21"/>
                <w:szCs w:val="21"/>
              </w:rPr>
            </w:pPr>
          </w:p>
        </w:tc>
        <w:tc>
          <w:tcPr>
            <w:tcW w:w="383" w:type="pct"/>
            <w:vMerge/>
            <w:vAlign w:val="center"/>
          </w:tcPr>
          <w:p w14:paraId="37C80AB2" w14:textId="77777777" w:rsidR="003E78AB" w:rsidRDefault="003E78AB">
            <w:pPr>
              <w:spacing w:line="360" w:lineRule="exact"/>
              <w:ind w:firstLineChars="0" w:firstLine="0"/>
              <w:jc w:val="center"/>
              <w:rPr>
                <w:kern w:val="2"/>
                <w:sz w:val="21"/>
                <w:szCs w:val="21"/>
              </w:rPr>
            </w:pPr>
          </w:p>
        </w:tc>
        <w:tc>
          <w:tcPr>
            <w:tcW w:w="331" w:type="pct"/>
            <w:vMerge/>
            <w:vAlign w:val="center"/>
          </w:tcPr>
          <w:p w14:paraId="104F1ADF" w14:textId="77777777" w:rsidR="003E78AB" w:rsidRDefault="003E78AB">
            <w:pPr>
              <w:spacing w:line="360" w:lineRule="exact"/>
              <w:ind w:firstLineChars="0" w:firstLine="0"/>
              <w:jc w:val="center"/>
              <w:textAlignment w:val="center"/>
              <w:rPr>
                <w:sz w:val="21"/>
                <w:szCs w:val="21"/>
                <w:lang w:bidi="ar"/>
              </w:rPr>
            </w:pPr>
          </w:p>
        </w:tc>
        <w:tc>
          <w:tcPr>
            <w:tcW w:w="343" w:type="pct"/>
            <w:vMerge/>
            <w:vAlign w:val="center"/>
          </w:tcPr>
          <w:p w14:paraId="45C69D13" w14:textId="77777777" w:rsidR="003E78AB" w:rsidRDefault="003E78AB">
            <w:pPr>
              <w:spacing w:line="360" w:lineRule="exact"/>
              <w:ind w:firstLineChars="0" w:firstLine="0"/>
              <w:jc w:val="center"/>
              <w:textAlignment w:val="center"/>
              <w:rPr>
                <w:sz w:val="21"/>
                <w:szCs w:val="21"/>
                <w:lang w:bidi="ar"/>
              </w:rPr>
            </w:pPr>
          </w:p>
        </w:tc>
      </w:tr>
      <w:tr w:rsidR="003E78AB" w14:paraId="1CFF2448" w14:textId="77777777">
        <w:trPr>
          <w:trHeight w:val="544"/>
          <w:jc w:val="center"/>
        </w:trPr>
        <w:tc>
          <w:tcPr>
            <w:tcW w:w="150" w:type="pct"/>
            <w:vMerge/>
            <w:vAlign w:val="center"/>
          </w:tcPr>
          <w:p w14:paraId="53E0C5A6" w14:textId="77777777" w:rsidR="003E78AB" w:rsidRDefault="003E78AB">
            <w:pPr>
              <w:spacing w:line="360" w:lineRule="exact"/>
              <w:ind w:firstLineChars="0" w:firstLine="0"/>
              <w:jc w:val="center"/>
              <w:rPr>
                <w:kern w:val="2"/>
                <w:sz w:val="21"/>
                <w:szCs w:val="21"/>
              </w:rPr>
            </w:pPr>
          </w:p>
        </w:tc>
        <w:tc>
          <w:tcPr>
            <w:tcW w:w="243" w:type="pct"/>
            <w:vMerge/>
            <w:vAlign w:val="center"/>
          </w:tcPr>
          <w:p w14:paraId="710B582E" w14:textId="77777777" w:rsidR="003E78AB" w:rsidRDefault="003E78AB">
            <w:pPr>
              <w:spacing w:line="360" w:lineRule="exact"/>
              <w:ind w:firstLineChars="0" w:firstLine="0"/>
              <w:jc w:val="center"/>
              <w:rPr>
                <w:kern w:val="2"/>
                <w:sz w:val="21"/>
                <w:szCs w:val="21"/>
              </w:rPr>
            </w:pPr>
          </w:p>
        </w:tc>
        <w:tc>
          <w:tcPr>
            <w:tcW w:w="556" w:type="pct"/>
            <w:vMerge/>
            <w:vAlign w:val="center"/>
          </w:tcPr>
          <w:p w14:paraId="5B42C59C" w14:textId="77777777" w:rsidR="003E78AB" w:rsidRDefault="003E78AB">
            <w:pPr>
              <w:spacing w:line="360" w:lineRule="exact"/>
              <w:ind w:firstLineChars="0" w:firstLine="0"/>
              <w:jc w:val="center"/>
              <w:rPr>
                <w:kern w:val="2"/>
                <w:sz w:val="21"/>
                <w:szCs w:val="21"/>
              </w:rPr>
            </w:pPr>
          </w:p>
        </w:tc>
        <w:tc>
          <w:tcPr>
            <w:tcW w:w="337" w:type="pct"/>
            <w:vMerge/>
            <w:vAlign w:val="center"/>
          </w:tcPr>
          <w:p w14:paraId="2BA3D6E7" w14:textId="77777777" w:rsidR="003E78AB" w:rsidRDefault="003E78AB">
            <w:pPr>
              <w:spacing w:line="360" w:lineRule="exact"/>
              <w:ind w:firstLineChars="0" w:firstLine="0"/>
              <w:jc w:val="center"/>
              <w:rPr>
                <w:kern w:val="2"/>
                <w:sz w:val="21"/>
                <w:szCs w:val="21"/>
              </w:rPr>
            </w:pPr>
          </w:p>
        </w:tc>
        <w:tc>
          <w:tcPr>
            <w:tcW w:w="384" w:type="pct"/>
            <w:vMerge/>
            <w:vAlign w:val="center"/>
          </w:tcPr>
          <w:p w14:paraId="47781E9B" w14:textId="77777777" w:rsidR="003E78AB" w:rsidRDefault="003E78AB">
            <w:pPr>
              <w:spacing w:line="360" w:lineRule="exact"/>
              <w:ind w:firstLineChars="0" w:firstLine="0"/>
              <w:jc w:val="center"/>
              <w:rPr>
                <w:kern w:val="2"/>
                <w:sz w:val="21"/>
                <w:szCs w:val="21"/>
              </w:rPr>
            </w:pPr>
          </w:p>
        </w:tc>
        <w:tc>
          <w:tcPr>
            <w:tcW w:w="324" w:type="pct"/>
            <w:vMerge/>
            <w:vAlign w:val="center"/>
          </w:tcPr>
          <w:p w14:paraId="663AED1C" w14:textId="77777777" w:rsidR="003E78AB" w:rsidRDefault="003E78AB">
            <w:pPr>
              <w:spacing w:line="360" w:lineRule="exact"/>
              <w:ind w:firstLineChars="0" w:firstLine="0"/>
              <w:jc w:val="center"/>
              <w:rPr>
                <w:kern w:val="2"/>
                <w:sz w:val="21"/>
                <w:szCs w:val="21"/>
              </w:rPr>
            </w:pPr>
          </w:p>
        </w:tc>
        <w:tc>
          <w:tcPr>
            <w:tcW w:w="344" w:type="pct"/>
            <w:vMerge/>
            <w:vAlign w:val="center"/>
          </w:tcPr>
          <w:p w14:paraId="7DA72BFA" w14:textId="77777777" w:rsidR="003E78AB" w:rsidRDefault="003E78AB">
            <w:pPr>
              <w:spacing w:line="360" w:lineRule="exact"/>
              <w:ind w:firstLineChars="0" w:firstLine="0"/>
              <w:jc w:val="center"/>
              <w:rPr>
                <w:kern w:val="2"/>
                <w:sz w:val="21"/>
                <w:szCs w:val="21"/>
              </w:rPr>
            </w:pPr>
          </w:p>
        </w:tc>
        <w:tc>
          <w:tcPr>
            <w:tcW w:w="372" w:type="pct"/>
            <w:vMerge/>
            <w:vAlign w:val="center"/>
          </w:tcPr>
          <w:p w14:paraId="114F09BD" w14:textId="77777777" w:rsidR="003E78AB" w:rsidRDefault="003E78AB">
            <w:pPr>
              <w:spacing w:line="360" w:lineRule="exact"/>
              <w:ind w:firstLineChars="0" w:firstLine="0"/>
              <w:jc w:val="center"/>
              <w:rPr>
                <w:kern w:val="2"/>
                <w:sz w:val="21"/>
                <w:szCs w:val="21"/>
              </w:rPr>
            </w:pPr>
          </w:p>
        </w:tc>
        <w:tc>
          <w:tcPr>
            <w:tcW w:w="256" w:type="pct"/>
            <w:vMerge/>
            <w:vAlign w:val="center"/>
          </w:tcPr>
          <w:p w14:paraId="20354B23" w14:textId="77777777" w:rsidR="003E78AB" w:rsidRDefault="003E78AB">
            <w:pPr>
              <w:spacing w:line="360" w:lineRule="exact"/>
              <w:ind w:firstLineChars="0" w:firstLine="0"/>
              <w:jc w:val="center"/>
              <w:rPr>
                <w:kern w:val="2"/>
                <w:sz w:val="21"/>
                <w:szCs w:val="21"/>
              </w:rPr>
            </w:pPr>
          </w:p>
        </w:tc>
        <w:tc>
          <w:tcPr>
            <w:tcW w:w="228" w:type="pct"/>
            <w:vMerge/>
            <w:vAlign w:val="center"/>
          </w:tcPr>
          <w:p w14:paraId="37904F63" w14:textId="77777777" w:rsidR="003E78AB" w:rsidRDefault="003E78AB">
            <w:pPr>
              <w:spacing w:line="360" w:lineRule="exact"/>
              <w:ind w:firstLineChars="0" w:firstLine="0"/>
              <w:jc w:val="center"/>
              <w:rPr>
                <w:kern w:val="2"/>
                <w:sz w:val="21"/>
                <w:szCs w:val="21"/>
              </w:rPr>
            </w:pPr>
          </w:p>
        </w:tc>
        <w:tc>
          <w:tcPr>
            <w:tcW w:w="380" w:type="pct"/>
            <w:vAlign w:val="center"/>
          </w:tcPr>
          <w:p w14:paraId="3642625B"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363" w:type="pct"/>
            <w:vAlign w:val="center"/>
          </w:tcPr>
          <w:p w14:paraId="2BC40B49" w14:textId="77777777" w:rsidR="003E78AB" w:rsidRDefault="00010BF9">
            <w:pPr>
              <w:spacing w:line="360" w:lineRule="exact"/>
              <w:ind w:firstLineChars="0" w:firstLine="0"/>
              <w:jc w:val="center"/>
              <w:textAlignment w:val="center"/>
              <w:rPr>
                <w:kern w:val="2"/>
                <w:sz w:val="21"/>
                <w:szCs w:val="21"/>
              </w:rPr>
            </w:pPr>
            <w:r>
              <w:rPr>
                <w:sz w:val="21"/>
                <w:szCs w:val="21"/>
                <w:lang w:bidi="ar"/>
              </w:rPr>
              <w:t>0.0718</w:t>
            </w:r>
          </w:p>
        </w:tc>
        <w:tc>
          <w:tcPr>
            <w:tcW w:w="383" w:type="pct"/>
            <w:vAlign w:val="center"/>
          </w:tcPr>
          <w:p w14:paraId="1AF1BB46" w14:textId="77777777" w:rsidR="003E78AB" w:rsidRDefault="00010BF9">
            <w:pPr>
              <w:spacing w:line="360" w:lineRule="exact"/>
              <w:ind w:firstLineChars="0" w:firstLine="0"/>
              <w:jc w:val="center"/>
              <w:textAlignment w:val="center"/>
              <w:rPr>
                <w:kern w:val="2"/>
                <w:sz w:val="21"/>
                <w:szCs w:val="21"/>
              </w:rPr>
            </w:pPr>
            <w:r>
              <w:rPr>
                <w:sz w:val="21"/>
                <w:szCs w:val="21"/>
                <w:lang w:bidi="ar"/>
              </w:rPr>
              <w:t>4.36</w:t>
            </w:r>
          </w:p>
        </w:tc>
        <w:tc>
          <w:tcPr>
            <w:tcW w:w="331" w:type="pct"/>
            <w:vAlign w:val="center"/>
          </w:tcPr>
          <w:p w14:paraId="46AA386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40</w:t>
            </w:r>
          </w:p>
        </w:tc>
        <w:tc>
          <w:tcPr>
            <w:tcW w:w="343" w:type="pct"/>
            <w:vAlign w:val="center"/>
          </w:tcPr>
          <w:p w14:paraId="0B42CEA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13B0C865" w14:textId="77777777">
        <w:trPr>
          <w:trHeight w:val="544"/>
          <w:jc w:val="center"/>
        </w:trPr>
        <w:tc>
          <w:tcPr>
            <w:tcW w:w="150" w:type="pct"/>
            <w:vMerge/>
            <w:vAlign w:val="center"/>
          </w:tcPr>
          <w:p w14:paraId="031F8D71" w14:textId="77777777" w:rsidR="003E78AB" w:rsidRDefault="003E78AB">
            <w:pPr>
              <w:spacing w:line="360" w:lineRule="exact"/>
              <w:ind w:firstLineChars="0" w:firstLine="0"/>
              <w:jc w:val="center"/>
              <w:rPr>
                <w:kern w:val="2"/>
                <w:sz w:val="21"/>
                <w:szCs w:val="21"/>
              </w:rPr>
            </w:pPr>
          </w:p>
        </w:tc>
        <w:tc>
          <w:tcPr>
            <w:tcW w:w="243" w:type="pct"/>
            <w:vMerge/>
            <w:vAlign w:val="center"/>
          </w:tcPr>
          <w:p w14:paraId="6C81CCC3" w14:textId="77777777" w:rsidR="003E78AB" w:rsidRDefault="003E78AB">
            <w:pPr>
              <w:spacing w:line="360" w:lineRule="exact"/>
              <w:ind w:firstLineChars="0" w:firstLine="0"/>
              <w:jc w:val="center"/>
              <w:rPr>
                <w:kern w:val="2"/>
                <w:sz w:val="21"/>
                <w:szCs w:val="21"/>
              </w:rPr>
            </w:pPr>
          </w:p>
        </w:tc>
        <w:tc>
          <w:tcPr>
            <w:tcW w:w="556" w:type="pct"/>
            <w:vMerge/>
            <w:vAlign w:val="center"/>
          </w:tcPr>
          <w:p w14:paraId="4A995532" w14:textId="77777777" w:rsidR="003E78AB" w:rsidRDefault="003E78AB">
            <w:pPr>
              <w:spacing w:line="360" w:lineRule="exact"/>
              <w:ind w:firstLineChars="0" w:firstLine="0"/>
              <w:jc w:val="center"/>
              <w:rPr>
                <w:kern w:val="2"/>
                <w:sz w:val="21"/>
                <w:szCs w:val="21"/>
              </w:rPr>
            </w:pPr>
          </w:p>
        </w:tc>
        <w:tc>
          <w:tcPr>
            <w:tcW w:w="337" w:type="pct"/>
            <w:vMerge/>
            <w:vAlign w:val="center"/>
          </w:tcPr>
          <w:p w14:paraId="77662F69" w14:textId="77777777" w:rsidR="003E78AB" w:rsidRDefault="003E78AB">
            <w:pPr>
              <w:spacing w:line="360" w:lineRule="exact"/>
              <w:ind w:firstLineChars="0" w:firstLine="0"/>
              <w:jc w:val="center"/>
              <w:rPr>
                <w:kern w:val="2"/>
                <w:sz w:val="21"/>
                <w:szCs w:val="21"/>
              </w:rPr>
            </w:pPr>
          </w:p>
        </w:tc>
        <w:tc>
          <w:tcPr>
            <w:tcW w:w="384" w:type="pct"/>
            <w:vMerge/>
            <w:vAlign w:val="center"/>
          </w:tcPr>
          <w:p w14:paraId="2635BD97" w14:textId="77777777" w:rsidR="003E78AB" w:rsidRDefault="003E78AB">
            <w:pPr>
              <w:spacing w:line="360" w:lineRule="exact"/>
              <w:ind w:firstLineChars="0" w:firstLine="0"/>
              <w:jc w:val="center"/>
              <w:rPr>
                <w:kern w:val="2"/>
                <w:sz w:val="21"/>
                <w:szCs w:val="21"/>
              </w:rPr>
            </w:pPr>
          </w:p>
        </w:tc>
        <w:tc>
          <w:tcPr>
            <w:tcW w:w="324" w:type="pct"/>
            <w:vMerge/>
            <w:vAlign w:val="center"/>
          </w:tcPr>
          <w:p w14:paraId="76B719CD" w14:textId="77777777" w:rsidR="003E78AB" w:rsidRDefault="003E78AB">
            <w:pPr>
              <w:spacing w:line="360" w:lineRule="exact"/>
              <w:ind w:firstLineChars="0" w:firstLine="0"/>
              <w:jc w:val="center"/>
              <w:rPr>
                <w:kern w:val="2"/>
                <w:sz w:val="21"/>
                <w:szCs w:val="21"/>
              </w:rPr>
            </w:pPr>
          </w:p>
        </w:tc>
        <w:tc>
          <w:tcPr>
            <w:tcW w:w="344" w:type="pct"/>
            <w:vMerge/>
            <w:vAlign w:val="center"/>
          </w:tcPr>
          <w:p w14:paraId="6965C668" w14:textId="77777777" w:rsidR="003E78AB" w:rsidRDefault="003E78AB">
            <w:pPr>
              <w:spacing w:line="360" w:lineRule="exact"/>
              <w:ind w:firstLineChars="0" w:firstLine="0"/>
              <w:jc w:val="center"/>
              <w:rPr>
                <w:kern w:val="2"/>
                <w:sz w:val="21"/>
                <w:szCs w:val="21"/>
              </w:rPr>
            </w:pPr>
          </w:p>
        </w:tc>
        <w:tc>
          <w:tcPr>
            <w:tcW w:w="372" w:type="pct"/>
            <w:vMerge/>
            <w:vAlign w:val="center"/>
          </w:tcPr>
          <w:p w14:paraId="00796438" w14:textId="77777777" w:rsidR="003E78AB" w:rsidRDefault="003E78AB">
            <w:pPr>
              <w:spacing w:line="360" w:lineRule="exact"/>
              <w:ind w:firstLineChars="0" w:firstLine="0"/>
              <w:jc w:val="center"/>
              <w:rPr>
                <w:kern w:val="2"/>
                <w:sz w:val="21"/>
                <w:szCs w:val="21"/>
              </w:rPr>
            </w:pPr>
          </w:p>
        </w:tc>
        <w:tc>
          <w:tcPr>
            <w:tcW w:w="256" w:type="pct"/>
            <w:vMerge/>
            <w:vAlign w:val="center"/>
          </w:tcPr>
          <w:p w14:paraId="4C06630D" w14:textId="77777777" w:rsidR="003E78AB" w:rsidRDefault="003E78AB">
            <w:pPr>
              <w:spacing w:line="360" w:lineRule="exact"/>
              <w:ind w:firstLineChars="0" w:firstLine="0"/>
              <w:jc w:val="center"/>
              <w:rPr>
                <w:kern w:val="2"/>
                <w:sz w:val="21"/>
                <w:szCs w:val="21"/>
              </w:rPr>
            </w:pPr>
          </w:p>
        </w:tc>
        <w:tc>
          <w:tcPr>
            <w:tcW w:w="228" w:type="pct"/>
            <w:vMerge/>
            <w:vAlign w:val="center"/>
          </w:tcPr>
          <w:p w14:paraId="2C12D818" w14:textId="77777777" w:rsidR="003E78AB" w:rsidRDefault="003E78AB">
            <w:pPr>
              <w:spacing w:line="360" w:lineRule="exact"/>
              <w:ind w:firstLineChars="0" w:firstLine="0"/>
              <w:jc w:val="center"/>
              <w:rPr>
                <w:kern w:val="2"/>
                <w:sz w:val="21"/>
                <w:szCs w:val="21"/>
              </w:rPr>
            </w:pPr>
          </w:p>
        </w:tc>
        <w:tc>
          <w:tcPr>
            <w:tcW w:w="380" w:type="pct"/>
            <w:vAlign w:val="center"/>
          </w:tcPr>
          <w:p w14:paraId="69F8E503"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TN</w:t>
            </w:r>
          </w:p>
        </w:tc>
        <w:tc>
          <w:tcPr>
            <w:tcW w:w="363" w:type="pct"/>
            <w:vAlign w:val="center"/>
          </w:tcPr>
          <w:p w14:paraId="0C768B32" w14:textId="77777777" w:rsidR="003E78AB" w:rsidRDefault="00010BF9">
            <w:pPr>
              <w:spacing w:line="360" w:lineRule="exact"/>
              <w:ind w:firstLineChars="0" w:firstLine="0"/>
              <w:jc w:val="center"/>
              <w:textAlignment w:val="center"/>
              <w:rPr>
                <w:kern w:val="2"/>
                <w:sz w:val="21"/>
                <w:szCs w:val="21"/>
              </w:rPr>
            </w:pPr>
            <w:r>
              <w:rPr>
                <w:sz w:val="21"/>
                <w:szCs w:val="21"/>
                <w:lang w:bidi="ar"/>
              </w:rPr>
              <w:t>0.1220</w:t>
            </w:r>
          </w:p>
        </w:tc>
        <w:tc>
          <w:tcPr>
            <w:tcW w:w="383" w:type="pct"/>
            <w:vAlign w:val="center"/>
          </w:tcPr>
          <w:p w14:paraId="3AC6AE3E" w14:textId="77777777" w:rsidR="003E78AB" w:rsidRDefault="00010BF9">
            <w:pPr>
              <w:spacing w:line="360" w:lineRule="exact"/>
              <w:ind w:firstLineChars="0" w:firstLine="0"/>
              <w:jc w:val="center"/>
              <w:textAlignment w:val="center"/>
              <w:rPr>
                <w:kern w:val="2"/>
                <w:sz w:val="21"/>
                <w:szCs w:val="21"/>
              </w:rPr>
            </w:pPr>
            <w:r>
              <w:rPr>
                <w:sz w:val="21"/>
                <w:szCs w:val="21"/>
                <w:lang w:bidi="ar"/>
              </w:rPr>
              <w:t>7.41</w:t>
            </w:r>
          </w:p>
        </w:tc>
        <w:tc>
          <w:tcPr>
            <w:tcW w:w="331" w:type="pct"/>
            <w:vAlign w:val="center"/>
          </w:tcPr>
          <w:p w14:paraId="7317596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60</w:t>
            </w:r>
          </w:p>
        </w:tc>
        <w:tc>
          <w:tcPr>
            <w:tcW w:w="343" w:type="pct"/>
            <w:vAlign w:val="center"/>
          </w:tcPr>
          <w:p w14:paraId="61CD152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2558762B" w14:textId="77777777">
        <w:trPr>
          <w:trHeight w:val="459"/>
          <w:jc w:val="center"/>
        </w:trPr>
        <w:tc>
          <w:tcPr>
            <w:tcW w:w="150" w:type="pct"/>
            <w:vMerge/>
            <w:vAlign w:val="center"/>
          </w:tcPr>
          <w:p w14:paraId="000474A8" w14:textId="77777777" w:rsidR="003E78AB" w:rsidRDefault="003E78AB">
            <w:pPr>
              <w:spacing w:line="360" w:lineRule="exact"/>
              <w:ind w:firstLineChars="0" w:firstLine="0"/>
              <w:jc w:val="center"/>
              <w:rPr>
                <w:kern w:val="2"/>
                <w:sz w:val="21"/>
                <w:szCs w:val="21"/>
              </w:rPr>
            </w:pPr>
          </w:p>
        </w:tc>
        <w:tc>
          <w:tcPr>
            <w:tcW w:w="243" w:type="pct"/>
            <w:vMerge/>
            <w:vAlign w:val="center"/>
          </w:tcPr>
          <w:p w14:paraId="45FBF9B8" w14:textId="77777777" w:rsidR="003E78AB" w:rsidRDefault="003E78AB">
            <w:pPr>
              <w:spacing w:line="360" w:lineRule="exact"/>
              <w:ind w:firstLineChars="0" w:firstLine="0"/>
              <w:jc w:val="center"/>
              <w:rPr>
                <w:kern w:val="2"/>
                <w:sz w:val="21"/>
                <w:szCs w:val="21"/>
              </w:rPr>
            </w:pPr>
          </w:p>
        </w:tc>
        <w:tc>
          <w:tcPr>
            <w:tcW w:w="556" w:type="pct"/>
            <w:vMerge/>
            <w:vAlign w:val="center"/>
          </w:tcPr>
          <w:p w14:paraId="6EA7D385" w14:textId="77777777" w:rsidR="003E78AB" w:rsidRDefault="003E78AB">
            <w:pPr>
              <w:spacing w:line="360" w:lineRule="exact"/>
              <w:ind w:firstLineChars="0" w:firstLine="0"/>
              <w:jc w:val="center"/>
              <w:rPr>
                <w:kern w:val="2"/>
                <w:sz w:val="21"/>
                <w:szCs w:val="21"/>
              </w:rPr>
            </w:pPr>
          </w:p>
        </w:tc>
        <w:tc>
          <w:tcPr>
            <w:tcW w:w="337" w:type="pct"/>
            <w:vMerge/>
            <w:vAlign w:val="center"/>
          </w:tcPr>
          <w:p w14:paraId="376A8E8D" w14:textId="77777777" w:rsidR="003E78AB" w:rsidRDefault="003E78AB">
            <w:pPr>
              <w:spacing w:line="360" w:lineRule="exact"/>
              <w:ind w:firstLineChars="0" w:firstLine="0"/>
              <w:jc w:val="center"/>
              <w:rPr>
                <w:kern w:val="2"/>
                <w:sz w:val="21"/>
                <w:szCs w:val="21"/>
              </w:rPr>
            </w:pPr>
          </w:p>
        </w:tc>
        <w:tc>
          <w:tcPr>
            <w:tcW w:w="384" w:type="pct"/>
            <w:vMerge/>
            <w:vAlign w:val="center"/>
          </w:tcPr>
          <w:p w14:paraId="0DEB8D2B" w14:textId="77777777" w:rsidR="003E78AB" w:rsidRDefault="003E78AB">
            <w:pPr>
              <w:spacing w:line="360" w:lineRule="exact"/>
              <w:ind w:firstLineChars="0" w:firstLine="0"/>
              <w:jc w:val="center"/>
              <w:rPr>
                <w:kern w:val="2"/>
                <w:sz w:val="21"/>
                <w:szCs w:val="21"/>
              </w:rPr>
            </w:pPr>
          </w:p>
        </w:tc>
        <w:tc>
          <w:tcPr>
            <w:tcW w:w="324" w:type="pct"/>
            <w:vMerge/>
            <w:vAlign w:val="center"/>
          </w:tcPr>
          <w:p w14:paraId="20936B36" w14:textId="77777777" w:rsidR="003E78AB" w:rsidRDefault="003E78AB">
            <w:pPr>
              <w:spacing w:line="360" w:lineRule="exact"/>
              <w:ind w:firstLineChars="0" w:firstLine="0"/>
              <w:jc w:val="center"/>
              <w:rPr>
                <w:kern w:val="2"/>
                <w:sz w:val="21"/>
                <w:szCs w:val="21"/>
              </w:rPr>
            </w:pPr>
          </w:p>
        </w:tc>
        <w:tc>
          <w:tcPr>
            <w:tcW w:w="344" w:type="pct"/>
            <w:vMerge/>
            <w:vAlign w:val="center"/>
          </w:tcPr>
          <w:p w14:paraId="5284C01F" w14:textId="77777777" w:rsidR="003E78AB" w:rsidRDefault="003E78AB">
            <w:pPr>
              <w:spacing w:line="360" w:lineRule="exact"/>
              <w:ind w:firstLineChars="0" w:firstLine="0"/>
              <w:jc w:val="center"/>
              <w:rPr>
                <w:kern w:val="2"/>
                <w:sz w:val="21"/>
                <w:szCs w:val="21"/>
              </w:rPr>
            </w:pPr>
          </w:p>
        </w:tc>
        <w:tc>
          <w:tcPr>
            <w:tcW w:w="372" w:type="pct"/>
            <w:vMerge/>
            <w:vAlign w:val="center"/>
          </w:tcPr>
          <w:p w14:paraId="49CB465E" w14:textId="77777777" w:rsidR="003E78AB" w:rsidRDefault="003E78AB">
            <w:pPr>
              <w:spacing w:line="360" w:lineRule="exact"/>
              <w:ind w:firstLineChars="0" w:firstLine="0"/>
              <w:jc w:val="center"/>
              <w:rPr>
                <w:kern w:val="2"/>
                <w:sz w:val="21"/>
                <w:szCs w:val="21"/>
              </w:rPr>
            </w:pPr>
          </w:p>
        </w:tc>
        <w:tc>
          <w:tcPr>
            <w:tcW w:w="256" w:type="pct"/>
            <w:vMerge/>
            <w:vAlign w:val="center"/>
          </w:tcPr>
          <w:p w14:paraId="16576D93" w14:textId="77777777" w:rsidR="003E78AB" w:rsidRDefault="003E78AB">
            <w:pPr>
              <w:spacing w:line="360" w:lineRule="exact"/>
              <w:ind w:firstLineChars="0" w:firstLine="0"/>
              <w:jc w:val="center"/>
              <w:rPr>
                <w:kern w:val="2"/>
                <w:sz w:val="21"/>
                <w:szCs w:val="21"/>
              </w:rPr>
            </w:pPr>
          </w:p>
        </w:tc>
        <w:tc>
          <w:tcPr>
            <w:tcW w:w="228" w:type="pct"/>
            <w:vMerge/>
            <w:vAlign w:val="center"/>
          </w:tcPr>
          <w:p w14:paraId="331369AF" w14:textId="77777777" w:rsidR="003E78AB" w:rsidRDefault="003E78AB">
            <w:pPr>
              <w:spacing w:line="360" w:lineRule="exact"/>
              <w:ind w:firstLineChars="0" w:firstLine="0"/>
              <w:jc w:val="center"/>
              <w:rPr>
                <w:kern w:val="2"/>
                <w:sz w:val="21"/>
                <w:szCs w:val="21"/>
              </w:rPr>
            </w:pPr>
          </w:p>
        </w:tc>
        <w:tc>
          <w:tcPr>
            <w:tcW w:w="380" w:type="pct"/>
            <w:vAlign w:val="center"/>
          </w:tcPr>
          <w:p w14:paraId="0ACA2AC8"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SS</w:t>
            </w:r>
          </w:p>
        </w:tc>
        <w:tc>
          <w:tcPr>
            <w:tcW w:w="363" w:type="pct"/>
            <w:shd w:val="clear" w:color="auto" w:fill="auto"/>
            <w:vAlign w:val="center"/>
          </w:tcPr>
          <w:p w14:paraId="08D7E3B8" w14:textId="77777777" w:rsidR="003E78AB" w:rsidRDefault="00010BF9">
            <w:pPr>
              <w:spacing w:line="360" w:lineRule="exact"/>
              <w:ind w:firstLineChars="0" w:firstLine="0"/>
              <w:jc w:val="center"/>
              <w:textAlignment w:val="center"/>
              <w:rPr>
                <w:sz w:val="21"/>
                <w:szCs w:val="21"/>
                <w:lang w:bidi="ar"/>
              </w:rPr>
            </w:pPr>
            <w:r>
              <w:rPr>
                <w:sz w:val="21"/>
                <w:szCs w:val="21"/>
                <w:lang w:bidi="ar"/>
              </w:rPr>
              <w:t>0.5901</w:t>
            </w:r>
          </w:p>
        </w:tc>
        <w:tc>
          <w:tcPr>
            <w:tcW w:w="383" w:type="pct"/>
            <w:shd w:val="clear" w:color="auto" w:fill="auto"/>
            <w:vAlign w:val="center"/>
          </w:tcPr>
          <w:p w14:paraId="5D47D200" w14:textId="77777777" w:rsidR="003E78AB" w:rsidRDefault="00010BF9">
            <w:pPr>
              <w:spacing w:line="360" w:lineRule="exact"/>
              <w:ind w:firstLineChars="0" w:firstLine="0"/>
              <w:jc w:val="center"/>
              <w:textAlignment w:val="center"/>
              <w:rPr>
                <w:sz w:val="21"/>
                <w:szCs w:val="21"/>
                <w:lang w:bidi="ar"/>
              </w:rPr>
            </w:pPr>
            <w:r>
              <w:rPr>
                <w:sz w:val="21"/>
                <w:szCs w:val="21"/>
                <w:lang w:bidi="ar"/>
              </w:rPr>
              <w:t>35.83</w:t>
            </w:r>
          </w:p>
        </w:tc>
        <w:tc>
          <w:tcPr>
            <w:tcW w:w="331" w:type="pct"/>
            <w:vAlign w:val="center"/>
          </w:tcPr>
          <w:p w14:paraId="275020C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100</w:t>
            </w:r>
          </w:p>
        </w:tc>
        <w:tc>
          <w:tcPr>
            <w:tcW w:w="343" w:type="pct"/>
            <w:vAlign w:val="center"/>
          </w:tcPr>
          <w:p w14:paraId="4805E61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400</w:t>
            </w:r>
          </w:p>
        </w:tc>
      </w:tr>
      <w:tr w:rsidR="003E78AB" w14:paraId="780C3A4B" w14:textId="77777777">
        <w:trPr>
          <w:trHeight w:val="95"/>
          <w:jc w:val="center"/>
        </w:trPr>
        <w:tc>
          <w:tcPr>
            <w:tcW w:w="150" w:type="pct"/>
            <w:vMerge/>
            <w:vAlign w:val="center"/>
          </w:tcPr>
          <w:p w14:paraId="4DBA0E7C" w14:textId="77777777" w:rsidR="003E78AB" w:rsidRDefault="003E78AB">
            <w:pPr>
              <w:spacing w:line="360" w:lineRule="exact"/>
              <w:ind w:firstLineChars="0" w:firstLine="0"/>
              <w:jc w:val="center"/>
              <w:rPr>
                <w:kern w:val="2"/>
                <w:sz w:val="21"/>
                <w:szCs w:val="21"/>
              </w:rPr>
            </w:pPr>
          </w:p>
        </w:tc>
        <w:tc>
          <w:tcPr>
            <w:tcW w:w="243" w:type="pct"/>
            <w:vMerge/>
            <w:vAlign w:val="center"/>
          </w:tcPr>
          <w:p w14:paraId="75CA9418" w14:textId="77777777" w:rsidR="003E78AB" w:rsidRDefault="003E78AB">
            <w:pPr>
              <w:spacing w:line="360" w:lineRule="exact"/>
              <w:ind w:firstLineChars="0" w:firstLine="0"/>
              <w:jc w:val="center"/>
              <w:rPr>
                <w:kern w:val="2"/>
                <w:sz w:val="21"/>
                <w:szCs w:val="21"/>
              </w:rPr>
            </w:pPr>
          </w:p>
        </w:tc>
        <w:tc>
          <w:tcPr>
            <w:tcW w:w="556" w:type="pct"/>
            <w:vMerge/>
            <w:vAlign w:val="center"/>
          </w:tcPr>
          <w:p w14:paraId="77A04FE1" w14:textId="77777777" w:rsidR="003E78AB" w:rsidRDefault="003E78AB">
            <w:pPr>
              <w:spacing w:line="360" w:lineRule="exact"/>
              <w:ind w:firstLineChars="0" w:firstLine="0"/>
              <w:jc w:val="center"/>
              <w:rPr>
                <w:kern w:val="2"/>
                <w:sz w:val="21"/>
                <w:szCs w:val="21"/>
              </w:rPr>
            </w:pPr>
          </w:p>
        </w:tc>
        <w:tc>
          <w:tcPr>
            <w:tcW w:w="337" w:type="pct"/>
            <w:vMerge/>
            <w:vAlign w:val="center"/>
          </w:tcPr>
          <w:p w14:paraId="5C2571FC" w14:textId="77777777" w:rsidR="003E78AB" w:rsidRDefault="003E78AB">
            <w:pPr>
              <w:spacing w:line="360" w:lineRule="exact"/>
              <w:ind w:firstLineChars="0" w:firstLine="0"/>
              <w:jc w:val="center"/>
              <w:rPr>
                <w:kern w:val="2"/>
                <w:sz w:val="21"/>
                <w:szCs w:val="21"/>
              </w:rPr>
            </w:pPr>
          </w:p>
        </w:tc>
        <w:tc>
          <w:tcPr>
            <w:tcW w:w="384" w:type="pct"/>
            <w:vMerge/>
            <w:vAlign w:val="center"/>
          </w:tcPr>
          <w:p w14:paraId="2392A525" w14:textId="77777777" w:rsidR="003E78AB" w:rsidRDefault="003E78AB">
            <w:pPr>
              <w:spacing w:line="360" w:lineRule="exact"/>
              <w:ind w:firstLineChars="0" w:firstLine="0"/>
              <w:jc w:val="center"/>
              <w:rPr>
                <w:kern w:val="2"/>
                <w:sz w:val="21"/>
                <w:szCs w:val="21"/>
              </w:rPr>
            </w:pPr>
          </w:p>
        </w:tc>
        <w:tc>
          <w:tcPr>
            <w:tcW w:w="324" w:type="pct"/>
            <w:vMerge/>
            <w:vAlign w:val="center"/>
          </w:tcPr>
          <w:p w14:paraId="4BD632B0" w14:textId="77777777" w:rsidR="003E78AB" w:rsidRDefault="003E78AB">
            <w:pPr>
              <w:spacing w:line="360" w:lineRule="exact"/>
              <w:ind w:firstLineChars="0" w:firstLine="0"/>
              <w:jc w:val="center"/>
              <w:rPr>
                <w:kern w:val="2"/>
                <w:sz w:val="21"/>
                <w:szCs w:val="21"/>
              </w:rPr>
            </w:pPr>
          </w:p>
        </w:tc>
        <w:tc>
          <w:tcPr>
            <w:tcW w:w="344" w:type="pct"/>
            <w:vMerge/>
            <w:vAlign w:val="center"/>
          </w:tcPr>
          <w:p w14:paraId="73637741" w14:textId="77777777" w:rsidR="003E78AB" w:rsidRDefault="003E78AB">
            <w:pPr>
              <w:spacing w:line="360" w:lineRule="exact"/>
              <w:ind w:firstLineChars="0" w:firstLine="0"/>
              <w:jc w:val="center"/>
              <w:rPr>
                <w:kern w:val="2"/>
                <w:sz w:val="21"/>
                <w:szCs w:val="21"/>
              </w:rPr>
            </w:pPr>
          </w:p>
        </w:tc>
        <w:tc>
          <w:tcPr>
            <w:tcW w:w="372" w:type="pct"/>
            <w:vMerge/>
            <w:vAlign w:val="center"/>
          </w:tcPr>
          <w:p w14:paraId="49E2F957" w14:textId="77777777" w:rsidR="003E78AB" w:rsidRDefault="003E78AB">
            <w:pPr>
              <w:spacing w:line="360" w:lineRule="exact"/>
              <w:ind w:firstLineChars="0" w:firstLine="0"/>
              <w:jc w:val="center"/>
              <w:rPr>
                <w:kern w:val="2"/>
                <w:sz w:val="21"/>
                <w:szCs w:val="21"/>
              </w:rPr>
            </w:pPr>
          </w:p>
        </w:tc>
        <w:tc>
          <w:tcPr>
            <w:tcW w:w="256" w:type="pct"/>
            <w:vMerge/>
            <w:vAlign w:val="center"/>
          </w:tcPr>
          <w:p w14:paraId="23845AD8" w14:textId="77777777" w:rsidR="003E78AB" w:rsidRDefault="003E78AB">
            <w:pPr>
              <w:spacing w:line="360" w:lineRule="exact"/>
              <w:ind w:firstLineChars="0" w:firstLine="0"/>
              <w:jc w:val="center"/>
              <w:rPr>
                <w:kern w:val="2"/>
                <w:sz w:val="21"/>
                <w:szCs w:val="21"/>
              </w:rPr>
            </w:pPr>
          </w:p>
        </w:tc>
        <w:tc>
          <w:tcPr>
            <w:tcW w:w="228" w:type="pct"/>
            <w:vMerge/>
            <w:vAlign w:val="center"/>
          </w:tcPr>
          <w:p w14:paraId="279DDAF3"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6DE564E1" w14:textId="77777777" w:rsidR="003E78AB" w:rsidRDefault="00010BF9">
            <w:pPr>
              <w:spacing w:line="360" w:lineRule="exact"/>
              <w:ind w:firstLineChars="0" w:firstLine="0"/>
              <w:jc w:val="center"/>
              <w:textAlignment w:val="center"/>
              <w:rPr>
                <w:kern w:val="2"/>
                <w:sz w:val="21"/>
                <w:szCs w:val="21"/>
              </w:rPr>
            </w:pPr>
            <w:r>
              <w:rPr>
                <w:sz w:val="21"/>
                <w:szCs w:val="21"/>
                <w:lang w:bidi="ar"/>
              </w:rPr>
              <w:t>BOD</w:t>
            </w:r>
            <w:r>
              <w:rPr>
                <w:sz w:val="21"/>
                <w:szCs w:val="21"/>
                <w:vertAlign w:val="subscript"/>
                <w:lang w:bidi="ar"/>
              </w:rPr>
              <w:t>5</w:t>
            </w:r>
          </w:p>
        </w:tc>
        <w:tc>
          <w:tcPr>
            <w:tcW w:w="363" w:type="pct"/>
            <w:shd w:val="clear" w:color="auto" w:fill="auto"/>
            <w:vAlign w:val="center"/>
          </w:tcPr>
          <w:p w14:paraId="145C0C51" w14:textId="77777777" w:rsidR="003E78AB" w:rsidRDefault="00010BF9">
            <w:pPr>
              <w:spacing w:line="360" w:lineRule="exact"/>
              <w:ind w:firstLineChars="0" w:firstLine="0"/>
              <w:jc w:val="center"/>
              <w:textAlignment w:val="center"/>
              <w:rPr>
                <w:kern w:val="2"/>
                <w:sz w:val="21"/>
                <w:szCs w:val="21"/>
              </w:rPr>
            </w:pPr>
            <w:r>
              <w:rPr>
                <w:sz w:val="21"/>
                <w:szCs w:val="21"/>
                <w:lang w:bidi="ar"/>
              </w:rPr>
              <w:t>0.4219</w:t>
            </w:r>
          </w:p>
        </w:tc>
        <w:tc>
          <w:tcPr>
            <w:tcW w:w="383" w:type="pct"/>
            <w:shd w:val="clear" w:color="auto" w:fill="auto"/>
            <w:vAlign w:val="center"/>
          </w:tcPr>
          <w:p w14:paraId="2A514D94" w14:textId="77777777" w:rsidR="003E78AB" w:rsidRDefault="00010BF9">
            <w:pPr>
              <w:spacing w:line="360" w:lineRule="exact"/>
              <w:ind w:firstLineChars="0" w:firstLine="0"/>
              <w:jc w:val="center"/>
              <w:textAlignment w:val="center"/>
              <w:rPr>
                <w:kern w:val="2"/>
                <w:sz w:val="21"/>
                <w:szCs w:val="21"/>
              </w:rPr>
            </w:pPr>
            <w:r>
              <w:rPr>
                <w:sz w:val="21"/>
                <w:szCs w:val="21"/>
                <w:lang w:bidi="ar"/>
              </w:rPr>
              <w:t>25.62</w:t>
            </w:r>
          </w:p>
        </w:tc>
        <w:tc>
          <w:tcPr>
            <w:tcW w:w="331" w:type="pct"/>
            <w:vAlign w:val="center"/>
          </w:tcPr>
          <w:p w14:paraId="0C19EB8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596E505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300</w:t>
            </w:r>
          </w:p>
        </w:tc>
      </w:tr>
      <w:tr w:rsidR="003E78AB" w14:paraId="28ADEAAF" w14:textId="77777777">
        <w:trPr>
          <w:trHeight w:val="544"/>
          <w:jc w:val="center"/>
        </w:trPr>
        <w:tc>
          <w:tcPr>
            <w:tcW w:w="150" w:type="pct"/>
            <w:vMerge/>
            <w:vAlign w:val="center"/>
          </w:tcPr>
          <w:p w14:paraId="08254DA7" w14:textId="77777777" w:rsidR="003E78AB" w:rsidRDefault="003E78AB">
            <w:pPr>
              <w:spacing w:line="360" w:lineRule="exact"/>
              <w:ind w:firstLineChars="0" w:firstLine="0"/>
              <w:jc w:val="center"/>
              <w:rPr>
                <w:kern w:val="2"/>
                <w:sz w:val="21"/>
                <w:szCs w:val="21"/>
              </w:rPr>
            </w:pPr>
          </w:p>
        </w:tc>
        <w:tc>
          <w:tcPr>
            <w:tcW w:w="243" w:type="pct"/>
            <w:vMerge/>
            <w:vAlign w:val="center"/>
          </w:tcPr>
          <w:p w14:paraId="1A20C3A1" w14:textId="77777777" w:rsidR="003E78AB" w:rsidRDefault="003E78AB">
            <w:pPr>
              <w:spacing w:line="360" w:lineRule="exact"/>
              <w:ind w:firstLineChars="0" w:firstLine="0"/>
              <w:jc w:val="center"/>
              <w:rPr>
                <w:kern w:val="2"/>
                <w:sz w:val="21"/>
                <w:szCs w:val="21"/>
              </w:rPr>
            </w:pPr>
          </w:p>
        </w:tc>
        <w:tc>
          <w:tcPr>
            <w:tcW w:w="556" w:type="pct"/>
            <w:vMerge/>
            <w:vAlign w:val="center"/>
          </w:tcPr>
          <w:p w14:paraId="75FDC7A9" w14:textId="77777777" w:rsidR="003E78AB" w:rsidRDefault="003E78AB">
            <w:pPr>
              <w:spacing w:line="360" w:lineRule="exact"/>
              <w:ind w:firstLineChars="0" w:firstLine="0"/>
              <w:jc w:val="center"/>
              <w:rPr>
                <w:kern w:val="2"/>
                <w:sz w:val="21"/>
                <w:szCs w:val="21"/>
              </w:rPr>
            </w:pPr>
          </w:p>
        </w:tc>
        <w:tc>
          <w:tcPr>
            <w:tcW w:w="337" w:type="pct"/>
            <w:vMerge/>
            <w:vAlign w:val="center"/>
          </w:tcPr>
          <w:p w14:paraId="23E185DF" w14:textId="77777777" w:rsidR="003E78AB" w:rsidRDefault="003E78AB">
            <w:pPr>
              <w:spacing w:line="360" w:lineRule="exact"/>
              <w:ind w:firstLineChars="0" w:firstLine="0"/>
              <w:jc w:val="center"/>
              <w:rPr>
                <w:kern w:val="2"/>
                <w:sz w:val="21"/>
                <w:szCs w:val="21"/>
              </w:rPr>
            </w:pPr>
          </w:p>
        </w:tc>
        <w:tc>
          <w:tcPr>
            <w:tcW w:w="384" w:type="pct"/>
            <w:vMerge/>
            <w:vAlign w:val="center"/>
          </w:tcPr>
          <w:p w14:paraId="1DD99002" w14:textId="77777777" w:rsidR="003E78AB" w:rsidRDefault="003E78AB">
            <w:pPr>
              <w:spacing w:line="360" w:lineRule="exact"/>
              <w:ind w:firstLineChars="0" w:firstLine="0"/>
              <w:jc w:val="center"/>
              <w:rPr>
                <w:kern w:val="2"/>
                <w:sz w:val="21"/>
                <w:szCs w:val="21"/>
              </w:rPr>
            </w:pPr>
          </w:p>
        </w:tc>
        <w:tc>
          <w:tcPr>
            <w:tcW w:w="324" w:type="pct"/>
            <w:vMerge w:val="restart"/>
            <w:vAlign w:val="center"/>
          </w:tcPr>
          <w:p w14:paraId="3E7667F4" w14:textId="77777777" w:rsidR="003E78AB" w:rsidRDefault="00010BF9">
            <w:pPr>
              <w:spacing w:line="360" w:lineRule="exact"/>
              <w:ind w:firstLineChars="0" w:firstLine="0"/>
              <w:jc w:val="center"/>
              <w:rPr>
                <w:kern w:val="2"/>
                <w:sz w:val="21"/>
                <w:szCs w:val="21"/>
              </w:rPr>
            </w:pPr>
            <w:r>
              <w:rPr>
                <w:rFonts w:hint="eastAsia"/>
                <w:kern w:val="2"/>
                <w:sz w:val="21"/>
                <w:szCs w:val="21"/>
              </w:rPr>
              <w:t>TW003</w:t>
            </w:r>
          </w:p>
        </w:tc>
        <w:tc>
          <w:tcPr>
            <w:tcW w:w="344" w:type="pct"/>
            <w:vMerge w:val="restart"/>
            <w:vAlign w:val="center"/>
          </w:tcPr>
          <w:p w14:paraId="5F7EE391" w14:textId="77777777" w:rsidR="003E78AB" w:rsidRDefault="00010BF9">
            <w:pPr>
              <w:spacing w:line="360" w:lineRule="exact"/>
              <w:ind w:firstLineChars="0" w:firstLine="0"/>
              <w:jc w:val="center"/>
              <w:rPr>
                <w:kern w:val="2"/>
                <w:sz w:val="21"/>
                <w:szCs w:val="21"/>
              </w:rPr>
            </w:pPr>
            <w:r>
              <w:rPr>
                <w:rFonts w:hint="eastAsia"/>
                <w:kern w:val="2"/>
                <w:sz w:val="21"/>
                <w:szCs w:val="21"/>
              </w:rPr>
              <w:t>隔油</w:t>
            </w:r>
            <w:r>
              <w:rPr>
                <w:rFonts w:hint="eastAsia"/>
                <w:kern w:val="2"/>
                <w:sz w:val="21"/>
                <w:szCs w:val="21"/>
              </w:rPr>
              <w:t>+</w:t>
            </w:r>
            <w:r>
              <w:rPr>
                <w:rFonts w:hint="eastAsia"/>
                <w:kern w:val="2"/>
                <w:sz w:val="21"/>
                <w:szCs w:val="21"/>
              </w:rPr>
              <w:t>化粪池</w:t>
            </w:r>
          </w:p>
        </w:tc>
        <w:tc>
          <w:tcPr>
            <w:tcW w:w="372" w:type="pct"/>
            <w:vMerge w:val="restart"/>
            <w:vAlign w:val="center"/>
          </w:tcPr>
          <w:p w14:paraId="21ED090B" w14:textId="77777777" w:rsidR="003E78AB" w:rsidRDefault="00010BF9">
            <w:pPr>
              <w:spacing w:line="360" w:lineRule="exact"/>
              <w:ind w:firstLineChars="0" w:firstLine="0"/>
              <w:jc w:val="center"/>
              <w:rPr>
                <w:kern w:val="2"/>
                <w:sz w:val="21"/>
                <w:szCs w:val="21"/>
              </w:rPr>
            </w:pPr>
            <w:r>
              <w:rPr>
                <w:rFonts w:hint="eastAsia"/>
                <w:kern w:val="2"/>
                <w:sz w:val="21"/>
                <w:szCs w:val="21"/>
              </w:rPr>
              <w:t>沉淀</w:t>
            </w:r>
          </w:p>
        </w:tc>
        <w:tc>
          <w:tcPr>
            <w:tcW w:w="256" w:type="pct"/>
            <w:vMerge/>
            <w:vAlign w:val="center"/>
          </w:tcPr>
          <w:p w14:paraId="1D80BCE5" w14:textId="77777777" w:rsidR="003E78AB" w:rsidRDefault="003E78AB">
            <w:pPr>
              <w:spacing w:line="360" w:lineRule="exact"/>
              <w:ind w:firstLineChars="0" w:firstLine="0"/>
              <w:jc w:val="center"/>
              <w:rPr>
                <w:kern w:val="2"/>
                <w:sz w:val="21"/>
                <w:szCs w:val="21"/>
              </w:rPr>
            </w:pPr>
          </w:p>
        </w:tc>
        <w:tc>
          <w:tcPr>
            <w:tcW w:w="228" w:type="pct"/>
            <w:vMerge/>
            <w:vAlign w:val="center"/>
          </w:tcPr>
          <w:p w14:paraId="6EDB651F"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71C33E7C" w14:textId="77777777" w:rsidR="003E78AB" w:rsidRDefault="00010BF9">
            <w:pPr>
              <w:spacing w:line="360" w:lineRule="exact"/>
              <w:ind w:firstLineChars="0" w:firstLine="0"/>
              <w:jc w:val="center"/>
              <w:textAlignment w:val="center"/>
              <w:rPr>
                <w:kern w:val="2"/>
                <w:sz w:val="21"/>
                <w:szCs w:val="21"/>
              </w:rPr>
            </w:pPr>
            <w:r>
              <w:rPr>
                <w:sz w:val="21"/>
                <w:szCs w:val="21"/>
                <w:lang w:bidi="ar"/>
              </w:rPr>
              <w:t>TP</w:t>
            </w:r>
          </w:p>
        </w:tc>
        <w:tc>
          <w:tcPr>
            <w:tcW w:w="363" w:type="pct"/>
            <w:vAlign w:val="center"/>
          </w:tcPr>
          <w:p w14:paraId="6A410E5C" w14:textId="77777777" w:rsidR="003E78AB" w:rsidRDefault="00010BF9">
            <w:pPr>
              <w:spacing w:line="360" w:lineRule="exact"/>
              <w:ind w:firstLineChars="0" w:firstLine="0"/>
              <w:jc w:val="center"/>
              <w:textAlignment w:val="center"/>
              <w:rPr>
                <w:kern w:val="2"/>
                <w:sz w:val="21"/>
                <w:szCs w:val="21"/>
              </w:rPr>
            </w:pPr>
            <w:r>
              <w:rPr>
                <w:sz w:val="21"/>
                <w:szCs w:val="21"/>
                <w:lang w:bidi="ar"/>
              </w:rPr>
              <w:t>0.0196</w:t>
            </w:r>
          </w:p>
        </w:tc>
        <w:tc>
          <w:tcPr>
            <w:tcW w:w="383" w:type="pct"/>
            <w:vAlign w:val="center"/>
          </w:tcPr>
          <w:p w14:paraId="5CD0CE3D" w14:textId="77777777" w:rsidR="003E78AB" w:rsidRDefault="00010BF9">
            <w:pPr>
              <w:spacing w:line="360" w:lineRule="exact"/>
              <w:ind w:firstLineChars="0" w:firstLine="0"/>
              <w:jc w:val="center"/>
              <w:textAlignment w:val="center"/>
              <w:rPr>
                <w:kern w:val="2"/>
                <w:sz w:val="21"/>
                <w:szCs w:val="21"/>
              </w:rPr>
            </w:pPr>
            <w:r>
              <w:rPr>
                <w:sz w:val="21"/>
                <w:szCs w:val="21"/>
                <w:lang w:bidi="ar"/>
              </w:rPr>
              <w:t>1.19</w:t>
            </w:r>
          </w:p>
        </w:tc>
        <w:tc>
          <w:tcPr>
            <w:tcW w:w="331" w:type="pct"/>
            <w:vAlign w:val="center"/>
          </w:tcPr>
          <w:p w14:paraId="5184ECC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w:t>
            </w:r>
          </w:p>
        </w:tc>
        <w:tc>
          <w:tcPr>
            <w:tcW w:w="343" w:type="pct"/>
            <w:vAlign w:val="center"/>
          </w:tcPr>
          <w:p w14:paraId="737D4AD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610A9370" w14:textId="77777777">
        <w:trPr>
          <w:trHeight w:val="544"/>
          <w:jc w:val="center"/>
        </w:trPr>
        <w:tc>
          <w:tcPr>
            <w:tcW w:w="150" w:type="pct"/>
            <w:vMerge/>
            <w:vAlign w:val="center"/>
          </w:tcPr>
          <w:p w14:paraId="331112B8" w14:textId="77777777" w:rsidR="003E78AB" w:rsidRDefault="003E78AB">
            <w:pPr>
              <w:spacing w:line="360" w:lineRule="exact"/>
              <w:ind w:firstLineChars="0" w:firstLine="0"/>
              <w:jc w:val="center"/>
              <w:rPr>
                <w:kern w:val="2"/>
                <w:sz w:val="21"/>
                <w:szCs w:val="21"/>
              </w:rPr>
            </w:pPr>
          </w:p>
        </w:tc>
        <w:tc>
          <w:tcPr>
            <w:tcW w:w="243" w:type="pct"/>
            <w:vMerge/>
            <w:vAlign w:val="center"/>
          </w:tcPr>
          <w:p w14:paraId="3107D9D6" w14:textId="77777777" w:rsidR="003E78AB" w:rsidRDefault="003E78AB">
            <w:pPr>
              <w:spacing w:line="360" w:lineRule="exact"/>
              <w:ind w:firstLineChars="0" w:firstLine="0"/>
              <w:jc w:val="center"/>
              <w:rPr>
                <w:kern w:val="2"/>
                <w:sz w:val="21"/>
                <w:szCs w:val="21"/>
              </w:rPr>
            </w:pPr>
          </w:p>
        </w:tc>
        <w:tc>
          <w:tcPr>
            <w:tcW w:w="556" w:type="pct"/>
            <w:vMerge/>
            <w:vAlign w:val="center"/>
          </w:tcPr>
          <w:p w14:paraId="153CBB0A" w14:textId="77777777" w:rsidR="003E78AB" w:rsidRDefault="003E78AB">
            <w:pPr>
              <w:spacing w:line="360" w:lineRule="exact"/>
              <w:ind w:firstLineChars="0" w:firstLine="0"/>
              <w:jc w:val="center"/>
              <w:rPr>
                <w:kern w:val="2"/>
                <w:sz w:val="21"/>
                <w:szCs w:val="21"/>
              </w:rPr>
            </w:pPr>
          </w:p>
        </w:tc>
        <w:tc>
          <w:tcPr>
            <w:tcW w:w="337" w:type="pct"/>
            <w:vMerge/>
            <w:vAlign w:val="center"/>
          </w:tcPr>
          <w:p w14:paraId="55E02F5F" w14:textId="77777777" w:rsidR="003E78AB" w:rsidRDefault="003E78AB">
            <w:pPr>
              <w:spacing w:line="360" w:lineRule="exact"/>
              <w:ind w:firstLineChars="0" w:firstLine="0"/>
              <w:jc w:val="center"/>
              <w:rPr>
                <w:kern w:val="2"/>
                <w:sz w:val="21"/>
                <w:szCs w:val="21"/>
              </w:rPr>
            </w:pPr>
          </w:p>
        </w:tc>
        <w:tc>
          <w:tcPr>
            <w:tcW w:w="384" w:type="pct"/>
            <w:vMerge/>
            <w:vAlign w:val="center"/>
          </w:tcPr>
          <w:p w14:paraId="148626F5" w14:textId="77777777" w:rsidR="003E78AB" w:rsidRDefault="003E78AB">
            <w:pPr>
              <w:spacing w:line="360" w:lineRule="exact"/>
              <w:ind w:firstLineChars="0" w:firstLine="0"/>
              <w:jc w:val="center"/>
              <w:rPr>
                <w:kern w:val="2"/>
                <w:sz w:val="21"/>
                <w:szCs w:val="21"/>
              </w:rPr>
            </w:pPr>
          </w:p>
        </w:tc>
        <w:tc>
          <w:tcPr>
            <w:tcW w:w="324" w:type="pct"/>
            <w:vMerge/>
            <w:vAlign w:val="center"/>
          </w:tcPr>
          <w:p w14:paraId="79913781" w14:textId="77777777" w:rsidR="003E78AB" w:rsidRDefault="003E78AB">
            <w:pPr>
              <w:spacing w:line="360" w:lineRule="exact"/>
              <w:ind w:firstLineChars="0" w:firstLine="0"/>
              <w:jc w:val="center"/>
              <w:rPr>
                <w:kern w:val="2"/>
                <w:sz w:val="21"/>
                <w:szCs w:val="21"/>
              </w:rPr>
            </w:pPr>
          </w:p>
        </w:tc>
        <w:tc>
          <w:tcPr>
            <w:tcW w:w="344" w:type="pct"/>
            <w:vMerge/>
            <w:vAlign w:val="center"/>
          </w:tcPr>
          <w:p w14:paraId="530B3A09" w14:textId="77777777" w:rsidR="003E78AB" w:rsidRDefault="003E78AB">
            <w:pPr>
              <w:spacing w:line="360" w:lineRule="exact"/>
              <w:ind w:firstLineChars="0" w:firstLine="0"/>
              <w:jc w:val="center"/>
              <w:rPr>
                <w:kern w:val="2"/>
                <w:sz w:val="21"/>
                <w:szCs w:val="21"/>
              </w:rPr>
            </w:pPr>
          </w:p>
        </w:tc>
        <w:tc>
          <w:tcPr>
            <w:tcW w:w="372" w:type="pct"/>
            <w:vMerge/>
            <w:vAlign w:val="center"/>
          </w:tcPr>
          <w:p w14:paraId="70BE53F1" w14:textId="77777777" w:rsidR="003E78AB" w:rsidRDefault="003E78AB">
            <w:pPr>
              <w:spacing w:line="360" w:lineRule="exact"/>
              <w:ind w:firstLineChars="0" w:firstLine="0"/>
              <w:jc w:val="center"/>
              <w:rPr>
                <w:kern w:val="2"/>
                <w:sz w:val="21"/>
                <w:szCs w:val="21"/>
              </w:rPr>
            </w:pPr>
          </w:p>
        </w:tc>
        <w:tc>
          <w:tcPr>
            <w:tcW w:w="256" w:type="pct"/>
            <w:vMerge/>
            <w:vAlign w:val="center"/>
          </w:tcPr>
          <w:p w14:paraId="50A73B3D" w14:textId="77777777" w:rsidR="003E78AB" w:rsidRDefault="003E78AB">
            <w:pPr>
              <w:spacing w:line="360" w:lineRule="exact"/>
              <w:ind w:firstLineChars="0" w:firstLine="0"/>
              <w:jc w:val="center"/>
              <w:rPr>
                <w:kern w:val="2"/>
                <w:sz w:val="21"/>
                <w:szCs w:val="21"/>
              </w:rPr>
            </w:pPr>
          </w:p>
        </w:tc>
        <w:tc>
          <w:tcPr>
            <w:tcW w:w="228" w:type="pct"/>
            <w:vMerge/>
            <w:vAlign w:val="center"/>
          </w:tcPr>
          <w:p w14:paraId="3A986236"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02FC7D4C"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含盐量</w:t>
            </w:r>
          </w:p>
        </w:tc>
        <w:tc>
          <w:tcPr>
            <w:tcW w:w="363" w:type="pct"/>
            <w:shd w:val="clear" w:color="auto" w:fill="auto"/>
            <w:vAlign w:val="center"/>
          </w:tcPr>
          <w:p w14:paraId="2B5F919F" w14:textId="77777777" w:rsidR="003E78AB" w:rsidRDefault="00010BF9">
            <w:pPr>
              <w:spacing w:line="360" w:lineRule="exact"/>
              <w:ind w:firstLineChars="0" w:firstLine="0"/>
              <w:jc w:val="center"/>
              <w:textAlignment w:val="center"/>
              <w:rPr>
                <w:sz w:val="21"/>
                <w:szCs w:val="21"/>
                <w:lang w:bidi="ar"/>
              </w:rPr>
            </w:pPr>
            <w:r>
              <w:rPr>
                <w:sz w:val="21"/>
                <w:szCs w:val="21"/>
                <w:lang w:bidi="ar"/>
              </w:rPr>
              <w:t>13.7757</w:t>
            </w:r>
          </w:p>
        </w:tc>
        <w:tc>
          <w:tcPr>
            <w:tcW w:w="383" w:type="pct"/>
            <w:shd w:val="clear" w:color="auto" w:fill="auto"/>
            <w:vAlign w:val="center"/>
          </w:tcPr>
          <w:p w14:paraId="0C623F68" w14:textId="77777777" w:rsidR="003E78AB" w:rsidRDefault="00010BF9">
            <w:pPr>
              <w:spacing w:line="360" w:lineRule="exact"/>
              <w:ind w:firstLineChars="0" w:firstLine="0"/>
              <w:jc w:val="center"/>
              <w:textAlignment w:val="center"/>
              <w:rPr>
                <w:sz w:val="21"/>
                <w:szCs w:val="21"/>
                <w:lang w:bidi="ar"/>
              </w:rPr>
            </w:pPr>
            <w:r>
              <w:rPr>
                <w:sz w:val="21"/>
                <w:szCs w:val="21"/>
                <w:lang w:bidi="ar"/>
              </w:rPr>
              <w:t>836.49</w:t>
            </w:r>
          </w:p>
        </w:tc>
        <w:tc>
          <w:tcPr>
            <w:tcW w:w="331" w:type="pct"/>
            <w:vAlign w:val="center"/>
          </w:tcPr>
          <w:p w14:paraId="30273D9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6C71B3C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14DCFA16" w14:textId="77777777">
        <w:trPr>
          <w:trHeight w:val="495"/>
          <w:jc w:val="center"/>
        </w:trPr>
        <w:tc>
          <w:tcPr>
            <w:tcW w:w="150" w:type="pct"/>
            <w:vMerge/>
            <w:vAlign w:val="center"/>
          </w:tcPr>
          <w:p w14:paraId="6DC707BA" w14:textId="77777777" w:rsidR="003E78AB" w:rsidRDefault="003E78AB">
            <w:pPr>
              <w:spacing w:line="360" w:lineRule="exact"/>
              <w:ind w:firstLineChars="0" w:firstLine="0"/>
              <w:jc w:val="center"/>
              <w:rPr>
                <w:kern w:val="2"/>
                <w:sz w:val="21"/>
                <w:szCs w:val="21"/>
              </w:rPr>
            </w:pPr>
          </w:p>
        </w:tc>
        <w:tc>
          <w:tcPr>
            <w:tcW w:w="243" w:type="pct"/>
            <w:vMerge/>
            <w:vAlign w:val="center"/>
          </w:tcPr>
          <w:p w14:paraId="078054D3" w14:textId="77777777" w:rsidR="003E78AB" w:rsidRDefault="003E78AB">
            <w:pPr>
              <w:spacing w:line="360" w:lineRule="exact"/>
              <w:ind w:firstLineChars="0" w:firstLine="0"/>
              <w:jc w:val="center"/>
              <w:rPr>
                <w:kern w:val="2"/>
                <w:sz w:val="21"/>
                <w:szCs w:val="21"/>
              </w:rPr>
            </w:pPr>
          </w:p>
        </w:tc>
        <w:tc>
          <w:tcPr>
            <w:tcW w:w="556" w:type="pct"/>
            <w:vMerge/>
            <w:vAlign w:val="center"/>
          </w:tcPr>
          <w:p w14:paraId="6142C5A4" w14:textId="77777777" w:rsidR="003E78AB" w:rsidRDefault="003E78AB">
            <w:pPr>
              <w:spacing w:line="360" w:lineRule="exact"/>
              <w:ind w:firstLineChars="0" w:firstLine="0"/>
              <w:jc w:val="center"/>
              <w:rPr>
                <w:kern w:val="2"/>
                <w:sz w:val="21"/>
                <w:szCs w:val="21"/>
              </w:rPr>
            </w:pPr>
          </w:p>
        </w:tc>
        <w:tc>
          <w:tcPr>
            <w:tcW w:w="337" w:type="pct"/>
            <w:vMerge/>
            <w:vAlign w:val="center"/>
          </w:tcPr>
          <w:p w14:paraId="59A51E1C" w14:textId="77777777" w:rsidR="003E78AB" w:rsidRDefault="003E78AB">
            <w:pPr>
              <w:spacing w:line="360" w:lineRule="exact"/>
              <w:ind w:firstLineChars="0" w:firstLine="0"/>
              <w:jc w:val="center"/>
              <w:rPr>
                <w:kern w:val="2"/>
                <w:sz w:val="21"/>
                <w:szCs w:val="21"/>
              </w:rPr>
            </w:pPr>
          </w:p>
        </w:tc>
        <w:tc>
          <w:tcPr>
            <w:tcW w:w="384" w:type="pct"/>
            <w:vMerge/>
            <w:vAlign w:val="center"/>
          </w:tcPr>
          <w:p w14:paraId="2E8109D7" w14:textId="77777777" w:rsidR="003E78AB" w:rsidRDefault="003E78AB">
            <w:pPr>
              <w:spacing w:line="360" w:lineRule="exact"/>
              <w:ind w:firstLineChars="0" w:firstLine="0"/>
              <w:jc w:val="center"/>
              <w:rPr>
                <w:kern w:val="2"/>
                <w:sz w:val="21"/>
                <w:szCs w:val="21"/>
              </w:rPr>
            </w:pPr>
          </w:p>
        </w:tc>
        <w:tc>
          <w:tcPr>
            <w:tcW w:w="324" w:type="pct"/>
            <w:vMerge/>
            <w:vAlign w:val="center"/>
          </w:tcPr>
          <w:p w14:paraId="276345A3" w14:textId="77777777" w:rsidR="003E78AB" w:rsidRDefault="003E78AB">
            <w:pPr>
              <w:spacing w:line="360" w:lineRule="exact"/>
              <w:ind w:firstLineChars="0" w:firstLine="0"/>
              <w:jc w:val="center"/>
              <w:rPr>
                <w:kern w:val="2"/>
                <w:sz w:val="21"/>
                <w:szCs w:val="21"/>
              </w:rPr>
            </w:pPr>
          </w:p>
        </w:tc>
        <w:tc>
          <w:tcPr>
            <w:tcW w:w="344" w:type="pct"/>
            <w:vMerge/>
            <w:vAlign w:val="center"/>
          </w:tcPr>
          <w:p w14:paraId="26735176" w14:textId="77777777" w:rsidR="003E78AB" w:rsidRDefault="003E78AB">
            <w:pPr>
              <w:spacing w:line="360" w:lineRule="exact"/>
              <w:ind w:firstLineChars="0" w:firstLine="0"/>
              <w:jc w:val="center"/>
              <w:rPr>
                <w:kern w:val="2"/>
                <w:sz w:val="21"/>
                <w:szCs w:val="21"/>
              </w:rPr>
            </w:pPr>
          </w:p>
        </w:tc>
        <w:tc>
          <w:tcPr>
            <w:tcW w:w="372" w:type="pct"/>
            <w:vMerge/>
            <w:vAlign w:val="center"/>
          </w:tcPr>
          <w:p w14:paraId="3108EE24" w14:textId="77777777" w:rsidR="003E78AB" w:rsidRDefault="003E78AB">
            <w:pPr>
              <w:spacing w:line="360" w:lineRule="exact"/>
              <w:ind w:firstLineChars="0" w:firstLine="0"/>
              <w:jc w:val="center"/>
              <w:rPr>
                <w:kern w:val="2"/>
                <w:sz w:val="21"/>
                <w:szCs w:val="21"/>
              </w:rPr>
            </w:pPr>
          </w:p>
        </w:tc>
        <w:tc>
          <w:tcPr>
            <w:tcW w:w="256" w:type="pct"/>
            <w:vMerge/>
            <w:vAlign w:val="center"/>
          </w:tcPr>
          <w:p w14:paraId="3EA49F7D" w14:textId="77777777" w:rsidR="003E78AB" w:rsidRDefault="003E78AB">
            <w:pPr>
              <w:spacing w:line="360" w:lineRule="exact"/>
              <w:ind w:firstLineChars="0" w:firstLine="0"/>
              <w:jc w:val="center"/>
              <w:rPr>
                <w:kern w:val="2"/>
                <w:sz w:val="21"/>
                <w:szCs w:val="21"/>
              </w:rPr>
            </w:pPr>
          </w:p>
        </w:tc>
        <w:tc>
          <w:tcPr>
            <w:tcW w:w="228" w:type="pct"/>
            <w:vMerge/>
            <w:vAlign w:val="center"/>
          </w:tcPr>
          <w:p w14:paraId="4C875208" w14:textId="77777777" w:rsidR="003E78AB" w:rsidRDefault="003E78AB">
            <w:pPr>
              <w:spacing w:line="360" w:lineRule="exact"/>
              <w:ind w:firstLineChars="0" w:firstLine="0"/>
              <w:jc w:val="center"/>
              <w:rPr>
                <w:kern w:val="2"/>
                <w:sz w:val="21"/>
                <w:szCs w:val="21"/>
              </w:rPr>
            </w:pPr>
          </w:p>
        </w:tc>
        <w:tc>
          <w:tcPr>
            <w:tcW w:w="380" w:type="pct"/>
            <w:vAlign w:val="center"/>
          </w:tcPr>
          <w:p w14:paraId="7E62CBA7"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硫酸盐</w:t>
            </w:r>
          </w:p>
        </w:tc>
        <w:tc>
          <w:tcPr>
            <w:tcW w:w="363" w:type="pct"/>
            <w:vAlign w:val="center"/>
          </w:tcPr>
          <w:p w14:paraId="2F2BC233" w14:textId="77777777" w:rsidR="003E78AB" w:rsidRDefault="00010BF9">
            <w:pPr>
              <w:spacing w:line="360" w:lineRule="exact"/>
              <w:ind w:firstLineChars="0" w:firstLine="0"/>
              <w:jc w:val="center"/>
              <w:textAlignment w:val="center"/>
              <w:rPr>
                <w:kern w:val="2"/>
                <w:sz w:val="21"/>
                <w:szCs w:val="21"/>
              </w:rPr>
            </w:pPr>
            <w:r>
              <w:rPr>
                <w:sz w:val="21"/>
                <w:szCs w:val="21"/>
                <w:lang w:bidi="ar"/>
              </w:rPr>
              <w:t>0.1690</w:t>
            </w:r>
          </w:p>
        </w:tc>
        <w:tc>
          <w:tcPr>
            <w:tcW w:w="383" w:type="pct"/>
            <w:vAlign w:val="center"/>
          </w:tcPr>
          <w:p w14:paraId="3CC5F42C" w14:textId="77777777" w:rsidR="003E78AB" w:rsidRDefault="00010BF9">
            <w:pPr>
              <w:spacing w:line="360" w:lineRule="exact"/>
              <w:ind w:firstLineChars="0" w:firstLine="0"/>
              <w:jc w:val="center"/>
              <w:textAlignment w:val="center"/>
              <w:rPr>
                <w:kern w:val="2"/>
                <w:sz w:val="21"/>
                <w:szCs w:val="21"/>
              </w:rPr>
            </w:pPr>
            <w:r>
              <w:rPr>
                <w:sz w:val="21"/>
                <w:szCs w:val="21"/>
                <w:lang w:bidi="ar"/>
              </w:rPr>
              <w:t>10.26</w:t>
            </w:r>
          </w:p>
        </w:tc>
        <w:tc>
          <w:tcPr>
            <w:tcW w:w="331" w:type="pct"/>
            <w:vAlign w:val="center"/>
          </w:tcPr>
          <w:p w14:paraId="1135071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3A5CCACD"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0C75C428" w14:textId="77777777">
        <w:trPr>
          <w:trHeight w:val="462"/>
          <w:jc w:val="center"/>
        </w:trPr>
        <w:tc>
          <w:tcPr>
            <w:tcW w:w="150" w:type="pct"/>
            <w:vMerge/>
            <w:vAlign w:val="center"/>
          </w:tcPr>
          <w:p w14:paraId="7C72C8C6" w14:textId="77777777" w:rsidR="003E78AB" w:rsidRDefault="003E78AB">
            <w:pPr>
              <w:spacing w:line="360" w:lineRule="exact"/>
              <w:ind w:firstLineChars="0" w:firstLine="0"/>
              <w:jc w:val="center"/>
              <w:rPr>
                <w:kern w:val="2"/>
                <w:sz w:val="21"/>
                <w:szCs w:val="21"/>
              </w:rPr>
            </w:pPr>
          </w:p>
        </w:tc>
        <w:tc>
          <w:tcPr>
            <w:tcW w:w="243" w:type="pct"/>
            <w:vMerge/>
            <w:vAlign w:val="center"/>
          </w:tcPr>
          <w:p w14:paraId="5A8D4944" w14:textId="77777777" w:rsidR="003E78AB" w:rsidRDefault="003E78AB">
            <w:pPr>
              <w:spacing w:line="360" w:lineRule="exact"/>
              <w:ind w:firstLineChars="0" w:firstLine="0"/>
              <w:jc w:val="center"/>
              <w:rPr>
                <w:kern w:val="2"/>
                <w:sz w:val="21"/>
                <w:szCs w:val="21"/>
              </w:rPr>
            </w:pPr>
          </w:p>
        </w:tc>
        <w:tc>
          <w:tcPr>
            <w:tcW w:w="556" w:type="pct"/>
            <w:vMerge/>
            <w:vAlign w:val="center"/>
          </w:tcPr>
          <w:p w14:paraId="7940A0EC" w14:textId="77777777" w:rsidR="003E78AB" w:rsidRDefault="003E78AB">
            <w:pPr>
              <w:spacing w:line="360" w:lineRule="exact"/>
              <w:ind w:firstLineChars="0" w:firstLine="0"/>
              <w:jc w:val="center"/>
              <w:rPr>
                <w:kern w:val="2"/>
                <w:sz w:val="21"/>
                <w:szCs w:val="21"/>
              </w:rPr>
            </w:pPr>
          </w:p>
        </w:tc>
        <w:tc>
          <w:tcPr>
            <w:tcW w:w="337" w:type="pct"/>
            <w:vMerge/>
            <w:vAlign w:val="center"/>
          </w:tcPr>
          <w:p w14:paraId="3F6A7B2A" w14:textId="77777777" w:rsidR="003E78AB" w:rsidRDefault="003E78AB">
            <w:pPr>
              <w:spacing w:line="360" w:lineRule="exact"/>
              <w:ind w:firstLineChars="0" w:firstLine="0"/>
              <w:jc w:val="center"/>
              <w:rPr>
                <w:kern w:val="2"/>
                <w:sz w:val="21"/>
                <w:szCs w:val="21"/>
              </w:rPr>
            </w:pPr>
          </w:p>
        </w:tc>
        <w:tc>
          <w:tcPr>
            <w:tcW w:w="384" w:type="pct"/>
            <w:vMerge/>
            <w:vAlign w:val="center"/>
          </w:tcPr>
          <w:p w14:paraId="7303D6CB" w14:textId="77777777" w:rsidR="003E78AB" w:rsidRDefault="003E78AB">
            <w:pPr>
              <w:spacing w:line="360" w:lineRule="exact"/>
              <w:ind w:firstLineChars="0" w:firstLine="0"/>
              <w:jc w:val="center"/>
              <w:rPr>
                <w:kern w:val="2"/>
                <w:sz w:val="21"/>
                <w:szCs w:val="21"/>
              </w:rPr>
            </w:pPr>
          </w:p>
        </w:tc>
        <w:tc>
          <w:tcPr>
            <w:tcW w:w="324" w:type="pct"/>
            <w:vMerge/>
            <w:vAlign w:val="center"/>
          </w:tcPr>
          <w:p w14:paraId="75541018" w14:textId="77777777" w:rsidR="003E78AB" w:rsidRDefault="003E78AB">
            <w:pPr>
              <w:spacing w:line="360" w:lineRule="exact"/>
              <w:ind w:firstLineChars="0" w:firstLine="0"/>
              <w:jc w:val="center"/>
              <w:rPr>
                <w:kern w:val="2"/>
                <w:sz w:val="21"/>
                <w:szCs w:val="21"/>
              </w:rPr>
            </w:pPr>
          </w:p>
        </w:tc>
        <w:tc>
          <w:tcPr>
            <w:tcW w:w="344" w:type="pct"/>
            <w:vMerge/>
            <w:vAlign w:val="center"/>
          </w:tcPr>
          <w:p w14:paraId="34FA6DB8" w14:textId="77777777" w:rsidR="003E78AB" w:rsidRDefault="003E78AB">
            <w:pPr>
              <w:spacing w:line="360" w:lineRule="exact"/>
              <w:ind w:firstLineChars="0" w:firstLine="0"/>
              <w:jc w:val="center"/>
              <w:rPr>
                <w:kern w:val="2"/>
                <w:sz w:val="21"/>
                <w:szCs w:val="21"/>
              </w:rPr>
            </w:pPr>
          </w:p>
        </w:tc>
        <w:tc>
          <w:tcPr>
            <w:tcW w:w="372" w:type="pct"/>
            <w:vMerge/>
            <w:vAlign w:val="center"/>
          </w:tcPr>
          <w:p w14:paraId="064FEF35" w14:textId="77777777" w:rsidR="003E78AB" w:rsidRDefault="003E78AB">
            <w:pPr>
              <w:spacing w:line="360" w:lineRule="exact"/>
              <w:ind w:firstLineChars="0" w:firstLine="0"/>
              <w:jc w:val="center"/>
              <w:rPr>
                <w:kern w:val="2"/>
                <w:sz w:val="21"/>
                <w:szCs w:val="21"/>
              </w:rPr>
            </w:pPr>
          </w:p>
        </w:tc>
        <w:tc>
          <w:tcPr>
            <w:tcW w:w="256" w:type="pct"/>
            <w:vMerge/>
            <w:vAlign w:val="center"/>
          </w:tcPr>
          <w:p w14:paraId="4398830B" w14:textId="77777777" w:rsidR="003E78AB" w:rsidRDefault="003E78AB">
            <w:pPr>
              <w:spacing w:line="360" w:lineRule="exact"/>
              <w:ind w:firstLineChars="0" w:firstLine="0"/>
              <w:jc w:val="center"/>
              <w:rPr>
                <w:kern w:val="2"/>
                <w:sz w:val="21"/>
                <w:szCs w:val="21"/>
              </w:rPr>
            </w:pPr>
          </w:p>
        </w:tc>
        <w:tc>
          <w:tcPr>
            <w:tcW w:w="228" w:type="pct"/>
            <w:vMerge/>
            <w:vAlign w:val="center"/>
          </w:tcPr>
          <w:p w14:paraId="4CE81F14"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7FFD132F"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钒</w:t>
            </w:r>
          </w:p>
        </w:tc>
        <w:tc>
          <w:tcPr>
            <w:tcW w:w="363" w:type="pct"/>
            <w:shd w:val="clear" w:color="auto" w:fill="auto"/>
            <w:vAlign w:val="center"/>
          </w:tcPr>
          <w:p w14:paraId="2AD5F8DF" w14:textId="77777777" w:rsidR="003E78AB" w:rsidRDefault="00010BF9">
            <w:pPr>
              <w:spacing w:line="360" w:lineRule="exact"/>
              <w:ind w:firstLineChars="0" w:firstLine="0"/>
              <w:jc w:val="center"/>
              <w:textAlignment w:val="center"/>
              <w:rPr>
                <w:sz w:val="21"/>
                <w:szCs w:val="21"/>
                <w:lang w:bidi="ar"/>
              </w:rPr>
            </w:pPr>
            <w:r>
              <w:rPr>
                <w:sz w:val="21"/>
                <w:szCs w:val="21"/>
                <w:lang w:bidi="ar"/>
              </w:rPr>
              <w:t>0.0002</w:t>
            </w:r>
          </w:p>
        </w:tc>
        <w:tc>
          <w:tcPr>
            <w:tcW w:w="383" w:type="pct"/>
            <w:shd w:val="clear" w:color="auto" w:fill="auto"/>
            <w:vAlign w:val="center"/>
          </w:tcPr>
          <w:p w14:paraId="6DB95428" w14:textId="77777777" w:rsidR="003E78AB" w:rsidRDefault="00010BF9">
            <w:pPr>
              <w:spacing w:line="360" w:lineRule="exact"/>
              <w:ind w:firstLineChars="0" w:firstLine="0"/>
              <w:jc w:val="center"/>
              <w:textAlignment w:val="center"/>
              <w:rPr>
                <w:sz w:val="21"/>
                <w:szCs w:val="21"/>
                <w:lang w:bidi="ar"/>
              </w:rPr>
            </w:pPr>
            <w:r>
              <w:rPr>
                <w:sz w:val="21"/>
                <w:szCs w:val="21"/>
                <w:lang w:bidi="ar"/>
              </w:rPr>
              <w:t>0.01</w:t>
            </w:r>
          </w:p>
        </w:tc>
        <w:tc>
          <w:tcPr>
            <w:tcW w:w="331" w:type="pct"/>
            <w:vAlign w:val="center"/>
          </w:tcPr>
          <w:p w14:paraId="79DE77D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66A96AD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bl>
    <w:p w14:paraId="1CF2EF86" w14:textId="77777777" w:rsidR="003E78AB" w:rsidRDefault="003E78AB">
      <w:pPr>
        <w:ind w:firstLine="480"/>
        <w:rPr>
          <w:kern w:val="28"/>
        </w:rPr>
        <w:sectPr w:rsidR="003E78AB">
          <w:pgSz w:w="16838" w:h="11906" w:orient="landscape"/>
          <w:pgMar w:top="1803" w:right="1440" w:bottom="1803" w:left="1440" w:header="851" w:footer="992" w:gutter="0"/>
          <w:cols w:space="720"/>
          <w:docGrid w:linePitch="312"/>
        </w:sectPr>
      </w:pPr>
    </w:p>
    <w:p w14:paraId="2EDBBBFA" w14:textId="77777777" w:rsidR="003E78AB" w:rsidRDefault="00010BF9">
      <w:pPr>
        <w:ind w:firstLine="480"/>
        <w:rPr>
          <w:kern w:val="28"/>
        </w:rPr>
      </w:pPr>
      <w:bookmarkStart w:id="382" w:name="OLE_LINK61"/>
      <w:r>
        <w:rPr>
          <w:kern w:val="28"/>
        </w:rPr>
        <w:t>南部循环经济产业园污水处理厂</w:t>
      </w:r>
      <w:bookmarkEnd w:id="382"/>
      <w:r>
        <w:rPr>
          <w:kern w:val="28"/>
        </w:rPr>
        <w:t>位于哈密工业园区南侧</w:t>
      </w:r>
      <w:r>
        <w:rPr>
          <w:kern w:val="28"/>
        </w:rPr>
        <w:t>1km</w:t>
      </w:r>
      <w:r>
        <w:rPr>
          <w:kern w:val="28"/>
        </w:rPr>
        <w:t>处的低洼地，</w:t>
      </w:r>
      <w:r>
        <w:rPr>
          <w:rFonts w:hint="eastAsia"/>
          <w:kern w:val="28"/>
        </w:rPr>
        <w:t>属于城镇污水处理厂，</w:t>
      </w:r>
      <w:r>
        <w:rPr>
          <w:kern w:val="28"/>
        </w:rPr>
        <w:t>污水接纳要求为《污水综合排放标准》（</w:t>
      </w:r>
      <w:r>
        <w:rPr>
          <w:kern w:val="28"/>
        </w:rPr>
        <w:t>GB8978-1996</w:t>
      </w:r>
      <w:r>
        <w:rPr>
          <w:kern w:val="28"/>
        </w:rPr>
        <w:t>）三级排放标准，处理规模为</w:t>
      </w:r>
      <w:r>
        <w:rPr>
          <w:kern w:val="28"/>
        </w:rPr>
        <w:t>5000m</w:t>
      </w:r>
      <w:r>
        <w:rPr>
          <w:kern w:val="28"/>
          <w:vertAlign w:val="superscript"/>
        </w:rPr>
        <w:t>3</w:t>
      </w:r>
      <w:r>
        <w:rPr>
          <w:kern w:val="28"/>
        </w:rPr>
        <w:t>/d</w:t>
      </w:r>
      <w:r>
        <w:rPr>
          <w:kern w:val="28"/>
        </w:rPr>
        <w:t>（其中格栅、沉砂池处理规模为</w:t>
      </w:r>
      <w:r>
        <w:rPr>
          <w:kern w:val="28"/>
        </w:rPr>
        <w:t>10000m³/d</w:t>
      </w:r>
      <w:r>
        <w:rPr>
          <w:kern w:val="28"/>
        </w:rPr>
        <w:t>），现状实际每天处理规模</w:t>
      </w:r>
      <w:r>
        <w:rPr>
          <w:kern w:val="28"/>
        </w:rPr>
        <w:t>1267m</w:t>
      </w:r>
      <w:r>
        <w:rPr>
          <w:kern w:val="28"/>
          <w:vertAlign w:val="superscript"/>
        </w:rPr>
        <w:t>3</w:t>
      </w:r>
      <w:r>
        <w:rPr>
          <w:kern w:val="28"/>
        </w:rPr>
        <w:t>/d</w:t>
      </w:r>
      <w:r>
        <w:rPr>
          <w:kern w:val="28"/>
        </w:rPr>
        <w:t>，采用</w:t>
      </w:r>
      <w:r>
        <w:rPr>
          <w:kern w:val="28"/>
        </w:rPr>
        <w:t>“</w:t>
      </w:r>
      <w:r>
        <w:rPr>
          <w:kern w:val="28"/>
        </w:rPr>
        <w:t>粗格栅</w:t>
      </w:r>
      <w:r>
        <w:rPr>
          <w:kern w:val="28"/>
        </w:rPr>
        <w:t>+</w:t>
      </w:r>
      <w:r>
        <w:rPr>
          <w:kern w:val="28"/>
        </w:rPr>
        <w:t>提升泵</w:t>
      </w:r>
      <w:r>
        <w:rPr>
          <w:kern w:val="28"/>
        </w:rPr>
        <w:t>+</w:t>
      </w:r>
      <w:r>
        <w:rPr>
          <w:kern w:val="28"/>
        </w:rPr>
        <w:t>细格栅</w:t>
      </w:r>
      <w:r>
        <w:rPr>
          <w:kern w:val="28"/>
        </w:rPr>
        <w:t>+</w:t>
      </w:r>
      <w:r>
        <w:rPr>
          <w:kern w:val="28"/>
        </w:rPr>
        <w:t>旋流沉砂池</w:t>
      </w:r>
      <w:r>
        <w:rPr>
          <w:kern w:val="28"/>
        </w:rPr>
        <w:t>+</w:t>
      </w:r>
      <w:r>
        <w:rPr>
          <w:kern w:val="28"/>
        </w:rPr>
        <w:t>水解酸化池</w:t>
      </w:r>
      <w:r>
        <w:rPr>
          <w:kern w:val="28"/>
        </w:rPr>
        <w:t>+A</w:t>
      </w:r>
      <w:r>
        <w:rPr>
          <w:kern w:val="28"/>
          <w:vertAlign w:val="superscript"/>
        </w:rPr>
        <w:t>2</w:t>
      </w:r>
      <w:r>
        <w:rPr>
          <w:kern w:val="28"/>
        </w:rPr>
        <w:t>/O</w:t>
      </w:r>
      <w:r>
        <w:rPr>
          <w:kern w:val="28"/>
        </w:rPr>
        <w:t>池</w:t>
      </w:r>
      <w:r>
        <w:rPr>
          <w:kern w:val="28"/>
        </w:rPr>
        <w:t>+</w:t>
      </w:r>
      <w:r>
        <w:rPr>
          <w:kern w:val="28"/>
        </w:rPr>
        <w:t>曝气生物滤池</w:t>
      </w:r>
      <w:r>
        <w:rPr>
          <w:kern w:val="28"/>
        </w:rPr>
        <w:t>+</w:t>
      </w:r>
      <w:r>
        <w:rPr>
          <w:kern w:val="28"/>
        </w:rPr>
        <w:t>二沉池</w:t>
      </w:r>
      <w:r>
        <w:rPr>
          <w:kern w:val="28"/>
        </w:rPr>
        <w:t>+</w:t>
      </w:r>
      <w:r>
        <w:rPr>
          <w:kern w:val="28"/>
        </w:rPr>
        <w:t>二氧化氯消毒</w:t>
      </w:r>
      <w:r>
        <w:rPr>
          <w:kern w:val="28"/>
        </w:rPr>
        <w:t>”</w:t>
      </w:r>
      <w:r>
        <w:rPr>
          <w:kern w:val="28"/>
        </w:rPr>
        <w:t>，尾水达到《城镇污水处理厂污染物排放标准》（</w:t>
      </w:r>
      <w:r>
        <w:rPr>
          <w:kern w:val="28"/>
        </w:rPr>
        <w:t>GB18918-2002</w:t>
      </w:r>
      <w:r>
        <w:rPr>
          <w:kern w:val="28"/>
        </w:rPr>
        <w:t>）中的一级</w:t>
      </w:r>
      <w:r>
        <w:rPr>
          <w:kern w:val="28"/>
        </w:rPr>
        <w:t>A</w:t>
      </w:r>
      <w:r>
        <w:rPr>
          <w:kern w:val="28"/>
        </w:rPr>
        <w:t>标准和《</w:t>
      </w:r>
      <w:bookmarkStart w:id="383" w:name="OLE_LINK60"/>
      <w:r>
        <w:rPr>
          <w:kern w:val="28"/>
        </w:rPr>
        <w:t>城</w:t>
      </w:r>
      <w:r>
        <w:rPr>
          <w:kern w:val="28"/>
        </w:rPr>
        <w:t>市污水再生利用</w:t>
      </w:r>
      <w:r>
        <w:rPr>
          <w:rFonts w:hint="eastAsia"/>
          <w:kern w:val="28"/>
        </w:rPr>
        <w:t xml:space="preserve"> </w:t>
      </w:r>
      <w:r>
        <w:rPr>
          <w:kern w:val="28"/>
        </w:rPr>
        <w:t>工业用水水质》（</w:t>
      </w:r>
      <w:r>
        <w:rPr>
          <w:kern w:val="28"/>
        </w:rPr>
        <w:t>GB/T19923-20</w:t>
      </w:r>
      <w:r>
        <w:rPr>
          <w:rFonts w:hint="eastAsia"/>
          <w:kern w:val="28"/>
        </w:rPr>
        <w:t>24</w:t>
      </w:r>
      <w:r>
        <w:rPr>
          <w:kern w:val="28"/>
        </w:rPr>
        <w:t>）</w:t>
      </w:r>
      <w:bookmarkEnd w:id="383"/>
      <w:r>
        <w:rPr>
          <w:kern w:val="28"/>
        </w:rPr>
        <w:t>标准，全部排至污水厂东侧的中水管网，最终进入大南湖煤电基地作为工业用水回用。该污水处理厂于</w:t>
      </w:r>
      <w:r>
        <w:rPr>
          <w:kern w:val="28"/>
        </w:rPr>
        <w:t>2019</w:t>
      </w:r>
      <w:r>
        <w:rPr>
          <w:kern w:val="28"/>
        </w:rPr>
        <w:t>年</w:t>
      </w:r>
      <w:r>
        <w:rPr>
          <w:kern w:val="28"/>
        </w:rPr>
        <w:t>10</w:t>
      </w:r>
      <w:r>
        <w:rPr>
          <w:kern w:val="28"/>
        </w:rPr>
        <w:t>月</w:t>
      </w:r>
      <w:r>
        <w:rPr>
          <w:kern w:val="28"/>
        </w:rPr>
        <w:t>13</w:t>
      </w:r>
      <w:r>
        <w:rPr>
          <w:kern w:val="28"/>
        </w:rPr>
        <w:t>日通过项目竣工环境保护验收，目前运行正常，尾水达标排放。</w:t>
      </w:r>
    </w:p>
    <w:p w14:paraId="3EC7268F" w14:textId="77777777" w:rsidR="003E78AB" w:rsidRDefault="00010BF9">
      <w:pPr>
        <w:ind w:firstLine="482"/>
        <w:rPr>
          <w:b/>
          <w:bCs/>
          <w:u w:val="single"/>
        </w:rPr>
      </w:pPr>
      <w:r>
        <w:rPr>
          <w:rFonts w:hint="eastAsia"/>
          <w:b/>
          <w:bCs/>
          <w:u w:val="single"/>
        </w:rPr>
        <w:t>本项目废水总排放口的</w:t>
      </w:r>
      <w:r>
        <w:rPr>
          <w:rFonts w:hint="eastAsia"/>
          <w:b/>
          <w:bCs/>
          <w:u w:val="single"/>
        </w:rPr>
        <w:t>各污染物指标可满足</w:t>
      </w:r>
      <w:r>
        <w:rPr>
          <w:b/>
          <w:bCs/>
          <w:kern w:val="2"/>
        </w:rPr>
        <w:t>《无机化学工业污染物排放标准》（</w:t>
      </w:r>
      <w:r>
        <w:rPr>
          <w:b/>
          <w:bCs/>
          <w:kern w:val="2"/>
        </w:rPr>
        <w:t>GB31573-2015</w:t>
      </w:r>
      <w:r>
        <w:rPr>
          <w:b/>
          <w:bCs/>
          <w:kern w:val="2"/>
        </w:rPr>
        <w:t>）间接排放标准，满足园区污水处理厂纳管要求即《污水综合排放标准》（</w:t>
      </w:r>
      <w:r>
        <w:rPr>
          <w:b/>
          <w:bCs/>
          <w:kern w:val="2"/>
        </w:rPr>
        <w:t>GB8978-1996</w:t>
      </w:r>
      <w:r>
        <w:rPr>
          <w:b/>
          <w:bCs/>
          <w:kern w:val="2"/>
        </w:rPr>
        <w:t>）中三级标准限值</w:t>
      </w:r>
      <w:r>
        <w:rPr>
          <w:rFonts w:hint="eastAsia"/>
          <w:b/>
          <w:bCs/>
          <w:kern w:val="28"/>
        </w:rPr>
        <w:t>，</w:t>
      </w:r>
      <w:r>
        <w:rPr>
          <w:rFonts w:hint="eastAsia"/>
          <w:b/>
          <w:bCs/>
          <w:kern w:val="28"/>
        </w:rPr>
        <w:t>且</w:t>
      </w:r>
      <w:r>
        <w:rPr>
          <w:rFonts w:hint="eastAsia"/>
          <w:b/>
          <w:bCs/>
          <w:kern w:val="28"/>
          <w:u w:val="single"/>
        </w:rPr>
        <w:t>满足《污水排入城镇下水道水质标准》（</w:t>
      </w:r>
      <w:r>
        <w:rPr>
          <w:rFonts w:hint="eastAsia"/>
          <w:b/>
          <w:bCs/>
          <w:kern w:val="28"/>
          <w:u w:val="single"/>
        </w:rPr>
        <w:t>GB/T31962-2015</w:t>
      </w:r>
      <w:r>
        <w:rPr>
          <w:rFonts w:hint="eastAsia"/>
          <w:b/>
          <w:bCs/>
          <w:kern w:val="28"/>
          <w:u w:val="single"/>
        </w:rPr>
        <w:t>）。</w:t>
      </w:r>
    </w:p>
    <w:p w14:paraId="4D3B8E20" w14:textId="77777777" w:rsidR="003E78AB" w:rsidRDefault="00010BF9">
      <w:pPr>
        <w:ind w:firstLine="482"/>
        <w:rPr>
          <w:b/>
          <w:bCs/>
          <w:kern w:val="28"/>
          <w:u w:val="single"/>
        </w:rPr>
      </w:pPr>
      <w:r>
        <w:rPr>
          <w:b/>
          <w:bCs/>
          <w:kern w:val="28"/>
          <w:u w:val="single"/>
        </w:rPr>
        <w:t>本项目废水排放量约为</w:t>
      </w:r>
      <w:r>
        <w:rPr>
          <w:rFonts w:hint="eastAsia"/>
          <w:b/>
          <w:bCs/>
          <w:kern w:val="28"/>
          <w:u w:val="single"/>
        </w:rPr>
        <w:t>49.9</w:t>
      </w:r>
      <w:r>
        <w:rPr>
          <w:b/>
          <w:bCs/>
          <w:kern w:val="28"/>
          <w:u w:val="single"/>
        </w:rPr>
        <w:t>m</w:t>
      </w:r>
      <w:r>
        <w:rPr>
          <w:b/>
          <w:bCs/>
          <w:kern w:val="28"/>
          <w:u w:val="single"/>
          <w:vertAlign w:val="superscript"/>
        </w:rPr>
        <w:t>3</w:t>
      </w:r>
      <w:r>
        <w:rPr>
          <w:b/>
          <w:bCs/>
          <w:kern w:val="28"/>
          <w:u w:val="single"/>
        </w:rPr>
        <w:t>/d</w:t>
      </w:r>
      <w:r>
        <w:rPr>
          <w:b/>
          <w:bCs/>
          <w:kern w:val="28"/>
          <w:u w:val="single"/>
        </w:rPr>
        <w:t>，</w:t>
      </w:r>
      <w:r>
        <w:rPr>
          <w:rFonts w:hint="eastAsia"/>
          <w:b/>
          <w:bCs/>
          <w:kern w:val="28"/>
          <w:u w:val="single"/>
        </w:rPr>
        <w:t>排水量较小，</w:t>
      </w:r>
      <w:r>
        <w:rPr>
          <w:b/>
          <w:bCs/>
          <w:kern w:val="28"/>
          <w:u w:val="single"/>
        </w:rPr>
        <w:t>污水处理厂余量</w:t>
      </w:r>
      <w:r>
        <w:rPr>
          <w:b/>
          <w:bCs/>
          <w:kern w:val="28"/>
          <w:u w:val="single"/>
        </w:rPr>
        <w:t>3733m</w:t>
      </w:r>
      <w:r>
        <w:rPr>
          <w:b/>
          <w:bCs/>
          <w:kern w:val="28"/>
          <w:u w:val="single"/>
          <w:vertAlign w:val="superscript"/>
        </w:rPr>
        <w:t>3</w:t>
      </w:r>
      <w:r>
        <w:rPr>
          <w:b/>
          <w:bCs/>
          <w:kern w:val="28"/>
          <w:u w:val="single"/>
        </w:rPr>
        <w:t>/d</w:t>
      </w:r>
      <w:r>
        <w:rPr>
          <w:rFonts w:hint="eastAsia"/>
          <w:b/>
          <w:bCs/>
          <w:kern w:val="28"/>
          <w:u w:val="single"/>
        </w:rPr>
        <w:t>，</w:t>
      </w:r>
      <w:r>
        <w:rPr>
          <w:b/>
          <w:bCs/>
          <w:kern w:val="28"/>
          <w:u w:val="single"/>
        </w:rPr>
        <w:t>可以满足本项目新增废水的处理需求</w:t>
      </w:r>
      <w:r>
        <w:rPr>
          <w:rFonts w:hint="eastAsia"/>
          <w:b/>
          <w:bCs/>
          <w:kern w:val="28"/>
          <w:u w:val="single"/>
        </w:rPr>
        <w:t>。因此认为，</w:t>
      </w:r>
      <w:r>
        <w:rPr>
          <w:b/>
          <w:bCs/>
          <w:kern w:val="28"/>
          <w:u w:val="single"/>
        </w:rPr>
        <w:t>本项目废水排放去向合理。</w:t>
      </w:r>
      <w:r>
        <w:rPr>
          <w:rFonts w:hint="eastAsia"/>
          <w:b/>
          <w:bCs/>
          <w:kern w:val="28"/>
          <w:u w:val="single"/>
        </w:rPr>
        <w:t>待园区</w:t>
      </w:r>
    </w:p>
    <w:p w14:paraId="00C831CD" w14:textId="77777777" w:rsidR="003E78AB" w:rsidRDefault="00010BF9">
      <w:pPr>
        <w:ind w:firstLine="482"/>
        <w:rPr>
          <w:b/>
          <w:bCs/>
          <w:kern w:val="28"/>
          <w:u w:val="single"/>
        </w:rPr>
      </w:pPr>
      <w:r>
        <w:rPr>
          <w:b/>
          <w:bCs/>
          <w:kern w:val="28"/>
          <w:u w:val="single"/>
        </w:rPr>
        <w:t>项目初期雨水产生量为</w:t>
      </w:r>
      <w:r>
        <w:rPr>
          <w:b/>
          <w:bCs/>
          <w:kern w:val="28"/>
          <w:u w:val="single"/>
        </w:rPr>
        <w:t>23.13m</w:t>
      </w:r>
      <w:r>
        <w:rPr>
          <w:b/>
          <w:bCs/>
          <w:kern w:val="28"/>
          <w:u w:val="single"/>
          <w:vertAlign w:val="superscript"/>
        </w:rPr>
        <w:t>3</w:t>
      </w:r>
      <w:r>
        <w:rPr>
          <w:b/>
          <w:bCs/>
          <w:kern w:val="28"/>
          <w:u w:val="single"/>
        </w:rPr>
        <w:t>，该部分雨水经厂区东南角设置的雨水池（</w:t>
      </w:r>
      <w:r>
        <w:rPr>
          <w:b/>
          <w:bCs/>
          <w:kern w:val="28"/>
          <w:u w:val="single"/>
        </w:rPr>
        <w:t>110m</w:t>
      </w:r>
      <w:r>
        <w:rPr>
          <w:b/>
          <w:bCs/>
          <w:kern w:val="28"/>
          <w:u w:val="single"/>
          <w:vertAlign w:val="superscript"/>
        </w:rPr>
        <w:t>3</w:t>
      </w:r>
      <w:r>
        <w:rPr>
          <w:b/>
          <w:bCs/>
          <w:kern w:val="28"/>
          <w:u w:val="single"/>
        </w:rPr>
        <w:t>）收集后，经检测达标后排入园区污水管网，进入园区污水处理厂深度处理；检测不达标的初期雨水经协商送有周边有能力处置的企业有偿处置。</w:t>
      </w:r>
    </w:p>
    <w:p w14:paraId="1B2B4697" w14:textId="77777777" w:rsidR="003E78AB" w:rsidRDefault="00010BF9">
      <w:pPr>
        <w:ind w:firstLine="480"/>
        <w:rPr>
          <w:kern w:val="28"/>
        </w:rPr>
      </w:pPr>
      <w:r>
        <w:rPr>
          <w:kern w:val="28"/>
        </w:rPr>
        <w:t>综上，项目产生的各类废水均得到合理处置，去向明确，不与周边地表水体产生水力联系，不会对项目区地表水体造成影响。</w:t>
      </w:r>
    </w:p>
    <w:p w14:paraId="663FBC69" w14:textId="77777777" w:rsidR="003E78AB" w:rsidRDefault="00010BF9">
      <w:pPr>
        <w:pStyle w:val="a4"/>
        <w:spacing w:before="120"/>
        <w:ind w:left="425" w:hanging="425"/>
      </w:pPr>
      <w:r>
        <w:t>地表水环境影响评价自查表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281"/>
        <w:gridCol w:w="1221"/>
        <w:gridCol w:w="501"/>
        <w:gridCol w:w="27"/>
        <w:gridCol w:w="26"/>
        <w:gridCol w:w="676"/>
        <w:gridCol w:w="1020"/>
        <w:gridCol w:w="276"/>
        <w:gridCol w:w="133"/>
        <w:gridCol w:w="129"/>
        <w:gridCol w:w="957"/>
        <w:gridCol w:w="298"/>
        <w:gridCol w:w="342"/>
        <w:gridCol w:w="1189"/>
      </w:tblGrid>
      <w:tr w:rsidR="003E78AB" w14:paraId="67FA9D64" w14:textId="77777777">
        <w:trPr>
          <w:trHeight w:val="283"/>
          <w:tblHeader/>
          <w:jc w:val="center"/>
        </w:trPr>
        <w:tc>
          <w:tcPr>
            <w:tcW w:w="1010" w:type="pct"/>
            <w:gridSpan w:val="2"/>
            <w:vAlign w:val="center"/>
          </w:tcPr>
          <w:p w14:paraId="362BFE45" w14:textId="77777777" w:rsidR="003E78AB" w:rsidRDefault="00010BF9">
            <w:pPr>
              <w:spacing w:line="360" w:lineRule="exact"/>
              <w:ind w:firstLineChars="0" w:firstLine="0"/>
              <w:jc w:val="center"/>
              <w:rPr>
                <w:b/>
                <w:bCs/>
                <w:kern w:val="2"/>
                <w:sz w:val="21"/>
                <w:szCs w:val="21"/>
              </w:rPr>
            </w:pPr>
            <w:r>
              <w:rPr>
                <w:b/>
                <w:bCs/>
                <w:kern w:val="2"/>
                <w:sz w:val="21"/>
                <w:szCs w:val="21"/>
              </w:rPr>
              <w:t>工作内容</w:t>
            </w:r>
          </w:p>
        </w:tc>
        <w:tc>
          <w:tcPr>
            <w:tcW w:w="3989" w:type="pct"/>
            <w:gridSpan w:val="13"/>
            <w:vAlign w:val="center"/>
          </w:tcPr>
          <w:p w14:paraId="50C6716F" w14:textId="77777777" w:rsidR="003E78AB" w:rsidRDefault="00010BF9">
            <w:pPr>
              <w:spacing w:line="360" w:lineRule="exact"/>
              <w:ind w:firstLineChars="0" w:firstLine="0"/>
              <w:jc w:val="center"/>
              <w:rPr>
                <w:b/>
                <w:bCs/>
                <w:kern w:val="2"/>
                <w:sz w:val="21"/>
                <w:szCs w:val="21"/>
              </w:rPr>
            </w:pPr>
            <w:r>
              <w:rPr>
                <w:b/>
                <w:bCs/>
                <w:kern w:val="2"/>
                <w:sz w:val="21"/>
                <w:szCs w:val="21"/>
              </w:rPr>
              <w:t>自查项目</w:t>
            </w:r>
          </w:p>
        </w:tc>
      </w:tr>
      <w:tr w:rsidR="003E78AB" w14:paraId="78F1559D" w14:textId="77777777">
        <w:trPr>
          <w:trHeight w:val="283"/>
          <w:jc w:val="center"/>
        </w:trPr>
        <w:tc>
          <w:tcPr>
            <w:tcW w:w="258" w:type="pct"/>
            <w:vMerge w:val="restart"/>
            <w:vAlign w:val="center"/>
          </w:tcPr>
          <w:p w14:paraId="1474FF04" w14:textId="77777777" w:rsidR="003E78AB" w:rsidRDefault="00010BF9">
            <w:pPr>
              <w:spacing w:line="360" w:lineRule="exact"/>
              <w:ind w:firstLineChars="0" w:firstLine="0"/>
              <w:jc w:val="center"/>
              <w:rPr>
                <w:kern w:val="2"/>
                <w:sz w:val="21"/>
                <w:szCs w:val="21"/>
              </w:rPr>
            </w:pPr>
            <w:r>
              <w:rPr>
                <w:kern w:val="2"/>
                <w:sz w:val="21"/>
                <w:szCs w:val="21"/>
              </w:rPr>
              <w:t>影响识别</w:t>
            </w:r>
          </w:p>
        </w:tc>
        <w:tc>
          <w:tcPr>
            <w:tcW w:w="752" w:type="pct"/>
            <w:vAlign w:val="center"/>
          </w:tcPr>
          <w:p w14:paraId="6767EF54" w14:textId="77777777" w:rsidR="003E78AB" w:rsidRDefault="00010BF9">
            <w:pPr>
              <w:spacing w:line="360" w:lineRule="exact"/>
              <w:ind w:firstLineChars="0" w:firstLine="0"/>
              <w:jc w:val="center"/>
              <w:rPr>
                <w:kern w:val="2"/>
                <w:sz w:val="21"/>
                <w:szCs w:val="21"/>
              </w:rPr>
            </w:pPr>
            <w:r>
              <w:rPr>
                <w:kern w:val="2"/>
                <w:sz w:val="21"/>
                <w:szCs w:val="21"/>
              </w:rPr>
              <w:t>影响类型</w:t>
            </w:r>
          </w:p>
        </w:tc>
        <w:tc>
          <w:tcPr>
            <w:tcW w:w="3989" w:type="pct"/>
            <w:gridSpan w:val="13"/>
            <w:vAlign w:val="center"/>
          </w:tcPr>
          <w:p w14:paraId="1955502C" w14:textId="77777777" w:rsidR="003E78AB" w:rsidRDefault="00010BF9">
            <w:pPr>
              <w:spacing w:line="360" w:lineRule="exact"/>
              <w:ind w:firstLineChars="0" w:firstLine="0"/>
              <w:jc w:val="center"/>
              <w:rPr>
                <w:kern w:val="2"/>
                <w:sz w:val="21"/>
                <w:szCs w:val="21"/>
              </w:rPr>
            </w:pPr>
            <w:r>
              <w:rPr>
                <w:kern w:val="2"/>
                <w:sz w:val="21"/>
                <w:szCs w:val="21"/>
              </w:rPr>
              <w:t>水污染影响型</w:t>
            </w:r>
            <w:r>
              <w:rPr>
                <w:kern w:val="2"/>
                <w:sz w:val="21"/>
                <w:szCs w:val="21"/>
              </w:rPr>
              <w:sym w:font="Wingdings 2" w:char="0052"/>
            </w:r>
            <w:r>
              <w:rPr>
                <w:kern w:val="2"/>
                <w:sz w:val="21"/>
                <w:szCs w:val="21"/>
              </w:rPr>
              <w:t>；水文要素影响型</w:t>
            </w:r>
            <w:r>
              <w:rPr>
                <w:kern w:val="2"/>
                <w:sz w:val="21"/>
                <w:szCs w:val="21"/>
              </w:rPr>
              <w:sym w:font="Wingdings 2" w:char="00A3"/>
            </w:r>
          </w:p>
        </w:tc>
      </w:tr>
      <w:tr w:rsidR="003E78AB" w14:paraId="2509A64A" w14:textId="77777777">
        <w:trPr>
          <w:trHeight w:val="283"/>
          <w:jc w:val="center"/>
        </w:trPr>
        <w:tc>
          <w:tcPr>
            <w:tcW w:w="258" w:type="pct"/>
            <w:vMerge/>
            <w:vAlign w:val="center"/>
          </w:tcPr>
          <w:p w14:paraId="5D6E59A0" w14:textId="77777777" w:rsidR="003E78AB" w:rsidRDefault="003E78AB">
            <w:pPr>
              <w:spacing w:line="360" w:lineRule="exact"/>
              <w:ind w:firstLineChars="0" w:firstLine="0"/>
              <w:jc w:val="left"/>
              <w:rPr>
                <w:kern w:val="2"/>
                <w:sz w:val="21"/>
                <w:szCs w:val="21"/>
              </w:rPr>
            </w:pPr>
          </w:p>
        </w:tc>
        <w:tc>
          <w:tcPr>
            <w:tcW w:w="752" w:type="pct"/>
            <w:vAlign w:val="center"/>
          </w:tcPr>
          <w:p w14:paraId="6D71370C" w14:textId="77777777" w:rsidR="003E78AB" w:rsidRDefault="00010BF9">
            <w:pPr>
              <w:spacing w:line="360" w:lineRule="exact"/>
              <w:ind w:firstLineChars="0" w:firstLine="0"/>
              <w:jc w:val="center"/>
              <w:rPr>
                <w:kern w:val="2"/>
                <w:sz w:val="21"/>
                <w:szCs w:val="21"/>
              </w:rPr>
            </w:pPr>
            <w:r>
              <w:rPr>
                <w:kern w:val="2"/>
                <w:sz w:val="21"/>
                <w:szCs w:val="21"/>
              </w:rPr>
              <w:t>水环境保护目标</w:t>
            </w:r>
          </w:p>
        </w:tc>
        <w:tc>
          <w:tcPr>
            <w:tcW w:w="3989" w:type="pct"/>
            <w:gridSpan w:val="13"/>
            <w:vAlign w:val="center"/>
          </w:tcPr>
          <w:p w14:paraId="2B59C517" w14:textId="77777777" w:rsidR="003E78AB" w:rsidRDefault="00010BF9">
            <w:pPr>
              <w:spacing w:line="360" w:lineRule="exact"/>
              <w:ind w:firstLineChars="0" w:firstLine="0"/>
              <w:jc w:val="center"/>
              <w:rPr>
                <w:kern w:val="2"/>
                <w:sz w:val="21"/>
                <w:szCs w:val="21"/>
              </w:rPr>
            </w:pPr>
            <w:r>
              <w:rPr>
                <w:kern w:val="2"/>
                <w:sz w:val="21"/>
                <w:szCs w:val="21"/>
              </w:rPr>
              <w:t>饮用水水源保护区</w:t>
            </w:r>
            <w:r>
              <w:rPr>
                <w:kern w:val="2"/>
                <w:sz w:val="21"/>
                <w:szCs w:val="21"/>
              </w:rPr>
              <w:sym w:font="Wingdings 2" w:char="00A3"/>
            </w:r>
            <w:r>
              <w:rPr>
                <w:kern w:val="2"/>
                <w:sz w:val="21"/>
                <w:szCs w:val="21"/>
              </w:rPr>
              <w:t>；饮用水取水口；涉水的自然保护区</w:t>
            </w:r>
            <w:r>
              <w:rPr>
                <w:kern w:val="2"/>
                <w:sz w:val="21"/>
                <w:szCs w:val="21"/>
              </w:rPr>
              <w:sym w:font="Wingdings 2" w:char="00A3"/>
            </w:r>
            <w:r>
              <w:rPr>
                <w:kern w:val="2"/>
                <w:sz w:val="21"/>
                <w:szCs w:val="21"/>
              </w:rPr>
              <w:t>；重要湿地；</w:t>
            </w:r>
          </w:p>
          <w:p w14:paraId="2DEAD567" w14:textId="77777777" w:rsidR="003E78AB" w:rsidRDefault="00010BF9">
            <w:pPr>
              <w:spacing w:line="360" w:lineRule="exact"/>
              <w:ind w:firstLineChars="0" w:firstLine="0"/>
              <w:jc w:val="center"/>
              <w:rPr>
                <w:kern w:val="2"/>
                <w:sz w:val="21"/>
                <w:szCs w:val="21"/>
              </w:rPr>
            </w:pPr>
            <w:r>
              <w:rPr>
                <w:kern w:val="2"/>
                <w:sz w:val="21"/>
                <w:szCs w:val="21"/>
              </w:rPr>
              <w:t>重点保护与珍稀水生生物的栖息地</w:t>
            </w:r>
            <w:r>
              <w:rPr>
                <w:kern w:val="2"/>
                <w:sz w:val="21"/>
                <w:szCs w:val="21"/>
              </w:rPr>
              <w:sym w:font="Wingdings 2" w:char="00A3"/>
            </w:r>
            <w:r>
              <w:rPr>
                <w:kern w:val="2"/>
                <w:sz w:val="21"/>
                <w:szCs w:val="21"/>
              </w:rPr>
              <w:t>；重要水生生物的自然产卵场及索饵场、越冬场和洄游通道、天然渔场等渔业水体</w:t>
            </w:r>
            <w:r>
              <w:rPr>
                <w:kern w:val="2"/>
                <w:sz w:val="21"/>
                <w:szCs w:val="21"/>
              </w:rPr>
              <w:sym w:font="Wingdings 2" w:char="00A3"/>
            </w:r>
            <w:r>
              <w:rPr>
                <w:kern w:val="2"/>
                <w:sz w:val="21"/>
                <w:szCs w:val="21"/>
              </w:rPr>
              <w:t>；涉水的风景名胜区</w:t>
            </w:r>
            <w:r>
              <w:rPr>
                <w:kern w:val="2"/>
                <w:sz w:val="21"/>
                <w:szCs w:val="21"/>
              </w:rPr>
              <w:sym w:font="Wingdings 2" w:char="00A3"/>
            </w:r>
            <w:r>
              <w:rPr>
                <w:kern w:val="2"/>
                <w:sz w:val="21"/>
                <w:szCs w:val="21"/>
              </w:rPr>
              <w:t>；其他</w:t>
            </w:r>
            <w:r>
              <w:rPr>
                <w:kern w:val="2"/>
                <w:sz w:val="21"/>
                <w:szCs w:val="21"/>
              </w:rPr>
              <w:sym w:font="Wingdings 2" w:char="00A3"/>
            </w:r>
          </w:p>
        </w:tc>
      </w:tr>
      <w:tr w:rsidR="003E78AB" w14:paraId="3E073211" w14:textId="77777777">
        <w:trPr>
          <w:trHeight w:val="283"/>
          <w:jc w:val="center"/>
        </w:trPr>
        <w:tc>
          <w:tcPr>
            <w:tcW w:w="258" w:type="pct"/>
            <w:vMerge/>
            <w:vAlign w:val="center"/>
          </w:tcPr>
          <w:p w14:paraId="7E3D1E80"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09C8087E" w14:textId="77777777" w:rsidR="003E78AB" w:rsidRDefault="00010BF9">
            <w:pPr>
              <w:spacing w:line="360" w:lineRule="exact"/>
              <w:ind w:firstLineChars="0" w:firstLine="0"/>
              <w:jc w:val="center"/>
              <w:rPr>
                <w:kern w:val="2"/>
                <w:sz w:val="21"/>
                <w:szCs w:val="21"/>
              </w:rPr>
            </w:pPr>
            <w:r>
              <w:rPr>
                <w:kern w:val="2"/>
                <w:sz w:val="21"/>
                <w:szCs w:val="21"/>
              </w:rPr>
              <w:t>影响途径</w:t>
            </w:r>
          </w:p>
        </w:tc>
        <w:tc>
          <w:tcPr>
            <w:tcW w:w="2038" w:type="pct"/>
            <w:gridSpan w:val="6"/>
            <w:vAlign w:val="center"/>
          </w:tcPr>
          <w:p w14:paraId="59FA8424" w14:textId="77777777" w:rsidR="003E78AB" w:rsidRDefault="00010BF9">
            <w:pPr>
              <w:spacing w:line="360" w:lineRule="exact"/>
              <w:ind w:firstLineChars="0" w:firstLine="0"/>
              <w:jc w:val="center"/>
              <w:rPr>
                <w:kern w:val="2"/>
                <w:sz w:val="21"/>
                <w:szCs w:val="21"/>
              </w:rPr>
            </w:pPr>
            <w:r>
              <w:rPr>
                <w:kern w:val="2"/>
                <w:sz w:val="21"/>
                <w:szCs w:val="21"/>
              </w:rPr>
              <w:t>水污染影响型</w:t>
            </w:r>
          </w:p>
        </w:tc>
        <w:tc>
          <w:tcPr>
            <w:tcW w:w="1950" w:type="pct"/>
            <w:gridSpan w:val="7"/>
            <w:vAlign w:val="center"/>
          </w:tcPr>
          <w:p w14:paraId="7AAC4605" w14:textId="77777777" w:rsidR="003E78AB" w:rsidRDefault="00010BF9">
            <w:pPr>
              <w:spacing w:line="360" w:lineRule="exact"/>
              <w:ind w:firstLineChars="0" w:firstLine="0"/>
              <w:jc w:val="center"/>
              <w:rPr>
                <w:kern w:val="2"/>
                <w:sz w:val="21"/>
                <w:szCs w:val="21"/>
              </w:rPr>
            </w:pPr>
            <w:r>
              <w:rPr>
                <w:kern w:val="2"/>
                <w:sz w:val="21"/>
                <w:szCs w:val="21"/>
              </w:rPr>
              <w:t>水文要素影响型</w:t>
            </w:r>
          </w:p>
        </w:tc>
      </w:tr>
      <w:tr w:rsidR="003E78AB" w14:paraId="68663019" w14:textId="77777777">
        <w:trPr>
          <w:trHeight w:val="283"/>
          <w:jc w:val="center"/>
        </w:trPr>
        <w:tc>
          <w:tcPr>
            <w:tcW w:w="258" w:type="pct"/>
            <w:vMerge/>
            <w:vAlign w:val="center"/>
          </w:tcPr>
          <w:p w14:paraId="35188095" w14:textId="77777777" w:rsidR="003E78AB" w:rsidRDefault="003E78AB">
            <w:pPr>
              <w:spacing w:line="360" w:lineRule="exact"/>
              <w:ind w:firstLineChars="0" w:firstLine="0"/>
              <w:jc w:val="left"/>
              <w:rPr>
                <w:kern w:val="2"/>
                <w:sz w:val="21"/>
                <w:szCs w:val="21"/>
              </w:rPr>
            </w:pPr>
          </w:p>
        </w:tc>
        <w:tc>
          <w:tcPr>
            <w:tcW w:w="752" w:type="pct"/>
            <w:vMerge/>
            <w:vAlign w:val="center"/>
          </w:tcPr>
          <w:p w14:paraId="080995C5" w14:textId="77777777" w:rsidR="003E78AB" w:rsidRDefault="003E78AB">
            <w:pPr>
              <w:spacing w:line="360" w:lineRule="exact"/>
              <w:ind w:firstLineChars="0" w:firstLine="0"/>
              <w:jc w:val="left"/>
              <w:rPr>
                <w:kern w:val="2"/>
                <w:sz w:val="21"/>
                <w:szCs w:val="21"/>
              </w:rPr>
            </w:pPr>
          </w:p>
        </w:tc>
        <w:tc>
          <w:tcPr>
            <w:tcW w:w="2038" w:type="pct"/>
            <w:gridSpan w:val="6"/>
            <w:vAlign w:val="center"/>
          </w:tcPr>
          <w:p w14:paraId="72C35E89" w14:textId="77777777" w:rsidR="003E78AB" w:rsidRDefault="00010BF9">
            <w:pPr>
              <w:spacing w:line="360" w:lineRule="exact"/>
              <w:ind w:firstLineChars="0" w:firstLine="0"/>
              <w:jc w:val="center"/>
              <w:rPr>
                <w:kern w:val="2"/>
                <w:sz w:val="21"/>
                <w:szCs w:val="21"/>
              </w:rPr>
            </w:pPr>
            <w:r>
              <w:rPr>
                <w:kern w:val="2"/>
                <w:sz w:val="21"/>
                <w:szCs w:val="21"/>
              </w:rPr>
              <w:t>直接排放</w:t>
            </w:r>
            <w:r>
              <w:rPr>
                <w:kern w:val="2"/>
                <w:sz w:val="21"/>
                <w:szCs w:val="21"/>
              </w:rPr>
              <w:sym w:font="Wingdings 2" w:char="00A3"/>
            </w:r>
            <w:r>
              <w:rPr>
                <w:kern w:val="2"/>
                <w:sz w:val="21"/>
                <w:szCs w:val="21"/>
              </w:rPr>
              <w:t>；间接排放</w:t>
            </w:r>
            <w:r>
              <w:rPr>
                <w:kern w:val="2"/>
                <w:sz w:val="21"/>
                <w:szCs w:val="21"/>
              </w:rPr>
              <w:sym w:font="Wingdings 2" w:char="00A3"/>
            </w:r>
            <w:r>
              <w:rPr>
                <w:kern w:val="2"/>
                <w:sz w:val="21"/>
                <w:szCs w:val="21"/>
              </w:rPr>
              <w:t>；其他</w:t>
            </w:r>
            <w:r>
              <w:rPr>
                <w:kern w:val="2"/>
                <w:sz w:val="21"/>
                <w:szCs w:val="21"/>
              </w:rPr>
              <w:sym w:font="Wingdings 2" w:char="0052"/>
            </w:r>
          </w:p>
        </w:tc>
        <w:tc>
          <w:tcPr>
            <w:tcW w:w="1950" w:type="pct"/>
            <w:gridSpan w:val="7"/>
            <w:vAlign w:val="center"/>
          </w:tcPr>
          <w:p w14:paraId="4C0EA1E8" w14:textId="77777777" w:rsidR="003E78AB" w:rsidRDefault="00010BF9">
            <w:pPr>
              <w:spacing w:line="360" w:lineRule="exact"/>
              <w:ind w:firstLineChars="0" w:firstLine="0"/>
              <w:jc w:val="center"/>
              <w:rPr>
                <w:kern w:val="2"/>
                <w:sz w:val="21"/>
                <w:szCs w:val="21"/>
              </w:rPr>
            </w:pPr>
            <w:r>
              <w:rPr>
                <w:kern w:val="2"/>
                <w:sz w:val="21"/>
                <w:szCs w:val="21"/>
              </w:rPr>
              <w:t>水温</w:t>
            </w:r>
            <w:r>
              <w:rPr>
                <w:kern w:val="2"/>
                <w:sz w:val="21"/>
                <w:szCs w:val="21"/>
              </w:rPr>
              <w:sym w:font="Wingdings 2" w:char="00A3"/>
            </w:r>
            <w:r>
              <w:rPr>
                <w:kern w:val="2"/>
                <w:sz w:val="21"/>
                <w:szCs w:val="21"/>
              </w:rPr>
              <w:t>；径流</w:t>
            </w:r>
            <w:r>
              <w:rPr>
                <w:kern w:val="2"/>
                <w:sz w:val="21"/>
                <w:szCs w:val="21"/>
              </w:rPr>
              <w:sym w:font="Wingdings 2" w:char="00A3"/>
            </w:r>
            <w:r>
              <w:rPr>
                <w:kern w:val="2"/>
                <w:sz w:val="21"/>
                <w:szCs w:val="21"/>
              </w:rPr>
              <w:t>；水域面积</w:t>
            </w:r>
            <w:r>
              <w:rPr>
                <w:kern w:val="2"/>
                <w:sz w:val="21"/>
                <w:szCs w:val="21"/>
              </w:rPr>
              <w:sym w:font="Wingdings 2" w:char="00A3"/>
            </w:r>
          </w:p>
        </w:tc>
      </w:tr>
      <w:tr w:rsidR="003E78AB" w14:paraId="7DB90281" w14:textId="77777777">
        <w:trPr>
          <w:trHeight w:val="283"/>
          <w:jc w:val="center"/>
        </w:trPr>
        <w:tc>
          <w:tcPr>
            <w:tcW w:w="258" w:type="pct"/>
            <w:vMerge/>
            <w:vAlign w:val="center"/>
          </w:tcPr>
          <w:p w14:paraId="335021B9" w14:textId="77777777" w:rsidR="003E78AB" w:rsidRDefault="003E78AB">
            <w:pPr>
              <w:spacing w:line="360" w:lineRule="exact"/>
              <w:ind w:firstLineChars="0" w:firstLine="0"/>
              <w:jc w:val="left"/>
              <w:rPr>
                <w:kern w:val="2"/>
                <w:sz w:val="21"/>
                <w:szCs w:val="21"/>
              </w:rPr>
            </w:pPr>
          </w:p>
        </w:tc>
        <w:tc>
          <w:tcPr>
            <w:tcW w:w="752" w:type="pct"/>
            <w:vAlign w:val="center"/>
          </w:tcPr>
          <w:p w14:paraId="242A8C9A" w14:textId="77777777" w:rsidR="003E78AB" w:rsidRDefault="00010BF9">
            <w:pPr>
              <w:spacing w:line="360" w:lineRule="exact"/>
              <w:ind w:firstLineChars="0" w:firstLine="0"/>
              <w:jc w:val="center"/>
              <w:rPr>
                <w:kern w:val="2"/>
                <w:sz w:val="21"/>
                <w:szCs w:val="21"/>
              </w:rPr>
            </w:pPr>
            <w:r>
              <w:rPr>
                <w:kern w:val="2"/>
                <w:sz w:val="21"/>
                <w:szCs w:val="21"/>
              </w:rPr>
              <w:t>影响因子</w:t>
            </w:r>
          </w:p>
        </w:tc>
        <w:tc>
          <w:tcPr>
            <w:tcW w:w="2038" w:type="pct"/>
            <w:gridSpan w:val="6"/>
            <w:vAlign w:val="center"/>
          </w:tcPr>
          <w:p w14:paraId="0F60B3FC" w14:textId="77777777" w:rsidR="003E78AB" w:rsidRDefault="00010BF9">
            <w:pPr>
              <w:spacing w:line="360" w:lineRule="exact"/>
              <w:ind w:firstLineChars="0" w:firstLine="0"/>
              <w:jc w:val="center"/>
              <w:rPr>
                <w:kern w:val="2"/>
                <w:sz w:val="21"/>
                <w:szCs w:val="21"/>
              </w:rPr>
            </w:pPr>
            <w:r>
              <w:rPr>
                <w:kern w:val="2"/>
                <w:sz w:val="21"/>
                <w:szCs w:val="21"/>
              </w:rPr>
              <w:t>持久性污染物</w:t>
            </w:r>
            <w:r>
              <w:rPr>
                <w:kern w:val="2"/>
                <w:sz w:val="21"/>
                <w:szCs w:val="21"/>
              </w:rPr>
              <w:sym w:font="Wingdings 2" w:char="00A3"/>
            </w:r>
            <w:r>
              <w:rPr>
                <w:kern w:val="2"/>
                <w:sz w:val="21"/>
                <w:szCs w:val="21"/>
              </w:rPr>
              <w:t>；有毒有害污染物</w:t>
            </w:r>
            <w:r>
              <w:rPr>
                <w:kern w:val="2"/>
                <w:sz w:val="21"/>
                <w:szCs w:val="21"/>
              </w:rPr>
              <w:sym w:font="Wingdings 2" w:char="00A3"/>
            </w:r>
            <w:r>
              <w:rPr>
                <w:kern w:val="2"/>
                <w:sz w:val="21"/>
                <w:szCs w:val="21"/>
              </w:rPr>
              <w:t>；非持久性污染物</w:t>
            </w:r>
            <w:r>
              <w:rPr>
                <w:kern w:val="2"/>
                <w:sz w:val="21"/>
                <w:szCs w:val="21"/>
              </w:rPr>
              <w:sym w:font="Wingdings 2" w:char="00A3"/>
            </w:r>
            <w:r>
              <w:rPr>
                <w:kern w:val="2"/>
                <w:sz w:val="21"/>
                <w:szCs w:val="21"/>
              </w:rPr>
              <w:t>；</w:t>
            </w:r>
            <w:r>
              <w:rPr>
                <w:kern w:val="2"/>
                <w:sz w:val="21"/>
                <w:szCs w:val="21"/>
              </w:rPr>
              <w:t>pH</w:t>
            </w:r>
            <w:r>
              <w:rPr>
                <w:kern w:val="2"/>
                <w:sz w:val="21"/>
                <w:szCs w:val="21"/>
              </w:rPr>
              <w:t>值</w:t>
            </w:r>
            <w:r>
              <w:rPr>
                <w:kern w:val="2"/>
                <w:sz w:val="21"/>
                <w:szCs w:val="21"/>
              </w:rPr>
              <w:sym w:font="Wingdings 2" w:char="00A3"/>
            </w:r>
            <w:r>
              <w:rPr>
                <w:kern w:val="2"/>
                <w:sz w:val="21"/>
                <w:szCs w:val="21"/>
              </w:rPr>
              <w:t>；热污染</w:t>
            </w:r>
            <w:r>
              <w:rPr>
                <w:kern w:val="2"/>
                <w:sz w:val="21"/>
                <w:szCs w:val="21"/>
              </w:rPr>
              <w:sym w:font="Wingdings 2" w:char="00A3"/>
            </w:r>
            <w:r>
              <w:rPr>
                <w:kern w:val="2"/>
                <w:sz w:val="21"/>
                <w:szCs w:val="21"/>
              </w:rPr>
              <w:t>；富营养化</w:t>
            </w:r>
            <w:r>
              <w:rPr>
                <w:kern w:val="2"/>
                <w:sz w:val="21"/>
                <w:szCs w:val="21"/>
              </w:rPr>
              <w:sym w:font="Wingdings 2" w:char="00A3"/>
            </w:r>
            <w:r>
              <w:rPr>
                <w:kern w:val="2"/>
                <w:sz w:val="21"/>
                <w:szCs w:val="21"/>
              </w:rPr>
              <w:t>；其他</w:t>
            </w:r>
            <w:r>
              <w:rPr>
                <w:kern w:val="2"/>
                <w:sz w:val="21"/>
                <w:szCs w:val="21"/>
              </w:rPr>
              <w:sym w:font="Wingdings 2" w:char="0052"/>
            </w:r>
          </w:p>
        </w:tc>
        <w:tc>
          <w:tcPr>
            <w:tcW w:w="1950" w:type="pct"/>
            <w:gridSpan w:val="7"/>
            <w:vAlign w:val="center"/>
          </w:tcPr>
          <w:p w14:paraId="0BE57B54" w14:textId="77777777" w:rsidR="003E78AB" w:rsidRDefault="00010BF9">
            <w:pPr>
              <w:spacing w:line="360" w:lineRule="exact"/>
              <w:ind w:firstLineChars="0" w:firstLine="0"/>
              <w:jc w:val="center"/>
              <w:rPr>
                <w:kern w:val="2"/>
                <w:sz w:val="21"/>
                <w:szCs w:val="21"/>
              </w:rPr>
            </w:pPr>
            <w:r>
              <w:rPr>
                <w:kern w:val="2"/>
                <w:sz w:val="21"/>
                <w:szCs w:val="21"/>
              </w:rPr>
              <w:t>水温</w:t>
            </w:r>
            <w:r>
              <w:rPr>
                <w:kern w:val="2"/>
                <w:sz w:val="21"/>
                <w:szCs w:val="21"/>
              </w:rPr>
              <w:sym w:font="Wingdings 2" w:char="00A3"/>
            </w:r>
            <w:r>
              <w:rPr>
                <w:kern w:val="2"/>
                <w:sz w:val="21"/>
                <w:szCs w:val="21"/>
              </w:rPr>
              <w:t>；水位（水深）</w:t>
            </w:r>
            <w:r>
              <w:rPr>
                <w:kern w:val="2"/>
                <w:sz w:val="21"/>
                <w:szCs w:val="21"/>
              </w:rPr>
              <w:sym w:font="Wingdings 2" w:char="00A3"/>
            </w:r>
            <w:r>
              <w:rPr>
                <w:kern w:val="2"/>
                <w:sz w:val="21"/>
                <w:szCs w:val="21"/>
              </w:rPr>
              <w:t>；流速</w:t>
            </w:r>
            <w:r>
              <w:rPr>
                <w:kern w:val="2"/>
                <w:sz w:val="21"/>
                <w:szCs w:val="21"/>
              </w:rPr>
              <w:sym w:font="Wingdings 2" w:char="00A3"/>
            </w:r>
            <w:r>
              <w:rPr>
                <w:kern w:val="2"/>
                <w:sz w:val="21"/>
                <w:szCs w:val="21"/>
              </w:rPr>
              <w:t>；流量</w:t>
            </w:r>
            <w:r>
              <w:rPr>
                <w:kern w:val="2"/>
                <w:sz w:val="21"/>
                <w:szCs w:val="21"/>
              </w:rPr>
              <w:sym w:font="Wingdings 2" w:char="00A3"/>
            </w:r>
            <w:r>
              <w:rPr>
                <w:kern w:val="2"/>
                <w:sz w:val="21"/>
                <w:szCs w:val="21"/>
              </w:rPr>
              <w:t>；其他</w:t>
            </w:r>
            <w:r>
              <w:rPr>
                <w:kern w:val="2"/>
                <w:sz w:val="21"/>
                <w:szCs w:val="21"/>
              </w:rPr>
              <w:sym w:font="Wingdings 2" w:char="00A3"/>
            </w:r>
          </w:p>
        </w:tc>
      </w:tr>
      <w:tr w:rsidR="003E78AB" w14:paraId="575709D1" w14:textId="77777777">
        <w:trPr>
          <w:trHeight w:val="283"/>
          <w:jc w:val="center"/>
        </w:trPr>
        <w:tc>
          <w:tcPr>
            <w:tcW w:w="1010" w:type="pct"/>
            <w:gridSpan w:val="2"/>
            <w:vMerge w:val="restart"/>
            <w:vAlign w:val="center"/>
          </w:tcPr>
          <w:p w14:paraId="3DA20985" w14:textId="77777777" w:rsidR="003E78AB" w:rsidRDefault="00010BF9">
            <w:pPr>
              <w:spacing w:line="360" w:lineRule="exact"/>
              <w:ind w:firstLineChars="0" w:firstLine="0"/>
              <w:jc w:val="center"/>
              <w:rPr>
                <w:kern w:val="2"/>
                <w:sz w:val="21"/>
                <w:szCs w:val="21"/>
              </w:rPr>
            </w:pPr>
            <w:r>
              <w:rPr>
                <w:kern w:val="2"/>
                <w:sz w:val="21"/>
                <w:szCs w:val="21"/>
              </w:rPr>
              <w:t>评价等级</w:t>
            </w:r>
          </w:p>
        </w:tc>
        <w:tc>
          <w:tcPr>
            <w:tcW w:w="2038" w:type="pct"/>
            <w:gridSpan w:val="6"/>
            <w:vAlign w:val="center"/>
          </w:tcPr>
          <w:p w14:paraId="0C541A7F" w14:textId="77777777" w:rsidR="003E78AB" w:rsidRDefault="00010BF9">
            <w:pPr>
              <w:spacing w:line="360" w:lineRule="exact"/>
              <w:ind w:firstLineChars="0" w:firstLine="0"/>
              <w:jc w:val="center"/>
              <w:rPr>
                <w:kern w:val="2"/>
                <w:sz w:val="21"/>
                <w:szCs w:val="21"/>
              </w:rPr>
            </w:pPr>
            <w:r>
              <w:rPr>
                <w:kern w:val="2"/>
                <w:sz w:val="21"/>
                <w:szCs w:val="21"/>
              </w:rPr>
              <w:t>水污染影响型</w:t>
            </w:r>
          </w:p>
        </w:tc>
        <w:tc>
          <w:tcPr>
            <w:tcW w:w="1950" w:type="pct"/>
            <w:gridSpan w:val="7"/>
            <w:vAlign w:val="center"/>
          </w:tcPr>
          <w:p w14:paraId="11893230" w14:textId="77777777" w:rsidR="003E78AB" w:rsidRDefault="00010BF9">
            <w:pPr>
              <w:spacing w:line="360" w:lineRule="exact"/>
              <w:ind w:firstLineChars="0" w:firstLine="0"/>
              <w:jc w:val="center"/>
              <w:rPr>
                <w:kern w:val="2"/>
                <w:sz w:val="21"/>
                <w:szCs w:val="21"/>
              </w:rPr>
            </w:pPr>
            <w:r>
              <w:rPr>
                <w:kern w:val="2"/>
                <w:sz w:val="21"/>
                <w:szCs w:val="21"/>
              </w:rPr>
              <w:t>水文要素影响型</w:t>
            </w:r>
          </w:p>
        </w:tc>
      </w:tr>
      <w:tr w:rsidR="003E78AB" w14:paraId="74EE6CA4" w14:textId="77777777">
        <w:trPr>
          <w:trHeight w:val="283"/>
          <w:jc w:val="center"/>
        </w:trPr>
        <w:tc>
          <w:tcPr>
            <w:tcW w:w="1010" w:type="pct"/>
            <w:gridSpan w:val="2"/>
            <w:vMerge/>
            <w:vAlign w:val="center"/>
          </w:tcPr>
          <w:p w14:paraId="41208179" w14:textId="77777777" w:rsidR="003E78AB" w:rsidRDefault="003E78AB">
            <w:pPr>
              <w:spacing w:line="360" w:lineRule="exact"/>
              <w:ind w:firstLineChars="0" w:firstLine="0"/>
              <w:jc w:val="left"/>
              <w:rPr>
                <w:kern w:val="2"/>
                <w:sz w:val="21"/>
                <w:szCs w:val="21"/>
              </w:rPr>
            </w:pPr>
          </w:p>
        </w:tc>
        <w:tc>
          <w:tcPr>
            <w:tcW w:w="2038" w:type="pct"/>
            <w:gridSpan w:val="6"/>
            <w:vAlign w:val="center"/>
          </w:tcPr>
          <w:p w14:paraId="1713E40A" w14:textId="77777777" w:rsidR="003E78AB" w:rsidRDefault="00010BF9">
            <w:pPr>
              <w:spacing w:line="360" w:lineRule="exact"/>
              <w:ind w:firstLineChars="0" w:firstLine="0"/>
              <w:jc w:val="center"/>
              <w:rPr>
                <w:kern w:val="2"/>
                <w:sz w:val="21"/>
                <w:szCs w:val="21"/>
              </w:rPr>
            </w:pPr>
            <w:r>
              <w:rPr>
                <w:kern w:val="2"/>
                <w:sz w:val="21"/>
                <w:szCs w:val="21"/>
              </w:rPr>
              <w:t>一级</w:t>
            </w:r>
            <w:r>
              <w:rPr>
                <w:kern w:val="2"/>
                <w:sz w:val="21"/>
                <w:szCs w:val="21"/>
              </w:rPr>
              <w:sym w:font="Wingdings 2" w:char="00A3"/>
            </w:r>
            <w:r>
              <w:rPr>
                <w:kern w:val="2"/>
                <w:sz w:val="21"/>
                <w:szCs w:val="21"/>
              </w:rPr>
              <w:t>；二级</w:t>
            </w:r>
            <w:r>
              <w:rPr>
                <w:kern w:val="2"/>
                <w:sz w:val="21"/>
                <w:szCs w:val="21"/>
              </w:rPr>
              <w:sym w:font="Wingdings 2" w:char="00A3"/>
            </w:r>
            <w:r>
              <w:rPr>
                <w:kern w:val="2"/>
                <w:sz w:val="21"/>
                <w:szCs w:val="21"/>
              </w:rPr>
              <w:t>；三级</w:t>
            </w:r>
            <w:r>
              <w:rPr>
                <w:kern w:val="2"/>
                <w:sz w:val="21"/>
                <w:szCs w:val="21"/>
              </w:rPr>
              <w:t>A</w:t>
            </w:r>
            <w:r>
              <w:rPr>
                <w:kern w:val="2"/>
                <w:sz w:val="21"/>
                <w:szCs w:val="21"/>
              </w:rPr>
              <w:sym w:font="Wingdings 2" w:char="00A3"/>
            </w:r>
            <w:r>
              <w:rPr>
                <w:kern w:val="2"/>
                <w:sz w:val="21"/>
                <w:szCs w:val="21"/>
              </w:rPr>
              <w:t>；三级</w:t>
            </w:r>
            <w:r>
              <w:rPr>
                <w:kern w:val="2"/>
                <w:sz w:val="21"/>
                <w:szCs w:val="21"/>
              </w:rPr>
              <w:t>B</w:t>
            </w:r>
            <w:r>
              <w:rPr>
                <w:kern w:val="2"/>
                <w:sz w:val="21"/>
                <w:szCs w:val="21"/>
              </w:rPr>
              <w:sym w:font="Wingdings 2" w:char="0052"/>
            </w:r>
          </w:p>
        </w:tc>
        <w:tc>
          <w:tcPr>
            <w:tcW w:w="1950" w:type="pct"/>
            <w:gridSpan w:val="7"/>
            <w:vAlign w:val="center"/>
          </w:tcPr>
          <w:p w14:paraId="71200861" w14:textId="77777777" w:rsidR="003E78AB" w:rsidRDefault="00010BF9">
            <w:pPr>
              <w:spacing w:line="360" w:lineRule="exact"/>
              <w:ind w:firstLineChars="0" w:firstLine="0"/>
              <w:jc w:val="center"/>
              <w:rPr>
                <w:kern w:val="2"/>
                <w:sz w:val="21"/>
                <w:szCs w:val="21"/>
              </w:rPr>
            </w:pPr>
            <w:r>
              <w:rPr>
                <w:kern w:val="2"/>
                <w:sz w:val="21"/>
                <w:szCs w:val="21"/>
              </w:rPr>
              <w:t>一级</w:t>
            </w:r>
            <w:r>
              <w:rPr>
                <w:kern w:val="2"/>
                <w:sz w:val="21"/>
                <w:szCs w:val="21"/>
              </w:rPr>
              <w:sym w:font="Wingdings 2" w:char="00A3"/>
            </w:r>
            <w:r>
              <w:rPr>
                <w:kern w:val="2"/>
                <w:sz w:val="21"/>
                <w:szCs w:val="21"/>
              </w:rPr>
              <w:t>；二级</w:t>
            </w:r>
            <w:r>
              <w:rPr>
                <w:kern w:val="2"/>
                <w:sz w:val="21"/>
                <w:szCs w:val="21"/>
              </w:rPr>
              <w:sym w:font="Wingdings 2" w:char="00A3"/>
            </w:r>
            <w:r>
              <w:rPr>
                <w:kern w:val="2"/>
                <w:sz w:val="21"/>
                <w:szCs w:val="21"/>
              </w:rPr>
              <w:t>；三级</w:t>
            </w:r>
            <w:r>
              <w:rPr>
                <w:kern w:val="2"/>
                <w:sz w:val="21"/>
                <w:szCs w:val="21"/>
              </w:rPr>
              <w:sym w:font="Wingdings 2" w:char="00A3"/>
            </w:r>
          </w:p>
        </w:tc>
      </w:tr>
      <w:tr w:rsidR="003E78AB" w14:paraId="63DDADF0" w14:textId="77777777">
        <w:trPr>
          <w:trHeight w:val="283"/>
          <w:jc w:val="center"/>
        </w:trPr>
        <w:tc>
          <w:tcPr>
            <w:tcW w:w="258" w:type="pct"/>
            <w:vMerge w:val="restart"/>
            <w:vAlign w:val="center"/>
          </w:tcPr>
          <w:p w14:paraId="79CAD612" w14:textId="77777777" w:rsidR="003E78AB" w:rsidRDefault="00010BF9">
            <w:pPr>
              <w:spacing w:line="360" w:lineRule="exact"/>
              <w:ind w:firstLineChars="0" w:firstLine="0"/>
              <w:jc w:val="center"/>
              <w:rPr>
                <w:kern w:val="2"/>
                <w:sz w:val="21"/>
                <w:szCs w:val="21"/>
              </w:rPr>
            </w:pPr>
            <w:r>
              <w:rPr>
                <w:kern w:val="2"/>
                <w:sz w:val="21"/>
                <w:szCs w:val="21"/>
              </w:rPr>
              <w:t>现状调查</w:t>
            </w:r>
          </w:p>
        </w:tc>
        <w:tc>
          <w:tcPr>
            <w:tcW w:w="752" w:type="pct"/>
            <w:vMerge w:val="restart"/>
            <w:vAlign w:val="center"/>
          </w:tcPr>
          <w:p w14:paraId="75837289" w14:textId="77777777" w:rsidR="003E78AB" w:rsidRDefault="00010BF9">
            <w:pPr>
              <w:spacing w:line="360" w:lineRule="exact"/>
              <w:ind w:firstLineChars="0" w:firstLine="0"/>
              <w:jc w:val="center"/>
              <w:rPr>
                <w:kern w:val="2"/>
                <w:sz w:val="21"/>
                <w:szCs w:val="21"/>
              </w:rPr>
            </w:pPr>
            <w:r>
              <w:rPr>
                <w:kern w:val="2"/>
                <w:sz w:val="21"/>
                <w:szCs w:val="21"/>
              </w:rPr>
              <w:t>区域污染源</w:t>
            </w:r>
          </w:p>
        </w:tc>
        <w:tc>
          <w:tcPr>
            <w:tcW w:w="2038" w:type="pct"/>
            <w:gridSpan w:val="6"/>
            <w:vAlign w:val="center"/>
          </w:tcPr>
          <w:p w14:paraId="4ECDF7AA" w14:textId="77777777" w:rsidR="003E78AB" w:rsidRDefault="00010BF9">
            <w:pPr>
              <w:spacing w:line="360" w:lineRule="exact"/>
              <w:ind w:firstLineChars="0" w:firstLine="0"/>
              <w:jc w:val="center"/>
              <w:rPr>
                <w:kern w:val="2"/>
                <w:sz w:val="21"/>
                <w:szCs w:val="21"/>
              </w:rPr>
            </w:pPr>
            <w:r>
              <w:rPr>
                <w:kern w:val="2"/>
                <w:sz w:val="21"/>
                <w:szCs w:val="21"/>
              </w:rPr>
              <w:t>调查项目</w:t>
            </w:r>
          </w:p>
        </w:tc>
        <w:tc>
          <w:tcPr>
            <w:tcW w:w="1950" w:type="pct"/>
            <w:gridSpan w:val="7"/>
            <w:vAlign w:val="center"/>
          </w:tcPr>
          <w:p w14:paraId="4EA32560" w14:textId="77777777" w:rsidR="003E78AB" w:rsidRDefault="00010BF9">
            <w:pPr>
              <w:spacing w:line="360" w:lineRule="exact"/>
              <w:ind w:firstLineChars="0" w:firstLine="0"/>
              <w:jc w:val="center"/>
              <w:rPr>
                <w:kern w:val="2"/>
                <w:sz w:val="21"/>
                <w:szCs w:val="21"/>
              </w:rPr>
            </w:pPr>
            <w:r>
              <w:rPr>
                <w:kern w:val="2"/>
                <w:sz w:val="21"/>
                <w:szCs w:val="21"/>
              </w:rPr>
              <w:t>数据来源</w:t>
            </w:r>
          </w:p>
        </w:tc>
      </w:tr>
      <w:tr w:rsidR="003E78AB" w14:paraId="0EEEEF95" w14:textId="77777777">
        <w:trPr>
          <w:trHeight w:val="283"/>
          <w:jc w:val="center"/>
        </w:trPr>
        <w:tc>
          <w:tcPr>
            <w:tcW w:w="258" w:type="pct"/>
            <w:vMerge/>
            <w:vAlign w:val="center"/>
          </w:tcPr>
          <w:p w14:paraId="4A66B6C4" w14:textId="77777777" w:rsidR="003E78AB" w:rsidRDefault="003E78AB">
            <w:pPr>
              <w:spacing w:line="360" w:lineRule="exact"/>
              <w:ind w:firstLineChars="0" w:firstLine="0"/>
              <w:jc w:val="left"/>
              <w:rPr>
                <w:kern w:val="2"/>
                <w:sz w:val="21"/>
                <w:szCs w:val="21"/>
              </w:rPr>
            </w:pPr>
          </w:p>
        </w:tc>
        <w:tc>
          <w:tcPr>
            <w:tcW w:w="752" w:type="pct"/>
            <w:vMerge/>
            <w:vAlign w:val="center"/>
          </w:tcPr>
          <w:p w14:paraId="617E4A3A" w14:textId="77777777" w:rsidR="003E78AB" w:rsidRDefault="003E78AB">
            <w:pPr>
              <w:spacing w:line="360" w:lineRule="exact"/>
              <w:ind w:firstLineChars="0" w:firstLine="0"/>
              <w:jc w:val="left"/>
              <w:rPr>
                <w:kern w:val="2"/>
                <w:sz w:val="21"/>
                <w:szCs w:val="21"/>
              </w:rPr>
            </w:pPr>
          </w:p>
        </w:tc>
        <w:tc>
          <w:tcPr>
            <w:tcW w:w="1027" w:type="pct"/>
            <w:gridSpan w:val="3"/>
            <w:vAlign w:val="center"/>
          </w:tcPr>
          <w:p w14:paraId="44F288C8" w14:textId="77777777" w:rsidR="003E78AB" w:rsidRDefault="00010BF9">
            <w:pPr>
              <w:spacing w:line="360" w:lineRule="exact"/>
              <w:ind w:firstLineChars="0" w:firstLine="0"/>
              <w:jc w:val="center"/>
              <w:rPr>
                <w:kern w:val="2"/>
                <w:sz w:val="21"/>
                <w:szCs w:val="21"/>
              </w:rPr>
            </w:pPr>
            <w:r>
              <w:rPr>
                <w:kern w:val="2"/>
                <w:sz w:val="21"/>
                <w:szCs w:val="21"/>
              </w:rPr>
              <w:t>已建</w:t>
            </w:r>
            <w:r>
              <w:rPr>
                <w:kern w:val="2"/>
                <w:sz w:val="21"/>
                <w:szCs w:val="21"/>
              </w:rPr>
              <w:sym w:font="Wingdings 2" w:char="00A3"/>
            </w:r>
            <w:r>
              <w:rPr>
                <w:kern w:val="2"/>
                <w:sz w:val="21"/>
                <w:szCs w:val="21"/>
              </w:rPr>
              <w:t>；在建</w:t>
            </w:r>
            <w:r>
              <w:rPr>
                <w:kern w:val="2"/>
                <w:sz w:val="21"/>
                <w:szCs w:val="21"/>
              </w:rPr>
              <w:sym w:font="Wingdings 2" w:char="00A3"/>
            </w:r>
            <w:r>
              <w:rPr>
                <w:kern w:val="2"/>
                <w:sz w:val="21"/>
                <w:szCs w:val="21"/>
              </w:rPr>
              <w:t>；拟建</w:t>
            </w:r>
            <w:r>
              <w:rPr>
                <w:kern w:val="2"/>
                <w:sz w:val="21"/>
                <w:szCs w:val="21"/>
              </w:rPr>
              <w:sym w:font="Wingdings 2" w:char="00A3"/>
            </w:r>
            <w:r>
              <w:rPr>
                <w:kern w:val="2"/>
                <w:sz w:val="21"/>
                <w:szCs w:val="21"/>
              </w:rPr>
              <w:t>；其他</w:t>
            </w:r>
            <w:r>
              <w:rPr>
                <w:kern w:val="2"/>
                <w:sz w:val="21"/>
                <w:szCs w:val="21"/>
              </w:rPr>
              <w:sym w:font="Wingdings 2" w:char="00A3"/>
            </w:r>
          </w:p>
        </w:tc>
        <w:tc>
          <w:tcPr>
            <w:tcW w:w="1011" w:type="pct"/>
            <w:gridSpan w:val="3"/>
            <w:vAlign w:val="center"/>
          </w:tcPr>
          <w:p w14:paraId="27764835" w14:textId="77777777" w:rsidR="003E78AB" w:rsidRDefault="00010BF9">
            <w:pPr>
              <w:spacing w:line="360" w:lineRule="exact"/>
              <w:ind w:firstLineChars="0" w:firstLine="0"/>
              <w:jc w:val="center"/>
              <w:rPr>
                <w:kern w:val="2"/>
                <w:sz w:val="21"/>
                <w:szCs w:val="21"/>
              </w:rPr>
            </w:pPr>
            <w:r>
              <w:rPr>
                <w:kern w:val="2"/>
                <w:sz w:val="21"/>
                <w:szCs w:val="21"/>
              </w:rPr>
              <w:t>拟替代的污染源</w:t>
            </w:r>
            <w:r>
              <w:rPr>
                <w:kern w:val="2"/>
                <w:sz w:val="21"/>
                <w:szCs w:val="21"/>
              </w:rPr>
              <w:sym w:font="Wingdings 2" w:char="00A3"/>
            </w:r>
          </w:p>
        </w:tc>
        <w:tc>
          <w:tcPr>
            <w:tcW w:w="1950" w:type="pct"/>
            <w:gridSpan w:val="7"/>
            <w:vAlign w:val="center"/>
          </w:tcPr>
          <w:p w14:paraId="7FBCF423" w14:textId="77777777" w:rsidR="003E78AB" w:rsidRDefault="00010BF9">
            <w:pPr>
              <w:spacing w:line="360" w:lineRule="exact"/>
              <w:ind w:firstLineChars="0" w:firstLine="0"/>
              <w:jc w:val="center"/>
              <w:rPr>
                <w:kern w:val="2"/>
                <w:sz w:val="21"/>
                <w:szCs w:val="21"/>
              </w:rPr>
            </w:pPr>
            <w:r>
              <w:rPr>
                <w:kern w:val="2"/>
                <w:sz w:val="21"/>
                <w:szCs w:val="21"/>
              </w:rPr>
              <w:t>排污许可证</w:t>
            </w:r>
            <w:r>
              <w:rPr>
                <w:kern w:val="2"/>
                <w:sz w:val="21"/>
                <w:szCs w:val="21"/>
              </w:rPr>
              <w:sym w:font="Wingdings 2" w:char="00A3"/>
            </w:r>
            <w:r>
              <w:rPr>
                <w:kern w:val="2"/>
                <w:sz w:val="21"/>
                <w:szCs w:val="21"/>
              </w:rPr>
              <w:t>；环评</w:t>
            </w:r>
            <w:r>
              <w:rPr>
                <w:kern w:val="2"/>
                <w:sz w:val="21"/>
                <w:szCs w:val="21"/>
              </w:rPr>
              <w:sym w:font="Wingdings 2" w:char="00A3"/>
            </w:r>
            <w:r>
              <w:rPr>
                <w:kern w:val="2"/>
                <w:sz w:val="21"/>
                <w:szCs w:val="21"/>
              </w:rPr>
              <w:t>；环保验收</w:t>
            </w:r>
            <w:r>
              <w:rPr>
                <w:kern w:val="2"/>
                <w:sz w:val="21"/>
                <w:szCs w:val="21"/>
              </w:rPr>
              <w:sym w:font="Wingdings 2" w:char="00A3"/>
            </w:r>
            <w:r>
              <w:rPr>
                <w:kern w:val="2"/>
                <w:sz w:val="21"/>
                <w:szCs w:val="21"/>
              </w:rPr>
              <w:t>；即有实施</w:t>
            </w:r>
            <w:r>
              <w:rPr>
                <w:kern w:val="2"/>
                <w:sz w:val="21"/>
                <w:szCs w:val="21"/>
              </w:rPr>
              <w:sym w:font="Wingdings 2" w:char="00A3"/>
            </w:r>
            <w:r>
              <w:rPr>
                <w:kern w:val="2"/>
                <w:sz w:val="21"/>
                <w:szCs w:val="21"/>
              </w:rPr>
              <w:t>；现场监测</w:t>
            </w:r>
            <w:r>
              <w:rPr>
                <w:kern w:val="2"/>
                <w:sz w:val="21"/>
                <w:szCs w:val="21"/>
              </w:rPr>
              <w:sym w:font="Wingdings 2" w:char="00A3"/>
            </w:r>
            <w:r>
              <w:rPr>
                <w:kern w:val="2"/>
                <w:sz w:val="21"/>
                <w:szCs w:val="21"/>
              </w:rPr>
              <w:t>；入河排放口数据</w:t>
            </w:r>
            <w:r>
              <w:rPr>
                <w:kern w:val="2"/>
                <w:sz w:val="21"/>
                <w:szCs w:val="21"/>
              </w:rPr>
              <w:sym w:font="Wingdings 2" w:char="00A3"/>
            </w:r>
            <w:r>
              <w:rPr>
                <w:kern w:val="2"/>
                <w:sz w:val="21"/>
                <w:szCs w:val="21"/>
              </w:rPr>
              <w:t>；其他</w:t>
            </w:r>
            <w:r>
              <w:rPr>
                <w:kern w:val="2"/>
                <w:sz w:val="21"/>
                <w:szCs w:val="21"/>
              </w:rPr>
              <w:sym w:font="Wingdings 2" w:char="00A3"/>
            </w:r>
          </w:p>
        </w:tc>
      </w:tr>
      <w:tr w:rsidR="003E78AB" w14:paraId="2DF19BAF" w14:textId="77777777">
        <w:trPr>
          <w:trHeight w:val="283"/>
          <w:jc w:val="center"/>
        </w:trPr>
        <w:tc>
          <w:tcPr>
            <w:tcW w:w="258" w:type="pct"/>
            <w:vMerge/>
            <w:vAlign w:val="center"/>
          </w:tcPr>
          <w:p w14:paraId="7F69ED2F"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1DBD1DE9" w14:textId="77777777" w:rsidR="003E78AB" w:rsidRDefault="00010BF9">
            <w:pPr>
              <w:spacing w:line="360" w:lineRule="exact"/>
              <w:ind w:firstLineChars="0" w:firstLine="0"/>
              <w:jc w:val="center"/>
              <w:rPr>
                <w:kern w:val="2"/>
                <w:sz w:val="21"/>
                <w:szCs w:val="21"/>
              </w:rPr>
            </w:pPr>
            <w:r>
              <w:rPr>
                <w:kern w:val="2"/>
                <w:sz w:val="21"/>
                <w:szCs w:val="21"/>
              </w:rPr>
              <w:t>受影响水体水环境质量</w:t>
            </w:r>
          </w:p>
        </w:tc>
        <w:tc>
          <w:tcPr>
            <w:tcW w:w="2038" w:type="pct"/>
            <w:gridSpan w:val="6"/>
            <w:vAlign w:val="center"/>
          </w:tcPr>
          <w:p w14:paraId="7B31349B" w14:textId="77777777" w:rsidR="003E78AB" w:rsidRDefault="00010BF9">
            <w:pPr>
              <w:spacing w:line="360" w:lineRule="exact"/>
              <w:ind w:firstLineChars="0" w:firstLine="0"/>
              <w:jc w:val="center"/>
              <w:rPr>
                <w:kern w:val="2"/>
                <w:sz w:val="21"/>
                <w:szCs w:val="21"/>
              </w:rPr>
            </w:pPr>
            <w:r>
              <w:rPr>
                <w:kern w:val="2"/>
                <w:sz w:val="21"/>
                <w:szCs w:val="21"/>
              </w:rPr>
              <w:t>调查时期</w:t>
            </w:r>
          </w:p>
        </w:tc>
        <w:tc>
          <w:tcPr>
            <w:tcW w:w="1950" w:type="pct"/>
            <w:gridSpan w:val="7"/>
            <w:vAlign w:val="center"/>
          </w:tcPr>
          <w:p w14:paraId="29BC0AA8" w14:textId="77777777" w:rsidR="003E78AB" w:rsidRDefault="00010BF9">
            <w:pPr>
              <w:spacing w:line="360" w:lineRule="exact"/>
              <w:ind w:firstLineChars="0" w:firstLine="0"/>
              <w:jc w:val="center"/>
              <w:rPr>
                <w:kern w:val="2"/>
                <w:sz w:val="21"/>
                <w:szCs w:val="21"/>
              </w:rPr>
            </w:pPr>
            <w:r>
              <w:rPr>
                <w:kern w:val="2"/>
                <w:sz w:val="21"/>
                <w:szCs w:val="21"/>
              </w:rPr>
              <w:t>数据来源</w:t>
            </w:r>
          </w:p>
        </w:tc>
      </w:tr>
      <w:tr w:rsidR="003E78AB" w14:paraId="7E5D0FEB" w14:textId="77777777">
        <w:trPr>
          <w:trHeight w:val="283"/>
          <w:jc w:val="center"/>
        </w:trPr>
        <w:tc>
          <w:tcPr>
            <w:tcW w:w="258" w:type="pct"/>
            <w:vMerge/>
            <w:vAlign w:val="center"/>
          </w:tcPr>
          <w:p w14:paraId="28EE5B72" w14:textId="77777777" w:rsidR="003E78AB" w:rsidRDefault="003E78AB">
            <w:pPr>
              <w:spacing w:line="360" w:lineRule="exact"/>
              <w:ind w:firstLineChars="0" w:firstLine="0"/>
              <w:jc w:val="left"/>
              <w:rPr>
                <w:kern w:val="2"/>
                <w:sz w:val="21"/>
                <w:szCs w:val="21"/>
              </w:rPr>
            </w:pPr>
          </w:p>
        </w:tc>
        <w:tc>
          <w:tcPr>
            <w:tcW w:w="752" w:type="pct"/>
            <w:vMerge/>
            <w:vAlign w:val="center"/>
          </w:tcPr>
          <w:p w14:paraId="5B36FA35" w14:textId="77777777" w:rsidR="003E78AB" w:rsidRDefault="003E78AB">
            <w:pPr>
              <w:spacing w:line="360" w:lineRule="exact"/>
              <w:ind w:firstLineChars="0" w:firstLine="0"/>
              <w:jc w:val="left"/>
              <w:rPr>
                <w:kern w:val="2"/>
                <w:sz w:val="21"/>
                <w:szCs w:val="21"/>
              </w:rPr>
            </w:pPr>
          </w:p>
        </w:tc>
        <w:tc>
          <w:tcPr>
            <w:tcW w:w="2038" w:type="pct"/>
            <w:gridSpan w:val="6"/>
            <w:vAlign w:val="center"/>
          </w:tcPr>
          <w:p w14:paraId="67299C44" w14:textId="77777777" w:rsidR="003E78AB" w:rsidRDefault="00010BF9">
            <w:pPr>
              <w:spacing w:line="360" w:lineRule="exact"/>
              <w:ind w:firstLineChars="0" w:firstLine="0"/>
              <w:jc w:val="center"/>
              <w:rPr>
                <w:kern w:val="2"/>
                <w:sz w:val="21"/>
                <w:szCs w:val="21"/>
              </w:rPr>
            </w:pPr>
            <w:r>
              <w:rPr>
                <w:kern w:val="2"/>
                <w:sz w:val="21"/>
                <w:szCs w:val="21"/>
              </w:rPr>
              <w:t>丰水期</w:t>
            </w:r>
            <w:r>
              <w:rPr>
                <w:kern w:val="2"/>
                <w:sz w:val="21"/>
                <w:szCs w:val="21"/>
              </w:rPr>
              <w:sym w:font="Wingdings 2" w:char="00A3"/>
            </w:r>
            <w:r>
              <w:rPr>
                <w:kern w:val="2"/>
                <w:sz w:val="21"/>
                <w:szCs w:val="21"/>
              </w:rPr>
              <w:t>；平水期</w:t>
            </w:r>
            <w:r>
              <w:rPr>
                <w:kern w:val="2"/>
                <w:sz w:val="21"/>
                <w:szCs w:val="21"/>
              </w:rPr>
              <w:sym w:font="Wingdings 2" w:char="00A3"/>
            </w:r>
            <w:r>
              <w:rPr>
                <w:kern w:val="2"/>
                <w:sz w:val="21"/>
                <w:szCs w:val="21"/>
              </w:rPr>
              <w:t>；枯水期</w:t>
            </w:r>
            <w:r>
              <w:rPr>
                <w:kern w:val="2"/>
                <w:sz w:val="21"/>
                <w:szCs w:val="21"/>
              </w:rPr>
              <w:sym w:font="Wingdings 2" w:char="00A3"/>
            </w:r>
            <w:r>
              <w:rPr>
                <w:kern w:val="2"/>
                <w:sz w:val="21"/>
                <w:szCs w:val="21"/>
              </w:rPr>
              <w:t>；冰封期</w:t>
            </w:r>
            <w:r>
              <w:rPr>
                <w:kern w:val="2"/>
                <w:sz w:val="21"/>
                <w:szCs w:val="21"/>
              </w:rPr>
              <w:sym w:font="Wingdings 2" w:char="00A3"/>
            </w:r>
            <w:r>
              <w:rPr>
                <w:kern w:val="2"/>
                <w:sz w:val="21"/>
                <w:szCs w:val="21"/>
              </w:rPr>
              <w:t>；春季</w:t>
            </w:r>
            <w:r>
              <w:rPr>
                <w:kern w:val="2"/>
                <w:sz w:val="21"/>
                <w:szCs w:val="21"/>
              </w:rPr>
              <w:sym w:font="Wingdings 2" w:char="00A3"/>
            </w:r>
            <w:r>
              <w:rPr>
                <w:kern w:val="2"/>
                <w:sz w:val="21"/>
                <w:szCs w:val="21"/>
              </w:rPr>
              <w:t>；夏季</w:t>
            </w:r>
            <w:r>
              <w:rPr>
                <w:kern w:val="2"/>
                <w:sz w:val="21"/>
                <w:szCs w:val="21"/>
              </w:rPr>
              <w:sym w:font="Wingdings 2" w:char="0052"/>
            </w:r>
            <w:r>
              <w:rPr>
                <w:kern w:val="2"/>
                <w:sz w:val="21"/>
                <w:szCs w:val="21"/>
              </w:rPr>
              <w:t>；秋季</w:t>
            </w:r>
            <w:r>
              <w:rPr>
                <w:kern w:val="2"/>
                <w:sz w:val="21"/>
                <w:szCs w:val="21"/>
              </w:rPr>
              <w:sym w:font="Wingdings 2" w:char="00A3"/>
            </w:r>
            <w:r>
              <w:rPr>
                <w:kern w:val="2"/>
                <w:sz w:val="21"/>
                <w:szCs w:val="21"/>
              </w:rPr>
              <w:t>；冬季</w:t>
            </w:r>
            <w:r>
              <w:rPr>
                <w:kern w:val="2"/>
                <w:sz w:val="21"/>
                <w:szCs w:val="21"/>
              </w:rPr>
              <w:sym w:font="Wingdings 2" w:char="00A3"/>
            </w:r>
          </w:p>
        </w:tc>
        <w:tc>
          <w:tcPr>
            <w:tcW w:w="1950" w:type="pct"/>
            <w:gridSpan w:val="7"/>
            <w:vAlign w:val="center"/>
          </w:tcPr>
          <w:p w14:paraId="425CD4D0" w14:textId="77777777" w:rsidR="003E78AB" w:rsidRDefault="00010BF9">
            <w:pPr>
              <w:spacing w:line="360" w:lineRule="exact"/>
              <w:ind w:firstLineChars="0" w:firstLine="0"/>
              <w:jc w:val="center"/>
              <w:rPr>
                <w:kern w:val="2"/>
                <w:sz w:val="21"/>
                <w:szCs w:val="21"/>
              </w:rPr>
            </w:pPr>
            <w:r>
              <w:rPr>
                <w:kern w:val="2"/>
                <w:sz w:val="21"/>
                <w:szCs w:val="21"/>
              </w:rPr>
              <w:t>生态</w:t>
            </w:r>
            <w:r>
              <w:rPr>
                <w:rFonts w:hint="eastAsia"/>
                <w:kern w:val="2"/>
                <w:sz w:val="21"/>
                <w:szCs w:val="21"/>
              </w:rPr>
              <w:t>生态环境主管部门</w:t>
            </w:r>
            <w:r>
              <w:rPr>
                <w:kern w:val="2"/>
                <w:sz w:val="21"/>
                <w:szCs w:val="21"/>
              </w:rPr>
              <w:sym w:font="Wingdings 2" w:char="00A3"/>
            </w:r>
            <w:r>
              <w:rPr>
                <w:kern w:val="2"/>
                <w:sz w:val="21"/>
                <w:szCs w:val="21"/>
              </w:rPr>
              <w:t>；补充监测</w:t>
            </w:r>
            <w:r>
              <w:rPr>
                <w:kern w:val="2"/>
                <w:sz w:val="21"/>
                <w:szCs w:val="21"/>
              </w:rPr>
              <w:sym w:font="Wingdings 2" w:char="00A3"/>
            </w:r>
            <w:r>
              <w:rPr>
                <w:kern w:val="2"/>
                <w:sz w:val="21"/>
                <w:szCs w:val="21"/>
              </w:rPr>
              <w:t>；其他</w:t>
            </w:r>
            <w:r>
              <w:rPr>
                <w:kern w:val="2"/>
                <w:sz w:val="21"/>
                <w:szCs w:val="21"/>
              </w:rPr>
              <w:sym w:font="Wingdings 2" w:char="00A3"/>
            </w:r>
          </w:p>
        </w:tc>
      </w:tr>
      <w:tr w:rsidR="003E78AB" w14:paraId="706107C7" w14:textId="77777777">
        <w:trPr>
          <w:trHeight w:val="283"/>
          <w:jc w:val="center"/>
        </w:trPr>
        <w:tc>
          <w:tcPr>
            <w:tcW w:w="258" w:type="pct"/>
            <w:vMerge/>
            <w:vAlign w:val="center"/>
          </w:tcPr>
          <w:p w14:paraId="53389AD6" w14:textId="77777777" w:rsidR="003E78AB" w:rsidRDefault="003E78AB">
            <w:pPr>
              <w:spacing w:line="360" w:lineRule="exact"/>
              <w:ind w:firstLineChars="0" w:firstLine="0"/>
              <w:jc w:val="left"/>
              <w:rPr>
                <w:kern w:val="2"/>
                <w:sz w:val="21"/>
                <w:szCs w:val="21"/>
              </w:rPr>
            </w:pPr>
          </w:p>
        </w:tc>
        <w:tc>
          <w:tcPr>
            <w:tcW w:w="752" w:type="pct"/>
            <w:vAlign w:val="center"/>
          </w:tcPr>
          <w:p w14:paraId="3D98F64F" w14:textId="77777777" w:rsidR="003E78AB" w:rsidRDefault="00010BF9">
            <w:pPr>
              <w:spacing w:line="360" w:lineRule="exact"/>
              <w:ind w:firstLineChars="0" w:firstLine="0"/>
              <w:jc w:val="center"/>
              <w:rPr>
                <w:kern w:val="2"/>
                <w:sz w:val="21"/>
                <w:szCs w:val="21"/>
              </w:rPr>
            </w:pPr>
            <w:r>
              <w:rPr>
                <w:kern w:val="2"/>
                <w:sz w:val="21"/>
                <w:szCs w:val="21"/>
              </w:rPr>
              <w:t>区域水资源开发利用状况</w:t>
            </w:r>
          </w:p>
        </w:tc>
        <w:tc>
          <w:tcPr>
            <w:tcW w:w="3989" w:type="pct"/>
            <w:gridSpan w:val="13"/>
            <w:vAlign w:val="center"/>
          </w:tcPr>
          <w:p w14:paraId="302E0420" w14:textId="77777777" w:rsidR="003E78AB" w:rsidRDefault="00010BF9">
            <w:pPr>
              <w:spacing w:line="360" w:lineRule="exact"/>
              <w:ind w:firstLineChars="0" w:firstLine="0"/>
              <w:jc w:val="center"/>
              <w:rPr>
                <w:kern w:val="2"/>
                <w:sz w:val="21"/>
                <w:szCs w:val="21"/>
              </w:rPr>
            </w:pPr>
            <w:r>
              <w:rPr>
                <w:kern w:val="2"/>
                <w:sz w:val="21"/>
                <w:szCs w:val="21"/>
              </w:rPr>
              <w:t>未开发</w:t>
            </w:r>
            <w:r>
              <w:rPr>
                <w:kern w:val="2"/>
                <w:sz w:val="21"/>
                <w:szCs w:val="21"/>
              </w:rPr>
              <w:sym w:font="Wingdings 2" w:char="00A3"/>
            </w:r>
            <w:r>
              <w:rPr>
                <w:kern w:val="2"/>
                <w:sz w:val="21"/>
                <w:szCs w:val="21"/>
              </w:rPr>
              <w:t>；开发量</w:t>
            </w:r>
            <w:r>
              <w:rPr>
                <w:kern w:val="2"/>
                <w:sz w:val="21"/>
                <w:szCs w:val="21"/>
              </w:rPr>
              <w:t>40%</w:t>
            </w:r>
            <w:r>
              <w:rPr>
                <w:kern w:val="2"/>
                <w:sz w:val="21"/>
                <w:szCs w:val="21"/>
              </w:rPr>
              <w:t>以下</w:t>
            </w:r>
            <w:r>
              <w:rPr>
                <w:kern w:val="2"/>
                <w:sz w:val="21"/>
                <w:szCs w:val="21"/>
              </w:rPr>
              <w:sym w:font="Wingdings 2" w:char="00A3"/>
            </w:r>
            <w:r>
              <w:rPr>
                <w:kern w:val="2"/>
                <w:sz w:val="21"/>
                <w:szCs w:val="21"/>
              </w:rPr>
              <w:t>；开发量</w:t>
            </w:r>
            <w:r>
              <w:rPr>
                <w:kern w:val="2"/>
                <w:sz w:val="21"/>
                <w:szCs w:val="21"/>
              </w:rPr>
              <w:t>40%</w:t>
            </w:r>
            <w:r>
              <w:rPr>
                <w:kern w:val="2"/>
                <w:sz w:val="21"/>
                <w:szCs w:val="21"/>
              </w:rPr>
              <w:t>以上</w:t>
            </w:r>
            <w:r>
              <w:rPr>
                <w:kern w:val="2"/>
                <w:sz w:val="21"/>
                <w:szCs w:val="21"/>
              </w:rPr>
              <w:sym w:font="Wingdings 2" w:char="00A3"/>
            </w:r>
          </w:p>
        </w:tc>
      </w:tr>
      <w:tr w:rsidR="003E78AB" w14:paraId="042E9E67" w14:textId="77777777">
        <w:trPr>
          <w:trHeight w:val="283"/>
          <w:jc w:val="center"/>
        </w:trPr>
        <w:tc>
          <w:tcPr>
            <w:tcW w:w="258" w:type="pct"/>
            <w:vMerge/>
            <w:vAlign w:val="center"/>
          </w:tcPr>
          <w:p w14:paraId="55745A6C"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6BBDC842" w14:textId="77777777" w:rsidR="003E78AB" w:rsidRDefault="00010BF9">
            <w:pPr>
              <w:spacing w:line="360" w:lineRule="exact"/>
              <w:ind w:firstLineChars="0" w:firstLine="0"/>
              <w:jc w:val="center"/>
              <w:rPr>
                <w:kern w:val="2"/>
                <w:sz w:val="21"/>
                <w:szCs w:val="21"/>
              </w:rPr>
            </w:pPr>
            <w:r>
              <w:rPr>
                <w:kern w:val="2"/>
                <w:sz w:val="21"/>
                <w:szCs w:val="21"/>
              </w:rPr>
              <w:t>水文情势调查</w:t>
            </w:r>
          </w:p>
        </w:tc>
        <w:tc>
          <w:tcPr>
            <w:tcW w:w="2038" w:type="pct"/>
            <w:gridSpan w:val="6"/>
            <w:vAlign w:val="center"/>
          </w:tcPr>
          <w:p w14:paraId="6AB882D0" w14:textId="77777777" w:rsidR="003E78AB" w:rsidRDefault="00010BF9">
            <w:pPr>
              <w:spacing w:line="360" w:lineRule="exact"/>
              <w:ind w:firstLineChars="0" w:firstLine="0"/>
              <w:jc w:val="center"/>
              <w:rPr>
                <w:kern w:val="2"/>
                <w:sz w:val="21"/>
                <w:szCs w:val="21"/>
              </w:rPr>
            </w:pPr>
            <w:r>
              <w:rPr>
                <w:kern w:val="2"/>
                <w:sz w:val="21"/>
                <w:szCs w:val="21"/>
              </w:rPr>
              <w:t>调查时期</w:t>
            </w:r>
          </w:p>
        </w:tc>
        <w:tc>
          <w:tcPr>
            <w:tcW w:w="1950" w:type="pct"/>
            <w:gridSpan w:val="7"/>
            <w:vAlign w:val="center"/>
          </w:tcPr>
          <w:p w14:paraId="437F42B3" w14:textId="77777777" w:rsidR="003E78AB" w:rsidRDefault="00010BF9">
            <w:pPr>
              <w:spacing w:line="360" w:lineRule="exact"/>
              <w:ind w:firstLineChars="0" w:firstLine="0"/>
              <w:jc w:val="center"/>
              <w:rPr>
                <w:kern w:val="2"/>
                <w:sz w:val="21"/>
                <w:szCs w:val="21"/>
              </w:rPr>
            </w:pPr>
            <w:r>
              <w:rPr>
                <w:kern w:val="2"/>
                <w:sz w:val="21"/>
                <w:szCs w:val="21"/>
              </w:rPr>
              <w:t>数据来源</w:t>
            </w:r>
          </w:p>
        </w:tc>
      </w:tr>
      <w:tr w:rsidR="003E78AB" w14:paraId="52D7F019" w14:textId="77777777">
        <w:trPr>
          <w:trHeight w:val="283"/>
          <w:jc w:val="center"/>
        </w:trPr>
        <w:tc>
          <w:tcPr>
            <w:tcW w:w="258" w:type="pct"/>
            <w:vMerge/>
            <w:vAlign w:val="center"/>
          </w:tcPr>
          <w:p w14:paraId="0B7F92F0" w14:textId="77777777" w:rsidR="003E78AB" w:rsidRDefault="003E78AB">
            <w:pPr>
              <w:spacing w:line="360" w:lineRule="exact"/>
              <w:ind w:firstLineChars="0" w:firstLine="0"/>
              <w:jc w:val="left"/>
              <w:rPr>
                <w:kern w:val="2"/>
                <w:sz w:val="21"/>
                <w:szCs w:val="21"/>
              </w:rPr>
            </w:pPr>
          </w:p>
        </w:tc>
        <w:tc>
          <w:tcPr>
            <w:tcW w:w="752" w:type="pct"/>
            <w:vMerge/>
            <w:vAlign w:val="center"/>
          </w:tcPr>
          <w:p w14:paraId="3834B989" w14:textId="77777777" w:rsidR="003E78AB" w:rsidRDefault="003E78AB">
            <w:pPr>
              <w:spacing w:line="360" w:lineRule="exact"/>
              <w:ind w:firstLineChars="0" w:firstLine="0"/>
              <w:jc w:val="left"/>
              <w:rPr>
                <w:kern w:val="2"/>
                <w:sz w:val="21"/>
                <w:szCs w:val="21"/>
              </w:rPr>
            </w:pPr>
          </w:p>
        </w:tc>
        <w:tc>
          <w:tcPr>
            <w:tcW w:w="2038" w:type="pct"/>
            <w:gridSpan w:val="6"/>
            <w:vAlign w:val="center"/>
          </w:tcPr>
          <w:p w14:paraId="59BE8706" w14:textId="77777777" w:rsidR="003E78AB" w:rsidRDefault="00010BF9">
            <w:pPr>
              <w:spacing w:line="360" w:lineRule="exact"/>
              <w:ind w:firstLineChars="0" w:firstLine="0"/>
              <w:jc w:val="center"/>
              <w:rPr>
                <w:kern w:val="2"/>
                <w:sz w:val="21"/>
                <w:szCs w:val="21"/>
              </w:rPr>
            </w:pPr>
            <w:r>
              <w:rPr>
                <w:kern w:val="2"/>
                <w:sz w:val="21"/>
                <w:szCs w:val="21"/>
              </w:rPr>
              <w:t>丰水期</w:t>
            </w:r>
            <w:r>
              <w:rPr>
                <w:kern w:val="2"/>
                <w:sz w:val="21"/>
                <w:szCs w:val="21"/>
              </w:rPr>
              <w:sym w:font="Wingdings 2" w:char="00A3"/>
            </w:r>
            <w:r>
              <w:rPr>
                <w:kern w:val="2"/>
                <w:sz w:val="21"/>
                <w:szCs w:val="21"/>
              </w:rPr>
              <w:t>；平水期</w:t>
            </w:r>
            <w:r>
              <w:rPr>
                <w:kern w:val="2"/>
                <w:sz w:val="21"/>
                <w:szCs w:val="21"/>
              </w:rPr>
              <w:sym w:font="Wingdings 2" w:char="00A3"/>
            </w:r>
            <w:r>
              <w:rPr>
                <w:kern w:val="2"/>
                <w:sz w:val="21"/>
                <w:szCs w:val="21"/>
              </w:rPr>
              <w:t>；枯水期</w:t>
            </w:r>
            <w:r>
              <w:rPr>
                <w:kern w:val="2"/>
                <w:sz w:val="21"/>
                <w:szCs w:val="21"/>
              </w:rPr>
              <w:sym w:font="Wingdings 2" w:char="00A3"/>
            </w:r>
            <w:r>
              <w:rPr>
                <w:kern w:val="2"/>
                <w:sz w:val="21"/>
                <w:szCs w:val="21"/>
              </w:rPr>
              <w:t>；冰封期</w:t>
            </w:r>
            <w:r>
              <w:rPr>
                <w:kern w:val="2"/>
                <w:sz w:val="21"/>
                <w:szCs w:val="21"/>
              </w:rPr>
              <w:sym w:font="Wingdings 2" w:char="00A3"/>
            </w:r>
            <w:r>
              <w:rPr>
                <w:kern w:val="2"/>
                <w:sz w:val="21"/>
                <w:szCs w:val="21"/>
              </w:rPr>
              <w:t>；春季</w:t>
            </w:r>
            <w:r>
              <w:rPr>
                <w:kern w:val="2"/>
                <w:sz w:val="21"/>
                <w:szCs w:val="21"/>
              </w:rPr>
              <w:sym w:font="Wingdings 2" w:char="00A3"/>
            </w:r>
            <w:r>
              <w:rPr>
                <w:kern w:val="2"/>
                <w:sz w:val="21"/>
                <w:szCs w:val="21"/>
              </w:rPr>
              <w:t>；夏季</w:t>
            </w:r>
            <w:r>
              <w:rPr>
                <w:kern w:val="2"/>
                <w:sz w:val="21"/>
                <w:szCs w:val="21"/>
              </w:rPr>
              <w:sym w:font="Wingdings 2" w:char="00A3"/>
            </w:r>
            <w:r>
              <w:rPr>
                <w:kern w:val="2"/>
                <w:sz w:val="21"/>
                <w:szCs w:val="21"/>
              </w:rPr>
              <w:t>；秋季</w:t>
            </w:r>
            <w:r>
              <w:rPr>
                <w:kern w:val="2"/>
                <w:sz w:val="21"/>
                <w:szCs w:val="21"/>
              </w:rPr>
              <w:sym w:font="Wingdings 2" w:char="00A3"/>
            </w:r>
            <w:r>
              <w:rPr>
                <w:kern w:val="2"/>
                <w:sz w:val="21"/>
                <w:szCs w:val="21"/>
              </w:rPr>
              <w:t>；冬季</w:t>
            </w:r>
            <w:r>
              <w:rPr>
                <w:kern w:val="2"/>
                <w:sz w:val="21"/>
                <w:szCs w:val="21"/>
              </w:rPr>
              <w:sym w:font="Wingdings 2" w:char="00A3"/>
            </w:r>
          </w:p>
        </w:tc>
        <w:tc>
          <w:tcPr>
            <w:tcW w:w="1950" w:type="pct"/>
            <w:gridSpan w:val="7"/>
            <w:vAlign w:val="center"/>
          </w:tcPr>
          <w:p w14:paraId="7D4ECB3D" w14:textId="77777777" w:rsidR="003E78AB" w:rsidRDefault="00010BF9">
            <w:pPr>
              <w:spacing w:line="360" w:lineRule="exact"/>
              <w:ind w:firstLineChars="0" w:firstLine="0"/>
              <w:jc w:val="center"/>
              <w:rPr>
                <w:kern w:val="2"/>
                <w:sz w:val="21"/>
                <w:szCs w:val="21"/>
              </w:rPr>
            </w:pPr>
            <w:r>
              <w:rPr>
                <w:kern w:val="2"/>
                <w:sz w:val="21"/>
                <w:szCs w:val="21"/>
              </w:rPr>
              <w:t>水行政主管部门</w:t>
            </w:r>
            <w:r>
              <w:rPr>
                <w:kern w:val="2"/>
                <w:sz w:val="21"/>
                <w:szCs w:val="21"/>
              </w:rPr>
              <w:sym w:font="Wingdings 2" w:char="00A3"/>
            </w:r>
            <w:r>
              <w:rPr>
                <w:kern w:val="2"/>
                <w:sz w:val="21"/>
                <w:szCs w:val="21"/>
              </w:rPr>
              <w:t>；补充监测</w:t>
            </w:r>
            <w:r>
              <w:rPr>
                <w:kern w:val="2"/>
                <w:sz w:val="21"/>
                <w:szCs w:val="21"/>
              </w:rPr>
              <w:sym w:font="Wingdings 2" w:char="00A3"/>
            </w:r>
            <w:r>
              <w:rPr>
                <w:kern w:val="2"/>
                <w:sz w:val="21"/>
                <w:szCs w:val="21"/>
              </w:rPr>
              <w:t>；其他</w:t>
            </w:r>
            <w:r>
              <w:rPr>
                <w:kern w:val="2"/>
                <w:sz w:val="21"/>
                <w:szCs w:val="21"/>
              </w:rPr>
              <w:sym w:font="Wingdings 2" w:char="00A3"/>
            </w:r>
          </w:p>
        </w:tc>
      </w:tr>
      <w:tr w:rsidR="003E78AB" w14:paraId="596BF340" w14:textId="77777777">
        <w:trPr>
          <w:trHeight w:val="283"/>
          <w:jc w:val="center"/>
        </w:trPr>
        <w:tc>
          <w:tcPr>
            <w:tcW w:w="258" w:type="pct"/>
            <w:vMerge/>
            <w:vAlign w:val="center"/>
          </w:tcPr>
          <w:p w14:paraId="4122E28C"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7259EB2D" w14:textId="77777777" w:rsidR="003E78AB" w:rsidRDefault="00010BF9">
            <w:pPr>
              <w:spacing w:line="360" w:lineRule="exact"/>
              <w:ind w:firstLineChars="0" w:firstLine="0"/>
              <w:jc w:val="center"/>
              <w:rPr>
                <w:kern w:val="2"/>
                <w:sz w:val="21"/>
                <w:szCs w:val="21"/>
              </w:rPr>
            </w:pPr>
            <w:r>
              <w:rPr>
                <w:kern w:val="2"/>
                <w:sz w:val="21"/>
                <w:szCs w:val="21"/>
              </w:rPr>
              <w:t>补充监测</w:t>
            </w:r>
          </w:p>
        </w:tc>
        <w:tc>
          <w:tcPr>
            <w:tcW w:w="2038" w:type="pct"/>
            <w:gridSpan w:val="6"/>
            <w:vAlign w:val="center"/>
          </w:tcPr>
          <w:p w14:paraId="7EA000C6" w14:textId="77777777" w:rsidR="003E78AB" w:rsidRDefault="00010BF9">
            <w:pPr>
              <w:spacing w:line="360" w:lineRule="exact"/>
              <w:ind w:firstLineChars="0" w:firstLine="0"/>
              <w:jc w:val="center"/>
              <w:rPr>
                <w:kern w:val="2"/>
                <w:sz w:val="21"/>
                <w:szCs w:val="21"/>
              </w:rPr>
            </w:pPr>
            <w:r>
              <w:rPr>
                <w:kern w:val="2"/>
                <w:sz w:val="21"/>
                <w:szCs w:val="21"/>
              </w:rPr>
              <w:t>监测时间</w:t>
            </w:r>
          </w:p>
        </w:tc>
        <w:tc>
          <w:tcPr>
            <w:tcW w:w="1254" w:type="pct"/>
            <w:gridSpan w:val="6"/>
            <w:vAlign w:val="center"/>
          </w:tcPr>
          <w:p w14:paraId="5B4AADA1" w14:textId="77777777" w:rsidR="003E78AB" w:rsidRDefault="00010BF9">
            <w:pPr>
              <w:spacing w:line="360" w:lineRule="exact"/>
              <w:ind w:firstLineChars="0" w:firstLine="0"/>
              <w:jc w:val="center"/>
              <w:rPr>
                <w:kern w:val="2"/>
                <w:sz w:val="21"/>
                <w:szCs w:val="21"/>
              </w:rPr>
            </w:pPr>
            <w:r>
              <w:rPr>
                <w:kern w:val="2"/>
                <w:sz w:val="21"/>
                <w:szCs w:val="21"/>
              </w:rPr>
              <w:t>监测因子</w:t>
            </w:r>
          </w:p>
        </w:tc>
        <w:tc>
          <w:tcPr>
            <w:tcW w:w="695" w:type="pct"/>
            <w:vAlign w:val="center"/>
          </w:tcPr>
          <w:p w14:paraId="5AF3E383" w14:textId="77777777" w:rsidR="003E78AB" w:rsidRDefault="00010BF9">
            <w:pPr>
              <w:spacing w:line="360" w:lineRule="exact"/>
              <w:ind w:firstLineChars="0" w:firstLine="0"/>
              <w:jc w:val="center"/>
              <w:rPr>
                <w:kern w:val="2"/>
                <w:sz w:val="21"/>
                <w:szCs w:val="21"/>
              </w:rPr>
            </w:pPr>
            <w:r>
              <w:rPr>
                <w:kern w:val="2"/>
                <w:sz w:val="21"/>
                <w:szCs w:val="21"/>
              </w:rPr>
              <w:t>监测断面或点位</w:t>
            </w:r>
          </w:p>
        </w:tc>
      </w:tr>
      <w:tr w:rsidR="003E78AB" w14:paraId="031A92D7" w14:textId="77777777">
        <w:trPr>
          <w:trHeight w:val="283"/>
          <w:jc w:val="center"/>
        </w:trPr>
        <w:tc>
          <w:tcPr>
            <w:tcW w:w="258" w:type="pct"/>
            <w:vMerge/>
            <w:vAlign w:val="center"/>
          </w:tcPr>
          <w:p w14:paraId="1D5FD636" w14:textId="77777777" w:rsidR="003E78AB" w:rsidRDefault="003E78AB">
            <w:pPr>
              <w:spacing w:line="360" w:lineRule="exact"/>
              <w:ind w:firstLineChars="0" w:firstLine="0"/>
              <w:jc w:val="left"/>
              <w:rPr>
                <w:kern w:val="2"/>
                <w:sz w:val="21"/>
                <w:szCs w:val="21"/>
              </w:rPr>
            </w:pPr>
          </w:p>
        </w:tc>
        <w:tc>
          <w:tcPr>
            <w:tcW w:w="752" w:type="pct"/>
            <w:vMerge/>
            <w:vAlign w:val="center"/>
          </w:tcPr>
          <w:p w14:paraId="00A9A80B" w14:textId="77777777" w:rsidR="003E78AB" w:rsidRDefault="003E78AB">
            <w:pPr>
              <w:spacing w:line="360" w:lineRule="exact"/>
              <w:ind w:firstLineChars="0" w:firstLine="0"/>
              <w:jc w:val="left"/>
              <w:rPr>
                <w:kern w:val="2"/>
                <w:sz w:val="21"/>
                <w:szCs w:val="21"/>
              </w:rPr>
            </w:pPr>
          </w:p>
        </w:tc>
        <w:tc>
          <w:tcPr>
            <w:tcW w:w="2038" w:type="pct"/>
            <w:gridSpan w:val="6"/>
            <w:vAlign w:val="center"/>
          </w:tcPr>
          <w:p w14:paraId="07A059FC" w14:textId="77777777" w:rsidR="003E78AB" w:rsidRDefault="00010BF9">
            <w:pPr>
              <w:spacing w:line="360" w:lineRule="exact"/>
              <w:ind w:firstLineChars="0" w:firstLine="0"/>
              <w:jc w:val="center"/>
              <w:rPr>
                <w:kern w:val="2"/>
                <w:sz w:val="21"/>
                <w:szCs w:val="21"/>
              </w:rPr>
            </w:pPr>
            <w:r>
              <w:rPr>
                <w:kern w:val="2"/>
                <w:sz w:val="21"/>
                <w:szCs w:val="21"/>
              </w:rPr>
              <w:t>丰水期</w:t>
            </w:r>
            <w:r>
              <w:rPr>
                <w:kern w:val="2"/>
                <w:sz w:val="21"/>
                <w:szCs w:val="21"/>
              </w:rPr>
              <w:sym w:font="Wingdings 2" w:char="00A3"/>
            </w:r>
            <w:r>
              <w:rPr>
                <w:kern w:val="2"/>
                <w:sz w:val="21"/>
                <w:szCs w:val="21"/>
              </w:rPr>
              <w:t>；平水期</w:t>
            </w:r>
            <w:r>
              <w:rPr>
                <w:kern w:val="2"/>
                <w:sz w:val="21"/>
                <w:szCs w:val="21"/>
              </w:rPr>
              <w:sym w:font="Wingdings 2" w:char="00A3"/>
            </w:r>
            <w:r>
              <w:rPr>
                <w:kern w:val="2"/>
                <w:sz w:val="21"/>
                <w:szCs w:val="21"/>
              </w:rPr>
              <w:t>；枯水期</w:t>
            </w:r>
            <w:r>
              <w:rPr>
                <w:kern w:val="2"/>
                <w:sz w:val="21"/>
                <w:szCs w:val="21"/>
              </w:rPr>
              <w:sym w:font="Wingdings 2" w:char="00A3"/>
            </w:r>
            <w:r>
              <w:rPr>
                <w:kern w:val="2"/>
                <w:sz w:val="21"/>
                <w:szCs w:val="21"/>
              </w:rPr>
              <w:t>；冰封期</w:t>
            </w:r>
            <w:r>
              <w:rPr>
                <w:kern w:val="2"/>
                <w:sz w:val="21"/>
                <w:szCs w:val="21"/>
              </w:rPr>
              <w:sym w:font="Wingdings 2" w:char="00A3"/>
            </w:r>
            <w:r>
              <w:rPr>
                <w:kern w:val="2"/>
                <w:sz w:val="21"/>
                <w:szCs w:val="21"/>
              </w:rPr>
              <w:t>；春季</w:t>
            </w:r>
            <w:r>
              <w:rPr>
                <w:kern w:val="2"/>
                <w:sz w:val="21"/>
                <w:szCs w:val="21"/>
              </w:rPr>
              <w:sym w:font="Wingdings 2" w:char="00A3"/>
            </w:r>
            <w:r>
              <w:rPr>
                <w:kern w:val="2"/>
                <w:sz w:val="21"/>
                <w:szCs w:val="21"/>
              </w:rPr>
              <w:t>；夏季</w:t>
            </w:r>
            <w:r>
              <w:rPr>
                <w:kern w:val="2"/>
                <w:sz w:val="21"/>
                <w:szCs w:val="21"/>
              </w:rPr>
              <w:sym w:font="Wingdings 2" w:char="00A3"/>
            </w:r>
            <w:r>
              <w:rPr>
                <w:kern w:val="2"/>
                <w:sz w:val="21"/>
                <w:szCs w:val="21"/>
              </w:rPr>
              <w:t>；秋季</w:t>
            </w:r>
            <w:r>
              <w:rPr>
                <w:kern w:val="2"/>
                <w:sz w:val="21"/>
                <w:szCs w:val="21"/>
              </w:rPr>
              <w:sym w:font="Wingdings 2" w:char="00A3"/>
            </w:r>
            <w:r>
              <w:rPr>
                <w:kern w:val="2"/>
                <w:sz w:val="21"/>
                <w:szCs w:val="21"/>
              </w:rPr>
              <w:t>；冬季</w:t>
            </w:r>
            <w:r>
              <w:rPr>
                <w:kern w:val="2"/>
                <w:sz w:val="21"/>
                <w:szCs w:val="21"/>
              </w:rPr>
              <w:sym w:font="Wingdings 2" w:char="00A3"/>
            </w:r>
          </w:p>
        </w:tc>
        <w:tc>
          <w:tcPr>
            <w:tcW w:w="1254" w:type="pct"/>
            <w:gridSpan w:val="6"/>
            <w:vAlign w:val="center"/>
          </w:tcPr>
          <w:p w14:paraId="2DA8BD90"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c>
          <w:tcPr>
            <w:tcW w:w="695" w:type="pct"/>
            <w:vAlign w:val="center"/>
          </w:tcPr>
          <w:p w14:paraId="3D7D1850" w14:textId="77777777" w:rsidR="003E78AB" w:rsidRDefault="00010BF9">
            <w:pPr>
              <w:spacing w:line="360" w:lineRule="exact"/>
              <w:ind w:firstLineChars="0" w:firstLine="0"/>
              <w:jc w:val="center"/>
              <w:rPr>
                <w:kern w:val="2"/>
                <w:sz w:val="21"/>
                <w:szCs w:val="21"/>
              </w:rPr>
            </w:pPr>
            <w:r>
              <w:rPr>
                <w:kern w:val="2"/>
                <w:sz w:val="21"/>
                <w:szCs w:val="21"/>
              </w:rPr>
              <w:t>监测断面或点位个数（</w:t>
            </w:r>
            <w:r>
              <w:rPr>
                <w:kern w:val="2"/>
                <w:sz w:val="21"/>
                <w:szCs w:val="21"/>
              </w:rPr>
              <w:t>/</w:t>
            </w:r>
            <w:r>
              <w:rPr>
                <w:kern w:val="2"/>
                <w:sz w:val="21"/>
                <w:szCs w:val="21"/>
              </w:rPr>
              <w:t>）个</w:t>
            </w:r>
          </w:p>
        </w:tc>
      </w:tr>
      <w:tr w:rsidR="003E78AB" w14:paraId="6EAA655A" w14:textId="77777777">
        <w:trPr>
          <w:trHeight w:val="283"/>
          <w:jc w:val="center"/>
        </w:trPr>
        <w:tc>
          <w:tcPr>
            <w:tcW w:w="258" w:type="pct"/>
            <w:vMerge w:val="restart"/>
            <w:vAlign w:val="center"/>
          </w:tcPr>
          <w:p w14:paraId="2D7FEEC4" w14:textId="77777777" w:rsidR="003E78AB" w:rsidRDefault="00010BF9">
            <w:pPr>
              <w:spacing w:line="360" w:lineRule="exact"/>
              <w:ind w:firstLineChars="0" w:firstLine="0"/>
              <w:jc w:val="center"/>
              <w:rPr>
                <w:kern w:val="2"/>
                <w:sz w:val="21"/>
                <w:szCs w:val="21"/>
              </w:rPr>
            </w:pPr>
            <w:r>
              <w:rPr>
                <w:kern w:val="2"/>
                <w:sz w:val="21"/>
                <w:szCs w:val="21"/>
              </w:rPr>
              <w:t>现状评价</w:t>
            </w:r>
          </w:p>
        </w:tc>
        <w:tc>
          <w:tcPr>
            <w:tcW w:w="752" w:type="pct"/>
            <w:vAlign w:val="center"/>
          </w:tcPr>
          <w:p w14:paraId="1FF79293" w14:textId="77777777" w:rsidR="003E78AB" w:rsidRDefault="00010BF9">
            <w:pPr>
              <w:spacing w:line="360" w:lineRule="exact"/>
              <w:ind w:firstLineChars="0" w:firstLine="0"/>
              <w:jc w:val="center"/>
              <w:rPr>
                <w:kern w:val="2"/>
                <w:sz w:val="21"/>
                <w:szCs w:val="21"/>
              </w:rPr>
            </w:pPr>
            <w:r>
              <w:rPr>
                <w:kern w:val="2"/>
                <w:sz w:val="21"/>
                <w:szCs w:val="21"/>
              </w:rPr>
              <w:t>评价范围</w:t>
            </w:r>
          </w:p>
        </w:tc>
        <w:tc>
          <w:tcPr>
            <w:tcW w:w="3989" w:type="pct"/>
            <w:gridSpan w:val="13"/>
            <w:vAlign w:val="center"/>
          </w:tcPr>
          <w:p w14:paraId="77BED2D0" w14:textId="77777777" w:rsidR="003E78AB" w:rsidRDefault="00010BF9">
            <w:pPr>
              <w:spacing w:line="360" w:lineRule="exact"/>
              <w:ind w:firstLineChars="0" w:firstLine="0"/>
              <w:jc w:val="center"/>
              <w:rPr>
                <w:kern w:val="2"/>
                <w:sz w:val="21"/>
                <w:szCs w:val="21"/>
              </w:rPr>
            </w:pPr>
            <w:r>
              <w:rPr>
                <w:kern w:val="2"/>
                <w:sz w:val="21"/>
                <w:szCs w:val="21"/>
              </w:rPr>
              <w:t>河流：长度（</w:t>
            </w:r>
            <w:r>
              <w:rPr>
                <w:kern w:val="2"/>
                <w:sz w:val="21"/>
                <w:szCs w:val="21"/>
              </w:rPr>
              <w:t>/</w:t>
            </w:r>
            <w:r>
              <w:rPr>
                <w:kern w:val="2"/>
                <w:sz w:val="21"/>
                <w:szCs w:val="21"/>
              </w:rPr>
              <w:t>）</w:t>
            </w:r>
            <w:r>
              <w:rPr>
                <w:kern w:val="2"/>
                <w:sz w:val="21"/>
                <w:szCs w:val="21"/>
              </w:rPr>
              <w:t>km</w:t>
            </w:r>
            <w:r>
              <w:rPr>
                <w:kern w:val="2"/>
                <w:sz w:val="21"/>
                <w:szCs w:val="21"/>
              </w:rPr>
              <w:t>；湖库、河口及近岸海域：面积（</w:t>
            </w:r>
            <w:r>
              <w:rPr>
                <w:kern w:val="2"/>
                <w:sz w:val="21"/>
                <w:szCs w:val="21"/>
              </w:rPr>
              <w:t>/</w:t>
            </w:r>
            <w:r>
              <w:rPr>
                <w:kern w:val="2"/>
                <w:sz w:val="21"/>
                <w:szCs w:val="21"/>
              </w:rPr>
              <w:t>）</w:t>
            </w:r>
            <w:r>
              <w:rPr>
                <w:kern w:val="2"/>
                <w:sz w:val="21"/>
                <w:szCs w:val="21"/>
              </w:rPr>
              <w:t>km</w:t>
            </w:r>
            <w:r>
              <w:rPr>
                <w:kern w:val="2"/>
                <w:sz w:val="21"/>
                <w:szCs w:val="21"/>
                <w:vertAlign w:val="superscript"/>
              </w:rPr>
              <w:t>2</w:t>
            </w:r>
          </w:p>
        </w:tc>
      </w:tr>
      <w:tr w:rsidR="003E78AB" w14:paraId="4C0E7BF2" w14:textId="77777777">
        <w:trPr>
          <w:trHeight w:val="283"/>
          <w:jc w:val="center"/>
        </w:trPr>
        <w:tc>
          <w:tcPr>
            <w:tcW w:w="258" w:type="pct"/>
            <w:vMerge/>
            <w:vAlign w:val="center"/>
          </w:tcPr>
          <w:p w14:paraId="19FF2E33" w14:textId="77777777" w:rsidR="003E78AB" w:rsidRDefault="003E78AB">
            <w:pPr>
              <w:spacing w:line="360" w:lineRule="exact"/>
              <w:ind w:firstLineChars="0" w:firstLine="0"/>
              <w:jc w:val="left"/>
              <w:rPr>
                <w:kern w:val="2"/>
                <w:sz w:val="21"/>
                <w:szCs w:val="21"/>
              </w:rPr>
            </w:pPr>
          </w:p>
        </w:tc>
        <w:tc>
          <w:tcPr>
            <w:tcW w:w="752" w:type="pct"/>
            <w:vAlign w:val="center"/>
          </w:tcPr>
          <w:p w14:paraId="6D9C21C8" w14:textId="77777777" w:rsidR="003E78AB" w:rsidRDefault="00010BF9">
            <w:pPr>
              <w:spacing w:line="360" w:lineRule="exact"/>
              <w:ind w:firstLineChars="0" w:firstLine="0"/>
              <w:jc w:val="center"/>
              <w:rPr>
                <w:kern w:val="2"/>
                <w:sz w:val="21"/>
                <w:szCs w:val="21"/>
              </w:rPr>
            </w:pPr>
            <w:r>
              <w:rPr>
                <w:kern w:val="2"/>
                <w:sz w:val="21"/>
                <w:szCs w:val="21"/>
              </w:rPr>
              <w:t>评价因子</w:t>
            </w:r>
          </w:p>
        </w:tc>
        <w:tc>
          <w:tcPr>
            <w:tcW w:w="3989" w:type="pct"/>
            <w:gridSpan w:val="13"/>
            <w:vAlign w:val="center"/>
          </w:tcPr>
          <w:p w14:paraId="19C8EBE5"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r>
      <w:tr w:rsidR="003E78AB" w14:paraId="1C4FE5FE" w14:textId="77777777">
        <w:trPr>
          <w:trHeight w:val="283"/>
          <w:jc w:val="center"/>
        </w:trPr>
        <w:tc>
          <w:tcPr>
            <w:tcW w:w="258" w:type="pct"/>
            <w:vMerge/>
            <w:vAlign w:val="center"/>
          </w:tcPr>
          <w:p w14:paraId="62B5BEE4" w14:textId="77777777" w:rsidR="003E78AB" w:rsidRDefault="003E78AB">
            <w:pPr>
              <w:spacing w:line="360" w:lineRule="exact"/>
              <w:ind w:firstLineChars="0" w:firstLine="0"/>
              <w:jc w:val="left"/>
              <w:rPr>
                <w:kern w:val="2"/>
                <w:sz w:val="21"/>
                <w:szCs w:val="21"/>
              </w:rPr>
            </w:pPr>
          </w:p>
        </w:tc>
        <w:tc>
          <w:tcPr>
            <w:tcW w:w="752" w:type="pct"/>
            <w:vAlign w:val="center"/>
          </w:tcPr>
          <w:p w14:paraId="716911B5" w14:textId="77777777" w:rsidR="003E78AB" w:rsidRDefault="00010BF9">
            <w:pPr>
              <w:spacing w:line="360" w:lineRule="exact"/>
              <w:ind w:firstLineChars="0" w:firstLine="0"/>
              <w:jc w:val="center"/>
              <w:rPr>
                <w:kern w:val="2"/>
                <w:sz w:val="21"/>
                <w:szCs w:val="21"/>
              </w:rPr>
            </w:pPr>
            <w:r>
              <w:rPr>
                <w:kern w:val="2"/>
                <w:sz w:val="21"/>
                <w:szCs w:val="21"/>
              </w:rPr>
              <w:t>评价标准</w:t>
            </w:r>
          </w:p>
        </w:tc>
        <w:tc>
          <w:tcPr>
            <w:tcW w:w="3989" w:type="pct"/>
            <w:gridSpan w:val="13"/>
            <w:vAlign w:val="center"/>
          </w:tcPr>
          <w:p w14:paraId="66D947A2" w14:textId="77777777" w:rsidR="003E78AB" w:rsidRDefault="00010BF9">
            <w:pPr>
              <w:spacing w:line="360" w:lineRule="exact"/>
              <w:ind w:firstLineChars="0" w:firstLine="0"/>
              <w:jc w:val="left"/>
              <w:rPr>
                <w:kern w:val="2"/>
                <w:sz w:val="21"/>
                <w:szCs w:val="21"/>
              </w:rPr>
            </w:pPr>
            <w:r>
              <w:rPr>
                <w:kern w:val="2"/>
                <w:sz w:val="21"/>
                <w:szCs w:val="21"/>
              </w:rPr>
              <w:t>河流、湖库、河口：</w:t>
            </w:r>
            <w:r>
              <w:rPr>
                <w:kern w:val="2"/>
                <w:sz w:val="21"/>
                <w:szCs w:val="21"/>
              </w:rPr>
              <w:t>Ⅰ</w:t>
            </w:r>
            <w:r>
              <w:rPr>
                <w:kern w:val="2"/>
                <w:sz w:val="21"/>
                <w:szCs w:val="21"/>
              </w:rPr>
              <w:t>类</w:t>
            </w:r>
            <w:r>
              <w:rPr>
                <w:kern w:val="2"/>
                <w:sz w:val="21"/>
                <w:szCs w:val="21"/>
              </w:rPr>
              <w:sym w:font="Wingdings 2" w:char="00A3"/>
            </w:r>
            <w:r>
              <w:rPr>
                <w:kern w:val="2"/>
                <w:sz w:val="21"/>
                <w:szCs w:val="21"/>
              </w:rPr>
              <w:t>；</w:t>
            </w:r>
            <w:r>
              <w:rPr>
                <w:kern w:val="2"/>
                <w:sz w:val="21"/>
                <w:szCs w:val="21"/>
              </w:rPr>
              <w:t>Ⅱ</w:t>
            </w:r>
            <w:r>
              <w:rPr>
                <w:kern w:val="2"/>
                <w:sz w:val="21"/>
                <w:szCs w:val="21"/>
              </w:rPr>
              <w:t>类</w:t>
            </w:r>
            <w:r>
              <w:rPr>
                <w:kern w:val="2"/>
                <w:sz w:val="21"/>
                <w:szCs w:val="21"/>
              </w:rPr>
              <w:sym w:font="Wingdings 2" w:char="00A3"/>
            </w:r>
            <w:r>
              <w:rPr>
                <w:kern w:val="2"/>
                <w:sz w:val="21"/>
                <w:szCs w:val="21"/>
              </w:rPr>
              <w:t>；</w:t>
            </w:r>
            <w:r>
              <w:rPr>
                <w:kern w:val="2"/>
                <w:sz w:val="21"/>
                <w:szCs w:val="21"/>
              </w:rPr>
              <w:t>Ⅲ</w:t>
            </w:r>
            <w:r>
              <w:rPr>
                <w:kern w:val="2"/>
                <w:sz w:val="21"/>
                <w:szCs w:val="21"/>
              </w:rPr>
              <w:t>类</w:t>
            </w:r>
            <w:r>
              <w:rPr>
                <w:kern w:val="2"/>
                <w:sz w:val="21"/>
                <w:szCs w:val="21"/>
              </w:rPr>
              <w:sym w:font="Wingdings 2" w:char="00A3"/>
            </w:r>
            <w:r>
              <w:rPr>
                <w:kern w:val="2"/>
                <w:sz w:val="21"/>
                <w:szCs w:val="21"/>
              </w:rPr>
              <w:t>；</w:t>
            </w:r>
            <w:r>
              <w:rPr>
                <w:kern w:val="2"/>
                <w:sz w:val="21"/>
                <w:szCs w:val="21"/>
              </w:rPr>
              <w:t>Ⅳ</w:t>
            </w:r>
            <w:r>
              <w:rPr>
                <w:kern w:val="2"/>
                <w:sz w:val="21"/>
                <w:szCs w:val="21"/>
              </w:rPr>
              <w:t>类</w:t>
            </w:r>
            <w:r>
              <w:rPr>
                <w:kern w:val="2"/>
                <w:sz w:val="21"/>
                <w:szCs w:val="21"/>
              </w:rPr>
              <w:sym w:font="Wingdings 2" w:char="00A3"/>
            </w:r>
            <w:r>
              <w:rPr>
                <w:kern w:val="2"/>
                <w:sz w:val="21"/>
                <w:szCs w:val="21"/>
              </w:rPr>
              <w:t>；</w:t>
            </w:r>
            <w:r>
              <w:rPr>
                <w:kern w:val="2"/>
                <w:sz w:val="21"/>
                <w:szCs w:val="21"/>
              </w:rPr>
              <w:t>Ⅴ</w:t>
            </w:r>
            <w:r>
              <w:rPr>
                <w:kern w:val="2"/>
                <w:sz w:val="21"/>
                <w:szCs w:val="21"/>
              </w:rPr>
              <w:t>类</w:t>
            </w:r>
            <w:r>
              <w:rPr>
                <w:kern w:val="2"/>
                <w:sz w:val="21"/>
                <w:szCs w:val="21"/>
              </w:rPr>
              <w:sym w:font="Wingdings 2" w:char="00A3"/>
            </w:r>
          </w:p>
          <w:p w14:paraId="389E0DDC" w14:textId="77777777" w:rsidR="003E78AB" w:rsidRDefault="00010BF9">
            <w:pPr>
              <w:spacing w:line="360" w:lineRule="exact"/>
              <w:ind w:firstLineChars="0" w:firstLine="0"/>
              <w:jc w:val="left"/>
              <w:rPr>
                <w:kern w:val="2"/>
                <w:sz w:val="21"/>
                <w:szCs w:val="21"/>
              </w:rPr>
            </w:pPr>
            <w:r>
              <w:rPr>
                <w:kern w:val="2"/>
                <w:sz w:val="21"/>
                <w:szCs w:val="21"/>
              </w:rPr>
              <w:t>近岸海域：第一类</w:t>
            </w:r>
            <w:r>
              <w:rPr>
                <w:kern w:val="2"/>
                <w:sz w:val="21"/>
                <w:szCs w:val="21"/>
              </w:rPr>
              <w:sym w:font="Wingdings 2" w:char="00A3"/>
            </w:r>
            <w:r>
              <w:rPr>
                <w:kern w:val="2"/>
                <w:sz w:val="21"/>
                <w:szCs w:val="21"/>
              </w:rPr>
              <w:t>；第二类</w:t>
            </w:r>
            <w:r>
              <w:rPr>
                <w:kern w:val="2"/>
                <w:sz w:val="21"/>
                <w:szCs w:val="21"/>
              </w:rPr>
              <w:sym w:font="Wingdings 2" w:char="00A3"/>
            </w:r>
            <w:r>
              <w:rPr>
                <w:kern w:val="2"/>
                <w:sz w:val="21"/>
                <w:szCs w:val="21"/>
              </w:rPr>
              <w:t>；第三类</w:t>
            </w:r>
            <w:r>
              <w:rPr>
                <w:kern w:val="2"/>
                <w:sz w:val="21"/>
                <w:szCs w:val="21"/>
              </w:rPr>
              <w:sym w:font="Wingdings 2" w:char="00A3"/>
            </w:r>
            <w:r>
              <w:rPr>
                <w:kern w:val="2"/>
                <w:sz w:val="21"/>
                <w:szCs w:val="21"/>
              </w:rPr>
              <w:t>；第四类</w:t>
            </w:r>
            <w:r>
              <w:rPr>
                <w:kern w:val="2"/>
                <w:sz w:val="21"/>
                <w:szCs w:val="21"/>
              </w:rPr>
              <w:sym w:font="Wingdings 2" w:char="00A3"/>
            </w:r>
          </w:p>
          <w:p w14:paraId="22867C01" w14:textId="77777777" w:rsidR="003E78AB" w:rsidRDefault="00010BF9">
            <w:pPr>
              <w:spacing w:line="360" w:lineRule="exact"/>
              <w:ind w:firstLineChars="0" w:firstLine="0"/>
              <w:jc w:val="left"/>
              <w:rPr>
                <w:kern w:val="2"/>
                <w:sz w:val="21"/>
                <w:szCs w:val="21"/>
              </w:rPr>
            </w:pPr>
            <w:r>
              <w:rPr>
                <w:kern w:val="2"/>
                <w:sz w:val="21"/>
                <w:szCs w:val="21"/>
              </w:rPr>
              <w:t>规划年评价标准（</w:t>
            </w:r>
            <w:r>
              <w:rPr>
                <w:kern w:val="2"/>
                <w:sz w:val="21"/>
                <w:szCs w:val="21"/>
              </w:rPr>
              <w:t>/</w:t>
            </w:r>
            <w:r>
              <w:rPr>
                <w:kern w:val="2"/>
                <w:sz w:val="21"/>
                <w:szCs w:val="21"/>
              </w:rPr>
              <w:t>）</w:t>
            </w:r>
          </w:p>
        </w:tc>
      </w:tr>
      <w:tr w:rsidR="003E78AB" w14:paraId="3EAA22F7" w14:textId="77777777">
        <w:trPr>
          <w:trHeight w:val="283"/>
          <w:jc w:val="center"/>
        </w:trPr>
        <w:tc>
          <w:tcPr>
            <w:tcW w:w="258" w:type="pct"/>
            <w:vMerge/>
            <w:vAlign w:val="center"/>
          </w:tcPr>
          <w:p w14:paraId="4036FA85" w14:textId="77777777" w:rsidR="003E78AB" w:rsidRDefault="003E78AB">
            <w:pPr>
              <w:spacing w:line="360" w:lineRule="exact"/>
              <w:ind w:firstLineChars="0" w:firstLine="0"/>
              <w:jc w:val="left"/>
              <w:rPr>
                <w:kern w:val="2"/>
                <w:sz w:val="21"/>
                <w:szCs w:val="21"/>
              </w:rPr>
            </w:pPr>
          </w:p>
        </w:tc>
        <w:tc>
          <w:tcPr>
            <w:tcW w:w="752" w:type="pct"/>
            <w:vAlign w:val="center"/>
          </w:tcPr>
          <w:p w14:paraId="18359177" w14:textId="77777777" w:rsidR="003E78AB" w:rsidRDefault="00010BF9">
            <w:pPr>
              <w:spacing w:line="360" w:lineRule="exact"/>
              <w:ind w:firstLineChars="0" w:firstLine="0"/>
              <w:jc w:val="center"/>
              <w:rPr>
                <w:kern w:val="2"/>
                <w:sz w:val="21"/>
                <w:szCs w:val="21"/>
              </w:rPr>
            </w:pPr>
            <w:r>
              <w:rPr>
                <w:kern w:val="2"/>
                <w:sz w:val="21"/>
                <w:szCs w:val="21"/>
              </w:rPr>
              <w:t>评价时期</w:t>
            </w:r>
          </w:p>
        </w:tc>
        <w:tc>
          <w:tcPr>
            <w:tcW w:w="3989" w:type="pct"/>
            <w:gridSpan w:val="13"/>
            <w:vAlign w:val="center"/>
          </w:tcPr>
          <w:p w14:paraId="5A1A5134" w14:textId="77777777" w:rsidR="003E78AB" w:rsidRDefault="00010BF9">
            <w:pPr>
              <w:spacing w:line="360" w:lineRule="exact"/>
              <w:ind w:firstLineChars="0" w:firstLine="0"/>
              <w:jc w:val="left"/>
              <w:rPr>
                <w:kern w:val="2"/>
                <w:sz w:val="21"/>
                <w:szCs w:val="21"/>
              </w:rPr>
            </w:pPr>
            <w:r>
              <w:rPr>
                <w:kern w:val="2"/>
                <w:sz w:val="21"/>
                <w:szCs w:val="21"/>
              </w:rPr>
              <w:t>丰水期</w:t>
            </w:r>
            <w:r>
              <w:rPr>
                <w:kern w:val="2"/>
                <w:sz w:val="21"/>
                <w:szCs w:val="21"/>
              </w:rPr>
              <w:sym w:font="Wingdings 2" w:char="00A3"/>
            </w:r>
            <w:r>
              <w:rPr>
                <w:kern w:val="2"/>
                <w:sz w:val="21"/>
                <w:szCs w:val="21"/>
              </w:rPr>
              <w:t>；平水期</w:t>
            </w:r>
            <w:r>
              <w:rPr>
                <w:kern w:val="2"/>
                <w:sz w:val="21"/>
                <w:szCs w:val="21"/>
              </w:rPr>
              <w:sym w:font="Wingdings 2" w:char="00A3"/>
            </w:r>
            <w:r>
              <w:rPr>
                <w:kern w:val="2"/>
                <w:sz w:val="21"/>
                <w:szCs w:val="21"/>
              </w:rPr>
              <w:t>；枯水期</w:t>
            </w:r>
            <w:r>
              <w:rPr>
                <w:kern w:val="2"/>
                <w:sz w:val="21"/>
                <w:szCs w:val="21"/>
              </w:rPr>
              <w:sym w:font="Wingdings 2" w:char="00A3"/>
            </w:r>
            <w:r>
              <w:rPr>
                <w:kern w:val="2"/>
                <w:sz w:val="21"/>
                <w:szCs w:val="21"/>
              </w:rPr>
              <w:t>；冰封期</w:t>
            </w:r>
            <w:r>
              <w:rPr>
                <w:kern w:val="2"/>
                <w:sz w:val="21"/>
                <w:szCs w:val="21"/>
              </w:rPr>
              <w:sym w:font="Wingdings 2" w:char="00A3"/>
            </w:r>
            <w:r>
              <w:rPr>
                <w:kern w:val="2"/>
                <w:sz w:val="21"/>
                <w:szCs w:val="21"/>
              </w:rPr>
              <w:t>；春季</w:t>
            </w:r>
            <w:r>
              <w:rPr>
                <w:kern w:val="2"/>
                <w:sz w:val="21"/>
                <w:szCs w:val="21"/>
              </w:rPr>
              <w:sym w:font="Wingdings 2" w:char="00A3"/>
            </w:r>
            <w:r>
              <w:rPr>
                <w:kern w:val="2"/>
                <w:sz w:val="21"/>
                <w:szCs w:val="21"/>
              </w:rPr>
              <w:t>；夏季</w:t>
            </w:r>
            <w:r>
              <w:rPr>
                <w:kern w:val="2"/>
                <w:sz w:val="21"/>
                <w:szCs w:val="21"/>
              </w:rPr>
              <w:sym w:font="Wingdings 2" w:char="00A3"/>
            </w:r>
            <w:r>
              <w:rPr>
                <w:kern w:val="2"/>
                <w:sz w:val="21"/>
                <w:szCs w:val="21"/>
              </w:rPr>
              <w:t>；秋季</w:t>
            </w:r>
            <w:r>
              <w:rPr>
                <w:kern w:val="2"/>
                <w:sz w:val="21"/>
                <w:szCs w:val="21"/>
              </w:rPr>
              <w:sym w:font="Wingdings 2" w:char="00A3"/>
            </w:r>
            <w:r>
              <w:rPr>
                <w:kern w:val="2"/>
                <w:sz w:val="21"/>
                <w:szCs w:val="21"/>
              </w:rPr>
              <w:t>；冬季</w:t>
            </w:r>
            <w:r>
              <w:rPr>
                <w:kern w:val="2"/>
                <w:sz w:val="21"/>
                <w:szCs w:val="21"/>
              </w:rPr>
              <w:sym w:font="Wingdings 2" w:char="00A3"/>
            </w:r>
          </w:p>
        </w:tc>
      </w:tr>
      <w:tr w:rsidR="003E78AB" w14:paraId="2035B0F7" w14:textId="77777777">
        <w:trPr>
          <w:trHeight w:val="283"/>
          <w:jc w:val="center"/>
        </w:trPr>
        <w:tc>
          <w:tcPr>
            <w:tcW w:w="258" w:type="pct"/>
            <w:vMerge/>
            <w:vAlign w:val="center"/>
          </w:tcPr>
          <w:p w14:paraId="200C26DD" w14:textId="77777777" w:rsidR="003E78AB" w:rsidRDefault="003E78AB">
            <w:pPr>
              <w:spacing w:line="360" w:lineRule="exact"/>
              <w:ind w:firstLineChars="0" w:firstLine="0"/>
              <w:jc w:val="left"/>
              <w:rPr>
                <w:kern w:val="2"/>
                <w:sz w:val="21"/>
                <w:szCs w:val="21"/>
              </w:rPr>
            </w:pPr>
          </w:p>
        </w:tc>
        <w:tc>
          <w:tcPr>
            <w:tcW w:w="752" w:type="pct"/>
            <w:vAlign w:val="center"/>
          </w:tcPr>
          <w:p w14:paraId="0D3BAA8E" w14:textId="77777777" w:rsidR="003E78AB" w:rsidRDefault="00010BF9">
            <w:pPr>
              <w:spacing w:line="360" w:lineRule="exact"/>
              <w:ind w:firstLineChars="0" w:firstLine="0"/>
              <w:jc w:val="center"/>
              <w:rPr>
                <w:kern w:val="2"/>
                <w:sz w:val="21"/>
                <w:szCs w:val="21"/>
              </w:rPr>
            </w:pPr>
            <w:r>
              <w:rPr>
                <w:kern w:val="2"/>
                <w:sz w:val="21"/>
                <w:szCs w:val="21"/>
              </w:rPr>
              <w:t>评价结论</w:t>
            </w:r>
          </w:p>
        </w:tc>
        <w:tc>
          <w:tcPr>
            <w:tcW w:w="3091" w:type="pct"/>
            <w:gridSpan w:val="11"/>
            <w:vAlign w:val="center"/>
          </w:tcPr>
          <w:p w14:paraId="450ABAE4" w14:textId="77777777" w:rsidR="003E78AB" w:rsidRDefault="00010BF9">
            <w:pPr>
              <w:spacing w:line="360" w:lineRule="exact"/>
              <w:ind w:firstLineChars="0" w:firstLine="0"/>
              <w:jc w:val="left"/>
              <w:rPr>
                <w:kern w:val="2"/>
                <w:sz w:val="21"/>
                <w:szCs w:val="21"/>
              </w:rPr>
            </w:pPr>
            <w:r>
              <w:rPr>
                <w:kern w:val="2"/>
                <w:sz w:val="21"/>
                <w:szCs w:val="21"/>
              </w:rPr>
              <w:t>水环境功能区或水功能区、近岸海域环境功能区水质达标状况</w:t>
            </w:r>
            <w:r>
              <w:rPr>
                <w:kern w:val="2"/>
                <w:sz w:val="21"/>
                <w:szCs w:val="21"/>
              </w:rPr>
              <w:sym w:font="Wingdings 2" w:char="00A3"/>
            </w:r>
            <w:r>
              <w:rPr>
                <w:kern w:val="2"/>
                <w:sz w:val="21"/>
                <w:szCs w:val="21"/>
              </w:rPr>
              <w:t>：达标</w:t>
            </w:r>
            <w:r>
              <w:rPr>
                <w:kern w:val="2"/>
                <w:sz w:val="21"/>
                <w:szCs w:val="21"/>
              </w:rPr>
              <w:sym w:font="Wingdings 2" w:char="00A3"/>
            </w:r>
            <w:r>
              <w:rPr>
                <w:kern w:val="2"/>
                <w:sz w:val="21"/>
                <w:szCs w:val="21"/>
              </w:rPr>
              <w:t>；不达标</w:t>
            </w:r>
            <w:r>
              <w:rPr>
                <w:kern w:val="2"/>
                <w:sz w:val="21"/>
                <w:szCs w:val="21"/>
              </w:rPr>
              <w:sym w:font="Wingdings 2" w:char="00A3"/>
            </w:r>
          </w:p>
          <w:p w14:paraId="47B0843C" w14:textId="77777777" w:rsidR="003E78AB" w:rsidRDefault="00010BF9">
            <w:pPr>
              <w:spacing w:line="360" w:lineRule="exact"/>
              <w:ind w:firstLineChars="0" w:firstLine="0"/>
              <w:jc w:val="left"/>
              <w:rPr>
                <w:kern w:val="2"/>
                <w:sz w:val="21"/>
                <w:szCs w:val="21"/>
              </w:rPr>
            </w:pPr>
            <w:r>
              <w:rPr>
                <w:kern w:val="2"/>
                <w:sz w:val="21"/>
                <w:szCs w:val="21"/>
              </w:rPr>
              <w:t>水环境控制单元或断面水质达标状况</w:t>
            </w:r>
            <w:r>
              <w:rPr>
                <w:kern w:val="2"/>
                <w:sz w:val="21"/>
                <w:szCs w:val="21"/>
              </w:rPr>
              <w:sym w:font="Wingdings 2" w:char="00A3"/>
            </w:r>
            <w:r>
              <w:rPr>
                <w:kern w:val="2"/>
                <w:sz w:val="21"/>
                <w:szCs w:val="21"/>
              </w:rPr>
              <w:t>；达标</w:t>
            </w:r>
            <w:r>
              <w:rPr>
                <w:kern w:val="2"/>
                <w:sz w:val="21"/>
                <w:szCs w:val="21"/>
              </w:rPr>
              <w:sym w:font="Wingdings 2" w:char="00A3"/>
            </w:r>
            <w:r>
              <w:rPr>
                <w:kern w:val="2"/>
                <w:sz w:val="21"/>
                <w:szCs w:val="21"/>
              </w:rPr>
              <w:t>；不达标</w:t>
            </w:r>
            <w:r>
              <w:rPr>
                <w:kern w:val="2"/>
                <w:sz w:val="21"/>
                <w:szCs w:val="21"/>
              </w:rPr>
              <w:sym w:font="Wingdings 2" w:char="00A3"/>
            </w:r>
          </w:p>
          <w:p w14:paraId="59CDCF9B" w14:textId="77777777" w:rsidR="003E78AB" w:rsidRDefault="00010BF9">
            <w:pPr>
              <w:spacing w:line="360" w:lineRule="exact"/>
              <w:ind w:firstLineChars="0" w:firstLine="0"/>
              <w:jc w:val="left"/>
              <w:rPr>
                <w:kern w:val="2"/>
                <w:sz w:val="21"/>
                <w:szCs w:val="21"/>
              </w:rPr>
            </w:pPr>
            <w:r>
              <w:rPr>
                <w:kern w:val="2"/>
                <w:sz w:val="21"/>
                <w:szCs w:val="21"/>
              </w:rPr>
              <w:t>水环境保护目标质量状况</w:t>
            </w:r>
            <w:r>
              <w:rPr>
                <w:kern w:val="2"/>
                <w:sz w:val="21"/>
                <w:szCs w:val="21"/>
              </w:rPr>
              <w:sym w:font="Wingdings 2" w:char="00A3"/>
            </w:r>
            <w:r>
              <w:rPr>
                <w:kern w:val="2"/>
                <w:sz w:val="21"/>
                <w:szCs w:val="21"/>
              </w:rPr>
              <w:t>：达标</w:t>
            </w:r>
            <w:r>
              <w:rPr>
                <w:kern w:val="2"/>
                <w:sz w:val="21"/>
                <w:szCs w:val="21"/>
              </w:rPr>
              <w:sym w:font="Wingdings 2" w:char="00A3"/>
            </w:r>
            <w:r>
              <w:rPr>
                <w:kern w:val="2"/>
                <w:sz w:val="21"/>
                <w:szCs w:val="21"/>
              </w:rPr>
              <w:t>；不达标</w:t>
            </w:r>
            <w:r>
              <w:rPr>
                <w:kern w:val="2"/>
                <w:sz w:val="21"/>
                <w:szCs w:val="21"/>
              </w:rPr>
              <w:sym w:font="Wingdings 2" w:char="00A3"/>
            </w:r>
          </w:p>
          <w:p w14:paraId="47A25708" w14:textId="77777777" w:rsidR="003E78AB" w:rsidRDefault="00010BF9">
            <w:pPr>
              <w:spacing w:line="360" w:lineRule="exact"/>
              <w:ind w:firstLineChars="0" w:firstLine="0"/>
              <w:jc w:val="left"/>
              <w:rPr>
                <w:kern w:val="2"/>
                <w:sz w:val="21"/>
                <w:szCs w:val="21"/>
              </w:rPr>
            </w:pPr>
            <w:r>
              <w:rPr>
                <w:kern w:val="2"/>
                <w:sz w:val="21"/>
                <w:szCs w:val="21"/>
              </w:rPr>
              <w:t>对照断面、控制断面等代表性断面的水质状况</w:t>
            </w:r>
            <w:r>
              <w:rPr>
                <w:kern w:val="2"/>
                <w:sz w:val="21"/>
                <w:szCs w:val="21"/>
              </w:rPr>
              <w:sym w:font="Wingdings 2" w:char="00A3"/>
            </w:r>
            <w:r>
              <w:rPr>
                <w:kern w:val="2"/>
                <w:sz w:val="21"/>
                <w:szCs w:val="21"/>
              </w:rPr>
              <w:t>：达标</w:t>
            </w:r>
            <w:r>
              <w:rPr>
                <w:kern w:val="2"/>
                <w:sz w:val="21"/>
                <w:szCs w:val="21"/>
              </w:rPr>
              <w:sym w:font="Wingdings 2" w:char="00A3"/>
            </w:r>
            <w:r>
              <w:rPr>
                <w:kern w:val="2"/>
                <w:sz w:val="21"/>
                <w:szCs w:val="21"/>
              </w:rPr>
              <w:t>；不达标</w:t>
            </w:r>
            <w:r>
              <w:rPr>
                <w:kern w:val="2"/>
                <w:sz w:val="21"/>
                <w:szCs w:val="21"/>
              </w:rPr>
              <w:sym w:font="Wingdings 2" w:char="00A3"/>
            </w:r>
          </w:p>
          <w:p w14:paraId="39F1B30F" w14:textId="77777777" w:rsidR="003E78AB" w:rsidRDefault="00010BF9">
            <w:pPr>
              <w:spacing w:line="360" w:lineRule="exact"/>
              <w:ind w:firstLineChars="0" w:firstLine="0"/>
              <w:jc w:val="left"/>
              <w:rPr>
                <w:kern w:val="2"/>
                <w:sz w:val="21"/>
                <w:szCs w:val="21"/>
              </w:rPr>
            </w:pPr>
            <w:r>
              <w:rPr>
                <w:kern w:val="2"/>
                <w:sz w:val="21"/>
                <w:szCs w:val="21"/>
              </w:rPr>
              <w:t>底泥污染评价</w:t>
            </w:r>
            <w:r>
              <w:rPr>
                <w:kern w:val="2"/>
                <w:sz w:val="21"/>
                <w:szCs w:val="21"/>
              </w:rPr>
              <w:sym w:font="Wingdings 2" w:char="00A3"/>
            </w:r>
          </w:p>
          <w:p w14:paraId="086F2889" w14:textId="77777777" w:rsidR="003E78AB" w:rsidRDefault="00010BF9">
            <w:pPr>
              <w:spacing w:line="360" w:lineRule="exact"/>
              <w:ind w:firstLineChars="0" w:firstLine="0"/>
              <w:jc w:val="left"/>
              <w:rPr>
                <w:kern w:val="2"/>
                <w:sz w:val="21"/>
                <w:szCs w:val="21"/>
              </w:rPr>
            </w:pPr>
            <w:r>
              <w:rPr>
                <w:kern w:val="2"/>
                <w:sz w:val="21"/>
                <w:szCs w:val="21"/>
              </w:rPr>
              <w:t>水资源与开发利用程度及其水文情势评价</w:t>
            </w:r>
            <w:r>
              <w:rPr>
                <w:kern w:val="2"/>
                <w:sz w:val="21"/>
                <w:szCs w:val="21"/>
              </w:rPr>
              <w:sym w:font="Wingdings 2" w:char="00A3"/>
            </w:r>
          </w:p>
          <w:p w14:paraId="2B72BA55" w14:textId="77777777" w:rsidR="003E78AB" w:rsidRDefault="00010BF9">
            <w:pPr>
              <w:spacing w:line="360" w:lineRule="exact"/>
              <w:ind w:firstLineChars="0" w:firstLine="0"/>
              <w:jc w:val="left"/>
              <w:rPr>
                <w:kern w:val="2"/>
                <w:sz w:val="21"/>
                <w:szCs w:val="21"/>
              </w:rPr>
            </w:pPr>
            <w:r>
              <w:rPr>
                <w:kern w:val="2"/>
                <w:sz w:val="21"/>
                <w:szCs w:val="21"/>
              </w:rPr>
              <w:t>水环境质量回顾评价</w:t>
            </w:r>
            <w:r>
              <w:rPr>
                <w:kern w:val="2"/>
                <w:sz w:val="21"/>
                <w:szCs w:val="21"/>
              </w:rPr>
              <w:sym w:font="Wingdings 2" w:char="00A3"/>
            </w:r>
          </w:p>
          <w:p w14:paraId="6B6308F2" w14:textId="77777777" w:rsidR="003E78AB" w:rsidRDefault="00010BF9">
            <w:pPr>
              <w:spacing w:line="360" w:lineRule="exact"/>
              <w:ind w:firstLineChars="0" w:firstLine="0"/>
              <w:jc w:val="left"/>
              <w:rPr>
                <w:kern w:val="2"/>
                <w:sz w:val="21"/>
                <w:szCs w:val="21"/>
              </w:rPr>
            </w:pPr>
            <w:r>
              <w:rPr>
                <w:kern w:val="2"/>
                <w:sz w:val="21"/>
                <w:szCs w:val="21"/>
              </w:rPr>
              <w:t>流域（区域）水资源（包括水能资源）与开发利用总体状况、生态流量管理要求与现状满足程度、建设项目占用水域空间的水流状况与河湖演变状况</w:t>
            </w:r>
            <w:r>
              <w:rPr>
                <w:kern w:val="2"/>
                <w:sz w:val="21"/>
                <w:szCs w:val="21"/>
              </w:rPr>
              <w:sym w:font="Wingdings 2" w:char="00A3"/>
            </w:r>
          </w:p>
        </w:tc>
        <w:tc>
          <w:tcPr>
            <w:tcW w:w="897" w:type="pct"/>
            <w:gridSpan w:val="2"/>
            <w:vAlign w:val="center"/>
          </w:tcPr>
          <w:p w14:paraId="515B2359" w14:textId="77777777" w:rsidR="003E78AB" w:rsidRDefault="00010BF9">
            <w:pPr>
              <w:spacing w:line="360" w:lineRule="exact"/>
              <w:ind w:firstLineChars="0" w:firstLine="0"/>
              <w:jc w:val="center"/>
              <w:rPr>
                <w:kern w:val="2"/>
                <w:sz w:val="21"/>
                <w:szCs w:val="21"/>
              </w:rPr>
            </w:pPr>
            <w:r>
              <w:rPr>
                <w:kern w:val="2"/>
                <w:sz w:val="21"/>
                <w:szCs w:val="21"/>
              </w:rPr>
              <w:t>达标区</w:t>
            </w:r>
            <w:r>
              <w:rPr>
                <w:kern w:val="2"/>
                <w:sz w:val="21"/>
                <w:szCs w:val="21"/>
              </w:rPr>
              <w:sym w:font="Wingdings 2" w:char="00A3"/>
            </w:r>
          </w:p>
          <w:p w14:paraId="3067FBDA" w14:textId="77777777" w:rsidR="003E78AB" w:rsidRDefault="00010BF9">
            <w:pPr>
              <w:spacing w:line="360" w:lineRule="exact"/>
              <w:ind w:firstLineChars="0" w:firstLine="0"/>
              <w:jc w:val="center"/>
              <w:rPr>
                <w:kern w:val="2"/>
                <w:sz w:val="21"/>
                <w:szCs w:val="21"/>
              </w:rPr>
            </w:pPr>
            <w:r>
              <w:rPr>
                <w:kern w:val="2"/>
                <w:sz w:val="21"/>
                <w:szCs w:val="21"/>
              </w:rPr>
              <w:t>不达标区</w:t>
            </w:r>
            <w:r>
              <w:rPr>
                <w:kern w:val="2"/>
                <w:sz w:val="21"/>
                <w:szCs w:val="21"/>
              </w:rPr>
              <w:sym w:font="Wingdings 2" w:char="00A3"/>
            </w:r>
          </w:p>
        </w:tc>
      </w:tr>
      <w:tr w:rsidR="003E78AB" w14:paraId="55796AEA" w14:textId="77777777">
        <w:trPr>
          <w:trHeight w:val="283"/>
          <w:jc w:val="center"/>
        </w:trPr>
        <w:tc>
          <w:tcPr>
            <w:tcW w:w="258" w:type="pct"/>
            <w:vMerge w:val="restart"/>
            <w:vAlign w:val="center"/>
          </w:tcPr>
          <w:p w14:paraId="46D2B43E" w14:textId="77777777" w:rsidR="003E78AB" w:rsidRDefault="00010BF9">
            <w:pPr>
              <w:spacing w:line="360" w:lineRule="exact"/>
              <w:ind w:firstLineChars="0" w:firstLine="0"/>
              <w:jc w:val="center"/>
              <w:rPr>
                <w:kern w:val="2"/>
                <w:sz w:val="21"/>
                <w:szCs w:val="21"/>
              </w:rPr>
            </w:pPr>
            <w:r>
              <w:rPr>
                <w:kern w:val="2"/>
                <w:sz w:val="21"/>
                <w:szCs w:val="21"/>
              </w:rPr>
              <w:t>影响预测</w:t>
            </w:r>
          </w:p>
        </w:tc>
        <w:tc>
          <w:tcPr>
            <w:tcW w:w="752" w:type="pct"/>
            <w:vAlign w:val="center"/>
          </w:tcPr>
          <w:p w14:paraId="1C59976D" w14:textId="77777777" w:rsidR="003E78AB" w:rsidRDefault="00010BF9">
            <w:pPr>
              <w:spacing w:line="360" w:lineRule="exact"/>
              <w:ind w:firstLineChars="0" w:firstLine="0"/>
              <w:jc w:val="center"/>
              <w:rPr>
                <w:kern w:val="2"/>
                <w:sz w:val="21"/>
                <w:szCs w:val="21"/>
              </w:rPr>
            </w:pPr>
            <w:r>
              <w:rPr>
                <w:kern w:val="2"/>
                <w:sz w:val="21"/>
                <w:szCs w:val="21"/>
              </w:rPr>
              <w:t>预测范围</w:t>
            </w:r>
          </w:p>
        </w:tc>
        <w:tc>
          <w:tcPr>
            <w:tcW w:w="3989" w:type="pct"/>
            <w:gridSpan w:val="13"/>
            <w:vAlign w:val="center"/>
          </w:tcPr>
          <w:p w14:paraId="3412EF77" w14:textId="77777777" w:rsidR="003E78AB" w:rsidRDefault="00010BF9">
            <w:pPr>
              <w:spacing w:line="360" w:lineRule="exact"/>
              <w:ind w:firstLineChars="0" w:firstLine="0"/>
              <w:jc w:val="center"/>
              <w:rPr>
                <w:kern w:val="2"/>
                <w:sz w:val="21"/>
                <w:szCs w:val="21"/>
                <w:vertAlign w:val="superscript"/>
              </w:rPr>
            </w:pPr>
            <w:r>
              <w:rPr>
                <w:kern w:val="2"/>
                <w:sz w:val="21"/>
                <w:szCs w:val="21"/>
              </w:rPr>
              <w:t>河流：长度（</w:t>
            </w:r>
            <w:r>
              <w:rPr>
                <w:kern w:val="2"/>
                <w:sz w:val="21"/>
                <w:szCs w:val="21"/>
              </w:rPr>
              <w:t>/</w:t>
            </w:r>
            <w:r>
              <w:rPr>
                <w:kern w:val="2"/>
                <w:sz w:val="21"/>
                <w:szCs w:val="21"/>
              </w:rPr>
              <w:t>）</w:t>
            </w:r>
            <w:r>
              <w:rPr>
                <w:kern w:val="2"/>
                <w:sz w:val="21"/>
                <w:szCs w:val="21"/>
              </w:rPr>
              <w:t>km</w:t>
            </w:r>
            <w:r>
              <w:rPr>
                <w:kern w:val="2"/>
                <w:sz w:val="21"/>
                <w:szCs w:val="21"/>
              </w:rPr>
              <w:t>；湖库、河口及近岸海域：面积（</w:t>
            </w:r>
            <w:r>
              <w:rPr>
                <w:kern w:val="2"/>
                <w:sz w:val="21"/>
                <w:szCs w:val="21"/>
              </w:rPr>
              <w:t>/</w:t>
            </w:r>
            <w:r>
              <w:rPr>
                <w:kern w:val="2"/>
                <w:sz w:val="21"/>
                <w:szCs w:val="21"/>
              </w:rPr>
              <w:t>）</w:t>
            </w:r>
            <w:r>
              <w:rPr>
                <w:kern w:val="2"/>
                <w:sz w:val="21"/>
                <w:szCs w:val="21"/>
              </w:rPr>
              <w:t>km</w:t>
            </w:r>
            <w:r>
              <w:rPr>
                <w:kern w:val="2"/>
                <w:sz w:val="21"/>
                <w:szCs w:val="21"/>
                <w:vertAlign w:val="superscript"/>
              </w:rPr>
              <w:t>2</w:t>
            </w:r>
          </w:p>
        </w:tc>
      </w:tr>
      <w:tr w:rsidR="003E78AB" w14:paraId="46F8C873" w14:textId="77777777">
        <w:trPr>
          <w:trHeight w:val="283"/>
          <w:jc w:val="center"/>
        </w:trPr>
        <w:tc>
          <w:tcPr>
            <w:tcW w:w="258" w:type="pct"/>
            <w:vMerge/>
            <w:vAlign w:val="center"/>
          </w:tcPr>
          <w:p w14:paraId="2E07862D" w14:textId="77777777" w:rsidR="003E78AB" w:rsidRDefault="003E78AB">
            <w:pPr>
              <w:spacing w:line="360" w:lineRule="exact"/>
              <w:ind w:firstLineChars="0" w:firstLine="0"/>
              <w:jc w:val="left"/>
              <w:rPr>
                <w:kern w:val="2"/>
                <w:sz w:val="21"/>
                <w:szCs w:val="21"/>
              </w:rPr>
            </w:pPr>
          </w:p>
        </w:tc>
        <w:tc>
          <w:tcPr>
            <w:tcW w:w="752" w:type="pct"/>
            <w:vAlign w:val="center"/>
          </w:tcPr>
          <w:p w14:paraId="71B326CA" w14:textId="77777777" w:rsidR="003E78AB" w:rsidRDefault="00010BF9">
            <w:pPr>
              <w:spacing w:line="360" w:lineRule="exact"/>
              <w:ind w:firstLineChars="0" w:firstLine="0"/>
              <w:jc w:val="center"/>
              <w:rPr>
                <w:kern w:val="2"/>
                <w:sz w:val="21"/>
                <w:szCs w:val="21"/>
              </w:rPr>
            </w:pPr>
            <w:r>
              <w:rPr>
                <w:kern w:val="2"/>
                <w:sz w:val="21"/>
                <w:szCs w:val="21"/>
              </w:rPr>
              <w:t>预测因子</w:t>
            </w:r>
          </w:p>
        </w:tc>
        <w:tc>
          <w:tcPr>
            <w:tcW w:w="3989" w:type="pct"/>
            <w:gridSpan w:val="13"/>
            <w:vAlign w:val="center"/>
          </w:tcPr>
          <w:p w14:paraId="00E4074D"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r>
      <w:tr w:rsidR="003E78AB" w14:paraId="220B82DC" w14:textId="77777777">
        <w:trPr>
          <w:trHeight w:val="283"/>
          <w:jc w:val="center"/>
        </w:trPr>
        <w:tc>
          <w:tcPr>
            <w:tcW w:w="258" w:type="pct"/>
            <w:vMerge/>
            <w:vAlign w:val="center"/>
          </w:tcPr>
          <w:p w14:paraId="512EB573" w14:textId="77777777" w:rsidR="003E78AB" w:rsidRDefault="003E78AB">
            <w:pPr>
              <w:spacing w:line="360" w:lineRule="exact"/>
              <w:ind w:firstLineChars="0" w:firstLine="0"/>
              <w:jc w:val="left"/>
              <w:rPr>
                <w:kern w:val="2"/>
                <w:sz w:val="21"/>
                <w:szCs w:val="21"/>
              </w:rPr>
            </w:pPr>
          </w:p>
        </w:tc>
        <w:tc>
          <w:tcPr>
            <w:tcW w:w="752" w:type="pct"/>
            <w:vAlign w:val="center"/>
          </w:tcPr>
          <w:p w14:paraId="07F3E1A2" w14:textId="77777777" w:rsidR="003E78AB" w:rsidRDefault="00010BF9">
            <w:pPr>
              <w:spacing w:line="360" w:lineRule="exact"/>
              <w:ind w:firstLineChars="0" w:firstLine="0"/>
              <w:jc w:val="center"/>
              <w:rPr>
                <w:kern w:val="2"/>
                <w:sz w:val="21"/>
                <w:szCs w:val="21"/>
              </w:rPr>
            </w:pPr>
            <w:r>
              <w:rPr>
                <w:kern w:val="2"/>
                <w:sz w:val="21"/>
                <w:szCs w:val="21"/>
              </w:rPr>
              <w:t>预测时期</w:t>
            </w:r>
          </w:p>
        </w:tc>
        <w:tc>
          <w:tcPr>
            <w:tcW w:w="3989" w:type="pct"/>
            <w:gridSpan w:val="13"/>
            <w:vAlign w:val="center"/>
          </w:tcPr>
          <w:p w14:paraId="3223CA0F" w14:textId="77777777" w:rsidR="003E78AB" w:rsidRDefault="00010BF9">
            <w:pPr>
              <w:spacing w:line="360" w:lineRule="exact"/>
              <w:ind w:firstLineChars="0" w:firstLine="0"/>
              <w:jc w:val="center"/>
              <w:rPr>
                <w:kern w:val="2"/>
                <w:sz w:val="21"/>
                <w:szCs w:val="21"/>
              </w:rPr>
            </w:pPr>
            <w:r>
              <w:rPr>
                <w:kern w:val="2"/>
                <w:sz w:val="21"/>
                <w:szCs w:val="21"/>
              </w:rPr>
              <w:t>丰水期</w:t>
            </w:r>
            <w:r>
              <w:rPr>
                <w:kern w:val="2"/>
                <w:sz w:val="21"/>
                <w:szCs w:val="21"/>
              </w:rPr>
              <w:sym w:font="Wingdings 2" w:char="00A3"/>
            </w:r>
            <w:r>
              <w:rPr>
                <w:kern w:val="2"/>
                <w:sz w:val="21"/>
                <w:szCs w:val="21"/>
              </w:rPr>
              <w:t>；平水期</w:t>
            </w:r>
            <w:r>
              <w:rPr>
                <w:kern w:val="2"/>
                <w:sz w:val="21"/>
                <w:szCs w:val="21"/>
              </w:rPr>
              <w:sym w:font="Wingdings 2" w:char="00A3"/>
            </w:r>
            <w:r>
              <w:rPr>
                <w:kern w:val="2"/>
                <w:sz w:val="21"/>
                <w:szCs w:val="21"/>
              </w:rPr>
              <w:t>；枯水期</w:t>
            </w:r>
            <w:r>
              <w:rPr>
                <w:kern w:val="2"/>
                <w:sz w:val="21"/>
                <w:szCs w:val="21"/>
              </w:rPr>
              <w:sym w:font="Wingdings 2" w:char="00A3"/>
            </w:r>
            <w:r>
              <w:rPr>
                <w:kern w:val="2"/>
                <w:sz w:val="21"/>
                <w:szCs w:val="21"/>
              </w:rPr>
              <w:t>；冰封期</w:t>
            </w:r>
            <w:r>
              <w:rPr>
                <w:kern w:val="2"/>
                <w:sz w:val="21"/>
                <w:szCs w:val="21"/>
              </w:rPr>
              <w:sym w:font="Wingdings 2" w:char="00A3"/>
            </w:r>
            <w:r>
              <w:rPr>
                <w:kern w:val="2"/>
                <w:sz w:val="21"/>
                <w:szCs w:val="21"/>
              </w:rPr>
              <w:t>；春季</w:t>
            </w:r>
            <w:r>
              <w:rPr>
                <w:kern w:val="2"/>
                <w:sz w:val="21"/>
                <w:szCs w:val="21"/>
              </w:rPr>
              <w:sym w:font="Wingdings 2" w:char="00A3"/>
            </w:r>
            <w:r>
              <w:rPr>
                <w:kern w:val="2"/>
                <w:sz w:val="21"/>
                <w:szCs w:val="21"/>
              </w:rPr>
              <w:t>；夏季</w:t>
            </w:r>
            <w:r>
              <w:rPr>
                <w:kern w:val="2"/>
                <w:sz w:val="21"/>
                <w:szCs w:val="21"/>
              </w:rPr>
              <w:sym w:font="Wingdings 2" w:char="00A3"/>
            </w:r>
            <w:r>
              <w:rPr>
                <w:kern w:val="2"/>
                <w:sz w:val="21"/>
                <w:szCs w:val="21"/>
              </w:rPr>
              <w:t>；秋季</w:t>
            </w:r>
            <w:r>
              <w:rPr>
                <w:kern w:val="2"/>
                <w:sz w:val="21"/>
                <w:szCs w:val="21"/>
              </w:rPr>
              <w:sym w:font="Wingdings 2" w:char="00A3"/>
            </w:r>
            <w:r>
              <w:rPr>
                <w:kern w:val="2"/>
                <w:sz w:val="21"/>
                <w:szCs w:val="21"/>
              </w:rPr>
              <w:t>；冬季</w:t>
            </w:r>
            <w:r>
              <w:rPr>
                <w:kern w:val="2"/>
                <w:sz w:val="21"/>
                <w:szCs w:val="21"/>
              </w:rPr>
              <w:sym w:font="Wingdings 2" w:char="00A3"/>
            </w:r>
            <w:r>
              <w:rPr>
                <w:kern w:val="2"/>
                <w:sz w:val="21"/>
                <w:szCs w:val="21"/>
              </w:rPr>
              <w:t>；设计水文条件</w:t>
            </w:r>
            <w:r>
              <w:rPr>
                <w:kern w:val="2"/>
                <w:sz w:val="21"/>
                <w:szCs w:val="21"/>
              </w:rPr>
              <w:sym w:font="Wingdings 2" w:char="00A3"/>
            </w:r>
          </w:p>
        </w:tc>
      </w:tr>
      <w:tr w:rsidR="003E78AB" w14:paraId="4F68A9FD" w14:textId="77777777">
        <w:trPr>
          <w:trHeight w:val="283"/>
          <w:jc w:val="center"/>
        </w:trPr>
        <w:tc>
          <w:tcPr>
            <w:tcW w:w="258" w:type="pct"/>
            <w:vMerge/>
            <w:vAlign w:val="center"/>
          </w:tcPr>
          <w:p w14:paraId="2EA7EA7E" w14:textId="77777777" w:rsidR="003E78AB" w:rsidRDefault="003E78AB">
            <w:pPr>
              <w:spacing w:line="360" w:lineRule="exact"/>
              <w:ind w:firstLineChars="0" w:firstLine="0"/>
              <w:jc w:val="left"/>
              <w:rPr>
                <w:kern w:val="2"/>
                <w:sz w:val="21"/>
                <w:szCs w:val="21"/>
              </w:rPr>
            </w:pPr>
          </w:p>
        </w:tc>
        <w:tc>
          <w:tcPr>
            <w:tcW w:w="752" w:type="pct"/>
            <w:vAlign w:val="center"/>
          </w:tcPr>
          <w:p w14:paraId="7ADBC2EE" w14:textId="77777777" w:rsidR="003E78AB" w:rsidRDefault="00010BF9">
            <w:pPr>
              <w:spacing w:line="360" w:lineRule="exact"/>
              <w:ind w:firstLineChars="0" w:firstLine="0"/>
              <w:jc w:val="center"/>
              <w:rPr>
                <w:kern w:val="2"/>
                <w:sz w:val="21"/>
                <w:szCs w:val="21"/>
              </w:rPr>
            </w:pPr>
            <w:r>
              <w:rPr>
                <w:kern w:val="2"/>
                <w:sz w:val="21"/>
                <w:szCs w:val="21"/>
              </w:rPr>
              <w:t>预测情景</w:t>
            </w:r>
          </w:p>
        </w:tc>
        <w:tc>
          <w:tcPr>
            <w:tcW w:w="3989" w:type="pct"/>
            <w:gridSpan w:val="13"/>
            <w:vAlign w:val="center"/>
          </w:tcPr>
          <w:p w14:paraId="5BD21886" w14:textId="77777777" w:rsidR="003E78AB" w:rsidRDefault="00010BF9">
            <w:pPr>
              <w:spacing w:line="360" w:lineRule="exact"/>
              <w:ind w:firstLineChars="0" w:firstLine="0"/>
              <w:jc w:val="left"/>
              <w:rPr>
                <w:kern w:val="2"/>
                <w:sz w:val="21"/>
                <w:szCs w:val="21"/>
              </w:rPr>
            </w:pPr>
            <w:r>
              <w:rPr>
                <w:kern w:val="2"/>
                <w:sz w:val="21"/>
                <w:szCs w:val="21"/>
              </w:rPr>
              <w:t>建设期</w:t>
            </w:r>
            <w:r>
              <w:rPr>
                <w:kern w:val="2"/>
                <w:sz w:val="21"/>
                <w:szCs w:val="21"/>
              </w:rPr>
              <w:sym w:font="Wingdings 2" w:char="00A3"/>
            </w:r>
            <w:r>
              <w:rPr>
                <w:kern w:val="2"/>
                <w:sz w:val="21"/>
                <w:szCs w:val="21"/>
              </w:rPr>
              <w:t>；生产运行期</w:t>
            </w:r>
            <w:r>
              <w:rPr>
                <w:kern w:val="2"/>
                <w:sz w:val="21"/>
                <w:szCs w:val="21"/>
              </w:rPr>
              <w:sym w:font="Wingdings 2" w:char="00A3"/>
            </w:r>
            <w:r>
              <w:rPr>
                <w:kern w:val="2"/>
                <w:sz w:val="21"/>
                <w:szCs w:val="21"/>
              </w:rPr>
              <w:t>；服务期满后</w:t>
            </w:r>
            <w:r>
              <w:rPr>
                <w:kern w:val="2"/>
                <w:sz w:val="21"/>
                <w:szCs w:val="21"/>
              </w:rPr>
              <w:sym w:font="Wingdings 2" w:char="00A3"/>
            </w:r>
            <w:r>
              <w:rPr>
                <w:kern w:val="2"/>
                <w:sz w:val="21"/>
                <w:szCs w:val="21"/>
              </w:rPr>
              <w:t>；</w:t>
            </w:r>
          </w:p>
          <w:p w14:paraId="2603B475" w14:textId="77777777" w:rsidR="003E78AB" w:rsidRDefault="00010BF9">
            <w:pPr>
              <w:spacing w:line="360" w:lineRule="exact"/>
              <w:ind w:firstLineChars="0" w:firstLine="0"/>
              <w:jc w:val="left"/>
              <w:rPr>
                <w:kern w:val="2"/>
                <w:sz w:val="21"/>
                <w:szCs w:val="21"/>
              </w:rPr>
            </w:pPr>
            <w:r>
              <w:rPr>
                <w:kern w:val="2"/>
                <w:sz w:val="21"/>
                <w:szCs w:val="21"/>
              </w:rPr>
              <w:t>正常工况</w:t>
            </w:r>
            <w:r>
              <w:rPr>
                <w:kern w:val="2"/>
                <w:sz w:val="21"/>
                <w:szCs w:val="21"/>
              </w:rPr>
              <w:sym w:font="Wingdings 2" w:char="00A3"/>
            </w:r>
            <w:r>
              <w:rPr>
                <w:kern w:val="2"/>
                <w:sz w:val="21"/>
                <w:szCs w:val="21"/>
              </w:rPr>
              <w:t>；非正常工况</w:t>
            </w:r>
            <w:r>
              <w:rPr>
                <w:kern w:val="2"/>
                <w:sz w:val="21"/>
                <w:szCs w:val="21"/>
              </w:rPr>
              <w:sym w:font="Wingdings 2" w:char="00A3"/>
            </w:r>
            <w:r>
              <w:rPr>
                <w:kern w:val="2"/>
                <w:sz w:val="21"/>
                <w:szCs w:val="21"/>
              </w:rPr>
              <w:t>；</w:t>
            </w:r>
          </w:p>
          <w:p w14:paraId="772EB5EE" w14:textId="77777777" w:rsidR="003E78AB" w:rsidRDefault="00010BF9">
            <w:pPr>
              <w:spacing w:line="360" w:lineRule="exact"/>
              <w:ind w:firstLineChars="0" w:firstLine="0"/>
              <w:jc w:val="left"/>
              <w:rPr>
                <w:kern w:val="2"/>
                <w:sz w:val="21"/>
                <w:szCs w:val="21"/>
              </w:rPr>
            </w:pPr>
            <w:r>
              <w:rPr>
                <w:kern w:val="2"/>
                <w:sz w:val="21"/>
                <w:szCs w:val="21"/>
              </w:rPr>
              <w:t>污染控制和减缓措施方案</w:t>
            </w:r>
            <w:r>
              <w:rPr>
                <w:kern w:val="2"/>
                <w:sz w:val="21"/>
                <w:szCs w:val="21"/>
              </w:rPr>
              <w:sym w:font="Wingdings 2" w:char="00A3"/>
            </w:r>
            <w:r>
              <w:rPr>
                <w:kern w:val="2"/>
                <w:sz w:val="21"/>
                <w:szCs w:val="21"/>
              </w:rPr>
              <w:t>；</w:t>
            </w:r>
          </w:p>
          <w:p w14:paraId="56066BF6" w14:textId="77777777" w:rsidR="003E78AB" w:rsidRDefault="00010BF9">
            <w:pPr>
              <w:spacing w:line="360" w:lineRule="exact"/>
              <w:ind w:firstLineChars="0" w:firstLine="0"/>
              <w:jc w:val="left"/>
              <w:rPr>
                <w:kern w:val="2"/>
                <w:sz w:val="21"/>
                <w:szCs w:val="21"/>
              </w:rPr>
            </w:pPr>
            <w:r>
              <w:rPr>
                <w:kern w:val="2"/>
                <w:sz w:val="21"/>
                <w:szCs w:val="21"/>
              </w:rPr>
              <w:t>区（流）域环境质量改善目标要求情景</w:t>
            </w:r>
            <w:r>
              <w:rPr>
                <w:kern w:val="2"/>
                <w:sz w:val="21"/>
                <w:szCs w:val="21"/>
              </w:rPr>
              <w:sym w:font="Wingdings 2" w:char="00A3"/>
            </w:r>
          </w:p>
        </w:tc>
      </w:tr>
      <w:tr w:rsidR="003E78AB" w14:paraId="38273C41" w14:textId="77777777">
        <w:trPr>
          <w:trHeight w:val="283"/>
          <w:jc w:val="center"/>
        </w:trPr>
        <w:tc>
          <w:tcPr>
            <w:tcW w:w="258" w:type="pct"/>
            <w:vMerge/>
            <w:vAlign w:val="center"/>
          </w:tcPr>
          <w:p w14:paraId="7D4E1EC8" w14:textId="77777777" w:rsidR="003E78AB" w:rsidRDefault="003E78AB">
            <w:pPr>
              <w:spacing w:line="360" w:lineRule="exact"/>
              <w:ind w:firstLineChars="0" w:firstLine="0"/>
              <w:jc w:val="left"/>
              <w:rPr>
                <w:kern w:val="2"/>
                <w:sz w:val="21"/>
                <w:szCs w:val="21"/>
              </w:rPr>
            </w:pPr>
          </w:p>
        </w:tc>
        <w:tc>
          <w:tcPr>
            <w:tcW w:w="752" w:type="pct"/>
            <w:vAlign w:val="center"/>
          </w:tcPr>
          <w:p w14:paraId="38FFD09F" w14:textId="77777777" w:rsidR="003E78AB" w:rsidRDefault="00010BF9">
            <w:pPr>
              <w:spacing w:line="360" w:lineRule="exact"/>
              <w:ind w:firstLineChars="0" w:firstLine="0"/>
              <w:jc w:val="center"/>
              <w:rPr>
                <w:kern w:val="2"/>
                <w:sz w:val="21"/>
                <w:szCs w:val="21"/>
              </w:rPr>
            </w:pPr>
            <w:r>
              <w:rPr>
                <w:kern w:val="2"/>
                <w:sz w:val="21"/>
                <w:szCs w:val="21"/>
              </w:rPr>
              <w:t>预测方法</w:t>
            </w:r>
          </w:p>
        </w:tc>
        <w:tc>
          <w:tcPr>
            <w:tcW w:w="3989" w:type="pct"/>
            <w:gridSpan w:val="13"/>
            <w:vAlign w:val="center"/>
          </w:tcPr>
          <w:p w14:paraId="48F3483E" w14:textId="77777777" w:rsidR="003E78AB" w:rsidRDefault="00010BF9">
            <w:pPr>
              <w:spacing w:line="360" w:lineRule="exact"/>
              <w:ind w:firstLineChars="0" w:firstLine="0"/>
              <w:jc w:val="center"/>
              <w:rPr>
                <w:kern w:val="2"/>
                <w:sz w:val="21"/>
                <w:szCs w:val="21"/>
              </w:rPr>
            </w:pPr>
            <w:r>
              <w:rPr>
                <w:kern w:val="2"/>
                <w:sz w:val="21"/>
                <w:szCs w:val="21"/>
              </w:rPr>
              <w:t>数值解</w:t>
            </w:r>
            <w:r>
              <w:rPr>
                <w:kern w:val="2"/>
                <w:sz w:val="21"/>
                <w:szCs w:val="21"/>
              </w:rPr>
              <w:sym w:font="Wingdings 2" w:char="00A3"/>
            </w:r>
            <w:r>
              <w:rPr>
                <w:kern w:val="2"/>
                <w:sz w:val="21"/>
                <w:szCs w:val="21"/>
              </w:rPr>
              <w:t>；解析解</w:t>
            </w:r>
            <w:r>
              <w:rPr>
                <w:kern w:val="2"/>
                <w:sz w:val="21"/>
                <w:szCs w:val="21"/>
              </w:rPr>
              <w:sym w:font="Wingdings 2" w:char="00A3"/>
            </w:r>
            <w:r>
              <w:rPr>
                <w:kern w:val="2"/>
                <w:sz w:val="21"/>
                <w:szCs w:val="21"/>
              </w:rPr>
              <w:t>；其他</w:t>
            </w:r>
            <w:r>
              <w:rPr>
                <w:kern w:val="2"/>
                <w:sz w:val="21"/>
                <w:szCs w:val="21"/>
              </w:rPr>
              <w:sym w:font="Wingdings 2" w:char="00A3"/>
            </w:r>
            <w:r>
              <w:rPr>
                <w:kern w:val="2"/>
                <w:sz w:val="21"/>
                <w:szCs w:val="21"/>
              </w:rPr>
              <w:t>；导则推荐模式</w:t>
            </w:r>
            <w:r>
              <w:rPr>
                <w:kern w:val="2"/>
                <w:sz w:val="21"/>
                <w:szCs w:val="21"/>
              </w:rPr>
              <w:sym w:font="Wingdings 2" w:char="00A3"/>
            </w:r>
            <w:r>
              <w:rPr>
                <w:kern w:val="2"/>
                <w:sz w:val="21"/>
                <w:szCs w:val="21"/>
              </w:rPr>
              <w:t>；其他</w:t>
            </w:r>
            <w:r>
              <w:rPr>
                <w:kern w:val="2"/>
                <w:sz w:val="21"/>
                <w:szCs w:val="21"/>
              </w:rPr>
              <w:sym w:font="Wingdings 2" w:char="00A3"/>
            </w:r>
          </w:p>
        </w:tc>
      </w:tr>
      <w:tr w:rsidR="003E78AB" w14:paraId="292E314B" w14:textId="77777777">
        <w:trPr>
          <w:trHeight w:val="283"/>
          <w:jc w:val="center"/>
        </w:trPr>
        <w:tc>
          <w:tcPr>
            <w:tcW w:w="258" w:type="pct"/>
            <w:vMerge w:val="restart"/>
            <w:vAlign w:val="center"/>
          </w:tcPr>
          <w:p w14:paraId="543F5943" w14:textId="77777777" w:rsidR="003E78AB" w:rsidRDefault="00010BF9">
            <w:pPr>
              <w:spacing w:line="360" w:lineRule="exact"/>
              <w:ind w:firstLineChars="0" w:firstLine="0"/>
              <w:jc w:val="center"/>
              <w:rPr>
                <w:kern w:val="2"/>
                <w:sz w:val="21"/>
                <w:szCs w:val="21"/>
              </w:rPr>
            </w:pPr>
            <w:r>
              <w:rPr>
                <w:kern w:val="2"/>
                <w:sz w:val="21"/>
                <w:szCs w:val="21"/>
              </w:rPr>
              <w:t>影响评价</w:t>
            </w:r>
          </w:p>
        </w:tc>
        <w:tc>
          <w:tcPr>
            <w:tcW w:w="752" w:type="pct"/>
            <w:vAlign w:val="center"/>
          </w:tcPr>
          <w:p w14:paraId="1D503C67" w14:textId="77777777" w:rsidR="003E78AB" w:rsidRDefault="00010BF9">
            <w:pPr>
              <w:spacing w:line="360" w:lineRule="exact"/>
              <w:ind w:firstLineChars="0" w:firstLine="0"/>
              <w:jc w:val="center"/>
              <w:rPr>
                <w:kern w:val="2"/>
                <w:sz w:val="21"/>
                <w:szCs w:val="21"/>
              </w:rPr>
            </w:pPr>
            <w:r>
              <w:rPr>
                <w:kern w:val="2"/>
                <w:sz w:val="21"/>
                <w:szCs w:val="21"/>
              </w:rPr>
              <w:t>水污染物控制和水环境影响减缓措施有效性评价</w:t>
            </w:r>
          </w:p>
        </w:tc>
        <w:tc>
          <w:tcPr>
            <w:tcW w:w="3989" w:type="pct"/>
            <w:gridSpan w:val="13"/>
            <w:vAlign w:val="center"/>
          </w:tcPr>
          <w:p w14:paraId="2A2A05D3" w14:textId="77777777" w:rsidR="003E78AB" w:rsidRDefault="00010BF9">
            <w:pPr>
              <w:spacing w:line="360" w:lineRule="exact"/>
              <w:ind w:firstLineChars="0" w:firstLine="0"/>
              <w:jc w:val="center"/>
              <w:rPr>
                <w:kern w:val="2"/>
                <w:sz w:val="21"/>
                <w:szCs w:val="21"/>
              </w:rPr>
            </w:pPr>
            <w:r>
              <w:rPr>
                <w:kern w:val="2"/>
                <w:sz w:val="21"/>
                <w:szCs w:val="21"/>
              </w:rPr>
              <w:t>区（流）域水环境质量改善目标</w:t>
            </w:r>
            <w:r>
              <w:rPr>
                <w:kern w:val="2"/>
                <w:sz w:val="21"/>
                <w:szCs w:val="21"/>
              </w:rPr>
              <w:sym w:font="Wingdings 2" w:char="00A3"/>
            </w:r>
            <w:r>
              <w:rPr>
                <w:kern w:val="2"/>
                <w:sz w:val="21"/>
                <w:szCs w:val="21"/>
              </w:rPr>
              <w:t>；替代消减源</w:t>
            </w:r>
            <w:r>
              <w:rPr>
                <w:kern w:val="2"/>
                <w:sz w:val="21"/>
                <w:szCs w:val="21"/>
              </w:rPr>
              <w:sym w:font="Wingdings 2" w:char="00A3"/>
            </w:r>
          </w:p>
        </w:tc>
      </w:tr>
      <w:tr w:rsidR="003E78AB" w14:paraId="0D352DF6" w14:textId="77777777">
        <w:trPr>
          <w:trHeight w:val="283"/>
          <w:jc w:val="center"/>
        </w:trPr>
        <w:tc>
          <w:tcPr>
            <w:tcW w:w="258" w:type="pct"/>
            <w:vMerge/>
            <w:vAlign w:val="center"/>
          </w:tcPr>
          <w:p w14:paraId="6C25C237"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7F98AC1E" w14:textId="77777777" w:rsidR="003E78AB" w:rsidRDefault="00010BF9">
            <w:pPr>
              <w:spacing w:line="360" w:lineRule="exact"/>
              <w:ind w:firstLineChars="0" w:firstLine="0"/>
              <w:jc w:val="center"/>
              <w:rPr>
                <w:kern w:val="2"/>
                <w:sz w:val="21"/>
                <w:szCs w:val="21"/>
              </w:rPr>
            </w:pPr>
            <w:r>
              <w:rPr>
                <w:kern w:val="2"/>
                <w:sz w:val="21"/>
                <w:szCs w:val="21"/>
              </w:rPr>
              <w:t>污染源排放量核算</w:t>
            </w:r>
          </w:p>
        </w:tc>
        <w:tc>
          <w:tcPr>
            <w:tcW w:w="1011" w:type="pct"/>
            <w:gridSpan w:val="2"/>
            <w:vAlign w:val="center"/>
          </w:tcPr>
          <w:p w14:paraId="1F0FE9B8" w14:textId="77777777" w:rsidR="003E78AB" w:rsidRDefault="00010BF9">
            <w:pPr>
              <w:spacing w:line="360" w:lineRule="exact"/>
              <w:ind w:firstLineChars="0" w:firstLine="0"/>
              <w:jc w:val="center"/>
              <w:rPr>
                <w:kern w:val="2"/>
                <w:sz w:val="21"/>
                <w:szCs w:val="21"/>
              </w:rPr>
            </w:pPr>
            <w:r>
              <w:rPr>
                <w:kern w:val="2"/>
                <w:sz w:val="21"/>
                <w:szCs w:val="21"/>
              </w:rPr>
              <w:t>污染物名称</w:t>
            </w:r>
          </w:p>
        </w:tc>
        <w:tc>
          <w:tcPr>
            <w:tcW w:w="1267" w:type="pct"/>
            <w:gridSpan w:val="6"/>
            <w:vAlign w:val="center"/>
          </w:tcPr>
          <w:p w14:paraId="40860432" w14:textId="77777777" w:rsidR="003E78AB" w:rsidRDefault="00010BF9">
            <w:pPr>
              <w:spacing w:line="360" w:lineRule="exact"/>
              <w:ind w:firstLineChars="0" w:firstLine="0"/>
              <w:jc w:val="center"/>
              <w:rPr>
                <w:kern w:val="2"/>
                <w:sz w:val="21"/>
                <w:szCs w:val="21"/>
              </w:rPr>
            </w:pPr>
            <w:r>
              <w:rPr>
                <w:kern w:val="2"/>
                <w:sz w:val="21"/>
                <w:szCs w:val="21"/>
              </w:rPr>
              <w:t>排放量</w:t>
            </w:r>
            <w:r>
              <w:rPr>
                <w:kern w:val="2"/>
                <w:sz w:val="21"/>
                <w:szCs w:val="21"/>
              </w:rPr>
              <w:t>/</w:t>
            </w:r>
            <w:r>
              <w:rPr>
                <w:kern w:val="2"/>
                <w:sz w:val="21"/>
                <w:szCs w:val="21"/>
              </w:rPr>
              <w:t>（</w:t>
            </w:r>
            <w:r>
              <w:rPr>
                <w:kern w:val="2"/>
                <w:sz w:val="21"/>
                <w:szCs w:val="21"/>
              </w:rPr>
              <w:t>t/a</w:t>
            </w:r>
            <w:r>
              <w:rPr>
                <w:kern w:val="2"/>
                <w:sz w:val="21"/>
                <w:szCs w:val="21"/>
              </w:rPr>
              <w:t>）</w:t>
            </w:r>
          </w:p>
        </w:tc>
        <w:tc>
          <w:tcPr>
            <w:tcW w:w="1710" w:type="pct"/>
            <w:gridSpan w:val="5"/>
            <w:vAlign w:val="center"/>
          </w:tcPr>
          <w:p w14:paraId="705BCF86" w14:textId="77777777" w:rsidR="003E78AB" w:rsidRDefault="00010BF9">
            <w:pPr>
              <w:spacing w:line="360" w:lineRule="exact"/>
              <w:ind w:firstLineChars="0" w:firstLine="0"/>
              <w:jc w:val="center"/>
              <w:rPr>
                <w:kern w:val="2"/>
                <w:sz w:val="21"/>
                <w:szCs w:val="21"/>
              </w:rPr>
            </w:pPr>
            <w:r>
              <w:rPr>
                <w:kern w:val="2"/>
                <w:sz w:val="21"/>
                <w:szCs w:val="21"/>
              </w:rPr>
              <w:t>排放浓度</w:t>
            </w:r>
            <w:r>
              <w:rPr>
                <w:kern w:val="2"/>
                <w:sz w:val="21"/>
                <w:szCs w:val="21"/>
              </w:rPr>
              <w:t>/</w:t>
            </w:r>
            <w:r>
              <w:rPr>
                <w:kern w:val="2"/>
                <w:sz w:val="21"/>
                <w:szCs w:val="21"/>
              </w:rPr>
              <w:t>（</w:t>
            </w:r>
            <w:r>
              <w:rPr>
                <w:kern w:val="2"/>
                <w:sz w:val="21"/>
                <w:szCs w:val="21"/>
              </w:rPr>
              <w:t>mg/L</w:t>
            </w:r>
            <w:r>
              <w:rPr>
                <w:kern w:val="2"/>
                <w:sz w:val="21"/>
                <w:szCs w:val="21"/>
              </w:rPr>
              <w:t>）</w:t>
            </w:r>
          </w:p>
        </w:tc>
      </w:tr>
      <w:tr w:rsidR="003E78AB" w14:paraId="1F333AC8" w14:textId="77777777">
        <w:trPr>
          <w:trHeight w:val="283"/>
          <w:jc w:val="center"/>
        </w:trPr>
        <w:tc>
          <w:tcPr>
            <w:tcW w:w="258" w:type="pct"/>
            <w:vMerge/>
            <w:vAlign w:val="center"/>
          </w:tcPr>
          <w:p w14:paraId="4C30E798" w14:textId="77777777" w:rsidR="003E78AB" w:rsidRDefault="003E78AB">
            <w:pPr>
              <w:spacing w:line="360" w:lineRule="exact"/>
              <w:ind w:firstLineChars="0" w:firstLine="0"/>
              <w:jc w:val="left"/>
              <w:rPr>
                <w:kern w:val="2"/>
                <w:sz w:val="21"/>
                <w:szCs w:val="21"/>
              </w:rPr>
            </w:pPr>
          </w:p>
        </w:tc>
        <w:tc>
          <w:tcPr>
            <w:tcW w:w="752" w:type="pct"/>
            <w:vMerge/>
            <w:vAlign w:val="center"/>
          </w:tcPr>
          <w:p w14:paraId="0B319906" w14:textId="77777777" w:rsidR="003E78AB" w:rsidRDefault="003E78AB">
            <w:pPr>
              <w:spacing w:line="360" w:lineRule="exact"/>
              <w:ind w:firstLineChars="0" w:firstLine="0"/>
              <w:jc w:val="left"/>
              <w:rPr>
                <w:kern w:val="2"/>
                <w:sz w:val="21"/>
                <w:szCs w:val="21"/>
              </w:rPr>
            </w:pPr>
          </w:p>
        </w:tc>
        <w:tc>
          <w:tcPr>
            <w:tcW w:w="1011" w:type="pct"/>
            <w:gridSpan w:val="2"/>
            <w:vAlign w:val="center"/>
          </w:tcPr>
          <w:p w14:paraId="08C836C0"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c>
          <w:tcPr>
            <w:tcW w:w="1267" w:type="pct"/>
            <w:gridSpan w:val="6"/>
            <w:vAlign w:val="center"/>
          </w:tcPr>
          <w:p w14:paraId="03E926BD"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c>
          <w:tcPr>
            <w:tcW w:w="1710" w:type="pct"/>
            <w:gridSpan w:val="5"/>
            <w:vAlign w:val="center"/>
          </w:tcPr>
          <w:p w14:paraId="227FE2F9"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r>
      <w:tr w:rsidR="003E78AB" w14:paraId="2B3ED7E6" w14:textId="77777777">
        <w:trPr>
          <w:trHeight w:val="283"/>
          <w:jc w:val="center"/>
        </w:trPr>
        <w:tc>
          <w:tcPr>
            <w:tcW w:w="258" w:type="pct"/>
            <w:vMerge/>
            <w:vAlign w:val="center"/>
          </w:tcPr>
          <w:p w14:paraId="0B62D9B6"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6A46C06E" w14:textId="77777777" w:rsidR="003E78AB" w:rsidRDefault="00010BF9">
            <w:pPr>
              <w:spacing w:line="360" w:lineRule="exact"/>
              <w:ind w:firstLineChars="0" w:firstLine="0"/>
              <w:jc w:val="center"/>
              <w:rPr>
                <w:kern w:val="2"/>
                <w:sz w:val="21"/>
                <w:szCs w:val="21"/>
              </w:rPr>
            </w:pPr>
            <w:r>
              <w:rPr>
                <w:kern w:val="2"/>
                <w:sz w:val="21"/>
                <w:szCs w:val="21"/>
              </w:rPr>
              <w:t>替代源排放情况</w:t>
            </w:r>
          </w:p>
        </w:tc>
        <w:tc>
          <w:tcPr>
            <w:tcW w:w="717" w:type="pct"/>
            <w:vAlign w:val="center"/>
          </w:tcPr>
          <w:p w14:paraId="37512756" w14:textId="77777777" w:rsidR="003E78AB" w:rsidRDefault="00010BF9">
            <w:pPr>
              <w:spacing w:line="360" w:lineRule="exact"/>
              <w:ind w:firstLineChars="0" w:firstLine="0"/>
              <w:jc w:val="center"/>
              <w:rPr>
                <w:kern w:val="2"/>
                <w:sz w:val="21"/>
                <w:szCs w:val="21"/>
              </w:rPr>
            </w:pPr>
            <w:r>
              <w:rPr>
                <w:kern w:val="2"/>
                <w:sz w:val="21"/>
                <w:szCs w:val="21"/>
              </w:rPr>
              <w:t>污染源名称</w:t>
            </w:r>
          </w:p>
        </w:tc>
        <w:tc>
          <w:tcPr>
            <w:tcW w:w="722" w:type="pct"/>
            <w:gridSpan w:val="4"/>
            <w:vAlign w:val="center"/>
          </w:tcPr>
          <w:p w14:paraId="3F5ECCE2" w14:textId="77777777" w:rsidR="003E78AB" w:rsidRDefault="00010BF9">
            <w:pPr>
              <w:spacing w:line="360" w:lineRule="exact"/>
              <w:ind w:firstLineChars="0" w:firstLine="0"/>
              <w:jc w:val="center"/>
              <w:rPr>
                <w:kern w:val="2"/>
                <w:sz w:val="21"/>
                <w:szCs w:val="21"/>
              </w:rPr>
            </w:pPr>
            <w:r>
              <w:rPr>
                <w:kern w:val="2"/>
                <w:sz w:val="21"/>
                <w:szCs w:val="21"/>
              </w:rPr>
              <w:t>排污许可证号</w:t>
            </w:r>
          </w:p>
        </w:tc>
        <w:tc>
          <w:tcPr>
            <w:tcW w:w="761" w:type="pct"/>
            <w:gridSpan w:val="2"/>
            <w:vAlign w:val="center"/>
          </w:tcPr>
          <w:p w14:paraId="32E6CE3F" w14:textId="77777777" w:rsidR="003E78AB" w:rsidRDefault="00010BF9">
            <w:pPr>
              <w:spacing w:line="360" w:lineRule="exact"/>
              <w:ind w:firstLineChars="0" w:firstLine="0"/>
              <w:jc w:val="center"/>
              <w:rPr>
                <w:kern w:val="2"/>
                <w:sz w:val="21"/>
                <w:szCs w:val="21"/>
              </w:rPr>
            </w:pPr>
            <w:r>
              <w:rPr>
                <w:kern w:val="2"/>
                <w:sz w:val="21"/>
                <w:szCs w:val="21"/>
              </w:rPr>
              <w:t>污染物名称</w:t>
            </w:r>
          </w:p>
        </w:tc>
        <w:tc>
          <w:tcPr>
            <w:tcW w:w="716" w:type="pct"/>
            <w:gridSpan w:val="3"/>
            <w:vAlign w:val="center"/>
          </w:tcPr>
          <w:p w14:paraId="5B83200D" w14:textId="77777777" w:rsidR="003E78AB" w:rsidRDefault="00010BF9">
            <w:pPr>
              <w:spacing w:line="360" w:lineRule="exact"/>
              <w:ind w:firstLineChars="0" w:firstLine="0"/>
              <w:jc w:val="center"/>
              <w:rPr>
                <w:kern w:val="2"/>
                <w:sz w:val="21"/>
                <w:szCs w:val="21"/>
              </w:rPr>
            </w:pPr>
            <w:r>
              <w:rPr>
                <w:kern w:val="2"/>
                <w:sz w:val="21"/>
                <w:szCs w:val="21"/>
              </w:rPr>
              <w:t>排放量</w:t>
            </w:r>
            <w:r>
              <w:rPr>
                <w:kern w:val="2"/>
                <w:sz w:val="21"/>
                <w:szCs w:val="21"/>
              </w:rPr>
              <w:t>/</w:t>
            </w:r>
            <w:r>
              <w:rPr>
                <w:kern w:val="2"/>
                <w:sz w:val="21"/>
                <w:szCs w:val="21"/>
              </w:rPr>
              <w:t>（</w:t>
            </w:r>
            <w:r>
              <w:rPr>
                <w:kern w:val="2"/>
                <w:sz w:val="21"/>
                <w:szCs w:val="21"/>
              </w:rPr>
              <w:t>t/a</w:t>
            </w:r>
            <w:r>
              <w:rPr>
                <w:kern w:val="2"/>
                <w:sz w:val="21"/>
                <w:szCs w:val="21"/>
              </w:rPr>
              <w:t>）</w:t>
            </w:r>
          </w:p>
        </w:tc>
        <w:tc>
          <w:tcPr>
            <w:tcW w:w="1071" w:type="pct"/>
            <w:gridSpan w:val="3"/>
            <w:vAlign w:val="center"/>
          </w:tcPr>
          <w:p w14:paraId="50717268" w14:textId="77777777" w:rsidR="003E78AB" w:rsidRDefault="00010BF9">
            <w:pPr>
              <w:spacing w:line="360" w:lineRule="exact"/>
              <w:ind w:firstLineChars="0" w:firstLine="0"/>
              <w:jc w:val="center"/>
              <w:rPr>
                <w:kern w:val="2"/>
                <w:sz w:val="21"/>
                <w:szCs w:val="21"/>
              </w:rPr>
            </w:pPr>
            <w:r>
              <w:rPr>
                <w:kern w:val="2"/>
                <w:sz w:val="21"/>
                <w:szCs w:val="21"/>
              </w:rPr>
              <w:t>排放浓度</w:t>
            </w:r>
            <w:r>
              <w:rPr>
                <w:kern w:val="2"/>
                <w:sz w:val="21"/>
                <w:szCs w:val="21"/>
              </w:rPr>
              <w:t>/</w:t>
            </w:r>
            <w:r>
              <w:rPr>
                <w:kern w:val="2"/>
                <w:sz w:val="21"/>
                <w:szCs w:val="21"/>
              </w:rPr>
              <w:t>（</w:t>
            </w:r>
            <w:r>
              <w:rPr>
                <w:kern w:val="2"/>
                <w:sz w:val="21"/>
                <w:szCs w:val="21"/>
              </w:rPr>
              <w:t>mg/L</w:t>
            </w:r>
            <w:r>
              <w:rPr>
                <w:kern w:val="2"/>
                <w:sz w:val="21"/>
                <w:szCs w:val="21"/>
              </w:rPr>
              <w:t>）</w:t>
            </w:r>
          </w:p>
        </w:tc>
      </w:tr>
      <w:tr w:rsidR="003E78AB" w14:paraId="611E2412" w14:textId="77777777">
        <w:trPr>
          <w:trHeight w:val="283"/>
          <w:jc w:val="center"/>
        </w:trPr>
        <w:tc>
          <w:tcPr>
            <w:tcW w:w="258" w:type="pct"/>
            <w:vMerge/>
            <w:vAlign w:val="center"/>
          </w:tcPr>
          <w:p w14:paraId="24ED5D69" w14:textId="77777777" w:rsidR="003E78AB" w:rsidRDefault="003E78AB">
            <w:pPr>
              <w:spacing w:line="360" w:lineRule="exact"/>
              <w:ind w:firstLineChars="0" w:firstLine="0"/>
              <w:jc w:val="left"/>
              <w:rPr>
                <w:kern w:val="2"/>
                <w:sz w:val="21"/>
                <w:szCs w:val="21"/>
              </w:rPr>
            </w:pPr>
          </w:p>
        </w:tc>
        <w:tc>
          <w:tcPr>
            <w:tcW w:w="752" w:type="pct"/>
            <w:vMerge/>
            <w:vAlign w:val="center"/>
          </w:tcPr>
          <w:p w14:paraId="41254A3B" w14:textId="77777777" w:rsidR="003E78AB" w:rsidRDefault="003E78AB">
            <w:pPr>
              <w:spacing w:line="360" w:lineRule="exact"/>
              <w:ind w:firstLineChars="0" w:firstLine="0"/>
              <w:jc w:val="left"/>
              <w:rPr>
                <w:kern w:val="2"/>
                <w:sz w:val="21"/>
                <w:szCs w:val="21"/>
              </w:rPr>
            </w:pPr>
          </w:p>
        </w:tc>
        <w:tc>
          <w:tcPr>
            <w:tcW w:w="717" w:type="pct"/>
            <w:vAlign w:val="center"/>
          </w:tcPr>
          <w:p w14:paraId="4E9D7F0B" w14:textId="77777777" w:rsidR="003E78AB" w:rsidRDefault="00010BF9">
            <w:pPr>
              <w:spacing w:line="360" w:lineRule="exact"/>
              <w:ind w:firstLineChars="0" w:firstLine="0"/>
              <w:jc w:val="center"/>
              <w:rPr>
                <w:kern w:val="2"/>
                <w:sz w:val="21"/>
                <w:szCs w:val="21"/>
              </w:rPr>
            </w:pPr>
            <w:r>
              <w:rPr>
                <w:kern w:val="2"/>
                <w:sz w:val="21"/>
                <w:szCs w:val="21"/>
              </w:rPr>
              <w:t>/</w:t>
            </w:r>
          </w:p>
        </w:tc>
        <w:tc>
          <w:tcPr>
            <w:tcW w:w="722" w:type="pct"/>
            <w:gridSpan w:val="4"/>
            <w:vAlign w:val="center"/>
          </w:tcPr>
          <w:p w14:paraId="0B1F9906" w14:textId="77777777" w:rsidR="003E78AB" w:rsidRDefault="00010BF9">
            <w:pPr>
              <w:spacing w:line="360" w:lineRule="exact"/>
              <w:ind w:firstLineChars="0" w:firstLine="0"/>
              <w:jc w:val="center"/>
              <w:rPr>
                <w:kern w:val="2"/>
                <w:sz w:val="21"/>
                <w:szCs w:val="21"/>
              </w:rPr>
            </w:pPr>
            <w:r>
              <w:rPr>
                <w:kern w:val="2"/>
                <w:sz w:val="21"/>
                <w:szCs w:val="21"/>
              </w:rPr>
              <w:t>/</w:t>
            </w:r>
          </w:p>
        </w:tc>
        <w:tc>
          <w:tcPr>
            <w:tcW w:w="761" w:type="pct"/>
            <w:gridSpan w:val="2"/>
            <w:vAlign w:val="center"/>
          </w:tcPr>
          <w:p w14:paraId="563E2E5B" w14:textId="77777777" w:rsidR="003E78AB" w:rsidRDefault="00010BF9">
            <w:pPr>
              <w:spacing w:line="360" w:lineRule="exact"/>
              <w:ind w:firstLineChars="0" w:firstLine="0"/>
              <w:jc w:val="center"/>
              <w:rPr>
                <w:kern w:val="2"/>
                <w:sz w:val="21"/>
                <w:szCs w:val="21"/>
              </w:rPr>
            </w:pPr>
            <w:r>
              <w:rPr>
                <w:kern w:val="2"/>
                <w:sz w:val="21"/>
                <w:szCs w:val="21"/>
              </w:rPr>
              <w:t>/</w:t>
            </w:r>
          </w:p>
        </w:tc>
        <w:tc>
          <w:tcPr>
            <w:tcW w:w="716" w:type="pct"/>
            <w:gridSpan w:val="3"/>
            <w:vAlign w:val="center"/>
          </w:tcPr>
          <w:p w14:paraId="2A853539" w14:textId="77777777" w:rsidR="003E78AB" w:rsidRDefault="00010BF9">
            <w:pPr>
              <w:spacing w:line="360" w:lineRule="exact"/>
              <w:ind w:firstLineChars="0" w:firstLine="0"/>
              <w:jc w:val="center"/>
              <w:rPr>
                <w:kern w:val="2"/>
                <w:sz w:val="21"/>
                <w:szCs w:val="21"/>
              </w:rPr>
            </w:pPr>
            <w:r>
              <w:rPr>
                <w:kern w:val="2"/>
                <w:sz w:val="21"/>
                <w:szCs w:val="21"/>
              </w:rPr>
              <w:t>/</w:t>
            </w:r>
          </w:p>
        </w:tc>
        <w:tc>
          <w:tcPr>
            <w:tcW w:w="1071" w:type="pct"/>
            <w:gridSpan w:val="3"/>
            <w:vAlign w:val="center"/>
          </w:tcPr>
          <w:p w14:paraId="53578F37" w14:textId="77777777" w:rsidR="003E78AB" w:rsidRDefault="00010BF9">
            <w:pPr>
              <w:spacing w:line="360" w:lineRule="exact"/>
              <w:ind w:firstLineChars="0" w:firstLine="0"/>
              <w:jc w:val="center"/>
              <w:rPr>
                <w:kern w:val="2"/>
                <w:sz w:val="21"/>
                <w:szCs w:val="21"/>
              </w:rPr>
            </w:pPr>
            <w:r>
              <w:rPr>
                <w:kern w:val="2"/>
                <w:sz w:val="21"/>
                <w:szCs w:val="21"/>
              </w:rPr>
              <w:t>/</w:t>
            </w:r>
          </w:p>
        </w:tc>
      </w:tr>
      <w:tr w:rsidR="003E78AB" w14:paraId="517844E3" w14:textId="77777777">
        <w:trPr>
          <w:trHeight w:val="283"/>
          <w:jc w:val="center"/>
        </w:trPr>
        <w:tc>
          <w:tcPr>
            <w:tcW w:w="258" w:type="pct"/>
            <w:vMerge/>
            <w:vAlign w:val="center"/>
          </w:tcPr>
          <w:p w14:paraId="5C5AA060" w14:textId="77777777" w:rsidR="003E78AB" w:rsidRDefault="003E78AB">
            <w:pPr>
              <w:spacing w:line="360" w:lineRule="exact"/>
              <w:ind w:firstLineChars="0" w:firstLine="0"/>
              <w:jc w:val="left"/>
              <w:rPr>
                <w:kern w:val="2"/>
                <w:sz w:val="21"/>
                <w:szCs w:val="21"/>
              </w:rPr>
            </w:pPr>
          </w:p>
        </w:tc>
        <w:tc>
          <w:tcPr>
            <w:tcW w:w="752" w:type="pct"/>
            <w:vAlign w:val="center"/>
          </w:tcPr>
          <w:p w14:paraId="1BC77AEA" w14:textId="77777777" w:rsidR="003E78AB" w:rsidRDefault="00010BF9">
            <w:pPr>
              <w:spacing w:line="360" w:lineRule="exact"/>
              <w:ind w:firstLineChars="0" w:firstLine="0"/>
              <w:jc w:val="center"/>
              <w:rPr>
                <w:kern w:val="2"/>
                <w:sz w:val="21"/>
                <w:szCs w:val="21"/>
              </w:rPr>
            </w:pPr>
            <w:r>
              <w:rPr>
                <w:kern w:val="2"/>
                <w:sz w:val="21"/>
                <w:szCs w:val="21"/>
              </w:rPr>
              <w:t>生态流量确定</w:t>
            </w:r>
          </w:p>
        </w:tc>
        <w:tc>
          <w:tcPr>
            <w:tcW w:w="3989" w:type="pct"/>
            <w:gridSpan w:val="13"/>
            <w:vAlign w:val="center"/>
          </w:tcPr>
          <w:p w14:paraId="4EC31609" w14:textId="77777777" w:rsidR="003E78AB" w:rsidRDefault="00010BF9">
            <w:pPr>
              <w:spacing w:line="360" w:lineRule="exact"/>
              <w:ind w:firstLineChars="0" w:firstLine="0"/>
              <w:jc w:val="center"/>
              <w:rPr>
                <w:kern w:val="2"/>
                <w:sz w:val="21"/>
                <w:szCs w:val="21"/>
              </w:rPr>
            </w:pPr>
            <w:r>
              <w:rPr>
                <w:kern w:val="2"/>
                <w:sz w:val="21"/>
                <w:szCs w:val="21"/>
              </w:rPr>
              <w:t>生态流量：一般水期（</w:t>
            </w:r>
            <w:r>
              <w:rPr>
                <w:kern w:val="2"/>
                <w:sz w:val="21"/>
                <w:szCs w:val="21"/>
              </w:rPr>
              <w:t>/</w:t>
            </w:r>
            <w:r>
              <w:rPr>
                <w:kern w:val="2"/>
                <w:sz w:val="21"/>
                <w:szCs w:val="21"/>
              </w:rPr>
              <w:t>）</w:t>
            </w:r>
            <w:r>
              <w:rPr>
                <w:kern w:val="2"/>
                <w:sz w:val="21"/>
                <w:szCs w:val="21"/>
              </w:rPr>
              <w:t>m³/s</w:t>
            </w:r>
            <w:r>
              <w:rPr>
                <w:kern w:val="2"/>
                <w:sz w:val="21"/>
                <w:szCs w:val="21"/>
              </w:rPr>
              <w:t>；鱼类繁殖期（</w:t>
            </w:r>
            <w:r>
              <w:rPr>
                <w:kern w:val="2"/>
                <w:sz w:val="21"/>
                <w:szCs w:val="21"/>
              </w:rPr>
              <w:t>/</w:t>
            </w:r>
            <w:r>
              <w:rPr>
                <w:kern w:val="2"/>
                <w:sz w:val="21"/>
                <w:szCs w:val="21"/>
              </w:rPr>
              <w:t>）</w:t>
            </w:r>
            <w:r>
              <w:rPr>
                <w:kern w:val="2"/>
                <w:sz w:val="21"/>
                <w:szCs w:val="21"/>
              </w:rPr>
              <w:t>m³/s</w:t>
            </w:r>
            <w:r>
              <w:rPr>
                <w:kern w:val="2"/>
                <w:sz w:val="21"/>
                <w:szCs w:val="21"/>
              </w:rPr>
              <w:t>；其他（</w:t>
            </w:r>
            <w:r>
              <w:rPr>
                <w:kern w:val="2"/>
                <w:sz w:val="21"/>
                <w:szCs w:val="21"/>
              </w:rPr>
              <w:t>/</w:t>
            </w:r>
            <w:r>
              <w:rPr>
                <w:kern w:val="2"/>
                <w:sz w:val="21"/>
                <w:szCs w:val="21"/>
              </w:rPr>
              <w:t>）</w:t>
            </w:r>
            <w:r>
              <w:rPr>
                <w:kern w:val="2"/>
                <w:sz w:val="21"/>
                <w:szCs w:val="21"/>
              </w:rPr>
              <w:t>m³/s</w:t>
            </w:r>
          </w:p>
          <w:p w14:paraId="2D31257F" w14:textId="77777777" w:rsidR="003E78AB" w:rsidRDefault="00010BF9">
            <w:pPr>
              <w:spacing w:line="360" w:lineRule="exact"/>
              <w:ind w:firstLineChars="0" w:firstLine="0"/>
              <w:jc w:val="center"/>
              <w:rPr>
                <w:kern w:val="2"/>
                <w:sz w:val="21"/>
                <w:szCs w:val="21"/>
              </w:rPr>
            </w:pPr>
            <w:r>
              <w:rPr>
                <w:kern w:val="2"/>
                <w:sz w:val="21"/>
                <w:szCs w:val="21"/>
              </w:rPr>
              <w:t>生态水位：一般水期（</w:t>
            </w:r>
            <w:r>
              <w:rPr>
                <w:kern w:val="2"/>
                <w:sz w:val="21"/>
                <w:szCs w:val="21"/>
              </w:rPr>
              <w:t>/</w:t>
            </w:r>
            <w:r>
              <w:rPr>
                <w:kern w:val="2"/>
                <w:sz w:val="21"/>
                <w:szCs w:val="21"/>
              </w:rPr>
              <w:t>）</w:t>
            </w:r>
            <w:r>
              <w:rPr>
                <w:kern w:val="2"/>
                <w:sz w:val="21"/>
                <w:szCs w:val="21"/>
              </w:rPr>
              <w:t>m</w:t>
            </w:r>
            <w:r>
              <w:rPr>
                <w:kern w:val="2"/>
                <w:sz w:val="21"/>
                <w:szCs w:val="21"/>
              </w:rPr>
              <w:t>；鱼类繁殖期（</w:t>
            </w:r>
            <w:r>
              <w:rPr>
                <w:kern w:val="2"/>
                <w:sz w:val="21"/>
                <w:szCs w:val="21"/>
              </w:rPr>
              <w:t>/</w:t>
            </w:r>
            <w:r>
              <w:rPr>
                <w:kern w:val="2"/>
                <w:sz w:val="21"/>
                <w:szCs w:val="21"/>
              </w:rPr>
              <w:t>）</w:t>
            </w:r>
            <w:r>
              <w:rPr>
                <w:kern w:val="2"/>
                <w:sz w:val="21"/>
                <w:szCs w:val="21"/>
              </w:rPr>
              <w:t>m</w:t>
            </w:r>
            <w:r>
              <w:rPr>
                <w:kern w:val="2"/>
                <w:sz w:val="21"/>
                <w:szCs w:val="21"/>
              </w:rPr>
              <w:t>；其他（</w:t>
            </w:r>
            <w:r>
              <w:rPr>
                <w:kern w:val="2"/>
                <w:sz w:val="21"/>
                <w:szCs w:val="21"/>
              </w:rPr>
              <w:t>/</w:t>
            </w:r>
            <w:r>
              <w:rPr>
                <w:kern w:val="2"/>
                <w:sz w:val="21"/>
                <w:szCs w:val="21"/>
              </w:rPr>
              <w:t>）</w:t>
            </w:r>
            <w:r>
              <w:rPr>
                <w:kern w:val="2"/>
                <w:sz w:val="21"/>
                <w:szCs w:val="21"/>
              </w:rPr>
              <w:t>m</w:t>
            </w:r>
          </w:p>
        </w:tc>
      </w:tr>
      <w:tr w:rsidR="003E78AB" w14:paraId="7B14796D" w14:textId="77777777">
        <w:trPr>
          <w:trHeight w:val="283"/>
          <w:jc w:val="center"/>
        </w:trPr>
        <w:tc>
          <w:tcPr>
            <w:tcW w:w="258" w:type="pct"/>
            <w:vMerge w:val="restart"/>
            <w:vAlign w:val="center"/>
          </w:tcPr>
          <w:p w14:paraId="0DF7AACF" w14:textId="77777777" w:rsidR="003E78AB" w:rsidRDefault="00010BF9">
            <w:pPr>
              <w:spacing w:line="360" w:lineRule="exact"/>
              <w:ind w:firstLineChars="0" w:firstLine="0"/>
              <w:jc w:val="center"/>
              <w:rPr>
                <w:kern w:val="2"/>
                <w:sz w:val="21"/>
                <w:szCs w:val="21"/>
              </w:rPr>
            </w:pPr>
            <w:r>
              <w:rPr>
                <w:kern w:val="2"/>
                <w:sz w:val="21"/>
                <w:szCs w:val="21"/>
              </w:rPr>
              <w:t>防治措施</w:t>
            </w:r>
          </w:p>
        </w:tc>
        <w:tc>
          <w:tcPr>
            <w:tcW w:w="752" w:type="pct"/>
            <w:vAlign w:val="center"/>
          </w:tcPr>
          <w:p w14:paraId="716081B7" w14:textId="77777777" w:rsidR="003E78AB" w:rsidRDefault="00010BF9">
            <w:pPr>
              <w:spacing w:line="360" w:lineRule="exact"/>
              <w:ind w:firstLineChars="0" w:firstLine="0"/>
              <w:jc w:val="center"/>
              <w:rPr>
                <w:kern w:val="2"/>
                <w:sz w:val="21"/>
                <w:szCs w:val="21"/>
              </w:rPr>
            </w:pPr>
            <w:r>
              <w:rPr>
                <w:kern w:val="2"/>
                <w:sz w:val="21"/>
                <w:szCs w:val="21"/>
              </w:rPr>
              <w:t>环保措施</w:t>
            </w:r>
          </w:p>
        </w:tc>
        <w:tc>
          <w:tcPr>
            <w:tcW w:w="3989" w:type="pct"/>
            <w:gridSpan w:val="13"/>
            <w:vAlign w:val="center"/>
          </w:tcPr>
          <w:p w14:paraId="1E5D445E" w14:textId="77777777" w:rsidR="003E78AB" w:rsidRDefault="00010BF9">
            <w:pPr>
              <w:spacing w:line="360" w:lineRule="exact"/>
              <w:ind w:firstLineChars="0" w:firstLine="0"/>
              <w:jc w:val="center"/>
              <w:rPr>
                <w:kern w:val="2"/>
                <w:sz w:val="21"/>
                <w:szCs w:val="21"/>
              </w:rPr>
            </w:pPr>
            <w:r>
              <w:rPr>
                <w:kern w:val="2"/>
                <w:sz w:val="21"/>
                <w:szCs w:val="21"/>
              </w:rPr>
              <w:t>污水处理设施</w:t>
            </w:r>
            <w:r>
              <w:rPr>
                <w:kern w:val="2"/>
                <w:sz w:val="21"/>
                <w:szCs w:val="21"/>
              </w:rPr>
              <w:sym w:font="Wingdings 2" w:char="0052"/>
            </w:r>
            <w:r>
              <w:rPr>
                <w:kern w:val="2"/>
                <w:sz w:val="21"/>
                <w:szCs w:val="21"/>
              </w:rPr>
              <w:t>；水文减缓设施</w:t>
            </w:r>
            <w:r>
              <w:rPr>
                <w:kern w:val="2"/>
                <w:sz w:val="21"/>
                <w:szCs w:val="21"/>
              </w:rPr>
              <w:sym w:font="Wingdings 2" w:char="00A3"/>
            </w:r>
            <w:r>
              <w:rPr>
                <w:kern w:val="2"/>
                <w:sz w:val="21"/>
                <w:szCs w:val="21"/>
              </w:rPr>
              <w:t>；生态流量保障设施</w:t>
            </w:r>
            <w:r>
              <w:rPr>
                <w:kern w:val="2"/>
                <w:sz w:val="21"/>
                <w:szCs w:val="21"/>
              </w:rPr>
              <w:sym w:font="Wingdings 2" w:char="00A3"/>
            </w:r>
            <w:r>
              <w:rPr>
                <w:kern w:val="2"/>
                <w:sz w:val="21"/>
                <w:szCs w:val="21"/>
              </w:rPr>
              <w:t>；区域削减</w:t>
            </w:r>
            <w:r>
              <w:rPr>
                <w:kern w:val="2"/>
                <w:sz w:val="21"/>
                <w:szCs w:val="21"/>
              </w:rPr>
              <w:sym w:font="Wingdings 2" w:char="00A3"/>
            </w:r>
            <w:r>
              <w:rPr>
                <w:kern w:val="2"/>
                <w:sz w:val="21"/>
                <w:szCs w:val="21"/>
              </w:rPr>
              <w:t>；依托其他工程措施</w:t>
            </w:r>
            <w:r>
              <w:rPr>
                <w:kern w:val="2"/>
                <w:sz w:val="21"/>
                <w:szCs w:val="21"/>
              </w:rPr>
              <w:sym w:font="Wingdings 2" w:char="00A3"/>
            </w:r>
            <w:r>
              <w:rPr>
                <w:kern w:val="2"/>
                <w:sz w:val="21"/>
                <w:szCs w:val="21"/>
              </w:rPr>
              <w:t>；其他</w:t>
            </w:r>
            <w:r>
              <w:rPr>
                <w:kern w:val="2"/>
                <w:sz w:val="21"/>
                <w:szCs w:val="21"/>
              </w:rPr>
              <w:sym w:font="Wingdings 2" w:char="00A3"/>
            </w:r>
          </w:p>
        </w:tc>
      </w:tr>
      <w:tr w:rsidR="003E78AB" w14:paraId="3BBCF2F6" w14:textId="77777777">
        <w:trPr>
          <w:trHeight w:val="283"/>
          <w:jc w:val="center"/>
        </w:trPr>
        <w:tc>
          <w:tcPr>
            <w:tcW w:w="258" w:type="pct"/>
            <w:vMerge/>
            <w:vAlign w:val="center"/>
          </w:tcPr>
          <w:p w14:paraId="5B833C0A" w14:textId="77777777" w:rsidR="003E78AB" w:rsidRDefault="003E78AB">
            <w:pPr>
              <w:spacing w:line="360" w:lineRule="exact"/>
              <w:ind w:firstLineChars="0" w:firstLine="0"/>
              <w:jc w:val="left"/>
              <w:rPr>
                <w:kern w:val="2"/>
                <w:sz w:val="21"/>
                <w:szCs w:val="21"/>
              </w:rPr>
            </w:pPr>
          </w:p>
        </w:tc>
        <w:tc>
          <w:tcPr>
            <w:tcW w:w="752" w:type="pct"/>
            <w:vMerge w:val="restart"/>
            <w:vAlign w:val="center"/>
          </w:tcPr>
          <w:p w14:paraId="54A325C5" w14:textId="77777777" w:rsidR="003E78AB" w:rsidRDefault="00010BF9">
            <w:pPr>
              <w:spacing w:line="360" w:lineRule="exact"/>
              <w:ind w:firstLineChars="0" w:firstLine="0"/>
              <w:jc w:val="center"/>
              <w:rPr>
                <w:kern w:val="2"/>
                <w:sz w:val="21"/>
                <w:szCs w:val="21"/>
              </w:rPr>
            </w:pPr>
            <w:r>
              <w:rPr>
                <w:kern w:val="2"/>
                <w:sz w:val="21"/>
                <w:szCs w:val="21"/>
              </w:rPr>
              <w:t>监测计划</w:t>
            </w:r>
          </w:p>
        </w:tc>
        <w:tc>
          <w:tcPr>
            <w:tcW w:w="1042" w:type="pct"/>
            <w:gridSpan w:val="4"/>
            <w:vAlign w:val="center"/>
          </w:tcPr>
          <w:p w14:paraId="11ECE41D" w14:textId="77777777" w:rsidR="003E78AB" w:rsidRDefault="00010BF9">
            <w:pPr>
              <w:spacing w:line="360" w:lineRule="exact"/>
              <w:ind w:firstLineChars="0" w:firstLine="0"/>
              <w:jc w:val="center"/>
              <w:rPr>
                <w:kern w:val="2"/>
                <w:sz w:val="21"/>
                <w:szCs w:val="21"/>
              </w:rPr>
            </w:pPr>
            <w:r>
              <w:rPr>
                <w:kern w:val="2"/>
                <w:sz w:val="21"/>
                <w:szCs w:val="21"/>
              </w:rPr>
              <w:t>/</w:t>
            </w:r>
          </w:p>
        </w:tc>
        <w:tc>
          <w:tcPr>
            <w:tcW w:w="1312" w:type="pct"/>
            <w:gridSpan w:val="5"/>
            <w:vAlign w:val="center"/>
          </w:tcPr>
          <w:p w14:paraId="47F7F571" w14:textId="77777777" w:rsidR="003E78AB" w:rsidRDefault="00010BF9">
            <w:pPr>
              <w:spacing w:line="360" w:lineRule="exact"/>
              <w:ind w:firstLineChars="0" w:firstLine="0"/>
              <w:jc w:val="center"/>
              <w:rPr>
                <w:kern w:val="2"/>
                <w:sz w:val="21"/>
                <w:szCs w:val="21"/>
              </w:rPr>
            </w:pPr>
            <w:r>
              <w:rPr>
                <w:kern w:val="2"/>
                <w:sz w:val="21"/>
                <w:szCs w:val="21"/>
              </w:rPr>
              <w:t>环境质量</w:t>
            </w:r>
          </w:p>
        </w:tc>
        <w:tc>
          <w:tcPr>
            <w:tcW w:w="1633" w:type="pct"/>
            <w:gridSpan w:val="4"/>
            <w:vAlign w:val="center"/>
          </w:tcPr>
          <w:p w14:paraId="0E8FBFC7" w14:textId="77777777" w:rsidR="003E78AB" w:rsidRDefault="00010BF9">
            <w:pPr>
              <w:spacing w:line="360" w:lineRule="exact"/>
              <w:ind w:firstLineChars="0" w:firstLine="0"/>
              <w:jc w:val="center"/>
              <w:rPr>
                <w:kern w:val="2"/>
                <w:sz w:val="21"/>
                <w:szCs w:val="21"/>
              </w:rPr>
            </w:pPr>
            <w:r>
              <w:rPr>
                <w:kern w:val="2"/>
                <w:sz w:val="21"/>
                <w:szCs w:val="21"/>
              </w:rPr>
              <w:t>污染源</w:t>
            </w:r>
          </w:p>
        </w:tc>
      </w:tr>
      <w:tr w:rsidR="003E78AB" w14:paraId="4BC7C85C" w14:textId="77777777">
        <w:trPr>
          <w:trHeight w:val="283"/>
          <w:jc w:val="center"/>
        </w:trPr>
        <w:tc>
          <w:tcPr>
            <w:tcW w:w="258" w:type="pct"/>
            <w:vMerge/>
            <w:vAlign w:val="center"/>
          </w:tcPr>
          <w:p w14:paraId="5AC18DA6" w14:textId="77777777" w:rsidR="003E78AB" w:rsidRDefault="003E78AB">
            <w:pPr>
              <w:spacing w:line="360" w:lineRule="exact"/>
              <w:ind w:firstLineChars="0" w:firstLine="0"/>
              <w:jc w:val="left"/>
              <w:rPr>
                <w:kern w:val="2"/>
                <w:sz w:val="21"/>
                <w:szCs w:val="21"/>
              </w:rPr>
            </w:pPr>
          </w:p>
        </w:tc>
        <w:tc>
          <w:tcPr>
            <w:tcW w:w="752" w:type="pct"/>
            <w:vMerge/>
            <w:vAlign w:val="center"/>
          </w:tcPr>
          <w:p w14:paraId="4E6401AE" w14:textId="77777777" w:rsidR="003E78AB" w:rsidRDefault="003E78AB">
            <w:pPr>
              <w:spacing w:line="360" w:lineRule="exact"/>
              <w:ind w:firstLineChars="0" w:firstLine="0"/>
              <w:jc w:val="left"/>
              <w:rPr>
                <w:kern w:val="2"/>
                <w:sz w:val="21"/>
                <w:szCs w:val="21"/>
              </w:rPr>
            </w:pPr>
          </w:p>
        </w:tc>
        <w:tc>
          <w:tcPr>
            <w:tcW w:w="1042" w:type="pct"/>
            <w:gridSpan w:val="4"/>
            <w:vAlign w:val="center"/>
          </w:tcPr>
          <w:p w14:paraId="6DA14B06" w14:textId="77777777" w:rsidR="003E78AB" w:rsidRDefault="00010BF9">
            <w:pPr>
              <w:spacing w:line="360" w:lineRule="exact"/>
              <w:ind w:firstLineChars="0" w:firstLine="0"/>
              <w:jc w:val="center"/>
              <w:rPr>
                <w:kern w:val="2"/>
                <w:sz w:val="21"/>
                <w:szCs w:val="21"/>
              </w:rPr>
            </w:pPr>
            <w:r>
              <w:rPr>
                <w:kern w:val="2"/>
                <w:sz w:val="21"/>
                <w:szCs w:val="21"/>
              </w:rPr>
              <w:t>监测方式</w:t>
            </w:r>
          </w:p>
        </w:tc>
        <w:tc>
          <w:tcPr>
            <w:tcW w:w="1312" w:type="pct"/>
            <w:gridSpan w:val="5"/>
            <w:vAlign w:val="center"/>
          </w:tcPr>
          <w:p w14:paraId="5FC804B6" w14:textId="77777777" w:rsidR="003E78AB" w:rsidRDefault="00010BF9">
            <w:pPr>
              <w:spacing w:line="360" w:lineRule="exact"/>
              <w:ind w:firstLineChars="0" w:firstLine="0"/>
              <w:jc w:val="center"/>
              <w:rPr>
                <w:kern w:val="2"/>
                <w:sz w:val="21"/>
                <w:szCs w:val="21"/>
              </w:rPr>
            </w:pPr>
            <w:r>
              <w:rPr>
                <w:kern w:val="2"/>
                <w:sz w:val="21"/>
                <w:szCs w:val="21"/>
              </w:rPr>
              <w:t>手动</w:t>
            </w:r>
            <w:r>
              <w:rPr>
                <w:kern w:val="2"/>
                <w:sz w:val="21"/>
                <w:szCs w:val="21"/>
              </w:rPr>
              <w:sym w:font="Wingdings 2" w:char="00A3"/>
            </w:r>
            <w:r>
              <w:rPr>
                <w:kern w:val="2"/>
                <w:sz w:val="21"/>
                <w:szCs w:val="21"/>
              </w:rPr>
              <w:t>；自动</w:t>
            </w:r>
            <w:r>
              <w:rPr>
                <w:kern w:val="2"/>
                <w:sz w:val="21"/>
                <w:szCs w:val="21"/>
              </w:rPr>
              <w:sym w:font="Wingdings 2" w:char="00A3"/>
            </w:r>
            <w:r>
              <w:rPr>
                <w:kern w:val="2"/>
                <w:sz w:val="21"/>
                <w:szCs w:val="21"/>
              </w:rPr>
              <w:t>；无监测</w:t>
            </w:r>
            <w:r>
              <w:rPr>
                <w:kern w:val="2"/>
                <w:sz w:val="21"/>
                <w:szCs w:val="21"/>
              </w:rPr>
              <w:sym w:font="Wingdings 2" w:char="00A3"/>
            </w:r>
          </w:p>
        </w:tc>
        <w:tc>
          <w:tcPr>
            <w:tcW w:w="1633" w:type="pct"/>
            <w:gridSpan w:val="4"/>
            <w:vAlign w:val="center"/>
          </w:tcPr>
          <w:p w14:paraId="1769AABD" w14:textId="77777777" w:rsidR="003E78AB" w:rsidRDefault="00010BF9">
            <w:pPr>
              <w:spacing w:line="360" w:lineRule="exact"/>
              <w:ind w:firstLineChars="0" w:firstLine="0"/>
              <w:jc w:val="center"/>
              <w:rPr>
                <w:kern w:val="2"/>
                <w:sz w:val="21"/>
                <w:szCs w:val="21"/>
              </w:rPr>
            </w:pPr>
            <w:r>
              <w:rPr>
                <w:kern w:val="2"/>
                <w:sz w:val="21"/>
                <w:szCs w:val="21"/>
              </w:rPr>
              <w:t>手动</w:t>
            </w:r>
            <w:r>
              <w:rPr>
                <w:kern w:val="2"/>
                <w:sz w:val="21"/>
                <w:szCs w:val="21"/>
              </w:rPr>
              <w:sym w:font="Wingdings 2" w:char="00A3"/>
            </w:r>
            <w:r>
              <w:rPr>
                <w:kern w:val="2"/>
                <w:sz w:val="21"/>
                <w:szCs w:val="21"/>
              </w:rPr>
              <w:t>；自动</w:t>
            </w:r>
            <w:r>
              <w:rPr>
                <w:kern w:val="2"/>
                <w:sz w:val="21"/>
                <w:szCs w:val="21"/>
              </w:rPr>
              <w:sym w:font="Wingdings 2" w:char="00A3"/>
            </w:r>
            <w:r>
              <w:rPr>
                <w:kern w:val="2"/>
                <w:sz w:val="21"/>
                <w:szCs w:val="21"/>
              </w:rPr>
              <w:t>；无监测</w:t>
            </w:r>
            <w:r>
              <w:rPr>
                <w:kern w:val="2"/>
                <w:sz w:val="21"/>
                <w:szCs w:val="21"/>
              </w:rPr>
              <w:sym w:font="Wingdings 2" w:char="00A3"/>
            </w:r>
          </w:p>
        </w:tc>
      </w:tr>
      <w:tr w:rsidR="003E78AB" w14:paraId="345F4421" w14:textId="77777777">
        <w:trPr>
          <w:trHeight w:val="283"/>
          <w:jc w:val="center"/>
        </w:trPr>
        <w:tc>
          <w:tcPr>
            <w:tcW w:w="258" w:type="pct"/>
            <w:vMerge/>
            <w:vAlign w:val="center"/>
          </w:tcPr>
          <w:p w14:paraId="4A5E5800" w14:textId="77777777" w:rsidR="003E78AB" w:rsidRDefault="003E78AB">
            <w:pPr>
              <w:spacing w:line="360" w:lineRule="exact"/>
              <w:ind w:firstLineChars="0" w:firstLine="0"/>
              <w:jc w:val="left"/>
              <w:rPr>
                <w:kern w:val="2"/>
                <w:sz w:val="21"/>
                <w:szCs w:val="21"/>
              </w:rPr>
            </w:pPr>
          </w:p>
        </w:tc>
        <w:tc>
          <w:tcPr>
            <w:tcW w:w="752" w:type="pct"/>
            <w:vMerge/>
            <w:vAlign w:val="center"/>
          </w:tcPr>
          <w:p w14:paraId="2062C507" w14:textId="77777777" w:rsidR="003E78AB" w:rsidRDefault="003E78AB">
            <w:pPr>
              <w:spacing w:line="360" w:lineRule="exact"/>
              <w:ind w:firstLineChars="0" w:firstLine="0"/>
              <w:jc w:val="left"/>
              <w:rPr>
                <w:kern w:val="2"/>
                <w:sz w:val="21"/>
                <w:szCs w:val="21"/>
              </w:rPr>
            </w:pPr>
          </w:p>
        </w:tc>
        <w:tc>
          <w:tcPr>
            <w:tcW w:w="1042" w:type="pct"/>
            <w:gridSpan w:val="4"/>
            <w:vAlign w:val="center"/>
          </w:tcPr>
          <w:p w14:paraId="082D6CE5" w14:textId="77777777" w:rsidR="003E78AB" w:rsidRDefault="00010BF9">
            <w:pPr>
              <w:spacing w:line="360" w:lineRule="exact"/>
              <w:ind w:firstLineChars="0" w:firstLine="0"/>
              <w:jc w:val="center"/>
              <w:rPr>
                <w:kern w:val="2"/>
                <w:sz w:val="21"/>
                <w:szCs w:val="21"/>
              </w:rPr>
            </w:pPr>
            <w:r>
              <w:rPr>
                <w:kern w:val="2"/>
                <w:sz w:val="21"/>
                <w:szCs w:val="21"/>
              </w:rPr>
              <w:t>监测点位</w:t>
            </w:r>
          </w:p>
        </w:tc>
        <w:tc>
          <w:tcPr>
            <w:tcW w:w="1312" w:type="pct"/>
            <w:gridSpan w:val="5"/>
            <w:vAlign w:val="center"/>
          </w:tcPr>
          <w:p w14:paraId="51B74E61"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c>
          <w:tcPr>
            <w:tcW w:w="1633" w:type="pct"/>
            <w:gridSpan w:val="4"/>
            <w:vAlign w:val="center"/>
          </w:tcPr>
          <w:p w14:paraId="0046BA21"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r>
      <w:tr w:rsidR="003E78AB" w14:paraId="045783D2" w14:textId="77777777">
        <w:trPr>
          <w:trHeight w:val="283"/>
          <w:jc w:val="center"/>
        </w:trPr>
        <w:tc>
          <w:tcPr>
            <w:tcW w:w="258" w:type="pct"/>
            <w:vMerge/>
            <w:vAlign w:val="center"/>
          </w:tcPr>
          <w:p w14:paraId="45C56C0C" w14:textId="77777777" w:rsidR="003E78AB" w:rsidRDefault="003E78AB">
            <w:pPr>
              <w:spacing w:line="360" w:lineRule="exact"/>
              <w:ind w:firstLineChars="0" w:firstLine="0"/>
              <w:jc w:val="left"/>
              <w:rPr>
                <w:kern w:val="2"/>
                <w:sz w:val="21"/>
                <w:szCs w:val="21"/>
              </w:rPr>
            </w:pPr>
          </w:p>
        </w:tc>
        <w:tc>
          <w:tcPr>
            <w:tcW w:w="752" w:type="pct"/>
            <w:vMerge/>
            <w:vAlign w:val="center"/>
          </w:tcPr>
          <w:p w14:paraId="41CEEA37" w14:textId="77777777" w:rsidR="003E78AB" w:rsidRDefault="003E78AB">
            <w:pPr>
              <w:spacing w:line="360" w:lineRule="exact"/>
              <w:ind w:firstLineChars="0" w:firstLine="0"/>
              <w:jc w:val="left"/>
              <w:rPr>
                <w:kern w:val="2"/>
                <w:sz w:val="21"/>
                <w:szCs w:val="21"/>
              </w:rPr>
            </w:pPr>
          </w:p>
        </w:tc>
        <w:tc>
          <w:tcPr>
            <w:tcW w:w="1042" w:type="pct"/>
            <w:gridSpan w:val="4"/>
            <w:vAlign w:val="center"/>
          </w:tcPr>
          <w:p w14:paraId="39FC225D" w14:textId="77777777" w:rsidR="003E78AB" w:rsidRDefault="00010BF9">
            <w:pPr>
              <w:spacing w:line="360" w:lineRule="exact"/>
              <w:ind w:firstLineChars="0" w:firstLine="0"/>
              <w:jc w:val="center"/>
              <w:rPr>
                <w:kern w:val="2"/>
                <w:sz w:val="21"/>
                <w:szCs w:val="21"/>
              </w:rPr>
            </w:pPr>
            <w:r>
              <w:rPr>
                <w:kern w:val="2"/>
                <w:sz w:val="21"/>
                <w:szCs w:val="21"/>
              </w:rPr>
              <w:t>监测因子</w:t>
            </w:r>
          </w:p>
        </w:tc>
        <w:tc>
          <w:tcPr>
            <w:tcW w:w="1312" w:type="pct"/>
            <w:gridSpan w:val="5"/>
            <w:vAlign w:val="center"/>
          </w:tcPr>
          <w:p w14:paraId="18BF1038"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c>
          <w:tcPr>
            <w:tcW w:w="1633" w:type="pct"/>
            <w:gridSpan w:val="4"/>
            <w:vAlign w:val="center"/>
          </w:tcPr>
          <w:p w14:paraId="74DE044A" w14:textId="77777777" w:rsidR="003E78AB" w:rsidRDefault="00010BF9">
            <w:pPr>
              <w:spacing w:line="360" w:lineRule="exact"/>
              <w:ind w:firstLineChars="0" w:firstLine="0"/>
              <w:jc w:val="center"/>
              <w:rPr>
                <w:kern w:val="2"/>
                <w:sz w:val="21"/>
                <w:szCs w:val="21"/>
              </w:rPr>
            </w:pPr>
            <w:r>
              <w:rPr>
                <w:kern w:val="2"/>
                <w:sz w:val="21"/>
                <w:szCs w:val="21"/>
              </w:rPr>
              <w:t>（</w:t>
            </w:r>
            <w:r>
              <w:rPr>
                <w:kern w:val="2"/>
                <w:sz w:val="21"/>
                <w:szCs w:val="21"/>
              </w:rPr>
              <w:t>/</w:t>
            </w:r>
            <w:r>
              <w:rPr>
                <w:kern w:val="2"/>
                <w:sz w:val="21"/>
                <w:szCs w:val="21"/>
              </w:rPr>
              <w:t>）</w:t>
            </w:r>
          </w:p>
        </w:tc>
      </w:tr>
      <w:tr w:rsidR="003E78AB" w14:paraId="6629BB45" w14:textId="77777777">
        <w:trPr>
          <w:trHeight w:val="283"/>
          <w:jc w:val="center"/>
        </w:trPr>
        <w:tc>
          <w:tcPr>
            <w:tcW w:w="258" w:type="pct"/>
            <w:vMerge/>
            <w:vAlign w:val="center"/>
          </w:tcPr>
          <w:p w14:paraId="2C68C95C" w14:textId="77777777" w:rsidR="003E78AB" w:rsidRDefault="003E78AB">
            <w:pPr>
              <w:spacing w:line="360" w:lineRule="exact"/>
              <w:ind w:firstLineChars="0" w:firstLine="0"/>
              <w:jc w:val="left"/>
              <w:rPr>
                <w:kern w:val="2"/>
                <w:sz w:val="21"/>
                <w:szCs w:val="21"/>
              </w:rPr>
            </w:pPr>
          </w:p>
        </w:tc>
        <w:tc>
          <w:tcPr>
            <w:tcW w:w="752" w:type="pct"/>
            <w:vAlign w:val="center"/>
          </w:tcPr>
          <w:p w14:paraId="4B019F7E" w14:textId="77777777" w:rsidR="003E78AB" w:rsidRDefault="00010BF9">
            <w:pPr>
              <w:spacing w:line="360" w:lineRule="exact"/>
              <w:ind w:firstLineChars="0" w:firstLine="0"/>
              <w:jc w:val="center"/>
              <w:rPr>
                <w:kern w:val="2"/>
                <w:sz w:val="21"/>
                <w:szCs w:val="21"/>
              </w:rPr>
            </w:pPr>
            <w:r>
              <w:rPr>
                <w:kern w:val="2"/>
                <w:sz w:val="21"/>
                <w:szCs w:val="21"/>
              </w:rPr>
              <w:t>污染物排放清单</w:t>
            </w:r>
          </w:p>
        </w:tc>
        <w:tc>
          <w:tcPr>
            <w:tcW w:w="3989" w:type="pct"/>
            <w:gridSpan w:val="13"/>
            <w:vAlign w:val="center"/>
          </w:tcPr>
          <w:p w14:paraId="18509325" w14:textId="77777777" w:rsidR="003E78AB" w:rsidRDefault="00010BF9">
            <w:pPr>
              <w:spacing w:line="360" w:lineRule="exact"/>
              <w:ind w:firstLineChars="0" w:firstLine="0"/>
              <w:jc w:val="center"/>
              <w:rPr>
                <w:kern w:val="2"/>
                <w:sz w:val="21"/>
                <w:szCs w:val="21"/>
              </w:rPr>
            </w:pPr>
            <w:r>
              <w:rPr>
                <w:kern w:val="2"/>
                <w:sz w:val="21"/>
                <w:szCs w:val="21"/>
              </w:rPr>
              <w:sym w:font="Wingdings 2" w:char="00A3"/>
            </w:r>
          </w:p>
        </w:tc>
      </w:tr>
      <w:tr w:rsidR="003E78AB" w14:paraId="4F435AFA" w14:textId="77777777">
        <w:trPr>
          <w:trHeight w:val="283"/>
          <w:jc w:val="center"/>
        </w:trPr>
        <w:tc>
          <w:tcPr>
            <w:tcW w:w="1010" w:type="pct"/>
            <w:gridSpan w:val="2"/>
            <w:vAlign w:val="center"/>
          </w:tcPr>
          <w:p w14:paraId="6A02352F" w14:textId="77777777" w:rsidR="003E78AB" w:rsidRDefault="00010BF9">
            <w:pPr>
              <w:spacing w:line="360" w:lineRule="exact"/>
              <w:ind w:firstLineChars="0" w:firstLine="0"/>
              <w:jc w:val="center"/>
              <w:rPr>
                <w:kern w:val="2"/>
                <w:sz w:val="21"/>
                <w:szCs w:val="21"/>
              </w:rPr>
            </w:pPr>
            <w:r>
              <w:rPr>
                <w:kern w:val="2"/>
                <w:sz w:val="21"/>
                <w:szCs w:val="21"/>
              </w:rPr>
              <w:t>评价结论</w:t>
            </w:r>
          </w:p>
        </w:tc>
        <w:tc>
          <w:tcPr>
            <w:tcW w:w="3989" w:type="pct"/>
            <w:gridSpan w:val="13"/>
            <w:vAlign w:val="center"/>
          </w:tcPr>
          <w:p w14:paraId="71BF3439" w14:textId="77777777" w:rsidR="003E78AB" w:rsidRDefault="00010BF9">
            <w:pPr>
              <w:spacing w:line="360" w:lineRule="exact"/>
              <w:ind w:firstLineChars="0" w:firstLine="0"/>
              <w:jc w:val="center"/>
              <w:rPr>
                <w:kern w:val="2"/>
                <w:sz w:val="21"/>
                <w:szCs w:val="21"/>
              </w:rPr>
            </w:pPr>
            <w:r>
              <w:rPr>
                <w:kern w:val="2"/>
                <w:sz w:val="21"/>
                <w:szCs w:val="21"/>
              </w:rPr>
              <w:t>可以接受</w:t>
            </w:r>
            <w:r>
              <w:rPr>
                <w:kern w:val="2"/>
                <w:sz w:val="21"/>
                <w:szCs w:val="21"/>
              </w:rPr>
              <w:sym w:font="Wingdings 2" w:char="0052"/>
            </w:r>
            <w:r>
              <w:rPr>
                <w:kern w:val="2"/>
                <w:sz w:val="21"/>
                <w:szCs w:val="21"/>
              </w:rPr>
              <w:t>；不可以接受</w:t>
            </w:r>
            <w:r>
              <w:rPr>
                <w:kern w:val="2"/>
                <w:sz w:val="21"/>
                <w:szCs w:val="21"/>
              </w:rPr>
              <w:sym w:font="Wingdings 2" w:char="00A3"/>
            </w:r>
          </w:p>
        </w:tc>
      </w:tr>
      <w:tr w:rsidR="003E78AB" w14:paraId="12587FC6" w14:textId="77777777">
        <w:trPr>
          <w:trHeight w:val="283"/>
          <w:jc w:val="center"/>
        </w:trPr>
        <w:tc>
          <w:tcPr>
            <w:tcW w:w="5000" w:type="pct"/>
            <w:gridSpan w:val="15"/>
            <w:vAlign w:val="center"/>
          </w:tcPr>
          <w:p w14:paraId="660614CA" w14:textId="77777777" w:rsidR="003E78AB" w:rsidRDefault="00010BF9">
            <w:pPr>
              <w:spacing w:line="360" w:lineRule="exact"/>
              <w:ind w:firstLineChars="0" w:firstLine="0"/>
              <w:jc w:val="center"/>
              <w:rPr>
                <w:kern w:val="2"/>
                <w:sz w:val="21"/>
                <w:szCs w:val="21"/>
              </w:rPr>
            </w:pPr>
            <w:r>
              <w:rPr>
                <w:kern w:val="2"/>
                <w:sz w:val="21"/>
                <w:szCs w:val="21"/>
              </w:rPr>
              <w:t>注：</w:t>
            </w:r>
            <w:r>
              <w:rPr>
                <w:kern w:val="2"/>
                <w:sz w:val="21"/>
                <w:szCs w:val="21"/>
              </w:rPr>
              <w:t>“□”</w:t>
            </w:r>
            <w:r>
              <w:rPr>
                <w:kern w:val="2"/>
                <w:sz w:val="21"/>
                <w:szCs w:val="21"/>
              </w:rPr>
              <w:t>为勾选项，填</w:t>
            </w:r>
            <w:r>
              <w:rPr>
                <w:kern w:val="2"/>
                <w:sz w:val="21"/>
                <w:szCs w:val="21"/>
              </w:rPr>
              <w:t>“√”</w:t>
            </w:r>
            <w:r>
              <w:rPr>
                <w:kern w:val="2"/>
                <w:sz w:val="21"/>
                <w:szCs w:val="21"/>
              </w:rPr>
              <w:t>；</w:t>
            </w:r>
            <w:r>
              <w:rPr>
                <w:kern w:val="2"/>
                <w:sz w:val="21"/>
                <w:szCs w:val="21"/>
              </w:rPr>
              <w:t>“</w:t>
            </w:r>
            <w:r>
              <w:rPr>
                <w:kern w:val="2"/>
                <w:sz w:val="21"/>
                <w:szCs w:val="21"/>
              </w:rPr>
              <w:t>（）</w:t>
            </w:r>
            <w:r>
              <w:rPr>
                <w:kern w:val="2"/>
                <w:sz w:val="21"/>
                <w:szCs w:val="21"/>
              </w:rPr>
              <w:t>”</w:t>
            </w:r>
            <w:r>
              <w:rPr>
                <w:kern w:val="2"/>
                <w:sz w:val="21"/>
                <w:szCs w:val="21"/>
              </w:rPr>
              <w:t>为内容填写项</w:t>
            </w:r>
          </w:p>
        </w:tc>
      </w:tr>
    </w:tbl>
    <w:p w14:paraId="682A821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.2.2</w:t>
      </w:r>
      <w:r>
        <w:rPr>
          <w:rFonts w:ascii="Times New Roman" w:hAnsi="Times New Roman"/>
        </w:rPr>
        <w:t>地下水环境影响分析</w:t>
      </w:r>
    </w:p>
    <w:p w14:paraId="41CE21F8" w14:textId="77777777" w:rsidR="003E78AB" w:rsidRDefault="00010BF9">
      <w:pPr>
        <w:pStyle w:val="5"/>
        <w:keepNext w:val="0"/>
        <w:keepLines w:val="0"/>
        <w:ind w:firstLine="482"/>
        <w:rPr>
          <w:sz w:val="24"/>
        </w:rPr>
      </w:pPr>
      <w:r>
        <w:rPr>
          <w:rFonts w:hint="eastAsia"/>
          <w:sz w:val="24"/>
        </w:rPr>
        <w:t>1.</w:t>
      </w:r>
      <w:r>
        <w:rPr>
          <w:sz w:val="24"/>
        </w:rPr>
        <w:t>地下水评价等级划分</w:t>
      </w:r>
    </w:p>
    <w:p w14:paraId="1BFA10F8" w14:textId="77777777" w:rsidR="003E78AB" w:rsidRDefault="00010BF9">
      <w:pPr>
        <w:ind w:firstLine="480"/>
        <w:rPr>
          <w:kern w:val="2"/>
          <w:szCs w:val="20"/>
        </w:rPr>
      </w:pPr>
      <w:r>
        <w:rPr>
          <w:kern w:val="2"/>
          <w:szCs w:val="20"/>
        </w:rPr>
        <w:t>本项目属于钒电池电解液生产项目，生产过程涉及化学反应，依据《环境影响评价技术导则</w:t>
      </w:r>
      <w:r>
        <w:rPr>
          <w:kern w:val="2"/>
          <w:szCs w:val="20"/>
        </w:rPr>
        <w:t xml:space="preserve"> </w:t>
      </w:r>
      <w:r>
        <w:rPr>
          <w:kern w:val="2"/>
          <w:szCs w:val="20"/>
        </w:rPr>
        <w:t>地下水环境》</w:t>
      </w:r>
      <w:r>
        <w:rPr>
          <w:rFonts w:hint="eastAsia"/>
          <w:kern w:val="2"/>
          <w:szCs w:val="20"/>
        </w:rPr>
        <w:t>（</w:t>
      </w:r>
      <w:r>
        <w:rPr>
          <w:kern w:val="2"/>
          <w:szCs w:val="20"/>
        </w:rPr>
        <w:t>HJ610-2016</w:t>
      </w:r>
      <w:r>
        <w:rPr>
          <w:rFonts w:hint="eastAsia"/>
          <w:kern w:val="2"/>
          <w:szCs w:val="20"/>
        </w:rPr>
        <w:t>）</w:t>
      </w:r>
      <w:r>
        <w:rPr>
          <w:kern w:val="2"/>
          <w:szCs w:val="20"/>
        </w:rPr>
        <w:t>附录</w:t>
      </w:r>
      <w:r>
        <w:rPr>
          <w:kern w:val="2"/>
          <w:szCs w:val="20"/>
        </w:rPr>
        <w:t>A</w:t>
      </w:r>
      <w:r>
        <w:rPr>
          <w:kern w:val="2"/>
          <w:szCs w:val="20"/>
        </w:rPr>
        <w:t>地下水环境影响评价行业分类表，参考项目生产类别为</w:t>
      </w:r>
      <w:r>
        <w:rPr>
          <w:kern w:val="2"/>
          <w:szCs w:val="20"/>
        </w:rPr>
        <w:t>“L</w:t>
      </w:r>
      <w:r>
        <w:rPr>
          <w:kern w:val="2"/>
          <w:szCs w:val="20"/>
        </w:rPr>
        <w:t>石化、化工</w:t>
      </w:r>
      <w:r>
        <w:rPr>
          <w:kern w:val="2"/>
          <w:szCs w:val="20"/>
        </w:rPr>
        <w:t>”</w:t>
      </w:r>
      <w:r>
        <w:rPr>
          <w:kern w:val="2"/>
          <w:szCs w:val="20"/>
        </w:rPr>
        <w:t>类别中第</w:t>
      </w:r>
      <w:r>
        <w:rPr>
          <w:kern w:val="2"/>
          <w:szCs w:val="20"/>
        </w:rPr>
        <w:t>85</w:t>
      </w:r>
      <w:r>
        <w:rPr>
          <w:kern w:val="2"/>
          <w:szCs w:val="20"/>
        </w:rPr>
        <w:t>项</w:t>
      </w:r>
      <w:r>
        <w:rPr>
          <w:kern w:val="2"/>
          <w:szCs w:val="20"/>
        </w:rPr>
        <w:t>“</w:t>
      </w:r>
      <w:r>
        <w:rPr>
          <w:kern w:val="2"/>
          <w:szCs w:val="20"/>
        </w:rPr>
        <w:t>专用化学品制造</w:t>
      </w:r>
      <w:r>
        <w:rPr>
          <w:kern w:val="2"/>
          <w:szCs w:val="20"/>
        </w:rPr>
        <w:t>”</w:t>
      </w:r>
      <w:r>
        <w:rPr>
          <w:kern w:val="2"/>
          <w:szCs w:val="20"/>
        </w:rPr>
        <w:t>、编制</w:t>
      </w:r>
      <w:r>
        <w:rPr>
          <w:kern w:val="2"/>
          <w:szCs w:val="20"/>
        </w:rPr>
        <w:t>“</w:t>
      </w:r>
      <w:r>
        <w:rPr>
          <w:kern w:val="2"/>
          <w:szCs w:val="20"/>
        </w:rPr>
        <w:t>报告书</w:t>
      </w:r>
      <w:r>
        <w:rPr>
          <w:kern w:val="2"/>
          <w:szCs w:val="20"/>
        </w:rPr>
        <w:t>”</w:t>
      </w:r>
      <w:r>
        <w:rPr>
          <w:kern w:val="2"/>
          <w:szCs w:val="20"/>
        </w:rPr>
        <w:t>项目，从严判定，为</w:t>
      </w:r>
      <w:r>
        <w:rPr>
          <w:kern w:val="2"/>
          <w:szCs w:val="20"/>
        </w:rPr>
        <w:t>“I</w:t>
      </w:r>
      <w:r>
        <w:rPr>
          <w:kern w:val="2"/>
          <w:szCs w:val="20"/>
        </w:rPr>
        <w:t>类</w:t>
      </w:r>
      <w:r>
        <w:rPr>
          <w:kern w:val="2"/>
          <w:szCs w:val="20"/>
        </w:rPr>
        <w:t>”</w:t>
      </w:r>
      <w:r>
        <w:rPr>
          <w:kern w:val="2"/>
          <w:szCs w:val="20"/>
        </w:rPr>
        <w:t>项目。评价范围不涉及集中、分散式饮用水源及其他特殊地下水资源，评价等级为二级。</w:t>
      </w:r>
    </w:p>
    <w:p w14:paraId="6369C6D2" w14:textId="77777777" w:rsidR="003E78AB" w:rsidRDefault="00010BF9">
      <w:pPr>
        <w:ind w:firstLine="480"/>
        <w:rPr>
          <w:kern w:val="2"/>
          <w:szCs w:val="20"/>
        </w:rPr>
      </w:pPr>
      <w:r>
        <w:rPr>
          <w:kern w:val="2"/>
          <w:szCs w:val="20"/>
        </w:rPr>
        <w:t>同时，根据地下水环境敏感程度分级</w:t>
      </w:r>
      <w:r>
        <w:rPr>
          <w:kern w:val="2"/>
          <w:szCs w:val="20"/>
        </w:rPr>
        <w:fldChar w:fldCharType="begin"/>
      </w:r>
      <w:r>
        <w:rPr>
          <w:kern w:val="2"/>
          <w:szCs w:val="20"/>
        </w:rPr>
        <w:instrText xml:space="preserve"> REF _Ref8515 \r \h </w:instrText>
      </w:r>
      <w:r>
        <w:rPr>
          <w:kern w:val="2"/>
          <w:szCs w:val="20"/>
        </w:rPr>
      </w:r>
      <w:r>
        <w:rPr>
          <w:kern w:val="2"/>
          <w:szCs w:val="20"/>
        </w:rPr>
        <w:fldChar w:fldCharType="separate"/>
      </w:r>
      <w:r>
        <w:rPr>
          <w:kern w:val="2"/>
          <w:szCs w:val="20"/>
        </w:rPr>
        <w:t>表</w:t>
      </w:r>
      <w:r>
        <w:rPr>
          <w:kern w:val="2"/>
          <w:szCs w:val="20"/>
        </w:rPr>
        <w:t>5-23</w:t>
      </w:r>
      <w:r>
        <w:rPr>
          <w:kern w:val="2"/>
          <w:szCs w:val="20"/>
        </w:rPr>
        <w:fldChar w:fldCharType="end"/>
      </w:r>
      <w:r>
        <w:rPr>
          <w:kern w:val="2"/>
          <w:szCs w:val="20"/>
        </w:rPr>
        <w:t>，建设项目区位于哈密市高新技术产业开发区南部循环经济产业园，规划用地性质为工业用地，项目所在区域不属于集中式饮用水水源地准保护区、补给径流区及与地下水环境保护相关的其</w:t>
      </w:r>
      <w:r>
        <w:rPr>
          <w:rFonts w:hint="eastAsia"/>
          <w:kern w:val="2"/>
          <w:szCs w:val="20"/>
        </w:rPr>
        <w:t>他</w:t>
      </w:r>
      <w:r>
        <w:rPr>
          <w:kern w:val="2"/>
          <w:szCs w:val="20"/>
        </w:rPr>
        <w:t>保护区等敏感区，因此本项目所在区地下水环境敏感程度属于不敏感。</w:t>
      </w:r>
    </w:p>
    <w:p w14:paraId="6BFD4020" w14:textId="77777777" w:rsidR="003E78AB" w:rsidRDefault="00010BF9">
      <w:pPr>
        <w:pStyle w:val="a4"/>
        <w:spacing w:before="120"/>
        <w:ind w:left="425" w:hanging="425"/>
      </w:pPr>
      <w:bookmarkStart w:id="384" w:name="_Ref8515"/>
      <w:r>
        <w:t>地下水环境敏感程度分级</w:t>
      </w:r>
      <w:bookmarkEnd w:id="384"/>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
        <w:gridCol w:w="7589"/>
      </w:tblGrid>
      <w:tr w:rsidR="003E78AB" w14:paraId="33720410" w14:textId="77777777">
        <w:trPr>
          <w:trHeight w:val="64"/>
          <w:tblHeader/>
        </w:trPr>
        <w:tc>
          <w:tcPr>
            <w:tcW w:w="433" w:type="pct"/>
            <w:vAlign w:val="center"/>
          </w:tcPr>
          <w:p w14:paraId="6D9203A8" w14:textId="77777777" w:rsidR="003E78AB" w:rsidRDefault="00010BF9">
            <w:pPr>
              <w:spacing w:line="360" w:lineRule="exact"/>
              <w:ind w:firstLineChars="0" w:firstLine="0"/>
              <w:jc w:val="center"/>
              <w:rPr>
                <w:b/>
                <w:bCs/>
                <w:kern w:val="2"/>
                <w:sz w:val="21"/>
                <w:szCs w:val="21"/>
              </w:rPr>
            </w:pPr>
            <w:r>
              <w:rPr>
                <w:b/>
                <w:bCs/>
                <w:kern w:val="2"/>
                <w:sz w:val="21"/>
                <w:szCs w:val="21"/>
              </w:rPr>
              <w:t>分级</w:t>
            </w:r>
          </w:p>
        </w:tc>
        <w:tc>
          <w:tcPr>
            <w:tcW w:w="4566" w:type="pct"/>
            <w:vAlign w:val="center"/>
          </w:tcPr>
          <w:p w14:paraId="15A343F0" w14:textId="77777777" w:rsidR="003E78AB" w:rsidRDefault="00010BF9">
            <w:pPr>
              <w:spacing w:line="360" w:lineRule="exact"/>
              <w:ind w:firstLineChars="0" w:firstLine="0"/>
              <w:jc w:val="center"/>
              <w:rPr>
                <w:b/>
                <w:bCs/>
                <w:kern w:val="2"/>
                <w:sz w:val="21"/>
                <w:szCs w:val="21"/>
              </w:rPr>
            </w:pPr>
            <w:r>
              <w:rPr>
                <w:b/>
                <w:bCs/>
                <w:kern w:val="2"/>
                <w:sz w:val="21"/>
                <w:szCs w:val="21"/>
              </w:rPr>
              <w:t>项目场地的地下水环境敏感特征</w:t>
            </w:r>
          </w:p>
        </w:tc>
      </w:tr>
      <w:tr w:rsidR="003E78AB" w14:paraId="295C1A69" w14:textId="77777777">
        <w:trPr>
          <w:trHeight w:val="200"/>
        </w:trPr>
        <w:tc>
          <w:tcPr>
            <w:tcW w:w="433" w:type="pct"/>
            <w:vAlign w:val="center"/>
          </w:tcPr>
          <w:p w14:paraId="3812A44B" w14:textId="77777777" w:rsidR="003E78AB" w:rsidRDefault="00010BF9">
            <w:pPr>
              <w:spacing w:line="360" w:lineRule="exact"/>
              <w:ind w:firstLineChars="0" w:firstLine="0"/>
              <w:jc w:val="center"/>
              <w:rPr>
                <w:kern w:val="2"/>
                <w:sz w:val="21"/>
                <w:szCs w:val="21"/>
              </w:rPr>
            </w:pPr>
            <w:r>
              <w:rPr>
                <w:kern w:val="2"/>
                <w:sz w:val="21"/>
                <w:szCs w:val="21"/>
              </w:rPr>
              <w:t>敏感</w:t>
            </w:r>
          </w:p>
        </w:tc>
        <w:tc>
          <w:tcPr>
            <w:tcW w:w="4566" w:type="pct"/>
            <w:vAlign w:val="center"/>
          </w:tcPr>
          <w:p w14:paraId="3E3599DA" w14:textId="77777777" w:rsidR="003E78AB" w:rsidRDefault="00010BF9">
            <w:pPr>
              <w:spacing w:line="360" w:lineRule="exact"/>
              <w:ind w:firstLineChars="0" w:firstLine="0"/>
              <w:jc w:val="left"/>
              <w:rPr>
                <w:kern w:val="2"/>
                <w:sz w:val="21"/>
                <w:szCs w:val="21"/>
              </w:rPr>
            </w:pPr>
            <w:r>
              <w:rPr>
                <w:kern w:val="2"/>
                <w:sz w:val="21"/>
                <w:szCs w:val="21"/>
              </w:rPr>
              <w:t>集中式饮用水水源地（包括已建成的在用、备用、应急水源地，在建和规划的水源地）准保护区；除集中式饮用水水源地以外的国家或地方政府设定的与地下水环境相关的其</w:t>
            </w:r>
            <w:r>
              <w:rPr>
                <w:rFonts w:hint="eastAsia"/>
                <w:kern w:val="2"/>
                <w:sz w:val="21"/>
                <w:szCs w:val="21"/>
              </w:rPr>
              <w:t>他</w:t>
            </w:r>
            <w:r>
              <w:rPr>
                <w:kern w:val="2"/>
                <w:sz w:val="21"/>
                <w:szCs w:val="21"/>
              </w:rPr>
              <w:t>保护区，如热水、矿泉水、温泉等特殊地下水资源保护区。</w:t>
            </w:r>
          </w:p>
        </w:tc>
      </w:tr>
      <w:tr w:rsidR="003E78AB" w14:paraId="0B3956CB" w14:textId="77777777">
        <w:trPr>
          <w:trHeight w:val="198"/>
        </w:trPr>
        <w:tc>
          <w:tcPr>
            <w:tcW w:w="433" w:type="pct"/>
            <w:vAlign w:val="center"/>
          </w:tcPr>
          <w:p w14:paraId="4D6DFC4B" w14:textId="77777777" w:rsidR="003E78AB" w:rsidRDefault="00010BF9">
            <w:pPr>
              <w:spacing w:line="360" w:lineRule="exact"/>
              <w:ind w:firstLineChars="0" w:firstLine="0"/>
              <w:jc w:val="center"/>
              <w:rPr>
                <w:kern w:val="2"/>
                <w:sz w:val="21"/>
                <w:szCs w:val="21"/>
              </w:rPr>
            </w:pPr>
            <w:r>
              <w:rPr>
                <w:kern w:val="2"/>
                <w:sz w:val="21"/>
                <w:szCs w:val="21"/>
              </w:rPr>
              <w:t>较敏感</w:t>
            </w:r>
          </w:p>
        </w:tc>
        <w:tc>
          <w:tcPr>
            <w:tcW w:w="4566" w:type="pct"/>
            <w:vAlign w:val="center"/>
          </w:tcPr>
          <w:p w14:paraId="0F74B466" w14:textId="77777777" w:rsidR="003E78AB" w:rsidRDefault="00010BF9">
            <w:pPr>
              <w:spacing w:line="360" w:lineRule="exact"/>
              <w:ind w:firstLineChars="0" w:firstLine="0"/>
              <w:jc w:val="left"/>
              <w:rPr>
                <w:kern w:val="2"/>
                <w:sz w:val="21"/>
                <w:szCs w:val="21"/>
              </w:rPr>
            </w:pPr>
            <w:r>
              <w:rPr>
                <w:kern w:val="2"/>
                <w:sz w:val="21"/>
                <w:szCs w:val="21"/>
              </w:rPr>
              <w:t>集中式饮用水水源地（包括已建成的在用、备用、应急水源地，在建和规划的水源地）准保护区以外的补给径流区；未划定准保护区的集中式饮用水水源，其保护区以外的补给径流区；分散式饮用水水源地，特殊地下水资源（如矿泉水、温泉等）保护区以外的分布区等未列入上述敏感分级的环境敏感区</w:t>
            </w:r>
            <w:r>
              <w:rPr>
                <w:kern w:val="2"/>
                <w:sz w:val="21"/>
                <w:szCs w:val="21"/>
                <w:vertAlign w:val="superscript"/>
              </w:rPr>
              <w:t>a</w:t>
            </w:r>
            <w:r>
              <w:rPr>
                <w:kern w:val="2"/>
                <w:sz w:val="21"/>
                <w:szCs w:val="21"/>
              </w:rPr>
              <w:t>。</w:t>
            </w:r>
          </w:p>
        </w:tc>
      </w:tr>
      <w:tr w:rsidR="003E78AB" w14:paraId="250DA3E6" w14:textId="77777777">
        <w:trPr>
          <w:trHeight w:val="68"/>
        </w:trPr>
        <w:tc>
          <w:tcPr>
            <w:tcW w:w="433" w:type="pct"/>
            <w:shd w:val="clear" w:color="auto" w:fill="D7D7D7"/>
            <w:vAlign w:val="center"/>
          </w:tcPr>
          <w:p w14:paraId="31C363E4" w14:textId="77777777" w:rsidR="003E78AB" w:rsidRDefault="00010BF9">
            <w:pPr>
              <w:spacing w:line="360" w:lineRule="exact"/>
              <w:ind w:firstLineChars="0" w:firstLine="0"/>
              <w:jc w:val="center"/>
              <w:rPr>
                <w:kern w:val="2"/>
                <w:sz w:val="21"/>
                <w:szCs w:val="21"/>
              </w:rPr>
            </w:pPr>
            <w:r>
              <w:rPr>
                <w:kern w:val="2"/>
                <w:sz w:val="21"/>
                <w:szCs w:val="21"/>
              </w:rPr>
              <w:t>不敏感</w:t>
            </w:r>
          </w:p>
        </w:tc>
        <w:tc>
          <w:tcPr>
            <w:tcW w:w="4566" w:type="pct"/>
            <w:shd w:val="clear" w:color="auto" w:fill="D7D7D7"/>
            <w:vAlign w:val="center"/>
          </w:tcPr>
          <w:p w14:paraId="2FDBF9DF" w14:textId="77777777" w:rsidR="003E78AB" w:rsidRDefault="00010BF9">
            <w:pPr>
              <w:spacing w:line="360" w:lineRule="exact"/>
              <w:ind w:firstLineChars="0" w:firstLine="0"/>
              <w:jc w:val="center"/>
              <w:rPr>
                <w:kern w:val="2"/>
                <w:sz w:val="21"/>
                <w:szCs w:val="21"/>
              </w:rPr>
            </w:pPr>
            <w:r>
              <w:rPr>
                <w:kern w:val="2"/>
                <w:sz w:val="21"/>
                <w:szCs w:val="21"/>
              </w:rPr>
              <w:t>上述地区之外的其</w:t>
            </w:r>
            <w:r>
              <w:rPr>
                <w:rFonts w:hint="eastAsia"/>
                <w:kern w:val="2"/>
                <w:sz w:val="21"/>
                <w:szCs w:val="21"/>
              </w:rPr>
              <w:t>他</w:t>
            </w:r>
            <w:r>
              <w:rPr>
                <w:kern w:val="2"/>
                <w:sz w:val="21"/>
                <w:szCs w:val="21"/>
              </w:rPr>
              <w:t>地区。</w:t>
            </w:r>
          </w:p>
        </w:tc>
      </w:tr>
      <w:tr w:rsidR="003E78AB" w14:paraId="44E03913" w14:textId="77777777">
        <w:tblPrEx>
          <w:tblCellMar>
            <w:left w:w="108" w:type="dxa"/>
            <w:right w:w="108" w:type="dxa"/>
          </w:tblCellMar>
        </w:tblPrEx>
        <w:trPr>
          <w:trHeight w:val="56"/>
        </w:trPr>
        <w:tc>
          <w:tcPr>
            <w:tcW w:w="5000" w:type="pct"/>
            <w:gridSpan w:val="2"/>
            <w:vAlign w:val="center"/>
          </w:tcPr>
          <w:p w14:paraId="175577C3" w14:textId="77777777" w:rsidR="003E78AB" w:rsidRDefault="00010BF9">
            <w:pPr>
              <w:spacing w:line="360" w:lineRule="exact"/>
              <w:ind w:firstLineChars="0" w:firstLine="0"/>
              <w:jc w:val="left"/>
              <w:rPr>
                <w:kern w:val="2"/>
                <w:sz w:val="21"/>
                <w:szCs w:val="21"/>
              </w:rPr>
            </w:pPr>
            <w:r>
              <w:rPr>
                <w:kern w:val="2"/>
                <w:sz w:val="21"/>
                <w:szCs w:val="21"/>
              </w:rPr>
              <w:t>注：</w:t>
            </w:r>
            <w:r>
              <w:rPr>
                <w:kern w:val="2"/>
                <w:sz w:val="21"/>
                <w:szCs w:val="21"/>
              </w:rPr>
              <w:t>a“</w:t>
            </w:r>
            <w:r>
              <w:rPr>
                <w:kern w:val="2"/>
                <w:sz w:val="21"/>
                <w:szCs w:val="21"/>
              </w:rPr>
              <w:t>环境敏感区</w:t>
            </w:r>
            <w:r>
              <w:rPr>
                <w:kern w:val="2"/>
                <w:sz w:val="21"/>
                <w:szCs w:val="21"/>
              </w:rPr>
              <w:t>”</w:t>
            </w:r>
            <w:r>
              <w:rPr>
                <w:kern w:val="2"/>
                <w:sz w:val="21"/>
                <w:szCs w:val="21"/>
              </w:rPr>
              <w:t>系指《建设项目环境影响评价分类管理名录》中所界定的涉及地下水的环境敏感区。</w:t>
            </w:r>
          </w:p>
        </w:tc>
      </w:tr>
    </w:tbl>
    <w:p w14:paraId="68FA6172" w14:textId="77777777" w:rsidR="003E78AB" w:rsidRDefault="00010BF9">
      <w:pPr>
        <w:ind w:firstLine="480"/>
        <w:rPr>
          <w:kern w:val="2"/>
          <w:szCs w:val="20"/>
        </w:rPr>
      </w:pPr>
      <w:r>
        <w:rPr>
          <w:kern w:val="2"/>
          <w:szCs w:val="20"/>
        </w:rPr>
        <w:t>根据《环境影响评价技术导则</w:t>
      </w:r>
      <w:r>
        <w:rPr>
          <w:kern w:val="2"/>
          <w:szCs w:val="20"/>
        </w:rPr>
        <w:t xml:space="preserve"> </w:t>
      </w:r>
      <w:r>
        <w:rPr>
          <w:kern w:val="2"/>
          <w:szCs w:val="20"/>
        </w:rPr>
        <w:t>地下水环境》（</w:t>
      </w:r>
      <w:r>
        <w:rPr>
          <w:kern w:val="2"/>
          <w:szCs w:val="20"/>
        </w:rPr>
        <w:t>HJ610-2016</w:t>
      </w:r>
      <w:r>
        <w:rPr>
          <w:kern w:val="2"/>
          <w:szCs w:val="20"/>
        </w:rPr>
        <w:t>），建设项目地下水环境影响评价工作等级划分详见</w:t>
      </w:r>
      <w:r>
        <w:rPr>
          <w:kern w:val="2"/>
          <w:szCs w:val="20"/>
        </w:rPr>
        <w:fldChar w:fldCharType="begin"/>
      </w:r>
      <w:r>
        <w:rPr>
          <w:kern w:val="2"/>
          <w:szCs w:val="20"/>
        </w:rPr>
        <w:instrText xml:space="preserve"> REF _Ref8649 \r \h </w:instrText>
      </w:r>
      <w:r>
        <w:rPr>
          <w:kern w:val="2"/>
          <w:szCs w:val="20"/>
        </w:rPr>
      </w:r>
      <w:r>
        <w:rPr>
          <w:kern w:val="2"/>
          <w:szCs w:val="20"/>
        </w:rPr>
        <w:fldChar w:fldCharType="separate"/>
      </w:r>
      <w:r>
        <w:rPr>
          <w:kern w:val="2"/>
          <w:szCs w:val="20"/>
        </w:rPr>
        <w:t>表</w:t>
      </w:r>
      <w:r>
        <w:rPr>
          <w:kern w:val="2"/>
          <w:szCs w:val="20"/>
        </w:rPr>
        <w:t>5-54</w:t>
      </w:r>
      <w:r>
        <w:rPr>
          <w:kern w:val="2"/>
          <w:szCs w:val="20"/>
        </w:rPr>
        <w:fldChar w:fldCharType="end"/>
      </w:r>
      <w:r>
        <w:rPr>
          <w:kern w:val="2"/>
          <w:szCs w:val="20"/>
        </w:rPr>
        <w:t>。</w:t>
      </w:r>
    </w:p>
    <w:p w14:paraId="6879408E" w14:textId="77777777" w:rsidR="003E78AB" w:rsidRDefault="00010BF9">
      <w:pPr>
        <w:pStyle w:val="a4"/>
        <w:spacing w:before="120"/>
        <w:ind w:left="425" w:hanging="425"/>
      </w:pPr>
      <w:bookmarkStart w:id="385" w:name="_Ref8649"/>
      <w:r>
        <w:t>评价工作等级分级表</w:t>
      </w:r>
      <w:bookmarkEnd w:id="385"/>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930"/>
        <w:gridCol w:w="1929"/>
        <w:gridCol w:w="1931"/>
      </w:tblGrid>
      <w:tr w:rsidR="003E78AB" w14:paraId="68599486" w14:textId="77777777">
        <w:trPr>
          <w:trHeight w:val="629"/>
        </w:trPr>
        <w:tc>
          <w:tcPr>
            <w:tcW w:w="1599" w:type="pct"/>
            <w:tcBorders>
              <w:tl2br w:val="single" w:sz="6" w:space="0" w:color="auto"/>
            </w:tcBorders>
            <w:vAlign w:val="center"/>
          </w:tcPr>
          <w:p w14:paraId="0EAE883E" w14:textId="77777777" w:rsidR="003E78AB" w:rsidRDefault="00010BF9">
            <w:pPr>
              <w:pStyle w:val="aff6"/>
              <w:topLinePunct/>
              <w:jc w:val="right"/>
              <w:rPr>
                <w:b/>
                <w:bCs/>
              </w:rPr>
            </w:pPr>
            <w:r>
              <w:rPr>
                <w:b/>
                <w:bCs/>
              </w:rPr>
              <w:t>项目类别</w:t>
            </w:r>
          </w:p>
          <w:p w14:paraId="58AD6147" w14:textId="77777777" w:rsidR="003E78AB" w:rsidRDefault="00010BF9">
            <w:pPr>
              <w:pStyle w:val="aff6"/>
              <w:topLinePunct/>
              <w:jc w:val="left"/>
              <w:rPr>
                <w:b/>
                <w:bCs/>
              </w:rPr>
            </w:pPr>
            <w:r>
              <w:rPr>
                <w:b/>
                <w:bCs/>
              </w:rPr>
              <w:t>环境敏感程度</w:t>
            </w:r>
          </w:p>
        </w:tc>
        <w:tc>
          <w:tcPr>
            <w:tcW w:w="1133" w:type="pct"/>
            <w:vAlign w:val="center"/>
          </w:tcPr>
          <w:p w14:paraId="0E79C7D3" w14:textId="77777777" w:rsidR="003E78AB" w:rsidRDefault="00010BF9">
            <w:pPr>
              <w:pStyle w:val="aff6"/>
              <w:topLinePunct/>
              <w:rPr>
                <w:b/>
                <w:bCs/>
              </w:rPr>
            </w:pPr>
            <w:r>
              <w:rPr>
                <w:b/>
                <w:bCs/>
              </w:rPr>
              <w:t>Ⅰ</w:t>
            </w:r>
            <w:r>
              <w:rPr>
                <w:b/>
                <w:bCs/>
              </w:rPr>
              <w:t>类项目</w:t>
            </w:r>
          </w:p>
        </w:tc>
        <w:tc>
          <w:tcPr>
            <w:tcW w:w="1133" w:type="pct"/>
            <w:vAlign w:val="center"/>
          </w:tcPr>
          <w:p w14:paraId="70F393C2" w14:textId="77777777" w:rsidR="003E78AB" w:rsidRDefault="00010BF9">
            <w:pPr>
              <w:pStyle w:val="aff6"/>
              <w:topLinePunct/>
              <w:rPr>
                <w:b/>
                <w:bCs/>
              </w:rPr>
            </w:pPr>
            <w:r>
              <w:rPr>
                <w:b/>
                <w:bCs/>
              </w:rPr>
              <w:t>Ⅱ</w:t>
            </w:r>
            <w:r>
              <w:rPr>
                <w:b/>
                <w:bCs/>
              </w:rPr>
              <w:t>类项目</w:t>
            </w:r>
          </w:p>
        </w:tc>
        <w:tc>
          <w:tcPr>
            <w:tcW w:w="1134" w:type="pct"/>
            <w:vAlign w:val="center"/>
          </w:tcPr>
          <w:p w14:paraId="4B787CD3" w14:textId="77777777" w:rsidR="003E78AB" w:rsidRDefault="00010BF9">
            <w:pPr>
              <w:pStyle w:val="aff6"/>
              <w:topLinePunct/>
              <w:rPr>
                <w:b/>
                <w:bCs/>
              </w:rPr>
            </w:pPr>
            <w:r>
              <w:rPr>
                <w:b/>
                <w:bCs/>
              </w:rPr>
              <w:t>Ⅲ</w:t>
            </w:r>
            <w:r>
              <w:rPr>
                <w:b/>
                <w:bCs/>
              </w:rPr>
              <w:t>类项目</w:t>
            </w:r>
          </w:p>
        </w:tc>
      </w:tr>
      <w:tr w:rsidR="003E78AB" w14:paraId="46A813A2" w14:textId="77777777">
        <w:tc>
          <w:tcPr>
            <w:tcW w:w="1599" w:type="pct"/>
            <w:vAlign w:val="center"/>
          </w:tcPr>
          <w:p w14:paraId="4FA3CBC5" w14:textId="77777777" w:rsidR="003E78AB" w:rsidRDefault="00010BF9">
            <w:pPr>
              <w:pStyle w:val="aff6"/>
              <w:topLinePunct/>
            </w:pPr>
            <w:r>
              <w:t>敏感</w:t>
            </w:r>
          </w:p>
        </w:tc>
        <w:tc>
          <w:tcPr>
            <w:tcW w:w="1133" w:type="pct"/>
            <w:vAlign w:val="center"/>
          </w:tcPr>
          <w:p w14:paraId="59CD1E67" w14:textId="77777777" w:rsidR="003E78AB" w:rsidRDefault="00010BF9">
            <w:pPr>
              <w:pStyle w:val="aff6"/>
              <w:topLinePunct/>
            </w:pPr>
            <w:r>
              <w:t>一</w:t>
            </w:r>
          </w:p>
        </w:tc>
        <w:tc>
          <w:tcPr>
            <w:tcW w:w="1133" w:type="pct"/>
            <w:vAlign w:val="center"/>
          </w:tcPr>
          <w:p w14:paraId="2D144D74" w14:textId="77777777" w:rsidR="003E78AB" w:rsidRDefault="00010BF9">
            <w:pPr>
              <w:pStyle w:val="aff6"/>
              <w:topLinePunct/>
            </w:pPr>
            <w:r>
              <w:t>一</w:t>
            </w:r>
          </w:p>
        </w:tc>
        <w:tc>
          <w:tcPr>
            <w:tcW w:w="1134" w:type="pct"/>
            <w:vAlign w:val="center"/>
          </w:tcPr>
          <w:p w14:paraId="7EEC3487" w14:textId="77777777" w:rsidR="003E78AB" w:rsidRDefault="00010BF9">
            <w:pPr>
              <w:pStyle w:val="aff6"/>
              <w:topLinePunct/>
            </w:pPr>
            <w:r>
              <w:t>二</w:t>
            </w:r>
          </w:p>
        </w:tc>
      </w:tr>
      <w:tr w:rsidR="003E78AB" w14:paraId="23DAA3D5" w14:textId="77777777">
        <w:tc>
          <w:tcPr>
            <w:tcW w:w="1599" w:type="pct"/>
            <w:vAlign w:val="center"/>
          </w:tcPr>
          <w:p w14:paraId="3905F99B" w14:textId="77777777" w:rsidR="003E78AB" w:rsidRDefault="00010BF9">
            <w:pPr>
              <w:pStyle w:val="aff6"/>
              <w:topLinePunct/>
            </w:pPr>
            <w:r>
              <w:t>较敏感</w:t>
            </w:r>
          </w:p>
        </w:tc>
        <w:tc>
          <w:tcPr>
            <w:tcW w:w="1133" w:type="pct"/>
            <w:vAlign w:val="center"/>
          </w:tcPr>
          <w:p w14:paraId="35457B49" w14:textId="77777777" w:rsidR="003E78AB" w:rsidRDefault="00010BF9">
            <w:pPr>
              <w:pStyle w:val="aff6"/>
              <w:topLinePunct/>
            </w:pPr>
            <w:r>
              <w:t>一</w:t>
            </w:r>
          </w:p>
        </w:tc>
        <w:tc>
          <w:tcPr>
            <w:tcW w:w="1133" w:type="pct"/>
            <w:vAlign w:val="center"/>
          </w:tcPr>
          <w:p w14:paraId="45978067" w14:textId="77777777" w:rsidR="003E78AB" w:rsidRDefault="00010BF9">
            <w:pPr>
              <w:pStyle w:val="aff6"/>
              <w:topLinePunct/>
            </w:pPr>
            <w:r>
              <w:t>二</w:t>
            </w:r>
          </w:p>
        </w:tc>
        <w:tc>
          <w:tcPr>
            <w:tcW w:w="1134" w:type="pct"/>
            <w:vAlign w:val="center"/>
          </w:tcPr>
          <w:p w14:paraId="6025C3EF" w14:textId="77777777" w:rsidR="003E78AB" w:rsidRDefault="00010BF9">
            <w:pPr>
              <w:pStyle w:val="aff6"/>
              <w:topLinePunct/>
            </w:pPr>
            <w:r>
              <w:t>三</w:t>
            </w:r>
          </w:p>
        </w:tc>
      </w:tr>
      <w:tr w:rsidR="003E78AB" w14:paraId="479204CD" w14:textId="77777777">
        <w:tc>
          <w:tcPr>
            <w:tcW w:w="1599" w:type="pct"/>
            <w:shd w:val="clear" w:color="auto" w:fill="auto"/>
            <w:vAlign w:val="center"/>
          </w:tcPr>
          <w:p w14:paraId="15CBED76" w14:textId="77777777" w:rsidR="003E78AB" w:rsidRDefault="00010BF9">
            <w:pPr>
              <w:pStyle w:val="aff6"/>
              <w:topLinePunct/>
            </w:pPr>
            <w:r>
              <w:t>不敏感</w:t>
            </w:r>
          </w:p>
        </w:tc>
        <w:tc>
          <w:tcPr>
            <w:tcW w:w="1133" w:type="pct"/>
            <w:shd w:val="clear" w:color="auto" w:fill="D7D7D7"/>
            <w:vAlign w:val="center"/>
          </w:tcPr>
          <w:p w14:paraId="4B617B7E" w14:textId="77777777" w:rsidR="003E78AB" w:rsidRDefault="00010BF9">
            <w:pPr>
              <w:pStyle w:val="aff6"/>
              <w:topLinePunct/>
            </w:pPr>
            <w:r>
              <w:t>二</w:t>
            </w:r>
          </w:p>
        </w:tc>
        <w:tc>
          <w:tcPr>
            <w:tcW w:w="1133" w:type="pct"/>
            <w:vAlign w:val="center"/>
          </w:tcPr>
          <w:p w14:paraId="75CB7061" w14:textId="77777777" w:rsidR="003E78AB" w:rsidRDefault="00010BF9">
            <w:pPr>
              <w:pStyle w:val="aff6"/>
              <w:topLinePunct/>
            </w:pPr>
            <w:r>
              <w:t>三</w:t>
            </w:r>
          </w:p>
        </w:tc>
        <w:tc>
          <w:tcPr>
            <w:tcW w:w="1134" w:type="pct"/>
            <w:vAlign w:val="center"/>
          </w:tcPr>
          <w:p w14:paraId="18A330C0" w14:textId="77777777" w:rsidR="003E78AB" w:rsidRDefault="00010BF9">
            <w:pPr>
              <w:pStyle w:val="aff6"/>
              <w:topLinePunct/>
            </w:pPr>
            <w:r>
              <w:t>三</w:t>
            </w:r>
          </w:p>
        </w:tc>
      </w:tr>
    </w:tbl>
    <w:p w14:paraId="47CEF826" w14:textId="77777777" w:rsidR="003E78AB" w:rsidRDefault="00010BF9">
      <w:pPr>
        <w:ind w:firstLine="480"/>
        <w:rPr>
          <w:kern w:val="2"/>
          <w:szCs w:val="20"/>
        </w:rPr>
      </w:pPr>
      <w:r>
        <w:rPr>
          <w:kern w:val="2"/>
          <w:szCs w:val="20"/>
        </w:rPr>
        <w:t>结合工程污染特征及周边地下水文地质特点，项目所在区域地下水环境敏感程度属于不敏感，为更好</w:t>
      </w:r>
      <w:r>
        <w:rPr>
          <w:rFonts w:hint="eastAsia"/>
          <w:kern w:val="2"/>
          <w:szCs w:val="20"/>
        </w:rPr>
        <w:t>地</w:t>
      </w:r>
      <w:r>
        <w:rPr>
          <w:kern w:val="2"/>
          <w:szCs w:val="20"/>
        </w:rPr>
        <w:t>评价分析建设项目对地下水环境的影响，本项目地下水环境影响评价的工作内容按照二级评价要求开展。</w:t>
      </w:r>
    </w:p>
    <w:p w14:paraId="6A12B52D" w14:textId="77777777" w:rsidR="003E78AB" w:rsidRDefault="00010BF9">
      <w:pPr>
        <w:pStyle w:val="5"/>
        <w:keepNext w:val="0"/>
        <w:keepLines w:val="0"/>
        <w:ind w:firstLine="482"/>
        <w:rPr>
          <w:sz w:val="24"/>
        </w:rPr>
      </w:pPr>
      <w:r>
        <w:rPr>
          <w:rFonts w:hint="eastAsia"/>
          <w:sz w:val="24"/>
        </w:rPr>
        <w:t>2.</w:t>
      </w:r>
      <w:r>
        <w:rPr>
          <w:sz w:val="24"/>
        </w:rPr>
        <w:t>地下水环境影响评价范围的确定</w:t>
      </w:r>
    </w:p>
    <w:p w14:paraId="6ABD6459" w14:textId="77777777" w:rsidR="003E78AB" w:rsidRDefault="00010BF9">
      <w:pPr>
        <w:ind w:firstLine="480"/>
        <w:rPr>
          <w:kern w:val="2"/>
        </w:rPr>
      </w:pPr>
      <w:r>
        <w:rPr>
          <w:kern w:val="2"/>
          <w:szCs w:val="20"/>
        </w:rPr>
        <w:t>依据项目区域水文地质资料可知，本项目区域内地下水整体流向为东北方向向西南方向流动。根据《环境影响评价技术导则</w:t>
      </w:r>
      <w:r>
        <w:rPr>
          <w:kern w:val="2"/>
          <w:szCs w:val="20"/>
        </w:rPr>
        <w:t xml:space="preserve"> </w:t>
      </w:r>
      <w:r>
        <w:rPr>
          <w:kern w:val="2"/>
          <w:szCs w:val="20"/>
        </w:rPr>
        <w:t>地下水环境》（</w:t>
      </w:r>
      <w:r>
        <w:rPr>
          <w:kern w:val="2"/>
          <w:szCs w:val="20"/>
        </w:rPr>
        <w:t>HJ610-2016</w:t>
      </w:r>
      <w:r>
        <w:rPr>
          <w:kern w:val="2"/>
          <w:szCs w:val="20"/>
        </w:rPr>
        <w:t>）要求，结合区域地下水的补径排条</w:t>
      </w:r>
      <w:r>
        <w:rPr>
          <w:kern w:val="2"/>
        </w:rPr>
        <w:t>件调查，本项目地下水环境影响评价等级为二级。本次建设项目地下水环境影响评价范围采用公式计算法并结合查表法确定，地下水环境调查评价范围参照见</w:t>
      </w:r>
      <w:r>
        <w:rPr>
          <w:kern w:val="2"/>
        </w:rPr>
        <w:fldChar w:fldCharType="begin"/>
      </w:r>
      <w:r>
        <w:rPr>
          <w:kern w:val="2"/>
        </w:rPr>
        <w:instrText xml:space="preserve"> REF _Ref7637 \r \h </w:instrText>
      </w:r>
      <w:r>
        <w:rPr>
          <w:kern w:val="2"/>
        </w:rPr>
      </w:r>
      <w:r>
        <w:rPr>
          <w:kern w:val="2"/>
        </w:rPr>
        <w:fldChar w:fldCharType="separate"/>
      </w:r>
      <w:r>
        <w:rPr>
          <w:kern w:val="2"/>
        </w:rPr>
        <w:t>表</w:t>
      </w:r>
      <w:r>
        <w:rPr>
          <w:kern w:val="2"/>
        </w:rPr>
        <w:t>5-25</w:t>
      </w:r>
      <w:r>
        <w:rPr>
          <w:kern w:val="2"/>
        </w:rPr>
        <w:fldChar w:fldCharType="end"/>
      </w:r>
      <w:r>
        <w:rPr>
          <w:kern w:val="2"/>
        </w:rPr>
        <w:t>，计算公式如下：</w:t>
      </w:r>
    </w:p>
    <w:p w14:paraId="7EBFA4D6" w14:textId="77777777" w:rsidR="003E78AB" w:rsidRDefault="00010BF9">
      <w:pPr>
        <w:ind w:firstLine="480"/>
        <w:jc w:val="center"/>
        <w:rPr>
          <w:kern w:val="2"/>
        </w:rPr>
      </w:pPr>
      <w:r>
        <w:rPr>
          <w:kern w:val="2"/>
        </w:rPr>
        <w:t>L=</w:t>
      </w:r>
      <w:r>
        <w:rPr>
          <w:kern w:val="2"/>
        </w:rPr>
        <w:t>α·K·I·T/ne</w:t>
      </w:r>
    </w:p>
    <w:p w14:paraId="1923A546" w14:textId="77777777" w:rsidR="003E78AB" w:rsidRDefault="00010BF9">
      <w:pPr>
        <w:ind w:firstLine="480"/>
        <w:rPr>
          <w:kern w:val="2"/>
        </w:rPr>
      </w:pPr>
      <w:r>
        <w:rPr>
          <w:kern w:val="2"/>
        </w:rPr>
        <w:t>其中：</w:t>
      </w:r>
      <w:r>
        <w:rPr>
          <w:kern w:val="2"/>
        </w:rPr>
        <w:t>L——</w:t>
      </w:r>
      <w:r>
        <w:rPr>
          <w:kern w:val="2"/>
        </w:rPr>
        <w:t>下游迁移距离（米）；</w:t>
      </w:r>
    </w:p>
    <w:p w14:paraId="078827E7" w14:textId="77777777" w:rsidR="003E78AB" w:rsidRDefault="00010BF9">
      <w:pPr>
        <w:ind w:firstLine="480"/>
        <w:rPr>
          <w:kern w:val="2"/>
        </w:rPr>
      </w:pPr>
      <w:r>
        <w:rPr>
          <w:kern w:val="2"/>
        </w:rPr>
        <w:t>α——</w:t>
      </w:r>
      <w:r>
        <w:rPr>
          <w:kern w:val="2"/>
        </w:rPr>
        <w:t>变化系数，一般取</w:t>
      </w:r>
      <w:r>
        <w:rPr>
          <w:kern w:val="2"/>
        </w:rPr>
        <w:t>2</w:t>
      </w:r>
      <w:r>
        <w:rPr>
          <w:kern w:val="2"/>
        </w:rPr>
        <w:t>；</w:t>
      </w:r>
    </w:p>
    <w:p w14:paraId="0D6F889C" w14:textId="77777777" w:rsidR="003E78AB" w:rsidRDefault="00010BF9">
      <w:pPr>
        <w:ind w:firstLine="480"/>
        <w:rPr>
          <w:kern w:val="2"/>
        </w:rPr>
      </w:pPr>
      <w:r>
        <w:rPr>
          <w:kern w:val="2"/>
        </w:rPr>
        <w:t>K——</w:t>
      </w:r>
      <w:r>
        <w:rPr>
          <w:kern w:val="2"/>
        </w:rPr>
        <w:t>渗透系数（</w:t>
      </w:r>
      <w:r>
        <w:rPr>
          <w:kern w:val="2"/>
        </w:rPr>
        <w:t>m/d</w:t>
      </w:r>
      <w:r>
        <w:rPr>
          <w:kern w:val="2"/>
        </w:rPr>
        <w:t>），依据水文地质资料，项目区域渗透系数</w:t>
      </w:r>
      <w:r>
        <w:rPr>
          <w:kern w:val="2"/>
        </w:rPr>
        <w:t>4~6m/d</w:t>
      </w:r>
      <w:r>
        <w:rPr>
          <w:kern w:val="2"/>
        </w:rPr>
        <w:t>，取最大值</w:t>
      </w:r>
      <w:r>
        <w:rPr>
          <w:kern w:val="2"/>
        </w:rPr>
        <w:t>6m/d</w:t>
      </w:r>
      <w:r>
        <w:rPr>
          <w:kern w:val="2"/>
        </w:rPr>
        <w:t>；</w:t>
      </w:r>
    </w:p>
    <w:p w14:paraId="0AD88B49" w14:textId="77777777" w:rsidR="003E78AB" w:rsidRDefault="00010BF9">
      <w:pPr>
        <w:ind w:firstLine="480"/>
        <w:rPr>
          <w:kern w:val="2"/>
        </w:rPr>
      </w:pPr>
      <w:r>
        <w:rPr>
          <w:kern w:val="2"/>
        </w:rPr>
        <w:t>I——</w:t>
      </w:r>
      <w:r>
        <w:rPr>
          <w:kern w:val="2"/>
        </w:rPr>
        <w:t>水力坡度，依据水文地质资料取值</w:t>
      </w:r>
      <w:r>
        <w:rPr>
          <w:kern w:val="2"/>
        </w:rPr>
        <w:t>4‰</w:t>
      </w:r>
      <w:r>
        <w:rPr>
          <w:kern w:val="2"/>
        </w:rPr>
        <w:t>。</w:t>
      </w:r>
    </w:p>
    <w:p w14:paraId="3064355B" w14:textId="77777777" w:rsidR="003E78AB" w:rsidRDefault="00010BF9">
      <w:pPr>
        <w:ind w:firstLine="480"/>
        <w:rPr>
          <w:kern w:val="2"/>
        </w:rPr>
      </w:pPr>
      <w:r>
        <w:rPr>
          <w:kern w:val="2"/>
        </w:rPr>
        <w:t>T——</w:t>
      </w:r>
      <w:r>
        <w:rPr>
          <w:kern w:val="2"/>
        </w:rPr>
        <w:t>质点迁移天数，取值</w:t>
      </w:r>
      <w:r>
        <w:rPr>
          <w:kern w:val="2"/>
        </w:rPr>
        <w:t>5000d</w:t>
      </w:r>
      <w:r>
        <w:rPr>
          <w:kern w:val="2"/>
        </w:rPr>
        <w:t>；</w:t>
      </w:r>
    </w:p>
    <w:p w14:paraId="0F5FA2A1" w14:textId="77777777" w:rsidR="003E78AB" w:rsidRDefault="00010BF9">
      <w:pPr>
        <w:ind w:firstLine="480"/>
        <w:rPr>
          <w:kern w:val="2"/>
        </w:rPr>
      </w:pPr>
      <w:r>
        <w:rPr>
          <w:kern w:val="2"/>
        </w:rPr>
        <w:t>n</w:t>
      </w:r>
      <w:r>
        <w:rPr>
          <w:kern w:val="2"/>
          <w:vertAlign w:val="subscript"/>
        </w:rPr>
        <w:t>e</w:t>
      </w:r>
      <w:r>
        <w:rPr>
          <w:kern w:val="2"/>
        </w:rPr>
        <w:t>——</w:t>
      </w:r>
      <w:r>
        <w:rPr>
          <w:kern w:val="2"/>
        </w:rPr>
        <w:t>有效孔隙度，依据水文地质资料取</w:t>
      </w:r>
      <w:r>
        <w:rPr>
          <w:kern w:val="2"/>
        </w:rPr>
        <w:t>0.25</w:t>
      </w:r>
      <w:r>
        <w:rPr>
          <w:kern w:val="2"/>
        </w:rPr>
        <w:t>。</w:t>
      </w:r>
    </w:p>
    <w:p w14:paraId="62EEA14D" w14:textId="77777777" w:rsidR="003E78AB" w:rsidRDefault="00010BF9">
      <w:pPr>
        <w:ind w:firstLine="480"/>
        <w:rPr>
          <w:kern w:val="2"/>
        </w:rPr>
      </w:pPr>
      <w:r>
        <w:rPr>
          <w:kern w:val="2"/>
        </w:rPr>
        <w:t>经计算，质点下游迁移距离约为</w:t>
      </w:r>
      <w:r>
        <w:rPr>
          <w:kern w:val="2"/>
        </w:rPr>
        <w:t>960m</w:t>
      </w:r>
      <w:r>
        <w:rPr>
          <w:kern w:val="2"/>
        </w:rPr>
        <w:t>。</w:t>
      </w:r>
    </w:p>
    <w:p w14:paraId="77AEE441" w14:textId="77777777" w:rsidR="003E78AB" w:rsidRDefault="00010BF9">
      <w:pPr>
        <w:pStyle w:val="a4"/>
        <w:spacing w:before="120"/>
        <w:ind w:left="425" w:hanging="425"/>
      </w:pPr>
      <w:r>
        <w:t>地下水环境调查评价范围参照</w:t>
      </w:r>
    </w:p>
    <w:tbl>
      <w:tblPr>
        <w:tblW w:w="4999"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384"/>
        <w:gridCol w:w="4174"/>
        <w:gridCol w:w="2956"/>
      </w:tblGrid>
      <w:tr w:rsidR="003E78AB" w14:paraId="65743B7B" w14:textId="77777777">
        <w:trPr>
          <w:trHeight w:val="256"/>
          <w:tblHeader/>
          <w:jc w:val="center"/>
        </w:trPr>
        <w:tc>
          <w:tcPr>
            <w:tcW w:w="812" w:type="pct"/>
            <w:vAlign w:val="center"/>
          </w:tcPr>
          <w:p w14:paraId="0B77974A"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评价等级</w:t>
            </w:r>
          </w:p>
        </w:tc>
        <w:tc>
          <w:tcPr>
            <w:tcW w:w="2451" w:type="pct"/>
            <w:vAlign w:val="center"/>
          </w:tcPr>
          <w:p w14:paraId="05F3A72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调查评价面积（</w:t>
            </w:r>
            <w:r>
              <w:rPr>
                <w:rFonts w:ascii="Times New Roman" w:eastAsia="Times New Roman" w:hAnsi="Times New Roman" w:cs="Times New Roman"/>
                <w:b/>
                <w:bCs/>
                <w:sz w:val="21"/>
                <w:szCs w:val="21"/>
              </w:rPr>
              <w:t>km</w:t>
            </w:r>
            <w:r>
              <w:rPr>
                <w:rFonts w:ascii="Times New Roman" w:hAnsi="Times New Roman" w:cs="Times New Roman"/>
                <w:b/>
                <w:bCs/>
                <w:sz w:val="21"/>
                <w:szCs w:val="21"/>
                <w:vertAlign w:val="superscript"/>
              </w:rPr>
              <w:t>2</w:t>
            </w:r>
            <w:r>
              <w:rPr>
                <w:rFonts w:ascii="Times New Roman" w:hAnsi="Times New Roman" w:cs="Times New Roman"/>
                <w:b/>
                <w:bCs/>
                <w:sz w:val="21"/>
                <w:szCs w:val="21"/>
              </w:rPr>
              <w:t>）</w:t>
            </w:r>
          </w:p>
        </w:tc>
        <w:tc>
          <w:tcPr>
            <w:tcW w:w="1736" w:type="pct"/>
            <w:vAlign w:val="center"/>
          </w:tcPr>
          <w:p w14:paraId="6F6088FD"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rsidR="003E78AB" w14:paraId="7D034223" w14:textId="77777777">
        <w:trPr>
          <w:trHeight w:val="340"/>
          <w:jc w:val="center"/>
        </w:trPr>
        <w:tc>
          <w:tcPr>
            <w:tcW w:w="812" w:type="pct"/>
            <w:vAlign w:val="center"/>
          </w:tcPr>
          <w:p w14:paraId="371ADB57"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一级</w:t>
            </w:r>
          </w:p>
        </w:tc>
        <w:tc>
          <w:tcPr>
            <w:tcW w:w="2451" w:type="pct"/>
            <w:vAlign w:val="center"/>
          </w:tcPr>
          <w:p w14:paraId="1C5D6389"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eastAsia="Times New Roman" w:hAnsi="Times New Roman" w:cs="Times New Roman"/>
                <w:sz w:val="21"/>
                <w:szCs w:val="21"/>
              </w:rPr>
              <w:t>≥20</w:t>
            </w:r>
          </w:p>
        </w:tc>
        <w:tc>
          <w:tcPr>
            <w:tcW w:w="1736" w:type="pct"/>
            <w:vMerge w:val="restart"/>
            <w:vAlign w:val="center"/>
          </w:tcPr>
          <w:p w14:paraId="45C04AD2" w14:textId="77777777" w:rsidR="003E78AB" w:rsidRDefault="00010BF9">
            <w:pPr>
              <w:pStyle w:val="TableParagraph"/>
              <w:topLinePunct/>
              <w:spacing w:before="0" w:beforeAutospacing="0" w:line="360" w:lineRule="exact"/>
              <w:ind w:firstLineChars="0" w:firstLine="0"/>
              <w:jc w:val="both"/>
              <w:rPr>
                <w:rFonts w:ascii="Times New Roman" w:hAnsi="Times New Roman" w:cs="Times New Roman"/>
                <w:sz w:val="21"/>
                <w:szCs w:val="21"/>
              </w:rPr>
            </w:pPr>
            <w:r>
              <w:rPr>
                <w:rFonts w:ascii="Times New Roman" w:hAnsi="Times New Roman" w:cs="Times New Roman"/>
                <w:sz w:val="21"/>
                <w:szCs w:val="21"/>
              </w:rPr>
              <w:t>应包括重要的地下水环境保护目标，必要时适当扩大范围</w:t>
            </w:r>
          </w:p>
        </w:tc>
      </w:tr>
      <w:tr w:rsidR="003E78AB" w14:paraId="6C4EEC12" w14:textId="77777777">
        <w:trPr>
          <w:trHeight w:val="340"/>
          <w:jc w:val="center"/>
        </w:trPr>
        <w:tc>
          <w:tcPr>
            <w:tcW w:w="812" w:type="pct"/>
            <w:vAlign w:val="center"/>
          </w:tcPr>
          <w:p w14:paraId="010D2F7B"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二级</w:t>
            </w:r>
          </w:p>
        </w:tc>
        <w:tc>
          <w:tcPr>
            <w:tcW w:w="2451" w:type="pct"/>
            <w:vAlign w:val="center"/>
          </w:tcPr>
          <w:p w14:paraId="71E33169"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eastAsia="Times New Roman" w:hAnsi="Times New Roman" w:cs="Times New Roman"/>
                <w:sz w:val="21"/>
                <w:szCs w:val="21"/>
              </w:rPr>
              <w:t>6</w:t>
            </w:r>
            <w:r>
              <w:rPr>
                <w:rFonts w:ascii="Times New Roman" w:hAnsi="Times New Roman" w:cs="Times New Roman"/>
                <w:sz w:val="21"/>
                <w:szCs w:val="21"/>
              </w:rPr>
              <w:t>～</w:t>
            </w:r>
            <w:r>
              <w:rPr>
                <w:rFonts w:ascii="Times New Roman" w:eastAsia="Times New Roman" w:hAnsi="Times New Roman" w:cs="Times New Roman"/>
                <w:sz w:val="21"/>
                <w:szCs w:val="21"/>
              </w:rPr>
              <w:t>20</w:t>
            </w:r>
          </w:p>
        </w:tc>
        <w:tc>
          <w:tcPr>
            <w:tcW w:w="1736" w:type="pct"/>
            <w:vMerge/>
            <w:vAlign w:val="center"/>
          </w:tcPr>
          <w:p w14:paraId="33EB7E09" w14:textId="77777777" w:rsidR="003E78AB" w:rsidRDefault="003E78AB">
            <w:pPr>
              <w:pStyle w:val="TableParagraph"/>
              <w:topLinePunct/>
              <w:spacing w:beforeAutospacing="0" w:line="360" w:lineRule="exact"/>
              <w:ind w:firstLineChars="0" w:firstLine="0"/>
              <w:jc w:val="center"/>
              <w:rPr>
                <w:rFonts w:ascii="Times New Roman" w:hAnsi="Times New Roman" w:cs="Times New Roman"/>
                <w:sz w:val="21"/>
                <w:szCs w:val="21"/>
              </w:rPr>
            </w:pPr>
          </w:p>
        </w:tc>
      </w:tr>
      <w:tr w:rsidR="003E78AB" w14:paraId="2335905B" w14:textId="77777777">
        <w:trPr>
          <w:trHeight w:val="340"/>
          <w:jc w:val="center"/>
        </w:trPr>
        <w:tc>
          <w:tcPr>
            <w:tcW w:w="812" w:type="pct"/>
            <w:vAlign w:val="center"/>
          </w:tcPr>
          <w:p w14:paraId="2AC34F59"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三级</w:t>
            </w:r>
          </w:p>
        </w:tc>
        <w:tc>
          <w:tcPr>
            <w:tcW w:w="2451" w:type="pct"/>
            <w:vAlign w:val="center"/>
          </w:tcPr>
          <w:p w14:paraId="21C7D6E3" w14:textId="77777777" w:rsidR="003E78AB" w:rsidRDefault="00010BF9">
            <w:pPr>
              <w:pStyle w:val="TableParagraph"/>
              <w:topLinePunct/>
              <w:spacing w:beforeAutospacing="0" w:line="360" w:lineRule="exact"/>
              <w:ind w:firstLineChars="0" w:firstLine="0"/>
              <w:jc w:val="center"/>
              <w:rPr>
                <w:rFonts w:ascii="Times New Roman" w:hAnsi="Times New Roman" w:cs="Times New Roman"/>
                <w:sz w:val="21"/>
                <w:szCs w:val="21"/>
              </w:rPr>
            </w:pPr>
            <w:r>
              <w:rPr>
                <w:rFonts w:ascii="Times New Roman" w:eastAsia="Times New Roman" w:hAnsi="Times New Roman" w:cs="Times New Roman"/>
                <w:sz w:val="21"/>
                <w:szCs w:val="21"/>
              </w:rPr>
              <w:t>≤6</w:t>
            </w:r>
          </w:p>
        </w:tc>
        <w:tc>
          <w:tcPr>
            <w:tcW w:w="1736" w:type="pct"/>
            <w:vMerge/>
            <w:vAlign w:val="center"/>
          </w:tcPr>
          <w:p w14:paraId="0A8B75DF" w14:textId="77777777" w:rsidR="003E78AB" w:rsidRDefault="003E78AB">
            <w:pPr>
              <w:pStyle w:val="TableParagraph"/>
              <w:topLinePunct/>
              <w:spacing w:beforeAutospacing="0" w:line="360" w:lineRule="exact"/>
              <w:ind w:firstLineChars="0" w:firstLine="0"/>
              <w:jc w:val="center"/>
              <w:rPr>
                <w:rFonts w:ascii="Times New Roman" w:hAnsi="Times New Roman" w:cs="Times New Roman"/>
                <w:sz w:val="21"/>
                <w:szCs w:val="21"/>
              </w:rPr>
            </w:pPr>
          </w:p>
        </w:tc>
      </w:tr>
    </w:tbl>
    <w:p w14:paraId="58EFAA34" w14:textId="77777777" w:rsidR="003E78AB" w:rsidRDefault="00010BF9">
      <w:pPr>
        <w:ind w:firstLine="480"/>
        <w:rPr>
          <w:kern w:val="2"/>
        </w:rPr>
      </w:pPr>
      <w:r>
        <w:rPr>
          <w:kern w:val="2"/>
        </w:rPr>
        <w:t>本次环评结合公式法、查表法及项目所处的环境条件，所确定地下水调查评价范围为：场地东北侧</w:t>
      </w:r>
      <w:r>
        <w:rPr>
          <w:kern w:val="2"/>
        </w:rPr>
        <w:t>1km</w:t>
      </w:r>
      <w:r>
        <w:rPr>
          <w:kern w:val="2"/>
        </w:rPr>
        <w:t>处为地下水调查评价范围的上游边界；场地西南侧</w:t>
      </w:r>
      <w:r>
        <w:rPr>
          <w:kern w:val="2"/>
        </w:rPr>
        <w:t>3km</w:t>
      </w:r>
      <w:r>
        <w:rPr>
          <w:kern w:val="2"/>
        </w:rPr>
        <w:t>处</w:t>
      </w:r>
      <w:r>
        <w:rPr>
          <w:rFonts w:hint="eastAsia"/>
          <w:kern w:val="2"/>
        </w:rPr>
        <w:t>为</w:t>
      </w:r>
      <w:r>
        <w:rPr>
          <w:kern w:val="2"/>
        </w:rPr>
        <w:t>地下水调查评价范围的下游边界；西北、东南侧</w:t>
      </w:r>
      <w:r>
        <w:rPr>
          <w:kern w:val="2"/>
        </w:rPr>
        <w:t>1km</w:t>
      </w:r>
      <w:r>
        <w:rPr>
          <w:kern w:val="2"/>
        </w:rPr>
        <w:t>处为地下水调查评价范围的侧游边界，评价范围</w:t>
      </w:r>
      <w:r>
        <w:rPr>
          <w:kern w:val="2"/>
        </w:rPr>
        <w:t>8km</w:t>
      </w:r>
      <w:r>
        <w:rPr>
          <w:kern w:val="2"/>
          <w:vertAlign w:val="superscript"/>
        </w:rPr>
        <w:t>2</w:t>
      </w:r>
      <w:r>
        <w:rPr>
          <w:kern w:val="2"/>
        </w:rPr>
        <w:t>。</w:t>
      </w:r>
    </w:p>
    <w:p w14:paraId="7D61811A" w14:textId="77777777" w:rsidR="003E78AB" w:rsidRDefault="00010BF9">
      <w:pPr>
        <w:pStyle w:val="5"/>
        <w:keepNext w:val="0"/>
        <w:keepLines w:val="0"/>
        <w:ind w:firstLine="482"/>
        <w:rPr>
          <w:sz w:val="24"/>
        </w:rPr>
      </w:pPr>
      <w:r>
        <w:rPr>
          <w:rFonts w:hint="eastAsia"/>
          <w:sz w:val="24"/>
        </w:rPr>
        <w:t>3.</w:t>
      </w:r>
      <w:r>
        <w:rPr>
          <w:sz w:val="24"/>
        </w:rPr>
        <w:t>水文地质</w:t>
      </w:r>
    </w:p>
    <w:p w14:paraId="20A2B816" w14:textId="77777777" w:rsidR="003E78AB" w:rsidRDefault="00010BF9">
      <w:pPr>
        <w:ind w:firstLine="480"/>
        <w:rPr>
          <w:kern w:val="28"/>
        </w:rPr>
      </w:pPr>
      <w:r>
        <w:rPr>
          <w:kern w:val="28"/>
        </w:rPr>
        <w:t>①</w:t>
      </w:r>
      <w:r>
        <w:rPr>
          <w:kern w:val="28"/>
        </w:rPr>
        <w:t>地下水的赋存及分布特征</w:t>
      </w:r>
    </w:p>
    <w:p w14:paraId="1D7CDE5D" w14:textId="77777777" w:rsidR="003E78AB" w:rsidRDefault="00010BF9">
      <w:pPr>
        <w:ind w:firstLine="480"/>
        <w:rPr>
          <w:kern w:val="28"/>
        </w:rPr>
      </w:pPr>
      <w:r>
        <w:rPr>
          <w:kern w:val="28"/>
        </w:rPr>
        <w:t>南部循环经济产业园位于喀尔里克山南石城子河流域冲洪积细土平原中下部，为地下水的排泄区，地下水赋存于第四系松散冲洪积物孔隙中，形成第四系孔隙潜水及承压含水层组的双层结构含水层，该处地层岩性以细颗粒物质，含水层岩性为：第四系松散层厚度较薄，岩性以亚砂土，含砾亚砂土为主。</w:t>
      </w:r>
    </w:p>
    <w:p w14:paraId="5A6B5C5E" w14:textId="77777777" w:rsidR="003E78AB" w:rsidRDefault="00010BF9">
      <w:pPr>
        <w:ind w:firstLine="480"/>
        <w:rPr>
          <w:kern w:val="28"/>
        </w:rPr>
      </w:pPr>
      <w:r>
        <w:rPr>
          <w:kern w:val="28"/>
        </w:rPr>
        <w:t>②</w:t>
      </w:r>
      <w:r>
        <w:rPr>
          <w:kern w:val="28"/>
        </w:rPr>
        <w:t>含水层特征及富水性</w:t>
      </w:r>
    </w:p>
    <w:p w14:paraId="63C36008" w14:textId="77777777" w:rsidR="003E78AB" w:rsidRDefault="00010BF9">
      <w:pPr>
        <w:ind w:firstLine="480"/>
        <w:rPr>
          <w:kern w:val="28"/>
        </w:rPr>
      </w:pPr>
      <w:r>
        <w:rPr>
          <w:kern w:val="28"/>
        </w:rPr>
        <w:t>项目所在南部循环经济产业园内第四系厚度</w:t>
      </w:r>
      <w:r>
        <w:rPr>
          <w:kern w:val="28"/>
        </w:rPr>
        <w:t>35~40m</w:t>
      </w:r>
      <w:r>
        <w:rPr>
          <w:kern w:val="28"/>
        </w:rPr>
        <w:t>，水位埋深约</w:t>
      </w:r>
      <w:r>
        <w:rPr>
          <w:kern w:val="28"/>
        </w:rPr>
        <w:t>5m</w:t>
      </w:r>
      <w:r>
        <w:rPr>
          <w:kern w:val="28"/>
        </w:rPr>
        <w:t>，含水层厚度</w:t>
      </w:r>
      <w:r>
        <w:rPr>
          <w:kern w:val="28"/>
        </w:rPr>
        <w:t>30~35m</w:t>
      </w:r>
      <w:r>
        <w:rPr>
          <w:kern w:val="28"/>
        </w:rPr>
        <w:t>，潜水含水层岩性主要为中细砂。地下水径流速度缓慢，潜水含水层渗透系数</w:t>
      </w:r>
      <w:r>
        <w:rPr>
          <w:kern w:val="28"/>
        </w:rPr>
        <w:t>5m/d</w:t>
      </w:r>
      <w:r>
        <w:rPr>
          <w:kern w:val="28"/>
        </w:rPr>
        <w:t>，因第四系潜水含水层厚度较薄，水量中等，单井涌水量（换算</w:t>
      </w:r>
      <w:r>
        <w:rPr>
          <w:kern w:val="28"/>
        </w:rPr>
        <w:t>为井径</w:t>
      </w:r>
      <w:r>
        <w:rPr>
          <w:kern w:val="28"/>
        </w:rPr>
        <w:t>12</w:t>
      </w:r>
      <w:r>
        <w:rPr>
          <w:kern w:val="28"/>
        </w:rPr>
        <w:t>寸、降深</w:t>
      </w:r>
      <w:r>
        <w:rPr>
          <w:kern w:val="28"/>
        </w:rPr>
        <w:t>5m</w:t>
      </w:r>
      <w:r>
        <w:rPr>
          <w:kern w:val="28"/>
        </w:rPr>
        <w:t>）为</w:t>
      </w:r>
      <w:r>
        <w:rPr>
          <w:kern w:val="28"/>
        </w:rPr>
        <w:t>100~1000m</w:t>
      </w:r>
      <w:r>
        <w:rPr>
          <w:kern w:val="28"/>
          <w:vertAlign w:val="superscript"/>
        </w:rPr>
        <w:t>3</w:t>
      </w:r>
      <w:r>
        <w:rPr>
          <w:kern w:val="28"/>
        </w:rPr>
        <w:t>/d</w:t>
      </w:r>
      <w:r>
        <w:rPr>
          <w:kern w:val="28"/>
        </w:rPr>
        <w:t>，承压含水层水量贫乏，单井涌水量（换算为井径</w:t>
      </w:r>
      <w:r>
        <w:rPr>
          <w:kern w:val="28"/>
        </w:rPr>
        <w:t>12</w:t>
      </w:r>
      <w:r>
        <w:rPr>
          <w:kern w:val="28"/>
        </w:rPr>
        <w:t>寸、降深</w:t>
      </w:r>
      <w:r>
        <w:rPr>
          <w:kern w:val="28"/>
        </w:rPr>
        <w:t>5m</w:t>
      </w:r>
      <w:r>
        <w:rPr>
          <w:kern w:val="28"/>
        </w:rPr>
        <w:t>）小于</w:t>
      </w:r>
      <w:r>
        <w:rPr>
          <w:kern w:val="28"/>
        </w:rPr>
        <w:t>100m</w:t>
      </w:r>
      <w:r>
        <w:rPr>
          <w:kern w:val="28"/>
          <w:vertAlign w:val="superscript"/>
        </w:rPr>
        <w:t>3</w:t>
      </w:r>
      <w:r>
        <w:rPr>
          <w:kern w:val="28"/>
        </w:rPr>
        <w:t>/d</w:t>
      </w:r>
      <w:r>
        <w:rPr>
          <w:kern w:val="28"/>
        </w:rPr>
        <w:t>，渗透系数</w:t>
      </w:r>
      <w:r>
        <w:rPr>
          <w:kern w:val="28"/>
        </w:rPr>
        <w:t>4~6m/d</w:t>
      </w:r>
      <w:r>
        <w:rPr>
          <w:kern w:val="28"/>
        </w:rPr>
        <w:t>。</w:t>
      </w:r>
    </w:p>
    <w:p w14:paraId="59480399" w14:textId="77777777" w:rsidR="003E78AB" w:rsidRDefault="00010BF9">
      <w:pPr>
        <w:ind w:firstLine="480"/>
        <w:rPr>
          <w:kern w:val="28"/>
        </w:rPr>
      </w:pPr>
      <w:r>
        <w:rPr>
          <w:kern w:val="28"/>
        </w:rPr>
        <w:t>③</w:t>
      </w:r>
      <w:r>
        <w:rPr>
          <w:kern w:val="28"/>
        </w:rPr>
        <w:t>地下水的补给、径流、排泄条件</w:t>
      </w:r>
    </w:p>
    <w:p w14:paraId="3ABEE59D" w14:textId="77777777" w:rsidR="003E78AB" w:rsidRDefault="00010BF9">
      <w:pPr>
        <w:ind w:firstLine="480"/>
        <w:rPr>
          <w:kern w:val="28"/>
        </w:rPr>
      </w:pPr>
      <w:r>
        <w:rPr>
          <w:kern w:val="28"/>
        </w:rPr>
        <w:t>补给：南部循环经济产业园地下水的补给来源主要为上游地下水的侧向流入补给，其次为灌溉水垂向入渗补给。因该区降水量小蒸发大，无法形成有效降水量，对评价区地下水基本没有补给。</w:t>
      </w:r>
    </w:p>
    <w:p w14:paraId="487B9A7E" w14:textId="77777777" w:rsidR="003E78AB" w:rsidRDefault="00010BF9">
      <w:pPr>
        <w:ind w:firstLine="480"/>
        <w:rPr>
          <w:kern w:val="28"/>
        </w:rPr>
      </w:pPr>
      <w:r>
        <w:rPr>
          <w:kern w:val="28"/>
        </w:rPr>
        <w:t>径流：地下水的径流条件主要受地形地貌条件和含水介质所控制，区域内地下水整体流向为</w:t>
      </w:r>
      <w:r>
        <w:rPr>
          <w:kern w:val="28"/>
        </w:rPr>
        <w:t>N20°E</w:t>
      </w:r>
      <w:r>
        <w:rPr>
          <w:kern w:val="28"/>
        </w:rPr>
        <w:t>方向向</w:t>
      </w:r>
      <w:r>
        <w:rPr>
          <w:kern w:val="28"/>
        </w:rPr>
        <w:t>S20°W</w:t>
      </w:r>
      <w:r>
        <w:rPr>
          <w:kern w:val="28"/>
        </w:rPr>
        <w:t>流动。南部循环经济产业园流向与地形走向基本一致，</w:t>
      </w:r>
      <w:r>
        <w:rPr>
          <w:kern w:val="28"/>
        </w:rPr>
        <w:t>水力坡度</w:t>
      </w:r>
      <w:r>
        <w:rPr>
          <w:kern w:val="28"/>
        </w:rPr>
        <w:t>4‰</w:t>
      </w:r>
      <w:r>
        <w:rPr>
          <w:kern w:val="28"/>
        </w:rPr>
        <w:t>，渗透系数</w:t>
      </w:r>
      <w:r>
        <w:rPr>
          <w:kern w:val="28"/>
        </w:rPr>
        <w:t>5m/d</w:t>
      </w:r>
      <w:r>
        <w:rPr>
          <w:kern w:val="28"/>
        </w:rPr>
        <w:t>，地下水流场较为简单。</w:t>
      </w:r>
    </w:p>
    <w:p w14:paraId="48E2A12D" w14:textId="77777777" w:rsidR="003E78AB" w:rsidRDefault="00010BF9">
      <w:pPr>
        <w:ind w:firstLine="480"/>
        <w:rPr>
          <w:kern w:val="28"/>
        </w:rPr>
      </w:pPr>
      <w:r>
        <w:rPr>
          <w:kern w:val="28"/>
        </w:rPr>
        <w:t>排泄：区内地下水的排泄方式为地下水侧向流出排泄和人工开采。</w:t>
      </w:r>
    </w:p>
    <w:p w14:paraId="394E072D" w14:textId="77777777" w:rsidR="003E78AB" w:rsidRDefault="00010BF9">
      <w:pPr>
        <w:ind w:firstLine="480"/>
        <w:rPr>
          <w:kern w:val="28"/>
        </w:rPr>
      </w:pPr>
      <w:r>
        <w:rPr>
          <w:kern w:val="28"/>
        </w:rPr>
        <w:t>④</w:t>
      </w:r>
      <w:r>
        <w:rPr>
          <w:kern w:val="28"/>
        </w:rPr>
        <w:t>地下水化学特征</w:t>
      </w:r>
    </w:p>
    <w:p w14:paraId="01761C4C" w14:textId="77777777" w:rsidR="003E78AB" w:rsidRDefault="00010BF9">
      <w:pPr>
        <w:ind w:firstLine="480"/>
        <w:rPr>
          <w:kern w:val="28"/>
        </w:rPr>
      </w:pPr>
      <w:r>
        <w:rPr>
          <w:kern w:val="28"/>
        </w:rPr>
        <w:t>评价区地下水主要的补给来源为位于北部石城子沟河水的入渗，南部地下水化学类型为</w:t>
      </w:r>
      <w:r>
        <w:rPr>
          <w:kern w:val="28"/>
        </w:rPr>
        <w:t>SO</w:t>
      </w:r>
      <w:r>
        <w:rPr>
          <w:kern w:val="28"/>
          <w:vertAlign w:val="subscript"/>
        </w:rPr>
        <w:t>4</w:t>
      </w:r>
      <w:r>
        <w:rPr>
          <w:kern w:val="28"/>
        </w:rPr>
        <w:t>-Ca-Na</w:t>
      </w:r>
      <w:r>
        <w:rPr>
          <w:kern w:val="28"/>
        </w:rPr>
        <w:t>型水，地下水矿化度均小于</w:t>
      </w:r>
      <w:r>
        <w:rPr>
          <w:kern w:val="28"/>
        </w:rPr>
        <w:t>1g/L</w:t>
      </w:r>
      <w:r>
        <w:rPr>
          <w:kern w:val="28"/>
        </w:rPr>
        <w:t>。</w:t>
      </w:r>
    </w:p>
    <w:p w14:paraId="2B284602" w14:textId="77777777" w:rsidR="003E78AB" w:rsidRDefault="00010BF9">
      <w:pPr>
        <w:ind w:firstLine="480"/>
        <w:rPr>
          <w:kern w:val="28"/>
        </w:rPr>
      </w:pPr>
      <w:r>
        <w:rPr>
          <w:kern w:val="28"/>
        </w:rPr>
        <w:t>⑤</w:t>
      </w:r>
      <w:r>
        <w:rPr>
          <w:kern w:val="28"/>
        </w:rPr>
        <w:t>地下水动态</w:t>
      </w:r>
    </w:p>
    <w:p w14:paraId="43128F9F" w14:textId="77777777" w:rsidR="003E78AB" w:rsidRDefault="00010BF9">
      <w:pPr>
        <w:ind w:firstLine="480"/>
        <w:rPr>
          <w:kern w:val="28"/>
        </w:rPr>
      </w:pPr>
      <w:r>
        <w:rPr>
          <w:rFonts w:hint="eastAsia"/>
          <w:kern w:val="28"/>
        </w:rPr>
        <w:t>南</w:t>
      </w:r>
      <w:r>
        <w:rPr>
          <w:kern w:val="28"/>
        </w:rPr>
        <w:t>部循环经济产业园地下水位动态为开采</w:t>
      </w:r>
      <w:r>
        <w:rPr>
          <w:kern w:val="28"/>
        </w:rPr>
        <w:t>——</w:t>
      </w:r>
      <w:r>
        <w:rPr>
          <w:kern w:val="28"/>
        </w:rPr>
        <w:t>蒸发型，地下水位动态变化与上游及周边地区过量开采地下水有直接关系。地下水位呈逐年连续性下降。</w:t>
      </w:r>
    </w:p>
    <w:p w14:paraId="3A1CA463" w14:textId="77777777" w:rsidR="003E78AB" w:rsidRDefault="00010BF9">
      <w:pPr>
        <w:ind w:firstLine="480"/>
        <w:rPr>
          <w:kern w:val="28"/>
        </w:rPr>
      </w:pPr>
      <w:r>
        <w:rPr>
          <w:kern w:val="28"/>
        </w:rPr>
        <w:t>区域水文地质见</w:t>
      </w:r>
      <w:r>
        <w:rPr>
          <w:kern w:val="28"/>
        </w:rPr>
        <w:fldChar w:fldCharType="begin"/>
      </w:r>
      <w:r>
        <w:rPr>
          <w:kern w:val="28"/>
        </w:rPr>
        <w:instrText xml:space="preserve"> REF _Ref19661 \r \h </w:instrText>
      </w:r>
      <w:r>
        <w:rPr>
          <w:kern w:val="28"/>
        </w:rPr>
      </w:r>
      <w:r>
        <w:rPr>
          <w:kern w:val="28"/>
        </w:rPr>
        <w:fldChar w:fldCharType="separate"/>
      </w:r>
      <w:r>
        <w:rPr>
          <w:kern w:val="28"/>
        </w:rPr>
        <w:t>图</w:t>
      </w:r>
      <w:r>
        <w:rPr>
          <w:kern w:val="28"/>
        </w:rPr>
        <w:t>5-17</w:t>
      </w:r>
      <w:r>
        <w:rPr>
          <w:kern w:val="28"/>
        </w:rPr>
        <w:fldChar w:fldCharType="end"/>
      </w:r>
      <w:r>
        <w:rPr>
          <w:kern w:val="28"/>
        </w:rPr>
        <w:t>。</w:t>
      </w:r>
    </w:p>
    <w:p w14:paraId="77DB2F0C" w14:textId="77777777" w:rsidR="003E78AB" w:rsidRDefault="003E78AB">
      <w:pPr>
        <w:ind w:firstLine="480"/>
        <w:rPr>
          <w:kern w:val="28"/>
        </w:rPr>
        <w:sectPr w:rsidR="003E78AB">
          <w:pgSz w:w="11906" w:h="16838"/>
          <w:pgMar w:top="1440" w:right="1803" w:bottom="1440" w:left="1803" w:header="851" w:footer="992" w:gutter="0"/>
          <w:cols w:space="720"/>
          <w:docGrid w:linePitch="312"/>
        </w:sectPr>
      </w:pPr>
    </w:p>
    <w:p w14:paraId="2EA8CB55" w14:textId="77777777" w:rsidR="003E78AB" w:rsidRDefault="00010BF9">
      <w:pPr>
        <w:pStyle w:val="a9"/>
        <w:spacing w:before="120"/>
        <w:sectPr w:rsidR="003E78AB">
          <w:pgSz w:w="16838" w:h="11906" w:orient="landscape"/>
          <w:pgMar w:top="1985" w:right="1440" w:bottom="1701" w:left="1440" w:header="851" w:footer="992" w:gutter="0"/>
          <w:cols w:space="720"/>
          <w:docGrid w:linePitch="312"/>
        </w:sectPr>
      </w:pPr>
      <w:bookmarkStart w:id="386" w:name="_Ref19661"/>
      <w:r>
        <w:rPr>
          <w:noProof/>
        </w:rPr>
        <w:drawing>
          <wp:anchor distT="0" distB="0" distL="114300" distR="114300" simplePos="0" relativeHeight="251674624" behindDoc="0" locked="0" layoutInCell="1" allowOverlap="1">
            <wp:simplePos x="0" y="0"/>
            <wp:positionH relativeFrom="column">
              <wp:posOffset>432435</wp:posOffset>
            </wp:positionH>
            <wp:positionV relativeFrom="paragraph">
              <wp:posOffset>-445135</wp:posOffset>
            </wp:positionV>
            <wp:extent cx="7997825" cy="5653405"/>
            <wp:effectExtent l="0" t="0" r="3175" b="4445"/>
            <wp:wrapTopAndBottom/>
            <wp:docPr id="19" name="图片 19" descr="C:/Users/Admin/Desktop/水文地质.jpg水文地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水文地质.jpg水文地质"/>
                    <pic:cNvPicPr>
                      <a:picLocks noChangeAspect="1"/>
                    </pic:cNvPicPr>
                  </pic:nvPicPr>
                  <pic:blipFill>
                    <a:blip r:embed="rId83"/>
                    <a:srcRect t="16" b="16"/>
                    <a:stretch>
                      <a:fillRect/>
                    </a:stretch>
                  </pic:blipFill>
                  <pic:spPr>
                    <a:xfrm>
                      <a:off x="0" y="0"/>
                      <a:ext cx="7997825" cy="5653405"/>
                    </a:xfrm>
                    <a:prstGeom prst="rect">
                      <a:avLst/>
                    </a:prstGeom>
                  </pic:spPr>
                </pic:pic>
              </a:graphicData>
            </a:graphic>
          </wp:anchor>
        </w:drawing>
      </w:r>
      <w:r>
        <w:t>项目所在区域水文地质图</w:t>
      </w:r>
      <w:bookmarkEnd w:id="386"/>
    </w:p>
    <w:p w14:paraId="1C8D4BFB" w14:textId="77777777" w:rsidR="003E78AB" w:rsidRDefault="00010BF9">
      <w:pPr>
        <w:pStyle w:val="5"/>
        <w:keepNext w:val="0"/>
        <w:keepLines w:val="0"/>
        <w:ind w:firstLine="482"/>
        <w:rPr>
          <w:sz w:val="24"/>
        </w:rPr>
      </w:pPr>
      <w:r>
        <w:rPr>
          <w:rFonts w:hint="eastAsia"/>
          <w:sz w:val="24"/>
        </w:rPr>
        <w:t>4.</w:t>
      </w:r>
      <w:r>
        <w:rPr>
          <w:sz w:val="24"/>
        </w:rPr>
        <w:t>正常工况下地下水影响分析</w:t>
      </w:r>
    </w:p>
    <w:p w14:paraId="73A89653" w14:textId="77777777" w:rsidR="003E78AB" w:rsidRDefault="00010BF9">
      <w:pPr>
        <w:ind w:firstLine="480"/>
        <w:contextualSpacing/>
      </w:pPr>
      <w:r>
        <w:t>①</w:t>
      </w:r>
      <w:r>
        <w:t>主要污染源</w:t>
      </w:r>
    </w:p>
    <w:p w14:paraId="259BEC8F" w14:textId="77777777" w:rsidR="003E78AB" w:rsidRDefault="00010BF9">
      <w:pPr>
        <w:ind w:firstLine="482"/>
        <w:contextualSpacing/>
      </w:pPr>
      <w:r>
        <w:rPr>
          <w:b/>
          <w:bCs/>
          <w:u w:val="single"/>
        </w:rPr>
        <w:t>项目区对地下水的影响主要是项目工艺废气淋洗设施的淋洗液</w:t>
      </w:r>
      <w:r>
        <w:rPr>
          <w:b/>
          <w:bCs/>
          <w:u w:val="single"/>
        </w:rPr>
        <w:t>/</w:t>
      </w:r>
      <w:r>
        <w:rPr>
          <w:b/>
          <w:bCs/>
          <w:u w:val="single"/>
        </w:rPr>
        <w:t>水循环水箱发生泄漏后废水下渗对地下水的影响</w:t>
      </w:r>
      <w:r>
        <w:t>，污染物会逐渐下渗影响地下水。</w:t>
      </w:r>
    </w:p>
    <w:p w14:paraId="69CEEDE8" w14:textId="77777777" w:rsidR="003E78AB" w:rsidRDefault="00010BF9">
      <w:pPr>
        <w:ind w:firstLine="480"/>
        <w:contextualSpacing/>
      </w:pPr>
      <w:r>
        <w:t>②</w:t>
      </w:r>
      <w:r>
        <w:t>主要污染途径</w:t>
      </w:r>
    </w:p>
    <w:p w14:paraId="4289D3D1" w14:textId="77777777" w:rsidR="003E78AB" w:rsidRDefault="00010BF9">
      <w:pPr>
        <w:ind w:firstLine="480"/>
        <w:contextualSpacing/>
      </w:pPr>
      <w:r>
        <w:t>根据地下水地质条件、地下水补给、径流条件和排洪特点，分析本项目废水排放情况，可能造成的地下水污染途</w:t>
      </w:r>
      <w:r>
        <w:t>径有以下几种途径：</w:t>
      </w:r>
    </w:p>
    <w:p w14:paraId="3C8FE067" w14:textId="77777777" w:rsidR="003E78AB" w:rsidRDefault="00010BF9">
      <w:pPr>
        <w:ind w:firstLine="480"/>
        <w:contextualSpacing/>
      </w:pPr>
      <w:r>
        <w:t>A</w:t>
      </w:r>
      <w:r>
        <w:t>、项目生产区及废水处置设施发生破损，造成废水泄漏下渗；</w:t>
      </w:r>
    </w:p>
    <w:p w14:paraId="76A0A356" w14:textId="77777777" w:rsidR="003E78AB" w:rsidRDefault="00010BF9">
      <w:pPr>
        <w:ind w:firstLine="480"/>
        <w:contextualSpacing/>
      </w:pPr>
      <w:r>
        <w:t>B</w:t>
      </w:r>
      <w:r>
        <w:t>、对浅层地下水的污染影响</w:t>
      </w:r>
    </w:p>
    <w:p w14:paraId="0BA704DE" w14:textId="77777777" w:rsidR="003E78AB" w:rsidRDefault="00010BF9">
      <w:pPr>
        <w:ind w:firstLine="480"/>
        <w:contextualSpacing/>
      </w:pPr>
      <w:r>
        <w:t>正常情况下，对地下水的污染主要是由于污染物迁移穿过包气带进入含水层造成。拟建项目所在区域地质渗透率较大，且项目废水处置措施、危险废物库房等将采取防渗防漏措施。若污染物泄漏下渗穿过包气带进入浅层地下水，将对浅层地下水产生污染影响。</w:t>
      </w:r>
    </w:p>
    <w:p w14:paraId="21727E69" w14:textId="77777777" w:rsidR="003E78AB" w:rsidRDefault="00010BF9">
      <w:pPr>
        <w:ind w:firstLine="480"/>
        <w:contextualSpacing/>
      </w:pPr>
      <w:r>
        <w:t>C</w:t>
      </w:r>
      <w:r>
        <w:t>、对深层地下水的污染影响</w:t>
      </w:r>
    </w:p>
    <w:p w14:paraId="406839BE" w14:textId="77777777" w:rsidR="003E78AB" w:rsidRDefault="00010BF9">
      <w:pPr>
        <w:ind w:firstLine="480"/>
        <w:contextualSpacing/>
      </w:pPr>
      <w:r>
        <w:t>判断深层地下水是否会受到污染影响，通常分析深层地下水含水层上覆地层的防污性能和有无与浅层地下水的水力联系。项目评价区域地下水埋深较深，因此，深层地下</w:t>
      </w:r>
      <w:r>
        <w:t>水受下渗污水的污染影响较小。</w:t>
      </w:r>
    </w:p>
    <w:p w14:paraId="797BFF51" w14:textId="77777777" w:rsidR="003E78AB" w:rsidRDefault="00010BF9">
      <w:pPr>
        <w:ind w:firstLine="480"/>
        <w:contextualSpacing/>
      </w:pPr>
      <w:r>
        <w:t>③</w:t>
      </w:r>
      <w:r>
        <w:t>地下水影响分析</w:t>
      </w:r>
    </w:p>
    <w:p w14:paraId="24FEC9B4" w14:textId="77777777" w:rsidR="003E78AB" w:rsidRDefault="00010BF9">
      <w:pPr>
        <w:ind w:firstLine="480"/>
        <w:contextualSpacing/>
      </w:pPr>
      <w:r>
        <w:t>本项目生产区采取重点</w:t>
      </w:r>
      <w:r>
        <w:t>/</w:t>
      </w:r>
      <w:r>
        <w:t>一般防渗区设计，原料仓库、生产车间、</w:t>
      </w:r>
      <w:r>
        <w:rPr>
          <w:rFonts w:hint="eastAsia"/>
        </w:rPr>
        <w:t>液体库</w:t>
      </w:r>
      <w:r>
        <w:t>等已按照《环境影响评价技术导则</w:t>
      </w:r>
      <w:r>
        <w:rPr>
          <w:rFonts w:hint="eastAsia"/>
        </w:rPr>
        <w:t xml:space="preserve"> </w:t>
      </w:r>
      <w:r>
        <w:t>地下水环境》（</w:t>
      </w:r>
      <w:r>
        <w:t>HJ610-2016</w:t>
      </w:r>
      <w:r>
        <w:t>）中重点防渗区的要求进行防渗，不会对地下水质量造成影响。</w:t>
      </w:r>
    </w:p>
    <w:p w14:paraId="5D8CBADB" w14:textId="77777777" w:rsidR="003E78AB" w:rsidRDefault="00010BF9">
      <w:pPr>
        <w:ind w:firstLine="480"/>
        <w:contextualSpacing/>
      </w:pPr>
      <w:r>
        <w:t>在正常状况下，本项目场地地下水包气带及地下水污染可能性较小。</w:t>
      </w:r>
    </w:p>
    <w:p w14:paraId="7AE953CC" w14:textId="77777777" w:rsidR="003E78AB" w:rsidRDefault="00010BF9">
      <w:pPr>
        <w:pStyle w:val="5"/>
        <w:keepNext w:val="0"/>
        <w:keepLines w:val="0"/>
        <w:ind w:firstLine="482"/>
        <w:rPr>
          <w:sz w:val="24"/>
        </w:rPr>
      </w:pPr>
      <w:r>
        <w:rPr>
          <w:rFonts w:hint="eastAsia"/>
          <w:sz w:val="24"/>
        </w:rPr>
        <w:t>5.</w:t>
      </w:r>
      <w:r>
        <w:rPr>
          <w:sz w:val="24"/>
        </w:rPr>
        <w:t>非正常工况下地下水影响分析</w:t>
      </w:r>
    </w:p>
    <w:p w14:paraId="6440BD0E" w14:textId="77777777" w:rsidR="003E78AB" w:rsidRDefault="00010BF9">
      <w:pPr>
        <w:ind w:firstLine="480"/>
        <w:contextualSpacing/>
      </w:pPr>
      <w:r>
        <w:t>①</w:t>
      </w:r>
      <w:r>
        <w:t>预设情景</w:t>
      </w:r>
    </w:p>
    <w:p w14:paraId="22A1BD58" w14:textId="77777777" w:rsidR="003E78AB" w:rsidRDefault="00010BF9">
      <w:pPr>
        <w:ind w:firstLine="480"/>
        <w:contextualSpacing/>
      </w:pPr>
      <w:r>
        <w:t>项目事故排放分为短期大量排放及长期少量排放两类。短期大量排放</w:t>
      </w:r>
      <w:r>
        <w:rPr>
          <w:rFonts w:hint="eastAsia"/>
        </w:rPr>
        <w:t>（</w:t>
      </w:r>
      <w:r>
        <w:t>如突发性事故引起的管线破裂或管线阻塞而造成溢流</w:t>
      </w:r>
      <w:r>
        <w:rPr>
          <w:rFonts w:hint="eastAsia"/>
        </w:rPr>
        <w:t>）</w:t>
      </w:r>
      <w:r>
        <w:t>，一般能及时发现，并可通过一定方法加以控制，因此，一般短期排</w:t>
      </w:r>
      <w:r>
        <w:t>放不会造成地下水污染；而长期较少量排放，一般较难发现，长期泄漏可对地下水产生一定影响。因此，在设计、施工和运行过程中，必须严格控制厂区废水的无组织泄漏，地面进行硬化防渗处理，在设计、施工过程严把质量关，运行过程中强化监控，严格管理，杜绝厂区存在长期事故性泄漏排放的存在。</w:t>
      </w:r>
    </w:p>
    <w:p w14:paraId="31E9AB17" w14:textId="77777777" w:rsidR="003E78AB" w:rsidRDefault="00010BF9">
      <w:pPr>
        <w:ind w:firstLine="480"/>
        <w:contextualSpacing/>
      </w:pPr>
      <w:r>
        <w:t>项目运营期间各类生产设施均采取了相应防渗措施，本次环评考虑事故状态，</w:t>
      </w:r>
      <w:r>
        <w:rPr>
          <w:rFonts w:hint="eastAsia"/>
        </w:rPr>
        <w:t>工艺废气淋洗设施的淋洗液</w:t>
      </w:r>
      <w:r>
        <w:rPr>
          <w:rFonts w:hint="eastAsia"/>
        </w:rPr>
        <w:t>/</w:t>
      </w:r>
      <w:r>
        <w:rPr>
          <w:rFonts w:hint="eastAsia"/>
        </w:rPr>
        <w:t>水循环水箱</w:t>
      </w:r>
      <w:r>
        <w:t>发生破损在未被及时发现的情况下，造成废水持续泄漏作为主要预测情景，对地下水污染物在不同时段的运移距离、超标范围进行模拟预测。</w:t>
      </w:r>
    </w:p>
    <w:p w14:paraId="6C556E30" w14:textId="77777777" w:rsidR="003E78AB" w:rsidRDefault="00010BF9">
      <w:pPr>
        <w:ind w:firstLine="480"/>
        <w:rPr>
          <w:kern w:val="28"/>
        </w:rPr>
      </w:pPr>
      <w:r>
        <w:t>A</w:t>
      </w:r>
      <w:r>
        <w:t>、预测范</w:t>
      </w:r>
      <w:r>
        <w:t>围及预测时间</w:t>
      </w:r>
    </w:p>
    <w:p w14:paraId="247129AA" w14:textId="77777777" w:rsidR="003E78AB" w:rsidRDefault="00010BF9">
      <w:pPr>
        <w:ind w:firstLine="480"/>
        <w:rPr>
          <w:kern w:val="28"/>
        </w:rPr>
      </w:pPr>
      <w:r>
        <w:rPr>
          <w:kern w:val="28"/>
        </w:rPr>
        <w:t>根据《环境影响评价技术导则</w:t>
      </w:r>
      <w:r>
        <w:rPr>
          <w:rFonts w:hint="eastAsia"/>
          <w:kern w:val="28"/>
        </w:rPr>
        <w:t xml:space="preserve"> </w:t>
      </w:r>
      <w:r>
        <w:rPr>
          <w:kern w:val="28"/>
        </w:rPr>
        <w:t>地下水环境》（</w:t>
      </w:r>
      <w:r>
        <w:rPr>
          <w:kern w:val="28"/>
        </w:rPr>
        <w:t>HJ610-2016</w:t>
      </w:r>
      <w:r>
        <w:rPr>
          <w:kern w:val="28"/>
        </w:rPr>
        <w:t>）第</w:t>
      </w:r>
      <w:r>
        <w:rPr>
          <w:kern w:val="28"/>
        </w:rPr>
        <w:t>9.3</w:t>
      </w:r>
      <w:r>
        <w:rPr>
          <w:kern w:val="28"/>
        </w:rPr>
        <w:t>节要求，地下水环境影响评价预测时段应选取可能产生地下水污染的关键时段，至少包括污染发生后</w:t>
      </w:r>
      <w:r>
        <w:rPr>
          <w:kern w:val="28"/>
        </w:rPr>
        <w:t>100d</w:t>
      </w:r>
      <w:r>
        <w:rPr>
          <w:kern w:val="28"/>
        </w:rPr>
        <w:t>、</w:t>
      </w:r>
      <w:r>
        <w:rPr>
          <w:kern w:val="28"/>
        </w:rPr>
        <w:t>1000d</w:t>
      </w:r>
      <w:r>
        <w:rPr>
          <w:kern w:val="28"/>
        </w:rPr>
        <w:t>，服务年限或能反映特征因子迁移规律的其他重要的时间节点。故分别预测污染物进入潜水含水层后第</w:t>
      </w:r>
      <w:r>
        <w:rPr>
          <w:kern w:val="28"/>
        </w:rPr>
        <w:t>100d</w:t>
      </w:r>
      <w:r>
        <w:rPr>
          <w:kern w:val="28"/>
        </w:rPr>
        <w:t>、</w:t>
      </w:r>
      <w:r>
        <w:rPr>
          <w:kern w:val="28"/>
        </w:rPr>
        <w:t>365d</w:t>
      </w:r>
      <w:r>
        <w:rPr>
          <w:kern w:val="28"/>
        </w:rPr>
        <w:t>、</w:t>
      </w:r>
      <w:r>
        <w:rPr>
          <w:kern w:val="28"/>
        </w:rPr>
        <w:t>1000d</w:t>
      </w:r>
      <w:r>
        <w:rPr>
          <w:kern w:val="28"/>
        </w:rPr>
        <w:t>。</w:t>
      </w:r>
    </w:p>
    <w:p w14:paraId="24582CE9" w14:textId="77777777" w:rsidR="003E78AB" w:rsidRDefault="00010BF9">
      <w:pPr>
        <w:ind w:firstLine="480"/>
        <w:rPr>
          <w:kern w:val="28"/>
        </w:rPr>
      </w:pPr>
      <w:r>
        <w:rPr>
          <w:kern w:val="28"/>
        </w:rPr>
        <w:t>B</w:t>
      </w:r>
      <w:r>
        <w:rPr>
          <w:kern w:val="28"/>
        </w:rPr>
        <w:t>、预测因子及预测标准</w:t>
      </w:r>
    </w:p>
    <w:p w14:paraId="65BFAB6D" w14:textId="77777777" w:rsidR="003E78AB" w:rsidRDefault="00010BF9">
      <w:pPr>
        <w:ind w:firstLine="480"/>
        <w:rPr>
          <w:kern w:val="2"/>
        </w:rPr>
      </w:pPr>
      <w:r>
        <w:rPr>
          <w:kern w:val="2"/>
        </w:rPr>
        <w:t>根据工程分析内容，</w:t>
      </w:r>
      <w:r>
        <w:rPr>
          <w:rFonts w:hint="eastAsia"/>
        </w:rPr>
        <w:t>工艺废气淋洗设施的淋洗液</w:t>
      </w:r>
      <w:r>
        <w:rPr>
          <w:rFonts w:hint="eastAsia"/>
        </w:rPr>
        <w:t>/</w:t>
      </w:r>
      <w:r>
        <w:rPr>
          <w:rFonts w:hint="eastAsia"/>
        </w:rPr>
        <w:t>水循环水箱</w:t>
      </w:r>
      <w:r>
        <w:rPr>
          <w:kern w:val="2"/>
        </w:rPr>
        <w:t>中主要为</w:t>
      </w:r>
      <w:r>
        <w:rPr>
          <w:rFonts w:hint="eastAsia"/>
          <w:kern w:val="2"/>
        </w:rPr>
        <w:t>淋洗下的生产工艺废水和碱液循环浓缩</w:t>
      </w:r>
      <w:r>
        <w:rPr>
          <w:kern w:val="2"/>
        </w:rPr>
        <w:t>，废水中包含主要污染物</w:t>
      </w:r>
      <w:r>
        <w:rPr>
          <w:kern w:val="2"/>
        </w:rPr>
        <w:t>CODcr</w:t>
      </w:r>
      <w:r>
        <w:rPr>
          <w:rFonts w:hint="eastAsia"/>
          <w:kern w:val="2"/>
        </w:rPr>
        <w:t>、氨氮、硫酸盐、磷酸盐等。</w:t>
      </w:r>
    </w:p>
    <w:p w14:paraId="05206B10" w14:textId="77777777" w:rsidR="003E78AB" w:rsidRDefault="00010BF9">
      <w:pPr>
        <w:ind w:firstLine="480"/>
        <w:rPr>
          <w:kern w:val="28"/>
        </w:rPr>
      </w:pPr>
      <w:r>
        <w:rPr>
          <w:kern w:val="28"/>
        </w:rPr>
        <w:t>依据导则要求预测因子需按照重金属、持久性有机物和其他类别污染物进行分类。本项目涉及重金属和其他类别两种类别，再分别采用标准指数法对每一类别中各项因子进行排序，取各类别中标准指数最大的因子作为预测因子。</w:t>
      </w:r>
    </w:p>
    <w:p w14:paraId="47B7FEF5" w14:textId="77777777" w:rsidR="003E78AB" w:rsidRDefault="00010BF9">
      <w:pPr>
        <w:pStyle w:val="a4"/>
        <w:spacing w:before="120"/>
        <w:ind w:left="425" w:hanging="425"/>
      </w:pPr>
      <w:r>
        <w:t>地下水预测因子确定一览表</w:t>
      </w:r>
    </w:p>
    <w:p w14:paraId="78BCD50B" w14:textId="77777777" w:rsidR="003E78AB" w:rsidRDefault="003E78AB">
      <w:pPr>
        <w:spacing w:line="48" w:lineRule="auto"/>
        <w:ind w:firstLine="40"/>
        <w:rPr>
          <w:rFonts w:ascii="Arial"/>
          <w:sz w:val="2"/>
        </w:rPr>
      </w:pPr>
    </w:p>
    <w:tbl>
      <w:tblPr>
        <w:tblStyle w:val="TableNormal"/>
        <w:tblW w:w="501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169"/>
        <w:gridCol w:w="1244"/>
        <w:gridCol w:w="1016"/>
        <w:gridCol w:w="1011"/>
        <w:gridCol w:w="684"/>
        <w:gridCol w:w="1849"/>
      </w:tblGrid>
      <w:tr w:rsidR="003E78AB" w14:paraId="6F10BAF0" w14:textId="77777777">
        <w:trPr>
          <w:trHeight w:val="560"/>
          <w:tblHeader/>
        </w:trPr>
        <w:tc>
          <w:tcPr>
            <w:tcW w:w="813" w:type="pct"/>
            <w:vAlign w:val="center"/>
          </w:tcPr>
          <w:p w14:paraId="7F45F13E" w14:textId="77777777" w:rsidR="003E78AB" w:rsidRDefault="00010BF9">
            <w:pPr>
              <w:pStyle w:val="aff6"/>
              <w:topLinePunct/>
              <w:rPr>
                <w:b/>
                <w:bCs/>
              </w:rPr>
            </w:pPr>
            <w:r>
              <w:rPr>
                <w:b/>
                <w:bCs/>
              </w:rPr>
              <w:t>泄漏位置</w:t>
            </w:r>
          </w:p>
        </w:tc>
        <w:tc>
          <w:tcPr>
            <w:tcW w:w="702" w:type="pct"/>
            <w:vAlign w:val="center"/>
          </w:tcPr>
          <w:p w14:paraId="3944C73E" w14:textId="77777777" w:rsidR="003E78AB" w:rsidRDefault="00010BF9">
            <w:pPr>
              <w:pStyle w:val="aff6"/>
              <w:topLinePunct/>
              <w:rPr>
                <w:b/>
                <w:bCs/>
              </w:rPr>
            </w:pPr>
            <w:r>
              <w:rPr>
                <w:b/>
                <w:bCs/>
              </w:rPr>
              <w:t>类别</w:t>
            </w:r>
          </w:p>
        </w:tc>
        <w:tc>
          <w:tcPr>
            <w:tcW w:w="747" w:type="pct"/>
            <w:vAlign w:val="center"/>
          </w:tcPr>
          <w:p w14:paraId="1E9C68C5" w14:textId="77777777" w:rsidR="003E78AB" w:rsidRDefault="00010BF9">
            <w:pPr>
              <w:pStyle w:val="aff6"/>
              <w:topLinePunct/>
              <w:rPr>
                <w:b/>
                <w:bCs/>
              </w:rPr>
            </w:pPr>
            <w:r>
              <w:rPr>
                <w:b/>
                <w:bCs/>
              </w:rPr>
              <w:t>特征污染物</w:t>
            </w:r>
          </w:p>
        </w:tc>
        <w:tc>
          <w:tcPr>
            <w:tcW w:w="610" w:type="pct"/>
            <w:vAlign w:val="center"/>
          </w:tcPr>
          <w:p w14:paraId="716C1FD6" w14:textId="77777777" w:rsidR="003E78AB" w:rsidRDefault="00010BF9">
            <w:pPr>
              <w:pStyle w:val="aff6"/>
              <w:topLinePunct/>
              <w:rPr>
                <w:b/>
                <w:bCs/>
              </w:rPr>
            </w:pPr>
            <w:r>
              <w:rPr>
                <w:b/>
                <w:bCs/>
              </w:rPr>
              <w:t>废水浓度</w:t>
            </w:r>
            <w:r>
              <w:rPr>
                <w:b/>
                <w:bCs/>
              </w:rPr>
              <w:t>(mg/L)</w:t>
            </w:r>
          </w:p>
        </w:tc>
        <w:tc>
          <w:tcPr>
            <w:tcW w:w="607" w:type="pct"/>
            <w:vAlign w:val="center"/>
          </w:tcPr>
          <w:p w14:paraId="5C0E3F83" w14:textId="77777777" w:rsidR="003E78AB" w:rsidRDefault="00010BF9">
            <w:pPr>
              <w:pStyle w:val="aff6"/>
              <w:topLinePunct/>
              <w:rPr>
                <w:b/>
                <w:bCs/>
              </w:rPr>
            </w:pPr>
            <w:r>
              <w:rPr>
                <w:b/>
                <w:bCs/>
              </w:rPr>
              <w:t>标准限值</w:t>
            </w:r>
            <w:r>
              <w:rPr>
                <w:b/>
                <w:bCs/>
              </w:rPr>
              <w:t>(mg/L)</w:t>
            </w:r>
          </w:p>
        </w:tc>
        <w:tc>
          <w:tcPr>
            <w:tcW w:w="411" w:type="pct"/>
            <w:vAlign w:val="center"/>
          </w:tcPr>
          <w:p w14:paraId="29A77EA6" w14:textId="77777777" w:rsidR="003E78AB" w:rsidRDefault="00010BF9">
            <w:pPr>
              <w:pStyle w:val="aff6"/>
              <w:topLinePunct/>
              <w:rPr>
                <w:b/>
                <w:bCs/>
              </w:rPr>
            </w:pPr>
            <w:r>
              <w:rPr>
                <w:b/>
                <w:bCs/>
              </w:rPr>
              <w:t>标准</w:t>
            </w:r>
          </w:p>
          <w:p w14:paraId="19B27C06" w14:textId="77777777" w:rsidR="003E78AB" w:rsidRDefault="00010BF9">
            <w:pPr>
              <w:pStyle w:val="aff6"/>
              <w:topLinePunct/>
              <w:rPr>
                <w:b/>
                <w:bCs/>
              </w:rPr>
            </w:pPr>
            <w:r>
              <w:rPr>
                <w:b/>
                <w:bCs/>
              </w:rPr>
              <w:t>指数</w:t>
            </w:r>
          </w:p>
        </w:tc>
        <w:tc>
          <w:tcPr>
            <w:tcW w:w="1107" w:type="pct"/>
            <w:vAlign w:val="center"/>
          </w:tcPr>
          <w:p w14:paraId="6F4CC439" w14:textId="77777777" w:rsidR="003E78AB" w:rsidRDefault="00010BF9">
            <w:pPr>
              <w:pStyle w:val="aff6"/>
              <w:topLinePunct/>
              <w:rPr>
                <w:b/>
                <w:bCs/>
              </w:rPr>
            </w:pPr>
            <w:r>
              <w:rPr>
                <w:b/>
                <w:bCs/>
              </w:rPr>
              <w:t>参照标准</w:t>
            </w:r>
          </w:p>
        </w:tc>
      </w:tr>
      <w:tr w:rsidR="003E78AB" w14:paraId="4D073695" w14:textId="77777777">
        <w:trPr>
          <w:trHeight w:val="401"/>
        </w:trPr>
        <w:tc>
          <w:tcPr>
            <w:tcW w:w="813" w:type="pct"/>
            <w:vMerge w:val="restart"/>
            <w:vAlign w:val="center"/>
          </w:tcPr>
          <w:p w14:paraId="6FE06951" w14:textId="77777777" w:rsidR="003E78AB" w:rsidRDefault="00010BF9">
            <w:pPr>
              <w:pStyle w:val="aff6"/>
              <w:topLinePunct/>
            </w:pPr>
            <w:r>
              <w:rPr>
                <w:rFonts w:hint="eastAsia"/>
              </w:rPr>
              <w:t>工艺废气淋洗设施的淋洗液</w:t>
            </w:r>
            <w:r>
              <w:rPr>
                <w:rFonts w:hint="eastAsia"/>
              </w:rPr>
              <w:t>/</w:t>
            </w:r>
            <w:r>
              <w:rPr>
                <w:rFonts w:hint="eastAsia"/>
              </w:rPr>
              <w:t>水循环水箱</w:t>
            </w:r>
          </w:p>
        </w:tc>
        <w:tc>
          <w:tcPr>
            <w:tcW w:w="702" w:type="pct"/>
            <w:vAlign w:val="center"/>
          </w:tcPr>
          <w:p w14:paraId="0F354A6E" w14:textId="77777777" w:rsidR="003E78AB" w:rsidRDefault="00010BF9">
            <w:pPr>
              <w:pStyle w:val="aff6"/>
              <w:topLinePunct/>
            </w:pPr>
            <w:r>
              <w:t>重金属</w:t>
            </w:r>
          </w:p>
        </w:tc>
        <w:tc>
          <w:tcPr>
            <w:tcW w:w="747" w:type="pct"/>
            <w:vAlign w:val="center"/>
          </w:tcPr>
          <w:p w14:paraId="0A751723" w14:textId="77777777" w:rsidR="003E78AB" w:rsidRDefault="00010BF9">
            <w:pPr>
              <w:pStyle w:val="aff6"/>
              <w:topLinePunct/>
            </w:pPr>
            <w:r>
              <w:t>钒</w:t>
            </w:r>
          </w:p>
        </w:tc>
        <w:tc>
          <w:tcPr>
            <w:tcW w:w="610" w:type="pct"/>
            <w:vAlign w:val="center"/>
          </w:tcPr>
          <w:p w14:paraId="49053D88" w14:textId="77777777" w:rsidR="003E78AB" w:rsidRDefault="00010BF9">
            <w:pPr>
              <w:pStyle w:val="aff6"/>
              <w:topLinePunct/>
            </w:pPr>
            <w:r>
              <w:rPr>
                <w:rFonts w:hint="eastAsia"/>
              </w:rPr>
              <w:t>12.1</w:t>
            </w:r>
          </w:p>
        </w:tc>
        <w:tc>
          <w:tcPr>
            <w:tcW w:w="607" w:type="pct"/>
            <w:vAlign w:val="center"/>
          </w:tcPr>
          <w:p w14:paraId="69165D80" w14:textId="77777777" w:rsidR="003E78AB" w:rsidRDefault="00010BF9">
            <w:pPr>
              <w:pStyle w:val="aff6"/>
              <w:topLinePunct/>
            </w:pPr>
            <w:r>
              <w:t>0.0</w:t>
            </w:r>
            <w:r>
              <w:rPr>
                <w:rFonts w:hint="eastAsia"/>
              </w:rPr>
              <w:t>5</w:t>
            </w:r>
          </w:p>
        </w:tc>
        <w:tc>
          <w:tcPr>
            <w:tcW w:w="411" w:type="pct"/>
            <w:vAlign w:val="center"/>
          </w:tcPr>
          <w:p w14:paraId="1A0DE233" w14:textId="77777777" w:rsidR="003E78AB" w:rsidRDefault="00010BF9">
            <w:pPr>
              <w:pStyle w:val="aff6"/>
              <w:topLinePunct/>
            </w:pPr>
            <w:r>
              <w:rPr>
                <w:rFonts w:hint="eastAsia"/>
              </w:rPr>
              <w:t>242</w:t>
            </w:r>
          </w:p>
        </w:tc>
        <w:tc>
          <w:tcPr>
            <w:tcW w:w="1107" w:type="pct"/>
            <w:vMerge w:val="restart"/>
            <w:vAlign w:val="center"/>
          </w:tcPr>
          <w:p w14:paraId="21AB8B2E" w14:textId="77777777" w:rsidR="003E78AB" w:rsidRDefault="00010BF9">
            <w:pPr>
              <w:pStyle w:val="aff6"/>
              <w:topLinePunct/>
            </w:pPr>
            <w:r>
              <w:t>GB/T14848-2017Ⅲ</w:t>
            </w:r>
            <w:r>
              <w:t>类标准</w:t>
            </w:r>
          </w:p>
        </w:tc>
      </w:tr>
      <w:tr w:rsidR="003E78AB" w14:paraId="1ACCF6E8" w14:textId="77777777">
        <w:trPr>
          <w:trHeight w:val="401"/>
        </w:trPr>
        <w:tc>
          <w:tcPr>
            <w:tcW w:w="813" w:type="pct"/>
            <w:vMerge/>
            <w:vAlign w:val="center"/>
          </w:tcPr>
          <w:p w14:paraId="28C5C7EC" w14:textId="77777777" w:rsidR="003E78AB" w:rsidRDefault="003E78AB">
            <w:pPr>
              <w:pStyle w:val="aff6"/>
              <w:topLinePunct/>
            </w:pPr>
          </w:p>
        </w:tc>
        <w:tc>
          <w:tcPr>
            <w:tcW w:w="702" w:type="pct"/>
            <w:vMerge w:val="restart"/>
            <w:vAlign w:val="center"/>
          </w:tcPr>
          <w:p w14:paraId="469381C0" w14:textId="77777777" w:rsidR="003E78AB" w:rsidRDefault="00010BF9">
            <w:pPr>
              <w:pStyle w:val="aff6"/>
              <w:topLinePunct/>
            </w:pPr>
            <w:r>
              <w:t>其他类别</w:t>
            </w:r>
          </w:p>
        </w:tc>
        <w:tc>
          <w:tcPr>
            <w:tcW w:w="747" w:type="pct"/>
            <w:vAlign w:val="center"/>
          </w:tcPr>
          <w:p w14:paraId="23E57480" w14:textId="77777777" w:rsidR="003E78AB" w:rsidRDefault="00010BF9">
            <w:pPr>
              <w:pStyle w:val="aff6"/>
              <w:topLinePunct/>
            </w:pPr>
            <w:r>
              <w:rPr>
                <w:rFonts w:hint="eastAsia"/>
              </w:rPr>
              <w:t>高锰酸钾指数</w:t>
            </w:r>
          </w:p>
        </w:tc>
        <w:tc>
          <w:tcPr>
            <w:tcW w:w="610" w:type="pct"/>
            <w:vAlign w:val="center"/>
          </w:tcPr>
          <w:p w14:paraId="34B30C7F" w14:textId="77777777" w:rsidR="003E78AB" w:rsidRDefault="00010BF9">
            <w:pPr>
              <w:pStyle w:val="aff6"/>
              <w:topLinePunct/>
            </w:pPr>
            <w:r>
              <w:rPr>
                <w:rFonts w:hint="eastAsia"/>
              </w:rPr>
              <w:t>724.74</w:t>
            </w:r>
          </w:p>
        </w:tc>
        <w:tc>
          <w:tcPr>
            <w:tcW w:w="607" w:type="pct"/>
            <w:vAlign w:val="center"/>
          </w:tcPr>
          <w:p w14:paraId="53F32E3D" w14:textId="77777777" w:rsidR="003E78AB" w:rsidRDefault="00010BF9">
            <w:pPr>
              <w:pStyle w:val="aff6"/>
              <w:topLinePunct/>
            </w:pPr>
            <w:r>
              <w:t>3</w:t>
            </w:r>
          </w:p>
        </w:tc>
        <w:tc>
          <w:tcPr>
            <w:tcW w:w="411" w:type="pct"/>
            <w:vAlign w:val="center"/>
          </w:tcPr>
          <w:p w14:paraId="3341CCA7" w14:textId="77777777" w:rsidR="003E78AB" w:rsidRDefault="00010BF9">
            <w:pPr>
              <w:pStyle w:val="aff6"/>
              <w:topLinePunct/>
            </w:pPr>
            <w:r>
              <w:rPr>
                <w:rFonts w:hint="eastAsia"/>
              </w:rPr>
              <w:t>241.58</w:t>
            </w:r>
          </w:p>
        </w:tc>
        <w:tc>
          <w:tcPr>
            <w:tcW w:w="1107" w:type="pct"/>
            <w:vMerge/>
            <w:vAlign w:val="center"/>
          </w:tcPr>
          <w:p w14:paraId="7E54EB1F" w14:textId="77777777" w:rsidR="003E78AB" w:rsidRDefault="003E78AB">
            <w:pPr>
              <w:pStyle w:val="aff6"/>
              <w:topLinePunct/>
            </w:pPr>
          </w:p>
        </w:tc>
      </w:tr>
      <w:tr w:rsidR="003E78AB" w14:paraId="1E2FB339" w14:textId="77777777">
        <w:trPr>
          <w:trHeight w:val="396"/>
        </w:trPr>
        <w:tc>
          <w:tcPr>
            <w:tcW w:w="813" w:type="pct"/>
            <w:vMerge/>
            <w:vAlign w:val="center"/>
          </w:tcPr>
          <w:p w14:paraId="4428D276" w14:textId="77777777" w:rsidR="003E78AB" w:rsidRDefault="003E78AB">
            <w:pPr>
              <w:pStyle w:val="aff6"/>
              <w:topLinePunct/>
            </w:pPr>
          </w:p>
        </w:tc>
        <w:tc>
          <w:tcPr>
            <w:tcW w:w="702" w:type="pct"/>
            <w:vMerge/>
            <w:vAlign w:val="center"/>
          </w:tcPr>
          <w:p w14:paraId="6D1ECAD6" w14:textId="77777777" w:rsidR="003E78AB" w:rsidRDefault="003E78AB">
            <w:pPr>
              <w:pStyle w:val="aff6"/>
              <w:topLinePunct/>
            </w:pPr>
          </w:p>
        </w:tc>
        <w:tc>
          <w:tcPr>
            <w:tcW w:w="747" w:type="pct"/>
            <w:vAlign w:val="center"/>
          </w:tcPr>
          <w:p w14:paraId="51586901" w14:textId="77777777" w:rsidR="003E78AB" w:rsidRDefault="00010BF9">
            <w:pPr>
              <w:pStyle w:val="aff6"/>
              <w:topLinePunct/>
            </w:pPr>
            <w:r>
              <w:t>氨氮</w:t>
            </w:r>
          </w:p>
        </w:tc>
        <w:tc>
          <w:tcPr>
            <w:tcW w:w="610" w:type="pct"/>
            <w:vAlign w:val="center"/>
          </w:tcPr>
          <w:p w14:paraId="47C12F8B" w14:textId="77777777" w:rsidR="003E78AB" w:rsidRDefault="00010BF9">
            <w:pPr>
              <w:pStyle w:val="aff6"/>
              <w:topLinePunct/>
            </w:pPr>
            <w:r>
              <w:rPr>
                <w:rFonts w:hint="eastAsia"/>
              </w:rPr>
              <w:t>1</w:t>
            </w:r>
            <w:r>
              <w:t>5</w:t>
            </w:r>
          </w:p>
        </w:tc>
        <w:tc>
          <w:tcPr>
            <w:tcW w:w="607" w:type="pct"/>
            <w:vAlign w:val="center"/>
          </w:tcPr>
          <w:p w14:paraId="5949BBB7" w14:textId="77777777" w:rsidR="003E78AB" w:rsidRDefault="00010BF9">
            <w:pPr>
              <w:pStyle w:val="aff6"/>
              <w:topLinePunct/>
            </w:pPr>
            <w:r>
              <w:t>0.5</w:t>
            </w:r>
          </w:p>
        </w:tc>
        <w:tc>
          <w:tcPr>
            <w:tcW w:w="411" w:type="pct"/>
            <w:vAlign w:val="center"/>
          </w:tcPr>
          <w:p w14:paraId="7CB33B9C" w14:textId="77777777" w:rsidR="003E78AB" w:rsidRDefault="00010BF9">
            <w:pPr>
              <w:pStyle w:val="aff6"/>
              <w:topLinePunct/>
            </w:pPr>
            <w:r>
              <w:rPr>
                <w:rFonts w:hint="eastAsia"/>
              </w:rPr>
              <w:t>45</w:t>
            </w:r>
          </w:p>
        </w:tc>
        <w:tc>
          <w:tcPr>
            <w:tcW w:w="1107" w:type="pct"/>
            <w:vMerge/>
            <w:vAlign w:val="center"/>
          </w:tcPr>
          <w:p w14:paraId="0302D19A" w14:textId="77777777" w:rsidR="003E78AB" w:rsidRDefault="003E78AB">
            <w:pPr>
              <w:pStyle w:val="aff6"/>
              <w:topLinePunct/>
            </w:pPr>
          </w:p>
        </w:tc>
      </w:tr>
      <w:tr w:rsidR="003E78AB" w14:paraId="0BE66F14" w14:textId="77777777">
        <w:trPr>
          <w:trHeight w:val="396"/>
        </w:trPr>
        <w:tc>
          <w:tcPr>
            <w:tcW w:w="813" w:type="pct"/>
            <w:vMerge/>
            <w:vAlign w:val="center"/>
          </w:tcPr>
          <w:p w14:paraId="26FB66FB" w14:textId="77777777" w:rsidR="003E78AB" w:rsidRDefault="003E78AB">
            <w:pPr>
              <w:pStyle w:val="aff6"/>
              <w:topLinePunct/>
            </w:pPr>
          </w:p>
        </w:tc>
        <w:tc>
          <w:tcPr>
            <w:tcW w:w="702" w:type="pct"/>
            <w:vMerge/>
            <w:vAlign w:val="center"/>
          </w:tcPr>
          <w:p w14:paraId="15AA6A6D" w14:textId="77777777" w:rsidR="003E78AB" w:rsidRDefault="003E78AB">
            <w:pPr>
              <w:pStyle w:val="aff6"/>
              <w:topLinePunct/>
            </w:pPr>
          </w:p>
        </w:tc>
        <w:tc>
          <w:tcPr>
            <w:tcW w:w="747" w:type="pct"/>
            <w:vAlign w:val="center"/>
          </w:tcPr>
          <w:p w14:paraId="45C196C3" w14:textId="77777777" w:rsidR="003E78AB" w:rsidRDefault="00010BF9">
            <w:pPr>
              <w:pStyle w:val="aff6"/>
              <w:topLinePunct/>
            </w:pPr>
            <w:r>
              <w:rPr>
                <w:rFonts w:hint="eastAsia"/>
              </w:rPr>
              <w:t>磷酸盐（以</w:t>
            </w:r>
            <w:r>
              <w:rPr>
                <w:rFonts w:hint="eastAsia"/>
              </w:rPr>
              <w:t>P</w:t>
            </w:r>
            <w:r>
              <w:rPr>
                <w:rFonts w:hint="eastAsia"/>
              </w:rPr>
              <w:t>计）</w:t>
            </w:r>
          </w:p>
        </w:tc>
        <w:tc>
          <w:tcPr>
            <w:tcW w:w="610" w:type="pct"/>
            <w:vAlign w:val="center"/>
          </w:tcPr>
          <w:p w14:paraId="2EC19567" w14:textId="77777777" w:rsidR="003E78AB" w:rsidRDefault="00010BF9">
            <w:pPr>
              <w:pStyle w:val="aff6"/>
              <w:topLinePunct/>
            </w:pPr>
            <w:r>
              <w:rPr>
                <w:rFonts w:hint="eastAsia"/>
              </w:rPr>
              <w:t>2490</w:t>
            </w:r>
          </w:p>
        </w:tc>
        <w:tc>
          <w:tcPr>
            <w:tcW w:w="607" w:type="pct"/>
            <w:vAlign w:val="center"/>
          </w:tcPr>
          <w:p w14:paraId="538D4CBC" w14:textId="77777777" w:rsidR="003E78AB" w:rsidRDefault="00010BF9">
            <w:pPr>
              <w:pStyle w:val="aff6"/>
              <w:topLinePunct/>
            </w:pPr>
            <w:r>
              <w:rPr>
                <w:rFonts w:hint="eastAsia"/>
              </w:rPr>
              <w:t>0.2</w:t>
            </w:r>
          </w:p>
        </w:tc>
        <w:tc>
          <w:tcPr>
            <w:tcW w:w="411" w:type="pct"/>
            <w:vAlign w:val="center"/>
          </w:tcPr>
          <w:p w14:paraId="6EC5AA9A" w14:textId="77777777" w:rsidR="003E78AB" w:rsidRDefault="00010BF9">
            <w:pPr>
              <w:pStyle w:val="aff6"/>
              <w:topLinePunct/>
            </w:pPr>
            <w:r>
              <w:rPr>
                <w:rFonts w:hint="eastAsia"/>
              </w:rPr>
              <w:t>12450</w:t>
            </w:r>
          </w:p>
        </w:tc>
        <w:tc>
          <w:tcPr>
            <w:tcW w:w="1107" w:type="pct"/>
            <w:vMerge/>
            <w:vAlign w:val="center"/>
          </w:tcPr>
          <w:p w14:paraId="302EBBC6" w14:textId="77777777" w:rsidR="003E78AB" w:rsidRDefault="003E78AB">
            <w:pPr>
              <w:pStyle w:val="aff6"/>
              <w:topLinePunct/>
            </w:pPr>
          </w:p>
        </w:tc>
      </w:tr>
      <w:tr w:rsidR="003E78AB" w14:paraId="146933B0" w14:textId="77777777">
        <w:trPr>
          <w:trHeight w:val="411"/>
        </w:trPr>
        <w:tc>
          <w:tcPr>
            <w:tcW w:w="813" w:type="pct"/>
            <w:vMerge/>
            <w:vAlign w:val="center"/>
          </w:tcPr>
          <w:p w14:paraId="22400512" w14:textId="77777777" w:rsidR="003E78AB" w:rsidRDefault="003E78AB">
            <w:pPr>
              <w:pStyle w:val="aff6"/>
              <w:topLinePunct/>
            </w:pPr>
          </w:p>
        </w:tc>
        <w:tc>
          <w:tcPr>
            <w:tcW w:w="702" w:type="pct"/>
            <w:vMerge/>
            <w:vAlign w:val="center"/>
          </w:tcPr>
          <w:p w14:paraId="0D0F3CDD" w14:textId="77777777" w:rsidR="003E78AB" w:rsidRDefault="003E78AB">
            <w:pPr>
              <w:pStyle w:val="aff6"/>
              <w:topLinePunct/>
            </w:pPr>
          </w:p>
        </w:tc>
        <w:tc>
          <w:tcPr>
            <w:tcW w:w="747" w:type="pct"/>
            <w:vAlign w:val="center"/>
          </w:tcPr>
          <w:p w14:paraId="1C9E9C0A" w14:textId="77777777" w:rsidR="003E78AB" w:rsidRDefault="00010BF9">
            <w:pPr>
              <w:pStyle w:val="aff6"/>
              <w:topLinePunct/>
            </w:pPr>
            <w:r>
              <w:t>硫酸</w:t>
            </w:r>
            <w:r>
              <w:rPr>
                <w:rFonts w:hint="eastAsia"/>
              </w:rPr>
              <w:t>盐</w:t>
            </w:r>
          </w:p>
        </w:tc>
        <w:tc>
          <w:tcPr>
            <w:tcW w:w="610" w:type="pct"/>
            <w:vAlign w:val="center"/>
          </w:tcPr>
          <w:p w14:paraId="0BD4F67D" w14:textId="77777777" w:rsidR="003E78AB" w:rsidRDefault="00010BF9">
            <w:pPr>
              <w:pStyle w:val="aff6"/>
              <w:topLinePunct/>
            </w:pPr>
            <w:r>
              <w:rPr>
                <w:rFonts w:hint="eastAsia"/>
              </w:rPr>
              <w:t>25800</w:t>
            </w:r>
          </w:p>
        </w:tc>
        <w:tc>
          <w:tcPr>
            <w:tcW w:w="607" w:type="pct"/>
            <w:vAlign w:val="center"/>
          </w:tcPr>
          <w:p w14:paraId="0400DE7F" w14:textId="77777777" w:rsidR="003E78AB" w:rsidRDefault="00010BF9">
            <w:pPr>
              <w:pStyle w:val="aff6"/>
              <w:topLinePunct/>
            </w:pPr>
            <w:r>
              <w:t>250</w:t>
            </w:r>
          </w:p>
        </w:tc>
        <w:tc>
          <w:tcPr>
            <w:tcW w:w="411" w:type="pct"/>
            <w:vAlign w:val="center"/>
          </w:tcPr>
          <w:p w14:paraId="306473BF" w14:textId="77777777" w:rsidR="003E78AB" w:rsidRDefault="00010BF9">
            <w:pPr>
              <w:pStyle w:val="aff6"/>
              <w:topLinePunct/>
            </w:pPr>
            <w:r>
              <w:rPr>
                <w:rFonts w:hint="eastAsia"/>
              </w:rPr>
              <w:t>103.2</w:t>
            </w:r>
          </w:p>
        </w:tc>
        <w:tc>
          <w:tcPr>
            <w:tcW w:w="1107" w:type="pct"/>
            <w:vMerge/>
            <w:vAlign w:val="center"/>
          </w:tcPr>
          <w:p w14:paraId="18B9366A" w14:textId="77777777" w:rsidR="003E78AB" w:rsidRDefault="003E78AB">
            <w:pPr>
              <w:pStyle w:val="aff6"/>
              <w:topLinePunct/>
            </w:pPr>
          </w:p>
        </w:tc>
      </w:tr>
      <w:tr w:rsidR="003E78AB" w14:paraId="03B9C22D" w14:textId="77777777">
        <w:trPr>
          <w:trHeight w:val="411"/>
        </w:trPr>
        <w:tc>
          <w:tcPr>
            <w:tcW w:w="5000" w:type="pct"/>
            <w:gridSpan w:val="7"/>
            <w:vAlign w:val="center"/>
          </w:tcPr>
          <w:p w14:paraId="22F09CBD" w14:textId="77777777" w:rsidR="003E78AB" w:rsidRDefault="00010BF9">
            <w:pPr>
              <w:spacing w:before="3" w:line="252" w:lineRule="auto"/>
              <w:ind w:right="210" w:firstLineChars="0" w:firstLine="0"/>
            </w:pPr>
            <w:r>
              <w:rPr>
                <w:rFonts w:ascii="宋体" w:hAnsi="宋体" w:cs="宋体"/>
                <w:spacing w:val="-2"/>
                <w:sz w:val="21"/>
                <w:szCs w:val="21"/>
              </w:rPr>
              <w:t>注：依据</w:t>
            </w:r>
            <w:r>
              <w:rPr>
                <w:rFonts w:ascii="宋体" w:hAnsi="宋体" w:cs="宋体"/>
                <w:spacing w:val="-1"/>
                <w:sz w:val="21"/>
                <w:szCs w:val="21"/>
              </w:rPr>
              <w:t>《水中化学需氧量、高锰</w:t>
            </w:r>
            <w:r>
              <w:rPr>
                <w:rFonts w:ascii="宋体" w:hAnsi="宋体" w:cs="宋体"/>
                <w:spacing w:val="23"/>
                <w:sz w:val="21"/>
                <w:szCs w:val="21"/>
              </w:rPr>
              <w:t>酸</w:t>
            </w:r>
            <w:r>
              <w:rPr>
                <w:rFonts w:ascii="宋体" w:hAnsi="宋体" w:cs="宋体"/>
                <w:spacing w:val="13"/>
                <w:sz w:val="21"/>
                <w:szCs w:val="21"/>
              </w:rPr>
              <w:t>钾指数、生化需氧量之间的相关性分析与研究》</w:t>
            </w:r>
            <w:r>
              <w:rPr>
                <w:rFonts w:ascii="宋体" w:hAnsi="宋体" w:cs="宋体" w:hint="eastAsia"/>
                <w:spacing w:val="13"/>
                <w:sz w:val="21"/>
                <w:szCs w:val="21"/>
              </w:rPr>
              <w:t>，将</w:t>
            </w:r>
            <w:r>
              <w:rPr>
                <w:rFonts w:eastAsia="Times New Roman"/>
                <w:sz w:val="21"/>
                <w:szCs w:val="21"/>
              </w:rPr>
              <w:t>COD</w:t>
            </w:r>
            <w:r>
              <w:rPr>
                <w:rFonts w:hint="eastAsia"/>
                <w:sz w:val="21"/>
                <w:szCs w:val="21"/>
              </w:rPr>
              <w:t>浓度</w:t>
            </w:r>
            <w:r>
              <w:rPr>
                <w:rFonts w:hint="eastAsia"/>
                <w:sz w:val="21"/>
                <w:szCs w:val="21"/>
              </w:rPr>
              <w:t>2820mg/L</w:t>
            </w:r>
            <w:r>
              <w:rPr>
                <w:rFonts w:ascii="宋体" w:hAnsi="宋体" w:cs="宋体"/>
                <w:spacing w:val="13"/>
                <w:sz w:val="21"/>
                <w:szCs w:val="21"/>
              </w:rPr>
              <w:t>折算成耗氧量</w:t>
            </w:r>
            <w:r>
              <w:rPr>
                <w:rFonts w:ascii="宋体" w:hAnsi="宋体" w:cs="宋体" w:hint="eastAsia"/>
                <w:spacing w:val="13"/>
                <w:sz w:val="21"/>
                <w:szCs w:val="21"/>
              </w:rPr>
              <w:t>后</w:t>
            </w:r>
            <w:r>
              <w:rPr>
                <w:rFonts w:ascii="宋体" w:hAnsi="宋体" w:cs="宋体"/>
                <w:spacing w:val="13"/>
                <w:sz w:val="21"/>
                <w:szCs w:val="21"/>
              </w:rPr>
              <w:t>的浓度为</w:t>
            </w:r>
            <w:r>
              <w:rPr>
                <w:rFonts w:hint="eastAsia"/>
                <w:spacing w:val="-1"/>
                <w:sz w:val="21"/>
                <w:szCs w:val="21"/>
              </w:rPr>
              <w:t>724.74</w:t>
            </w:r>
            <w:r>
              <w:rPr>
                <w:rFonts w:eastAsia="Times New Roman"/>
                <w:sz w:val="21"/>
                <w:szCs w:val="21"/>
              </w:rPr>
              <w:t>mg/L</w:t>
            </w:r>
            <w:r>
              <w:rPr>
                <w:rFonts w:hint="eastAsia"/>
                <w:sz w:val="21"/>
                <w:szCs w:val="21"/>
              </w:rPr>
              <w:t>。</w:t>
            </w:r>
          </w:p>
        </w:tc>
      </w:tr>
    </w:tbl>
    <w:p w14:paraId="085ADEB7" w14:textId="77777777" w:rsidR="003E78AB" w:rsidRDefault="00010BF9">
      <w:pPr>
        <w:ind w:firstLine="480"/>
        <w:rPr>
          <w:kern w:val="28"/>
        </w:rPr>
      </w:pPr>
      <w:r>
        <w:rPr>
          <w:kern w:val="28"/>
        </w:rPr>
        <w:t>由上表可知，</w:t>
      </w:r>
      <w:r>
        <w:rPr>
          <w:rFonts w:hint="eastAsia"/>
          <w:kern w:val="28"/>
        </w:rPr>
        <w:t>循环水箱</w:t>
      </w:r>
      <w:r>
        <w:rPr>
          <w:kern w:val="28"/>
        </w:rPr>
        <w:t>泄漏重金属预测选取钒；其他类别各因子按照标准指数法排序，其顺序分别为</w:t>
      </w:r>
      <w:r>
        <w:rPr>
          <w:rFonts w:hint="eastAsia"/>
          <w:kern w:val="28"/>
        </w:rPr>
        <w:t>磷酸盐、</w:t>
      </w:r>
      <w:r>
        <w:rPr>
          <w:kern w:val="28"/>
        </w:rPr>
        <w:t>硫酸盐、</w:t>
      </w:r>
      <w:r>
        <w:rPr>
          <w:rFonts w:hint="eastAsia"/>
          <w:kern w:val="28"/>
        </w:rPr>
        <w:t>高锰酸钾指数、</w:t>
      </w:r>
      <w:r>
        <w:rPr>
          <w:kern w:val="28"/>
        </w:rPr>
        <w:t>氨氮，故本项目其他类别污染物选取</w:t>
      </w:r>
      <w:r>
        <w:rPr>
          <w:rFonts w:hint="eastAsia"/>
          <w:kern w:val="28"/>
        </w:rPr>
        <w:t>磷酸</w:t>
      </w:r>
      <w:r>
        <w:rPr>
          <w:kern w:val="28"/>
        </w:rPr>
        <w:t>盐作为预测因子。</w:t>
      </w:r>
    </w:p>
    <w:p w14:paraId="211EC5F5" w14:textId="77777777" w:rsidR="003E78AB" w:rsidRDefault="00010BF9">
      <w:pPr>
        <w:ind w:firstLine="480"/>
        <w:rPr>
          <w:kern w:val="28"/>
        </w:rPr>
      </w:pPr>
      <w:r>
        <w:rPr>
          <w:kern w:val="28"/>
        </w:rPr>
        <w:t>C</w:t>
      </w:r>
      <w:r>
        <w:rPr>
          <w:kern w:val="28"/>
        </w:rPr>
        <w:t>、渗漏点的设定</w:t>
      </w:r>
    </w:p>
    <w:p w14:paraId="349D19AD" w14:textId="77777777" w:rsidR="003E78AB" w:rsidRDefault="00010BF9">
      <w:pPr>
        <w:ind w:firstLine="480"/>
        <w:rPr>
          <w:kern w:val="28"/>
        </w:rPr>
      </w:pPr>
      <w:r>
        <w:rPr>
          <w:kern w:val="28"/>
        </w:rPr>
        <w:t>根据实际情况分析，如果是在车间等可视场所发生硬化地面破损，即使有物料或污水等泄漏，按照企业的管理规范，必须及时采取措施，不可能任由物料或污水漫流渗漏，而对于泄漏初期短时间物料暴露而污染的少量土壤，则会尽快通过挖出进行处置，不会任其渗入地下。根据厂区实际建设情况，硫酸储罐、磷酸储罐、钒电解液储罐为地面储罐，且储罐下方设置</w:t>
      </w:r>
      <w:r>
        <w:rPr>
          <w:kern w:val="28"/>
        </w:rPr>
        <w:t>200mm</w:t>
      </w:r>
      <w:r>
        <w:rPr>
          <w:kern w:val="28"/>
        </w:rPr>
        <w:t>的基座，同时罐区地面均按相关规范要求进行硬化及防渗处理，发生</w:t>
      </w:r>
      <w:r>
        <w:rPr>
          <w:rFonts w:hint="eastAsia"/>
          <w:kern w:val="28"/>
        </w:rPr>
        <w:t>泄漏</w:t>
      </w:r>
      <w:r>
        <w:rPr>
          <w:kern w:val="28"/>
        </w:rPr>
        <w:t>的可行性较小；即使有储罐物料</w:t>
      </w:r>
      <w:r>
        <w:rPr>
          <w:rFonts w:hint="eastAsia"/>
          <w:kern w:val="28"/>
        </w:rPr>
        <w:t>泄漏</w:t>
      </w:r>
      <w:r>
        <w:rPr>
          <w:kern w:val="28"/>
        </w:rPr>
        <w:t>，短时间内较容易发现及采取相应措施。因此，本次地下水</w:t>
      </w:r>
      <w:r>
        <w:rPr>
          <w:rFonts w:hint="eastAsia"/>
          <w:kern w:val="28"/>
        </w:rPr>
        <w:t>泄漏</w:t>
      </w:r>
      <w:r>
        <w:rPr>
          <w:kern w:val="28"/>
        </w:rPr>
        <w:t>不再考虑储罐</w:t>
      </w:r>
      <w:r>
        <w:rPr>
          <w:rFonts w:hint="eastAsia"/>
          <w:kern w:val="28"/>
        </w:rPr>
        <w:t>泄漏</w:t>
      </w:r>
      <w:r>
        <w:rPr>
          <w:kern w:val="28"/>
        </w:rPr>
        <w:t>情景。</w:t>
      </w:r>
    </w:p>
    <w:p w14:paraId="09EEDB3E" w14:textId="77777777" w:rsidR="003E78AB" w:rsidRDefault="00010BF9">
      <w:pPr>
        <w:ind w:firstLine="480"/>
        <w:rPr>
          <w:kern w:val="28"/>
        </w:rPr>
      </w:pPr>
      <w:r>
        <w:rPr>
          <w:kern w:val="28"/>
        </w:rPr>
        <w:t>在</w:t>
      </w:r>
      <w:r>
        <w:rPr>
          <w:rFonts w:hint="eastAsia"/>
          <w:kern w:val="28"/>
        </w:rPr>
        <w:t>循环</w:t>
      </w:r>
      <w:r>
        <w:rPr>
          <w:rFonts w:hint="eastAsia"/>
          <w:kern w:val="28"/>
        </w:rPr>
        <w:t>水箱</w:t>
      </w:r>
      <w:r>
        <w:rPr>
          <w:kern w:val="28"/>
        </w:rPr>
        <w:t>存在高浓度的废水且水量较为集中，一旦发生渗漏时，污染物极有可能通过包气带进入地下水；由于厂址区包气带防污性能弱，以最不利情况为原则考虑，设定一旦泄漏，污染物直接进入潜水含水层。假定</w:t>
      </w:r>
      <w:r>
        <w:rPr>
          <w:rFonts w:hint="eastAsia"/>
          <w:kern w:val="28"/>
        </w:rPr>
        <w:t>循环水箱</w:t>
      </w:r>
      <w:r>
        <w:rPr>
          <w:kern w:val="28"/>
        </w:rPr>
        <w:t>池发生泄漏，收集池底部出现长</w:t>
      </w:r>
      <w:r>
        <w:rPr>
          <w:kern w:val="28"/>
        </w:rPr>
        <w:t>5m</w:t>
      </w:r>
      <w:r>
        <w:rPr>
          <w:kern w:val="28"/>
        </w:rPr>
        <w:t>，宽</w:t>
      </w:r>
      <w:r>
        <w:rPr>
          <w:kern w:val="28"/>
        </w:rPr>
        <w:t>2cm</w:t>
      </w:r>
      <w:r>
        <w:rPr>
          <w:kern w:val="28"/>
        </w:rPr>
        <w:t>的裂缝，池底天然基础层</w:t>
      </w:r>
      <w:r>
        <w:rPr>
          <w:rFonts w:hint="eastAsia"/>
          <w:kern w:val="28"/>
        </w:rPr>
        <w:t>渗</w:t>
      </w:r>
      <w:r>
        <w:rPr>
          <w:kern w:val="28"/>
        </w:rPr>
        <w:t>透系数取值</w:t>
      </w:r>
      <w:r>
        <w:rPr>
          <w:kern w:val="28"/>
        </w:rPr>
        <w:t>0.023m/d</w:t>
      </w:r>
      <w:r>
        <w:rPr>
          <w:kern w:val="28"/>
        </w:rPr>
        <w:t>，泄漏量约为：</w:t>
      </w:r>
      <w:r>
        <w:rPr>
          <w:kern w:val="28"/>
        </w:rPr>
        <w:t>5m×0.02m×0.023m/d=0.0023m</w:t>
      </w:r>
      <w:r>
        <w:rPr>
          <w:kern w:val="28"/>
          <w:vertAlign w:val="superscript"/>
        </w:rPr>
        <w:t>3</w:t>
      </w:r>
      <w:r>
        <w:rPr>
          <w:kern w:val="28"/>
        </w:rPr>
        <w:t>/d</w:t>
      </w:r>
      <w:r>
        <w:rPr>
          <w:kern w:val="28"/>
        </w:rPr>
        <w:t>。</w:t>
      </w:r>
    </w:p>
    <w:p w14:paraId="2B5D8163" w14:textId="77777777" w:rsidR="003E78AB" w:rsidRDefault="00010BF9">
      <w:pPr>
        <w:ind w:firstLine="480"/>
        <w:rPr>
          <w:kern w:val="28"/>
        </w:rPr>
      </w:pPr>
      <w:r>
        <w:rPr>
          <w:kern w:val="28"/>
        </w:rPr>
        <w:t>D</w:t>
      </w:r>
      <w:r>
        <w:rPr>
          <w:kern w:val="28"/>
        </w:rPr>
        <w:t>、预测源强</w:t>
      </w:r>
    </w:p>
    <w:p w14:paraId="3D397EB8" w14:textId="77777777" w:rsidR="003E78AB" w:rsidRDefault="00010BF9">
      <w:pPr>
        <w:ind w:firstLine="480"/>
        <w:rPr>
          <w:kern w:val="28"/>
        </w:rPr>
      </w:pPr>
      <w:r>
        <w:rPr>
          <w:kern w:val="28"/>
        </w:rPr>
        <w:t>本项目相应污染物的预测源强详见下表。</w:t>
      </w:r>
    </w:p>
    <w:p w14:paraId="61BF24D2" w14:textId="77777777" w:rsidR="003E78AB" w:rsidRDefault="00010BF9">
      <w:pPr>
        <w:pStyle w:val="a4"/>
        <w:spacing w:before="120"/>
        <w:ind w:left="425" w:hanging="425"/>
      </w:pPr>
      <w:r>
        <w:t>非正常状况下污染预测源强</w:t>
      </w:r>
    </w:p>
    <w:p w14:paraId="7CF46D2B" w14:textId="77777777" w:rsidR="003E78AB" w:rsidRDefault="003E78AB">
      <w:pPr>
        <w:spacing w:line="59" w:lineRule="auto"/>
        <w:ind w:firstLine="40"/>
        <w:rPr>
          <w:rFonts w:ascii="Arial"/>
          <w:sz w:val="2"/>
        </w:rPr>
      </w:pP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35"/>
        <w:gridCol w:w="1411"/>
        <w:gridCol w:w="1010"/>
        <w:gridCol w:w="1344"/>
        <w:gridCol w:w="1148"/>
      </w:tblGrid>
      <w:tr w:rsidR="003E78AB" w14:paraId="6EC23BE2" w14:textId="77777777">
        <w:trPr>
          <w:trHeight w:val="656"/>
          <w:tblHeader/>
        </w:trPr>
        <w:tc>
          <w:tcPr>
            <w:tcW w:w="938" w:type="pct"/>
            <w:vAlign w:val="center"/>
          </w:tcPr>
          <w:p w14:paraId="480D0581" w14:textId="77777777" w:rsidR="003E78AB" w:rsidRDefault="00010BF9">
            <w:pPr>
              <w:pStyle w:val="aff6"/>
              <w:topLinePunct/>
              <w:rPr>
                <w:b/>
                <w:bCs/>
              </w:rPr>
            </w:pPr>
            <w:r>
              <w:rPr>
                <w:b/>
                <w:bCs/>
              </w:rPr>
              <w:t>情景设定</w:t>
            </w:r>
          </w:p>
        </w:tc>
        <w:tc>
          <w:tcPr>
            <w:tcW w:w="1104" w:type="pct"/>
            <w:vAlign w:val="center"/>
          </w:tcPr>
          <w:p w14:paraId="3698FB82" w14:textId="77777777" w:rsidR="003E78AB" w:rsidRDefault="00010BF9">
            <w:pPr>
              <w:pStyle w:val="aff6"/>
              <w:topLinePunct/>
              <w:rPr>
                <w:b/>
                <w:bCs/>
              </w:rPr>
            </w:pPr>
            <w:r>
              <w:rPr>
                <w:b/>
                <w:bCs/>
              </w:rPr>
              <w:t>泄漏点</w:t>
            </w:r>
          </w:p>
        </w:tc>
        <w:tc>
          <w:tcPr>
            <w:tcW w:w="849" w:type="pct"/>
            <w:vAlign w:val="center"/>
          </w:tcPr>
          <w:p w14:paraId="25F5754E" w14:textId="77777777" w:rsidR="003E78AB" w:rsidRDefault="00010BF9">
            <w:pPr>
              <w:pStyle w:val="aff6"/>
              <w:topLinePunct/>
              <w:rPr>
                <w:b/>
                <w:bCs/>
              </w:rPr>
            </w:pPr>
            <w:r>
              <w:rPr>
                <w:b/>
                <w:bCs/>
              </w:rPr>
              <w:t>特征污染物</w:t>
            </w:r>
          </w:p>
        </w:tc>
        <w:tc>
          <w:tcPr>
            <w:tcW w:w="608" w:type="pct"/>
            <w:vAlign w:val="center"/>
          </w:tcPr>
          <w:p w14:paraId="54A20B53" w14:textId="77777777" w:rsidR="003E78AB" w:rsidRDefault="00010BF9">
            <w:pPr>
              <w:pStyle w:val="aff6"/>
              <w:topLinePunct/>
              <w:rPr>
                <w:b/>
                <w:bCs/>
              </w:rPr>
            </w:pPr>
            <w:r>
              <w:rPr>
                <w:b/>
                <w:bCs/>
              </w:rPr>
              <w:t>泄漏量</w:t>
            </w:r>
            <w:r>
              <w:rPr>
                <w:b/>
                <w:bCs/>
              </w:rPr>
              <w:t>(m</w:t>
            </w:r>
            <w:r>
              <w:rPr>
                <w:b/>
                <w:bCs/>
                <w:vertAlign w:val="superscript"/>
              </w:rPr>
              <w:t>3</w:t>
            </w:r>
            <w:r>
              <w:rPr>
                <w:b/>
                <w:bCs/>
              </w:rPr>
              <w:t>/d)</w:t>
            </w:r>
          </w:p>
        </w:tc>
        <w:tc>
          <w:tcPr>
            <w:tcW w:w="809" w:type="pct"/>
            <w:vAlign w:val="center"/>
          </w:tcPr>
          <w:p w14:paraId="67994EC2" w14:textId="77777777" w:rsidR="003E78AB" w:rsidRDefault="00010BF9">
            <w:pPr>
              <w:pStyle w:val="aff6"/>
              <w:topLinePunct/>
              <w:rPr>
                <w:b/>
                <w:bCs/>
              </w:rPr>
            </w:pPr>
            <w:r>
              <w:rPr>
                <w:b/>
                <w:bCs/>
              </w:rPr>
              <w:t>浓度</w:t>
            </w:r>
            <w:r>
              <w:rPr>
                <w:b/>
                <w:bCs/>
              </w:rPr>
              <w:t>(mg/L)</w:t>
            </w:r>
          </w:p>
        </w:tc>
        <w:tc>
          <w:tcPr>
            <w:tcW w:w="691" w:type="pct"/>
            <w:vAlign w:val="center"/>
          </w:tcPr>
          <w:p w14:paraId="7F6F5FFC" w14:textId="77777777" w:rsidR="003E78AB" w:rsidRDefault="00010BF9">
            <w:pPr>
              <w:pStyle w:val="aff6"/>
              <w:topLinePunct/>
              <w:rPr>
                <w:b/>
                <w:bCs/>
              </w:rPr>
            </w:pPr>
            <w:r>
              <w:rPr>
                <w:b/>
                <w:bCs/>
              </w:rPr>
              <w:t>泄漏时间</w:t>
            </w:r>
          </w:p>
        </w:tc>
      </w:tr>
      <w:tr w:rsidR="003E78AB" w14:paraId="3E640C99" w14:textId="77777777">
        <w:trPr>
          <w:trHeight w:val="459"/>
        </w:trPr>
        <w:tc>
          <w:tcPr>
            <w:tcW w:w="938" w:type="pct"/>
            <w:vMerge w:val="restart"/>
            <w:vAlign w:val="center"/>
          </w:tcPr>
          <w:p w14:paraId="2C803853" w14:textId="77777777" w:rsidR="003E78AB" w:rsidRDefault="00010BF9">
            <w:pPr>
              <w:pStyle w:val="aff6"/>
              <w:topLinePunct/>
            </w:pPr>
            <w:r>
              <w:t>非正常工况</w:t>
            </w:r>
          </w:p>
        </w:tc>
        <w:tc>
          <w:tcPr>
            <w:tcW w:w="1104" w:type="pct"/>
            <w:vMerge w:val="restart"/>
            <w:vAlign w:val="center"/>
          </w:tcPr>
          <w:p w14:paraId="4DFD9F4B" w14:textId="77777777" w:rsidR="003E78AB" w:rsidRDefault="00010BF9">
            <w:pPr>
              <w:pStyle w:val="aff6"/>
              <w:topLinePunct/>
            </w:pPr>
            <w:r>
              <w:rPr>
                <w:rFonts w:hint="eastAsia"/>
              </w:rPr>
              <w:t>循环水箱</w:t>
            </w:r>
          </w:p>
        </w:tc>
        <w:tc>
          <w:tcPr>
            <w:tcW w:w="849" w:type="pct"/>
            <w:vAlign w:val="center"/>
          </w:tcPr>
          <w:p w14:paraId="15D4E39B" w14:textId="77777777" w:rsidR="003E78AB" w:rsidRDefault="00010BF9">
            <w:pPr>
              <w:pStyle w:val="aff6"/>
              <w:topLinePunct/>
            </w:pPr>
            <w:r>
              <w:t>钒</w:t>
            </w:r>
          </w:p>
        </w:tc>
        <w:tc>
          <w:tcPr>
            <w:tcW w:w="608" w:type="pct"/>
            <w:vMerge w:val="restart"/>
            <w:vAlign w:val="center"/>
          </w:tcPr>
          <w:p w14:paraId="232C5F3E" w14:textId="77777777" w:rsidR="003E78AB" w:rsidRDefault="00010BF9">
            <w:pPr>
              <w:pStyle w:val="aff6"/>
              <w:topLinePunct/>
            </w:pPr>
            <w:r>
              <w:t>0.0023</w:t>
            </w:r>
          </w:p>
        </w:tc>
        <w:tc>
          <w:tcPr>
            <w:tcW w:w="809" w:type="pct"/>
            <w:vAlign w:val="center"/>
          </w:tcPr>
          <w:p w14:paraId="784E8E42" w14:textId="77777777" w:rsidR="003E78AB" w:rsidRDefault="00010BF9">
            <w:pPr>
              <w:pStyle w:val="aff6"/>
              <w:topLinePunct/>
            </w:pPr>
            <w:r>
              <w:rPr>
                <w:rFonts w:hint="eastAsia"/>
              </w:rPr>
              <w:t>12.1</w:t>
            </w:r>
          </w:p>
        </w:tc>
        <w:tc>
          <w:tcPr>
            <w:tcW w:w="691" w:type="pct"/>
            <w:vMerge w:val="restart"/>
            <w:vAlign w:val="center"/>
          </w:tcPr>
          <w:p w14:paraId="78B477C7" w14:textId="77777777" w:rsidR="003E78AB" w:rsidRDefault="00010BF9">
            <w:pPr>
              <w:pStyle w:val="aff6"/>
              <w:topLinePunct/>
            </w:pPr>
            <w:r>
              <w:t>连续</w:t>
            </w:r>
          </w:p>
        </w:tc>
      </w:tr>
      <w:tr w:rsidR="003E78AB" w14:paraId="65281EE6" w14:textId="77777777">
        <w:trPr>
          <w:trHeight w:val="473"/>
        </w:trPr>
        <w:tc>
          <w:tcPr>
            <w:tcW w:w="938" w:type="pct"/>
            <w:vMerge/>
            <w:vAlign w:val="center"/>
          </w:tcPr>
          <w:p w14:paraId="1F441470" w14:textId="77777777" w:rsidR="003E78AB" w:rsidRDefault="003E78AB">
            <w:pPr>
              <w:ind w:firstLine="420"/>
              <w:jc w:val="center"/>
              <w:rPr>
                <w:rFonts w:ascii="Arial"/>
                <w:sz w:val="21"/>
              </w:rPr>
            </w:pPr>
          </w:p>
        </w:tc>
        <w:tc>
          <w:tcPr>
            <w:tcW w:w="1104" w:type="pct"/>
            <w:vMerge/>
            <w:vAlign w:val="center"/>
          </w:tcPr>
          <w:p w14:paraId="11D0D1C6" w14:textId="77777777" w:rsidR="003E78AB" w:rsidRDefault="003E78AB">
            <w:pPr>
              <w:ind w:firstLine="420"/>
              <w:jc w:val="center"/>
              <w:rPr>
                <w:rFonts w:ascii="Arial"/>
                <w:sz w:val="21"/>
              </w:rPr>
            </w:pPr>
          </w:p>
        </w:tc>
        <w:tc>
          <w:tcPr>
            <w:tcW w:w="849" w:type="pct"/>
            <w:vAlign w:val="center"/>
          </w:tcPr>
          <w:p w14:paraId="130C5E8B" w14:textId="77777777" w:rsidR="003E78AB" w:rsidRDefault="00010BF9">
            <w:pPr>
              <w:pStyle w:val="aff6"/>
              <w:topLinePunct/>
            </w:pPr>
            <w:r>
              <w:rPr>
                <w:rFonts w:hint="eastAsia"/>
              </w:rPr>
              <w:t>磷</w:t>
            </w:r>
            <w:r>
              <w:t>酸盐</w:t>
            </w:r>
          </w:p>
        </w:tc>
        <w:tc>
          <w:tcPr>
            <w:tcW w:w="608" w:type="pct"/>
            <w:vMerge/>
            <w:vAlign w:val="center"/>
          </w:tcPr>
          <w:p w14:paraId="5C93A428" w14:textId="77777777" w:rsidR="003E78AB" w:rsidRDefault="003E78AB">
            <w:pPr>
              <w:pStyle w:val="aff6"/>
              <w:topLinePunct/>
            </w:pPr>
          </w:p>
        </w:tc>
        <w:tc>
          <w:tcPr>
            <w:tcW w:w="809" w:type="pct"/>
            <w:vAlign w:val="center"/>
          </w:tcPr>
          <w:p w14:paraId="270D6C13" w14:textId="77777777" w:rsidR="003E78AB" w:rsidRDefault="00010BF9">
            <w:pPr>
              <w:pStyle w:val="aff6"/>
              <w:topLinePunct/>
            </w:pPr>
            <w:r>
              <w:rPr>
                <w:rFonts w:hint="eastAsia"/>
              </w:rPr>
              <w:t>2490</w:t>
            </w:r>
          </w:p>
        </w:tc>
        <w:tc>
          <w:tcPr>
            <w:tcW w:w="691" w:type="pct"/>
            <w:vMerge/>
            <w:vAlign w:val="center"/>
          </w:tcPr>
          <w:p w14:paraId="48F7CAB3" w14:textId="77777777" w:rsidR="003E78AB" w:rsidRDefault="003E78AB">
            <w:pPr>
              <w:ind w:firstLine="420"/>
              <w:jc w:val="center"/>
              <w:rPr>
                <w:rFonts w:ascii="Arial"/>
                <w:sz w:val="21"/>
              </w:rPr>
            </w:pPr>
          </w:p>
        </w:tc>
      </w:tr>
    </w:tbl>
    <w:p w14:paraId="4F3650A5" w14:textId="77777777" w:rsidR="003E78AB" w:rsidRDefault="00010BF9">
      <w:pPr>
        <w:ind w:firstLine="480"/>
        <w:rPr>
          <w:kern w:val="28"/>
        </w:rPr>
      </w:pPr>
      <w:r>
        <w:rPr>
          <w:kern w:val="28"/>
        </w:rPr>
        <w:t>②</w:t>
      </w:r>
      <w:r>
        <w:rPr>
          <w:kern w:val="28"/>
        </w:rPr>
        <w:t>预测模型</w:t>
      </w:r>
    </w:p>
    <w:p w14:paraId="71C0A3C7" w14:textId="77777777" w:rsidR="003E78AB" w:rsidRDefault="00010BF9">
      <w:pPr>
        <w:ind w:firstLine="480"/>
        <w:rPr>
          <w:kern w:val="28"/>
        </w:rPr>
      </w:pPr>
      <w:r>
        <w:rPr>
          <w:kern w:val="28"/>
        </w:rPr>
        <w:t>采用地下水动力学模式预测污染物在含水层中的扩散时，进行如下假定或概化。</w:t>
      </w:r>
    </w:p>
    <w:p w14:paraId="06580155" w14:textId="77777777" w:rsidR="003E78AB" w:rsidRDefault="00010BF9">
      <w:pPr>
        <w:ind w:firstLine="480"/>
        <w:rPr>
          <w:kern w:val="28"/>
        </w:rPr>
      </w:pPr>
      <w:r>
        <w:rPr>
          <w:kern w:val="28"/>
        </w:rPr>
        <w:t>——</w:t>
      </w:r>
      <w:r>
        <w:rPr>
          <w:kern w:val="28"/>
        </w:rPr>
        <w:t>不考虑污染物进入地下水后对渗流场的影响；</w:t>
      </w:r>
    </w:p>
    <w:p w14:paraId="7937CD0D" w14:textId="77777777" w:rsidR="003E78AB" w:rsidRDefault="00010BF9">
      <w:pPr>
        <w:ind w:firstLine="480"/>
        <w:rPr>
          <w:kern w:val="28"/>
        </w:rPr>
      </w:pPr>
      <w:r>
        <w:rPr>
          <w:kern w:val="28"/>
        </w:rPr>
        <w:t>——</w:t>
      </w:r>
      <w:r>
        <w:rPr>
          <w:kern w:val="28"/>
        </w:rPr>
        <w:t>预测区内地下水的运动是稳定流；</w:t>
      </w:r>
    </w:p>
    <w:p w14:paraId="6CC26E3F" w14:textId="77777777" w:rsidR="003E78AB" w:rsidRDefault="00010BF9">
      <w:pPr>
        <w:ind w:firstLine="480"/>
        <w:rPr>
          <w:kern w:val="28"/>
        </w:rPr>
      </w:pPr>
      <w:r>
        <w:rPr>
          <w:kern w:val="28"/>
        </w:rPr>
        <w:t>——</w:t>
      </w:r>
      <w:r>
        <w:rPr>
          <w:kern w:val="28"/>
        </w:rPr>
        <w:t>污染物在地下水中的运移主要考虑对流及水动力弥散作用对浓度的影响；</w:t>
      </w:r>
    </w:p>
    <w:p w14:paraId="7A0C50E8" w14:textId="77777777" w:rsidR="003E78AB" w:rsidRDefault="00010BF9">
      <w:pPr>
        <w:ind w:firstLine="480"/>
        <w:rPr>
          <w:kern w:val="28"/>
        </w:rPr>
      </w:pPr>
      <w:r>
        <w:rPr>
          <w:kern w:val="28"/>
        </w:rPr>
        <w:t>本次溶质运移模拟仅考虑对流、弥散两种作用，不考虑溶解、吸附、降解、挥发、生物化学等作用，以求达到最大风险程度。这样选择的理由是：</w:t>
      </w:r>
    </w:p>
    <w:p w14:paraId="4588D562" w14:textId="77777777" w:rsidR="003E78AB" w:rsidRDefault="00010BF9">
      <w:pPr>
        <w:ind w:firstLine="480"/>
        <w:rPr>
          <w:kern w:val="28"/>
        </w:rPr>
      </w:pPr>
      <w:r>
        <w:rPr>
          <w:kern w:val="28"/>
        </w:rPr>
        <w:t>A</w:t>
      </w:r>
      <w:r>
        <w:rPr>
          <w:kern w:val="28"/>
        </w:rPr>
        <w:t>、从保守性角度考虑，假设污染物质在运移中不与含水层介质发生反应，可以被认为是保守型污染物质，只按保守型污染物质来计算，即只考虑运移过程中的对流、弥散作用。</w:t>
      </w:r>
    </w:p>
    <w:p w14:paraId="2D6EE93E" w14:textId="77777777" w:rsidR="003E78AB" w:rsidRDefault="00010BF9">
      <w:pPr>
        <w:ind w:firstLine="480"/>
        <w:rPr>
          <w:kern w:val="28"/>
        </w:rPr>
      </w:pPr>
      <w:r>
        <w:rPr>
          <w:kern w:val="28"/>
        </w:rPr>
        <w:t>B</w:t>
      </w:r>
      <w:r>
        <w:rPr>
          <w:kern w:val="28"/>
        </w:rPr>
        <w:t>、有机污染物在地下水中的运移非常复杂，影响因素除对流、弥散作用以外，还存在物理、化学、微生物等作用，这些作用常常会使污染浓度衰减。目前国际上对这些作用参数的准确获取还存在着困难。</w:t>
      </w:r>
    </w:p>
    <w:p w14:paraId="12F6C4CB" w14:textId="77777777" w:rsidR="003E78AB" w:rsidRDefault="00010BF9">
      <w:pPr>
        <w:ind w:firstLine="480"/>
        <w:rPr>
          <w:kern w:val="28"/>
        </w:rPr>
      </w:pPr>
      <w:r>
        <w:rPr>
          <w:kern w:val="28"/>
        </w:rPr>
        <w:t>C</w:t>
      </w:r>
      <w:r>
        <w:rPr>
          <w:kern w:val="28"/>
        </w:rPr>
        <w:t>、在国际上有很多用保守型污染物作为模拟因子的环境质量评价的成功实例，保守型考虑符合工程设计的思想。</w:t>
      </w:r>
    </w:p>
    <w:p w14:paraId="1FE86E59" w14:textId="77777777" w:rsidR="003E78AB" w:rsidRDefault="00010BF9">
      <w:pPr>
        <w:ind w:firstLine="480"/>
        <w:rPr>
          <w:kern w:val="28"/>
        </w:rPr>
      </w:pPr>
      <w:r>
        <w:rPr>
          <w:kern w:val="28"/>
        </w:rPr>
        <w:t>——</w:t>
      </w:r>
      <w:r>
        <w:rPr>
          <w:kern w:val="28"/>
        </w:rPr>
        <w:t>预测区内含水层的基本参数</w:t>
      </w:r>
      <w:r>
        <w:rPr>
          <w:rFonts w:hint="eastAsia"/>
          <w:kern w:val="28"/>
        </w:rPr>
        <w:t>（</w:t>
      </w:r>
      <w:r>
        <w:rPr>
          <w:kern w:val="28"/>
        </w:rPr>
        <w:t>如渗透系数、厚度、有效孔隙度等</w:t>
      </w:r>
      <w:r>
        <w:rPr>
          <w:rFonts w:hint="eastAsia"/>
          <w:kern w:val="28"/>
        </w:rPr>
        <w:t>）</w:t>
      </w:r>
      <w:r>
        <w:rPr>
          <w:kern w:val="28"/>
        </w:rPr>
        <w:t>不变。</w:t>
      </w:r>
    </w:p>
    <w:p w14:paraId="32DE1490" w14:textId="77777777" w:rsidR="003E78AB" w:rsidRDefault="00010BF9">
      <w:pPr>
        <w:ind w:firstLine="480"/>
        <w:rPr>
          <w:kern w:val="28"/>
        </w:rPr>
      </w:pPr>
      <w:r>
        <w:rPr>
          <w:kern w:val="28"/>
        </w:rPr>
        <w:t>污染源简化包括排放形式与排放规律的简化。根据污染源的具体情况，排放形式简化为点源；排放规律可以简化为连续恒定排放及瞬时排放。</w:t>
      </w:r>
    </w:p>
    <w:p w14:paraId="0CC7B60D" w14:textId="77777777" w:rsidR="003E78AB" w:rsidRDefault="00010BF9">
      <w:pPr>
        <w:ind w:firstLine="480"/>
        <w:rPr>
          <w:kern w:val="28"/>
        </w:rPr>
      </w:pPr>
      <w:r>
        <w:rPr>
          <w:kern w:val="28"/>
        </w:rPr>
        <w:t>本项目泄漏影响为恒定排放，地下水环境影响预测采用《环境影响评价技术导则</w:t>
      </w:r>
      <w:r>
        <w:rPr>
          <w:rFonts w:hint="eastAsia"/>
          <w:kern w:val="28"/>
        </w:rPr>
        <w:t xml:space="preserve"> </w:t>
      </w:r>
      <w:r>
        <w:rPr>
          <w:kern w:val="28"/>
        </w:rPr>
        <w:t>地下水环境》（</w:t>
      </w:r>
      <w:r>
        <w:rPr>
          <w:kern w:val="28"/>
        </w:rPr>
        <w:t>HJ610-2016</w:t>
      </w:r>
      <w:r>
        <w:rPr>
          <w:kern w:val="28"/>
        </w:rPr>
        <w:t>）附录中</w:t>
      </w:r>
      <w:r>
        <w:rPr>
          <w:kern w:val="28"/>
        </w:rPr>
        <w:t>D.1.2</w:t>
      </w:r>
      <w:r>
        <w:rPr>
          <w:kern w:val="28"/>
        </w:rPr>
        <w:t>中一维半无限长多孔介质柱体，一端为定浓度边界：</w:t>
      </w:r>
    </w:p>
    <w:p w14:paraId="649FCD1D" w14:textId="77777777" w:rsidR="003E78AB" w:rsidRDefault="00010BF9">
      <w:pPr>
        <w:ind w:firstLine="480"/>
        <w:rPr>
          <w:kern w:val="2"/>
        </w:rPr>
      </w:pPr>
      <w:r>
        <w:rPr>
          <w:kern w:val="2"/>
          <w:position w:val="-34"/>
        </w:rPr>
        <w:object w:dxaOrig="1440" w:dyaOrig="1440" w14:anchorId="618CBACF">
          <v:shape id="_x0000_s1035" type="#_x0000_t75" style="position:absolute;left:0;text-align:left;margin-left:101.8pt;margin-top:11.75pt;width:205.85pt;height:41.2pt;z-index:251673600;mso-wrap-distance-top:0;mso-wrap-distance-bottom:0;mso-width-relative:page;mso-height-relative:page">
            <v:imagedata r:id="rId84" o:title=""/>
            <w10:wrap type="topAndBottom"/>
          </v:shape>
          <o:OLEObject Type="Embed" ProgID="Equation.3" ShapeID="_x0000_s1035" DrawAspect="Content" ObjectID="_1814684996" r:id="rId85"/>
        </w:object>
      </w:r>
      <w:r>
        <w:rPr>
          <w:kern w:val="2"/>
        </w:rPr>
        <w:t>式中：</w:t>
      </w:r>
      <w:r>
        <w:rPr>
          <w:i/>
          <w:iCs/>
          <w:kern w:val="2"/>
        </w:rPr>
        <w:t>x</w:t>
      </w:r>
      <w:r>
        <w:rPr>
          <w:kern w:val="2"/>
        </w:rPr>
        <w:t>——</w:t>
      </w:r>
      <w:r>
        <w:rPr>
          <w:kern w:val="2"/>
        </w:rPr>
        <w:t>距注入点的距离，</w:t>
      </w:r>
      <w:r>
        <w:rPr>
          <w:kern w:val="2"/>
        </w:rPr>
        <w:t>m</w:t>
      </w:r>
      <w:r>
        <w:rPr>
          <w:kern w:val="2"/>
        </w:rPr>
        <w:t>；</w:t>
      </w:r>
    </w:p>
    <w:p w14:paraId="06415D80" w14:textId="77777777" w:rsidR="003E78AB" w:rsidRDefault="00010BF9">
      <w:pPr>
        <w:ind w:firstLineChars="500" w:firstLine="1200"/>
        <w:rPr>
          <w:kern w:val="2"/>
        </w:rPr>
      </w:pPr>
      <w:r>
        <w:rPr>
          <w:i/>
          <w:iCs/>
          <w:kern w:val="2"/>
        </w:rPr>
        <w:t>t</w:t>
      </w:r>
      <w:r>
        <w:rPr>
          <w:kern w:val="2"/>
        </w:rPr>
        <w:t>——</w:t>
      </w:r>
      <w:r>
        <w:rPr>
          <w:kern w:val="2"/>
        </w:rPr>
        <w:t>时间，</w:t>
      </w:r>
      <w:r>
        <w:rPr>
          <w:kern w:val="2"/>
        </w:rPr>
        <w:t>d</w:t>
      </w:r>
      <w:r>
        <w:rPr>
          <w:kern w:val="2"/>
        </w:rPr>
        <w:t>；</w:t>
      </w:r>
    </w:p>
    <w:p w14:paraId="14ACB4A5" w14:textId="77777777" w:rsidR="003E78AB" w:rsidRDefault="00010BF9">
      <w:pPr>
        <w:ind w:firstLineChars="500" w:firstLine="1200"/>
        <w:rPr>
          <w:kern w:val="2"/>
        </w:rPr>
      </w:pPr>
      <w:r>
        <w:rPr>
          <w:i/>
          <w:iCs/>
          <w:kern w:val="2"/>
        </w:rPr>
        <w:t>C</w:t>
      </w:r>
      <w:r>
        <w:rPr>
          <w:i/>
          <w:iCs/>
          <w:kern w:val="2"/>
        </w:rPr>
        <w:t>（</w:t>
      </w:r>
      <w:r>
        <w:rPr>
          <w:i/>
          <w:iCs/>
          <w:kern w:val="2"/>
        </w:rPr>
        <w:t>x,t</w:t>
      </w:r>
      <w:r>
        <w:rPr>
          <w:i/>
          <w:iCs/>
          <w:kern w:val="2"/>
        </w:rPr>
        <w:t>）</w:t>
      </w:r>
      <w:r>
        <w:rPr>
          <w:kern w:val="2"/>
        </w:rPr>
        <w:t>——t</w:t>
      </w:r>
      <w:r>
        <w:rPr>
          <w:kern w:val="2"/>
        </w:rPr>
        <w:t>时刻点</w:t>
      </w:r>
      <w:r>
        <w:rPr>
          <w:i/>
          <w:iCs/>
          <w:kern w:val="2"/>
        </w:rPr>
        <w:t>x</w:t>
      </w:r>
      <w:r>
        <w:rPr>
          <w:kern w:val="2"/>
        </w:rPr>
        <w:t>处示踪剂的浓度，</w:t>
      </w:r>
      <w:r>
        <w:rPr>
          <w:kern w:val="2"/>
        </w:rPr>
        <w:t>mg/L</w:t>
      </w:r>
      <w:r>
        <w:rPr>
          <w:kern w:val="2"/>
        </w:rPr>
        <w:t>；</w:t>
      </w:r>
    </w:p>
    <w:p w14:paraId="409AD9CF" w14:textId="77777777" w:rsidR="003E78AB" w:rsidRDefault="00010BF9">
      <w:pPr>
        <w:ind w:firstLineChars="500" w:firstLine="1200"/>
        <w:rPr>
          <w:kern w:val="2"/>
        </w:rPr>
      </w:pPr>
      <w:r>
        <w:rPr>
          <w:i/>
          <w:iCs/>
          <w:kern w:val="2"/>
        </w:rPr>
        <w:t>C</w:t>
      </w:r>
      <w:r>
        <w:rPr>
          <w:i/>
          <w:iCs/>
          <w:kern w:val="2"/>
          <w:vertAlign w:val="subscript"/>
        </w:rPr>
        <w:t>0</w:t>
      </w:r>
      <w:r>
        <w:rPr>
          <w:kern w:val="2"/>
        </w:rPr>
        <w:t>——</w:t>
      </w:r>
      <w:r>
        <w:rPr>
          <w:kern w:val="2"/>
        </w:rPr>
        <w:t>注入示踪剂的速度，</w:t>
      </w:r>
      <w:r>
        <w:rPr>
          <w:kern w:val="2"/>
        </w:rPr>
        <w:t>mg/L</w:t>
      </w:r>
      <w:r>
        <w:rPr>
          <w:kern w:val="2"/>
        </w:rPr>
        <w:t>；</w:t>
      </w:r>
    </w:p>
    <w:p w14:paraId="0FA2B910" w14:textId="77777777" w:rsidR="003E78AB" w:rsidRDefault="00010BF9">
      <w:pPr>
        <w:ind w:firstLineChars="500" w:firstLine="1200"/>
        <w:rPr>
          <w:kern w:val="2"/>
        </w:rPr>
      </w:pPr>
      <w:r>
        <w:rPr>
          <w:i/>
          <w:iCs/>
          <w:kern w:val="2"/>
        </w:rPr>
        <w:t>u</w:t>
      </w:r>
      <w:r>
        <w:rPr>
          <w:kern w:val="2"/>
        </w:rPr>
        <w:t>——</w:t>
      </w:r>
      <w:r>
        <w:rPr>
          <w:kern w:val="2"/>
        </w:rPr>
        <w:t>水流速度，</w:t>
      </w:r>
      <w:r>
        <w:rPr>
          <w:kern w:val="2"/>
        </w:rPr>
        <w:t>m/d</w:t>
      </w:r>
      <w:r>
        <w:rPr>
          <w:kern w:val="2"/>
        </w:rPr>
        <w:t>；</w:t>
      </w:r>
    </w:p>
    <w:p w14:paraId="70A24CA3" w14:textId="77777777" w:rsidR="003E78AB" w:rsidRDefault="00010BF9">
      <w:pPr>
        <w:ind w:firstLineChars="500" w:firstLine="1200"/>
        <w:rPr>
          <w:kern w:val="2"/>
        </w:rPr>
      </w:pPr>
      <w:r>
        <w:rPr>
          <w:i/>
          <w:iCs/>
          <w:kern w:val="2"/>
        </w:rPr>
        <w:t>n</w:t>
      </w:r>
      <w:r>
        <w:rPr>
          <w:kern w:val="2"/>
        </w:rPr>
        <w:t>——</w:t>
      </w:r>
      <w:r>
        <w:rPr>
          <w:kern w:val="2"/>
        </w:rPr>
        <w:t>有效孔隙度，无量纲；</w:t>
      </w:r>
    </w:p>
    <w:p w14:paraId="1D630167" w14:textId="77777777" w:rsidR="003E78AB" w:rsidRDefault="00010BF9">
      <w:pPr>
        <w:ind w:firstLineChars="500" w:firstLine="1200"/>
        <w:rPr>
          <w:kern w:val="2"/>
        </w:rPr>
      </w:pPr>
      <w:r>
        <w:rPr>
          <w:i/>
          <w:iCs/>
          <w:kern w:val="2"/>
        </w:rPr>
        <w:t>D</w:t>
      </w:r>
      <w:r>
        <w:rPr>
          <w:i/>
          <w:iCs/>
          <w:kern w:val="2"/>
          <w:vertAlign w:val="subscript"/>
        </w:rPr>
        <w:t>L</w:t>
      </w:r>
      <w:r>
        <w:rPr>
          <w:kern w:val="2"/>
        </w:rPr>
        <w:t>——</w:t>
      </w:r>
      <w:r>
        <w:rPr>
          <w:kern w:val="2"/>
        </w:rPr>
        <w:t>纵向</w:t>
      </w:r>
      <w:r>
        <w:rPr>
          <w:i/>
          <w:iCs/>
          <w:kern w:val="2"/>
        </w:rPr>
        <w:t>x</w:t>
      </w:r>
      <w:r>
        <w:rPr>
          <w:kern w:val="2"/>
        </w:rPr>
        <w:t>方向的弥散系数</w:t>
      </w:r>
      <w:r>
        <w:rPr>
          <w:kern w:val="2"/>
        </w:rPr>
        <w:t>m</w:t>
      </w:r>
      <w:r>
        <w:rPr>
          <w:kern w:val="2"/>
          <w:vertAlign w:val="superscript"/>
        </w:rPr>
        <w:t>2</w:t>
      </w:r>
      <w:r>
        <w:rPr>
          <w:kern w:val="2"/>
        </w:rPr>
        <w:t>/d</w:t>
      </w:r>
      <w:r>
        <w:rPr>
          <w:kern w:val="2"/>
        </w:rPr>
        <w:t>；</w:t>
      </w:r>
    </w:p>
    <w:p w14:paraId="7A398D61" w14:textId="77777777" w:rsidR="003E78AB" w:rsidRDefault="00010BF9">
      <w:pPr>
        <w:ind w:firstLineChars="500" w:firstLine="1200"/>
        <w:rPr>
          <w:kern w:val="2"/>
        </w:rPr>
      </w:pPr>
      <w:r>
        <w:rPr>
          <w:i/>
          <w:iCs/>
          <w:kern w:val="2"/>
        </w:rPr>
        <w:t>Erfc</w:t>
      </w:r>
      <w:r>
        <w:rPr>
          <w:kern w:val="2"/>
        </w:rPr>
        <w:t>()——</w:t>
      </w:r>
      <w:r>
        <w:rPr>
          <w:kern w:val="2"/>
        </w:rPr>
        <w:t>余误差函数；</w:t>
      </w:r>
    </w:p>
    <w:p w14:paraId="0CF1AE97" w14:textId="77777777" w:rsidR="003E78AB" w:rsidRDefault="00010BF9">
      <w:pPr>
        <w:ind w:firstLine="480"/>
        <w:rPr>
          <w:kern w:val="28"/>
        </w:rPr>
      </w:pPr>
      <w:r>
        <w:rPr>
          <w:kern w:val="28"/>
        </w:rPr>
        <w:t>③</w:t>
      </w:r>
      <w:r>
        <w:rPr>
          <w:kern w:val="28"/>
        </w:rPr>
        <w:t>预测参数选取</w:t>
      </w:r>
    </w:p>
    <w:p w14:paraId="2EC37D25" w14:textId="77777777" w:rsidR="003E78AB" w:rsidRDefault="00010BF9">
      <w:pPr>
        <w:ind w:firstLine="480"/>
        <w:rPr>
          <w:kern w:val="28"/>
        </w:rPr>
      </w:pPr>
      <w:r>
        <w:rPr>
          <w:kern w:val="28"/>
        </w:rPr>
        <w:t>参照《环境影响评价技术导则</w:t>
      </w:r>
      <w:r>
        <w:rPr>
          <w:rFonts w:hint="eastAsia"/>
          <w:kern w:val="28"/>
        </w:rPr>
        <w:t xml:space="preserve"> </w:t>
      </w:r>
      <w:r>
        <w:rPr>
          <w:kern w:val="28"/>
        </w:rPr>
        <w:t>地下水环境》</w:t>
      </w:r>
      <w:r>
        <w:rPr>
          <w:rFonts w:hint="eastAsia"/>
          <w:kern w:val="28"/>
        </w:rPr>
        <w:t>（</w:t>
      </w:r>
      <w:r>
        <w:rPr>
          <w:kern w:val="28"/>
        </w:rPr>
        <w:t>HJ610-2016</w:t>
      </w:r>
      <w:r>
        <w:rPr>
          <w:rFonts w:hint="eastAsia"/>
          <w:kern w:val="28"/>
        </w:rPr>
        <w:t>）</w:t>
      </w:r>
      <w:r>
        <w:rPr>
          <w:kern w:val="28"/>
        </w:rPr>
        <w:t>附录</w:t>
      </w:r>
      <w:r>
        <w:rPr>
          <w:kern w:val="28"/>
        </w:rPr>
        <w:t>B</w:t>
      </w:r>
      <w:r>
        <w:rPr>
          <w:kern w:val="28"/>
        </w:rPr>
        <w:t>，有效孔隙度</w:t>
      </w:r>
      <w:r>
        <w:rPr>
          <w:i/>
          <w:iCs/>
          <w:kern w:val="28"/>
        </w:rPr>
        <w:t>n</w:t>
      </w:r>
      <w:r>
        <w:rPr>
          <w:kern w:val="28"/>
        </w:rPr>
        <w:t>=0.25</w:t>
      </w:r>
      <w:r>
        <w:rPr>
          <w:kern w:val="28"/>
        </w:rPr>
        <w:t>；</w:t>
      </w:r>
    </w:p>
    <w:p w14:paraId="1CA4C751" w14:textId="77777777" w:rsidR="003E78AB" w:rsidRDefault="00010BF9">
      <w:pPr>
        <w:ind w:firstLine="480"/>
        <w:rPr>
          <w:kern w:val="28"/>
        </w:rPr>
      </w:pPr>
      <w:r>
        <w:rPr>
          <w:kern w:val="28"/>
        </w:rPr>
        <w:t>水流实际平均流速</w:t>
      </w:r>
      <w:r>
        <w:rPr>
          <w:i/>
          <w:iCs/>
          <w:kern w:val="28"/>
        </w:rPr>
        <w:t>u</w:t>
      </w:r>
      <w:r>
        <w:rPr>
          <w:kern w:val="28"/>
        </w:rPr>
        <w:t>：本区域潜水含水层渗透系数为</w:t>
      </w:r>
      <w:r>
        <w:rPr>
          <w:kern w:val="28"/>
        </w:rPr>
        <w:t>5m/d</w:t>
      </w:r>
      <w:r>
        <w:rPr>
          <w:kern w:val="28"/>
        </w:rPr>
        <w:t>。同时厂区地下水径流方向与区域径流方向一致，主要是由</w:t>
      </w:r>
      <w:r>
        <w:rPr>
          <w:kern w:val="28"/>
        </w:rPr>
        <w:t>N20°E</w:t>
      </w:r>
      <w:r>
        <w:rPr>
          <w:kern w:val="28"/>
        </w:rPr>
        <w:t>方向向</w:t>
      </w:r>
      <w:r>
        <w:rPr>
          <w:kern w:val="28"/>
        </w:rPr>
        <w:t>S20°W</w:t>
      </w:r>
      <w:r>
        <w:rPr>
          <w:kern w:val="28"/>
        </w:rPr>
        <w:t>呈一维流动，水力坡度</w:t>
      </w:r>
      <w:r>
        <w:rPr>
          <w:kern w:val="28"/>
        </w:rPr>
        <w:t>I=4‰</w:t>
      </w:r>
      <w:r>
        <w:rPr>
          <w:kern w:val="28"/>
        </w:rPr>
        <w:t>，因此地下水的渗透流速</w:t>
      </w:r>
      <w:r>
        <w:rPr>
          <w:kern w:val="28"/>
        </w:rPr>
        <w:t>V=KI=5m/d×0.0</w:t>
      </w:r>
      <w:r>
        <w:rPr>
          <w:kern w:val="28"/>
        </w:rPr>
        <w:t>04=0.02m/d</w:t>
      </w:r>
      <w:r>
        <w:rPr>
          <w:kern w:val="28"/>
        </w:rPr>
        <w:t>，平均实际流速</w:t>
      </w:r>
      <w:r>
        <w:rPr>
          <w:kern w:val="28"/>
        </w:rPr>
        <w:t>u=V/n=0.08m/d</w:t>
      </w:r>
      <w:r>
        <w:rPr>
          <w:kern w:val="28"/>
        </w:rPr>
        <w:t>。</w:t>
      </w:r>
    </w:p>
    <w:p w14:paraId="787F1DDA" w14:textId="77777777" w:rsidR="003E78AB" w:rsidRDefault="00010BF9">
      <w:pPr>
        <w:ind w:firstLine="480"/>
        <w:rPr>
          <w:kern w:val="28"/>
        </w:rPr>
      </w:pPr>
      <w:r>
        <w:rPr>
          <w:kern w:val="28"/>
        </w:rPr>
        <w:t>参考</w:t>
      </w:r>
      <w:r>
        <w:rPr>
          <w:kern w:val="28"/>
        </w:rPr>
        <w:t>Gelhar</w:t>
      </w:r>
      <w:r>
        <w:rPr>
          <w:kern w:val="28"/>
        </w:rPr>
        <w:t>等人关于纵向弥散度与观测尺度关系的研究成果，对不同岩性和不同尺度条件下介质的弥散度大小进行了统计，获得了污染物在不同岩性中迁移的纵向弥散度，并存在尺度效应现象。根据本次项目的研究尺度，模型计算中纵向弥散度选用</w:t>
      </w:r>
      <w:r>
        <w:rPr>
          <w:kern w:val="28"/>
        </w:rPr>
        <w:t>10m</w:t>
      </w:r>
      <w:r>
        <w:rPr>
          <w:kern w:val="28"/>
        </w:rPr>
        <w:t>。</w:t>
      </w:r>
    </w:p>
    <w:p w14:paraId="3FA93393" w14:textId="77777777" w:rsidR="003E78AB" w:rsidRDefault="00010BF9">
      <w:pPr>
        <w:ind w:firstLine="480"/>
        <w:rPr>
          <w:kern w:val="28"/>
        </w:rPr>
      </w:pPr>
      <w:r>
        <w:rPr>
          <w:kern w:val="28"/>
        </w:rPr>
        <w:t>由此计算项目区含水层中的纵向弥散系数</w:t>
      </w:r>
      <w:r>
        <w:rPr>
          <w:kern w:val="28"/>
        </w:rPr>
        <w:t>D</w:t>
      </w:r>
      <w:r>
        <w:rPr>
          <w:kern w:val="28"/>
          <w:vertAlign w:val="subscript"/>
        </w:rPr>
        <w:t>L</w:t>
      </w:r>
      <w:r>
        <w:rPr>
          <w:kern w:val="28"/>
        </w:rPr>
        <w:t>=α</w:t>
      </w:r>
      <w:r>
        <w:rPr>
          <w:kern w:val="28"/>
          <w:vertAlign w:val="subscript"/>
        </w:rPr>
        <w:t>L</w:t>
      </w:r>
      <w:r>
        <w:rPr>
          <w:kern w:val="28"/>
        </w:rPr>
        <w:t>·u=10×0.08m/d=0.8(m</w:t>
      </w:r>
      <w:r>
        <w:rPr>
          <w:kern w:val="28"/>
          <w:vertAlign w:val="superscript"/>
        </w:rPr>
        <w:t>2</w:t>
      </w:r>
      <w:r>
        <w:rPr>
          <w:kern w:val="28"/>
        </w:rPr>
        <w:t>/d)</w:t>
      </w:r>
      <w:r>
        <w:rPr>
          <w:kern w:val="28"/>
        </w:rPr>
        <w:t>；</w:t>
      </w:r>
    </w:p>
    <w:p w14:paraId="592C6026" w14:textId="77777777" w:rsidR="003E78AB" w:rsidRDefault="00010BF9">
      <w:pPr>
        <w:spacing w:line="240" w:lineRule="atLeast"/>
        <w:ind w:firstLineChars="0" w:firstLine="0"/>
        <w:rPr>
          <w:kern w:val="28"/>
        </w:rPr>
      </w:pPr>
      <w:r>
        <w:rPr>
          <w:rFonts w:eastAsia="黑体"/>
          <w:noProof/>
          <w:kern w:val="2"/>
          <w:position w:val="-79"/>
          <w:sz w:val="21"/>
          <w:szCs w:val="21"/>
        </w:rPr>
        <w:drawing>
          <wp:inline distT="0" distB="0" distL="114300" distR="114300">
            <wp:extent cx="5017770" cy="2381885"/>
            <wp:effectExtent l="0" t="0" r="11430" b="1841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86"/>
                    <a:stretch>
                      <a:fillRect/>
                    </a:stretch>
                  </pic:blipFill>
                  <pic:spPr>
                    <a:xfrm>
                      <a:off x="0" y="0"/>
                      <a:ext cx="5017770" cy="2381885"/>
                    </a:xfrm>
                    <a:prstGeom prst="rect">
                      <a:avLst/>
                    </a:prstGeom>
                    <a:noFill/>
                    <a:ln>
                      <a:noFill/>
                    </a:ln>
                  </pic:spPr>
                </pic:pic>
              </a:graphicData>
            </a:graphic>
          </wp:inline>
        </w:drawing>
      </w:r>
    </w:p>
    <w:p w14:paraId="1671722A" w14:textId="77777777" w:rsidR="003E78AB" w:rsidRDefault="00010BF9">
      <w:pPr>
        <w:pStyle w:val="a9"/>
        <w:spacing w:before="120"/>
        <w:ind w:left="425" w:hanging="425"/>
      </w:pPr>
      <w:r>
        <w:t>沉积物纵向弥散度与研究区尺度关系图</w:t>
      </w:r>
    </w:p>
    <w:p w14:paraId="19357F5D" w14:textId="77777777" w:rsidR="003E78AB" w:rsidRDefault="00010BF9">
      <w:pPr>
        <w:ind w:firstLine="480"/>
        <w:rPr>
          <w:kern w:val="28"/>
        </w:rPr>
      </w:pPr>
      <w:r>
        <w:rPr>
          <w:kern w:val="28"/>
        </w:rPr>
        <w:t>④</w:t>
      </w:r>
      <w:r>
        <w:rPr>
          <w:kern w:val="28"/>
        </w:rPr>
        <w:t>预测结果</w:t>
      </w:r>
    </w:p>
    <w:p w14:paraId="3463DEEA" w14:textId="77777777" w:rsidR="003E78AB" w:rsidRDefault="00010BF9">
      <w:pPr>
        <w:ind w:firstLine="480"/>
        <w:rPr>
          <w:kern w:val="28"/>
        </w:rPr>
      </w:pPr>
      <w:r>
        <w:rPr>
          <w:kern w:val="28"/>
        </w:rPr>
        <w:t>将各项水文地质参数和预测因子浓度</w:t>
      </w:r>
      <w:r>
        <w:rPr>
          <w:rFonts w:hint="eastAsia"/>
          <w:kern w:val="28"/>
        </w:rPr>
        <w:t>代入</w:t>
      </w:r>
      <w:r>
        <w:rPr>
          <w:kern w:val="28"/>
        </w:rPr>
        <w:t>模型公式中计算，求出</w:t>
      </w:r>
      <w:r>
        <w:rPr>
          <w:rFonts w:hint="eastAsia"/>
          <w:kern w:val="28"/>
        </w:rPr>
        <w:t>钒</w:t>
      </w:r>
      <w:r>
        <w:rPr>
          <w:kern w:val="28"/>
        </w:rPr>
        <w:t>及</w:t>
      </w:r>
      <w:r>
        <w:rPr>
          <w:rFonts w:hint="eastAsia"/>
          <w:kern w:val="28"/>
        </w:rPr>
        <w:t>磷酸盐</w:t>
      </w:r>
      <w:r>
        <w:rPr>
          <w:kern w:val="28"/>
        </w:rPr>
        <w:t>在持续泄漏时随时间的浓度变化情况。</w:t>
      </w:r>
    </w:p>
    <w:p w14:paraId="766B7F76" w14:textId="77777777" w:rsidR="003E78AB" w:rsidRDefault="00010BF9">
      <w:pPr>
        <w:numPr>
          <w:ilvl w:val="0"/>
          <w:numId w:val="27"/>
        </w:numPr>
        <w:spacing w:line="460" w:lineRule="exact"/>
        <w:ind w:firstLine="480"/>
        <w:rPr>
          <w:kern w:val="28"/>
        </w:rPr>
      </w:pPr>
      <w:r>
        <w:rPr>
          <w:kern w:val="28"/>
        </w:rPr>
        <w:t>事故状态下</w:t>
      </w:r>
      <w:r>
        <w:rPr>
          <w:rFonts w:hint="eastAsia"/>
          <w:kern w:val="28"/>
        </w:rPr>
        <w:t>钒</w:t>
      </w:r>
      <w:r>
        <w:rPr>
          <w:kern w:val="28"/>
        </w:rPr>
        <w:t>影响预测</w:t>
      </w:r>
    </w:p>
    <w:p w14:paraId="1505C483" w14:textId="77777777" w:rsidR="003E78AB" w:rsidRDefault="00010BF9">
      <w:pPr>
        <w:ind w:firstLine="480"/>
        <w:rPr>
          <w:kern w:val="28"/>
        </w:rPr>
      </w:pPr>
      <w:r>
        <w:rPr>
          <w:kern w:val="28"/>
        </w:rPr>
        <w:t>按上述预测条件及各参数，分别预测污染物</w:t>
      </w:r>
      <w:r>
        <w:rPr>
          <w:rFonts w:hint="eastAsia"/>
          <w:kern w:val="28"/>
        </w:rPr>
        <w:t>钒</w:t>
      </w:r>
      <w:r>
        <w:rPr>
          <w:kern w:val="28"/>
        </w:rPr>
        <w:t>自开始泄漏起第</w:t>
      </w:r>
      <w:r>
        <w:rPr>
          <w:kern w:val="28"/>
        </w:rPr>
        <w:t>100d</w:t>
      </w:r>
      <w:r>
        <w:rPr>
          <w:kern w:val="28"/>
        </w:rPr>
        <w:t>、</w:t>
      </w:r>
      <w:r>
        <w:rPr>
          <w:kern w:val="28"/>
        </w:rPr>
        <w:t>365d</w:t>
      </w:r>
      <w:r>
        <w:rPr>
          <w:kern w:val="28"/>
        </w:rPr>
        <w:t>、</w:t>
      </w:r>
      <w:r>
        <w:rPr>
          <w:kern w:val="28"/>
        </w:rPr>
        <w:t>1000d</w:t>
      </w:r>
      <w:r>
        <w:rPr>
          <w:kern w:val="28"/>
        </w:rPr>
        <w:t>的最大超标距离。预测结果见</w:t>
      </w:r>
      <w:r>
        <w:rPr>
          <w:kern w:val="28"/>
        </w:rPr>
        <w:fldChar w:fldCharType="begin"/>
      </w:r>
      <w:r>
        <w:rPr>
          <w:kern w:val="28"/>
        </w:rPr>
        <w:instrText xml:space="preserve"> REF _Ref16476 \r \h </w:instrText>
      </w:r>
      <w:r>
        <w:rPr>
          <w:kern w:val="28"/>
        </w:rPr>
      </w:r>
      <w:r>
        <w:rPr>
          <w:kern w:val="28"/>
        </w:rPr>
        <w:fldChar w:fldCharType="separate"/>
      </w:r>
      <w:r>
        <w:rPr>
          <w:kern w:val="28"/>
        </w:rPr>
        <w:t>表</w:t>
      </w:r>
      <w:r>
        <w:rPr>
          <w:kern w:val="28"/>
        </w:rPr>
        <w:t>5-58</w:t>
      </w:r>
      <w:r>
        <w:rPr>
          <w:kern w:val="28"/>
        </w:rPr>
        <w:fldChar w:fldCharType="end"/>
      </w:r>
      <w:r>
        <w:rPr>
          <w:kern w:val="28"/>
        </w:rPr>
        <w:t>。</w:t>
      </w:r>
    </w:p>
    <w:p w14:paraId="195085C5" w14:textId="77777777" w:rsidR="003E78AB" w:rsidRDefault="00010BF9">
      <w:pPr>
        <w:pStyle w:val="a4"/>
        <w:spacing w:before="120"/>
        <w:ind w:left="425" w:hanging="425"/>
        <w:jc w:val="right"/>
      </w:pPr>
      <w:bookmarkStart w:id="387" w:name="_Ref16476"/>
      <w:r>
        <w:t>地下水中</w:t>
      </w:r>
      <w:r>
        <w:rPr>
          <w:rFonts w:hint="eastAsia"/>
        </w:rPr>
        <w:t>钒</w:t>
      </w:r>
      <w:r>
        <w:t>运移预测结果</w:t>
      </w:r>
      <w:r>
        <w:rPr>
          <w:rFonts w:hint="eastAsia"/>
        </w:rPr>
        <w:t xml:space="preserve">        </w:t>
      </w:r>
      <w:r>
        <w:t>单位：</w:t>
      </w:r>
      <w:r>
        <w:t>mg/</w:t>
      </w:r>
      <w:r>
        <w:rPr>
          <w:rFonts w:hint="eastAsia"/>
        </w:rPr>
        <w:t>L</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124"/>
        <w:gridCol w:w="2124"/>
        <w:gridCol w:w="2148"/>
      </w:tblGrid>
      <w:tr w:rsidR="003E78AB" w14:paraId="4FD68508" w14:textId="77777777">
        <w:trPr>
          <w:trHeight w:val="90"/>
          <w:tblHeader/>
        </w:trPr>
        <w:tc>
          <w:tcPr>
            <w:tcW w:w="5000" w:type="pct"/>
            <w:gridSpan w:val="4"/>
            <w:shd w:val="clear" w:color="auto" w:fill="auto"/>
            <w:vAlign w:val="center"/>
          </w:tcPr>
          <w:p w14:paraId="4128A88A" w14:textId="77777777" w:rsidR="003E78AB" w:rsidRDefault="00010BF9">
            <w:pPr>
              <w:spacing w:line="240" w:lineRule="auto"/>
              <w:ind w:firstLineChars="0" w:firstLine="0"/>
              <w:jc w:val="center"/>
              <w:textAlignment w:val="top"/>
              <w:rPr>
                <w:b/>
                <w:bCs/>
                <w:sz w:val="21"/>
                <w:szCs w:val="21"/>
                <w:lang w:bidi="ar"/>
              </w:rPr>
            </w:pPr>
            <w:r>
              <w:rPr>
                <w:b/>
                <w:bCs/>
                <w:kern w:val="2"/>
                <w:sz w:val="21"/>
                <w:szCs w:val="21"/>
                <w:lang w:bidi="ar"/>
              </w:rPr>
              <w:t>预测因子：</w:t>
            </w:r>
            <w:r>
              <w:rPr>
                <w:rFonts w:hint="eastAsia"/>
                <w:b/>
                <w:bCs/>
                <w:kern w:val="2"/>
                <w:sz w:val="21"/>
                <w:szCs w:val="21"/>
                <w:lang w:bidi="ar"/>
              </w:rPr>
              <w:t>钒</w:t>
            </w:r>
            <w:r>
              <w:rPr>
                <w:b/>
                <w:bCs/>
                <w:kern w:val="2"/>
                <w:sz w:val="21"/>
                <w:szCs w:val="21"/>
                <w:lang w:bidi="ar"/>
              </w:rPr>
              <w:t>标准值：</w:t>
            </w:r>
            <w:r>
              <w:rPr>
                <w:rFonts w:hint="eastAsia"/>
                <w:b/>
                <w:bCs/>
                <w:kern w:val="2"/>
                <w:sz w:val="21"/>
                <w:szCs w:val="21"/>
                <w:lang w:bidi="ar"/>
              </w:rPr>
              <w:t>0.05</w:t>
            </w:r>
            <w:r>
              <w:rPr>
                <w:b/>
                <w:bCs/>
                <w:kern w:val="2"/>
                <w:sz w:val="21"/>
                <w:szCs w:val="21"/>
                <w:lang w:bidi="ar"/>
              </w:rPr>
              <w:t>mg/</w:t>
            </w:r>
            <w:r>
              <w:rPr>
                <w:rFonts w:hint="eastAsia"/>
                <w:b/>
                <w:bCs/>
                <w:kern w:val="2"/>
                <w:sz w:val="21"/>
                <w:szCs w:val="21"/>
                <w:lang w:bidi="ar"/>
              </w:rPr>
              <w:t>L</w:t>
            </w:r>
          </w:p>
        </w:tc>
      </w:tr>
      <w:tr w:rsidR="003E78AB" w14:paraId="569AE0F4" w14:textId="77777777">
        <w:trPr>
          <w:trHeight w:val="283"/>
          <w:tblHeader/>
        </w:trPr>
        <w:tc>
          <w:tcPr>
            <w:tcW w:w="1245" w:type="pct"/>
            <w:tcBorders>
              <w:tl2br w:val="single" w:sz="4" w:space="0" w:color="auto"/>
            </w:tcBorders>
            <w:shd w:val="clear" w:color="auto" w:fill="auto"/>
            <w:vAlign w:val="center"/>
          </w:tcPr>
          <w:p w14:paraId="73BA6802" w14:textId="77777777" w:rsidR="003E78AB" w:rsidRDefault="00010BF9">
            <w:pPr>
              <w:spacing w:line="240" w:lineRule="auto"/>
              <w:ind w:firstLineChars="0" w:firstLine="0"/>
              <w:jc w:val="right"/>
              <w:textAlignment w:val="top"/>
              <w:rPr>
                <w:b/>
                <w:bCs/>
                <w:sz w:val="21"/>
                <w:szCs w:val="21"/>
                <w:lang w:bidi="ar"/>
              </w:rPr>
            </w:pPr>
            <w:r>
              <w:rPr>
                <w:b/>
                <w:bCs/>
                <w:sz w:val="21"/>
                <w:szCs w:val="21"/>
                <w:lang w:bidi="ar"/>
              </w:rPr>
              <w:t>天数</w:t>
            </w:r>
          </w:p>
          <w:p w14:paraId="51350857" w14:textId="77777777" w:rsidR="003E78AB" w:rsidRDefault="00010BF9">
            <w:pPr>
              <w:spacing w:line="240" w:lineRule="auto"/>
              <w:ind w:firstLineChars="0" w:firstLine="0"/>
              <w:jc w:val="left"/>
              <w:textAlignment w:val="top"/>
              <w:rPr>
                <w:b/>
                <w:bCs/>
                <w:kern w:val="2"/>
                <w:sz w:val="21"/>
                <w:szCs w:val="21"/>
              </w:rPr>
            </w:pPr>
            <w:r>
              <w:rPr>
                <w:b/>
                <w:bCs/>
                <w:sz w:val="21"/>
                <w:szCs w:val="21"/>
                <w:lang w:bidi="ar"/>
              </w:rPr>
              <w:t>距离</w:t>
            </w:r>
            <w:r>
              <w:rPr>
                <w:b/>
                <w:bCs/>
                <w:kern w:val="2"/>
                <w:sz w:val="21"/>
                <w:szCs w:val="21"/>
                <w:lang w:bidi="ar"/>
              </w:rPr>
              <w:t>m</w:t>
            </w:r>
          </w:p>
        </w:tc>
        <w:tc>
          <w:tcPr>
            <w:tcW w:w="1247" w:type="pct"/>
            <w:shd w:val="clear" w:color="auto" w:fill="auto"/>
            <w:vAlign w:val="center"/>
          </w:tcPr>
          <w:p w14:paraId="7A8DD5EE" w14:textId="77777777" w:rsidR="003E78AB" w:rsidRDefault="00010BF9">
            <w:pPr>
              <w:spacing w:line="240" w:lineRule="auto"/>
              <w:ind w:firstLineChars="0" w:firstLine="0"/>
              <w:jc w:val="center"/>
              <w:textAlignment w:val="top"/>
              <w:rPr>
                <w:b/>
                <w:bCs/>
                <w:kern w:val="2"/>
                <w:sz w:val="21"/>
                <w:szCs w:val="21"/>
              </w:rPr>
            </w:pPr>
            <w:r>
              <w:rPr>
                <w:b/>
                <w:bCs/>
                <w:sz w:val="21"/>
                <w:szCs w:val="21"/>
                <w:lang w:bidi="ar"/>
              </w:rPr>
              <w:t>100d</w:t>
            </w:r>
          </w:p>
        </w:tc>
        <w:tc>
          <w:tcPr>
            <w:tcW w:w="1247" w:type="pct"/>
            <w:shd w:val="clear" w:color="auto" w:fill="auto"/>
            <w:vAlign w:val="center"/>
          </w:tcPr>
          <w:p w14:paraId="2E5513FB" w14:textId="77777777" w:rsidR="003E78AB" w:rsidRDefault="00010BF9">
            <w:pPr>
              <w:spacing w:line="240" w:lineRule="auto"/>
              <w:ind w:firstLineChars="0" w:firstLine="0"/>
              <w:jc w:val="center"/>
              <w:textAlignment w:val="top"/>
              <w:rPr>
                <w:b/>
                <w:bCs/>
                <w:kern w:val="2"/>
                <w:sz w:val="21"/>
                <w:szCs w:val="21"/>
              </w:rPr>
            </w:pPr>
            <w:r>
              <w:rPr>
                <w:b/>
                <w:bCs/>
                <w:sz w:val="21"/>
                <w:szCs w:val="21"/>
                <w:lang w:bidi="ar"/>
              </w:rPr>
              <w:t>365d</w:t>
            </w:r>
          </w:p>
        </w:tc>
        <w:tc>
          <w:tcPr>
            <w:tcW w:w="1258" w:type="pct"/>
            <w:shd w:val="clear" w:color="auto" w:fill="auto"/>
            <w:vAlign w:val="center"/>
          </w:tcPr>
          <w:p w14:paraId="10EC5C3A" w14:textId="77777777" w:rsidR="003E78AB" w:rsidRDefault="00010BF9">
            <w:pPr>
              <w:spacing w:line="240" w:lineRule="auto"/>
              <w:ind w:firstLineChars="0" w:firstLine="0"/>
              <w:jc w:val="center"/>
              <w:textAlignment w:val="top"/>
              <w:rPr>
                <w:b/>
                <w:bCs/>
                <w:sz w:val="21"/>
                <w:szCs w:val="21"/>
                <w:lang w:bidi="ar"/>
              </w:rPr>
            </w:pPr>
            <w:r>
              <w:rPr>
                <w:b/>
                <w:bCs/>
                <w:sz w:val="21"/>
                <w:szCs w:val="21"/>
                <w:lang w:bidi="ar"/>
              </w:rPr>
              <w:t>1000d</w:t>
            </w:r>
          </w:p>
        </w:tc>
      </w:tr>
      <w:tr w:rsidR="003E78AB" w14:paraId="7679131F" w14:textId="77777777">
        <w:trPr>
          <w:trHeight w:val="283"/>
        </w:trPr>
        <w:tc>
          <w:tcPr>
            <w:tcW w:w="1245" w:type="pct"/>
            <w:shd w:val="clear" w:color="auto" w:fill="auto"/>
            <w:vAlign w:val="center"/>
          </w:tcPr>
          <w:p w14:paraId="0EB4E036" w14:textId="77777777" w:rsidR="003E78AB" w:rsidRDefault="00010BF9">
            <w:pPr>
              <w:spacing w:line="240" w:lineRule="auto"/>
              <w:ind w:firstLineChars="0" w:firstLine="0"/>
              <w:jc w:val="center"/>
              <w:textAlignment w:val="center"/>
              <w:rPr>
                <w:kern w:val="2"/>
                <w:sz w:val="21"/>
                <w:szCs w:val="21"/>
              </w:rPr>
            </w:pPr>
            <w:r>
              <w:rPr>
                <w:sz w:val="21"/>
                <w:szCs w:val="21"/>
                <w:lang w:bidi="ar"/>
              </w:rPr>
              <w:t>0</w:t>
            </w:r>
          </w:p>
        </w:tc>
        <w:tc>
          <w:tcPr>
            <w:tcW w:w="2124" w:type="dxa"/>
            <w:shd w:val="clear" w:color="auto" w:fill="auto"/>
            <w:vAlign w:val="bottom"/>
          </w:tcPr>
          <w:p w14:paraId="4C0A3CDA" w14:textId="77777777" w:rsidR="003E78AB" w:rsidRDefault="00010BF9">
            <w:pPr>
              <w:spacing w:line="240" w:lineRule="auto"/>
              <w:ind w:firstLineChars="0" w:firstLine="0"/>
              <w:jc w:val="center"/>
              <w:textAlignment w:val="center"/>
              <w:rPr>
                <w:sz w:val="21"/>
                <w:szCs w:val="21"/>
                <w:lang w:bidi="ar"/>
              </w:rPr>
            </w:pPr>
            <w:r>
              <w:rPr>
                <w:sz w:val="21"/>
                <w:szCs w:val="21"/>
                <w:lang w:bidi="ar"/>
              </w:rPr>
              <w:t>12.1</w:t>
            </w:r>
          </w:p>
        </w:tc>
        <w:tc>
          <w:tcPr>
            <w:tcW w:w="2124" w:type="dxa"/>
            <w:shd w:val="clear" w:color="auto" w:fill="auto"/>
            <w:vAlign w:val="bottom"/>
          </w:tcPr>
          <w:p w14:paraId="3FCD4ABE" w14:textId="77777777" w:rsidR="003E78AB" w:rsidRDefault="00010BF9">
            <w:pPr>
              <w:spacing w:line="240" w:lineRule="auto"/>
              <w:ind w:firstLineChars="0" w:firstLine="0"/>
              <w:jc w:val="center"/>
              <w:textAlignment w:val="center"/>
              <w:rPr>
                <w:sz w:val="21"/>
                <w:szCs w:val="21"/>
                <w:lang w:bidi="ar"/>
              </w:rPr>
            </w:pPr>
            <w:r>
              <w:rPr>
                <w:sz w:val="21"/>
                <w:szCs w:val="21"/>
                <w:lang w:bidi="ar"/>
              </w:rPr>
              <w:t>12.1</w:t>
            </w:r>
          </w:p>
        </w:tc>
        <w:tc>
          <w:tcPr>
            <w:tcW w:w="2148" w:type="dxa"/>
            <w:shd w:val="clear" w:color="auto" w:fill="auto"/>
            <w:vAlign w:val="bottom"/>
          </w:tcPr>
          <w:p w14:paraId="41B922CE" w14:textId="77777777" w:rsidR="003E78AB" w:rsidRDefault="00010BF9">
            <w:pPr>
              <w:spacing w:line="240" w:lineRule="auto"/>
              <w:ind w:firstLineChars="0" w:firstLine="0"/>
              <w:jc w:val="center"/>
              <w:textAlignment w:val="center"/>
              <w:rPr>
                <w:sz w:val="21"/>
                <w:szCs w:val="21"/>
                <w:lang w:bidi="ar"/>
              </w:rPr>
            </w:pPr>
            <w:r>
              <w:rPr>
                <w:sz w:val="21"/>
                <w:szCs w:val="21"/>
                <w:lang w:bidi="ar"/>
              </w:rPr>
              <w:t>12.1</w:t>
            </w:r>
          </w:p>
        </w:tc>
      </w:tr>
      <w:tr w:rsidR="003E78AB" w14:paraId="4624DC9A" w14:textId="77777777">
        <w:trPr>
          <w:trHeight w:val="283"/>
        </w:trPr>
        <w:tc>
          <w:tcPr>
            <w:tcW w:w="1245" w:type="pct"/>
            <w:shd w:val="clear" w:color="auto" w:fill="auto"/>
            <w:vAlign w:val="center"/>
          </w:tcPr>
          <w:p w14:paraId="1DDF87BF" w14:textId="77777777" w:rsidR="003E78AB" w:rsidRDefault="00010BF9">
            <w:pPr>
              <w:spacing w:line="240" w:lineRule="auto"/>
              <w:ind w:firstLineChars="0" w:firstLine="0"/>
              <w:jc w:val="center"/>
              <w:textAlignment w:val="center"/>
              <w:rPr>
                <w:kern w:val="2"/>
                <w:sz w:val="21"/>
                <w:szCs w:val="21"/>
              </w:rPr>
            </w:pPr>
            <w:r>
              <w:rPr>
                <w:sz w:val="21"/>
                <w:szCs w:val="21"/>
                <w:lang w:bidi="ar"/>
              </w:rPr>
              <w:t>10</w:t>
            </w:r>
          </w:p>
        </w:tc>
        <w:tc>
          <w:tcPr>
            <w:tcW w:w="2124" w:type="dxa"/>
            <w:shd w:val="clear" w:color="auto" w:fill="auto"/>
            <w:vAlign w:val="bottom"/>
          </w:tcPr>
          <w:p w14:paraId="23676B0D" w14:textId="77777777" w:rsidR="003E78AB" w:rsidRDefault="00010BF9">
            <w:pPr>
              <w:spacing w:line="240" w:lineRule="auto"/>
              <w:ind w:firstLineChars="0" w:firstLine="0"/>
              <w:jc w:val="center"/>
              <w:textAlignment w:val="center"/>
              <w:rPr>
                <w:sz w:val="21"/>
                <w:szCs w:val="21"/>
                <w:lang w:bidi="ar"/>
              </w:rPr>
            </w:pPr>
            <w:r>
              <w:rPr>
                <w:sz w:val="21"/>
                <w:szCs w:val="21"/>
                <w:lang w:bidi="ar"/>
              </w:rPr>
              <w:t>8.632</w:t>
            </w:r>
          </w:p>
        </w:tc>
        <w:tc>
          <w:tcPr>
            <w:tcW w:w="2124" w:type="dxa"/>
            <w:shd w:val="clear" w:color="auto" w:fill="auto"/>
            <w:vAlign w:val="bottom"/>
          </w:tcPr>
          <w:p w14:paraId="5182A232" w14:textId="77777777" w:rsidR="003E78AB" w:rsidRDefault="00010BF9">
            <w:pPr>
              <w:spacing w:line="240" w:lineRule="auto"/>
              <w:ind w:firstLineChars="0" w:firstLine="0"/>
              <w:jc w:val="center"/>
              <w:textAlignment w:val="center"/>
              <w:rPr>
                <w:sz w:val="21"/>
                <w:szCs w:val="21"/>
                <w:lang w:bidi="ar"/>
              </w:rPr>
            </w:pPr>
            <w:r>
              <w:rPr>
                <w:sz w:val="21"/>
                <w:szCs w:val="21"/>
                <w:lang w:bidi="ar"/>
              </w:rPr>
              <w:t>11.382</w:t>
            </w:r>
          </w:p>
        </w:tc>
        <w:tc>
          <w:tcPr>
            <w:tcW w:w="2148" w:type="dxa"/>
            <w:shd w:val="clear" w:color="auto" w:fill="auto"/>
            <w:vAlign w:val="bottom"/>
          </w:tcPr>
          <w:p w14:paraId="1B953527" w14:textId="77777777" w:rsidR="003E78AB" w:rsidRDefault="00010BF9">
            <w:pPr>
              <w:spacing w:line="240" w:lineRule="auto"/>
              <w:ind w:firstLineChars="0" w:firstLine="0"/>
              <w:jc w:val="center"/>
              <w:textAlignment w:val="center"/>
              <w:rPr>
                <w:sz w:val="21"/>
                <w:szCs w:val="21"/>
                <w:lang w:bidi="ar"/>
              </w:rPr>
            </w:pPr>
            <w:r>
              <w:rPr>
                <w:sz w:val="21"/>
                <w:szCs w:val="21"/>
                <w:lang w:bidi="ar"/>
              </w:rPr>
              <w:t>12.077</w:t>
            </w:r>
          </w:p>
        </w:tc>
      </w:tr>
      <w:tr w:rsidR="003E78AB" w14:paraId="0DF240D5" w14:textId="77777777">
        <w:trPr>
          <w:trHeight w:val="283"/>
        </w:trPr>
        <w:tc>
          <w:tcPr>
            <w:tcW w:w="1245" w:type="pct"/>
            <w:shd w:val="clear" w:color="auto" w:fill="auto"/>
            <w:vAlign w:val="center"/>
          </w:tcPr>
          <w:p w14:paraId="0F2FEC12" w14:textId="77777777" w:rsidR="003E78AB" w:rsidRDefault="00010BF9">
            <w:pPr>
              <w:spacing w:line="240" w:lineRule="auto"/>
              <w:ind w:firstLineChars="0" w:firstLine="0"/>
              <w:jc w:val="center"/>
              <w:textAlignment w:val="center"/>
              <w:rPr>
                <w:kern w:val="2"/>
                <w:sz w:val="21"/>
                <w:szCs w:val="21"/>
              </w:rPr>
            </w:pPr>
            <w:r>
              <w:rPr>
                <w:sz w:val="21"/>
                <w:szCs w:val="21"/>
                <w:lang w:bidi="ar"/>
              </w:rPr>
              <w:t>20</w:t>
            </w:r>
          </w:p>
        </w:tc>
        <w:tc>
          <w:tcPr>
            <w:tcW w:w="2124" w:type="dxa"/>
            <w:shd w:val="clear" w:color="auto" w:fill="auto"/>
            <w:vAlign w:val="bottom"/>
          </w:tcPr>
          <w:p w14:paraId="3C802623" w14:textId="77777777" w:rsidR="003E78AB" w:rsidRDefault="00010BF9">
            <w:pPr>
              <w:spacing w:line="240" w:lineRule="auto"/>
              <w:ind w:firstLineChars="0" w:firstLine="0"/>
              <w:jc w:val="center"/>
              <w:textAlignment w:val="center"/>
              <w:rPr>
                <w:sz w:val="21"/>
                <w:szCs w:val="21"/>
                <w:lang w:bidi="ar"/>
              </w:rPr>
            </w:pPr>
            <w:r>
              <w:rPr>
                <w:sz w:val="21"/>
                <w:szCs w:val="21"/>
                <w:lang w:bidi="ar"/>
              </w:rPr>
              <w:t>0.211</w:t>
            </w:r>
          </w:p>
        </w:tc>
        <w:tc>
          <w:tcPr>
            <w:tcW w:w="2124" w:type="dxa"/>
            <w:shd w:val="clear" w:color="auto" w:fill="auto"/>
            <w:vAlign w:val="bottom"/>
          </w:tcPr>
          <w:p w14:paraId="1B43DE04" w14:textId="77777777" w:rsidR="003E78AB" w:rsidRDefault="00010BF9">
            <w:pPr>
              <w:spacing w:line="240" w:lineRule="auto"/>
              <w:ind w:firstLineChars="0" w:firstLine="0"/>
              <w:jc w:val="center"/>
              <w:textAlignment w:val="center"/>
              <w:rPr>
                <w:sz w:val="21"/>
                <w:szCs w:val="21"/>
                <w:lang w:bidi="ar"/>
              </w:rPr>
            </w:pPr>
            <w:r>
              <w:rPr>
                <w:sz w:val="21"/>
                <w:szCs w:val="21"/>
                <w:lang w:bidi="ar"/>
              </w:rPr>
              <w:t>4.107</w:t>
            </w:r>
          </w:p>
        </w:tc>
        <w:tc>
          <w:tcPr>
            <w:tcW w:w="2148" w:type="dxa"/>
            <w:shd w:val="clear" w:color="auto" w:fill="auto"/>
            <w:vAlign w:val="bottom"/>
          </w:tcPr>
          <w:p w14:paraId="15A8F601" w14:textId="77777777" w:rsidR="003E78AB" w:rsidRDefault="00010BF9">
            <w:pPr>
              <w:spacing w:line="240" w:lineRule="auto"/>
              <w:ind w:firstLineChars="0" w:firstLine="0"/>
              <w:jc w:val="center"/>
              <w:textAlignment w:val="center"/>
              <w:rPr>
                <w:sz w:val="21"/>
                <w:szCs w:val="21"/>
                <w:lang w:bidi="ar"/>
              </w:rPr>
            </w:pPr>
            <w:r>
              <w:rPr>
                <w:sz w:val="21"/>
                <w:szCs w:val="21"/>
                <w:lang w:bidi="ar"/>
              </w:rPr>
              <w:t>11.017</w:t>
            </w:r>
          </w:p>
        </w:tc>
      </w:tr>
      <w:tr w:rsidR="003E78AB" w14:paraId="22ACE7E6" w14:textId="77777777">
        <w:trPr>
          <w:trHeight w:val="283"/>
        </w:trPr>
        <w:tc>
          <w:tcPr>
            <w:tcW w:w="1245" w:type="pct"/>
            <w:shd w:val="clear" w:color="auto" w:fill="auto"/>
            <w:vAlign w:val="center"/>
          </w:tcPr>
          <w:p w14:paraId="21ADF543" w14:textId="77777777" w:rsidR="003E78AB" w:rsidRDefault="00010BF9">
            <w:pPr>
              <w:spacing w:line="240" w:lineRule="auto"/>
              <w:ind w:firstLineChars="0" w:firstLine="0"/>
              <w:jc w:val="center"/>
              <w:textAlignment w:val="center"/>
              <w:rPr>
                <w:kern w:val="2"/>
                <w:sz w:val="21"/>
                <w:szCs w:val="21"/>
              </w:rPr>
            </w:pPr>
            <w:r>
              <w:rPr>
                <w:sz w:val="21"/>
                <w:szCs w:val="21"/>
                <w:lang w:bidi="ar"/>
              </w:rPr>
              <w:t>30</w:t>
            </w:r>
          </w:p>
        </w:tc>
        <w:tc>
          <w:tcPr>
            <w:tcW w:w="2124" w:type="dxa"/>
            <w:shd w:val="clear" w:color="auto" w:fill="auto"/>
            <w:vAlign w:val="bottom"/>
          </w:tcPr>
          <w:p w14:paraId="29A6C290"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2124" w:type="dxa"/>
            <w:shd w:val="clear" w:color="auto" w:fill="auto"/>
            <w:vAlign w:val="bottom"/>
          </w:tcPr>
          <w:p w14:paraId="7D82E321" w14:textId="77777777" w:rsidR="003E78AB" w:rsidRDefault="00010BF9">
            <w:pPr>
              <w:spacing w:line="240" w:lineRule="auto"/>
              <w:ind w:firstLineChars="0" w:firstLine="0"/>
              <w:jc w:val="center"/>
              <w:textAlignment w:val="center"/>
              <w:rPr>
                <w:sz w:val="21"/>
                <w:szCs w:val="21"/>
                <w:lang w:bidi="ar"/>
              </w:rPr>
            </w:pPr>
            <w:r>
              <w:rPr>
                <w:sz w:val="21"/>
                <w:szCs w:val="21"/>
                <w:lang w:bidi="ar"/>
              </w:rPr>
              <w:t>0.038</w:t>
            </w:r>
          </w:p>
        </w:tc>
        <w:tc>
          <w:tcPr>
            <w:tcW w:w="2148" w:type="dxa"/>
            <w:shd w:val="clear" w:color="auto" w:fill="auto"/>
            <w:vAlign w:val="bottom"/>
          </w:tcPr>
          <w:p w14:paraId="21505A82" w14:textId="77777777" w:rsidR="003E78AB" w:rsidRDefault="00010BF9">
            <w:pPr>
              <w:spacing w:line="240" w:lineRule="auto"/>
              <w:ind w:firstLineChars="0" w:firstLine="0"/>
              <w:jc w:val="center"/>
              <w:textAlignment w:val="center"/>
              <w:rPr>
                <w:sz w:val="21"/>
                <w:szCs w:val="21"/>
                <w:lang w:bidi="ar"/>
              </w:rPr>
            </w:pPr>
            <w:r>
              <w:rPr>
                <w:sz w:val="21"/>
                <w:szCs w:val="21"/>
                <w:lang w:bidi="ar"/>
              </w:rPr>
              <w:t>5.754</w:t>
            </w:r>
          </w:p>
        </w:tc>
      </w:tr>
      <w:tr w:rsidR="003E78AB" w14:paraId="011D42BE" w14:textId="77777777">
        <w:trPr>
          <w:trHeight w:val="283"/>
        </w:trPr>
        <w:tc>
          <w:tcPr>
            <w:tcW w:w="1245" w:type="pct"/>
            <w:shd w:val="clear" w:color="auto" w:fill="auto"/>
            <w:vAlign w:val="center"/>
          </w:tcPr>
          <w:p w14:paraId="5E491EA5" w14:textId="77777777" w:rsidR="003E78AB" w:rsidRDefault="00010BF9">
            <w:pPr>
              <w:spacing w:line="240" w:lineRule="auto"/>
              <w:ind w:firstLineChars="0" w:firstLine="0"/>
              <w:jc w:val="center"/>
              <w:textAlignment w:val="center"/>
              <w:rPr>
                <w:kern w:val="2"/>
                <w:sz w:val="21"/>
                <w:szCs w:val="21"/>
              </w:rPr>
            </w:pPr>
            <w:r>
              <w:rPr>
                <w:sz w:val="21"/>
                <w:szCs w:val="21"/>
                <w:lang w:bidi="ar"/>
              </w:rPr>
              <w:t>40</w:t>
            </w:r>
          </w:p>
        </w:tc>
        <w:tc>
          <w:tcPr>
            <w:tcW w:w="2124" w:type="dxa"/>
            <w:shd w:val="clear" w:color="auto" w:fill="auto"/>
            <w:vAlign w:val="bottom"/>
          </w:tcPr>
          <w:p w14:paraId="362993B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2124" w:type="dxa"/>
            <w:shd w:val="clear" w:color="auto" w:fill="auto"/>
            <w:vAlign w:val="bottom"/>
          </w:tcPr>
          <w:p w14:paraId="74145294"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2148" w:type="dxa"/>
            <w:shd w:val="clear" w:color="auto" w:fill="auto"/>
            <w:vAlign w:val="bottom"/>
          </w:tcPr>
          <w:p w14:paraId="4AB0F113" w14:textId="77777777" w:rsidR="003E78AB" w:rsidRDefault="00010BF9">
            <w:pPr>
              <w:spacing w:line="240" w:lineRule="auto"/>
              <w:ind w:firstLineChars="0" w:firstLine="0"/>
              <w:jc w:val="center"/>
              <w:textAlignment w:val="center"/>
              <w:rPr>
                <w:sz w:val="21"/>
                <w:szCs w:val="21"/>
                <w:lang w:bidi="ar"/>
              </w:rPr>
            </w:pPr>
            <w:r>
              <w:rPr>
                <w:sz w:val="21"/>
                <w:szCs w:val="21"/>
                <w:lang w:bidi="ar"/>
              </w:rPr>
              <w:t>0.124</w:t>
            </w:r>
          </w:p>
        </w:tc>
      </w:tr>
      <w:tr w:rsidR="003E78AB" w14:paraId="29733D6F" w14:textId="77777777">
        <w:trPr>
          <w:trHeight w:val="283"/>
        </w:trPr>
        <w:tc>
          <w:tcPr>
            <w:tcW w:w="1245" w:type="pct"/>
            <w:shd w:val="clear" w:color="auto" w:fill="auto"/>
            <w:vAlign w:val="center"/>
          </w:tcPr>
          <w:p w14:paraId="5A962885" w14:textId="77777777" w:rsidR="003E78AB" w:rsidRDefault="00010BF9">
            <w:pPr>
              <w:spacing w:line="240" w:lineRule="auto"/>
              <w:ind w:firstLineChars="0" w:firstLine="0"/>
              <w:jc w:val="center"/>
              <w:textAlignment w:val="center"/>
              <w:rPr>
                <w:kern w:val="2"/>
                <w:sz w:val="21"/>
                <w:szCs w:val="21"/>
              </w:rPr>
            </w:pPr>
            <w:r>
              <w:rPr>
                <w:sz w:val="21"/>
                <w:szCs w:val="21"/>
                <w:lang w:bidi="ar"/>
              </w:rPr>
              <w:t>50</w:t>
            </w:r>
          </w:p>
        </w:tc>
        <w:tc>
          <w:tcPr>
            <w:tcW w:w="2124" w:type="dxa"/>
            <w:shd w:val="clear" w:color="auto" w:fill="auto"/>
            <w:vAlign w:val="bottom"/>
          </w:tcPr>
          <w:p w14:paraId="4D9D6AAE"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2124" w:type="dxa"/>
            <w:shd w:val="clear" w:color="auto" w:fill="auto"/>
            <w:vAlign w:val="bottom"/>
          </w:tcPr>
          <w:p w14:paraId="2B127DE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2148" w:type="dxa"/>
            <w:shd w:val="clear" w:color="auto" w:fill="auto"/>
            <w:vAlign w:val="bottom"/>
          </w:tcPr>
          <w:p w14:paraId="7F743DC9"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42FBC290" w14:textId="77777777">
        <w:trPr>
          <w:trHeight w:val="283"/>
        </w:trPr>
        <w:tc>
          <w:tcPr>
            <w:tcW w:w="1245" w:type="pct"/>
            <w:shd w:val="clear" w:color="auto" w:fill="auto"/>
            <w:vAlign w:val="center"/>
          </w:tcPr>
          <w:p w14:paraId="45089714" w14:textId="77777777" w:rsidR="003E78AB" w:rsidRDefault="00010BF9">
            <w:pPr>
              <w:spacing w:line="240" w:lineRule="auto"/>
              <w:ind w:firstLineChars="0" w:firstLine="0"/>
              <w:jc w:val="center"/>
              <w:textAlignment w:val="center"/>
              <w:rPr>
                <w:kern w:val="2"/>
                <w:sz w:val="21"/>
                <w:szCs w:val="21"/>
              </w:rPr>
            </w:pPr>
            <w:r>
              <w:rPr>
                <w:sz w:val="21"/>
                <w:szCs w:val="21"/>
                <w:lang w:bidi="ar"/>
              </w:rPr>
              <w:t>60</w:t>
            </w:r>
          </w:p>
        </w:tc>
        <w:tc>
          <w:tcPr>
            <w:tcW w:w="1247" w:type="pct"/>
            <w:shd w:val="clear" w:color="auto" w:fill="auto"/>
            <w:vAlign w:val="center"/>
          </w:tcPr>
          <w:p w14:paraId="7598A63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7C2E7967"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1DF45F6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45C6C3DE" w14:textId="77777777">
        <w:trPr>
          <w:trHeight w:val="283"/>
        </w:trPr>
        <w:tc>
          <w:tcPr>
            <w:tcW w:w="1245" w:type="pct"/>
            <w:shd w:val="clear" w:color="auto" w:fill="auto"/>
            <w:vAlign w:val="center"/>
          </w:tcPr>
          <w:p w14:paraId="4F63DC3D" w14:textId="77777777" w:rsidR="003E78AB" w:rsidRDefault="00010BF9">
            <w:pPr>
              <w:spacing w:line="240" w:lineRule="auto"/>
              <w:ind w:firstLineChars="0" w:firstLine="0"/>
              <w:jc w:val="center"/>
              <w:textAlignment w:val="center"/>
              <w:rPr>
                <w:kern w:val="2"/>
                <w:sz w:val="21"/>
                <w:szCs w:val="21"/>
              </w:rPr>
            </w:pPr>
            <w:r>
              <w:rPr>
                <w:sz w:val="21"/>
                <w:szCs w:val="21"/>
                <w:lang w:bidi="ar"/>
              </w:rPr>
              <w:t>70</w:t>
            </w:r>
          </w:p>
        </w:tc>
        <w:tc>
          <w:tcPr>
            <w:tcW w:w="1247" w:type="pct"/>
            <w:shd w:val="clear" w:color="auto" w:fill="auto"/>
            <w:vAlign w:val="center"/>
          </w:tcPr>
          <w:p w14:paraId="4504E667"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6807D9E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103E6C20"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20B3ABE9" w14:textId="77777777">
        <w:trPr>
          <w:trHeight w:val="283"/>
        </w:trPr>
        <w:tc>
          <w:tcPr>
            <w:tcW w:w="1245" w:type="pct"/>
            <w:shd w:val="clear" w:color="auto" w:fill="auto"/>
            <w:vAlign w:val="center"/>
          </w:tcPr>
          <w:p w14:paraId="7554F6FC" w14:textId="77777777" w:rsidR="003E78AB" w:rsidRDefault="00010BF9">
            <w:pPr>
              <w:spacing w:line="240" w:lineRule="auto"/>
              <w:ind w:firstLineChars="0" w:firstLine="0"/>
              <w:jc w:val="center"/>
              <w:textAlignment w:val="center"/>
              <w:rPr>
                <w:kern w:val="2"/>
                <w:sz w:val="21"/>
                <w:szCs w:val="21"/>
              </w:rPr>
            </w:pPr>
            <w:r>
              <w:rPr>
                <w:sz w:val="21"/>
                <w:szCs w:val="21"/>
                <w:lang w:bidi="ar"/>
              </w:rPr>
              <w:t>80</w:t>
            </w:r>
          </w:p>
        </w:tc>
        <w:tc>
          <w:tcPr>
            <w:tcW w:w="1247" w:type="pct"/>
            <w:shd w:val="clear" w:color="auto" w:fill="auto"/>
            <w:vAlign w:val="center"/>
          </w:tcPr>
          <w:p w14:paraId="57940B7F"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6589DAFB"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74A2B2D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536A754E" w14:textId="77777777">
        <w:trPr>
          <w:trHeight w:val="283"/>
        </w:trPr>
        <w:tc>
          <w:tcPr>
            <w:tcW w:w="1245" w:type="pct"/>
            <w:shd w:val="clear" w:color="auto" w:fill="auto"/>
            <w:vAlign w:val="center"/>
          </w:tcPr>
          <w:p w14:paraId="27D6E057" w14:textId="77777777" w:rsidR="003E78AB" w:rsidRDefault="00010BF9">
            <w:pPr>
              <w:spacing w:line="240" w:lineRule="auto"/>
              <w:ind w:firstLineChars="0" w:firstLine="0"/>
              <w:jc w:val="center"/>
              <w:textAlignment w:val="center"/>
              <w:rPr>
                <w:kern w:val="2"/>
                <w:sz w:val="21"/>
                <w:szCs w:val="21"/>
              </w:rPr>
            </w:pPr>
            <w:r>
              <w:rPr>
                <w:sz w:val="21"/>
                <w:szCs w:val="21"/>
                <w:lang w:bidi="ar"/>
              </w:rPr>
              <w:t>90</w:t>
            </w:r>
          </w:p>
        </w:tc>
        <w:tc>
          <w:tcPr>
            <w:tcW w:w="1247" w:type="pct"/>
            <w:shd w:val="clear" w:color="auto" w:fill="auto"/>
            <w:vAlign w:val="center"/>
          </w:tcPr>
          <w:p w14:paraId="7969232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517655D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3C7649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51791C48" w14:textId="77777777">
        <w:trPr>
          <w:trHeight w:val="283"/>
        </w:trPr>
        <w:tc>
          <w:tcPr>
            <w:tcW w:w="1245" w:type="pct"/>
            <w:shd w:val="clear" w:color="auto" w:fill="auto"/>
            <w:vAlign w:val="center"/>
          </w:tcPr>
          <w:p w14:paraId="36230E9F" w14:textId="77777777" w:rsidR="003E78AB" w:rsidRDefault="00010BF9">
            <w:pPr>
              <w:spacing w:line="240" w:lineRule="auto"/>
              <w:ind w:firstLineChars="0" w:firstLine="0"/>
              <w:jc w:val="center"/>
              <w:textAlignment w:val="center"/>
              <w:rPr>
                <w:kern w:val="2"/>
                <w:sz w:val="21"/>
                <w:szCs w:val="21"/>
              </w:rPr>
            </w:pPr>
            <w:r>
              <w:rPr>
                <w:sz w:val="21"/>
                <w:szCs w:val="21"/>
                <w:lang w:bidi="ar"/>
              </w:rPr>
              <w:t>100</w:t>
            </w:r>
          </w:p>
        </w:tc>
        <w:tc>
          <w:tcPr>
            <w:tcW w:w="1247" w:type="pct"/>
            <w:shd w:val="clear" w:color="auto" w:fill="auto"/>
            <w:vAlign w:val="center"/>
          </w:tcPr>
          <w:p w14:paraId="79F4C91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3ED2932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2F6504E2"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3A1FFFAC" w14:textId="77777777">
        <w:trPr>
          <w:trHeight w:val="283"/>
        </w:trPr>
        <w:tc>
          <w:tcPr>
            <w:tcW w:w="1245" w:type="pct"/>
            <w:shd w:val="clear" w:color="auto" w:fill="auto"/>
            <w:vAlign w:val="center"/>
          </w:tcPr>
          <w:p w14:paraId="2E3EC941" w14:textId="77777777" w:rsidR="003E78AB" w:rsidRDefault="00010BF9">
            <w:pPr>
              <w:spacing w:line="240" w:lineRule="auto"/>
              <w:ind w:firstLineChars="0" w:firstLine="0"/>
              <w:jc w:val="center"/>
              <w:textAlignment w:val="center"/>
              <w:rPr>
                <w:kern w:val="2"/>
                <w:sz w:val="21"/>
                <w:szCs w:val="21"/>
              </w:rPr>
            </w:pPr>
            <w:r>
              <w:rPr>
                <w:sz w:val="21"/>
                <w:szCs w:val="21"/>
                <w:lang w:bidi="ar"/>
              </w:rPr>
              <w:t>110</w:t>
            </w:r>
          </w:p>
        </w:tc>
        <w:tc>
          <w:tcPr>
            <w:tcW w:w="1247" w:type="pct"/>
            <w:shd w:val="clear" w:color="auto" w:fill="auto"/>
            <w:vAlign w:val="center"/>
          </w:tcPr>
          <w:p w14:paraId="39BB86F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6A34E4E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0A3F515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177ED372" w14:textId="77777777">
        <w:trPr>
          <w:trHeight w:val="283"/>
        </w:trPr>
        <w:tc>
          <w:tcPr>
            <w:tcW w:w="1245" w:type="pct"/>
            <w:shd w:val="clear" w:color="auto" w:fill="auto"/>
            <w:vAlign w:val="center"/>
          </w:tcPr>
          <w:p w14:paraId="78A0427F" w14:textId="77777777" w:rsidR="003E78AB" w:rsidRDefault="00010BF9">
            <w:pPr>
              <w:spacing w:line="240" w:lineRule="auto"/>
              <w:ind w:firstLineChars="0" w:firstLine="0"/>
              <w:jc w:val="center"/>
              <w:textAlignment w:val="center"/>
              <w:rPr>
                <w:kern w:val="2"/>
                <w:sz w:val="21"/>
                <w:szCs w:val="21"/>
              </w:rPr>
            </w:pPr>
            <w:r>
              <w:rPr>
                <w:sz w:val="21"/>
                <w:szCs w:val="21"/>
                <w:lang w:bidi="ar"/>
              </w:rPr>
              <w:t>120</w:t>
            </w:r>
          </w:p>
        </w:tc>
        <w:tc>
          <w:tcPr>
            <w:tcW w:w="1247" w:type="pct"/>
            <w:shd w:val="clear" w:color="auto" w:fill="auto"/>
            <w:vAlign w:val="center"/>
          </w:tcPr>
          <w:p w14:paraId="3723FA3F"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7A44235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230BD1D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59DA4F99" w14:textId="77777777">
        <w:trPr>
          <w:trHeight w:val="283"/>
        </w:trPr>
        <w:tc>
          <w:tcPr>
            <w:tcW w:w="1245" w:type="pct"/>
            <w:shd w:val="clear" w:color="auto" w:fill="auto"/>
            <w:vAlign w:val="center"/>
          </w:tcPr>
          <w:p w14:paraId="77826CD1" w14:textId="77777777" w:rsidR="003E78AB" w:rsidRDefault="00010BF9">
            <w:pPr>
              <w:spacing w:line="240" w:lineRule="auto"/>
              <w:ind w:firstLineChars="0" w:firstLine="0"/>
              <w:jc w:val="center"/>
              <w:textAlignment w:val="center"/>
              <w:rPr>
                <w:kern w:val="2"/>
                <w:sz w:val="21"/>
                <w:szCs w:val="21"/>
              </w:rPr>
            </w:pPr>
            <w:r>
              <w:rPr>
                <w:sz w:val="21"/>
                <w:szCs w:val="21"/>
                <w:lang w:bidi="ar"/>
              </w:rPr>
              <w:t>130</w:t>
            </w:r>
          </w:p>
        </w:tc>
        <w:tc>
          <w:tcPr>
            <w:tcW w:w="1247" w:type="pct"/>
            <w:shd w:val="clear" w:color="auto" w:fill="auto"/>
            <w:vAlign w:val="center"/>
          </w:tcPr>
          <w:p w14:paraId="619574C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3DAEC57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74D9929C"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0C89FBAE" w14:textId="77777777">
        <w:trPr>
          <w:trHeight w:val="283"/>
        </w:trPr>
        <w:tc>
          <w:tcPr>
            <w:tcW w:w="1245" w:type="pct"/>
            <w:shd w:val="clear" w:color="auto" w:fill="auto"/>
            <w:vAlign w:val="center"/>
          </w:tcPr>
          <w:p w14:paraId="272C9433" w14:textId="77777777" w:rsidR="003E78AB" w:rsidRDefault="00010BF9">
            <w:pPr>
              <w:spacing w:line="240" w:lineRule="auto"/>
              <w:ind w:firstLineChars="0" w:firstLine="0"/>
              <w:jc w:val="center"/>
              <w:textAlignment w:val="center"/>
              <w:rPr>
                <w:kern w:val="2"/>
                <w:sz w:val="21"/>
                <w:szCs w:val="21"/>
              </w:rPr>
            </w:pPr>
            <w:r>
              <w:rPr>
                <w:sz w:val="21"/>
                <w:szCs w:val="21"/>
                <w:lang w:bidi="ar"/>
              </w:rPr>
              <w:t>140</w:t>
            </w:r>
          </w:p>
        </w:tc>
        <w:tc>
          <w:tcPr>
            <w:tcW w:w="1247" w:type="pct"/>
            <w:shd w:val="clear" w:color="auto" w:fill="auto"/>
            <w:vAlign w:val="center"/>
          </w:tcPr>
          <w:p w14:paraId="743E266A"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0F54B210"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3F3FC589"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0199BF1C" w14:textId="77777777">
        <w:trPr>
          <w:trHeight w:val="283"/>
        </w:trPr>
        <w:tc>
          <w:tcPr>
            <w:tcW w:w="1245" w:type="pct"/>
            <w:shd w:val="clear" w:color="auto" w:fill="auto"/>
            <w:vAlign w:val="center"/>
          </w:tcPr>
          <w:p w14:paraId="2488ECB3" w14:textId="77777777" w:rsidR="003E78AB" w:rsidRDefault="00010BF9">
            <w:pPr>
              <w:spacing w:line="240" w:lineRule="auto"/>
              <w:ind w:firstLineChars="0" w:firstLine="0"/>
              <w:jc w:val="center"/>
              <w:textAlignment w:val="center"/>
              <w:rPr>
                <w:kern w:val="2"/>
                <w:sz w:val="21"/>
                <w:szCs w:val="21"/>
              </w:rPr>
            </w:pPr>
            <w:r>
              <w:rPr>
                <w:sz w:val="21"/>
                <w:szCs w:val="21"/>
                <w:lang w:bidi="ar"/>
              </w:rPr>
              <w:t>150</w:t>
            </w:r>
          </w:p>
        </w:tc>
        <w:tc>
          <w:tcPr>
            <w:tcW w:w="1247" w:type="pct"/>
            <w:shd w:val="clear" w:color="auto" w:fill="auto"/>
            <w:vAlign w:val="center"/>
          </w:tcPr>
          <w:p w14:paraId="33ED422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300EC12F"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115EFB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262E686C" w14:textId="77777777">
        <w:trPr>
          <w:trHeight w:val="283"/>
        </w:trPr>
        <w:tc>
          <w:tcPr>
            <w:tcW w:w="1245" w:type="pct"/>
            <w:shd w:val="clear" w:color="auto" w:fill="auto"/>
            <w:vAlign w:val="center"/>
          </w:tcPr>
          <w:p w14:paraId="02454C2C" w14:textId="77777777" w:rsidR="003E78AB" w:rsidRDefault="00010BF9">
            <w:pPr>
              <w:spacing w:line="240" w:lineRule="auto"/>
              <w:ind w:firstLineChars="0" w:firstLine="0"/>
              <w:jc w:val="center"/>
              <w:textAlignment w:val="center"/>
              <w:rPr>
                <w:kern w:val="2"/>
                <w:sz w:val="21"/>
                <w:szCs w:val="21"/>
              </w:rPr>
            </w:pPr>
            <w:r>
              <w:rPr>
                <w:sz w:val="21"/>
                <w:szCs w:val="21"/>
                <w:lang w:bidi="ar"/>
              </w:rPr>
              <w:t>160</w:t>
            </w:r>
          </w:p>
        </w:tc>
        <w:tc>
          <w:tcPr>
            <w:tcW w:w="1247" w:type="pct"/>
            <w:shd w:val="clear" w:color="auto" w:fill="auto"/>
            <w:vAlign w:val="center"/>
          </w:tcPr>
          <w:p w14:paraId="3787F3E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75A4A19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7D7358E"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79A0086D" w14:textId="77777777">
        <w:trPr>
          <w:trHeight w:val="283"/>
        </w:trPr>
        <w:tc>
          <w:tcPr>
            <w:tcW w:w="1245" w:type="pct"/>
            <w:shd w:val="clear" w:color="auto" w:fill="auto"/>
            <w:vAlign w:val="center"/>
          </w:tcPr>
          <w:p w14:paraId="5D68B6EC" w14:textId="77777777" w:rsidR="003E78AB" w:rsidRDefault="00010BF9">
            <w:pPr>
              <w:spacing w:line="240" w:lineRule="auto"/>
              <w:ind w:firstLineChars="0" w:firstLine="0"/>
              <w:jc w:val="center"/>
              <w:textAlignment w:val="center"/>
              <w:rPr>
                <w:kern w:val="2"/>
                <w:sz w:val="21"/>
                <w:szCs w:val="21"/>
              </w:rPr>
            </w:pPr>
            <w:r>
              <w:rPr>
                <w:sz w:val="21"/>
                <w:szCs w:val="21"/>
                <w:lang w:bidi="ar"/>
              </w:rPr>
              <w:t>170</w:t>
            </w:r>
          </w:p>
        </w:tc>
        <w:tc>
          <w:tcPr>
            <w:tcW w:w="1247" w:type="pct"/>
            <w:shd w:val="clear" w:color="auto" w:fill="auto"/>
            <w:vAlign w:val="center"/>
          </w:tcPr>
          <w:p w14:paraId="153E64B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15AA5FF4"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42FD23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2C27413D" w14:textId="77777777">
        <w:trPr>
          <w:trHeight w:val="283"/>
        </w:trPr>
        <w:tc>
          <w:tcPr>
            <w:tcW w:w="1245" w:type="pct"/>
            <w:shd w:val="clear" w:color="auto" w:fill="auto"/>
            <w:vAlign w:val="center"/>
          </w:tcPr>
          <w:p w14:paraId="0B704140" w14:textId="77777777" w:rsidR="003E78AB" w:rsidRDefault="00010BF9">
            <w:pPr>
              <w:spacing w:line="240" w:lineRule="auto"/>
              <w:ind w:firstLineChars="0" w:firstLine="0"/>
              <w:jc w:val="center"/>
              <w:textAlignment w:val="center"/>
              <w:rPr>
                <w:kern w:val="2"/>
                <w:sz w:val="21"/>
                <w:szCs w:val="21"/>
              </w:rPr>
            </w:pPr>
            <w:r>
              <w:rPr>
                <w:sz w:val="21"/>
                <w:szCs w:val="21"/>
                <w:lang w:bidi="ar"/>
              </w:rPr>
              <w:t>180</w:t>
            </w:r>
          </w:p>
        </w:tc>
        <w:tc>
          <w:tcPr>
            <w:tcW w:w="1247" w:type="pct"/>
            <w:shd w:val="clear" w:color="auto" w:fill="auto"/>
            <w:vAlign w:val="center"/>
          </w:tcPr>
          <w:p w14:paraId="6C83ED4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1C3252A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519A6BD2"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1908DD71" w14:textId="77777777">
        <w:trPr>
          <w:trHeight w:val="283"/>
        </w:trPr>
        <w:tc>
          <w:tcPr>
            <w:tcW w:w="1245" w:type="pct"/>
            <w:shd w:val="clear" w:color="auto" w:fill="auto"/>
            <w:vAlign w:val="center"/>
          </w:tcPr>
          <w:p w14:paraId="78FE94DA" w14:textId="77777777" w:rsidR="003E78AB" w:rsidRDefault="00010BF9">
            <w:pPr>
              <w:spacing w:line="240" w:lineRule="auto"/>
              <w:ind w:firstLineChars="0" w:firstLine="0"/>
              <w:jc w:val="center"/>
              <w:textAlignment w:val="center"/>
              <w:rPr>
                <w:kern w:val="2"/>
                <w:sz w:val="21"/>
                <w:szCs w:val="21"/>
              </w:rPr>
            </w:pPr>
            <w:r>
              <w:rPr>
                <w:sz w:val="21"/>
                <w:szCs w:val="21"/>
                <w:lang w:bidi="ar"/>
              </w:rPr>
              <w:t>190</w:t>
            </w:r>
          </w:p>
        </w:tc>
        <w:tc>
          <w:tcPr>
            <w:tcW w:w="1247" w:type="pct"/>
            <w:shd w:val="clear" w:color="auto" w:fill="auto"/>
            <w:vAlign w:val="center"/>
          </w:tcPr>
          <w:p w14:paraId="59A16B4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209D54D7"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ECC91F9"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5B16446F" w14:textId="77777777">
        <w:trPr>
          <w:trHeight w:val="283"/>
        </w:trPr>
        <w:tc>
          <w:tcPr>
            <w:tcW w:w="1245" w:type="pct"/>
            <w:shd w:val="clear" w:color="auto" w:fill="auto"/>
            <w:vAlign w:val="center"/>
          </w:tcPr>
          <w:p w14:paraId="042405AE" w14:textId="77777777" w:rsidR="003E78AB" w:rsidRDefault="00010BF9">
            <w:pPr>
              <w:spacing w:line="240" w:lineRule="auto"/>
              <w:ind w:firstLineChars="0" w:firstLine="0"/>
              <w:jc w:val="center"/>
              <w:textAlignment w:val="center"/>
              <w:rPr>
                <w:kern w:val="2"/>
                <w:sz w:val="21"/>
                <w:szCs w:val="21"/>
              </w:rPr>
            </w:pPr>
            <w:r>
              <w:rPr>
                <w:sz w:val="21"/>
                <w:szCs w:val="21"/>
                <w:lang w:bidi="ar"/>
              </w:rPr>
              <w:t>200</w:t>
            </w:r>
          </w:p>
        </w:tc>
        <w:tc>
          <w:tcPr>
            <w:tcW w:w="1247" w:type="pct"/>
            <w:shd w:val="clear" w:color="auto" w:fill="auto"/>
            <w:vAlign w:val="center"/>
          </w:tcPr>
          <w:p w14:paraId="74FA9E94"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4DA280B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6E30A42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42C5CBC9" w14:textId="77777777">
        <w:trPr>
          <w:trHeight w:val="283"/>
        </w:trPr>
        <w:tc>
          <w:tcPr>
            <w:tcW w:w="1245" w:type="pct"/>
            <w:shd w:val="clear" w:color="auto" w:fill="auto"/>
            <w:vAlign w:val="center"/>
          </w:tcPr>
          <w:p w14:paraId="004C2F45" w14:textId="77777777" w:rsidR="003E78AB" w:rsidRDefault="00010BF9">
            <w:pPr>
              <w:spacing w:line="240" w:lineRule="auto"/>
              <w:ind w:firstLineChars="0" w:firstLine="0"/>
              <w:jc w:val="center"/>
              <w:textAlignment w:val="center"/>
              <w:rPr>
                <w:kern w:val="2"/>
                <w:sz w:val="21"/>
                <w:szCs w:val="21"/>
              </w:rPr>
            </w:pPr>
            <w:r>
              <w:rPr>
                <w:sz w:val="21"/>
                <w:szCs w:val="21"/>
                <w:lang w:bidi="ar"/>
              </w:rPr>
              <w:t>210</w:t>
            </w:r>
          </w:p>
        </w:tc>
        <w:tc>
          <w:tcPr>
            <w:tcW w:w="1247" w:type="pct"/>
            <w:shd w:val="clear" w:color="auto" w:fill="auto"/>
            <w:vAlign w:val="center"/>
          </w:tcPr>
          <w:p w14:paraId="05BE0E7C"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673E6929"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6055485C"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15142A88" w14:textId="77777777">
        <w:trPr>
          <w:trHeight w:val="283"/>
        </w:trPr>
        <w:tc>
          <w:tcPr>
            <w:tcW w:w="1245" w:type="pct"/>
            <w:shd w:val="clear" w:color="auto" w:fill="auto"/>
            <w:vAlign w:val="center"/>
          </w:tcPr>
          <w:p w14:paraId="3927BA1B" w14:textId="77777777" w:rsidR="003E78AB" w:rsidRDefault="00010BF9">
            <w:pPr>
              <w:spacing w:line="240" w:lineRule="auto"/>
              <w:ind w:firstLineChars="0" w:firstLine="0"/>
              <w:jc w:val="center"/>
              <w:textAlignment w:val="center"/>
              <w:rPr>
                <w:kern w:val="2"/>
                <w:sz w:val="21"/>
                <w:szCs w:val="21"/>
              </w:rPr>
            </w:pPr>
            <w:r>
              <w:rPr>
                <w:sz w:val="21"/>
                <w:szCs w:val="21"/>
                <w:lang w:bidi="ar"/>
              </w:rPr>
              <w:t>220</w:t>
            </w:r>
          </w:p>
        </w:tc>
        <w:tc>
          <w:tcPr>
            <w:tcW w:w="1247" w:type="pct"/>
            <w:shd w:val="clear" w:color="auto" w:fill="auto"/>
            <w:vAlign w:val="center"/>
          </w:tcPr>
          <w:p w14:paraId="441B80B7"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6E25BD5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38DD18FB"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37B0372C" w14:textId="77777777">
        <w:trPr>
          <w:trHeight w:val="283"/>
        </w:trPr>
        <w:tc>
          <w:tcPr>
            <w:tcW w:w="1245" w:type="pct"/>
            <w:shd w:val="clear" w:color="auto" w:fill="auto"/>
            <w:vAlign w:val="center"/>
          </w:tcPr>
          <w:p w14:paraId="41B0529C" w14:textId="77777777" w:rsidR="003E78AB" w:rsidRDefault="00010BF9">
            <w:pPr>
              <w:spacing w:line="240" w:lineRule="auto"/>
              <w:ind w:firstLineChars="0" w:firstLine="0"/>
              <w:jc w:val="center"/>
              <w:textAlignment w:val="center"/>
              <w:rPr>
                <w:sz w:val="21"/>
                <w:szCs w:val="21"/>
                <w:lang w:bidi="ar"/>
              </w:rPr>
            </w:pPr>
            <w:r>
              <w:rPr>
                <w:sz w:val="21"/>
                <w:szCs w:val="21"/>
                <w:lang w:bidi="ar"/>
              </w:rPr>
              <w:t>230</w:t>
            </w:r>
          </w:p>
        </w:tc>
        <w:tc>
          <w:tcPr>
            <w:tcW w:w="1247" w:type="pct"/>
            <w:shd w:val="clear" w:color="auto" w:fill="auto"/>
            <w:vAlign w:val="center"/>
          </w:tcPr>
          <w:p w14:paraId="245E1526"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485E0A8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5AC7A27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301469EE" w14:textId="77777777">
        <w:trPr>
          <w:trHeight w:val="283"/>
        </w:trPr>
        <w:tc>
          <w:tcPr>
            <w:tcW w:w="1245" w:type="pct"/>
            <w:shd w:val="clear" w:color="auto" w:fill="auto"/>
            <w:vAlign w:val="center"/>
          </w:tcPr>
          <w:p w14:paraId="7E417690" w14:textId="77777777" w:rsidR="003E78AB" w:rsidRDefault="00010BF9">
            <w:pPr>
              <w:spacing w:line="240" w:lineRule="auto"/>
              <w:ind w:firstLineChars="0" w:firstLine="0"/>
              <w:jc w:val="center"/>
              <w:textAlignment w:val="center"/>
              <w:rPr>
                <w:sz w:val="21"/>
                <w:szCs w:val="21"/>
                <w:lang w:bidi="ar"/>
              </w:rPr>
            </w:pPr>
            <w:r>
              <w:rPr>
                <w:sz w:val="21"/>
                <w:szCs w:val="21"/>
                <w:lang w:bidi="ar"/>
              </w:rPr>
              <w:t>240</w:t>
            </w:r>
          </w:p>
        </w:tc>
        <w:tc>
          <w:tcPr>
            <w:tcW w:w="1247" w:type="pct"/>
            <w:shd w:val="clear" w:color="auto" w:fill="auto"/>
            <w:vAlign w:val="center"/>
          </w:tcPr>
          <w:p w14:paraId="306E5B8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14B98B5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2D22EE1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289C9582" w14:textId="77777777">
        <w:trPr>
          <w:trHeight w:val="283"/>
        </w:trPr>
        <w:tc>
          <w:tcPr>
            <w:tcW w:w="1245" w:type="pct"/>
            <w:shd w:val="clear" w:color="auto" w:fill="auto"/>
            <w:vAlign w:val="center"/>
          </w:tcPr>
          <w:p w14:paraId="1A30A22F" w14:textId="77777777" w:rsidR="003E78AB" w:rsidRDefault="00010BF9">
            <w:pPr>
              <w:spacing w:line="240" w:lineRule="auto"/>
              <w:ind w:firstLineChars="0" w:firstLine="0"/>
              <w:jc w:val="center"/>
              <w:textAlignment w:val="center"/>
              <w:rPr>
                <w:sz w:val="21"/>
                <w:szCs w:val="21"/>
                <w:lang w:bidi="ar"/>
              </w:rPr>
            </w:pPr>
            <w:r>
              <w:rPr>
                <w:sz w:val="21"/>
                <w:szCs w:val="21"/>
                <w:lang w:bidi="ar"/>
              </w:rPr>
              <w:t>250</w:t>
            </w:r>
          </w:p>
        </w:tc>
        <w:tc>
          <w:tcPr>
            <w:tcW w:w="1247" w:type="pct"/>
            <w:shd w:val="clear" w:color="auto" w:fill="auto"/>
            <w:vAlign w:val="center"/>
          </w:tcPr>
          <w:p w14:paraId="56CAACEE"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385907B8"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A89EED7"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72E4D61B" w14:textId="77777777">
        <w:trPr>
          <w:trHeight w:val="283"/>
        </w:trPr>
        <w:tc>
          <w:tcPr>
            <w:tcW w:w="1245" w:type="pct"/>
            <w:shd w:val="clear" w:color="auto" w:fill="auto"/>
            <w:vAlign w:val="center"/>
          </w:tcPr>
          <w:p w14:paraId="1A20692E" w14:textId="77777777" w:rsidR="003E78AB" w:rsidRDefault="00010BF9">
            <w:pPr>
              <w:spacing w:line="240" w:lineRule="auto"/>
              <w:ind w:firstLineChars="0" w:firstLine="0"/>
              <w:jc w:val="center"/>
              <w:textAlignment w:val="center"/>
              <w:rPr>
                <w:sz w:val="21"/>
                <w:szCs w:val="21"/>
                <w:lang w:bidi="ar"/>
              </w:rPr>
            </w:pPr>
            <w:r>
              <w:rPr>
                <w:sz w:val="21"/>
                <w:szCs w:val="21"/>
                <w:lang w:bidi="ar"/>
              </w:rPr>
              <w:t>260</w:t>
            </w:r>
          </w:p>
        </w:tc>
        <w:tc>
          <w:tcPr>
            <w:tcW w:w="1247" w:type="pct"/>
            <w:shd w:val="clear" w:color="auto" w:fill="auto"/>
            <w:vAlign w:val="center"/>
          </w:tcPr>
          <w:p w14:paraId="686FD217"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24DBA808"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19C9EF0F"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0D78519D" w14:textId="77777777">
        <w:trPr>
          <w:trHeight w:val="283"/>
        </w:trPr>
        <w:tc>
          <w:tcPr>
            <w:tcW w:w="1245" w:type="pct"/>
            <w:shd w:val="clear" w:color="auto" w:fill="auto"/>
            <w:vAlign w:val="center"/>
          </w:tcPr>
          <w:p w14:paraId="4FF6CAD6" w14:textId="77777777" w:rsidR="003E78AB" w:rsidRDefault="00010BF9">
            <w:pPr>
              <w:spacing w:line="240" w:lineRule="auto"/>
              <w:ind w:firstLineChars="0" w:firstLine="0"/>
              <w:jc w:val="center"/>
              <w:textAlignment w:val="center"/>
              <w:rPr>
                <w:sz w:val="21"/>
                <w:szCs w:val="21"/>
                <w:lang w:bidi="ar"/>
              </w:rPr>
            </w:pPr>
            <w:r>
              <w:rPr>
                <w:sz w:val="21"/>
                <w:szCs w:val="21"/>
                <w:lang w:bidi="ar"/>
              </w:rPr>
              <w:t>270</w:t>
            </w:r>
          </w:p>
        </w:tc>
        <w:tc>
          <w:tcPr>
            <w:tcW w:w="1247" w:type="pct"/>
            <w:shd w:val="clear" w:color="auto" w:fill="auto"/>
            <w:vAlign w:val="center"/>
          </w:tcPr>
          <w:p w14:paraId="49D0457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5606ACC4"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591ECBAB"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581D54F7" w14:textId="77777777">
        <w:trPr>
          <w:trHeight w:val="283"/>
        </w:trPr>
        <w:tc>
          <w:tcPr>
            <w:tcW w:w="1245" w:type="pct"/>
            <w:shd w:val="clear" w:color="auto" w:fill="auto"/>
            <w:vAlign w:val="center"/>
          </w:tcPr>
          <w:p w14:paraId="5BDFBC7D" w14:textId="77777777" w:rsidR="003E78AB" w:rsidRDefault="00010BF9">
            <w:pPr>
              <w:spacing w:line="240" w:lineRule="auto"/>
              <w:ind w:firstLineChars="0" w:firstLine="0"/>
              <w:jc w:val="center"/>
              <w:textAlignment w:val="center"/>
              <w:rPr>
                <w:sz w:val="21"/>
                <w:szCs w:val="21"/>
                <w:lang w:bidi="ar"/>
              </w:rPr>
            </w:pPr>
            <w:r>
              <w:rPr>
                <w:sz w:val="21"/>
                <w:szCs w:val="21"/>
                <w:lang w:bidi="ar"/>
              </w:rPr>
              <w:t>280</w:t>
            </w:r>
          </w:p>
        </w:tc>
        <w:tc>
          <w:tcPr>
            <w:tcW w:w="1247" w:type="pct"/>
            <w:shd w:val="clear" w:color="auto" w:fill="auto"/>
            <w:vAlign w:val="center"/>
          </w:tcPr>
          <w:p w14:paraId="314EFA0D"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3DDB9B1E"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2CDA91EF"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7C57F6A5" w14:textId="77777777">
        <w:trPr>
          <w:trHeight w:val="283"/>
        </w:trPr>
        <w:tc>
          <w:tcPr>
            <w:tcW w:w="1245" w:type="pct"/>
            <w:shd w:val="clear" w:color="auto" w:fill="auto"/>
            <w:vAlign w:val="center"/>
          </w:tcPr>
          <w:p w14:paraId="78516B15" w14:textId="77777777" w:rsidR="003E78AB" w:rsidRDefault="00010BF9">
            <w:pPr>
              <w:spacing w:line="240" w:lineRule="auto"/>
              <w:ind w:firstLineChars="0" w:firstLine="0"/>
              <w:jc w:val="center"/>
              <w:textAlignment w:val="center"/>
              <w:rPr>
                <w:sz w:val="21"/>
                <w:szCs w:val="21"/>
                <w:lang w:bidi="ar"/>
              </w:rPr>
            </w:pPr>
            <w:r>
              <w:rPr>
                <w:sz w:val="21"/>
                <w:szCs w:val="21"/>
                <w:lang w:bidi="ar"/>
              </w:rPr>
              <w:t>290</w:t>
            </w:r>
          </w:p>
        </w:tc>
        <w:tc>
          <w:tcPr>
            <w:tcW w:w="1247" w:type="pct"/>
            <w:shd w:val="clear" w:color="auto" w:fill="auto"/>
            <w:vAlign w:val="center"/>
          </w:tcPr>
          <w:p w14:paraId="6685FF49"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3D9F7AB2"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2A32DD13"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r w:rsidR="003E78AB" w14:paraId="3C4266AC" w14:textId="77777777">
        <w:trPr>
          <w:trHeight w:val="283"/>
        </w:trPr>
        <w:tc>
          <w:tcPr>
            <w:tcW w:w="1245" w:type="pct"/>
            <w:shd w:val="clear" w:color="auto" w:fill="auto"/>
            <w:vAlign w:val="center"/>
          </w:tcPr>
          <w:p w14:paraId="559E027D" w14:textId="77777777" w:rsidR="003E78AB" w:rsidRDefault="00010BF9">
            <w:pPr>
              <w:spacing w:line="240" w:lineRule="auto"/>
              <w:ind w:firstLineChars="0" w:firstLine="0"/>
              <w:jc w:val="center"/>
              <w:textAlignment w:val="center"/>
              <w:rPr>
                <w:sz w:val="21"/>
                <w:szCs w:val="21"/>
                <w:lang w:bidi="ar"/>
              </w:rPr>
            </w:pPr>
            <w:r>
              <w:rPr>
                <w:sz w:val="21"/>
                <w:szCs w:val="21"/>
                <w:lang w:bidi="ar"/>
              </w:rPr>
              <w:t>300</w:t>
            </w:r>
          </w:p>
        </w:tc>
        <w:tc>
          <w:tcPr>
            <w:tcW w:w="1247" w:type="pct"/>
            <w:shd w:val="clear" w:color="auto" w:fill="auto"/>
            <w:vAlign w:val="center"/>
          </w:tcPr>
          <w:p w14:paraId="29D25AA4"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47" w:type="pct"/>
            <w:shd w:val="clear" w:color="auto" w:fill="auto"/>
            <w:vAlign w:val="center"/>
          </w:tcPr>
          <w:p w14:paraId="05EC0845"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c>
          <w:tcPr>
            <w:tcW w:w="1258" w:type="pct"/>
            <w:shd w:val="clear" w:color="auto" w:fill="auto"/>
            <w:vAlign w:val="center"/>
          </w:tcPr>
          <w:p w14:paraId="4B05E581" w14:textId="77777777" w:rsidR="003E78AB" w:rsidRDefault="00010BF9">
            <w:pPr>
              <w:spacing w:line="240" w:lineRule="auto"/>
              <w:ind w:firstLineChars="0" w:firstLine="0"/>
              <w:jc w:val="center"/>
              <w:textAlignment w:val="center"/>
              <w:rPr>
                <w:sz w:val="21"/>
                <w:szCs w:val="21"/>
                <w:lang w:bidi="ar"/>
              </w:rPr>
            </w:pPr>
            <w:r>
              <w:rPr>
                <w:sz w:val="21"/>
                <w:szCs w:val="21"/>
                <w:lang w:bidi="ar"/>
              </w:rPr>
              <w:t>&lt;0.001</w:t>
            </w:r>
          </w:p>
        </w:tc>
      </w:tr>
    </w:tbl>
    <w:p w14:paraId="5A69A209" w14:textId="77777777" w:rsidR="003E78AB" w:rsidRDefault="00010BF9">
      <w:pPr>
        <w:ind w:firstLine="480"/>
        <w:rPr>
          <w:kern w:val="28"/>
        </w:rPr>
      </w:pPr>
      <w:r>
        <w:rPr>
          <w:kern w:val="28"/>
        </w:rPr>
        <w:t>根据预测结果，在非正常状况下，</w:t>
      </w:r>
      <w:r>
        <w:rPr>
          <w:rFonts w:hint="eastAsia"/>
          <w:kern w:val="28"/>
        </w:rPr>
        <w:t>循环水箱</w:t>
      </w:r>
      <w:r>
        <w:rPr>
          <w:kern w:val="28"/>
        </w:rPr>
        <w:t>发生泄漏，导致</w:t>
      </w:r>
      <w:r>
        <w:rPr>
          <w:rFonts w:hint="eastAsia"/>
          <w:kern w:val="28"/>
        </w:rPr>
        <w:t>高盐</w:t>
      </w:r>
      <w:r>
        <w:rPr>
          <w:kern w:val="28"/>
        </w:rPr>
        <w:t>废水进入地下对地下水环境造成污染，在预测时间内（</w:t>
      </w:r>
      <w:r>
        <w:rPr>
          <w:kern w:val="28"/>
        </w:rPr>
        <w:t>1000d</w:t>
      </w:r>
      <w:r>
        <w:rPr>
          <w:kern w:val="28"/>
        </w:rPr>
        <w:t>）</w:t>
      </w:r>
      <w:r>
        <w:rPr>
          <w:rFonts w:hint="eastAsia"/>
          <w:kern w:val="28"/>
        </w:rPr>
        <w:t>钒</w:t>
      </w:r>
      <w:r>
        <w:rPr>
          <w:kern w:val="28"/>
        </w:rPr>
        <w:t>泄漏</w:t>
      </w:r>
      <w:r>
        <w:rPr>
          <w:kern w:val="28"/>
        </w:rPr>
        <w:t>100</w:t>
      </w:r>
      <w:r>
        <w:rPr>
          <w:kern w:val="28"/>
        </w:rPr>
        <w:t>天时，预测超标距离为</w:t>
      </w:r>
      <w:r>
        <w:rPr>
          <w:rFonts w:hint="eastAsia"/>
          <w:kern w:val="28"/>
        </w:rPr>
        <w:t>26</w:t>
      </w:r>
      <w:r>
        <w:rPr>
          <w:kern w:val="28"/>
        </w:rPr>
        <w:t>m</w:t>
      </w:r>
      <w:r>
        <w:rPr>
          <w:kern w:val="28"/>
        </w:rPr>
        <w:t>；影响距离为</w:t>
      </w:r>
      <w:r>
        <w:rPr>
          <w:rFonts w:hint="eastAsia"/>
          <w:kern w:val="28"/>
        </w:rPr>
        <w:t>2</w:t>
      </w:r>
      <w:r>
        <w:rPr>
          <w:kern w:val="28"/>
        </w:rPr>
        <w:t>9m</w:t>
      </w:r>
      <w:r>
        <w:rPr>
          <w:kern w:val="28"/>
        </w:rPr>
        <w:t>；泄漏</w:t>
      </w:r>
      <w:r>
        <w:rPr>
          <w:kern w:val="28"/>
        </w:rPr>
        <w:t>365</w:t>
      </w:r>
      <w:r>
        <w:rPr>
          <w:kern w:val="28"/>
        </w:rPr>
        <w:t>天时，预测超标距离为</w:t>
      </w:r>
      <w:r>
        <w:rPr>
          <w:rFonts w:hint="eastAsia"/>
          <w:kern w:val="28"/>
        </w:rPr>
        <w:t>40</w:t>
      </w:r>
      <w:r>
        <w:rPr>
          <w:kern w:val="28"/>
        </w:rPr>
        <w:t>m</w:t>
      </w:r>
      <w:r>
        <w:rPr>
          <w:kern w:val="28"/>
        </w:rPr>
        <w:t>；影响距离为</w:t>
      </w:r>
      <w:r>
        <w:rPr>
          <w:rFonts w:hint="eastAsia"/>
          <w:kern w:val="28"/>
        </w:rPr>
        <w:t>43</w:t>
      </w:r>
      <w:r>
        <w:rPr>
          <w:kern w:val="28"/>
        </w:rPr>
        <w:t>m</w:t>
      </w:r>
      <w:r>
        <w:rPr>
          <w:kern w:val="28"/>
        </w:rPr>
        <w:t>；泄漏</w:t>
      </w:r>
      <w:r>
        <w:rPr>
          <w:kern w:val="28"/>
        </w:rPr>
        <w:t>1000</w:t>
      </w:r>
      <w:r>
        <w:rPr>
          <w:kern w:val="28"/>
        </w:rPr>
        <w:t>天时，预测超标距离为</w:t>
      </w:r>
      <w:r>
        <w:rPr>
          <w:rFonts w:hint="eastAsia"/>
          <w:kern w:val="28"/>
        </w:rPr>
        <w:t>66</w:t>
      </w:r>
      <w:r>
        <w:rPr>
          <w:kern w:val="28"/>
        </w:rPr>
        <w:t>m</w:t>
      </w:r>
      <w:r>
        <w:rPr>
          <w:kern w:val="28"/>
        </w:rPr>
        <w:t>；影响距离为</w:t>
      </w:r>
      <w:r>
        <w:rPr>
          <w:rFonts w:hint="eastAsia"/>
          <w:kern w:val="28"/>
        </w:rPr>
        <w:t>69</w:t>
      </w:r>
      <w:r>
        <w:rPr>
          <w:kern w:val="28"/>
        </w:rPr>
        <w:t>m</w:t>
      </w:r>
      <w:r>
        <w:rPr>
          <w:kern w:val="28"/>
        </w:rPr>
        <w:t>。</w:t>
      </w:r>
    </w:p>
    <w:p w14:paraId="217A0D09" w14:textId="77777777" w:rsidR="003E78AB" w:rsidRDefault="00010BF9">
      <w:pPr>
        <w:ind w:firstLine="480"/>
        <w:rPr>
          <w:kern w:val="28"/>
        </w:rPr>
      </w:pPr>
      <w:r>
        <w:rPr>
          <w:kern w:val="28"/>
        </w:rPr>
        <w:t>B</w:t>
      </w:r>
      <w:r>
        <w:rPr>
          <w:kern w:val="28"/>
        </w:rPr>
        <w:t>、事故状态下</w:t>
      </w:r>
      <w:r>
        <w:rPr>
          <w:rFonts w:hint="eastAsia"/>
          <w:kern w:val="28"/>
        </w:rPr>
        <w:t>磷酸盐</w:t>
      </w:r>
      <w:r>
        <w:rPr>
          <w:kern w:val="28"/>
        </w:rPr>
        <w:t>影响预测</w:t>
      </w:r>
    </w:p>
    <w:p w14:paraId="6252DCF9" w14:textId="77777777" w:rsidR="003E78AB" w:rsidRDefault="00010BF9">
      <w:pPr>
        <w:ind w:firstLine="480"/>
        <w:rPr>
          <w:kern w:val="28"/>
        </w:rPr>
      </w:pPr>
      <w:r>
        <w:rPr>
          <w:kern w:val="28"/>
        </w:rPr>
        <w:t>按上述预测条件及各参数，分别预测污染物</w:t>
      </w:r>
      <w:r>
        <w:rPr>
          <w:rFonts w:hint="eastAsia"/>
          <w:kern w:val="28"/>
        </w:rPr>
        <w:t>磷酸盐</w:t>
      </w:r>
      <w:r>
        <w:rPr>
          <w:kern w:val="28"/>
        </w:rPr>
        <w:t>自开始泄漏起第</w:t>
      </w:r>
      <w:r>
        <w:rPr>
          <w:kern w:val="28"/>
        </w:rPr>
        <w:t>100d</w:t>
      </w:r>
      <w:r>
        <w:rPr>
          <w:kern w:val="28"/>
        </w:rPr>
        <w:t>、</w:t>
      </w:r>
      <w:r>
        <w:rPr>
          <w:kern w:val="28"/>
        </w:rPr>
        <w:t>365d</w:t>
      </w:r>
      <w:r>
        <w:rPr>
          <w:kern w:val="28"/>
        </w:rPr>
        <w:t>、</w:t>
      </w:r>
      <w:r>
        <w:rPr>
          <w:kern w:val="28"/>
        </w:rPr>
        <w:t>1000d</w:t>
      </w:r>
      <w:r>
        <w:rPr>
          <w:kern w:val="28"/>
        </w:rPr>
        <w:t>的最大超标距离。预测结果见</w:t>
      </w:r>
      <w:r>
        <w:rPr>
          <w:kern w:val="28"/>
        </w:rPr>
        <w:fldChar w:fldCharType="begin"/>
      </w:r>
      <w:r>
        <w:rPr>
          <w:kern w:val="28"/>
        </w:rPr>
        <w:instrText xml:space="preserve"> REF _Ref16430 \r \h </w:instrText>
      </w:r>
      <w:r>
        <w:rPr>
          <w:kern w:val="28"/>
        </w:rPr>
      </w:r>
      <w:r>
        <w:rPr>
          <w:kern w:val="28"/>
        </w:rPr>
        <w:fldChar w:fldCharType="separate"/>
      </w:r>
      <w:r>
        <w:rPr>
          <w:kern w:val="28"/>
        </w:rPr>
        <w:t>表</w:t>
      </w:r>
      <w:r>
        <w:rPr>
          <w:kern w:val="28"/>
        </w:rPr>
        <w:t>5-59</w:t>
      </w:r>
      <w:r>
        <w:rPr>
          <w:kern w:val="28"/>
        </w:rPr>
        <w:fldChar w:fldCharType="end"/>
      </w:r>
      <w:r>
        <w:rPr>
          <w:kern w:val="28"/>
        </w:rPr>
        <w:t>。</w:t>
      </w:r>
    </w:p>
    <w:p w14:paraId="1FF419F8" w14:textId="77777777" w:rsidR="003E78AB" w:rsidRDefault="00010BF9">
      <w:pPr>
        <w:pStyle w:val="a4"/>
        <w:spacing w:before="120"/>
        <w:ind w:left="425" w:hanging="425"/>
        <w:jc w:val="right"/>
      </w:pPr>
      <w:bookmarkStart w:id="388" w:name="_Ref16430"/>
      <w:r>
        <w:t>地下水中</w:t>
      </w:r>
      <w:r>
        <w:rPr>
          <w:rFonts w:hint="eastAsia"/>
        </w:rPr>
        <w:t>磷酸盐</w:t>
      </w:r>
      <w:r>
        <w:t>运移预测结果</w:t>
      </w:r>
      <w:r>
        <w:rPr>
          <w:rFonts w:hint="eastAsia"/>
        </w:rPr>
        <w:t xml:space="preserve">     </w:t>
      </w:r>
      <w:r>
        <w:t>单位：</w:t>
      </w:r>
      <w:r>
        <w:t>mg/</w:t>
      </w:r>
      <w:r>
        <w:rPr>
          <w:rFonts w:hint="eastAsia"/>
        </w:rPr>
        <w:t>L</w:t>
      </w:r>
      <w:bookmarkEnd w:id="388"/>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121"/>
        <w:gridCol w:w="2121"/>
        <w:gridCol w:w="2136"/>
      </w:tblGrid>
      <w:tr w:rsidR="003E78AB" w14:paraId="5B1E6F30" w14:textId="77777777">
        <w:trPr>
          <w:trHeight w:val="283"/>
          <w:tblHeader/>
        </w:trPr>
        <w:tc>
          <w:tcPr>
            <w:tcW w:w="5000" w:type="pct"/>
            <w:gridSpan w:val="4"/>
            <w:shd w:val="clear" w:color="auto" w:fill="auto"/>
            <w:vAlign w:val="center"/>
          </w:tcPr>
          <w:p w14:paraId="72950CF1" w14:textId="77777777" w:rsidR="003E78AB" w:rsidRDefault="00010BF9">
            <w:pPr>
              <w:spacing w:line="360" w:lineRule="exact"/>
              <w:ind w:firstLineChars="0" w:firstLine="0"/>
              <w:contextualSpacing/>
              <w:jc w:val="center"/>
              <w:rPr>
                <w:b/>
                <w:sz w:val="21"/>
                <w:szCs w:val="21"/>
              </w:rPr>
            </w:pPr>
            <w:r>
              <w:rPr>
                <w:b/>
                <w:sz w:val="21"/>
                <w:szCs w:val="21"/>
              </w:rPr>
              <w:t>预测因子：</w:t>
            </w:r>
            <w:r>
              <w:rPr>
                <w:rFonts w:hint="eastAsia"/>
                <w:b/>
                <w:sz w:val="21"/>
                <w:szCs w:val="21"/>
              </w:rPr>
              <w:t>TP</w:t>
            </w:r>
            <w:r>
              <w:rPr>
                <w:b/>
                <w:sz w:val="21"/>
                <w:szCs w:val="21"/>
              </w:rPr>
              <w:t>标准值：</w:t>
            </w:r>
            <w:r>
              <w:rPr>
                <w:b/>
                <w:sz w:val="21"/>
                <w:szCs w:val="21"/>
              </w:rPr>
              <w:t>0.</w:t>
            </w:r>
            <w:r>
              <w:rPr>
                <w:rFonts w:hint="eastAsia"/>
                <w:b/>
                <w:sz w:val="21"/>
                <w:szCs w:val="21"/>
              </w:rPr>
              <w:t>2</w:t>
            </w:r>
            <w:r>
              <w:rPr>
                <w:b/>
                <w:sz w:val="21"/>
                <w:szCs w:val="21"/>
              </w:rPr>
              <w:t>mg/</w:t>
            </w:r>
            <w:r>
              <w:rPr>
                <w:rFonts w:hint="eastAsia"/>
                <w:b/>
                <w:sz w:val="21"/>
                <w:szCs w:val="21"/>
              </w:rPr>
              <w:t>L</w:t>
            </w:r>
          </w:p>
        </w:tc>
      </w:tr>
      <w:tr w:rsidR="003E78AB" w14:paraId="285D6C21" w14:textId="77777777">
        <w:trPr>
          <w:trHeight w:val="283"/>
          <w:tblHeader/>
        </w:trPr>
        <w:tc>
          <w:tcPr>
            <w:tcW w:w="1247" w:type="pct"/>
            <w:tcBorders>
              <w:tl2br w:val="single" w:sz="4" w:space="0" w:color="auto"/>
            </w:tcBorders>
            <w:shd w:val="clear" w:color="auto" w:fill="auto"/>
            <w:vAlign w:val="center"/>
          </w:tcPr>
          <w:p w14:paraId="399C652C" w14:textId="77777777" w:rsidR="003E78AB" w:rsidRDefault="00010BF9">
            <w:pPr>
              <w:spacing w:line="360" w:lineRule="exact"/>
              <w:ind w:firstLineChars="0" w:firstLine="0"/>
              <w:contextualSpacing/>
              <w:jc w:val="right"/>
              <w:rPr>
                <w:b/>
                <w:sz w:val="21"/>
                <w:szCs w:val="21"/>
              </w:rPr>
            </w:pPr>
            <w:r>
              <w:rPr>
                <w:b/>
                <w:sz w:val="21"/>
                <w:szCs w:val="21"/>
              </w:rPr>
              <w:t>天数</w:t>
            </w:r>
          </w:p>
          <w:p w14:paraId="3FE20F91" w14:textId="77777777" w:rsidR="003E78AB" w:rsidRDefault="00010BF9">
            <w:pPr>
              <w:spacing w:line="360" w:lineRule="exact"/>
              <w:ind w:firstLineChars="0" w:firstLine="0"/>
              <w:contextualSpacing/>
              <w:jc w:val="left"/>
              <w:rPr>
                <w:b/>
                <w:sz w:val="21"/>
                <w:szCs w:val="21"/>
              </w:rPr>
            </w:pPr>
            <w:r>
              <w:rPr>
                <w:b/>
                <w:sz w:val="21"/>
                <w:szCs w:val="21"/>
              </w:rPr>
              <w:t>距离</w:t>
            </w:r>
            <w:r>
              <w:rPr>
                <w:b/>
                <w:sz w:val="21"/>
                <w:szCs w:val="21"/>
              </w:rPr>
              <w:t>m</w:t>
            </w:r>
          </w:p>
        </w:tc>
        <w:tc>
          <w:tcPr>
            <w:tcW w:w="1248" w:type="pct"/>
            <w:shd w:val="clear" w:color="auto" w:fill="auto"/>
            <w:vAlign w:val="center"/>
          </w:tcPr>
          <w:p w14:paraId="5E7C0B8F" w14:textId="77777777" w:rsidR="003E78AB" w:rsidRDefault="00010BF9">
            <w:pPr>
              <w:spacing w:line="360" w:lineRule="exact"/>
              <w:ind w:firstLineChars="0" w:firstLine="0"/>
              <w:contextualSpacing/>
              <w:jc w:val="center"/>
              <w:rPr>
                <w:b/>
                <w:sz w:val="21"/>
                <w:szCs w:val="21"/>
              </w:rPr>
            </w:pPr>
            <w:r>
              <w:rPr>
                <w:b/>
                <w:sz w:val="21"/>
                <w:szCs w:val="21"/>
              </w:rPr>
              <w:t>100d</w:t>
            </w:r>
          </w:p>
        </w:tc>
        <w:tc>
          <w:tcPr>
            <w:tcW w:w="1248" w:type="pct"/>
            <w:shd w:val="clear" w:color="auto" w:fill="auto"/>
            <w:vAlign w:val="center"/>
          </w:tcPr>
          <w:p w14:paraId="57D45DA4" w14:textId="77777777" w:rsidR="003E78AB" w:rsidRDefault="00010BF9">
            <w:pPr>
              <w:spacing w:line="360" w:lineRule="exact"/>
              <w:ind w:firstLineChars="0" w:firstLine="0"/>
              <w:contextualSpacing/>
              <w:jc w:val="center"/>
              <w:rPr>
                <w:b/>
                <w:sz w:val="21"/>
                <w:szCs w:val="21"/>
              </w:rPr>
            </w:pPr>
            <w:r>
              <w:rPr>
                <w:b/>
                <w:sz w:val="21"/>
                <w:szCs w:val="21"/>
              </w:rPr>
              <w:t>365d</w:t>
            </w:r>
          </w:p>
        </w:tc>
        <w:tc>
          <w:tcPr>
            <w:tcW w:w="1255" w:type="pct"/>
            <w:shd w:val="clear" w:color="auto" w:fill="auto"/>
            <w:vAlign w:val="center"/>
          </w:tcPr>
          <w:p w14:paraId="09193D9D" w14:textId="77777777" w:rsidR="003E78AB" w:rsidRDefault="00010BF9">
            <w:pPr>
              <w:spacing w:line="360" w:lineRule="exact"/>
              <w:ind w:firstLineChars="0" w:firstLine="0"/>
              <w:contextualSpacing/>
              <w:jc w:val="center"/>
              <w:rPr>
                <w:b/>
                <w:sz w:val="21"/>
                <w:szCs w:val="21"/>
              </w:rPr>
            </w:pPr>
            <w:r>
              <w:rPr>
                <w:b/>
                <w:sz w:val="21"/>
                <w:szCs w:val="21"/>
              </w:rPr>
              <w:t>1000d</w:t>
            </w:r>
          </w:p>
        </w:tc>
      </w:tr>
      <w:tr w:rsidR="003E78AB" w14:paraId="3CDF5786" w14:textId="77777777">
        <w:trPr>
          <w:trHeight w:val="283"/>
        </w:trPr>
        <w:tc>
          <w:tcPr>
            <w:tcW w:w="2098" w:type="dxa"/>
            <w:shd w:val="clear" w:color="auto" w:fill="auto"/>
            <w:vAlign w:val="center"/>
          </w:tcPr>
          <w:p w14:paraId="2309FB64" w14:textId="77777777" w:rsidR="003E78AB" w:rsidRDefault="00010BF9">
            <w:pPr>
              <w:spacing w:line="360" w:lineRule="exact"/>
              <w:ind w:firstLineChars="0" w:firstLine="0"/>
              <w:contextualSpacing/>
              <w:jc w:val="center"/>
              <w:rPr>
                <w:bCs/>
                <w:sz w:val="21"/>
                <w:szCs w:val="21"/>
              </w:rPr>
            </w:pPr>
            <w:r>
              <w:rPr>
                <w:bCs/>
                <w:sz w:val="21"/>
                <w:szCs w:val="21"/>
              </w:rPr>
              <w:t>0</w:t>
            </w:r>
          </w:p>
        </w:tc>
        <w:tc>
          <w:tcPr>
            <w:tcW w:w="2101" w:type="dxa"/>
            <w:shd w:val="clear" w:color="auto" w:fill="auto"/>
            <w:vAlign w:val="bottom"/>
          </w:tcPr>
          <w:p w14:paraId="50FDF728" w14:textId="77777777" w:rsidR="003E78AB" w:rsidRDefault="00010BF9">
            <w:pPr>
              <w:spacing w:line="360" w:lineRule="exact"/>
              <w:ind w:firstLineChars="0" w:firstLine="0"/>
              <w:contextualSpacing/>
              <w:jc w:val="center"/>
              <w:rPr>
                <w:bCs/>
                <w:sz w:val="21"/>
                <w:szCs w:val="21"/>
              </w:rPr>
            </w:pPr>
            <w:r>
              <w:rPr>
                <w:bCs/>
                <w:sz w:val="21"/>
                <w:szCs w:val="21"/>
              </w:rPr>
              <w:t>2490</w:t>
            </w:r>
          </w:p>
        </w:tc>
        <w:tc>
          <w:tcPr>
            <w:tcW w:w="2101" w:type="dxa"/>
            <w:shd w:val="clear" w:color="auto" w:fill="auto"/>
            <w:vAlign w:val="bottom"/>
          </w:tcPr>
          <w:p w14:paraId="39FF8C7A" w14:textId="77777777" w:rsidR="003E78AB" w:rsidRDefault="00010BF9">
            <w:pPr>
              <w:spacing w:line="360" w:lineRule="exact"/>
              <w:ind w:firstLineChars="0" w:firstLine="0"/>
              <w:contextualSpacing/>
              <w:jc w:val="center"/>
              <w:rPr>
                <w:bCs/>
                <w:sz w:val="21"/>
                <w:szCs w:val="21"/>
              </w:rPr>
            </w:pPr>
            <w:r>
              <w:rPr>
                <w:bCs/>
                <w:sz w:val="21"/>
                <w:szCs w:val="21"/>
              </w:rPr>
              <w:t>2490</w:t>
            </w:r>
          </w:p>
        </w:tc>
        <w:tc>
          <w:tcPr>
            <w:tcW w:w="2116" w:type="dxa"/>
            <w:shd w:val="clear" w:color="auto" w:fill="auto"/>
            <w:vAlign w:val="bottom"/>
          </w:tcPr>
          <w:p w14:paraId="1BBD0116" w14:textId="77777777" w:rsidR="003E78AB" w:rsidRDefault="00010BF9">
            <w:pPr>
              <w:spacing w:line="360" w:lineRule="exact"/>
              <w:ind w:firstLineChars="0" w:firstLine="0"/>
              <w:contextualSpacing/>
              <w:jc w:val="center"/>
              <w:rPr>
                <w:bCs/>
                <w:sz w:val="21"/>
                <w:szCs w:val="21"/>
              </w:rPr>
            </w:pPr>
            <w:r>
              <w:rPr>
                <w:bCs/>
                <w:sz w:val="21"/>
                <w:szCs w:val="21"/>
              </w:rPr>
              <w:t>2490</w:t>
            </w:r>
          </w:p>
        </w:tc>
      </w:tr>
      <w:tr w:rsidR="003E78AB" w14:paraId="67453003" w14:textId="77777777">
        <w:trPr>
          <w:trHeight w:val="283"/>
        </w:trPr>
        <w:tc>
          <w:tcPr>
            <w:tcW w:w="2098" w:type="dxa"/>
            <w:shd w:val="clear" w:color="auto" w:fill="auto"/>
            <w:vAlign w:val="center"/>
          </w:tcPr>
          <w:p w14:paraId="5F2D81CD" w14:textId="77777777" w:rsidR="003E78AB" w:rsidRDefault="00010BF9">
            <w:pPr>
              <w:spacing w:line="360" w:lineRule="exact"/>
              <w:ind w:firstLineChars="0" w:firstLine="0"/>
              <w:contextualSpacing/>
              <w:jc w:val="center"/>
              <w:rPr>
                <w:bCs/>
                <w:sz w:val="21"/>
                <w:szCs w:val="21"/>
              </w:rPr>
            </w:pPr>
            <w:r>
              <w:rPr>
                <w:bCs/>
                <w:sz w:val="21"/>
                <w:szCs w:val="21"/>
              </w:rPr>
              <w:t>10</w:t>
            </w:r>
          </w:p>
        </w:tc>
        <w:tc>
          <w:tcPr>
            <w:tcW w:w="2101" w:type="dxa"/>
            <w:shd w:val="clear" w:color="auto" w:fill="auto"/>
            <w:vAlign w:val="bottom"/>
          </w:tcPr>
          <w:p w14:paraId="6FD9724E" w14:textId="77777777" w:rsidR="003E78AB" w:rsidRDefault="00010BF9">
            <w:pPr>
              <w:spacing w:line="360" w:lineRule="exact"/>
              <w:ind w:firstLineChars="0" w:firstLine="0"/>
              <w:contextualSpacing/>
              <w:jc w:val="center"/>
              <w:rPr>
                <w:bCs/>
                <w:sz w:val="21"/>
                <w:szCs w:val="21"/>
              </w:rPr>
            </w:pPr>
            <w:r>
              <w:rPr>
                <w:bCs/>
                <w:sz w:val="21"/>
                <w:szCs w:val="21"/>
              </w:rPr>
              <w:t>2489.997</w:t>
            </w:r>
          </w:p>
        </w:tc>
        <w:tc>
          <w:tcPr>
            <w:tcW w:w="2101" w:type="dxa"/>
            <w:shd w:val="clear" w:color="auto" w:fill="auto"/>
            <w:vAlign w:val="bottom"/>
          </w:tcPr>
          <w:p w14:paraId="04031C91" w14:textId="77777777" w:rsidR="003E78AB" w:rsidRDefault="00010BF9">
            <w:pPr>
              <w:spacing w:line="360" w:lineRule="exact"/>
              <w:ind w:firstLineChars="0" w:firstLine="0"/>
              <w:contextualSpacing/>
              <w:jc w:val="center"/>
              <w:rPr>
                <w:bCs/>
                <w:sz w:val="21"/>
                <w:szCs w:val="21"/>
              </w:rPr>
            </w:pPr>
            <w:r>
              <w:rPr>
                <w:bCs/>
                <w:sz w:val="21"/>
                <w:szCs w:val="21"/>
              </w:rPr>
              <w:t>2489.999</w:t>
            </w:r>
          </w:p>
        </w:tc>
        <w:tc>
          <w:tcPr>
            <w:tcW w:w="2116" w:type="dxa"/>
            <w:shd w:val="clear" w:color="auto" w:fill="auto"/>
            <w:vAlign w:val="bottom"/>
          </w:tcPr>
          <w:p w14:paraId="066B8E77" w14:textId="77777777" w:rsidR="003E78AB" w:rsidRDefault="00010BF9">
            <w:pPr>
              <w:spacing w:line="360" w:lineRule="exact"/>
              <w:ind w:firstLineChars="0" w:firstLine="0"/>
              <w:contextualSpacing/>
              <w:jc w:val="center"/>
              <w:rPr>
                <w:bCs/>
                <w:sz w:val="21"/>
                <w:szCs w:val="21"/>
              </w:rPr>
            </w:pPr>
            <w:r>
              <w:rPr>
                <w:bCs/>
                <w:sz w:val="21"/>
                <w:szCs w:val="21"/>
              </w:rPr>
              <w:t>2490</w:t>
            </w:r>
          </w:p>
        </w:tc>
      </w:tr>
      <w:tr w:rsidR="003E78AB" w14:paraId="6332ADF5" w14:textId="77777777">
        <w:trPr>
          <w:trHeight w:val="283"/>
        </w:trPr>
        <w:tc>
          <w:tcPr>
            <w:tcW w:w="2098" w:type="dxa"/>
            <w:shd w:val="clear" w:color="auto" w:fill="auto"/>
            <w:vAlign w:val="center"/>
          </w:tcPr>
          <w:p w14:paraId="644FD98D" w14:textId="77777777" w:rsidR="003E78AB" w:rsidRDefault="00010BF9">
            <w:pPr>
              <w:spacing w:line="360" w:lineRule="exact"/>
              <w:ind w:firstLineChars="0" w:firstLine="0"/>
              <w:contextualSpacing/>
              <w:jc w:val="center"/>
              <w:rPr>
                <w:bCs/>
                <w:sz w:val="21"/>
                <w:szCs w:val="21"/>
              </w:rPr>
            </w:pPr>
            <w:r>
              <w:rPr>
                <w:bCs/>
                <w:sz w:val="21"/>
                <w:szCs w:val="21"/>
              </w:rPr>
              <w:t>20</w:t>
            </w:r>
          </w:p>
        </w:tc>
        <w:tc>
          <w:tcPr>
            <w:tcW w:w="2101" w:type="dxa"/>
            <w:shd w:val="clear" w:color="auto" w:fill="auto"/>
            <w:vAlign w:val="bottom"/>
          </w:tcPr>
          <w:p w14:paraId="6659D6BA" w14:textId="77777777" w:rsidR="003E78AB" w:rsidRDefault="00010BF9">
            <w:pPr>
              <w:spacing w:line="360" w:lineRule="exact"/>
              <w:ind w:firstLineChars="0" w:firstLine="0"/>
              <w:contextualSpacing/>
              <w:jc w:val="center"/>
              <w:rPr>
                <w:bCs/>
                <w:sz w:val="21"/>
                <w:szCs w:val="21"/>
              </w:rPr>
            </w:pPr>
            <w:r>
              <w:rPr>
                <w:bCs/>
                <w:sz w:val="21"/>
                <w:szCs w:val="21"/>
              </w:rPr>
              <w:t>2489.112</w:t>
            </w:r>
          </w:p>
        </w:tc>
        <w:tc>
          <w:tcPr>
            <w:tcW w:w="2101" w:type="dxa"/>
            <w:shd w:val="clear" w:color="auto" w:fill="auto"/>
            <w:vAlign w:val="bottom"/>
          </w:tcPr>
          <w:p w14:paraId="1F8F9BFA" w14:textId="77777777" w:rsidR="003E78AB" w:rsidRDefault="00010BF9">
            <w:pPr>
              <w:spacing w:line="360" w:lineRule="exact"/>
              <w:ind w:firstLineChars="0" w:firstLine="0"/>
              <w:contextualSpacing/>
              <w:jc w:val="center"/>
              <w:rPr>
                <w:bCs/>
                <w:sz w:val="21"/>
                <w:szCs w:val="21"/>
              </w:rPr>
            </w:pPr>
            <w:r>
              <w:rPr>
                <w:bCs/>
                <w:sz w:val="21"/>
                <w:szCs w:val="21"/>
              </w:rPr>
              <w:t>2489.98</w:t>
            </w:r>
          </w:p>
        </w:tc>
        <w:tc>
          <w:tcPr>
            <w:tcW w:w="2116" w:type="dxa"/>
            <w:shd w:val="clear" w:color="auto" w:fill="auto"/>
            <w:vAlign w:val="bottom"/>
          </w:tcPr>
          <w:p w14:paraId="635F89B4" w14:textId="77777777" w:rsidR="003E78AB" w:rsidRDefault="00010BF9">
            <w:pPr>
              <w:spacing w:line="360" w:lineRule="exact"/>
              <w:ind w:firstLineChars="0" w:firstLine="0"/>
              <w:contextualSpacing/>
              <w:jc w:val="center"/>
              <w:rPr>
                <w:bCs/>
                <w:sz w:val="21"/>
                <w:szCs w:val="21"/>
              </w:rPr>
            </w:pPr>
            <w:r>
              <w:rPr>
                <w:bCs/>
                <w:sz w:val="21"/>
                <w:szCs w:val="21"/>
              </w:rPr>
              <w:t>2489.999</w:t>
            </w:r>
          </w:p>
        </w:tc>
      </w:tr>
      <w:tr w:rsidR="003E78AB" w14:paraId="51F0027E" w14:textId="77777777">
        <w:trPr>
          <w:trHeight w:val="283"/>
        </w:trPr>
        <w:tc>
          <w:tcPr>
            <w:tcW w:w="2098" w:type="dxa"/>
            <w:shd w:val="clear" w:color="auto" w:fill="auto"/>
            <w:vAlign w:val="center"/>
          </w:tcPr>
          <w:p w14:paraId="2A487B9A" w14:textId="77777777" w:rsidR="003E78AB" w:rsidRDefault="00010BF9">
            <w:pPr>
              <w:spacing w:line="360" w:lineRule="exact"/>
              <w:ind w:firstLineChars="0" w:firstLine="0"/>
              <w:contextualSpacing/>
              <w:jc w:val="center"/>
              <w:rPr>
                <w:bCs/>
                <w:sz w:val="21"/>
                <w:szCs w:val="21"/>
              </w:rPr>
            </w:pPr>
            <w:r>
              <w:rPr>
                <w:bCs/>
                <w:sz w:val="21"/>
                <w:szCs w:val="21"/>
              </w:rPr>
              <w:t>30</w:t>
            </w:r>
          </w:p>
        </w:tc>
        <w:tc>
          <w:tcPr>
            <w:tcW w:w="2101" w:type="dxa"/>
            <w:shd w:val="clear" w:color="auto" w:fill="auto"/>
            <w:vAlign w:val="bottom"/>
          </w:tcPr>
          <w:p w14:paraId="39BA967E" w14:textId="77777777" w:rsidR="003E78AB" w:rsidRDefault="00010BF9">
            <w:pPr>
              <w:spacing w:line="360" w:lineRule="exact"/>
              <w:ind w:firstLineChars="0" w:firstLine="0"/>
              <w:contextualSpacing/>
              <w:jc w:val="center"/>
              <w:rPr>
                <w:bCs/>
                <w:sz w:val="21"/>
                <w:szCs w:val="21"/>
              </w:rPr>
            </w:pPr>
            <w:r>
              <w:rPr>
                <w:bCs/>
                <w:sz w:val="21"/>
                <w:szCs w:val="21"/>
              </w:rPr>
              <w:t>2475.214</w:t>
            </w:r>
          </w:p>
        </w:tc>
        <w:tc>
          <w:tcPr>
            <w:tcW w:w="2101" w:type="dxa"/>
            <w:shd w:val="clear" w:color="auto" w:fill="auto"/>
            <w:vAlign w:val="bottom"/>
          </w:tcPr>
          <w:p w14:paraId="462C278E" w14:textId="77777777" w:rsidR="003E78AB" w:rsidRDefault="00010BF9">
            <w:pPr>
              <w:spacing w:line="360" w:lineRule="exact"/>
              <w:ind w:firstLineChars="0" w:firstLine="0"/>
              <w:contextualSpacing/>
              <w:jc w:val="center"/>
              <w:rPr>
                <w:bCs/>
                <w:sz w:val="21"/>
                <w:szCs w:val="21"/>
              </w:rPr>
            </w:pPr>
            <w:r>
              <w:rPr>
                <w:bCs/>
                <w:sz w:val="21"/>
                <w:szCs w:val="21"/>
              </w:rPr>
              <w:t>2489.123</w:t>
            </w:r>
          </w:p>
        </w:tc>
        <w:tc>
          <w:tcPr>
            <w:tcW w:w="2116" w:type="dxa"/>
            <w:shd w:val="clear" w:color="auto" w:fill="auto"/>
            <w:vAlign w:val="bottom"/>
          </w:tcPr>
          <w:p w14:paraId="26F64CE0" w14:textId="77777777" w:rsidR="003E78AB" w:rsidRDefault="00010BF9">
            <w:pPr>
              <w:spacing w:line="360" w:lineRule="exact"/>
              <w:ind w:firstLineChars="0" w:firstLine="0"/>
              <w:contextualSpacing/>
              <w:jc w:val="center"/>
              <w:rPr>
                <w:bCs/>
                <w:sz w:val="21"/>
                <w:szCs w:val="21"/>
              </w:rPr>
            </w:pPr>
            <w:r>
              <w:rPr>
                <w:bCs/>
                <w:sz w:val="21"/>
                <w:szCs w:val="21"/>
              </w:rPr>
              <w:t>2489.982</w:t>
            </w:r>
          </w:p>
        </w:tc>
      </w:tr>
      <w:tr w:rsidR="003E78AB" w14:paraId="67A36399" w14:textId="77777777">
        <w:trPr>
          <w:trHeight w:val="283"/>
        </w:trPr>
        <w:tc>
          <w:tcPr>
            <w:tcW w:w="2098" w:type="dxa"/>
            <w:shd w:val="clear" w:color="auto" w:fill="auto"/>
            <w:vAlign w:val="center"/>
          </w:tcPr>
          <w:p w14:paraId="7F9C82CC" w14:textId="77777777" w:rsidR="003E78AB" w:rsidRDefault="00010BF9">
            <w:pPr>
              <w:spacing w:line="360" w:lineRule="exact"/>
              <w:ind w:firstLineChars="0" w:firstLine="0"/>
              <w:contextualSpacing/>
              <w:jc w:val="center"/>
              <w:rPr>
                <w:bCs/>
                <w:sz w:val="21"/>
                <w:szCs w:val="21"/>
              </w:rPr>
            </w:pPr>
            <w:r>
              <w:rPr>
                <w:bCs/>
                <w:sz w:val="21"/>
                <w:szCs w:val="21"/>
              </w:rPr>
              <w:t>40</w:t>
            </w:r>
          </w:p>
        </w:tc>
        <w:tc>
          <w:tcPr>
            <w:tcW w:w="2101" w:type="dxa"/>
            <w:shd w:val="clear" w:color="auto" w:fill="auto"/>
            <w:vAlign w:val="bottom"/>
          </w:tcPr>
          <w:p w14:paraId="3252C2F2" w14:textId="77777777" w:rsidR="003E78AB" w:rsidRDefault="00010BF9">
            <w:pPr>
              <w:spacing w:line="360" w:lineRule="exact"/>
              <w:ind w:firstLineChars="0" w:firstLine="0"/>
              <w:contextualSpacing/>
              <w:jc w:val="center"/>
              <w:rPr>
                <w:bCs/>
                <w:sz w:val="21"/>
                <w:szCs w:val="21"/>
              </w:rPr>
            </w:pPr>
            <w:r>
              <w:rPr>
                <w:bCs/>
                <w:sz w:val="21"/>
                <w:szCs w:val="21"/>
              </w:rPr>
              <w:t>2280.541</w:t>
            </w:r>
          </w:p>
        </w:tc>
        <w:tc>
          <w:tcPr>
            <w:tcW w:w="2101" w:type="dxa"/>
            <w:shd w:val="clear" w:color="auto" w:fill="auto"/>
            <w:vAlign w:val="bottom"/>
          </w:tcPr>
          <w:p w14:paraId="2C0D9B0D" w14:textId="77777777" w:rsidR="003E78AB" w:rsidRDefault="00010BF9">
            <w:pPr>
              <w:spacing w:line="360" w:lineRule="exact"/>
              <w:ind w:firstLineChars="0" w:firstLine="0"/>
              <w:contextualSpacing/>
              <w:jc w:val="center"/>
              <w:rPr>
                <w:bCs/>
                <w:sz w:val="21"/>
                <w:szCs w:val="21"/>
              </w:rPr>
            </w:pPr>
            <w:r>
              <w:rPr>
                <w:bCs/>
                <w:sz w:val="21"/>
                <w:szCs w:val="21"/>
              </w:rPr>
              <w:t>2475.225</w:t>
            </w:r>
          </w:p>
        </w:tc>
        <w:tc>
          <w:tcPr>
            <w:tcW w:w="2116" w:type="dxa"/>
            <w:shd w:val="clear" w:color="auto" w:fill="auto"/>
            <w:vAlign w:val="bottom"/>
          </w:tcPr>
          <w:p w14:paraId="21021319" w14:textId="77777777" w:rsidR="003E78AB" w:rsidRDefault="00010BF9">
            <w:pPr>
              <w:spacing w:line="360" w:lineRule="exact"/>
              <w:ind w:firstLineChars="0" w:firstLine="0"/>
              <w:contextualSpacing/>
              <w:jc w:val="center"/>
              <w:rPr>
                <w:bCs/>
                <w:sz w:val="21"/>
                <w:szCs w:val="21"/>
              </w:rPr>
            </w:pPr>
            <w:r>
              <w:rPr>
                <w:bCs/>
                <w:sz w:val="21"/>
                <w:szCs w:val="21"/>
              </w:rPr>
              <w:t>2489.124</w:t>
            </w:r>
          </w:p>
        </w:tc>
      </w:tr>
      <w:tr w:rsidR="003E78AB" w14:paraId="5C866026" w14:textId="77777777">
        <w:trPr>
          <w:trHeight w:val="283"/>
        </w:trPr>
        <w:tc>
          <w:tcPr>
            <w:tcW w:w="2098" w:type="dxa"/>
            <w:shd w:val="clear" w:color="auto" w:fill="auto"/>
            <w:vAlign w:val="center"/>
          </w:tcPr>
          <w:p w14:paraId="0230C34C" w14:textId="77777777" w:rsidR="003E78AB" w:rsidRDefault="00010BF9">
            <w:pPr>
              <w:spacing w:line="360" w:lineRule="exact"/>
              <w:ind w:firstLineChars="0" w:firstLine="0"/>
              <w:contextualSpacing/>
              <w:jc w:val="center"/>
              <w:rPr>
                <w:bCs/>
                <w:sz w:val="21"/>
                <w:szCs w:val="21"/>
              </w:rPr>
            </w:pPr>
            <w:r>
              <w:rPr>
                <w:bCs/>
                <w:sz w:val="21"/>
                <w:szCs w:val="21"/>
              </w:rPr>
              <w:t>50</w:t>
            </w:r>
          </w:p>
        </w:tc>
        <w:tc>
          <w:tcPr>
            <w:tcW w:w="2101" w:type="dxa"/>
            <w:shd w:val="clear" w:color="auto" w:fill="auto"/>
            <w:vAlign w:val="bottom"/>
          </w:tcPr>
          <w:p w14:paraId="23C0DE81" w14:textId="77777777" w:rsidR="003E78AB" w:rsidRDefault="00010BF9">
            <w:pPr>
              <w:spacing w:line="360" w:lineRule="exact"/>
              <w:ind w:firstLineChars="0" w:firstLine="0"/>
              <w:contextualSpacing/>
              <w:jc w:val="center"/>
              <w:rPr>
                <w:bCs/>
                <w:sz w:val="21"/>
                <w:szCs w:val="21"/>
              </w:rPr>
            </w:pPr>
            <w:r>
              <w:rPr>
                <w:bCs/>
                <w:sz w:val="21"/>
                <w:szCs w:val="21"/>
              </w:rPr>
              <w:t>124.887</w:t>
            </w:r>
          </w:p>
        </w:tc>
        <w:tc>
          <w:tcPr>
            <w:tcW w:w="2101" w:type="dxa"/>
            <w:shd w:val="clear" w:color="auto" w:fill="auto"/>
            <w:vAlign w:val="bottom"/>
          </w:tcPr>
          <w:p w14:paraId="3924AE91" w14:textId="77777777" w:rsidR="003E78AB" w:rsidRDefault="00010BF9">
            <w:pPr>
              <w:spacing w:line="360" w:lineRule="exact"/>
              <w:ind w:firstLineChars="0" w:firstLine="0"/>
              <w:contextualSpacing/>
              <w:jc w:val="center"/>
              <w:rPr>
                <w:bCs/>
                <w:sz w:val="21"/>
                <w:szCs w:val="21"/>
              </w:rPr>
            </w:pPr>
            <w:r>
              <w:rPr>
                <w:bCs/>
                <w:sz w:val="21"/>
                <w:szCs w:val="21"/>
              </w:rPr>
              <w:t>2280.543</w:t>
            </w:r>
          </w:p>
        </w:tc>
        <w:tc>
          <w:tcPr>
            <w:tcW w:w="2116" w:type="dxa"/>
            <w:shd w:val="clear" w:color="auto" w:fill="auto"/>
            <w:vAlign w:val="bottom"/>
          </w:tcPr>
          <w:p w14:paraId="4F49C7E4" w14:textId="77777777" w:rsidR="003E78AB" w:rsidRDefault="00010BF9">
            <w:pPr>
              <w:spacing w:line="360" w:lineRule="exact"/>
              <w:ind w:firstLineChars="0" w:firstLine="0"/>
              <w:contextualSpacing/>
              <w:jc w:val="center"/>
              <w:rPr>
                <w:bCs/>
                <w:sz w:val="21"/>
                <w:szCs w:val="21"/>
              </w:rPr>
            </w:pPr>
            <w:r>
              <w:rPr>
                <w:bCs/>
                <w:sz w:val="21"/>
                <w:szCs w:val="21"/>
              </w:rPr>
              <w:t>2475.226</w:t>
            </w:r>
          </w:p>
        </w:tc>
      </w:tr>
      <w:tr w:rsidR="003E78AB" w14:paraId="7150C9BA" w14:textId="77777777">
        <w:trPr>
          <w:trHeight w:val="283"/>
        </w:trPr>
        <w:tc>
          <w:tcPr>
            <w:tcW w:w="2098" w:type="dxa"/>
            <w:shd w:val="clear" w:color="auto" w:fill="auto"/>
            <w:vAlign w:val="center"/>
          </w:tcPr>
          <w:p w14:paraId="2A238858" w14:textId="77777777" w:rsidR="003E78AB" w:rsidRDefault="00010BF9">
            <w:pPr>
              <w:spacing w:line="360" w:lineRule="exact"/>
              <w:ind w:firstLineChars="0" w:firstLine="0"/>
              <w:contextualSpacing/>
              <w:jc w:val="center"/>
              <w:rPr>
                <w:bCs/>
                <w:sz w:val="21"/>
                <w:szCs w:val="21"/>
              </w:rPr>
            </w:pPr>
            <w:r>
              <w:rPr>
                <w:bCs/>
                <w:sz w:val="21"/>
                <w:szCs w:val="21"/>
              </w:rPr>
              <w:t>60</w:t>
            </w:r>
          </w:p>
        </w:tc>
        <w:tc>
          <w:tcPr>
            <w:tcW w:w="2101" w:type="dxa"/>
            <w:shd w:val="clear" w:color="auto" w:fill="auto"/>
            <w:vAlign w:val="bottom"/>
          </w:tcPr>
          <w:p w14:paraId="30325915"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bottom"/>
          </w:tcPr>
          <w:p w14:paraId="16904E8D" w14:textId="77777777" w:rsidR="003E78AB" w:rsidRDefault="00010BF9">
            <w:pPr>
              <w:spacing w:line="360" w:lineRule="exact"/>
              <w:ind w:firstLineChars="0" w:firstLine="0"/>
              <w:contextualSpacing/>
              <w:jc w:val="center"/>
              <w:rPr>
                <w:bCs/>
                <w:sz w:val="21"/>
                <w:szCs w:val="21"/>
              </w:rPr>
            </w:pPr>
            <w:r>
              <w:rPr>
                <w:bCs/>
                <w:sz w:val="21"/>
                <w:szCs w:val="21"/>
              </w:rPr>
              <w:t>124.887</w:t>
            </w:r>
          </w:p>
        </w:tc>
        <w:tc>
          <w:tcPr>
            <w:tcW w:w="2116" w:type="dxa"/>
            <w:shd w:val="clear" w:color="auto" w:fill="auto"/>
            <w:vAlign w:val="bottom"/>
          </w:tcPr>
          <w:p w14:paraId="39223B7C" w14:textId="77777777" w:rsidR="003E78AB" w:rsidRDefault="00010BF9">
            <w:pPr>
              <w:spacing w:line="360" w:lineRule="exact"/>
              <w:ind w:firstLineChars="0" w:firstLine="0"/>
              <w:contextualSpacing/>
              <w:jc w:val="center"/>
              <w:rPr>
                <w:bCs/>
                <w:sz w:val="21"/>
                <w:szCs w:val="21"/>
              </w:rPr>
            </w:pPr>
            <w:r>
              <w:rPr>
                <w:bCs/>
                <w:sz w:val="21"/>
                <w:szCs w:val="21"/>
              </w:rPr>
              <w:t>2280.544</w:t>
            </w:r>
          </w:p>
        </w:tc>
      </w:tr>
      <w:tr w:rsidR="003E78AB" w14:paraId="0B4E1688" w14:textId="77777777">
        <w:trPr>
          <w:trHeight w:val="283"/>
        </w:trPr>
        <w:tc>
          <w:tcPr>
            <w:tcW w:w="2098" w:type="dxa"/>
            <w:shd w:val="clear" w:color="auto" w:fill="auto"/>
            <w:vAlign w:val="center"/>
          </w:tcPr>
          <w:p w14:paraId="4357E1ED" w14:textId="77777777" w:rsidR="003E78AB" w:rsidRDefault="00010BF9">
            <w:pPr>
              <w:spacing w:line="360" w:lineRule="exact"/>
              <w:ind w:firstLineChars="0" w:firstLine="0"/>
              <w:contextualSpacing/>
              <w:jc w:val="center"/>
              <w:rPr>
                <w:bCs/>
                <w:sz w:val="21"/>
                <w:szCs w:val="21"/>
              </w:rPr>
            </w:pPr>
            <w:r>
              <w:rPr>
                <w:bCs/>
                <w:sz w:val="21"/>
                <w:szCs w:val="21"/>
              </w:rPr>
              <w:t>70</w:t>
            </w:r>
          </w:p>
        </w:tc>
        <w:tc>
          <w:tcPr>
            <w:tcW w:w="2101" w:type="dxa"/>
            <w:shd w:val="clear" w:color="auto" w:fill="auto"/>
            <w:vAlign w:val="bottom"/>
          </w:tcPr>
          <w:p w14:paraId="1D831698"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bottom"/>
          </w:tcPr>
          <w:p w14:paraId="4906825C"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bottom"/>
          </w:tcPr>
          <w:p w14:paraId="19C3E5A8" w14:textId="77777777" w:rsidR="003E78AB" w:rsidRDefault="00010BF9">
            <w:pPr>
              <w:spacing w:line="360" w:lineRule="exact"/>
              <w:ind w:firstLineChars="0" w:firstLine="0"/>
              <w:contextualSpacing/>
              <w:jc w:val="center"/>
              <w:rPr>
                <w:bCs/>
                <w:sz w:val="21"/>
                <w:szCs w:val="21"/>
              </w:rPr>
            </w:pPr>
            <w:r>
              <w:rPr>
                <w:bCs/>
                <w:sz w:val="21"/>
                <w:szCs w:val="21"/>
              </w:rPr>
              <w:t>124.887</w:t>
            </w:r>
          </w:p>
        </w:tc>
      </w:tr>
      <w:tr w:rsidR="003E78AB" w14:paraId="049D253E" w14:textId="77777777">
        <w:trPr>
          <w:trHeight w:val="283"/>
        </w:trPr>
        <w:tc>
          <w:tcPr>
            <w:tcW w:w="2098" w:type="dxa"/>
            <w:shd w:val="clear" w:color="auto" w:fill="auto"/>
            <w:vAlign w:val="center"/>
          </w:tcPr>
          <w:p w14:paraId="4DC3113C" w14:textId="77777777" w:rsidR="003E78AB" w:rsidRDefault="00010BF9">
            <w:pPr>
              <w:spacing w:line="360" w:lineRule="exact"/>
              <w:ind w:firstLineChars="0" w:firstLine="0"/>
              <w:contextualSpacing/>
              <w:jc w:val="center"/>
              <w:rPr>
                <w:bCs/>
                <w:sz w:val="21"/>
                <w:szCs w:val="21"/>
              </w:rPr>
            </w:pPr>
            <w:r>
              <w:rPr>
                <w:bCs/>
                <w:sz w:val="21"/>
                <w:szCs w:val="21"/>
              </w:rPr>
              <w:t>80</w:t>
            </w:r>
          </w:p>
        </w:tc>
        <w:tc>
          <w:tcPr>
            <w:tcW w:w="2101" w:type="dxa"/>
            <w:shd w:val="clear" w:color="auto" w:fill="auto"/>
            <w:vAlign w:val="center"/>
          </w:tcPr>
          <w:p w14:paraId="4F78FC9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6F8020B9"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2174458E" w14:textId="77777777" w:rsidR="003E78AB" w:rsidRDefault="00010BF9">
            <w:pPr>
              <w:spacing w:line="360" w:lineRule="exact"/>
              <w:ind w:firstLineChars="0" w:firstLine="0"/>
              <w:contextualSpacing/>
              <w:jc w:val="center"/>
              <w:rPr>
                <w:bCs/>
                <w:sz w:val="21"/>
                <w:szCs w:val="21"/>
              </w:rPr>
            </w:pPr>
            <w:r>
              <w:rPr>
                <w:bCs/>
                <w:sz w:val="21"/>
                <w:szCs w:val="21"/>
              </w:rPr>
              <w:t>1.88E+03</w:t>
            </w:r>
          </w:p>
        </w:tc>
      </w:tr>
      <w:tr w:rsidR="003E78AB" w14:paraId="40B3B062" w14:textId="77777777">
        <w:trPr>
          <w:trHeight w:val="283"/>
        </w:trPr>
        <w:tc>
          <w:tcPr>
            <w:tcW w:w="2098" w:type="dxa"/>
            <w:shd w:val="clear" w:color="auto" w:fill="auto"/>
            <w:vAlign w:val="center"/>
          </w:tcPr>
          <w:p w14:paraId="1BAA6809" w14:textId="77777777" w:rsidR="003E78AB" w:rsidRDefault="00010BF9">
            <w:pPr>
              <w:spacing w:line="360" w:lineRule="exact"/>
              <w:ind w:firstLineChars="0" w:firstLine="0"/>
              <w:contextualSpacing/>
              <w:jc w:val="center"/>
              <w:rPr>
                <w:bCs/>
                <w:sz w:val="21"/>
                <w:szCs w:val="21"/>
              </w:rPr>
            </w:pPr>
            <w:r>
              <w:rPr>
                <w:bCs/>
                <w:sz w:val="21"/>
                <w:szCs w:val="21"/>
              </w:rPr>
              <w:t>90</w:t>
            </w:r>
          </w:p>
        </w:tc>
        <w:tc>
          <w:tcPr>
            <w:tcW w:w="2101" w:type="dxa"/>
            <w:shd w:val="clear" w:color="auto" w:fill="auto"/>
            <w:vAlign w:val="center"/>
          </w:tcPr>
          <w:p w14:paraId="7365D0B2"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24043C0B"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518043BE" w14:textId="77777777" w:rsidR="003E78AB" w:rsidRDefault="00010BF9">
            <w:pPr>
              <w:spacing w:line="360" w:lineRule="exact"/>
              <w:ind w:firstLineChars="0" w:firstLine="0"/>
              <w:contextualSpacing/>
              <w:jc w:val="center"/>
              <w:rPr>
                <w:bCs/>
                <w:sz w:val="21"/>
                <w:szCs w:val="21"/>
              </w:rPr>
            </w:pPr>
            <w:r>
              <w:rPr>
                <w:bCs/>
                <w:sz w:val="21"/>
                <w:szCs w:val="21"/>
              </w:rPr>
              <w:t>1.55E+03</w:t>
            </w:r>
          </w:p>
        </w:tc>
      </w:tr>
      <w:tr w:rsidR="003E78AB" w14:paraId="60653F9C" w14:textId="77777777">
        <w:trPr>
          <w:trHeight w:val="283"/>
        </w:trPr>
        <w:tc>
          <w:tcPr>
            <w:tcW w:w="2098" w:type="dxa"/>
            <w:shd w:val="clear" w:color="auto" w:fill="auto"/>
            <w:vAlign w:val="center"/>
          </w:tcPr>
          <w:p w14:paraId="488269B5" w14:textId="77777777" w:rsidR="003E78AB" w:rsidRDefault="00010BF9">
            <w:pPr>
              <w:spacing w:line="360" w:lineRule="exact"/>
              <w:ind w:firstLineChars="0" w:firstLine="0"/>
              <w:contextualSpacing/>
              <w:jc w:val="center"/>
              <w:rPr>
                <w:bCs/>
                <w:sz w:val="21"/>
                <w:szCs w:val="21"/>
              </w:rPr>
            </w:pPr>
            <w:r>
              <w:rPr>
                <w:bCs/>
                <w:sz w:val="21"/>
                <w:szCs w:val="21"/>
              </w:rPr>
              <w:t>100</w:t>
            </w:r>
          </w:p>
        </w:tc>
        <w:tc>
          <w:tcPr>
            <w:tcW w:w="2101" w:type="dxa"/>
            <w:shd w:val="clear" w:color="auto" w:fill="auto"/>
            <w:vAlign w:val="center"/>
          </w:tcPr>
          <w:p w14:paraId="4E1E10E1"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727A768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5F23183A"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2A0882D4" w14:textId="77777777">
        <w:trPr>
          <w:trHeight w:val="283"/>
        </w:trPr>
        <w:tc>
          <w:tcPr>
            <w:tcW w:w="2098" w:type="dxa"/>
            <w:shd w:val="clear" w:color="auto" w:fill="auto"/>
            <w:vAlign w:val="center"/>
          </w:tcPr>
          <w:p w14:paraId="27463C02" w14:textId="77777777" w:rsidR="003E78AB" w:rsidRDefault="00010BF9">
            <w:pPr>
              <w:spacing w:line="360" w:lineRule="exact"/>
              <w:ind w:firstLineChars="0" w:firstLine="0"/>
              <w:contextualSpacing/>
              <w:jc w:val="center"/>
              <w:rPr>
                <w:bCs/>
                <w:sz w:val="21"/>
                <w:szCs w:val="21"/>
              </w:rPr>
            </w:pPr>
            <w:r>
              <w:rPr>
                <w:bCs/>
                <w:sz w:val="21"/>
                <w:szCs w:val="21"/>
              </w:rPr>
              <w:t>110</w:t>
            </w:r>
          </w:p>
        </w:tc>
        <w:tc>
          <w:tcPr>
            <w:tcW w:w="2101" w:type="dxa"/>
            <w:shd w:val="clear" w:color="auto" w:fill="auto"/>
            <w:vAlign w:val="center"/>
          </w:tcPr>
          <w:p w14:paraId="4C78E7A0"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555AC93A"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16E6A9B0"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11339B23" w14:textId="77777777">
        <w:trPr>
          <w:trHeight w:val="283"/>
        </w:trPr>
        <w:tc>
          <w:tcPr>
            <w:tcW w:w="2098" w:type="dxa"/>
            <w:shd w:val="clear" w:color="auto" w:fill="auto"/>
            <w:vAlign w:val="center"/>
          </w:tcPr>
          <w:p w14:paraId="238FDA35" w14:textId="77777777" w:rsidR="003E78AB" w:rsidRDefault="00010BF9">
            <w:pPr>
              <w:spacing w:line="360" w:lineRule="exact"/>
              <w:ind w:firstLineChars="0" w:firstLine="0"/>
              <w:contextualSpacing/>
              <w:jc w:val="center"/>
              <w:rPr>
                <w:bCs/>
                <w:sz w:val="21"/>
                <w:szCs w:val="21"/>
              </w:rPr>
            </w:pPr>
            <w:r>
              <w:rPr>
                <w:bCs/>
                <w:sz w:val="21"/>
                <w:szCs w:val="21"/>
              </w:rPr>
              <w:t>120</w:t>
            </w:r>
          </w:p>
        </w:tc>
        <w:tc>
          <w:tcPr>
            <w:tcW w:w="2101" w:type="dxa"/>
            <w:shd w:val="clear" w:color="auto" w:fill="auto"/>
            <w:vAlign w:val="center"/>
          </w:tcPr>
          <w:p w14:paraId="60B2D8E7"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4837F1DB"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25463387"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323AA03E" w14:textId="77777777">
        <w:trPr>
          <w:trHeight w:val="283"/>
        </w:trPr>
        <w:tc>
          <w:tcPr>
            <w:tcW w:w="2098" w:type="dxa"/>
            <w:shd w:val="clear" w:color="auto" w:fill="auto"/>
            <w:vAlign w:val="center"/>
          </w:tcPr>
          <w:p w14:paraId="03D34012" w14:textId="77777777" w:rsidR="003E78AB" w:rsidRDefault="00010BF9">
            <w:pPr>
              <w:spacing w:line="360" w:lineRule="exact"/>
              <w:ind w:firstLineChars="0" w:firstLine="0"/>
              <w:contextualSpacing/>
              <w:jc w:val="center"/>
              <w:rPr>
                <w:bCs/>
                <w:sz w:val="21"/>
                <w:szCs w:val="21"/>
              </w:rPr>
            </w:pPr>
            <w:r>
              <w:rPr>
                <w:bCs/>
                <w:sz w:val="21"/>
                <w:szCs w:val="21"/>
              </w:rPr>
              <w:t>130</w:t>
            </w:r>
          </w:p>
        </w:tc>
        <w:tc>
          <w:tcPr>
            <w:tcW w:w="2101" w:type="dxa"/>
            <w:shd w:val="clear" w:color="auto" w:fill="auto"/>
            <w:vAlign w:val="center"/>
          </w:tcPr>
          <w:p w14:paraId="5A4DA869"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7042B4FC"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4A261684"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445A8960" w14:textId="77777777">
        <w:trPr>
          <w:trHeight w:val="283"/>
        </w:trPr>
        <w:tc>
          <w:tcPr>
            <w:tcW w:w="2098" w:type="dxa"/>
            <w:shd w:val="clear" w:color="auto" w:fill="auto"/>
            <w:vAlign w:val="center"/>
          </w:tcPr>
          <w:p w14:paraId="0E223FA5" w14:textId="77777777" w:rsidR="003E78AB" w:rsidRDefault="00010BF9">
            <w:pPr>
              <w:spacing w:line="360" w:lineRule="exact"/>
              <w:ind w:firstLineChars="0" w:firstLine="0"/>
              <w:contextualSpacing/>
              <w:jc w:val="center"/>
              <w:rPr>
                <w:bCs/>
                <w:sz w:val="21"/>
                <w:szCs w:val="21"/>
              </w:rPr>
            </w:pPr>
            <w:r>
              <w:rPr>
                <w:bCs/>
                <w:sz w:val="21"/>
                <w:szCs w:val="21"/>
              </w:rPr>
              <w:t>140</w:t>
            </w:r>
          </w:p>
        </w:tc>
        <w:tc>
          <w:tcPr>
            <w:tcW w:w="2101" w:type="dxa"/>
            <w:shd w:val="clear" w:color="auto" w:fill="auto"/>
            <w:vAlign w:val="center"/>
          </w:tcPr>
          <w:p w14:paraId="52F05D9B"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6A43D3C8"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47207CA4"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05189C24" w14:textId="77777777">
        <w:trPr>
          <w:trHeight w:val="283"/>
        </w:trPr>
        <w:tc>
          <w:tcPr>
            <w:tcW w:w="2098" w:type="dxa"/>
            <w:shd w:val="clear" w:color="auto" w:fill="auto"/>
            <w:vAlign w:val="center"/>
          </w:tcPr>
          <w:p w14:paraId="605513FF" w14:textId="77777777" w:rsidR="003E78AB" w:rsidRDefault="00010BF9">
            <w:pPr>
              <w:spacing w:line="360" w:lineRule="exact"/>
              <w:ind w:firstLineChars="0" w:firstLine="0"/>
              <w:contextualSpacing/>
              <w:jc w:val="center"/>
              <w:rPr>
                <w:bCs/>
                <w:sz w:val="21"/>
                <w:szCs w:val="21"/>
              </w:rPr>
            </w:pPr>
            <w:r>
              <w:rPr>
                <w:bCs/>
                <w:sz w:val="21"/>
                <w:szCs w:val="21"/>
              </w:rPr>
              <w:t>150</w:t>
            </w:r>
          </w:p>
        </w:tc>
        <w:tc>
          <w:tcPr>
            <w:tcW w:w="2101" w:type="dxa"/>
            <w:shd w:val="clear" w:color="auto" w:fill="auto"/>
            <w:vAlign w:val="center"/>
          </w:tcPr>
          <w:p w14:paraId="3AECFB99"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307CEDE1"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43BEADA6"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7940B707" w14:textId="77777777">
        <w:trPr>
          <w:trHeight w:val="283"/>
        </w:trPr>
        <w:tc>
          <w:tcPr>
            <w:tcW w:w="2098" w:type="dxa"/>
            <w:shd w:val="clear" w:color="auto" w:fill="auto"/>
            <w:vAlign w:val="center"/>
          </w:tcPr>
          <w:p w14:paraId="1C2AB499" w14:textId="77777777" w:rsidR="003E78AB" w:rsidRDefault="00010BF9">
            <w:pPr>
              <w:spacing w:line="360" w:lineRule="exact"/>
              <w:ind w:firstLineChars="0" w:firstLine="0"/>
              <w:contextualSpacing/>
              <w:jc w:val="center"/>
              <w:rPr>
                <w:bCs/>
                <w:sz w:val="21"/>
                <w:szCs w:val="21"/>
              </w:rPr>
            </w:pPr>
            <w:r>
              <w:rPr>
                <w:bCs/>
                <w:sz w:val="21"/>
                <w:szCs w:val="21"/>
              </w:rPr>
              <w:t>160</w:t>
            </w:r>
          </w:p>
        </w:tc>
        <w:tc>
          <w:tcPr>
            <w:tcW w:w="2101" w:type="dxa"/>
            <w:shd w:val="clear" w:color="auto" w:fill="auto"/>
            <w:vAlign w:val="center"/>
          </w:tcPr>
          <w:p w14:paraId="2D5F08C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31E19BA8"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371D472F"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7BB9CD06" w14:textId="77777777">
        <w:trPr>
          <w:trHeight w:val="283"/>
        </w:trPr>
        <w:tc>
          <w:tcPr>
            <w:tcW w:w="2098" w:type="dxa"/>
            <w:shd w:val="clear" w:color="auto" w:fill="auto"/>
            <w:vAlign w:val="center"/>
          </w:tcPr>
          <w:p w14:paraId="42BA8965" w14:textId="77777777" w:rsidR="003E78AB" w:rsidRDefault="00010BF9">
            <w:pPr>
              <w:spacing w:line="360" w:lineRule="exact"/>
              <w:ind w:firstLineChars="0" w:firstLine="0"/>
              <w:contextualSpacing/>
              <w:jc w:val="center"/>
              <w:rPr>
                <w:bCs/>
                <w:sz w:val="21"/>
                <w:szCs w:val="21"/>
              </w:rPr>
            </w:pPr>
            <w:r>
              <w:rPr>
                <w:bCs/>
                <w:sz w:val="21"/>
                <w:szCs w:val="21"/>
              </w:rPr>
              <w:t>170</w:t>
            </w:r>
          </w:p>
        </w:tc>
        <w:tc>
          <w:tcPr>
            <w:tcW w:w="2101" w:type="dxa"/>
            <w:shd w:val="clear" w:color="auto" w:fill="auto"/>
            <w:vAlign w:val="center"/>
          </w:tcPr>
          <w:p w14:paraId="0935B94B"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6D121E4D"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6B2168AE"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2ED4E7AD" w14:textId="77777777">
        <w:trPr>
          <w:trHeight w:val="283"/>
        </w:trPr>
        <w:tc>
          <w:tcPr>
            <w:tcW w:w="2098" w:type="dxa"/>
            <w:shd w:val="clear" w:color="auto" w:fill="auto"/>
            <w:vAlign w:val="center"/>
          </w:tcPr>
          <w:p w14:paraId="21FB5C16" w14:textId="77777777" w:rsidR="003E78AB" w:rsidRDefault="00010BF9">
            <w:pPr>
              <w:spacing w:line="360" w:lineRule="exact"/>
              <w:ind w:firstLineChars="0" w:firstLine="0"/>
              <w:contextualSpacing/>
              <w:jc w:val="center"/>
              <w:rPr>
                <w:bCs/>
                <w:sz w:val="21"/>
                <w:szCs w:val="21"/>
              </w:rPr>
            </w:pPr>
            <w:r>
              <w:rPr>
                <w:bCs/>
                <w:sz w:val="21"/>
                <w:szCs w:val="21"/>
              </w:rPr>
              <w:t>180</w:t>
            </w:r>
          </w:p>
        </w:tc>
        <w:tc>
          <w:tcPr>
            <w:tcW w:w="2101" w:type="dxa"/>
            <w:shd w:val="clear" w:color="auto" w:fill="auto"/>
            <w:vAlign w:val="center"/>
          </w:tcPr>
          <w:p w14:paraId="43088A0A"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39A47780"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7589497B"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69C9E3E8" w14:textId="77777777">
        <w:trPr>
          <w:trHeight w:val="283"/>
        </w:trPr>
        <w:tc>
          <w:tcPr>
            <w:tcW w:w="2098" w:type="dxa"/>
            <w:shd w:val="clear" w:color="auto" w:fill="auto"/>
            <w:vAlign w:val="center"/>
          </w:tcPr>
          <w:p w14:paraId="38C89238" w14:textId="77777777" w:rsidR="003E78AB" w:rsidRDefault="00010BF9">
            <w:pPr>
              <w:spacing w:line="360" w:lineRule="exact"/>
              <w:ind w:firstLineChars="0" w:firstLine="0"/>
              <w:contextualSpacing/>
              <w:jc w:val="center"/>
              <w:rPr>
                <w:bCs/>
                <w:sz w:val="21"/>
                <w:szCs w:val="21"/>
              </w:rPr>
            </w:pPr>
            <w:r>
              <w:rPr>
                <w:bCs/>
                <w:sz w:val="21"/>
                <w:szCs w:val="21"/>
              </w:rPr>
              <w:t>190</w:t>
            </w:r>
          </w:p>
        </w:tc>
        <w:tc>
          <w:tcPr>
            <w:tcW w:w="2101" w:type="dxa"/>
            <w:shd w:val="clear" w:color="auto" w:fill="auto"/>
            <w:vAlign w:val="center"/>
          </w:tcPr>
          <w:p w14:paraId="019E34E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2D6145FC"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07C69EE1"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7CF65220" w14:textId="77777777">
        <w:trPr>
          <w:trHeight w:val="283"/>
        </w:trPr>
        <w:tc>
          <w:tcPr>
            <w:tcW w:w="2098" w:type="dxa"/>
            <w:shd w:val="clear" w:color="auto" w:fill="auto"/>
            <w:vAlign w:val="center"/>
          </w:tcPr>
          <w:p w14:paraId="01392C64" w14:textId="77777777" w:rsidR="003E78AB" w:rsidRDefault="00010BF9">
            <w:pPr>
              <w:spacing w:line="360" w:lineRule="exact"/>
              <w:ind w:firstLineChars="0" w:firstLine="0"/>
              <w:contextualSpacing/>
              <w:jc w:val="center"/>
              <w:rPr>
                <w:bCs/>
                <w:sz w:val="21"/>
                <w:szCs w:val="21"/>
              </w:rPr>
            </w:pPr>
            <w:r>
              <w:rPr>
                <w:bCs/>
                <w:sz w:val="21"/>
                <w:szCs w:val="21"/>
              </w:rPr>
              <w:t>200</w:t>
            </w:r>
          </w:p>
        </w:tc>
        <w:tc>
          <w:tcPr>
            <w:tcW w:w="2101" w:type="dxa"/>
            <w:shd w:val="clear" w:color="auto" w:fill="auto"/>
            <w:vAlign w:val="center"/>
          </w:tcPr>
          <w:p w14:paraId="09689FB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0DC50455"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5A43FAB8"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5447BEEC" w14:textId="77777777">
        <w:trPr>
          <w:trHeight w:val="283"/>
        </w:trPr>
        <w:tc>
          <w:tcPr>
            <w:tcW w:w="2098" w:type="dxa"/>
            <w:shd w:val="clear" w:color="auto" w:fill="auto"/>
            <w:vAlign w:val="center"/>
          </w:tcPr>
          <w:p w14:paraId="10B97FBA" w14:textId="77777777" w:rsidR="003E78AB" w:rsidRDefault="00010BF9">
            <w:pPr>
              <w:spacing w:line="360" w:lineRule="exact"/>
              <w:ind w:firstLineChars="0" w:firstLine="0"/>
              <w:contextualSpacing/>
              <w:jc w:val="center"/>
              <w:rPr>
                <w:bCs/>
                <w:sz w:val="21"/>
                <w:szCs w:val="21"/>
              </w:rPr>
            </w:pPr>
            <w:r>
              <w:rPr>
                <w:bCs/>
                <w:sz w:val="21"/>
                <w:szCs w:val="21"/>
              </w:rPr>
              <w:t>210</w:t>
            </w:r>
          </w:p>
        </w:tc>
        <w:tc>
          <w:tcPr>
            <w:tcW w:w="2101" w:type="dxa"/>
            <w:shd w:val="clear" w:color="auto" w:fill="auto"/>
            <w:vAlign w:val="center"/>
          </w:tcPr>
          <w:p w14:paraId="3765BDD7"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5530AE95"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47A65CED"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3A85BCF2" w14:textId="77777777">
        <w:trPr>
          <w:trHeight w:val="283"/>
        </w:trPr>
        <w:tc>
          <w:tcPr>
            <w:tcW w:w="2098" w:type="dxa"/>
            <w:shd w:val="clear" w:color="auto" w:fill="auto"/>
            <w:vAlign w:val="center"/>
          </w:tcPr>
          <w:p w14:paraId="5F7440DE" w14:textId="77777777" w:rsidR="003E78AB" w:rsidRDefault="00010BF9">
            <w:pPr>
              <w:spacing w:line="360" w:lineRule="exact"/>
              <w:ind w:firstLineChars="0" w:firstLine="0"/>
              <w:contextualSpacing/>
              <w:jc w:val="center"/>
              <w:rPr>
                <w:bCs/>
                <w:sz w:val="21"/>
                <w:szCs w:val="21"/>
              </w:rPr>
            </w:pPr>
            <w:r>
              <w:rPr>
                <w:bCs/>
                <w:sz w:val="21"/>
                <w:szCs w:val="21"/>
              </w:rPr>
              <w:t>220</w:t>
            </w:r>
          </w:p>
        </w:tc>
        <w:tc>
          <w:tcPr>
            <w:tcW w:w="2101" w:type="dxa"/>
            <w:shd w:val="clear" w:color="auto" w:fill="auto"/>
            <w:vAlign w:val="center"/>
          </w:tcPr>
          <w:p w14:paraId="09E97C63"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5D559F7B"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38D41065"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06C7D260" w14:textId="77777777">
        <w:trPr>
          <w:trHeight w:val="283"/>
        </w:trPr>
        <w:tc>
          <w:tcPr>
            <w:tcW w:w="2098" w:type="dxa"/>
            <w:shd w:val="clear" w:color="auto" w:fill="auto"/>
            <w:vAlign w:val="center"/>
          </w:tcPr>
          <w:p w14:paraId="37AE69FB" w14:textId="77777777" w:rsidR="003E78AB" w:rsidRDefault="00010BF9">
            <w:pPr>
              <w:spacing w:line="360" w:lineRule="exact"/>
              <w:ind w:firstLineChars="0" w:firstLine="0"/>
              <w:contextualSpacing/>
              <w:jc w:val="center"/>
              <w:rPr>
                <w:bCs/>
                <w:sz w:val="21"/>
                <w:szCs w:val="21"/>
              </w:rPr>
            </w:pPr>
            <w:r>
              <w:rPr>
                <w:bCs/>
                <w:sz w:val="21"/>
                <w:szCs w:val="21"/>
              </w:rPr>
              <w:t>230</w:t>
            </w:r>
          </w:p>
        </w:tc>
        <w:tc>
          <w:tcPr>
            <w:tcW w:w="2101" w:type="dxa"/>
            <w:shd w:val="clear" w:color="auto" w:fill="auto"/>
            <w:vAlign w:val="center"/>
          </w:tcPr>
          <w:p w14:paraId="39248266"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48AB5015"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6F2C04FA"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3AF2B277" w14:textId="77777777">
        <w:trPr>
          <w:trHeight w:val="283"/>
        </w:trPr>
        <w:tc>
          <w:tcPr>
            <w:tcW w:w="2098" w:type="dxa"/>
            <w:shd w:val="clear" w:color="auto" w:fill="auto"/>
            <w:vAlign w:val="center"/>
          </w:tcPr>
          <w:p w14:paraId="3ADE618D" w14:textId="77777777" w:rsidR="003E78AB" w:rsidRDefault="00010BF9">
            <w:pPr>
              <w:spacing w:line="360" w:lineRule="exact"/>
              <w:ind w:firstLineChars="0" w:firstLine="0"/>
              <w:contextualSpacing/>
              <w:jc w:val="center"/>
              <w:rPr>
                <w:bCs/>
                <w:sz w:val="21"/>
                <w:szCs w:val="21"/>
              </w:rPr>
            </w:pPr>
            <w:r>
              <w:rPr>
                <w:bCs/>
                <w:sz w:val="21"/>
                <w:szCs w:val="21"/>
              </w:rPr>
              <w:t>240</w:t>
            </w:r>
          </w:p>
        </w:tc>
        <w:tc>
          <w:tcPr>
            <w:tcW w:w="2101" w:type="dxa"/>
            <w:shd w:val="clear" w:color="auto" w:fill="auto"/>
            <w:vAlign w:val="center"/>
          </w:tcPr>
          <w:p w14:paraId="00512C4D"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451D43CA"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0EBE709B"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71B5C643" w14:textId="77777777">
        <w:trPr>
          <w:trHeight w:val="283"/>
        </w:trPr>
        <w:tc>
          <w:tcPr>
            <w:tcW w:w="2098" w:type="dxa"/>
            <w:shd w:val="clear" w:color="auto" w:fill="auto"/>
            <w:vAlign w:val="center"/>
          </w:tcPr>
          <w:p w14:paraId="0BB55600" w14:textId="77777777" w:rsidR="003E78AB" w:rsidRDefault="00010BF9">
            <w:pPr>
              <w:spacing w:line="360" w:lineRule="exact"/>
              <w:ind w:firstLineChars="0" w:firstLine="0"/>
              <w:contextualSpacing/>
              <w:jc w:val="center"/>
              <w:rPr>
                <w:bCs/>
                <w:sz w:val="21"/>
                <w:szCs w:val="21"/>
              </w:rPr>
            </w:pPr>
            <w:r>
              <w:rPr>
                <w:bCs/>
                <w:sz w:val="21"/>
                <w:szCs w:val="21"/>
              </w:rPr>
              <w:t>250</w:t>
            </w:r>
          </w:p>
        </w:tc>
        <w:tc>
          <w:tcPr>
            <w:tcW w:w="2101" w:type="dxa"/>
            <w:shd w:val="clear" w:color="auto" w:fill="auto"/>
            <w:vAlign w:val="center"/>
          </w:tcPr>
          <w:p w14:paraId="46B0FE83"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0F20D07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78EB30A3"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082DC1EB" w14:textId="77777777">
        <w:trPr>
          <w:trHeight w:val="283"/>
        </w:trPr>
        <w:tc>
          <w:tcPr>
            <w:tcW w:w="2098" w:type="dxa"/>
            <w:shd w:val="clear" w:color="auto" w:fill="auto"/>
            <w:vAlign w:val="center"/>
          </w:tcPr>
          <w:p w14:paraId="6583EBA7" w14:textId="77777777" w:rsidR="003E78AB" w:rsidRDefault="00010BF9">
            <w:pPr>
              <w:spacing w:line="360" w:lineRule="exact"/>
              <w:ind w:firstLineChars="0" w:firstLine="0"/>
              <w:contextualSpacing/>
              <w:jc w:val="center"/>
              <w:rPr>
                <w:bCs/>
                <w:sz w:val="21"/>
                <w:szCs w:val="21"/>
              </w:rPr>
            </w:pPr>
            <w:r>
              <w:rPr>
                <w:bCs/>
                <w:sz w:val="21"/>
                <w:szCs w:val="21"/>
              </w:rPr>
              <w:t>260</w:t>
            </w:r>
          </w:p>
        </w:tc>
        <w:tc>
          <w:tcPr>
            <w:tcW w:w="2101" w:type="dxa"/>
            <w:shd w:val="clear" w:color="auto" w:fill="auto"/>
            <w:vAlign w:val="center"/>
          </w:tcPr>
          <w:p w14:paraId="10F4547D"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085A0BB1"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017F3555"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28289ED5" w14:textId="77777777">
        <w:trPr>
          <w:trHeight w:val="283"/>
        </w:trPr>
        <w:tc>
          <w:tcPr>
            <w:tcW w:w="2098" w:type="dxa"/>
            <w:shd w:val="clear" w:color="auto" w:fill="auto"/>
            <w:vAlign w:val="center"/>
          </w:tcPr>
          <w:p w14:paraId="5E750526" w14:textId="77777777" w:rsidR="003E78AB" w:rsidRDefault="00010BF9">
            <w:pPr>
              <w:spacing w:line="360" w:lineRule="exact"/>
              <w:ind w:firstLineChars="0" w:firstLine="0"/>
              <w:contextualSpacing/>
              <w:jc w:val="center"/>
              <w:rPr>
                <w:bCs/>
                <w:sz w:val="21"/>
                <w:szCs w:val="21"/>
              </w:rPr>
            </w:pPr>
            <w:r>
              <w:rPr>
                <w:bCs/>
                <w:sz w:val="21"/>
                <w:szCs w:val="21"/>
              </w:rPr>
              <w:t>270</w:t>
            </w:r>
          </w:p>
        </w:tc>
        <w:tc>
          <w:tcPr>
            <w:tcW w:w="2101" w:type="dxa"/>
            <w:shd w:val="clear" w:color="auto" w:fill="auto"/>
            <w:vAlign w:val="center"/>
          </w:tcPr>
          <w:p w14:paraId="4A5371A9"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7E3C434C"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68EEB1D1"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47A8826E" w14:textId="77777777">
        <w:trPr>
          <w:trHeight w:val="283"/>
        </w:trPr>
        <w:tc>
          <w:tcPr>
            <w:tcW w:w="2098" w:type="dxa"/>
            <w:shd w:val="clear" w:color="auto" w:fill="auto"/>
            <w:vAlign w:val="center"/>
          </w:tcPr>
          <w:p w14:paraId="3962072E" w14:textId="77777777" w:rsidR="003E78AB" w:rsidRDefault="00010BF9">
            <w:pPr>
              <w:spacing w:line="360" w:lineRule="exact"/>
              <w:ind w:firstLineChars="0" w:firstLine="0"/>
              <w:contextualSpacing/>
              <w:jc w:val="center"/>
              <w:rPr>
                <w:bCs/>
                <w:sz w:val="21"/>
                <w:szCs w:val="21"/>
              </w:rPr>
            </w:pPr>
            <w:r>
              <w:rPr>
                <w:bCs/>
                <w:sz w:val="21"/>
                <w:szCs w:val="21"/>
              </w:rPr>
              <w:t>280</w:t>
            </w:r>
          </w:p>
        </w:tc>
        <w:tc>
          <w:tcPr>
            <w:tcW w:w="2101" w:type="dxa"/>
            <w:shd w:val="clear" w:color="auto" w:fill="auto"/>
            <w:vAlign w:val="center"/>
          </w:tcPr>
          <w:p w14:paraId="00BA333A"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024BDE70"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33A1222A"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0EEF0DFA" w14:textId="77777777">
        <w:trPr>
          <w:trHeight w:val="283"/>
        </w:trPr>
        <w:tc>
          <w:tcPr>
            <w:tcW w:w="2098" w:type="dxa"/>
            <w:shd w:val="clear" w:color="auto" w:fill="auto"/>
            <w:vAlign w:val="center"/>
          </w:tcPr>
          <w:p w14:paraId="26A086FF" w14:textId="77777777" w:rsidR="003E78AB" w:rsidRDefault="00010BF9">
            <w:pPr>
              <w:spacing w:line="360" w:lineRule="exact"/>
              <w:ind w:firstLineChars="0" w:firstLine="0"/>
              <w:contextualSpacing/>
              <w:jc w:val="center"/>
              <w:rPr>
                <w:bCs/>
                <w:sz w:val="21"/>
                <w:szCs w:val="21"/>
              </w:rPr>
            </w:pPr>
            <w:r>
              <w:rPr>
                <w:bCs/>
                <w:sz w:val="21"/>
                <w:szCs w:val="21"/>
              </w:rPr>
              <w:t>290</w:t>
            </w:r>
          </w:p>
        </w:tc>
        <w:tc>
          <w:tcPr>
            <w:tcW w:w="2101" w:type="dxa"/>
            <w:shd w:val="clear" w:color="auto" w:fill="auto"/>
            <w:vAlign w:val="center"/>
          </w:tcPr>
          <w:p w14:paraId="7767BC4D"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61AFC3BE"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2EF52DE9" w14:textId="77777777" w:rsidR="003E78AB" w:rsidRDefault="00010BF9">
            <w:pPr>
              <w:spacing w:line="360" w:lineRule="exact"/>
              <w:ind w:firstLineChars="0" w:firstLine="0"/>
              <w:contextualSpacing/>
              <w:jc w:val="center"/>
              <w:rPr>
                <w:bCs/>
                <w:sz w:val="21"/>
                <w:szCs w:val="21"/>
              </w:rPr>
            </w:pPr>
            <w:r>
              <w:rPr>
                <w:bCs/>
                <w:sz w:val="21"/>
                <w:szCs w:val="21"/>
              </w:rPr>
              <w:t>&lt;0.001</w:t>
            </w:r>
          </w:p>
        </w:tc>
      </w:tr>
      <w:tr w:rsidR="003E78AB" w14:paraId="45F9372B" w14:textId="77777777">
        <w:trPr>
          <w:trHeight w:val="283"/>
        </w:trPr>
        <w:tc>
          <w:tcPr>
            <w:tcW w:w="2098" w:type="dxa"/>
            <w:shd w:val="clear" w:color="auto" w:fill="auto"/>
            <w:vAlign w:val="center"/>
          </w:tcPr>
          <w:p w14:paraId="03F7EA7E" w14:textId="77777777" w:rsidR="003E78AB" w:rsidRDefault="00010BF9">
            <w:pPr>
              <w:spacing w:line="360" w:lineRule="exact"/>
              <w:ind w:firstLineChars="0" w:firstLine="0"/>
              <w:contextualSpacing/>
              <w:jc w:val="center"/>
              <w:rPr>
                <w:bCs/>
                <w:sz w:val="21"/>
                <w:szCs w:val="21"/>
              </w:rPr>
            </w:pPr>
            <w:r>
              <w:rPr>
                <w:bCs/>
                <w:sz w:val="21"/>
                <w:szCs w:val="21"/>
              </w:rPr>
              <w:t>300</w:t>
            </w:r>
          </w:p>
        </w:tc>
        <w:tc>
          <w:tcPr>
            <w:tcW w:w="2101" w:type="dxa"/>
            <w:shd w:val="clear" w:color="auto" w:fill="auto"/>
            <w:vAlign w:val="center"/>
          </w:tcPr>
          <w:p w14:paraId="58EB9FDD"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01" w:type="dxa"/>
            <w:shd w:val="clear" w:color="auto" w:fill="auto"/>
            <w:vAlign w:val="center"/>
          </w:tcPr>
          <w:p w14:paraId="6260D50C" w14:textId="77777777" w:rsidR="003E78AB" w:rsidRDefault="00010BF9">
            <w:pPr>
              <w:spacing w:line="360" w:lineRule="exact"/>
              <w:ind w:firstLineChars="0" w:firstLine="0"/>
              <w:contextualSpacing/>
              <w:jc w:val="center"/>
              <w:rPr>
                <w:bCs/>
                <w:sz w:val="21"/>
                <w:szCs w:val="21"/>
              </w:rPr>
            </w:pPr>
            <w:r>
              <w:rPr>
                <w:bCs/>
                <w:sz w:val="21"/>
                <w:szCs w:val="21"/>
              </w:rPr>
              <w:t>&lt;0.001</w:t>
            </w:r>
          </w:p>
        </w:tc>
        <w:tc>
          <w:tcPr>
            <w:tcW w:w="2116" w:type="dxa"/>
            <w:shd w:val="clear" w:color="auto" w:fill="auto"/>
            <w:vAlign w:val="center"/>
          </w:tcPr>
          <w:p w14:paraId="37DA1F8D" w14:textId="77777777" w:rsidR="003E78AB" w:rsidRDefault="00010BF9">
            <w:pPr>
              <w:spacing w:line="360" w:lineRule="exact"/>
              <w:ind w:firstLineChars="0" w:firstLine="0"/>
              <w:contextualSpacing/>
              <w:jc w:val="center"/>
              <w:rPr>
                <w:bCs/>
                <w:sz w:val="21"/>
                <w:szCs w:val="21"/>
              </w:rPr>
            </w:pPr>
            <w:r>
              <w:rPr>
                <w:bCs/>
                <w:sz w:val="21"/>
                <w:szCs w:val="21"/>
              </w:rPr>
              <w:t>&lt;0.001</w:t>
            </w:r>
          </w:p>
        </w:tc>
      </w:tr>
    </w:tbl>
    <w:p w14:paraId="04C64963" w14:textId="77777777" w:rsidR="003E78AB" w:rsidRDefault="00010BF9">
      <w:pPr>
        <w:ind w:firstLine="480"/>
        <w:rPr>
          <w:kern w:val="28"/>
        </w:rPr>
      </w:pPr>
      <w:r>
        <w:rPr>
          <w:kern w:val="28"/>
        </w:rPr>
        <w:t>根据预测结果，在非正常状况下，</w:t>
      </w:r>
      <w:r>
        <w:rPr>
          <w:rFonts w:hint="eastAsia"/>
          <w:kern w:val="28"/>
        </w:rPr>
        <w:t>循环水箱</w:t>
      </w:r>
      <w:r>
        <w:rPr>
          <w:kern w:val="28"/>
        </w:rPr>
        <w:t>发生泄漏，导致废水进入地下对地下水环境造成污染，在预测时间内（</w:t>
      </w:r>
      <w:r>
        <w:rPr>
          <w:kern w:val="28"/>
        </w:rPr>
        <w:t>1000d</w:t>
      </w:r>
      <w:r>
        <w:rPr>
          <w:kern w:val="28"/>
        </w:rPr>
        <w:t>）</w:t>
      </w:r>
      <w:r>
        <w:rPr>
          <w:rFonts w:hint="eastAsia"/>
          <w:kern w:val="28"/>
        </w:rPr>
        <w:t>磷酸盐</w:t>
      </w:r>
      <w:r>
        <w:rPr>
          <w:kern w:val="28"/>
        </w:rPr>
        <w:t>泄漏</w:t>
      </w:r>
      <w:r>
        <w:rPr>
          <w:kern w:val="28"/>
        </w:rPr>
        <w:t>100</w:t>
      </w:r>
      <w:r>
        <w:rPr>
          <w:kern w:val="28"/>
        </w:rPr>
        <w:t>天时，预测超标距离为</w:t>
      </w:r>
      <w:r>
        <w:rPr>
          <w:rFonts w:hint="eastAsia"/>
          <w:kern w:val="28"/>
        </w:rPr>
        <w:t>51</w:t>
      </w:r>
      <w:r>
        <w:rPr>
          <w:kern w:val="28"/>
        </w:rPr>
        <w:t>m</w:t>
      </w:r>
      <w:r>
        <w:rPr>
          <w:kern w:val="28"/>
        </w:rPr>
        <w:t>；影响距离为</w:t>
      </w:r>
      <w:r>
        <w:rPr>
          <w:rFonts w:hint="eastAsia"/>
          <w:kern w:val="28"/>
        </w:rPr>
        <w:t>60</w:t>
      </w:r>
      <w:r>
        <w:rPr>
          <w:kern w:val="28"/>
        </w:rPr>
        <w:t>m</w:t>
      </w:r>
      <w:r>
        <w:rPr>
          <w:kern w:val="28"/>
        </w:rPr>
        <w:t>；泄漏</w:t>
      </w:r>
      <w:r>
        <w:rPr>
          <w:kern w:val="28"/>
        </w:rPr>
        <w:t>365</w:t>
      </w:r>
      <w:r>
        <w:rPr>
          <w:kern w:val="28"/>
        </w:rPr>
        <w:t>天时，预测超标距离为</w:t>
      </w:r>
      <w:r>
        <w:rPr>
          <w:rFonts w:hint="eastAsia"/>
          <w:kern w:val="28"/>
        </w:rPr>
        <w:t>98</w:t>
      </w:r>
      <w:r>
        <w:rPr>
          <w:kern w:val="28"/>
        </w:rPr>
        <w:t>m</w:t>
      </w:r>
      <w:r>
        <w:rPr>
          <w:kern w:val="28"/>
        </w:rPr>
        <w:t>；影响距离为</w:t>
      </w:r>
      <w:r>
        <w:rPr>
          <w:rFonts w:hint="eastAsia"/>
          <w:kern w:val="28"/>
        </w:rPr>
        <w:t>108</w:t>
      </w:r>
      <w:r>
        <w:rPr>
          <w:kern w:val="28"/>
        </w:rPr>
        <w:t>m</w:t>
      </w:r>
      <w:r>
        <w:rPr>
          <w:kern w:val="28"/>
        </w:rPr>
        <w:t>；泄漏</w:t>
      </w:r>
      <w:r>
        <w:rPr>
          <w:kern w:val="28"/>
        </w:rPr>
        <w:t>1000</w:t>
      </w:r>
      <w:r>
        <w:rPr>
          <w:kern w:val="28"/>
        </w:rPr>
        <w:t>天时，预测超标距离为</w:t>
      </w:r>
      <w:r>
        <w:rPr>
          <w:rFonts w:hint="eastAsia"/>
          <w:kern w:val="28"/>
        </w:rPr>
        <w:t>161</w:t>
      </w:r>
      <w:r>
        <w:rPr>
          <w:kern w:val="28"/>
        </w:rPr>
        <w:t>m</w:t>
      </w:r>
      <w:r>
        <w:rPr>
          <w:kern w:val="28"/>
        </w:rPr>
        <w:t>；影响距离为</w:t>
      </w:r>
      <w:r>
        <w:rPr>
          <w:rFonts w:hint="eastAsia"/>
          <w:kern w:val="28"/>
        </w:rPr>
        <w:t>174</w:t>
      </w:r>
      <w:r>
        <w:rPr>
          <w:kern w:val="28"/>
        </w:rPr>
        <w:t>m</w:t>
      </w:r>
      <w:r>
        <w:rPr>
          <w:rFonts w:hint="eastAsia"/>
          <w:kern w:val="28"/>
        </w:rPr>
        <w:t>。</w:t>
      </w:r>
      <w:r>
        <w:rPr>
          <w:kern w:val="28"/>
        </w:rPr>
        <w:t>根据预测结果显示事故状态项目废水泄漏会对区域地下水环境造成污染影响。根据现场调查，本项目区地下水下游</w:t>
      </w:r>
      <w:r>
        <w:rPr>
          <w:kern w:val="28"/>
        </w:rPr>
        <w:t>2000m</w:t>
      </w:r>
      <w:r>
        <w:rPr>
          <w:kern w:val="28"/>
        </w:rPr>
        <w:t>范围内无地下水的开发利用及其他地下水环境敏感点，可见在事故状态下对周边地下水的影响范围有限，但泄漏废水中</w:t>
      </w:r>
      <w:r>
        <w:rPr>
          <w:rFonts w:hint="eastAsia"/>
          <w:kern w:val="28"/>
        </w:rPr>
        <w:t>钒</w:t>
      </w:r>
      <w:r>
        <w:rPr>
          <w:kern w:val="28"/>
        </w:rPr>
        <w:t>和</w:t>
      </w:r>
      <w:r>
        <w:rPr>
          <w:rFonts w:hint="eastAsia"/>
          <w:kern w:val="28"/>
        </w:rPr>
        <w:t>磷酸盐</w:t>
      </w:r>
      <w:r>
        <w:rPr>
          <w:kern w:val="28"/>
        </w:rPr>
        <w:t>浓度较高，会对当地地下水水质造成</w:t>
      </w:r>
      <w:r>
        <w:rPr>
          <w:kern w:val="28"/>
        </w:rPr>
        <w:t>不良影响。故本次评价要求企业运行期间，必须采取完备的防渗、监测、风险防控措施，确保能及时发现泄漏源，使事故状态对地下水的影响可以得到有效控制。</w:t>
      </w:r>
    </w:p>
    <w:p w14:paraId="45FA097F" w14:textId="77777777" w:rsidR="003E78AB" w:rsidRDefault="00010BF9">
      <w:pPr>
        <w:pStyle w:val="5"/>
        <w:keepNext w:val="0"/>
        <w:keepLines w:val="0"/>
        <w:ind w:firstLine="482"/>
        <w:rPr>
          <w:sz w:val="24"/>
        </w:rPr>
      </w:pPr>
      <w:r>
        <w:rPr>
          <w:rFonts w:hint="eastAsia"/>
          <w:sz w:val="24"/>
        </w:rPr>
        <w:t>6.</w:t>
      </w:r>
      <w:r>
        <w:rPr>
          <w:sz w:val="24"/>
        </w:rPr>
        <w:t>地下水污染防治措施</w:t>
      </w:r>
    </w:p>
    <w:p w14:paraId="244B1F43" w14:textId="77777777" w:rsidR="003E78AB" w:rsidRDefault="00010BF9">
      <w:pPr>
        <w:ind w:firstLine="480"/>
        <w:rPr>
          <w:kern w:val="28"/>
        </w:rPr>
      </w:pPr>
      <w:r>
        <w:rPr>
          <w:kern w:val="28"/>
        </w:rPr>
        <w:t>①</w:t>
      </w:r>
      <w:r>
        <w:rPr>
          <w:kern w:val="28"/>
        </w:rPr>
        <w:t>分区防渗措施</w:t>
      </w:r>
    </w:p>
    <w:p w14:paraId="70FB03CF" w14:textId="77777777" w:rsidR="003E78AB" w:rsidRDefault="00010BF9">
      <w:pPr>
        <w:ind w:firstLine="480"/>
        <w:rPr>
          <w:kern w:val="28"/>
        </w:rPr>
      </w:pPr>
      <w:r>
        <w:rPr>
          <w:kern w:val="28"/>
        </w:rPr>
        <w:t>本项目严格按照国家相关规范要求，对危险废物暂存间、生产车间、</w:t>
      </w:r>
      <w:r>
        <w:rPr>
          <w:rFonts w:hint="eastAsia"/>
          <w:kern w:val="28"/>
        </w:rPr>
        <w:t>液体库</w:t>
      </w:r>
      <w:r>
        <w:rPr>
          <w:kern w:val="28"/>
        </w:rPr>
        <w:t>、</w:t>
      </w:r>
      <w:r>
        <w:rPr>
          <w:rFonts w:hint="eastAsia"/>
          <w:kern w:val="28"/>
        </w:rPr>
        <w:t>原料</w:t>
      </w:r>
      <w:r>
        <w:rPr>
          <w:kern w:val="28"/>
        </w:rPr>
        <w:t>仓库等采取相应的防渗措施，以防止和降低污染物的跑、冒、滴、漏，将污染物泄漏的环境风险事故降低到最低程度。</w:t>
      </w:r>
    </w:p>
    <w:p w14:paraId="68CE1E6C" w14:textId="77777777" w:rsidR="003E78AB" w:rsidRDefault="00010BF9">
      <w:pPr>
        <w:ind w:firstLine="480"/>
        <w:rPr>
          <w:kern w:val="28"/>
        </w:rPr>
      </w:pPr>
      <w:r>
        <w:rPr>
          <w:kern w:val="28"/>
        </w:rPr>
        <w:t>根据《环境影响评价技术导则</w:t>
      </w:r>
      <w:r>
        <w:rPr>
          <w:rFonts w:hint="eastAsia"/>
          <w:kern w:val="28"/>
        </w:rPr>
        <w:t xml:space="preserve"> </w:t>
      </w:r>
      <w:r>
        <w:rPr>
          <w:kern w:val="28"/>
        </w:rPr>
        <w:t>地下水环境》（</w:t>
      </w:r>
      <w:r>
        <w:rPr>
          <w:kern w:val="28"/>
        </w:rPr>
        <w:t>HJ610-2016</w:t>
      </w:r>
      <w:r>
        <w:rPr>
          <w:kern w:val="28"/>
        </w:rPr>
        <w:t>）要求，将地下水污染防渗分区分为三个级别：重点防渗区、一般防渗区、简单防渗区，防渗分区判</w:t>
      </w:r>
      <w:r>
        <w:rPr>
          <w:kern w:val="28"/>
        </w:rPr>
        <w:t>定如下。</w:t>
      </w:r>
    </w:p>
    <w:p w14:paraId="467209BF" w14:textId="77777777" w:rsidR="003E78AB" w:rsidRDefault="00010BF9">
      <w:pPr>
        <w:pStyle w:val="a4"/>
        <w:spacing w:before="120"/>
        <w:ind w:left="425" w:hanging="425"/>
      </w:pPr>
      <w:r>
        <w:t>污染控制难易程度分级参照表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45"/>
        <w:gridCol w:w="6469"/>
      </w:tblGrid>
      <w:tr w:rsidR="003E78AB" w14:paraId="3FF64728" w14:textId="77777777">
        <w:trPr>
          <w:trHeight w:val="454"/>
          <w:jc w:val="center"/>
        </w:trPr>
        <w:tc>
          <w:tcPr>
            <w:tcW w:w="1201" w:type="pct"/>
            <w:tcBorders>
              <w:top w:val="single" w:sz="4" w:space="0" w:color="auto"/>
              <w:left w:val="single" w:sz="4" w:space="0" w:color="auto"/>
              <w:bottom w:val="single" w:sz="4" w:space="0" w:color="auto"/>
              <w:right w:val="single" w:sz="4" w:space="0" w:color="auto"/>
            </w:tcBorders>
            <w:vAlign w:val="center"/>
          </w:tcPr>
          <w:p w14:paraId="1FECCF89" w14:textId="77777777" w:rsidR="003E78AB" w:rsidRDefault="00010BF9">
            <w:pPr>
              <w:spacing w:line="360" w:lineRule="exact"/>
              <w:ind w:firstLineChars="0" w:firstLine="0"/>
              <w:contextualSpacing/>
              <w:jc w:val="center"/>
              <w:rPr>
                <w:b/>
                <w:sz w:val="21"/>
                <w:szCs w:val="21"/>
              </w:rPr>
            </w:pPr>
            <w:r>
              <w:rPr>
                <w:b/>
                <w:sz w:val="21"/>
                <w:szCs w:val="21"/>
              </w:rPr>
              <w:t>污染控制难易程度</w:t>
            </w:r>
          </w:p>
        </w:tc>
        <w:tc>
          <w:tcPr>
            <w:tcW w:w="3798" w:type="pct"/>
            <w:tcBorders>
              <w:top w:val="single" w:sz="4" w:space="0" w:color="auto"/>
              <w:left w:val="single" w:sz="4" w:space="0" w:color="auto"/>
              <w:bottom w:val="single" w:sz="4" w:space="0" w:color="auto"/>
              <w:right w:val="single" w:sz="4" w:space="0" w:color="auto"/>
            </w:tcBorders>
            <w:vAlign w:val="center"/>
          </w:tcPr>
          <w:p w14:paraId="5AE28ADE" w14:textId="77777777" w:rsidR="003E78AB" w:rsidRDefault="00010BF9">
            <w:pPr>
              <w:spacing w:line="360" w:lineRule="exact"/>
              <w:ind w:firstLineChars="0" w:firstLine="0"/>
              <w:contextualSpacing/>
              <w:jc w:val="center"/>
              <w:rPr>
                <w:b/>
                <w:sz w:val="21"/>
                <w:szCs w:val="21"/>
              </w:rPr>
            </w:pPr>
            <w:r>
              <w:rPr>
                <w:b/>
                <w:sz w:val="21"/>
                <w:szCs w:val="21"/>
              </w:rPr>
              <w:t>污染物类型</w:t>
            </w:r>
          </w:p>
        </w:tc>
      </w:tr>
      <w:tr w:rsidR="003E78AB" w14:paraId="20ED0817" w14:textId="77777777">
        <w:trPr>
          <w:trHeight w:val="454"/>
          <w:jc w:val="center"/>
        </w:trPr>
        <w:tc>
          <w:tcPr>
            <w:tcW w:w="1201" w:type="pct"/>
            <w:tcBorders>
              <w:top w:val="single" w:sz="4" w:space="0" w:color="auto"/>
              <w:left w:val="single" w:sz="4" w:space="0" w:color="auto"/>
              <w:bottom w:val="single" w:sz="4" w:space="0" w:color="auto"/>
              <w:right w:val="single" w:sz="4" w:space="0" w:color="auto"/>
            </w:tcBorders>
            <w:vAlign w:val="center"/>
          </w:tcPr>
          <w:p w14:paraId="6614A192" w14:textId="77777777" w:rsidR="003E78AB" w:rsidRDefault="00010BF9">
            <w:pPr>
              <w:spacing w:line="360" w:lineRule="exact"/>
              <w:ind w:firstLineChars="0" w:firstLine="0"/>
              <w:contextualSpacing/>
              <w:jc w:val="center"/>
              <w:rPr>
                <w:bCs/>
                <w:sz w:val="21"/>
                <w:szCs w:val="21"/>
              </w:rPr>
            </w:pPr>
            <w:r>
              <w:rPr>
                <w:bCs/>
                <w:sz w:val="21"/>
                <w:szCs w:val="21"/>
              </w:rPr>
              <w:t>难</w:t>
            </w:r>
          </w:p>
        </w:tc>
        <w:tc>
          <w:tcPr>
            <w:tcW w:w="3798" w:type="pct"/>
            <w:tcBorders>
              <w:top w:val="single" w:sz="4" w:space="0" w:color="auto"/>
              <w:left w:val="single" w:sz="4" w:space="0" w:color="auto"/>
              <w:bottom w:val="single" w:sz="4" w:space="0" w:color="auto"/>
              <w:right w:val="single" w:sz="4" w:space="0" w:color="auto"/>
            </w:tcBorders>
            <w:vAlign w:val="center"/>
          </w:tcPr>
          <w:p w14:paraId="4087484A" w14:textId="77777777" w:rsidR="003E78AB" w:rsidRDefault="00010BF9">
            <w:pPr>
              <w:spacing w:line="360" w:lineRule="exact"/>
              <w:ind w:firstLineChars="0" w:firstLine="0"/>
              <w:contextualSpacing/>
              <w:jc w:val="center"/>
              <w:rPr>
                <w:bCs/>
                <w:sz w:val="21"/>
                <w:szCs w:val="21"/>
              </w:rPr>
            </w:pPr>
            <w:r>
              <w:rPr>
                <w:bCs/>
                <w:sz w:val="21"/>
                <w:szCs w:val="21"/>
              </w:rPr>
              <w:t>对地下水环境有污染的物料或污染物泄漏后，不能及时发现和处理</w:t>
            </w:r>
          </w:p>
        </w:tc>
      </w:tr>
      <w:tr w:rsidR="003E78AB" w14:paraId="666CB232" w14:textId="77777777">
        <w:trPr>
          <w:trHeight w:val="454"/>
          <w:jc w:val="center"/>
        </w:trPr>
        <w:tc>
          <w:tcPr>
            <w:tcW w:w="1201" w:type="pct"/>
            <w:tcBorders>
              <w:top w:val="single" w:sz="4" w:space="0" w:color="auto"/>
              <w:left w:val="single" w:sz="4" w:space="0" w:color="auto"/>
              <w:bottom w:val="single" w:sz="4" w:space="0" w:color="auto"/>
              <w:right w:val="single" w:sz="4" w:space="0" w:color="auto"/>
            </w:tcBorders>
            <w:vAlign w:val="center"/>
          </w:tcPr>
          <w:p w14:paraId="405C1F97" w14:textId="77777777" w:rsidR="003E78AB" w:rsidRDefault="00010BF9">
            <w:pPr>
              <w:spacing w:line="360" w:lineRule="exact"/>
              <w:ind w:firstLineChars="0" w:firstLine="0"/>
              <w:contextualSpacing/>
              <w:jc w:val="center"/>
              <w:rPr>
                <w:bCs/>
                <w:sz w:val="21"/>
                <w:szCs w:val="21"/>
              </w:rPr>
            </w:pPr>
            <w:r>
              <w:rPr>
                <w:bCs/>
                <w:sz w:val="21"/>
                <w:szCs w:val="21"/>
              </w:rPr>
              <w:t>易</w:t>
            </w:r>
          </w:p>
        </w:tc>
        <w:tc>
          <w:tcPr>
            <w:tcW w:w="3798" w:type="pct"/>
            <w:tcBorders>
              <w:top w:val="single" w:sz="4" w:space="0" w:color="auto"/>
              <w:left w:val="single" w:sz="4" w:space="0" w:color="auto"/>
              <w:bottom w:val="single" w:sz="4" w:space="0" w:color="auto"/>
              <w:right w:val="single" w:sz="4" w:space="0" w:color="auto"/>
            </w:tcBorders>
            <w:vAlign w:val="center"/>
          </w:tcPr>
          <w:p w14:paraId="2934B767" w14:textId="77777777" w:rsidR="003E78AB" w:rsidRDefault="00010BF9">
            <w:pPr>
              <w:spacing w:line="360" w:lineRule="exact"/>
              <w:ind w:firstLineChars="0" w:firstLine="0"/>
              <w:contextualSpacing/>
              <w:jc w:val="center"/>
              <w:rPr>
                <w:bCs/>
                <w:sz w:val="21"/>
                <w:szCs w:val="21"/>
              </w:rPr>
            </w:pPr>
            <w:r>
              <w:rPr>
                <w:bCs/>
                <w:sz w:val="21"/>
                <w:szCs w:val="21"/>
              </w:rPr>
              <w:t>对地下水环境有污染的物料或污染物泄漏后，可及时发现和处理</w:t>
            </w:r>
          </w:p>
        </w:tc>
      </w:tr>
    </w:tbl>
    <w:p w14:paraId="72FD28D0" w14:textId="77777777" w:rsidR="003E78AB" w:rsidRDefault="00010BF9">
      <w:pPr>
        <w:pStyle w:val="a4"/>
        <w:spacing w:before="120"/>
        <w:ind w:left="425" w:hanging="425"/>
      </w:pPr>
      <w:r>
        <w:t>天然包气带防污性能分级参照表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39"/>
        <w:gridCol w:w="7875"/>
      </w:tblGrid>
      <w:tr w:rsidR="003E78AB" w14:paraId="1DEC56BB" w14:textId="77777777">
        <w:trPr>
          <w:trHeight w:val="454"/>
          <w:jc w:val="center"/>
        </w:trPr>
        <w:tc>
          <w:tcPr>
            <w:tcW w:w="375" w:type="pct"/>
            <w:tcBorders>
              <w:top w:val="single" w:sz="4" w:space="0" w:color="auto"/>
              <w:left w:val="single" w:sz="4" w:space="0" w:color="auto"/>
              <w:bottom w:val="single" w:sz="4" w:space="0" w:color="auto"/>
              <w:right w:val="single" w:sz="4" w:space="0" w:color="auto"/>
            </w:tcBorders>
            <w:vAlign w:val="center"/>
          </w:tcPr>
          <w:p w14:paraId="7513AF0B"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分级</w:t>
            </w:r>
          </w:p>
        </w:tc>
        <w:tc>
          <w:tcPr>
            <w:tcW w:w="4624" w:type="pct"/>
            <w:tcBorders>
              <w:top w:val="single" w:sz="4" w:space="0" w:color="auto"/>
              <w:left w:val="single" w:sz="4" w:space="0" w:color="auto"/>
              <w:bottom w:val="single" w:sz="4" w:space="0" w:color="auto"/>
              <w:right w:val="single" w:sz="4" w:space="0" w:color="auto"/>
            </w:tcBorders>
            <w:vAlign w:val="center"/>
          </w:tcPr>
          <w:p w14:paraId="0F2F2007" w14:textId="77777777" w:rsidR="003E78AB" w:rsidRDefault="00010BF9">
            <w:pPr>
              <w:spacing w:line="360" w:lineRule="exact"/>
              <w:ind w:firstLineChars="0" w:firstLine="0"/>
              <w:contextualSpacing/>
              <w:jc w:val="center"/>
              <w:rPr>
                <w:b/>
                <w:sz w:val="21"/>
                <w:szCs w:val="21"/>
              </w:rPr>
            </w:pPr>
            <w:r>
              <w:rPr>
                <w:b/>
                <w:sz w:val="21"/>
                <w:szCs w:val="21"/>
              </w:rPr>
              <w:t>包气带岩土的渗透性能</w:t>
            </w:r>
          </w:p>
        </w:tc>
      </w:tr>
      <w:tr w:rsidR="003E78AB" w14:paraId="5DF72A8E" w14:textId="77777777">
        <w:trPr>
          <w:trHeight w:val="454"/>
          <w:jc w:val="center"/>
        </w:trPr>
        <w:tc>
          <w:tcPr>
            <w:tcW w:w="375" w:type="pct"/>
            <w:tcBorders>
              <w:top w:val="single" w:sz="4" w:space="0" w:color="auto"/>
              <w:left w:val="single" w:sz="4" w:space="0" w:color="auto"/>
              <w:bottom w:val="single" w:sz="4" w:space="0" w:color="auto"/>
              <w:right w:val="single" w:sz="4" w:space="0" w:color="auto"/>
            </w:tcBorders>
            <w:vAlign w:val="center"/>
          </w:tcPr>
          <w:p w14:paraId="0EC80187"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强</w:t>
            </w:r>
          </w:p>
        </w:tc>
        <w:tc>
          <w:tcPr>
            <w:tcW w:w="4624" w:type="pct"/>
            <w:tcBorders>
              <w:top w:val="single" w:sz="4" w:space="0" w:color="auto"/>
              <w:left w:val="single" w:sz="4" w:space="0" w:color="auto"/>
              <w:bottom w:val="single" w:sz="4" w:space="0" w:color="auto"/>
              <w:right w:val="single" w:sz="4" w:space="0" w:color="auto"/>
            </w:tcBorders>
            <w:vAlign w:val="center"/>
          </w:tcPr>
          <w:p w14:paraId="29EF575C" w14:textId="77777777" w:rsidR="003E78AB" w:rsidRDefault="00010BF9">
            <w:pPr>
              <w:spacing w:line="360" w:lineRule="exact"/>
              <w:ind w:firstLineChars="0" w:firstLine="0"/>
              <w:contextualSpacing/>
              <w:jc w:val="center"/>
              <w:rPr>
                <w:bCs/>
                <w:sz w:val="21"/>
                <w:szCs w:val="21"/>
              </w:rPr>
            </w:pPr>
            <w:r>
              <w:rPr>
                <w:bCs/>
                <w:sz w:val="21"/>
                <w:szCs w:val="21"/>
              </w:rPr>
              <w:t>岩（土）层单层厚度</w:t>
            </w:r>
            <w:r>
              <w:rPr>
                <w:bCs/>
                <w:sz w:val="21"/>
                <w:szCs w:val="21"/>
              </w:rPr>
              <w:t>Mb≥1.0m</w:t>
            </w:r>
            <w:r>
              <w:rPr>
                <w:bCs/>
                <w:sz w:val="21"/>
                <w:szCs w:val="21"/>
              </w:rPr>
              <w:t>，渗透系数</w:t>
            </w:r>
            <w:r>
              <w:rPr>
                <w:bCs/>
                <w:sz w:val="21"/>
                <w:szCs w:val="21"/>
              </w:rPr>
              <w:t>K≤1×10</w:t>
            </w:r>
            <w:r>
              <w:rPr>
                <w:bCs/>
                <w:sz w:val="21"/>
                <w:szCs w:val="21"/>
                <w:vertAlign w:val="superscript"/>
              </w:rPr>
              <w:t>-6</w:t>
            </w:r>
            <w:r>
              <w:rPr>
                <w:bCs/>
                <w:sz w:val="21"/>
                <w:szCs w:val="21"/>
              </w:rPr>
              <w:t>cm/s</w:t>
            </w:r>
            <w:r>
              <w:rPr>
                <w:bCs/>
                <w:sz w:val="21"/>
                <w:szCs w:val="21"/>
              </w:rPr>
              <w:t>，且分布连续、稳定</w:t>
            </w:r>
          </w:p>
        </w:tc>
      </w:tr>
      <w:tr w:rsidR="003E78AB" w14:paraId="33E39618" w14:textId="77777777">
        <w:trPr>
          <w:trHeight w:val="454"/>
          <w:jc w:val="center"/>
        </w:trPr>
        <w:tc>
          <w:tcPr>
            <w:tcW w:w="375" w:type="pct"/>
            <w:tcBorders>
              <w:top w:val="single" w:sz="4" w:space="0" w:color="auto"/>
              <w:left w:val="single" w:sz="4" w:space="0" w:color="auto"/>
              <w:bottom w:val="single" w:sz="4" w:space="0" w:color="auto"/>
              <w:right w:val="single" w:sz="4" w:space="0" w:color="auto"/>
            </w:tcBorders>
            <w:vAlign w:val="center"/>
          </w:tcPr>
          <w:p w14:paraId="6E286406"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中</w:t>
            </w:r>
          </w:p>
        </w:tc>
        <w:tc>
          <w:tcPr>
            <w:tcW w:w="4624" w:type="pct"/>
            <w:tcBorders>
              <w:top w:val="single" w:sz="4" w:space="0" w:color="auto"/>
              <w:left w:val="single" w:sz="4" w:space="0" w:color="auto"/>
              <w:bottom w:val="single" w:sz="4" w:space="0" w:color="auto"/>
              <w:right w:val="single" w:sz="4" w:space="0" w:color="auto"/>
            </w:tcBorders>
            <w:vAlign w:val="center"/>
          </w:tcPr>
          <w:p w14:paraId="1E921D3D" w14:textId="77777777" w:rsidR="003E78AB" w:rsidRDefault="00010BF9">
            <w:pPr>
              <w:spacing w:line="360" w:lineRule="exact"/>
              <w:ind w:firstLineChars="0" w:firstLine="0"/>
              <w:contextualSpacing/>
              <w:jc w:val="center"/>
              <w:rPr>
                <w:bCs/>
                <w:sz w:val="21"/>
                <w:szCs w:val="21"/>
              </w:rPr>
            </w:pPr>
            <w:r>
              <w:rPr>
                <w:bCs/>
                <w:sz w:val="21"/>
                <w:szCs w:val="21"/>
              </w:rPr>
              <w:t>岩（土）层单层厚度</w:t>
            </w:r>
            <w:r>
              <w:rPr>
                <w:bCs/>
                <w:sz w:val="21"/>
                <w:szCs w:val="21"/>
              </w:rPr>
              <w:t>0.5m≤Mb</w:t>
            </w:r>
            <w:r>
              <w:rPr>
                <w:bCs/>
                <w:sz w:val="21"/>
                <w:szCs w:val="21"/>
              </w:rPr>
              <w:t>＜</w:t>
            </w:r>
            <w:r>
              <w:rPr>
                <w:bCs/>
                <w:sz w:val="21"/>
                <w:szCs w:val="21"/>
              </w:rPr>
              <w:t>1.0m</w:t>
            </w:r>
            <w:r>
              <w:rPr>
                <w:bCs/>
                <w:sz w:val="21"/>
                <w:szCs w:val="21"/>
              </w:rPr>
              <w:t>，渗透系数</w:t>
            </w:r>
            <w:r>
              <w:rPr>
                <w:bCs/>
                <w:sz w:val="21"/>
                <w:szCs w:val="21"/>
              </w:rPr>
              <w:t>K≤1×10</w:t>
            </w:r>
            <w:r>
              <w:rPr>
                <w:bCs/>
                <w:sz w:val="21"/>
                <w:szCs w:val="21"/>
                <w:vertAlign w:val="superscript"/>
              </w:rPr>
              <w:t>-6</w:t>
            </w:r>
            <w:r>
              <w:rPr>
                <w:bCs/>
                <w:sz w:val="21"/>
                <w:szCs w:val="21"/>
              </w:rPr>
              <w:t>cm/s</w:t>
            </w:r>
            <w:r>
              <w:rPr>
                <w:bCs/>
                <w:sz w:val="21"/>
                <w:szCs w:val="21"/>
              </w:rPr>
              <w:t>，且分布连续、稳定</w:t>
            </w:r>
          </w:p>
          <w:p w14:paraId="667865BB" w14:textId="77777777" w:rsidR="003E78AB" w:rsidRDefault="00010BF9">
            <w:pPr>
              <w:spacing w:line="360" w:lineRule="exact"/>
              <w:ind w:firstLineChars="0" w:firstLine="0"/>
              <w:contextualSpacing/>
              <w:jc w:val="center"/>
              <w:rPr>
                <w:bCs/>
                <w:sz w:val="21"/>
                <w:szCs w:val="21"/>
              </w:rPr>
            </w:pPr>
            <w:r>
              <w:rPr>
                <w:bCs/>
                <w:sz w:val="21"/>
                <w:szCs w:val="21"/>
              </w:rPr>
              <w:t>岩（土）层单层厚度</w:t>
            </w:r>
            <w:r>
              <w:rPr>
                <w:bCs/>
                <w:sz w:val="21"/>
                <w:szCs w:val="21"/>
              </w:rPr>
              <w:t>Mb≥1.0m</w:t>
            </w:r>
            <w:r>
              <w:rPr>
                <w:bCs/>
                <w:sz w:val="21"/>
                <w:szCs w:val="21"/>
              </w:rPr>
              <w:t>，渗透系数</w:t>
            </w:r>
            <w:r>
              <w:rPr>
                <w:bCs/>
                <w:sz w:val="21"/>
                <w:szCs w:val="21"/>
              </w:rPr>
              <w:t>1×10</w:t>
            </w:r>
            <w:r>
              <w:rPr>
                <w:bCs/>
                <w:sz w:val="21"/>
                <w:szCs w:val="21"/>
                <w:vertAlign w:val="superscript"/>
              </w:rPr>
              <w:t>-6</w:t>
            </w:r>
            <w:r>
              <w:rPr>
                <w:bCs/>
                <w:sz w:val="21"/>
                <w:szCs w:val="21"/>
              </w:rPr>
              <w:t>cm/s</w:t>
            </w:r>
            <w:r>
              <w:rPr>
                <w:bCs/>
                <w:sz w:val="21"/>
                <w:szCs w:val="21"/>
              </w:rPr>
              <w:t>＜</w:t>
            </w:r>
            <w:r>
              <w:rPr>
                <w:bCs/>
                <w:sz w:val="21"/>
                <w:szCs w:val="21"/>
              </w:rPr>
              <w:t>K≤1×10</w:t>
            </w:r>
            <w:r>
              <w:rPr>
                <w:bCs/>
                <w:sz w:val="21"/>
                <w:szCs w:val="21"/>
                <w:vertAlign w:val="superscript"/>
              </w:rPr>
              <w:t>-4</w:t>
            </w:r>
            <w:r>
              <w:rPr>
                <w:bCs/>
                <w:sz w:val="21"/>
                <w:szCs w:val="21"/>
              </w:rPr>
              <w:t>cm/s</w:t>
            </w:r>
            <w:r>
              <w:rPr>
                <w:bCs/>
                <w:sz w:val="21"/>
                <w:szCs w:val="21"/>
              </w:rPr>
              <w:t>，且分布连续、稳定</w:t>
            </w:r>
          </w:p>
        </w:tc>
      </w:tr>
      <w:tr w:rsidR="003E78AB" w14:paraId="2815FDDE" w14:textId="77777777">
        <w:trPr>
          <w:trHeight w:val="454"/>
          <w:jc w:val="center"/>
        </w:trPr>
        <w:tc>
          <w:tcPr>
            <w:tcW w:w="375" w:type="pct"/>
            <w:tcBorders>
              <w:top w:val="single" w:sz="4" w:space="0" w:color="auto"/>
              <w:left w:val="single" w:sz="4" w:space="0" w:color="auto"/>
              <w:bottom w:val="single" w:sz="4" w:space="0" w:color="auto"/>
              <w:right w:val="single" w:sz="4" w:space="0" w:color="auto"/>
            </w:tcBorders>
            <w:vAlign w:val="center"/>
          </w:tcPr>
          <w:p w14:paraId="3D01E46B"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弱</w:t>
            </w:r>
          </w:p>
        </w:tc>
        <w:tc>
          <w:tcPr>
            <w:tcW w:w="4624" w:type="pct"/>
            <w:tcBorders>
              <w:top w:val="single" w:sz="4" w:space="0" w:color="auto"/>
              <w:left w:val="single" w:sz="4" w:space="0" w:color="auto"/>
              <w:bottom w:val="single" w:sz="4" w:space="0" w:color="auto"/>
              <w:right w:val="single" w:sz="4" w:space="0" w:color="auto"/>
            </w:tcBorders>
            <w:vAlign w:val="center"/>
          </w:tcPr>
          <w:p w14:paraId="0CA4C493" w14:textId="77777777" w:rsidR="003E78AB" w:rsidRDefault="00010BF9">
            <w:pPr>
              <w:spacing w:line="360" w:lineRule="exact"/>
              <w:ind w:firstLineChars="0" w:firstLine="0"/>
              <w:contextualSpacing/>
              <w:jc w:val="center"/>
              <w:rPr>
                <w:bCs/>
                <w:sz w:val="21"/>
                <w:szCs w:val="21"/>
              </w:rPr>
            </w:pPr>
            <w:r>
              <w:rPr>
                <w:bCs/>
                <w:sz w:val="21"/>
                <w:szCs w:val="21"/>
              </w:rPr>
              <w:t>岩（土）层不满足上述</w:t>
            </w:r>
            <w:r>
              <w:rPr>
                <w:bCs/>
                <w:sz w:val="21"/>
                <w:szCs w:val="21"/>
              </w:rPr>
              <w:t>“</w:t>
            </w:r>
            <w:r>
              <w:rPr>
                <w:bCs/>
                <w:sz w:val="21"/>
                <w:szCs w:val="21"/>
              </w:rPr>
              <w:t>强</w:t>
            </w:r>
            <w:r>
              <w:rPr>
                <w:bCs/>
                <w:sz w:val="21"/>
                <w:szCs w:val="21"/>
              </w:rPr>
              <w:t>”</w:t>
            </w:r>
            <w:r>
              <w:rPr>
                <w:bCs/>
                <w:sz w:val="21"/>
                <w:szCs w:val="21"/>
              </w:rPr>
              <w:t>和</w:t>
            </w:r>
            <w:r>
              <w:rPr>
                <w:bCs/>
                <w:sz w:val="21"/>
                <w:szCs w:val="21"/>
              </w:rPr>
              <w:t>“</w:t>
            </w:r>
            <w:r>
              <w:rPr>
                <w:bCs/>
                <w:sz w:val="21"/>
                <w:szCs w:val="21"/>
              </w:rPr>
              <w:t>中</w:t>
            </w:r>
            <w:r>
              <w:rPr>
                <w:bCs/>
                <w:sz w:val="21"/>
                <w:szCs w:val="21"/>
              </w:rPr>
              <w:t>”</w:t>
            </w:r>
            <w:r>
              <w:rPr>
                <w:bCs/>
                <w:sz w:val="21"/>
                <w:szCs w:val="21"/>
              </w:rPr>
              <w:t>条件</w:t>
            </w:r>
          </w:p>
        </w:tc>
      </w:tr>
    </w:tbl>
    <w:p w14:paraId="6EB8E58B" w14:textId="77777777" w:rsidR="003E78AB" w:rsidRDefault="00010BF9">
      <w:pPr>
        <w:pStyle w:val="a4"/>
        <w:spacing w:before="120"/>
        <w:ind w:left="425" w:hanging="425"/>
      </w:pPr>
      <w:r>
        <w:t>地下水污染防渗分区参照表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1"/>
        <w:gridCol w:w="1440"/>
        <w:gridCol w:w="1311"/>
        <w:gridCol w:w="1703"/>
        <w:gridCol w:w="2648"/>
      </w:tblGrid>
      <w:tr w:rsidR="003E78AB" w14:paraId="0CD424DB" w14:textId="77777777">
        <w:trPr>
          <w:trHeight w:val="283"/>
          <w:tblHeader/>
          <w:jc w:val="center"/>
        </w:trPr>
        <w:tc>
          <w:tcPr>
            <w:tcW w:w="828" w:type="pct"/>
            <w:tcBorders>
              <w:top w:val="single" w:sz="4" w:space="0" w:color="auto"/>
              <w:left w:val="single" w:sz="4" w:space="0" w:color="auto"/>
              <w:bottom w:val="single" w:sz="4" w:space="0" w:color="auto"/>
              <w:right w:val="single" w:sz="4" w:space="0" w:color="auto"/>
            </w:tcBorders>
            <w:vAlign w:val="center"/>
          </w:tcPr>
          <w:p w14:paraId="464AF2AB"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防渗分区</w:t>
            </w:r>
          </w:p>
        </w:tc>
        <w:tc>
          <w:tcPr>
            <w:tcW w:w="846" w:type="pct"/>
            <w:tcBorders>
              <w:top w:val="single" w:sz="4" w:space="0" w:color="auto"/>
              <w:left w:val="single" w:sz="4" w:space="0" w:color="auto"/>
              <w:bottom w:val="single" w:sz="4" w:space="0" w:color="auto"/>
              <w:right w:val="single" w:sz="4" w:space="0" w:color="auto"/>
            </w:tcBorders>
            <w:vAlign w:val="center"/>
          </w:tcPr>
          <w:p w14:paraId="444C569F"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天然包气带防污性能</w:t>
            </w:r>
          </w:p>
        </w:tc>
        <w:tc>
          <w:tcPr>
            <w:tcW w:w="770" w:type="pct"/>
            <w:tcBorders>
              <w:top w:val="single" w:sz="4" w:space="0" w:color="auto"/>
              <w:left w:val="single" w:sz="4" w:space="0" w:color="auto"/>
              <w:bottom w:val="single" w:sz="4" w:space="0" w:color="auto"/>
              <w:right w:val="single" w:sz="4" w:space="0" w:color="auto"/>
            </w:tcBorders>
            <w:vAlign w:val="center"/>
          </w:tcPr>
          <w:p w14:paraId="3FA3FD0F"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污染控制难易程度</w:t>
            </w:r>
          </w:p>
        </w:tc>
        <w:tc>
          <w:tcPr>
            <w:tcW w:w="1000" w:type="pct"/>
            <w:tcBorders>
              <w:top w:val="single" w:sz="4" w:space="0" w:color="auto"/>
              <w:left w:val="single" w:sz="4" w:space="0" w:color="auto"/>
              <w:bottom w:val="single" w:sz="4" w:space="0" w:color="auto"/>
              <w:right w:val="single" w:sz="4" w:space="0" w:color="auto"/>
            </w:tcBorders>
            <w:vAlign w:val="center"/>
          </w:tcPr>
          <w:p w14:paraId="1130067D"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污染物类型</w:t>
            </w:r>
          </w:p>
        </w:tc>
        <w:tc>
          <w:tcPr>
            <w:tcW w:w="1554" w:type="pct"/>
            <w:tcBorders>
              <w:top w:val="single" w:sz="4" w:space="0" w:color="auto"/>
              <w:left w:val="single" w:sz="4" w:space="0" w:color="auto"/>
              <w:bottom w:val="single" w:sz="4" w:space="0" w:color="auto"/>
              <w:right w:val="single" w:sz="4" w:space="0" w:color="auto"/>
            </w:tcBorders>
            <w:vAlign w:val="center"/>
          </w:tcPr>
          <w:p w14:paraId="7A759B4F"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防渗技术要求</w:t>
            </w:r>
          </w:p>
        </w:tc>
      </w:tr>
      <w:tr w:rsidR="003E78AB" w14:paraId="1D9D2CA0" w14:textId="77777777">
        <w:trPr>
          <w:trHeight w:val="283"/>
          <w:jc w:val="center"/>
        </w:trPr>
        <w:tc>
          <w:tcPr>
            <w:tcW w:w="828" w:type="pct"/>
            <w:vMerge w:val="restart"/>
            <w:tcBorders>
              <w:top w:val="single" w:sz="4" w:space="0" w:color="auto"/>
              <w:left w:val="single" w:sz="4" w:space="0" w:color="auto"/>
              <w:bottom w:val="single" w:sz="4" w:space="0" w:color="auto"/>
              <w:right w:val="single" w:sz="4" w:space="0" w:color="auto"/>
            </w:tcBorders>
            <w:vAlign w:val="center"/>
          </w:tcPr>
          <w:p w14:paraId="4196A27A"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重点防渗区</w:t>
            </w:r>
          </w:p>
        </w:tc>
        <w:tc>
          <w:tcPr>
            <w:tcW w:w="846" w:type="pct"/>
            <w:tcBorders>
              <w:top w:val="single" w:sz="4" w:space="0" w:color="auto"/>
              <w:left w:val="single" w:sz="4" w:space="0" w:color="auto"/>
              <w:bottom w:val="single" w:sz="4" w:space="0" w:color="auto"/>
              <w:right w:val="single" w:sz="4" w:space="0" w:color="auto"/>
            </w:tcBorders>
            <w:vAlign w:val="center"/>
          </w:tcPr>
          <w:p w14:paraId="4AE3EFA5"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弱</w:t>
            </w:r>
          </w:p>
        </w:tc>
        <w:tc>
          <w:tcPr>
            <w:tcW w:w="770" w:type="pct"/>
            <w:tcBorders>
              <w:top w:val="single" w:sz="4" w:space="0" w:color="auto"/>
              <w:left w:val="single" w:sz="4" w:space="0" w:color="auto"/>
              <w:bottom w:val="single" w:sz="4" w:space="0" w:color="auto"/>
              <w:right w:val="single" w:sz="4" w:space="0" w:color="auto"/>
            </w:tcBorders>
            <w:vAlign w:val="center"/>
          </w:tcPr>
          <w:p w14:paraId="256D782A"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难</w:t>
            </w:r>
          </w:p>
        </w:tc>
        <w:tc>
          <w:tcPr>
            <w:tcW w:w="1000" w:type="pct"/>
            <w:vMerge w:val="restart"/>
            <w:tcBorders>
              <w:top w:val="single" w:sz="4" w:space="0" w:color="auto"/>
              <w:left w:val="single" w:sz="4" w:space="0" w:color="auto"/>
              <w:bottom w:val="single" w:sz="4" w:space="0" w:color="auto"/>
              <w:right w:val="single" w:sz="4" w:space="0" w:color="auto"/>
            </w:tcBorders>
            <w:vAlign w:val="center"/>
          </w:tcPr>
          <w:p w14:paraId="73A7BA52" w14:textId="77777777" w:rsidR="003E78AB" w:rsidRDefault="00010BF9">
            <w:pPr>
              <w:spacing w:line="360" w:lineRule="exact"/>
              <w:ind w:firstLineChars="0" w:firstLine="0"/>
              <w:contextualSpacing/>
              <w:jc w:val="center"/>
              <w:rPr>
                <w:bCs/>
                <w:sz w:val="21"/>
                <w:szCs w:val="21"/>
              </w:rPr>
            </w:pPr>
            <w:r>
              <w:rPr>
                <w:bCs/>
                <w:sz w:val="21"/>
                <w:szCs w:val="21"/>
              </w:rPr>
              <w:t>重金属、持久性有机物污染物</w:t>
            </w:r>
          </w:p>
        </w:tc>
        <w:tc>
          <w:tcPr>
            <w:tcW w:w="1554" w:type="pct"/>
            <w:vMerge w:val="restart"/>
            <w:tcBorders>
              <w:top w:val="single" w:sz="4" w:space="0" w:color="auto"/>
              <w:left w:val="single" w:sz="4" w:space="0" w:color="auto"/>
              <w:bottom w:val="single" w:sz="4" w:space="0" w:color="auto"/>
              <w:right w:val="single" w:sz="4" w:space="0" w:color="auto"/>
            </w:tcBorders>
            <w:vAlign w:val="center"/>
          </w:tcPr>
          <w:p w14:paraId="04A3DE8B" w14:textId="77777777" w:rsidR="003E78AB" w:rsidRDefault="00010BF9">
            <w:pPr>
              <w:spacing w:line="360" w:lineRule="exact"/>
              <w:ind w:firstLineChars="0" w:firstLine="0"/>
              <w:contextualSpacing/>
              <w:jc w:val="center"/>
              <w:rPr>
                <w:bCs/>
                <w:sz w:val="21"/>
                <w:szCs w:val="21"/>
              </w:rPr>
            </w:pPr>
            <w:r>
              <w:rPr>
                <w:bCs/>
                <w:sz w:val="21"/>
                <w:szCs w:val="21"/>
                <w:lang w:val="zh-CN"/>
              </w:rPr>
              <w:t>等效黏土防渗层</w:t>
            </w:r>
            <w:r>
              <w:rPr>
                <w:bCs/>
                <w:sz w:val="21"/>
                <w:szCs w:val="21"/>
                <w:lang w:val="zh-CN"/>
              </w:rPr>
              <w:t>Mb≥</w:t>
            </w:r>
            <w:r>
              <w:rPr>
                <w:bCs/>
                <w:sz w:val="21"/>
                <w:szCs w:val="21"/>
              </w:rPr>
              <w:t>6.0</w:t>
            </w:r>
            <w:r>
              <w:rPr>
                <w:bCs/>
                <w:sz w:val="21"/>
                <w:szCs w:val="21"/>
                <w:lang w:val="zh-CN"/>
              </w:rPr>
              <w:t>m</w:t>
            </w:r>
            <w:r>
              <w:rPr>
                <w:bCs/>
                <w:sz w:val="21"/>
                <w:szCs w:val="21"/>
                <w:lang w:val="zh-CN"/>
              </w:rPr>
              <w:t>，</w:t>
            </w:r>
            <w:r>
              <w:rPr>
                <w:bCs/>
                <w:sz w:val="21"/>
                <w:szCs w:val="21"/>
                <w:lang w:val="zh-CN"/>
              </w:rPr>
              <w:t>K&lt;1×10</w:t>
            </w:r>
            <w:r>
              <w:rPr>
                <w:bCs/>
                <w:sz w:val="21"/>
                <w:szCs w:val="21"/>
                <w:vertAlign w:val="superscript"/>
                <w:lang w:val="zh-CN"/>
              </w:rPr>
              <w:t>-7</w:t>
            </w:r>
            <w:r>
              <w:rPr>
                <w:bCs/>
                <w:sz w:val="21"/>
                <w:szCs w:val="21"/>
                <w:lang w:val="zh-CN"/>
              </w:rPr>
              <w:t>cm/s</w:t>
            </w:r>
            <w:r>
              <w:rPr>
                <w:bCs/>
                <w:sz w:val="21"/>
                <w:szCs w:val="21"/>
                <w:lang w:val="zh-CN"/>
              </w:rPr>
              <w:t>，或参照</w:t>
            </w:r>
            <w:r>
              <w:rPr>
                <w:bCs/>
                <w:sz w:val="21"/>
                <w:szCs w:val="21"/>
                <w:lang w:val="zh-CN"/>
              </w:rPr>
              <w:t>GB</w:t>
            </w:r>
            <w:r>
              <w:rPr>
                <w:bCs/>
                <w:sz w:val="21"/>
                <w:szCs w:val="21"/>
              </w:rPr>
              <w:t>18598</w:t>
            </w:r>
            <w:r>
              <w:rPr>
                <w:bCs/>
                <w:sz w:val="21"/>
                <w:szCs w:val="21"/>
                <w:lang w:val="zh-CN"/>
              </w:rPr>
              <w:t>执行</w:t>
            </w:r>
          </w:p>
        </w:tc>
      </w:tr>
      <w:tr w:rsidR="003E78AB" w14:paraId="6C6E52C8" w14:textId="77777777">
        <w:trPr>
          <w:trHeight w:val="283"/>
          <w:jc w:val="center"/>
        </w:trPr>
        <w:tc>
          <w:tcPr>
            <w:tcW w:w="828" w:type="pct"/>
            <w:vMerge/>
            <w:tcBorders>
              <w:top w:val="single" w:sz="4" w:space="0" w:color="auto"/>
              <w:left w:val="single" w:sz="4" w:space="0" w:color="auto"/>
              <w:bottom w:val="single" w:sz="4" w:space="0" w:color="auto"/>
              <w:right w:val="single" w:sz="4" w:space="0" w:color="auto"/>
            </w:tcBorders>
            <w:vAlign w:val="center"/>
          </w:tcPr>
          <w:p w14:paraId="31C5BD75" w14:textId="77777777" w:rsidR="003E78AB" w:rsidRDefault="003E78AB">
            <w:pPr>
              <w:spacing w:line="360" w:lineRule="exact"/>
              <w:ind w:firstLineChars="0" w:firstLine="0"/>
              <w:contextualSpacing/>
              <w:jc w:val="center"/>
              <w:rPr>
                <w:bCs/>
                <w:sz w:val="21"/>
                <w:szCs w:val="21"/>
              </w:rPr>
            </w:pPr>
          </w:p>
        </w:tc>
        <w:tc>
          <w:tcPr>
            <w:tcW w:w="846" w:type="pct"/>
            <w:tcBorders>
              <w:top w:val="single" w:sz="4" w:space="0" w:color="auto"/>
              <w:left w:val="single" w:sz="4" w:space="0" w:color="auto"/>
              <w:bottom w:val="single" w:sz="4" w:space="0" w:color="auto"/>
              <w:right w:val="single" w:sz="4" w:space="0" w:color="auto"/>
            </w:tcBorders>
            <w:vAlign w:val="center"/>
          </w:tcPr>
          <w:p w14:paraId="0A020859"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中</w:t>
            </w:r>
            <w:r>
              <w:rPr>
                <w:bCs/>
                <w:sz w:val="21"/>
                <w:szCs w:val="21"/>
                <w:lang w:eastAsia="en-US"/>
              </w:rPr>
              <w:t>-</w:t>
            </w:r>
            <w:r>
              <w:rPr>
                <w:bCs/>
                <w:sz w:val="21"/>
                <w:szCs w:val="21"/>
                <w:lang w:eastAsia="en-US"/>
              </w:rPr>
              <w:t>强</w:t>
            </w:r>
          </w:p>
        </w:tc>
        <w:tc>
          <w:tcPr>
            <w:tcW w:w="770" w:type="pct"/>
            <w:tcBorders>
              <w:top w:val="single" w:sz="4" w:space="0" w:color="auto"/>
              <w:left w:val="single" w:sz="4" w:space="0" w:color="auto"/>
              <w:bottom w:val="single" w:sz="4" w:space="0" w:color="auto"/>
              <w:right w:val="single" w:sz="4" w:space="0" w:color="auto"/>
            </w:tcBorders>
            <w:vAlign w:val="center"/>
          </w:tcPr>
          <w:p w14:paraId="0B0705D1"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难</w:t>
            </w:r>
          </w:p>
        </w:tc>
        <w:tc>
          <w:tcPr>
            <w:tcW w:w="1000" w:type="pct"/>
            <w:vMerge/>
            <w:tcBorders>
              <w:top w:val="single" w:sz="4" w:space="0" w:color="auto"/>
              <w:left w:val="single" w:sz="4" w:space="0" w:color="auto"/>
              <w:bottom w:val="single" w:sz="4" w:space="0" w:color="auto"/>
              <w:right w:val="single" w:sz="4" w:space="0" w:color="auto"/>
            </w:tcBorders>
            <w:vAlign w:val="center"/>
          </w:tcPr>
          <w:p w14:paraId="2776E158" w14:textId="77777777" w:rsidR="003E78AB" w:rsidRDefault="003E78AB">
            <w:pPr>
              <w:spacing w:line="360" w:lineRule="exact"/>
              <w:ind w:firstLineChars="0" w:firstLine="0"/>
              <w:contextualSpacing/>
              <w:jc w:val="center"/>
              <w:rPr>
                <w:bCs/>
                <w:sz w:val="21"/>
                <w:szCs w:val="21"/>
                <w:lang w:eastAsia="en-US"/>
              </w:rPr>
            </w:pPr>
          </w:p>
        </w:tc>
        <w:tc>
          <w:tcPr>
            <w:tcW w:w="1554" w:type="pct"/>
            <w:vMerge/>
            <w:tcBorders>
              <w:top w:val="single" w:sz="4" w:space="0" w:color="auto"/>
              <w:left w:val="single" w:sz="4" w:space="0" w:color="auto"/>
              <w:bottom w:val="single" w:sz="4" w:space="0" w:color="auto"/>
              <w:right w:val="single" w:sz="4" w:space="0" w:color="auto"/>
            </w:tcBorders>
            <w:vAlign w:val="center"/>
          </w:tcPr>
          <w:p w14:paraId="16AFAC36" w14:textId="77777777" w:rsidR="003E78AB" w:rsidRDefault="003E78AB">
            <w:pPr>
              <w:spacing w:line="360" w:lineRule="exact"/>
              <w:ind w:firstLineChars="0" w:firstLine="0"/>
              <w:contextualSpacing/>
              <w:jc w:val="center"/>
              <w:rPr>
                <w:bCs/>
                <w:sz w:val="21"/>
                <w:szCs w:val="21"/>
                <w:lang w:eastAsia="en-US"/>
              </w:rPr>
            </w:pPr>
          </w:p>
        </w:tc>
      </w:tr>
      <w:tr w:rsidR="003E78AB" w14:paraId="79BA406B" w14:textId="77777777">
        <w:trPr>
          <w:trHeight w:val="283"/>
          <w:jc w:val="center"/>
        </w:trPr>
        <w:tc>
          <w:tcPr>
            <w:tcW w:w="828" w:type="pct"/>
            <w:vMerge/>
            <w:tcBorders>
              <w:top w:val="single" w:sz="4" w:space="0" w:color="auto"/>
              <w:left w:val="single" w:sz="4" w:space="0" w:color="auto"/>
              <w:bottom w:val="single" w:sz="4" w:space="0" w:color="auto"/>
              <w:right w:val="single" w:sz="4" w:space="0" w:color="auto"/>
            </w:tcBorders>
            <w:vAlign w:val="center"/>
          </w:tcPr>
          <w:p w14:paraId="5F6AA137" w14:textId="77777777" w:rsidR="003E78AB" w:rsidRDefault="003E78AB">
            <w:pPr>
              <w:spacing w:line="360" w:lineRule="exact"/>
              <w:ind w:firstLineChars="0" w:firstLine="0"/>
              <w:contextualSpacing/>
              <w:jc w:val="center"/>
              <w:rPr>
                <w:bCs/>
                <w:sz w:val="21"/>
                <w:szCs w:val="21"/>
                <w:lang w:eastAsia="en-US"/>
              </w:rPr>
            </w:pPr>
          </w:p>
        </w:tc>
        <w:tc>
          <w:tcPr>
            <w:tcW w:w="846" w:type="pct"/>
            <w:tcBorders>
              <w:top w:val="single" w:sz="4" w:space="0" w:color="auto"/>
              <w:left w:val="single" w:sz="4" w:space="0" w:color="auto"/>
              <w:bottom w:val="single" w:sz="4" w:space="0" w:color="auto"/>
              <w:right w:val="single" w:sz="4" w:space="0" w:color="auto"/>
            </w:tcBorders>
            <w:vAlign w:val="center"/>
          </w:tcPr>
          <w:p w14:paraId="18B79DD0"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弱</w:t>
            </w:r>
          </w:p>
        </w:tc>
        <w:tc>
          <w:tcPr>
            <w:tcW w:w="770" w:type="pct"/>
            <w:tcBorders>
              <w:top w:val="single" w:sz="4" w:space="0" w:color="auto"/>
              <w:left w:val="single" w:sz="4" w:space="0" w:color="auto"/>
              <w:bottom w:val="single" w:sz="4" w:space="0" w:color="auto"/>
              <w:right w:val="single" w:sz="4" w:space="0" w:color="auto"/>
            </w:tcBorders>
            <w:vAlign w:val="center"/>
          </w:tcPr>
          <w:p w14:paraId="572DFE71"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易</w:t>
            </w:r>
          </w:p>
        </w:tc>
        <w:tc>
          <w:tcPr>
            <w:tcW w:w="1000" w:type="pct"/>
            <w:vMerge/>
            <w:tcBorders>
              <w:top w:val="single" w:sz="4" w:space="0" w:color="auto"/>
              <w:left w:val="single" w:sz="4" w:space="0" w:color="auto"/>
              <w:bottom w:val="single" w:sz="4" w:space="0" w:color="auto"/>
              <w:right w:val="single" w:sz="4" w:space="0" w:color="auto"/>
            </w:tcBorders>
            <w:vAlign w:val="center"/>
          </w:tcPr>
          <w:p w14:paraId="1A8712A4" w14:textId="77777777" w:rsidR="003E78AB" w:rsidRDefault="003E78AB">
            <w:pPr>
              <w:spacing w:line="360" w:lineRule="exact"/>
              <w:ind w:firstLineChars="0" w:firstLine="0"/>
              <w:contextualSpacing/>
              <w:jc w:val="center"/>
              <w:rPr>
                <w:bCs/>
                <w:sz w:val="21"/>
                <w:szCs w:val="21"/>
                <w:lang w:eastAsia="en-US"/>
              </w:rPr>
            </w:pPr>
          </w:p>
        </w:tc>
        <w:tc>
          <w:tcPr>
            <w:tcW w:w="1554" w:type="pct"/>
            <w:vMerge/>
            <w:tcBorders>
              <w:top w:val="single" w:sz="4" w:space="0" w:color="auto"/>
              <w:left w:val="single" w:sz="4" w:space="0" w:color="auto"/>
              <w:bottom w:val="single" w:sz="4" w:space="0" w:color="auto"/>
              <w:right w:val="single" w:sz="4" w:space="0" w:color="auto"/>
            </w:tcBorders>
            <w:vAlign w:val="center"/>
          </w:tcPr>
          <w:p w14:paraId="4AE2CC09" w14:textId="77777777" w:rsidR="003E78AB" w:rsidRDefault="003E78AB">
            <w:pPr>
              <w:spacing w:line="360" w:lineRule="exact"/>
              <w:ind w:firstLineChars="0" w:firstLine="0"/>
              <w:contextualSpacing/>
              <w:jc w:val="center"/>
              <w:rPr>
                <w:bCs/>
                <w:sz w:val="21"/>
                <w:szCs w:val="21"/>
                <w:lang w:eastAsia="en-US"/>
              </w:rPr>
            </w:pPr>
          </w:p>
        </w:tc>
      </w:tr>
      <w:tr w:rsidR="003E78AB" w14:paraId="2D8262A6" w14:textId="77777777">
        <w:trPr>
          <w:trHeight w:val="283"/>
          <w:jc w:val="center"/>
        </w:trPr>
        <w:tc>
          <w:tcPr>
            <w:tcW w:w="828" w:type="pct"/>
            <w:vMerge w:val="restart"/>
            <w:tcBorders>
              <w:top w:val="single" w:sz="4" w:space="0" w:color="auto"/>
              <w:left w:val="single" w:sz="4" w:space="0" w:color="auto"/>
              <w:bottom w:val="single" w:sz="4" w:space="0" w:color="auto"/>
              <w:right w:val="single" w:sz="4" w:space="0" w:color="auto"/>
            </w:tcBorders>
            <w:vAlign w:val="center"/>
          </w:tcPr>
          <w:p w14:paraId="79465030"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一般防渗区</w:t>
            </w:r>
          </w:p>
        </w:tc>
        <w:tc>
          <w:tcPr>
            <w:tcW w:w="846" w:type="pct"/>
            <w:tcBorders>
              <w:top w:val="single" w:sz="4" w:space="0" w:color="auto"/>
              <w:left w:val="single" w:sz="4" w:space="0" w:color="auto"/>
              <w:bottom w:val="single" w:sz="4" w:space="0" w:color="auto"/>
              <w:right w:val="single" w:sz="4" w:space="0" w:color="auto"/>
            </w:tcBorders>
            <w:vAlign w:val="center"/>
          </w:tcPr>
          <w:p w14:paraId="197F4371"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弱</w:t>
            </w:r>
          </w:p>
        </w:tc>
        <w:tc>
          <w:tcPr>
            <w:tcW w:w="770" w:type="pct"/>
            <w:tcBorders>
              <w:top w:val="single" w:sz="4" w:space="0" w:color="auto"/>
              <w:left w:val="single" w:sz="4" w:space="0" w:color="auto"/>
              <w:bottom w:val="single" w:sz="4" w:space="0" w:color="auto"/>
              <w:right w:val="single" w:sz="4" w:space="0" w:color="auto"/>
            </w:tcBorders>
            <w:vAlign w:val="center"/>
          </w:tcPr>
          <w:p w14:paraId="424AFF39"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易</w:t>
            </w:r>
            <w:r>
              <w:rPr>
                <w:bCs/>
                <w:sz w:val="21"/>
                <w:szCs w:val="21"/>
                <w:lang w:eastAsia="en-US"/>
              </w:rPr>
              <w:t>-</w:t>
            </w:r>
            <w:r>
              <w:rPr>
                <w:bCs/>
                <w:sz w:val="21"/>
                <w:szCs w:val="21"/>
                <w:lang w:eastAsia="en-US"/>
              </w:rPr>
              <w:t>难</w:t>
            </w:r>
          </w:p>
        </w:tc>
        <w:tc>
          <w:tcPr>
            <w:tcW w:w="1000" w:type="pct"/>
            <w:vMerge w:val="restart"/>
            <w:tcBorders>
              <w:top w:val="single" w:sz="4" w:space="0" w:color="auto"/>
              <w:left w:val="single" w:sz="4" w:space="0" w:color="auto"/>
              <w:bottom w:val="single" w:sz="4" w:space="0" w:color="auto"/>
              <w:right w:val="single" w:sz="4" w:space="0" w:color="auto"/>
            </w:tcBorders>
            <w:vAlign w:val="center"/>
          </w:tcPr>
          <w:p w14:paraId="522DF7E3"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其他类型</w:t>
            </w:r>
          </w:p>
        </w:tc>
        <w:tc>
          <w:tcPr>
            <w:tcW w:w="1554" w:type="pct"/>
            <w:vMerge w:val="restart"/>
            <w:tcBorders>
              <w:top w:val="single" w:sz="4" w:space="0" w:color="auto"/>
              <w:left w:val="single" w:sz="4" w:space="0" w:color="auto"/>
              <w:bottom w:val="single" w:sz="4" w:space="0" w:color="auto"/>
              <w:right w:val="single" w:sz="4" w:space="0" w:color="auto"/>
            </w:tcBorders>
            <w:vAlign w:val="center"/>
          </w:tcPr>
          <w:p w14:paraId="488B928F" w14:textId="77777777" w:rsidR="003E78AB" w:rsidRDefault="00010BF9">
            <w:pPr>
              <w:spacing w:line="360" w:lineRule="exact"/>
              <w:ind w:firstLineChars="0" w:firstLine="0"/>
              <w:contextualSpacing/>
              <w:jc w:val="center"/>
              <w:rPr>
                <w:bCs/>
                <w:sz w:val="21"/>
                <w:szCs w:val="21"/>
              </w:rPr>
            </w:pPr>
            <w:r>
              <w:rPr>
                <w:bCs/>
                <w:sz w:val="21"/>
                <w:szCs w:val="21"/>
                <w:lang w:val="zh-CN"/>
              </w:rPr>
              <w:t>等效黏土防渗层</w:t>
            </w:r>
            <w:r>
              <w:rPr>
                <w:bCs/>
                <w:sz w:val="21"/>
                <w:szCs w:val="21"/>
                <w:lang w:val="zh-CN"/>
              </w:rPr>
              <w:t>Mb&gt;1.5m</w:t>
            </w:r>
            <w:r>
              <w:rPr>
                <w:bCs/>
                <w:sz w:val="21"/>
                <w:szCs w:val="21"/>
                <w:lang w:val="zh-CN"/>
              </w:rPr>
              <w:t>，</w:t>
            </w:r>
            <w:r>
              <w:rPr>
                <w:bCs/>
                <w:sz w:val="21"/>
                <w:szCs w:val="21"/>
                <w:lang w:val="zh-CN"/>
              </w:rPr>
              <w:t>K&lt;1×10</w:t>
            </w:r>
            <w:r>
              <w:rPr>
                <w:bCs/>
                <w:sz w:val="21"/>
                <w:szCs w:val="21"/>
                <w:vertAlign w:val="superscript"/>
                <w:lang w:val="zh-CN"/>
              </w:rPr>
              <w:t>-7</w:t>
            </w:r>
            <w:r>
              <w:rPr>
                <w:bCs/>
                <w:sz w:val="21"/>
                <w:szCs w:val="21"/>
                <w:lang w:val="zh-CN"/>
              </w:rPr>
              <w:t>cm/s</w:t>
            </w:r>
            <w:r>
              <w:rPr>
                <w:bCs/>
                <w:sz w:val="21"/>
                <w:szCs w:val="21"/>
                <w:lang w:val="zh-CN"/>
              </w:rPr>
              <w:t>，或参照</w:t>
            </w:r>
            <w:r>
              <w:rPr>
                <w:bCs/>
                <w:sz w:val="21"/>
                <w:szCs w:val="21"/>
                <w:lang w:val="zh-CN"/>
              </w:rPr>
              <w:t>GB16889</w:t>
            </w:r>
            <w:r>
              <w:rPr>
                <w:bCs/>
                <w:sz w:val="21"/>
                <w:szCs w:val="21"/>
                <w:lang w:val="zh-CN"/>
              </w:rPr>
              <w:t>执行</w:t>
            </w:r>
          </w:p>
        </w:tc>
      </w:tr>
      <w:tr w:rsidR="003E78AB" w14:paraId="29C8A822" w14:textId="77777777">
        <w:trPr>
          <w:trHeight w:val="283"/>
          <w:jc w:val="center"/>
        </w:trPr>
        <w:tc>
          <w:tcPr>
            <w:tcW w:w="828" w:type="pct"/>
            <w:vMerge/>
            <w:tcBorders>
              <w:top w:val="single" w:sz="4" w:space="0" w:color="auto"/>
              <w:left w:val="single" w:sz="4" w:space="0" w:color="auto"/>
              <w:bottom w:val="single" w:sz="4" w:space="0" w:color="auto"/>
              <w:right w:val="single" w:sz="4" w:space="0" w:color="auto"/>
            </w:tcBorders>
            <w:vAlign w:val="center"/>
          </w:tcPr>
          <w:p w14:paraId="7E0F46F4" w14:textId="77777777" w:rsidR="003E78AB" w:rsidRDefault="003E78AB">
            <w:pPr>
              <w:spacing w:line="360" w:lineRule="exact"/>
              <w:ind w:firstLineChars="0" w:firstLine="0"/>
              <w:contextualSpacing/>
              <w:jc w:val="center"/>
              <w:rPr>
                <w:bCs/>
                <w:sz w:val="21"/>
                <w:szCs w:val="21"/>
              </w:rPr>
            </w:pPr>
          </w:p>
        </w:tc>
        <w:tc>
          <w:tcPr>
            <w:tcW w:w="846" w:type="pct"/>
            <w:tcBorders>
              <w:top w:val="single" w:sz="4" w:space="0" w:color="auto"/>
              <w:left w:val="single" w:sz="4" w:space="0" w:color="auto"/>
              <w:bottom w:val="single" w:sz="4" w:space="0" w:color="auto"/>
              <w:right w:val="single" w:sz="4" w:space="0" w:color="auto"/>
            </w:tcBorders>
            <w:vAlign w:val="center"/>
          </w:tcPr>
          <w:p w14:paraId="2B21F7E0"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中</w:t>
            </w:r>
            <w:r>
              <w:rPr>
                <w:bCs/>
                <w:sz w:val="21"/>
                <w:szCs w:val="21"/>
                <w:lang w:eastAsia="en-US"/>
              </w:rPr>
              <w:t>-</w:t>
            </w:r>
            <w:r>
              <w:rPr>
                <w:bCs/>
                <w:sz w:val="21"/>
                <w:szCs w:val="21"/>
                <w:lang w:eastAsia="en-US"/>
              </w:rPr>
              <w:t>强</w:t>
            </w:r>
          </w:p>
        </w:tc>
        <w:tc>
          <w:tcPr>
            <w:tcW w:w="770" w:type="pct"/>
            <w:tcBorders>
              <w:top w:val="single" w:sz="4" w:space="0" w:color="auto"/>
              <w:left w:val="single" w:sz="4" w:space="0" w:color="auto"/>
              <w:bottom w:val="single" w:sz="4" w:space="0" w:color="auto"/>
              <w:right w:val="single" w:sz="4" w:space="0" w:color="auto"/>
            </w:tcBorders>
            <w:vAlign w:val="center"/>
          </w:tcPr>
          <w:p w14:paraId="512F2251"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难</w:t>
            </w:r>
          </w:p>
        </w:tc>
        <w:tc>
          <w:tcPr>
            <w:tcW w:w="1000" w:type="pct"/>
            <w:vMerge/>
            <w:tcBorders>
              <w:top w:val="single" w:sz="4" w:space="0" w:color="auto"/>
              <w:left w:val="single" w:sz="4" w:space="0" w:color="auto"/>
              <w:bottom w:val="single" w:sz="4" w:space="0" w:color="auto"/>
              <w:right w:val="single" w:sz="4" w:space="0" w:color="auto"/>
            </w:tcBorders>
            <w:vAlign w:val="center"/>
          </w:tcPr>
          <w:p w14:paraId="18446461" w14:textId="77777777" w:rsidR="003E78AB" w:rsidRDefault="003E78AB">
            <w:pPr>
              <w:spacing w:line="360" w:lineRule="exact"/>
              <w:ind w:firstLineChars="0" w:firstLine="0"/>
              <w:contextualSpacing/>
              <w:jc w:val="center"/>
              <w:rPr>
                <w:bCs/>
                <w:sz w:val="21"/>
                <w:szCs w:val="21"/>
                <w:lang w:eastAsia="en-US"/>
              </w:rPr>
            </w:pPr>
          </w:p>
        </w:tc>
        <w:tc>
          <w:tcPr>
            <w:tcW w:w="1554" w:type="pct"/>
            <w:vMerge/>
            <w:tcBorders>
              <w:top w:val="single" w:sz="4" w:space="0" w:color="auto"/>
              <w:left w:val="single" w:sz="4" w:space="0" w:color="auto"/>
              <w:bottom w:val="single" w:sz="4" w:space="0" w:color="auto"/>
              <w:right w:val="single" w:sz="4" w:space="0" w:color="auto"/>
            </w:tcBorders>
            <w:vAlign w:val="center"/>
          </w:tcPr>
          <w:p w14:paraId="12CBA6BF" w14:textId="77777777" w:rsidR="003E78AB" w:rsidRDefault="003E78AB">
            <w:pPr>
              <w:spacing w:line="360" w:lineRule="exact"/>
              <w:ind w:firstLineChars="0" w:firstLine="0"/>
              <w:contextualSpacing/>
              <w:jc w:val="center"/>
              <w:rPr>
                <w:bCs/>
                <w:sz w:val="21"/>
                <w:szCs w:val="21"/>
                <w:lang w:eastAsia="en-US"/>
              </w:rPr>
            </w:pPr>
          </w:p>
        </w:tc>
      </w:tr>
      <w:tr w:rsidR="003E78AB" w14:paraId="14CC1CD0" w14:textId="77777777">
        <w:trPr>
          <w:trHeight w:val="283"/>
          <w:jc w:val="center"/>
        </w:trPr>
        <w:tc>
          <w:tcPr>
            <w:tcW w:w="828" w:type="pct"/>
            <w:vMerge/>
            <w:tcBorders>
              <w:top w:val="single" w:sz="4" w:space="0" w:color="auto"/>
              <w:left w:val="single" w:sz="4" w:space="0" w:color="auto"/>
              <w:bottom w:val="single" w:sz="4" w:space="0" w:color="auto"/>
              <w:right w:val="single" w:sz="4" w:space="0" w:color="auto"/>
            </w:tcBorders>
            <w:vAlign w:val="center"/>
          </w:tcPr>
          <w:p w14:paraId="11E6E36A" w14:textId="77777777" w:rsidR="003E78AB" w:rsidRDefault="003E78AB">
            <w:pPr>
              <w:spacing w:line="360" w:lineRule="exact"/>
              <w:ind w:firstLineChars="0" w:firstLine="0"/>
              <w:contextualSpacing/>
              <w:jc w:val="center"/>
              <w:rPr>
                <w:bCs/>
                <w:sz w:val="21"/>
                <w:szCs w:val="21"/>
                <w:lang w:eastAsia="en-US"/>
              </w:rPr>
            </w:pPr>
          </w:p>
        </w:tc>
        <w:tc>
          <w:tcPr>
            <w:tcW w:w="846" w:type="pct"/>
            <w:tcBorders>
              <w:top w:val="single" w:sz="4" w:space="0" w:color="auto"/>
              <w:left w:val="single" w:sz="4" w:space="0" w:color="auto"/>
              <w:bottom w:val="single" w:sz="4" w:space="0" w:color="auto"/>
              <w:right w:val="single" w:sz="4" w:space="0" w:color="auto"/>
            </w:tcBorders>
            <w:vAlign w:val="center"/>
          </w:tcPr>
          <w:p w14:paraId="61AF22C9"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中</w:t>
            </w:r>
          </w:p>
        </w:tc>
        <w:tc>
          <w:tcPr>
            <w:tcW w:w="770" w:type="pct"/>
            <w:tcBorders>
              <w:top w:val="single" w:sz="4" w:space="0" w:color="auto"/>
              <w:left w:val="single" w:sz="4" w:space="0" w:color="auto"/>
              <w:bottom w:val="single" w:sz="4" w:space="0" w:color="auto"/>
              <w:right w:val="single" w:sz="4" w:space="0" w:color="auto"/>
            </w:tcBorders>
            <w:vAlign w:val="center"/>
          </w:tcPr>
          <w:p w14:paraId="16D66B96"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易</w:t>
            </w:r>
          </w:p>
        </w:tc>
        <w:tc>
          <w:tcPr>
            <w:tcW w:w="1000" w:type="pct"/>
            <w:vMerge w:val="restart"/>
            <w:tcBorders>
              <w:top w:val="single" w:sz="4" w:space="0" w:color="auto"/>
              <w:left w:val="single" w:sz="4" w:space="0" w:color="auto"/>
              <w:bottom w:val="single" w:sz="4" w:space="0" w:color="auto"/>
              <w:right w:val="single" w:sz="4" w:space="0" w:color="auto"/>
            </w:tcBorders>
            <w:vAlign w:val="center"/>
          </w:tcPr>
          <w:p w14:paraId="3AEA28EB" w14:textId="77777777" w:rsidR="003E78AB" w:rsidRDefault="00010BF9">
            <w:pPr>
              <w:spacing w:line="360" w:lineRule="exact"/>
              <w:ind w:firstLineChars="0" w:firstLine="0"/>
              <w:contextualSpacing/>
              <w:jc w:val="center"/>
              <w:rPr>
                <w:bCs/>
                <w:sz w:val="21"/>
                <w:szCs w:val="21"/>
              </w:rPr>
            </w:pPr>
            <w:r>
              <w:rPr>
                <w:bCs/>
                <w:sz w:val="21"/>
                <w:szCs w:val="21"/>
              </w:rPr>
              <w:t>重金属、持久性有机物污染物</w:t>
            </w:r>
          </w:p>
        </w:tc>
        <w:tc>
          <w:tcPr>
            <w:tcW w:w="1554" w:type="pct"/>
            <w:vMerge/>
            <w:tcBorders>
              <w:top w:val="single" w:sz="4" w:space="0" w:color="auto"/>
              <w:left w:val="single" w:sz="4" w:space="0" w:color="auto"/>
              <w:bottom w:val="single" w:sz="4" w:space="0" w:color="auto"/>
              <w:right w:val="single" w:sz="4" w:space="0" w:color="auto"/>
            </w:tcBorders>
            <w:vAlign w:val="center"/>
          </w:tcPr>
          <w:p w14:paraId="44308787" w14:textId="77777777" w:rsidR="003E78AB" w:rsidRDefault="003E78AB">
            <w:pPr>
              <w:spacing w:line="360" w:lineRule="exact"/>
              <w:ind w:firstLineChars="0" w:firstLine="0"/>
              <w:contextualSpacing/>
              <w:jc w:val="center"/>
              <w:rPr>
                <w:bCs/>
                <w:sz w:val="21"/>
                <w:szCs w:val="21"/>
              </w:rPr>
            </w:pPr>
          </w:p>
        </w:tc>
      </w:tr>
      <w:tr w:rsidR="003E78AB" w14:paraId="7FC0FEFB" w14:textId="77777777">
        <w:trPr>
          <w:trHeight w:val="283"/>
          <w:jc w:val="center"/>
        </w:trPr>
        <w:tc>
          <w:tcPr>
            <w:tcW w:w="828" w:type="pct"/>
            <w:vMerge/>
            <w:tcBorders>
              <w:top w:val="single" w:sz="4" w:space="0" w:color="auto"/>
              <w:left w:val="single" w:sz="4" w:space="0" w:color="auto"/>
              <w:bottom w:val="single" w:sz="4" w:space="0" w:color="auto"/>
              <w:right w:val="single" w:sz="4" w:space="0" w:color="auto"/>
            </w:tcBorders>
            <w:vAlign w:val="center"/>
          </w:tcPr>
          <w:p w14:paraId="757A1813" w14:textId="77777777" w:rsidR="003E78AB" w:rsidRDefault="003E78AB">
            <w:pPr>
              <w:spacing w:line="360" w:lineRule="exact"/>
              <w:ind w:firstLineChars="0" w:firstLine="0"/>
              <w:contextualSpacing/>
              <w:jc w:val="center"/>
              <w:rPr>
                <w:bCs/>
                <w:sz w:val="21"/>
                <w:szCs w:val="21"/>
              </w:rPr>
            </w:pPr>
          </w:p>
        </w:tc>
        <w:tc>
          <w:tcPr>
            <w:tcW w:w="846" w:type="pct"/>
            <w:tcBorders>
              <w:top w:val="single" w:sz="4" w:space="0" w:color="auto"/>
              <w:left w:val="single" w:sz="4" w:space="0" w:color="auto"/>
              <w:bottom w:val="single" w:sz="4" w:space="0" w:color="auto"/>
              <w:right w:val="single" w:sz="4" w:space="0" w:color="auto"/>
            </w:tcBorders>
            <w:vAlign w:val="center"/>
          </w:tcPr>
          <w:p w14:paraId="67FA79CD"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强</w:t>
            </w:r>
          </w:p>
        </w:tc>
        <w:tc>
          <w:tcPr>
            <w:tcW w:w="770" w:type="pct"/>
            <w:tcBorders>
              <w:top w:val="single" w:sz="4" w:space="0" w:color="auto"/>
              <w:left w:val="single" w:sz="4" w:space="0" w:color="auto"/>
              <w:bottom w:val="single" w:sz="4" w:space="0" w:color="auto"/>
              <w:right w:val="single" w:sz="4" w:space="0" w:color="auto"/>
            </w:tcBorders>
            <w:vAlign w:val="center"/>
          </w:tcPr>
          <w:p w14:paraId="0F1F92B4"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易</w:t>
            </w:r>
          </w:p>
        </w:tc>
        <w:tc>
          <w:tcPr>
            <w:tcW w:w="1000" w:type="pct"/>
            <w:vMerge/>
            <w:tcBorders>
              <w:top w:val="single" w:sz="4" w:space="0" w:color="auto"/>
              <w:left w:val="single" w:sz="4" w:space="0" w:color="auto"/>
              <w:bottom w:val="single" w:sz="4" w:space="0" w:color="auto"/>
              <w:right w:val="single" w:sz="4" w:space="0" w:color="auto"/>
            </w:tcBorders>
            <w:vAlign w:val="center"/>
          </w:tcPr>
          <w:p w14:paraId="494BC614" w14:textId="77777777" w:rsidR="003E78AB" w:rsidRDefault="003E78AB">
            <w:pPr>
              <w:spacing w:line="360" w:lineRule="exact"/>
              <w:ind w:firstLineChars="0" w:firstLine="0"/>
              <w:contextualSpacing/>
              <w:jc w:val="center"/>
              <w:rPr>
                <w:bCs/>
                <w:sz w:val="21"/>
                <w:szCs w:val="21"/>
                <w:lang w:eastAsia="en-US"/>
              </w:rPr>
            </w:pPr>
          </w:p>
        </w:tc>
        <w:tc>
          <w:tcPr>
            <w:tcW w:w="1554" w:type="pct"/>
            <w:vMerge/>
            <w:tcBorders>
              <w:top w:val="single" w:sz="4" w:space="0" w:color="auto"/>
              <w:left w:val="single" w:sz="4" w:space="0" w:color="auto"/>
              <w:bottom w:val="single" w:sz="4" w:space="0" w:color="auto"/>
              <w:right w:val="single" w:sz="4" w:space="0" w:color="auto"/>
            </w:tcBorders>
            <w:vAlign w:val="center"/>
          </w:tcPr>
          <w:p w14:paraId="7AFABA10" w14:textId="77777777" w:rsidR="003E78AB" w:rsidRDefault="003E78AB">
            <w:pPr>
              <w:spacing w:line="360" w:lineRule="exact"/>
              <w:ind w:firstLineChars="0" w:firstLine="0"/>
              <w:contextualSpacing/>
              <w:jc w:val="center"/>
              <w:rPr>
                <w:bCs/>
                <w:sz w:val="21"/>
                <w:szCs w:val="21"/>
                <w:lang w:eastAsia="en-US"/>
              </w:rPr>
            </w:pPr>
          </w:p>
        </w:tc>
      </w:tr>
      <w:tr w:rsidR="003E78AB" w14:paraId="366D265F" w14:textId="77777777">
        <w:trPr>
          <w:trHeight w:val="283"/>
          <w:jc w:val="center"/>
        </w:trPr>
        <w:tc>
          <w:tcPr>
            <w:tcW w:w="828" w:type="pct"/>
            <w:tcBorders>
              <w:top w:val="single" w:sz="4" w:space="0" w:color="auto"/>
              <w:left w:val="single" w:sz="4" w:space="0" w:color="auto"/>
              <w:bottom w:val="single" w:sz="4" w:space="0" w:color="auto"/>
              <w:right w:val="single" w:sz="4" w:space="0" w:color="auto"/>
            </w:tcBorders>
            <w:vAlign w:val="center"/>
          </w:tcPr>
          <w:p w14:paraId="2A02D719"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简单防渗区</w:t>
            </w:r>
          </w:p>
        </w:tc>
        <w:tc>
          <w:tcPr>
            <w:tcW w:w="846" w:type="pct"/>
            <w:tcBorders>
              <w:top w:val="single" w:sz="4" w:space="0" w:color="auto"/>
              <w:left w:val="single" w:sz="4" w:space="0" w:color="auto"/>
              <w:bottom w:val="single" w:sz="4" w:space="0" w:color="auto"/>
              <w:right w:val="single" w:sz="4" w:space="0" w:color="auto"/>
            </w:tcBorders>
            <w:vAlign w:val="center"/>
          </w:tcPr>
          <w:p w14:paraId="4A02B3EC"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中</w:t>
            </w:r>
            <w:r>
              <w:rPr>
                <w:bCs/>
                <w:sz w:val="21"/>
                <w:szCs w:val="21"/>
                <w:lang w:eastAsia="en-US"/>
              </w:rPr>
              <w:t>-</w:t>
            </w:r>
            <w:r>
              <w:rPr>
                <w:bCs/>
                <w:sz w:val="21"/>
                <w:szCs w:val="21"/>
                <w:lang w:eastAsia="en-US"/>
              </w:rPr>
              <w:t>强</w:t>
            </w:r>
          </w:p>
        </w:tc>
        <w:tc>
          <w:tcPr>
            <w:tcW w:w="770" w:type="pct"/>
            <w:tcBorders>
              <w:top w:val="single" w:sz="4" w:space="0" w:color="auto"/>
              <w:left w:val="single" w:sz="4" w:space="0" w:color="auto"/>
              <w:bottom w:val="single" w:sz="4" w:space="0" w:color="auto"/>
              <w:right w:val="single" w:sz="4" w:space="0" w:color="auto"/>
            </w:tcBorders>
            <w:vAlign w:val="center"/>
          </w:tcPr>
          <w:p w14:paraId="64BD3668"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易</w:t>
            </w:r>
          </w:p>
        </w:tc>
        <w:tc>
          <w:tcPr>
            <w:tcW w:w="1000" w:type="pct"/>
            <w:tcBorders>
              <w:top w:val="single" w:sz="4" w:space="0" w:color="auto"/>
              <w:left w:val="single" w:sz="4" w:space="0" w:color="auto"/>
              <w:bottom w:val="single" w:sz="4" w:space="0" w:color="auto"/>
              <w:right w:val="single" w:sz="4" w:space="0" w:color="auto"/>
            </w:tcBorders>
            <w:vAlign w:val="center"/>
          </w:tcPr>
          <w:p w14:paraId="49DD0D2C"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其他类型</w:t>
            </w:r>
          </w:p>
        </w:tc>
        <w:tc>
          <w:tcPr>
            <w:tcW w:w="1554" w:type="pct"/>
            <w:tcBorders>
              <w:top w:val="single" w:sz="4" w:space="0" w:color="auto"/>
              <w:left w:val="single" w:sz="4" w:space="0" w:color="auto"/>
              <w:bottom w:val="single" w:sz="4" w:space="0" w:color="auto"/>
              <w:right w:val="single" w:sz="4" w:space="0" w:color="auto"/>
            </w:tcBorders>
            <w:vAlign w:val="center"/>
          </w:tcPr>
          <w:p w14:paraId="404F1F36" w14:textId="77777777" w:rsidR="003E78AB" w:rsidRDefault="00010BF9">
            <w:pPr>
              <w:spacing w:line="360" w:lineRule="exact"/>
              <w:ind w:firstLineChars="0" w:firstLine="0"/>
              <w:contextualSpacing/>
              <w:jc w:val="center"/>
              <w:rPr>
                <w:bCs/>
                <w:sz w:val="21"/>
                <w:szCs w:val="21"/>
                <w:lang w:eastAsia="en-US"/>
              </w:rPr>
            </w:pPr>
            <w:r>
              <w:rPr>
                <w:bCs/>
                <w:sz w:val="21"/>
                <w:szCs w:val="21"/>
                <w:lang w:eastAsia="en-US"/>
              </w:rPr>
              <w:t>一般地面硬化</w:t>
            </w:r>
          </w:p>
        </w:tc>
      </w:tr>
    </w:tbl>
    <w:p w14:paraId="1465D67E" w14:textId="77777777" w:rsidR="003E78AB" w:rsidRDefault="00010BF9">
      <w:pPr>
        <w:ind w:firstLine="482"/>
        <w:rPr>
          <w:b/>
          <w:bCs/>
          <w:kern w:val="28"/>
          <w:u w:val="single"/>
        </w:rPr>
      </w:pPr>
      <w:r>
        <w:rPr>
          <w:b/>
          <w:bCs/>
          <w:kern w:val="28"/>
          <w:u w:val="single"/>
        </w:rPr>
        <w:t>结合项目特点，项目拟建工程防渗工程分为重点防渗区、一般防渗区和简单防渗区</w:t>
      </w:r>
      <w:r>
        <w:rPr>
          <w:rFonts w:hint="eastAsia"/>
          <w:b/>
          <w:bCs/>
          <w:kern w:val="28"/>
          <w:u w:val="single"/>
        </w:rPr>
        <w:t>。本项目分区判定分析如下：</w:t>
      </w:r>
    </w:p>
    <w:p w14:paraId="21E25A4B" w14:textId="77777777" w:rsidR="003E78AB" w:rsidRDefault="00010BF9">
      <w:pPr>
        <w:ind w:firstLine="482"/>
        <w:rPr>
          <w:b/>
          <w:bCs/>
          <w:kern w:val="28"/>
          <w:u w:val="single"/>
        </w:rPr>
      </w:pPr>
      <w:r>
        <w:rPr>
          <w:b/>
          <w:bCs/>
          <w:kern w:val="28"/>
          <w:u w:val="single"/>
        </w:rPr>
        <w:t>1.</w:t>
      </w:r>
      <w:r>
        <w:rPr>
          <w:b/>
          <w:bCs/>
          <w:kern w:val="28"/>
          <w:u w:val="single"/>
        </w:rPr>
        <w:t>包气带防污性能分级</w:t>
      </w:r>
    </w:p>
    <w:p w14:paraId="03AEC3C5" w14:textId="77777777" w:rsidR="003E78AB" w:rsidRDefault="00010BF9">
      <w:pPr>
        <w:ind w:firstLine="482"/>
        <w:rPr>
          <w:b/>
          <w:bCs/>
          <w:kern w:val="28"/>
          <w:u w:val="single"/>
        </w:rPr>
      </w:pPr>
      <w:r>
        <w:rPr>
          <w:b/>
          <w:bCs/>
          <w:kern w:val="28"/>
          <w:u w:val="single"/>
        </w:rPr>
        <w:t>岩性特征：项目区包气带位于第四系松散冲洪积层，岩性以亚砂土、含砾亚砂土为主（渗透系数为</w:t>
      </w:r>
      <w:r>
        <w:rPr>
          <w:b/>
          <w:bCs/>
          <w:kern w:val="28"/>
          <w:u w:val="single"/>
        </w:rPr>
        <w:t>4~6m/d</w:t>
      </w:r>
      <w:r>
        <w:rPr>
          <w:b/>
          <w:bCs/>
          <w:kern w:val="28"/>
          <w:u w:val="single"/>
        </w:rPr>
        <w:t>，即约</w:t>
      </w:r>
      <w:r>
        <w:rPr>
          <w:b/>
          <w:bCs/>
          <w:kern w:val="28"/>
          <w:u w:val="single"/>
        </w:rPr>
        <w:t>4.63×10</w:t>
      </w:r>
      <w:r>
        <w:rPr>
          <w:b/>
          <w:bCs/>
          <w:kern w:val="28"/>
          <w:u w:val="single"/>
          <w:vertAlign w:val="superscript"/>
        </w:rPr>
        <w:t>−</w:t>
      </w:r>
      <w:r>
        <w:rPr>
          <w:b/>
          <w:bCs/>
          <w:kern w:val="28"/>
          <w:u w:val="single"/>
          <w:vertAlign w:val="superscript"/>
        </w:rPr>
        <w:t>3</w:t>
      </w:r>
      <w:r>
        <w:rPr>
          <w:b/>
          <w:bCs/>
          <w:kern w:val="28"/>
          <w:u w:val="single"/>
        </w:rPr>
        <w:t>∼6.94×10</w:t>
      </w:r>
      <w:r>
        <w:rPr>
          <w:b/>
          <w:bCs/>
          <w:kern w:val="28"/>
          <w:u w:val="single"/>
          <w:vertAlign w:val="superscript"/>
        </w:rPr>
        <w:t>−</w:t>
      </w:r>
      <w:r>
        <w:rPr>
          <w:b/>
          <w:bCs/>
          <w:kern w:val="28"/>
          <w:u w:val="single"/>
          <w:vertAlign w:val="superscript"/>
        </w:rPr>
        <w:t>3</w:t>
      </w:r>
      <w:r>
        <w:rPr>
          <w:b/>
          <w:bCs/>
          <w:kern w:val="28"/>
          <w:u w:val="single"/>
        </w:rPr>
        <w:t>cm/s</w:t>
      </w:r>
      <w:r>
        <w:rPr>
          <w:b/>
          <w:bCs/>
          <w:kern w:val="28"/>
          <w:u w:val="single"/>
        </w:rPr>
        <w:t>）。判定依据：对照《天然包气带防污性能分级参照表》：渗透系数</w:t>
      </w:r>
      <w:r>
        <w:rPr>
          <w:rFonts w:hint="eastAsia"/>
          <w:b/>
          <w:bCs/>
          <w:kern w:val="28"/>
          <w:u w:val="single"/>
        </w:rPr>
        <w:t>大于</w:t>
      </w:r>
      <w:r>
        <w:rPr>
          <w:b/>
          <w:bCs/>
          <w:kern w:val="28"/>
          <w:u w:val="single"/>
        </w:rPr>
        <w:t>超</w:t>
      </w:r>
      <w:r>
        <w:rPr>
          <w:b/>
          <w:bCs/>
          <w:kern w:val="28"/>
          <w:u w:val="single"/>
        </w:rPr>
        <w:t>“</w:t>
      </w:r>
      <w:r>
        <w:rPr>
          <w:b/>
          <w:bCs/>
          <w:kern w:val="28"/>
          <w:u w:val="single"/>
        </w:rPr>
        <w:t>强</w:t>
      </w:r>
      <w:r>
        <w:rPr>
          <w:b/>
          <w:bCs/>
          <w:kern w:val="28"/>
          <w:u w:val="single"/>
        </w:rPr>
        <w:t>”</w:t>
      </w:r>
      <w:r>
        <w:rPr>
          <w:b/>
          <w:bCs/>
          <w:kern w:val="28"/>
          <w:u w:val="single"/>
        </w:rPr>
        <w:t>（</w:t>
      </w:r>
      <w:r>
        <w:rPr>
          <w:b/>
          <w:bCs/>
          <w:kern w:val="28"/>
          <w:u w:val="single"/>
        </w:rPr>
        <w:t>K≤1×10</w:t>
      </w:r>
      <w:r>
        <w:rPr>
          <w:b/>
          <w:bCs/>
          <w:kern w:val="28"/>
          <w:u w:val="single"/>
          <w:vertAlign w:val="superscript"/>
        </w:rPr>
        <w:t>−</w:t>
      </w:r>
      <w:r>
        <w:rPr>
          <w:b/>
          <w:bCs/>
          <w:kern w:val="28"/>
          <w:u w:val="single"/>
          <w:vertAlign w:val="superscript"/>
        </w:rPr>
        <w:t>6</w:t>
      </w:r>
      <w:r>
        <w:rPr>
          <w:b/>
          <w:bCs/>
          <w:kern w:val="28"/>
          <w:u w:val="single"/>
        </w:rPr>
        <w:t>cm/s</w:t>
      </w:r>
      <w:r>
        <w:rPr>
          <w:b/>
          <w:bCs/>
          <w:kern w:val="28"/>
          <w:u w:val="single"/>
        </w:rPr>
        <w:t>）和</w:t>
      </w:r>
      <w:r>
        <w:rPr>
          <w:b/>
          <w:bCs/>
          <w:kern w:val="28"/>
          <w:u w:val="single"/>
        </w:rPr>
        <w:t>“</w:t>
      </w:r>
      <w:r>
        <w:rPr>
          <w:b/>
          <w:bCs/>
          <w:kern w:val="28"/>
          <w:u w:val="single"/>
        </w:rPr>
        <w:t>中</w:t>
      </w:r>
      <w:r>
        <w:rPr>
          <w:b/>
          <w:bCs/>
          <w:kern w:val="28"/>
          <w:u w:val="single"/>
        </w:rPr>
        <w:t>”</w:t>
      </w:r>
      <w:r>
        <w:rPr>
          <w:b/>
          <w:bCs/>
          <w:kern w:val="28"/>
          <w:u w:val="single"/>
        </w:rPr>
        <w:t>（</w:t>
      </w:r>
      <w:r>
        <w:rPr>
          <w:b/>
          <w:bCs/>
          <w:kern w:val="28"/>
          <w:u w:val="single"/>
        </w:rPr>
        <w:t>K≤1×10</w:t>
      </w:r>
      <w:r>
        <w:rPr>
          <w:b/>
          <w:bCs/>
          <w:kern w:val="28"/>
          <w:u w:val="single"/>
          <w:vertAlign w:val="superscript"/>
        </w:rPr>
        <w:t>−</w:t>
      </w:r>
      <w:r>
        <w:rPr>
          <w:b/>
          <w:bCs/>
          <w:kern w:val="28"/>
          <w:u w:val="single"/>
          <w:vertAlign w:val="superscript"/>
        </w:rPr>
        <w:t>4</w:t>
      </w:r>
      <w:r>
        <w:rPr>
          <w:b/>
          <w:bCs/>
          <w:kern w:val="28"/>
          <w:u w:val="single"/>
        </w:rPr>
        <w:t>cm/s</w:t>
      </w:r>
      <w:r>
        <w:rPr>
          <w:b/>
          <w:bCs/>
          <w:kern w:val="28"/>
          <w:u w:val="single"/>
        </w:rPr>
        <w:t>）的限值要求。岩性为松散砂土，不满足</w:t>
      </w:r>
      <w:r>
        <w:rPr>
          <w:b/>
          <w:bCs/>
          <w:kern w:val="28"/>
          <w:u w:val="single"/>
        </w:rPr>
        <w:t>“</w:t>
      </w:r>
      <w:r>
        <w:rPr>
          <w:b/>
          <w:bCs/>
          <w:kern w:val="28"/>
          <w:u w:val="single"/>
        </w:rPr>
        <w:t>强</w:t>
      </w:r>
      <w:r>
        <w:rPr>
          <w:b/>
          <w:bCs/>
          <w:kern w:val="28"/>
          <w:u w:val="single"/>
        </w:rPr>
        <w:t>”</w:t>
      </w:r>
      <w:r>
        <w:rPr>
          <w:b/>
          <w:bCs/>
          <w:kern w:val="28"/>
          <w:u w:val="single"/>
        </w:rPr>
        <w:t>或</w:t>
      </w:r>
      <w:r>
        <w:rPr>
          <w:b/>
          <w:bCs/>
          <w:kern w:val="28"/>
          <w:u w:val="single"/>
        </w:rPr>
        <w:t>“</w:t>
      </w:r>
      <w:r>
        <w:rPr>
          <w:b/>
          <w:bCs/>
          <w:kern w:val="28"/>
          <w:u w:val="single"/>
        </w:rPr>
        <w:t>中</w:t>
      </w:r>
      <w:r>
        <w:rPr>
          <w:b/>
          <w:bCs/>
          <w:kern w:val="28"/>
          <w:u w:val="single"/>
        </w:rPr>
        <w:t>”</w:t>
      </w:r>
      <w:r>
        <w:rPr>
          <w:b/>
          <w:bCs/>
          <w:kern w:val="28"/>
          <w:u w:val="single"/>
        </w:rPr>
        <w:t>的连续稳定条件。</w:t>
      </w:r>
    </w:p>
    <w:p w14:paraId="62990BD8" w14:textId="77777777" w:rsidR="003E78AB" w:rsidRDefault="00010BF9">
      <w:pPr>
        <w:ind w:firstLine="482"/>
        <w:rPr>
          <w:b/>
          <w:bCs/>
          <w:kern w:val="28"/>
          <w:u w:val="single"/>
        </w:rPr>
      </w:pPr>
      <w:r>
        <w:rPr>
          <w:rFonts w:hint="eastAsia"/>
          <w:b/>
          <w:bCs/>
          <w:kern w:val="28"/>
          <w:u w:val="single"/>
        </w:rPr>
        <w:t>因此，</w:t>
      </w:r>
      <w:r>
        <w:rPr>
          <w:b/>
          <w:bCs/>
          <w:kern w:val="28"/>
          <w:u w:val="single"/>
        </w:rPr>
        <w:t>包气带防污性能为弱。</w:t>
      </w:r>
    </w:p>
    <w:p w14:paraId="24684EEA" w14:textId="77777777" w:rsidR="003E78AB" w:rsidRDefault="00010BF9">
      <w:pPr>
        <w:ind w:firstLine="482"/>
        <w:rPr>
          <w:b/>
          <w:bCs/>
          <w:kern w:val="28"/>
          <w:u w:val="single"/>
        </w:rPr>
      </w:pPr>
      <w:r>
        <w:rPr>
          <w:b/>
          <w:bCs/>
          <w:kern w:val="28"/>
          <w:u w:val="single"/>
        </w:rPr>
        <w:t>2.</w:t>
      </w:r>
      <w:r>
        <w:rPr>
          <w:b/>
          <w:bCs/>
          <w:kern w:val="28"/>
          <w:u w:val="single"/>
        </w:rPr>
        <w:t>污染控制难易程度分级</w:t>
      </w:r>
    </w:p>
    <w:p w14:paraId="50A81AA2" w14:textId="77777777" w:rsidR="003E78AB" w:rsidRDefault="00010BF9">
      <w:pPr>
        <w:ind w:firstLine="482"/>
        <w:rPr>
          <w:b/>
          <w:bCs/>
          <w:kern w:val="28"/>
          <w:u w:val="single"/>
        </w:rPr>
      </w:pPr>
      <w:r>
        <w:rPr>
          <w:b/>
          <w:bCs/>
          <w:kern w:val="28"/>
          <w:u w:val="single"/>
        </w:rPr>
        <w:t>对照《污染控制难易程度分级参照表》</w:t>
      </w:r>
      <w:r>
        <w:rPr>
          <w:rFonts w:hint="eastAsia"/>
          <w:b/>
          <w:bCs/>
          <w:kern w:val="28"/>
          <w:u w:val="single"/>
        </w:rPr>
        <w:t>，</w:t>
      </w:r>
      <w:r>
        <w:rPr>
          <w:b/>
          <w:bCs/>
          <w:kern w:val="28"/>
          <w:u w:val="single"/>
        </w:rPr>
        <w:t>污染物为重金属（钒）</w:t>
      </w:r>
      <w:r>
        <w:rPr>
          <w:rFonts w:hint="eastAsia"/>
          <w:b/>
          <w:bCs/>
          <w:kern w:val="28"/>
          <w:u w:val="single"/>
        </w:rPr>
        <w:t>、</w:t>
      </w:r>
      <w:r>
        <w:rPr>
          <w:b/>
          <w:bCs/>
          <w:kern w:val="28"/>
          <w:u w:val="single"/>
        </w:rPr>
        <w:t>高浓度磷酸盐</w:t>
      </w:r>
      <w:r>
        <w:rPr>
          <w:rFonts w:hint="eastAsia"/>
          <w:b/>
          <w:bCs/>
          <w:kern w:val="28"/>
          <w:u w:val="single"/>
        </w:rPr>
        <w:t>等</w:t>
      </w:r>
      <w:r>
        <w:rPr>
          <w:b/>
          <w:bCs/>
          <w:kern w:val="28"/>
          <w:u w:val="single"/>
        </w:rPr>
        <w:t>，泄漏后通过包气带缓慢下渗至地下水，无法实时监测且难以及时处置。</w:t>
      </w:r>
    </w:p>
    <w:p w14:paraId="5C129875" w14:textId="77777777" w:rsidR="003E78AB" w:rsidRDefault="00010BF9">
      <w:pPr>
        <w:ind w:firstLine="482"/>
        <w:rPr>
          <w:b/>
          <w:bCs/>
          <w:kern w:val="28"/>
          <w:u w:val="single"/>
        </w:rPr>
      </w:pPr>
      <w:r>
        <w:rPr>
          <w:rFonts w:hint="eastAsia"/>
          <w:b/>
          <w:bCs/>
          <w:kern w:val="28"/>
          <w:u w:val="single"/>
        </w:rPr>
        <w:t>因此，</w:t>
      </w:r>
      <w:r>
        <w:rPr>
          <w:b/>
          <w:bCs/>
          <w:kern w:val="28"/>
          <w:u w:val="single"/>
        </w:rPr>
        <w:t>污染控制难易程度为难。</w:t>
      </w:r>
    </w:p>
    <w:p w14:paraId="506FB804" w14:textId="77777777" w:rsidR="003E78AB" w:rsidRDefault="00010BF9">
      <w:pPr>
        <w:ind w:firstLine="482"/>
        <w:rPr>
          <w:b/>
          <w:bCs/>
          <w:kern w:val="28"/>
          <w:u w:val="single"/>
        </w:rPr>
      </w:pPr>
      <w:r>
        <w:rPr>
          <w:b/>
          <w:bCs/>
          <w:kern w:val="28"/>
          <w:u w:val="single"/>
        </w:rPr>
        <w:t>3.</w:t>
      </w:r>
      <w:r>
        <w:rPr>
          <w:b/>
          <w:bCs/>
          <w:kern w:val="28"/>
          <w:u w:val="single"/>
        </w:rPr>
        <w:t>污染物类型</w:t>
      </w:r>
    </w:p>
    <w:p w14:paraId="68F3406D" w14:textId="77777777" w:rsidR="003E78AB" w:rsidRDefault="00010BF9">
      <w:pPr>
        <w:ind w:firstLine="482"/>
        <w:rPr>
          <w:b/>
          <w:bCs/>
          <w:kern w:val="28"/>
          <w:u w:val="single"/>
        </w:rPr>
      </w:pPr>
      <w:r>
        <w:rPr>
          <w:b/>
          <w:bCs/>
          <w:kern w:val="28"/>
          <w:u w:val="single"/>
        </w:rPr>
        <w:t>特征污染物为</w:t>
      </w:r>
      <w:r>
        <w:rPr>
          <w:b/>
          <w:bCs/>
          <w:kern w:val="28"/>
          <w:u w:val="single"/>
        </w:rPr>
        <w:t xml:space="preserve"> </w:t>
      </w:r>
      <w:r>
        <w:rPr>
          <w:b/>
          <w:bCs/>
          <w:kern w:val="28"/>
          <w:u w:val="single"/>
        </w:rPr>
        <w:t>钒（重金属）</w:t>
      </w:r>
      <w:r>
        <w:rPr>
          <w:rFonts w:hint="eastAsia"/>
          <w:b/>
          <w:bCs/>
          <w:kern w:val="28"/>
          <w:u w:val="single"/>
        </w:rPr>
        <w:t>、</w:t>
      </w:r>
      <w:r>
        <w:rPr>
          <w:b/>
          <w:bCs/>
          <w:kern w:val="28"/>
          <w:u w:val="single"/>
        </w:rPr>
        <w:t>磷酸盐</w:t>
      </w:r>
      <w:r>
        <w:rPr>
          <w:rFonts w:hint="eastAsia"/>
          <w:b/>
          <w:bCs/>
          <w:kern w:val="28"/>
          <w:u w:val="single"/>
        </w:rPr>
        <w:t>和硫酸盐</w:t>
      </w:r>
      <w:r>
        <w:rPr>
          <w:b/>
          <w:bCs/>
          <w:kern w:val="28"/>
          <w:u w:val="single"/>
        </w:rPr>
        <w:t>（其他类别），均属《地下水污染防渗分区参照表》中明确的重点防控污染物。</w:t>
      </w:r>
    </w:p>
    <w:p w14:paraId="56FB80AB" w14:textId="77777777" w:rsidR="003E78AB" w:rsidRDefault="00010BF9">
      <w:pPr>
        <w:ind w:firstLine="482"/>
        <w:rPr>
          <w:b/>
          <w:bCs/>
          <w:kern w:val="28"/>
          <w:u w:val="single"/>
        </w:rPr>
      </w:pPr>
      <w:r>
        <w:rPr>
          <w:rFonts w:hint="eastAsia"/>
          <w:b/>
          <w:bCs/>
          <w:kern w:val="28"/>
          <w:u w:val="single"/>
        </w:rPr>
        <w:t>因此将危险废物暂存间、生产车间一（含淋洗塔区域）、液体库、丙类仓库一、二、事故水池及初期雨水池、生产车间二（预留）、环保设施（预留）设为重点防渗区。</w:t>
      </w:r>
    </w:p>
    <w:p w14:paraId="09840F9E" w14:textId="77777777" w:rsidR="003E78AB" w:rsidRDefault="00010BF9">
      <w:pPr>
        <w:ind w:firstLine="480"/>
        <w:rPr>
          <w:kern w:val="28"/>
        </w:rPr>
      </w:pPr>
      <w:r>
        <w:rPr>
          <w:kern w:val="28"/>
        </w:rPr>
        <w:t>分区防渗详情见</w:t>
      </w:r>
      <w:r>
        <w:rPr>
          <w:kern w:val="28"/>
        </w:rPr>
        <w:fldChar w:fldCharType="begin"/>
      </w:r>
      <w:r>
        <w:rPr>
          <w:kern w:val="28"/>
        </w:rPr>
        <w:instrText xml:space="preserve"> REF _Ref28609 \r \h </w:instrText>
      </w:r>
      <w:r>
        <w:rPr>
          <w:kern w:val="28"/>
        </w:rPr>
      </w:r>
      <w:r>
        <w:rPr>
          <w:kern w:val="28"/>
        </w:rPr>
        <w:fldChar w:fldCharType="separate"/>
      </w:r>
      <w:r>
        <w:rPr>
          <w:kern w:val="28"/>
        </w:rPr>
        <w:t>表</w:t>
      </w:r>
      <w:r>
        <w:rPr>
          <w:kern w:val="28"/>
        </w:rPr>
        <w:t>5-63</w:t>
      </w:r>
      <w:r>
        <w:rPr>
          <w:kern w:val="28"/>
        </w:rPr>
        <w:fldChar w:fldCharType="end"/>
      </w:r>
      <w:r>
        <w:rPr>
          <w:kern w:val="28"/>
        </w:rPr>
        <w:t>。分区防渗图见</w:t>
      </w:r>
      <w:r>
        <w:rPr>
          <w:rFonts w:hint="eastAsia"/>
          <w:kern w:val="28"/>
        </w:rPr>
        <w:t>附图</w:t>
      </w:r>
      <w:r>
        <w:rPr>
          <w:rFonts w:hint="eastAsia"/>
          <w:kern w:val="28"/>
        </w:rPr>
        <w:t>10</w:t>
      </w:r>
      <w:r>
        <w:rPr>
          <w:kern w:val="28"/>
        </w:rPr>
        <w:t>。</w:t>
      </w:r>
    </w:p>
    <w:p w14:paraId="2A57DEAA" w14:textId="77777777" w:rsidR="003E78AB" w:rsidRDefault="00010BF9">
      <w:pPr>
        <w:pStyle w:val="a4"/>
        <w:spacing w:before="120"/>
        <w:ind w:left="425" w:hanging="425"/>
      </w:pPr>
      <w:bookmarkStart w:id="389" w:name="_Ref28609"/>
      <w:r>
        <w:t>拟建项目分区防渗要求表</w:t>
      </w:r>
      <w:bookmarkEnd w:id="38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12"/>
        <w:gridCol w:w="5007"/>
      </w:tblGrid>
      <w:tr w:rsidR="003E78AB" w14:paraId="2EC08DB6" w14:textId="77777777">
        <w:trPr>
          <w:trHeight w:val="283"/>
          <w:tblHeader/>
          <w:jc w:val="center"/>
        </w:trPr>
        <w:tc>
          <w:tcPr>
            <w:tcW w:w="1406" w:type="pct"/>
            <w:vAlign w:val="center"/>
          </w:tcPr>
          <w:p w14:paraId="0805F76D"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主要环节</w:t>
            </w:r>
          </w:p>
        </w:tc>
        <w:tc>
          <w:tcPr>
            <w:tcW w:w="653" w:type="pct"/>
            <w:vAlign w:val="center"/>
          </w:tcPr>
          <w:p w14:paraId="67F1D801"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防渗级别</w:t>
            </w:r>
          </w:p>
        </w:tc>
        <w:tc>
          <w:tcPr>
            <w:tcW w:w="2940" w:type="pct"/>
            <w:vAlign w:val="center"/>
          </w:tcPr>
          <w:p w14:paraId="43F87C2C"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防渗要求</w:t>
            </w:r>
          </w:p>
        </w:tc>
      </w:tr>
      <w:tr w:rsidR="003E78AB" w14:paraId="272D4730" w14:textId="77777777">
        <w:trPr>
          <w:trHeight w:val="283"/>
          <w:jc w:val="center"/>
        </w:trPr>
        <w:tc>
          <w:tcPr>
            <w:tcW w:w="1406" w:type="pct"/>
            <w:vAlign w:val="center"/>
          </w:tcPr>
          <w:p w14:paraId="2C093DE9" w14:textId="77777777" w:rsidR="003E78AB" w:rsidRDefault="00010BF9">
            <w:pPr>
              <w:spacing w:line="360" w:lineRule="exact"/>
              <w:ind w:firstLineChars="0" w:firstLine="0"/>
              <w:contextualSpacing/>
              <w:jc w:val="center"/>
              <w:rPr>
                <w:bCs/>
                <w:sz w:val="21"/>
                <w:szCs w:val="21"/>
              </w:rPr>
            </w:pPr>
            <w:r>
              <w:rPr>
                <w:bCs/>
                <w:sz w:val="21"/>
                <w:szCs w:val="21"/>
              </w:rPr>
              <w:t>危险废物暂存间</w:t>
            </w:r>
          </w:p>
        </w:tc>
        <w:tc>
          <w:tcPr>
            <w:tcW w:w="653" w:type="pct"/>
            <w:vAlign w:val="center"/>
          </w:tcPr>
          <w:p w14:paraId="7998CF5C" w14:textId="77777777" w:rsidR="003E78AB" w:rsidRDefault="00010BF9">
            <w:pPr>
              <w:spacing w:line="360" w:lineRule="exact"/>
              <w:ind w:firstLineChars="0" w:firstLine="0"/>
              <w:contextualSpacing/>
              <w:jc w:val="center"/>
              <w:rPr>
                <w:bCs/>
                <w:sz w:val="21"/>
                <w:szCs w:val="21"/>
              </w:rPr>
            </w:pPr>
            <w:r>
              <w:rPr>
                <w:bCs/>
                <w:sz w:val="21"/>
                <w:szCs w:val="21"/>
              </w:rPr>
              <w:t>重点防渗区</w:t>
            </w:r>
          </w:p>
        </w:tc>
        <w:tc>
          <w:tcPr>
            <w:tcW w:w="2940" w:type="pct"/>
            <w:vAlign w:val="center"/>
          </w:tcPr>
          <w:p w14:paraId="7657F3B4" w14:textId="77777777" w:rsidR="003E78AB" w:rsidRDefault="00010BF9">
            <w:pPr>
              <w:spacing w:line="360" w:lineRule="exact"/>
              <w:ind w:firstLineChars="0" w:firstLine="0"/>
              <w:contextualSpacing/>
              <w:jc w:val="left"/>
              <w:rPr>
                <w:bCs/>
                <w:sz w:val="21"/>
                <w:szCs w:val="21"/>
              </w:rPr>
            </w:pPr>
            <w:r>
              <w:rPr>
                <w:bCs/>
                <w:sz w:val="21"/>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bCs/>
                <w:sz w:val="21"/>
                <w:szCs w:val="21"/>
              </w:rPr>
              <w:t>1m</w:t>
            </w:r>
            <w:r>
              <w:rPr>
                <w:bCs/>
                <w:sz w:val="21"/>
                <w:szCs w:val="21"/>
              </w:rPr>
              <w:t>厚粘土层（渗透系数</w:t>
            </w:r>
            <w:r>
              <w:rPr>
                <w:bCs/>
                <w:sz w:val="21"/>
                <w:szCs w:val="21"/>
              </w:rPr>
              <w:t>≤10</w:t>
            </w:r>
            <w:r>
              <w:rPr>
                <w:bCs/>
                <w:sz w:val="21"/>
                <w:szCs w:val="21"/>
                <w:vertAlign w:val="superscript"/>
              </w:rPr>
              <w:t>-7</w:t>
            </w:r>
            <w:r>
              <w:rPr>
                <w:bCs/>
                <w:sz w:val="21"/>
                <w:szCs w:val="21"/>
              </w:rPr>
              <w:t>cm/s</w:t>
            </w:r>
            <w:r>
              <w:rPr>
                <w:bCs/>
                <w:sz w:val="21"/>
                <w:szCs w:val="21"/>
              </w:rPr>
              <w:t>），或</w:t>
            </w:r>
            <w:r>
              <w:rPr>
                <w:bCs/>
                <w:sz w:val="21"/>
                <w:szCs w:val="21"/>
              </w:rPr>
              <w:t>2mm</w:t>
            </w:r>
            <w:r>
              <w:rPr>
                <w:bCs/>
                <w:sz w:val="21"/>
                <w:szCs w:val="21"/>
              </w:rPr>
              <w:t>厚高密度聚乙烯，或至少</w:t>
            </w:r>
            <w:r>
              <w:rPr>
                <w:bCs/>
                <w:sz w:val="21"/>
                <w:szCs w:val="21"/>
              </w:rPr>
              <w:t>2mm</w:t>
            </w:r>
            <w:r>
              <w:rPr>
                <w:bCs/>
                <w:sz w:val="21"/>
                <w:szCs w:val="21"/>
              </w:rPr>
              <w:t>厚的其他人工材料，渗透系数</w:t>
            </w:r>
            <w:r>
              <w:rPr>
                <w:bCs/>
                <w:sz w:val="21"/>
                <w:szCs w:val="21"/>
              </w:rPr>
              <w:t>≤10</w:t>
            </w:r>
            <w:r>
              <w:rPr>
                <w:bCs/>
                <w:sz w:val="21"/>
                <w:szCs w:val="21"/>
                <w:vertAlign w:val="superscript"/>
              </w:rPr>
              <w:t>-10</w:t>
            </w:r>
            <w:r>
              <w:rPr>
                <w:bCs/>
                <w:sz w:val="21"/>
                <w:szCs w:val="21"/>
              </w:rPr>
              <w:t>cm/s</w:t>
            </w:r>
            <w:r>
              <w:rPr>
                <w:rFonts w:hint="eastAsia"/>
                <w:bCs/>
                <w:sz w:val="21"/>
                <w:szCs w:val="21"/>
              </w:rPr>
              <w:t>。</w:t>
            </w:r>
          </w:p>
        </w:tc>
      </w:tr>
      <w:tr w:rsidR="003E78AB" w14:paraId="0A3A2797" w14:textId="77777777">
        <w:trPr>
          <w:trHeight w:val="283"/>
          <w:jc w:val="center"/>
        </w:trPr>
        <w:tc>
          <w:tcPr>
            <w:tcW w:w="1406" w:type="pct"/>
            <w:vAlign w:val="center"/>
          </w:tcPr>
          <w:p w14:paraId="0F10CD97" w14:textId="77777777" w:rsidR="003E78AB" w:rsidRDefault="00010BF9">
            <w:pPr>
              <w:spacing w:line="360" w:lineRule="exact"/>
              <w:ind w:firstLineChars="0" w:firstLine="0"/>
              <w:contextualSpacing/>
              <w:jc w:val="center"/>
              <w:rPr>
                <w:bCs/>
                <w:sz w:val="21"/>
                <w:szCs w:val="21"/>
              </w:rPr>
            </w:pPr>
            <w:r>
              <w:rPr>
                <w:bCs/>
                <w:sz w:val="21"/>
                <w:szCs w:val="21"/>
              </w:rPr>
              <w:t>生产车间一</w:t>
            </w:r>
            <w:r>
              <w:rPr>
                <w:rFonts w:hint="eastAsia"/>
                <w:bCs/>
                <w:sz w:val="21"/>
                <w:szCs w:val="21"/>
              </w:rPr>
              <w:t>（含淋洗塔区域）</w:t>
            </w:r>
          </w:p>
        </w:tc>
        <w:tc>
          <w:tcPr>
            <w:tcW w:w="653" w:type="pct"/>
            <w:vMerge w:val="restart"/>
            <w:vAlign w:val="center"/>
          </w:tcPr>
          <w:p w14:paraId="12ABC278" w14:textId="77777777" w:rsidR="003E78AB" w:rsidRDefault="00010BF9">
            <w:pPr>
              <w:spacing w:line="360" w:lineRule="exact"/>
              <w:ind w:firstLineChars="0" w:firstLine="0"/>
              <w:contextualSpacing/>
              <w:jc w:val="center"/>
              <w:rPr>
                <w:bCs/>
                <w:sz w:val="21"/>
                <w:szCs w:val="21"/>
              </w:rPr>
            </w:pPr>
            <w:r>
              <w:rPr>
                <w:bCs/>
                <w:sz w:val="21"/>
                <w:szCs w:val="21"/>
              </w:rPr>
              <w:t>重点防渗区</w:t>
            </w:r>
          </w:p>
        </w:tc>
        <w:tc>
          <w:tcPr>
            <w:tcW w:w="2940" w:type="pct"/>
            <w:vMerge w:val="restart"/>
            <w:vAlign w:val="center"/>
          </w:tcPr>
          <w:p w14:paraId="62503A4D" w14:textId="77777777" w:rsidR="003E78AB" w:rsidRDefault="00010BF9">
            <w:pPr>
              <w:spacing w:line="360" w:lineRule="exact"/>
              <w:ind w:firstLineChars="0" w:firstLine="0"/>
              <w:contextualSpacing/>
              <w:jc w:val="left"/>
              <w:rPr>
                <w:bCs/>
                <w:sz w:val="21"/>
                <w:szCs w:val="21"/>
              </w:rPr>
            </w:pPr>
            <w:r>
              <w:rPr>
                <w:bCs/>
                <w:sz w:val="21"/>
                <w:szCs w:val="21"/>
              </w:rPr>
              <w:t>①</w:t>
            </w:r>
            <w:r>
              <w:rPr>
                <w:bCs/>
                <w:sz w:val="21"/>
                <w:szCs w:val="21"/>
              </w:rPr>
              <w:t>各单元防渗工程的设计使用年限不低于构筑物的设计使用年限。</w:t>
            </w:r>
          </w:p>
          <w:p w14:paraId="3AD98B77" w14:textId="77777777" w:rsidR="003E78AB" w:rsidRDefault="00010BF9">
            <w:pPr>
              <w:spacing w:line="360" w:lineRule="exact"/>
              <w:ind w:firstLineChars="0" w:firstLine="0"/>
              <w:contextualSpacing/>
              <w:jc w:val="left"/>
              <w:rPr>
                <w:bCs/>
                <w:sz w:val="21"/>
                <w:szCs w:val="21"/>
              </w:rPr>
            </w:pPr>
            <w:r>
              <w:rPr>
                <w:bCs/>
                <w:sz w:val="21"/>
                <w:szCs w:val="21"/>
              </w:rPr>
              <w:t>②</w:t>
            </w:r>
            <w:r>
              <w:rPr>
                <w:bCs/>
                <w:sz w:val="21"/>
                <w:szCs w:val="21"/>
              </w:rPr>
              <w:t>防渗性能黏土厚度应不小于</w:t>
            </w:r>
            <w:r>
              <w:rPr>
                <w:bCs/>
                <w:sz w:val="21"/>
                <w:szCs w:val="21"/>
              </w:rPr>
              <w:t>1.0m</w:t>
            </w:r>
            <w:r>
              <w:rPr>
                <w:bCs/>
                <w:sz w:val="21"/>
                <w:szCs w:val="21"/>
              </w:rPr>
              <w:t>，且经压实、人工改性等措施处理后的饱和渗透系数不应大于</w:t>
            </w:r>
            <w:r>
              <w:rPr>
                <w:bCs/>
                <w:sz w:val="21"/>
                <w:szCs w:val="21"/>
              </w:rPr>
              <w:t>1.0×10</w:t>
            </w:r>
            <w:r>
              <w:rPr>
                <w:bCs/>
                <w:sz w:val="21"/>
                <w:szCs w:val="21"/>
                <w:vertAlign w:val="superscript"/>
              </w:rPr>
              <w:t>-7</w:t>
            </w:r>
            <w:r>
              <w:rPr>
                <w:bCs/>
                <w:sz w:val="21"/>
                <w:szCs w:val="21"/>
              </w:rPr>
              <w:t>cm/s</w:t>
            </w:r>
            <w:r>
              <w:rPr>
                <w:bCs/>
                <w:sz w:val="21"/>
                <w:szCs w:val="21"/>
              </w:rPr>
              <w:t>。人工合成材料应采用高密度聚乙烯膜，厚度不小于</w:t>
            </w:r>
            <w:r>
              <w:rPr>
                <w:bCs/>
                <w:sz w:val="21"/>
                <w:szCs w:val="21"/>
              </w:rPr>
              <w:t>2mm</w:t>
            </w:r>
            <w:r>
              <w:rPr>
                <w:bCs/>
                <w:sz w:val="21"/>
                <w:szCs w:val="21"/>
              </w:rPr>
              <w:t>，并满足</w:t>
            </w:r>
            <w:r>
              <w:rPr>
                <w:bCs/>
                <w:sz w:val="21"/>
                <w:szCs w:val="21"/>
              </w:rPr>
              <w:t>GB/T17643</w:t>
            </w:r>
            <w:r>
              <w:rPr>
                <w:bCs/>
                <w:sz w:val="21"/>
                <w:szCs w:val="21"/>
              </w:rPr>
              <w:t>规定的技术指标要求。采用其他人工合成材料的，其防渗性能至少相当于</w:t>
            </w:r>
            <w:r>
              <w:rPr>
                <w:bCs/>
                <w:sz w:val="21"/>
                <w:szCs w:val="21"/>
              </w:rPr>
              <w:t>2mm</w:t>
            </w:r>
            <w:r>
              <w:rPr>
                <w:bCs/>
                <w:sz w:val="21"/>
                <w:szCs w:val="21"/>
              </w:rPr>
              <w:t>高密度聚乙烯膜的防渗性能。</w:t>
            </w:r>
          </w:p>
          <w:p w14:paraId="46C838DC" w14:textId="77777777" w:rsidR="003E78AB" w:rsidRDefault="00010BF9">
            <w:pPr>
              <w:spacing w:line="360" w:lineRule="exact"/>
              <w:ind w:firstLineChars="0" w:firstLine="0"/>
              <w:contextualSpacing/>
              <w:jc w:val="left"/>
              <w:rPr>
                <w:bCs/>
                <w:sz w:val="21"/>
                <w:szCs w:val="21"/>
              </w:rPr>
            </w:pPr>
            <w:r>
              <w:rPr>
                <w:bCs/>
                <w:sz w:val="21"/>
                <w:szCs w:val="21"/>
              </w:rPr>
              <w:t>③</w:t>
            </w:r>
            <w:r>
              <w:rPr>
                <w:bCs/>
                <w:sz w:val="21"/>
                <w:szCs w:val="21"/>
              </w:rPr>
              <w:t>防渗、防腐材料应覆盖所有可能与废物及其渗出液等接触的构筑物表面，并采用与之相适应的防渗、防腐结构</w:t>
            </w:r>
            <w:r>
              <w:rPr>
                <w:rFonts w:hint="eastAsia"/>
                <w:bCs/>
                <w:sz w:val="21"/>
                <w:szCs w:val="21"/>
              </w:rPr>
              <w:t>。</w:t>
            </w:r>
          </w:p>
        </w:tc>
      </w:tr>
      <w:tr w:rsidR="003E78AB" w14:paraId="02457633" w14:textId="77777777">
        <w:trPr>
          <w:trHeight w:val="283"/>
          <w:jc w:val="center"/>
        </w:trPr>
        <w:tc>
          <w:tcPr>
            <w:tcW w:w="1406" w:type="pct"/>
            <w:vAlign w:val="center"/>
          </w:tcPr>
          <w:p w14:paraId="740D9342" w14:textId="77777777" w:rsidR="003E78AB" w:rsidRDefault="00010BF9">
            <w:pPr>
              <w:spacing w:line="360" w:lineRule="exact"/>
              <w:ind w:firstLineChars="0" w:firstLine="0"/>
              <w:contextualSpacing/>
              <w:jc w:val="center"/>
              <w:rPr>
                <w:bCs/>
                <w:sz w:val="21"/>
                <w:szCs w:val="21"/>
              </w:rPr>
            </w:pPr>
            <w:r>
              <w:rPr>
                <w:rFonts w:hint="eastAsia"/>
                <w:bCs/>
                <w:sz w:val="21"/>
                <w:szCs w:val="21"/>
              </w:rPr>
              <w:t>液体库</w:t>
            </w:r>
          </w:p>
        </w:tc>
        <w:tc>
          <w:tcPr>
            <w:tcW w:w="653" w:type="pct"/>
            <w:vMerge/>
            <w:vAlign w:val="center"/>
          </w:tcPr>
          <w:p w14:paraId="47D74F26"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2A044E88" w14:textId="77777777" w:rsidR="003E78AB" w:rsidRDefault="003E78AB">
            <w:pPr>
              <w:spacing w:line="360" w:lineRule="exact"/>
              <w:ind w:firstLineChars="0" w:firstLine="0"/>
              <w:contextualSpacing/>
              <w:jc w:val="left"/>
              <w:rPr>
                <w:bCs/>
                <w:sz w:val="21"/>
                <w:szCs w:val="21"/>
              </w:rPr>
            </w:pPr>
          </w:p>
        </w:tc>
      </w:tr>
      <w:tr w:rsidR="003E78AB" w14:paraId="52930038" w14:textId="77777777">
        <w:trPr>
          <w:trHeight w:val="283"/>
          <w:jc w:val="center"/>
        </w:trPr>
        <w:tc>
          <w:tcPr>
            <w:tcW w:w="1406" w:type="pct"/>
            <w:vAlign w:val="center"/>
          </w:tcPr>
          <w:p w14:paraId="3DD43E3F" w14:textId="77777777" w:rsidR="003E78AB" w:rsidRDefault="00010BF9">
            <w:pPr>
              <w:spacing w:line="360" w:lineRule="exact"/>
              <w:ind w:firstLineChars="0" w:firstLine="0"/>
              <w:contextualSpacing/>
              <w:jc w:val="center"/>
              <w:rPr>
                <w:bCs/>
                <w:sz w:val="21"/>
                <w:szCs w:val="21"/>
              </w:rPr>
            </w:pPr>
            <w:r>
              <w:rPr>
                <w:bCs/>
                <w:sz w:val="21"/>
                <w:szCs w:val="21"/>
              </w:rPr>
              <w:t>丙类仓库一</w:t>
            </w:r>
            <w:r>
              <w:rPr>
                <w:rFonts w:hint="eastAsia"/>
                <w:bCs/>
                <w:sz w:val="21"/>
                <w:szCs w:val="21"/>
              </w:rPr>
              <w:t>、二</w:t>
            </w:r>
          </w:p>
        </w:tc>
        <w:tc>
          <w:tcPr>
            <w:tcW w:w="653" w:type="pct"/>
            <w:vMerge/>
            <w:vAlign w:val="center"/>
          </w:tcPr>
          <w:p w14:paraId="1264C7D1"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3F5247A3" w14:textId="77777777" w:rsidR="003E78AB" w:rsidRDefault="003E78AB">
            <w:pPr>
              <w:spacing w:line="360" w:lineRule="exact"/>
              <w:ind w:firstLineChars="0" w:firstLine="0"/>
              <w:contextualSpacing/>
              <w:jc w:val="left"/>
              <w:rPr>
                <w:bCs/>
                <w:sz w:val="21"/>
                <w:szCs w:val="21"/>
              </w:rPr>
            </w:pPr>
          </w:p>
        </w:tc>
      </w:tr>
      <w:tr w:rsidR="003E78AB" w14:paraId="25E45441" w14:textId="77777777">
        <w:trPr>
          <w:trHeight w:val="283"/>
          <w:jc w:val="center"/>
        </w:trPr>
        <w:tc>
          <w:tcPr>
            <w:tcW w:w="1406" w:type="pct"/>
            <w:vAlign w:val="center"/>
          </w:tcPr>
          <w:p w14:paraId="6C7C5389" w14:textId="77777777" w:rsidR="003E78AB" w:rsidRDefault="00010BF9">
            <w:pPr>
              <w:spacing w:line="360" w:lineRule="exact"/>
              <w:ind w:firstLineChars="0" w:firstLine="0"/>
              <w:contextualSpacing/>
              <w:jc w:val="center"/>
              <w:rPr>
                <w:bCs/>
                <w:sz w:val="21"/>
                <w:szCs w:val="21"/>
              </w:rPr>
            </w:pPr>
            <w:r>
              <w:rPr>
                <w:bCs/>
                <w:sz w:val="21"/>
                <w:szCs w:val="21"/>
              </w:rPr>
              <w:t>事故水池及</w:t>
            </w:r>
            <w:r>
              <w:rPr>
                <w:rFonts w:hint="eastAsia"/>
                <w:bCs/>
                <w:sz w:val="21"/>
                <w:szCs w:val="21"/>
              </w:rPr>
              <w:t>初期</w:t>
            </w:r>
            <w:r>
              <w:rPr>
                <w:bCs/>
                <w:sz w:val="21"/>
                <w:szCs w:val="21"/>
              </w:rPr>
              <w:t>雨水池</w:t>
            </w:r>
          </w:p>
        </w:tc>
        <w:tc>
          <w:tcPr>
            <w:tcW w:w="653" w:type="pct"/>
            <w:vMerge/>
            <w:vAlign w:val="center"/>
          </w:tcPr>
          <w:p w14:paraId="789D9DE3"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51BEF5B0" w14:textId="77777777" w:rsidR="003E78AB" w:rsidRDefault="003E78AB">
            <w:pPr>
              <w:spacing w:line="360" w:lineRule="exact"/>
              <w:ind w:firstLineChars="0" w:firstLine="0"/>
              <w:contextualSpacing/>
              <w:jc w:val="left"/>
              <w:rPr>
                <w:bCs/>
                <w:sz w:val="21"/>
                <w:szCs w:val="21"/>
              </w:rPr>
            </w:pPr>
          </w:p>
        </w:tc>
      </w:tr>
      <w:tr w:rsidR="003E78AB" w14:paraId="154C65A0" w14:textId="77777777">
        <w:trPr>
          <w:trHeight w:val="283"/>
          <w:jc w:val="center"/>
        </w:trPr>
        <w:tc>
          <w:tcPr>
            <w:tcW w:w="1406" w:type="pct"/>
            <w:vAlign w:val="center"/>
          </w:tcPr>
          <w:p w14:paraId="438109FE" w14:textId="77777777" w:rsidR="003E78AB" w:rsidRDefault="00010BF9">
            <w:pPr>
              <w:spacing w:line="360" w:lineRule="exact"/>
              <w:ind w:firstLineChars="0" w:firstLine="0"/>
              <w:contextualSpacing/>
              <w:jc w:val="center"/>
              <w:rPr>
                <w:bCs/>
                <w:sz w:val="21"/>
                <w:szCs w:val="21"/>
              </w:rPr>
            </w:pPr>
            <w:r>
              <w:rPr>
                <w:rFonts w:hint="eastAsia"/>
                <w:bCs/>
                <w:sz w:val="21"/>
                <w:szCs w:val="21"/>
              </w:rPr>
              <w:t>生产车间二（预留）、环保设施（预留）</w:t>
            </w:r>
          </w:p>
        </w:tc>
        <w:tc>
          <w:tcPr>
            <w:tcW w:w="653" w:type="pct"/>
            <w:vMerge/>
            <w:vAlign w:val="center"/>
          </w:tcPr>
          <w:p w14:paraId="486940F2"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08ED5E6E" w14:textId="77777777" w:rsidR="003E78AB" w:rsidRDefault="003E78AB">
            <w:pPr>
              <w:spacing w:line="360" w:lineRule="exact"/>
              <w:ind w:firstLineChars="0" w:firstLine="0"/>
              <w:contextualSpacing/>
              <w:jc w:val="left"/>
              <w:rPr>
                <w:bCs/>
                <w:sz w:val="21"/>
                <w:szCs w:val="21"/>
              </w:rPr>
            </w:pPr>
          </w:p>
        </w:tc>
      </w:tr>
      <w:tr w:rsidR="003E78AB" w14:paraId="37BBD6D7" w14:textId="77777777">
        <w:trPr>
          <w:trHeight w:val="283"/>
          <w:jc w:val="center"/>
        </w:trPr>
        <w:tc>
          <w:tcPr>
            <w:tcW w:w="1406" w:type="pct"/>
            <w:shd w:val="clear" w:color="auto" w:fill="auto"/>
            <w:vAlign w:val="center"/>
          </w:tcPr>
          <w:p w14:paraId="2EE35F6D" w14:textId="77777777" w:rsidR="003E78AB" w:rsidRDefault="00010BF9">
            <w:pPr>
              <w:spacing w:line="360" w:lineRule="exact"/>
              <w:ind w:firstLineChars="0" w:firstLine="0"/>
              <w:contextualSpacing/>
              <w:jc w:val="center"/>
              <w:rPr>
                <w:bCs/>
                <w:sz w:val="21"/>
                <w:szCs w:val="21"/>
              </w:rPr>
            </w:pPr>
            <w:r>
              <w:rPr>
                <w:rFonts w:hint="eastAsia"/>
                <w:bCs/>
                <w:sz w:val="21"/>
                <w:szCs w:val="21"/>
              </w:rPr>
              <w:t>机修车间</w:t>
            </w:r>
          </w:p>
        </w:tc>
        <w:tc>
          <w:tcPr>
            <w:tcW w:w="653" w:type="pct"/>
            <w:vMerge w:val="restart"/>
            <w:vAlign w:val="center"/>
          </w:tcPr>
          <w:p w14:paraId="63D0AA31" w14:textId="77777777" w:rsidR="003E78AB" w:rsidRDefault="00010BF9">
            <w:pPr>
              <w:spacing w:line="360" w:lineRule="exact"/>
              <w:ind w:firstLineChars="0" w:firstLine="0"/>
              <w:contextualSpacing/>
              <w:jc w:val="center"/>
              <w:rPr>
                <w:bCs/>
                <w:sz w:val="21"/>
                <w:szCs w:val="21"/>
              </w:rPr>
            </w:pPr>
            <w:r>
              <w:rPr>
                <w:bCs/>
                <w:sz w:val="21"/>
                <w:szCs w:val="21"/>
                <w:lang w:eastAsia="en-US"/>
              </w:rPr>
              <w:t>一般防渗区</w:t>
            </w:r>
          </w:p>
        </w:tc>
        <w:tc>
          <w:tcPr>
            <w:tcW w:w="2940" w:type="pct"/>
            <w:vMerge w:val="restart"/>
            <w:vAlign w:val="center"/>
          </w:tcPr>
          <w:p w14:paraId="571E1296" w14:textId="77777777" w:rsidR="003E78AB" w:rsidRDefault="00010BF9">
            <w:pPr>
              <w:spacing w:line="360" w:lineRule="exact"/>
              <w:ind w:firstLineChars="0" w:firstLine="0"/>
              <w:contextualSpacing/>
              <w:jc w:val="center"/>
              <w:rPr>
                <w:bCs/>
                <w:sz w:val="21"/>
                <w:szCs w:val="21"/>
              </w:rPr>
            </w:pPr>
            <w:r>
              <w:rPr>
                <w:bCs/>
                <w:sz w:val="21"/>
                <w:szCs w:val="21"/>
              </w:rPr>
              <w:t>防渗性能不低于</w:t>
            </w:r>
            <w:r>
              <w:rPr>
                <w:bCs/>
                <w:sz w:val="21"/>
                <w:szCs w:val="21"/>
              </w:rPr>
              <w:t>1.5m</w:t>
            </w:r>
            <w:r>
              <w:rPr>
                <w:bCs/>
                <w:sz w:val="21"/>
                <w:szCs w:val="21"/>
              </w:rPr>
              <w:t>厚，渗透系数为</w:t>
            </w:r>
            <w:r>
              <w:rPr>
                <w:bCs/>
                <w:sz w:val="21"/>
                <w:szCs w:val="21"/>
              </w:rPr>
              <w:t>1.0×10</w:t>
            </w:r>
            <w:r>
              <w:rPr>
                <w:bCs/>
                <w:sz w:val="21"/>
                <w:szCs w:val="21"/>
                <w:vertAlign w:val="superscript"/>
              </w:rPr>
              <w:t>-7</w:t>
            </w:r>
            <w:r>
              <w:rPr>
                <w:bCs/>
                <w:sz w:val="21"/>
                <w:szCs w:val="21"/>
              </w:rPr>
              <w:t>cm/s</w:t>
            </w:r>
            <w:r>
              <w:rPr>
                <w:bCs/>
                <w:sz w:val="21"/>
                <w:szCs w:val="21"/>
              </w:rPr>
              <w:t>的黏土层的防渗性能。</w:t>
            </w:r>
          </w:p>
        </w:tc>
      </w:tr>
      <w:tr w:rsidR="003E78AB" w14:paraId="0D74E432" w14:textId="77777777">
        <w:trPr>
          <w:trHeight w:val="283"/>
          <w:jc w:val="center"/>
        </w:trPr>
        <w:tc>
          <w:tcPr>
            <w:tcW w:w="1406" w:type="pct"/>
            <w:shd w:val="clear" w:color="auto" w:fill="auto"/>
            <w:vAlign w:val="center"/>
          </w:tcPr>
          <w:p w14:paraId="3C2DC17C" w14:textId="77777777" w:rsidR="003E78AB" w:rsidRDefault="00010BF9">
            <w:pPr>
              <w:spacing w:line="360" w:lineRule="exact"/>
              <w:ind w:firstLineChars="0" w:firstLine="0"/>
              <w:contextualSpacing/>
              <w:jc w:val="center"/>
              <w:rPr>
                <w:bCs/>
                <w:sz w:val="21"/>
                <w:szCs w:val="21"/>
              </w:rPr>
            </w:pPr>
            <w:r>
              <w:rPr>
                <w:rFonts w:hint="eastAsia"/>
                <w:bCs/>
                <w:sz w:val="21"/>
                <w:szCs w:val="21"/>
              </w:rPr>
              <w:t>动力车间</w:t>
            </w:r>
          </w:p>
        </w:tc>
        <w:tc>
          <w:tcPr>
            <w:tcW w:w="653" w:type="pct"/>
            <w:vMerge/>
            <w:vAlign w:val="center"/>
          </w:tcPr>
          <w:p w14:paraId="4264818C"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24CAA6FC" w14:textId="77777777" w:rsidR="003E78AB" w:rsidRDefault="003E78AB">
            <w:pPr>
              <w:spacing w:line="360" w:lineRule="exact"/>
              <w:ind w:firstLineChars="0" w:firstLine="0"/>
              <w:contextualSpacing/>
              <w:jc w:val="center"/>
              <w:rPr>
                <w:bCs/>
                <w:sz w:val="21"/>
                <w:szCs w:val="21"/>
              </w:rPr>
            </w:pPr>
          </w:p>
        </w:tc>
      </w:tr>
      <w:tr w:rsidR="003E78AB" w14:paraId="110C8C1A" w14:textId="77777777">
        <w:trPr>
          <w:trHeight w:val="283"/>
          <w:jc w:val="center"/>
        </w:trPr>
        <w:tc>
          <w:tcPr>
            <w:tcW w:w="1406" w:type="pct"/>
            <w:shd w:val="clear" w:color="auto" w:fill="auto"/>
            <w:vAlign w:val="center"/>
          </w:tcPr>
          <w:p w14:paraId="5863130D" w14:textId="77777777" w:rsidR="003E78AB" w:rsidRDefault="00010BF9">
            <w:pPr>
              <w:spacing w:line="360" w:lineRule="exact"/>
              <w:ind w:firstLineChars="0" w:firstLine="0"/>
              <w:contextualSpacing/>
              <w:jc w:val="center"/>
              <w:rPr>
                <w:bCs/>
                <w:sz w:val="21"/>
                <w:szCs w:val="21"/>
              </w:rPr>
            </w:pPr>
            <w:r>
              <w:rPr>
                <w:bCs/>
                <w:sz w:val="21"/>
                <w:szCs w:val="21"/>
              </w:rPr>
              <w:t>循环水系统</w:t>
            </w:r>
          </w:p>
        </w:tc>
        <w:tc>
          <w:tcPr>
            <w:tcW w:w="653" w:type="pct"/>
            <w:vMerge/>
            <w:vAlign w:val="center"/>
          </w:tcPr>
          <w:p w14:paraId="6BDEBF19"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5B561911" w14:textId="77777777" w:rsidR="003E78AB" w:rsidRDefault="003E78AB">
            <w:pPr>
              <w:spacing w:line="360" w:lineRule="exact"/>
              <w:ind w:firstLineChars="0" w:firstLine="0"/>
              <w:contextualSpacing/>
              <w:jc w:val="center"/>
              <w:rPr>
                <w:bCs/>
                <w:sz w:val="21"/>
                <w:szCs w:val="21"/>
              </w:rPr>
            </w:pPr>
          </w:p>
        </w:tc>
      </w:tr>
      <w:tr w:rsidR="003E78AB" w14:paraId="3AC32919" w14:textId="77777777">
        <w:trPr>
          <w:trHeight w:val="283"/>
          <w:jc w:val="center"/>
        </w:trPr>
        <w:tc>
          <w:tcPr>
            <w:tcW w:w="1406" w:type="pct"/>
            <w:shd w:val="clear" w:color="auto" w:fill="auto"/>
            <w:vAlign w:val="center"/>
          </w:tcPr>
          <w:p w14:paraId="29677CA4" w14:textId="77777777" w:rsidR="003E78AB" w:rsidRDefault="00010BF9">
            <w:pPr>
              <w:spacing w:line="360" w:lineRule="exact"/>
              <w:ind w:firstLineChars="0" w:firstLine="0"/>
              <w:contextualSpacing/>
              <w:jc w:val="center"/>
              <w:rPr>
                <w:bCs/>
                <w:sz w:val="21"/>
                <w:szCs w:val="21"/>
              </w:rPr>
            </w:pPr>
            <w:r>
              <w:rPr>
                <w:bCs/>
                <w:sz w:val="21"/>
                <w:szCs w:val="21"/>
              </w:rPr>
              <w:t>消防水系统</w:t>
            </w:r>
          </w:p>
        </w:tc>
        <w:tc>
          <w:tcPr>
            <w:tcW w:w="653" w:type="pct"/>
            <w:vMerge/>
            <w:vAlign w:val="center"/>
          </w:tcPr>
          <w:p w14:paraId="02256617" w14:textId="77777777" w:rsidR="003E78AB" w:rsidRDefault="003E78AB">
            <w:pPr>
              <w:spacing w:line="360" w:lineRule="exact"/>
              <w:ind w:firstLineChars="0" w:firstLine="0"/>
              <w:contextualSpacing/>
              <w:jc w:val="center"/>
              <w:rPr>
                <w:bCs/>
                <w:sz w:val="21"/>
                <w:szCs w:val="21"/>
                <w:lang w:eastAsia="en-US"/>
              </w:rPr>
            </w:pPr>
          </w:p>
        </w:tc>
        <w:tc>
          <w:tcPr>
            <w:tcW w:w="2940" w:type="pct"/>
            <w:vMerge/>
            <w:vAlign w:val="center"/>
          </w:tcPr>
          <w:p w14:paraId="6FCA30E8" w14:textId="77777777" w:rsidR="003E78AB" w:rsidRDefault="003E78AB">
            <w:pPr>
              <w:spacing w:line="360" w:lineRule="exact"/>
              <w:ind w:firstLineChars="0" w:firstLine="0"/>
              <w:contextualSpacing/>
              <w:jc w:val="center"/>
              <w:rPr>
                <w:bCs/>
                <w:sz w:val="21"/>
                <w:szCs w:val="21"/>
              </w:rPr>
            </w:pPr>
          </w:p>
        </w:tc>
      </w:tr>
      <w:tr w:rsidR="003E78AB" w14:paraId="16545A19" w14:textId="77777777">
        <w:trPr>
          <w:trHeight w:val="283"/>
          <w:jc w:val="center"/>
        </w:trPr>
        <w:tc>
          <w:tcPr>
            <w:tcW w:w="1406" w:type="pct"/>
            <w:vAlign w:val="center"/>
          </w:tcPr>
          <w:p w14:paraId="6C0C7560" w14:textId="77777777" w:rsidR="003E78AB" w:rsidRDefault="00010BF9">
            <w:pPr>
              <w:spacing w:line="360" w:lineRule="exact"/>
              <w:ind w:firstLineChars="0" w:firstLine="0"/>
              <w:contextualSpacing/>
              <w:jc w:val="center"/>
              <w:rPr>
                <w:bCs/>
                <w:sz w:val="21"/>
                <w:szCs w:val="21"/>
              </w:rPr>
            </w:pPr>
            <w:r>
              <w:rPr>
                <w:rFonts w:hint="eastAsia"/>
                <w:bCs/>
                <w:sz w:val="21"/>
                <w:szCs w:val="21"/>
              </w:rPr>
              <w:t>研发中心</w:t>
            </w:r>
          </w:p>
        </w:tc>
        <w:tc>
          <w:tcPr>
            <w:tcW w:w="653" w:type="pct"/>
            <w:vMerge/>
            <w:vAlign w:val="center"/>
          </w:tcPr>
          <w:p w14:paraId="34FFE726" w14:textId="77777777" w:rsidR="003E78AB" w:rsidRDefault="003E78AB">
            <w:pPr>
              <w:spacing w:line="360" w:lineRule="exact"/>
              <w:ind w:firstLineChars="0" w:firstLine="0"/>
              <w:contextualSpacing/>
              <w:jc w:val="center"/>
              <w:rPr>
                <w:bCs/>
                <w:sz w:val="21"/>
                <w:szCs w:val="21"/>
                <w:lang w:eastAsia="en-US"/>
              </w:rPr>
            </w:pPr>
          </w:p>
        </w:tc>
        <w:tc>
          <w:tcPr>
            <w:tcW w:w="2940" w:type="pct"/>
            <w:vMerge/>
            <w:vAlign w:val="center"/>
          </w:tcPr>
          <w:p w14:paraId="58537FA2" w14:textId="77777777" w:rsidR="003E78AB" w:rsidRDefault="003E78AB">
            <w:pPr>
              <w:spacing w:line="360" w:lineRule="exact"/>
              <w:ind w:firstLineChars="0" w:firstLine="0"/>
              <w:contextualSpacing/>
              <w:jc w:val="center"/>
              <w:rPr>
                <w:bCs/>
                <w:sz w:val="21"/>
                <w:szCs w:val="21"/>
              </w:rPr>
            </w:pPr>
          </w:p>
        </w:tc>
      </w:tr>
      <w:tr w:rsidR="003E78AB" w14:paraId="66D75488" w14:textId="77777777">
        <w:trPr>
          <w:trHeight w:val="283"/>
          <w:jc w:val="center"/>
        </w:trPr>
        <w:tc>
          <w:tcPr>
            <w:tcW w:w="1406" w:type="pct"/>
            <w:vAlign w:val="center"/>
          </w:tcPr>
          <w:p w14:paraId="3D11284E" w14:textId="77777777" w:rsidR="003E78AB" w:rsidRDefault="00010BF9">
            <w:pPr>
              <w:spacing w:line="360" w:lineRule="exact"/>
              <w:ind w:firstLineChars="0" w:firstLine="0"/>
              <w:contextualSpacing/>
              <w:jc w:val="center"/>
              <w:rPr>
                <w:bCs/>
                <w:sz w:val="21"/>
                <w:szCs w:val="21"/>
              </w:rPr>
            </w:pPr>
            <w:r>
              <w:rPr>
                <w:rFonts w:hint="eastAsia"/>
                <w:bCs/>
                <w:sz w:val="21"/>
                <w:szCs w:val="21"/>
              </w:rPr>
              <w:t>其他区域</w:t>
            </w:r>
          </w:p>
        </w:tc>
        <w:tc>
          <w:tcPr>
            <w:tcW w:w="653" w:type="pct"/>
            <w:vAlign w:val="center"/>
          </w:tcPr>
          <w:p w14:paraId="56440D27" w14:textId="77777777" w:rsidR="003E78AB" w:rsidRDefault="00010BF9">
            <w:pPr>
              <w:spacing w:line="360" w:lineRule="exact"/>
              <w:ind w:firstLineChars="0" w:firstLine="0"/>
              <w:contextualSpacing/>
              <w:jc w:val="center"/>
              <w:rPr>
                <w:bCs/>
                <w:sz w:val="21"/>
                <w:szCs w:val="21"/>
              </w:rPr>
            </w:pPr>
            <w:r>
              <w:rPr>
                <w:bCs/>
                <w:sz w:val="21"/>
                <w:szCs w:val="21"/>
              </w:rPr>
              <w:t>简单防渗区</w:t>
            </w:r>
          </w:p>
        </w:tc>
        <w:tc>
          <w:tcPr>
            <w:tcW w:w="2940" w:type="pct"/>
            <w:vAlign w:val="center"/>
          </w:tcPr>
          <w:p w14:paraId="0BB982B0" w14:textId="77777777" w:rsidR="003E78AB" w:rsidRDefault="00010BF9">
            <w:pPr>
              <w:spacing w:line="360" w:lineRule="exact"/>
              <w:ind w:firstLineChars="0" w:firstLine="0"/>
              <w:contextualSpacing/>
              <w:jc w:val="center"/>
              <w:rPr>
                <w:bCs/>
                <w:sz w:val="21"/>
                <w:szCs w:val="21"/>
              </w:rPr>
            </w:pPr>
            <w:r>
              <w:rPr>
                <w:bCs/>
                <w:sz w:val="21"/>
                <w:szCs w:val="21"/>
              </w:rPr>
              <w:t>简单硬化防渗</w:t>
            </w:r>
          </w:p>
        </w:tc>
      </w:tr>
    </w:tbl>
    <w:p w14:paraId="6DD2C0E4" w14:textId="77777777" w:rsidR="003E78AB" w:rsidRDefault="00010BF9">
      <w:pPr>
        <w:ind w:firstLine="480"/>
        <w:rPr>
          <w:kern w:val="28"/>
        </w:rPr>
      </w:pPr>
      <w:r>
        <w:rPr>
          <w:kern w:val="28"/>
        </w:rPr>
        <w:t>②</w:t>
      </w:r>
      <w:r>
        <w:rPr>
          <w:kern w:val="28"/>
        </w:rPr>
        <w:t>管理措施</w:t>
      </w:r>
    </w:p>
    <w:p w14:paraId="493EE2B7" w14:textId="77777777" w:rsidR="003E78AB" w:rsidRDefault="00010BF9">
      <w:pPr>
        <w:ind w:firstLine="480"/>
        <w:rPr>
          <w:kern w:val="28"/>
        </w:rPr>
      </w:pPr>
      <w:r>
        <w:rPr>
          <w:kern w:val="28"/>
        </w:rPr>
        <w:t>企业成立安环部，配套专业人员，定期对地下水环境管理及巡查，确保各防渗漏措施运行的长期性、稳定性和可靠性。</w:t>
      </w:r>
    </w:p>
    <w:p w14:paraId="0C8C51F0" w14:textId="77777777" w:rsidR="003E78AB" w:rsidRDefault="00010BF9">
      <w:pPr>
        <w:ind w:firstLine="480"/>
        <w:rPr>
          <w:kern w:val="28"/>
        </w:rPr>
      </w:pPr>
      <w:r>
        <w:rPr>
          <w:kern w:val="28"/>
        </w:rPr>
        <w:t>③</w:t>
      </w:r>
      <w:r>
        <w:rPr>
          <w:kern w:val="28"/>
        </w:rPr>
        <w:t>环境监测要求</w:t>
      </w:r>
    </w:p>
    <w:p w14:paraId="7E30144A" w14:textId="77777777" w:rsidR="003E78AB" w:rsidRDefault="00010BF9">
      <w:pPr>
        <w:ind w:firstLine="480"/>
        <w:rPr>
          <w:kern w:val="28"/>
        </w:rPr>
      </w:pPr>
      <w:r>
        <w:rPr>
          <w:kern w:val="28"/>
        </w:rPr>
        <w:t>项目根据《环境影响评价技术导则</w:t>
      </w:r>
      <w:r>
        <w:rPr>
          <w:rFonts w:hint="eastAsia"/>
          <w:kern w:val="28"/>
        </w:rPr>
        <w:t xml:space="preserve"> </w:t>
      </w:r>
      <w:r>
        <w:rPr>
          <w:kern w:val="28"/>
        </w:rPr>
        <w:t>地下水环境》（</w:t>
      </w:r>
      <w:r>
        <w:rPr>
          <w:kern w:val="28"/>
        </w:rPr>
        <w:t>HJ610-2016</w:t>
      </w:r>
      <w:r>
        <w:rPr>
          <w:kern w:val="28"/>
        </w:rPr>
        <w:t>）要求设置有地下水水质监控井，其分布情况见</w:t>
      </w:r>
      <w:r>
        <w:rPr>
          <w:kern w:val="28"/>
        </w:rPr>
        <w:fldChar w:fldCharType="begin"/>
      </w:r>
      <w:r>
        <w:rPr>
          <w:kern w:val="28"/>
        </w:rPr>
        <w:instrText xml:space="preserve"> REF _Ref30375 \r \h </w:instrText>
      </w:r>
      <w:r>
        <w:rPr>
          <w:kern w:val="28"/>
        </w:rPr>
      </w:r>
      <w:r>
        <w:rPr>
          <w:kern w:val="28"/>
        </w:rPr>
        <w:fldChar w:fldCharType="separate"/>
      </w:r>
      <w:r>
        <w:rPr>
          <w:kern w:val="28"/>
        </w:rPr>
        <w:t>表</w:t>
      </w:r>
      <w:r>
        <w:rPr>
          <w:kern w:val="28"/>
        </w:rPr>
        <w:t>5-64</w:t>
      </w:r>
      <w:r>
        <w:rPr>
          <w:kern w:val="28"/>
        </w:rPr>
        <w:fldChar w:fldCharType="end"/>
      </w:r>
      <w:r>
        <w:rPr>
          <w:kern w:val="28"/>
        </w:rPr>
        <w:t>。</w:t>
      </w:r>
    </w:p>
    <w:p w14:paraId="15874C41" w14:textId="77777777" w:rsidR="003E78AB" w:rsidRDefault="00010BF9">
      <w:pPr>
        <w:pStyle w:val="a4"/>
        <w:spacing w:before="120"/>
        <w:ind w:left="425" w:hanging="425"/>
      </w:pPr>
      <w:bookmarkStart w:id="390" w:name="_Ref30375"/>
      <w:r>
        <w:t>项目区地下水质量监控井概况一览表</w:t>
      </w:r>
      <w:bookmarkEnd w:id="390"/>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468"/>
        <w:gridCol w:w="3283"/>
        <w:gridCol w:w="2002"/>
        <w:gridCol w:w="1095"/>
      </w:tblGrid>
      <w:tr w:rsidR="003E78AB" w14:paraId="6F484E05" w14:textId="77777777">
        <w:trPr>
          <w:trHeight w:val="498"/>
          <w:tblHeader/>
        </w:trPr>
        <w:tc>
          <w:tcPr>
            <w:tcW w:w="391" w:type="pct"/>
            <w:tcBorders>
              <w:tl2br w:val="nil"/>
              <w:tr2bl w:val="nil"/>
            </w:tcBorders>
            <w:vAlign w:val="center"/>
          </w:tcPr>
          <w:p w14:paraId="02850659" w14:textId="77777777" w:rsidR="003E78AB" w:rsidRDefault="00010BF9">
            <w:pPr>
              <w:spacing w:line="360" w:lineRule="exact"/>
              <w:ind w:firstLineChars="0" w:firstLine="0"/>
              <w:contextualSpacing/>
              <w:jc w:val="center"/>
              <w:rPr>
                <w:b/>
                <w:sz w:val="21"/>
                <w:szCs w:val="21"/>
                <w:lang w:val="zh-CN"/>
              </w:rPr>
            </w:pPr>
            <w:r>
              <w:rPr>
                <w:b/>
                <w:sz w:val="21"/>
                <w:szCs w:val="21"/>
                <w:lang w:val="zh-CN"/>
              </w:rPr>
              <w:t>编号</w:t>
            </w:r>
          </w:p>
        </w:tc>
        <w:tc>
          <w:tcPr>
            <w:tcW w:w="862" w:type="pct"/>
            <w:tcBorders>
              <w:tl2br w:val="nil"/>
              <w:tr2bl w:val="nil"/>
            </w:tcBorders>
            <w:vAlign w:val="center"/>
          </w:tcPr>
          <w:p w14:paraId="445148AB" w14:textId="77777777" w:rsidR="003E78AB" w:rsidRDefault="00010BF9">
            <w:pPr>
              <w:spacing w:line="360" w:lineRule="exact"/>
              <w:ind w:firstLineChars="0" w:firstLine="0"/>
              <w:contextualSpacing/>
              <w:jc w:val="center"/>
              <w:rPr>
                <w:b/>
                <w:sz w:val="21"/>
                <w:szCs w:val="21"/>
                <w:lang w:val="zh-CN"/>
              </w:rPr>
            </w:pPr>
            <w:r>
              <w:rPr>
                <w:b/>
                <w:sz w:val="21"/>
                <w:szCs w:val="21"/>
                <w:lang w:val="zh-CN"/>
              </w:rPr>
              <w:t>方位</w:t>
            </w:r>
          </w:p>
        </w:tc>
        <w:tc>
          <w:tcPr>
            <w:tcW w:w="1928" w:type="pct"/>
            <w:tcBorders>
              <w:tl2br w:val="nil"/>
              <w:tr2bl w:val="nil"/>
            </w:tcBorders>
            <w:vAlign w:val="center"/>
          </w:tcPr>
          <w:p w14:paraId="7D5D94C6" w14:textId="77777777" w:rsidR="003E78AB" w:rsidRDefault="00010BF9">
            <w:pPr>
              <w:spacing w:line="360" w:lineRule="exact"/>
              <w:ind w:firstLineChars="0" w:firstLine="0"/>
              <w:contextualSpacing/>
              <w:jc w:val="center"/>
              <w:rPr>
                <w:b/>
                <w:sz w:val="21"/>
                <w:szCs w:val="21"/>
                <w:lang w:val="zh-CN"/>
              </w:rPr>
            </w:pPr>
            <w:r>
              <w:rPr>
                <w:b/>
                <w:sz w:val="21"/>
                <w:szCs w:val="21"/>
                <w:lang w:val="zh-CN"/>
              </w:rPr>
              <w:t>区域内地下水流场中位置关系</w:t>
            </w:r>
          </w:p>
        </w:tc>
        <w:tc>
          <w:tcPr>
            <w:tcW w:w="1176" w:type="pct"/>
            <w:tcBorders>
              <w:tl2br w:val="nil"/>
              <w:tr2bl w:val="nil"/>
            </w:tcBorders>
            <w:vAlign w:val="center"/>
          </w:tcPr>
          <w:p w14:paraId="0A2159CF" w14:textId="77777777" w:rsidR="003E78AB" w:rsidRDefault="00010BF9">
            <w:pPr>
              <w:spacing w:line="360" w:lineRule="exact"/>
              <w:ind w:firstLineChars="0" w:firstLine="0"/>
              <w:contextualSpacing/>
              <w:jc w:val="center"/>
              <w:rPr>
                <w:b/>
                <w:sz w:val="21"/>
                <w:szCs w:val="21"/>
              </w:rPr>
            </w:pPr>
            <w:r>
              <w:rPr>
                <w:b/>
                <w:sz w:val="21"/>
                <w:szCs w:val="21"/>
              </w:rPr>
              <w:t>功能</w:t>
            </w:r>
          </w:p>
        </w:tc>
        <w:tc>
          <w:tcPr>
            <w:tcW w:w="640" w:type="pct"/>
            <w:tcBorders>
              <w:tl2br w:val="nil"/>
              <w:tr2bl w:val="nil"/>
            </w:tcBorders>
            <w:vAlign w:val="center"/>
          </w:tcPr>
          <w:p w14:paraId="3C7F00A3" w14:textId="77777777" w:rsidR="003E78AB" w:rsidRDefault="00010BF9">
            <w:pPr>
              <w:spacing w:line="360" w:lineRule="exact"/>
              <w:ind w:firstLineChars="0" w:firstLine="0"/>
              <w:contextualSpacing/>
              <w:jc w:val="center"/>
              <w:rPr>
                <w:b/>
                <w:sz w:val="21"/>
                <w:szCs w:val="21"/>
              </w:rPr>
            </w:pPr>
            <w:r>
              <w:rPr>
                <w:b/>
                <w:sz w:val="21"/>
                <w:szCs w:val="21"/>
              </w:rPr>
              <w:t>监控水层</w:t>
            </w:r>
          </w:p>
        </w:tc>
      </w:tr>
      <w:tr w:rsidR="003E78AB" w14:paraId="6F9AD220" w14:textId="77777777">
        <w:trPr>
          <w:trHeight w:val="340"/>
        </w:trPr>
        <w:tc>
          <w:tcPr>
            <w:tcW w:w="391" w:type="pct"/>
            <w:tcBorders>
              <w:tl2br w:val="nil"/>
              <w:tr2bl w:val="nil"/>
            </w:tcBorders>
            <w:vAlign w:val="center"/>
          </w:tcPr>
          <w:p w14:paraId="43E609BB" w14:textId="77777777" w:rsidR="003E78AB" w:rsidRDefault="00010BF9">
            <w:pPr>
              <w:spacing w:line="360" w:lineRule="exact"/>
              <w:ind w:firstLineChars="0" w:firstLine="0"/>
              <w:contextualSpacing/>
              <w:jc w:val="center"/>
              <w:rPr>
                <w:bCs/>
                <w:sz w:val="21"/>
                <w:szCs w:val="21"/>
              </w:rPr>
            </w:pPr>
            <w:r>
              <w:rPr>
                <w:bCs/>
                <w:sz w:val="21"/>
                <w:szCs w:val="21"/>
              </w:rPr>
              <w:t>1#</w:t>
            </w:r>
          </w:p>
        </w:tc>
        <w:tc>
          <w:tcPr>
            <w:tcW w:w="862" w:type="pct"/>
            <w:tcBorders>
              <w:tl2br w:val="nil"/>
              <w:tr2bl w:val="nil"/>
            </w:tcBorders>
            <w:vAlign w:val="center"/>
          </w:tcPr>
          <w:p w14:paraId="6B1024C5" w14:textId="77777777" w:rsidR="003E78AB" w:rsidRDefault="00010BF9">
            <w:pPr>
              <w:spacing w:line="360" w:lineRule="exact"/>
              <w:ind w:firstLineChars="0" w:firstLine="0"/>
              <w:contextualSpacing/>
              <w:jc w:val="center"/>
              <w:rPr>
                <w:bCs/>
                <w:sz w:val="21"/>
                <w:szCs w:val="21"/>
                <w:lang w:val="zh-CN"/>
              </w:rPr>
            </w:pPr>
            <w:r>
              <w:rPr>
                <w:bCs/>
                <w:sz w:val="21"/>
                <w:szCs w:val="21"/>
                <w:lang w:val="zh-CN"/>
              </w:rPr>
              <w:t>厂区内</w:t>
            </w:r>
          </w:p>
        </w:tc>
        <w:tc>
          <w:tcPr>
            <w:tcW w:w="1928" w:type="pct"/>
            <w:tcBorders>
              <w:tl2br w:val="nil"/>
              <w:tr2bl w:val="nil"/>
            </w:tcBorders>
            <w:vAlign w:val="center"/>
          </w:tcPr>
          <w:p w14:paraId="655F9199" w14:textId="77777777" w:rsidR="003E78AB" w:rsidRDefault="00010BF9">
            <w:pPr>
              <w:spacing w:line="360" w:lineRule="exact"/>
              <w:ind w:firstLineChars="0" w:firstLine="0"/>
              <w:contextualSpacing/>
              <w:jc w:val="center"/>
              <w:rPr>
                <w:bCs/>
                <w:sz w:val="21"/>
                <w:szCs w:val="21"/>
                <w:lang w:val="zh-CN"/>
              </w:rPr>
            </w:pPr>
            <w:r>
              <w:rPr>
                <w:bCs/>
                <w:sz w:val="21"/>
                <w:szCs w:val="21"/>
                <w:lang w:val="zh-CN"/>
              </w:rPr>
              <w:t>/</w:t>
            </w:r>
          </w:p>
        </w:tc>
        <w:tc>
          <w:tcPr>
            <w:tcW w:w="1176" w:type="pct"/>
            <w:tcBorders>
              <w:tl2br w:val="nil"/>
              <w:tr2bl w:val="nil"/>
            </w:tcBorders>
            <w:vAlign w:val="center"/>
          </w:tcPr>
          <w:p w14:paraId="1E619A7D" w14:textId="77777777" w:rsidR="003E78AB" w:rsidRDefault="00010BF9">
            <w:pPr>
              <w:spacing w:line="360" w:lineRule="exact"/>
              <w:ind w:firstLineChars="0" w:firstLine="0"/>
              <w:contextualSpacing/>
              <w:jc w:val="center"/>
              <w:rPr>
                <w:bCs/>
                <w:sz w:val="21"/>
                <w:szCs w:val="21"/>
                <w:lang w:val="zh-CN"/>
              </w:rPr>
            </w:pPr>
            <w:r>
              <w:rPr>
                <w:bCs/>
                <w:sz w:val="21"/>
                <w:szCs w:val="21"/>
              </w:rPr>
              <w:t>污染跟踪监测井</w:t>
            </w:r>
          </w:p>
        </w:tc>
        <w:tc>
          <w:tcPr>
            <w:tcW w:w="640" w:type="pct"/>
            <w:vMerge w:val="restart"/>
            <w:tcBorders>
              <w:tl2br w:val="nil"/>
              <w:tr2bl w:val="nil"/>
            </w:tcBorders>
            <w:vAlign w:val="center"/>
          </w:tcPr>
          <w:p w14:paraId="21706336" w14:textId="77777777" w:rsidR="003E78AB" w:rsidRDefault="00010BF9">
            <w:pPr>
              <w:spacing w:line="360" w:lineRule="exact"/>
              <w:ind w:firstLineChars="0" w:firstLine="0"/>
              <w:contextualSpacing/>
              <w:jc w:val="center"/>
              <w:rPr>
                <w:bCs/>
                <w:sz w:val="21"/>
                <w:szCs w:val="21"/>
              </w:rPr>
            </w:pPr>
            <w:r>
              <w:rPr>
                <w:bCs/>
                <w:sz w:val="21"/>
                <w:szCs w:val="21"/>
              </w:rPr>
              <w:t>潜水层</w:t>
            </w:r>
          </w:p>
        </w:tc>
      </w:tr>
      <w:tr w:rsidR="003E78AB" w14:paraId="29741DA5" w14:textId="77777777">
        <w:trPr>
          <w:trHeight w:val="340"/>
        </w:trPr>
        <w:tc>
          <w:tcPr>
            <w:tcW w:w="391" w:type="pct"/>
            <w:tcBorders>
              <w:tl2br w:val="nil"/>
              <w:tr2bl w:val="nil"/>
            </w:tcBorders>
            <w:vAlign w:val="center"/>
          </w:tcPr>
          <w:p w14:paraId="217C08B8" w14:textId="77777777" w:rsidR="003E78AB" w:rsidRDefault="00010BF9">
            <w:pPr>
              <w:spacing w:line="360" w:lineRule="exact"/>
              <w:ind w:firstLineChars="0" w:firstLine="0"/>
              <w:contextualSpacing/>
              <w:jc w:val="center"/>
              <w:rPr>
                <w:bCs/>
                <w:sz w:val="21"/>
                <w:szCs w:val="21"/>
              </w:rPr>
            </w:pPr>
            <w:r>
              <w:rPr>
                <w:bCs/>
                <w:sz w:val="21"/>
                <w:szCs w:val="21"/>
              </w:rPr>
              <w:t>2#</w:t>
            </w:r>
          </w:p>
        </w:tc>
        <w:tc>
          <w:tcPr>
            <w:tcW w:w="862" w:type="pct"/>
            <w:tcBorders>
              <w:tl2br w:val="nil"/>
              <w:tr2bl w:val="nil"/>
            </w:tcBorders>
            <w:vAlign w:val="center"/>
          </w:tcPr>
          <w:p w14:paraId="2E672E52" w14:textId="77777777" w:rsidR="003E78AB" w:rsidRDefault="00010BF9">
            <w:pPr>
              <w:spacing w:line="360" w:lineRule="exact"/>
              <w:ind w:firstLineChars="0" w:firstLine="0"/>
              <w:contextualSpacing/>
              <w:jc w:val="center"/>
              <w:rPr>
                <w:bCs/>
                <w:sz w:val="21"/>
                <w:szCs w:val="21"/>
              </w:rPr>
            </w:pPr>
            <w:r>
              <w:rPr>
                <w:bCs/>
                <w:sz w:val="21"/>
                <w:szCs w:val="21"/>
                <w:lang w:val="zh-CN"/>
              </w:rPr>
              <w:t>厂区西南侧</w:t>
            </w:r>
          </w:p>
        </w:tc>
        <w:tc>
          <w:tcPr>
            <w:tcW w:w="1928" w:type="pct"/>
            <w:tcBorders>
              <w:tl2br w:val="nil"/>
              <w:tr2bl w:val="nil"/>
            </w:tcBorders>
            <w:vAlign w:val="center"/>
          </w:tcPr>
          <w:p w14:paraId="4768D176" w14:textId="77777777" w:rsidR="003E78AB" w:rsidRDefault="00010BF9">
            <w:pPr>
              <w:spacing w:line="360" w:lineRule="exact"/>
              <w:ind w:firstLineChars="0" w:firstLine="0"/>
              <w:contextualSpacing/>
              <w:jc w:val="center"/>
              <w:rPr>
                <w:bCs/>
                <w:sz w:val="21"/>
                <w:szCs w:val="21"/>
                <w:lang w:val="zh-CN"/>
              </w:rPr>
            </w:pPr>
            <w:r>
              <w:rPr>
                <w:bCs/>
                <w:sz w:val="21"/>
                <w:szCs w:val="21"/>
                <w:lang w:val="zh-CN"/>
              </w:rPr>
              <w:t>地下水下游方向</w:t>
            </w:r>
          </w:p>
        </w:tc>
        <w:tc>
          <w:tcPr>
            <w:tcW w:w="1176" w:type="pct"/>
            <w:tcBorders>
              <w:tl2br w:val="nil"/>
              <w:tr2bl w:val="nil"/>
            </w:tcBorders>
            <w:vAlign w:val="center"/>
          </w:tcPr>
          <w:p w14:paraId="1B387542" w14:textId="77777777" w:rsidR="003E78AB" w:rsidRDefault="00010BF9">
            <w:pPr>
              <w:spacing w:line="360" w:lineRule="exact"/>
              <w:ind w:firstLineChars="0" w:firstLine="0"/>
              <w:contextualSpacing/>
              <w:jc w:val="center"/>
              <w:rPr>
                <w:bCs/>
                <w:sz w:val="21"/>
                <w:szCs w:val="21"/>
              </w:rPr>
            </w:pPr>
            <w:r>
              <w:rPr>
                <w:bCs/>
                <w:sz w:val="21"/>
                <w:szCs w:val="21"/>
              </w:rPr>
              <w:t>污染扩散监测井</w:t>
            </w:r>
          </w:p>
        </w:tc>
        <w:tc>
          <w:tcPr>
            <w:tcW w:w="640" w:type="pct"/>
            <w:vMerge/>
            <w:tcBorders>
              <w:tl2br w:val="nil"/>
              <w:tr2bl w:val="nil"/>
            </w:tcBorders>
            <w:vAlign w:val="center"/>
          </w:tcPr>
          <w:p w14:paraId="5FF73333" w14:textId="77777777" w:rsidR="003E78AB" w:rsidRDefault="003E78AB">
            <w:pPr>
              <w:spacing w:line="240" w:lineRule="auto"/>
              <w:ind w:firstLine="420"/>
              <w:jc w:val="center"/>
              <w:rPr>
                <w:rFonts w:eastAsia="Noto Sans CJK JP Regular"/>
                <w:kern w:val="2"/>
                <w:sz w:val="21"/>
                <w:szCs w:val="21"/>
                <w:lang w:val="zh-CN" w:bidi="zh-CN"/>
              </w:rPr>
            </w:pPr>
          </w:p>
        </w:tc>
      </w:tr>
      <w:tr w:rsidR="003E78AB" w14:paraId="749D2077" w14:textId="77777777">
        <w:trPr>
          <w:trHeight w:val="340"/>
        </w:trPr>
        <w:tc>
          <w:tcPr>
            <w:tcW w:w="391" w:type="pct"/>
            <w:tcBorders>
              <w:tl2br w:val="nil"/>
              <w:tr2bl w:val="nil"/>
            </w:tcBorders>
            <w:vAlign w:val="center"/>
          </w:tcPr>
          <w:p w14:paraId="66A20EEB" w14:textId="77777777" w:rsidR="003E78AB" w:rsidRDefault="00010BF9">
            <w:pPr>
              <w:spacing w:line="360" w:lineRule="exact"/>
              <w:ind w:firstLineChars="0" w:firstLine="0"/>
              <w:contextualSpacing/>
              <w:jc w:val="center"/>
              <w:rPr>
                <w:bCs/>
                <w:sz w:val="21"/>
                <w:szCs w:val="21"/>
              </w:rPr>
            </w:pPr>
            <w:r>
              <w:rPr>
                <w:bCs/>
                <w:sz w:val="21"/>
                <w:szCs w:val="21"/>
              </w:rPr>
              <w:t>3#</w:t>
            </w:r>
          </w:p>
        </w:tc>
        <w:tc>
          <w:tcPr>
            <w:tcW w:w="862" w:type="pct"/>
            <w:tcBorders>
              <w:tl2br w:val="nil"/>
              <w:tr2bl w:val="nil"/>
            </w:tcBorders>
            <w:vAlign w:val="center"/>
          </w:tcPr>
          <w:p w14:paraId="72232E40" w14:textId="77777777" w:rsidR="003E78AB" w:rsidRDefault="00010BF9">
            <w:pPr>
              <w:spacing w:line="360" w:lineRule="exact"/>
              <w:ind w:firstLineChars="0" w:firstLine="0"/>
              <w:contextualSpacing/>
              <w:jc w:val="center"/>
              <w:rPr>
                <w:bCs/>
                <w:sz w:val="21"/>
                <w:szCs w:val="21"/>
              </w:rPr>
            </w:pPr>
            <w:r>
              <w:rPr>
                <w:bCs/>
                <w:sz w:val="21"/>
                <w:szCs w:val="21"/>
                <w:lang w:val="zh-CN"/>
              </w:rPr>
              <w:t>厂区东北侧</w:t>
            </w:r>
          </w:p>
        </w:tc>
        <w:tc>
          <w:tcPr>
            <w:tcW w:w="1928" w:type="pct"/>
            <w:tcBorders>
              <w:tl2br w:val="nil"/>
              <w:tr2bl w:val="nil"/>
            </w:tcBorders>
            <w:vAlign w:val="center"/>
          </w:tcPr>
          <w:p w14:paraId="4AB24822" w14:textId="77777777" w:rsidR="003E78AB" w:rsidRDefault="00010BF9">
            <w:pPr>
              <w:spacing w:line="360" w:lineRule="exact"/>
              <w:ind w:firstLineChars="0" w:firstLine="0"/>
              <w:contextualSpacing/>
              <w:jc w:val="center"/>
              <w:rPr>
                <w:bCs/>
                <w:sz w:val="21"/>
                <w:szCs w:val="21"/>
                <w:lang w:val="zh-CN"/>
              </w:rPr>
            </w:pPr>
            <w:r>
              <w:rPr>
                <w:bCs/>
                <w:sz w:val="21"/>
                <w:szCs w:val="21"/>
                <w:lang w:val="zh-CN"/>
              </w:rPr>
              <w:t>地下水上游方向</w:t>
            </w:r>
          </w:p>
        </w:tc>
        <w:tc>
          <w:tcPr>
            <w:tcW w:w="1176" w:type="pct"/>
            <w:tcBorders>
              <w:tl2br w:val="nil"/>
              <w:tr2bl w:val="nil"/>
            </w:tcBorders>
            <w:vAlign w:val="center"/>
          </w:tcPr>
          <w:p w14:paraId="348615FF" w14:textId="77777777" w:rsidR="003E78AB" w:rsidRDefault="00010BF9">
            <w:pPr>
              <w:spacing w:line="360" w:lineRule="exact"/>
              <w:ind w:firstLineChars="0" w:firstLine="0"/>
              <w:contextualSpacing/>
              <w:jc w:val="center"/>
              <w:rPr>
                <w:bCs/>
                <w:sz w:val="21"/>
                <w:szCs w:val="21"/>
              </w:rPr>
            </w:pPr>
            <w:r>
              <w:rPr>
                <w:bCs/>
                <w:sz w:val="21"/>
                <w:szCs w:val="21"/>
              </w:rPr>
              <w:t>背景值监测井</w:t>
            </w:r>
          </w:p>
        </w:tc>
        <w:tc>
          <w:tcPr>
            <w:tcW w:w="640" w:type="pct"/>
            <w:vMerge/>
            <w:tcBorders>
              <w:tl2br w:val="nil"/>
              <w:tr2bl w:val="nil"/>
            </w:tcBorders>
            <w:vAlign w:val="center"/>
          </w:tcPr>
          <w:p w14:paraId="1706A2B8" w14:textId="77777777" w:rsidR="003E78AB" w:rsidRDefault="003E78AB">
            <w:pPr>
              <w:spacing w:line="240" w:lineRule="auto"/>
              <w:ind w:firstLine="420"/>
              <w:jc w:val="center"/>
              <w:rPr>
                <w:rFonts w:eastAsia="Noto Sans CJK JP Regular"/>
                <w:kern w:val="2"/>
                <w:sz w:val="21"/>
                <w:szCs w:val="21"/>
                <w:lang w:val="zh-CN" w:bidi="zh-CN"/>
              </w:rPr>
            </w:pPr>
          </w:p>
        </w:tc>
      </w:tr>
      <w:tr w:rsidR="003E78AB" w14:paraId="79CA4B09" w14:textId="77777777">
        <w:trPr>
          <w:trHeight w:val="340"/>
        </w:trPr>
        <w:tc>
          <w:tcPr>
            <w:tcW w:w="5000" w:type="pct"/>
            <w:gridSpan w:val="5"/>
            <w:tcBorders>
              <w:tl2br w:val="nil"/>
              <w:tr2bl w:val="nil"/>
            </w:tcBorders>
            <w:vAlign w:val="center"/>
          </w:tcPr>
          <w:p w14:paraId="4AF37B34" w14:textId="77777777" w:rsidR="003E78AB" w:rsidRDefault="00010BF9">
            <w:pPr>
              <w:spacing w:line="240" w:lineRule="auto"/>
              <w:ind w:firstLineChars="0" w:firstLine="0"/>
              <w:rPr>
                <w:rFonts w:eastAsia="Noto Sans CJK JP Regular"/>
                <w:kern w:val="2"/>
                <w:sz w:val="21"/>
                <w:szCs w:val="21"/>
                <w:lang w:bidi="zh-CN"/>
              </w:rPr>
            </w:pPr>
            <w:r>
              <w:rPr>
                <w:rFonts w:eastAsia="Noto Sans CJK JP Regular" w:hint="eastAsia"/>
                <w:b/>
                <w:bCs/>
                <w:kern w:val="2"/>
                <w:sz w:val="21"/>
                <w:szCs w:val="21"/>
                <w:u w:val="single"/>
                <w:lang w:bidi="zh-CN"/>
              </w:rPr>
              <w:t>注：厂区内监控井须自行设置，背景井和下游井可依托周边企业设置的监控井。</w:t>
            </w:r>
          </w:p>
        </w:tc>
      </w:tr>
    </w:tbl>
    <w:p w14:paraId="60AD8D9B" w14:textId="77777777" w:rsidR="003E78AB" w:rsidRDefault="00010BF9">
      <w:pPr>
        <w:ind w:firstLine="480"/>
        <w:rPr>
          <w:kern w:val="28"/>
        </w:rPr>
      </w:pPr>
      <w:r>
        <w:rPr>
          <w:kern w:val="28"/>
        </w:rPr>
        <w:t>评价要求企业在运营过程中每年对地下水水质进行监测，监测结果应按工程有关规定及时建立档案，并抄送环境保护行政主管部门，对于常规检测数据应该进行公开，满足法律中关于知情权的要求。发现污染时，要及时进行处理，开展系统调查，并上报有关部门。</w:t>
      </w:r>
    </w:p>
    <w:p w14:paraId="7D1E5E87" w14:textId="77777777" w:rsidR="003E78AB" w:rsidRDefault="00010BF9">
      <w:pPr>
        <w:pStyle w:val="5"/>
        <w:keepNext w:val="0"/>
        <w:keepLines w:val="0"/>
        <w:ind w:firstLine="482"/>
        <w:rPr>
          <w:sz w:val="24"/>
        </w:rPr>
      </w:pPr>
      <w:r>
        <w:rPr>
          <w:rFonts w:hint="eastAsia"/>
          <w:sz w:val="24"/>
        </w:rPr>
        <w:t>7.</w:t>
      </w:r>
      <w:r>
        <w:rPr>
          <w:rFonts w:hint="eastAsia"/>
          <w:sz w:val="24"/>
        </w:rPr>
        <w:t>小结</w:t>
      </w:r>
    </w:p>
    <w:p w14:paraId="111D5E7A" w14:textId="77777777" w:rsidR="003E78AB" w:rsidRDefault="00010BF9">
      <w:pPr>
        <w:ind w:firstLine="480"/>
        <w:rPr>
          <w:kern w:val="28"/>
        </w:rPr>
      </w:pPr>
      <w:r>
        <w:rPr>
          <w:kern w:val="28"/>
        </w:rPr>
        <w:t>根据分析，本项目正常情况下，建设单位严格落实分区防渗措施，本项目生产废水向地下渗透将得到很好的控制，不会对地下水质量造成影响。</w:t>
      </w:r>
    </w:p>
    <w:p w14:paraId="2EBE247F" w14:textId="77777777" w:rsidR="003E78AB" w:rsidRDefault="00010BF9">
      <w:pPr>
        <w:spacing w:line="460" w:lineRule="exact"/>
        <w:ind w:firstLine="480"/>
        <w:rPr>
          <w:kern w:val="28"/>
        </w:rPr>
      </w:pPr>
      <w:r>
        <w:rPr>
          <w:kern w:val="28"/>
        </w:rPr>
        <w:t>根据预测结果可知，在非正常情况下，</w:t>
      </w:r>
      <w:r>
        <w:rPr>
          <w:rFonts w:hint="eastAsia"/>
        </w:rPr>
        <w:t>工艺废气淋洗设施的淋洗液</w:t>
      </w:r>
      <w:r>
        <w:rPr>
          <w:rFonts w:hint="eastAsia"/>
        </w:rPr>
        <w:t>/</w:t>
      </w:r>
      <w:r>
        <w:rPr>
          <w:rFonts w:hint="eastAsia"/>
        </w:rPr>
        <w:t>水循环水箱</w:t>
      </w:r>
      <w:r>
        <w:rPr>
          <w:kern w:val="28"/>
        </w:rPr>
        <w:t>发生泄漏，导致废水进入地下对地下水环境造成污染，已知废水中</w:t>
      </w:r>
      <w:r>
        <w:rPr>
          <w:rFonts w:hint="eastAsia"/>
          <w:kern w:val="28"/>
        </w:rPr>
        <w:t>钒</w:t>
      </w:r>
      <w:r>
        <w:rPr>
          <w:kern w:val="28"/>
        </w:rPr>
        <w:t>浓度为</w:t>
      </w:r>
      <w:r>
        <w:rPr>
          <w:rFonts w:hint="eastAsia"/>
          <w:kern w:val="28"/>
        </w:rPr>
        <w:t>12</w:t>
      </w:r>
      <w:r>
        <w:rPr>
          <w:rFonts w:hint="eastAsia"/>
          <w:kern w:val="28"/>
        </w:rPr>
        <w:t>.1</w:t>
      </w:r>
      <w:r>
        <w:rPr>
          <w:kern w:val="28"/>
        </w:rPr>
        <w:t>mg/L</w:t>
      </w:r>
      <w:r>
        <w:rPr>
          <w:kern w:val="28"/>
        </w:rPr>
        <w:t>，</w:t>
      </w:r>
      <w:r>
        <w:rPr>
          <w:rFonts w:hint="eastAsia"/>
          <w:kern w:val="28"/>
        </w:rPr>
        <w:t>磷酸盐</w:t>
      </w:r>
      <w:r>
        <w:rPr>
          <w:rFonts w:hint="eastAsia"/>
          <w:kern w:val="28"/>
        </w:rPr>
        <w:t>2490</w:t>
      </w:r>
      <w:r>
        <w:rPr>
          <w:kern w:val="28"/>
        </w:rPr>
        <w:t>mg/L</w:t>
      </w:r>
      <w:r>
        <w:rPr>
          <w:kern w:val="28"/>
        </w:rPr>
        <w:t>。在预测时间内（</w:t>
      </w:r>
      <w:r>
        <w:rPr>
          <w:kern w:val="28"/>
        </w:rPr>
        <w:t>1000d</w:t>
      </w:r>
      <w:r>
        <w:rPr>
          <w:kern w:val="28"/>
        </w:rPr>
        <w:t>）</w:t>
      </w:r>
      <w:r>
        <w:rPr>
          <w:rFonts w:hint="eastAsia"/>
          <w:kern w:val="28"/>
        </w:rPr>
        <w:t>钒</w:t>
      </w:r>
      <w:r>
        <w:rPr>
          <w:kern w:val="28"/>
        </w:rPr>
        <w:t>最大超标距离为</w:t>
      </w:r>
      <w:r>
        <w:rPr>
          <w:rFonts w:hint="eastAsia"/>
          <w:kern w:val="28"/>
        </w:rPr>
        <w:t>66</w:t>
      </w:r>
      <w:r>
        <w:rPr>
          <w:kern w:val="28"/>
        </w:rPr>
        <w:t>m</w:t>
      </w:r>
      <w:r>
        <w:rPr>
          <w:kern w:val="28"/>
        </w:rPr>
        <w:t>，最远影响距离为</w:t>
      </w:r>
      <w:r>
        <w:rPr>
          <w:rFonts w:hint="eastAsia"/>
          <w:kern w:val="28"/>
        </w:rPr>
        <w:t>69</w:t>
      </w:r>
      <w:r>
        <w:rPr>
          <w:kern w:val="28"/>
        </w:rPr>
        <w:t>m</w:t>
      </w:r>
      <w:r>
        <w:rPr>
          <w:kern w:val="28"/>
        </w:rPr>
        <w:t>；</w:t>
      </w:r>
      <w:r>
        <w:rPr>
          <w:rFonts w:hint="eastAsia"/>
          <w:kern w:val="28"/>
        </w:rPr>
        <w:t>磷酸盐</w:t>
      </w:r>
      <w:r>
        <w:rPr>
          <w:kern w:val="28"/>
        </w:rPr>
        <w:t>最大超标距离为</w:t>
      </w:r>
      <w:r>
        <w:rPr>
          <w:rFonts w:hint="eastAsia"/>
          <w:kern w:val="28"/>
        </w:rPr>
        <w:t>161</w:t>
      </w:r>
      <w:r>
        <w:rPr>
          <w:kern w:val="28"/>
        </w:rPr>
        <w:t>m</w:t>
      </w:r>
      <w:r>
        <w:rPr>
          <w:kern w:val="28"/>
        </w:rPr>
        <w:t>，最远影响距离为</w:t>
      </w:r>
      <w:r>
        <w:rPr>
          <w:rFonts w:hint="eastAsia"/>
          <w:kern w:val="28"/>
        </w:rPr>
        <w:t>174</w:t>
      </w:r>
      <w:r>
        <w:rPr>
          <w:kern w:val="28"/>
        </w:rPr>
        <w:t>m</w:t>
      </w:r>
      <w:r>
        <w:rPr>
          <w:kern w:val="28"/>
        </w:rPr>
        <w:t>。</w:t>
      </w:r>
    </w:p>
    <w:p w14:paraId="4F8ADC20" w14:textId="77777777" w:rsidR="003E78AB" w:rsidRDefault="00010BF9">
      <w:pPr>
        <w:ind w:firstLine="480"/>
        <w:rPr>
          <w:kern w:val="28"/>
        </w:rPr>
      </w:pPr>
      <w:r>
        <w:rPr>
          <w:kern w:val="28"/>
        </w:rPr>
        <w:t>根据预测结果显示事故状态项目废水泄漏会对区域地下水环境造成污染影响。根据现场调查，本项目区地下水下游</w:t>
      </w:r>
      <w:r>
        <w:rPr>
          <w:kern w:val="28"/>
        </w:rPr>
        <w:t>2000m</w:t>
      </w:r>
      <w:r>
        <w:rPr>
          <w:kern w:val="28"/>
        </w:rPr>
        <w:t>范围内无地下水的开发利用及其他地下水环境敏感点，可见在事故状态下对周边地下水的影响范围有限，但泄漏废水中</w:t>
      </w:r>
      <w:r>
        <w:rPr>
          <w:rFonts w:hint="eastAsia"/>
          <w:kern w:val="28"/>
        </w:rPr>
        <w:t>钒和磷酸盐</w:t>
      </w:r>
      <w:r>
        <w:rPr>
          <w:kern w:val="28"/>
        </w:rPr>
        <w:t>浓度较高，会对当地地下水水质造成不良影响，故本次评价要求企业运行期间，必须采取完备的防渗、监测、风险防控措施，确保能及时发</w:t>
      </w:r>
      <w:r>
        <w:rPr>
          <w:kern w:val="28"/>
        </w:rPr>
        <w:t>现泄漏源，使事故状态对地下水的影响可以得到有效控制。</w:t>
      </w:r>
    </w:p>
    <w:p w14:paraId="1D2B961D"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5.2</w:t>
      </w:r>
      <w:r>
        <w:rPr>
          <w:rFonts w:cs="Times New Roman"/>
          <w:sz w:val="28"/>
          <w:szCs w:val="28"/>
        </w:rPr>
        <w:t>.3</w:t>
      </w:r>
      <w:r>
        <w:rPr>
          <w:rFonts w:cs="Times New Roman"/>
          <w:sz w:val="28"/>
          <w:szCs w:val="28"/>
        </w:rPr>
        <w:t>运营期声环境影响分析与评价</w:t>
      </w:r>
    </w:p>
    <w:p w14:paraId="2C2A8BE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5.2.3.1</w:t>
      </w:r>
      <w:r>
        <w:rPr>
          <w:rFonts w:ascii="Times New Roman" w:hAnsi="Times New Roman"/>
        </w:rPr>
        <w:t>声环境评价等级划分</w:t>
      </w:r>
    </w:p>
    <w:p w14:paraId="77454387" w14:textId="77777777" w:rsidR="003E78AB" w:rsidRDefault="00010BF9">
      <w:pPr>
        <w:ind w:firstLine="480"/>
        <w:rPr>
          <w:kern w:val="2"/>
          <w:szCs w:val="20"/>
        </w:rPr>
      </w:pPr>
      <w:r>
        <w:rPr>
          <w:kern w:val="2"/>
          <w:szCs w:val="20"/>
        </w:rPr>
        <w:t>依据《环境影响评价技术导则</w:t>
      </w:r>
      <w:r>
        <w:rPr>
          <w:kern w:val="2"/>
          <w:szCs w:val="20"/>
        </w:rPr>
        <w:t xml:space="preserve"> </w:t>
      </w:r>
      <w:r>
        <w:rPr>
          <w:kern w:val="2"/>
          <w:szCs w:val="20"/>
        </w:rPr>
        <w:t>声环境》（</w:t>
      </w:r>
      <w:r>
        <w:rPr>
          <w:kern w:val="2"/>
          <w:szCs w:val="20"/>
        </w:rPr>
        <w:t>HJ2.4-2021</w:t>
      </w:r>
      <w:r>
        <w:rPr>
          <w:kern w:val="2"/>
          <w:szCs w:val="20"/>
        </w:rPr>
        <w:t>）中判据可知：建设项目所处的声环境功能区为</w:t>
      </w:r>
      <w:r>
        <w:rPr>
          <w:kern w:val="2"/>
          <w:szCs w:val="20"/>
        </w:rPr>
        <w:t>GB3096</w:t>
      </w:r>
      <w:r>
        <w:rPr>
          <w:kern w:val="2"/>
          <w:szCs w:val="20"/>
        </w:rPr>
        <w:t>规定的</w:t>
      </w:r>
      <w:r>
        <w:rPr>
          <w:kern w:val="2"/>
          <w:szCs w:val="20"/>
        </w:rPr>
        <w:t>3</w:t>
      </w:r>
      <w:r>
        <w:rPr>
          <w:kern w:val="2"/>
          <w:szCs w:val="20"/>
        </w:rPr>
        <w:t>类、</w:t>
      </w:r>
      <w:r>
        <w:rPr>
          <w:kern w:val="2"/>
          <w:szCs w:val="20"/>
        </w:rPr>
        <w:t>4</w:t>
      </w:r>
      <w:r>
        <w:rPr>
          <w:kern w:val="2"/>
          <w:szCs w:val="20"/>
        </w:rPr>
        <w:t>类地区，或建设项目建设前后评价范围内敏感目标噪声级增高量达</w:t>
      </w:r>
      <w:r>
        <w:rPr>
          <w:kern w:val="2"/>
          <w:szCs w:val="20"/>
        </w:rPr>
        <w:t>3dB</w:t>
      </w:r>
      <w:r>
        <w:rPr>
          <w:rFonts w:hint="eastAsia"/>
          <w:kern w:val="2"/>
          <w:szCs w:val="20"/>
        </w:rPr>
        <w:t>(A)</w:t>
      </w:r>
      <w:r>
        <w:rPr>
          <w:kern w:val="2"/>
          <w:szCs w:val="20"/>
        </w:rPr>
        <w:t>以下（不含</w:t>
      </w:r>
      <w:r>
        <w:rPr>
          <w:kern w:val="2"/>
          <w:szCs w:val="20"/>
        </w:rPr>
        <w:t>3dB</w:t>
      </w:r>
      <w:r>
        <w:rPr>
          <w:rFonts w:hint="eastAsia"/>
          <w:kern w:val="2"/>
          <w:szCs w:val="20"/>
        </w:rPr>
        <w:t>(A)</w:t>
      </w:r>
      <w:r>
        <w:rPr>
          <w:kern w:val="2"/>
          <w:szCs w:val="20"/>
        </w:rPr>
        <w:t>），或受噪声影响人口数量变化不大时，按三级评价。本项目处于声环境功能</w:t>
      </w:r>
      <w:r>
        <w:rPr>
          <w:kern w:val="2"/>
          <w:szCs w:val="20"/>
        </w:rPr>
        <w:t>3</w:t>
      </w:r>
      <w:r>
        <w:rPr>
          <w:kern w:val="2"/>
          <w:szCs w:val="20"/>
        </w:rPr>
        <w:t>类区，因此声环境影响评价工作等级为三级，具体等级判定见</w:t>
      </w:r>
      <w:r>
        <w:rPr>
          <w:kern w:val="2"/>
          <w:szCs w:val="20"/>
        </w:rPr>
        <w:fldChar w:fldCharType="begin"/>
      </w:r>
      <w:r>
        <w:rPr>
          <w:kern w:val="2"/>
          <w:szCs w:val="20"/>
        </w:rPr>
        <w:instrText xml:space="preserve"> REF _Ref17874 \r \h </w:instrText>
      </w:r>
      <w:r>
        <w:rPr>
          <w:kern w:val="2"/>
          <w:szCs w:val="20"/>
        </w:rPr>
      </w:r>
      <w:r>
        <w:rPr>
          <w:kern w:val="2"/>
          <w:szCs w:val="20"/>
        </w:rPr>
        <w:fldChar w:fldCharType="separate"/>
      </w:r>
      <w:r>
        <w:rPr>
          <w:kern w:val="2"/>
          <w:szCs w:val="20"/>
        </w:rPr>
        <w:t>表</w:t>
      </w:r>
      <w:r>
        <w:rPr>
          <w:kern w:val="2"/>
          <w:szCs w:val="20"/>
        </w:rPr>
        <w:t>5-65</w:t>
      </w:r>
      <w:r>
        <w:rPr>
          <w:kern w:val="2"/>
          <w:szCs w:val="20"/>
        </w:rPr>
        <w:fldChar w:fldCharType="end"/>
      </w:r>
      <w:r>
        <w:rPr>
          <w:kern w:val="2"/>
          <w:szCs w:val="20"/>
        </w:rPr>
        <w:t>。</w:t>
      </w:r>
    </w:p>
    <w:p w14:paraId="373C777F" w14:textId="77777777" w:rsidR="003E78AB" w:rsidRDefault="00010BF9">
      <w:pPr>
        <w:pStyle w:val="a4"/>
        <w:spacing w:before="120"/>
        <w:ind w:left="425" w:hanging="425"/>
      </w:pPr>
      <w:bookmarkStart w:id="391" w:name="_Ref17874"/>
      <w:r>
        <w:t>环境噪声影响评价工作等级判定依据表</w:t>
      </w:r>
      <w:bookmarkEnd w:id="391"/>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4"/>
        <w:gridCol w:w="1566"/>
        <w:gridCol w:w="3269"/>
        <w:gridCol w:w="1724"/>
      </w:tblGrid>
      <w:tr w:rsidR="003E78AB" w14:paraId="7850DE69" w14:textId="77777777">
        <w:trPr>
          <w:trHeight w:val="284"/>
          <w:tblHeader/>
        </w:trPr>
        <w:tc>
          <w:tcPr>
            <w:tcW w:w="1073" w:type="pct"/>
            <w:vAlign w:val="center"/>
          </w:tcPr>
          <w:p w14:paraId="25C11AE1" w14:textId="77777777" w:rsidR="003E78AB" w:rsidRDefault="00010BF9">
            <w:pPr>
              <w:pStyle w:val="aff6"/>
              <w:topLinePunct/>
              <w:rPr>
                <w:b/>
                <w:bCs/>
              </w:rPr>
            </w:pPr>
            <w:r>
              <w:rPr>
                <w:b/>
                <w:bCs/>
              </w:rPr>
              <w:t>判别依据</w:t>
            </w:r>
          </w:p>
        </w:tc>
        <w:tc>
          <w:tcPr>
            <w:tcW w:w="937" w:type="pct"/>
            <w:vAlign w:val="center"/>
          </w:tcPr>
          <w:p w14:paraId="7C30F81C" w14:textId="77777777" w:rsidR="003E78AB" w:rsidRDefault="00010BF9">
            <w:pPr>
              <w:pStyle w:val="aff6"/>
              <w:topLinePunct/>
              <w:rPr>
                <w:b/>
                <w:bCs/>
              </w:rPr>
            </w:pPr>
            <w:r>
              <w:rPr>
                <w:b/>
                <w:bCs/>
              </w:rPr>
              <w:t>声环境功能区类别</w:t>
            </w:r>
          </w:p>
        </w:tc>
        <w:tc>
          <w:tcPr>
            <w:tcW w:w="1957" w:type="pct"/>
            <w:vAlign w:val="center"/>
          </w:tcPr>
          <w:p w14:paraId="7DAB4A39" w14:textId="77777777" w:rsidR="003E78AB" w:rsidRDefault="00010BF9">
            <w:pPr>
              <w:pStyle w:val="aff6"/>
              <w:topLinePunct/>
              <w:rPr>
                <w:b/>
                <w:bCs/>
              </w:rPr>
            </w:pPr>
            <w:r>
              <w:rPr>
                <w:b/>
                <w:bCs/>
              </w:rPr>
              <w:t>项目建设前后评价范围内敏感目标噪声级增高量</w:t>
            </w:r>
          </w:p>
        </w:tc>
        <w:tc>
          <w:tcPr>
            <w:tcW w:w="1032" w:type="pct"/>
            <w:vAlign w:val="center"/>
          </w:tcPr>
          <w:p w14:paraId="2F4B56E2" w14:textId="77777777" w:rsidR="003E78AB" w:rsidRDefault="00010BF9">
            <w:pPr>
              <w:pStyle w:val="aff6"/>
              <w:topLinePunct/>
              <w:rPr>
                <w:b/>
                <w:bCs/>
              </w:rPr>
            </w:pPr>
            <w:r>
              <w:rPr>
                <w:b/>
                <w:bCs/>
              </w:rPr>
              <w:t>受噪声影响范围内的人口数量</w:t>
            </w:r>
          </w:p>
        </w:tc>
      </w:tr>
      <w:tr w:rsidR="003E78AB" w14:paraId="424C907F" w14:textId="77777777">
        <w:trPr>
          <w:trHeight w:val="284"/>
        </w:trPr>
        <w:tc>
          <w:tcPr>
            <w:tcW w:w="1073" w:type="pct"/>
            <w:vAlign w:val="center"/>
          </w:tcPr>
          <w:p w14:paraId="517158D5" w14:textId="77777777" w:rsidR="003E78AB" w:rsidRDefault="00010BF9">
            <w:pPr>
              <w:pStyle w:val="aff6"/>
              <w:topLinePunct/>
            </w:pPr>
            <w:r>
              <w:t>三级评价标准判据</w:t>
            </w:r>
          </w:p>
        </w:tc>
        <w:tc>
          <w:tcPr>
            <w:tcW w:w="937" w:type="pct"/>
            <w:vAlign w:val="center"/>
          </w:tcPr>
          <w:p w14:paraId="0469B26F" w14:textId="77777777" w:rsidR="003E78AB" w:rsidRDefault="00010BF9">
            <w:pPr>
              <w:pStyle w:val="aff6"/>
              <w:topLinePunct/>
            </w:pPr>
            <w:r>
              <w:t>3</w:t>
            </w:r>
            <w:r>
              <w:t>、</w:t>
            </w:r>
            <w:r>
              <w:t>4</w:t>
            </w:r>
            <w:r>
              <w:t>类地区或</w:t>
            </w:r>
          </w:p>
        </w:tc>
        <w:tc>
          <w:tcPr>
            <w:tcW w:w="1957" w:type="pct"/>
            <w:vAlign w:val="center"/>
          </w:tcPr>
          <w:p w14:paraId="65EEF1A3" w14:textId="77777777" w:rsidR="003E78AB" w:rsidRDefault="00010BF9">
            <w:pPr>
              <w:pStyle w:val="aff6"/>
              <w:topLinePunct/>
            </w:pPr>
            <w:r>
              <w:t>3dB</w:t>
            </w:r>
            <w:r>
              <w:rPr>
                <w:rFonts w:hint="eastAsia"/>
              </w:rPr>
              <w:t>(A)</w:t>
            </w:r>
            <w:r>
              <w:t>以下（不含</w:t>
            </w:r>
            <w:r>
              <w:t>3dB</w:t>
            </w:r>
            <w:r>
              <w:rPr>
                <w:rFonts w:hint="eastAsia"/>
              </w:rPr>
              <w:t>(A)</w:t>
            </w:r>
            <w:r>
              <w:t>）且</w:t>
            </w:r>
          </w:p>
        </w:tc>
        <w:tc>
          <w:tcPr>
            <w:tcW w:w="1032" w:type="pct"/>
            <w:vAlign w:val="center"/>
          </w:tcPr>
          <w:p w14:paraId="1AB8E597" w14:textId="77777777" w:rsidR="003E78AB" w:rsidRDefault="00010BF9">
            <w:pPr>
              <w:pStyle w:val="aff6"/>
              <w:topLinePunct/>
            </w:pPr>
            <w:r>
              <w:t>变化不大</w:t>
            </w:r>
          </w:p>
        </w:tc>
      </w:tr>
      <w:tr w:rsidR="003E78AB" w14:paraId="4868C1C1" w14:textId="77777777">
        <w:trPr>
          <w:trHeight w:val="284"/>
        </w:trPr>
        <w:tc>
          <w:tcPr>
            <w:tcW w:w="1073" w:type="pct"/>
            <w:vAlign w:val="center"/>
          </w:tcPr>
          <w:p w14:paraId="0E502C49" w14:textId="77777777" w:rsidR="003E78AB" w:rsidRDefault="00010BF9">
            <w:pPr>
              <w:pStyle w:val="aff6"/>
              <w:topLinePunct/>
            </w:pPr>
            <w:r>
              <w:t>本项目</w:t>
            </w:r>
          </w:p>
        </w:tc>
        <w:tc>
          <w:tcPr>
            <w:tcW w:w="937" w:type="pct"/>
            <w:vAlign w:val="center"/>
          </w:tcPr>
          <w:p w14:paraId="34BF9F52" w14:textId="77777777" w:rsidR="003E78AB" w:rsidRDefault="00010BF9">
            <w:pPr>
              <w:pStyle w:val="aff6"/>
              <w:topLinePunct/>
            </w:pPr>
            <w:r>
              <w:t>3</w:t>
            </w:r>
            <w:r>
              <w:t>类区</w:t>
            </w:r>
          </w:p>
        </w:tc>
        <w:tc>
          <w:tcPr>
            <w:tcW w:w="1957" w:type="pct"/>
            <w:vAlign w:val="center"/>
          </w:tcPr>
          <w:p w14:paraId="364FEC79" w14:textId="77777777" w:rsidR="003E78AB" w:rsidRDefault="00010BF9">
            <w:pPr>
              <w:pStyle w:val="aff6"/>
              <w:topLinePunct/>
            </w:pPr>
            <w:r>
              <w:t>小于</w:t>
            </w:r>
            <w:r>
              <w:t>3dB</w:t>
            </w:r>
            <w:r>
              <w:rPr>
                <w:rFonts w:hint="eastAsia"/>
              </w:rPr>
              <w:t>(A)</w:t>
            </w:r>
          </w:p>
        </w:tc>
        <w:tc>
          <w:tcPr>
            <w:tcW w:w="1032" w:type="pct"/>
            <w:vAlign w:val="center"/>
          </w:tcPr>
          <w:p w14:paraId="332FB613" w14:textId="77777777" w:rsidR="003E78AB" w:rsidRDefault="00010BF9">
            <w:pPr>
              <w:pStyle w:val="aff6"/>
              <w:topLinePunct/>
            </w:pPr>
            <w:r>
              <w:t>变化不大</w:t>
            </w:r>
          </w:p>
        </w:tc>
      </w:tr>
      <w:tr w:rsidR="003E78AB" w14:paraId="044916D6" w14:textId="77777777">
        <w:trPr>
          <w:trHeight w:val="284"/>
        </w:trPr>
        <w:tc>
          <w:tcPr>
            <w:tcW w:w="1073" w:type="pct"/>
            <w:vAlign w:val="center"/>
          </w:tcPr>
          <w:p w14:paraId="75DDF48F" w14:textId="77777777" w:rsidR="003E78AB" w:rsidRDefault="00010BF9">
            <w:pPr>
              <w:pStyle w:val="aff6"/>
              <w:topLinePunct/>
              <w:rPr>
                <w:b/>
              </w:rPr>
            </w:pPr>
            <w:r>
              <w:t>评价等级</w:t>
            </w:r>
          </w:p>
        </w:tc>
        <w:tc>
          <w:tcPr>
            <w:tcW w:w="3926" w:type="pct"/>
            <w:gridSpan w:val="3"/>
            <w:vAlign w:val="center"/>
          </w:tcPr>
          <w:p w14:paraId="5EFBFDEB" w14:textId="77777777" w:rsidR="003E78AB" w:rsidRDefault="00010BF9">
            <w:pPr>
              <w:pStyle w:val="aff6"/>
              <w:topLinePunct/>
            </w:pPr>
            <w:r>
              <w:t>三级评价</w:t>
            </w:r>
          </w:p>
        </w:tc>
      </w:tr>
    </w:tbl>
    <w:p w14:paraId="02FDC9E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.3.</w:t>
      </w:r>
      <w:r>
        <w:rPr>
          <w:rFonts w:ascii="Times New Roman" w:hAnsi="Times New Roman" w:hint="eastAsia"/>
        </w:rPr>
        <w:t>2</w:t>
      </w:r>
      <w:r>
        <w:rPr>
          <w:rFonts w:ascii="Times New Roman" w:hAnsi="Times New Roman"/>
        </w:rPr>
        <w:t>噪声声源及源强分析</w:t>
      </w:r>
    </w:p>
    <w:p w14:paraId="5D36E181" w14:textId="77777777" w:rsidR="003E78AB" w:rsidRDefault="00010BF9">
      <w:pPr>
        <w:ind w:firstLine="480"/>
        <w:rPr>
          <w:kern w:val="28"/>
        </w:rPr>
      </w:pPr>
      <w:r>
        <w:rPr>
          <w:kern w:val="28"/>
        </w:rPr>
        <w:t>本项目运营期噪声主要为反应釜、各类机泵、风机等设备产生的噪声，噪声源强约为噪声级为</w:t>
      </w:r>
      <w:r>
        <w:rPr>
          <w:kern w:val="28"/>
        </w:rPr>
        <w:t>75</w:t>
      </w:r>
      <w:r>
        <w:rPr>
          <w:kern w:val="28"/>
        </w:rPr>
        <w:t>～</w:t>
      </w:r>
      <w:r>
        <w:rPr>
          <w:kern w:val="28"/>
        </w:rPr>
        <w:t>95dB</w:t>
      </w:r>
      <w:r>
        <w:rPr>
          <w:rFonts w:hint="eastAsia"/>
          <w:kern w:val="28"/>
        </w:rPr>
        <w:t>(A)</w:t>
      </w:r>
      <w:r>
        <w:rPr>
          <w:kern w:val="28"/>
        </w:rPr>
        <w:t>，选用低噪声设备，采取厂房隔声、减振等措施降噪。本项目运营期主要噪声源强见表</w:t>
      </w:r>
      <w:r>
        <w:rPr>
          <w:rFonts w:hint="eastAsia"/>
          <w:kern w:val="28"/>
        </w:rPr>
        <w:t>3-29</w:t>
      </w:r>
      <w:r>
        <w:rPr>
          <w:kern w:val="28"/>
        </w:rPr>
        <w:t>、表</w:t>
      </w:r>
      <w:r>
        <w:rPr>
          <w:rFonts w:hint="eastAsia"/>
          <w:kern w:val="28"/>
        </w:rPr>
        <w:t>3-30</w:t>
      </w:r>
      <w:r>
        <w:rPr>
          <w:kern w:val="28"/>
        </w:rPr>
        <w:t>。</w:t>
      </w:r>
    </w:p>
    <w:p w14:paraId="1D75FC1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.3.</w:t>
      </w:r>
      <w:r>
        <w:rPr>
          <w:rFonts w:ascii="Times New Roman" w:hAnsi="Times New Roman" w:hint="eastAsia"/>
        </w:rPr>
        <w:t>3</w:t>
      </w:r>
      <w:r>
        <w:rPr>
          <w:rFonts w:ascii="Times New Roman" w:hAnsi="Times New Roman"/>
        </w:rPr>
        <w:t>噪声环境影响预测模式及参数</w:t>
      </w:r>
    </w:p>
    <w:p w14:paraId="5255C4BE" w14:textId="77777777" w:rsidR="003E78AB" w:rsidRDefault="00010BF9">
      <w:pPr>
        <w:pStyle w:val="5"/>
        <w:keepNext w:val="0"/>
        <w:keepLines w:val="0"/>
        <w:ind w:firstLine="482"/>
        <w:rPr>
          <w:sz w:val="24"/>
        </w:rPr>
      </w:pPr>
      <w:r>
        <w:rPr>
          <w:rFonts w:hint="eastAsia"/>
          <w:sz w:val="24"/>
        </w:rPr>
        <w:t>1.</w:t>
      </w:r>
      <w:r>
        <w:rPr>
          <w:sz w:val="24"/>
        </w:rPr>
        <w:t>预测模式选择</w:t>
      </w:r>
    </w:p>
    <w:p w14:paraId="3F698F8E" w14:textId="77777777" w:rsidR="003E78AB" w:rsidRDefault="00010BF9">
      <w:pPr>
        <w:ind w:firstLine="480"/>
        <w:rPr>
          <w:kern w:val="2"/>
        </w:rPr>
      </w:pPr>
      <w:r>
        <w:rPr>
          <w:kern w:val="2"/>
        </w:rPr>
        <w:t>根据《环境影响评价技术导则声环境》（</w:t>
      </w:r>
      <w:r>
        <w:rPr>
          <w:kern w:val="2"/>
        </w:rPr>
        <w:t>HJ2.4-2021</w:t>
      </w:r>
      <w:r>
        <w:rPr>
          <w:kern w:val="2"/>
        </w:rPr>
        <w:t>）</w:t>
      </w:r>
      <w:r>
        <w:rPr>
          <w:spacing w:val="4"/>
        </w:rPr>
        <w:t>的工业噪声预测模式。</w:t>
      </w:r>
      <w:r>
        <w:rPr>
          <w:kern w:val="2"/>
        </w:rPr>
        <w:t>预测环境数据见气候气象章节描述。</w:t>
      </w:r>
    </w:p>
    <w:p w14:paraId="4FB50EF4" w14:textId="77777777" w:rsidR="003E78AB" w:rsidRDefault="00010BF9">
      <w:pPr>
        <w:ind w:firstLine="480"/>
        <w:rPr>
          <w:kern w:val="2"/>
        </w:rPr>
      </w:pPr>
      <w:r>
        <w:rPr>
          <w:kern w:val="2"/>
        </w:rPr>
        <w:t>①</w:t>
      </w:r>
      <w:r>
        <w:t>计算某个室内声源在靠近围护结构处产生的倍频带声压级：</w:t>
      </w:r>
    </w:p>
    <w:p w14:paraId="700B94B5" w14:textId="77777777" w:rsidR="003E78AB" w:rsidRDefault="00010BF9">
      <w:pPr>
        <w:spacing w:line="240" w:lineRule="atLeast"/>
        <w:ind w:firstLineChars="0" w:firstLine="0"/>
        <w:jc w:val="center"/>
        <w:rPr>
          <w:kern w:val="2"/>
        </w:rPr>
      </w:pPr>
      <w:r>
        <w:rPr>
          <w:noProof/>
        </w:rPr>
        <w:drawing>
          <wp:inline distT="0" distB="0" distL="114300" distR="114300">
            <wp:extent cx="1943735" cy="485775"/>
            <wp:effectExtent l="0" t="0" r="18415" b="889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87"/>
                    <a:stretch>
                      <a:fillRect/>
                    </a:stretch>
                  </pic:blipFill>
                  <pic:spPr>
                    <a:xfrm>
                      <a:off x="0" y="0"/>
                      <a:ext cx="1943735" cy="485775"/>
                    </a:xfrm>
                    <a:prstGeom prst="rect">
                      <a:avLst/>
                    </a:prstGeom>
                    <a:noFill/>
                    <a:ln>
                      <a:noFill/>
                    </a:ln>
                  </pic:spPr>
                </pic:pic>
              </a:graphicData>
            </a:graphic>
          </wp:inline>
        </w:drawing>
      </w:r>
    </w:p>
    <w:p w14:paraId="0754DD71" w14:textId="77777777" w:rsidR="003E78AB" w:rsidRDefault="00010BF9">
      <w:pPr>
        <w:ind w:firstLine="480"/>
        <w:rPr>
          <w:kern w:val="2"/>
        </w:rPr>
      </w:pPr>
      <w:r>
        <w:rPr>
          <w:kern w:val="2"/>
        </w:rPr>
        <w:t>式中：</w:t>
      </w:r>
      <w:r>
        <w:rPr>
          <w:i/>
          <w:kern w:val="2"/>
        </w:rPr>
        <w:t>L</w:t>
      </w:r>
      <w:r>
        <w:rPr>
          <w:i/>
          <w:kern w:val="2"/>
          <w:vertAlign w:val="subscript"/>
        </w:rPr>
        <w:t>oct</w:t>
      </w:r>
      <w:r>
        <w:rPr>
          <w:i/>
          <w:kern w:val="2"/>
          <w:vertAlign w:val="subscript"/>
        </w:rPr>
        <w:t>，</w:t>
      </w:r>
      <w:r>
        <w:rPr>
          <w:i/>
          <w:kern w:val="2"/>
          <w:vertAlign w:val="subscript"/>
        </w:rPr>
        <w:t>1</w:t>
      </w:r>
      <w:r>
        <w:rPr>
          <w:kern w:val="2"/>
        </w:rPr>
        <w:t>—</w:t>
      </w:r>
      <w:r>
        <w:rPr>
          <w:kern w:val="2"/>
        </w:rPr>
        <w:t>某个室内声源在靠近围护结构处产生的倍频带声压级，</w:t>
      </w:r>
      <w:r>
        <w:rPr>
          <w:kern w:val="2"/>
        </w:rPr>
        <w:t>dB</w:t>
      </w:r>
      <w:r>
        <w:rPr>
          <w:kern w:val="2"/>
        </w:rPr>
        <w:t>；</w:t>
      </w:r>
    </w:p>
    <w:p w14:paraId="5DBFEAED" w14:textId="77777777" w:rsidR="003E78AB" w:rsidRDefault="00010BF9">
      <w:pPr>
        <w:ind w:firstLine="480"/>
        <w:rPr>
          <w:kern w:val="2"/>
        </w:rPr>
      </w:pPr>
      <w:r>
        <w:rPr>
          <w:i/>
          <w:kern w:val="2"/>
        </w:rPr>
        <w:t>L</w:t>
      </w:r>
      <w:r>
        <w:rPr>
          <w:i/>
          <w:kern w:val="2"/>
          <w:vertAlign w:val="subscript"/>
        </w:rPr>
        <w:t>woct</w:t>
      </w:r>
      <w:r>
        <w:rPr>
          <w:kern w:val="2"/>
        </w:rPr>
        <w:t>—</w:t>
      </w:r>
      <w:r>
        <w:t>某个声源的倍频带声功率级，</w:t>
      </w:r>
      <w:r>
        <w:t>dB</w:t>
      </w:r>
      <w:r>
        <w:rPr>
          <w:kern w:val="2"/>
        </w:rPr>
        <w:t>；</w:t>
      </w:r>
    </w:p>
    <w:p w14:paraId="26A46CC0" w14:textId="77777777" w:rsidR="003E78AB" w:rsidRDefault="00010BF9">
      <w:pPr>
        <w:ind w:firstLine="480"/>
        <w:rPr>
          <w:kern w:val="2"/>
        </w:rPr>
      </w:pPr>
      <w:r>
        <w:rPr>
          <w:i/>
          <w:kern w:val="2"/>
        </w:rPr>
        <w:t>r</w:t>
      </w:r>
      <w:r>
        <w:rPr>
          <w:i/>
          <w:kern w:val="2"/>
          <w:vertAlign w:val="subscript"/>
        </w:rPr>
        <w:t>1</w:t>
      </w:r>
      <w:r>
        <w:rPr>
          <w:kern w:val="2"/>
        </w:rPr>
        <w:t>—</w:t>
      </w:r>
      <w:r>
        <w:rPr>
          <w:kern w:val="2"/>
        </w:rPr>
        <w:t>室内某个声源与靠近围护结构处的距离，</w:t>
      </w:r>
      <w:r>
        <w:rPr>
          <w:kern w:val="2"/>
        </w:rPr>
        <w:t>m</w:t>
      </w:r>
      <w:r>
        <w:rPr>
          <w:kern w:val="2"/>
        </w:rPr>
        <w:t>；</w:t>
      </w:r>
    </w:p>
    <w:p w14:paraId="0CECD5C0" w14:textId="77777777" w:rsidR="003E78AB" w:rsidRDefault="00010BF9">
      <w:pPr>
        <w:ind w:firstLine="480"/>
        <w:rPr>
          <w:kern w:val="2"/>
        </w:rPr>
      </w:pPr>
      <w:r>
        <w:rPr>
          <w:i/>
          <w:kern w:val="2"/>
        </w:rPr>
        <w:t>R</w:t>
      </w:r>
      <w:r>
        <w:rPr>
          <w:kern w:val="2"/>
        </w:rPr>
        <w:t>—</w:t>
      </w:r>
      <w:r>
        <w:t>房间常数，</w:t>
      </w:r>
      <w:r>
        <w:t>m</w:t>
      </w:r>
      <w:r>
        <w:rPr>
          <w:vertAlign w:val="superscript"/>
        </w:rPr>
        <w:t>2</w:t>
      </w:r>
      <w:r>
        <w:rPr>
          <w:kern w:val="2"/>
        </w:rPr>
        <w:t>；</w:t>
      </w:r>
    </w:p>
    <w:p w14:paraId="74D0CB9D" w14:textId="77777777" w:rsidR="003E78AB" w:rsidRDefault="00010BF9">
      <w:pPr>
        <w:ind w:firstLine="480"/>
        <w:rPr>
          <w:kern w:val="2"/>
        </w:rPr>
      </w:pPr>
      <w:r>
        <w:rPr>
          <w:i/>
          <w:kern w:val="2"/>
        </w:rPr>
        <w:t>Q</w:t>
      </w:r>
      <w:r>
        <w:rPr>
          <w:kern w:val="2"/>
        </w:rPr>
        <w:t>—</w:t>
      </w:r>
      <w:r>
        <w:t>方向性因子</w:t>
      </w:r>
      <w:r>
        <w:rPr>
          <w:kern w:val="2"/>
        </w:rPr>
        <w:t>。</w:t>
      </w:r>
    </w:p>
    <w:p w14:paraId="09202DF7" w14:textId="77777777" w:rsidR="003E78AB" w:rsidRDefault="00010BF9">
      <w:pPr>
        <w:ind w:firstLine="480"/>
        <w:rPr>
          <w:kern w:val="2"/>
        </w:rPr>
      </w:pPr>
      <w:r>
        <w:rPr>
          <w:kern w:val="2"/>
        </w:rPr>
        <w:t>②</w:t>
      </w:r>
      <w:r>
        <w:t>计算所有室内声源在靠近围护结构处产生的总倍频带声压级</w:t>
      </w:r>
      <w:r>
        <w:rPr>
          <w:kern w:val="2"/>
        </w:rPr>
        <w:t>：</w:t>
      </w:r>
    </w:p>
    <w:p w14:paraId="32900DCF" w14:textId="77777777" w:rsidR="003E78AB" w:rsidRDefault="00010BF9">
      <w:pPr>
        <w:spacing w:line="240" w:lineRule="atLeast"/>
        <w:ind w:firstLineChars="0" w:firstLine="0"/>
        <w:jc w:val="center"/>
      </w:pPr>
      <w:r>
        <w:rPr>
          <w:noProof/>
        </w:rPr>
        <w:drawing>
          <wp:inline distT="0" distB="0" distL="114300" distR="114300">
            <wp:extent cx="1818640" cy="457200"/>
            <wp:effectExtent l="0" t="0" r="10160" b="0"/>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88"/>
                    <a:stretch>
                      <a:fillRect/>
                    </a:stretch>
                  </pic:blipFill>
                  <pic:spPr>
                    <a:xfrm>
                      <a:off x="0" y="0"/>
                      <a:ext cx="1818640" cy="457200"/>
                    </a:xfrm>
                    <a:prstGeom prst="rect">
                      <a:avLst/>
                    </a:prstGeom>
                    <a:noFill/>
                    <a:ln>
                      <a:noFill/>
                    </a:ln>
                  </pic:spPr>
                </pic:pic>
              </a:graphicData>
            </a:graphic>
          </wp:inline>
        </w:drawing>
      </w:r>
    </w:p>
    <w:p w14:paraId="5B6E9710" w14:textId="77777777" w:rsidR="003E78AB" w:rsidRDefault="00010BF9">
      <w:pPr>
        <w:ind w:firstLine="480"/>
        <w:rPr>
          <w:kern w:val="2"/>
        </w:rPr>
      </w:pPr>
      <w:r>
        <w:rPr>
          <w:kern w:val="2"/>
        </w:rPr>
        <w:t>③</w:t>
      </w:r>
      <w:r>
        <w:t>计算室外靠近围护结构处的声压级：</w:t>
      </w:r>
    </w:p>
    <w:p w14:paraId="3CA62AFD" w14:textId="77777777" w:rsidR="003E78AB" w:rsidRDefault="00010BF9">
      <w:pPr>
        <w:ind w:firstLineChars="0" w:firstLine="0"/>
        <w:jc w:val="center"/>
        <w:rPr>
          <w:i/>
          <w:kern w:val="2"/>
        </w:rPr>
      </w:pPr>
      <w:r>
        <w:rPr>
          <w:noProof/>
        </w:rPr>
        <w:drawing>
          <wp:inline distT="0" distB="0" distL="114300" distR="114300">
            <wp:extent cx="1914525" cy="238125"/>
            <wp:effectExtent l="0" t="0" r="9525" b="952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89"/>
                    <a:stretch>
                      <a:fillRect/>
                    </a:stretch>
                  </pic:blipFill>
                  <pic:spPr>
                    <a:xfrm>
                      <a:off x="0" y="0"/>
                      <a:ext cx="1914525" cy="238125"/>
                    </a:xfrm>
                    <a:prstGeom prst="rect">
                      <a:avLst/>
                    </a:prstGeom>
                    <a:noFill/>
                    <a:ln>
                      <a:noFill/>
                    </a:ln>
                  </pic:spPr>
                </pic:pic>
              </a:graphicData>
            </a:graphic>
          </wp:inline>
        </w:drawing>
      </w:r>
    </w:p>
    <w:p w14:paraId="4DCBEE25" w14:textId="77777777" w:rsidR="003E78AB" w:rsidRDefault="00010BF9">
      <w:pPr>
        <w:ind w:firstLine="480"/>
        <w:rPr>
          <w:kern w:val="2"/>
        </w:rPr>
      </w:pPr>
      <w:r>
        <w:t>将室外声级</w:t>
      </w:r>
      <w:r>
        <w:rPr>
          <w:noProof/>
        </w:rPr>
        <w:drawing>
          <wp:inline distT="0" distB="0" distL="114300" distR="114300">
            <wp:extent cx="533400" cy="2381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0"/>
                    <a:stretch>
                      <a:fillRect/>
                    </a:stretch>
                  </pic:blipFill>
                  <pic:spPr>
                    <a:xfrm>
                      <a:off x="0" y="0"/>
                      <a:ext cx="533400" cy="238125"/>
                    </a:xfrm>
                    <a:prstGeom prst="rect">
                      <a:avLst/>
                    </a:prstGeom>
                    <a:noFill/>
                    <a:ln>
                      <a:noFill/>
                    </a:ln>
                  </pic:spPr>
                </pic:pic>
              </a:graphicData>
            </a:graphic>
          </wp:inline>
        </w:drawing>
      </w:r>
      <w:r>
        <w:t>和透声面积换算成等效的室外声源，计算等效声源第</w:t>
      </w:r>
      <w:r>
        <w:t>i</w:t>
      </w:r>
      <w:r>
        <w:t>个倍频带的声功率级</w:t>
      </w:r>
      <w:r>
        <w:rPr>
          <w:noProof/>
        </w:rPr>
        <w:drawing>
          <wp:inline distT="0" distB="0" distL="114300" distR="114300">
            <wp:extent cx="314325" cy="228600"/>
            <wp:effectExtent l="0" t="0" r="9525" b="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91"/>
                    <a:stretch>
                      <a:fillRect/>
                    </a:stretch>
                  </pic:blipFill>
                  <pic:spPr>
                    <a:xfrm>
                      <a:off x="0" y="0"/>
                      <a:ext cx="314325" cy="228600"/>
                    </a:xfrm>
                    <a:prstGeom prst="rect">
                      <a:avLst/>
                    </a:prstGeom>
                    <a:noFill/>
                    <a:ln>
                      <a:noFill/>
                    </a:ln>
                  </pic:spPr>
                </pic:pic>
              </a:graphicData>
            </a:graphic>
          </wp:inline>
        </w:drawing>
      </w:r>
      <w:r>
        <w:t>：</w:t>
      </w:r>
    </w:p>
    <w:p w14:paraId="237BF129" w14:textId="77777777" w:rsidR="003E78AB" w:rsidRDefault="00010BF9">
      <w:pPr>
        <w:ind w:firstLineChars="0" w:firstLine="0"/>
        <w:jc w:val="center"/>
      </w:pPr>
      <w:r>
        <w:rPr>
          <w:noProof/>
        </w:rPr>
        <w:drawing>
          <wp:inline distT="0" distB="0" distL="114300" distR="114300">
            <wp:extent cx="1515110" cy="238125"/>
            <wp:effectExtent l="0" t="0" r="0" b="9525"/>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92"/>
                    <a:stretch>
                      <a:fillRect/>
                    </a:stretch>
                  </pic:blipFill>
                  <pic:spPr>
                    <a:xfrm>
                      <a:off x="0" y="0"/>
                      <a:ext cx="1515110" cy="238125"/>
                    </a:xfrm>
                    <a:prstGeom prst="rect">
                      <a:avLst/>
                    </a:prstGeom>
                    <a:noFill/>
                    <a:ln>
                      <a:noFill/>
                    </a:ln>
                  </pic:spPr>
                </pic:pic>
              </a:graphicData>
            </a:graphic>
          </wp:inline>
        </w:drawing>
      </w:r>
    </w:p>
    <w:p w14:paraId="64DF8510" w14:textId="77777777" w:rsidR="003E78AB" w:rsidRDefault="00010BF9">
      <w:pPr>
        <w:ind w:firstLine="480"/>
        <w:rPr>
          <w:kern w:val="2"/>
        </w:rPr>
      </w:pPr>
      <w:r>
        <w:rPr>
          <w:kern w:val="2"/>
        </w:rPr>
        <w:t>式中：</w:t>
      </w:r>
    </w:p>
    <w:p w14:paraId="6E00A87A" w14:textId="77777777" w:rsidR="003E78AB" w:rsidRDefault="00010BF9">
      <w:pPr>
        <w:ind w:firstLine="480"/>
        <w:rPr>
          <w:kern w:val="2"/>
        </w:rPr>
      </w:pPr>
      <w:r>
        <w:t>S—</w:t>
      </w:r>
      <w:r>
        <w:t>透声面积，</w:t>
      </w:r>
      <w:r>
        <w:t>m</w:t>
      </w:r>
      <w:r>
        <w:rPr>
          <w:vertAlign w:val="superscript"/>
        </w:rPr>
        <w:t>2</w:t>
      </w:r>
    </w:p>
    <w:p w14:paraId="2A4C3F37" w14:textId="77777777" w:rsidR="003E78AB" w:rsidRDefault="00010BF9">
      <w:pPr>
        <w:ind w:firstLine="480"/>
        <w:rPr>
          <w:kern w:val="2"/>
        </w:rPr>
      </w:pPr>
      <w:r>
        <w:t>等效室外声源的位置为围护结构的位置，其倍频带声功率级为</w:t>
      </w:r>
      <w:r>
        <w:rPr>
          <w:noProof/>
        </w:rPr>
        <w:drawing>
          <wp:inline distT="0" distB="0" distL="114300" distR="114300">
            <wp:extent cx="314325" cy="228600"/>
            <wp:effectExtent l="0" t="0" r="9525" b="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91"/>
                    <a:stretch>
                      <a:fillRect/>
                    </a:stretch>
                  </pic:blipFill>
                  <pic:spPr>
                    <a:xfrm>
                      <a:off x="0" y="0"/>
                      <a:ext cx="314325" cy="228600"/>
                    </a:xfrm>
                    <a:prstGeom prst="rect">
                      <a:avLst/>
                    </a:prstGeom>
                    <a:noFill/>
                    <a:ln>
                      <a:noFill/>
                    </a:ln>
                  </pic:spPr>
                </pic:pic>
              </a:graphicData>
            </a:graphic>
          </wp:inline>
        </w:drawing>
      </w:r>
      <w:r>
        <w:t>，由此按室外声源方法计算等效室外声源在预测点产生的声级。</w:t>
      </w:r>
    </w:p>
    <w:p w14:paraId="4A21F43A" w14:textId="77777777" w:rsidR="003E78AB" w:rsidRDefault="00010BF9">
      <w:pPr>
        <w:ind w:firstLine="480"/>
      </w:pPr>
      <w:r>
        <w:t>④</w:t>
      </w:r>
      <w:r>
        <w:t>计算某个室外声源在预测点产生的倍频带声压级：</w:t>
      </w:r>
    </w:p>
    <w:p w14:paraId="13A32758" w14:textId="77777777" w:rsidR="003E78AB" w:rsidRDefault="00010BF9">
      <w:pPr>
        <w:spacing w:line="240" w:lineRule="atLeast"/>
        <w:ind w:firstLineChars="0" w:firstLine="0"/>
        <w:jc w:val="center"/>
      </w:pPr>
      <w:r>
        <w:rPr>
          <w:noProof/>
        </w:rPr>
        <w:drawing>
          <wp:inline distT="0" distB="0" distL="114300" distR="114300">
            <wp:extent cx="2287270" cy="409575"/>
            <wp:effectExtent l="0" t="0" r="17780" b="8255"/>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
                    <pic:cNvPicPr>
                      <a:picLocks noChangeAspect="1"/>
                    </pic:cNvPicPr>
                  </pic:nvPicPr>
                  <pic:blipFill>
                    <a:blip r:embed="rId93"/>
                    <a:stretch>
                      <a:fillRect/>
                    </a:stretch>
                  </pic:blipFill>
                  <pic:spPr>
                    <a:xfrm>
                      <a:off x="0" y="0"/>
                      <a:ext cx="2287270" cy="409575"/>
                    </a:xfrm>
                    <a:prstGeom prst="rect">
                      <a:avLst/>
                    </a:prstGeom>
                    <a:noFill/>
                    <a:ln>
                      <a:noFill/>
                    </a:ln>
                  </pic:spPr>
                </pic:pic>
              </a:graphicData>
            </a:graphic>
          </wp:inline>
        </w:drawing>
      </w:r>
    </w:p>
    <w:p w14:paraId="75291F60" w14:textId="77777777" w:rsidR="003E78AB" w:rsidRDefault="00010BF9">
      <w:pPr>
        <w:ind w:firstLineChars="0" w:firstLine="480"/>
      </w:pPr>
      <w:r>
        <w:t>式中：</w:t>
      </w:r>
      <w:r>
        <w:rPr>
          <w:noProof/>
        </w:rPr>
        <w:drawing>
          <wp:inline distT="0" distB="0" distL="114300" distR="114300">
            <wp:extent cx="428625" cy="228600"/>
            <wp:effectExtent l="0" t="0" r="889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pic:cNvPicPr>
                      <a:picLocks noChangeAspect="1"/>
                    </pic:cNvPicPr>
                  </pic:nvPicPr>
                  <pic:blipFill>
                    <a:blip r:embed="rId94"/>
                    <a:stretch>
                      <a:fillRect/>
                    </a:stretch>
                  </pic:blipFill>
                  <pic:spPr>
                    <a:xfrm>
                      <a:off x="0" y="0"/>
                      <a:ext cx="428625" cy="228600"/>
                    </a:xfrm>
                    <a:prstGeom prst="rect">
                      <a:avLst/>
                    </a:prstGeom>
                    <a:noFill/>
                    <a:ln>
                      <a:noFill/>
                    </a:ln>
                  </pic:spPr>
                </pic:pic>
              </a:graphicData>
            </a:graphic>
          </wp:inline>
        </w:drawing>
      </w:r>
      <w:r>
        <w:t>—</w:t>
      </w:r>
      <w:r>
        <w:t>点声源在预测点产生的倍频带声压级，</w:t>
      </w:r>
      <w:r>
        <w:t>dB</w:t>
      </w:r>
      <w:r>
        <w:t>；</w:t>
      </w:r>
    </w:p>
    <w:p w14:paraId="45A59FDC" w14:textId="77777777" w:rsidR="003E78AB" w:rsidRDefault="00010BF9">
      <w:pPr>
        <w:ind w:firstLineChars="500" w:firstLine="1200"/>
      </w:pPr>
      <w:r>
        <w:rPr>
          <w:noProof/>
        </w:rPr>
        <w:drawing>
          <wp:inline distT="0" distB="0" distL="114300" distR="114300">
            <wp:extent cx="485775" cy="228600"/>
            <wp:effectExtent l="0" t="0" r="8890" b="0"/>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95"/>
                    <a:stretch>
                      <a:fillRect/>
                    </a:stretch>
                  </pic:blipFill>
                  <pic:spPr>
                    <a:xfrm>
                      <a:off x="0" y="0"/>
                      <a:ext cx="485775" cy="228600"/>
                    </a:xfrm>
                    <a:prstGeom prst="rect">
                      <a:avLst/>
                    </a:prstGeom>
                    <a:noFill/>
                    <a:ln>
                      <a:noFill/>
                    </a:ln>
                  </pic:spPr>
                </pic:pic>
              </a:graphicData>
            </a:graphic>
          </wp:inline>
        </w:drawing>
      </w:r>
      <w:r>
        <w:t>—</w:t>
      </w:r>
      <w:r>
        <w:t>参考位置</w:t>
      </w:r>
      <w:r>
        <w:rPr>
          <w:noProof/>
        </w:rPr>
        <w:drawing>
          <wp:inline distT="0" distB="0" distL="114300" distR="114300">
            <wp:extent cx="142875" cy="228600"/>
            <wp:effectExtent l="0" t="0" r="9525" b="0"/>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96"/>
                    <a:stretch>
                      <a:fillRect/>
                    </a:stretch>
                  </pic:blipFill>
                  <pic:spPr>
                    <a:xfrm>
                      <a:off x="0" y="0"/>
                      <a:ext cx="142875" cy="228600"/>
                    </a:xfrm>
                    <a:prstGeom prst="rect">
                      <a:avLst/>
                    </a:prstGeom>
                    <a:noFill/>
                    <a:ln>
                      <a:noFill/>
                    </a:ln>
                  </pic:spPr>
                </pic:pic>
              </a:graphicData>
            </a:graphic>
          </wp:inline>
        </w:drawing>
      </w:r>
      <w:r>
        <w:t>处的倍频带声压级，</w:t>
      </w:r>
      <w:r>
        <w:t>dB</w:t>
      </w:r>
      <w:r>
        <w:t>；</w:t>
      </w:r>
    </w:p>
    <w:p w14:paraId="7DF289AB" w14:textId="77777777" w:rsidR="003E78AB" w:rsidRDefault="00010BF9">
      <w:pPr>
        <w:ind w:firstLineChars="500" w:firstLine="1200"/>
      </w:pPr>
      <w:r>
        <w:rPr>
          <w:noProof/>
        </w:rPr>
        <w:drawing>
          <wp:inline distT="0" distB="0" distL="114300" distR="114300">
            <wp:extent cx="114300" cy="123825"/>
            <wp:effectExtent l="0" t="0" r="0" b="571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97"/>
                    <a:stretch>
                      <a:fillRect/>
                    </a:stretch>
                  </pic:blipFill>
                  <pic:spPr>
                    <a:xfrm>
                      <a:off x="0" y="0"/>
                      <a:ext cx="114300" cy="123825"/>
                    </a:xfrm>
                    <a:prstGeom prst="rect">
                      <a:avLst/>
                    </a:prstGeom>
                    <a:noFill/>
                    <a:ln>
                      <a:noFill/>
                    </a:ln>
                  </pic:spPr>
                </pic:pic>
              </a:graphicData>
            </a:graphic>
          </wp:inline>
        </w:drawing>
      </w:r>
      <w:r>
        <w:t>—</w:t>
      </w:r>
      <w:r>
        <w:t>预测点距声源的距离，</w:t>
      </w:r>
      <w:r>
        <w:t>m</w:t>
      </w:r>
      <w:r>
        <w:t>；</w:t>
      </w:r>
    </w:p>
    <w:p w14:paraId="5C9861A7" w14:textId="77777777" w:rsidR="003E78AB" w:rsidRDefault="00010BF9">
      <w:pPr>
        <w:ind w:firstLineChars="500" w:firstLine="1200"/>
      </w:pPr>
      <w:r>
        <w:rPr>
          <w:noProof/>
        </w:rPr>
        <w:drawing>
          <wp:inline distT="0" distB="0" distL="114300" distR="114300">
            <wp:extent cx="142875" cy="228600"/>
            <wp:effectExtent l="0" t="0" r="9525" b="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98"/>
                    <a:stretch>
                      <a:fillRect/>
                    </a:stretch>
                  </pic:blipFill>
                  <pic:spPr>
                    <a:xfrm>
                      <a:off x="0" y="0"/>
                      <a:ext cx="142875" cy="228600"/>
                    </a:xfrm>
                    <a:prstGeom prst="rect">
                      <a:avLst/>
                    </a:prstGeom>
                    <a:noFill/>
                    <a:ln>
                      <a:noFill/>
                    </a:ln>
                  </pic:spPr>
                </pic:pic>
              </a:graphicData>
            </a:graphic>
          </wp:inline>
        </w:drawing>
      </w:r>
      <w:r>
        <w:t>—</w:t>
      </w:r>
      <w:r>
        <w:t>参考位置距声源的距离，</w:t>
      </w:r>
      <w:r>
        <w:t>m</w:t>
      </w:r>
      <w:r>
        <w:t>；</w:t>
      </w:r>
    </w:p>
    <w:p w14:paraId="5CE7194F" w14:textId="77777777" w:rsidR="003E78AB" w:rsidRDefault="00010BF9">
      <w:pPr>
        <w:ind w:firstLineChars="500" w:firstLine="1200"/>
      </w:pPr>
      <w:r>
        <w:rPr>
          <w:noProof/>
        </w:rPr>
        <w:drawing>
          <wp:inline distT="0" distB="0" distL="114300" distR="114300">
            <wp:extent cx="342900" cy="228600"/>
            <wp:effectExtent l="0" t="0" r="0" b="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99"/>
                    <a:stretch>
                      <a:fillRect/>
                    </a:stretch>
                  </pic:blipFill>
                  <pic:spPr>
                    <a:xfrm>
                      <a:off x="0" y="0"/>
                      <a:ext cx="342900" cy="228600"/>
                    </a:xfrm>
                    <a:prstGeom prst="rect">
                      <a:avLst/>
                    </a:prstGeom>
                    <a:noFill/>
                    <a:ln>
                      <a:noFill/>
                    </a:ln>
                  </pic:spPr>
                </pic:pic>
              </a:graphicData>
            </a:graphic>
          </wp:inline>
        </w:drawing>
      </w:r>
      <w:r>
        <w:t>—</w:t>
      </w:r>
      <w:r>
        <w:t>各种因素引起的衰减量，</w:t>
      </w:r>
      <w:r>
        <w:t>dB</w:t>
      </w:r>
      <w:r>
        <w:t>。</w:t>
      </w:r>
    </w:p>
    <w:p w14:paraId="28C2DD24" w14:textId="77777777" w:rsidR="003E78AB" w:rsidRDefault="00010BF9">
      <w:pPr>
        <w:ind w:firstLineChars="0" w:firstLine="480"/>
      </w:pPr>
      <w:r>
        <w:t>如已知声源的倍频带声功率级</w:t>
      </w:r>
      <w:r>
        <w:rPr>
          <w:noProof/>
        </w:rPr>
        <w:drawing>
          <wp:inline distT="0" distB="0" distL="114300" distR="114300">
            <wp:extent cx="314325" cy="228600"/>
            <wp:effectExtent l="0" t="0" r="9525"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91"/>
                    <a:stretch>
                      <a:fillRect/>
                    </a:stretch>
                  </pic:blipFill>
                  <pic:spPr>
                    <a:xfrm>
                      <a:off x="0" y="0"/>
                      <a:ext cx="314325" cy="228600"/>
                    </a:xfrm>
                    <a:prstGeom prst="rect">
                      <a:avLst/>
                    </a:prstGeom>
                    <a:noFill/>
                    <a:ln>
                      <a:noFill/>
                    </a:ln>
                  </pic:spPr>
                </pic:pic>
              </a:graphicData>
            </a:graphic>
          </wp:inline>
        </w:drawing>
      </w:r>
      <w:r>
        <w:t>，且声源可看作是位于地面上的，则</w:t>
      </w:r>
    </w:p>
    <w:p w14:paraId="56AA8811" w14:textId="77777777" w:rsidR="003E78AB" w:rsidRDefault="00010BF9">
      <w:pPr>
        <w:ind w:firstLineChars="0" w:firstLine="0"/>
        <w:jc w:val="center"/>
      </w:pPr>
      <w:r>
        <w:rPr>
          <w:noProof/>
        </w:rPr>
        <w:drawing>
          <wp:inline distT="0" distB="0" distL="114300" distR="114300">
            <wp:extent cx="1704340" cy="228600"/>
            <wp:effectExtent l="0" t="0" r="10160" b="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100"/>
                    <a:stretch>
                      <a:fillRect/>
                    </a:stretch>
                  </pic:blipFill>
                  <pic:spPr>
                    <a:xfrm>
                      <a:off x="0" y="0"/>
                      <a:ext cx="1704340" cy="228600"/>
                    </a:xfrm>
                    <a:prstGeom prst="rect">
                      <a:avLst/>
                    </a:prstGeom>
                    <a:noFill/>
                    <a:ln>
                      <a:noFill/>
                    </a:ln>
                  </pic:spPr>
                </pic:pic>
              </a:graphicData>
            </a:graphic>
          </wp:inline>
        </w:drawing>
      </w:r>
    </w:p>
    <w:p w14:paraId="6732D3C8" w14:textId="77777777" w:rsidR="003E78AB" w:rsidRDefault="00010BF9">
      <w:pPr>
        <w:ind w:firstLine="480"/>
      </w:pPr>
      <w:r>
        <w:t>由各倍频带声压级合成计算该声源产生的</w:t>
      </w:r>
      <w:r>
        <w:t>A</w:t>
      </w:r>
      <w:r>
        <w:t>声级</w:t>
      </w:r>
      <w:r>
        <w:rPr>
          <w:noProof/>
        </w:rPr>
        <w:drawing>
          <wp:inline distT="0" distB="0" distL="114300" distR="114300">
            <wp:extent cx="485775" cy="219075"/>
            <wp:effectExtent l="0" t="0" r="8890" b="9525"/>
            <wp:docPr id="6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7"/>
                    <pic:cNvPicPr>
                      <a:picLocks noChangeAspect="1"/>
                    </pic:cNvPicPr>
                  </pic:nvPicPr>
                  <pic:blipFill>
                    <a:blip r:embed="rId101"/>
                    <a:stretch>
                      <a:fillRect/>
                    </a:stretch>
                  </pic:blipFill>
                  <pic:spPr>
                    <a:xfrm>
                      <a:off x="0" y="0"/>
                      <a:ext cx="485775" cy="219075"/>
                    </a:xfrm>
                    <a:prstGeom prst="rect">
                      <a:avLst/>
                    </a:prstGeom>
                    <a:noFill/>
                    <a:ln>
                      <a:noFill/>
                    </a:ln>
                  </pic:spPr>
                </pic:pic>
              </a:graphicData>
            </a:graphic>
          </wp:inline>
        </w:drawing>
      </w:r>
      <w:r>
        <w:t>。</w:t>
      </w:r>
    </w:p>
    <w:p w14:paraId="23F3972B" w14:textId="77777777" w:rsidR="003E78AB" w:rsidRDefault="00010BF9">
      <w:pPr>
        <w:ind w:firstLine="480"/>
        <w:rPr>
          <w:kern w:val="2"/>
        </w:rPr>
      </w:pPr>
      <w:r>
        <w:rPr>
          <w:kern w:val="2"/>
        </w:rPr>
        <w:t>⑤</w:t>
      </w:r>
      <w:r>
        <w:rPr>
          <w:kern w:val="2"/>
        </w:rPr>
        <w:t>计算总声压级</w:t>
      </w:r>
    </w:p>
    <w:p w14:paraId="52FB1B98" w14:textId="77777777" w:rsidR="003E78AB" w:rsidRDefault="00010BF9">
      <w:pPr>
        <w:ind w:firstLine="480"/>
      </w:pPr>
      <w:r>
        <w:t>设第</w:t>
      </w:r>
      <w:r>
        <w:t>i</w:t>
      </w:r>
      <w:r>
        <w:t>个室外声源在预测点产生的</w:t>
      </w:r>
      <w:r>
        <w:t>A</w:t>
      </w:r>
      <w:r>
        <w:t>声级为</w:t>
      </w:r>
      <w:r>
        <w:rPr>
          <w:noProof/>
        </w:rPr>
        <w:drawing>
          <wp:inline distT="0" distB="0" distL="114300" distR="114300">
            <wp:extent cx="333375" cy="238125"/>
            <wp:effectExtent l="0" t="0" r="9525" b="7620"/>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102"/>
                    <a:stretch>
                      <a:fillRect/>
                    </a:stretch>
                  </pic:blipFill>
                  <pic:spPr>
                    <a:xfrm>
                      <a:off x="0" y="0"/>
                      <a:ext cx="333375" cy="238125"/>
                    </a:xfrm>
                    <a:prstGeom prst="rect">
                      <a:avLst/>
                    </a:prstGeom>
                    <a:noFill/>
                    <a:ln>
                      <a:noFill/>
                    </a:ln>
                  </pic:spPr>
                </pic:pic>
              </a:graphicData>
            </a:graphic>
          </wp:inline>
        </w:drawing>
      </w:r>
      <w:r>
        <w:t>，在</w:t>
      </w:r>
      <w:r>
        <w:rPr>
          <w:noProof/>
        </w:rPr>
        <w:drawing>
          <wp:inline distT="0" distB="0" distL="114300" distR="114300">
            <wp:extent cx="142875" cy="161925"/>
            <wp:effectExtent l="0" t="0" r="9525" b="635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103"/>
                    <a:stretch>
                      <a:fillRect/>
                    </a:stretch>
                  </pic:blipFill>
                  <pic:spPr>
                    <a:xfrm>
                      <a:off x="0" y="0"/>
                      <a:ext cx="142875" cy="161925"/>
                    </a:xfrm>
                    <a:prstGeom prst="rect">
                      <a:avLst/>
                    </a:prstGeom>
                    <a:noFill/>
                    <a:ln>
                      <a:noFill/>
                    </a:ln>
                  </pic:spPr>
                </pic:pic>
              </a:graphicData>
            </a:graphic>
          </wp:inline>
        </w:drawing>
      </w:r>
      <w:r>
        <w:t>时间内该声源工作时间为</w:t>
      </w:r>
      <w:r>
        <w:rPr>
          <w:noProof/>
        </w:rPr>
        <w:drawing>
          <wp:inline distT="0" distB="0" distL="114300" distR="114300">
            <wp:extent cx="219075" cy="238125"/>
            <wp:effectExtent l="0" t="0" r="9525" b="635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104"/>
                    <a:stretch>
                      <a:fillRect/>
                    </a:stretch>
                  </pic:blipFill>
                  <pic:spPr>
                    <a:xfrm>
                      <a:off x="0" y="0"/>
                      <a:ext cx="219075" cy="238125"/>
                    </a:xfrm>
                    <a:prstGeom prst="rect">
                      <a:avLst/>
                    </a:prstGeom>
                    <a:noFill/>
                    <a:ln>
                      <a:noFill/>
                    </a:ln>
                  </pic:spPr>
                </pic:pic>
              </a:graphicData>
            </a:graphic>
          </wp:inline>
        </w:drawing>
      </w:r>
      <w:r>
        <w:t>，第</w:t>
      </w:r>
      <w:r>
        <w:t>j</w:t>
      </w:r>
      <w:r>
        <w:t>个等效室外声源在预测点产生的</w:t>
      </w:r>
      <w:r>
        <w:t>A</w:t>
      </w:r>
      <w:r>
        <w:t>声级为</w:t>
      </w:r>
      <w:r>
        <w:rPr>
          <w:noProof/>
        </w:rPr>
        <w:drawing>
          <wp:inline distT="0" distB="0" distL="114300" distR="114300">
            <wp:extent cx="390525" cy="238125"/>
            <wp:effectExtent l="0" t="0" r="9525" b="7620"/>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105"/>
                    <a:stretch>
                      <a:fillRect/>
                    </a:stretch>
                  </pic:blipFill>
                  <pic:spPr>
                    <a:xfrm>
                      <a:off x="0" y="0"/>
                      <a:ext cx="390525" cy="238125"/>
                    </a:xfrm>
                    <a:prstGeom prst="rect">
                      <a:avLst/>
                    </a:prstGeom>
                    <a:noFill/>
                    <a:ln>
                      <a:noFill/>
                    </a:ln>
                  </pic:spPr>
                </pic:pic>
              </a:graphicData>
            </a:graphic>
          </wp:inline>
        </w:drawing>
      </w:r>
      <w:r>
        <w:t>，在</w:t>
      </w:r>
      <w:r>
        <w:rPr>
          <w:noProof/>
        </w:rPr>
        <w:drawing>
          <wp:inline distT="0" distB="0" distL="114300" distR="114300">
            <wp:extent cx="142875" cy="161925"/>
            <wp:effectExtent l="0" t="0" r="9525" b="635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103"/>
                    <a:stretch>
                      <a:fillRect/>
                    </a:stretch>
                  </pic:blipFill>
                  <pic:spPr>
                    <a:xfrm>
                      <a:off x="0" y="0"/>
                      <a:ext cx="142875" cy="161925"/>
                    </a:xfrm>
                    <a:prstGeom prst="rect">
                      <a:avLst/>
                    </a:prstGeom>
                    <a:noFill/>
                    <a:ln>
                      <a:noFill/>
                    </a:ln>
                  </pic:spPr>
                </pic:pic>
              </a:graphicData>
            </a:graphic>
          </wp:inline>
        </w:drawing>
      </w:r>
      <w:r>
        <w:t>时间内该声源工作时间为</w:t>
      </w:r>
      <w:r>
        <w:rPr>
          <w:noProof/>
        </w:rPr>
        <w:drawing>
          <wp:inline distT="0" distB="0" distL="114300" distR="114300">
            <wp:extent cx="295275" cy="238125"/>
            <wp:effectExtent l="0" t="0" r="9525" b="635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106"/>
                    <a:stretch>
                      <a:fillRect/>
                    </a:stretch>
                  </pic:blipFill>
                  <pic:spPr>
                    <a:xfrm>
                      <a:off x="0" y="0"/>
                      <a:ext cx="295275" cy="238125"/>
                    </a:xfrm>
                    <a:prstGeom prst="rect">
                      <a:avLst/>
                    </a:prstGeom>
                    <a:noFill/>
                    <a:ln>
                      <a:noFill/>
                    </a:ln>
                  </pic:spPr>
                </pic:pic>
              </a:graphicData>
            </a:graphic>
          </wp:inline>
        </w:drawing>
      </w:r>
      <w:r>
        <w:t>，则预测点的总等效声级为：</w:t>
      </w:r>
    </w:p>
    <w:p w14:paraId="065E814C" w14:textId="77777777" w:rsidR="003E78AB" w:rsidRDefault="00010BF9">
      <w:pPr>
        <w:spacing w:line="240" w:lineRule="atLeast"/>
        <w:ind w:firstLineChars="0" w:firstLine="0"/>
        <w:jc w:val="center"/>
      </w:pPr>
      <w:r>
        <w:rPr>
          <w:noProof/>
        </w:rPr>
        <w:drawing>
          <wp:inline distT="0" distB="0" distL="114300" distR="114300">
            <wp:extent cx="3276600" cy="485775"/>
            <wp:effectExtent l="0" t="0" r="0" b="8890"/>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107"/>
                    <a:stretch>
                      <a:fillRect/>
                    </a:stretch>
                  </pic:blipFill>
                  <pic:spPr>
                    <a:xfrm>
                      <a:off x="0" y="0"/>
                      <a:ext cx="3276600" cy="485775"/>
                    </a:xfrm>
                    <a:prstGeom prst="rect">
                      <a:avLst/>
                    </a:prstGeom>
                    <a:noFill/>
                    <a:ln>
                      <a:noFill/>
                    </a:ln>
                  </pic:spPr>
                </pic:pic>
              </a:graphicData>
            </a:graphic>
          </wp:inline>
        </w:drawing>
      </w:r>
    </w:p>
    <w:p w14:paraId="7292E360" w14:textId="77777777" w:rsidR="003E78AB" w:rsidRDefault="00010BF9">
      <w:pPr>
        <w:ind w:firstLineChars="0" w:firstLine="480"/>
      </w:pPr>
      <w:r>
        <w:t>式中：</w:t>
      </w:r>
      <w:r>
        <w:rPr>
          <w:noProof/>
        </w:rPr>
        <w:drawing>
          <wp:inline distT="0" distB="0" distL="114300" distR="114300">
            <wp:extent cx="142875" cy="161925"/>
            <wp:effectExtent l="0" t="0" r="9525" b="635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103"/>
                    <a:stretch>
                      <a:fillRect/>
                    </a:stretch>
                  </pic:blipFill>
                  <pic:spPr>
                    <a:xfrm>
                      <a:off x="0" y="0"/>
                      <a:ext cx="142875" cy="161925"/>
                    </a:xfrm>
                    <a:prstGeom prst="rect">
                      <a:avLst/>
                    </a:prstGeom>
                    <a:noFill/>
                    <a:ln>
                      <a:noFill/>
                    </a:ln>
                  </pic:spPr>
                </pic:pic>
              </a:graphicData>
            </a:graphic>
          </wp:inline>
        </w:drawing>
      </w:r>
      <w:r>
        <w:t>—</w:t>
      </w:r>
      <w:r>
        <w:t>计算等效声级的时间，</w:t>
      </w:r>
      <w:r>
        <w:t>h</w:t>
      </w:r>
      <w:r>
        <w:t>；</w:t>
      </w:r>
    </w:p>
    <w:p w14:paraId="0829BE82" w14:textId="77777777" w:rsidR="003E78AB" w:rsidRDefault="00010BF9">
      <w:pPr>
        <w:ind w:firstLineChars="500" w:firstLine="1200"/>
      </w:pPr>
      <w:r>
        <w:rPr>
          <w:noProof/>
        </w:rPr>
        <w:drawing>
          <wp:inline distT="0" distB="0" distL="114300" distR="114300">
            <wp:extent cx="180975" cy="180975"/>
            <wp:effectExtent l="0" t="0" r="9525" b="889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108"/>
                    <a:stretch>
                      <a:fillRect/>
                    </a:stretch>
                  </pic:blipFill>
                  <pic:spPr>
                    <a:xfrm>
                      <a:off x="0" y="0"/>
                      <a:ext cx="180975" cy="180975"/>
                    </a:xfrm>
                    <a:prstGeom prst="rect">
                      <a:avLst/>
                    </a:prstGeom>
                    <a:noFill/>
                    <a:ln>
                      <a:noFill/>
                    </a:ln>
                  </pic:spPr>
                </pic:pic>
              </a:graphicData>
            </a:graphic>
          </wp:inline>
        </w:drawing>
      </w:r>
      <w:r>
        <w:t>—</w:t>
      </w:r>
      <w:r>
        <w:t>室外声源个数；</w:t>
      </w:r>
    </w:p>
    <w:p w14:paraId="447E329B" w14:textId="77777777" w:rsidR="003E78AB" w:rsidRDefault="00010BF9">
      <w:pPr>
        <w:ind w:firstLine="480"/>
        <w:rPr>
          <w:kern w:val="2"/>
        </w:rPr>
      </w:pPr>
      <w:r>
        <w:rPr>
          <w:noProof/>
        </w:rPr>
        <w:drawing>
          <wp:inline distT="0" distB="0" distL="114300" distR="114300">
            <wp:extent cx="200025" cy="161925"/>
            <wp:effectExtent l="0" t="0" r="0" b="6350"/>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109"/>
                    <a:stretch>
                      <a:fillRect/>
                    </a:stretch>
                  </pic:blipFill>
                  <pic:spPr>
                    <a:xfrm>
                      <a:off x="0" y="0"/>
                      <a:ext cx="200025" cy="161925"/>
                    </a:xfrm>
                    <a:prstGeom prst="rect">
                      <a:avLst/>
                    </a:prstGeom>
                    <a:noFill/>
                    <a:ln>
                      <a:noFill/>
                    </a:ln>
                  </pic:spPr>
                </pic:pic>
              </a:graphicData>
            </a:graphic>
          </wp:inline>
        </w:drawing>
      </w:r>
      <w:r>
        <w:t>—</w:t>
      </w:r>
      <w:r>
        <w:t>等效室外声源个数。</w:t>
      </w:r>
    </w:p>
    <w:p w14:paraId="386832AF" w14:textId="77777777" w:rsidR="003E78AB" w:rsidRDefault="00010BF9">
      <w:pPr>
        <w:ind w:firstLine="480"/>
        <w:rPr>
          <w:kern w:val="2"/>
        </w:rPr>
      </w:pPr>
      <w:r>
        <w:rPr>
          <w:i/>
          <w:kern w:val="2"/>
        </w:rPr>
        <w:t>L</w:t>
      </w:r>
      <w:r>
        <w:rPr>
          <w:i/>
          <w:kern w:val="2"/>
          <w:vertAlign w:val="subscript"/>
        </w:rPr>
        <w:t>eqb</w:t>
      </w:r>
      <w:r>
        <w:rPr>
          <w:kern w:val="2"/>
        </w:rPr>
        <w:t>－预测点的背景值，</w:t>
      </w:r>
      <w:r>
        <w:rPr>
          <w:kern w:val="2"/>
        </w:rPr>
        <w:t>dB(A)</w:t>
      </w:r>
      <w:r>
        <w:rPr>
          <w:kern w:val="2"/>
        </w:rPr>
        <w:t>。</w:t>
      </w:r>
    </w:p>
    <w:p w14:paraId="106D3D44" w14:textId="77777777" w:rsidR="003E78AB" w:rsidRDefault="00010BF9">
      <w:pPr>
        <w:pStyle w:val="5"/>
        <w:keepNext w:val="0"/>
        <w:keepLines w:val="0"/>
        <w:ind w:firstLine="482"/>
        <w:rPr>
          <w:sz w:val="24"/>
        </w:rPr>
      </w:pPr>
      <w:r>
        <w:rPr>
          <w:rFonts w:hint="eastAsia"/>
          <w:sz w:val="24"/>
        </w:rPr>
        <w:t>2.</w:t>
      </w:r>
      <w:r>
        <w:rPr>
          <w:sz w:val="24"/>
        </w:rPr>
        <w:t>基础数据</w:t>
      </w:r>
    </w:p>
    <w:p w14:paraId="49D41D70" w14:textId="77777777" w:rsidR="003E78AB" w:rsidRDefault="00010BF9">
      <w:pPr>
        <w:ind w:firstLine="480"/>
        <w:rPr>
          <w:kern w:val="2"/>
        </w:rPr>
      </w:pPr>
      <w:r>
        <w:rPr>
          <w:kern w:val="2"/>
        </w:rPr>
        <w:t>本次评价按《环境影响评价技术导则</w:t>
      </w:r>
      <w:r>
        <w:rPr>
          <w:rFonts w:hint="eastAsia"/>
          <w:kern w:val="2"/>
        </w:rPr>
        <w:t xml:space="preserve"> </w:t>
      </w:r>
      <w:r>
        <w:rPr>
          <w:kern w:val="2"/>
        </w:rPr>
        <w:t>声环境》（</w:t>
      </w:r>
      <w:r>
        <w:rPr>
          <w:kern w:val="2"/>
        </w:rPr>
        <w:t>HJ2.4-2021</w:t>
      </w:r>
      <w:r>
        <w:rPr>
          <w:kern w:val="2"/>
        </w:rPr>
        <w:t>）的要求，对本项目投入运营后的厂界噪声级分布做出分析，根据项目区平面布置以及各个噪声源位置等，根据其隔声效果、距离衰减等，最终给出受影响的范围和程度。</w:t>
      </w:r>
    </w:p>
    <w:p w14:paraId="697A3351" w14:textId="77777777" w:rsidR="003E78AB" w:rsidRDefault="00010BF9">
      <w:pPr>
        <w:ind w:firstLine="480"/>
        <w:rPr>
          <w:kern w:val="2"/>
        </w:rPr>
      </w:pPr>
      <w:r>
        <w:t>项目噪声环境影响预测基础数据见</w:t>
      </w:r>
      <w:r>
        <w:fldChar w:fldCharType="begin"/>
      </w:r>
      <w:r>
        <w:instrText xml:space="preserve"> REF _Ref15434 \r \h </w:instrText>
      </w:r>
      <w:r>
        <w:fldChar w:fldCharType="separate"/>
      </w:r>
      <w:r>
        <w:t>表</w:t>
      </w:r>
      <w:r>
        <w:t>5-66</w:t>
      </w:r>
      <w:r>
        <w:fldChar w:fldCharType="end"/>
      </w:r>
      <w:r>
        <w:rPr>
          <w:kern w:val="2"/>
        </w:rPr>
        <w:t>。</w:t>
      </w:r>
    </w:p>
    <w:p w14:paraId="100F9E45" w14:textId="77777777" w:rsidR="003E78AB" w:rsidRDefault="00010BF9">
      <w:pPr>
        <w:pStyle w:val="a4"/>
        <w:spacing w:before="120"/>
        <w:ind w:left="425" w:hanging="425"/>
      </w:pPr>
      <w:bookmarkStart w:id="392" w:name="_Ref15434"/>
      <w:r>
        <w:t>影响声波传播的各类参量表</w:t>
      </w:r>
      <w:bookmarkEnd w:id="392"/>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6"/>
        <w:gridCol w:w="2868"/>
        <w:gridCol w:w="2696"/>
      </w:tblGrid>
      <w:tr w:rsidR="003E78AB" w14:paraId="01BA9342" w14:textId="77777777">
        <w:trPr>
          <w:trHeight w:val="50"/>
          <w:tblHeader/>
          <w:jc w:val="center"/>
        </w:trPr>
        <w:tc>
          <w:tcPr>
            <w:tcW w:w="2666" w:type="dxa"/>
            <w:shd w:val="clear" w:color="auto" w:fill="auto"/>
            <w:vAlign w:val="center"/>
          </w:tcPr>
          <w:p w14:paraId="42376980" w14:textId="77777777" w:rsidR="003E78AB" w:rsidRDefault="00010BF9">
            <w:pPr>
              <w:pStyle w:val="aff6"/>
              <w:topLinePunct/>
              <w:rPr>
                <w:b/>
                <w:bCs/>
              </w:rPr>
            </w:pPr>
            <w:r>
              <w:rPr>
                <w:b/>
                <w:bCs/>
              </w:rPr>
              <w:t>项目所在区域</w:t>
            </w:r>
          </w:p>
        </w:tc>
        <w:tc>
          <w:tcPr>
            <w:tcW w:w="2868" w:type="dxa"/>
            <w:shd w:val="clear" w:color="auto" w:fill="auto"/>
            <w:vAlign w:val="center"/>
          </w:tcPr>
          <w:p w14:paraId="62D72253" w14:textId="77777777" w:rsidR="003E78AB" w:rsidRDefault="00010BF9">
            <w:pPr>
              <w:pStyle w:val="aff6"/>
              <w:topLinePunct/>
              <w:rPr>
                <w:b/>
                <w:bCs/>
              </w:rPr>
            </w:pPr>
            <w:r>
              <w:rPr>
                <w:b/>
                <w:bCs/>
              </w:rPr>
              <w:t>参量</w:t>
            </w:r>
          </w:p>
        </w:tc>
        <w:tc>
          <w:tcPr>
            <w:tcW w:w="2696" w:type="dxa"/>
            <w:shd w:val="clear" w:color="auto" w:fill="auto"/>
            <w:vAlign w:val="center"/>
          </w:tcPr>
          <w:p w14:paraId="724CA749" w14:textId="77777777" w:rsidR="003E78AB" w:rsidRDefault="00010BF9">
            <w:pPr>
              <w:pStyle w:val="aff6"/>
              <w:topLinePunct/>
              <w:rPr>
                <w:b/>
                <w:bCs/>
              </w:rPr>
            </w:pPr>
            <w:r>
              <w:rPr>
                <w:b/>
                <w:bCs/>
              </w:rPr>
              <w:t>取值</w:t>
            </w:r>
          </w:p>
        </w:tc>
      </w:tr>
      <w:tr w:rsidR="003E78AB" w14:paraId="6703C79C" w14:textId="77777777">
        <w:trPr>
          <w:trHeight w:val="75"/>
          <w:jc w:val="center"/>
        </w:trPr>
        <w:tc>
          <w:tcPr>
            <w:tcW w:w="2666" w:type="dxa"/>
            <w:vMerge w:val="restart"/>
            <w:shd w:val="clear" w:color="auto" w:fill="auto"/>
            <w:vAlign w:val="center"/>
          </w:tcPr>
          <w:p w14:paraId="6DB008A4" w14:textId="77777777" w:rsidR="003E78AB" w:rsidRDefault="00010BF9">
            <w:pPr>
              <w:pStyle w:val="aff6"/>
              <w:topLinePunct/>
            </w:pPr>
            <w:r>
              <w:t>哈密市</w:t>
            </w:r>
          </w:p>
        </w:tc>
        <w:tc>
          <w:tcPr>
            <w:tcW w:w="2868" w:type="dxa"/>
            <w:shd w:val="clear" w:color="auto" w:fill="auto"/>
            <w:vAlign w:val="center"/>
          </w:tcPr>
          <w:p w14:paraId="1548683B" w14:textId="77777777" w:rsidR="003E78AB" w:rsidRDefault="00010BF9">
            <w:pPr>
              <w:pStyle w:val="aff6"/>
              <w:topLinePunct/>
              <w:rPr>
                <w:lang w:eastAsia="en-US"/>
              </w:rPr>
            </w:pPr>
            <w:r>
              <w:rPr>
                <w:lang w:eastAsia="en-US"/>
              </w:rPr>
              <w:t>主导风向</w:t>
            </w:r>
          </w:p>
        </w:tc>
        <w:tc>
          <w:tcPr>
            <w:tcW w:w="2696" w:type="dxa"/>
            <w:shd w:val="clear" w:color="auto" w:fill="auto"/>
            <w:vAlign w:val="center"/>
          </w:tcPr>
          <w:p w14:paraId="15D3522A" w14:textId="77777777" w:rsidR="003E78AB" w:rsidRDefault="00010BF9">
            <w:pPr>
              <w:pStyle w:val="aff6"/>
              <w:topLinePunct/>
            </w:pPr>
            <w:r>
              <w:t>东北</w:t>
            </w:r>
          </w:p>
        </w:tc>
      </w:tr>
      <w:tr w:rsidR="003E78AB" w14:paraId="724235B8" w14:textId="77777777">
        <w:trPr>
          <w:trHeight w:val="111"/>
          <w:jc w:val="center"/>
        </w:trPr>
        <w:tc>
          <w:tcPr>
            <w:tcW w:w="2666" w:type="dxa"/>
            <w:vMerge/>
            <w:shd w:val="clear" w:color="auto" w:fill="auto"/>
            <w:vAlign w:val="center"/>
          </w:tcPr>
          <w:p w14:paraId="170D87E9" w14:textId="77777777" w:rsidR="003E78AB" w:rsidRDefault="003E78AB">
            <w:pPr>
              <w:pStyle w:val="aff6"/>
              <w:topLinePunct/>
            </w:pPr>
          </w:p>
        </w:tc>
        <w:tc>
          <w:tcPr>
            <w:tcW w:w="2868" w:type="dxa"/>
            <w:shd w:val="clear" w:color="auto" w:fill="auto"/>
            <w:vAlign w:val="center"/>
          </w:tcPr>
          <w:p w14:paraId="7D23C01F" w14:textId="77777777" w:rsidR="003E78AB" w:rsidRDefault="00010BF9">
            <w:pPr>
              <w:pStyle w:val="aff6"/>
              <w:topLinePunct/>
            </w:pPr>
            <w:r>
              <w:t>平均风速（</w:t>
            </w:r>
            <w:r>
              <w:t>m/s</w:t>
            </w:r>
            <w:r>
              <w:t>）</w:t>
            </w:r>
          </w:p>
        </w:tc>
        <w:tc>
          <w:tcPr>
            <w:tcW w:w="2696" w:type="dxa"/>
            <w:shd w:val="clear" w:color="auto" w:fill="auto"/>
            <w:vAlign w:val="center"/>
          </w:tcPr>
          <w:p w14:paraId="5F8E543B" w14:textId="77777777" w:rsidR="003E78AB" w:rsidRDefault="00010BF9">
            <w:pPr>
              <w:pStyle w:val="aff6"/>
              <w:topLinePunct/>
            </w:pPr>
            <w:r>
              <w:t>1.9</w:t>
            </w:r>
          </w:p>
        </w:tc>
      </w:tr>
      <w:tr w:rsidR="003E78AB" w14:paraId="0F58E2EF" w14:textId="77777777">
        <w:trPr>
          <w:trHeight w:val="75"/>
          <w:jc w:val="center"/>
        </w:trPr>
        <w:tc>
          <w:tcPr>
            <w:tcW w:w="2666" w:type="dxa"/>
            <w:vMerge/>
            <w:shd w:val="clear" w:color="auto" w:fill="auto"/>
            <w:vAlign w:val="center"/>
          </w:tcPr>
          <w:p w14:paraId="7113CF53" w14:textId="77777777" w:rsidR="003E78AB" w:rsidRDefault="003E78AB">
            <w:pPr>
              <w:pStyle w:val="aff6"/>
              <w:topLinePunct/>
            </w:pPr>
          </w:p>
        </w:tc>
        <w:tc>
          <w:tcPr>
            <w:tcW w:w="2868" w:type="dxa"/>
            <w:shd w:val="clear" w:color="auto" w:fill="auto"/>
            <w:vAlign w:val="center"/>
          </w:tcPr>
          <w:p w14:paraId="20058A2E" w14:textId="77777777" w:rsidR="003E78AB" w:rsidRDefault="00010BF9">
            <w:pPr>
              <w:pStyle w:val="aff6"/>
              <w:topLinePunct/>
              <w:rPr>
                <w:lang w:eastAsia="en-US"/>
              </w:rPr>
            </w:pPr>
            <w:r>
              <w:rPr>
                <w:lang w:eastAsia="en-US"/>
              </w:rPr>
              <w:t>年平均气温（</w:t>
            </w:r>
            <w:r>
              <w:rPr>
                <w:lang w:eastAsia="en-US"/>
              </w:rPr>
              <w:t>℃</w:t>
            </w:r>
            <w:r>
              <w:rPr>
                <w:lang w:eastAsia="en-US"/>
              </w:rPr>
              <w:t>）</w:t>
            </w:r>
          </w:p>
        </w:tc>
        <w:tc>
          <w:tcPr>
            <w:tcW w:w="2696" w:type="dxa"/>
            <w:shd w:val="clear" w:color="auto" w:fill="auto"/>
            <w:vAlign w:val="center"/>
          </w:tcPr>
          <w:p w14:paraId="0F92D743" w14:textId="77777777" w:rsidR="003E78AB" w:rsidRDefault="00010BF9">
            <w:pPr>
              <w:pStyle w:val="aff6"/>
              <w:topLinePunct/>
            </w:pPr>
            <w:r>
              <w:t>10.8</w:t>
            </w:r>
          </w:p>
        </w:tc>
      </w:tr>
      <w:tr w:rsidR="003E78AB" w14:paraId="008AFB38" w14:textId="77777777">
        <w:trPr>
          <w:trHeight w:val="315"/>
          <w:jc w:val="center"/>
        </w:trPr>
        <w:tc>
          <w:tcPr>
            <w:tcW w:w="2666" w:type="dxa"/>
            <w:vMerge/>
            <w:shd w:val="clear" w:color="auto" w:fill="auto"/>
            <w:vAlign w:val="center"/>
          </w:tcPr>
          <w:p w14:paraId="6006AA23" w14:textId="77777777" w:rsidR="003E78AB" w:rsidRDefault="003E78AB">
            <w:pPr>
              <w:pStyle w:val="aff6"/>
              <w:topLinePunct/>
            </w:pPr>
          </w:p>
        </w:tc>
        <w:tc>
          <w:tcPr>
            <w:tcW w:w="2868" w:type="dxa"/>
            <w:shd w:val="clear" w:color="auto" w:fill="auto"/>
            <w:vAlign w:val="center"/>
          </w:tcPr>
          <w:p w14:paraId="7AB9ED35" w14:textId="77777777" w:rsidR="003E78AB" w:rsidRDefault="00010BF9">
            <w:pPr>
              <w:pStyle w:val="aff6"/>
              <w:topLinePunct/>
            </w:pPr>
            <w:r>
              <w:t>年平均相对湿度（</w:t>
            </w:r>
            <w:r>
              <w:t>%</w:t>
            </w:r>
            <w:r>
              <w:t>）</w:t>
            </w:r>
          </w:p>
        </w:tc>
        <w:tc>
          <w:tcPr>
            <w:tcW w:w="2696" w:type="dxa"/>
            <w:shd w:val="clear" w:color="auto" w:fill="auto"/>
            <w:vAlign w:val="center"/>
          </w:tcPr>
          <w:p w14:paraId="49CE0B0E" w14:textId="77777777" w:rsidR="003E78AB" w:rsidRDefault="00010BF9">
            <w:pPr>
              <w:pStyle w:val="aff6"/>
              <w:topLinePunct/>
            </w:pPr>
            <w:r>
              <w:t>40</w:t>
            </w:r>
          </w:p>
        </w:tc>
      </w:tr>
      <w:tr w:rsidR="003E78AB" w14:paraId="1CE009E6" w14:textId="77777777">
        <w:trPr>
          <w:jc w:val="center"/>
        </w:trPr>
        <w:tc>
          <w:tcPr>
            <w:tcW w:w="2666" w:type="dxa"/>
            <w:vMerge/>
            <w:shd w:val="clear" w:color="auto" w:fill="auto"/>
            <w:vAlign w:val="center"/>
          </w:tcPr>
          <w:p w14:paraId="6ED452BB" w14:textId="77777777" w:rsidR="003E78AB" w:rsidRDefault="003E78AB">
            <w:pPr>
              <w:pStyle w:val="aff6"/>
              <w:topLinePunct/>
            </w:pPr>
          </w:p>
        </w:tc>
        <w:tc>
          <w:tcPr>
            <w:tcW w:w="2868" w:type="dxa"/>
            <w:shd w:val="clear" w:color="auto" w:fill="auto"/>
            <w:vAlign w:val="center"/>
          </w:tcPr>
          <w:p w14:paraId="6276C366" w14:textId="77777777" w:rsidR="003E78AB" w:rsidRDefault="00010BF9">
            <w:pPr>
              <w:pStyle w:val="aff6"/>
              <w:topLinePunct/>
            </w:pPr>
            <w:r>
              <w:t>空气大气压（</w:t>
            </w:r>
            <w:r>
              <w:t>hPa</w:t>
            </w:r>
            <w:r>
              <w:t>）</w:t>
            </w:r>
          </w:p>
        </w:tc>
        <w:tc>
          <w:tcPr>
            <w:tcW w:w="2696" w:type="dxa"/>
            <w:shd w:val="clear" w:color="auto" w:fill="auto"/>
            <w:vAlign w:val="center"/>
          </w:tcPr>
          <w:p w14:paraId="013301FD" w14:textId="77777777" w:rsidR="003E78AB" w:rsidRDefault="00010BF9">
            <w:pPr>
              <w:pStyle w:val="aff6"/>
              <w:topLinePunct/>
            </w:pPr>
            <w:r>
              <w:t>947</w:t>
            </w:r>
          </w:p>
        </w:tc>
      </w:tr>
    </w:tbl>
    <w:p w14:paraId="59E87ED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.3.</w:t>
      </w:r>
      <w:r>
        <w:rPr>
          <w:rFonts w:ascii="Times New Roman" w:hAnsi="Times New Roman" w:hint="eastAsia"/>
        </w:rPr>
        <w:t>4</w:t>
      </w:r>
      <w:r>
        <w:rPr>
          <w:rFonts w:ascii="Times New Roman" w:hAnsi="Times New Roman"/>
        </w:rPr>
        <w:t>噪声预测结果</w:t>
      </w:r>
    </w:p>
    <w:p w14:paraId="4757E679" w14:textId="77777777" w:rsidR="003E78AB" w:rsidRDefault="00010BF9">
      <w:pPr>
        <w:ind w:firstLine="480"/>
        <w:rPr>
          <w:kern w:val="2"/>
        </w:rPr>
      </w:pPr>
      <w:r>
        <w:rPr>
          <w:kern w:val="2"/>
        </w:rPr>
        <w:t>通过预测模型计算，项目厂界噪声预测结果与达标分析见</w:t>
      </w:r>
      <w:r>
        <w:rPr>
          <w:kern w:val="2"/>
        </w:rPr>
        <w:fldChar w:fldCharType="begin"/>
      </w:r>
      <w:r>
        <w:rPr>
          <w:kern w:val="2"/>
        </w:rPr>
        <w:instrText xml:space="preserve"> REF _Ref17541 \r \h </w:instrText>
      </w:r>
      <w:r>
        <w:rPr>
          <w:kern w:val="2"/>
        </w:rPr>
      </w:r>
      <w:r>
        <w:rPr>
          <w:kern w:val="2"/>
        </w:rPr>
        <w:fldChar w:fldCharType="separate"/>
      </w:r>
      <w:r>
        <w:rPr>
          <w:kern w:val="2"/>
        </w:rPr>
        <w:t>表</w:t>
      </w:r>
      <w:r>
        <w:rPr>
          <w:kern w:val="2"/>
        </w:rPr>
        <w:t>5-67</w:t>
      </w:r>
      <w:r>
        <w:rPr>
          <w:kern w:val="2"/>
        </w:rPr>
        <w:fldChar w:fldCharType="end"/>
      </w:r>
      <w:r>
        <w:rPr>
          <w:kern w:val="2"/>
        </w:rPr>
        <w:t>。</w:t>
      </w:r>
    </w:p>
    <w:p w14:paraId="12318D9F" w14:textId="77777777" w:rsidR="003E78AB" w:rsidRDefault="00010BF9">
      <w:pPr>
        <w:pStyle w:val="a4"/>
        <w:spacing w:before="120"/>
        <w:ind w:left="425" w:hanging="425"/>
      </w:pPr>
      <w:bookmarkStart w:id="393" w:name="_Ref17541"/>
      <w:r>
        <w:t>厂界噪声预测结果与达标分析表</w:t>
      </w:r>
      <w:bookmarkStart w:id="394" w:name="PT_7"/>
      <w:bookmarkEnd w:id="3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15"/>
        <w:gridCol w:w="783"/>
        <w:gridCol w:w="790"/>
        <w:gridCol w:w="976"/>
        <w:gridCol w:w="1398"/>
        <w:gridCol w:w="1400"/>
        <w:gridCol w:w="1170"/>
      </w:tblGrid>
      <w:tr w:rsidR="003E78AB" w14:paraId="2AF7F23D" w14:textId="77777777">
        <w:trPr>
          <w:trHeight w:hRule="exact" w:val="739"/>
          <w:tblHeader/>
          <w:jc w:val="center"/>
        </w:trPr>
        <w:tc>
          <w:tcPr>
            <w:tcW w:w="635" w:type="pct"/>
            <w:vMerge w:val="restart"/>
            <w:shd w:val="clear" w:color="auto" w:fill="auto"/>
            <w:vAlign w:val="center"/>
          </w:tcPr>
          <w:p w14:paraId="1212C230" w14:textId="77777777" w:rsidR="003E78AB" w:rsidRDefault="00010BF9">
            <w:pPr>
              <w:spacing w:line="360" w:lineRule="exact"/>
              <w:ind w:firstLineChars="0" w:firstLine="0"/>
              <w:jc w:val="center"/>
              <w:rPr>
                <w:b/>
                <w:kern w:val="2"/>
                <w:sz w:val="21"/>
                <w:szCs w:val="21"/>
              </w:rPr>
            </w:pPr>
            <w:r>
              <w:rPr>
                <w:b/>
                <w:kern w:val="2"/>
                <w:sz w:val="21"/>
                <w:szCs w:val="21"/>
              </w:rPr>
              <w:t>预测方位</w:t>
            </w:r>
          </w:p>
        </w:tc>
        <w:tc>
          <w:tcPr>
            <w:tcW w:w="1461" w:type="pct"/>
            <w:gridSpan w:val="3"/>
            <w:shd w:val="clear" w:color="auto" w:fill="auto"/>
            <w:vAlign w:val="center"/>
          </w:tcPr>
          <w:p w14:paraId="74B07277" w14:textId="77777777" w:rsidR="003E78AB" w:rsidRDefault="00010BF9">
            <w:pPr>
              <w:spacing w:line="360" w:lineRule="exact"/>
              <w:ind w:firstLineChars="0" w:firstLine="0"/>
              <w:jc w:val="center"/>
              <w:rPr>
                <w:b/>
                <w:kern w:val="2"/>
                <w:sz w:val="21"/>
                <w:szCs w:val="21"/>
              </w:rPr>
            </w:pPr>
            <w:r>
              <w:rPr>
                <w:b/>
                <w:kern w:val="2"/>
                <w:sz w:val="21"/>
                <w:szCs w:val="21"/>
              </w:rPr>
              <w:t>最大值点空间相对位置</w:t>
            </w:r>
            <w:r>
              <w:rPr>
                <w:b/>
                <w:kern w:val="2"/>
                <w:sz w:val="21"/>
                <w:szCs w:val="21"/>
              </w:rPr>
              <w:t>/m</w:t>
            </w:r>
          </w:p>
        </w:tc>
        <w:tc>
          <w:tcPr>
            <w:tcW w:w="573" w:type="pct"/>
            <w:vMerge w:val="restart"/>
            <w:shd w:val="clear" w:color="auto" w:fill="auto"/>
            <w:vAlign w:val="center"/>
          </w:tcPr>
          <w:p w14:paraId="302446ED" w14:textId="77777777" w:rsidR="003E78AB" w:rsidRDefault="00010BF9">
            <w:pPr>
              <w:spacing w:line="360" w:lineRule="exact"/>
              <w:ind w:firstLineChars="0" w:firstLine="0"/>
              <w:jc w:val="center"/>
              <w:rPr>
                <w:b/>
                <w:kern w:val="2"/>
                <w:sz w:val="21"/>
                <w:szCs w:val="21"/>
              </w:rPr>
            </w:pPr>
            <w:r>
              <w:rPr>
                <w:b/>
                <w:kern w:val="2"/>
                <w:sz w:val="21"/>
                <w:szCs w:val="21"/>
              </w:rPr>
              <w:t>时段</w:t>
            </w:r>
          </w:p>
        </w:tc>
        <w:tc>
          <w:tcPr>
            <w:tcW w:w="820" w:type="pct"/>
            <w:vMerge w:val="restart"/>
            <w:shd w:val="clear" w:color="auto" w:fill="auto"/>
            <w:vAlign w:val="center"/>
          </w:tcPr>
          <w:p w14:paraId="7AC1CA23" w14:textId="77777777" w:rsidR="003E78AB" w:rsidRDefault="00010BF9">
            <w:pPr>
              <w:spacing w:line="360" w:lineRule="exact"/>
              <w:ind w:firstLineChars="0" w:firstLine="0"/>
              <w:jc w:val="center"/>
              <w:rPr>
                <w:b/>
                <w:kern w:val="2"/>
                <w:sz w:val="21"/>
                <w:szCs w:val="21"/>
              </w:rPr>
            </w:pPr>
            <w:r>
              <w:rPr>
                <w:b/>
                <w:kern w:val="2"/>
                <w:sz w:val="21"/>
                <w:szCs w:val="21"/>
              </w:rPr>
              <w:t>贡献值（</w:t>
            </w:r>
            <w:r>
              <w:rPr>
                <w:b/>
                <w:kern w:val="2"/>
                <w:sz w:val="21"/>
                <w:szCs w:val="21"/>
              </w:rPr>
              <w:t>dB(A)</w:t>
            </w:r>
            <w:r>
              <w:rPr>
                <w:b/>
                <w:kern w:val="2"/>
                <w:sz w:val="21"/>
                <w:szCs w:val="21"/>
              </w:rPr>
              <w:t>）</w:t>
            </w:r>
          </w:p>
        </w:tc>
        <w:tc>
          <w:tcPr>
            <w:tcW w:w="821" w:type="pct"/>
            <w:vMerge w:val="restart"/>
            <w:shd w:val="clear" w:color="auto" w:fill="auto"/>
            <w:vAlign w:val="center"/>
          </w:tcPr>
          <w:p w14:paraId="77748AF6" w14:textId="77777777" w:rsidR="003E78AB" w:rsidRDefault="00010BF9">
            <w:pPr>
              <w:spacing w:line="360" w:lineRule="exact"/>
              <w:ind w:firstLineChars="0" w:firstLine="0"/>
              <w:jc w:val="center"/>
              <w:rPr>
                <w:b/>
                <w:kern w:val="2"/>
                <w:sz w:val="21"/>
                <w:szCs w:val="21"/>
              </w:rPr>
            </w:pPr>
            <w:r>
              <w:rPr>
                <w:b/>
                <w:kern w:val="2"/>
                <w:sz w:val="21"/>
                <w:szCs w:val="21"/>
              </w:rPr>
              <w:t>标准限值（</w:t>
            </w:r>
            <w:r>
              <w:rPr>
                <w:b/>
                <w:kern w:val="2"/>
                <w:sz w:val="21"/>
                <w:szCs w:val="21"/>
              </w:rPr>
              <w:t>dB(A)</w:t>
            </w:r>
            <w:r>
              <w:rPr>
                <w:b/>
                <w:kern w:val="2"/>
                <w:sz w:val="21"/>
                <w:szCs w:val="21"/>
              </w:rPr>
              <w:t>）</w:t>
            </w:r>
          </w:p>
        </w:tc>
        <w:tc>
          <w:tcPr>
            <w:tcW w:w="686" w:type="pct"/>
            <w:vMerge w:val="restart"/>
            <w:shd w:val="clear" w:color="auto" w:fill="auto"/>
            <w:vAlign w:val="center"/>
          </w:tcPr>
          <w:p w14:paraId="4D03EF16" w14:textId="77777777" w:rsidR="003E78AB" w:rsidRDefault="00010BF9">
            <w:pPr>
              <w:spacing w:line="360" w:lineRule="exact"/>
              <w:ind w:firstLineChars="0" w:firstLine="0"/>
              <w:jc w:val="center"/>
              <w:rPr>
                <w:b/>
                <w:kern w:val="2"/>
                <w:sz w:val="21"/>
                <w:szCs w:val="21"/>
              </w:rPr>
            </w:pPr>
            <w:r>
              <w:rPr>
                <w:b/>
                <w:kern w:val="2"/>
                <w:sz w:val="21"/>
                <w:szCs w:val="21"/>
              </w:rPr>
              <w:t>达标情况</w:t>
            </w:r>
          </w:p>
        </w:tc>
      </w:tr>
      <w:tr w:rsidR="003E78AB" w14:paraId="4F4A02D8" w14:textId="77777777">
        <w:trPr>
          <w:trHeight w:val="408"/>
          <w:tblHeader/>
          <w:jc w:val="center"/>
        </w:trPr>
        <w:tc>
          <w:tcPr>
            <w:tcW w:w="635" w:type="pct"/>
            <w:vMerge/>
            <w:shd w:val="clear" w:color="auto" w:fill="auto"/>
            <w:vAlign w:val="center"/>
          </w:tcPr>
          <w:p w14:paraId="0514E06F" w14:textId="77777777" w:rsidR="003E78AB" w:rsidRDefault="003E78AB">
            <w:pPr>
              <w:spacing w:line="360" w:lineRule="exact"/>
              <w:ind w:firstLineChars="0" w:firstLine="0"/>
              <w:jc w:val="center"/>
              <w:rPr>
                <w:bCs/>
                <w:kern w:val="2"/>
                <w:sz w:val="21"/>
                <w:szCs w:val="21"/>
              </w:rPr>
            </w:pPr>
          </w:p>
        </w:tc>
        <w:tc>
          <w:tcPr>
            <w:tcW w:w="537" w:type="pct"/>
            <w:shd w:val="clear" w:color="auto" w:fill="auto"/>
            <w:vAlign w:val="center"/>
          </w:tcPr>
          <w:p w14:paraId="0CF2C6BD" w14:textId="77777777" w:rsidR="003E78AB" w:rsidRDefault="00010BF9">
            <w:pPr>
              <w:spacing w:line="360" w:lineRule="exact"/>
              <w:ind w:firstLineChars="0" w:firstLine="0"/>
              <w:jc w:val="center"/>
              <w:rPr>
                <w:b/>
                <w:kern w:val="2"/>
                <w:sz w:val="21"/>
                <w:szCs w:val="21"/>
              </w:rPr>
            </w:pPr>
            <w:r>
              <w:rPr>
                <w:b/>
                <w:kern w:val="2"/>
                <w:sz w:val="21"/>
                <w:szCs w:val="21"/>
              </w:rPr>
              <w:t>X</w:t>
            </w:r>
          </w:p>
        </w:tc>
        <w:tc>
          <w:tcPr>
            <w:tcW w:w="460" w:type="pct"/>
            <w:shd w:val="clear" w:color="auto" w:fill="auto"/>
            <w:vAlign w:val="center"/>
          </w:tcPr>
          <w:p w14:paraId="58BEEDEA" w14:textId="77777777" w:rsidR="003E78AB" w:rsidRDefault="00010BF9">
            <w:pPr>
              <w:spacing w:line="360" w:lineRule="exact"/>
              <w:ind w:firstLineChars="0" w:firstLine="0"/>
              <w:jc w:val="center"/>
              <w:rPr>
                <w:b/>
                <w:kern w:val="2"/>
                <w:sz w:val="21"/>
                <w:szCs w:val="21"/>
              </w:rPr>
            </w:pPr>
            <w:r>
              <w:rPr>
                <w:b/>
                <w:kern w:val="2"/>
                <w:sz w:val="21"/>
                <w:szCs w:val="21"/>
              </w:rPr>
              <w:t>Y</w:t>
            </w:r>
          </w:p>
        </w:tc>
        <w:tc>
          <w:tcPr>
            <w:tcW w:w="464" w:type="pct"/>
            <w:shd w:val="clear" w:color="auto" w:fill="auto"/>
            <w:vAlign w:val="center"/>
          </w:tcPr>
          <w:p w14:paraId="2FBA1F1F" w14:textId="77777777" w:rsidR="003E78AB" w:rsidRDefault="00010BF9">
            <w:pPr>
              <w:spacing w:line="360" w:lineRule="exact"/>
              <w:ind w:firstLineChars="0" w:firstLine="0"/>
              <w:jc w:val="center"/>
              <w:rPr>
                <w:b/>
                <w:kern w:val="2"/>
                <w:sz w:val="21"/>
                <w:szCs w:val="21"/>
              </w:rPr>
            </w:pPr>
            <w:r>
              <w:rPr>
                <w:b/>
                <w:kern w:val="2"/>
                <w:sz w:val="21"/>
                <w:szCs w:val="21"/>
              </w:rPr>
              <w:t>Z</w:t>
            </w:r>
          </w:p>
        </w:tc>
        <w:tc>
          <w:tcPr>
            <w:tcW w:w="573" w:type="pct"/>
            <w:vMerge/>
            <w:shd w:val="clear" w:color="auto" w:fill="auto"/>
            <w:vAlign w:val="center"/>
          </w:tcPr>
          <w:p w14:paraId="1248BE6F" w14:textId="77777777" w:rsidR="003E78AB" w:rsidRDefault="003E78AB">
            <w:pPr>
              <w:spacing w:line="360" w:lineRule="exact"/>
              <w:ind w:firstLineChars="0" w:firstLine="0"/>
              <w:jc w:val="center"/>
              <w:rPr>
                <w:bCs/>
                <w:kern w:val="2"/>
                <w:sz w:val="21"/>
                <w:szCs w:val="21"/>
              </w:rPr>
            </w:pPr>
          </w:p>
        </w:tc>
        <w:tc>
          <w:tcPr>
            <w:tcW w:w="820" w:type="pct"/>
            <w:vMerge/>
            <w:shd w:val="clear" w:color="auto" w:fill="auto"/>
            <w:vAlign w:val="center"/>
          </w:tcPr>
          <w:p w14:paraId="0BBE5775" w14:textId="77777777" w:rsidR="003E78AB" w:rsidRDefault="003E78AB">
            <w:pPr>
              <w:spacing w:line="360" w:lineRule="exact"/>
              <w:ind w:firstLineChars="0" w:firstLine="0"/>
              <w:jc w:val="center"/>
              <w:rPr>
                <w:bCs/>
                <w:kern w:val="2"/>
                <w:sz w:val="21"/>
                <w:szCs w:val="21"/>
              </w:rPr>
            </w:pPr>
          </w:p>
        </w:tc>
        <w:tc>
          <w:tcPr>
            <w:tcW w:w="821" w:type="pct"/>
            <w:vMerge/>
            <w:shd w:val="clear" w:color="auto" w:fill="auto"/>
            <w:vAlign w:val="center"/>
          </w:tcPr>
          <w:p w14:paraId="202DE0A6" w14:textId="77777777" w:rsidR="003E78AB" w:rsidRDefault="003E78AB">
            <w:pPr>
              <w:spacing w:line="360" w:lineRule="exact"/>
              <w:ind w:firstLineChars="0" w:firstLine="0"/>
              <w:jc w:val="center"/>
              <w:rPr>
                <w:bCs/>
                <w:kern w:val="2"/>
                <w:sz w:val="21"/>
                <w:szCs w:val="21"/>
              </w:rPr>
            </w:pPr>
          </w:p>
        </w:tc>
        <w:bookmarkEnd w:id="394"/>
        <w:tc>
          <w:tcPr>
            <w:tcW w:w="686" w:type="pct"/>
            <w:vMerge/>
            <w:shd w:val="clear" w:color="auto" w:fill="auto"/>
            <w:vAlign w:val="center"/>
          </w:tcPr>
          <w:p w14:paraId="1B0FFC2D" w14:textId="77777777" w:rsidR="003E78AB" w:rsidRDefault="003E78AB">
            <w:pPr>
              <w:spacing w:line="360" w:lineRule="exact"/>
              <w:ind w:firstLineChars="0" w:firstLine="0"/>
              <w:jc w:val="center"/>
              <w:rPr>
                <w:bCs/>
                <w:kern w:val="2"/>
                <w:sz w:val="21"/>
                <w:szCs w:val="21"/>
              </w:rPr>
            </w:pPr>
          </w:p>
        </w:tc>
      </w:tr>
      <w:tr w:rsidR="003E78AB" w14:paraId="77CC108D" w14:textId="77777777">
        <w:trPr>
          <w:trHeight w:hRule="exact" w:val="408"/>
          <w:jc w:val="center"/>
        </w:trPr>
        <w:tc>
          <w:tcPr>
            <w:tcW w:w="635" w:type="pct"/>
            <w:vMerge w:val="restart"/>
            <w:shd w:val="clear" w:color="auto" w:fill="auto"/>
            <w:vAlign w:val="center"/>
          </w:tcPr>
          <w:p w14:paraId="655BF0A8" w14:textId="77777777" w:rsidR="003E78AB" w:rsidRDefault="00010BF9">
            <w:pPr>
              <w:spacing w:line="360" w:lineRule="exact"/>
              <w:ind w:firstLineChars="0" w:firstLine="0"/>
              <w:jc w:val="center"/>
              <w:rPr>
                <w:bCs/>
                <w:kern w:val="2"/>
                <w:sz w:val="21"/>
                <w:szCs w:val="21"/>
              </w:rPr>
            </w:pPr>
            <w:r>
              <w:rPr>
                <w:rFonts w:eastAsia="Arial"/>
                <w:bCs/>
                <w:kern w:val="2"/>
                <w:sz w:val="21"/>
                <w:szCs w:val="21"/>
              </w:rPr>
              <w:t>东侧</w:t>
            </w:r>
          </w:p>
        </w:tc>
        <w:tc>
          <w:tcPr>
            <w:tcW w:w="537" w:type="pct"/>
            <w:shd w:val="clear" w:color="auto" w:fill="auto"/>
            <w:vAlign w:val="center"/>
          </w:tcPr>
          <w:p w14:paraId="132C5538" w14:textId="77777777" w:rsidR="003E78AB" w:rsidRDefault="00010BF9">
            <w:pPr>
              <w:spacing w:line="360" w:lineRule="exact"/>
              <w:ind w:firstLineChars="0" w:firstLine="0"/>
              <w:jc w:val="center"/>
              <w:rPr>
                <w:bCs/>
                <w:kern w:val="2"/>
                <w:sz w:val="21"/>
                <w:szCs w:val="21"/>
              </w:rPr>
            </w:pPr>
            <w:r>
              <w:rPr>
                <w:rFonts w:hint="eastAsia"/>
                <w:bCs/>
                <w:kern w:val="2"/>
                <w:sz w:val="21"/>
                <w:szCs w:val="21"/>
              </w:rPr>
              <w:t>285</w:t>
            </w:r>
          </w:p>
        </w:tc>
        <w:tc>
          <w:tcPr>
            <w:tcW w:w="460" w:type="pct"/>
            <w:shd w:val="clear" w:color="auto" w:fill="auto"/>
            <w:vAlign w:val="center"/>
          </w:tcPr>
          <w:p w14:paraId="26CE064F" w14:textId="77777777" w:rsidR="003E78AB" w:rsidRDefault="00010BF9">
            <w:pPr>
              <w:spacing w:line="360" w:lineRule="exact"/>
              <w:ind w:firstLineChars="0" w:firstLine="0"/>
              <w:jc w:val="center"/>
              <w:rPr>
                <w:bCs/>
                <w:kern w:val="2"/>
                <w:sz w:val="21"/>
                <w:szCs w:val="21"/>
              </w:rPr>
            </w:pPr>
            <w:r>
              <w:rPr>
                <w:rFonts w:hint="eastAsia"/>
                <w:bCs/>
                <w:kern w:val="2"/>
                <w:sz w:val="21"/>
                <w:szCs w:val="21"/>
              </w:rPr>
              <w:t>145</w:t>
            </w:r>
          </w:p>
        </w:tc>
        <w:tc>
          <w:tcPr>
            <w:tcW w:w="464" w:type="pct"/>
            <w:shd w:val="clear" w:color="auto" w:fill="auto"/>
            <w:vAlign w:val="center"/>
          </w:tcPr>
          <w:p w14:paraId="48D4CAAF"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26706814" w14:textId="77777777" w:rsidR="003E78AB" w:rsidRDefault="00010BF9">
            <w:pPr>
              <w:spacing w:line="360" w:lineRule="exact"/>
              <w:ind w:firstLineChars="0" w:firstLine="0"/>
              <w:jc w:val="center"/>
              <w:rPr>
                <w:bCs/>
                <w:kern w:val="2"/>
                <w:sz w:val="21"/>
                <w:szCs w:val="21"/>
              </w:rPr>
            </w:pPr>
            <w:r>
              <w:rPr>
                <w:bCs/>
                <w:kern w:val="2"/>
                <w:sz w:val="21"/>
                <w:szCs w:val="21"/>
              </w:rPr>
              <w:t>昼间</w:t>
            </w:r>
          </w:p>
        </w:tc>
        <w:tc>
          <w:tcPr>
            <w:tcW w:w="820" w:type="pct"/>
            <w:shd w:val="clear" w:color="auto" w:fill="auto"/>
            <w:vAlign w:val="center"/>
          </w:tcPr>
          <w:p w14:paraId="41558C33"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40.6</w:t>
            </w:r>
          </w:p>
        </w:tc>
        <w:tc>
          <w:tcPr>
            <w:tcW w:w="821" w:type="pct"/>
            <w:shd w:val="clear" w:color="auto" w:fill="auto"/>
            <w:vAlign w:val="center"/>
          </w:tcPr>
          <w:p w14:paraId="09F05E91" w14:textId="77777777" w:rsidR="003E78AB" w:rsidRDefault="00010BF9">
            <w:pPr>
              <w:spacing w:line="360" w:lineRule="exact"/>
              <w:ind w:firstLineChars="0" w:firstLine="0"/>
              <w:jc w:val="center"/>
              <w:rPr>
                <w:bCs/>
                <w:kern w:val="2"/>
                <w:sz w:val="21"/>
                <w:szCs w:val="21"/>
              </w:rPr>
            </w:pPr>
            <w:r>
              <w:rPr>
                <w:bCs/>
                <w:kern w:val="2"/>
                <w:sz w:val="21"/>
                <w:szCs w:val="21"/>
              </w:rPr>
              <w:t>65</w:t>
            </w:r>
          </w:p>
        </w:tc>
        <w:tc>
          <w:tcPr>
            <w:tcW w:w="686" w:type="pct"/>
            <w:shd w:val="clear" w:color="auto" w:fill="auto"/>
            <w:vAlign w:val="center"/>
          </w:tcPr>
          <w:p w14:paraId="65689293"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48613098" w14:textId="77777777">
        <w:trPr>
          <w:trHeight w:hRule="exact" w:val="408"/>
          <w:jc w:val="center"/>
        </w:trPr>
        <w:tc>
          <w:tcPr>
            <w:tcW w:w="635" w:type="pct"/>
            <w:vMerge/>
            <w:shd w:val="clear" w:color="auto" w:fill="auto"/>
            <w:vAlign w:val="center"/>
          </w:tcPr>
          <w:p w14:paraId="6AA3FACA" w14:textId="77777777" w:rsidR="003E78AB" w:rsidRDefault="00010BF9">
            <w:pPr>
              <w:spacing w:line="360" w:lineRule="exact"/>
              <w:ind w:firstLineChars="0" w:firstLine="0"/>
              <w:jc w:val="center"/>
              <w:rPr>
                <w:bCs/>
                <w:kern w:val="2"/>
                <w:sz w:val="21"/>
                <w:szCs w:val="21"/>
              </w:rPr>
            </w:pPr>
            <w:r>
              <w:rPr>
                <w:rFonts w:eastAsia="Arial"/>
                <w:bCs/>
                <w:kern w:val="2"/>
                <w:sz w:val="21"/>
                <w:szCs w:val="21"/>
              </w:rPr>
              <w:t>东侧</w:t>
            </w:r>
          </w:p>
        </w:tc>
        <w:tc>
          <w:tcPr>
            <w:tcW w:w="537" w:type="pct"/>
            <w:shd w:val="clear" w:color="auto" w:fill="auto"/>
            <w:vAlign w:val="center"/>
          </w:tcPr>
          <w:p w14:paraId="2FD9041B" w14:textId="77777777" w:rsidR="003E78AB" w:rsidRDefault="00010BF9">
            <w:pPr>
              <w:spacing w:line="360" w:lineRule="exact"/>
              <w:ind w:firstLineChars="0" w:firstLine="0"/>
              <w:jc w:val="center"/>
              <w:rPr>
                <w:bCs/>
                <w:kern w:val="2"/>
                <w:sz w:val="21"/>
                <w:szCs w:val="21"/>
              </w:rPr>
            </w:pPr>
            <w:r>
              <w:rPr>
                <w:rFonts w:hint="eastAsia"/>
                <w:bCs/>
                <w:kern w:val="2"/>
                <w:sz w:val="21"/>
                <w:szCs w:val="21"/>
              </w:rPr>
              <w:t>285</w:t>
            </w:r>
          </w:p>
        </w:tc>
        <w:tc>
          <w:tcPr>
            <w:tcW w:w="460" w:type="pct"/>
            <w:shd w:val="clear" w:color="auto" w:fill="auto"/>
            <w:vAlign w:val="center"/>
          </w:tcPr>
          <w:p w14:paraId="337F48CA" w14:textId="77777777" w:rsidR="003E78AB" w:rsidRDefault="00010BF9">
            <w:pPr>
              <w:spacing w:line="360" w:lineRule="exact"/>
              <w:ind w:firstLineChars="0" w:firstLine="0"/>
              <w:jc w:val="center"/>
              <w:rPr>
                <w:bCs/>
                <w:kern w:val="2"/>
                <w:sz w:val="21"/>
                <w:szCs w:val="21"/>
              </w:rPr>
            </w:pPr>
            <w:r>
              <w:rPr>
                <w:rFonts w:hint="eastAsia"/>
                <w:bCs/>
                <w:kern w:val="2"/>
                <w:sz w:val="21"/>
                <w:szCs w:val="21"/>
              </w:rPr>
              <w:t>145</w:t>
            </w:r>
          </w:p>
        </w:tc>
        <w:tc>
          <w:tcPr>
            <w:tcW w:w="464" w:type="pct"/>
            <w:shd w:val="clear" w:color="auto" w:fill="auto"/>
            <w:vAlign w:val="center"/>
          </w:tcPr>
          <w:p w14:paraId="35184413"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7EF86CCF" w14:textId="77777777" w:rsidR="003E78AB" w:rsidRDefault="00010BF9">
            <w:pPr>
              <w:spacing w:line="360" w:lineRule="exact"/>
              <w:ind w:firstLineChars="0" w:firstLine="0"/>
              <w:jc w:val="center"/>
              <w:rPr>
                <w:bCs/>
                <w:kern w:val="2"/>
                <w:sz w:val="21"/>
                <w:szCs w:val="21"/>
              </w:rPr>
            </w:pPr>
            <w:r>
              <w:rPr>
                <w:bCs/>
                <w:kern w:val="2"/>
                <w:sz w:val="21"/>
                <w:szCs w:val="21"/>
              </w:rPr>
              <w:t>夜间</w:t>
            </w:r>
          </w:p>
        </w:tc>
        <w:tc>
          <w:tcPr>
            <w:tcW w:w="820" w:type="pct"/>
            <w:shd w:val="clear" w:color="auto" w:fill="auto"/>
            <w:vAlign w:val="center"/>
          </w:tcPr>
          <w:p w14:paraId="1B732E39"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40.6</w:t>
            </w:r>
          </w:p>
        </w:tc>
        <w:tc>
          <w:tcPr>
            <w:tcW w:w="821" w:type="pct"/>
            <w:shd w:val="clear" w:color="auto" w:fill="auto"/>
            <w:vAlign w:val="center"/>
          </w:tcPr>
          <w:p w14:paraId="2CC0FF46" w14:textId="77777777" w:rsidR="003E78AB" w:rsidRDefault="00010BF9">
            <w:pPr>
              <w:spacing w:line="360" w:lineRule="exact"/>
              <w:ind w:firstLineChars="0" w:firstLine="0"/>
              <w:jc w:val="center"/>
              <w:rPr>
                <w:bCs/>
                <w:kern w:val="2"/>
                <w:sz w:val="21"/>
                <w:szCs w:val="21"/>
              </w:rPr>
            </w:pPr>
            <w:r>
              <w:rPr>
                <w:bCs/>
                <w:kern w:val="2"/>
                <w:sz w:val="21"/>
                <w:szCs w:val="21"/>
              </w:rPr>
              <w:t>55</w:t>
            </w:r>
          </w:p>
        </w:tc>
        <w:tc>
          <w:tcPr>
            <w:tcW w:w="686" w:type="pct"/>
            <w:shd w:val="clear" w:color="auto" w:fill="auto"/>
            <w:vAlign w:val="center"/>
          </w:tcPr>
          <w:p w14:paraId="030DED9C"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70CFED5C" w14:textId="77777777">
        <w:trPr>
          <w:trHeight w:hRule="exact" w:val="408"/>
          <w:jc w:val="center"/>
        </w:trPr>
        <w:tc>
          <w:tcPr>
            <w:tcW w:w="635" w:type="pct"/>
            <w:vMerge w:val="restart"/>
            <w:shd w:val="clear" w:color="auto" w:fill="auto"/>
            <w:vAlign w:val="center"/>
          </w:tcPr>
          <w:p w14:paraId="53921687" w14:textId="77777777" w:rsidR="003E78AB" w:rsidRDefault="00010BF9">
            <w:pPr>
              <w:spacing w:line="360" w:lineRule="exact"/>
              <w:ind w:firstLineChars="0" w:firstLine="0"/>
              <w:jc w:val="center"/>
              <w:rPr>
                <w:bCs/>
                <w:kern w:val="2"/>
                <w:sz w:val="21"/>
                <w:szCs w:val="21"/>
              </w:rPr>
            </w:pPr>
            <w:r>
              <w:rPr>
                <w:rFonts w:eastAsia="Arial"/>
                <w:bCs/>
                <w:kern w:val="2"/>
                <w:sz w:val="21"/>
                <w:szCs w:val="21"/>
              </w:rPr>
              <w:t>南侧</w:t>
            </w:r>
          </w:p>
        </w:tc>
        <w:tc>
          <w:tcPr>
            <w:tcW w:w="537" w:type="pct"/>
            <w:shd w:val="clear" w:color="auto" w:fill="auto"/>
            <w:vAlign w:val="center"/>
          </w:tcPr>
          <w:p w14:paraId="26772BAF" w14:textId="77777777" w:rsidR="003E78AB" w:rsidRDefault="00010BF9">
            <w:pPr>
              <w:spacing w:line="360" w:lineRule="exact"/>
              <w:ind w:firstLineChars="0" w:firstLine="0"/>
              <w:jc w:val="center"/>
              <w:rPr>
                <w:bCs/>
                <w:kern w:val="2"/>
                <w:sz w:val="21"/>
                <w:szCs w:val="21"/>
              </w:rPr>
            </w:pPr>
            <w:r>
              <w:rPr>
                <w:rFonts w:hint="eastAsia"/>
                <w:bCs/>
                <w:kern w:val="2"/>
                <w:sz w:val="21"/>
                <w:szCs w:val="21"/>
              </w:rPr>
              <w:t>50</w:t>
            </w:r>
          </w:p>
        </w:tc>
        <w:tc>
          <w:tcPr>
            <w:tcW w:w="460" w:type="pct"/>
            <w:shd w:val="clear" w:color="auto" w:fill="auto"/>
            <w:vAlign w:val="center"/>
          </w:tcPr>
          <w:p w14:paraId="44D3AEF7" w14:textId="77777777" w:rsidR="003E78AB" w:rsidRDefault="00010BF9">
            <w:pPr>
              <w:spacing w:line="360" w:lineRule="exact"/>
              <w:ind w:firstLineChars="0" w:firstLine="0"/>
              <w:jc w:val="center"/>
              <w:rPr>
                <w:bCs/>
                <w:kern w:val="2"/>
                <w:sz w:val="21"/>
                <w:szCs w:val="21"/>
              </w:rPr>
            </w:pPr>
            <w:r>
              <w:rPr>
                <w:rFonts w:hint="eastAsia"/>
                <w:bCs/>
                <w:kern w:val="2"/>
                <w:sz w:val="21"/>
                <w:szCs w:val="21"/>
              </w:rPr>
              <w:t>73</w:t>
            </w:r>
          </w:p>
        </w:tc>
        <w:tc>
          <w:tcPr>
            <w:tcW w:w="464" w:type="pct"/>
            <w:shd w:val="clear" w:color="auto" w:fill="auto"/>
            <w:vAlign w:val="center"/>
          </w:tcPr>
          <w:p w14:paraId="07EC2422"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0932DD22" w14:textId="77777777" w:rsidR="003E78AB" w:rsidRDefault="00010BF9">
            <w:pPr>
              <w:spacing w:line="360" w:lineRule="exact"/>
              <w:ind w:firstLineChars="0" w:firstLine="0"/>
              <w:jc w:val="center"/>
              <w:rPr>
                <w:bCs/>
                <w:kern w:val="2"/>
                <w:sz w:val="21"/>
                <w:szCs w:val="21"/>
              </w:rPr>
            </w:pPr>
            <w:r>
              <w:rPr>
                <w:bCs/>
                <w:kern w:val="2"/>
                <w:sz w:val="21"/>
                <w:szCs w:val="21"/>
              </w:rPr>
              <w:t>昼间</w:t>
            </w:r>
          </w:p>
        </w:tc>
        <w:tc>
          <w:tcPr>
            <w:tcW w:w="820" w:type="pct"/>
            <w:shd w:val="clear" w:color="auto" w:fill="auto"/>
            <w:vAlign w:val="center"/>
          </w:tcPr>
          <w:p w14:paraId="7F5A1E57"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40.1</w:t>
            </w:r>
          </w:p>
        </w:tc>
        <w:tc>
          <w:tcPr>
            <w:tcW w:w="821" w:type="pct"/>
            <w:shd w:val="clear" w:color="auto" w:fill="auto"/>
            <w:vAlign w:val="center"/>
          </w:tcPr>
          <w:p w14:paraId="3F4AEA43" w14:textId="77777777" w:rsidR="003E78AB" w:rsidRDefault="00010BF9">
            <w:pPr>
              <w:spacing w:line="360" w:lineRule="exact"/>
              <w:ind w:firstLineChars="0" w:firstLine="0"/>
              <w:jc w:val="center"/>
              <w:rPr>
                <w:bCs/>
                <w:kern w:val="2"/>
                <w:sz w:val="21"/>
                <w:szCs w:val="21"/>
              </w:rPr>
            </w:pPr>
            <w:r>
              <w:rPr>
                <w:bCs/>
                <w:kern w:val="2"/>
                <w:sz w:val="21"/>
                <w:szCs w:val="21"/>
              </w:rPr>
              <w:t>65</w:t>
            </w:r>
          </w:p>
        </w:tc>
        <w:tc>
          <w:tcPr>
            <w:tcW w:w="686" w:type="pct"/>
            <w:shd w:val="clear" w:color="auto" w:fill="auto"/>
            <w:vAlign w:val="center"/>
          </w:tcPr>
          <w:p w14:paraId="3809F384"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5358ADE0" w14:textId="77777777">
        <w:trPr>
          <w:trHeight w:hRule="exact" w:val="408"/>
          <w:jc w:val="center"/>
        </w:trPr>
        <w:tc>
          <w:tcPr>
            <w:tcW w:w="635" w:type="pct"/>
            <w:vMerge/>
            <w:shd w:val="clear" w:color="auto" w:fill="auto"/>
            <w:vAlign w:val="center"/>
          </w:tcPr>
          <w:p w14:paraId="73D1DD87" w14:textId="77777777" w:rsidR="003E78AB" w:rsidRDefault="00010BF9">
            <w:pPr>
              <w:spacing w:line="360" w:lineRule="exact"/>
              <w:ind w:firstLineChars="0" w:firstLine="0"/>
              <w:jc w:val="center"/>
              <w:rPr>
                <w:bCs/>
                <w:kern w:val="2"/>
                <w:sz w:val="21"/>
                <w:szCs w:val="21"/>
              </w:rPr>
            </w:pPr>
            <w:r>
              <w:rPr>
                <w:rFonts w:eastAsia="Arial"/>
                <w:bCs/>
                <w:kern w:val="2"/>
                <w:sz w:val="21"/>
                <w:szCs w:val="21"/>
              </w:rPr>
              <w:t>南侧</w:t>
            </w:r>
          </w:p>
        </w:tc>
        <w:tc>
          <w:tcPr>
            <w:tcW w:w="537" w:type="pct"/>
            <w:shd w:val="clear" w:color="auto" w:fill="auto"/>
            <w:vAlign w:val="center"/>
          </w:tcPr>
          <w:p w14:paraId="552C6EAA" w14:textId="77777777" w:rsidR="003E78AB" w:rsidRDefault="00010BF9">
            <w:pPr>
              <w:spacing w:line="360" w:lineRule="exact"/>
              <w:ind w:firstLineChars="0" w:firstLine="0"/>
              <w:jc w:val="center"/>
              <w:rPr>
                <w:bCs/>
                <w:kern w:val="2"/>
                <w:sz w:val="21"/>
                <w:szCs w:val="21"/>
              </w:rPr>
            </w:pPr>
            <w:r>
              <w:rPr>
                <w:rFonts w:hint="eastAsia"/>
                <w:bCs/>
                <w:kern w:val="2"/>
                <w:sz w:val="21"/>
                <w:szCs w:val="21"/>
              </w:rPr>
              <w:t>50</w:t>
            </w:r>
          </w:p>
        </w:tc>
        <w:tc>
          <w:tcPr>
            <w:tcW w:w="460" w:type="pct"/>
            <w:shd w:val="clear" w:color="auto" w:fill="auto"/>
            <w:vAlign w:val="center"/>
          </w:tcPr>
          <w:p w14:paraId="249E5BE2" w14:textId="77777777" w:rsidR="003E78AB" w:rsidRDefault="00010BF9">
            <w:pPr>
              <w:spacing w:line="360" w:lineRule="exact"/>
              <w:ind w:firstLineChars="0" w:firstLine="0"/>
              <w:jc w:val="center"/>
              <w:rPr>
                <w:bCs/>
                <w:kern w:val="2"/>
                <w:sz w:val="21"/>
                <w:szCs w:val="21"/>
              </w:rPr>
            </w:pPr>
            <w:r>
              <w:rPr>
                <w:rFonts w:hint="eastAsia"/>
                <w:bCs/>
                <w:kern w:val="2"/>
                <w:sz w:val="21"/>
                <w:szCs w:val="21"/>
              </w:rPr>
              <w:t>73</w:t>
            </w:r>
          </w:p>
        </w:tc>
        <w:tc>
          <w:tcPr>
            <w:tcW w:w="464" w:type="pct"/>
            <w:shd w:val="clear" w:color="auto" w:fill="auto"/>
            <w:vAlign w:val="center"/>
          </w:tcPr>
          <w:p w14:paraId="6A37A4B2"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73B63852" w14:textId="77777777" w:rsidR="003E78AB" w:rsidRDefault="00010BF9">
            <w:pPr>
              <w:spacing w:line="360" w:lineRule="exact"/>
              <w:ind w:firstLineChars="0" w:firstLine="0"/>
              <w:jc w:val="center"/>
              <w:rPr>
                <w:bCs/>
                <w:kern w:val="2"/>
                <w:sz w:val="21"/>
                <w:szCs w:val="21"/>
              </w:rPr>
            </w:pPr>
            <w:r>
              <w:rPr>
                <w:bCs/>
                <w:kern w:val="2"/>
                <w:sz w:val="21"/>
                <w:szCs w:val="21"/>
              </w:rPr>
              <w:t>夜间</w:t>
            </w:r>
          </w:p>
        </w:tc>
        <w:tc>
          <w:tcPr>
            <w:tcW w:w="820" w:type="pct"/>
            <w:shd w:val="clear" w:color="auto" w:fill="auto"/>
            <w:vAlign w:val="center"/>
          </w:tcPr>
          <w:p w14:paraId="309BA511"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40.1</w:t>
            </w:r>
          </w:p>
        </w:tc>
        <w:tc>
          <w:tcPr>
            <w:tcW w:w="821" w:type="pct"/>
            <w:shd w:val="clear" w:color="auto" w:fill="auto"/>
            <w:vAlign w:val="center"/>
          </w:tcPr>
          <w:p w14:paraId="5E1839A4" w14:textId="77777777" w:rsidR="003E78AB" w:rsidRDefault="00010BF9">
            <w:pPr>
              <w:spacing w:line="360" w:lineRule="exact"/>
              <w:ind w:firstLineChars="0" w:firstLine="0"/>
              <w:jc w:val="center"/>
              <w:rPr>
                <w:bCs/>
                <w:kern w:val="2"/>
                <w:sz w:val="21"/>
                <w:szCs w:val="21"/>
              </w:rPr>
            </w:pPr>
            <w:r>
              <w:rPr>
                <w:bCs/>
                <w:kern w:val="2"/>
                <w:sz w:val="21"/>
                <w:szCs w:val="21"/>
              </w:rPr>
              <w:t>55</w:t>
            </w:r>
          </w:p>
        </w:tc>
        <w:tc>
          <w:tcPr>
            <w:tcW w:w="686" w:type="pct"/>
            <w:shd w:val="clear" w:color="auto" w:fill="auto"/>
            <w:vAlign w:val="center"/>
          </w:tcPr>
          <w:p w14:paraId="626838D2"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4785EE8F" w14:textId="77777777">
        <w:trPr>
          <w:trHeight w:hRule="exact" w:val="408"/>
          <w:jc w:val="center"/>
        </w:trPr>
        <w:tc>
          <w:tcPr>
            <w:tcW w:w="635" w:type="pct"/>
            <w:vMerge w:val="restart"/>
            <w:shd w:val="clear" w:color="auto" w:fill="auto"/>
            <w:vAlign w:val="center"/>
          </w:tcPr>
          <w:p w14:paraId="0C133F33" w14:textId="77777777" w:rsidR="003E78AB" w:rsidRDefault="00010BF9">
            <w:pPr>
              <w:spacing w:line="360" w:lineRule="exact"/>
              <w:ind w:firstLineChars="0" w:firstLine="0"/>
              <w:jc w:val="center"/>
              <w:rPr>
                <w:bCs/>
                <w:kern w:val="2"/>
                <w:sz w:val="21"/>
                <w:szCs w:val="21"/>
              </w:rPr>
            </w:pPr>
            <w:r>
              <w:rPr>
                <w:rFonts w:eastAsia="Arial"/>
                <w:bCs/>
                <w:kern w:val="2"/>
                <w:sz w:val="21"/>
                <w:szCs w:val="21"/>
              </w:rPr>
              <w:t>西侧</w:t>
            </w:r>
          </w:p>
        </w:tc>
        <w:tc>
          <w:tcPr>
            <w:tcW w:w="537" w:type="pct"/>
            <w:shd w:val="clear" w:color="auto" w:fill="auto"/>
            <w:vAlign w:val="center"/>
          </w:tcPr>
          <w:p w14:paraId="596C2C51" w14:textId="77777777" w:rsidR="003E78AB" w:rsidRDefault="00010BF9">
            <w:pPr>
              <w:spacing w:line="360" w:lineRule="exact"/>
              <w:ind w:firstLineChars="0" w:firstLine="0"/>
              <w:jc w:val="center"/>
              <w:rPr>
                <w:bCs/>
                <w:kern w:val="2"/>
                <w:sz w:val="21"/>
                <w:szCs w:val="21"/>
              </w:rPr>
            </w:pPr>
            <w:r>
              <w:rPr>
                <w:rFonts w:hint="eastAsia"/>
                <w:bCs/>
                <w:kern w:val="2"/>
                <w:sz w:val="21"/>
                <w:szCs w:val="21"/>
              </w:rPr>
              <w:t>20</w:t>
            </w:r>
          </w:p>
        </w:tc>
        <w:tc>
          <w:tcPr>
            <w:tcW w:w="460" w:type="pct"/>
            <w:shd w:val="clear" w:color="auto" w:fill="auto"/>
            <w:vAlign w:val="center"/>
          </w:tcPr>
          <w:p w14:paraId="25ED0063" w14:textId="77777777" w:rsidR="003E78AB" w:rsidRDefault="00010BF9">
            <w:pPr>
              <w:spacing w:line="360" w:lineRule="exact"/>
              <w:ind w:firstLineChars="0" w:firstLine="0"/>
              <w:jc w:val="center"/>
              <w:rPr>
                <w:bCs/>
                <w:kern w:val="2"/>
                <w:sz w:val="21"/>
                <w:szCs w:val="21"/>
              </w:rPr>
            </w:pPr>
            <w:r>
              <w:rPr>
                <w:rFonts w:hint="eastAsia"/>
                <w:bCs/>
                <w:kern w:val="2"/>
                <w:sz w:val="21"/>
                <w:szCs w:val="21"/>
              </w:rPr>
              <w:t>112</w:t>
            </w:r>
          </w:p>
        </w:tc>
        <w:tc>
          <w:tcPr>
            <w:tcW w:w="464" w:type="pct"/>
            <w:shd w:val="clear" w:color="auto" w:fill="auto"/>
            <w:vAlign w:val="center"/>
          </w:tcPr>
          <w:p w14:paraId="10348B18"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4AC8C2E1" w14:textId="77777777" w:rsidR="003E78AB" w:rsidRDefault="00010BF9">
            <w:pPr>
              <w:spacing w:line="360" w:lineRule="exact"/>
              <w:ind w:firstLineChars="0" w:firstLine="0"/>
              <w:jc w:val="center"/>
              <w:rPr>
                <w:bCs/>
                <w:kern w:val="2"/>
                <w:sz w:val="21"/>
                <w:szCs w:val="21"/>
              </w:rPr>
            </w:pPr>
            <w:r>
              <w:rPr>
                <w:bCs/>
                <w:kern w:val="2"/>
                <w:sz w:val="21"/>
                <w:szCs w:val="21"/>
              </w:rPr>
              <w:t>昼间</w:t>
            </w:r>
          </w:p>
        </w:tc>
        <w:tc>
          <w:tcPr>
            <w:tcW w:w="820" w:type="pct"/>
            <w:shd w:val="clear" w:color="auto" w:fill="auto"/>
            <w:vAlign w:val="center"/>
          </w:tcPr>
          <w:p w14:paraId="12E8FD32"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45.8</w:t>
            </w:r>
          </w:p>
        </w:tc>
        <w:tc>
          <w:tcPr>
            <w:tcW w:w="821" w:type="pct"/>
            <w:shd w:val="clear" w:color="auto" w:fill="auto"/>
            <w:vAlign w:val="center"/>
          </w:tcPr>
          <w:p w14:paraId="0F461745" w14:textId="77777777" w:rsidR="003E78AB" w:rsidRDefault="00010BF9">
            <w:pPr>
              <w:spacing w:line="360" w:lineRule="exact"/>
              <w:ind w:firstLineChars="0" w:firstLine="0"/>
              <w:jc w:val="center"/>
              <w:rPr>
                <w:bCs/>
                <w:kern w:val="2"/>
                <w:sz w:val="21"/>
                <w:szCs w:val="21"/>
              </w:rPr>
            </w:pPr>
            <w:r>
              <w:rPr>
                <w:bCs/>
                <w:kern w:val="2"/>
                <w:sz w:val="21"/>
                <w:szCs w:val="21"/>
              </w:rPr>
              <w:t>65</w:t>
            </w:r>
          </w:p>
        </w:tc>
        <w:tc>
          <w:tcPr>
            <w:tcW w:w="686" w:type="pct"/>
            <w:shd w:val="clear" w:color="auto" w:fill="auto"/>
            <w:vAlign w:val="center"/>
          </w:tcPr>
          <w:p w14:paraId="0EF77D13"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7132347D" w14:textId="77777777">
        <w:trPr>
          <w:trHeight w:hRule="exact" w:val="408"/>
          <w:jc w:val="center"/>
        </w:trPr>
        <w:tc>
          <w:tcPr>
            <w:tcW w:w="635" w:type="pct"/>
            <w:vMerge/>
            <w:shd w:val="clear" w:color="auto" w:fill="auto"/>
            <w:vAlign w:val="center"/>
          </w:tcPr>
          <w:p w14:paraId="781DC7AD" w14:textId="77777777" w:rsidR="003E78AB" w:rsidRDefault="00010BF9">
            <w:pPr>
              <w:spacing w:line="360" w:lineRule="exact"/>
              <w:ind w:firstLineChars="0" w:firstLine="0"/>
              <w:jc w:val="center"/>
              <w:rPr>
                <w:bCs/>
                <w:kern w:val="2"/>
                <w:sz w:val="21"/>
                <w:szCs w:val="21"/>
              </w:rPr>
            </w:pPr>
            <w:r>
              <w:rPr>
                <w:rFonts w:eastAsia="Arial"/>
                <w:bCs/>
                <w:kern w:val="2"/>
                <w:sz w:val="21"/>
                <w:szCs w:val="21"/>
              </w:rPr>
              <w:t>西侧</w:t>
            </w:r>
          </w:p>
        </w:tc>
        <w:tc>
          <w:tcPr>
            <w:tcW w:w="537" w:type="pct"/>
            <w:shd w:val="clear" w:color="auto" w:fill="auto"/>
            <w:vAlign w:val="center"/>
          </w:tcPr>
          <w:p w14:paraId="29822EFC" w14:textId="77777777" w:rsidR="003E78AB" w:rsidRDefault="00010BF9">
            <w:pPr>
              <w:spacing w:line="360" w:lineRule="exact"/>
              <w:ind w:firstLineChars="0" w:firstLine="0"/>
              <w:jc w:val="center"/>
              <w:rPr>
                <w:bCs/>
                <w:kern w:val="2"/>
                <w:sz w:val="21"/>
                <w:szCs w:val="21"/>
              </w:rPr>
            </w:pPr>
            <w:r>
              <w:rPr>
                <w:rFonts w:hint="eastAsia"/>
                <w:bCs/>
                <w:kern w:val="2"/>
                <w:sz w:val="21"/>
                <w:szCs w:val="21"/>
              </w:rPr>
              <w:t>20</w:t>
            </w:r>
          </w:p>
        </w:tc>
        <w:tc>
          <w:tcPr>
            <w:tcW w:w="460" w:type="pct"/>
            <w:shd w:val="clear" w:color="auto" w:fill="auto"/>
            <w:vAlign w:val="center"/>
          </w:tcPr>
          <w:p w14:paraId="02514C32" w14:textId="77777777" w:rsidR="003E78AB" w:rsidRDefault="00010BF9">
            <w:pPr>
              <w:spacing w:line="360" w:lineRule="exact"/>
              <w:ind w:firstLineChars="0" w:firstLine="0"/>
              <w:jc w:val="center"/>
              <w:rPr>
                <w:bCs/>
                <w:kern w:val="2"/>
                <w:sz w:val="21"/>
                <w:szCs w:val="21"/>
              </w:rPr>
            </w:pPr>
            <w:r>
              <w:rPr>
                <w:rFonts w:hint="eastAsia"/>
                <w:bCs/>
                <w:kern w:val="2"/>
                <w:sz w:val="21"/>
                <w:szCs w:val="21"/>
              </w:rPr>
              <w:t>112</w:t>
            </w:r>
          </w:p>
        </w:tc>
        <w:tc>
          <w:tcPr>
            <w:tcW w:w="464" w:type="pct"/>
            <w:shd w:val="clear" w:color="auto" w:fill="auto"/>
            <w:vAlign w:val="center"/>
          </w:tcPr>
          <w:p w14:paraId="03E4DB0E"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7DB46719" w14:textId="77777777" w:rsidR="003E78AB" w:rsidRDefault="00010BF9">
            <w:pPr>
              <w:spacing w:line="360" w:lineRule="exact"/>
              <w:ind w:firstLineChars="0" w:firstLine="0"/>
              <w:jc w:val="center"/>
              <w:rPr>
                <w:bCs/>
                <w:kern w:val="2"/>
                <w:sz w:val="21"/>
                <w:szCs w:val="21"/>
              </w:rPr>
            </w:pPr>
            <w:r>
              <w:rPr>
                <w:bCs/>
                <w:kern w:val="2"/>
                <w:sz w:val="21"/>
                <w:szCs w:val="21"/>
              </w:rPr>
              <w:t>夜间</w:t>
            </w:r>
          </w:p>
        </w:tc>
        <w:tc>
          <w:tcPr>
            <w:tcW w:w="820" w:type="pct"/>
            <w:shd w:val="clear" w:color="auto" w:fill="auto"/>
            <w:vAlign w:val="center"/>
          </w:tcPr>
          <w:p w14:paraId="0CE43811"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45.8</w:t>
            </w:r>
          </w:p>
        </w:tc>
        <w:tc>
          <w:tcPr>
            <w:tcW w:w="821" w:type="pct"/>
            <w:shd w:val="clear" w:color="auto" w:fill="auto"/>
            <w:vAlign w:val="center"/>
          </w:tcPr>
          <w:p w14:paraId="2A479076" w14:textId="77777777" w:rsidR="003E78AB" w:rsidRDefault="00010BF9">
            <w:pPr>
              <w:spacing w:line="360" w:lineRule="exact"/>
              <w:ind w:firstLineChars="0" w:firstLine="0"/>
              <w:jc w:val="center"/>
              <w:rPr>
                <w:bCs/>
                <w:kern w:val="2"/>
                <w:sz w:val="21"/>
                <w:szCs w:val="21"/>
              </w:rPr>
            </w:pPr>
            <w:r>
              <w:rPr>
                <w:bCs/>
                <w:kern w:val="2"/>
                <w:sz w:val="21"/>
                <w:szCs w:val="21"/>
              </w:rPr>
              <w:t>55</w:t>
            </w:r>
          </w:p>
        </w:tc>
        <w:tc>
          <w:tcPr>
            <w:tcW w:w="686" w:type="pct"/>
            <w:shd w:val="clear" w:color="auto" w:fill="auto"/>
            <w:vAlign w:val="center"/>
          </w:tcPr>
          <w:p w14:paraId="167DBFC2"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1BA23508" w14:textId="77777777">
        <w:trPr>
          <w:trHeight w:hRule="exact" w:val="408"/>
          <w:jc w:val="center"/>
        </w:trPr>
        <w:tc>
          <w:tcPr>
            <w:tcW w:w="635" w:type="pct"/>
            <w:vMerge w:val="restart"/>
            <w:shd w:val="clear" w:color="auto" w:fill="auto"/>
            <w:vAlign w:val="center"/>
          </w:tcPr>
          <w:p w14:paraId="2E149666" w14:textId="77777777" w:rsidR="003E78AB" w:rsidRDefault="00010BF9">
            <w:pPr>
              <w:spacing w:line="360" w:lineRule="exact"/>
              <w:ind w:firstLineChars="0" w:firstLine="0"/>
              <w:jc w:val="center"/>
              <w:rPr>
                <w:bCs/>
                <w:kern w:val="2"/>
                <w:sz w:val="21"/>
                <w:szCs w:val="21"/>
              </w:rPr>
            </w:pPr>
            <w:r>
              <w:rPr>
                <w:rFonts w:eastAsia="Arial"/>
                <w:bCs/>
                <w:kern w:val="2"/>
                <w:sz w:val="21"/>
                <w:szCs w:val="21"/>
              </w:rPr>
              <w:t>北侧</w:t>
            </w:r>
          </w:p>
        </w:tc>
        <w:tc>
          <w:tcPr>
            <w:tcW w:w="537" w:type="pct"/>
            <w:shd w:val="clear" w:color="auto" w:fill="auto"/>
            <w:vAlign w:val="center"/>
          </w:tcPr>
          <w:p w14:paraId="66DA8B9D" w14:textId="77777777" w:rsidR="003E78AB" w:rsidRDefault="00010BF9">
            <w:pPr>
              <w:spacing w:line="360" w:lineRule="exact"/>
              <w:ind w:firstLineChars="0" w:firstLine="0"/>
              <w:jc w:val="center"/>
              <w:rPr>
                <w:bCs/>
                <w:kern w:val="2"/>
                <w:sz w:val="21"/>
                <w:szCs w:val="21"/>
              </w:rPr>
            </w:pPr>
            <w:r>
              <w:rPr>
                <w:rFonts w:hint="eastAsia"/>
                <w:bCs/>
                <w:kern w:val="2"/>
                <w:sz w:val="21"/>
                <w:szCs w:val="21"/>
              </w:rPr>
              <w:t>215</w:t>
            </w:r>
          </w:p>
        </w:tc>
        <w:tc>
          <w:tcPr>
            <w:tcW w:w="460" w:type="pct"/>
            <w:shd w:val="clear" w:color="auto" w:fill="auto"/>
            <w:vAlign w:val="center"/>
          </w:tcPr>
          <w:p w14:paraId="692AE797" w14:textId="77777777" w:rsidR="003E78AB" w:rsidRDefault="00010BF9">
            <w:pPr>
              <w:spacing w:line="360" w:lineRule="exact"/>
              <w:ind w:firstLineChars="0" w:firstLine="0"/>
              <w:jc w:val="center"/>
              <w:rPr>
                <w:bCs/>
                <w:kern w:val="2"/>
                <w:sz w:val="21"/>
                <w:szCs w:val="21"/>
              </w:rPr>
            </w:pPr>
            <w:r>
              <w:rPr>
                <w:rFonts w:hint="eastAsia"/>
                <w:bCs/>
                <w:kern w:val="2"/>
                <w:sz w:val="21"/>
                <w:szCs w:val="21"/>
              </w:rPr>
              <w:t>164</w:t>
            </w:r>
          </w:p>
        </w:tc>
        <w:tc>
          <w:tcPr>
            <w:tcW w:w="464" w:type="pct"/>
            <w:shd w:val="clear" w:color="auto" w:fill="auto"/>
            <w:vAlign w:val="center"/>
          </w:tcPr>
          <w:p w14:paraId="2E0378BA"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563B4E7C" w14:textId="77777777" w:rsidR="003E78AB" w:rsidRDefault="00010BF9">
            <w:pPr>
              <w:spacing w:line="360" w:lineRule="exact"/>
              <w:ind w:firstLineChars="0" w:firstLine="0"/>
              <w:jc w:val="center"/>
              <w:rPr>
                <w:bCs/>
                <w:kern w:val="2"/>
                <w:sz w:val="21"/>
                <w:szCs w:val="21"/>
              </w:rPr>
            </w:pPr>
            <w:r>
              <w:rPr>
                <w:bCs/>
                <w:kern w:val="2"/>
                <w:sz w:val="21"/>
                <w:szCs w:val="21"/>
              </w:rPr>
              <w:t>昼间</w:t>
            </w:r>
          </w:p>
        </w:tc>
        <w:tc>
          <w:tcPr>
            <w:tcW w:w="820" w:type="pct"/>
            <w:shd w:val="clear" w:color="auto" w:fill="auto"/>
            <w:vAlign w:val="center"/>
          </w:tcPr>
          <w:p w14:paraId="3C3EDFDC"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42.4</w:t>
            </w:r>
          </w:p>
        </w:tc>
        <w:tc>
          <w:tcPr>
            <w:tcW w:w="821" w:type="pct"/>
            <w:shd w:val="clear" w:color="auto" w:fill="auto"/>
            <w:vAlign w:val="center"/>
          </w:tcPr>
          <w:p w14:paraId="531EDB94" w14:textId="77777777" w:rsidR="003E78AB" w:rsidRDefault="00010BF9">
            <w:pPr>
              <w:spacing w:line="360" w:lineRule="exact"/>
              <w:ind w:firstLineChars="0" w:firstLine="0"/>
              <w:jc w:val="center"/>
              <w:rPr>
                <w:bCs/>
                <w:kern w:val="2"/>
                <w:sz w:val="21"/>
                <w:szCs w:val="21"/>
              </w:rPr>
            </w:pPr>
            <w:r>
              <w:rPr>
                <w:bCs/>
                <w:kern w:val="2"/>
                <w:sz w:val="21"/>
                <w:szCs w:val="21"/>
              </w:rPr>
              <w:t>65</w:t>
            </w:r>
          </w:p>
        </w:tc>
        <w:tc>
          <w:tcPr>
            <w:tcW w:w="686" w:type="pct"/>
            <w:shd w:val="clear" w:color="auto" w:fill="auto"/>
            <w:vAlign w:val="center"/>
          </w:tcPr>
          <w:p w14:paraId="61DAA2BE"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r w:rsidR="003E78AB" w14:paraId="6830859F" w14:textId="77777777">
        <w:trPr>
          <w:trHeight w:hRule="exact" w:val="408"/>
          <w:jc w:val="center"/>
        </w:trPr>
        <w:tc>
          <w:tcPr>
            <w:tcW w:w="635" w:type="pct"/>
            <w:vMerge/>
            <w:shd w:val="clear" w:color="auto" w:fill="auto"/>
            <w:vAlign w:val="center"/>
          </w:tcPr>
          <w:p w14:paraId="38D93DDC" w14:textId="77777777" w:rsidR="003E78AB" w:rsidRDefault="00010BF9">
            <w:pPr>
              <w:spacing w:line="360" w:lineRule="exact"/>
              <w:ind w:firstLineChars="0" w:firstLine="0"/>
              <w:jc w:val="center"/>
              <w:rPr>
                <w:bCs/>
                <w:kern w:val="2"/>
                <w:sz w:val="21"/>
                <w:szCs w:val="21"/>
              </w:rPr>
            </w:pPr>
            <w:r>
              <w:rPr>
                <w:rFonts w:eastAsia="Arial"/>
                <w:bCs/>
                <w:kern w:val="2"/>
                <w:sz w:val="21"/>
                <w:szCs w:val="21"/>
              </w:rPr>
              <w:t>北侧</w:t>
            </w:r>
          </w:p>
        </w:tc>
        <w:tc>
          <w:tcPr>
            <w:tcW w:w="537" w:type="pct"/>
            <w:shd w:val="clear" w:color="auto" w:fill="auto"/>
            <w:vAlign w:val="center"/>
          </w:tcPr>
          <w:p w14:paraId="0127057B" w14:textId="77777777" w:rsidR="003E78AB" w:rsidRDefault="00010BF9">
            <w:pPr>
              <w:spacing w:line="360" w:lineRule="exact"/>
              <w:ind w:firstLineChars="0" w:firstLine="0"/>
              <w:jc w:val="center"/>
              <w:rPr>
                <w:bCs/>
                <w:kern w:val="2"/>
                <w:sz w:val="21"/>
                <w:szCs w:val="21"/>
              </w:rPr>
            </w:pPr>
            <w:r>
              <w:rPr>
                <w:rFonts w:hint="eastAsia"/>
                <w:bCs/>
                <w:kern w:val="2"/>
                <w:sz w:val="21"/>
                <w:szCs w:val="21"/>
              </w:rPr>
              <w:t>215</w:t>
            </w:r>
          </w:p>
        </w:tc>
        <w:tc>
          <w:tcPr>
            <w:tcW w:w="460" w:type="pct"/>
            <w:shd w:val="clear" w:color="auto" w:fill="auto"/>
            <w:vAlign w:val="center"/>
          </w:tcPr>
          <w:p w14:paraId="5109EA04" w14:textId="77777777" w:rsidR="003E78AB" w:rsidRDefault="00010BF9">
            <w:pPr>
              <w:spacing w:line="360" w:lineRule="exact"/>
              <w:ind w:firstLineChars="0" w:firstLine="0"/>
              <w:jc w:val="center"/>
              <w:rPr>
                <w:bCs/>
                <w:kern w:val="2"/>
                <w:sz w:val="21"/>
                <w:szCs w:val="21"/>
              </w:rPr>
            </w:pPr>
            <w:r>
              <w:rPr>
                <w:rFonts w:hint="eastAsia"/>
                <w:bCs/>
                <w:kern w:val="2"/>
                <w:sz w:val="21"/>
                <w:szCs w:val="21"/>
              </w:rPr>
              <w:t>164</w:t>
            </w:r>
          </w:p>
        </w:tc>
        <w:tc>
          <w:tcPr>
            <w:tcW w:w="464" w:type="pct"/>
            <w:shd w:val="clear" w:color="auto" w:fill="auto"/>
            <w:vAlign w:val="center"/>
          </w:tcPr>
          <w:p w14:paraId="04638D59" w14:textId="77777777" w:rsidR="003E78AB" w:rsidRDefault="00010BF9">
            <w:pPr>
              <w:spacing w:line="360" w:lineRule="exact"/>
              <w:ind w:firstLineChars="0" w:firstLine="0"/>
              <w:jc w:val="center"/>
              <w:rPr>
                <w:bCs/>
                <w:kern w:val="2"/>
                <w:sz w:val="21"/>
                <w:szCs w:val="21"/>
              </w:rPr>
            </w:pPr>
            <w:r>
              <w:rPr>
                <w:bCs/>
                <w:kern w:val="2"/>
                <w:sz w:val="21"/>
                <w:szCs w:val="21"/>
              </w:rPr>
              <w:t>1.2</w:t>
            </w:r>
          </w:p>
        </w:tc>
        <w:tc>
          <w:tcPr>
            <w:tcW w:w="573" w:type="pct"/>
            <w:shd w:val="clear" w:color="auto" w:fill="auto"/>
            <w:vAlign w:val="center"/>
          </w:tcPr>
          <w:p w14:paraId="7A3251DD" w14:textId="77777777" w:rsidR="003E78AB" w:rsidRDefault="00010BF9">
            <w:pPr>
              <w:spacing w:line="360" w:lineRule="exact"/>
              <w:ind w:firstLineChars="0" w:firstLine="0"/>
              <w:jc w:val="center"/>
              <w:rPr>
                <w:bCs/>
                <w:kern w:val="2"/>
                <w:sz w:val="21"/>
                <w:szCs w:val="21"/>
              </w:rPr>
            </w:pPr>
            <w:r>
              <w:rPr>
                <w:bCs/>
                <w:kern w:val="2"/>
                <w:sz w:val="21"/>
                <w:szCs w:val="21"/>
              </w:rPr>
              <w:t>夜间</w:t>
            </w:r>
          </w:p>
        </w:tc>
        <w:tc>
          <w:tcPr>
            <w:tcW w:w="820" w:type="pct"/>
            <w:shd w:val="clear" w:color="auto" w:fill="auto"/>
            <w:vAlign w:val="center"/>
          </w:tcPr>
          <w:p w14:paraId="777B96E0" w14:textId="77777777" w:rsidR="003E78AB" w:rsidRDefault="00010BF9">
            <w:pPr>
              <w:spacing w:line="360" w:lineRule="exact"/>
              <w:ind w:firstLineChars="0" w:firstLine="0"/>
              <w:jc w:val="center"/>
              <w:rPr>
                <w:b/>
                <w:kern w:val="2"/>
                <w:sz w:val="21"/>
                <w:szCs w:val="21"/>
                <w:u w:val="single"/>
              </w:rPr>
            </w:pPr>
            <w:r>
              <w:rPr>
                <w:rFonts w:hint="eastAsia"/>
                <w:b/>
                <w:kern w:val="2"/>
                <w:sz w:val="21"/>
                <w:szCs w:val="21"/>
                <w:u w:val="single"/>
              </w:rPr>
              <w:t>42.4</w:t>
            </w:r>
          </w:p>
        </w:tc>
        <w:tc>
          <w:tcPr>
            <w:tcW w:w="821" w:type="pct"/>
            <w:shd w:val="clear" w:color="auto" w:fill="auto"/>
            <w:vAlign w:val="center"/>
          </w:tcPr>
          <w:p w14:paraId="5B57F880" w14:textId="77777777" w:rsidR="003E78AB" w:rsidRDefault="00010BF9">
            <w:pPr>
              <w:spacing w:line="360" w:lineRule="exact"/>
              <w:ind w:firstLineChars="0" w:firstLine="0"/>
              <w:jc w:val="center"/>
              <w:rPr>
                <w:bCs/>
                <w:kern w:val="2"/>
                <w:sz w:val="21"/>
                <w:szCs w:val="21"/>
              </w:rPr>
            </w:pPr>
            <w:r>
              <w:rPr>
                <w:bCs/>
                <w:kern w:val="2"/>
                <w:sz w:val="21"/>
                <w:szCs w:val="21"/>
              </w:rPr>
              <w:t>55</w:t>
            </w:r>
          </w:p>
        </w:tc>
        <w:tc>
          <w:tcPr>
            <w:tcW w:w="686" w:type="pct"/>
            <w:shd w:val="clear" w:color="auto" w:fill="auto"/>
            <w:vAlign w:val="center"/>
          </w:tcPr>
          <w:p w14:paraId="58E51A58" w14:textId="77777777" w:rsidR="003E78AB" w:rsidRDefault="00010BF9">
            <w:pPr>
              <w:spacing w:line="360" w:lineRule="exact"/>
              <w:ind w:firstLineChars="0" w:firstLine="0"/>
              <w:jc w:val="center"/>
              <w:rPr>
                <w:bCs/>
                <w:kern w:val="2"/>
                <w:sz w:val="21"/>
                <w:szCs w:val="21"/>
              </w:rPr>
            </w:pPr>
            <w:r>
              <w:rPr>
                <w:rFonts w:eastAsia="Arial"/>
                <w:bCs/>
                <w:kern w:val="2"/>
                <w:sz w:val="21"/>
                <w:szCs w:val="21"/>
              </w:rPr>
              <w:t>达标</w:t>
            </w:r>
          </w:p>
        </w:tc>
      </w:tr>
    </w:tbl>
    <w:p w14:paraId="288314EE" w14:textId="77777777" w:rsidR="003E78AB" w:rsidRDefault="00010BF9">
      <w:pPr>
        <w:ind w:firstLine="480"/>
        <w:rPr>
          <w:b/>
          <w:bCs/>
          <w:kern w:val="2"/>
        </w:rPr>
      </w:pPr>
      <w:r>
        <w:rPr>
          <w:kern w:val="2"/>
        </w:rPr>
        <w:t>由上表可知，厂界昼间和夜间噪声贡献值均能满足《工业企业厂界环境噪声排放标准》（</w:t>
      </w:r>
      <w:r>
        <w:rPr>
          <w:kern w:val="2"/>
        </w:rPr>
        <w:t>GB12348-2008</w:t>
      </w:r>
      <w:r>
        <w:rPr>
          <w:kern w:val="2"/>
        </w:rPr>
        <w:t>）</w:t>
      </w:r>
      <w:r>
        <w:rPr>
          <w:kern w:val="2"/>
        </w:rPr>
        <w:t>3</w:t>
      </w:r>
      <w:r>
        <w:rPr>
          <w:kern w:val="2"/>
        </w:rPr>
        <w:t>类（昼间</w:t>
      </w:r>
      <w:r>
        <w:rPr>
          <w:kern w:val="2"/>
        </w:rPr>
        <w:t>65dB</w:t>
      </w:r>
      <w:r>
        <w:rPr>
          <w:rFonts w:hint="eastAsia"/>
          <w:kern w:val="2"/>
        </w:rPr>
        <w:t>(</w:t>
      </w:r>
      <w:r>
        <w:rPr>
          <w:kern w:val="2"/>
        </w:rPr>
        <w:t>A</w:t>
      </w:r>
      <w:r>
        <w:rPr>
          <w:rFonts w:hint="eastAsia"/>
          <w:kern w:val="2"/>
        </w:rPr>
        <w:t>)</w:t>
      </w:r>
      <w:r>
        <w:rPr>
          <w:kern w:val="2"/>
        </w:rPr>
        <w:t>、夜间</w:t>
      </w:r>
      <w:r>
        <w:rPr>
          <w:kern w:val="2"/>
        </w:rPr>
        <w:t>55dB</w:t>
      </w:r>
      <w:r>
        <w:rPr>
          <w:rFonts w:hint="eastAsia"/>
          <w:kern w:val="2"/>
        </w:rPr>
        <w:t>(</w:t>
      </w:r>
      <w:r>
        <w:rPr>
          <w:kern w:val="2"/>
        </w:rPr>
        <w:t>A</w:t>
      </w:r>
      <w:r>
        <w:rPr>
          <w:rFonts w:hint="eastAsia"/>
          <w:kern w:val="2"/>
        </w:rPr>
        <w:t>)</w:t>
      </w:r>
      <w:r>
        <w:rPr>
          <w:kern w:val="2"/>
        </w:rPr>
        <w:t>）排放限值，经现场踏勘，本项目周边无居民区等环境敏感点，周边较为开阔，噪声经衰减后对周边环境影响较小。</w:t>
      </w:r>
    </w:p>
    <w:p w14:paraId="47C6C514" w14:textId="77777777" w:rsidR="003E78AB" w:rsidRDefault="00010BF9">
      <w:pPr>
        <w:pStyle w:val="a4"/>
        <w:spacing w:before="120"/>
        <w:ind w:left="425" w:hanging="425"/>
      </w:pPr>
      <w:r>
        <w:t>声环境影响评价自查表</w:t>
      </w:r>
    </w:p>
    <w:tbl>
      <w:tblPr>
        <w:tblStyle w:val="TableNormal"/>
        <w:tblW w:w="49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67"/>
        <w:gridCol w:w="854"/>
        <w:gridCol w:w="435"/>
        <w:gridCol w:w="271"/>
        <w:gridCol w:w="199"/>
        <w:gridCol w:w="922"/>
        <w:gridCol w:w="588"/>
        <w:gridCol w:w="379"/>
        <w:gridCol w:w="474"/>
        <w:gridCol w:w="437"/>
        <w:gridCol w:w="201"/>
        <w:gridCol w:w="1105"/>
      </w:tblGrid>
      <w:tr w:rsidR="003E78AB" w14:paraId="2F30D463" w14:textId="77777777">
        <w:trPr>
          <w:trHeight w:val="380"/>
          <w:tblHeader/>
        </w:trPr>
        <w:tc>
          <w:tcPr>
            <w:tcW w:w="1470" w:type="pct"/>
            <w:gridSpan w:val="2"/>
            <w:vAlign w:val="center"/>
          </w:tcPr>
          <w:p w14:paraId="2F836935"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工作内容</w:t>
            </w:r>
          </w:p>
        </w:tc>
        <w:tc>
          <w:tcPr>
            <w:tcW w:w="3529" w:type="pct"/>
            <w:gridSpan w:val="11"/>
            <w:vAlign w:val="center"/>
          </w:tcPr>
          <w:p w14:paraId="5F67E108" w14:textId="77777777" w:rsidR="003E78AB" w:rsidRDefault="00010BF9">
            <w:pPr>
              <w:spacing w:line="360" w:lineRule="exact"/>
              <w:ind w:firstLineChars="0" w:firstLine="0"/>
              <w:jc w:val="center"/>
              <w:rPr>
                <w:b/>
                <w:bCs/>
                <w:kern w:val="2"/>
                <w:sz w:val="21"/>
                <w:szCs w:val="21"/>
                <w:lang w:val="zh-CN" w:bidi="zh-CN"/>
              </w:rPr>
            </w:pPr>
            <w:r>
              <w:rPr>
                <w:b/>
                <w:bCs/>
                <w:kern w:val="2"/>
                <w:sz w:val="21"/>
                <w:szCs w:val="21"/>
                <w:lang w:val="zh-CN" w:bidi="zh-CN"/>
              </w:rPr>
              <w:t>自查项目</w:t>
            </w:r>
          </w:p>
        </w:tc>
      </w:tr>
      <w:tr w:rsidR="003E78AB" w14:paraId="74EF32E6" w14:textId="77777777">
        <w:trPr>
          <w:trHeight w:val="567"/>
        </w:trPr>
        <w:tc>
          <w:tcPr>
            <w:tcW w:w="587" w:type="pct"/>
            <w:vMerge w:val="restart"/>
            <w:vAlign w:val="center"/>
          </w:tcPr>
          <w:p w14:paraId="7F50A3B1"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评价等级与范围</w:t>
            </w:r>
          </w:p>
        </w:tc>
        <w:tc>
          <w:tcPr>
            <w:tcW w:w="883" w:type="pct"/>
            <w:vAlign w:val="center"/>
          </w:tcPr>
          <w:p w14:paraId="53A4B350"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评价等级</w:t>
            </w:r>
          </w:p>
        </w:tc>
        <w:tc>
          <w:tcPr>
            <w:tcW w:w="3529" w:type="pct"/>
            <w:gridSpan w:val="11"/>
            <w:vAlign w:val="center"/>
          </w:tcPr>
          <w:p w14:paraId="707FE132" w14:textId="77777777" w:rsidR="003E78AB" w:rsidRDefault="00010BF9">
            <w:pPr>
              <w:tabs>
                <w:tab w:val="left" w:pos="2103"/>
                <w:tab w:val="left" w:pos="3635"/>
              </w:tabs>
              <w:spacing w:line="360" w:lineRule="exact"/>
              <w:ind w:firstLineChars="0" w:firstLine="0"/>
              <w:jc w:val="center"/>
              <w:rPr>
                <w:kern w:val="2"/>
                <w:sz w:val="21"/>
                <w:szCs w:val="21"/>
                <w:lang w:val="zh-CN" w:bidi="zh-CN"/>
              </w:rPr>
            </w:pPr>
            <w:r>
              <w:rPr>
                <w:kern w:val="2"/>
                <w:sz w:val="21"/>
                <w:szCs w:val="21"/>
                <w:lang w:val="zh-CN" w:bidi="zh-CN"/>
              </w:rPr>
              <w:t>一级</w:t>
            </w:r>
            <w:r>
              <w:rPr>
                <w:kern w:val="2"/>
                <w:sz w:val="21"/>
                <w:szCs w:val="21"/>
                <w:lang w:val="zh-CN" w:bidi="zh-CN"/>
              </w:rPr>
              <w:sym w:font="Wingdings 2" w:char="00A3"/>
            </w:r>
            <w:r>
              <w:rPr>
                <w:kern w:val="2"/>
                <w:sz w:val="21"/>
                <w:szCs w:val="21"/>
                <w:lang w:val="zh-CN" w:bidi="zh-CN"/>
              </w:rPr>
              <w:t>二</w:t>
            </w:r>
            <w:r>
              <w:rPr>
                <w:spacing w:val="-3"/>
                <w:kern w:val="2"/>
                <w:sz w:val="21"/>
                <w:szCs w:val="21"/>
                <w:lang w:val="zh-CN" w:bidi="zh-CN"/>
              </w:rPr>
              <w:t>级</w:t>
            </w:r>
            <w:r>
              <w:rPr>
                <w:rFonts w:eastAsia="Noto Sans CJK JP Regular"/>
                <w:kern w:val="2"/>
                <w:sz w:val="21"/>
                <w:szCs w:val="21"/>
                <w:lang w:val="zh-CN" w:bidi="zh-CN"/>
              </w:rPr>
              <w:sym w:font="Wingdings 2" w:char="00A3"/>
            </w:r>
            <w:r>
              <w:rPr>
                <w:kern w:val="2"/>
                <w:sz w:val="21"/>
                <w:szCs w:val="21"/>
                <w:lang w:val="zh-CN" w:bidi="zh-CN"/>
              </w:rPr>
              <w:t>三级</w:t>
            </w:r>
            <w:r>
              <w:rPr>
                <w:kern w:val="2"/>
                <w:sz w:val="21"/>
                <w:szCs w:val="21"/>
                <w:lang w:val="zh-CN" w:bidi="zh-CN"/>
              </w:rPr>
              <w:sym w:font="Wingdings 2" w:char="0052"/>
            </w:r>
          </w:p>
        </w:tc>
      </w:tr>
      <w:tr w:rsidR="003E78AB" w14:paraId="4B26920A" w14:textId="77777777">
        <w:trPr>
          <w:trHeight w:val="567"/>
        </w:trPr>
        <w:tc>
          <w:tcPr>
            <w:tcW w:w="587" w:type="pct"/>
            <w:vMerge/>
            <w:vAlign w:val="center"/>
          </w:tcPr>
          <w:p w14:paraId="17808596"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389191DA"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评价范围</w:t>
            </w:r>
          </w:p>
        </w:tc>
        <w:tc>
          <w:tcPr>
            <w:tcW w:w="3529" w:type="pct"/>
            <w:gridSpan w:val="11"/>
            <w:vAlign w:val="center"/>
          </w:tcPr>
          <w:p w14:paraId="4395212D" w14:textId="77777777" w:rsidR="003E78AB" w:rsidRDefault="00010BF9">
            <w:pPr>
              <w:tabs>
                <w:tab w:val="left" w:pos="2384"/>
                <w:tab w:val="left" w:pos="5315"/>
              </w:tabs>
              <w:spacing w:line="360" w:lineRule="exact"/>
              <w:ind w:firstLineChars="0" w:firstLine="0"/>
              <w:jc w:val="center"/>
              <w:rPr>
                <w:kern w:val="2"/>
                <w:sz w:val="21"/>
                <w:szCs w:val="21"/>
                <w:lang w:val="zh-CN" w:bidi="zh-CN"/>
              </w:rPr>
            </w:pPr>
            <w:r>
              <w:rPr>
                <w:kern w:val="2"/>
                <w:sz w:val="21"/>
                <w:szCs w:val="21"/>
                <w:lang w:val="zh-CN" w:bidi="zh-CN"/>
              </w:rPr>
              <w:t>200m</w:t>
            </w:r>
            <w:r>
              <w:rPr>
                <w:rFonts w:eastAsia="Noto Sans CJK JP Regular"/>
                <w:kern w:val="2"/>
                <w:sz w:val="21"/>
                <w:szCs w:val="21"/>
                <w:lang w:val="zh-CN" w:bidi="zh-CN"/>
              </w:rPr>
              <w:sym w:font="Wingdings 2" w:char="0052"/>
            </w:r>
            <w:r>
              <w:rPr>
                <w:spacing w:val="-3"/>
                <w:kern w:val="2"/>
                <w:sz w:val="21"/>
                <w:szCs w:val="21"/>
                <w:lang w:val="zh-CN" w:bidi="zh-CN"/>
              </w:rPr>
              <w:t>大</w:t>
            </w:r>
            <w:r>
              <w:rPr>
                <w:kern w:val="2"/>
                <w:sz w:val="21"/>
                <w:szCs w:val="21"/>
                <w:lang w:val="zh-CN" w:bidi="zh-CN"/>
              </w:rPr>
              <w:t>于</w:t>
            </w:r>
            <w:r>
              <w:rPr>
                <w:kern w:val="2"/>
                <w:sz w:val="21"/>
                <w:szCs w:val="21"/>
                <w:lang w:val="zh-CN" w:bidi="zh-CN"/>
              </w:rPr>
              <w:t>200m□</w:t>
            </w:r>
            <w:r>
              <w:rPr>
                <w:kern w:val="2"/>
                <w:sz w:val="21"/>
                <w:szCs w:val="21"/>
                <w:lang w:val="zh-CN" w:bidi="zh-CN"/>
              </w:rPr>
              <w:t>小于</w:t>
            </w:r>
            <w:r>
              <w:rPr>
                <w:kern w:val="2"/>
                <w:sz w:val="21"/>
                <w:szCs w:val="21"/>
                <w:lang w:val="zh-CN" w:bidi="zh-CN"/>
              </w:rPr>
              <w:t>200m□</w:t>
            </w:r>
          </w:p>
        </w:tc>
      </w:tr>
      <w:tr w:rsidR="003E78AB" w14:paraId="2877158A" w14:textId="77777777">
        <w:trPr>
          <w:trHeight w:val="567"/>
        </w:trPr>
        <w:tc>
          <w:tcPr>
            <w:tcW w:w="587" w:type="pct"/>
            <w:vAlign w:val="center"/>
          </w:tcPr>
          <w:p w14:paraId="21BD698B"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评价因子</w:t>
            </w:r>
          </w:p>
        </w:tc>
        <w:tc>
          <w:tcPr>
            <w:tcW w:w="883" w:type="pct"/>
            <w:vAlign w:val="center"/>
          </w:tcPr>
          <w:p w14:paraId="7A86C026"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评价因子</w:t>
            </w:r>
          </w:p>
        </w:tc>
        <w:tc>
          <w:tcPr>
            <w:tcW w:w="3529" w:type="pct"/>
            <w:gridSpan w:val="11"/>
            <w:vAlign w:val="center"/>
          </w:tcPr>
          <w:p w14:paraId="1E867D06"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等效连续</w:t>
            </w:r>
            <w:r>
              <w:rPr>
                <w:kern w:val="2"/>
                <w:sz w:val="21"/>
                <w:szCs w:val="21"/>
                <w:lang w:val="zh-CN" w:bidi="zh-CN"/>
              </w:rPr>
              <w:t>A</w:t>
            </w:r>
            <w:r>
              <w:rPr>
                <w:kern w:val="2"/>
                <w:sz w:val="21"/>
                <w:szCs w:val="21"/>
                <w:lang w:val="zh-CN" w:bidi="zh-CN"/>
              </w:rPr>
              <w:t>声级</w:t>
            </w:r>
            <w:r>
              <w:rPr>
                <w:rFonts w:eastAsia="Noto Sans CJK JP Regular"/>
                <w:kern w:val="2"/>
                <w:sz w:val="21"/>
                <w:szCs w:val="21"/>
                <w:lang w:val="zh-CN" w:bidi="zh-CN"/>
              </w:rPr>
              <w:sym w:font="Wingdings 2" w:char="0052"/>
            </w:r>
            <w:r>
              <w:rPr>
                <w:kern w:val="2"/>
                <w:sz w:val="21"/>
                <w:szCs w:val="21"/>
                <w:lang w:val="zh-CN" w:bidi="zh-CN"/>
              </w:rPr>
              <w:t>最大</w:t>
            </w:r>
            <w:r>
              <w:rPr>
                <w:kern w:val="2"/>
                <w:sz w:val="21"/>
                <w:szCs w:val="21"/>
                <w:lang w:val="zh-CN" w:bidi="zh-CN"/>
              </w:rPr>
              <w:t>A</w:t>
            </w:r>
            <w:r>
              <w:rPr>
                <w:kern w:val="2"/>
                <w:sz w:val="21"/>
                <w:szCs w:val="21"/>
                <w:lang w:val="zh-CN" w:bidi="zh-CN"/>
              </w:rPr>
              <w:t>声级</w:t>
            </w:r>
            <w:r>
              <w:rPr>
                <w:kern w:val="2"/>
                <w:sz w:val="21"/>
                <w:szCs w:val="21"/>
                <w:lang w:val="zh-CN" w:bidi="zh-CN"/>
              </w:rPr>
              <w:t>□</w:t>
            </w:r>
            <w:r>
              <w:rPr>
                <w:kern w:val="2"/>
                <w:sz w:val="21"/>
                <w:szCs w:val="21"/>
                <w:lang w:val="zh-CN" w:bidi="zh-CN"/>
              </w:rPr>
              <w:t>计权等效连续感觉噪声级</w:t>
            </w:r>
            <w:r>
              <w:rPr>
                <w:kern w:val="2"/>
                <w:sz w:val="21"/>
                <w:szCs w:val="21"/>
                <w:lang w:val="zh-CN" w:bidi="zh-CN"/>
              </w:rPr>
              <w:t>□</w:t>
            </w:r>
          </w:p>
        </w:tc>
      </w:tr>
      <w:tr w:rsidR="003E78AB" w14:paraId="7AE5F2B5" w14:textId="77777777">
        <w:trPr>
          <w:trHeight w:val="567"/>
        </w:trPr>
        <w:tc>
          <w:tcPr>
            <w:tcW w:w="587" w:type="pct"/>
            <w:vAlign w:val="center"/>
          </w:tcPr>
          <w:p w14:paraId="7B82181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评价标准</w:t>
            </w:r>
          </w:p>
        </w:tc>
        <w:tc>
          <w:tcPr>
            <w:tcW w:w="883" w:type="pct"/>
            <w:vAlign w:val="center"/>
          </w:tcPr>
          <w:p w14:paraId="48E3E73A"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评价标准</w:t>
            </w:r>
          </w:p>
        </w:tc>
        <w:tc>
          <w:tcPr>
            <w:tcW w:w="3529" w:type="pct"/>
            <w:gridSpan w:val="11"/>
            <w:vAlign w:val="center"/>
          </w:tcPr>
          <w:p w14:paraId="6A2A7C0D"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国家标准</w:t>
            </w:r>
            <w:r>
              <w:rPr>
                <w:rFonts w:eastAsia="Noto Sans CJK JP Regular"/>
                <w:kern w:val="2"/>
                <w:sz w:val="21"/>
                <w:szCs w:val="21"/>
                <w:lang w:val="zh-CN" w:bidi="zh-CN"/>
              </w:rPr>
              <w:sym w:font="Wingdings 2" w:char="0052"/>
            </w:r>
            <w:r>
              <w:rPr>
                <w:kern w:val="2"/>
                <w:sz w:val="21"/>
                <w:szCs w:val="21"/>
                <w:lang w:val="zh-CN" w:bidi="zh-CN"/>
              </w:rPr>
              <w:t>地方标准</w:t>
            </w:r>
            <w:r>
              <w:rPr>
                <w:kern w:val="2"/>
                <w:sz w:val="21"/>
                <w:szCs w:val="21"/>
                <w:lang w:val="zh-CN" w:bidi="zh-CN"/>
              </w:rPr>
              <w:t>□</w:t>
            </w:r>
            <w:r>
              <w:rPr>
                <w:kern w:val="2"/>
                <w:sz w:val="21"/>
                <w:szCs w:val="21"/>
                <w:lang w:val="zh-CN" w:bidi="zh-CN"/>
              </w:rPr>
              <w:t>国外标准</w:t>
            </w:r>
            <w:r>
              <w:rPr>
                <w:kern w:val="2"/>
                <w:sz w:val="21"/>
                <w:szCs w:val="21"/>
                <w:lang w:val="zh-CN" w:bidi="zh-CN"/>
              </w:rPr>
              <w:t>□</w:t>
            </w:r>
          </w:p>
        </w:tc>
      </w:tr>
      <w:tr w:rsidR="003E78AB" w14:paraId="20D40D4C" w14:textId="77777777">
        <w:trPr>
          <w:trHeight w:val="567"/>
        </w:trPr>
        <w:tc>
          <w:tcPr>
            <w:tcW w:w="587" w:type="pct"/>
            <w:vMerge w:val="restart"/>
            <w:vAlign w:val="center"/>
          </w:tcPr>
          <w:p w14:paraId="629D10D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现状评价</w:t>
            </w:r>
          </w:p>
        </w:tc>
        <w:tc>
          <w:tcPr>
            <w:tcW w:w="883" w:type="pct"/>
            <w:vAlign w:val="center"/>
          </w:tcPr>
          <w:p w14:paraId="3E9C41DA"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环境功能区</w:t>
            </w:r>
          </w:p>
        </w:tc>
        <w:tc>
          <w:tcPr>
            <w:tcW w:w="514" w:type="pct"/>
            <w:vAlign w:val="center"/>
          </w:tcPr>
          <w:p w14:paraId="0B972D0D"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0</w:t>
            </w:r>
            <w:r>
              <w:rPr>
                <w:kern w:val="2"/>
                <w:sz w:val="21"/>
                <w:szCs w:val="21"/>
                <w:lang w:val="zh-CN" w:bidi="zh-CN"/>
              </w:rPr>
              <w:t>类区</w:t>
            </w:r>
            <w:r>
              <w:rPr>
                <w:kern w:val="2"/>
                <w:sz w:val="21"/>
                <w:szCs w:val="21"/>
                <w:lang w:val="zh-CN" w:bidi="zh-CN"/>
              </w:rPr>
              <w:t>□</w:t>
            </w:r>
          </w:p>
        </w:tc>
        <w:tc>
          <w:tcPr>
            <w:tcW w:w="545" w:type="pct"/>
            <w:gridSpan w:val="3"/>
            <w:vAlign w:val="center"/>
          </w:tcPr>
          <w:p w14:paraId="41A811EE"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1</w:t>
            </w:r>
            <w:r>
              <w:rPr>
                <w:kern w:val="2"/>
                <w:sz w:val="21"/>
                <w:szCs w:val="21"/>
                <w:lang w:val="zh-CN" w:bidi="zh-CN"/>
              </w:rPr>
              <w:t>类区</w:t>
            </w:r>
            <w:r>
              <w:rPr>
                <w:kern w:val="2"/>
                <w:sz w:val="21"/>
                <w:szCs w:val="21"/>
                <w:lang w:val="zh-CN" w:bidi="zh-CN"/>
              </w:rPr>
              <w:t>□</w:t>
            </w:r>
          </w:p>
        </w:tc>
        <w:tc>
          <w:tcPr>
            <w:tcW w:w="554" w:type="pct"/>
            <w:vAlign w:val="center"/>
          </w:tcPr>
          <w:p w14:paraId="67C4B8DE"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2</w:t>
            </w:r>
            <w:r>
              <w:rPr>
                <w:kern w:val="2"/>
                <w:sz w:val="21"/>
                <w:szCs w:val="21"/>
                <w:lang w:val="zh-CN" w:bidi="zh-CN"/>
              </w:rPr>
              <w:t>类区</w:t>
            </w:r>
            <w:r>
              <w:rPr>
                <w:rFonts w:eastAsia="Noto Sans CJK JP Regular"/>
                <w:kern w:val="2"/>
                <w:sz w:val="21"/>
                <w:szCs w:val="21"/>
                <w:lang w:val="zh-CN" w:bidi="zh-CN"/>
              </w:rPr>
              <w:sym w:font="Wingdings 2" w:char="00A3"/>
            </w:r>
          </w:p>
        </w:tc>
        <w:tc>
          <w:tcPr>
            <w:tcW w:w="582" w:type="pct"/>
            <w:gridSpan w:val="2"/>
            <w:vAlign w:val="center"/>
          </w:tcPr>
          <w:p w14:paraId="00F4FB96"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3</w:t>
            </w:r>
            <w:r>
              <w:rPr>
                <w:kern w:val="2"/>
                <w:sz w:val="21"/>
                <w:szCs w:val="21"/>
                <w:lang w:val="zh-CN" w:bidi="zh-CN"/>
              </w:rPr>
              <w:t>类区</w:t>
            </w:r>
            <w:r>
              <w:rPr>
                <w:kern w:val="2"/>
                <w:sz w:val="21"/>
                <w:szCs w:val="21"/>
                <w:lang w:val="zh-CN" w:bidi="zh-CN"/>
              </w:rPr>
              <w:sym w:font="Wingdings 2" w:char="0052"/>
            </w:r>
          </w:p>
        </w:tc>
        <w:tc>
          <w:tcPr>
            <w:tcW w:w="669" w:type="pct"/>
            <w:gridSpan w:val="3"/>
            <w:vAlign w:val="center"/>
          </w:tcPr>
          <w:p w14:paraId="5164624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4a</w:t>
            </w:r>
            <w:r>
              <w:rPr>
                <w:kern w:val="2"/>
                <w:sz w:val="21"/>
                <w:szCs w:val="21"/>
                <w:lang w:val="zh-CN" w:bidi="zh-CN"/>
              </w:rPr>
              <w:t>类区</w:t>
            </w:r>
            <w:r>
              <w:rPr>
                <w:kern w:val="2"/>
                <w:sz w:val="21"/>
                <w:szCs w:val="21"/>
                <w:lang w:val="zh-CN" w:bidi="zh-CN"/>
              </w:rPr>
              <w:t>□</w:t>
            </w:r>
          </w:p>
        </w:tc>
        <w:tc>
          <w:tcPr>
            <w:tcW w:w="663" w:type="pct"/>
            <w:vAlign w:val="center"/>
          </w:tcPr>
          <w:p w14:paraId="131B7E96"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4b</w:t>
            </w:r>
            <w:r>
              <w:rPr>
                <w:kern w:val="2"/>
                <w:sz w:val="21"/>
                <w:szCs w:val="21"/>
                <w:lang w:val="zh-CN" w:bidi="zh-CN"/>
              </w:rPr>
              <w:t>类区</w:t>
            </w:r>
            <w:r>
              <w:rPr>
                <w:kern w:val="2"/>
                <w:sz w:val="21"/>
                <w:szCs w:val="21"/>
                <w:lang w:val="zh-CN" w:bidi="zh-CN"/>
              </w:rPr>
              <w:t>□</w:t>
            </w:r>
          </w:p>
        </w:tc>
      </w:tr>
      <w:tr w:rsidR="003E78AB" w14:paraId="36D33702" w14:textId="77777777">
        <w:trPr>
          <w:trHeight w:val="567"/>
        </w:trPr>
        <w:tc>
          <w:tcPr>
            <w:tcW w:w="587" w:type="pct"/>
            <w:vMerge/>
            <w:vAlign w:val="center"/>
          </w:tcPr>
          <w:p w14:paraId="020ED70F"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0E5D01A4"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评价年度</w:t>
            </w:r>
          </w:p>
        </w:tc>
        <w:tc>
          <w:tcPr>
            <w:tcW w:w="776" w:type="pct"/>
            <w:gridSpan w:val="2"/>
            <w:vAlign w:val="center"/>
          </w:tcPr>
          <w:p w14:paraId="2114A3F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初期</w:t>
            </w:r>
            <w:r>
              <w:rPr>
                <w:rFonts w:eastAsia="Noto Sans CJK JP Regular"/>
                <w:kern w:val="2"/>
                <w:sz w:val="21"/>
                <w:szCs w:val="21"/>
                <w:lang w:val="zh-CN" w:bidi="zh-CN"/>
              </w:rPr>
              <w:sym w:font="Wingdings 2" w:char="0052"/>
            </w:r>
          </w:p>
        </w:tc>
        <w:tc>
          <w:tcPr>
            <w:tcW w:w="838" w:type="pct"/>
            <w:gridSpan w:val="3"/>
            <w:vAlign w:val="center"/>
          </w:tcPr>
          <w:p w14:paraId="2FE3B5E4"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近期</w:t>
            </w:r>
            <w:r>
              <w:rPr>
                <w:rFonts w:eastAsia="Noto Sans CJK JP Regular"/>
                <w:kern w:val="2"/>
                <w:sz w:val="21"/>
                <w:szCs w:val="21"/>
                <w:lang w:val="zh-CN" w:bidi="zh-CN"/>
              </w:rPr>
              <w:sym w:font="Wingdings 2" w:char="0052"/>
            </w:r>
          </w:p>
        </w:tc>
        <w:tc>
          <w:tcPr>
            <w:tcW w:w="867" w:type="pct"/>
            <w:gridSpan w:val="3"/>
            <w:vAlign w:val="center"/>
          </w:tcPr>
          <w:p w14:paraId="4DC5C046"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中期</w:t>
            </w:r>
            <w:r>
              <w:rPr>
                <w:rFonts w:eastAsia="Noto Sans CJK JP Regular"/>
                <w:kern w:val="2"/>
                <w:sz w:val="21"/>
                <w:szCs w:val="21"/>
                <w:lang w:val="zh-CN" w:bidi="zh-CN"/>
              </w:rPr>
              <w:sym w:font="Wingdings 2" w:char="0052"/>
            </w:r>
          </w:p>
        </w:tc>
        <w:tc>
          <w:tcPr>
            <w:tcW w:w="1046" w:type="pct"/>
            <w:gridSpan w:val="3"/>
            <w:vAlign w:val="center"/>
          </w:tcPr>
          <w:p w14:paraId="366E0C1B"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远期</w:t>
            </w:r>
            <w:r>
              <w:rPr>
                <w:rFonts w:eastAsia="Noto Sans CJK JP Regular"/>
                <w:kern w:val="2"/>
                <w:sz w:val="21"/>
                <w:szCs w:val="21"/>
                <w:lang w:val="zh-CN" w:bidi="zh-CN"/>
              </w:rPr>
              <w:sym w:font="Wingdings 2" w:char="0052"/>
            </w:r>
          </w:p>
        </w:tc>
      </w:tr>
      <w:tr w:rsidR="003E78AB" w14:paraId="4CBF3AD3" w14:textId="77777777">
        <w:trPr>
          <w:trHeight w:val="567"/>
        </w:trPr>
        <w:tc>
          <w:tcPr>
            <w:tcW w:w="587" w:type="pct"/>
            <w:vMerge/>
            <w:vAlign w:val="center"/>
          </w:tcPr>
          <w:p w14:paraId="5FF22157"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66F5E9B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现状调查方法</w:t>
            </w:r>
          </w:p>
        </w:tc>
        <w:tc>
          <w:tcPr>
            <w:tcW w:w="3529" w:type="pct"/>
            <w:gridSpan w:val="11"/>
            <w:vAlign w:val="center"/>
          </w:tcPr>
          <w:p w14:paraId="0314B70E"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现场实测法</w:t>
            </w:r>
            <w:r>
              <w:rPr>
                <w:rFonts w:eastAsia="Noto Sans CJK JP Regular"/>
                <w:kern w:val="2"/>
                <w:sz w:val="21"/>
                <w:szCs w:val="21"/>
                <w:lang w:val="zh-CN" w:bidi="zh-CN"/>
              </w:rPr>
              <w:sym w:font="Wingdings 2" w:char="0052"/>
            </w:r>
            <w:r>
              <w:rPr>
                <w:kern w:val="2"/>
                <w:sz w:val="21"/>
                <w:szCs w:val="21"/>
                <w:lang w:val="zh-CN" w:bidi="zh-CN"/>
              </w:rPr>
              <w:t>现场实测加模型计算法</w:t>
            </w:r>
            <w:r>
              <w:rPr>
                <w:kern w:val="2"/>
                <w:sz w:val="21"/>
                <w:szCs w:val="21"/>
                <w:lang w:val="zh-CN" w:bidi="zh-CN"/>
              </w:rPr>
              <w:t>□</w:t>
            </w:r>
            <w:r>
              <w:rPr>
                <w:kern w:val="2"/>
                <w:sz w:val="21"/>
                <w:szCs w:val="21"/>
                <w:lang w:val="zh-CN" w:bidi="zh-CN"/>
              </w:rPr>
              <w:t>收集资料</w:t>
            </w:r>
            <w:r>
              <w:rPr>
                <w:kern w:val="2"/>
                <w:sz w:val="21"/>
                <w:szCs w:val="21"/>
                <w:lang w:val="zh-CN" w:bidi="zh-CN"/>
              </w:rPr>
              <w:t>□</w:t>
            </w:r>
          </w:p>
        </w:tc>
      </w:tr>
      <w:tr w:rsidR="003E78AB" w14:paraId="777AB578" w14:textId="77777777">
        <w:trPr>
          <w:trHeight w:val="567"/>
        </w:trPr>
        <w:tc>
          <w:tcPr>
            <w:tcW w:w="587" w:type="pct"/>
            <w:vMerge/>
            <w:vAlign w:val="center"/>
          </w:tcPr>
          <w:p w14:paraId="5F4086F8"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4986D287"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现状评价</w:t>
            </w:r>
          </w:p>
        </w:tc>
        <w:tc>
          <w:tcPr>
            <w:tcW w:w="939" w:type="pct"/>
            <w:gridSpan w:val="3"/>
            <w:vAlign w:val="center"/>
          </w:tcPr>
          <w:p w14:paraId="5447573D"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达标百分比</w:t>
            </w:r>
          </w:p>
        </w:tc>
        <w:tc>
          <w:tcPr>
            <w:tcW w:w="2589" w:type="pct"/>
            <w:gridSpan w:val="8"/>
            <w:vAlign w:val="center"/>
          </w:tcPr>
          <w:p w14:paraId="4FEAA2F7" w14:textId="77777777" w:rsidR="003E78AB" w:rsidRDefault="00010BF9">
            <w:pPr>
              <w:spacing w:line="360" w:lineRule="exact"/>
              <w:ind w:firstLineChars="0" w:firstLine="0"/>
              <w:jc w:val="center"/>
              <w:rPr>
                <w:kern w:val="2"/>
                <w:sz w:val="21"/>
                <w:szCs w:val="21"/>
                <w:lang w:bidi="zh-CN"/>
              </w:rPr>
            </w:pPr>
            <w:r>
              <w:rPr>
                <w:kern w:val="2"/>
                <w:sz w:val="21"/>
                <w:szCs w:val="21"/>
                <w:lang w:bidi="zh-CN"/>
              </w:rPr>
              <w:t>100%</w:t>
            </w:r>
          </w:p>
        </w:tc>
      </w:tr>
      <w:tr w:rsidR="003E78AB" w14:paraId="1995307F" w14:textId="77777777">
        <w:trPr>
          <w:trHeight w:val="567"/>
        </w:trPr>
        <w:tc>
          <w:tcPr>
            <w:tcW w:w="587" w:type="pct"/>
            <w:vAlign w:val="center"/>
          </w:tcPr>
          <w:p w14:paraId="3990B155"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噪声源调查</w:t>
            </w:r>
          </w:p>
        </w:tc>
        <w:tc>
          <w:tcPr>
            <w:tcW w:w="883" w:type="pct"/>
            <w:vAlign w:val="center"/>
          </w:tcPr>
          <w:p w14:paraId="7EEFE3B7"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噪声源调查方法</w:t>
            </w:r>
          </w:p>
        </w:tc>
        <w:tc>
          <w:tcPr>
            <w:tcW w:w="3529" w:type="pct"/>
            <w:gridSpan w:val="11"/>
            <w:vAlign w:val="center"/>
          </w:tcPr>
          <w:p w14:paraId="53FFDB84"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现场实测</w:t>
            </w:r>
            <w:r>
              <w:rPr>
                <w:kern w:val="2"/>
                <w:sz w:val="21"/>
                <w:szCs w:val="21"/>
                <w:lang w:val="zh-CN" w:bidi="zh-CN"/>
              </w:rPr>
              <w:t>□</w:t>
            </w:r>
            <w:r>
              <w:rPr>
                <w:kern w:val="2"/>
                <w:sz w:val="21"/>
                <w:szCs w:val="21"/>
                <w:lang w:val="zh-CN" w:bidi="zh-CN"/>
              </w:rPr>
              <w:t>已有资料</w:t>
            </w:r>
            <w:r>
              <w:rPr>
                <w:rFonts w:eastAsia="Noto Sans CJK JP Regular"/>
                <w:kern w:val="2"/>
                <w:sz w:val="21"/>
                <w:szCs w:val="21"/>
                <w:lang w:val="zh-CN" w:bidi="zh-CN"/>
              </w:rPr>
              <w:sym w:font="Wingdings 2" w:char="0052"/>
            </w:r>
            <w:r>
              <w:rPr>
                <w:kern w:val="2"/>
                <w:sz w:val="21"/>
                <w:szCs w:val="21"/>
                <w:lang w:val="zh-CN" w:bidi="zh-CN"/>
              </w:rPr>
              <w:t>研究成果</w:t>
            </w:r>
            <w:r>
              <w:rPr>
                <w:kern w:val="2"/>
                <w:sz w:val="21"/>
                <w:szCs w:val="21"/>
                <w:lang w:val="zh-CN" w:bidi="zh-CN"/>
              </w:rPr>
              <w:t>□</w:t>
            </w:r>
          </w:p>
        </w:tc>
      </w:tr>
      <w:tr w:rsidR="003E78AB" w14:paraId="2FB02950" w14:textId="77777777">
        <w:trPr>
          <w:trHeight w:val="567"/>
        </w:trPr>
        <w:tc>
          <w:tcPr>
            <w:tcW w:w="587" w:type="pct"/>
            <w:vMerge w:val="restart"/>
            <w:vAlign w:val="center"/>
          </w:tcPr>
          <w:p w14:paraId="0B722DF0"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声环境影响预测与评价</w:t>
            </w:r>
          </w:p>
        </w:tc>
        <w:tc>
          <w:tcPr>
            <w:tcW w:w="883" w:type="pct"/>
            <w:vAlign w:val="center"/>
          </w:tcPr>
          <w:p w14:paraId="365913B3"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预测模型</w:t>
            </w:r>
          </w:p>
        </w:tc>
        <w:tc>
          <w:tcPr>
            <w:tcW w:w="1968" w:type="pct"/>
            <w:gridSpan w:val="6"/>
            <w:vAlign w:val="center"/>
          </w:tcPr>
          <w:p w14:paraId="125586C2"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导则推荐模型</w:t>
            </w:r>
            <w:r>
              <w:rPr>
                <w:rFonts w:eastAsia="Noto Sans CJK JP Regular"/>
                <w:kern w:val="2"/>
                <w:sz w:val="21"/>
                <w:szCs w:val="21"/>
                <w:lang w:val="zh-CN" w:bidi="zh-CN"/>
              </w:rPr>
              <w:sym w:font="Wingdings 2" w:char="0052"/>
            </w:r>
          </w:p>
        </w:tc>
        <w:tc>
          <w:tcPr>
            <w:tcW w:w="1561" w:type="pct"/>
            <w:gridSpan w:val="5"/>
            <w:vAlign w:val="center"/>
          </w:tcPr>
          <w:p w14:paraId="761F73F3" w14:textId="77777777" w:rsidR="003E78AB" w:rsidRDefault="00010BF9">
            <w:pPr>
              <w:tabs>
                <w:tab w:val="left" w:pos="1633"/>
              </w:tabs>
              <w:spacing w:line="360" w:lineRule="exact"/>
              <w:ind w:firstLineChars="0" w:firstLine="0"/>
              <w:jc w:val="center"/>
              <w:rPr>
                <w:kern w:val="2"/>
                <w:sz w:val="21"/>
                <w:szCs w:val="21"/>
                <w:lang w:val="zh-CN" w:bidi="zh-CN"/>
              </w:rPr>
            </w:pPr>
            <w:r>
              <w:rPr>
                <w:kern w:val="2"/>
                <w:sz w:val="21"/>
                <w:szCs w:val="21"/>
                <w:lang w:val="zh-CN" w:bidi="zh-CN"/>
              </w:rPr>
              <w:t>其他</w:t>
            </w:r>
            <w:r>
              <w:rPr>
                <w:kern w:val="2"/>
                <w:sz w:val="21"/>
                <w:szCs w:val="21"/>
                <w:lang w:val="zh-CN" w:bidi="zh-CN"/>
              </w:rPr>
              <w:t>□</w:t>
            </w:r>
          </w:p>
        </w:tc>
      </w:tr>
      <w:tr w:rsidR="003E78AB" w14:paraId="1C121E4E" w14:textId="77777777">
        <w:trPr>
          <w:trHeight w:val="567"/>
        </w:trPr>
        <w:tc>
          <w:tcPr>
            <w:tcW w:w="587" w:type="pct"/>
            <w:vMerge/>
            <w:vAlign w:val="center"/>
          </w:tcPr>
          <w:p w14:paraId="142DBB9B"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3982DF1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预测范围</w:t>
            </w:r>
          </w:p>
        </w:tc>
        <w:tc>
          <w:tcPr>
            <w:tcW w:w="3529" w:type="pct"/>
            <w:gridSpan w:val="11"/>
            <w:vAlign w:val="center"/>
          </w:tcPr>
          <w:p w14:paraId="6CB5F8AE"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200m</w:t>
            </w:r>
            <w:r>
              <w:rPr>
                <w:rFonts w:eastAsia="Noto Sans CJK JP Regular"/>
                <w:kern w:val="2"/>
                <w:sz w:val="21"/>
                <w:szCs w:val="21"/>
                <w:lang w:val="zh-CN" w:bidi="zh-CN"/>
              </w:rPr>
              <w:sym w:font="Wingdings 2" w:char="0052"/>
            </w:r>
            <w:r>
              <w:rPr>
                <w:kern w:val="2"/>
                <w:sz w:val="21"/>
                <w:szCs w:val="21"/>
                <w:lang w:val="zh-CN" w:bidi="zh-CN"/>
              </w:rPr>
              <w:t>大于</w:t>
            </w:r>
            <w:r>
              <w:rPr>
                <w:kern w:val="2"/>
                <w:sz w:val="21"/>
                <w:szCs w:val="21"/>
                <w:lang w:val="zh-CN" w:bidi="zh-CN"/>
              </w:rPr>
              <w:t>200m□</w:t>
            </w:r>
            <w:r>
              <w:rPr>
                <w:kern w:val="2"/>
                <w:sz w:val="21"/>
                <w:szCs w:val="21"/>
                <w:lang w:val="zh-CN" w:bidi="zh-CN"/>
              </w:rPr>
              <w:t>小于</w:t>
            </w:r>
            <w:r>
              <w:rPr>
                <w:kern w:val="2"/>
                <w:sz w:val="21"/>
                <w:szCs w:val="21"/>
                <w:lang w:val="zh-CN" w:bidi="zh-CN"/>
              </w:rPr>
              <w:t>200m□</w:t>
            </w:r>
          </w:p>
        </w:tc>
      </w:tr>
      <w:tr w:rsidR="003E78AB" w14:paraId="165AAAFA" w14:textId="77777777">
        <w:trPr>
          <w:trHeight w:val="567"/>
        </w:trPr>
        <w:tc>
          <w:tcPr>
            <w:tcW w:w="587" w:type="pct"/>
            <w:vMerge/>
            <w:vAlign w:val="center"/>
          </w:tcPr>
          <w:p w14:paraId="7E2149CF"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5E19823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预测因子</w:t>
            </w:r>
          </w:p>
        </w:tc>
        <w:tc>
          <w:tcPr>
            <w:tcW w:w="939" w:type="pct"/>
            <w:gridSpan w:val="3"/>
            <w:vAlign w:val="center"/>
          </w:tcPr>
          <w:p w14:paraId="13A61157"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等效连续</w:t>
            </w:r>
            <w:r>
              <w:rPr>
                <w:kern w:val="2"/>
                <w:sz w:val="21"/>
                <w:szCs w:val="21"/>
                <w:lang w:val="zh-CN" w:bidi="zh-CN"/>
              </w:rPr>
              <w:t>A</w:t>
            </w:r>
            <w:r>
              <w:rPr>
                <w:kern w:val="2"/>
                <w:sz w:val="21"/>
                <w:szCs w:val="21"/>
                <w:lang w:val="zh-CN" w:bidi="zh-CN"/>
              </w:rPr>
              <w:t>声级</w:t>
            </w:r>
            <w:r>
              <w:rPr>
                <w:rFonts w:eastAsia="Noto Sans CJK JP Regular"/>
                <w:kern w:val="2"/>
                <w:sz w:val="21"/>
                <w:szCs w:val="21"/>
                <w:lang w:val="zh-CN" w:bidi="zh-CN"/>
              </w:rPr>
              <w:sym w:font="Wingdings 2" w:char="0052"/>
            </w:r>
          </w:p>
        </w:tc>
        <w:tc>
          <w:tcPr>
            <w:tcW w:w="1028" w:type="pct"/>
            <w:gridSpan w:val="3"/>
            <w:vAlign w:val="center"/>
          </w:tcPr>
          <w:p w14:paraId="64F3EC67"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最大</w:t>
            </w:r>
            <w:r>
              <w:rPr>
                <w:kern w:val="2"/>
                <w:sz w:val="21"/>
                <w:szCs w:val="21"/>
                <w:lang w:val="zh-CN" w:bidi="zh-CN"/>
              </w:rPr>
              <w:t>A</w:t>
            </w:r>
            <w:r>
              <w:rPr>
                <w:kern w:val="2"/>
                <w:sz w:val="21"/>
                <w:szCs w:val="21"/>
                <w:lang w:val="zh-CN" w:bidi="zh-CN"/>
              </w:rPr>
              <w:t>声级</w:t>
            </w:r>
            <w:r>
              <w:rPr>
                <w:kern w:val="2"/>
                <w:sz w:val="21"/>
                <w:szCs w:val="21"/>
                <w:lang w:val="zh-CN" w:bidi="zh-CN"/>
              </w:rPr>
              <w:t>□</w:t>
            </w:r>
          </w:p>
        </w:tc>
        <w:tc>
          <w:tcPr>
            <w:tcW w:w="1561" w:type="pct"/>
            <w:gridSpan w:val="5"/>
            <w:vAlign w:val="center"/>
          </w:tcPr>
          <w:p w14:paraId="7CC1154A"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计权等效连续感觉噪声级</w:t>
            </w:r>
            <w:r>
              <w:rPr>
                <w:kern w:val="2"/>
                <w:sz w:val="21"/>
                <w:szCs w:val="21"/>
                <w:lang w:val="zh-CN" w:bidi="zh-CN"/>
              </w:rPr>
              <w:t>□</w:t>
            </w:r>
          </w:p>
        </w:tc>
      </w:tr>
      <w:tr w:rsidR="003E78AB" w14:paraId="76423915" w14:textId="77777777">
        <w:trPr>
          <w:trHeight w:val="567"/>
        </w:trPr>
        <w:tc>
          <w:tcPr>
            <w:tcW w:w="587" w:type="pct"/>
            <w:vMerge/>
            <w:vAlign w:val="center"/>
          </w:tcPr>
          <w:p w14:paraId="2F5DEC4C"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413EF148"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厂界噪声贡献值</w:t>
            </w:r>
          </w:p>
        </w:tc>
        <w:tc>
          <w:tcPr>
            <w:tcW w:w="3529" w:type="pct"/>
            <w:gridSpan w:val="11"/>
            <w:vAlign w:val="center"/>
          </w:tcPr>
          <w:p w14:paraId="26BB308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达标</w:t>
            </w:r>
            <w:r>
              <w:rPr>
                <w:rFonts w:eastAsia="Noto Sans CJK JP Regular"/>
                <w:kern w:val="2"/>
                <w:sz w:val="21"/>
                <w:szCs w:val="21"/>
                <w:lang w:val="zh-CN" w:bidi="zh-CN"/>
              </w:rPr>
              <w:sym w:font="Wingdings 2" w:char="0052"/>
            </w:r>
            <w:r>
              <w:rPr>
                <w:kern w:val="2"/>
                <w:sz w:val="21"/>
                <w:szCs w:val="21"/>
                <w:lang w:val="zh-CN" w:bidi="zh-CN"/>
              </w:rPr>
              <w:t>不达标</w:t>
            </w:r>
            <w:r>
              <w:rPr>
                <w:kern w:val="2"/>
                <w:sz w:val="21"/>
                <w:szCs w:val="21"/>
                <w:lang w:val="zh-CN" w:bidi="zh-CN"/>
              </w:rPr>
              <w:t>□</w:t>
            </w:r>
          </w:p>
        </w:tc>
      </w:tr>
      <w:tr w:rsidR="003E78AB" w14:paraId="78D66D87" w14:textId="77777777">
        <w:trPr>
          <w:trHeight w:val="567"/>
        </w:trPr>
        <w:tc>
          <w:tcPr>
            <w:tcW w:w="587" w:type="pct"/>
            <w:vMerge/>
            <w:vAlign w:val="center"/>
          </w:tcPr>
          <w:p w14:paraId="6594CCBE"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187F8771"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声环境保护目标处噪声值</w:t>
            </w:r>
          </w:p>
        </w:tc>
        <w:tc>
          <w:tcPr>
            <w:tcW w:w="3529" w:type="pct"/>
            <w:gridSpan w:val="11"/>
            <w:vAlign w:val="center"/>
          </w:tcPr>
          <w:p w14:paraId="6F7BBB8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达标</w:t>
            </w:r>
            <w:r>
              <w:rPr>
                <w:rFonts w:eastAsia="Noto Sans CJK JP Regular"/>
                <w:kern w:val="2"/>
                <w:sz w:val="21"/>
                <w:szCs w:val="21"/>
                <w:lang w:val="zh-CN" w:bidi="zh-CN"/>
              </w:rPr>
              <w:sym w:font="Wingdings 2" w:char="00A3"/>
            </w:r>
            <w:r>
              <w:rPr>
                <w:kern w:val="2"/>
                <w:sz w:val="21"/>
                <w:szCs w:val="21"/>
                <w:lang w:val="zh-CN" w:bidi="zh-CN"/>
              </w:rPr>
              <w:t>不达标</w:t>
            </w:r>
            <w:r>
              <w:rPr>
                <w:kern w:val="2"/>
                <w:sz w:val="21"/>
                <w:szCs w:val="21"/>
                <w:lang w:val="zh-CN" w:bidi="zh-CN"/>
              </w:rPr>
              <w:t>□</w:t>
            </w:r>
          </w:p>
        </w:tc>
      </w:tr>
      <w:tr w:rsidR="003E78AB" w14:paraId="73525895" w14:textId="77777777">
        <w:trPr>
          <w:trHeight w:val="567"/>
        </w:trPr>
        <w:tc>
          <w:tcPr>
            <w:tcW w:w="587" w:type="pct"/>
            <w:vMerge w:val="restart"/>
            <w:vAlign w:val="center"/>
          </w:tcPr>
          <w:p w14:paraId="5534D07F"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环境监测计划</w:t>
            </w:r>
          </w:p>
        </w:tc>
        <w:tc>
          <w:tcPr>
            <w:tcW w:w="883" w:type="pct"/>
            <w:vAlign w:val="center"/>
          </w:tcPr>
          <w:p w14:paraId="662F8D1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排放监测</w:t>
            </w:r>
          </w:p>
        </w:tc>
        <w:tc>
          <w:tcPr>
            <w:tcW w:w="3529" w:type="pct"/>
            <w:gridSpan w:val="11"/>
            <w:vAlign w:val="center"/>
          </w:tcPr>
          <w:p w14:paraId="4944E6AD" w14:textId="77777777" w:rsidR="003E78AB" w:rsidRDefault="00010BF9">
            <w:pPr>
              <w:tabs>
                <w:tab w:val="left" w:pos="1621"/>
              </w:tabs>
              <w:spacing w:line="360" w:lineRule="exact"/>
              <w:ind w:firstLineChars="0" w:firstLine="0"/>
              <w:jc w:val="center"/>
              <w:rPr>
                <w:kern w:val="2"/>
                <w:sz w:val="21"/>
                <w:szCs w:val="21"/>
                <w:lang w:val="zh-CN" w:bidi="zh-CN"/>
              </w:rPr>
            </w:pPr>
            <w:r>
              <w:rPr>
                <w:kern w:val="2"/>
                <w:sz w:val="21"/>
                <w:szCs w:val="21"/>
                <w:lang w:val="zh-CN" w:bidi="zh-CN"/>
              </w:rPr>
              <w:t>厂界监测</w:t>
            </w:r>
            <w:r>
              <w:rPr>
                <w:rFonts w:eastAsia="Noto Sans CJK JP Regular"/>
                <w:kern w:val="2"/>
                <w:sz w:val="21"/>
                <w:szCs w:val="21"/>
                <w:lang w:val="zh-CN" w:bidi="zh-CN"/>
              </w:rPr>
              <w:sym w:font="Wingdings 2" w:char="0052"/>
            </w:r>
            <w:r>
              <w:rPr>
                <w:kern w:val="2"/>
                <w:sz w:val="21"/>
                <w:szCs w:val="21"/>
                <w:lang w:val="zh-CN" w:bidi="zh-CN"/>
              </w:rPr>
              <w:t>固定位置监</w:t>
            </w:r>
            <w:r>
              <w:rPr>
                <w:spacing w:val="-3"/>
                <w:kern w:val="2"/>
                <w:sz w:val="21"/>
                <w:szCs w:val="21"/>
                <w:lang w:val="zh-CN" w:bidi="zh-CN"/>
              </w:rPr>
              <w:t>测</w:t>
            </w:r>
            <w:r>
              <w:rPr>
                <w:rFonts w:eastAsia="Noto Sans CJK JP Regular"/>
                <w:kern w:val="2"/>
                <w:sz w:val="21"/>
                <w:szCs w:val="21"/>
                <w:lang w:val="zh-CN" w:bidi="zh-CN"/>
              </w:rPr>
              <w:sym w:font="Wingdings 2" w:char="0052"/>
            </w:r>
            <w:r>
              <w:rPr>
                <w:kern w:val="2"/>
                <w:sz w:val="21"/>
                <w:szCs w:val="21"/>
                <w:lang w:val="zh-CN" w:bidi="zh-CN"/>
              </w:rPr>
              <w:t>自动监测</w:t>
            </w:r>
            <w:r>
              <w:rPr>
                <w:kern w:val="2"/>
                <w:sz w:val="21"/>
                <w:szCs w:val="21"/>
                <w:lang w:val="zh-CN" w:bidi="zh-CN"/>
              </w:rPr>
              <w:t>□</w:t>
            </w:r>
            <w:r>
              <w:rPr>
                <w:kern w:val="2"/>
                <w:sz w:val="21"/>
                <w:szCs w:val="21"/>
                <w:lang w:val="zh-CN" w:bidi="zh-CN"/>
              </w:rPr>
              <w:t>手动监测</w:t>
            </w:r>
            <w:r>
              <w:rPr>
                <w:kern w:val="2"/>
                <w:sz w:val="21"/>
                <w:szCs w:val="21"/>
                <w:lang w:val="zh-CN" w:bidi="zh-CN"/>
              </w:rPr>
              <w:t>□</w:t>
            </w:r>
            <w:r>
              <w:rPr>
                <w:kern w:val="2"/>
                <w:sz w:val="21"/>
                <w:szCs w:val="21"/>
                <w:lang w:val="zh-CN" w:bidi="zh-CN"/>
              </w:rPr>
              <w:t>无监测</w:t>
            </w:r>
            <w:r>
              <w:rPr>
                <w:kern w:val="2"/>
                <w:sz w:val="21"/>
                <w:szCs w:val="21"/>
                <w:lang w:val="zh-CN" w:bidi="zh-CN"/>
              </w:rPr>
              <w:t>□</w:t>
            </w:r>
          </w:p>
        </w:tc>
      </w:tr>
      <w:tr w:rsidR="003E78AB" w14:paraId="20950434" w14:textId="77777777">
        <w:trPr>
          <w:trHeight w:val="567"/>
        </w:trPr>
        <w:tc>
          <w:tcPr>
            <w:tcW w:w="587" w:type="pct"/>
            <w:vMerge/>
            <w:vAlign w:val="center"/>
          </w:tcPr>
          <w:p w14:paraId="391D2EE3" w14:textId="77777777" w:rsidR="003E78AB" w:rsidRDefault="003E78AB">
            <w:pPr>
              <w:spacing w:line="360" w:lineRule="exact"/>
              <w:ind w:firstLineChars="0" w:firstLine="0"/>
              <w:jc w:val="center"/>
              <w:rPr>
                <w:kern w:val="2"/>
                <w:sz w:val="21"/>
                <w:szCs w:val="21"/>
                <w:lang w:val="zh-CN" w:bidi="zh-CN"/>
              </w:rPr>
            </w:pPr>
          </w:p>
        </w:tc>
        <w:tc>
          <w:tcPr>
            <w:tcW w:w="883" w:type="pct"/>
            <w:vAlign w:val="center"/>
          </w:tcPr>
          <w:p w14:paraId="2F9C7D87"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声环境保护目标处噪声监测</w:t>
            </w:r>
          </w:p>
        </w:tc>
        <w:tc>
          <w:tcPr>
            <w:tcW w:w="1614" w:type="pct"/>
            <w:gridSpan w:val="5"/>
            <w:vAlign w:val="center"/>
          </w:tcPr>
          <w:p w14:paraId="21886D53" w14:textId="77777777" w:rsidR="003E78AB" w:rsidRDefault="00010BF9">
            <w:pPr>
              <w:tabs>
                <w:tab w:val="left" w:pos="2252"/>
              </w:tabs>
              <w:spacing w:line="360" w:lineRule="exact"/>
              <w:ind w:firstLineChars="0" w:firstLine="0"/>
              <w:jc w:val="center"/>
              <w:rPr>
                <w:kern w:val="2"/>
                <w:sz w:val="21"/>
                <w:szCs w:val="21"/>
                <w:lang w:val="zh-CN" w:bidi="zh-CN"/>
              </w:rPr>
            </w:pPr>
            <w:r>
              <w:rPr>
                <w:kern w:val="2"/>
                <w:sz w:val="21"/>
                <w:szCs w:val="21"/>
                <w:lang w:val="zh-CN" w:bidi="zh-CN"/>
              </w:rPr>
              <w:t>监测因子</w:t>
            </w:r>
            <w:r>
              <w:rPr>
                <w:spacing w:val="-92"/>
                <w:kern w:val="2"/>
                <w:sz w:val="21"/>
                <w:szCs w:val="21"/>
                <w:lang w:val="zh-CN" w:bidi="zh-CN"/>
              </w:rPr>
              <w:t>：</w:t>
            </w:r>
            <w:r>
              <w:rPr>
                <w:kern w:val="2"/>
                <w:sz w:val="21"/>
                <w:szCs w:val="21"/>
                <w:lang w:val="zh-CN" w:bidi="zh-CN"/>
              </w:rPr>
              <w:t>（等效连续</w:t>
            </w:r>
            <w:r>
              <w:rPr>
                <w:kern w:val="2"/>
                <w:sz w:val="21"/>
                <w:szCs w:val="21"/>
                <w:lang w:val="zh-CN" w:bidi="zh-CN"/>
              </w:rPr>
              <w:t>A</w:t>
            </w:r>
            <w:r>
              <w:rPr>
                <w:kern w:val="2"/>
                <w:sz w:val="21"/>
                <w:szCs w:val="21"/>
                <w:lang w:val="zh-CN" w:bidi="zh-CN"/>
              </w:rPr>
              <w:t>声级）</w:t>
            </w:r>
          </w:p>
        </w:tc>
        <w:tc>
          <w:tcPr>
            <w:tcW w:w="1130" w:type="pct"/>
            <w:gridSpan w:val="4"/>
            <w:vAlign w:val="center"/>
          </w:tcPr>
          <w:p w14:paraId="09D6D55C" w14:textId="77777777" w:rsidR="003E78AB" w:rsidRDefault="00010BF9">
            <w:pPr>
              <w:tabs>
                <w:tab w:val="left" w:pos="1735"/>
              </w:tabs>
              <w:spacing w:line="360" w:lineRule="exact"/>
              <w:ind w:firstLineChars="0" w:firstLine="0"/>
              <w:jc w:val="center"/>
              <w:rPr>
                <w:kern w:val="2"/>
                <w:sz w:val="21"/>
                <w:szCs w:val="21"/>
                <w:lang w:val="zh-CN" w:bidi="zh-CN"/>
              </w:rPr>
            </w:pPr>
            <w:r>
              <w:rPr>
                <w:kern w:val="2"/>
                <w:sz w:val="21"/>
                <w:szCs w:val="21"/>
                <w:lang w:val="zh-CN" w:bidi="zh-CN"/>
              </w:rPr>
              <w:t>监测点位数（</w:t>
            </w:r>
            <w:r>
              <w:rPr>
                <w:kern w:val="2"/>
                <w:sz w:val="21"/>
                <w:szCs w:val="21"/>
                <w:lang w:bidi="zh-CN"/>
              </w:rPr>
              <w:t>4</w:t>
            </w:r>
            <w:r>
              <w:rPr>
                <w:kern w:val="2"/>
                <w:sz w:val="21"/>
                <w:szCs w:val="21"/>
                <w:lang w:val="zh-CN" w:bidi="zh-CN"/>
              </w:rPr>
              <w:t>）</w:t>
            </w:r>
          </w:p>
        </w:tc>
        <w:tc>
          <w:tcPr>
            <w:tcW w:w="784" w:type="pct"/>
            <w:gridSpan w:val="2"/>
            <w:vAlign w:val="center"/>
          </w:tcPr>
          <w:p w14:paraId="11C3D37C"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无监测</w:t>
            </w:r>
            <w:r>
              <w:rPr>
                <w:kern w:val="2"/>
                <w:sz w:val="21"/>
                <w:szCs w:val="21"/>
                <w:lang w:val="zh-CN" w:bidi="zh-CN"/>
              </w:rPr>
              <w:t>□</w:t>
            </w:r>
          </w:p>
        </w:tc>
      </w:tr>
      <w:tr w:rsidR="003E78AB" w14:paraId="0F72F6F1" w14:textId="77777777">
        <w:trPr>
          <w:trHeight w:val="567"/>
        </w:trPr>
        <w:tc>
          <w:tcPr>
            <w:tcW w:w="587" w:type="pct"/>
            <w:vAlign w:val="center"/>
          </w:tcPr>
          <w:p w14:paraId="0FCF15A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评价结论</w:t>
            </w:r>
          </w:p>
        </w:tc>
        <w:tc>
          <w:tcPr>
            <w:tcW w:w="883" w:type="pct"/>
            <w:vAlign w:val="center"/>
          </w:tcPr>
          <w:p w14:paraId="167EB4E9" w14:textId="77777777" w:rsidR="003E78AB" w:rsidRDefault="00010BF9">
            <w:pPr>
              <w:spacing w:line="360" w:lineRule="exact"/>
              <w:ind w:firstLineChars="0" w:firstLine="0"/>
              <w:jc w:val="center"/>
              <w:rPr>
                <w:kern w:val="2"/>
                <w:sz w:val="21"/>
                <w:szCs w:val="21"/>
                <w:lang w:val="zh-CN" w:bidi="zh-CN"/>
              </w:rPr>
            </w:pPr>
            <w:r>
              <w:rPr>
                <w:kern w:val="2"/>
                <w:sz w:val="21"/>
                <w:szCs w:val="21"/>
                <w:lang w:val="zh-CN" w:bidi="zh-CN"/>
              </w:rPr>
              <w:t>环境影响</w:t>
            </w:r>
          </w:p>
        </w:tc>
        <w:tc>
          <w:tcPr>
            <w:tcW w:w="3529" w:type="pct"/>
            <w:gridSpan w:val="11"/>
            <w:vAlign w:val="center"/>
          </w:tcPr>
          <w:p w14:paraId="15EF112F" w14:textId="77777777" w:rsidR="003E78AB" w:rsidRDefault="00010BF9">
            <w:pPr>
              <w:tabs>
                <w:tab w:val="left" w:pos="1202"/>
              </w:tabs>
              <w:spacing w:line="360" w:lineRule="exact"/>
              <w:ind w:firstLineChars="0" w:firstLine="0"/>
              <w:jc w:val="center"/>
              <w:rPr>
                <w:kern w:val="2"/>
                <w:sz w:val="21"/>
                <w:szCs w:val="21"/>
                <w:lang w:val="zh-CN" w:bidi="zh-CN"/>
              </w:rPr>
            </w:pPr>
            <w:r>
              <w:rPr>
                <w:kern w:val="2"/>
                <w:sz w:val="21"/>
                <w:szCs w:val="21"/>
                <w:lang w:val="zh-CN" w:bidi="zh-CN"/>
              </w:rPr>
              <w:t>可行</w:t>
            </w:r>
            <w:r>
              <w:rPr>
                <w:rFonts w:eastAsia="Noto Sans CJK JP Regular"/>
                <w:kern w:val="2"/>
                <w:sz w:val="21"/>
                <w:szCs w:val="21"/>
                <w:lang w:val="zh-CN" w:bidi="zh-CN"/>
              </w:rPr>
              <w:sym w:font="Wingdings 2" w:char="0052"/>
            </w:r>
            <w:r>
              <w:rPr>
                <w:kern w:val="2"/>
                <w:sz w:val="21"/>
                <w:szCs w:val="21"/>
                <w:lang w:val="zh-CN" w:bidi="zh-CN"/>
              </w:rPr>
              <w:t>不可行</w:t>
            </w:r>
            <w:r>
              <w:rPr>
                <w:kern w:val="2"/>
                <w:sz w:val="21"/>
                <w:szCs w:val="21"/>
                <w:lang w:val="zh-CN" w:bidi="zh-CN"/>
              </w:rPr>
              <w:t>□</w:t>
            </w:r>
          </w:p>
        </w:tc>
      </w:tr>
      <w:tr w:rsidR="003E78AB" w14:paraId="47F876F6" w14:textId="77777777">
        <w:trPr>
          <w:trHeight w:val="567"/>
        </w:trPr>
        <w:tc>
          <w:tcPr>
            <w:tcW w:w="5000" w:type="pct"/>
            <w:gridSpan w:val="13"/>
            <w:vAlign w:val="center"/>
          </w:tcPr>
          <w:p w14:paraId="48783E3D" w14:textId="77777777" w:rsidR="003E78AB" w:rsidRDefault="00010BF9">
            <w:pPr>
              <w:tabs>
                <w:tab w:val="left" w:pos="2985"/>
              </w:tabs>
              <w:spacing w:line="360" w:lineRule="exact"/>
              <w:ind w:firstLineChars="0" w:firstLine="0"/>
              <w:jc w:val="center"/>
              <w:rPr>
                <w:kern w:val="2"/>
                <w:sz w:val="21"/>
                <w:szCs w:val="21"/>
                <w:lang w:val="zh-CN" w:bidi="zh-CN"/>
              </w:rPr>
            </w:pPr>
            <w:r>
              <w:rPr>
                <w:kern w:val="2"/>
                <w:sz w:val="21"/>
                <w:szCs w:val="21"/>
                <w:lang w:val="zh-CN" w:bidi="zh-CN"/>
              </w:rPr>
              <w:t>注</w:t>
            </w:r>
            <w:r>
              <w:rPr>
                <w:kern w:val="2"/>
                <w:sz w:val="21"/>
                <w:szCs w:val="21"/>
                <w:lang w:val="zh-CN" w:bidi="zh-CN"/>
              </w:rPr>
              <w:t>“□”</w:t>
            </w:r>
            <w:r>
              <w:rPr>
                <w:kern w:val="2"/>
                <w:sz w:val="21"/>
                <w:szCs w:val="21"/>
                <w:lang w:val="zh-CN" w:bidi="zh-CN"/>
              </w:rPr>
              <w:t>为勾选项，可</w:t>
            </w:r>
            <w:r>
              <w:rPr>
                <w:kern w:val="2"/>
                <w:sz w:val="21"/>
                <w:szCs w:val="21"/>
                <w:lang w:val="zh-CN" w:bidi="zh-CN"/>
              </w:rPr>
              <w:t>√</w:t>
            </w:r>
            <w:r>
              <w:rPr>
                <w:kern w:val="2"/>
                <w:sz w:val="21"/>
                <w:szCs w:val="21"/>
                <w:lang w:val="zh-CN" w:bidi="zh-CN"/>
              </w:rPr>
              <w:t>；</w:t>
            </w:r>
            <w:r>
              <w:rPr>
                <w:spacing w:val="1"/>
                <w:kern w:val="2"/>
                <w:sz w:val="21"/>
                <w:szCs w:val="21"/>
                <w:lang w:val="zh-CN" w:bidi="zh-CN"/>
              </w:rPr>
              <w:t>“</w:t>
            </w:r>
            <w:r>
              <w:rPr>
                <w:spacing w:val="1"/>
                <w:kern w:val="2"/>
                <w:sz w:val="21"/>
                <w:szCs w:val="21"/>
                <w:lang w:val="zh-CN" w:bidi="zh-CN"/>
              </w:rPr>
              <w:t>（）</w:t>
            </w:r>
            <w:r>
              <w:rPr>
                <w:spacing w:val="1"/>
                <w:kern w:val="2"/>
                <w:sz w:val="21"/>
                <w:szCs w:val="21"/>
                <w:lang w:val="zh-CN" w:bidi="zh-CN"/>
              </w:rPr>
              <w:t>”</w:t>
            </w:r>
            <w:r>
              <w:rPr>
                <w:kern w:val="2"/>
                <w:sz w:val="21"/>
                <w:szCs w:val="21"/>
                <w:lang w:val="zh-CN" w:bidi="zh-CN"/>
              </w:rPr>
              <w:t>为内容填写项。</w:t>
            </w:r>
          </w:p>
        </w:tc>
      </w:tr>
    </w:tbl>
    <w:p w14:paraId="21F89C2D"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5.2</w:t>
      </w:r>
      <w:r>
        <w:rPr>
          <w:rFonts w:cs="Times New Roman"/>
          <w:sz w:val="28"/>
          <w:szCs w:val="28"/>
        </w:rPr>
        <w:t>.4</w:t>
      </w:r>
      <w:r>
        <w:rPr>
          <w:rFonts w:cs="Times New Roman"/>
          <w:sz w:val="28"/>
          <w:szCs w:val="28"/>
        </w:rPr>
        <w:t>运营期固体废物环境影响分析</w:t>
      </w:r>
    </w:p>
    <w:p w14:paraId="598C37E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.4.1</w:t>
      </w:r>
      <w:r>
        <w:rPr>
          <w:rFonts w:ascii="Times New Roman" w:hAnsi="Times New Roman"/>
        </w:rPr>
        <w:t>固体废物排放与处置情况</w:t>
      </w:r>
    </w:p>
    <w:p w14:paraId="73494C51" w14:textId="77777777" w:rsidR="003E78AB" w:rsidRDefault="00010BF9">
      <w:pPr>
        <w:ind w:firstLine="480"/>
        <w:rPr>
          <w:kern w:val="2"/>
        </w:rPr>
        <w:sectPr w:rsidR="003E78AB">
          <w:pgSz w:w="11906" w:h="16838"/>
          <w:pgMar w:top="1440" w:right="1803" w:bottom="1440" w:left="1803" w:header="851" w:footer="992" w:gutter="0"/>
          <w:cols w:space="720"/>
          <w:docGrid w:linePitch="312"/>
        </w:sectPr>
      </w:pPr>
      <w:r>
        <w:rPr>
          <w:kern w:val="2"/>
        </w:rPr>
        <w:t>根据《中华人民共和国固体废物污染环境防治法》（</w:t>
      </w:r>
      <w:r>
        <w:rPr>
          <w:kern w:val="2"/>
        </w:rPr>
        <w:t>2020</w:t>
      </w:r>
      <w:r>
        <w:rPr>
          <w:kern w:val="2"/>
        </w:rPr>
        <w:t>年</w:t>
      </w:r>
      <w:r>
        <w:rPr>
          <w:kern w:val="2"/>
        </w:rPr>
        <w:t>9</w:t>
      </w:r>
      <w:r>
        <w:rPr>
          <w:kern w:val="2"/>
        </w:rPr>
        <w:t>月）、《固体废物鉴别</w:t>
      </w:r>
      <w:r>
        <w:rPr>
          <w:rFonts w:hint="eastAsia"/>
          <w:kern w:val="2"/>
        </w:rPr>
        <w:t xml:space="preserve"> </w:t>
      </w:r>
      <w:r>
        <w:rPr>
          <w:kern w:val="2"/>
        </w:rPr>
        <w:t>通则》（</w:t>
      </w:r>
      <w:r>
        <w:rPr>
          <w:kern w:val="2"/>
        </w:rPr>
        <w:t>GB34330-2017</w:t>
      </w:r>
      <w:r>
        <w:rPr>
          <w:kern w:val="2"/>
        </w:rPr>
        <w:t>）《危险废物鉴别标准</w:t>
      </w:r>
      <w:r>
        <w:rPr>
          <w:rFonts w:hint="eastAsia"/>
          <w:kern w:val="2"/>
        </w:rPr>
        <w:t xml:space="preserve"> </w:t>
      </w:r>
      <w:r>
        <w:rPr>
          <w:kern w:val="2"/>
        </w:rPr>
        <w:t>通则》（</w:t>
      </w:r>
      <w:r>
        <w:rPr>
          <w:kern w:val="2"/>
        </w:rPr>
        <w:t>GB5085.7-2019</w:t>
      </w:r>
      <w:r>
        <w:rPr>
          <w:kern w:val="2"/>
        </w:rPr>
        <w:t>）《国家危险废物名录》（</w:t>
      </w:r>
      <w:r>
        <w:rPr>
          <w:kern w:val="2"/>
        </w:rPr>
        <w:t>202</w:t>
      </w:r>
      <w:r>
        <w:rPr>
          <w:rFonts w:hint="eastAsia"/>
          <w:kern w:val="2"/>
        </w:rPr>
        <w:t>5</w:t>
      </w:r>
      <w:r>
        <w:rPr>
          <w:kern w:val="2"/>
        </w:rPr>
        <w:t>年版）及相关鉴别标准，将本项目产生的固体废物分为危险废物、一般工业固体废物和生活垃圾。本项目固体废物产生及去向见</w:t>
      </w:r>
      <w:r>
        <w:rPr>
          <w:kern w:val="2"/>
        </w:rPr>
        <w:fldChar w:fldCharType="begin"/>
      </w:r>
      <w:r>
        <w:rPr>
          <w:kern w:val="2"/>
        </w:rPr>
        <w:instrText xml:space="preserve"> REF _Ref32181 \r \h </w:instrText>
      </w:r>
      <w:r>
        <w:rPr>
          <w:kern w:val="2"/>
        </w:rPr>
      </w:r>
      <w:r>
        <w:rPr>
          <w:kern w:val="2"/>
        </w:rPr>
        <w:fldChar w:fldCharType="separate"/>
      </w:r>
      <w:r>
        <w:rPr>
          <w:kern w:val="2"/>
        </w:rPr>
        <w:t>表</w:t>
      </w:r>
      <w:r>
        <w:rPr>
          <w:kern w:val="2"/>
        </w:rPr>
        <w:t>5-69</w:t>
      </w:r>
      <w:r>
        <w:rPr>
          <w:kern w:val="2"/>
        </w:rPr>
        <w:fldChar w:fldCharType="end"/>
      </w:r>
      <w:r>
        <w:rPr>
          <w:kern w:val="2"/>
        </w:rPr>
        <w:t>。</w:t>
      </w:r>
    </w:p>
    <w:p w14:paraId="5E01B07E" w14:textId="77777777" w:rsidR="003E78AB" w:rsidRDefault="00010BF9">
      <w:pPr>
        <w:pStyle w:val="a4"/>
        <w:spacing w:before="120"/>
        <w:ind w:left="425" w:hanging="425"/>
      </w:pPr>
      <w:bookmarkStart w:id="395" w:name="_Ref32181"/>
      <w:r>
        <w:t>项目固体废物及污染控制过程一览表</w:t>
      </w:r>
      <w:bookmarkEnd w:id="395"/>
    </w:p>
    <w:tbl>
      <w:tblPr>
        <w:tblW w:w="4996" w:type="pct"/>
        <w:tblLayout w:type="fixed"/>
        <w:tblLook w:val="04A0" w:firstRow="1" w:lastRow="0" w:firstColumn="1" w:lastColumn="0" w:noHBand="0" w:noVBand="1"/>
      </w:tblPr>
      <w:tblGrid>
        <w:gridCol w:w="1029"/>
        <w:gridCol w:w="1601"/>
        <w:gridCol w:w="769"/>
        <w:gridCol w:w="754"/>
        <w:gridCol w:w="726"/>
        <w:gridCol w:w="1349"/>
        <w:gridCol w:w="3454"/>
        <w:gridCol w:w="766"/>
        <w:gridCol w:w="831"/>
        <w:gridCol w:w="734"/>
        <w:gridCol w:w="1108"/>
        <w:gridCol w:w="1042"/>
      </w:tblGrid>
      <w:tr w:rsidR="003E78AB" w14:paraId="4077EF05" w14:textId="77777777">
        <w:trPr>
          <w:trHeight w:val="570"/>
          <w:tblHeader/>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DCAF5D"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装置单元</w:t>
            </w:r>
          </w:p>
        </w:tc>
        <w:tc>
          <w:tcPr>
            <w:tcW w:w="8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40313F"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固废名称</w:t>
            </w:r>
          </w:p>
        </w:tc>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ADE2AD"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形态</w:t>
            </w:r>
          </w:p>
        </w:tc>
        <w:tc>
          <w:tcPr>
            <w:tcW w:w="2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DDFECD"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废物属性</w:t>
            </w:r>
          </w:p>
        </w:tc>
        <w:tc>
          <w:tcPr>
            <w:tcW w:w="169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84C19C"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废物类别及代码</w:t>
            </w:r>
          </w:p>
        </w:tc>
        <w:tc>
          <w:tcPr>
            <w:tcW w:w="56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044DEB"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产生量</w:t>
            </w:r>
            <w:r>
              <w:rPr>
                <w:rFonts w:eastAsiaTheme="minorEastAsia"/>
                <w:b/>
                <w:bCs/>
                <w:sz w:val="21"/>
                <w:szCs w:val="21"/>
                <w:lang w:bidi="ar"/>
              </w:rPr>
              <w:t>t/a</w:t>
            </w:r>
          </w:p>
        </w:tc>
        <w:tc>
          <w:tcPr>
            <w:tcW w:w="2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2E1ED0"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危险特性</w:t>
            </w:r>
          </w:p>
        </w:tc>
        <w:tc>
          <w:tcPr>
            <w:tcW w:w="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6107E0"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污染物防治措施</w:t>
            </w:r>
          </w:p>
        </w:tc>
      </w:tr>
      <w:tr w:rsidR="003E78AB" w14:paraId="7AF6FBAC" w14:textId="77777777">
        <w:trPr>
          <w:trHeight w:val="310"/>
          <w:tblHeader/>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197A11" w14:textId="77777777" w:rsidR="003E78AB" w:rsidRDefault="003E78AB">
            <w:pPr>
              <w:spacing w:line="360" w:lineRule="exact"/>
              <w:ind w:firstLineChars="0" w:firstLine="0"/>
              <w:jc w:val="center"/>
              <w:rPr>
                <w:rFonts w:eastAsiaTheme="minorEastAsia"/>
                <w:b/>
                <w:bCs/>
                <w:sz w:val="21"/>
                <w:szCs w:val="21"/>
              </w:rPr>
            </w:pPr>
          </w:p>
        </w:tc>
        <w:tc>
          <w:tcPr>
            <w:tcW w:w="835"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6CC38D" w14:textId="77777777" w:rsidR="003E78AB" w:rsidRDefault="003E78AB">
            <w:pPr>
              <w:spacing w:line="360" w:lineRule="exact"/>
              <w:ind w:firstLineChars="0" w:firstLine="0"/>
              <w:jc w:val="center"/>
              <w:rPr>
                <w:rFonts w:eastAsiaTheme="minorEastAsia"/>
                <w:b/>
                <w:bCs/>
                <w:sz w:val="21"/>
                <w:szCs w:val="21"/>
              </w:rPr>
            </w:pPr>
          </w:p>
        </w:tc>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6EF36" w14:textId="77777777" w:rsidR="003E78AB" w:rsidRDefault="003E78AB">
            <w:pPr>
              <w:spacing w:line="360" w:lineRule="exact"/>
              <w:ind w:firstLineChars="0" w:firstLine="0"/>
              <w:jc w:val="center"/>
              <w:rPr>
                <w:rFonts w:eastAsiaTheme="minorEastAsia"/>
                <w:b/>
                <w:bCs/>
                <w:sz w:val="21"/>
                <w:szCs w:val="21"/>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3AF2E" w14:textId="77777777" w:rsidR="003E78AB" w:rsidRDefault="003E78AB">
            <w:pPr>
              <w:spacing w:line="360" w:lineRule="exact"/>
              <w:ind w:firstLineChars="0" w:firstLine="0"/>
              <w:jc w:val="center"/>
              <w:rPr>
                <w:rFonts w:eastAsiaTheme="minorEastAsia"/>
                <w:b/>
                <w:bCs/>
                <w:sz w:val="21"/>
                <w:szCs w:val="21"/>
              </w:rPr>
            </w:pPr>
          </w:p>
        </w:tc>
        <w:tc>
          <w:tcPr>
            <w:tcW w:w="169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432E7" w14:textId="77777777" w:rsidR="003E78AB" w:rsidRDefault="003E78AB">
            <w:pPr>
              <w:spacing w:line="360" w:lineRule="exact"/>
              <w:ind w:firstLineChars="0" w:firstLine="0"/>
              <w:jc w:val="center"/>
              <w:rPr>
                <w:rFonts w:eastAsiaTheme="minorEastAsia"/>
                <w:b/>
                <w:bCs/>
                <w:sz w:val="21"/>
                <w:szCs w:val="21"/>
              </w:rPr>
            </w:pPr>
          </w:p>
        </w:tc>
        <w:tc>
          <w:tcPr>
            <w:tcW w:w="563"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61B4CB" w14:textId="77777777" w:rsidR="003E78AB" w:rsidRDefault="003E78AB">
            <w:pPr>
              <w:spacing w:line="360" w:lineRule="exact"/>
              <w:ind w:firstLineChars="0" w:firstLine="0"/>
              <w:jc w:val="center"/>
              <w:rPr>
                <w:rFonts w:eastAsiaTheme="minorEastAsia"/>
                <w:b/>
                <w:bCs/>
                <w:sz w:val="21"/>
                <w:szCs w:val="21"/>
              </w:rPr>
            </w:pPr>
          </w:p>
        </w:tc>
        <w:tc>
          <w:tcPr>
            <w:tcW w:w="2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1804C" w14:textId="77777777" w:rsidR="003E78AB" w:rsidRDefault="003E78AB">
            <w:pPr>
              <w:spacing w:line="360" w:lineRule="exact"/>
              <w:ind w:firstLineChars="0" w:firstLine="0"/>
              <w:jc w:val="center"/>
              <w:rPr>
                <w:rFonts w:eastAsiaTheme="minorEastAsia"/>
                <w:b/>
                <w:bCs/>
                <w:sz w:val="21"/>
                <w:szCs w:val="21"/>
              </w:rPr>
            </w:pP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3D86C"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储存位置</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287F7" w14:textId="77777777" w:rsidR="003E78AB" w:rsidRDefault="00010BF9">
            <w:pPr>
              <w:spacing w:line="360" w:lineRule="exact"/>
              <w:ind w:firstLineChars="0" w:firstLine="0"/>
              <w:jc w:val="center"/>
              <w:textAlignment w:val="center"/>
              <w:rPr>
                <w:rFonts w:eastAsiaTheme="minorEastAsia"/>
                <w:b/>
                <w:bCs/>
                <w:sz w:val="21"/>
                <w:szCs w:val="21"/>
              </w:rPr>
            </w:pPr>
            <w:r>
              <w:rPr>
                <w:rFonts w:eastAsiaTheme="minorEastAsia"/>
                <w:b/>
                <w:bCs/>
                <w:sz w:val="21"/>
                <w:szCs w:val="21"/>
                <w:lang w:bidi="ar"/>
              </w:rPr>
              <w:t>去向</w:t>
            </w:r>
          </w:p>
        </w:tc>
      </w:tr>
      <w:tr w:rsidR="003E78AB" w14:paraId="14C03AA9" w14:textId="77777777">
        <w:trPr>
          <w:trHeight w:val="82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1F9E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投料</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C2B7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废外包装物（未沾染有毒有害物质的）</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B6DE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S2-1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35D2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98A2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5735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SW17</w:t>
            </w:r>
            <w:r>
              <w:rPr>
                <w:rFonts w:eastAsiaTheme="minorEastAsia"/>
                <w:sz w:val="21"/>
                <w:szCs w:val="21"/>
                <w:lang w:bidi="ar"/>
              </w:rPr>
              <w:br/>
              <w:t>900-003-S17</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7093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废塑料。工业生产活动中产生的塑料废弃边角料、废弃塑料包装等废物。</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9E57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5CA1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5F05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18D9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一般固废暂存间</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2F51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外售综合利用</w:t>
            </w:r>
          </w:p>
        </w:tc>
      </w:tr>
      <w:tr w:rsidR="003E78AB" w14:paraId="7948CA5E" w14:textId="77777777">
        <w:trPr>
          <w:trHeight w:val="85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722B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纯水</w:t>
            </w:r>
            <w:r>
              <w:rPr>
                <w:rFonts w:eastAsiaTheme="minorEastAsia"/>
                <w:sz w:val="21"/>
                <w:szCs w:val="21"/>
                <w:lang w:bidi="ar"/>
              </w:rPr>
              <w:t>/</w:t>
            </w:r>
            <w:r>
              <w:rPr>
                <w:rFonts w:eastAsiaTheme="minorEastAsia"/>
                <w:sz w:val="21"/>
                <w:szCs w:val="21"/>
                <w:lang w:bidi="ar"/>
              </w:rPr>
              <w:t>软水制备</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A83B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废滤芯、废过滤膜</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CE6A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S3-1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8FA8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F8B1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7FC3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SW59</w:t>
            </w:r>
            <w:r>
              <w:rPr>
                <w:rFonts w:eastAsiaTheme="minorEastAsia"/>
                <w:sz w:val="21"/>
                <w:szCs w:val="21"/>
                <w:lang w:bidi="ar"/>
              </w:rPr>
              <w:br/>
              <w:t>900-009-S59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2FA5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废过滤材料。工业生产活动中产生的废过滤袋、过滤器等过滤材料。</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A657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31.5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921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4D40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78E7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一般固废暂存间</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1A80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厂家回收</w:t>
            </w:r>
          </w:p>
        </w:tc>
      </w:tr>
      <w:tr w:rsidR="003E78AB" w14:paraId="33FCF299" w14:textId="77777777">
        <w:trPr>
          <w:trHeight w:val="840"/>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887B9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投料</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980F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沉降灰</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506A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S1-1</w:t>
            </w:r>
            <w:r>
              <w:rPr>
                <w:rFonts w:eastAsiaTheme="minorEastAsia"/>
                <w:sz w:val="21"/>
                <w:szCs w:val="21"/>
                <w:lang w:bidi="ar"/>
              </w:rPr>
              <w:t>、</w:t>
            </w:r>
            <w:r>
              <w:rPr>
                <w:rFonts w:eastAsiaTheme="minorEastAsia"/>
                <w:sz w:val="21"/>
                <w:szCs w:val="21"/>
                <w:lang w:bidi="ar"/>
              </w:rPr>
              <w:t>S1-2</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D11B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DFD5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CB43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HW49</w:t>
            </w:r>
            <w:r>
              <w:rPr>
                <w:rFonts w:eastAsiaTheme="minorEastAsia"/>
                <w:sz w:val="21"/>
                <w:szCs w:val="21"/>
                <w:lang w:bidi="ar"/>
              </w:rPr>
              <w:br/>
              <w:t>900-999-49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B8CD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被所有者申报废弃的，或者未申报废弃但被非法排放、倾倒、利用、处置的，以及有关部门依法收缴或者接收且需要销毁的列入《危险化学品目录》的危险化学品</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A1B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0.383</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3185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9599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T/C/I/R</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E87C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hint="eastAsia"/>
                <w:sz w:val="21"/>
                <w:szCs w:val="21"/>
                <w:lang w:bidi="ar"/>
              </w:rPr>
              <w:t>危险废物暂存间</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B2D7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委托有资质的单位清运处置</w:t>
            </w:r>
          </w:p>
        </w:tc>
      </w:tr>
      <w:tr w:rsidR="003E78AB" w14:paraId="2B8A18D9" w14:textId="77777777">
        <w:trPr>
          <w:trHeight w:val="113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F3976D"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4DAC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废滤袋</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A0E9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S1-3</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F5C5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6AED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DD574"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0CC2A63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900-041-49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EAB1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含有或者沾染毒性、感染性危险废物的废弃的包装物、容器、过滤吸附介质</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6BD3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6C13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F8F6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D719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hint="eastAsia"/>
                <w:sz w:val="21"/>
                <w:szCs w:val="21"/>
                <w:lang w:bidi="ar"/>
              </w:rPr>
              <w:t>危险废物暂存间</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8C2591" w14:textId="77777777" w:rsidR="003E78AB" w:rsidRDefault="003E78AB">
            <w:pPr>
              <w:spacing w:line="360" w:lineRule="exact"/>
              <w:ind w:firstLineChars="0" w:firstLine="0"/>
              <w:jc w:val="center"/>
              <w:rPr>
                <w:rFonts w:eastAsiaTheme="minorEastAsia"/>
                <w:sz w:val="21"/>
                <w:szCs w:val="21"/>
              </w:rPr>
            </w:pPr>
          </w:p>
        </w:tc>
      </w:tr>
      <w:tr w:rsidR="003E78AB" w14:paraId="20F2926A" w14:textId="77777777">
        <w:trPr>
          <w:trHeight w:val="163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80942"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80D4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废包装袋内衬（沾染有毒有害物质的）</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34B9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S1-4</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6D88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DD7F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2CA3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16637AC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900-041-49</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9773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含有或者沾染毒性、感染性危险废物的废弃的包装物、容器、过滤吸附介质</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E38F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0.35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B3A7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F908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91B1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hint="eastAsia"/>
                <w:sz w:val="21"/>
                <w:szCs w:val="21"/>
                <w:lang w:bidi="ar"/>
              </w:rPr>
              <w:t>危险废物暂存间</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E1C940" w14:textId="77777777" w:rsidR="003E78AB" w:rsidRDefault="003E78AB">
            <w:pPr>
              <w:spacing w:line="360" w:lineRule="exact"/>
              <w:ind w:firstLineChars="0" w:firstLine="0"/>
              <w:jc w:val="center"/>
              <w:rPr>
                <w:rFonts w:eastAsiaTheme="minorEastAsia"/>
                <w:sz w:val="21"/>
                <w:szCs w:val="21"/>
              </w:rPr>
            </w:pPr>
          </w:p>
        </w:tc>
      </w:tr>
      <w:tr w:rsidR="003E78AB" w14:paraId="227C9723" w14:textId="77777777">
        <w:trPr>
          <w:trHeight w:val="163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7B138" w14:textId="77777777" w:rsidR="003E78AB" w:rsidRDefault="00010BF9">
            <w:pPr>
              <w:spacing w:line="360" w:lineRule="exact"/>
              <w:ind w:firstLineChars="0" w:firstLine="0"/>
              <w:jc w:val="center"/>
              <w:rPr>
                <w:rFonts w:eastAsiaTheme="minorEastAsia"/>
                <w:sz w:val="21"/>
                <w:szCs w:val="21"/>
              </w:rPr>
            </w:pPr>
            <w:r>
              <w:rPr>
                <w:rFonts w:eastAsiaTheme="minorEastAsia" w:hint="eastAsia"/>
                <w:sz w:val="21"/>
                <w:szCs w:val="21"/>
              </w:rPr>
              <w:t>废气处理</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67A7A"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结晶盐</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589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S2-1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44A28"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DCE4C"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固体废物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03DC9"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F0B6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46D64"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361.25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57790"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887D0"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EE865"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属性确定前按危废收集处置。</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B61626" w14:textId="77777777" w:rsidR="003E78AB" w:rsidRDefault="003E78AB">
            <w:pPr>
              <w:spacing w:line="360" w:lineRule="exact"/>
              <w:ind w:firstLineChars="0" w:firstLine="0"/>
              <w:jc w:val="center"/>
              <w:rPr>
                <w:rFonts w:eastAsiaTheme="minorEastAsia"/>
                <w:sz w:val="21"/>
                <w:szCs w:val="21"/>
              </w:rPr>
            </w:pPr>
          </w:p>
        </w:tc>
      </w:tr>
      <w:tr w:rsidR="003E78AB" w14:paraId="7D2011FB" w14:textId="77777777">
        <w:trPr>
          <w:trHeight w:val="810"/>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BED05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B5D0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实验室废液</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D34C2"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S4-1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DAE1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液态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BE03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C4E17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3D0976E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900-047-49</w:t>
            </w:r>
          </w:p>
        </w:tc>
        <w:tc>
          <w:tcPr>
            <w:tcW w:w="121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22AF6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FAC4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1.5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1F46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BA7CAC"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T/C/I/R</w:t>
            </w:r>
          </w:p>
        </w:tc>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4D971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实验室内专用容器贮存</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AB426D" w14:textId="77777777" w:rsidR="003E78AB" w:rsidRDefault="003E78AB">
            <w:pPr>
              <w:spacing w:line="360" w:lineRule="exact"/>
              <w:ind w:firstLineChars="0" w:firstLine="0"/>
              <w:jc w:val="center"/>
              <w:rPr>
                <w:rFonts w:eastAsiaTheme="minorEastAsia"/>
                <w:sz w:val="21"/>
                <w:szCs w:val="21"/>
              </w:rPr>
            </w:pPr>
          </w:p>
        </w:tc>
      </w:tr>
      <w:tr w:rsidR="003E78AB" w14:paraId="7965A998" w14:textId="77777777">
        <w:trPr>
          <w:trHeight w:val="55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5ED357"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E8A4C"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废试剂瓶</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C495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S4-2</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69699"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C5F6C"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B58508" w14:textId="77777777" w:rsidR="003E78AB" w:rsidRDefault="003E78AB">
            <w:pPr>
              <w:spacing w:line="360" w:lineRule="exact"/>
              <w:ind w:firstLineChars="0" w:firstLine="0"/>
              <w:jc w:val="center"/>
              <w:rPr>
                <w:rFonts w:eastAsiaTheme="minorEastAsia"/>
                <w:sz w:val="21"/>
                <w:szCs w:val="21"/>
              </w:rPr>
            </w:pPr>
          </w:p>
        </w:tc>
        <w:tc>
          <w:tcPr>
            <w:tcW w:w="121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BD52BC" w14:textId="77777777" w:rsidR="003E78AB" w:rsidRDefault="003E78AB">
            <w:pPr>
              <w:spacing w:line="360" w:lineRule="exact"/>
              <w:ind w:firstLineChars="0" w:firstLine="0"/>
              <w:jc w:val="center"/>
              <w:rPr>
                <w:rFonts w:eastAsiaTheme="minorEastAsia"/>
                <w:sz w:val="21"/>
                <w:szCs w:val="21"/>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BAD1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0.2</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B5CE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B83AAC" w14:textId="77777777" w:rsidR="003E78AB" w:rsidRDefault="003E78AB">
            <w:pPr>
              <w:spacing w:line="360" w:lineRule="exact"/>
              <w:ind w:firstLineChars="0" w:firstLine="0"/>
              <w:jc w:val="center"/>
              <w:rPr>
                <w:rFonts w:eastAsiaTheme="minorEastAsia"/>
                <w:sz w:val="21"/>
                <w:szCs w:val="21"/>
              </w:rPr>
            </w:pPr>
          </w:p>
        </w:tc>
        <w:tc>
          <w:tcPr>
            <w:tcW w:w="3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AFC521" w14:textId="77777777" w:rsidR="003E78AB" w:rsidRDefault="003E78AB">
            <w:pPr>
              <w:spacing w:line="360" w:lineRule="exact"/>
              <w:ind w:firstLineChars="0" w:firstLine="0"/>
              <w:jc w:val="center"/>
              <w:rPr>
                <w:rFonts w:eastAsiaTheme="minorEastAsia"/>
                <w:sz w:val="21"/>
                <w:szCs w:val="21"/>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2A6B5D" w14:textId="77777777" w:rsidR="003E78AB" w:rsidRDefault="003E78AB">
            <w:pPr>
              <w:spacing w:line="360" w:lineRule="exact"/>
              <w:ind w:firstLineChars="0" w:firstLine="0"/>
              <w:jc w:val="center"/>
              <w:rPr>
                <w:rFonts w:eastAsiaTheme="minorEastAsia"/>
                <w:sz w:val="21"/>
                <w:szCs w:val="21"/>
              </w:rPr>
            </w:pPr>
          </w:p>
        </w:tc>
      </w:tr>
      <w:tr w:rsidR="003E78AB" w14:paraId="51ED9548" w14:textId="77777777">
        <w:trPr>
          <w:trHeight w:val="1080"/>
        </w:trPr>
        <w:tc>
          <w:tcPr>
            <w:tcW w:w="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28321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设备维护</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732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废润滑油</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9793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S5-1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CB30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液态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C471D"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1194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HW08</w:t>
            </w:r>
            <w:r>
              <w:rPr>
                <w:rFonts w:eastAsiaTheme="minorEastAsia"/>
                <w:sz w:val="21"/>
                <w:szCs w:val="21"/>
                <w:lang w:bidi="ar"/>
              </w:rPr>
              <w:br/>
              <w:t>900-217-08</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26D7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使用工业齿轮油进行机械设备润滑过程中产生的废润滑油</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D3C9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2</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9C55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58B8E"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T</w:t>
            </w:r>
            <w:r>
              <w:rPr>
                <w:rFonts w:eastAsiaTheme="minorEastAsia"/>
                <w:sz w:val="21"/>
                <w:szCs w:val="21"/>
                <w:lang w:bidi="ar"/>
              </w:rPr>
              <w:t>，</w:t>
            </w:r>
            <w:r>
              <w:rPr>
                <w:rFonts w:eastAsiaTheme="minorEastAsia"/>
                <w:sz w:val="21"/>
                <w:szCs w:val="21"/>
                <w:lang w:bidi="ar"/>
              </w:rPr>
              <w:t>I</w:t>
            </w:r>
          </w:p>
        </w:tc>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978958"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危险废物暂存间</w:t>
            </w: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7CEF1B" w14:textId="77777777" w:rsidR="003E78AB" w:rsidRDefault="003E78AB">
            <w:pPr>
              <w:spacing w:line="360" w:lineRule="exact"/>
              <w:ind w:firstLineChars="0" w:firstLine="0"/>
              <w:jc w:val="center"/>
              <w:textAlignment w:val="center"/>
              <w:rPr>
                <w:rFonts w:eastAsiaTheme="minorEastAsia"/>
                <w:sz w:val="21"/>
                <w:szCs w:val="21"/>
                <w:lang w:bidi="ar"/>
              </w:rPr>
            </w:pPr>
          </w:p>
        </w:tc>
      </w:tr>
      <w:tr w:rsidR="003E78AB" w14:paraId="6BDD02E0" w14:textId="77777777">
        <w:trPr>
          <w:trHeight w:val="555"/>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84C705"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3D8D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废包装桶</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1A72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S5-2</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5C20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272D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0CA78E"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HW49</w:t>
            </w:r>
          </w:p>
          <w:p w14:paraId="7284B964"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900-041-49</w:t>
            </w:r>
          </w:p>
        </w:tc>
        <w:tc>
          <w:tcPr>
            <w:tcW w:w="121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C9241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含有或者沾染毒性、感染性危险废物的废弃的包装物、容器、过滤吸附介质</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B773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0.25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9CE3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95EF5"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T</w:t>
            </w:r>
          </w:p>
        </w:tc>
        <w:tc>
          <w:tcPr>
            <w:tcW w:w="3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CDFAE" w14:textId="77777777" w:rsidR="003E78AB" w:rsidRDefault="003E78AB">
            <w:pPr>
              <w:spacing w:line="360" w:lineRule="exact"/>
              <w:ind w:firstLineChars="0" w:firstLine="0"/>
              <w:jc w:val="center"/>
              <w:textAlignment w:val="center"/>
              <w:rPr>
                <w:rFonts w:eastAsiaTheme="minorEastAsia"/>
                <w:sz w:val="21"/>
                <w:szCs w:val="21"/>
                <w:lang w:bidi="ar"/>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EDE7A9" w14:textId="77777777" w:rsidR="003E78AB" w:rsidRDefault="003E78AB">
            <w:pPr>
              <w:spacing w:line="360" w:lineRule="exact"/>
              <w:ind w:firstLineChars="0" w:firstLine="0"/>
              <w:jc w:val="center"/>
              <w:textAlignment w:val="center"/>
              <w:rPr>
                <w:rFonts w:eastAsiaTheme="minorEastAsia"/>
                <w:sz w:val="21"/>
                <w:szCs w:val="21"/>
                <w:lang w:bidi="ar"/>
              </w:rPr>
            </w:pPr>
          </w:p>
        </w:tc>
      </w:tr>
      <w:tr w:rsidR="003E78AB" w14:paraId="25C75D43" w14:textId="77777777">
        <w:trPr>
          <w:trHeight w:val="1080"/>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C44C54" w14:textId="77777777" w:rsidR="003E78AB" w:rsidRDefault="003E78AB">
            <w:pPr>
              <w:spacing w:line="360" w:lineRule="exact"/>
              <w:ind w:firstLineChars="0" w:firstLine="0"/>
              <w:jc w:val="center"/>
              <w:rPr>
                <w:rFonts w:eastAsiaTheme="minorEastAsia"/>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0FD3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沾染物料的废抹布及劳保用品</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F2AD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S5-3</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BE16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3486B"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危险废物</w:t>
            </w: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E119B" w14:textId="77777777" w:rsidR="003E78AB" w:rsidRDefault="003E78AB">
            <w:pPr>
              <w:spacing w:line="360" w:lineRule="exact"/>
              <w:ind w:firstLineChars="0" w:firstLine="0"/>
              <w:jc w:val="center"/>
              <w:rPr>
                <w:rFonts w:eastAsiaTheme="minorEastAsia"/>
                <w:sz w:val="21"/>
                <w:szCs w:val="21"/>
              </w:rPr>
            </w:pPr>
          </w:p>
        </w:tc>
        <w:tc>
          <w:tcPr>
            <w:tcW w:w="121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62DE4" w14:textId="77777777" w:rsidR="003E78AB" w:rsidRDefault="003E78AB">
            <w:pPr>
              <w:spacing w:line="360" w:lineRule="exact"/>
              <w:ind w:firstLineChars="0" w:firstLine="0"/>
              <w:jc w:val="center"/>
              <w:rPr>
                <w:rFonts w:eastAsiaTheme="minorEastAsia"/>
                <w:sz w:val="21"/>
                <w:szCs w:val="21"/>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B61B7"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073D0"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间断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7AD3B"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T</w:t>
            </w:r>
          </w:p>
        </w:tc>
        <w:tc>
          <w:tcPr>
            <w:tcW w:w="3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D92E4" w14:textId="77777777" w:rsidR="003E78AB" w:rsidRDefault="003E78AB">
            <w:pPr>
              <w:spacing w:line="360" w:lineRule="exact"/>
              <w:ind w:firstLineChars="0" w:firstLine="0"/>
              <w:jc w:val="center"/>
              <w:textAlignment w:val="center"/>
              <w:rPr>
                <w:rFonts w:eastAsiaTheme="minorEastAsia"/>
                <w:sz w:val="21"/>
                <w:szCs w:val="21"/>
                <w:lang w:bidi="ar"/>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9023B" w14:textId="77777777" w:rsidR="003E78AB" w:rsidRDefault="003E78AB">
            <w:pPr>
              <w:spacing w:line="360" w:lineRule="exact"/>
              <w:ind w:firstLineChars="0" w:firstLine="0"/>
              <w:jc w:val="center"/>
              <w:textAlignment w:val="center"/>
              <w:rPr>
                <w:rFonts w:eastAsiaTheme="minorEastAsia"/>
                <w:sz w:val="21"/>
                <w:szCs w:val="21"/>
                <w:lang w:bidi="ar"/>
              </w:rPr>
            </w:pPr>
          </w:p>
        </w:tc>
      </w:tr>
      <w:tr w:rsidR="003E78AB" w14:paraId="258264F0" w14:textId="77777777">
        <w:trPr>
          <w:trHeight w:val="108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1A648" w14:textId="77777777" w:rsidR="003E78AB" w:rsidRDefault="00010BF9">
            <w:pPr>
              <w:spacing w:line="360" w:lineRule="exact"/>
              <w:ind w:firstLineChars="0" w:firstLine="0"/>
              <w:jc w:val="center"/>
              <w:rPr>
                <w:rFonts w:eastAsiaTheme="minorEastAsia"/>
                <w:sz w:val="21"/>
                <w:szCs w:val="21"/>
              </w:rPr>
            </w:pPr>
            <w:r>
              <w:rPr>
                <w:rFonts w:eastAsiaTheme="minorEastAsia" w:hint="eastAsia"/>
                <w:sz w:val="21"/>
                <w:szCs w:val="21"/>
              </w:rPr>
              <w:t>生活办公</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51B49"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生活垃圾</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46E34"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S6-1</w:t>
            </w:r>
          </w:p>
        </w:tc>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47A95"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固态</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FA115"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一般固废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3A5AF"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SW64</w:t>
            </w:r>
          </w:p>
          <w:p w14:paraId="0F37D23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900-099-S64</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83ED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生活垃圾</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F235B"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15.15</w:t>
            </w:r>
          </w:p>
        </w:tc>
        <w:tc>
          <w:tcPr>
            <w:tcW w:w="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C39E4"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连续</w:t>
            </w:r>
          </w:p>
        </w:tc>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5C5E1"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31B6"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垃圾桶</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0FF63"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环卫部门清运处置</w:t>
            </w:r>
          </w:p>
        </w:tc>
      </w:tr>
    </w:tbl>
    <w:p w14:paraId="16671B37" w14:textId="77777777" w:rsidR="003E78AB" w:rsidRDefault="003E78AB">
      <w:pPr>
        <w:pStyle w:val="a0"/>
        <w:numPr>
          <w:ilvl w:val="0"/>
          <w:numId w:val="0"/>
        </w:numPr>
        <w:rPr>
          <w:rFonts w:hint="default"/>
        </w:rPr>
      </w:pPr>
    </w:p>
    <w:p w14:paraId="0C8BC029" w14:textId="77777777" w:rsidR="003E78AB" w:rsidRDefault="003E78AB">
      <w:pPr>
        <w:pStyle w:val="a0"/>
        <w:numPr>
          <w:ilvl w:val="0"/>
          <w:numId w:val="0"/>
        </w:numPr>
        <w:rPr>
          <w:rFonts w:hint="default"/>
        </w:rPr>
      </w:pPr>
    </w:p>
    <w:p w14:paraId="68579AB1" w14:textId="77777777" w:rsidR="003E78AB" w:rsidRDefault="003E78AB">
      <w:pPr>
        <w:pStyle w:val="4"/>
        <w:keepNext w:val="0"/>
        <w:keepLines w:val="0"/>
        <w:adjustRightInd/>
        <w:snapToGrid/>
        <w:spacing w:beforeLines="0" w:line="520" w:lineRule="exact"/>
        <w:ind w:firstLineChars="0" w:firstLine="0"/>
        <w:rPr>
          <w:rFonts w:ascii="Times New Roman" w:hAnsi="Times New Roman"/>
        </w:rPr>
        <w:sectPr w:rsidR="003E78AB">
          <w:pgSz w:w="16838" w:h="11906" w:orient="landscape"/>
          <w:pgMar w:top="1803" w:right="1440" w:bottom="1803" w:left="1440" w:header="851" w:footer="992" w:gutter="0"/>
          <w:cols w:space="720"/>
          <w:docGrid w:linePitch="312"/>
        </w:sectPr>
      </w:pPr>
    </w:p>
    <w:p w14:paraId="03D6622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w:t>
      </w:r>
      <w:r>
        <w:rPr>
          <w:rFonts w:ascii="Times New Roman" w:hAnsi="Times New Roman" w:hint="eastAsia"/>
        </w:rPr>
        <w:t>5.2</w:t>
      </w:r>
      <w:r>
        <w:rPr>
          <w:rFonts w:ascii="Times New Roman" w:hAnsi="Times New Roman"/>
        </w:rPr>
        <w:t>一般固体废物环境影响分析</w:t>
      </w:r>
    </w:p>
    <w:p w14:paraId="52812513" w14:textId="77777777" w:rsidR="003E78AB" w:rsidRDefault="00010BF9">
      <w:pPr>
        <w:ind w:firstLine="480"/>
        <w:rPr>
          <w:kern w:val="2"/>
        </w:rPr>
      </w:pPr>
      <w:r>
        <w:rPr>
          <w:kern w:val="2"/>
        </w:rPr>
        <w:t>本项目产生的一般固体废物</w:t>
      </w:r>
      <w:r>
        <w:rPr>
          <w:rFonts w:hint="eastAsia"/>
          <w:bCs/>
          <w:kern w:val="2"/>
        </w:rPr>
        <w:t>有</w:t>
      </w:r>
      <w:r>
        <w:rPr>
          <w:bCs/>
          <w:kern w:val="2"/>
        </w:rPr>
        <w:t>纯水及软水制备固废（废滤芯、废过滤膜）由生产厂家回收利用；</w:t>
      </w:r>
      <w:r>
        <w:rPr>
          <w:rFonts w:hint="eastAsia"/>
          <w:bCs/>
          <w:kern w:val="2"/>
        </w:rPr>
        <w:t>吨包袋</w:t>
      </w:r>
      <w:r>
        <w:rPr>
          <w:bCs/>
          <w:kern w:val="2"/>
        </w:rPr>
        <w:t>由生产厂家回收利用</w:t>
      </w:r>
      <w:r>
        <w:rPr>
          <w:rFonts w:hint="eastAsia"/>
          <w:bCs/>
          <w:kern w:val="2"/>
        </w:rPr>
        <w:t>，其他</w:t>
      </w:r>
      <w:r>
        <w:rPr>
          <w:bCs/>
          <w:kern w:val="2"/>
        </w:rPr>
        <w:t>废包装物（未沾染有毒有害物质的）</w:t>
      </w:r>
      <w:r>
        <w:rPr>
          <w:rFonts w:hint="eastAsia"/>
          <w:bCs/>
          <w:kern w:val="2"/>
        </w:rPr>
        <w:t>外售综合利用</w:t>
      </w:r>
      <w:r>
        <w:rPr>
          <w:kern w:val="2"/>
        </w:rPr>
        <w:t>均能得到合理处置。项目在</w:t>
      </w:r>
      <w:r>
        <w:rPr>
          <w:rFonts w:hint="eastAsia"/>
          <w:kern w:val="2"/>
        </w:rPr>
        <w:t>丙类仓库一的东跨设置一间</w:t>
      </w:r>
      <w:r>
        <w:rPr>
          <w:rFonts w:hint="eastAsia"/>
          <w:kern w:val="2"/>
        </w:rPr>
        <w:t>60</w:t>
      </w:r>
      <w:r>
        <w:rPr>
          <w:kern w:val="2"/>
        </w:rPr>
        <w:t>m</w:t>
      </w:r>
      <w:r>
        <w:rPr>
          <w:rFonts w:hint="eastAsia"/>
          <w:kern w:val="2"/>
          <w:vertAlign w:val="superscript"/>
        </w:rPr>
        <w:t>2</w:t>
      </w:r>
      <w:r>
        <w:rPr>
          <w:kern w:val="2"/>
        </w:rPr>
        <w:t>的</w:t>
      </w:r>
      <w:r>
        <w:rPr>
          <w:rFonts w:hint="eastAsia"/>
          <w:kern w:val="2"/>
        </w:rPr>
        <w:t>一般固废</w:t>
      </w:r>
      <w:r>
        <w:rPr>
          <w:kern w:val="2"/>
        </w:rPr>
        <w:t>暂存间</w:t>
      </w:r>
      <w:r>
        <w:rPr>
          <w:rFonts w:hint="eastAsia"/>
          <w:kern w:val="2"/>
        </w:rPr>
        <w:t>，分类分区存放产生的一般工业固废</w:t>
      </w:r>
      <w:r>
        <w:rPr>
          <w:kern w:val="2"/>
        </w:rPr>
        <w:t>。此外企业应建立一般固体废物污染环境防治责任制度按照《一般工业固体废物管理台账制定指南（试行）》建立固体废物管理台账，如实记录工业固体废物的种类、数量、流向、贮存、利用、处置等信息。</w:t>
      </w:r>
    </w:p>
    <w:p w14:paraId="3F7823BE" w14:textId="77777777" w:rsidR="003E78AB" w:rsidRDefault="00010BF9">
      <w:pPr>
        <w:ind w:firstLine="480"/>
        <w:rPr>
          <w:kern w:val="2"/>
        </w:rPr>
      </w:pPr>
      <w:r>
        <w:rPr>
          <w:kern w:val="2"/>
        </w:rPr>
        <w:t>在采取以上措施后，项目各项一般固体废物可以得到妥善处置，对环境影响较小。</w:t>
      </w:r>
    </w:p>
    <w:p w14:paraId="7F0001B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.4.3</w:t>
      </w:r>
      <w:r>
        <w:rPr>
          <w:rFonts w:ascii="Times New Roman" w:hAnsi="Times New Roman"/>
        </w:rPr>
        <w:t>危险废物环境影响分析</w:t>
      </w:r>
    </w:p>
    <w:p w14:paraId="3E4DE30E" w14:textId="77777777" w:rsidR="003E78AB" w:rsidRDefault="00010BF9">
      <w:pPr>
        <w:ind w:firstLine="480"/>
        <w:rPr>
          <w:kern w:val="2"/>
        </w:rPr>
      </w:pPr>
      <w:r>
        <w:rPr>
          <w:kern w:val="2"/>
        </w:rPr>
        <w:t>本项目运营期产生的固废主要为</w:t>
      </w:r>
      <w:r>
        <w:rPr>
          <w:rFonts w:hint="eastAsia"/>
          <w:bCs/>
          <w:kern w:val="2"/>
        </w:rPr>
        <w:t>车间沉降灰、</w:t>
      </w:r>
      <w:r>
        <w:rPr>
          <w:bCs/>
          <w:kern w:val="2"/>
        </w:rPr>
        <w:t>废包装袋内衬（沾染有毒有害物质的）、</w:t>
      </w:r>
      <w:r>
        <w:rPr>
          <w:rFonts w:hint="eastAsia"/>
          <w:bCs/>
          <w:kern w:val="2"/>
        </w:rPr>
        <w:t>废滤袋、</w:t>
      </w:r>
      <w:r>
        <w:rPr>
          <w:bCs/>
          <w:kern w:val="2"/>
        </w:rPr>
        <w:t>实验室废液、废试剂瓶、废润滑油、废包装桶、沾染物料的废抹布及劳保用品</w:t>
      </w:r>
      <w:r>
        <w:rPr>
          <w:kern w:val="2"/>
        </w:rPr>
        <w:t>等。</w:t>
      </w:r>
    </w:p>
    <w:p w14:paraId="4D0C5E63" w14:textId="77777777" w:rsidR="003E78AB" w:rsidRDefault="00010BF9">
      <w:pPr>
        <w:ind w:firstLine="480"/>
        <w:rPr>
          <w:kern w:val="2"/>
        </w:rPr>
      </w:pPr>
      <w:r>
        <w:rPr>
          <w:kern w:val="2"/>
        </w:rPr>
        <w:t>（</w:t>
      </w:r>
      <w:r>
        <w:rPr>
          <w:kern w:val="2"/>
        </w:rPr>
        <w:t>1</w:t>
      </w:r>
      <w:r>
        <w:rPr>
          <w:kern w:val="2"/>
        </w:rPr>
        <w:t>）危险废物</w:t>
      </w:r>
      <w:r>
        <w:rPr>
          <w:rFonts w:hint="eastAsia"/>
          <w:kern w:val="2"/>
        </w:rPr>
        <w:t>暂存间</w:t>
      </w:r>
      <w:r>
        <w:rPr>
          <w:kern w:val="2"/>
        </w:rPr>
        <w:t>简述</w:t>
      </w:r>
    </w:p>
    <w:p w14:paraId="6E8DCEAF" w14:textId="77777777" w:rsidR="003E78AB" w:rsidRDefault="00010BF9">
      <w:pPr>
        <w:ind w:firstLine="480"/>
        <w:rPr>
          <w:kern w:val="2"/>
        </w:rPr>
      </w:pPr>
      <w:r>
        <w:rPr>
          <w:kern w:val="2"/>
        </w:rPr>
        <w:t>项目在</w:t>
      </w:r>
      <w:r>
        <w:rPr>
          <w:rFonts w:hint="eastAsia"/>
          <w:kern w:val="2"/>
        </w:rPr>
        <w:t>丙类仓库一的东跨设置一间</w:t>
      </w:r>
      <w:r>
        <w:rPr>
          <w:rFonts w:hint="eastAsia"/>
          <w:kern w:val="2"/>
        </w:rPr>
        <w:t>60</w:t>
      </w:r>
      <w:r>
        <w:rPr>
          <w:kern w:val="2"/>
        </w:rPr>
        <w:t>m</w:t>
      </w:r>
      <w:r>
        <w:rPr>
          <w:rFonts w:hint="eastAsia"/>
          <w:kern w:val="2"/>
          <w:vertAlign w:val="superscript"/>
        </w:rPr>
        <w:t>2</w:t>
      </w:r>
      <w:r>
        <w:rPr>
          <w:kern w:val="2"/>
        </w:rPr>
        <w:t>的危险废物暂存间。贮存间整体为密闭式，内部分隔出不同种类危险废物的贮存区域，地面及裙脚采用人工防渗层防渗，渗透系数</w:t>
      </w:r>
      <w:r>
        <w:rPr>
          <w:kern w:val="2"/>
        </w:rPr>
        <w:t>≤10</w:t>
      </w:r>
      <w:r>
        <w:rPr>
          <w:kern w:val="2"/>
          <w:vertAlign w:val="superscript"/>
        </w:rPr>
        <w:t>-10</w:t>
      </w:r>
      <w:r>
        <w:rPr>
          <w:kern w:val="2"/>
        </w:rPr>
        <w:t>cm/s</w:t>
      </w:r>
      <w:r>
        <w:rPr>
          <w:kern w:val="2"/>
        </w:rPr>
        <w:t>，满足《危险废物贮存污染控制标准》（</w:t>
      </w:r>
      <w:r>
        <w:rPr>
          <w:kern w:val="2"/>
        </w:rPr>
        <w:t>GB18597-2023</w:t>
      </w:r>
      <w:r>
        <w:rPr>
          <w:kern w:val="2"/>
        </w:rPr>
        <w:t>）中要求。危险废物由专用容器收集后贮存于危险废物暂存间内，对地下水和土壤环境造成的影响不大。</w:t>
      </w:r>
    </w:p>
    <w:p w14:paraId="513EFDCB" w14:textId="77777777" w:rsidR="003E78AB" w:rsidRDefault="00010BF9">
      <w:pPr>
        <w:ind w:firstLine="480"/>
        <w:rPr>
          <w:kern w:val="2"/>
        </w:rPr>
      </w:pPr>
      <w:r>
        <w:rPr>
          <w:kern w:val="2"/>
        </w:rPr>
        <w:t>（</w:t>
      </w:r>
      <w:r>
        <w:rPr>
          <w:kern w:val="2"/>
        </w:rPr>
        <w:t>2</w:t>
      </w:r>
      <w:r>
        <w:rPr>
          <w:kern w:val="2"/>
        </w:rPr>
        <w:t>）危险废物贮存场所环境影响简析</w:t>
      </w:r>
    </w:p>
    <w:p w14:paraId="789B3613" w14:textId="77777777" w:rsidR="003E78AB" w:rsidRDefault="00010BF9">
      <w:pPr>
        <w:ind w:firstLine="480"/>
        <w:rPr>
          <w:kern w:val="2"/>
        </w:rPr>
      </w:pPr>
      <w:r>
        <w:rPr>
          <w:kern w:val="2"/>
        </w:rPr>
        <w:t>本项目所在地区地质结构稳定，地震烈度不超过</w:t>
      </w:r>
      <w:r>
        <w:rPr>
          <w:kern w:val="2"/>
        </w:rPr>
        <w:t>7</w:t>
      </w:r>
      <w:r>
        <w:rPr>
          <w:kern w:val="2"/>
        </w:rPr>
        <w:t>度，设施底部高于地下水最高水位，危险废物贮存场所位于居民区</w:t>
      </w:r>
      <w:r>
        <w:rPr>
          <w:kern w:val="2"/>
        </w:rPr>
        <w:t>800m</w:t>
      </w:r>
      <w:r>
        <w:rPr>
          <w:kern w:val="2"/>
        </w:rPr>
        <w:t>以外，在易燃易爆等危险品仓库、高压输电线路防护区域以外，符合《危险废物贮存</w:t>
      </w:r>
      <w:r>
        <w:rPr>
          <w:kern w:val="2"/>
        </w:rPr>
        <w:t>污染控制标准》（</w:t>
      </w:r>
      <w:r>
        <w:rPr>
          <w:kern w:val="2"/>
        </w:rPr>
        <w:t>GB18597-2023</w:t>
      </w:r>
      <w:r>
        <w:rPr>
          <w:kern w:val="2"/>
        </w:rPr>
        <w:t>）要求。</w:t>
      </w:r>
    </w:p>
    <w:p w14:paraId="7576753B" w14:textId="77777777" w:rsidR="003E78AB" w:rsidRDefault="00010BF9">
      <w:pPr>
        <w:ind w:firstLine="480"/>
        <w:rPr>
          <w:kern w:val="2"/>
        </w:rPr>
      </w:pPr>
      <w:r>
        <w:rPr>
          <w:kern w:val="2"/>
        </w:rPr>
        <w:t>危险废物暂存间的设计参照《危险废物贮存污染控制标准》（</w:t>
      </w:r>
      <w:r>
        <w:rPr>
          <w:kern w:val="2"/>
        </w:rPr>
        <w:t>GB18597-2023</w:t>
      </w:r>
      <w:r>
        <w:rPr>
          <w:kern w:val="2"/>
        </w:rPr>
        <w:t>）的要求进行，危险废物暂存间污染防治分区按重点污染区域考虑，地面进行耐腐和硬化处理，暂存库内所有设备考虑防爆设置，并按《环境保护图形标志</w:t>
      </w:r>
      <w:r>
        <w:rPr>
          <w:kern w:val="2"/>
        </w:rPr>
        <w:t>-</w:t>
      </w:r>
      <w:r>
        <w:rPr>
          <w:kern w:val="2"/>
        </w:rPr>
        <w:t>固体废物贮存（处置）场》</w:t>
      </w:r>
      <w:r>
        <w:rPr>
          <w:kern w:val="2"/>
        </w:rPr>
        <w:t>GB15562.2</w:t>
      </w:r>
      <w:r>
        <w:rPr>
          <w:kern w:val="2"/>
        </w:rPr>
        <w:t>的规定设置警示标志；项目</w:t>
      </w:r>
      <w:r>
        <w:rPr>
          <w:rFonts w:hint="eastAsia"/>
          <w:kern w:val="2"/>
        </w:rPr>
        <w:t>危险废物暂存间</w:t>
      </w:r>
      <w:r>
        <w:rPr>
          <w:kern w:val="2"/>
        </w:rPr>
        <w:t>拟</w:t>
      </w:r>
      <w:r>
        <w:rPr>
          <w:rFonts w:hint="eastAsia"/>
          <w:kern w:val="2"/>
        </w:rPr>
        <w:t>分类分区</w:t>
      </w:r>
      <w:r>
        <w:rPr>
          <w:kern w:val="2"/>
        </w:rPr>
        <w:t>存储</w:t>
      </w:r>
      <w:r>
        <w:rPr>
          <w:rFonts w:hint="eastAsia"/>
          <w:kern w:val="2"/>
        </w:rPr>
        <w:t>车间沉降灰、废包装袋内衬（沾染有毒有害物质的）、实验室废液、废试剂瓶、废润滑油、废包装桶、沾染物料的废抹布及劳保用品</w:t>
      </w:r>
      <w:r>
        <w:rPr>
          <w:kern w:val="2"/>
        </w:rPr>
        <w:t>等。</w:t>
      </w:r>
      <w:r>
        <w:rPr>
          <w:rFonts w:hint="eastAsia"/>
          <w:kern w:val="2"/>
        </w:rPr>
        <w:t>委托</w:t>
      </w:r>
      <w:r>
        <w:rPr>
          <w:kern w:val="2"/>
        </w:rPr>
        <w:t>相应资质的单位</w:t>
      </w:r>
      <w:r>
        <w:rPr>
          <w:rFonts w:hint="eastAsia"/>
          <w:kern w:val="2"/>
        </w:rPr>
        <w:t>定期处置，</w:t>
      </w:r>
      <w:r>
        <w:rPr>
          <w:kern w:val="2"/>
        </w:rPr>
        <w:t>贮存</w:t>
      </w:r>
      <w:r>
        <w:rPr>
          <w:kern w:val="2"/>
        </w:rPr>
        <w:t>场所贮存</w:t>
      </w:r>
      <w:r>
        <w:rPr>
          <w:rFonts w:hint="eastAsia"/>
          <w:kern w:val="2"/>
        </w:rPr>
        <w:t>期原则不多于一年</w:t>
      </w:r>
      <w:r>
        <w:rPr>
          <w:kern w:val="2"/>
        </w:rPr>
        <w:t>。</w:t>
      </w:r>
    </w:p>
    <w:p w14:paraId="5C7C3BDD" w14:textId="77777777" w:rsidR="003E78AB" w:rsidRDefault="00010BF9">
      <w:pPr>
        <w:ind w:firstLine="480"/>
        <w:rPr>
          <w:kern w:val="2"/>
        </w:rPr>
      </w:pPr>
      <w:r>
        <w:rPr>
          <w:rFonts w:hint="eastAsia"/>
          <w:kern w:val="2"/>
        </w:rPr>
        <w:t>危险废物暂存间</w:t>
      </w:r>
      <w:r>
        <w:rPr>
          <w:kern w:val="2"/>
        </w:rPr>
        <w:t>设</w:t>
      </w:r>
      <w:r>
        <w:rPr>
          <w:rFonts w:hint="eastAsia"/>
          <w:kern w:val="2"/>
        </w:rPr>
        <w:t>托盘、地沟</w:t>
      </w:r>
      <w:r>
        <w:rPr>
          <w:kern w:val="2"/>
        </w:rPr>
        <w:t>，收集在消防事故发生过程中产生的泄漏物料、污染消防水等。库内清理出来的泄漏物，一律按危险废物处理。渗滤液等设置收集设施，用泵抽提至危险废物包装桶中，委托有资质的单位处置。</w:t>
      </w:r>
    </w:p>
    <w:p w14:paraId="251168A0" w14:textId="77777777" w:rsidR="003E78AB" w:rsidRDefault="00010BF9">
      <w:pPr>
        <w:ind w:firstLine="480"/>
        <w:rPr>
          <w:kern w:val="2"/>
        </w:rPr>
      </w:pPr>
      <w:r>
        <w:rPr>
          <w:kern w:val="2"/>
        </w:rPr>
        <w:t>（</w:t>
      </w:r>
      <w:r>
        <w:rPr>
          <w:kern w:val="2"/>
        </w:rPr>
        <w:t>3</w:t>
      </w:r>
      <w:r>
        <w:rPr>
          <w:kern w:val="2"/>
        </w:rPr>
        <w:t>）危险废物贮存管理要求</w:t>
      </w:r>
    </w:p>
    <w:p w14:paraId="27E785B6" w14:textId="77777777" w:rsidR="003E78AB" w:rsidRDefault="00010BF9">
      <w:pPr>
        <w:ind w:firstLine="480"/>
        <w:rPr>
          <w:kern w:val="2"/>
        </w:rPr>
      </w:pPr>
      <w:r>
        <w:rPr>
          <w:kern w:val="2"/>
        </w:rPr>
        <w:t>企业必须建立和完善固体废物管理制度，按照国家《</w:t>
      </w:r>
      <w:r>
        <w:rPr>
          <w:rFonts w:hint="eastAsia"/>
          <w:kern w:val="2"/>
        </w:rPr>
        <w:t>中华人民</w:t>
      </w:r>
      <w:r>
        <w:rPr>
          <w:kern w:val="2"/>
        </w:rPr>
        <w:t>共和国固体废物污染环境防治法》的规定，对产生的固体废物实行分类管理，对一般工业固体废物按《一般工业固体废物贮存和填埋污染控制标准》（</w:t>
      </w:r>
      <w:r>
        <w:rPr>
          <w:kern w:val="2"/>
        </w:rPr>
        <w:t>GB18599-2020</w:t>
      </w:r>
      <w:r>
        <w:rPr>
          <w:kern w:val="2"/>
        </w:rPr>
        <w:t>）进行贮存和处置；对危险固体废物进行全过程严格管</w:t>
      </w:r>
      <w:r>
        <w:rPr>
          <w:kern w:val="2"/>
        </w:rPr>
        <w:t>理，必须交由有资质的单位安全处理处置，严禁随意堆放和扩散，必须设置专用贮存场所，并按《危险废物贮存污染控制标准》（</w:t>
      </w:r>
      <w:r>
        <w:rPr>
          <w:kern w:val="2"/>
        </w:rPr>
        <w:t>GB18597-2023</w:t>
      </w:r>
      <w:r>
        <w:rPr>
          <w:kern w:val="2"/>
        </w:rPr>
        <w:t>）及《危险废物污染防治技术政策》的有关规定贮存及管理，有防扬散、防流失、防渗漏等措施，由专业人员操作，单独收集和贮运，对本项目产生的固体废物特别是危险废物进行全过程严格管理和安全处置。</w:t>
      </w:r>
    </w:p>
    <w:p w14:paraId="78016ACF" w14:textId="77777777" w:rsidR="003E78AB" w:rsidRDefault="00010BF9">
      <w:pPr>
        <w:ind w:firstLine="480"/>
        <w:rPr>
          <w:kern w:val="2"/>
        </w:rPr>
      </w:pPr>
      <w:r>
        <w:rPr>
          <w:kern w:val="2"/>
        </w:rPr>
        <w:t>为杜绝危险废物在转运过程中对环境的潜在性污染风险，各危险废物处置单位应实行</w:t>
      </w:r>
      <w:r>
        <w:rPr>
          <w:kern w:val="2"/>
        </w:rPr>
        <w:t>“</w:t>
      </w:r>
      <w:r>
        <w:rPr>
          <w:kern w:val="2"/>
        </w:rPr>
        <w:t>上门取货制</w:t>
      </w:r>
      <w:r>
        <w:rPr>
          <w:kern w:val="2"/>
        </w:rPr>
        <w:t>”</w:t>
      </w:r>
      <w:r>
        <w:rPr>
          <w:kern w:val="2"/>
        </w:rPr>
        <w:t>和危险废物的转运联单制，配备专用的危险废物转运车辆，实行从废物产生源头装车，到最终的处理处置设施进行</w:t>
      </w:r>
      <w:r>
        <w:rPr>
          <w:kern w:val="2"/>
        </w:rPr>
        <w:t>全程监控和管理。废物进场时首先要对废物进行物理和化学性质分析，分类并登记造册，禁止将不相容废物装入同一容器。盛装危险废物的容器上要粘贴符合标准的标签。</w:t>
      </w:r>
    </w:p>
    <w:p w14:paraId="696B8347" w14:textId="77777777" w:rsidR="003E78AB" w:rsidRDefault="00010BF9">
      <w:pPr>
        <w:ind w:firstLine="480"/>
        <w:rPr>
          <w:kern w:val="2"/>
        </w:rPr>
      </w:pPr>
      <w:r>
        <w:rPr>
          <w:kern w:val="2"/>
        </w:rPr>
        <w:t>综上所述，本项目危险废物贮存设施可靠，贮存环节对环境产生的影响较小。</w:t>
      </w:r>
    </w:p>
    <w:p w14:paraId="5C983334" w14:textId="77777777" w:rsidR="003E78AB" w:rsidRDefault="00010BF9">
      <w:pPr>
        <w:ind w:firstLine="480"/>
        <w:rPr>
          <w:kern w:val="2"/>
        </w:rPr>
      </w:pPr>
      <w:r>
        <w:rPr>
          <w:kern w:val="2"/>
        </w:rPr>
        <w:t>（</w:t>
      </w:r>
      <w:r>
        <w:rPr>
          <w:kern w:val="2"/>
        </w:rPr>
        <w:t>4</w:t>
      </w:r>
      <w:r>
        <w:rPr>
          <w:kern w:val="2"/>
        </w:rPr>
        <w:t>）固体废物运输影响分析</w:t>
      </w:r>
    </w:p>
    <w:p w14:paraId="55F127C2" w14:textId="77777777" w:rsidR="003E78AB" w:rsidRDefault="00010BF9">
      <w:pPr>
        <w:ind w:firstLine="480"/>
        <w:rPr>
          <w:kern w:val="2"/>
        </w:rPr>
      </w:pPr>
      <w:r>
        <w:rPr>
          <w:kern w:val="2"/>
        </w:rPr>
        <w:t>一般固体废物在运往填埋场时应做好防尘措施，如车辆使用厢式货车或采用防尘网、防尘布等，运输过程中减速慢行，</w:t>
      </w:r>
      <w:r>
        <w:rPr>
          <w:rFonts w:hint="eastAsia"/>
          <w:kern w:val="2"/>
        </w:rPr>
        <w:t>减少</w:t>
      </w:r>
      <w:r>
        <w:rPr>
          <w:kern w:val="2"/>
        </w:rPr>
        <w:t>道路扬尘，最大限度地减少对运输道路两侧环境敏感点的影响。</w:t>
      </w:r>
    </w:p>
    <w:p w14:paraId="1F8F1D76" w14:textId="77777777" w:rsidR="003E78AB" w:rsidRDefault="00010BF9">
      <w:pPr>
        <w:ind w:firstLine="480"/>
        <w:rPr>
          <w:kern w:val="2"/>
        </w:rPr>
      </w:pPr>
      <w:r>
        <w:rPr>
          <w:kern w:val="2"/>
        </w:rPr>
        <w:t>外委处置的危险废物的运输均由委托的废物处置单位自行负责。本工程危险废物外委处置单位均具备运输危险废物的能力，能够由指定的运输路线运输危险废物，避开人群稠密区及高峰时间，每批次均按照规定办理危险废物转移联单。因此在正常情况下，危险废物的运输不会对环境造成危害。</w:t>
      </w:r>
    </w:p>
    <w:p w14:paraId="506A057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.4.4</w:t>
      </w:r>
      <w:r>
        <w:rPr>
          <w:rFonts w:ascii="Times New Roman" w:hAnsi="Times New Roman"/>
        </w:rPr>
        <w:t>小结</w:t>
      </w:r>
    </w:p>
    <w:p w14:paraId="0E619382" w14:textId="77777777" w:rsidR="003E78AB" w:rsidRDefault="00010BF9">
      <w:pPr>
        <w:ind w:firstLine="480"/>
        <w:rPr>
          <w:kern w:val="2"/>
        </w:rPr>
      </w:pPr>
      <w:r>
        <w:rPr>
          <w:kern w:val="2"/>
        </w:rPr>
        <w:t>综上所述，本工程建成投产后，所有危险废物都由厂家回收或委托有资质的单位处置，危险废物暂存设施严格《危险废物贮存污染控制标准》（</w:t>
      </w:r>
      <w:r>
        <w:rPr>
          <w:kern w:val="2"/>
        </w:rPr>
        <w:t>GB18597-2023</w:t>
      </w:r>
      <w:r>
        <w:rPr>
          <w:kern w:val="2"/>
        </w:rPr>
        <w:t>）相关要求选址、建设和管理，一般固废和生活垃圾都能够得到有效处置，建设单位在加强工</w:t>
      </w:r>
      <w:r>
        <w:rPr>
          <w:kern w:val="2"/>
        </w:rPr>
        <w:t>业固体废物的管理，妥善处理或处置各类固体废物的情况下，对环境产生的影响较小。</w:t>
      </w:r>
    </w:p>
    <w:p w14:paraId="5064A8CF"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5.2</w:t>
      </w:r>
      <w:r>
        <w:rPr>
          <w:rFonts w:cs="Times New Roman"/>
          <w:sz w:val="28"/>
          <w:szCs w:val="28"/>
        </w:rPr>
        <w:t>.5</w:t>
      </w:r>
      <w:r>
        <w:rPr>
          <w:rFonts w:cs="Times New Roman"/>
          <w:sz w:val="28"/>
          <w:szCs w:val="28"/>
        </w:rPr>
        <w:t>运营期生态环境影响分析与评价</w:t>
      </w:r>
    </w:p>
    <w:p w14:paraId="40ACEB1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5.2.5.1</w:t>
      </w:r>
      <w:r>
        <w:rPr>
          <w:rFonts w:ascii="Times New Roman" w:hAnsi="Times New Roman"/>
        </w:rPr>
        <w:t>生态环境评价等级划分</w:t>
      </w:r>
    </w:p>
    <w:p w14:paraId="44C37552" w14:textId="77777777" w:rsidR="003E78AB" w:rsidRDefault="00010BF9">
      <w:pPr>
        <w:ind w:firstLine="480"/>
        <w:rPr>
          <w:kern w:val="2"/>
        </w:rPr>
      </w:pPr>
      <w:r>
        <w:rPr>
          <w:kern w:val="2"/>
        </w:rPr>
        <w:t>根据《环境影响评价技术导则</w:t>
      </w:r>
      <w:r>
        <w:rPr>
          <w:kern w:val="2"/>
        </w:rPr>
        <w:t xml:space="preserve"> </w:t>
      </w:r>
      <w:r>
        <w:rPr>
          <w:kern w:val="2"/>
        </w:rPr>
        <w:t>生态环境》（</w:t>
      </w:r>
      <w:r>
        <w:rPr>
          <w:kern w:val="2"/>
        </w:rPr>
        <w:t>HJ19-2022</w:t>
      </w:r>
      <w:r>
        <w:rPr>
          <w:kern w:val="2"/>
        </w:rPr>
        <w:t>）评价工作分级划分，本项目位于哈密工业园区内，属于位于已批准规划环评的工业园区内且符合规划环评要求、不涉及生态敏感区的污染影响类建设项目，可不确定评价等级，直接进行生态影响简单分析。</w:t>
      </w:r>
    </w:p>
    <w:p w14:paraId="1978ABD3" w14:textId="77777777" w:rsidR="003E78AB" w:rsidRDefault="00010BF9">
      <w:pPr>
        <w:ind w:firstLine="480"/>
        <w:rPr>
          <w:kern w:val="2"/>
        </w:rPr>
      </w:pPr>
      <w:r>
        <w:rPr>
          <w:kern w:val="2"/>
        </w:rPr>
        <w:t>生态环境影响评价范围在厂区范围内。</w:t>
      </w:r>
    </w:p>
    <w:p w14:paraId="456479B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.5.</w:t>
      </w:r>
      <w:r>
        <w:rPr>
          <w:rFonts w:ascii="Times New Roman" w:hAnsi="Times New Roman" w:hint="eastAsia"/>
        </w:rPr>
        <w:t>2</w:t>
      </w:r>
      <w:r>
        <w:rPr>
          <w:rFonts w:ascii="Times New Roman" w:hAnsi="Times New Roman" w:hint="eastAsia"/>
        </w:rPr>
        <w:t>生态环境影响评价</w:t>
      </w:r>
    </w:p>
    <w:p w14:paraId="3A9F61CA" w14:textId="77777777" w:rsidR="003E78AB" w:rsidRDefault="00010BF9">
      <w:pPr>
        <w:pStyle w:val="5"/>
        <w:keepNext w:val="0"/>
        <w:keepLines w:val="0"/>
        <w:ind w:firstLine="482"/>
        <w:rPr>
          <w:sz w:val="24"/>
        </w:rPr>
      </w:pPr>
      <w:r>
        <w:rPr>
          <w:rFonts w:hint="eastAsia"/>
          <w:sz w:val="24"/>
        </w:rPr>
        <w:t>1.</w:t>
      </w:r>
      <w:r>
        <w:rPr>
          <w:sz w:val="24"/>
        </w:rPr>
        <w:t>对土地影响分析</w:t>
      </w:r>
    </w:p>
    <w:p w14:paraId="0F774E37" w14:textId="77777777" w:rsidR="003E78AB" w:rsidRDefault="00010BF9">
      <w:pPr>
        <w:ind w:firstLine="480"/>
        <w:rPr>
          <w:kern w:val="2"/>
        </w:rPr>
      </w:pPr>
      <w:r>
        <w:rPr>
          <w:kern w:val="2"/>
        </w:rPr>
        <w:t>本项目用地属于三类工业用地，本项目建成后将进行相应的绿化和地面硬化措施，因此项目土地利用类型变化不会导致项目区生态环境质量降低。</w:t>
      </w:r>
    </w:p>
    <w:p w14:paraId="6F00408F" w14:textId="77777777" w:rsidR="003E78AB" w:rsidRDefault="00010BF9">
      <w:pPr>
        <w:pStyle w:val="5"/>
        <w:keepNext w:val="0"/>
        <w:keepLines w:val="0"/>
        <w:ind w:firstLine="482"/>
        <w:rPr>
          <w:sz w:val="24"/>
        </w:rPr>
      </w:pPr>
      <w:r>
        <w:rPr>
          <w:rFonts w:hint="eastAsia"/>
          <w:sz w:val="24"/>
        </w:rPr>
        <w:t>2.</w:t>
      </w:r>
      <w:r>
        <w:rPr>
          <w:sz w:val="24"/>
        </w:rPr>
        <w:t>植物资源影响分析</w:t>
      </w:r>
    </w:p>
    <w:p w14:paraId="77B9B112" w14:textId="77777777" w:rsidR="003E78AB" w:rsidRDefault="00010BF9">
      <w:pPr>
        <w:ind w:firstLine="480"/>
        <w:rPr>
          <w:kern w:val="2"/>
        </w:rPr>
      </w:pPr>
      <w:r>
        <w:rPr>
          <w:kern w:val="2"/>
        </w:rPr>
        <w:t>项目建成后，将对厂区及周围环境进一步绿化，生产过程不存在破坏植被工业活动，项目运营过程排放的粉尘自然沉降后会对周围植被造成一定影响，粉尘降落在植被叶片影响植被生长等，但根据分析，本项目产生的粉尘在采取相应治理措施后，排放量较小，对周围环境影响不大。</w:t>
      </w:r>
    </w:p>
    <w:p w14:paraId="29CAFAF3" w14:textId="77777777" w:rsidR="003E78AB" w:rsidRDefault="00010BF9">
      <w:pPr>
        <w:pStyle w:val="5"/>
        <w:keepNext w:val="0"/>
        <w:keepLines w:val="0"/>
        <w:ind w:firstLine="482"/>
        <w:rPr>
          <w:sz w:val="24"/>
        </w:rPr>
      </w:pPr>
      <w:r>
        <w:rPr>
          <w:rFonts w:hint="eastAsia"/>
          <w:sz w:val="24"/>
        </w:rPr>
        <w:t>3.</w:t>
      </w:r>
      <w:r>
        <w:rPr>
          <w:sz w:val="24"/>
        </w:rPr>
        <w:t>动物影响分析</w:t>
      </w:r>
    </w:p>
    <w:p w14:paraId="6B09F60B" w14:textId="77777777" w:rsidR="003E78AB" w:rsidRDefault="00010BF9">
      <w:pPr>
        <w:ind w:firstLine="480"/>
        <w:rPr>
          <w:kern w:val="2"/>
        </w:rPr>
      </w:pPr>
      <w:r>
        <w:rPr>
          <w:kern w:val="2"/>
        </w:rPr>
        <w:t>对于大多数野生动物来讲，最大的威胁来自其生境的分割、缩小、破坏和退化。本项目位于工业园区规划</w:t>
      </w:r>
      <w:r>
        <w:rPr>
          <w:kern w:val="2"/>
        </w:rPr>
        <w:t>工业用地，项目区存在工业及其他人为活动，厂址附近无野生动物出没，因此项目建成后，正常生产不会对野生动物的栖息地造成干扰和影响，因此项目运营期对野生动物的影响较小。</w:t>
      </w:r>
    </w:p>
    <w:p w14:paraId="783105E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.5.</w:t>
      </w:r>
      <w:r>
        <w:rPr>
          <w:rFonts w:ascii="Times New Roman" w:hAnsi="Times New Roman" w:hint="eastAsia"/>
        </w:rPr>
        <w:t>3</w:t>
      </w:r>
      <w:r>
        <w:rPr>
          <w:rFonts w:ascii="Times New Roman" w:hAnsi="Times New Roman" w:hint="eastAsia"/>
        </w:rPr>
        <w:t>小结</w:t>
      </w:r>
    </w:p>
    <w:p w14:paraId="0BBD0761" w14:textId="77777777" w:rsidR="003E78AB" w:rsidRDefault="00010BF9">
      <w:pPr>
        <w:ind w:firstLine="480"/>
        <w:rPr>
          <w:kern w:val="2"/>
        </w:rPr>
      </w:pPr>
      <w:r>
        <w:rPr>
          <w:kern w:val="2"/>
        </w:rPr>
        <w:t>项目实施后，占地面积没有增加，区域内动植物的种类和数量基本不受影响，生物量的减少程度对区域生态系统稳定性的影响可以承受；项目建成后随着场地地面的硬化、项目区内绿化的完成可有效防止水土流失。根据调查，项目建设地点不属于土地沙化区，项目运营期不会加重周边水土流失情况；评价范围内的植被和动物均为当地常见和广布种，虽然受到运营期人为扰</w:t>
      </w:r>
      <w:r>
        <w:rPr>
          <w:kern w:val="2"/>
        </w:rPr>
        <w:t>动的影响，但不会使整个区域动植物群落的种类组成发生明显变化，也不会造成某一动植物物种的消失。</w:t>
      </w:r>
    </w:p>
    <w:p w14:paraId="6DD0C33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5.2</w:t>
      </w:r>
      <w:r>
        <w:rPr>
          <w:rFonts w:cs="Times New Roman"/>
          <w:sz w:val="28"/>
          <w:szCs w:val="28"/>
        </w:rPr>
        <w:t>.6</w:t>
      </w:r>
      <w:r>
        <w:rPr>
          <w:rFonts w:cs="Times New Roman"/>
          <w:sz w:val="28"/>
          <w:szCs w:val="28"/>
        </w:rPr>
        <w:t>运营期土壤环境影响分析</w:t>
      </w:r>
    </w:p>
    <w:p w14:paraId="7CDE10E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5.2.6.1</w:t>
      </w:r>
      <w:r>
        <w:rPr>
          <w:rFonts w:ascii="Times New Roman" w:hAnsi="Times New Roman" w:hint="eastAsia"/>
        </w:rPr>
        <w:t>土</w:t>
      </w:r>
      <w:r>
        <w:rPr>
          <w:rFonts w:ascii="Times New Roman" w:hAnsi="Times New Roman"/>
        </w:rPr>
        <w:t>壤环境评价等级划分</w:t>
      </w:r>
    </w:p>
    <w:p w14:paraId="6E3BA544" w14:textId="77777777" w:rsidR="003E78AB" w:rsidRDefault="00010BF9">
      <w:pPr>
        <w:ind w:firstLine="480"/>
        <w:rPr>
          <w:kern w:val="2"/>
          <w:szCs w:val="20"/>
        </w:rPr>
      </w:pPr>
      <w:r>
        <w:rPr>
          <w:kern w:val="2"/>
          <w:szCs w:val="20"/>
        </w:rPr>
        <w:t>项目为污染影响型建设项目，根据行业特征、工业特点或规模大小等将建设项目类别分为</w:t>
      </w:r>
      <w:r>
        <w:rPr>
          <w:kern w:val="2"/>
          <w:szCs w:val="20"/>
        </w:rPr>
        <w:t>I</w:t>
      </w:r>
      <w:r>
        <w:rPr>
          <w:kern w:val="2"/>
          <w:szCs w:val="20"/>
        </w:rPr>
        <w:t>类、</w:t>
      </w:r>
      <w:r>
        <w:rPr>
          <w:kern w:val="2"/>
          <w:szCs w:val="20"/>
        </w:rPr>
        <w:t>Ⅱ</w:t>
      </w:r>
      <w:r>
        <w:rPr>
          <w:kern w:val="2"/>
          <w:szCs w:val="20"/>
        </w:rPr>
        <w:t>类、</w:t>
      </w:r>
      <w:r>
        <w:rPr>
          <w:kern w:val="2"/>
          <w:szCs w:val="20"/>
        </w:rPr>
        <w:t>III</w:t>
      </w:r>
      <w:r>
        <w:rPr>
          <w:kern w:val="2"/>
          <w:szCs w:val="20"/>
        </w:rPr>
        <w:t>类、</w:t>
      </w:r>
      <w:r>
        <w:rPr>
          <w:kern w:val="2"/>
          <w:szCs w:val="20"/>
        </w:rPr>
        <w:t>Ⅳ</w:t>
      </w:r>
      <w:r>
        <w:rPr>
          <w:kern w:val="2"/>
          <w:szCs w:val="20"/>
        </w:rPr>
        <w:t>类，分类详见《环境影响评价技术导则</w:t>
      </w:r>
      <w:r>
        <w:rPr>
          <w:kern w:val="2"/>
          <w:szCs w:val="20"/>
        </w:rPr>
        <w:t xml:space="preserve"> </w:t>
      </w:r>
      <w:r>
        <w:rPr>
          <w:kern w:val="2"/>
          <w:szCs w:val="20"/>
        </w:rPr>
        <w:t>土壤环境》（</w:t>
      </w:r>
      <w:r>
        <w:rPr>
          <w:kern w:val="2"/>
          <w:szCs w:val="20"/>
        </w:rPr>
        <w:t>HJ964-2018</w:t>
      </w:r>
      <w:r>
        <w:rPr>
          <w:kern w:val="2"/>
          <w:szCs w:val="20"/>
        </w:rPr>
        <w:t>）附录</w:t>
      </w:r>
      <w:r>
        <w:rPr>
          <w:kern w:val="2"/>
          <w:szCs w:val="20"/>
        </w:rPr>
        <w:t>A</w:t>
      </w:r>
      <w:r>
        <w:rPr>
          <w:kern w:val="2"/>
          <w:szCs w:val="20"/>
        </w:rPr>
        <w:t>（以下简称附录</w:t>
      </w:r>
      <w:r>
        <w:rPr>
          <w:kern w:val="2"/>
          <w:szCs w:val="20"/>
        </w:rPr>
        <w:t>A</w:t>
      </w:r>
      <w:r>
        <w:rPr>
          <w:kern w:val="2"/>
          <w:szCs w:val="20"/>
        </w:rPr>
        <w:t>）。其中</w:t>
      </w:r>
      <w:r>
        <w:rPr>
          <w:kern w:val="2"/>
          <w:szCs w:val="20"/>
        </w:rPr>
        <w:t>I</w:t>
      </w:r>
      <w:r>
        <w:rPr>
          <w:kern w:val="2"/>
          <w:szCs w:val="20"/>
        </w:rPr>
        <w:t>类、</w:t>
      </w:r>
      <w:r>
        <w:rPr>
          <w:kern w:val="2"/>
          <w:szCs w:val="20"/>
        </w:rPr>
        <w:t>Ⅱ</w:t>
      </w:r>
      <w:r>
        <w:rPr>
          <w:kern w:val="2"/>
          <w:szCs w:val="20"/>
        </w:rPr>
        <w:t>类及</w:t>
      </w:r>
      <w:r>
        <w:rPr>
          <w:kern w:val="2"/>
          <w:szCs w:val="20"/>
        </w:rPr>
        <w:t>III</w:t>
      </w:r>
      <w:r>
        <w:rPr>
          <w:kern w:val="2"/>
          <w:szCs w:val="20"/>
        </w:rPr>
        <w:t>类建设项目的土壤环境影响评价应执行导则要求，</w:t>
      </w:r>
      <w:r>
        <w:rPr>
          <w:kern w:val="2"/>
          <w:szCs w:val="20"/>
        </w:rPr>
        <w:t>Ⅳ</w:t>
      </w:r>
      <w:r>
        <w:rPr>
          <w:kern w:val="2"/>
          <w:szCs w:val="20"/>
        </w:rPr>
        <w:t>类建设项目可不开展土壤环境影响评价；自身为敏感目标的建设项目，可根据需要仅对土壤环</w:t>
      </w:r>
      <w:r>
        <w:rPr>
          <w:kern w:val="2"/>
          <w:szCs w:val="20"/>
        </w:rPr>
        <w:t>境现状进行调查。</w:t>
      </w:r>
    </w:p>
    <w:p w14:paraId="01400DD4" w14:textId="77777777" w:rsidR="003E78AB" w:rsidRDefault="00010BF9">
      <w:pPr>
        <w:ind w:firstLine="480"/>
        <w:rPr>
          <w:kern w:val="2"/>
          <w:szCs w:val="20"/>
        </w:rPr>
      </w:pPr>
      <w:r>
        <w:rPr>
          <w:kern w:val="2"/>
          <w:szCs w:val="20"/>
        </w:rPr>
        <w:t>依据附录</w:t>
      </w:r>
      <w:r>
        <w:rPr>
          <w:kern w:val="2"/>
          <w:szCs w:val="20"/>
        </w:rPr>
        <w:t>A</w:t>
      </w:r>
      <w:r>
        <w:rPr>
          <w:kern w:val="2"/>
          <w:szCs w:val="20"/>
        </w:rPr>
        <w:t>中注</w:t>
      </w:r>
      <w:r>
        <w:rPr>
          <w:kern w:val="2"/>
          <w:szCs w:val="20"/>
        </w:rPr>
        <w:t>2</w:t>
      </w:r>
      <w:r>
        <w:rPr>
          <w:kern w:val="2"/>
          <w:szCs w:val="20"/>
        </w:rPr>
        <w:t>，考虑到本项目原料为硫酸、含钒电解液等，参考</w:t>
      </w:r>
      <w:r>
        <w:rPr>
          <w:kern w:val="2"/>
          <w:szCs w:val="20"/>
        </w:rPr>
        <w:t>“</w:t>
      </w:r>
      <w:r>
        <w:rPr>
          <w:kern w:val="2"/>
          <w:szCs w:val="20"/>
        </w:rPr>
        <w:t>化学原料和化学制品制造</w:t>
      </w:r>
      <w:r>
        <w:rPr>
          <w:kern w:val="2"/>
          <w:szCs w:val="20"/>
        </w:rPr>
        <w:t>”</w:t>
      </w:r>
      <w:r>
        <w:rPr>
          <w:kern w:val="2"/>
          <w:szCs w:val="20"/>
        </w:rPr>
        <w:t>，从严评价，项目类别按照</w:t>
      </w:r>
      <w:r>
        <w:rPr>
          <w:kern w:val="2"/>
          <w:szCs w:val="20"/>
        </w:rPr>
        <w:t>I</w:t>
      </w:r>
      <w:r>
        <w:rPr>
          <w:kern w:val="2"/>
          <w:szCs w:val="20"/>
        </w:rPr>
        <w:t>类进行识别。</w:t>
      </w:r>
    </w:p>
    <w:p w14:paraId="115F35B1" w14:textId="77777777" w:rsidR="003E78AB" w:rsidRDefault="00010BF9">
      <w:pPr>
        <w:ind w:firstLine="480"/>
        <w:rPr>
          <w:kern w:val="2"/>
        </w:rPr>
      </w:pPr>
      <w:r>
        <w:rPr>
          <w:kern w:val="2"/>
        </w:rPr>
        <w:t>根据现场踏勘调查，本项目厂址周边</w:t>
      </w:r>
      <w:r>
        <w:rPr>
          <w:kern w:val="2"/>
        </w:rPr>
        <w:t>500m</w:t>
      </w:r>
      <w:r>
        <w:rPr>
          <w:kern w:val="2"/>
        </w:rPr>
        <w:t>范围内不存在耕地、园地、牧草地、饮用水水源地、居民区、学校、医院、疗养院、养老院及其他等土壤环境敏感目标。根据污染影响型环境敏感程度分级</w:t>
      </w:r>
      <w:r>
        <w:rPr>
          <w:kern w:val="2"/>
        </w:rPr>
        <w:fldChar w:fldCharType="begin"/>
      </w:r>
      <w:r>
        <w:rPr>
          <w:kern w:val="2"/>
        </w:rPr>
        <w:instrText xml:space="preserve"> REF _Ref29332 \r \h </w:instrText>
      </w:r>
      <w:r>
        <w:rPr>
          <w:kern w:val="2"/>
        </w:rPr>
      </w:r>
      <w:r>
        <w:rPr>
          <w:kern w:val="2"/>
        </w:rPr>
        <w:fldChar w:fldCharType="separate"/>
      </w:r>
      <w:r>
        <w:rPr>
          <w:kern w:val="2"/>
        </w:rPr>
        <w:t>表</w:t>
      </w:r>
      <w:r>
        <w:rPr>
          <w:kern w:val="2"/>
        </w:rPr>
        <w:t>5-70</w:t>
      </w:r>
      <w:r>
        <w:rPr>
          <w:kern w:val="2"/>
        </w:rPr>
        <w:fldChar w:fldCharType="end"/>
      </w:r>
      <w:r>
        <w:rPr>
          <w:kern w:val="2"/>
        </w:rPr>
        <w:t>，判定拟建项</w:t>
      </w:r>
      <w:r>
        <w:rPr>
          <w:kern w:val="2"/>
        </w:rPr>
        <w:t>目周边土壤环境敏感程度为不敏感。</w:t>
      </w:r>
    </w:p>
    <w:p w14:paraId="0C9B7935" w14:textId="77777777" w:rsidR="003E78AB" w:rsidRDefault="00010BF9">
      <w:pPr>
        <w:ind w:firstLine="480"/>
        <w:rPr>
          <w:kern w:val="2"/>
        </w:rPr>
      </w:pPr>
      <w:r>
        <w:rPr>
          <w:kern w:val="2"/>
        </w:rPr>
        <w:t>本次工程占地约</w:t>
      </w:r>
      <w:r>
        <w:t>76022.77</w:t>
      </w:r>
      <w:r>
        <w:rPr>
          <w:kern w:val="2"/>
        </w:rPr>
        <w:t>m</w:t>
      </w:r>
      <w:r>
        <w:rPr>
          <w:kern w:val="2"/>
          <w:vertAlign w:val="superscript"/>
        </w:rPr>
        <w:t>2</w:t>
      </w:r>
      <w:r>
        <w:rPr>
          <w:kern w:val="2"/>
        </w:rPr>
        <w:t>（</w:t>
      </w:r>
      <w:r>
        <w:rPr>
          <w:kern w:val="2"/>
        </w:rPr>
        <w:t>7.6hm</w:t>
      </w:r>
      <w:r>
        <w:rPr>
          <w:kern w:val="2"/>
          <w:vertAlign w:val="superscript"/>
        </w:rPr>
        <w:t>2</w:t>
      </w:r>
      <w:r>
        <w:rPr>
          <w:kern w:val="2"/>
        </w:rPr>
        <w:t>），根据《环境影响评价技术导则</w:t>
      </w:r>
      <w:r>
        <w:rPr>
          <w:kern w:val="2"/>
        </w:rPr>
        <w:t xml:space="preserve"> </w:t>
      </w:r>
      <w:r>
        <w:rPr>
          <w:kern w:val="2"/>
        </w:rPr>
        <w:t>土壤环境（试行）》，拟建项目占地规模判定为中型（</w:t>
      </w:r>
      <w:r>
        <w:rPr>
          <w:kern w:val="2"/>
        </w:rPr>
        <w:t>5~50hm</w:t>
      </w:r>
      <w:r>
        <w:rPr>
          <w:kern w:val="2"/>
          <w:vertAlign w:val="superscript"/>
        </w:rPr>
        <w:t>2</w:t>
      </w:r>
      <w:r>
        <w:rPr>
          <w:kern w:val="2"/>
        </w:rPr>
        <w:t>）。</w:t>
      </w:r>
    </w:p>
    <w:p w14:paraId="4385A42F" w14:textId="77777777" w:rsidR="003E78AB" w:rsidRDefault="00010BF9">
      <w:pPr>
        <w:pStyle w:val="a4"/>
        <w:spacing w:before="120"/>
        <w:ind w:left="425" w:hanging="425"/>
      </w:pPr>
      <w:bookmarkStart w:id="396" w:name="_Ref29332"/>
      <w:r>
        <w:t>污染影响型敏感程度分级表</w:t>
      </w:r>
      <w:bookmarkEnd w:id="396"/>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2"/>
        <w:gridCol w:w="7237"/>
      </w:tblGrid>
      <w:tr w:rsidR="003E78AB" w14:paraId="0D18989B" w14:textId="77777777">
        <w:trPr>
          <w:trHeight w:val="64"/>
        </w:trPr>
        <w:tc>
          <w:tcPr>
            <w:tcW w:w="645" w:type="pct"/>
            <w:vAlign w:val="center"/>
          </w:tcPr>
          <w:p w14:paraId="78F86A90" w14:textId="77777777" w:rsidR="003E78AB" w:rsidRDefault="00010BF9">
            <w:pPr>
              <w:spacing w:line="360" w:lineRule="exact"/>
              <w:ind w:firstLineChars="0" w:firstLine="0"/>
              <w:jc w:val="center"/>
              <w:rPr>
                <w:b/>
                <w:bCs/>
                <w:kern w:val="2"/>
                <w:sz w:val="21"/>
                <w:szCs w:val="21"/>
              </w:rPr>
            </w:pPr>
            <w:r>
              <w:rPr>
                <w:b/>
                <w:bCs/>
                <w:kern w:val="2"/>
                <w:sz w:val="21"/>
                <w:szCs w:val="21"/>
              </w:rPr>
              <w:t>敏感程度</w:t>
            </w:r>
          </w:p>
        </w:tc>
        <w:tc>
          <w:tcPr>
            <w:tcW w:w="4354" w:type="pct"/>
            <w:vAlign w:val="center"/>
          </w:tcPr>
          <w:p w14:paraId="6D1D0368" w14:textId="77777777" w:rsidR="003E78AB" w:rsidRDefault="00010BF9">
            <w:pPr>
              <w:spacing w:line="360" w:lineRule="exact"/>
              <w:ind w:firstLineChars="0" w:firstLine="0"/>
              <w:jc w:val="center"/>
              <w:rPr>
                <w:b/>
                <w:bCs/>
                <w:kern w:val="2"/>
                <w:sz w:val="21"/>
                <w:szCs w:val="21"/>
              </w:rPr>
            </w:pPr>
            <w:r>
              <w:rPr>
                <w:b/>
                <w:bCs/>
                <w:kern w:val="2"/>
                <w:sz w:val="21"/>
                <w:szCs w:val="21"/>
              </w:rPr>
              <w:t>判别依据</w:t>
            </w:r>
          </w:p>
        </w:tc>
      </w:tr>
      <w:tr w:rsidR="003E78AB" w14:paraId="2FB2AF43" w14:textId="77777777">
        <w:trPr>
          <w:trHeight w:val="200"/>
        </w:trPr>
        <w:tc>
          <w:tcPr>
            <w:tcW w:w="645" w:type="pct"/>
            <w:vAlign w:val="center"/>
          </w:tcPr>
          <w:p w14:paraId="03A33479" w14:textId="77777777" w:rsidR="003E78AB" w:rsidRDefault="00010BF9">
            <w:pPr>
              <w:spacing w:line="360" w:lineRule="exact"/>
              <w:ind w:firstLineChars="0" w:firstLine="0"/>
              <w:jc w:val="center"/>
              <w:rPr>
                <w:kern w:val="2"/>
                <w:sz w:val="21"/>
                <w:szCs w:val="21"/>
              </w:rPr>
            </w:pPr>
            <w:r>
              <w:rPr>
                <w:kern w:val="2"/>
                <w:sz w:val="21"/>
                <w:szCs w:val="21"/>
              </w:rPr>
              <w:t>敏感</w:t>
            </w:r>
          </w:p>
        </w:tc>
        <w:tc>
          <w:tcPr>
            <w:tcW w:w="4354" w:type="pct"/>
            <w:vAlign w:val="center"/>
          </w:tcPr>
          <w:p w14:paraId="2720C858" w14:textId="77777777" w:rsidR="003E78AB" w:rsidRDefault="00010BF9">
            <w:pPr>
              <w:spacing w:line="360" w:lineRule="exact"/>
              <w:ind w:firstLineChars="0" w:firstLine="0"/>
              <w:jc w:val="left"/>
              <w:rPr>
                <w:kern w:val="2"/>
                <w:sz w:val="21"/>
                <w:szCs w:val="21"/>
              </w:rPr>
            </w:pPr>
            <w:r>
              <w:rPr>
                <w:kern w:val="2"/>
                <w:sz w:val="21"/>
                <w:szCs w:val="21"/>
              </w:rPr>
              <w:t>建设项目周边存在耕地、园地、牧草地、饮用水水源地或居民区、学校、医院、疗养院、养老院等土壤环境敏感目标的。</w:t>
            </w:r>
          </w:p>
        </w:tc>
      </w:tr>
      <w:tr w:rsidR="003E78AB" w14:paraId="310EC5D3" w14:textId="77777777">
        <w:trPr>
          <w:trHeight w:val="120"/>
        </w:trPr>
        <w:tc>
          <w:tcPr>
            <w:tcW w:w="645" w:type="pct"/>
            <w:vAlign w:val="center"/>
          </w:tcPr>
          <w:p w14:paraId="74FA6844" w14:textId="77777777" w:rsidR="003E78AB" w:rsidRDefault="00010BF9">
            <w:pPr>
              <w:spacing w:line="360" w:lineRule="exact"/>
              <w:ind w:firstLineChars="0" w:firstLine="0"/>
              <w:jc w:val="center"/>
              <w:rPr>
                <w:kern w:val="2"/>
                <w:sz w:val="21"/>
                <w:szCs w:val="21"/>
              </w:rPr>
            </w:pPr>
            <w:r>
              <w:rPr>
                <w:kern w:val="2"/>
                <w:sz w:val="21"/>
                <w:szCs w:val="21"/>
              </w:rPr>
              <w:t>较敏感</w:t>
            </w:r>
          </w:p>
        </w:tc>
        <w:tc>
          <w:tcPr>
            <w:tcW w:w="4354" w:type="pct"/>
            <w:vAlign w:val="center"/>
          </w:tcPr>
          <w:p w14:paraId="457EEB1E" w14:textId="77777777" w:rsidR="003E78AB" w:rsidRDefault="00010BF9">
            <w:pPr>
              <w:spacing w:line="360" w:lineRule="exact"/>
              <w:ind w:firstLineChars="0" w:firstLine="0"/>
              <w:jc w:val="left"/>
              <w:rPr>
                <w:kern w:val="2"/>
                <w:sz w:val="21"/>
                <w:szCs w:val="21"/>
              </w:rPr>
            </w:pPr>
            <w:r>
              <w:rPr>
                <w:kern w:val="2"/>
                <w:sz w:val="21"/>
                <w:szCs w:val="21"/>
              </w:rPr>
              <w:t>建设项目周边存在其他土壤环境敏感目标的。</w:t>
            </w:r>
          </w:p>
        </w:tc>
      </w:tr>
      <w:tr w:rsidR="003E78AB" w14:paraId="03D4606A" w14:textId="77777777">
        <w:trPr>
          <w:trHeight w:val="68"/>
        </w:trPr>
        <w:tc>
          <w:tcPr>
            <w:tcW w:w="645" w:type="pct"/>
            <w:shd w:val="clear" w:color="auto" w:fill="D7D7D7"/>
            <w:vAlign w:val="center"/>
          </w:tcPr>
          <w:p w14:paraId="1EC80705" w14:textId="77777777" w:rsidR="003E78AB" w:rsidRDefault="00010BF9">
            <w:pPr>
              <w:spacing w:line="360" w:lineRule="exact"/>
              <w:ind w:firstLineChars="0" w:firstLine="0"/>
              <w:jc w:val="center"/>
              <w:rPr>
                <w:kern w:val="2"/>
                <w:sz w:val="21"/>
                <w:szCs w:val="21"/>
              </w:rPr>
            </w:pPr>
            <w:r>
              <w:rPr>
                <w:kern w:val="2"/>
                <w:sz w:val="21"/>
                <w:szCs w:val="21"/>
              </w:rPr>
              <w:t>不敏感</w:t>
            </w:r>
          </w:p>
        </w:tc>
        <w:tc>
          <w:tcPr>
            <w:tcW w:w="4354" w:type="pct"/>
            <w:shd w:val="clear" w:color="auto" w:fill="D7D7D7"/>
            <w:vAlign w:val="center"/>
          </w:tcPr>
          <w:p w14:paraId="7AC21CB6" w14:textId="77777777" w:rsidR="003E78AB" w:rsidRDefault="00010BF9">
            <w:pPr>
              <w:spacing w:line="360" w:lineRule="exact"/>
              <w:ind w:firstLineChars="0" w:firstLine="0"/>
              <w:jc w:val="left"/>
              <w:rPr>
                <w:kern w:val="2"/>
                <w:sz w:val="21"/>
                <w:szCs w:val="21"/>
              </w:rPr>
            </w:pPr>
            <w:r>
              <w:rPr>
                <w:kern w:val="2"/>
                <w:sz w:val="21"/>
                <w:szCs w:val="21"/>
              </w:rPr>
              <w:t>其他情况。</w:t>
            </w:r>
          </w:p>
        </w:tc>
      </w:tr>
    </w:tbl>
    <w:p w14:paraId="05838460" w14:textId="77777777" w:rsidR="003E78AB" w:rsidRDefault="00010BF9">
      <w:pPr>
        <w:ind w:firstLine="480"/>
        <w:rPr>
          <w:kern w:val="2"/>
        </w:rPr>
      </w:pPr>
      <w:r>
        <w:rPr>
          <w:kern w:val="2"/>
        </w:rPr>
        <w:t>根据《环境影响评价技术导则</w:t>
      </w:r>
      <w:r>
        <w:rPr>
          <w:kern w:val="2"/>
        </w:rPr>
        <w:t xml:space="preserve"> </w:t>
      </w:r>
      <w:r>
        <w:rPr>
          <w:kern w:val="2"/>
        </w:rPr>
        <w:t>土壤环境（试行）》（</w:t>
      </w:r>
      <w:r>
        <w:rPr>
          <w:kern w:val="2"/>
        </w:rPr>
        <w:t>HJ964-2018</w:t>
      </w:r>
      <w:r>
        <w:rPr>
          <w:kern w:val="2"/>
        </w:rPr>
        <w:t>），建设项目土壤环境影响评价工作等级划分详见</w:t>
      </w:r>
      <w:r>
        <w:rPr>
          <w:kern w:val="2"/>
        </w:rPr>
        <w:fldChar w:fldCharType="begin"/>
      </w:r>
      <w:r>
        <w:rPr>
          <w:kern w:val="2"/>
        </w:rPr>
        <w:instrText xml:space="preserve"> REF _Ref18835 \r \h </w:instrText>
      </w:r>
      <w:r>
        <w:rPr>
          <w:kern w:val="2"/>
        </w:rPr>
      </w:r>
      <w:r>
        <w:rPr>
          <w:kern w:val="2"/>
        </w:rPr>
        <w:fldChar w:fldCharType="separate"/>
      </w:r>
      <w:r>
        <w:rPr>
          <w:kern w:val="2"/>
        </w:rPr>
        <w:t>表</w:t>
      </w:r>
      <w:r>
        <w:rPr>
          <w:kern w:val="2"/>
        </w:rPr>
        <w:t>5-71</w:t>
      </w:r>
      <w:r>
        <w:rPr>
          <w:kern w:val="2"/>
        </w:rPr>
        <w:fldChar w:fldCharType="end"/>
      </w:r>
      <w:r>
        <w:rPr>
          <w:kern w:val="2"/>
        </w:rPr>
        <w:t>。</w:t>
      </w:r>
    </w:p>
    <w:p w14:paraId="2179FD64" w14:textId="77777777" w:rsidR="003E78AB" w:rsidRDefault="00010BF9">
      <w:pPr>
        <w:pStyle w:val="a4"/>
        <w:spacing w:before="120"/>
        <w:ind w:left="425" w:hanging="425"/>
      </w:pPr>
      <w:bookmarkStart w:id="397" w:name="_Ref18835"/>
      <w:r>
        <w:t>污染影响型评价工作等级分级表</w:t>
      </w:r>
      <w:bookmarkEnd w:id="397"/>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89"/>
        <w:gridCol w:w="679"/>
        <w:gridCol w:w="679"/>
        <w:gridCol w:w="680"/>
        <w:gridCol w:w="680"/>
        <w:gridCol w:w="680"/>
        <w:gridCol w:w="680"/>
        <w:gridCol w:w="680"/>
        <w:gridCol w:w="680"/>
        <w:gridCol w:w="690"/>
      </w:tblGrid>
      <w:tr w:rsidR="003E78AB" w14:paraId="1F8FD10A" w14:textId="77777777">
        <w:trPr>
          <w:trHeight w:val="717"/>
          <w:jc w:val="center"/>
        </w:trPr>
        <w:tc>
          <w:tcPr>
            <w:tcW w:w="1403"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FFAA6BD" w14:textId="77777777" w:rsidR="003E78AB" w:rsidRDefault="00010BF9">
            <w:pPr>
              <w:pStyle w:val="aff6"/>
              <w:topLinePunct/>
              <w:jc w:val="right"/>
              <w:rPr>
                <w:b/>
                <w:bCs/>
              </w:rPr>
            </w:pPr>
            <w:r>
              <w:rPr>
                <w:b/>
                <w:bCs/>
              </w:rPr>
              <w:t>敏感程度</w:t>
            </w:r>
          </w:p>
          <w:p w14:paraId="2DDB9074" w14:textId="77777777" w:rsidR="003E78AB" w:rsidRDefault="00010BF9">
            <w:pPr>
              <w:pStyle w:val="aff6"/>
              <w:topLinePunct/>
              <w:rPr>
                <w:b/>
                <w:bCs/>
              </w:rPr>
            </w:pPr>
            <w:r>
              <w:rPr>
                <w:b/>
                <w:bCs/>
              </w:rPr>
              <w:t>评价工作等级</w:t>
            </w:r>
          </w:p>
          <w:p w14:paraId="5B418C47" w14:textId="77777777" w:rsidR="003E78AB" w:rsidRDefault="00010BF9">
            <w:pPr>
              <w:pStyle w:val="aff6"/>
              <w:topLinePunct/>
              <w:jc w:val="left"/>
              <w:rPr>
                <w:b/>
                <w:bCs/>
              </w:rPr>
            </w:pPr>
            <w:r>
              <w:rPr>
                <w:b/>
                <w:bCs/>
              </w:rPr>
              <w:t>占地规模</w:t>
            </w:r>
          </w:p>
        </w:tc>
        <w:tc>
          <w:tcPr>
            <w:tcW w:w="1197" w:type="pct"/>
            <w:gridSpan w:val="3"/>
            <w:tcBorders>
              <w:top w:val="single" w:sz="4" w:space="0" w:color="auto"/>
              <w:left w:val="single" w:sz="4" w:space="0" w:color="auto"/>
              <w:bottom w:val="single" w:sz="4" w:space="0" w:color="auto"/>
              <w:right w:val="single" w:sz="4" w:space="0" w:color="auto"/>
            </w:tcBorders>
            <w:vAlign w:val="center"/>
          </w:tcPr>
          <w:p w14:paraId="7CAF6D56" w14:textId="77777777" w:rsidR="003E78AB" w:rsidRDefault="00010BF9">
            <w:pPr>
              <w:pStyle w:val="aff6"/>
              <w:topLinePunct/>
              <w:rPr>
                <w:b/>
                <w:bCs/>
              </w:rPr>
            </w:pPr>
            <w:r>
              <w:rPr>
                <w:b/>
                <w:bCs/>
              </w:rPr>
              <w:t>Ⅰ</w:t>
            </w:r>
            <w:r>
              <w:rPr>
                <w:b/>
                <w:bCs/>
              </w:rPr>
              <w:t>类项目</w:t>
            </w:r>
          </w:p>
        </w:tc>
        <w:tc>
          <w:tcPr>
            <w:tcW w:w="1197" w:type="pct"/>
            <w:gridSpan w:val="3"/>
            <w:tcBorders>
              <w:top w:val="single" w:sz="4" w:space="0" w:color="auto"/>
              <w:left w:val="single" w:sz="4" w:space="0" w:color="auto"/>
              <w:bottom w:val="single" w:sz="4" w:space="0" w:color="auto"/>
              <w:right w:val="single" w:sz="4" w:space="0" w:color="auto"/>
            </w:tcBorders>
            <w:vAlign w:val="center"/>
          </w:tcPr>
          <w:p w14:paraId="71026B82" w14:textId="77777777" w:rsidR="003E78AB" w:rsidRDefault="00010BF9">
            <w:pPr>
              <w:pStyle w:val="aff6"/>
              <w:topLinePunct/>
              <w:rPr>
                <w:b/>
                <w:bCs/>
              </w:rPr>
            </w:pPr>
            <w:r>
              <w:rPr>
                <w:b/>
                <w:bCs/>
              </w:rPr>
              <w:t>Ⅱ</w:t>
            </w:r>
            <w:r>
              <w:rPr>
                <w:b/>
                <w:bCs/>
              </w:rPr>
              <w:t>类项目</w:t>
            </w:r>
          </w:p>
        </w:tc>
        <w:tc>
          <w:tcPr>
            <w:tcW w:w="1201" w:type="pct"/>
            <w:gridSpan w:val="3"/>
            <w:tcBorders>
              <w:top w:val="single" w:sz="4" w:space="0" w:color="auto"/>
              <w:left w:val="single" w:sz="4" w:space="0" w:color="auto"/>
              <w:bottom w:val="single" w:sz="4" w:space="0" w:color="auto"/>
              <w:right w:val="single" w:sz="4" w:space="0" w:color="auto"/>
            </w:tcBorders>
            <w:vAlign w:val="center"/>
          </w:tcPr>
          <w:p w14:paraId="04E35064" w14:textId="77777777" w:rsidR="003E78AB" w:rsidRDefault="00010BF9">
            <w:pPr>
              <w:pStyle w:val="aff6"/>
              <w:topLinePunct/>
              <w:rPr>
                <w:b/>
                <w:bCs/>
              </w:rPr>
            </w:pPr>
            <w:r>
              <w:rPr>
                <w:b/>
                <w:bCs/>
              </w:rPr>
              <w:t>Ⅲ</w:t>
            </w:r>
            <w:r>
              <w:rPr>
                <w:b/>
                <w:bCs/>
              </w:rPr>
              <w:t>类项目</w:t>
            </w:r>
          </w:p>
        </w:tc>
      </w:tr>
      <w:tr w:rsidR="003E78AB" w14:paraId="7D4ED7F8" w14:textId="77777777">
        <w:trPr>
          <w:trHeight w:val="303"/>
          <w:jc w:val="center"/>
        </w:trPr>
        <w:tc>
          <w:tcPr>
            <w:tcW w:w="1403" w:type="pct"/>
            <w:vMerge/>
            <w:tcBorders>
              <w:top w:val="single" w:sz="4" w:space="0" w:color="auto"/>
              <w:left w:val="single" w:sz="4" w:space="0" w:color="auto"/>
              <w:bottom w:val="single" w:sz="4" w:space="0" w:color="auto"/>
              <w:right w:val="single" w:sz="4" w:space="0" w:color="auto"/>
            </w:tcBorders>
            <w:vAlign w:val="center"/>
          </w:tcPr>
          <w:p w14:paraId="6B5335C3" w14:textId="77777777" w:rsidR="003E78AB" w:rsidRDefault="003E78AB">
            <w:pPr>
              <w:pStyle w:val="aff6"/>
              <w:topLinePunct/>
              <w:rPr>
                <w:b/>
                <w:bCs/>
              </w:rPr>
            </w:pPr>
          </w:p>
        </w:tc>
        <w:tc>
          <w:tcPr>
            <w:tcW w:w="399" w:type="pct"/>
            <w:tcBorders>
              <w:top w:val="single" w:sz="4" w:space="0" w:color="auto"/>
              <w:left w:val="single" w:sz="4" w:space="0" w:color="auto"/>
              <w:bottom w:val="single" w:sz="4" w:space="0" w:color="auto"/>
              <w:right w:val="single" w:sz="4" w:space="0" w:color="auto"/>
            </w:tcBorders>
            <w:vAlign w:val="center"/>
          </w:tcPr>
          <w:p w14:paraId="72425E77" w14:textId="77777777" w:rsidR="003E78AB" w:rsidRDefault="00010BF9">
            <w:pPr>
              <w:pStyle w:val="aff6"/>
              <w:topLinePunct/>
              <w:rPr>
                <w:b/>
                <w:bCs/>
              </w:rPr>
            </w:pPr>
            <w:r>
              <w:rPr>
                <w:b/>
                <w:bCs/>
              </w:rPr>
              <w:t>大</w:t>
            </w:r>
          </w:p>
        </w:tc>
        <w:tc>
          <w:tcPr>
            <w:tcW w:w="399" w:type="pct"/>
            <w:tcBorders>
              <w:top w:val="single" w:sz="4" w:space="0" w:color="auto"/>
              <w:left w:val="single" w:sz="4" w:space="0" w:color="auto"/>
              <w:bottom w:val="single" w:sz="4" w:space="0" w:color="auto"/>
              <w:right w:val="single" w:sz="4" w:space="0" w:color="auto"/>
            </w:tcBorders>
            <w:vAlign w:val="center"/>
          </w:tcPr>
          <w:p w14:paraId="772EF955" w14:textId="77777777" w:rsidR="003E78AB" w:rsidRDefault="00010BF9">
            <w:pPr>
              <w:pStyle w:val="aff6"/>
              <w:topLinePunct/>
              <w:rPr>
                <w:b/>
                <w:bCs/>
              </w:rPr>
            </w:pPr>
            <w:r>
              <w:rPr>
                <w:b/>
                <w:bCs/>
              </w:rPr>
              <w:t>中</w:t>
            </w:r>
          </w:p>
        </w:tc>
        <w:tc>
          <w:tcPr>
            <w:tcW w:w="399" w:type="pct"/>
            <w:tcBorders>
              <w:top w:val="single" w:sz="4" w:space="0" w:color="auto"/>
              <w:left w:val="single" w:sz="4" w:space="0" w:color="auto"/>
              <w:bottom w:val="single" w:sz="4" w:space="0" w:color="auto"/>
              <w:right w:val="single" w:sz="4" w:space="0" w:color="auto"/>
            </w:tcBorders>
            <w:vAlign w:val="center"/>
          </w:tcPr>
          <w:p w14:paraId="602026B1" w14:textId="77777777" w:rsidR="003E78AB" w:rsidRDefault="00010BF9">
            <w:pPr>
              <w:pStyle w:val="aff6"/>
              <w:topLinePunct/>
              <w:rPr>
                <w:b/>
                <w:bCs/>
              </w:rPr>
            </w:pPr>
            <w:r>
              <w:rPr>
                <w:b/>
                <w:bCs/>
              </w:rPr>
              <w:t>小</w:t>
            </w:r>
          </w:p>
        </w:tc>
        <w:tc>
          <w:tcPr>
            <w:tcW w:w="399" w:type="pct"/>
            <w:tcBorders>
              <w:top w:val="single" w:sz="4" w:space="0" w:color="auto"/>
              <w:left w:val="single" w:sz="4" w:space="0" w:color="auto"/>
              <w:bottom w:val="single" w:sz="4" w:space="0" w:color="auto"/>
              <w:right w:val="single" w:sz="4" w:space="0" w:color="auto"/>
            </w:tcBorders>
            <w:vAlign w:val="center"/>
          </w:tcPr>
          <w:p w14:paraId="4C793508" w14:textId="77777777" w:rsidR="003E78AB" w:rsidRDefault="00010BF9">
            <w:pPr>
              <w:pStyle w:val="aff6"/>
              <w:topLinePunct/>
              <w:rPr>
                <w:b/>
                <w:bCs/>
              </w:rPr>
            </w:pPr>
            <w:r>
              <w:rPr>
                <w:b/>
                <w:bCs/>
              </w:rPr>
              <w:t>大</w:t>
            </w:r>
          </w:p>
        </w:tc>
        <w:tc>
          <w:tcPr>
            <w:tcW w:w="399" w:type="pct"/>
            <w:tcBorders>
              <w:top w:val="single" w:sz="4" w:space="0" w:color="auto"/>
              <w:left w:val="single" w:sz="4" w:space="0" w:color="auto"/>
              <w:bottom w:val="single" w:sz="4" w:space="0" w:color="auto"/>
              <w:right w:val="single" w:sz="4" w:space="0" w:color="auto"/>
            </w:tcBorders>
            <w:vAlign w:val="center"/>
          </w:tcPr>
          <w:p w14:paraId="60F460DA" w14:textId="77777777" w:rsidR="003E78AB" w:rsidRDefault="00010BF9">
            <w:pPr>
              <w:pStyle w:val="aff6"/>
              <w:topLinePunct/>
              <w:rPr>
                <w:b/>
                <w:bCs/>
              </w:rPr>
            </w:pPr>
            <w:r>
              <w:rPr>
                <w:b/>
                <w:bCs/>
              </w:rPr>
              <w:t>中</w:t>
            </w:r>
          </w:p>
        </w:tc>
        <w:tc>
          <w:tcPr>
            <w:tcW w:w="399" w:type="pct"/>
            <w:tcBorders>
              <w:top w:val="single" w:sz="4" w:space="0" w:color="auto"/>
              <w:left w:val="single" w:sz="4" w:space="0" w:color="auto"/>
              <w:bottom w:val="single" w:sz="4" w:space="0" w:color="auto"/>
              <w:right w:val="single" w:sz="4" w:space="0" w:color="auto"/>
            </w:tcBorders>
            <w:vAlign w:val="center"/>
          </w:tcPr>
          <w:p w14:paraId="1A346915" w14:textId="77777777" w:rsidR="003E78AB" w:rsidRDefault="00010BF9">
            <w:pPr>
              <w:pStyle w:val="aff6"/>
              <w:topLinePunct/>
              <w:rPr>
                <w:b/>
                <w:bCs/>
              </w:rPr>
            </w:pPr>
            <w:r>
              <w:rPr>
                <w:b/>
                <w:bCs/>
              </w:rPr>
              <w:t>小</w:t>
            </w:r>
          </w:p>
        </w:tc>
        <w:tc>
          <w:tcPr>
            <w:tcW w:w="399" w:type="pct"/>
            <w:tcBorders>
              <w:top w:val="single" w:sz="4" w:space="0" w:color="auto"/>
              <w:left w:val="single" w:sz="4" w:space="0" w:color="auto"/>
              <w:bottom w:val="single" w:sz="4" w:space="0" w:color="auto"/>
              <w:right w:val="single" w:sz="4" w:space="0" w:color="auto"/>
            </w:tcBorders>
            <w:vAlign w:val="center"/>
          </w:tcPr>
          <w:p w14:paraId="67B014F5" w14:textId="77777777" w:rsidR="003E78AB" w:rsidRDefault="00010BF9">
            <w:pPr>
              <w:pStyle w:val="aff6"/>
              <w:topLinePunct/>
              <w:rPr>
                <w:b/>
                <w:bCs/>
              </w:rPr>
            </w:pPr>
            <w:r>
              <w:rPr>
                <w:b/>
                <w:bCs/>
              </w:rPr>
              <w:t>大</w:t>
            </w:r>
          </w:p>
        </w:tc>
        <w:tc>
          <w:tcPr>
            <w:tcW w:w="399" w:type="pct"/>
            <w:tcBorders>
              <w:top w:val="single" w:sz="4" w:space="0" w:color="auto"/>
              <w:left w:val="single" w:sz="4" w:space="0" w:color="auto"/>
              <w:bottom w:val="single" w:sz="4" w:space="0" w:color="auto"/>
              <w:right w:val="single" w:sz="4" w:space="0" w:color="auto"/>
            </w:tcBorders>
            <w:vAlign w:val="center"/>
          </w:tcPr>
          <w:p w14:paraId="6920DC09" w14:textId="77777777" w:rsidR="003E78AB" w:rsidRDefault="00010BF9">
            <w:pPr>
              <w:pStyle w:val="aff6"/>
              <w:topLinePunct/>
              <w:rPr>
                <w:b/>
                <w:bCs/>
              </w:rPr>
            </w:pPr>
            <w:r>
              <w:rPr>
                <w:b/>
                <w:bCs/>
              </w:rPr>
              <w:t>中</w:t>
            </w:r>
          </w:p>
        </w:tc>
        <w:tc>
          <w:tcPr>
            <w:tcW w:w="403" w:type="pct"/>
            <w:tcBorders>
              <w:top w:val="single" w:sz="4" w:space="0" w:color="auto"/>
              <w:left w:val="single" w:sz="4" w:space="0" w:color="auto"/>
              <w:bottom w:val="single" w:sz="4" w:space="0" w:color="auto"/>
              <w:right w:val="single" w:sz="4" w:space="0" w:color="auto"/>
            </w:tcBorders>
            <w:vAlign w:val="center"/>
          </w:tcPr>
          <w:p w14:paraId="2CA627BA" w14:textId="77777777" w:rsidR="003E78AB" w:rsidRDefault="00010BF9">
            <w:pPr>
              <w:pStyle w:val="aff6"/>
              <w:topLinePunct/>
              <w:rPr>
                <w:b/>
                <w:bCs/>
              </w:rPr>
            </w:pPr>
            <w:r>
              <w:rPr>
                <w:b/>
                <w:bCs/>
              </w:rPr>
              <w:t>小</w:t>
            </w:r>
          </w:p>
        </w:tc>
      </w:tr>
      <w:tr w:rsidR="003E78AB" w14:paraId="517F33C4" w14:textId="77777777">
        <w:trPr>
          <w:jc w:val="center"/>
        </w:trPr>
        <w:tc>
          <w:tcPr>
            <w:tcW w:w="1403" w:type="pct"/>
            <w:tcBorders>
              <w:top w:val="single" w:sz="4" w:space="0" w:color="auto"/>
              <w:left w:val="single" w:sz="4" w:space="0" w:color="auto"/>
              <w:bottom w:val="single" w:sz="4" w:space="0" w:color="auto"/>
              <w:right w:val="single" w:sz="4" w:space="0" w:color="auto"/>
            </w:tcBorders>
            <w:vAlign w:val="center"/>
          </w:tcPr>
          <w:p w14:paraId="54C03749" w14:textId="77777777" w:rsidR="003E78AB" w:rsidRDefault="00010BF9">
            <w:pPr>
              <w:pStyle w:val="aff6"/>
              <w:topLinePunct/>
            </w:pPr>
            <w:r>
              <w:t>敏感</w:t>
            </w:r>
          </w:p>
        </w:tc>
        <w:tc>
          <w:tcPr>
            <w:tcW w:w="399" w:type="pct"/>
            <w:tcBorders>
              <w:top w:val="single" w:sz="4" w:space="0" w:color="auto"/>
              <w:left w:val="single" w:sz="4" w:space="0" w:color="auto"/>
              <w:bottom w:val="single" w:sz="4" w:space="0" w:color="auto"/>
              <w:right w:val="single" w:sz="4" w:space="0" w:color="auto"/>
            </w:tcBorders>
            <w:vAlign w:val="center"/>
          </w:tcPr>
          <w:p w14:paraId="6D15BE76"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7638B7FD"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78F76050"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4536E38F"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65C4C096"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481D19F3"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1F7968DB"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0FB84A6A" w14:textId="77777777" w:rsidR="003E78AB" w:rsidRDefault="00010BF9">
            <w:pPr>
              <w:pStyle w:val="aff6"/>
              <w:topLinePunct/>
            </w:pPr>
            <w:r>
              <w:t>三级</w:t>
            </w:r>
          </w:p>
        </w:tc>
        <w:tc>
          <w:tcPr>
            <w:tcW w:w="403" w:type="pct"/>
            <w:tcBorders>
              <w:top w:val="single" w:sz="4" w:space="0" w:color="auto"/>
              <w:left w:val="single" w:sz="4" w:space="0" w:color="auto"/>
              <w:bottom w:val="single" w:sz="4" w:space="0" w:color="auto"/>
              <w:right w:val="single" w:sz="4" w:space="0" w:color="auto"/>
            </w:tcBorders>
            <w:vAlign w:val="center"/>
          </w:tcPr>
          <w:p w14:paraId="2C0B8878" w14:textId="77777777" w:rsidR="003E78AB" w:rsidRDefault="00010BF9">
            <w:pPr>
              <w:pStyle w:val="aff6"/>
              <w:topLinePunct/>
            </w:pPr>
            <w:r>
              <w:t>三级</w:t>
            </w:r>
          </w:p>
        </w:tc>
      </w:tr>
      <w:tr w:rsidR="003E78AB" w14:paraId="2B076DA3" w14:textId="77777777">
        <w:trPr>
          <w:jc w:val="center"/>
        </w:trPr>
        <w:tc>
          <w:tcPr>
            <w:tcW w:w="1403" w:type="pct"/>
            <w:tcBorders>
              <w:top w:val="single" w:sz="4" w:space="0" w:color="auto"/>
              <w:left w:val="single" w:sz="4" w:space="0" w:color="auto"/>
              <w:bottom w:val="single" w:sz="4" w:space="0" w:color="auto"/>
              <w:right w:val="single" w:sz="4" w:space="0" w:color="auto"/>
            </w:tcBorders>
            <w:vAlign w:val="center"/>
          </w:tcPr>
          <w:p w14:paraId="17F1CDAF" w14:textId="77777777" w:rsidR="003E78AB" w:rsidRDefault="00010BF9">
            <w:pPr>
              <w:pStyle w:val="aff6"/>
              <w:topLinePunct/>
            </w:pPr>
            <w:r>
              <w:t>较敏感</w:t>
            </w:r>
          </w:p>
        </w:tc>
        <w:tc>
          <w:tcPr>
            <w:tcW w:w="399" w:type="pct"/>
            <w:tcBorders>
              <w:top w:val="single" w:sz="4" w:space="0" w:color="auto"/>
              <w:left w:val="single" w:sz="4" w:space="0" w:color="auto"/>
              <w:bottom w:val="single" w:sz="4" w:space="0" w:color="auto"/>
              <w:right w:val="single" w:sz="4" w:space="0" w:color="auto"/>
            </w:tcBorders>
            <w:vAlign w:val="center"/>
          </w:tcPr>
          <w:p w14:paraId="326C6022"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02B0BC9E"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vAlign w:val="center"/>
          </w:tcPr>
          <w:p w14:paraId="514098B8"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362FA1D7"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5C607B29"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7C61CDB9"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4F1E3FBF"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568060DF" w14:textId="77777777" w:rsidR="003E78AB" w:rsidRDefault="00010BF9">
            <w:pPr>
              <w:pStyle w:val="aff6"/>
              <w:topLinePunct/>
            </w:pPr>
            <w:r>
              <w:t>三级</w:t>
            </w:r>
          </w:p>
        </w:tc>
        <w:tc>
          <w:tcPr>
            <w:tcW w:w="403" w:type="pct"/>
            <w:tcBorders>
              <w:top w:val="single" w:sz="4" w:space="0" w:color="auto"/>
              <w:left w:val="single" w:sz="4" w:space="0" w:color="auto"/>
              <w:bottom w:val="single" w:sz="4" w:space="0" w:color="auto"/>
              <w:right w:val="single" w:sz="4" w:space="0" w:color="auto"/>
            </w:tcBorders>
            <w:vAlign w:val="center"/>
          </w:tcPr>
          <w:p w14:paraId="161126BA" w14:textId="77777777" w:rsidR="003E78AB" w:rsidRDefault="00010BF9">
            <w:pPr>
              <w:pStyle w:val="aff6"/>
              <w:topLinePunct/>
            </w:pPr>
            <w:r>
              <w:t>--</w:t>
            </w:r>
          </w:p>
        </w:tc>
      </w:tr>
      <w:tr w:rsidR="003E78AB" w14:paraId="016E5B64" w14:textId="77777777">
        <w:trPr>
          <w:jc w:val="center"/>
        </w:trPr>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5705C54E" w14:textId="77777777" w:rsidR="003E78AB" w:rsidRDefault="00010BF9">
            <w:pPr>
              <w:pStyle w:val="aff6"/>
              <w:topLinePunct/>
            </w:pPr>
            <w:r>
              <w:t>不敏感</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36F18EE" w14:textId="77777777" w:rsidR="003E78AB" w:rsidRDefault="00010BF9">
            <w:pPr>
              <w:pStyle w:val="aff6"/>
              <w:topLinePunct/>
            </w:pPr>
            <w:r>
              <w:t>一级</w:t>
            </w:r>
          </w:p>
        </w:tc>
        <w:tc>
          <w:tcPr>
            <w:tcW w:w="399" w:type="pct"/>
            <w:tcBorders>
              <w:top w:val="single" w:sz="4" w:space="0" w:color="auto"/>
              <w:left w:val="single" w:sz="4" w:space="0" w:color="auto"/>
              <w:bottom w:val="single" w:sz="4" w:space="0" w:color="auto"/>
              <w:right w:val="single" w:sz="4" w:space="0" w:color="auto"/>
            </w:tcBorders>
            <w:shd w:val="clear" w:color="auto" w:fill="D7D7D7"/>
            <w:vAlign w:val="center"/>
          </w:tcPr>
          <w:p w14:paraId="281C22E7"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5A73B37C"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23B98566" w14:textId="77777777" w:rsidR="003E78AB" w:rsidRDefault="00010BF9">
            <w:pPr>
              <w:pStyle w:val="aff6"/>
              <w:topLinePunct/>
            </w:pPr>
            <w:r>
              <w:t>二级</w:t>
            </w:r>
          </w:p>
        </w:tc>
        <w:tc>
          <w:tcPr>
            <w:tcW w:w="399" w:type="pct"/>
            <w:tcBorders>
              <w:top w:val="single" w:sz="4" w:space="0" w:color="auto"/>
              <w:left w:val="single" w:sz="4" w:space="0" w:color="auto"/>
              <w:bottom w:val="single" w:sz="4" w:space="0" w:color="auto"/>
              <w:right w:val="single" w:sz="4" w:space="0" w:color="auto"/>
            </w:tcBorders>
            <w:vAlign w:val="center"/>
          </w:tcPr>
          <w:p w14:paraId="1F3F5C5E"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5CC75278"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65B3BB01" w14:textId="77777777" w:rsidR="003E78AB" w:rsidRDefault="00010BF9">
            <w:pPr>
              <w:pStyle w:val="aff6"/>
              <w:topLinePunct/>
            </w:pPr>
            <w:r>
              <w:t>三级</w:t>
            </w:r>
          </w:p>
        </w:tc>
        <w:tc>
          <w:tcPr>
            <w:tcW w:w="399" w:type="pct"/>
            <w:tcBorders>
              <w:top w:val="single" w:sz="4" w:space="0" w:color="auto"/>
              <w:left w:val="single" w:sz="4" w:space="0" w:color="auto"/>
              <w:bottom w:val="single" w:sz="4" w:space="0" w:color="auto"/>
              <w:right w:val="single" w:sz="4" w:space="0" w:color="auto"/>
            </w:tcBorders>
            <w:vAlign w:val="center"/>
          </w:tcPr>
          <w:p w14:paraId="3B1A0768" w14:textId="77777777" w:rsidR="003E78AB" w:rsidRDefault="00010BF9">
            <w:pPr>
              <w:pStyle w:val="aff6"/>
              <w:topLinePunct/>
            </w:pPr>
            <w:r>
              <w:t>--</w:t>
            </w:r>
          </w:p>
        </w:tc>
        <w:tc>
          <w:tcPr>
            <w:tcW w:w="403" w:type="pct"/>
            <w:tcBorders>
              <w:top w:val="single" w:sz="4" w:space="0" w:color="auto"/>
              <w:left w:val="single" w:sz="4" w:space="0" w:color="auto"/>
              <w:bottom w:val="single" w:sz="4" w:space="0" w:color="auto"/>
              <w:right w:val="single" w:sz="4" w:space="0" w:color="auto"/>
            </w:tcBorders>
            <w:vAlign w:val="center"/>
          </w:tcPr>
          <w:p w14:paraId="709AE5CA" w14:textId="77777777" w:rsidR="003E78AB" w:rsidRDefault="00010BF9">
            <w:pPr>
              <w:pStyle w:val="aff6"/>
              <w:topLinePunct/>
            </w:pPr>
            <w:r>
              <w:t>--</w:t>
            </w:r>
          </w:p>
        </w:tc>
      </w:tr>
      <w:tr w:rsidR="003E78AB" w14:paraId="0D2E4057" w14:textId="77777777">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1B4B91D" w14:textId="77777777" w:rsidR="003E78AB" w:rsidRDefault="00010BF9">
            <w:pPr>
              <w:pStyle w:val="aff6"/>
              <w:topLinePunct/>
              <w:jc w:val="left"/>
            </w:pPr>
            <w:r>
              <w:rPr>
                <w:b/>
              </w:rPr>
              <w:t>注：</w:t>
            </w:r>
            <w:r>
              <w:t>“--”</w:t>
            </w:r>
            <w:r>
              <w:t>表示可不开展土壤环境影响评价工作</w:t>
            </w:r>
          </w:p>
        </w:tc>
      </w:tr>
    </w:tbl>
    <w:p w14:paraId="42670E6D" w14:textId="77777777" w:rsidR="003E78AB" w:rsidRDefault="00010BF9">
      <w:pPr>
        <w:ind w:firstLine="480"/>
        <w:rPr>
          <w:kern w:val="2"/>
        </w:rPr>
      </w:pPr>
      <w:r>
        <w:rPr>
          <w:kern w:val="2"/>
        </w:rPr>
        <w:t>综上所述，判定本项目土壤评价等级为二级。</w:t>
      </w:r>
    </w:p>
    <w:p w14:paraId="06A13B5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.6.</w:t>
      </w:r>
      <w:r>
        <w:rPr>
          <w:rFonts w:ascii="Times New Roman" w:hAnsi="Times New Roman" w:hint="eastAsia"/>
        </w:rPr>
        <w:t>2</w:t>
      </w:r>
      <w:r>
        <w:rPr>
          <w:rFonts w:ascii="Times New Roman" w:hAnsi="Times New Roman"/>
        </w:rPr>
        <w:t>土壤影响类型的识别</w:t>
      </w:r>
    </w:p>
    <w:p w14:paraId="726F68BA" w14:textId="77777777" w:rsidR="003E78AB" w:rsidRDefault="00010BF9">
      <w:pPr>
        <w:ind w:firstLine="480"/>
        <w:rPr>
          <w:kern w:val="2"/>
        </w:rPr>
      </w:pPr>
      <w:r>
        <w:rPr>
          <w:kern w:val="2"/>
        </w:rPr>
        <w:t>本项目的土壤环境影响主要为污染影响型，运营期对土壤环境可能造成影响的污染源主要为废气，污水下渗污染土壤。土壤环境影响类型及途径见</w:t>
      </w:r>
      <w:r>
        <w:rPr>
          <w:kern w:val="2"/>
        </w:rPr>
        <w:fldChar w:fldCharType="begin"/>
      </w:r>
      <w:r>
        <w:rPr>
          <w:kern w:val="2"/>
        </w:rPr>
        <w:instrText xml:space="preserve"> REF _Ref1131 \r \h </w:instrText>
      </w:r>
      <w:r>
        <w:rPr>
          <w:kern w:val="2"/>
        </w:rPr>
      </w:r>
      <w:r>
        <w:rPr>
          <w:kern w:val="2"/>
        </w:rPr>
        <w:fldChar w:fldCharType="separate"/>
      </w:r>
      <w:r>
        <w:rPr>
          <w:kern w:val="2"/>
        </w:rPr>
        <w:t>表</w:t>
      </w:r>
      <w:r>
        <w:rPr>
          <w:kern w:val="2"/>
        </w:rPr>
        <w:t>5-72</w:t>
      </w:r>
      <w:r>
        <w:rPr>
          <w:kern w:val="2"/>
        </w:rPr>
        <w:fldChar w:fldCharType="end"/>
      </w:r>
      <w:r>
        <w:rPr>
          <w:kern w:val="2"/>
        </w:rPr>
        <w:t>。</w:t>
      </w:r>
    </w:p>
    <w:p w14:paraId="371190C5" w14:textId="77777777" w:rsidR="003E78AB" w:rsidRDefault="00010BF9">
      <w:pPr>
        <w:pStyle w:val="a4"/>
        <w:spacing w:before="120"/>
        <w:ind w:left="425" w:hanging="425"/>
      </w:pPr>
      <w:bookmarkStart w:id="398" w:name="_Ref1131"/>
      <w:r>
        <w:t>影响途径及影响类型一览表</w:t>
      </w:r>
      <w:bookmarkEnd w:id="398"/>
    </w:p>
    <w:tbl>
      <w:tblPr>
        <w:tblStyle w:val="afe"/>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687"/>
        <w:gridCol w:w="1687"/>
        <w:gridCol w:w="1687"/>
        <w:gridCol w:w="1688"/>
      </w:tblGrid>
      <w:tr w:rsidR="003E78AB" w14:paraId="50460438" w14:textId="77777777">
        <w:trPr>
          <w:trHeight w:val="340"/>
        </w:trPr>
        <w:tc>
          <w:tcPr>
            <w:tcW w:w="1687" w:type="dxa"/>
            <w:vMerge w:val="restart"/>
          </w:tcPr>
          <w:p w14:paraId="37EBB04E" w14:textId="77777777" w:rsidR="003E78AB" w:rsidRDefault="00010BF9">
            <w:pPr>
              <w:pStyle w:val="affd"/>
              <w:topLinePunct/>
              <w:adjustRightInd/>
              <w:snapToGrid/>
              <w:ind w:left="-36" w:right="-36"/>
              <w:rPr>
                <w:b/>
                <w:bCs/>
                <w:color w:val="auto"/>
                <w:szCs w:val="21"/>
              </w:rPr>
            </w:pPr>
            <w:r>
              <w:rPr>
                <w:b/>
                <w:bCs/>
                <w:color w:val="auto"/>
                <w:szCs w:val="21"/>
              </w:rPr>
              <w:t>不同时段</w:t>
            </w:r>
          </w:p>
        </w:tc>
        <w:tc>
          <w:tcPr>
            <w:tcW w:w="6749" w:type="dxa"/>
            <w:gridSpan w:val="4"/>
          </w:tcPr>
          <w:p w14:paraId="67D778E6" w14:textId="77777777" w:rsidR="003E78AB" w:rsidRDefault="00010BF9">
            <w:pPr>
              <w:pStyle w:val="affd"/>
              <w:topLinePunct/>
              <w:adjustRightInd/>
              <w:snapToGrid/>
              <w:ind w:left="-36" w:right="-36"/>
              <w:rPr>
                <w:b/>
                <w:bCs/>
                <w:color w:val="auto"/>
                <w:szCs w:val="21"/>
              </w:rPr>
            </w:pPr>
            <w:r>
              <w:rPr>
                <w:b/>
                <w:bCs/>
                <w:color w:val="auto"/>
                <w:szCs w:val="21"/>
              </w:rPr>
              <w:t>污染影响类型</w:t>
            </w:r>
          </w:p>
        </w:tc>
      </w:tr>
      <w:tr w:rsidR="003E78AB" w14:paraId="2CC69A68" w14:textId="77777777">
        <w:trPr>
          <w:trHeight w:val="340"/>
        </w:trPr>
        <w:tc>
          <w:tcPr>
            <w:tcW w:w="1687" w:type="dxa"/>
            <w:vMerge/>
          </w:tcPr>
          <w:p w14:paraId="291CAB11" w14:textId="77777777" w:rsidR="003E78AB" w:rsidRDefault="003E78AB">
            <w:pPr>
              <w:pStyle w:val="affd"/>
              <w:topLinePunct/>
              <w:adjustRightInd/>
              <w:snapToGrid/>
              <w:ind w:left="-36" w:right="-36"/>
              <w:rPr>
                <w:b/>
                <w:bCs/>
                <w:color w:val="auto"/>
                <w:szCs w:val="21"/>
              </w:rPr>
            </w:pPr>
          </w:p>
        </w:tc>
        <w:tc>
          <w:tcPr>
            <w:tcW w:w="1687" w:type="dxa"/>
          </w:tcPr>
          <w:p w14:paraId="4BDB7308" w14:textId="77777777" w:rsidR="003E78AB" w:rsidRDefault="00010BF9">
            <w:pPr>
              <w:pStyle w:val="affd"/>
              <w:topLinePunct/>
              <w:adjustRightInd/>
              <w:snapToGrid/>
              <w:ind w:left="-36" w:right="-36"/>
              <w:rPr>
                <w:b/>
                <w:bCs/>
                <w:color w:val="auto"/>
                <w:szCs w:val="21"/>
              </w:rPr>
            </w:pPr>
            <w:r>
              <w:rPr>
                <w:b/>
                <w:bCs/>
                <w:color w:val="auto"/>
                <w:szCs w:val="21"/>
              </w:rPr>
              <w:t>大气沉降</w:t>
            </w:r>
          </w:p>
        </w:tc>
        <w:tc>
          <w:tcPr>
            <w:tcW w:w="1687" w:type="dxa"/>
          </w:tcPr>
          <w:p w14:paraId="3CD8DB2A" w14:textId="77777777" w:rsidR="003E78AB" w:rsidRDefault="00010BF9">
            <w:pPr>
              <w:pStyle w:val="affd"/>
              <w:topLinePunct/>
              <w:adjustRightInd/>
              <w:snapToGrid/>
              <w:ind w:left="-36" w:right="-36"/>
              <w:rPr>
                <w:b/>
                <w:bCs/>
                <w:color w:val="auto"/>
                <w:szCs w:val="21"/>
              </w:rPr>
            </w:pPr>
            <w:r>
              <w:rPr>
                <w:b/>
                <w:bCs/>
                <w:color w:val="auto"/>
                <w:szCs w:val="21"/>
              </w:rPr>
              <w:t>地面漫流</w:t>
            </w:r>
          </w:p>
        </w:tc>
        <w:tc>
          <w:tcPr>
            <w:tcW w:w="1687" w:type="dxa"/>
          </w:tcPr>
          <w:p w14:paraId="665CAB41" w14:textId="77777777" w:rsidR="003E78AB" w:rsidRDefault="00010BF9">
            <w:pPr>
              <w:pStyle w:val="affd"/>
              <w:topLinePunct/>
              <w:adjustRightInd/>
              <w:snapToGrid/>
              <w:ind w:left="-36" w:right="-36"/>
              <w:rPr>
                <w:b/>
                <w:bCs/>
                <w:color w:val="auto"/>
                <w:szCs w:val="21"/>
              </w:rPr>
            </w:pPr>
            <w:r>
              <w:rPr>
                <w:b/>
                <w:bCs/>
                <w:color w:val="auto"/>
                <w:szCs w:val="21"/>
              </w:rPr>
              <w:t>垂直入渗</w:t>
            </w:r>
          </w:p>
        </w:tc>
        <w:tc>
          <w:tcPr>
            <w:tcW w:w="1688" w:type="dxa"/>
          </w:tcPr>
          <w:p w14:paraId="0C22C405" w14:textId="77777777" w:rsidR="003E78AB" w:rsidRDefault="00010BF9">
            <w:pPr>
              <w:pStyle w:val="affd"/>
              <w:topLinePunct/>
              <w:adjustRightInd/>
              <w:snapToGrid/>
              <w:ind w:left="-36" w:right="-36"/>
              <w:rPr>
                <w:b/>
                <w:bCs/>
                <w:color w:val="auto"/>
                <w:szCs w:val="21"/>
              </w:rPr>
            </w:pPr>
            <w:r>
              <w:rPr>
                <w:b/>
                <w:bCs/>
                <w:color w:val="auto"/>
                <w:szCs w:val="21"/>
              </w:rPr>
              <w:t>其他</w:t>
            </w:r>
          </w:p>
        </w:tc>
      </w:tr>
      <w:tr w:rsidR="003E78AB" w14:paraId="6F2C3400" w14:textId="77777777">
        <w:trPr>
          <w:trHeight w:val="340"/>
        </w:trPr>
        <w:tc>
          <w:tcPr>
            <w:tcW w:w="1687" w:type="dxa"/>
          </w:tcPr>
          <w:p w14:paraId="5A1E5029" w14:textId="77777777" w:rsidR="003E78AB" w:rsidRDefault="00010BF9">
            <w:pPr>
              <w:pStyle w:val="aff6"/>
              <w:topLinePunct/>
            </w:pPr>
            <w:r>
              <w:t>建设期</w:t>
            </w:r>
          </w:p>
        </w:tc>
        <w:tc>
          <w:tcPr>
            <w:tcW w:w="1687" w:type="dxa"/>
          </w:tcPr>
          <w:p w14:paraId="57F62091" w14:textId="77777777" w:rsidR="003E78AB" w:rsidRDefault="00010BF9">
            <w:pPr>
              <w:pStyle w:val="aff6"/>
              <w:topLinePunct/>
            </w:pPr>
            <w:r>
              <w:t>/</w:t>
            </w:r>
          </w:p>
        </w:tc>
        <w:tc>
          <w:tcPr>
            <w:tcW w:w="1687" w:type="dxa"/>
          </w:tcPr>
          <w:p w14:paraId="184C3531" w14:textId="77777777" w:rsidR="003E78AB" w:rsidRDefault="00010BF9">
            <w:pPr>
              <w:pStyle w:val="aff6"/>
              <w:topLinePunct/>
            </w:pPr>
            <w:r>
              <w:t>/</w:t>
            </w:r>
          </w:p>
        </w:tc>
        <w:tc>
          <w:tcPr>
            <w:tcW w:w="1687" w:type="dxa"/>
          </w:tcPr>
          <w:p w14:paraId="3EA15C76" w14:textId="77777777" w:rsidR="003E78AB" w:rsidRDefault="00010BF9">
            <w:pPr>
              <w:pStyle w:val="aff6"/>
              <w:topLinePunct/>
            </w:pPr>
            <w:r>
              <w:t>/</w:t>
            </w:r>
          </w:p>
        </w:tc>
        <w:tc>
          <w:tcPr>
            <w:tcW w:w="1688" w:type="dxa"/>
          </w:tcPr>
          <w:p w14:paraId="4F64F588" w14:textId="77777777" w:rsidR="003E78AB" w:rsidRDefault="00010BF9">
            <w:pPr>
              <w:pStyle w:val="aff6"/>
              <w:topLinePunct/>
            </w:pPr>
            <w:r>
              <w:t>/</w:t>
            </w:r>
          </w:p>
        </w:tc>
      </w:tr>
      <w:tr w:rsidR="003E78AB" w14:paraId="15E88969" w14:textId="77777777">
        <w:trPr>
          <w:trHeight w:val="340"/>
        </w:trPr>
        <w:tc>
          <w:tcPr>
            <w:tcW w:w="1687" w:type="dxa"/>
          </w:tcPr>
          <w:p w14:paraId="0DD3DCCA" w14:textId="77777777" w:rsidR="003E78AB" w:rsidRDefault="00010BF9">
            <w:pPr>
              <w:pStyle w:val="aff6"/>
              <w:topLinePunct/>
            </w:pPr>
            <w:r>
              <w:t>运营期</w:t>
            </w:r>
          </w:p>
        </w:tc>
        <w:tc>
          <w:tcPr>
            <w:tcW w:w="1687" w:type="dxa"/>
          </w:tcPr>
          <w:p w14:paraId="13C9DD5E" w14:textId="77777777" w:rsidR="003E78AB" w:rsidRDefault="00010BF9">
            <w:pPr>
              <w:pStyle w:val="aff6"/>
              <w:topLinePunct/>
            </w:pPr>
            <w:r>
              <w:t>√</w:t>
            </w:r>
          </w:p>
        </w:tc>
        <w:tc>
          <w:tcPr>
            <w:tcW w:w="1687" w:type="dxa"/>
          </w:tcPr>
          <w:p w14:paraId="423E2A87" w14:textId="77777777" w:rsidR="003E78AB" w:rsidRDefault="00010BF9">
            <w:pPr>
              <w:pStyle w:val="aff6"/>
              <w:topLinePunct/>
            </w:pPr>
            <w:r>
              <w:t>√</w:t>
            </w:r>
          </w:p>
        </w:tc>
        <w:tc>
          <w:tcPr>
            <w:tcW w:w="1687" w:type="dxa"/>
          </w:tcPr>
          <w:p w14:paraId="65F24C8A" w14:textId="77777777" w:rsidR="003E78AB" w:rsidRDefault="00010BF9">
            <w:pPr>
              <w:pStyle w:val="aff6"/>
              <w:topLinePunct/>
            </w:pPr>
            <w:r>
              <w:t>√</w:t>
            </w:r>
          </w:p>
        </w:tc>
        <w:tc>
          <w:tcPr>
            <w:tcW w:w="1688" w:type="dxa"/>
          </w:tcPr>
          <w:p w14:paraId="1B6F3F9F" w14:textId="77777777" w:rsidR="003E78AB" w:rsidRDefault="00010BF9">
            <w:pPr>
              <w:pStyle w:val="aff6"/>
              <w:topLinePunct/>
            </w:pPr>
            <w:r>
              <w:t>/</w:t>
            </w:r>
          </w:p>
        </w:tc>
      </w:tr>
      <w:tr w:rsidR="003E78AB" w14:paraId="75403874" w14:textId="77777777">
        <w:trPr>
          <w:trHeight w:val="340"/>
        </w:trPr>
        <w:tc>
          <w:tcPr>
            <w:tcW w:w="1687" w:type="dxa"/>
          </w:tcPr>
          <w:p w14:paraId="14EC4209" w14:textId="77777777" w:rsidR="003E78AB" w:rsidRDefault="00010BF9">
            <w:pPr>
              <w:pStyle w:val="aff6"/>
              <w:topLinePunct/>
            </w:pPr>
            <w:r>
              <w:t>服务期满后</w:t>
            </w:r>
          </w:p>
        </w:tc>
        <w:tc>
          <w:tcPr>
            <w:tcW w:w="1687" w:type="dxa"/>
          </w:tcPr>
          <w:p w14:paraId="46AE1249" w14:textId="77777777" w:rsidR="003E78AB" w:rsidRDefault="00010BF9">
            <w:pPr>
              <w:pStyle w:val="aff6"/>
              <w:topLinePunct/>
            </w:pPr>
            <w:r>
              <w:t>/</w:t>
            </w:r>
          </w:p>
        </w:tc>
        <w:tc>
          <w:tcPr>
            <w:tcW w:w="1687" w:type="dxa"/>
          </w:tcPr>
          <w:p w14:paraId="1F004B25" w14:textId="77777777" w:rsidR="003E78AB" w:rsidRDefault="00010BF9">
            <w:pPr>
              <w:pStyle w:val="aff6"/>
              <w:topLinePunct/>
            </w:pPr>
            <w:r>
              <w:t>/</w:t>
            </w:r>
          </w:p>
        </w:tc>
        <w:tc>
          <w:tcPr>
            <w:tcW w:w="1687" w:type="dxa"/>
          </w:tcPr>
          <w:p w14:paraId="694F8F00" w14:textId="77777777" w:rsidR="003E78AB" w:rsidRDefault="00010BF9">
            <w:pPr>
              <w:pStyle w:val="aff6"/>
              <w:topLinePunct/>
            </w:pPr>
            <w:r>
              <w:t>/</w:t>
            </w:r>
          </w:p>
        </w:tc>
        <w:tc>
          <w:tcPr>
            <w:tcW w:w="1688" w:type="dxa"/>
          </w:tcPr>
          <w:p w14:paraId="2C2DD48F" w14:textId="77777777" w:rsidR="003E78AB" w:rsidRDefault="00010BF9">
            <w:pPr>
              <w:pStyle w:val="aff6"/>
              <w:topLinePunct/>
            </w:pPr>
            <w:r>
              <w:t>/</w:t>
            </w:r>
          </w:p>
        </w:tc>
      </w:tr>
    </w:tbl>
    <w:p w14:paraId="3BC2B76C" w14:textId="77777777" w:rsidR="003E78AB" w:rsidRDefault="00010BF9">
      <w:pPr>
        <w:ind w:firstLine="480"/>
        <w:rPr>
          <w:kern w:val="2"/>
        </w:rPr>
      </w:pPr>
      <w:r>
        <w:rPr>
          <w:kern w:val="2"/>
        </w:rPr>
        <w:t>根据上表判断，本项目属于土壤污染影响型项目，本项目可能造成土壤环境影响的污染源及影响因子见</w:t>
      </w:r>
      <w:r>
        <w:rPr>
          <w:kern w:val="2"/>
        </w:rPr>
        <w:fldChar w:fldCharType="begin"/>
      </w:r>
      <w:r>
        <w:rPr>
          <w:kern w:val="2"/>
        </w:rPr>
        <w:instrText xml:space="preserve"> REF _Ref1510 \r \h </w:instrText>
      </w:r>
      <w:r>
        <w:rPr>
          <w:kern w:val="2"/>
        </w:rPr>
      </w:r>
      <w:r>
        <w:rPr>
          <w:kern w:val="2"/>
        </w:rPr>
        <w:fldChar w:fldCharType="separate"/>
      </w:r>
      <w:r>
        <w:rPr>
          <w:kern w:val="2"/>
        </w:rPr>
        <w:t>表</w:t>
      </w:r>
      <w:r>
        <w:rPr>
          <w:kern w:val="2"/>
        </w:rPr>
        <w:t>5-73</w:t>
      </w:r>
      <w:r>
        <w:rPr>
          <w:kern w:val="2"/>
        </w:rPr>
        <w:fldChar w:fldCharType="end"/>
      </w:r>
      <w:r>
        <w:rPr>
          <w:rFonts w:hint="eastAsia"/>
          <w:kern w:val="2"/>
        </w:rPr>
        <w:t>和</w:t>
      </w:r>
      <w:r>
        <w:rPr>
          <w:rFonts w:hint="eastAsia"/>
          <w:kern w:val="2"/>
        </w:rPr>
        <w:fldChar w:fldCharType="begin"/>
      </w:r>
      <w:r>
        <w:rPr>
          <w:rFonts w:hint="eastAsia"/>
          <w:kern w:val="2"/>
        </w:rPr>
        <w:instrText xml:space="preserve"> REF _Ref20516 \r \h </w:instrText>
      </w:r>
      <w:r>
        <w:rPr>
          <w:rFonts w:hint="eastAsia"/>
          <w:kern w:val="2"/>
        </w:rPr>
      </w:r>
      <w:r>
        <w:rPr>
          <w:rFonts w:hint="eastAsia"/>
          <w:kern w:val="2"/>
        </w:rPr>
        <w:fldChar w:fldCharType="separate"/>
      </w:r>
      <w:r>
        <w:rPr>
          <w:rFonts w:hint="eastAsia"/>
          <w:kern w:val="2"/>
        </w:rPr>
        <w:t>表</w:t>
      </w:r>
      <w:r>
        <w:rPr>
          <w:rFonts w:hint="eastAsia"/>
          <w:kern w:val="2"/>
        </w:rPr>
        <w:t>5-74</w:t>
      </w:r>
      <w:r>
        <w:rPr>
          <w:rFonts w:hint="eastAsia"/>
          <w:kern w:val="2"/>
        </w:rPr>
        <w:fldChar w:fldCharType="end"/>
      </w:r>
      <w:r>
        <w:rPr>
          <w:kern w:val="2"/>
        </w:rPr>
        <w:t>。</w:t>
      </w:r>
    </w:p>
    <w:p w14:paraId="380378AF" w14:textId="77777777" w:rsidR="003E78AB" w:rsidRDefault="00010BF9">
      <w:pPr>
        <w:pStyle w:val="a4"/>
        <w:spacing w:before="120"/>
        <w:ind w:left="425" w:hanging="425"/>
      </w:pPr>
      <w:bookmarkStart w:id="399" w:name="_Ref1510"/>
      <w:r>
        <w:t>土壤影响类型及影响途径表</w:t>
      </w:r>
      <w:bookmarkEnd w:id="399"/>
    </w:p>
    <w:tbl>
      <w:tblPr>
        <w:tblStyle w:val="TableNormal"/>
        <w:tblW w:w="4999" w:type="pct"/>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firstRow="1" w:lastRow="0" w:firstColumn="1" w:lastColumn="0" w:noHBand="0" w:noVBand="1"/>
      </w:tblPr>
      <w:tblGrid>
        <w:gridCol w:w="1498"/>
        <w:gridCol w:w="2663"/>
        <w:gridCol w:w="2071"/>
        <w:gridCol w:w="2077"/>
      </w:tblGrid>
      <w:tr w:rsidR="003E78AB" w14:paraId="77C70939" w14:textId="77777777">
        <w:trPr>
          <w:trHeight w:val="292"/>
        </w:trPr>
        <w:tc>
          <w:tcPr>
            <w:tcW w:w="901" w:type="pct"/>
            <w:vMerge w:val="restart"/>
            <w:tcBorders>
              <w:bottom w:val="nil"/>
            </w:tcBorders>
            <w:vAlign w:val="center"/>
          </w:tcPr>
          <w:p w14:paraId="7839B23B" w14:textId="77777777" w:rsidR="003E78AB" w:rsidRDefault="00010BF9">
            <w:pPr>
              <w:pStyle w:val="aff6"/>
              <w:topLinePunct/>
              <w:rPr>
                <w:b/>
                <w:bCs/>
              </w:rPr>
            </w:pPr>
            <w:r>
              <w:rPr>
                <w:b/>
                <w:bCs/>
              </w:rPr>
              <w:t>时段</w:t>
            </w:r>
          </w:p>
        </w:tc>
        <w:tc>
          <w:tcPr>
            <w:tcW w:w="4098" w:type="pct"/>
            <w:gridSpan w:val="3"/>
            <w:vAlign w:val="center"/>
          </w:tcPr>
          <w:p w14:paraId="58776769" w14:textId="77777777" w:rsidR="003E78AB" w:rsidRDefault="00010BF9">
            <w:pPr>
              <w:pStyle w:val="aff6"/>
              <w:topLinePunct/>
              <w:rPr>
                <w:b/>
                <w:bCs/>
              </w:rPr>
            </w:pPr>
            <w:r>
              <w:rPr>
                <w:b/>
                <w:bCs/>
              </w:rPr>
              <w:t>污染影响型</w:t>
            </w:r>
          </w:p>
        </w:tc>
      </w:tr>
      <w:tr w:rsidR="003E78AB" w14:paraId="2889AE03" w14:textId="77777777">
        <w:trPr>
          <w:trHeight w:val="272"/>
        </w:trPr>
        <w:tc>
          <w:tcPr>
            <w:tcW w:w="901" w:type="pct"/>
            <w:vMerge/>
            <w:tcBorders>
              <w:top w:val="nil"/>
            </w:tcBorders>
            <w:vAlign w:val="center"/>
          </w:tcPr>
          <w:p w14:paraId="29B9C6FF" w14:textId="77777777" w:rsidR="003E78AB" w:rsidRDefault="003E78AB">
            <w:pPr>
              <w:pStyle w:val="aff6"/>
              <w:topLinePunct/>
              <w:rPr>
                <w:b/>
                <w:bCs/>
              </w:rPr>
            </w:pPr>
          </w:p>
        </w:tc>
        <w:tc>
          <w:tcPr>
            <w:tcW w:w="1602" w:type="pct"/>
            <w:vAlign w:val="center"/>
          </w:tcPr>
          <w:p w14:paraId="5713DEB4" w14:textId="77777777" w:rsidR="003E78AB" w:rsidRDefault="00010BF9">
            <w:pPr>
              <w:pStyle w:val="aff6"/>
              <w:topLinePunct/>
              <w:rPr>
                <w:b/>
                <w:bCs/>
              </w:rPr>
            </w:pPr>
            <w:r>
              <w:rPr>
                <w:b/>
                <w:bCs/>
              </w:rPr>
              <w:t>大气沉降</w:t>
            </w:r>
          </w:p>
        </w:tc>
        <w:tc>
          <w:tcPr>
            <w:tcW w:w="1246" w:type="pct"/>
            <w:vAlign w:val="center"/>
          </w:tcPr>
          <w:p w14:paraId="305396D4" w14:textId="77777777" w:rsidR="003E78AB" w:rsidRDefault="00010BF9">
            <w:pPr>
              <w:pStyle w:val="aff6"/>
              <w:topLinePunct/>
              <w:rPr>
                <w:b/>
                <w:bCs/>
              </w:rPr>
            </w:pPr>
            <w:r>
              <w:rPr>
                <w:b/>
                <w:bCs/>
              </w:rPr>
              <w:t>地面漫流</w:t>
            </w:r>
          </w:p>
        </w:tc>
        <w:tc>
          <w:tcPr>
            <w:tcW w:w="1249" w:type="pct"/>
            <w:vAlign w:val="center"/>
          </w:tcPr>
          <w:p w14:paraId="11CE0B06" w14:textId="77777777" w:rsidR="003E78AB" w:rsidRDefault="00010BF9">
            <w:pPr>
              <w:pStyle w:val="aff6"/>
              <w:topLinePunct/>
              <w:rPr>
                <w:b/>
                <w:bCs/>
              </w:rPr>
            </w:pPr>
            <w:r>
              <w:rPr>
                <w:b/>
                <w:bCs/>
              </w:rPr>
              <w:t>垂直入渗</w:t>
            </w:r>
          </w:p>
        </w:tc>
      </w:tr>
      <w:tr w:rsidR="003E78AB" w14:paraId="74E224DE" w14:textId="77777777">
        <w:trPr>
          <w:trHeight w:val="277"/>
        </w:trPr>
        <w:tc>
          <w:tcPr>
            <w:tcW w:w="901" w:type="pct"/>
            <w:vAlign w:val="center"/>
          </w:tcPr>
          <w:p w14:paraId="44E571D8" w14:textId="77777777" w:rsidR="003E78AB" w:rsidRDefault="00010BF9">
            <w:pPr>
              <w:pStyle w:val="aff6"/>
              <w:topLinePunct/>
            </w:pPr>
            <w:r>
              <w:t>建设期</w:t>
            </w:r>
          </w:p>
        </w:tc>
        <w:tc>
          <w:tcPr>
            <w:tcW w:w="1602" w:type="pct"/>
            <w:vAlign w:val="center"/>
          </w:tcPr>
          <w:p w14:paraId="314D539F" w14:textId="77777777" w:rsidR="003E78AB" w:rsidRDefault="00010BF9">
            <w:pPr>
              <w:pStyle w:val="aff6"/>
              <w:topLinePunct/>
            </w:pPr>
            <w:r>
              <w:t>√</w:t>
            </w:r>
          </w:p>
        </w:tc>
        <w:tc>
          <w:tcPr>
            <w:tcW w:w="1246" w:type="pct"/>
            <w:vAlign w:val="center"/>
          </w:tcPr>
          <w:p w14:paraId="7E8DC0AB" w14:textId="77777777" w:rsidR="003E78AB" w:rsidRDefault="00010BF9">
            <w:pPr>
              <w:pStyle w:val="aff6"/>
              <w:topLinePunct/>
            </w:pPr>
            <w:r>
              <w:t>√</w:t>
            </w:r>
          </w:p>
        </w:tc>
        <w:tc>
          <w:tcPr>
            <w:tcW w:w="1249" w:type="pct"/>
            <w:vAlign w:val="center"/>
          </w:tcPr>
          <w:p w14:paraId="1F254C05" w14:textId="77777777" w:rsidR="003E78AB" w:rsidRDefault="00010BF9">
            <w:pPr>
              <w:pStyle w:val="aff6"/>
              <w:topLinePunct/>
            </w:pPr>
            <w:r>
              <w:t>√</w:t>
            </w:r>
          </w:p>
        </w:tc>
      </w:tr>
      <w:tr w:rsidR="003E78AB" w14:paraId="7F82D6A3" w14:textId="77777777">
        <w:trPr>
          <w:trHeight w:val="277"/>
        </w:trPr>
        <w:tc>
          <w:tcPr>
            <w:tcW w:w="901" w:type="pct"/>
            <w:vAlign w:val="center"/>
          </w:tcPr>
          <w:p w14:paraId="22AD5CAD" w14:textId="77777777" w:rsidR="003E78AB" w:rsidRDefault="00010BF9">
            <w:pPr>
              <w:pStyle w:val="aff6"/>
              <w:topLinePunct/>
            </w:pPr>
            <w:r>
              <w:t>运营期</w:t>
            </w:r>
          </w:p>
        </w:tc>
        <w:tc>
          <w:tcPr>
            <w:tcW w:w="1602" w:type="pct"/>
            <w:vAlign w:val="center"/>
          </w:tcPr>
          <w:p w14:paraId="6FC90E6B" w14:textId="77777777" w:rsidR="003E78AB" w:rsidRDefault="00010BF9">
            <w:pPr>
              <w:pStyle w:val="aff6"/>
              <w:topLinePunct/>
            </w:pPr>
            <w:r>
              <w:t>√</w:t>
            </w:r>
          </w:p>
        </w:tc>
        <w:tc>
          <w:tcPr>
            <w:tcW w:w="1246" w:type="pct"/>
            <w:vAlign w:val="center"/>
          </w:tcPr>
          <w:p w14:paraId="0F3B1A35" w14:textId="77777777" w:rsidR="003E78AB" w:rsidRDefault="00010BF9">
            <w:pPr>
              <w:pStyle w:val="aff6"/>
              <w:topLinePunct/>
            </w:pPr>
            <w:r>
              <w:t>√</w:t>
            </w:r>
          </w:p>
        </w:tc>
        <w:tc>
          <w:tcPr>
            <w:tcW w:w="1249" w:type="pct"/>
            <w:vAlign w:val="center"/>
          </w:tcPr>
          <w:p w14:paraId="69691621" w14:textId="77777777" w:rsidR="003E78AB" w:rsidRDefault="00010BF9">
            <w:pPr>
              <w:pStyle w:val="aff6"/>
              <w:topLinePunct/>
            </w:pPr>
            <w:r>
              <w:t>√</w:t>
            </w:r>
          </w:p>
        </w:tc>
      </w:tr>
      <w:tr w:rsidR="003E78AB" w14:paraId="575B7F8C" w14:textId="77777777">
        <w:trPr>
          <w:trHeight w:val="292"/>
        </w:trPr>
        <w:tc>
          <w:tcPr>
            <w:tcW w:w="901" w:type="pct"/>
            <w:vAlign w:val="center"/>
          </w:tcPr>
          <w:p w14:paraId="59712592" w14:textId="77777777" w:rsidR="003E78AB" w:rsidRDefault="00010BF9">
            <w:pPr>
              <w:pStyle w:val="aff6"/>
              <w:topLinePunct/>
            </w:pPr>
            <w:r>
              <w:t>服务期满后</w:t>
            </w:r>
          </w:p>
        </w:tc>
        <w:tc>
          <w:tcPr>
            <w:tcW w:w="1602" w:type="pct"/>
            <w:vAlign w:val="center"/>
          </w:tcPr>
          <w:p w14:paraId="64BB43B4" w14:textId="77777777" w:rsidR="003E78AB" w:rsidRDefault="00010BF9">
            <w:pPr>
              <w:pStyle w:val="aff6"/>
              <w:topLinePunct/>
            </w:pPr>
            <w:r>
              <w:t>/</w:t>
            </w:r>
          </w:p>
        </w:tc>
        <w:tc>
          <w:tcPr>
            <w:tcW w:w="1246" w:type="pct"/>
            <w:vAlign w:val="center"/>
          </w:tcPr>
          <w:p w14:paraId="7F213F48" w14:textId="77777777" w:rsidR="003E78AB" w:rsidRDefault="00010BF9">
            <w:pPr>
              <w:pStyle w:val="aff6"/>
              <w:topLinePunct/>
            </w:pPr>
            <w:r>
              <w:t>/</w:t>
            </w:r>
          </w:p>
        </w:tc>
        <w:tc>
          <w:tcPr>
            <w:tcW w:w="1249" w:type="pct"/>
            <w:vAlign w:val="center"/>
          </w:tcPr>
          <w:p w14:paraId="3985A6C4" w14:textId="77777777" w:rsidR="003E78AB" w:rsidRDefault="00010BF9">
            <w:pPr>
              <w:pStyle w:val="aff6"/>
              <w:topLinePunct/>
            </w:pPr>
            <w:r>
              <w:t>/</w:t>
            </w:r>
          </w:p>
        </w:tc>
      </w:tr>
    </w:tbl>
    <w:p w14:paraId="6C390F99" w14:textId="77777777" w:rsidR="003E78AB" w:rsidRDefault="00010BF9">
      <w:pPr>
        <w:pStyle w:val="a4"/>
        <w:spacing w:before="120"/>
        <w:ind w:left="425" w:hanging="425"/>
      </w:pPr>
      <w:bookmarkStart w:id="400" w:name="_Ref20516"/>
      <w:r>
        <w:t>本项目土壤环境影响源及影响因子识别表</w:t>
      </w:r>
      <w:bookmarkEnd w:id="400"/>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firstRow="1" w:lastRow="0" w:firstColumn="1" w:lastColumn="0" w:noHBand="0" w:noVBand="1"/>
      </w:tblPr>
      <w:tblGrid>
        <w:gridCol w:w="1192"/>
        <w:gridCol w:w="1445"/>
        <w:gridCol w:w="4868"/>
        <w:gridCol w:w="803"/>
      </w:tblGrid>
      <w:tr w:rsidR="003E78AB" w14:paraId="6D646913" w14:textId="77777777">
        <w:trPr>
          <w:trHeight w:val="291"/>
        </w:trPr>
        <w:tc>
          <w:tcPr>
            <w:tcW w:w="717" w:type="pct"/>
            <w:vAlign w:val="center"/>
          </w:tcPr>
          <w:p w14:paraId="64185671" w14:textId="77777777" w:rsidR="003E78AB" w:rsidRDefault="00010BF9">
            <w:pPr>
              <w:pStyle w:val="aff6"/>
              <w:topLinePunct/>
              <w:rPr>
                <w:b/>
                <w:bCs/>
              </w:rPr>
            </w:pPr>
            <w:r>
              <w:rPr>
                <w:b/>
                <w:bCs/>
              </w:rPr>
              <w:t>污染源</w:t>
            </w:r>
          </w:p>
        </w:tc>
        <w:tc>
          <w:tcPr>
            <w:tcW w:w="869" w:type="pct"/>
            <w:vAlign w:val="center"/>
          </w:tcPr>
          <w:p w14:paraId="14B9229E" w14:textId="77777777" w:rsidR="003E78AB" w:rsidRDefault="00010BF9">
            <w:pPr>
              <w:pStyle w:val="aff6"/>
              <w:topLinePunct/>
              <w:rPr>
                <w:b/>
                <w:bCs/>
              </w:rPr>
            </w:pPr>
            <w:r>
              <w:rPr>
                <w:b/>
                <w:bCs/>
              </w:rPr>
              <w:t>污染途径</w:t>
            </w:r>
          </w:p>
        </w:tc>
        <w:tc>
          <w:tcPr>
            <w:tcW w:w="2929" w:type="pct"/>
            <w:vAlign w:val="center"/>
          </w:tcPr>
          <w:p w14:paraId="1D71BAA7" w14:textId="77777777" w:rsidR="003E78AB" w:rsidRDefault="00010BF9">
            <w:pPr>
              <w:pStyle w:val="aff6"/>
              <w:topLinePunct/>
              <w:rPr>
                <w:b/>
                <w:bCs/>
              </w:rPr>
            </w:pPr>
            <w:r>
              <w:rPr>
                <w:b/>
                <w:bCs/>
              </w:rPr>
              <w:t>污染因子</w:t>
            </w:r>
          </w:p>
        </w:tc>
        <w:tc>
          <w:tcPr>
            <w:tcW w:w="483" w:type="pct"/>
            <w:vAlign w:val="center"/>
          </w:tcPr>
          <w:p w14:paraId="2F125570" w14:textId="77777777" w:rsidR="003E78AB" w:rsidRDefault="00010BF9">
            <w:pPr>
              <w:pStyle w:val="aff6"/>
              <w:topLinePunct/>
              <w:rPr>
                <w:b/>
                <w:bCs/>
              </w:rPr>
            </w:pPr>
            <w:r>
              <w:rPr>
                <w:b/>
                <w:bCs/>
              </w:rPr>
              <w:t>备注</w:t>
            </w:r>
          </w:p>
        </w:tc>
      </w:tr>
      <w:tr w:rsidR="003E78AB" w14:paraId="4F0CEB37" w14:textId="77777777">
        <w:trPr>
          <w:trHeight w:val="277"/>
        </w:trPr>
        <w:tc>
          <w:tcPr>
            <w:tcW w:w="717" w:type="pct"/>
            <w:vMerge w:val="restart"/>
            <w:tcBorders>
              <w:bottom w:val="nil"/>
            </w:tcBorders>
            <w:vAlign w:val="center"/>
          </w:tcPr>
          <w:p w14:paraId="401FF15E" w14:textId="77777777" w:rsidR="003E78AB" w:rsidRDefault="00010BF9">
            <w:pPr>
              <w:pStyle w:val="aff6"/>
              <w:topLinePunct/>
            </w:pPr>
            <w:r>
              <w:rPr>
                <w:rFonts w:hint="eastAsia"/>
              </w:rPr>
              <w:t>废气淋洗循环水箱</w:t>
            </w:r>
          </w:p>
        </w:tc>
        <w:tc>
          <w:tcPr>
            <w:tcW w:w="869" w:type="pct"/>
            <w:vAlign w:val="center"/>
          </w:tcPr>
          <w:p w14:paraId="247B798B" w14:textId="77777777" w:rsidR="003E78AB" w:rsidRDefault="00010BF9">
            <w:pPr>
              <w:pStyle w:val="aff6"/>
              <w:topLinePunct/>
            </w:pPr>
            <w:r>
              <w:t>垂直入渗</w:t>
            </w:r>
          </w:p>
        </w:tc>
        <w:tc>
          <w:tcPr>
            <w:tcW w:w="2929" w:type="pct"/>
            <w:vMerge w:val="restart"/>
            <w:tcBorders>
              <w:bottom w:val="nil"/>
            </w:tcBorders>
            <w:vAlign w:val="center"/>
          </w:tcPr>
          <w:p w14:paraId="2FF28D88" w14:textId="77777777" w:rsidR="003E78AB" w:rsidRDefault="00010BF9">
            <w:pPr>
              <w:pStyle w:val="aff6"/>
              <w:topLinePunct/>
            </w:pPr>
            <w:r>
              <w:t>COD</w:t>
            </w:r>
            <w:r>
              <w:t>、</w:t>
            </w:r>
            <w:r>
              <w:rPr>
                <w:rFonts w:hint="eastAsia"/>
              </w:rPr>
              <w:t>磷酸盐</w:t>
            </w:r>
            <w:r>
              <w:t>、硫酸盐、钒</w:t>
            </w:r>
          </w:p>
        </w:tc>
        <w:tc>
          <w:tcPr>
            <w:tcW w:w="483" w:type="pct"/>
            <w:vMerge w:val="restart"/>
            <w:tcBorders>
              <w:bottom w:val="nil"/>
            </w:tcBorders>
            <w:vAlign w:val="center"/>
          </w:tcPr>
          <w:p w14:paraId="072C718D" w14:textId="77777777" w:rsidR="003E78AB" w:rsidRDefault="00010BF9">
            <w:pPr>
              <w:pStyle w:val="aff6"/>
              <w:topLinePunct/>
            </w:pPr>
            <w:r>
              <w:t>事故</w:t>
            </w:r>
          </w:p>
        </w:tc>
      </w:tr>
      <w:tr w:rsidR="003E78AB" w14:paraId="476DA3EA" w14:textId="77777777">
        <w:trPr>
          <w:trHeight w:val="272"/>
        </w:trPr>
        <w:tc>
          <w:tcPr>
            <w:tcW w:w="717" w:type="pct"/>
            <w:vMerge/>
            <w:tcBorders>
              <w:top w:val="nil"/>
            </w:tcBorders>
            <w:vAlign w:val="center"/>
          </w:tcPr>
          <w:p w14:paraId="3DA87146" w14:textId="77777777" w:rsidR="003E78AB" w:rsidRDefault="003E78AB">
            <w:pPr>
              <w:pStyle w:val="aff6"/>
              <w:topLinePunct/>
            </w:pPr>
          </w:p>
        </w:tc>
        <w:tc>
          <w:tcPr>
            <w:tcW w:w="869" w:type="pct"/>
            <w:vAlign w:val="center"/>
          </w:tcPr>
          <w:p w14:paraId="020E7189" w14:textId="77777777" w:rsidR="003E78AB" w:rsidRDefault="00010BF9">
            <w:pPr>
              <w:pStyle w:val="aff6"/>
              <w:topLinePunct/>
            </w:pPr>
            <w:r>
              <w:t>地面漫流</w:t>
            </w:r>
          </w:p>
        </w:tc>
        <w:tc>
          <w:tcPr>
            <w:tcW w:w="2929" w:type="pct"/>
            <w:vMerge/>
            <w:tcBorders>
              <w:top w:val="nil"/>
            </w:tcBorders>
            <w:vAlign w:val="center"/>
          </w:tcPr>
          <w:p w14:paraId="7F2645D8" w14:textId="77777777" w:rsidR="003E78AB" w:rsidRDefault="003E78AB">
            <w:pPr>
              <w:pStyle w:val="aff6"/>
              <w:topLinePunct/>
            </w:pPr>
          </w:p>
        </w:tc>
        <w:tc>
          <w:tcPr>
            <w:tcW w:w="483" w:type="pct"/>
            <w:vMerge/>
            <w:tcBorders>
              <w:top w:val="nil"/>
            </w:tcBorders>
            <w:vAlign w:val="center"/>
          </w:tcPr>
          <w:p w14:paraId="7A526EB2" w14:textId="77777777" w:rsidR="003E78AB" w:rsidRDefault="003E78AB">
            <w:pPr>
              <w:pStyle w:val="aff6"/>
              <w:topLinePunct/>
            </w:pPr>
          </w:p>
        </w:tc>
      </w:tr>
      <w:tr w:rsidR="003E78AB" w14:paraId="0E934497" w14:textId="77777777">
        <w:trPr>
          <w:trHeight w:val="291"/>
        </w:trPr>
        <w:tc>
          <w:tcPr>
            <w:tcW w:w="717" w:type="pct"/>
            <w:vAlign w:val="center"/>
          </w:tcPr>
          <w:p w14:paraId="54362E95" w14:textId="77777777" w:rsidR="003E78AB" w:rsidRDefault="00010BF9">
            <w:pPr>
              <w:pStyle w:val="aff6"/>
              <w:topLinePunct/>
            </w:pPr>
            <w:r>
              <w:t>废气排放</w:t>
            </w:r>
          </w:p>
        </w:tc>
        <w:tc>
          <w:tcPr>
            <w:tcW w:w="869" w:type="pct"/>
            <w:vAlign w:val="center"/>
          </w:tcPr>
          <w:p w14:paraId="3DA5FD85" w14:textId="77777777" w:rsidR="003E78AB" w:rsidRDefault="00010BF9">
            <w:pPr>
              <w:pStyle w:val="aff6"/>
              <w:topLinePunct/>
            </w:pPr>
            <w:r>
              <w:t>大气沉降</w:t>
            </w:r>
          </w:p>
        </w:tc>
        <w:tc>
          <w:tcPr>
            <w:tcW w:w="2929" w:type="pct"/>
            <w:vAlign w:val="center"/>
          </w:tcPr>
          <w:p w14:paraId="23FBA6AB" w14:textId="77777777" w:rsidR="003E78AB" w:rsidRDefault="00010BF9">
            <w:pPr>
              <w:pStyle w:val="aff6"/>
              <w:topLinePunct/>
            </w:pPr>
            <w:r>
              <w:t>颗粒物</w:t>
            </w:r>
            <w:r>
              <w:t>(</w:t>
            </w:r>
            <w:r>
              <w:t>主要成分为五氧化二钒</w:t>
            </w:r>
            <w:r>
              <w:t>)</w:t>
            </w:r>
            <w:r>
              <w:t>、硫酸雾等</w:t>
            </w:r>
          </w:p>
        </w:tc>
        <w:tc>
          <w:tcPr>
            <w:tcW w:w="483" w:type="pct"/>
            <w:vAlign w:val="center"/>
          </w:tcPr>
          <w:p w14:paraId="0835AF50" w14:textId="77777777" w:rsidR="003E78AB" w:rsidRDefault="00010BF9">
            <w:pPr>
              <w:pStyle w:val="aff6"/>
              <w:topLinePunct/>
            </w:pPr>
            <w:r>
              <w:t>连续</w:t>
            </w:r>
          </w:p>
        </w:tc>
      </w:tr>
    </w:tbl>
    <w:p w14:paraId="42BB14F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5.2.6.3</w:t>
      </w:r>
      <w:r>
        <w:rPr>
          <w:rFonts w:ascii="Times New Roman" w:hAnsi="Times New Roman" w:hint="eastAsia"/>
        </w:rPr>
        <w:t>土壤环境调查评价范围确定</w:t>
      </w:r>
    </w:p>
    <w:p w14:paraId="1E2140B2" w14:textId="77777777" w:rsidR="003E78AB" w:rsidRDefault="00010BF9">
      <w:pPr>
        <w:ind w:firstLine="480"/>
      </w:pPr>
      <w:r>
        <w:rPr>
          <w:rFonts w:hint="eastAsia"/>
        </w:rPr>
        <w:t>本项目为评价等级为二级的污染影响型项目，结合</w:t>
      </w:r>
      <w:r>
        <w:rPr>
          <w:rFonts w:hint="eastAsia"/>
        </w:rPr>
        <w:t>HJ964-2018</w:t>
      </w:r>
      <w:r>
        <w:rPr>
          <w:rFonts w:hint="eastAsia"/>
        </w:rPr>
        <w:t>“表</w:t>
      </w:r>
      <w:r>
        <w:rPr>
          <w:rFonts w:hint="eastAsia"/>
        </w:rPr>
        <w:t>5</w:t>
      </w:r>
      <w:r>
        <w:rPr>
          <w:rFonts w:hint="eastAsia"/>
        </w:rPr>
        <w:t>现状调查范围”，项目对土壤环境的影响主要以“大气沉降”影响途径为主，因此本次评价将土壤环境调查评价范围为厂界外扩</w:t>
      </w:r>
      <w:r>
        <w:rPr>
          <w:rFonts w:hint="eastAsia"/>
        </w:rPr>
        <w:t>200m</w:t>
      </w:r>
      <w:r>
        <w:rPr>
          <w:rFonts w:hint="eastAsia"/>
        </w:rPr>
        <w:t>。</w:t>
      </w:r>
    </w:p>
    <w:p w14:paraId="7CBBC02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.6.</w:t>
      </w:r>
      <w:r>
        <w:rPr>
          <w:rFonts w:ascii="Times New Roman" w:hAnsi="Times New Roman" w:hint="eastAsia"/>
        </w:rPr>
        <w:t>4</w:t>
      </w:r>
      <w:r>
        <w:rPr>
          <w:rFonts w:ascii="Times New Roman" w:hAnsi="Times New Roman"/>
        </w:rPr>
        <w:t>土壤影响分析</w:t>
      </w:r>
    </w:p>
    <w:p w14:paraId="49C6BF87" w14:textId="77777777" w:rsidR="003E78AB" w:rsidRDefault="00010BF9">
      <w:pPr>
        <w:pStyle w:val="5"/>
        <w:keepNext w:val="0"/>
        <w:keepLines w:val="0"/>
        <w:ind w:firstLine="482"/>
        <w:rPr>
          <w:sz w:val="24"/>
        </w:rPr>
      </w:pPr>
      <w:r>
        <w:rPr>
          <w:rFonts w:hint="eastAsia"/>
          <w:sz w:val="24"/>
        </w:rPr>
        <w:t>1.</w:t>
      </w:r>
      <w:r>
        <w:rPr>
          <w:rFonts w:hint="eastAsia"/>
          <w:sz w:val="24"/>
        </w:rPr>
        <w:t>大气沉降</w:t>
      </w:r>
    </w:p>
    <w:p w14:paraId="68AE7C86" w14:textId="77777777" w:rsidR="003E78AB" w:rsidRDefault="00010BF9">
      <w:pPr>
        <w:ind w:firstLine="480"/>
      </w:pPr>
      <w:r>
        <w:rPr>
          <w:rFonts w:hint="eastAsia"/>
        </w:rPr>
        <w:t>（</w:t>
      </w:r>
      <w:r>
        <w:rPr>
          <w:rFonts w:hint="eastAsia"/>
        </w:rPr>
        <w:t>1</w:t>
      </w:r>
      <w:r>
        <w:rPr>
          <w:rFonts w:hint="eastAsia"/>
        </w:rPr>
        <w:t>）预测评价范围、时段及情景设置</w:t>
      </w:r>
    </w:p>
    <w:p w14:paraId="08EC22C2" w14:textId="77777777" w:rsidR="003E78AB" w:rsidRDefault="00010BF9">
      <w:pPr>
        <w:ind w:firstLine="480"/>
      </w:pPr>
      <w:r>
        <w:rPr>
          <w:rFonts w:hint="eastAsia"/>
        </w:rPr>
        <w:t>项目的预测评价范围与调查评价范围一致，评价时段为项目运营期。</w:t>
      </w:r>
    </w:p>
    <w:p w14:paraId="65FE2C8A" w14:textId="77777777" w:rsidR="003E78AB" w:rsidRDefault="00010BF9">
      <w:pPr>
        <w:ind w:firstLine="480"/>
      </w:pPr>
      <w:r>
        <w:rPr>
          <w:rFonts w:hint="eastAsia"/>
        </w:rPr>
        <w:t>以项目正常运营为预测工况。预测情况具体情况如下。</w:t>
      </w:r>
    </w:p>
    <w:p w14:paraId="62FF8F95" w14:textId="77777777" w:rsidR="003E78AB" w:rsidRDefault="00010BF9">
      <w:pPr>
        <w:pStyle w:val="a4"/>
        <w:spacing w:before="120"/>
        <w:ind w:left="425" w:hanging="425"/>
      </w:pPr>
      <w:r>
        <w:t>预测情景一览表</w:t>
      </w: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85"/>
        <w:gridCol w:w="1183"/>
        <w:gridCol w:w="1185"/>
        <w:gridCol w:w="1713"/>
        <w:gridCol w:w="1836"/>
      </w:tblGrid>
      <w:tr w:rsidR="003E78AB" w14:paraId="1B397A03" w14:textId="77777777">
        <w:trPr>
          <w:trHeight w:val="291"/>
        </w:trPr>
        <w:tc>
          <w:tcPr>
            <w:tcW w:w="725" w:type="pct"/>
            <w:vAlign w:val="center"/>
          </w:tcPr>
          <w:p w14:paraId="01344516" w14:textId="77777777" w:rsidR="003E78AB" w:rsidRDefault="00010BF9">
            <w:pPr>
              <w:pStyle w:val="aff6"/>
              <w:topLinePunct/>
              <w:rPr>
                <w:b/>
                <w:bCs/>
              </w:rPr>
            </w:pPr>
            <w:r>
              <w:rPr>
                <w:b/>
                <w:bCs/>
              </w:rPr>
              <w:t>影响途径</w:t>
            </w:r>
          </w:p>
        </w:tc>
        <w:tc>
          <w:tcPr>
            <w:tcW w:w="713" w:type="pct"/>
            <w:vAlign w:val="center"/>
          </w:tcPr>
          <w:p w14:paraId="4D4B1D6E" w14:textId="77777777" w:rsidR="003E78AB" w:rsidRDefault="00010BF9">
            <w:pPr>
              <w:pStyle w:val="aff6"/>
              <w:topLinePunct/>
              <w:rPr>
                <w:b/>
                <w:bCs/>
              </w:rPr>
            </w:pPr>
            <w:r>
              <w:rPr>
                <w:b/>
                <w:bCs/>
              </w:rPr>
              <w:t>预测因子</w:t>
            </w:r>
          </w:p>
        </w:tc>
        <w:tc>
          <w:tcPr>
            <w:tcW w:w="712" w:type="pct"/>
            <w:vAlign w:val="center"/>
          </w:tcPr>
          <w:p w14:paraId="55B4E6E4" w14:textId="77777777" w:rsidR="003E78AB" w:rsidRDefault="00010BF9">
            <w:pPr>
              <w:pStyle w:val="aff6"/>
              <w:topLinePunct/>
              <w:rPr>
                <w:b/>
                <w:bCs/>
              </w:rPr>
            </w:pPr>
            <w:r>
              <w:rPr>
                <w:b/>
                <w:bCs/>
              </w:rPr>
              <w:t>预测时段</w:t>
            </w:r>
          </w:p>
        </w:tc>
        <w:tc>
          <w:tcPr>
            <w:tcW w:w="713" w:type="pct"/>
            <w:vAlign w:val="center"/>
          </w:tcPr>
          <w:p w14:paraId="180AADA5" w14:textId="77777777" w:rsidR="003E78AB" w:rsidRDefault="00010BF9">
            <w:pPr>
              <w:pStyle w:val="aff6"/>
              <w:topLinePunct/>
              <w:rPr>
                <w:b/>
                <w:bCs/>
              </w:rPr>
            </w:pPr>
            <w:r>
              <w:rPr>
                <w:b/>
                <w:bCs/>
              </w:rPr>
              <w:t>预测范围</w:t>
            </w:r>
          </w:p>
        </w:tc>
        <w:tc>
          <w:tcPr>
            <w:tcW w:w="1030" w:type="pct"/>
            <w:vAlign w:val="center"/>
          </w:tcPr>
          <w:p w14:paraId="6CB44D3C" w14:textId="77777777" w:rsidR="003E78AB" w:rsidRDefault="00010BF9">
            <w:pPr>
              <w:pStyle w:val="aff6"/>
              <w:topLinePunct/>
              <w:rPr>
                <w:b/>
                <w:bCs/>
              </w:rPr>
            </w:pPr>
            <w:r>
              <w:rPr>
                <w:b/>
                <w:bCs/>
              </w:rPr>
              <w:t>预测方法</w:t>
            </w:r>
          </w:p>
        </w:tc>
        <w:tc>
          <w:tcPr>
            <w:tcW w:w="1104" w:type="pct"/>
            <w:vAlign w:val="center"/>
          </w:tcPr>
          <w:p w14:paraId="5C03DCC6" w14:textId="77777777" w:rsidR="003E78AB" w:rsidRDefault="00010BF9">
            <w:pPr>
              <w:pStyle w:val="aff6"/>
              <w:topLinePunct/>
              <w:rPr>
                <w:b/>
                <w:bCs/>
              </w:rPr>
            </w:pPr>
            <w:r>
              <w:rPr>
                <w:b/>
                <w:bCs/>
              </w:rPr>
              <w:t>评价标准</w:t>
            </w:r>
          </w:p>
        </w:tc>
      </w:tr>
      <w:tr w:rsidR="003E78AB" w14:paraId="7FFE9B1B" w14:textId="77777777">
        <w:trPr>
          <w:trHeight w:val="836"/>
        </w:trPr>
        <w:tc>
          <w:tcPr>
            <w:tcW w:w="725" w:type="pct"/>
            <w:vAlign w:val="center"/>
          </w:tcPr>
          <w:p w14:paraId="070A9604" w14:textId="77777777" w:rsidR="003E78AB" w:rsidRDefault="00010BF9">
            <w:pPr>
              <w:pStyle w:val="aff6"/>
              <w:topLinePunct/>
            </w:pPr>
            <w:r>
              <w:t>大气沉降</w:t>
            </w:r>
          </w:p>
        </w:tc>
        <w:tc>
          <w:tcPr>
            <w:tcW w:w="713" w:type="pct"/>
            <w:vAlign w:val="center"/>
          </w:tcPr>
          <w:p w14:paraId="3C29D186" w14:textId="77777777" w:rsidR="003E78AB" w:rsidRDefault="00010BF9">
            <w:pPr>
              <w:pStyle w:val="aff6"/>
              <w:topLinePunct/>
            </w:pPr>
            <w:r>
              <w:t>颗粒物</w:t>
            </w:r>
            <w:r>
              <w:t>(</w:t>
            </w:r>
            <w:r>
              <w:t>主要成分为五氧化二钒</w:t>
            </w:r>
            <w:r>
              <w:t>)</w:t>
            </w:r>
          </w:p>
        </w:tc>
        <w:tc>
          <w:tcPr>
            <w:tcW w:w="712" w:type="pct"/>
            <w:vAlign w:val="center"/>
          </w:tcPr>
          <w:p w14:paraId="2B57D2C1" w14:textId="77777777" w:rsidR="003E78AB" w:rsidRDefault="00010BF9">
            <w:pPr>
              <w:pStyle w:val="aff6"/>
              <w:topLinePunct/>
            </w:pPr>
            <w:r>
              <w:t>运营期</w:t>
            </w:r>
          </w:p>
        </w:tc>
        <w:tc>
          <w:tcPr>
            <w:tcW w:w="713" w:type="pct"/>
            <w:vAlign w:val="center"/>
          </w:tcPr>
          <w:p w14:paraId="633CFE1E" w14:textId="77777777" w:rsidR="003E78AB" w:rsidRDefault="00010BF9">
            <w:pPr>
              <w:pStyle w:val="aff6"/>
              <w:topLinePunct/>
            </w:pPr>
            <w:r>
              <w:t>同调查范围</w:t>
            </w:r>
          </w:p>
        </w:tc>
        <w:tc>
          <w:tcPr>
            <w:tcW w:w="1030" w:type="pct"/>
            <w:vAlign w:val="center"/>
          </w:tcPr>
          <w:p w14:paraId="35EDB418" w14:textId="77777777" w:rsidR="003E78AB" w:rsidRDefault="00010BF9">
            <w:pPr>
              <w:pStyle w:val="aff6"/>
              <w:topLinePunct/>
            </w:pPr>
            <w:r>
              <w:t>HJ964-2018</w:t>
            </w:r>
            <w:r>
              <w:t>附录</w:t>
            </w:r>
            <w:r>
              <w:t>E</w:t>
            </w:r>
          </w:p>
        </w:tc>
        <w:tc>
          <w:tcPr>
            <w:tcW w:w="1104" w:type="pct"/>
            <w:vAlign w:val="center"/>
          </w:tcPr>
          <w:p w14:paraId="7B22C579" w14:textId="77777777" w:rsidR="003E78AB" w:rsidRDefault="00010BF9">
            <w:pPr>
              <w:pStyle w:val="aff6"/>
              <w:topLinePunct/>
            </w:pPr>
            <w:r>
              <w:t>GB36600-2018</w:t>
            </w:r>
          </w:p>
        </w:tc>
      </w:tr>
    </w:tbl>
    <w:p w14:paraId="6591473A" w14:textId="77777777" w:rsidR="003E78AB" w:rsidRDefault="00010BF9">
      <w:pPr>
        <w:ind w:firstLine="480"/>
      </w:pPr>
      <w:r>
        <w:rPr>
          <w:rFonts w:hint="eastAsia"/>
        </w:rPr>
        <w:t>（</w:t>
      </w:r>
      <w:r>
        <w:rPr>
          <w:rFonts w:hint="eastAsia"/>
        </w:rPr>
        <w:t>2</w:t>
      </w:r>
      <w:r>
        <w:rPr>
          <w:rFonts w:hint="eastAsia"/>
        </w:rPr>
        <w:t>）预测评价因子及方法选取</w:t>
      </w:r>
    </w:p>
    <w:p w14:paraId="116675FB" w14:textId="77777777" w:rsidR="003E78AB" w:rsidRDefault="00010BF9">
      <w:pPr>
        <w:ind w:firstLine="480"/>
      </w:pPr>
      <w:r>
        <w:rPr>
          <w:rFonts w:hint="eastAsia"/>
        </w:rPr>
        <w:t>根据工程分析及环境影响识别结果，确定本项目土壤环境影响评价的预测因子为颗粒物（主要成分为五氧化二钒）。</w:t>
      </w:r>
    </w:p>
    <w:p w14:paraId="22C8E5F8" w14:textId="77777777" w:rsidR="003E78AB" w:rsidRDefault="00010BF9">
      <w:pPr>
        <w:ind w:firstLine="480"/>
        <w:rPr>
          <w:kern w:val="2"/>
        </w:rPr>
      </w:pPr>
      <w:r>
        <w:rPr>
          <w:rFonts w:hint="eastAsia"/>
        </w:rPr>
        <w:t>根据导则，本项目大气沉降影响途径预测方法采用</w:t>
      </w:r>
      <w:r>
        <w:rPr>
          <w:rFonts w:hint="eastAsia"/>
        </w:rPr>
        <w:t>HJ964-2018</w:t>
      </w:r>
      <w:r>
        <w:rPr>
          <w:rFonts w:hint="eastAsia"/>
        </w:rPr>
        <w:t>附录</w:t>
      </w:r>
      <w:r>
        <w:rPr>
          <w:rFonts w:hint="eastAsia"/>
        </w:rPr>
        <w:t>E</w:t>
      </w:r>
      <w:r>
        <w:rPr>
          <w:rFonts w:hint="eastAsia"/>
        </w:rPr>
        <w:t>推荐方法。评价首先采用《环境影响评价技术导则土壤环境》</w:t>
      </w:r>
      <w:r>
        <w:rPr>
          <w:rFonts w:hint="eastAsia"/>
        </w:rPr>
        <w:t>(HJ964-2018)</w:t>
      </w:r>
      <w:r>
        <w:rPr>
          <w:rFonts w:hint="eastAsia"/>
        </w:rPr>
        <w:t>附录</w:t>
      </w:r>
      <w:r>
        <w:rPr>
          <w:rFonts w:hint="eastAsia"/>
        </w:rPr>
        <w:t>E</w:t>
      </w:r>
      <w:r>
        <w:rPr>
          <w:rFonts w:hint="eastAsia"/>
        </w:rPr>
        <w:t>推荐的方法一进行预测，计算公式如下：</w:t>
      </w:r>
    </w:p>
    <w:p w14:paraId="102B0F06" w14:textId="77777777" w:rsidR="003E78AB" w:rsidRDefault="00010BF9">
      <w:pPr>
        <w:ind w:firstLine="480"/>
        <w:rPr>
          <w:kern w:val="2"/>
        </w:rPr>
      </w:pPr>
      <m:oMathPara>
        <m:oMath>
          <m:r>
            <m:rPr>
              <m:nor/>
            </m:rPr>
            <w:rPr>
              <w:rFonts w:ascii="Cambria Math" w:hAnsi="Cambria Math"/>
              <w:i/>
            </w:rPr>
            <m:t>∆</m:t>
          </m:r>
          <m:r>
            <m:rPr>
              <m:nor/>
            </m:rPr>
            <w:rPr>
              <w:rFonts w:ascii="Cambria Math" w:hAnsi="Cambria Math"/>
              <w:i/>
            </w:rPr>
            <m:t>S=n</m:t>
          </m:r>
          <m:r>
            <m:rPr>
              <m:nor/>
            </m:rPr>
            <w:rPr>
              <w:rFonts w:ascii="Cambria Math" w:hAnsi="Cambria Math"/>
            </w:rPr>
            <m:t>(</m:t>
          </m:r>
          <m:sSub>
            <m:sSubPr>
              <m:ctrlPr>
                <w:rPr>
                  <w:rFonts w:ascii="Cambria Math" w:hAnsi="Cambria Math"/>
                  <w:i/>
                </w:rPr>
              </m:ctrlPr>
            </m:sSubPr>
            <m:e>
              <m:r>
                <m:rPr>
                  <m:nor/>
                </m:rPr>
                <w:rPr>
                  <w:rFonts w:ascii="Cambria Math" w:hAnsi="Cambria Math"/>
                  <w:i/>
                </w:rPr>
                <m:t>I</m:t>
              </m:r>
            </m:e>
            <m:sub>
              <m:r>
                <m:rPr>
                  <m:nor/>
                </m:rPr>
                <w:rPr>
                  <w:rFonts w:ascii="Cambria Math" w:hAnsi="Cambria Math"/>
                </w:rPr>
                <m:t xml:space="preserve">S </m:t>
              </m:r>
            </m:sub>
          </m:sSub>
          <m:r>
            <m:rPr>
              <m:nor/>
            </m:rPr>
            <w:rPr>
              <w:rFonts w:ascii="Cambria Math" w:hAnsi="Cambria Math"/>
              <w:i/>
            </w:rPr>
            <m:t>-</m:t>
          </m:r>
          <m:sSub>
            <m:sSubPr>
              <m:ctrlPr>
                <w:rPr>
                  <w:rFonts w:ascii="Cambria Math" w:hAnsi="Cambria Math"/>
                  <w:i/>
                </w:rPr>
              </m:ctrlPr>
            </m:sSubPr>
            <m:e>
              <m:r>
                <m:rPr>
                  <m:nor/>
                </m:rPr>
                <w:rPr>
                  <w:rFonts w:ascii="Cambria Math" w:hAnsi="Cambria Math"/>
                  <w:i/>
                </w:rPr>
                <m:t>L</m:t>
              </m:r>
            </m:e>
            <m:sub>
              <m:r>
                <m:rPr>
                  <m:nor/>
                </m:rPr>
                <w:rPr>
                  <w:rFonts w:ascii="Cambria Math" w:hAnsi="Cambria Math"/>
                </w:rPr>
                <m:t>S</m:t>
              </m:r>
            </m:sub>
          </m:sSub>
          <m:r>
            <m:rPr>
              <m:nor/>
            </m:rPr>
            <w:rPr>
              <w:rFonts w:ascii="Cambria Math" w:hAnsi="Cambria Math"/>
              <w:i/>
            </w:rPr>
            <m:t>-</m:t>
          </m:r>
          <m:sSub>
            <m:sSubPr>
              <m:ctrlPr>
                <w:rPr>
                  <w:rFonts w:ascii="Cambria Math" w:hAnsi="Cambria Math"/>
                  <w:i/>
                </w:rPr>
              </m:ctrlPr>
            </m:sSubPr>
            <m:e>
              <m:r>
                <m:rPr>
                  <m:nor/>
                </m:rPr>
                <w:rPr>
                  <w:rFonts w:ascii="Cambria Math" w:hAnsi="Cambria Math"/>
                  <w:i/>
                </w:rPr>
                <m:t>R</m:t>
              </m:r>
            </m:e>
            <m:sub>
              <m:r>
                <m:rPr>
                  <m:nor/>
                </m:rPr>
                <w:rPr>
                  <w:rFonts w:ascii="Cambria Math" w:hAnsi="Cambria Math"/>
                  <w:i/>
                </w:rPr>
                <m:t>S</m:t>
              </m:r>
            </m:sub>
          </m:sSub>
          <m:r>
            <m:rPr>
              <m:nor/>
            </m:rPr>
            <w:rPr>
              <w:rFonts w:ascii="Cambria Math" w:hAnsi="Cambria Math"/>
            </w:rPr>
            <m:t>)</m:t>
          </m:r>
          <m:r>
            <m:rPr>
              <m:nor/>
            </m:rPr>
            <w:rPr>
              <w:rFonts w:ascii="Cambria Math" w:hAnsi="Cambria Math"/>
              <w:i/>
            </w:rPr>
            <m:t>/</m:t>
          </m:r>
          <m:r>
            <m:rPr>
              <m:nor/>
            </m:rPr>
            <w:rPr>
              <w:rFonts w:ascii="Cambria Math" w:hAnsi="Cambria Math"/>
            </w:rPr>
            <m:t>(</m:t>
          </m:r>
          <m:sSub>
            <m:sSubPr>
              <m:ctrlPr>
                <w:rPr>
                  <w:rFonts w:ascii="Cambria Math" w:hAnsi="Cambria Math"/>
                  <w:i/>
                </w:rPr>
              </m:ctrlPr>
            </m:sSubPr>
            <m:e>
              <m:r>
                <m:rPr>
                  <m:nor/>
                </m:rPr>
                <w:rPr>
                  <w:rFonts w:ascii="Cambria Math" w:hAnsi="Cambria Math"/>
                  <w:i/>
                </w:rPr>
                <m:t>ρ</m:t>
              </m:r>
            </m:e>
            <m:sub>
              <m:r>
                <m:rPr>
                  <m:nor/>
                </m:rPr>
                <w:rPr>
                  <w:rFonts w:ascii="Cambria Math" w:hAnsi="Cambria Math"/>
                  <w:i/>
                </w:rPr>
                <m:t>b</m:t>
              </m:r>
            </m:sub>
          </m:sSub>
          <m:r>
            <m:rPr>
              <m:nor/>
            </m:rPr>
            <w:rPr>
              <w:rFonts w:ascii="Cambria Math" w:hAnsi="Cambria Math"/>
              <w:i/>
            </w:rPr>
            <m:t>×A×D</m:t>
          </m:r>
          <m:r>
            <m:rPr>
              <m:nor/>
            </m:rPr>
            <w:rPr>
              <w:rFonts w:ascii="Cambria Math" w:hAnsi="Cambria Math"/>
            </w:rPr>
            <m:t>)</m:t>
          </m:r>
        </m:oMath>
      </m:oMathPara>
    </w:p>
    <w:p w14:paraId="127C2527" w14:textId="77777777" w:rsidR="003E78AB" w:rsidRDefault="00010BF9">
      <w:pPr>
        <w:ind w:firstLine="480"/>
        <w:rPr>
          <w:kern w:val="2"/>
        </w:rPr>
      </w:pPr>
      <w:r>
        <w:rPr>
          <w:kern w:val="2"/>
        </w:rPr>
        <w:t>式中：</w:t>
      </w:r>
      <m:oMath>
        <m:r>
          <m:rPr>
            <m:nor/>
          </m:rPr>
          <w:rPr>
            <w:rFonts w:ascii="Cambria Math" w:hAnsi="Cambria Math"/>
            <w:i/>
          </w:rPr>
          <m:t>∆</m:t>
        </m:r>
      </m:oMath>
      <w:r>
        <w:rPr>
          <w:i/>
          <w:kern w:val="2"/>
        </w:rPr>
        <w:t>S</w:t>
      </w:r>
      <w:r>
        <w:rPr>
          <w:kern w:val="2"/>
        </w:rPr>
        <w:t>——</w:t>
      </w:r>
      <w:r>
        <w:rPr>
          <w:kern w:val="2"/>
        </w:rPr>
        <w:t>单位质量表层土壤中某种物质的增量，</w:t>
      </w:r>
      <w:r>
        <w:rPr>
          <w:kern w:val="2"/>
        </w:rPr>
        <w:t>g/kg</w:t>
      </w:r>
      <w:r>
        <w:rPr>
          <w:kern w:val="2"/>
        </w:rPr>
        <w:t>；</w:t>
      </w:r>
    </w:p>
    <w:p w14:paraId="3FA9FD18" w14:textId="77777777" w:rsidR="003E78AB" w:rsidRDefault="00010BF9">
      <w:pPr>
        <w:ind w:firstLineChars="500" w:firstLine="1200"/>
        <w:rPr>
          <w:kern w:val="2"/>
        </w:rPr>
      </w:pPr>
      <w:r>
        <w:rPr>
          <w:i/>
          <w:kern w:val="2"/>
        </w:rPr>
        <w:t>I</w:t>
      </w:r>
      <w:r>
        <w:rPr>
          <w:kern w:val="2"/>
          <w:vertAlign w:val="subscript"/>
        </w:rPr>
        <w:t>S</w:t>
      </w:r>
      <w:r>
        <w:rPr>
          <w:kern w:val="2"/>
        </w:rPr>
        <w:t>——</w:t>
      </w:r>
      <w:r>
        <w:rPr>
          <w:kern w:val="2"/>
        </w:rPr>
        <w:t>预测评价范围内单位年份表层土壤中某种物质的输入量，</w:t>
      </w:r>
      <w:r>
        <w:rPr>
          <w:kern w:val="2"/>
        </w:rPr>
        <w:t>g</w:t>
      </w:r>
      <w:r>
        <w:rPr>
          <w:kern w:val="2"/>
        </w:rPr>
        <w:t>；</w:t>
      </w:r>
    </w:p>
    <w:p w14:paraId="775F56D6" w14:textId="77777777" w:rsidR="003E78AB" w:rsidRDefault="00010BF9">
      <w:pPr>
        <w:ind w:firstLineChars="500" w:firstLine="1200"/>
        <w:rPr>
          <w:kern w:val="2"/>
        </w:rPr>
      </w:pPr>
      <w:r>
        <w:rPr>
          <w:i/>
          <w:kern w:val="2"/>
        </w:rPr>
        <w:t>L</w:t>
      </w:r>
      <w:r>
        <w:rPr>
          <w:kern w:val="2"/>
          <w:vertAlign w:val="subscript"/>
        </w:rPr>
        <w:t>S</w:t>
      </w:r>
      <w:r>
        <w:rPr>
          <w:kern w:val="2"/>
        </w:rPr>
        <w:t>——</w:t>
      </w:r>
      <w:r>
        <w:rPr>
          <w:kern w:val="2"/>
        </w:rPr>
        <w:t>预测评价范围内单位年份表层土壤中某种物质经淋溶排出的量，</w:t>
      </w:r>
      <w:r>
        <w:rPr>
          <w:kern w:val="2"/>
        </w:rPr>
        <w:t>g</w:t>
      </w:r>
      <w:r>
        <w:rPr>
          <w:kern w:val="2"/>
        </w:rPr>
        <w:t>；</w:t>
      </w:r>
    </w:p>
    <w:p w14:paraId="1F9336C5" w14:textId="77777777" w:rsidR="003E78AB" w:rsidRDefault="00010BF9">
      <w:pPr>
        <w:ind w:firstLineChars="500" w:firstLine="1200"/>
        <w:rPr>
          <w:kern w:val="2"/>
        </w:rPr>
      </w:pPr>
      <w:r>
        <w:rPr>
          <w:i/>
          <w:kern w:val="2"/>
        </w:rPr>
        <w:t>R</w:t>
      </w:r>
      <w:r>
        <w:rPr>
          <w:kern w:val="2"/>
          <w:vertAlign w:val="subscript"/>
        </w:rPr>
        <w:t>S</w:t>
      </w:r>
      <w:r>
        <w:rPr>
          <w:kern w:val="2"/>
        </w:rPr>
        <w:t>——</w:t>
      </w:r>
      <w:r>
        <w:rPr>
          <w:kern w:val="2"/>
        </w:rPr>
        <w:t>预测评价范围内单位年份表层土壤中某种物质经径流排出的量，</w:t>
      </w:r>
      <w:r>
        <w:rPr>
          <w:kern w:val="2"/>
        </w:rPr>
        <w:t>g</w:t>
      </w:r>
      <w:r>
        <w:rPr>
          <w:kern w:val="2"/>
        </w:rPr>
        <w:t>；</w:t>
      </w:r>
    </w:p>
    <w:p w14:paraId="6DA8F41D" w14:textId="77777777" w:rsidR="003E78AB" w:rsidRDefault="00010BF9">
      <w:pPr>
        <w:ind w:firstLineChars="500" w:firstLine="1200"/>
        <w:rPr>
          <w:kern w:val="2"/>
        </w:rPr>
      </w:pPr>
      <w:r>
        <w:rPr>
          <w:i/>
          <w:kern w:val="2"/>
        </w:rPr>
        <w:t>ρ</w:t>
      </w:r>
      <w:r>
        <w:rPr>
          <w:kern w:val="2"/>
          <w:vertAlign w:val="subscript"/>
        </w:rPr>
        <w:t>b</w:t>
      </w:r>
      <w:r>
        <w:rPr>
          <w:kern w:val="2"/>
        </w:rPr>
        <w:t>—</w:t>
      </w:r>
      <w:r>
        <w:rPr>
          <w:kern w:val="2"/>
        </w:rPr>
        <w:t>—</w:t>
      </w:r>
      <w:r>
        <w:rPr>
          <w:kern w:val="2"/>
        </w:rPr>
        <w:t>表层土壤容重，</w:t>
      </w:r>
      <w:r>
        <w:rPr>
          <w:kern w:val="2"/>
        </w:rPr>
        <w:t>kg/m</w:t>
      </w:r>
      <w:r>
        <w:rPr>
          <w:kern w:val="2"/>
          <w:vertAlign w:val="superscript"/>
        </w:rPr>
        <w:t>3</w:t>
      </w:r>
      <w:r>
        <w:rPr>
          <w:kern w:val="2"/>
        </w:rPr>
        <w:t>；</w:t>
      </w:r>
    </w:p>
    <w:p w14:paraId="05A9E07E" w14:textId="77777777" w:rsidR="003E78AB" w:rsidRDefault="00010BF9">
      <w:pPr>
        <w:ind w:firstLineChars="500" w:firstLine="1200"/>
        <w:rPr>
          <w:kern w:val="2"/>
        </w:rPr>
      </w:pPr>
      <w:r>
        <w:rPr>
          <w:kern w:val="2"/>
        </w:rPr>
        <w:t>A——</w:t>
      </w:r>
      <w:r>
        <w:rPr>
          <w:kern w:val="2"/>
        </w:rPr>
        <w:t>预测评价范围，</w:t>
      </w:r>
      <w:r>
        <w:rPr>
          <w:kern w:val="2"/>
        </w:rPr>
        <w:t>m</w:t>
      </w:r>
      <w:r>
        <w:rPr>
          <w:kern w:val="2"/>
          <w:vertAlign w:val="superscript"/>
        </w:rPr>
        <w:t>2</w:t>
      </w:r>
      <w:r>
        <w:rPr>
          <w:kern w:val="2"/>
        </w:rPr>
        <w:t>；</w:t>
      </w:r>
    </w:p>
    <w:p w14:paraId="6116013C" w14:textId="77777777" w:rsidR="003E78AB" w:rsidRDefault="00010BF9">
      <w:pPr>
        <w:ind w:firstLineChars="500" w:firstLine="1200"/>
        <w:rPr>
          <w:kern w:val="2"/>
        </w:rPr>
      </w:pPr>
      <w:r>
        <w:rPr>
          <w:kern w:val="2"/>
        </w:rPr>
        <w:t>D——</w:t>
      </w:r>
      <w:r>
        <w:rPr>
          <w:kern w:val="2"/>
        </w:rPr>
        <w:t>表层土壤深度，取</w:t>
      </w:r>
      <w:r>
        <w:rPr>
          <w:kern w:val="2"/>
        </w:rPr>
        <w:t>0.5m</w:t>
      </w:r>
      <w:r>
        <w:rPr>
          <w:kern w:val="2"/>
        </w:rPr>
        <w:t>；</w:t>
      </w:r>
    </w:p>
    <w:p w14:paraId="243A553B" w14:textId="77777777" w:rsidR="003E78AB" w:rsidRDefault="00010BF9">
      <w:pPr>
        <w:ind w:firstLine="480"/>
        <w:rPr>
          <w:kern w:val="2"/>
        </w:rPr>
      </w:pPr>
      <w:r>
        <w:rPr>
          <w:kern w:val="2"/>
        </w:rPr>
        <w:t>n——</w:t>
      </w:r>
      <w:r>
        <w:rPr>
          <w:kern w:val="2"/>
        </w:rPr>
        <w:t>持续年份，</w:t>
      </w:r>
      <w:r>
        <w:rPr>
          <w:kern w:val="2"/>
        </w:rPr>
        <w:t>a</w:t>
      </w:r>
      <w:r>
        <w:rPr>
          <w:kern w:val="2"/>
        </w:rPr>
        <w:t>。</w:t>
      </w:r>
    </w:p>
    <w:p w14:paraId="6CE48AA1" w14:textId="77777777" w:rsidR="003E78AB" w:rsidRDefault="00010BF9">
      <w:pPr>
        <w:ind w:firstLine="480"/>
        <w:rPr>
          <w:kern w:val="2"/>
        </w:rPr>
      </w:pPr>
      <w:r>
        <w:rPr>
          <w:kern w:val="2"/>
        </w:rPr>
        <w:t>单位质量土壤中某种物质的预测值根据其增量叠加现状值进行计算，如下式：</w:t>
      </w:r>
    </w:p>
    <w:p w14:paraId="16A7264C" w14:textId="77777777" w:rsidR="003E78AB" w:rsidRDefault="00010BF9">
      <w:pPr>
        <w:ind w:firstLine="480"/>
        <w:rPr>
          <w:kern w:val="2"/>
        </w:rPr>
      </w:pPr>
      <m:oMathPara>
        <m:oMath>
          <m:r>
            <m:rPr>
              <m:sty m:val="p"/>
            </m:rPr>
            <w:rPr>
              <w:rFonts w:ascii="Cambria Math" w:hAnsi="Cambria Math"/>
            </w:rPr>
            <m:t>S=Sb+ΔS</m:t>
          </m:r>
        </m:oMath>
      </m:oMathPara>
    </w:p>
    <w:p w14:paraId="2574E2FD" w14:textId="77777777" w:rsidR="003E78AB" w:rsidRDefault="00010BF9">
      <w:pPr>
        <w:ind w:firstLine="480"/>
        <w:rPr>
          <w:kern w:val="2"/>
        </w:rPr>
      </w:pPr>
      <w:r>
        <w:rPr>
          <w:kern w:val="2"/>
        </w:rPr>
        <w:t>式中：</w:t>
      </w:r>
      <w:r>
        <w:rPr>
          <w:i/>
          <w:iCs/>
          <w:kern w:val="2"/>
        </w:rPr>
        <w:t>S</w:t>
      </w:r>
      <w:r>
        <w:rPr>
          <w:i/>
          <w:iCs/>
          <w:kern w:val="2"/>
          <w:vertAlign w:val="subscript"/>
        </w:rPr>
        <w:t>b</w:t>
      </w:r>
      <w:r>
        <w:rPr>
          <w:kern w:val="2"/>
        </w:rPr>
        <w:t>——</w:t>
      </w:r>
      <w:r>
        <w:rPr>
          <w:kern w:val="2"/>
        </w:rPr>
        <w:t>单位质量土壤中污染物的现状值，</w:t>
      </w:r>
      <w:r>
        <w:rPr>
          <w:kern w:val="2"/>
        </w:rPr>
        <w:t>g/kg</w:t>
      </w:r>
      <w:r>
        <w:rPr>
          <w:kern w:val="2"/>
        </w:rPr>
        <w:t>；</w:t>
      </w:r>
    </w:p>
    <w:p w14:paraId="1034D24A" w14:textId="77777777" w:rsidR="003E78AB" w:rsidRDefault="00010BF9">
      <w:pPr>
        <w:ind w:firstLine="480"/>
        <w:rPr>
          <w:kern w:val="2"/>
        </w:rPr>
      </w:pPr>
      <w:r>
        <w:rPr>
          <w:i/>
          <w:iCs/>
          <w:kern w:val="2"/>
        </w:rPr>
        <w:t>S</w:t>
      </w:r>
      <w:r>
        <w:rPr>
          <w:kern w:val="2"/>
        </w:rPr>
        <w:t>——</w:t>
      </w:r>
      <w:r>
        <w:rPr>
          <w:kern w:val="2"/>
        </w:rPr>
        <w:t>单位质量土壤中污染物的预测值，</w:t>
      </w:r>
      <w:r>
        <w:rPr>
          <w:kern w:val="2"/>
        </w:rPr>
        <w:t>g/kg</w:t>
      </w:r>
      <w:r>
        <w:rPr>
          <w:kern w:val="2"/>
        </w:rPr>
        <w:t>；</w:t>
      </w:r>
    </w:p>
    <w:p w14:paraId="55741435" w14:textId="77777777" w:rsidR="003E78AB" w:rsidRDefault="00010BF9">
      <w:pPr>
        <w:ind w:firstLine="480"/>
        <w:rPr>
          <w:kern w:val="2"/>
        </w:rPr>
      </w:pPr>
      <w:r>
        <w:rPr>
          <w:kern w:val="2"/>
        </w:rPr>
        <w:t>计算大气沉降影响时，可不考虑输出量，输出量包括淋溶和径流排出量，因此单位质量土壤中</w:t>
      </w:r>
      <w:r>
        <w:rPr>
          <w:rFonts w:hint="eastAsia"/>
          <w:kern w:val="2"/>
        </w:rPr>
        <w:t>钒</w:t>
      </w:r>
      <w:r>
        <w:rPr>
          <w:kern w:val="2"/>
        </w:rPr>
        <w:t>预测值可通过下方公式进行计算。</w:t>
      </w:r>
    </w:p>
    <w:p w14:paraId="61381F5A" w14:textId="77777777" w:rsidR="003E78AB" w:rsidRDefault="00010BF9">
      <w:pPr>
        <w:ind w:firstLine="480"/>
        <w:rPr>
          <w:kern w:val="2"/>
        </w:rPr>
      </w:pPr>
      <m:oMathPara>
        <m:oMath>
          <m:r>
            <m:rPr>
              <m:sty m:val="p"/>
            </m:rPr>
            <w:rPr>
              <w:rFonts w:ascii="Cambria Math" w:hAnsi="Cambria Math"/>
            </w:rPr>
            <m:t>S=Sb+n</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r>
            <m:rPr>
              <m:sty m:val="p"/>
            </m:rPr>
            <w:rPr>
              <w:rFonts w:ascii="Cambria Math" w:hAnsi="Cambria Math"/>
            </w:rPr>
            <m:t>/</m:t>
          </m:r>
          <m:d>
            <m:dPr>
              <m:ctrlPr>
                <w:rPr>
                  <w:rFonts w:ascii="Cambria Math" w:hAnsi="Cambria Math"/>
                </w:rPr>
              </m:ctrlPr>
            </m:dPr>
            <m:e>
              <m:r>
                <m:rPr>
                  <m:sty m:val="p"/>
                </m:rPr>
                <w:rPr>
                  <w:rFonts w:ascii="Cambria Math" w:hAnsi="Cambria Math"/>
                </w:rPr>
                <m:t>ρb×A×D</m:t>
              </m:r>
            </m:e>
          </m:d>
        </m:oMath>
      </m:oMathPara>
    </w:p>
    <w:p w14:paraId="2D1F4CA7" w14:textId="77777777" w:rsidR="003E78AB" w:rsidRDefault="00010BF9">
      <w:pPr>
        <w:ind w:firstLine="480"/>
        <w:rPr>
          <w:kern w:val="2"/>
        </w:rPr>
      </w:pPr>
      <w:r>
        <w:rPr>
          <w:kern w:val="2"/>
        </w:rPr>
        <w:t>本次评价为分析项目对区域土壤的最大影响程度，不考虑污染物在土壤中的衰减、流失等情况，分析项目运行后</w:t>
      </w:r>
      <w:r>
        <w:rPr>
          <w:kern w:val="2"/>
        </w:rPr>
        <w:t>1~5</w:t>
      </w:r>
      <w:r>
        <w:rPr>
          <w:kern w:val="2"/>
        </w:rPr>
        <w:t>年内每年、</w:t>
      </w:r>
      <w:r>
        <w:rPr>
          <w:kern w:val="2"/>
        </w:rPr>
        <w:t>5~30</w:t>
      </w:r>
      <w:r>
        <w:rPr>
          <w:kern w:val="2"/>
        </w:rPr>
        <w:t>年内每</w:t>
      </w:r>
      <w:r>
        <w:rPr>
          <w:kern w:val="2"/>
        </w:rPr>
        <w:t>5</w:t>
      </w:r>
      <w:r>
        <w:rPr>
          <w:kern w:val="2"/>
        </w:rPr>
        <w:t>年的污染物累积增量。</w:t>
      </w:r>
    </w:p>
    <w:p w14:paraId="24CC5D90" w14:textId="77777777" w:rsidR="003E78AB" w:rsidRDefault="00010BF9">
      <w:pPr>
        <w:ind w:firstLine="480"/>
        <w:rPr>
          <w:kern w:val="2"/>
        </w:rPr>
      </w:pPr>
      <w:r>
        <w:rPr>
          <w:rFonts w:hint="eastAsia"/>
          <w:kern w:val="2"/>
        </w:rPr>
        <w:t>（</w:t>
      </w:r>
      <w:r>
        <w:rPr>
          <w:rFonts w:hint="eastAsia"/>
          <w:kern w:val="2"/>
        </w:rPr>
        <w:t>3</w:t>
      </w:r>
      <w:r>
        <w:rPr>
          <w:rFonts w:hint="eastAsia"/>
          <w:kern w:val="2"/>
        </w:rPr>
        <w:t>）</w:t>
      </w:r>
      <w:r>
        <w:rPr>
          <w:kern w:val="2"/>
        </w:rPr>
        <w:t>输入量预测模式及计算参数</w:t>
      </w:r>
    </w:p>
    <w:p w14:paraId="4F2E2E4F" w14:textId="77777777" w:rsidR="003E78AB" w:rsidRDefault="00010BF9">
      <w:pPr>
        <w:ind w:firstLine="480"/>
        <w:rPr>
          <w:kern w:val="2"/>
        </w:rPr>
      </w:pPr>
      <w:r>
        <w:rPr>
          <w:kern w:val="2"/>
        </w:rPr>
        <w:t>本次评价土壤中污染物的主要输入途径为大气沉降及随降水进入土壤，因此土壤中污染物输入量主要结合区域土壤特性，通过沉降量来计算输入量。</w:t>
      </w:r>
    </w:p>
    <w:p w14:paraId="39B3741A" w14:textId="77777777" w:rsidR="003E78AB" w:rsidRDefault="00010BF9">
      <w:pPr>
        <w:ind w:firstLine="480"/>
        <w:rPr>
          <w:kern w:val="2"/>
        </w:rPr>
      </w:pPr>
      <w:r>
        <w:rPr>
          <w:kern w:val="2"/>
        </w:rPr>
        <w:t>①</w:t>
      </w:r>
      <w:r>
        <w:rPr>
          <w:kern w:val="2"/>
        </w:rPr>
        <w:t>单位面积年总沉积量计算</w:t>
      </w:r>
    </w:p>
    <w:p w14:paraId="3479D666" w14:textId="77777777" w:rsidR="003E78AB" w:rsidRDefault="00010BF9">
      <w:pPr>
        <w:ind w:firstLine="480"/>
        <w:rPr>
          <w:kern w:val="2"/>
        </w:rPr>
      </w:pPr>
      <w:r>
        <w:rPr>
          <w:kern w:val="2"/>
        </w:rPr>
        <w:t>本次评价沉降量通过《大气环境影响评价技术导则</w:t>
      </w:r>
      <w:r>
        <w:rPr>
          <w:rFonts w:hint="eastAsia"/>
          <w:kern w:val="2"/>
        </w:rPr>
        <w:t xml:space="preserve"> </w:t>
      </w:r>
      <w:r>
        <w:rPr>
          <w:kern w:val="2"/>
        </w:rPr>
        <w:t>大气环境》</w:t>
      </w:r>
      <w:r>
        <w:rPr>
          <w:rFonts w:hint="eastAsia"/>
          <w:kern w:val="2"/>
        </w:rPr>
        <w:t>（</w:t>
      </w:r>
      <w:r>
        <w:rPr>
          <w:kern w:val="2"/>
        </w:rPr>
        <w:t>HJ2.2-2018</w:t>
      </w:r>
      <w:r>
        <w:rPr>
          <w:rFonts w:hint="eastAsia"/>
          <w:kern w:val="2"/>
        </w:rPr>
        <w:t>）</w:t>
      </w:r>
      <w:r>
        <w:rPr>
          <w:kern w:val="2"/>
        </w:rPr>
        <w:t>推荐的</w:t>
      </w:r>
      <w:r>
        <w:rPr>
          <w:kern w:val="2"/>
        </w:rPr>
        <w:t>AERMOD</w:t>
      </w:r>
      <w:r>
        <w:rPr>
          <w:kern w:val="2"/>
        </w:rPr>
        <w:t>模式，选择</w:t>
      </w:r>
      <w:r>
        <w:rPr>
          <w:kern w:val="2"/>
        </w:rPr>
        <w:t>“</w:t>
      </w:r>
      <w:r>
        <w:rPr>
          <w:kern w:val="2"/>
        </w:rPr>
        <w:t>计算总沉积量</w:t>
      </w:r>
      <w:r>
        <w:rPr>
          <w:kern w:val="2"/>
        </w:rPr>
        <w:t>”</w:t>
      </w:r>
      <w:r>
        <w:rPr>
          <w:kern w:val="2"/>
        </w:rPr>
        <w:t>进行计算，可得到评价范围各网格点的单位面积年总</w:t>
      </w:r>
      <w:r>
        <w:rPr>
          <w:kern w:val="2"/>
        </w:rPr>
        <w:t>沉积量</w:t>
      </w:r>
      <w:r>
        <w:rPr>
          <w:rFonts w:hint="eastAsia"/>
          <w:kern w:val="2"/>
        </w:rPr>
        <w:t>（</w:t>
      </w:r>
      <w:r>
        <w:rPr>
          <w:kern w:val="2"/>
        </w:rPr>
        <w:t>Q</w:t>
      </w:r>
      <w:r>
        <w:rPr>
          <w:rFonts w:hint="eastAsia"/>
          <w:kern w:val="2"/>
        </w:rPr>
        <w:t>）</w:t>
      </w:r>
      <w:r>
        <w:rPr>
          <w:kern w:val="2"/>
        </w:rPr>
        <w:t>，单位为</w:t>
      </w:r>
      <w:r>
        <w:rPr>
          <w:kern w:val="2"/>
        </w:rPr>
        <w:t>“g/m</w:t>
      </w:r>
      <w:r>
        <w:rPr>
          <w:kern w:val="2"/>
          <w:vertAlign w:val="superscript"/>
        </w:rPr>
        <w:t>2</w:t>
      </w:r>
      <w:r>
        <w:rPr>
          <w:kern w:val="2"/>
        </w:rPr>
        <w:t>”</w:t>
      </w:r>
      <w:r>
        <w:rPr>
          <w:kern w:val="2"/>
        </w:rPr>
        <w:t>。其具体设置情况和预测参数与环境空气影响预测相同，具体见环境空气质量影响预测与评价小节。</w:t>
      </w:r>
    </w:p>
    <w:p w14:paraId="4122CF70" w14:textId="77777777" w:rsidR="003E78AB" w:rsidRDefault="00010BF9">
      <w:pPr>
        <w:ind w:firstLine="480"/>
        <w:rPr>
          <w:kern w:val="2"/>
        </w:rPr>
      </w:pPr>
      <w:r>
        <w:rPr>
          <w:kern w:val="2"/>
        </w:rPr>
        <w:t>②</w:t>
      </w:r>
      <w:r>
        <w:rPr>
          <w:kern w:val="2"/>
        </w:rPr>
        <w:t>输入量计算</w:t>
      </w:r>
    </w:p>
    <w:p w14:paraId="6F7CC0FE" w14:textId="77777777" w:rsidR="003E78AB" w:rsidRDefault="00010BF9">
      <w:pPr>
        <w:ind w:firstLine="480"/>
        <w:rPr>
          <w:kern w:val="2"/>
        </w:rPr>
      </w:pPr>
      <w:r>
        <w:rPr>
          <w:kern w:val="2"/>
        </w:rPr>
        <w:t>土壤中某种物质的年输入量可由污染物单位面积年总沉积量及预测评价区域面积计算得出，计算公式如下：</w:t>
      </w:r>
    </w:p>
    <w:p w14:paraId="2004D127" w14:textId="77777777" w:rsidR="003E78AB" w:rsidRDefault="00010BF9">
      <w:pPr>
        <w:ind w:firstLineChars="0" w:firstLine="0"/>
        <w:jc w:val="center"/>
        <w:rPr>
          <w:kern w:val="2"/>
        </w:rPr>
      </w:pPr>
      <w:r>
        <w:rPr>
          <w:kern w:val="2"/>
        </w:rPr>
        <w:t>I</w:t>
      </w:r>
      <w:r>
        <w:rPr>
          <w:kern w:val="2"/>
          <w:vertAlign w:val="subscript"/>
        </w:rPr>
        <w:t>S</w:t>
      </w:r>
      <w:r>
        <w:rPr>
          <w:kern w:val="2"/>
        </w:rPr>
        <w:t>=Q×A</w:t>
      </w:r>
    </w:p>
    <w:p w14:paraId="73D888D3" w14:textId="77777777" w:rsidR="003E78AB" w:rsidRDefault="00010BF9">
      <w:pPr>
        <w:ind w:firstLine="480"/>
        <w:rPr>
          <w:kern w:val="2"/>
        </w:rPr>
      </w:pPr>
      <w:r>
        <w:rPr>
          <w:rFonts w:hint="eastAsia"/>
          <w:kern w:val="2"/>
        </w:rPr>
        <w:t>（</w:t>
      </w:r>
      <w:r>
        <w:rPr>
          <w:rFonts w:hint="eastAsia"/>
          <w:kern w:val="2"/>
        </w:rPr>
        <w:t>4</w:t>
      </w:r>
      <w:r>
        <w:rPr>
          <w:rFonts w:hint="eastAsia"/>
          <w:kern w:val="2"/>
        </w:rPr>
        <w:t>）</w:t>
      </w:r>
      <w:r>
        <w:rPr>
          <w:kern w:val="2"/>
        </w:rPr>
        <w:t>评价标准</w:t>
      </w:r>
    </w:p>
    <w:p w14:paraId="550607AE" w14:textId="77777777" w:rsidR="003E78AB" w:rsidRDefault="00010BF9">
      <w:pPr>
        <w:ind w:firstLine="480"/>
        <w:rPr>
          <w:kern w:val="2"/>
        </w:rPr>
      </w:pPr>
      <w:r>
        <w:rPr>
          <w:kern w:val="2"/>
        </w:rPr>
        <w:t>本次对周边敏感点土壤环境评价采用《土壤环境质量</w:t>
      </w:r>
      <w:r>
        <w:rPr>
          <w:rFonts w:hint="eastAsia"/>
          <w:kern w:val="2"/>
        </w:rPr>
        <w:t xml:space="preserve"> </w:t>
      </w:r>
      <w:r>
        <w:rPr>
          <w:kern w:val="2"/>
        </w:rPr>
        <w:t>建设用地土壤污染风险管控标准</w:t>
      </w:r>
      <w:r>
        <w:rPr>
          <w:rFonts w:hint="eastAsia"/>
          <w:kern w:val="2"/>
        </w:rPr>
        <w:t>（试行）</w:t>
      </w:r>
      <w:r>
        <w:rPr>
          <w:kern w:val="2"/>
        </w:rPr>
        <w:t>》</w:t>
      </w:r>
      <w:r>
        <w:rPr>
          <w:rFonts w:hint="eastAsia"/>
          <w:kern w:val="2"/>
        </w:rPr>
        <w:t>（</w:t>
      </w:r>
      <w:r>
        <w:rPr>
          <w:kern w:val="2"/>
        </w:rPr>
        <w:t>GB36600-2018</w:t>
      </w:r>
      <w:r>
        <w:rPr>
          <w:rFonts w:hint="eastAsia"/>
          <w:kern w:val="2"/>
        </w:rPr>
        <w:t>）</w:t>
      </w:r>
      <w:r>
        <w:rPr>
          <w:kern w:val="2"/>
        </w:rPr>
        <w:t>第一类用地的筛选值作为评价标准。</w:t>
      </w:r>
    </w:p>
    <w:p w14:paraId="63616FF5" w14:textId="77777777" w:rsidR="003E78AB" w:rsidRDefault="00010BF9">
      <w:pPr>
        <w:ind w:firstLine="480"/>
        <w:rPr>
          <w:kern w:val="2"/>
        </w:rPr>
      </w:pPr>
      <w:r>
        <w:rPr>
          <w:rFonts w:hint="eastAsia"/>
          <w:kern w:val="2"/>
        </w:rPr>
        <w:t>（</w:t>
      </w:r>
      <w:r>
        <w:rPr>
          <w:rFonts w:hint="eastAsia"/>
          <w:kern w:val="2"/>
        </w:rPr>
        <w:t>5</w:t>
      </w:r>
      <w:r>
        <w:rPr>
          <w:rFonts w:hint="eastAsia"/>
          <w:kern w:val="2"/>
        </w:rPr>
        <w:t>）</w:t>
      </w:r>
      <w:r>
        <w:rPr>
          <w:kern w:val="2"/>
        </w:rPr>
        <w:t>计算结果</w:t>
      </w:r>
    </w:p>
    <w:p w14:paraId="2C10EA5D" w14:textId="77777777" w:rsidR="003E78AB" w:rsidRDefault="00010BF9">
      <w:pPr>
        <w:ind w:firstLine="480"/>
        <w:rPr>
          <w:kern w:val="2"/>
        </w:rPr>
      </w:pPr>
      <w:r>
        <w:rPr>
          <w:kern w:val="2"/>
        </w:rPr>
        <w:t>根据大气污染物扩散情况，对不同持续年份</w:t>
      </w:r>
      <w:r>
        <w:rPr>
          <w:rFonts w:hint="eastAsia"/>
          <w:kern w:val="2"/>
        </w:rPr>
        <w:t>（</w:t>
      </w:r>
      <w:r>
        <w:rPr>
          <w:kern w:val="2"/>
        </w:rPr>
        <w:t>5</w:t>
      </w:r>
      <w:r>
        <w:rPr>
          <w:kern w:val="2"/>
        </w:rPr>
        <w:t>年、</w:t>
      </w:r>
      <w:r>
        <w:rPr>
          <w:kern w:val="2"/>
        </w:rPr>
        <w:t>10</w:t>
      </w:r>
      <w:r>
        <w:rPr>
          <w:kern w:val="2"/>
        </w:rPr>
        <w:t>年、</w:t>
      </w:r>
      <w:r>
        <w:rPr>
          <w:kern w:val="2"/>
        </w:rPr>
        <w:t>20</w:t>
      </w:r>
      <w:r>
        <w:rPr>
          <w:kern w:val="2"/>
        </w:rPr>
        <w:t>年、</w:t>
      </w:r>
      <w:r>
        <w:rPr>
          <w:kern w:val="2"/>
        </w:rPr>
        <w:t>30</w:t>
      </w:r>
      <w:r>
        <w:rPr>
          <w:kern w:val="2"/>
        </w:rPr>
        <w:t>年</w:t>
      </w:r>
      <w:r>
        <w:rPr>
          <w:rFonts w:hint="eastAsia"/>
          <w:kern w:val="2"/>
        </w:rPr>
        <w:t>）</w:t>
      </w:r>
      <w:r>
        <w:rPr>
          <w:kern w:val="2"/>
        </w:rPr>
        <w:t>对污染物增量进行</w:t>
      </w:r>
      <w:r>
        <w:rPr>
          <w:kern w:val="2"/>
        </w:rPr>
        <w:t>预测。预测范围内单位年份表层土壤中某种物质的输入量采用大气预测影响预测中正常工况下污染物</w:t>
      </w:r>
      <w:r>
        <w:rPr>
          <w:rFonts w:hint="eastAsia"/>
          <w:kern w:val="2"/>
        </w:rPr>
        <w:t>（</w:t>
      </w:r>
      <w:r>
        <w:rPr>
          <w:kern w:val="2"/>
        </w:rPr>
        <w:t>最大</w:t>
      </w:r>
      <w:r>
        <w:rPr>
          <w:rFonts w:hint="eastAsia"/>
          <w:kern w:val="2"/>
        </w:rPr>
        <w:t>）</w:t>
      </w:r>
      <w:r>
        <w:rPr>
          <w:kern w:val="2"/>
        </w:rPr>
        <w:t>总沉积量。</w:t>
      </w:r>
    </w:p>
    <w:p w14:paraId="1FFBBBE4" w14:textId="77777777" w:rsidR="003E78AB" w:rsidRDefault="00010BF9">
      <w:pPr>
        <w:ind w:firstLine="480"/>
        <w:rPr>
          <w:kern w:val="2"/>
        </w:rPr>
      </w:pPr>
      <w:r>
        <w:rPr>
          <w:kern w:val="2"/>
        </w:rPr>
        <w:t>具体预测情形、参数设置、计算结果等情况见下表。</w:t>
      </w:r>
    </w:p>
    <w:p w14:paraId="1763E5F5" w14:textId="77777777" w:rsidR="003E78AB" w:rsidRDefault="00010BF9">
      <w:pPr>
        <w:pStyle w:val="a4"/>
        <w:spacing w:before="120"/>
        <w:ind w:left="425" w:hanging="425"/>
      </w:pPr>
      <w:r>
        <w:t>厂区外建设用地预测情况一览表</w:t>
      </w:r>
    </w:p>
    <w:tbl>
      <w:tblPr>
        <w:tblStyle w:val="TableNormal"/>
        <w:tblW w:w="500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492"/>
        <w:gridCol w:w="1016"/>
        <w:gridCol w:w="753"/>
        <w:gridCol w:w="1041"/>
        <w:gridCol w:w="998"/>
        <w:gridCol w:w="1113"/>
        <w:gridCol w:w="1174"/>
      </w:tblGrid>
      <w:tr w:rsidR="003E78AB" w14:paraId="123D2C7C" w14:textId="77777777">
        <w:trPr>
          <w:trHeight w:val="565"/>
        </w:trPr>
        <w:tc>
          <w:tcPr>
            <w:tcW w:w="438" w:type="pct"/>
            <w:vAlign w:val="center"/>
          </w:tcPr>
          <w:p w14:paraId="6E79B075" w14:textId="77777777" w:rsidR="003E78AB" w:rsidRDefault="00010BF9">
            <w:pPr>
              <w:pStyle w:val="aff6"/>
              <w:topLinePunct/>
              <w:rPr>
                <w:b/>
                <w:bCs/>
              </w:rPr>
            </w:pPr>
            <w:r>
              <w:rPr>
                <w:b/>
                <w:bCs/>
              </w:rPr>
              <w:t>预测因子</w:t>
            </w:r>
          </w:p>
        </w:tc>
        <w:tc>
          <w:tcPr>
            <w:tcW w:w="897" w:type="pct"/>
            <w:vAlign w:val="center"/>
          </w:tcPr>
          <w:p w14:paraId="4D736B25" w14:textId="77777777" w:rsidR="003E78AB" w:rsidRDefault="00010BF9">
            <w:pPr>
              <w:pStyle w:val="aff6"/>
              <w:topLinePunct/>
              <w:rPr>
                <w:b/>
                <w:bCs/>
              </w:rPr>
            </w:pPr>
            <w:r>
              <w:rPr>
                <w:b/>
                <w:bCs/>
              </w:rPr>
              <w:t>n(</w:t>
            </w:r>
            <w:r>
              <w:rPr>
                <w:b/>
                <w:bCs/>
              </w:rPr>
              <w:t>年</w:t>
            </w:r>
            <w:r>
              <w:rPr>
                <w:b/>
                <w:bCs/>
              </w:rPr>
              <w:t>)</w:t>
            </w:r>
          </w:p>
        </w:tc>
        <w:tc>
          <w:tcPr>
            <w:tcW w:w="611" w:type="pct"/>
            <w:vAlign w:val="center"/>
          </w:tcPr>
          <w:p w14:paraId="5FE240FB" w14:textId="77777777" w:rsidR="003E78AB" w:rsidRDefault="00010BF9">
            <w:pPr>
              <w:pStyle w:val="aff6"/>
              <w:topLinePunct/>
              <w:rPr>
                <w:b/>
                <w:bCs/>
              </w:rPr>
            </w:pPr>
            <w:r>
              <w:rPr>
                <w:rFonts w:hint="eastAsia"/>
                <w:b/>
                <w:bCs/>
              </w:rPr>
              <w:t>ρ</w:t>
            </w:r>
            <w:r>
              <w:rPr>
                <w:b/>
                <w:bCs/>
                <w:vertAlign w:val="subscript"/>
              </w:rPr>
              <w:t>b</w:t>
            </w:r>
            <w:r>
              <w:rPr>
                <w:b/>
                <w:bCs/>
              </w:rPr>
              <w:t>(kg/m</w:t>
            </w:r>
            <w:r>
              <w:rPr>
                <w:b/>
                <w:bCs/>
                <w:vertAlign w:val="superscript"/>
              </w:rPr>
              <w:t>3</w:t>
            </w:r>
            <w:r>
              <w:rPr>
                <w:b/>
                <w:bCs/>
              </w:rPr>
              <w:t>)</w:t>
            </w:r>
          </w:p>
        </w:tc>
        <w:tc>
          <w:tcPr>
            <w:tcW w:w="453" w:type="pct"/>
            <w:vAlign w:val="center"/>
          </w:tcPr>
          <w:p w14:paraId="05E3D586" w14:textId="77777777" w:rsidR="003E78AB" w:rsidRDefault="00010BF9">
            <w:pPr>
              <w:pStyle w:val="aff6"/>
              <w:topLinePunct/>
              <w:rPr>
                <w:b/>
                <w:bCs/>
              </w:rPr>
            </w:pPr>
            <w:r>
              <w:rPr>
                <w:b/>
                <w:bCs/>
              </w:rPr>
              <w:t>D(m)</w:t>
            </w:r>
          </w:p>
        </w:tc>
        <w:tc>
          <w:tcPr>
            <w:tcW w:w="626" w:type="pct"/>
            <w:vAlign w:val="center"/>
          </w:tcPr>
          <w:p w14:paraId="10831E38" w14:textId="77777777" w:rsidR="003E78AB" w:rsidRDefault="00010BF9">
            <w:pPr>
              <w:pStyle w:val="aff6"/>
              <w:topLinePunct/>
              <w:rPr>
                <w:b/>
                <w:bCs/>
              </w:rPr>
            </w:pPr>
            <w:r>
              <w:rPr>
                <w:b/>
                <w:bCs/>
              </w:rPr>
              <w:t>∆</w:t>
            </w:r>
            <w:r>
              <w:rPr>
                <w:b/>
                <w:bCs/>
              </w:rPr>
              <w:t>S(mg/kg)</w:t>
            </w:r>
          </w:p>
        </w:tc>
        <w:tc>
          <w:tcPr>
            <w:tcW w:w="600" w:type="pct"/>
            <w:vAlign w:val="center"/>
          </w:tcPr>
          <w:p w14:paraId="112B0816" w14:textId="77777777" w:rsidR="003E78AB" w:rsidRDefault="00010BF9">
            <w:pPr>
              <w:pStyle w:val="aff6"/>
              <w:topLinePunct/>
              <w:rPr>
                <w:b/>
                <w:bCs/>
              </w:rPr>
            </w:pPr>
            <w:r>
              <w:rPr>
                <w:b/>
                <w:bCs/>
              </w:rPr>
              <w:t>背景值</w:t>
            </w:r>
            <w:r>
              <w:rPr>
                <w:b/>
                <w:bCs/>
              </w:rPr>
              <w:t>(mg/kg)</w:t>
            </w:r>
          </w:p>
        </w:tc>
        <w:tc>
          <w:tcPr>
            <w:tcW w:w="669" w:type="pct"/>
            <w:vAlign w:val="center"/>
          </w:tcPr>
          <w:p w14:paraId="3AE2013E" w14:textId="77777777" w:rsidR="003E78AB" w:rsidRDefault="00010BF9">
            <w:pPr>
              <w:pStyle w:val="aff6"/>
              <w:topLinePunct/>
              <w:rPr>
                <w:b/>
                <w:bCs/>
              </w:rPr>
            </w:pPr>
            <w:r>
              <w:rPr>
                <w:b/>
                <w:bCs/>
              </w:rPr>
              <w:t>预测值</w:t>
            </w:r>
            <w:r>
              <w:rPr>
                <w:b/>
                <w:bCs/>
              </w:rPr>
              <w:t>(mg/kg)</w:t>
            </w:r>
          </w:p>
        </w:tc>
        <w:tc>
          <w:tcPr>
            <w:tcW w:w="702" w:type="pct"/>
            <w:vAlign w:val="center"/>
          </w:tcPr>
          <w:p w14:paraId="0B568BC8" w14:textId="77777777" w:rsidR="003E78AB" w:rsidRDefault="00010BF9">
            <w:pPr>
              <w:pStyle w:val="aff6"/>
              <w:topLinePunct/>
              <w:rPr>
                <w:b/>
                <w:bCs/>
              </w:rPr>
            </w:pPr>
            <w:r>
              <w:rPr>
                <w:b/>
                <w:bCs/>
              </w:rPr>
              <w:t>筛选值</w:t>
            </w:r>
            <w:r>
              <w:rPr>
                <w:b/>
                <w:bCs/>
              </w:rPr>
              <w:t>(mg/kg)</w:t>
            </w:r>
          </w:p>
        </w:tc>
      </w:tr>
      <w:tr w:rsidR="003E78AB" w14:paraId="3302F4D6" w14:textId="77777777">
        <w:trPr>
          <w:trHeight w:val="244"/>
        </w:trPr>
        <w:tc>
          <w:tcPr>
            <w:tcW w:w="438" w:type="pct"/>
            <w:vMerge w:val="restart"/>
            <w:vAlign w:val="center"/>
          </w:tcPr>
          <w:p w14:paraId="4FE046B2" w14:textId="77777777" w:rsidR="003E78AB" w:rsidRDefault="00010BF9">
            <w:pPr>
              <w:pStyle w:val="aff6"/>
              <w:topLinePunct/>
            </w:pPr>
            <w:r>
              <w:t>钒</w:t>
            </w:r>
          </w:p>
        </w:tc>
        <w:tc>
          <w:tcPr>
            <w:tcW w:w="897" w:type="pct"/>
            <w:vAlign w:val="center"/>
          </w:tcPr>
          <w:p w14:paraId="6A04F699" w14:textId="77777777" w:rsidR="003E78AB" w:rsidRDefault="00010BF9">
            <w:pPr>
              <w:pStyle w:val="aff6"/>
              <w:topLinePunct/>
            </w:pPr>
            <w:r>
              <w:t>5</w:t>
            </w:r>
          </w:p>
        </w:tc>
        <w:tc>
          <w:tcPr>
            <w:tcW w:w="611" w:type="pct"/>
            <w:vMerge w:val="restart"/>
            <w:vAlign w:val="center"/>
          </w:tcPr>
          <w:p w14:paraId="5B7546EA" w14:textId="77777777" w:rsidR="003E78AB" w:rsidRDefault="00010BF9">
            <w:pPr>
              <w:pStyle w:val="aff6"/>
              <w:topLinePunct/>
            </w:pPr>
            <w:r>
              <w:t>1220</w:t>
            </w:r>
          </w:p>
        </w:tc>
        <w:tc>
          <w:tcPr>
            <w:tcW w:w="453" w:type="pct"/>
            <w:vMerge w:val="restart"/>
            <w:vAlign w:val="center"/>
          </w:tcPr>
          <w:p w14:paraId="3D2E5819" w14:textId="77777777" w:rsidR="003E78AB" w:rsidRDefault="00010BF9">
            <w:pPr>
              <w:pStyle w:val="aff6"/>
              <w:topLinePunct/>
            </w:pPr>
            <w:r>
              <w:t>0.2</w:t>
            </w:r>
          </w:p>
        </w:tc>
        <w:tc>
          <w:tcPr>
            <w:tcW w:w="626" w:type="pct"/>
            <w:vAlign w:val="center"/>
          </w:tcPr>
          <w:p w14:paraId="35F68FCC" w14:textId="77777777" w:rsidR="003E78AB" w:rsidRDefault="00010BF9">
            <w:pPr>
              <w:pStyle w:val="aff6"/>
              <w:topLinePunct/>
            </w:pPr>
            <w:r>
              <w:rPr>
                <w:rFonts w:hint="eastAsia"/>
              </w:rPr>
              <w:t>0.005</w:t>
            </w:r>
          </w:p>
        </w:tc>
        <w:tc>
          <w:tcPr>
            <w:tcW w:w="600" w:type="pct"/>
            <w:vMerge w:val="restart"/>
            <w:vAlign w:val="center"/>
          </w:tcPr>
          <w:p w14:paraId="4EF76158" w14:textId="77777777" w:rsidR="003E78AB" w:rsidRDefault="00010BF9">
            <w:pPr>
              <w:pStyle w:val="aff6"/>
              <w:topLinePunct/>
            </w:pPr>
            <w:r>
              <w:rPr>
                <w:rFonts w:hint="eastAsia"/>
              </w:rPr>
              <w:t>0.11</w:t>
            </w:r>
          </w:p>
        </w:tc>
        <w:tc>
          <w:tcPr>
            <w:tcW w:w="669" w:type="pct"/>
            <w:vAlign w:val="center"/>
          </w:tcPr>
          <w:p w14:paraId="035E5DD1" w14:textId="77777777" w:rsidR="003E78AB" w:rsidRDefault="00010BF9">
            <w:pPr>
              <w:pStyle w:val="aff6"/>
              <w:topLinePunct/>
              <w:rPr>
                <w:b/>
                <w:bCs/>
                <w:u w:val="single"/>
              </w:rPr>
            </w:pPr>
            <w:r>
              <w:rPr>
                <w:rFonts w:hint="eastAsia"/>
                <w:b/>
                <w:bCs/>
                <w:u w:val="single"/>
              </w:rPr>
              <w:t>0.115</w:t>
            </w:r>
          </w:p>
        </w:tc>
        <w:tc>
          <w:tcPr>
            <w:tcW w:w="702" w:type="pct"/>
            <w:vMerge w:val="restart"/>
            <w:vAlign w:val="center"/>
          </w:tcPr>
          <w:p w14:paraId="5641BD2B" w14:textId="77777777" w:rsidR="003E78AB" w:rsidRDefault="00010BF9">
            <w:pPr>
              <w:pStyle w:val="aff6"/>
              <w:topLinePunct/>
            </w:pPr>
            <w:r>
              <w:t>165</w:t>
            </w:r>
          </w:p>
        </w:tc>
      </w:tr>
      <w:tr w:rsidR="003E78AB" w14:paraId="72FEC351" w14:textId="77777777">
        <w:trPr>
          <w:trHeight w:val="248"/>
        </w:trPr>
        <w:tc>
          <w:tcPr>
            <w:tcW w:w="438" w:type="pct"/>
            <w:vMerge/>
            <w:vAlign w:val="center"/>
          </w:tcPr>
          <w:p w14:paraId="137783E5" w14:textId="77777777" w:rsidR="003E78AB" w:rsidRDefault="003E78AB">
            <w:pPr>
              <w:pStyle w:val="aff6"/>
              <w:topLinePunct/>
            </w:pPr>
          </w:p>
        </w:tc>
        <w:tc>
          <w:tcPr>
            <w:tcW w:w="897" w:type="pct"/>
            <w:vAlign w:val="center"/>
          </w:tcPr>
          <w:p w14:paraId="6B0BACF9" w14:textId="77777777" w:rsidR="003E78AB" w:rsidRDefault="00010BF9">
            <w:pPr>
              <w:pStyle w:val="aff6"/>
              <w:topLinePunct/>
            </w:pPr>
            <w:r>
              <w:t>10</w:t>
            </w:r>
          </w:p>
        </w:tc>
        <w:tc>
          <w:tcPr>
            <w:tcW w:w="611" w:type="pct"/>
            <w:vMerge/>
            <w:vAlign w:val="center"/>
          </w:tcPr>
          <w:p w14:paraId="39F7C2EB" w14:textId="77777777" w:rsidR="003E78AB" w:rsidRDefault="003E78AB">
            <w:pPr>
              <w:pStyle w:val="aff6"/>
              <w:topLinePunct/>
            </w:pPr>
          </w:p>
        </w:tc>
        <w:tc>
          <w:tcPr>
            <w:tcW w:w="453" w:type="pct"/>
            <w:vMerge/>
            <w:vAlign w:val="center"/>
          </w:tcPr>
          <w:p w14:paraId="70FD91F3" w14:textId="77777777" w:rsidR="003E78AB" w:rsidRDefault="003E78AB">
            <w:pPr>
              <w:pStyle w:val="aff6"/>
              <w:topLinePunct/>
            </w:pPr>
          </w:p>
        </w:tc>
        <w:tc>
          <w:tcPr>
            <w:tcW w:w="626" w:type="pct"/>
            <w:vAlign w:val="center"/>
          </w:tcPr>
          <w:p w14:paraId="4AD51CA6" w14:textId="77777777" w:rsidR="003E78AB" w:rsidRDefault="00010BF9">
            <w:pPr>
              <w:pStyle w:val="aff6"/>
              <w:topLinePunct/>
            </w:pPr>
            <w:r>
              <w:t>0.009</w:t>
            </w:r>
          </w:p>
        </w:tc>
        <w:tc>
          <w:tcPr>
            <w:tcW w:w="600" w:type="pct"/>
            <w:vMerge/>
            <w:vAlign w:val="center"/>
          </w:tcPr>
          <w:p w14:paraId="6CB8F26E" w14:textId="77777777" w:rsidR="003E78AB" w:rsidRDefault="003E78AB">
            <w:pPr>
              <w:pStyle w:val="aff6"/>
              <w:topLinePunct/>
            </w:pPr>
          </w:p>
        </w:tc>
        <w:tc>
          <w:tcPr>
            <w:tcW w:w="669" w:type="pct"/>
            <w:vAlign w:val="center"/>
          </w:tcPr>
          <w:p w14:paraId="0E3955E8" w14:textId="77777777" w:rsidR="003E78AB" w:rsidRDefault="00010BF9">
            <w:pPr>
              <w:pStyle w:val="aff6"/>
              <w:topLinePunct/>
              <w:rPr>
                <w:b/>
                <w:bCs/>
                <w:u w:val="single"/>
              </w:rPr>
            </w:pPr>
            <w:r>
              <w:rPr>
                <w:rFonts w:hint="eastAsia"/>
                <w:b/>
                <w:bCs/>
                <w:u w:val="single"/>
              </w:rPr>
              <w:t>0.119</w:t>
            </w:r>
          </w:p>
        </w:tc>
        <w:tc>
          <w:tcPr>
            <w:tcW w:w="702" w:type="pct"/>
            <w:vMerge/>
            <w:vAlign w:val="center"/>
          </w:tcPr>
          <w:p w14:paraId="48A16725" w14:textId="77777777" w:rsidR="003E78AB" w:rsidRDefault="003E78AB">
            <w:pPr>
              <w:pStyle w:val="aff6"/>
              <w:topLinePunct/>
            </w:pPr>
          </w:p>
        </w:tc>
      </w:tr>
      <w:tr w:rsidR="003E78AB" w14:paraId="67741DE0" w14:textId="77777777">
        <w:trPr>
          <w:trHeight w:val="244"/>
        </w:trPr>
        <w:tc>
          <w:tcPr>
            <w:tcW w:w="438" w:type="pct"/>
            <w:vMerge/>
            <w:vAlign w:val="center"/>
          </w:tcPr>
          <w:p w14:paraId="3297E234" w14:textId="77777777" w:rsidR="003E78AB" w:rsidRDefault="003E78AB">
            <w:pPr>
              <w:pStyle w:val="aff6"/>
              <w:topLinePunct/>
            </w:pPr>
          </w:p>
        </w:tc>
        <w:tc>
          <w:tcPr>
            <w:tcW w:w="897" w:type="pct"/>
            <w:vAlign w:val="center"/>
          </w:tcPr>
          <w:p w14:paraId="07CDAE66" w14:textId="77777777" w:rsidR="003E78AB" w:rsidRDefault="00010BF9">
            <w:pPr>
              <w:pStyle w:val="aff6"/>
              <w:topLinePunct/>
            </w:pPr>
            <w:r>
              <w:t>20</w:t>
            </w:r>
          </w:p>
        </w:tc>
        <w:tc>
          <w:tcPr>
            <w:tcW w:w="611" w:type="pct"/>
            <w:vMerge/>
            <w:vAlign w:val="center"/>
          </w:tcPr>
          <w:p w14:paraId="78A839CC" w14:textId="77777777" w:rsidR="003E78AB" w:rsidRDefault="003E78AB">
            <w:pPr>
              <w:pStyle w:val="aff6"/>
              <w:topLinePunct/>
            </w:pPr>
          </w:p>
        </w:tc>
        <w:tc>
          <w:tcPr>
            <w:tcW w:w="453" w:type="pct"/>
            <w:vMerge/>
            <w:vAlign w:val="center"/>
          </w:tcPr>
          <w:p w14:paraId="68BE3088" w14:textId="77777777" w:rsidR="003E78AB" w:rsidRDefault="003E78AB">
            <w:pPr>
              <w:pStyle w:val="aff6"/>
              <w:topLinePunct/>
            </w:pPr>
          </w:p>
        </w:tc>
        <w:tc>
          <w:tcPr>
            <w:tcW w:w="626" w:type="pct"/>
            <w:vAlign w:val="center"/>
          </w:tcPr>
          <w:p w14:paraId="6358C11F" w14:textId="77777777" w:rsidR="003E78AB" w:rsidRDefault="00010BF9">
            <w:pPr>
              <w:pStyle w:val="aff6"/>
              <w:topLinePunct/>
            </w:pPr>
            <w:r>
              <w:t>0.018</w:t>
            </w:r>
          </w:p>
        </w:tc>
        <w:tc>
          <w:tcPr>
            <w:tcW w:w="600" w:type="pct"/>
            <w:vMerge/>
            <w:vAlign w:val="center"/>
          </w:tcPr>
          <w:p w14:paraId="5EF5BBCB" w14:textId="77777777" w:rsidR="003E78AB" w:rsidRDefault="003E78AB">
            <w:pPr>
              <w:pStyle w:val="aff6"/>
              <w:topLinePunct/>
            </w:pPr>
          </w:p>
        </w:tc>
        <w:tc>
          <w:tcPr>
            <w:tcW w:w="669" w:type="pct"/>
            <w:vAlign w:val="center"/>
          </w:tcPr>
          <w:p w14:paraId="14324C6A" w14:textId="77777777" w:rsidR="003E78AB" w:rsidRDefault="00010BF9">
            <w:pPr>
              <w:pStyle w:val="aff6"/>
              <w:topLinePunct/>
              <w:rPr>
                <w:b/>
                <w:bCs/>
                <w:u w:val="single"/>
              </w:rPr>
            </w:pPr>
            <w:r>
              <w:rPr>
                <w:rFonts w:hint="eastAsia"/>
                <w:b/>
                <w:bCs/>
                <w:u w:val="single"/>
              </w:rPr>
              <w:t>0.128</w:t>
            </w:r>
          </w:p>
        </w:tc>
        <w:tc>
          <w:tcPr>
            <w:tcW w:w="702" w:type="pct"/>
            <w:vMerge/>
            <w:vAlign w:val="center"/>
          </w:tcPr>
          <w:p w14:paraId="68AA4709" w14:textId="77777777" w:rsidR="003E78AB" w:rsidRDefault="003E78AB">
            <w:pPr>
              <w:pStyle w:val="aff6"/>
              <w:topLinePunct/>
            </w:pPr>
          </w:p>
        </w:tc>
      </w:tr>
      <w:tr w:rsidR="003E78AB" w14:paraId="62A21EDF" w14:textId="77777777">
        <w:trPr>
          <w:trHeight w:val="263"/>
        </w:trPr>
        <w:tc>
          <w:tcPr>
            <w:tcW w:w="438" w:type="pct"/>
            <w:vMerge/>
            <w:vAlign w:val="center"/>
          </w:tcPr>
          <w:p w14:paraId="6CAB1302" w14:textId="77777777" w:rsidR="003E78AB" w:rsidRDefault="003E78AB">
            <w:pPr>
              <w:pStyle w:val="aff6"/>
              <w:topLinePunct/>
            </w:pPr>
          </w:p>
        </w:tc>
        <w:tc>
          <w:tcPr>
            <w:tcW w:w="897" w:type="pct"/>
            <w:vAlign w:val="center"/>
          </w:tcPr>
          <w:p w14:paraId="7A051E7F" w14:textId="77777777" w:rsidR="003E78AB" w:rsidRDefault="00010BF9">
            <w:pPr>
              <w:pStyle w:val="aff6"/>
              <w:topLinePunct/>
            </w:pPr>
            <w:r>
              <w:t>30</w:t>
            </w:r>
          </w:p>
        </w:tc>
        <w:tc>
          <w:tcPr>
            <w:tcW w:w="611" w:type="pct"/>
            <w:vMerge/>
            <w:vAlign w:val="center"/>
          </w:tcPr>
          <w:p w14:paraId="316FE832" w14:textId="77777777" w:rsidR="003E78AB" w:rsidRDefault="003E78AB">
            <w:pPr>
              <w:pStyle w:val="aff6"/>
              <w:topLinePunct/>
            </w:pPr>
          </w:p>
        </w:tc>
        <w:tc>
          <w:tcPr>
            <w:tcW w:w="453" w:type="pct"/>
            <w:vMerge/>
            <w:vAlign w:val="center"/>
          </w:tcPr>
          <w:p w14:paraId="2D2B9BF5" w14:textId="77777777" w:rsidR="003E78AB" w:rsidRDefault="003E78AB">
            <w:pPr>
              <w:pStyle w:val="aff6"/>
              <w:topLinePunct/>
            </w:pPr>
          </w:p>
        </w:tc>
        <w:tc>
          <w:tcPr>
            <w:tcW w:w="626" w:type="pct"/>
            <w:vAlign w:val="center"/>
          </w:tcPr>
          <w:p w14:paraId="7D0ADF04" w14:textId="77777777" w:rsidR="003E78AB" w:rsidRDefault="00010BF9">
            <w:pPr>
              <w:pStyle w:val="aff6"/>
              <w:topLinePunct/>
            </w:pPr>
            <w:r>
              <w:t>0.027</w:t>
            </w:r>
          </w:p>
        </w:tc>
        <w:tc>
          <w:tcPr>
            <w:tcW w:w="600" w:type="pct"/>
            <w:vMerge/>
            <w:vAlign w:val="center"/>
          </w:tcPr>
          <w:p w14:paraId="251A9491" w14:textId="77777777" w:rsidR="003E78AB" w:rsidRDefault="003E78AB">
            <w:pPr>
              <w:pStyle w:val="aff6"/>
              <w:topLinePunct/>
            </w:pPr>
          </w:p>
        </w:tc>
        <w:tc>
          <w:tcPr>
            <w:tcW w:w="669" w:type="pct"/>
            <w:vAlign w:val="center"/>
          </w:tcPr>
          <w:p w14:paraId="07C238C0" w14:textId="77777777" w:rsidR="003E78AB" w:rsidRDefault="00010BF9">
            <w:pPr>
              <w:pStyle w:val="aff6"/>
              <w:topLinePunct/>
              <w:rPr>
                <w:b/>
                <w:bCs/>
                <w:u w:val="single"/>
              </w:rPr>
            </w:pPr>
            <w:r>
              <w:rPr>
                <w:rFonts w:hint="eastAsia"/>
                <w:b/>
                <w:bCs/>
                <w:u w:val="single"/>
              </w:rPr>
              <w:t>0.137</w:t>
            </w:r>
          </w:p>
        </w:tc>
        <w:tc>
          <w:tcPr>
            <w:tcW w:w="702" w:type="pct"/>
            <w:vMerge/>
            <w:vAlign w:val="center"/>
          </w:tcPr>
          <w:p w14:paraId="4107C876" w14:textId="77777777" w:rsidR="003E78AB" w:rsidRDefault="003E78AB">
            <w:pPr>
              <w:pStyle w:val="aff6"/>
              <w:topLinePunct/>
            </w:pPr>
          </w:p>
        </w:tc>
      </w:tr>
      <w:tr w:rsidR="003E78AB" w14:paraId="5FB6FA02" w14:textId="77777777">
        <w:trPr>
          <w:trHeight w:val="263"/>
        </w:trPr>
        <w:tc>
          <w:tcPr>
            <w:tcW w:w="5000" w:type="pct"/>
            <w:gridSpan w:val="8"/>
            <w:vAlign w:val="center"/>
          </w:tcPr>
          <w:p w14:paraId="00874036" w14:textId="77777777" w:rsidR="003E78AB" w:rsidRDefault="00010BF9">
            <w:pPr>
              <w:pStyle w:val="aff6"/>
              <w:topLinePunct/>
            </w:pPr>
            <w:r>
              <w:t>注：颗粒物主要成分为五氧化二钒</w:t>
            </w:r>
            <w:r>
              <w:t>(</w:t>
            </w:r>
            <w:r>
              <w:t>约占颗粒物的</w:t>
            </w:r>
            <w:r>
              <w:t>99.5%)</w:t>
            </w:r>
            <w:r>
              <w:t>，五氧化二钒中钒的质量约占</w:t>
            </w:r>
            <w:r>
              <w:t>56%</w:t>
            </w:r>
          </w:p>
        </w:tc>
      </w:tr>
    </w:tbl>
    <w:p w14:paraId="09A206E2" w14:textId="77777777" w:rsidR="003E78AB" w:rsidRDefault="00010BF9">
      <w:pPr>
        <w:ind w:firstLine="480"/>
        <w:rPr>
          <w:kern w:val="2"/>
        </w:rPr>
      </w:pPr>
      <w:r>
        <w:rPr>
          <w:kern w:val="2"/>
        </w:rPr>
        <w:t>由上表可知，在上述情景模式和工况下，项目废气污染物颗粒物通过大气沉降途径对土壤环境影响较小。厂区外建设用地钒满足《土壤环境质量</w:t>
      </w:r>
      <w:r>
        <w:rPr>
          <w:rFonts w:hint="eastAsia"/>
          <w:kern w:val="2"/>
        </w:rPr>
        <w:t xml:space="preserve"> </w:t>
      </w:r>
      <w:r>
        <w:rPr>
          <w:kern w:val="2"/>
        </w:rPr>
        <w:t>建设用地土壤污染风险管控标准》</w:t>
      </w:r>
      <w:r>
        <w:rPr>
          <w:rFonts w:hint="eastAsia"/>
          <w:kern w:val="2"/>
        </w:rPr>
        <w:t>（</w:t>
      </w:r>
      <w:r>
        <w:rPr>
          <w:kern w:val="2"/>
        </w:rPr>
        <w:t>试行</w:t>
      </w:r>
      <w:r>
        <w:rPr>
          <w:rFonts w:hint="eastAsia"/>
          <w:kern w:val="2"/>
        </w:rPr>
        <w:t>）（</w:t>
      </w:r>
      <w:r>
        <w:rPr>
          <w:kern w:val="2"/>
        </w:rPr>
        <w:t>GB36600-2018</w:t>
      </w:r>
      <w:r>
        <w:rPr>
          <w:rFonts w:hint="eastAsia"/>
          <w:kern w:val="2"/>
        </w:rPr>
        <w:t>）</w:t>
      </w:r>
      <w:r>
        <w:rPr>
          <w:kern w:val="2"/>
        </w:rPr>
        <w:t>中第一类建设用地风险筛选值要求。</w:t>
      </w:r>
    </w:p>
    <w:p w14:paraId="27EEB71D" w14:textId="77777777" w:rsidR="003E78AB" w:rsidRDefault="00010BF9">
      <w:pPr>
        <w:pStyle w:val="5"/>
        <w:keepNext w:val="0"/>
        <w:keepLines w:val="0"/>
        <w:ind w:firstLine="482"/>
        <w:rPr>
          <w:sz w:val="24"/>
        </w:rPr>
      </w:pPr>
      <w:r>
        <w:rPr>
          <w:rFonts w:hint="eastAsia"/>
          <w:sz w:val="24"/>
        </w:rPr>
        <w:t>2.</w:t>
      </w:r>
      <w:r>
        <w:rPr>
          <w:sz w:val="24"/>
        </w:rPr>
        <w:t>地面漫流</w:t>
      </w:r>
    </w:p>
    <w:p w14:paraId="0BF3910E" w14:textId="77777777" w:rsidR="003E78AB" w:rsidRDefault="00010BF9">
      <w:pPr>
        <w:ind w:firstLine="480"/>
        <w:rPr>
          <w:kern w:val="2"/>
        </w:rPr>
      </w:pPr>
      <w:r>
        <w:rPr>
          <w:kern w:val="2"/>
        </w:rPr>
        <w:t>对厂区地上设施，在事故情况和降雨情况产生的废水会发生地面漫流对土壤造成影响。项目具有完善的事故废水应急处理措施。</w:t>
      </w:r>
    </w:p>
    <w:p w14:paraId="1A107E6F" w14:textId="77777777" w:rsidR="003E78AB" w:rsidRDefault="00010BF9">
      <w:pPr>
        <w:ind w:firstLine="480"/>
        <w:rPr>
          <w:kern w:val="2"/>
        </w:rPr>
      </w:pPr>
      <w:r>
        <w:rPr>
          <w:kern w:val="2"/>
        </w:rPr>
        <w:t>①</w:t>
      </w:r>
      <w:r>
        <w:rPr>
          <w:kern w:val="2"/>
        </w:rPr>
        <w:t>项目各生产车间设有排水管网，事故状态下可经阀门将事故废水排入事故水池暂存；</w:t>
      </w:r>
    </w:p>
    <w:p w14:paraId="05CF3295" w14:textId="77777777" w:rsidR="003E78AB" w:rsidRDefault="00010BF9">
      <w:pPr>
        <w:ind w:firstLine="480"/>
        <w:rPr>
          <w:kern w:val="2"/>
        </w:rPr>
      </w:pPr>
      <w:r>
        <w:rPr>
          <w:kern w:val="2"/>
        </w:rPr>
        <w:t>②</w:t>
      </w:r>
      <w:r>
        <w:rPr>
          <w:kern w:val="2"/>
        </w:rPr>
        <w:t>厂区内雨水排水管沿道路敷设，初期雨水可经管线排入厂区</w:t>
      </w:r>
      <w:r>
        <w:rPr>
          <w:rFonts w:hint="eastAsia"/>
          <w:kern w:val="2"/>
        </w:rPr>
        <w:t>初期雨水池</w:t>
      </w:r>
      <w:r>
        <w:rPr>
          <w:kern w:val="2"/>
        </w:rPr>
        <w:t>暂存；</w:t>
      </w:r>
    </w:p>
    <w:p w14:paraId="78D431D4" w14:textId="77777777" w:rsidR="003E78AB" w:rsidRDefault="00010BF9">
      <w:pPr>
        <w:ind w:firstLine="480"/>
        <w:rPr>
          <w:kern w:val="2"/>
        </w:rPr>
      </w:pPr>
      <w:r>
        <w:rPr>
          <w:kern w:val="2"/>
        </w:rPr>
        <w:t>③</w:t>
      </w:r>
      <w:r>
        <w:rPr>
          <w:kern w:val="2"/>
        </w:rPr>
        <w:t>项目火灾事故状态下，消防废水可通过车间内部的废水排水管网和车间外部的雨水排水管网收集，切换排水管网的控制阀门可将消防废水纳入厂区事故水池。</w:t>
      </w:r>
    </w:p>
    <w:p w14:paraId="7F887897" w14:textId="77777777" w:rsidR="003E78AB" w:rsidRDefault="00010BF9">
      <w:pPr>
        <w:ind w:firstLine="480"/>
        <w:rPr>
          <w:kern w:val="2"/>
        </w:rPr>
      </w:pPr>
      <w:r>
        <w:rPr>
          <w:kern w:val="2"/>
        </w:rPr>
        <w:t>在全面实施事故废水应急处理措施的情况下，项目通过地表漫流途径对土壤环境的影响较小。</w:t>
      </w:r>
    </w:p>
    <w:p w14:paraId="31872C52" w14:textId="77777777" w:rsidR="003E78AB" w:rsidRDefault="00010BF9">
      <w:pPr>
        <w:pStyle w:val="5"/>
        <w:keepNext w:val="0"/>
        <w:keepLines w:val="0"/>
        <w:ind w:firstLine="482"/>
        <w:rPr>
          <w:sz w:val="24"/>
        </w:rPr>
      </w:pPr>
      <w:r>
        <w:rPr>
          <w:rFonts w:hint="eastAsia"/>
          <w:sz w:val="24"/>
        </w:rPr>
        <w:t>3.</w:t>
      </w:r>
      <w:r>
        <w:rPr>
          <w:sz w:val="24"/>
        </w:rPr>
        <w:t>垂直入渗</w:t>
      </w:r>
    </w:p>
    <w:p w14:paraId="29BC1C2F" w14:textId="77777777" w:rsidR="003E78AB" w:rsidRDefault="00010BF9">
      <w:pPr>
        <w:ind w:firstLine="480"/>
        <w:rPr>
          <w:kern w:val="2"/>
        </w:rPr>
      </w:pPr>
      <w:r>
        <w:rPr>
          <w:kern w:val="2"/>
        </w:rPr>
        <w:t>本项目实施后，由于生产装置、污水管道均严格按照环保规范技术进行防渗处理，在正常工况下不会发生废水污染物泄漏进入土壤。事故情况下厂区垂直入渗情形为</w:t>
      </w:r>
      <w:r>
        <w:rPr>
          <w:rFonts w:hint="eastAsia"/>
          <w:kern w:val="2"/>
        </w:rPr>
        <w:t>工艺废气淋洗设施的淋洗液</w:t>
      </w:r>
      <w:r>
        <w:rPr>
          <w:rFonts w:hint="eastAsia"/>
          <w:kern w:val="2"/>
        </w:rPr>
        <w:t>/</w:t>
      </w:r>
      <w:r>
        <w:rPr>
          <w:rFonts w:hint="eastAsia"/>
          <w:kern w:val="2"/>
        </w:rPr>
        <w:t>水循环水箱</w:t>
      </w:r>
      <w:r>
        <w:rPr>
          <w:kern w:val="2"/>
        </w:rPr>
        <w:t>渗漏事故，废水中污染物随废水垂直入渗穿透包气带进入地下水，可能同时对土壤及地下水造成污染影响，本次评价依据《环境影响评价技术导则土壤环境</w:t>
      </w:r>
      <w:r>
        <w:rPr>
          <w:rFonts w:hint="eastAsia"/>
          <w:kern w:val="2"/>
        </w:rPr>
        <w:t>（试行）</w:t>
      </w:r>
      <w:r>
        <w:rPr>
          <w:kern w:val="2"/>
        </w:rPr>
        <w:t>》</w:t>
      </w:r>
      <w:r>
        <w:rPr>
          <w:kern w:val="2"/>
        </w:rPr>
        <w:tab/>
        <w:t>(HJ964-2018)</w:t>
      </w:r>
      <w:r>
        <w:rPr>
          <w:kern w:val="2"/>
        </w:rPr>
        <w:t>以及附录</w:t>
      </w:r>
      <w:r>
        <w:rPr>
          <w:kern w:val="2"/>
        </w:rPr>
        <w:t>E</w:t>
      </w:r>
      <w:r>
        <w:rPr>
          <w:kern w:val="2"/>
        </w:rPr>
        <w:t>推荐的一维非饱和溶质运移模型预测方法，预测</w:t>
      </w:r>
      <w:r>
        <w:rPr>
          <w:rFonts w:hint="eastAsia"/>
          <w:kern w:val="2"/>
        </w:rPr>
        <w:t>工艺废气淋洗设施的淋洗液</w:t>
      </w:r>
      <w:r>
        <w:rPr>
          <w:rFonts w:hint="eastAsia"/>
          <w:kern w:val="2"/>
        </w:rPr>
        <w:t>/</w:t>
      </w:r>
      <w:r>
        <w:rPr>
          <w:rFonts w:hint="eastAsia"/>
          <w:kern w:val="2"/>
        </w:rPr>
        <w:t>水循环水箱</w:t>
      </w:r>
      <w:r>
        <w:rPr>
          <w:kern w:val="2"/>
        </w:rPr>
        <w:t>事故渗漏、以点源形式垂直进入土壤环境的影响。</w:t>
      </w:r>
    </w:p>
    <w:p w14:paraId="3091FB1C" w14:textId="77777777" w:rsidR="003E78AB" w:rsidRDefault="00010BF9">
      <w:pPr>
        <w:ind w:firstLine="480"/>
        <w:rPr>
          <w:kern w:val="2"/>
        </w:rPr>
      </w:pPr>
      <w:r>
        <w:rPr>
          <w:rFonts w:hint="eastAsia"/>
          <w:kern w:val="2"/>
        </w:rPr>
        <w:t>（</w:t>
      </w:r>
      <w:r>
        <w:rPr>
          <w:rFonts w:hint="eastAsia"/>
          <w:kern w:val="2"/>
        </w:rPr>
        <w:t>1</w:t>
      </w:r>
      <w:r>
        <w:rPr>
          <w:rFonts w:hint="eastAsia"/>
          <w:kern w:val="2"/>
        </w:rPr>
        <w:t>）</w:t>
      </w:r>
      <w:r>
        <w:rPr>
          <w:kern w:val="2"/>
        </w:rPr>
        <w:t>预测方案</w:t>
      </w:r>
    </w:p>
    <w:p w14:paraId="6B5B3850" w14:textId="77777777" w:rsidR="003E78AB" w:rsidRDefault="00010BF9">
      <w:pPr>
        <w:ind w:firstLine="480"/>
        <w:rPr>
          <w:kern w:val="2"/>
        </w:rPr>
      </w:pPr>
      <w:r>
        <w:rPr>
          <w:kern w:val="2"/>
        </w:rPr>
        <w:t>预测情景：</w:t>
      </w:r>
      <w:r>
        <w:rPr>
          <w:kern w:val="2"/>
        </w:rPr>
        <w:t>正常工况下，土壤和地下水防渗措施完好，不会对土壤造成不利影响。以事故状态下</w:t>
      </w:r>
      <w:r>
        <w:rPr>
          <w:rFonts w:hint="eastAsia"/>
          <w:kern w:val="2"/>
        </w:rPr>
        <w:t>工艺废气淋洗设施的淋洗液</w:t>
      </w:r>
      <w:r>
        <w:rPr>
          <w:rFonts w:hint="eastAsia"/>
          <w:kern w:val="2"/>
        </w:rPr>
        <w:t>/</w:t>
      </w:r>
      <w:r>
        <w:rPr>
          <w:rFonts w:hint="eastAsia"/>
          <w:kern w:val="2"/>
        </w:rPr>
        <w:t>水循环水箱</w:t>
      </w:r>
      <w:r>
        <w:rPr>
          <w:kern w:val="2"/>
        </w:rPr>
        <w:t>泄漏造成废水污染物污染土壤进行土壤环境影响预测，概化为非连续点源情景。</w:t>
      </w:r>
    </w:p>
    <w:p w14:paraId="258C386B" w14:textId="77777777" w:rsidR="003E78AB" w:rsidRDefault="00010BF9">
      <w:pPr>
        <w:ind w:firstLine="480"/>
        <w:rPr>
          <w:kern w:val="2"/>
        </w:rPr>
      </w:pPr>
      <w:r>
        <w:rPr>
          <w:kern w:val="2"/>
        </w:rPr>
        <w:t>预测因子：本项目预测因子选取钒、</w:t>
      </w:r>
      <w:r>
        <w:rPr>
          <w:rFonts w:hint="eastAsia"/>
          <w:kern w:val="2"/>
        </w:rPr>
        <w:t>磷酸</w:t>
      </w:r>
      <w:r>
        <w:rPr>
          <w:kern w:val="2"/>
        </w:rPr>
        <w:t>盐。</w:t>
      </w:r>
    </w:p>
    <w:p w14:paraId="0F5D3552" w14:textId="77777777" w:rsidR="003E78AB" w:rsidRDefault="00010BF9">
      <w:pPr>
        <w:pStyle w:val="a4"/>
        <w:spacing w:before="120"/>
        <w:ind w:left="425" w:hanging="425"/>
      </w:pPr>
      <w:r>
        <w:t>非正常工况下污染物预测源强一览表</w:t>
      </w:r>
    </w:p>
    <w:p w14:paraId="05D3331B" w14:textId="77777777" w:rsidR="003E78AB" w:rsidRDefault="003E78AB">
      <w:pPr>
        <w:spacing w:line="56" w:lineRule="auto"/>
        <w:ind w:firstLine="40"/>
        <w:rPr>
          <w:rFonts w:ascii="Arial"/>
          <w:sz w:val="2"/>
        </w:rPr>
      </w:pPr>
    </w:p>
    <w:tbl>
      <w:tblPr>
        <w:tblStyle w:val="TableNormal"/>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987"/>
        <w:gridCol w:w="1553"/>
        <w:gridCol w:w="1276"/>
        <w:gridCol w:w="1344"/>
        <w:gridCol w:w="1148"/>
      </w:tblGrid>
      <w:tr w:rsidR="003E78AB" w14:paraId="0EA164B0" w14:textId="77777777">
        <w:trPr>
          <w:trHeight w:val="564"/>
        </w:trPr>
        <w:tc>
          <w:tcPr>
            <w:tcW w:w="600" w:type="pct"/>
            <w:vAlign w:val="center"/>
          </w:tcPr>
          <w:p w14:paraId="125C3BA6" w14:textId="77777777" w:rsidR="003E78AB" w:rsidRDefault="00010BF9">
            <w:pPr>
              <w:pStyle w:val="aff6"/>
              <w:topLinePunct/>
              <w:rPr>
                <w:b/>
                <w:bCs/>
              </w:rPr>
            </w:pPr>
            <w:r>
              <w:rPr>
                <w:b/>
                <w:bCs/>
              </w:rPr>
              <w:t>情景设定</w:t>
            </w:r>
          </w:p>
        </w:tc>
        <w:tc>
          <w:tcPr>
            <w:tcW w:w="1195" w:type="pct"/>
            <w:vAlign w:val="center"/>
          </w:tcPr>
          <w:p w14:paraId="7769028D" w14:textId="77777777" w:rsidR="003E78AB" w:rsidRDefault="00010BF9">
            <w:pPr>
              <w:pStyle w:val="aff6"/>
              <w:topLinePunct/>
              <w:rPr>
                <w:b/>
                <w:bCs/>
              </w:rPr>
            </w:pPr>
            <w:r>
              <w:rPr>
                <w:b/>
                <w:bCs/>
              </w:rPr>
              <w:t>泄漏点</w:t>
            </w:r>
          </w:p>
        </w:tc>
        <w:tc>
          <w:tcPr>
            <w:tcW w:w="934" w:type="pct"/>
            <w:vAlign w:val="center"/>
          </w:tcPr>
          <w:p w14:paraId="1293E4B8" w14:textId="77777777" w:rsidR="003E78AB" w:rsidRDefault="00010BF9">
            <w:pPr>
              <w:pStyle w:val="aff6"/>
              <w:topLinePunct/>
              <w:rPr>
                <w:b/>
                <w:bCs/>
              </w:rPr>
            </w:pPr>
            <w:r>
              <w:rPr>
                <w:b/>
                <w:bCs/>
              </w:rPr>
              <w:t>特征污染物</w:t>
            </w:r>
          </w:p>
        </w:tc>
        <w:tc>
          <w:tcPr>
            <w:tcW w:w="768" w:type="pct"/>
            <w:vAlign w:val="center"/>
          </w:tcPr>
          <w:p w14:paraId="4EBA264F" w14:textId="77777777" w:rsidR="003E78AB" w:rsidRDefault="00010BF9">
            <w:pPr>
              <w:pStyle w:val="aff6"/>
              <w:topLinePunct/>
              <w:rPr>
                <w:b/>
                <w:bCs/>
              </w:rPr>
            </w:pPr>
            <w:r>
              <w:rPr>
                <w:b/>
                <w:bCs/>
              </w:rPr>
              <w:t>泄漏量</w:t>
            </w:r>
          </w:p>
          <w:p w14:paraId="565C78C5" w14:textId="77777777" w:rsidR="003E78AB" w:rsidRDefault="00010BF9">
            <w:pPr>
              <w:pStyle w:val="aff6"/>
              <w:topLinePunct/>
              <w:rPr>
                <w:b/>
                <w:bCs/>
              </w:rPr>
            </w:pPr>
            <w:r>
              <w:rPr>
                <w:b/>
                <w:bCs/>
              </w:rPr>
              <w:t>(m</w:t>
            </w:r>
            <w:r>
              <w:rPr>
                <w:b/>
                <w:bCs/>
                <w:vertAlign w:val="superscript"/>
              </w:rPr>
              <w:t>3</w:t>
            </w:r>
            <w:r>
              <w:rPr>
                <w:b/>
                <w:bCs/>
              </w:rPr>
              <w:t>/d)</w:t>
            </w:r>
          </w:p>
        </w:tc>
        <w:tc>
          <w:tcPr>
            <w:tcW w:w="809" w:type="pct"/>
            <w:vAlign w:val="center"/>
          </w:tcPr>
          <w:p w14:paraId="3491EFC4" w14:textId="77777777" w:rsidR="003E78AB" w:rsidRDefault="00010BF9">
            <w:pPr>
              <w:pStyle w:val="aff6"/>
              <w:topLinePunct/>
              <w:rPr>
                <w:b/>
                <w:bCs/>
              </w:rPr>
            </w:pPr>
            <w:r>
              <w:rPr>
                <w:b/>
                <w:bCs/>
              </w:rPr>
              <w:t>浓度</w:t>
            </w:r>
            <w:r>
              <w:rPr>
                <w:b/>
                <w:bCs/>
              </w:rPr>
              <w:t>(mg/L)</w:t>
            </w:r>
          </w:p>
        </w:tc>
        <w:tc>
          <w:tcPr>
            <w:tcW w:w="691" w:type="pct"/>
            <w:vAlign w:val="center"/>
          </w:tcPr>
          <w:p w14:paraId="5DA7EFA5" w14:textId="77777777" w:rsidR="003E78AB" w:rsidRDefault="00010BF9">
            <w:pPr>
              <w:pStyle w:val="aff6"/>
              <w:topLinePunct/>
              <w:rPr>
                <w:b/>
                <w:bCs/>
              </w:rPr>
            </w:pPr>
            <w:r>
              <w:rPr>
                <w:b/>
                <w:bCs/>
              </w:rPr>
              <w:t>类型</w:t>
            </w:r>
          </w:p>
        </w:tc>
      </w:tr>
      <w:tr w:rsidR="003E78AB" w14:paraId="509F6666" w14:textId="77777777">
        <w:trPr>
          <w:trHeight w:val="277"/>
        </w:trPr>
        <w:tc>
          <w:tcPr>
            <w:tcW w:w="600" w:type="pct"/>
            <w:vMerge w:val="restart"/>
            <w:vAlign w:val="center"/>
          </w:tcPr>
          <w:p w14:paraId="60A05BF3" w14:textId="77777777" w:rsidR="003E78AB" w:rsidRDefault="00010BF9">
            <w:pPr>
              <w:pStyle w:val="aff6"/>
              <w:topLinePunct/>
            </w:pPr>
            <w:r>
              <w:t>非正常工况跑冒滴漏</w:t>
            </w:r>
          </w:p>
        </w:tc>
        <w:tc>
          <w:tcPr>
            <w:tcW w:w="1195" w:type="pct"/>
            <w:vMerge w:val="restart"/>
            <w:vAlign w:val="center"/>
          </w:tcPr>
          <w:p w14:paraId="02F452F8" w14:textId="77777777" w:rsidR="003E78AB" w:rsidRDefault="00010BF9">
            <w:pPr>
              <w:pStyle w:val="aff6"/>
              <w:topLinePunct/>
            </w:pPr>
            <w:r>
              <w:rPr>
                <w:rFonts w:hint="eastAsia"/>
              </w:rPr>
              <w:t>工艺废气淋洗设施的淋洗液</w:t>
            </w:r>
            <w:r>
              <w:rPr>
                <w:rFonts w:hint="eastAsia"/>
              </w:rPr>
              <w:t>/</w:t>
            </w:r>
            <w:r>
              <w:rPr>
                <w:rFonts w:hint="eastAsia"/>
              </w:rPr>
              <w:t>水循环水箱</w:t>
            </w:r>
          </w:p>
        </w:tc>
        <w:tc>
          <w:tcPr>
            <w:tcW w:w="934" w:type="pct"/>
            <w:vAlign w:val="center"/>
          </w:tcPr>
          <w:p w14:paraId="721FB7D4" w14:textId="77777777" w:rsidR="003E78AB" w:rsidRDefault="00010BF9">
            <w:pPr>
              <w:pStyle w:val="aff6"/>
              <w:topLinePunct/>
            </w:pPr>
            <w:r>
              <w:t>钒</w:t>
            </w:r>
          </w:p>
        </w:tc>
        <w:tc>
          <w:tcPr>
            <w:tcW w:w="768" w:type="pct"/>
            <w:vMerge w:val="restart"/>
            <w:vAlign w:val="center"/>
          </w:tcPr>
          <w:p w14:paraId="45DC21A6" w14:textId="77777777" w:rsidR="003E78AB" w:rsidRDefault="00010BF9">
            <w:pPr>
              <w:pStyle w:val="aff6"/>
              <w:topLinePunct/>
            </w:pPr>
            <w:r>
              <w:t>0.0023</w:t>
            </w:r>
          </w:p>
        </w:tc>
        <w:tc>
          <w:tcPr>
            <w:tcW w:w="809" w:type="pct"/>
            <w:vAlign w:val="center"/>
          </w:tcPr>
          <w:p w14:paraId="2903C1C9" w14:textId="77777777" w:rsidR="003E78AB" w:rsidRDefault="00010BF9">
            <w:pPr>
              <w:pStyle w:val="aff6"/>
              <w:topLinePunct/>
            </w:pPr>
            <w:r>
              <w:rPr>
                <w:rFonts w:hint="eastAsia"/>
              </w:rPr>
              <w:t>12.1</w:t>
            </w:r>
          </w:p>
        </w:tc>
        <w:tc>
          <w:tcPr>
            <w:tcW w:w="691" w:type="pct"/>
            <w:vMerge w:val="restart"/>
            <w:vAlign w:val="center"/>
          </w:tcPr>
          <w:p w14:paraId="102E05C1" w14:textId="77777777" w:rsidR="003E78AB" w:rsidRDefault="00010BF9">
            <w:pPr>
              <w:pStyle w:val="aff6"/>
              <w:topLinePunct/>
            </w:pPr>
            <w:r>
              <w:t>连续</w:t>
            </w:r>
          </w:p>
        </w:tc>
      </w:tr>
      <w:tr w:rsidR="003E78AB" w14:paraId="44EF2553" w14:textId="77777777">
        <w:trPr>
          <w:trHeight w:val="291"/>
        </w:trPr>
        <w:tc>
          <w:tcPr>
            <w:tcW w:w="600" w:type="pct"/>
            <w:vMerge/>
            <w:vAlign w:val="center"/>
          </w:tcPr>
          <w:p w14:paraId="0E28341E" w14:textId="77777777" w:rsidR="003E78AB" w:rsidRDefault="003E78AB">
            <w:pPr>
              <w:pStyle w:val="aff6"/>
              <w:topLinePunct/>
            </w:pPr>
          </w:p>
        </w:tc>
        <w:tc>
          <w:tcPr>
            <w:tcW w:w="1195" w:type="pct"/>
            <w:vMerge/>
            <w:vAlign w:val="center"/>
          </w:tcPr>
          <w:p w14:paraId="37642D4E" w14:textId="77777777" w:rsidR="003E78AB" w:rsidRDefault="003E78AB">
            <w:pPr>
              <w:pStyle w:val="aff6"/>
              <w:topLinePunct/>
            </w:pPr>
          </w:p>
        </w:tc>
        <w:tc>
          <w:tcPr>
            <w:tcW w:w="934" w:type="pct"/>
            <w:vAlign w:val="center"/>
          </w:tcPr>
          <w:p w14:paraId="192ACAFA" w14:textId="77777777" w:rsidR="003E78AB" w:rsidRDefault="00010BF9">
            <w:pPr>
              <w:pStyle w:val="aff6"/>
              <w:topLinePunct/>
            </w:pPr>
            <w:r>
              <w:rPr>
                <w:rFonts w:hint="eastAsia"/>
              </w:rPr>
              <w:t>磷酸</w:t>
            </w:r>
            <w:r>
              <w:t>盐</w:t>
            </w:r>
            <w:r>
              <w:rPr>
                <w:rFonts w:hint="eastAsia"/>
              </w:rPr>
              <w:t>（以</w:t>
            </w:r>
            <w:r>
              <w:rPr>
                <w:rFonts w:hint="eastAsia"/>
              </w:rPr>
              <w:t>P</w:t>
            </w:r>
            <w:r>
              <w:rPr>
                <w:rFonts w:hint="eastAsia"/>
              </w:rPr>
              <w:t>计）</w:t>
            </w:r>
          </w:p>
        </w:tc>
        <w:tc>
          <w:tcPr>
            <w:tcW w:w="768" w:type="pct"/>
            <w:vMerge/>
            <w:vAlign w:val="center"/>
          </w:tcPr>
          <w:p w14:paraId="19B990CB" w14:textId="77777777" w:rsidR="003E78AB" w:rsidRDefault="003E78AB">
            <w:pPr>
              <w:pStyle w:val="aff6"/>
              <w:topLinePunct/>
            </w:pPr>
          </w:p>
        </w:tc>
        <w:tc>
          <w:tcPr>
            <w:tcW w:w="809" w:type="pct"/>
            <w:vAlign w:val="center"/>
          </w:tcPr>
          <w:p w14:paraId="7EF48985" w14:textId="77777777" w:rsidR="003E78AB" w:rsidRDefault="00010BF9">
            <w:pPr>
              <w:pStyle w:val="aff6"/>
              <w:topLinePunct/>
            </w:pPr>
            <w:r>
              <w:rPr>
                <w:rFonts w:hint="eastAsia"/>
              </w:rPr>
              <w:t>2490</w:t>
            </w:r>
          </w:p>
        </w:tc>
        <w:tc>
          <w:tcPr>
            <w:tcW w:w="691" w:type="pct"/>
            <w:vMerge/>
            <w:vAlign w:val="center"/>
          </w:tcPr>
          <w:p w14:paraId="064CA1FD" w14:textId="77777777" w:rsidR="003E78AB" w:rsidRDefault="003E78AB">
            <w:pPr>
              <w:pStyle w:val="aff6"/>
              <w:topLinePunct/>
            </w:pPr>
          </w:p>
        </w:tc>
      </w:tr>
    </w:tbl>
    <w:p w14:paraId="2577C6C2" w14:textId="77777777" w:rsidR="003E78AB" w:rsidRDefault="00010BF9">
      <w:pPr>
        <w:ind w:firstLine="480"/>
        <w:rPr>
          <w:kern w:val="2"/>
        </w:rPr>
      </w:pPr>
      <w:r>
        <w:rPr>
          <w:rFonts w:hint="eastAsia"/>
          <w:kern w:val="2"/>
        </w:rPr>
        <w:t>（</w:t>
      </w:r>
      <w:r>
        <w:rPr>
          <w:rFonts w:hint="eastAsia"/>
          <w:kern w:val="2"/>
        </w:rPr>
        <w:t>2</w:t>
      </w:r>
      <w:r>
        <w:rPr>
          <w:rFonts w:hint="eastAsia"/>
          <w:kern w:val="2"/>
        </w:rPr>
        <w:t>）</w:t>
      </w:r>
      <w:r>
        <w:rPr>
          <w:kern w:val="2"/>
        </w:rPr>
        <w:t>预测模型</w:t>
      </w:r>
    </w:p>
    <w:p w14:paraId="7F10BFA3" w14:textId="77777777" w:rsidR="003E78AB" w:rsidRDefault="00010BF9">
      <w:pPr>
        <w:ind w:firstLine="480"/>
        <w:rPr>
          <w:kern w:val="2"/>
        </w:rPr>
      </w:pPr>
      <w:r>
        <w:rPr>
          <w:kern w:val="2"/>
        </w:rPr>
        <w:t>本项目土壤环境影响预测采用导则推荐的一维非饱和溶质运移模型，具体公式如下：</w:t>
      </w:r>
    </w:p>
    <w:p w14:paraId="4094D523" w14:textId="77777777" w:rsidR="003E78AB" w:rsidRDefault="00010BF9">
      <w:pPr>
        <w:ind w:firstLine="480"/>
        <w:rPr>
          <w:kern w:val="2"/>
        </w:rPr>
      </w:pPr>
      <w:r>
        <w:rPr>
          <w:kern w:val="2"/>
        </w:rPr>
        <w:t>①</w:t>
      </w:r>
      <w:r>
        <w:rPr>
          <w:kern w:val="2"/>
        </w:rPr>
        <w:t>一维非饱和溶质垂向运移控制方程：</w:t>
      </w:r>
    </w:p>
    <w:p w14:paraId="28C1828C" w14:textId="77777777" w:rsidR="003E78AB" w:rsidRDefault="00010BF9">
      <w:pPr>
        <w:spacing w:line="240" w:lineRule="atLeast"/>
        <w:ind w:firstLineChars="0" w:firstLine="0"/>
        <w:jc w:val="center"/>
        <w:rPr>
          <w:kern w:val="2"/>
        </w:rPr>
      </w:pPr>
      <w:r>
        <w:rPr>
          <w:noProof/>
          <w:kern w:val="2"/>
        </w:rPr>
        <w:drawing>
          <wp:inline distT="0" distB="0" distL="0" distR="0">
            <wp:extent cx="2729230" cy="652145"/>
            <wp:effectExtent l="0" t="0" r="13970" b="1460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2729230" cy="652145"/>
                    </a:xfrm>
                    <a:prstGeom prst="rect">
                      <a:avLst/>
                    </a:prstGeom>
                    <a:noFill/>
                    <a:ln>
                      <a:noFill/>
                    </a:ln>
                  </pic:spPr>
                </pic:pic>
              </a:graphicData>
            </a:graphic>
          </wp:inline>
        </w:drawing>
      </w:r>
    </w:p>
    <w:p w14:paraId="22B9FEBE" w14:textId="77777777" w:rsidR="003E78AB" w:rsidRDefault="00010BF9">
      <w:pPr>
        <w:ind w:firstLine="480"/>
        <w:rPr>
          <w:kern w:val="2"/>
        </w:rPr>
      </w:pPr>
      <w:r>
        <w:rPr>
          <w:kern w:val="2"/>
        </w:rPr>
        <w:t>式中：</w:t>
      </w:r>
      <w:r>
        <w:rPr>
          <w:kern w:val="2"/>
        </w:rPr>
        <w:t>c—</w:t>
      </w:r>
      <w:r>
        <w:rPr>
          <w:kern w:val="2"/>
        </w:rPr>
        <w:t>污染物介质中的浓度，</w:t>
      </w:r>
      <w:r>
        <w:rPr>
          <w:kern w:val="2"/>
        </w:rPr>
        <w:t>mg/L</w:t>
      </w:r>
      <w:r>
        <w:rPr>
          <w:kern w:val="2"/>
        </w:rPr>
        <w:t>；</w:t>
      </w:r>
    </w:p>
    <w:p w14:paraId="546E763F" w14:textId="77777777" w:rsidR="003E78AB" w:rsidRDefault="00010BF9">
      <w:pPr>
        <w:ind w:firstLineChars="500" w:firstLine="1200"/>
        <w:rPr>
          <w:kern w:val="2"/>
        </w:rPr>
      </w:pPr>
      <w:r>
        <w:rPr>
          <w:kern w:val="2"/>
        </w:rPr>
        <w:t>D—</w:t>
      </w:r>
      <w:r>
        <w:rPr>
          <w:kern w:val="2"/>
        </w:rPr>
        <w:t>弥散系数，</w:t>
      </w:r>
      <w:r>
        <w:rPr>
          <w:kern w:val="2"/>
        </w:rPr>
        <w:t>m</w:t>
      </w:r>
      <w:r>
        <w:rPr>
          <w:kern w:val="2"/>
          <w:vertAlign w:val="superscript"/>
        </w:rPr>
        <w:t>2</w:t>
      </w:r>
      <w:r>
        <w:rPr>
          <w:kern w:val="2"/>
        </w:rPr>
        <w:t>/d</w:t>
      </w:r>
      <w:r>
        <w:rPr>
          <w:kern w:val="2"/>
        </w:rPr>
        <w:t>；</w:t>
      </w:r>
    </w:p>
    <w:p w14:paraId="2CBB23B5" w14:textId="77777777" w:rsidR="003E78AB" w:rsidRDefault="00010BF9">
      <w:pPr>
        <w:ind w:firstLineChars="500" w:firstLine="1200"/>
        <w:rPr>
          <w:kern w:val="2"/>
        </w:rPr>
      </w:pPr>
      <w:r>
        <w:rPr>
          <w:kern w:val="2"/>
        </w:rPr>
        <w:t>q—</w:t>
      </w:r>
      <w:r>
        <w:rPr>
          <w:kern w:val="2"/>
        </w:rPr>
        <w:t>渗流速率，</w:t>
      </w:r>
      <w:r>
        <w:rPr>
          <w:kern w:val="2"/>
        </w:rPr>
        <w:t>m/d</w:t>
      </w:r>
      <w:r>
        <w:rPr>
          <w:kern w:val="2"/>
        </w:rPr>
        <w:t>；</w:t>
      </w:r>
    </w:p>
    <w:p w14:paraId="2255A1E9" w14:textId="77777777" w:rsidR="003E78AB" w:rsidRDefault="00010BF9">
      <w:pPr>
        <w:ind w:firstLineChars="500" w:firstLine="1200"/>
        <w:rPr>
          <w:kern w:val="2"/>
        </w:rPr>
      </w:pPr>
      <w:r>
        <w:rPr>
          <w:kern w:val="2"/>
        </w:rPr>
        <w:t>z—</w:t>
      </w:r>
      <w:r>
        <w:rPr>
          <w:kern w:val="2"/>
        </w:rPr>
        <w:t>沿</w:t>
      </w:r>
      <w:r>
        <w:rPr>
          <w:kern w:val="2"/>
        </w:rPr>
        <w:t>z</w:t>
      </w:r>
      <w:r>
        <w:rPr>
          <w:kern w:val="2"/>
        </w:rPr>
        <w:t>轴的距离，</w:t>
      </w:r>
      <w:r>
        <w:rPr>
          <w:kern w:val="2"/>
        </w:rPr>
        <w:t>m</w:t>
      </w:r>
      <w:r>
        <w:rPr>
          <w:kern w:val="2"/>
        </w:rPr>
        <w:t>；</w:t>
      </w:r>
    </w:p>
    <w:p w14:paraId="4A31223D" w14:textId="77777777" w:rsidR="003E78AB" w:rsidRDefault="00010BF9">
      <w:pPr>
        <w:ind w:firstLineChars="500" w:firstLine="1200"/>
        <w:rPr>
          <w:kern w:val="2"/>
        </w:rPr>
      </w:pPr>
      <w:r>
        <w:rPr>
          <w:kern w:val="2"/>
        </w:rPr>
        <w:t>t—</w:t>
      </w:r>
      <w:r>
        <w:rPr>
          <w:kern w:val="2"/>
        </w:rPr>
        <w:t>时间变量，</w:t>
      </w:r>
      <w:r>
        <w:rPr>
          <w:kern w:val="2"/>
        </w:rPr>
        <w:t>d</w:t>
      </w:r>
      <w:r>
        <w:rPr>
          <w:kern w:val="2"/>
        </w:rPr>
        <w:t>；</w:t>
      </w:r>
    </w:p>
    <w:p w14:paraId="59FB59A5" w14:textId="77777777" w:rsidR="003E78AB" w:rsidRDefault="00010BF9">
      <w:pPr>
        <w:ind w:firstLineChars="500" w:firstLine="1200"/>
        <w:rPr>
          <w:kern w:val="2"/>
        </w:rPr>
      </w:pPr>
      <w:r>
        <w:rPr>
          <w:kern w:val="2"/>
        </w:rPr>
        <w:t>θ—</w:t>
      </w:r>
      <w:r>
        <w:rPr>
          <w:kern w:val="2"/>
        </w:rPr>
        <w:t>土壤含水率，</w:t>
      </w:r>
      <w:r>
        <w:rPr>
          <w:kern w:val="2"/>
        </w:rPr>
        <w:t>%</w:t>
      </w:r>
      <w:r>
        <w:rPr>
          <w:kern w:val="2"/>
        </w:rPr>
        <w:t>。</w:t>
      </w:r>
    </w:p>
    <w:p w14:paraId="1AAB06D4" w14:textId="77777777" w:rsidR="003E78AB" w:rsidRDefault="00010BF9">
      <w:pPr>
        <w:ind w:firstLine="480"/>
        <w:rPr>
          <w:kern w:val="2"/>
        </w:rPr>
      </w:pPr>
      <w:r>
        <w:rPr>
          <w:kern w:val="2"/>
        </w:rPr>
        <w:t>初始条件：</w:t>
      </w:r>
      <w:r>
        <w:rPr>
          <w:kern w:val="2"/>
        </w:rPr>
        <w:t>c</w:t>
      </w:r>
      <w:r>
        <w:rPr>
          <w:kern w:val="2"/>
        </w:rPr>
        <w:t>（</w:t>
      </w:r>
      <w:r>
        <w:rPr>
          <w:kern w:val="2"/>
        </w:rPr>
        <w:t>z</w:t>
      </w:r>
      <w:r>
        <w:rPr>
          <w:kern w:val="2"/>
        </w:rPr>
        <w:t>，</w:t>
      </w:r>
      <w:r>
        <w:rPr>
          <w:kern w:val="2"/>
        </w:rPr>
        <w:t>t</w:t>
      </w:r>
      <w:r>
        <w:rPr>
          <w:kern w:val="2"/>
        </w:rPr>
        <w:t>）</w:t>
      </w:r>
      <w:r>
        <w:rPr>
          <w:kern w:val="2"/>
        </w:rPr>
        <w:t>=0t=0</w:t>
      </w:r>
      <w:r>
        <w:rPr>
          <w:kern w:val="2"/>
        </w:rPr>
        <w:t>，</w:t>
      </w:r>
      <w:r>
        <w:rPr>
          <w:kern w:val="2"/>
        </w:rPr>
        <w:t>L≤z≤0</w:t>
      </w:r>
      <w:r>
        <w:rPr>
          <w:kern w:val="2"/>
        </w:rPr>
        <w:t>；</w:t>
      </w:r>
    </w:p>
    <w:p w14:paraId="2E31BE78" w14:textId="77777777" w:rsidR="003E78AB" w:rsidRDefault="00010BF9">
      <w:pPr>
        <w:ind w:firstLine="480"/>
        <w:rPr>
          <w:kern w:val="2"/>
        </w:rPr>
      </w:pPr>
      <w:r>
        <w:rPr>
          <w:rFonts w:hint="eastAsia"/>
          <w:kern w:val="2"/>
        </w:rPr>
        <w:t>②</w:t>
      </w:r>
      <w:r>
        <w:rPr>
          <w:kern w:val="2"/>
        </w:rPr>
        <w:t>边界条件：</w:t>
      </w:r>
    </w:p>
    <w:p w14:paraId="4564D810" w14:textId="77777777" w:rsidR="003E78AB" w:rsidRDefault="00010BF9">
      <w:pPr>
        <w:ind w:firstLine="480"/>
        <w:rPr>
          <w:kern w:val="2"/>
        </w:rPr>
      </w:pPr>
      <w:r>
        <w:rPr>
          <w:kern w:val="2"/>
        </w:rPr>
        <w:t>第一类</w:t>
      </w:r>
      <w:r>
        <w:rPr>
          <w:kern w:val="2"/>
        </w:rPr>
        <w:t>Dirichlet</w:t>
      </w:r>
      <w:r>
        <w:rPr>
          <w:kern w:val="2"/>
        </w:rPr>
        <w:t>边界条件：</w:t>
      </w:r>
    </w:p>
    <w:p w14:paraId="48C1A8D1" w14:textId="77777777" w:rsidR="003E78AB" w:rsidRDefault="00010BF9">
      <w:pPr>
        <w:ind w:firstLine="480"/>
        <w:rPr>
          <w:kern w:val="2"/>
        </w:rPr>
      </w:pPr>
      <w:r>
        <w:rPr>
          <w:kern w:val="2"/>
        </w:rPr>
        <w:t>连续点源：</w:t>
      </w:r>
    </w:p>
    <w:p w14:paraId="48762CF2" w14:textId="77777777" w:rsidR="003E78AB" w:rsidRDefault="00010BF9">
      <w:pPr>
        <w:ind w:firstLine="480"/>
        <w:jc w:val="center"/>
        <w:rPr>
          <w:kern w:val="2"/>
        </w:rPr>
      </w:pPr>
      <w:r>
        <w:rPr>
          <w:kern w:val="2"/>
        </w:rPr>
        <w:t>c</w:t>
      </w:r>
      <w:r>
        <w:rPr>
          <w:kern w:val="2"/>
        </w:rPr>
        <w:t>（</w:t>
      </w:r>
      <w:r>
        <w:rPr>
          <w:kern w:val="2"/>
        </w:rPr>
        <w:t>z</w:t>
      </w:r>
      <w:r>
        <w:rPr>
          <w:kern w:val="2"/>
        </w:rPr>
        <w:t>，</w:t>
      </w:r>
      <w:r>
        <w:rPr>
          <w:kern w:val="2"/>
        </w:rPr>
        <w:t>t</w:t>
      </w:r>
      <w:r>
        <w:rPr>
          <w:kern w:val="2"/>
        </w:rPr>
        <w:t>）</w:t>
      </w:r>
      <w:r>
        <w:rPr>
          <w:kern w:val="2"/>
        </w:rPr>
        <w:t>=c</w:t>
      </w:r>
      <w:r>
        <w:rPr>
          <w:kern w:val="2"/>
          <w:vertAlign w:val="subscript"/>
        </w:rPr>
        <w:t>0</w:t>
      </w:r>
      <w:r>
        <w:rPr>
          <w:kern w:val="2"/>
        </w:rPr>
        <w:t>t</w:t>
      </w:r>
      <w:r>
        <w:rPr>
          <w:kern w:val="2"/>
        </w:rPr>
        <w:t>＞</w:t>
      </w:r>
      <w:r>
        <w:rPr>
          <w:kern w:val="2"/>
        </w:rPr>
        <w:t>0</w:t>
      </w:r>
      <w:r>
        <w:rPr>
          <w:kern w:val="2"/>
        </w:rPr>
        <w:t>，</w:t>
      </w:r>
      <w:r>
        <w:rPr>
          <w:kern w:val="2"/>
        </w:rPr>
        <w:t>z=0</w:t>
      </w:r>
    </w:p>
    <w:p w14:paraId="78A723A4" w14:textId="77777777" w:rsidR="003E78AB" w:rsidRDefault="00010BF9">
      <w:pPr>
        <w:ind w:firstLine="480"/>
        <w:rPr>
          <w:kern w:val="2"/>
        </w:rPr>
      </w:pPr>
      <w:r>
        <w:rPr>
          <w:kern w:val="2"/>
        </w:rPr>
        <w:t>非连续点源</w:t>
      </w:r>
    </w:p>
    <w:p w14:paraId="3F0F41B7" w14:textId="77777777" w:rsidR="003E78AB" w:rsidRDefault="00010BF9">
      <w:pPr>
        <w:spacing w:line="240" w:lineRule="atLeast"/>
        <w:ind w:firstLineChars="0" w:firstLine="0"/>
        <w:jc w:val="center"/>
        <w:rPr>
          <w:kern w:val="2"/>
        </w:rPr>
      </w:pPr>
      <w:r>
        <w:rPr>
          <w:noProof/>
          <w:kern w:val="2"/>
        </w:rPr>
        <w:drawing>
          <wp:inline distT="0" distB="0" distL="0" distR="0">
            <wp:extent cx="2080895" cy="556260"/>
            <wp:effectExtent l="0" t="0" r="14605"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1" cstate="print"/>
                    <a:srcRect/>
                    <a:stretch>
                      <a:fillRect/>
                    </a:stretch>
                  </pic:blipFill>
                  <pic:spPr>
                    <a:xfrm>
                      <a:off x="0" y="0"/>
                      <a:ext cx="2080895" cy="556260"/>
                    </a:xfrm>
                    <a:prstGeom prst="rect">
                      <a:avLst/>
                    </a:prstGeom>
                    <a:noFill/>
                    <a:ln w="9525">
                      <a:noFill/>
                      <a:miter lim="800000"/>
                      <a:headEnd/>
                      <a:tailEnd/>
                    </a:ln>
                  </pic:spPr>
                </pic:pic>
              </a:graphicData>
            </a:graphic>
          </wp:inline>
        </w:drawing>
      </w:r>
    </w:p>
    <w:p w14:paraId="4758DC20" w14:textId="77777777" w:rsidR="003E78AB" w:rsidRDefault="00010BF9">
      <w:pPr>
        <w:ind w:firstLine="480"/>
        <w:rPr>
          <w:kern w:val="2"/>
        </w:rPr>
      </w:pPr>
      <w:r>
        <w:rPr>
          <w:kern w:val="2"/>
        </w:rPr>
        <w:t>第二类</w:t>
      </w:r>
      <w:r>
        <w:rPr>
          <w:kern w:val="2"/>
        </w:rPr>
        <w:t>Neumann</w:t>
      </w:r>
      <w:r>
        <w:rPr>
          <w:kern w:val="2"/>
        </w:rPr>
        <w:t>零梯度边界条件：</w:t>
      </w:r>
    </w:p>
    <w:p w14:paraId="37019EE1" w14:textId="77777777" w:rsidR="003E78AB" w:rsidRDefault="00010BF9">
      <w:pPr>
        <w:spacing w:line="240" w:lineRule="auto"/>
        <w:ind w:firstLineChars="0" w:firstLine="0"/>
        <w:jc w:val="center"/>
        <w:rPr>
          <w:kern w:val="2"/>
        </w:rPr>
      </w:pPr>
      <w:r>
        <w:rPr>
          <w:noProof/>
          <w:kern w:val="2"/>
        </w:rPr>
        <w:drawing>
          <wp:inline distT="0" distB="0" distL="0" distR="0">
            <wp:extent cx="2026285" cy="412115"/>
            <wp:effectExtent l="0" t="0" r="12065"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2" cstate="print"/>
                    <a:srcRect/>
                    <a:stretch>
                      <a:fillRect/>
                    </a:stretch>
                  </pic:blipFill>
                  <pic:spPr>
                    <a:xfrm>
                      <a:off x="0" y="0"/>
                      <a:ext cx="2026285" cy="412115"/>
                    </a:xfrm>
                    <a:prstGeom prst="rect">
                      <a:avLst/>
                    </a:prstGeom>
                    <a:noFill/>
                    <a:ln w="9525">
                      <a:noFill/>
                      <a:miter lim="800000"/>
                      <a:headEnd/>
                      <a:tailEnd/>
                    </a:ln>
                  </pic:spPr>
                </pic:pic>
              </a:graphicData>
            </a:graphic>
          </wp:inline>
        </w:drawing>
      </w:r>
    </w:p>
    <w:p w14:paraId="5438DCC1" w14:textId="77777777" w:rsidR="003E78AB" w:rsidRDefault="00010BF9">
      <w:pPr>
        <w:ind w:firstLine="480"/>
        <w:rPr>
          <w:kern w:val="2"/>
        </w:rPr>
      </w:pPr>
      <w:r>
        <w:rPr>
          <w:rFonts w:hint="eastAsia"/>
          <w:kern w:val="2"/>
        </w:rPr>
        <w:t>③</w:t>
      </w:r>
      <w:r>
        <w:rPr>
          <w:kern w:val="2"/>
        </w:rPr>
        <w:t>参数设定</w:t>
      </w:r>
    </w:p>
    <w:p w14:paraId="2479A8BD" w14:textId="77777777" w:rsidR="003E78AB" w:rsidRDefault="00010BF9">
      <w:pPr>
        <w:ind w:firstLine="480"/>
        <w:rPr>
          <w:kern w:val="2"/>
        </w:rPr>
      </w:pPr>
      <w:r>
        <w:rPr>
          <w:kern w:val="2"/>
        </w:rPr>
        <w:t>本次垂直入渗预测采用</w:t>
      </w:r>
      <w:r>
        <w:rPr>
          <w:kern w:val="2"/>
        </w:rPr>
        <w:t>HYDRUS1D</w:t>
      </w:r>
      <w:r>
        <w:rPr>
          <w:kern w:val="2"/>
        </w:rPr>
        <w:t>软件求解非饱和带中水分与溶质运移方程。</w:t>
      </w:r>
      <w:r>
        <w:rPr>
          <w:kern w:val="2"/>
        </w:rPr>
        <w:t>HYDRUS</w:t>
      </w:r>
      <w:r>
        <w:rPr>
          <w:kern w:val="2"/>
        </w:rPr>
        <w:t>是由美国国家盐改中心（</w:t>
      </w:r>
      <w:r>
        <w:rPr>
          <w:kern w:val="2"/>
        </w:rPr>
        <w:t>USSalinitylaboratory</w:t>
      </w:r>
      <w:r>
        <w:rPr>
          <w:kern w:val="2"/>
        </w:rPr>
        <w:t>）于</w:t>
      </w:r>
      <w:r>
        <w:rPr>
          <w:kern w:val="2"/>
        </w:rPr>
        <w:t>1991</w:t>
      </w:r>
      <w:r>
        <w:rPr>
          <w:kern w:val="2"/>
        </w:rPr>
        <w:t>年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他地下水、地表水模型相结合，从宏观上分析水资源的转化规律。后经过众多学者的开发研究，</w:t>
      </w:r>
      <w:r>
        <w:rPr>
          <w:kern w:val="2"/>
        </w:rPr>
        <w:t>HYDRUS</w:t>
      </w:r>
      <w:r>
        <w:rPr>
          <w:kern w:val="2"/>
        </w:rPr>
        <w:t>的功能更加</w:t>
      </w:r>
      <w:r>
        <w:rPr>
          <w:kern w:val="2"/>
        </w:rPr>
        <w:t>完善，已经非常成功地应用于世界各地地下饱和、非饱和带污染物运移研究</w:t>
      </w:r>
      <w:r>
        <w:rPr>
          <w:rFonts w:hint="eastAsia"/>
          <w:kern w:val="2"/>
        </w:rPr>
        <w:t>。</w:t>
      </w:r>
    </w:p>
    <w:p w14:paraId="6A4B1F38" w14:textId="77777777" w:rsidR="003E78AB" w:rsidRDefault="00010BF9">
      <w:pPr>
        <w:ind w:firstLine="480"/>
        <w:rPr>
          <w:kern w:val="2"/>
        </w:rPr>
      </w:pPr>
      <w:r>
        <w:rPr>
          <w:kern w:val="2"/>
        </w:rPr>
        <w:t>本次模型选择</w:t>
      </w:r>
      <w:r>
        <w:rPr>
          <w:rFonts w:hint="eastAsia"/>
          <w:kern w:val="2"/>
        </w:rPr>
        <w:t>循环水箱</w:t>
      </w:r>
      <w:r>
        <w:rPr>
          <w:kern w:val="2"/>
        </w:rPr>
        <w:t>底部向下至地下</w:t>
      </w:r>
      <w:r>
        <w:rPr>
          <w:rFonts w:hint="eastAsia"/>
          <w:kern w:val="2"/>
        </w:rPr>
        <w:t>10</w:t>
      </w:r>
      <w:r>
        <w:rPr>
          <w:kern w:val="2"/>
        </w:rPr>
        <w:t>m</w:t>
      </w:r>
      <w:r>
        <w:rPr>
          <w:kern w:val="2"/>
        </w:rPr>
        <w:t>范围内进行模拟，土质分别为第四系粉土</w:t>
      </w:r>
      <w:r>
        <w:rPr>
          <w:kern w:val="2"/>
        </w:rPr>
        <w:t>100cm</w:t>
      </w:r>
      <w:r>
        <w:rPr>
          <w:kern w:val="2"/>
        </w:rPr>
        <w:t>、亚黏土</w:t>
      </w:r>
      <w:r>
        <w:rPr>
          <w:kern w:val="2"/>
        </w:rPr>
        <w:t>200cm</w:t>
      </w:r>
      <w:r>
        <w:rPr>
          <w:kern w:val="2"/>
        </w:rPr>
        <w:t>、砂土</w:t>
      </w:r>
      <w:r>
        <w:rPr>
          <w:kern w:val="2"/>
        </w:rPr>
        <w:t>300cm</w:t>
      </w:r>
      <w:r>
        <w:rPr>
          <w:kern w:val="2"/>
        </w:rPr>
        <w:t>。</w:t>
      </w:r>
    </w:p>
    <w:p w14:paraId="5EF988E6" w14:textId="77777777" w:rsidR="003E78AB" w:rsidRDefault="00010BF9">
      <w:pPr>
        <w:ind w:firstLine="480"/>
        <w:rPr>
          <w:kern w:val="2"/>
        </w:rPr>
      </w:pPr>
      <w:r>
        <w:rPr>
          <w:kern w:val="2"/>
        </w:rPr>
        <w:t>垂直入渗预测参数选取见</w:t>
      </w:r>
      <w:r>
        <w:rPr>
          <w:kern w:val="2"/>
        </w:rPr>
        <w:fldChar w:fldCharType="begin"/>
      </w:r>
      <w:r>
        <w:rPr>
          <w:kern w:val="2"/>
        </w:rPr>
        <w:instrText xml:space="preserve"> REF _Ref2675 \r \h </w:instrText>
      </w:r>
      <w:r>
        <w:rPr>
          <w:kern w:val="2"/>
        </w:rPr>
      </w:r>
      <w:r>
        <w:rPr>
          <w:kern w:val="2"/>
        </w:rPr>
        <w:fldChar w:fldCharType="separate"/>
      </w:r>
      <w:r>
        <w:rPr>
          <w:kern w:val="2"/>
        </w:rPr>
        <w:t>表</w:t>
      </w:r>
      <w:r>
        <w:rPr>
          <w:kern w:val="2"/>
        </w:rPr>
        <w:t>5-78</w:t>
      </w:r>
      <w:r>
        <w:rPr>
          <w:kern w:val="2"/>
        </w:rPr>
        <w:fldChar w:fldCharType="end"/>
      </w:r>
      <w:r>
        <w:rPr>
          <w:kern w:val="2"/>
        </w:rPr>
        <w:t>。</w:t>
      </w:r>
    </w:p>
    <w:p w14:paraId="2605CC6D" w14:textId="77777777" w:rsidR="003E78AB" w:rsidRDefault="00010BF9">
      <w:pPr>
        <w:pStyle w:val="a4"/>
        <w:spacing w:before="120"/>
        <w:ind w:left="425" w:hanging="425"/>
      </w:pPr>
      <w:bookmarkStart w:id="401" w:name="_Ref2675"/>
      <w:r>
        <w:t>垂直入渗预测参数</w:t>
      </w:r>
      <w:bookmarkEnd w:id="40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1"/>
        <w:gridCol w:w="1643"/>
        <w:gridCol w:w="1567"/>
        <w:gridCol w:w="1783"/>
        <w:gridCol w:w="2660"/>
      </w:tblGrid>
      <w:tr w:rsidR="003E78AB" w14:paraId="634DFCE1" w14:textId="77777777">
        <w:trPr>
          <w:trHeight w:val="340"/>
          <w:tblHeader/>
          <w:jc w:val="center"/>
        </w:trPr>
        <w:tc>
          <w:tcPr>
            <w:tcW w:w="419" w:type="pct"/>
            <w:vAlign w:val="center"/>
          </w:tcPr>
          <w:p w14:paraId="47804884" w14:textId="77777777" w:rsidR="003E78AB" w:rsidRDefault="00010BF9">
            <w:pPr>
              <w:spacing w:line="240" w:lineRule="auto"/>
              <w:ind w:firstLineChars="0" w:firstLine="0"/>
              <w:jc w:val="center"/>
              <w:rPr>
                <w:b/>
                <w:bCs/>
                <w:kern w:val="2"/>
                <w:sz w:val="21"/>
              </w:rPr>
            </w:pPr>
            <w:r>
              <w:rPr>
                <w:b/>
                <w:bCs/>
                <w:kern w:val="2"/>
                <w:sz w:val="21"/>
              </w:rPr>
              <w:t>序号</w:t>
            </w:r>
          </w:p>
        </w:tc>
        <w:tc>
          <w:tcPr>
            <w:tcW w:w="1921" w:type="pct"/>
            <w:gridSpan w:val="2"/>
            <w:vAlign w:val="center"/>
          </w:tcPr>
          <w:p w14:paraId="1F6ABE68" w14:textId="77777777" w:rsidR="003E78AB" w:rsidRDefault="00010BF9">
            <w:pPr>
              <w:spacing w:line="240" w:lineRule="auto"/>
              <w:ind w:firstLineChars="0" w:firstLine="0"/>
              <w:jc w:val="center"/>
              <w:rPr>
                <w:b/>
                <w:bCs/>
                <w:kern w:val="2"/>
                <w:sz w:val="21"/>
              </w:rPr>
            </w:pPr>
            <w:r>
              <w:rPr>
                <w:b/>
                <w:bCs/>
                <w:kern w:val="2"/>
                <w:sz w:val="21"/>
              </w:rPr>
              <w:t>参数选取</w:t>
            </w:r>
          </w:p>
        </w:tc>
        <w:tc>
          <w:tcPr>
            <w:tcW w:w="2658" w:type="pct"/>
            <w:gridSpan w:val="2"/>
            <w:vAlign w:val="center"/>
          </w:tcPr>
          <w:p w14:paraId="5D175613" w14:textId="77777777" w:rsidR="003E78AB" w:rsidRDefault="00010BF9">
            <w:pPr>
              <w:spacing w:line="240" w:lineRule="auto"/>
              <w:ind w:firstLineChars="0" w:firstLine="0"/>
              <w:jc w:val="center"/>
              <w:rPr>
                <w:b/>
                <w:bCs/>
                <w:kern w:val="2"/>
                <w:sz w:val="21"/>
              </w:rPr>
            </w:pPr>
            <w:r>
              <w:rPr>
                <w:b/>
                <w:bCs/>
                <w:kern w:val="2"/>
                <w:sz w:val="21"/>
              </w:rPr>
              <w:t>参数取值</w:t>
            </w:r>
          </w:p>
        </w:tc>
      </w:tr>
      <w:tr w:rsidR="003E78AB" w14:paraId="392F737D" w14:textId="77777777">
        <w:trPr>
          <w:trHeight w:val="340"/>
          <w:tblHeader/>
          <w:jc w:val="center"/>
        </w:trPr>
        <w:tc>
          <w:tcPr>
            <w:tcW w:w="419" w:type="pct"/>
            <w:vMerge w:val="restart"/>
            <w:vAlign w:val="center"/>
          </w:tcPr>
          <w:p w14:paraId="41EB25BF" w14:textId="77777777" w:rsidR="003E78AB" w:rsidRDefault="00010BF9">
            <w:pPr>
              <w:spacing w:line="240" w:lineRule="auto"/>
              <w:ind w:firstLineChars="0" w:firstLine="0"/>
              <w:jc w:val="center"/>
              <w:rPr>
                <w:kern w:val="2"/>
                <w:sz w:val="21"/>
              </w:rPr>
            </w:pPr>
            <w:r>
              <w:rPr>
                <w:kern w:val="2"/>
                <w:sz w:val="21"/>
              </w:rPr>
              <w:t>1</w:t>
            </w:r>
          </w:p>
        </w:tc>
        <w:tc>
          <w:tcPr>
            <w:tcW w:w="1921" w:type="pct"/>
            <w:gridSpan w:val="2"/>
            <w:vMerge w:val="restart"/>
            <w:vAlign w:val="center"/>
          </w:tcPr>
          <w:p w14:paraId="7513DA57" w14:textId="77777777" w:rsidR="003E78AB" w:rsidRDefault="00010BF9">
            <w:pPr>
              <w:spacing w:line="240" w:lineRule="auto"/>
              <w:ind w:firstLineChars="0" w:firstLine="0"/>
              <w:jc w:val="center"/>
              <w:rPr>
                <w:kern w:val="2"/>
                <w:sz w:val="21"/>
              </w:rPr>
            </w:pPr>
            <w:r>
              <w:rPr>
                <w:kern w:val="2"/>
                <w:sz w:val="21"/>
              </w:rPr>
              <w:t>污染物介质中浓度</w:t>
            </w:r>
            <w:r>
              <w:rPr>
                <w:kern w:val="2"/>
                <w:sz w:val="21"/>
              </w:rPr>
              <w:t>C</w:t>
            </w:r>
          </w:p>
        </w:tc>
        <w:tc>
          <w:tcPr>
            <w:tcW w:w="1067" w:type="pct"/>
            <w:vAlign w:val="center"/>
          </w:tcPr>
          <w:p w14:paraId="15AC202A" w14:textId="77777777" w:rsidR="003E78AB" w:rsidRDefault="00010BF9">
            <w:pPr>
              <w:spacing w:line="240" w:lineRule="auto"/>
              <w:ind w:firstLineChars="0" w:firstLine="0"/>
              <w:jc w:val="center"/>
              <w:rPr>
                <w:kern w:val="2"/>
                <w:sz w:val="21"/>
              </w:rPr>
            </w:pPr>
            <w:r>
              <w:rPr>
                <w:rFonts w:hint="eastAsia"/>
                <w:kern w:val="2"/>
                <w:sz w:val="21"/>
              </w:rPr>
              <w:t>钒</w:t>
            </w:r>
          </w:p>
        </w:tc>
        <w:tc>
          <w:tcPr>
            <w:tcW w:w="1591" w:type="pct"/>
            <w:vAlign w:val="center"/>
          </w:tcPr>
          <w:p w14:paraId="075A95BF" w14:textId="77777777" w:rsidR="003E78AB" w:rsidRDefault="00010BF9">
            <w:pPr>
              <w:spacing w:line="240" w:lineRule="auto"/>
              <w:ind w:firstLineChars="0" w:firstLine="0"/>
              <w:jc w:val="center"/>
              <w:rPr>
                <w:kern w:val="2"/>
                <w:sz w:val="21"/>
              </w:rPr>
            </w:pPr>
            <w:r>
              <w:rPr>
                <w:rFonts w:hint="eastAsia"/>
                <w:kern w:val="2"/>
                <w:sz w:val="21"/>
              </w:rPr>
              <w:t>12.1</w:t>
            </w:r>
            <w:r>
              <w:rPr>
                <w:kern w:val="2"/>
                <w:sz w:val="21"/>
              </w:rPr>
              <w:t>mg/L</w:t>
            </w:r>
          </w:p>
        </w:tc>
      </w:tr>
      <w:tr w:rsidR="003E78AB" w14:paraId="1A973613" w14:textId="77777777">
        <w:trPr>
          <w:trHeight w:val="340"/>
          <w:tblHeader/>
          <w:jc w:val="center"/>
        </w:trPr>
        <w:tc>
          <w:tcPr>
            <w:tcW w:w="419" w:type="pct"/>
            <w:vMerge/>
            <w:vAlign w:val="center"/>
          </w:tcPr>
          <w:p w14:paraId="6C6E579A" w14:textId="77777777" w:rsidR="003E78AB" w:rsidRDefault="003E78AB">
            <w:pPr>
              <w:spacing w:line="240" w:lineRule="auto"/>
              <w:ind w:firstLineChars="0" w:firstLine="0"/>
              <w:jc w:val="center"/>
              <w:rPr>
                <w:kern w:val="2"/>
                <w:sz w:val="21"/>
              </w:rPr>
            </w:pPr>
          </w:p>
        </w:tc>
        <w:tc>
          <w:tcPr>
            <w:tcW w:w="1921" w:type="pct"/>
            <w:gridSpan w:val="2"/>
            <w:vMerge/>
            <w:vAlign w:val="center"/>
          </w:tcPr>
          <w:p w14:paraId="60239CF0" w14:textId="77777777" w:rsidR="003E78AB" w:rsidRDefault="003E78AB">
            <w:pPr>
              <w:spacing w:line="240" w:lineRule="auto"/>
              <w:ind w:firstLineChars="0" w:firstLine="0"/>
              <w:jc w:val="center"/>
              <w:rPr>
                <w:kern w:val="2"/>
                <w:sz w:val="21"/>
              </w:rPr>
            </w:pPr>
          </w:p>
        </w:tc>
        <w:tc>
          <w:tcPr>
            <w:tcW w:w="1067" w:type="pct"/>
            <w:vAlign w:val="center"/>
          </w:tcPr>
          <w:p w14:paraId="514895E7" w14:textId="77777777" w:rsidR="003E78AB" w:rsidRDefault="00010BF9">
            <w:pPr>
              <w:spacing w:line="240" w:lineRule="auto"/>
              <w:ind w:firstLineChars="0" w:firstLine="0"/>
              <w:jc w:val="center"/>
              <w:rPr>
                <w:kern w:val="2"/>
                <w:sz w:val="21"/>
              </w:rPr>
            </w:pPr>
            <w:r>
              <w:rPr>
                <w:rFonts w:hint="eastAsia"/>
                <w:kern w:val="2"/>
                <w:sz w:val="21"/>
              </w:rPr>
              <w:t>磷酸盐</w:t>
            </w:r>
          </w:p>
        </w:tc>
        <w:tc>
          <w:tcPr>
            <w:tcW w:w="1591" w:type="pct"/>
            <w:vAlign w:val="center"/>
          </w:tcPr>
          <w:p w14:paraId="68AB9C47" w14:textId="77777777" w:rsidR="003E78AB" w:rsidRDefault="00010BF9">
            <w:pPr>
              <w:spacing w:line="240" w:lineRule="auto"/>
              <w:ind w:firstLineChars="0" w:firstLine="0"/>
              <w:jc w:val="center"/>
              <w:rPr>
                <w:kern w:val="2"/>
                <w:sz w:val="21"/>
              </w:rPr>
            </w:pPr>
            <w:r>
              <w:rPr>
                <w:rFonts w:hint="eastAsia"/>
                <w:kern w:val="2"/>
                <w:sz w:val="21"/>
              </w:rPr>
              <w:t>2490</w:t>
            </w:r>
            <w:r>
              <w:rPr>
                <w:kern w:val="2"/>
                <w:sz w:val="21"/>
              </w:rPr>
              <w:t>mg/L</w:t>
            </w:r>
          </w:p>
        </w:tc>
      </w:tr>
      <w:tr w:rsidR="003E78AB" w14:paraId="5E4BDA86" w14:textId="77777777">
        <w:trPr>
          <w:trHeight w:val="340"/>
          <w:tblHeader/>
          <w:jc w:val="center"/>
        </w:trPr>
        <w:tc>
          <w:tcPr>
            <w:tcW w:w="419" w:type="pct"/>
            <w:vMerge w:val="restart"/>
            <w:vAlign w:val="center"/>
          </w:tcPr>
          <w:p w14:paraId="3602280E" w14:textId="77777777" w:rsidR="003E78AB" w:rsidRDefault="00010BF9">
            <w:pPr>
              <w:spacing w:line="240" w:lineRule="auto"/>
              <w:ind w:firstLineChars="0" w:firstLine="0"/>
              <w:jc w:val="center"/>
              <w:rPr>
                <w:kern w:val="2"/>
                <w:sz w:val="21"/>
              </w:rPr>
            </w:pPr>
            <w:r>
              <w:rPr>
                <w:kern w:val="2"/>
                <w:sz w:val="21"/>
              </w:rPr>
              <w:t>2</w:t>
            </w:r>
          </w:p>
        </w:tc>
        <w:tc>
          <w:tcPr>
            <w:tcW w:w="1921" w:type="pct"/>
            <w:gridSpan w:val="2"/>
            <w:vMerge w:val="restart"/>
            <w:vAlign w:val="center"/>
          </w:tcPr>
          <w:p w14:paraId="0BC780EC" w14:textId="77777777" w:rsidR="003E78AB" w:rsidRDefault="00010BF9">
            <w:pPr>
              <w:spacing w:line="240" w:lineRule="auto"/>
              <w:ind w:firstLineChars="0" w:firstLine="0"/>
              <w:jc w:val="center"/>
              <w:rPr>
                <w:kern w:val="2"/>
                <w:sz w:val="21"/>
              </w:rPr>
            </w:pPr>
            <w:r>
              <w:rPr>
                <w:kern w:val="2"/>
                <w:sz w:val="21"/>
              </w:rPr>
              <w:t>渗漏量</w:t>
            </w:r>
          </w:p>
        </w:tc>
        <w:tc>
          <w:tcPr>
            <w:tcW w:w="1067" w:type="pct"/>
            <w:vAlign w:val="center"/>
          </w:tcPr>
          <w:p w14:paraId="7FA99D6B" w14:textId="77777777" w:rsidR="003E78AB" w:rsidRDefault="00010BF9">
            <w:pPr>
              <w:spacing w:line="240" w:lineRule="auto"/>
              <w:ind w:firstLineChars="0" w:firstLine="0"/>
              <w:jc w:val="center"/>
              <w:rPr>
                <w:kern w:val="2"/>
                <w:sz w:val="21"/>
              </w:rPr>
            </w:pPr>
            <w:r>
              <w:rPr>
                <w:rFonts w:hint="eastAsia"/>
                <w:kern w:val="2"/>
                <w:sz w:val="21"/>
              </w:rPr>
              <w:t>钒</w:t>
            </w:r>
          </w:p>
        </w:tc>
        <w:tc>
          <w:tcPr>
            <w:tcW w:w="1591" w:type="pct"/>
            <w:vAlign w:val="center"/>
          </w:tcPr>
          <w:p w14:paraId="29092136" w14:textId="77777777" w:rsidR="003E78AB" w:rsidRDefault="00010BF9">
            <w:pPr>
              <w:spacing w:line="240" w:lineRule="auto"/>
              <w:ind w:firstLineChars="0" w:firstLine="0"/>
              <w:jc w:val="center"/>
              <w:rPr>
                <w:kern w:val="2"/>
                <w:sz w:val="21"/>
              </w:rPr>
            </w:pPr>
            <w:r>
              <w:rPr>
                <w:rFonts w:hint="eastAsia"/>
                <w:kern w:val="2"/>
                <w:sz w:val="21"/>
              </w:rPr>
              <w:t>0.0278</w:t>
            </w:r>
            <w:r>
              <w:rPr>
                <w:rFonts w:hint="eastAsia"/>
                <w:kern w:val="2"/>
                <w:sz w:val="21"/>
              </w:rPr>
              <w:t>×</w:t>
            </w:r>
            <w:r>
              <w:rPr>
                <w:rFonts w:hint="eastAsia"/>
                <w:kern w:val="2"/>
                <w:sz w:val="21"/>
              </w:rPr>
              <w:t>10</w:t>
            </w:r>
            <w:r>
              <w:rPr>
                <w:rFonts w:hint="eastAsia"/>
                <w:kern w:val="2"/>
                <w:sz w:val="21"/>
                <w:vertAlign w:val="superscript"/>
              </w:rPr>
              <w:t>-3</w:t>
            </w:r>
            <w:r>
              <w:rPr>
                <w:kern w:val="2"/>
                <w:sz w:val="21"/>
              </w:rPr>
              <w:t>kg/d</w:t>
            </w:r>
          </w:p>
        </w:tc>
      </w:tr>
      <w:tr w:rsidR="003E78AB" w14:paraId="7B0A1E34" w14:textId="77777777">
        <w:trPr>
          <w:trHeight w:val="340"/>
          <w:tblHeader/>
          <w:jc w:val="center"/>
        </w:trPr>
        <w:tc>
          <w:tcPr>
            <w:tcW w:w="419" w:type="pct"/>
            <w:vMerge/>
            <w:vAlign w:val="center"/>
          </w:tcPr>
          <w:p w14:paraId="1F0B3294" w14:textId="77777777" w:rsidR="003E78AB" w:rsidRDefault="003E78AB">
            <w:pPr>
              <w:spacing w:line="240" w:lineRule="auto"/>
              <w:ind w:firstLineChars="0" w:firstLine="0"/>
              <w:jc w:val="center"/>
              <w:rPr>
                <w:kern w:val="2"/>
                <w:sz w:val="21"/>
              </w:rPr>
            </w:pPr>
          </w:p>
        </w:tc>
        <w:tc>
          <w:tcPr>
            <w:tcW w:w="1921" w:type="pct"/>
            <w:gridSpan w:val="2"/>
            <w:vMerge/>
            <w:vAlign w:val="center"/>
          </w:tcPr>
          <w:p w14:paraId="0BA020D3" w14:textId="77777777" w:rsidR="003E78AB" w:rsidRDefault="003E78AB">
            <w:pPr>
              <w:spacing w:line="240" w:lineRule="auto"/>
              <w:ind w:firstLineChars="0" w:firstLine="0"/>
              <w:jc w:val="center"/>
              <w:rPr>
                <w:kern w:val="2"/>
                <w:sz w:val="21"/>
              </w:rPr>
            </w:pPr>
          </w:p>
        </w:tc>
        <w:tc>
          <w:tcPr>
            <w:tcW w:w="1067" w:type="pct"/>
            <w:vAlign w:val="center"/>
          </w:tcPr>
          <w:p w14:paraId="1917F5F4" w14:textId="77777777" w:rsidR="003E78AB" w:rsidRDefault="00010BF9">
            <w:pPr>
              <w:spacing w:line="240" w:lineRule="auto"/>
              <w:ind w:firstLineChars="0" w:firstLine="0"/>
              <w:jc w:val="center"/>
              <w:rPr>
                <w:kern w:val="2"/>
                <w:sz w:val="21"/>
              </w:rPr>
            </w:pPr>
            <w:r>
              <w:rPr>
                <w:rFonts w:hint="eastAsia"/>
                <w:kern w:val="2"/>
                <w:sz w:val="21"/>
              </w:rPr>
              <w:t>磷酸盐</w:t>
            </w:r>
          </w:p>
        </w:tc>
        <w:tc>
          <w:tcPr>
            <w:tcW w:w="1591" w:type="pct"/>
            <w:vAlign w:val="center"/>
          </w:tcPr>
          <w:p w14:paraId="47434710" w14:textId="77777777" w:rsidR="003E78AB" w:rsidRDefault="00010BF9">
            <w:pPr>
              <w:spacing w:line="240" w:lineRule="auto"/>
              <w:ind w:firstLineChars="0" w:firstLine="0"/>
              <w:jc w:val="center"/>
              <w:rPr>
                <w:kern w:val="2"/>
                <w:sz w:val="21"/>
              </w:rPr>
            </w:pPr>
            <w:r>
              <w:rPr>
                <w:rFonts w:hint="eastAsia"/>
                <w:kern w:val="2"/>
                <w:sz w:val="21"/>
              </w:rPr>
              <w:t>0.0057</w:t>
            </w:r>
            <w:r>
              <w:rPr>
                <w:kern w:val="2"/>
                <w:sz w:val="21"/>
              </w:rPr>
              <w:t>kg/d</w:t>
            </w:r>
          </w:p>
        </w:tc>
      </w:tr>
      <w:tr w:rsidR="003E78AB" w14:paraId="1E722F63" w14:textId="77777777">
        <w:trPr>
          <w:trHeight w:val="340"/>
          <w:tblHeader/>
          <w:jc w:val="center"/>
        </w:trPr>
        <w:tc>
          <w:tcPr>
            <w:tcW w:w="419" w:type="pct"/>
            <w:vAlign w:val="center"/>
          </w:tcPr>
          <w:p w14:paraId="4E35B896" w14:textId="77777777" w:rsidR="003E78AB" w:rsidRDefault="00010BF9">
            <w:pPr>
              <w:spacing w:line="240" w:lineRule="auto"/>
              <w:ind w:firstLineChars="0" w:firstLine="0"/>
              <w:jc w:val="center"/>
              <w:rPr>
                <w:kern w:val="2"/>
                <w:sz w:val="21"/>
              </w:rPr>
            </w:pPr>
            <w:r>
              <w:rPr>
                <w:kern w:val="2"/>
                <w:sz w:val="21"/>
              </w:rPr>
              <w:t>3</w:t>
            </w:r>
          </w:p>
        </w:tc>
        <w:tc>
          <w:tcPr>
            <w:tcW w:w="1921" w:type="pct"/>
            <w:gridSpan w:val="2"/>
            <w:vAlign w:val="center"/>
          </w:tcPr>
          <w:p w14:paraId="7DF72A88" w14:textId="77777777" w:rsidR="003E78AB" w:rsidRDefault="00010BF9">
            <w:pPr>
              <w:spacing w:line="240" w:lineRule="auto"/>
              <w:ind w:firstLineChars="0" w:firstLine="0"/>
              <w:jc w:val="center"/>
              <w:rPr>
                <w:kern w:val="2"/>
                <w:sz w:val="21"/>
              </w:rPr>
            </w:pPr>
            <w:r>
              <w:rPr>
                <w:kern w:val="2"/>
                <w:sz w:val="21"/>
              </w:rPr>
              <w:t>弥散系数</w:t>
            </w:r>
            <w:r>
              <w:rPr>
                <w:kern w:val="2"/>
                <w:sz w:val="21"/>
              </w:rPr>
              <w:t>D</w:t>
            </w:r>
          </w:p>
        </w:tc>
        <w:tc>
          <w:tcPr>
            <w:tcW w:w="2658" w:type="pct"/>
            <w:gridSpan w:val="2"/>
            <w:vAlign w:val="center"/>
          </w:tcPr>
          <w:p w14:paraId="0E278DA8" w14:textId="77777777" w:rsidR="003E78AB" w:rsidRDefault="00010BF9">
            <w:pPr>
              <w:spacing w:line="240" w:lineRule="auto"/>
              <w:ind w:firstLineChars="0" w:firstLine="0"/>
              <w:jc w:val="center"/>
              <w:rPr>
                <w:kern w:val="2"/>
                <w:sz w:val="21"/>
              </w:rPr>
            </w:pPr>
            <w:r>
              <w:rPr>
                <w:kern w:val="2"/>
                <w:sz w:val="21"/>
              </w:rPr>
              <w:t>0.8</w:t>
            </w:r>
          </w:p>
        </w:tc>
      </w:tr>
      <w:tr w:rsidR="003E78AB" w14:paraId="44B95B1D" w14:textId="77777777">
        <w:trPr>
          <w:trHeight w:val="340"/>
          <w:tblHeader/>
          <w:jc w:val="center"/>
        </w:trPr>
        <w:tc>
          <w:tcPr>
            <w:tcW w:w="419" w:type="pct"/>
            <w:vMerge w:val="restart"/>
            <w:vAlign w:val="center"/>
          </w:tcPr>
          <w:p w14:paraId="1D90BC23" w14:textId="77777777" w:rsidR="003E78AB" w:rsidRDefault="00010BF9">
            <w:pPr>
              <w:spacing w:line="240" w:lineRule="auto"/>
              <w:ind w:firstLineChars="0" w:firstLine="0"/>
              <w:jc w:val="center"/>
              <w:rPr>
                <w:kern w:val="2"/>
                <w:sz w:val="21"/>
              </w:rPr>
            </w:pPr>
            <w:r>
              <w:rPr>
                <w:kern w:val="2"/>
                <w:sz w:val="21"/>
              </w:rPr>
              <w:t>4</w:t>
            </w:r>
          </w:p>
        </w:tc>
        <w:tc>
          <w:tcPr>
            <w:tcW w:w="983" w:type="pct"/>
            <w:vMerge w:val="restart"/>
            <w:vAlign w:val="center"/>
          </w:tcPr>
          <w:p w14:paraId="548E5604" w14:textId="77777777" w:rsidR="003E78AB" w:rsidRDefault="00010BF9">
            <w:pPr>
              <w:spacing w:line="240" w:lineRule="auto"/>
              <w:ind w:firstLineChars="0" w:firstLine="0"/>
              <w:jc w:val="center"/>
              <w:rPr>
                <w:kern w:val="2"/>
                <w:sz w:val="21"/>
              </w:rPr>
            </w:pPr>
            <w:r>
              <w:rPr>
                <w:kern w:val="2"/>
                <w:sz w:val="21"/>
              </w:rPr>
              <w:t>渗流速率</w:t>
            </w:r>
            <w:r>
              <w:rPr>
                <w:kern w:val="2"/>
                <w:sz w:val="21"/>
              </w:rPr>
              <w:t>q</w:t>
            </w:r>
          </w:p>
        </w:tc>
        <w:tc>
          <w:tcPr>
            <w:tcW w:w="2005" w:type="pct"/>
            <w:gridSpan w:val="2"/>
            <w:vAlign w:val="center"/>
          </w:tcPr>
          <w:p w14:paraId="7386C658" w14:textId="77777777" w:rsidR="003E78AB" w:rsidRDefault="00010BF9">
            <w:pPr>
              <w:spacing w:line="300" w:lineRule="exact"/>
              <w:ind w:firstLine="420"/>
              <w:jc w:val="center"/>
              <w:rPr>
                <w:kern w:val="2"/>
                <w:sz w:val="21"/>
                <w:szCs w:val="21"/>
                <w:lang w:eastAsia="en-US" w:bidi="en-US"/>
              </w:rPr>
            </w:pPr>
            <w:r>
              <w:rPr>
                <w:kern w:val="2"/>
                <w:sz w:val="21"/>
                <w:szCs w:val="21"/>
                <w:lang w:eastAsia="en-US" w:bidi="en-US"/>
              </w:rPr>
              <w:t>粉质粘土</w:t>
            </w:r>
          </w:p>
        </w:tc>
        <w:tc>
          <w:tcPr>
            <w:tcW w:w="1591" w:type="pct"/>
            <w:vAlign w:val="center"/>
          </w:tcPr>
          <w:p w14:paraId="14741795" w14:textId="77777777" w:rsidR="003E78AB" w:rsidRDefault="00010BF9">
            <w:pPr>
              <w:spacing w:line="360" w:lineRule="exact"/>
              <w:ind w:firstLineChars="0" w:firstLine="0"/>
              <w:jc w:val="center"/>
              <w:rPr>
                <w:kern w:val="2"/>
                <w:sz w:val="21"/>
                <w:szCs w:val="21"/>
                <w:lang w:eastAsia="en-US" w:bidi="en-US"/>
              </w:rPr>
            </w:pPr>
            <w:r>
              <w:rPr>
                <w:kern w:val="2"/>
                <w:sz w:val="21"/>
                <w:szCs w:val="21"/>
                <w:lang w:eastAsia="en-US" w:bidi="en-US"/>
              </w:rPr>
              <w:t>0.388m/d</w:t>
            </w:r>
          </w:p>
        </w:tc>
      </w:tr>
      <w:tr w:rsidR="003E78AB" w14:paraId="39CDEFDB" w14:textId="77777777">
        <w:trPr>
          <w:trHeight w:val="340"/>
          <w:tblHeader/>
          <w:jc w:val="center"/>
        </w:trPr>
        <w:tc>
          <w:tcPr>
            <w:tcW w:w="419" w:type="pct"/>
            <w:vMerge/>
            <w:vAlign w:val="center"/>
          </w:tcPr>
          <w:p w14:paraId="15E932EA" w14:textId="77777777" w:rsidR="003E78AB" w:rsidRDefault="003E78AB">
            <w:pPr>
              <w:spacing w:line="240" w:lineRule="auto"/>
              <w:ind w:firstLineChars="0" w:firstLine="0"/>
              <w:jc w:val="center"/>
              <w:rPr>
                <w:kern w:val="2"/>
                <w:sz w:val="21"/>
              </w:rPr>
            </w:pPr>
          </w:p>
        </w:tc>
        <w:tc>
          <w:tcPr>
            <w:tcW w:w="983" w:type="pct"/>
            <w:vMerge/>
            <w:vAlign w:val="center"/>
          </w:tcPr>
          <w:p w14:paraId="2E530A82" w14:textId="77777777" w:rsidR="003E78AB" w:rsidRDefault="003E78AB">
            <w:pPr>
              <w:spacing w:line="240" w:lineRule="auto"/>
              <w:ind w:firstLineChars="0" w:firstLine="0"/>
              <w:jc w:val="center"/>
              <w:rPr>
                <w:kern w:val="2"/>
                <w:sz w:val="21"/>
              </w:rPr>
            </w:pPr>
          </w:p>
        </w:tc>
        <w:tc>
          <w:tcPr>
            <w:tcW w:w="2005" w:type="pct"/>
            <w:gridSpan w:val="2"/>
            <w:vAlign w:val="center"/>
          </w:tcPr>
          <w:p w14:paraId="42C6EC5A" w14:textId="77777777" w:rsidR="003E78AB" w:rsidRDefault="00010BF9">
            <w:pPr>
              <w:spacing w:line="300" w:lineRule="exact"/>
              <w:ind w:firstLine="420"/>
              <w:jc w:val="center"/>
              <w:rPr>
                <w:kern w:val="2"/>
                <w:sz w:val="21"/>
                <w:szCs w:val="21"/>
                <w:lang w:eastAsia="en-US" w:bidi="en-US"/>
              </w:rPr>
            </w:pPr>
            <w:r>
              <w:rPr>
                <w:kern w:val="2"/>
                <w:sz w:val="21"/>
                <w:szCs w:val="21"/>
                <w:lang w:eastAsia="en-US" w:bidi="en-US"/>
              </w:rPr>
              <w:t>粉砂</w:t>
            </w:r>
          </w:p>
        </w:tc>
        <w:tc>
          <w:tcPr>
            <w:tcW w:w="1591" w:type="pct"/>
            <w:vAlign w:val="center"/>
          </w:tcPr>
          <w:p w14:paraId="64660B57" w14:textId="77777777" w:rsidR="003E78AB" w:rsidRDefault="00010BF9">
            <w:pPr>
              <w:spacing w:line="360" w:lineRule="exact"/>
              <w:ind w:firstLineChars="0" w:firstLine="0"/>
              <w:jc w:val="center"/>
              <w:rPr>
                <w:kern w:val="2"/>
                <w:sz w:val="21"/>
                <w:szCs w:val="21"/>
                <w:lang w:eastAsia="en-US" w:bidi="en-US"/>
              </w:rPr>
            </w:pPr>
            <w:r>
              <w:rPr>
                <w:kern w:val="2"/>
                <w:sz w:val="21"/>
                <w:szCs w:val="21"/>
                <w:lang w:eastAsia="en-US" w:bidi="en-US"/>
              </w:rPr>
              <w:t>1.935m/d</w:t>
            </w:r>
          </w:p>
        </w:tc>
      </w:tr>
      <w:tr w:rsidR="003E78AB" w14:paraId="0E3F244D" w14:textId="77777777">
        <w:trPr>
          <w:trHeight w:val="340"/>
          <w:tblHeader/>
          <w:jc w:val="center"/>
        </w:trPr>
        <w:tc>
          <w:tcPr>
            <w:tcW w:w="419" w:type="pct"/>
            <w:vMerge/>
            <w:vAlign w:val="center"/>
          </w:tcPr>
          <w:p w14:paraId="2C7789F0" w14:textId="77777777" w:rsidR="003E78AB" w:rsidRDefault="003E78AB">
            <w:pPr>
              <w:spacing w:line="240" w:lineRule="auto"/>
              <w:ind w:firstLineChars="0" w:firstLine="0"/>
              <w:jc w:val="center"/>
              <w:rPr>
                <w:kern w:val="2"/>
                <w:sz w:val="21"/>
              </w:rPr>
            </w:pPr>
          </w:p>
        </w:tc>
        <w:tc>
          <w:tcPr>
            <w:tcW w:w="983" w:type="pct"/>
            <w:vMerge/>
            <w:vAlign w:val="center"/>
          </w:tcPr>
          <w:p w14:paraId="00F38CD1" w14:textId="77777777" w:rsidR="003E78AB" w:rsidRDefault="003E78AB">
            <w:pPr>
              <w:spacing w:line="240" w:lineRule="auto"/>
              <w:ind w:firstLineChars="0" w:firstLine="0"/>
              <w:jc w:val="center"/>
              <w:rPr>
                <w:kern w:val="2"/>
                <w:sz w:val="21"/>
              </w:rPr>
            </w:pPr>
          </w:p>
        </w:tc>
        <w:tc>
          <w:tcPr>
            <w:tcW w:w="2005" w:type="pct"/>
            <w:gridSpan w:val="2"/>
            <w:vAlign w:val="center"/>
          </w:tcPr>
          <w:p w14:paraId="1A6DCC20" w14:textId="77777777" w:rsidR="003E78AB" w:rsidRDefault="00010BF9">
            <w:pPr>
              <w:spacing w:line="300" w:lineRule="exact"/>
              <w:ind w:firstLine="420"/>
              <w:jc w:val="center"/>
              <w:rPr>
                <w:kern w:val="2"/>
                <w:sz w:val="21"/>
                <w:szCs w:val="21"/>
                <w:lang w:eastAsia="en-US" w:bidi="en-US"/>
              </w:rPr>
            </w:pPr>
            <w:r>
              <w:rPr>
                <w:kern w:val="2"/>
                <w:sz w:val="21"/>
                <w:szCs w:val="21"/>
                <w:lang w:eastAsia="en-US" w:bidi="en-US"/>
              </w:rPr>
              <w:t>细砂</w:t>
            </w:r>
          </w:p>
        </w:tc>
        <w:tc>
          <w:tcPr>
            <w:tcW w:w="1591" w:type="pct"/>
            <w:vAlign w:val="center"/>
          </w:tcPr>
          <w:p w14:paraId="013CA2D3" w14:textId="77777777" w:rsidR="003E78AB" w:rsidRDefault="00010BF9">
            <w:pPr>
              <w:spacing w:line="360" w:lineRule="exact"/>
              <w:ind w:firstLineChars="0" w:firstLine="0"/>
              <w:jc w:val="center"/>
              <w:rPr>
                <w:kern w:val="2"/>
                <w:sz w:val="21"/>
                <w:szCs w:val="21"/>
                <w:lang w:eastAsia="en-US" w:bidi="en-US"/>
              </w:rPr>
            </w:pPr>
            <w:r>
              <w:rPr>
                <w:kern w:val="2"/>
                <w:sz w:val="21"/>
                <w:szCs w:val="21"/>
                <w:lang w:eastAsia="en-US" w:bidi="en-US"/>
              </w:rPr>
              <w:t>3.1968m/d</w:t>
            </w:r>
          </w:p>
        </w:tc>
      </w:tr>
      <w:tr w:rsidR="003E78AB" w14:paraId="43D930CC" w14:textId="77777777">
        <w:trPr>
          <w:trHeight w:val="340"/>
          <w:tblHeader/>
          <w:jc w:val="center"/>
        </w:trPr>
        <w:tc>
          <w:tcPr>
            <w:tcW w:w="419" w:type="pct"/>
            <w:vAlign w:val="center"/>
          </w:tcPr>
          <w:p w14:paraId="27605D2D" w14:textId="77777777" w:rsidR="003E78AB" w:rsidRDefault="00010BF9">
            <w:pPr>
              <w:spacing w:line="240" w:lineRule="auto"/>
              <w:ind w:firstLineChars="0" w:firstLine="0"/>
              <w:jc w:val="center"/>
              <w:rPr>
                <w:kern w:val="2"/>
                <w:sz w:val="21"/>
              </w:rPr>
            </w:pPr>
            <w:r>
              <w:rPr>
                <w:kern w:val="2"/>
                <w:sz w:val="21"/>
              </w:rPr>
              <w:t>5</w:t>
            </w:r>
          </w:p>
        </w:tc>
        <w:tc>
          <w:tcPr>
            <w:tcW w:w="2988" w:type="pct"/>
            <w:gridSpan w:val="3"/>
            <w:vAlign w:val="center"/>
          </w:tcPr>
          <w:p w14:paraId="36E361B6" w14:textId="77777777" w:rsidR="003E78AB" w:rsidRDefault="00010BF9">
            <w:pPr>
              <w:spacing w:line="240" w:lineRule="auto"/>
              <w:ind w:firstLineChars="0" w:firstLine="0"/>
              <w:jc w:val="center"/>
              <w:rPr>
                <w:kern w:val="2"/>
                <w:sz w:val="21"/>
              </w:rPr>
            </w:pPr>
            <w:r>
              <w:rPr>
                <w:kern w:val="2"/>
                <w:sz w:val="21"/>
              </w:rPr>
              <w:t>预测点</w:t>
            </w:r>
          </w:p>
        </w:tc>
        <w:tc>
          <w:tcPr>
            <w:tcW w:w="1591" w:type="pct"/>
            <w:vAlign w:val="center"/>
          </w:tcPr>
          <w:p w14:paraId="4C285F34" w14:textId="77777777" w:rsidR="003E78AB" w:rsidRDefault="00010BF9">
            <w:pPr>
              <w:spacing w:line="240" w:lineRule="auto"/>
              <w:ind w:firstLineChars="0" w:firstLine="0"/>
              <w:jc w:val="center"/>
              <w:rPr>
                <w:kern w:val="2"/>
                <w:sz w:val="21"/>
              </w:rPr>
            </w:pPr>
            <w:r>
              <w:rPr>
                <w:kern w:val="2"/>
                <w:sz w:val="21"/>
              </w:rPr>
              <w:t>N1</w:t>
            </w:r>
            <w:r>
              <w:rPr>
                <w:kern w:val="2"/>
                <w:sz w:val="21"/>
              </w:rPr>
              <w:t>：</w:t>
            </w:r>
            <w:r>
              <w:rPr>
                <w:kern w:val="2"/>
                <w:sz w:val="21"/>
              </w:rPr>
              <w:t>-</w:t>
            </w:r>
            <w:r>
              <w:rPr>
                <w:rFonts w:hint="eastAsia"/>
                <w:kern w:val="2"/>
                <w:sz w:val="21"/>
              </w:rPr>
              <w:t>2</w:t>
            </w:r>
            <w:r>
              <w:rPr>
                <w:kern w:val="2"/>
                <w:sz w:val="21"/>
              </w:rPr>
              <w:t>m</w:t>
            </w:r>
            <w:r>
              <w:rPr>
                <w:kern w:val="2"/>
                <w:sz w:val="21"/>
              </w:rPr>
              <w:t>；</w:t>
            </w:r>
            <w:r>
              <w:rPr>
                <w:kern w:val="2"/>
                <w:sz w:val="21"/>
              </w:rPr>
              <w:t>N2</w:t>
            </w:r>
            <w:r>
              <w:rPr>
                <w:kern w:val="2"/>
                <w:sz w:val="21"/>
              </w:rPr>
              <w:t>：</w:t>
            </w:r>
            <w:r>
              <w:rPr>
                <w:kern w:val="2"/>
                <w:sz w:val="21"/>
              </w:rPr>
              <w:t>-</w:t>
            </w:r>
            <w:r>
              <w:rPr>
                <w:rFonts w:hint="eastAsia"/>
                <w:kern w:val="2"/>
                <w:sz w:val="21"/>
              </w:rPr>
              <w:t>4</w:t>
            </w:r>
            <w:r>
              <w:rPr>
                <w:kern w:val="2"/>
                <w:sz w:val="21"/>
              </w:rPr>
              <w:t>m</w:t>
            </w:r>
            <w:r>
              <w:rPr>
                <w:kern w:val="2"/>
                <w:sz w:val="21"/>
              </w:rPr>
              <w:t>；</w:t>
            </w:r>
            <w:r>
              <w:rPr>
                <w:kern w:val="2"/>
                <w:sz w:val="21"/>
              </w:rPr>
              <w:t>N3</w:t>
            </w:r>
            <w:r>
              <w:rPr>
                <w:kern w:val="2"/>
                <w:sz w:val="21"/>
              </w:rPr>
              <w:t>：</w:t>
            </w:r>
            <w:r>
              <w:rPr>
                <w:kern w:val="2"/>
                <w:sz w:val="21"/>
              </w:rPr>
              <w:t>-</w:t>
            </w:r>
            <w:r>
              <w:rPr>
                <w:rFonts w:hint="eastAsia"/>
                <w:kern w:val="2"/>
                <w:sz w:val="21"/>
              </w:rPr>
              <w:t>6</w:t>
            </w:r>
            <w:r>
              <w:rPr>
                <w:kern w:val="2"/>
                <w:sz w:val="21"/>
              </w:rPr>
              <w:t>m</w:t>
            </w:r>
            <w:r>
              <w:rPr>
                <w:kern w:val="2"/>
                <w:sz w:val="21"/>
              </w:rPr>
              <w:t>；</w:t>
            </w:r>
            <w:r>
              <w:rPr>
                <w:kern w:val="2"/>
                <w:sz w:val="21"/>
              </w:rPr>
              <w:t>N4</w:t>
            </w:r>
            <w:r>
              <w:rPr>
                <w:kern w:val="2"/>
                <w:sz w:val="21"/>
              </w:rPr>
              <w:t>：</w:t>
            </w:r>
            <w:r>
              <w:rPr>
                <w:kern w:val="2"/>
                <w:sz w:val="21"/>
              </w:rPr>
              <w:t>-</w:t>
            </w:r>
            <w:r>
              <w:rPr>
                <w:rFonts w:hint="eastAsia"/>
                <w:kern w:val="2"/>
                <w:sz w:val="21"/>
              </w:rPr>
              <w:t>6</w:t>
            </w:r>
            <w:r>
              <w:rPr>
                <w:kern w:val="2"/>
                <w:sz w:val="21"/>
              </w:rPr>
              <w:t>m</w:t>
            </w:r>
            <w:r>
              <w:rPr>
                <w:kern w:val="2"/>
                <w:sz w:val="21"/>
              </w:rPr>
              <w:t>；</w:t>
            </w:r>
            <w:r>
              <w:rPr>
                <w:rFonts w:hint="eastAsia"/>
                <w:kern w:val="2"/>
                <w:sz w:val="21"/>
              </w:rPr>
              <w:t>N5</w:t>
            </w:r>
            <w:r>
              <w:rPr>
                <w:rFonts w:hint="eastAsia"/>
                <w:kern w:val="2"/>
                <w:sz w:val="21"/>
              </w:rPr>
              <w:t>：</w:t>
            </w:r>
            <w:r>
              <w:rPr>
                <w:rFonts w:hint="eastAsia"/>
                <w:kern w:val="2"/>
                <w:sz w:val="21"/>
              </w:rPr>
              <w:t>-10m</w:t>
            </w:r>
          </w:p>
        </w:tc>
      </w:tr>
    </w:tbl>
    <w:p w14:paraId="7E31D2F4" w14:textId="77777777" w:rsidR="003E78AB" w:rsidRDefault="00010BF9">
      <w:pPr>
        <w:numPr>
          <w:ilvl w:val="0"/>
          <w:numId w:val="28"/>
        </w:numPr>
        <w:ind w:firstLine="480"/>
        <w:rPr>
          <w:kern w:val="2"/>
        </w:rPr>
      </w:pPr>
      <w:r>
        <w:rPr>
          <w:kern w:val="2"/>
        </w:rPr>
        <w:t>预测结果</w:t>
      </w:r>
    </w:p>
    <w:p w14:paraId="5876DA78" w14:textId="77777777" w:rsidR="003E78AB" w:rsidRDefault="00010BF9">
      <w:pPr>
        <w:ind w:firstLine="480"/>
      </w:pPr>
      <w:r>
        <w:t>①</w:t>
      </w:r>
      <w:r>
        <w:t>钒</w:t>
      </w:r>
    </w:p>
    <w:p w14:paraId="62A802EF" w14:textId="77777777" w:rsidR="003E78AB" w:rsidRDefault="00010BF9">
      <w:pPr>
        <w:ind w:firstLine="480"/>
      </w:pPr>
      <w:r>
        <w:t>本次模拟的深度为</w:t>
      </w:r>
      <w:r>
        <w:rPr>
          <w:rFonts w:hint="eastAsia"/>
        </w:rPr>
        <w:t>10</w:t>
      </w:r>
      <w:r>
        <w:t>m</w:t>
      </w:r>
      <w:r>
        <w:t>，每隔</w:t>
      </w:r>
      <w:r>
        <w:rPr>
          <w:rFonts w:hint="eastAsia"/>
        </w:rPr>
        <w:t>2</w:t>
      </w:r>
      <w:r>
        <w:t>m</w:t>
      </w:r>
      <w:r>
        <w:t>设置一个观测孔，各个观测孔</w:t>
      </w:r>
      <w:r>
        <w:t>N1(</w:t>
      </w:r>
      <w:r>
        <w:rPr>
          <w:rFonts w:hint="eastAsia"/>
        </w:rPr>
        <w:t>2</w:t>
      </w:r>
      <w:r>
        <w:t>m)</w:t>
      </w:r>
      <w:r>
        <w:t>、</w:t>
      </w:r>
      <w:r>
        <w:t>N2(</w:t>
      </w:r>
      <w:r>
        <w:rPr>
          <w:rFonts w:hint="eastAsia"/>
        </w:rPr>
        <w:t>4</w:t>
      </w:r>
      <w:r>
        <w:t>m)</w:t>
      </w:r>
      <w:r>
        <w:t>、</w:t>
      </w:r>
      <w:r>
        <w:t>N(</w:t>
      </w:r>
      <w:r>
        <w:rPr>
          <w:rFonts w:hint="eastAsia"/>
        </w:rPr>
        <w:t>6</w:t>
      </w:r>
      <w:r>
        <w:t>m)</w:t>
      </w:r>
      <w:r>
        <w:t>、</w:t>
      </w:r>
      <w:r>
        <w:t>N4(</w:t>
      </w:r>
      <w:r>
        <w:rPr>
          <w:rFonts w:hint="eastAsia"/>
        </w:rPr>
        <w:t>8</w:t>
      </w:r>
      <w:r>
        <w:t>m)</w:t>
      </w:r>
      <w:r>
        <w:rPr>
          <w:rFonts w:hint="eastAsia"/>
        </w:rPr>
        <w:t>、</w:t>
      </w:r>
      <w:r>
        <w:t>N</w:t>
      </w:r>
      <w:r>
        <w:rPr>
          <w:rFonts w:hint="eastAsia"/>
        </w:rPr>
        <w:t>5</w:t>
      </w:r>
      <w:r>
        <w:t>(</w:t>
      </w:r>
      <w:r>
        <w:rPr>
          <w:rFonts w:hint="eastAsia"/>
        </w:rPr>
        <w:t>10</w:t>
      </w:r>
      <w:r>
        <w:t>m)</w:t>
      </w:r>
      <w:r>
        <w:t>在模拟时间段内溶质浓度随时间的变化情况如下。由下图可知，各个观测点的浓度呈逐渐增高的趋势。</w:t>
      </w:r>
    </w:p>
    <w:p w14:paraId="628586C1" w14:textId="77777777" w:rsidR="003E78AB" w:rsidRDefault="00010BF9">
      <w:pPr>
        <w:spacing w:line="240" w:lineRule="atLeast"/>
        <w:ind w:firstLineChars="0" w:firstLine="0"/>
        <w:jc w:val="center"/>
      </w:pPr>
      <w:r>
        <w:rPr>
          <w:noProof/>
        </w:rPr>
        <w:drawing>
          <wp:inline distT="0" distB="0" distL="114300" distR="114300">
            <wp:extent cx="2295525" cy="1743075"/>
            <wp:effectExtent l="0" t="0" r="952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3"/>
                    <a:stretch>
                      <a:fillRect/>
                    </a:stretch>
                  </pic:blipFill>
                  <pic:spPr>
                    <a:xfrm>
                      <a:off x="0" y="0"/>
                      <a:ext cx="2295525" cy="1743075"/>
                    </a:xfrm>
                    <a:prstGeom prst="rect">
                      <a:avLst/>
                    </a:prstGeom>
                    <a:noFill/>
                    <a:ln>
                      <a:noFill/>
                    </a:ln>
                  </pic:spPr>
                </pic:pic>
              </a:graphicData>
            </a:graphic>
          </wp:inline>
        </w:drawing>
      </w:r>
    </w:p>
    <w:p w14:paraId="378F8496" w14:textId="77777777" w:rsidR="003E78AB" w:rsidRDefault="00010BF9">
      <w:pPr>
        <w:pStyle w:val="a9"/>
        <w:spacing w:before="120"/>
        <w:ind w:left="425" w:hanging="425"/>
      </w:pPr>
      <w:r>
        <w:t>钒浓度</w:t>
      </w:r>
      <w:r>
        <w:t>—</w:t>
      </w:r>
      <w:r>
        <w:t>时间曲线图</w:t>
      </w:r>
    </w:p>
    <w:p w14:paraId="17DE4C9B" w14:textId="77777777" w:rsidR="003E78AB" w:rsidRDefault="00010BF9">
      <w:pPr>
        <w:ind w:firstLine="480"/>
      </w:pPr>
      <w:r>
        <w:t>本次模拟的时间为</w:t>
      </w:r>
      <w:r>
        <w:t>1000d</w:t>
      </w:r>
      <w:r>
        <w:t>，每隔</w:t>
      </w:r>
      <w:r>
        <w:t>2</w:t>
      </w:r>
      <w:r>
        <w:rPr>
          <w:rFonts w:hint="eastAsia"/>
        </w:rPr>
        <w:t>0</w:t>
      </w:r>
      <w:r>
        <w:t>0d</w:t>
      </w:r>
      <w:r>
        <w:t>输出一次结果，各个时间点</w:t>
      </w:r>
      <w:r>
        <w:t>T1(2</w:t>
      </w:r>
      <w:r>
        <w:rPr>
          <w:rFonts w:hint="eastAsia"/>
        </w:rPr>
        <w:t>0</w:t>
      </w:r>
      <w:r>
        <w:t>0d)</w:t>
      </w:r>
      <w:r>
        <w:t>、</w:t>
      </w:r>
      <w:r>
        <w:t>T2(</w:t>
      </w:r>
      <w:r>
        <w:rPr>
          <w:rFonts w:hint="eastAsia"/>
        </w:rPr>
        <w:t>4</w:t>
      </w:r>
      <w:r>
        <w:t>00d)</w:t>
      </w:r>
      <w:r>
        <w:t>、</w:t>
      </w:r>
      <w:r>
        <w:t>T(</w:t>
      </w:r>
      <w:r>
        <w:rPr>
          <w:rFonts w:hint="eastAsia"/>
        </w:rPr>
        <w:t>6</w:t>
      </w:r>
      <w:r>
        <w:t>0d)</w:t>
      </w:r>
      <w:r>
        <w:t>、</w:t>
      </w:r>
      <w:r>
        <w:t>T4(</w:t>
      </w:r>
      <w:r>
        <w:rPr>
          <w:rFonts w:hint="eastAsia"/>
        </w:rPr>
        <w:t>8</w:t>
      </w:r>
      <w:r>
        <w:t>00d)</w:t>
      </w:r>
      <w:r>
        <w:rPr>
          <w:rFonts w:hint="eastAsia"/>
        </w:rPr>
        <w:t>、</w:t>
      </w:r>
      <w:r>
        <w:t>T</w:t>
      </w:r>
      <w:r>
        <w:rPr>
          <w:rFonts w:hint="eastAsia"/>
        </w:rPr>
        <w:t>5</w:t>
      </w:r>
      <w:r>
        <w:t>(1000d)</w:t>
      </w:r>
      <w:r>
        <w:t>在模拟时间段内溶质浓度随时间的变化情况如下。由下图可知，至模拟期结束，污染物最大运移深度为</w:t>
      </w:r>
      <w:r>
        <w:t>10m</w:t>
      </w:r>
      <w:r>
        <w:t>，未进入含水层。</w:t>
      </w:r>
    </w:p>
    <w:p w14:paraId="462D8F2E" w14:textId="77777777" w:rsidR="003E78AB" w:rsidRDefault="00010BF9">
      <w:pPr>
        <w:spacing w:line="240" w:lineRule="atLeast"/>
        <w:ind w:firstLineChars="0" w:firstLine="0"/>
        <w:jc w:val="center"/>
      </w:pPr>
      <w:r>
        <w:rPr>
          <w:noProof/>
        </w:rPr>
        <w:drawing>
          <wp:inline distT="0" distB="0" distL="114300" distR="114300">
            <wp:extent cx="2343150" cy="174307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4"/>
                    <a:stretch>
                      <a:fillRect/>
                    </a:stretch>
                  </pic:blipFill>
                  <pic:spPr>
                    <a:xfrm>
                      <a:off x="0" y="0"/>
                      <a:ext cx="2343150" cy="1743075"/>
                    </a:xfrm>
                    <a:prstGeom prst="rect">
                      <a:avLst/>
                    </a:prstGeom>
                    <a:noFill/>
                    <a:ln>
                      <a:noFill/>
                    </a:ln>
                  </pic:spPr>
                </pic:pic>
              </a:graphicData>
            </a:graphic>
          </wp:inline>
        </w:drawing>
      </w:r>
    </w:p>
    <w:p w14:paraId="5CDAAC61" w14:textId="77777777" w:rsidR="003E78AB" w:rsidRDefault="00010BF9">
      <w:pPr>
        <w:pStyle w:val="a9"/>
        <w:spacing w:before="120"/>
        <w:ind w:left="425" w:hanging="425"/>
      </w:pPr>
      <w:r>
        <w:t>钒浓度</w:t>
      </w:r>
      <w:r>
        <w:t>—</w:t>
      </w:r>
      <w:r>
        <w:t>深度曲线图</w:t>
      </w:r>
    </w:p>
    <w:p w14:paraId="4C13E8D1" w14:textId="77777777" w:rsidR="003E78AB" w:rsidRDefault="00010BF9">
      <w:pPr>
        <w:ind w:firstLine="480"/>
      </w:pPr>
      <w:r>
        <w:t>综上分析，在正常工况下，由于采取了严格的污水处理和防渗措施，不会因</w:t>
      </w:r>
      <w:r>
        <w:rPr>
          <w:rFonts w:hint="eastAsia"/>
        </w:rPr>
        <w:t>高盐废水</w:t>
      </w:r>
      <w:r>
        <w:t>下渗导致土壤环境受到污染；在</w:t>
      </w:r>
      <w:r>
        <w:rPr>
          <w:rFonts w:hint="eastAsia"/>
        </w:rPr>
        <w:t>循</w:t>
      </w:r>
      <w:r>
        <w:rPr>
          <w:rFonts w:hint="eastAsia"/>
        </w:rPr>
        <w:t>环水箱</w:t>
      </w:r>
      <w:r>
        <w:t>泄漏事故工况下，</w:t>
      </w:r>
      <w:r>
        <w:rPr>
          <w:rFonts w:hint="eastAsia"/>
        </w:rPr>
        <w:t>高盐废水</w:t>
      </w:r>
      <w:r>
        <w:t>通过泄漏通道进入土壤当中，导致土壤环境受到污染。</w:t>
      </w:r>
    </w:p>
    <w:p w14:paraId="32D78320" w14:textId="77777777" w:rsidR="003E78AB" w:rsidRDefault="00010BF9">
      <w:pPr>
        <w:ind w:firstLine="480"/>
      </w:pPr>
      <w:r>
        <w:t>②</w:t>
      </w:r>
      <w:r>
        <w:rPr>
          <w:rFonts w:hint="eastAsia"/>
        </w:rPr>
        <w:t>磷酸</w:t>
      </w:r>
      <w:r>
        <w:t>盐</w:t>
      </w:r>
    </w:p>
    <w:p w14:paraId="10CE3D5E" w14:textId="77777777" w:rsidR="003E78AB" w:rsidRDefault="00010BF9">
      <w:pPr>
        <w:ind w:firstLine="480"/>
      </w:pPr>
      <w:r>
        <w:t>本次模拟的深度为</w:t>
      </w:r>
      <w:r>
        <w:rPr>
          <w:rFonts w:hint="eastAsia"/>
        </w:rPr>
        <w:t>10</w:t>
      </w:r>
      <w:r>
        <w:t>m</w:t>
      </w:r>
      <w:r>
        <w:t>，每隔</w:t>
      </w:r>
      <w:r>
        <w:rPr>
          <w:rFonts w:hint="eastAsia"/>
        </w:rPr>
        <w:t>2</w:t>
      </w:r>
      <w:r>
        <w:t>m</w:t>
      </w:r>
      <w:r>
        <w:t>设置一个观测孔，各个观测孔</w:t>
      </w:r>
      <w:r>
        <w:t>N1(</w:t>
      </w:r>
      <w:r>
        <w:rPr>
          <w:rFonts w:hint="eastAsia"/>
        </w:rPr>
        <w:t>2</w:t>
      </w:r>
      <w:r>
        <w:t>m)</w:t>
      </w:r>
      <w:r>
        <w:t>、</w:t>
      </w:r>
      <w:r>
        <w:t>N2(</w:t>
      </w:r>
      <w:r>
        <w:rPr>
          <w:rFonts w:hint="eastAsia"/>
        </w:rPr>
        <w:t>4</w:t>
      </w:r>
      <w:r>
        <w:t>m)</w:t>
      </w:r>
      <w:r>
        <w:t>、</w:t>
      </w:r>
      <w:r>
        <w:t>N(</w:t>
      </w:r>
      <w:r>
        <w:rPr>
          <w:rFonts w:hint="eastAsia"/>
        </w:rPr>
        <w:t>6</w:t>
      </w:r>
      <w:r>
        <w:t>m)</w:t>
      </w:r>
      <w:r>
        <w:t>、</w:t>
      </w:r>
      <w:r>
        <w:t>N4(</w:t>
      </w:r>
      <w:r>
        <w:rPr>
          <w:rFonts w:hint="eastAsia"/>
        </w:rPr>
        <w:t>8</w:t>
      </w:r>
      <w:r>
        <w:t>m)</w:t>
      </w:r>
      <w:r>
        <w:rPr>
          <w:rFonts w:hint="eastAsia"/>
        </w:rPr>
        <w:t>、</w:t>
      </w:r>
      <w:r>
        <w:t>N</w:t>
      </w:r>
      <w:r>
        <w:rPr>
          <w:rFonts w:hint="eastAsia"/>
        </w:rPr>
        <w:t>5</w:t>
      </w:r>
      <w:r>
        <w:t>(</w:t>
      </w:r>
      <w:r>
        <w:rPr>
          <w:rFonts w:hint="eastAsia"/>
        </w:rPr>
        <w:t>10</w:t>
      </w:r>
      <w:r>
        <w:t>m)</w:t>
      </w:r>
      <w:r>
        <w:t>在模拟时间段内溶质浓度随时间的变化情况如下。由下图可知，各个观测点的浓度呈逐渐增高的趋势。</w:t>
      </w:r>
    </w:p>
    <w:p w14:paraId="5314F159" w14:textId="77777777" w:rsidR="003E78AB" w:rsidRDefault="00010BF9">
      <w:pPr>
        <w:spacing w:line="240" w:lineRule="atLeast"/>
        <w:ind w:firstLineChars="0" w:firstLine="0"/>
        <w:jc w:val="center"/>
      </w:pPr>
      <w:r>
        <w:rPr>
          <w:noProof/>
        </w:rPr>
        <w:drawing>
          <wp:inline distT="0" distB="0" distL="114300" distR="114300">
            <wp:extent cx="2238375" cy="1743075"/>
            <wp:effectExtent l="0" t="0" r="9525"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5"/>
                    <a:stretch>
                      <a:fillRect/>
                    </a:stretch>
                  </pic:blipFill>
                  <pic:spPr>
                    <a:xfrm>
                      <a:off x="0" y="0"/>
                      <a:ext cx="2238375" cy="1743075"/>
                    </a:xfrm>
                    <a:prstGeom prst="rect">
                      <a:avLst/>
                    </a:prstGeom>
                    <a:noFill/>
                    <a:ln>
                      <a:noFill/>
                    </a:ln>
                  </pic:spPr>
                </pic:pic>
              </a:graphicData>
            </a:graphic>
          </wp:inline>
        </w:drawing>
      </w:r>
    </w:p>
    <w:p w14:paraId="657BD7FE" w14:textId="77777777" w:rsidR="003E78AB" w:rsidRDefault="00010BF9">
      <w:pPr>
        <w:pStyle w:val="a9"/>
        <w:spacing w:before="120"/>
        <w:ind w:left="425" w:hanging="425"/>
      </w:pPr>
      <w:r>
        <w:rPr>
          <w:rFonts w:hint="eastAsia"/>
        </w:rPr>
        <w:t>磷</w:t>
      </w:r>
      <w:r>
        <w:t>酸盐浓度</w:t>
      </w:r>
      <w:r>
        <w:t>—</w:t>
      </w:r>
      <w:r>
        <w:t>时间曲线图</w:t>
      </w:r>
    </w:p>
    <w:p w14:paraId="5B1A245B" w14:textId="77777777" w:rsidR="003E78AB" w:rsidRDefault="00010BF9">
      <w:pPr>
        <w:ind w:firstLine="480"/>
      </w:pPr>
      <w:r>
        <w:t>本次模拟的时间为</w:t>
      </w:r>
      <w:r>
        <w:t>1000d</w:t>
      </w:r>
      <w:r>
        <w:t>，每隔</w:t>
      </w:r>
      <w:r>
        <w:t>2</w:t>
      </w:r>
      <w:r>
        <w:rPr>
          <w:rFonts w:hint="eastAsia"/>
        </w:rPr>
        <w:t>0</w:t>
      </w:r>
      <w:r>
        <w:t>0d</w:t>
      </w:r>
      <w:r>
        <w:t>输出一次结果，各个时间点</w:t>
      </w:r>
      <w:r>
        <w:t>T1(2</w:t>
      </w:r>
      <w:r>
        <w:rPr>
          <w:rFonts w:hint="eastAsia"/>
        </w:rPr>
        <w:t>0</w:t>
      </w:r>
      <w:r>
        <w:t>0d)</w:t>
      </w:r>
      <w:r>
        <w:t>、</w:t>
      </w:r>
      <w:r>
        <w:t>T2(</w:t>
      </w:r>
      <w:r>
        <w:rPr>
          <w:rFonts w:hint="eastAsia"/>
        </w:rPr>
        <w:t>4</w:t>
      </w:r>
      <w:r>
        <w:t>00d)</w:t>
      </w:r>
      <w:r>
        <w:t>、</w:t>
      </w:r>
      <w:r>
        <w:t>T(</w:t>
      </w:r>
      <w:r>
        <w:rPr>
          <w:rFonts w:hint="eastAsia"/>
        </w:rPr>
        <w:t>6</w:t>
      </w:r>
      <w:r>
        <w:t>0d)</w:t>
      </w:r>
      <w:r>
        <w:t>、</w:t>
      </w:r>
      <w:r>
        <w:t>T4(</w:t>
      </w:r>
      <w:r>
        <w:rPr>
          <w:rFonts w:hint="eastAsia"/>
        </w:rPr>
        <w:t>8</w:t>
      </w:r>
      <w:r>
        <w:t>00d)</w:t>
      </w:r>
      <w:r>
        <w:rPr>
          <w:rFonts w:hint="eastAsia"/>
        </w:rPr>
        <w:t>、</w:t>
      </w:r>
      <w:r>
        <w:t>T</w:t>
      </w:r>
      <w:r>
        <w:rPr>
          <w:rFonts w:hint="eastAsia"/>
        </w:rPr>
        <w:t>5</w:t>
      </w:r>
      <w:r>
        <w:t>(1000d)</w:t>
      </w:r>
      <w:r>
        <w:t>在模拟时间段内溶质浓度随时间的变化情况如下。由下图可知，至模拟期结束，污染物最大运移深度为</w:t>
      </w:r>
      <w:r>
        <w:t>10m</w:t>
      </w:r>
      <w:r>
        <w:t>，未进入含水层。</w:t>
      </w:r>
    </w:p>
    <w:p w14:paraId="14F1A548" w14:textId="77777777" w:rsidR="003E78AB" w:rsidRDefault="00010BF9">
      <w:pPr>
        <w:spacing w:line="240" w:lineRule="atLeast"/>
        <w:ind w:firstLineChars="0" w:firstLine="0"/>
        <w:jc w:val="center"/>
      </w:pPr>
      <w:r>
        <w:rPr>
          <w:noProof/>
        </w:rPr>
        <w:drawing>
          <wp:inline distT="0" distB="0" distL="114300" distR="114300">
            <wp:extent cx="2343150" cy="1743075"/>
            <wp:effectExtent l="0" t="0" r="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16"/>
                    <a:stretch>
                      <a:fillRect/>
                    </a:stretch>
                  </pic:blipFill>
                  <pic:spPr>
                    <a:xfrm>
                      <a:off x="0" y="0"/>
                      <a:ext cx="2343150" cy="1743075"/>
                    </a:xfrm>
                    <a:prstGeom prst="rect">
                      <a:avLst/>
                    </a:prstGeom>
                    <a:noFill/>
                    <a:ln>
                      <a:noFill/>
                    </a:ln>
                  </pic:spPr>
                </pic:pic>
              </a:graphicData>
            </a:graphic>
          </wp:inline>
        </w:drawing>
      </w:r>
    </w:p>
    <w:p w14:paraId="155E760E" w14:textId="77777777" w:rsidR="003E78AB" w:rsidRDefault="00010BF9">
      <w:pPr>
        <w:pStyle w:val="a9"/>
        <w:spacing w:before="120"/>
        <w:ind w:left="425" w:hanging="425"/>
      </w:pPr>
      <w:r>
        <w:rPr>
          <w:rFonts w:hint="eastAsia"/>
        </w:rPr>
        <w:t>磷</w:t>
      </w:r>
      <w:r>
        <w:t>酸盐浓度</w:t>
      </w:r>
      <w:r>
        <w:t>—</w:t>
      </w:r>
      <w:r>
        <w:t>深度曲线图</w:t>
      </w:r>
    </w:p>
    <w:p w14:paraId="63E3A1B8" w14:textId="77777777" w:rsidR="003E78AB" w:rsidRDefault="00010BF9">
      <w:pPr>
        <w:ind w:firstLine="480"/>
      </w:pPr>
      <w:r>
        <w:t>综上分析，在正常工况下，由于采取了严格的防渗措施，不会因</w:t>
      </w:r>
      <w:r>
        <w:rPr>
          <w:rFonts w:hint="eastAsia"/>
        </w:rPr>
        <w:t>高盐废水</w:t>
      </w:r>
      <w:r>
        <w:t>下渗导致土壤环境受到污染；在</w:t>
      </w:r>
      <w:r>
        <w:rPr>
          <w:rFonts w:hint="eastAsia"/>
        </w:rPr>
        <w:t>循环水箱</w:t>
      </w:r>
      <w:r>
        <w:t>泄漏事故工况下，</w:t>
      </w:r>
      <w:r>
        <w:rPr>
          <w:rFonts w:hint="eastAsia"/>
        </w:rPr>
        <w:t>高盐废水</w:t>
      </w:r>
      <w:r>
        <w:t>通过泄漏通道进入土壤当中，导致土壤环境受到污染。</w:t>
      </w:r>
    </w:p>
    <w:p w14:paraId="2EBFF73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.6.4</w:t>
      </w:r>
      <w:r>
        <w:rPr>
          <w:rFonts w:ascii="Times New Roman" w:hAnsi="Times New Roman"/>
        </w:rPr>
        <w:t>土壤污染防控措施</w:t>
      </w:r>
    </w:p>
    <w:p w14:paraId="157CF8D7" w14:textId="77777777" w:rsidR="003E78AB" w:rsidRDefault="00010BF9">
      <w:pPr>
        <w:pStyle w:val="5"/>
        <w:keepNext w:val="0"/>
        <w:keepLines w:val="0"/>
        <w:ind w:firstLine="482"/>
        <w:rPr>
          <w:sz w:val="24"/>
        </w:rPr>
      </w:pPr>
      <w:r>
        <w:rPr>
          <w:rFonts w:hint="eastAsia"/>
          <w:sz w:val="24"/>
        </w:rPr>
        <w:t>1.</w:t>
      </w:r>
      <w:r>
        <w:rPr>
          <w:sz w:val="24"/>
        </w:rPr>
        <w:t>源头控制</w:t>
      </w:r>
    </w:p>
    <w:p w14:paraId="7663187C" w14:textId="77777777" w:rsidR="003E78AB" w:rsidRDefault="00010BF9">
      <w:pPr>
        <w:ind w:firstLine="480"/>
        <w:rPr>
          <w:kern w:val="2"/>
        </w:rPr>
      </w:pPr>
      <w:r>
        <w:rPr>
          <w:kern w:val="2"/>
        </w:rPr>
        <w:t>从原料和产品储存、装卸、运输、生产过程、污染处理装置等全过程控制各种有毒有害原辅材料、中间材料、产品泄漏</w:t>
      </w:r>
      <w:r>
        <w:rPr>
          <w:kern w:val="2"/>
        </w:rPr>
        <w:t>(</w:t>
      </w:r>
      <w:r>
        <w:rPr>
          <w:kern w:val="2"/>
        </w:rPr>
        <w:t>含跑、冒、滴、漏</w:t>
      </w:r>
      <w:r>
        <w:rPr>
          <w:kern w:val="2"/>
        </w:rPr>
        <w:t>)</w:t>
      </w:r>
      <w:r>
        <w:rPr>
          <w:kern w:val="2"/>
        </w:rPr>
        <w:t>，同时对有害物质可能泄漏到地面的区域采取防渗措施，阻止其进入土壤中，即从源头到末端全方位采取控制措施，防止项目的建设对土壤造成污染。</w:t>
      </w:r>
    </w:p>
    <w:p w14:paraId="52AF38B8" w14:textId="77777777" w:rsidR="003E78AB" w:rsidRDefault="00010BF9">
      <w:pPr>
        <w:ind w:firstLine="480"/>
        <w:rPr>
          <w:kern w:val="2"/>
        </w:rPr>
      </w:pPr>
      <w:r>
        <w:rPr>
          <w:kern w:val="2"/>
        </w:rPr>
        <w:t>从生产过程入手，在工艺、管道、设备、给排水等方面尽可能地采取泄漏控制措施，从源头最大限度降低污染物质泄漏的可能性和泄漏量，使项目区污染物对土壤的影响降至最低，一旦出现泄漏等即可由各种配套措施进行收集、处置，同时经过硬化处理的地面有效阻止污染物的下渗。</w:t>
      </w:r>
    </w:p>
    <w:p w14:paraId="271FC56F" w14:textId="77777777" w:rsidR="003E78AB" w:rsidRDefault="00010BF9">
      <w:pPr>
        <w:pStyle w:val="5"/>
        <w:keepNext w:val="0"/>
        <w:keepLines w:val="0"/>
        <w:ind w:firstLine="482"/>
        <w:rPr>
          <w:sz w:val="24"/>
        </w:rPr>
      </w:pPr>
      <w:r>
        <w:rPr>
          <w:rFonts w:hint="eastAsia"/>
          <w:sz w:val="24"/>
        </w:rPr>
        <w:t>2</w:t>
      </w:r>
      <w:r>
        <w:rPr>
          <w:rFonts w:hint="eastAsia"/>
          <w:sz w:val="24"/>
        </w:rPr>
        <w:t>.</w:t>
      </w:r>
      <w:r>
        <w:rPr>
          <w:sz w:val="24"/>
        </w:rPr>
        <w:t>过程控制</w:t>
      </w:r>
    </w:p>
    <w:p w14:paraId="08E5FDF5" w14:textId="77777777" w:rsidR="003E78AB" w:rsidRDefault="00010BF9">
      <w:pPr>
        <w:ind w:firstLine="480"/>
        <w:rPr>
          <w:kern w:val="2"/>
        </w:rPr>
      </w:pPr>
      <w:r>
        <w:rPr>
          <w:kern w:val="2"/>
        </w:rPr>
        <w:t>从大气沉降、垂直入渗、地面漫流三个途径分别进行控制。</w:t>
      </w:r>
    </w:p>
    <w:p w14:paraId="7A4C502E" w14:textId="77777777" w:rsidR="003E78AB" w:rsidRDefault="00010BF9">
      <w:pPr>
        <w:ind w:firstLine="480"/>
        <w:rPr>
          <w:kern w:val="2"/>
        </w:rPr>
      </w:pPr>
      <w:r>
        <w:rPr>
          <w:kern w:val="2"/>
        </w:rPr>
        <w:t>①</w:t>
      </w:r>
      <w:r>
        <w:rPr>
          <w:kern w:val="2"/>
        </w:rPr>
        <w:t>针对大气沉降污染途径的治理措施，项目对各类废气污染物均采取了对应的治理措施，确保污染物达标排放。</w:t>
      </w:r>
    </w:p>
    <w:p w14:paraId="5CACED0B" w14:textId="77777777" w:rsidR="003E78AB" w:rsidRDefault="00010BF9">
      <w:pPr>
        <w:ind w:firstLine="480"/>
        <w:rPr>
          <w:kern w:val="2"/>
        </w:rPr>
      </w:pPr>
      <w:r>
        <w:rPr>
          <w:kern w:val="2"/>
        </w:rPr>
        <w:t>②</w:t>
      </w:r>
      <w:r>
        <w:rPr>
          <w:kern w:val="2"/>
        </w:rPr>
        <w:t>针对垂直入渗污染途径的治理措施，项目按重点污染防治区、一般污染防治区、简单防渗区分别采取不同等级的防渗措施。</w:t>
      </w:r>
    </w:p>
    <w:p w14:paraId="710EB468" w14:textId="77777777" w:rsidR="003E78AB" w:rsidRDefault="00010BF9">
      <w:pPr>
        <w:ind w:firstLine="480"/>
        <w:rPr>
          <w:kern w:val="2"/>
        </w:rPr>
      </w:pPr>
      <w:r>
        <w:rPr>
          <w:kern w:val="2"/>
        </w:rPr>
        <w:t>③</w:t>
      </w:r>
      <w:r>
        <w:rPr>
          <w:kern w:val="2"/>
        </w:rPr>
        <w:t>针对地面漫流污染途径的治理措施厂区设置储罐</w:t>
      </w:r>
      <w:r>
        <w:rPr>
          <w:rFonts w:hint="eastAsia"/>
          <w:kern w:val="2"/>
        </w:rPr>
        <w:t>地坑式</w:t>
      </w:r>
      <w:r>
        <w:rPr>
          <w:kern w:val="2"/>
        </w:rPr>
        <w:t>围堰、地面硬化、事故废水收集处理等措施。</w:t>
      </w:r>
    </w:p>
    <w:p w14:paraId="5C2BEBD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5.2</w:t>
      </w:r>
      <w:r>
        <w:rPr>
          <w:rFonts w:ascii="Times New Roman" w:hAnsi="Times New Roman"/>
        </w:rPr>
        <w:t>.6.5</w:t>
      </w:r>
      <w:r>
        <w:rPr>
          <w:rFonts w:ascii="Times New Roman" w:hAnsi="Times New Roman" w:hint="eastAsia"/>
        </w:rPr>
        <w:t>小结</w:t>
      </w:r>
    </w:p>
    <w:p w14:paraId="1C02C2D0" w14:textId="77777777" w:rsidR="003E78AB" w:rsidRDefault="00010BF9">
      <w:pPr>
        <w:ind w:firstLine="480"/>
        <w:rPr>
          <w:b/>
          <w:bCs/>
          <w:kern w:val="2"/>
        </w:rPr>
      </w:pPr>
      <w:r>
        <w:rPr>
          <w:kern w:val="2"/>
        </w:rPr>
        <w:t>项目针对各类污染物均采取了相应的污染治理措施，可确保污染物的达标排放及防止渗漏发生，可从源头上控制项目对区域土壤环境的污染</w:t>
      </w:r>
      <w:r>
        <w:rPr>
          <w:kern w:val="2"/>
        </w:rPr>
        <w:t>源，确保项目对区域土壤的影响水平处于可接受水平。因此，只要企业严格落实本报告提出的污染防治措施，项目对区域土壤环境的影响是可以接受的。</w:t>
      </w:r>
    </w:p>
    <w:p w14:paraId="30F87224" w14:textId="77777777" w:rsidR="003E78AB" w:rsidRDefault="00010BF9">
      <w:pPr>
        <w:pStyle w:val="a4"/>
        <w:spacing w:before="120"/>
        <w:ind w:left="425" w:hanging="425"/>
      </w:pPr>
      <w:r>
        <w:t>土壤环境影响评价自查表</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522"/>
        <w:gridCol w:w="1286"/>
        <w:gridCol w:w="1393"/>
        <w:gridCol w:w="983"/>
        <w:gridCol w:w="409"/>
        <w:gridCol w:w="1403"/>
        <w:gridCol w:w="1045"/>
      </w:tblGrid>
      <w:tr w:rsidR="003E78AB" w14:paraId="49A1DA7A" w14:textId="77777777">
        <w:trPr>
          <w:trHeight w:val="340"/>
          <w:tblHeader/>
          <w:jc w:val="center"/>
        </w:trPr>
        <w:tc>
          <w:tcPr>
            <w:tcW w:w="1911" w:type="dxa"/>
            <w:gridSpan w:val="2"/>
            <w:vAlign w:val="center"/>
          </w:tcPr>
          <w:p w14:paraId="463F9AFB" w14:textId="77777777" w:rsidR="003E78AB" w:rsidRDefault="00010BF9">
            <w:pPr>
              <w:pStyle w:val="affd"/>
              <w:topLinePunct/>
              <w:adjustRightInd/>
              <w:snapToGrid/>
              <w:spacing w:line="360" w:lineRule="exact"/>
              <w:ind w:leftChars="0" w:left="0" w:rightChars="0" w:right="0"/>
              <w:rPr>
                <w:b/>
                <w:bCs/>
                <w:color w:val="auto"/>
                <w:lang w:val="zh-CN"/>
              </w:rPr>
            </w:pPr>
            <w:r>
              <w:rPr>
                <w:b/>
                <w:bCs/>
                <w:color w:val="auto"/>
                <w:lang w:val="zh-CN"/>
              </w:rPr>
              <w:t>工作内容</w:t>
            </w:r>
          </w:p>
        </w:tc>
        <w:tc>
          <w:tcPr>
            <w:tcW w:w="5474" w:type="dxa"/>
            <w:gridSpan w:val="5"/>
            <w:vAlign w:val="center"/>
          </w:tcPr>
          <w:p w14:paraId="1129691A" w14:textId="77777777" w:rsidR="003E78AB" w:rsidRDefault="00010BF9">
            <w:pPr>
              <w:pStyle w:val="affd"/>
              <w:topLinePunct/>
              <w:adjustRightInd/>
              <w:snapToGrid/>
              <w:spacing w:line="360" w:lineRule="exact"/>
              <w:ind w:leftChars="0" w:left="0" w:rightChars="0" w:right="0"/>
              <w:rPr>
                <w:b/>
                <w:bCs/>
                <w:color w:val="auto"/>
                <w:lang w:val="zh-CN"/>
              </w:rPr>
            </w:pPr>
            <w:r>
              <w:rPr>
                <w:b/>
                <w:bCs/>
                <w:color w:val="auto"/>
                <w:lang w:val="zh-CN"/>
              </w:rPr>
              <w:t>完成情况</w:t>
            </w:r>
          </w:p>
        </w:tc>
        <w:tc>
          <w:tcPr>
            <w:tcW w:w="1045" w:type="dxa"/>
            <w:vAlign w:val="center"/>
          </w:tcPr>
          <w:p w14:paraId="7CB1BCB8" w14:textId="77777777" w:rsidR="003E78AB" w:rsidRDefault="00010BF9">
            <w:pPr>
              <w:pStyle w:val="affd"/>
              <w:topLinePunct/>
              <w:adjustRightInd/>
              <w:snapToGrid/>
              <w:spacing w:line="360" w:lineRule="exact"/>
              <w:ind w:leftChars="0" w:left="0" w:rightChars="0" w:right="0"/>
              <w:rPr>
                <w:b/>
                <w:bCs/>
                <w:color w:val="auto"/>
                <w:lang w:val="zh-CN"/>
              </w:rPr>
            </w:pPr>
            <w:r>
              <w:rPr>
                <w:b/>
                <w:bCs/>
                <w:color w:val="auto"/>
                <w:lang w:val="zh-CN"/>
              </w:rPr>
              <w:t>备注</w:t>
            </w:r>
          </w:p>
        </w:tc>
      </w:tr>
      <w:tr w:rsidR="003E78AB" w14:paraId="5B10008F" w14:textId="77777777">
        <w:trPr>
          <w:trHeight w:val="340"/>
          <w:jc w:val="center"/>
        </w:trPr>
        <w:tc>
          <w:tcPr>
            <w:tcW w:w="389" w:type="dxa"/>
            <w:vMerge w:val="restart"/>
            <w:vAlign w:val="center"/>
          </w:tcPr>
          <w:p w14:paraId="61474911"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影响识别</w:t>
            </w:r>
          </w:p>
        </w:tc>
        <w:tc>
          <w:tcPr>
            <w:tcW w:w="1522" w:type="dxa"/>
            <w:vAlign w:val="center"/>
          </w:tcPr>
          <w:p w14:paraId="06CB0DB6"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影响类型</w:t>
            </w:r>
          </w:p>
        </w:tc>
        <w:tc>
          <w:tcPr>
            <w:tcW w:w="5474" w:type="dxa"/>
            <w:gridSpan w:val="5"/>
            <w:vAlign w:val="center"/>
          </w:tcPr>
          <w:p w14:paraId="36D9AE3F"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污染影响型</w:t>
            </w:r>
            <w:r>
              <w:rPr>
                <w:color w:val="auto"/>
                <w:lang w:val="zh-CN"/>
              </w:rPr>
              <w:t>☑</w:t>
            </w:r>
            <w:r>
              <w:rPr>
                <w:color w:val="auto"/>
                <w:lang w:val="zh-CN"/>
              </w:rPr>
              <w:t>；生态影响型</w:t>
            </w:r>
            <w:r>
              <w:rPr>
                <w:color w:val="auto"/>
                <w:lang w:val="zh-CN"/>
              </w:rPr>
              <w:t>□</w:t>
            </w:r>
            <w:r>
              <w:rPr>
                <w:color w:val="auto"/>
                <w:lang w:val="zh-CN"/>
              </w:rPr>
              <w:t>；两种兼有</w:t>
            </w:r>
            <w:r>
              <w:rPr>
                <w:color w:val="auto"/>
                <w:lang w:val="zh-CN"/>
              </w:rPr>
              <w:t>□</w:t>
            </w:r>
          </w:p>
        </w:tc>
        <w:tc>
          <w:tcPr>
            <w:tcW w:w="1045" w:type="dxa"/>
            <w:vAlign w:val="center"/>
          </w:tcPr>
          <w:p w14:paraId="57FE8A64" w14:textId="77777777" w:rsidR="003E78AB" w:rsidRDefault="003E78AB">
            <w:pPr>
              <w:pStyle w:val="affd"/>
              <w:topLinePunct/>
              <w:adjustRightInd/>
              <w:snapToGrid/>
              <w:spacing w:line="360" w:lineRule="exact"/>
              <w:ind w:leftChars="0" w:left="0" w:rightChars="0" w:right="0"/>
              <w:rPr>
                <w:color w:val="auto"/>
              </w:rPr>
            </w:pPr>
          </w:p>
        </w:tc>
      </w:tr>
      <w:tr w:rsidR="003E78AB" w14:paraId="2A5B8E56" w14:textId="77777777">
        <w:trPr>
          <w:trHeight w:val="340"/>
          <w:jc w:val="center"/>
        </w:trPr>
        <w:tc>
          <w:tcPr>
            <w:tcW w:w="389" w:type="dxa"/>
            <w:vMerge/>
            <w:vAlign w:val="center"/>
          </w:tcPr>
          <w:p w14:paraId="0FF24CD0"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5D797963"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土地利用类型</w:t>
            </w:r>
          </w:p>
        </w:tc>
        <w:tc>
          <w:tcPr>
            <w:tcW w:w="5474" w:type="dxa"/>
            <w:gridSpan w:val="5"/>
            <w:vAlign w:val="center"/>
          </w:tcPr>
          <w:p w14:paraId="1832C327"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建设用地</w:t>
            </w:r>
            <w:r>
              <w:rPr>
                <w:color w:val="auto"/>
                <w:lang w:val="zh-CN"/>
              </w:rPr>
              <w:t>☑</w:t>
            </w:r>
            <w:r>
              <w:rPr>
                <w:color w:val="auto"/>
                <w:lang w:val="zh-CN"/>
              </w:rPr>
              <w:t>；农用地</w:t>
            </w:r>
            <w:r>
              <w:rPr>
                <w:color w:val="auto"/>
                <w:lang w:val="zh-CN"/>
              </w:rPr>
              <w:t>□</w:t>
            </w:r>
            <w:r>
              <w:rPr>
                <w:color w:val="auto"/>
                <w:lang w:val="zh-CN"/>
              </w:rPr>
              <w:t>；未利用地</w:t>
            </w:r>
            <w:r>
              <w:rPr>
                <w:color w:val="auto"/>
                <w:lang w:val="zh-CN"/>
              </w:rPr>
              <w:t>□</w:t>
            </w:r>
          </w:p>
        </w:tc>
        <w:tc>
          <w:tcPr>
            <w:tcW w:w="1045" w:type="dxa"/>
            <w:vAlign w:val="center"/>
          </w:tcPr>
          <w:p w14:paraId="6E757021" w14:textId="77777777" w:rsidR="003E78AB" w:rsidRDefault="003E78AB">
            <w:pPr>
              <w:pStyle w:val="affd"/>
              <w:topLinePunct/>
              <w:adjustRightInd/>
              <w:snapToGrid/>
              <w:spacing w:line="360" w:lineRule="exact"/>
              <w:ind w:leftChars="0" w:left="0" w:rightChars="0" w:right="0"/>
              <w:rPr>
                <w:color w:val="auto"/>
                <w:lang w:val="zh-CN"/>
              </w:rPr>
            </w:pPr>
          </w:p>
        </w:tc>
      </w:tr>
      <w:tr w:rsidR="003E78AB" w14:paraId="290184E7" w14:textId="77777777">
        <w:trPr>
          <w:trHeight w:val="340"/>
          <w:jc w:val="center"/>
        </w:trPr>
        <w:tc>
          <w:tcPr>
            <w:tcW w:w="389" w:type="dxa"/>
            <w:vMerge/>
            <w:vAlign w:val="center"/>
          </w:tcPr>
          <w:p w14:paraId="157045E6"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0F363511"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占地规模</w:t>
            </w:r>
          </w:p>
        </w:tc>
        <w:tc>
          <w:tcPr>
            <w:tcW w:w="5474" w:type="dxa"/>
            <w:gridSpan w:val="5"/>
            <w:vAlign w:val="center"/>
          </w:tcPr>
          <w:p w14:paraId="2D9E7C9B"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w:t>
            </w:r>
            <w:r>
              <w:rPr>
                <w:rFonts w:hint="eastAsia"/>
                <w:color w:val="auto"/>
              </w:rPr>
              <w:t>7.6</w:t>
            </w:r>
            <w:r>
              <w:rPr>
                <w:color w:val="auto"/>
                <w:lang w:val="zh-CN"/>
              </w:rPr>
              <w:t>）</w:t>
            </w:r>
            <w:r>
              <w:rPr>
                <w:color w:val="auto"/>
                <w:lang w:val="zh-CN"/>
              </w:rPr>
              <w:t>hm</w:t>
            </w:r>
            <w:r>
              <w:rPr>
                <w:color w:val="auto"/>
                <w:vertAlign w:val="superscript"/>
                <w:lang w:val="zh-CN"/>
              </w:rPr>
              <w:t>2</w:t>
            </w:r>
          </w:p>
        </w:tc>
        <w:tc>
          <w:tcPr>
            <w:tcW w:w="1045" w:type="dxa"/>
            <w:vAlign w:val="center"/>
          </w:tcPr>
          <w:p w14:paraId="341F1F53" w14:textId="77777777" w:rsidR="003E78AB" w:rsidRDefault="003E78AB">
            <w:pPr>
              <w:pStyle w:val="affd"/>
              <w:topLinePunct/>
              <w:adjustRightInd/>
              <w:snapToGrid/>
              <w:spacing w:line="360" w:lineRule="exact"/>
              <w:ind w:leftChars="0" w:left="0" w:rightChars="0" w:right="0"/>
              <w:rPr>
                <w:color w:val="auto"/>
              </w:rPr>
            </w:pPr>
          </w:p>
        </w:tc>
      </w:tr>
      <w:tr w:rsidR="003E78AB" w14:paraId="3ED5CA42" w14:textId="77777777">
        <w:trPr>
          <w:trHeight w:val="340"/>
          <w:jc w:val="center"/>
        </w:trPr>
        <w:tc>
          <w:tcPr>
            <w:tcW w:w="389" w:type="dxa"/>
            <w:vMerge/>
            <w:vAlign w:val="center"/>
          </w:tcPr>
          <w:p w14:paraId="3A544BEA"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4EF11A1C"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敏感目标信息</w:t>
            </w:r>
          </w:p>
        </w:tc>
        <w:tc>
          <w:tcPr>
            <w:tcW w:w="5474" w:type="dxa"/>
            <w:gridSpan w:val="5"/>
            <w:vAlign w:val="center"/>
          </w:tcPr>
          <w:p w14:paraId="128396AA"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敏感目标（无）</w:t>
            </w:r>
          </w:p>
        </w:tc>
        <w:tc>
          <w:tcPr>
            <w:tcW w:w="1045" w:type="dxa"/>
            <w:vAlign w:val="center"/>
          </w:tcPr>
          <w:p w14:paraId="5D37C036" w14:textId="77777777" w:rsidR="003E78AB" w:rsidRDefault="003E78AB">
            <w:pPr>
              <w:pStyle w:val="affd"/>
              <w:topLinePunct/>
              <w:adjustRightInd/>
              <w:snapToGrid/>
              <w:spacing w:line="360" w:lineRule="exact"/>
              <w:ind w:leftChars="0" w:left="0" w:rightChars="0" w:right="0"/>
              <w:rPr>
                <w:color w:val="auto"/>
              </w:rPr>
            </w:pPr>
          </w:p>
        </w:tc>
      </w:tr>
      <w:tr w:rsidR="003E78AB" w14:paraId="6641AC5A" w14:textId="77777777">
        <w:trPr>
          <w:trHeight w:val="340"/>
          <w:jc w:val="center"/>
        </w:trPr>
        <w:tc>
          <w:tcPr>
            <w:tcW w:w="389" w:type="dxa"/>
            <w:vMerge/>
            <w:vAlign w:val="center"/>
          </w:tcPr>
          <w:p w14:paraId="2ABD1C5F"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33F62C8C"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影响途径</w:t>
            </w:r>
          </w:p>
        </w:tc>
        <w:tc>
          <w:tcPr>
            <w:tcW w:w="5474" w:type="dxa"/>
            <w:gridSpan w:val="5"/>
            <w:vAlign w:val="center"/>
          </w:tcPr>
          <w:p w14:paraId="0617CE01"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大气沉降</w:t>
            </w:r>
            <w:r>
              <w:rPr>
                <w:color w:val="auto"/>
                <w:lang w:val="zh-CN"/>
              </w:rPr>
              <w:sym w:font="Wingdings 2" w:char="0052"/>
            </w:r>
            <w:r>
              <w:rPr>
                <w:color w:val="auto"/>
                <w:lang w:val="zh-CN"/>
              </w:rPr>
              <w:t>；地面漫流</w:t>
            </w:r>
            <w:r>
              <w:rPr>
                <w:color w:val="auto"/>
                <w:lang w:val="zh-CN"/>
              </w:rPr>
              <w:sym w:font="Wingdings 2" w:char="00A3"/>
            </w:r>
            <w:r>
              <w:rPr>
                <w:color w:val="auto"/>
                <w:lang w:val="zh-CN"/>
              </w:rPr>
              <w:t>；垂直入渗</w:t>
            </w:r>
            <w:r>
              <w:rPr>
                <w:color w:val="auto"/>
                <w:lang w:val="zh-CN"/>
              </w:rPr>
              <w:sym w:font="Wingdings 2" w:char="0052"/>
            </w:r>
            <w:r>
              <w:rPr>
                <w:color w:val="auto"/>
                <w:lang w:val="zh-CN"/>
              </w:rPr>
              <w:t>；地下水位</w:t>
            </w:r>
            <w:r>
              <w:rPr>
                <w:color w:val="auto"/>
                <w:lang w:val="zh-CN"/>
              </w:rPr>
              <w:t>□</w:t>
            </w:r>
            <w:r>
              <w:rPr>
                <w:color w:val="auto"/>
                <w:lang w:val="zh-CN"/>
              </w:rPr>
              <w:t>；其他（）</w:t>
            </w:r>
          </w:p>
        </w:tc>
        <w:tc>
          <w:tcPr>
            <w:tcW w:w="1045" w:type="dxa"/>
            <w:vAlign w:val="center"/>
          </w:tcPr>
          <w:p w14:paraId="5A46B95B" w14:textId="77777777" w:rsidR="003E78AB" w:rsidRDefault="003E78AB">
            <w:pPr>
              <w:pStyle w:val="affd"/>
              <w:topLinePunct/>
              <w:adjustRightInd/>
              <w:snapToGrid/>
              <w:spacing w:line="360" w:lineRule="exact"/>
              <w:ind w:leftChars="0" w:left="0" w:rightChars="0" w:right="0"/>
              <w:rPr>
                <w:color w:val="auto"/>
              </w:rPr>
            </w:pPr>
          </w:p>
        </w:tc>
      </w:tr>
      <w:tr w:rsidR="003E78AB" w14:paraId="2B51E3F1" w14:textId="77777777">
        <w:trPr>
          <w:trHeight w:val="340"/>
          <w:jc w:val="center"/>
        </w:trPr>
        <w:tc>
          <w:tcPr>
            <w:tcW w:w="389" w:type="dxa"/>
            <w:vMerge/>
            <w:vAlign w:val="center"/>
          </w:tcPr>
          <w:p w14:paraId="007DDFCD"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77FF6C8C"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全部污染物</w:t>
            </w:r>
          </w:p>
        </w:tc>
        <w:tc>
          <w:tcPr>
            <w:tcW w:w="5474" w:type="dxa"/>
            <w:gridSpan w:val="5"/>
            <w:vAlign w:val="center"/>
          </w:tcPr>
          <w:p w14:paraId="1CF43617" w14:textId="77777777" w:rsidR="003E78AB" w:rsidRDefault="00010BF9">
            <w:pPr>
              <w:pStyle w:val="affd"/>
              <w:topLinePunct/>
              <w:adjustRightInd/>
              <w:snapToGrid/>
              <w:spacing w:line="360" w:lineRule="exact"/>
              <w:ind w:leftChars="0" w:left="0" w:rightChars="0" w:right="0"/>
              <w:rPr>
                <w:color w:val="auto"/>
              </w:rPr>
            </w:pPr>
            <w:r>
              <w:rPr>
                <w:rFonts w:hint="eastAsia"/>
                <w:color w:val="auto"/>
              </w:rPr>
              <w:t>钒</w:t>
            </w:r>
            <w:r>
              <w:rPr>
                <w:color w:val="auto"/>
              </w:rPr>
              <w:t>等</w:t>
            </w:r>
          </w:p>
        </w:tc>
        <w:tc>
          <w:tcPr>
            <w:tcW w:w="1045" w:type="dxa"/>
            <w:vAlign w:val="center"/>
          </w:tcPr>
          <w:p w14:paraId="5FCBDFB4" w14:textId="77777777" w:rsidR="003E78AB" w:rsidRDefault="003E78AB">
            <w:pPr>
              <w:pStyle w:val="affd"/>
              <w:topLinePunct/>
              <w:adjustRightInd/>
              <w:snapToGrid/>
              <w:spacing w:line="360" w:lineRule="exact"/>
              <w:ind w:leftChars="0" w:left="0" w:rightChars="0" w:right="0"/>
              <w:rPr>
                <w:color w:val="auto"/>
              </w:rPr>
            </w:pPr>
          </w:p>
        </w:tc>
      </w:tr>
      <w:tr w:rsidR="003E78AB" w14:paraId="69A67181" w14:textId="77777777">
        <w:trPr>
          <w:trHeight w:val="340"/>
          <w:jc w:val="center"/>
        </w:trPr>
        <w:tc>
          <w:tcPr>
            <w:tcW w:w="389" w:type="dxa"/>
            <w:vMerge/>
            <w:vAlign w:val="center"/>
          </w:tcPr>
          <w:p w14:paraId="7FA26F6F"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159A0231"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特征因子</w:t>
            </w:r>
          </w:p>
        </w:tc>
        <w:tc>
          <w:tcPr>
            <w:tcW w:w="5474" w:type="dxa"/>
            <w:gridSpan w:val="5"/>
            <w:vAlign w:val="center"/>
          </w:tcPr>
          <w:p w14:paraId="5052D7DC" w14:textId="77777777" w:rsidR="003E78AB" w:rsidRDefault="00010BF9">
            <w:pPr>
              <w:pStyle w:val="affd"/>
              <w:topLinePunct/>
              <w:adjustRightInd/>
              <w:snapToGrid/>
              <w:spacing w:line="360" w:lineRule="exact"/>
              <w:ind w:leftChars="0" w:left="0" w:rightChars="0" w:right="0"/>
              <w:rPr>
                <w:color w:val="auto"/>
              </w:rPr>
            </w:pPr>
            <w:r>
              <w:rPr>
                <w:rFonts w:hint="eastAsia"/>
                <w:color w:val="auto"/>
              </w:rPr>
              <w:t>钒</w:t>
            </w:r>
            <w:r>
              <w:rPr>
                <w:color w:val="auto"/>
              </w:rPr>
              <w:t>等</w:t>
            </w:r>
          </w:p>
        </w:tc>
        <w:tc>
          <w:tcPr>
            <w:tcW w:w="1045" w:type="dxa"/>
            <w:vAlign w:val="center"/>
          </w:tcPr>
          <w:p w14:paraId="152FE665" w14:textId="77777777" w:rsidR="003E78AB" w:rsidRDefault="003E78AB">
            <w:pPr>
              <w:pStyle w:val="affd"/>
              <w:topLinePunct/>
              <w:adjustRightInd/>
              <w:snapToGrid/>
              <w:spacing w:line="360" w:lineRule="exact"/>
              <w:ind w:leftChars="0" w:left="0" w:rightChars="0" w:right="0"/>
              <w:rPr>
                <w:color w:val="auto"/>
              </w:rPr>
            </w:pPr>
          </w:p>
        </w:tc>
      </w:tr>
      <w:tr w:rsidR="003E78AB" w14:paraId="354ACA29" w14:textId="77777777">
        <w:trPr>
          <w:trHeight w:val="340"/>
          <w:jc w:val="center"/>
        </w:trPr>
        <w:tc>
          <w:tcPr>
            <w:tcW w:w="389" w:type="dxa"/>
            <w:vMerge/>
            <w:vAlign w:val="center"/>
          </w:tcPr>
          <w:p w14:paraId="315D4046"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6177922C"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所属土壤环境影响评价项目类别</w:t>
            </w:r>
          </w:p>
        </w:tc>
        <w:tc>
          <w:tcPr>
            <w:tcW w:w="5474" w:type="dxa"/>
            <w:gridSpan w:val="5"/>
            <w:vAlign w:val="center"/>
          </w:tcPr>
          <w:p w14:paraId="432F8C88"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Ⅰ</w:t>
            </w:r>
            <w:r>
              <w:rPr>
                <w:color w:val="auto"/>
                <w:lang w:val="zh-CN"/>
              </w:rPr>
              <w:t>类</w:t>
            </w:r>
            <w:r>
              <w:rPr>
                <w:color w:val="auto"/>
                <w:lang w:val="zh-CN"/>
              </w:rPr>
              <w:sym w:font="Wingdings 2" w:char="0052"/>
            </w:r>
            <w:r>
              <w:rPr>
                <w:color w:val="auto"/>
                <w:lang w:val="zh-CN"/>
              </w:rPr>
              <w:t>；</w:t>
            </w:r>
            <w:r>
              <w:rPr>
                <w:color w:val="auto"/>
                <w:lang w:val="zh-CN"/>
              </w:rPr>
              <w:t>Ⅱ</w:t>
            </w:r>
            <w:r>
              <w:rPr>
                <w:color w:val="auto"/>
                <w:lang w:val="zh-CN"/>
              </w:rPr>
              <w:t>类</w:t>
            </w:r>
            <w:r>
              <w:rPr>
                <w:color w:val="auto"/>
                <w:lang w:val="zh-CN"/>
              </w:rPr>
              <w:t>□</w:t>
            </w:r>
            <w:r>
              <w:rPr>
                <w:color w:val="auto"/>
                <w:lang w:val="zh-CN"/>
              </w:rPr>
              <w:t>；</w:t>
            </w:r>
            <w:r>
              <w:rPr>
                <w:color w:val="auto"/>
                <w:lang w:val="zh-CN"/>
              </w:rPr>
              <w:t>Ⅲ</w:t>
            </w:r>
            <w:r>
              <w:rPr>
                <w:color w:val="auto"/>
                <w:lang w:val="zh-CN"/>
              </w:rPr>
              <w:t>类</w:t>
            </w:r>
            <w:r>
              <w:rPr>
                <w:color w:val="auto"/>
                <w:lang w:val="zh-CN"/>
              </w:rPr>
              <w:t>□</w:t>
            </w:r>
            <w:r>
              <w:rPr>
                <w:color w:val="auto"/>
                <w:lang w:val="zh-CN"/>
              </w:rPr>
              <w:t>；</w:t>
            </w:r>
            <w:r>
              <w:rPr>
                <w:color w:val="auto"/>
                <w:lang w:val="zh-CN"/>
              </w:rPr>
              <w:t>Ⅳ</w:t>
            </w:r>
            <w:r>
              <w:rPr>
                <w:color w:val="auto"/>
                <w:lang w:val="zh-CN"/>
              </w:rPr>
              <w:t>类</w:t>
            </w:r>
            <w:r>
              <w:rPr>
                <w:color w:val="auto"/>
                <w:lang w:val="zh-CN"/>
              </w:rPr>
              <w:t>□</w:t>
            </w:r>
          </w:p>
        </w:tc>
        <w:tc>
          <w:tcPr>
            <w:tcW w:w="1045" w:type="dxa"/>
            <w:vAlign w:val="center"/>
          </w:tcPr>
          <w:p w14:paraId="122F227D" w14:textId="77777777" w:rsidR="003E78AB" w:rsidRDefault="003E78AB">
            <w:pPr>
              <w:pStyle w:val="affd"/>
              <w:topLinePunct/>
              <w:adjustRightInd/>
              <w:snapToGrid/>
              <w:spacing w:line="360" w:lineRule="exact"/>
              <w:ind w:leftChars="0" w:left="0" w:rightChars="0" w:right="0"/>
              <w:rPr>
                <w:color w:val="auto"/>
              </w:rPr>
            </w:pPr>
          </w:p>
        </w:tc>
      </w:tr>
      <w:tr w:rsidR="003E78AB" w14:paraId="1B331492" w14:textId="77777777">
        <w:trPr>
          <w:trHeight w:val="340"/>
          <w:jc w:val="center"/>
        </w:trPr>
        <w:tc>
          <w:tcPr>
            <w:tcW w:w="389" w:type="dxa"/>
            <w:vMerge/>
            <w:vAlign w:val="center"/>
          </w:tcPr>
          <w:p w14:paraId="113A5BF1"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06E5E640"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敏感程度</w:t>
            </w:r>
          </w:p>
        </w:tc>
        <w:tc>
          <w:tcPr>
            <w:tcW w:w="5474" w:type="dxa"/>
            <w:gridSpan w:val="5"/>
            <w:vAlign w:val="center"/>
          </w:tcPr>
          <w:p w14:paraId="3CBED37B"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敏感</w:t>
            </w:r>
            <w:r>
              <w:rPr>
                <w:color w:val="auto"/>
                <w:lang w:val="zh-CN"/>
              </w:rPr>
              <w:t>□</w:t>
            </w:r>
            <w:r>
              <w:rPr>
                <w:color w:val="auto"/>
                <w:lang w:val="zh-CN"/>
              </w:rPr>
              <w:t>；较敏感</w:t>
            </w:r>
            <w:r>
              <w:rPr>
                <w:color w:val="auto"/>
                <w:lang w:val="zh-CN"/>
              </w:rPr>
              <w:t>□</w:t>
            </w:r>
            <w:r>
              <w:rPr>
                <w:color w:val="auto"/>
                <w:lang w:val="zh-CN"/>
              </w:rPr>
              <w:t>；不敏感</w:t>
            </w:r>
            <w:r>
              <w:rPr>
                <w:color w:val="auto"/>
                <w:lang w:val="zh-CN"/>
              </w:rPr>
              <w:t>☑</w:t>
            </w:r>
          </w:p>
        </w:tc>
        <w:tc>
          <w:tcPr>
            <w:tcW w:w="1045" w:type="dxa"/>
            <w:vAlign w:val="center"/>
          </w:tcPr>
          <w:p w14:paraId="7FC3F24B" w14:textId="77777777" w:rsidR="003E78AB" w:rsidRDefault="003E78AB">
            <w:pPr>
              <w:pStyle w:val="affd"/>
              <w:topLinePunct/>
              <w:adjustRightInd/>
              <w:snapToGrid/>
              <w:spacing w:line="360" w:lineRule="exact"/>
              <w:ind w:leftChars="0" w:left="0" w:rightChars="0" w:right="0"/>
              <w:rPr>
                <w:color w:val="auto"/>
              </w:rPr>
            </w:pPr>
          </w:p>
        </w:tc>
      </w:tr>
      <w:tr w:rsidR="003E78AB" w14:paraId="56CF17CD" w14:textId="77777777">
        <w:trPr>
          <w:trHeight w:val="340"/>
          <w:jc w:val="center"/>
        </w:trPr>
        <w:tc>
          <w:tcPr>
            <w:tcW w:w="1911" w:type="dxa"/>
            <w:gridSpan w:val="2"/>
            <w:vAlign w:val="center"/>
          </w:tcPr>
          <w:p w14:paraId="11A8D91E"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评价工作等级</w:t>
            </w:r>
          </w:p>
        </w:tc>
        <w:tc>
          <w:tcPr>
            <w:tcW w:w="5474" w:type="dxa"/>
            <w:gridSpan w:val="5"/>
            <w:vAlign w:val="center"/>
          </w:tcPr>
          <w:p w14:paraId="159E1098"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一级</w:t>
            </w:r>
            <w:r>
              <w:rPr>
                <w:color w:val="auto"/>
                <w:lang w:val="zh-CN"/>
              </w:rPr>
              <w:t>□</w:t>
            </w:r>
            <w:r>
              <w:rPr>
                <w:color w:val="auto"/>
                <w:lang w:val="zh-CN"/>
              </w:rPr>
              <w:t>；二级</w:t>
            </w:r>
            <w:r>
              <w:rPr>
                <w:color w:val="auto"/>
                <w:lang w:val="zh-CN"/>
              </w:rPr>
              <w:sym w:font="Wingdings 2" w:char="0052"/>
            </w:r>
            <w:r>
              <w:rPr>
                <w:color w:val="auto"/>
                <w:lang w:val="zh-CN"/>
              </w:rPr>
              <w:t>；三级</w:t>
            </w:r>
            <w:r>
              <w:rPr>
                <w:color w:val="auto"/>
                <w:lang w:val="zh-CN"/>
              </w:rPr>
              <w:t>□</w:t>
            </w:r>
          </w:p>
        </w:tc>
        <w:tc>
          <w:tcPr>
            <w:tcW w:w="1045" w:type="dxa"/>
            <w:vAlign w:val="center"/>
          </w:tcPr>
          <w:p w14:paraId="6BEF4FA3" w14:textId="77777777" w:rsidR="003E78AB" w:rsidRDefault="003E78AB">
            <w:pPr>
              <w:pStyle w:val="affd"/>
              <w:topLinePunct/>
              <w:adjustRightInd/>
              <w:snapToGrid/>
              <w:spacing w:line="360" w:lineRule="exact"/>
              <w:ind w:leftChars="0" w:left="0" w:rightChars="0" w:right="0"/>
              <w:rPr>
                <w:color w:val="auto"/>
              </w:rPr>
            </w:pPr>
          </w:p>
        </w:tc>
      </w:tr>
      <w:tr w:rsidR="003E78AB" w14:paraId="04B57DD4" w14:textId="77777777">
        <w:trPr>
          <w:trHeight w:val="340"/>
          <w:jc w:val="center"/>
        </w:trPr>
        <w:tc>
          <w:tcPr>
            <w:tcW w:w="389" w:type="dxa"/>
            <w:vMerge w:val="restart"/>
            <w:vAlign w:val="center"/>
          </w:tcPr>
          <w:p w14:paraId="61D0E96A"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现状调查内容</w:t>
            </w:r>
          </w:p>
        </w:tc>
        <w:tc>
          <w:tcPr>
            <w:tcW w:w="1522" w:type="dxa"/>
            <w:vAlign w:val="center"/>
          </w:tcPr>
          <w:p w14:paraId="26976E76"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资料收集</w:t>
            </w:r>
          </w:p>
        </w:tc>
        <w:tc>
          <w:tcPr>
            <w:tcW w:w="5474" w:type="dxa"/>
            <w:gridSpan w:val="5"/>
            <w:vAlign w:val="center"/>
          </w:tcPr>
          <w:p w14:paraId="1A756E60"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a</w:t>
            </w:r>
            <w:r>
              <w:rPr>
                <w:color w:val="auto"/>
                <w:lang w:val="zh-CN"/>
              </w:rPr>
              <w:t>）</w:t>
            </w:r>
            <w:r>
              <w:rPr>
                <w:color w:val="auto"/>
                <w:lang w:val="zh-CN"/>
              </w:rPr>
              <w:t>□</w:t>
            </w:r>
            <w:r>
              <w:rPr>
                <w:color w:val="auto"/>
                <w:lang w:val="zh-CN"/>
              </w:rPr>
              <w:t>；</w:t>
            </w:r>
            <w:r>
              <w:rPr>
                <w:color w:val="auto"/>
                <w:lang w:val="zh-CN"/>
              </w:rPr>
              <w:t>b</w:t>
            </w:r>
            <w:r>
              <w:rPr>
                <w:color w:val="auto"/>
                <w:lang w:val="zh-CN"/>
              </w:rPr>
              <w:t>）</w:t>
            </w:r>
            <w:r>
              <w:rPr>
                <w:color w:val="auto"/>
                <w:lang w:val="zh-CN"/>
              </w:rPr>
              <w:t>☑</w:t>
            </w:r>
            <w:r>
              <w:rPr>
                <w:color w:val="auto"/>
                <w:lang w:val="zh-CN"/>
              </w:rPr>
              <w:t>；</w:t>
            </w:r>
            <w:r>
              <w:rPr>
                <w:color w:val="auto"/>
                <w:lang w:val="zh-CN"/>
              </w:rPr>
              <w:t>c</w:t>
            </w:r>
            <w:r>
              <w:rPr>
                <w:color w:val="auto"/>
                <w:lang w:val="zh-CN"/>
              </w:rPr>
              <w:t>）</w:t>
            </w:r>
            <w:r>
              <w:rPr>
                <w:color w:val="auto"/>
                <w:lang w:val="zh-CN"/>
              </w:rPr>
              <w:t>□</w:t>
            </w:r>
            <w:r>
              <w:rPr>
                <w:color w:val="auto"/>
                <w:lang w:val="zh-CN"/>
              </w:rPr>
              <w:t>；</w:t>
            </w:r>
            <w:r>
              <w:rPr>
                <w:color w:val="auto"/>
                <w:lang w:val="zh-CN"/>
              </w:rPr>
              <w:t>d</w:t>
            </w:r>
            <w:r>
              <w:rPr>
                <w:color w:val="auto"/>
                <w:lang w:val="zh-CN"/>
              </w:rPr>
              <w:t>）</w:t>
            </w:r>
            <w:r>
              <w:rPr>
                <w:color w:val="auto"/>
                <w:lang w:val="zh-CN"/>
              </w:rPr>
              <w:t>☑</w:t>
            </w:r>
          </w:p>
        </w:tc>
        <w:tc>
          <w:tcPr>
            <w:tcW w:w="1045" w:type="dxa"/>
            <w:vAlign w:val="center"/>
          </w:tcPr>
          <w:p w14:paraId="2618139F" w14:textId="77777777" w:rsidR="003E78AB" w:rsidRDefault="003E78AB">
            <w:pPr>
              <w:pStyle w:val="affd"/>
              <w:topLinePunct/>
              <w:adjustRightInd/>
              <w:snapToGrid/>
              <w:spacing w:line="360" w:lineRule="exact"/>
              <w:ind w:leftChars="0" w:left="0" w:rightChars="0" w:right="0"/>
              <w:rPr>
                <w:color w:val="auto"/>
              </w:rPr>
            </w:pPr>
          </w:p>
        </w:tc>
      </w:tr>
      <w:tr w:rsidR="003E78AB" w14:paraId="33D42C05" w14:textId="77777777">
        <w:trPr>
          <w:trHeight w:val="340"/>
          <w:jc w:val="center"/>
        </w:trPr>
        <w:tc>
          <w:tcPr>
            <w:tcW w:w="389" w:type="dxa"/>
            <w:vMerge/>
            <w:vAlign w:val="center"/>
          </w:tcPr>
          <w:p w14:paraId="41A8D0EF"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04642D08"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理化特性</w:t>
            </w:r>
          </w:p>
        </w:tc>
        <w:tc>
          <w:tcPr>
            <w:tcW w:w="5474" w:type="dxa"/>
            <w:gridSpan w:val="5"/>
            <w:vAlign w:val="center"/>
          </w:tcPr>
          <w:p w14:paraId="122034F8" w14:textId="77777777" w:rsidR="003E78AB" w:rsidRDefault="00010BF9">
            <w:pPr>
              <w:pStyle w:val="affd"/>
              <w:topLinePunct/>
              <w:adjustRightInd/>
              <w:snapToGrid/>
              <w:spacing w:line="360" w:lineRule="exact"/>
              <w:ind w:leftChars="0" w:left="0" w:rightChars="0" w:right="0"/>
              <w:rPr>
                <w:color w:val="auto"/>
              </w:rPr>
            </w:pPr>
            <w:r>
              <w:rPr>
                <w:color w:val="auto"/>
              </w:rPr>
              <w:t>无酸化或碱化的中度盐化土</w:t>
            </w:r>
          </w:p>
        </w:tc>
        <w:tc>
          <w:tcPr>
            <w:tcW w:w="1045" w:type="dxa"/>
            <w:vAlign w:val="center"/>
          </w:tcPr>
          <w:p w14:paraId="789CD63F"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同附录</w:t>
            </w:r>
            <w:r>
              <w:rPr>
                <w:color w:val="auto"/>
                <w:lang w:val="zh-CN"/>
              </w:rPr>
              <w:t>C</w:t>
            </w:r>
          </w:p>
        </w:tc>
      </w:tr>
      <w:tr w:rsidR="003E78AB" w14:paraId="7641DBD6" w14:textId="77777777">
        <w:trPr>
          <w:trHeight w:val="340"/>
          <w:jc w:val="center"/>
        </w:trPr>
        <w:tc>
          <w:tcPr>
            <w:tcW w:w="389" w:type="dxa"/>
            <w:vMerge/>
            <w:vAlign w:val="center"/>
          </w:tcPr>
          <w:p w14:paraId="6DA97C7A" w14:textId="77777777" w:rsidR="003E78AB" w:rsidRDefault="003E78AB">
            <w:pPr>
              <w:pStyle w:val="affd"/>
              <w:topLinePunct/>
              <w:adjustRightInd/>
              <w:snapToGrid/>
              <w:spacing w:line="360" w:lineRule="exact"/>
              <w:ind w:leftChars="0" w:left="0" w:rightChars="0" w:right="0"/>
              <w:rPr>
                <w:color w:val="auto"/>
              </w:rPr>
            </w:pPr>
          </w:p>
        </w:tc>
        <w:tc>
          <w:tcPr>
            <w:tcW w:w="1522" w:type="dxa"/>
            <w:vMerge w:val="restart"/>
            <w:vAlign w:val="center"/>
          </w:tcPr>
          <w:p w14:paraId="1A194B29"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现状监测点位</w:t>
            </w:r>
          </w:p>
        </w:tc>
        <w:tc>
          <w:tcPr>
            <w:tcW w:w="1286" w:type="dxa"/>
            <w:vAlign w:val="center"/>
          </w:tcPr>
          <w:p w14:paraId="57651AAA" w14:textId="77777777" w:rsidR="003E78AB" w:rsidRDefault="003E78AB">
            <w:pPr>
              <w:pStyle w:val="affd"/>
              <w:topLinePunct/>
              <w:adjustRightInd/>
              <w:snapToGrid/>
              <w:spacing w:line="360" w:lineRule="exact"/>
              <w:ind w:leftChars="0" w:left="0" w:rightChars="0" w:right="0"/>
              <w:rPr>
                <w:color w:val="auto"/>
              </w:rPr>
            </w:pPr>
          </w:p>
        </w:tc>
        <w:tc>
          <w:tcPr>
            <w:tcW w:w="1393" w:type="dxa"/>
            <w:vAlign w:val="center"/>
          </w:tcPr>
          <w:p w14:paraId="5CBCE37E"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占地范围内</w:t>
            </w:r>
          </w:p>
        </w:tc>
        <w:tc>
          <w:tcPr>
            <w:tcW w:w="1392" w:type="dxa"/>
            <w:gridSpan w:val="2"/>
            <w:vAlign w:val="center"/>
          </w:tcPr>
          <w:p w14:paraId="55703CA7"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占地范围外</w:t>
            </w:r>
          </w:p>
        </w:tc>
        <w:tc>
          <w:tcPr>
            <w:tcW w:w="1403" w:type="dxa"/>
            <w:vAlign w:val="center"/>
          </w:tcPr>
          <w:p w14:paraId="4DD3B160"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深度</w:t>
            </w:r>
          </w:p>
        </w:tc>
        <w:tc>
          <w:tcPr>
            <w:tcW w:w="1045" w:type="dxa"/>
            <w:vMerge w:val="restart"/>
            <w:vAlign w:val="center"/>
          </w:tcPr>
          <w:p w14:paraId="4D48A07E"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点位布置图</w:t>
            </w:r>
          </w:p>
        </w:tc>
      </w:tr>
      <w:tr w:rsidR="003E78AB" w14:paraId="1EBB49E4" w14:textId="77777777">
        <w:trPr>
          <w:trHeight w:val="340"/>
          <w:jc w:val="center"/>
        </w:trPr>
        <w:tc>
          <w:tcPr>
            <w:tcW w:w="389" w:type="dxa"/>
            <w:vMerge/>
            <w:vAlign w:val="center"/>
          </w:tcPr>
          <w:p w14:paraId="579B8751" w14:textId="77777777" w:rsidR="003E78AB" w:rsidRDefault="003E78AB">
            <w:pPr>
              <w:pStyle w:val="affd"/>
              <w:topLinePunct/>
              <w:adjustRightInd/>
              <w:snapToGrid/>
              <w:spacing w:line="360" w:lineRule="exact"/>
              <w:ind w:leftChars="0" w:left="0" w:rightChars="0" w:right="0"/>
              <w:rPr>
                <w:color w:val="auto"/>
              </w:rPr>
            </w:pPr>
          </w:p>
        </w:tc>
        <w:tc>
          <w:tcPr>
            <w:tcW w:w="1522" w:type="dxa"/>
            <w:vMerge/>
            <w:vAlign w:val="center"/>
          </w:tcPr>
          <w:p w14:paraId="04A321E5" w14:textId="77777777" w:rsidR="003E78AB" w:rsidRDefault="003E78AB">
            <w:pPr>
              <w:pStyle w:val="affd"/>
              <w:topLinePunct/>
              <w:adjustRightInd/>
              <w:snapToGrid/>
              <w:spacing w:line="360" w:lineRule="exact"/>
              <w:ind w:leftChars="0" w:left="0" w:rightChars="0" w:right="0"/>
              <w:rPr>
                <w:color w:val="auto"/>
              </w:rPr>
            </w:pPr>
          </w:p>
        </w:tc>
        <w:tc>
          <w:tcPr>
            <w:tcW w:w="1286" w:type="dxa"/>
            <w:vAlign w:val="center"/>
          </w:tcPr>
          <w:p w14:paraId="0157FE26"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表层样点数</w:t>
            </w:r>
          </w:p>
        </w:tc>
        <w:tc>
          <w:tcPr>
            <w:tcW w:w="1393" w:type="dxa"/>
            <w:vAlign w:val="center"/>
          </w:tcPr>
          <w:p w14:paraId="27BDB4E0" w14:textId="77777777" w:rsidR="003E78AB" w:rsidRDefault="00010BF9">
            <w:pPr>
              <w:pStyle w:val="affd"/>
              <w:topLinePunct/>
              <w:adjustRightInd/>
              <w:snapToGrid/>
              <w:spacing w:line="360" w:lineRule="exact"/>
              <w:ind w:leftChars="0" w:left="0" w:rightChars="0" w:right="0"/>
              <w:rPr>
                <w:color w:val="auto"/>
              </w:rPr>
            </w:pPr>
            <w:r>
              <w:rPr>
                <w:color w:val="auto"/>
              </w:rPr>
              <w:t>1</w:t>
            </w:r>
          </w:p>
        </w:tc>
        <w:tc>
          <w:tcPr>
            <w:tcW w:w="1392" w:type="dxa"/>
            <w:gridSpan w:val="2"/>
            <w:vAlign w:val="center"/>
          </w:tcPr>
          <w:p w14:paraId="33D0AA47" w14:textId="77777777" w:rsidR="003E78AB" w:rsidRDefault="00010BF9">
            <w:pPr>
              <w:pStyle w:val="affd"/>
              <w:topLinePunct/>
              <w:adjustRightInd/>
              <w:snapToGrid/>
              <w:spacing w:line="360" w:lineRule="exact"/>
              <w:ind w:leftChars="0" w:left="0" w:rightChars="0" w:right="0"/>
              <w:rPr>
                <w:color w:val="auto"/>
              </w:rPr>
            </w:pPr>
            <w:r>
              <w:rPr>
                <w:color w:val="auto"/>
              </w:rPr>
              <w:t>2</w:t>
            </w:r>
          </w:p>
        </w:tc>
        <w:tc>
          <w:tcPr>
            <w:tcW w:w="1403" w:type="dxa"/>
            <w:vAlign w:val="center"/>
          </w:tcPr>
          <w:p w14:paraId="67212DE9" w14:textId="77777777" w:rsidR="003E78AB" w:rsidRDefault="00010BF9">
            <w:pPr>
              <w:pStyle w:val="affd"/>
              <w:topLinePunct/>
              <w:adjustRightInd/>
              <w:snapToGrid/>
              <w:spacing w:line="360" w:lineRule="exact"/>
              <w:ind w:leftChars="0" w:left="0" w:rightChars="0" w:right="0"/>
              <w:rPr>
                <w:color w:val="auto"/>
              </w:rPr>
            </w:pPr>
            <w:r>
              <w:rPr>
                <w:color w:val="auto"/>
              </w:rPr>
              <w:t>0.2m</w:t>
            </w:r>
          </w:p>
        </w:tc>
        <w:tc>
          <w:tcPr>
            <w:tcW w:w="1045" w:type="dxa"/>
            <w:vMerge/>
            <w:vAlign w:val="center"/>
          </w:tcPr>
          <w:p w14:paraId="7EEB2A1B" w14:textId="77777777" w:rsidR="003E78AB" w:rsidRDefault="003E78AB">
            <w:pPr>
              <w:pStyle w:val="affd"/>
              <w:topLinePunct/>
              <w:adjustRightInd/>
              <w:snapToGrid/>
              <w:spacing w:line="360" w:lineRule="exact"/>
              <w:ind w:leftChars="0" w:left="0" w:rightChars="0" w:right="0"/>
              <w:rPr>
                <w:color w:val="auto"/>
              </w:rPr>
            </w:pPr>
          </w:p>
        </w:tc>
      </w:tr>
      <w:tr w:rsidR="003E78AB" w14:paraId="0BBEFD6F" w14:textId="77777777">
        <w:trPr>
          <w:trHeight w:val="340"/>
          <w:jc w:val="center"/>
        </w:trPr>
        <w:tc>
          <w:tcPr>
            <w:tcW w:w="389" w:type="dxa"/>
            <w:vMerge/>
            <w:vAlign w:val="center"/>
          </w:tcPr>
          <w:p w14:paraId="120E81E1" w14:textId="77777777" w:rsidR="003E78AB" w:rsidRDefault="003E78AB">
            <w:pPr>
              <w:pStyle w:val="affd"/>
              <w:topLinePunct/>
              <w:adjustRightInd/>
              <w:snapToGrid/>
              <w:spacing w:line="360" w:lineRule="exact"/>
              <w:ind w:leftChars="0" w:left="0" w:rightChars="0" w:right="0"/>
              <w:rPr>
                <w:color w:val="auto"/>
              </w:rPr>
            </w:pPr>
          </w:p>
        </w:tc>
        <w:tc>
          <w:tcPr>
            <w:tcW w:w="1522" w:type="dxa"/>
            <w:vMerge/>
            <w:vAlign w:val="center"/>
          </w:tcPr>
          <w:p w14:paraId="5199443E" w14:textId="77777777" w:rsidR="003E78AB" w:rsidRDefault="003E78AB">
            <w:pPr>
              <w:pStyle w:val="affd"/>
              <w:topLinePunct/>
              <w:adjustRightInd/>
              <w:snapToGrid/>
              <w:spacing w:line="360" w:lineRule="exact"/>
              <w:ind w:leftChars="0" w:left="0" w:rightChars="0" w:right="0"/>
              <w:rPr>
                <w:color w:val="auto"/>
              </w:rPr>
            </w:pPr>
          </w:p>
        </w:tc>
        <w:tc>
          <w:tcPr>
            <w:tcW w:w="1286" w:type="dxa"/>
            <w:vAlign w:val="center"/>
          </w:tcPr>
          <w:p w14:paraId="7FDBDE81"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柱状样点数</w:t>
            </w:r>
          </w:p>
        </w:tc>
        <w:tc>
          <w:tcPr>
            <w:tcW w:w="1393" w:type="dxa"/>
            <w:vAlign w:val="center"/>
          </w:tcPr>
          <w:p w14:paraId="30F3EEDB" w14:textId="77777777" w:rsidR="003E78AB" w:rsidRDefault="00010BF9">
            <w:pPr>
              <w:pStyle w:val="affd"/>
              <w:topLinePunct/>
              <w:adjustRightInd/>
              <w:snapToGrid/>
              <w:spacing w:line="360" w:lineRule="exact"/>
              <w:ind w:leftChars="0" w:left="0" w:rightChars="0" w:right="0"/>
              <w:rPr>
                <w:color w:val="auto"/>
              </w:rPr>
            </w:pPr>
            <w:r>
              <w:rPr>
                <w:color w:val="auto"/>
              </w:rPr>
              <w:t>3</w:t>
            </w:r>
          </w:p>
        </w:tc>
        <w:tc>
          <w:tcPr>
            <w:tcW w:w="1392" w:type="dxa"/>
            <w:gridSpan w:val="2"/>
            <w:vAlign w:val="center"/>
          </w:tcPr>
          <w:p w14:paraId="191F01EE" w14:textId="77777777" w:rsidR="003E78AB" w:rsidRDefault="00010BF9">
            <w:pPr>
              <w:pStyle w:val="affd"/>
              <w:topLinePunct/>
              <w:adjustRightInd/>
              <w:snapToGrid/>
              <w:spacing w:line="360" w:lineRule="exact"/>
              <w:ind w:leftChars="0" w:left="0" w:rightChars="0" w:right="0"/>
              <w:rPr>
                <w:color w:val="auto"/>
              </w:rPr>
            </w:pPr>
            <w:r>
              <w:rPr>
                <w:color w:val="auto"/>
              </w:rPr>
              <w:t>0</w:t>
            </w:r>
          </w:p>
        </w:tc>
        <w:tc>
          <w:tcPr>
            <w:tcW w:w="1403" w:type="dxa"/>
            <w:vAlign w:val="center"/>
          </w:tcPr>
          <w:p w14:paraId="5599CE0B" w14:textId="77777777" w:rsidR="003E78AB" w:rsidRDefault="00010BF9">
            <w:pPr>
              <w:pStyle w:val="affd"/>
              <w:topLinePunct/>
              <w:adjustRightInd/>
              <w:snapToGrid/>
              <w:spacing w:line="360" w:lineRule="exact"/>
              <w:ind w:leftChars="0" w:left="0" w:rightChars="0" w:right="0"/>
              <w:rPr>
                <w:color w:val="auto"/>
              </w:rPr>
            </w:pPr>
            <w:r>
              <w:rPr>
                <w:color w:val="auto"/>
              </w:rPr>
              <w:t>0.5~3.0m</w:t>
            </w:r>
          </w:p>
        </w:tc>
        <w:tc>
          <w:tcPr>
            <w:tcW w:w="1045" w:type="dxa"/>
            <w:vMerge/>
            <w:vAlign w:val="center"/>
          </w:tcPr>
          <w:p w14:paraId="088259E3" w14:textId="77777777" w:rsidR="003E78AB" w:rsidRDefault="003E78AB">
            <w:pPr>
              <w:pStyle w:val="affd"/>
              <w:topLinePunct/>
              <w:adjustRightInd/>
              <w:snapToGrid/>
              <w:spacing w:line="360" w:lineRule="exact"/>
              <w:ind w:leftChars="0" w:left="0" w:rightChars="0" w:right="0"/>
              <w:rPr>
                <w:color w:val="auto"/>
              </w:rPr>
            </w:pPr>
          </w:p>
        </w:tc>
      </w:tr>
      <w:tr w:rsidR="003E78AB" w14:paraId="7CD9D27B" w14:textId="77777777">
        <w:trPr>
          <w:trHeight w:val="340"/>
          <w:jc w:val="center"/>
        </w:trPr>
        <w:tc>
          <w:tcPr>
            <w:tcW w:w="389" w:type="dxa"/>
            <w:vMerge/>
            <w:vAlign w:val="center"/>
          </w:tcPr>
          <w:p w14:paraId="390D45FE"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4D4303BB"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现状监测因子</w:t>
            </w:r>
          </w:p>
        </w:tc>
        <w:tc>
          <w:tcPr>
            <w:tcW w:w="5474" w:type="dxa"/>
            <w:gridSpan w:val="5"/>
            <w:vAlign w:val="center"/>
          </w:tcPr>
          <w:p w14:paraId="1EF2EA56" w14:textId="77777777" w:rsidR="003E78AB" w:rsidRDefault="00010BF9">
            <w:pPr>
              <w:pStyle w:val="affd"/>
              <w:topLinePunct/>
              <w:adjustRightInd/>
              <w:snapToGrid/>
              <w:spacing w:line="360" w:lineRule="exact"/>
              <w:ind w:leftChars="0" w:left="0" w:rightChars="0" w:right="0"/>
              <w:rPr>
                <w:color w:val="auto"/>
              </w:rPr>
            </w:pPr>
            <w:r>
              <w:rPr>
                <w:color w:val="auto"/>
              </w:rPr>
              <w:t>《土壤环境质量</w:t>
            </w:r>
            <w:r>
              <w:rPr>
                <w:rFonts w:hint="eastAsia"/>
                <w:color w:val="auto"/>
              </w:rPr>
              <w:t xml:space="preserve"> </w:t>
            </w:r>
            <w:r>
              <w:rPr>
                <w:color w:val="auto"/>
              </w:rPr>
              <w:t>建设用地土壤污染风险管控标准（试行）》中表</w:t>
            </w:r>
            <w:r>
              <w:rPr>
                <w:color w:val="auto"/>
              </w:rPr>
              <w:t>1</w:t>
            </w:r>
            <w:r>
              <w:rPr>
                <w:color w:val="auto"/>
              </w:rPr>
              <w:t>中基本项目，</w:t>
            </w:r>
            <w:r>
              <w:rPr>
                <w:color w:val="auto"/>
              </w:rPr>
              <w:t>pH</w:t>
            </w:r>
            <w:r>
              <w:rPr>
                <w:color w:val="auto"/>
              </w:rPr>
              <w:t>、石油烃</w:t>
            </w:r>
            <w:r>
              <w:rPr>
                <w:rFonts w:hint="eastAsia"/>
                <w:color w:val="auto"/>
              </w:rPr>
              <w:t>、钒、总磷</w:t>
            </w:r>
            <w:r>
              <w:rPr>
                <w:color w:val="auto"/>
              </w:rPr>
              <w:t>共</w:t>
            </w:r>
            <w:r>
              <w:rPr>
                <w:color w:val="auto"/>
              </w:rPr>
              <w:t>4</w:t>
            </w:r>
            <w:r>
              <w:rPr>
                <w:rFonts w:hint="eastAsia"/>
                <w:color w:val="auto"/>
              </w:rPr>
              <w:t>9</w:t>
            </w:r>
            <w:r>
              <w:rPr>
                <w:color w:val="auto"/>
              </w:rPr>
              <w:t>项</w:t>
            </w:r>
          </w:p>
        </w:tc>
        <w:tc>
          <w:tcPr>
            <w:tcW w:w="1045" w:type="dxa"/>
            <w:vAlign w:val="center"/>
          </w:tcPr>
          <w:p w14:paraId="6814B111" w14:textId="77777777" w:rsidR="003E78AB" w:rsidRDefault="003E78AB">
            <w:pPr>
              <w:pStyle w:val="affd"/>
              <w:topLinePunct/>
              <w:adjustRightInd/>
              <w:snapToGrid/>
              <w:spacing w:line="360" w:lineRule="exact"/>
              <w:ind w:leftChars="0" w:left="0" w:rightChars="0" w:right="0"/>
              <w:rPr>
                <w:color w:val="auto"/>
              </w:rPr>
            </w:pPr>
          </w:p>
        </w:tc>
      </w:tr>
      <w:tr w:rsidR="003E78AB" w14:paraId="517404E5" w14:textId="77777777">
        <w:trPr>
          <w:trHeight w:val="340"/>
          <w:jc w:val="center"/>
        </w:trPr>
        <w:tc>
          <w:tcPr>
            <w:tcW w:w="389" w:type="dxa"/>
            <w:vMerge w:val="restart"/>
            <w:vAlign w:val="center"/>
          </w:tcPr>
          <w:p w14:paraId="4B6CBBCF"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现状评价</w:t>
            </w:r>
          </w:p>
        </w:tc>
        <w:tc>
          <w:tcPr>
            <w:tcW w:w="1522" w:type="dxa"/>
            <w:vAlign w:val="center"/>
          </w:tcPr>
          <w:p w14:paraId="256DC93F"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评价因子</w:t>
            </w:r>
          </w:p>
        </w:tc>
        <w:tc>
          <w:tcPr>
            <w:tcW w:w="5474" w:type="dxa"/>
            <w:gridSpan w:val="5"/>
            <w:vAlign w:val="center"/>
          </w:tcPr>
          <w:p w14:paraId="7FCE2F94" w14:textId="77777777" w:rsidR="003E78AB" w:rsidRDefault="00010BF9">
            <w:pPr>
              <w:pStyle w:val="affd"/>
              <w:topLinePunct/>
              <w:adjustRightInd/>
              <w:snapToGrid/>
              <w:spacing w:line="360" w:lineRule="exact"/>
              <w:ind w:leftChars="0" w:left="0" w:rightChars="0" w:right="0"/>
              <w:rPr>
                <w:color w:val="auto"/>
              </w:rPr>
            </w:pPr>
            <w:r>
              <w:rPr>
                <w:color w:val="auto"/>
              </w:rPr>
              <w:t>《土壤环境质量</w:t>
            </w:r>
            <w:r>
              <w:rPr>
                <w:rFonts w:hint="eastAsia"/>
                <w:color w:val="auto"/>
              </w:rPr>
              <w:t xml:space="preserve"> </w:t>
            </w:r>
            <w:r>
              <w:rPr>
                <w:color w:val="auto"/>
              </w:rPr>
              <w:t>建设用地土壤污染风险管控标准（试行）》中表</w:t>
            </w:r>
            <w:r>
              <w:rPr>
                <w:color w:val="auto"/>
              </w:rPr>
              <w:t>1</w:t>
            </w:r>
            <w:r>
              <w:rPr>
                <w:color w:val="auto"/>
              </w:rPr>
              <w:t>中基本项目，</w:t>
            </w:r>
            <w:r>
              <w:rPr>
                <w:color w:val="auto"/>
              </w:rPr>
              <w:t>pH</w:t>
            </w:r>
            <w:r>
              <w:rPr>
                <w:color w:val="auto"/>
              </w:rPr>
              <w:t>、石油烃</w:t>
            </w:r>
            <w:r>
              <w:rPr>
                <w:rFonts w:hint="eastAsia"/>
                <w:color w:val="auto"/>
              </w:rPr>
              <w:t>、钒、总磷</w:t>
            </w:r>
            <w:r>
              <w:rPr>
                <w:color w:val="auto"/>
              </w:rPr>
              <w:t>共</w:t>
            </w:r>
            <w:r>
              <w:rPr>
                <w:color w:val="auto"/>
              </w:rPr>
              <w:t>4</w:t>
            </w:r>
            <w:r>
              <w:rPr>
                <w:rFonts w:hint="eastAsia"/>
                <w:color w:val="auto"/>
              </w:rPr>
              <w:t>9</w:t>
            </w:r>
            <w:r>
              <w:rPr>
                <w:color w:val="auto"/>
              </w:rPr>
              <w:t>项</w:t>
            </w:r>
          </w:p>
        </w:tc>
        <w:tc>
          <w:tcPr>
            <w:tcW w:w="1045" w:type="dxa"/>
            <w:vAlign w:val="center"/>
          </w:tcPr>
          <w:p w14:paraId="24043BBA" w14:textId="77777777" w:rsidR="003E78AB" w:rsidRDefault="003E78AB">
            <w:pPr>
              <w:pStyle w:val="affd"/>
              <w:topLinePunct/>
              <w:adjustRightInd/>
              <w:snapToGrid/>
              <w:spacing w:line="360" w:lineRule="exact"/>
              <w:ind w:leftChars="0" w:left="0" w:rightChars="0" w:right="0"/>
              <w:rPr>
                <w:color w:val="auto"/>
              </w:rPr>
            </w:pPr>
          </w:p>
        </w:tc>
      </w:tr>
      <w:tr w:rsidR="003E78AB" w14:paraId="14DF0274" w14:textId="77777777">
        <w:trPr>
          <w:trHeight w:val="340"/>
          <w:jc w:val="center"/>
        </w:trPr>
        <w:tc>
          <w:tcPr>
            <w:tcW w:w="389" w:type="dxa"/>
            <w:vMerge/>
            <w:vAlign w:val="center"/>
          </w:tcPr>
          <w:p w14:paraId="6AEC931D"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10D4BC25"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评价标准</w:t>
            </w:r>
          </w:p>
        </w:tc>
        <w:tc>
          <w:tcPr>
            <w:tcW w:w="5474" w:type="dxa"/>
            <w:gridSpan w:val="5"/>
            <w:vAlign w:val="center"/>
          </w:tcPr>
          <w:p w14:paraId="4C428D9D"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GB15618□</w:t>
            </w:r>
            <w:r>
              <w:rPr>
                <w:color w:val="auto"/>
                <w:lang w:val="zh-CN"/>
              </w:rPr>
              <w:t>；</w:t>
            </w:r>
            <w:r>
              <w:rPr>
                <w:color w:val="auto"/>
                <w:lang w:val="zh-CN"/>
              </w:rPr>
              <w:t>GB36600</w:t>
            </w:r>
            <w:r>
              <w:rPr>
                <w:color w:val="auto"/>
                <w:lang w:val="zh-CN"/>
              </w:rPr>
              <w:sym w:font="Wingdings 2" w:char="0052"/>
            </w:r>
            <w:r>
              <w:rPr>
                <w:color w:val="auto"/>
                <w:lang w:val="zh-CN"/>
              </w:rPr>
              <w:t>；表</w:t>
            </w:r>
            <w:r>
              <w:rPr>
                <w:color w:val="auto"/>
                <w:lang w:val="zh-CN"/>
              </w:rPr>
              <w:t>D.1□</w:t>
            </w:r>
            <w:r>
              <w:rPr>
                <w:color w:val="auto"/>
                <w:lang w:val="zh-CN"/>
              </w:rPr>
              <w:t>；表</w:t>
            </w:r>
            <w:r>
              <w:rPr>
                <w:color w:val="auto"/>
                <w:lang w:val="zh-CN"/>
              </w:rPr>
              <w:t>D.2□</w:t>
            </w:r>
            <w:r>
              <w:rPr>
                <w:color w:val="auto"/>
                <w:lang w:val="zh-CN"/>
              </w:rPr>
              <w:t>；其他（）</w:t>
            </w:r>
          </w:p>
        </w:tc>
        <w:tc>
          <w:tcPr>
            <w:tcW w:w="1045" w:type="dxa"/>
            <w:vAlign w:val="center"/>
          </w:tcPr>
          <w:p w14:paraId="303FA663" w14:textId="77777777" w:rsidR="003E78AB" w:rsidRDefault="003E78AB">
            <w:pPr>
              <w:pStyle w:val="affd"/>
              <w:topLinePunct/>
              <w:adjustRightInd/>
              <w:snapToGrid/>
              <w:spacing w:line="360" w:lineRule="exact"/>
              <w:ind w:leftChars="0" w:left="0" w:rightChars="0" w:right="0"/>
              <w:rPr>
                <w:color w:val="auto"/>
              </w:rPr>
            </w:pPr>
          </w:p>
        </w:tc>
      </w:tr>
      <w:tr w:rsidR="003E78AB" w14:paraId="4AFE28A8" w14:textId="77777777">
        <w:trPr>
          <w:trHeight w:val="340"/>
          <w:jc w:val="center"/>
        </w:trPr>
        <w:tc>
          <w:tcPr>
            <w:tcW w:w="389" w:type="dxa"/>
            <w:vMerge/>
            <w:vAlign w:val="center"/>
          </w:tcPr>
          <w:p w14:paraId="4A6DD17D"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720A8ED6"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现状评价结论</w:t>
            </w:r>
          </w:p>
        </w:tc>
        <w:tc>
          <w:tcPr>
            <w:tcW w:w="5474" w:type="dxa"/>
            <w:gridSpan w:val="5"/>
            <w:vAlign w:val="center"/>
          </w:tcPr>
          <w:p w14:paraId="1A168D33" w14:textId="77777777" w:rsidR="003E78AB" w:rsidRDefault="00010BF9">
            <w:pPr>
              <w:pStyle w:val="affd"/>
              <w:topLinePunct/>
              <w:adjustRightInd/>
              <w:snapToGrid/>
              <w:spacing w:line="360" w:lineRule="exact"/>
              <w:ind w:leftChars="0" w:left="0" w:rightChars="0" w:right="0"/>
              <w:rPr>
                <w:color w:val="auto"/>
              </w:rPr>
            </w:pPr>
            <w:r>
              <w:rPr>
                <w:color w:val="auto"/>
              </w:rPr>
              <w:t>项目区周边各监测点各监测因子浓度均满足《土壤环境质量</w:t>
            </w:r>
            <w:r>
              <w:rPr>
                <w:rFonts w:hint="eastAsia"/>
                <w:color w:val="auto"/>
              </w:rPr>
              <w:t xml:space="preserve"> </w:t>
            </w:r>
            <w:r>
              <w:rPr>
                <w:color w:val="auto"/>
              </w:rPr>
              <w:t>建设用地土壤污染风险管控标准（试行）》（</w:t>
            </w:r>
            <w:r>
              <w:rPr>
                <w:color w:val="auto"/>
              </w:rPr>
              <w:t>GB36600-2018</w:t>
            </w:r>
            <w:r>
              <w:rPr>
                <w:color w:val="auto"/>
              </w:rPr>
              <w:t>）中第二类用地筛选值。</w:t>
            </w:r>
          </w:p>
        </w:tc>
        <w:tc>
          <w:tcPr>
            <w:tcW w:w="1045" w:type="dxa"/>
            <w:vAlign w:val="center"/>
          </w:tcPr>
          <w:p w14:paraId="6E338EE7" w14:textId="77777777" w:rsidR="003E78AB" w:rsidRDefault="003E78AB">
            <w:pPr>
              <w:pStyle w:val="affd"/>
              <w:topLinePunct/>
              <w:adjustRightInd/>
              <w:snapToGrid/>
              <w:spacing w:line="360" w:lineRule="exact"/>
              <w:ind w:leftChars="0" w:left="0" w:rightChars="0" w:right="0"/>
              <w:rPr>
                <w:color w:val="auto"/>
              </w:rPr>
            </w:pPr>
          </w:p>
        </w:tc>
      </w:tr>
      <w:tr w:rsidR="003E78AB" w14:paraId="0D318BA1" w14:textId="77777777">
        <w:trPr>
          <w:trHeight w:val="340"/>
          <w:jc w:val="center"/>
        </w:trPr>
        <w:tc>
          <w:tcPr>
            <w:tcW w:w="389" w:type="dxa"/>
            <w:vMerge w:val="restart"/>
            <w:vAlign w:val="center"/>
          </w:tcPr>
          <w:p w14:paraId="136A8EE0"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影响预测</w:t>
            </w:r>
          </w:p>
        </w:tc>
        <w:tc>
          <w:tcPr>
            <w:tcW w:w="1522" w:type="dxa"/>
            <w:vAlign w:val="center"/>
          </w:tcPr>
          <w:p w14:paraId="79F7D2AE"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预测因子</w:t>
            </w:r>
          </w:p>
        </w:tc>
        <w:tc>
          <w:tcPr>
            <w:tcW w:w="5474" w:type="dxa"/>
            <w:gridSpan w:val="5"/>
            <w:vAlign w:val="center"/>
          </w:tcPr>
          <w:p w14:paraId="335A5CF7" w14:textId="77777777" w:rsidR="003E78AB" w:rsidRDefault="00010BF9">
            <w:pPr>
              <w:pStyle w:val="affd"/>
              <w:topLinePunct/>
              <w:adjustRightInd/>
              <w:snapToGrid/>
              <w:spacing w:line="360" w:lineRule="exact"/>
              <w:ind w:leftChars="0" w:left="0" w:rightChars="0" w:right="0"/>
              <w:rPr>
                <w:color w:val="auto"/>
              </w:rPr>
            </w:pPr>
            <w:r>
              <w:rPr>
                <w:rFonts w:hint="eastAsia"/>
                <w:color w:val="auto"/>
              </w:rPr>
              <w:t>钒、磷酸盐（以</w:t>
            </w:r>
            <w:r>
              <w:rPr>
                <w:rFonts w:hint="eastAsia"/>
                <w:color w:val="auto"/>
              </w:rPr>
              <w:t>P</w:t>
            </w:r>
            <w:r>
              <w:rPr>
                <w:rFonts w:hint="eastAsia"/>
                <w:color w:val="auto"/>
              </w:rPr>
              <w:t>计）</w:t>
            </w:r>
          </w:p>
        </w:tc>
        <w:tc>
          <w:tcPr>
            <w:tcW w:w="1045" w:type="dxa"/>
            <w:vAlign w:val="center"/>
          </w:tcPr>
          <w:p w14:paraId="2CAD3E08" w14:textId="77777777" w:rsidR="003E78AB" w:rsidRDefault="003E78AB">
            <w:pPr>
              <w:pStyle w:val="affd"/>
              <w:topLinePunct/>
              <w:adjustRightInd/>
              <w:snapToGrid/>
              <w:spacing w:line="360" w:lineRule="exact"/>
              <w:ind w:leftChars="0" w:left="0" w:rightChars="0" w:right="0"/>
              <w:rPr>
                <w:color w:val="auto"/>
              </w:rPr>
            </w:pPr>
          </w:p>
        </w:tc>
      </w:tr>
      <w:tr w:rsidR="003E78AB" w14:paraId="5AE43FB8" w14:textId="77777777">
        <w:trPr>
          <w:trHeight w:val="340"/>
          <w:jc w:val="center"/>
        </w:trPr>
        <w:tc>
          <w:tcPr>
            <w:tcW w:w="389" w:type="dxa"/>
            <w:vMerge/>
            <w:vAlign w:val="center"/>
          </w:tcPr>
          <w:p w14:paraId="40C66758"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16777C3B"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预测方法</w:t>
            </w:r>
          </w:p>
        </w:tc>
        <w:tc>
          <w:tcPr>
            <w:tcW w:w="5474" w:type="dxa"/>
            <w:gridSpan w:val="5"/>
            <w:vAlign w:val="center"/>
          </w:tcPr>
          <w:p w14:paraId="00E58E12"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附录</w:t>
            </w:r>
            <w:r>
              <w:rPr>
                <w:color w:val="auto"/>
                <w:lang w:val="zh-CN"/>
              </w:rPr>
              <w:t>E</w:t>
            </w:r>
            <w:r>
              <w:rPr>
                <w:color w:val="auto"/>
                <w:lang w:val="zh-CN"/>
              </w:rPr>
              <w:sym w:font="Wingdings 2" w:char="0052"/>
            </w:r>
            <w:r>
              <w:rPr>
                <w:color w:val="auto"/>
                <w:lang w:val="zh-CN"/>
              </w:rPr>
              <w:t>；附录</w:t>
            </w:r>
            <w:r>
              <w:rPr>
                <w:color w:val="auto"/>
                <w:lang w:val="zh-CN"/>
              </w:rPr>
              <w:t>F□</w:t>
            </w:r>
            <w:r>
              <w:rPr>
                <w:color w:val="auto"/>
                <w:lang w:val="zh-CN"/>
              </w:rPr>
              <w:t>；其他（类比法）</w:t>
            </w:r>
            <w:r>
              <w:rPr>
                <w:color w:val="auto"/>
                <w:lang w:val="zh-CN"/>
              </w:rPr>
              <w:t>□</w:t>
            </w:r>
          </w:p>
        </w:tc>
        <w:tc>
          <w:tcPr>
            <w:tcW w:w="1045" w:type="dxa"/>
            <w:vAlign w:val="center"/>
          </w:tcPr>
          <w:p w14:paraId="01880995" w14:textId="77777777" w:rsidR="003E78AB" w:rsidRDefault="003E78AB">
            <w:pPr>
              <w:pStyle w:val="affd"/>
              <w:topLinePunct/>
              <w:adjustRightInd/>
              <w:snapToGrid/>
              <w:spacing w:line="360" w:lineRule="exact"/>
              <w:ind w:leftChars="0" w:left="0" w:rightChars="0" w:right="0"/>
              <w:rPr>
                <w:color w:val="auto"/>
              </w:rPr>
            </w:pPr>
          </w:p>
        </w:tc>
      </w:tr>
      <w:tr w:rsidR="003E78AB" w14:paraId="3AE8A9CD" w14:textId="77777777">
        <w:trPr>
          <w:trHeight w:val="340"/>
          <w:jc w:val="center"/>
        </w:trPr>
        <w:tc>
          <w:tcPr>
            <w:tcW w:w="389" w:type="dxa"/>
            <w:vMerge/>
            <w:vAlign w:val="center"/>
          </w:tcPr>
          <w:p w14:paraId="016D49BA"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58B22190"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预测分析内容</w:t>
            </w:r>
          </w:p>
        </w:tc>
        <w:tc>
          <w:tcPr>
            <w:tcW w:w="5474" w:type="dxa"/>
            <w:gridSpan w:val="5"/>
            <w:vAlign w:val="center"/>
          </w:tcPr>
          <w:p w14:paraId="44BE659C"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影响范围（厂界外</w:t>
            </w:r>
            <w:r>
              <w:rPr>
                <w:color w:val="auto"/>
                <w:lang w:val="zh-CN"/>
              </w:rPr>
              <w:t>200m</w:t>
            </w:r>
            <w:r>
              <w:rPr>
                <w:color w:val="auto"/>
                <w:lang w:val="zh-CN"/>
              </w:rPr>
              <w:t>）；影响程度（较小）</w:t>
            </w:r>
          </w:p>
        </w:tc>
        <w:tc>
          <w:tcPr>
            <w:tcW w:w="1045" w:type="dxa"/>
            <w:vAlign w:val="center"/>
          </w:tcPr>
          <w:p w14:paraId="574CDDDF" w14:textId="77777777" w:rsidR="003E78AB" w:rsidRDefault="003E78AB">
            <w:pPr>
              <w:pStyle w:val="affd"/>
              <w:topLinePunct/>
              <w:adjustRightInd/>
              <w:snapToGrid/>
              <w:spacing w:line="360" w:lineRule="exact"/>
              <w:ind w:leftChars="0" w:left="0" w:rightChars="0" w:right="0"/>
              <w:rPr>
                <w:color w:val="auto"/>
              </w:rPr>
            </w:pPr>
          </w:p>
        </w:tc>
      </w:tr>
      <w:tr w:rsidR="003E78AB" w14:paraId="6FFEDBED" w14:textId="77777777">
        <w:trPr>
          <w:trHeight w:val="340"/>
          <w:jc w:val="center"/>
        </w:trPr>
        <w:tc>
          <w:tcPr>
            <w:tcW w:w="389" w:type="dxa"/>
            <w:vMerge/>
            <w:vAlign w:val="center"/>
          </w:tcPr>
          <w:p w14:paraId="0AC6E5A2"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0B642842"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预测结论</w:t>
            </w:r>
          </w:p>
        </w:tc>
        <w:tc>
          <w:tcPr>
            <w:tcW w:w="5474" w:type="dxa"/>
            <w:gridSpan w:val="5"/>
            <w:vAlign w:val="center"/>
          </w:tcPr>
          <w:p w14:paraId="1C692C7E"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达标结论：</w:t>
            </w:r>
            <w:r>
              <w:rPr>
                <w:color w:val="auto"/>
                <w:lang w:val="zh-CN"/>
              </w:rPr>
              <w:t>a</w:t>
            </w:r>
            <w:r>
              <w:rPr>
                <w:color w:val="auto"/>
                <w:lang w:val="zh-CN"/>
              </w:rPr>
              <w:t>）</w:t>
            </w:r>
            <w:r>
              <w:rPr>
                <w:color w:val="auto"/>
                <w:lang w:val="zh-CN"/>
              </w:rPr>
              <w:t>☑</w:t>
            </w:r>
            <w:r>
              <w:rPr>
                <w:color w:val="auto"/>
                <w:lang w:val="zh-CN"/>
              </w:rPr>
              <w:t>；</w:t>
            </w:r>
            <w:r>
              <w:rPr>
                <w:color w:val="auto"/>
                <w:lang w:val="zh-CN"/>
              </w:rPr>
              <w:t>b</w:t>
            </w:r>
            <w:r>
              <w:rPr>
                <w:color w:val="auto"/>
                <w:lang w:val="zh-CN"/>
              </w:rPr>
              <w:t>）</w:t>
            </w:r>
            <w:r>
              <w:rPr>
                <w:color w:val="auto"/>
                <w:lang w:val="zh-CN"/>
              </w:rPr>
              <w:t>□</w:t>
            </w:r>
            <w:r>
              <w:rPr>
                <w:color w:val="auto"/>
                <w:lang w:val="zh-CN"/>
              </w:rPr>
              <w:t>；</w:t>
            </w:r>
            <w:r>
              <w:rPr>
                <w:color w:val="auto"/>
                <w:lang w:val="zh-CN"/>
              </w:rPr>
              <w:t>c</w:t>
            </w:r>
            <w:r>
              <w:rPr>
                <w:color w:val="auto"/>
                <w:lang w:val="zh-CN"/>
              </w:rPr>
              <w:t>）</w:t>
            </w:r>
            <w:r>
              <w:rPr>
                <w:color w:val="auto"/>
                <w:lang w:val="zh-CN"/>
              </w:rPr>
              <w:t>□</w:t>
            </w:r>
            <w:r>
              <w:rPr>
                <w:color w:val="auto"/>
                <w:lang w:val="zh-CN"/>
              </w:rPr>
              <w:t>不达标结论：</w:t>
            </w:r>
            <w:r>
              <w:rPr>
                <w:color w:val="auto"/>
                <w:lang w:val="zh-CN"/>
              </w:rPr>
              <w:t>a</w:t>
            </w:r>
            <w:r>
              <w:rPr>
                <w:color w:val="auto"/>
                <w:lang w:val="zh-CN"/>
              </w:rPr>
              <w:t>）</w:t>
            </w:r>
            <w:r>
              <w:rPr>
                <w:color w:val="auto"/>
                <w:lang w:val="zh-CN"/>
              </w:rPr>
              <w:t>□</w:t>
            </w:r>
            <w:r>
              <w:rPr>
                <w:color w:val="auto"/>
                <w:lang w:val="zh-CN"/>
              </w:rPr>
              <w:t>；</w:t>
            </w:r>
            <w:r>
              <w:rPr>
                <w:color w:val="auto"/>
                <w:lang w:val="zh-CN"/>
              </w:rPr>
              <w:t>b</w:t>
            </w:r>
            <w:r>
              <w:rPr>
                <w:color w:val="auto"/>
                <w:lang w:val="zh-CN"/>
              </w:rPr>
              <w:t>）</w:t>
            </w:r>
            <w:r>
              <w:rPr>
                <w:color w:val="auto"/>
                <w:lang w:val="zh-CN"/>
              </w:rPr>
              <w:t>□</w:t>
            </w:r>
          </w:p>
        </w:tc>
        <w:tc>
          <w:tcPr>
            <w:tcW w:w="1045" w:type="dxa"/>
            <w:vAlign w:val="center"/>
          </w:tcPr>
          <w:p w14:paraId="09DCA050" w14:textId="77777777" w:rsidR="003E78AB" w:rsidRDefault="003E78AB">
            <w:pPr>
              <w:pStyle w:val="affd"/>
              <w:topLinePunct/>
              <w:adjustRightInd/>
              <w:snapToGrid/>
              <w:spacing w:line="360" w:lineRule="exact"/>
              <w:ind w:leftChars="0" w:left="0" w:rightChars="0" w:right="0"/>
              <w:rPr>
                <w:color w:val="auto"/>
              </w:rPr>
            </w:pPr>
          </w:p>
        </w:tc>
      </w:tr>
      <w:tr w:rsidR="003E78AB" w14:paraId="7884B6F2" w14:textId="77777777">
        <w:trPr>
          <w:trHeight w:val="340"/>
          <w:jc w:val="center"/>
        </w:trPr>
        <w:tc>
          <w:tcPr>
            <w:tcW w:w="389" w:type="dxa"/>
            <w:vMerge w:val="restart"/>
            <w:vAlign w:val="center"/>
          </w:tcPr>
          <w:p w14:paraId="1F47FC26"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防治措施</w:t>
            </w:r>
          </w:p>
        </w:tc>
        <w:tc>
          <w:tcPr>
            <w:tcW w:w="1522" w:type="dxa"/>
            <w:vAlign w:val="center"/>
          </w:tcPr>
          <w:p w14:paraId="27A10AC2"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防控措施</w:t>
            </w:r>
          </w:p>
        </w:tc>
        <w:tc>
          <w:tcPr>
            <w:tcW w:w="5474" w:type="dxa"/>
            <w:gridSpan w:val="5"/>
            <w:vAlign w:val="center"/>
          </w:tcPr>
          <w:p w14:paraId="68267CDB"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土壤环境质量现状保障</w:t>
            </w:r>
            <w:r>
              <w:rPr>
                <w:color w:val="auto"/>
                <w:lang w:val="zh-CN"/>
              </w:rPr>
              <w:t>□</w:t>
            </w:r>
            <w:r>
              <w:rPr>
                <w:color w:val="auto"/>
                <w:lang w:val="zh-CN"/>
              </w:rPr>
              <w:t>；源头控制</w:t>
            </w:r>
            <w:r>
              <w:rPr>
                <w:color w:val="auto"/>
                <w:lang w:val="zh-CN"/>
              </w:rPr>
              <w:t>☑</w:t>
            </w:r>
            <w:r>
              <w:rPr>
                <w:color w:val="auto"/>
                <w:lang w:val="zh-CN"/>
              </w:rPr>
              <w:t>；过程防控</w:t>
            </w:r>
            <w:r>
              <w:rPr>
                <w:color w:val="auto"/>
                <w:lang w:val="zh-CN"/>
              </w:rPr>
              <w:sym w:font="Wingdings 2" w:char="0052"/>
            </w:r>
            <w:r>
              <w:rPr>
                <w:color w:val="auto"/>
                <w:lang w:val="zh-CN"/>
              </w:rPr>
              <w:t>；其他（））</w:t>
            </w:r>
          </w:p>
        </w:tc>
        <w:tc>
          <w:tcPr>
            <w:tcW w:w="1045" w:type="dxa"/>
            <w:vAlign w:val="center"/>
          </w:tcPr>
          <w:p w14:paraId="2790C93B" w14:textId="77777777" w:rsidR="003E78AB" w:rsidRDefault="003E78AB">
            <w:pPr>
              <w:pStyle w:val="affd"/>
              <w:topLinePunct/>
              <w:adjustRightInd/>
              <w:snapToGrid/>
              <w:spacing w:line="360" w:lineRule="exact"/>
              <w:ind w:leftChars="0" w:left="0" w:rightChars="0" w:right="0"/>
              <w:rPr>
                <w:color w:val="auto"/>
              </w:rPr>
            </w:pPr>
          </w:p>
        </w:tc>
      </w:tr>
      <w:tr w:rsidR="003E78AB" w14:paraId="77BF4E82" w14:textId="77777777">
        <w:trPr>
          <w:trHeight w:val="340"/>
          <w:jc w:val="center"/>
        </w:trPr>
        <w:tc>
          <w:tcPr>
            <w:tcW w:w="389" w:type="dxa"/>
            <w:vMerge/>
            <w:vAlign w:val="center"/>
          </w:tcPr>
          <w:p w14:paraId="166B4BF1" w14:textId="77777777" w:rsidR="003E78AB" w:rsidRDefault="003E78AB">
            <w:pPr>
              <w:pStyle w:val="affd"/>
              <w:topLinePunct/>
              <w:adjustRightInd/>
              <w:snapToGrid/>
              <w:spacing w:line="360" w:lineRule="exact"/>
              <w:ind w:leftChars="0" w:left="0" w:rightChars="0" w:right="0"/>
              <w:rPr>
                <w:color w:val="auto"/>
              </w:rPr>
            </w:pPr>
          </w:p>
        </w:tc>
        <w:tc>
          <w:tcPr>
            <w:tcW w:w="1522" w:type="dxa"/>
            <w:vMerge w:val="restart"/>
            <w:vAlign w:val="center"/>
          </w:tcPr>
          <w:p w14:paraId="2D4D10ED"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跟踪监测</w:t>
            </w:r>
          </w:p>
        </w:tc>
        <w:tc>
          <w:tcPr>
            <w:tcW w:w="1286" w:type="dxa"/>
            <w:vAlign w:val="center"/>
          </w:tcPr>
          <w:p w14:paraId="008F2CAB"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监测点数</w:t>
            </w:r>
          </w:p>
        </w:tc>
        <w:tc>
          <w:tcPr>
            <w:tcW w:w="2376" w:type="dxa"/>
            <w:gridSpan w:val="2"/>
            <w:vAlign w:val="center"/>
          </w:tcPr>
          <w:p w14:paraId="0FB14410"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监测指标</w:t>
            </w:r>
          </w:p>
        </w:tc>
        <w:tc>
          <w:tcPr>
            <w:tcW w:w="1812" w:type="dxa"/>
            <w:gridSpan w:val="2"/>
            <w:vAlign w:val="center"/>
          </w:tcPr>
          <w:p w14:paraId="1E8CC62C"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监测频次</w:t>
            </w:r>
          </w:p>
        </w:tc>
        <w:tc>
          <w:tcPr>
            <w:tcW w:w="1045" w:type="dxa"/>
            <w:vMerge w:val="restart"/>
            <w:vAlign w:val="center"/>
          </w:tcPr>
          <w:p w14:paraId="199B5958" w14:textId="77777777" w:rsidR="003E78AB" w:rsidRDefault="003E78AB">
            <w:pPr>
              <w:pStyle w:val="affd"/>
              <w:topLinePunct/>
              <w:adjustRightInd/>
              <w:snapToGrid/>
              <w:spacing w:line="360" w:lineRule="exact"/>
              <w:ind w:leftChars="0" w:left="0" w:rightChars="0" w:right="0"/>
              <w:rPr>
                <w:color w:val="auto"/>
              </w:rPr>
            </w:pPr>
          </w:p>
        </w:tc>
      </w:tr>
      <w:tr w:rsidR="003E78AB" w14:paraId="28C8BDFF" w14:textId="77777777">
        <w:trPr>
          <w:trHeight w:val="340"/>
          <w:jc w:val="center"/>
        </w:trPr>
        <w:tc>
          <w:tcPr>
            <w:tcW w:w="389" w:type="dxa"/>
            <w:vMerge/>
            <w:vAlign w:val="center"/>
          </w:tcPr>
          <w:p w14:paraId="0133C901" w14:textId="77777777" w:rsidR="003E78AB" w:rsidRDefault="003E78AB">
            <w:pPr>
              <w:pStyle w:val="affd"/>
              <w:topLinePunct/>
              <w:adjustRightInd/>
              <w:snapToGrid/>
              <w:spacing w:line="360" w:lineRule="exact"/>
              <w:ind w:leftChars="0" w:left="0" w:rightChars="0" w:right="0"/>
              <w:rPr>
                <w:color w:val="auto"/>
              </w:rPr>
            </w:pPr>
          </w:p>
        </w:tc>
        <w:tc>
          <w:tcPr>
            <w:tcW w:w="1522" w:type="dxa"/>
            <w:vMerge/>
            <w:vAlign w:val="center"/>
          </w:tcPr>
          <w:p w14:paraId="3AB2D94C" w14:textId="77777777" w:rsidR="003E78AB" w:rsidRDefault="003E78AB">
            <w:pPr>
              <w:pStyle w:val="affd"/>
              <w:topLinePunct/>
              <w:adjustRightInd/>
              <w:snapToGrid/>
              <w:spacing w:line="360" w:lineRule="exact"/>
              <w:ind w:leftChars="0" w:left="0" w:rightChars="0" w:right="0"/>
              <w:rPr>
                <w:color w:val="auto"/>
              </w:rPr>
            </w:pPr>
          </w:p>
        </w:tc>
        <w:tc>
          <w:tcPr>
            <w:tcW w:w="1286" w:type="dxa"/>
            <w:vAlign w:val="center"/>
          </w:tcPr>
          <w:p w14:paraId="7A46F958" w14:textId="77777777" w:rsidR="003E78AB" w:rsidRDefault="00010BF9">
            <w:pPr>
              <w:pStyle w:val="affd"/>
              <w:topLinePunct/>
              <w:adjustRightInd/>
              <w:snapToGrid/>
              <w:spacing w:line="360" w:lineRule="exact"/>
              <w:ind w:leftChars="0" w:left="0" w:rightChars="0" w:right="0"/>
              <w:rPr>
                <w:color w:val="auto"/>
              </w:rPr>
            </w:pPr>
            <w:r>
              <w:rPr>
                <w:color w:val="auto"/>
              </w:rPr>
              <w:t>2</w:t>
            </w:r>
          </w:p>
        </w:tc>
        <w:tc>
          <w:tcPr>
            <w:tcW w:w="2376" w:type="dxa"/>
            <w:gridSpan w:val="2"/>
            <w:vAlign w:val="center"/>
          </w:tcPr>
          <w:p w14:paraId="0FD8AE3E" w14:textId="77777777" w:rsidR="003E78AB" w:rsidRDefault="00010BF9">
            <w:pPr>
              <w:pStyle w:val="affd"/>
              <w:topLinePunct/>
              <w:adjustRightInd/>
              <w:snapToGrid/>
              <w:spacing w:line="360" w:lineRule="exact"/>
              <w:ind w:leftChars="0" w:left="0" w:rightChars="0" w:right="0"/>
              <w:rPr>
                <w:color w:val="auto"/>
              </w:rPr>
            </w:pPr>
            <w:r>
              <w:rPr>
                <w:color w:val="auto"/>
              </w:rPr>
              <w:t>《土壤环境质量</w:t>
            </w:r>
            <w:r>
              <w:rPr>
                <w:rFonts w:hint="eastAsia"/>
                <w:color w:val="auto"/>
              </w:rPr>
              <w:t xml:space="preserve"> </w:t>
            </w:r>
            <w:r>
              <w:rPr>
                <w:color w:val="auto"/>
              </w:rPr>
              <w:t>建设用地土壤污染风险管控标准（试行）》中表</w:t>
            </w:r>
            <w:r>
              <w:rPr>
                <w:color w:val="auto"/>
              </w:rPr>
              <w:t>1</w:t>
            </w:r>
            <w:r>
              <w:rPr>
                <w:color w:val="auto"/>
              </w:rPr>
              <w:t>中基本项目，共</w:t>
            </w:r>
            <w:r>
              <w:rPr>
                <w:color w:val="auto"/>
              </w:rPr>
              <w:t>45</w:t>
            </w:r>
            <w:r>
              <w:rPr>
                <w:color w:val="auto"/>
              </w:rPr>
              <w:t>项</w:t>
            </w:r>
          </w:p>
        </w:tc>
        <w:tc>
          <w:tcPr>
            <w:tcW w:w="1812" w:type="dxa"/>
            <w:gridSpan w:val="2"/>
            <w:vAlign w:val="center"/>
          </w:tcPr>
          <w:p w14:paraId="06A12B03" w14:textId="77777777" w:rsidR="003E78AB" w:rsidRDefault="00010BF9">
            <w:pPr>
              <w:pStyle w:val="affd"/>
              <w:topLinePunct/>
              <w:adjustRightInd/>
              <w:snapToGrid/>
              <w:spacing w:line="360" w:lineRule="exact"/>
              <w:ind w:leftChars="0" w:left="0" w:rightChars="0" w:right="0"/>
              <w:rPr>
                <w:color w:val="auto"/>
              </w:rPr>
            </w:pPr>
            <w:r>
              <w:rPr>
                <w:b/>
                <w:bCs/>
                <w:color w:val="auto"/>
                <w:u w:val="single"/>
              </w:rPr>
              <w:t>1</w:t>
            </w:r>
            <w:r>
              <w:rPr>
                <w:b/>
                <w:bCs/>
                <w:color w:val="auto"/>
                <w:u w:val="single"/>
              </w:rPr>
              <w:t>次</w:t>
            </w:r>
            <w:r>
              <w:rPr>
                <w:b/>
                <w:bCs/>
                <w:color w:val="auto"/>
                <w:u w:val="single"/>
              </w:rPr>
              <w:t>/</w:t>
            </w:r>
            <w:r>
              <w:rPr>
                <w:rFonts w:hint="eastAsia"/>
                <w:b/>
                <w:bCs/>
                <w:color w:val="auto"/>
                <w:u w:val="single"/>
              </w:rPr>
              <w:t>5</w:t>
            </w:r>
            <w:r>
              <w:rPr>
                <w:b/>
                <w:bCs/>
                <w:color w:val="auto"/>
                <w:u w:val="single"/>
              </w:rPr>
              <w:t>年</w:t>
            </w:r>
          </w:p>
        </w:tc>
        <w:tc>
          <w:tcPr>
            <w:tcW w:w="1045" w:type="dxa"/>
            <w:vMerge/>
            <w:vAlign w:val="center"/>
          </w:tcPr>
          <w:p w14:paraId="6FFBC530" w14:textId="77777777" w:rsidR="003E78AB" w:rsidRDefault="003E78AB">
            <w:pPr>
              <w:pStyle w:val="affd"/>
              <w:topLinePunct/>
              <w:adjustRightInd/>
              <w:snapToGrid/>
              <w:spacing w:line="360" w:lineRule="exact"/>
              <w:ind w:leftChars="0" w:left="0" w:rightChars="0" w:right="0"/>
              <w:rPr>
                <w:color w:val="auto"/>
              </w:rPr>
            </w:pPr>
          </w:p>
        </w:tc>
      </w:tr>
      <w:tr w:rsidR="003E78AB" w14:paraId="7B7D3A00" w14:textId="77777777">
        <w:trPr>
          <w:trHeight w:val="340"/>
          <w:jc w:val="center"/>
        </w:trPr>
        <w:tc>
          <w:tcPr>
            <w:tcW w:w="389" w:type="dxa"/>
            <w:vMerge/>
            <w:vAlign w:val="center"/>
          </w:tcPr>
          <w:p w14:paraId="382DA758" w14:textId="77777777" w:rsidR="003E78AB" w:rsidRDefault="003E78AB">
            <w:pPr>
              <w:pStyle w:val="affd"/>
              <w:topLinePunct/>
              <w:adjustRightInd/>
              <w:snapToGrid/>
              <w:spacing w:line="360" w:lineRule="exact"/>
              <w:ind w:leftChars="0" w:left="0" w:rightChars="0" w:right="0"/>
              <w:rPr>
                <w:color w:val="auto"/>
              </w:rPr>
            </w:pPr>
          </w:p>
        </w:tc>
        <w:tc>
          <w:tcPr>
            <w:tcW w:w="1522" w:type="dxa"/>
            <w:vAlign w:val="center"/>
          </w:tcPr>
          <w:p w14:paraId="4A79AE4A"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信息公开指标</w:t>
            </w:r>
          </w:p>
        </w:tc>
        <w:tc>
          <w:tcPr>
            <w:tcW w:w="5474" w:type="dxa"/>
            <w:gridSpan w:val="5"/>
            <w:vAlign w:val="center"/>
          </w:tcPr>
          <w:p w14:paraId="39202620" w14:textId="77777777" w:rsidR="003E78AB" w:rsidRDefault="00010BF9">
            <w:pPr>
              <w:pStyle w:val="affd"/>
              <w:topLinePunct/>
              <w:adjustRightInd/>
              <w:snapToGrid/>
              <w:spacing w:line="360" w:lineRule="exact"/>
              <w:ind w:leftChars="0" w:left="0" w:rightChars="0" w:right="0"/>
              <w:rPr>
                <w:color w:val="auto"/>
              </w:rPr>
            </w:pPr>
            <w:r>
              <w:rPr>
                <w:color w:val="auto"/>
              </w:rPr>
              <w:t>/</w:t>
            </w:r>
          </w:p>
        </w:tc>
        <w:tc>
          <w:tcPr>
            <w:tcW w:w="1045" w:type="dxa"/>
            <w:vMerge/>
            <w:vAlign w:val="center"/>
          </w:tcPr>
          <w:p w14:paraId="216359EA" w14:textId="77777777" w:rsidR="003E78AB" w:rsidRDefault="003E78AB">
            <w:pPr>
              <w:pStyle w:val="affd"/>
              <w:topLinePunct/>
              <w:adjustRightInd/>
              <w:snapToGrid/>
              <w:spacing w:line="360" w:lineRule="exact"/>
              <w:ind w:leftChars="0" w:left="0" w:rightChars="0" w:right="0"/>
              <w:rPr>
                <w:color w:val="auto"/>
              </w:rPr>
            </w:pPr>
          </w:p>
        </w:tc>
      </w:tr>
      <w:tr w:rsidR="003E78AB" w14:paraId="10E41F14" w14:textId="77777777">
        <w:trPr>
          <w:trHeight w:val="340"/>
          <w:jc w:val="center"/>
        </w:trPr>
        <w:tc>
          <w:tcPr>
            <w:tcW w:w="1911" w:type="dxa"/>
            <w:gridSpan w:val="2"/>
            <w:vAlign w:val="center"/>
          </w:tcPr>
          <w:p w14:paraId="0E270398"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评价结论</w:t>
            </w:r>
          </w:p>
        </w:tc>
        <w:tc>
          <w:tcPr>
            <w:tcW w:w="5474" w:type="dxa"/>
            <w:gridSpan w:val="5"/>
            <w:vAlign w:val="center"/>
          </w:tcPr>
          <w:p w14:paraId="09C19FC9" w14:textId="77777777" w:rsidR="003E78AB" w:rsidRDefault="00010BF9">
            <w:pPr>
              <w:pStyle w:val="affd"/>
              <w:topLinePunct/>
              <w:adjustRightInd/>
              <w:snapToGrid/>
              <w:spacing w:line="360" w:lineRule="exact"/>
              <w:ind w:leftChars="0" w:left="0" w:rightChars="0" w:right="0"/>
              <w:rPr>
                <w:color w:val="auto"/>
              </w:rPr>
            </w:pPr>
            <w:r>
              <w:rPr>
                <w:color w:val="auto"/>
              </w:rPr>
              <w:t>项目建设对土壤环境影响可接受</w:t>
            </w:r>
          </w:p>
        </w:tc>
        <w:tc>
          <w:tcPr>
            <w:tcW w:w="1045" w:type="dxa"/>
            <w:vAlign w:val="center"/>
          </w:tcPr>
          <w:p w14:paraId="641B9305" w14:textId="77777777" w:rsidR="003E78AB" w:rsidRDefault="003E78AB">
            <w:pPr>
              <w:pStyle w:val="affd"/>
              <w:topLinePunct/>
              <w:adjustRightInd/>
              <w:snapToGrid/>
              <w:spacing w:line="360" w:lineRule="exact"/>
              <w:ind w:leftChars="0" w:left="0" w:rightChars="0" w:right="0"/>
              <w:rPr>
                <w:color w:val="auto"/>
              </w:rPr>
            </w:pPr>
          </w:p>
        </w:tc>
      </w:tr>
      <w:tr w:rsidR="003E78AB" w14:paraId="16590864" w14:textId="77777777">
        <w:trPr>
          <w:trHeight w:val="340"/>
          <w:jc w:val="center"/>
        </w:trPr>
        <w:tc>
          <w:tcPr>
            <w:tcW w:w="8430" w:type="dxa"/>
            <w:gridSpan w:val="8"/>
            <w:vAlign w:val="center"/>
          </w:tcPr>
          <w:p w14:paraId="1A890A33" w14:textId="77777777" w:rsidR="003E78AB" w:rsidRDefault="00010BF9">
            <w:pPr>
              <w:pStyle w:val="affd"/>
              <w:topLinePunct/>
              <w:adjustRightInd/>
              <w:snapToGrid/>
              <w:spacing w:line="360" w:lineRule="exact"/>
              <w:ind w:leftChars="0" w:left="0" w:rightChars="0" w:right="0"/>
              <w:rPr>
                <w:color w:val="auto"/>
                <w:lang w:val="zh-CN"/>
              </w:rPr>
            </w:pPr>
            <w:r>
              <w:rPr>
                <w:color w:val="auto"/>
                <w:lang w:val="zh-CN"/>
              </w:rPr>
              <w:t>注</w:t>
            </w:r>
            <w:r>
              <w:rPr>
                <w:color w:val="auto"/>
                <w:lang w:val="zh-CN"/>
              </w:rPr>
              <w:t>1</w:t>
            </w:r>
            <w:r>
              <w:rPr>
                <w:color w:val="auto"/>
                <w:lang w:val="zh-CN"/>
              </w:rPr>
              <w:t>：</w:t>
            </w:r>
            <w:r>
              <w:rPr>
                <w:color w:val="auto"/>
                <w:lang w:val="zh-CN"/>
              </w:rPr>
              <w:t>“□”</w:t>
            </w:r>
            <w:r>
              <w:rPr>
                <w:color w:val="auto"/>
                <w:lang w:val="zh-CN"/>
              </w:rPr>
              <w:t>为勾选项，可</w:t>
            </w:r>
            <w:r>
              <w:rPr>
                <w:color w:val="auto"/>
                <w:lang w:val="zh-CN"/>
              </w:rPr>
              <w:t>√</w:t>
            </w:r>
            <w:r>
              <w:rPr>
                <w:color w:val="auto"/>
                <w:lang w:val="zh-CN"/>
              </w:rPr>
              <w:t>；</w:t>
            </w:r>
            <w:r>
              <w:rPr>
                <w:color w:val="auto"/>
                <w:lang w:val="zh-CN"/>
              </w:rPr>
              <w:t>“</w:t>
            </w:r>
            <w:r>
              <w:rPr>
                <w:color w:val="auto"/>
                <w:lang w:val="zh-CN"/>
              </w:rPr>
              <w:t>（）</w:t>
            </w:r>
            <w:r>
              <w:rPr>
                <w:color w:val="auto"/>
                <w:lang w:val="zh-CN"/>
              </w:rPr>
              <w:t>”</w:t>
            </w:r>
            <w:r>
              <w:rPr>
                <w:color w:val="auto"/>
                <w:lang w:val="zh-CN"/>
              </w:rPr>
              <w:t>为内容填写项；</w:t>
            </w:r>
            <w:r>
              <w:rPr>
                <w:color w:val="auto"/>
                <w:lang w:val="zh-CN"/>
              </w:rPr>
              <w:t>“</w:t>
            </w:r>
            <w:r>
              <w:rPr>
                <w:color w:val="auto"/>
                <w:lang w:val="zh-CN"/>
              </w:rPr>
              <w:t>备注</w:t>
            </w:r>
            <w:r>
              <w:rPr>
                <w:color w:val="auto"/>
                <w:lang w:val="zh-CN"/>
              </w:rPr>
              <w:t>”</w:t>
            </w:r>
            <w:r>
              <w:rPr>
                <w:color w:val="auto"/>
                <w:lang w:val="zh-CN"/>
              </w:rPr>
              <w:t>为其他补充内容。注</w:t>
            </w:r>
            <w:r>
              <w:rPr>
                <w:color w:val="auto"/>
                <w:lang w:val="zh-CN"/>
              </w:rPr>
              <w:t>2</w:t>
            </w:r>
            <w:r>
              <w:rPr>
                <w:color w:val="auto"/>
                <w:lang w:val="zh-CN"/>
              </w:rPr>
              <w:t>：需要分别开展土壤环境影响评价工作的，分别填写自查表。</w:t>
            </w:r>
          </w:p>
        </w:tc>
      </w:tr>
    </w:tbl>
    <w:p w14:paraId="70A3B134" w14:textId="77777777" w:rsidR="003E78AB" w:rsidRDefault="00010BF9">
      <w:pPr>
        <w:spacing w:line="240" w:lineRule="auto"/>
        <w:ind w:firstLineChars="0" w:firstLine="0"/>
        <w:rPr>
          <w:kern w:val="2"/>
          <w:sz w:val="21"/>
          <w:szCs w:val="28"/>
        </w:rPr>
      </w:pPr>
      <w:r>
        <w:rPr>
          <w:kern w:val="2"/>
          <w:sz w:val="21"/>
          <w:szCs w:val="28"/>
        </w:rPr>
        <w:br w:type="page"/>
      </w:r>
    </w:p>
    <w:p w14:paraId="52D1FFAA" w14:textId="77777777" w:rsidR="003E78AB" w:rsidRDefault="00010BF9">
      <w:pPr>
        <w:pStyle w:val="10"/>
        <w:keepNext w:val="0"/>
        <w:spacing w:before="120" w:after="120" w:line="520" w:lineRule="exact"/>
        <w:jc w:val="center"/>
        <w:rPr>
          <w:rFonts w:eastAsia="黑体"/>
          <w:bCs/>
          <w:snapToGrid w:val="0"/>
          <w:spacing w:val="2"/>
          <w:kern w:val="44"/>
          <w:sz w:val="35"/>
          <w:szCs w:val="35"/>
        </w:rPr>
      </w:pPr>
      <w:bookmarkStart w:id="402" w:name="_Toc24452"/>
      <w:bookmarkStart w:id="403" w:name="_Toc5126"/>
      <w:r>
        <w:rPr>
          <w:rFonts w:eastAsia="黑体" w:hint="eastAsia"/>
          <w:bCs/>
          <w:snapToGrid w:val="0"/>
          <w:spacing w:val="2"/>
          <w:kern w:val="44"/>
          <w:sz w:val="35"/>
          <w:szCs w:val="35"/>
        </w:rPr>
        <w:t>第六章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环境风险分析</w:t>
      </w:r>
      <w:bookmarkEnd w:id="402"/>
      <w:bookmarkEnd w:id="403"/>
    </w:p>
    <w:p w14:paraId="5D4A0CA0" w14:textId="77777777" w:rsidR="003E78AB" w:rsidRDefault="00010BF9">
      <w:pPr>
        <w:pStyle w:val="24"/>
        <w:keepNext w:val="0"/>
        <w:keepLines w:val="0"/>
        <w:topLinePunct/>
        <w:spacing w:before="120"/>
        <w:rPr>
          <w:rFonts w:cs="Times New Roman"/>
        </w:rPr>
      </w:pPr>
      <w:bookmarkStart w:id="404" w:name="_Toc32398"/>
      <w:bookmarkStart w:id="405" w:name="_Toc390713439"/>
      <w:r>
        <w:rPr>
          <w:rFonts w:cs="Times New Roman" w:hint="eastAsia"/>
        </w:rPr>
        <w:t>6.1</w:t>
      </w:r>
      <w:r>
        <w:rPr>
          <w:rFonts w:cs="Times New Roman"/>
        </w:rPr>
        <w:t>概述</w:t>
      </w:r>
      <w:bookmarkEnd w:id="404"/>
    </w:p>
    <w:p w14:paraId="7CD3373B" w14:textId="77777777" w:rsidR="003E78AB" w:rsidRDefault="00010BF9">
      <w:pPr>
        <w:ind w:firstLine="480"/>
        <w:rPr>
          <w:kern w:val="2"/>
        </w:rPr>
      </w:pPr>
      <w:bookmarkStart w:id="406" w:name="_Toc477542422"/>
      <w:bookmarkStart w:id="407" w:name="_Toc20167"/>
      <w:bookmarkStart w:id="408" w:name="_Toc8930"/>
      <w:bookmarkStart w:id="409" w:name="_Toc3567"/>
      <w:bookmarkStart w:id="410" w:name="_Toc433814562"/>
      <w:bookmarkStart w:id="411" w:name="_Toc483733168"/>
      <w:bookmarkStart w:id="412" w:name="_Toc668"/>
      <w:bookmarkStart w:id="413" w:name="_Toc32513"/>
      <w:bookmarkStart w:id="414" w:name="_Toc653"/>
      <w:bookmarkStart w:id="415" w:name="_Toc485196113"/>
      <w:bookmarkStart w:id="416" w:name="_Toc448920648"/>
      <w:bookmarkStart w:id="417" w:name="_Toc398849230"/>
      <w:bookmarkEnd w:id="405"/>
      <w:r>
        <w:rPr>
          <w:kern w:val="2"/>
        </w:rPr>
        <w:t>根据《建设项目环境风险评价技术导则》（</w:t>
      </w:r>
      <w:r>
        <w:rPr>
          <w:kern w:val="2"/>
        </w:rPr>
        <w:t>HJ169-2018</w:t>
      </w:r>
      <w:r>
        <w:rPr>
          <w:kern w:val="2"/>
        </w:rPr>
        <w:t>）和国家环境保护总局《关于防范环境风险加强环境影响评价管理的通知》，项目实施后环境风险评价的基本内容包括风险调查、环境风险潜势初判、风险识别、风险事故情形分析、风险预测与评价、环境风险管理等，其具体如下：</w:t>
      </w:r>
    </w:p>
    <w:p w14:paraId="4DFABBDB" w14:textId="77777777" w:rsidR="003E78AB" w:rsidRDefault="00010BF9">
      <w:pPr>
        <w:ind w:firstLine="480"/>
        <w:rPr>
          <w:kern w:val="2"/>
        </w:rPr>
      </w:pPr>
      <w:r>
        <w:rPr>
          <w:kern w:val="2"/>
        </w:rPr>
        <w:t>（</w:t>
      </w:r>
      <w:r>
        <w:rPr>
          <w:kern w:val="2"/>
        </w:rPr>
        <w:t>1</w:t>
      </w:r>
      <w:r>
        <w:rPr>
          <w:kern w:val="2"/>
        </w:rPr>
        <w:t>）项目风险调查。在分析建设项目物质及工艺系统危险性和环境敏感性的基础下，进行风险潜势的判断，确定风险评价等级。</w:t>
      </w:r>
    </w:p>
    <w:p w14:paraId="2705B047" w14:textId="77777777" w:rsidR="003E78AB" w:rsidRDefault="00010BF9">
      <w:pPr>
        <w:ind w:firstLine="480"/>
        <w:rPr>
          <w:kern w:val="2"/>
        </w:rPr>
      </w:pPr>
      <w:r>
        <w:rPr>
          <w:kern w:val="2"/>
        </w:rPr>
        <w:t>（</w:t>
      </w:r>
      <w:r>
        <w:rPr>
          <w:kern w:val="2"/>
        </w:rPr>
        <w:t>2</w:t>
      </w:r>
      <w:r>
        <w:rPr>
          <w:kern w:val="2"/>
        </w:rPr>
        <w:t>）项目风险识别及风险事故情形分析。明确危险物质在生产系统中的主要分布，筛选具有代表性的风险事故情形，合理设定事故源项。</w:t>
      </w:r>
    </w:p>
    <w:p w14:paraId="204866F7" w14:textId="77777777" w:rsidR="003E78AB" w:rsidRDefault="00010BF9">
      <w:pPr>
        <w:ind w:firstLine="480"/>
        <w:rPr>
          <w:kern w:val="2"/>
        </w:rPr>
      </w:pPr>
      <w:r>
        <w:rPr>
          <w:kern w:val="2"/>
        </w:rPr>
        <w:t>（</w:t>
      </w:r>
      <w:r>
        <w:rPr>
          <w:kern w:val="2"/>
        </w:rPr>
        <w:t>3</w:t>
      </w:r>
      <w:r>
        <w:rPr>
          <w:kern w:val="2"/>
        </w:rPr>
        <w:t>）开展预测评价。各环境要素按确定的评价工作等级分别预测评价，并分析说明环境风险危害范围与程度，提出环境风险防范的基本要求。</w:t>
      </w:r>
    </w:p>
    <w:p w14:paraId="14A2DD09" w14:textId="77777777" w:rsidR="003E78AB" w:rsidRDefault="00010BF9">
      <w:pPr>
        <w:ind w:firstLine="480"/>
        <w:rPr>
          <w:kern w:val="2"/>
        </w:rPr>
      </w:pPr>
      <w:r>
        <w:rPr>
          <w:kern w:val="2"/>
        </w:rPr>
        <w:t>（</w:t>
      </w:r>
      <w:r>
        <w:rPr>
          <w:kern w:val="2"/>
        </w:rPr>
        <w:t>4</w:t>
      </w:r>
      <w:r>
        <w:rPr>
          <w:kern w:val="2"/>
        </w:rPr>
        <w:t>）提出环境风险管理对策，明确环境风险防范措施及突发环境事件应急预案编制要求。</w:t>
      </w:r>
    </w:p>
    <w:p w14:paraId="47066ACD" w14:textId="77777777" w:rsidR="003E78AB" w:rsidRDefault="00010BF9">
      <w:pPr>
        <w:ind w:firstLine="480"/>
        <w:rPr>
          <w:kern w:val="2"/>
        </w:rPr>
      </w:pPr>
      <w:r>
        <w:rPr>
          <w:kern w:val="2"/>
        </w:rPr>
        <w:t>（</w:t>
      </w:r>
      <w:r>
        <w:rPr>
          <w:kern w:val="2"/>
        </w:rPr>
        <w:t>5</w:t>
      </w:r>
      <w:r>
        <w:rPr>
          <w:kern w:val="2"/>
        </w:rPr>
        <w:t>）综合环境风险评价过程，给出评价结论与建议。</w:t>
      </w:r>
    </w:p>
    <w:p w14:paraId="5C3C0DB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.1.1</w:t>
      </w:r>
      <w:r>
        <w:rPr>
          <w:rFonts w:cs="Times New Roman"/>
          <w:sz w:val="28"/>
          <w:szCs w:val="28"/>
        </w:rPr>
        <w:t>环境风险评价原则</w:t>
      </w:r>
    </w:p>
    <w:p w14:paraId="06E71E1E" w14:textId="77777777" w:rsidR="003E78AB" w:rsidRDefault="00010BF9">
      <w:pPr>
        <w:ind w:firstLine="480"/>
        <w:rPr>
          <w:kern w:val="2"/>
        </w:rPr>
      </w:pPr>
      <w:r>
        <w:rPr>
          <w:kern w:val="2"/>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6B7B294E"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.1.2</w:t>
      </w:r>
      <w:r>
        <w:rPr>
          <w:rFonts w:cs="Times New Roman"/>
          <w:sz w:val="28"/>
          <w:szCs w:val="28"/>
        </w:rPr>
        <w:t>环境风险评价工作程序</w:t>
      </w:r>
    </w:p>
    <w:p w14:paraId="6EEC8F51" w14:textId="77777777" w:rsidR="003E78AB" w:rsidRDefault="00010BF9">
      <w:pPr>
        <w:ind w:firstLine="480"/>
        <w:rPr>
          <w:kern w:val="2"/>
        </w:rPr>
      </w:pPr>
      <w:r>
        <w:rPr>
          <w:kern w:val="2"/>
        </w:rPr>
        <w:t>环境风险评价程序见图</w:t>
      </w:r>
      <w:r>
        <w:rPr>
          <w:rFonts w:hint="eastAsia"/>
          <w:kern w:val="2"/>
        </w:rPr>
        <w:t>6</w:t>
      </w:r>
      <w:r>
        <w:rPr>
          <w:kern w:val="2"/>
        </w:rPr>
        <w:t>-1</w:t>
      </w:r>
      <w:r>
        <w:rPr>
          <w:kern w:val="2"/>
        </w:rPr>
        <w:t>。</w:t>
      </w:r>
    </w:p>
    <w:p w14:paraId="04430B8B" w14:textId="77777777" w:rsidR="003E78AB" w:rsidRDefault="00010BF9">
      <w:pPr>
        <w:pStyle w:val="aa"/>
        <w:numPr>
          <w:ilvl w:val="0"/>
          <w:numId w:val="0"/>
        </w:numPr>
        <w:spacing w:before="120" w:line="240" w:lineRule="atLeast"/>
        <w:jc w:val="both"/>
        <w:rPr>
          <w:rFonts w:eastAsia="宋体"/>
        </w:rPr>
      </w:pPr>
      <w:r>
        <w:rPr>
          <w:rFonts w:eastAsia="宋体"/>
          <w:noProof/>
        </w:rPr>
        <w:drawing>
          <wp:inline distT="0" distB="0" distL="114300" distR="114300">
            <wp:extent cx="5205095" cy="5266690"/>
            <wp:effectExtent l="0" t="0" r="14605" b="10160"/>
            <wp:docPr id="92" name="图片 18" descr="C:\Users\ADMINI~1\AppData\Local\Temp\ksohtml\wpsF5F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C:\Users\ADMINI~1\AppData\Local\Temp\ksohtml\wpsF5FC.tmp.jpg"/>
                    <pic:cNvPicPr>
                      <a:picLocks noChangeAspect="1"/>
                    </pic:cNvPicPr>
                  </pic:nvPicPr>
                  <pic:blipFill>
                    <a:blip r:embed="rId117"/>
                    <a:stretch>
                      <a:fillRect/>
                    </a:stretch>
                  </pic:blipFill>
                  <pic:spPr>
                    <a:xfrm>
                      <a:off x="0" y="0"/>
                      <a:ext cx="5205095" cy="5266690"/>
                    </a:xfrm>
                    <a:prstGeom prst="rect">
                      <a:avLst/>
                    </a:prstGeom>
                    <a:noFill/>
                    <a:ln>
                      <a:noFill/>
                    </a:ln>
                  </pic:spPr>
                </pic:pic>
              </a:graphicData>
            </a:graphic>
          </wp:inline>
        </w:drawing>
      </w:r>
    </w:p>
    <w:p w14:paraId="1B1E8361" w14:textId="77777777" w:rsidR="003E78AB" w:rsidRDefault="00010BF9">
      <w:pPr>
        <w:pStyle w:val="aa"/>
        <w:spacing w:before="120"/>
        <w:ind w:left="425" w:hanging="425"/>
        <w:rPr>
          <w:rFonts w:eastAsia="宋体"/>
        </w:rPr>
      </w:pPr>
      <w:r>
        <w:rPr>
          <w:rStyle w:val="Char0"/>
        </w:rPr>
        <w:t>环境风险评价流程图</w:t>
      </w:r>
    </w:p>
    <w:p w14:paraId="7CA2D655" w14:textId="77777777" w:rsidR="003E78AB" w:rsidRDefault="00010BF9">
      <w:pPr>
        <w:pStyle w:val="24"/>
        <w:keepNext w:val="0"/>
        <w:keepLines w:val="0"/>
        <w:topLinePunct/>
        <w:spacing w:before="120"/>
        <w:rPr>
          <w:rFonts w:cs="Times New Roman"/>
        </w:rPr>
      </w:pPr>
      <w:bookmarkStart w:id="418" w:name="_Toc22783"/>
      <w:r>
        <w:rPr>
          <w:rFonts w:cs="Times New Roman" w:hint="eastAsia"/>
        </w:rPr>
        <w:t>6.2</w:t>
      </w:r>
      <w:r>
        <w:rPr>
          <w:rFonts w:cs="Times New Roman"/>
        </w:rPr>
        <w:t>风险</w:t>
      </w:r>
      <w:bookmarkEnd w:id="406"/>
      <w:bookmarkEnd w:id="407"/>
      <w:bookmarkEnd w:id="408"/>
      <w:bookmarkEnd w:id="409"/>
      <w:bookmarkEnd w:id="410"/>
      <w:bookmarkEnd w:id="411"/>
      <w:bookmarkEnd w:id="412"/>
      <w:bookmarkEnd w:id="413"/>
      <w:bookmarkEnd w:id="414"/>
      <w:bookmarkEnd w:id="415"/>
      <w:bookmarkEnd w:id="416"/>
      <w:bookmarkEnd w:id="417"/>
      <w:r>
        <w:rPr>
          <w:rFonts w:cs="Times New Roman"/>
        </w:rPr>
        <w:t>调查及评价等级</w:t>
      </w:r>
      <w:bookmarkEnd w:id="418"/>
    </w:p>
    <w:p w14:paraId="0E0580A1"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.2.1</w:t>
      </w:r>
      <w:r>
        <w:rPr>
          <w:rFonts w:cs="Times New Roman"/>
          <w:sz w:val="28"/>
          <w:szCs w:val="28"/>
        </w:rPr>
        <w:t>建设项目风险源调查</w:t>
      </w:r>
    </w:p>
    <w:p w14:paraId="04245CCF" w14:textId="77777777" w:rsidR="003E78AB" w:rsidRDefault="00010BF9">
      <w:pPr>
        <w:pStyle w:val="5"/>
        <w:keepNext w:val="0"/>
        <w:keepLines w:val="0"/>
        <w:ind w:firstLine="482"/>
        <w:rPr>
          <w:sz w:val="24"/>
        </w:rPr>
      </w:pPr>
      <w:r>
        <w:rPr>
          <w:rFonts w:hint="eastAsia"/>
          <w:sz w:val="24"/>
        </w:rPr>
        <w:t>1.</w:t>
      </w:r>
      <w:r>
        <w:rPr>
          <w:sz w:val="24"/>
        </w:rPr>
        <w:t>危险物质调查</w:t>
      </w:r>
    </w:p>
    <w:p w14:paraId="02092D25" w14:textId="77777777" w:rsidR="003E78AB" w:rsidRDefault="00010BF9">
      <w:pPr>
        <w:ind w:firstLine="480"/>
        <w:rPr>
          <w:kern w:val="2"/>
        </w:rPr>
      </w:pPr>
      <w:r>
        <w:rPr>
          <w:kern w:val="2"/>
        </w:rPr>
        <w:t>通过对项目主要生产工艺过程的分析，全面排查生产中使用的原辅材料和最终产品，参照《建设项目环境风险评价技术导则》</w:t>
      </w:r>
      <w:r>
        <w:rPr>
          <w:rFonts w:hint="eastAsia"/>
          <w:kern w:val="2"/>
        </w:rPr>
        <w:t>（</w:t>
      </w:r>
      <w:r>
        <w:rPr>
          <w:kern w:val="2"/>
        </w:rPr>
        <w:t>HJ169-2018</w:t>
      </w:r>
      <w:r>
        <w:rPr>
          <w:rFonts w:hint="eastAsia"/>
          <w:kern w:val="2"/>
        </w:rPr>
        <w:t>）</w:t>
      </w:r>
      <w:r>
        <w:rPr>
          <w:kern w:val="2"/>
        </w:rPr>
        <w:t>附录</w:t>
      </w:r>
      <w:r>
        <w:rPr>
          <w:kern w:val="2"/>
        </w:rPr>
        <w:t>B</w:t>
      </w:r>
      <w:r>
        <w:rPr>
          <w:kern w:val="2"/>
        </w:rPr>
        <w:t>，确定项目所涉及的危险物质，其数量和分布情况见</w:t>
      </w:r>
      <w:r>
        <w:rPr>
          <w:kern w:val="2"/>
        </w:rPr>
        <w:fldChar w:fldCharType="begin"/>
      </w:r>
      <w:r>
        <w:rPr>
          <w:kern w:val="2"/>
        </w:rPr>
        <w:instrText xml:space="preserve"> REF _Ref18131 \r \h </w:instrText>
      </w:r>
      <w:r>
        <w:rPr>
          <w:kern w:val="2"/>
        </w:rPr>
      </w:r>
      <w:r>
        <w:rPr>
          <w:kern w:val="2"/>
        </w:rPr>
        <w:fldChar w:fldCharType="separate"/>
      </w:r>
      <w:r>
        <w:rPr>
          <w:kern w:val="2"/>
        </w:rPr>
        <w:t>表</w:t>
      </w:r>
      <w:r>
        <w:rPr>
          <w:kern w:val="2"/>
        </w:rPr>
        <w:t>6-1</w:t>
      </w:r>
      <w:r>
        <w:rPr>
          <w:kern w:val="2"/>
        </w:rPr>
        <w:fldChar w:fldCharType="end"/>
      </w:r>
      <w:r>
        <w:rPr>
          <w:kern w:val="2"/>
        </w:rPr>
        <w:t>。</w:t>
      </w:r>
    </w:p>
    <w:p w14:paraId="3515A3E8" w14:textId="77777777" w:rsidR="003E78AB" w:rsidRDefault="00010BF9">
      <w:pPr>
        <w:pStyle w:val="a"/>
        <w:spacing w:before="120"/>
        <w:ind w:left="425" w:hanging="425"/>
      </w:pPr>
      <w:bookmarkStart w:id="419" w:name="_Ref18131"/>
      <w:r>
        <w:t>项目危险物质数量、分布情况一览表</w:t>
      </w:r>
      <w:bookmarkEnd w:id="419"/>
    </w:p>
    <w:tbl>
      <w:tblPr>
        <w:tblW w:w="4998" w:type="pct"/>
        <w:tblLook w:val="04A0" w:firstRow="1" w:lastRow="0" w:firstColumn="1" w:lastColumn="0" w:noHBand="0" w:noVBand="1"/>
      </w:tblPr>
      <w:tblGrid>
        <w:gridCol w:w="728"/>
        <w:gridCol w:w="1274"/>
        <w:gridCol w:w="1153"/>
        <w:gridCol w:w="1286"/>
        <w:gridCol w:w="2006"/>
        <w:gridCol w:w="2067"/>
      </w:tblGrid>
      <w:tr w:rsidR="003E78AB" w14:paraId="338578A8" w14:textId="77777777">
        <w:trPr>
          <w:trHeight w:val="540"/>
          <w:tblHeader/>
        </w:trPr>
        <w:tc>
          <w:tcPr>
            <w:tcW w:w="42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A3DCF5B"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序号</w:t>
            </w:r>
          </w:p>
        </w:tc>
        <w:tc>
          <w:tcPr>
            <w:tcW w:w="74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04898E5"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物质名称</w:t>
            </w:r>
          </w:p>
        </w:tc>
        <w:tc>
          <w:tcPr>
            <w:tcW w:w="6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1E63EF"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在线量（</w:t>
            </w:r>
            <w:r>
              <w:rPr>
                <w:b/>
                <w:bCs/>
                <w:kern w:val="2"/>
                <w:sz w:val="21"/>
                <w:szCs w:val="21"/>
              </w:rPr>
              <w:t>t</w:t>
            </w:r>
            <w:r>
              <w:rPr>
                <w:rFonts w:hint="eastAsia"/>
                <w:b/>
                <w:bCs/>
                <w:kern w:val="2"/>
                <w:sz w:val="21"/>
                <w:szCs w:val="21"/>
              </w:rPr>
              <w:t>）</w:t>
            </w:r>
          </w:p>
        </w:tc>
        <w:tc>
          <w:tcPr>
            <w:tcW w:w="75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EC7A08"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最大储存量（</w:t>
            </w:r>
            <w:r>
              <w:rPr>
                <w:b/>
                <w:bCs/>
                <w:kern w:val="2"/>
                <w:sz w:val="21"/>
                <w:szCs w:val="21"/>
              </w:rPr>
              <w:t>t</w:t>
            </w:r>
            <w:r>
              <w:rPr>
                <w:rFonts w:hint="eastAsia"/>
                <w:b/>
                <w:bCs/>
                <w:kern w:val="2"/>
                <w:sz w:val="21"/>
                <w:szCs w:val="21"/>
              </w:rPr>
              <w:t>）</w:t>
            </w:r>
          </w:p>
        </w:tc>
        <w:tc>
          <w:tcPr>
            <w:tcW w:w="117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F122CD7"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储存位置</w:t>
            </w:r>
          </w:p>
        </w:tc>
        <w:tc>
          <w:tcPr>
            <w:tcW w:w="121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74F2D30"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备注</w:t>
            </w:r>
          </w:p>
        </w:tc>
      </w:tr>
      <w:tr w:rsidR="003E78AB" w14:paraId="7C0FCB77" w14:textId="77777777">
        <w:trPr>
          <w:trHeight w:val="525"/>
        </w:trPr>
        <w:tc>
          <w:tcPr>
            <w:tcW w:w="428" w:type="pct"/>
            <w:tcBorders>
              <w:top w:val="nil"/>
              <w:left w:val="single" w:sz="8" w:space="0" w:color="000000"/>
              <w:bottom w:val="single" w:sz="8" w:space="0" w:color="000000"/>
              <w:right w:val="single" w:sz="8" w:space="0" w:color="000000"/>
            </w:tcBorders>
            <w:shd w:val="clear" w:color="auto" w:fill="auto"/>
            <w:vAlign w:val="center"/>
          </w:tcPr>
          <w:p w14:paraId="2272A65D" w14:textId="77777777" w:rsidR="003E78AB" w:rsidRDefault="00010BF9">
            <w:pPr>
              <w:spacing w:line="360" w:lineRule="exact"/>
              <w:ind w:firstLineChars="0" w:firstLine="0"/>
              <w:jc w:val="center"/>
              <w:rPr>
                <w:kern w:val="2"/>
                <w:sz w:val="21"/>
                <w:szCs w:val="21"/>
              </w:rPr>
            </w:pPr>
            <w:r>
              <w:rPr>
                <w:kern w:val="2"/>
                <w:sz w:val="21"/>
                <w:szCs w:val="21"/>
              </w:rPr>
              <w:t>1</w:t>
            </w:r>
          </w:p>
        </w:tc>
        <w:tc>
          <w:tcPr>
            <w:tcW w:w="748" w:type="pct"/>
            <w:tcBorders>
              <w:top w:val="nil"/>
              <w:left w:val="single" w:sz="8" w:space="0" w:color="000000"/>
              <w:bottom w:val="single" w:sz="8" w:space="0" w:color="000000"/>
              <w:right w:val="single" w:sz="8" w:space="0" w:color="000000"/>
            </w:tcBorders>
            <w:shd w:val="clear" w:color="auto" w:fill="auto"/>
            <w:vAlign w:val="center"/>
          </w:tcPr>
          <w:p w14:paraId="236515C1" w14:textId="77777777" w:rsidR="003E78AB" w:rsidRDefault="00010BF9">
            <w:pPr>
              <w:spacing w:line="360" w:lineRule="exact"/>
              <w:ind w:firstLineChars="0" w:firstLine="0"/>
              <w:jc w:val="center"/>
              <w:rPr>
                <w:kern w:val="2"/>
                <w:sz w:val="21"/>
                <w:szCs w:val="21"/>
              </w:rPr>
            </w:pPr>
            <w:r>
              <w:rPr>
                <w:rFonts w:hint="eastAsia"/>
                <w:kern w:val="2"/>
                <w:sz w:val="21"/>
                <w:szCs w:val="21"/>
              </w:rPr>
              <w:t>五氧化二钒</w:t>
            </w:r>
          </w:p>
        </w:tc>
        <w:tc>
          <w:tcPr>
            <w:tcW w:w="677" w:type="pct"/>
            <w:tcBorders>
              <w:top w:val="nil"/>
              <w:left w:val="single" w:sz="8" w:space="0" w:color="000000"/>
              <w:bottom w:val="single" w:sz="8" w:space="0" w:color="000000"/>
              <w:right w:val="single" w:sz="8" w:space="0" w:color="000000"/>
            </w:tcBorders>
            <w:shd w:val="clear" w:color="auto" w:fill="auto"/>
            <w:vAlign w:val="center"/>
          </w:tcPr>
          <w:p w14:paraId="78004A07" w14:textId="77777777" w:rsidR="003E78AB" w:rsidRDefault="00010BF9">
            <w:pPr>
              <w:spacing w:line="360" w:lineRule="exact"/>
              <w:ind w:firstLineChars="0" w:firstLine="0"/>
              <w:jc w:val="center"/>
              <w:rPr>
                <w:kern w:val="2"/>
                <w:sz w:val="21"/>
                <w:szCs w:val="21"/>
              </w:rPr>
            </w:pPr>
            <w:r>
              <w:rPr>
                <w:rFonts w:hint="eastAsia"/>
                <w:kern w:val="2"/>
                <w:sz w:val="21"/>
                <w:szCs w:val="21"/>
              </w:rPr>
              <w:t>6</w:t>
            </w:r>
            <w:r>
              <w:rPr>
                <w:kern w:val="2"/>
                <w:sz w:val="21"/>
                <w:szCs w:val="21"/>
              </w:rPr>
              <w:t>0</w:t>
            </w:r>
          </w:p>
        </w:tc>
        <w:tc>
          <w:tcPr>
            <w:tcW w:w="755" w:type="pct"/>
            <w:tcBorders>
              <w:top w:val="nil"/>
              <w:left w:val="single" w:sz="8" w:space="0" w:color="000000"/>
              <w:bottom w:val="single" w:sz="8" w:space="0" w:color="000000"/>
              <w:right w:val="single" w:sz="8" w:space="0" w:color="000000"/>
            </w:tcBorders>
            <w:shd w:val="clear" w:color="auto" w:fill="auto"/>
            <w:vAlign w:val="center"/>
          </w:tcPr>
          <w:p w14:paraId="3E24E23C" w14:textId="77777777" w:rsidR="003E78AB" w:rsidRDefault="00010BF9">
            <w:pPr>
              <w:spacing w:line="360" w:lineRule="exact"/>
              <w:ind w:firstLineChars="0" w:firstLine="0"/>
              <w:jc w:val="center"/>
              <w:rPr>
                <w:kern w:val="2"/>
                <w:sz w:val="21"/>
                <w:szCs w:val="21"/>
              </w:rPr>
            </w:pPr>
            <w:r>
              <w:rPr>
                <w:kern w:val="2"/>
                <w:sz w:val="21"/>
                <w:szCs w:val="21"/>
              </w:rPr>
              <w:t>80</w:t>
            </w:r>
          </w:p>
        </w:tc>
        <w:tc>
          <w:tcPr>
            <w:tcW w:w="1178" w:type="pct"/>
            <w:tcBorders>
              <w:top w:val="nil"/>
              <w:left w:val="single" w:sz="8" w:space="0" w:color="000000"/>
              <w:bottom w:val="single" w:sz="8" w:space="0" w:color="000000"/>
              <w:right w:val="single" w:sz="8" w:space="0" w:color="000000"/>
            </w:tcBorders>
            <w:shd w:val="clear" w:color="auto" w:fill="auto"/>
            <w:vAlign w:val="center"/>
          </w:tcPr>
          <w:p w14:paraId="2807DCA8" w14:textId="77777777" w:rsidR="003E78AB" w:rsidRDefault="00010BF9">
            <w:pPr>
              <w:spacing w:line="360" w:lineRule="exact"/>
              <w:ind w:firstLineChars="0" w:firstLine="0"/>
              <w:jc w:val="center"/>
              <w:rPr>
                <w:kern w:val="2"/>
                <w:sz w:val="21"/>
                <w:szCs w:val="21"/>
              </w:rPr>
            </w:pPr>
            <w:r>
              <w:rPr>
                <w:rFonts w:hint="eastAsia"/>
                <w:kern w:val="2"/>
                <w:sz w:val="21"/>
                <w:szCs w:val="21"/>
              </w:rPr>
              <w:t>丙类仓库</w:t>
            </w:r>
          </w:p>
        </w:tc>
        <w:tc>
          <w:tcPr>
            <w:tcW w:w="1212" w:type="pct"/>
            <w:tcBorders>
              <w:top w:val="nil"/>
              <w:left w:val="single" w:sz="8" w:space="0" w:color="000000"/>
              <w:bottom w:val="single" w:sz="8" w:space="0" w:color="000000"/>
              <w:right w:val="single" w:sz="8" w:space="0" w:color="000000"/>
            </w:tcBorders>
            <w:shd w:val="clear" w:color="auto" w:fill="auto"/>
            <w:vAlign w:val="center"/>
          </w:tcPr>
          <w:p w14:paraId="50A8F019" w14:textId="77777777" w:rsidR="003E78AB" w:rsidRDefault="00010BF9">
            <w:pPr>
              <w:spacing w:line="360" w:lineRule="exact"/>
              <w:ind w:firstLineChars="0" w:firstLine="0"/>
              <w:jc w:val="center"/>
              <w:rPr>
                <w:kern w:val="2"/>
                <w:sz w:val="21"/>
                <w:szCs w:val="21"/>
              </w:rPr>
            </w:pPr>
            <w:r>
              <w:rPr>
                <w:rFonts w:hint="eastAsia"/>
                <w:kern w:val="2"/>
                <w:sz w:val="21"/>
                <w:szCs w:val="21"/>
              </w:rPr>
              <w:t>周转天数</w:t>
            </w:r>
            <w:r>
              <w:rPr>
                <w:rFonts w:hint="eastAsia"/>
                <w:kern w:val="2"/>
                <w:sz w:val="21"/>
                <w:szCs w:val="21"/>
              </w:rPr>
              <w:t>3d</w:t>
            </w:r>
          </w:p>
        </w:tc>
      </w:tr>
      <w:tr w:rsidR="003E78AB" w14:paraId="20517427" w14:textId="77777777">
        <w:trPr>
          <w:trHeight w:val="300"/>
        </w:trPr>
        <w:tc>
          <w:tcPr>
            <w:tcW w:w="428" w:type="pct"/>
            <w:tcBorders>
              <w:top w:val="nil"/>
              <w:left w:val="single" w:sz="8" w:space="0" w:color="000000"/>
              <w:bottom w:val="single" w:sz="8" w:space="0" w:color="000000"/>
              <w:right w:val="single" w:sz="8" w:space="0" w:color="000000"/>
            </w:tcBorders>
            <w:shd w:val="clear" w:color="auto" w:fill="auto"/>
            <w:vAlign w:val="center"/>
          </w:tcPr>
          <w:p w14:paraId="04FD9303" w14:textId="77777777" w:rsidR="003E78AB" w:rsidRDefault="00010BF9">
            <w:pPr>
              <w:spacing w:line="360" w:lineRule="exact"/>
              <w:ind w:firstLineChars="0" w:firstLine="0"/>
              <w:jc w:val="center"/>
              <w:rPr>
                <w:kern w:val="2"/>
                <w:sz w:val="21"/>
                <w:szCs w:val="21"/>
              </w:rPr>
            </w:pPr>
            <w:r>
              <w:rPr>
                <w:kern w:val="2"/>
                <w:sz w:val="21"/>
                <w:szCs w:val="21"/>
              </w:rPr>
              <w:t>2</w:t>
            </w:r>
          </w:p>
        </w:tc>
        <w:tc>
          <w:tcPr>
            <w:tcW w:w="748" w:type="pct"/>
            <w:tcBorders>
              <w:top w:val="nil"/>
              <w:left w:val="single" w:sz="8" w:space="0" w:color="000000"/>
              <w:bottom w:val="single" w:sz="8" w:space="0" w:color="000000"/>
              <w:right w:val="single" w:sz="8" w:space="0" w:color="000000"/>
            </w:tcBorders>
            <w:shd w:val="clear" w:color="auto" w:fill="auto"/>
            <w:vAlign w:val="center"/>
          </w:tcPr>
          <w:p w14:paraId="0EFD9A75" w14:textId="77777777" w:rsidR="003E78AB" w:rsidRDefault="00010BF9">
            <w:pPr>
              <w:spacing w:line="360" w:lineRule="exact"/>
              <w:ind w:firstLineChars="0" w:firstLine="0"/>
              <w:jc w:val="center"/>
              <w:rPr>
                <w:kern w:val="2"/>
                <w:sz w:val="21"/>
                <w:szCs w:val="21"/>
              </w:rPr>
            </w:pPr>
            <w:r>
              <w:rPr>
                <w:rFonts w:hint="eastAsia"/>
                <w:kern w:val="2"/>
                <w:sz w:val="21"/>
                <w:szCs w:val="21"/>
              </w:rPr>
              <w:t>浓硫酸</w:t>
            </w:r>
          </w:p>
        </w:tc>
        <w:tc>
          <w:tcPr>
            <w:tcW w:w="677" w:type="pct"/>
            <w:tcBorders>
              <w:top w:val="nil"/>
              <w:left w:val="single" w:sz="8" w:space="0" w:color="000000"/>
              <w:bottom w:val="single" w:sz="8" w:space="0" w:color="000000"/>
              <w:right w:val="single" w:sz="8" w:space="0" w:color="000000"/>
            </w:tcBorders>
            <w:shd w:val="clear" w:color="auto" w:fill="auto"/>
            <w:vAlign w:val="center"/>
          </w:tcPr>
          <w:p w14:paraId="321B2F1B" w14:textId="77777777" w:rsidR="003E78AB" w:rsidRDefault="00010BF9">
            <w:pPr>
              <w:spacing w:line="360" w:lineRule="exact"/>
              <w:ind w:firstLineChars="0" w:firstLine="0"/>
              <w:jc w:val="center"/>
              <w:rPr>
                <w:kern w:val="2"/>
                <w:sz w:val="21"/>
                <w:szCs w:val="21"/>
              </w:rPr>
            </w:pPr>
            <w:r>
              <w:rPr>
                <w:rFonts w:hint="eastAsia"/>
                <w:kern w:val="2"/>
                <w:sz w:val="21"/>
                <w:szCs w:val="21"/>
              </w:rPr>
              <w:t>3.68</w:t>
            </w:r>
          </w:p>
        </w:tc>
        <w:tc>
          <w:tcPr>
            <w:tcW w:w="755" w:type="pct"/>
            <w:tcBorders>
              <w:top w:val="nil"/>
              <w:left w:val="single" w:sz="8" w:space="0" w:color="000000"/>
              <w:bottom w:val="single" w:sz="8" w:space="0" w:color="000000"/>
              <w:right w:val="single" w:sz="8" w:space="0" w:color="000000"/>
            </w:tcBorders>
            <w:shd w:val="clear" w:color="auto" w:fill="auto"/>
            <w:vAlign w:val="center"/>
          </w:tcPr>
          <w:p w14:paraId="57EAE5EA" w14:textId="77777777" w:rsidR="003E78AB" w:rsidRDefault="00010BF9">
            <w:pPr>
              <w:spacing w:line="360" w:lineRule="exact"/>
              <w:ind w:firstLineChars="0" w:firstLine="0"/>
              <w:jc w:val="center"/>
              <w:rPr>
                <w:kern w:val="2"/>
                <w:sz w:val="21"/>
                <w:szCs w:val="21"/>
              </w:rPr>
            </w:pPr>
            <w:r>
              <w:rPr>
                <w:kern w:val="2"/>
                <w:sz w:val="21"/>
                <w:szCs w:val="21"/>
              </w:rPr>
              <w:t>883.2</w:t>
            </w:r>
          </w:p>
        </w:tc>
        <w:tc>
          <w:tcPr>
            <w:tcW w:w="1178" w:type="pct"/>
            <w:tcBorders>
              <w:top w:val="nil"/>
              <w:left w:val="single" w:sz="8" w:space="0" w:color="000000"/>
              <w:bottom w:val="single" w:sz="8" w:space="0" w:color="000000"/>
              <w:right w:val="single" w:sz="8" w:space="0" w:color="000000"/>
            </w:tcBorders>
            <w:shd w:val="clear" w:color="auto" w:fill="auto"/>
            <w:vAlign w:val="center"/>
          </w:tcPr>
          <w:p w14:paraId="69832A4E" w14:textId="77777777" w:rsidR="003E78AB" w:rsidRDefault="00010BF9">
            <w:pPr>
              <w:spacing w:line="360" w:lineRule="exact"/>
              <w:ind w:firstLineChars="0" w:firstLine="0"/>
              <w:jc w:val="center"/>
              <w:rPr>
                <w:kern w:val="2"/>
                <w:sz w:val="21"/>
                <w:szCs w:val="21"/>
              </w:rPr>
            </w:pPr>
            <w:r>
              <w:rPr>
                <w:rFonts w:hint="eastAsia"/>
                <w:kern w:val="2"/>
                <w:sz w:val="21"/>
                <w:szCs w:val="21"/>
              </w:rPr>
              <w:t>液体库</w:t>
            </w:r>
            <w:r>
              <w:rPr>
                <w:rFonts w:hint="eastAsia"/>
                <w:kern w:val="2"/>
                <w:sz w:val="21"/>
                <w:szCs w:val="21"/>
              </w:rPr>
              <w:t>200m</w:t>
            </w:r>
            <w:r>
              <w:rPr>
                <w:rFonts w:hint="eastAsia"/>
                <w:kern w:val="2"/>
                <w:sz w:val="21"/>
                <w:szCs w:val="21"/>
                <w:vertAlign w:val="superscript"/>
              </w:rPr>
              <w:t>3</w:t>
            </w:r>
            <w:r>
              <w:rPr>
                <w:rFonts w:hint="eastAsia"/>
                <w:kern w:val="2"/>
                <w:sz w:val="21"/>
                <w:szCs w:val="21"/>
              </w:rPr>
              <w:t>硫酸储罐</w:t>
            </w:r>
            <w:r>
              <w:rPr>
                <w:rFonts w:hint="eastAsia"/>
                <w:kern w:val="2"/>
                <w:sz w:val="21"/>
                <w:szCs w:val="21"/>
              </w:rPr>
              <w:t>4</w:t>
            </w:r>
            <w:r>
              <w:rPr>
                <w:rFonts w:hint="eastAsia"/>
                <w:kern w:val="2"/>
                <w:sz w:val="21"/>
                <w:szCs w:val="21"/>
              </w:rPr>
              <w:t>座（</w:t>
            </w:r>
            <w:r>
              <w:rPr>
                <w:rFonts w:hint="eastAsia"/>
                <w:kern w:val="2"/>
                <w:sz w:val="21"/>
                <w:szCs w:val="21"/>
              </w:rPr>
              <w:t>3</w:t>
            </w:r>
            <w:r>
              <w:rPr>
                <w:rFonts w:hint="eastAsia"/>
                <w:kern w:val="2"/>
                <w:sz w:val="21"/>
                <w:szCs w:val="21"/>
              </w:rPr>
              <w:t>用</w:t>
            </w:r>
            <w:r>
              <w:rPr>
                <w:rFonts w:hint="eastAsia"/>
                <w:kern w:val="2"/>
                <w:sz w:val="21"/>
                <w:szCs w:val="21"/>
              </w:rPr>
              <w:t>1</w:t>
            </w:r>
            <w:r>
              <w:rPr>
                <w:rFonts w:hint="eastAsia"/>
                <w:kern w:val="2"/>
                <w:sz w:val="21"/>
                <w:szCs w:val="21"/>
              </w:rPr>
              <w:t>备）</w:t>
            </w:r>
          </w:p>
        </w:tc>
        <w:tc>
          <w:tcPr>
            <w:tcW w:w="1212" w:type="pct"/>
            <w:tcBorders>
              <w:top w:val="nil"/>
              <w:left w:val="single" w:sz="8" w:space="0" w:color="000000"/>
              <w:bottom w:val="single" w:sz="8" w:space="0" w:color="000000"/>
              <w:right w:val="single" w:sz="8" w:space="0" w:color="000000"/>
            </w:tcBorders>
            <w:shd w:val="clear" w:color="auto" w:fill="auto"/>
            <w:vAlign w:val="center"/>
          </w:tcPr>
          <w:p w14:paraId="67FAEC8B" w14:textId="77777777" w:rsidR="003E78AB" w:rsidRDefault="00010BF9">
            <w:pPr>
              <w:spacing w:line="360" w:lineRule="exact"/>
              <w:ind w:firstLineChars="0" w:firstLine="0"/>
              <w:jc w:val="center"/>
              <w:rPr>
                <w:kern w:val="2"/>
                <w:sz w:val="21"/>
                <w:szCs w:val="21"/>
              </w:rPr>
            </w:pPr>
            <w:r>
              <w:rPr>
                <w:rFonts w:hint="eastAsia"/>
                <w:kern w:val="2"/>
                <w:sz w:val="21"/>
                <w:szCs w:val="21"/>
              </w:rPr>
              <w:t>80%</w:t>
            </w:r>
            <w:r>
              <w:rPr>
                <w:rFonts w:hint="eastAsia"/>
                <w:kern w:val="2"/>
                <w:sz w:val="21"/>
                <w:szCs w:val="21"/>
              </w:rPr>
              <w:t>存量，密度</w:t>
            </w:r>
            <w:r>
              <w:rPr>
                <w:rFonts w:hint="eastAsia"/>
                <w:kern w:val="2"/>
                <w:sz w:val="21"/>
                <w:szCs w:val="21"/>
              </w:rPr>
              <w:t>1.84g/cm</w:t>
            </w:r>
            <w:r>
              <w:rPr>
                <w:rFonts w:hint="eastAsia"/>
                <w:kern w:val="2"/>
                <w:sz w:val="21"/>
                <w:szCs w:val="21"/>
                <w:vertAlign w:val="superscript"/>
              </w:rPr>
              <w:t>3</w:t>
            </w:r>
          </w:p>
        </w:tc>
      </w:tr>
      <w:tr w:rsidR="003E78AB" w14:paraId="5700C12B" w14:textId="77777777">
        <w:trPr>
          <w:trHeight w:val="300"/>
        </w:trPr>
        <w:tc>
          <w:tcPr>
            <w:tcW w:w="428" w:type="pct"/>
            <w:tcBorders>
              <w:top w:val="nil"/>
              <w:left w:val="single" w:sz="8" w:space="0" w:color="000000"/>
              <w:bottom w:val="single" w:sz="4" w:space="0" w:color="auto"/>
              <w:right w:val="single" w:sz="8" w:space="0" w:color="000000"/>
            </w:tcBorders>
            <w:shd w:val="clear" w:color="auto" w:fill="auto"/>
            <w:vAlign w:val="center"/>
          </w:tcPr>
          <w:p w14:paraId="6FE1C5F8" w14:textId="77777777" w:rsidR="003E78AB" w:rsidRDefault="00010BF9">
            <w:pPr>
              <w:spacing w:line="360" w:lineRule="exact"/>
              <w:ind w:firstLineChars="0" w:firstLine="0"/>
              <w:jc w:val="center"/>
              <w:rPr>
                <w:kern w:val="2"/>
                <w:sz w:val="21"/>
                <w:szCs w:val="21"/>
              </w:rPr>
            </w:pPr>
            <w:r>
              <w:rPr>
                <w:kern w:val="2"/>
                <w:sz w:val="21"/>
                <w:szCs w:val="21"/>
              </w:rPr>
              <w:t>3</w:t>
            </w:r>
          </w:p>
        </w:tc>
        <w:tc>
          <w:tcPr>
            <w:tcW w:w="748" w:type="pct"/>
            <w:tcBorders>
              <w:top w:val="nil"/>
              <w:left w:val="single" w:sz="8" w:space="0" w:color="000000"/>
              <w:bottom w:val="single" w:sz="4" w:space="0" w:color="auto"/>
              <w:right w:val="single" w:sz="8" w:space="0" w:color="000000"/>
            </w:tcBorders>
            <w:shd w:val="clear" w:color="auto" w:fill="auto"/>
            <w:vAlign w:val="center"/>
          </w:tcPr>
          <w:p w14:paraId="4374B813" w14:textId="77777777" w:rsidR="003E78AB" w:rsidRDefault="00010BF9">
            <w:pPr>
              <w:spacing w:line="360" w:lineRule="exact"/>
              <w:ind w:firstLineChars="0" w:firstLine="0"/>
              <w:jc w:val="center"/>
              <w:rPr>
                <w:kern w:val="2"/>
                <w:sz w:val="21"/>
                <w:szCs w:val="21"/>
              </w:rPr>
            </w:pPr>
            <w:r>
              <w:rPr>
                <w:rFonts w:hint="eastAsia"/>
                <w:kern w:val="2"/>
                <w:sz w:val="21"/>
                <w:szCs w:val="21"/>
              </w:rPr>
              <w:t>磷酸</w:t>
            </w:r>
          </w:p>
        </w:tc>
        <w:tc>
          <w:tcPr>
            <w:tcW w:w="677" w:type="pct"/>
            <w:tcBorders>
              <w:top w:val="nil"/>
              <w:left w:val="single" w:sz="8" w:space="0" w:color="000000"/>
              <w:bottom w:val="single" w:sz="4" w:space="0" w:color="auto"/>
              <w:right w:val="single" w:sz="8" w:space="0" w:color="000000"/>
            </w:tcBorders>
            <w:shd w:val="clear" w:color="auto" w:fill="auto"/>
            <w:vAlign w:val="center"/>
          </w:tcPr>
          <w:p w14:paraId="6FC689D7" w14:textId="77777777" w:rsidR="003E78AB" w:rsidRDefault="00010BF9">
            <w:pPr>
              <w:spacing w:line="360" w:lineRule="exact"/>
              <w:ind w:firstLineChars="0" w:firstLine="0"/>
              <w:jc w:val="center"/>
              <w:rPr>
                <w:kern w:val="2"/>
                <w:sz w:val="21"/>
                <w:szCs w:val="21"/>
              </w:rPr>
            </w:pPr>
            <w:r>
              <w:rPr>
                <w:rFonts w:hint="eastAsia"/>
                <w:kern w:val="2"/>
                <w:sz w:val="21"/>
                <w:szCs w:val="21"/>
              </w:rPr>
              <w:t>0.51</w:t>
            </w:r>
          </w:p>
        </w:tc>
        <w:tc>
          <w:tcPr>
            <w:tcW w:w="755" w:type="pct"/>
            <w:tcBorders>
              <w:top w:val="nil"/>
              <w:left w:val="single" w:sz="8" w:space="0" w:color="000000"/>
              <w:bottom w:val="single" w:sz="4" w:space="0" w:color="auto"/>
              <w:right w:val="single" w:sz="8" w:space="0" w:color="000000"/>
            </w:tcBorders>
            <w:shd w:val="clear" w:color="auto" w:fill="auto"/>
            <w:vAlign w:val="center"/>
          </w:tcPr>
          <w:p w14:paraId="2EA2EE40" w14:textId="77777777" w:rsidR="003E78AB" w:rsidRDefault="00010BF9">
            <w:pPr>
              <w:spacing w:line="360" w:lineRule="exact"/>
              <w:ind w:firstLineChars="0" w:firstLine="0"/>
              <w:jc w:val="center"/>
              <w:rPr>
                <w:kern w:val="2"/>
                <w:sz w:val="21"/>
                <w:szCs w:val="21"/>
              </w:rPr>
            </w:pPr>
            <w:r>
              <w:rPr>
                <w:kern w:val="2"/>
                <w:sz w:val="21"/>
                <w:szCs w:val="21"/>
              </w:rPr>
              <w:t>94.36</w:t>
            </w:r>
          </w:p>
        </w:tc>
        <w:tc>
          <w:tcPr>
            <w:tcW w:w="1178" w:type="pct"/>
            <w:tcBorders>
              <w:top w:val="nil"/>
              <w:left w:val="single" w:sz="8" w:space="0" w:color="000000"/>
              <w:bottom w:val="single" w:sz="4" w:space="0" w:color="auto"/>
              <w:right w:val="single" w:sz="8" w:space="0" w:color="000000"/>
            </w:tcBorders>
            <w:shd w:val="clear" w:color="auto" w:fill="auto"/>
            <w:vAlign w:val="center"/>
          </w:tcPr>
          <w:p w14:paraId="3B9ACB84" w14:textId="77777777" w:rsidR="003E78AB" w:rsidRDefault="00010BF9">
            <w:pPr>
              <w:spacing w:line="360" w:lineRule="exact"/>
              <w:ind w:firstLineChars="0" w:firstLine="0"/>
              <w:jc w:val="center"/>
              <w:rPr>
                <w:kern w:val="2"/>
                <w:sz w:val="21"/>
                <w:szCs w:val="21"/>
              </w:rPr>
            </w:pPr>
            <w:r>
              <w:rPr>
                <w:rFonts w:hint="eastAsia"/>
                <w:kern w:val="2"/>
                <w:sz w:val="21"/>
                <w:szCs w:val="21"/>
              </w:rPr>
              <w:t>液体库</w:t>
            </w:r>
            <w:r>
              <w:rPr>
                <w:rFonts w:hint="eastAsia"/>
                <w:kern w:val="2"/>
                <w:sz w:val="21"/>
                <w:szCs w:val="21"/>
              </w:rPr>
              <w:t>70m</w:t>
            </w:r>
            <w:r>
              <w:rPr>
                <w:rFonts w:hint="eastAsia"/>
                <w:kern w:val="2"/>
                <w:sz w:val="21"/>
                <w:szCs w:val="21"/>
                <w:vertAlign w:val="superscript"/>
              </w:rPr>
              <w:t>3</w:t>
            </w:r>
            <w:r>
              <w:rPr>
                <w:rFonts w:hint="eastAsia"/>
                <w:kern w:val="2"/>
                <w:sz w:val="21"/>
                <w:szCs w:val="21"/>
              </w:rPr>
              <w:t>磷酸储罐</w:t>
            </w:r>
            <w:r>
              <w:rPr>
                <w:rFonts w:hint="eastAsia"/>
                <w:kern w:val="2"/>
                <w:sz w:val="21"/>
                <w:szCs w:val="21"/>
              </w:rPr>
              <w:t>3</w:t>
            </w:r>
            <w:r>
              <w:rPr>
                <w:rFonts w:hint="eastAsia"/>
                <w:kern w:val="2"/>
                <w:sz w:val="21"/>
                <w:szCs w:val="21"/>
              </w:rPr>
              <w:t>座</w:t>
            </w:r>
          </w:p>
        </w:tc>
        <w:tc>
          <w:tcPr>
            <w:tcW w:w="1212" w:type="pct"/>
            <w:tcBorders>
              <w:top w:val="nil"/>
              <w:left w:val="single" w:sz="8" w:space="0" w:color="000000"/>
              <w:bottom w:val="single" w:sz="4" w:space="0" w:color="auto"/>
              <w:right w:val="single" w:sz="8" w:space="0" w:color="000000"/>
            </w:tcBorders>
            <w:shd w:val="clear" w:color="auto" w:fill="auto"/>
            <w:vAlign w:val="center"/>
          </w:tcPr>
          <w:p w14:paraId="3C7E5E9F" w14:textId="77777777" w:rsidR="003E78AB" w:rsidRDefault="00010BF9">
            <w:pPr>
              <w:spacing w:line="360" w:lineRule="exact"/>
              <w:ind w:firstLineChars="0" w:firstLine="0"/>
              <w:jc w:val="center"/>
              <w:rPr>
                <w:kern w:val="2"/>
                <w:sz w:val="21"/>
                <w:szCs w:val="21"/>
              </w:rPr>
            </w:pPr>
            <w:r>
              <w:rPr>
                <w:rFonts w:hint="eastAsia"/>
                <w:kern w:val="2"/>
                <w:sz w:val="21"/>
                <w:szCs w:val="21"/>
              </w:rPr>
              <w:t>80%</w:t>
            </w:r>
            <w:r>
              <w:rPr>
                <w:rFonts w:hint="eastAsia"/>
                <w:kern w:val="2"/>
                <w:sz w:val="21"/>
                <w:szCs w:val="21"/>
              </w:rPr>
              <w:t>存量，密度</w:t>
            </w:r>
            <w:r>
              <w:rPr>
                <w:rFonts w:hint="eastAsia"/>
                <w:kern w:val="2"/>
                <w:sz w:val="21"/>
                <w:szCs w:val="21"/>
              </w:rPr>
              <w:t>1.685g/cm</w:t>
            </w:r>
            <w:r>
              <w:rPr>
                <w:rFonts w:hint="eastAsia"/>
                <w:kern w:val="2"/>
                <w:sz w:val="21"/>
                <w:szCs w:val="21"/>
                <w:vertAlign w:val="superscript"/>
              </w:rPr>
              <w:t>3</w:t>
            </w:r>
          </w:p>
        </w:tc>
      </w:tr>
      <w:tr w:rsidR="003E78AB" w14:paraId="143DE3F5" w14:textId="77777777">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2FF6C6E" w14:textId="77777777" w:rsidR="003E78AB" w:rsidRDefault="00010BF9">
            <w:pPr>
              <w:spacing w:line="360" w:lineRule="exact"/>
              <w:ind w:firstLineChars="0" w:firstLine="0"/>
              <w:jc w:val="center"/>
              <w:rPr>
                <w:kern w:val="2"/>
                <w:sz w:val="21"/>
                <w:szCs w:val="21"/>
              </w:rPr>
            </w:pPr>
            <w:r>
              <w:rPr>
                <w:kern w:val="2"/>
                <w:sz w:val="21"/>
                <w:szCs w:val="21"/>
              </w:rPr>
              <w:t>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BEFA1B0" w14:textId="77777777" w:rsidR="003E78AB" w:rsidRDefault="00010BF9">
            <w:pPr>
              <w:spacing w:line="360" w:lineRule="exact"/>
              <w:ind w:firstLineChars="0" w:firstLine="0"/>
              <w:jc w:val="center"/>
              <w:rPr>
                <w:kern w:val="2"/>
                <w:sz w:val="21"/>
                <w:szCs w:val="21"/>
              </w:rPr>
            </w:pPr>
            <w:r>
              <w:rPr>
                <w:rFonts w:hint="eastAsia"/>
                <w:kern w:val="2"/>
                <w:sz w:val="21"/>
                <w:szCs w:val="21"/>
              </w:rPr>
              <w:t>二水草酸</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31A9BBB" w14:textId="77777777" w:rsidR="003E78AB" w:rsidRDefault="00010BF9">
            <w:pPr>
              <w:spacing w:line="360" w:lineRule="exact"/>
              <w:ind w:firstLineChars="0" w:firstLine="0"/>
              <w:jc w:val="center"/>
              <w:rPr>
                <w:kern w:val="2"/>
                <w:sz w:val="21"/>
                <w:szCs w:val="21"/>
              </w:rPr>
            </w:pPr>
            <w:r>
              <w:rPr>
                <w:kern w:val="2"/>
                <w:sz w:val="21"/>
                <w:szCs w:val="21"/>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ED510A7" w14:textId="77777777" w:rsidR="003E78AB" w:rsidRDefault="00010BF9">
            <w:pPr>
              <w:spacing w:line="360" w:lineRule="exact"/>
              <w:ind w:firstLineChars="0" w:firstLine="0"/>
              <w:jc w:val="center"/>
              <w:rPr>
                <w:kern w:val="2"/>
                <w:sz w:val="21"/>
                <w:szCs w:val="21"/>
              </w:rPr>
            </w:pPr>
            <w:r>
              <w:rPr>
                <w:kern w:val="2"/>
                <w:sz w:val="21"/>
                <w:szCs w:val="21"/>
              </w:rPr>
              <w:t>300</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5EECA797" w14:textId="77777777" w:rsidR="003E78AB" w:rsidRDefault="00010BF9">
            <w:pPr>
              <w:spacing w:line="360" w:lineRule="exact"/>
              <w:ind w:firstLineChars="0" w:firstLine="0"/>
              <w:jc w:val="center"/>
              <w:rPr>
                <w:kern w:val="2"/>
                <w:sz w:val="21"/>
                <w:szCs w:val="21"/>
              </w:rPr>
            </w:pPr>
            <w:r>
              <w:rPr>
                <w:rFonts w:hint="eastAsia"/>
                <w:kern w:val="2"/>
                <w:sz w:val="21"/>
                <w:szCs w:val="21"/>
              </w:rPr>
              <w:t>丙类仓库</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37E62C4A" w14:textId="77777777" w:rsidR="003E78AB" w:rsidRDefault="00010BF9">
            <w:pPr>
              <w:spacing w:line="360" w:lineRule="exact"/>
              <w:ind w:firstLineChars="0" w:firstLine="0"/>
              <w:jc w:val="center"/>
              <w:rPr>
                <w:kern w:val="2"/>
                <w:sz w:val="21"/>
                <w:szCs w:val="21"/>
              </w:rPr>
            </w:pPr>
            <w:r>
              <w:rPr>
                <w:rFonts w:hint="eastAsia"/>
                <w:kern w:val="2"/>
                <w:sz w:val="21"/>
                <w:szCs w:val="21"/>
              </w:rPr>
              <w:t>周转天数</w:t>
            </w:r>
            <w:r>
              <w:rPr>
                <w:rFonts w:hint="eastAsia"/>
                <w:kern w:val="2"/>
                <w:sz w:val="21"/>
                <w:szCs w:val="21"/>
              </w:rPr>
              <w:t>15d</w:t>
            </w:r>
          </w:p>
        </w:tc>
      </w:tr>
      <w:tr w:rsidR="003E78AB" w14:paraId="4E67A794" w14:textId="77777777">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55EF603" w14:textId="77777777" w:rsidR="003E78AB" w:rsidRDefault="00010BF9">
            <w:pPr>
              <w:spacing w:line="360" w:lineRule="exact"/>
              <w:ind w:firstLineChars="0" w:firstLine="0"/>
              <w:jc w:val="center"/>
              <w:rPr>
                <w:kern w:val="2"/>
                <w:sz w:val="21"/>
                <w:szCs w:val="21"/>
              </w:rPr>
            </w:pPr>
            <w:r>
              <w:rPr>
                <w:rFonts w:hint="eastAsia"/>
                <w:kern w:val="2"/>
                <w:sz w:val="21"/>
                <w:szCs w:val="21"/>
              </w:rPr>
              <w:t>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71099EC" w14:textId="77777777" w:rsidR="003E78AB" w:rsidRDefault="00010BF9">
            <w:pPr>
              <w:spacing w:line="360" w:lineRule="exact"/>
              <w:ind w:firstLineChars="0" w:firstLine="0"/>
              <w:jc w:val="center"/>
              <w:rPr>
                <w:kern w:val="2"/>
                <w:sz w:val="21"/>
                <w:szCs w:val="21"/>
              </w:rPr>
            </w:pPr>
            <w:r>
              <w:rPr>
                <w:rFonts w:hint="eastAsia"/>
                <w:kern w:val="2"/>
                <w:sz w:val="21"/>
                <w:szCs w:val="21"/>
              </w:rPr>
              <w:t>天然气</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2EDBB7D" w14:textId="77777777" w:rsidR="003E78AB" w:rsidRDefault="00010BF9">
            <w:pPr>
              <w:spacing w:line="360" w:lineRule="exact"/>
              <w:ind w:firstLineChars="0" w:firstLine="0"/>
              <w:jc w:val="center"/>
              <w:rPr>
                <w:kern w:val="2"/>
                <w:sz w:val="21"/>
                <w:szCs w:val="21"/>
              </w:rPr>
            </w:pPr>
            <w:r>
              <w:rPr>
                <w:rFonts w:hint="eastAsia"/>
                <w:kern w:val="2"/>
                <w:sz w:val="21"/>
                <w:szCs w:val="21"/>
              </w:rPr>
              <w:t>0.5</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53E928F"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5C896438" w14:textId="77777777" w:rsidR="003E78AB" w:rsidRDefault="00010BF9">
            <w:pPr>
              <w:spacing w:line="360" w:lineRule="exact"/>
              <w:ind w:firstLineChars="0" w:firstLine="0"/>
              <w:jc w:val="center"/>
              <w:rPr>
                <w:kern w:val="2"/>
                <w:sz w:val="21"/>
                <w:szCs w:val="21"/>
              </w:rPr>
            </w:pPr>
            <w:r>
              <w:rPr>
                <w:rFonts w:hint="eastAsia"/>
                <w:kern w:val="2"/>
                <w:sz w:val="21"/>
                <w:szCs w:val="21"/>
              </w:rPr>
              <w:t>管道</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1DD6A43E"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r w:rsidR="003E78AB" w14:paraId="36C088A1" w14:textId="77777777">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994B66C" w14:textId="77777777" w:rsidR="003E78AB" w:rsidRDefault="00010BF9">
            <w:pPr>
              <w:spacing w:line="360" w:lineRule="exact"/>
              <w:ind w:firstLineChars="0" w:firstLine="0"/>
              <w:jc w:val="center"/>
              <w:rPr>
                <w:kern w:val="2"/>
                <w:sz w:val="21"/>
                <w:szCs w:val="21"/>
              </w:rPr>
            </w:pPr>
            <w:r>
              <w:rPr>
                <w:rFonts w:hint="eastAsia"/>
                <w:kern w:val="2"/>
                <w:sz w:val="21"/>
                <w:szCs w:val="21"/>
              </w:rPr>
              <w:t>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9274F62" w14:textId="77777777" w:rsidR="003E78AB" w:rsidRDefault="00010BF9">
            <w:pPr>
              <w:spacing w:line="360" w:lineRule="exact"/>
              <w:ind w:firstLineChars="0" w:firstLine="0"/>
              <w:jc w:val="center"/>
              <w:rPr>
                <w:kern w:val="2"/>
                <w:sz w:val="21"/>
                <w:szCs w:val="21"/>
              </w:rPr>
            </w:pPr>
            <w:r>
              <w:rPr>
                <w:rFonts w:hint="eastAsia"/>
                <w:kern w:val="2"/>
                <w:sz w:val="21"/>
                <w:szCs w:val="21"/>
              </w:rPr>
              <w:t>钒电解液</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41D5012" w14:textId="77777777" w:rsidR="003E78AB" w:rsidRDefault="00010BF9">
            <w:pPr>
              <w:spacing w:line="360" w:lineRule="exact"/>
              <w:ind w:firstLineChars="0" w:firstLine="0"/>
              <w:jc w:val="center"/>
              <w:rPr>
                <w:kern w:val="2"/>
                <w:sz w:val="21"/>
                <w:szCs w:val="21"/>
              </w:rPr>
            </w:pPr>
            <w:r>
              <w:rPr>
                <w:rFonts w:hint="eastAsia"/>
                <w:kern w:val="2"/>
                <w:sz w:val="21"/>
                <w:szCs w:val="21"/>
              </w:rPr>
              <w:t>283.808</w:t>
            </w:r>
            <w:r>
              <w:rPr>
                <w:rFonts w:hint="eastAsia"/>
                <w:kern w:val="2"/>
                <w:sz w:val="21"/>
                <w:szCs w:val="21"/>
              </w:rPr>
              <w:t>（含钒</w:t>
            </w:r>
            <w:r>
              <w:rPr>
                <w:rFonts w:hint="eastAsia"/>
                <w:kern w:val="2"/>
                <w:sz w:val="21"/>
                <w:szCs w:val="21"/>
              </w:rPr>
              <w:t>10.41</w:t>
            </w:r>
            <w:r>
              <w:rPr>
                <w:rFonts w:hint="eastAsia"/>
                <w:kern w:val="2"/>
                <w:sz w:val="21"/>
                <w:szCs w:val="21"/>
              </w:rPr>
              <w:t>）</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0395AAD8" w14:textId="77777777" w:rsidR="003E78AB" w:rsidRDefault="00010BF9">
            <w:pPr>
              <w:spacing w:line="360" w:lineRule="exact"/>
              <w:ind w:firstLineChars="0" w:firstLine="0"/>
              <w:jc w:val="center"/>
              <w:rPr>
                <w:kern w:val="2"/>
                <w:sz w:val="21"/>
                <w:szCs w:val="21"/>
              </w:rPr>
            </w:pPr>
            <w:r>
              <w:rPr>
                <w:rFonts w:hint="eastAsia"/>
                <w:kern w:val="2"/>
                <w:sz w:val="21"/>
                <w:szCs w:val="21"/>
              </w:rPr>
              <w:t>1792</w:t>
            </w:r>
            <w:r>
              <w:rPr>
                <w:rFonts w:hint="eastAsia"/>
                <w:kern w:val="2"/>
                <w:sz w:val="21"/>
                <w:szCs w:val="21"/>
              </w:rPr>
              <w:t>（含钒</w:t>
            </w:r>
            <w:r>
              <w:rPr>
                <w:rFonts w:hint="eastAsia"/>
                <w:kern w:val="2"/>
                <w:sz w:val="21"/>
                <w:szCs w:val="21"/>
              </w:rPr>
              <w:t>62.19</w:t>
            </w:r>
            <w:r>
              <w:rPr>
                <w:rFonts w:hint="eastAsia"/>
                <w:kern w:val="2"/>
                <w:sz w:val="21"/>
                <w:szCs w:val="21"/>
              </w:rPr>
              <w:t>）</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1FC7CDF4" w14:textId="77777777" w:rsidR="003E78AB" w:rsidRDefault="00010BF9">
            <w:pPr>
              <w:spacing w:line="360" w:lineRule="exact"/>
              <w:ind w:firstLineChars="0" w:firstLine="0"/>
              <w:jc w:val="center"/>
              <w:rPr>
                <w:kern w:val="2"/>
                <w:sz w:val="21"/>
                <w:szCs w:val="21"/>
              </w:rPr>
            </w:pPr>
            <w:r>
              <w:rPr>
                <w:rFonts w:hint="eastAsia"/>
                <w:kern w:val="2"/>
                <w:sz w:val="21"/>
                <w:szCs w:val="21"/>
              </w:rPr>
              <w:t>36.2m</w:t>
            </w:r>
            <w:r>
              <w:rPr>
                <w:rFonts w:hint="eastAsia"/>
                <w:kern w:val="2"/>
                <w:sz w:val="21"/>
                <w:szCs w:val="21"/>
                <w:vertAlign w:val="superscript"/>
              </w:rPr>
              <w:t>3</w:t>
            </w:r>
            <w:r>
              <w:rPr>
                <w:rFonts w:hint="eastAsia"/>
                <w:kern w:val="2"/>
                <w:sz w:val="21"/>
                <w:szCs w:val="21"/>
              </w:rPr>
              <w:t>定容釜</w:t>
            </w:r>
            <w:r>
              <w:rPr>
                <w:rFonts w:hint="eastAsia"/>
                <w:kern w:val="2"/>
                <w:sz w:val="21"/>
                <w:szCs w:val="21"/>
              </w:rPr>
              <w:t>8</w:t>
            </w:r>
            <w:r>
              <w:rPr>
                <w:rFonts w:hint="eastAsia"/>
                <w:kern w:val="2"/>
                <w:sz w:val="21"/>
                <w:szCs w:val="21"/>
              </w:rPr>
              <w:t>个；生产车间罐装区</w:t>
            </w:r>
            <w:r>
              <w:rPr>
                <w:rFonts w:hint="eastAsia"/>
                <w:kern w:val="2"/>
                <w:sz w:val="21"/>
                <w:szCs w:val="21"/>
              </w:rPr>
              <w:t>200m</w:t>
            </w:r>
            <w:r>
              <w:rPr>
                <w:rFonts w:hint="eastAsia"/>
                <w:kern w:val="2"/>
                <w:sz w:val="21"/>
                <w:szCs w:val="21"/>
                <w:vertAlign w:val="superscript"/>
              </w:rPr>
              <w:t>3</w:t>
            </w:r>
            <w:r>
              <w:rPr>
                <w:kern w:val="2"/>
                <w:sz w:val="21"/>
                <w:szCs w:val="21"/>
              </w:rPr>
              <w:t>成品罐</w:t>
            </w:r>
            <w:r>
              <w:rPr>
                <w:rFonts w:hint="eastAsia"/>
                <w:kern w:val="2"/>
                <w:sz w:val="21"/>
                <w:szCs w:val="21"/>
              </w:rPr>
              <w:t>10</w:t>
            </w:r>
            <w:r>
              <w:rPr>
                <w:rFonts w:hint="eastAsia"/>
                <w:kern w:val="2"/>
                <w:sz w:val="21"/>
                <w:szCs w:val="21"/>
              </w:rPr>
              <w:t>座（</w:t>
            </w:r>
            <w:r>
              <w:rPr>
                <w:rFonts w:hint="eastAsia"/>
                <w:kern w:val="2"/>
                <w:sz w:val="21"/>
                <w:szCs w:val="21"/>
              </w:rPr>
              <w:t>8</w:t>
            </w:r>
            <w:r>
              <w:rPr>
                <w:rFonts w:hint="eastAsia"/>
                <w:kern w:val="2"/>
                <w:sz w:val="21"/>
                <w:szCs w:val="21"/>
              </w:rPr>
              <w:t>用</w:t>
            </w:r>
            <w:r>
              <w:rPr>
                <w:rFonts w:hint="eastAsia"/>
                <w:kern w:val="2"/>
                <w:sz w:val="21"/>
                <w:szCs w:val="21"/>
              </w:rPr>
              <w:t>2</w:t>
            </w:r>
            <w:r>
              <w:rPr>
                <w:rFonts w:hint="eastAsia"/>
                <w:kern w:val="2"/>
                <w:sz w:val="21"/>
                <w:szCs w:val="21"/>
              </w:rPr>
              <w:t>备）</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4F34C6EE" w14:textId="77777777" w:rsidR="003E78AB" w:rsidRDefault="00010BF9">
            <w:pPr>
              <w:spacing w:line="360" w:lineRule="exact"/>
              <w:ind w:firstLineChars="0" w:firstLine="0"/>
              <w:jc w:val="center"/>
              <w:rPr>
                <w:kern w:val="2"/>
                <w:sz w:val="21"/>
                <w:szCs w:val="21"/>
              </w:rPr>
            </w:pPr>
            <w:r>
              <w:rPr>
                <w:rFonts w:hint="eastAsia"/>
                <w:kern w:val="2"/>
                <w:sz w:val="21"/>
                <w:szCs w:val="21"/>
              </w:rPr>
              <w:t>80%</w:t>
            </w:r>
            <w:r>
              <w:rPr>
                <w:rFonts w:hint="eastAsia"/>
                <w:kern w:val="2"/>
                <w:sz w:val="21"/>
                <w:szCs w:val="21"/>
              </w:rPr>
              <w:t>存量，密度</w:t>
            </w:r>
            <w:r>
              <w:rPr>
                <w:rFonts w:hint="eastAsia"/>
                <w:kern w:val="2"/>
                <w:sz w:val="21"/>
                <w:szCs w:val="21"/>
              </w:rPr>
              <w:t>1.4g/cm</w:t>
            </w:r>
            <w:r>
              <w:rPr>
                <w:rFonts w:hint="eastAsia"/>
                <w:kern w:val="2"/>
                <w:sz w:val="21"/>
                <w:szCs w:val="21"/>
                <w:vertAlign w:val="superscript"/>
              </w:rPr>
              <w:t>3</w:t>
            </w:r>
            <w:r>
              <w:rPr>
                <w:rFonts w:hint="eastAsia"/>
                <w:kern w:val="2"/>
                <w:sz w:val="21"/>
                <w:szCs w:val="21"/>
              </w:rPr>
              <w:t>，钒含量根据物料平衡和钒平衡得出</w:t>
            </w:r>
          </w:p>
        </w:tc>
      </w:tr>
      <w:tr w:rsidR="003E78AB" w14:paraId="16BE9BCF" w14:textId="77777777">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3465F1C" w14:textId="77777777" w:rsidR="003E78AB" w:rsidRDefault="00010BF9">
            <w:pPr>
              <w:spacing w:line="360" w:lineRule="exact"/>
              <w:ind w:firstLineChars="0" w:firstLine="0"/>
              <w:jc w:val="center"/>
              <w:rPr>
                <w:kern w:val="2"/>
                <w:sz w:val="21"/>
                <w:szCs w:val="21"/>
              </w:rPr>
            </w:pPr>
            <w:r>
              <w:rPr>
                <w:rFonts w:hint="eastAsia"/>
                <w:kern w:val="2"/>
                <w:sz w:val="21"/>
                <w:szCs w:val="21"/>
              </w:rPr>
              <w:t>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0DBB67C0" w14:textId="77777777" w:rsidR="003E78AB" w:rsidRDefault="00010BF9">
            <w:pPr>
              <w:spacing w:line="360" w:lineRule="exact"/>
              <w:ind w:firstLineChars="0" w:firstLine="0"/>
              <w:jc w:val="center"/>
              <w:rPr>
                <w:kern w:val="2"/>
                <w:sz w:val="21"/>
                <w:szCs w:val="21"/>
              </w:rPr>
            </w:pPr>
            <w:r>
              <w:rPr>
                <w:rFonts w:hint="eastAsia"/>
                <w:kern w:val="2"/>
                <w:sz w:val="21"/>
                <w:szCs w:val="21"/>
              </w:rPr>
              <w:t>含钒结晶盐</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987FB87"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0C94E86" w14:textId="77777777" w:rsidR="003E78AB" w:rsidRDefault="00010BF9">
            <w:pPr>
              <w:spacing w:line="360" w:lineRule="exact"/>
              <w:ind w:firstLineChars="0" w:firstLine="0"/>
              <w:jc w:val="center"/>
              <w:rPr>
                <w:kern w:val="2"/>
                <w:sz w:val="21"/>
                <w:szCs w:val="21"/>
              </w:rPr>
            </w:pPr>
            <w:r>
              <w:rPr>
                <w:rFonts w:hint="eastAsia"/>
                <w:kern w:val="2"/>
                <w:sz w:val="21"/>
                <w:szCs w:val="21"/>
              </w:rPr>
              <w:t>60.21</w:t>
            </w:r>
            <w:r>
              <w:rPr>
                <w:rFonts w:hint="eastAsia"/>
                <w:kern w:val="2"/>
                <w:sz w:val="21"/>
                <w:szCs w:val="21"/>
              </w:rPr>
              <w:t>（含钒</w:t>
            </w:r>
            <w:r>
              <w:rPr>
                <w:rFonts w:hint="eastAsia"/>
                <w:kern w:val="2"/>
                <w:sz w:val="21"/>
                <w:szCs w:val="21"/>
              </w:rPr>
              <w:t>2.92kg</w:t>
            </w:r>
            <w:r>
              <w:rPr>
                <w:rFonts w:hint="eastAsia"/>
                <w:kern w:val="2"/>
                <w:sz w:val="21"/>
                <w:szCs w:val="21"/>
              </w:rPr>
              <w:t>）</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65D63468" w14:textId="77777777" w:rsidR="003E78AB" w:rsidRDefault="00010BF9">
            <w:pPr>
              <w:spacing w:line="360" w:lineRule="exact"/>
              <w:ind w:firstLineChars="0" w:firstLine="0"/>
              <w:jc w:val="center"/>
              <w:rPr>
                <w:kern w:val="2"/>
                <w:sz w:val="21"/>
                <w:szCs w:val="21"/>
              </w:rPr>
            </w:pPr>
            <w:r>
              <w:rPr>
                <w:rFonts w:hint="eastAsia"/>
                <w:kern w:val="2"/>
                <w:sz w:val="21"/>
                <w:szCs w:val="21"/>
              </w:rPr>
              <w:t>危险废物暂存间</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65A56FCB" w14:textId="77777777" w:rsidR="003E78AB" w:rsidRDefault="00010BF9">
            <w:pPr>
              <w:spacing w:line="360" w:lineRule="exact"/>
              <w:ind w:firstLineChars="0" w:firstLine="0"/>
              <w:jc w:val="center"/>
              <w:rPr>
                <w:kern w:val="2"/>
                <w:sz w:val="21"/>
                <w:szCs w:val="21"/>
              </w:rPr>
            </w:pPr>
            <w:r>
              <w:rPr>
                <w:rFonts w:hint="eastAsia"/>
                <w:kern w:val="2"/>
                <w:sz w:val="21"/>
                <w:szCs w:val="21"/>
              </w:rPr>
              <w:t>每年周转</w:t>
            </w:r>
            <w:r>
              <w:rPr>
                <w:rFonts w:hint="eastAsia"/>
                <w:kern w:val="2"/>
                <w:sz w:val="21"/>
                <w:szCs w:val="21"/>
              </w:rPr>
              <w:t>6</w:t>
            </w:r>
            <w:r>
              <w:rPr>
                <w:rFonts w:hint="eastAsia"/>
                <w:kern w:val="2"/>
                <w:sz w:val="21"/>
                <w:szCs w:val="21"/>
              </w:rPr>
              <w:t>次，钒含量</w:t>
            </w:r>
            <w:r>
              <w:rPr>
                <w:rFonts w:hint="eastAsia"/>
                <w:kern w:val="2"/>
                <w:sz w:val="21"/>
                <w:szCs w:val="21"/>
              </w:rPr>
              <w:t>0.0048%</w:t>
            </w:r>
          </w:p>
        </w:tc>
      </w:tr>
      <w:tr w:rsidR="003E78AB" w14:paraId="754DE746" w14:textId="77777777">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96C1E9B" w14:textId="77777777" w:rsidR="003E78AB" w:rsidRDefault="00010BF9">
            <w:pPr>
              <w:spacing w:line="360" w:lineRule="exact"/>
              <w:ind w:firstLineChars="0" w:firstLine="0"/>
              <w:jc w:val="center"/>
              <w:rPr>
                <w:kern w:val="2"/>
                <w:sz w:val="21"/>
                <w:szCs w:val="21"/>
              </w:rPr>
            </w:pPr>
            <w:r>
              <w:rPr>
                <w:rFonts w:hint="eastAsia"/>
                <w:kern w:val="2"/>
                <w:sz w:val="21"/>
                <w:szCs w:val="21"/>
              </w:rPr>
              <w:t>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3DEE1F2" w14:textId="77777777" w:rsidR="003E78AB" w:rsidRDefault="00010BF9">
            <w:pPr>
              <w:spacing w:line="360" w:lineRule="exact"/>
              <w:ind w:firstLineChars="0" w:firstLine="0"/>
              <w:jc w:val="center"/>
              <w:rPr>
                <w:kern w:val="2"/>
                <w:sz w:val="21"/>
                <w:szCs w:val="21"/>
              </w:rPr>
            </w:pPr>
            <w:r>
              <w:rPr>
                <w:rFonts w:hint="eastAsia"/>
                <w:kern w:val="2"/>
                <w:sz w:val="21"/>
                <w:szCs w:val="21"/>
              </w:rPr>
              <w:t>废润滑油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88EDF41"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C176806" w14:textId="77777777" w:rsidR="003E78AB" w:rsidRDefault="00010BF9">
            <w:pPr>
              <w:spacing w:line="360" w:lineRule="exact"/>
              <w:ind w:firstLineChars="0" w:firstLine="0"/>
              <w:jc w:val="center"/>
              <w:rPr>
                <w:kern w:val="2"/>
                <w:sz w:val="21"/>
                <w:szCs w:val="21"/>
              </w:rPr>
            </w:pPr>
            <w:r>
              <w:rPr>
                <w:rFonts w:hint="eastAsia"/>
                <w:kern w:val="2"/>
                <w:sz w:val="21"/>
                <w:szCs w:val="21"/>
              </w:rPr>
              <w:t>2</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58FE9CD9" w14:textId="77777777" w:rsidR="003E78AB" w:rsidRDefault="00010BF9">
            <w:pPr>
              <w:spacing w:line="360" w:lineRule="exact"/>
              <w:ind w:firstLineChars="0" w:firstLine="0"/>
              <w:jc w:val="center"/>
              <w:rPr>
                <w:kern w:val="2"/>
                <w:sz w:val="21"/>
                <w:szCs w:val="21"/>
              </w:rPr>
            </w:pPr>
            <w:r>
              <w:rPr>
                <w:rFonts w:hint="eastAsia"/>
                <w:kern w:val="2"/>
                <w:sz w:val="21"/>
                <w:szCs w:val="21"/>
              </w:rPr>
              <w:t>危险废物暂存间</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3AD4159C"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r>
      <w:tr w:rsidR="003E78AB" w14:paraId="0D93EBFD" w14:textId="77777777">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8AE4DF5" w14:textId="77777777" w:rsidR="003E78AB" w:rsidRDefault="00010BF9">
            <w:pPr>
              <w:spacing w:line="360" w:lineRule="exact"/>
              <w:ind w:firstLineChars="0" w:firstLine="0"/>
              <w:jc w:val="center"/>
              <w:rPr>
                <w:kern w:val="2"/>
                <w:sz w:val="21"/>
                <w:szCs w:val="21"/>
              </w:rPr>
            </w:pPr>
            <w:r>
              <w:rPr>
                <w:rFonts w:hint="eastAsia"/>
                <w:kern w:val="2"/>
                <w:sz w:val="21"/>
                <w:szCs w:val="21"/>
              </w:rPr>
              <w:t>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1F18EA3" w14:textId="77777777" w:rsidR="003E78AB" w:rsidRDefault="00010BF9">
            <w:pPr>
              <w:spacing w:line="360" w:lineRule="exact"/>
              <w:ind w:firstLineChars="0" w:firstLine="0"/>
              <w:jc w:val="center"/>
              <w:rPr>
                <w:kern w:val="2"/>
                <w:sz w:val="21"/>
                <w:szCs w:val="21"/>
              </w:rPr>
            </w:pPr>
            <w:r>
              <w:rPr>
                <w:rFonts w:hint="eastAsia"/>
                <w:kern w:val="2"/>
                <w:sz w:val="21"/>
                <w:szCs w:val="21"/>
              </w:rPr>
              <w:t>氢氧化钠</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AF9ECDE"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100B879" w14:textId="77777777" w:rsidR="003E78AB" w:rsidRDefault="00010BF9">
            <w:pPr>
              <w:spacing w:line="360" w:lineRule="exact"/>
              <w:ind w:firstLineChars="0" w:firstLine="0"/>
              <w:jc w:val="center"/>
              <w:rPr>
                <w:kern w:val="2"/>
                <w:sz w:val="21"/>
                <w:szCs w:val="21"/>
              </w:rPr>
            </w:pPr>
            <w:r>
              <w:rPr>
                <w:rFonts w:hint="eastAsia"/>
                <w:kern w:val="2"/>
                <w:sz w:val="21"/>
                <w:szCs w:val="21"/>
              </w:rPr>
              <w:t>10</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3B1B9CD" w14:textId="77777777" w:rsidR="003E78AB" w:rsidRDefault="00010BF9">
            <w:pPr>
              <w:spacing w:line="360" w:lineRule="exact"/>
              <w:ind w:firstLineChars="0" w:firstLine="0"/>
              <w:jc w:val="center"/>
              <w:rPr>
                <w:kern w:val="2"/>
                <w:sz w:val="21"/>
                <w:szCs w:val="21"/>
              </w:rPr>
            </w:pPr>
            <w:r>
              <w:rPr>
                <w:rFonts w:hint="eastAsia"/>
                <w:kern w:val="2"/>
                <w:sz w:val="21"/>
                <w:szCs w:val="21"/>
              </w:rPr>
              <w:t>丙类仓库</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543197A8" w14:textId="77777777" w:rsidR="003E78AB" w:rsidRDefault="00010BF9">
            <w:pPr>
              <w:spacing w:line="360" w:lineRule="exact"/>
              <w:ind w:firstLineChars="0" w:firstLine="0"/>
              <w:jc w:val="center"/>
              <w:rPr>
                <w:kern w:val="2"/>
                <w:sz w:val="21"/>
                <w:szCs w:val="21"/>
              </w:rPr>
            </w:pPr>
            <w:r>
              <w:rPr>
                <w:rFonts w:hint="eastAsia"/>
                <w:kern w:val="2"/>
                <w:sz w:val="21"/>
                <w:szCs w:val="21"/>
              </w:rPr>
              <w:t>周转天数</w:t>
            </w:r>
            <w:r>
              <w:rPr>
                <w:rFonts w:hint="eastAsia"/>
                <w:kern w:val="2"/>
                <w:sz w:val="21"/>
                <w:szCs w:val="21"/>
              </w:rPr>
              <w:t>15d</w:t>
            </w:r>
          </w:p>
        </w:tc>
      </w:tr>
      <w:tr w:rsidR="003E78AB" w14:paraId="34355F34"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D10839" w14:textId="77777777" w:rsidR="003E78AB" w:rsidRDefault="00010BF9">
            <w:pPr>
              <w:spacing w:line="360" w:lineRule="exact"/>
              <w:ind w:firstLineChars="0" w:firstLine="0"/>
              <w:rPr>
                <w:kern w:val="2"/>
                <w:sz w:val="21"/>
                <w:szCs w:val="21"/>
              </w:rPr>
            </w:pPr>
            <w:r>
              <w:rPr>
                <w:rFonts w:hint="eastAsia"/>
                <w:b/>
                <w:bCs/>
                <w:kern w:val="2"/>
                <w:sz w:val="21"/>
                <w:szCs w:val="21"/>
                <w:u w:val="single"/>
              </w:rPr>
              <w:t>注：最大储存量按周转天数估算；原料和产品的在线量按料仓或计量罐溶剂估算；天然气在线量按管道长度估算。</w:t>
            </w:r>
          </w:p>
        </w:tc>
      </w:tr>
    </w:tbl>
    <w:p w14:paraId="7E922853" w14:textId="77777777" w:rsidR="003E78AB" w:rsidRDefault="00010BF9">
      <w:pPr>
        <w:pStyle w:val="5"/>
        <w:keepNext w:val="0"/>
        <w:keepLines w:val="0"/>
        <w:ind w:firstLine="482"/>
        <w:rPr>
          <w:sz w:val="24"/>
        </w:rPr>
      </w:pPr>
      <w:r>
        <w:rPr>
          <w:rFonts w:hint="eastAsia"/>
          <w:sz w:val="24"/>
        </w:rPr>
        <w:t>2.</w:t>
      </w:r>
      <w:r>
        <w:rPr>
          <w:sz w:val="24"/>
        </w:rPr>
        <w:t>生产工艺特点调查</w:t>
      </w:r>
    </w:p>
    <w:p w14:paraId="48220192" w14:textId="77777777" w:rsidR="003E78AB" w:rsidRDefault="00010BF9">
      <w:pPr>
        <w:ind w:firstLine="480"/>
        <w:rPr>
          <w:kern w:val="2"/>
        </w:rPr>
      </w:pPr>
      <w:r>
        <w:rPr>
          <w:kern w:val="2"/>
        </w:rPr>
        <w:t>生产工艺特点调查指本项目在生产过程中是否存在高温（工艺温度</w:t>
      </w:r>
      <w:r>
        <w:rPr>
          <w:kern w:val="2"/>
        </w:rPr>
        <w:t>≥300℃</w:t>
      </w:r>
      <w:r>
        <w:rPr>
          <w:kern w:val="2"/>
        </w:rPr>
        <w:t>）、高压（压力容器设计压力</w:t>
      </w:r>
      <w:r>
        <w:rPr>
          <w:kern w:val="2"/>
        </w:rPr>
        <w:t>≥10.0MPa</w:t>
      </w:r>
      <w:r>
        <w:rPr>
          <w:kern w:val="2"/>
        </w:rPr>
        <w:t>）、危险工艺及涉及危险物质的工艺过程。根据工程分析内容，项目工艺温度</w:t>
      </w:r>
      <w:r>
        <w:rPr>
          <w:rFonts w:hint="eastAsia"/>
          <w:kern w:val="2"/>
        </w:rPr>
        <w:t>控制在</w:t>
      </w:r>
      <w:r>
        <w:rPr>
          <w:rFonts w:hint="eastAsia"/>
          <w:kern w:val="2"/>
        </w:rPr>
        <w:t>70~80</w:t>
      </w:r>
      <w:r>
        <w:rPr>
          <w:kern w:val="2"/>
        </w:rPr>
        <w:t>℃</w:t>
      </w:r>
      <w:r>
        <w:rPr>
          <w:kern w:val="2"/>
        </w:rPr>
        <w:t>，容器多为常压及微负压操作，不涉及高温高压生产过程。</w:t>
      </w:r>
    </w:p>
    <w:p w14:paraId="5BA31CF9"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.2.2</w:t>
      </w:r>
      <w:r>
        <w:rPr>
          <w:rFonts w:cs="Times New Roman"/>
          <w:sz w:val="28"/>
          <w:szCs w:val="28"/>
        </w:rPr>
        <w:t>环境敏感目标调查</w:t>
      </w:r>
    </w:p>
    <w:p w14:paraId="1B9B5B9E" w14:textId="77777777" w:rsidR="003E78AB" w:rsidRDefault="00010BF9">
      <w:pPr>
        <w:ind w:firstLine="480"/>
        <w:rPr>
          <w:kern w:val="2"/>
        </w:rPr>
      </w:pPr>
      <w:r>
        <w:rPr>
          <w:kern w:val="2"/>
        </w:rPr>
        <w:t>依据本项目确定的环境风险评价等级和评价范围，对建设区域</w:t>
      </w:r>
      <w:r>
        <w:rPr>
          <w:kern w:val="2"/>
        </w:rPr>
        <w:t>5km</w:t>
      </w:r>
      <w:r>
        <w:rPr>
          <w:kern w:val="2"/>
        </w:rPr>
        <w:t>范围内的环境敏感点的情况统计详见</w:t>
      </w:r>
      <w:r>
        <w:rPr>
          <w:kern w:val="2"/>
        </w:rPr>
        <w:fldChar w:fldCharType="begin"/>
      </w:r>
      <w:r>
        <w:rPr>
          <w:kern w:val="2"/>
        </w:rPr>
        <w:instrText xml:space="preserve"> REF _Ref22150 \r \h </w:instrText>
      </w:r>
      <w:r>
        <w:rPr>
          <w:kern w:val="2"/>
        </w:rPr>
      </w:r>
      <w:r>
        <w:rPr>
          <w:kern w:val="2"/>
        </w:rPr>
        <w:fldChar w:fldCharType="separate"/>
      </w:r>
      <w:r>
        <w:rPr>
          <w:kern w:val="2"/>
        </w:rPr>
        <w:t>表</w:t>
      </w:r>
      <w:r>
        <w:rPr>
          <w:kern w:val="2"/>
        </w:rPr>
        <w:t>6-2</w:t>
      </w:r>
      <w:r>
        <w:rPr>
          <w:kern w:val="2"/>
        </w:rPr>
        <w:fldChar w:fldCharType="end"/>
      </w:r>
      <w:r>
        <w:rPr>
          <w:kern w:val="2"/>
        </w:rPr>
        <w:t>。</w:t>
      </w:r>
    </w:p>
    <w:p w14:paraId="32168A1A" w14:textId="77777777" w:rsidR="003E78AB" w:rsidRDefault="00010BF9">
      <w:pPr>
        <w:pStyle w:val="a"/>
        <w:spacing w:before="120"/>
        <w:ind w:left="425" w:hanging="425"/>
      </w:pPr>
      <w:bookmarkStart w:id="420" w:name="_Ref22150"/>
      <w:r>
        <w:t>调查范围环境敏感目标一览表</w:t>
      </w:r>
      <w:bookmarkEnd w:id="42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913"/>
        <w:gridCol w:w="1778"/>
        <w:gridCol w:w="1126"/>
        <w:gridCol w:w="1212"/>
        <w:gridCol w:w="1332"/>
        <w:gridCol w:w="1216"/>
      </w:tblGrid>
      <w:tr w:rsidR="003E78AB" w14:paraId="0FFA11F2" w14:textId="77777777">
        <w:trPr>
          <w:cantSplit/>
          <w:trHeight w:val="340"/>
          <w:tblHeader/>
          <w:jc w:val="center"/>
        </w:trPr>
        <w:tc>
          <w:tcPr>
            <w:tcW w:w="550" w:type="pct"/>
            <w:vAlign w:val="center"/>
          </w:tcPr>
          <w:p w14:paraId="25BCC8C9" w14:textId="77777777" w:rsidR="003E78AB" w:rsidRDefault="00010BF9">
            <w:pPr>
              <w:pStyle w:val="aff6"/>
              <w:topLinePunct/>
              <w:rPr>
                <w:b/>
                <w:bCs/>
              </w:rPr>
            </w:pPr>
            <w:r>
              <w:rPr>
                <w:b/>
                <w:bCs/>
              </w:rPr>
              <w:t>类别</w:t>
            </w:r>
          </w:p>
        </w:tc>
        <w:tc>
          <w:tcPr>
            <w:tcW w:w="4449" w:type="pct"/>
            <w:gridSpan w:val="6"/>
            <w:vAlign w:val="center"/>
          </w:tcPr>
          <w:p w14:paraId="566F897B" w14:textId="77777777" w:rsidR="003E78AB" w:rsidRDefault="00010BF9">
            <w:pPr>
              <w:pStyle w:val="aff6"/>
              <w:topLinePunct/>
              <w:rPr>
                <w:b/>
                <w:bCs/>
              </w:rPr>
            </w:pPr>
            <w:r>
              <w:rPr>
                <w:b/>
                <w:bCs/>
              </w:rPr>
              <w:t>环境敏感特征</w:t>
            </w:r>
          </w:p>
        </w:tc>
      </w:tr>
      <w:tr w:rsidR="003E78AB" w14:paraId="51BBE5DE" w14:textId="77777777">
        <w:trPr>
          <w:cantSplit/>
          <w:trHeight w:val="340"/>
          <w:jc w:val="center"/>
        </w:trPr>
        <w:tc>
          <w:tcPr>
            <w:tcW w:w="550" w:type="pct"/>
            <w:vMerge w:val="restart"/>
            <w:vAlign w:val="center"/>
          </w:tcPr>
          <w:p w14:paraId="078F37BA" w14:textId="77777777" w:rsidR="003E78AB" w:rsidRDefault="00010BF9">
            <w:pPr>
              <w:pStyle w:val="aff6"/>
              <w:topLinePunct/>
            </w:pPr>
            <w:r>
              <w:t>环境</w:t>
            </w:r>
          </w:p>
          <w:p w14:paraId="1C5980A3" w14:textId="77777777" w:rsidR="003E78AB" w:rsidRDefault="00010BF9">
            <w:pPr>
              <w:pStyle w:val="aff6"/>
              <w:topLinePunct/>
            </w:pPr>
            <w:r>
              <w:t>空气</w:t>
            </w:r>
          </w:p>
        </w:tc>
        <w:tc>
          <w:tcPr>
            <w:tcW w:w="4449" w:type="pct"/>
            <w:gridSpan w:val="6"/>
            <w:vAlign w:val="center"/>
          </w:tcPr>
          <w:p w14:paraId="30A8AB2F" w14:textId="77777777" w:rsidR="003E78AB" w:rsidRDefault="00010BF9">
            <w:pPr>
              <w:pStyle w:val="aff6"/>
              <w:topLinePunct/>
            </w:pPr>
            <w:r>
              <w:t>厂址周边</w:t>
            </w:r>
            <w:r>
              <w:t>5km</w:t>
            </w:r>
            <w:r>
              <w:t>范围内</w:t>
            </w:r>
          </w:p>
        </w:tc>
      </w:tr>
      <w:tr w:rsidR="003E78AB" w14:paraId="032481E0" w14:textId="77777777">
        <w:trPr>
          <w:cantSplit/>
          <w:trHeight w:val="340"/>
          <w:jc w:val="center"/>
        </w:trPr>
        <w:tc>
          <w:tcPr>
            <w:tcW w:w="550" w:type="pct"/>
            <w:vMerge/>
            <w:vAlign w:val="center"/>
          </w:tcPr>
          <w:p w14:paraId="306E4D8A" w14:textId="77777777" w:rsidR="003E78AB" w:rsidRDefault="003E78AB">
            <w:pPr>
              <w:pStyle w:val="aff6"/>
              <w:topLinePunct/>
            </w:pPr>
          </w:p>
        </w:tc>
        <w:tc>
          <w:tcPr>
            <w:tcW w:w="536" w:type="pct"/>
            <w:vAlign w:val="center"/>
          </w:tcPr>
          <w:p w14:paraId="12A18373" w14:textId="77777777" w:rsidR="003E78AB" w:rsidRDefault="00010BF9">
            <w:pPr>
              <w:pStyle w:val="aff6"/>
              <w:topLinePunct/>
            </w:pPr>
            <w:r>
              <w:t>序号</w:t>
            </w:r>
          </w:p>
        </w:tc>
        <w:tc>
          <w:tcPr>
            <w:tcW w:w="1044" w:type="pct"/>
            <w:vAlign w:val="center"/>
          </w:tcPr>
          <w:p w14:paraId="593C7DDC" w14:textId="77777777" w:rsidR="003E78AB" w:rsidRDefault="00010BF9">
            <w:pPr>
              <w:pStyle w:val="aff6"/>
              <w:topLinePunct/>
            </w:pPr>
            <w:r>
              <w:t>敏感目标名称</w:t>
            </w:r>
          </w:p>
        </w:tc>
        <w:tc>
          <w:tcPr>
            <w:tcW w:w="661" w:type="pct"/>
            <w:vAlign w:val="center"/>
          </w:tcPr>
          <w:p w14:paraId="00B54BC6" w14:textId="77777777" w:rsidR="003E78AB" w:rsidRDefault="00010BF9">
            <w:pPr>
              <w:pStyle w:val="aff6"/>
              <w:topLinePunct/>
            </w:pPr>
            <w:r>
              <w:t>相对方位</w:t>
            </w:r>
          </w:p>
        </w:tc>
        <w:tc>
          <w:tcPr>
            <w:tcW w:w="711" w:type="pct"/>
            <w:vAlign w:val="center"/>
          </w:tcPr>
          <w:p w14:paraId="46289F28" w14:textId="77777777" w:rsidR="003E78AB" w:rsidRDefault="00010BF9">
            <w:pPr>
              <w:pStyle w:val="aff6"/>
              <w:topLinePunct/>
            </w:pPr>
            <w:r>
              <w:t>距离</w:t>
            </w:r>
            <w:r>
              <w:t>/km</w:t>
            </w:r>
          </w:p>
        </w:tc>
        <w:tc>
          <w:tcPr>
            <w:tcW w:w="782" w:type="pct"/>
            <w:vAlign w:val="center"/>
          </w:tcPr>
          <w:p w14:paraId="1F6E8C2A" w14:textId="77777777" w:rsidR="003E78AB" w:rsidRDefault="00010BF9">
            <w:pPr>
              <w:pStyle w:val="aff6"/>
              <w:topLinePunct/>
            </w:pPr>
            <w:r>
              <w:t>属性</w:t>
            </w:r>
          </w:p>
        </w:tc>
        <w:tc>
          <w:tcPr>
            <w:tcW w:w="714" w:type="pct"/>
            <w:vAlign w:val="center"/>
          </w:tcPr>
          <w:p w14:paraId="6F03E2E6" w14:textId="77777777" w:rsidR="003E78AB" w:rsidRDefault="00010BF9">
            <w:pPr>
              <w:pStyle w:val="aff6"/>
              <w:topLinePunct/>
            </w:pPr>
            <w:r>
              <w:t>人口数</w:t>
            </w:r>
          </w:p>
        </w:tc>
      </w:tr>
      <w:tr w:rsidR="003E78AB" w14:paraId="5E3BBB7E" w14:textId="77777777">
        <w:trPr>
          <w:cantSplit/>
          <w:trHeight w:val="340"/>
          <w:jc w:val="center"/>
        </w:trPr>
        <w:tc>
          <w:tcPr>
            <w:tcW w:w="550" w:type="pct"/>
            <w:vMerge/>
            <w:vAlign w:val="center"/>
          </w:tcPr>
          <w:p w14:paraId="2A972CA4" w14:textId="77777777" w:rsidR="003E78AB" w:rsidRDefault="003E78AB">
            <w:pPr>
              <w:pStyle w:val="aff6"/>
              <w:topLinePunct/>
            </w:pPr>
          </w:p>
        </w:tc>
        <w:tc>
          <w:tcPr>
            <w:tcW w:w="536" w:type="pct"/>
            <w:vAlign w:val="center"/>
          </w:tcPr>
          <w:p w14:paraId="04986740" w14:textId="77777777" w:rsidR="003E78AB" w:rsidRDefault="00010BF9">
            <w:pPr>
              <w:pStyle w:val="aff6"/>
              <w:topLinePunct/>
              <w:rPr>
                <w:b/>
                <w:bCs/>
                <w:u w:val="single"/>
              </w:rPr>
            </w:pPr>
            <w:r>
              <w:rPr>
                <w:b/>
                <w:bCs/>
                <w:u w:val="single"/>
              </w:rPr>
              <w:t>1</w:t>
            </w:r>
          </w:p>
        </w:tc>
        <w:tc>
          <w:tcPr>
            <w:tcW w:w="1044" w:type="pct"/>
            <w:shd w:val="clear" w:color="auto" w:fill="auto"/>
            <w:vAlign w:val="center"/>
          </w:tcPr>
          <w:p w14:paraId="65BDBA4B" w14:textId="77777777" w:rsidR="003E78AB" w:rsidRDefault="00010BF9">
            <w:pPr>
              <w:pStyle w:val="aff6"/>
              <w:topLinePunct/>
              <w:rPr>
                <w:b/>
                <w:bCs/>
                <w:u w:val="single"/>
                <w:lang w:val="zh-CN"/>
              </w:rPr>
            </w:pPr>
            <w:r>
              <w:rPr>
                <w:b/>
                <w:bCs/>
                <w:u w:val="single"/>
              </w:rPr>
              <w:t>白土庄子</w:t>
            </w:r>
          </w:p>
        </w:tc>
        <w:tc>
          <w:tcPr>
            <w:tcW w:w="661" w:type="pct"/>
            <w:shd w:val="clear" w:color="auto" w:fill="auto"/>
            <w:vAlign w:val="center"/>
          </w:tcPr>
          <w:p w14:paraId="3AA0CA5B" w14:textId="77777777" w:rsidR="003E78AB" w:rsidRDefault="00010BF9">
            <w:pPr>
              <w:pStyle w:val="aff6"/>
              <w:topLinePunct/>
              <w:rPr>
                <w:b/>
                <w:bCs/>
                <w:u w:val="single"/>
              </w:rPr>
            </w:pPr>
            <w:r>
              <w:rPr>
                <w:rFonts w:hint="eastAsia"/>
                <w:b/>
                <w:bCs/>
                <w:u w:val="single"/>
              </w:rPr>
              <w:t>NE</w:t>
            </w:r>
          </w:p>
        </w:tc>
        <w:tc>
          <w:tcPr>
            <w:tcW w:w="711" w:type="pct"/>
            <w:shd w:val="clear" w:color="auto" w:fill="auto"/>
            <w:vAlign w:val="center"/>
          </w:tcPr>
          <w:p w14:paraId="457FC93E" w14:textId="77777777" w:rsidR="003E78AB" w:rsidRDefault="00010BF9">
            <w:pPr>
              <w:pStyle w:val="aff6"/>
              <w:topLinePunct/>
              <w:rPr>
                <w:b/>
                <w:bCs/>
                <w:u w:val="single"/>
              </w:rPr>
            </w:pPr>
            <w:r>
              <w:rPr>
                <w:rFonts w:hint="eastAsia"/>
                <w:b/>
                <w:bCs/>
                <w:u w:val="single"/>
              </w:rPr>
              <w:t>4.7</w:t>
            </w:r>
          </w:p>
        </w:tc>
        <w:tc>
          <w:tcPr>
            <w:tcW w:w="782" w:type="pct"/>
            <w:shd w:val="clear" w:color="auto" w:fill="auto"/>
            <w:vAlign w:val="center"/>
          </w:tcPr>
          <w:p w14:paraId="5258349A" w14:textId="77777777" w:rsidR="003E78AB" w:rsidRDefault="00010BF9">
            <w:pPr>
              <w:pStyle w:val="aff6"/>
              <w:topLinePunct/>
              <w:rPr>
                <w:b/>
                <w:bCs/>
                <w:u w:val="single"/>
                <w:lang w:val="zh-CN"/>
              </w:rPr>
            </w:pPr>
            <w:r>
              <w:rPr>
                <w:b/>
                <w:bCs/>
                <w:u w:val="single"/>
              </w:rPr>
              <w:t>集中居住区</w:t>
            </w:r>
          </w:p>
        </w:tc>
        <w:tc>
          <w:tcPr>
            <w:tcW w:w="714" w:type="pct"/>
            <w:shd w:val="clear" w:color="auto" w:fill="auto"/>
            <w:vAlign w:val="center"/>
          </w:tcPr>
          <w:p w14:paraId="1CE6D310" w14:textId="77777777" w:rsidR="003E78AB" w:rsidRDefault="00010BF9">
            <w:pPr>
              <w:pStyle w:val="aff6"/>
              <w:topLinePunct/>
              <w:rPr>
                <w:b/>
                <w:bCs/>
                <w:u w:val="single"/>
              </w:rPr>
            </w:pPr>
            <w:r>
              <w:rPr>
                <w:b/>
                <w:bCs/>
                <w:u w:val="single"/>
              </w:rPr>
              <w:t>2400</w:t>
            </w:r>
          </w:p>
        </w:tc>
      </w:tr>
      <w:tr w:rsidR="003E78AB" w14:paraId="57AA001B" w14:textId="77777777">
        <w:trPr>
          <w:cantSplit/>
          <w:trHeight w:val="90"/>
          <w:jc w:val="center"/>
        </w:trPr>
        <w:tc>
          <w:tcPr>
            <w:tcW w:w="550" w:type="pct"/>
            <w:vMerge/>
            <w:vAlign w:val="center"/>
          </w:tcPr>
          <w:p w14:paraId="3494B0D5" w14:textId="77777777" w:rsidR="003E78AB" w:rsidRDefault="003E78AB">
            <w:pPr>
              <w:pStyle w:val="aff6"/>
              <w:topLinePunct/>
            </w:pPr>
          </w:p>
        </w:tc>
        <w:tc>
          <w:tcPr>
            <w:tcW w:w="536" w:type="pct"/>
            <w:vAlign w:val="center"/>
          </w:tcPr>
          <w:p w14:paraId="4750AFF9" w14:textId="77777777" w:rsidR="003E78AB" w:rsidRDefault="00010BF9">
            <w:pPr>
              <w:pStyle w:val="aff6"/>
              <w:topLinePunct/>
              <w:rPr>
                <w:b/>
                <w:bCs/>
                <w:u w:val="single"/>
              </w:rPr>
            </w:pPr>
            <w:r>
              <w:rPr>
                <w:rFonts w:hint="eastAsia"/>
                <w:b/>
                <w:bCs/>
                <w:u w:val="single"/>
              </w:rPr>
              <w:t>2</w:t>
            </w:r>
          </w:p>
        </w:tc>
        <w:tc>
          <w:tcPr>
            <w:tcW w:w="1044" w:type="pct"/>
            <w:vAlign w:val="center"/>
          </w:tcPr>
          <w:p w14:paraId="7D7BC011" w14:textId="77777777" w:rsidR="003E78AB" w:rsidRDefault="00010BF9">
            <w:pPr>
              <w:pStyle w:val="aff6"/>
              <w:topLinePunct/>
              <w:rPr>
                <w:b/>
                <w:bCs/>
                <w:u w:val="single"/>
              </w:rPr>
            </w:pPr>
            <w:r>
              <w:rPr>
                <w:rFonts w:hint="eastAsia"/>
                <w:b/>
                <w:bCs/>
                <w:u w:val="single"/>
              </w:rPr>
              <w:t>杜什吐尔村</w:t>
            </w:r>
          </w:p>
        </w:tc>
        <w:tc>
          <w:tcPr>
            <w:tcW w:w="661" w:type="pct"/>
            <w:vAlign w:val="center"/>
          </w:tcPr>
          <w:p w14:paraId="0F843980" w14:textId="77777777" w:rsidR="003E78AB" w:rsidRDefault="00010BF9">
            <w:pPr>
              <w:pStyle w:val="aff6"/>
              <w:topLinePunct/>
              <w:rPr>
                <w:b/>
                <w:bCs/>
                <w:u w:val="single"/>
              </w:rPr>
            </w:pPr>
            <w:r>
              <w:rPr>
                <w:rFonts w:hint="eastAsia"/>
                <w:b/>
                <w:bCs/>
                <w:u w:val="single"/>
              </w:rPr>
              <w:t>ENE</w:t>
            </w:r>
          </w:p>
        </w:tc>
        <w:tc>
          <w:tcPr>
            <w:tcW w:w="711" w:type="pct"/>
            <w:vAlign w:val="center"/>
          </w:tcPr>
          <w:p w14:paraId="5E9E9793" w14:textId="77777777" w:rsidR="003E78AB" w:rsidRDefault="00010BF9">
            <w:pPr>
              <w:pStyle w:val="aff6"/>
              <w:topLinePunct/>
              <w:rPr>
                <w:b/>
                <w:bCs/>
                <w:u w:val="single"/>
              </w:rPr>
            </w:pPr>
            <w:r>
              <w:rPr>
                <w:rFonts w:hint="eastAsia"/>
                <w:b/>
                <w:bCs/>
                <w:u w:val="single"/>
              </w:rPr>
              <w:t>4.6</w:t>
            </w:r>
          </w:p>
        </w:tc>
        <w:tc>
          <w:tcPr>
            <w:tcW w:w="782" w:type="pct"/>
            <w:vAlign w:val="center"/>
          </w:tcPr>
          <w:p w14:paraId="0529C576" w14:textId="77777777" w:rsidR="003E78AB" w:rsidRDefault="00010BF9">
            <w:pPr>
              <w:pStyle w:val="aff6"/>
              <w:topLinePunct/>
              <w:rPr>
                <w:b/>
                <w:bCs/>
                <w:u w:val="single"/>
              </w:rPr>
            </w:pPr>
            <w:r>
              <w:rPr>
                <w:b/>
                <w:bCs/>
                <w:u w:val="single"/>
              </w:rPr>
              <w:t>集中居住区</w:t>
            </w:r>
          </w:p>
        </w:tc>
        <w:tc>
          <w:tcPr>
            <w:tcW w:w="714" w:type="pct"/>
            <w:vAlign w:val="center"/>
          </w:tcPr>
          <w:p w14:paraId="2E88F84A" w14:textId="77777777" w:rsidR="003E78AB" w:rsidRDefault="00010BF9">
            <w:pPr>
              <w:pStyle w:val="aff6"/>
              <w:topLinePunct/>
              <w:rPr>
                <w:b/>
                <w:bCs/>
                <w:u w:val="single"/>
              </w:rPr>
            </w:pPr>
            <w:r>
              <w:rPr>
                <w:rFonts w:hint="eastAsia"/>
                <w:b/>
                <w:bCs/>
                <w:u w:val="single"/>
              </w:rPr>
              <w:t>898</w:t>
            </w:r>
          </w:p>
        </w:tc>
      </w:tr>
      <w:tr w:rsidR="003E78AB" w14:paraId="733287E9" w14:textId="77777777">
        <w:trPr>
          <w:cantSplit/>
          <w:trHeight w:val="340"/>
          <w:jc w:val="center"/>
        </w:trPr>
        <w:tc>
          <w:tcPr>
            <w:tcW w:w="550" w:type="pct"/>
            <w:vMerge/>
            <w:vAlign w:val="center"/>
          </w:tcPr>
          <w:p w14:paraId="2FD2E1C1" w14:textId="77777777" w:rsidR="003E78AB" w:rsidRDefault="003E78AB">
            <w:pPr>
              <w:pStyle w:val="aff6"/>
              <w:topLinePunct/>
            </w:pPr>
          </w:p>
        </w:tc>
        <w:tc>
          <w:tcPr>
            <w:tcW w:w="536" w:type="pct"/>
            <w:vAlign w:val="center"/>
          </w:tcPr>
          <w:p w14:paraId="482B69B4" w14:textId="77777777" w:rsidR="003E78AB" w:rsidRDefault="00010BF9">
            <w:pPr>
              <w:pStyle w:val="aff6"/>
              <w:topLinePunct/>
              <w:rPr>
                <w:b/>
                <w:bCs/>
                <w:u w:val="single"/>
              </w:rPr>
            </w:pPr>
            <w:r>
              <w:rPr>
                <w:rFonts w:hint="eastAsia"/>
                <w:b/>
                <w:bCs/>
                <w:u w:val="single"/>
              </w:rPr>
              <w:t>3</w:t>
            </w:r>
          </w:p>
        </w:tc>
        <w:tc>
          <w:tcPr>
            <w:tcW w:w="1044" w:type="pct"/>
            <w:shd w:val="clear" w:color="auto" w:fill="auto"/>
          </w:tcPr>
          <w:p w14:paraId="4482E7E5" w14:textId="77777777" w:rsidR="003E78AB" w:rsidRDefault="00010BF9">
            <w:pPr>
              <w:pStyle w:val="aff6"/>
              <w:topLinePunct/>
              <w:rPr>
                <w:b/>
                <w:bCs/>
                <w:u w:val="single"/>
              </w:rPr>
            </w:pPr>
            <w:r>
              <w:rPr>
                <w:rFonts w:hint="eastAsia"/>
                <w:b/>
                <w:bCs/>
                <w:u w:val="single"/>
              </w:rPr>
              <w:t>奥依曼吐尔</w:t>
            </w:r>
          </w:p>
        </w:tc>
        <w:tc>
          <w:tcPr>
            <w:tcW w:w="661" w:type="pct"/>
            <w:vAlign w:val="center"/>
          </w:tcPr>
          <w:p w14:paraId="6D071D4C" w14:textId="77777777" w:rsidR="003E78AB" w:rsidRDefault="00010BF9">
            <w:pPr>
              <w:pStyle w:val="aff6"/>
              <w:topLinePunct/>
              <w:rPr>
                <w:b/>
                <w:bCs/>
                <w:u w:val="single"/>
              </w:rPr>
            </w:pPr>
            <w:r>
              <w:rPr>
                <w:rFonts w:hint="eastAsia"/>
                <w:b/>
                <w:bCs/>
                <w:u w:val="single"/>
              </w:rPr>
              <w:t>ENE</w:t>
            </w:r>
          </w:p>
        </w:tc>
        <w:tc>
          <w:tcPr>
            <w:tcW w:w="711" w:type="pct"/>
            <w:vAlign w:val="center"/>
          </w:tcPr>
          <w:p w14:paraId="44FBD609" w14:textId="77777777" w:rsidR="003E78AB" w:rsidRDefault="00010BF9">
            <w:pPr>
              <w:pStyle w:val="aff6"/>
              <w:topLinePunct/>
              <w:rPr>
                <w:b/>
                <w:bCs/>
                <w:u w:val="single"/>
              </w:rPr>
            </w:pPr>
            <w:r>
              <w:rPr>
                <w:rFonts w:hint="eastAsia"/>
                <w:b/>
                <w:bCs/>
                <w:u w:val="single"/>
              </w:rPr>
              <w:t>4.1</w:t>
            </w:r>
          </w:p>
        </w:tc>
        <w:tc>
          <w:tcPr>
            <w:tcW w:w="782" w:type="pct"/>
            <w:vAlign w:val="center"/>
          </w:tcPr>
          <w:p w14:paraId="0C4EE0A1" w14:textId="77777777" w:rsidR="003E78AB" w:rsidRDefault="00010BF9">
            <w:pPr>
              <w:pStyle w:val="aff6"/>
              <w:topLinePunct/>
              <w:rPr>
                <w:b/>
                <w:bCs/>
                <w:u w:val="single"/>
              </w:rPr>
            </w:pPr>
            <w:r>
              <w:rPr>
                <w:b/>
                <w:bCs/>
                <w:u w:val="single"/>
              </w:rPr>
              <w:t>集中居住区</w:t>
            </w:r>
          </w:p>
        </w:tc>
        <w:tc>
          <w:tcPr>
            <w:tcW w:w="714" w:type="pct"/>
            <w:vAlign w:val="center"/>
          </w:tcPr>
          <w:p w14:paraId="490C2D4C" w14:textId="77777777" w:rsidR="003E78AB" w:rsidRDefault="00010BF9">
            <w:pPr>
              <w:pStyle w:val="aff6"/>
              <w:topLinePunct/>
              <w:rPr>
                <w:b/>
                <w:bCs/>
                <w:u w:val="single"/>
              </w:rPr>
            </w:pPr>
            <w:r>
              <w:rPr>
                <w:rFonts w:hint="eastAsia"/>
                <w:b/>
                <w:bCs/>
                <w:u w:val="single"/>
              </w:rPr>
              <w:t>1300</w:t>
            </w:r>
          </w:p>
        </w:tc>
      </w:tr>
      <w:tr w:rsidR="003E78AB" w14:paraId="04DCD227" w14:textId="77777777">
        <w:trPr>
          <w:cantSplit/>
          <w:trHeight w:val="300"/>
          <w:jc w:val="center"/>
        </w:trPr>
        <w:tc>
          <w:tcPr>
            <w:tcW w:w="550" w:type="pct"/>
            <w:vMerge/>
            <w:vAlign w:val="center"/>
          </w:tcPr>
          <w:p w14:paraId="7494E489" w14:textId="77777777" w:rsidR="003E78AB" w:rsidRDefault="003E78AB">
            <w:pPr>
              <w:pStyle w:val="aff6"/>
              <w:topLinePunct/>
            </w:pPr>
          </w:p>
        </w:tc>
        <w:tc>
          <w:tcPr>
            <w:tcW w:w="536" w:type="pct"/>
            <w:vAlign w:val="center"/>
          </w:tcPr>
          <w:p w14:paraId="0F105562" w14:textId="77777777" w:rsidR="003E78AB" w:rsidRDefault="00010BF9">
            <w:pPr>
              <w:pStyle w:val="aff6"/>
              <w:topLinePunct/>
              <w:rPr>
                <w:b/>
                <w:bCs/>
                <w:u w:val="single"/>
              </w:rPr>
            </w:pPr>
            <w:r>
              <w:rPr>
                <w:rFonts w:hint="eastAsia"/>
                <w:b/>
                <w:bCs/>
                <w:u w:val="single"/>
              </w:rPr>
              <w:t>4</w:t>
            </w:r>
          </w:p>
        </w:tc>
        <w:tc>
          <w:tcPr>
            <w:tcW w:w="1044" w:type="pct"/>
            <w:shd w:val="clear" w:color="auto" w:fill="auto"/>
            <w:vAlign w:val="center"/>
          </w:tcPr>
          <w:p w14:paraId="00A83C97" w14:textId="77777777" w:rsidR="003E78AB" w:rsidRDefault="00010BF9">
            <w:pPr>
              <w:pStyle w:val="aff6"/>
              <w:topLinePunct/>
              <w:rPr>
                <w:b/>
                <w:bCs/>
                <w:u w:val="single"/>
              </w:rPr>
            </w:pPr>
            <w:r>
              <w:rPr>
                <w:b/>
                <w:bCs/>
                <w:u w:val="single"/>
              </w:rPr>
              <w:t>库木吐尔</w:t>
            </w:r>
          </w:p>
        </w:tc>
        <w:tc>
          <w:tcPr>
            <w:tcW w:w="661" w:type="pct"/>
            <w:shd w:val="clear" w:color="auto" w:fill="auto"/>
            <w:vAlign w:val="center"/>
          </w:tcPr>
          <w:p w14:paraId="512911DF" w14:textId="77777777" w:rsidR="003E78AB" w:rsidRDefault="00010BF9">
            <w:pPr>
              <w:pStyle w:val="aff6"/>
              <w:topLinePunct/>
              <w:rPr>
                <w:b/>
                <w:bCs/>
                <w:u w:val="single"/>
              </w:rPr>
            </w:pPr>
            <w:r>
              <w:rPr>
                <w:rFonts w:hint="eastAsia"/>
                <w:b/>
                <w:bCs/>
                <w:u w:val="single"/>
              </w:rPr>
              <w:t>ENE</w:t>
            </w:r>
          </w:p>
        </w:tc>
        <w:tc>
          <w:tcPr>
            <w:tcW w:w="711" w:type="pct"/>
            <w:shd w:val="clear" w:color="auto" w:fill="auto"/>
            <w:vAlign w:val="center"/>
          </w:tcPr>
          <w:p w14:paraId="2F9F6783" w14:textId="77777777" w:rsidR="003E78AB" w:rsidRDefault="00010BF9">
            <w:pPr>
              <w:pStyle w:val="aff6"/>
              <w:topLinePunct/>
              <w:rPr>
                <w:b/>
                <w:bCs/>
                <w:u w:val="single"/>
              </w:rPr>
            </w:pPr>
            <w:r>
              <w:rPr>
                <w:rFonts w:hint="eastAsia"/>
                <w:b/>
                <w:bCs/>
                <w:u w:val="single"/>
              </w:rPr>
              <w:t>4.2</w:t>
            </w:r>
          </w:p>
        </w:tc>
        <w:tc>
          <w:tcPr>
            <w:tcW w:w="782" w:type="pct"/>
            <w:shd w:val="clear" w:color="auto" w:fill="auto"/>
            <w:vAlign w:val="center"/>
          </w:tcPr>
          <w:p w14:paraId="1152E72E" w14:textId="77777777" w:rsidR="003E78AB" w:rsidRDefault="00010BF9">
            <w:pPr>
              <w:pStyle w:val="aff6"/>
              <w:topLinePunct/>
              <w:rPr>
                <w:b/>
                <w:bCs/>
                <w:u w:val="single"/>
              </w:rPr>
            </w:pPr>
            <w:r>
              <w:rPr>
                <w:b/>
                <w:bCs/>
                <w:u w:val="single"/>
              </w:rPr>
              <w:t>集中居住区</w:t>
            </w:r>
          </w:p>
        </w:tc>
        <w:tc>
          <w:tcPr>
            <w:tcW w:w="714" w:type="pct"/>
            <w:shd w:val="clear" w:color="auto" w:fill="auto"/>
            <w:vAlign w:val="center"/>
          </w:tcPr>
          <w:p w14:paraId="347B9A57" w14:textId="77777777" w:rsidR="003E78AB" w:rsidRDefault="00010BF9">
            <w:pPr>
              <w:pStyle w:val="aff6"/>
              <w:topLinePunct/>
              <w:rPr>
                <w:b/>
                <w:bCs/>
                <w:u w:val="single"/>
              </w:rPr>
            </w:pPr>
            <w:r>
              <w:rPr>
                <w:b/>
                <w:bCs/>
                <w:u w:val="single"/>
              </w:rPr>
              <w:t>1400</w:t>
            </w:r>
          </w:p>
        </w:tc>
      </w:tr>
      <w:tr w:rsidR="003E78AB" w14:paraId="23AFB204" w14:textId="77777777">
        <w:trPr>
          <w:cantSplit/>
          <w:trHeight w:val="340"/>
          <w:jc w:val="center"/>
        </w:trPr>
        <w:tc>
          <w:tcPr>
            <w:tcW w:w="550" w:type="pct"/>
            <w:vMerge/>
            <w:vAlign w:val="center"/>
          </w:tcPr>
          <w:p w14:paraId="2676CDC7" w14:textId="77777777" w:rsidR="003E78AB" w:rsidRDefault="003E78AB">
            <w:pPr>
              <w:pStyle w:val="aff6"/>
              <w:topLinePunct/>
            </w:pPr>
          </w:p>
        </w:tc>
        <w:tc>
          <w:tcPr>
            <w:tcW w:w="536" w:type="pct"/>
            <w:vAlign w:val="center"/>
          </w:tcPr>
          <w:p w14:paraId="36C11A31" w14:textId="77777777" w:rsidR="003E78AB" w:rsidRDefault="00010BF9">
            <w:pPr>
              <w:pStyle w:val="aff6"/>
              <w:topLinePunct/>
              <w:rPr>
                <w:b/>
                <w:bCs/>
                <w:u w:val="single"/>
              </w:rPr>
            </w:pPr>
            <w:r>
              <w:rPr>
                <w:rFonts w:hint="eastAsia"/>
                <w:b/>
                <w:bCs/>
                <w:u w:val="single"/>
              </w:rPr>
              <w:t>5</w:t>
            </w:r>
          </w:p>
        </w:tc>
        <w:tc>
          <w:tcPr>
            <w:tcW w:w="1044" w:type="pct"/>
            <w:shd w:val="clear" w:color="auto" w:fill="auto"/>
          </w:tcPr>
          <w:p w14:paraId="2916ADE8" w14:textId="77777777" w:rsidR="003E78AB" w:rsidRDefault="00010BF9">
            <w:pPr>
              <w:pStyle w:val="aff6"/>
              <w:topLinePunct/>
              <w:rPr>
                <w:b/>
                <w:bCs/>
                <w:u w:val="single"/>
              </w:rPr>
            </w:pPr>
            <w:r>
              <w:rPr>
                <w:rFonts w:hint="eastAsia"/>
                <w:b/>
                <w:bCs/>
                <w:u w:val="single"/>
              </w:rPr>
              <w:t>琼吐尔</w:t>
            </w:r>
          </w:p>
        </w:tc>
        <w:tc>
          <w:tcPr>
            <w:tcW w:w="661" w:type="pct"/>
            <w:vAlign w:val="center"/>
          </w:tcPr>
          <w:p w14:paraId="661A6A88" w14:textId="77777777" w:rsidR="003E78AB" w:rsidRDefault="00010BF9">
            <w:pPr>
              <w:pStyle w:val="aff6"/>
              <w:topLinePunct/>
              <w:rPr>
                <w:b/>
                <w:bCs/>
                <w:u w:val="single"/>
              </w:rPr>
            </w:pPr>
            <w:r>
              <w:rPr>
                <w:rFonts w:hint="eastAsia"/>
                <w:b/>
                <w:bCs/>
                <w:u w:val="single"/>
              </w:rPr>
              <w:t>E</w:t>
            </w:r>
          </w:p>
        </w:tc>
        <w:tc>
          <w:tcPr>
            <w:tcW w:w="711" w:type="pct"/>
            <w:vAlign w:val="center"/>
          </w:tcPr>
          <w:p w14:paraId="1E75C7AA" w14:textId="77777777" w:rsidR="003E78AB" w:rsidRDefault="00010BF9">
            <w:pPr>
              <w:pStyle w:val="aff6"/>
              <w:topLinePunct/>
              <w:rPr>
                <w:b/>
                <w:bCs/>
                <w:u w:val="single"/>
              </w:rPr>
            </w:pPr>
            <w:r>
              <w:rPr>
                <w:rFonts w:hint="eastAsia"/>
                <w:b/>
                <w:bCs/>
                <w:u w:val="single"/>
              </w:rPr>
              <w:t>3.7</w:t>
            </w:r>
          </w:p>
        </w:tc>
        <w:tc>
          <w:tcPr>
            <w:tcW w:w="782" w:type="pct"/>
            <w:vAlign w:val="center"/>
          </w:tcPr>
          <w:p w14:paraId="27797996" w14:textId="77777777" w:rsidR="003E78AB" w:rsidRDefault="00010BF9">
            <w:pPr>
              <w:pStyle w:val="aff6"/>
              <w:topLinePunct/>
              <w:rPr>
                <w:b/>
                <w:bCs/>
                <w:u w:val="single"/>
              </w:rPr>
            </w:pPr>
            <w:r>
              <w:rPr>
                <w:b/>
                <w:bCs/>
                <w:u w:val="single"/>
              </w:rPr>
              <w:t>集中居住区</w:t>
            </w:r>
          </w:p>
        </w:tc>
        <w:tc>
          <w:tcPr>
            <w:tcW w:w="714" w:type="pct"/>
            <w:vAlign w:val="center"/>
          </w:tcPr>
          <w:p w14:paraId="7A3A2523" w14:textId="77777777" w:rsidR="003E78AB" w:rsidRDefault="00010BF9">
            <w:pPr>
              <w:pStyle w:val="aff6"/>
              <w:topLinePunct/>
              <w:rPr>
                <w:b/>
                <w:bCs/>
                <w:u w:val="single"/>
              </w:rPr>
            </w:pPr>
            <w:r>
              <w:rPr>
                <w:rFonts w:hint="eastAsia"/>
                <w:b/>
                <w:bCs/>
                <w:u w:val="single"/>
              </w:rPr>
              <w:t>698</w:t>
            </w:r>
          </w:p>
        </w:tc>
      </w:tr>
      <w:tr w:rsidR="003E78AB" w14:paraId="358355D9" w14:textId="77777777">
        <w:trPr>
          <w:cantSplit/>
          <w:trHeight w:val="340"/>
          <w:jc w:val="center"/>
        </w:trPr>
        <w:tc>
          <w:tcPr>
            <w:tcW w:w="550" w:type="pct"/>
            <w:vMerge/>
            <w:vAlign w:val="center"/>
          </w:tcPr>
          <w:p w14:paraId="264D1880" w14:textId="77777777" w:rsidR="003E78AB" w:rsidRDefault="003E78AB">
            <w:pPr>
              <w:pStyle w:val="aff6"/>
              <w:topLinePunct/>
            </w:pPr>
          </w:p>
        </w:tc>
        <w:tc>
          <w:tcPr>
            <w:tcW w:w="536" w:type="pct"/>
            <w:vAlign w:val="center"/>
          </w:tcPr>
          <w:p w14:paraId="76B1A031" w14:textId="77777777" w:rsidR="003E78AB" w:rsidRDefault="00010BF9">
            <w:pPr>
              <w:pStyle w:val="aff6"/>
              <w:topLinePunct/>
              <w:rPr>
                <w:b/>
                <w:bCs/>
                <w:u w:val="single"/>
              </w:rPr>
            </w:pPr>
            <w:r>
              <w:rPr>
                <w:rFonts w:hint="eastAsia"/>
                <w:b/>
                <w:bCs/>
                <w:u w:val="single"/>
              </w:rPr>
              <w:t>6</w:t>
            </w:r>
          </w:p>
        </w:tc>
        <w:tc>
          <w:tcPr>
            <w:tcW w:w="1044" w:type="pct"/>
            <w:shd w:val="clear" w:color="auto" w:fill="auto"/>
            <w:vAlign w:val="center"/>
          </w:tcPr>
          <w:p w14:paraId="175B72C3" w14:textId="77777777" w:rsidR="003E78AB" w:rsidRDefault="00010BF9">
            <w:pPr>
              <w:pStyle w:val="aff6"/>
              <w:topLinePunct/>
              <w:rPr>
                <w:b/>
                <w:bCs/>
                <w:u w:val="single"/>
              </w:rPr>
            </w:pPr>
            <w:r>
              <w:rPr>
                <w:b/>
                <w:bCs/>
                <w:u w:val="single"/>
              </w:rPr>
              <w:t>东花园村</w:t>
            </w:r>
          </w:p>
        </w:tc>
        <w:tc>
          <w:tcPr>
            <w:tcW w:w="661" w:type="pct"/>
            <w:shd w:val="clear" w:color="auto" w:fill="auto"/>
            <w:vAlign w:val="center"/>
          </w:tcPr>
          <w:p w14:paraId="2A4E592A" w14:textId="77777777" w:rsidR="003E78AB" w:rsidRDefault="00010BF9">
            <w:pPr>
              <w:pStyle w:val="aff6"/>
              <w:topLinePunct/>
              <w:rPr>
                <w:b/>
                <w:bCs/>
                <w:u w:val="single"/>
              </w:rPr>
            </w:pPr>
            <w:r>
              <w:rPr>
                <w:rFonts w:hint="eastAsia"/>
                <w:b/>
                <w:bCs/>
                <w:u w:val="single"/>
              </w:rPr>
              <w:t>E</w:t>
            </w:r>
          </w:p>
        </w:tc>
        <w:tc>
          <w:tcPr>
            <w:tcW w:w="711" w:type="pct"/>
            <w:shd w:val="clear" w:color="auto" w:fill="auto"/>
            <w:vAlign w:val="center"/>
          </w:tcPr>
          <w:p w14:paraId="1ABF6E30" w14:textId="77777777" w:rsidR="003E78AB" w:rsidRDefault="00010BF9">
            <w:pPr>
              <w:pStyle w:val="aff6"/>
              <w:topLinePunct/>
              <w:rPr>
                <w:b/>
                <w:bCs/>
                <w:u w:val="single"/>
              </w:rPr>
            </w:pPr>
            <w:r>
              <w:rPr>
                <w:rFonts w:hint="eastAsia"/>
                <w:b/>
                <w:bCs/>
                <w:u w:val="single"/>
              </w:rPr>
              <w:t>3.8</w:t>
            </w:r>
          </w:p>
        </w:tc>
        <w:tc>
          <w:tcPr>
            <w:tcW w:w="782" w:type="pct"/>
            <w:shd w:val="clear" w:color="auto" w:fill="auto"/>
            <w:vAlign w:val="center"/>
          </w:tcPr>
          <w:p w14:paraId="3CF2D751" w14:textId="77777777" w:rsidR="003E78AB" w:rsidRDefault="00010BF9">
            <w:pPr>
              <w:pStyle w:val="aff6"/>
              <w:topLinePunct/>
              <w:rPr>
                <w:b/>
                <w:bCs/>
                <w:u w:val="single"/>
              </w:rPr>
            </w:pPr>
            <w:r>
              <w:rPr>
                <w:b/>
                <w:bCs/>
                <w:u w:val="single"/>
              </w:rPr>
              <w:t>集中居住区</w:t>
            </w:r>
          </w:p>
        </w:tc>
        <w:tc>
          <w:tcPr>
            <w:tcW w:w="714" w:type="pct"/>
            <w:shd w:val="clear" w:color="auto" w:fill="auto"/>
            <w:vAlign w:val="center"/>
          </w:tcPr>
          <w:p w14:paraId="4B3B1AE3" w14:textId="77777777" w:rsidR="003E78AB" w:rsidRDefault="00010BF9">
            <w:pPr>
              <w:pStyle w:val="aff6"/>
              <w:topLinePunct/>
              <w:rPr>
                <w:b/>
                <w:bCs/>
                <w:u w:val="single"/>
              </w:rPr>
            </w:pPr>
            <w:r>
              <w:rPr>
                <w:rFonts w:hint="eastAsia"/>
                <w:b/>
                <w:bCs/>
                <w:u w:val="single"/>
              </w:rPr>
              <w:t>1060</w:t>
            </w:r>
          </w:p>
        </w:tc>
      </w:tr>
      <w:tr w:rsidR="003E78AB" w14:paraId="495A8285" w14:textId="77777777">
        <w:trPr>
          <w:cantSplit/>
          <w:trHeight w:val="340"/>
          <w:jc w:val="center"/>
        </w:trPr>
        <w:tc>
          <w:tcPr>
            <w:tcW w:w="550" w:type="pct"/>
            <w:vMerge/>
            <w:vAlign w:val="center"/>
          </w:tcPr>
          <w:p w14:paraId="0A814871" w14:textId="77777777" w:rsidR="003E78AB" w:rsidRDefault="003E78AB">
            <w:pPr>
              <w:pStyle w:val="aff6"/>
              <w:topLinePunct/>
            </w:pPr>
          </w:p>
        </w:tc>
        <w:tc>
          <w:tcPr>
            <w:tcW w:w="536" w:type="pct"/>
            <w:vAlign w:val="center"/>
          </w:tcPr>
          <w:p w14:paraId="1CC4CC07" w14:textId="77777777" w:rsidR="003E78AB" w:rsidRDefault="00010BF9">
            <w:pPr>
              <w:pStyle w:val="aff6"/>
              <w:topLinePunct/>
              <w:rPr>
                <w:b/>
                <w:bCs/>
                <w:u w:val="single"/>
              </w:rPr>
            </w:pPr>
            <w:r>
              <w:rPr>
                <w:rFonts w:hint="eastAsia"/>
                <w:b/>
                <w:bCs/>
                <w:u w:val="single"/>
              </w:rPr>
              <w:t>7</w:t>
            </w:r>
          </w:p>
        </w:tc>
        <w:tc>
          <w:tcPr>
            <w:tcW w:w="1044" w:type="pct"/>
            <w:vAlign w:val="center"/>
          </w:tcPr>
          <w:p w14:paraId="44D3EC21" w14:textId="77777777" w:rsidR="003E78AB" w:rsidRDefault="00010BF9">
            <w:pPr>
              <w:pStyle w:val="aff6"/>
              <w:topLinePunct/>
              <w:rPr>
                <w:b/>
                <w:bCs/>
                <w:u w:val="single"/>
              </w:rPr>
            </w:pPr>
            <w:r>
              <w:rPr>
                <w:rFonts w:hint="eastAsia"/>
                <w:b/>
                <w:bCs/>
                <w:u w:val="single"/>
              </w:rPr>
              <w:t>塔孜吐尔</w:t>
            </w:r>
          </w:p>
        </w:tc>
        <w:tc>
          <w:tcPr>
            <w:tcW w:w="661" w:type="pct"/>
            <w:vAlign w:val="center"/>
          </w:tcPr>
          <w:p w14:paraId="111681B0" w14:textId="77777777" w:rsidR="003E78AB" w:rsidRDefault="00010BF9">
            <w:pPr>
              <w:pStyle w:val="aff6"/>
              <w:topLinePunct/>
              <w:rPr>
                <w:b/>
                <w:bCs/>
                <w:u w:val="single"/>
              </w:rPr>
            </w:pPr>
            <w:r>
              <w:rPr>
                <w:rFonts w:hint="eastAsia"/>
                <w:b/>
                <w:bCs/>
                <w:u w:val="single"/>
              </w:rPr>
              <w:t>ESE</w:t>
            </w:r>
          </w:p>
        </w:tc>
        <w:tc>
          <w:tcPr>
            <w:tcW w:w="711" w:type="pct"/>
            <w:vAlign w:val="center"/>
          </w:tcPr>
          <w:p w14:paraId="2779EC4B" w14:textId="77777777" w:rsidR="003E78AB" w:rsidRDefault="00010BF9">
            <w:pPr>
              <w:pStyle w:val="aff6"/>
              <w:topLinePunct/>
              <w:rPr>
                <w:b/>
                <w:bCs/>
                <w:u w:val="single"/>
              </w:rPr>
            </w:pPr>
            <w:r>
              <w:rPr>
                <w:rFonts w:hint="eastAsia"/>
                <w:b/>
                <w:bCs/>
                <w:u w:val="single"/>
              </w:rPr>
              <w:t>3.8</w:t>
            </w:r>
          </w:p>
        </w:tc>
        <w:tc>
          <w:tcPr>
            <w:tcW w:w="782" w:type="pct"/>
            <w:vAlign w:val="center"/>
          </w:tcPr>
          <w:p w14:paraId="0B6ACB4C" w14:textId="77777777" w:rsidR="003E78AB" w:rsidRDefault="00010BF9">
            <w:pPr>
              <w:pStyle w:val="aff6"/>
              <w:topLinePunct/>
              <w:rPr>
                <w:b/>
                <w:bCs/>
                <w:u w:val="single"/>
              </w:rPr>
            </w:pPr>
            <w:r>
              <w:rPr>
                <w:b/>
                <w:bCs/>
                <w:u w:val="single"/>
              </w:rPr>
              <w:t>集中居住区</w:t>
            </w:r>
          </w:p>
        </w:tc>
        <w:tc>
          <w:tcPr>
            <w:tcW w:w="714" w:type="pct"/>
            <w:vAlign w:val="center"/>
          </w:tcPr>
          <w:p w14:paraId="1B05D21E" w14:textId="77777777" w:rsidR="003E78AB" w:rsidRDefault="00010BF9">
            <w:pPr>
              <w:pStyle w:val="aff6"/>
              <w:topLinePunct/>
              <w:rPr>
                <w:b/>
                <w:bCs/>
                <w:u w:val="single"/>
              </w:rPr>
            </w:pPr>
            <w:r>
              <w:rPr>
                <w:rFonts w:hint="eastAsia"/>
                <w:b/>
                <w:bCs/>
                <w:u w:val="single"/>
              </w:rPr>
              <w:t>2100</w:t>
            </w:r>
          </w:p>
        </w:tc>
      </w:tr>
      <w:tr w:rsidR="003E78AB" w14:paraId="14059839" w14:textId="77777777">
        <w:trPr>
          <w:cantSplit/>
          <w:trHeight w:val="340"/>
          <w:jc w:val="center"/>
        </w:trPr>
        <w:tc>
          <w:tcPr>
            <w:tcW w:w="550" w:type="pct"/>
            <w:vMerge/>
            <w:vAlign w:val="center"/>
          </w:tcPr>
          <w:p w14:paraId="304DF5F2" w14:textId="77777777" w:rsidR="003E78AB" w:rsidRDefault="003E78AB">
            <w:pPr>
              <w:pStyle w:val="aff6"/>
              <w:topLinePunct/>
            </w:pPr>
          </w:p>
        </w:tc>
        <w:tc>
          <w:tcPr>
            <w:tcW w:w="536" w:type="pct"/>
            <w:vAlign w:val="center"/>
          </w:tcPr>
          <w:p w14:paraId="39E0FF49" w14:textId="77777777" w:rsidR="003E78AB" w:rsidRDefault="00010BF9">
            <w:pPr>
              <w:pStyle w:val="aff6"/>
              <w:topLinePunct/>
              <w:rPr>
                <w:b/>
                <w:bCs/>
                <w:u w:val="single"/>
              </w:rPr>
            </w:pPr>
            <w:r>
              <w:rPr>
                <w:rFonts w:hint="eastAsia"/>
                <w:b/>
                <w:bCs/>
                <w:u w:val="single"/>
              </w:rPr>
              <w:t>8</w:t>
            </w:r>
          </w:p>
        </w:tc>
        <w:tc>
          <w:tcPr>
            <w:tcW w:w="1044" w:type="pct"/>
            <w:shd w:val="clear" w:color="auto" w:fill="auto"/>
            <w:vAlign w:val="center"/>
          </w:tcPr>
          <w:p w14:paraId="07AE5A1B" w14:textId="77777777" w:rsidR="003E78AB" w:rsidRDefault="00010BF9">
            <w:pPr>
              <w:pStyle w:val="aff6"/>
              <w:topLinePunct/>
              <w:rPr>
                <w:b/>
                <w:bCs/>
                <w:u w:val="single"/>
              </w:rPr>
            </w:pPr>
            <w:r>
              <w:rPr>
                <w:b/>
                <w:bCs/>
                <w:u w:val="single"/>
              </w:rPr>
              <w:t>喀拉塔勒村</w:t>
            </w:r>
          </w:p>
        </w:tc>
        <w:tc>
          <w:tcPr>
            <w:tcW w:w="661" w:type="pct"/>
            <w:shd w:val="clear" w:color="auto" w:fill="auto"/>
            <w:vAlign w:val="center"/>
          </w:tcPr>
          <w:p w14:paraId="46C37555" w14:textId="77777777" w:rsidR="003E78AB" w:rsidRDefault="00010BF9">
            <w:pPr>
              <w:pStyle w:val="aff6"/>
              <w:topLinePunct/>
              <w:rPr>
                <w:b/>
                <w:bCs/>
                <w:u w:val="single"/>
              </w:rPr>
            </w:pPr>
            <w:r>
              <w:rPr>
                <w:rFonts w:hint="eastAsia"/>
                <w:b/>
                <w:bCs/>
                <w:u w:val="single"/>
              </w:rPr>
              <w:t>ESE</w:t>
            </w:r>
          </w:p>
        </w:tc>
        <w:tc>
          <w:tcPr>
            <w:tcW w:w="711" w:type="pct"/>
            <w:shd w:val="clear" w:color="auto" w:fill="auto"/>
            <w:vAlign w:val="center"/>
          </w:tcPr>
          <w:p w14:paraId="53790835" w14:textId="77777777" w:rsidR="003E78AB" w:rsidRDefault="00010BF9">
            <w:pPr>
              <w:pStyle w:val="aff6"/>
              <w:topLinePunct/>
              <w:rPr>
                <w:b/>
                <w:bCs/>
                <w:u w:val="single"/>
              </w:rPr>
            </w:pPr>
            <w:r>
              <w:rPr>
                <w:rFonts w:hint="eastAsia"/>
                <w:b/>
                <w:bCs/>
                <w:u w:val="single"/>
              </w:rPr>
              <w:t>4.5</w:t>
            </w:r>
          </w:p>
        </w:tc>
        <w:tc>
          <w:tcPr>
            <w:tcW w:w="782" w:type="pct"/>
            <w:shd w:val="clear" w:color="auto" w:fill="auto"/>
            <w:vAlign w:val="center"/>
          </w:tcPr>
          <w:p w14:paraId="653CBA49" w14:textId="77777777" w:rsidR="003E78AB" w:rsidRDefault="00010BF9">
            <w:pPr>
              <w:pStyle w:val="aff6"/>
              <w:topLinePunct/>
              <w:rPr>
                <w:b/>
                <w:bCs/>
                <w:u w:val="single"/>
              </w:rPr>
            </w:pPr>
            <w:r>
              <w:rPr>
                <w:b/>
                <w:bCs/>
                <w:u w:val="single"/>
              </w:rPr>
              <w:t>集中居住区</w:t>
            </w:r>
          </w:p>
        </w:tc>
        <w:tc>
          <w:tcPr>
            <w:tcW w:w="714" w:type="pct"/>
            <w:shd w:val="clear" w:color="auto" w:fill="auto"/>
            <w:vAlign w:val="center"/>
          </w:tcPr>
          <w:p w14:paraId="65C364F9" w14:textId="77777777" w:rsidR="003E78AB" w:rsidRDefault="00010BF9">
            <w:pPr>
              <w:pStyle w:val="aff6"/>
              <w:topLinePunct/>
              <w:rPr>
                <w:b/>
                <w:bCs/>
                <w:u w:val="single"/>
              </w:rPr>
            </w:pPr>
            <w:r>
              <w:rPr>
                <w:b/>
                <w:bCs/>
                <w:u w:val="single"/>
              </w:rPr>
              <w:t>1900</w:t>
            </w:r>
          </w:p>
        </w:tc>
      </w:tr>
      <w:tr w:rsidR="003E78AB" w14:paraId="320CC824" w14:textId="77777777">
        <w:trPr>
          <w:cantSplit/>
          <w:trHeight w:val="340"/>
          <w:jc w:val="center"/>
        </w:trPr>
        <w:tc>
          <w:tcPr>
            <w:tcW w:w="550" w:type="pct"/>
            <w:vMerge/>
            <w:vAlign w:val="center"/>
          </w:tcPr>
          <w:p w14:paraId="35AD8E89" w14:textId="77777777" w:rsidR="003E78AB" w:rsidRDefault="003E78AB">
            <w:pPr>
              <w:pStyle w:val="aff6"/>
              <w:topLinePunct/>
            </w:pPr>
          </w:p>
        </w:tc>
        <w:tc>
          <w:tcPr>
            <w:tcW w:w="536" w:type="pct"/>
            <w:vAlign w:val="center"/>
          </w:tcPr>
          <w:p w14:paraId="5E41F0B7" w14:textId="77777777" w:rsidR="003E78AB" w:rsidRDefault="00010BF9">
            <w:pPr>
              <w:pStyle w:val="aff6"/>
              <w:topLinePunct/>
              <w:rPr>
                <w:b/>
                <w:bCs/>
                <w:u w:val="single"/>
              </w:rPr>
            </w:pPr>
            <w:r>
              <w:rPr>
                <w:rFonts w:hint="eastAsia"/>
                <w:b/>
                <w:bCs/>
                <w:u w:val="single"/>
              </w:rPr>
              <w:t>9</w:t>
            </w:r>
          </w:p>
        </w:tc>
        <w:tc>
          <w:tcPr>
            <w:tcW w:w="1044" w:type="pct"/>
            <w:shd w:val="clear" w:color="auto" w:fill="auto"/>
          </w:tcPr>
          <w:p w14:paraId="22BC793E" w14:textId="77777777" w:rsidR="003E78AB" w:rsidRDefault="00010BF9">
            <w:pPr>
              <w:pStyle w:val="aff6"/>
              <w:topLinePunct/>
              <w:rPr>
                <w:b/>
                <w:bCs/>
                <w:u w:val="single"/>
              </w:rPr>
            </w:pPr>
            <w:r>
              <w:rPr>
                <w:rFonts w:hint="eastAsia"/>
                <w:b/>
                <w:bCs/>
                <w:u w:val="single"/>
              </w:rPr>
              <w:t>阿克库木</w:t>
            </w:r>
          </w:p>
        </w:tc>
        <w:tc>
          <w:tcPr>
            <w:tcW w:w="661" w:type="pct"/>
            <w:shd w:val="clear" w:color="auto" w:fill="auto"/>
            <w:vAlign w:val="center"/>
          </w:tcPr>
          <w:p w14:paraId="3384146B" w14:textId="77777777" w:rsidR="003E78AB" w:rsidRDefault="00010BF9">
            <w:pPr>
              <w:pStyle w:val="aff6"/>
              <w:topLinePunct/>
              <w:rPr>
                <w:b/>
                <w:bCs/>
                <w:u w:val="single"/>
              </w:rPr>
            </w:pPr>
            <w:r>
              <w:rPr>
                <w:rFonts w:hint="eastAsia"/>
                <w:b/>
                <w:bCs/>
                <w:u w:val="single"/>
              </w:rPr>
              <w:t>SE</w:t>
            </w:r>
          </w:p>
        </w:tc>
        <w:tc>
          <w:tcPr>
            <w:tcW w:w="711" w:type="pct"/>
            <w:shd w:val="clear" w:color="auto" w:fill="auto"/>
            <w:vAlign w:val="center"/>
          </w:tcPr>
          <w:p w14:paraId="6D101EFD" w14:textId="77777777" w:rsidR="003E78AB" w:rsidRDefault="00010BF9">
            <w:pPr>
              <w:pStyle w:val="aff6"/>
              <w:topLinePunct/>
              <w:rPr>
                <w:b/>
                <w:bCs/>
                <w:u w:val="single"/>
              </w:rPr>
            </w:pPr>
            <w:r>
              <w:rPr>
                <w:rFonts w:hint="eastAsia"/>
                <w:b/>
                <w:bCs/>
                <w:u w:val="single"/>
              </w:rPr>
              <w:t>4.6</w:t>
            </w:r>
          </w:p>
        </w:tc>
        <w:tc>
          <w:tcPr>
            <w:tcW w:w="782" w:type="pct"/>
            <w:shd w:val="clear" w:color="auto" w:fill="auto"/>
            <w:vAlign w:val="center"/>
          </w:tcPr>
          <w:p w14:paraId="1E81D31D" w14:textId="77777777" w:rsidR="003E78AB" w:rsidRDefault="00010BF9">
            <w:pPr>
              <w:pStyle w:val="aff6"/>
              <w:topLinePunct/>
              <w:rPr>
                <w:b/>
                <w:bCs/>
                <w:u w:val="single"/>
              </w:rPr>
            </w:pPr>
            <w:r>
              <w:rPr>
                <w:b/>
                <w:bCs/>
                <w:u w:val="single"/>
              </w:rPr>
              <w:t>集中居住区</w:t>
            </w:r>
          </w:p>
        </w:tc>
        <w:tc>
          <w:tcPr>
            <w:tcW w:w="714" w:type="pct"/>
            <w:shd w:val="clear" w:color="auto" w:fill="auto"/>
            <w:vAlign w:val="center"/>
          </w:tcPr>
          <w:p w14:paraId="758CB51B" w14:textId="77777777" w:rsidR="003E78AB" w:rsidRDefault="00010BF9">
            <w:pPr>
              <w:pStyle w:val="aff6"/>
              <w:topLinePunct/>
              <w:rPr>
                <w:b/>
                <w:bCs/>
                <w:u w:val="single"/>
              </w:rPr>
            </w:pPr>
            <w:r>
              <w:rPr>
                <w:rFonts w:hint="eastAsia"/>
                <w:b/>
                <w:bCs/>
                <w:u w:val="single"/>
              </w:rPr>
              <w:t>1200</w:t>
            </w:r>
          </w:p>
        </w:tc>
      </w:tr>
      <w:tr w:rsidR="003E78AB" w14:paraId="3EA63C4C" w14:textId="77777777">
        <w:trPr>
          <w:cantSplit/>
          <w:trHeight w:val="340"/>
          <w:jc w:val="center"/>
        </w:trPr>
        <w:tc>
          <w:tcPr>
            <w:tcW w:w="550" w:type="pct"/>
            <w:vMerge/>
            <w:vAlign w:val="center"/>
          </w:tcPr>
          <w:p w14:paraId="2F66E652" w14:textId="77777777" w:rsidR="003E78AB" w:rsidRDefault="003E78AB">
            <w:pPr>
              <w:pStyle w:val="aff6"/>
              <w:topLinePunct/>
            </w:pPr>
          </w:p>
        </w:tc>
        <w:tc>
          <w:tcPr>
            <w:tcW w:w="536" w:type="pct"/>
            <w:vAlign w:val="center"/>
          </w:tcPr>
          <w:p w14:paraId="199E9815" w14:textId="77777777" w:rsidR="003E78AB" w:rsidRDefault="00010BF9">
            <w:pPr>
              <w:pStyle w:val="aff6"/>
              <w:topLinePunct/>
              <w:rPr>
                <w:b/>
                <w:bCs/>
                <w:u w:val="single"/>
              </w:rPr>
            </w:pPr>
            <w:r>
              <w:rPr>
                <w:rFonts w:hint="eastAsia"/>
                <w:b/>
                <w:bCs/>
                <w:u w:val="single"/>
              </w:rPr>
              <w:t>10</w:t>
            </w:r>
          </w:p>
        </w:tc>
        <w:tc>
          <w:tcPr>
            <w:tcW w:w="1044" w:type="pct"/>
            <w:shd w:val="clear" w:color="auto" w:fill="auto"/>
          </w:tcPr>
          <w:p w14:paraId="743D0B42" w14:textId="77777777" w:rsidR="003E78AB" w:rsidRDefault="00010BF9">
            <w:pPr>
              <w:pStyle w:val="aff6"/>
              <w:topLinePunct/>
              <w:rPr>
                <w:b/>
                <w:bCs/>
                <w:u w:val="single"/>
              </w:rPr>
            </w:pPr>
            <w:r>
              <w:rPr>
                <w:rFonts w:hint="eastAsia"/>
                <w:b/>
                <w:bCs/>
                <w:u w:val="single"/>
              </w:rPr>
              <w:t>安居富民小区</w:t>
            </w:r>
          </w:p>
        </w:tc>
        <w:tc>
          <w:tcPr>
            <w:tcW w:w="661" w:type="pct"/>
            <w:vAlign w:val="center"/>
          </w:tcPr>
          <w:p w14:paraId="64E5D491" w14:textId="77777777" w:rsidR="003E78AB" w:rsidRDefault="00010BF9">
            <w:pPr>
              <w:pStyle w:val="aff6"/>
              <w:topLinePunct/>
              <w:rPr>
                <w:b/>
                <w:bCs/>
                <w:u w:val="single"/>
              </w:rPr>
            </w:pPr>
            <w:r>
              <w:rPr>
                <w:rFonts w:hint="eastAsia"/>
                <w:b/>
                <w:bCs/>
                <w:u w:val="single"/>
              </w:rPr>
              <w:t>E</w:t>
            </w:r>
          </w:p>
        </w:tc>
        <w:tc>
          <w:tcPr>
            <w:tcW w:w="711" w:type="pct"/>
            <w:vAlign w:val="center"/>
          </w:tcPr>
          <w:p w14:paraId="6018A69A" w14:textId="77777777" w:rsidR="003E78AB" w:rsidRDefault="00010BF9">
            <w:pPr>
              <w:pStyle w:val="aff6"/>
              <w:topLinePunct/>
              <w:rPr>
                <w:b/>
                <w:bCs/>
                <w:u w:val="single"/>
              </w:rPr>
            </w:pPr>
            <w:r>
              <w:rPr>
                <w:rFonts w:hint="eastAsia"/>
                <w:b/>
                <w:bCs/>
                <w:u w:val="single"/>
              </w:rPr>
              <w:t>3.2</w:t>
            </w:r>
          </w:p>
        </w:tc>
        <w:tc>
          <w:tcPr>
            <w:tcW w:w="782" w:type="pct"/>
            <w:vAlign w:val="center"/>
          </w:tcPr>
          <w:p w14:paraId="2CBC3950" w14:textId="77777777" w:rsidR="003E78AB" w:rsidRDefault="00010BF9">
            <w:pPr>
              <w:pStyle w:val="aff6"/>
              <w:topLinePunct/>
              <w:rPr>
                <w:b/>
                <w:bCs/>
                <w:u w:val="single"/>
              </w:rPr>
            </w:pPr>
            <w:r>
              <w:rPr>
                <w:b/>
                <w:bCs/>
                <w:u w:val="single"/>
              </w:rPr>
              <w:t>集中居住区</w:t>
            </w:r>
          </w:p>
        </w:tc>
        <w:tc>
          <w:tcPr>
            <w:tcW w:w="714" w:type="pct"/>
            <w:vAlign w:val="center"/>
          </w:tcPr>
          <w:p w14:paraId="4BEF83F5" w14:textId="77777777" w:rsidR="003E78AB" w:rsidRDefault="00010BF9">
            <w:pPr>
              <w:pStyle w:val="aff6"/>
              <w:topLinePunct/>
              <w:rPr>
                <w:b/>
                <w:bCs/>
                <w:u w:val="single"/>
              </w:rPr>
            </w:pPr>
            <w:r>
              <w:rPr>
                <w:rFonts w:hint="eastAsia"/>
                <w:b/>
                <w:bCs/>
                <w:u w:val="single"/>
              </w:rPr>
              <w:t>3000</w:t>
            </w:r>
          </w:p>
        </w:tc>
      </w:tr>
      <w:tr w:rsidR="003E78AB" w14:paraId="588869C7" w14:textId="77777777">
        <w:trPr>
          <w:cantSplit/>
          <w:trHeight w:val="340"/>
          <w:jc w:val="center"/>
        </w:trPr>
        <w:tc>
          <w:tcPr>
            <w:tcW w:w="550" w:type="pct"/>
            <w:vMerge/>
            <w:vAlign w:val="center"/>
          </w:tcPr>
          <w:p w14:paraId="0A6417D7" w14:textId="77777777" w:rsidR="003E78AB" w:rsidRDefault="003E78AB">
            <w:pPr>
              <w:pStyle w:val="aff6"/>
              <w:topLinePunct/>
            </w:pPr>
          </w:p>
        </w:tc>
        <w:tc>
          <w:tcPr>
            <w:tcW w:w="3735" w:type="pct"/>
            <w:gridSpan w:val="5"/>
            <w:vAlign w:val="center"/>
          </w:tcPr>
          <w:p w14:paraId="3CF3399E" w14:textId="77777777" w:rsidR="003E78AB" w:rsidRDefault="00010BF9">
            <w:pPr>
              <w:pStyle w:val="aff6"/>
              <w:topLinePunct/>
              <w:rPr>
                <w:b/>
                <w:bCs/>
                <w:u w:val="single"/>
              </w:rPr>
            </w:pPr>
            <w:r>
              <w:rPr>
                <w:b/>
                <w:bCs/>
                <w:u w:val="single"/>
              </w:rPr>
              <w:t>合计</w:t>
            </w:r>
          </w:p>
        </w:tc>
        <w:tc>
          <w:tcPr>
            <w:tcW w:w="714" w:type="pct"/>
            <w:vAlign w:val="center"/>
          </w:tcPr>
          <w:p w14:paraId="59F64A2C" w14:textId="77777777" w:rsidR="003E78AB" w:rsidRDefault="00010BF9">
            <w:pPr>
              <w:pStyle w:val="aff6"/>
              <w:topLinePunct/>
              <w:rPr>
                <w:b/>
                <w:bCs/>
                <w:u w:val="single"/>
              </w:rPr>
            </w:pPr>
            <w:r>
              <w:rPr>
                <w:rFonts w:hint="eastAsia"/>
                <w:b/>
                <w:bCs/>
                <w:u w:val="single"/>
              </w:rPr>
              <w:t>15956</w:t>
            </w:r>
          </w:p>
        </w:tc>
      </w:tr>
      <w:tr w:rsidR="003E78AB" w14:paraId="03512214" w14:textId="77777777">
        <w:trPr>
          <w:cantSplit/>
          <w:trHeight w:val="340"/>
          <w:jc w:val="center"/>
        </w:trPr>
        <w:tc>
          <w:tcPr>
            <w:tcW w:w="550" w:type="pct"/>
            <w:vMerge/>
            <w:vAlign w:val="center"/>
          </w:tcPr>
          <w:p w14:paraId="044ED170" w14:textId="77777777" w:rsidR="003E78AB" w:rsidRDefault="003E78AB">
            <w:pPr>
              <w:pStyle w:val="aff6"/>
              <w:topLinePunct/>
            </w:pPr>
          </w:p>
        </w:tc>
        <w:tc>
          <w:tcPr>
            <w:tcW w:w="3735" w:type="pct"/>
            <w:gridSpan w:val="5"/>
            <w:vAlign w:val="center"/>
          </w:tcPr>
          <w:p w14:paraId="5EC55681" w14:textId="77777777" w:rsidR="003E78AB" w:rsidRDefault="00010BF9">
            <w:pPr>
              <w:pStyle w:val="aff6"/>
              <w:topLinePunct/>
            </w:pPr>
            <w:r>
              <w:t>厂址周边</w:t>
            </w:r>
            <w:r>
              <w:t>500m</w:t>
            </w:r>
            <w:r>
              <w:t>范围内人口数小计</w:t>
            </w:r>
          </w:p>
        </w:tc>
        <w:tc>
          <w:tcPr>
            <w:tcW w:w="714" w:type="pct"/>
            <w:vAlign w:val="center"/>
          </w:tcPr>
          <w:p w14:paraId="53948222" w14:textId="77777777" w:rsidR="003E78AB" w:rsidRDefault="00010BF9">
            <w:pPr>
              <w:pStyle w:val="aff6"/>
              <w:topLinePunct/>
            </w:pPr>
            <w:r>
              <w:t>＜</w:t>
            </w:r>
            <w:r>
              <w:t>500</w:t>
            </w:r>
          </w:p>
        </w:tc>
      </w:tr>
      <w:tr w:rsidR="003E78AB" w14:paraId="39A1FF2F" w14:textId="77777777">
        <w:trPr>
          <w:cantSplit/>
          <w:trHeight w:val="340"/>
          <w:jc w:val="center"/>
        </w:trPr>
        <w:tc>
          <w:tcPr>
            <w:tcW w:w="550" w:type="pct"/>
            <w:vMerge/>
            <w:vAlign w:val="center"/>
          </w:tcPr>
          <w:p w14:paraId="5A9516EE" w14:textId="77777777" w:rsidR="003E78AB" w:rsidRDefault="003E78AB">
            <w:pPr>
              <w:pStyle w:val="aff6"/>
              <w:topLinePunct/>
            </w:pPr>
          </w:p>
        </w:tc>
        <w:tc>
          <w:tcPr>
            <w:tcW w:w="3735" w:type="pct"/>
            <w:gridSpan w:val="5"/>
            <w:vAlign w:val="center"/>
          </w:tcPr>
          <w:p w14:paraId="249D951C" w14:textId="77777777" w:rsidR="003E78AB" w:rsidRDefault="00010BF9">
            <w:pPr>
              <w:pStyle w:val="aff6"/>
              <w:topLinePunct/>
            </w:pPr>
            <w:r>
              <w:t>厂址周边</w:t>
            </w:r>
            <w:r>
              <w:t>5km</w:t>
            </w:r>
            <w:r>
              <w:t>范围内居住区、医疗卫生、文化教育、科研、行政办公等机构人口数小计</w:t>
            </w:r>
          </w:p>
        </w:tc>
        <w:tc>
          <w:tcPr>
            <w:tcW w:w="714" w:type="pct"/>
            <w:vAlign w:val="center"/>
          </w:tcPr>
          <w:p w14:paraId="4C6E2C30" w14:textId="77777777" w:rsidR="003E78AB" w:rsidRDefault="00010BF9">
            <w:pPr>
              <w:pStyle w:val="aff6"/>
              <w:topLinePunct/>
            </w:pPr>
            <w:r>
              <w:t>＜</w:t>
            </w:r>
            <w:r>
              <w:t>10000</w:t>
            </w:r>
          </w:p>
        </w:tc>
      </w:tr>
      <w:tr w:rsidR="003E78AB" w14:paraId="470EF4D0" w14:textId="77777777">
        <w:trPr>
          <w:cantSplit/>
          <w:trHeight w:val="340"/>
          <w:jc w:val="center"/>
        </w:trPr>
        <w:tc>
          <w:tcPr>
            <w:tcW w:w="550" w:type="pct"/>
            <w:vMerge/>
            <w:vAlign w:val="center"/>
          </w:tcPr>
          <w:p w14:paraId="16C78E6F" w14:textId="77777777" w:rsidR="003E78AB" w:rsidRDefault="003E78AB">
            <w:pPr>
              <w:pStyle w:val="aff6"/>
              <w:topLinePunct/>
            </w:pPr>
          </w:p>
        </w:tc>
        <w:tc>
          <w:tcPr>
            <w:tcW w:w="3735" w:type="pct"/>
            <w:gridSpan w:val="5"/>
            <w:vAlign w:val="center"/>
          </w:tcPr>
          <w:p w14:paraId="00B0026F" w14:textId="77777777" w:rsidR="003E78AB" w:rsidRDefault="00010BF9">
            <w:pPr>
              <w:pStyle w:val="aff6"/>
              <w:topLinePunct/>
            </w:pPr>
            <w:r>
              <w:t>大气环境敏感程度</w:t>
            </w:r>
            <w:r>
              <w:t>E</w:t>
            </w:r>
            <w:r>
              <w:t>值</w:t>
            </w:r>
          </w:p>
        </w:tc>
        <w:tc>
          <w:tcPr>
            <w:tcW w:w="714" w:type="pct"/>
            <w:vAlign w:val="center"/>
          </w:tcPr>
          <w:p w14:paraId="7B5A0216" w14:textId="77777777" w:rsidR="003E78AB" w:rsidRDefault="00010BF9">
            <w:pPr>
              <w:pStyle w:val="aff6"/>
              <w:topLinePunct/>
            </w:pPr>
            <w:r>
              <w:t>E3</w:t>
            </w:r>
          </w:p>
        </w:tc>
      </w:tr>
      <w:tr w:rsidR="003E78AB" w14:paraId="30FED897" w14:textId="77777777">
        <w:trPr>
          <w:cantSplit/>
          <w:trHeight w:val="340"/>
          <w:jc w:val="center"/>
        </w:trPr>
        <w:tc>
          <w:tcPr>
            <w:tcW w:w="550" w:type="pct"/>
            <w:vMerge w:val="restart"/>
            <w:vAlign w:val="center"/>
          </w:tcPr>
          <w:p w14:paraId="23D2A775" w14:textId="77777777" w:rsidR="003E78AB" w:rsidRDefault="00010BF9">
            <w:pPr>
              <w:pStyle w:val="aff6"/>
              <w:topLinePunct/>
            </w:pPr>
            <w:r>
              <w:t>地表水</w:t>
            </w:r>
          </w:p>
        </w:tc>
        <w:tc>
          <w:tcPr>
            <w:tcW w:w="4449" w:type="pct"/>
            <w:gridSpan w:val="6"/>
            <w:vAlign w:val="center"/>
          </w:tcPr>
          <w:p w14:paraId="636EE973" w14:textId="77777777" w:rsidR="003E78AB" w:rsidRDefault="00010BF9">
            <w:pPr>
              <w:pStyle w:val="aff6"/>
              <w:topLinePunct/>
            </w:pPr>
            <w:r>
              <w:t>受纳水体</w:t>
            </w:r>
          </w:p>
        </w:tc>
      </w:tr>
      <w:tr w:rsidR="003E78AB" w14:paraId="18D5DF9C" w14:textId="77777777">
        <w:trPr>
          <w:cantSplit/>
          <w:trHeight w:val="340"/>
          <w:jc w:val="center"/>
        </w:trPr>
        <w:tc>
          <w:tcPr>
            <w:tcW w:w="550" w:type="pct"/>
            <w:vMerge/>
            <w:vAlign w:val="center"/>
          </w:tcPr>
          <w:p w14:paraId="3BC7DD57" w14:textId="77777777" w:rsidR="003E78AB" w:rsidRDefault="003E78AB">
            <w:pPr>
              <w:pStyle w:val="aff6"/>
              <w:topLinePunct/>
            </w:pPr>
          </w:p>
        </w:tc>
        <w:tc>
          <w:tcPr>
            <w:tcW w:w="536" w:type="pct"/>
            <w:vAlign w:val="center"/>
          </w:tcPr>
          <w:p w14:paraId="7D832D31" w14:textId="77777777" w:rsidR="003E78AB" w:rsidRDefault="00010BF9">
            <w:pPr>
              <w:pStyle w:val="aff6"/>
              <w:topLinePunct/>
            </w:pPr>
            <w:r>
              <w:t>序号</w:t>
            </w:r>
          </w:p>
        </w:tc>
        <w:tc>
          <w:tcPr>
            <w:tcW w:w="1044" w:type="pct"/>
            <w:vAlign w:val="center"/>
          </w:tcPr>
          <w:p w14:paraId="2C69A1CB" w14:textId="77777777" w:rsidR="003E78AB" w:rsidRDefault="00010BF9">
            <w:pPr>
              <w:pStyle w:val="aff6"/>
              <w:topLinePunct/>
            </w:pPr>
            <w:r>
              <w:t>收纳水体名称</w:t>
            </w:r>
          </w:p>
        </w:tc>
        <w:tc>
          <w:tcPr>
            <w:tcW w:w="1373" w:type="pct"/>
            <w:gridSpan w:val="2"/>
            <w:vAlign w:val="center"/>
          </w:tcPr>
          <w:p w14:paraId="6B70BF49" w14:textId="77777777" w:rsidR="003E78AB" w:rsidRDefault="00010BF9">
            <w:pPr>
              <w:pStyle w:val="aff6"/>
              <w:topLinePunct/>
            </w:pPr>
            <w:r>
              <w:t>排放点水域环境功能</w:t>
            </w:r>
          </w:p>
        </w:tc>
        <w:tc>
          <w:tcPr>
            <w:tcW w:w="1496" w:type="pct"/>
            <w:gridSpan w:val="2"/>
            <w:vAlign w:val="center"/>
          </w:tcPr>
          <w:p w14:paraId="5F674BDA" w14:textId="77777777" w:rsidR="003E78AB" w:rsidRDefault="00010BF9">
            <w:pPr>
              <w:pStyle w:val="aff6"/>
              <w:topLinePunct/>
            </w:pPr>
            <w:r>
              <w:t>24h</w:t>
            </w:r>
            <w:r>
              <w:t>内流经范围</w:t>
            </w:r>
          </w:p>
        </w:tc>
      </w:tr>
      <w:tr w:rsidR="003E78AB" w14:paraId="3A7BB5F7" w14:textId="77777777">
        <w:trPr>
          <w:cantSplit/>
          <w:trHeight w:val="340"/>
          <w:jc w:val="center"/>
        </w:trPr>
        <w:tc>
          <w:tcPr>
            <w:tcW w:w="550" w:type="pct"/>
            <w:vMerge/>
            <w:vAlign w:val="center"/>
          </w:tcPr>
          <w:p w14:paraId="5FF02F59" w14:textId="77777777" w:rsidR="003E78AB" w:rsidRDefault="003E78AB">
            <w:pPr>
              <w:pStyle w:val="aff6"/>
              <w:topLinePunct/>
            </w:pPr>
          </w:p>
        </w:tc>
        <w:tc>
          <w:tcPr>
            <w:tcW w:w="536" w:type="pct"/>
            <w:vAlign w:val="center"/>
          </w:tcPr>
          <w:p w14:paraId="1C5554B5" w14:textId="77777777" w:rsidR="003E78AB" w:rsidRDefault="00010BF9">
            <w:pPr>
              <w:pStyle w:val="aff6"/>
              <w:topLinePunct/>
            </w:pPr>
            <w:r>
              <w:t>1</w:t>
            </w:r>
          </w:p>
        </w:tc>
        <w:tc>
          <w:tcPr>
            <w:tcW w:w="1044" w:type="pct"/>
            <w:vAlign w:val="center"/>
          </w:tcPr>
          <w:p w14:paraId="109F6266" w14:textId="77777777" w:rsidR="003E78AB" w:rsidRDefault="00010BF9">
            <w:pPr>
              <w:pStyle w:val="aff6"/>
              <w:topLinePunct/>
            </w:pPr>
            <w:r>
              <w:t>/</w:t>
            </w:r>
          </w:p>
        </w:tc>
        <w:tc>
          <w:tcPr>
            <w:tcW w:w="1373" w:type="pct"/>
            <w:gridSpan w:val="2"/>
            <w:vAlign w:val="center"/>
          </w:tcPr>
          <w:p w14:paraId="4D8E90D6" w14:textId="77777777" w:rsidR="003E78AB" w:rsidRDefault="00010BF9">
            <w:pPr>
              <w:pStyle w:val="aff6"/>
              <w:topLinePunct/>
            </w:pPr>
            <w:r>
              <w:t>/</w:t>
            </w:r>
          </w:p>
        </w:tc>
        <w:tc>
          <w:tcPr>
            <w:tcW w:w="1496" w:type="pct"/>
            <w:gridSpan w:val="2"/>
            <w:vAlign w:val="center"/>
          </w:tcPr>
          <w:p w14:paraId="71573AE7" w14:textId="77777777" w:rsidR="003E78AB" w:rsidRDefault="00010BF9">
            <w:pPr>
              <w:pStyle w:val="aff6"/>
              <w:topLinePunct/>
            </w:pPr>
            <w:r>
              <w:t>/</w:t>
            </w:r>
          </w:p>
        </w:tc>
      </w:tr>
      <w:tr w:rsidR="003E78AB" w14:paraId="2943BDEA" w14:textId="77777777">
        <w:trPr>
          <w:cantSplit/>
          <w:trHeight w:val="340"/>
          <w:jc w:val="center"/>
        </w:trPr>
        <w:tc>
          <w:tcPr>
            <w:tcW w:w="550" w:type="pct"/>
            <w:vMerge/>
            <w:vAlign w:val="center"/>
          </w:tcPr>
          <w:p w14:paraId="37009CEC" w14:textId="77777777" w:rsidR="003E78AB" w:rsidRDefault="003E78AB">
            <w:pPr>
              <w:pStyle w:val="aff6"/>
              <w:topLinePunct/>
            </w:pPr>
          </w:p>
        </w:tc>
        <w:tc>
          <w:tcPr>
            <w:tcW w:w="4449" w:type="pct"/>
            <w:gridSpan w:val="6"/>
            <w:vAlign w:val="center"/>
          </w:tcPr>
          <w:p w14:paraId="2D90DB8F" w14:textId="77777777" w:rsidR="003E78AB" w:rsidRDefault="00010BF9">
            <w:pPr>
              <w:pStyle w:val="aff6"/>
              <w:topLinePunct/>
            </w:pPr>
            <w:r>
              <w:t>内陆水体排放点下游</w:t>
            </w:r>
            <w:r>
              <w:t>10km</w:t>
            </w:r>
            <w:r>
              <w:t>（近岸海域一个潮周期最大水平距离两倍）范围内敏感目标</w:t>
            </w:r>
          </w:p>
        </w:tc>
      </w:tr>
      <w:tr w:rsidR="003E78AB" w14:paraId="7A8A28C6" w14:textId="77777777">
        <w:trPr>
          <w:cantSplit/>
          <w:trHeight w:val="340"/>
          <w:jc w:val="center"/>
        </w:trPr>
        <w:tc>
          <w:tcPr>
            <w:tcW w:w="550" w:type="pct"/>
            <w:vMerge/>
            <w:vAlign w:val="center"/>
          </w:tcPr>
          <w:p w14:paraId="26D97FFE" w14:textId="77777777" w:rsidR="003E78AB" w:rsidRDefault="003E78AB">
            <w:pPr>
              <w:pStyle w:val="aff6"/>
              <w:topLinePunct/>
            </w:pPr>
          </w:p>
        </w:tc>
        <w:tc>
          <w:tcPr>
            <w:tcW w:w="536" w:type="pct"/>
            <w:vAlign w:val="center"/>
          </w:tcPr>
          <w:p w14:paraId="010FFFC8" w14:textId="77777777" w:rsidR="003E78AB" w:rsidRDefault="00010BF9">
            <w:pPr>
              <w:pStyle w:val="aff6"/>
              <w:topLinePunct/>
            </w:pPr>
            <w:r>
              <w:t>序号</w:t>
            </w:r>
          </w:p>
        </w:tc>
        <w:tc>
          <w:tcPr>
            <w:tcW w:w="1044" w:type="pct"/>
            <w:vAlign w:val="center"/>
          </w:tcPr>
          <w:p w14:paraId="5DD43A3A" w14:textId="77777777" w:rsidR="003E78AB" w:rsidRDefault="00010BF9">
            <w:pPr>
              <w:pStyle w:val="aff6"/>
              <w:topLinePunct/>
            </w:pPr>
            <w:r>
              <w:t>敏感目标名称</w:t>
            </w:r>
          </w:p>
        </w:tc>
        <w:tc>
          <w:tcPr>
            <w:tcW w:w="661" w:type="pct"/>
            <w:vAlign w:val="center"/>
          </w:tcPr>
          <w:p w14:paraId="31CAA11C" w14:textId="77777777" w:rsidR="003E78AB" w:rsidRDefault="00010BF9">
            <w:pPr>
              <w:pStyle w:val="aff6"/>
              <w:topLinePunct/>
            </w:pPr>
            <w:r>
              <w:t>环境敏感特征</w:t>
            </w:r>
          </w:p>
        </w:tc>
        <w:tc>
          <w:tcPr>
            <w:tcW w:w="1494" w:type="pct"/>
            <w:gridSpan w:val="2"/>
            <w:vAlign w:val="center"/>
          </w:tcPr>
          <w:p w14:paraId="45936C8A" w14:textId="77777777" w:rsidR="003E78AB" w:rsidRDefault="00010BF9">
            <w:pPr>
              <w:pStyle w:val="aff6"/>
              <w:topLinePunct/>
            </w:pPr>
            <w:r>
              <w:t>水质目标</w:t>
            </w:r>
          </w:p>
        </w:tc>
        <w:tc>
          <w:tcPr>
            <w:tcW w:w="714" w:type="pct"/>
            <w:vAlign w:val="center"/>
          </w:tcPr>
          <w:p w14:paraId="43B7BAE8" w14:textId="77777777" w:rsidR="003E78AB" w:rsidRDefault="00010BF9">
            <w:pPr>
              <w:pStyle w:val="aff6"/>
              <w:topLinePunct/>
            </w:pPr>
            <w:r>
              <w:t>与排放点距离</w:t>
            </w:r>
            <w:r>
              <w:t>/m</w:t>
            </w:r>
          </w:p>
        </w:tc>
      </w:tr>
      <w:tr w:rsidR="003E78AB" w14:paraId="569F7E7C" w14:textId="77777777">
        <w:trPr>
          <w:cantSplit/>
          <w:trHeight w:val="340"/>
          <w:jc w:val="center"/>
        </w:trPr>
        <w:tc>
          <w:tcPr>
            <w:tcW w:w="550" w:type="pct"/>
            <w:vMerge/>
            <w:vAlign w:val="center"/>
          </w:tcPr>
          <w:p w14:paraId="214B339C" w14:textId="77777777" w:rsidR="003E78AB" w:rsidRDefault="003E78AB">
            <w:pPr>
              <w:pStyle w:val="aff6"/>
              <w:topLinePunct/>
            </w:pPr>
          </w:p>
        </w:tc>
        <w:tc>
          <w:tcPr>
            <w:tcW w:w="536" w:type="pct"/>
            <w:vAlign w:val="center"/>
          </w:tcPr>
          <w:p w14:paraId="5D07AEED" w14:textId="77777777" w:rsidR="003E78AB" w:rsidRDefault="00010BF9">
            <w:pPr>
              <w:pStyle w:val="aff6"/>
              <w:topLinePunct/>
            </w:pPr>
            <w:r>
              <w:t>1</w:t>
            </w:r>
          </w:p>
        </w:tc>
        <w:tc>
          <w:tcPr>
            <w:tcW w:w="1044" w:type="pct"/>
            <w:vAlign w:val="center"/>
          </w:tcPr>
          <w:p w14:paraId="0ACEB057" w14:textId="77777777" w:rsidR="003E78AB" w:rsidRDefault="00010BF9">
            <w:pPr>
              <w:pStyle w:val="aff6"/>
              <w:topLinePunct/>
            </w:pPr>
            <w:r>
              <w:t>无</w:t>
            </w:r>
          </w:p>
        </w:tc>
        <w:tc>
          <w:tcPr>
            <w:tcW w:w="661" w:type="pct"/>
            <w:vAlign w:val="center"/>
          </w:tcPr>
          <w:p w14:paraId="364F9ED9" w14:textId="77777777" w:rsidR="003E78AB" w:rsidRDefault="00010BF9">
            <w:pPr>
              <w:pStyle w:val="aff6"/>
              <w:topLinePunct/>
            </w:pPr>
            <w:r>
              <w:t>/</w:t>
            </w:r>
          </w:p>
        </w:tc>
        <w:tc>
          <w:tcPr>
            <w:tcW w:w="1494" w:type="pct"/>
            <w:gridSpan w:val="2"/>
            <w:vAlign w:val="center"/>
          </w:tcPr>
          <w:p w14:paraId="278DA8E0" w14:textId="77777777" w:rsidR="003E78AB" w:rsidRDefault="00010BF9">
            <w:pPr>
              <w:pStyle w:val="aff6"/>
              <w:topLinePunct/>
            </w:pPr>
            <w:r>
              <w:t>/</w:t>
            </w:r>
          </w:p>
        </w:tc>
        <w:tc>
          <w:tcPr>
            <w:tcW w:w="714" w:type="pct"/>
            <w:vAlign w:val="center"/>
          </w:tcPr>
          <w:p w14:paraId="00945C24" w14:textId="77777777" w:rsidR="003E78AB" w:rsidRDefault="00010BF9">
            <w:pPr>
              <w:pStyle w:val="aff6"/>
              <w:topLinePunct/>
            </w:pPr>
            <w:r>
              <w:t>/</w:t>
            </w:r>
          </w:p>
        </w:tc>
      </w:tr>
      <w:tr w:rsidR="003E78AB" w14:paraId="7ED5CD02" w14:textId="77777777">
        <w:trPr>
          <w:cantSplit/>
          <w:trHeight w:val="340"/>
          <w:jc w:val="center"/>
        </w:trPr>
        <w:tc>
          <w:tcPr>
            <w:tcW w:w="550" w:type="pct"/>
            <w:vMerge/>
            <w:vAlign w:val="center"/>
          </w:tcPr>
          <w:p w14:paraId="3FC437BC" w14:textId="77777777" w:rsidR="003E78AB" w:rsidRDefault="003E78AB">
            <w:pPr>
              <w:pStyle w:val="aff6"/>
              <w:topLinePunct/>
            </w:pPr>
          </w:p>
        </w:tc>
        <w:tc>
          <w:tcPr>
            <w:tcW w:w="3735" w:type="pct"/>
            <w:gridSpan w:val="5"/>
            <w:vAlign w:val="center"/>
          </w:tcPr>
          <w:p w14:paraId="659B00AF" w14:textId="77777777" w:rsidR="003E78AB" w:rsidRDefault="00010BF9">
            <w:pPr>
              <w:pStyle w:val="aff6"/>
              <w:topLinePunct/>
            </w:pPr>
            <w:r>
              <w:t>地表水环境敏感程度</w:t>
            </w:r>
            <w:r>
              <w:t>E</w:t>
            </w:r>
            <w:r>
              <w:t>值</w:t>
            </w:r>
          </w:p>
        </w:tc>
        <w:tc>
          <w:tcPr>
            <w:tcW w:w="714" w:type="pct"/>
            <w:vAlign w:val="center"/>
          </w:tcPr>
          <w:p w14:paraId="06762E2B" w14:textId="77777777" w:rsidR="003E78AB" w:rsidRDefault="00010BF9">
            <w:pPr>
              <w:pStyle w:val="aff6"/>
              <w:topLinePunct/>
            </w:pPr>
            <w:r>
              <w:t>E3</w:t>
            </w:r>
          </w:p>
        </w:tc>
      </w:tr>
      <w:tr w:rsidR="003E78AB" w14:paraId="1EB51243" w14:textId="77777777">
        <w:trPr>
          <w:cantSplit/>
          <w:trHeight w:val="340"/>
          <w:jc w:val="center"/>
        </w:trPr>
        <w:tc>
          <w:tcPr>
            <w:tcW w:w="550" w:type="pct"/>
            <w:vMerge w:val="restart"/>
            <w:vAlign w:val="center"/>
          </w:tcPr>
          <w:p w14:paraId="6B26B811" w14:textId="77777777" w:rsidR="003E78AB" w:rsidRDefault="00010BF9">
            <w:pPr>
              <w:pStyle w:val="aff6"/>
              <w:topLinePunct/>
            </w:pPr>
            <w:r>
              <w:t>地下水</w:t>
            </w:r>
          </w:p>
        </w:tc>
        <w:tc>
          <w:tcPr>
            <w:tcW w:w="536" w:type="pct"/>
            <w:vAlign w:val="center"/>
          </w:tcPr>
          <w:p w14:paraId="47704535" w14:textId="77777777" w:rsidR="003E78AB" w:rsidRDefault="00010BF9">
            <w:pPr>
              <w:pStyle w:val="aff6"/>
              <w:topLinePunct/>
            </w:pPr>
            <w:r>
              <w:t>序号</w:t>
            </w:r>
          </w:p>
        </w:tc>
        <w:tc>
          <w:tcPr>
            <w:tcW w:w="1044" w:type="pct"/>
            <w:vAlign w:val="center"/>
          </w:tcPr>
          <w:p w14:paraId="391BE4C9" w14:textId="77777777" w:rsidR="003E78AB" w:rsidRDefault="00010BF9">
            <w:pPr>
              <w:pStyle w:val="aff6"/>
              <w:topLinePunct/>
            </w:pPr>
            <w:r>
              <w:t>环境敏感区名称</w:t>
            </w:r>
          </w:p>
        </w:tc>
        <w:tc>
          <w:tcPr>
            <w:tcW w:w="661" w:type="pct"/>
            <w:vAlign w:val="center"/>
          </w:tcPr>
          <w:p w14:paraId="7E24C763" w14:textId="77777777" w:rsidR="003E78AB" w:rsidRDefault="00010BF9">
            <w:pPr>
              <w:pStyle w:val="aff6"/>
              <w:topLinePunct/>
            </w:pPr>
            <w:r>
              <w:t>环境敏感特征</w:t>
            </w:r>
          </w:p>
        </w:tc>
        <w:tc>
          <w:tcPr>
            <w:tcW w:w="711" w:type="pct"/>
            <w:vAlign w:val="center"/>
          </w:tcPr>
          <w:p w14:paraId="64020F08" w14:textId="77777777" w:rsidR="003E78AB" w:rsidRDefault="00010BF9">
            <w:pPr>
              <w:pStyle w:val="aff6"/>
              <w:topLinePunct/>
            </w:pPr>
            <w:r>
              <w:t>水质目标</w:t>
            </w:r>
          </w:p>
        </w:tc>
        <w:tc>
          <w:tcPr>
            <w:tcW w:w="782" w:type="pct"/>
            <w:vAlign w:val="center"/>
          </w:tcPr>
          <w:p w14:paraId="3E079FAA" w14:textId="77777777" w:rsidR="003E78AB" w:rsidRDefault="00010BF9">
            <w:pPr>
              <w:pStyle w:val="aff6"/>
              <w:topLinePunct/>
            </w:pPr>
            <w:r>
              <w:t>包气带防污性能</w:t>
            </w:r>
          </w:p>
        </w:tc>
        <w:tc>
          <w:tcPr>
            <w:tcW w:w="714" w:type="pct"/>
            <w:vAlign w:val="center"/>
          </w:tcPr>
          <w:p w14:paraId="45851CF7" w14:textId="77777777" w:rsidR="003E78AB" w:rsidRDefault="00010BF9">
            <w:pPr>
              <w:pStyle w:val="aff6"/>
              <w:topLinePunct/>
            </w:pPr>
            <w:r>
              <w:t>与下游厂界距离</w:t>
            </w:r>
            <w:r>
              <w:t>/m</w:t>
            </w:r>
          </w:p>
        </w:tc>
      </w:tr>
      <w:tr w:rsidR="003E78AB" w14:paraId="09D319CC" w14:textId="77777777">
        <w:trPr>
          <w:cantSplit/>
          <w:trHeight w:val="340"/>
          <w:jc w:val="center"/>
        </w:trPr>
        <w:tc>
          <w:tcPr>
            <w:tcW w:w="550" w:type="pct"/>
            <w:vMerge/>
            <w:vAlign w:val="center"/>
          </w:tcPr>
          <w:p w14:paraId="238A68B6" w14:textId="77777777" w:rsidR="003E78AB" w:rsidRDefault="003E78AB">
            <w:pPr>
              <w:pStyle w:val="aff6"/>
              <w:topLinePunct/>
            </w:pPr>
          </w:p>
        </w:tc>
        <w:tc>
          <w:tcPr>
            <w:tcW w:w="536" w:type="pct"/>
            <w:vAlign w:val="center"/>
          </w:tcPr>
          <w:p w14:paraId="0FDFD5D4" w14:textId="77777777" w:rsidR="003E78AB" w:rsidRDefault="00010BF9">
            <w:pPr>
              <w:pStyle w:val="aff6"/>
              <w:topLinePunct/>
            </w:pPr>
            <w:r>
              <w:t>1</w:t>
            </w:r>
          </w:p>
        </w:tc>
        <w:tc>
          <w:tcPr>
            <w:tcW w:w="1044" w:type="pct"/>
            <w:vAlign w:val="center"/>
          </w:tcPr>
          <w:p w14:paraId="191AD2FA" w14:textId="77777777" w:rsidR="003E78AB" w:rsidRDefault="00010BF9">
            <w:pPr>
              <w:pStyle w:val="aff6"/>
              <w:topLinePunct/>
            </w:pPr>
            <w:r>
              <w:t>无</w:t>
            </w:r>
          </w:p>
        </w:tc>
        <w:tc>
          <w:tcPr>
            <w:tcW w:w="661" w:type="pct"/>
            <w:vAlign w:val="center"/>
          </w:tcPr>
          <w:p w14:paraId="351C73B3" w14:textId="77777777" w:rsidR="003E78AB" w:rsidRDefault="00010BF9">
            <w:pPr>
              <w:pStyle w:val="aff6"/>
              <w:topLinePunct/>
            </w:pPr>
            <w:r>
              <w:t>不敏感</w:t>
            </w:r>
            <w:r>
              <w:t>G3</w:t>
            </w:r>
          </w:p>
        </w:tc>
        <w:tc>
          <w:tcPr>
            <w:tcW w:w="711" w:type="pct"/>
            <w:vAlign w:val="center"/>
          </w:tcPr>
          <w:p w14:paraId="1F8F5A51" w14:textId="77777777" w:rsidR="003E78AB" w:rsidRDefault="00010BF9">
            <w:pPr>
              <w:pStyle w:val="aff6"/>
              <w:topLinePunct/>
            </w:pPr>
            <w:r>
              <w:t>Ⅲ</w:t>
            </w:r>
            <w:r>
              <w:t>类</w:t>
            </w:r>
          </w:p>
        </w:tc>
        <w:tc>
          <w:tcPr>
            <w:tcW w:w="782" w:type="pct"/>
            <w:vAlign w:val="center"/>
          </w:tcPr>
          <w:p w14:paraId="5988A96B" w14:textId="77777777" w:rsidR="003E78AB" w:rsidRDefault="00010BF9">
            <w:pPr>
              <w:pStyle w:val="aff6"/>
              <w:topLinePunct/>
            </w:pPr>
            <w:r>
              <w:t>D1</w:t>
            </w:r>
          </w:p>
        </w:tc>
        <w:tc>
          <w:tcPr>
            <w:tcW w:w="714" w:type="pct"/>
            <w:vAlign w:val="center"/>
          </w:tcPr>
          <w:p w14:paraId="6AD85F76" w14:textId="77777777" w:rsidR="003E78AB" w:rsidRDefault="00010BF9">
            <w:pPr>
              <w:pStyle w:val="aff6"/>
              <w:topLinePunct/>
            </w:pPr>
            <w:r>
              <w:t>/</w:t>
            </w:r>
          </w:p>
        </w:tc>
      </w:tr>
      <w:tr w:rsidR="003E78AB" w14:paraId="39E1410C" w14:textId="77777777">
        <w:trPr>
          <w:cantSplit/>
          <w:trHeight w:val="340"/>
          <w:jc w:val="center"/>
        </w:trPr>
        <w:tc>
          <w:tcPr>
            <w:tcW w:w="550" w:type="pct"/>
            <w:vMerge/>
            <w:vAlign w:val="center"/>
          </w:tcPr>
          <w:p w14:paraId="02915831" w14:textId="77777777" w:rsidR="003E78AB" w:rsidRDefault="003E78AB">
            <w:pPr>
              <w:pStyle w:val="aff6"/>
              <w:topLinePunct/>
            </w:pPr>
          </w:p>
        </w:tc>
        <w:tc>
          <w:tcPr>
            <w:tcW w:w="3735" w:type="pct"/>
            <w:gridSpan w:val="5"/>
            <w:vAlign w:val="center"/>
          </w:tcPr>
          <w:p w14:paraId="1CF1024E" w14:textId="77777777" w:rsidR="003E78AB" w:rsidRDefault="00010BF9">
            <w:pPr>
              <w:pStyle w:val="aff6"/>
              <w:topLinePunct/>
            </w:pPr>
            <w:r>
              <w:t>地下水环境敏感程度</w:t>
            </w:r>
            <w:r>
              <w:t>E</w:t>
            </w:r>
            <w:r>
              <w:t>值</w:t>
            </w:r>
          </w:p>
        </w:tc>
        <w:tc>
          <w:tcPr>
            <w:tcW w:w="714" w:type="pct"/>
            <w:vAlign w:val="center"/>
          </w:tcPr>
          <w:p w14:paraId="64F22E25" w14:textId="77777777" w:rsidR="003E78AB" w:rsidRDefault="00010BF9">
            <w:pPr>
              <w:pStyle w:val="aff6"/>
              <w:topLinePunct/>
            </w:pPr>
            <w:r>
              <w:t>E2</w:t>
            </w:r>
          </w:p>
        </w:tc>
      </w:tr>
    </w:tbl>
    <w:p w14:paraId="118929A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.2.3</w:t>
      </w:r>
      <w:r>
        <w:rPr>
          <w:rFonts w:cs="Times New Roman"/>
          <w:sz w:val="28"/>
          <w:szCs w:val="28"/>
        </w:rPr>
        <w:t>环境风险潜势初判</w:t>
      </w:r>
    </w:p>
    <w:p w14:paraId="560F994C" w14:textId="77777777" w:rsidR="003E78AB" w:rsidRDefault="00010BF9">
      <w:pPr>
        <w:ind w:firstLine="480"/>
        <w:rPr>
          <w:kern w:val="2"/>
        </w:rPr>
      </w:pPr>
      <w:r>
        <w:rPr>
          <w:kern w:val="2"/>
        </w:rPr>
        <w:t>（</w:t>
      </w:r>
      <w:r>
        <w:rPr>
          <w:kern w:val="2"/>
        </w:rPr>
        <w:t>1</w:t>
      </w:r>
      <w:r>
        <w:rPr>
          <w:kern w:val="2"/>
        </w:rPr>
        <w:t>）危险物质及工艺系统危险性（</w:t>
      </w:r>
      <w:r>
        <w:rPr>
          <w:kern w:val="2"/>
        </w:rPr>
        <w:t>P</w:t>
      </w:r>
      <w:r>
        <w:rPr>
          <w:kern w:val="2"/>
        </w:rPr>
        <w:t>）的分级</w:t>
      </w:r>
    </w:p>
    <w:p w14:paraId="2F78EA34" w14:textId="77777777" w:rsidR="003E78AB" w:rsidRDefault="00010BF9">
      <w:pPr>
        <w:ind w:firstLine="480"/>
        <w:rPr>
          <w:kern w:val="2"/>
        </w:rPr>
      </w:pPr>
      <w:r>
        <w:rPr>
          <w:kern w:val="2"/>
        </w:rPr>
        <w:t>①</w:t>
      </w:r>
      <w:r>
        <w:rPr>
          <w:kern w:val="2"/>
        </w:rPr>
        <w:t>危险物质数量与临界量比值（</w:t>
      </w:r>
      <w:r>
        <w:rPr>
          <w:kern w:val="2"/>
        </w:rPr>
        <w:t>Q</w:t>
      </w:r>
      <w:r>
        <w:rPr>
          <w:kern w:val="2"/>
        </w:rPr>
        <w:t>）</w:t>
      </w:r>
    </w:p>
    <w:p w14:paraId="4CBD8E74" w14:textId="77777777" w:rsidR="003E78AB" w:rsidRDefault="00010BF9">
      <w:pPr>
        <w:ind w:firstLine="480"/>
        <w:rPr>
          <w:kern w:val="2"/>
        </w:rPr>
      </w:pPr>
      <w:r>
        <w:rPr>
          <w:kern w:val="2"/>
        </w:rPr>
        <w:t>根据《建设项目环境风险评价技术导则》（</w:t>
      </w:r>
      <w:r>
        <w:rPr>
          <w:kern w:val="2"/>
        </w:rPr>
        <w:t>HJ169-2018</w:t>
      </w:r>
      <w:r>
        <w:rPr>
          <w:kern w:val="2"/>
        </w:rPr>
        <w:t>）和《危险化学品重大危险源辨识》（</w:t>
      </w:r>
      <w:r>
        <w:rPr>
          <w:kern w:val="2"/>
        </w:rPr>
        <w:t>GB18218-2018</w:t>
      </w:r>
      <w:r>
        <w:rPr>
          <w:kern w:val="2"/>
        </w:rPr>
        <w:t>），危险化学品重大危险源是指</w:t>
      </w:r>
      <w:r>
        <w:rPr>
          <w:kern w:val="2"/>
        </w:rPr>
        <w:t>“</w:t>
      </w:r>
      <w:r>
        <w:rPr>
          <w:kern w:val="2"/>
        </w:rPr>
        <w:t>长期的或临时的生产、加工、搬运、使用或储存危险化学品，且危险化学品的数量等于或超过临界量的单元</w:t>
      </w:r>
      <w:r>
        <w:rPr>
          <w:kern w:val="2"/>
        </w:rPr>
        <w:t>”</w:t>
      </w:r>
      <w:r>
        <w:rPr>
          <w:kern w:val="2"/>
        </w:rPr>
        <w:t>。计算所涉及的每种危险物质在厂界内的最大存在总量与其在附录</w:t>
      </w:r>
      <w:r>
        <w:rPr>
          <w:kern w:val="2"/>
        </w:rPr>
        <w:t>B</w:t>
      </w:r>
      <w:r>
        <w:rPr>
          <w:kern w:val="2"/>
        </w:rPr>
        <w:t>中对应临界量的比值</w:t>
      </w:r>
      <w:r>
        <w:rPr>
          <w:i/>
          <w:iCs/>
          <w:kern w:val="2"/>
        </w:rPr>
        <w:t>Q</w:t>
      </w:r>
      <w:r>
        <w:rPr>
          <w:kern w:val="2"/>
        </w:rPr>
        <w:t>。在不同厂区的同一种物质，按其在厂界内的最大存在总量计算。对于长输管线项目，按照两个截断阀室之间管段危险物质最大存在总量计算。单元内存在的危险化学品的数量根据处理危险化学品的多少，区分为以下</w:t>
      </w:r>
      <w:r>
        <w:rPr>
          <w:kern w:val="2"/>
        </w:rPr>
        <w:t>两种情况：</w:t>
      </w:r>
    </w:p>
    <w:p w14:paraId="1F0ECF82" w14:textId="77777777" w:rsidR="003E78AB" w:rsidRDefault="00010BF9">
      <w:pPr>
        <w:ind w:firstLine="480"/>
        <w:rPr>
          <w:kern w:val="2"/>
        </w:rPr>
      </w:pPr>
      <w:r>
        <w:rPr>
          <w:kern w:val="2"/>
        </w:rPr>
        <w:t>A</w:t>
      </w:r>
      <w:r>
        <w:rPr>
          <w:kern w:val="2"/>
        </w:rPr>
        <w:t>、当只涉及一种危险物质时，计算该物质的总量与其临界量比值，即为</w:t>
      </w:r>
      <w:r>
        <w:rPr>
          <w:i/>
          <w:iCs/>
          <w:kern w:val="2"/>
        </w:rPr>
        <w:t>Q</w:t>
      </w:r>
      <w:r>
        <w:rPr>
          <w:kern w:val="2"/>
        </w:rPr>
        <w:t>；</w:t>
      </w:r>
    </w:p>
    <w:p w14:paraId="163B8020" w14:textId="77777777" w:rsidR="003E78AB" w:rsidRDefault="00010BF9">
      <w:pPr>
        <w:ind w:firstLine="480"/>
        <w:rPr>
          <w:kern w:val="2"/>
        </w:rPr>
      </w:pPr>
      <w:r>
        <w:rPr>
          <w:kern w:val="2"/>
        </w:rPr>
        <w:t>B</w:t>
      </w:r>
      <w:r>
        <w:rPr>
          <w:kern w:val="2"/>
        </w:rPr>
        <w:t>、当存在多种危险物质时，则按下式计算物质总量与其临界量比值（</w:t>
      </w:r>
      <w:r>
        <w:rPr>
          <w:i/>
          <w:iCs/>
          <w:kern w:val="2"/>
        </w:rPr>
        <w:t>Q</w:t>
      </w:r>
      <w:r>
        <w:rPr>
          <w:kern w:val="2"/>
        </w:rPr>
        <w:t>）：</w:t>
      </w:r>
    </w:p>
    <w:p w14:paraId="03AF138F" w14:textId="77777777" w:rsidR="003E78AB" w:rsidRDefault="00010BF9">
      <w:pPr>
        <w:spacing w:line="240" w:lineRule="auto"/>
        <w:ind w:firstLine="480"/>
        <w:jc w:val="left"/>
        <w:rPr>
          <w:bCs/>
          <w:i/>
          <w:kern w:val="2"/>
          <w:szCs w:val="22"/>
        </w:rPr>
      </w:pPr>
      <m:oMathPara>
        <m:oMath>
          <m:r>
            <w:rPr>
              <w:rFonts w:ascii="Cambria Math" w:hAnsi="Cambria Math"/>
            </w:rPr>
            <m:t>Q</m:t>
          </m:r>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q</m:t>
                  </m:r>
                </m:e>
                <m:sub>
                  <m:r>
                    <w:rPr>
                      <w:rFonts w:ascii="Cambria Math" w:hAnsi="Cambria Math"/>
                    </w:rPr>
                    <m:t>1</m:t>
                  </m:r>
                </m:sub>
              </m:sSub>
            </m:num>
            <m:den>
              <m:sSub>
                <m:sSubPr>
                  <m:ctrlPr>
                    <w:rPr>
                      <w:rFonts w:ascii="Cambria Math" w:hAnsi="Cambria Math"/>
                      <w:bCs/>
                      <w:i/>
                    </w:rPr>
                  </m:ctrlPr>
                </m:sSubPr>
                <m:e>
                  <m:r>
                    <w:rPr>
                      <w:rFonts w:ascii="Cambria Math" w:hAnsi="Cambria Math"/>
                    </w:rPr>
                    <m:t>Q</m:t>
                  </m:r>
                </m:e>
                <m:sub>
                  <m:r>
                    <w:rPr>
                      <w:rFonts w:ascii="Cambria Math" w:hAnsi="Cambria Math"/>
                    </w:rPr>
                    <m:t>1</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q</m:t>
                  </m:r>
                </m:e>
                <m:sub>
                  <m:r>
                    <w:rPr>
                      <w:rFonts w:ascii="Cambria Math" w:hAnsi="Cambria Math"/>
                    </w:rPr>
                    <m:t>2</m:t>
                  </m:r>
                </m:sub>
              </m:sSub>
            </m:num>
            <m:den>
              <m:sSub>
                <m:sSubPr>
                  <m:ctrlPr>
                    <w:rPr>
                      <w:rFonts w:ascii="Cambria Math" w:hAnsi="Cambria Math"/>
                      <w:bCs/>
                      <w:i/>
                    </w:rPr>
                  </m:ctrlPr>
                </m:sSubPr>
                <m:e>
                  <m:r>
                    <w:rPr>
                      <w:rFonts w:ascii="Cambria Math" w:hAnsi="Cambria Math"/>
                    </w:rPr>
                    <m:t>Q</m:t>
                  </m:r>
                </m:e>
                <m:sub>
                  <m:r>
                    <w:rPr>
                      <w:rFonts w:ascii="Cambria Math" w:hAnsi="Cambria Math"/>
                    </w:rPr>
                    <m:t>2</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q</m:t>
                  </m:r>
                </m:e>
                <m:sub>
                  <m:r>
                    <w:rPr>
                      <w:rFonts w:ascii="Cambria Math" w:hAnsi="Cambria Math"/>
                    </w:rPr>
                    <m:t>n</m:t>
                  </m:r>
                </m:sub>
              </m:sSub>
            </m:num>
            <m:den>
              <m:sSub>
                <m:sSubPr>
                  <m:ctrlPr>
                    <w:rPr>
                      <w:rFonts w:ascii="Cambria Math" w:hAnsi="Cambria Math"/>
                      <w:bCs/>
                      <w:i/>
                    </w:rPr>
                  </m:ctrlPr>
                </m:sSubPr>
                <m:e>
                  <m:r>
                    <w:rPr>
                      <w:rFonts w:ascii="Cambria Math" w:hAnsi="Cambria Math"/>
                    </w:rPr>
                    <m:t>Q</m:t>
                  </m:r>
                </m:e>
                <m:sub>
                  <m:r>
                    <w:rPr>
                      <w:rFonts w:ascii="Cambria Math" w:hAnsi="Cambria Math"/>
                    </w:rPr>
                    <m:t>n</m:t>
                  </m:r>
                </m:sub>
              </m:sSub>
            </m:den>
          </m:f>
        </m:oMath>
      </m:oMathPara>
    </w:p>
    <w:p w14:paraId="0A98227E" w14:textId="77777777" w:rsidR="003E78AB" w:rsidRDefault="00010BF9">
      <w:pPr>
        <w:ind w:firstLine="480"/>
        <w:rPr>
          <w:kern w:val="2"/>
        </w:rPr>
      </w:pPr>
      <w:r>
        <w:rPr>
          <w:kern w:val="2"/>
        </w:rPr>
        <w:t>式中：</w:t>
      </w:r>
      <w:r>
        <w:rPr>
          <w:i/>
          <w:iCs/>
          <w:kern w:val="2"/>
        </w:rPr>
        <w:t>q</w:t>
      </w:r>
      <w:r>
        <w:rPr>
          <w:i/>
          <w:iCs/>
          <w:kern w:val="2"/>
          <w:vertAlign w:val="subscript"/>
        </w:rPr>
        <w:t>1</w:t>
      </w:r>
      <w:r>
        <w:rPr>
          <w:kern w:val="2"/>
        </w:rPr>
        <w:t>，</w:t>
      </w:r>
      <w:r>
        <w:rPr>
          <w:i/>
          <w:iCs/>
          <w:kern w:val="2"/>
        </w:rPr>
        <w:t>q</w:t>
      </w:r>
      <w:r>
        <w:rPr>
          <w:i/>
          <w:iCs/>
          <w:kern w:val="2"/>
          <w:vertAlign w:val="subscript"/>
        </w:rPr>
        <w:t>2</w:t>
      </w:r>
      <w:r>
        <w:rPr>
          <w:kern w:val="2"/>
        </w:rPr>
        <w:t>，</w:t>
      </w:r>
      <w:r>
        <w:rPr>
          <w:kern w:val="2"/>
        </w:rPr>
        <w:t>...</w:t>
      </w:r>
      <w:r>
        <w:rPr>
          <w:kern w:val="2"/>
        </w:rPr>
        <w:t>，</w:t>
      </w:r>
      <w:r>
        <w:rPr>
          <w:i/>
          <w:iCs/>
          <w:kern w:val="2"/>
        </w:rPr>
        <w:t>q</w:t>
      </w:r>
      <w:r>
        <w:rPr>
          <w:i/>
          <w:iCs/>
          <w:kern w:val="2"/>
          <w:vertAlign w:val="subscript"/>
        </w:rPr>
        <w:t>n</w:t>
      </w:r>
      <w:r>
        <w:rPr>
          <w:kern w:val="2"/>
        </w:rPr>
        <w:t>——</w:t>
      </w:r>
      <w:r>
        <w:rPr>
          <w:kern w:val="2"/>
        </w:rPr>
        <w:t>每种危险物质的最大总存在量，</w:t>
      </w:r>
      <w:r>
        <w:rPr>
          <w:kern w:val="2"/>
        </w:rPr>
        <w:t>t</w:t>
      </w:r>
      <w:r>
        <w:rPr>
          <w:kern w:val="2"/>
        </w:rPr>
        <w:t>；</w:t>
      </w:r>
    </w:p>
    <w:p w14:paraId="096FF76C" w14:textId="77777777" w:rsidR="003E78AB" w:rsidRDefault="00010BF9">
      <w:pPr>
        <w:ind w:firstLine="480"/>
        <w:rPr>
          <w:kern w:val="2"/>
        </w:rPr>
      </w:pPr>
      <w:r>
        <w:rPr>
          <w:i/>
          <w:iCs/>
          <w:kern w:val="2"/>
        </w:rPr>
        <w:t>Q</w:t>
      </w:r>
      <w:r>
        <w:rPr>
          <w:i/>
          <w:iCs/>
          <w:kern w:val="2"/>
          <w:vertAlign w:val="subscript"/>
        </w:rPr>
        <w:t>1</w:t>
      </w:r>
      <w:r>
        <w:rPr>
          <w:kern w:val="2"/>
        </w:rPr>
        <w:t>，</w:t>
      </w:r>
      <w:r>
        <w:rPr>
          <w:i/>
          <w:iCs/>
          <w:kern w:val="2"/>
        </w:rPr>
        <w:t>Q</w:t>
      </w:r>
      <w:r>
        <w:rPr>
          <w:i/>
          <w:iCs/>
          <w:kern w:val="2"/>
          <w:vertAlign w:val="subscript"/>
        </w:rPr>
        <w:t>2</w:t>
      </w:r>
      <w:r>
        <w:rPr>
          <w:kern w:val="2"/>
        </w:rPr>
        <w:t>，</w:t>
      </w:r>
      <w:r>
        <w:rPr>
          <w:kern w:val="2"/>
        </w:rPr>
        <w:t>...</w:t>
      </w:r>
      <w:r>
        <w:rPr>
          <w:kern w:val="2"/>
        </w:rPr>
        <w:t>，</w:t>
      </w:r>
      <w:r>
        <w:rPr>
          <w:i/>
          <w:iCs/>
          <w:kern w:val="2"/>
        </w:rPr>
        <w:t>Q</w:t>
      </w:r>
      <w:r>
        <w:rPr>
          <w:i/>
          <w:iCs/>
          <w:kern w:val="2"/>
          <w:vertAlign w:val="subscript"/>
        </w:rPr>
        <w:t>n</w:t>
      </w:r>
      <w:r>
        <w:rPr>
          <w:kern w:val="2"/>
        </w:rPr>
        <w:t>——</w:t>
      </w:r>
      <w:r>
        <w:rPr>
          <w:kern w:val="2"/>
        </w:rPr>
        <w:t>每种危险物质的临界量，</w:t>
      </w:r>
      <w:r>
        <w:rPr>
          <w:kern w:val="2"/>
        </w:rPr>
        <w:t>t</w:t>
      </w:r>
      <w:r>
        <w:rPr>
          <w:kern w:val="2"/>
        </w:rPr>
        <w:t>；</w:t>
      </w:r>
    </w:p>
    <w:p w14:paraId="27738DD4" w14:textId="77777777" w:rsidR="003E78AB" w:rsidRDefault="00010BF9">
      <w:pPr>
        <w:ind w:firstLine="480"/>
        <w:rPr>
          <w:kern w:val="2"/>
        </w:rPr>
      </w:pPr>
      <w:r>
        <w:rPr>
          <w:kern w:val="2"/>
        </w:rPr>
        <w:t>当</w:t>
      </w:r>
      <w:r>
        <w:rPr>
          <w:i/>
          <w:iCs/>
          <w:kern w:val="2"/>
        </w:rPr>
        <w:t>Q</w:t>
      </w:r>
      <w:r>
        <w:rPr>
          <w:kern w:val="2"/>
        </w:rPr>
        <w:t>＜</w:t>
      </w:r>
      <w:r>
        <w:rPr>
          <w:kern w:val="2"/>
        </w:rPr>
        <w:t>1</w:t>
      </w:r>
      <w:r>
        <w:rPr>
          <w:kern w:val="2"/>
        </w:rPr>
        <w:t>时，该项目环境风险潜势为</w:t>
      </w:r>
      <w:r>
        <w:rPr>
          <w:kern w:val="2"/>
        </w:rPr>
        <w:t>Ⅰ</w:t>
      </w:r>
      <w:r>
        <w:rPr>
          <w:kern w:val="2"/>
        </w:rPr>
        <w:t>；</w:t>
      </w:r>
    </w:p>
    <w:p w14:paraId="1714BC35" w14:textId="77777777" w:rsidR="003E78AB" w:rsidRDefault="00010BF9">
      <w:pPr>
        <w:ind w:firstLine="480"/>
        <w:rPr>
          <w:kern w:val="2"/>
        </w:rPr>
      </w:pPr>
      <w:r>
        <w:rPr>
          <w:kern w:val="2"/>
        </w:rPr>
        <w:t>当</w:t>
      </w:r>
      <w:r>
        <w:rPr>
          <w:i/>
          <w:iCs/>
          <w:kern w:val="2"/>
        </w:rPr>
        <w:t>Q</w:t>
      </w:r>
      <w:r>
        <w:rPr>
          <w:kern w:val="2"/>
        </w:rPr>
        <w:t>≥1</w:t>
      </w:r>
      <w:r>
        <w:rPr>
          <w:kern w:val="2"/>
        </w:rPr>
        <w:t>时，将</w:t>
      </w:r>
      <w:r>
        <w:rPr>
          <w:i/>
          <w:iCs/>
          <w:kern w:val="2"/>
        </w:rPr>
        <w:t>Q</w:t>
      </w:r>
      <w:r>
        <w:rPr>
          <w:kern w:val="2"/>
        </w:rPr>
        <w:t>值划分为：（</w:t>
      </w:r>
      <w:r>
        <w:rPr>
          <w:kern w:val="2"/>
        </w:rPr>
        <w:t>1</w:t>
      </w:r>
      <w:r>
        <w:rPr>
          <w:kern w:val="2"/>
        </w:rPr>
        <w:t>）</w:t>
      </w:r>
      <w:r>
        <w:rPr>
          <w:kern w:val="2"/>
        </w:rPr>
        <w:t>1≤Q</w:t>
      </w:r>
      <w:r>
        <w:rPr>
          <w:kern w:val="2"/>
        </w:rPr>
        <w:t>＜</w:t>
      </w:r>
      <w:r>
        <w:rPr>
          <w:kern w:val="2"/>
        </w:rPr>
        <w:t>10</w:t>
      </w:r>
      <w:r>
        <w:rPr>
          <w:kern w:val="2"/>
        </w:rPr>
        <w:t>；（</w:t>
      </w:r>
      <w:r>
        <w:rPr>
          <w:kern w:val="2"/>
        </w:rPr>
        <w:t>2</w:t>
      </w:r>
      <w:r>
        <w:rPr>
          <w:kern w:val="2"/>
        </w:rPr>
        <w:t>）</w:t>
      </w:r>
      <w:r>
        <w:rPr>
          <w:kern w:val="2"/>
        </w:rPr>
        <w:t>10≤Q</w:t>
      </w:r>
      <w:r>
        <w:rPr>
          <w:kern w:val="2"/>
        </w:rPr>
        <w:t>＜</w:t>
      </w:r>
      <w:r>
        <w:rPr>
          <w:kern w:val="2"/>
        </w:rPr>
        <w:t>100</w:t>
      </w:r>
      <w:r>
        <w:rPr>
          <w:kern w:val="2"/>
        </w:rPr>
        <w:t>；（</w:t>
      </w:r>
      <w:r>
        <w:rPr>
          <w:kern w:val="2"/>
        </w:rPr>
        <w:t>3</w:t>
      </w:r>
      <w:r>
        <w:rPr>
          <w:kern w:val="2"/>
        </w:rPr>
        <w:t>）</w:t>
      </w:r>
      <w:r>
        <w:rPr>
          <w:i/>
          <w:iCs/>
          <w:kern w:val="2"/>
        </w:rPr>
        <w:t>Q</w:t>
      </w:r>
      <w:r>
        <w:rPr>
          <w:kern w:val="2"/>
        </w:rPr>
        <w:t>≥100</w:t>
      </w:r>
      <w:r>
        <w:rPr>
          <w:kern w:val="2"/>
        </w:rPr>
        <w:t>。</w:t>
      </w:r>
    </w:p>
    <w:p w14:paraId="11850DF4" w14:textId="77777777" w:rsidR="003E78AB" w:rsidRDefault="00010BF9">
      <w:pPr>
        <w:spacing w:line="460" w:lineRule="exact"/>
        <w:ind w:firstLine="480"/>
        <w:rPr>
          <w:bCs/>
          <w:kern w:val="2"/>
        </w:rPr>
      </w:pPr>
      <w:r>
        <w:rPr>
          <w:bCs/>
          <w:kern w:val="2"/>
        </w:rPr>
        <w:t>经调查，本项目危险物质储存量与临界量比值见表</w:t>
      </w:r>
      <w:r>
        <w:rPr>
          <w:rFonts w:hint="eastAsia"/>
          <w:bCs/>
          <w:kern w:val="2"/>
        </w:rPr>
        <w:t>6</w:t>
      </w:r>
      <w:r>
        <w:rPr>
          <w:bCs/>
          <w:kern w:val="2"/>
        </w:rPr>
        <w:t>-3</w:t>
      </w:r>
      <w:r>
        <w:rPr>
          <w:bCs/>
          <w:kern w:val="2"/>
        </w:rPr>
        <w:t>。</w:t>
      </w:r>
    </w:p>
    <w:p w14:paraId="3875152B" w14:textId="77777777" w:rsidR="003E78AB" w:rsidRDefault="00010BF9">
      <w:pPr>
        <w:pStyle w:val="a"/>
        <w:spacing w:before="120"/>
        <w:ind w:left="425" w:hanging="425"/>
      </w:pPr>
      <w:r>
        <w:t>本项目危险物质存在量与临界量比值一览表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269"/>
        <w:gridCol w:w="1666"/>
        <w:gridCol w:w="1884"/>
        <w:gridCol w:w="1318"/>
        <w:gridCol w:w="1661"/>
      </w:tblGrid>
      <w:tr w:rsidR="003E78AB" w14:paraId="2047F209" w14:textId="77777777">
        <w:trPr>
          <w:trHeight w:val="540"/>
          <w:tblHeader/>
        </w:trPr>
        <w:tc>
          <w:tcPr>
            <w:tcW w:w="422" w:type="pct"/>
            <w:shd w:val="clear" w:color="auto" w:fill="auto"/>
            <w:vAlign w:val="center"/>
          </w:tcPr>
          <w:p w14:paraId="7EB9F00E"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序号</w:t>
            </w:r>
          </w:p>
        </w:tc>
        <w:tc>
          <w:tcPr>
            <w:tcW w:w="745" w:type="pct"/>
            <w:shd w:val="clear" w:color="auto" w:fill="auto"/>
            <w:vAlign w:val="center"/>
          </w:tcPr>
          <w:p w14:paraId="3E3B3655"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物质名称</w:t>
            </w:r>
          </w:p>
        </w:tc>
        <w:tc>
          <w:tcPr>
            <w:tcW w:w="978" w:type="pct"/>
            <w:shd w:val="clear" w:color="auto" w:fill="auto"/>
            <w:vAlign w:val="center"/>
          </w:tcPr>
          <w:p w14:paraId="00A02E6E"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在线量（</w:t>
            </w:r>
            <w:r>
              <w:rPr>
                <w:b/>
                <w:bCs/>
                <w:kern w:val="2"/>
                <w:sz w:val="21"/>
                <w:szCs w:val="21"/>
              </w:rPr>
              <w:t>t</w:t>
            </w:r>
            <w:r>
              <w:rPr>
                <w:rFonts w:hint="eastAsia"/>
                <w:b/>
                <w:bCs/>
                <w:kern w:val="2"/>
                <w:sz w:val="21"/>
                <w:szCs w:val="21"/>
              </w:rPr>
              <w:t>）</w:t>
            </w:r>
          </w:p>
        </w:tc>
        <w:tc>
          <w:tcPr>
            <w:tcW w:w="1106" w:type="pct"/>
            <w:shd w:val="clear" w:color="auto" w:fill="auto"/>
            <w:vAlign w:val="center"/>
          </w:tcPr>
          <w:p w14:paraId="1C21D362"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最大储存量（</w:t>
            </w:r>
            <w:r>
              <w:rPr>
                <w:b/>
                <w:bCs/>
                <w:kern w:val="2"/>
                <w:sz w:val="21"/>
                <w:szCs w:val="21"/>
              </w:rPr>
              <w:t>t</w:t>
            </w:r>
            <w:r>
              <w:rPr>
                <w:rFonts w:hint="eastAsia"/>
                <w:b/>
                <w:bCs/>
                <w:kern w:val="2"/>
                <w:sz w:val="21"/>
                <w:szCs w:val="21"/>
              </w:rPr>
              <w:t>）</w:t>
            </w:r>
          </w:p>
        </w:tc>
        <w:tc>
          <w:tcPr>
            <w:tcW w:w="772" w:type="pct"/>
            <w:shd w:val="clear" w:color="auto" w:fill="auto"/>
            <w:vAlign w:val="center"/>
          </w:tcPr>
          <w:p w14:paraId="58B70A87"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临界量（</w:t>
            </w:r>
            <w:r>
              <w:rPr>
                <w:b/>
                <w:bCs/>
                <w:kern w:val="2"/>
                <w:sz w:val="21"/>
                <w:szCs w:val="21"/>
              </w:rPr>
              <w:t>t</w:t>
            </w:r>
            <w:r>
              <w:rPr>
                <w:rFonts w:hint="eastAsia"/>
                <w:b/>
                <w:bCs/>
                <w:kern w:val="2"/>
                <w:sz w:val="21"/>
                <w:szCs w:val="21"/>
              </w:rPr>
              <w:t>）</w:t>
            </w:r>
          </w:p>
        </w:tc>
        <w:tc>
          <w:tcPr>
            <w:tcW w:w="974" w:type="pct"/>
            <w:shd w:val="clear" w:color="auto" w:fill="auto"/>
            <w:vAlign w:val="center"/>
          </w:tcPr>
          <w:p w14:paraId="011BBDAB"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临界量比值（</w:t>
            </w:r>
            <w:r>
              <w:rPr>
                <w:b/>
                <w:bCs/>
                <w:kern w:val="2"/>
                <w:sz w:val="21"/>
                <w:szCs w:val="21"/>
              </w:rPr>
              <w:t>Q</w:t>
            </w:r>
            <w:r>
              <w:rPr>
                <w:rFonts w:hint="eastAsia"/>
                <w:b/>
                <w:bCs/>
                <w:kern w:val="2"/>
                <w:sz w:val="21"/>
                <w:szCs w:val="21"/>
              </w:rPr>
              <w:t>）</w:t>
            </w:r>
          </w:p>
        </w:tc>
      </w:tr>
      <w:tr w:rsidR="003E78AB" w14:paraId="47DD6E66" w14:textId="77777777">
        <w:trPr>
          <w:trHeight w:val="525"/>
        </w:trPr>
        <w:tc>
          <w:tcPr>
            <w:tcW w:w="422" w:type="pct"/>
            <w:shd w:val="clear" w:color="auto" w:fill="auto"/>
            <w:vAlign w:val="center"/>
          </w:tcPr>
          <w:p w14:paraId="031CFD7E" w14:textId="77777777" w:rsidR="003E78AB" w:rsidRDefault="00010BF9">
            <w:pPr>
              <w:spacing w:line="360" w:lineRule="exact"/>
              <w:ind w:firstLineChars="0" w:firstLine="0"/>
              <w:jc w:val="center"/>
              <w:rPr>
                <w:kern w:val="2"/>
                <w:sz w:val="21"/>
                <w:szCs w:val="21"/>
              </w:rPr>
            </w:pPr>
            <w:r>
              <w:rPr>
                <w:kern w:val="2"/>
                <w:sz w:val="21"/>
                <w:szCs w:val="21"/>
              </w:rPr>
              <w:t>1</w:t>
            </w:r>
          </w:p>
        </w:tc>
        <w:tc>
          <w:tcPr>
            <w:tcW w:w="745" w:type="pct"/>
            <w:shd w:val="clear" w:color="auto" w:fill="auto"/>
            <w:vAlign w:val="center"/>
          </w:tcPr>
          <w:p w14:paraId="0A358EED" w14:textId="77777777" w:rsidR="003E78AB" w:rsidRDefault="00010BF9">
            <w:pPr>
              <w:spacing w:line="360" w:lineRule="exact"/>
              <w:ind w:firstLineChars="0" w:firstLine="0"/>
              <w:jc w:val="center"/>
              <w:rPr>
                <w:kern w:val="2"/>
                <w:sz w:val="21"/>
                <w:szCs w:val="21"/>
              </w:rPr>
            </w:pPr>
            <w:r>
              <w:rPr>
                <w:rFonts w:hint="eastAsia"/>
                <w:kern w:val="2"/>
                <w:sz w:val="21"/>
                <w:szCs w:val="21"/>
              </w:rPr>
              <w:t>五氧化二钒（以钒计）</w:t>
            </w:r>
          </w:p>
        </w:tc>
        <w:tc>
          <w:tcPr>
            <w:tcW w:w="978" w:type="pct"/>
            <w:shd w:val="clear" w:color="auto" w:fill="auto"/>
            <w:vAlign w:val="center"/>
          </w:tcPr>
          <w:p w14:paraId="43B8C226" w14:textId="77777777" w:rsidR="003E78AB" w:rsidRDefault="00010BF9">
            <w:pPr>
              <w:spacing w:line="360" w:lineRule="exact"/>
              <w:ind w:firstLineChars="0" w:firstLine="0"/>
              <w:jc w:val="center"/>
              <w:rPr>
                <w:kern w:val="2"/>
                <w:sz w:val="21"/>
                <w:szCs w:val="21"/>
              </w:rPr>
            </w:pPr>
            <w:r>
              <w:rPr>
                <w:rFonts w:hint="eastAsia"/>
                <w:kern w:val="2"/>
                <w:sz w:val="21"/>
                <w:szCs w:val="21"/>
              </w:rPr>
              <w:t>60</w:t>
            </w:r>
            <w:r>
              <w:rPr>
                <w:rFonts w:hint="eastAsia"/>
                <w:kern w:val="2"/>
                <w:sz w:val="21"/>
                <w:szCs w:val="21"/>
              </w:rPr>
              <w:t>（含钒</w:t>
            </w:r>
            <w:r>
              <w:rPr>
                <w:rFonts w:hint="eastAsia"/>
                <w:kern w:val="2"/>
                <w:sz w:val="21"/>
                <w:szCs w:val="21"/>
              </w:rPr>
              <w:t>16.81</w:t>
            </w:r>
            <w:r>
              <w:rPr>
                <w:rFonts w:hint="eastAsia"/>
                <w:kern w:val="2"/>
                <w:sz w:val="21"/>
                <w:szCs w:val="21"/>
              </w:rPr>
              <w:t>）</w:t>
            </w:r>
          </w:p>
        </w:tc>
        <w:tc>
          <w:tcPr>
            <w:tcW w:w="1106" w:type="pct"/>
            <w:shd w:val="clear" w:color="auto" w:fill="auto"/>
            <w:vAlign w:val="center"/>
          </w:tcPr>
          <w:p w14:paraId="21FD0CCB" w14:textId="77777777" w:rsidR="003E78AB" w:rsidRDefault="00010BF9">
            <w:pPr>
              <w:spacing w:line="360" w:lineRule="exact"/>
              <w:ind w:firstLineChars="0" w:firstLine="0"/>
              <w:jc w:val="center"/>
              <w:rPr>
                <w:kern w:val="2"/>
                <w:sz w:val="21"/>
                <w:szCs w:val="21"/>
              </w:rPr>
            </w:pPr>
            <w:r>
              <w:rPr>
                <w:rFonts w:hint="eastAsia"/>
                <w:kern w:val="2"/>
                <w:sz w:val="21"/>
                <w:szCs w:val="21"/>
              </w:rPr>
              <w:t>80</w:t>
            </w:r>
            <w:r>
              <w:rPr>
                <w:rFonts w:hint="eastAsia"/>
                <w:kern w:val="2"/>
                <w:sz w:val="21"/>
                <w:szCs w:val="21"/>
              </w:rPr>
              <w:t>（含钒</w:t>
            </w:r>
            <w:r>
              <w:rPr>
                <w:rFonts w:hint="eastAsia"/>
                <w:kern w:val="2"/>
                <w:sz w:val="21"/>
                <w:szCs w:val="21"/>
              </w:rPr>
              <w:t>22.42</w:t>
            </w:r>
            <w:r>
              <w:rPr>
                <w:rFonts w:hint="eastAsia"/>
                <w:kern w:val="2"/>
                <w:sz w:val="21"/>
                <w:szCs w:val="21"/>
              </w:rPr>
              <w:t>）</w:t>
            </w:r>
          </w:p>
        </w:tc>
        <w:tc>
          <w:tcPr>
            <w:tcW w:w="772" w:type="pct"/>
            <w:shd w:val="clear" w:color="auto" w:fill="auto"/>
            <w:vAlign w:val="center"/>
          </w:tcPr>
          <w:p w14:paraId="03E0844B" w14:textId="77777777" w:rsidR="003E78AB" w:rsidRDefault="00010BF9">
            <w:pPr>
              <w:spacing w:line="360" w:lineRule="exact"/>
              <w:ind w:firstLineChars="0" w:firstLine="0"/>
              <w:jc w:val="center"/>
              <w:rPr>
                <w:kern w:val="2"/>
                <w:sz w:val="21"/>
                <w:szCs w:val="21"/>
              </w:rPr>
            </w:pPr>
            <w:r>
              <w:rPr>
                <w:kern w:val="2"/>
                <w:sz w:val="21"/>
                <w:szCs w:val="21"/>
              </w:rPr>
              <w:t>0.25</w:t>
            </w:r>
          </w:p>
        </w:tc>
        <w:tc>
          <w:tcPr>
            <w:tcW w:w="974" w:type="pct"/>
            <w:shd w:val="clear" w:color="auto" w:fill="auto"/>
            <w:vAlign w:val="center"/>
          </w:tcPr>
          <w:p w14:paraId="573FDBBB" w14:textId="77777777" w:rsidR="003E78AB" w:rsidRDefault="00010BF9">
            <w:pPr>
              <w:spacing w:line="360" w:lineRule="exact"/>
              <w:ind w:firstLineChars="0" w:firstLine="0"/>
              <w:jc w:val="center"/>
              <w:rPr>
                <w:kern w:val="2"/>
                <w:sz w:val="21"/>
                <w:szCs w:val="21"/>
              </w:rPr>
            </w:pPr>
            <w:r>
              <w:rPr>
                <w:rFonts w:hint="eastAsia"/>
                <w:kern w:val="2"/>
                <w:sz w:val="21"/>
                <w:szCs w:val="21"/>
              </w:rPr>
              <w:t>156.92</w:t>
            </w:r>
          </w:p>
        </w:tc>
      </w:tr>
      <w:tr w:rsidR="003E78AB" w14:paraId="35FAFD09" w14:textId="77777777">
        <w:trPr>
          <w:trHeight w:val="300"/>
        </w:trPr>
        <w:tc>
          <w:tcPr>
            <w:tcW w:w="422" w:type="pct"/>
            <w:shd w:val="clear" w:color="auto" w:fill="auto"/>
            <w:vAlign w:val="center"/>
          </w:tcPr>
          <w:p w14:paraId="14E11440" w14:textId="77777777" w:rsidR="003E78AB" w:rsidRDefault="00010BF9">
            <w:pPr>
              <w:spacing w:line="360" w:lineRule="exact"/>
              <w:ind w:firstLineChars="0" w:firstLine="0"/>
              <w:jc w:val="center"/>
              <w:rPr>
                <w:kern w:val="2"/>
                <w:sz w:val="21"/>
                <w:szCs w:val="21"/>
              </w:rPr>
            </w:pPr>
            <w:r>
              <w:rPr>
                <w:kern w:val="2"/>
                <w:sz w:val="21"/>
                <w:szCs w:val="21"/>
              </w:rPr>
              <w:t>2</w:t>
            </w:r>
          </w:p>
        </w:tc>
        <w:tc>
          <w:tcPr>
            <w:tcW w:w="745" w:type="pct"/>
            <w:shd w:val="clear" w:color="auto" w:fill="auto"/>
            <w:vAlign w:val="center"/>
          </w:tcPr>
          <w:p w14:paraId="19D2A2E2" w14:textId="77777777" w:rsidR="003E78AB" w:rsidRDefault="00010BF9">
            <w:pPr>
              <w:spacing w:line="360" w:lineRule="exact"/>
              <w:ind w:firstLineChars="0" w:firstLine="0"/>
              <w:jc w:val="center"/>
              <w:rPr>
                <w:kern w:val="2"/>
                <w:sz w:val="21"/>
                <w:szCs w:val="21"/>
              </w:rPr>
            </w:pPr>
            <w:r>
              <w:rPr>
                <w:rFonts w:hint="eastAsia"/>
                <w:kern w:val="2"/>
                <w:sz w:val="21"/>
                <w:szCs w:val="21"/>
              </w:rPr>
              <w:t>浓硫酸</w:t>
            </w:r>
          </w:p>
        </w:tc>
        <w:tc>
          <w:tcPr>
            <w:tcW w:w="978" w:type="pct"/>
            <w:shd w:val="clear" w:color="auto" w:fill="auto"/>
            <w:vAlign w:val="center"/>
          </w:tcPr>
          <w:p w14:paraId="40BF8474" w14:textId="77777777" w:rsidR="003E78AB" w:rsidRDefault="00010BF9">
            <w:pPr>
              <w:spacing w:line="360" w:lineRule="exact"/>
              <w:ind w:firstLineChars="0" w:firstLine="0"/>
              <w:jc w:val="center"/>
              <w:rPr>
                <w:kern w:val="2"/>
                <w:sz w:val="21"/>
                <w:szCs w:val="21"/>
              </w:rPr>
            </w:pPr>
            <w:r>
              <w:rPr>
                <w:rFonts w:hint="eastAsia"/>
                <w:kern w:val="2"/>
                <w:sz w:val="21"/>
                <w:szCs w:val="21"/>
              </w:rPr>
              <w:t>3.68</w:t>
            </w:r>
          </w:p>
        </w:tc>
        <w:tc>
          <w:tcPr>
            <w:tcW w:w="1106" w:type="pct"/>
            <w:shd w:val="clear" w:color="auto" w:fill="auto"/>
            <w:vAlign w:val="center"/>
          </w:tcPr>
          <w:p w14:paraId="0E493381" w14:textId="77777777" w:rsidR="003E78AB" w:rsidRDefault="00010BF9">
            <w:pPr>
              <w:spacing w:line="360" w:lineRule="exact"/>
              <w:ind w:firstLineChars="0" w:firstLine="0"/>
              <w:jc w:val="center"/>
              <w:rPr>
                <w:kern w:val="2"/>
                <w:sz w:val="21"/>
                <w:szCs w:val="21"/>
              </w:rPr>
            </w:pPr>
            <w:r>
              <w:rPr>
                <w:kern w:val="2"/>
                <w:sz w:val="21"/>
                <w:szCs w:val="21"/>
              </w:rPr>
              <w:t>883.2</w:t>
            </w:r>
          </w:p>
        </w:tc>
        <w:tc>
          <w:tcPr>
            <w:tcW w:w="772" w:type="pct"/>
            <w:shd w:val="clear" w:color="auto" w:fill="auto"/>
            <w:vAlign w:val="center"/>
          </w:tcPr>
          <w:p w14:paraId="29499BC7" w14:textId="77777777" w:rsidR="003E78AB" w:rsidRDefault="00010BF9">
            <w:pPr>
              <w:spacing w:line="360" w:lineRule="exact"/>
              <w:ind w:firstLineChars="0" w:firstLine="0"/>
              <w:jc w:val="center"/>
              <w:rPr>
                <w:kern w:val="2"/>
                <w:sz w:val="21"/>
                <w:szCs w:val="21"/>
              </w:rPr>
            </w:pPr>
            <w:r>
              <w:rPr>
                <w:kern w:val="2"/>
                <w:sz w:val="21"/>
                <w:szCs w:val="21"/>
              </w:rPr>
              <w:t>10</w:t>
            </w:r>
          </w:p>
        </w:tc>
        <w:tc>
          <w:tcPr>
            <w:tcW w:w="974" w:type="pct"/>
            <w:shd w:val="clear" w:color="auto" w:fill="auto"/>
            <w:vAlign w:val="center"/>
          </w:tcPr>
          <w:p w14:paraId="07E9F8D0" w14:textId="77777777" w:rsidR="003E78AB" w:rsidRDefault="00010BF9">
            <w:pPr>
              <w:spacing w:line="360" w:lineRule="exact"/>
              <w:ind w:firstLineChars="0" w:firstLine="0"/>
              <w:jc w:val="center"/>
              <w:rPr>
                <w:kern w:val="2"/>
                <w:sz w:val="21"/>
                <w:szCs w:val="21"/>
              </w:rPr>
            </w:pPr>
            <w:r>
              <w:rPr>
                <w:kern w:val="2"/>
                <w:sz w:val="21"/>
                <w:szCs w:val="21"/>
              </w:rPr>
              <w:t>88.69</w:t>
            </w:r>
          </w:p>
        </w:tc>
      </w:tr>
      <w:tr w:rsidR="003E78AB" w14:paraId="5795B8A5" w14:textId="77777777">
        <w:trPr>
          <w:trHeight w:val="300"/>
        </w:trPr>
        <w:tc>
          <w:tcPr>
            <w:tcW w:w="422" w:type="pct"/>
            <w:shd w:val="clear" w:color="auto" w:fill="auto"/>
            <w:vAlign w:val="center"/>
          </w:tcPr>
          <w:p w14:paraId="78CA01F5" w14:textId="77777777" w:rsidR="003E78AB" w:rsidRDefault="00010BF9">
            <w:pPr>
              <w:spacing w:line="360" w:lineRule="exact"/>
              <w:ind w:firstLineChars="0" w:firstLine="0"/>
              <w:jc w:val="center"/>
              <w:rPr>
                <w:kern w:val="2"/>
                <w:sz w:val="21"/>
                <w:szCs w:val="21"/>
              </w:rPr>
            </w:pPr>
            <w:r>
              <w:rPr>
                <w:kern w:val="2"/>
                <w:sz w:val="21"/>
                <w:szCs w:val="21"/>
              </w:rPr>
              <w:t>3</w:t>
            </w:r>
          </w:p>
        </w:tc>
        <w:tc>
          <w:tcPr>
            <w:tcW w:w="745" w:type="pct"/>
            <w:shd w:val="clear" w:color="auto" w:fill="auto"/>
            <w:vAlign w:val="center"/>
          </w:tcPr>
          <w:p w14:paraId="78B9FCFA" w14:textId="77777777" w:rsidR="003E78AB" w:rsidRDefault="00010BF9">
            <w:pPr>
              <w:spacing w:line="360" w:lineRule="exact"/>
              <w:ind w:firstLineChars="0" w:firstLine="0"/>
              <w:jc w:val="center"/>
              <w:rPr>
                <w:kern w:val="2"/>
                <w:sz w:val="21"/>
                <w:szCs w:val="21"/>
              </w:rPr>
            </w:pPr>
            <w:r>
              <w:rPr>
                <w:rFonts w:hint="eastAsia"/>
                <w:kern w:val="2"/>
                <w:sz w:val="21"/>
                <w:szCs w:val="21"/>
              </w:rPr>
              <w:t>磷酸</w:t>
            </w:r>
          </w:p>
        </w:tc>
        <w:tc>
          <w:tcPr>
            <w:tcW w:w="978" w:type="pct"/>
            <w:shd w:val="clear" w:color="auto" w:fill="auto"/>
            <w:vAlign w:val="center"/>
          </w:tcPr>
          <w:p w14:paraId="122AEF18" w14:textId="77777777" w:rsidR="003E78AB" w:rsidRDefault="00010BF9">
            <w:pPr>
              <w:spacing w:line="360" w:lineRule="exact"/>
              <w:ind w:firstLineChars="0" w:firstLine="0"/>
              <w:jc w:val="center"/>
              <w:rPr>
                <w:kern w:val="2"/>
                <w:sz w:val="21"/>
                <w:szCs w:val="21"/>
              </w:rPr>
            </w:pPr>
            <w:r>
              <w:rPr>
                <w:rFonts w:hint="eastAsia"/>
                <w:kern w:val="2"/>
                <w:sz w:val="21"/>
                <w:szCs w:val="21"/>
              </w:rPr>
              <w:t>0.51</w:t>
            </w:r>
          </w:p>
        </w:tc>
        <w:tc>
          <w:tcPr>
            <w:tcW w:w="1106" w:type="pct"/>
            <w:shd w:val="clear" w:color="auto" w:fill="auto"/>
            <w:vAlign w:val="center"/>
          </w:tcPr>
          <w:p w14:paraId="14233155" w14:textId="77777777" w:rsidR="003E78AB" w:rsidRDefault="00010BF9">
            <w:pPr>
              <w:spacing w:line="360" w:lineRule="exact"/>
              <w:ind w:firstLineChars="0" w:firstLine="0"/>
              <w:jc w:val="center"/>
              <w:rPr>
                <w:kern w:val="2"/>
                <w:sz w:val="21"/>
                <w:szCs w:val="21"/>
              </w:rPr>
            </w:pPr>
            <w:r>
              <w:rPr>
                <w:kern w:val="2"/>
                <w:sz w:val="21"/>
                <w:szCs w:val="21"/>
              </w:rPr>
              <w:t>94.36</w:t>
            </w:r>
          </w:p>
        </w:tc>
        <w:tc>
          <w:tcPr>
            <w:tcW w:w="772" w:type="pct"/>
            <w:shd w:val="clear" w:color="auto" w:fill="auto"/>
            <w:vAlign w:val="center"/>
          </w:tcPr>
          <w:p w14:paraId="2528338A" w14:textId="77777777" w:rsidR="003E78AB" w:rsidRDefault="00010BF9">
            <w:pPr>
              <w:spacing w:line="360" w:lineRule="exact"/>
              <w:ind w:firstLineChars="0" w:firstLine="0"/>
              <w:jc w:val="center"/>
              <w:rPr>
                <w:kern w:val="2"/>
                <w:sz w:val="21"/>
                <w:szCs w:val="21"/>
              </w:rPr>
            </w:pPr>
            <w:r>
              <w:rPr>
                <w:kern w:val="2"/>
                <w:sz w:val="21"/>
                <w:szCs w:val="21"/>
              </w:rPr>
              <w:t>10</w:t>
            </w:r>
          </w:p>
        </w:tc>
        <w:tc>
          <w:tcPr>
            <w:tcW w:w="974" w:type="pct"/>
            <w:shd w:val="clear" w:color="auto" w:fill="auto"/>
            <w:vAlign w:val="center"/>
          </w:tcPr>
          <w:p w14:paraId="124E0EAD" w14:textId="77777777" w:rsidR="003E78AB" w:rsidRDefault="00010BF9">
            <w:pPr>
              <w:spacing w:line="360" w:lineRule="exact"/>
              <w:ind w:firstLineChars="0" w:firstLine="0"/>
              <w:jc w:val="center"/>
              <w:rPr>
                <w:kern w:val="2"/>
                <w:sz w:val="21"/>
                <w:szCs w:val="21"/>
              </w:rPr>
            </w:pPr>
            <w:r>
              <w:rPr>
                <w:kern w:val="2"/>
                <w:sz w:val="21"/>
                <w:szCs w:val="21"/>
              </w:rPr>
              <w:t>9.49</w:t>
            </w:r>
          </w:p>
        </w:tc>
      </w:tr>
      <w:tr w:rsidR="003E78AB" w14:paraId="47E1AFD5" w14:textId="77777777">
        <w:trPr>
          <w:trHeight w:val="300"/>
        </w:trPr>
        <w:tc>
          <w:tcPr>
            <w:tcW w:w="422" w:type="pct"/>
            <w:shd w:val="clear" w:color="auto" w:fill="auto"/>
            <w:vAlign w:val="center"/>
          </w:tcPr>
          <w:p w14:paraId="25D97BD1" w14:textId="77777777" w:rsidR="003E78AB" w:rsidRDefault="00010BF9">
            <w:pPr>
              <w:spacing w:line="360" w:lineRule="exact"/>
              <w:ind w:firstLineChars="0" w:firstLine="0"/>
              <w:jc w:val="center"/>
              <w:rPr>
                <w:kern w:val="2"/>
                <w:sz w:val="21"/>
                <w:szCs w:val="21"/>
              </w:rPr>
            </w:pPr>
            <w:r>
              <w:rPr>
                <w:kern w:val="2"/>
                <w:sz w:val="21"/>
                <w:szCs w:val="21"/>
              </w:rPr>
              <w:t>4</w:t>
            </w:r>
          </w:p>
        </w:tc>
        <w:tc>
          <w:tcPr>
            <w:tcW w:w="745" w:type="pct"/>
            <w:shd w:val="clear" w:color="auto" w:fill="auto"/>
            <w:vAlign w:val="center"/>
          </w:tcPr>
          <w:p w14:paraId="236FCDA8" w14:textId="77777777" w:rsidR="003E78AB" w:rsidRDefault="00010BF9">
            <w:pPr>
              <w:spacing w:line="360" w:lineRule="exact"/>
              <w:ind w:firstLineChars="0" w:firstLine="0"/>
              <w:jc w:val="center"/>
              <w:rPr>
                <w:kern w:val="2"/>
                <w:sz w:val="21"/>
                <w:szCs w:val="21"/>
              </w:rPr>
            </w:pPr>
            <w:r>
              <w:rPr>
                <w:rFonts w:hint="eastAsia"/>
                <w:kern w:val="2"/>
                <w:sz w:val="21"/>
                <w:szCs w:val="21"/>
              </w:rPr>
              <w:t>二水草酸</w:t>
            </w:r>
            <w:r>
              <w:rPr>
                <w:rFonts w:hint="eastAsia"/>
                <w:kern w:val="2"/>
                <w:sz w:val="21"/>
                <w:szCs w:val="21"/>
                <w:vertAlign w:val="superscript"/>
              </w:rPr>
              <w:t>*1</w:t>
            </w:r>
          </w:p>
        </w:tc>
        <w:tc>
          <w:tcPr>
            <w:tcW w:w="978" w:type="pct"/>
            <w:shd w:val="clear" w:color="auto" w:fill="auto"/>
            <w:vAlign w:val="center"/>
          </w:tcPr>
          <w:p w14:paraId="13315983" w14:textId="77777777" w:rsidR="003E78AB" w:rsidRDefault="00010BF9">
            <w:pPr>
              <w:spacing w:line="360" w:lineRule="exact"/>
              <w:ind w:firstLineChars="0" w:firstLine="0"/>
              <w:jc w:val="center"/>
              <w:rPr>
                <w:kern w:val="2"/>
                <w:sz w:val="21"/>
                <w:szCs w:val="21"/>
              </w:rPr>
            </w:pPr>
            <w:r>
              <w:rPr>
                <w:kern w:val="2"/>
                <w:sz w:val="21"/>
                <w:szCs w:val="21"/>
              </w:rPr>
              <w:t>30</w:t>
            </w:r>
          </w:p>
        </w:tc>
        <w:tc>
          <w:tcPr>
            <w:tcW w:w="1106" w:type="pct"/>
            <w:shd w:val="clear" w:color="auto" w:fill="auto"/>
            <w:vAlign w:val="center"/>
          </w:tcPr>
          <w:p w14:paraId="6743A1E5" w14:textId="77777777" w:rsidR="003E78AB" w:rsidRDefault="00010BF9">
            <w:pPr>
              <w:spacing w:line="360" w:lineRule="exact"/>
              <w:ind w:firstLineChars="0" w:firstLine="0"/>
              <w:jc w:val="center"/>
              <w:rPr>
                <w:kern w:val="2"/>
                <w:sz w:val="21"/>
                <w:szCs w:val="21"/>
              </w:rPr>
            </w:pPr>
            <w:r>
              <w:rPr>
                <w:kern w:val="2"/>
                <w:sz w:val="21"/>
                <w:szCs w:val="21"/>
              </w:rPr>
              <w:t>300</w:t>
            </w:r>
          </w:p>
        </w:tc>
        <w:tc>
          <w:tcPr>
            <w:tcW w:w="772" w:type="pct"/>
            <w:shd w:val="clear" w:color="auto" w:fill="auto"/>
            <w:vAlign w:val="center"/>
          </w:tcPr>
          <w:p w14:paraId="28A6CDF2" w14:textId="77777777" w:rsidR="003E78AB" w:rsidRDefault="00010BF9">
            <w:pPr>
              <w:spacing w:line="360" w:lineRule="exact"/>
              <w:ind w:firstLineChars="0" w:firstLine="0"/>
              <w:jc w:val="center"/>
              <w:rPr>
                <w:kern w:val="2"/>
                <w:sz w:val="21"/>
                <w:szCs w:val="21"/>
              </w:rPr>
            </w:pPr>
            <w:r>
              <w:rPr>
                <w:kern w:val="2"/>
                <w:sz w:val="21"/>
                <w:szCs w:val="21"/>
              </w:rPr>
              <w:t>50</w:t>
            </w:r>
          </w:p>
        </w:tc>
        <w:tc>
          <w:tcPr>
            <w:tcW w:w="974" w:type="pct"/>
            <w:shd w:val="clear" w:color="auto" w:fill="auto"/>
            <w:vAlign w:val="center"/>
          </w:tcPr>
          <w:p w14:paraId="22378B24" w14:textId="77777777" w:rsidR="003E78AB" w:rsidRDefault="00010BF9">
            <w:pPr>
              <w:spacing w:line="360" w:lineRule="exact"/>
              <w:ind w:firstLineChars="0" w:firstLine="0"/>
              <w:jc w:val="center"/>
              <w:rPr>
                <w:kern w:val="2"/>
                <w:sz w:val="21"/>
                <w:szCs w:val="21"/>
              </w:rPr>
            </w:pPr>
            <w:r>
              <w:rPr>
                <w:kern w:val="2"/>
                <w:sz w:val="21"/>
                <w:szCs w:val="21"/>
              </w:rPr>
              <w:t>6.6</w:t>
            </w:r>
          </w:p>
        </w:tc>
      </w:tr>
      <w:tr w:rsidR="003E78AB" w14:paraId="621308E1" w14:textId="77777777">
        <w:trPr>
          <w:trHeight w:val="300"/>
        </w:trPr>
        <w:tc>
          <w:tcPr>
            <w:tcW w:w="422" w:type="pct"/>
            <w:shd w:val="clear" w:color="auto" w:fill="auto"/>
            <w:vAlign w:val="center"/>
          </w:tcPr>
          <w:p w14:paraId="38234A5B" w14:textId="77777777" w:rsidR="003E78AB" w:rsidRDefault="00010BF9">
            <w:pPr>
              <w:spacing w:line="360" w:lineRule="exact"/>
              <w:ind w:firstLineChars="0" w:firstLine="0"/>
              <w:jc w:val="center"/>
              <w:rPr>
                <w:kern w:val="2"/>
                <w:sz w:val="21"/>
                <w:szCs w:val="21"/>
              </w:rPr>
            </w:pPr>
            <w:r>
              <w:rPr>
                <w:rFonts w:hint="eastAsia"/>
                <w:kern w:val="2"/>
                <w:sz w:val="21"/>
                <w:szCs w:val="21"/>
              </w:rPr>
              <w:t>5</w:t>
            </w:r>
          </w:p>
        </w:tc>
        <w:tc>
          <w:tcPr>
            <w:tcW w:w="745" w:type="pct"/>
            <w:shd w:val="clear" w:color="auto" w:fill="auto"/>
            <w:vAlign w:val="center"/>
          </w:tcPr>
          <w:p w14:paraId="3CE865F1" w14:textId="77777777" w:rsidR="003E78AB" w:rsidRDefault="00010BF9">
            <w:pPr>
              <w:spacing w:line="360" w:lineRule="exact"/>
              <w:ind w:firstLineChars="0" w:firstLine="0"/>
              <w:jc w:val="center"/>
              <w:rPr>
                <w:kern w:val="2"/>
                <w:sz w:val="21"/>
                <w:szCs w:val="21"/>
              </w:rPr>
            </w:pPr>
            <w:r>
              <w:rPr>
                <w:rFonts w:hint="eastAsia"/>
                <w:kern w:val="2"/>
                <w:sz w:val="21"/>
                <w:szCs w:val="21"/>
              </w:rPr>
              <w:t>天然气</w:t>
            </w:r>
          </w:p>
        </w:tc>
        <w:tc>
          <w:tcPr>
            <w:tcW w:w="978" w:type="pct"/>
            <w:shd w:val="clear" w:color="auto" w:fill="auto"/>
            <w:vAlign w:val="center"/>
          </w:tcPr>
          <w:p w14:paraId="3A9BA312" w14:textId="77777777" w:rsidR="003E78AB" w:rsidRDefault="00010BF9">
            <w:pPr>
              <w:spacing w:line="360" w:lineRule="exact"/>
              <w:ind w:firstLineChars="0" w:firstLine="0"/>
              <w:jc w:val="center"/>
              <w:rPr>
                <w:kern w:val="2"/>
                <w:sz w:val="21"/>
                <w:szCs w:val="21"/>
              </w:rPr>
            </w:pPr>
            <w:r>
              <w:rPr>
                <w:rFonts w:hint="eastAsia"/>
                <w:kern w:val="2"/>
                <w:sz w:val="21"/>
                <w:szCs w:val="21"/>
              </w:rPr>
              <w:t>0.5</w:t>
            </w:r>
          </w:p>
        </w:tc>
        <w:tc>
          <w:tcPr>
            <w:tcW w:w="1106" w:type="pct"/>
            <w:shd w:val="clear" w:color="auto" w:fill="auto"/>
            <w:vAlign w:val="center"/>
          </w:tcPr>
          <w:p w14:paraId="7FCBBF2E"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772" w:type="pct"/>
            <w:shd w:val="clear" w:color="auto" w:fill="auto"/>
            <w:vAlign w:val="center"/>
          </w:tcPr>
          <w:p w14:paraId="46723927" w14:textId="77777777" w:rsidR="003E78AB" w:rsidRDefault="00010BF9">
            <w:pPr>
              <w:spacing w:line="360" w:lineRule="exact"/>
              <w:ind w:firstLineChars="0" w:firstLine="0"/>
              <w:jc w:val="center"/>
              <w:rPr>
                <w:kern w:val="2"/>
                <w:sz w:val="21"/>
                <w:szCs w:val="21"/>
              </w:rPr>
            </w:pPr>
            <w:r>
              <w:rPr>
                <w:rFonts w:hint="eastAsia"/>
                <w:kern w:val="2"/>
                <w:sz w:val="21"/>
                <w:szCs w:val="21"/>
              </w:rPr>
              <w:t>10</w:t>
            </w:r>
          </w:p>
        </w:tc>
        <w:tc>
          <w:tcPr>
            <w:tcW w:w="974" w:type="pct"/>
            <w:shd w:val="clear" w:color="auto" w:fill="auto"/>
            <w:vAlign w:val="center"/>
          </w:tcPr>
          <w:p w14:paraId="2707674F" w14:textId="77777777" w:rsidR="003E78AB" w:rsidRDefault="00010BF9">
            <w:pPr>
              <w:spacing w:line="360" w:lineRule="exact"/>
              <w:ind w:firstLineChars="0" w:firstLine="0"/>
              <w:jc w:val="center"/>
              <w:rPr>
                <w:kern w:val="2"/>
                <w:sz w:val="21"/>
                <w:szCs w:val="21"/>
              </w:rPr>
            </w:pPr>
            <w:r>
              <w:rPr>
                <w:rFonts w:hint="eastAsia"/>
                <w:kern w:val="2"/>
                <w:sz w:val="21"/>
                <w:szCs w:val="21"/>
              </w:rPr>
              <w:t>0.05</w:t>
            </w:r>
          </w:p>
        </w:tc>
      </w:tr>
      <w:tr w:rsidR="003E78AB" w14:paraId="2B0E2414" w14:textId="77777777">
        <w:trPr>
          <w:trHeight w:val="300"/>
        </w:trPr>
        <w:tc>
          <w:tcPr>
            <w:tcW w:w="422" w:type="pct"/>
            <w:shd w:val="clear" w:color="auto" w:fill="auto"/>
            <w:vAlign w:val="center"/>
          </w:tcPr>
          <w:p w14:paraId="0F488F03" w14:textId="77777777" w:rsidR="003E78AB" w:rsidRDefault="00010BF9">
            <w:pPr>
              <w:spacing w:line="360" w:lineRule="exact"/>
              <w:ind w:firstLineChars="0" w:firstLine="0"/>
              <w:jc w:val="center"/>
              <w:rPr>
                <w:kern w:val="2"/>
                <w:sz w:val="21"/>
                <w:szCs w:val="21"/>
              </w:rPr>
            </w:pPr>
            <w:r>
              <w:rPr>
                <w:rFonts w:hint="eastAsia"/>
                <w:kern w:val="2"/>
                <w:sz w:val="21"/>
                <w:szCs w:val="21"/>
              </w:rPr>
              <w:t>6</w:t>
            </w:r>
          </w:p>
        </w:tc>
        <w:tc>
          <w:tcPr>
            <w:tcW w:w="745" w:type="pct"/>
            <w:shd w:val="clear" w:color="auto" w:fill="auto"/>
            <w:vAlign w:val="center"/>
          </w:tcPr>
          <w:p w14:paraId="6DA30F73" w14:textId="77777777" w:rsidR="003E78AB" w:rsidRDefault="00010BF9">
            <w:pPr>
              <w:spacing w:line="360" w:lineRule="exact"/>
              <w:ind w:firstLineChars="0" w:firstLine="0"/>
              <w:jc w:val="center"/>
              <w:rPr>
                <w:kern w:val="2"/>
                <w:sz w:val="21"/>
                <w:szCs w:val="21"/>
              </w:rPr>
            </w:pPr>
            <w:r>
              <w:rPr>
                <w:rFonts w:hint="eastAsia"/>
                <w:kern w:val="2"/>
                <w:sz w:val="21"/>
                <w:szCs w:val="21"/>
              </w:rPr>
              <w:t>钒电解液（以钒计）</w:t>
            </w:r>
          </w:p>
        </w:tc>
        <w:tc>
          <w:tcPr>
            <w:tcW w:w="978" w:type="pct"/>
            <w:shd w:val="clear" w:color="auto" w:fill="auto"/>
            <w:vAlign w:val="center"/>
          </w:tcPr>
          <w:p w14:paraId="239492CF" w14:textId="77777777" w:rsidR="003E78AB" w:rsidRDefault="00010BF9">
            <w:pPr>
              <w:spacing w:line="360" w:lineRule="exact"/>
              <w:ind w:firstLineChars="0" w:firstLine="0"/>
              <w:jc w:val="center"/>
              <w:rPr>
                <w:kern w:val="2"/>
                <w:sz w:val="21"/>
                <w:szCs w:val="21"/>
              </w:rPr>
            </w:pPr>
            <w:r>
              <w:rPr>
                <w:rFonts w:hint="eastAsia"/>
                <w:kern w:val="2"/>
                <w:sz w:val="21"/>
                <w:szCs w:val="21"/>
              </w:rPr>
              <w:t>283.808</w:t>
            </w:r>
            <w:r>
              <w:rPr>
                <w:rFonts w:hint="eastAsia"/>
                <w:kern w:val="2"/>
                <w:sz w:val="21"/>
                <w:szCs w:val="21"/>
              </w:rPr>
              <w:t>（含钒</w:t>
            </w:r>
            <w:r>
              <w:rPr>
                <w:rFonts w:hint="eastAsia"/>
                <w:kern w:val="2"/>
                <w:sz w:val="21"/>
                <w:szCs w:val="21"/>
              </w:rPr>
              <w:t>10.41</w:t>
            </w:r>
            <w:r>
              <w:rPr>
                <w:rFonts w:hint="eastAsia"/>
                <w:kern w:val="2"/>
                <w:sz w:val="21"/>
                <w:szCs w:val="21"/>
              </w:rPr>
              <w:t>）</w:t>
            </w:r>
          </w:p>
        </w:tc>
        <w:tc>
          <w:tcPr>
            <w:tcW w:w="1106" w:type="pct"/>
            <w:shd w:val="clear" w:color="auto" w:fill="auto"/>
            <w:vAlign w:val="center"/>
          </w:tcPr>
          <w:p w14:paraId="15D0D58F" w14:textId="77777777" w:rsidR="003E78AB" w:rsidRDefault="00010BF9">
            <w:pPr>
              <w:spacing w:line="360" w:lineRule="exact"/>
              <w:ind w:firstLineChars="0" w:firstLine="0"/>
              <w:jc w:val="center"/>
              <w:rPr>
                <w:kern w:val="2"/>
                <w:sz w:val="21"/>
                <w:szCs w:val="21"/>
              </w:rPr>
            </w:pPr>
            <w:r>
              <w:rPr>
                <w:rFonts w:hint="eastAsia"/>
                <w:kern w:val="2"/>
                <w:sz w:val="21"/>
                <w:szCs w:val="21"/>
              </w:rPr>
              <w:t>1792</w:t>
            </w:r>
            <w:r>
              <w:rPr>
                <w:rFonts w:hint="eastAsia"/>
                <w:kern w:val="2"/>
                <w:sz w:val="21"/>
                <w:szCs w:val="21"/>
              </w:rPr>
              <w:t>（含钒</w:t>
            </w:r>
            <w:r>
              <w:rPr>
                <w:rFonts w:hint="eastAsia"/>
                <w:kern w:val="2"/>
                <w:sz w:val="21"/>
                <w:szCs w:val="21"/>
              </w:rPr>
              <w:t>62.19</w:t>
            </w:r>
            <w:r>
              <w:rPr>
                <w:rFonts w:hint="eastAsia"/>
                <w:kern w:val="2"/>
                <w:sz w:val="21"/>
                <w:szCs w:val="21"/>
              </w:rPr>
              <w:t>）</w:t>
            </w:r>
          </w:p>
        </w:tc>
        <w:tc>
          <w:tcPr>
            <w:tcW w:w="772" w:type="pct"/>
            <w:shd w:val="clear" w:color="auto" w:fill="auto"/>
            <w:vAlign w:val="center"/>
          </w:tcPr>
          <w:p w14:paraId="079D97EF" w14:textId="77777777" w:rsidR="003E78AB" w:rsidRDefault="00010BF9">
            <w:pPr>
              <w:spacing w:line="360" w:lineRule="exact"/>
              <w:ind w:firstLineChars="0" w:firstLine="0"/>
              <w:jc w:val="center"/>
              <w:rPr>
                <w:kern w:val="2"/>
                <w:sz w:val="21"/>
                <w:szCs w:val="21"/>
              </w:rPr>
            </w:pPr>
            <w:r>
              <w:rPr>
                <w:rFonts w:hint="eastAsia"/>
                <w:kern w:val="2"/>
                <w:sz w:val="21"/>
                <w:szCs w:val="21"/>
              </w:rPr>
              <w:t>0.25</w:t>
            </w:r>
          </w:p>
        </w:tc>
        <w:tc>
          <w:tcPr>
            <w:tcW w:w="974" w:type="pct"/>
            <w:shd w:val="clear" w:color="auto" w:fill="auto"/>
            <w:vAlign w:val="center"/>
          </w:tcPr>
          <w:p w14:paraId="43DA5C27" w14:textId="77777777" w:rsidR="003E78AB" w:rsidRDefault="00010BF9">
            <w:pPr>
              <w:spacing w:line="360" w:lineRule="exact"/>
              <w:ind w:firstLineChars="0" w:firstLine="0"/>
              <w:jc w:val="center"/>
              <w:rPr>
                <w:kern w:val="2"/>
                <w:sz w:val="21"/>
                <w:szCs w:val="21"/>
              </w:rPr>
            </w:pPr>
            <w:r>
              <w:rPr>
                <w:kern w:val="2"/>
                <w:sz w:val="21"/>
                <w:szCs w:val="21"/>
              </w:rPr>
              <w:t>290.40</w:t>
            </w:r>
          </w:p>
        </w:tc>
      </w:tr>
      <w:tr w:rsidR="003E78AB" w14:paraId="5053D836" w14:textId="77777777">
        <w:trPr>
          <w:trHeight w:val="300"/>
        </w:trPr>
        <w:tc>
          <w:tcPr>
            <w:tcW w:w="422" w:type="pct"/>
            <w:shd w:val="clear" w:color="auto" w:fill="auto"/>
            <w:vAlign w:val="center"/>
          </w:tcPr>
          <w:p w14:paraId="588AD9EC" w14:textId="77777777" w:rsidR="003E78AB" w:rsidRDefault="00010BF9">
            <w:pPr>
              <w:spacing w:line="360" w:lineRule="exact"/>
              <w:ind w:firstLineChars="0" w:firstLine="0"/>
              <w:jc w:val="center"/>
              <w:rPr>
                <w:kern w:val="2"/>
                <w:sz w:val="21"/>
                <w:szCs w:val="21"/>
              </w:rPr>
            </w:pPr>
            <w:r>
              <w:rPr>
                <w:rFonts w:hint="eastAsia"/>
                <w:kern w:val="2"/>
                <w:sz w:val="21"/>
                <w:szCs w:val="21"/>
              </w:rPr>
              <w:t>7</w:t>
            </w:r>
          </w:p>
        </w:tc>
        <w:tc>
          <w:tcPr>
            <w:tcW w:w="745" w:type="pct"/>
            <w:shd w:val="clear" w:color="auto" w:fill="auto"/>
            <w:vAlign w:val="center"/>
          </w:tcPr>
          <w:p w14:paraId="61D71796" w14:textId="77777777" w:rsidR="003E78AB" w:rsidRDefault="00010BF9">
            <w:pPr>
              <w:spacing w:line="360" w:lineRule="exact"/>
              <w:ind w:firstLineChars="0" w:firstLine="0"/>
              <w:jc w:val="center"/>
              <w:rPr>
                <w:kern w:val="2"/>
                <w:sz w:val="21"/>
                <w:szCs w:val="21"/>
              </w:rPr>
            </w:pPr>
            <w:r>
              <w:rPr>
                <w:rFonts w:hint="eastAsia"/>
                <w:kern w:val="2"/>
                <w:sz w:val="21"/>
                <w:szCs w:val="21"/>
              </w:rPr>
              <w:t>含钒结晶盐（以钒计）</w:t>
            </w:r>
            <w:r>
              <w:rPr>
                <w:rFonts w:hint="eastAsia"/>
                <w:kern w:val="2"/>
                <w:sz w:val="21"/>
                <w:szCs w:val="21"/>
                <w:vertAlign w:val="superscript"/>
              </w:rPr>
              <w:t>*3</w:t>
            </w:r>
          </w:p>
        </w:tc>
        <w:tc>
          <w:tcPr>
            <w:tcW w:w="978" w:type="pct"/>
            <w:shd w:val="clear" w:color="auto" w:fill="auto"/>
            <w:vAlign w:val="center"/>
          </w:tcPr>
          <w:p w14:paraId="13B0C211"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06" w:type="pct"/>
            <w:shd w:val="clear" w:color="auto" w:fill="auto"/>
            <w:vAlign w:val="center"/>
          </w:tcPr>
          <w:p w14:paraId="7F11C137" w14:textId="77777777" w:rsidR="003E78AB" w:rsidRDefault="00010BF9">
            <w:pPr>
              <w:spacing w:line="360" w:lineRule="exact"/>
              <w:ind w:firstLineChars="0" w:firstLine="0"/>
              <w:jc w:val="center"/>
              <w:rPr>
                <w:kern w:val="2"/>
                <w:sz w:val="21"/>
                <w:szCs w:val="21"/>
              </w:rPr>
            </w:pPr>
            <w:r>
              <w:rPr>
                <w:rFonts w:hint="eastAsia"/>
                <w:kern w:val="2"/>
                <w:sz w:val="21"/>
                <w:szCs w:val="21"/>
              </w:rPr>
              <w:t>60.21</w:t>
            </w:r>
            <w:r>
              <w:rPr>
                <w:rFonts w:hint="eastAsia"/>
                <w:kern w:val="2"/>
                <w:sz w:val="21"/>
                <w:szCs w:val="21"/>
              </w:rPr>
              <w:t>（含钒</w:t>
            </w:r>
            <w:r>
              <w:rPr>
                <w:rFonts w:hint="eastAsia"/>
                <w:kern w:val="2"/>
                <w:sz w:val="21"/>
                <w:szCs w:val="21"/>
              </w:rPr>
              <w:t>2.92kg</w:t>
            </w:r>
            <w:r>
              <w:rPr>
                <w:rFonts w:hint="eastAsia"/>
                <w:kern w:val="2"/>
                <w:sz w:val="21"/>
                <w:szCs w:val="21"/>
              </w:rPr>
              <w:t>）</w:t>
            </w:r>
          </w:p>
        </w:tc>
        <w:tc>
          <w:tcPr>
            <w:tcW w:w="772" w:type="pct"/>
            <w:shd w:val="clear" w:color="auto" w:fill="auto"/>
            <w:vAlign w:val="center"/>
          </w:tcPr>
          <w:p w14:paraId="672E6047" w14:textId="77777777" w:rsidR="003E78AB" w:rsidRDefault="00010BF9">
            <w:pPr>
              <w:spacing w:line="360" w:lineRule="exact"/>
              <w:ind w:firstLineChars="0" w:firstLine="0"/>
              <w:jc w:val="center"/>
              <w:rPr>
                <w:kern w:val="2"/>
                <w:sz w:val="21"/>
                <w:szCs w:val="21"/>
              </w:rPr>
            </w:pPr>
            <w:r>
              <w:rPr>
                <w:rFonts w:hint="eastAsia"/>
                <w:kern w:val="2"/>
                <w:sz w:val="21"/>
                <w:szCs w:val="21"/>
              </w:rPr>
              <w:t>0.25</w:t>
            </w:r>
          </w:p>
        </w:tc>
        <w:tc>
          <w:tcPr>
            <w:tcW w:w="974" w:type="pct"/>
            <w:shd w:val="clear" w:color="auto" w:fill="auto"/>
            <w:vAlign w:val="center"/>
          </w:tcPr>
          <w:p w14:paraId="79306306" w14:textId="77777777" w:rsidR="003E78AB" w:rsidRDefault="00010BF9">
            <w:pPr>
              <w:spacing w:line="360" w:lineRule="exact"/>
              <w:ind w:firstLineChars="0" w:firstLine="0"/>
              <w:jc w:val="center"/>
              <w:rPr>
                <w:kern w:val="2"/>
                <w:sz w:val="21"/>
                <w:szCs w:val="21"/>
              </w:rPr>
            </w:pPr>
            <w:r>
              <w:rPr>
                <w:kern w:val="2"/>
                <w:sz w:val="21"/>
                <w:szCs w:val="21"/>
              </w:rPr>
              <w:t>0.01168</w:t>
            </w:r>
          </w:p>
        </w:tc>
      </w:tr>
      <w:tr w:rsidR="003E78AB" w14:paraId="7012790F" w14:textId="77777777">
        <w:trPr>
          <w:trHeight w:val="300"/>
        </w:trPr>
        <w:tc>
          <w:tcPr>
            <w:tcW w:w="422" w:type="pct"/>
            <w:shd w:val="clear" w:color="auto" w:fill="auto"/>
            <w:vAlign w:val="center"/>
          </w:tcPr>
          <w:p w14:paraId="3B9A7359" w14:textId="77777777" w:rsidR="003E78AB" w:rsidRDefault="00010BF9">
            <w:pPr>
              <w:spacing w:line="360" w:lineRule="exact"/>
              <w:ind w:firstLineChars="0" w:firstLine="0"/>
              <w:jc w:val="center"/>
              <w:rPr>
                <w:kern w:val="2"/>
                <w:sz w:val="21"/>
                <w:szCs w:val="21"/>
              </w:rPr>
            </w:pPr>
            <w:r>
              <w:rPr>
                <w:rFonts w:hint="eastAsia"/>
                <w:kern w:val="2"/>
                <w:sz w:val="21"/>
                <w:szCs w:val="21"/>
              </w:rPr>
              <w:t>8</w:t>
            </w:r>
          </w:p>
        </w:tc>
        <w:tc>
          <w:tcPr>
            <w:tcW w:w="745" w:type="pct"/>
            <w:shd w:val="clear" w:color="auto" w:fill="auto"/>
            <w:vAlign w:val="center"/>
          </w:tcPr>
          <w:p w14:paraId="2F47EE1B" w14:textId="77777777" w:rsidR="003E78AB" w:rsidRDefault="00010BF9">
            <w:pPr>
              <w:spacing w:line="360" w:lineRule="exact"/>
              <w:ind w:firstLineChars="0" w:firstLine="0"/>
              <w:jc w:val="center"/>
              <w:rPr>
                <w:kern w:val="2"/>
                <w:sz w:val="21"/>
                <w:szCs w:val="21"/>
              </w:rPr>
            </w:pPr>
            <w:r>
              <w:rPr>
                <w:rFonts w:hint="eastAsia"/>
                <w:kern w:val="2"/>
                <w:sz w:val="21"/>
                <w:szCs w:val="21"/>
              </w:rPr>
              <w:t>废润滑油</w:t>
            </w:r>
          </w:p>
        </w:tc>
        <w:tc>
          <w:tcPr>
            <w:tcW w:w="978" w:type="pct"/>
            <w:shd w:val="clear" w:color="auto" w:fill="auto"/>
            <w:vAlign w:val="center"/>
          </w:tcPr>
          <w:p w14:paraId="7586544D" w14:textId="77777777" w:rsidR="003E78AB" w:rsidRDefault="00010BF9">
            <w:pPr>
              <w:spacing w:line="360" w:lineRule="exact"/>
              <w:ind w:firstLineChars="0" w:firstLine="0"/>
              <w:jc w:val="center"/>
              <w:rPr>
                <w:kern w:val="2"/>
                <w:sz w:val="21"/>
                <w:szCs w:val="21"/>
              </w:rPr>
            </w:pPr>
            <w:r>
              <w:rPr>
                <w:rFonts w:hint="eastAsia"/>
                <w:kern w:val="2"/>
                <w:sz w:val="21"/>
                <w:szCs w:val="21"/>
              </w:rPr>
              <w:t>/</w:t>
            </w:r>
          </w:p>
        </w:tc>
        <w:tc>
          <w:tcPr>
            <w:tcW w:w="1106" w:type="pct"/>
            <w:shd w:val="clear" w:color="auto" w:fill="auto"/>
            <w:vAlign w:val="center"/>
          </w:tcPr>
          <w:p w14:paraId="3D5D0DA7" w14:textId="77777777" w:rsidR="003E78AB" w:rsidRDefault="00010BF9">
            <w:pPr>
              <w:spacing w:line="360" w:lineRule="exact"/>
              <w:ind w:firstLineChars="0" w:firstLine="0"/>
              <w:jc w:val="center"/>
              <w:rPr>
                <w:kern w:val="2"/>
                <w:sz w:val="21"/>
                <w:szCs w:val="21"/>
              </w:rPr>
            </w:pPr>
            <w:r>
              <w:rPr>
                <w:rFonts w:hint="eastAsia"/>
                <w:kern w:val="2"/>
                <w:sz w:val="21"/>
                <w:szCs w:val="21"/>
              </w:rPr>
              <w:t>2</w:t>
            </w:r>
          </w:p>
        </w:tc>
        <w:tc>
          <w:tcPr>
            <w:tcW w:w="772" w:type="pct"/>
            <w:shd w:val="clear" w:color="auto" w:fill="auto"/>
            <w:vAlign w:val="center"/>
          </w:tcPr>
          <w:p w14:paraId="35E186ED" w14:textId="77777777" w:rsidR="003E78AB" w:rsidRDefault="00010BF9">
            <w:pPr>
              <w:spacing w:line="360" w:lineRule="exact"/>
              <w:ind w:firstLineChars="0" w:firstLine="0"/>
              <w:jc w:val="center"/>
              <w:rPr>
                <w:kern w:val="2"/>
                <w:sz w:val="21"/>
                <w:szCs w:val="21"/>
              </w:rPr>
            </w:pPr>
            <w:r>
              <w:rPr>
                <w:rFonts w:hint="eastAsia"/>
                <w:kern w:val="2"/>
                <w:sz w:val="21"/>
                <w:szCs w:val="21"/>
              </w:rPr>
              <w:t>2500</w:t>
            </w:r>
          </w:p>
        </w:tc>
        <w:tc>
          <w:tcPr>
            <w:tcW w:w="974" w:type="pct"/>
            <w:shd w:val="clear" w:color="auto" w:fill="auto"/>
            <w:vAlign w:val="center"/>
          </w:tcPr>
          <w:p w14:paraId="280201F9" w14:textId="77777777" w:rsidR="003E78AB" w:rsidRDefault="00010BF9">
            <w:pPr>
              <w:spacing w:line="360" w:lineRule="exact"/>
              <w:ind w:firstLineChars="0" w:firstLine="0"/>
              <w:jc w:val="center"/>
              <w:rPr>
                <w:kern w:val="2"/>
                <w:sz w:val="21"/>
                <w:szCs w:val="21"/>
              </w:rPr>
            </w:pPr>
            <w:r>
              <w:rPr>
                <w:kern w:val="2"/>
                <w:sz w:val="21"/>
                <w:szCs w:val="21"/>
              </w:rPr>
              <w:t>0.0008</w:t>
            </w:r>
          </w:p>
        </w:tc>
      </w:tr>
      <w:tr w:rsidR="003E78AB" w14:paraId="5F936340" w14:textId="77777777">
        <w:trPr>
          <w:trHeight w:val="300"/>
        </w:trPr>
        <w:tc>
          <w:tcPr>
            <w:tcW w:w="422" w:type="pct"/>
            <w:shd w:val="clear" w:color="auto" w:fill="auto"/>
            <w:vAlign w:val="center"/>
          </w:tcPr>
          <w:p w14:paraId="0FBB18DB"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9</w:t>
            </w:r>
          </w:p>
        </w:tc>
        <w:tc>
          <w:tcPr>
            <w:tcW w:w="745" w:type="pct"/>
            <w:shd w:val="clear" w:color="auto" w:fill="auto"/>
            <w:vAlign w:val="center"/>
          </w:tcPr>
          <w:p w14:paraId="17B54C53"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氢氧化钠</w:t>
            </w:r>
            <w:r>
              <w:rPr>
                <w:rFonts w:hint="eastAsia"/>
                <w:b/>
                <w:bCs/>
                <w:kern w:val="2"/>
                <w:sz w:val="21"/>
                <w:szCs w:val="21"/>
                <w:u w:val="single"/>
                <w:vertAlign w:val="superscript"/>
              </w:rPr>
              <w:t>*2</w:t>
            </w:r>
          </w:p>
        </w:tc>
        <w:tc>
          <w:tcPr>
            <w:tcW w:w="978" w:type="pct"/>
            <w:shd w:val="clear" w:color="auto" w:fill="auto"/>
            <w:vAlign w:val="center"/>
          </w:tcPr>
          <w:p w14:paraId="213DB990"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w:t>
            </w:r>
          </w:p>
        </w:tc>
        <w:tc>
          <w:tcPr>
            <w:tcW w:w="1106" w:type="pct"/>
            <w:shd w:val="clear" w:color="auto" w:fill="auto"/>
            <w:vAlign w:val="center"/>
          </w:tcPr>
          <w:p w14:paraId="58047FA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10</w:t>
            </w:r>
          </w:p>
        </w:tc>
        <w:tc>
          <w:tcPr>
            <w:tcW w:w="772" w:type="pct"/>
            <w:shd w:val="clear" w:color="auto" w:fill="auto"/>
            <w:vAlign w:val="center"/>
          </w:tcPr>
          <w:p w14:paraId="3FA15E24"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w:t>
            </w:r>
          </w:p>
        </w:tc>
        <w:tc>
          <w:tcPr>
            <w:tcW w:w="974" w:type="pct"/>
            <w:shd w:val="clear" w:color="auto" w:fill="auto"/>
            <w:vAlign w:val="center"/>
          </w:tcPr>
          <w:p w14:paraId="2CA56152" w14:textId="77777777" w:rsidR="003E78AB" w:rsidRDefault="00010BF9">
            <w:pPr>
              <w:spacing w:line="360" w:lineRule="exact"/>
              <w:ind w:firstLineChars="0" w:firstLine="0"/>
              <w:jc w:val="center"/>
              <w:rPr>
                <w:b/>
                <w:bCs/>
                <w:kern w:val="2"/>
                <w:sz w:val="21"/>
                <w:szCs w:val="21"/>
                <w:u w:val="single"/>
              </w:rPr>
            </w:pPr>
            <w:r>
              <w:rPr>
                <w:rFonts w:hint="eastAsia"/>
                <w:b/>
                <w:bCs/>
                <w:kern w:val="2"/>
                <w:sz w:val="21"/>
                <w:szCs w:val="21"/>
                <w:u w:val="single"/>
              </w:rPr>
              <w:t>/</w:t>
            </w:r>
          </w:p>
        </w:tc>
      </w:tr>
      <w:tr w:rsidR="003E78AB" w14:paraId="7BADDDD7" w14:textId="77777777">
        <w:trPr>
          <w:trHeight w:val="310"/>
        </w:trPr>
        <w:tc>
          <w:tcPr>
            <w:tcW w:w="4025" w:type="pct"/>
            <w:gridSpan w:val="5"/>
            <w:shd w:val="clear" w:color="auto" w:fill="auto"/>
            <w:vAlign w:val="center"/>
          </w:tcPr>
          <w:p w14:paraId="34536DA2" w14:textId="77777777" w:rsidR="003E78AB" w:rsidRDefault="00010BF9">
            <w:pPr>
              <w:spacing w:line="360" w:lineRule="exact"/>
              <w:ind w:firstLineChars="0" w:firstLine="0"/>
              <w:jc w:val="center"/>
              <w:rPr>
                <w:kern w:val="2"/>
                <w:sz w:val="21"/>
                <w:szCs w:val="21"/>
              </w:rPr>
            </w:pPr>
            <w:r>
              <w:rPr>
                <w:rFonts w:hint="eastAsia"/>
                <w:kern w:val="2"/>
                <w:sz w:val="21"/>
                <w:szCs w:val="21"/>
              </w:rPr>
              <w:t>合计</w:t>
            </w:r>
          </w:p>
        </w:tc>
        <w:tc>
          <w:tcPr>
            <w:tcW w:w="974" w:type="pct"/>
            <w:shd w:val="clear" w:color="auto" w:fill="auto"/>
            <w:noWrap/>
            <w:vAlign w:val="center"/>
          </w:tcPr>
          <w:p w14:paraId="7FA1C274" w14:textId="77777777" w:rsidR="003E78AB" w:rsidRDefault="00010BF9">
            <w:pPr>
              <w:spacing w:line="360" w:lineRule="exact"/>
              <w:ind w:firstLineChars="0" w:firstLine="0"/>
              <w:jc w:val="center"/>
              <w:rPr>
                <w:kern w:val="2"/>
                <w:sz w:val="21"/>
                <w:szCs w:val="21"/>
              </w:rPr>
            </w:pPr>
            <w:r>
              <w:rPr>
                <w:rFonts w:hint="eastAsia"/>
                <w:kern w:val="2"/>
                <w:sz w:val="21"/>
                <w:szCs w:val="21"/>
              </w:rPr>
              <w:t>552.11</w:t>
            </w:r>
          </w:p>
        </w:tc>
      </w:tr>
      <w:tr w:rsidR="003E78AB" w14:paraId="7A102803" w14:textId="77777777">
        <w:trPr>
          <w:trHeight w:val="310"/>
        </w:trPr>
        <w:tc>
          <w:tcPr>
            <w:tcW w:w="5000" w:type="pct"/>
            <w:gridSpan w:val="6"/>
            <w:shd w:val="clear" w:color="auto" w:fill="auto"/>
            <w:vAlign w:val="center"/>
          </w:tcPr>
          <w:p w14:paraId="58246B21" w14:textId="77777777" w:rsidR="003E78AB" w:rsidRDefault="00010BF9">
            <w:pPr>
              <w:spacing w:line="360" w:lineRule="exact"/>
              <w:ind w:firstLineChars="0" w:firstLine="0"/>
              <w:jc w:val="left"/>
              <w:rPr>
                <w:kern w:val="2"/>
                <w:sz w:val="21"/>
                <w:szCs w:val="21"/>
              </w:rPr>
            </w:pPr>
            <w:r>
              <w:rPr>
                <w:kern w:val="2"/>
                <w:sz w:val="21"/>
                <w:szCs w:val="21"/>
              </w:rPr>
              <w:t>注：</w:t>
            </w:r>
            <w:r>
              <w:rPr>
                <w:kern w:val="2"/>
                <w:sz w:val="21"/>
                <w:szCs w:val="21"/>
              </w:rPr>
              <w:t>*</w:t>
            </w:r>
            <w:r>
              <w:rPr>
                <w:rFonts w:hint="eastAsia"/>
                <w:kern w:val="2"/>
                <w:sz w:val="21"/>
                <w:szCs w:val="21"/>
              </w:rPr>
              <w:t>1</w:t>
            </w:r>
            <w:r>
              <w:rPr>
                <w:kern w:val="2"/>
                <w:sz w:val="21"/>
                <w:szCs w:val="21"/>
              </w:rPr>
              <w:t>草酸危险类别为急性毒性（口服</w:t>
            </w:r>
            <w:r>
              <w:rPr>
                <w:kern w:val="2"/>
                <w:sz w:val="21"/>
                <w:szCs w:val="21"/>
              </w:rPr>
              <w:t>/</w:t>
            </w:r>
            <w:r>
              <w:rPr>
                <w:kern w:val="2"/>
                <w:sz w:val="21"/>
                <w:szCs w:val="21"/>
              </w:rPr>
              <w:t>皮肤）类别</w:t>
            </w:r>
            <w:r>
              <w:rPr>
                <w:kern w:val="2"/>
                <w:sz w:val="21"/>
                <w:szCs w:val="21"/>
              </w:rPr>
              <w:t>3</w:t>
            </w:r>
            <w:r>
              <w:rPr>
                <w:kern w:val="2"/>
                <w:sz w:val="21"/>
                <w:szCs w:val="21"/>
              </w:rPr>
              <w:t>，属于《企业突发环境事件风险分级方法</w:t>
            </w:r>
            <w:r>
              <w:rPr>
                <w:rFonts w:hint="eastAsia"/>
                <w:kern w:val="2"/>
                <w:sz w:val="21"/>
                <w:szCs w:val="21"/>
              </w:rPr>
              <w:t>（</w:t>
            </w:r>
            <w:r>
              <w:rPr>
                <w:kern w:val="2"/>
                <w:sz w:val="21"/>
                <w:szCs w:val="21"/>
              </w:rPr>
              <w:t>HJ 941-2018</w:t>
            </w:r>
            <w:r>
              <w:rPr>
                <w:rFonts w:hint="eastAsia"/>
                <w:kern w:val="2"/>
                <w:sz w:val="21"/>
                <w:szCs w:val="21"/>
              </w:rPr>
              <w:t>）</w:t>
            </w:r>
            <w:r>
              <w:rPr>
                <w:kern w:val="2"/>
                <w:sz w:val="21"/>
                <w:szCs w:val="21"/>
              </w:rPr>
              <w:t>》中健康危险急性毒性物质（类别</w:t>
            </w:r>
            <w:r>
              <w:rPr>
                <w:kern w:val="2"/>
                <w:sz w:val="21"/>
                <w:szCs w:val="21"/>
              </w:rPr>
              <w:t>2</w:t>
            </w:r>
            <w:r>
              <w:rPr>
                <w:kern w:val="2"/>
                <w:sz w:val="21"/>
                <w:szCs w:val="21"/>
              </w:rPr>
              <w:t>，类别</w:t>
            </w:r>
            <w:r>
              <w:rPr>
                <w:kern w:val="2"/>
                <w:sz w:val="21"/>
                <w:szCs w:val="21"/>
              </w:rPr>
              <w:t>3</w:t>
            </w:r>
            <w:r>
              <w:rPr>
                <w:kern w:val="2"/>
                <w:sz w:val="21"/>
                <w:szCs w:val="21"/>
              </w:rPr>
              <w:t>），临界值</w:t>
            </w:r>
            <w:r>
              <w:rPr>
                <w:kern w:val="2"/>
                <w:sz w:val="21"/>
                <w:szCs w:val="21"/>
              </w:rPr>
              <w:t>50t</w:t>
            </w:r>
            <w:r>
              <w:rPr>
                <w:kern w:val="2"/>
                <w:sz w:val="21"/>
                <w:szCs w:val="21"/>
              </w:rPr>
              <w:t>。</w:t>
            </w:r>
          </w:p>
          <w:p w14:paraId="082EABBB" w14:textId="77777777" w:rsidR="003E78AB" w:rsidRDefault="00010BF9">
            <w:pPr>
              <w:spacing w:line="360" w:lineRule="exact"/>
              <w:ind w:firstLineChars="0" w:firstLine="0"/>
              <w:jc w:val="left"/>
              <w:rPr>
                <w:b/>
                <w:bCs/>
                <w:kern w:val="2"/>
                <w:sz w:val="21"/>
                <w:szCs w:val="21"/>
                <w:u w:val="single"/>
              </w:rPr>
            </w:pPr>
            <w:r>
              <w:rPr>
                <w:b/>
                <w:bCs/>
                <w:kern w:val="2"/>
                <w:sz w:val="21"/>
                <w:szCs w:val="21"/>
                <w:u w:val="single"/>
              </w:rPr>
              <w:t>*</w:t>
            </w:r>
            <w:r>
              <w:rPr>
                <w:rFonts w:hint="eastAsia"/>
                <w:b/>
                <w:bCs/>
                <w:kern w:val="2"/>
                <w:sz w:val="21"/>
                <w:szCs w:val="21"/>
                <w:u w:val="single"/>
              </w:rPr>
              <w:t>2</w:t>
            </w:r>
            <w:r>
              <w:rPr>
                <w:b/>
                <w:bCs/>
                <w:kern w:val="2"/>
                <w:sz w:val="21"/>
                <w:szCs w:val="21"/>
                <w:u w:val="single"/>
              </w:rPr>
              <w:t>氢氧化钠为涉水的风险物质，经查阅资料氢氧化钠物质安全数据说明书，氢氧化钠</w:t>
            </w:r>
            <w:r>
              <w:rPr>
                <w:b/>
                <w:bCs/>
                <w:kern w:val="2"/>
                <w:sz w:val="21"/>
                <w:szCs w:val="21"/>
                <w:u w:val="single"/>
              </w:rPr>
              <w:t>GHS</w:t>
            </w:r>
            <w:r>
              <w:rPr>
                <w:b/>
                <w:bCs/>
                <w:kern w:val="2"/>
                <w:sz w:val="21"/>
                <w:szCs w:val="21"/>
                <w:u w:val="single"/>
              </w:rPr>
              <w:t>标准判断，属危害水环境物质</w:t>
            </w:r>
            <w:r>
              <w:rPr>
                <w:b/>
                <w:bCs/>
                <w:kern w:val="2"/>
                <w:sz w:val="21"/>
                <w:szCs w:val="21"/>
                <w:u w:val="single"/>
              </w:rPr>
              <w:t>-</w:t>
            </w:r>
            <w:r>
              <w:rPr>
                <w:b/>
                <w:bCs/>
                <w:kern w:val="2"/>
                <w:sz w:val="21"/>
                <w:szCs w:val="21"/>
                <w:u w:val="single"/>
              </w:rPr>
              <w:t>急性危害类别</w:t>
            </w:r>
            <w:r>
              <w:rPr>
                <w:b/>
                <w:bCs/>
                <w:kern w:val="2"/>
                <w:sz w:val="21"/>
                <w:szCs w:val="21"/>
                <w:u w:val="single"/>
              </w:rPr>
              <w:t>3</w:t>
            </w:r>
            <w:r>
              <w:rPr>
                <w:b/>
                <w:bCs/>
                <w:kern w:val="2"/>
                <w:sz w:val="21"/>
                <w:szCs w:val="21"/>
                <w:u w:val="single"/>
              </w:rPr>
              <w:t>；对水生生物有害。因此未列入《企业突发环境事件分级方法》（</w:t>
            </w:r>
            <w:r>
              <w:rPr>
                <w:b/>
                <w:bCs/>
                <w:kern w:val="2"/>
                <w:sz w:val="21"/>
                <w:szCs w:val="21"/>
                <w:u w:val="single"/>
              </w:rPr>
              <w:t>HJ941-2018</w:t>
            </w:r>
            <w:r>
              <w:rPr>
                <w:b/>
                <w:bCs/>
                <w:kern w:val="2"/>
                <w:sz w:val="21"/>
                <w:szCs w:val="21"/>
                <w:u w:val="single"/>
              </w:rPr>
              <w:t>）附录</w:t>
            </w:r>
            <w:r>
              <w:rPr>
                <w:b/>
                <w:bCs/>
                <w:kern w:val="2"/>
                <w:sz w:val="21"/>
                <w:szCs w:val="21"/>
                <w:u w:val="single"/>
              </w:rPr>
              <w:t>A</w:t>
            </w:r>
            <w:r>
              <w:rPr>
                <w:b/>
                <w:bCs/>
                <w:kern w:val="2"/>
                <w:sz w:val="21"/>
                <w:szCs w:val="21"/>
                <w:u w:val="single"/>
              </w:rPr>
              <w:t>突发环境事件风险物质及临界量清单。</w:t>
            </w:r>
          </w:p>
          <w:p w14:paraId="017ED724" w14:textId="77777777" w:rsidR="003E78AB" w:rsidRDefault="00010BF9">
            <w:pPr>
              <w:spacing w:line="360" w:lineRule="exact"/>
              <w:ind w:firstLineChars="0" w:firstLine="0"/>
              <w:jc w:val="left"/>
              <w:rPr>
                <w:kern w:val="2"/>
                <w:sz w:val="21"/>
                <w:szCs w:val="21"/>
              </w:rPr>
            </w:pPr>
            <w:r>
              <w:rPr>
                <w:rFonts w:hint="eastAsia"/>
                <w:b/>
                <w:bCs/>
                <w:kern w:val="2"/>
                <w:sz w:val="21"/>
                <w:szCs w:val="21"/>
                <w:u w:val="single"/>
              </w:rPr>
              <w:t>*3</w:t>
            </w:r>
            <w:r>
              <w:rPr>
                <w:bCs/>
                <w:kern w:val="2"/>
                <w:sz w:val="21"/>
                <w:szCs w:val="21"/>
              </w:rPr>
              <w:t>结晶盐属性</w:t>
            </w:r>
            <w:r>
              <w:rPr>
                <w:rFonts w:hint="eastAsia"/>
                <w:bCs/>
                <w:kern w:val="2"/>
                <w:sz w:val="21"/>
                <w:szCs w:val="21"/>
              </w:rPr>
              <w:t>确定</w:t>
            </w:r>
            <w:r>
              <w:rPr>
                <w:bCs/>
                <w:kern w:val="2"/>
                <w:sz w:val="21"/>
                <w:szCs w:val="21"/>
              </w:rPr>
              <w:t>前按危废收集处置</w:t>
            </w:r>
            <w:r>
              <w:rPr>
                <w:rFonts w:hint="eastAsia"/>
                <w:bCs/>
                <w:kern w:val="2"/>
                <w:sz w:val="21"/>
                <w:szCs w:val="21"/>
              </w:rPr>
              <w:t>。</w:t>
            </w:r>
          </w:p>
        </w:tc>
      </w:tr>
    </w:tbl>
    <w:p w14:paraId="58DBF42D" w14:textId="77777777" w:rsidR="003E78AB" w:rsidRDefault="00010BF9">
      <w:pPr>
        <w:spacing w:line="460" w:lineRule="exact"/>
        <w:ind w:firstLine="480"/>
        <w:rPr>
          <w:bCs/>
          <w:kern w:val="2"/>
        </w:rPr>
      </w:pPr>
      <w:r>
        <w:rPr>
          <w:bCs/>
          <w:kern w:val="2"/>
        </w:rPr>
        <w:t>根据上表结果，本项目危险物质数量与临界量比值</w:t>
      </w:r>
      <w:r>
        <w:rPr>
          <w:bCs/>
          <w:kern w:val="2"/>
        </w:rPr>
        <w:t>Q=</w:t>
      </w:r>
      <w:r>
        <w:rPr>
          <w:rFonts w:hint="eastAsia"/>
          <w:bCs/>
          <w:kern w:val="2"/>
        </w:rPr>
        <w:t>552.11</w:t>
      </w:r>
      <w:r>
        <w:rPr>
          <w:bCs/>
          <w:kern w:val="2"/>
        </w:rPr>
        <w:t>。</w:t>
      </w:r>
    </w:p>
    <w:p w14:paraId="093335BF" w14:textId="77777777" w:rsidR="003E78AB" w:rsidRDefault="00010BF9">
      <w:pPr>
        <w:ind w:firstLine="480"/>
        <w:rPr>
          <w:kern w:val="2"/>
        </w:rPr>
      </w:pPr>
      <w:r>
        <w:rPr>
          <w:kern w:val="2"/>
        </w:rPr>
        <w:t>②</w:t>
      </w:r>
      <w:r>
        <w:rPr>
          <w:kern w:val="2"/>
        </w:rPr>
        <w:t>行业及生产工艺（</w:t>
      </w:r>
      <w:r>
        <w:rPr>
          <w:i/>
          <w:iCs/>
          <w:kern w:val="2"/>
        </w:rPr>
        <w:t>M</w:t>
      </w:r>
      <w:r>
        <w:rPr>
          <w:kern w:val="2"/>
        </w:rPr>
        <w:t>）</w:t>
      </w:r>
    </w:p>
    <w:p w14:paraId="0CA19A3C" w14:textId="77777777" w:rsidR="003E78AB" w:rsidRDefault="00010BF9">
      <w:pPr>
        <w:ind w:firstLine="480"/>
        <w:rPr>
          <w:kern w:val="2"/>
        </w:rPr>
      </w:pPr>
      <w:r>
        <w:rPr>
          <w:kern w:val="2"/>
        </w:rPr>
        <w:t>分析项目所属行业及生产工艺特点，按照表</w:t>
      </w:r>
      <w:r>
        <w:rPr>
          <w:kern w:val="2"/>
        </w:rPr>
        <w:t>6-4</w:t>
      </w:r>
      <w:r>
        <w:rPr>
          <w:kern w:val="2"/>
        </w:rPr>
        <w:t>评估生产工艺情况。具有多套工艺单元的项目，对每套生产工艺分别评分并求和。将</w:t>
      </w:r>
      <w:r>
        <w:rPr>
          <w:i/>
          <w:iCs/>
          <w:kern w:val="2"/>
        </w:rPr>
        <w:t>M</w:t>
      </w:r>
      <w:r>
        <w:rPr>
          <w:kern w:val="2"/>
        </w:rPr>
        <w:t>划分为</w:t>
      </w:r>
      <w:r>
        <w:rPr>
          <w:kern w:val="2"/>
        </w:rPr>
        <w:t>①</w:t>
      </w:r>
      <w:r>
        <w:rPr>
          <w:i/>
          <w:iCs/>
          <w:kern w:val="2"/>
        </w:rPr>
        <w:t>M</w:t>
      </w:r>
      <w:r>
        <w:rPr>
          <w:kern w:val="2"/>
        </w:rPr>
        <w:t>＞</w:t>
      </w:r>
      <w:r>
        <w:rPr>
          <w:kern w:val="2"/>
        </w:rPr>
        <w:t>20</w:t>
      </w:r>
      <w:r>
        <w:rPr>
          <w:kern w:val="2"/>
        </w:rPr>
        <w:t>；</w:t>
      </w:r>
      <w:r>
        <w:rPr>
          <w:kern w:val="2"/>
        </w:rPr>
        <w:t>②10</w:t>
      </w:r>
      <w:r>
        <w:rPr>
          <w:kern w:val="2"/>
        </w:rPr>
        <w:t>＜</w:t>
      </w:r>
      <w:r>
        <w:rPr>
          <w:i/>
          <w:iCs/>
          <w:kern w:val="2"/>
        </w:rPr>
        <w:t>M</w:t>
      </w:r>
      <w:r>
        <w:rPr>
          <w:kern w:val="2"/>
        </w:rPr>
        <w:t>≤20</w:t>
      </w:r>
      <w:r>
        <w:rPr>
          <w:kern w:val="2"/>
        </w:rPr>
        <w:t>；</w:t>
      </w:r>
      <w:r>
        <w:rPr>
          <w:kern w:val="2"/>
        </w:rPr>
        <w:t>③5</w:t>
      </w:r>
      <w:r>
        <w:rPr>
          <w:kern w:val="2"/>
        </w:rPr>
        <w:t>＜</w:t>
      </w:r>
      <w:r>
        <w:rPr>
          <w:i/>
          <w:iCs/>
          <w:kern w:val="2"/>
        </w:rPr>
        <w:t>M</w:t>
      </w:r>
      <w:r>
        <w:rPr>
          <w:kern w:val="2"/>
        </w:rPr>
        <w:t>≤10</w:t>
      </w:r>
      <w:r>
        <w:rPr>
          <w:kern w:val="2"/>
        </w:rPr>
        <w:t>；</w:t>
      </w:r>
      <w:r>
        <w:rPr>
          <w:kern w:val="2"/>
        </w:rPr>
        <w:t>④</w:t>
      </w:r>
      <w:r>
        <w:rPr>
          <w:i/>
          <w:iCs/>
          <w:kern w:val="2"/>
        </w:rPr>
        <w:t>M</w:t>
      </w:r>
      <w:r>
        <w:rPr>
          <w:kern w:val="2"/>
        </w:rPr>
        <w:t>=5</w:t>
      </w:r>
      <w:r>
        <w:rPr>
          <w:kern w:val="2"/>
        </w:rPr>
        <w:t>，分别以</w:t>
      </w:r>
      <w:r>
        <w:rPr>
          <w:i/>
          <w:iCs/>
          <w:kern w:val="2"/>
        </w:rPr>
        <w:t>M1</w:t>
      </w:r>
      <w:r>
        <w:rPr>
          <w:kern w:val="2"/>
        </w:rPr>
        <w:t>、</w:t>
      </w:r>
      <w:r>
        <w:rPr>
          <w:i/>
          <w:iCs/>
          <w:kern w:val="2"/>
        </w:rPr>
        <w:t>M2</w:t>
      </w:r>
      <w:r>
        <w:rPr>
          <w:kern w:val="2"/>
        </w:rPr>
        <w:t>、</w:t>
      </w:r>
      <w:r>
        <w:rPr>
          <w:i/>
          <w:iCs/>
          <w:kern w:val="2"/>
        </w:rPr>
        <w:t>M3</w:t>
      </w:r>
      <w:r>
        <w:rPr>
          <w:kern w:val="2"/>
        </w:rPr>
        <w:t>和</w:t>
      </w:r>
      <w:r>
        <w:rPr>
          <w:i/>
          <w:iCs/>
          <w:kern w:val="2"/>
        </w:rPr>
        <w:t>M4</w:t>
      </w:r>
      <w:r>
        <w:rPr>
          <w:kern w:val="2"/>
        </w:rPr>
        <w:t>表示。</w:t>
      </w:r>
    </w:p>
    <w:p w14:paraId="2EA6ABF7" w14:textId="77777777" w:rsidR="003E78AB" w:rsidRDefault="00010BF9">
      <w:pPr>
        <w:pStyle w:val="a"/>
        <w:spacing w:before="120"/>
        <w:ind w:left="425" w:hanging="425"/>
      </w:pPr>
      <w:r>
        <w:t>行业及生产工艺评分表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979"/>
        <w:gridCol w:w="1274"/>
        <w:gridCol w:w="1275"/>
      </w:tblGrid>
      <w:tr w:rsidR="003E78AB" w14:paraId="7B72D5F4" w14:textId="77777777">
        <w:trPr>
          <w:trHeight w:val="397"/>
          <w:tblHeader/>
          <w:jc w:val="center"/>
        </w:trPr>
        <w:tc>
          <w:tcPr>
            <w:tcW w:w="1166" w:type="pct"/>
            <w:tcBorders>
              <w:tl2br w:val="nil"/>
              <w:tr2bl w:val="nil"/>
            </w:tcBorders>
            <w:vAlign w:val="center"/>
          </w:tcPr>
          <w:p w14:paraId="4B1FF719" w14:textId="77777777" w:rsidR="003E78AB" w:rsidRDefault="00010BF9">
            <w:pPr>
              <w:pStyle w:val="aff6"/>
              <w:topLinePunct/>
              <w:rPr>
                <w:b/>
                <w:bCs/>
              </w:rPr>
            </w:pPr>
            <w:r>
              <w:rPr>
                <w:b/>
                <w:bCs/>
              </w:rPr>
              <w:t>行业</w:t>
            </w:r>
          </w:p>
        </w:tc>
        <w:tc>
          <w:tcPr>
            <w:tcW w:w="2337" w:type="pct"/>
            <w:tcBorders>
              <w:tl2br w:val="nil"/>
              <w:tr2bl w:val="nil"/>
            </w:tcBorders>
            <w:vAlign w:val="center"/>
          </w:tcPr>
          <w:p w14:paraId="24576827" w14:textId="77777777" w:rsidR="003E78AB" w:rsidRDefault="00010BF9">
            <w:pPr>
              <w:pStyle w:val="aff6"/>
              <w:topLinePunct/>
              <w:rPr>
                <w:b/>
                <w:bCs/>
              </w:rPr>
            </w:pPr>
            <w:r>
              <w:rPr>
                <w:b/>
                <w:bCs/>
              </w:rPr>
              <w:t>评估依据</w:t>
            </w:r>
          </w:p>
        </w:tc>
        <w:tc>
          <w:tcPr>
            <w:tcW w:w="748" w:type="pct"/>
            <w:tcBorders>
              <w:tl2br w:val="nil"/>
              <w:tr2bl w:val="nil"/>
            </w:tcBorders>
            <w:vAlign w:val="center"/>
          </w:tcPr>
          <w:p w14:paraId="4843737D" w14:textId="77777777" w:rsidR="003E78AB" w:rsidRDefault="00010BF9">
            <w:pPr>
              <w:pStyle w:val="aff6"/>
              <w:topLinePunct/>
              <w:rPr>
                <w:b/>
                <w:bCs/>
              </w:rPr>
            </w:pPr>
            <w:r>
              <w:rPr>
                <w:b/>
                <w:bCs/>
              </w:rPr>
              <w:t>分值</w:t>
            </w:r>
          </w:p>
        </w:tc>
        <w:tc>
          <w:tcPr>
            <w:tcW w:w="748" w:type="pct"/>
            <w:tcBorders>
              <w:tl2br w:val="nil"/>
              <w:tr2bl w:val="nil"/>
            </w:tcBorders>
            <w:vAlign w:val="center"/>
          </w:tcPr>
          <w:p w14:paraId="5EB25BA6" w14:textId="77777777" w:rsidR="003E78AB" w:rsidRDefault="00010BF9">
            <w:pPr>
              <w:pStyle w:val="aff6"/>
              <w:topLinePunct/>
              <w:rPr>
                <w:b/>
                <w:bCs/>
              </w:rPr>
            </w:pPr>
            <w:r>
              <w:rPr>
                <w:b/>
                <w:bCs/>
              </w:rPr>
              <w:t>本项目</w:t>
            </w:r>
          </w:p>
        </w:tc>
      </w:tr>
      <w:tr w:rsidR="003E78AB" w14:paraId="5C61A339" w14:textId="77777777">
        <w:trPr>
          <w:trHeight w:val="397"/>
          <w:jc w:val="center"/>
        </w:trPr>
        <w:tc>
          <w:tcPr>
            <w:tcW w:w="1166" w:type="pct"/>
            <w:vMerge w:val="restart"/>
            <w:tcBorders>
              <w:tl2br w:val="nil"/>
              <w:tr2bl w:val="nil"/>
            </w:tcBorders>
            <w:vAlign w:val="center"/>
          </w:tcPr>
          <w:p w14:paraId="7F86EBFF" w14:textId="77777777" w:rsidR="003E78AB" w:rsidRDefault="00010BF9">
            <w:pPr>
              <w:pStyle w:val="aff6"/>
              <w:topLinePunct/>
            </w:pPr>
            <w:r>
              <w:t>石化、化工、医药、轻工、化纤、有色冶炼等</w:t>
            </w:r>
          </w:p>
        </w:tc>
        <w:tc>
          <w:tcPr>
            <w:tcW w:w="2337" w:type="pct"/>
            <w:tcBorders>
              <w:tl2br w:val="nil"/>
              <w:tr2bl w:val="nil"/>
            </w:tcBorders>
            <w:vAlign w:val="center"/>
          </w:tcPr>
          <w:p w14:paraId="7618874D" w14:textId="77777777" w:rsidR="003E78AB" w:rsidRDefault="00010BF9">
            <w:pPr>
              <w:pStyle w:val="aff6"/>
              <w:topLinePunct/>
              <w:jc w:val="left"/>
            </w:pPr>
            <w: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48" w:type="pct"/>
            <w:tcBorders>
              <w:tl2br w:val="nil"/>
              <w:tr2bl w:val="nil"/>
            </w:tcBorders>
            <w:vAlign w:val="center"/>
          </w:tcPr>
          <w:p w14:paraId="260B83F2" w14:textId="77777777" w:rsidR="003E78AB" w:rsidRDefault="00010BF9">
            <w:pPr>
              <w:pStyle w:val="aff6"/>
              <w:topLinePunct/>
            </w:pPr>
            <w:r>
              <w:t>10/</w:t>
            </w:r>
            <w:r>
              <w:t>套</w:t>
            </w:r>
          </w:p>
        </w:tc>
        <w:tc>
          <w:tcPr>
            <w:tcW w:w="748" w:type="pct"/>
            <w:tcBorders>
              <w:tl2br w:val="nil"/>
              <w:tr2bl w:val="nil"/>
            </w:tcBorders>
            <w:vAlign w:val="center"/>
          </w:tcPr>
          <w:p w14:paraId="22D18ED7" w14:textId="77777777" w:rsidR="003E78AB" w:rsidRDefault="00010BF9">
            <w:pPr>
              <w:pStyle w:val="aff6"/>
              <w:topLinePunct/>
            </w:pPr>
            <w:r>
              <w:t>0</w:t>
            </w:r>
          </w:p>
        </w:tc>
      </w:tr>
      <w:tr w:rsidR="003E78AB" w14:paraId="626BB0F0" w14:textId="77777777">
        <w:trPr>
          <w:trHeight w:val="397"/>
          <w:jc w:val="center"/>
        </w:trPr>
        <w:tc>
          <w:tcPr>
            <w:tcW w:w="1166" w:type="pct"/>
            <w:vMerge/>
            <w:tcBorders>
              <w:tl2br w:val="nil"/>
              <w:tr2bl w:val="nil"/>
            </w:tcBorders>
            <w:vAlign w:val="center"/>
          </w:tcPr>
          <w:p w14:paraId="28BFA8BC" w14:textId="77777777" w:rsidR="003E78AB" w:rsidRDefault="003E78AB">
            <w:pPr>
              <w:pStyle w:val="aff6"/>
              <w:topLinePunct/>
            </w:pPr>
          </w:p>
        </w:tc>
        <w:tc>
          <w:tcPr>
            <w:tcW w:w="2337" w:type="pct"/>
            <w:tcBorders>
              <w:tl2br w:val="nil"/>
              <w:tr2bl w:val="nil"/>
            </w:tcBorders>
            <w:vAlign w:val="center"/>
          </w:tcPr>
          <w:p w14:paraId="5BB904C5" w14:textId="77777777" w:rsidR="003E78AB" w:rsidRDefault="00010BF9">
            <w:pPr>
              <w:pStyle w:val="aff6"/>
              <w:topLinePunct/>
              <w:jc w:val="left"/>
            </w:pPr>
            <w:r>
              <w:t>无机酸制酸工艺、焦化工艺</w:t>
            </w:r>
          </w:p>
        </w:tc>
        <w:tc>
          <w:tcPr>
            <w:tcW w:w="748" w:type="pct"/>
            <w:tcBorders>
              <w:tl2br w:val="nil"/>
              <w:tr2bl w:val="nil"/>
            </w:tcBorders>
            <w:vAlign w:val="center"/>
          </w:tcPr>
          <w:p w14:paraId="63F8D68D" w14:textId="77777777" w:rsidR="003E78AB" w:rsidRDefault="00010BF9">
            <w:pPr>
              <w:pStyle w:val="aff6"/>
              <w:topLinePunct/>
            </w:pPr>
            <w:r>
              <w:t>5/</w:t>
            </w:r>
            <w:r>
              <w:t>套</w:t>
            </w:r>
          </w:p>
        </w:tc>
        <w:tc>
          <w:tcPr>
            <w:tcW w:w="748" w:type="pct"/>
            <w:tcBorders>
              <w:tl2br w:val="nil"/>
              <w:tr2bl w:val="nil"/>
            </w:tcBorders>
            <w:vAlign w:val="center"/>
          </w:tcPr>
          <w:p w14:paraId="5C4BC905" w14:textId="77777777" w:rsidR="003E78AB" w:rsidRDefault="00010BF9">
            <w:pPr>
              <w:pStyle w:val="aff6"/>
              <w:topLinePunct/>
            </w:pPr>
            <w:r>
              <w:t>0</w:t>
            </w:r>
          </w:p>
        </w:tc>
      </w:tr>
      <w:tr w:rsidR="003E78AB" w14:paraId="0328FBB6" w14:textId="77777777">
        <w:trPr>
          <w:trHeight w:val="397"/>
          <w:jc w:val="center"/>
        </w:trPr>
        <w:tc>
          <w:tcPr>
            <w:tcW w:w="1166" w:type="pct"/>
            <w:vMerge/>
            <w:tcBorders>
              <w:tl2br w:val="nil"/>
              <w:tr2bl w:val="nil"/>
            </w:tcBorders>
            <w:vAlign w:val="center"/>
          </w:tcPr>
          <w:p w14:paraId="586FC525" w14:textId="77777777" w:rsidR="003E78AB" w:rsidRDefault="003E78AB">
            <w:pPr>
              <w:pStyle w:val="aff6"/>
              <w:topLinePunct/>
            </w:pPr>
          </w:p>
        </w:tc>
        <w:tc>
          <w:tcPr>
            <w:tcW w:w="2337" w:type="pct"/>
            <w:tcBorders>
              <w:tl2br w:val="nil"/>
              <w:tr2bl w:val="nil"/>
            </w:tcBorders>
            <w:vAlign w:val="center"/>
          </w:tcPr>
          <w:p w14:paraId="52EB141A" w14:textId="77777777" w:rsidR="003E78AB" w:rsidRDefault="00010BF9">
            <w:pPr>
              <w:pStyle w:val="aff6"/>
              <w:topLinePunct/>
              <w:jc w:val="left"/>
            </w:pPr>
            <w:r>
              <w:t>其他高温或高压，且涉及危险物质的工艺过程</w:t>
            </w:r>
            <w:r>
              <w:t>a</w:t>
            </w:r>
            <w:r>
              <w:t>、危险物质贮存罐区</w:t>
            </w:r>
          </w:p>
        </w:tc>
        <w:tc>
          <w:tcPr>
            <w:tcW w:w="748" w:type="pct"/>
            <w:tcBorders>
              <w:tl2br w:val="nil"/>
              <w:tr2bl w:val="nil"/>
            </w:tcBorders>
            <w:vAlign w:val="center"/>
          </w:tcPr>
          <w:p w14:paraId="1F6F065C" w14:textId="77777777" w:rsidR="003E78AB" w:rsidRDefault="00010BF9">
            <w:pPr>
              <w:pStyle w:val="aff6"/>
              <w:topLinePunct/>
            </w:pPr>
            <w:r>
              <w:t>5/</w:t>
            </w:r>
            <w:r>
              <w:t>套（罐区）</w:t>
            </w:r>
          </w:p>
        </w:tc>
        <w:tc>
          <w:tcPr>
            <w:tcW w:w="748" w:type="pct"/>
            <w:tcBorders>
              <w:tl2br w:val="nil"/>
              <w:tr2bl w:val="nil"/>
            </w:tcBorders>
            <w:vAlign w:val="center"/>
          </w:tcPr>
          <w:p w14:paraId="0153B3E5" w14:textId="77777777" w:rsidR="003E78AB" w:rsidRDefault="00010BF9">
            <w:pPr>
              <w:pStyle w:val="aff6"/>
              <w:topLinePunct/>
            </w:pPr>
            <w:r>
              <w:t>5</w:t>
            </w:r>
          </w:p>
        </w:tc>
      </w:tr>
      <w:tr w:rsidR="003E78AB" w14:paraId="5C4377EF" w14:textId="77777777">
        <w:trPr>
          <w:trHeight w:val="397"/>
          <w:jc w:val="center"/>
        </w:trPr>
        <w:tc>
          <w:tcPr>
            <w:tcW w:w="4251" w:type="pct"/>
            <w:gridSpan w:val="3"/>
            <w:tcBorders>
              <w:tl2br w:val="nil"/>
              <w:tr2bl w:val="nil"/>
            </w:tcBorders>
            <w:vAlign w:val="center"/>
          </w:tcPr>
          <w:p w14:paraId="564D2C57" w14:textId="77777777" w:rsidR="003E78AB" w:rsidRDefault="00010BF9">
            <w:pPr>
              <w:pStyle w:val="aff6"/>
              <w:topLinePunct/>
            </w:pPr>
            <w:r>
              <w:t>合计</w:t>
            </w:r>
          </w:p>
        </w:tc>
        <w:tc>
          <w:tcPr>
            <w:tcW w:w="748" w:type="pct"/>
            <w:tcBorders>
              <w:tl2br w:val="nil"/>
              <w:tr2bl w:val="nil"/>
            </w:tcBorders>
            <w:vAlign w:val="center"/>
          </w:tcPr>
          <w:p w14:paraId="69AAE5EC" w14:textId="77777777" w:rsidR="003E78AB" w:rsidRDefault="00010BF9">
            <w:pPr>
              <w:pStyle w:val="aff6"/>
              <w:topLinePunct/>
            </w:pPr>
            <w:r>
              <w:t>5</w:t>
            </w:r>
          </w:p>
        </w:tc>
      </w:tr>
      <w:tr w:rsidR="003E78AB" w14:paraId="0676580B" w14:textId="77777777">
        <w:trPr>
          <w:trHeight w:val="397"/>
          <w:jc w:val="center"/>
        </w:trPr>
        <w:tc>
          <w:tcPr>
            <w:tcW w:w="5000" w:type="pct"/>
            <w:gridSpan w:val="4"/>
            <w:tcBorders>
              <w:tl2br w:val="nil"/>
              <w:tr2bl w:val="nil"/>
            </w:tcBorders>
            <w:vAlign w:val="center"/>
          </w:tcPr>
          <w:p w14:paraId="235CE691" w14:textId="77777777" w:rsidR="003E78AB" w:rsidRDefault="00010BF9">
            <w:pPr>
              <w:pStyle w:val="aff6"/>
              <w:topLinePunct/>
              <w:jc w:val="left"/>
            </w:pPr>
            <w:r>
              <w:t>a</w:t>
            </w:r>
            <w:r>
              <w:t>高温指工艺温度</w:t>
            </w:r>
            <w:r>
              <w:t>≥300℃</w:t>
            </w:r>
            <w:r>
              <w:t>，高压指压力容器的设计压力（</w:t>
            </w:r>
            <w:r>
              <w:t>P</w:t>
            </w:r>
            <w:r>
              <w:t>）</w:t>
            </w:r>
            <w:r>
              <w:t>≥10.0MPa</w:t>
            </w:r>
            <w:r>
              <w:t>；</w:t>
            </w:r>
          </w:p>
          <w:p w14:paraId="3E05FAE1" w14:textId="77777777" w:rsidR="003E78AB" w:rsidRDefault="00010BF9">
            <w:pPr>
              <w:pStyle w:val="aff6"/>
              <w:topLinePunct/>
              <w:jc w:val="left"/>
            </w:pPr>
            <w:r>
              <w:t>b</w:t>
            </w:r>
            <w:r>
              <w:t>长输管道运输项目应按站场、管线分段进行评价。</w:t>
            </w:r>
          </w:p>
        </w:tc>
      </w:tr>
    </w:tbl>
    <w:p w14:paraId="051C4A5C" w14:textId="77777777" w:rsidR="003E78AB" w:rsidRDefault="00010BF9">
      <w:pPr>
        <w:ind w:firstLine="482"/>
        <w:rPr>
          <w:b/>
          <w:bCs/>
          <w:kern w:val="2"/>
          <w:u w:val="single"/>
          <w:lang w:val="zh-CN"/>
        </w:rPr>
      </w:pPr>
      <w:r>
        <w:rPr>
          <w:b/>
          <w:bCs/>
          <w:kern w:val="2"/>
          <w:u w:val="single"/>
          <w:lang w:val="zh-CN"/>
        </w:rPr>
        <w:t>本项目生产工序</w:t>
      </w:r>
      <w:r>
        <w:rPr>
          <w:rFonts w:hint="eastAsia"/>
          <w:b/>
          <w:bCs/>
          <w:kern w:val="2"/>
          <w:u w:val="single"/>
        </w:rPr>
        <w:t>不涉及上表所属高温或高压工艺或危险物质贮存，涉及五氧化二钒、浓硫酸等危险物质，属于涉及</w:t>
      </w:r>
      <w:r>
        <w:rPr>
          <w:b/>
          <w:bCs/>
          <w:kern w:val="2"/>
          <w:u w:val="single"/>
          <w:lang w:val="zh-CN"/>
        </w:rPr>
        <w:t>危险物质使用、</w:t>
      </w:r>
      <w:r>
        <w:rPr>
          <w:b/>
          <w:bCs/>
          <w:kern w:val="2"/>
          <w:u w:val="single"/>
        </w:rPr>
        <w:t>贮存</w:t>
      </w:r>
      <w:r>
        <w:rPr>
          <w:rFonts w:hint="eastAsia"/>
          <w:b/>
          <w:bCs/>
          <w:kern w:val="2"/>
          <w:u w:val="single"/>
        </w:rPr>
        <w:t>的项目</w:t>
      </w:r>
      <w:r>
        <w:rPr>
          <w:b/>
          <w:bCs/>
          <w:kern w:val="2"/>
          <w:u w:val="single"/>
          <w:lang w:val="zh-CN"/>
        </w:rPr>
        <w:t>（</w:t>
      </w:r>
      <w:r>
        <w:rPr>
          <w:b/>
          <w:bCs/>
          <w:kern w:val="2"/>
          <w:u w:val="single"/>
          <w:lang w:val="zh-CN"/>
        </w:rPr>
        <w:t>5</w:t>
      </w:r>
      <w:r>
        <w:rPr>
          <w:b/>
          <w:bCs/>
          <w:kern w:val="2"/>
          <w:u w:val="single"/>
          <w:lang w:val="zh-CN"/>
        </w:rPr>
        <w:t>分），则</w:t>
      </w:r>
      <w:r>
        <w:rPr>
          <w:b/>
          <w:bCs/>
          <w:kern w:val="2"/>
          <w:u w:val="single"/>
          <w:lang w:val="zh-CN"/>
        </w:rPr>
        <w:t>M=</w:t>
      </w:r>
      <w:r>
        <w:rPr>
          <w:b/>
          <w:bCs/>
          <w:kern w:val="2"/>
          <w:u w:val="single"/>
        </w:rPr>
        <w:t>5</w:t>
      </w:r>
      <w:r>
        <w:rPr>
          <w:b/>
          <w:bCs/>
          <w:kern w:val="2"/>
          <w:u w:val="single"/>
          <w:lang w:val="zh-CN"/>
        </w:rPr>
        <w:t>，属</w:t>
      </w:r>
      <w:r>
        <w:rPr>
          <w:b/>
          <w:bCs/>
          <w:kern w:val="2"/>
          <w:u w:val="single"/>
          <w:lang w:val="zh-CN"/>
        </w:rPr>
        <w:t>M</w:t>
      </w:r>
      <w:r>
        <w:rPr>
          <w:b/>
          <w:bCs/>
          <w:kern w:val="2"/>
          <w:u w:val="single"/>
        </w:rPr>
        <w:t>4</w:t>
      </w:r>
      <w:r>
        <w:rPr>
          <w:b/>
          <w:bCs/>
          <w:kern w:val="2"/>
          <w:u w:val="single"/>
          <w:lang w:val="zh-CN"/>
        </w:rPr>
        <w:t>。</w:t>
      </w:r>
    </w:p>
    <w:p w14:paraId="295D4CEB" w14:textId="77777777" w:rsidR="003E78AB" w:rsidRDefault="00010BF9">
      <w:pPr>
        <w:ind w:firstLine="480"/>
        <w:rPr>
          <w:kern w:val="2"/>
        </w:rPr>
      </w:pPr>
      <w:r>
        <w:rPr>
          <w:kern w:val="2"/>
        </w:rPr>
        <w:t>③</w:t>
      </w:r>
      <w:r>
        <w:rPr>
          <w:kern w:val="2"/>
        </w:rPr>
        <w:t>危险物质及工艺系统危险性（</w:t>
      </w:r>
      <w:r>
        <w:rPr>
          <w:kern w:val="2"/>
        </w:rPr>
        <w:t>P</w:t>
      </w:r>
      <w:r>
        <w:rPr>
          <w:kern w:val="2"/>
        </w:rPr>
        <w:t>）分级</w:t>
      </w:r>
    </w:p>
    <w:p w14:paraId="7B5C8E43" w14:textId="77777777" w:rsidR="003E78AB" w:rsidRDefault="00010BF9">
      <w:pPr>
        <w:ind w:firstLine="480"/>
        <w:rPr>
          <w:kern w:val="2"/>
        </w:rPr>
      </w:pPr>
      <w:r>
        <w:rPr>
          <w:kern w:val="2"/>
        </w:rPr>
        <w:t>根据危险物质数量与临界量比值（</w:t>
      </w:r>
      <w:r>
        <w:rPr>
          <w:kern w:val="2"/>
        </w:rPr>
        <w:t>Q</w:t>
      </w:r>
      <w:r>
        <w:rPr>
          <w:kern w:val="2"/>
        </w:rPr>
        <w:t>）和行业及生产工艺（</w:t>
      </w:r>
      <w:r>
        <w:rPr>
          <w:kern w:val="2"/>
        </w:rPr>
        <w:t>M</w:t>
      </w:r>
      <w:r>
        <w:rPr>
          <w:kern w:val="2"/>
        </w:rPr>
        <w:t>），按照表</w:t>
      </w:r>
      <w:r>
        <w:rPr>
          <w:rFonts w:hint="eastAsia"/>
          <w:kern w:val="2"/>
        </w:rPr>
        <w:t>6</w:t>
      </w:r>
      <w:r>
        <w:rPr>
          <w:kern w:val="2"/>
        </w:rPr>
        <w:t>-5</w:t>
      </w:r>
      <w:r>
        <w:rPr>
          <w:kern w:val="2"/>
        </w:rPr>
        <w:t>确定危险物质及工艺系统危险性等级（</w:t>
      </w:r>
      <w:r>
        <w:rPr>
          <w:kern w:val="2"/>
        </w:rPr>
        <w:t>P</w:t>
      </w:r>
      <w:r>
        <w:rPr>
          <w:kern w:val="2"/>
        </w:rPr>
        <w:t>），分别以</w:t>
      </w:r>
      <w:r>
        <w:rPr>
          <w:kern w:val="2"/>
        </w:rPr>
        <w:t>P1</w:t>
      </w:r>
      <w:r>
        <w:rPr>
          <w:kern w:val="2"/>
        </w:rPr>
        <w:t>、</w:t>
      </w:r>
      <w:r>
        <w:rPr>
          <w:kern w:val="2"/>
        </w:rPr>
        <w:t>P2</w:t>
      </w:r>
      <w:r>
        <w:rPr>
          <w:kern w:val="2"/>
        </w:rPr>
        <w:t>、</w:t>
      </w:r>
      <w:r>
        <w:rPr>
          <w:kern w:val="2"/>
        </w:rPr>
        <w:t>P3</w:t>
      </w:r>
      <w:r>
        <w:rPr>
          <w:kern w:val="2"/>
        </w:rPr>
        <w:t>、</w:t>
      </w:r>
      <w:r>
        <w:rPr>
          <w:kern w:val="2"/>
        </w:rPr>
        <w:t>P4</w:t>
      </w:r>
      <w:r>
        <w:rPr>
          <w:kern w:val="2"/>
        </w:rPr>
        <w:t>表示。</w:t>
      </w:r>
    </w:p>
    <w:p w14:paraId="28CA97B4" w14:textId="77777777" w:rsidR="003E78AB" w:rsidRDefault="00010BF9">
      <w:pPr>
        <w:pStyle w:val="a"/>
        <w:spacing w:before="120"/>
        <w:ind w:left="425" w:hanging="425"/>
      </w:pPr>
      <w:r>
        <w:t>项目危险物质及工艺系统危险性（</w:t>
      </w:r>
      <w:r>
        <w:t>P</w:t>
      </w:r>
      <w:r>
        <w:t>）等级判断表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610"/>
        <w:gridCol w:w="1609"/>
        <w:gridCol w:w="1613"/>
        <w:gridCol w:w="1609"/>
      </w:tblGrid>
      <w:tr w:rsidR="003E78AB" w14:paraId="2F396848" w14:textId="77777777">
        <w:trPr>
          <w:trHeight w:hRule="exact" w:val="413"/>
          <w:tblHeader/>
        </w:trPr>
        <w:tc>
          <w:tcPr>
            <w:tcW w:w="1217" w:type="pct"/>
            <w:vMerge w:val="restart"/>
            <w:tcBorders>
              <w:tl2br w:val="nil"/>
              <w:tr2bl w:val="nil"/>
            </w:tcBorders>
            <w:vAlign w:val="center"/>
          </w:tcPr>
          <w:p w14:paraId="7F2A9580" w14:textId="77777777" w:rsidR="003E78AB" w:rsidRDefault="00010BF9">
            <w:pPr>
              <w:spacing w:line="240" w:lineRule="auto"/>
              <w:ind w:firstLineChars="0" w:firstLine="0"/>
              <w:jc w:val="center"/>
              <w:rPr>
                <w:b/>
                <w:bCs/>
                <w:kern w:val="2"/>
                <w:sz w:val="21"/>
              </w:rPr>
            </w:pPr>
            <w:r>
              <w:rPr>
                <w:b/>
                <w:bCs/>
                <w:kern w:val="2"/>
                <w:sz w:val="21"/>
              </w:rPr>
              <w:t>危险物质数量与临界量比值（</w:t>
            </w:r>
            <w:r>
              <w:rPr>
                <w:b/>
                <w:bCs/>
                <w:i/>
                <w:iCs/>
                <w:kern w:val="2"/>
                <w:sz w:val="21"/>
              </w:rPr>
              <w:t>Q</w:t>
            </w:r>
            <w:r>
              <w:rPr>
                <w:b/>
                <w:bCs/>
                <w:kern w:val="2"/>
                <w:sz w:val="21"/>
              </w:rPr>
              <w:t>）</w:t>
            </w:r>
          </w:p>
        </w:tc>
        <w:tc>
          <w:tcPr>
            <w:tcW w:w="3782" w:type="pct"/>
            <w:gridSpan w:val="4"/>
            <w:tcBorders>
              <w:tl2br w:val="nil"/>
              <w:tr2bl w:val="nil"/>
            </w:tcBorders>
            <w:vAlign w:val="center"/>
          </w:tcPr>
          <w:p w14:paraId="1FB649C9" w14:textId="77777777" w:rsidR="003E78AB" w:rsidRDefault="00010BF9">
            <w:pPr>
              <w:spacing w:line="240" w:lineRule="auto"/>
              <w:ind w:firstLineChars="0" w:firstLine="0"/>
              <w:jc w:val="center"/>
              <w:rPr>
                <w:b/>
                <w:bCs/>
                <w:kern w:val="2"/>
                <w:sz w:val="21"/>
              </w:rPr>
            </w:pPr>
            <w:r>
              <w:rPr>
                <w:b/>
                <w:bCs/>
                <w:kern w:val="2"/>
                <w:sz w:val="21"/>
              </w:rPr>
              <w:t>行业及生产工艺（</w:t>
            </w:r>
            <w:r>
              <w:rPr>
                <w:b/>
                <w:bCs/>
                <w:kern w:val="2"/>
                <w:sz w:val="21"/>
              </w:rPr>
              <w:t>M</w:t>
            </w:r>
            <w:r>
              <w:rPr>
                <w:b/>
                <w:bCs/>
                <w:kern w:val="2"/>
                <w:sz w:val="21"/>
              </w:rPr>
              <w:t>）</w:t>
            </w:r>
          </w:p>
        </w:tc>
      </w:tr>
      <w:tr w:rsidR="003E78AB" w14:paraId="3AA6FD40" w14:textId="77777777">
        <w:trPr>
          <w:trHeight w:hRule="exact" w:val="407"/>
          <w:tblHeader/>
        </w:trPr>
        <w:tc>
          <w:tcPr>
            <w:tcW w:w="1217" w:type="pct"/>
            <w:vMerge/>
            <w:tcBorders>
              <w:tl2br w:val="nil"/>
              <w:tr2bl w:val="nil"/>
            </w:tcBorders>
            <w:vAlign w:val="center"/>
          </w:tcPr>
          <w:p w14:paraId="486257D7" w14:textId="77777777" w:rsidR="003E78AB" w:rsidRDefault="003E78AB">
            <w:pPr>
              <w:spacing w:line="240" w:lineRule="auto"/>
              <w:ind w:firstLineChars="0" w:firstLine="0"/>
              <w:jc w:val="center"/>
              <w:rPr>
                <w:b/>
                <w:bCs/>
                <w:kern w:val="2"/>
                <w:sz w:val="21"/>
              </w:rPr>
            </w:pPr>
          </w:p>
        </w:tc>
        <w:tc>
          <w:tcPr>
            <w:tcW w:w="945" w:type="pct"/>
            <w:tcBorders>
              <w:tl2br w:val="nil"/>
              <w:tr2bl w:val="nil"/>
            </w:tcBorders>
            <w:vAlign w:val="center"/>
          </w:tcPr>
          <w:p w14:paraId="7FD0AA18" w14:textId="77777777" w:rsidR="003E78AB" w:rsidRDefault="00010BF9">
            <w:pPr>
              <w:spacing w:line="240" w:lineRule="auto"/>
              <w:ind w:firstLineChars="0" w:firstLine="0"/>
              <w:jc w:val="center"/>
              <w:rPr>
                <w:b/>
                <w:bCs/>
                <w:i/>
                <w:iCs/>
                <w:kern w:val="2"/>
                <w:sz w:val="21"/>
              </w:rPr>
            </w:pPr>
            <w:r>
              <w:rPr>
                <w:b/>
                <w:bCs/>
                <w:i/>
                <w:iCs/>
                <w:kern w:val="2"/>
                <w:sz w:val="21"/>
              </w:rPr>
              <w:t>M1</w:t>
            </w:r>
          </w:p>
        </w:tc>
        <w:tc>
          <w:tcPr>
            <w:tcW w:w="945" w:type="pct"/>
            <w:tcBorders>
              <w:tl2br w:val="nil"/>
              <w:tr2bl w:val="nil"/>
            </w:tcBorders>
            <w:vAlign w:val="center"/>
          </w:tcPr>
          <w:p w14:paraId="031A5681" w14:textId="77777777" w:rsidR="003E78AB" w:rsidRDefault="00010BF9">
            <w:pPr>
              <w:spacing w:line="240" w:lineRule="auto"/>
              <w:ind w:firstLineChars="0" w:firstLine="0"/>
              <w:jc w:val="center"/>
              <w:rPr>
                <w:b/>
                <w:bCs/>
                <w:i/>
                <w:iCs/>
                <w:kern w:val="2"/>
                <w:sz w:val="21"/>
              </w:rPr>
            </w:pPr>
            <w:r>
              <w:rPr>
                <w:b/>
                <w:bCs/>
                <w:i/>
                <w:iCs/>
                <w:kern w:val="2"/>
                <w:sz w:val="21"/>
              </w:rPr>
              <w:t>M2</w:t>
            </w:r>
          </w:p>
        </w:tc>
        <w:tc>
          <w:tcPr>
            <w:tcW w:w="947" w:type="pct"/>
            <w:tcBorders>
              <w:tl2br w:val="nil"/>
              <w:tr2bl w:val="nil"/>
            </w:tcBorders>
            <w:vAlign w:val="center"/>
          </w:tcPr>
          <w:p w14:paraId="2475490A" w14:textId="77777777" w:rsidR="003E78AB" w:rsidRDefault="00010BF9">
            <w:pPr>
              <w:spacing w:line="240" w:lineRule="auto"/>
              <w:ind w:firstLineChars="0" w:firstLine="0"/>
              <w:jc w:val="center"/>
              <w:rPr>
                <w:b/>
                <w:bCs/>
                <w:i/>
                <w:iCs/>
                <w:kern w:val="2"/>
                <w:sz w:val="21"/>
              </w:rPr>
            </w:pPr>
            <w:r>
              <w:rPr>
                <w:b/>
                <w:bCs/>
                <w:i/>
                <w:iCs/>
                <w:kern w:val="2"/>
                <w:sz w:val="21"/>
              </w:rPr>
              <w:t>M3</w:t>
            </w:r>
          </w:p>
        </w:tc>
        <w:tc>
          <w:tcPr>
            <w:tcW w:w="944" w:type="pct"/>
            <w:tcBorders>
              <w:tl2br w:val="nil"/>
              <w:tr2bl w:val="nil"/>
            </w:tcBorders>
            <w:vAlign w:val="center"/>
          </w:tcPr>
          <w:p w14:paraId="427FC4A0" w14:textId="77777777" w:rsidR="003E78AB" w:rsidRDefault="00010BF9">
            <w:pPr>
              <w:spacing w:line="240" w:lineRule="auto"/>
              <w:ind w:firstLineChars="0" w:firstLine="0"/>
              <w:jc w:val="center"/>
              <w:rPr>
                <w:b/>
                <w:bCs/>
                <w:i/>
                <w:iCs/>
                <w:kern w:val="2"/>
                <w:sz w:val="21"/>
              </w:rPr>
            </w:pPr>
            <w:r>
              <w:rPr>
                <w:b/>
                <w:bCs/>
                <w:i/>
                <w:iCs/>
                <w:kern w:val="2"/>
                <w:sz w:val="21"/>
              </w:rPr>
              <w:t>M4</w:t>
            </w:r>
          </w:p>
        </w:tc>
      </w:tr>
      <w:tr w:rsidR="003E78AB" w14:paraId="53572947" w14:textId="77777777">
        <w:trPr>
          <w:trHeight w:hRule="exact" w:val="407"/>
        </w:trPr>
        <w:tc>
          <w:tcPr>
            <w:tcW w:w="1217" w:type="pct"/>
            <w:tcBorders>
              <w:tl2br w:val="nil"/>
              <w:tr2bl w:val="nil"/>
            </w:tcBorders>
            <w:vAlign w:val="center"/>
          </w:tcPr>
          <w:p w14:paraId="334E52E6" w14:textId="77777777" w:rsidR="003E78AB" w:rsidRDefault="00010BF9">
            <w:pPr>
              <w:spacing w:line="240" w:lineRule="auto"/>
              <w:ind w:firstLineChars="0" w:firstLine="0"/>
              <w:jc w:val="center"/>
              <w:rPr>
                <w:kern w:val="2"/>
                <w:sz w:val="21"/>
              </w:rPr>
            </w:pPr>
            <w:r>
              <w:rPr>
                <w:i/>
                <w:iCs/>
                <w:kern w:val="2"/>
                <w:sz w:val="21"/>
              </w:rPr>
              <w:t>Q</w:t>
            </w:r>
            <w:r>
              <w:rPr>
                <w:kern w:val="2"/>
                <w:sz w:val="21"/>
              </w:rPr>
              <w:t>≥100</w:t>
            </w:r>
          </w:p>
        </w:tc>
        <w:tc>
          <w:tcPr>
            <w:tcW w:w="945" w:type="pct"/>
            <w:tcBorders>
              <w:tl2br w:val="nil"/>
              <w:tr2bl w:val="nil"/>
            </w:tcBorders>
            <w:vAlign w:val="center"/>
          </w:tcPr>
          <w:p w14:paraId="5ECF0271" w14:textId="77777777" w:rsidR="003E78AB" w:rsidRDefault="00010BF9">
            <w:pPr>
              <w:spacing w:line="240" w:lineRule="auto"/>
              <w:ind w:firstLineChars="0" w:firstLine="0"/>
              <w:jc w:val="center"/>
              <w:rPr>
                <w:kern w:val="2"/>
                <w:sz w:val="21"/>
              </w:rPr>
            </w:pPr>
            <w:r>
              <w:rPr>
                <w:kern w:val="2"/>
                <w:sz w:val="21"/>
              </w:rPr>
              <w:t>P1</w:t>
            </w:r>
          </w:p>
        </w:tc>
        <w:tc>
          <w:tcPr>
            <w:tcW w:w="945" w:type="pct"/>
            <w:tcBorders>
              <w:tl2br w:val="nil"/>
              <w:tr2bl w:val="nil"/>
            </w:tcBorders>
            <w:vAlign w:val="center"/>
          </w:tcPr>
          <w:p w14:paraId="469D8E6E" w14:textId="77777777" w:rsidR="003E78AB" w:rsidRDefault="00010BF9">
            <w:pPr>
              <w:spacing w:line="240" w:lineRule="auto"/>
              <w:ind w:firstLineChars="0" w:firstLine="0"/>
              <w:jc w:val="center"/>
              <w:rPr>
                <w:kern w:val="2"/>
                <w:sz w:val="21"/>
              </w:rPr>
            </w:pPr>
            <w:r>
              <w:rPr>
                <w:kern w:val="2"/>
                <w:sz w:val="21"/>
              </w:rPr>
              <w:t>P1</w:t>
            </w:r>
          </w:p>
        </w:tc>
        <w:tc>
          <w:tcPr>
            <w:tcW w:w="947" w:type="pct"/>
            <w:tcBorders>
              <w:tl2br w:val="nil"/>
              <w:tr2bl w:val="nil"/>
            </w:tcBorders>
            <w:vAlign w:val="center"/>
          </w:tcPr>
          <w:p w14:paraId="256DE296" w14:textId="77777777" w:rsidR="003E78AB" w:rsidRDefault="00010BF9">
            <w:pPr>
              <w:spacing w:line="240" w:lineRule="auto"/>
              <w:ind w:firstLineChars="0" w:firstLine="0"/>
              <w:jc w:val="center"/>
              <w:rPr>
                <w:kern w:val="2"/>
                <w:sz w:val="21"/>
              </w:rPr>
            </w:pPr>
            <w:r>
              <w:rPr>
                <w:kern w:val="2"/>
                <w:sz w:val="21"/>
              </w:rPr>
              <w:t>P2</w:t>
            </w:r>
          </w:p>
        </w:tc>
        <w:tc>
          <w:tcPr>
            <w:tcW w:w="944" w:type="pct"/>
            <w:tcBorders>
              <w:tl2br w:val="nil"/>
              <w:tr2bl w:val="nil"/>
            </w:tcBorders>
            <w:shd w:val="clear" w:color="auto" w:fill="E7E6E6" w:themeFill="background2"/>
            <w:vAlign w:val="center"/>
          </w:tcPr>
          <w:p w14:paraId="039A590E" w14:textId="77777777" w:rsidR="003E78AB" w:rsidRDefault="00010BF9">
            <w:pPr>
              <w:spacing w:line="240" w:lineRule="auto"/>
              <w:ind w:firstLineChars="0" w:firstLine="0"/>
              <w:jc w:val="center"/>
              <w:rPr>
                <w:kern w:val="2"/>
                <w:sz w:val="21"/>
              </w:rPr>
            </w:pPr>
            <w:r>
              <w:rPr>
                <w:b/>
                <w:bCs/>
                <w:kern w:val="2"/>
                <w:sz w:val="21"/>
              </w:rPr>
              <w:t>P3</w:t>
            </w:r>
          </w:p>
        </w:tc>
      </w:tr>
      <w:tr w:rsidR="003E78AB" w14:paraId="4FC39F37" w14:textId="77777777">
        <w:trPr>
          <w:trHeight w:hRule="exact" w:val="407"/>
        </w:trPr>
        <w:tc>
          <w:tcPr>
            <w:tcW w:w="1217" w:type="pct"/>
            <w:tcBorders>
              <w:tl2br w:val="nil"/>
              <w:tr2bl w:val="nil"/>
            </w:tcBorders>
            <w:vAlign w:val="center"/>
          </w:tcPr>
          <w:p w14:paraId="51D775AA" w14:textId="77777777" w:rsidR="003E78AB" w:rsidRDefault="00010BF9">
            <w:pPr>
              <w:spacing w:line="240" w:lineRule="auto"/>
              <w:ind w:firstLineChars="0" w:firstLine="0"/>
              <w:jc w:val="center"/>
              <w:rPr>
                <w:kern w:val="2"/>
                <w:sz w:val="21"/>
              </w:rPr>
            </w:pPr>
            <w:r>
              <w:rPr>
                <w:kern w:val="2"/>
                <w:sz w:val="21"/>
              </w:rPr>
              <w:t>10≤</w:t>
            </w:r>
            <w:r>
              <w:rPr>
                <w:i/>
                <w:iCs/>
                <w:kern w:val="2"/>
                <w:sz w:val="21"/>
              </w:rPr>
              <w:t>Q</w:t>
            </w:r>
            <w:r>
              <w:rPr>
                <w:kern w:val="2"/>
                <w:sz w:val="21"/>
              </w:rPr>
              <w:t>＜</w:t>
            </w:r>
            <w:r>
              <w:rPr>
                <w:kern w:val="2"/>
                <w:sz w:val="21"/>
              </w:rPr>
              <w:t>100</w:t>
            </w:r>
          </w:p>
        </w:tc>
        <w:tc>
          <w:tcPr>
            <w:tcW w:w="945" w:type="pct"/>
            <w:tcBorders>
              <w:tl2br w:val="nil"/>
              <w:tr2bl w:val="nil"/>
            </w:tcBorders>
            <w:vAlign w:val="center"/>
          </w:tcPr>
          <w:p w14:paraId="51C9D1AD" w14:textId="77777777" w:rsidR="003E78AB" w:rsidRDefault="00010BF9">
            <w:pPr>
              <w:spacing w:line="240" w:lineRule="auto"/>
              <w:ind w:firstLineChars="0" w:firstLine="0"/>
              <w:jc w:val="center"/>
              <w:rPr>
                <w:kern w:val="2"/>
                <w:sz w:val="21"/>
              </w:rPr>
            </w:pPr>
            <w:r>
              <w:rPr>
                <w:kern w:val="2"/>
                <w:sz w:val="21"/>
              </w:rPr>
              <w:t>P1</w:t>
            </w:r>
          </w:p>
        </w:tc>
        <w:tc>
          <w:tcPr>
            <w:tcW w:w="945" w:type="pct"/>
            <w:tcBorders>
              <w:tl2br w:val="nil"/>
              <w:tr2bl w:val="nil"/>
            </w:tcBorders>
            <w:vAlign w:val="center"/>
          </w:tcPr>
          <w:p w14:paraId="467DA84C" w14:textId="77777777" w:rsidR="003E78AB" w:rsidRDefault="00010BF9">
            <w:pPr>
              <w:spacing w:line="240" w:lineRule="auto"/>
              <w:ind w:firstLineChars="0" w:firstLine="0"/>
              <w:jc w:val="center"/>
              <w:rPr>
                <w:kern w:val="2"/>
                <w:sz w:val="21"/>
              </w:rPr>
            </w:pPr>
            <w:r>
              <w:rPr>
                <w:kern w:val="2"/>
                <w:sz w:val="21"/>
              </w:rPr>
              <w:t>P2</w:t>
            </w:r>
          </w:p>
        </w:tc>
        <w:tc>
          <w:tcPr>
            <w:tcW w:w="947" w:type="pct"/>
            <w:tcBorders>
              <w:tl2br w:val="nil"/>
              <w:tr2bl w:val="nil"/>
            </w:tcBorders>
            <w:vAlign w:val="center"/>
          </w:tcPr>
          <w:p w14:paraId="5DAE4C44" w14:textId="77777777" w:rsidR="003E78AB" w:rsidRDefault="00010BF9">
            <w:pPr>
              <w:spacing w:line="240" w:lineRule="auto"/>
              <w:ind w:firstLineChars="0" w:firstLine="0"/>
              <w:jc w:val="center"/>
              <w:rPr>
                <w:kern w:val="2"/>
                <w:sz w:val="21"/>
              </w:rPr>
            </w:pPr>
            <w:r>
              <w:rPr>
                <w:kern w:val="2"/>
                <w:sz w:val="21"/>
              </w:rPr>
              <w:t>P3</w:t>
            </w:r>
          </w:p>
        </w:tc>
        <w:tc>
          <w:tcPr>
            <w:tcW w:w="944" w:type="pct"/>
            <w:tcBorders>
              <w:tl2br w:val="nil"/>
              <w:tr2bl w:val="nil"/>
            </w:tcBorders>
            <w:vAlign w:val="center"/>
          </w:tcPr>
          <w:p w14:paraId="02B0B2AF" w14:textId="77777777" w:rsidR="003E78AB" w:rsidRDefault="00010BF9">
            <w:pPr>
              <w:spacing w:line="240" w:lineRule="auto"/>
              <w:ind w:firstLineChars="0" w:firstLine="0"/>
              <w:jc w:val="center"/>
              <w:rPr>
                <w:kern w:val="2"/>
                <w:sz w:val="21"/>
              </w:rPr>
            </w:pPr>
            <w:r>
              <w:rPr>
                <w:kern w:val="2"/>
                <w:sz w:val="21"/>
              </w:rPr>
              <w:t>P4</w:t>
            </w:r>
          </w:p>
        </w:tc>
      </w:tr>
      <w:tr w:rsidR="003E78AB" w14:paraId="11206FA3" w14:textId="77777777">
        <w:trPr>
          <w:trHeight w:hRule="exact" w:val="412"/>
        </w:trPr>
        <w:tc>
          <w:tcPr>
            <w:tcW w:w="1217" w:type="pct"/>
            <w:tcBorders>
              <w:tl2br w:val="nil"/>
              <w:tr2bl w:val="nil"/>
            </w:tcBorders>
            <w:vAlign w:val="center"/>
          </w:tcPr>
          <w:p w14:paraId="1EBFF14D" w14:textId="77777777" w:rsidR="003E78AB" w:rsidRDefault="00010BF9">
            <w:pPr>
              <w:spacing w:line="240" w:lineRule="auto"/>
              <w:ind w:firstLineChars="0" w:firstLine="0"/>
              <w:jc w:val="center"/>
              <w:rPr>
                <w:kern w:val="2"/>
                <w:sz w:val="21"/>
              </w:rPr>
            </w:pPr>
            <w:r>
              <w:rPr>
                <w:kern w:val="2"/>
                <w:sz w:val="21"/>
              </w:rPr>
              <w:t>1≤</w:t>
            </w:r>
            <w:r>
              <w:rPr>
                <w:i/>
                <w:iCs/>
                <w:kern w:val="2"/>
                <w:sz w:val="21"/>
              </w:rPr>
              <w:t>Q</w:t>
            </w:r>
            <w:r>
              <w:rPr>
                <w:kern w:val="2"/>
                <w:sz w:val="21"/>
              </w:rPr>
              <w:t>＜</w:t>
            </w:r>
            <w:r>
              <w:rPr>
                <w:kern w:val="2"/>
                <w:sz w:val="21"/>
              </w:rPr>
              <w:t>10</w:t>
            </w:r>
          </w:p>
        </w:tc>
        <w:tc>
          <w:tcPr>
            <w:tcW w:w="945" w:type="pct"/>
            <w:tcBorders>
              <w:tl2br w:val="nil"/>
              <w:tr2bl w:val="nil"/>
            </w:tcBorders>
            <w:vAlign w:val="center"/>
          </w:tcPr>
          <w:p w14:paraId="4498EC2B" w14:textId="77777777" w:rsidR="003E78AB" w:rsidRDefault="00010BF9">
            <w:pPr>
              <w:spacing w:line="240" w:lineRule="auto"/>
              <w:ind w:firstLineChars="0" w:firstLine="0"/>
              <w:jc w:val="center"/>
              <w:rPr>
                <w:kern w:val="2"/>
                <w:sz w:val="21"/>
              </w:rPr>
            </w:pPr>
            <w:r>
              <w:rPr>
                <w:kern w:val="2"/>
                <w:sz w:val="21"/>
              </w:rPr>
              <w:t>P2</w:t>
            </w:r>
          </w:p>
        </w:tc>
        <w:tc>
          <w:tcPr>
            <w:tcW w:w="945" w:type="pct"/>
            <w:tcBorders>
              <w:tl2br w:val="nil"/>
              <w:tr2bl w:val="nil"/>
            </w:tcBorders>
            <w:vAlign w:val="center"/>
          </w:tcPr>
          <w:p w14:paraId="39A8F541" w14:textId="77777777" w:rsidR="003E78AB" w:rsidRDefault="00010BF9">
            <w:pPr>
              <w:spacing w:line="240" w:lineRule="auto"/>
              <w:ind w:firstLineChars="0" w:firstLine="0"/>
              <w:jc w:val="center"/>
              <w:rPr>
                <w:kern w:val="2"/>
                <w:sz w:val="21"/>
              </w:rPr>
            </w:pPr>
            <w:r>
              <w:rPr>
                <w:kern w:val="2"/>
                <w:sz w:val="21"/>
              </w:rPr>
              <w:t>P3</w:t>
            </w:r>
          </w:p>
        </w:tc>
        <w:tc>
          <w:tcPr>
            <w:tcW w:w="947" w:type="pct"/>
            <w:tcBorders>
              <w:tl2br w:val="nil"/>
              <w:tr2bl w:val="nil"/>
            </w:tcBorders>
            <w:vAlign w:val="center"/>
          </w:tcPr>
          <w:p w14:paraId="21D58AF8" w14:textId="77777777" w:rsidR="003E78AB" w:rsidRDefault="00010BF9">
            <w:pPr>
              <w:spacing w:line="240" w:lineRule="auto"/>
              <w:ind w:firstLineChars="0" w:firstLine="0"/>
              <w:jc w:val="center"/>
              <w:rPr>
                <w:kern w:val="2"/>
                <w:sz w:val="21"/>
              </w:rPr>
            </w:pPr>
            <w:r>
              <w:rPr>
                <w:kern w:val="2"/>
                <w:sz w:val="21"/>
              </w:rPr>
              <w:t>P4</w:t>
            </w:r>
          </w:p>
        </w:tc>
        <w:tc>
          <w:tcPr>
            <w:tcW w:w="944" w:type="pct"/>
            <w:tcBorders>
              <w:tl2br w:val="nil"/>
              <w:tr2bl w:val="nil"/>
            </w:tcBorders>
            <w:vAlign w:val="center"/>
          </w:tcPr>
          <w:p w14:paraId="18410318" w14:textId="77777777" w:rsidR="003E78AB" w:rsidRDefault="00010BF9">
            <w:pPr>
              <w:spacing w:line="240" w:lineRule="auto"/>
              <w:ind w:firstLineChars="0" w:firstLine="0"/>
              <w:jc w:val="center"/>
              <w:rPr>
                <w:kern w:val="2"/>
                <w:sz w:val="21"/>
              </w:rPr>
            </w:pPr>
            <w:r>
              <w:rPr>
                <w:kern w:val="2"/>
                <w:sz w:val="21"/>
              </w:rPr>
              <w:t>P4</w:t>
            </w:r>
          </w:p>
        </w:tc>
      </w:tr>
    </w:tbl>
    <w:p w14:paraId="2467715F" w14:textId="77777777" w:rsidR="003E78AB" w:rsidRDefault="00010BF9">
      <w:pPr>
        <w:ind w:firstLine="480"/>
        <w:rPr>
          <w:kern w:val="2"/>
        </w:rPr>
      </w:pPr>
      <w:r>
        <w:rPr>
          <w:kern w:val="2"/>
        </w:rPr>
        <w:t>本项目危险物质数量与临界量比值</w:t>
      </w:r>
      <w:r>
        <w:rPr>
          <w:i/>
          <w:iCs/>
          <w:kern w:val="2"/>
        </w:rPr>
        <w:t>Q</w:t>
      </w:r>
      <w:r>
        <w:rPr>
          <w:kern w:val="2"/>
        </w:rPr>
        <w:t>为</w:t>
      </w:r>
      <w:r>
        <w:rPr>
          <w:rFonts w:hint="eastAsia"/>
          <w:bCs/>
          <w:kern w:val="2"/>
        </w:rPr>
        <w:t>552.11</w:t>
      </w:r>
      <w:r>
        <w:rPr>
          <w:kern w:val="2"/>
        </w:rPr>
        <w:t>，行业和生产工艺为</w:t>
      </w:r>
      <w:r>
        <w:rPr>
          <w:i/>
          <w:iCs/>
          <w:kern w:val="2"/>
        </w:rPr>
        <w:t>M4</w:t>
      </w:r>
      <w:r>
        <w:rPr>
          <w:kern w:val="2"/>
        </w:rPr>
        <w:t>，根据上表内容，本项目危险物质及工艺系统危险性为</w:t>
      </w:r>
      <w:r>
        <w:rPr>
          <w:kern w:val="2"/>
        </w:rPr>
        <w:t>P3</w:t>
      </w:r>
      <w:r>
        <w:rPr>
          <w:kern w:val="2"/>
        </w:rPr>
        <w:t>。</w:t>
      </w:r>
    </w:p>
    <w:p w14:paraId="2F7502FC" w14:textId="77777777" w:rsidR="003E78AB" w:rsidRDefault="00010BF9">
      <w:pPr>
        <w:ind w:firstLine="480"/>
        <w:rPr>
          <w:kern w:val="2"/>
        </w:rPr>
      </w:pPr>
      <w:r>
        <w:rPr>
          <w:kern w:val="2"/>
        </w:rPr>
        <w:t>（</w:t>
      </w:r>
      <w:r>
        <w:rPr>
          <w:kern w:val="2"/>
        </w:rPr>
        <w:t>2</w:t>
      </w:r>
      <w:r>
        <w:rPr>
          <w:kern w:val="2"/>
        </w:rPr>
        <w:t>）</w:t>
      </w:r>
      <w:r>
        <w:rPr>
          <w:bCs/>
          <w:kern w:val="2"/>
        </w:rPr>
        <w:t>环境敏感程度（</w:t>
      </w:r>
      <w:r>
        <w:rPr>
          <w:bCs/>
          <w:kern w:val="2"/>
        </w:rPr>
        <w:t>E</w:t>
      </w:r>
      <w:r>
        <w:rPr>
          <w:bCs/>
          <w:kern w:val="2"/>
        </w:rPr>
        <w:t>）的分级</w:t>
      </w:r>
    </w:p>
    <w:p w14:paraId="37003D3D" w14:textId="77777777" w:rsidR="003E78AB" w:rsidRDefault="00010BF9">
      <w:pPr>
        <w:ind w:firstLine="480"/>
        <w:rPr>
          <w:kern w:val="2"/>
        </w:rPr>
      </w:pPr>
      <w:r>
        <w:rPr>
          <w:kern w:val="2"/>
        </w:rPr>
        <w:t>①</w:t>
      </w:r>
      <w:r>
        <w:rPr>
          <w:kern w:val="2"/>
        </w:rPr>
        <w:t>大气环境</w:t>
      </w:r>
    </w:p>
    <w:p w14:paraId="1F3A0FC6" w14:textId="77777777" w:rsidR="003E78AB" w:rsidRDefault="00010BF9">
      <w:pPr>
        <w:ind w:firstLine="480"/>
        <w:rPr>
          <w:kern w:val="2"/>
        </w:rPr>
      </w:pPr>
      <w:r>
        <w:rPr>
          <w:kern w:val="2"/>
        </w:rPr>
        <w:t>依据环境敏感目标环境敏感性及人口密度划分环境风险受体的敏感性，共分为三种类型，</w:t>
      </w:r>
      <w:r>
        <w:rPr>
          <w:kern w:val="2"/>
        </w:rPr>
        <w:t>E1</w:t>
      </w:r>
      <w:r>
        <w:rPr>
          <w:kern w:val="2"/>
        </w:rPr>
        <w:t>为环境高度敏感区，</w:t>
      </w:r>
      <w:r>
        <w:rPr>
          <w:kern w:val="2"/>
        </w:rPr>
        <w:t>E2</w:t>
      </w:r>
      <w:r>
        <w:rPr>
          <w:kern w:val="2"/>
        </w:rPr>
        <w:t>为环境中度敏感区，</w:t>
      </w:r>
      <w:r>
        <w:rPr>
          <w:kern w:val="2"/>
        </w:rPr>
        <w:t>E3</w:t>
      </w:r>
      <w:r>
        <w:rPr>
          <w:kern w:val="2"/>
        </w:rPr>
        <w:t>为环境低度敏感区，分级原则见</w:t>
      </w:r>
      <w:r>
        <w:rPr>
          <w:kern w:val="2"/>
        </w:rPr>
        <w:fldChar w:fldCharType="begin"/>
      </w:r>
      <w:r>
        <w:rPr>
          <w:kern w:val="2"/>
        </w:rPr>
        <w:instrText xml:space="preserve"> REF _Ref27402 \r \h </w:instrText>
      </w:r>
      <w:r>
        <w:rPr>
          <w:kern w:val="2"/>
        </w:rPr>
      </w:r>
      <w:r>
        <w:rPr>
          <w:kern w:val="2"/>
        </w:rPr>
        <w:fldChar w:fldCharType="separate"/>
      </w:r>
      <w:r>
        <w:rPr>
          <w:kern w:val="2"/>
        </w:rPr>
        <w:t>表</w:t>
      </w:r>
      <w:r>
        <w:rPr>
          <w:kern w:val="2"/>
        </w:rPr>
        <w:t>6-6</w:t>
      </w:r>
      <w:r>
        <w:rPr>
          <w:kern w:val="2"/>
        </w:rPr>
        <w:fldChar w:fldCharType="end"/>
      </w:r>
      <w:r>
        <w:rPr>
          <w:kern w:val="2"/>
        </w:rPr>
        <w:t>。</w:t>
      </w:r>
    </w:p>
    <w:p w14:paraId="117BE4C4" w14:textId="77777777" w:rsidR="003E78AB" w:rsidRDefault="00010BF9">
      <w:pPr>
        <w:pStyle w:val="a"/>
        <w:spacing w:before="120"/>
        <w:ind w:left="425" w:hanging="425"/>
      </w:pPr>
      <w:bookmarkStart w:id="421" w:name="_Ref27402"/>
      <w:r>
        <w:t>大气环境敏感程度分级</w:t>
      </w:r>
      <w:bookmarkEnd w:id="421"/>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7236"/>
      </w:tblGrid>
      <w:tr w:rsidR="003E78AB" w14:paraId="5DBA594F" w14:textId="77777777">
        <w:trPr>
          <w:trHeight w:val="57"/>
          <w:tblHeader/>
          <w:jc w:val="center"/>
        </w:trPr>
        <w:tc>
          <w:tcPr>
            <w:tcW w:w="751" w:type="pct"/>
            <w:tcBorders>
              <w:tl2br w:val="nil"/>
              <w:tr2bl w:val="nil"/>
            </w:tcBorders>
            <w:vAlign w:val="center"/>
          </w:tcPr>
          <w:p w14:paraId="5903F1C4" w14:textId="77777777" w:rsidR="003E78AB" w:rsidRDefault="00010BF9">
            <w:pPr>
              <w:pStyle w:val="aff6"/>
              <w:topLinePunct/>
              <w:rPr>
                <w:b/>
                <w:bCs/>
              </w:rPr>
            </w:pPr>
            <w:r>
              <w:rPr>
                <w:b/>
                <w:bCs/>
              </w:rPr>
              <w:t>分级</w:t>
            </w:r>
          </w:p>
        </w:tc>
        <w:tc>
          <w:tcPr>
            <w:tcW w:w="4248" w:type="pct"/>
            <w:tcBorders>
              <w:tl2br w:val="nil"/>
              <w:tr2bl w:val="nil"/>
            </w:tcBorders>
            <w:vAlign w:val="center"/>
          </w:tcPr>
          <w:p w14:paraId="075EDFBF" w14:textId="77777777" w:rsidR="003E78AB" w:rsidRDefault="00010BF9">
            <w:pPr>
              <w:pStyle w:val="aff6"/>
              <w:topLinePunct/>
              <w:rPr>
                <w:b/>
                <w:bCs/>
              </w:rPr>
            </w:pPr>
            <w:r>
              <w:rPr>
                <w:b/>
                <w:bCs/>
              </w:rPr>
              <w:t>大气环境敏感性</w:t>
            </w:r>
          </w:p>
        </w:tc>
      </w:tr>
      <w:tr w:rsidR="003E78AB" w14:paraId="76C2FA3E" w14:textId="77777777">
        <w:trPr>
          <w:trHeight w:val="57"/>
          <w:jc w:val="center"/>
        </w:trPr>
        <w:tc>
          <w:tcPr>
            <w:tcW w:w="751" w:type="pct"/>
            <w:tcBorders>
              <w:tl2br w:val="nil"/>
              <w:tr2bl w:val="nil"/>
            </w:tcBorders>
            <w:vAlign w:val="center"/>
          </w:tcPr>
          <w:p w14:paraId="51010B02" w14:textId="77777777" w:rsidR="003E78AB" w:rsidRDefault="00010BF9">
            <w:pPr>
              <w:pStyle w:val="aff6"/>
              <w:topLinePunct/>
            </w:pPr>
            <w:r>
              <w:t>E1</w:t>
            </w:r>
          </w:p>
        </w:tc>
        <w:tc>
          <w:tcPr>
            <w:tcW w:w="4248" w:type="pct"/>
            <w:tcBorders>
              <w:tl2br w:val="nil"/>
              <w:tr2bl w:val="nil"/>
            </w:tcBorders>
            <w:vAlign w:val="center"/>
          </w:tcPr>
          <w:p w14:paraId="3010275D" w14:textId="77777777" w:rsidR="003E78AB" w:rsidRDefault="00010BF9">
            <w:pPr>
              <w:pStyle w:val="aff6"/>
              <w:topLinePunct/>
              <w:jc w:val="left"/>
            </w:pPr>
            <w:r>
              <w:t>周边</w:t>
            </w:r>
            <w:r>
              <w:t>5km</w:t>
            </w:r>
            <w:r>
              <w:t>范围内居住区、医疗卫生、文化教育、科研、行政办公等机构人口总数大于</w:t>
            </w:r>
            <w:r>
              <w:t>5</w:t>
            </w:r>
            <w:r>
              <w:t>万人，或其他需要特殊保护区域；或周边</w:t>
            </w:r>
            <w:r>
              <w:t>500m</w:t>
            </w:r>
            <w:r>
              <w:t>范围内人口总数大于</w:t>
            </w:r>
            <w:r>
              <w:t>1000</w:t>
            </w:r>
            <w:r>
              <w:t>人；油气、化学品输送管线管段周边</w:t>
            </w:r>
            <w:r>
              <w:t>200m</w:t>
            </w:r>
            <w:r>
              <w:t>范围内，每千米管段人口数大于</w:t>
            </w:r>
            <w:r>
              <w:t>200</w:t>
            </w:r>
            <w:r>
              <w:t>人</w:t>
            </w:r>
            <w:r>
              <w:rPr>
                <w:rFonts w:hint="eastAsia"/>
              </w:rPr>
              <w:t>。</w:t>
            </w:r>
          </w:p>
        </w:tc>
      </w:tr>
      <w:tr w:rsidR="003E78AB" w14:paraId="0E5761CF" w14:textId="77777777">
        <w:trPr>
          <w:trHeight w:val="57"/>
          <w:jc w:val="center"/>
        </w:trPr>
        <w:tc>
          <w:tcPr>
            <w:tcW w:w="751" w:type="pct"/>
            <w:tcBorders>
              <w:tl2br w:val="nil"/>
              <w:tr2bl w:val="nil"/>
            </w:tcBorders>
            <w:vAlign w:val="center"/>
          </w:tcPr>
          <w:p w14:paraId="31070619" w14:textId="77777777" w:rsidR="003E78AB" w:rsidRDefault="00010BF9">
            <w:pPr>
              <w:pStyle w:val="aff6"/>
              <w:topLinePunct/>
            </w:pPr>
            <w:r>
              <w:t>E2</w:t>
            </w:r>
          </w:p>
        </w:tc>
        <w:tc>
          <w:tcPr>
            <w:tcW w:w="4248" w:type="pct"/>
            <w:tcBorders>
              <w:tl2br w:val="nil"/>
              <w:tr2bl w:val="nil"/>
            </w:tcBorders>
            <w:vAlign w:val="center"/>
          </w:tcPr>
          <w:p w14:paraId="7581C45F" w14:textId="77777777" w:rsidR="003E78AB" w:rsidRDefault="00010BF9">
            <w:pPr>
              <w:pStyle w:val="aff6"/>
              <w:topLinePunct/>
              <w:jc w:val="left"/>
            </w:pPr>
            <w:r>
              <w:t>周边</w:t>
            </w:r>
            <w:r>
              <w:t>5km</w:t>
            </w:r>
            <w:r>
              <w:t>范围内居住区、医疗卫生、文化教育、科研、行政办公等机构人口总数大于</w:t>
            </w:r>
            <w:r>
              <w:t>1</w:t>
            </w:r>
            <w:r>
              <w:t>万人，小于</w:t>
            </w:r>
            <w:r>
              <w:t>5</w:t>
            </w:r>
            <w:r>
              <w:t>万人；或周边</w:t>
            </w:r>
            <w:r>
              <w:t>500m</w:t>
            </w:r>
            <w:r>
              <w:t>范围内人口总数大于</w:t>
            </w:r>
            <w:r>
              <w:t>500</w:t>
            </w:r>
            <w:r>
              <w:t>人，小于</w:t>
            </w:r>
            <w:r>
              <w:t>1000</w:t>
            </w:r>
            <w:r>
              <w:t>人；油气、化学品输送管线管段周边</w:t>
            </w:r>
            <w:r>
              <w:t>200m</w:t>
            </w:r>
            <w:r>
              <w:t>范围内，每千米管段人口数大于</w:t>
            </w:r>
            <w:r>
              <w:t>100</w:t>
            </w:r>
            <w:r>
              <w:t>人，小于</w:t>
            </w:r>
            <w:r>
              <w:t>200</w:t>
            </w:r>
            <w:r>
              <w:t>人</w:t>
            </w:r>
            <w:r>
              <w:rPr>
                <w:rFonts w:hint="eastAsia"/>
              </w:rPr>
              <w:t>。</w:t>
            </w:r>
          </w:p>
        </w:tc>
      </w:tr>
      <w:tr w:rsidR="003E78AB" w14:paraId="58740ED3" w14:textId="77777777">
        <w:trPr>
          <w:trHeight w:val="57"/>
          <w:jc w:val="center"/>
        </w:trPr>
        <w:tc>
          <w:tcPr>
            <w:tcW w:w="751" w:type="pct"/>
            <w:tcBorders>
              <w:tl2br w:val="nil"/>
              <w:tr2bl w:val="nil"/>
            </w:tcBorders>
            <w:vAlign w:val="center"/>
          </w:tcPr>
          <w:p w14:paraId="494FE7E3" w14:textId="77777777" w:rsidR="003E78AB" w:rsidRDefault="00010BF9">
            <w:pPr>
              <w:pStyle w:val="aff6"/>
              <w:topLinePunct/>
            </w:pPr>
            <w:r>
              <w:t>E3</w:t>
            </w:r>
          </w:p>
        </w:tc>
        <w:tc>
          <w:tcPr>
            <w:tcW w:w="4248" w:type="pct"/>
            <w:tcBorders>
              <w:tl2br w:val="nil"/>
              <w:tr2bl w:val="nil"/>
            </w:tcBorders>
            <w:vAlign w:val="center"/>
          </w:tcPr>
          <w:p w14:paraId="197FD751" w14:textId="77777777" w:rsidR="003E78AB" w:rsidRDefault="00010BF9">
            <w:pPr>
              <w:pStyle w:val="aff6"/>
              <w:topLinePunct/>
              <w:jc w:val="left"/>
            </w:pPr>
            <w:r>
              <w:t>周边</w:t>
            </w:r>
            <w:r>
              <w:t>5km</w:t>
            </w:r>
            <w:r>
              <w:t>范围内居住区、医疗卫生、文化教育、科研、行政办公等机构人口总数小于</w:t>
            </w:r>
            <w:r>
              <w:t>1</w:t>
            </w:r>
            <w:r>
              <w:t>万人；或周边</w:t>
            </w:r>
            <w:r>
              <w:t>500m</w:t>
            </w:r>
            <w:r>
              <w:t>范围内人口总数小于</w:t>
            </w:r>
            <w:r>
              <w:t>500</w:t>
            </w:r>
            <w:r>
              <w:t>人；油气、化学品输送管线管段周边</w:t>
            </w:r>
            <w:r>
              <w:t>200m</w:t>
            </w:r>
            <w:r>
              <w:t>范围内，每千米管段人口数小于</w:t>
            </w:r>
            <w:r>
              <w:t>100</w:t>
            </w:r>
            <w:r>
              <w:t>人</w:t>
            </w:r>
            <w:r>
              <w:rPr>
                <w:rFonts w:hint="eastAsia"/>
              </w:rPr>
              <w:t>。</w:t>
            </w:r>
          </w:p>
        </w:tc>
      </w:tr>
    </w:tbl>
    <w:p w14:paraId="77698AAB" w14:textId="77777777" w:rsidR="003E78AB" w:rsidRDefault="00010BF9">
      <w:pPr>
        <w:ind w:firstLine="482"/>
        <w:rPr>
          <w:b/>
          <w:bCs/>
          <w:kern w:val="2"/>
          <w:u w:val="single"/>
        </w:rPr>
      </w:pPr>
      <w:r>
        <w:rPr>
          <w:b/>
          <w:bCs/>
          <w:kern w:val="2"/>
          <w:u w:val="single"/>
        </w:rPr>
        <w:t>本项目位于哈密工业园区南部循环经济产业园。根据现场调查，项目周边</w:t>
      </w:r>
      <w:r>
        <w:rPr>
          <w:b/>
          <w:bCs/>
          <w:kern w:val="2"/>
          <w:u w:val="single"/>
        </w:rPr>
        <w:t>5km</w:t>
      </w:r>
      <w:r>
        <w:rPr>
          <w:b/>
          <w:bCs/>
          <w:kern w:val="2"/>
          <w:u w:val="single"/>
        </w:rPr>
        <w:t>范围内居住区、医疗卫生、文化教育、科研、行政办公等机构人口总数</w:t>
      </w:r>
      <w:r>
        <w:rPr>
          <w:rFonts w:hint="eastAsia"/>
          <w:b/>
          <w:bCs/>
          <w:kern w:val="2"/>
          <w:u w:val="single"/>
        </w:rPr>
        <w:t>大</w:t>
      </w:r>
      <w:r>
        <w:rPr>
          <w:b/>
          <w:bCs/>
          <w:kern w:val="2"/>
          <w:u w:val="single"/>
        </w:rPr>
        <w:t>于</w:t>
      </w:r>
      <w:r>
        <w:rPr>
          <w:b/>
          <w:bCs/>
          <w:kern w:val="2"/>
          <w:u w:val="single"/>
        </w:rPr>
        <w:t>1</w:t>
      </w:r>
      <w:r>
        <w:rPr>
          <w:b/>
          <w:bCs/>
          <w:kern w:val="2"/>
          <w:u w:val="single"/>
        </w:rPr>
        <w:t>万人</w:t>
      </w:r>
      <w:r>
        <w:rPr>
          <w:rFonts w:hint="eastAsia"/>
          <w:b/>
          <w:bCs/>
          <w:kern w:val="2"/>
          <w:u w:val="single"/>
        </w:rPr>
        <w:t>小于</w:t>
      </w:r>
      <w:r>
        <w:rPr>
          <w:rFonts w:hint="eastAsia"/>
          <w:b/>
          <w:bCs/>
          <w:kern w:val="2"/>
          <w:u w:val="single"/>
        </w:rPr>
        <w:t>5</w:t>
      </w:r>
      <w:r>
        <w:rPr>
          <w:rFonts w:hint="eastAsia"/>
          <w:b/>
          <w:bCs/>
          <w:kern w:val="2"/>
          <w:u w:val="single"/>
        </w:rPr>
        <w:t>万人</w:t>
      </w:r>
      <w:r>
        <w:rPr>
          <w:b/>
          <w:bCs/>
          <w:kern w:val="2"/>
          <w:u w:val="single"/>
        </w:rPr>
        <w:t>，故本项目大气环境敏感程度分级为</w:t>
      </w:r>
      <w:r>
        <w:rPr>
          <w:b/>
          <w:bCs/>
          <w:kern w:val="2"/>
          <w:u w:val="single"/>
        </w:rPr>
        <w:t>E</w:t>
      </w:r>
      <w:r>
        <w:rPr>
          <w:rFonts w:hint="eastAsia"/>
          <w:b/>
          <w:bCs/>
          <w:kern w:val="2"/>
          <w:u w:val="single"/>
        </w:rPr>
        <w:t>2</w:t>
      </w:r>
      <w:r>
        <w:rPr>
          <w:b/>
          <w:bCs/>
          <w:kern w:val="2"/>
          <w:u w:val="single"/>
        </w:rPr>
        <w:t>。</w:t>
      </w:r>
    </w:p>
    <w:p w14:paraId="26F9B00B" w14:textId="77777777" w:rsidR="003E78AB" w:rsidRDefault="00010BF9">
      <w:pPr>
        <w:ind w:firstLine="482"/>
        <w:rPr>
          <w:b/>
          <w:bCs/>
          <w:kern w:val="2"/>
          <w:u w:val="single"/>
        </w:rPr>
      </w:pPr>
      <w:r>
        <w:rPr>
          <w:b/>
          <w:bCs/>
          <w:kern w:val="2"/>
          <w:u w:val="single"/>
        </w:rPr>
        <w:t>②</w:t>
      </w:r>
      <w:r>
        <w:rPr>
          <w:b/>
          <w:bCs/>
          <w:kern w:val="2"/>
          <w:u w:val="single"/>
        </w:rPr>
        <w:t>地表水环境</w:t>
      </w:r>
    </w:p>
    <w:p w14:paraId="53E35B74" w14:textId="77777777" w:rsidR="003E78AB" w:rsidRDefault="00010BF9">
      <w:pPr>
        <w:ind w:firstLine="482"/>
        <w:rPr>
          <w:kern w:val="2"/>
        </w:rPr>
      </w:pPr>
      <w:r>
        <w:rPr>
          <w:b/>
          <w:bCs/>
          <w:kern w:val="2"/>
          <w:u w:val="single"/>
        </w:rPr>
        <w:t>本项目</w:t>
      </w:r>
      <w:r>
        <w:rPr>
          <w:rFonts w:hint="eastAsia"/>
          <w:b/>
          <w:bCs/>
          <w:kern w:val="2"/>
          <w:u w:val="single"/>
        </w:rPr>
        <w:t>外排</w:t>
      </w:r>
      <w:r>
        <w:rPr>
          <w:b/>
          <w:bCs/>
          <w:kern w:val="2"/>
          <w:u w:val="single"/>
        </w:rPr>
        <w:t>废水经</w:t>
      </w:r>
      <w:r>
        <w:rPr>
          <w:rFonts w:hint="eastAsia"/>
          <w:b/>
          <w:bCs/>
          <w:kern w:val="2"/>
          <w:u w:val="single"/>
        </w:rPr>
        <w:t>厂区总排口</w:t>
      </w:r>
      <w:r>
        <w:rPr>
          <w:b/>
          <w:bCs/>
          <w:kern w:val="2"/>
          <w:u w:val="single"/>
        </w:rPr>
        <w:t>排入园区下水管网，事故状态废水全部进入事故池储存，事故结束后</w:t>
      </w:r>
      <w:r>
        <w:rPr>
          <w:rFonts w:hint="eastAsia"/>
          <w:b/>
          <w:bCs/>
          <w:kern w:val="2"/>
          <w:u w:val="single"/>
        </w:rPr>
        <w:t>委托有能力单位处</w:t>
      </w:r>
      <w:r>
        <w:rPr>
          <w:rFonts w:hint="eastAsia"/>
          <w:b/>
          <w:bCs/>
          <w:kern w:val="2"/>
          <w:u w:val="single"/>
        </w:rPr>
        <w:t>置</w:t>
      </w:r>
      <w:r>
        <w:rPr>
          <w:b/>
          <w:bCs/>
          <w:kern w:val="2"/>
          <w:u w:val="single"/>
        </w:rPr>
        <w:t>，不排入地表水体，因此，本项目不考虑风险事故泄漏危险物质对地表水体的影响</w:t>
      </w:r>
      <w:r>
        <w:rPr>
          <w:rFonts w:hint="eastAsia"/>
          <w:b/>
          <w:bCs/>
          <w:kern w:val="2"/>
          <w:u w:val="single"/>
        </w:rPr>
        <w:t>。</w:t>
      </w:r>
    </w:p>
    <w:p w14:paraId="54385997" w14:textId="77777777" w:rsidR="003E78AB" w:rsidRDefault="00010BF9">
      <w:pPr>
        <w:ind w:firstLine="480"/>
        <w:rPr>
          <w:kern w:val="2"/>
        </w:rPr>
      </w:pPr>
      <w:r>
        <w:rPr>
          <w:kern w:val="2"/>
        </w:rPr>
        <w:t>③</w:t>
      </w:r>
      <w:r>
        <w:rPr>
          <w:kern w:val="2"/>
        </w:rPr>
        <w:t>地下水环境</w:t>
      </w:r>
    </w:p>
    <w:p w14:paraId="10D1D7A4" w14:textId="77777777" w:rsidR="003E78AB" w:rsidRDefault="00010BF9">
      <w:pPr>
        <w:ind w:firstLine="480"/>
        <w:rPr>
          <w:kern w:val="2"/>
        </w:rPr>
      </w:pPr>
      <w:r>
        <w:rPr>
          <w:kern w:val="2"/>
        </w:rPr>
        <w:t>依据地下水功能敏感性与包气带防污性能，共分为三种类型，</w:t>
      </w:r>
      <w:r>
        <w:rPr>
          <w:kern w:val="2"/>
        </w:rPr>
        <w:t>E1</w:t>
      </w:r>
      <w:r>
        <w:rPr>
          <w:kern w:val="2"/>
        </w:rPr>
        <w:t>为环境高度敏感区，</w:t>
      </w:r>
      <w:r>
        <w:rPr>
          <w:kern w:val="2"/>
        </w:rPr>
        <w:t>E2</w:t>
      </w:r>
      <w:r>
        <w:rPr>
          <w:kern w:val="2"/>
        </w:rPr>
        <w:t>为环境中度敏感区，</w:t>
      </w:r>
      <w:r>
        <w:rPr>
          <w:kern w:val="2"/>
        </w:rPr>
        <w:t>E3</w:t>
      </w:r>
      <w:r>
        <w:rPr>
          <w:kern w:val="2"/>
        </w:rPr>
        <w:t>为环境低度敏感区，分级原则见表</w:t>
      </w:r>
      <w:r>
        <w:rPr>
          <w:rFonts w:hint="eastAsia"/>
          <w:kern w:val="2"/>
        </w:rPr>
        <w:t>6</w:t>
      </w:r>
      <w:r>
        <w:rPr>
          <w:kern w:val="2"/>
        </w:rPr>
        <w:t>-7</w:t>
      </w:r>
      <w:r>
        <w:rPr>
          <w:kern w:val="2"/>
        </w:rPr>
        <w:t>。其中地下水功能敏感性分区和包气带防污性能分级分别见表</w:t>
      </w:r>
      <w:r>
        <w:rPr>
          <w:rFonts w:hint="eastAsia"/>
          <w:kern w:val="2"/>
        </w:rPr>
        <w:t>6</w:t>
      </w:r>
      <w:r>
        <w:rPr>
          <w:kern w:val="2"/>
        </w:rPr>
        <w:t>-8</w:t>
      </w:r>
      <w:r>
        <w:rPr>
          <w:kern w:val="2"/>
        </w:rPr>
        <w:t>和表</w:t>
      </w:r>
      <w:r>
        <w:rPr>
          <w:rFonts w:hint="eastAsia"/>
          <w:kern w:val="2"/>
        </w:rPr>
        <w:t>6</w:t>
      </w:r>
      <w:r>
        <w:rPr>
          <w:kern w:val="2"/>
        </w:rPr>
        <w:t>-9</w:t>
      </w:r>
      <w:r>
        <w:rPr>
          <w:kern w:val="2"/>
        </w:rPr>
        <w:t>。当同一建设项目涉及两个</w:t>
      </w:r>
      <w:r>
        <w:rPr>
          <w:kern w:val="2"/>
        </w:rPr>
        <w:t>G</w:t>
      </w:r>
      <w:r>
        <w:rPr>
          <w:kern w:val="2"/>
        </w:rPr>
        <w:t>分区或</w:t>
      </w:r>
      <w:r>
        <w:rPr>
          <w:kern w:val="2"/>
        </w:rPr>
        <w:t>D</w:t>
      </w:r>
      <w:r>
        <w:rPr>
          <w:kern w:val="2"/>
        </w:rPr>
        <w:t>分级及以上时，取相对高值。</w:t>
      </w:r>
    </w:p>
    <w:p w14:paraId="5D4A63A0" w14:textId="77777777" w:rsidR="003E78AB" w:rsidRDefault="00010BF9">
      <w:pPr>
        <w:pStyle w:val="a"/>
        <w:spacing w:before="120"/>
        <w:ind w:left="425" w:hanging="425"/>
      </w:pPr>
      <w:bookmarkStart w:id="422" w:name="_Ref28224"/>
      <w:r>
        <w:t>地下水环境敏感程度分级</w:t>
      </w:r>
      <w:bookmarkEnd w:id="422"/>
    </w:p>
    <w:tbl>
      <w:tblPr>
        <w:tblStyle w:val="af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109"/>
        <w:gridCol w:w="2109"/>
        <w:gridCol w:w="2109"/>
      </w:tblGrid>
      <w:tr w:rsidR="003E78AB" w14:paraId="0408AA23" w14:textId="77777777">
        <w:trPr>
          <w:trHeight w:val="340"/>
        </w:trPr>
        <w:tc>
          <w:tcPr>
            <w:tcW w:w="2109" w:type="dxa"/>
            <w:vMerge w:val="restart"/>
          </w:tcPr>
          <w:p w14:paraId="09DCE20C" w14:textId="77777777" w:rsidR="003E78AB" w:rsidRDefault="00010BF9">
            <w:pPr>
              <w:pStyle w:val="aff6"/>
              <w:topLinePunct/>
              <w:rPr>
                <w:b/>
                <w:bCs/>
              </w:rPr>
            </w:pPr>
            <w:r>
              <w:rPr>
                <w:b/>
                <w:bCs/>
              </w:rPr>
              <w:t>环境敏感目标</w:t>
            </w:r>
          </w:p>
        </w:tc>
        <w:tc>
          <w:tcPr>
            <w:tcW w:w="6327" w:type="dxa"/>
            <w:gridSpan w:val="3"/>
          </w:tcPr>
          <w:p w14:paraId="79D88F91" w14:textId="77777777" w:rsidR="003E78AB" w:rsidRDefault="00010BF9">
            <w:pPr>
              <w:pStyle w:val="aff6"/>
              <w:topLinePunct/>
              <w:rPr>
                <w:b/>
                <w:bCs/>
              </w:rPr>
            </w:pPr>
            <w:r>
              <w:rPr>
                <w:b/>
                <w:bCs/>
              </w:rPr>
              <w:t>地下水功能敏感性</w:t>
            </w:r>
          </w:p>
        </w:tc>
      </w:tr>
      <w:tr w:rsidR="003E78AB" w14:paraId="2BAED03A" w14:textId="77777777">
        <w:trPr>
          <w:trHeight w:val="340"/>
        </w:trPr>
        <w:tc>
          <w:tcPr>
            <w:tcW w:w="2109" w:type="dxa"/>
            <w:vMerge/>
          </w:tcPr>
          <w:p w14:paraId="5B73A8F3" w14:textId="77777777" w:rsidR="003E78AB" w:rsidRDefault="003E78AB">
            <w:pPr>
              <w:pStyle w:val="aff6"/>
              <w:topLinePunct/>
              <w:rPr>
                <w:b/>
                <w:bCs/>
              </w:rPr>
            </w:pPr>
          </w:p>
        </w:tc>
        <w:tc>
          <w:tcPr>
            <w:tcW w:w="2109" w:type="dxa"/>
          </w:tcPr>
          <w:p w14:paraId="7F2560DE" w14:textId="77777777" w:rsidR="003E78AB" w:rsidRDefault="00010BF9">
            <w:pPr>
              <w:pStyle w:val="aff6"/>
              <w:topLinePunct/>
              <w:rPr>
                <w:b/>
                <w:bCs/>
              </w:rPr>
            </w:pPr>
            <w:r>
              <w:rPr>
                <w:b/>
                <w:bCs/>
              </w:rPr>
              <w:t>G1</w:t>
            </w:r>
          </w:p>
        </w:tc>
        <w:tc>
          <w:tcPr>
            <w:tcW w:w="2109" w:type="dxa"/>
          </w:tcPr>
          <w:p w14:paraId="580228BF" w14:textId="77777777" w:rsidR="003E78AB" w:rsidRDefault="00010BF9">
            <w:pPr>
              <w:pStyle w:val="aff6"/>
              <w:topLinePunct/>
              <w:rPr>
                <w:b/>
                <w:bCs/>
              </w:rPr>
            </w:pPr>
            <w:r>
              <w:rPr>
                <w:b/>
                <w:bCs/>
              </w:rPr>
              <w:t>G2</w:t>
            </w:r>
          </w:p>
        </w:tc>
        <w:tc>
          <w:tcPr>
            <w:tcW w:w="2109" w:type="dxa"/>
          </w:tcPr>
          <w:p w14:paraId="65E20A37" w14:textId="77777777" w:rsidR="003E78AB" w:rsidRDefault="00010BF9">
            <w:pPr>
              <w:pStyle w:val="aff6"/>
              <w:topLinePunct/>
              <w:rPr>
                <w:b/>
                <w:bCs/>
              </w:rPr>
            </w:pPr>
            <w:r>
              <w:rPr>
                <w:b/>
                <w:bCs/>
              </w:rPr>
              <w:t>G3</w:t>
            </w:r>
          </w:p>
        </w:tc>
      </w:tr>
      <w:tr w:rsidR="003E78AB" w14:paraId="4CC05972" w14:textId="77777777">
        <w:trPr>
          <w:trHeight w:val="340"/>
        </w:trPr>
        <w:tc>
          <w:tcPr>
            <w:tcW w:w="2109" w:type="dxa"/>
          </w:tcPr>
          <w:p w14:paraId="6C76F84A" w14:textId="77777777" w:rsidR="003E78AB" w:rsidRDefault="00010BF9">
            <w:pPr>
              <w:pStyle w:val="aff6"/>
              <w:topLinePunct/>
            </w:pPr>
            <w:r>
              <w:t>D1</w:t>
            </w:r>
          </w:p>
        </w:tc>
        <w:tc>
          <w:tcPr>
            <w:tcW w:w="2109" w:type="dxa"/>
          </w:tcPr>
          <w:p w14:paraId="2B202A11" w14:textId="77777777" w:rsidR="003E78AB" w:rsidRDefault="00010BF9">
            <w:pPr>
              <w:pStyle w:val="aff6"/>
              <w:topLinePunct/>
            </w:pPr>
            <w:r>
              <w:t>E1</w:t>
            </w:r>
          </w:p>
        </w:tc>
        <w:tc>
          <w:tcPr>
            <w:tcW w:w="2109" w:type="dxa"/>
          </w:tcPr>
          <w:p w14:paraId="0BFA9955" w14:textId="77777777" w:rsidR="003E78AB" w:rsidRDefault="00010BF9">
            <w:pPr>
              <w:pStyle w:val="aff6"/>
              <w:topLinePunct/>
            </w:pPr>
            <w:r>
              <w:t>E1</w:t>
            </w:r>
          </w:p>
        </w:tc>
        <w:tc>
          <w:tcPr>
            <w:tcW w:w="2109" w:type="dxa"/>
          </w:tcPr>
          <w:p w14:paraId="27D90C7A" w14:textId="77777777" w:rsidR="003E78AB" w:rsidRDefault="00010BF9">
            <w:pPr>
              <w:pStyle w:val="aff6"/>
              <w:topLinePunct/>
            </w:pPr>
            <w:r>
              <w:t>E2</w:t>
            </w:r>
          </w:p>
        </w:tc>
      </w:tr>
      <w:tr w:rsidR="003E78AB" w14:paraId="5D58CCCE" w14:textId="77777777">
        <w:trPr>
          <w:trHeight w:val="340"/>
        </w:trPr>
        <w:tc>
          <w:tcPr>
            <w:tcW w:w="2109" w:type="dxa"/>
          </w:tcPr>
          <w:p w14:paraId="0A343BF1" w14:textId="77777777" w:rsidR="003E78AB" w:rsidRDefault="00010BF9">
            <w:pPr>
              <w:pStyle w:val="aff6"/>
              <w:topLinePunct/>
            </w:pPr>
            <w:r>
              <w:t>D2</w:t>
            </w:r>
          </w:p>
        </w:tc>
        <w:tc>
          <w:tcPr>
            <w:tcW w:w="2109" w:type="dxa"/>
          </w:tcPr>
          <w:p w14:paraId="10EC31A5" w14:textId="77777777" w:rsidR="003E78AB" w:rsidRDefault="00010BF9">
            <w:pPr>
              <w:pStyle w:val="aff6"/>
              <w:topLinePunct/>
            </w:pPr>
            <w:r>
              <w:t>E1</w:t>
            </w:r>
          </w:p>
        </w:tc>
        <w:tc>
          <w:tcPr>
            <w:tcW w:w="2109" w:type="dxa"/>
          </w:tcPr>
          <w:p w14:paraId="5039370B" w14:textId="77777777" w:rsidR="003E78AB" w:rsidRDefault="00010BF9">
            <w:pPr>
              <w:pStyle w:val="aff6"/>
              <w:topLinePunct/>
            </w:pPr>
            <w:r>
              <w:t>E2</w:t>
            </w:r>
          </w:p>
        </w:tc>
        <w:tc>
          <w:tcPr>
            <w:tcW w:w="2109" w:type="dxa"/>
          </w:tcPr>
          <w:p w14:paraId="3E01925D" w14:textId="77777777" w:rsidR="003E78AB" w:rsidRDefault="00010BF9">
            <w:pPr>
              <w:pStyle w:val="aff6"/>
              <w:topLinePunct/>
            </w:pPr>
            <w:r>
              <w:t>E3</w:t>
            </w:r>
          </w:p>
        </w:tc>
      </w:tr>
      <w:tr w:rsidR="003E78AB" w14:paraId="3E6797A5" w14:textId="77777777">
        <w:trPr>
          <w:trHeight w:val="340"/>
        </w:trPr>
        <w:tc>
          <w:tcPr>
            <w:tcW w:w="2109" w:type="dxa"/>
          </w:tcPr>
          <w:p w14:paraId="32B5DE91" w14:textId="77777777" w:rsidR="003E78AB" w:rsidRDefault="00010BF9">
            <w:pPr>
              <w:pStyle w:val="aff6"/>
              <w:topLinePunct/>
            </w:pPr>
            <w:r>
              <w:t>D3</w:t>
            </w:r>
          </w:p>
        </w:tc>
        <w:tc>
          <w:tcPr>
            <w:tcW w:w="2109" w:type="dxa"/>
          </w:tcPr>
          <w:p w14:paraId="06283174" w14:textId="77777777" w:rsidR="003E78AB" w:rsidRDefault="00010BF9">
            <w:pPr>
              <w:pStyle w:val="aff6"/>
              <w:topLinePunct/>
            </w:pPr>
            <w:r>
              <w:t>E2</w:t>
            </w:r>
          </w:p>
        </w:tc>
        <w:tc>
          <w:tcPr>
            <w:tcW w:w="2109" w:type="dxa"/>
          </w:tcPr>
          <w:p w14:paraId="4EFDDB46" w14:textId="77777777" w:rsidR="003E78AB" w:rsidRDefault="00010BF9">
            <w:pPr>
              <w:pStyle w:val="aff6"/>
              <w:topLinePunct/>
            </w:pPr>
            <w:r>
              <w:t>E3</w:t>
            </w:r>
          </w:p>
        </w:tc>
        <w:tc>
          <w:tcPr>
            <w:tcW w:w="2109" w:type="dxa"/>
          </w:tcPr>
          <w:p w14:paraId="7BD1E5BE" w14:textId="77777777" w:rsidR="003E78AB" w:rsidRDefault="00010BF9">
            <w:pPr>
              <w:pStyle w:val="aff6"/>
              <w:topLinePunct/>
            </w:pPr>
            <w:r>
              <w:t>E3</w:t>
            </w:r>
          </w:p>
        </w:tc>
      </w:tr>
    </w:tbl>
    <w:p w14:paraId="273164E4" w14:textId="77777777" w:rsidR="003E78AB" w:rsidRDefault="00010BF9">
      <w:pPr>
        <w:pStyle w:val="a"/>
        <w:spacing w:before="120"/>
        <w:ind w:left="425" w:hanging="425"/>
      </w:pPr>
      <w:bookmarkStart w:id="423" w:name="_Ref28156"/>
      <w:r>
        <w:t>地下水功能敏感性分区</w:t>
      </w:r>
      <w:bookmarkEnd w:id="423"/>
    </w:p>
    <w:tbl>
      <w:tblPr>
        <w:tblStyle w:val="afe"/>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87"/>
      </w:tblGrid>
      <w:tr w:rsidR="003E78AB" w14:paraId="342F4ABE" w14:textId="77777777">
        <w:trPr>
          <w:trHeight w:val="340"/>
          <w:tblHeader/>
        </w:trPr>
        <w:tc>
          <w:tcPr>
            <w:tcW w:w="721" w:type="pct"/>
          </w:tcPr>
          <w:p w14:paraId="2CF85167" w14:textId="77777777" w:rsidR="003E78AB" w:rsidRDefault="00010BF9">
            <w:pPr>
              <w:pStyle w:val="aff6"/>
              <w:topLinePunct/>
              <w:rPr>
                <w:b/>
                <w:bCs/>
              </w:rPr>
            </w:pPr>
            <w:r>
              <w:rPr>
                <w:b/>
                <w:bCs/>
              </w:rPr>
              <w:t>敏感性</w:t>
            </w:r>
          </w:p>
        </w:tc>
        <w:tc>
          <w:tcPr>
            <w:tcW w:w="4278" w:type="pct"/>
          </w:tcPr>
          <w:p w14:paraId="4D579656" w14:textId="77777777" w:rsidR="003E78AB" w:rsidRDefault="00010BF9">
            <w:pPr>
              <w:pStyle w:val="aff6"/>
              <w:topLinePunct/>
              <w:rPr>
                <w:b/>
                <w:bCs/>
              </w:rPr>
            </w:pPr>
            <w:r>
              <w:rPr>
                <w:b/>
                <w:bCs/>
              </w:rPr>
              <w:t>地下水环境敏感特征</w:t>
            </w:r>
          </w:p>
        </w:tc>
      </w:tr>
      <w:tr w:rsidR="003E78AB" w14:paraId="20DE4564" w14:textId="77777777">
        <w:trPr>
          <w:trHeight w:val="340"/>
        </w:trPr>
        <w:tc>
          <w:tcPr>
            <w:tcW w:w="721" w:type="pct"/>
          </w:tcPr>
          <w:p w14:paraId="15532B46" w14:textId="77777777" w:rsidR="003E78AB" w:rsidRDefault="00010BF9">
            <w:pPr>
              <w:pStyle w:val="aff6"/>
              <w:topLinePunct/>
            </w:pPr>
            <w:r>
              <w:t>敏感</w:t>
            </w:r>
            <w:r>
              <w:t>G1</w:t>
            </w:r>
          </w:p>
        </w:tc>
        <w:tc>
          <w:tcPr>
            <w:tcW w:w="4278" w:type="pct"/>
          </w:tcPr>
          <w:p w14:paraId="32AFE483" w14:textId="77777777" w:rsidR="003E78AB" w:rsidRDefault="00010BF9">
            <w:pPr>
              <w:pStyle w:val="aff6"/>
              <w:topLinePunct/>
              <w:jc w:val="left"/>
            </w:pPr>
            <w:r>
              <w:t>集中式饮用水水源（包括已建成的在用、备用、应急水源地，在建和规划的水源地）准保护区；除集中式饮用水水源地以外的国家或地方政府设定的与地下水环境相关的其他保护区，如热水、矿泉水、温泉等特殊地下水资源保护区。</w:t>
            </w:r>
          </w:p>
        </w:tc>
      </w:tr>
      <w:tr w:rsidR="003E78AB" w14:paraId="0E4ABD95" w14:textId="77777777">
        <w:trPr>
          <w:trHeight w:val="340"/>
        </w:trPr>
        <w:tc>
          <w:tcPr>
            <w:tcW w:w="721" w:type="pct"/>
          </w:tcPr>
          <w:p w14:paraId="0A18D1F7" w14:textId="77777777" w:rsidR="003E78AB" w:rsidRDefault="00010BF9">
            <w:pPr>
              <w:pStyle w:val="aff6"/>
              <w:topLinePunct/>
            </w:pPr>
            <w:r>
              <w:t>较敏感</w:t>
            </w:r>
            <w:r>
              <w:t>G2</w:t>
            </w:r>
          </w:p>
        </w:tc>
        <w:tc>
          <w:tcPr>
            <w:tcW w:w="4278" w:type="pct"/>
          </w:tcPr>
          <w:p w14:paraId="753BB2E4" w14:textId="77777777" w:rsidR="003E78AB" w:rsidRDefault="00010BF9">
            <w:pPr>
              <w:pStyle w:val="aff6"/>
              <w:topLinePunct/>
              <w:jc w:val="left"/>
            </w:pPr>
            <w:r>
              <w:t>集中式饮用水水源（包括已建成的在用、备用、应急水源地，在建和规划的水源地）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rsidR="003E78AB" w14:paraId="5DE86912" w14:textId="77777777">
        <w:trPr>
          <w:trHeight w:val="340"/>
        </w:trPr>
        <w:tc>
          <w:tcPr>
            <w:tcW w:w="721" w:type="pct"/>
          </w:tcPr>
          <w:p w14:paraId="6457AE34" w14:textId="77777777" w:rsidR="003E78AB" w:rsidRDefault="00010BF9">
            <w:pPr>
              <w:pStyle w:val="aff6"/>
              <w:topLinePunct/>
            </w:pPr>
            <w:r>
              <w:t>不敏感</w:t>
            </w:r>
            <w:r>
              <w:t>G3</w:t>
            </w:r>
          </w:p>
        </w:tc>
        <w:tc>
          <w:tcPr>
            <w:tcW w:w="4278" w:type="pct"/>
          </w:tcPr>
          <w:p w14:paraId="12C3001F" w14:textId="77777777" w:rsidR="003E78AB" w:rsidRDefault="00010BF9">
            <w:pPr>
              <w:pStyle w:val="aff6"/>
              <w:topLinePunct/>
            </w:pPr>
            <w:r>
              <w:t>上述地区之外的其他地区</w:t>
            </w:r>
          </w:p>
        </w:tc>
      </w:tr>
      <w:tr w:rsidR="003E78AB" w14:paraId="68BEEE6E" w14:textId="77777777">
        <w:trPr>
          <w:trHeight w:val="340"/>
        </w:trPr>
        <w:tc>
          <w:tcPr>
            <w:tcW w:w="5000" w:type="pct"/>
            <w:gridSpan w:val="2"/>
          </w:tcPr>
          <w:p w14:paraId="3813C024" w14:textId="77777777" w:rsidR="003E78AB" w:rsidRDefault="00010BF9">
            <w:pPr>
              <w:pStyle w:val="aff6"/>
              <w:topLinePunct/>
              <w:jc w:val="left"/>
            </w:pPr>
            <w:r>
              <w:t>注：</w:t>
            </w:r>
            <w:r>
              <w:t>“</w:t>
            </w:r>
            <w:r>
              <w:t>环境敏感区</w:t>
            </w:r>
            <w:r>
              <w:t>”</w:t>
            </w:r>
            <w:r>
              <w:t>是指《建设项目环境影响评价分类管理名录》中所界定的涉及地下水的环境敏感区。</w:t>
            </w:r>
          </w:p>
        </w:tc>
      </w:tr>
    </w:tbl>
    <w:p w14:paraId="7FCDEB7E" w14:textId="77777777" w:rsidR="003E78AB" w:rsidRDefault="00010BF9">
      <w:pPr>
        <w:pStyle w:val="a"/>
        <w:spacing w:before="120"/>
        <w:ind w:left="425" w:hanging="425"/>
      </w:pPr>
      <w:bookmarkStart w:id="424" w:name="_Ref28273"/>
      <w:r>
        <w:t>包气带防污性能分级</w:t>
      </w:r>
      <w:bookmarkEnd w:id="424"/>
    </w:p>
    <w:tbl>
      <w:tblPr>
        <w:tblStyle w:val="afe"/>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371"/>
      </w:tblGrid>
      <w:tr w:rsidR="003E78AB" w14:paraId="257CC43F" w14:textId="77777777">
        <w:trPr>
          <w:trHeight w:val="340"/>
          <w:tblHeader/>
        </w:trPr>
        <w:tc>
          <w:tcPr>
            <w:tcW w:w="1242" w:type="dxa"/>
          </w:tcPr>
          <w:p w14:paraId="19D03271" w14:textId="77777777" w:rsidR="003E78AB" w:rsidRDefault="00010BF9">
            <w:pPr>
              <w:pStyle w:val="aff6"/>
              <w:topLinePunct/>
              <w:rPr>
                <w:b/>
                <w:bCs/>
              </w:rPr>
            </w:pPr>
            <w:r>
              <w:rPr>
                <w:b/>
                <w:bCs/>
              </w:rPr>
              <w:t>分级</w:t>
            </w:r>
          </w:p>
        </w:tc>
        <w:tc>
          <w:tcPr>
            <w:tcW w:w="7371" w:type="dxa"/>
          </w:tcPr>
          <w:p w14:paraId="632BE1A8" w14:textId="77777777" w:rsidR="003E78AB" w:rsidRDefault="00010BF9">
            <w:pPr>
              <w:pStyle w:val="aff6"/>
              <w:topLinePunct/>
              <w:rPr>
                <w:b/>
                <w:bCs/>
              </w:rPr>
            </w:pPr>
            <w:r>
              <w:rPr>
                <w:b/>
                <w:bCs/>
              </w:rPr>
              <w:t>包气带岩土的渗透性能</w:t>
            </w:r>
          </w:p>
        </w:tc>
      </w:tr>
      <w:tr w:rsidR="003E78AB" w14:paraId="7FEDD7F7" w14:textId="77777777">
        <w:trPr>
          <w:trHeight w:val="340"/>
        </w:trPr>
        <w:tc>
          <w:tcPr>
            <w:tcW w:w="1242" w:type="dxa"/>
          </w:tcPr>
          <w:p w14:paraId="3E81730A" w14:textId="77777777" w:rsidR="003E78AB" w:rsidRDefault="00010BF9">
            <w:pPr>
              <w:pStyle w:val="aff6"/>
              <w:topLinePunct/>
            </w:pPr>
            <w:r>
              <w:t>D3</w:t>
            </w:r>
          </w:p>
        </w:tc>
        <w:tc>
          <w:tcPr>
            <w:tcW w:w="7371" w:type="dxa"/>
          </w:tcPr>
          <w:p w14:paraId="07270B6C" w14:textId="77777777" w:rsidR="003E78AB" w:rsidRDefault="00010BF9">
            <w:pPr>
              <w:pStyle w:val="aff6"/>
              <w:topLinePunct/>
            </w:pPr>
            <w:r>
              <w:t>Mb≥1.0m</w:t>
            </w:r>
            <w:r>
              <w:t>，</w:t>
            </w:r>
            <w:r>
              <w:t>K≤1.0×10</w:t>
            </w:r>
            <w:r>
              <w:rPr>
                <w:vertAlign w:val="superscript"/>
              </w:rPr>
              <w:t>-6</w:t>
            </w:r>
            <w:r>
              <w:t>cm/s</w:t>
            </w:r>
            <w:r>
              <w:t>，且分布连续、稳定</w:t>
            </w:r>
          </w:p>
        </w:tc>
      </w:tr>
      <w:tr w:rsidR="003E78AB" w14:paraId="0B6C7051" w14:textId="77777777">
        <w:trPr>
          <w:trHeight w:val="340"/>
        </w:trPr>
        <w:tc>
          <w:tcPr>
            <w:tcW w:w="1242" w:type="dxa"/>
          </w:tcPr>
          <w:p w14:paraId="62832599" w14:textId="77777777" w:rsidR="003E78AB" w:rsidRDefault="00010BF9">
            <w:pPr>
              <w:pStyle w:val="aff6"/>
              <w:topLinePunct/>
            </w:pPr>
            <w:r>
              <w:t>D2</w:t>
            </w:r>
          </w:p>
        </w:tc>
        <w:tc>
          <w:tcPr>
            <w:tcW w:w="7371" w:type="dxa"/>
          </w:tcPr>
          <w:p w14:paraId="5C465CFC" w14:textId="77777777" w:rsidR="003E78AB" w:rsidRDefault="00010BF9">
            <w:pPr>
              <w:pStyle w:val="aff6"/>
              <w:topLinePunct/>
            </w:pPr>
            <w:r>
              <w:t>0.5m≤Mb</w:t>
            </w:r>
            <w:r>
              <w:t>＜</w:t>
            </w:r>
            <w:r>
              <w:t>1.0m</w:t>
            </w:r>
            <w:r>
              <w:t>，</w:t>
            </w:r>
            <w:r>
              <w:t>K≤1.0×10</w:t>
            </w:r>
            <w:r>
              <w:rPr>
                <w:vertAlign w:val="superscript"/>
              </w:rPr>
              <w:t>-6</w:t>
            </w:r>
            <w:r>
              <w:t>cm/s</w:t>
            </w:r>
            <w:r>
              <w:t>，且分布连续、稳定</w:t>
            </w:r>
          </w:p>
          <w:p w14:paraId="126A19CC" w14:textId="77777777" w:rsidR="003E78AB" w:rsidRDefault="00010BF9">
            <w:pPr>
              <w:pStyle w:val="aff6"/>
              <w:topLinePunct/>
            </w:pPr>
            <w:r>
              <w:t>Mb≥1.0m</w:t>
            </w:r>
            <w:r>
              <w:t>，</w:t>
            </w:r>
            <w:r>
              <w:t>1.0×10</w:t>
            </w:r>
            <w:r>
              <w:rPr>
                <w:vertAlign w:val="superscript"/>
              </w:rPr>
              <w:t>-6</w:t>
            </w:r>
            <w:r>
              <w:t>cm/s≤K</w:t>
            </w:r>
            <w:r>
              <w:t>＜</w:t>
            </w:r>
            <w:r>
              <w:t>1.0×10</w:t>
            </w:r>
            <w:r>
              <w:rPr>
                <w:vertAlign w:val="superscript"/>
              </w:rPr>
              <w:t>-4</w:t>
            </w:r>
            <w:r>
              <w:t>cm/s</w:t>
            </w:r>
            <w:r>
              <w:t>，且分布连续、稳定</w:t>
            </w:r>
          </w:p>
        </w:tc>
      </w:tr>
      <w:tr w:rsidR="003E78AB" w14:paraId="24250B56" w14:textId="77777777">
        <w:trPr>
          <w:trHeight w:val="340"/>
        </w:trPr>
        <w:tc>
          <w:tcPr>
            <w:tcW w:w="1242" w:type="dxa"/>
          </w:tcPr>
          <w:p w14:paraId="5A1D98A9" w14:textId="77777777" w:rsidR="003E78AB" w:rsidRDefault="00010BF9">
            <w:pPr>
              <w:pStyle w:val="aff6"/>
              <w:topLinePunct/>
            </w:pPr>
            <w:r>
              <w:t>D1</w:t>
            </w:r>
          </w:p>
        </w:tc>
        <w:tc>
          <w:tcPr>
            <w:tcW w:w="7371" w:type="dxa"/>
          </w:tcPr>
          <w:p w14:paraId="3C765EF1" w14:textId="77777777" w:rsidR="003E78AB" w:rsidRDefault="00010BF9">
            <w:pPr>
              <w:pStyle w:val="aff6"/>
              <w:topLinePunct/>
            </w:pPr>
            <w:r>
              <w:t>岩（土）层不满足上述</w:t>
            </w:r>
            <w:r>
              <w:t>“D2”</w:t>
            </w:r>
            <w:r>
              <w:t>和</w:t>
            </w:r>
            <w:r>
              <w:t>“D3”</w:t>
            </w:r>
            <w:r>
              <w:t>条件</w:t>
            </w:r>
          </w:p>
        </w:tc>
      </w:tr>
      <w:tr w:rsidR="003E78AB" w14:paraId="2EFDC4BE" w14:textId="77777777">
        <w:trPr>
          <w:trHeight w:val="340"/>
        </w:trPr>
        <w:tc>
          <w:tcPr>
            <w:tcW w:w="8613" w:type="dxa"/>
            <w:gridSpan w:val="2"/>
          </w:tcPr>
          <w:p w14:paraId="3C30962B" w14:textId="77777777" w:rsidR="003E78AB" w:rsidRDefault="00010BF9">
            <w:pPr>
              <w:pStyle w:val="aff6"/>
              <w:topLinePunct/>
              <w:jc w:val="left"/>
            </w:pPr>
            <w:r>
              <w:t>Mb</w:t>
            </w:r>
            <w:r>
              <w:t>：岩土层单层厚度；</w:t>
            </w:r>
            <w:r>
              <w:t>K</w:t>
            </w:r>
            <w:r>
              <w:t>：渗透系数。</w:t>
            </w:r>
          </w:p>
        </w:tc>
      </w:tr>
    </w:tbl>
    <w:p w14:paraId="58716DAF" w14:textId="77777777" w:rsidR="003E78AB" w:rsidRDefault="00010BF9">
      <w:pPr>
        <w:ind w:firstLine="480"/>
        <w:rPr>
          <w:kern w:val="2"/>
        </w:rPr>
      </w:pPr>
      <w:r>
        <w:rPr>
          <w:kern w:val="2"/>
        </w:rPr>
        <w:t>本项目位于哈密工业园区南部循环经济产业园，项目所在区域既不属于集中式地下水饮用水水源（包括已建成的在用、备用、应急水源，在建和规划的饮用水水源）准保护区和准保护区以外的补给径流区，也不属于除集中式饮用水水源以外的国家或地方政府设定的与地下水环境相关的其他保护区，如热水、矿泉水、温泉等特殊地下水资源保护区和其他保护区的补给径流区；同时也不属于未划定准保护区的集中式饮用水水源、分散式饮用水水源地。根据</w:t>
      </w:r>
      <w:r>
        <w:rPr>
          <w:kern w:val="2"/>
        </w:rPr>
        <w:fldChar w:fldCharType="begin"/>
      </w:r>
      <w:r>
        <w:rPr>
          <w:kern w:val="2"/>
        </w:rPr>
        <w:instrText xml:space="preserve"> REF _Ref28156 \r \h </w:instrText>
      </w:r>
      <w:r>
        <w:rPr>
          <w:kern w:val="2"/>
        </w:rPr>
      </w:r>
      <w:r>
        <w:rPr>
          <w:kern w:val="2"/>
        </w:rPr>
        <w:fldChar w:fldCharType="separate"/>
      </w:r>
      <w:r>
        <w:rPr>
          <w:kern w:val="2"/>
        </w:rPr>
        <w:t>表</w:t>
      </w:r>
      <w:r>
        <w:rPr>
          <w:kern w:val="2"/>
        </w:rPr>
        <w:t>6-8</w:t>
      </w:r>
      <w:r>
        <w:rPr>
          <w:kern w:val="2"/>
        </w:rPr>
        <w:fldChar w:fldCharType="end"/>
      </w:r>
      <w:r>
        <w:rPr>
          <w:kern w:val="2"/>
        </w:rPr>
        <w:t>的判定依据，本项目地下水环境敏感程度为不敏感（</w:t>
      </w:r>
      <w:r>
        <w:rPr>
          <w:kern w:val="2"/>
        </w:rPr>
        <w:t>G3</w:t>
      </w:r>
      <w:r>
        <w:rPr>
          <w:kern w:val="2"/>
        </w:rPr>
        <w:t>）。</w:t>
      </w:r>
    </w:p>
    <w:p w14:paraId="1289C96A" w14:textId="77777777" w:rsidR="003E78AB" w:rsidRDefault="00010BF9">
      <w:pPr>
        <w:ind w:firstLine="482"/>
        <w:rPr>
          <w:b/>
          <w:bCs/>
          <w:kern w:val="2"/>
          <w:u w:val="single"/>
        </w:rPr>
      </w:pPr>
      <w:r>
        <w:rPr>
          <w:rFonts w:hint="eastAsia"/>
          <w:b/>
          <w:bCs/>
          <w:kern w:val="2"/>
          <w:u w:val="single"/>
        </w:rPr>
        <w:t>项目所在南部循环经济产业园内第四系厚度</w:t>
      </w:r>
      <w:r>
        <w:rPr>
          <w:rFonts w:hint="eastAsia"/>
          <w:b/>
          <w:bCs/>
          <w:kern w:val="2"/>
          <w:u w:val="single"/>
        </w:rPr>
        <w:t>35~40m</w:t>
      </w:r>
      <w:r>
        <w:rPr>
          <w:rFonts w:hint="eastAsia"/>
          <w:b/>
          <w:bCs/>
          <w:kern w:val="2"/>
          <w:u w:val="single"/>
        </w:rPr>
        <w:t>，水位埋深约</w:t>
      </w:r>
      <w:r>
        <w:rPr>
          <w:rFonts w:hint="eastAsia"/>
          <w:b/>
          <w:bCs/>
          <w:kern w:val="2"/>
          <w:u w:val="single"/>
        </w:rPr>
        <w:t>5m</w:t>
      </w:r>
      <w:r>
        <w:rPr>
          <w:rFonts w:hint="eastAsia"/>
          <w:b/>
          <w:bCs/>
          <w:kern w:val="2"/>
          <w:u w:val="single"/>
        </w:rPr>
        <w:t>，含水层厚度</w:t>
      </w:r>
      <w:r>
        <w:rPr>
          <w:rFonts w:hint="eastAsia"/>
          <w:b/>
          <w:bCs/>
          <w:kern w:val="2"/>
          <w:u w:val="single"/>
        </w:rPr>
        <w:t>30~35m</w:t>
      </w:r>
      <w:r>
        <w:rPr>
          <w:rFonts w:hint="eastAsia"/>
          <w:b/>
          <w:bCs/>
          <w:kern w:val="2"/>
          <w:u w:val="single"/>
        </w:rPr>
        <w:t>，潜水含水层岩性主要为中细砂。地下水径流速度缓慢，潜水含水层渗透系数</w:t>
      </w:r>
      <w:r>
        <w:rPr>
          <w:rFonts w:hint="eastAsia"/>
          <w:b/>
          <w:bCs/>
          <w:kern w:val="2"/>
          <w:u w:val="single"/>
        </w:rPr>
        <w:t>5m/d</w:t>
      </w:r>
      <w:r>
        <w:rPr>
          <w:rFonts w:hint="eastAsia"/>
          <w:b/>
          <w:bCs/>
          <w:kern w:val="2"/>
          <w:u w:val="single"/>
        </w:rPr>
        <w:t>，因第四系潜水含水层厚度较薄，水量中等，单井涌水量（换算为井径</w:t>
      </w:r>
      <w:r>
        <w:rPr>
          <w:rFonts w:hint="eastAsia"/>
          <w:b/>
          <w:bCs/>
          <w:kern w:val="2"/>
          <w:u w:val="single"/>
        </w:rPr>
        <w:t>12</w:t>
      </w:r>
      <w:r>
        <w:rPr>
          <w:rFonts w:hint="eastAsia"/>
          <w:b/>
          <w:bCs/>
          <w:kern w:val="2"/>
          <w:u w:val="single"/>
        </w:rPr>
        <w:t>寸、降深</w:t>
      </w:r>
      <w:r>
        <w:rPr>
          <w:rFonts w:hint="eastAsia"/>
          <w:b/>
          <w:bCs/>
          <w:kern w:val="2"/>
          <w:u w:val="single"/>
        </w:rPr>
        <w:t>5m</w:t>
      </w:r>
      <w:r>
        <w:rPr>
          <w:rFonts w:hint="eastAsia"/>
          <w:b/>
          <w:bCs/>
          <w:kern w:val="2"/>
          <w:u w:val="single"/>
        </w:rPr>
        <w:t>）为</w:t>
      </w:r>
      <w:r>
        <w:rPr>
          <w:rFonts w:hint="eastAsia"/>
          <w:b/>
          <w:bCs/>
          <w:kern w:val="2"/>
          <w:u w:val="single"/>
        </w:rPr>
        <w:t>100~1000m</w:t>
      </w:r>
      <w:r>
        <w:rPr>
          <w:rFonts w:hint="eastAsia"/>
          <w:b/>
          <w:bCs/>
          <w:kern w:val="2"/>
          <w:u w:val="single"/>
          <w:vertAlign w:val="superscript"/>
        </w:rPr>
        <w:t>3</w:t>
      </w:r>
      <w:r>
        <w:rPr>
          <w:rFonts w:hint="eastAsia"/>
          <w:b/>
          <w:bCs/>
          <w:kern w:val="2"/>
          <w:u w:val="single"/>
        </w:rPr>
        <w:t>/d</w:t>
      </w:r>
      <w:r>
        <w:rPr>
          <w:rFonts w:hint="eastAsia"/>
          <w:b/>
          <w:bCs/>
          <w:kern w:val="2"/>
          <w:u w:val="single"/>
        </w:rPr>
        <w:t>，承压含水层水量贫乏，单井涌水量（换算为井径</w:t>
      </w:r>
      <w:r>
        <w:rPr>
          <w:rFonts w:hint="eastAsia"/>
          <w:b/>
          <w:bCs/>
          <w:kern w:val="2"/>
          <w:u w:val="single"/>
        </w:rPr>
        <w:t>12</w:t>
      </w:r>
      <w:r>
        <w:rPr>
          <w:rFonts w:hint="eastAsia"/>
          <w:b/>
          <w:bCs/>
          <w:kern w:val="2"/>
          <w:u w:val="single"/>
        </w:rPr>
        <w:t>寸、降深</w:t>
      </w:r>
      <w:r>
        <w:rPr>
          <w:rFonts w:hint="eastAsia"/>
          <w:b/>
          <w:bCs/>
          <w:kern w:val="2"/>
          <w:u w:val="single"/>
        </w:rPr>
        <w:t>5m</w:t>
      </w:r>
      <w:r>
        <w:rPr>
          <w:rFonts w:hint="eastAsia"/>
          <w:b/>
          <w:bCs/>
          <w:kern w:val="2"/>
          <w:u w:val="single"/>
        </w:rPr>
        <w:t>）小于</w:t>
      </w:r>
      <w:r>
        <w:rPr>
          <w:rFonts w:hint="eastAsia"/>
          <w:b/>
          <w:bCs/>
          <w:kern w:val="2"/>
          <w:u w:val="single"/>
        </w:rPr>
        <w:t>100m</w:t>
      </w:r>
      <w:r>
        <w:rPr>
          <w:rFonts w:hint="eastAsia"/>
          <w:b/>
          <w:bCs/>
          <w:kern w:val="2"/>
          <w:u w:val="single"/>
          <w:vertAlign w:val="superscript"/>
        </w:rPr>
        <w:t>3</w:t>
      </w:r>
      <w:r>
        <w:rPr>
          <w:rFonts w:hint="eastAsia"/>
          <w:b/>
          <w:bCs/>
          <w:kern w:val="2"/>
          <w:u w:val="single"/>
        </w:rPr>
        <w:t>/d</w:t>
      </w:r>
      <w:r>
        <w:rPr>
          <w:rFonts w:hint="eastAsia"/>
          <w:b/>
          <w:bCs/>
          <w:kern w:val="2"/>
          <w:u w:val="single"/>
        </w:rPr>
        <w:t>，渗透系数</w:t>
      </w:r>
      <w:r>
        <w:rPr>
          <w:rFonts w:hint="eastAsia"/>
          <w:b/>
          <w:bCs/>
          <w:kern w:val="2"/>
          <w:u w:val="single"/>
        </w:rPr>
        <w:t>4~6m/d</w:t>
      </w:r>
      <w:r>
        <w:rPr>
          <w:rFonts w:eastAsiaTheme="minorEastAsia" w:hint="eastAsia"/>
          <w:b/>
          <w:bCs/>
          <w:u w:val="single"/>
        </w:rPr>
        <w:t>，大于</w:t>
      </w:r>
      <w:r>
        <w:rPr>
          <w:b/>
          <w:bCs/>
          <w:u w:val="single"/>
        </w:rPr>
        <w:t>10</w:t>
      </w:r>
      <w:r>
        <w:rPr>
          <w:b/>
          <w:bCs/>
          <w:u w:val="single"/>
          <w:vertAlign w:val="superscript"/>
        </w:rPr>
        <w:t>-4</w:t>
      </w:r>
      <w:r>
        <w:rPr>
          <w:b/>
          <w:bCs/>
          <w:u w:val="single"/>
        </w:rPr>
        <w:t>cm/s</w:t>
      </w:r>
      <w:r>
        <w:rPr>
          <w:rFonts w:hint="eastAsia"/>
          <w:b/>
          <w:bCs/>
          <w:u w:val="single"/>
        </w:rPr>
        <w:t>。</w:t>
      </w:r>
      <w:r>
        <w:rPr>
          <w:b/>
          <w:bCs/>
          <w:kern w:val="2"/>
          <w:u w:val="single"/>
        </w:rPr>
        <w:t>根据地质勘察结果，项目所在</w:t>
      </w:r>
      <w:r>
        <w:rPr>
          <w:rFonts w:hint="eastAsia"/>
          <w:b/>
          <w:bCs/>
          <w:kern w:val="2"/>
          <w:u w:val="single"/>
        </w:rPr>
        <w:t>区域</w:t>
      </w:r>
      <w:r>
        <w:rPr>
          <w:b/>
          <w:bCs/>
          <w:kern w:val="2"/>
          <w:u w:val="single"/>
        </w:rPr>
        <w:t>无岩溶、滑坡、坍塌、泥石流、断裂</w:t>
      </w:r>
      <w:r>
        <w:rPr>
          <w:rFonts w:hint="eastAsia"/>
          <w:b/>
          <w:bCs/>
          <w:kern w:val="2"/>
          <w:u w:val="single"/>
        </w:rPr>
        <w:t>，场地无饱和砂土及粉土，场地土不液化，场地稳定性良好。</w:t>
      </w:r>
      <w:r>
        <w:rPr>
          <w:b/>
          <w:bCs/>
          <w:kern w:val="2"/>
          <w:u w:val="single"/>
        </w:rPr>
        <w:t>场地地层自上而下可划分为细砂、砂质泥岩</w:t>
      </w:r>
      <w:r>
        <w:rPr>
          <w:rFonts w:hint="eastAsia"/>
          <w:b/>
          <w:bCs/>
          <w:kern w:val="2"/>
          <w:u w:val="single"/>
        </w:rPr>
        <w:t>。</w:t>
      </w:r>
      <w:r>
        <w:rPr>
          <w:b/>
          <w:bCs/>
          <w:kern w:val="2"/>
          <w:u w:val="single"/>
        </w:rPr>
        <w:t>包气带防污性能分级为</w:t>
      </w:r>
      <w:r>
        <w:rPr>
          <w:b/>
          <w:bCs/>
          <w:kern w:val="2"/>
          <w:u w:val="single"/>
        </w:rPr>
        <w:t>D</w:t>
      </w:r>
      <w:r>
        <w:rPr>
          <w:rFonts w:hint="eastAsia"/>
          <w:b/>
          <w:bCs/>
          <w:kern w:val="2"/>
          <w:u w:val="single"/>
        </w:rPr>
        <w:t>1</w:t>
      </w:r>
      <w:r>
        <w:rPr>
          <w:b/>
          <w:bCs/>
          <w:kern w:val="2"/>
          <w:u w:val="single"/>
        </w:rPr>
        <w:t>。故根据</w:t>
      </w:r>
      <w:r>
        <w:rPr>
          <w:b/>
          <w:bCs/>
          <w:kern w:val="2"/>
          <w:u w:val="single"/>
        </w:rPr>
        <w:fldChar w:fldCharType="begin"/>
      </w:r>
      <w:r>
        <w:rPr>
          <w:b/>
          <w:bCs/>
          <w:kern w:val="2"/>
          <w:u w:val="single"/>
        </w:rPr>
        <w:instrText xml:space="preserve"> REF _Ref28224 \r \h </w:instrText>
      </w:r>
      <w:r>
        <w:rPr>
          <w:b/>
          <w:bCs/>
          <w:kern w:val="2"/>
          <w:u w:val="single"/>
        </w:rPr>
      </w:r>
      <w:r>
        <w:rPr>
          <w:b/>
          <w:bCs/>
          <w:kern w:val="2"/>
          <w:u w:val="single"/>
        </w:rPr>
        <w:fldChar w:fldCharType="separate"/>
      </w:r>
      <w:r>
        <w:rPr>
          <w:b/>
          <w:bCs/>
          <w:kern w:val="2"/>
          <w:u w:val="single"/>
        </w:rPr>
        <w:t>表</w:t>
      </w:r>
      <w:r>
        <w:rPr>
          <w:b/>
          <w:bCs/>
          <w:kern w:val="2"/>
          <w:u w:val="single"/>
        </w:rPr>
        <w:t>6-7</w:t>
      </w:r>
      <w:r>
        <w:rPr>
          <w:b/>
          <w:bCs/>
          <w:kern w:val="2"/>
          <w:u w:val="single"/>
        </w:rPr>
        <w:fldChar w:fldCharType="end"/>
      </w:r>
      <w:r>
        <w:rPr>
          <w:b/>
          <w:bCs/>
          <w:kern w:val="2"/>
          <w:u w:val="single"/>
        </w:rPr>
        <w:t>，地下水环境敏感程度为</w:t>
      </w:r>
      <w:r>
        <w:rPr>
          <w:b/>
          <w:bCs/>
          <w:kern w:val="2"/>
          <w:u w:val="single"/>
        </w:rPr>
        <w:t>E2</w:t>
      </w:r>
      <w:r>
        <w:rPr>
          <w:b/>
          <w:bCs/>
          <w:kern w:val="2"/>
          <w:u w:val="single"/>
        </w:rPr>
        <w:t>。</w:t>
      </w:r>
    </w:p>
    <w:p w14:paraId="4B009E21" w14:textId="77777777" w:rsidR="003E78AB" w:rsidRDefault="00010BF9">
      <w:pPr>
        <w:ind w:firstLine="480"/>
        <w:rPr>
          <w:kern w:val="2"/>
        </w:rPr>
      </w:pPr>
      <w:r>
        <w:rPr>
          <w:kern w:val="2"/>
        </w:rPr>
        <w:t>（</w:t>
      </w:r>
      <w:r>
        <w:rPr>
          <w:kern w:val="2"/>
        </w:rPr>
        <w:t>3</w:t>
      </w:r>
      <w:r>
        <w:rPr>
          <w:kern w:val="2"/>
        </w:rPr>
        <w:t>）风险潜势划分</w:t>
      </w:r>
    </w:p>
    <w:p w14:paraId="71BF41C9" w14:textId="77777777" w:rsidR="003E78AB" w:rsidRDefault="00010BF9">
      <w:pPr>
        <w:ind w:firstLine="480"/>
        <w:rPr>
          <w:kern w:val="2"/>
        </w:rPr>
      </w:pPr>
      <w:r>
        <w:rPr>
          <w:kern w:val="2"/>
        </w:rPr>
        <w:t>建设项目环境风险潜势划分为</w:t>
      </w:r>
      <w:r>
        <w:rPr>
          <w:kern w:val="2"/>
        </w:rPr>
        <w:t>Ⅰ</w:t>
      </w:r>
      <w:r>
        <w:rPr>
          <w:kern w:val="2"/>
        </w:rPr>
        <w:t>、</w:t>
      </w:r>
      <w:r>
        <w:rPr>
          <w:kern w:val="2"/>
        </w:rPr>
        <w:t>Ⅱ</w:t>
      </w:r>
      <w:r>
        <w:rPr>
          <w:kern w:val="2"/>
        </w:rPr>
        <w:t>、</w:t>
      </w:r>
      <w:r>
        <w:rPr>
          <w:kern w:val="2"/>
        </w:rPr>
        <w:t>Ⅲ</w:t>
      </w:r>
      <w:r>
        <w:rPr>
          <w:kern w:val="2"/>
        </w:rPr>
        <w:t>、</w:t>
      </w:r>
      <w:r>
        <w:rPr>
          <w:kern w:val="2"/>
        </w:rPr>
        <w:t>Ⅳ/Ⅳ+</w:t>
      </w:r>
      <w:r>
        <w:rPr>
          <w:kern w:val="2"/>
        </w:rPr>
        <w:t>级。</w:t>
      </w:r>
    </w:p>
    <w:p w14:paraId="514BA824" w14:textId="77777777" w:rsidR="003E78AB" w:rsidRDefault="00010BF9">
      <w:pPr>
        <w:ind w:firstLine="480"/>
        <w:rPr>
          <w:kern w:val="2"/>
        </w:rPr>
      </w:pPr>
      <w:r>
        <w:rPr>
          <w:kern w:val="2"/>
        </w:rPr>
        <w:t>根据建设项目涉及的物质及工艺系统的</w:t>
      </w:r>
      <w:r>
        <w:rPr>
          <w:kern w:val="2"/>
        </w:rPr>
        <w:t>危险性及其所在地的环境敏感程度，结合事故情形下环境影响途径，对建设项目潜在环境危害程度进行概化分析，按照</w:t>
      </w:r>
      <w:r>
        <w:rPr>
          <w:kern w:val="2"/>
        </w:rPr>
        <w:fldChar w:fldCharType="begin"/>
      </w:r>
      <w:r>
        <w:rPr>
          <w:kern w:val="2"/>
        </w:rPr>
        <w:instrText xml:space="preserve"> REF _Ref27980 \r \h </w:instrText>
      </w:r>
      <w:r>
        <w:rPr>
          <w:kern w:val="2"/>
        </w:rPr>
      </w:r>
      <w:r>
        <w:rPr>
          <w:kern w:val="2"/>
        </w:rPr>
        <w:fldChar w:fldCharType="separate"/>
      </w:r>
      <w:r>
        <w:rPr>
          <w:kern w:val="2"/>
        </w:rPr>
        <w:t>表</w:t>
      </w:r>
      <w:r>
        <w:rPr>
          <w:kern w:val="2"/>
        </w:rPr>
        <w:t>6-10</w:t>
      </w:r>
      <w:r>
        <w:rPr>
          <w:kern w:val="2"/>
        </w:rPr>
        <w:fldChar w:fldCharType="end"/>
      </w:r>
      <w:r>
        <w:rPr>
          <w:kern w:val="2"/>
        </w:rPr>
        <w:t>确定环境风险潜势。</w:t>
      </w:r>
    </w:p>
    <w:p w14:paraId="5E7E4B1D" w14:textId="77777777" w:rsidR="003E78AB" w:rsidRDefault="00010BF9">
      <w:pPr>
        <w:pStyle w:val="a"/>
        <w:spacing w:before="120"/>
        <w:ind w:left="425" w:hanging="425"/>
      </w:pPr>
      <w:bookmarkStart w:id="425" w:name="_Ref27980"/>
      <w:r>
        <w:t>建设项目环境风险潜势划分</w:t>
      </w:r>
      <w:bookmarkEnd w:id="42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553"/>
        <w:gridCol w:w="1555"/>
        <w:gridCol w:w="1553"/>
        <w:gridCol w:w="1560"/>
      </w:tblGrid>
      <w:tr w:rsidR="003E78AB" w14:paraId="066EC18C" w14:textId="77777777">
        <w:trPr>
          <w:trHeight w:val="340"/>
          <w:jc w:val="center"/>
        </w:trPr>
        <w:tc>
          <w:tcPr>
            <w:tcW w:w="1347" w:type="pct"/>
            <w:vMerge w:val="restart"/>
            <w:tcBorders>
              <w:tl2br w:val="nil"/>
              <w:tr2bl w:val="nil"/>
            </w:tcBorders>
            <w:vAlign w:val="center"/>
          </w:tcPr>
          <w:p w14:paraId="2E146FCD" w14:textId="77777777" w:rsidR="003E78AB" w:rsidRDefault="00010BF9">
            <w:pPr>
              <w:pStyle w:val="aff6"/>
              <w:topLinePunct/>
              <w:rPr>
                <w:b/>
                <w:bCs/>
              </w:rPr>
            </w:pPr>
            <w:r>
              <w:rPr>
                <w:b/>
                <w:bCs/>
              </w:rPr>
              <w:t>环境敏感程度（</w:t>
            </w:r>
            <w:r>
              <w:rPr>
                <w:b/>
                <w:bCs/>
              </w:rPr>
              <w:t>E</w:t>
            </w:r>
            <w:r>
              <w:rPr>
                <w:b/>
                <w:bCs/>
              </w:rPr>
              <w:t>）</w:t>
            </w:r>
          </w:p>
        </w:tc>
        <w:tc>
          <w:tcPr>
            <w:tcW w:w="3652" w:type="pct"/>
            <w:gridSpan w:val="4"/>
            <w:tcBorders>
              <w:tl2br w:val="nil"/>
              <w:tr2bl w:val="nil"/>
            </w:tcBorders>
            <w:vAlign w:val="center"/>
          </w:tcPr>
          <w:p w14:paraId="6111E443" w14:textId="77777777" w:rsidR="003E78AB" w:rsidRDefault="00010BF9">
            <w:pPr>
              <w:pStyle w:val="aff6"/>
              <w:topLinePunct/>
              <w:rPr>
                <w:b/>
                <w:bCs/>
              </w:rPr>
            </w:pPr>
            <w:r>
              <w:rPr>
                <w:b/>
                <w:bCs/>
              </w:rPr>
              <w:t>危险物质及工艺系统危险性（</w:t>
            </w:r>
            <w:r>
              <w:rPr>
                <w:b/>
                <w:bCs/>
              </w:rPr>
              <w:t>P</w:t>
            </w:r>
            <w:r>
              <w:rPr>
                <w:b/>
                <w:bCs/>
              </w:rPr>
              <w:t>）</w:t>
            </w:r>
          </w:p>
        </w:tc>
      </w:tr>
      <w:tr w:rsidR="003E78AB" w14:paraId="3350380C" w14:textId="77777777">
        <w:trPr>
          <w:trHeight w:val="340"/>
          <w:jc w:val="center"/>
        </w:trPr>
        <w:tc>
          <w:tcPr>
            <w:tcW w:w="1347" w:type="pct"/>
            <w:vMerge/>
            <w:tcBorders>
              <w:tl2br w:val="nil"/>
              <w:tr2bl w:val="nil"/>
            </w:tcBorders>
            <w:vAlign w:val="center"/>
          </w:tcPr>
          <w:p w14:paraId="6203DE37" w14:textId="77777777" w:rsidR="003E78AB" w:rsidRDefault="003E78AB">
            <w:pPr>
              <w:pStyle w:val="aff6"/>
              <w:topLinePunct/>
              <w:rPr>
                <w:b/>
                <w:bCs/>
              </w:rPr>
            </w:pPr>
          </w:p>
        </w:tc>
        <w:tc>
          <w:tcPr>
            <w:tcW w:w="912" w:type="pct"/>
            <w:tcBorders>
              <w:tl2br w:val="nil"/>
              <w:tr2bl w:val="nil"/>
            </w:tcBorders>
            <w:vAlign w:val="center"/>
          </w:tcPr>
          <w:p w14:paraId="4970D353" w14:textId="77777777" w:rsidR="003E78AB" w:rsidRDefault="00010BF9">
            <w:pPr>
              <w:pStyle w:val="aff6"/>
              <w:topLinePunct/>
              <w:rPr>
                <w:b/>
                <w:bCs/>
              </w:rPr>
            </w:pPr>
            <w:r>
              <w:rPr>
                <w:b/>
                <w:bCs/>
              </w:rPr>
              <w:t>极高危害（</w:t>
            </w:r>
            <w:r>
              <w:rPr>
                <w:b/>
                <w:bCs/>
              </w:rPr>
              <w:t>P1</w:t>
            </w:r>
            <w:r>
              <w:rPr>
                <w:b/>
                <w:bCs/>
              </w:rPr>
              <w:t>）</w:t>
            </w:r>
          </w:p>
        </w:tc>
        <w:tc>
          <w:tcPr>
            <w:tcW w:w="913" w:type="pct"/>
            <w:tcBorders>
              <w:tl2br w:val="nil"/>
              <w:tr2bl w:val="nil"/>
            </w:tcBorders>
            <w:vAlign w:val="center"/>
          </w:tcPr>
          <w:p w14:paraId="0867EDD9" w14:textId="77777777" w:rsidR="003E78AB" w:rsidRDefault="00010BF9">
            <w:pPr>
              <w:pStyle w:val="aff6"/>
              <w:topLinePunct/>
              <w:rPr>
                <w:b/>
                <w:bCs/>
              </w:rPr>
            </w:pPr>
            <w:r>
              <w:rPr>
                <w:b/>
                <w:bCs/>
              </w:rPr>
              <w:t>高度危害（</w:t>
            </w:r>
            <w:r>
              <w:rPr>
                <w:b/>
                <w:bCs/>
              </w:rPr>
              <w:t>P2</w:t>
            </w:r>
            <w:r>
              <w:rPr>
                <w:b/>
                <w:bCs/>
              </w:rPr>
              <w:t>）</w:t>
            </w:r>
          </w:p>
        </w:tc>
        <w:tc>
          <w:tcPr>
            <w:tcW w:w="912" w:type="pct"/>
            <w:tcBorders>
              <w:tl2br w:val="nil"/>
              <w:tr2bl w:val="nil"/>
            </w:tcBorders>
            <w:vAlign w:val="center"/>
          </w:tcPr>
          <w:p w14:paraId="161C5761" w14:textId="77777777" w:rsidR="003E78AB" w:rsidRDefault="00010BF9">
            <w:pPr>
              <w:pStyle w:val="aff6"/>
              <w:topLinePunct/>
              <w:rPr>
                <w:b/>
                <w:bCs/>
              </w:rPr>
            </w:pPr>
            <w:r>
              <w:rPr>
                <w:b/>
                <w:bCs/>
              </w:rPr>
              <w:t>中度危害（</w:t>
            </w:r>
            <w:r>
              <w:rPr>
                <w:b/>
                <w:bCs/>
              </w:rPr>
              <w:t>P3</w:t>
            </w:r>
            <w:r>
              <w:rPr>
                <w:b/>
                <w:bCs/>
              </w:rPr>
              <w:t>）</w:t>
            </w:r>
          </w:p>
        </w:tc>
        <w:tc>
          <w:tcPr>
            <w:tcW w:w="914" w:type="pct"/>
            <w:tcBorders>
              <w:tl2br w:val="nil"/>
              <w:tr2bl w:val="nil"/>
            </w:tcBorders>
            <w:vAlign w:val="center"/>
          </w:tcPr>
          <w:p w14:paraId="5850EAE5" w14:textId="77777777" w:rsidR="003E78AB" w:rsidRDefault="00010BF9">
            <w:pPr>
              <w:pStyle w:val="aff6"/>
              <w:topLinePunct/>
              <w:rPr>
                <w:b/>
                <w:bCs/>
              </w:rPr>
            </w:pPr>
            <w:r>
              <w:rPr>
                <w:b/>
                <w:bCs/>
              </w:rPr>
              <w:t>轻度危害（</w:t>
            </w:r>
            <w:r>
              <w:rPr>
                <w:b/>
                <w:bCs/>
              </w:rPr>
              <w:t>P4</w:t>
            </w:r>
            <w:r>
              <w:rPr>
                <w:b/>
                <w:bCs/>
              </w:rPr>
              <w:t>）</w:t>
            </w:r>
          </w:p>
        </w:tc>
      </w:tr>
      <w:tr w:rsidR="003E78AB" w14:paraId="455044CF" w14:textId="77777777">
        <w:trPr>
          <w:trHeight w:val="340"/>
          <w:jc w:val="center"/>
        </w:trPr>
        <w:tc>
          <w:tcPr>
            <w:tcW w:w="1347" w:type="pct"/>
            <w:tcBorders>
              <w:tl2br w:val="nil"/>
              <w:tr2bl w:val="nil"/>
            </w:tcBorders>
            <w:vAlign w:val="center"/>
          </w:tcPr>
          <w:p w14:paraId="2782EA92" w14:textId="77777777" w:rsidR="003E78AB" w:rsidRDefault="00010BF9">
            <w:pPr>
              <w:pStyle w:val="aff6"/>
              <w:topLinePunct/>
            </w:pPr>
            <w:r>
              <w:t>环境高度敏感区（</w:t>
            </w:r>
            <w:r>
              <w:t>E1</w:t>
            </w:r>
            <w:r>
              <w:t>）</w:t>
            </w:r>
          </w:p>
        </w:tc>
        <w:tc>
          <w:tcPr>
            <w:tcW w:w="912" w:type="pct"/>
            <w:tcBorders>
              <w:tl2br w:val="nil"/>
              <w:tr2bl w:val="nil"/>
            </w:tcBorders>
            <w:vAlign w:val="center"/>
          </w:tcPr>
          <w:p w14:paraId="646D9E15" w14:textId="77777777" w:rsidR="003E78AB" w:rsidRDefault="00010BF9">
            <w:pPr>
              <w:pStyle w:val="aff6"/>
              <w:topLinePunct/>
            </w:pPr>
            <w:r>
              <w:t>Ⅳ+</w:t>
            </w:r>
          </w:p>
        </w:tc>
        <w:tc>
          <w:tcPr>
            <w:tcW w:w="913" w:type="pct"/>
            <w:tcBorders>
              <w:tl2br w:val="nil"/>
              <w:tr2bl w:val="nil"/>
            </w:tcBorders>
            <w:vAlign w:val="center"/>
          </w:tcPr>
          <w:p w14:paraId="5C566A90" w14:textId="77777777" w:rsidR="003E78AB" w:rsidRDefault="00010BF9">
            <w:pPr>
              <w:pStyle w:val="aff6"/>
              <w:topLinePunct/>
            </w:pPr>
            <w:r>
              <w:t>Ⅳ</w:t>
            </w:r>
          </w:p>
        </w:tc>
        <w:tc>
          <w:tcPr>
            <w:tcW w:w="912" w:type="pct"/>
            <w:tcBorders>
              <w:tl2br w:val="nil"/>
              <w:tr2bl w:val="nil"/>
            </w:tcBorders>
            <w:vAlign w:val="center"/>
          </w:tcPr>
          <w:p w14:paraId="7A42F578" w14:textId="77777777" w:rsidR="003E78AB" w:rsidRDefault="00010BF9">
            <w:pPr>
              <w:pStyle w:val="aff6"/>
              <w:topLinePunct/>
            </w:pPr>
            <w:r>
              <w:t>Ⅲ</w:t>
            </w:r>
          </w:p>
        </w:tc>
        <w:tc>
          <w:tcPr>
            <w:tcW w:w="914" w:type="pct"/>
            <w:tcBorders>
              <w:tl2br w:val="nil"/>
              <w:tr2bl w:val="nil"/>
            </w:tcBorders>
            <w:vAlign w:val="center"/>
          </w:tcPr>
          <w:p w14:paraId="75CFF0A8" w14:textId="77777777" w:rsidR="003E78AB" w:rsidRDefault="00010BF9">
            <w:pPr>
              <w:pStyle w:val="aff6"/>
              <w:topLinePunct/>
            </w:pPr>
            <w:r>
              <w:t>Ⅲ</w:t>
            </w:r>
          </w:p>
        </w:tc>
      </w:tr>
      <w:tr w:rsidR="003E78AB" w14:paraId="089273A9" w14:textId="77777777">
        <w:trPr>
          <w:trHeight w:val="340"/>
          <w:jc w:val="center"/>
        </w:trPr>
        <w:tc>
          <w:tcPr>
            <w:tcW w:w="1347" w:type="pct"/>
            <w:tcBorders>
              <w:tl2br w:val="nil"/>
              <w:tr2bl w:val="nil"/>
            </w:tcBorders>
            <w:vAlign w:val="center"/>
          </w:tcPr>
          <w:p w14:paraId="336C82B4" w14:textId="77777777" w:rsidR="003E78AB" w:rsidRDefault="00010BF9">
            <w:pPr>
              <w:pStyle w:val="aff6"/>
              <w:topLinePunct/>
            </w:pPr>
            <w:r>
              <w:t>环境中度敏感区（</w:t>
            </w:r>
            <w:r>
              <w:t>E2</w:t>
            </w:r>
            <w:r>
              <w:t>）</w:t>
            </w:r>
          </w:p>
        </w:tc>
        <w:tc>
          <w:tcPr>
            <w:tcW w:w="912" w:type="pct"/>
            <w:tcBorders>
              <w:tl2br w:val="nil"/>
              <w:tr2bl w:val="nil"/>
            </w:tcBorders>
            <w:vAlign w:val="center"/>
          </w:tcPr>
          <w:p w14:paraId="64DF147F" w14:textId="77777777" w:rsidR="003E78AB" w:rsidRDefault="00010BF9">
            <w:pPr>
              <w:pStyle w:val="aff6"/>
              <w:topLinePunct/>
            </w:pPr>
            <w:r>
              <w:t>Ⅳ</w:t>
            </w:r>
          </w:p>
        </w:tc>
        <w:tc>
          <w:tcPr>
            <w:tcW w:w="913" w:type="pct"/>
            <w:tcBorders>
              <w:tl2br w:val="nil"/>
              <w:tr2bl w:val="nil"/>
            </w:tcBorders>
            <w:vAlign w:val="center"/>
          </w:tcPr>
          <w:p w14:paraId="5D22358F" w14:textId="77777777" w:rsidR="003E78AB" w:rsidRDefault="00010BF9">
            <w:pPr>
              <w:pStyle w:val="aff6"/>
              <w:topLinePunct/>
            </w:pPr>
            <w:r>
              <w:t>Ⅲ</w:t>
            </w:r>
          </w:p>
        </w:tc>
        <w:tc>
          <w:tcPr>
            <w:tcW w:w="912" w:type="pct"/>
            <w:tcBorders>
              <w:tl2br w:val="nil"/>
              <w:tr2bl w:val="nil"/>
            </w:tcBorders>
            <w:vAlign w:val="center"/>
          </w:tcPr>
          <w:p w14:paraId="046D9E99" w14:textId="77777777" w:rsidR="003E78AB" w:rsidRDefault="00010BF9">
            <w:pPr>
              <w:pStyle w:val="aff6"/>
              <w:topLinePunct/>
            </w:pPr>
            <w:r>
              <w:t>Ⅲ</w:t>
            </w:r>
          </w:p>
        </w:tc>
        <w:tc>
          <w:tcPr>
            <w:tcW w:w="914" w:type="pct"/>
            <w:tcBorders>
              <w:tl2br w:val="nil"/>
              <w:tr2bl w:val="nil"/>
            </w:tcBorders>
            <w:vAlign w:val="center"/>
          </w:tcPr>
          <w:p w14:paraId="7C69F96B" w14:textId="77777777" w:rsidR="003E78AB" w:rsidRDefault="00010BF9">
            <w:pPr>
              <w:pStyle w:val="aff6"/>
              <w:topLinePunct/>
            </w:pPr>
            <w:r>
              <w:t>Ⅱ</w:t>
            </w:r>
          </w:p>
        </w:tc>
      </w:tr>
      <w:tr w:rsidR="003E78AB" w14:paraId="5EC9D2C7" w14:textId="77777777">
        <w:trPr>
          <w:trHeight w:val="340"/>
          <w:jc w:val="center"/>
        </w:trPr>
        <w:tc>
          <w:tcPr>
            <w:tcW w:w="1347" w:type="pct"/>
            <w:tcBorders>
              <w:tl2br w:val="nil"/>
              <w:tr2bl w:val="nil"/>
            </w:tcBorders>
            <w:vAlign w:val="center"/>
          </w:tcPr>
          <w:p w14:paraId="756BE28C" w14:textId="77777777" w:rsidR="003E78AB" w:rsidRDefault="00010BF9">
            <w:pPr>
              <w:pStyle w:val="aff6"/>
              <w:topLinePunct/>
            </w:pPr>
            <w:r>
              <w:t>环境低度敏感区（</w:t>
            </w:r>
            <w:r>
              <w:t>E3</w:t>
            </w:r>
            <w:r>
              <w:t>）</w:t>
            </w:r>
          </w:p>
        </w:tc>
        <w:tc>
          <w:tcPr>
            <w:tcW w:w="912" w:type="pct"/>
            <w:tcBorders>
              <w:tl2br w:val="nil"/>
              <w:tr2bl w:val="nil"/>
            </w:tcBorders>
            <w:vAlign w:val="center"/>
          </w:tcPr>
          <w:p w14:paraId="46DF11FD" w14:textId="77777777" w:rsidR="003E78AB" w:rsidRDefault="00010BF9">
            <w:pPr>
              <w:pStyle w:val="aff6"/>
              <w:topLinePunct/>
            </w:pPr>
            <w:r>
              <w:t>Ⅲ</w:t>
            </w:r>
          </w:p>
        </w:tc>
        <w:tc>
          <w:tcPr>
            <w:tcW w:w="913" w:type="pct"/>
            <w:tcBorders>
              <w:tl2br w:val="nil"/>
              <w:tr2bl w:val="nil"/>
            </w:tcBorders>
            <w:vAlign w:val="center"/>
          </w:tcPr>
          <w:p w14:paraId="76C1FDEF" w14:textId="77777777" w:rsidR="003E78AB" w:rsidRDefault="00010BF9">
            <w:pPr>
              <w:pStyle w:val="aff6"/>
              <w:topLinePunct/>
            </w:pPr>
            <w:r>
              <w:t>Ⅲ</w:t>
            </w:r>
          </w:p>
        </w:tc>
        <w:tc>
          <w:tcPr>
            <w:tcW w:w="912" w:type="pct"/>
            <w:tcBorders>
              <w:tl2br w:val="nil"/>
              <w:tr2bl w:val="nil"/>
            </w:tcBorders>
            <w:vAlign w:val="center"/>
          </w:tcPr>
          <w:p w14:paraId="0B37B0AA" w14:textId="77777777" w:rsidR="003E78AB" w:rsidRDefault="00010BF9">
            <w:pPr>
              <w:pStyle w:val="aff6"/>
              <w:topLinePunct/>
            </w:pPr>
            <w:r>
              <w:t>Ⅱ</w:t>
            </w:r>
          </w:p>
        </w:tc>
        <w:tc>
          <w:tcPr>
            <w:tcW w:w="914" w:type="pct"/>
            <w:tcBorders>
              <w:tl2br w:val="nil"/>
              <w:tr2bl w:val="nil"/>
            </w:tcBorders>
            <w:vAlign w:val="center"/>
          </w:tcPr>
          <w:p w14:paraId="72812087" w14:textId="77777777" w:rsidR="003E78AB" w:rsidRDefault="00010BF9">
            <w:pPr>
              <w:pStyle w:val="aff6"/>
              <w:topLinePunct/>
            </w:pPr>
            <w:r>
              <w:t>Ⅰ</w:t>
            </w:r>
          </w:p>
        </w:tc>
      </w:tr>
      <w:tr w:rsidR="003E78AB" w14:paraId="6B21366F" w14:textId="77777777">
        <w:trPr>
          <w:trHeight w:val="340"/>
          <w:jc w:val="center"/>
        </w:trPr>
        <w:tc>
          <w:tcPr>
            <w:tcW w:w="5000" w:type="pct"/>
            <w:gridSpan w:val="5"/>
            <w:tcBorders>
              <w:tl2br w:val="nil"/>
              <w:tr2bl w:val="nil"/>
            </w:tcBorders>
            <w:vAlign w:val="center"/>
          </w:tcPr>
          <w:p w14:paraId="7FA80052" w14:textId="77777777" w:rsidR="003E78AB" w:rsidRDefault="00010BF9">
            <w:pPr>
              <w:pStyle w:val="aff6"/>
              <w:topLinePunct/>
              <w:jc w:val="left"/>
            </w:pPr>
            <w:r>
              <w:t>注：</w:t>
            </w:r>
            <w:r>
              <w:t>Ⅳ+</w:t>
            </w:r>
            <w:r>
              <w:t>为极高环境风险。</w:t>
            </w:r>
          </w:p>
        </w:tc>
      </w:tr>
    </w:tbl>
    <w:p w14:paraId="743228D9" w14:textId="77777777" w:rsidR="003E78AB" w:rsidRDefault="00010BF9">
      <w:pPr>
        <w:ind w:firstLine="480"/>
        <w:rPr>
          <w:kern w:val="2"/>
        </w:rPr>
      </w:pPr>
      <w:r>
        <w:rPr>
          <w:kern w:val="2"/>
        </w:rPr>
        <w:t>①</w:t>
      </w:r>
      <w:r>
        <w:rPr>
          <w:kern w:val="2"/>
        </w:rPr>
        <w:t>大气环境风险潜势</w:t>
      </w:r>
    </w:p>
    <w:p w14:paraId="4355F5A8" w14:textId="77777777" w:rsidR="003E78AB" w:rsidRDefault="00010BF9">
      <w:pPr>
        <w:ind w:firstLine="480"/>
        <w:rPr>
          <w:kern w:val="2"/>
        </w:rPr>
      </w:pPr>
      <w:r>
        <w:rPr>
          <w:kern w:val="2"/>
        </w:rPr>
        <w:t>本项目危险物质及工艺系统危险性等级为</w:t>
      </w:r>
      <w:r>
        <w:rPr>
          <w:kern w:val="2"/>
        </w:rPr>
        <w:t>P3</w:t>
      </w:r>
      <w:r>
        <w:rPr>
          <w:kern w:val="2"/>
        </w:rPr>
        <w:t>，大气环境敏感程度为</w:t>
      </w:r>
      <w:r>
        <w:rPr>
          <w:kern w:val="2"/>
        </w:rPr>
        <w:t>E</w:t>
      </w:r>
      <w:r>
        <w:rPr>
          <w:rFonts w:hint="eastAsia"/>
          <w:kern w:val="2"/>
        </w:rPr>
        <w:t>2</w:t>
      </w:r>
      <w:r>
        <w:rPr>
          <w:kern w:val="2"/>
        </w:rPr>
        <w:t>，根据以上分析，建设项目大气环境风险潜势为</w:t>
      </w:r>
      <w:r>
        <w:rPr>
          <w:kern w:val="2"/>
        </w:rPr>
        <w:t>Ⅱ</w:t>
      </w:r>
      <w:r>
        <w:rPr>
          <w:rFonts w:hint="eastAsia"/>
          <w:kern w:val="2"/>
        </w:rPr>
        <w:t>I</w:t>
      </w:r>
      <w:r>
        <w:rPr>
          <w:kern w:val="2"/>
        </w:rPr>
        <w:t>。</w:t>
      </w:r>
    </w:p>
    <w:p w14:paraId="53BE0C5D" w14:textId="77777777" w:rsidR="003E78AB" w:rsidRDefault="00010BF9">
      <w:pPr>
        <w:ind w:firstLine="480"/>
        <w:rPr>
          <w:kern w:val="2"/>
        </w:rPr>
      </w:pPr>
      <w:r>
        <w:rPr>
          <w:kern w:val="2"/>
        </w:rPr>
        <w:t>②</w:t>
      </w:r>
      <w:r>
        <w:rPr>
          <w:kern w:val="2"/>
        </w:rPr>
        <w:t>地表水环境风险潜势</w:t>
      </w:r>
    </w:p>
    <w:p w14:paraId="3CED3FED" w14:textId="77777777" w:rsidR="003E78AB" w:rsidRDefault="00010BF9">
      <w:pPr>
        <w:ind w:firstLine="480"/>
        <w:rPr>
          <w:kern w:val="2"/>
        </w:rPr>
      </w:pPr>
      <w:r>
        <w:rPr>
          <w:kern w:val="2"/>
        </w:rPr>
        <w:t>本项目废水均不排入地表水体，因此，本项目不考虑风险事故泄漏危险物质对地表水体的影响。</w:t>
      </w:r>
    </w:p>
    <w:p w14:paraId="74BA2F67" w14:textId="77777777" w:rsidR="003E78AB" w:rsidRDefault="00010BF9">
      <w:pPr>
        <w:ind w:firstLine="480"/>
        <w:rPr>
          <w:kern w:val="2"/>
        </w:rPr>
      </w:pPr>
      <w:r>
        <w:rPr>
          <w:kern w:val="2"/>
        </w:rPr>
        <w:t>③</w:t>
      </w:r>
      <w:r>
        <w:rPr>
          <w:kern w:val="2"/>
        </w:rPr>
        <w:t>地下水环境风险潜势</w:t>
      </w:r>
    </w:p>
    <w:p w14:paraId="25B96720" w14:textId="77777777" w:rsidR="003E78AB" w:rsidRDefault="00010BF9">
      <w:pPr>
        <w:ind w:firstLine="480"/>
        <w:rPr>
          <w:kern w:val="2"/>
        </w:rPr>
      </w:pPr>
      <w:r>
        <w:rPr>
          <w:kern w:val="2"/>
        </w:rPr>
        <w:t>本项目危险物质及工艺系统危险性等级为</w:t>
      </w:r>
      <w:r>
        <w:rPr>
          <w:kern w:val="2"/>
        </w:rPr>
        <w:t>P3</w:t>
      </w:r>
      <w:r>
        <w:rPr>
          <w:kern w:val="2"/>
        </w:rPr>
        <w:t>，地下水环境敏感程度为</w:t>
      </w:r>
      <w:r>
        <w:rPr>
          <w:kern w:val="2"/>
        </w:rPr>
        <w:t>E2</w:t>
      </w:r>
      <w:r>
        <w:rPr>
          <w:kern w:val="2"/>
        </w:rPr>
        <w:t>，根据以上分析，建设项目地下水环境风险潜势为</w:t>
      </w:r>
      <w:r>
        <w:rPr>
          <w:kern w:val="2"/>
        </w:rPr>
        <w:t>Ⅲ</w:t>
      </w:r>
      <w:r>
        <w:rPr>
          <w:kern w:val="2"/>
        </w:rPr>
        <w:t>。</w:t>
      </w:r>
    </w:p>
    <w:p w14:paraId="54B5EEE5" w14:textId="77777777" w:rsidR="003E78AB" w:rsidRDefault="00010BF9">
      <w:pPr>
        <w:ind w:firstLine="480"/>
        <w:rPr>
          <w:kern w:val="2"/>
        </w:rPr>
      </w:pPr>
      <w:r>
        <w:rPr>
          <w:kern w:val="2"/>
        </w:rPr>
        <w:t>建设项目环境风险潜势综合等级取各要素等级的相对高值。根据</w:t>
      </w:r>
      <w:r>
        <w:rPr>
          <w:rFonts w:hint="eastAsia"/>
          <w:kern w:val="2"/>
        </w:rPr>
        <w:t>大气和地下水</w:t>
      </w:r>
      <w:r>
        <w:rPr>
          <w:kern w:val="2"/>
        </w:rPr>
        <w:t>环境要素风险潜势，建设项目环境风险潜势综合等级为</w:t>
      </w:r>
      <w:r>
        <w:rPr>
          <w:kern w:val="2"/>
        </w:rPr>
        <w:t>Ⅲ</w:t>
      </w:r>
      <w:r>
        <w:rPr>
          <w:kern w:val="2"/>
        </w:rPr>
        <w:t>。</w:t>
      </w:r>
    </w:p>
    <w:p w14:paraId="629AB0D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.2.4</w:t>
      </w:r>
      <w:r>
        <w:rPr>
          <w:rFonts w:cs="Times New Roman"/>
          <w:sz w:val="28"/>
          <w:szCs w:val="28"/>
        </w:rPr>
        <w:t>环境风险评价等级</w:t>
      </w:r>
    </w:p>
    <w:p w14:paraId="637F064A" w14:textId="77777777" w:rsidR="003E78AB" w:rsidRDefault="00010BF9">
      <w:pPr>
        <w:ind w:firstLine="480"/>
        <w:rPr>
          <w:kern w:val="2"/>
        </w:rPr>
      </w:pPr>
      <w:r>
        <w:rPr>
          <w:kern w:val="2"/>
        </w:rPr>
        <w:t>根据《建设项目环境风险评价技术导则》（</w:t>
      </w:r>
      <w:r>
        <w:rPr>
          <w:kern w:val="2"/>
        </w:rPr>
        <w:t>HJ169-2018</w:t>
      </w:r>
      <w:r>
        <w:rPr>
          <w:kern w:val="2"/>
        </w:rPr>
        <w:t>）可知，环境风险评价工作等级划分为一级、二级、三级、简单分析。根据建设项目涉及的风险物质及工艺系统潜在危险性和所在地的环境敏感性确定环境风险潜势，按照表</w:t>
      </w:r>
      <w:r>
        <w:rPr>
          <w:rFonts w:hint="eastAsia"/>
          <w:kern w:val="2"/>
        </w:rPr>
        <w:t>6</w:t>
      </w:r>
      <w:r>
        <w:rPr>
          <w:kern w:val="2"/>
        </w:rPr>
        <w:t>-11</w:t>
      </w:r>
      <w:r>
        <w:rPr>
          <w:kern w:val="2"/>
        </w:rPr>
        <w:t>确定评价工作等级。风险潜势为</w:t>
      </w:r>
      <w:r>
        <w:rPr>
          <w:kern w:val="2"/>
        </w:rPr>
        <w:t>Ⅳ</w:t>
      </w:r>
      <w:r>
        <w:rPr>
          <w:kern w:val="2"/>
        </w:rPr>
        <w:t>及以上，进行一级评价；风险潜势为</w:t>
      </w:r>
      <w:r>
        <w:rPr>
          <w:kern w:val="2"/>
        </w:rPr>
        <w:t>Ⅲ</w:t>
      </w:r>
      <w:r>
        <w:rPr>
          <w:kern w:val="2"/>
        </w:rPr>
        <w:t>，进行二级评价；风险潜势为</w:t>
      </w:r>
      <w:r>
        <w:rPr>
          <w:kern w:val="2"/>
        </w:rPr>
        <w:t>Ⅱ</w:t>
      </w:r>
      <w:r>
        <w:rPr>
          <w:kern w:val="2"/>
        </w:rPr>
        <w:t>，进行三级评价；风险潜势为</w:t>
      </w:r>
      <w:r>
        <w:rPr>
          <w:kern w:val="2"/>
        </w:rPr>
        <w:t>Ⅰ</w:t>
      </w:r>
      <w:r>
        <w:rPr>
          <w:kern w:val="2"/>
        </w:rPr>
        <w:t>，可开展简单分析。</w:t>
      </w:r>
    </w:p>
    <w:p w14:paraId="1B212B16" w14:textId="77777777" w:rsidR="003E78AB" w:rsidRDefault="00010BF9">
      <w:pPr>
        <w:pStyle w:val="a"/>
        <w:spacing w:before="120"/>
        <w:ind w:left="425" w:hanging="425"/>
      </w:pPr>
      <w:r>
        <w:t>评价</w:t>
      </w:r>
      <w:r>
        <w:t>工作等级划分表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687"/>
        <w:gridCol w:w="1687"/>
        <w:gridCol w:w="1687"/>
        <w:gridCol w:w="1688"/>
      </w:tblGrid>
      <w:tr w:rsidR="003E78AB" w14:paraId="718231DF" w14:textId="77777777">
        <w:trPr>
          <w:trHeight w:val="340"/>
          <w:jc w:val="center"/>
        </w:trPr>
        <w:tc>
          <w:tcPr>
            <w:tcW w:w="1687" w:type="dxa"/>
            <w:vAlign w:val="center"/>
          </w:tcPr>
          <w:p w14:paraId="627EBB8A" w14:textId="77777777" w:rsidR="003E78AB" w:rsidRDefault="00010BF9">
            <w:pPr>
              <w:pStyle w:val="aff6"/>
              <w:topLinePunct/>
              <w:rPr>
                <w:b/>
                <w:bCs/>
              </w:rPr>
            </w:pPr>
            <w:r>
              <w:rPr>
                <w:b/>
                <w:bCs/>
              </w:rPr>
              <w:t>环境风险潜势</w:t>
            </w:r>
          </w:p>
        </w:tc>
        <w:tc>
          <w:tcPr>
            <w:tcW w:w="1687" w:type="dxa"/>
            <w:vAlign w:val="center"/>
          </w:tcPr>
          <w:p w14:paraId="32ED8117" w14:textId="77777777" w:rsidR="003E78AB" w:rsidRDefault="00010BF9">
            <w:pPr>
              <w:pStyle w:val="aff6"/>
              <w:topLinePunct/>
              <w:rPr>
                <w:b/>
                <w:bCs/>
              </w:rPr>
            </w:pPr>
            <w:r>
              <w:rPr>
                <w:b/>
                <w:bCs/>
              </w:rPr>
              <w:t>Ⅳ</w:t>
            </w:r>
            <w:r>
              <w:rPr>
                <w:b/>
                <w:bCs/>
              </w:rPr>
              <w:t>、</w:t>
            </w:r>
            <w:r>
              <w:rPr>
                <w:b/>
                <w:bCs/>
              </w:rPr>
              <w:t>Ⅳ+</w:t>
            </w:r>
          </w:p>
        </w:tc>
        <w:tc>
          <w:tcPr>
            <w:tcW w:w="1687" w:type="dxa"/>
            <w:vAlign w:val="center"/>
          </w:tcPr>
          <w:p w14:paraId="5C7E0EAB" w14:textId="77777777" w:rsidR="003E78AB" w:rsidRDefault="00010BF9">
            <w:pPr>
              <w:pStyle w:val="aff6"/>
              <w:topLinePunct/>
              <w:rPr>
                <w:b/>
                <w:bCs/>
              </w:rPr>
            </w:pPr>
            <w:r>
              <w:rPr>
                <w:b/>
                <w:bCs/>
              </w:rPr>
              <w:t>Ⅲ</w:t>
            </w:r>
          </w:p>
        </w:tc>
        <w:tc>
          <w:tcPr>
            <w:tcW w:w="1687" w:type="dxa"/>
            <w:vAlign w:val="center"/>
          </w:tcPr>
          <w:p w14:paraId="6B05A29D" w14:textId="77777777" w:rsidR="003E78AB" w:rsidRDefault="00010BF9">
            <w:pPr>
              <w:pStyle w:val="aff6"/>
              <w:topLinePunct/>
              <w:rPr>
                <w:b/>
                <w:bCs/>
              </w:rPr>
            </w:pPr>
            <w:r>
              <w:rPr>
                <w:b/>
                <w:bCs/>
              </w:rPr>
              <w:t>Ⅱ</w:t>
            </w:r>
          </w:p>
        </w:tc>
        <w:tc>
          <w:tcPr>
            <w:tcW w:w="1688" w:type="dxa"/>
            <w:vAlign w:val="center"/>
          </w:tcPr>
          <w:p w14:paraId="523C61D6" w14:textId="77777777" w:rsidR="003E78AB" w:rsidRDefault="00010BF9">
            <w:pPr>
              <w:pStyle w:val="aff6"/>
              <w:topLinePunct/>
              <w:rPr>
                <w:b/>
                <w:bCs/>
              </w:rPr>
            </w:pPr>
            <w:r>
              <w:rPr>
                <w:b/>
                <w:bCs/>
              </w:rPr>
              <w:t>Ⅰ</w:t>
            </w:r>
          </w:p>
        </w:tc>
      </w:tr>
      <w:tr w:rsidR="003E78AB" w14:paraId="7F39D0AF" w14:textId="77777777">
        <w:trPr>
          <w:trHeight w:val="340"/>
          <w:jc w:val="center"/>
        </w:trPr>
        <w:tc>
          <w:tcPr>
            <w:tcW w:w="1687" w:type="dxa"/>
            <w:vAlign w:val="center"/>
          </w:tcPr>
          <w:p w14:paraId="2AC01DC4" w14:textId="77777777" w:rsidR="003E78AB" w:rsidRDefault="00010BF9">
            <w:pPr>
              <w:pStyle w:val="aff6"/>
              <w:topLinePunct/>
            </w:pPr>
            <w:r>
              <w:t>评价工作等级</w:t>
            </w:r>
          </w:p>
        </w:tc>
        <w:tc>
          <w:tcPr>
            <w:tcW w:w="1687" w:type="dxa"/>
            <w:vAlign w:val="center"/>
          </w:tcPr>
          <w:p w14:paraId="2742B575" w14:textId="77777777" w:rsidR="003E78AB" w:rsidRDefault="00010BF9">
            <w:pPr>
              <w:pStyle w:val="aff6"/>
              <w:topLinePunct/>
            </w:pPr>
            <w:r>
              <w:t>一</w:t>
            </w:r>
          </w:p>
        </w:tc>
        <w:tc>
          <w:tcPr>
            <w:tcW w:w="1687" w:type="dxa"/>
            <w:vAlign w:val="center"/>
          </w:tcPr>
          <w:p w14:paraId="45380765" w14:textId="77777777" w:rsidR="003E78AB" w:rsidRDefault="00010BF9">
            <w:pPr>
              <w:pStyle w:val="aff6"/>
              <w:topLinePunct/>
            </w:pPr>
            <w:r>
              <w:t>二</w:t>
            </w:r>
          </w:p>
        </w:tc>
        <w:tc>
          <w:tcPr>
            <w:tcW w:w="1687" w:type="dxa"/>
            <w:vAlign w:val="center"/>
          </w:tcPr>
          <w:p w14:paraId="118088E2" w14:textId="77777777" w:rsidR="003E78AB" w:rsidRDefault="00010BF9">
            <w:pPr>
              <w:pStyle w:val="aff6"/>
              <w:topLinePunct/>
            </w:pPr>
            <w:r>
              <w:t>三</w:t>
            </w:r>
          </w:p>
        </w:tc>
        <w:tc>
          <w:tcPr>
            <w:tcW w:w="1688" w:type="dxa"/>
            <w:vAlign w:val="center"/>
          </w:tcPr>
          <w:p w14:paraId="0B0FFBC1" w14:textId="77777777" w:rsidR="003E78AB" w:rsidRDefault="00010BF9">
            <w:pPr>
              <w:pStyle w:val="aff6"/>
              <w:topLinePunct/>
            </w:pPr>
            <w:r>
              <w:t>简单分析</w:t>
            </w:r>
            <w:r>
              <w:rPr>
                <w:vertAlign w:val="superscript"/>
              </w:rPr>
              <w:t>a</w:t>
            </w:r>
          </w:p>
        </w:tc>
      </w:tr>
      <w:tr w:rsidR="003E78AB" w14:paraId="0D19D186" w14:textId="77777777">
        <w:trPr>
          <w:trHeight w:val="340"/>
          <w:jc w:val="center"/>
        </w:trPr>
        <w:tc>
          <w:tcPr>
            <w:tcW w:w="8436" w:type="dxa"/>
            <w:gridSpan w:val="5"/>
            <w:vAlign w:val="center"/>
          </w:tcPr>
          <w:p w14:paraId="6807C4E7" w14:textId="77777777" w:rsidR="003E78AB" w:rsidRDefault="00010BF9">
            <w:pPr>
              <w:pStyle w:val="aff6"/>
              <w:topLinePunct/>
              <w:jc w:val="left"/>
            </w:pPr>
            <w:r>
              <w:t>a</w:t>
            </w:r>
            <w:r>
              <w:t>是相对于详细评价工作内容而言，在描述危险物质、环境影响途径、环境危害后果、风险防范措施等方面给出定性的说明。</w:t>
            </w:r>
          </w:p>
        </w:tc>
      </w:tr>
    </w:tbl>
    <w:p w14:paraId="3287C1F8" w14:textId="77777777" w:rsidR="003E78AB" w:rsidRDefault="00010BF9">
      <w:pPr>
        <w:ind w:firstLine="480"/>
        <w:rPr>
          <w:bCs/>
          <w:kern w:val="2"/>
          <w:szCs w:val="22"/>
        </w:rPr>
      </w:pPr>
      <w:r>
        <w:rPr>
          <w:bCs/>
          <w:kern w:val="2"/>
          <w:szCs w:val="22"/>
        </w:rPr>
        <w:t>拟建项目各要素评价工作等级判定如下：</w:t>
      </w:r>
    </w:p>
    <w:p w14:paraId="1D291B17" w14:textId="77777777" w:rsidR="003E78AB" w:rsidRDefault="00010BF9">
      <w:pPr>
        <w:ind w:firstLine="480"/>
        <w:jc w:val="left"/>
        <w:rPr>
          <w:bCs/>
          <w:kern w:val="2"/>
          <w:szCs w:val="22"/>
        </w:rPr>
      </w:pPr>
      <w:r>
        <w:rPr>
          <w:bCs/>
          <w:kern w:val="2"/>
          <w:szCs w:val="22"/>
        </w:rPr>
        <w:t>（</w:t>
      </w:r>
      <w:r>
        <w:rPr>
          <w:bCs/>
          <w:kern w:val="2"/>
          <w:szCs w:val="22"/>
        </w:rPr>
        <w:t>1</w:t>
      </w:r>
      <w:r>
        <w:rPr>
          <w:bCs/>
          <w:kern w:val="2"/>
          <w:szCs w:val="22"/>
        </w:rPr>
        <w:t>）大气环境风险潜势为</w:t>
      </w:r>
      <w:r>
        <w:rPr>
          <w:kern w:val="2"/>
          <w:szCs w:val="22"/>
        </w:rPr>
        <w:t>Ⅱ</w:t>
      </w:r>
      <w:r>
        <w:rPr>
          <w:rFonts w:hint="eastAsia"/>
          <w:kern w:val="2"/>
          <w:szCs w:val="22"/>
        </w:rPr>
        <w:t>I</w:t>
      </w:r>
      <w:r>
        <w:rPr>
          <w:bCs/>
          <w:kern w:val="2"/>
          <w:szCs w:val="22"/>
        </w:rPr>
        <w:t>，评价等级为</w:t>
      </w:r>
      <w:r>
        <w:rPr>
          <w:rFonts w:hint="eastAsia"/>
          <w:bCs/>
          <w:kern w:val="2"/>
          <w:szCs w:val="22"/>
        </w:rPr>
        <w:t>二</w:t>
      </w:r>
      <w:r>
        <w:rPr>
          <w:bCs/>
          <w:kern w:val="2"/>
          <w:szCs w:val="22"/>
        </w:rPr>
        <w:t>级。</w:t>
      </w:r>
    </w:p>
    <w:p w14:paraId="4D010C95" w14:textId="77777777" w:rsidR="003E78AB" w:rsidRDefault="00010BF9">
      <w:pPr>
        <w:ind w:firstLine="480"/>
        <w:rPr>
          <w:bCs/>
          <w:kern w:val="2"/>
          <w:szCs w:val="22"/>
        </w:rPr>
      </w:pPr>
      <w:r>
        <w:rPr>
          <w:bCs/>
          <w:kern w:val="2"/>
          <w:szCs w:val="22"/>
        </w:rPr>
        <w:t>（</w:t>
      </w:r>
      <w:r>
        <w:rPr>
          <w:bCs/>
          <w:kern w:val="2"/>
          <w:szCs w:val="22"/>
        </w:rPr>
        <w:t>2</w:t>
      </w:r>
      <w:r>
        <w:rPr>
          <w:bCs/>
          <w:kern w:val="2"/>
          <w:szCs w:val="22"/>
        </w:rPr>
        <w:t>）地下水环境风险潜势为</w:t>
      </w:r>
      <w:r>
        <w:rPr>
          <w:bCs/>
          <w:kern w:val="2"/>
          <w:szCs w:val="22"/>
        </w:rPr>
        <w:t>Ⅲ</w:t>
      </w:r>
      <w:r>
        <w:rPr>
          <w:bCs/>
          <w:kern w:val="2"/>
          <w:szCs w:val="22"/>
        </w:rPr>
        <w:t>，评价等级为二级。</w:t>
      </w:r>
    </w:p>
    <w:p w14:paraId="3C4C980E" w14:textId="77777777" w:rsidR="003E78AB" w:rsidRDefault="00010BF9">
      <w:pPr>
        <w:ind w:firstLine="480"/>
        <w:rPr>
          <w:bCs/>
          <w:kern w:val="2"/>
          <w:szCs w:val="22"/>
        </w:rPr>
      </w:pPr>
      <w:r>
        <w:rPr>
          <w:bCs/>
          <w:kern w:val="2"/>
          <w:szCs w:val="22"/>
        </w:rPr>
        <w:t>故本次评价项目整体按照环境风险二级评价要求进行。</w:t>
      </w:r>
    </w:p>
    <w:p w14:paraId="61722873" w14:textId="77777777" w:rsidR="003E78AB" w:rsidRDefault="00010BF9">
      <w:pPr>
        <w:pStyle w:val="24"/>
        <w:keepNext w:val="0"/>
        <w:keepLines w:val="0"/>
        <w:topLinePunct/>
        <w:spacing w:before="120"/>
        <w:rPr>
          <w:rFonts w:cs="Times New Roman"/>
        </w:rPr>
      </w:pPr>
      <w:bookmarkStart w:id="426" w:name="_Toc20421"/>
      <w:r>
        <w:rPr>
          <w:rFonts w:cs="Times New Roman" w:hint="eastAsia"/>
        </w:rPr>
        <w:t>6.3</w:t>
      </w:r>
      <w:r>
        <w:rPr>
          <w:rFonts w:cs="Times New Roman"/>
        </w:rPr>
        <w:t>环境风险识别</w:t>
      </w:r>
      <w:bookmarkEnd w:id="426"/>
    </w:p>
    <w:p w14:paraId="7386BC09"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.3.1</w:t>
      </w:r>
      <w:r>
        <w:rPr>
          <w:rFonts w:cs="Times New Roman"/>
          <w:sz w:val="28"/>
          <w:szCs w:val="28"/>
        </w:rPr>
        <w:t>物质危险性识别</w:t>
      </w:r>
    </w:p>
    <w:p w14:paraId="12E89391" w14:textId="77777777" w:rsidR="003E78AB" w:rsidRDefault="00010BF9">
      <w:pPr>
        <w:ind w:firstLine="480"/>
        <w:rPr>
          <w:kern w:val="2"/>
        </w:rPr>
      </w:pPr>
      <w:r>
        <w:rPr>
          <w:kern w:val="2"/>
        </w:rPr>
        <w:t>（</w:t>
      </w:r>
      <w:r>
        <w:rPr>
          <w:kern w:val="2"/>
        </w:rPr>
        <w:t>1</w:t>
      </w:r>
      <w:r>
        <w:rPr>
          <w:kern w:val="2"/>
        </w:rPr>
        <w:t>）危险物质识别</w:t>
      </w:r>
    </w:p>
    <w:p w14:paraId="7F71E389" w14:textId="77777777" w:rsidR="003E78AB" w:rsidRDefault="00010BF9">
      <w:pPr>
        <w:ind w:firstLine="480"/>
        <w:rPr>
          <w:kern w:val="2"/>
        </w:rPr>
      </w:pPr>
      <w:r>
        <w:rPr>
          <w:kern w:val="2"/>
        </w:rPr>
        <w:t>物质危险性识别，包括主要原辅材料、燃料、中间产品、副产品、最终产品、污染物、火灾和爆炸伴生</w:t>
      </w:r>
      <w:r>
        <w:rPr>
          <w:kern w:val="2"/>
        </w:rPr>
        <w:t>/</w:t>
      </w:r>
      <w:r>
        <w:rPr>
          <w:kern w:val="2"/>
        </w:rPr>
        <w:t>次生物等。根据《建设项目环境风险评价技术导则》</w:t>
      </w:r>
      <w:r>
        <w:rPr>
          <w:rFonts w:hint="eastAsia"/>
          <w:kern w:val="2"/>
        </w:rPr>
        <w:t>（</w:t>
      </w:r>
      <w:r>
        <w:rPr>
          <w:kern w:val="2"/>
        </w:rPr>
        <w:t>HJ169-2018</w:t>
      </w:r>
      <w:r>
        <w:rPr>
          <w:rFonts w:hint="eastAsia"/>
          <w:kern w:val="2"/>
        </w:rPr>
        <w:t>）</w:t>
      </w:r>
      <w:r>
        <w:rPr>
          <w:kern w:val="2"/>
        </w:rPr>
        <w:t>附录</w:t>
      </w:r>
      <w:r>
        <w:rPr>
          <w:kern w:val="2"/>
        </w:rPr>
        <w:t>B</w:t>
      </w:r>
      <w:r>
        <w:rPr>
          <w:kern w:val="2"/>
        </w:rPr>
        <w:t>，本项目重点关注的危险物质见</w:t>
      </w:r>
      <w:r>
        <w:rPr>
          <w:kern w:val="2"/>
        </w:rPr>
        <w:fldChar w:fldCharType="begin"/>
      </w:r>
      <w:r>
        <w:rPr>
          <w:kern w:val="2"/>
        </w:rPr>
        <w:instrText xml:space="preserve"> REF _Ref28662 \r \h </w:instrText>
      </w:r>
      <w:r>
        <w:rPr>
          <w:kern w:val="2"/>
        </w:rPr>
      </w:r>
      <w:r>
        <w:rPr>
          <w:kern w:val="2"/>
        </w:rPr>
        <w:fldChar w:fldCharType="separate"/>
      </w:r>
      <w:r>
        <w:rPr>
          <w:kern w:val="2"/>
        </w:rPr>
        <w:t>表</w:t>
      </w:r>
      <w:r>
        <w:rPr>
          <w:kern w:val="2"/>
        </w:rPr>
        <w:t>6-12</w:t>
      </w:r>
      <w:r>
        <w:rPr>
          <w:kern w:val="2"/>
        </w:rPr>
        <w:fldChar w:fldCharType="end"/>
      </w:r>
      <w:r>
        <w:rPr>
          <w:kern w:val="2"/>
        </w:rPr>
        <w:t>。</w:t>
      </w:r>
    </w:p>
    <w:p w14:paraId="4F32F202" w14:textId="77777777" w:rsidR="003E78AB" w:rsidRDefault="00010BF9">
      <w:pPr>
        <w:pStyle w:val="a"/>
        <w:spacing w:before="120"/>
        <w:ind w:left="425" w:hanging="425"/>
      </w:pPr>
      <w:bookmarkStart w:id="427" w:name="_Ref28662"/>
      <w:r>
        <w:t>本项目重点关注的涉及风险物质一览表</w:t>
      </w:r>
      <w:bookmarkEnd w:id="427"/>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641"/>
        <w:gridCol w:w="1464"/>
        <w:gridCol w:w="2866"/>
      </w:tblGrid>
      <w:tr w:rsidR="003E78AB" w14:paraId="25C2293B" w14:textId="77777777">
        <w:trPr>
          <w:trHeight w:val="340"/>
          <w:tblHeader/>
        </w:trPr>
        <w:tc>
          <w:tcPr>
            <w:tcW w:w="2457" w:type="pct"/>
            <w:gridSpan w:val="2"/>
            <w:tcBorders>
              <w:tl2br w:val="nil"/>
              <w:tr2bl w:val="nil"/>
            </w:tcBorders>
            <w:vAlign w:val="center"/>
          </w:tcPr>
          <w:p w14:paraId="707B1EA6" w14:textId="77777777" w:rsidR="003E78AB" w:rsidRDefault="00010BF9">
            <w:pPr>
              <w:pStyle w:val="aff6"/>
              <w:topLinePunct/>
              <w:rPr>
                <w:b/>
                <w:bCs/>
                <w:lang w:val="zh-CN"/>
              </w:rPr>
            </w:pPr>
            <w:r>
              <w:rPr>
                <w:b/>
                <w:bCs/>
                <w:lang w:val="zh-CN"/>
              </w:rPr>
              <w:t>本项目涉及的重点关注危险物质名称</w:t>
            </w:r>
          </w:p>
        </w:tc>
        <w:tc>
          <w:tcPr>
            <w:tcW w:w="860" w:type="pct"/>
            <w:tcBorders>
              <w:tl2br w:val="nil"/>
              <w:tr2bl w:val="nil"/>
            </w:tcBorders>
            <w:vAlign w:val="center"/>
          </w:tcPr>
          <w:p w14:paraId="3E53C409" w14:textId="77777777" w:rsidR="003E78AB" w:rsidRDefault="00010BF9">
            <w:pPr>
              <w:pStyle w:val="aff6"/>
              <w:topLinePunct/>
              <w:rPr>
                <w:b/>
                <w:bCs/>
                <w:lang w:val="zh-CN"/>
              </w:rPr>
            </w:pPr>
            <w:r>
              <w:rPr>
                <w:b/>
                <w:bCs/>
                <w:lang w:val="zh-CN"/>
              </w:rPr>
              <w:t>CAS</w:t>
            </w:r>
            <w:r>
              <w:rPr>
                <w:b/>
                <w:bCs/>
                <w:lang w:val="zh-CN"/>
              </w:rPr>
              <w:t>号</w:t>
            </w:r>
          </w:p>
        </w:tc>
        <w:tc>
          <w:tcPr>
            <w:tcW w:w="1681" w:type="pct"/>
            <w:tcBorders>
              <w:tl2br w:val="nil"/>
              <w:tr2bl w:val="nil"/>
            </w:tcBorders>
            <w:vAlign w:val="center"/>
          </w:tcPr>
          <w:p w14:paraId="2E945F51" w14:textId="77777777" w:rsidR="003E78AB" w:rsidRDefault="00010BF9">
            <w:pPr>
              <w:pStyle w:val="aff6"/>
              <w:topLinePunct/>
              <w:rPr>
                <w:b/>
                <w:bCs/>
                <w:lang w:val="zh-CN"/>
              </w:rPr>
            </w:pPr>
            <w:r>
              <w:rPr>
                <w:b/>
                <w:bCs/>
                <w:lang w:val="zh-CN"/>
              </w:rPr>
              <w:t>对应风险导则附录</w:t>
            </w:r>
            <w:r>
              <w:rPr>
                <w:b/>
                <w:bCs/>
                <w:lang w:val="zh-CN"/>
              </w:rPr>
              <w:t>B</w:t>
            </w:r>
            <w:r>
              <w:rPr>
                <w:b/>
                <w:bCs/>
                <w:lang w:val="zh-CN"/>
              </w:rPr>
              <w:t>表</w:t>
            </w:r>
            <w:r>
              <w:rPr>
                <w:b/>
                <w:bCs/>
                <w:lang w:val="zh-CN"/>
              </w:rPr>
              <w:t>B.1</w:t>
            </w:r>
          </w:p>
          <w:p w14:paraId="0D197C4C" w14:textId="77777777" w:rsidR="003E78AB" w:rsidRDefault="00010BF9">
            <w:pPr>
              <w:pStyle w:val="aff6"/>
              <w:topLinePunct/>
              <w:rPr>
                <w:b/>
                <w:bCs/>
                <w:lang w:val="zh-CN"/>
              </w:rPr>
            </w:pPr>
            <w:r>
              <w:rPr>
                <w:b/>
                <w:bCs/>
                <w:lang w:val="zh-CN"/>
              </w:rPr>
              <w:t>物质名称及临界量</w:t>
            </w:r>
          </w:p>
        </w:tc>
      </w:tr>
      <w:tr w:rsidR="003E78AB" w14:paraId="039006B4" w14:textId="77777777">
        <w:trPr>
          <w:trHeight w:val="340"/>
        </w:trPr>
        <w:tc>
          <w:tcPr>
            <w:tcW w:w="906" w:type="pct"/>
            <w:vMerge w:val="restart"/>
            <w:tcBorders>
              <w:tl2br w:val="nil"/>
              <w:tr2bl w:val="nil"/>
            </w:tcBorders>
            <w:vAlign w:val="center"/>
          </w:tcPr>
          <w:p w14:paraId="24B48A10" w14:textId="77777777" w:rsidR="003E78AB" w:rsidRDefault="00010BF9">
            <w:pPr>
              <w:pStyle w:val="aff6"/>
              <w:topLinePunct/>
              <w:rPr>
                <w:lang w:val="zh-CN"/>
              </w:rPr>
            </w:pPr>
            <w:r>
              <w:rPr>
                <w:lang w:val="zh-CN"/>
              </w:rPr>
              <w:t>原辅材料</w:t>
            </w:r>
          </w:p>
        </w:tc>
        <w:tc>
          <w:tcPr>
            <w:tcW w:w="1551" w:type="pct"/>
            <w:tcBorders>
              <w:tl2br w:val="nil"/>
              <w:tr2bl w:val="nil"/>
            </w:tcBorders>
            <w:vAlign w:val="bottom"/>
          </w:tcPr>
          <w:p w14:paraId="3D21422F" w14:textId="77777777" w:rsidR="003E78AB" w:rsidRDefault="00010BF9">
            <w:pPr>
              <w:pStyle w:val="aff6"/>
              <w:topLinePunct/>
              <w:rPr>
                <w:lang w:val="zh-CN"/>
              </w:rPr>
            </w:pPr>
            <w:r>
              <w:rPr>
                <w:rFonts w:hint="eastAsia"/>
              </w:rPr>
              <w:t>五氧化二钒</w:t>
            </w:r>
          </w:p>
        </w:tc>
        <w:tc>
          <w:tcPr>
            <w:tcW w:w="860" w:type="pct"/>
            <w:tcBorders>
              <w:tl2br w:val="nil"/>
              <w:tr2bl w:val="nil"/>
            </w:tcBorders>
            <w:vAlign w:val="center"/>
          </w:tcPr>
          <w:p w14:paraId="3FF4CBA8" w14:textId="77777777" w:rsidR="003E78AB" w:rsidRDefault="00010BF9">
            <w:pPr>
              <w:pStyle w:val="aff6"/>
              <w:topLinePunct/>
              <w:rPr>
                <w:lang w:val="zh-CN"/>
              </w:rPr>
            </w:pPr>
            <w:r>
              <w:rPr>
                <w:rFonts w:hint="eastAsia"/>
              </w:rPr>
              <w:t>1314-62-1</w:t>
            </w:r>
          </w:p>
        </w:tc>
        <w:tc>
          <w:tcPr>
            <w:tcW w:w="1681" w:type="pct"/>
            <w:tcBorders>
              <w:tl2br w:val="nil"/>
              <w:tr2bl w:val="nil"/>
            </w:tcBorders>
            <w:vAlign w:val="bottom"/>
          </w:tcPr>
          <w:p w14:paraId="2D35C9EB" w14:textId="77777777" w:rsidR="003E78AB" w:rsidRDefault="00010BF9">
            <w:pPr>
              <w:spacing w:line="360" w:lineRule="exact"/>
              <w:ind w:firstLineChars="0" w:firstLine="0"/>
              <w:jc w:val="center"/>
              <w:textAlignment w:val="baseline"/>
              <w:rPr>
                <w:lang w:val="zh-CN"/>
              </w:rPr>
            </w:pPr>
            <w:r>
              <w:rPr>
                <w:kern w:val="2"/>
                <w:sz w:val="21"/>
                <w:szCs w:val="21"/>
              </w:rPr>
              <w:t>0.25</w:t>
            </w:r>
          </w:p>
        </w:tc>
      </w:tr>
      <w:tr w:rsidR="003E78AB" w14:paraId="3E16F33C" w14:textId="77777777">
        <w:trPr>
          <w:trHeight w:val="340"/>
        </w:trPr>
        <w:tc>
          <w:tcPr>
            <w:tcW w:w="906" w:type="pct"/>
            <w:vMerge/>
            <w:tcBorders>
              <w:tl2br w:val="nil"/>
              <w:tr2bl w:val="nil"/>
            </w:tcBorders>
            <w:vAlign w:val="center"/>
          </w:tcPr>
          <w:p w14:paraId="475DE20F" w14:textId="77777777" w:rsidR="003E78AB" w:rsidRDefault="003E78AB">
            <w:pPr>
              <w:pStyle w:val="aff6"/>
              <w:topLinePunct/>
              <w:rPr>
                <w:lang w:val="zh-CN"/>
              </w:rPr>
            </w:pPr>
          </w:p>
        </w:tc>
        <w:tc>
          <w:tcPr>
            <w:tcW w:w="1551" w:type="pct"/>
            <w:tcBorders>
              <w:tl2br w:val="nil"/>
              <w:tr2bl w:val="nil"/>
            </w:tcBorders>
            <w:vAlign w:val="bottom"/>
          </w:tcPr>
          <w:p w14:paraId="77B63BE7" w14:textId="77777777" w:rsidR="003E78AB" w:rsidRDefault="00010BF9">
            <w:pPr>
              <w:pStyle w:val="aff6"/>
              <w:topLinePunct/>
              <w:rPr>
                <w:lang w:val="zh-CN"/>
              </w:rPr>
            </w:pPr>
            <w:r>
              <w:rPr>
                <w:rFonts w:hint="eastAsia"/>
              </w:rPr>
              <w:t>浓硫酸</w:t>
            </w:r>
          </w:p>
        </w:tc>
        <w:tc>
          <w:tcPr>
            <w:tcW w:w="860" w:type="pct"/>
            <w:tcBorders>
              <w:tl2br w:val="nil"/>
              <w:tr2bl w:val="nil"/>
            </w:tcBorders>
            <w:vAlign w:val="center"/>
          </w:tcPr>
          <w:p w14:paraId="252500AF" w14:textId="77777777" w:rsidR="003E78AB" w:rsidRDefault="00010BF9">
            <w:pPr>
              <w:pStyle w:val="aff6"/>
              <w:topLinePunct/>
              <w:rPr>
                <w:lang w:val="zh-CN"/>
              </w:rPr>
            </w:pPr>
            <w:r>
              <w:rPr>
                <w:rFonts w:hint="eastAsia"/>
              </w:rPr>
              <w:t>108-24-7</w:t>
            </w:r>
          </w:p>
        </w:tc>
        <w:tc>
          <w:tcPr>
            <w:tcW w:w="1681" w:type="pct"/>
            <w:tcBorders>
              <w:tl2br w:val="nil"/>
              <w:tr2bl w:val="nil"/>
            </w:tcBorders>
            <w:vAlign w:val="bottom"/>
          </w:tcPr>
          <w:p w14:paraId="1798057B" w14:textId="77777777" w:rsidR="003E78AB" w:rsidRDefault="00010BF9">
            <w:pPr>
              <w:spacing w:line="360" w:lineRule="exact"/>
              <w:ind w:firstLineChars="0" w:firstLine="0"/>
              <w:jc w:val="center"/>
              <w:textAlignment w:val="baseline"/>
              <w:rPr>
                <w:lang w:val="zh-CN"/>
              </w:rPr>
            </w:pPr>
            <w:r>
              <w:rPr>
                <w:kern w:val="2"/>
                <w:sz w:val="21"/>
                <w:szCs w:val="21"/>
              </w:rPr>
              <w:t>10</w:t>
            </w:r>
          </w:p>
        </w:tc>
      </w:tr>
      <w:tr w:rsidR="003E78AB" w14:paraId="2A7170DF" w14:textId="77777777">
        <w:trPr>
          <w:trHeight w:val="340"/>
        </w:trPr>
        <w:tc>
          <w:tcPr>
            <w:tcW w:w="906" w:type="pct"/>
            <w:vMerge/>
            <w:tcBorders>
              <w:tl2br w:val="nil"/>
              <w:tr2bl w:val="nil"/>
            </w:tcBorders>
            <w:vAlign w:val="center"/>
          </w:tcPr>
          <w:p w14:paraId="117E1D71" w14:textId="77777777" w:rsidR="003E78AB" w:rsidRDefault="003E78AB">
            <w:pPr>
              <w:pStyle w:val="aff6"/>
              <w:topLinePunct/>
              <w:rPr>
                <w:lang w:val="zh-CN"/>
              </w:rPr>
            </w:pPr>
          </w:p>
        </w:tc>
        <w:tc>
          <w:tcPr>
            <w:tcW w:w="1551" w:type="pct"/>
            <w:tcBorders>
              <w:tl2br w:val="nil"/>
              <w:tr2bl w:val="nil"/>
            </w:tcBorders>
            <w:vAlign w:val="bottom"/>
          </w:tcPr>
          <w:p w14:paraId="2E3C26F5" w14:textId="77777777" w:rsidR="003E78AB" w:rsidRDefault="00010BF9">
            <w:pPr>
              <w:pStyle w:val="aff6"/>
              <w:topLinePunct/>
              <w:rPr>
                <w:lang w:val="zh-CN"/>
              </w:rPr>
            </w:pPr>
            <w:r>
              <w:rPr>
                <w:rFonts w:hint="eastAsia"/>
              </w:rPr>
              <w:t>磷酸</w:t>
            </w:r>
          </w:p>
        </w:tc>
        <w:tc>
          <w:tcPr>
            <w:tcW w:w="860" w:type="pct"/>
            <w:tcBorders>
              <w:tl2br w:val="nil"/>
              <w:tr2bl w:val="nil"/>
            </w:tcBorders>
            <w:vAlign w:val="center"/>
          </w:tcPr>
          <w:p w14:paraId="54AF539A" w14:textId="77777777" w:rsidR="003E78AB" w:rsidRDefault="00010BF9">
            <w:pPr>
              <w:pStyle w:val="aff6"/>
              <w:topLinePunct/>
              <w:rPr>
                <w:lang w:val="zh-CN"/>
              </w:rPr>
            </w:pPr>
            <w:r>
              <w:rPr>
                <w:rFonts w:hint="eastAsia"/>
              </w:rPr>
              <w:t>7664-38-2</w:t>
            </w:r>
          </w:p>
        </w:tc>
        <w:tc>
          <w:tcPr>
            <w:tcW w:w="1681" w:type="pct"/>
            <w:tcBorders>
              <w:tl2br w:val="nil"/>
              <w:tr2bl w:val="nil"/>
            </w:tcBorders>
            <w:vAlign w:val="bottom"/>
          </w:tcPr>
          <w:p w14:paraId="6527298A" w14:textId="77777777" w:rsidR="003E78AB" w:rsidRDefault="00010BF9">
            <w:pPr>
              <w:spacing w:line="360" w:lineRule="exact"/>
              <w:ind w:firstLineChars="0" w:firstLine="0"/>
              <w:jc w:val="center"/>
              <w:textAlignment w:val="baseline"/>
              <w:rPr>
                <w:lang w:val="zh-CN"/>
              </w:rPr>
            </w:pPr>
            <w:r>
              <w:rPr>
                <w:kern w:val="2"/>
                <w:sz w:val="21"/>
                <w:szCs w:val="21"/>
              </w:rPr>
              <w:t>10</w:t>
            </w:r>
          </w:p>
        </w:tc>
      </w:tr>
      <w:tr w:rsidR="003E78AB" w14:paraId="73684ABB" w14:textId="77777777">
        <w:trPr>
          <w:trHeight w:val="340"/>
        </w:trPr>
        <w:tc>
          <w:tcPr>
            <w:tcW w:w="906" w:type="pct"/>
            <w:vMerge/>
            <w:tcBorders>
              <w:tl2br w:val="nil"/>
              <w:tr2bl w:val="nil"/>
            </w:tcBorders>
            <w:vAlign w:val="center"/>
          </w:tcPr>
          <w:p w14:paraId="5D03D767" w14:textId="77777777" w:rsidR="003E78AB" w:rsidRDefault="003E78AB">
            <w:pPr>
              <w:pStyle w:val="aff6"/>
              <w:topLinePunct/>
              <w:rPr>
                <w:lang w:val="zh-CN"/>
              </w:rPr>
            </w:pPr>
          </w:p>
        </w:tc>
        <w:tc>
          <w:tcPr>
            <w:tcW w:w="1551" w:type="pct"/>
            <w:tcBorders>
              <w:tl2br w:val="nil"/>
              <w:tr2bl w:val="nil"/>
            </w:tcBorders>
            <w:vAlign w:val="bottom"/>
          </w:tcPr>
          <w:p w14:paraId="776B73B0" w14:textId="77777777" w:rsidR="003E78AB" w:rsidRDefault="00010BF9">
            <w:pPr>
              <w:pStyle w:val="aff6"/>
              <w:topLinePunct/>
              <w:rPr>
                <w:lang w:val="zh-CN"/>
              </w:rPr>
            </w:pPr>
            <w:r>
              <w:rPr>
                <w:rFonts w:hint="eastAsia"/>
              </w:rPr>
              <w:t>二水草酸</w:t>
            </w:r>
          </w:p>
        </w:tc>
        <w:tc>
          <w:tcPr>
            <w:tcW w:w="860" w:type="pct"/>
            <w:tcBorders>
              <w:tl2br w:val="nil"/>
              <w:tr2bl w:val="nil"/>
            </w:tcBorders>
            <w:vAlign w:val="center"/>
          </w:tcPr>
          <w:p w14:paraId="70422F01" w14:textId="77777777" w:rsidR="003E78AB" w:rsidRDefault="00010BF9">
            <w:pPr>
              <w:pStyle w:val="aff6"/>
              <w:topLinePunct/>
              <w:rPr>
                <w:lang w:val="zh-CN"/>
              </w:rPr>
            </w:pPr>
            <w:r>
              <w:rPr>
                <w:rFonts w:hint="eastAsia"/>
              </w:rPr>
              <w:t>144-62-7</w:t>
            </w:r>
          </w:p>
        </w:tc>
        <w:tc>
          <w:tcPr>
            <w:tcW w:w="1681" w:type="pct"/>
            <w:tcBorders>
              <w:tl2br w:val="nil"/>
              <w:tr2bl w:val="nil"/>
            </w:tcBorders>
            <w:vAlign w:val="bottom"/>
          </w:tcPr>
          <w:p w14:paraId="3612342C" w14:textId="77777777" w:rsidR="003E78AB" w:rsidRDefault="00010BF9">
            <w:pPr>
              <w:spacing w:line="360" w:lineRule="exact"/>
              <w:ind w:firstLineChars="0" w:firstLine="0"/>
              <w:jc w:val="center"/>
              <w:textAlignment w:val="baseline"/>
              <w:rPr>
                <w:lang w:val="zh-CN"/>
              </w:rPr>
            </w:pPr>
            <w:r>
              <w:rPr>
                <w:kern w:val="2"/>
                <w:sz w:val="21"/>
                <w:szCs w:val="21"/>
              </w:rPr>
              <w:t>50</w:t>
            </w:r>
          </w:p>
        </w:tc>
      </w:tr>
      <w:tr w:rsidR="003E78AB" w14:paraId="6B50C7E4" w14:textId="77777777">
        <w:trPr>
          <w:trHeight w:val="340"/>
        </w:trPr>
        <w:tc>
          <w:tcPr>
            <w:tcW w:w="906" w:type="pct"/>
            <w:vMerge/>
            <w:tcBorders>
              <w:tl2br w:val="nil"/>
              <w:tr2bl w:val="nil"/>
            </w:tcBorders>
            <w:vAlign w:val="center"/>
          </w:tcPr>
          <w:p w14:paraId="0307E478" w14:textId="77777777" w:rsidR="003E78AB" w:rsidRDefault="003E78AB">
            <w:pPr>
              <w:pStyle w:val="aff6"/>
              <w:topLinePunct/>
              <w:rPr>
                <w:lang w:val="zh-CN"/>
              </w:rPr>
            </w:pPr>
          </w:p>
        </w:tc>
        <w:tc>
          <w:tcPr>
            <w:tcW w:w="1551" w:type="pct"/>
            <w:tcBorders>
              <w:tl2br w:val="nil"/>
              <w:tr2bl w:val="nil"/>
            </w:tcBorders>
            <w:vAlign w:val="bottom"/>
          </w:tcPr>
          <w:p w14:paraId="60D47EDF" w14:textId="77777777" w:rsidR="003E78AB" w:rsidRDefault="00010BF9">
            <w:pPr>
              <w:pStyle w:val="aff6"/>
              <w:topLinePunct/>
              <w:rPr>
                <w:b/>
                <w:bCs/>
                <w:u w:val="single"/>
              </w:rPr>
            </w:pPr>
            <w:r>
              <w:rPr>
                <w:rFonts w:hint="eastAsia"/>
                <w:b/>
                <w:bCs/>
                <w:u w:val="single"/>
              </w:rPr>
              <w:t>氢氧化钠</w:t>
            </w:r>
          </w:p>
        </w:tc>
        <w:tc>
          <w:tcPr>
            <w:tcW w:w="860" w:type="pct"/>
            <w:tcBorders>
              <w:tl2br w:val="nil"/>
              <w:tr2bl w:val="nil"/>
            </w:tcBorders>
            <w:vAlign w:val="center"/>
          </w:tcPr>
          <w:p w14:paraId="53142274" w14:textId="77777777" w:rsidR="003E78AB" w:rsidRDefault="00010BF9">
            <w:pPr>
              <w:pStyle w:val="aff6"/>
              <w:topLinePunct/>
              <w:rPr>
                <w:b/>
                <w:bCs/>
                <w:u w:val="single"/>
              </w:rPr>
            </w:pPr>
            <w:r>
              <w:rPr>
                <w:rFonts w:hint="eastAsia"/>
                <w:b/>
                <w:bCs/>
                <w:u w:val="single"/>
              </w:rPr>
              <w:t>1305-78-8</w:t>
            </w:r>
          </w:p>
        </w:tc>
        <w:tc>
          <w:tcPr>
            <w:tcW w:w="1681" w:type="pct"/>
            <w:tcBorders>
              <w:tl2br w:val="nil"/>
              <w:tr2bl w:val="nil"/>
            </w:tcBorders>
            <w:vAlign w:val="bottom"/>
          </w:tcPr>
          <w:p w14:paraId="467AAD22" w14:textId="77777777" w:rsidR="003E78AB" w:rsidRDefault="00010BF9">
            <w:pPr>
              <w:pStyle w:val="aff6"/>
              <w:topLinePunct/>
              <w:textAlignment w:val="baseline"/>
              <w:rPr>
                <w:b/>
                <w:bCs/>
                <w:u w:val="single"/>
              </w:rPr>
            </w:pPr>
            <w:r>
              <w:rPr>
                <w:rFonts w:hint="eastAsia"/>
                <w:b/>
                <w:bCs/>
                <w:u w:val="single"/>
              </w:rPr>
              <w:t>/*</w:t>
            </w:r>
          </w:p>
        </w:tc>
      </w:tr>
      <w:tr w:rsidR="003E78AB" w14:paraId="2DB32DE4" w14:textId="77777777">
        <w:trPr>
          <w:trHeight w:val="340"/>
        </w:trPr>
        <w:tc>
          <w:tcPr>
            <w:tcW w:w="906" w:type="pct"/>
            <w:vMerge/>
            <w:tcBorders>
              <w:tl2br w:val="nil"/>
              <w:tr2bl w:val="nil"/>
            </w:tcBorders>
            <w:vAlign w:val="center"/>
          </w:tcPr>
          <w:p w14:paraId="15116E2A" w14:textId="77777777" w:rsidR="003E78AB" w:rsidRDefault="003E78AB">
            <w:pPr>
              <w:pStyle w:val="aff6"/>
              <w:topLinePunct/>
              <w:rPr>
                <w:lang w:val="zh-CN"/>
              </w:rPr>
            </w:pPr>
          </w:p>
        </w:tc>
        <w:tc>
          <w:tcPr>
            <w:tcW w:w="1551" w:type="pct"/>
            <w:tcBorders>
              <w:tl2br w:val="nil"/>
              <w:tr2bl w:val="nil"/>
            </w:tcBorders>
            <w:vAlign w:val="center"/>
          </w:tcPr>
          <w:p w14:paraId="58BC104E" w14:textId="77777777" w:rsidR="003E78AB" w:rsidRDefault="00010BF9">
            <w:pPr>
              <w:pStyle w:val="aff6"/>
              <w:topLinePunct/>
              <w:rPr>
                <w:lang w:val="zh-CN"/>
              </w:rPr>
            </w:pPr>
            <w:r>
              <w:rPr>
                <w:lang w:val="zh-CN"/>
              </w:rPr>
              <w:t>天然气</w:t>
            </w:r>
          </w:p>
        </w:tc>
        <w:tc>
          <w:tcPr>
            <w:tcW w:w="860" w:type="pct"/>
            <w:tcBorders>
              <w:tl2br w:val="nil"/>
              <w:tr2bl w:val="nil"/>
            </w:tcBorders>
            <w:vAlign w:val="center"/>
          </w:tcPr>
          <w:p w14:paraId="41CA7261" w14:textId="77777777" w:rsidR="003E78AB" w:rsidRDefault="00010BF9">
            <w:pPr>
              <w:pStyle w:val="aff6"/>
              <w:topLinePunct/>
              <w:rPr>
                <w:lang w:val="zh-CN"/>
              </w:rPr>
            </w:pPr>
            <w:r>
              <w:rPr>
                <w:lang w:val="zh-CN"/>
              </w:rPr>
              <w:t>8006-14-2</w:t>
            </w:r>
          </w:p>
        </w:tc>
        <w:tc>
          <w:tcPr>
            <w:tcW w:w="1681" w:type="pct"/>
            <w:tcBorders>
              <w:tl2br w:val="nil"/>
              <w:tr2bl w:val="nil"/>
            </w:tcBorders>
            <w:vAlign w:val="center"/>
          </w:tcPr>
          <w:p w14:paraId="0E92B840" w14:textId="77777777" w:rsidR="003E78AB" w:rsidRDefault="00010BF9">
            <w:pPr>
              <w:pStyle w:val="aff6"/>
              <w:topLinePunct/>
              <w:rPr>
                <w:lang w:val="zh-CN"/>
              </w:rPr>
            </w:pPr>
            <w:r>
              <w:rPr>
                <w:lang w:val="zh-CN"/>
              </w:rPr>
              <w:t>10</w:t>
            </w:r>
          </w:p>
        </w:tc>
      </w:tr>
      <w:tr w:rsidR="003E78AB" w14:paraId="31A4A443" w14:textId="77777777">
        <w:trPr>
          <w:trHeight w:val="340"/>
        </w:trPr>
        <w:tc>
          <w:tcPr>
            <w:tcW w:w="906" w:type="pct"/>
            <w:tcBorders>
              <w:tl2br w:val="nil"/>
              <w:tr2bl w:val="nil"/>
            </w:tcBorders>
            <w:vAlign w:val="center"/>
          </w:tcPr>
          <w:p w14:paraId="4DF457F9" w14:textId="77777777" w:rsidR="003E78AB" w:rsidRDefault="00010BF9">
            <w:pPr>
              <w:pStyle w:val="aff6"/>
              <w:topLinePunct/>
            </w:pPr>
            <w:r>
              <w:rPr>
                <w:rFonts w:hint="eastAsia"/>
              </w:rPr>
              <w:t>产品</w:t>
            </w:r>
          </w:p>
        </w:tc>
        <w:tc>
          <w:tcPr>
            <w:tcW w:w="1551" w:type="pct"/>
            <w:tcBorders>
              <w:tl2br w:val="nil"/>
              <w:tr2bl w:val="nil"/>
            </w:tcBorders>
            <w:vAlign w:val="center"/>
          </w:tcPr>
          <w:p w14:paraId="31DFC49F" w14:textId="77777777" w:rsidR="003E78AB" w:rsidRDefault="00010BF9">
            <w:pPr>
              <w:spacing w:line="360" w:lineRule="exact"/>
              <w:ind w:firstLineChars="0" w:firstLine="0"/>
              <w:jc w:val="center"/>
              <w:rPr>
                <w:lang w:val="zh-CN"/>
              </w:rPr>
            </w:pPr>
            <w:r>
              <w:rPr>
                <w:rFonts w:hint="eastAsia"/>
                <w:kern w:val="2"/>
                <w:sz w:val="21"/>
                <w:szCs w:val="21"/>
              </w:rPr>
              <w:t>钒电解液</w:t>
            </w:r>
          </w:p>
        </w:tc>
        <w:tc>
          <w:tcPr>
            <w:tcW w:w="860" w:type="pct"/>
            <w:tcBorders>
              <w:tl2br w:val="nil"/>
              <w:tr2bl w:val="nil"/>
            </w:tcBorders>
            <w:vAlign w:val="center"/>
          </w:tcPr>
          <w:p w14:paraId="7086E771" w14:textId="77777777" w:rsidR="003E78AB" w:rsidRDefault="00010BF9">
            <w:pPr>
              <w:pStyle w:val="aff6"/>
              <w:topLinePunct/>
            </w:pPr>
            <w:r>
              <w:rPr>
                <w:rFonts w:hint="eastAsia"/>
              </w:rPr>
              <w:t>/</w:t>
            </w:r>
          </w:p>
        </w:tc>
        <w:tc>
          <w:tcPr>
            <w:tcW w:w="1681" w:type="pct"/>
            <w:tcBorders>
              <w:tl2br w:val="nil"/>
              <w:tr2bl w:val="nil"/>
            </w:tcBorders>
            <w:vAlign w:val="center"/>
          </w:tcPr>
          <w:p w14:paraId="0269D889" w14:textId="77777777" w:rsidR="003E78AB" w:rsidRDefault="00010BF9">
            <w:pPr>
              <w:pStyle w:val="aff6"/>
              <w:topLinePunct/>
            </w:pPr>
            <w:r>
              <w:rPr>
                <w:rFonts w:hint="eastAsia"/>
              </w:rPr>
              <w:t>0.25</w:t>
            </w:r>
          </w:p>
        </w:tc>
      </w:tr>
      <w:tr w:rsidR="003E78AB" w14:paraId="7EEA1349" w14:textId="77777777">
        <w:trPr>
          <w:trHeight w:val="340"/>
        </w:trPr>
        <w:tc>
          <w:tcPr>
            <w:tcW w:w="906" w:type="pct"/>
            <w:vMerge w:val="restart"/>
            <w:tcBorders>
              <w:tl2br w:val="nil"/>
              <w:tr2bl w:val="nil"/>
            </w:tcBorders>
            <w:vAlign w:val="center"/>
          </w:tcPr>
          <w:p w14:paraId="143E636E" w14:textId="77777777" w:rsidR="003E78AB" w:rsidRDefault="00010BF9">
            <w:pPr>
              <w:pStyle w:val="aff6"/>
              <w:topLinePunct/>
            </w:pPr>
            <w:r>
              <w:rPr>
                <w:rFonts w:hint="eastAsia"/>
              </w:rPr>
              <w:t>危险废物</w:t>
            </w:r>
          </w:p>
        </w:tc>
        <w:tc>
          <w:tcPr>
            <w:tcW w:w="1551" w:type="pct"/>
            <w:tcBorders>
              <w:tl2br w:val="nil"/>
              <w:tr2bl w:val="nil"/>
            </w:tcBorders>
            <w:vAlign w:val="center"/>
          </w:tcPr>
          <w:p w14:paraId="38792936" w14:textId="77777777" w:rsidR="003E78AB" w:rsidRDefault="00010BF9">
            <w:pPr>
              <w:spacing w:line="360" w:lineRule="exact"/>
              <w:ind w:firstLineChars="0" w:firstLine="0"/>
              <w:jc w:val="center"/>
            </w:pPr>
            <w:r>
              <w:rPr>
                <w:rFonts w:hint="eastAsia"/>
                <w:kern w:val="2"/>
                <w:sz w:val="21"/>
                <w:szCs w:val="21"/>
              </w:rPr>
              <w:t>含钒结晶盐</w:t>
            </w:r>
            <w:r>
              <w:rPr>
                <w:rFonts w:hint="eastAsia"/>
                <w:kern w:val="2"/>
                <w:sz w:val="21"/>
                <w:szCs w:val="21"/>
              </w:rPr>
              <w:t>*</w:t>
            </w:r>
          </w:p>
        </w:tc>
        <w:tc>
          <w:tcPr>
            <w:tcW w:w="860" w:type="pct"/>
            <w:tcBorders>
              <w:tl2br w:val="nil"/>
              <w:tr2bl w:val="nil"/>
            </w:tcBorders>
            <w:vAlign w:val="center"/>
          </w:tcPr>
          <w:p w14:paraId="1B2EC394" w14:textId="77777777" w:rsidR="003E78AB" w:rsidRDefault="00010BF9">
            <w:pPr>
              <w:pStyle w:val="aff6"/>
              <w:topLinePunct/>
            </w:pPr>
            <w:r>
              <w:rPr>
                <w:rFonts w:hint="eastAsia"/>
              </w:rPr>
              <w:t>/</w:t>
            </w:r>
          </w:p>
        </w:tc>
        <w:tc>
          <w:tcPr>
            <w:tcW w:w="1681" w:type="pct"/>
            <w:tcBorders>
              <w:tl2br w:val="nil"/>
              <w:tr2bl w:val="nil"/>
            </w:tcBorders>
            <w:vAlign w:val="center"/>
          </w:tcPr>
          <w:p w14:paraId="6C11B8C3" w14:textId="77777777" w:rsidR="003E78AB" w:rsidRDefault="00010BF9">
            <w:pPr>
              <w:pStyle w:val="aff6"/>
              <w:topLinePunct/>
            </w:pPr>
            <w:r>
              <w:rPr>
                <w:rFonts w:hint="eastAsia"/>
              </w:rPr>
              <w:t>0.25</w:t>
            </w:r>
          </w:p>
        </w:tc>
      </w:tr>
      <w:tr w:rsidR="003E78AB" w14:paraId="153B38D9" w14:textId="77777777">
        <w:trPr>
          <w:trHeight w:val="340"/>
        </w:trPr>
        <w:tc>
          <w:tcPr>
            <w:tcW w:w="906" w:type="pct"/>
            <w:vMerge/>
            <w:tcBorders>
              <w:tl2br w:val="nil"/>
              <w:tr2bl w:val="nil"/>
            </w:tcBorders>
            <w:vAlign w:val="center"/>
          </w:tcPr>
          <w:p w14:paraId="74F2E0DC" w14:textId="77777777" w:rsidR="003E78AB" w:rsidRDefault="003E78AB">
            <w:pPr>
              <w:pStyle w:val="aff6"/>
              <w:topLinePunct/>
              <w:rPr>
                <w:lang w:val="zh-CN"/>
              </w:rPr>
            </w:pPr>
          </w:p>
        </w:tc>
        <w:tc>
          <w:tcPr>
            <w:tcW w:w="1551" w:type="pct"/>
            <w:tcBorders>
              <w:tl2br w:val="nil"/>
              <w:tr2bl w:val="nil"/>
            </w:tcBorders>
            <w:vAlign w:val="center"/>
          </w:tcPr>
          <w:p w14:paraId="24A9562E" w14:textId="77777777" w:rsidR="003E78AB" w:rsidRDefault="00010BF9">
            <w:pPr>
              <w:spacing w:line="360" w:lineRule="exact"/>
              <w:ind w:firstLineChars="0" w:firstLine="0"/>
              <w:jc w:val="center"/>
              <w:rPr>
                <w:lang w:val="zh-CN"/>
              </w:rPr>
            </w:pPr>
            <w:r>
              <w:rPr>
                <w:rFonts w:hint="eastAsia"/>
                <w:kern w:val="2"/>
                <w:sz w:val="21"/>
                <w:szCs w:val="21"/>
              </w:rPr>
              <w:t>废润滑油</w:t>
            </w:r>
          </w:p>
        </w:tc>
        <w:tc>
          <w:tcPr>
            <w:tcW w:w="860" w:type="pct"/>
            <w:tcBorders>
              <w:tl2br w:val="nil"/>
              <w:tr2bl w:val="nil"/>
            </w:tcBorders>
            <w:vAlign w:val="center"/>
          </w:tcPr>
          <w:p w14:paraId="0F5BD8BD" w14:textId="77777777" w:rsidR="003E78AB" w:rsidRDefault="00010BF9">
            <w:pPr>
              <w:pStyle w:val="aff6"/>
              <w:topLinePunct/>
            </w:pPr>
            <w:r>
              <w:rPr>
                <w:rFonts w:hint="eastAsia"/>
              </w:rPr>
              <w:t>/</w:t>
            </w:r>
          </w:p>
        </w:tc>
        <w:tc>
          <w:tcPr>
            <w:tcW w:w="1681" w:type="pct"/>
            <w:tcBorders>
              <w:tl2br w:val="nil"/>
              <w:tr2bl w:val="nil"/>
            </w:tcBorders>
            <w:vAlign w:val="center"/>
          </w:tcPr>
          <w:p w14:paraId="51967CB6" w14:textId="77777777" w:rsidR="003E78AB" w:rsidRDefault="00010BF9">
            <w:pPr>
              <w:pStyle w:val="aff6"/>
              <w:topLinePunct/>
            </w:pPr>
            <w:r>
              <w:rPr>
                <w:rFonts w:hint="eastAsia"/>
              </w:rPr>
              <w:t>2500</w:t>
            </w:r>
          </w:p>
        </w:tc>
      </w:tr>
      <w:tr w:rsidR="003E78AB" w14:paraId="5CD8166E" w14:textId="77777777">
        <w:trPr>
          <w:trHeight w:val="340"/>
        </w:trPr>
        <w:tc>
          <w:tcPr>
            <w:tcW w:w="5000" w:type="pct"/>
            <w:gridSpan w:val="4"/>
            <w:tcBorders>
              <w:tl2br w:val="nil"/>
              <w:tr2bl w:val="nil"/>
            </w:tcBorders>
            <w:vAlign w:val="center"/>
          </w:tcPr>
          <w:p w14:paraId="1C00916F" w14:textId="77777777" w:rsidR="003E78AB" w:rsidRDefault="00010BF9">
            <w:pPr>
              <w:pStyle w:val="aff6"/>
              <w:topLinePunct/>
              <w:jc w:val="both"/>
            </w:pPr>
            <w:r>
              <w:rPr>
                <w:rFonts w:hint="eastAsia"/>
                <w:bCs/>
              </w:rPr>
              <w:t>*</w:t>
            </w:r>
            <w:r>
              <w:rPr>
                <w:bCs/>
              </w:rPr>
              <w:t>结晶盐属性</w:t>
            </w:r>
            <w:r>
              <w:rPr>
                <w:rFonts w:hint="eastAsia"/>
                <w:bCs/>
              </w:rPr>
              <w:t>确定</w:t>
            </w:r>
            <w:r>
              <w:rPr>
                <w:bCs/>
              </w:rPr>
              <w:t>前按危废收集处置</w:t>
            </w:r>
            <w:r>
              <w:rPr>
                <w:rFonts w:hint="eastAsia"/>
                <w:bCs/>
              </w:rPr>
              <w:t>。</w:t>
            </w:r>
          </w:p>
        </w:tc>
      </w:tr>
    </w:tbl>
    <w:p w14:paraId="68E16242" w14:textId="77777777" w:rsidR="003E78AB" w:rsidRDefault="00010BF9">
      <w:pPr>
        <w:ind w:firstLine="480"/>
        <w:rPr>
          <w:kern w:val="2"/>
        </w:rPr>
      </w:pPr>
      <w:r>
        <w:rPr>
          <w:kern w:val="2"/>
        </w:rPr>
        <w:t>（</w:t>
      </w:r>
      <w:r>
        <w:rPr>
          <w:kern w:val="2"/>
        </w:rPr>
        <w:t>2</w:t>
      </w:r>
      <w:r>
        <w:rPr>
          <w:kern w:val="2"/>
        </w:rPr>
        <w:t>）危险物质理化特性见表</w:t>
      </w:r>
      <w:r>
        <w:rPr>
          <w:rFonts w:hint="eastAsia"/>
          <w:kern w:val="2"/>
        </w:rPr>
        <w:t>6</w:t>
      </w:r>
      <w:r>
        <w:rPr>
          <w:kern w:val="2"/>
        </w:rPr>
        <w:t>-13~</w:t>
      </w:r>
      <w:r>
        <w:rPr>
          <w:rFonts w:hint="eastAsia"/>
          <w:kern w:val="2"/>
        </w:rPr>
        <w:fldChar w:fldCharType="begin"/>
      </w:r>
      <w:r>
        <w:rPr>
          <w:rFonts w:hint="eastAsia"/>
          <w:kern w:val="2"/>
        </w:rPr>
        <w:instrText xml:space="preserve"> REF _Ref6098 \r \h </w:instrText>
      </w:r>
      <w:r>
        <w:rPr>
          <w:rFonts w:hint="eastAsia"/>
          <w:kern w:val="2"/>
        </w:rPr>
      </w:r>
      <w:r>
        <w:rPr>
          <w:rFonts w:hint="eastAsia"/>
          <w:kern w:val="2"/>
        </w:rPr>
        <w:fldChar w:fldCharType="separate"/>
      </w:r>
      <w:r>
        <w:rPr>
          <w:rFonts w:hint="eastAsia"/>
          <w:kern w:val="2"/>
        </w:rPr>
        <w:t>表</w:t>
      </w:r>
      <w:r>
        <w:rPr>
          <w:rFonts w:hint="eastAsia"/>
          <w:kern w:val="2"/>
        </w:rPr>
        <w:t>6-17</w:t>
      </w:r>
      <w:r>
        <w:rPr>
          <w:rFonts w:hint="eastAsia"/>
          <w:kern w:val="2"/>
        </w:rPr>
        <w:fldChar w:fldCharType="end"/>
      </w:r>
    </w:p>
    <w:p w14:paraId="29837830" w14:textId="77777777" w:rsidR="003E78AB" w:rsidRDefault="00010BF9">
      <w:pPr>
        <w:pStyle w:val="a"/>
        <w:spacing w:before="120"/>
        <w:ind w:left="425" w:hanging="425"/>
      </w:pPr>
      <w:r>
        <w:rPr>
          <w:rFonts w:hint="eastAsia"/>
        </w:rPr>
        <w:t>五氧化二钒</w:t>
      </w:r>
      <w:r>
        <w:t>性质和危险特性一览表</w:t>
      </w:r>
    </w:p>
    <w:tbl>
      <w:tblPr>
        <w:tblStyle w:val="TableNormal"/>
        <w:tblW w:w="49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809"/>
        <w:gridCol w:w="695"/>
        <w:gridCol w:w="440"/>
        <w:gridCol w:w="1102"/>
        <w:gridCol w:w="819"/>
        <w:gridCol w:w="2423"/>
      </w:tblGrid>
      <w:tr w:rsidR="003E78AB" w14:paraId="06EF86BD" w14:textId="77777777">
        <w:trPr>
          <w:trHeight w:val="319"/>
        </w:trPr>
        <w:tc>
          <w:tcPr>
            <w:tcW w:w="614" w:type="pct"/>
            <w:vMerge w:val="restart"/>
            <w:vAlign w:val="center"/>
          </w:tcPr>
          <w:p w14:paraId="33A686BB" w14:textId="77777777" w:rsidR="003E78AB" w:rsidRDefault="00010BF9">
            <w:pPr>
              <w:pStyle w:val="aff6"/>
              <w:topLinePunct/>
            </w:pPr>
            <w:r>
              <w:t>标识</w:t>
            </w:r>
          </w:p>
        </w:tc>
        <w:tc>
          <w:tcPr>
            <w:tcW w:w="1771" w:type="pct"/>
            <w:gridSpan w:val="3"/>
            <w:vAlign w:val="center"/>
          </w:tcPr>
          <w:p w14:paraId="168B7DBE" w14:textId="77777777" w:rsidR="003E78AB" w:rsidRDefault="00010BF9">
            <w:pPr>
              <w:pStyle w:val="aff6"/>
              <w:topLinePunct/>
              <w:jc w:val="left"/>
            </w:pPr>
            <w:r>
              <w:t>中文名：五氧化二钒；钒酸酐</w:t>
            </w:r>
          </w:p>
        </w:tc>
        <w:tc>
          <w:tcPr>
            <w:tcW w:w="2613" w:type="pct"/>
            <w:gridSpan w:val="3"/>
            <w:vAlign w:val="center"/>
          </w:tcPr>
          <w:p w14:paraId="00639248" w14:textId="77777777" w:rsidR="003E78AB" w:rsidRDefault="00010BF9">
            <w:pPr>
              <w:pStyle w:val="aff6"/>
              <w:topLinePunct/>
              <w:jc w:val="left"/>
            </w:pPr>
            <w:r>
              <w:t>英文名：</w:t>
            </w:r>
            <w:r>
              <w:t>divanadiumpentaoxide</w:t>
            </w:r>
          </w:p>
        </w:tc>
      </w:tr>
      <w:tr w:rsidR="003E78AB" w14:paraId="54A5352E" w14:textId="77777777">
        <w:trPr>
          <w:trHeight w:val="304"/>
        </w:trPr>
        <w:tc>
          <w:tcPr>
            <w:tcW w:w="614" w:type="pct"/>
            <w:vMerge/>
            <w:vAlign w:val="center"/>
          </w:tcPr>
          <w:p w14:paraId="2E10A514" w14:textId="77777777" w:rsidR="003E78AB" w:rsidRDefault="003E78AB">
            <w:pPr>
              <w:pStyle w:val="aff6"/>
              <w:topLinePunct/>
            </w:pPr>
          </w:p>
        </w:tc>
        <w:tc>
          <w:tcPr>
            <w:tcW w:w="1506" w:type="pct"/>
            <w:gridSpan w:val="2"/>
            <w:vAlign w:val="center"/>
          </w:tcPr>
          <w:p w14:paraId="4F99BCC2" w14:textId="77777777" w:rsidR="003E78AB" w:rsidRDefault="00010BF9">
            <w:pPr>
              <w:pStyle w:val="aff6"/>
              <w:topLinePunct/>
              <w:jc w:val="left"/>
            </w:pPr>
            <w:r>
              <w:t>分子式：</w:t>
            </w:r>
            <w:r>
              <w:t>V</w:t>
            </w:r>
            <w:r>
              <w:rPr>
                <w:vertAlign w:val="subscript"/>
              </w:rPr>
              <w:t>2</w:t>
            </w:r>
            <w:r>
              <w:t>O</w:t>
            </w:r>
            <w:r>
              <w:rPr>
                <w:vertAlign w:val="subscript"/>
              </w:rPr>
              <w:t>5</w:t>
            </w:r>
          </w:p>
        </w:tc>
        <w:tc>
          <w:tcPr>
            <w:tcW w:w="1421" w:type="pct"/>
            <w:gridSpan w:val="3"/>
            <w:vAlign w:val="center"/>
          </w:tcPr>
          <w:p w14:paraId="57EB3A86" w14:textId="77777777" w:rsidR="003E78AB" w:rsidRDefault="00010BF9">
            <w:pPr>
              <w:pStyle w:val="aff6"/>
              <w:topLinePunct/>
              <w:jc w:val="left"/>
            </w:pPr>
            <w:r>
              <w:t>分子量：</w:t>
            </w:r>
            <w:r>
              <w:t>181.880</w:t>
            </w:r>
          </w:p>
        </w:tc>
        <w:tc>
          <w:tcPr>
            <w:tcW w:w="1456" w:type="pct"/>
            <w:vAlign w:val="center"/>
          </w:tcPr>
          <w:p w14:paraId="76311951" w14:textId="77777777" w:rsidR="003E78AB" w:rsidRDefault="00010BF9">
            <w:pPr>
              <w:pStyle w:val="aff6"/>
              <w:topLinePunct/>
              <w:jc w:val="left"/>
            </w:pPr>
            <w:r>
              <w:t>CAS</w:t>
            </w:r>
            <w:r>
              <w:t>号：</w:t>
            </w:r>
            <w:r>
              <w:t>1314-62-1</w:t>
            </w:r>
          </w:p>
        </w:tc>
      </w:tr>
      <w:tr w:rsidR="003E78AB" w14:paraId="20E81F4F" w14:textId="77777777">
        <w:trPr>
          <w:trHeight w:val="304"/>
        </w:trPr>
        <w:tc>
          <w:tcPr>
            <w:tcW w:w="614" w:type="pct"/>
            <w:vMerge/>
            <w:vAlign w:val="center"/>
          </w:tcPr>
          <w:p w14:paraId="60F6102F" w14:textId="77777777" w:rsidR="003E78AB" w:rsidRDefault="003E78AB">
            <w:pPr>
              <w:pStyle w:val="aff6"/>
              <w:topLinePunct/>
            </w:pPr>
          </w:p>
        </w:tc>
        <w:tc>
          <w:tcPr>
            <w:tcW w:w="4385" w:type="pct"/>
            <w:gridSpan w:val="6"/>
            <w:vAlign w:val="center"/>
          </w:tcPr>
          <w:p w14:paraId="5AD7B92F" w14:textId="77777777" w:rsidR="003E78AB" w:rsidRDefault="00010BF9">
            <w:pPr>
              <w:pStyle w:val="aff6"/>
              <w:topLinePunct/>
              <w:jc w:val="left"/>
            </w:pPr>
            <w:r>
              <w:t>危险货物编号：</w:t>
            </w:r>
            <w:r>
              <w:t>61028</w:t>
            </w:r>
          </w:p>
        </w:tc>
      </w:tr>
      <w:tr w:rsidR="003E78AB" w14:paraId="10491BC6" w14:textId="77777777">
        <w:trPr>
          <w:trHeight w:val="307"/>
        </w:trPr>
        <w:tc>
          <w:tcPr>
            <w:tcW w:w="614" w:type="pct"/>
            <w:vMerge w:val="restart"/>
            <w:vAlign w:val="center"/>
          </w:tcPr>
          <w:p w14:paraId="0405EE5F" w14:textId="77777777" w:rsidR="003E78AB" w:rsidRDefault="00010BF9">
            <w:pPr>
              <w:pStyle w:val="aff6"/>
              <w:topLinePunct/>
            </w:pPr>
            <w:r>
              <w:t>理化性质</w:t>
            </w:r>
          </w:p>
        </w:tc>
        <w:tc>
          <w:tcPr>
            <w:tcW w:w="4385" w:type="pct"/>
            <w:gridSpan w:val="6"/>
            <w:vAlign w:val="center"/>
          </w:tcPr>
          <w:p w14:paraId="72966FBA" w14:textId="77777777" w:rsidR="003E78AB" w:rsidRDefault="00010BF9">
            <w:pPr>
              <w:pStyle w:val="aff6"/>
              <w:topLinePunct/>
              <w:jc w:val="left"/>
            </w:pPr>
            <w:r>
              <w:t>性状：黄色至生锈</w:t>
            </w:r>
            <w:r>
              <w:t>-</w:t>
            </w:r>
            <w:r>
              <w:t>棕色片状</w:t>
            </w:r>
          </w:p>
        </w:tc>
      </w:tr>
      <w:tr w:rsidR="003E78AB" w14:paraId="03F3BB39" w14:textId="77777777">
        <w:trPr>
          <w:trHeight w:val="304"/>
        </w:trPr>
        <w:tc>
          <w:tcPr>
            <w:tcW w:w="614" w:type="pct"/>
            <w:vMerge/>
            <w:vAlign w:val="center"/>
          </w:tcPr>
          <w:p w14:paraId="5FBB2F4E" w14:textId="77777777" w:rsidR="003E78AB" w:rsidRDefault="003E78AB">
            <w:pPr>
              <w:pStyle w:val="aff6"/>
              <w:topLinePunct/>
            </w:pPr>
          </w:p>
        </w:tc>
        <w:tc>
          <w:tcPr>
            <w:tcW w:w="4385" w:type="pct"/>
            <w:gridSpan w:val="6"/>
            <w:vAlign w:val="center"/>
          </w:tcPr>
          <w:p w14:paraId="2B129BE7" w14:textId="77777777" w:rsidR="003E78AB" w:rsidRDefault="00010BF9">
            <w:pPr>
              <w:pStyle w:val="aff6"/>
              <w:topLinePunct/>
              <w:jc w:val="left"/>
            </w:pPr>
            <w:r>
              <w:t>溶解性：溶于浓酸、碱，微溶于水，不溶于无水乙醇</w:t>
            </w:r>
          </w:p>
        </w:tc>
      </w:tr>
      <w:tr w:rsidR="003E78AB" w14:paraId="58592F03" w14:textId="77777777">
        <w:trPr>
          <w:trHeight w:val="304"/>
        </w:trPr>
        <w:tc>
          <w:tcPr>
            <w:tcW w:w="614" w:type="pct"/>
            <w:vMerge/>
            <w:vAlign w:val="center"/>
          </w:tcPr>
          <w:p w14:paraId="38622611" w14:textId="77777777" w:rsidR="003E78AB" w:rsidRDefault="003E78AB">
            <w:pPr>
              <w:pStyle w:val="aff6"/>
              <w:topLinePunct/>
            </w:pPr>
          </w:p>
        </w:tc>
        <w:tc>
          <w:tcPr>
            <w:tcW w:w="1088" w:type="pct"/>
            <w:vAlign w:val="center"/>
          </w:tcPr>
          <w:p w14:paraId="285B2209" w14:textId="77777777" w:rsidR="003E78AB" w:rsidRDefault="00010BF9">
            <w:pPr>
              <w:pStyle w:val="aff6"/>
              <w:topLinePunct/>
              <w:jc w:val="left"/>
            </w:pPr>
            <w:r>
              <w:t>熔点</w:t>
            </w:r>
            <w:r>
              <w:t>(℃)</w:t>
            </w:r>
            <w:r>
              <w:t>：</w:t>
            </w:r>
            <w:r>
              <w:t>690</w:t>
            </w:r>
          </w:p>
        </w:tc>
        <w:tc>
          <w:tcPr>
            <w:tcW w:w="1346" w:type="pct"/>
            <w:gridSpan w:val="3"/>
            <w:vAlign w:val="center"/>
          </w:tcPr>
          <w:p w14:paraId="4B356E2A" w14:textId="77777777" w:rsidR="003E78AB" w:rsidRDefault="00010BF9">
            <w:pPr>
              <w:pStyle w:val="aff6"/>
              <w:topLinePunct/>
              <w:jc w:val="left"/>
            </w:pPr>
            <w:r>
              <w:t>沸点</w:t>
            </w:r>
            <w:r>
              <w:t>(℃)</w:t>
            </w:r>
            <w:r>
              <w:t>：</w:t>
            </w:r>
            <w:r>
              <w:t>1750</w:t>
            </w:r>
          </w:p>
        </w:tc>
        <w:tc>
          <w:tcPr>
            <w:tcW w:w="1950" w:type="pct"/>
            <w:gridSpan w:val="2"/>
            <w:vAlign w:val="center"/>
          </w:tcPr>
          <w:p w14:paraId="5BD01241" w14:textId="77777777" w:rsidR="003E78AB" w:rsidRDefault="00010BF9">
            <w:pPr>
              <w:pStyle w:val="aff6"/>
              <w:topLinePunct/>
              <w:jc w:val="left"/>
            </w:pPr>
            <w:r>
              <w:t>相对密度</w:t>
            </w:r>
            <w:r>
              <w:t>(</w:t>
            </w:r>
            <w:r>
              <w:t>水＝</w:t>
            </w:r>
            <w:r>
              <w:t>1)</w:t>
            </w:r>
            <w:r>
              <w:t>：</w:t>
            </w:r>
            <w:r>
              <w:t>3.357</w:t>
            </w:r>
          </w:p>
        </w:tc>
      </w:tr>
      <w:tr w:rsidR="003E78AB" w14:paraId="5A233F3E" w14:textId="77777777">
        <w:trPr>
          <w:trHeight w:val="304"/>
        </w:trPr>
        <w:tc>
          <w:tcPr>
            <w:tcW w:w="614" w:type="pct"/>
            <w:vMerge/>
            <w:vAlign w:val="center"/>
          </w:tcPr>
          <w:p w14:paraId="706D7967" w14:textId="77777777" w:rsidR="003E78AB" w:rsidRDefault="003E78AB">
            <w:pPr>
              <w:pStyle w:val="aff6"/>
              <w:topLinePunct/>
            </w:pPr>
          </w:p>
        </w:tc>
        <w:tc>
          <w:tcPr>
            <w:tcW w:w="1088" w:type="pct"/>
            <w:vAlign w:val="center"/>
          </w:tcPr>
          <w:p w14:paraId="32D7532A" w14:textId="77777777" w:rsidR="003E78AB" w:rsidRDefault="00010BF9">
            <w:pPr>
              <w:pStyle w:val="aff6"/>
              <w:topLinePunct/>
              <w:jc w:val="left"/>
            </w:pPr>
            <w:r>
              <w:t>临界温度</w:t>
            </w:r>
            <w:r>
              <w:t>(℃)</w:t>
            </w:r>
            <w:r>
              <w:t>：</w:t>
            </w:r>
            <w:r>
              <w:t>/</w:t>
            </w:r>
          </w:p>
        </w:tc>
        <w:tc>
          <w:tcPr>
            <w:tcW w:w="1346" w:type="pct"/>
            <w:gridSpan w:val="3"/>
            <w:vAlign w:val="center"/>
          </w:tcPr>
          <w:p w14:paraId="099E37B8" w14:textId="77777777" w:rsidR="003E78AB" w:rsidRDefault="00010BF9">
            <w:pPr>
              <w:pStyle w:val="aff6"/>
              <w:topLinePunct/>
              <w:jc w:val="left"/>
            </w:pPr>
            <w:r>
              <w:t>临界压力</w:t>
            </w:r>
            <w:r>
              <w:t>(MPa)</w:t>
            </w:r>
            <w:r>
              <w:t>：</w:t>
            </w:r>
            <w:r>
              <w:t>/</w:t>
            </w:r>
          </w:p>
        </w:tc>
        <w:tc>
          <w:tcPr>
            <w:tcW w:w="1950" w:type="pct"/>
            <w:gridSpan w:val="2"/>
            <w:vAlign w:val="center"/>
          </w:tcPr>
          <w:p w14:paraId="15CC4FEF" w14:textId="77777777" w:rsidR="003E78AB" w:rsidRDefault="00010BF9">
            <w:pPr>
              <w:pStyle w:val="aff6"/>
              <w:topLinePunct/>
              <w:jc w:val="left"/>
            </w:pPr>
            <w:r>
              <w:t>相对密度</w:t>
            </w:r>
            <w:r>
              <w:t>(</w:t>
            </w:r>
            <w:r>
              <w:t>空气＝</w:t>
            </w:r>
            <w:r>
              <w:t>1)</w:t>
            </w:r>
            <w:r>
              <w:t>：</w:t>
            </w:r>
            <w:r>
              <w:t>/</w:t>
            </w:r>
          </w:p>
        </w:tc>
      </w:tr>
      <w:tr w:rsidR="003E78AB" w14:paraId="4A40675F" w14:textId="77777777">
        <w:trPr>
          <w:trHeight w:val="304"/>
        </w:trPr>
        <w:tc>
          <w:tcPr>
            <w:tcW w:w="614" w:type="pct"/>
            <w:vMerge/>
            <w:vAlign w:val="center"/>
          </w:tcPr>
          <w:p w14:paraId="153E08F0" w14:textId="77777777" w:rsidR="003E78AB" w:rsidRDefault="003E78AB">
            <w:pPr>
              <w:pStyle w:val="aff6"/>
              <w:topLinePunct/>
            </w:pPr>
          </w:p>
        </w:tc>
        <w:tc>
          <w:tcPr>
            <w:tcW w:w="1088" w:type="pct"/>
            <w:vAlign w:val="center"/>
          </w:tcPr>
          <w:p w14:paraId="07E9A9BF" w14:textId="77777777" w:rsidR="003E78AB" w:rsidRDefault="00010BF9">
            <w:pPr>
              <w:pStyle w:val="aff6"/>
              <w:topLinePunct/>
              <w:jc w:val="left"/>
            </w:pPr>
            <w:r>
              <w:t>燃烧热</w:t>
            </w:r>
            <w:r>
              <w:t>(KJ/mol)</w:t>
            </w:r>
            <w:r>
              <w:t>：</w:t>
            </w:r>
          </w:p>
        </w:tc>
        <w:tc>
          <w:tcPr>
            <w:tcW w:w="1346" w:type="pct"/>
            <w:gridSpan w:val="3"/>
            <w:vAlign w:val="center"/>
          </w:tcPr>
          <w:p w14:paraId="2A21AD99" w14:textId="77777777" w:rsidR="003E78AB" w:rsidRDefault="00010BF9">
            <w:pPr>
              <w:pStyle w:val="aff6"/>
              <w:topLinePunct/>
              <w:jc w:val="left"/>
            </w:pPr>
            <w:r>
              <w:t>最小点火能</w:t>
            </w:r>
            <w:r>
              <w:t>(mJ)</w:t>
            </w:r>
            <w:r>
              <w:t>：</w:t>
            </w:r>
            <w:r>
              <w:t>/</w:t>
            </w:r>
          </w:p>
        </w:tc>
        <w:tc>
          <w:tcPr>
            <w:tcW w:w="1950" w:type="pct"/>
            <w:gridSpan w:val="2"/>
            <w:vAlign w:val="center"/>
          </w:tcPr>
          <w:p w14:paraId="690D9CAC" w14:textId="77777777" w:rsidR="003E78AB" w:rsidRDefault="00010BF9">
            <w:pPr>
              <w:pStyle w:val="aff6"/>
              <w:topLinePunct/>
              <w:jc w:val="left"/>
            </w:pPr>
            <w:r>
              <w:t>饱和蒸汽压</w:t>
            </w:r>
            <w:r>
              <w:t>(KPa)</w:t>
            </w:r>
            <w:r>
              <w:t>：</w:t>
            </w:r>
            <w:r>
              <w:t>/</w:t>
            </w:r>
          </w:p>
        </w:tc>
      </w:tr>
      <w:tr w:rsidR="003E78AB" w14:paraId="7237B7AA" w14:textId="77777777">
        <w:trPr>
          <w:trHeight w:val="305"/>
        </w:trPr>
        <w:tc>
          <w:tcPr>
            <w:tcW w:w="614" w:type="pct"/>
            <w:vMerge w:val="restart"/>
            <w:vAlign w:val="center"/>
          </w:tcPr>
          <w:p w14:paraId="23CA8F24" w14:textId="77777777" w:rsidR="003E78AB" w:rsidRDefault="00010BF9">
            <w:pPr>
              <w:pStyle w:val="aff6"/>
              <w:topLinePunct/>
            </w:pPr>
            <w:r>
              <w:t>燃烧爆炸危险性</w:t>
            </w:r>
          </w:p>
        </w:tc>
        <w:tc>
          <w:tcPr>
            <w:tcW w:w="1088" w:type="pct"/>
            <w:vAlign w:val="center"/>
          </w:tcPr>
          <w:p w14:paraId="2CE21393" w14:textId="77777777" w:rsidR="003E78AB" w:rsidRDefault="00010BF9">
            <w:pPr>
              <w:pStyle w:val="aff6"/>
              <w:topLinePunct/>
              <w:jc w:val="left"/>
            </w:pPr>
            <w:r>
              <w:t>燃烧性：</w:t>
            </w:r>
            <w:r>
              <w:t>/</w:t>
            </w:r>
          </w:p>
        </w:tc>
        <w:tc>
          <w:tcPr>
            <w:tcW w:w="3296" w:type="pct"/>
            <w:gridSpan w:val="5"/>
            <w:vAlign w:val="center"/>
          </w:tcPr>
          <w:p w14:paraId="7815AA6B" w14:textId="77777777" w:rsidR="003E78AB" w:rsidRDefault="00010BF9">
            <w:pPr>
              <w:pStyle w:val="aff6"/>
              <w:topLinePunct/>
              <w:jc w:val="left"/>
            </w:pPr>
            <w:r>
              <w:t>燃烧分解产物：</w:t>
            </w:r>
            <w:r>
              <w:t>/</w:t>
            </w:r>
            <w:r>
              <w:t>。</w:t>
            </w:r>
          </w:p>
        </w:tc>
      </w:tr>
      <w:tr w:rsidR="003E78AB" w14:paraId="40024388" w14:textId="77777777">
        <w:trPr>
          <w:trHeight w:val="307"/>
        </w:trPr>
        <w:tc>
          <w:tcPr>
            <w:tcW w:w="614" w:type="pct"/>
            <w:vMerge/>
            <w:vAlign w:val="center"/>
          </w:tcPr>
          <w:p w14:paraId="5E8DEB11" w14:textId="77777777" w:rsidR="003E78AB" w:rsidRDefault="003E78AB">
            <w:pPr>
              <w:pStyle w:val="aff6"/>
              <w:topLinePunct/>
            </w:pPr>
          </w:p>
        </w:tc>
        <w:tc>
          <w:tcPr>
            <w:tcW w:w="1088" w:type="pct"/>
            <w:vAlign w:val="center"/>
          </w:tcPr>
          <w:p w14:paraId="057FE430" w14:textId="77777777" w:rsidR="003E78AB" w:rsidRDefault="00010BF9">
            <w:pPr>
              <w:pStyle w:val="aff6"/>
              <w:topLinePunct/>
              <w:jc w:val="left"/>
            </w:pPr>
            <w:r>
              <w:t>闪点</w:t>
            </w:r>
            <w:r>
              <w:t>(℃)</w:t>
            </w:r>
            <w:r>
              <w:t>：</w:t>
            </w:r>
            <w:r>
              <w:t>/</w:t>
            </w:r>
          </w:p>
        </w:tc>
        <w:tc>
          <w:tcPr>
            <w:tcW w:w="3296" w:type="pct"/>
            <w:gridSpan w:val="5"/>
            <w:vAlign w:val="center"/>
          </w:tcPr>
          <w:p w14:paraId="1661C654" w14:textId="77777777" w:rsidR="003E78AB" w:rsidRDefault="00010BF9">
            <w:pPr>
              <w:pStyle w:val="aff6"/>
              <w:topLinePunct/>
              <w:jc w:val="left"/>
            </w:pPr>
            <w:r>
              <w:t>聚合危害：</w:t>
            </w:r>
            <w:r>
              <w:t>/</w:t>
            </w:r>
          </w:p>
        </w:tc>
      </w:tr>
      <w:tr w:rsidR="003E78AB" w14:paraId="122CC5E5" w14:textId="77777777">
        <w:trPr>
          <w:trHeight w:val="304"/>
        </w:trPr>
        <w:tc>
          <w:tcPr>
            <w:tcW w:w="614" w:type="pct"/>
            <w:vMerge/>
            <w:vAlign w:val="center"/>
          </w:tcPr>
          <w:p w14:paraId="31E58908" w14:textId="77777777" w:rsidR="003E78AB" w:rsidRDefault="003E78AB">
            <w:pPr>
              <w:pStyle w:val="aff6"/>
              <w:topLinePunct/>
            </w:pPr>
          </w:p>
        </w:tc>
        <w:tc>
          <w:tcPr>
            <w:tcW w:w="1088" w:type="pct"/>
            <w:vAlign w:val="center"/>
          </w:tcPr>
          <w:p w14:paraId="4DC6BC77" w14:textId="77777777" w:rsidR="003E78AB" w:rsidRDefault="00010BF9">
            <w:pPr>
              <w:pStyle w:val="aff6"/>
              <w:topLinePunct/>
              <w:jc w:val="left"/>
            </w:pPr>
            <w:r>
              <w:t>爆炸下限</w:t>
            </w:r>
            <w:r>
              <w:t>(</w:t>
            </w:r>
            <w:r>
              <w:t>％</w:t>
            </w:r>
            <w:r>
              <w:t>)</w:t>
            </w:r>
            <w:r>
              <w:t>：</w:t>
            </w:r>
            <w:r>
              <w:t>/</w:t>
            </w:r>
          </w:p>
        </w:tc>
        <w:tc>
          <w:tcPr>
            <w:tcW w:w="3296" w:type="pct"/>
            <w:gridSpan w:val="5"/>
            <w:vAlign w:val="center"/>
          </w:tcPr>
          <w:p w14:paraId="5C3902C9" w14:textId="77777777" w:rsidR="003E78AB" w:rsidRDefault="00010BF9">
            <w:pPr>
              <w:pStyle w:val="aff6"/>
              <w:topLinePunct/>
              <w:jc w:val="left"/>
            </w:pPr>
            <w:r>
              <w:t>稳定性：稳定</w:t>
            </w:r>
          </w:p>
        </w:tc>
      </w:tr>
      <w:tr w:rsidR="003E78AB" w14:paraId="6FDE8808" w14:textId="77777777">
        <w:trPr>
          <w:trHeight w:val="305"/>
        </w:trPr>
        <w:tc>
          <w:tcPr>
            <w:tcW w:w="614" w:type="pct"/>
            <w:vMerge/>
            <w:vAlign w:val="center"/>
          </w:tcPr>
          <w:p w14:paraId="5AB092BE" w14:textId="77777777" w:rsidR="003E78AB" w:rsidRDefault="003E78AB">
            <w:pPr>
              <w:pStyle w:val="aff6"/>
              <w:topLinePunct/>
            </w:pPr>
          </w:p>
        </w:tc>
        <w:tc>
          <w:tcPr>
            <w:tcW w:w="1088" w:type="pct"/>
            <w:vAlign w:val="center"/>
          </w:tcPr>
          <w:p w14:paraId="42FA77D6" w14:textId="77777777" w:rsidR="003E78AB" w:rsidRDefault="00010BF9">
            <w:pPr>
              <w:pStyle w:val="aff6"/>
              <w:topLinePunct/>
              <w:jc w:val="left"/>
            </w:pPr>
            <w:r>
              <w:t>爆炸上限</w:t>
            </w:r>
            <w:r>
              <w:t>(</w:t>
            </w:r>
            <w:r>
              <w:t>％</w:t>
            </w:r>
            <w:r>
              <w:t>)</w:t>
            </w:r>
            <w:r>
              <w:t>：</w:t>
            </w:r>
            <w:r>
              <w:t>/</w:t>
            </w:r>
          </w:p>
        </w:tc>
        <w:tc>
          <w:tcPr>
            <w:tcW w:w="3296" w:type="pct"/>
            <w:gridSpan w:val="5"/>
            <w:vAlign w:val="center"/>
          </w:tcPr>
          <w:p w14:paraId="1DD42D67" w14:textId="77777777" w:rsidR="003E78AB" w:rsidRDefault="00010BF9">
            <w:pPr>
              <w:pStyle w:val="aff6"/>
              <w:topLinePunct/>
              <w:jc w:val="left"/>
            </w:pPr>
            <w:r>
              <w:t>最大爆炸压力</w:t>
            </w:r>
            <w:r>
              <w:t>(MPa)</w:t>
            </w:r>
            <w:r>
              <w:t>：</w:t>
            </w:r>
            <w:r>
              <w:t>/</w:t>
            </w:r>
          </w:p>
        </w:tc>
      </w:tr>
      <w:tr w:rsidR="003E78AB" w14:paraId="11B8E16F" w14:textId="77777777">
        <w:trPr>
          <w:trHeight w:val="305"/>
        </w:trPr>
        <w:tc>
          <w:tcPr>
            <w:tcW w:w="614" w:type="pct"/>
            <w:vMerge/>
            <w:vAlign w:val="center"/>
          </w:tcPr>
          <w:p w14:paraId="47157CEA" w14:textId="77777777" w:rsidR="003E78AB" w:rsidRDefault="003E78AB">
            <w:pPr>
              <w:pStyle w:val="aff6"/>
              <w:topLinePunct/>
            </w:pPr>
          </w:p>
        </w:tc>
        <w:tc>
          <w:tcPr>
            <w:tcW w:w="1088" w:type="pct"/>
            <w:vAlign w:val="center"/>
          </w:tcPr>
          <w:p w14:paraId="1E65E6F7" w14:textId="77777777" w:rsidR="003E78AB" w:rsidRDefault="00010BF9">
            <w:pPr>
              <w:pStyle w:val="aff6"/>
              <w:topLinePunct/>
              <w:jc w:val="left"/>
            </w:pPr>
            <w:r>
              <w:t>引燃温度</w:t>
            </w:r>
            <w:r>
              <w:t>(℃)</w:t>
            </w:r>
            <w:r>
              <w:t>：</w:t>
            </w:r>
            <w:r>
              <w:t>/</w:t>
            </w:r>
          </w:p>
        </w:tc>
        <w:tc>
          <w:tcPr>
            <w:tcW w:w="3296" w:type="pct"/>
            <w:gridSpan w:val="5"/>
            <w:vAlign w:val="center"/>
          </w:tcPr>
          <w:p w14:paraId="465A4FEC" w14:textId="77777777" w:rsidR="003E78AB" w:rsidRDefault="00010BF9">
            <w:pPr>
              <w:pStyle w:val="aff6"/>
              <w:topLinePunct/>
              <w:jc w:val="left"/>
            </w:pPr>
            <w:r>
              <w:t>禁忌物：三氟化氯、锂接触剧烈反应。</w:t>
            </w:r>
          </w:p>
        </w:tc>
      </w:tr>
      <w:tr w:rsidR="003E78AB" w14:paraId="4ED76FCF" w14:textId="77777777">
        <w:trPr>
          <w:trHeight w:val="305"/>
        </w:trPr>
        <w:tc>
          <w:tcPr>
            <w:tcW w:w="614" w:type="pct"/>
            <w:vMerge/>
            <w:vAlign w:val="center"/>
          </w:tcPr>
          <w:p w14:paraId="7CAD2AD9" w14:textId="77777777" w:rsidR="003E78AB" w:rsidRDefault="003E78AB">
            <w:pPr>
              <w:pStyle w:val="aff6"/>
              <w:topLinePunct/>
            </w:pPr>
          </w:p>
        </w:tc>
        <w:tc>
          <w:tcPr>
            <w:tcW w:w="4385" w:type="pct"/>
            <w:gridSpan w:val="6"/>
            <w:vAlign w:val="center"/>
          </w:tcPr>
          <w:p w14:paraId="1A51CAA2" w14:textId="77777777" w:rsidR="003E78AB" w:rsidRDefault="00010BF9">
            <w:pPr>
              <w:pStyle w:val="aff6"/>
              <w:topLinePunct/>
              <w:jc w:val="left"/>
            </w:pPr>
            <w:r>
              <w:t>危险特性：不燃。与三氟化氯、锂接触剧烈反应。</w:t>
            </w:r>
          </w:p>
        </w:tc>
      </w:tr>
      <w:tr w:rsidR="003E78AB" w14:paraId="03411DF7" w14:textId="77777777">
        <w:trPr>
          <w:trHeight w:val="305"/>
        </w:trPr>
        <w:tc>
          <w:tcPr>
            <w:tcW w:w="614" w:type="pct"/>
            <w:vMerge/>
            <w:vAlign w:val="center"/>
          </w:tcPr>
          <w:p w14:paraId="39E93290" w14:textId="77777777" w:rsidR="003E78AB" w:rsidRDefault="003E78AB">
            <w:pPr>
              <w:pStyle w:val="aff6"/>
              <w:topLinePunct/>
            </w:pPr>
          </w:p>
        </w:tc>
        <w:tc>
          <w:tcPr>
            <w:tcW w:w="4385" w:type="pct"/>
            <w:gridSpan w:val="6"/>
            <w:vAlign w:val="center"/>
          </w:tcPr>
          <w:p w14:paraId="42459A66" w14:textId="77777777" w:rsidR="003E78AB" w:rsidRDefault="00010BF9">
            <w:pPr>
              <w:pStyle w:val="aff6"/>
              <w:topLinePunct/>
              <w:jc w:val="left"/>
            </w:pPr>
            <w:r>
              <w:t>灭火方法：不燃。</w:t>
            </w:r>
          </w:p>
        </w:tc>
      </w:tr>
      <w:tr w:rsidR="003E78AB" w14:paraId="2479A479" w14:textId="77777777">
        <w:trPr>
          <w:trHeight w:val="607"/>
        </w:trPr>
        <w:tc>
          <w:tcPr>
            <w:tcW w:w="614" w:type="pct"/>
            <w:vAlign w:val="center"/>
          </w:tcPr>
          <w:p w14:paraId="74273736" w14:textId="77777777" w:rsidR="003E78AB" w:rsidRDefault="00010BF9">
            <w:pPr>
              <w:pStyle w:val="aff6"/>
              <w:topLinePunct/>
            </w:pPr>
            <w:r>
              <w:t>毒性</w:t>
            </w:r>
          </w:p>
        </w:tc>
        <w:tc>
          <w:tcPr>
            <w:tcW w:w="4385" w:type="pct"/>
            <w:gridSpan w:val="6"/>
            <w:vAlign w:val="center"/>
          </w:tcPr>
          <w:p w14:paraId="1F7E1273" w14:textId="77777777" w:rsidR="003E78AB" w:rsidRDefault="00010BF9">
            <w:pPr>
              <w:pStyle w:val="aff6"/>
              <w:topLinePunct/>
              <w:jc w:val="left"/>
            </w:pPr>
            <w:r>
              <w:t>小鼠口经</w:t>
            </w:r>
            <w:r>
              <w:t>LD</w:t>
            </w:r>
            <w:r>
              <w:rPr>
                <w:vertAlign w:val="subscript"/>
              </w:rPr>
              <w:t>50</w:t>
            </w:r>
            <w:r>
              <w:t>：</w:t>
            </w:r>
            <w:r>
              <w:t>5mg/kg</w:t>
            </w:r>
            <w:r>
              <w:t>；大鼠口经</w:t>
            </w:r>
            <w:r>
              <w:t>LD</w:t>
            </w:r>
            <w:r>
              <w:rPr>
                <w:vertAlign w:val="subscript"/>
              </w:rPr>
              <w:t>50</w:t>
            </w:r>
            <w:r>
              <w:t>：</w:t>
            </w:r>
            <w:r>
              <w:t>10mg/kg</w:t>
            </w:r>
            <w:r>
              <w:t>；</w:t>
            </w:r>
          </w:p>
          <w:p w14:paraId="42968BB0" w14:textId="77777777" w:rsidR="003E78AB" w:rsidRDefault="00010BF9">
            <w:pPr>
              <w:pStyle w:val="aff6"/>
              <w:topLinePunct/>
              <w:jc w:val="left"/>
            </w:pPr>
            <w:r>
              <w:t>小兔皮层组织</w:t>
            </w:r>
            <w:r>
              <w:t>LD</w:t>
            </w:r>
            <w:r>
              <w:rPr>
                <w:vertAlign w:val="subscript"/>
              </w:rPr>
              <w:t>50</w:t>
            </w:r>
            <w:r>
              <w:t>：</w:t>
            </w:r>
            <w:r>
              <w:t>50mg/kg</w:t>
            </w:r>
            <w:r>
              <w:t>；大鼠吸入</w:t>
            </w:r>
            <w:r>
              <w:t>LC</w:t>
            </w:r>
            <w:r>
              <w:rPr>
                <w:vertAlign w:val="subscript"/>
              </w:rPr>
              <w:t>50</w:t>
            </w:r>
            <w:r>
              <w:t>：</w:t>
            </w:r>
            <w:r>
              <w:t>126mg/m</w:t>
            </w:r>
            <w:r>
              <w:rPr>
                <w:vertAlign w:val="superscript"/>
              </w:rPr>
              <w:t>3</w:t>
            </w:r>
            <w:r>
              <w:t>/6H</w:t>
            </w:r>
          </w:p>
        </w:tc>
      </w:tr>
      <w:tr w:rsidR="003E78AB" w14:paraId="47256889" w14:textId="77777777">
        <w:trPr>
          <w:trHeight w:val="905"/>
        </w:trPr>
        <w:tc>
          <w:tcPr>
            <w:tcW w:w="614" w:type="pct"/>
            <w:vAlign w:val="center"/>
          </w:tcPr>
          <w:p w14:paraId="69A77F03" w14:textId="77777777" w:rsidR="003E78AB" w:rsidRDefault="00010BF9">
            <w:pPr>
              <w:pStyle w:val="aff6"/>
              <w:topLinePunct/>
            </w:pPr>
            <w:r>
              <w:t>对人体危害</w:t>
            </w:r>
          </w:p>
        </w:tc>
        <w:tc>
          <w:tcPr>
            <w:tcW w:w="4385" w:type="pct"/>
            <w:gridSpan w:val="6"/>
            <w:vAlign w:val="center"/>
          </w:tcPr>
          <w:p w14:paraId="59C073C0" w14:textId="77777777" w:rsidR="003E78AB" w:rsidRDefault="00010BF9">
            <w:pPr>
              <w:pStyle w:val="aff6"/>
              <w:topLinePunct/>
              <w:jc w:val="left"/>
            </w:pPr>
            <w:r>
              <w:t>对呼吸系统和皮肤有损害作用。急性中毒：可引起鼻、咽、肺部刺激症状，多数工人有咽痒、干咳、胸闷、全身不适、倦怠等表现，部分患者可引起肾炎、肺炎。慢性中毒：长期接触可引起慢性支气管炎、肾损害、视力障碍等。</w:t>
            </w:r>
          </w:p>
        </w:tc>
      </w:tr>
      <w:tr w:rsidR="003E78AB" w14:paraId="78BEF42B" w14:textId="77777777">
        <w:trPr>
          <w:trHeight w:val="1204"/>
        </w:trPr>
        <w:tc>
          <w:tcPr>
            <w:tcW w:w="614" w:type="pct"/>
            <w:vAlign w:val="center"/>
          </w:tcPr>
          <w:p w14:paraId="01283D2B" w14:textId="77777777" w:rsidR="003E78AB" w:rsidRDefault="00010BF9">
            <w:pPr>
              <w:pStyle w:val="aff6"/>
              <w:topLinePunct/>
            </w:pPr>
            <w:r>
              <w:t>急救</w:t>
            </w:r>
          </w:p>
        </w:tc>
        <w:tc>
          <w:tcPr>
            <w:tcW w:w="4385" w:type="pct"/>
            <w:gridSpan w:val="6"/>
            <w:vAlign w:val="center"/>
          </w:tcPr>
          <w:p w14:paraId="7FBF5596" w14:textId="77777777" w:rsidR="003E78AB" w:rsidRDefault="00010BF9">
            <w:pPr>
              <w:pStyle w:val="aff6"/>
              <w:topLinePunct/>
              <w:jc w:val="left"/>
            </w:pPr>
            <w:r>
              <w:t>皮肤接触：脱去污染的衣着，立即用流动清水彻底冲洗。</w:t>
            </w:r>
          </w:p>
          <w:p w14:paraId="6A4359D2" w14:textId="77777777" w:rsidR="003E78AB" w:rsidRDefault="00010BF9">
            <w:pPr>
              <w:pStyle w:val="aff6"/>
              <w:topLinePunct/>
              <w:jc w:val="left"/>
            </w:pPr>
            <w:r>
              <w:t>眼睛接触：立即提起眼睑，用流动清水冲洗。</w:t>
            </w:r>
          </w:p>
          <w:p w14:paraId="34D9BC1C" w14:textId="77777777" w:rsidR="003E78AB" w:rsidRDefault="00010BF9">
            <w:pPr>
              <w:pStyle w:val="aff6"/>
              <w:topLinePunct/>
              <w:jc w:val="left"/>
            </w:pPr>
            <w:r>
              <w:t>食入：误服者给饮大量温水，催吐，就医。</w:t>
            </w:r>
          </w:p>
          <w:p w14:paraId="20124A73" w14:textId="77777777" w:rsidR="003E78AB" w:rsidRDefault="00010BF9">
            <w:pPr>
              <w:pStyle w:val="aff6"/>
              <w:topLinePunct/>
              <w:jc w:val="left"/>
            </w:pPr>
            <w:r>
              <w:t>吸入：脱离现场至空气新鲜处。注意保暖，必要时进行人工呼吸。就医。</w:t>
            </w:r>
          </w:p>
        </w:tc>
      </w:tr>
      <w:tr w:rsidR="003E78AB" w14:paraId="6BB655B7" w14:textId="77777777">
        <w:trPr>
          <w:trHeight w:val="189"/>
        </w:trPr>
        <w:tc>
          <w:tcPr>
            <w:tcW w:w="614" w:type="pct"/>
            <w:vAlign w:val="center"/>
          </w:tcPr>
          <w:p w14:paraId="50AA0005" w14:textId="77777777" w:rsidR="003E78AB" w:rsidRDefault="00010BF9">
            <w:pPr>
              <w:pStyle w:val="aff6"/>
              <w:topLinePunct/>
            </w:pPr>
            <w:r>
              <w:t>防护</w:t>
            </w:r>
          </w:p>
        </w:tc>
        <w:tc>
          <w:tcPr>
            <w:tcW w:w="4385" w:type="pct"/>
            <w:gridSpan w:val="6"/>
            <w:vAlign w:val="center"/>
          </w:tcPr>
          <w:p w14:paraId="24CF96F6" w14:textId="77777777" w:rsidR="003E78AB" w:rsidRDefault="00010BF9">
            <w:pPr>
              <w:pStyle w:val="aff6"/>
              <w:topLinePunct/>
              <w:jc w:val="left"/>
            </w:pPr>
            <w:r>
              <w:t>工程防护：密闭操作，局部排风。</w:t>
            </w:r>
          </w:p>
          <w:p w14:paraId="4ADF185C" w14:textId="77777777" w:rsidR="003E78AB" w:rsidRDefault="00010BF9">
            <w:pPr>
              <w:pStyle w:val="aff6"/>
              <w:topLinePunct/>
              <w:jc w:val="left"/>
            </w:pPr>
            <w:r>
              <w:t>个人防护：操作人员必须经过专门培训，严格遵守操作规程。建议操作人员佩戴防尘面具</w:t>
            </w:r>
            <w:r>
              <w:t>(</w:t>
            </w:r>
            <w:r>
              <w:t>全面罩</w:t>
            </w:r>
            <w:r>
              <w:t>)</w:t>
            </w:r>
            <w:r>
              <w:t>，穿胶布防毒衣，戴橡胶手套。远离易燃、可燃物。避免产生粉尘。避免与酸类接触。搬运时要轻装轻卸，防止包装及容器损坏。配备泄漏应急处理设备。倒空的容器可能残留有害物。</w:t>
            </w:r>
          </w:p>
        </w:tc>
      </w:tr>
      <w:tr w:rsidR="003E78AB" w14:paraId="50332CE7" w14:textId="77777777">
        <w:trPr>
          <w:trHeight w:val="1204"/>
        </w:trPr>
        <w:tc>
          <w:tcPr>
            <w:tcW w:w="614" w:type="pct"/>
            <w:vAlign w:val="center"/>
          </w:tcPr>
          <w:p w14:paraId="4D033495" w14:textId="77777777" w:rsidR="003E78AB" w:rsidRDefault="00010BF9">
            <w:pPr>
              <w:pStyle w:val="aff6"/>
              <w:topLinePunct/>
            </w:pPr>
            <w:r>
              <w:t>泄漏处理</w:t>
            </w:r>
          </w:p>
        </w:tc>
        <w:tc>
          <w:tcPr>
            <w:tcW w:w="4385" w:type="pct"/>
            <w:gridSpan w:val="6"/>
            <w:vAlign w:val="center"/>
          </w:tcPr>
          <w:p w14:paraId="0F050F93" w14:textId="77777777" w:rsidR="003E78AB" w:rsidRDefault="00010BF9">
            <w:pPr>
              <w:pStyle w:val="aff6"/>
              <w:topLinePunct/>
              <w:jc w:val="left"/>
            </w:pPr>
            <w:r>
              <w:t>隔离泄漏污染区，周围设警告标志，建议应急处理人员戴正压自给式呼吸器，穿化学防护服。不要直接接触泄漏物，避免扬尘，用清洁的铲子收集于干燥净洁有盖的容器中，转移到安全场所。也可以用水泥、沥青或适当的热塑性材料固化处理再废弃。如大量泄漏，收集回收或无害处理后废弃。</w:t>
            </w:r>
          </w:p>
        </w:tc>
      </w:tr>
      <w:tr w:rsidR="003E78AB" w14:paraId="20075A98" w14:textId="77777777">
        <w:trPr>
          <w:trHeight w:val="1221"/>
        </w:trPr>
        <w:tc>
          <w:tcPr>
            <w:tcW w:w="614" w:type="pct"/>
            <w:vAlign w:val="center"/>
          </w:tcPr>
          <w:p w14:paraId="564E8417" w14:textId="77777777" w:rsidR="003E78AB" w:rsidRDefault="00010BF9">
            <w:pPr>
              <w:pStyle w:val="aff6"/>
              <w:topLinePunct/>
            </w:pPr>
            <w:r>
              <w:t>贮运</w:t>
            </w:r>
          </w:p>
        </w:tc>
        <w:tc>
          <w:tcPr>
            <w:tcW w:w="4385" w:type="pct"/>
            <w:gridSpan w:val="6"/>
            <w:vAlign w:val="center"/>
          </w:tcPr>
          <w:p w14:paraId="1D2E4EF5" w14:textId="77777777" w:rsidR="003E78AB" w:rsidRDefault="00010BF9">
            <w:pPr>
              <w:pStyle w:val="aff6"/>
              <w:topLinePunct/>
              <w:jc w:val="left"/>
            </w:pPr>
            <w:r>
              <w:t>危险货物编号：</w:t>
            </w:r>
            <w:r>
              <w:t>61028</w:t>
            </w:r>
            <w:r>
              <w:rPr>
                <w:rFonts w:hint="eastAsia"/>
              </w:rPr>
              <w:t>，</w:t>
            </w:r>
            <w:r>
              <w:t>UN</w:t>
            </w:r>
            <w:r>
              <w:t>编号：</w:t>
            </w:r>
            <w:r>
              <w:t>2862</w:t>
            </w:r>
          </w:p>
          <w:p w14:paraId="1497D65D" w14:textId="77777777" w:rsidR="003E78AB" w:rsidRDefault="00010BF9">
            <w:pPr>
              <w:pStyle w:val="aff6"/>
              <w:topLinePunct/>
              <w:jc w:val="left"/>
            </w:pPr>
            <w:r>
              <w:t>储存于阴凉、通风仓间内。远离火种、热源。防止阳光直射。包装必须密封，切勿受潮。应与碱类、酸类、氧化剂等分开存放。不可混储混运。搬运时要轻装轻卸，防止包装及容器损坏。分装和搬运作业要注意个人防护。</w:t>
            </w:r>
          </w:p>
        </w:tc>
      </w:tr>
    </w:tbl>
    <w:p w14:paraId="552B4485" w14:textId="77777777" w:rsidR="003E78AB" w:rsidRDefault="00010BF9">
      <w:pPr>
        <w:pStyle w:val="a"/>
        <w:spacing w:before="120"/>
        <w:ind w:left="425" w:hanging="425"/>
      </w:pPr>
      <w:r>
        <w:rPr>
          <w:rFonts w:hint="eastAsia"/>
        </w:rPr>
        <w:t>硫酸</w:t>
      </w:r>
      <w:r>
        <w:t>性质和危险特性一览表</w:t>
      </w:r>
    </w:p>
    <w:tbl>
      <w:tblPr>
        <w:tblStyle w:val="TableNormal"/>
        <w:tblW w:w="50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2402"/>
        <w:gridCol w:w="73"/>
        <w:gridCol w:w="3009"/>
        <w:gridCol w:w="1810"/>
      </w:tblGrid>
      <w:tr w:rsidR="003E78AB" w14:paraId="629DD13A" w14:textId="77777777">
        <w:trPr>
          <w:trHeight w:val="359"/>
        </w:trPr>
        <w:tc>
          <w:tcPr>
            <w:tcW w:w="615" w:type="pct"/>
            <w:vMerge w:val="restart"/>
            <w:vAlign w:val="center"/>
          </w:tcPr>
          <w:p w14:paraId="77F09135" w14:textId="77777777" w:rsidR="003E78AB" w:rsidRDefault="00010BF9">
            <w:pPr>
              <w:pStyle w:val="aff6"/>
              <w:topLinePunct/>
            </w:pPr>
            <w:r>
              <w:t>标识</w:t>
            </w:r>
          </w:p>
        </w:tc>
        <w:tc>
          <w:tcPr>
            <w:tcW w:w="1487" w:type="pct"/>
            <w:gridSpan w:val="2"/>
            <w:vAlign w:val="center"/>
          </w:tcPr>
          <w:p w14:paraId="62FF97DC" w14:textId="77777777" w:rsidR="003E78AB" w:rsidRDefault="00010BF9">
            <w:pPr>
              <w:pStyle w:val="aff6"/>
              <w:topLinePunct/>
              <w:jc w:val="left"/>
            </w:pPr>
            <w:r>
              <w:t>中文名：硫酸</w:t>
            </w:r>
          </w:p>
        </w:tc>
        <w:tc>
          <w:tcPr>
            <w:tcW w:w="2897" w:type="pct"/>
            <w:gridSpan w:val="2"/>
            <w:vAlign w:val="center"/>
          </w:tcPr>
          <w:p w14:paraId="0271CBA3" w14:textId="77777777" w:rsidR="003E78AB" w:rsidRDefault="00010BF9">
            <w:pPr>
              <w:pStyle w:val="aff6"/>
              <w:topLinePunct/>
              <w:jc w:val="left"/>
            </w:pPr>
            <w:r>
              <w:t>英文名：</w:t>
            </w:r>
            <w:r>
              <w:t>sulfuricacid</w:t>
            </w:r>
          </w:p>
        </w:tc>
      </w:tr>
      <w:tr w:rsidR="003E78AB" w14:paraId="7483C52C" w14:textId="77777777">
        <w:trPr>
          <w:trHeight w:val="344"/>
        </w:trPr>
        <w:tc>
          <w:tcPr>
            <w:tcW w:w="615" w:type="pct"/>
            <w:vMerge/>
            <w:textDirection w:val="tbRlV"/>
            <w:vAlign w:val="center"/>
          </w:tcPr>
          <w:p w14:paraId="5B7093EF" w14:textId="77777777" w:rsidR="003E78AB" w:rsidRDefault="003E78AB">
            <w:pPr>
              <w:pStyle w:val="aff6"/>
              <w:topLinePunct/>
            </w:pPr>
          </w:p>
        </w:tc>
        <w:tc>
          <w:tcPr>
            <w:tcW w:w="1487" w:type="pct"/>
            <w:gridSpan w:val="2"/>
            <w:vAlign w:val="center"/>
          </w:tcPr>
          <w:p w14:paraId="08E81DF5" w14:textId="77777777" w:rsidR="003E78AB" w:rsidRDefault="00010BF9">
            <w:pPr>
              <w:pStyle w:val="aff6"/>
              <w:topLinePunct/>
              <w:jc w:val="left"/>
            </w:pPr>
            <w:r>
              <w:t>分子式：</w:t>
            </w:r>
            <w:r>
              <w:t>H2SO4</w:t>
            </w:r>
          </w:p>
        </w:tc>
        <w:tc>
          <w:tcPr>
            <w:tcW w:w="1809" w:type="pct"/>
            <w:vAlign w:val="center"/>
          </w:tcPr>
          <w:p w14:paraId="4BD1E338" w14:textId="77777777" w:rsidR="003E78AB" w:rsidRDefault="00010BF9">
            <w:pPr>
              <w:pStyle w:val="aff6"/>
              <w:topLinePunct/>
              <w:jc w:val="left"/>
            </w:pPr>
            <w:r>
              <w:t>相对分子质量：</w:t>
            </w:r>
            <w:r>
              <w:t>98.08</w:t>
            </w:r>
          </w:p>
        </w:tc>
        <w:tc>
          <w:tcPr>
            <w:tcW w:w="1087" w:type="pct"/>
            <w:vAlign w:val="center"/>
          </w:tcPr>
          <w:p w14:paraId="4E06C36B" w14:textId="77777777" w:rsidR="003E78AB" w:rsidRDefault="00010BF9">
            <w:pPr>
              <w:pStyle w:val="aff6"/>
              <w:topLinePunct/>
              <w:jc w:val="left"/>
            </w:pPr>
            <w:r>
              <w:t>UN</w:t>
            </w:r>
            <w:r>
              <w:t>编号：</w:t>
            </w:r>
            <w:r>
              <w:t>1198</w:t>
            </w:r>
          </w:p>
        </w:tc>
      </w:tr>
      <w:tr w:rsidR="003E78AB" w14:paraId="1E154147" w14:textId="77777777">
        <w:trPr>
          <w:trHeight w:val="344"/>
        </w:trPr>
        <w:tc>
          <w:tcPr>
            <w:tcW w:w="615" w:type="pct"/>
            <w:vMerge/>
            <w:textDirection w:val="tbRlV"/>
            <w:vAlign w:val="center"/>
          </w:tcPr>
          <w:p w14:paraId="7E301900" w14:textId="77777777" w:rsidR="003E78AB" w:rsidRDefault="003E78AB">
            <w:pPr>
              <w:pStyle w:val="aff6"/>
              <w:topLinePunct/>
            </w:pPr>
          </w:p>
        </w:tc>
        <w:tc>
          <w:tcPr>
            <w:tcW w:w="1487" w:type="pct"/>
            <w:gridSpan w:val="2"/>
            <w:vAlign w:val="center"/>
          </w:tcPr>
          <w:p w14:paraId="163C041F" w14:textId="77777777" w:rsidR="003E78AB" w:rsidRDefault="00010BF9">
            <w:pPr>
              <w:pStyle w:val="aff6"/>
              <w:topLinePunct/>
              <w:jc w:val="left"/>
            </w:pPr>
            <w:r>
              <w:t>危规号：</w:t>
            </w:r>
            <w:r>
              <w:t>81007</w:t>
            </w:r>
          </w:p>
        </w:tc>
        <w:tc>
          <w:tcPr>
            <w:tcW w:w="1809" w:type="pct"/>
            <w:vAlign w:val="center"/>
          </w:tcPr>
          <w:p w14:paraId="1776DB20" w14:textId="77777777" w:rsidR="003E78AB" w:rsidRDefault="00010BF9">
            <w:pPr>
              <w:pStyle w:val="aff6"/>
              <w:topLinePunct/>
              <w:jc w:val="left"/>
            </w:pPr>
            <w:r>
              <w:t>危险性类别：第</w:t>
            </w:r>
            <w:r>
              <w:t>8.1</w:t>
            </w:r>
            <w:r>
              <w:t>类酸性腐蚀品</w:t>
            </w:r>
          </w:p>
        </w:tc>
        <w:tc>
          <w:tcPr>
            <w:tcW w:w="1087" w:type="pct"/>
            <w:vAlign w:val="center"/>
          </w:tcPr>
          <w:p w14:paraId="45C12780" w14:textId="77777777" w:rsidR="003E78AB" w:rsidRDefault="00010BF9">
            <w:pPr>
              <w:pStyle w:val="aff6"/>
              <w:topLinePunct/>
              <w:jc w:val="left"/>
            </w:pPr>
            <w:r>
              <w:t>CAS</w:t>
            </w:r>
            <w:r>
              <w:t>号：</w:t>
            </w:r>
            <w:r>
              <w:t>7664-93-9</w:t>
            </w:r>
          </w:p>
        </w:tc>
      </w:tr>
      <w:tr w:rsidR="003E78AB" w14:paraId="46DA7A04" w14:textId="77777777">
        <w:trPr>
          <w:trHeight w:val="358"/>
        </w:trPr>
        <w:tc>
          <w:tcPr>
            <w:tcW w:w="615" w:type="pct"/>
            <w:vMerge w:val="restart"/>
            <w:vAlign w:val="center"/>
          </w:tcPr>
          <w:p w14:paraId="30760A39" w14:textId="77777777" w:rsidR="003E78AB" w:rsidRDefault="00010BF9">
            <w:pPr>
              <w:pStyle w:val="aff6"/>
              <w:topLinePunct/>
            </w:pPr>
            <w:r>
              <w:t>理化性质</w:t>
            </w:r>
          </w:p>
        </w:tc>
        <w:tc>
          <w:tcPr>
            <w:tcW w:w="4384" w:type="pct"/>
            <w:gridSpan w:val="4"/>
            <w:vAlign w:val="center"/>
          </w:tcPr>
          <w:p w14:paraId="3B7306D9" w14:textId="77777777" w:rsidR="003E78AB" w:rsidRDefault="00010BF9">
            <w:pPr>
              <w:pStyle w:val="aff6"/>
              <w:topLinePunct/>
              <w:jc w:val="left"/>
            </w:pPr>
            <w:r>
              <w:t>性状：纯品为无色透明油状液体，无臭。工业级含量</w:t>
            </w:r>
            <w:r>
              <w:t>92.5%</w:t>
            </w:r>
            <w:r>
              <w:t>或</w:t>
            </w:r>
            <w:r>
              <w:t>98%</w:t>
            </w:r>
          </w:p>
        </w:tc>
      </w:tr>
      <w:tr w:rsidR="003E78AB" w14:paraId="0068E03E" w14:textId="77777777">
        <w:trPr>
          <w:trHeight w:val="360"/>
        </w:trPr>
        <w:tc>
          <w:tcPr>
            <w:tcW w:w="615" w:type="pct"/>
            <w:vMerge/>
            <w:textDirection w:val="tbRlV"/>
            <w:vAlign w:val="center"/>
          </w:tcPr>
          <w:p w14:paraId="4687B45C" w14:textId="77777777" w:rsidR="003E78AB" w:rsidRDefault="003E78AB">
            <w:pPr>
              <w:pStyle w:val="aff6"/>
              <w:topLinePunct/>
            </w:pPr>
          </w:p>
        </w:tc>
        <w:tc>
          <w:tcPr>
            <w:tcW w:w="1443" w:type="pct"/>
            <w:vAlign w:val="center"/>
          </w:tcPr>
          <w:p w14:paraId="5F1EFD25" w14:textId="77777777" w:rsidR="003E78AB" w:rsidRDefault="00010BF9">
            <w:pPr>
              <w:pStyle w:val="aff6"/>
              <w:topLinePunct/>
              <w:jc w:val="left"/>
            </w:pPr>
            <w:r>
              <w:t>熔点</w:t>
            </w:r>
            <w:r>
              <w:t>/℃</w:t>
            </w:r>
            <w:r>
              <w:t>：</w:t>
            </w:r>
            <w:r>
              <w:t>10.5</w:t>
            </w:r>
          </w:p>
        </w:tc>
        <w:tc>
          <w:tcPr>
            <w:tcW w:w="2941" w:type="pct"/>
            <w:gridSpan w:val="3"/>
            <w:vAlign w:val="center"/>
          </w:tcPr>
          <w:p w14:paraId="42E25879" w14:textId="77777777" w:rsidR="003E78AB" w:rsidRDefault="00010BF9">
            <w:pPr>
              <w:pStyle w:val="aff6"/>
              <w:topLinePunct/>
              <w:jc w:val="left"/>
            </w:pPr>
            <w:r>
              <w:t>溶解性：与水混溶</w:t>
            </w:r>
          </w:p>
        </w:tc>
      </w:tr>
      <w:tr w:rsidR="003E78AB" w14:paraId="6FC6C01B" w14:textId="77777777">
        <w:trPr>
          <w:trHeight w:val="345"/>
        </w:trPr>
        <w:tc>
          <w:tcPr>
            <w:tcW w:w="615" w:type="pct"/>
            <w:vMerge/>
            <w:textDirection w:val="tbRlV"/>
            <w:vAlign w:val="center"/>
          </w:tcPr>
          <w:p w14:paraId="526F6C89" w14:textId="77777777" w:rsidR="003E78AB" w:rsidRDefault="003E78AB">
            <w:pPr>
              <w:pStyle w:val="aff6"/>
              <w:topLinePunct/>
            </w:pPr>
          </w:p>
        </w:tc>
        <w:tc>
          <w:tcPr>
            <w:tcW w:w="1443" w:type="pct"/>
            <w:vAlign w:val="center"/>
          </w:tcPr>
          <w:p w14:paraId="17A39E96" w14:textId="77777777" w:rsidR="003E78AB" w:rsidRDefault="00010BF9">
            <w:pPr>
              <w:pStyle w:val="aff6"/>
              <w:topLinePunct/>
              <w:jc w:val="left"/>
            </w:pPr>
            <w:r>
              <w:t>沸点</w:t>
            </w:r>
            <w:r>
              <w:t>/℃</w:t>
            </w:r>
            <w:r>
              <w:t>：</w:t>
            </w:r>
            <w:r>
              <w:t>330.0</w:t>
            </w:r>
          </w:p>
        </w:tc>
        <w:tc>
          <w:tcPr>
            <w:tcW w:w="2941" w:type="pct"/>
            <w:gridSpan w:val="3"/>
            <w:vAlign w:val="center"/>
          </w:tcPr>
          <w:p w14:paraId="7B07A80C" w14:textId="77777777" w:rsidR="003E78AB" w:rsidRDefault="00010BF9">
            <w:pPr>
              <w:pStyle w:val="aff6"/>
              <w:topLinePunct/>
              <w:jc w:val="left"/>
            </w:pPr>
            <w:r>
              <w:t>相对密度</w:t>
            </w:r>
            <w:r>
              <w:t>(</w:t>
            </w:r>
            <w:r>
              <w:t>水</w:t>
            </w:r>
            <w:r>
              <w:t>=1)</w:t>
            </w:r>
            <w:r>
              <w:t>：</w:t>
            </w:r>
            <w:r>
              <w:t>1.83</w:t>
            </w:r>
          </w:p>
        </w:tc>
      </w:tr>
      <w:tr w:rsidR="003E78AB" w14:paraId="41E923CD" w14:textId="77777777">
        <w:trPr>
          <w:trHeight w:val="549"/>
        </w:trPr>
        <w:tc>
          <w:tcPr>
            <w:tcW w:w="615" w:type="pct"/>
            <w:vMerge/>
            <w:textDirection w:val="tbRlV"/>
            <w:vAlign w:val="center"/>
          </w:tcPr>
          <w:p w14:paraId="36C4AD71" w14:textId="77777777" w:rsidR="003E78AB" w:rsidRDefault="003E78AB">
            <w:pPr>
              <w:pStyle w:val="aff6"/>
              <w:topLinePunct/>
            </w:pPr>
          </w:p>
        </w:tc>
        <w:tc>
          <w:tcPr>
            <w:tcW w:w="1443" w:type="pct"/>
            <w:vAlign w:val="center"/>
          </w:tcPr>
          <w:p w14:paraId="323E959A" w14:textId="77777777" w:rsidR="003E78AB" w:rsidRDefault="00010BF9">
            <w:pPr>
              <w:pStyle w:val="aff6"/>
              <w:topLinePunct/>
              <w:jc w:val="left"/>
            </w:pPr>
            <w:r>
              <w:t>饱和蒸气压</w:t>
            </w:r>
            <w:r>
              <w:t>/kpa</w:t>
            </w:r>
            <w:r>
              <w:t>：</w:t>
            </w:r>
            <w:r>
              <w:t>0.13</w:t>
            </w:r>
          </w:p>
          <w:p w14:paraId="25FE0EB6" w14:textId="77777777" w:rsidR="003E78AB" w:rsidRDefault="00010BF9">
            <w:pPr>
              <w:pStyle w:val="aff6"/>
              <w:topLinePunct/>
              <w:jc w:val="left"/>
            </w:pPr>
            <w:r>
              <w:t>(145.8℃)</w:t>
            </w:r>
          </w:p>
        </w:tc>
        <w:tc>
          <w:tcPr>
            <w:tcW w:w="2941" w:type="pct"/>
            <w:gridSpan w:val="3"/>
            <w:vAlign w:val="center"/>
          </w:tcPr>
          <w:p w14:paraId="1E8726D3" w14:textId="77777777" w:rsidR="003E78AB" w:rsidRDefault="00010BF9">
            <w:pPr>
              <w:pStyle w:val="aff6"/>
              <w:topLinePunct/>
              <w:jc w:val="left"/>
            </w:pPr>
            <w:r>
              <w:t>相对密度</w:t>
            </w:r>
            <w:r>
              <w:t>(</w:t>
            </w:r>
            <w:r>
              <w:t>空气</w:t>
            </w:r>
            <w:r>
              <w:t>=1)</w:t>
            </w:r>
            <w:r>
              <w:t>：</w:t>
            </w:r>
            <w:r>
              <w:t>3.4</w:t>
            </w:r>
          </w:p>
        </w:tc>
      </w:tr>
      <w:tr w:rsidR="003E78AB" w14:paraId="2CFE09CC" w14:textId="77777777">
        <w:trPr>
          <w:trHeight w:val="345"/>
        </w:trPr>
        <w:tc>
          <w:tcPr>
            <w:tcW w:w="615" w:type="pct"/>
            <w:vMerge/>
            <w:textDirection w:val="tbRlV"/>
            <w:vAlign w:val="center"/>
          </w:tcPr>
          <w:p w14:paraId="280F3D53" w14:textId="77777777" w:rsidR="003E78AB" w:rsidRDefault="003E78AB">
            <w:pPr>
              <w:pStyle w:val="aff6"/>
              <w:topLinePunct/>
            </w:pPr>
          </w:p>
        </w:tc>
        <w:tc>
          <w:tcPr>
            <w:tcW w:w="1443" w:type="pct"/>
            <w:vAlign w:val="center"/>
          </w:tcPr>
          <w:p w14:paraId="6BB0686D" w14:textId="77777777" w:rsidR="003E78AB" w:rsidRDefault="00010BF9">
            <w:pPr>
              <w:pStyle w:val="aff6"/>
              <w:topLinePunct/>
              <w:jc w:val="left"/>
            </w:pPr>
            <w:r>
              <w:t>临界温度</w:t>
            </w:r>
            <w:r>
              <w:t>/℃</w:t>
            </w:r>
            <w:r>
              <w:t>：</w:t>
            </w:r>
          </w:p>
        </w:tc>
        <w:tc>
          <w:tcPr>
            <w:tcW w:w="2941" w:type="pct"/>
            <w:gridSpan w:val="3"/>
            <w:vAlign w:val="center"/>
          </w:tcPr>
          <w:p w14:paraId="69A2FE2E" w14:textId="77777777" w:rsidR="003E78AB" w:rsidRDefault="00010BF9">
            <w:pPr>
              <w:pStyle w:val="aff6"/>
              <w:topLinePunct/>
              <w:jc w:val="left"/>
            </w:pPr>
            <w:r>
              <w:t>燃烧热</w:t>
            </w:r>
            <w:r>
              <w:t>(kJ.mol-1)</w:t>
            </w:r>
            <w:r>
              <w:t>：无意义</w:t>
            </w:r>
          </w:p>
        </w:tc>
      </w:tr>
      <w:tr w:rsidR="003E78AB" w14:paraId="6FA5A4A4" w14:textId="77777777">
        <w:trPr>
          <w:trHeight w:val="345"/>
        </w:trPr>
        <w:tc>
          <w:tcPr>
            <w:tcW w:w="615" w:type="pct"/>
            <w:vMerge/>
            <w:textDirection w:val="tbRlV"/>
            <w:vAlign w:val="center"/>
          </w:tcPr>
          <w:p w14:paraId="28CA9DD8" w14:textId="77777777" w:rsidR="003E78AB" w:rsidRDefault="003E78AB">
            <w:pPr>
              <w:pStyle w:val="aff6"/>
              <w:topLinePunct/>
            </w:pPr>
          </w:p>
        </w:tc>
        <w:tc>
          <w:tcPr>
            <w:tcW w:w="1443" w:type="pct"/>
            <w:vAlign w:val="center"/>
          </w:tcPr>
          <w:p w14:paraId="00162CEE" w14:textId="77777777" w:rsidR="003E78AB" w:rsidRDefault="00010BF9">
            <w:pPr>
              <w:pStyle w:val="aff6"/>
              <w:topLinePunct/>
              <w:jc w:val="left"/>
            </w:pPr>
            <w:r>
              <w:t>临界压力</w:t>
            </w:r>
            <w:r>
              <w:t>/Mpa</w:t>
            </w:r>
            <w:r>
              <w:t>：</w:t>
            </w:r>
          </w:p>
        </w:tc>
        <w:tc>
          <w:tcPr>
            <w:tcW w:w="2941" w:type="pct"/>
            <w:gridSpan w:val="3"/>
            <w:vAlign w:val="center"/>
          </w:tcPr>
          <w:p w14:paraId="6DC6688C" w14:textId="77777777" w:rsidR="003E78AB" w:rsidRDefault="00010BF9">
            <w:pPr>
              <w:pStyle w:val="aff6"/>
              <w:topLinePunct/>
              <w:jc w:val="left"/>
            </w:pPr>
            <w:r>
              <w:t>禁忌物：碱类、碱金属、水、强还原剂、易燃或可燃物</w:t>
            </w:r>
          </w:p>
        </w:tc>
      </w:tr>
      <w:tr w:rsidR="003E78AB" w14:paraId="28E22DF2" w14:textId="77777777">
        <w:trPr>
          <w:trHeight w:val="345"/>
        </w:trPr>
        <w:tc>
          <w:tcPr>
            <w:tcW w:w="615" w:type="pct"/>
            <w:vMerge w:val="restart"/>
            <w:vAlign w:val="center"/>
          </w:tcPr>
          <w:p w14:paraId="40AA10B4" w14:textId="77777777" w:rsidR="003E78AB" w:rsidRDefault="00010BF9">
            <w:pPr>
              <w:pStyle w:val="aff6"/>
              <w:topLinePunct/>
            </w:pPr>
            <w:r>
              <w:t>燃烧爆炸及环境危险性</w:t>
            </w:r>
          </w:p>
        </w:tc>
        <w:tc>
          <w:tcPr>
            <w:tcW w:w="1443" w:type="pct"/>
            <w:vAlign w:val="center"/>
          </w:tcPr>
          <w:p w14:paraId="574F9D3C" w14:textId="77777777" w:rsidR="003E78AB" w:rsidRDefault="00010BF9">
            <w:pPr>
              <w:pStyle w:val="aff6"/>
              <w:topLinePunct/>
              <w:jc w:val="left"/>
            </w:pPr>
            <w:r>
              <w:t>燃烧性：不燃</w:t>
            </w:r>
          </w:p>
        </w:tc>
        <w:tc>
          <w:tcPr>
            <w:tcW w:w="2941" w:type="pct"/>
            <w:gridSpan w:val="3"/>
            <w:vAlign w:val="center"/>
          </w:tcPr>
          <w:p w14:paraId="244FEA74" w14:textId="77777777" w:rsidR="003E78AB" w:rsidRDefault="00010BF9">
            <w:pPr>
              <w:pStyle w:val="aff6"/>
              <w:topLinePunct/>
              <w:jc w:val="left"/>
            </w:pPr>
            <w:r>
              <w:t>燃烧</w:t>
            </w:r>
            <w:r>
              <w:t>(</w:t>
            </w:r>
            <w:r>
              <w:t>分解</w:t>
            </w:r>
            <w:r>
              <w:t>)</w:t>
            </w:r>
            <w:r>
              <w:t>产物：氧化硫</w:t>
            </w:r>
          </w:p>
        </w:tc>
      </w:tr>
      <w:tr w:rsidR="003E78AB" w14:paraId="4264DCCD" w14:textId="77777777">
        <w:trPr>
          <w:trHeight w:val="343"/>
        </w:trPr>
        <w:tc>
          <w:tcPr>
            <w:tcW w:w="615" w:type="pct"/>
            <w:vMerge/>
            <w:vAlign w:val="center"/>
          </w:tcPr>
          <w:p w14:paraId="08097389" w14:textId="77777777" w:rsidR="003E78AB" w:rsidRDefault="003E78AB">
            <w:pPr>
              <w:pStyle w:val="aff6"/>
              <w:topLinePunct/>
            </w:pPr>
          </w:p>
        </w:tc>
        <w:tc>
          <w:tcPr>
            <w:tcW w:w="1443" w:type="pct"/>
            <w:vAlign w:val="center"/>
          </w:tcPr>
          <w:p w14:paraId="6DA20158" w14:textId="77777777" w:rsidR="003E78AB" w:rsidRDefault="00010BF9">
            <w:pPr>
              <w:pStyle w:val="aff6"/>
              <w:topLinePunct/>
              <w:jc w:val="left"/>
            </w:pPr>
            <w:r>
              <w:t>闪点</w:t>
            </w:r>
            <w:r>
              <w:t>/℃</w:t>
            </w:r>
            <w:r>
              <w:t>：无意义</w:t>
            </w:r>
          </w:p>
        </w:tc>
        <w:tc>
          <w:tcPr>
            <w:tcW w:w="2941" w:type="pct"/>
            <w:gridSpan w:val="3"/>
            <w:vAlign w:val="center"/>
          </w:tcPr>
          <w:p w14:paraId="7B1A7E1B" w14:textId="77777777" w:rsidR="003E78AB" w:rsidRDefault="00010BF9">
            <w:pPr>
              <w:pStyle w:val="aff6"/>
              <w:topLinePunct/>
              <w:jc w:val="left"/>
            </w:pPr>
            <w:r>
              <w:t>聚合危害：不聚合</w:t>
            </w:r>
          </w:p>
        </w:tc>
      </w:tr>
      <w:tr w:rsidR="003E78AB" w14:paraId="2CC86D7D" w14:textId="77777777">
        <w:trPr>
          <w:trHeight w:val="345"/>
        </w:trPr>
        <w:tc>
          <w:tcPr>
            <w:tcW w:w="615" w:type="pct"/>
            <w:vMerge/>
            <w:vAlign w:val="center"/>
          </w:tcPr>
          <w:p w14:paraId="32777C37" w14:textId="77777777" w:rsidR="003E78AB" w:rsidRDefault="003E78AB">
            <w:pPr>
              <w:pStyle w:val="aff6"/>
              <w:topLinePunct/>
            </w:pPr>
          </w:p>
        </w:tc>
        <w:tc>
          <w:tcPr>
            <w:tcW w:w="1443" w:type="pct"/>
            <w:vAlign w:val="center"/>
          </w:tcPr>
          <w:p w14:paraId="2CE5185B" w14:textId="77777777" w:rsidR="003E78AB" w:rsidRDefault="00010BF9">
            <w:pPr>
              <w:pStyle w:val="aff6"/>
              <w:topLinePunct/>
              <w:jc w:val="left"/>
            </w:pPr>
            <w:r>
              <w:t>爆炸下限</w:t>
            </w:r>
            <w:r>
              <w:t>/%</w:t>
            </w:r>
            <w:r>
              <w:t>：无意义</w:t>
            </w:r>
          </w:p>
        </w:tc>
        <w:tc>
          <w:tcPr>
            <w:tcW w:w="2941" w:type="pct"/>
            <w:gridSpan w:val="3"/>
            <w:vAlign w:val="center"/>
          </w:tcPr>
          <w:p w14:paraId="6BE434BF" w14:textId="77777777" w:rsidR="003E78AB" w:rsidRDefault="00010BF9">
            <w:pPr>
              <w:pStyle w:val="aff6"/>
              <w:topLinePunct/>
              <w:jc w:val="left"/>
            </w:pPr>
            <w:r>
              <w:t>稳定性：稳定</w:t>
            </w:r>
          </w:p>
        </w:tc>
      </w:tr>
      <w:tr w:rsidR="003E78AB" w14:paraId="20015020" w14:textId="77777777">
        <w:trPr>
          <w:trHeight w:val="346"/>
        </w:trPr>
        <w:tc>
          <w:tcPr>
            <w:tcW w:w="615" w:type="pct"/>
            <w:vMerge/>
            <w:vAlign w:val="center"/>
          </w:tcPr>
          <w:p w14:paraId="201D0FAE" w14:textId="77777777" w:rsidR="003E78AB" w:rsidRDefault="003E78AB">
            <w:pPr>
              <w:pStyle w:val="aff6"/>
              <w:topLinePunct/>
            </w:pPr>
          </w:p>
        </w:tc>
        <w:tc>
          <w:tcPr>
            <w:tcW w:w="1443" w:type="pct"/>
            <w:vAlign w:val="center"/>
          </w:tcPr>
          <w:p w14:paraId="15EF53B1" w14:textId="77777777" w:rsidR="003E78AB" w:rsidRDefault="00010BF9">
            <w:pPr>
              <w:pStyle w:val="aff6"/>
              <w:topLinePunct/>
              <w:jc w:val="left"/>
            </w:pPr>
            <w:r>
              <w:t>爆炸上限</w:t>
            </w:r>
            <w:r>
              <w:t>/%</w:t>
            </w:r>
            <w:r>
              <w:t>：无意义</w:t>
            </w:r>
          </w:p>
        </w:tc>
        <w:tc>
          <w:tcPr>
            <w:tcW w:w="2941" w:type="pct"/>
            <w:gridSpan w:val="3"/>
            <w:vAlign w:val="center"/>
          </w:tcPr>
          <w:p w14:paraId="196A59BC" w14:textId="77777777" w:rsidR="003E78AB" w:rsidRDefault="00010BF9">
            <w:pPr>
              <w:pStyle w:val="aff6"/>
              <w:topLinePunct/>
              <w:jc w:val="left"/>
            </w:pPr>
            <w:r>
              <w:t>最小点火能</w:t>
            </w:r>
            <w:r>
              <w:t>/mJ</w:t>
            </w:r>
            <w:r>
              <w:t>：无意义</w:t>
            </w:r>
          </w:p>
        </w:tc>
      </w:tr>
      <w:tr w:rsidR="003E78AB" w14:paraId="3CA4DFC6" w14:textId="77777777">
        <w:trPr>
          <w:trHeight w:val="345"/>
        </w:trPr>
        <w:tc>
          <w:tcPr>
            <w:tcW w:w="615" w:type="pct"/>
            <w:vMerge/>
            <w:vAlign w:val="center"/>
          </w:tcPr>
          <w:p w14:paraId="6D6B9265" w14:textId="77777777" w:rsidR="003E78AB" w:rsidRDefault="003E78AB">
            <w:pPr>
              <w:pStyle w:val="aff6"/>
              <w:topLinePunct/>
            </w:pPr>
          </w:p>
        </w:tc>
        <w:tc>
          <w:tcPr>
            <w:tcW w:w="1443" w:type="pct"/>
            <w:vAlign w:val="center"/>
          </w:tcPr>
          <w:p w14:paraId="52DC246D" w14:textId="77777777" w:rsidR="003E78AB" w:rsidRDefault="00010BF9">
            <w:pPr>
              <w:pStyle w:val="aff6"/>
              <w:topLinePunct/>
              <w:jc w:val="left"/>
            </w:pPr>
            <w:r>
              <w:t>引燃温度</w:t>
            </w:r>
            <w:r>
              <w:t>/℃</w:t>
            </w:r>
            <w:r>
              <w:t>：无意义</w:t>
            </w:r>
          </w:p>
        </w:tc>
        <w:tc>
          <w:tcPr>
            <w:tcW w:w="2941" w:type="pct"/>
            <w:gridSpan w:val="3"/>
            <w:vAlign w:val="center"/>
          </w:tcPr>
          <w:p w14:paraId="626E4DA0" w14:textId="77777777" w:rsidR="003E78AB" w:rsidRDefault="00010BF9">
            <w:pPr>
              <w:pStyle w:val="aff6"/>
              <w:topLinePunct/>
              <w:jc w:val="left"/>
            </w:pPr>
            <w:r>
              <w:t>最大爆炸压力</w:t>
            </w:r>
            <w:r>
              <w:t>(MPa)</w:t>
            </w:r>
            <w:r>
              <w:t>：无意义</w:t>
            </w:r>
          </w:p>
        </w:tc>
      </w:tr>
      <w:tr w:rsidR="003E78AB" w14:paraId="04EDD753" w14:textId="77777777">
        <w:trPr>
          <w:trHeight w:val="823"/>
        </w:trPr>
        <w:tc>
          <w:tcPr>
            <w:tcW w:w="615" w:type="pct"/>
            <w:vMerge/>
            <w:vAlign w:val="center"/>
          </w:tcPr>
          <w:p w14:paraId="1C2970F2" w14:textId="77777777" w:rsidR="003E78AB" w:rsidRDefault="003E78AB">
            <w:pPr>
              <w:pStyle w:val="aff6"/>
              <w:topLinePunct/>
            </w:pPr>
          </w:p>
        </w:tc>
        <w:tc>
          <w:tcPr>
            <w:tcW w:w="4384" w:type="pct"/>
            <w:gridSpan w:val="4"/>
            <w:vAlign w:val="center"/>
          </w:tcPr>
          <w:p w14:paraId="7CDEA85C" w14:textId="77777777" w:rsidR="003E78AB" w:rsidRDefault="00010BF9">
            <w:pPr>
              <w:pStyle w:val="aff6"/>
              <w:topLinePunct/>
              <w:jc w:val="left"/>
            </w:pPr>
            <w:r>
              <w:t>危险特性：遇水大量放热，可发生沸溅。与易燃物</w:t>
            </w:r>
            <w:r>
              <w:t>(</w:t>
            </w:r>
            <w:r>
              <w:t>如苯</w:t>
            </w:r>
            <w:r>
              <w:t>)</w:t>
            </w:r>
            <w:r>
              <w:t>和可燃物</w:t>
            </w:r>
            <w:r>
              <w:t>(</w:t>
            </w:r>
            <w:r>
              <w:t>如糖、纤维素等</w:t>
            </w:r>
            <w:r>
              <w:t>)</w:t>
            </w:r>
            <w:r>
              <w:t>接触会发生剧烈反应，甚至引起燃烧。遇电石、高氯酸盐、雷酸盐、硝酸盐、苦味酸盐、金属粉末等猛烈反应，发生爆炸或燃烧。有强烈的腐蚀性和吸水性。</w:t>
            </w:r>
          </w:p>
        </w:tc>
      </w:tr>
      <w:tr w:rsidR="003E78AB" w14:paraId="6A658D06" w14:textId="77777777">
        <w:trPr>
          <w:trHeight w:val="343"/>
        </w:trPr>
        <w:tc>
          <w:tcPr>
            <w:tcW w:w="615" w:type="pct"/>
            <w:vMerge/>
            <w:vAlign w:val="center"/>
          </w:tcPr>
          <w:p w14:paraId="336A2F0B" w14:textId="77777777" w:rsidR="003E78AB" w:rsidRDefault="003E78AB">
            <w:pPr>
              <w:pStyle w:val="aff6"/>
              <w:topLinePunct/>
            </w:pPr>
          </w:p>
        </w:tc>
        <w:tc>
          <w:tcPr>
            <w:tcW w:w="4384" w:type="pct"/>
            <w:gridSpan w:val="4"/>
            <w:vAlign w:val="center"/>
          </w:tcPr>
          <w:p w14:paraId="0B9B9310" w14:textId="77777777" w:rsidR="003E78AB" w:rsidRDefault="00010BF9">
            <w:pPr>
              <w:pStyle w:val="aff6"/>
              <w:topLinePunct/>
              <w:jc w:val="left"/>
            </w:pPr>
            <w:r>
              <w:t>环境危害：对环境有危害，应特别注意对水体物土壤的污染。</w:t>
            </w:r>
          </w:p>
        </w:tc>
      </w:tr>
      <w:tr w:rsidR="003E78AB" w14:paraId="1C0DCF85" w14:textId="77777777">
        <w:trPr>
          <w:trHeight w:val="552"/>
        </w:trPr>
        <w:tc>
          <w:tcPr>
            <w:tcW w:w="615" w:type="pct"/>
            <w:vMerge/>
            <w:vAlign w:val="center"/>
          </w:tcPr>
          <w:p w14:paraId="54E01291" w14:textId="77777777" w:rsidR="003E78AB" w:rsidRDefault="003E78AB">
            <w:pPr>
              <w:pStyle w:val="aff6"/>
              <w:topLinePunct/>
            </w:pPr>
          </w:p>
        </w:tc>
        <w:tc>
          <w:tcPr>
            <w:tcW w:w="4384" w:type="pct"/>
            <w:gridSpan w:val="4"/>
            <w:vAlign w:val="center"/>
          </w:tcPr>
          <w:p w14:paraId="33353A64" w14:textId="77777777" w:rsidR="003E78AB" w:rsidRDefault="00010BF9">
            <w:pPr>
              <w:pStyle w:val="aff6"/>
              <w:topLinePunct/>
              <w:jc w:val="left"/>
            </w:pPr>
            <w:r>
              <w:t>灭火方法：消防人员必须穿全身耐酸碱消防服。灭火剂：干粉、二氧化碳、砂土。避免水流冲击物品，以免遇水会放出大量热量发生喷溅而灼伤皮肤。</w:t>
            </w:r>
          </w:p>
        </w:tc>
      </w:tr>
      <w:tr w:rsidR="003E78AB" w14:paraId="623249BA" w14:textId="77777777">
        <w:trPr>
          <w:trHeight w:val="549"/>
        </w:trPr>
        <w:tc>
          <w:tcPr>
            <w:tcW w:w="615" w:type="pct"/>
            <w:vAlign w:val="center"/>
          </w:tcPr>
          <w:p w14:paraId="58DED5D7" w14:textId="77777777" w:rsidR="003E78AB" w:rsidRDefault="00010BF9">
            <w:pPr>
              <w:pStyle w:val="aff6"/>
              <w:topLinePunct/>
            </w:pPr>
            <w:r>
              <w:t>毒性</w:t>
            </w:r>
          </w:p>
        </w:tc>
        <w:tc>
          <w:tcPr>
            <w:tcW w:w="4384" w:type="pct"/>
            <w:gridSpan w:val="4"/>
            <w:vAlign w:val="center"/>
          </w:tcPr>
          <w:p w14:paraId="77BE7F9B" w14:textId="77777777" w:rsidR="003E78AB" w:rsidRDefault="00010BF9">
            <w:pPr>
              <w:pStyle w:val="aff6"/>
              <w:topLinePunct/>
              <w:jc w:val="left"/>
            </w:pPr>
            <w:r>
              <w:t>急性毒性：</w:t>
            </w:r>
            <w:r>
              <w:t>LD</w:t>
            </w:r>
            <w:r>
              <w:rPr>
                <w:vertAlign w:val="subscript"/>
              </w:rPr>
              <w:t>50</w:t>
            </w:r>
            <w:r>
              <w:t>：</w:t>
            </w:r>
            <w:r>
              <w:t>2140</w:t>
            </w:r>
            <w:r>
              <w:rPr>
                <w:rFonts w:hint="eastAsia"/>
              </w:rPr>
              <w:t>mg/kg</w:t>
            </w:r>
            <w:r>
              <w:t>(</w:t>
            </w:r>
            <w:r>
              <w:t>大鼠经口</w:t>
            </w:r>
            <w:r>
              <w:t>)</w:t>
            </w:r>
            <w:r>
              <w:t>；</w:t>
            </w:r>
            <w:r>
              <w:t>LC</w:t>
            </w:r>
            <w:r>
              <w:rPr>
                <w:vertAlign w:val="subscript"/>
              </w:rPr>
              <w:t>50</w:t>
            </w:r>
            <w:r>
              <w:t>：</w:t>
            </w:r>
            <w:r>
              <w:t>510</w:t>
            </w:r>
            <w:r>
              <w:rPr>
                <w:rFonts w:hint="eastAsia"/>
              </w:rPr>
              <w:t>mg/</w:t>
            </w:r>
            <w:r>
              <w:t>m³</w:t>
            </w:r>
            <w:r>
              <w:t>，</w:t>
            </w:r>
            <w:r>
              <w:t>2</w:t>
            </w:r>
            <w:r>
              <w:t>小时</w:t>
            </w:r>
            <w:r>
              <w:t>(</w:t>
            </w:r>
            <w:r>
              <w:t>小鼠吸入</w:t>
            </w:r>
            <w:r>
              <w:t>)</w:t>
            </w:r>
          </w:p>
        </w:tc>
      </w:tr>
      <w:tr w:rsidR="003E78AB" w14:paraId="71DE9359" w14:textId="77777777">
        <w:trPr>
          <w:trHeight w:val="317"/>
        </w:trPr>
        <w:tc>
          <w:tcPr>
            <w:tcW w:w="615" w:type="pct"/>
            <w:vAlign w:val="center"/>
          </w:tcPr>
          <w:p w14:paraId="3E435E7B" w14:textId="77777777" w:rsidR="003E78AB" w:rsidRDefault="00010BF9">
            <w:pPr>
              <w:pStyle w:val="aff6"/>
              <w:topLinePunct/>
            </w:pPr>
            <w:r>
              <w:t>对人体危害</w:t>
            </w:r>
          </w:p>
        </w:tc>
        <w:tc>
          <w:tcPr>
            <w:tcW w:w="4384" w:type="pct"/>
            <w:gridSpan w:val="4"/>
            <w:vAlign w:val="center"/>
          </w:tcPr>
          <w:p w14:paraId="398C5C77" w14:textId="77777777" w:rsidR="003E78AB" w:rsidRDefault="00010BF9">
            <w:pPr>
              <w:pStyle w:val="aff6"/>
              <w:topLinePunct/>
              <w:jc w:val="left"/>
            </w:pPr>
            <w:r>
              <w:t>侵入途径：吸入、食</w:t>
            </w:r>
            <w:r>
              <w:rPr>
                <w:rFonts w:hint="eastAsia"/>
              </w:rPr>
              <w:t>入</w:t>
            </w:r>
          </w:p>
          <w:p w14:paraId="58C41B85" w14:textId="77777777" w:rsidR="003E78AB" w:rsidRDefault="00010BF9">
            <w:pPr>
              <w:pStyle w:val="aff6"/>
              <w:topLinePunct/>
              <w:jc w:val="left"/>
            </w:pPr>
            <w:r>
              <w:t>健康危害：对皮肤、粘膜等组织有强烈的刺激和腐蚀作用。蒸气或雾可引起结膜炎、结膜水肿、角膜混浊，以致失明；引起</w:t>
            </w:r>
            <w:r>
              <w:rPr>
                <w:rFonts w:hint="eastAsia"/>
              </w:rPr>
              <w:t>呼吸道</w:t>
            </w:r>
            <w:r>
              <w:t>刺激，重者发生呼吸困难和肺水肿；高浓度引起喉痉挛或声门水肿而窒息死亡。口服后引起消化道烧伤以致溃疡形成；严重者可能有胃穿孔、腹膜炎、肾损害、休克等。皮肤灼伤轻者红斑，重者溃疡，愈后癍痕收缩影响功能。溅入眼内可造成灼伤，甚至角膜穿孔、全眼炎以至失明。</w:t>
            </w:r>
          </w:p>
          <w:p w14:paraId="7660926F" w14:textId="77777777" w:rsidR="003E78AB" w:rsidRDefault="00010BF9">
            <w:pPr>
              <w:pStyle w:val="aff6"/>
              <w:topLinePunct/>
              <w:jc w:val="left"/>
            </w:pPr>
            <w:r>
              <w:t>慢性影响：牙齿酸蚀症、慢性支气管炎、肺气肿和肺硬化。</w:t>
            </w:r>
          </w:p>
        </w:tc>
      </w:tr>
      <w:tr w:rsidR="003E78AB" w14:paraId="6F1E743D" w14:textId="77777777">
        <w:trPr>
          <w:trHeight w:val="219"/>
        </w:trPr>
        <w:tc>
          <w:tcPr>
            <w:tcW w:w="615" w:type="pct"/>
            <w:vAlign w:val="center"/>
          </w:tcPr>
          <w:p w14:paraId="02C7B43F" w14:textId="77777777" w:rsidR="003E78AB" w:rsidRDefault="00010BF9">
            <w:pPr>
              <w:pStyle w:val="aff6"/>
              <w:topLinePunct/>
            </w:pPr>
            <w:r>
              <w:t>急救</w:t>
            </w:r>
          </w:p>
        </w:tc>
        <w:tc>
          <w:tcPr>
            <w:tcW w:w="4384" w:type="pct"/>
            <w:gridSpan w:val="4"/>
            <w:vAlign w:val="center"/>
          </w:tcPr>
          <w:p w14:paraId="425A928E" w14:textId="77777777" w:rsidR="003E78AB" w:rsidRDefault="00010BF9">
            <w:pPr>
              <w:pStyle w:val="aff6"/>
              <w:topLinePunct/>
              <w:jc w:val="left"/>
            </w:pPr>
            <w:r>
              <w:t>皮肤接触：立即脱去被污染的衣着，用大量流动清水冲洗，至少</w:t>
            </w:r>
            <w:r>
              <w:t>15</w:t>
            </w:r>
            <w:r>
              <w:t>分钟，就医。亦可先用水冲洗，再用酒精擦洗，最后涂上甘油。</w:t>
            </w:r>
          </w:p>
          <w:p w14:paraId="27B517DF" w14:textId="77777777" w:rsidR="003E78AB" w:rsidRDefault="00010BF9">
            <w:pPr>
              <w:pStyle w:val="aff6"/>
              <w:topLinePunct/>
              <w:jc w:val="left"/>
            </w:pPr>
            <w:r>
              <w:t>眼睛接触：立即提起眼睑，用大量流动清水或生理盐水冲洗至少</w:t>
            </w:r>
            <w:r>
              <w:t>15</w:t>
            </w:r>
            <w:r>
              <w:t>分钟。就医。</w:t>
            </w:r>
          </w:p>
          <w:p w14:paraId="69619F06" w14:textId="77777777" w:rsidR="003E78AB" w:rsidRDefault="00010BF9">
            <w:pPr>
              <w:pStyle w:val="aff6"/>
              <w:topLinePunct/>
              <w:jc w:val="left"/>
            </w:pPr>
            <w:r>
              <w:t>吸入：迅速脱离现场至新鲜处。保持呼吸道畅通。如呼吸困难，给输氧。如呼吸停止，立即进行人工呼吸。就医。</w:t>
            </w:r>
          </w:p>
          <w:p w14:paraId="611EA14A" w14:textId="77777777" w:rsidR="003E78AB" w:rsidRDefault="00010BF9">
            <w:pPr>
              <w:pStyle w:val="aff6"/>
              <w:topLinePunct/>
              <w:jc w:val="left"/>
            </w:pPr>
            <w:r>
              <w:t>食入：误食者用水漱口，但注意，误入口内浓硫酸不要让患者</w:t>
            </w:r>
            <w:r>
              <w:rPr>
                <w:rFonts w:hint="eastAsia"/>
              </w:rPr>
              <w:t>呕吐</w:t>
            </w:r>
            <w:r>
              <w:t>，昏迷者不能向其口内放任何物体，等醒后以大量水灌入口中洗涤，再饮入单纯有蛋白的牛奶。重症者，就医。</w:t>
            </w:r>
          </w:p>
        </w:tc>
      </w:tr>
      <w:tr w:rsidR="003E78AB" w14:paraId="2E2FBC1A" w14:textId="77777777">
        <w:trPr>
          <w:trHeight w:val="1365"/>
        </w:trPr>
        <w:tc>
          <w:tcPr>
            <w:tcW w:w="615" w:type="pct"/>
            <w:vAlign w:val="center"/>
          </w:tcPr>
          <w:p w14:paraId="7E5E38A0" w14:textId="77777777" w:rsidR="003E78AB" w:rsidRDefault="00010BF9">
            <w:pPr>
              <w:pStyle w:val="aff6"/>
              <w:topLinePunct/>
            </w:pPr>
            <w:r>
              <w:t>防护</w:t>
            </w:r>
          </w:p>
        </w:tc>
        <w:tc>
          <w:tcPr>
            <w:tcW w:w="4384" w:type="pct"/>
            <w:gridSpan w:val="4"/>
            <w:vAlign w:val="center"/>
          </w:tcPr>
          <w:p w14:paraId="7FAF44B0" w14:textId="77777777" w:rsidR="003E78AB" w:rsidRDefault="00010BF9">
            <w:pPr>
              <w:pStyle w:val="aff6"/>
              <w:topLinePunct/>
              <w:jc w:val="left"/>
            </w:pPr>
            <w:r>
              <w:t>工程控制：密闭操作，注意通风。尽可能机械化、自动化。提供安全淋浴和洗眼设备。</w:t>
            </w:r>
          </w:p>
          <w:p w14:paraId="01EB09CE" w14:textId="77777777" w:rsidR="003E78AB" w:rsidRDefault="00010BF9">
            <w:pPr>
              <w:pStyle w:val="aff6"/>
              <w:topLinePunct/>
              <w:jc w:val="left"/>
            </w:pPr>
            <w:r>
              <w:t>呼吸系统防护：可能接触其烟雾时，应佩戴自吸过滤式防毒面具</w:t>
            </w:r>
            <w:r>
              <w:t>(</w:t>
            </w:r>
            <w:r>
              <w:t>全面罩</w:t>
            </w:r>
            <w:r>
              <w:t>)</w:t>
            </w:r>
            <w:r>
              <w:t>或空气呼吸器。紧急抢救或撤离时，建议佩戴氧气呼吸器。</w:t>
            </w:r>
          </w:p>
          <w:p w14:paraId="30E3CCAC" w14:textId="77777777" w:rsidR="003E78AB" w:rsidRDefault="00010BF9">
            <w:pPr>
              <w:pStyle w:val="aff6"/>
              <w:topLinePunct/>
              <w:jc w:val="left"/>
            </w:pPr>
            <w:r>
              <w:t>其他：工作现场禁止吸烟、进食和饮水；工作后，淋浴更衣；单独存放被毒物污染的衣服，洗后备用。保持良好卫生习惯。</w:t>
            </w:r>
          </w:p>
        </w:tc>
      </w:tr>
      <w:tr w:rsidR="003E78AB" w14:paraId="6696FB78" w14:textId="77777777">
        <w:trPr>
          <w:trHeight w:val="1639"/>
        </w:trPr>
        <w:tc>
          <w:tcPr>
            <w:tcW w:w="615" w:type="pct"/>
            <w:vAlign w:val="center"/>
          </w:tcPr>
          <w:p w14:paraId="78500536" w14:textId="77777777" w:rsidR="003E78AB" w:rsidRDefault="00010BF9">
            <w:pPr>
              <w:pStyle w:val="aff6"/>
              <w:topLinePunct/>
            </w:pPr>
            <w:r>
              <w:t>泄漏处理</w:t>
            </w:r>
          </w:p>
        </w:tc>
        <w:tc>
          <w:tcPr>
            <w:tcW w:w="4384" w:type="pct"/>
            <w:gridSpan w:val="4"/>
            <w:vAlign w:val="center"/>
          </w:tcPr>
          <w:p w14:paraId="30E4EBAB" w14:textId="77777777" w:rsidR="003E78AB" w:rsidRDefault="00010BF9">
            <w:pPr>
              <w:pStyle w:val="aff6"/>
              <w:topLinePunct/>
              <w:jc w:val="left"/>
            </w:pPr>
            <w:r>
              <w:t>迅速撤离污染区人员至安全区，并进行隔离，严格限制出入；应急处理人员戴自吸式呼吸器，穿酸碱工作服，不直接接触泄物；尽可能切断泄漏源。防止进入下水道、排洪沟等限制性空间。</w:t>
            </w:r>
          </w:p>
          <w:p w14:paraId="5931CD1F" w14:textId="77777777" w:rsidR="003E78AB" w:rsidRDefault="00010BF9">
            <w:pPr>
              <w:pStyle w:val="aff6"/>
              <w:topLinePunct/>
              <w:jc w:val="left"/>
            </w:pPr>
            <w:r>
              <w:t>小量泄漏：用砂土干燥、石</w:t>
            </w:r>
            <w:r>
              <w:t>灰或苏打水混合。也可以用大量水冲洗，洗水稀释后放入废水系统。大量</w:t>
            </w:r>
            <w:r>
              <w:rPr>
                <w:rFonts w:hint="eastAsia"/>
              </w:rPr>
              <w:t>泄漏</w:t>
            </w:r>
            <w:r>
              <w:t>：构筑围堤或挖坑收容，用泵材移至槽车或专用收集器内，回收或运至废物处理所处置。</w:t>
            </w:r>
          </w:p>
        </w:tc>
      </w:tr>
      <w:tr w:rsidR="003E78AB" w14:paraId="49ED2D87" w14:textId="77777777">
        <w:trPr>
          <w:trHeight w:val="837"/>
        </w:trPr>
        <w:tc>
          <w:tcPr>
            <w:tcW w:w="615" w:type="pct"/>
            <w:vAlign w:val="center"/>
          </w:tcPr>
          <w:p w14:paraId="493A294C" w14:textId="77777777" w:rsidR="003E78AB" w:rsidRDefault="00010BF9">
            <w:pPr>
              <w:pStyle w:val="aff6"/>
              <w:topLinePunct/>
            </w:pPr>
            <w:r>
              <w:t>储运</w:t>
            </w:r>
          </w:p>
        </w:tc>
        <w:tc>
          <w:tcPr>
            <w:tcW w:w="4384" w:type="pct"/>
            <w:gridSpan w:val="4"/>
            <w:vAlign w:val="center"/>
          </w:tcPr>
          <w:p w14:paraId="574F285E" w14:textId="77777777" w:rsidR="003E78AB" w:rsidRDefault="00010BF9">
            <w:pPr>
              <w:pStyle w:val="aff6"/>
              <w:topLinePunct/>
              <w:jc w:val="left"/>
            </w:pPr>
            <w:r>
              <w:t>储存于阴凉、干燥、通风良好的仓间。应于易燃或可燃物、碱类、金属粉末等分开存放。不可混储混运。</w:t>
            </w:r>
          </w:p>
          <w:p w14:paraId="12CC7D3C" w14:textId="77777777" w:rsidR="003E78AB" w:rsidRDefault="00010BF9">
            <w:pPr>
              <w:pStyle w:val="aff6"/>
              <w:topLinePunct/>
              <w:jc w:val="left"/>
            </w:pPr>
            <w:r>
              <w:t>搬运时要轻装轻卸，防止包装及容器损坏。分装和搬运作业要注意个人防护。</w:t>
            </w:r>
          </w:p>
        </w:tc>
      </w:tr>
    </w:tbl>
    <w:p w14:paraId="2AF87FDE" w14:textId="77777777" w:rsidR="003E78AB" w:rsidRDefault="00010BF9">
      <w:pPr>
        <w:pStyle w:val="a"/>
        <w:spacing w:before="120"/>
        <w:ind w:left="425" w:hanging="425"/>
      </w:pPr>
      <w:r>
        <w:rPr>
          <w:rFonts w:hint="eastAsia"/>
        </w:rPr>
        <w:t>磷酸</w:t>
      </w:r>
      <w:r>
        <w:t>性质和危险特性一览表</w:t>
      </w:r>
    </w:p>
    <w:tbl>
      <w:tblPr>
        <w:tblW w:w="4933"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520"/>
        <w:gridCol w:w="227"/>
        <w:gridCol w:w="1901"/>
        <w:gridCol w:w="235"/>
        <w:gridCol w:w="2514"/>
      </w:tblGrid>
      <w:tr w:rsidR="003E78AB" w14:paraId="3D65DAC4" w14:textId="77777777">
        <w:trPr>
          <w:cantSplit/>
          <w:trHeight w:val="315"/>
        </w:trPr>
        <w:tc>
          <w:tcPr>
            <w:tcW w:w="598" w:type="pct"/>
            <w:vMerge w:val="restart"/>
            <w:tcBorders>
              <w:top w:val="single" w:sz="4" w:space="0" w:color="auto"/>
              <w:left w:val="single" w:sz="4" w:space="0" w:color="auto"/>
              <w:bottom w:val="single" w:sz="4" w:space="0" w:color="auto"/>
              <w:right w:val="single" w:sz="4" w:space="0" w:color="auto"/>
            </w:tcBorders>
            <w:vAlign w:val="center"/>
          </w:tcPr>
          <w:p w14:paraId="1A4E29BD" w14:textId="77777777" w:rsidR="003E78AB" w:rsidRDefault="00010BF9">
            <w:pPr>
              <w:pStyle w:val="aff6"/>
              <w:topLinePunct/>
            </w:pPr>
            <w:r>
              <w:rPr>
                <w:rFonts w:hint="eastAsia"/>
              </w:rPr>
              <w:t>标识</w:t>
            </w:r>
          </w:p>
        </w:tc>
        <w:tc>
          <w:tcPr>
            <w:tcW w:w="1634" w:type="pct"/>
            <w:gridSpan w:val="2"/>
            <w:tcBorders>
              <w:top w:val="single" w:sz="4" w:space="0" w:color="auto"/>
              <w:left w:val="single" w:sz="4" w:space="0" w:color="auto"/>
              <w:bottom w:val="single" w:sz="4" w:space="0" w:color="auto"/>
              <w:right w:val="single" w:sz="4" w:space="0" w:color="auto"/>
            </w:tcBorders>
            <w:vAlign w:val="center"/>
          </w:tcPr>
          <w:p w14:paraId="43A3F314" w14:textId="77777777" w:rsidR="003E78AB" w:rsidRDefault="00010BF9">
            <w:pPr>
              <w:pStyle w:val="aff6"/>
              <w:topLinePunct/>
              <w:jc w:val="both"/>
            </w:pPr>
            <w:r>
              <w:t>中文名：磷酸</w:t>
            </w:r>
          </w:p>
        </w:tc>
        <w:tc>
          <w:tcPr>
            <w:tcW w:w="2767" w:type="pct"/>
            <w:gridSpan w:val="3"/>
            <w:tcBorders>
              <w:top w:val="single" w:sz="4" w:space="0" w:color="auto"/>
              <w:left w:val="single" w:sz="4" w:space="0" w:color="auto"/>
              <w:bottom w:val="single" w:sz="4" w:space="0" w:color="auto"/>
              <w:right w:val="single" w:sz="4" w:space="0" w:color="auto"/>
            </w:tcBorders>
            <w:vAlign w:val="center"/>
          </w:tcPr>
          <w:p w14:paraId="03B121AF" w14:textId="77777777" w:rsidR="003E78AB" w:rsidRDefault="00010BF9">
            <w:pPr>
              <w:pStyle w:val="aff6"/>
              <w:topLinePunct/>
              <w:jc w:val="both"/>
            </w:pPr>
            <w:r>
              <w:t>英文名：</w:t>
            </w:r>
            <w:r>
              <w:t>phosphoric acid</w:t>
            </w:r>
            <w:r>
              <w:t>；</w:t>
            </w:r>
            <w:r>
              <w:t>orthophosphoric acid</w:t>
            </w:r>
          </w:p>
        </w:tc>
      </w:tr>
      <w:tr w:rsidR="003E78AB" w14:paraId="3CEFDE20" w14:textId="77777777">
        <w:trPr>
          <w:cantSplit/>
          <w:trHeight w:val="88"/>
        </w:trPr>
        <w:tc>
          <w:tcPr>
            <w:tcW w:w="598" w:type="pct"/>
            <w:vMerge/>
            <w:tcBorders>
              <w:top w:val="single" w:sz="4" w:space="0" w:color="auto"/>
              <w:left w:val="single" w:sz="4" w:space="0" w:color="auto"/>
              <w:bottom w:val="single" w:sz="4" w:space="0" w:color="auto"/>
              <w:right w:val="single" w:sz="4" w:space="0" w:color="auto"/>
            </w:tcBorders>
            <w:vAlign w:val="center"/>
          </w:tcPr>
          <w:p w14:paraId="078660C8"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493B8863" w14:textId="77777777" w:rsidR="003E78AB" w:rsidRDefault="00010BF9">
            <w:pPr>
              <w:pStyle w:val="aff6"/>
              <w:topLinePunct/>
              <w:jc w:val="both"/>
            </w:pPr>
            <w:r>
              <w:t>分子式：</w:t>
            </w:r>
            <w:r>
              <w:t>H</w:t>
            </w:r>
            <w:r>
              <w:rPr>
                <w:vertAlign w:val="subscript"/>
              </w:rPr>
              <w:t>3</w:t>
            </w:r>
            <w:r>
              <w:t>PO</w:t>
            </w:r>
            <w:r>
              <w:rPr>
                <w:vertAlign w:val="subscript"/>
              </w:rPr>
              <w:t>4</w:t>
            </w:r>
          </w:p>
        </w:tc>
        <w:tc>
          <w:tcPr>
            <w:tcW w:w="1406" w:type="pct"/>
            <w:gridSpan w:val="3"/>
            <w:tcBorders>
              <w:top w:val="single" w:sz="4" w:space="0" w:color="auto"/>
              <w:left w:val="single" w:sz="4" w:space="0" w:color="auto"/>
              <w:bottom w:val="single" w:sz="4" w:space="0" w:color="auto"/>
              <w:right w:val="single" w:sz="4" w:space="0" w:color="auto"/>
            </w:tcBorders>
            <w:vAlign w:val="center"/>
          </w:tcPr>
          <w:p w14:paraId="0BEC0C7E" w14:textId="77777777" w:rsidR="003E78AB" w:rsidRDefault="00010BF9">
            <w:pPr>
              <w:pStyle w:val="aff6"/>
              <w:topLinePunct/>
              <w:jc w:val="both"/>
            </w:pPr>
            <w:r>
              <w:t>分子量：</w:t>
            </w:r>
            <w:r>
              <w:t>98.00</w:t>
            </w:r>
          </w:p>
        </w:tc>
        <w:tc>
          <w:tcPr>
            <w:tcW w:w="1495" w:type="pct"/>
            <w:tcBorders>
              <w:top w:val="single" w:sz="4" w:space="0" w:color="auto"/>
              <w:left w:val="single" w:sz="4" w:space="0" w:color="auto"/>
              <w:bottom w:val="single" w:sz="4" w:space="0" w:color="auto"/>
              <w:right w:val="single" w:sz="4" w:space="0" w:color="auto"/>
            </w:tcBorders>
            <w:vAlign w:val="center"/>
          </w:tcPr>
          <w:p w14:paraId="79A7FF08" w14:textId="77777777" w:rsidR="003E78AB" w:rsidRDefault="00010BF9">
            <w:pPr>
              <w:pStyle w:val="aff6"/>
              <w:topLinePunct/>
              <w:jc w:val="both"/>
            </w:pPr>
            <w:r>
              <w:t>CAS</w:t>
            </w:r>
            <w:r>
              <w:t>号：</w:t>
            </w:r>
            <w:r>
              <w:t>7664-38-2</w:t>
            </w:r>
          </w:p>
        </w:tc>
      </w:tr>
      <w:tr w:rsidR="003E78AB" w14:paraId="6CA8A39F" w14:textId="77777777">
        <w:trPr>
          <w:cantSplit/>
          <w:trHeight w:val="330"/>
        </w:trPr>
        <w:tc>
          <w:tcPr>
            <w:tcW w:w="598" w:type="pct"/>
            <w:vMerge/>
            <w:tcBorders>
              <w:top w:val="single" w:sz="4" w:space="0" w:color="auto"/>
              <w:left w:val="single" w:sz="4" w:space="0" w:color="auto"/>
              <w:bottom w:val="single" w:sz="4" w:space="0" w:color="auto"/>
              <w:right w:val="single" w:sz="4" w:space="0" w:color="auto"/>
            </w:tcBorders>
            <w:vAlign w:val="center"/>
          </w:tcPr>
          <w:p w14:paraId="59295428" w14:textId="77777777" w:rsidR="003E78AB" w:rsidRDefault="003E78AB">
            <w:pPr>
              <w:pStyle w:val="aff6"/>
              <w:topLinePunct/>
            </w:pP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218E56E7" w14:textId="77777777" w:rsidR="003E78AB" w:rsidRDefault="00010BF9">
            <w:pPr>
              <w:pStyle w:val="aff6"/>
              <w:topLinePunct/>
              <w:jc w:val="both"/>
            </w:pPr>
            <w:r>
              <w:t>危规号：</w:t>
            </w:r>
            <w:r>
              <w:t>81501</w:t>
            </w:r>
          </w:p>
        </w:tc>
      </w:tr>
      <w:tr w:rsidR="003E78AB" w14:paraId="0C3A8753" w14:textId="77777777">
        <w:trPr>
          <w:cantSplit/>
          <w:trHeight w:val="186"/>
        </w:trPr>
        <w:tc>
          <w:tcPr>
            <w:tcW w:w="598" w:type="pct"/>
            <w:vMerge w:val="restart"/>
            <w:tcBorders>
              <w:top w:val="single" w:sz="4" w:space="0" w:color="auto"/>
              <w:left w:val="single" w:sz="4" w:space="0" w:color="auto"/>
              <w:bottom w:val="single" w:sz="4" w:space="0" w:color="auto"/>
              <w:right w:val="single" w:sz="4" w:space="0" w:color="auto"/>
            </w:tcBorders>
            <w:vAlign w:val="center"/>
          </w:tcPr>
          <w:p w14:paraId="1C9A0473" w14:textId="77777777" w:rsidR="003E78AB" w:rsidRDefault="00010BF9">
            <w:pPr>
              <w:pStyle w:val="aff6"/>
              <w:topLinePunct/>
            </w:pPr>
            <w:r>
              <w:rPr>
                <w:rFonts w:hint="eastAsia"/>
              </w:rPr>
              <w:t>理化性质</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5BA962A7" w14:textId="77777777" w:rsidR="003E78AB" w:rsidRDefault="00010BF9">
            <w:pPr>
              <w:pStyle w:val="aff6"/>
              <w:topLinePunct/>
              <w:jc w:val="both"/>
            </w:pPr>
            <w:r>
              <w:t>性状：纯磷酸为无色结晶，无臭，具有酸味。</w:t>
            </w:r>
          </w:p>
        </w:tc>
      </w:tr>
      <w:tr w:rsidR="003E78AB" w14:paraId="0826C2D1" w14:textId="77777777">
        <w:trPr>
          <w:cantSplit/>
          <w:trHeight w:val="300"/>
        </w:trPr>
        <w:tc>
          <w:tcPr>
            <w:tcW w:w="598" w:type="pct"/>
            <w:vMerge/>
            <w:tcBorders>
              <w:top w:val="single" w:sz="4" w:space="0" w:color="auto"/>
              <w:left w:val="single" w:sz="4" w:space="0" w:color="auto"/>
              <w:bottom w:val="single" w:sz="4" w:space="0" w:color="auto"/>
              <w:right w:val="single" w:sz="4" w:space="0" w:color="auto"/>
            </w:tcBorders>
            <w:vAlign w:val="center"/>
          </w:tcPr>
          <w:p w14:paraId="3C6628C9" w14:textId="77777777" w:rsidR="003E78AB" w:rsidRDefault="003E78AB">
            <w:pPr>
              <w:pStyle w:val="aff6"/>
              <w:topLinePunct/>
            </w:pP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36377240" w14:textId="77777777" w:rsidR="003E78AB" w:rsidRDefault="00010BF9">
            <w:pPr>
              <w:pStyle w:val="aff6"/>
              <w:topLinePunct/>
              <w:jc w:val="both"/>
            </w:pPr>
            <w:r>
              <w:t>溶解性：与水混溶，可混溶于乙醇。</w:t>
            </w:r>
          </w:p>
        </w:tc>
      </w:tr>
      <w:tr w:rsidR="003E78AB" w14:paraId="116EFF9D" w14:textId="77777777">
        <w:trPr>
          <w:cantSplit/>
          <w:trHeight w:val="285"/>
        </w:trPr>
        <w:tc>
          <w:tcPr>
            <w:tcW w:w="598" w:type="pct"/>
            <w:vMerge/>
            <w:tcBorders>
              <w:top w:val="single" w:sz="4" w:space="0" w:color="auto"/>
              <w:left w:val="single" w:sz="4" w:space="0" w:color="auto"/>
              <w:bottom w:val="single" w:sz="4" w:space="0" w:color="auto"/>
              <w:right w:val="single" w:sz="4" w:space="0" w:color="auto"/>
            </w:tcBorders>
            <w:vAlign w:val="center"/>
          </w:tcPr>
          <w:p w14:paraId="520C7CEE"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4421885C" w14:textId="77777777" w:rsidR="003E78AB" w:rsidRDefault="00010BF9">
            <w:pPr>
              <w:pStyle w:val="aff6"/>
              <w:topLinePunct/>
              <w:jc w:val="both"/>
            </w:pPr>
            <w:r>
              <w:t>熔点（</w:t>
            </w:r>
            <w:r>
              <w:t>℃</w:t>
            </w:r>
            <w:r>
              <w:t>）：</w:t>
            </w:r>
            <w:r>
              <w:t>42.4</w:t>
            </w:r>
            <w:r>
              <w:t>（纯品）</w:t>
            </w:r>
          </w:p>
        </w:tc>
        <w:tc>
          <w:tcPr>
            <w:tcW w:w="1266" w:type="pct"/>
            <w:gridSpan w:val="2"/>
            <w:tcBorders>
              <w:top w:val="single" w:sz="4" w:space="0" w:color="auto"/>
              <w:left w:val="single" w:sz="4" w:space="0" w:color="auto"/>
              <w:bottom w:val="single" w:sz="4" w:space="0" w:color="auto"/>
              <w:right w:val="single" w:sz="4" w:space="0" w:color="auto"/>
            </w:tcBorders>
            <w:vAlign w:val="center"/>
          </w:tcPr>
          <w:p w14:paraId="5578F95A" w14:textId="77777777" w:rsidR="003E78AB" w:rsidRDefault="00010BF9">
            <w:pPr>
              <w:pStyle w:val="aff6"/>
              <w:topLinePunct/>
              <w:jc w:val="both"/>
            </w:pPr>
            <w:r>
              <w:t>沸点（</w:t>
            </w:r>
            <w:r>
              <w:t>℃</w:t>
            </w:r>
            <w:r>
              <w:t>）：</w:t>
            </w:r>
            <w:r>
              <w:t>260</w:t>
            </w:r>
          </w:p>
        </w:tc>
        <w:tc>
          <w:tcPr>
            <w:tcW w:w="1635" w:type="pct"/>
            <w:gridSpan w:val="2"/>
            <w:tcBorders>
              <w:top w:val="single" w:sz="4" w:space="0" w:color="auto"/>
              <w:left w:val="single" w:sz="4" w:space="0" w:color="auto"/>
              <w:bottom w:val="single" w:sz="4" w:space="0" w:color="auto"/>
              <w:right w:val="single" w:sz="4" w:space="0" w:color="auto"/>
            </w:tcBorders>
            <w:vAlign w:val="center"/>
          </w:tcPr>
          <w:p w14:paraId="1D02D9EC" w14:textId="77777777" w:rsidR="003E78AB" w:rsidRDefault="00010BF9">
            <w:pPr>
              <w:pStyle w:val="aff6"/>
              <w:topLinePunct/>
              <w:jc w:val="both"/>
            </w:pPr>
            <w:r>
              <w:t>相对密度（水＝</w:t>
            </w:r>
            <w:r>
              <w:t>1</w:t>
            </w:r>
            <w:r>
              <w:t>）：</w:t>
            </w:r>
            <w:r>
              <w:t>1.87</w:t>
            </w:r>
            <w:r>
              <w:t>（纯品）</w:t>
            </w:r>
          </w:p>
        </w:tc>
      </w:tr>
      <w:tr w:rsidR="003E78AB" w14:paraId="0035566F" w14:textId="77777777">
        <w:trPr>
          <w:cantSplit/>
          <w:trHeight w:val="225"/>
        </w:trPr>
        <w:tc>
          <w:tcPr>
            <w:tcW w:w="598" w:type="pct"/>
            <w:vMerge/>
            <w:tcBorders>
              <w:top w:val="single" w:sz="4" w:space="0" w:color="auto"/>
              <w:left w:val="single" w:sz="4" w:space="0" w:color="auto"/>
              <w:bottom w:val="single" w:sz="4" w:space="0" w:color="auto"/>
              <w:right w:val="single" w:sz="4" w:space="0" w:color="auto"/>
            </w:tcBorders>
            <w:vAlign w:val="center"/>
          </w:tcPr>
          <w:p w14:paraId="6A50EB72"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3D656435" w14:textId="77777777" w:rsidR="003E78AB" w:rsidRDefault="00010BF9">
            <w:pPr>
              <w:pStyle w:val="aff6"/>
              <w:topLinePunct/>
              <w:jc w:val="both"/>
            </w:pPr>
            <w:r>
              <w:t>临界温度（</w:t>
            </w:r>
            <w:r>
              <w:t>℃</w:t>
            </w:r>
            <w:r>
              <w:t>）：</w:t>
            </w:r>
          </w:p>
        </w:tc>
        <w:tc>
          <w:tcPr>
            <w:tcW w:w="1266" w:type="pct"/>
            <w:gridSpan w:val="2"/>
            <w:tcBorders>
              <w:top w:val="single" w:sz="4" w:space="0" w:color="auto"/>
              <w:left w:val="single" w:sz="4" w:space="0" w:color="auto"/>
              <w:bottom w:val="single" w:sz="4" w:space="0" w:color="auto"/>
              <w:right w:val="single" w:sz="4" w:space="0" w:color="auto"/>
            </w:tcBorders>
            <w:vAlign w:val="center"/>
          </w:tcPr>
          <w:p w14:paraId="75C21F64" w14:textId="77777777" w:rsidR="003E78AB" w:rsidRDefault="00010BF9">
            <w:pPr>
              <w:pStyle w:val="aff6"/>
              <w:topLinePunct/>
              <w:jc w:val="both"/>
            </w:pPr>
            <w:r>
              <w:t>临界压力（</w:t>
            </w:r>
            <w:r>
              <w:t>MPa</w:t>
            </w:r>
            <w:r>
              <w:t>）：</w:t>
            </w:r>
          </w:p>
        </w:tc>
        <w:tc>
          <w:tcPr>
            <w:tcW w:w="1635" w:type="pct"/>
            <w:gridSpan w:val="2"/>
            <w:tcBorders>
              <w:top w:val="single" w:sz="4" w:space="0" w:color="auto"/>
              <w:left w:val="single" w:sz="4" w:space="0" w:color="auto"/>
              <w:bottom w:val="single" w:sz="4" w:space="0" w:color="auto"/>
              <w:right w:val="single" w:sz="4" w:space="0" w:color="auto"/>
            </w:tcBorders>
            <w:vAlign w:val="center"/>
          </w:tcPr>
          <w:p w14:paraId="333B2CE0" w14:textId="77777777" w:rsidR="003E78AB" w:rsidRDefault="00010BF9">
            <w:pPr>
              <w:pStyle w:val="aff6"/>
              <w:topLinePunct/>
              <w:jc w:val="both"/>
            </w:pPr>
            <w:r>
              <w:t>相对密度（空气＝</w:t>
            </w:r>
            <w:r>
              <w:t>1</w:t>
            </w:r>
            <w:r>
              <w:t>）：</w:t>
            </w:r>
            <w:r>
              <w:t>3.38</w:t>
            </w:r>
          </w:p>
        </w:tc>
      </w:tr>
      <w:tr w:rsidR="003E78AB" w14:paraId="24BE2C6F" w14:textId="77777777">
        <w:trPr>
          <w:cantSplit/>
          <w:trHeight w:val="225"/>
        </w:trPr>
        <w:tc>
          <w:tcPr>
            <w:tcW w:w="598" w:type="pct"/>
            <w:vMerge/>
            <w:tcBorders>
              <w:top w:val="single" w:sz="4" w:space="0" w:color="auto"/>
              <w:left w:val="single" w:sz="4" w:space="0" w:color="auto"/>
              <w:bottom w:val="single" w:sz="4" w:space="0" w:color="auto"/>
              <w:right w:val="single" w:sz="4" w:space="0" w:color="auto"/>
            </w:tcBorders>
            <w:vAlign w:val="center"/>
          </w:tcPr>
          <w:p w14:paraId="194197A0"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04628A8E" w14:textId="77777777" w:rsidR="003E78AB" w:rsidRDefault="00010BF9">
            <w:pPr>
              <w:pStyle w:val="aff6"/>
              <w:topLinePunct/>
              <w:jc w:val="both"/>
            </w:pPr>
            <w:r>
              <w:t>燃烧热（</w:t>
            </w:r>
            <w:r>
              <w:t>KJ/mol</w:t>
            </w:r>
            <w:r>
              <w:t>）：</w:t>
            </w:r>
          </w:p>
        </w:tc>
        <w:tc>
          <w:tcPr>
            <w:tcW w:w="1266" w:type="pct"/>
            <w:gridSpan w:val="2"/>
            <w:tcBorders>
              <w:top w:val="single" w:sz="4" w:space="0" w:color="auto"/>
              <w:left w:val="single" w:sz="4" w:space="0" w:color="auto"/>
              <w:bottom w:val="single" w:sz="4" w:space="0" w:color="auto"/>
              <w:right w:val="single" w:sz="4" w:space="0" w:color="auto"/>
            </w:tcBorders>
            <w:vAlign w:val="center"/>
          </w:tcPr>
          <w:p w14:paraId="536A189F" w14:textId="77777777" w:rsidR="003E78AB" w:rsidRDefault="00010BF9">
            <w:pPr>
              <w:pStyle w:val="aff6"/>
              <w:topLinePunct/>
              <w:jc w:val="both"/>
            </w:pPr>
            <w:r>
              <w:t>最小点火能（</w:t>
            </w:r>
            <w:r>
              <w:t>mJ</w:t>
            </w:r>
            <w:r>
              <w:t>）：</w:t>
            </w:r>
          </w:p>
        </w:tc>
        <w:tc>
          <w:tcPr>
            <w:tcW w:w="1635" w:type="pct"/>
            <w:gridSpan w:val="2"/>
            <w:tcBorders>
              <w:top w:val="single" w:sz="4" w:space="0" w:color="auto"/>
              <w:left w:val="single" w:sz="4" w:space="0" w:color="auto"/>
              <w:bottom w:val="single" w:sz="4" w:space="0" w:color="auto"/>
              <w:right w:val="single" w:sz="4" w:space="0" w:color="auto"/>
            </w:tcBorders>
            <w:vAlign w:val="center"/>
          </w:tcPr>
          <w:p w14:paraId="283F7026" w14:textId="77777777" w:rsidR="003E78AB" w:rsidRDefault="00010BF9">
            <w:pPr>
              <w:pStyle w:val="aff6"/>
              <w:topLinePunct/>
              <w:jc w:val="both"/>
            </w:pPr>
            <w:r>
              <w:t>饱和蒸汽压（</w:t>
            </w:r>
            <w:r>
              <w:t>KPa</w:t>
            </w:r>
            <w:r>
              <w:t>）：</w:t>
            </w:r>
            <w:r>
              <w:t>0.67</w:t>
            </w:r>
            <w:r>
              <w:t>（</w:t>
            </w:r>
            <w:r>
              <w:t>25℃</w:t>
            </w:r>
            <w:r>
              <w:t>，纯品）</w:t>
            </w:r>
          </w:p>
        </w:tc>
      </w:tr>
      <w:tr w:rsidR="003E78AB" w14:paraId="27379B80" w14:textId="77777777">
        <w:trPr>
          <w:cantSplit/>
          <w:trHeight w:val="285"/>
        </w:trPr>
        <w:tc>
          <w:tcPr>
            <w:tcW w:w="598" w:type="pct"/>
            <w:vMerge w:val="restart"/>
            <w:tcBorders>
              <w:top w:val="single" w:sz="4" w:space="0" w:color="auto"/>
              <w:left w:val="single" w:sz="4" w:space="0" w:color="auto"/>
              <w:bottom w:val="single" w:sz="4" w:space="0" w:color="auto"/>
              <w:right w:val="single" w:sz="4" w:space="0" w:color="auto"/>
            </w:tcBorders>
            <w:vAlign w:val="center"/>
          </w:tcPr>
          <w:p w14:paraId="2EBB74DE" w14:textId="77777777" w:rsidR="003E78AB" w:rsidRDefault="00010BF9">
            <w:pPr>
              <w:pStyle w:val="aff6"/>
              <w:topLinePunct/>
            </w:pPr>
            <w:r>
              <w:rPr>
                <w:rFonts w:hint="eastAsia"/>
              </w:rPr>
              <w:t>燃烧爆炸危险性</w:t>
            </w:r>
          </w:p>
        </w:tc>
        <w:tc>
          <w:tcPr>
            <w:tcW w:w="1499" w:type="pct"/>
            <w:tcBorders>
              <w:top w:val="single" w:sz="4" w:space="0" w:color="auto"/>
              <w:left w:val="single" w:sz="4" w:space="0" w:color="auto"/>
              <w:bottom w:val="single" w:sz="4" w:space="0" w:color="auto"/>
              <w:right w:val="single" w:sz="4" w:space="0" w:color="auto"/>
            </w:tcBorders>
            <w:vAlign w:val="center"/>
          </w:tcPr>
          <w:p w14:paraId="687F3A9E" w14:textId="77777777" w:rsidR="003E78AB" w:rsidRDefault="00010BF9">
            <w:pPr>
              <w:pStyle w:val="aff6"/>
              <w:topLinePunct/>
              <w:jc w:val="both"/>
            </w:pPr>
            <w:r>
              <w:t>燃烧性：不燃</w:t>
            </w:r>
          </w:p>
        </w:tc>
        <w:tc>
          <w:tcPr>
            <w:tcW w:w="2902" w:type="pct"/>
            <w:gridSpan w:val="4"/>
            <w:tcBorders>
              <w:top w:val="single" w:sz="4" w:space="0" w:color="auto"/>
              <w:left w:val="single" w:sz="4" w:space="0" w:color="auto"/>
              <w:bottom w:val="single" w:sz="4" w:space="0" w:color="auto"/>
              <w:right w:val="single" w:sz="4" w:space="0" w:color="auto"/>
            </w:tcBorders>
            <w:vAlign w:val="center"/>
          </w:tcPr>
          <w:p w14:paraId="73F8B4A9" w14:textId="77777777" w:rsidR="003E78AB" w:rsidRDefault="00010BF9">
            <w:pPr>
              <w:pStyle w:val="aff6"/>
              <w:topLinePunct/>
              <w:jc w:val="both"/>
            </w:pPr>
            <w:r>
              <w:t>燃烧分解产物：氧化磷</w:t>
            </w:r>
            <w:r>
              <w:t xml:space="preserve"> </w:t>
            </w:r>
          </w:p>
        </w:tc>
      </w:tr>
      <w:tr w:rsidR="003E78AB" w14:paraId="71B4463B" w14:textId="77777777">
        <w:trPr>
          <w:cantSplit/>
          <w:trHeight w:val="255"/>
        </w:trPr>
        <w:tc>
          <w:tcPr>
            <w:tcW w:w="598" w:type="pct"/>
            <w:vMerge/>
            <w:tcBorders>
              <w:top w:val="single" w:sz="4" w:space="0" w:color="auto"/>
              <w:left w:val="single" w:sz="4" w:space="0" w:color="auto"/>
              <w:bottom w:val="single" w:sz="4" w:space="0" w:color="auto"/>
              <w:right w:val="single" w:sz="4" w:space="0" w:color="auto"/>
            </w:tcBorders>
            <w:vAlign w:val="center"/>
          </w:tcPr>
          <w:p w14:paraId="1B554AC1"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32218C01" w14:textId="77777777" w:rsidR="003E78AB" w:rsidRDefault="00010BF9">
            <w:pPr>
              <w:pStyle w:val="aff6"/>
              <w:topLinePunct/>
              <w:jc w:val="both"/>
            </w:pPr>
            <w:r>
              <w:t>闪点（</w:t>
            </w:r>
            <w:r>
              <w:t>℃</w:t>
            </w:r>
            <w:r>
              <w:t>）：</w:t>
            </w:r>
          </w:p>
        </w:tc>
        <w:tc>
          <w:tcPr>
            <w:tcW w:w="2902" w:type="pct"/>
            <w:gridSpan w:val="4"/>
            <w:tcBorders>
              <w:top w:val="single" w:sz="4" w:space="0" w:color="auto"/>
              <w:left w:val="single" w:sz="4" w:space="0" w:color="auto"/>
              <w:bottom w:val="single" w:sz="4" w:space="0" w:color="auto"/>
              <w:right w:val="single" w:sz="4" w:space="0" w:color="auto"/>
            </w:tcBorders>
            <w:vAlign w:val="center"/>
          </w:tcPr>
          <w:p w14:paraId="4C04DD8D" w14:textId="77777777" w:rsidR="003E78AB" w:rsidRDefault="00010BF9">
            <w:pPr>
              <w:pStyle w:val="aff6"/>
              <w:topLinePunct/>
              <w:jc w:val="both"/>
            </w:pPr>
            <w:r>
              <w:t>聚合危害：不聚合</w:t>
            </w:r>
          </w:p>
        </w:tc>
      </w:tr>
      <w:tr w:rsidR="003E78AB" w14:paraId="34611F5A" w14:textId="77777777">
        <w:trPr>
          <w:cantSplit/>
          <w:trHeight w:val="255"/>
        </w:trPr>
        <w:tc>
          <w:tcPr>
            <w:tcW w:w="598" w:type="pct"/>
            <w:vMerge/>
            <w:tcBorders>
              <w:top w:val="single" w:sz="4" w:space="0" w:color="auto"/>
              <w:left w:val="single" w:sz="4" w:space="0" w:color="auto"/>
              <w:bottom w:val="single" w:sz="4" w:space="0" w:color="auto"/>
              <w:right w:val="single" w:sz="4" w:space="0" w:color="auto"/>
            </w:tcBorders>
            <w:vAlign w:val="center"/>
          </w:tcPr>
          <w:p w14:paraId="2BF747BC"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4887CC57" w14:textId="77777777" w:rsidR="003E78AB" w:rsidRDefault="00010BF9">
            <w:pPr>
              <w:pStyle w:val="aff6"/>
              <w:topLinePunct/>
              <w:jc w:val="both"/>
            </w:pPr>
            <w:r>
              <w:t>爆炸下限（</w:t>
            </w:r>
            <w:r>
              <w:rPr>
                <w:rFonts w:hint="eastAsia"/>
              </w:rPr>
              <w:t>%</w:t>
            </w:r>
            <w:r>
              <w:t>）：</w:t>
            </w:r>
          </w:p>
        </w:tc>
        <w:tc>
          <w:tcPr>
            <w:tcW w:w="2902" w:type="pct"/>
            <w:gridSpan w:val="4"/>
            <w:tcBorders>
              <w:top w:val="single" w:sz="4" w:space="0" w:color="auto"/>
              <w:left w:val="single" w:sz="4" w:space="0" w:color="auto"/>
              <w:bottom w:val="single" w:sz="4" w:space="0" w:color="auto"/>
              <w:right w:val="single" w:sz="4" w:space="0" w:color="auto"/>
            </w:tcBorders>
            <w:vAlign w:val="center"/>
          </w:tcPr>
          <w:p w14:paraId="1CB705AB" w14:textId="77777777" w:rsidR="003E78AB" w:rsidRDefault="00010BF9">
            <w:pPr>
              <w:pStyle w:val="aff6"/>
              <w:topLinePunct/>
              <w:jc w:val="both"/>
            </w:pPr>
            <w:r>
              <w:t>稳定性：</w:t>
            </w:r>
          </w:p>
        </w:tc>
      </w:tr>
      <w:tr w:rsidR="003E78AB" w14:paraId="6101DAC7" w14:textId="77777777">
        <w:trPr>
          <w:cantSplit/>
          <w:trHeight w:val="255"/>
        </w:trPr>
        <w:tc>
          <w:tcPr>
            <w:tcW w:w="598" w:type="pct"/>
            <w:vMerge/>
            <w:tcBorders>
              <w:top w:val="single" w:sz="4" w:space="0" w:color="auto"/>
              <w:left w:val="single" w:sz="4" w:space="0" w:color="auto"/>
              <w:bottom w:val="single" w:sz="4" w:space="0" w:color="auto"/>
              <w:right w:val="single" w:sz="4" w:space="0" w:color="auto"/>
            </w:tcBorders>
            <w:vAlign w:val="center"/>
          </w:tcPr>
          <w:p w14:paraId="0CFC9C4F"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520549A8" w14:textId="77777777" w:rsidR="003E78AB" w:rsidRDefault="00010BF9">
            <w:pPr>
              <w:pStyle w:val="aff6"/>
              <w:topLinePunct/>
              <w:jc w:val="both"/>
            </w:pPr>
            <w:r>
              <w:t>爆炸上限（</w:t>
            </w:r>
            <w:r>
              <w:rPr>
                <w:rFonts w:hint="eastAsia"/>
              </w:rPr>
              <w:t>%</w:t>
            </w:r>
            <w:r>
              <w:t>）：</w:t>
            </w:r>
          </w:p>
        </w:tc>
        <w:tc>
          <w:tcPr>
            <w:tcW w:w="2902" w:type="pct"/>
            <w:gridSpan w:val="4"/>
            <w:tcBorders>
              <w:top w:val="single" w:sz="4" w:space="0" w:color="auto"/>
              <w:left w:val="single" w:sz="4" w:space="0" w:color="auto"/>
              <w:bottom w:val="single" w:sz="4" w:space="0" w:color="auto"/>
              <w:right w:val="single" w:sz="4" w:space="0" w:color="auto"/>
            </w:tcBorders>
            <w:vAlign w:val="center"/>
          </w:tcPr>
          <w:p w14:paraId="2FE78C65" w14:textId="77777777" w:rsidR="003E78AB" w:rsidRDefault="00010BF9">
            <w:pPr>
              <w:pStyle w:val="aff6"/>
              <w:topLinePunct/>
              <w:jc w:val="both"/>
            </w:pPr>
            <w:r>
              <w:t>最大爆炸压力（</w:t>
            </w:r>
            <w:r>
              <w:t>MPa</w:t>
            </w:r>
            <w:r>
              <w:t>）：</w:t>
            </w:r>
          </w:p>
        </w:tc>
      </w:tr>
      <w:tr w:rsidR="003E78AB" w14:paraId="6CCE0AF2" w14:textId="77777777">
        <w:trPr>
          <w:cantSplit/>
          <w:trHeight w:val="240"/>
        </w:trPr>
        <w:tc>
          <w:tcPr>
            <w:tcW w:w="598" w:type="pct"/>
            <w:vMerge/>
            <w:tcBorders>
              <w:top w:val="single" w:sz="4" w:space="0" w:color="auto"/>
              <w:left w:val="single" w:sz="4" w:space="0" w:color="auto"/>
              <w:bottom w:val="single" w:sz="4" w:space="0" w:color="auto"/>
              <w:right w:val="single" w:sz="4" w:space="0" w:color="auto"/>
            </w:tcBorders>
            <w:vAlign w:val="center"/>
          </w:tcPr>
          <w:p w14:paraId="1F32E733" w14:textId="77777777" w:rsidR="003E78AB" w:rsidRDefault="003E78AB">
            <w:pPr>
              <w:pStyle w:val="aff6"/>
              <w:topLinePunct/>
            </w:pPr>
          </w:p>
        </w:tc>
        <w:tc>
          <w:tcPr>
            <w:tcW w:w="1499" w:type="pct"/>
            <w:tcBorders>
              <w:top w:val="single" w:sz="4" w:space="0" w:color="auto"/>
              <w:left w:val="single" w:sz="4" w:space="0" w:color="auto"/>
              <w:bottom w:val="single" w:sz="4" w:space="0" w:color="auto"/>
              <w:right w:val="single" w:sz="4" w:space="0" w:color="auto"/>
            </w:tcBorders>
            <w:vAlign w:val="center"/>
          </w:tcPr>
          <w:p w14:paraId="7EDC605F" w14:textId="77777777" w:rsidR="003E78AB" w:rsidRDefault="00010BF9">
            <w:pPr>
              <w:pStyle w:val="aff6"/>
              <w:topLinePunct/>
              <w:jc w:val="both"/>
            </w:pPr>
            <w:r>
              <w:t>引燃温度（</w:t>
            </w:r>
            <w:r>
              <w:t>℃</w:t>
            </w:r>
            <w:r>
              <w:t>）：</w:t>
            </w:r>
          </w:p>
        </w:tc>
        <w:tc>
          <w:tcPr>
            <w:tcW w:w="2902" w:type="pct"/>
            <w:gridSpan w:val="4"/>
            <w:tcBorders>
              <w:top w:val="single" w:sz="4" w:space="0" w:color="auto"/>
              <w:left w:val="single" w:sz="4" w:space="0" w:color="auto"/>
              <w:bottom w:val="single" w:sz="4" w:space="0" w:color="auto"/>
              <w:right w:val="single" w:sz="4" w:space="0" w:color="auto"/>
            </w:tcBorders>
            <w:vAlign w:val="center"/>
          </w:tcPr>
          <w:p w14:paraId="676A1C56" w14:textId="77777777" w:rsidR="003E78AB" w:rsidRDefault="00010BF9">
            <w:pPr>
              <w:pStyle w:val="aff6"/>
              <w:topLinePunct/>
              <w:jc w:val="both"/>
            </w:pPr>
            <w:r>
              <w:t>禁忌物：强碱、活性金属粉末、易燃或可燃物。</w:t>
            </w:r>
          </w:p>
        </w:tc>
      </w:tr>
      <w:tr w:rsidR="003E78AB" w14:paraId="3F5D8C67" w14:textId="77777777">
        <w:trPr>
          <w:cantSplit/>
          <w:trHeight w:val="147"/>
        </w:trPr>
        <w:tc>
          <w:tcPr>
            <w:tcW w:w="598" w:type="pct"/>
            <w:vMerge/>
            <w:tcBorders>
              <w:top w:val="single" w:sz="4" w:space="0" w:color="auto"/>
              <w:left w:val="single" w:sz="4" w:space="0" w:color="auto"/>
              <w:bottom w:val="single" w:sz="4" w:space="0" w:color="auto"/>
              <w:right w:val="single" w:sz="4" w:space="0" w:color="auto"/>
            </w:tcBorders>
            <w:vAlign w:val="center"/>
          </w:tcPr>
          <w:p w14:paraId="3786E1D9" w14:textId="77777777" w:rsidR="003E78AB" w:rsidRDefault="003E78AB">
            <w:pPr>
              <w:pStyle w:val="aff6"/>
              <w:topLinePunct/>
            </w:pP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4C930617" w14:textId="77777777" w:rsidR="003E78AB" w:rsidRDefault="00010BF9">
            <w:pPr>
              <w:pStyle w:val="aff6"/>
              <w:topLinePunct/>
              <w:jc w:val="both"/>
            </w:pPr>
            <w:r>
              <w:t>危险特性：遇金属反应放出氢气，能与空气形成爆炸性混合物。受热分解产生剧毒的氧化磷烟气。具有腐蚀性。</w:t>
            </w:r>
          </w:p>
        </w:tc>
      </w:tr>
      <w:tr w:rsidR="003E78AB" w14:paraId="4B1DCFDA" w14:textId="77777777">
        <w:trPr>
          <w:cantSplit/>
          <w:trHeight w:val="292"/>
        </w:trPr>
        <w:tc>
          <w:tcPr>
            <w:tcW w:w="598" w:type="pct"/>
            <w:vMerge/>
            <w:tcBorders>
              <w:top w:val="single" w:sz="4" w:space="0" w:color="auto"/>
              <w:left w:val="single" w:sz="4" w:space="0" w:color="auto"/>
              <w:bottom w:val="single" w:sz="4" w:space="0" w:color="auto"/>
              <w:right w:val="single" w:sz="4" w:space="0" w:color="auto"/>
            </w:tcBorders>
            <w:vAlign w:val="center"/>
          </w:tcPr>
          <w:p w14:paraId="02E0226A" w14:textId="77777777" w:rsidR="003E78AB" w:rsidRDefault="003E78AB">
            <w:pPr>
              <w:pStyle w:val="aff6"/>
              <w:topLinePunct/>
            </w:pP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6B94EB8F" w14:textId="77777777" w:rsidR="003E78AB" w:rsidRDefault="00010BF9">
            <w:pPr>
              <w:pStyle w:val="aff6"/>
              <w:topLinePunct/>
              <w:jc w:val="both"/>
            </w:pPr>
            <w:r>
              <w:t>灭火方法：用雾状水保持火场中容器冷却。用大量水灭火。</w:t>
            </w:r>
          </w:p>
        </w:tc>
      </w:tr>
      <w:tr w:rsidR="003E78AB" w14:paraId="3659F919" w14:textId="77777777">
        <w:tc>
          <w:tcPr>
            <w:tcW w:w="598" w:type="pct"/>
            <w:tcBorders>
              <w:top w:val="single" w:sz="4" w:space="0" w:color="auto"/>
              <w:left w:val="single" w:sz="4" w:space="0" w:color="auto"/>
              <w:bottom w:val="single" w:sz="4" w:space="0" w:color="auto"/>
              <w:right w:val="single" w:sz="4" w:space="0" w:color="auto"/>
            </w:tcBorders>
            <w:vAlign w:val="center"/>
          </w:tcPr>
          <w:p w14:paraId="51BBB530" w14:textId="77777777" w:rsidR="003E78AB" w:rsidRDefault="00010BF9">
            <w:pPr>
              <w:pStyle w:val="aff6"/>
              <w:topLinePunct/>
            </w:pPr>
            <w:r>
              <w:rPr>
                <w:rFonts w:hint="eastAsia"/>
              </w:rPr>
              <w:t>毒性</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2922C7DC" w14:textId="77777777" w:rsidR="003E78AB" w:rsidRDefault="00010BF9">
            <w:pPr>
              <w:pStyle w:val="aff6"/>
              <w:topLinePunct/>
              <w:jc w:val="both"/>
            </w:pPr>
            <w:r>
              <w:t>LD</w:t>
            </w:r>
            <w:r>
              <w:rPr>
                <w:vertAlign w:val="subscript"/>
              </w:rPr>
              <w:t>50</w:t>
            </w:r>
            <w:r>
              <w:t xml:space="preserve">  1530mg/kg</w:t>
            </w:r>
            <w:r>
              <w:t>（大鼠经口），</w:t>
            </w:r>
            <w:r>
              <w:t>2740mg/kg</w:t>
            </w:r>
            <w:r>
              <w:t>（兔经皮）</w:t>
            </w:r>
          </w:p>
        </w:tc>
      </w:tr>
      <w:tr w:rsidR="003E78AB" w14:paraId="3047CB42" w14:textId="77777777">
        <w:trPr>
          <w:trHeight w:val="920"/>
        </w:trPr>
        <w:tc>
          <w:tcPr>
            <w:tcW w:w="598" w:type="pct"/>
            <w:tcBorders>
              <w:top w:val="single" w:sz="4" w:space="0" w:color="auto"/>
              <w:left w:val="single" w:sz="4" w:space="0" w:color="auto"/>
              <w:bottom w:val="single" w:sz="4" w:space="0" w:color="auto"/>
              <w:right w:val="single" w:sz="4" w:space="0" w:color="auto"/>
            </w:tcBorders>
            <w:vAlign w:val="center"/>
          </w:tcPr>
          <w:p w14:paraId="34B5F412" w14:textId="77777777" w:rsidR="003E78AB" w:rsidRDefault="00010BF9">
            <w:pPr>
              <w:pStyle w:val="aff6"/>
              <w:topLinePunct/>
            </w:pPr>
            <w:r>
              <w:rPr>
                <w:rFonts w:hint="eastAsia"/>
              </w:rPr>
              <w:t>对人体危害</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43613506" w14:textId="77777777" w:rsidR="003E78AB" w:rsidRDefault="00010BF9">
            <w:pPr>
              <w:pStyle w:val="aff6"/>
              <w:topLinePunct/>
              <w:jc w:val="both"/>
            </w:pPr>
            <w:r>
              <w:t>侵入途径：吸入、食入、经皮肤吸收。</w:t>
            </w:r>
          </w:p>
          <w:p w14:paraId="033C02E5" w14:textId="77777777" w:rsidR="003E78AB" w:rsidRDefault="00010BF9">
            <w:pPr>
              <w:pStyle w:val="aff6"/>
              <w:topLinePunct/>
              <w:jc w:val="both"/>
            </w:pPr>
            <w:r>
              <w:t>蒸气或雾对眼、鼻、喉有刺激性。口服液体可引起恶心、呕吐、腹痛、血便和休克。皮肤或眼接触可致灼伤。慢性影响：</w:t>
            </w:r>
            <w:r>
              <w:rPr>
                <w:rFonts w:hint="eastAsia"/>
              </w:rPr>
              <w:t>鼻粘膜</w:t>
            </w:r>
            <w:r>
              <w:t>萎缩、鼻中隔穿孔。长期反复皮肤接触，可引起皮肤刺激。</w:t>
            </w:r>
          </w:p>
        </w:tc>
      </w:tr>
      <w:tr w:rsidR="003E78AB" w14:paraId="3916F72D" w14:textId="77777777">
        <w:trPr>
          <w:trHeight w:val="1265"/>
        </w:trPr>
        <w:tc>
          <w:tcPr>
            <w:tcW w:w="598" w:type="pct"/>
            <w:tcBorders>
              <w:top w:val="single" w:sz="4" w:space="0" w:color="auto"/>
              <w:left w:val="single" w:sz="4" w:space="0" w:color="auto"/>
              <w:bottom w:val="single" w:sz="4" w:space="0" w:color="auto"/>
              <w:right w:val="single" w:sz="4" w:space="0" w:color="auto"/>
            </w:tcBorders>
            <w:vAlign w:val="center"/>
          </w:tcPr>
          <w:p w14:paraId="4D4D6211" w14:textId="77777777" w:rsidR="003E78AB" w:rsidRDefault="00010BF9">
            <w:pPr>
              <w:pStyle w:val="aff6"/>
              <w:topLinePunct/>
            </w:pPr>
            <w:r>
              <w:rPr>
                <w:rFonts w:hint="eastAsia"/>
              </w:rPr>
              <w:t>急救</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2CB814C5" w14:textId="77777777" w:rsidR="003E78AB" w:rsidRDefault="00010BF9">
            <w:pPr>
              <w:pStyle w:val="aff6"/>
              <w:topLinePunct/>
              <w:jc w:val="both"/>
            </w:pPr>
            <w:r>
              <w:t>皮肤接触：立即脱去污染的衣着，用大量流动清水冲洗至少</w:t>
            </w:r>
            <w:r>
              <w:t>15</w:t>
            </w:r>
            <w:r>
              <w:t>分钟。就医。</w:t>
            </w:r>
          </w:p>
          <w:p w14:paraId="2D01A74E" w14:textId="77777777" w:rsidR="003E78AB" w:rsidRDefault="00010BF9">
            <w:pPr>
              <w:pStyle w:val="aff6"/>
              <w:topLinePunct/>
              <w:jc w:val="both"/>
            </w:pPr>
            <w:r>
              <w:t>眼睛接触：立即提起眼睑，用大量流动清水或生理盐水彻底冲洗至少</w:t>
            </w:r>
            <w:r>
              <w:t>15</w:t>
            </w:r>
            <w:r>
              <w:t>分钟。就医。</w:t>
            </w:r>
          </w:p>
          <w:p w14:paraId="337C17BB" w14:textId="77777777" w:rsidR="003E78AB" w:rsidRDefault="00010BF9">
            <w:pPr>
              <w:pStyle w:val="aff6"/>
              <w:topLinePunct/>
              <w:jc w:val="both"/>
            </w:pPr>
            <w:r>
              <w:t>吸入：迅速脱离现场至空气新鲜处，保持呼吸道通畅。如呼吸困难，给输氧。如呼吸停止，立即进行人工呼吸。就医。</w:t>
            </w:r>
          </w:p>
          <w:p w14:paraId="3AA723D8" w14:textId="77777777" w:rsidR="003E78AB" w:rsidRDefault="00010BF9">
            <w:pPr>
              <w:pStyle w:val="aff6"/>
              <w:topLinePunct/>
              <w:jc w:val="both"/>
            </w:pPr>
            <w:r>
              <w:t>食入：误服者立即漱口，给饮牛奶或蛋清。就医。</w:t>
            </w:r>
          </w:p>
        </w:tc>
      </w:tr>
      <w:tr w:rsidR="003E78AB" w14:paraId="27AECCF1" w14:textId="77777777">
        <w:tc>
          <w:tcPr>
            <w:tcW w:w="598" w:type="pct"/>
            <w:tcBorders>
              <w:top w:val="single" w:sz="4" w:space="0" w:color="auto"/>
              <w:left w:val="single" w:sz="4" w:space="0" w:color="auto"/>
              <w:bottom w:val="single" w:sz="4" w:space="0" w:color="auto"/>
              <w:right w:val="single" w:sz="4" w:space="0" w:color="auto"/>
            </w:tcBorders>
            <w:vAlign w:val="center"/>
          </w:tcPr>
          <w:p w14:paraId="41154DCB" w14:textId="77777777" w:rsidR="003E78AB" w:rsidRDefault="00010BF9">
            <w:pPr>
              <w:pStyle w:val="aff6"/>
              <w:topLinePunct/>
            </w:pPr>
            <w:r>
              <w:rPr>
                <w:rFonts w:hint="eastAsia"/>
              </w:rPr>
              <w:t>防护</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6956336B" w14:textId="77777777" w:rsidR="003E78AB" w:rsidRDefault="00010BF9">
            <w:pPr>
              <w:pStyle w:val="aff6"/>
              <w:topLinePunct/>
              <w:jc w:val="both"/>
            </w:pPr>
            <w:r>
              <w:rPr>
                <w:rFonts w:hint="eastAsia"/>
              </w:rPr>
              <w:t>工程防护：密闭操作，注意通风。尽可能机械化、自动化。提供安全淋浴和洗眼设备。</w:t>
            </w:r>
          </w:p>
          <w:p w14:paraId="2AFF856F" w14:textId="77777777" w:rsidR="003E78AB" w:rsidRDefault="00010BF9">
            <w:pPr>
              <w:pStyle w:val="aff6"/>
              <w:topLinePunct/>
              <w:jc w:val="both"/>
            </w:pPr>
            <w:r>
              <w:rPr>
                <w:rFonts w:hint="eastAsia"/>
              </w:rPr>
              <w:t>个人防护：可能接触其蒸气时，必须佩戴自吸过滤式防毒面具（半面罩），可能接触其粉尘时，建议佩戴自吸过滤式防尘口罩。戴化学安全防护眼镜。穿胶布耐酸碱服。戴橡胶耐酸碱手套。工作现场禁止吸烟、进食和饮水，饭前要洗手。工作毕，淋浴更衣。单独存放被毒物污染的衣服，洗后备用。保持良好的卫生习惯。</w:t>
            </w:r>
          </w:p>
        </w:tc>
      </w:tr>
      <w:tr w:rsidR="003E78AB" w14:paraId="34991CF7" w14:textId="77777777">
        <w:tc>
          <w:tcPr>
            <w:tcW w:w="598" w:type="pct"/>
            <w:tcBorders>
              <w:top w:val="single" w:sz="4" w:space="0" w:color="auto"/>
              <w:left w:val="single" w:sz="4" w:space="0" w:color="auto"/>
              <w:bottom w:val="single" w:sz="4" w:space="0" w:color="auto"/>
              <w:right w:val="single" w:sz="4" w:space="0" w:color="auto"/>
            </w:tcBorders>
            <w:vAlign w:val="center"/>
          </w:tcPr>
          <w:p w14:paraId="77F8F651" w14:textId="77777777" w:rsidR="003E78AB" w:rsidRDefault="00010BF9">
            <w:pPr>
              <w:pStyle w:val="aff6"/>
              <w:topLinePunct/>
            </w:pPr>
            <w:r>
              <w:rPr>
                <w:rFonts w:hint="eastAsia"/>
              </w:rPr>
              <w:t>泄漏处理</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250E672E" w14:textId="77777777" w:rsidR="003E78AB" w:rsidRDefault="00010BF9">
            <w:pPr>
              <w:pStyle w:val="aff6"/>
              <w:topLinePunct/>
              <w:jc w:val="both"/>
            </w:pPr>
            <w:r>
              <w:rPr>
                <w:rFonts w:hint="eastAsia"/>
              </w:rPr>
              <w:t>隔离泄漏污染区，限制出入。建议应急处理人员戴自给式呼吸器，穿防酸碱工作服。不要直接接触泄漏物。小量泄漏：用洁净的铲子收集于干燥、洁净、有盖的容器中。大量泄漏：收集回收或运至废物处理场所处置。</w:t>
            </w:r>
          </w:p>
        </w:tc>
      </w:tr>
      <w:tr w:rsidR="003E78AB" w14:paraId="7FAB7A25" w14:textId="77777777">
        <w:trPr>
          <w:trHeight w:val="768"/>
        </w:trPr>
        <w:tc>
          <w:tcPr>
            <w:tcW w:w="598" w:type="pct"/>
            <w:tcBorders>
              <w:top w:val="single" w:sz="4" w:space="0" w:color="auto"/>
              <w:left w:val="single" w:sz="4" w:space="0" w:color="auto"/>
              <w:bottom w:val="single" w:sz="4" w:space="0" w:color="auto"/>
              <w:right w:val="single" w:sz="4" w:space="0" w:color="auto"/>
            </w:tcBorders>
            <w:vAlign w:val="center"/>
          </w:tcPr>
          <w:p w14:paraId="70F8ED9E" w14:textId="77777777" w:rsidR="003E78AB" w:rsidRDefault="00010BF9">
            <w:pPr>
              <w:pStyle w:val="aff6"/>
              <w:topLinePunct/>
            </w:pPr>
            <w:r>
              <w:rPr>
                <w:rFonts w:hint="eastAsia"/>
              </w:rPr>
              <w:t>贮运</w:t>
            </w:r>
          </w:p>
        </w:tc>
        <w:tc>
          <w:tcPr>
            <w:tcW w:w="4401" w:type="pct"/>
            <w:gridSpan w:val="5"/>
            <w:tcBorders>
              <w:top w:val="single" w:sz="4" w:space="0" w:color="auto"/>
              <w:left w:val="single" w:sz="4" w:space="0" w:color="auto"/>
              <w:bottom w:val="single" w:sz="4" w:space="0" w:color="auto"/>
              <w:right w:val="single" w:sz="4" w:space="0" w:color="auto"/>
            </w:tcBorders>
            <w:vAlign w:val="center"/>
          </w:tcPr>
          <w:p w14:paraId="18C0C7F4" w14:textId="77777777" w:rsidR="003E78AB" w:rsidRDefault="00010BF9">
            <w:pPr>
              <w:pStyle w:val="aff6"/>
              <w:topLinePunct/>
              <w:jc w:val="both"/>
            </w:pPr>
            <w:r>
              <w:rPr>
                <w:rFonts w:hint="eastAsia"/>
              </w:rPr>
              <w:t>包装标志：</w:t>
            </w:r>
            <w:r>
              <w:t>20           UN</w:t>
            </w:r>
            <w:r>
              <w:rPr>
                <w:rFonts w:hint="eastAsia"/>
              </w:rPr>
              <w:t>编号：</w:t>
            </w:r>
            <w:r>
              <w:t xml:space="preserve">1805          </w:t>
            </w:r>
            <w:r>
              <w:rPr>
                <w:rFonts w:hint="eastAsia"/>
              </w:rPr>
              <w:t>包装分类：Ⅱ</w:t>
            </w:r>
          </w:p>
          <w:p w14:paraId="36C3915D" w14:textId="77777777" w:rsidR="003E78AB" w:rsidRDefault="00010BF9">
            <w:pPr>
              <w:pStyle w:val="aff6"/>
              <w:topLinePunct/>
              <w:jc w:val="both"/>
            </w:pPr>
            <w:r>
              <w:rPr>
                <w:rFonts w:hint="eastAsia"/>
              </w:rPr>
              <w:t>包装方法：小开口塑料桶；玻璃瓶、塑料桶外木板箱或半花格箱；塑料瓶、镀锡薄钢板桶外满底花格箱。</w:t>
            </w:r>
          </w:p>
          <w:p w14:paraId="07AC7FB2" w14:textId="77777777" w:rsidR="003E78AB" w:rsidRDefault="00010BF9">
            <w:pPr>
              <w:pStyle w:val="aff6"/>
              <w:topLinePunct/>
              <w:jc w:val="both"/>
            </w:pPr>
            <w:r>
              <w:rPr>
                <w:rFonts w:hint="eastAsia"/>
              </w:rPr>
              <w:t>储运条件：储存于阴凉、干燥、通风良好的仓间内。远离火种、热源。防止阳光直射。保持容器密封。应与碱类、发泡剂等分开存放。分装和搬运作</w:t>
            </w:r>
            <w:r>
              <w:rPr>
                <w:rFonts w:hint="eastAsia"/>
              </w:rPr>
              <w:t>业要注意个人防护。搬运时轻装轻卸，防止包装及容器损坏。</w:t>
            </w:r>
          </w:p>
        </w:tc>
      </w:tr>
    </w:tbl>
    <w:p w14:paraId="7079DD44" w14:textId="77777777" w:rsidR="003E78AB" w:rsidRDefault="00010BF9">
      <w:pPr>
        <w:pStyle w:val="a"/>
        <w:spacing w:before="120"/>
        <w:ind w:left="425" w:hanging="425"/>
      </w:pPr>
      <w:r>
        <w:rPr>
          <w:rFonts w:hint="eastAsia"/>
        </w:rPr>
        <w:t>草酸</w:t>
      </w:r>
      <w:r>
        <w:t>性质和危险特性一览表</w:t>
      </w:r>
    </w:p>
    <w:tbl>
      <w:tblPr>
        <w:tblStyle w:val="TableNormal"/>
        <w:tblW w:w="500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3038"/>
        <w:gridCol w:w="1424"/>
        <w:gridCol w:w="1411"/>
        <w:gridCol w:w="1436"/>
      </w:tblGrid>
      <w:tr w:rsidR="003E78AB" w14:paraId="4EDA7ADB" w14:textId="77777777">
        <w:trPr>
          <w:trHeight w:val="294"/>
        </w:trPr>
        <w:tc>
          <w:tcPr>
            <w:tcW w:w="606" w:type="pct"/>
            <w:vMerge w:val="restart"/>
            <w:tcBorders>
              <w:bottom w:val="nil"/>
            </w:tcBorders>
            <w:vAlign w:val="center"/>
          </w:tcPr>
          <w:p w14:paraId="0E2A756A" w14:textId="77777777" w:rsidR="003E78AB" w:rsidRDefault="00010BF9">
            <w:pPr>
              <w:pStyle w:val="aff6"/>
              <w:topLinePunct/>
            </w:pPr>
            <w:r>
              <w:t>标识</w:t>
            </w:r>
          </w:p>
        </w:tc>
        <w:tc>
          <w:tcPr>
            <w:tcW w:w="1826" w:type="pct"/>
            <w:vAlign w:val="center"/>
          </w:tcPr>
          <w:p w14:paraId="0DE712CA" w14:textId="77777777" w:rsidR="003E78AB" w:rsidRDefault="00010BF9">
            <w:pPr>
              <w:pStyle w:val="aff6"/>
              <w:topLinePunct/>
              <w:jc w:val="left"/>
            </w:pPr>
            <w:r>
              <w:t>中文名：乙二酸</w:t>
            </w:r>
          </w:p>
        </w:tc>
        <w:tc>
          <w:tcPr>
            <w:tcW w:w="2566" w:type="pct"/>
            <w:gridSpan w:val="3"/>
            <w:vAlign w:val="center"/>
          </w:tcPr>
          <w:p w14:paraId="74C89A75" w14:textId="77777777" w:rsidR="003E78AB" w:rsidRDefault="00010BF9">
            <w:pPr>
              <w:pStyle w:val="aff6"/>
              <w:topLinePunct/>
              <w:jc w:val="left"/>
            </w:pPr>
            <w:r>
              <w:t>英文名：</w:t>
            </w:r>
            <w:r>
              <w:t>Ethanedioicaci</w:t>
            </w:r>
          </w:p>
        </w:tc>
      </w:tr>
      <w:tr w:rsidR="003E78AB" w14:paraId="0BBB4108" w14:textId="77777777">
        <w:trPr>
          <w:trHeight w:val="290"/>
        </w:trPr>
        <w:tc>
          <w:tcPr>
            <w:tcW w:w="606" w:type="pct"/>
            <w:vMerge/>
            <w:tcBorders>
              <w:top w:val="nil"/>
              <w:bottom w:val="nil"/>
            </w:tcBorders>
            <w:vAlign w:val="center"/>
          </w:tcPr>
          <w:p w14:paraId="2EA8033E" w14:textId="77777777" w:rsidR="003E78AB" w:rsidRDefault="003E78AB">
            <w:pPr>
              <w:pStyle w:val="aff6"/>
              <w:topLinePunct/>
            </w:pPr>
          </w:p>
        </w:tc>
        <w:tc>
          <w:tcPr>
            <w:tcW w:w="1826" w:type="pct"/>
            <w:vAlign w:val="center"/>
          </w:tcPr>
          <w:p w14:paraId="7E9139A3" w14:textId="77777777" w:rsidR="003E78AB" w:rsidRDefault="00010BF9">
            <w:pPr>
              <w:pStyle w:val="aff6"/>
              <w:topLinePunct/>
              <w:jc w:val="left"/>
            </w:pPr>
            <w:r>
              <w:t>分子式：</w:t>
            </w:r>
            <w:r>
              <w:t>H₂C₂O₄</w:t>
            </w:r>
          </w:p>
        </w:tc>
        <w:tc>
          <w:tcPr>
            <w:tcW w:w="856" w:type="pct"/>
            <w:vAlign w:val="center"/>
          </w:tcPr>
          <w:p w14:paraId="245D136F" w14:textId="77777777" w:rsidR="003E78AB" w:rsidRDefault="00010BF9">
            <w:pPr>
              <w:pStyle w:val="aff6"/>
              <w:topLinePunct/>
              <w:jc w:val="left"/>
            </w:pPr>
            <w:r>
              <w:t>分子量：</w:t>
            </w:r>
            <w:r>
              <w:t>90.04</w:t>
            </w:r>
          </w:p>
        </w:tc>
        <w:tc>
          <w:tcPr>
            <w:tcW w:w="848" w:type="pct"/>
            <w:vAlign w:val="center"/>
          </w:tcPr>
          <w:p w14:paraId="21BF4E7C" w14:textId="77777777" w:rsidR="003E78AB" w:rsidRDefault="00010BF9">
            <w:pPr>
              <w:pStyle w:val="aff6"/>
              <w:topLinePunct/>
              <w:jc w:val="left"/>
            </w:pPr>
            <w:r>
              <w:t>RTECS</w:t>
            </w:r>
            <w:r>
              <w:t>号：</w:t>
            </w:r>
            <w:r>
              <w:t>R02450000</w:t>
            </w:r>
          </w:p>
        </w:tc>
        <w:tc>
          <w:tcPr>
            <w:tcW w:w="861" w:type="pct"/>
            <w:vAlign w:val="center"/>
          </w:tcPr>
          <w:p w14:paraId="4332B7A0" w14:textId="77777777" w:rsidR="003E78AB" w:rsidRDefault="00010BF9">
            <w:pPr>
              <w:pStyle w:val="aff6"/>
              <w:topLinePunct/>
              <w:jc w:val="left"/>
            </w:pPr>
            <w:r>
              <w:t>UN</w:t>
            </w:r>
            <w:r>
              <w:t>编号：无资料</w:t>
            </w:r>
          </w:p>
        </w:tc>
      </w:tr>
      <w:tr w:rsidR="003E78AB" w14:paraId="4B12A56B" w14:textId="77777777">
        <w:trPr>
          <w:trHeight w:val="289"/>
        </w:trPr>
        <w:tc>
          <w:tcPr>
            <w:tcW w:w="606" w:type="pct"/>
            <w:vMerge/>
            <w:tcBorders>
              <w:top w:val="nil"/>
            </w:tcBorders>
            <w:vAlign w:val="center"/>
          </w:tcPr>
          <w:p w14:paraId="29BA8375" w14:textId="77777777" w:rsidR="003E78AB" w:rsidRDefault="003E78AB">
            <w:pPr>
              <w:pStyle w:val="aff6"/>
              <w:topLinePunct/>
            </w:pPr>
          </w:p>
        </w:tc>
        <w:tc>
          <w:tcPr>
            <w:tcW w:w="1826" w:type="pct"/>
            <w:vAlign w:val="center"/>
          </w:tcPr>
          <w:p w14:paraId="7351F824" w14:textId="77777777" w:rsidR="003E78AB" w:rsidRDefault="00010BF9">
            <w:pPr>
              <w:pStyle w:val="aff6"/>
              <w:topLinePunct/>
              <w:jc w:val="left"/>
            </w:pPr>
            <w:r>
              <w:t>危规号：无资料</w:t>
            </w:r>
          </w:p>
        </w:tc>
        <w:tc>
          <w:tcPr>
            <w:tcW w:w="856" w:type="pct"/>
            <w:vAlign w:val="center"/>
          </w:tcPr>
          <w:p w14:paraId="2AA978B6" w14:textId="77777777" w:rsidR="003E78AB" w:rsidRDefault="00010BF9">
            <w:pPr>
              <w:pStyle w:val="aff6"/>
              <w:topLinePunct/>
              <w:jc w:val="left"/>
            </w:pPr>
            <w:r>
              <w:t>危险性类别：无资料</w:t>
            </w:r>
          </w:p>
        </w:tc>
        <w:tc>
          <w:tcPr>
            <w:tcW w:w="848" w:type="pct"/>
            <w:vAlign w:val="center"/>
          </w:tcPr>
          <w:p w14:paraId="4288ACDE" w14:textId="77777777" w:rsidR="003E78AB" w:rsidRDefault="00010BF9">
            <w:pPr>
              <w:pStyle w:val="aff6"/>
              <w:topLinePunct/>
              <w:jc w:val="left"/>
            </w:pPr>
            <w:r>
              <w:t>弱酸性不受管制</w:t>
            </w:r>
          </w:p>
        </w:tc>
        <w:tc>
          <w:tcPr>
            <w:tcW w:w="861" w:type="pct"/>
            <w:vAlign w:val="center"/>
          </w:tcPr>
          <w:p w14:paraId="105C96D2" w14:textId="77777777" w:rsidR="003E78AB" w:rsidRDefault="00010BF9">
            <w:pPr>
              <w:pStyle w:val="aff6"/>
              <w:topLinePunct/>
              <w:jc w:val="left"/>
            </w:pPr>
            <w:r>
              <w:t>CAS</w:t>
            </w:r>
            <w:r>
              <w:t>号：</w:t>
            </w:r>
            <w:r>
              <w:t>144-62-7</w:t>
            </w:r>
          </w:p>
        </w:tc>
      </w:tr>
      <w:tr w:rsidR="003E78AB" w14:paraId="3F6D80AB" w14:textId="77777777">
        <w:trPr>
          <w:trHeight w:val="290"/>
        </w:trPr>
        <w:tc>
          <w:tcPr>
            <w:tcW w:w="606" w:type="pct"/>
            <w:vMerge w:val="restart"/>
            <w:tcBorders>
              <w:bottom w:val="nil"/>
            </w:tcBorders>
            <w:vAlign w:val="center"/>
          </w:tcPr>
          <w:p w14:paraId="2560DD61" w14:textId="77777777" w:rsidR="003E78AB" w:rsidRDefault="00010BF9">
            <w:pPr>
              <w:pStyle w:val="aff6"/>
              <w:topLinePunct/>
            </w:pPr>
            <w:r>
              <w:t>理化性质</w:t>
            </w:r>
          </w:p>
        </w:tc>
        <w:tc>
          <w:tcPr>
            <w:tcW w:w="4393" w:type="pct"/>
            <w:gridSpan w:val="4"/>
            <w:vAlign w:val="center"/>
          </w:tcPr>
          <w:p w14:paraId="10198E1C" w14:textId="77777777" w:rsidR="003E78AB" w:rsidRDefault="00010BF9">
            <w:pPr>
              <w:pStyle w:val="aff6"/>
              <w:topLinePunct/>
              <w:jc w:val="left"/>
            </w:pPr>
            <w:r>
              <w:t>性状：白色至类白色固体，味酸，无气味。</w:t>
            </w:r>
          </w:p>
        </w:tc>
      </w:tr>
      <w:tr w:rsidR="003E78AB" w14:paraId="094E68F3" w14:textId="77777777">
        <w:trPr>
          <w:trHeight w:val="299"/>
        </w:trPr>
        <w:tc>
          <w:tcPr>
            <w:tcW w:w="606" w:type="pct"/>
            <w:vMerge/>
            <w:tcBorders>
              <w:top w:val="nil"/>
              <w:bottom w:val="nil"/>
            </w:tcBorders>
            <w:vAlign w:val="center"/>
          </w:tcPr>
          <w:p w14:paraId="66EDF84F" w14:textId="77777777" w:rsidR="003E78AB" w:rsidRDefault="003E78AB">
            <w:pPr>
              <w:pStyle w:val="aff6"/>
              <w:topLinePunct/>
            </w:pPr>
          </w:p>
        </w:tc>
        <w:tc>
          <w:tcPr>
            <w:tcW w:w="1826" w:type="pct"/>
            <w:vAlign w:val="center"/>
          </w:tcPr>
          <w:p w14:paraId="525BE6E2" w14:textId="77777777" w:rsidR="003E78AB" w:rsidRDefault="00010BF9">
            <w:pPr>
              <w:pStyle w:val="aff6"/>
              <w:topLinePunct/>
              <w:jc w:val="left"/>
            </w:pPr>
            <w:r>
              <w:t>熔点</w:t>
            </w:r>
            <w:r>
              <w:t>(℃):187-191℃(dec.)</w:t>
            </w:r>
          </w:p>
        </w:tc>
        <w:tc>
          <w:tcPr>
            <w:tcW w:w="2566" w:type="pct"/>
            <w:gridSpan w:val="3"/>
            <w:vAlign w:val="center"/>
          </w:tcPr>
          <w:p w14:paraId="2AB5536E" w14:textId="77777777" w:rsidR="003E78AB" w:rsidRDefault="00010BF9">
            <w:pPr>
              <w:pStyle w:val="aff6"/>
              <w:topLinePunct/>
              <w:jc w:val="left"/>
            </w:pPr>
            <w:r>
              <w:t>溶解性：溶于水、乙醇，不溶于苯、氯仿。</w:t>
            </w:r>
          </w:p>
        </w:tc>
      </w:tr>
      <w:tr w:rsidR="003E78AB" w14:paraId="293FBC47" w14:textId="77777777">
        <w:trPr>
          <w:trHeight w:val="280"/>
        </w:trPr>
        <w:tc>
          <w:tcPr>
            <w:tcW w:w="606" w:type="pct"/>
            <w:vMerge/>
            <w:tcBorders>
              <w:top w:val="nil"/>
              <w:bottom w:val="nil"/>
            </w:tcBorders>
            <w:vAlign w:val="center"/>
          </w:tcPr>
          <w:p w14:paraId="201CD86B" w14:textId="77777777" w:rsidR="003E78AB" w:rsidRDefault="003E78AB">
            <w:pPr>
              <w:pStyle w:val="aff6"/>
              <w:topLinePunct/>
            </w:pPr>
          </w:p>
        </w:tc>
        <w:tc>
          <w:tcPr>
            <w:tcW w:w="1826" w:type="pct"/>
            <w:vAlign w:val="center"/>
          </w:tcPr>
          <w:p w14:paraId="0DA745CF" w14:textId="77777777" w:rsidR="003E78AB" w:rsidRDefault="00010BF9">
            <w:pPr>
              <w:pStyle w:val="aff6"/>
              <w:topLinePunct/>
              <w:jc w:val="left"/>
            </w:pPr>
            <w:r>
              <w:t>沸点</w:t>
            </w:r>
            <w:r>
              <w:t>(℃):[</w:t>
            </w:r>
            <w:r>
              <w:t>分子立体模型</w:t>
            </w:r>
            <w:r>
              <w:t>]</w:t>
            </w:r>
            <w:r>
              <w:t>沸点</w:t>
            </w:r>
            <w:r>
              <w:t>150℃(</w:t>
            </w:r>
            <w:r>
              <w:t>升华</w:t>
            </w:r>
            <w:r>
              <w:t>)</w:t>
            </w:r>
          </w:p>
        </w:tc>
        <w:tc>
          <w:tcPr>
            <w:tcW w:w="2566" w:type="pct"/>
            <w:gridSpan w:val="3"/>
            <w:vAlign w:val="center"/>
          </w:tcPr>
          <w:p w14:paraId="652DCDDE" w14:textId="77777777" w:rsidR="003E78AB" w:rsidRDefault="00010BF9">
            <w:pPr>
              <w:pStyle w:val="aff6"/>
              <w:topLinePunct/>
              <w:jc w:val="left"/>
            </w:pPr>
            <w:r>
              <w:t>相对密度</w:t>
            </w:r>
            <w:r>
              <w:t>(</w:t>
            </w:r>
            <w:r>
              <w:t>水</w:t>
            </w:r>
            <w:r>
              <w:t>=1):1.653(</w:t>
            </w:r>
            <w:r>
              <w:t>二水物</w:t>
            </w:r>
            <w:r>
              <w:t>)</w:t>
            </w:r>
            <w:r>
              <w:rPr>
                <w:rFonts w:hint="eastAsia"/>
              </w:rPr>
              <w:t>，</w:t>
            </w:r>
            <w:r>
              <w:t>1.9(</w:t>
            </w:r>
            <w:r>
              <w:t>无水物</w:t>
            </w:r>
            <w:r>
              <w:t>)</w:t>
            </w:r>
            <w:r>
              <w:t>。</w:t>
            </w:r>
            <w:r>
              <w:t>a</w:t>
            </w:r>
            <w:r>
              <w:t>型：</w:t>
            </w:r>
            <w:r>
              <w:t>1.900</w:t>
            </w:r>
            <w:r>
              <w:rPr>
                <w:rFonts w:hint="eastAsia"/>
              </w:rPr>
              <w:t>，</w:t>
            </w:r>
            <w:r>
              <w:t>β</w:t>
            </w:r>
            <w:r>
              <w:t>型：</w:t>
            </w:r>
            <w:r>
              <w:t>1.895</w:t>
            </w:r>
          </w:p>
        </w:tc>
      </w:tr>
      <w:tr w:rsidR="003E78AB" w14:paraId="7FCF58EC" w14:textId="77777777">
        <w:trPr>
          <w:trHeight w:val="299"/>
        </w:trPr>
        <w:tc>
          <w:tcPr>
            <w:tcW w:w="606" w:type="pct"/>
            <w:vMerge/>
            <w:tcBorders>
              <w:top w:val="nil"/>
              <w:bottom w:val="nil"/>
            </w:tcBorders>
            <w:vAlign w:val="center"/>
          </w:tcPr>
          <w:p w14:paraId="0D26C896" w14:textId="77777777" w:rsidR="003E78AB" w:rsidRDefault="003E78AB">
            <w:pPr>
              <w:pStyle w:val="aff6"/>
              <w:topLinePunct/>
            </w:pPr>
          </w:p>
        </w:tc>
        <w:tc>
          <w:tcPr>
            <w:tcW w:w="1826" w:type="pct"/>
            <w:vAlign w:val="center"/>
          </w:tcPr>
          <w:p w14:paraId="23E9DF56" w14:textId="77777777" w:rsidR="003E78AB" w:rsidRDefault="00010BF9">
            <w:pPr>
              <w:pStyle w:val="aff6"/>
              <w:topLinePunct/>
              <w:jc w:val="left"/>
            </w:pPr>
            <w:r>
              <w:t>饱和蒸气压</w:t>
            </w:r>
            <w:r>
              <w:t>(KPa):</w:t>
            </w:r>
            <w:r>
              <w:t>无资料</w:t>
            </w:r>
          </w:p>
        </w:tc>
        <w:tc>
          <w:tcPr>
            <w:tcW w:w="2566" w:type="pct"/>
            <w:gridSpan w:val="3"/>
            <w:vAlign w:val="center"/>
          </w:tcPr>
          <w:p w14:paraId="5E29AC99" w14:textId="77777777" w:rsidR="003E78AB" w:rsidRDefault="00010BF9">
            <w:pPr>
              <w:pStyle w:val="aff6"/>
              <w:topLinePunct/>
              <w:jc w:val="left"/>
            </w:pPr>
            <w:r>
              <w:t>相对密度</w:t>
            </w:r>
            <w:r>
              <w:t>(</w:t>
            </w:r>
            <w:r>
              <w:t>空气</w:t>
            </w:r>
            <w:r>
              <w:t>=1);</w:t>
            </w:r>
            <w:r>
              <w:t>无资料</w:t>
            </w:r>
          </w:p>
        </w:tc>
      </w:tr>
      <w:tr w:rsidR="003E78AB" w14:paraId="7CC2AAA9" w14:textId="77777777">
        <w:trPr>
          <w:trHeight w:val="290"/>
        </w:trPr>
        <w:tc>
          <w:tcPr>
            <w:tcW w:w="606" w:type="pct"/>
            <w:vMerge/>
            <w:tcBorders>
              <w:top w:val="nil"/>
              <w:bottom w:val="nil"/>
            </w:tcBorders>
            <w:vAlign w:val="center"/>
          </w:tcPr>
          <w:p w14:paraId="509352CA" w14:textId="77777777" w:rsidR="003E78AB" w:rsidRDefault="003E78AB">
            <w:pPr>
              <w:pStyle w:val="aff6"/>
              <w:topLinePunct/>
            </w:pPr>
          </w:p>
        </w:tc>
        <w:tc>
          <w:tcPr>
            <w:tcW w:w="1826" w:type="pct"/>
            <w:vAlign w:val="center"/>
          </w:tcPr>
          <w:p w14:paraId="3EDBEF5E" w14:textId="77777777" w:rsidR="003E78AB" w:rsidRDefault="00010BF9">
            <w:pPr>
              <w:pStyle w:val="aff6"/>
              <w:topLinePunct/>
              <w:jc w:val="left"/>
            </w:pPr>
            <w:r>
              <w:t>临界温度</w:t>
            </w:r>
            <w:r>
              <w:t>(℃):</w:t>
            </w:r>
            <w:r>
              <w:t>无资料</w:t>
            </w:r>
          </w:p>
        </w:tc>
        <w:tc>
          <w:tcPr>
            <w:tcW w:w="2566" w:type="pct"/>
            <w:gridSpan w:val="3"/>
            <w:vAlign w:val="center"/>
          </w:tcPr>
          <w:p w14:paraId="167AB6C7" w14:textId="77777777" w:rsidR="003E78AB" w:rsidRDefault="00010BF9">
            <w:pPr>
              <w:pStyle w:val="aff6"/>
              <w:topLinePunct/>
              <w:jc w:val="left"/>
            </w:pPr>
            <w:r>
              <w:t>燃烧热</w:t>
            </w:r>
            <w:r>
              <w:t>(KJ/mol):</w:t>
            </w:r>
            <w:r>
              <w:t>无资料</w:t>
            </w:r>
          </w:p>
        </w:tc>
      </w:tr>
      <w:tr w:rsidR="003E78AB" w14:paraId="5C9A7F42" w14:textId="77777777">
        <w:trPr>
          <w:trHeight w:val="300"/>
        </w:trPr>
        <w:tc>
          <w:tcPr>
            <w:tcW w:w="606" w:type="pct"/>
            <w:vMerge/>
            <w:tcBorders>
              <w:top w:val="nil"/>
            </w:tcBorders>
            <w:vAlign w:val="center"/>
          </w:tcPr>
          <w:p w14:paraId="531A0257" w14:textId="77777777" w:rsidR="003E78AB" w:rsidRDefault="003E78AB">
            <w:pPr>
              <w:pStyle w:val="aff6"/>
              <w:topLinePunct/>
            </w:pPr>
          </w:p>
        </w:tc>
        <w:tc>
          <w:tcPr>
            <w:tcW w:w="1826" w:type="pct"/>
            <w:vAlign w:val="center"/>
          </w:tcPr>
          <w:p w14:paraId="27D8A1A4" w14:textId="77777777" w:rsidR="003E78AB" w:rsidRDefault="00010BF9">
            <w:pPr>
              <w:pStyle w:val="aff6"/>
              <w:topLinePunct/>
              <w:jc w:val="left"/>
            </w:pPr>
            <w:r>
              <w:t>临界压力</w:t>
            </w:r>
            <w:r>
              <w:t>(MPa):</w:t>
            </w:r>
            <w:r>
              <w:t>无资料</w:t>
            </w:r>
          </w:p>
        </w:tc>
        <w:tc>
          <w:tcPr>
            <w:tcW w:w="2566" w:type="pct"/>
            <w:gridSpan w:val="3"/>
            <w:vAlign w:val="center"/>
          </w:tcPr>
          <w:p w14:paraId="3CBDE8D8" w14:textId="77777777" w:rsidR="003E78AB" w:rsidRDefault="00010BF9">
            <w:pPr>
              <w:pStyle w:val="aff6"/>
              <w:topLinePunct/>
              <w:jc w:val="left"/>
            </w:pPr>
            <w:r>
              <w:t>最小引燃能量</w:t>
            </w:r>
            <w:r>
              <w:t>(mJ);</w:t>
            </w:r>
            <w:r>
              <w:t>无资料</w:t>
            </w:r>
          </w:p>
        </w:tc>
      </w:tr>
      <w:tr w:rsidR="003E78AB" w14:paraId="20AB1108" w14:textId="77777777">
        <w:trPr>
          <w:trHeight w:val="280"/>
        </w:trPr>
        <w:tc>
          <w:tcPr>
            <w:tcW w:w="606" w:type="pct"/>
            <w:vMerge w:val="restart"/>
            <w:tcBorders>
              <w:bottom w:val="nil"/>
            </w:tcBorders>
            <w:vAlign w:val="center"/>
          </w:tcPr>
          <w:p w14:paraId="2E10EA2F" w14:textId="77777777" w:rsidR="003E78AB" w:rsidRDefault="00010BF9">
            <w:pPr>
              <w:pStyle w:val="aff6"/>
              <w:topLinePunct/>
            </w:pPr>
            <w:r>
              <w:t>燃烧爆炸危险性</w:t>
            </w:r>
          </w:p>
        </w:tc>
        <w:tc>
          <w:tcPr>
            <w:tcW w:w="1826" w:type="pct"/>
            <w:vAlign w:val="center"/>
          </w:tcPr>
          <w:p w14:paraId="59F4D36E" w14:textId="77777777" w:rsidR="003E78AB" w:rsidRDefault="00010BF9">
            <w:pPr>
              <w:pStyle w:val="aff6"/>
              <w:topLinePunct/>
              <w:jc w:val="left"/>
            </w:pPr>
            <w:r>
              <w:t>燃烧性：无资料</w:t>
            </w:r>
          </w:p>
        </w:tc>
        <w:tc>
          <w:tcPr>
            <w:tcW w:w="2566" w:type="pct"/>
            <w:gridSpan w:val="3"/>
            <w:vAlign w:val="center"/>
          </w:tcPr>
          <w:p w14:paraId="2060124E" w14:textId="77777777" w:rsidR="003E78AB" w:rsidRDefault="00010BF9">
            <w:pPr>
              <w:pStyle w:val="aff6"/>
              <w:topLinePunct/>
              <w:jc w:val="left"/>
            </w:pPr>
            <w:r>
              <w:t>燃烧分解产物：无资料</w:t>
            </w:r>
          </w:p>
        </w:tc>
      </w:tr>
      <w:tr w:rsidR="003E78AB" w14:paraId="5EDA8CF0" w14:textId="77777777">
        <w:trPr>
          <w:trHeight w:val="300"/>
        </w:trPr>
        <w:tc>
          <w:tcPr>
            <w:tcW w:w="606" w:type="pct"/>
            <w:vMerge/>
            <w:tcBorders>
              <w:top w:val="nil"/>
              <w:bottom w:val="nil"/>
            </w:tcBorders>
            <w:vAlign w:val="center"/>
          </w:tcPr>
          <w:p w14:paraId="5DB91973" w14:textId="77777777" w:rsidR="003E78AB" w:rsidRDefault="003E78AB">
            <w:pPr>
              <w:pStyle w:val="aff6"/>
              <w:topLinePunct/>
            </w:pPr>
          </w:p>
        </w:tc>
        <w:tc>
          <w:tcPr>
            <w:tcW w:w="1826" w:type="pct"/>
            <w:vAlign w:val="center"/>
          </w:tcPr>
          <w:p w14:paraId="21123DCD" w14:textId="77777777" w:rsidR="003E78AB" w:rsidRDefault="00010BF9">
            <w:pPr>
              <w:pStyle w:val="aff6"/>
              <w:topLinePunct/>
              <w:jc w:val="left"/>
            </w:pPr>
            <w:r>
              <w:t>闪点</w:t>
            </w:r>
            <w:r>
              <w:t>(℃):188.79</w:t>
            </w:r>
          </w:p>
        </w:tc>
        <w:tc>
          <w:tcPr>
            <w:tcW w:w="2566" w:type="pct"/>
            <w:gridSpan w:val="3"/>
            <w:vAlign w:val="center"/>
          </w:tcPr>
          <w:p w14:paraId="53D99FF6" w14:textId="77777777" w:rsidR="003E78AB" w:rsidRDefault="00010BF9">
            <w:pPr>
              <w:pStyle w:val="aff6"/>
              <w:topLinePunct/>
              <w:jc w:val="left"/>
            </w:pPr>
            <w:r>
              <w:t>聚合危害：无资料</w:t>
            </w:r>
          </w:p>
        </w:tc>
      </w:tr>
      <w:tr w:rsidR="003E78AB" w14:paraId="59FA7FDD" w14:textId="77777777">
        <w:trPr>
          <w:trHeight w:val="280"/>
        </w:trPr>
        <w:tc>
          <w:tcPr>
            <w:tcW w:w="606" w:type="pct"/>
            <w:vMerge/>
            <w:tcBorders>
              <w:top w:val="nil"/>
              <w:bottom w:val="nil"/>
            </w:tcBorders>
            <w:vAlign w:val="center"/>
          </w:tcPr>
          <w:p w14:paraId="015DB499" w14:textId="77777777" w:rsidR="003E78AB" w:rsidRDefault="003E78AB">
            <w:pPr>
              <w:pStyle w:val="aff6"/>
              <w:topLinePunct/>
            </w:pPr>
          </w:p>
        </w:tc>
        <w:tc>
          <w:tcPr>
            <w:tcW w:w="1826" w:type="pct"/>
            <w:vAlign w:val="center"/>
          </w:tcPr>
          <w:p w14:paraId="02E60A28" w14:textId="77777777" w:rsidR="003E78AB" w:rsidRDefault="00010BF9">
            <w:pPr>
              <w:pStyle w:val="aff6"/>
              <w:topLinePunct/>
              <w:jc w:val="left"/>
            </w:pPr>
            <w:r>
              <w:t>|</w:t>
            </w:r>
            <w:r>
              <w:t>爆炸极限</w:t>
            </w:r>
            <w:r>
              <w:t>(V%):</w:t>
            </w:r>
            <w:r>
              <w:t>无资料</w:t>
            </w:r>
          </w:p>
        </w:tc>
        <w:tc>
          <w:tcPr>
            <w:tcW w:w="856" w:type="pct"/>
            <w:vAlign w:val="center"/>
          </w:tcPr>
          <w:p w14:paraId="4E205954" w14:textId="77777777" w:rsidR="003E78AB" w:rsidRDefault="00010BF9">
            <w:pPr>
              <w:pStyle w:val="aff6"/>
              <w:topLinePunct/>
              <w:jc w:val="left"/>
            </w:pPr>
            <w:r>
              <w:t>稳定性：</w:t>
            </w:r>
            <w:r>
              <w:t>189.5℃</w:t>
            </w:r>
            <w:r>
              <w:t>分解</w:t>
            </w:r>
          </w:p>
        </w:tc>
        <w:tc>
          <w:tcPr>
            <w:tcW w:w="1710" w:type="pct"/>
            <w:gridSpan w:val="2"/>
            <w:vAlign w:val="center"/>
          </w:tcPr>
          <w:p w14:paraId="4A0FC4B7" w14:textId="77777777" w:rsidR="003E78AB" w:rsidRDefault="00010BF9">
            <w:pPr>
              <w:pStyle w:val="aff6"/>
              <w:topLinePunct/>
              <w:jc w:val="left"/>
            </w:pPr>
            <w:r>
              <w:t>爆炸性气体分级、分组：无资料</w:t>
            </w:r>
          </w:p>
        </w:tc>
      </w:tr>
      <w:tr w:rsidR="003E78AB" w14:paraId="6ACA4AD1" w14:textId="77777777">
        <w:trPr>
          <w:trHeight w:val="300"/>
        </w:trPr>
        <w:tc>
          <w:tcPr>
            <w:tcW w:w="606" w:type="pct"/>
            <w:vMerge/>
            <w:tcBorders>
              <w:top w:val="nil"/>
              <w:bottom w:val="nil"/>
            </w:tcBorders>
            <w:vAlign w:val="center"/>
          </w:tcPr>
          <w:p w14:paraId="7A0823E3" w14:textId="77777777" w:rsidR="003E78AB" w:rsidRDefault="003E78AB">
            <w:pPr>
              <w:pStyle w:val="aff6"/>
              <w:topLinePunct/>
            </w:pPr>
          </w:p>
        </w:tc>
        <w:tc>
          <w:tcPr>
            <w:tcW w:w="1826" w:type="pct"/>
            <w:vAlign w:val="center"/>
          </w:tcPr>
          <w:p w14:paraId="2555BD2B" w14:textId="77777777" w:rsidR="003E78AB" w:rsidRDefault="00010BF9">
            <w:pPr>
              <w:pStyle w:val="aff6"/>
              <w:topLinePunct/>
              <w:jc w:val="left"/>
            </w:pPr>
            <w:r>
              <w:t>引燃温度</w:t>
            </w:r>
            <w:r>
              <w:t>(℃):</w:t>
            </w:r>
            <w:r>
              <w:t>无资料</w:t>
            </w:r>
          </w:p>
        </w:tc>
        <w:tc>
          <w:tcPr>
            <w:tcW w:w="2566" w:type="pct"/>
            <w:gridSpan w:val="3"/>
            <w:vAlign w:val="center"/>
          </w:tcPr>
          <w:p w14:paraId="6546DE48" w14:textId="77777777" w:rsidR="003E78AB" w:rsidRDefault="00010BF9">
            <w:pPr>
              <w:pStyle w:val="aff6"/>
              <w:topLinePunct/>
              <w:jc w:val="left"/>
            </w:pPr>
            <w:r>
              <w:t>禁忌物：强氧化物</w:t>
            </w:r>
          </w:p>
        </w:tc>
      </w:tr>
      <w:tr w:rsidR="003E78AB" w14:paraId="0B6737C3" w14:textId="77777777">
        <w:trPr>
          <w:trHeight w:val="289"/>
        </w:trPr>
        <w:tc>
          <w:tcPr>
            <w:tcW w:w="606" w:type="pct"/>
            <w:vMerge/>
            <w:tcBorders>
              <w:top w:val="nil"/>
            </w:tcBorders>
            <w:vAlign w:val="center"/>
          </w:tcPr>
          <w:p w14:paraId="6DA52BE2" w14:textId="77777777" w:rsidR="003E78AB" w:rsidRDefault="003E78AB">
            <w:pPr>
              <w:pStyle w:val="aff6"/>
              <w:topLinePunct/>
            </w:pPr>
          </w:p>
        </w:tc>
        <w:tc>
          <w:tcPr>
            <w:tcW w:w="4393" w:type="pct"/>
            <w:gridSpan w:val="4"/>
            <w:vAlign w:val="center"/>
          </w:tcPr>
          <w:p w14:paraId="749175F5" w14:textId="77777777" w:rsidR="003E78AB" w:rsidRDefault="00010BF9">
            <w:pPr>
              <w:pStyle w:val="aff6"/>
              <w:topLinePunct/>
              <w:jc w:val="left"/>
            </w:pPr>
            <w:r>
              <w:t>危险特性：灭火剂：用水雾，耐醇泡沫，干粉或二氧化碳灭火。</w:t>
            </w:r>
          </w:p>
        </w:tc>
      </w:tr>
      <w:tr w:rsidR="003E78AB" w14:paraId="36733001" w14:textId="77777777">
        <w:trPr>
          <w:trHeight w:val="569"/>
        </w:trPr>
        <w:tc>
          <w:tcPr>
            <w:tcW w:w="606" w:type="pct"/>
            <w:vAlign w:val="center"/>
          </w:tcPr>
          <w:p w14:paraId="11D2DBC8" w14:textId="77777777" w:rsidR="003E78AB" w:rsidRDefault="00010BF9">
            <w:pPr>
              <w:pStyle w:val="aff6"/>
              <w:topLinePunct/>
            </w:pPr>
            <w:r>
              <w:t>毒性</w:t>
            </w:r>
          </w:p>
        </w:tc>
        <w:tc>
          <w:tcPr>
            <w:tcW w:w="4393" w:type="pct"/>
            <w:gridSpan w:val="4"/>
            <w:vAlign w:val="center"/>
          </w:tcPr>
          <w:p w14:paraId="61463403" w14:textId="77777777" w:rsidR="003E78AB" w:rsidRDefault="00010BF9">
            <w:pPr>
              <w:pStyle w:val="aff6"/>
              <w:topLinePunct/>
              <w:jc w:val="left"/>
            </w:pPr>
            <w:r>
              <w:t>急性毒性：大鼠经口</w:t>
            </w:r>
            <w:r>
              <w:t>LD</w:t>
            </w:r>
            <w:r>
              <w:rPr>
                <w:vertAlign w:val="subscript"/>
              </w:rPr>
              <w:t>50</w:t>
            </w:r>
            <w:r>
              <w:rPr>
                <w:rFonts w:hint="eastAsia"/>
              </w:rPr>
              <w:t>：</w:t>
            </w:r>
            <w:r>
              <w:t>7500mg/kg</w:t>
            </w:r>
            <w:r>
              <w:rPr>
                <w:rFonts w:hint="eastAsia"/>
              </w:rPr>
              <w:t>；</w:t>
            </w:r>
            <w:r>
              <w:t>小鼠腹腔</w:t>
            </w:r>
            <w:r>
              <w:t>LD</w:t>
            </w:r>
            <w:r>
              <w:rPr>
                <w:vertAlign w:val="subscript"/>
              </w:rPr>
              <w:t>50</w:t>
            </w:r>
            <w:r>
              <w:rPr>
                <w:rFonts w:hint="eastAsia"/>
              </w:rPr>
              <w:t>：</w:t>
            </w:r>
            <w:r>
              <w:t>270mg/kg</w:t>
            </w:r>
            <w:r>
              <w:rPr>
                <w:rFonts w:hint="eastAsia"/>
              </w:rPr>
              <w:t>；</w:t>
            </w:r>
          </w:p>
          <w:p w14:paraId="5D46454F" w14:textId="77777777" w:rsidR="003E78AB" w:rsidRDefault="00010BF9">
            <w:pPr>
              <w:pStyle w:val="aff6"/>
              <w:topLinePunct/>
              <w:jc w:val="left"/>
            </w:pPr>
            <w:r>
              <w:t>刺激数据：皮肤</w:t>
            </w:r>
            <w:r>
              <w:t>-</w:t>
            </w:r>
            <w:r>
              <w:t>兔子</w:t>
            </w:r>
            <w:r>
              <w:t>500</w:t>
            </w:r>
            <w:r>
              <w:t>毫克</w:t>
            </w:r>
            <w:r>
              <w:t>/24</w:t>
            </w:r>
            <w:r>
              <w:t>小时轻度；眼</w:t>
            </w:r>
            <w:r>
              <w:t>-</w:t>
            </w:r>
            <w:r>
              <w:t>兔子</w:t>
            </w:r>
            <w:r>
              <w:t>0.25</w:t>
            </w:r>
            <w:r>
              <w:t>毫克</w:t>
            </w:r>
            <w:r>
              <w:t>/24</w:t>
            </w:r>
            <w:r>
              <w:t>小时重度</w:t>
            </w:r>
            <w:r>
              <w:rPr>
                <w:rFonts w:hint="eastAsia"/>
              </w:rPr>
              <w:t>；</w:t>
            </w:r>
          </w:p>
          <w:p w14:paraId="6BDDC8F4" w14:textId="77777777" w:rsidR="003E78AB" w:rsidRDefault="00010BF9">
            <w:pPr>
              <w:pStyle w:val="aff6"/>
              <w:topLinePunct/>
              <w:jc w:val="left"/>
            </w:pPr>
            <w:r>
              <w:t>有腐蚀性，对皮肤和黏膜有刺激性，吸入蒸气、粉尘会引起中毒，吞入后引起肠胃炎、呕吐、腹泻等症状。成人最低致死量为</w:t>
            </w:r>
            <w:r>
              <w:t>71mg/kg</w:t>
            </w:r>
            <w:r>
              <w:t>。</w:t>
            </w:r>
          </w:p>
        </w:tc>
      </w:tr>
      <w:tr w:rsidR="003E78AB" w14:paraId="4DF789C8" w14:textId="77777777">
        <w:trPr>
          <w:trHeight w:val="709"/>
        </w:trPr>
        <w:tc>
          <w:tcPr>
            <w:tcW w:w="606" w:type="pct"/>
            <w:vAlign w:val="center"/>
          </w:tcPr>
          <w:p w14:paraId="7C055779" w14:textId="77777777" w:rsidR="003E78AB" w:rsidRDefault="00010BF9">
            <w:pPr>
              <w:pStyle w:val="aff6"/>
              <w:topLinePunct/>
            </w:pPr>
            <w:r>
              <w:t>对人体危害</w:t>
            </w:r>
          </w:p>
        </w:tc>
        <w:tc>
          <w:tcPr>
            <w:tcW w:w="4393" w:type="pct"/>
            <w:gridSpan w:val="4"/>
            <w:vAlign w:val="center"/>
          </w:tcPr>
          <w:p w14:paraId="73F9B73D" w14:textId="77777777" w:rsidR="003E78AB" w:rsidRDefault="00010BF9">
            <w:pPr>
              <w:pStyle w:val="aff6"/>
              <w:topLinePunct/>
              <w:jc w:val="left"/>
            </w:pPr>
            <w:r>
              <w:t>草酸在人体内不容易被氧化分解掉，经代谢作用后形成的产物，属于酸性物质，可导致人体内酸碱度失去平衡，吃得过多还会中毒。而且草酸在人体内如果遇上钙和锌便生成草酸钙和草酸锌，不易吸收而排出体外，影响钙与锌的吸收。儿童生长发育需要大量的钙和锌。如果体内缺乏钙和锌，不仅可导致骨骼、牙齿发育不良，而且还会影响智力发育。过量摄入草酸还会造成结石。</w:t>
            </w:r>
          </w:p>
        </w:tc>
      </w:tr>
      <w:tr w:rsidR="003E78AB" w14:paraId="32DC3EC0" w14:textId="77777777">
        <w:trPr>
          <w:trHeight w:val="579"/>
        </w:trPr>
        <w:tc>
          <w:tcPr>
            <w:tcW w:w="606" w:type="pct"/>
            <w:vAlign w:val="center"/>
          </w:tcPr>
          <w:p w14:paraId="2C6DA9C7" w14:textId="77777777" w:rsidR="003E78AB" w:rsidRDefault="00010BF9">
            <w:pPr>
              <w:pStyle w:val="aff6"/>
              <w:topLinePunct/>
            </w:pPr>
            <w:r>
              <w:t>急救</w:t>
            </w:r>
          </w:p>
        </w:tc>
        <w:tc>
          <w:tcPr>
            <w:tcW w:w="4393" w:type="pct"/>
            <w:gridSpan w:val="4"/>
            <w:vAlign w:val="center"/>
          </w:tcPr>
          <w:p w14:paraId="06171542" w14:textId="77777777" w:rsidR="003E78AB" w:rsidRDefault="00010BF9">
            <w:pPr>
              <w:pStyle w:val="aff6"/>
              <w:topLinePunct/>
              <w:jc w:val="left"/>
            </w:pPr>
            <w:r>
              <w:t>如果吸入：请将患者移到新鲜空气处。如呼吸停止，进行人工呼吸。请教医生。</w:t>
            </w:r>
          </w:p>
          <w:p w14:paraId="3E972FE9" w14:textId="77777777" w:rsidR="003E78AB" w:rsidRDefault="00010BF9">
            <w:pPr>
              <w:pStyle w:val="aff6"/>
              <w:topLinePunct/>
              <w:jc w:val="left"/>
            </w:pPr>
            <w:r>
              <w:t>皮肤接触：用肥皂和大量的水冲洗。请教医生。</w:t>
            </w:r>
          </w:p>
          <w:p w14:paraId="4915DA8E" w14:textId="77777777" w:rsidR="003E78AB" w:rsidRDefault="00010BF9">
            <w:pPr>
              <w:pStyle w:val="aff6"/>
              <w:topLinePunct/>
              <w:jc w:val="left"/>
            </w:pPr>
            <w:r>
              <w:t>眼睛接触：用大量水彻底冲洗至少</w:t>
            </w:r>
            <w:r>
              <w:t>15</w:t>
            </w:r>
            <w:r>
              <w:t>分钟并请教医生。</w:t>
            </w:r>
          </w:p>
          <w:p w14:paraId="666E5C6A" w14:textId="77777777" w:rsidR="003E78AB" w:rsidRDefault="00010BF9">
            <w:pPr>
              <w:pStyle w:val="aff6"/>
              <w:topLinePunct/>
              <w:jc w:val="left"/>
            </w:pPr>
            <w:r>
              <w:t>食入：切勿给失去知觉者喂食任何东西。用水漱口。请教医生。</w:t>
            </w:r>
          </w:p>
        </w:tc>
      </w:tr>
      <w:tr w:rsidR="003E78AB" w14:paraId="128E3BEC" w14:textId="77777777">
        <w:trPr>
          <w:trHeight w:val="1029"/>
        </w:trPr>
        <w:tc>
          <w:tcPr>
            <w:tcW w:w="606" w:type="pct"/>
            <w:vAlign w:val="center"/>
          </w:tcPr>
          <w:p w14:paraId="46602956" w14:textId="77777777" w:rsidR="003E78AB" w:rsidRDefault="00010BF9">
            <w:pPr>
              <w:pStyle w:val="aff6"/>
              <w:topLinePunct/>
            </w:pPr>
            <w:r>
              <w:t>防护</w:t>
            </w:r>
          </w:p>
        </w:tc>
        <w:tc>
          <w:tcPr>
            <w:tcW w:w="4393" w:type="pct"/>
            <w:gridSpan w:val="4"/>
            <w:vAlign w:val="center"/>
          </w:tcPr>
          <w:p w14:paraId="721E9D0F" w14:textId="77777777" w:rsidR="003E78AB" w:rsidRDefault="00010BF9">
            <w:pPr>
              <w:pStyle w:val="aff6"/>
              <w:topLinePunct/>
              <w:jc w:val="left"/>
            </w:pPr>
            <w:r>
              <w:t>呼吸系统防护：如危险性评测显示需要使用空气净化的防毒面具，请使用全面罩式多功能防毒面具或防毒面具筒作为工程控制的候补。如果防毒面具是保护的唯一方式，则使用全面罩式送风防毒面具。呼吸器使用经过测试并通过政府标准的呼吸器和零件。</w:t>
            </w:r>
          </w:p>
          <w:p w14:paraId="1B7C39F8" w14:textId="77777777" w:rsidR="003E78AB" w:rsidRDefault="00010BF9">
            <w:pPr>
              <w:pStyle w:val="aff6"/>
              <w:topLinePunct/>
              <w:jc w:val="left"/>
            </w:pPr>
            <w:r>
              <w:t>手防护：戴防化学品手套。</w:t>
            </w:r>
          </w:p>
          <w:p w14:paraId="07C899C4" w14:textId="77777777" w:rsidR="003E78AB" w:rsidRDefault="00010BF9">
            <w:pPr>
              <w:pStyle w:val="aff6"/>
              <w:topLinePunct/>
              <w:jc w:val="left"/>
            </w:pPr>
            <w:r>
              <w:t>眼睛防护：戴化学安全防护眼镜。</w:t>
            </w:r>
          </w:p>
          <w:p w14:paraId="35BFB04C" w14:textId="77777777" w:rsidR="003E78AB" w:rsidRDefault="00010BF9">
            <w:pPr>
              <w:pStyle w:val="aff6"/>
              <w:topLinePunct/>
              <w:jc w:val="left"/>
            </w:pPr>
            <w:r>
              <w:t>皮肤和身体防护：穿化学品防护服。</w:t>
            </w:r>
          </w:p>
          <w:p w14:paraId="15DB2103" w14:textId="77777777" w:rsidR="003E78AB" w:rsidRDefault="00010BF9">
            <w:pPr>
              <w:pStyle w:val="aff6"/>
              <w:topLinePunct/>
              <w:jc w:val="left"/>
            </w:pPr>
            <w:r>
              <w:t>其他防护：工作现场禁止吸烟。工作毕，淋浴更衣。注意个人清洁卫生。</w:t>
            </w:r>
          </w:p>
        </w:tc>
      </w:tr>
      <w:tr w:rsidR="003E78AB" w14:paraId="0B22077C" w14:textId="77777777">
        <w:trPr>
          <w:trHeight w:val="419"/>
        </w:trPr>
        <w:tc>
          <w:tcPr>
            <w:tcW w:w="606" w:type="pct"/>
            <w:vAlign w:val="center"/>
          </w:tcPr>
          <w:p w14:paraId="759D7950" w14:textId="77777777" w:rsidR="003E78AB" w:rsidRDefault="00010BF9">
            <w:pPr>
              <w:pStyle w:val="aff6"/>
              <w:topLinePunct/>
            </w:pPr>
            <w:r>
              <w:t>泄漏处理</w:t>
            </w:r>
          </w:p>
        </w:tc>
        <w:tc>
          <w:tcPr>
            <w:tcW w:w="4393" w:type="pct"/>
            <w:gridSpan w:val="4"/>
            <w:vAlign w:val="center"/>
          </w:tcPr>
          <w:p w14:paraId="3543F530" w14:textId="77777777" w:rsidR="003E78AB" w:rsidRDefault="00010BF9">
            <w:pPr>
              <w:pStyle w:val="aff6"/>
              <w:topLinePunct/>
              <w:jc w:val="left"/>
            </w:pPr>
            <w:r>
              <w:t>使用个人防护装备。避免粉尘生成。避免吸入</w:t>
            </w:r>
            <w:r>
              <w:rPr>
                <w:rFonts w:hint="eastAsia"/>
              </w:rPr>
              <w:t>烟气</w:t>
            </w:r>
            <w:r>
              <w:t>、气雾或气体。保证充分的通风。将人员疏散到安全区域。避免吸入粉尘。不要让产品进入下水道。收集和处置时不要产生粉尘。扫掉和铲掉。放入合适的封闭的容器中待处理。</w:t>
            </w:r>
          </w:p>
        </w:tc>
      </w:tr>
      <w:tr w:rsidR="003E78AB" w14:paraId="163B0E0D" w14:textId="77777777">
        <w:trPr>
          <w:trHeight w:val="494"/>
        </w:trPr>
        <w:tc>
          <w:tcPr>
            <w:tcW w:w="606" w:type="pct"/>
            <w:vAlign w:val="center"/>
          </w:tcPr>
          <w:p w14:paraId="3385D9BE" w14:textId="77777777" w:rsidR="003E78AB" w:rsidRDefault="00010BF9">
            <w:pPr>
              <w:pStyle w:val="aff6"/>
              <w:topLinePunct/>
            </w:pPr>
            <w:r>
              <w:t>储运</w:t>
            </w:r>
          </w:p>
        </w:tc>
        <w:tc>
          <w:tcPr>
            <w:tcW w:w="4393" w:type="pct"/>
            <w:gridSpan w:val="4"/>
            <w:vAlign w:val="center"/>
          </w:tcPr>
          <w:p w14:paraId="30FF229E" w14:textId="77777777" w:rsidR="003E78AB" w:rsidRDefault="00010BF9">
            <w:pPr>
              <w:pStyle w:val="aff6"/>
              <w:topLinePunct/>
              <w:jc w:val="left"/>
            </w:pPr>
            <w:r>
              <w:t>安全处置注意事项：避免接触皮肤和眼睛。防止粉尘和气溶胶生成。在有粉尘生成的地方，提供合适的排风设备。防止吸入蒸汽和烟雾。切勿靠近火源。严禁烟火。采取措施防止静电积聚。</w:t>
            </w:r>
          </w:p>
          <w:p w14:paraId="46DFE402" w14:textId="77777777" w:rsidR="003E78AB" w:rsidRDefault="00010BF9">
            <w:pPr>
              <w:pStyle w:val="aff6"/>
              <w:topLinePunct/>
              <w:jc w:val="left"/>
            </w:pPr>
            <w:r>
              <w:t>安全储存注意事项：贮存在阴凉处。容器保持紧闭，储存在干燥通风处。</w:t>
            </w:r>
          </w:p>
        </w:tc>
      </w:tr>
    </w:tbl>
    <w:p w14:paraId="7296BCB8" w14:textId="77777777" w:rsidR="003E78AB" w:rsidRDefault="00010BF9">
      <w:pPr>
        <w:pStyle w:val="a"/>
        <w:spacing w:before="120"/>
        <w:ind w:left="425" w:hanging="425"/>
      </w:pPr>
      <w:bookmarkStart w:id="428" w:name="_Ref6098"/>
      <w:r>
        <w:rPr>
          <w:rFonts w:hint="eastAsia"/>
        </w:rPr>
        <w:t>润滑油</w:t>
      </w:r>
      <w:r>
        <w:t>性质和危险特性一览表</w:t>
      </w:r>
      <w:bookmarkEnd w:id="428"/>
    </w:p>
    <w:tbl>
      <w:tblPr>
        <w:tblStyle w:val="TableNormal"/>
        <w:tblW w:w="49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539"/>
        <w:gridCol w:w="1024"/>
        <w:gridCol w:w="1019"/>
        <w:gridCol w:w="628"/>
        <w:gridCol w:w="1246"/>
        <w:gridCol w:w="166"/>
        <w:gridCol w:w="1434"/>
        <w:gridCol w:w="630"/>
      </w:tblGrid>
      <w:tr w:rsidR="003E78AB" w14:paraId="57A8C6CF" w14:textId="77777777">
        <w:trPr>
          <w:trHeight w:val="333"/>
        </w:trPr>
        <w:tc>
          <w:tcPr>
            <w:tcW w:w="374" w:type="pct"/>
            <w:vAlign w:val="center"/>
          </w:tcPr>
          <w:p w14:paraId="1BD2E14C" w14:textId="77777777" w:rsidR="003E78AB" w:rsidRDefault="00010BF9">
            <w:pPr>
              <w:pStyle w:val="aff6"/>
              <w:topLinePunct/>
            </w:pPr>
            <w:r>
              <w:t>标识</w:t>
            </w:r>
          </w:p>
        </w:tc>
        <w:tc>
          <w:tcPr>
            <w:tcW w:w="2533" w:type="pct"/>
            <w:gridSpan w:val="4"/>
            <w:vAlign w:val="center"/>
          </w:tcPr>
          <w:p w14:paraId="0419DD3B" w14:textId="77777777" w:rsidR="003E78AB" w:rsidRDefault="00010BF9">
            <w:pPr>
              <w:pStyle w:val="aff6"/>
              <w:topLinePunct/>
            </w:pPr>
            <w:r>
              <w:t>中文名：润滑油</w:t>
            </w:r>
          </w:p>
        </w:tc>
        <w:tc>
          <w:tcPr>
            <w:tcW w:w="2091" w:type="pct"/>
            <w:gridSpan w:val="4"/>
            <w:vAlign w:val="center"/>
          </w:tcPr>
          <w:p w14:paraId="6F48D1E2" w14:textId="77777777" w:rsidR="003E78AB" w:rsidRDefault="00010BF9">
            <w:pPr>
              <w:pStyle w:val="aff6"/>
              <w:topLinePunct/>
            </w:pPr>
            <w:r>
              <w:t>英文名：</w:t>
            </w:r>
            <w:r>
              <w:t>lubricating</w:t>
            </w:r>
          </w:p>
        </w:tc>
      </w:tr>
      <w:tr w:rsidR="003E78AB" w14:paraId="36C48AEF" w14:textId="77777777">
        <w:trPr>
          <w:trHeight w:val="275"/>
        </w:trPr>
        <w:tc>
          <w:tcPr>
            <w:tcW w:w="374" w:type="pct"/>
            <w:vMerge w:val="restart"/>
            <w:vAlign w:val="center"/>
          </w:tcPr>
          <w:p w14:paraId="00DFC8D9" w14:textId="77777777" w:rsidR="003E78AB" w:rsidRDefault="00010BF9">
            <w:pPr>
              <w:pStyle w:val="aff6"/>
              <w:topLinePunct/>
            </w:pPr>
            <w:r>
              <w:t>理化性质</w:t>
            </w:r>
          </w:p>
        </w:tc>
        <w:tc>
          <w:tcPr>
            <w:tcW w:w="926" w:type="pct"/>
            <w:vAlign w:val="center"/>
          </w:tcPr>
          <w:p w14:paraId="2428D18D" w14:textId="77777777" w:rsidR="003E78AB" w:rsidRDefault="00010BF9">
            <w:pPr>
              <w:pStyle w:val="aff6"/>
              <w:topLinePunct/>
            </w:pPr>
            <w:r>
              <w:t>外观与性状</w:t>
            </w:r>
          </w:p>
        </w:tc>
        <w:tc>
          <w:tcPr>
            <w:tcW w:w="1607" w:type="pct"/>
            <w:gridSpan w:val="3"/>
            <w:vAlign w:val="center"/>
          </w:tcPr>
          <w:p w14:paraId="4CFBC1D9" w14:textId="77777777" w:rsidR="003E78AB" w:rsidRDefault="00010BF9">
            <w:pPr>
              <w:pStyle w:val="aff6"/>
              <w:topLinePunct/>
            </w:pPr>
            <w:r>
              <w:t>淡黄色粘稠液体</w:t>
            </w:r>
          </w:p>
        </w:tc>
        <w:tc>
          <w:tcPr>
            <w:tcW w:w="750" w:type="pct"/>
            <w:vAlign w:val="center"/>
          </w:tcPr>
          <w:p w14:paraId="71488CF0" w14:textId="77777777" w:rsidR="003E78AB" w:rsidRDefault="00010BF9">
            <w:pPr>
              <w:pStyle w:val="aff6"/>
              <w:topLinePunct/>
            </w:pPr>
            <w:r>
              <w:t>闪点</w:t>
            </w:r>
            <w:r>
              <w:t>(℃)</w:t>
            </w:r>
          </w:p>
        </w:tc>
        <w:tc>
          <w:tcPr>
            <w:tcW w:w="1341" w:type="pct"/>
            <w:gridSpan w:val="3"/>
            <w:vAlign w:val="center"/>
          </w:tcPr>
          <w:p w14:paraId="0753D950" w14:textId="77777777" w:rsidR="003E78AB" w:rsidRDefault="00010BF9">
            <w:pPr>
              <w:pStyle w:val="aff6"/>
              <w:topLinePunct/>
            </w:pPr>
            <w:r>
              <w:t>120~340</w:t>
            </w:r>
          </w:p>
        </w:tc>
      </w:tr>
      <w:tr w:rsidR="003E78AB" w14:paraId="2D69D1A9" w14:textId="77777777">
        <w:trPr>
          <w:trHeight w:val="551"/>
        </w:trPr>
        <w:tc>
          <w:tcPr>
            <w:tcW w:w="374" w:type="pct"/>
            <w:vMerge/>
            <w:vAlign w:val="center"/>
          </w:tcPr>
          <w:p w14:paraId="2D12C77F" w14:textId="77777777" w:rsidR="003E78AB" w:rsidRDefault="003E78AB">
            <w:pPr>
              <w:pStyle w:val="aff6"/>
              <w:topLinePunct/>
            </w:pPr>
          </w:p>
        </w:tc>
        <w:tc>
          <w:tcPr>
            <w:tcW w:w="926" w:type="pct"/>
            <w:vAlign w:val="center"/>
          </w:tcPr>
          <w:p w14:paraId="447C105A" w14:textId="77777777" w:rsidR="003E78AB" w:rsidRDefault="00010BF9">
            <w:pPr>
              <w:pStyle w:val="aff6"/>
              <w:topLinePunct/>
            </w:pPr>
            <w:r>
              <w:t>自燃点</w:t>
            </w:r>
            <w:r>
              <w:t>(℃)</w:t>
            </w:r>
          </w:p>
        </w:tc>
        <w:tc>
          <w:tcPr>
            <w:tcW w:w="616" w:type="pct"/>
            <w:vAlign w:val="center"/>
          </w:tcPr>
          <w:p w14:paraId="668C35E5" w14:textId="77777777" w:rsidR="003E78AB" w:rsidRDefault="00010BF9">
            <w:pPr>
              <w:pStyle w:val="aff6"/>
              <w:topLinePunct/>
            </w:pPr>
            <w:r>
              <w:t>300~350</w:t>
            </w:r>
          </w:p>
        </w:tc>
        <w:tc>
          <w:tcPr>
            <w:tcW w:w="990" w:type="pct"/>
            <w:gridSpan w:val="2"/>
            <w:vAlign w:val="center"/>
          </w:tcPr>
          <w:p w14:paraId="2BFC6CEE" w14:textId="77777777" w:rsidR="003E78AB" w:rsidRDefault="00010BF9">
            <w:pPr>
              <w:pStyle w:val="aff6"/>
              <w:topLinePunct/>
            </w:pPr>
            <w:r>
              <w:t>相对密度</w:t>
            </w:r>
            <w:r>
              <w:t>(</w:t>
            </w:r>
            <w:r>
              <w:t>水</w:t>
            </w:r>
            <w:r>
              <w:t>=1)</w:t>
            </w:r>
          </w:p>
        </w:tc>
        <w:tc>
          <w:tcPr>
            <w:tcW w:w="750" w:type="pct"/>
            <w:vAlign w:val="center"/>
          </w:tcPr>
          <w:p w14:paraId="0DEBBF08" w14:textId="77777777" w:rsidR="003E78AB" w:rsidRDefault="00010BF9">
            <w:pPr>
              <w:pStyle w:val="aff6"/>
              <w:topLinePunct/>
            </w:pPr>
            <w:r>
              <w:t>934.8</w:t>
            </w:r>
          </w:p>
        </w:tc>
        <w:tc>
          <w:tcPr>
            <w:tcW w:w="963" w:type="pct"/>
            <w:gridSpan w:val="2"/>
            <w:vAlign w:val="center"/>
          </w:tcPr>
          <w:p w14:paraId="280C3DD8" w14:textId="77777777" w:rsidR="003E78AB" w:rsidRDefault="00010BF9">
            <w:pPr>
              <w:pStyle w:val="aff6"/>
              <w:topLinePunct/>
            </w:pPr>
            <w:r>
              <w:t>相对密度</w:t>
            </w:r>
            <w:r>
              <w:t>(</w:t>
            </w:r>
            <w:r>
              <w:t>空气</w:t>
            </w:r>
            <w:r>
              <w:t>=1)</w:t>
            </w:r>
          </w:p>
        </w:tc>
        <w:tc>
          <w:tcPr>
            <w:tcW w:w="377" w:type="pct"/>
            <w:vAlign w:val="center"/>
          </w:tcPr>
          <w:p w14:paraId="78AD5A30" w14:textId="77777777" w:rsidR="003E78AB" w:rsidRDefault="00010BF9">
            <w:pPr>
              <w:pStyle w:val="aff6"/>
              <w:topLinePunct/>
            </w:pPr>
            <w:r>
              <w:t>0.85</w:t>
            </w:r>
          </w:p>
        </w:tc>
      </w:tr>
      <w:tr w:rsidR="003E78AB" w14:paraId="7D45A118" w14:textId="77777777">
        <w:trPr>
          <w:trHeight w:val="362"/>
        </w:trPr>
        <w:tc>
          <w:tcPr>
            <w:tcW w:w="374" w:type="pct"/>
            <w:vMerge/>
            <w:vAlign w:val="center"/>
          </w:tcPr>
          <w:p w14:paraId="4F9CFB5D" w14:textId="77777777" w:rsidR="003E78AB" w:rsidRDefault="003E78AB">
            <w:pPr>
              <w:pStyle w:val="aff6"/>
              <w:topLinePunct/>
            </w:pPr>
          </w:p>
        </w:tc>
        <w:tc>
          <w:tcPr>
            <w:tcW w:w="926" w:type="pct"/>
            <w:vAlign w:val="center"/>
          </w:tcPr>
          <w:p w14:paraId="5463F6C0" w14:textId="77777777" w:rsidR="003E78AB" w:rsidRDefault="00010BF9">
            <w:pPr>
              <w:pStyle w:val="aff6"/>
              <w:topLinePunct/>
            </w:pPr>
            <w:r>
              <w:t>沸点</w:t>
            </w:r>
            <w:r>
              <w:t>(℃)</w:t>
            </w:r>
          </w:p>
        </w:tc>
        <w:tc>
          <w:tcPr>
            <w:tcW w:w="616" w:type="pct"/>
            <w:vAlign w:val="center"/>
          </w:tcPr>
          <w:p w14:paraId="19FE0708" w14:textId="77777777" w:rsidR="003E78AB" w:rsidRDefault="00010BF9">
            <w:pPr>
              <w:pStyle w:val="aff6"/>
              <w:topLinePunct/>
            </w:pPr>
            <w:r>
              <w:t>-252.8</w:t>
            </w:r>
          </w:p>
        </w:tc>
        <w:tc>
          <w:tcPr>
            <w:tcW w:w="1741" w:type="pct"/>
            <w:gridSpan w:val="3"/>
            <w:vAlign w:val="center"/>
          </w:tcPr>
          <w:p w14:paraId="41608B3C" w14:textId="77777777" w:rsidR="003E78AB" w:rsidRDefault="00010BF9">
            <w:pPr>
              <w:pStyle w:val="aff6"/>
              <w:topLinePunct/>
            </w:pPr>
            <w:r>
              <w:t>饱和蒸气压</w:t>
            </w:r>
            <w:r>
              <w:t>(kPa)</w:t>
            </w:r>
          </w:p>
        </w:tc>
        <w:tc>
          <w:tcPr>
            <w:tcW w:w="1341" w:type="pct"/>
            <w:gridSpan w:val="3"/>
            <w:vAlign w:val="center"/>
          </w:tcPr>
          <w:p w14:paraId="2FCA41A8" w14:textId="77777777" w:rsidR="003E78AB" w:rsidRDefault="00010BF9">
            <w:pPr>
              <w:pStyle w:val="aff6"/>
              <w:topLinePunct/>
            </w:pPr>
            <w:r>
              <w:t>0.13/145.8℃</w:t>
            </w:r>
          </w:p>
        </w:tc>
      </w:tr>
      <w:tr w:rsidR="003E78AB" w14:paraId="3787F9DE" w14:textId="77777777">
        <w:trPr>
          <w:trHeight w:val="360"/>
        </w:trPr>
        <w:tc>
          <w:tcPr>
            <w:tcW w:w="374" w:type="pct"/>
            <w:vMerge/>
            <w:vAlign w:val="center"/>
          </w:tcPr>
          <w:p w14:paraId="73421877" w14:textId="77777777" w:rsidR="003E78AB" w:rsidRDefault="003E78AB">
            <w:pPr>
              <w:pStyle w:val="aff6"/>
              <w:topLinePunct/>
            </w:pPr>
          </w:p>
        </w:tc>
        <w:tc>
          <w:tcPr>
            <w:tcW w:w="926" w:type="pct"/>
            <w:vAlign w:val="center"/>
          </w:tcPr>
          <w:p w14:paraId="49B18C15" w14:textId="77777777" w:rsidR="003E78AB" w:rsidRDefault="00010BF9">
            <w:pPr>
              <w:pStyle w:val="aff6"/>
              <w:topLinePunct/>
            </w:pPr>
            <w:r>
              <w:t>溶解性</w:t>
            </w:r>
          </w:p>
        </w:tc>
        <w:tc>
          <w:tcPr>
            <w:tcW w:w="3699" w:type="pct"/>
            <w:gridSpan w:val="7"/>
            <w:vAlign w:val="center"/>
          </w:tcPr>
          <w:p w14:paraId="3B57EF66" w14:textId="77777777" w:rsidR="003E78AB" w:rsidRDefault="00010BF9">
            <w:pPr>
              <w:pStyle w:val="aff6"/>
              <w:topLinePunct/>
            </w:pPr>
            <w:r>
              <w:t>溶于苯、乙醇、乙醚、氯仿、丙酮等多数有机溶剂。</w:t>
            </w:r>
          </w:p>
        </w:tc>
      </w:tr>
      <w:tr w:rsidR="003E78AB" w14:paraId="4DC18433" w14:textId="77777777">
        <w:trPr>
          <w:trHeight w:val="822"/>
        </w:trPr>
        <w:tc>
          <w:tcPr>
            <w:tcW w:w="374" w:type="pct"/>
            <w:vMerge w:val="restart"/>
            <w:vAlign w:val="center"/>
          </w:tcPr>
          <w:p w14:paraId="76897D02" w14:textId="77777777" w:rsidR="003E78AB" w:rsidRDefault="00010BF9">
            <w:pPr>
              <w:pStyle w:val="aff6"/>
              <w:topLinePunct/>
            </w:pPr>
            <w:r>
              <w:t>燃烧爆炸危险</w:t>
            </w:r>
          </w:p>
        </w:tc>
        <w:tc>
          <w:tcPr>
            <w:tcW w:w="926" w:type="pct"/>
            <w:vAlign w:val="center"/>
          </w:tcPr>
          <w:p w14:paraId="138D9AE2" w14:textId="77777777" w:rsidR="003E78AB" w:rsidRDefault="00010BF9">
            <w:pPr>
              <w:pStyle w:val="aff6"/>
              <w:topLinePunct/>
            </w:pPr>
            <w:r>
              <w:t>危险特性</w:t>
            </w:r>
          </w:p>
        </w:tc>
        <w:tc>
          <w:tcPr>
            <w:tcW w:w="1229" w:type="pct"/>
            <w:gridSpan w:val="2"/>
            <w:vAlign w:val="center"/>
          </w:tcPr>
          <w:p w14:paraId="3A7B8BF8" w14:textId="77777777" w:rsidR="003E78AB" w:rsidRDefault="00010BF9">
            <w:pPr>
              <w:pStyle w:val="aff6"/>
              <w:topLinePunct/>
            </w:pPr>
            <w:r>
              <w:t>可燃液体，火灾危险性为丙</w:t>
            </w:r>
            <w:r>
              <w:t>B</w:t>
            </w:r>
            <w:r>
              <w:t>类；遇明火、高热可燃</w:t>
            </w:r>
          </w:p>
        </w:tc>
        <w:tc>
          <w:tcPr>
            <w:tcW w:w="1228" w:type="pct"/>
            <w:gridSpan w:val="3"/>
            <w:vAlign w:val="center"/>
          </w:tcPr>
          <w:p w14:paraId="30B587F4" w14:textId="77777777" w:rsidR="003E78AB" w:rsidRDefault="00010BF9">
            <w:pPr>
              <w:pStyle w:val="aff6"/>
              <w:topLinePunct/>
            </w:pPr>
            <w:r>
              <w:t>燃烧分解产物</w:t>
            </w:r>
          </w:p>
        </w:tc>
        <w:tc>
          <w:tcPr>
            <w:tcW w:w="1241" w:type="pct"/>
            <w:gridSpan w:val="2"/>
            <w:vAlign w:val="center"/>
          </w:tcPr>
          <w:p w14:paraId="3F2D73D5" w14:textId="77777777" w:rsidR="003E78AB" w:rsidRDefault="00010BF9">
            <w:pPr>
              <w:pStyle w:val="aff6"/>
              <w:topLinePunct/>
            </w:pPr>
            <w:r>
              <w:t>CO</w:t>
            </w:r>
            <w:r>
              <w:t>、</w:t>
            </w:r>
            <w:r>
              <w:t>CO2</w:t>
            </w:r>
            <w:r>
              <w:t>等有毒有害气体</w:t>
            </w:r>
          </w:p>
        </w:tc>
      </w:tr>
      <w:tr w:rsidR="003E78AB" w14:paraId="0D12E931" w14:textId="77777777">
        <w:trPr>
          <w:trHeight w:val="278"/>
        </w:trPr>
        <w:tc>
          <w:tcPr>
            <w:tcW w:w="374" w:type="pct"/>
            <w:vMerge/>
            <w:vAlign w:val="center"/>
          </w:tcPr>
          <w:p w14:paraId="13F97FDB" w14:textId="77777777" w:rsidR="003E78AB" w:rsidRDefault="003E78AB">
            <w:pPr>
              <w:pStyle w:val="aff6"/>
              <w:topLinePunct/>
            </w:pPr>
          </w:p>
        </w:tc>
        <w:tc>
          <w:tcPr>
            <w:tcW w:w="926" w:type="pct"/>
            <w:vAlign w:val="center"/>
          </w:tcPr>
          <w:p w14:paraId="65AABA8A" w14:textId="77777777" w:rsidR="003E78AB" w:rsidRDefault="00010BF9">
            <w:pPr>
              <w:pStyle w:val="aff6"/>
              <w:topLinePunct/>
            </w:pPr>
            <w:r>
              <w:t>稳定性</w:t>
            </w:r>
          </w:p>
        </w:tc>
        <w:tc>
          <w:tcPr>
            <w:tcW w:w="1229" w:type="pct"/>
            <w:gridSpan w:val="2"/>
            <w:vAlign w:val="center"/>
          </w:tcPr>
          <w:p w14:paraId="61C332FF" w14:textId="77777777" w:rsidR="003E78AB" w:rsidRDefault="00010BF9">
            <w:pPr>
              <w:pStyle w:val="aff6"/>
              <w:topLinePunct/>
            </w:pPr>
            <w:r>
              <w:t>稳定</w:t>
            </w:r>
          </w:p>
        </w:tc>
        <w:tc>
          <w:tcPr>
            <w:tcW w:w="1228" w:type="pct"/>
            <w:gridSpan w:val="3"/>
            <w:vAlign w:val="center"/>
          </w:tcPr>
          <w:p w14:paraId="18884BF0" w14:textId="77777777" w:rsidR="003E78AB" w:rsidRDefault="00010BF9">
            <w:pPr>
              <w:pStyle w:val="aff6"/>
              <w:topLinePunct/>
            </w:pPr>
            <w:r>
              <w:t>禁忌物</w:t>
            </w:r>
          </w:p>
        </w:tc>
        <w:tc>
          <w:tcPr>
            <w:tcW w:w="1241" w:type="pct"/>
            <w:gridSpan w:val="2"/>
            <w:vAlign w:val="center"/>
          </w:tcPr>
          <w:p w14:paraId="3FD5EDDC" w14:textId="77777777" w:rsidR="003E78AB" w:rsidRDefault="00010BF9">
            <w:pPr>
              <w:pStyle w:val="aff6"/>
              <w:topLinePunct/>
            </w:pPr>
            <w:r>
              <w:t>硝酸等强氧化剂</w:t>
            </w:r>
          </w:p>
        </w:tc>
      </w:tr>
      <w:tr w:rsidR="003E78AB" w14:paraId="5FE8C239" w14:textId="77777777">
        <w:trPr>
          <w:trHeight w:val="1093"/>
        </w:trPr>
        <w:tc>
          <w:tcPr>
            <w:tcW w:w="374" w:type="pct"/>
            <w:vMerge/>
            <w:vAlign w:val="center"/>
          </w:tcPr>
          <w:p w14:paraId="2988AF3B" w14:textId="77777777" w:rsidR="003E78AB" w:rsidRDefault="003E78AB">
            <w:pPr>
              <w:pStyle w:val="aff6"/>
              <w:topLinePunct/>
            </w:pPr>
          </w:p>
        </w:tc>
        <w:tc>
          <w:tcPr>
            <w:tcW w:w="926" w:type="pct"/>
            <w:vAlign w:val="center"/>
          </w:tcPr>
          <w:p w14:paraId="7BB72746" w14:textId="77777777" w:rsidR="003E78AB" w:rsidRDefault="00010BF9">
            <w:pPr>
              <w:pStyle w:val="aff6"/>
              <w:topLinePunct/>
            </w:pPr>
            <w:r>
              <w:t>灭火方法</w:t>
            </w:r>
          </w:p>
        </w:tc>
        <w:tc>
          <w:tcPr>
            <w:tcW w:w="3699" w:type="pct"/>
            <w:gridSpan w:val="7"/>
            <w:vAlign w:val="center"/>
          </w:tcPr>
          <w:p w14:paraId="3C6A9527" w14:textId="77777777" w:rsidR="003E78AB" w:rsidRDefault="00010BF9">
            <w:pPr>
              <w:pStyle w:val="aff6"/>
              <w:topLinePunct/>
            </w:pPr>
            <w:r>
              <w:t>消防人员须佩戴防毒面具、穿全身消防服，在上风向灭火。尽可能将容器从火场移至空旷处。喷水保持火场容器冷却，直至灭火结束。处在火场中的容器若已变色或从安全泄压装置中产生声音，必须立即撤离。灭火剂：雾状水、泡沫、干粉、二氧化碳、砂土。</w:t>
            </w:r>
          </w:p>
        </w:tc>
      </w:tr>
      <w:tr w:rsidR="003E78AB" w14:paraId="3A72BD4C" w14:textId="77777777">
        <w:trPr>
          <w:trHeight w:val="837"/>
        </w:trPr>
        <w:tc>
          <w:tcPr>
            <w:tcW w:w="374" w:type="pct"/>
            <w:vAlign w:val="center"/>
          </w:tcPr>
          <w:p w14:paraId="7F6FE25D" w14:textId="77777777" w:rsidR="003E78AB" w:rsidRDefault="00010BF9">
            <w:pPr>
              <w:pStyle w:val="aff6"/>
              <w:topLinePunct/>
            </w:pPr>
            <w:r>
              <w:t>健康危害</w:t>
            </w:r>
          </w:p>
        </w:tc>
        <w:tc>
          <w:tcPr>
            <w:tcW w:w="4625" w:type="pct"/>
            <w:gridSpan w:val="8"/>
            <w:vAlign w:val="center"/>
          </w:tcPr>
          <w:p w14:paraId="024C0BF1" w14:textId="77777777" w:rsidR="003E78AB" w:rsidRDefault="00010BF9">
            <w:pPr>
              <w:pStyle w:val="aff6"/>
              <w:topLinePunct/>
              <w:jc w:val="left"/>
            </w:pPr>
            <w:r>
              <w:t>急性吸入，可出现乏力、头晕、头痛、恶心，严重者可引起油脂性肺炎。慢接触者，暴露部位可发生油性痤疮和接触型皮炎。可引发神经衰弱综合症，呼吸道和眼刺激症状及慢性油脂性肺炎。</w:t>
            </w:r>
          </w:p>
        </w:tc>
      </w:tr>
      <w:tr w:rsidR="003E78AB" w14:paraId="1250A8AD" w14:textId="77777777">
        <w:trPr>
          <w:trHeight w:val="1381"/>
        </w:trPr>
        <w:tc>
          <w:tcPr>
            <w:tcW w:w="374" w:type="pct"/>
            <w:vAlign w:val="center"/>
          </w:tcPr>
          <w:p w14:paraId="5ED4CE8C" w14:textId="77777777" w:rsidR="003E78AB" w:rsidRDefault="00010BF9">
            <w:pPr>
              <w:pStyle w:val="aff6"/>
              <w:topLinePunct/>
            </w:pPr>
            <w:r>
              <w:t>急救措施</w:t>
            </w:r>
          </w:p>
        </w:tc>
        <w:tc>
          <w:tcPr>
            <w:tcW w:w="4625" w:type="pct"/>
            <w:gridSpan w:val="8"/>
            <w:vAlign w:val="center"/>
          </w:tcPr>
          <w:p w14:paraId="2504BBB6" w14:textId="77777777" w:rsidR="003E78AB" w:rsidRDefault="00010BF9">
            <w:pPr>
              <w:pStyle w:val="aff6"/>
              <w:topLinePunct/>
              <w:jc w:val="left"/>
            </w:pPr>
            <w:r>
              <w:t>皮肤接触：脱去污染的衣着，用大量流动清水清洗。就医。</w:t>
            </w:r>
          </w:p>
          <w:p w14:paraId="41A1E958" w14:textId="77777777" w:rsidR="003E78AB" w:rsidRDefault="00010BF9">
            <w:pPr>
              <w:pStyle w:val="aff6"/>
              <w:topLinePunct/>
              <w:jc w:val="left"/>
            </w:pPr>
            <w:r>
              <w:t>眼接触：提起眼睑，用流动清水或生理盐水冲洗。就医。</w:t>
            </w:r>
          </w:p>
          <w:p w14:paraId="7B819F98" w14:textId="77777777" w:rsidR="003E78AB" w:rsidRDefault="00010BF9">
            <w:pPr>
              <w:pStyle w:val="aff6"/>
              <w:topLinePunct/>
              <w:jc w:val="left"/>
            </w:pPr>
            <w:r>
              <w:t>吸入：迅速脱离现场至空气新鲜处，保持呼吸畅通。如呼吸困难，给输氧。如呼吸停止，立即进行人工呼吸。就医。</w:t>
            </w:r>
          </w:p>
          <w:p w14:paraId="36D48720" w14:textId="77777777" w:rsidR="003E78AB" w:rsidRDefault="00010BF9">
            <w:pPr>
              <w:pStyle w:val="aff6"/>
              <w:topLinePunct/>
              <w:jc w:val="left"/>
            </w:pPr>
            <w:r>
              <w:t>食用：饮适量温水，催吐。就医。</w:t>
            </w:r>
          </w:p>
        </w:tc>
      </w:tr>
      <w:tr w:rsidR="003E78AB" w14:paraId="0D25202B" w14:textId="77777777">
        <w:trPr>
          <w:trHeight w:val="1638"/>
        </w:trPr>
        <w:tc>
          <w:tcPr>
            <w:tcW w:w="374" w:type="pct"/>
            <w:vAlign w:val="center"/>
          </w:tcPr>
          <w:p w14:paraId="3B63A45A" w14:textId="77777777" w:rsidR="003E78AB" w:rsidRDefault="00010BF9">
            <w:pPr>
              <w:pStyle w:val="aff6"/>
              <w:topLinePunct/>
            </w:pPr>
            <w:r>
              <w:t>防护处理</w:t>
            </w:r>
          </w:p>
        </w:tc>
        <w:tc>
          <w:tcPr>
            <w:tcW w:w="4625" w:type="pct"/>
            <w:gridSpan w:val="8"/>
            <w:vAlign w:val="center"/>
          </w:tcPr>
          <w:p w14:paraId="78A4F0AD" w14:textId="77777777" w:rsidR="003E78AB" w:rsidRDefault="00010BF9">
            <w:pPr>
              <w:pStyle w:val="aff6"/>
              <w:topLinePunct/>
              <w:jc w:val="left"/>
            </w:pPr>
            <w:r>
              <w:t>呼吸系统防护：空气中浓度超标时，必须佩戴自吸过滤式防毒面具</w:t>
            </w:r>
            <w:r>
              <w:t>(</w:t>
            </w:r>
            <w:r>
              <w:t>半面罩</w:t>
            </w:r>
            <w:r>
              <w:t>)</w:t>
            </w:r>
            <w:r>
              <w:t>；紧急事态抢救或撤离时，应佩戴空气呼吸器。</w:t>
            </w:r>
          </w:p>
          <w:p w14:paraId="6AB210D6" w14:textId="77777777" w:rsidR="003E78AB" w:rsidRDefault="00010BF9">
            <w:pPr>
              <w:pStyle w:val="aff6"/>
              <w:topLinePunct/>
              <w:jc w:val="left"/>
            </w:pPr>
            <w:r>
              <w:t>眼睛防护：戴化学安全防护眼镜。</w:t>
            </w:r>
          </w:p>
          <w:p w14:paraId="4C3CC279" w14:textId="77777777" w:rsidR="003E78AB" w:rsidRDefault="00010BF9">
            <w:pPr>
              <w:pStyle w:val="aff6"/>
              <w:topLinePunct/>
              <w:jc w:val="left"/>
            </w:pPr>
            <w:r>
              <w:t>身体防护：穿防毒渗透工作服。</w:t>
            </w:r>
          </w:p>
          <w:p w14:paraId="51FD88E7" w14:textId="77777777" w:rsidR="003E78AB" w:rsidRDefault="00010BF9">
            <w:pPr>
              <w:pStyle w:val="aff6"/>
              <w:topLinePunct/>
              <w:jc w:val="left"/>
            </w:pPr>
            <w:r>
              <w:t>手防护：戴橡胶耐油手套。</w:t>
            </w:r>
          </w:p>
          <w:p w14:paraId="0679E3CF" w14:textId="77777777" w:rsidR="003E78AB" w:rsidRDefault="00010BF9">
            <w:pPr>
              <w:pStyle w:val="aff6"/>
              <w:topLinePunct/>
              <w:jc w:val="left"/>
            </w:pPr>
            <w:r>
              <w:t>其他：工作现场严禁吸烟，避免长期反复接触。</w:t>
            </w:r>
          </w:p>
        </w:tc>
      </w:tr>
      <w:tr w:rsidR="003E78AB" w14:paraId="62087801" w14:textId="77777777">
        <w:trPr>
          <w:trHeight w:val="1365"/>
        </w:trPr>
        <w:tc>
          <w:tcPr>
            <w:tcW w:w="374" w:type="pct"/>
            <w:vAlign w:val="center"/>
          </w:tcPr>
          <w:p w14:paraId="644FCC4A" w14:textId="77777777" w:rsidR="003E78AB" w:rsidRDefault="00010BF9">
            <w:pPr>
              <w:pStyle w:val="aff6"/>
              <w:topLinePunct/>
            </w:pPr>
            <w:r>
              <w:t>泄漏处理</w:t>
            </w:r>
          </w:p>
        </w:tc>
        <w:tc>
          <w:tcPr>
            <w:tcW w:w="4625" w:type="pct"/>
            <w:gridSpan w:val="8"/>
            <w:vAlign w:val="center"/>
          </w:tcPr>
          <w:p w14:paraId="645D1556" w14:textId="77777777" w:rsidR="003E78AB" w:rsidRDefault="00010BF9">
            <w:pPr>
              <w:pStyle w:val="aff6"/>
              <w:topLinePunct/>
              <w:jc w:val="left"/>
            </w:pPr>
            <w:r>
              <w:t>迅速撤离泄漏污染区人员至安全区，并进行隔离，严格限制出入。切断火源。建议应急处理人员戴自给正式呼吸器，穿防毒服。尽可能切断泄漏源。防止流入下水道、排洪沟等限制性空间。小量泄漏：用砂土或其他不燃材料吸附或吸收，减少挥发。大量泄漏：构筑围堤或挖坑收容。用泵转移至槽车或专用收集器内，回收或运至废物处理场所处置。</w:t>
            </w:r>
          </w:p>
        </w:tc>
      </w:tr>
      <w:tr w:rsidR="003E78AB" w14:paraId="464AE03E" w14:textId="77777777">
        <w:trPr>
          <w:trHeight w:val="551"/>
        </w:trPr>
        <w:tc>
          <w:tcPr>
            <w:tcW w:w="374" w:type="pct"/>
            <w:vAlign w:val="center"/>
          </w:tcPr>
          <w:p w14:paraId="79F0B08D" w14:textId="77777777" w:rsidR="003E78AB" w:rsidRDefault="00010BF9">
            <w:pPr>
              <w:pStyle w:val="aff6"/>
              <w:topLinePunct/>
            </w:pPr>
            <w:r>
              <w:t>储存要求</w:t>
            </w:r>
          </w:p>
        </w:tc>
        <w:tc>
          <w:tcPr>
            <w:tcW w:w="4625" w:type="pct"/>
            <w:gridSpan w:val="8"/>
            <w:vAlign w:val="center"/>
          </w:tcPr>
          <w:p w14:paraId="21B20A89" w14:textId="77777777" w:rsidR="003E78AB" w:rsidRDefault="00010BF9">
            <w:pPr>
              <w:pStyle w:val="aff6"/>
              <w:topLinePunct/>
              <w:jc w:val="left"/>
            </w:pPr>
            <w:r>
              <w:t>储存于阴凉、通风的库房。远离火种、热源。应与氧化剂分开存放，切忌混储。配备相应品种和数量的消防器材。储区应备有泄漏应急处理设备和合适的收容材料。</w:t>
            </w:r>
          </w:p>
        </w:tc>
      </w:tr>
      <w:tr w:rsidR="003E78AB" w14:paraId="05564DF2" w14:textId="77777777">
        <w:trPr>
          <w:trHeight w:val="1652"/>
        </w:trPr>
        <w:tc>
          <w:tcPr>
            <w:tcW w:w="374" w:type="pct"/>
            <w:vAlign w:val="center"/>
          </w:tcPr>
          <w:p w14:paraId="41898663" w14:textId="77777777" w:rsidR="003E78AB" w:rsidRDefault="00010BF9">
            <w:pPr>
              <w:pStyle w:val="aff6"/>
              <w:topLinePunct/>
            </w:pPr>
            <w:r>
              <w:t>运输要求</w:t>
            </w:r>
          </w:p>
        </w:tc>
        <w:tc>
          <w:tcPr>
            <w:tcW w:w="4625" w:type="pct"/>
            <w:gridSpan w:val="8"/>
            <w:vAlign w:val="center"/>
          </w:tcPr>
          <w:p w14:paraId="53F551F7" w14:textId="77777777" w:rsidR="003E78AB" w:rsidRDefault="00010BF9">
            <w:pPr>
              <w:pStyle w:val="aff6"/>
              <w:topLinePunct/>
              <w:jc w:val="left"/>
            </w:pPr>
            <w:r>
              <w:t>用油罐、油罐车、油船、铁桶、塑料桶等盛装，盛装时切不可装满，要留出必要的安全空间。运输前应先检查包装容器是否完整、密封，运输过程中要确保容器不</w:t>
            </w:r>
            <w:r>
              <w:rPr>
                <w:rFonts w:hint="eastAsia"/>
              </w:rPr>
              <w:t>泄漏</w:t>
            </w:r>
            <w:r>
              <w:t>、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5AF8EEE4" w14:textId="77777777" w:rsidR="003E78AB" w:rsidRDefault="00010BF9">
      <w:pPr>
        <w:pStyle w:val="a"/>
        <w:spacing w:before="120"/>
        <w:ind w:left="425" w:hanging="425"/>
        <w:rPr>
          <w:rFonts w:ascii="宋体" w:hAnsi="宋体" w:cs="宋体"/>
          <w:b/>
          <w:bCs/>
          <w:color w:val="000000"/>
          <w:u w:val="single"/>
        </w:rPr>
      </w:pPr>
      <w:r>
        <w:rPr>
          <w:rStyle w:val="divclass1rtcscls1r0"/>
          <w:rFonts w:ascii="宋体" w:hAnsi="宋体" w:cs="宋体"/>
          <w:b/>
          <w:bCs/>
          <w:color w:val="000000"/>
          <w:u w:val="single"/>
        </w:rPr>
        <w:t>氢氧化钠</w:t>
      </w:r>
      <w:r>
        <w:rPr>
          <w:b/>
          <w:bCs/>
          <w:u w:val="single"/>
        </w:rPr>
        <w:t>性质和危险特性一览表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
        <w:gridCol w:w="1419"/>
        <w:gridCol w:w="1104"/>
        <w:gridCol w:w="206"/>
        <w:gridCol w:w="308"/>
        <w:gridCol w:w="1095"/>
        <w:gridCol w:w="333"/>
        <w:gridCol w:w="833"/>
        <w:gridCol w:w="1344"/>
        <w:gridCol w:w="618"/>
        <w:gridCol w:w="601"/>
      </w:tblGrid>
      <w:tr w:rsidR="003E78AB" w14:paraId="2837F8F6" w14:textId="77777777">
        <w:trPr>
          <w:cantSplit/>
          <w:trHeight w:val="300"/>
        </w:trPr>
        <w:tc>
          <w:tcPr>
            <w:tcW w:w="495" w:type="dxa"/>
            <w:vMerge w:val="restart"/>
            <w:tcMar>
              <w:top w:w="8" w:type="dxa"/>
              <w:left w:w="8" w:type="dxa"/>
              <w:bottom w:w="8" w:type="dxa"/>
              <w:right w:w="8" w:type="dxa"/>
            </w:tcMar>
            <w:vAlign w:val="center"/>
          </w:tcPr>
          <w:p w14:paraId="1AF18097" w14:textId="77777777" w:rsidR="003E78AB" w:rsidRDefault="00010BF9">
            <w:pPr>
              <w:pStyle w:val="aff6"/>
              <w:topLinePunct/>
            </w:pPr>
            <w:r>
              <w:t>标识</w:t>
            </w:r>
          </w:p>
        </w:tc>
        <w:tc>
          <w:tcPr>
            <w:tcW w:w="5895" w:type="dxa"/>
            <w:gridSpan w:val="7"/>
            <w:vAlign w:val="center"/>
          </w:tcPr>
          <w:p w14:paraId="3DDED994" w14:textId="77777777" w:rsidR="003E78AB" w:rsidRDefault="00010BF9">
            <w:pPr>
              <w:pStyle w:val="aff6"/>
              <w:topLinePunct/>
              <w:jc w:val="left"/>
            </w:pPr>
            <w:r>
              <w:t>中文名：氢氧化钠；烧碱；苛性钠</w:t>
            </w:r>
          </w:p>
        </w:tc>
        <w:tc>
          <w:tcPr>
            <w:tcW w:w="2835" w:type="dxa"/>
            <w:gridSpan w:val="3"/>
            <w:vAlign w:val="center"/>
          </w:tcPr>
          <w:p w14:paraId="294DC980" w14:textId="77777777" w:rsidR="003E78AB" w:rsidRDefault="00010BF9">
            <w:pPr>
              <w:pStyle w:val="aff6"/>
              <w:topLinePunct/>
              <w:jc w:val="left"/>
            </w:pPr>
            <w:r>
              <w:t>危险货物编号：</w:t>
            </w:r>
            <w:r>
              <w:t>82001</w:t>
            </w:r>
          </w:p>
        </w:tc>
      </w:tr>
      <w:tr w:rsidR="003E78AB" w14:paraId="76F05F5B" w14:textId="77777777">
        <w:trPr>
          <w:cantSplit/>
          <w:trHeight w:val="270"/>
        </w:trPr>
        <w:tc>
          <w:tcPr>
            <w:tcW w:w="0" w:type="auto"/>
            <w:vMerge/>
            <w:vAlign w:val="center"/>
          </w:tcPr>
          <w:p w14:paraId="0656B775" w14:textId="77777777" w:rsidR="003E78AB" w:rsidRDefault="003E78AB">
            <w:pPr>
              <w:pStyle w:val="aff6"/>
              <w:topLinePunct/>
            </w:pPr>
          </w:p>
        </w:tc>
        <w:tc>
          <w:tcPr>
            <w:tcW w:w="5895" w:type="dxa"/>
            <w:gridSpan w:val="7"/>
            <w:tcMar>
              <w:top w:w="8" w:type="dxa"/>
              <w:left w:w="8" w:type="dxa"/>
              <w:bottom w:w="8" w:type="dxa"/>
              <w:right w:w="8" w:type="dxa"/>
            </w:tcMar>
            <w:vAlign w:val="center"/>
          </w:tcPr>
          <w:p w14:paraId="47C8BEEC" w14:textId="77777777" w:rsidR="003E78AB" w:rsidRDefault="00010BF9">
            <w:pPr>
              <w:pStyle w:val="aff6"/>
              <w:topLinePunct/>
              <w:jc w:val="left"/>
            </w:pPr>
            <w:r>
              <w:t>英文名：</w:t>
            </w:r>
            <w:r>
              <w:t>Sodiun hydroxide</w:t>
            </w:r>
            <w:r>
              <w:t>；</w:t>
            </w:r>
            <w:r>
              <w:t xml:space="preserve">Caustic </w:t>
            </w:r>
            <w:r>
              <w:t>soda</w:t>
            </w:r>
            <w:r>
              <w:t>；</w:t>
            </w:r>
            <w:r>
              <w:t>Sodiun hydrate</w:t>
            </w:r>
          </w:p>
        </w:tc>
        <w:tc>
          <w:tcPr>
            <w:tcW w:w="2835" w:type="dxa"/>
            <w:gridSpan w:val="3"/>
            <w:vAlign w:val="center"/>
          </w:tcPr>
          <w:p w14:paraId="7B513F25" w14:textId="77777777" w:rsidR="003E78AB" w:rsidRDefault="00010BF9">
            <w:pPr>
              <w:pStyle w:val="aff6"/>
              <w:topLinePunct/>
              <w:jc w:val="left"/>
            </w:pPr>
            <w:r>
              <w:t>UN</w:t>
            </w:r>
            <w:r>
              <w:t>编号：</w:t>
            </w:r>
            <w:r>
              <w:t>1823</w:t>
            </w:r>
          </w:p>
        </w:tc>
      </w:tr>
      <w:tr w:rsidR="003E78AB" w14:paraId="6B0FD04E" w14:textId="77777777">
        <w:trPr>
          <w:cantSplit/>
          <w:trHeight w:val="255"/>
        </w:trPr>
        <w:tc>
          <w:tcPr>
            <w:tcW w:w="0" w:type="auto"/>
            <w:vMerge/>
            <w:vAlign w:val="center"/>
          </w:tcPr>
          <w:p w14:paraId="7E871C11" w14:textId="77777777" w:rsidR="003E78AB" w:rsidRDefault="003E78AB">
            <w:pPr>
              <w:pStyle w:val="aff6"/>
              <w:topLinePunct/>
            </w:pPr>
          </w:p>
        </w:tc>
        <w:tc>
          <w:tcPr>
            <w:tcW w:w="3030" w:type="dxa"/>
            <w:gridSpan w:val="3"/>
            <w:tcMar>
              <w:top w:w="8" w:type="dxa"/>
              <w:left w:w="8" w:type="dxa"/>
              <w:bottom w:w="8" w:type="dxa"/>
              <w:right w:w="8" w:type="dxa"/>
            </w:tcMar>
            <w:vAlign w:val="center"/>
          </w:tcPr>
          <w:p w14:paraId="204CBBAD" w14:textId="77777777" w:rsidR="003E78AB" w:rsidRDefault="00010BF9">
            <w:pPr>
              <w:pStyle w:val="aff6"/>
              <w:topLinePunct/>
              <w:jc w:val="left"/>
            </w:pPr>
            <w:r>
              <w:t>分子式：</w:t>
            </w:r>
            <w:r>
              <w:t>NaOH</w:t>
            </w:r>
          </w:p>
        </w:tc>
        <w:tc>
          <w:tcPr>
            <w:tcW w:w="2880" w:type="dxa"/>
            <w:gridSpan w:val="4"/>
            <w:vAlign w:val="center"/>
          </w:tcPr>
          <w:p w14:paraId="3AC8AD4C" w14:textId="77777777" w:rsidR="003E78AB" w:rsidRDefault="00010BF9">
            <w:pPr>
              <w:pStyle w:val="aff6"/>
              <w:topLinePunct/>
              <w:jc w:val="left"/>
            </w:pPr>
            <w:r>
              <w:t>分子量：</w:t>
            </w:r>
            <w:r>
              <w:t>40.01</w:t>
            </w:r>
          </w:p>
        </w:tc>
        <w:tc>
          <w:tcPr>
            <w:tcW w:w="2835" w:type="dxa"/>
            <w:gridSpan w:val="3"/>
            <w:vAlign w:val="center"/>
          </w:tcPr>
          <w:p w14:paraId="3FAD0118" w14:textId="77777777" w:rsidR="003E78AB" w:rsidRDefault="00010BF9">
            <w:pPr>
              <w:pStyle w:val="aff6"/>
              <w:topLinePunct/>
              <w:jc w:val="left"/>
            </w:pPr>
            <w:r>
              <w:t>CAS</w:t>
            </w:r>
            <w:r>
              <w:t>号：</w:t>
            </w:r>
            <w:r>
              <w:t>1310-73-2</w:t>
            </w:r>
          </w:p>
        </w:tc>
      </w:tr>
      <w:tr w:rsidR="003E78AB" w14:paraId="4867B522" w14:textId="77777777">
        <w:trPr>
          <w:cantSplit/>
          <w:trHeight w:val="225"/>
        </w:trPr>
        <w:tc>
          <w:tcPr>
            <w:tcW w:w="495" w:type="dxa"/>
            <w:vMerge w:val="restart"/>
            <w:tcMar>
              <w:top w:w="8" w:type="dxa"/>
              <w:left w:w="8" w:type="dxa"/>
              <w:bottom w:w="8" w:type="dxa"/>
              <w:right w:w="8" w:type="dxa"/>
            </w:tcMar>
            <w:vAlign w:val="center"/>
          </w:tcPr>
          <w:p w14:paraId="58B73154" w14:textId="77777777" w:rsidR="003E78AB" w:rsidRDefault="00010BF9">
            <w:pPr>
              <w:pStyle w:val="aff6"/>
              <w:topLinePunct/>
            </w:pPr>
            <w:r>
              <w:t>理化性质</w:t>
            </w:r>
          </w:p>
        </w:tc>
        <w:tc>
          <w:tcPr>
            <w:tcW w:w="1575" w:type="dxa"/>
            <w:vAlign w:val="center"/>
          </w:tcPr>
          <w:p w14:paraId="06EC3A10" w14:textId="77777777" w:rsidR="003E78AB" w:rsidRDefault="00010BF9">
            <w:pPr>
              <w:pStyle w:val="aff6"/>
              <w:topLinePunct/>
            </w:pPr>
            <w:r>
              <w:t>外观与性状</w:t>
            </w:r>
          </w:p>
        </w:tc>
        <w:tc>
          <w:tcPr>
            <w:tcW w:w="7155" w:type="dxa"/>
            <w:gridSpan w:val="9"/>
            <w:vAlign w:val="center"/>
          </w:tcPr>
          <w:p w14:paraId="2F7C236C" w14:textId="77777777" w:rsidR="003E78AB" w:rsidRDefault="00010BF9">
            <w:pPr>
              <w:pStyle w:val="aff6"/>
              <w:topLinePunct/>
            </w:pPr>
            <w:r>
              <w:t>白色不透明固体，易潮解。</w:t>
            </w:r>
          </w:p>
        </w:tc>
      </w:tr>
      <w:tr w:rsidR="003E78AB" w14:paraId="2FFA89E4" w14:textId="77777777">
        <w:trPr>
          <w:cantSplit/>
          <w:trHeight w:val="420"/>
        </w:trPr>
        <w:tc>
          <w:tcPr>
            <w:tcW w:w="0" w:type="auto"/>
            <w:vMerge/>
            <w:vAlign w:val="center"/>
          </w:tcPr>
          <w:p w14:paraId="4D9CBD75" w14:textId="77777777" w:rsidR="003E78AB" w:rsidRDefault="003E78AB">
            <w:pPr>
              <w:pStyle w:val="aff6"/>
              <w:topLinePunct/>
            </w:pPr>
          </w:p>
        </w:tc>
        <w:tc>
          <w:tcPr>
            <w:tcW w:w="1575" w:type="dxa"/>
            <w:tcMar>
              <w:top w:w="8" w:type="dxa"/>
              <w:left w:w="8" w:type="dxa"/>
              <w:bottom w:w="8" w:type="dxa"/>
              <w:right w:w="8" w:type="dxa"/>
            </w:tcMar>
            <w:vAlign w:val="center"/>
          </w:tcPr>
          <w:p w14:paraId="111CFEC2" w14:textId="77777777" w:rsidR="003E78AB" w:rsidRDefault="00010BF9">
            <w:pPr>
              <w:pStyle w:val="aff6"/>
              <w:topLinePunct/>
            </w:pPr>
            <w:r>
              <w:t>熔点（</w:t>
            </w:r>
            <w:r>
              <w:t>℃</w:t>
            </w:r>
            <w:r>
              <w:t>）</w:t>
            </w:r>
          </w:p>
        </w:tc>
        <w:tc>
          <w:tcPr>
            <w:tcW w:w="1215" w:type="dxa"/>
            <w:vAlign w:val="center"/>
          </w:tcPr>
          <w:p w14:paraId="2066165F" w14:textId="77777777" w:rsidR="003E78AB" w:rsidRDefault="00010BF9">
            <w:pPr>
              <w:pStyle w:val="aff6"/>
              <w:topLinePunct/>
            </w:pPr>
            <w:r>
              <w:t>318.4</w:t>
            </w:r>
          </w:p>
        </w:tc>
        <w:tc>
          <w:tcPr>
            <w:tcW w:w="2235" w:type="dxa"/>
            <w:gridSpan w:val="4"/>
            <w:vAlign w:val="center"/>
          </w:tcPr>
          <w:p w14:paraId="0774EF57" w14:textId="77777777" w:rsidR="003E78AB" w:rsidRDefault="00010BF9">
            <w:pPr>
              <w:pStyle w:val="aff6"/>
              <w:topLinePunct/>
            </w:pPr>
            <w:r>
              <w:t>相对密度</w:t>
            </w:r>
            <w:r>
              <w:t>(</w:t>
            </w:r>
            <w:r>
              <w:t>水</w:t>
            </w:r>
            <w:r>
              <w:t>=1)</w:t>
            </w:r>
          </w:p>
        </w:tc>
        <w:tc>
          <w:tcPr>
            <w:tcW w:w="915" w:type="dxa"/>
            <w:vAlign w:val="center"/>
          </w:tcPr>
          <w:p w14:paraId="2C0E9241" w14:textId="77777777" w:rsidR="003E78AB" w:rsidRDefault="00010BF9">
            <w:pPr>
              <w:pStyle w:val="aff6"/>
              <w:topLinePunct/>
            </w:pPr>
            <w:r>
              <w:t>2.12</w:t>
            </w:r>
          </w:p>
        </w:tc>
        <w:tc>
          <w:tcPr>
            <w:tcW w:w="2175" w:type="dxa"/>
            <w:gridSpan w:val="2"/>
            <w:vAlign w:val="center"/>
          </w:tcPr>
          <w:p w14:paraId="460DA38D" w14:textId="77777777" w:rsidR="003E78AB" w:rsidRDefault="00010BF9">
            <w:pPr>
              <w:pStyle w:val="aff6"/>
              <w:topLinePunct/>
            </w:pPr>
            <w:r>
              <w:t>相对密度</w:t>
            </w:r>
            <w:r>
              <w:t>(</w:t>
            </w:r>
            <w:r>
              <w:t>空气</w:t>
            </w:r>
            <w:r>
              <w:t>=1)</w:t>
            </w:r>
          </w:p>
        </w:tc>
        <w:tc>
          <w:tcPr>
            <w:tcW w:w="675" w:type="dxa"/>
            <w:vAlign w:val="center"/>
          </w:tcPr>
          <w:p w14:paraId="14482D32" w14:textId="77777777" w:rsidR="003E78AB" w:rsidRDefault="00010BF9">
            <w:pPr>
              <w:pStyle w:val="aff6"/>
              <w:topLinePunct/>
            </w:pPr>
            <w:r>
              <w:t>/</w:t>
            </w:r>
          </w:p>
        </w:tc>
      </w:tr>
      <w:tr w:rsidR="003E78AB" w14:paraId="545450B7" w14:textId="77777777">
        <w:trPr>
          <w:cantSplit/>
          <w:trHeight w:val="300"/>
        </w:trPr>
        <w:tc>
          <w:tcPr>
            <w:tcW w:w="0" w:type="auto"/>
            <w:vMerge/>
            <w:vAlign w:val="center"/>
          </w:tcPr>
          <w:p w14:paraId="3988C88B" w14:textId="77777777" w:rsidR="003E78AB" w:rsidRDefault="003E78AB">
            <w:pPr>
              <w:pStyle w:val="aff6"/>
              <w:topLinePunct/>
            </w:pPr>
          </w:p>
        </w:tc>
        <w:tc>
          <w:tcPr>
            <w:tcW w:w="1575" w:type="dxa"/>
            <w:tcMar>
              <w:top w:w="8" w:type="dxa"/>
              <w:left w:w="8" w:type="dxa"/>
              <w:bottom w:w="8" w:type="dxa"/>
              <w:right w:w="8" w:type="dxa"/>
            </w:tcMar>
            <w:vAlign w:val="center"/>
          </w:tcPr>
          <w:p w14:paraId="4F8258BB" w14:textId="77777777" w:rsidR="003E78AB" w:rsidRDefault="00010BF9">
            <w:pPr>
              <w:pStyle w:val="aff6"/>
              <w:topLinePunct/>
            </w:pPr>
            <w:r>
              <w:t>沸点（</w:t>
            </w:r>
            <w:r>
              <w:t>℃</w:t>
            </w:r>
            <w:r>
              <w:t>）</w:t>
            </w:r>
          </w:p>
        </w:tc>
        <w:tc>
          <w:tcPr>
            <w:tcW w:w="1215" w:type="dxa"/>
            <w:vAlign w:val="center"/>
          </w:tcPr>
          <w:p w14:paraId="5692EEC6" w14:textId="77777777" w:rsidR="003E78AB" w:rsidRDefault="00010BF9">
            <w:pPr>
              <w:pStyle w:val="aff6"/>
              <w:topLinePunct/>
            </w:pPr>
            <w:r>
              <w:t>1390</w:t>
            </w:r>
          </w:p>
        </w:tc>
        <w:tc>
          <w:tcPr>
            <w:tcW w:w="3135" w:type="dxa"/>
            <w:gridSpan w:val="5"/>
            <w:vAlign w:val="center"/>
          </w:tcPr>
          <w:p w14:paraId="5DDF10E6" w14:textId="77777777" w:rsidR="003E78AB" w:rsidRDefault="00010BF9">
            <w:pPr>
              <w:pStyle w:val="aff6"/>
              <w:topLinePunct/>
            </w:pPr>
            <w:r>
              <w:t>饱和蒸气压（</w:t>
            </w:r>
            <w:r>
              <w:t>kPa</w:t>
            </w:r>
            <w:r>
              <w:t>）</w:t>
            </w:r>
          </w:p>
        </w:tc>
        <w:tc>
          <w:tcPr>
            <w:tcW w:w="2835" w:type="dxa"/>
            <w:gridSpan w:val="3"/>
            <w:vAlign w:val="center"/>
          </w:tcPr>
          <w:p w14:paraId="519821C5" w14:textId="77777777" w:rsidR="003E78AB" w:rsidRDefault="00010BF9">
            <w:pPr>
              <w:pStyle w:val="aff6"/>
              <w:topLinePunct/>
            </w:pPr>
            <w:r>
              <w:t>0.13/739℃</w:t>
            </w:r>
          </w:p>
        </w:tc>
      </w:tr>
      <w:tr w:rsidR="003E78AB" w14:paraId="615E5A0A" w14:textId="77777777">
        <w:trPr>
          <w:cantSplit/>
          <w:trHeight w:val="270"/>
        </w:trPr>
        <w:tc>
          <w:tcPr>
            <w:tcW w:w="0" w:type="auto"/>
            <w:vMerge/>
            <w:vAlign w:val="center"/>
          </w:tcPr>
          <w:p w14:paraId="41A967A1" w14:textId="77777777" w:rsidR="003E78AB" w:rsidRDefault="003E78AB">
            <w:pPr>
              <w:pStyle w:val="aff6"/>
              <w:topLinePunct/>
            </w:pPr>
          </w:p>
        </w:tc>
        <w:tc>
          <w:tcPr>
            <w:tcW w:w="1575" w:type="dxa"/>
            <w:tcMar>
              <w:top w:w="8" w:type="dxa"/>
              <w:left w:w="8" w:type="dxa"/>
              <w:bottom w:w="8" w:type="dxa"/>
              <w:right w:w="8" w:type="dxa"/>
            </w:tcMar>
            <w:vAlign w:val="center"/>
          </w:tcPr>
          <w:p w14:paraId="1AF95B97" w14:textId="77777777" w:rsidR="003E78AB" w:rsidRDefault="00010BF9">
            <w:pPr>
              <w:pStyle w:val="aff6"/>
              <w:topLinePunct/>
            </w:pPr>
            <w:r>
              <w:t>溶解性</w:t>
            </w:r>
          </w:p>
        </w:tc>
        <w:tc>
          <w:tcPr>
            <w:tcW w:w="7155" w:type="dxa"/>
            <w:gridSpan w:val="9"/>
            <w:vAlign w:val="center"/>
          </w:tcPr>
          <w:p w14:paraId="6B3B69FF" w14:textId="77777777" w:rsidR="003E78AB" w:rsidRDefault="00010BF9">
            <w:pPr>
              <w:pStyle w:val="aff6"/>
              <w:topLinePunct/>
              <w:jc w:val="both"/>
            </w:pPr>
            <w:r>
              <w:t>易溶于水、乙醇、甘油，不溶于丙酮。</w:t>
            </w:r>
          </w:p>
        </w:tc>
      </w:tr>
      <w:tr w:rsidR="003E78AB" w14:paraId="07EEA951" w14:textId="77777777">
        <w:trPr>
          <w:cantSplit/>
          <w:trHeight w:val="270"/>
        </w:trPr>
        <w:tc>
          <w:tcPr>
            <w:tcW w:w="495" w:type="dxa"/>
            <w:vMerge w:val="restart"/>
            <w:tcMar>
              <w:top w:w="8" w:type="dxa"/>
              <w:left w:w="8" w:type="dxa"/>
              <w:bottom w:w="8" w:type="dxa"/>
              <w:right w:w="8" w:type="dxa"/>
            </w:tcMar>
            <w:vAlign w:val="center"/>
          </w:tcPr>
          <w:p w14:paraId="7BB11BF4" w14:textId="77777777" w:rsidR="003E78AB" w:rsidRDefault="00010BF9">
            <w:pPr>
              <w:pStyle w:val="aff6"/>
              <w:topLinePunct/>
            </w:pPr>
            <w:r>
              <w:t>毒性及健康危害</w:t>
            </w:r>
          </w:p>
        </w:tc>
        <w:tc>
          <w:tcPr>
            <w:tcW w:w="1575" w:type="dxa"/>
            <w:vAlign w:val="center"/>
          </w:tcPr>
          <w:p w14:paraId="548A562D" w14:textId="77777777" w:rsidR="003E78AB" w:rsidRDefault="00010BF9">
            <w:pPr>
              <w:pStyle w:val="aff6"/>
              <w:topLinePunct/>
            </w:pPr>
            <w:r>
              <w:t>侵入途径</w:t>
            </w:r>
          </w:p>
        </w:tc>
        <w:tc>
          <w:tcPr>
            <w:tcW w:w="7155" w:type="dxa"/>
            <w:gridSpan w:val="9"/>
            <w:vAlign w:val="center"/>
          </w:tcPr>
          <w:p w14:paraId="5A18E3F9" w14:textId="77777777" w:rsidR="003E78AB" w:rsidRDefault="00010BF9">
            <w:pPr>
              <w:pStyle w:val="aff6"/>
              <w:topLinePunct/>
              <w:jc w:val="left"/>
            </w:pPr>
            <w:r>
              <w:t>吸入、食入、经皮吸收。</w:t>
            </w:r>
          </w:p>
        </w:tc>
      </w:tr>
      <w:tr w:rsidR="003E78AB" w14:paraId="24210F5B" w14:textId="77777777">
        <w:trPr>
          <w:cantSplit/>
          <w:trHeight w:val="555"/>
        </w:trPr>
        <w:tc>
          <w:tcPr>
            <w:tcW w:w="0" w:type="auto"/>
            <w:vMerge/>
            <w:vAlign w:val="center"/>
          </w:tcPr>
          <w:p w14:paraId="69E24471" w14:textId="77777777" w:rsidR="003E78AB" w:rsidRDefault="003E78AB">
            <w:pPr>
              <w:pStyle w:val="aff6"/>
              <w:topLinePunct/>
            </w:pPr>
          </w:p>
        </w:tc>
        <w:tc>
          <w:tcPr>
            <w:tcW w:w="1575" w:type="dxa"/>
            <w:tcMar>
              <w:top w:w="8" w:type="dxa"/>
              <w:left w:w="8" w:type="dxa"/>
              <w:bottom w:w="8" w:type="dxa"/>
              <w:right w:w="8" w:type="dxa"/>
            </w:tcMar>
            <w:vAlign w:val="center"/>
          </w:tcPr>
          <w:p w14:paraId="28688FD9" w14:textId="77777777" w:rsidR="003E78AB" w:rsidRDefault="00010BF9">
            <w:pPr>
              <w:pStyle w:val="aff6"/>
              <w:topLinePunct/>
            </w:pPr>
            <w:r>
              <w:t>毒性</w:t>
            </w:r>
          </w:p>
        </w:tc>
        <w:tc>
          <w:tcPr>
            <w:tcW w:w="7155" w:type="dxa"/>
            <w:gridSpan w:val="9"/>
            <w:vAlign w:val="center"/>
          </w:tcPr>
          <w:p w14:paraId="4E6347C8" w14:textId="77777777" w:rsidR="003E78AB" w:rsidRDefault="00010BF9">
            <w:pPr>
              <w:pStyle w:val="aff6"/>
              <w:topLinePunct/>
              <w:jc w:val="left"/>
            </w:pPr>
            <w:r>
              <w:t>LD50</w:t>
            </w:r>
            <w:r>
              <w:t>：</w:t>
            </w:r>
          </w:p>
          <w:p w14:paraId="51C5963A" w14:textId="77777777" w:rsidR="003E78AB" w:rsidRDefault="00010BF9">
            <w:pPr>
              <w:pStyle w:val="aff6"/>
              <w:topLinePunct/>
              <w:jc w:val="left"/>
            </w:pPr>
            <w:r>
              <w:t>LC50</w:t>
            </w:r>
            <w:r>
              <w:t>：</w:t>
            </w:r>
          </w:p>
        </w:tc>
      </w:tr>
      <w:tr w:rsidR="003E78AB" w14:paraId="0D8AADA8" w14:textId="77777777">
        <w:trPr>
          <w:cantSplit/>
          <w:trHeight w:val="1035"/>
        </w:trPr>
        <w:tc>
          <w:tcPr>
            <w:tcW w:w="0" w:type="auto"/>
            <w:vMerge/>
            <w:vAlign w:val="center"/>
          </w:tcPr>
          <w:p w14:paraId="2356D932" w14:textId="77777777" w:rsidR="003E78AB" w:rsidRDefault="003E78AB">
            <w:pPr>
              <w:pStyle w:val="aff6"/>
              <w:topLinePunct/>
            </w:pPr>
          </w:p>
        </w:tc>
        <w:tc>
          <w:tcPr>
            <w:tcW w:w="1575" w:type="dxa"/>
            <w:tcMar>
              <w:top w:w="8" w:type="dxa"/>
              <w:left w:w="8" w:type="dxa"/>
              <w:bottom w:w="8" w:type="dxa"/>
              <w:right w:w="8" w:type="dxa"/>
            </w:tcMar>
            <w:vAlign w:val="center"/>
          </w:tcPr>
          <w:p w14:paraId="55D72369" w14:textId="77777777" w:rsidR="003E78AB" w:rsidRDefault="00010BF9">
            <w:pPr>
              <w:pStyle w:val="aff6"/>
              <w:topLinePunct/>
            </w:pPr>
            <w:r>
              <w:t>健康危害</w:t>
            </w:r>
          </w:p>
        </w:tc>
        <w:tc>
          <w:tcPr>
            <w:tcW w:w="7155" w:type="dxa"/>
            <w:gridSpan w:val="9"/>
            <w:vAlign w:val="center"/>
          </w:tcPr>
          <w:p w14:paraId="39766197" w14:textId="77777777" w:rsidR="003E78AB" w:rsidRDefault="00010BF9">
            <w:pPr>
              <w:pStyle w:val="aff6"/>
              <w:topLinePunct/>
              <w:jc w:val="left"/>
            </w:pPr>
            <w:r>
              <w:t>本品有强烈刺激和腐蚀性。粉尘或烟雾刺激眼和呼吸道，腐蚀鼻中隔；皮肤和眼直接接触可引起灼伤；误服可造成消化道灼伤，粘膜糜烂、出血和休克。</w:t>
            </w:r>
          </w:p>
        </w:tc>
      </w:tr>
      <w:tr w:rsidR="003E78AB" w14:paraId="058C2994" w14:textId="77777777">
        <w:trPr>
          <w:cantSplit/>
          <w:trHeight w:val="315"/>
        </w:trPr>
        <w:tc>
          <w:tcPr>
            <w:tcW w:w="0" w:type="auto"/>
            <w:vMerge/>
            <w:vAlign w:val="center"/>
          </w:tcPr>
          <w:p w14:paraId="1C34CAAB" w14:textId="77777777" w:rsidR="003E78AB" w:rsidRDefault="003E78AB">
            <w:pPr>
              <w:pStyle w:val="aff6"/>
              <w:topLinePunct/>
            </w:pPr>
          </w:p>
        </w:tc>
        <w:tc>
          <w:tcPr>
            <w:tcW w:w="1575" w:type="dxa"/>
            <w:tcMar>
              <w:top w:w="8" w:type="dxa"/>
              <w:left w:w="8" w:type="dxa"/>
              <w:bottom w:w="8" w:type="dxa"/>
              <w:right w:w="8" w:type="dxa"/>
            </w:tcMar>
            <w:vAlign w:val="center"/>
          </w:tcPr>
          <w:p w14:paraId="304FC449" w14:textId="77777777" w:rsidR="003E78AB" w:rsidRDefault="00010BF9">
            <w:pPr>
              <w:pStyle w:val="aff6"/>
              <w:topLinePunct/>
            </w:pPr>
            <w:r>
              <w:t>急救方法</w:t>
            </w:r>
          </w:p>
        </w:tc>
        <w:tc>
          <w:tcPr>
            <w:tcW w:w="7155" w:type="dxa"/>
            <w:gridSpan w:val="9"/>
            <w:vAlign w:val="center"/>
          </w:tcPr>
          <w:p w14:paraId="7F29E6E7" w14:textId="77777777" w:rsidR="003E78AB" w:rsidRDefault="00010BF9">
            <w:pPr>
              <w:pStyle w:val="aff6"/>
              <w:topLinePunct/>
              <w:jc w:val="left"/>
            </w:pPr>
            <w:r>
              <w:t>皮肤接触：立即用水冲洗至少</w:t>
            </w:r>
            <w:r>
              <w:t>15</w:t>
            </w:r>
            <w:r>
              <w:t>分钟。若有灼伤，就医治疗。眼睛接触：立即提起眼睑，用流动清水或生理盐水冲洗至少</w:t>
            </w:r>
            <w:r>
              <w:t>15</w:t>
            </w:r>
            <w:r>
              <w:t>分钟。或用</w:t>
            </w:r>
            <w:r>
              <w:t>3%</w:t>
            </w:r>
            <w:r>
              <w:t>硼酸溶液冲洗。就医。吸入：迅速脱离现场至空气新鲜处。必要时进行人工呼吸。就医。食入：患者清醒时立即漱口，口服稀释的醋或柠檬汁，就医</w:t>
            </w:r>
          </w:p>
        </w:tc>
      </w:tr>
      <w:tr w:rsidR="003E78AB" w14:paraId="2A1C44EE" w14:textId="77777777">
        <w:trPr>
          <w:cantSplit/>
          <w:trHeight w:val="300"/>
        </w:trPr>
        <w:tc>
          <w:tcPr>
            <w:tcW w:w="495" w:type="dxa"/>
            <w:vMerge w:val="restart"/>
            <w:tcMar>
              <w:top w:w="8" w:type="dxa"/>
              <w:left w:w="8" w:type="dxa"/>
              <w:bottom w:w="8" w:type="dxa"/>
              <w:right w:w="8" w:type="dxa"/>
            </w:tcMar>
            <w:vAlign w:val="center"/>
          </w:tcPr>
          <w:p w14:paraId="6D23B767" w14:textId="77777777" w:rsidR="003E78AB" w:rsidRDefault="00010BF9">
            <w:pPr>
              <w:pStyle w:val="aff6"/>
              <w:topLinePunct/>
            </w:pPr>
            <w:r>
              <w:t>燃烧爆炸危险性</w:t>
            </w:r>
          </w:p>
        </w:tc>
        <w:tc>
          <w:tcPr>
            <w:tcW w:w="1575" w:type="dxa"/>
            <w:vAlign w:val="center"/>
          </w:tcPr>
          <w:p w14:paraId="0E3FE3CE" w14:textId="77777777" w:rsidR="003E78AB" w:rsidRDefault="00010BF9">
            <w:pPr>
              <w:pStyle w:val="aff6"/>
              <w:topLinePunct/>
            </w:pPr>
            <w:r>
              <w:t>燃烧性</w:t>
            </w:r>
          </w:p>
        </w:tc>
        <w:tc>
          <w:tcPr>
            <w:tcW w:w="1815" w:type="dxa"/>
            <w:gridSpan w:val="3"/>
            <w:vAlign w:val="center"/>
          </w:tcPr>
          <w:p w14:paraId="44131334" w14:textId="77777777" w:rsidR="003E78AB" w:rsidRDefault="00010BF9">
            <w:pPr>
              <w:pStyle w:val="aff6"/>
              <w:topLinePunct/>
            </w:pPr>
            <w:r>
              <w:t>不燃</w:t>
            </w:r>
          </w:p>
        </w:tc>
        <w:tc>
          <w:tcPr>
            <w:tcW w:w="2535" w:type="dxa"/>
            <w:gridSpan w:val="3"/>
            <w:vAlign w:val="center"/>
          </w:tcPr>
          <w:p w14:paraId="2AD482AA" w14:textId="77777777" w:rsidR="003E78AB" w:rsidRDefault="00010BF9">
            <w:pPr>
              <w:pStyle w:val="aff6"/>
              <w:topLinePunct/>
            </w:pPr>
            <w:r>
              <w:t>燃烧分解物</w:t>
            </w:r>
          </w:p>
        </w:tc>
        <w:tc>
          <w:tcPr>
            <w:tcW w:w="2835" w:type="dxa"/>
            <w:gridSpan w:val="3"/>
            <w:vAlign w:val="center"/>
          </w:tcPr>
          <w:p w14:paraId="35A58641" w14:textId="77777777" w:rsidR="003E78AB" w:rsidRDefault="00010BF9">
            <w:pPr>
              <w:pStyle w:val="aff6"/>
              <w:topLinePunct/>
            </w:pPr>
            <w:r>
              <w:t>可能产生有害的毒性烟雾。</w:t>
            </w:r>
          </w:p>
        </w:tc>
      </w:tr>
      <w:tr w:rsidR="003E78AB" w14:paraId="68B6CF91" w14:textId="77777777">
        <w:trPr>
          <w:cantSplit/>
          <w:trHeight w:val="285"/>
        </w:trPr>
        <w:tc>
          <w:tcPr>
            <w:tcW w:w="0" w:type="auto"/>
            <w:vMerge/>
            <w:vAlign w:val="center"/>
          </w:tcPr>
          <w:p w14:paraId="198D25B8" w14:textId="77777777" w:rsidR="003E78AB" w:rsidRDefault="003E78AB">
            <w:pPr>
              <w:pStyle w:val="aff6"/>
              <w:topLinePunct/>
            </w:pPr>
          </w:p>
        </w:tc>
        <w:tc>
          <w:tcPr>
            <w:tcW w:w="1575" w:type="dxa"/>
            <w:tcMar>
              <w:top w:w="8" w:type="dxa"/>
              <w:left w:w="8" w:type="dxa"/>
              <w:bottom w:w="8" w:type="dxa"/>
              <w:right w:w="8" w:type="dxa"/>
            </w:tcMar>
            <w:vAlign w:val="center"/>
          </w:tcPr>
          <w:p w14:paraId="56ECD3B7" w14:textId="77777777" w:rsidR="003E78AB" w:rsidRDefault="00010BF9">
            <w:pPr>
              <w:pStyle w:val="aff6"/>
              <w:topLinePunct/>
            </w:pPr>
            <w:r>
              <w:t>闪点</w:t>
            </w:r>
            <w:r>
              <w:t>(℃)</w:t>
            </w:r>
          </w:p>
        </w:tc>
        <w:tc>
          <w:tcPr>
            <w:tcW w:w="1815" w:type="dxa"/>
            <w:gridSpan w:val="3"/>
            <w:vAlign w:val="center"/>
          </w:tcPr>
          <w:p w14:paraId="56830572" w14:textId="77777777" w:rsidR="003E78AB" w:rsidRDefault="00010BF9">
            <w:pPr>
              <w:pStyle w:val="aff6"/>
              <w:topLinePunct/>
            </w:pPr>
            <w:r>
              <w:t>/</w:t>
            </w:r>
          </w:p>
        </w:tc>
        <w:tc>
          <w:tcPr>
            <w:tcW w:w="2535" w:type="dxa"/>
            <w:gridSpan w:val="3"/>
            <w:vAlign w:val="center"/>
          </w:tcPr>
          <w:p w14:paraId="7B74CAD1" w14:textId="77777777" w:rsidR="003E78AB" w:rsidRDefault="00010BF9">
            <w:pPr>
              <w:pStyle w:val="aff6"/>
              <w:topLinePunct/>
            </w:pPr>
            <w:r>
              <w:t>爆炸上限（</w:t>
            </w:r>
            <w:r>
              <w:t>v%</w:t>
            </w:r>
            <w:r>
              <w:t>）</w:t>
            </w:r>
          </w:p>
        </w:tc>
        <w:tc>
          <w:tcPr>
            <w:tcW w:w="2835" w:type="dxa"/>
            <w:gridSpan w:val="3"/>
            <w:vAlign w:val="center"/>
          </w:tcPr>
          <w:p w14:paraId="4A959D0D" w14:textId="77777777" w:rsidR="003E78AB" w:rsidRDefault="00010BF9">
            <w:pPr>
              <w:pStyle w:val="aff6"/>
              <w:topLinePunct/>
            </w:pPr>
            <w:r>
              <w:t>/</w:t>
            </w:r>
          </w:p>
        </w:tc>
      </w:tr>
      <w:tr w:rsidR="003E78AB" w14:paraId="3089B6D3" w14:textId="77777777">
        <w:trPr>
          <w:cantSplit/>
          <w:trHeight w:val="270"/>
        </w:trPr>
        <w:tc>
          <w:tcPr>
            <w:tcW w:w="0" w:type="auto"/>
            <w:vMerge/>
            <w:vAlign w:val="center"/>
          </w:tcPr>
          <w:p w14:paraId="4845D155" w14:textId="77777777" w:rsidR="003E78AB" w:rsidRDefault="003E78AB">
            <w:pPr>
              <w:pStyle w:val="aff6"/>
              <w:topLinePunct/>
            </w:pPr>
          </w:p>
        </w:tc>
        <w:tc>
          <w:tcPr>
            <w:tcW w:w="1575" w:type="dxa"/>
            <w:tcMar>
              <w:top w:w="8" w:type="dxa"/>
              <w:left w:w="8" w:type="dxa"/>
              <w:bottom w:w="8" w:type="dxa"/>
              <w:right w:w="8" w:type="dxa"/>
            </w:tcMar>
            <w:vAlign w:val="center"/>
          </w:tcPr>
          <w:p w14:paraId="397C73AF" w14:textId="77777777" w:rsidR="003E78AB" w:rsidRDefault="00010BF9">
            <w:pPr>
              <w:pStyle w:val="aff6"/>
              <w:topLinePunct/>
            </w:pPr>
            <w:r>
              <w:t>引燃温度</w:t>
            </w:r>
            <w:r>
              <w:t>(℃)</w:t>
            </w:r>
          </w:p>
        </w:tc>
        <w:tc>
          <w:tcPr>
            <w:tcW w:w="1815" w:type="dxa"/>
            <w:gridSpan w:val="3"/>
            <w:vAlign w:val="center"/>
          </w:tcPr>
          <w:p w14:paraId="766ED730" w14:textId="77777777" w:rsidR="003E78AB" w:rsidRDefault="00010BF9">
            <w:pPr>
              <w:pStyle w:val="aff6"/>
              <w:topLinePunct/>
            </w:pPr>
            <w:r>
              <w:t>/</w:t>
            </w:r>
          </w:p>
        </w:tc>
        <w:tc>
          <w:tcPr>
            <w:tcW w:w="2535" w:type="dxa"/>
            <w:gridSpan w:val="3"/>
            <w:vAlign w:val="center"/>
          </w:tcPr>
          <w:p w14:paraId="15424BBE" w14:textId="77777777" w:rsidR="003E78AB" w:rsidRDefault="00010BF9">
            <w:pPr>
              <w:pStyle w:val="aff6"/>
              <w:topLinePunct/>
            </w:pPr>
            <w:r>
              <w:t>爆炸下限（</w:t>
            </w:r>
            <w:r>
              <w:t>v%</w:t>
            </w:r>
            <w:r>
              <w:t>）</w:t>
            </w:r>
          </w:p>
        </w:tc>
        <w:tc>
          <w:tcPr>
            <w:tcW w:w="2835" w:type="dxa"/>
            <w:gridSpan w:val="3"/>
            <w:vAlign w:val="center"/>
          </w:tcPr>
          <w:p w14:paraId="2B6082E1" w14:textId="77777777" w:rsidR="003E78AB" w:rsidRDefault="00010BF9">
            <w:pPr>
              <w:pStyle w:val="aff6"/>
              <w:topLinePunct/>
            </w:pPr>
            <w:r>
              <w:t>/</w:t>
            </w:r>
          </w:p>
        </w:tc>
      </w:tr>
      <w:tr w:rsidR="003E78AB" w14:paraId="22330551" w14:textId="77777777">
        <w:trPr>
          <w:cantSplit/>
          <w:trHeight w:val="555"/>
        </w:trPr>
        <w:tc>
          <w:tcPr>
            <w:tcW w:w="0" w:type="auto"/>
            <w:vMerge/>
            <w:vAlign w:val="center"/>
          </w:tcPr>
          <w:p w14:paraId="2E378243" w14:textId="77777777" w:rsidR="003E78AB" w:rsidRDefault="003E78AB">
            <w:pPr>
              <w:pStyle w:val="aff6"/>
              <w:topLinePunct/>
            </w:pPr>
          </w:p>
        </w:tc>
        <w:tc>
          <w:tcPr>
            <w:tcW w:w="1575" w:type="dxa"/>
            <w:tcMar>
              <w:top w:w="8" w:type="dxa"/>
              <w:left w:w="8" w:type="dxa"/>
              <w:bottom w:w="8" w:type="dxa"/>
              <w:right w:w="8" w:type="dxa"/>
            </w:tcMar>
            <w:vAlign w:val="center"/>
          </w:tcPr>
          <w:p w14:paraId="228D145E" w14:textId="77777777" w:rsidR="003E78AB" w:rsidRDefault="00010BF9">
            <w:pPr>
              <w:pStyle w:val="aff6"/>
              <w:topLinePunct/>
            </w:pPr>
            <w:r>
              <w:t>危险特性</w:t>
            </w:r>
          </w:p>
        </w:tc>
        <w:tc>
          <w:tcPr>
            <w:tcW w:w="7155" w:type="dxa"/>
            <w:gridSpan w:val="9"/>
            <w:vAlign w:val="center"/>
          </w:tcPr>
          <w:p w14:paraId="19530D54" w14:textId="77777777" w:rsidR="003E78AB" w:rsidRDefault="00010BF9">
            <w:pPr>
              <w:pStyle w:val="aff6"/>
              <w:topLinePunct/>
              <w:jc w:val="both"/>
            </w:pPr>
            <w:r>
              <w:t>与酸发生中和反应并放热。遇潮时对铝、锌和锡有腐蚀性，并放出易燃易爆的氢气。本品不会燃烧</w:t>
            </w:r>
            <w:r>
              <w:rPr>
                <w:rFonts w:hint="eastAsia"/>
              </w:rPr>
              <w:t>，</w:t>
            </w:r>
            <w:r>
              <w:t>遇水和水蒸气大量放热</w:t>
            </w:r>
            <w:r>
              <w:rPr>
                <w:rFonts w:hint="eastAsia"/>
              </w:rPr>
              <w:t>，</w:t>
            </w:r>
            <w:r>
              <w:t>形成腐蚀性溶液。具有强腐蚀性。</w:t>
            </w:r>
          </w:p>
        </w:tc>
      </w:tr>
      <w:tr w:rsidR="003E78AB" w14:paraId="3A33C9E6" w14:textId="77777777">
        <w:trPr>
          <w:cantSplit/>
          <w:trHeight w:val="405"/>
        </w:trPr>
        <w:tc>
          <w:tcPr>
            <w:tcW w:w="0" w:type="auto"/>
            <w:vMerge/>
            <w:vAlign w:val="center"/>
          </w:tcPr>
          <w:p w14:paraId="1A5FB7F0" w14:textId="77777777" w:rsidR="003E78AB" w:rsidRDefault="003E78AB">
            <w:pPr>
              <w:pStyle w:val="aff6"/>
              <w:topLinePunct/>
            </w:pPr>
          </w:p>
        </w:tc>
        <w:tc>
          <w:tcPr>
            <w:tcW w:w="1575" w:type="dxa"/>
            <w:tcMar>
              <w:top w:w="8" w:type="dxa"/>
              <w:left w:w="8" w:type="dxa"/>
              <w:bottom w:w="8" w:type="dxa"/>
              <w:right w:w="8" w:type="dxa"/>
            </w:tcMar>
            <w:vAlign w:val="center"/>
          </w:tcPr>
          <w:p w14:paraId="65203EEA" w14:textId="77777777" w:rsidR="003E78AB" w:rsidRDefault="00010BF9">
            <w:pPr>
              <w:pStyle w:val="aff6"/>
              <w:topLinePunct/>
            </w:pPr>
            <w:r>
              <w:t>建规火险分级</w:t>
            </w:r>
          </w:p>
        </w:tc>
        <w:tc>
          <w:tcPr>
            <w:tcW w:w="1815" w:type="dxa"/>
            <w:gridSpan w:val="3"/>
            <w:vAlign w:val="center"/>
          </w:tcPr>
          <w:p w14:paraId="211A70D9" w14:textId="77777777" w:rsidR="003E78AB" w:rsidRDefault="00010BF9">
            <w:pPr>
              <w:pStyle w:val="aff6"/>
              <w:topLinePunct/>
            </w:pPr>
            <w:r>
              <w:t>戊</w:t>
            </w:r>
          </w:p>
        </w:tc>
        <w:tc>
          <w:tcPr>
            <w:tcW w:w="1245" w:type="dxa"/>
            <w:vAlign w:val="center"/>
          </w:tcPr>
          <w:p w14:paraId="0E680682" w14:textId="77777777" w:rsidR="003E78AB" w:rsidRDefault="00010BF9">
            <w:pPr>
              <w:pStyle w:val="aff6"/>
              <w:topLinePunct/>
            </w:pPr>
            <w:r>
              <w:t>稳定性</w:t>
            </w:r>
          </w:p>
        </w:tc>
        <w:tc>
          <w:tcPr>
            <w:tcW w:w="1305" w:type="dxa"/>
            <w:gridSpan w:val="2"/>
            <w:vAlign w:val="center"/>
          </w:tcPr>
          <w:p w14:paraId="47CE5C41" w14:textId="77777777" w:rsidR="003E78AB" w:rsidRDefault="00010BF9">
            <w:pPr>
              <w:pStyle w:val="aff6"/>
              <w:topLinePunct/>
            </w:pPr>
            <w:r>
              <w:t>稳定</w:t>
            </w:r>
          </w:p>
        </w:tc>
        <w:tc>
          <w:tcPr>
            <w:tcW w:w="1470" w:type="dxa"/>
            <w:vAlign w:val="center"/>
          </w:tcPr>
          <w:p w14:paraId="52B5F7D6" w14:textId="77777777" w:rsidR="003E78AB" w:rsidRDefault="00010BF9">
            <w:pPr>
              <w:pStyle w:val="aff6"/>
              <w:topLinePunct/>
            </w:pPr>
            <w:r>
              <w:t>聚合危害</w:t>
            </w:r>
          </w:p>
        </w:tc>
        <w:tc>
          <w:tcPr>
            <w:tcW w:w="1380" w:type="dxa"/>
            <w:gridSpan w:val="2"/>
            <w:vAlign w:val="center"/>
          </w:tcPr>
          <w:p w14:paraId="29F1BEDC" w14:textId="77777777" w:rsidR="003E78AB" w:rsidRDefault="00010BF9">
            <w:pPr>
              <w:pStyle w:val="aff6"/>
              <w:topLinePunct/>
            </w:pPr>
            <w:r>
              <w:t>不聚合</w:t>
            </w:r>
          </w:p>
        </w:tc>
      </w:tr>
      <w:tr w:rsidR="003E78AB" w14:paraId="581B46A2" w14:textId="77777777">
        <w:trPr>
          <w:cantSplit/>
          <w:trHeight w:val="285"/>
        </w:trPr>
        <w:tc>
          <w:tcPr>
            <w:tcW w:w="0" w:type="auto"/>
            <w:vMerge/>
            <w:vAlign w:val="center"/>
          </w:tcPr>
          <w:p w14:paraId="6FD55D6F" w14:textId="77777777" w:rsidR="003E78AB" w:rsidRDefault="003E78AB">
            <w:pPr>
              <w:pStyle w:val="aff6"/>
              <w:topLinePunct/>
            </w:pPr>
          </w:p>
        </w:tc>
        <w:tc>
          <w:tcPr>
            <w:tcW w:w="1575" w:type="dxa"/>
            <w:tcMar>
              <w:top w:w="8" w:type="dxa"/>
              <w:left w:w="8" w:type="dxa"/>
              <w:bottom w:w="8" w:type="dxa"/>
              <w:right w:w="8" w:type="dxa"/>
            </w:tcMar>
            <w:vAlign w:val="center"/>
          </w:tcPr>
          <w:p w14:paraId="676E6634" w14:textId="77777777" w:rsidR="003E78AB" w:rsidRDefault="00010BF9">
            <w:pPr>
              <w:pStyle w:val="aff6"/>
              <w:topLinePunct/>
            </w:pPr>
            <w:r>
              <w:t>禁忌物</w:t>
            </w:r>
          </w:p>
        </w:tc>
        <w:tc>
          <w:tcPr>
            <w:tcW w:w="7155" w:type="dxa"/>
            <w:gridSpan w:val="9"/>
            <w:vAlign w:val="center"/>
          </w:tcPr>
          <w:p w14:paraId="1153D4E6" w14:textId="77777777" w:rsidR="003E78AB" w:rsidRDefault="00010BF9">
            <w:pPr>
              <w:pStyle w:val="aff6"/>
              <w:topLinePunct/>
            </w:pPr>
            <w:r>
              <w:t>强酸、易燃或可燃物、二氧化碳、过氧化物、水。</w:t>
            </w:r>
          </w:p>
        </w:tc>
      </w:tr>
      <w:tr w:rsidR="003E78AB" w14:paraId="7A54B316" w14:textId="77777777">
        <w:trPr>
          <w:cantSplit/>
          <w:trHeight w:val="420"/>
        </w:trPr>
        <w:tc>
          <w:tcPr>
            <w:tcW w:w="0" w:type="auto"/>
            <w:vMerge/>
            <w:vAlign w:val="center"/>
          </w:tcPr>
          <w:p w14:paraId="29718ED8" w14:textId="77777777" w:rsidR="003E78AB" w:rsidRDefault="003E78AB">
            <w:pPr>
              <w:pStyle w:val="aff6"/>
              <w:topLinePunct/>
            </w:pPr>
          </w:p>
        </w:tc>
        <w:tc>
          <w:tcPr>
            <w:tcW w:w="1575" w:type="dxa"/>
            <w:tcMar>
              <w:top w:w="8" w:type="dxa"/>
              <w:left w:w="8" w:type="dxa"/>
              <w:bottom w:w="8" w:type="dxa"/>
              <w:right w:w="8" w:type="dxa"/>
            </w:tcMar>
            <w:vAlign w:val="center"/>
          </w:tcPr>
          <w:p w14:paraId="0481ADB8" w14:textId="77777777" w:rsidR="003E78AB" w:rsidRDefault="00010BF9">
            <w:pPr>
              <w:pStyle w:val="aff6"/>
              <w:topLinePunct/>
            </w:pPr>
            <w:r>
              <w:t>储运条件</w:t>
            </w:r>
          </w:p>
          <w:p w14:paraId="7DF216A0" w14:textId="77777777" w:rsidR="003E78AB" w:rsidRDefault="00010BF9">
            <w:pPr>
              <w:pStyle w:val="aff6"/>
              <w:topLinePunct/>
            </w:pPr>
            <w:r>
              <w:t>与泄漏处理</w:t>
            </w:r>
          </w:p>
        </w:tc>
        <w:tc>
          <w:tcPr>
            <w:tcW w:w="7155" w:type="dxa"/>
            <w:gridSpan w:val="9"/>
            <w:vAlign w:val="center"/>
          </w:tcPr>
          <w:p w14:paraId="4B5AED76" w14:textId="77777777" w:rsidR="003E78AB" w:rsidRDefault="00010BF9">
            <w:pPr>
              <w:pStyle w:val="aff6"/>
              <w:topLinePunct/>
              <w:jc w:val="left"/>
            </w:pPr>
            <w:r>
              <w:t>储运条件：储存于干燥清洁的仓间内，注意防潮和雨淋。应与易燃或可燃物及酸类分开存放。搬运时应轻装轻卸，防止包装和容器损坏。雨天不宜运输。泄漏处理：隔离泄漏污染区，周围设警告标志，建议应急处理人员戴好防毒面具，穿化学防护服。不要直接接触泄漏物，用洁清的铲子收集于干燥净洁有盖的容器中，以少量加入大量水中，调节至中性，再放入废水系统。也可以用大量水冲洗，经稀释的洗水放入废水系统。如大量泄漏，收集回收或无害处理后废弃。</w:t>
            </w:r>
          </w:p>
        </w:tc>
      </w:tr>
      <w:tr w:rsidR="003E78AB" w14:paraId="73EC2801" w14:textId="77777777">
        <w:trPr>
          <w:cantSplit/>
          <w:trHeight w:val="450"/>
        </w:trPr>
        <w:tc>
          <w:tcPr>
            <w:tcW w:w="0" w:type="auto"/>
            <w:vMerge/>
            <w:vAlign w:val="center"/>
          </w:tcPr>
          <w:p w14:paraId="1E67506D" w14:textId="77777777" w:rsidR="003E78AB" w:rsidRDefault="003E78AB">
            <w:pPr>
              <w:pStyle w:val="aff6"/>
              <w:topLinePunct/>
            </w:pPr>
          </w:p>
        </w:tc>
        <w:tc>
          <w:tcPr>
            <w:tcW w:w="1575" w:type="dxa"/>
            <w:tcMar>
              <w:top w:w="8" w:type="dxa"/>
              <w:left w:w="8" w:type="dxa"/>
              <w:bottom w:w="8" w:type="dxa"/>
              <w:right w:w="8" w:type="dxa"/>
            </w:tcMar>
            <w:vAlign w:val="center"/>
          </w:tcPr>
          <w:p w14:paraId="7C851BC4" w14:textId="77777777" w:rsidR="003E78AB" w:rsidRDefault="00010BF9">
            <w:pPr>
              <w:pStyle w:val="aff6"/>
              <w:topLinePunct/>
              <w:jc w:val="both"/>
            </w:pPr>
            <w:r>
              <w:t>灭火方法</w:t>
            </w:r>
          </w:p>
        </w:tc>
        <w:tc>
          <w:tcPr>
            <w:tcW w:w="7155" w:type="dxa"/>
            <w:gridSpan w:val="9"/>
            <w:vAlign w:val="center"/>
          </w:tcPr>
          <w:p w14:paraId="19873AEC" w14:textId="77777777" w:rsidR="003E78AB" w:rsidRDefault="00010BF9">
            <w:pPr>
              <w:pStyle w:val="aff6"/>
              <w:topLinePunct/>
              <w:jc w:val="left"/>
            </w:pPr>
            <w:r>
              <w:t>用水、砂土扑救，但须防止物品遇水产生飞溅，造成灼伤。</w:t>
            </w:r>
          </w:p>
        </w:tc>
      </w:tr>
    </w:tbl>
    <w:p w14:paraId="45C79803"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.3.2</w:t>
      </w:r>
      <w:r>
        <w:rPr>
          <w:rFonts w:cs="Times New Roman"/>
          <w:sz w:val="28"/>
          <w:szCs w:val="28"/>
        </w:rPr>
        <w:t>生产系统危险性识别</w:t>
      </w:r>
    </w:p>
    <w:p w14:paraId="151F896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6.3.2.1</w:t>
      </w:r>
      <w:r>
        <w:rPr>
          <w:rFonts w:ascii="Times New Roman" w:hAnsi="Times New Roman"/>
        </w:rPr>
        <w:t>危险单元及潜在风险源划分</w:t>
      </w:r>
    </w:p>
    <w:p w14:paraId="75E7E85F" w14:textId="77777777" w:rsidR="003E78AB" w:rsidRDefault="00010BF9">
      <w:pPr>
        <w:ind w:firstLine="480"/>
        <w:rPr>
          <w:kern w:val="2"/>
        </w:rPr>
      </w:pPr>
      <w:r>
        <w:rPr>
          <w:kern w:val="2"/>
        </w:rPr>
        <w:t>项目涉及的</w:t>
      </w:r>
      <w:r>
        <w:rPr>
          <w:rFonts w:hint="eastAsia"/>
          <w:kern w:val="2"/>
        </w:rPr>
        <w:t>环境</w:t>
      </w:r>
      <w:r>
        <w:rPr>
          <w:kern w:val="2"/>
        </w:rPr>
        <w:t>风险物质为</w:t>
      </w:r>
      <w:r>
        <w:rPr>
          <w:kern w:val="2"/>
        </w:rPr>
        <w:t>V</w:t>
      </w:r>
      <w:r>
        <w:rPr>
          <w:kern w:val="2"/>
          <w:vertAlign w:val="subscript"/>
        </w:rPr>
        <w:t>2</w:t>
      </w:r>
      <w:r>
        <w:rPr>
          <w:kern w:val="2"/>
        </w:rPr>
        <w:t>O</w:t>
      </w:r>
      <w:r>
        <w:rPr>
          <w:kern w:val="2"/>
          <w:vertAlign w:val="subscript"/>
        </w:rPr>
        <w:t>5</w:t>
      </w:r>
      <w:r>
        <w:rPr>
          <w:kern w:val="2"/>
        </w:rPr>
        <w:t>、</w:t>
      </w:r>
      <w:r>
        <w:rPr>
          <w:kern w:val="2"/>
        </w:rPr>
        <w:t>98%</w:t>
      </w:r>
      <w:r>
        <w:rPr>
          <w:kern w:val="2"/>
        </w:rPr>
        <w:t>硫酸、</w:t>
      </w:r>
      <w:r>
        <w:rPr>
          <w:rFonts w:hint="eastAsia"/>
          <w:kern w:val="2"/>
        </w:rPr>
        <w:t>磷酸、二水草酸、</w:t>
      </w:r>
      <w:r>
        <w:rPr>
          <w:kern w:val="2"/>
        </w:rPr>
        <w:t>含钒电解液、</w:t>
      </w:r>
      <w:r>
        <w:rPr>
          <w:rFonts w:hint="eastAsia"/>
          <w:kern w:val="2"/>
        </w:rPr>
        <w:t>危险废物等</w:t>
      </w:r>
      <w:r>
        <w:rPr>
          <w:kern w:val="2"/>
        </w:rPr>
        <w:t>。项目</w:t>
      </w:r>
      <w:r>
        <w:rPr>
          <w:rFonts w:hint="eastAsia"/>
          <w:kern w:val="2"/>
        </w:rPr>
        <w:t>环境风险</w:t>
      </w:r>
      <w:r>
        <w:rPr>
          <w:kern w:val="2"/>
        </w:rPr>
        <w:t>物质主要存在于原料</w:t>
      </w:r>
      <w:r>
        <w:rPr>
          <w:rFonts w:hint="eastAsia"/>
          <w:kern w:val="2"/>
        </w:rPr>
        <w:t>丙类仓库</w:t>
      </w:r>
      <w:r>
        <w:rPr>
          <w:kern w:val="2"/>
        </w:rPr>
        <w:t>、生产车间、</w:t>
      </w:r>
      <w:r>
        <w:rPr>
          <w:rFonts w:hint="eastAsia"/>
          <w:kern w:val="2"/>
        </w:rPr>
        <w:t>液体库</w:t>
      </w:r>
      <w:r>
        <w:rPr>
          <w:kern w:val="2"/>
        </w:rPr>
        <w:t>、</w:t>
      </w:r>
      <w:r>
        <w:rPr>
          <w:rFonts w:hint="eastAsia"/>
          <w:kern w:val="2"/>
        </w:rPr>
        <w:t>危险废物暂存间等</w:t>
      </w:r>
      <w:r>
        <w:rPr>
          <w:kern w:val="2"/>
        </w:rPr>
        <w:t>。</w:t>
      </w:r>
    </w:p>
    <w:p w14:paraId="5CCA732E" w14:textId="77777777" w:rsidR="003E78AB" w:rsidRDefault="00010BF9">
      <w:pPr>
        <w:pStyle w:val="a"/>
        <w:spacing w:before="120"/>
        <w:ind w:left="425" w:hanging="425"/>
      </w:pPr>
      <w:r>
        <w:t>项目各危险单元潜在风险源情况一览表</w:t>
      </w:r>
    </w:p>
    <w:p w14:paraId="5DB1907D" w14:textId="77777777" w:rsidR="003E78AB" w:rsidRDefault="003E78AB">
      <w:pPr>
        <w:spacing w:line="25" w:lineRule="exact"/>
        <w:ind w:firstLine="480"/>
      </w:pPr>
    </w:p>
    <w:tbl>
      <w:tblPr>
        <w:tblStyle w:val="TableNormal"/>
        <w:tblW w:w="502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19"/>
        <w:gridCol w:w="1157"/>
        <w:gridCol w:w="985"/>
        <w:gridCol w:w="2384"/>
        <w:gridCol w:w="3213"/>
      </w:tblGrid>
      <w:tr w:rsidR="003E78AB" w14:paraId="41613552" w14:textId="77777777">
        <w:trPr>
          <w:trHeight w:val="277"/>
        </w:trPr>
        <w:tc>
          <w:tcPr>
            <w:tcW w:w="371" w:type="pct"/>
            <w:tcBorders>
              <w:top w:val="single" w:sz="4" w:space="0" w:color="auto"/>
              <w:left w:val="single" w:sz="4" w:space="0" w:color="auto"/>
              <w:bottom w:val="single" w:sz="4" w:space="0" w:color="auto"/>
              <w:right w:val="single" w:sz="4" w:space="0" w:color="auto"/>
            </w:tcBorders>
            <w:vAlign w:val="center"/>
          </w:tcPr>
          <w:p w14:paraId="0000F104" w14:textId="77777777" w:rsidR="003E78AB" w:rsidRDefault="00010BF9">
            <w:pPr>
              <w:pStyle w:val="aff6"/>
              <w:topLinePunct/>
              <w:rPr>
                <w:b/>
                <w:bCs/>
              </w:rPr>
            </w:pPr>
            <w:r>
              <w:rPr>
                <w:b/>
                <w:bCs/>
              </w:rPr>
              <w:t>序号</w:t>
            </w:r>
          </w:p>
        </w:tc>
        <w:tc>
          <w:tcPr>
            <w:tcW w:w="692" w:type="pct"/>
            <w:tcBorders>
              <w:top w:val="single" w:sz="4" w:space="0" w:color="auto"/>
              <w:left w:val="single" w:sz="4" w:space="0" w:color="auto"/>
              <w:bottom w:val="single" w:sz="4" w:space="0" w:color="auto"/>
              <w:right w:val="single" w:sz="4" w:space="0" w:color="auto"/>
            </w:tcBorders>
            <w:vAlign w:val="center"/>
          </w:tcPr>
          <w:p w14:paraId="3F2AE59E" w14:textId="77777777" w:rsidR="003E78AB" w:rsidRDefault="00010BF9">
            <w:pPr>
              <w:pStyle w:val="aff6"/>
              <w:topLinePunct/>
              <w:rPr>
                <w:b/>
                <w:bCs/>
              </w:rPr>
            </w:pPr>
            <w:r>
              <w:rPr>
                <w:b/>
                <w:bCs/>
              </w:rPr>
              <w:t>工段</w:t>
            </w:r>
          </w:p>
        </w:tc>
        <w:tc>
          <w:tcPr>
            <w:tcW w:w="588" w:type="pct"/>
            <w:tcBorders>
              <w:top w:val="single" w:sz="4" w:space="0" w:color="auto"/>
              <w:left w:val="single" w:sz="4" w:space="0" w:color="auto"/>
              <w:bottom w:val="single" w:sz="4" w:space="0" w:color="auto"/>
              <w:right w:val="single" w:sz="4" w:space="0" w:color="auto"/>
            </w:tcBorders>
            <w:vAlign w:val="center"/>
          </w:tcPr>
          <w:p w14:paraId="6BB7BCF5" w14:textId="77777777" w:rsidR="003E78AB" w:rsidRDefault="00010BF9">
            <w:pPr>
              <w:pStyle w:val="aff6"/>
              <w:topLinePunct/>
              <w:rPr>
                <w:b/>
                <w:bCs/>
              </w:rPr>
            </w:pPr>
            <w:r>
              <w:rPr>
                <w:b/>
                <w:bCs/>
              </w:rPr>
              <w:t>危险单元</w:t>
            </w:r>
          </w:p>
        </w:tc>
        <w:tc>
          <w:tcPr>
            <w:tcW w:w="1426" w:type="pct"/>
            <w:tcBorders>
              <w:top w:val="single" w:sz="4" w:space="0" w:color="auto"/>
              <w:left w:val="single" w:sz="4" w:space="0" w:color="auto"/>
              <w:bottom w:val="single" w:sz="4" w:space="0" w:color="auto"/>
              <w:right w:val="single" w:sz="4" w:space="0" w:color="auto"/>
            </w:tcBorders>
            <w:vAlign w:val="center"/>
          </w:tcPr>
          <w:p w14:paraId="02D8F37A" w14:textId="77777777" w:rsidR="003E78AB" w:rsidRDefault="00010BF9">
            <w:pPr>
              <w:pStyle w:val="aff6"/>
              <w:topLinePunct/>
              <w:rPr>
                <w:b/>
                <w:bCs/>
              </w:rPr>
            </w:pPr>
            <w:r>
              <w:rPr>
                <w:b/>
                <w:bCs/>
              </w:rPr>
              <w:t>风险源</w:t>
            </w:r>
          </w:p>
        </w:tc>
        <w:tc>
          <w:tcPr>
            <w:tcW w:w="1920" w:type="pct"/>
            <w:tcBorders>
              <w:top w:val="single" w:sz="4" w:space="0" w:color="auto"/>
              <w:left w:val="single" w:sz="4" w:space="0" w:color="auto"/>
              <w:bottom w:val="single" w:sz="4" w:space="0" w:color="auto"/>
              <w:right w:val="single" w:sz="4" w:space="0" w:color="auto"/>
            </w:tcBorders>
            <w:vAlign w:val="center"/>
          </w:tcPr>
          <w:p w14:paraId="58013528" w14:textId="77777777" w:rsidR="003E78AB" w:rsidRDefault="00010BF9">
            <w:pPr>
              <w:pStyle w:val="aff6"/>
              <w:topLinePunct/>
              <w:rPr>
                <w:b/>
                <w:bCs/>
              </w:rPr>
            </w:pPr>
            <w:r>
              <w:rPr>
                <w:b/>
                <w:bCs/>
              </w:rPr>
              <w:t>主要危险物质</w:t>
            </w:r>
          </w:p>
        </w:tc>
      </w:tr>
      <w:tr w:rsidR="003E78AB" w14:paraId="7D24E88F" w14:textId="77777777">
        <w:trPr>
          <w:trHeight w:val="265"/>
        </w:trPr>
        <w:tc>
          <w:tcPr>
            <w:tcW w:w="371" w:type="pct"/>
            <w:vMerge w:val="restart"/>
            <w:tcBorders>
              <w:top w:val="single" w:sz="4" w:space="0" w:color="auto"/>
              <w:left w:val="single" w:sz="4" w:space="0" w:color="auto"/>
              <w:bottom w:val="single" w:sz="4" w:space="0" w:color="auto"/>
              <w:right w:val="single" w:sz="4" w:space="0" w:color="auto"/>
            </w:tcBorders>
            <w:vAlign w:val="center"/>
          </w:tcPr>
          <w:p w14:paraId="494769F3" w14:textId="77777777" w:rsidR="003E78AB" w:rsidRDefault="00010BF9">
            <w:pPr>
              <w:pStyle w:val="aff6"/>
              <w:topLinePunct/>
            </w:pPr>
            <w:r>
              <w:t>1</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14:paraId="53B85CFA" w14:textId="77777777" w:rsidR="003E78AB" w:rsidRDefault="00010BF9">
            <w:pPr>
              <w:pStyle w:val="aff6"/>
              <w:topLinePunct/>
            </w:pPr>
            <w:r>
              <w:t>贮存</w:t>
            </w:r>
          </w:p>
        </w:tc>
        <w:tc>
          <w:tcPr>
            <w:tcW w:w="588" w:type="pct"/>
            <w:tcBorders>
              <w:top w:val="single" w:sz="4" w:space="0" w:color="auto"/>
              <w:left w:val="single" w:sz="4" w:space="0" w:color="auto"/>
              <w:bottom w:val="single" w:sz="4" w:space="0" w:color="auto"/>
              <w:right w:val="single" w:sz="4" w:space="0" w:color="auto"/>
            </w:tcBorders>
            <w:vAlign w:val="center"/>
          </w:tcPr>
          <w:p w14:paraId="62D3CA85" w14:textId="77777777" w:rsidR="003E78AB" w:rsidRDefault="00010BF9">
            <w:pPr>
              <w:pStyle w:val="aff6"/>
              <w:topLinePunct/>
            </w:pPr>
            <w:r>
              <w:rPr>
                <w:rFonts w:hint="eastAsia"/>
              </w:rPr>
              <w:t>原料</w:t>
            </w:r>
            <w:r>
              <w:t>库</w:t>
            </w:r>
          </w:p>
        </w:tc>
        <w:tc>
          <w:tcPr>
            <w:tcW w:w="1426" w:type="pct"/>
            <w:tcBorders>
              <w:top w:val="single" w:sz="4" w:space="0" w:color="auto"/>
              <w:left w:val="single" w:sz="4" w:space="0" w:color="auto"/>
              <w:bottom w:val="single" w:sz="4" w:space="0" w:color="auto"/>
              <w:right w:val="single" w:sz="4" w:space="0" w:color="auto"/>
            </w:tcBorders>
            <w:vAlign w:val="center"/>
          </w:tcPr>
          <w:p w14:paraId="720D3923" w14:textId="77777777" w:rsidR="003E78AB" w:rsidRDefault="00010BF9">
            <w:pPr>
              <w:pStyle w:val="aff6"/>
              <w:topLinePunct/>
            </w:pPr>
            <w:r>
              <w:rPr>
                <w:rFonts w:hint="eastAsia"/>
              </w:rPr>
              <w:t>丙类仓库</w:t>
            </w:r>
          </w:p>
        </w:tc>
        <w:tc>
          <w:tcPr>
            <w:tcW w:w="1920" w:type="pct"/>
            <w:tcBorders>
              <w:top w:val="single" w:sz="4" w:space="0" w:color="auto"/>
              <w:left w:val="single" w:sz="4" w:space="0" w:color="auto"/>
              <w:bottom w:val="single" w:sz="4" w:space="0" w:color="auto"/>
              <w:right w:val="single" w:sz="4" w:space="0" w:color="auto"/>
            </w:tcBorders>
            <w:vAlign w:val="center"/>
          </w:tcPr>
          <w:p w14:paraId="0055F858" w14:textId="77777777" w:rsidR="003E78AB" w:rsidRDefault="00010BF9">
            <w:pPr>
              <w:pStyle w:val="aff6"/>
              <w:topLinePunct/>
            </w:pPr>
            <w:r>
              <w:t>原料五氧化二钒</w:t>
            </w:r>
            <w:r>
              <w:rPr>
                <w:rFonts w:hint="eastAsia"/>
              </w:rPr>
              <w:t>、二水草酸</w:t>
            </w:r>
          </w:p>
        </w:tc>
      </w:tr>
      <w:tr w:rsidR="003E78AB" w14:paraId="3B2A964E" w14:textId="77777777">
        <w:trPr>
          <w:trHeight w:val="305"/>
        </w:trPr>
        <w:tc>
          <w:tcPr>
            <w:tcW w:w="371" w:type="pct"/>
            <w:vMerge/>
            <w:tcBorders>
              <w:top w:val="single" w:sz="4" w:space="0" w:color="auto"/>
              <w:left w:val="single" w:sz="4" w:space="0" w:color="auto"/>
              <w:bottom w:val="single" w:sz="4" w:space="0" w:color="auto"/>
              <w:right w:val="single" w:sz="4" w:space="0" w:color="auto"/>
            </w:tcBorders>
            <w:vAlign w:val="center"/>
          </w:tcPr>
          <w:p w14:paraId="0BFAB6AE" w14:textId="77777777" w:rsidR="003E78AB" w:rsidRDefault="003E78AB">
            <w:pPr>
              <w:pStyle w:val="aff6"/>
              <w:topLinePunct/>
            </w:pPr>
          </w:p>
        </w:tc>
        <w:tc>
          <w:tcPr>
            <w:tcW w:w="692" w:type="pct"/>
            <w:vMerge/>
            <w:tcBorders>
              <w:top w:val="single" w:sz="4" w:space="0" w:color="auto"/>
              <w:left w:val="single" w:sz="4" w:space="0" w:color="auto"/>
              <w:bottom w:val="single" w:sz="4" w:space="0" w:color="auto"/>
              <w:right w:val="single" w:sz="4" w:space="0" w:color="auto"/>
            </w:tcBorders>
            <w:vAlign w:val="center"/>
          </w:tcPr>
          <w:p w14:paraId="2C3EF553" w14:textId="77777777" w:rsidR="003E78AB" w:rsidRDefault="003E78AB">
            <w:pPr>
              <w:pStyle w:val="aff6"/>
              <w:topLinePunct/>
            </w:pPr>
          </w:p>
        </w:tc>
        <w:tc>
          <w:tcPr>
            <w:tcW w:w="588" w:type="pct"/>
            <w:tcBorders>
              <w:top w:val="single" w:sz="4" w:space="0" w:color="auto"/>
              <w:left w:val="single" w:sz="4" w:space="0" w:color="auto"/>
              <w:bottom w:val="single" w:sz="4" w:space="0" w:color="auto"/>
              <w:right w:val="single" w:sz="4" w:space="0" w:color="auto"/>
            </w:tcBorders>
            <w:vAlign w:val="center"/>
          </w:tcPr>
          <w:p w14:paraId="065628E7" w14:textId="77777777" w:rsidR="003E78AB" w:rsidRDefault="00010BF9">
            <w:pPr>
              <w:pStyle w:val="aff6"/>
              <w:topLinePunct/>
            </w:pPr>
            <w:r>
              <w:rPr>
                <w:rFonts w:hint="eastAsia"/>
              </w:rPr>
              <w:t>液体库</w:t>
            </w:r>
          </w:p>
        </w:tc>
        <w:tc>
          <w:tcPr>
            <w:tcW w:w="1426" w:type="pct"/>
            <w:tcBorders>
              <w:top w:val="single" w:sz="4" w:space="0" w:color="auto"/>
              <w:left w:val="single" w:sz="4" w:space="0" w:color="auto"/>
              <w:bottom w:val="single" w:sz="4" w:space="0" w:color="auto"/>
              <w:right w:val="single" w:sz="4" w:space="0" w:color="auto"/>
            </w:tcBorders>
            <w:vAlign w:val="center"/>
          </w:tcPr>
          <w:p w14:paraId="326BDECA" w14:textId="77777777" w:rsidR="003E78AB" w:rsidRDefault="00010BF9">
            <w:pPr>
              <w:pStyle w:val="aff6"/>
              <w:topLinePunct/>
            </w:pPr>
            <w:r>
              <w:rPr>
                <w:rFonts w:hint="eastAsia"/>
              </w:rPr>
              <w:t>液体库</w:t>
            </w:r>
          </w:p>
        </w:tc>
        <w:tc>
          <w:tcPr>
            <w:tcW w:w="1920" w:type="pct"/>
            <w:tcBorders>
              <w:top w:val="single" w:sz="4" w:space="0" w:color="auto"/>
              <w:left w:val="single" w:sz="4" w:space="0" w:color="auto"/>
              <w:bottom w:val="single" w:sz="4" w:space="0" w:color="auto"/>
              <w:right w:val="single" w:sz="4" w:space="0" w:color="auto"/>
            </w:tcBorders>
            <w:vAlign w:val="center"/>
          </w:tcPr>
          <w:p w14:paraId="6F4EC00D" w14:textId="77777777" w:rsidR="003E78AB" w:rsidRDefault="00010BF9">
            <w:pPr>
              <w:pStyle w:val="aff6"/>
              <w:topLinePunct/>
            </w:pPr>
            <w:r>
              <w:t>硫酸、</w:t>
            </w:r>
            <w:r>
              <w:rPr>
                <w:rFonts w:hint="eastAsia"/>
              </w:rPr>
              <w:t>磷酸</w:t>
            </w:r>
          </w:p>
        </w:tc>
      </w:tr>
      <w:tr w:rsidR="003E78AB" w14:paraId="14F5590A" w14:textId="77777777">
        <w:trPr>
          <w:trHeight w:val="266"/>
        </w:trPr>
        <w:tc>
          <w:tcPr>
            <w:tcW w:w="371" w:type="pct"/>
            <w:tcBorders>
              <w:top w:val="single" w:sz="4" w:space="0" w:color="auto"/>
              <w:left w:val="single" w:sz="4" w:space="0" w:color="auto"/>
              <w:bottom w:val="single" w:sz="4" w:space="0" w:color="auto"/>
              <w:right w:val="single" w:sz="4" w:space="0" w:color="auto"/>
            </w:tcBorders>
            <w:vAlign w:val="center"/>
          </w:tcPr>
          <w:p w14:paraId="6BD4F13F" w14:textId="77777777" w:rsidR="003E78AB" w:rsidRDefault="00010BF9">
            <w:pPr>
              <w:pStyle w:val="aff6"/>
              <w:topLinePunct/>
            </w:pPr>
            <w:r>
              <w:t>2</w:t>
            </w:r>
          </w:p>
        </w:tc>
        <w:tc>
          <w:tcPr>
            <w:tcW w:w="692" w:type="pct"/>
            <w:tcBorders>
              <w:top w:val="single" w:sz="4" w:space="0" w:color="auto"/>
              <w:left w:val="single" w:sz="4" w:space="0" w:color="auto"/>
              <w:bottom w:val="single" w:sz="4" w:space="0" w:color="auto"/>
              <w:right w:val="single" w:sz="4" w:space="0" w:color="auto"/>
            </w:tcBorders>
            <w:vAlign w:val="center"/>
          </w:tcPr>
          <w:p w14:paraId="6337DF97" w14:textId="77777777" w:rsidR="003E78AB" w:rsidRDefault="00010BF9">
            <w:pPr>
              <w:pStyle w:val="aff6"/>
              <w:topLinePunct/>
            </w:pPr>
            <w:r>
              <w:t>溶解还原</w:t>
            </w:r>
          </w:p>
        </w:tc>
        <w:tc>
          <w:tcPr>
            <w:tcW w:w="588" w:type="pct"/>
            <w:vMerge w:val="restart"/>
            <w:tcBorders>
              <w:top w:val="single" w:sz="4" w:space="0" w:color="auto"/>
              <w:left w:val="single" w:sz="4" w:space="0" w:color="auto"/>
              <w:right w:val="single" w:sz="4" w:space="0" w:color="auto"/>
            </w:tcBorders>
            <w:vAlign w:val="center"/>
          </w:tcPr>
          <w:p w14:paraId="71899EA9" w14:textId="77777777" w:rsidR="003E78AB" w:rsidRDefault="00010BF9">
            <w:pPr>
              <w:pStyle w:val="aff6"/>
              <w:topLinePunct/>
            </w:pPr>
            <w:r>
              <w:t>生产车间</w:t>
            </w:r>
          </w:p>
        </w:tc>
        <w:tc>
          <w:tcPr>
            <w:tcW w:w="1426" w:type="pct"/>
            <w:tcBorders>
              <w:top w:val="single" w:sz="4" w:space="0" w:color="auto"/>
              <w:left w:val="single" w:sz="4" w:space="0" w:color="auto"/>
              <w:bottom w:val="single" w:sz="4" w:space="0" w:color="auto"/>
              <w:right w:val="single" w:sz="4" w:space="0" w:color="auto"/>
            </w:tcBorders>
            <w:vAlign w:val="center"/>
          </w:tcPr>
          <w:p w14:paraId="4798AE6F" w14:textId="77777777" w:rsidR="003E78AB" w:rsidRDefault="00010BF9">
            <w:pPr>
              <w:pStyle w:val="aff6"/>
              <w:topLinePunct/>
            </w:pPr>
            <w:r>
              <w:rPr>
                <w:rFonts w:hint="eastAsia"/>
              </w:rPr>
              <w:t>溶解还原</w:t>
            </w:r>
            <w:r>
              <w:t>釜</w:t>
            </w:r>
          </w:p>
        </w:tc>
        <w:tc>
          <w:tcPr>
            <w:tcW w:w="1920" w:type="pct"/>
            <w:tcBorders>
              <w:top w:val="single" w:sz="4" w:space="0" w:color="auto"/>
              <w:left w:val="single" w:sz="4" w:space="0" w:color="auto"/>
              <w:bottom w:val="single" w:sz="4" w:space="0" w:color="auto"/>
              <w:right w:val="single" w:sz="4" w:space="0" w:color="auto"/>
            </w:tcBorders>
            <w:vAlign w:val="center"/>
          </w:tcPr>
          <w:p w14:paraId="4768A7AC" w14:textId="77777777" w:rsidR="003E78AB" w:rsidRDefault="00010BF9">
            <w:pPr>
              <w:pStyle w:val="aff6"/>
              <w:topLinePunct/>
            </w:pPr>
            <w:r>
              <w:t>五氧化二钒、硫酸</w:t>
            </w:r>
          </w:p>
        </w:tc>
      </w:tr>
      <w:tr w:rsidR="003E78AB" w14:paraId="46EF2F9E" w14:textId="77777777">
        <w:trPr>
          <w:trHeight w:val="263"/>
        </w:trPr>
        <w:tc>
          <w:tcPr>
            <w:tcW w:w="371" w:type="pct"/>
            <w:tcBorders>
              <w:top w:val="single" w:sz="4" w:space="0" w:color="auto"/>
              <w:left w:val="single" w:sz="4" w:space="0" w:color="auto"/>
              <w:bottom w:val="single" w:sz="4" w:space="0" w:color="auto"/>
              <w:right w:val="single" w:sz="4" w:space="0" w:color="auto"/>
            </w:tcBorders>
            <w:vAlign w:val="center"/>
          </w:tcPr>
          <w:p w14:paraId="23658929" w14:textId="77777777" w:rsidR="003E78AB" w:rsidRDefault="00010BF9">
            <w:pPr>
              <w:pStyle w:val="aff6"/>
              <w:topLinePunct/>
            </w:pPr>
            <w:r>
              <w:t>3</w:t>
            </w:r>
          </w:p>
        </w:tc>
        <w:tc>
          <w:tcPr>
            <w:tcW w:w="692" w:type="pct"/>
            <w:tcBorders>
              <w:top w:val="single" w:sz="4" w:space="0" w:color="auto"/>
              <w:left w:val="single" w:sz="4" w:space="0" w:color="auto"/>
              <w:bottom w:val="single" w:sz="4" w:space="0" w:color="auto"/>
              <w:right w:val="single" w:sz="4" w:space="0" w:color="auto"/>
            </w:tcBorders>
            <w:vAlign w:val="center"/>
          </w:tcPr>
          <w:p w14:paraId="094BAA09" w14:textId="77777777" w:rsidR="003E78AB" w:rsidRDefault="00010BF9">
            <w:pPr>
              <w:pStyle w:val="aff6"/>
              <w:topLinePunct/>
            </w:pPr>
            <w:r>
              <w:t>电解</w:t>
            </w:r>
          </w:p>
        </w:tc>
        <w:tc>
          <w:tcPr>
            <w:tcW w:w="588" w:type="pct"/>
            <w:vMerge/>
            <w:tcBorders>
              <w:left w:val="single" w:sz="4" w:space="0" w:color="auto"/>
              <w:right w:val="single" w:sz="4" w:space="0" w:color="auto"/>
            </w:tcBorders>
            <w:vAlign w:val="center"/>
          </w:tcPr>
          <w:p w14:paraId="36C6E154" w14:textId="77777777" w:rsidR="003E78AB" w:rsidRDefault="003E78AB">
            <w:pPr>
              <w:pStyle w:val="aff6"/>
              <w:topLinePunct/>
            </w:pPr>
          </w:p>
        </w:tc>
        <w:tc>
          <w:tcPr>
            <w:tcW w:w="1426" w:type="pct"/>
            <w:tcBorders>
              <w:top w:val="single" w:sz="4" w:space="0" w:color="auto"/>
              <w:left w:val="single" w:sz="4" w:space="0" w:color="auto"/>
              <w:bottom w:val="single" w:sz="4" w:space="0" w:color="auto"/>
              <w:right w:val="single" w:sz="4" w:space="0" w:color="auto"/>
            </w:tcBorders>
            <w:vAlign w:val="center"/>
          </w:tcPr>
          <w:p w14:paraId="06BF26FD" w14:textId="77777777" w:rsidR="003E78AB" w:rsidRDefault="00010BF9">
            <w:pPr>
              <w:pStyle w:val="aff6"/>
              <w:topLinePunct/>
            </w:pPr>
            <w:r>
              <w:t>电解设备</w:t>
            </w:r>
          </w:p>
        </w:tc>
        <w:tc>
          <w:tcPr>
            <w:tcW w:w="1920" w:type="pct"/>
            <w:tcBorders>
              <w:top w:val="single" w:sz="4" w:space="0" w:color="auto"/>
              <w:left w:val="single" w:sz="4" w:space="0" w:color="auto"/>
              <w:bottom w:val="single" w:sz="4" w:space="0" w:color="auto"/>
              <w:right w:val="single" w:sz="4" w:space="0" w:color="auto"/>
            </w:tcBorders>
            <w:vAlign w:val="center"/>
          </w:tcPr>
          <w:p w14:paraId="6E4778B8" w14:textId="77777777" w:rsidR="003E78AB" w:rsidRDefault="00010BF9">
            <w:pPr>
              <w:pStyle w:val="aff6"/>
              <w:topLinePunct/>
            </w:pPr>
            <w:r>
              <w:t>钒电解液</w:t>
            </w:r>
          </w:p>
        </w:tc>
      </w:tr>
      <w:tr w:rsidR="003E78AB" w14:paraId="2D55C5D7" w14:textId="77777777">
        <w:trPr>
          <w:trHeight w:val="266"/>
        </w:trPr>
        <w:tc>
          <w:tcPr>
            <w:tcW w:w="371" w:type="pct"/>
            <w:tcBorders>
              <w:top w:val="single" w:sz="4" w:space="0" w:color="auto"/>
              <w:left w:val="single" w:sz="4" w:space="0" w:color="auto"/>
              <w:bottom w:val="single" w:sz="4" w:space="0" w:color="auto"/>
              <w:right w:val="single" w:sz="4" w:space="0" w:color="auto"/>
            </w:tcBorders>
            <w:vAlign w:val="center"/>
          </w:tcPr>
          <w:p w14:paraId="61029524" w14:textId="77777777" w:rsidR="003E78AB" w:rsidRDefault="00010BF9">
            <w:pPr>
              <w:pStyle w:val="aff6"/>
              <w:topLinePunct/>
            </w:pPr>
            <w:r>
              <w:t>4</w:t>
            </w:r>
          </w:p>
        </w:tc>
        <w:tc>
          <w:tcPr>
            <w:tcW w:w="692" w:type="pct"/>
            <w:tcBorders>
              <w:top w:val="single" w:sz="4" w:space="0" w:color="auto"/>
              <w:left w:val="single" w:sz="4" w:space="0" w:color="auto"/>
              <w:bottom w:val="single" w:sz="4" w:space="0" w:color="auto"/>
              <w:right w:val="single" w:sz="4" w:space="0" w:color="auto"/>
            </w:tcBorders>
            <w:vAlign w:val="center"/>
          </w:tcPr>
          <w:p w14:paraId="3B2070A0" w14:textId="77777777" w:rsidR="003E78AB" w:rsidRDefault="00010BF9">
            <w:pPr>
              <w:pStyle w:val="aff6"/>
              <w:topLinePunct/>
            </w:pPr>
            <w:r>
              <w:t>定容</w:t>
            </w:r>
          </w:p>
        </w:tc>
        <w:tc>
          <w:tcPr>
            <w:tcW w:w="588" w:type="pct"/>
            <w:vMerge/>
            <w:tcBorders>
              <w:left w:val="single" w:sz="4" w:space="0" w:color="auto"/>
              <w:right w:val="single" w:sz="4" w:space="0" w:color="auto"/>
            </w:tcBorders>
            <w:vAlign w:val="center"/>
          </w:tcPr>
          <w:p w14:paraId="668D8F34" w14:textId="77777777" w:rsidR="003E78AB" w:rsidRDefault="003E78AB">
            <w:pPr>
              <w:pStyle w:val="aff6"/>
              <w:topLinePunct/>
            </w:pPr>
          </w:p>
        </w:tc>
        <w:tc>
          <w:tcPr>
            <w:tcW w:w="1426" w:type="pct"/>
            <w:tcBorders>
              <w:top w:val="single" w:sz="4" w:space="0" w:color="auto"/>
              <w:left w:val="single" w:sz="4" w:space="0" w:color="auto"/>
              <w:bottom w:val="single" w:sz="4" w:space="0" w:color="auto"/>
              <w:right w:val="single" w:sz="4" w:space="0" w:color="auto"/>
            </w:tcBorders>
            <w:vAlign w:val="center"/>
          </w:tcPr>
          <w:p w14:paraId="5FBB9900" w14:textId="77777777" w:rsidR="003E78AB" w:rsidRDefault="00010BF9">
            <w:pPr>
              <w:pStyle w:val="aff6"/>
              <w:topLinePunct/>
            </w:pPr>
            <w:r>
              <w:t>定容设备</w:t>
            </w:r>
          </w:p>
        </w:tc>
        <w:tc>
          <w:tcPr>
            <w:tcW w:w="1920" w:type="pct"/>
            <w:tcBorders>
              <w:top w:val="single" w:sz="4" w:space="0" w:color="auto"/>
              <w:left w:val="single" w:sz="4" w:space="0" w:color="auto"/>
              <w:bottom w:val="single" w:sz="4" w:space="0" w:color="auto"/>
              <w:right w:val="single" w:sz="4" w:space="0" w:color="auto"/>
            </w:tcBorders>
            <w:vAlign w:val="center"/>
          </w:tcPr>
          <w:p w14:paraId="3AE99068" w14:textId="77777777" w:rsidR="003E78AB" w:rsidRDefault="00010BF9">
            <w:pPr>
              <w:pStyle w:val="aff6"/>
              <w:topLinePunct/>
            </w:pPr>
            <w:r>
              <w:rPr>
                <w:rFonts w:hint="eastAsia"/>
              </w:rPr>
              <w:t>磷酸、</w:t>
            </w:r>
            <w:r>
              <w:t>钒电解液</w:t>
            </w:r>
          </w:p>
        </w:tc>
      </w:tr>
      <w:tr w:rsidR="003E78AB" w14:paraId="6E393BAA" w14:textId="77777777">
        <w:trPr>
          <w:trHeight w:val="266"/>
        </w:trPr>
        <w:tc>
          <w:tcPr>
            <w:tcW w:w="371" w:type="pct"/>
            <w:tcBorders>
              <w:top w:val="single" w:sz="4" w:space="0" w:color="auto"/>
              <w:left w:val="single" w:sz="4" w:space="0" w:color="auto"/>
              <w:bottom w:val="single" w:sz="4" w:space="0" w:color="auto"/>
              <w:right w:val="single" w:sz="4" w:space="0" w:color="auto"/>
            </w:tcBorders>
            <w:vAlign w:val="center"/>
          </w:tcPr>
          <w:p w14:paraId="4E939DB3" w14:textId="77777777" w:rsidR="003E78AB" w:rsidRDefault="00010BF9">
            <w:pPr>
              <w:pStyle w:val="aff6"/>
              <w:topLinePunct/>
            </w:pPr>
            <w:r>
              <w:rPr>
                <w:rFonts w:hint="eastAsia"/>
              </w:rPr>
              <w:t>5</w:t>
            </w:r>
          </w:p>
        </w:tc>
        <w:tc>
          <w:tcPr>
            <w:tcW w:w="692" w:type="pct"/>
            <w:tcBorders>
              <w:top w:val="single" w:sz="4" w:space="0" w:color="auto"/>
              <w:left w:val="single" w:sz="4" w:space="0" w:color="auto"/>
              <w:bottom w:val="single" w:sz="4" w:space="0" w:color="auto"/>
              <w:right w:val="single" w:sz="4" w:space="0" w:color="auto"/>
            </w:tcBorders>
            <w:vAlign w:val="center"/>
          </w:tcPr>
          <w:p w14:paraId="1015B8A4" w14:textId="77777777" w:rsidR="003E78AB" w:rsidRDefault="00010BF9">
            <w:pPr>
              <w:pStyle w:val="aff6"/>
              <w:topLinePunct/>
            </w:pPr>
            <w:r>
              <w:rPr>
                <w:rFonts w:hint="eastAsia"/>
              </w:rPr>
              <w:t>灌装</w:t>
            </w:r>
          </w:p>
        </w:tc>
        <w:tc>
          <w:tcPr>
            <w:tcW w:w="588" w:type="pct"/>
            <w:vMerge/>
            <w:tcBorders>
              <w:left w:val="single" w:sz="4" w:space="0" w:color="auto"/>
              <w:right w:val="single" w:sz="4" w:space="0" w:color="auto"/>
            </w:tcBorders>
            <w:vAlign w:val="center"/>
          </w:tcPr>
          <w:p w14:paraId="2C593289" w14:textId="77777777" w:rsidR="003E78AB" w:rsidRDefault="003E78AB">
            <w:pPr>
              <w:pStyle w:val="aff6"/>
              <w:topLinePunct/>
            </w:pPr>
          </w:p>
        </w:tc>
        <w:tc>
          <w:tcPr>
            <w:tcW w:w="1426" w:type="pct"/>
            <w:tcBorders>
              <w:top w:val="single" w:sz="4" w:space="0" w:color="auto"/>
              <w:left w:val="single" w:sz="4" w:space="0" w:color="auto"/>
              <w:bottom w:val="single" w:sz="4" w:space="0" w:color="auto"/>
              <w:right w:val="single" w:sz="4" w:space="0" w:color="auto"/>
            </w:tcBorders>
            <w:vAlign w:val="center"/>
          </w:tcPr>
          <w:p w14:paraId="74F48C21" w14:textId="77777777" w:rsidR="003E78AB" w:rsidRDefault="00010BF9">
            <w:pPr>
              <w:pStyle w:val="aff6"/>
              <w:topLinePunct/>
            </w:pPr>
            <w:r>
              <w:rPr>
                <w:rFonts w:hint="eastAsia"/>
              </w:rPr>
              <w:t>灌装区</w:t>
            </w:r>
          </w:p>
        </w:tc>
        <w:tc>
          <w:tcPr>
            <w:tcW w:w="1920" w:type="pct"/>
            <w:tcBorders>
              <w:top w:val="single" w:sz="4" w:space="0" w:color="auto"/>
              <w:left w:val="single" w:sz="4" w:space="0" w:color="auto"/>
              <w:bottom w:val="single" w:sz="4" w:space="0" w:color="auto"/>
              <w:right w:val="single" w:sz="4" w:space="0" w:color="auto"/>
            </w:tcBorders>
            <w:vAlign w:val="center"/>
          </w:tcPr>
          <w:p w14:paraId="64B0D070" w14:textId="77777777" w:rsidR="003E78AB" w:rsidRDefault="00010BF9">
            <w:pPr>
              <w:pStyle w:val="aff6"/>
              <w:topLinePunct/>
            </w:pPr>
            <w:r>
              <w:t>钒电解液</w:t>
            </w:r>
          </w:p>
        </w:tc>
      </w:tr>
      <w:tr w:rsidR="003E78AB" w14:paraId="410A0E0E" w14:textId="77777777">
        <w:trPr>
          <w:trHeight w:val="266"/>
        </w:trPr>
        <w:tc>
          <w:tcPr>
            <w:tcW w:w="371" w:type="pct"/>
            <w:tcBorders>
              <w:top w:val="single" w:sz="4" w:space="0" w:color="auto"/>
              <w:left w:val="single" w:sz="4" w:space="0" w:color="auto"/>
              <w:bottom w:val="single" w:sz="4" w:space="0" w:color="auto"/>
              <w:right w:val="single" w:sz="4" w:space="0" w:color="auto"/>
            </w:tcBorders>
            <w:vAlign w:val="center"/>
          </w:tcPr>
          <w:p w14:paraId="24B2E6F0" w14:textId="77777777" w:rsidR="003E78AB" w:rsidRDefault="00010BF9">
            <w:pPr>
              <w:pStyle w:val="aff6"/>
              <w:topLinePunct/>
            </w:pPr>
            <w:r>
              <w:rPr>
                <w:rFonts w:hint="eastAsia"/>
              </w:rPr>
              <w:t>6</w:t>
            </w:r>
          </w:p>
        </w:tc>
        <w:tc>
          <w:tcPr>
            <w:tcW w:w="692" w:type="pct"/>
            <w:tcBorders>
              <w:top w:val="single" w:sz="4" w:space="0" w:color="auto"/>
              <w:left w:val="single" w:sz="4" w:space="0" w:color="auto"/>
              <w:bottom w:val="single" w:sz="4" w:space="0" w:color="auto"/>
              <w:right w:val="single" w:sz="4" w:space="0" w:color="auto"/>
            </w:tcBorders>
            <w:vAlign w:val="center"/>
          </w:tcPr>
          <w:p w14:paraId="7E525A87" w14:textId="77777777" w:rsidR="003E78AB" w:rsidRDefault="00010BF9">
            <w:pPr>
              <w:pStyle w:val="aff6"/>
              <w:topLinePunct/>
            </w:pPr>
            <w:r>
              <w:rPr>
                <w:rFonts w:hint="eastAsia"/>
              </w:rPr>
              <w:t>废气处理</w:t>
            </w:r>
          </w:p>
        </w:tc>
        <w:tc>
          <w:tcPr>
            <w:tcW w:w="588" w:type="pct"/>
            <w:vMerge/>
            <w:tcBorders>
              <w:left w:val="single" w:sz="4" w:space="0" w:color="auto"/>
              <w:bottom w:val="single" w:sz="4" w:space="0" w:color="auto"/>
              <w:right w:val="single" w:sz="4" w:space="0" w:color="auto"/>
            </w:tcBorders>
            <w:vAlign w:val="center"/>
          </w:tcPr>
          <w:p w14:paraId="3867E8FA" w14:textId="77777777" w:rsidR="003E78AB" w:rsidRDefault="003E78AB">
            <w:pPr>
              <w:pStyle w:val="aff6"/>
              <w:topLinePunct/>
            </w:pPr>
          </w:p>
        </w:tc>
        <w:tc>
          <w:tcPr>
            <w:tcW w:w="1426" w:type="pct"/>
            <w:tcBorders>
              <w:top w:val="single" w:sz="4" w:space="0" w:color="auto"/>
              <w:left w:val="single" w:sz="4" w:space="0" w:color="auto"/>
              <w:bottom w:val="single" w:sz="4" w:space="0" w:color="auto"/>
              <w:right w:val="single" w:sz="4" w:space="0" w:color="auto"/>
            </w:tcBorders>
            <w:vAlign w:val="center"/>
          </w:tcPr>
          <w:p w14:paraId="05618315" w14:textId="77777777" w:rsidR="003E78AB" w:rsidRDefault="00010BF9">
            <w:pPr>
              <w:pStyle w:val="aff6"/>
              <w:topLinePunct/>
              <w:rPr>
                <w:b/>
                <w:bCs/>
                <w:u w:val="single"/>
              </w:rPr>
            </w:pPr>
            <w:r>
              <w:rPr>
                <w:rFonts w:hint="eastAsia"/>
                <w:b/>
                <w:bCs/>
                <w:u w:val="single"/>
              </w:rPr>
              <w:t>储存区</w:t>
            </w:r>
          </w:p>
        </w:tc>
        <w:tc>
          <w:tcPr>
            <w:tcW w:w="1920" w:type="pct"/>
            <w:tcBorders>
              <w:top w:val="single" w:sz="4" w:space="0" w:color="auto"/>
              <w:left w:val="single" w:sz="4" w:space="0" w:color="auto"/>
              <w:bottom w:val="single" w:sz="4" w:space="0" w:color="auto"/>
              <w:right w:val="single" w:sz="4" w:space="0" w:color="auto"/>
            </w:tcBorders>
            <w:vAlign w:val="center"/>
          </w:tcPr>
          <w:p w14:paraId="08EE8251" w14:textId="77777777" w:rsidR="003E78AB" w:rsidRDefault="00010BF9">
            <w:pPr>
              <w:pStyle w:val="aff6"/>
              <w:topLinePunct/>
              <w:rPr>
                <w:b/>
                <w:bCs/>
                <w:u w:val="single"/>
              </w:rPr>
            </w:pPr>
            <w:r>
              <w:rPr>
                <w:rFonts w:hint="eastAsia"/>
                <w:b/>
                <w:bCs/>
                <w:u w:val="single"/>
              </w:rPr>
              <w:t>氢氧化钠</w:t>
            </w:r>
          </w:p>
        </w:tc>
      </w:tr>
      <w:tr w:rsidR="003E78AB" w14:paraId="5CEB506A" w14:textId="77777777">
        <w:trPr>
          <w:trHeight w:val="263"/>
        </w:trPr>
        <w:tc>
          <w:tcPr>
            <w:tcW w:w="371" w:type="pct"/>
            <w:tcBorders>
              <w:top w:val="single" w:sz="4" w:space="0" w:color="auto"/>
              <w:left w:val="single" w:sz="4" w:space="0" w:color="auto"/>
              <w:bottom w:val="single" w:sz="4" w:space="0" w:color="auto"/>
              <w:right w:val="single" w:sz="4" w:space="0" w:color="auto"/>
            </w:tcBorders>
            <w:vAlign w:val="center"/>
          </w:tcPr>
          <w:p w14:paraId="39CA0481" w14:textId="77777777" w:rsidR="003E78AB" w:rsidRDefault="00010BF9">
            <w:pPr>
              <w:pStyle w:val="aff6"/>
              <w:topLinePunct/>
            </w:pPr>
            <w:r>
              <w:rPr>
                <w:rFonts w:hint="eastAsia"/>
              </w:rPr>
              <w:t>7</w:t>
            </w:r>
          </w:p>
        </w:tc>
        <w:tc>
          <w:tcPr>
            <w:tcW w:w="1281" w:type="pct"/>
            <w:gridSpan w:val="2"/>
            <w:tcBorders>
              <w:top w:val="single" w:sz="4" w:space="0" w:color="auto"/>
              <w:left w:val="single" w:sz="4" w:space="0" w:color="auto"/>
              <w:bottom w:val="single" w:sz="4" w:space="0" w:color="auto"/>
              <w:right w:val="single" w:sz="4" w:space="0" w:color="auto"/>
            </w:tcBorders>
            <w:vAlign w:val="center"/>
          </w:tcPr>
          <w:p w14:paraId="161BA567" w14:textId="77777777" w:rsidR="003E78AB" w:rsidRDefault="00010BF9">
            <w:pPr>
              <w:pStyle w:val="aff6"/>
              <w:topLinePunct/>
            </w:pPr>
            <w:r>
              <w:rPr>
                <w:rFonts w:hint="eastAsia"/>
              </w:rPr>
              <w:t>危险废物暂存间</w:t>
            </w:r>
          </w:p>
        </w:tc>
        <w:tc>
          <w:tcPr>
            <w:tcW w:w="1426" w:type="pct"/>
            <w:tcBorders>
              <w:top w:val="single" w:sz="4" w:space="0" w:color="auto"/>
              <w:left w:val="single" w:sz="4" w:space="0" w:color="auto"/>
              <w:bottom w:val="single" w:sz="4" w:space="0" w:color="auto"/>
              <w:right w:val="single" w:sz="4" w:space="0" w:color="auto"/>
            </w:tcBorders>
            <w:vAlign w:val="center"/>
          </w:tcPr>
          <w:p w14:paraId="3DA52068" w14:textId="77777777" w:rsidR="003E78AB" w:rsidRDefault="00010BF9">
            <w:pPr>
              <w:pStyle w:val="aff6"/>
              <w:topLinePunct/>
            </w:pPr>
            <w:r>
              <w:t>危险废物</w:t>
            </w:r>
            <w:r>
              <w:rPr>
                <w:rFonts w:hint="eastAsia"/>
              </w:rPr>
              <w:t>暂存间</w:t>
            </w:r>
          </w:p>
        </w:tc>
        <w:tc>
          <w:tcPr>
            <w:tcW w:w="1920" w:type="pct"/>
            <w:tcBorders>
              <w:top w:val="single" w:sz="4" w:space="0" w:color="auto"/>
              <w:left w:val="single" w:sz="4" w:space="0" w:color="auto"/>
              <w:bottom w:val="single" w:sz="4" w:space="0" w:color="auto"/>
              <w:right w:val="single" w:sz="4" w:space="0" w:color="auto"/>
            </w:tcBorders>
            <w:vAlign w:val="center"/>
          </w:tcPr>
          <w:p w14:paraId="02D91445" w14:textId="77777777" w:rsidR="003E78AB" w:rsidRDefault="00010BF9">
            <w:pPr>
              <w:pStyle w:val="aff6"/>
              <w:topLinePunct/>
            </w:pPr>
            <w:r>
              <w:rPr>
                <w:rFonts w:hint="eastAsia"/>
              </w:rPr>
              <w:t>结晶盐</w:t>
            </w:r>
            <w:r>
              <w:rPr>
                <w:rFonts w:hint="eastAsia"/>
              </w:rPr>
              <w:t>*</w:t>
            </w:r>
            <w:r>
              <w:rPr>
                <w:rFonts w:hint="eastAsia"/>
              </w:rPr>
              <w:t>、</w:t>
            </w:r>
            <w:r>
              <w:t>油类物质</w:t>
            </w:r>
            <w:r>
              <w:rPr>
                <w:rFonts w:hint="eastAsia"/>
              </w:rPr>
              <w:t>（</w:t>
            </w:r>
            <w:r>
              <w:t>废</w:t>
            </w:r>
            <w:r>
              <w:rPr>
                <w:rFonts w:hint="eastAsia"/>
              </w:rPr>
              <w:t>润滑</w:t>
            </w:r>
            <w:r>
              <w:t>油</w:t>
            </w:r>
            <w:r>
              <w:rPr>
                <w:rFonts w:hint="eastAsia"/>
              </w:rPr>
              <w:t>）</w:t>
            </w:r>
          </w:p>
        </w:tc>
      </w:tr>
      <w:tr w:rsidR="003E78AB" w14:paraId="19274548" w14:textId="77777777">
        <w:trPr>
          <w:trHeight w:val="263"/>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A78D8F0" w14:textId="77777777" w:rsidR="003E78AB" w:rsidRDefault="00010BF9">
            <w:pPr>
              <w:pStyle w:val="aff6"/>
              <w:topLinePunct/>
              <w:jc w:val="both"/>
            </w:pPr>
            <w:r>
              <w:rPr>
                <w:rFonts w:hint="eastAsia"/>
                <w:bCs/>
              </w:rPr>
              <w:t>*</w:t>
            </w:r>
            <w:r>
              <w:rPr>
                <w:bCs/>
              </w:rPr>
              <w:t>结晶盐属性</w:t>
            </w:r>
            <w:r>
              <w:rPr>
                <w:rFonts w:hint="eastAsia"/>
                <w:bCs/>
              </w:rPr>
              <w:t>确定</w:t>
            </w:r>
            <w:r>
              <w:rPr>
                <w:bCs/>
              </w:rPr>
              <w:t>前按危废收集处置</w:t>
            </w:r>
            <w:r>
              <w:rPr>
                <w:rFonts w:hint="eastAsia"/>
                <w:bCs/>
              </w:rPr>
              <w:t>。</w:t>
            </w:r>
          </w:p>
        </w:tc>
      </w:tr>
    </w:tbl>
    <w:p w14:paraId="1299A9A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6.3.2.2</w:t>
      </w:r>
      <w:r>
        <w:rPr>
          <w:rFonts w:ascii="Times New Roman" w:hAnsi="Times New Roman" w:hint="eastAsia"/>
        </w:rPr>
        <w:t>风险源危险因素分析</w:t>
      </w:r>
    </w:p>
    <w:p w14:paraId="2C0F5FD7" w14:textId="77777777" w:rsidR="003E78AB" w:rsidRDefault="00010BF9">
      <w:pPr>
        <w:ind w:firstLine="480"/>
        <w:rPr>
          <w:kern w:val="2"/>
        </w:rPr>
      </w:pPr>
      <w:r>
        <w:rPr>
          <w:kern w:val="2"/>
        </w:rPr>
        <w:t>风险源的危险因素主要包括其潜在危险性、风险源存在的条件和转化为事故的触发因素等，根据本项目生产情况和风险特征，评价划分了本项目危险单元，并依据其潜在危险性、存在条件和转化为事故的触发因素等确定了重点风险源，各风险源的危险因素见</w:t>
      </w:r>
      <w:r>
        <w:rPr>
          <w:kern w:val="2"/>
        </w:rPr>
        <w:fldChar w:fldCharType="begin"/>
      </w:r>
      <w:r>
        <w:rPr>
          <w:kern w:val="2"/>
        </w:rPr>
        <w:instrText xml:space="preserve"> REF _Ref10125 \r \h </w:instrText>
      </w:r>
      <w:r>
        <w:rPr>
          <w:kern w:val="2"/>
        </w:rPr>
      </w:r>
      <w:r>
        <w:rPr>
          <w:kern w:val="2"/>
        </w:rPr>
        <w:fldChar w:fldCharType="separate"/>
      </w:r>
      <w:r>
        <w:rPr>
          <w:kern w:val="2"/>
        </w:rPr>
        <w:t>表</w:t>
      </w:r>
      <w:r>
        <w:rPr>
          <w:kern w:val="2"/>
        </w:rPr>
        <w:t>6-19</w:t>
      </w:r>
      <w:r>
        <w:rPr>
          <w:kern w:val="2"/>
        </w:rPr>
        <w:fldChar w:fldCharType="end"/>
      </w:r>
      <w:r>
        <w:rPr>
          <w:kern w:val="2"/>
        </w:rPr>
        <w:t>。</w:t>
      </w:r>
    </w:p>
    <w:p w14:paraId="64DC7699" w14:textId="77777777" w:rsidR="003E78AB" w:rsidRDefault="00010BF9">
      <w:pPr>
        <w:pStyle w:val="a"/>
        <w:spacing w:before="120"/>
        <w:ind w:left="425" w:hanging="425"/>
      </w:pPr>
      <w:bookmarkStart w:id="429" w:name="_Ref10125"/>
      <w:r>
        <w:t>潜在风险源危险性、存在条件和事故触发因素一览表</w:t>
      </w:r>
      <w:bookmarkEnd w:id="429"/>
    </w:p>
    <w:p w14:paraId="78BEADF6" w14:textId="77777777" w:rsidR="003E78AB" w:rsidRDefault="003E78AB">
      <w:pPr>
        <w:spacing w:line="26" w:lineRule="exact"/>
        <w:ind w:firstLine="480"/>
      </w:pPr>
    </w:p>
    <w:tbl>
      <w:tblPr>
        <w:tblStyle w:val="TableNormal"/>
        <w:tblW w:w="505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741"/>
        <w:gridCol w:w="784"/>
        <w:gridCol w:w="1034"/>
        <w:gridCol w:w="1105"/>
        <w:gridCol w:w="1012"/>
        <w:gridCol w:w="997"/>
        <w:gridCol w:w="2332"/>
      </w:tblGrid>
      <w:tr w:rsidR="003E78AB" w14:paraId="67DF3EBB" w14:textId="77777777">
        <w:trPr>
          <w:trHeight w:val="278"/>
          <w:tblHeader/>
        </w:trPr>
        <w:tc>
          <w:tcPr>
            <w:tcW w:w="238" w:type="pct"/>
            <w:vMerge w:val="restart"/>
            <w:vAlign w:val="center"/>
          </w:tcPr>
          <w:p w14:paraId="4624A32A" w14:textId="77777777" w:rsidR="003E78AB" w:rsidRDefault="00010BF9">
            <w:pPr>
              <w:pStyle w:val="aff6"/>
              <w:topLinePunct/>
              <w:rPr>
                <w:b/>
                <w:bCs/>
              </w:rPr>
            </w:pPr>
            <w:r>
              <w:rPr>
                <w:b/>
                <w:bCs/>
              </w:rPr>
              <w:t>序号</w:t>
            </w:r>
          </w:p>
        </w:tc>
        <w:tc>
          <w:tcPr>
            <w:tcW w:w="440" w:type="pct"/>
            <w:vMerge w:val="restart"/>
            <w:vAlign w:val="center"/>
          </w:tcPr>
          <w:p w14:paraId="06945236" w14:textId="77777777" w:rsidR="003E78AB" w:rsidRDefault="00010BF9">
            <w:pPr>
              <w:pStyle w:val="aff6"/>
              <w:topLinePunct/>
              <w:rPr>
                <w:b/>
                <w:bCs/>
              </w:rPr>
            </w:pPr>
            <w:r>
              <w:rPr>
                <w:b/>
                <w:bCs/>
              </w:rPr>
              <w:t>工段</w:t>
            </w:r>
          </w:p>
        </w:tc>
        <w:tc>
          <w:tcPr>
            <w:tcW w:w="466" w:type="pct"/>
            <w:vMerge w:val="restart"/>
            <w:vAlign w:val="center"/>
          </w:tcPr>
          <w:p w14:paraId="03228DD4" w14:textId="77777777" w:rsidR="003E78AB" w:rsidRDefault="00010BF9">
            <w:pPr>
              <w:pStyle w:val="aff6"/>
              <w:topLinePunct/>
              <w:rPr>
                <w:b/>
                <w:bCs/>
              </w:rPr>
            </w:pPr>
            <w:r>
              <w:rPr>
                <w:b/>
                <w:bCs/>
              </w:rPr>
              <w:t>危险单元</w:t>
            </w:r>
          </w:p>
        </w:tc>
        <w:tc>
          <w:tcPr>
            <w:tcW w:w="615" w:type="pct"/>
            <w:vMerge w:val="restart"/>
            <w:vAlign w:val="center"/>
          </w:tcPr>
          <w:p w14:paraId="5FA7B7EF" w14:textId="77777777" w:rsidR="003E78AB" w:rsidRDefault="00010BF9">
            <w:pPr>
              <w:pStyle w:val="aff6"/>
              <w:topLinePunct/>
              <w:rPr>
                <w:b/>
                <w:bCs/>
              </w:rPr>
            </w:pPr>
            <w:r>
              <w:rPr>
                <w:b/>
                <w:bCs/>
              </w:rPr>
              <w:t>是否重点风险源</w:t>
            </w:r>
          </w:p>
        </w:tc>
        <w:tc>
          <w:tcPr>
            <w:tcW w:w="1259" w:type="pct"/>
            <w:gridSpan w:val="2"/>
            <w:vAlign w:val="center"/>
          </w:tcPr>
          <w:p w14:paraId="40483553" w14:textId="77777777" w:rsidR="003E78AB" w:rsidRDefault="00010BF9">
            <w:pPr>
              <w:pStyle w:val="aff6"/>
              <w:topLinePunct/>
              <w:rPr>
                <w:b/>
                <w:bCs/>
              </w:rPr>
            </w:pPr>
            <w:r>
              <w:rPr>
                <w:b/>
                <w:bCs/>
              </w:rPr>
              <w:t>危险性</w:t>
            </w:r>
          </w:p>
        </w:tc>
        <w:tc>
          <w:tcPr>
            <w:tcW w:w="593" w:type="pct"/>
            <w:vMerge w:val="restart"/>
            <w:vAlign w:val="center"/>
          </w:tcPr>
          <w:p w14:paraId="2D329868" w14:textId="77777777" w:rsidR="003E78AB" w:rsidRDefault="00010BF9">
            <w:pPr>
              <w:pStyle w:val="aff6"/>
              <w:topLinePunct/>
              <w:rPr>
                <w:b/>
                <w:bCs/>
              </w:rPr>
            </w:pPr>
            <w:r>
              <w:rPr>
                <w:b/>
                <w:bCs/>
              </w:rPr>
              <w:t>存在条件</w:t>
            </w:r>
          </w:p>
        </w:tc>
        <w:tc>
          <w:tcPr>
            <w:tcW w:w="1386" w:type="pct"/>
            <w:vMerge w:val="restart"/>
            <w:vAlign w:val="center"/>
          </w:tcPr>
          <w:p w14:paraId="090D8CCD" w14:textId="77777777" w:rsidR="003E78AB" w:rsidRDefault="00010BF9">
            <w:pPr>
              <w:pStyle w:val="aff6"/>
              <w:topLinePunct/>
              <w:rPr>
                <w:b/>
                <w:bCs/>
              </w:rPr>
            </w:pPr>
            <w:r>
              <w:rPr>
                <w:b/>
                <w:bCs/>
              </w:rPr>
              <w:t>转化为事故的触发因素</w:t>
            </w:r>
          </w:p>
        </w:tc>
      </w:tr>
      <w:tr w:rsidR="003E78AB" w14:paraId="5D1C0029" w14:textId="77777777">
        <w:trPr>
          <w:trHeight w:val="525"/>
          <w:tblHeader/>
        </w:trPr>
        <w:tc>
          <w:tcPr>
            <w:tcW w:w="238" w:type="pct"/>
            <w:vMerge/>
            <w:vAlign w:val="center"/>
          </w:tcPr>
          <w:p w14:paraId="7A7676DA" w14:textId="77777777" w:rsidR="003E78AB" w:rsidRDefault="003E78AB">
            <w:pPr>
              <w:pStyle w:val="aff6"/>
              <w:topLinePunct/>
            </w:pPr>
          </w:p>
        </w:tc>
        <w:tc>
          <w:tcPr>
            <w:tcW w:w="440" w:type="pct"/>
            <w:vMerge/>
            <w:vAlign w:val="center"/>
          </w:tcPr>
          <w:p w14:paraId="2DBA911E" w14:textId="77777777" w:rsidR="003E78AB" w:rsidRDefault="003E78AB">
            <w:pPr>
              <w:pStyle w:val="aff6"/>
              <w:topLinePunct/>
            </w:pPr>
          </w:p>
        </w:tc>
        <w:tc>
          <w:tcPr>
            <w:tcW w:w="466" w:type="pct"/>
            <w:vMerge/>
            <w:vAlign w:val="center"/>
          </w:tcPr>
          <w:p w14:paraId="695DF28E" w14:textId="77777777" w:rsidR="003E78AB" w:rsidRDefault="003E78AB">
            <w:pPr>
              <w:pStyle w:val="aff6"/>
              <w:topLinePunct/>
            </w:pPr>
          </w:p>
        </w:tc>
        <w:tc>
          <w:tcPr>
            <w:tcW w:w="615" w:type="pct"/>
            <w:vMerge/>
            <w:vAlign w:val="center"/>
          </w:tcPr>
          <w:p w14:paraId="542F1670" w14:textId="77777777" w:rsidR="003E78AB" w:rsidRDefault="003E78AB">
            <w:pPr>
              <w:pStyle w:val="aff6"/>
              <w:topLinePunct/>
            </w:pPr>
          </w:p>
        </w:tc>
        <w:tc>
          <w:tcPr>
            <w:tcW w:w="657" w:type="pct"/>
            <w:vAlign w:val="center"/>
          </w:tcPr>
          <w:p w14:paraId="2D7CB343" w14:textId="77777777" w:rsidR="003E78AB" w:rsidRDefault="00010BF9">
            <w:pPr>
              <w:pStyle w:val="aff6"/>
              <w:topLinePunct/>
              <w:rPr>
                <w:b/>
                <w:bCs/>
              </w:rPr>
            </w:pPr>
            <w:r>
              <w:rPr>
                <w:b/>
                <w:bCs/>
              </w:rPr>
              <w:t>主要危险物质</w:t>
            </w:r>
          </w:p>
        </w:tc>
        <w:tc>
          <w:tcPr>
            <w:tcW w:w="602" w:type="pct"/>
            <w:vAlign w:val="center"/>
          </w:tcPr>
          <w:p w14:paraId="23F5CC63" w14:textId="77777777" w:rsidR="003E78AB" w:rsidRDefault="00010BF9">
            <w:pPr>
              <w:pStyle w:val="aff6"/>
              <w:topLinePunct/>
              <w:rPr>
                <w:b/>
                <w:bCs/>
              </w:rPr>
            </w:pPr>
            <w:r>
              <w:rPr>
                <w:b/>
                <w:bCs/>
              </w:rPr>
              <w:t>危险性类别</w:t>
            </w:r>
          </w:p>
        </w:tc>
        <w:tc>
          <w:tcPr>
            <w:tcW w:w="593" w:type="pct"/>
            <w:vMerge/>
            <w:vAlign w:val="center"/>
          </w:tcPr>
          <w:p w14:paraId="27AEAA8A" w14:textId="77777777" w:rsidR="003E78AB" w:rsidRDefault="003E78AB">
            <w:pPr>
              <w:pStyle w:val="aff6"/>
              <w:topLinePunct/>
            </w:pPr>
          </w:p>
        </w:tc>
        <w:tc>
          <w:tcPr>
            <w:tcW w:w="1386" w:type="pct"/>
            <w:vMerge/>
            <w:vAlign w:val="center"/>
          </w:tcPr>
          <w:p w14:paraId="72D128ED" w14:textId="77777777" w:rsidR="003E78AB" w:rsidRDefault="003E78AB">
            <w:pPr>
              <w:pStyle w:val="aff6"/>
              <w:topLinePunct/>
            </w:pPr>
          </w:p>
        </w:tc>
      </w:tr>
      <w:tr w:rsidR="003E78AB" w14:paraId="19728F0F" w14:textId="77777777">
        <w:trPr>
          <w:trHeight w:val="784"/>
        </w:trPr>
        <w:tc>
          <w:tcPr>
            <w:tcW w:w="238" w:type="pct"/>
            <w:vMerge w:val="restart"/>
            <w:vAlign w:val="center"/>
          </w:tcPr>
          <w:p w14:paraId="163F0CAC" w14:textId="77777777" w:rsidR="003E78AB" w:rsidRDefault="00010BF9">
            <w:pPr>
              <w:pStyle w:val="aff6"/>
              <w:topLinePunct/>
            </w:pPr>
            <w:r>
              <w:t>1</w:t>
            </w:r>
          </w:p>
        </w:tc>
        <w:tc>
          <w:tcPr>
            <w:tcW w:w="440" w:type="pct"/>
            <w:vMerge w:val="restart"/>
            <w:vAlign w:val="center"/>
          </w:tcPr>
          <w:p w14:paraId="0BD5EBEB" w14:textId="77777777" w:rsidR="003E78AB" w:rsidRDefault="00010BF9">
            <w:pPr>
              <w:pStyle w:val="aff6"/>
              <w:topLinePunct/>
            </w:pPr>
            <w:r>
              <w:t>贮存</w:t>
            </w:r>
          </w:p>
        </w:tc>
        <w:tc>
          <w:tcPr>
            <w:tcW w:w="466" w:type="pct"/>
            <w:vAlign w:val="center"/>
          </w:tcPr>
          <w:p w14:paraId="28C84A26" w14:textId="77777777" w:rsidR="003E78AB" w:rsidRDefault="00010BF9">
            <w:pPr>
              <w:pStyle w:val="aff6"/>
              <w:topLinePunct/>
            </w:pPr>
            <w:r>
              <w:t>原料库</w:t>
            </w:r>
          </w:p>
        </w:tc>
        <w:tc>
          <w:tcPr>
            <w:tcW w:w="615" w:type="pct"/>
            <w:vAlign w:val="center"/>
          </w:tcPr>
          <w:p w14:paraId="26D15AFD" w14:textId="77777777" w:rsidR="003E78AB" w:rsidRDefault="00010BF9">
            <w:pPr>
              <w:pStyle w:val="aff6"/>
              <w:topLinePunct/>
            </w:pPr>
            <w:r>
              <w:t>是</w:t>
            </w:r>
          </w:p>
        </w:tc>
        <w:tc>
          <w:tcPr>
            <w:tcW w:w="657" w:type="pct"/>
            <w:vAlign w:val="center"/>
          </w:tcPr>
          <w:p w14:paraId="489C64D1" w14:textId="77777777" w:rsidR="003E78AB" w:rsidRDefault="00010BF9">
            <w:pPr>
              <w:pStyle w:val="aff6"/>
              <w:topLinePunct/>
            </w:pPr>
            <w:r>
              <w:t>V</w:t>
            </w:r>
            <w:r>
              <w:rPr>
                <w:vertAlign w:val="subscript"/>
              </w:rPr>
              <w:t>2</w:t>
            </w:r>
            <w:r>
              <w:t>O</w:t>
            </w:r>
            <w:r>
              <w:rPr>
                <w:vertAlign w:val="subscript"/>
              </w:rPr>
              <w:t>5</w:t>
            </w:r>
          </w:p>
        </w:tc>
        <w:tc>
          <w:tcPr>
            <w:tcW w:w="602" w:type="pct"/>
            <w:vAlign w:val="center"/>
          </w:tcPr>
          <w:p w14:paraId="32D475A7" w14:textId="77777777" w:rsidR="003E78AB" w:rsidRDefault="00010BF9">
            <w:pPr>
              <w:pStyle w:val="aff6"/>
              <w:topLinePunct/>
            </w:pPr>
            <w:r>
              <w:t>有毒有害</w:t>
            </w:r>
          </w:p>
        </w:tc>
        <w:tc>
          <w:tcPr>
            <w:tcW w:w="593" w:type="pct"/>
            <w:vAlign w:val="center"/>
          </w:tcPr>
          <w:p w14:paraId="1BB24556" w14:textId="77777777" w:rsidR="003E78AB" w:rsidRDefault="00010BF9">
            <w:pPr>
              <w:pStyle w:val="aff6"/>
              <w:topLinePunct/>
            </w:pPr>
            <w:r>
              <w:t>常温常压</w:t>
            </w:r>
          </w:p>
        </w:tc>
        <w:tc>
          <w:tcPr>
            <w:tcW w:w="1386" w:type="pct"/>
            <w:vAlign w:val="center"/>
          </w:tcPr>
          <w:p w14:paraId="211ABA87" w14:textId="77777777" w:rsidR="003E78AB" w:rsidRDefault="00010BF9">
            <w:pPr>
              <w:pStyle w:val="aff6"/>
              <w:topLinePunct/>
            </w:pPr>
            <w:r>
              <w:t>包装袋破裂或物料被淹没浸泡产生含危险物质的液体，同时地面防渗层破裂</w:t>
            </w:r>
          </w:p>
        </w:tc>
      </w:tr>
      <w:tr w:rsidR="003E78AB" w14:paraId="50FED937" w14:textId="77777777">
        <w:trPr>
          <w:trHeight w:val="525"/>
        </w:trPr>
        <w:tc>
          <w:tcPr>
            <w:tcW w:w="238" w:type="pct"/>
            <w:vMerge/>
            <w:vAlign w:val="center"/>
          </w:tcPr>
          <w:p w14:paraId="5AE6E6E6" w14:textId="77777777" w:rsidR="003E78AB" w:rsidRDefault="003E78AB">
            <w:pPr>
              <w:pStyle w:val="aff6"/>
              <w:topLinePunct/>
            </w:pPr>
          </w:p>
        </w:tc>
        <w:tc>
          <w:tcPr>
            <w:tcW w:w="440" w:type="pct"/>
            <w:vMerge/>
            <w:vAlign w:val="center"/>
          </w:tcPr>
          <w:p w14:paraId="6734E516" w14:textId="77777777" w:rsidR="003E78AB" w:rsidRDefault="003E78AB">
            <w:pPr>
              <w:pStyle w:val="aff6"/>
              <w:topLinePunct/>
            </w:pPr>
          </w:p>
        </w:tc>
        <w:tc>
          <w:tcPr>
            <w:tcW w:w="466" w:type="pct"/>
            <w:vAlign w:val="center"/>
          </w:tcPr>
          <w:p w14:paraId="73456D88" w14:textId="77777777" w:rsidR="003E78AB" w:rsidRDefault="00010BF9">
            <w:pPr>
              <w:pStyle w:val="aff6"/>
              <w:topLinePunct/>
            </w:pPr>
            <w:r>
              <w:rPr>
                <w:rFonts w:hint="eastAsia"/>
              </w:rPr>
              <w:t>液体库</w:t>
            </w:r>
          </w:p>
        </w:tc>
        <w:tc>
          <w:tcPr>
            <w:tcW w:w="615" w:type="pct"/>
            <w:vAlign w:val="center"/>
          </w:tcPr>
          <w:p w14:paraId="4987F3DD" w14:textId="77777777" w:rsidR="003E78AB" w:rsidRDefault="00010BF9">
            <w:pPr>
              <w:pStyle w:val="aff6"/>
              <w:topLinePunct/>
            </w:pPr>
            <w:r>
              <w:t>是</w:t>
            </w:r>
          </w:p>
        </w:tc>
        <w:tc>
          <w:tcPr>
            <w:tcW w:w="657" w:type="pct"/>
            <w:vAlign w:val="center"/>
          </w:tcPr>
          <w:p w14:paraId="7FA3500E" w14:textId="77777777" w:rsidR="003E78AB" w:rsidRDefault="00010BF9">
            <w:pPr>
              <w:pStyle w:val="aff6"/>
              <w:topLinePunct/>
            </w:pPr>
            <w:r>
              <w:t>98%</w:t>
            </w:r>
            <w:r>
              <w:t>硫酸</w:t>
            </w:r>
            <w:r>
              <w:rPr>
                <w:rFonts w:hint="eastAsia"/>
              </w:rPr>
              <w:t>、磷酸</w:t>
            </w:r>
          </w:p>
        </w:tc>
        <w:tc>
          <w:tcPr>
            <w:tcW w:w="602" w:type="pct"/>
            <w:vAlign w:val="center"/>
          </w:tcPr>
          <w:p w14:paraId="37432312" w14:textId="77777777" w:rsidR="003E78AB" w:rsidRDefault="00010BF9">
            <w:pPr>
              <w:pStyle w:val="aff6"/>
              <w:topLinePunct/>
            </w:pPr>
            <w:r>
              <w:t>有毒有害</w:t>
            </w:r>
          </w:p>
        </w:tc>
        <w:tc>
          <w:tcPr>
            <w:tcW w:w="593" w:type="pct"/>
            <w:vAlign w:val="center"/>
          </w:tcPr>
          <w:p w14:paraId="25A5384A" w14:textId="77777777" w:rsidR="003E78AB" w:rsidRDefault="00010BF9">
            <w:pPr>
              <w:pStyle w:val="aff6"/>
              <w:topLinePunct/>
            </w:pPr>
            <w:r>
              <w:t>常温常压</w:t>
            </w:r>
          </w:p>
        </w:tc>
        <w:tc>
          <w:tcPr>
            <w:tcW w:w="1386" w:type="pct"/>
            <w:vAlign w:val="center"/>
          </w:tcPr>
          <w:p w14:paraId="4E6D450D" w14:textId="77777777" w:rsidR="003E78AB" w:rsidRDefault="00010BF9">
            <w:pPr>
              <w:pStyle w:val="aff6"/>
              <w:topLinePunct/>
            </w:pPr>
            <w:r>
              <w:t>设备腐蚀老化、检修不当、管道腐蚀等</w:t>
            </w:r>
          </w:p>
        </w:tc>
      </w:tr>
      <w:tr w:rsidR="003E78AB" w14:paraId="2F81B07E" w14:textId="77777777">
        <w:trPr>
          <w:trHeight w:val="1045"/>
        </w:trPr>
        <w:tc>
          <w:tcPr>
            <w:tcW w:w="238" w:type="pct"/>
            <w:vAlign w:val="center"/>
          </w:tcPr>
          <w:p w14:paraId="5BDFF67C" w14:textId="77777777" w:rsidR="003E78AB" w:rsidRDefault="00010BF9">
            <w:pPr>
              <w:pStyle w:val="aff6"/>
              <w:topLinePunct/>
            </w:pPr>
            <w:r>
              <w:t>2</w:t>
            </w:r>
          </w:p>
        </w:tc>
        <w:tc>
          <w:tcPr>
            <w:tcW w:w="440" w:type="pct"/>
            <w:vAlign w:val="center"/>
          </w:tcPr>
          <w:p w14:paraId="39FFD547" w14:textId="77777777" w:rsidR="003E78AB" w:rsidRDefault="00010BF9">
            <w:pPr>
              <w:pStyle w:val="aff6"/>
              <w:topLinePunct/>
            </w:pPr>
            <w:r>
              <w:t>溶解还原</w:t>
            </w:r>
          </w:p>
        </w:tc>
        <w:tc>
          <w:tcPr>
            <w:tcW w:w="466" w:type="pct"/>
            <w:vMerge w:val="restart"/>
            <w:vAlign w:val="center"/>
          </w:tcPr>
          <w:p w14:paraId="26A5E3A7" w14:textId="77777777" w:rsidR="003E78AB" w:rsidRDefault="00010BF9">
            <w:pPr>
              <w:pStyle w:val="aff6"/>
              <w:topLinePunct/>
            </w:pPr>
            <w:r>
              <w:t>生产车间</w:t>
            </w:r>
            <w:r>
              <w:rPr>
                <w:rFonts w:hint="eastAsia"/>
              </w:rPr>
              <w:t>一</w:t>
            </w:r>
          </w:p>
        </w:tc>
        <w:tc>
          <w:tcPr>
            <w:tcW w:w="615" w:type="pct"/>
            <w:vMerge w:val="restart"/>
            <w:vAlign w:val="center"/>
          </w:tcPr>
          <w:p w14:paraId="451B55DC" w14:textId="77777777" w:rsidR="003E78AB" w:rsidRDefault="00010BF9">
            <w:pPr>
              <w:pStyle w:val="aff6"/>
              <w:topLinePunct/>
            </w:pPr>
            <w:r>
              <w:rPr>
                <w:rFonts w:hint="eastAsia"/>
              </w:rPr>
              <w:t>是</w:t>
            </w:r>
          </w:p>
        </w:tc>
        <w:tc>
          <w:tcPr>
            <w:tcW w:w="657" w:type="pct"/>
            <w:vAlign w:val="center"/>
          </w:tcPr>
          <w:p w14:paraId="44B9AABE" w14:textId="77777777" w:rsidR="003E78AB" w:rsidRDefault="00010BF9">
            <w:pPr>
              <w:pStyle w:val="aff6"/>
              <w:topLinePunct/>
            </w:pPr>
            <w:r>
              <w:t>V</w:t>
            </w:r>
            <w:r>
              <w:rPr>
                <w:vertAlign w:val="subscript"/>
              </w:rPr>
              <w:t>2</w:t>
            </w:r>
            <w:r>
              <w:t>O</w:t>
            </w:r>
            <w:r>
              <w:rPr>
                <w:vertAlign w:val="subscript"/>
              </w:rPr>
              <w:t>5</w:t>
            </w:r>
            <w:r>
              <w:rPr>
                <w:rFonts w:hint="eastAsia"/>
              </w:rPr>
              <w:t>、</w:t>
            </w:r>
            <w:r>
              <w:t>98%</w:t>
            </w:r>
            <w:r>
              <w:t>硫酸</w:t>
            </w:r>
          </w:p>
        </w:tc>
        <w:tc>
          <w:tcPr>
            <w:tcW w:w="602" w:type="pct"/>
            <w:vAlign w:val="center"/>
          </w:tcPr>
          <w:p w14:paraId="21D8225A" w14:textId="77777777" w:rsidR="003E78AB" w:rsidRDefault="00010BF9">
            <w:pPr>
              <w:pStyle w:val="aff6"/>
              <w:topLinePunct/>
            </w:pPr>
            <w:r>
              <w:t>有毒有害</w:t>
            </w:r>
          </w:p>
        </w:tc>
        <w:tc>
          <w:tcPr>
            <w:tcW w:w="593" w:type="pct"/>
            <w:vAlign w:val="center"/>
          </w:tcPr>
          <w:p w14:paraId="7BAA9CAD" w14:textId="77777777" w:rsidR="003E78AB" w:rsidRDefault="00010BF9">
            <w:pPr>
              <w:pStyle w:val="aff6"/>
              <w:topLinePunct/>
            </w:pPr>
            <w:r>
              <w:rPr>
                <w:rFonts w:hint="eastAsia"/>
              </w:rPr>
              <w:t>70~80</w:t>
            </w:r>
            <w:r>
              <w:rPr>
                <w:rFonts w:hint="eastAsia"/>
              </w:rPr>
              <w:t>℃、</w:t>
            </w:r>
            <w:r>
              <w:t>常压</w:t>
            </w:r>
          </w:p>
        </w:tc>
        <w:tc>
          <w:tcPr>
            <w:tcW w:w="1386" w:type="pct"/>
            <w:vAlign w:val="center"/>
          </w:tcPr>
          <w:p w14:paraId="5B498BB6" w14:textId="77777777" w:rsidR="003E78AB" w:rsidRDefault="00010BF9">
            <w:pPr>
              <w:pStyle w:val="aff6"/>
              <w:topLinePunct/>
            </w:pPr>
            <w:r>
              <w:t>生产操作不当引起反应釜内危险物质泄漏</w:t>
            </w:r>
          </w:p>
        </w:tc>
      </w:tr>
      <w:tr w:rsidR="003E78AB" w14:paraId="496178CD" w14:textId="77777777">
        <w:trPr>
          <w:trHeight w:val="523"/>
        </w:trPr>
        <w:tc>
          <w:tcPr>
            <w:tcW w:w="238" w:type="pct"/>
            <w:vAlign w:val="center"/>
          </w:tcPr>
          <w:p w14:paraId="1D5C906A" w14:textId="77777777" w:rsidR="003E78AB" w:rsidRDefault="00010BF9">
            <w:pPr>
              <w:pStyle w:val="aff6"/>
              <w:topLinePunct/>
            </w:pPr>
            <w:r>
              <w:t>3</w:t>
            </w:r>
          </w:p>
        </w:tc>
        <w:tc>
          <w:tcPr>
            <w:tcW w:w="440" w:type="pct"/>
            <w:vAlign w:val="center"/>
          </w:tcPr>
          <w:p w14:paraId="031D06A8" w14:textId="77777777" w:rsidR="003E78AB" w:rsidRDefault="00010BF9">
            <w:pPr>
              <w:pStyle w:val="aff6"/>
              <w:topLinePunct/>
            </w:pPr>
            <w:r>
              <w:t>电解</w:t>
            </w:r>
          </w:p>
        </w:tc>
        <w:tc>
          <w:tcPr>
            <w:tcW w:w="466" w:type="pct"/>
            <w:vMerge/>
            <w:vAlign w:val="center"/>
          </w:tcPr>
          <w:p w14:paraId="0B950DD6" w14:textId="77777777" w:rsidR="003E78AB" w:rsidRDefault="003E78AB">
            <w:pPr>
              <w:pStyle w:val="aff6"/>
              <w:topLinePunct/>
            </w:pPr>
          </w:p>
        </w:tc>
        <w:tc>
          <w:tcPr>
            <w:tcW w:w="615" w:type="pct"/>
            <w:vMerge/>
            <w:vAlign w:val="center"/>
          </w:tcPr>
          <w:p w14:paraId="70408410" w14:textId="77777777" w:rsidR="003E78AB" w:rsidRDefault="003E78AB">
            <w:pPr>
              <w:pStyle w:val="aff6"/>
              <w:topLinePunct/>
            </w:pPr>
          </w:p>
        </w:tc>
        <w:tc>
          <w:tcPr>
            <w:tcW w:w="657" w:type="pct"/>
            <w:vAlign w:val="center"/>
          </w:tcPr>
          <w:p w14:paraId="761748EB" w14:textId="77777777" w:rsidR="003E78AB" w:rsidRDefault="00010BF9">
            <w:pPr>
              <w:pStyle w:val="aff6"/>
              <w:topLinePunct/>
            </w:pPr>
            <w:r>
              <w:t>钒电解液</w:t>
            </w:r>
          </w:p>
        </w:tc>
        <w:tc>
          <w:tcPr>
            <w:tcW w:w="602" w:type="pct"/>
            <w:vAlign w:val="center"/>
          </w:tcPr>
          <w:p w14:paraId="76555EAC" w14:textId="77777777" w:rsidR="003E78AB" w:rsidRDefault="00010BF9">
            <w:pPr>
              <w:pStyle w:val="aff6"/>
              <w:topLinePunct/>
            </w:pPr>
            <w:r>
              <w:t>有毒有害</w:t>
            </w:r>
          </w:p>
        </w:tc>
        <w:tc>
          <w:tcPr>
            <w:tcW w:w="593" w:type="pct"/>
            <w:vAlign w:val="center"/>
          </w:tcPr>
          <w:p w14:paraId="441DDDB3" w14:textId="77777777" w:rsidR="003E78AB" w:rsidRDefault="00010BF9">
            <w:pPr>
              <w:pStyle w:val="aff6"/>
              <w:topLinePunct/>
            </w:pPr>
            <w:r>
              <w:t>常温常压</w:t>
            </w:r>
          </w:p>
        </w:tc>
        <w:tc>
          <w:tcPr>
            <w:tcW w:w="1386" w:type="pct"/>
            <w:vAlign w:val="center"/>
          </w:tcPr>
          <w:p w14:paraId="48CF078D" w14:textId="77777777" w:rsidR="003E78AB" w:rsidRDefault="00010BF9">
            <w:pPr>
              <w:pStyle w:val="aff6"/>
              <w:topLinePunct/>
            </w:pPr>
            <w:r>
              <w:t>电解设备破裂或物料管道被撞击损坏造成物料泄漏</w:t>
            </w:r>
          </w:p>
        </w:tc>
      </w:tr>
      <w:tr w:rsidR="003E78AB" w14:paraId="0E9BE949" w14:textId="77777777">
        <w:trPr>
          <w:trHeight w:val="525"/>
        </w:trPr>
        <w:tc>
          <w:tcPr>
            <w:tcW w:w="238" w:type="pct"/>
            <w:vAlign w:val="center"/>
          </w:tcPr>
          <w:p w14:paraId="3B641C60" w14:textId="77777777" w:rsidR="003E78AB" w:rsidRDefault="00010BF9">
            <w:pPr>
              <w:pStyle w:val="aff6"/>
              <w:topLinePunct/>
            </w:pPr>
            <w:r>
              <w:t>4</w:t>
            </w:r>
          </w:p>
        </w:tc>
        <w:tc>
          <w:tcPr>
            <w:tcW w:w="440" w:type="pct"/>
            <w:vAlign w:val="center"/>
          </w:tcPr>
          <w:p w14:paraId="0AA168CB" w14:textId="77777777" w:rsidR="003E78AB" w:rsidRDefault="00010BF9">
            <w:pPr>
              <w:pStyle w:val="aff6"/>
              <w:topLinePunct/>
            </w:pPr>
            <w:r>
              <w:t>定容</w:t>
            </w:r>
          </w:p>
        </w:tc>
        <w:tc>
          <w:tcPr>
            <w:tcW w:w="466" w:type="pct"/>
            <w:vMerge/>
            <w:vAlign w:val="center"/>
          </w:tcPr>
          <w:p w14:paraId="6D3DE605" w14:textId="77777777" w:rsidR="003E78AB" w:rsidRDefault="003E78AB">
            <w:pPr>
              <w:pStyle w:val="aff6"/>
              <w:topLinePunct/>
            </w:pPr>
          </w:p>
        </w:tc>
        <w:tc>
          <w:tcPr>
            <w:tcW w:w="615" w:type="pct"/>
            <w:vMerge/>
            <w:vAlign w:val="center"/>
          </w:tcPr>
          <w:p w14:paraId="7AAE4972" w14:textId="77777777" w:rsidR="003E78AB" w:rsidRDefault="003E78AB">
            <w:pPr>
              <w:pStyle w:val="aff6"/>
              <w:topLinePunct/>
            </w:pPr>
          </w:p>
        </w:tc>
        <w:tc>
          <w:tcPr>
            <w:tcW w:w="657" w:type="pct"/>
            <w:vAlign w:val="center"/>
          </w:tcPr>
          <w:p w14:paraId="0B448F88" w14:textId="77777777" w:rsidR="003E78AB" w:rsidRDefault="00010BF9">
            <w:pPr>
              <w:pStyle w:val="aff6"/>
              <w:topLinePunct/>
            </w:pPr>
            <w:r>
              <w:t>钒电解液</w:t>
            </w:r>
          </w:p>
        </w:tc>
        <w:tc>
          <w:tcPr>
            <w:tcW w:w="602" w:type="pct"/>
            <w:vAlign w:val="center"/>
          </w:tcPr>
          <w:p w14:paraId="60430449" w14:textId="77777777" w:rsidR="003E78AB" w:rsidRDefault="00010BF9">
            <w:pPr>
              <w:pStyle w:val="aff6"/>
              <w:topLinePunct/>
            </w:pPr>
            <w:r>
              <w:rPr>
                <w:rFonts w:hint="eastAsia"/>
              </w:rPr>
              <w:t>磷酸、</w:t>
            </w:r>
            <w:r>
              <w:t>有毒有害</w:t>
            </w:r>
          </w:p>
        </w:tc>
        <w:tc>
          <w:tcPr>
            <w:tcW w:w="593" w:type="pct"/>
            <w:vAlign w:val="center"/>
          </w:tcPr>
          <w:p w14:paraId="060840FC" w14:textId="77777777" w:rsidR="003E78AB" w:rsidRDefault="00010BF9">
            <w:pPr>
              <w:pStyle w:val="aff6"/>
              <w:topLinePunct/>
            </w:pPr>
            <w:r>
              <w:t>常温常压</w:t>
            </w:r>
          </w:p>
        </w:tc>
        <w:tc>
          <w:tcPr>
            <w:tcW w:w="1386" w:type="pct"/>
            <w:vAlign w:val="center"/>
          </w:tcPr>
          <w:p w14:paraId="05B1BC92" w14:textId="77777777" w:rsidR="003E78AB" w:rsidRDefault="00010BF9">
            <w:pPr>
              <w:pStyle w:val="aff6"/>
              <w:topLinePunct/>
            </w:pPr>
            <w:r>
              <w:t>定容设备破裂或物料管道被撞击损坏造成物料泄漏</w:t>
            </w:r>
          </w:p>
        </w:tc>
      </w:tr>
      <w:tr w:rsidR="003E78AB" w14:paraId="30F618F5" w14:textId="77777777">
        <w:trPr>
          <w:trHeight w:val="525"/>
        </w:trPr>
        <w:tc>
          <w:tcPr>
            <w:tcW w:w="238" w:type="pct"/>
            <w:vAlign w:val="center"/>
          </w:tcPr>
          <w:p w14:paraId="0E514A7F" w14:textId="77777777" w:rsidR="003E78AB" w:rsidRDefault="00010BF9">
            <w:pPr>
              <w:pStyle w:val="aff6"/>
              <w:topLinePunct/>
            </w:pPr>
            <w:r>
              <w:rPr>
                <w:rFonts w:hint="eastAsia"/>
              </w:rPr>
              <w:t>5</w:t>
            </w:r>
          </w:p>
        </w:tc>
        <w:tc>
          <w:tcPr>
            <w:tcW w:w="440" w:type="pct"/>
            <w:vAlign w:val="center"/>
          </w:tcPr>
          <w:p w14:paraId="5FA3ADB8" w14:textId="77777777" w:rsidR="003E78AB" w:rsidRDefault="00010BF9">
            <w:pPr>
              <w:pStyle w:val="aff6"/>
              <w:topLinePunct/>
            </w:pPr>
            <w:r>
              <w:rPr>
                <w:rFonts w:hint="eastAsia"/>
              </w:rPr>
              <w:t>灌装</w:t>
            </w:r>
          </w:p>
        </w:tc>
        <w:tc>
          <w:tcPr>
            <w:tcW w:w="466" w:type="pct"/>
            <w:vMerge/>
            <w:vAlign w:val="center"/>
          </w:tcPr>
          <w:p w14:paraId="254C65E7" w14:textId="77777777" w:rsidR="003E78AB" w:rsidRDefault="003E78AB">
            <w:pPr>
              <w:pStyle w:val="aff6"/>
              <w:topLinePunct/>
            </w:pPr>
          </w:p>
        </w:tc>
        <w:tc>
          <w:tcPr>
            <w:tcW w:w="615" w:type="pct"/>
            <w:vMerge/>
            <w:vAlign w:val="center"/>
          </w:tcPr>
          <w:p w14:paraId="7EEE24A2" w14:textId="77777777" w:rsidR="003E78AB" w:rsidRDefault="003E78AB">
            <w:pPr>
              <w:pStyle w:val="aff6"/>
              <w:topLinePunct/>
            </w:pPr>
          </w:p>
        </w:tc>
        <w:tc>
          <w:tcPr>
            <w:tcW w:w="657" w:type="pct"/>
            <w:vAlign w:val="center"/>
          </w:tcPr>
          <w:p w14:paraId="11005344" w14:textId="77777777" w:rsidR="003E78AB" w:rsidRDefault="00010BF9">
            <w:pPr>
              <w:pStyle w:val="aff6"/>
              <w:topLinePunct/>
            </w:pPr>
            <w:r>
              <w:t>钒电解液</w:t>
            </w:r>
          </w:p>
        </w:tc>
        <w:tc>
          <w:tcPr>
            <w:tcW w:w="602" w:type="pct"/>
            <w:vAlign w:val="center"/>
          </w:tcPr>
          <w:p w14:paraId="54870748" w14:textId="77777777" w:rsidR="003E78AB" w:rsidRDefault="00010BF9">
            <w:pPr>
              <w:pStyle w:val="aff6"/>
              <w:topLinePunct/>
            </w:pPr>
            <w:r>
              <w:t>有毒有害</w:t>
            </w:r>
          </w:p>
        </w:tc>
        <w:tc>
          <w:tcPr>
            <w:tcW w:w="593" w:type="pct"/>
            <w:vAlign w:val="center"/>
          </w:tcPr>
          <w:p w14:paraId="5B2F3C1B" w14:textId="77777777" w:rsidR="003E78AB" w:rsidRDefault="00010BF9">
            <w:pPr>
              <w:pStyle w:val="aff6"/>
              <w:topLinePunct/>
            </w:pPr>
            <w:r>
              <w:t>常温常压</w:t>
            </w:r>
          </w:p>
        </w:tc>
        <w:tc>
          <w:tcPr>
            <w:tcW w:w="1386" w:type="pct"/>
            <w:vAlign w:val="center"/>
          </w:tcPr>
          <w:p w14:paraId="3E21C7AD" w14:textId="77777777" w:rsidR="003E78AB" w:rsidRDefault="00010BF9">
            <w:pPr>
              <w:pStyle w:val="aff6"/>
              <w:topLinePunct/>
            </w:pPr>
            <w:r>
              <w:rPr>
                <w:rFonts w:hint="eastAsia"/>
              </w:rPr>
              <w:t>贮存、灌装</w:t>
            </w:r>
            <w:r>
              <w:t>破裂或物料管道被撞击损坏造成物料泄漏</w:t>
            </w:r>
          </w:p>
        </w:tc>
      </w:tr>
      <w:tr w:rsidR="003E78AB" w14:paraId="73CA51E8" w14:textId="77777777">
        <w:trPr>
          <w:trHeight w:val="525"/>
        </w:trPr>
        <w:tc>
          <w:tcPr>
            <w:tcW w:w="238" w:type="pct"/>
            <w:vAlign w:val="center"/>
          </w:tcPr>
          <w:p w14:paraId="6C283210" w14:textId="77777777" w:rsidR="003E78AB" w:rsidRDefault="00010BF9">
            <w:pPr>
              <w:pStyle w:val="aff6"/>
              <w:topLinePunct/>
            </w:pPr>
            <w:r>
              <w:rPr>
                <w:rFonts w:hint="eastAsia"/>
              </w:rPr>
              <w:t>6</w:t>
            </w:r>
          </w:p>
        </w:tc>
        <w:tc>
          <w:tcPr>
            <w:tcW w:w="440" w:type="pct"/>
            <w:vAlign w:val="center"/>
          </w:tcPr>
          <w:p w14:paraId="5D157F74" w14:textId="77777777" w:rsidR="003E78AB" w:rsidRDefault="00010BF9">
            <w:pPr>
              <w:pStyle w:val="aff6"/>
              <w:topLinePunct/>
            </w:pPr>
            <w:r>
              <w:rPr>
                <w:rFonts w:hint="eastAsia"/>
              </w:rPr>
              <w:t>废气处理</w:t>
            </w:r>
          </w:p>
        </w:tc>
        <w:tc>
          <w:tcPr>
            <w:tcW w:w="466" w:type="pct"/>
            <w:vMerge/>
            <w:vAlign w:val="center"/>
          </w:tcPr>
          <w:p w14:paraId="1CC777DC" w14:textId="77777777" w:rsidR="003E78AB" w:rsidRDefault="003E78AB">
            <w:pPr>
              <w:pStyle w:val="aff6"/>
              <w:topLinePunct/>
            </w:pPr>
          </w:p>
        </w:tc>
        <w:tc>
          <w:tcPr>
            <w:tcW w:w="615" w:type="pct"/>
            <w:vMerge/>
            <w:vAlign w:val="center"/>
          </w:tcPr>
          <w:p w14:paraId="2B4DE9EC" w14:textId="77777777" w:rsidR="003E78AB" w:rsidRDefault="003E78AB">
            <w:pPr>
              <w:pStyle w:val="aff6"/>
              <w:topLinePunct/>
            </w:pPr>
          </w:p>
        </w:tc>
        <w:tc>
          <w:tcPr>
            <w:tcW w:w="657" w:type="pct"/>
            <w:vAlign w:val="center"/>
          </w:tcPr>
          <w:p w14:paraId="6713C2A5" w14:textId="77777777" w:rsidR="003E78AB" w:rsidRDefault="00010BF9">
            <w:pPr>
              <w:pStyle w:val="aff6"/>
              <w:topLinePunct/>
              <w:rPr>
                <w:b/>
                <w:bCs/>
                <w:u w:val="single"/>
              </w:rPr>
            </w:pPr>
            <w:r>
              <w:rPr>
                <w:rFonts w:hint="eastAsia"/>
                <w:b/>
                <w:bCs/>
                <w:u w:val="single"/>
              </w:rPr>
              <w:t>氢氧化钠</w:t>
            </w:r>
          </w:p>
        </w:tc>
        <w:tc>
          <w:tcPr>
            <w:tcW w:w="602" w:type="pct"/>
            <w:vAlign w:val="center"/>
          </w:tcPr>
          <w:p w14:paraId="7C1F31D1" w14:textId="77777777" w:rsidR="003E78AB" w:rsidRDefault="00010BF9">
            <w:pPr>
              <w:pStyle w:val="aff6"/>
              <w:topLinePunct/>
              <w:rPr>
                <w:b/>
                <w:bCs/>
                <w:u w:val="single"/>
              </w:rPr>
            </w:pPr>
            <w:r>
              <w:rPr>
                <w:b/>
                <w:bCs/>
                <w:u w:val="single"/>
              </w:rPr>
              <w:t>有毒有害</w:t>
            </w:r>
          </w:p>
        </w:tc>
        <w:tc>
          <w:tcPr>
            <w:tcW w:w="593" w:type="pct"/>
            <w:vAlign w:val="center"/>
          </w:tcPr>
          <w:p w14:paraId="53C7251F" w14:textId="77777777" w:rsidR="003E78AB" w:rsidRDefault="00010BF9">
            <w:pPr>
              <w:pStyle w:val="aff6"/>
              <w:topLinePunct/>
              <w:rPr>
                <w:b/>
                <w:bCs/>
                <w:u w:val="single"/>
              </w:rPr>
            </w:pPr>
            <w:r>
              <w:rPr>
                <w:b/>
                <w:bCs/>
                <w:u w:val="single"/>
              </w:rPr>
              <w:t>常温常压</w:t>
            </w:r>
          </w:p>
        </w:tc>
        <w:tc>
          <w:tcPr>
            <w:tcW w:w="1386" w:type="pct"/>
            <w:shd w:val="clear" w:color="auto" w:fill="auto"/>
            <w:vAlign w:val="center"/>
          </w:tcPr>
          <w:p w14:paraId="19E7FC64" w14:textId="77777777" w:rsidR="003E78AB" w:rsidRDefault="00010BF9">
            <w:pPr>
              <w:pStyle w:val="aff6"/>
              <w:topLinePunct/>
              <w:rPr>
                <w:b/>
                <w:bCs/>
                <w:u w:val="single"/>
              </w:rPr>
            </w:pPr>
            <w:r>
              <w:rPr>
                <w:b/>
                <w:bCs/>
                <w:u w:val="single"/>
              </w:rPr>
              <w:t>包装袋破裂或物料被淹没浸泡产生</w:t>
            </w:r>
            <w:r>
              <w:rPr>
                <w:rFonts w:hint="eastAsia"/>
                <w:b/>
                <w:bCs/>
                <w:u w:val="single"/>
              </w:rPr>
              <w:t>碱性</w:t>
            </w:r>
            <w:r>
              <w:rPr>
                <w:b/>
                <w:bCs/>
                <w:u w:val="single"/>
              </w:rPr>
              <w:t>液体，同时地面防渗层破裂</w:t>
            </w:r>
          </w:p>
        </w:tc>
      </w:tr>
      <w:tr w:rsidR="003E78AB" w14:paraId="2D729F5D" w14:textId="77777777">
        <w:trPr>
          <w:trHeight w:val="784"/>
        </w:trPr>
        <w:tc>
          <w:tcPr>
            <w:tcW w:w="238" w:type="pct"/>
            <w:vMerge w:val="restart"/>
            <w:vAlign w:val="center"/>
          </w:tcPr>
          <w:p w14:paraId="33B5195C" w14:textId="77777777" w:rsidR="003E78AB" w:rsidRDefault="00010BF9">
            <w:pPr>
              <w:pStyle w:val="aff6"/>
              <w:topLinePunct/>
            </w:pPr>
            <w:r>
              <w:rPr>
                <w:rFonts w:hint="eastAsia"/>
              </w:rPr>
              <w:t>7</w:t>
            </w:r>
          </w:p>
        </w:tc>
        <w:tc>
          <w:tcPr>
            <w:tcW w:w="906" w:type="pct"/>
            <w:gridSpan w:val="2"/>
            <w:vMerge w:val="restart"/>
            <w:vAlign w:val="center"/>
          </w:tcPr>
          <w:p w14:paraId="459A9D70" w14:textId="77777777" w:rsidR="003E78AB" w:rsidRDefault="00010BF9">
            <w:pPr>
              <w:pStyle w:val="aff6"/>
              <w:topLinePunct/>
            </w:pPr>
            <w:r>
              <w:rPr>
                <w:rFonts w:hint="eastAsia"/>
              </w:rPr>
              <w:t>危险废物暂存间</w:t>
            </w:r>
          </w:p>
        </w:tc>
        <w:tc>
          <w:tcPr>
            <w:tcW w:w="615" w:type="pct"/>
            <w:vMerge w:val="restart"/>
            <w:vAlign w:val="center"/>
          </w:tcPr>
          <w:p w14:paraId="5796A24F" w14:textId="77777777" w:rsidR="003E78AB" w:rsidRDefault="00010BF9">
            <w:pPr>
              <w:pStyle w:val="aff6"/>
              <w:topLinePunct/>
            </w:pPr>
            <w:r>
              <w:rPr>
                <w:rFonts w:hint="eastAsia"/>
              </w:rPr>
              <w:t>是</w:t>
            </w:r>
          </w:p>
        </w:tc>
        <w:tc>
          <w:tcPr>
            <w:tcW w:w="657" w:type="pct"/>
            <w:vAlign w:val="center"/>
          </w:tcPr>
          <w:p w14:paraId="48DD9B9F" w14:textId="77777777" w:rsidR="003E78AB" w:rsidRDefault="00010BF9">
            <w:pPr>
              <w:pStyle w:val="aff6"/>
              <w:topLinePunct/>
            </w:pPr>
            <w:r>
              <w:t>油类物质</w:t>
            </w:r>
            <w:r>
              <w:rPr>
                <w:rFonts w:hint="eastAsia"/>
              </w:rPr>
              <w:t>（</w:t>
            </w:r>
            <w:r>
              <w:t>废</w:t>
            </w:r>
            <w:r>
              <w:rPr>
                <w:rFonts w:hint="eastAsia"/>
              </w:rPr>
              <w:t>润滑</w:t>
            </w:r>
            <w:r>
              <w:t>油</w:t>
            </w:r>
            <w:r>
              <w:rPr>
                <w:rFonts w:hint="eastAsia"/>
              </w:rPr>
              <w:t>）</w:t>
            </w:r>
          </w:p>
        </w:tc>
        <w:tc>
          <w:tcPr>
            <w:tcW w:w="602" w:type="pct"/>
            <w:vAlign w:val="center"/>
          </w:tcPr>
          <w:p w14:paraId="78A80451" w14:textId="77777777" w:rsidR="003E78AB" w:rsidRDefault="00010BF9">
            <w:pPr>
              <w:pStyle w:val="aff6"/>
              <w:topLinePunct/>
            </w:pPr>
            <w:r>
              <w:t>易燃易爆</w:t>
            </w:r>
          </w:p>
        </w:tc>
        <w:tc>
          <w:tcPr>
            <w:tcW w:w="593" w:type="pct"/>
            <w:vAlign w:val="center"/>
          </w:tcPr>
          <w:p w14:paraId="60BA844C" w14:textId="77777777" w:rsidR="003E78AB" w:rsidRDefault="00010BF9">
            <w:pPr>
              <w:pStyle w:val="aff6"/>
              <w:topLinePunct/>
            </w:pPr>
            <w:r>
              <w:t>常温常压</w:t>
            </w:r>
          </w:p>
        </w:tc>
        <w:tc>
          <w:tcPr>
            <w:tcW w:w="1386" w:type="pct"/>
            <w:vAlign w:val="center"/>
          </w:tcPr>
          <w:p w14:paraId="6E722E99" w14:textId="77777777" w:rsidR="003E78AB" w:rsidRDefault="00010BF9">
            <w:pPr>
              <w:pStyle w:val="aff6"/>
              <w:topLinePunct/>
            </w:pPr>
            <w:r>
              <w:t>容器破损、防渗层破损造成泄漏；火灾事故，引发次生污染物排放</w:t>
            </w:r>
          </w:p>
        </w:tc>
      </w:tr>
      <w:tr w:rsidR="003E78AB" w14:paraId="67CD67C3" w14:textId="77777777">
        <w:trPr>
          <w:trHeight w:val="1060"/>
        </w:trPr>
        <w:tc>
          <w:tcPr>
            <w:tcW w:w="238" w:type="pct"/>
            <w:vMerge/>
            <w:vAlign w:val="center"/>
          </w:tcPr>
          <w:p w14:paraId="21588F53" w14:textId="77777777" w:rsidR="003E78AB" w:rsidRDefault="003E78AB">
            <w:pPr>
              <w:pStyle w:val="aff6"/>
              <w:topLinePunct/>
            </w:pPr>
          </w:p>
        </w:tc>
        <w:tc>
          <w:tcPr>
            <w:tcW w:w="906" w:type="pct"/>
            <w:gridSpan w:val="2"/>
            <w:vMerge/>
            <w:vAlign w:val="center"/>
          </w:tcPr>
          <w:p w14:paraId="5D7F2324" w14:textId="77777777" w:rsidR="003E78AB" w:rsidRDefault="003E78AB">
            <w:pPr>
              <w:pStyle w:val="aff6"/>
              <w:topLinePunct/>
            </w:pPr>
          </w:p>
        </w:tc>
        <w:tc>
          <w:tcPr>
            <w:tcW w:w="615" w:type="pct"/>
            <w:vMerge/>
            <w:vAlign w:val="center"/>
          </w:tcPr>
          <w:p w14:paraId="7173FA8F" w14:textId="77777777" w:rsidR="003E78AB" w:rsidRDefault="003E78AB">
            <w:pPr>
              <w:pStyle w:val="aff6"/>
              <w:topLinePunct/>
            </w:pPr>
          </w:p>
        </w:tc>
        <w:tc>
          <w:tcPr>
            <w:tcW w:w="657" w:type="pct"/>
            <w:vAlign w:val="center"/>
          </w:tcPr>
          <w:p w14:paraId="09604207" w14:textId="77777777" w:rsidR="003E78AB" w:rsidRDefault="00010BF9">
            <w:pPr>
              <w:pStyle w:val="aff6"/>
              <w:topLinePunct/>
            </w:pPr>
            <w:r>
              <w:t>含钒</w:t>
            </w:r>
            <w:r>
              <w:rPr>
                <w:rFonts w:hint="eastAsia"/>
              </w:rPr>
              <w:t>结晶盐</w:t>
            </w:r>
          </w:p>
        </w:tc>
        <w:tc>
          <w:tcPr>
            <w:tcW w:w="602" w:type="pct"/>
            <w:vAlign w:val="center"/>
          </w:tcPr>
          <w:p w14:paraId="4CD1C69B" w14:textId="77777777" w:rsidR="003E78AB" w:rsidRDefault="00010BF9">
            <w:pPr>
              <w:pStyle w:val="aff6"/>
              <w:topLinePunct/>
            </w:pPr>
            <w:r>
              <w:t>有毒有害</w:t>
            </w:r>
          </w:p>
        </w:tc>
        <w:tc>
          <w:tcPr>
            <w:tcW w:w="593" w:type="pct"/>
            <w:vAlign w:val="center"/>
          </w:tcPr>
          <w:p w14:paraId="26BD0DC3" w14:textId="77777777" w:rsidR="003E78AB" w:rsidRDefault="00010BF9">
            <w:pPr>
              <w:pStyle w:val="aff6"/>
              <w:topLinePunct/>
            </w:pPr>
            <w:r>
              <w:t>常温常压</w:t>
            </w:r>
          </w:p>
        </w:tc>
        <w:tc>
          <w:tcPr>
            <w:tcW w:w="1386" w:type="pct"/>
            <w:vAlign w:val="center"/>
          </w:tcPr>
          <w:p w14:paraId="3DC5C96E" w14:textId="77777777" w:rsidR="003E78AB" w:rsidRDefault="00010BF9">
            <w:pPr>
              <w:pStyle w:val="aff6"/>
              <w:topLinePunct/>
            </w:pPr>
            <w:r>
              <w:rPr>
                <w:rFonts w:hint="eastAsia"/>
              </w:rPr>
              <w:t>包装</w:t>
            </w:r>
            <w:r>
              <w:t>破裂等造成含有危险物质的废气泄漏</w:t>
            </w:r>
            <w:r>
              <w:rPr>
                <w:rFonts w:hint="eastAsia"/>
              </w:rPr>
              <w:t>（</w:t>
            </w:r>
            <w:r>
              <w:t>直接排放</w:t>
            </w:r>
            <w:r>
              <w:rPr>
                <w:rFonts w:hint="eastAsia"/>
              </w:rPr>
              <w:t>）</w:t>
            </w:r>
          </w:p>
        </w:tc>
      </w:tr>
    </w:tbl>
    <w:p w14:paraId="4E1285C5" w14:textId="77777777" w:rsidR="003E78AB" w:rsidRDefault="00010BF9">
      <w:pPr>
        <w:ind w:firstLine="480"/>
        <w:rPr>
          <w:kern w:val="2"/>
        </w:rPr>
      </w:pPr>
      <w:r>
        <w:rPr>
          <w:kern w:val="2"/>
        </w:rPr>
        <w:t>项目原料</w:t>
      </w:r>
      <w:r>
        <w:rPr>
          <w:rFonts w:hint="eastAsia"/>
          <w:kern w:val="2"/>
        </w:rPr>
        <w:t>丙类仓库</w:t>
      </w:r>
      <w:r>
        <w:rPr>
          <w:kern w:val="2"/>
        </w:rPr>
        <w:t>内的危险物质为</w:t>
      </w:r>
      <w:r>
        <w:rPr>
          <w:kern w:val="2"/>
        </w:rPr>
        <w:t>V</w:t>
      </w:r>
      <w:r>
        <w:rPr>
          <w:kern w:val="2"/>
          <w:vertAlign w:val="subscript"/>
        </w:rPr>
        <w:t>2</w:t>
      </w:r>
      <w:r>
        <w:rPr>
          <w:kern w:val="2"/>
        </w:rPr>
        <w:t>O</w:t>
      </w:r>
      <w:r>
        <w:rPr>
          <w:kern w:val="2"/>
          <w:vertAlign w:val="subscript"/>
        </w:rPr>
        <w:t>5</w:t>
      </w:r>
      <w:r>
        <w:rPr>
          <w:rFonts w:hint="eastAsia"/>
          <w:kern w:val="2"/>
        </w:rPr>
        <w:t>和二水草酸等</w:t>
      </w:r>
      <w:r>
        <w:rPr>
          <w:kern w:val="2"/>
        </w:rPr>
        <w:t>，袋装粉状物料，当袋子破损或撕裂时会造成风险物质的泄漏，但泄漏量一般较小，同时</w:t>
      </w:r>
      <w:r>
        <w:rPr>
          <w:kern w:val="2"/>
        </w:rPr>
        <w:t>V</w:t>
      </w:r>
      <w:r>
        <w:rPr>
          <w:kern w:val="2"/>
          <w:vertAlign w:val="subscript"/>
        </w:rPr>
        <w:t>2</w:t>
      </w:r>
      <w:r>
        <w:rPr>
          <w:kern w:val="2"/>
        </w:rPr>
        <w:t>O</w:t>
      </w:r>
      <w:r>
        <w:rPr>
          <w:kern w:val="2"/>
          <w:vertAlign w:val="subscript"/>
        </w:rPr>
        <w:t>5</w:t>
      </w:r>
      <w:r>
        <w:rPr>
          <w:rFonts w:hint="eastAsia"/>
          <w:kern w:val="2"/>
        </w:rPr>
        <w:t>和二水草酸等</w:t>
      </w:r>
      <w:r>
        <w:rPr>
          <w:kern w:val="2"/>
        </w:rPr>
        <w:t>原料</w:t>
      </w:r>
      <w:r>
        <w:rPr>
          <w:rFonts w:hint="eastAsia"/>
          <w:kern w:val="2"/>
        </w:rPr>
        <w:t>分别</w:t>
      </w:r>
      <w:r>
        <w:rPr>
          <w:kern w:val="2"/>
        </w:rPr>
        <w:t>位于封闭原料库，可及时收集回用，对环境空气影响较小。项目生产均在封闭车间内进行，除投料环节存在粉状</w:t>
      </w:r>
      <w:r>
        <w:rPr>
          <w:kern w:val="2"/>
        </w:rPr>
        <w:t>V</w:t>
      </w:r>
      <w:r>
        <w:rPr>
          <w:kern w:val="2"/>
          <w:vertAlign w:val="subscript"/>
        </w:rPr>
        <w:t>2</w:t>
      </w:r>
      <w:r>
        <w:rPr>
          <w:kern w:val="2"/>
        </w:rPr>
        <w:t>O</w:t>
      </w:r>
      <w:r>
        <w:rPr>
          <w:kern w:val="2"/>
          <w:vertAlign w:val="subscript"/>
        </w:rPr>
        <w:t>5</w:t>
      </w:r>
      <w:r>
        <w:rPr>
          <w:rFonts w:hint="eastAsia"/>
          <w:kern w:val="2"/>
        </w:rPr>
        <w:t>和草酸等</w:t>
      </w:r>
      <w:r>
        <w:rPr>
          <w:kern w:val="2"/>
        </w:rPr>
        <w:t>，其他环节钒</w:t>
      </w:r>
      <w:r>
        <w:rPr>
          <w:rFonts w:hint="eastAsia"/>
          <w:kern w:val="2"/>
        </w:rPr>
        <w:t>等</w:t>
      </w:r>
      <w:r>
        <w:rPr>
          <w:kern w:val="2"/>
        </w:rPr>
        <w:t>均以溶液状态存在生产装置，对周围环境空气影响较小，主要是装置或管道破裂会对土壤、地表水、地下水造成一定影响。</w:t>
      </w:r>
    </w:p>
    <w:p w14:paraId="37A2BFEB" w14:textId="77777777" w:rsidR="003E78AB" w:rsidRDefault="00010BF9">
      <w:pPr>
        <w:ind w:firstLine="480"/>
        <w:rPr>
          <w:kern w:val="2"/>
        </w:rPr>
      </w:pPr>
      <w:r>
        <w:rPr>
          <w:kern w:val="2"/>
        </w:rPr>
        <w:t>根据上述分析并结合项目全过程生产及储运分析和物料毒性分析，含钒废气事故排放及硫酸储罐物料泄漏为本工程重大环境污染事故隐患，事故主要原因是管线破裂、储罐壳件出口部位断裂、阀门破损，因此，本次评价确定以废气除尘管线破裂及硫酸储罐</w:t>
      </w:r>
      <w:r>
        <w:rPr>
          <w:rFonts w:hint="eastAsia"/>
          <w:kern w:val="2"/>
        </w:rPr>
        <w:t>泄漏</w:t>
      </w:r>
      <w:r>
        <w:rPr>
          <w:kern w:val="2"/>
        </w:rPr>
        <w:t>作为大气风险最大可信事故，地表水重点风险源拟设定为罐区储罐破裂造成物料泄漏、地下水重点风险源为</w:t>
      </w:r>
      <w:r>
        <w:rPr>
          <w:rFonts w:hint="eastAsia"/>
          <w:kern w:val="2"/>
        </w:rPr>
        <w:t>工艺废气淋洗设施的淋洗液</w:t>
      </w:r>
      <w:r>
        <w:rPr>
          <w:rFonts w:hint="eastAsia"/>
          <w:kern w:val="2"/>
        </w:rPr>
        <w:t>/</w:t>
      </w:r>
      <w:r>
        <w:rPr>
          <w:rFonts w:hint="eastAsia"/>
          <w:kern w:val="2"/>
        </w:rPr>
        <w:t>水循环水箱</w:t>
      </w:r>
      <w:r>
        <w:rPr>
          <w:kern w:val="2"/>
        </w:rPr>
        <w:t>裂缝</w:t>
      </w:r>
      <w:r>
        <w:rPr>
          <w:rFonts w:hint="eastAsia"/>
          <w:kern w:val="2"/>
        </w:rPr>
        <w:t>泄漏</w:t>
      </w:r>
      <w:r>
        <w:rPr>
          <w:kern w:val="2"/>
        </w:rPr>
        <w:t>。</w:t>
      </w:r>
    </w:p>
    <w:p w14:paraId="79A95CA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6.3.3</w:t>
      </w:r>
      <w:r>
        <w:rPr>
          <w:rFonts w:ascii="Times New Roman" w:hAnsi="Times New Roman"/>
        </w:rPr>
        <w:t>.3</w:t>
      </w:r>
      <w:r>
        <w:rPr>
          <w:rFonts w:ascii="Times New Roman" w:hAnsi="Times New Roman"/>
        </w:rPr>
        <w:t>环境风险类型及危害</w:t>
      </w:r>
      <w:r>
        <w:rPr>
          <w:rFonts w:ascii="Times New Roman" w:hAnsi="Times New Roman"/>
        </w:rPr>
        <w:t>性分析</w:t>
      </w:r>
    </w:p>
    <w:p w14:paraId="715575E5" w14:textId="77777777" w:rsidR="003E78AB" w:rsidRDefault="00010BF9">
      <w:pPr>
        <w:ind w:firstLine="480"/>
        <w:rPr>
          <w:kern w:val="2"/>
        </w:rPr>
      </w:pPr>
      <w:r>
        <w:rPr>
          <w:kern w:val="2"/>
        </w:rPr>
        <w:t>（</w:t>
      </w:r>
      <w:r>
        <w:rPr>
          <w:kern w:val="2"/>
        </w:rPr>
        <w:t>1</w:t>
      </w:r>
      <w:r>
        <w:rPr>
          <w:kern w:val="2"/>
        </w:rPr>
        <w:t>）主要生产装置及工艺特点</w:t>
      </w:r>
    </w:p>
    <w:p w14:paraId="7698C79A" w14:textId="77777777" w:rsidR="003E78AB" w:rsidRDefault="00010BF9">
      <w:pPr>
        <w:ind w:firstLine="480"/>
        <w:rPr>
          <w:kern w:val="2"/>
        </w:rPr>
      </w:pPr>
      <w:r>
        <w:rPr>
          <w:kern w:val="2"/>
        </w:rPr>
        <w:t>对照</w:t>
      </w:r>
      <w:r>
        <w:rPr>
          <w:kern w:val="2"/>
        </w:rPr>
        <w:t>“</w:t>
      </w:r>
      <w:r>
        <w:rPr>
          <w:kern w:val="2"/>
        </w:rPr>
        <w:t>安监总管三</w:t>
      </w:r>
      <w:r>
        <w:t>〔</w:t>
      </w:r>
      <w:r>
        <w:t>20</w:t>
      </w:r>
      <w:r>
        <w:rPr>
          <w:rFonts w:hint="eastAsia"/>
        </w:rPr>
        <w:t>09</w:t>
      </w:r>
      <w:r>
        <w:t>〕</w:t>
      </w:r>
      <w:r>
        <w:rPr>
          <w:kern w:val="2"/>
        </w:rPr>
        <w:t>116</w:t>
      </w:r>
      <w:r>
        <w:rPr>
          <w:kern w:val="2"/>
        </w:rPr>
        <w:t>号</w:t>
      </w:r>
      <w:r>
        <w:rPr>
          <w:kern w:val="2"/>
        </w:rPr>
        <w:t>”</w:t>
      </w:r>
      <w:r>
        <w:rPr>
          <w:kern w:val="2"/>
        </w:rPr>
        <w:t>《关于公布首批重点监管的危险化工工艺目录的通知》及</w:t>
      </w:r>
      <w:r>
        <w:rPr>
          <w:kern w:val="2"/>
        </w:rPr>
        <w:t>“</w:t>
      </w:r>
      <w:r>
        <w:rPr>
          <w:kern w:val="2"/>
        </w:rPr>
        <w:t>安监总管三</w:t>
      </w:r>
      <w:r>
        <w:t>〔</w:t>
      </w:r>
      <w:r>
        <w:t>20</w:t>
      </w:r>
      <w:r>
        <w:rPr>
          <w:rFonts w:hint="eastAsia"/>
        </w:rPr>
        <w:t>13</w:t>
      </w:r>
      <w:r>
        <w:t>〕</w:t>
      </w:r>
      <w:r>
        <w:rPr>
          <w:kern w:val="2"/>
        </w:rPr>
        <w:t>3</w:t>
      </w:r>
      <w:r>
        <w:rPr>
          <w:kern w:val="2"/>
        </w:rPr>
        <w:t>号</w:t>
      </w:r>
      <w:r>
        <w:rPr>
          <w:kern w:val="2"/>
        </w:rPr>
        <w:t>”</w:t>
      </w:r>
      <w:r>
        <w:rPr>
          <w:kern w:val="2"/>
        </w:rPr>
        <w:t>《关于公布第二批重点监管危险化工工艺目录和调整首批重点监管危险化工工艺中部分典型工艺的通知》中危险工艺工序目录，本项目生产过程中无重点监管危险工艺，生产装置及工艺特点不存在较高的危险性。</w:t>
      </w:r>
    </w:p>
    <w:p w14:paraId="5E2E510F" w14:textId="77777777" w:rsidR="003E78AB" w:rsidRDefault="00010BF9">
      <w:pPr>
        <w:ind w:firstLine="480"/>
        <w:rPr>
          <w:kern w:val="2"/>
        </w:rPr>
      </w:pPr>
      <w:r>
        <w:rPr>
          <w:kern w:val="2"/>
        </w:rPr>
        <w:t>（</w:t>
      </w:r>
      <w:r>
        <w:rPr>
          <w:kern w:val="2"/>
        </w:rPr>
        <w:t>2</w:t>
      </w:r>
      <w:r>
        <w:rPr>
          <w:kern w:val="2"/>
        </w:rPr>
        <w:t>）储运设施危险性识别</w:t>
      </w:r>
    </w:p>
    <w:p w14:paraId="31E89EDE" w14:textId="77777777" w:rsidR="003E78AB" w:rsidRDefault="00010BF9">
      <w:pPr>
        <w:ind w:firstLine="480"/>
        <w:rPr>
          <w:kern w:val="2"/>
        </w:rPr>
      </w:pPr>
      <w:r>
        <w:rPr>
          <w:kern w:val="2"/>
        </w:rPr>
        <w:t>①</w:t>
      </w:r>
      <w:r>
        <w:rPr>
          <w:kern w:val="2"/>
        </w:rPr>
        <w:t>运输风险本项目所有危险化学品运输均采用汽车陆路运输，运输工作委托有运输资质的专业单位承运，运输过程的环境风险及防范措施由承运单位进行识别及实</w:t>
      </w:r>
      <w:r>
        <w:rPr>
          <w:kern w:val="2"/>
        </w:rPr>
        <w:t>施预防措施，不在本次评价范围内。</w:t>
      </w:r>
    </w:p>
    <w:p w14:paraId="44236C23" w14:textId="77777777" w:rsidR="003E78AB" w:rsidRDefault="00010BF9">
      <w:pPr>
        <w:ind w:firstLine="480"/>
        <w:rPr>
          <w:kern w:val="2"/>
        </w:rPr>
      </w:pPr>
      <w:r>
        <w:rPr>
          <w:kern w:val="2"/>
        </w:rPr>
        <w:t>②</w:t>
      </w:r>
      <w:r>
        <w:rPr>
          <w:kern w:val="2"/>
        </w:rPr>
        <w:t>装卸系统风险本项目靠近</w:t>
      </w:r>
      <w:r>
        <w:rPr>
          <w:rFonts w:hint="eastAsia"/>
          <w:kern w:val="2"/>
        </w:rPr>
        <w:t>液体库</w:t>
      </w:r>
      <w:r>
        <w:rPr>
          <w:kern w:val="2"/>
        </w:rPr>
        <w:t>处设置装卸区，用于原料的卸车装卸作业。由于液体化学品具有易燃易爆性以及易产生静电的特性，在装卸作业过程中由静电引发的火灾爆炸事故时有发生，在装卸过程中，若易燃液体流速过快能产生静电并积聚，若车辆和管道无静电接地设施或接地电阻过大也会导致静电放电而发生火灾、爆炸。</w:t>
      </w:r>
    </w:p>
    <w:p w14:paraId="1DF84B1E" w14:textId="77777777" w:rsidR="003E78AB" w:rsidRDefault="00010BF9">
      <w:pPr>
        <w:ind w:firstLine="480"/>
        <w:rPr>
          <w:kern w:val="2"/>
        </w:rPr>
      </w:pPr>
      <w:r>
        <w:rPr>
          <w:kern w:val="2"/>
        </w:rPr>
        <w:t>③</w:t>
      </w:r>
      <w:r>
        <w:rPr>
          <w:kern w:val="2"/>
        </w:rPr>
        <w:t>管道系统风险本项目液体物料及压力气体物料均采用管道输送，一旦管道发生泄漏或者管道连接不严，将导致有毒有害物质大量挥发，造成中毒事故；或大量易燃物料扩散，其蒸气与空气形成爆炸性混合物，</w:t>
      </w:r>
      <w:r>
        <w:rPr>
          <w:kern w:val="2"/>
        </w:rPr>
        <w:t>遇明火、高热能引发燃烧爆炸事故。</w:t>
      </w:r>
    </w:p>
    <w:p w14:paraId="59666D8D" w14:textId="77777777" w:rsidR="003E78AB" w:rsidRDefault="00010BF9">
      <w:pPr>
        <w:ind w:firstLine="480"/>
        <w:rPr>
          <w:kern w:val="2"/>
        </w:rPr>
      </w:pPr>
      <w:r>
        <w:rPr>
          <w:kern w:val="2"/>
        </w:rPr>
        <w:t>④</w:t>
      </w:r>
      <w:r>
        <w:rPr>
          <w:rFonts w:hint="eastAsia"/>
          <w:kern w:val="2"/>
        </w:rPr>
        <w:t>液体库</w:t>
      </w:r>
      <w:r>
        <w:rPr>
          <w:kern w:val="2"/>
        </w:rPr>
        <w:t>风险识别包括</w:t>
      </w:r>
      <w:r>
        <w:rPr>
          <w:rFonts w:hint="eastAsia"/>
          <w:kern w:val="2"/>
        </w:rPr>
        <w:t>磷酸储罐、硫酸储罐</w:t>
      </w:r>
      <w:r>
        <w:rPr>
          <w:kern w:val="2"/>
        </w:rPr>
        <w:t>等；</w:t>
      </w:r>
      <w:r>
        <w:rPr>
          <w:rFonts w:hint="eastAsia"/>
          <w:kern w:val="2"/>
        </w:rPr>
        <w:t>液体库</w:t>
      </w:r>
      <w:r>
        <w:rPr>
          <w:kern w:val="2"/>
        </w:rPr>
        <w:t>涉及危险化学品种类较多，且多为易燃或可燃物质，</w:t>
      </w:r>
      <w:r>
        <w:rPr>
          <w:rFonts w:hint="eastAsia"/>
          <w:kern w:val="2"/>
        </w:rPr>
        <w:t>液体库</w:t>
      </w:r>
      <w:r>
        <w:rPr>
          <w:kern w:val="2"/>
        </w:rPr>
        <w:t>原料在储存输送过程中可能存在的事故是火灾、爆炸及泄漏事故。</w:t>
      </w:r>
    </w:p>
    <w:p w14:paraId="4985A824" w14:textId="77777777" w:rsidR="003E78AB" w:rsidRDefault="00010BF9">
      <w:pPr>
        <w:ind w:firstLine="480"/>
        <w:rPr>
          <w:kern w:val="2"/>
        </w:rPr>
      </w:pPr>
      <w:r>
        <w:rPr>
          <w:rFonts w:hint="eastAsia"/>
          <w:kern w:val="2"/>
        </w:rPr>
        <w:t>液体库</w:t>
      </w:r>
      <w:r>
        <w:rPr>
          <w:kern w:val="2"/>
        </w:rPr>
        <w:t>发生事故的主要原因可能为：</w:t>
      </w:r>
    </w:p>
    <w:p w14:paraId="279058D4" w14:textId="77777777" w:rsidR="003E78AB" w:rsidRDefault="00010BF9">
      <w:pPr>
        <w:ind w:firstLine="480"/>
        <w:rPr>
          <w:kern w:val="2"/>
        </w:rPr>
      </w:pPr>
      <w:r>
        <w:rPr>
          <w:kern w:val="2"/>
        </w:rPr>
        <w:t>a</w:t>
      </w:r>
      <w:r>
        <w:rPr>
          <w:kern w:val="2"/>
        </w:rPr>
        <w:t>呼吸阀选型不当或失灵，由于气候等原因造成短时间温差过大，如夏天高温突降暴雨，易引起储罐吸瘪破裂损坏；</w:t>
      </w:r>
    </w:p>
    <w:p w14:paraId="67AC7822" w14:textId="77777777" w:rsidR="003E78AB" w:rsidRDefault="00010BF9">
      <w:pPr>
        <w:ind w:firstLine="480"/>
        <w:rPr>
          <w:kern w:val="2"/>
        </w:rPr>
      </w:pPr>
      <w:r>
        <w:rPr>
          <w:kern w:val="2"/>
        </w:rPr>
        <w:t>b</w:t>
      </w:r>
      <w:r>
        <w:rPr>
          <w:kern w:val="2"/>
        </w:rPr>
        <w:t>储罐超压，罐顶变形开裂或爆炸；</w:t>
      </w:r>
    </w:p>
    <w:p w14:paraId="5E899641" w14:textId="77777777" w:rsidR="003E78AB" w:rsidRDefault="00010BF9">
      <w:pPr>
        <w:ind w:firstLine="480"/>
        <w:rPr>
          <w:kern w:val="2"/>
        </w:rPr>
      </w:pPr>
      <w:r>
        <w:rPr>
          <w:kern w:val="2"/>
        </w:rPr>
        <w:t>c</w:t>
      </w:r>
      <w:r>
        <w:rPr>
          <w:kern w:val="2"/>
        </w:rPr>
        <w:t>储罐立板焊接开裂，引发物料泄漏或火灾爆炸；</w:t>
      </w:r>
    </w:p>
    <w:p w14:paraId="5F5616A6" w14:textId="77777777" w:rsidR="003E78AB" w:rsidRDefault="00010BF9">
      <w:pPr>
        <w:ind w:firstLine="480"/>
        <w:rPr>
          <w:kern w:val="2"/>
        </w:rPr>
      </w:pPr>
      <w:r>
        <w:rPr>
          <w:kern w:val="2"/>
        </w:rPr>
        <w:t>d</w:t>
      </w:r>
      <w:r>
        <w:rPr>
          <w:kern w:val="2"/>
        </w:rPr>
        <w:t>储罐基础不均匀下沉，使储罐倾斜，焊缝破裂，引发物料泄漏或火灾爆炸；</w:t>
      </w:r>
    </w:p>
    <w:p w14:paraId="04AFD2BF" w14:textId="77777777" w:rsidR="003E78AB" w:rsidRDefault="00010BF9">
      <w:pPr>
        <w:ind w:firstLine="480"/>
        <w:rPr>
          <w:kern w:val="2"/>
        </w:rPr>
      </w:pPr>
      <w:r>
        <w:rPr>
          <w:kern w:val="2"/>
        </w:rPr>
        <w:t>e</w:t>
      </w:r>
      <w:r>
        <w:rPr>
          <w:kern w:val="2"/>
        </w:rPr>
        <w:t>车辆撞坏储罐设施引起化学品漏出、引发火灾或爆炸等；</w:t>
      </w:r>
    </w:p>
    <w:p w14:paraId="6834A733" w14:textId="77777777" w:rsidR="003E78AB" w:rsidRDefault="00010BF9">
      <w:pPr>
        <w:ind w:firstLine="480"/>
        <w:rPr>
          <w:kern w:val="2"/>
        </w:rPr>
      </w:pPr>
      <w:r>
        <w:rPr>
          <w:kern w:val="2"/>
        </w:rPr>
        <w:t>f</w:t>
      </w:r>
      <w:r>
        <w:rPr>
          <w:kern w:val="2"/>
        </w:rPr>
        <w:t>火灾危险性物质输送及使用过程中，若速度过快，易产生和积聚静电，有发生燃烧、爆炸的危险；</w:t>
      </w:r>
    </w:p>
    <w:p w14:paraId="46FF4A1C" w14:textId="77777777" w:rsidR="003E78AB" w:rsidRDefault="00010BF9">
      <w:pPr>
        <w:ind w:firstLine="480"/>
        <w:rPr>
          <w:kern w:val="2"/>
        </w:rPr>
      </w:pPr>
      <w:r>
        <w:rPr>
          <w:kern w:val="2"/>
        </w:rPr>
        <w:t>g</w:t>
      </w:r>
      <w:r>
        <w:rPr>
          <w:kern w:val="2"/>
        </w:rPr>
        <w:t>储罐液位计或高液位报警装置失灵，液体充装过量而从罐内溢出遇点火源会发生火灾爆炸；</w:t>
      </w:r>
    </w:p>
    <w:p w14:paraId="4ACAF44E" w14:textId="77777777" w:rsidR="003E78AB" w:rsidRDefault="00010BF9">
      <w:pPr>
        <w:ind w:firstLine="480"/>
        <w:rPr>
          <w:kern w:val="2"/>
        </w:rPr>
      </w:pPr>
      <w:r>
        <w:rPr>
          <w:kern w:val="2"/>
        </w:rPr>
        <w:t>h</w:t>
      </w:r>
      <w:r>
        <w:rPr>
          <w:rFonts w:hint="eastAsia"/>
          <w:kern w:val="2"/>
        </w:rPr>
        <w:t>液体库</w:t>
      </w:r>
      <w:r>
        <w:rPr>
          <w:kern w:val="2"/>
        </w:rPr>
        <w:t>管道维护不够，发生泄漏，或者罐受到环境影响温度、压力异常，冲开安全阀。生产系统危险性识别，包括主要生产装置、储运设施、公用工程和辅助生产设施，以及环境保护设施等。</w:t>
      </w:r>
    </w:p>
    <w:p w14:paraId="670B2FE5" w14:textId="77777777" w:rsidR="003E78AB" w:rsidRDefault="00010BF9">
      <w:pPr>
        <w:ind w:firstLine="480"/>
        <w:rPr>
          <w:kern w:val="2"/>
        </w:rPr>
      </w:pPr>
      <w:r>
        <w:rPr>
          <w:kern w:val="2"/>
        </w:rPr>
        <w:t>（</w:t>
      </w:r>
      <w:r>
        <w:rPr>
          <w:kern w:val="2"/>
        </w:rPr>
        <w:t>3</w:t>
      </w:r>
      <w:r>
        <w:rPr>
          <w:kern w:val="2"/>
        </w:rPr>
        <w:t>）公用辅助工程危险性识别</w:t>
      </w:r>
    </w:p>
    <w:p w14:paraId="3339630C" w14:textId="77777777" w:rsidR="003E78AB" w:rsidRDefault="00010BF9">
      <w:pPr>
        <w:ind w:firstLine="480"/>
        <w:rPr>
          <w:kern w:val="2"/>
        </w:rPr>
      </w:pPr>
      <w:r>
        <w:rPr>
          <w:kern w:val="2"/>
        </w:rPr>
        <w:t>本项目生产工艺采用蒸汽供热，蒸汽系统是在一定的压力和较高的温度下运行的，当发生泄漏</w:t>
      </w:r>
      <w:r>
        <w:rPr>
          <w:kern w:val="2"/>
        </w:rPr>
        <w:t>时，蒸汽高速喷出，会导致事故。管线因腐蚀变薄，耐压下降，操作不当、压力超高等，可能发生管道爆炸事故。</w:t>
      </w:r>
    </w:p>
    <w:p w14:paraId="3B998AB1" w14:textId="77777777" w:rsidR="003E78AB" w:rsidRDefault="00010BF9">
      <w:pPr>
        <w:ind w:firstLine="480"/>
        <w:rPr>
          <w:kern w:val="2"/>
        </w:rPr>
      </w:pPr>
      <w:r>
        <w:rPr>
          <w:kern w:val="2"/>
        </w:rPr>
        <w:t>（</w:t>
      </w:r>
      <w:r>
        <w:rPr>
          <w:kern w:val="2"/>
        </w:rPr>
        <w:t>4</w:t>
      </w:r>
      <w:r>
        <w:rPr>
          <w:kern w:val="2"/>
        </w:rPr>
        <w:t>）环境保护设施危险性识别</w:t>
      </w:r>
    </w:p>
    <w:p w14:paraId="0C6A7F25" w14:textId="77777777" w:rsidR="003E78AB" w:rsidRDefault="00010BF9">
      <w:pPr>
        <w:ind w:firstLine="480"/>
        <w:rPr>
          <w:kern w:val="2"/>
        </w:rPr>
      </w:pPr>
      <w:r>
        <w:rPr>
          <w:kern w:val="2"/>
        </w:rPr>
        <w:t>废气处理系统：废气处理装置未定期检查、更换、修理，若出现故障，会造成废气超标排放，对周围环境产生影响。</w:t>
      </w:r>
    </w:p>
    <w:p w14:paraId="6C9C75EC" w14:textId="77777777" w:rsidR="003E78AB" w:rsidRDefault="00010BF9">
      <w:pPr>
        <w:ind w:firstLine="480"/>
        <w:rPr>
          <w:kern w:val="2"/>
        </w:rPr>
      </w:pPr>
      <w:r>
        <w:rPr>
          <w:rFonts w:hint="eastAsia"/>
          <w:kern w:val="2"/>
        </w:rPr>
        <w:t>高盐废水蒸发结晶系统</w:t>
      </w:r>
      <w:r>
        <w:rPr>
          <w:kern w:val="2"/>
        </w:rPr>
        <w:t>：</w:t>
      </w:r>
      <w:r>
        <w:rPr>
          <w:rFonts w:hint="eastAsia"/>
          <w:kern w:val="2"/>
        </w:rPr>
        <w:t>进水</w:t>
      </w:r>
      <w:r>
        <w:rPr>
          <w:kern w:val="2"/>
        </w:rPr>
        <w:t>水质异常或设施若出现设备故障，会影响</w:t>
      </w:r>
      <w:r>
        <w:rPr>
          <w:rFonts w:hint="eastAsia"/>
          <w:kern w:val="2"/>
        </w:rPr>
        <w:t>蒸发结晶停滞</w:t>
      </w:r>
      <w:r>
        <w:rPr>
          <w:kern w:val="2"/>
        </w:rPr>
        <w:t>。</w:t>
      </w:r>
    </w:p>
    <w:p w14:paraId="4964C383" w14:textId="77777777" w:rsidR="003E78AB" w:rsidRDefault="00010BF9">
      <w:pPr>
        <w:ind w:firstLine="480"/>
        <w:rPr>
          <w:kern w:val="2"/>
        </w:rPr>
      </w:pPr>
      <w:r>
        <w:rPr>
          <w:rFonts w:hint="eastAsia"/>
          <w:kern w:val="2"/>
        </w:rPr>
        <w:t>危险废物暂存间</w:t>
      </w:r>
      <w:r>
        <w:rPr>
          <w:kern w:val="2"/>
        </w:rPr>
        <w:t>：危险废物储存、转运过程中，由于操作不当或储存容器发生破裂，可能会导致危险废物泄漏、火灾，对周围环境造成影响。</w:t>
      </w:r>
    </w:p>
    <w:p w14:paraId="39AD5E45" w14:textId="77777777" w:rsidR="003E78AB" w:rsidRDefault="00010BF9">
      <w:pPr>
        <w:ind w:firstLine="480"/>
        <w:rPr>
          <w:kern w:val="2"/>
        </w:rPr>
      </w:pPr>
      <w:r>
        <w:rPr>
          <w:kern w:val="2"/>
        </w:rPr>
        <w:t>（</w:t>
      </w:r>
      <w:r>
        <w:rPr>
          <w:kern w:val="2"/>
        </w:rPr>
        <w:t>5</w:t>
      </w:r>
      <w:r>
        <w:rPr>
          <w:kern w:val="2"/>
        </w:rPr>
        <w:t>）次生</w:t>
      </w:r>
      <w:r>
        <w:rPr>
          <w:kern w:val="2"/>
        </w:rPr>
        <w:t>/</w:t>
      </w:r>
      <w:r>
        <w:rPr>
          <w:kern w:val="2"/>
        </w:rPr>
        <w:t>伴生污染</w:t>
      </w:r>
    </w:p>
    <w:p w14:paraId="4B064333" w14:textId="77777777" w:rsidR="003E78AB" w:rsidRDefault="00010BF9">
      <w:pPr>
        <w:ind w:firstLine="480"/>
        <w:rPr>
          <w:kern w:val="2"/>
        </w:rPr>
      </w:pPr>
      <w:r>
        <w:rPr>
          <w:kern w:val="2"/>
        </w:rPr>
        <w:t>本项目生产所涉及的原辅材料、中间产品及产品大部分具有潜在的危害，在贮存、运输和生产过程中可能发生泄漏、火灾爆炸及中毒事故，并存在引起伴生事故和次生灾害的可能性。</w:t>
      </w:r>
    </w:p>
    <w:p w14:paraId="4A4CD5F7" w14:textId="77777777" w:rsidR="003E78AB" w:rsidRDefault="00010BF9">
      <w:pPr>
        <w:ind w:firstLine="480"/>
        <w:rPr>
          <w:kern w:val="2"/>
        </w:rPr>
      </w:pPr>
      <w:r>
        <w:rPr>
          <w:kern w:val="2"/>
        </w:rPr>
        <w:t>①</w:t>
      </w:r>
      <w:r>
        <w:rPr>
          <w:kern w:val="2"/>
        </w:rPr>
        <w:t>事故连锁效应</w:t>
      </w:r>
      <w:r>
        <w:rPr>
          <w:rFonts w:hint="eastAsia"/>
          <w:kern w:val="2"/>
        </w:rPr>
        <w:t xml:space="preserve"> </w:t>
      </w:r>
      <w:r>
        <w:rPr>
          <w:kern w:val="2"/>
        </w:rPr>
        <w:t>本项目除了管线阀门等破损导致有毒物质泄漏事故类型外，由于火灾爆炸事故引发有毒物质泄漏的可能性也同时存在。火灾爆炸事故有可能引发次生事故，造成新的事故。例如储罐火灾，可能烧坏储罐，引起有毒有害物质的泄漏，造成毒性物质泄漏及扩散；当事故波及到</w:t>
      </w:r>
      <w:r>
        <w:rPr>
          <w:rFonts w:hint="eastAsia"/>
          <w:kern w:val="2"/>
        </w:rPr>
        <w:t>液体库</w:t>
      </w:r>
      <w:r>
        <w:rPr>
          <w:kern w:val="2"/>
        </w:rPr>
        <w:t>其他易燃易爆物料的储罐时，也可能损坏其他设备，引发相邻易燃易爆物料的泄漏。在这种情况下，有</w:t>
      </w:r>
      <w:r>
        <w:rPr>
          <w:kern w:val="2"/>
        </w:rPr>
        <w:t>毒物质的泄漏和流失可能成为事故的次生污染，存在有毒物质进入大气或水体的可能性。</w:t>
      </w:r>
    </w:p>
    <w:p w14:paraId="00B947CA" w14:textId="77777777" w:rsidR="003E78AB" w:rsidRDefault="00010BF9">
      <w:pPr>
        <w:ind w:firstLine="480"/>
        <w:rPr>
          <w:kern w:val="2"/>
        </w:rPr>
      </w:pPr>
      <w:r>
        <w:rPr>
          <w:kern w:val="2"/>
        </w:rPr>
        <w:t>②</w:t>
      </w:r>
      <w:r>
        <w:rPr>
          <w:kern w:val="2"/>
        </w:rPr>
        <w:t>燃烧烟气本项目涉及易燃物质，一旦泄漏发生火灾或爆炸，将会造成一定程度的次生污染，主要为未完全燃烧产生的</w:t>
      </w:r>
      <w:r>
        <w:rPr>
          <w:kern w:val="2"/>
        </w:rPr>
        <w:t>CO</w:t>
      </w:r>
      <w:r>
        <w:rPr>
          <w:kern w:val="2"/>
        </w:rPr>
        <w:t>、烷烃等气体。此外部分易燃物料具有一定的刺激性气味和毒性，如不慎发生泄漏导致火灾爆炸事故，未燃尽的物料不仅会对环境造成一定污染，也可能会对人体健康产生一定影响。</w:t>
      </w:r>
    </w:p>
    <w:p w14:paraId="5F03C8CD" w14:textId="77777777" w:rsidR="003E78AB" w:rsidRDefault="00010BF9">
      <w:pPr>
        <w:ind w:firstLine="480"/>
        <w:rPr>
          <w:kern w:val="2"/>
        </w:rPr>
      </w:pPr>
      <w:r>
        <w:rPr>
          <w:kern w:val="2"/>
        </w:rPr>
        <w:t>③</w:t>
      </w:r>
      <w:r>
        <w:rPr>
          <w:kern w:val="2"/>
        </w:rPr>
        <w:t>消防废水在火灾爆炸事故的扑救中，会产生大量的消防废水，其中可能含有大量的有毒有害物料，如果该废水经雨水排放系统排放至外环境，将会造成环境污染。此外，拦截堵漏过程</w:t>
      </w:r>
      <w:r>
        <w:rPr>
          <w:kern w:val="2"/>
        </w:rPr>
        <w:t>中可能使用的大量拦截、堵漏材料，掺杂一定的物料，若事故排放后随意丢弃、排放，也将对环境产生二次污染。</w:t>
      </w:r>
    </w:p>
    <w:p w14:paraId="2F3B5810"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.3.3</w:t>
      </w:r>
      <w:r>
        <w:rPr>
          <w:rFonts w:cs="Times New Roman"/>
          <w:sz w:val="28"/>
          <w:szCs w:val="28"/>
        </w:rPr>
        <w:t>危险物质向环境转移的途径识别</w:t>
      </w:r>
    </w:p>
    <w:p w14:paraId="12AE18DC" w14:textId="77777777" w:rsidR="003E78AB" w:rsidRDefault="00010BF9">
      <w:pPr>
        <w:ind w:firstLine="480"/>
        <w:rPr>
          <w:kern w:val="2"/>
        </w:rPr>
      </w:pPr>
      <w:r>
        <w:rPr>
          <w:kern w:val="2"/>
        </w:rPr>
        <w:t>（</w:t>
      </w:r>
      <w:r>
        <w:rPr>
          <w:kern w:val="2"/>
        </w:rPr>
        <w:t>1</w:t>
      </w:r>
      <w:r>
        <w:rPr>
          <w:kern w:val="2"/>
        </w:rPr>
        <w:t>）大气污染影响途径</w:t>
      </w:r>
    </w:p>
    <w:p w14:paraId="3BFC687E" w14:textId="77777777" w:rsidR="003E78AB" w:rsidRDefault="00010BF9">
      <w:pPr>
        <w:ind w:firstLine="480"/>
        <w:rPr>
          <w:kern w:val="2"/>
        </w:rPr>
      </w:pPr>
      <w:r>
        <w:rPr>
          <w:kern w:val="2"/>
        </w:rPr>
        <w:t>火灾、爆炸引发空气污染及毒物泄漏通过大气影响周围环境，与区域气象条件密切相关，直接受风向、风速影响。小风和静风条件是事故下最不利天气，对大气污染物的扩散较为不利。</w:t>
      </w:r>
    </w:p>
    <w:p w14:paraId="5D4188EE" w14:textId="77777777" w:rsidR="003E78AB" w:rsidRDefault="00010BF9">
      <w:pPr>
        <w:ind w:firstLine="480"/>
        <w:rPr>
          <w:kern w:val="2"/>
        </w:rPr>
      </w:pPr>
      <w:r>
        <w:rPr>
          <w:kern w:val="2"/>
        </w:rPr>
        <w:t>（</w:t>
      </w:r>
      <w:r>
        <w:rPr>
          <w:kern w:val="2"/>
        </w:rPr>
        <w:t>2</w:t>
      </w:r>
      <w:r>
        <w:rPr>
          <w:kern w:val="2"/>
        </w:rPr>
        <w:t>）水体污染影响途径</w:t>
      </w:r>
    </w:p>
    <w:p w14:paraId="362F0687" w14:textId="77777777" w:rsidR="003E78AB" w:rsidRDefault="00010BF9">
      <w:pPr>
        <w:ind w:firstLine="480"/>
        <w:rPr>
          <w:kern w:val="2"/>
        </w:rPr>
      </w:pPr>
      <w:r>
        <w:rPr>
          <w:kern w:val="2"/>
        </w:rPr>
        <w:t>本项目设置了环境风险事故三级防控体系，且厂区周边无常年稳定地表水体分布，正常状况下可有效防范事故废水进入厂外水体。厂区发生火灾或爆炸事故时，在事故水防控系统失</w:t>
      </w:r>
      <w:r>
        <w:rPr>
          <w:kern w:val="2"/>
        </w:rPr>
        <w:t>效的情况下，厂区内泄漏的有毒有害危险品及受污染消防水可能会流入厂外形成漫流，从而导致一系列继发水体污染事故。</w:t>
      </w:r>
    </w:p>
    <w:p w14:paraId="451A2A61" w14:textId="77777777" w:rsidR="003E78AB" w:rsidRDefault="00010BF9">
      <w:pPr>
        <w:ind w:firstLine="480"/>
        <w:rPr>
          <w:kern w:val="2"/>
        </w:rPr>
      </w:pPr>
      <w:r>
        <w:rPr>
          <w:kern w:val="2"/>
        </w:rPr>
        <w:t>（</w:t>
      </w:r>
      <w:r>
        <w:rPr>
          <w:kern w:val="2"/>
        </w:rPr>
        <w:t>3</w:t>
      </w:r>
      <w:r>
        <w:rPr>
          <w:kern w:val="2"/>
        </w:rPr>
        <w:t>）土壤和地下水污染途径</w:t>
      </w:r>
    </w:p>
    <w:p w14:paraId="17D8B411" w14:textId="77777777" w:rsidR="003E78AB" w:rsidRDefault="00010BF9">
      <w:pPr>
        <w:ind w:firstLine="480"/>
        <w:rPr>
          <w:kern w:val="2"/>
        </w:rPr>
      </w:pPr>
      <w:r>
        <w:rPr>
          <w:kern w:val="2"/>
        </w:rPr>
        <w:t>本项目厂界内除了绿化用地以外，其他全部都是混凝土路面，基本没有直接裸露的土壤存在，因此，本项目发生物料泄漏时对厂界内的土壤影响有限，事故发生后及时控制并有效处置泄漏物料，基本不会对厂界内的土壤造成严重污染。同时事故泄漏物料对厂区外部的土壤污染更低，其对土壤的污染主要由泄漏到大气环境中的事故污染物沉降到土壤中引起的。极端情况下，可燃、易燃物料泄漏遇明火发生爆炸事故，有可能会</w:t>
      </w:r>
      <w:r>
        <w:rPr>
          <w:kern w:val="2"/>
        </w:rPr>
        <w:t>炸穿厂区防渗系统，伴随着防渗层的失效，未燃烧完全的物料可能会伴随着消防废水通过土壤下渗，对土壤及地下水环境产生污染。</w:t>
      </w:r>
    </w:p>
    <w:p w14:paraId="6F80A812"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.3.4</w:t>
      </w:r>
      <w:r>
        <w:rPr>
          <w:rFonts w:cs="Times New Roman"/>
          <w:sz w:val="28"/>
          <w:szCs w:val="28"/>
        </w:rPr>
        <w:t>风险识别结果</w:t>
      </w:r>
    </w:p>
    <w:p w14:paraId="35BCA7B6" w14:textId="77777777" w:rsidR="003E78AB" w:rsidRDefault="00010BF9">
      <w:pPr>
        <w:ind w:firstLine="480"/>
        <w:rPr>
          <w:kern w:val="2"/>
        </w:rPr>
      </w:pPr>
      <w:r>
        <w:rPr>
          <w:kern w:val="2"/>
        </w:rPr>
        <w:t>本项目环境风险识别汇总情况见</w:t>
      </w:r>
      <w:r>
        <w:rPr>
          <w:kern w:val="2"/>
        </w:rPr>
        <w:fldChar w:fldCharType="begin"/>
      </w:r>
      <w:r>
        <w:rPr>
          <w:kern w:val="2"/>
        </w:rPr>
        <w:instrText xml:space="preserve"> REF _Ref12718 \r \h </w:instrText>
      </w:r>
      <w:r>
        <w:rPr>
          <w:kern w:val="2"/>
        </w:rPr>
      </w:r>
      <w:r>
        <w:rPr>
          <w:kern w:val="2"/>
        </w:rPr>
        <w:fldChar w:fldCharType="separate"/>
      </w:r>
      <w:r>
        <w:rPr>
          <w:kern w:val="2"/>
        </w:rPr>
        <w:t>表</w:t>
      </w:r>
      <w:r>
        <w:rPr>
          <w:kern w:val="2"/>
        </w:rPr>
        <w:t>6-20</w:t>
      </w:r>
      <w:r>
        <w:rPr>
          <w:kern w:val="2"/>
        </w:rPr>
        <w:fldChar w:fldCharType="end"/>
      </w:r>
      <w:r>
        <w:rPr>
          <w:kern w:val="2"/>
        </w:rPr>
        <w:t>。</w:t>
      </w:r>
    </w:p>
    <w:p w14:paraId="217ABD9F" w14:textId="77777777" w:rsidR="003E78AB" w:rsidRDefault="00010BF9">
      <w:pPr>
        <w:pStyle w:val="a"/>
        <w:spacing w:before="120"/>
        <w:ind w:left="425" w:hanging="425"/>
        <w:rPr>
          <w:rFonts w:ascii="黑体" w:hAnsi="黑体" w:cs="黑体"/>
          <w:szCs w:val="24"/>
        </w:rPr>
      </w:pPr>
      <w:bookmarkStart w:id="430" w:name="_Ref12718"/>
      <w:bookmarkEnd w:id="430"/>
      <w:r>
        <w:t>项目环境风险识别一览表</w:t>
      </w:r>
    </w:p>
    <w:p w14:paraId="7CC941B1" w14:textId="77777777" w:rsidR="003E78AB" w:rsidRDefault="003E78AB">
      <w:pPr>
        <w:spacing w:line="25" w:lineRule="exact"/>
        <w:ind w:firstLine="480"/>
      </w:pPr>
    </w:p>
    <w:tbl>
      <w:tblPr>
        <w:tblStyle w:val="TableNormal"/>
        <w:tblW w:w="505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923"/>
        <w:gridCol w:w="873"/>
        <w:gridCol w:w="911"/>
        <w:gridCol w:w="1200"/>
        <w:gridCol w:w="1526"/>
        <w:gridCol w:w="2078"/>
      </w:tblGrid>
      <w:tr w:rsidR="003E78AB" w14:paraId="791C79D5" w14:textId="77777777">
        <w:trPr>
          <w:trHeight w:val="539"/>
          <w:tblHeader/>
        </w:trPr>
        <w:tc>
          <w:tcPr>
            <w:tcW w:w="529" w:type="pct"/>
            <w:vAlign w:val="center"/>
          </w:tcPr>
          <w:p w14:paraId="4FEA27B3" w14:textId="77777777" w:rsidR="003E78AB" w:rsidRDefault="00010BF9">
            <w:pPr>
              <w:pStyle w:val="aff6"/>
              <w:topLinePunct/>
              <w:rPr>
                <w:b/>
                <w:bCs/>
              </w:rPr>
            </w:pPr>
            <w:r>
              <w:rPr>
                <w:b/>
                <w:bCs/>
              </w:rPr>
              <w:t>工段</w:t>
            </w:r>
          </w:p>
        </w:tc>
        <w:tc>
          <w:tcPr>
            <w:tcW w:w="549" w:type="pct"/>
            <w:vAlign w:val="center"/>
          </w:tcPr>
          <w:p w14:paraId="6501D65E" w14:textId="77777777" w:rsidR="003E78AB" w:rsidRDefault="00010BF9">
            <w:pPr>
              <w:pStyle w:val="aff6"/>
              <w:topLinePunct/>
              <w:rPr>
                <w:b/>
                <w:bCs/>
              </w:rPr>
            </w:pPr>
            <w:r>
              <w:rPr>
                <w:b/>
                <w:bCs/>
              </w:rPr>
              <w:t>风险源</w:t>
            </w:r>
          </w:p>
        </w:tc>
        <w:tc>
          <w:tcPr>
            <w:tcW w:w="519" w:type="pct"/>
            <w:vAlign w:val="center"/>
          </w:tcPr>
          <w:p w14:paraId="1289B3E9" w14:textId="77777777" w:rsidR="003E78AB" w:rsidRDefault="00010BF9">
            <w:pPr>
              <w:pStyle w:val="aff6"/>
              <w:topLinePunct/>
              <w:rPr>
                <w:b/>
                <w:bCs/>
              </w:rPr>
            </w:pPr>
            <w:r>
              <w:rPr>
                <w:b/>
                <w:bCs/>
              </w:rPr>
              <w:t>是否重点风险源</w:t>
            </w:r>
          </w:p>
        </w:tc>
        <w:tc>
          <w:tcPr>
            <w:tcW w:w="542" w:type="pct"/>
            <w:vAlign w:val="center"/>
          </w:tcPr>
          <w:p w14:paraId="47C7AA5D" w14:textId="77777777" w:rsidR="003E78AB" w:rsidRDefault="00010BF9">
            <w:pPr>
              <w:pStyle w:val="aff6"/>
              <w:topLinePunct/>
              <w:rPr>
                <w:b/>
                <w:bCs/>
              </w:rPr>
            </w:pPr>
            <w:r>
              <w:rPr>
                <w:b/>
                <w:bCs/>
              </w:rPr>
              <w:t>主要危险物质</w:t>
            </w:r>
          </w:p>
        </w:tc>
        <w:tc>
          <w:tcPr>
            <w:tcW w:w="714" w:type="pct"/>
            <w:vAlign w:val="center"/>
          </w:tcPr>
          <w:p w14:paraId="51DF9EE1" w14:textId="77777777" w:rsidR="003E78AB" w:rsidRDefault="00010BF9">
            <w:pPr>
              <w:pStyle w:val="aff6"/>
              <w:topLinePunct/>
              <w:rPr>
                <w:b/>
                <w:bCs/>
              </w:rPr>
            </w:pPr>
            <w:r>
              <w:rPr>
                <w:b/>
                <w:bCs/>
              </w:rPr>
              <w:t>环境风险类型</w:t>
            </w:r>
          </w:p>
        </w:tc>
        <w:tc>
          <w:tcPr>
            <w:tcW w:w="908" w:type="pct"/>
            <w:vAlign w:val="center"/>
          </w:tcPr>
          <w:p w14:paraId="0ADF0990" w14:textId="77777777" w:rsidR="003E78AB" w:rsidRDefault="00010BF9">
            <w:pPr>
              <w:pStyle w:val="aff6"/>
              <w:topLinePunct/>
              <w:rPr>
                <w:b/>
                <w:bCs/>
              </w:rPr>
            </w:pPr>
            <w:r>
              <w:rPr>
                <w:b/>
                <w:bCs/>
              </w:rPr>
              <w:t>环境影响途径</w:t>
            </w:r>
          </w:p>
        </w:tc>
        <w:tc>
          <w:tcPr>
            <w:tcW w:w="1237" w:type="pct"/>
            <w:vAlign w:val="center"/>
          </w:tcPr>
          <w:p w14:paraId="297E9B67" w14:textId="77777777" w:rsidR="003E78AB" w:rsidRDefault="00010BF9">
            <w:pPr>
              <w:pStyle w:val="aff6"/>
              <w:topLinePunct/>
              <w:rPr>
                <w:b/>
                <w:bCs/>
              </w:rPr>
            </w:pPr>
            <w:r>
              <w:rPr>
                <w:b/>
                <w:bCs/>
              </w:rPr>
              <w:t>可能受影响的环境敏感目标</w:t>
            </w:r>
          </w:p>
        </w:tc>
      </w:tr>
      <w:tr w:rsidR="003E78AB" w14:paraId="031BC405" w14:textId="77777777">
        <w:trPr>
          <w:trHeight w:val="784"/>
        </w:trPr>
        <w:tc>
          <w:tcPr>
            <w:tcW w:w="529" w:type="pct"/>
            <w:vMerge w:val="restart"/>
            <w:vAlign w:val="center"/>
          </w:tcPr>
          <w:p w14:paraId="547AE227" w14:textId="77777777" w:rsidR="003E78AB" w:rsidRDefault="00010BF9">
            <w:pPr>
              <w:pStyle w:val="aff6"/>
              <w:topLinePunct/>
            </w:pPr>
            <w:r>
              <w:t>贮存</w:t>
            </w:r>
          </w:p>
        </w:tc>
        <w:tc>
          <w:tcPr>
            <w:tcW w:w="549" w:type="pct"/>
            <w:vAlign w:val="center"/>
          </w:tcPr>
          <w:p w14:paraId="0942E317" w14:textId="77777777" w:rsidR="003E78AB" w:rsidRDefault="00010BF9">
            <w:pPr>
              <w:pStyle w:val="aff6"/>
              <w:topLinePunct/>
            </w:pPr>
            <w:r>
              <w:rPr>
                <w:rFonts w:hint="eastAsia"/>
              </w:rPr>
              <w:t>丙类仓库</w:t>
            </w:r>
          </w:p>
        </w:tc>
        <w:tc>
          <w:tcPr>
            <w:tcW w:w="519" w:type="pct"/>
            <w:vAlign w:val="center"/>
          </w:tcPr>
          <w:p w14:paraId="660E9290" w14:textId="77777777" w:rsidR="003E78AB" w:rsidRDefault="00010BF9">
            <w:pPr>
              <w:pStyle w:val="aff6"/>
              <w:topLinePunct/>
            </w:pPr>
            <w:r>
              <w:t>是</w:t>
            </w:r>
          </w:p>
        </w:tc>
        <w:tc>
          <w:tcPr>
            <w:tcW w:w="542" w:type="pct"/>
            <w:vAlign w:val="center"/>
          </w:tcPr>
          <w:p w14:paraId="58199AC4" w14:textId="77777777" w:rsidR="003E78AB" w:rsidRDefault="00010BF9">
            <w:pPr>
              <w:pStyle w:val="aff6"/>
              <w:topLinePunct/>
            </w:pPr>
            <w:r>
              <w:t>V</w:t>
            </w:r>
            <w:r>
              <w:rPr>
                <w:vertAlign w:val="subscript"/>
              </w:rPr>
              <w:t>2</w:t>
            </w:r>
            <w:r>
              <w:t>O</w:t>
            </w:r>
            <w:r>
              <w:rPr>
                <w:vertAlign w:val="subscript"/>
              </w:rPr>
              <w:t>5</w:t>
            </w:r>
          </w:p>
        </w:tc>
        <w:tc>
          <w:tcPr>
            <w:tcW w:w="714" w:type="pct"/>
            <w:vAlign w:val="center"/>
          </w:tcPr>
          <w:p w14:paraId="69534617" w14:textId="77777777" w:rsidR="003E78AB" w:rsidRDefault="00010BF9">
            <w:pPr>
              <w:pStyle w:val="aff6"/>
              <w:topLinePunct/>
            </w:pPr>
            <w:r>
              <w:t>泄漏</w:t>
            </w:r>
          </w:p>
        </w:tc>
        <w:tc>
          <w:tcPr>
            <w:tcW w:w="908" w:type="pct"/>
            <w:vAlign w:val="center"/>
          </w:tcPr>
          <w:p w14:paraId="3AB4C7FB" w14:textId="77777777" w:rsidR="003E78AB" w:rsidRDefault="00010BF9">
            <w:pPr>
              <w:pStyle w:val="aff6"/>
              <w:topLinePunct/>
            </w:pPr>
            <w:r>
              <w:t>环境空气</w:t>
            </w:r>
            <w:r>
              <w:rPr>
                <w:rFonts w:hint="eastAsia"/>
              </w:rPr>
              <w:t>、</w:t>
            </w:r>
            <w:r>
              <w:t>地表水</w:t>
            </w:r>
            <w:r>
              <w:rPr>
                <w:rFonts w:hint="eastAsia"/>
              </w:rPr>
              <w:t>、</w:t>
            </w:r>
            <w:r>
              <w:t>地下水</w:t>
            </w:r>
            <w:r>
              <w:rPr>
                <w:rFonts w:hint="eastAsia"/>
              </w:rPr>
              <w:t>和土壤</w:t>
            </w:r>
          </w:p>
        </w:tc>
        <w:tc>
          <w:tcPr>
            <w:tcW w:w="1237" w:type="pct"/>
            <w:vAlign w:val="center"/>
          </w:tcPr>
          <w:p w14:paraId="4468CA0A" w14:textId="77777777" w:rsidR="003E78AB" w:rsidRDefault="00010BF9">
            <w:pPr>
              <w:pStyle w:val="aff6"/>
              <w:topLinePunct/>
            </w:pPr>
            <w:r>
              <w:t>大气环境及周边敏感点、周边地表水体及地下水</w:t>
            </w:r>
            <w:r>
              <w:rPr>
                <w:rFonts w:hint="eastAsia"/>
              </w:rPr>
              <w:t>和土壤</w:t>
            </w:r>
          </w:p>
        </w:tc>
      </w:tr>
      <w:tr w:rsidR="003E78AB" w14:paraId="48BB54C0" w14:textId="77777777">
        <w:trPr>
          <w:trHeight w:val="525"/>
        </w:trPr>
        <w:tc>
          <w:tcPr>
            <w:tcW w:w="529" w:type="pct"/>
            <w:vMerge/>
            <w:vAlign w:val="center"/>
          </w:tcPr>
          <w:p w14:paraId="5B3B93E2" w14:textId="77777777" w:rsidR="003E78AB" w:rsidRDefault="003E78AB">
            <w:pPr>
              <w:pStyle w:val="aff6"/>
              <w:topLinePunct/>
            </w:pPr>
          </w:p>
        </w:tc>
        <w:tc>
          <w:tcPr>
            <w:tcW w:w="549" w:type="pct"/>
            <w:vAlign w:val="center"/>
          </w:tcPr>
          <w:p w14:paraId="17A53B6B" w14:textId="77777777" w:rsidR="003E78AB" w:rsidRDefault="00010BF9">
            <w:pPr>
              <w:pStyle w:val="aff6"/>
              <w:topLinePunct/>
            </w:pPr>
            <w:r>
              <w:rPr>
                <w:rFonts w:hint="eastAsia"/>
              </w:rPr>
              <w:t>液体库</w:t>
            </w:r>
          </w:p>
        </w:tc>
        <w:tc>
          <w:tcPr>
            <w:tcW w:w="519" w:type="pct"/>
            <w:vAlign w:val="center"/>
          </w:tcPr>
          <w:p w14:paraId="38E53B15" w14:textId="77777777" w:rsidR="003E78AB" w:rsidRDefault="00010BF9">
            <w:pPr>
              <w:pStyle w:val="aff6"/>
              <w:topLinePunct/>
            </w:pPr>
            <w:r>
              <w:t>是</w:t>
            </w:r>
          </w:p>
        </w:tc>
        <w:tc>
          <w:tcPr>
            <w:tcW w:w="542" w:type="pct"/>
            <w:vAlign w:val="center"/>
          </w:tcPr>
          <w:p w14:paraId="4D186BD8" w14:textId="77777777" w:rsidR="003E78AB" w:rsidRDefault="00010BF9">
            <w:pPr>
              <w:pStyle w:val="aff6"/>
              <w:topLinePunct/>
            </w:pPr>
            <w:r>
              <w:t>98%</w:t>
            </w:r>
            <w:r>
              <w:t>硫酸</w:t>
            </w:r>
            <w:r>
              <w:rPr>
                <w:rFonts w:hint="eastAsia"/>
              </w:rPr>
              <w:t>、磷酸</w:t>
            </w:r>
          </w:p>
        </w:tc>
        <w:tc>
          <w:tcPr>
            <w:tcW w:w="714" w:type="pct"/>
            <w:vAlign w:val="center"/>
          </w:tcPr>
          <w:p w14:paraId="3CEE27CB" w14:textId="77777777" w:rsidR="003E78AB" w:rsidRDefault="00010BF9">
            <w:pPr>
              <w:pStyle w:val="aff6"/>
              <w:topLinePunct/>
            </w:pPr>
            <w:r>
              <w:t>泄漏</w:t>
            </w:r>
          </w:p>
        </w:tc>
        <w:tc>
          <w:tcPr>
            <w:tcW w:w="908" w:type="pct"/>
            <w:vAlign w:val="center"/>
          </w:tcPr>
          <w:p w14:paraId="177966EC" w14:textId="77777777" w:rsidR="003E78AB" w:rsidRDefault="00010BF9">
            <w:pPr>
              <w:pStyle w:val="aff6"/>
              <w:topLinePunct/>
            </w:pPr>
            <w:r>
              <w:t>地表水</w:t>
            </w:r>
            <w:r>
              <w:rPr>
                <w:rFonts w:hint="eastAsia"/>
              </w:rPr>
              <w:t>、</w:t>
            </w:r>
            <w:r>
              <w:t>地下水</w:t>
            </w:r>
            <w:r>
              <w:rPr>
                <w:rFonts w:hint="eastAsia"/>
              </w:rPr>
              <w:t>和土壤</w:t>
            </w:r>
          </w:p>
        </w:tc>
        <w:tc>
          <w:tcPr>
            <w:tcW w:w="1237" w:type="pct"/>
            <w:vAlign w:val="center"/>
          </w:tcPr>
          <w:p w14:paraId="276E2CD9" w14:textId="77777777" w:rsidR="003E78AB" w:rsidRDefault="00010BF9">
            <w:pPr>
              <w:pStyle w:val="aff6"/>
              <w:topLinePunct/>
            </w:pPr>
            <w:r>
              <w:t>土壤、周边地表水体及地下水</w:t>
            </w:r>
            <w:r>
              <w:rPr>
                <w:rFonts w:hint="eastAsia"/>
              </w:rPr>
              <w:t>和土壤</w:t>
            </w:r>
          </w:p>
        </w:tc>
      </w:tr>
      <w:tr w:rsidR="003E78AB" w14:paraId="15810092" w14:textId="77777777">
        <w:trPr>
          <w:trHeight w:val="784"/>
        </w:trPr>
        <w:tc>
          <w:tcPr>
            <w:tcW w:w="529" w:type="pct"/>
            <w:vAlign w:val="center"/>
          </w:tcPr>
          <w:p w14:paraId="55AF345F" w14:textId="77777777" w:rsidR="003E78AB" w:rsidRDefault="00010BF9">
            <w:pPr>
              <w:pStyle w:val="aff6"/>
              <w:topLinePunct/>
            </w:pPr>
            <w:r>
              <w:t>溶解还原</w:t>
            </w:r>
          </w:p>
        </w:tc>
        <w:tc>
          <w:tcPr>
            <w:tcW w:w="549" w:type="pct"/>
            <w:vMerge w:val="restart"/>
            <w:vAlign w:val="center"/>
          </w:tcPr>
          <w:p w14:paraId="3D790C8F" w14:textId="77777777" w:rsidR="003E78AB" w:rsidRDefault="00010BF9">
            <w:pPr>
              <w:pStyle w:val="aff6"/>
              <w:topLinePunct/>
            </w:pPr>
            <w:r>
              <w:t>生产车间</w:t>
            </w:r>
            <w:r>
              <w:rPr>
                <w:rFonts w:hint="eastAsia"/>
              </w:rPr>
              <w:t>一</w:t>
            </w:r>
          </w:p>
        </w:tc>
        <w:tc>
          <w:tcPr>
            <w:tcW w:w="519" w:type="pct"/>
            <w:vMerge w:val="restart"/>
            <w:vAlign w:val="center"/>
          </w:tcPr>
          <w:p w14:paraId="67E3A0F0" w14:textId="77777777" w:rsidR="003E78AB" w:rsidRDefault="00010BF9">
            <w:pPr>
              <w:pStyle w:val="aff6"/>
              <w:topLinePunct/>
            </w:pPr>
            <w:r>
              <w:rPr>
                <w:rFonts w:hint="eastAsia"/>
              </w:rPr>
              <w:t>是</w:t>
            </w:r>
          </w:p>
        </w:tc>
        <w:tc>
          <w:tcPr>
            <w:tcW w:w="542" w:type="pct"/>
            <w:vAlign w:val="center"/>
          </w:tcPr>
          <w:p w14:paraId="22A212F9" w14:textId="77777777" w:rsidR="003E78AB" w:rsidRDefault="00010BF9">
            <w:pPr>
              <w:pStyle w:val="aff6"/>
              <w:topLinePunct/>
            </w:pPr>
            <w:r>
              <w:t>V</w:t>
            </w:r>
            <w:r>
              <w:rPr>
                <w:vertAlign w:val="subscript"/>
              </w:rPr>
              <w:t>2</w:t>
            </w:r>
            <w:r>
              <w:t>O</w:t>
            </w:r>
            <w:r>
              <w:rPr>
                <w:vertAlign w:val="subscript"/>
              </w:rPr>
              <w:t>5</w:t>
            </w:r>
            <w:r>
              <w:rPr>
                <w:rFonts w:hint="eastAsia"/>
              </w:rPr>
              <w:t>、</w:t>
            </w:r>
            <w:r>
              <w:t>98%</w:t>
            </w:r>
            <w:r>
              <w:t>硫酸</w:t>
            </w:r>
          </w:p>
        </w:tc>
        <w:tc>
          <w:tcPr>
            <w:tcW w:w="714" w:type="pct"/>
            <w:vAlign w:val="center"/>
          </w:tcPr>
          <w:p w14:paraId="3EBE90A1" w14:textId="77777777" w:rsidR="003E78AB" w:rsidRDefault="00010BF9">
            <w:pPr>
              <w:pStyle w:val="aff6"/>
              <w:topLinePunct/>
            </w:pPr>
            <w:r>
              <w:t>泄漏</w:t>
            </w:r>
          </w:p>
        </w:tc>
        <w:tc>
          <w:tcPr>
            <w:tcW w:w="908" w:type="pct"/>
            <w:vAlign w:val="center"/>
          </w:tcPr>
          <w:p w14:paraId="2FBF56D7" w14:textId="77777777" w:rsidR="003E78AB" w:rsidRDefault="00010BF9">
            <w:pPr>
              <w:pStyle w:val="aff6"/>
              <w:topLinePunct/>
            </w:pPr>
            <w:r>
              <w:t>地表水</w:t>
            </w:r>
            <w:r>
              <w:rPr>
                <w:rFonts w:hint="eastAsia"/>
              </w:rPr>
              <w:t>、</w:t>
            </w:r>
            <w:r>
              <w:t>地下水</w:t>
            </w:r>
            <w:r>
              <w:rPr>
                <w:rFonts w:hint="eastAsia"/>
              </w:rPr>
              <w:t>和土壤</w:t>
            </w:r>
          </w:p>
        </w:tc>
        <w:tc>
          <w:tcPr>
            <w:tcW w:w="1237" w:type="pct"/>
            <w:vAlign w:val="center"/>
          </w:tcPr>
          <w:p w14:paraId="5A735497" w14:textId="77777777" w:rsidR="003E78AB" w:rsidRDefault="00010BF9">
            <w:pPr>
              <w:pStyle w:val="aff6"/>
              <w:topLinePunct/>
            </w:pPr>
            <w:r>
              <w:t>周边地表水体及地下水</w:t>
            </w:r>
            <w:r>
              <w:rPr>
                <w:rFonts w:hint="eastAsia"/>
              </w:rPr>
              <w:t>和土壤</w:t>
            </w:r>
          </w:p>
        </w:tc>
      </w:tr>
      <w:tr w:rsidR="003E78AB" w14:paraId="46059351" w14:textId="77777777">
        <w:trPr>
          <w:trHeight w:val="525"/>
        </w:trPr>
        <w:tc>
          <w:tcPr>
            <w:tcW w:w="529" w:type="pct"/>
            <w:vAlign w:val="center"/>
          </w:tcPr>
          <w:p w14:paraId="10FFA11B" w14:textId="77777777" w:rsidR="003E78AB" w:rsidRDefault="00010BF9">
            <w:pPr>
              <w:pStyle w:val="aff6"/>
              <w:topLinePunct/>
            </w:pPr>
            <w:r>
              <w:t>电解</w:t>
            </w:r>
          </w:p>
        </w:tc>
        <w:tc>
          <w:tcPr>
            <w:tcW w:w="549" w:type="pct"/>
            <w:vMerge/>
            <w:vAlign w:val="center"/>
          </w:tcPr>
          <w:p w14:paraId="39D447E6" w14:textId="77777777" w:rsidR="003E78AB" w:rsidRDefault="003E78AB">
            <w:pPr>
              <w:pStyle w:val="aff6"/>
              <w:topLinePunct/>
            </w:pPr>
          </w:p>
        </w:tc>
        <w:tc>
          <w:tcPr>
            <w:tcW w:w="519" w:type="pct"/>
            <w:vMerge/>
            <w:vAlign w:val="center"/>
          </w:tcPr>
          <w:p w14:paraId="1FD71A26" w14:textId="77777777" w:rsidR="003E78AB" w:rsidRDefault="003E78AB">
            <w:pPr>
              <w:pStyle w:val="aff6"/>
              <w:topLinePunct/>
            </w:pPr>
          </w:p>
        </w:tc>
        <w:tc>
          <w:tcPr>
            <w:tcW w:w="542" w:type="pct"/>
            <w:vAlign w:val="center"/>
          </w:tcPr>
          <w:p w14:paraId="1A12E43F" w14:textId="77777777" w:rsidR="003E78AB" w:rsidRDefault="00010BF9">
            <w:pPr>
              <w:pStyle w:val="aff6"/>
              <w:topLinePunct/>
            </w:pPr>
            <w:r>
              <w:t>钒电解液</w:t>
            </w:r>
          </w:p>
        </w:tc>
        <w:tc>
          <w:tcPr>
            <w:tcW w:w="714" w:type="pct"/>
            <w:vAlign w:val="center"/>
          </w:tcPr>
          <w:p w14:paraId="61CB0074" w14:textId="77777777" w:rsidR="003E78AB" w:rsidRDefault="00010BF9">
            <w:pPr>
              <w:pStyle w:val="aff6"/>
              <w:topLinePunct/>
            </w:pPr>
            <w:r>
              <w:t>泄漏</w:t>
            </w:r>
          </w:p>
        </w:tc>
        <w:tc>
          <w:tcPr>
            <w:tcW w:w="908" w:type="pct"/>
            <w:vAlign w:val="center"/>
          </w:tcPr>
          <w:p w14:paraId="43DD4B7D" w14:textId="77777777" w:rsidR="003E78AB" w:rsidRDefault="00010BF9">
            <w:pPr>
              <w:pStyle w:val="aff6"/>
              <w:topLinePunct/>
            </w:pPr>
            <w:r>
              <w:t>地表水</w:t>
            </w:r>
            <w:r>
              <w:rPr>
                <w:rFonts w:hint="eastAsia"/>
              </w:rPr>
              <w:t>、</w:t>
            </w:r>
            <w:r>
              <w:t>地下水</w:t>
            </w:r>
            <w:r>
              <w:rPr>
                <w:rFonts w:hint="eastAsia"/>
              </w:rPr>
              <w:t>和土壤</w:t>
            </w:r>
          </w:p>
        </w:tc>
        <w:tc>
          <w:tcPr>
            <w:tcW w:w="1237" w:type="pct"/>
            <w:vAlign w:val="center"/>
          </w:tcPr>
          <w:p w14:paraId="1BA5E316" w14:textId="77777777" w:rsidR="003E78AB" w:rsidRDefault="00010BF9">
            <w:pPr>
              <w:pStyle w:val="aff6"/>
              <w:topLinePunct/>
            </w:pPr>
            <w:r>
              <w:t>周边地表水体及地下水</w:t>
            </w:r>
            <w:r>
              <w:rPr>
                <w:rFonts w:hint="eastAsia"/>
              </w:rPr>
              <w:t>和土壤</w:t>
            </w:r>
          </w:p>
        </w:tc>
      </w:tr>
      <w:tr w:rsidR="003E78AB" w14:paraId="757DF56C" w14:textId="77777777">
        <w:trPr>
          <w:trHeight w:val="525"/>
        </w:trPr>
        <w:tc>
          <w:tcPr>
            <w:tcW w:w="529" w:type="pct"/>
            <w:vAlign w:val="center"/>
          </w:tcPr>
          <w:p w14:paraId="5EF15979" w14:textId="77777777" w:rsidR="003E78AB" w:rsidRDefault="00010BF9">
            <w:pPr>
              <w:pStyle w:val="aff6"/>
              <w:topLinePunct/>
            </w:pPr>
            <w:r>
              <w:t>定容</w:t>
            </w:r>
          </w:p>
        </w:tc>
        <w:tc>
          <w:tcPr>
            <w:tcW w:w="549" w:type="pct"/>
            <w:vMerge/>
            <w:vAlign w:val="center"/>
          </w:tcPr>
          <w:p w14:paraId="6C0268FF" w14:textId="77777777" w:rsidR="003E78AB" w:rsidRDefault="003E78AB">
            <w:pPr>
              <w:pStyle w:val="aff6"/>
              <w:topLinePunct/>
            </w:pPr>
          </w:p>
        </w:tc>
        <w:tc>
          <w:tcPr>
            <w:tcW w:w="519" w:type="pct"/>
            <w:vMerge/>
            <w:vAlign w:val="center"/>
          </w:tcPr>
          <w:p w14:paraId="3382EA03" w14:textId="77777777" w:rsidR="003E78AB" w:rsidRDefault="003E78AB">
            <w:pPr>
              <w:pStyle w:val="aff6"/>
              <w:topLinePunct/>
            </w:pPr>
          </w:p>
        </w:tc>
        <w:tc>
          <w:tcPr>
            <w:tcW w:w="542" w:type="pct"/>
            <w:vAlign w:val="center"/>
          </w:tcPr>
          <w:p w14:paraId="405833CE" w14:textId="77777777" w:rsidR="003E78AB" w:rsidRDefault="00010BF9">
            <w:pPr>
              <w:pStyle w:val="aff6"/>
              <w:topLinePunct/>
            </w:pPr>
            <w:r>
              <w:t>钒电解液</w:t>
            </w:r>
          </w:p>
        </w:tc>
        <w:tc>
          <w:tcPr>
            <w:tcW w:w="714" w:type="pct"/>
            <w:vAlign w:val="center"/>
          </w:tcPr>
          <w:p w14:paraId="12C840F4" w14:textId="77777777" w:rsidR="003E78AB" w:rsidRDefault="00010BF9">
            <w:pPr>
              <w:pStyle w:val="aff6"/>
              <w:topLinePunct/>
            </w:pPr>
            <w:r>
              <w:t>泄漏</w:t>
            </w:r>
          </w:p>
        </w:tc>
        <w:tc>
          <w:tcPr>
            <w:tcW w:w="908" w:type="pct"/>
            <w:vAlign w:val="center"/>
          </w:tcPr>
          <w:p w14:paraId="27707F53" w14:textId="77777777" w:rsidR="003E78AB" w:rsidRDefault="00010BF9">
            <w:pPr>
              <w:pStyle w:val="aff6"/>
              <w:topLinePunct/>
            </w:pPr>
            <w:r>
              <w:t>地表水</w:t>
            </w:r>
            <w:r>
              <w:rPr>
                <w:rFonts w:hint="eastAsia"/>
              </w:rPr>
              <w:t>、</w:t>
            </w:r>
            <w:r>
              <w:t>水地下水</w:t>
            </w:r>
            <w:r>
              <w:rPr>
                <w:rFonts w:hint="eastAsia"/>
              </w:rPr>
              <w:t>和土壤</w:t>
            </w:r>
          </w:p>
        </w:tc>
        <w:tc>
          <w:tcPr>
            <w:tcW w:w="1237" w:type="pct"/>
            <w:vAlign w:val="center"/>
          </w:tcPr>
          <w:p w14:paraId="21D14CD9" w14:textId="77777777" w:rsidR="003E78AB" w:rsidRDefault="00010BF9">
            <w:pPr>
              <w:pStyle w:val="aff6"/>
              <w:topLinePunct/>
            </w:pPr>
            <w:r>
              <w:t>周边地表水体及地下水</w:t>
            </w:r>
            <w:r>
              <w:rPr>
                <w:rFonts w:hint="eastAsia"/>
              </w:rPr>
              <w:t>和土壤</w:t>
            </w:r>
          </w:p>
        </w:tc>
      </w:tr>
      <w:tr w:rsidR="003E78AB" w14:paraId="3691F7A8" w14:textId="77777777">
        <w:trPr>
          <w:trHeight w:val="525"/>
        </w:trPr>
        <w:tc>
          <w:tcPr>
            <w:tcW w:w="529" w:type="pct"/>
            <w:vAlign w:val="center"/>
          </w:tcPr>
          <w:p w14:paraId="7C3D3335" w14:textId="77777777" w:rsidR="003E78AB" w:rsidRDefault="00010BF9">
            <w:pPr>
              <w:pStyle w:val="aff6"/>
              <w:topLinePunct/>
            </w:pPr>
            <w:r>
              <w:rPr>
                <w:rFonts w:hint="eastAsia"/>
              </w:rPr>
              <w:t>灌装</w:t>
            </w:r>
          </w:p>
        </w:tc>
        <w:tc>
          <w:tcPr>
            <w:tcW w:w="549" w:type="pct"/>
            <w:vMerge/>
            <w:vAlign w:val="center"/>
          </w:tcPr>
          <w:p w14:paraId="52E26593" w14:textId="77777777" w:rsidR="003E78AB" w:rsidRDefault="003E78AB">
            <w:pPr>
              <w:pStyle w:val="aff6"/>
              <w:topLinePunct/>
            </w:pPr>
          </w:p>
        </w:tc>
        <w:tc>
          <w:tcPr>
            <w:tcW w:w="519" w:type="pct"/>
            <w:vMerge/>
            <w:vAlign w:val="center"/>
          </w:tcPr>
          <w:p w14:paraId="525F92D7" w14:textId="77777777" w:rsidR="003E78AB" w:rsidRDefault="003E78AB">
            <w:pPr>
              <w:pStyle w:val="aff6"/>
              <w:topLinePunct/>
            </w:pPr>
          </w:p>
        </w:tc>
        <w:tc>
          <w:tcPr>
            <w:tcW w:w="542" w:type="pct"/>
            <w:vAlign w:val="center"/>
          </w:tcPr>
          <w:p w14:paraId="37912529" w14:textId="77777777" w:rsidR="003E78AB" w:rsidRDefault="00010BF9">
            <w:pPr>
              <w:pStyle w:val="aff6"/>
              <w:topLinePunct/>
            </w:pPr>
            <w:r>
              <w:t>钒电解液</w:t>
            </w:r>
          </w:p>
        </w:tc>
        <w:tc>
          <w:tcPr>
            <w:tcW w:w="714" w:type="pct"/>
            <w:vAlign w:val="center"/>
          </w:tcPr>
          <w:p w14:paraId="564B74AE" w14:textId="77777777" w:rsidR="003E78AB" w:rsidRDefault="00010BF9">
            <w:pPr>
              <w:pStyle w:val="aff6"/>
              <w:topLinePunct/>
            </w:pPr>
            <w:r>
              <w:t>泄漏</w:t>
            </w:r>
          </w:p>
        </w:tc>
        <w:tc>
          <w:tcPr>
            <w:tcW w:w="908" w:type="pct"/>
            <w:vAlign w:val="center"/>
          </w:tcPr>
          <w:p w14:paraId="27C8086F" w14:textId="77777777" w:rsidR="003E78AB" w:rsidRDefault="00010BF9">
            <w:pPr>
              <w:pStyle w:val="aff6"/>
              <w:topLinePunct/>
            </w:pPr>
            <w:r>
              <w:t>地表水</w:t>
            </w:r>
            <w:r>
              <w:rPr>
                <w:rFonts w:hint="eastAsia"/>
              </w:rPr>
              <w:t>、</w:t>
            </w:r>
            <w:r>
              <w:t>水地下水</w:t>
            </w:r>
            <w:r>
              <w:rPr>
                <w:rFonts w:hint="eastAsia"/>
              </w:rPr>
              <w:t>和土壤</w:t>
            </w:r>
          </w:p>
        </w:tc>
        <w:tc>
          <w:tcPr>
            <w:tcW w:w="1237" w:type="pct"/>
            <w:vAlign w:val="center"/>
          </w:tcPr>
          <w:p w14:paraId="3FF86044" w14:textId="77777777" w:rsidR="003E78AB" w:rsidRDefault="00010BF9">
            <w:pPr>
              <w:pStyle w:val="aff6"/>
              <w:topLinePunct/>
            </w:pPr>
            <w:r>
              <w:t>周边地表水体及地下水</w:t>
            </w:r>
            <w:r>
              <w:rPr>
                <w:rFonts w:hint="eastAsia"/>
              </w:rPr>
              <w:t>和土壤</w:t>
            </w:r>
          </w:p>
        </w:tc>
      </w:tr>
      <w:tr w:rsidR="003E78AB" w14:paraId="25133F72" w14:textId="77777777">
        <w:trPr>
          <w:trHeight w:val="1305"/>
        </w:trPr>
        <w:tc>
          <w:tcPr>
            <w:tcW w:w="1078" w:type="pct"/>
            <w:gridSpan w:val="2"/>
            <w:vMerge w:val="restart"/>
            <w:vAlign w:val="center"/>
          </w:tcPr>
          <w:p w14:paraId="18D6B18A" w14:textId="77777777" w:rsidR="003E78AB" w:rsidRDefault="00010BF9">
            <w:pPr>
              <w:pStyle w:val="aff6"/>
              <w:topLinePunct/>
            </w:pPr>
            <w:r>
              <w:rPr>
                <w:rFonts w:hint="eastAsia"/>
              </w:rPr>
              <w:t>危险废物暂存间</w:t>
            </w:r>
          </w:p>
        </w:tc>
        <w:tc>
          <w:tcPr>
            <w:tcW w:w="519" w:type="pct"/>
            <w:vMerge w:val="restart"/>
            <w:vAlign w:val="center"/>
          </w:tcPr>
          <w:p w14:paraId="7F65B5E0" w14:textId="77777777" w:rsidR="003E78AB" w:rsidRDefault="00010BF9">
            <w:pPr>
              <w:pStyle w:val="aff6"/>
              <w:topLinePunct/>
            </w:pPr>
            <w:r>
              <w:rPr>
                <w:rFonts w:hint="eastAsia"/>
              </w:rPr>
              <w:t>是</w:t>
            </w:r>
          </w:p>
        </w:tc>
        <w:tc>
          <w:tcPr>
            <w:tcW w:w="542" w:type="pct"/>
            <w:vAlign w:val="center"/>
          </w:tcPr>
          <w:p w14:paraId="7BFF3BCC" w14:textId="77777777" w:rsidR="003E78AB" w:rsidRDefault="00010BF9">
            <w:pPr>
              <w:pStyle w:val="aff6"/>
              <w:topLinePunct/>
            </w:pPr>
            <w:r>
              <w:t>油类物质</w:t>
            </w:r>
            <w:r>
              <w:rPr>
                <w:rFonts w:hint="eastAsia"/>
              </w:rPr>
              <w:t>（</w:t>
            </w:r>
            <w:r>
              <w:t>废</w:t>
            </w:r>
            <w:r>
              <w:rPr>
                <w:rFonts w:hint="eastAsia"/>
              </w:rPr>
              <w:t>润滑</w:t>
            </w:r>
            <w:r>
              <w:t>油</w:t>
            </w:r>
            <w:r>
              <w:rPr>
                <w:rFonts w:hint="eastAsia"/>
              </w:rPr>
              <w:t>）</w:t>
            </w:r>
          </w:p>
        </w:tc>
        <w:tc>
          <w:tcPr>
            <w:tcW w:w="714" w:type="pct"/>
            <w:vAlign w:val="center"/>
          </w:tcPr>
          <w:p w14:paraId="09A5F0D5" w14:textId="77777777" w:rsidR="003E78AB" w:rsidRDefault="00010BF9">
            <w:pPr>
              <w:pStyle w:val="aff6"/>
              <w:topLinePunct/>
            </w:pPr>
            <w:r>
              <w:t>泄漏、火灾爆炸次生污染物排放</w:t>
            </w:r>
          </w:p>
        </w:tc>
        <w:tc>
          <w:tcPr>
            <w:tcW w:w="908" w:type="pct"/>
            <w:vAlign w:val="center"/>
          </w:tcPr>
          <w:p w14:paraId="3E14C843" w14:textId="77777777" w:rsidR="003E78AB" w:rsidRDefault="00010BF9">
            <w:pPr>
              <w:pStyle w:val="aff6"/>
              <w:topLinePunct/>
            </w:pPr>
            <w:r>
              <w:t>环境空气</w:t>
            </w:r>
          </w:p>
        </w:tc>
        <w:tc>
          <w:tcPr>
            <w:tcW w:w="1237" w:type="pct"/>
            <w:vAlign w:val="center"/>
          </w:tcPr>
          <w:p w14:paraId="3E53849D" w14:textId="77777777" w:rsidR="003E78AB" w:rsidRDefault="00010BF9">
            <w:pPr>
              <w:pStyle w:val="aff6"/>
              <w:topLinePunct/>
            </w:pPr>
            <w:r>
              <w:t>大气环境及周边敏感点</w:t>
            </w:r>
          </w:p>
        </w:tc>
      </w:tr>
      <w:tr w:rsidR="003E78AB" w14:paraId="3361BF13" w14:textId="77777777">
        <w:trPr>
          <w:trHeight w:val="1305"/>
        </w:trPr>
        <w:tc>
          <w:tcPr>
            <w:tcW w:w="1078" w:type="pct"/>
            <w:gridSpan w:val="2"/>
            <w:vMerge/>
            <w:vAlign w:val="center"/>
          </w:tcPr>
          <w:p w14:paraId="6E75CC08" w14:textId="77777777" w:rsidR="003E78AB" w:rsidRDefault="003E78AB">
            <w:pPr>
              <w:pStyle w:val="aff6"/>
              <w:topLinePunct/>
            </w:pPr>
          </w:p>
        </w:tc>
        <w:tc>
          <w:tcPr>
            <w:tcW w:w="519" w:type="pct"/>
            <w:vMerge/>
            <w:vAlign w:val="center"/>
          </w:tcPr>
          <w:p w14:paraId="38214405" w14:textId="77777777" w:rsidR="003E78AB" w:rsidRDefault="003E78AB">
            <w:pPr>
              <w:pStyle w:val="aff6"/>
              <w:topLinePunct/>
            </w:pPr>
          </w:p>
        </w:tc>
        <w:tc>
          <w:tcPr>
            <w:tcW w:w="542" w:type="pct"/>
            <w:vAlign w:val="center"/>
          </w:tcPr>
          <w:p w14:paraId="6F3B4A0E" w14:textId="77777777" w:rsidR="003E78AB" w:rsidRDefault="00010BF9">
            <w:pPr>
              <w:pStyle w:val="aff6"/>
              <w:topLinePunct/>
            </w:pPr>
            <w:r>
              <w:t>含钒</w:t>
            </w:r>
            <w:r>
              <w:rPr>
                <w:rFonts w:hint="eastAsia"/>
              </w:rPr>
              <w:t>结晶盐</w:t>
            </w:r>
          </w:p>
        </w:tc>
        <w:tc>
          <w:tcPr>
            <w:tcW w:w="714" w:type="pct"/>
            <w:vAlign w:val="center"/>
          </w:tcPr>
          <w:p w14:paraId="5094FDE9" w14:textId="77777777" w:rsidR="003E78AB" w:rsidRDefault="00010BF9">
            <w:pPr>
              <w:pStyle w:val="aff6"/>
              <w:topLinePunct/>
            </w:pPr>
            <w:r>
              <w:t>泄漏</w:t>
            </w:r>
          </w:p>
        </w:tc>
        <w:tc>
          <w:tcPr>
            <w:tcW w:w="908" w:type="pct"/>
            <w:vAlign w:val="center"/>
          </w:tcPr>
          <w:p w14:paraId="7EDDB32D" w14:textId="77777777" w:rsidR="003E78AB" w:rsidRDefault="00010BF9">
            <w:pPr>
              <w:pStyle w:val="aff6"/>
              <w:topLinePunct/>
            </w:pPr>
            <w:r>
              <w:t>地表水</w:t>
            </w:r>
            <w:r>
              <w:rPr>
                <w:rFonts w:hint="eastAsia"/>
              </w:rPr>
              <w:t>、</w:t>
            </w:r>
            <w:r>
              <w:t>水地下水</w:t>
            </w:r>
            <w:r>
              <w:rPr>
                <w:rFonts w:hint="eastAsia"/>
              </w:rPr>
              <w:t>和土壤</w:t>
            </w:r>
          </w:p>
        </w:tc>
        <w:tc>
          <w:tcPr>
            <w:tcW w:w="1237" w:type="pct"/>
            <w:vAlign w:val="center"/>
          </w:tcPr>
          <w:p w14:paraId="1A2FB5E5" w14:textId="77777777" w:rsidR="003E78AB" w:rsidRDefault="00010BF9">
            <w:pPr>
              <w:pStyle w:val="aff6"/>
              <w:topLinePunct/>
            </w:pPr>
            <w:r>
              <w:t>周边地表水体及地下水</w:t>
            </w:r>
            <w:r>
              <w:rPr>
                <w:rFonts w:hint="eastAsia"/>
              </w:rPr>
              <w:t>和土壤</w:t>
            </w:r>
          </w:p>
        </w:tc>
      </w:tr>
    </w:tbl>
    <w:p w14:paraId="47EC0E2C" w14:textId="77777777" w:rsidR="003E78AB" w:rsidRDefault="00010BF9">
      <w:pPr>
        <w:pStyle w:val="24"/>
        <w:keepNext w:val="0"/>
        <w:keepLines w:val="0"/>
        <w:topLinePunct/>
        <w:spacing w:before="120"/>
        <w:rPr>
          <w:rFonts w:cs="Times New Roman"/>
        </w:rPr>
      </w:pPr>
      <w:bookmarkStart w:id="431" w:name="_Toc7315"/>
      <w:r>
        <w:rPr>
          <w:rFonts w:cs="Times New Roman" w:hint="eastAsia"/>
        </w:rPr>
        <w:t>6.4</w:t>
      </w:r>
      <w:r>
        <w:rPr>
          <w:rFonts w:cs="Times New Roman"/>
        </w:rPr>
        <w:t>风险事故情形分析</w:t>
      </w:r>
      <w:bookmarkEnd w:id="431"/>
    </w:p>
    <w:p w14:paraId="45E898C2"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.4.1</w:t>
      </w:r>
      <w:r>
        <w:rPr>
          <w:rFonts w:cs="Times New Roman"/>
          <w:sz w:val="28"/>
          <w:szCs w:val="28"/>
        </w:rPr>
        <w:t>风险事故情形设定</w:t>
      </w:r>
    </w:p>
    <w:p w14:paraId="07391E1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6.4.1</w:t>
      </w:r>
      <w:r>
        <w:rPr>
          <w:rFonts w:ascii="Times New Roman" w:hAnsi="Times New Roman"/>
        </w:rPr>
        <w:t>.1</w:t>
      </w:r>
      <w:r>
        <w:rPr>
          <w:rFonts w:ascii="Times New Roman" w:hAnsi="Times New Roman"/>
        </w:rPr>
        <w:t>大气风险事故情形</w:t>
      </w:r>
    </w:p>
    <w:p w14:paraId="354473D5" w14:textId="77777777" w:rsidR="003E78AB" w:rsidRDefault="00010BF9">
      <w:pPr>
        <w:ind w:firstLine="480"/>
        <w:rPr>
          <w:kern w:val="2"/>
        </w:rPr>
      </w:pPr>
      <w:r>
        <w:rPr>
          <w:kern w:val="2"/>
        </w:rPr>
        <w:t>项目原料涉及</w:t>
      </w:r>
      <w:r>
        <w:rPr>
          <w:kern w:val="2"/>
        </w:rPr>
        <w:t>V</w:t>
      </w:r>
      <w:r>
        <w:rPr>
          <w:kern w:val="2"/>
          <w:vertAlign w:val="subscript"/>
        </w:rPr>
        <w:t>2</w:t>
      </w:r>
      <w:r>
        <w:rPr>
          <w:kern w:val="2"/>
        </w:rPr>
        <w:t>O</w:t>
      </w:r>
      <w:r>
        <w:rPr>
          <w:kern w:val="2"/>
          <w:vertAlign w:val="subscript"/>
        </w:rPr>
        <w:t>5</w:t>
      </w:r>
      <w:r>
        <w:rPr>
          <w:kern w:val="2"/>
        </w:rPr>
        <w:t>、</w:t>
      </w:r>
      <w:r>
        <w:rPr>
          <w:rFonts w:hint="eastAsia"/>
          <w:kern w:val="2"/>
        </w:rPr>
        <w:t>二水草酸、</w:t>
      </w:r>
      <w:r>
        <w:rPr>
          <w:kern w:val="2"/>
        </w:rPr>
        <w:t>硫酸及</w:t>
      </w:r>
      <w:r>
        <w:rPr>
          <w:rFonts w:hint="eastAsia"/>
          <w:kern w:val="2"/>
        </w:rPr>
        <w:t>磷酸</w:t>
      </w:r>
      <w:r>
        <w:rPr>
          <w:kern w:val="2"/>
        </w:rPr>
        <w:t>等，中间产品或产品为含钒电解液，除五氧化二钒</w:t>
      </w:r>
      <w:r>
        <w:rPr>
          <w:rFonts w:hint="eastAsia"/>
          <w:kern w:val="2"/>
        </w:rPr>
        <w:t>、草酸</w:t>
      </w:r>
      <w:r>
        <w:rPr>
          <w:kern w:val="2"/>
        </w:rPr>
        <w:t>为粉状物料外，其余均为液态。原料</w:t>
      </w:r>
      <w:r>
        <w:rPr>
          <w:kern w:val="2"/>
        </w:rPr>
        <w:t>V</w:t>
      </w:r>
      <w:r>
        <w:rPr>
          <w:kern w:val="2"/>
          <w:vertAlign w:val="subscript"/>
        </w:rPr>
        <w:t>2</w:t>
      </w:r>
      <w:r>
        <w:rPr>
          <w:kern w:val="2"/>
        </w:rPr>
        <w:t>O</w:t>
      </w:r>
      <w:r>
        <w:rPr>
          <w:kern w:val="2"/>
          <w:vertAlign w:val="subscript"/>
        </w:rPr>
        <w:t>5</w:t>
      </w:r>
      <w:r>
        <w:rPr>
          <w:rFonts w:hint="eastAsia"/>
          <w:kern w:val="2"/>
        </w:rPr>
        <w:t>、二水草酸</w:t>
      </w:r>
      <w:r>
        <w:rPr>
          <w:kern w:val="2"/>
        </w:rPr>
        <w:t>包装形式为袋装</w:t>
      </w:r>
      <w:r>
        <w:rPr>
          <w:rFonts w:hint="eastAsia"/>
          <w:kern w:val="2"/>
        </w:rPr>
        <w:t>（</w:t>
      </w:r>
      <w:r>
        <w:rPr>
          <w:rFonts w:hint="eastAsia"/>
          <w:kern w:val="2"/>
        </w:rPr>
        <w:t>1</w:t>
      </w:r>
      <w:r>
        <w:rPr>
          <w:rFonts w:hint="eastAsia"/>
          <w:kern w:val="2"/>
        </w:rPr>
        <w:t>吨</w:t>
      </w:r>
      <w:r>
        <w:rPr>
          <w:kern w:val="2"/>
        </w:rPr>
        <w:t>/</w:t>
      </w:r>
      <w:r>
        <w:rPr>
          <w:kern w:val="2"/>
        </w:rPr>
        <w:t>袋</w:t>
      </w:r>
      <w:r>
        <w:rPr>
          <w:rFonts w:hint="eastAsia"/>
          <w:kern w:val="2"/>
        </w:rPr>
        <w:t>）</w:t>
      </w:r>
      <w:r>
        <w:rPr>
          <w:kern w:val="2"/>
        </w:rPr>
        <w:t>，当袋子破损或撕裂时会造成风险物质的泄漏，但泄漏量一般较小，同时原料位于封闭原料库，可及时收集回用，对环境空气影响较小。其他环节钒均以溶液状态存在生产装置及产品罐，且不易挥发，对周围环境空气影响较小，综上，本项目环境空气重点风险源拟设定为废气除尘管线破裂造成</w:t>
      </w:r>
      <w:r>
        <w:rPr>
          <w:kern w:val="2"/>
        </w:rPr>
        <w:t>V</w:t>
      </w:r>
      <w:r>
        <w:rPr>
          <w:kern w:val="2"/>
          <w:vertAlign w:val="subscript"/>
        </w:rPr>
        <w:t>2</w:t>
      </w:r>
      <w:r>
        <w:rPr>
          <w:kern w:val="2"/>
        </w:rPr>
        <w:t>O</w:t>
      </w:r>
      <w:r>
        <w:rPr>
          <w:kern w:val="2"/>
          <w:vertAlign w:val="subscript"/>
        </w:rPr>
        <w:t>5</w:t>
      </w:r>
      <w:r>
        <w:rPr>
          <w:kern w:val="2"/>
        </w:rPr>
        <w:t>废气事故排放。同时，项目设置</w:t>
      </w:r>
      <w:r>
        <w:rPr>
          <w:kern w:val="2"/>
        </w:rPr>
        <w:t>4</w:t>
      </w:r>
      <w:r>
        <w:rPr>
          <w:kern w:val="2"/>
        </w:rPr>
        <w:t>个</w:t>
      </w:r>
      <w:r>
        <w:rPr>
          <w:rFonts w:hint="eastAsia"/>
          <w:kern w:val="2"/>
        </w:rPr>
        <w:t>200</w:t>
      </w:r>
      <w:r>
        <w:rPr>
          <w:kern w:val="2"/>
        </w:rPr>
        <w:t>m</w:t>
      </w:r>
      <w:r>
        <w:rPr>
          <w:kern w:val="2"/>
          <w:vertAlign w:val="superscript"/>
        </w:rPr>
        <w:t>3</w:t>
      </w:r>
      <w:r>
        <w:rPr>
          <w:kern w:val="2"/>
        </w:rPr>
        <w:t>硫酸储罐</w:t>
      </w:r>
      <w:r>
        <w:rPr>
          <w:rFonts w:hint="eastAsia"/>
          <w:kern w:val="2"/>
        </w:rPr>
        <w:t>和</w:t>
      </w:r>
      <w:r>
        <w:rPr>
          <w:rFonts w:hint="eastAsia"/>
          <w:kern w:val="2"/>
        </w:rPr>
        <w:t>3</w:t>
      </w:r>
      <w:r>
        <w:rPr>
          <w:rFonts w:hint="eastAsia"/>
          <w:kern w:val="2"/>
        </w:rPr>
        <w:t>个</w:t>
      </w:r>
      <w:r>
        <w:rPr>
          <w:rFonts w:hint="eastAsia"/>
          <w:kern w:val="2"/>
        </w:rPr>
        <w:t>70</w:t>
      </w:r>
      <w:r>
        <w:rPr>
          <w:kern w:val="2"/>
        </w:rPr>
        <w:t>m</w:t>
      </w:r>
      <w:r>
        <w:rPr>
          <w:kern w:val="2"/>
          <w:vertAlign w:val="superscript"/>
        </w:rPr>
        <w:t>3</w:t>
      </w:r>
      <w:r>
        <w:rPr>
          <w:rFonts w:hint="eastAsia"/>
          <w:kern w:val="2"/>
        </w:rPr>
        <w:t>磷酸</w:t>
      </w:r>
      <w:r>
        <w:rPr>
          <w:kern w:val="2"/>
        </w:rPr>
        <w:t>储罐，综合考虑硫酸储罐</w:t>
      </w:r>
      <w:r>
        <w:rPr>
          <w:rFonts w:hint="eastAsia"/>
          <w:kern w:val="2"/>
        </w:rPr>
        <w:t>泄漏</w:t>
      </w:r>
      <w:r>
        <w:rPr>
          <w:kern w:val="2"/>
        </w:rPr>
        <w:t>的环境风险，本次大气风险事故设定为除尘系统废气管线破裂及硫酸储罐</w:t>
      </w:r>
      <w:r>
        <w:rPr>
          <w:rFonts w:hint="eastAsia"/>
          <w:kern w:val="2"/>
        </w:rPr>
        <w:t>泄漏</w:t>
      </w:r>
      <w:r>
        <w:rPr>
          <w:kern w:val="2"/>
        </w:rPr>
        <w:t>。</w:t>
      </w:r>
    </w:p>
    <w:p w14:paraId="1E1C888D" w14:textId="77777777" w:rsidR="003E78AB" w:rsidRDefault="00010BF9">
      <w:pPr>
        <w:pStyle w:val="5"/>
        <w:keepNext w:val="0"/>
        <w:keepLines w:val="0"/>
        <w:ind w:firstLine="482"/>
        <w:rPr>
          <w:sz w:val="24"/>
        </w:rPr>
      </w:pPr>
      <w:r>
        <w:rPr>
          <w:rFonts w:hint="eastAsia"/>
          <w:sz w:val="24"/>
        </w:rPr>
        <w:t>1.</w:t>
      </w:r>
      <w:r>
        <w:rPr>
          <w:sz w:val="24"/>
        </w:rPr>
        <w:t>除尘管线破裂</w:t>
      </w:r>
    </w:p>
    <w:p w14:paraId="47AF385A" w14:textId="77777777" w:rsidR="003E78AB" w:rsidRDefault="00010BF9">
      <w:pPr>
        <w:ind w:firstLine="480"/>
        <w:rPr>
          <w:kern w:val="2"/>
        </w:rPr>
      </w:pPr>
      <w:r>
        <w:rPr>
          <w:kern w:val="2"/>
        </w:rPr>
        <w:t>根据生产工艺，项目</w:t>
      </w:r>
      <w:r>
        <w:rPr>
          <w:rFonts w:hint="eastAsia"/>
          <w:kern w:val="2"/>
        </w:rPr>
        <w:t>2</w:t>
      </w:r>
      <w:r>
        <w:rPr>
          <w:rFonts w:hint="eastAsia"/>
          <w:kern w:val="2"/>
        </w:rPr>
        <w:t>台</w:t>
      </w:r>
      <w:r>
        <w:rPr>
          <w:kern w:val="2"/>
        </w:rPr>
        <w:t>V</w:t>
      </w:r>
      <w:r>
        <w:rPr>
          <w:kern w:val="2"/>
          <w:vertAlign w:val="subscript"/>
        </w:rPr>
        <w:t>2</w:t>
      </w:r>
      <w:r>
        <w:rPr>
          <w:kern w:val="2"/>
        </w:rPr>
        <w:t>O</w:t>
      </w:r>
      <w:r>
        <w:rPr>
          <w:kern w:val="2"/>
          <w:vertAlign w:val="subscript"/>
        </w:rPr>
        <w:t>5</w:t>
      </w:r>
      <w:r>
        <w:rPr>
          <w:rFonts w:hint="eastAsia"/>
          <w:kern w:val="2"/>
        </w:rPr>
        <w:t>拆包机配套</w:t>
      </w:r>
      <w:r>
        <w:rPr>
          <w:kern w:val="2"/>
        </w:rPr>
        <w:t>1</w:t>
      </w:r>
      <w:r>
        <w:rPr>
          <w:kern w:val="2"/>
        </w:rPr>
        <w:t>套除尘设施，颗粒物经净化处理后由</w:t>
      </w:r>
      <w:r>
        <w:rPr>
          <w:kern w:val="2"/>
        </w:rPr>
        <w:t>1</w:t>
      </w:r>
      <w:r>
        <w:rPr>
          <w:kern w:val="2"/>
        </w:rPr>
        <w:t>根</w:t>
      </w:r>
      <w:r>
        <w:rPr>
          <w:rFonts w:hint="eastAsia"/>
          <w:kern w:val="2"/>
        </w:rPr>
        <w:t>DA001</w:t>
      </w:r>
      <w:r>
        <w:rPr>
          <w:kern w:val="2"/>
        </w:rPr>
        <w:t>排气筒排放；根据源强核算，拟将</w:t>
      </w:r>
      <w:r>
        <w:rPr>
          <w:rFonts w:hint="eastAsia"/>
          <w:kern w:val="2"/>
        </w:rPr>
        <w:t>其中</w:t>
      </w:r>
      <w:r>
        <w:rPr>
          <w:kern w:val="2"/>
        </w:rPr>
        <w:t>除尘管线破裂、废气未经处理直接排放的源强作为除尘管线破裂大气风险事故情形。项目为自动化机械手拆袋、投料，除尘管线破裂后，通过紧急切断阀，管线破裂情形可控制在</w:t>
      </w:r>
      <w:r>
        <w:rPr>
          <w:kern w:val="2"/>
        </w:rPr>
        <w:t>10min</w:t>
      </w:r>
      <w:r>
        <w:rPr>
          <w:kern w:val="2"/>
        </w:rPr>
        <w:t>内得到处理。</w:t>
      </w:r>
    </w:p>
    <w:p w14:paraId="2811B834" w14:textId="77777777" w:rsidR="003E78AB" w:rsidRDefault="00010BF9">
      <w:pPr>
        <w:ind w:firstLine="480"/>
        <w:rPr>
          <w:kern w:val="2"/>
        </w:rPr>
      </w:pPr>
      <w:r>
        <w:rPr>
          <w:kern w:val="2"/>
        </w:rPr>
        <w:t>除尘管线破裂事故源强情况见</w:t>
      </w:r>
      <w:r>
        <w:rPr>
          <w:kern w:val="2"/>
        </w:rPr>
        <w:fldChar w:fldCharType="begin"/>
      </w:r>
      <w:r>
        <w:rPr>
          <w:kern w:val="2"/>
        </w:rPr>
        <w:instrText xml:space="preserve"> REF _Ref15069 \r \h </w:instrText>
      </w:r>
      <w:r>
        <w:rPr>
          <w:kern w:val="2"/>
        </w:rPr>
      </w:r>
      <w:r>
        <w:rPr>
          <w:kern w:val="2"/>
        </w:rPr>
        <w:fldChar w:fldCharType="separate"/>
      </w:r>
      <w:r>
        <w:rPr>
          <w:kern w:val="2"/>
        </w:rPr>
        <w:t>表</w:t>
      </w:r>
      <w:r>
        <w:rPr>
          <w:kern w:val="2"/>
        </w:rPr>
        <w:t>6-22</w:t>
      </w:r>
      <w:r>
        <w:rPr>
          <w:kern w:val="2"/>
        </w:rPr>
        <w:fldChar w:fldCharType="end"/>
      </w:r>
      <w:r>
        <w:rPr>
          <w:kern w:val="2"/>
        </w:rPr>
        <w:t>。</w:t>
      </w:r>
    </w:p>
    <w:p w14:paraId="4AD45EC2" w14:textId="77777777" w:rsidR="003E78AB" w:rsidRDefault="00010BF9">
      <w:pPr>
        <w:pStyle w:val="a"/>
        <w:spacing w:before="120"/>
        <w:ind w:left="425" w:hanging="425"/>
      </w:pPr>
      <w:bookmarkStart w:id="432" w:name="_Ref15069"/>
      <w:r>
        <w:t>项目大气风险事故情景源强一览表</w:t>
      </w:r>
      <w:bookmarkEnd w:id="432"/>
    </w:p>
    <w:p w14:paraId="50441756" w14:textId="77777777" w:rsidR="003E78AB" w:rsidRDefault="003E78AB">
      <w:pPr>
        <w:spacing w:line="25" w:lineRule="exact"/>
        <w:ind w:firstLine="480"/>
      </w:pPr>
    </w:p>
    <w:tbl>
      <w:tblPr>
        <w:tblStyle w:val="TableNormal"/>
        <w:tblW w:w="501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352"/>
        <w:gridCol w:w="1010"/>
        <w:gridCol w:w="760"/>
        <w:gridCol w:w="1376"/>
        <w:gridCol w:w="1186"/>
        <w:gridCol w:w="1184"/>
      </w:tblGrid>
      <w:tr w:rsidR="003E78AB" w14:paraId="6F79FC78" w14:textId="77777777">
        <w:trPr>
          <w:trHeight w:val="657"/>
        </w:trPr>
        <w:tc>
          <w:tcPr>
            <w:tcW w:w="875" w:type="pct"/>
            <w:vAlign w:val="center"/>
          </w:tcPr>
          <w:p w14:paraId="5F40166E" w14:textId="77777777" w:rsidR="003E78AB" w:rsidRDefault="00010BF9">
            <w:pPr>
              <w:pStyle w:val="aff6"/>
              <w:topLinePunct/>
              <w:rPr>
                <w:b/>
                <w:bCs/>
              </w:rPr>
            </w:pPr>
            <w:r>
              <w:rPr>
                <w:b/>
                <w:bCs/>
              </w:rPr>
              <w:t>风险事故</w:t>
            </w:r>
          </w:p>
          <w:p w14:paraId="38A97226" w14:textId="77777777" w:rsidR="003E78AB" w:rsidRDefault="00010BF9">
            <w:pPr>
              <w:pStyle w:val="aff6"/>
              <w:topLinePunct/>
              <w:rPr>
                <w:b/>
                <w:bCs/>
              </w:rPr>
            </w:pPr>
            <w:r>
              <w:rPr>
                <w:b/>
                <w:bCs/>
              </w:rPr>
              <w:t>情形描述</w:t>
            </w:r>
          </w:p>
        </w:tc>
        <w:tc>
          <w:tcPr>
            <w:tcW w:w="811" w:type="pct"/>
            <w:vAlign w:val="center"/>
          </w:tcPr>
          <w:p w14:paraId="578CDCC4" w14:textId="77777777" w:rsidR="003E78AB" w:rsidRDefault="00010BF9">
            <w:pPr>
              <w:pStyle w:val="aff6"/>
              <w:topLinePunct/>
              <w:rPr>
                <w:b/>
                <w:bCs/>
              </w:rPr>
            </w:pPr>
            <w:r>
              <w:rPr>
                <w:b/>
                <w:bCs/>
              </w:rPr>
              <w:t>危险单元</w:t>
            </w:r>
          </w:p>
        </w:tc>
        <w:tc>
          <w:tcPr>
            <w:tcW w:w="606" w:type="pct"/>
            <w:vAlign w:val="center"/>
          </w:tcPr>
          <w:p w14:paraId="51FE378C" w14:textId="77777777" w:rsidR="003E78AB" w:rsidRDefault="00010BF9">
            <w:pPr>
              <w:pStyle w:val="aff6"/>
              <w:topLinePunct/>
              <w:rPr>
                <w:b/>
                <w:bCs/>
              </w:rPr>
            </w:pPr>
            <w:r>
              <w:rPr>
                <w:b/>
                <w:bCs/>
              </w:rPr>
              <w:t>危废物质</w:t>
            </w:r>
          </w:p>
        </w:tc>
        <w:tc>
          <w:tcPr>
            <w:tcW w:w="456" w:type="pct"/>
            <w:vAlign w:val="center"/>
          </w:tcPr>
          <w:p w14:paraId="20A5E8BA" w14:textId="77777777" w:rsidR="003E78AB" w:rsidRDefault="00010BF9">
            <w:pPr>
              <w:pStyle w:val="aff6"/>
              <w:topLinePunct/>
              <w:rPr>
                <w:b/>
                <w:bCs/>
              </w:rPr>
            </w:pPr>
            <w:r>
              <w:rPr>
                <w:b/>
                <w:bCs/>
              </w:rPr>
              <w:t>影响</w:t>
            </w:r>
          </w:p>
          <w:p w14:paraId="17DDEC82" w14:textId="77777777" w:rsidR="003E78AB" w:rsidRDefault="00010BF9">
            <w:pPr>
              <w:pStyle w:val="aff6"/>
              <w:topLinePunct/>
              <w:rPr>
                <w:b/>
                <w:bCs/>
              </w:rPr>
            </w:pPr>
            <w:r>
              <w:rPr>
                <w:b/>
                <w:bCs/>
              </w:rPr>
              <w:t>途径</w:t>
            </w:r>
          </w:p>
        </w:tc>
        <w:tc>
          <w:tcPr>
            <w:tcW w:w="826" w:type="pct"/>
            <w:vAlign w:val="center"/>
          </w:tcPr>
          <w:p w14:paraId="37C6EEE6" w14:textId="77777777" w:rsidR="003E78AB" w:rsidRDefault="00010BF9">
            <w:pPr>
              <w:pStyle w:val="aff6"/>
              <w:topLinePunct/>
              <w:rPr>
                <w:b/>
                <w:bCs/>
              </w:rPr>
            </w:pPr>
            <w:r>
              <w:rPr>
                <w:b/>
                <w:bCs/>
              </w:rPr>
              <w:t>释放或泄漏速率</w:t>
            </w:r>
            <w:r>
              <w:rPr>
                <w:b/>
                <w:bCs/>
              </w:rPr>
              <w:t>kg/s</w:t>
            </w:r>
          </w:p>
        </w:tc>
        <w:tc>
          <w:tcPr>
            <w:tcW w:w="712" w:type="pct"/>
            <w:vAlign w:val="center"/>
          </w:tcPr>
          <w:p w14:paraId="65C7C5D1" w14:textId="77777777" w:rsidR="003E78AB" w:rsidRDefault="00010BF9">
            <w:pPr>
              <w:pStyle w:val="aff6"/>
              <w:topLinePunct/>
              <w:rPr>
                <w:b/>
                <w:bCs/>
              </w:rPr>
            </w:pPr>
            <w:r>
              <w:rPr>
                <w:b/>
                <w:bCs/>
              </w:rPr>
              <w:t>释放或泄漏时间</w:t>
            </w:r>
            <w:r>
              <w:rPr>
                <w:b/>
                <w:bCs/>
              </w:rPr>
              <w:t>min</w:t>
            </w:r>
          </w:p>
        </w:tc>
        <w:tc>
          <w:tcPr>
            <w:tcW w:w="711" w:type="pct"/>
            <w:vAlign w:val="center"/>
          </w:tcPr>
          <w:p w14:paraId="3BFCE214" w14:textId="77777777" w:rsidR="003E78AB" w:rsidRDefault="00010BF9">
            <w:pPr>
              <w:pStyle w:val="aff6"/>
              <w:topLinePunct/>
              <w:rPr>
                <w:b/>
                <w:bCs/>
              </w:rPr>
            </w:pPr>
            <w:r>
              <w:rPr>
                <w:b/>
                <w:bCs/>
              </w:rPr>
              <w:t>最大泄漏量</w:t>
            </w:r>
            <w:r>
              <w:rPr>
                <w:b/>
                <w:bCs/>
              </w:rPr>
              <w:t>kg</w:t>
            </w:r>
          </w:p>
        </w:tc>
      </w:tr>
      <w:tr w:rsidR="003E78AB" w14:paraId="1BCD9549" w14:textId="77777777">
        <w:trPr>
          <w:trHeight w:val="657"/>
        </w:trPr>
        <w:tc>
          <w:tcPr>
            <w:tcW w:w="875" w:type="pct"/>
            <w:vAlign w:val="center"/>
          </w:tcPr>
          <w:p w14:paraId="35D77451" w14:textId="77777777" w:rsidR="003E78AB" w:rsidRDefault="00010BF9">
            <w:pPr>
              <w:pStyle w:val="aff6"/>
              <w:topLinePunct/>
            </w:pPr>
            <w:r>
              <w:t>投料废气泄漏</w:t>
            </w:r>
          </w:p>
        </w:tc>
        <w:tc>
          <w:tcPr>
            <w:tcW w:w="811" w:type="pct"/>
            <w:vAlign w:val="center"/>
          </w:tcPr>
          <w:p w14:paraId="2596107C" w14:textId="77777777" w:rsidR="003E78AB" w:rsidRDefault="00010BF9">
            <w:pPr>
              <w:pStyle w:val="aff6"/>
              <w:topLinePunct/>
            </w:pPr>
            <w:r>
              <w:t>除尘废气管线</w:t>
            </w:r>
          </w:p>
        </w:tc>
        <w:tc>
          <w:tcPr>
            <w:tcW w:w="606" w:type="pct"/>
            <w:vAlign w:val="center"/>
          </w:tcPr>
          <w:p w14:paraId="09031C59" w14:textId="77777777" w:rsidR="003E78AB" w:rsidRDefault="00010BF9">
            <w:pPr>
              <w:pStyle w:val="aff6"/>
              <w:topLinePunct/>
            </w:pPr>
            <w:r>
              <w:t>V</w:t>
            </w:r>
            <w:r>
              <w:rPr>
                <w:vertAlign w:val="subscript"/>
              </w:rPr>
              <w:t>2</w:t>
            </w:r>
            <w:r>
              <w:t>O</w:t>
            </w:r>
            <w:r>
              <w:rPr>
                <w:vertAlign w:val="subscript"/>
              </w:rPr>
              <w:t>5</w:t>
            </w:r>
          </w:p>
        </w:tc>
        <w:tc>
          <w:tcPr>
            <w:tcW w:w="456" w:type="pct"/>
            <w:vAlign w:val="center"/>
          </w:tcPr>
          <w:p w14:paraId="576337C1" w14:textId="77777777" w:rsidR="003E78AB" w:rsidRDefault="00010BF9">
            <w:pPr>
              <w:pStyle w:val="aff6"/>
              <w:topLinePunct/>
            </w:pPr>
            <w:r>
              <w:t>大气</w:t>
            </w:r>
          </w:p>
          <w:p w14:paraId="145ED483" w14:textId="77777777" w:rsidR="003E78AB" w:rsidRDefault="00010BF9">
            <w:pPr>
              <w:pStyle w:val="aff6"/>
              <w:topLinePunct/>
            </w:pPr>
            <w:r>
              <w:t>环境</w:t>
            </w:r>
          </w:p>
        </w:tc>
        <w:tc>
          <w:tcPr>
            <w:tcW w:w="826" w:type="pct"/>
            <w:shd w:val="clear" w:color="auto" w:fill="auto"/>
            <w:vAlign w:val="center"/>
          </w:tcPr>
          <w:p w14:paraId="150B6090" w14:textId="77777777" w:rsidR="003E78AB" w:rsidRDefault="00010BF9">
            <w:pPr>
              <w:pStyle w:val="aff6"/>
              <w:topLinePunct/>
            </w:pPr>
            <w:r>
              <w:rPr>
                <w:rFonts w:hint="eastAsia"/>
              </w:rPr>
              <w:t>0.000766</w:t>
            </w:r>
          </w:p>
        </w:tc>
        <w:tc>
          <w:tcPr>
            <w:tcW w:w="712" w:type="pct"/>
            <w:vAlign w:val="center"/>
          </w:tcPr>
          <w:p w14:paraId="708425EA" w14:textId="77777777" w:rsidR="003E78AB" w:rsidRDefault="00010BF9">
            <w:pPr>
              <w:pStyle w:val="aff6"/>
              <w:topLinePunct/>
            </w:pPr>
            <w:r>
              <w:t>10</w:t>
            </w:r>
          </w:p>
        </w:tc>
        <w:tc>
          <w:tcPr>
            <w:tcW w:w="711" w:type="pct"/>
            <w:shd w:val="clear" w:color="auto" w:fill="auto"/>
            <w:vAlign w:val="center"/>
          </w:tcPr>
          <w:p w14:paraId="18AF654A" w14:textId="77777777" w:rsidR="003E78AB" w:rsidRDefault="00010BF9">
            <w:pPr>
              <w:pStyle w:val="aff6"/>
              <w:topLinePunct/>
            </w:pPr>
            <w:r>
              <w:rPr>
                <w:rFonts w:hint="eastAsia"/>
              </w:rPr>
              <w:t>0.4598</w:t>
            </w:r>
          </w:p>
        </w:tc>
      </w:tr>
    </w:tbl>
    <w:p w14:paraId="38E4DD59" w14:textId="77777777" w:rsidR="003E78AB" w:rsidRDefault="00010BF9">
      <w:pPr>
        <w:pStyle w:val="5"/>
        <w:keepNext w:val="0"/>
        <w:keepLines w:val="0"/>
        <w:ind w:firstLine="482"/>
        <w:rPr>
          <w:sz w:val="24"/>
        </w:rPr>
      </w:pPr>
      <w:r>
        <w:rPr>
          <w:rFonts w:hint="eastAsia"/>
          <w:sz w:val="24"/>
        </w:rPr>
        <w:t>2.</w:t>
      </w:r>
      <w:r>
        <w:rPr>
          <w:sz w:val="24"/>
        </w:rPr>
        <w:t>硫酸储罐</w:t>
      </w:r>
      <w:r>
        <w:rPr>
          <w:rFonts w:hint="eastAsia"/>
          <w:sz w:val="24"/>
        </w:rPr>
        <w:t>泄漏</w:t>
      </w:r>
    </w:p>
    <w:p w14:paraId="3F0C7247" w14:textId="77777777" w:rsidR="003E78AB" w:rsidRDefault="00010BF9">
      <w:pPr>
        <w:ind w:firstLine="480"/>
      </w:pPr>
      <w:r>
        <w:t>项目设置</w:t>
      </w:r>
      <w:r>
        <w:t>4</w:t>
      </w:r>
      <w:r>
        <w:t>个</w:t>
      </w:r>
      <w:r>
        <w:rPr>
          <w:rFonts w:hint="eastAsia"/>
        </w:rPr>
        <w:t>20</w:t>
      </w:r>
      <w:r>
        <w:t>0m</w:t>
      </w:r>
      <w:r>
        <w:rPr>
          <w:vertAlign w:val="superscript"/>
        </w:rPr>
        <w:t>3</w:t>
      </w:r>
      <w:r>
        <w:t>硫酸储罐，拟采用常压单包容储罐，根据《建设项目环境风险评价技术导则》</w:t>
      </w:r>
      <w:r>
        <w:rPr>
          <w:rFonts w:hint="eastAsia"/>
        </w:rPr>
        <w:t>（</w:t>
      </w:r>
      <w:r>
        <w:t>HJ169-2018</w:t>
      </w:r>
      <w:r>
        <w:rPr>
          <w:rFonts w:hint="eastAsia"/>
        </w:rPr>
        <w:t>）</w:t>
      </w:r>
      <w:r>
        <w:t>，本次硫酸储罐以小孔泄漏</w:t>
      </w:r>
      <w:r>
        <w:rPr>
          <w:rFonts w:hint="eastAsia"/>
        </w:rPr>
        <w:t>（</w:t>
      </w:r>
      <w:r>
        <w:t>直径</w:t>
      </w:r>
      <w:r>
        <w:t>10mm</w:t>
      </w:r>
      <w:r>
        <w:rPr>
          <w:rFonts w:hint="eastAsia"/>
        </w:rPr>
        <w:t>）</w:t>
      </w:r>
      <w:r>
        <w:t>作为泄漏模式进行风险源项。</w:t>
      </w:r>
    </w:p>
    <w:p w14:paraId="5B88EA8E" w14:textId="77777777" w:rsidR="003E78AB" w:rsidRDefault="00010BF9">
      <w:pPr>
        <w:ind w:firstLine="480"/>
      </w:pPr>
      <w:r>
        <w:t>浓硫酸泄漏速率采用《建设项目环境风险评价技术导则》</w:t>
      </w:r>
      <w:r>
        <w:rPr>
          <w:rFonts w:hint="eastAsia"/>
        </w:rPr>
        <w:t>（</w:t>
      </w:r>
      <w:r>
        <w:t>HJ169-2018</w:t>
      </w:r>
      <w:r>
        <w:rPr>
          <w:rFonts w:hint="eastAsia"/>
        </w:rPr>
        <w:t>）</w:t>
      </w:r>
      <w:r>
        <w:t>附录</w:t>
      </w:r>
      <w:r>
        <w:t>F</w:t>
      </w:r>
      <w:r>
        <w:t>推荐的液体泄漏速率计算方法</w:t>
      </w:r>
      <w:r>
        <w:rPr>
          <w:rFonts w:hint="eastAsia"/>
        </w:rPr>
        <w:t>（</w:t>
      </w:r>
      <w:r>
        <w:t>即柏努利方程</w:t>
      </w:r>
      <w:r>
        <w:rPr>
          <w:rFonts w:hint="eastAsia"/>
        </w:rPr>
        <w:t>）</w:t>
      </w:r>
      <w:r>
        <w:t>计算。</w:t>
      </w:r>
    </w:p>
    <w:p w14:paraId="2E9B1E7B" w14:textId="77777777" w:rsidR="003E78AB" w:rsidRDefault="00010BF9">
      <w:pPr>
        <w:spacing w:line="240" w:lineRule="atLeast"/>
        <w:ind w:firstLineChars="0" w:firstLine="0"/>
        <w:jc w:val="center"/>
        <w:rPr>
          <w:kern w:val="2"/>
        </w:rPr>
      </w:pPr>
      <w:r>
        <w:rPr>
          <w:kern w:val="2"/>
          <w:position w:val="-22"/>
        </w:rPr>
        <w:object w:dxaOrig="3300" w:dyaOrig="855" w14:anchorId="3EE58F55">
          <v:shape id="_x0000_i1047" type="#_x0000_t75" style="width:165pt;height:42.75pt" o:ole="">
            <v:imagedata r:id="rId118" o:title=""/>
          </v:shape>
          <o:OLEObject Type="Embed" ProgID="Equation.3" ShapeID="_x0000_i1047" DrawAspect="Content" ObjectID="_1814684989" r:id="rId119"/>
        </w:object>
      </w:r>
    </w:p>
    <w:p w14:paraId="4E0983B2" w14:textId="77777777" w:rsidR="003E78AB" w:rsidRDefault="00010BF9">
      <w:pPr>
        <w:ind w:firstLine="480"/>
      </w:pPr>
      <w:r>
        <w:t>式中：</w:t>
      </w:r>
    </w:p>
    <w:p w14:paraId="5E0E236C" w14:textId="77777777" w:rsidR="003E78AB" w:rsidRDefault="00010BF9">
      <w:pPr>
        <w:ind w:firstLine="480"/>
      </w:pPr>
      <w:r>
        <w:t>Q</w:t>
      </w:r>
      <w:r>
        <w:rPr>
          <w:vertAlign w:val="subscript"/>
        </w:rPr>
        <w:t>L</w:t>
      </w:r>
      <w:r>
        <w:t>—</w:t>
      </w:r>
      <w:r>
        <w:t>液体泄漏速度，</w:t>
      </w:r>
      <w:r>
        <w:t>kg/s</w:t>
      </w:r>
      <w:r>
        <w:t>；</w:t>
      </w:r>
    </w:p>
    <w:p w14:paraId="5F71C551" w14:textId="77777777" w:rsidR="003E78AB" w:rsidRDefault="00010BF9">
      <w:pPr>
        <w:ind w:firstLine="480"/>
      </w:pPr>
      <w:r>
        <w:t>P—</w:t>
      </w:r>
      <w:r>
        <w:t>容器内介质压力，</w:t>
      </w:r>
      <w:r>
        <w:t>Pa</w:t>
      </w:r>
      <w:r>
        <w:t>；取</w:t>
      </w:r>
      <w:r>
        <w:t>1.01×10</w:t>
      </w:r>
      <w:r>
        <w:rPr>
          <w:vertAlign w:val="superscript"/>
        </w:rPr>
        <w:t>5</w:t>
      </w:r>
      <w:r>
        <w:t>Pa</w:t>
      </w:r>
      <w:r>
        <w:t>；</w:t>
      </w:r>
    </w:p>
    <w:p w14:paraId="2AABA186" w14:textId="77777777" w:rsidR="003E78AB" w:rsidRDefault="00010BF9">
      <w:pPr>
        <w:ind w:firstLine="480"/>
      </w:pPr>
      <w:r>
        <w:t>P</w:t>
      </w:r>
      <w:r>
        <w:rPr>
          <w:vertAlign w:val="subscript"/>
        </w:rPr>
        <w:t>0</w:t>
      </w:r>
      <w:r>
        <w:t>—</w:t>
      </w:r>
      <w:r>
        <w:t>环境压力，</w:t>
      </w:r>
      <w:r>
        <w:t>Pa</w:t>
      </w:r>
      <w:r>
        <w:t>；取</w:t>
      </w:r>
      <w:r>
        <w:t>1.01×10</w:t>
      </w:r>
      <w:r>
        <w:rPr>
          <w:vertAlign w:val="superscript"/>
        </w:rPr>
        <w:t>5</w:t>
      </w:r>
      <w:r>
        <w:t>Pa</w:t>
      </w:r>
      <w:r>
        <w:t>；</w:t>
      </w:r>
    </w:p>
    <w:p w14:paraId="15605724" w14:textId="77777777" w:rsidR="003E78AB" w:rsidRDefault="00010BF9">
      <w:pPr>
        <w:ind w:firstLine="480"/>
      </w:pPr>
      <w:r>
        <w:t>ρ—</w:t>
      </w:r>
      <w:r>
        <w:t>密度，</w:t>
      </w:r>
      <w:r>
        <w:t>kg/m</w:t>
      </w:r>
      <w:r>
        <w:rPr>
          <w:vertAlign w:val="superscript"/>
        </w:rPr>
        <w:t>3</w:t>
      </w:r>
      <w:r>
        <w:t>；取</w:t>
      </w:r>
      <w:r>
        <w:t>1840kg/m</w:t>
      </w:r>
      <w:r>
        <w:rPr>
          <w:vertAlign w:val="superscript"/>
        </w:rPr>
        <w:t>3</w:t>
      </w:r>
      <w:r>
        <w:t>；</w:t>
      </w:r>
    </w:p>
    <w:p w14:paraId="2BFBC22B" w14:textId="77777777" w:rsidR="003E78AB" w:rsidRDefault="00010BF9">
      <w:pPr>
        <w:ind w:firstLine="480"/>
      </w:pPr>
      <w:r>
        <w:t>g—</w:t>
      </w:r>
      <w:r>
        <w:t>重力加速度，</w:t>
      </w:r>
      <w:r>
        <w:t>m/s</w:t>
      </w:r>
      <w:r>
        <w:rPr>
          <w:vertAlign w:val="superscript"/>
        </w:rPr>
        <w:t>2</w:t>
      </w:r>
      <w:r>
        <w:t>；取</w:t>
      </w:r>
      <w:r>
        <w:t>9.81m/s</w:t>
      </w:r>
      <w:r>
        <w:rPr>
          <w:vertAlign w:val="superscript"/>
        </w:rPr>
        <w:t>2</w:t>
      </w:r>
      <w:r>
        <w:t>；</w:t>
      </w:r>
    </w:p>
    <w:p w14:paraId="7454A709" w14:textId="77777777" w:rsidR="003E78AB" w:rsidRDefault="00010BF9">
      <w:pPr>
        <w:ind w:firstLine="480"/>
      </w:pPr>
      <w:r>
        <w:t>h—</w:t>
      </w:r>
      <w:r>
        <w:t>裂口之上液位高度，</w:t>
      </w:r>
      <w:r>
        <w:t>m</w:t>
      </w:r>
      <w:r>
        <w:t>；取</w:t>
      </w:r>
      <w:r>
        <w:t>3.4m</w:t>
      </w:r>
      <w:r>
        <w:t>；</w:t>
      </w:r>
    </w:p>
    <w:p w14:paraId="6E99060B" w14:textId="77777777" w:rsidR="003E78AB" w:rsidRDefault="00010BF9">
      <w:pPr>
        <w:ind w:firstLine="480"/>
      </w:pPr>
      <w:r>
        <w:t>C</w:t>
      </w:r>
      <w:r>
        <w:rPr>
          <w:vertAlign w:val="subscript"/>
        </w:rPr>
        <w:t>d</w:t>
      </w:r>
      <w:r>
        <w:t>—</w:t>
      </w:r>
      <w:r>
        <w:t>液体泄漏系数，本项目裂口为圆形，且雷诺数</w:t>
      </w:r>
      <w:r>
        <w:t>Re&gt;100</w:t>
      </w:r>
      <w:r>
        <w:t>，则本次环评取</w:t>
      </w:r>
      <w:r>
        <w:t>0.65</w:t>
      </w:r>
      <w:r>
        <w:t>；</w:t>
      </w:r>
    </w:p>
    <w:p w14:paraId="7F89C4E9" w14:textId="77777777" w:rsidR="003E78AB" w:rsidRDefault="00010BF9">
      <w:pPr>
        <w:ind w:firstLine="480"/>
      </w:pPr>
      <w:r>
        <w:t>A—</w:t>
      </w:r>
      <w:r>
        <w:t>裂口面积，</w:t>
      </w:r>
      <w:r>
        <w:t>m</w:t>
      </w:r>
      <w:r>
        <w:rPr>
          <w:vertAlign w:val="superscript"/>
        </w:rPr>
        <w:t>2</w:t>
      </w:r>
      <w:r>
        <w:t>；取</w:t>
      </w:r>
      <w:r>
        <w:t>0.0000785m</w:t>
      </w:r>
      <w:r>
        <w:rPr>
          <w:vertAlign w:val="superscript"/>
        </w:rPr>
        <w:t>2</w:t>
      </w:r>
      <w:r>
        <w:t>；</w:t>
      </w:r>
    </w:p>
    <w:p w14:paraId="635414A8" w14:textId="77777777" w:rsidR="003E78AB" w:rsidRDefault="00010BF9">
      <w:pPr>
        <w:ind w:firstLine="480"/>
      </w:pPr>
      <w:r>
        <w:t>经核算，项目</w:t>
      </w:r>
      <w:r>
        <w:t>98%</w:t>
      </w:r>
      <w:r>
        <w:t>硫酸储罐</w:t>
      </w:r>
      <w:r>
        <w:rPr>
          <w:rFonts w:hint="eastAsia"/>
        </w:rPr>
        <w:t>泄漏</w:t>
      </w:r>
      <w:r>
        <w:t>速率</w:t>
      </w:r>
      <w:r>
        <w:t>0.74kg/s</w:t>
      </w:r>
      <w:r>
        <w:t>。</w:t>
      </w:r>
    </w:p>
    <w:p w14:paraId="2BA94E2B" w14:textId="77777777" w:rsidR="003E78AB" w:rsidRDefault="00010BF9">
      <w:pPr>
        <w:ind w:firstLine="480"/>
      </w:pPr>
      <w:r>
        <w:t>泄漏液体的蒸发分为闪蒸蒸发、热量蒸发和质量蒸发三种，其蒸发总量为三种蒸发量之和。浓硫酸是在常温、常压条件下贮存的，发生泄漏时，因物料温度与环境温度基本相同，</w:t>
      </w:r>
      <w:r>
        <w:t>98%</w:t>
      </w:r>
      <w:r>
        <w:t>硫酸沸点约</w:t>
      </w:r>
      <w:r>
        <w:t>337℃</w:t>
      </w:r>
      <w:r>
        <w:t>，因此通常情况下，不会发生闪蒸蒸发和热量蒸发，只发生质量蒸发。项目罐区设置紧急隔离系统，储罐</w:t>
      </w:r>
      <w:r>
        <w:rPr>
          <w:rFonts w:hint="eastAsia"/>
        </w:rPr>
        <w:t>泄漏</w:t>
      </w:r>
      <w:r>
        <w:t>时间可设定为</w:t>
      </w:r>
      <w:r>
        <w:t>10min</w:t>
      </w:r>
      <w:r>
        <w:t>；根据《建设项目环境风险评价技术导则》</w:t>
      </w:r>
      <w:r>
        <w:rPr>
          <w:rFonts w:hint="eastAsia"/>
        </w:rPr>
        <w:t>（</w:t>
      </w:r>
      <w:r>
        <w:t>HJ169-2018</w:t>
      </w:r>
      <w:r>
        <w:rPr>
          <w:rFonts w:hint="eastAsia"/>
        </w:rPr>
        <w:t>）</w:t>
      </w:r>
      <w:r>
        <w:t>，</w:t>
      </w:r>
      <w:r>
        <w:rPr>
          <w:rFonts w:hint="eastAsia"/>
        </w:rPr>
        <w:t>泄漏</w:t>
      </w:r>
      <w:r>
        <w:t>液体的蒸发时间应结合物质特性、气象条件、工况等综合考虑，一般情况下，可按</w:t>
      </w:r>
      <w:r>
        <w:t>15~30min</w:t>
      </w:r>
      <w:r>
        <w:t>计；考虑物料</w:t>
      </w:r>
      <w:r>
        <w:rPr>
          <w:rFonts w:hint="eastAsia"/>
        </w:rPr>
        <w:t>泄漏</w:t>
      </w:r>
      <w:r>
        <w:t>后应急处置反应</w:t>
      </w:r>
      <w:r>
        <w:t>时间，本次物料</w:t>
      </w:r>
      <w:r>
        <w:rPr>
          <w:rFonts w:hint="eastAsia"/>
        </w:rPr>
        <w:t>泄漏</w:t>
      </w:r>
      <w:r>
        <w:t>后蒸发持续时间按</w:t>
      </w:r>
      <w:r>
        <w:t>30min</w:t>
      </w:r>
      <w:r>
        <w:t>考虑。</w:t>
      </w:r>
    </w:p>
    <w:p w14:paraId="192898FF" w14:textId="77777777" w:rsidR="003E78AB" w:rsidRDefault="00010BF9">
      <w:pPr>
        <w:ind w:firstLine="480"/>
      </w:pPr>
      <w:r>
        <w:t>质量蒸发速度可按下式计算</w:t>
      </w:r>
    </w:p>
    <w:p w14:paraId="45822C27" w14:textId="77777777" w:rsidR="003E78AB" w:rsidRDefault="00010BF9">
      <w:pPr>
        <w:spacing w:line="240" w:lineRule="atLeast"/>
        <w:ind w:firstLineChars="0" w:firstLine="0"/>
        <w:jc w:val="center"/>
        <w:rPr>
          <w:rFonts w:hAnsi="Cambria Math"/>
        </w:rPr>
      </w:pPr>
      <m:oMathPara>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r>
            <w:rPr>
              <w:rFonts w:ascii="Cambria Math" w:hAnsi="Cambria Math" w:cs="Cambria Math"/>
            </w:rPr>
            <m:t>α</m:t>
          </m:r>
          <m:r>
            <w:rPr>
              <w:rFonts w:ascii="Cambria Math" w:hAnsi="Cambria Math" w:cs="Cambria Math" w:hint="eastAsia"/>
            </w:rPr>
            <m:t>×</m:t>
          </m:r>
          <m:r>
            <w:rPr>
              <w:rFonts w:ascii="Cambria Math" w:hAnsi="Cambria Math" w:cs="Cambria Math"/>
            </w:rPr>
            <m:t>p</m:t>
          </m:r>
          <m:r>
            <w:rPr>
              <w:rFonts w:ascii="Cambria Math" w:hAnsi="Cambria Math" w:cs="Cambria Math" w:hint="eastAsia"/>
            </w:rPr>
            <m:t>×</m:t>
          </m:r>
          <m:f>
            <m:fPr>
              <m:ctrlPr>
                <w:rPr>
                  <w:rFonts w:ascii="Cambria Math" w:hAnsi="Cambria Math" w:cs="Cambria Math" w:hint="eastAsia"/>
                  <w:i/>
                </w:rPr>
              </m:ctrlPr>
            </m:fPr>
            <m:num>
              <m:r>
                <w:rPr>
                  <w:rFonts w:ascii="Cambria Math" w:hAnsi="Cambria Math" w:cs="Cambria Math"/>
                </w:rPr>
                <m:t>M</m:t>
              </m:r>
            </m:num>
            <m:den>
              <m:sSub>
                <m:sSubPr>
                  <m:ctrlPr>
                    <w:rPr>
                      <w:rFonts w:ascii="Cambria Math" w:hAnsi="Cambria Math" w:cs="Cambria Math" w:hint="eastAsia"/>
                      <w:i/>
                    </w:rPr>
                  </m:ctrlPr>
                </m:sSubPr>
                <m:e>
                  <m:r>
                    <w:rPr>
                      <w:rFonts w:ascii="Cambria Math" w:hAnsi="Cambria Math" w:cs="Cambria Math"/>
                    </w:rPr>
                    <m:t>RT</m:t>
                  </m:r>
                </m:e>
                <m:sub>
                  <m:r>
                    <w:rPr>
                      <w:rFonts w:ascii="Cambria Math" w:hAnsi="Cambria Math" w:cs="Cambria Math"/>
                    </w:rPr>
                    <m:t>0</m:t>
                  </m:r>
                </m:sub>
              </m:sSub>
            </m:den>
          </m:f>
          <m:r>
            <w:rPr>
              <w:rFonts w:ascii="Cambria Math" w:hAnsi="Cambria Math" w:cs="Cambria Math" w:hint="eastAsia"/>
            </w:rPr>
            <m:t>×</m:t>
          </m:r>
          <m:sSup>
            <m:sSupPr>
              <m:ctrlPr>
                <w:rPr>
                  <w:rFonts w:ascii="Cambria Math" w:hAnsi="Cambria Math" w:cs="Cambria Math" w:hint="eastAsia"/>
                  <w:i/>
                </w:rPr>
              </m:ctrlPr>
            </m:sSupPr>
            <m:e>
              <m:r>
                <w:rPr>
                  <w:rFonts w:ascii="Cambria Math" w:hAnsi="Cambria Math" w:cs="Cambria Math"/>
                </w:rPr>
                <m:t>u</m:t>
              </m:r>
            </m:e>
            <m:sup>
              <m:r>
                <w:rPr>
                  <w:rFonts w:ascii="Cambria Math" w:hAnsi="Cambria Math" w:cs="Cambria Math" w:hint="eastAsia"/>
                </w:rPr>
                <m:t>（</m:t>
              </m:r>
              <m:r>
                <w:rPr>
                  <w:rFonts w:ascii="Cambria Math" w:hAnsi="Cambria Math" w:cs="Cambria Math"/>
                </w:rPr>
                <m:t>2-</m:t>
              </m:r>
              <m:r>
                <w:rPr>
                  <w:rFonts w:ascii="Cambria Math" w:hAnsi="Cambria Math" w:cs="Cambria Math"/>
                </w:rPr>
                <m:t>n</m:t>
              </m:r>
              <m:r>
                <w:rPr>
                  <w:rFonts w:ascii="Cambria Math" w:hAnsi="Cambria Math" w:cs="Cambria Math" w:hint="eastAsia"/>
                </w:rPr>
                <m:t>）</m:t>
              </m:r>
              <m:r>
                <w:rPr>
                  <w:rFonts w:ascii="Cambria Math" w:hAnsi="Cambria Math" w:cs="Cambria Math"/>
                </w:rPr>
                <m:t>/</m:t>
              </m:r>
              <m:r>
                <w:rPr>
                  <w:rFonts w:ascii="Cambria Math" w:hAnsi="Cambria Math" w:cs="Cambria Math" w:hint="eastAsia"/>
                </w:rPr>
                <m:t>（</m:t>
              </m:r>
              <m:r>
                <w:rPr>
                  <w:rFonts w:ascii="Cambria Math" w:hAnsi="Cambria Math" w:cs="Cambria Math"/>
                </w:rPr>
                <m:t>2+</m:t>
              </m:r>
              <m:r>
                <w:rPr>
                  <w:rFonts w:ascii="Cambria Math" w:hAnsi="Cambria Math" w:cs="Cambria Math"/>
                </w:rPr>
                <m:t>n</m:t>
              </m:r>
              <m:r>
                <w:rPr>
                  <w:rFonts w:ascii="Cambria Math" w:hAnsi="Cambria Math" w:cs="Cambria Math" w:hint="eastAsia"/>
                </w:rPr>
                <m:t>）</m:t>
              </m:r>
            </m:sup>
          </m:sSup>
          <m:r>
            <w:rPr>
              <w:rFonts w:ascii="Cambria Math" w:hAnsi="Cambria Math" w:cs="Cambria Math" w:hint="eastAsia"/>
            </w:rPr>
            <m:t>×</m:t>
          </m:r>
          <m:sSup>
            <m:sSupPr>
              <m:ctrlPr>
                <w:rPr>
                  <w:rFonts w:ascii="Cambria Math" w:hAnsi="Cambria Math" w:cs="Cambria Math" w:hint="eastAsia"/>
                  <w:i/>
                </w:rPr>
              </m:ctrlPr>
            </m:sSupPr>
            <m:e>
              <m:r>
                <w:rPr>
                  <w:rFonts w:ascii="Cambria Math" w:hAnsi="Cambria Math" w:cs="Cambria Math"/>
                </w:rPr>
                <m:t>r</m:t>
              </m:r>
            </m:e>
            <m:sup>
              <m:r>
                <w:rPr>
                  <w:rFonts w:ascii="Cambria Math" w:hAnsi="Cambria Math" w:cs="Cambria Math" w:hint="eastAsia"/>
                </w:rPr>
                <m:t>（</m:t>
              </m:r>
              <m:r>
                <w:rPr>
                  <w:rFonts w:ascii="Cambria Math" w:hAnsi="Cambria Math" w:cs="Cambria Math"/>
                </w:rPr>
                <m:t>4+</m:t>
              </m:r>
              <m:r>
                <w:rPr>
                  <w:rFonts w:ascii="Cambria Math" w:hAnsi="Cambria Math" w:cs="Cambria Math"/>
                </w:rPr>
                <m:t>n</m:t>
              </m:r>
              <m:r>
                <w:rPr>
                  <w:rFonts w:ascii="Cambria Math" w:hAnsi="Cambria Math" w:cs="Cambria Math" w:hint="eastAsia"/>
                </w:rPr>
                <m:t>）</m:t>
              </m:r>
              <m:r>
                <w:rPr>
                  <w:rFonts w:ascii="Cambria Math" w:hAnsi="Cambria Math" w:cs="Cambria Math"/>
                </w:rPr>
                <m:t>/</m:t>
              </m:r>
              <m:r>
                <w:rPr>
                  <w:rFonts w:ascii="Cambria Math" w:hAnsi="Cambria Math" w:cs="Cambria Math" w:hint="eastAsia"/>
                </w:rPr>
                <m:t>（</m:t>
              </m:r>
              <m:r>
                <w:rPr>
                  <w:rFonts w:ascii="Cambria Math" w:hAnsi="Cambria Math" w:cs="Cambria Math"/>
                </w:rPr>
                <m:t>2+</m:t>
              </m:r>
              <m:r>
                <w:rPr>
                  <w:rFonts w:ascii="Cambria Math" w:hAnsi="Cambria Math" w:cs="Cambria Math"/>
                </w:rPr>
                <m:t>n</m:t>
              </m:r>
              <m:r>
                <w:rPr>
                  <w:rFonts w:ascii="Cambria Math" w:hAnsi="Cambria Math" w:cs="Cambria Math" w:hint="eastAsia"/>
                </w:rPr>
                <m:t>）</m:t>
              </m:r>
            </m:sup>
          </m:sSup>
        </m:oMath>
      </m:oMathPara>
    </w:p>
    <w:p w14:paraId="38053EB2" w14:textId="77777777" w:rsidR="003E78AB" w:rsidRDefault="00010BF9">
      <w:pPr>
        <w:ind w:firstLine="480"/>
      </w:pPr>
      <w:r>
        <w:t>式中：</w:t>
      </w:r>
    </w:p>
    <w:p w14:paraId="3C42FA39" w14:textId="77777777" w:rsidR="003E78AB" w:rsidRDefault="00010BF9">
      <w:pPr>
        <w:ind w:firstLine="480"/>
      </w:pPr>
      <w:r>
        <w:t>Q</w:t>
      </w:r>
      <w:r>
        <w:rPr>
          <w:vertAlign w:val="subscript"/>
        </w:rPr>
        <w:t>3</w:t>
      </w:r>
      <w:r>
        <w:t>—</w:t>
      </w:r>
      <w:r>
        <w:t>质量蒸发速度，</w:t>
      </w:r>
      <w:r>
        <w:t>kg/s</w:t>
      </w:r>
      <w:r>
        <w:t>；</w:t>
      </w:r>
    </w:p>
    <w:p w14:paraId="70862217" w14:textId="77777777" w:rsidR="003E78AB" w:rsidRDefault="00010BF9">
      <w:pPr>
        <w:ind w:firstLine="480"/>
      </w:pPr>
      <w:r>
        <w:t>p—</w:t>
      </w:r>
      <w:r>
        <w:t>液体表面蒸发压，</w:t>
      </w:r>
      <w:r>
        <w:t>Pa</w:t>
      </w:r>
      <w:r>
        <w:t>；</w:t>
      </w:r>
    </w:p>
    <w:p w14:paraId="64D6ADD6" w14:textId="77777777" w:rsidR="003E78AB" w:rsidRDefault="00010BF9">
      <w:pPr>
        <w:ind w:firstLine="480"/>
      </w:pPr>
      <w:r>
        <w:t>R—</w:t>
      </w:r>
      <w:r>
        <w:t>气体常数，</w:t>
      </w:r>
      <w:r>
        <w:t>8.314J/(mol•K)</w:t>
      </w:r>
      <w:r>
        <w:t>；</w:t>
      </w:r>
    </w:p>
    <w:p w14:paraId="1AD7D0B9" w14:textId="77777777" w:rsidR="003E78AB" w:rsidRDefault="00010BF9">
      <w:pPr>
        <w:ind w:firstLine="480"/>
      </w:pPr>
      <w:r>
        <w:t>T</w:t>
      </w:r>
      <w:r>
        <w:rPr>
          <w:vertAlign w:val="subscript"/>
        </w:rPr>
        <w:t>0</w:t>
      </w:r>
      <w:r>
        <w:t>—</w:t>
      </w:r>
      <w:r>
        <w:t>环境温度，</w:t>
      </w:r>
      <w:r>
        <w:t>K</w:t>
      </w:r>
      <w:r>
        <w:t>；</w:t>
      </w:r>
    </w:p>
    <w:p w14:paraId="646F04D9" w14:textId="77777777" w:rsidR="003E78AB" w:rsidRDefault="00010BF9">
      <w:pPr>
        <w:ind w:firstLine="480"/>
      </w:pPr>
      <w:r>
        <w:t>M—</w:t>
      </w:r>
      <w:r>
        <w:t>物质的摩尔质量，</w:t>
      </w:r>
      <w:r>
        <w:t>kg/mol</w:t>
      </w:r>
      <w:r>
        <w:t>；</w:t>
      </w:r>
    </w:p>
    <w:p w14:paraId="1219E927" w14:textId="77777777" w:rsidR="003E78AB" w:rsidRDefault="00010BF9">
      <w:pPr>
        <w:ind w:firstLine="480"/>
      </w:pPr>
      <w:r>
        <w:t>u—</w:t>
      </w:r>
      <w:r>
        <w:t>风速，</w:t>
      </w:r>
      <w:r>
        <w:t>m/s</w:t>
      </w:r>
      <w:r>
        <w:t>；</w:t>
      </w:r>
    </w:p>
    <w:p w14:paraId="07123B5D" w14:textId="77777777" w:rsidR="003E78AB" w:rsidRDefault="00010BF9">
      <w:pPr>
        <w:ind w:firstLine="480"/>
      </w:pPr>
      <w:r>
        <w:t>r—</w:t>
      </w:r>
      <w:r>
        <w:t>液池半径，</w:t>
      </w:r>
      <w:r>
        <w:t>m</w:t>
      </w:r>
      <w:r>
        <w:t>。</w:t>
      </w:r>
    </w:p>
    <w:p w14:paraId="617C091E" w14:textId="77777777" w:rsidR="003E78AB" w:rsidRDefault="00010BF9">
      <w:pPr>
        <w:ind w:firstLine="480"/>
      </w:pPr>
      <w:r>
        <w:t>α</w:t>
      </w:r>
      <w:r>
        <w:t>，</w:t>
      </w:r>
      <w:r>
        <w:t>n—</w:t>
      </w:r>
      <w:r>
        <w:t>大气稳定度系数，见</w:t>
      </w:r>
      <w:r>
        <w:fldChar w:fldCharType="begin"/>
      </w:r>
      <w:r>
        <w:instrText xml:space="preserve"> REF _Ref18390 \r \h </w:instrText>
      </w:r>
      <w:r>
        <w:fldChar w:fldCharType="separate"/>
      </w:r>
      <w:r>
        <w:t>表</w:t>
      </w:r>
      <w:r>
        <w:t>6-23</w:t>
      </w:r>
      <w:r>
        <w:fldChar w:fldCharType="end"/>
      </w:r>
      <w:r>
        <w:t>；</w:t>
      </w:r>
    </w:p>
    <w:p w14:paraId="6E76B5C9" w14:textId="77777777" w:rsidR="003E78AB" w:rsidRDefault="00010BF9">
      <w:pPr>
        <w:pStyle w:val="a"/>
        <w:spacing w:before="120"/>
        <w:ind w:left="425" w:hanging="425"/>
      </w:pPr>
      <w:bookmarkStart w:id="433" w:name="_Ref18390"/>
      <w:r>
        <w:t>液池蒸发模式参数</w:t>
      </w:r>
      <w:bookmarkEnd w:id="433"/>
    </w:p>
    <w:p w14:paraId="5B28E3D1" w14:textId="77777777" w:rsidR="003E78AB" w:rsidRDefault="003E78AB">
      <w:pPr>
        <w:spacing w:line="26" w:lineRule="exact"/>
        <w:ind w:firstLineChars="0" w:firstLine="0"/>
        <w:jc w:val="left"/>
        <w:textAlignment w:val="baseline"/>
        <w:rPr>
          <w:rFonts w:ascii="Arial" w:eastAsia="Arial" w:hAnsi="Arial" w:cs="Arial"/>
          <w:snapToGrid w:val="0"/>
          <w:sz w:val="21"/>
          <w:szCs w:val="21"/>
        </w:rPr>
      </w:pPr>
    </w:p>
    <w:tbl>
      <w:tblPr>
        <w:tblStyle w:val="TableNormal"/>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781"/>
        <w:gridCol w:w="2763"/>
        <w:gridCol w:w="2765"/>
      </w:tblGrid>
      <w:tr w:rsidR="003E78AB" w14:paraId="3BFEFE26" w14:textId="77777777">
        <w:trPr>
          <w:trHeight w:val="289"/>
        </w:trPr>
        <w:tc>
          <w:tcPr>
            <w:tcW w:w="1673" w:type="pct"/>
            <w:tcBorders>
              <w:top w:val="single" w:sz="4" w:space="0" w:color="auto"/>
              <w:left w:val="single" w:sz="4" w:space="0" w:color="auto"/>
              <w:bottom w:val="single" w:sz="4" w:space="0" w:color="auto"/>
              <w:right w:val="single" w:sz="4" w:space="0" w:color="auto"/>
            </w:tcBorders>
            <w:vAlign w:val="center"/>
          </w:tcPr>
          <w:p w14:paraId="4AB8B63F" w14:textId="77777777" w:rsidR="003E78AB" w:rsidRDefault="00010BF9">
            <w:pPr>
              <w:pStyle w:val="aff6"/>
              <w:topLinePunct/>
              <w:rPr>
                <w:b/>
                <w:bCs/>
              </w:rPr>
            </w:pPr>
            <w:r>
              <w:rPr>
                <w:b/>
                <w:bCs/>
              </w:rPr>
              <w:t>稳定度条件</w:t>
            </w:r>
          </w:p>
        </w:tc>
        <w:tc>
          <w:tcPr>
            <w:tcW w:w="1662" w:type="pct"/>
            <w:tcBorders>
              <w:top w:val="single" w:sz="4" w:space="0" w:color="auto"/>
              <w:left w:val="single" w:sz="4" w:space="0" w:color="auto"/>
              <w:bottom w:val="single" w:sz="4" w:space="0" w:color="auto"/>
              <w:right w:val="single" w:sz="4" w:space="0" w:color="auto"/>
            </w:tcBorders>
            <w:vAlign w:val="center"/>
          </w:tcPr>
          <w:p w14:paraId="2B346940" w14:textId="77777777" w:rsidR="003E78AB" w:rsidRDefault="00010BF9">
            <w:pPr>
              <w:pStyle w:val="aff6"/>
              <w:topLinePunct/>
              <w:rPr>
                <w:b/>
                <w:bCs/>
              </w:rPr>
            </w:pPr>
            <w:r>
              <w:rPr>
                <w:b/>
                <w:bCs/>
              </w:rPr>
              <w:t>n</w:t>
            </w:r>
          </w:p>
        </w:tc>
        <w:tc>
          <w:tcPr>
            <w:tcW w:w="1664" w:type="pct"/>
            <w:tcBorders>
              <w:top w:val="single" w:sz="4" w:space="0" w:color="auto"/>
              <w:left w:val="single" w:sz="4" w:space="0" w:color="auto"/>
              <w:bottom w:val="single" w:sz="4" w:space="0" w:color="auto"/>
              <w:right w:val="single" w:sz="4" w:space="0" w:color="auto"/>
            </w:tcBorders>
            <w:vAlign w:val="center"/>
          </w:tcPr>
          <w:p w14:paraId="14B69857" w14:textId="77777777" w:rsidR="003E78AB" w:rsidRDefault="00010BF9">
            <w:pPr>
              <w:pStyle w:val="aff6"/>
              <w:topLinePunct/>
              <w:rPr>
                <w:b/>
                <w:bCs/>
              </w:rPr>
            </w:pPr>
            <w:r>
              <w:rPr>
                <w:b/>
                <w:bCs/>
              </w:rPr>
              <w:t>a</w:t>
            </w:r>
          </w:p>
        </w:tc>
      </w:tr>
      <w:tr w:rsidR="003E78AB" w14:paraId="773BA37D" w14:textId="77777777">
        <w:trPr>
          <w:trHeight w:val="277"/>
        </w:trPr>
        <w:tc>
          <w:tcPr>
            <w:tcW w:w="1673" w:type="pct"/>
            <w:tcBorders>
              <w:top w:val="single" w:sz="4" w:space="0" w:color="auto"/>
              <w:left w:val="single" w:sz="4" w:space="0" w:color="auto"/>
              <w:bottom w:val="single" w:sz="4" w:space="0" w:color="auto"/>
              <w:right w:val="single" w:sz="4" w:space="0" w:color="auto"/>
            </w:tcBorders>
            <w:vAlign w:val="center"/>
          </w:tcPr>
          <w:p w14:paraId="4068C8A7" w14:textId="77777777" w:rsidR="003E78AB" w:rsidRDefault="00010BF9">
            <w:pPr>
              <w:pStyle w:val="aff6"/>
              <w:topLinePunct/>
            </w:pPr>
            <w:r>
              <w:t>不稳定</w:t>
            </w:r>
            <w:r>
              <w:t>(A</w:t>
            </w:r>
            <w:r>
              <w:t>、</w:t>
            </w:r>
            <w:r>
              <w:t>B)</w:t>
            </w:r>
          </w:p>
        </w:tc>
        <w:tc>
          <w:tcPr>
            <w:tcW w:w="1662" w:type="pct"/>
            <w:tcBorders>
              <w:top w:val="single" w:sz="4" w:space="0" w:color="auto"/>
              <w:left w:val="single" w:sz="4" w:space="0" w:color="auto"/>
              <w:bottom w:val="single" w:sz="4" w:space="0" w:color="auto"/>
              <w:right w:val="single" w:sz="4" w:space="0" w:color="auto"/>
            </w:tcBorders>
            <w:vAlign w:val="center"/>
          </w:tcPr>
          <w:p w14:paraId="0EE68823" w14:textId="77777777" w:rsidR="003E78AB" w:rsidRDefault="00010BF9">
            <w:pPr>
              <w:pStyle w:val="aff6"/>
              <w:topLinePunct/>
            </w:pPr>
            <w:r>
              <w:t>0.2</w:t>
            </w:r>
          </w:p>
        </w:tc>
        <w:tc>
          <w:tcPr>
            <w:tcW w:w="1664" w:type="pct"/>
            <w:tcBorders>
              <w:top w:val="single" w:sz="4" w:space="0" w:color="auto"/>
              <w:left w:val="single" w:sz="4" w:space="0" w:color="auto"/>
              <w:bottom w:val="single" w:sz="4" w:space="0" w:color="auto"/>
              <w:right w:val="single" w:sz="4" w:space="0" w:color="auto"/>
            </w:tcBorders>
            <w:vAlign w:val="center"/>
          </w:tcPr>
          <w:p w14:paraId="3D01558C" w14:textId="77777777" w:rsidR="003E78AB" w:rsidRDefault="00010BF9">
            <w:pPr>
              <w:pStyle w:val="aff6"/>
              <w:topLinePunct/>
            </w:pPr>
            <w:r>
              <w:t>3.846×10</w:t>
            </w:r>
            <w:r>
              <w:rPr>
                <w:vertAlign w:val="superscript"/>
              </w:rPr>
              <w:t>-3</w:t>
            </w:r>
          </w:p>
        </w:tc>
      </w:tr>
      <w:tr w:rsidR="003E78AB" w14:paraId="79A8A635" w14:textId="77777777">
        <w:trPr>
          <w:trHeight w:val="277"/>
        </w:trPr>
        <w:tc>
          <w:tcPr>
            <w:tcW w:w="1673" w:type="pct"/>
            <w:tcBorders>
              <w:top w:val="single" w:sz="4" w:space="0" w:color="auto"/>
              <w:left w:val="single" w:sz="4" w:space="0" w:color="auto"/>
              <w:bottom w:val="single" w:sz="4" w:space="0" w:color="auto"/>
              <w:right w:val="single" w:sz="4" w:space="0" w:color="auto"/>
            </w:tcBorders>
            <w:vAlign w:val="center"/>
          </w:tcPr>
          <w:p w14:paraId="45FBE520" w14:textId="77777777" w:rsidR="003E78AB" w:rsidRDefault="00010BF9">
            <w:pPr>
              <w:pStyle w:val="aff6"/>
              <w:topLinePunct/>
            </w:pPr>
            <w:r>
              <w:t>中性</w:t>
            </w:r>
            <w:r>
              <w:t>(D)</w:t>
            </w:r>
          </w:p>
        </w:tc>
        <w:tc>
          <w:tcPr>
            <w:tcW w:w="1662" w:type="pct"/>
            <w:tcBorders>
              <w:top w:val="single" w:sz="4" w:space="0" w:color="auto"/>
              <w:left w:val="single" w:sz="4" w:space="0" w:color="auto"/>
              <w:bottom w:val="single" w:sz="4" w:space="0" w:color="auto"/>
              <w:right w:val="single" w:sz="4" w:space="0" w:color="auto"/>
            </w:tcBorders>
            <w:vAlign w:val="center"/>
          </w:tcPr>
          <w:p w14:paraId="6B91DA0F" w14:textId="77777777" w:rsidR="003E78AB" w:rsidRDefault="00010BF9">
            <w:pPr>
              <w:pStyle w:val="aff6"/>
              <w:topLinePunct/>
            </w:pPr>
            <w:r>
              <w:t>0.25</w:t>
            </w:r>
          </w:p>
        </w:tc>
        <w:tc>
          <w:tcPr>
            <w:tcW w:w="1664" w:type="pct"/>
            <w:tcBorders>
              <w:top w:val="single" w:sz="4" w:space="0" w:color="auto"/>
              <w:left w:val="single" w:sz="4" w:space="0" w:color="auto"/>
              <w:bottom w:val="single" w:sz="4" w:space="0" w:color="auto"/>
              <w:right w:val="single" w:sz="4" w:space="0" w:color="auto"/>
            </w:tcBorders>
            <w:vAlign w:val="center"/>
          </w:tcPr>
          <w:p w14:paraId="55675EB2" w14:textId="77777777" w:rsidR="003E78AB" w:rsidRDefault="00010BF9">
            <w:pPr>
              <w:pStyle w:val="aff6"/>
              <w:topLinePunct/>
            </w:pPr>
            <w:r>
              <w:t>4.685×10</w:t>
            </w:r>
            <w:r>
              <w:rPr>
                <w:vertAlign w:val="superscript"/>
              </w:rPr>
              <w:t>-3</w:t>
            </w:r>
          </w:p>
        </w:tc>
      </w:tr>
      <w:tr w:rsidR="003E78AB" w14:paraId="68D733F3" w14:textId="77777777">
        <w:trPr>
          <w:trHeight w:val="291"/>
        </w:trPr>
        <w:tc>
          <w:tcPr>
            <w:tcW w:w="1673" w:type="pct"/>
            <w:tcBorders>
              <w:top w:val="single" w:sz="4" w:space="0" w:color="auto"/>
              <w:left w:val="single" w:sz="4" w:space="0" w:color="auto"/>
              <w:bottom w:val="single" w:sz="4" w:space="0" w:color="auto"/>
              <w:right w:val="single" w:sz="4" w:space="0" w:color="auto"/>
            </w:tcBorders>
            <w:vAlign w:val="center"/>
          </w:tcPr>
          <w:p w14:paraId="55FD2D66" w14:textId="77777777" w:rsidR="003E78AB" w:rsidRDefault="00010BF9">
            <w:pPr>
              <w:pStyle w:val="aff6"/>
              <w:topLinePunct/>
            </w:pPr>
            <w:r>
              <w:t>稳定</w:t>
            </w:r>
            <w:r>
              <w:t>(E</w:t>
            </w:r>
            <w:r>
              <w:t>、</w:t>
            </w:r>
            <w:r>
              <w:t>F)</w:t>
            </w:r>
          </w:p>
        </w:tc>
        <w:tc>
          <w:tcPr>
            <w:tcW w:w="1662" w:type="pct"/>
            <w:tcBorders>
              <w:top w:val="single" w:sz="4" w:space="0" w:color="auto"/>
              <w:left w:val="single" w:sz="4" w:space="0" w:color="auto"/>
              <w:bottom w:val="single" w:sz="4" w:space="0" w:color="auto"/>
              <w:right w:val="single" w:sz="4" w:space="0" w:color="auto"/>
            </w:tcBorders>
            <w:vAlign w:val="center"/>
          </w:tcPr>
          <w:p w14:paraId="6CC37C7E" w14:textId="77777777" w:rsidR="003E78AB" w:rsidRDefault="00010BF9">
            <w:pPr>
              <w:pStyle w:val="aff6"/>
              <w:topLinePunct/>
            </w:pPr>
            <w:r>
              <w:t>0.3</w:t>
            </w:r>
          </w:p>
        </w:tc>
        <w:tc>
          <w:tcPr>
            <w:tcW w:w="1664" w:type="pct"/>
            <w:tcBorders>
              <w:top w:val="single" w:sz="4" w:space="0" w:color="auto"/>
              <w:left w:val="single" w:sz="4" w:space="0" w:color="auto"/>
              <w:bottom w:val="single" w:sz="4" w:space="0" w:color="auto"/>
              <w:right w:val="single" w:sz="4" w:space="0" w:color="auto"/>
            </w:tcBorders>
            <w:vAlign w:val="center"/>
          </w:tcPr>
          <w:p w14:paraId="228BD0D5" w14:textId="77777777" w:rsidR="003E78AB" w:rsidRDefault="00010BF9">
            <w:pPr>
              <w:pStyle w:val="aff6"/>
              <w:topLinePunct/>
            </w:pPr>
            <w:r>
              <w:t>5.282×10</w:t>
            </w:r>
            <w:r>
              <w:rPr>
                <w:vertAlign w:val="superscript"/>
              </w:rPr>
              <w:t>-3</w:t>
            </w:r>
          </w:p>
        </w:tc>
      </w:tr>
    </w:tbl>
    <w:p w14:paraId="22F0D070" w14:textId="77777777" w:rsidR="003E78AB" w:rsidRDefault="00010BF9">
      <w:pPr>
        <w:ind w:firstLine="480"/>
      </w:pPr>
      <w:r>
        <w:t>根据导则附录</w:t>
      </w:r>
      <w:r>
        <w:t>F</w:t>
      </w:r>
      <w:r>
        <w:t>推荐质量蒸发估算，按照不同气象条件</w:t>
      </w:r>
      <w:r>
        <w:rPr>
          <w:rFonts w:hint="eastAsia"/>
        </w:rPr>
        <w:t>（</w:t>
      </w:r>
      <w:r>
        <w:t>稳定度对估算模式有影响</w:t>
      </w:r>
      <w:r>
        <w:rPr>
          <w:rFonts w:hint="eastAsia"/>
        </w:rPr>
        <w:t>）</w:t>
      </w:r>
      <w:r>
        <w:t>浓硫酸蒸发量为情况见</w:t>
      </w:r>
      <w:r>
        <w:fldChar w:fldCharType="begin"/>
      </w:r>
      <w:r>
        <w:instrText xml:space="preserve"> REF _Ref19670 \r \h </w:instrText>
      </w:r>
      <w:r>
        <w:fldChar w:fldCharType="separate"/>
      </w:r>
      <w:r>
        <w:t>表</w:t>
      </w:r>
      <w:r>
        <w:t>6-24</w:t>
      </w:r>
      <w:r>
        <w:fldChar w:fldCharType="end"/>
      </w:r>
      <w:r>
        <w:t>。</w:t>
      </w:r>
    </w:p>
    <w:p w14:paraId="0B792664" w14:textId="77777777" w:rsidR="003E78AB" w:rsidRDefault="00010BF9">
      <w:pPr>
        <w:pStyle w:val="a"/>
        <w:spacing w:before="120"/>
        <w:ind w:left="425" w:hanging="425"/>
      </w:pPr>
      <w:bookmarkStart w:id="434" w:name="_Ref19670"/>
      <w:r>
        <w:t>硫酸储罐</w:t>
      </w:r>
      <w:r>
        <w:rPr>
          <w:rFonts w:hint="eastAsia"/>
        </w:rPr>
        <w:t>泄漏</w:t>
      </w:r>
      <w:r>
        <w:t>蒸发量情况</w:t>
      </w:r>
      <w:bookmarkEnd w:id="434"/>
    </w:p>
    <w:p w14:paraId="41C28BAA" w14:textId="77777777" w:rsidR="003E78AB" w:rsidRDefault="003E78AB">
      <w:pPr>
        <w:spacing w:line="25" w:lineRule="exact"/>
        <w:ind w:firstLine="480"/>
      </w:pP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154"/>
        <w:gridCol w:w="1029"/>
        <w:gridCol w:w="1175"/>
        <w:gridCol w:w="1220"/>
        <w:gridCol w:w="1313"/>
      </w:tblGrid>
      <w:tr w:rsidR="003E78AB" w14:paraId="4EF8D636" w14:textId="77777777">
        <w:trPr>
          <w:trHeight w:val="562"/>
        </w:trPr>
        <w:tc>
          <w:tcPr>
            <w:tcW w:w="1454" w:type="pct"/>
            <w:vAlign w:val="center"/>
          </w:tcPr>
          <w:p w14:paraId="5F74E195" w14:textId="77777777" w:rsidR="003E78AB" w:rsidRDefault="00010BF9">
            <w:pPr>
              <w:pStyle w:val="aff6"/>
              <w:topLinePunct/>
              <w:rPr>
                <w:b/>
                <w:bCs/>
              </w:rPr>
            </w:pPr>
            <w:r>
              <w:rPr>
                <w:b/>
                <w:bCs/>
              </w:rPr>
              <w:t>硫酸储罐泄漏蒸发</w:t>
            </w:r>
          </w:p>
        </w:tc>
        <w:tc>
          <w:tcPr>
            <w:tcW w:w="694" w:type="pct"/>
            <w:vAlign w:val="center"/>
          </w:tcPr>
          <w:p w14:paraId="21FEEF64" w14:textId="77777777" w:rsidR="003E78AB" w:rsidRDefault="00010BF9">
            <w:pPr>
              <w:pStyle w:val="aff6"/>
              <w:topLinePunct/>
              <w:rPr>
                <w:b/>
                <w:bCs/>
              </w:rPr>
            </w:pPr>
            <w:r>
              <w:rPr>
                <w:rFonts w:hint="eastAsia"/>
                <w:b/>
                <w:bCs/>
              </w:rPr>
              <w:t>泄漏</w:t>
            </w:r>
            <w:r>
              <w:rPr>
                <w:b/>
                <w:bCs/>
              </w:rPr>
              <w:t>速率</w:t>
            </w:r>
            <w:r>
              <w:rPr>
                <w:b/>
                <w:bCs/>
              </w:rPr>
              <w:t>(kg/s)</w:t>
            </w:r>
          </w:p>
        </w:tc>
        <w:tc>
          <w:tcPr>
            <w:tcW w:w="620" w:type="pct"/>
            <w:vAlign w:val="center"/>
          </w:tcPr>
          <w:p w14:paraId="4C329623" w14:textId="77777777" w:rsidR="003E78AB" w:rsidRDefault="00010BF9">
            <w:pPr>
              <w:pStyle w:val="aff6"/>
              <w:topLinePunct/>
              <w:rPr>
                <w:b/>
                <w:bCs/>
              </w:rPr>
            </w:pPr>
            <w:r>
              <w:rPr>
                <w:b/>
                <w:bCs/>
              </w:rPr>
              <w:t>泄漏量</w:t>
            </w:r>
          </w:p>
          <w:p w14:paraId="4BB68924" w14:textId="77777777" w:rsidR="003E78AB" w:rsidRDefault="00010BF9">
            <w:pPr>
              <w:pStyle w:val="aff6"/>
              <w:topLinePunct/>
              <w:rPr>
                <w:b/>
                <w:bCs/>
              </w:rPr>
            </w:pPr>
            <w:r>
              <w:rPr>
                <w:b/>
                <w:bCs/>
              </w:rPr>
              <w:t>(kg)</w:t>
            </w:r>
          </w:p>
        </w:tc>
        <w:tc>
          <w:tcPr>
            <w:tcW w:w="706" w:type="pct"/>
            <w:vAlign w:val="center"/>
          </w:tcPr>
          <w:p w14:paraId="34B80E68" w14:textId="77777777" w:rsidR="003E78AB" w:rsidRDefault="00010BF9">
            <w:pPr>
              <w:pStyle w:val="aff6"/>
              <w:topLinePunct/>
              <w:rPr>
                <w:b/>
                <w:bCs/>
              </w:rPr>
            </w:pPr>
            <w:r>
              <w:rPr>
                <w:b/>
                <w:bCs/>
              </w:rPr>
              <w:t>蒸发速率</w:t>
            </w:r>
            <w:r>
              <w:rPr>
                <w:b/>
                <w:bCs/>
              </w:rPr>
              <w:t>(kg/s)</w:t>
            </w:r>
          </w:p>
        </w:tc>
        <w:tc>
          <w:tcPr>
            <w:tcW w:w="733" w:type="pct"/>
            <w:vAlign w:val="center"/>
          </w:tcPr>
          <w:p w14:paraId="140D8DF1" w14:textId="77777777" w:rsidR="003E78AB" w:rsidRDefault="00010BF9">
            <w:pPr>
              <w:pStyle w:val="aff6"/>
              <w:topLinePunct/>
              <w:rPr>
                <w:b/>
                <w:bCs/>
              </w:rPr>
            </w:pPr>
            <w:r>
              <w:rPr>
                <w:b/>
                <w:bCs/>
              </w:rPr>
              <w:t>蒸发持续时间</w:t>
            </w:r>
          </w:p>
        </w:tc>
        <w:tc>
          <w:tcPr>
            <w:tcW w:w="789" w:type="pct"/>
            <w:vAlign w:val="center"/>
          </w:tcPr>
          <w:p w14:paraId="670B0814" w14:textId="77777777" w:rsidR="003E78AB" w:rsidRDefault="00010BF9">
            <w:pPr>
              <w:pStyle w:val="aff6"/>
              <w:topLinePunct/>
              <w:rPr>
                <w:b/>
                <w:bCs/>
              </w:rPr>
            </w:pPr>
            <w:r>
              <w:rPr>
                <w:b/>
                <w:bCs/>
              </w:rPr>
              <w:t>蒸发量</w:t>
            </w:r>
          </w:p>
          <w:p w14:paraId="2D41C394" w14:textId="77777777" w:rsidR="003E78AB" w:rsidRDefault="00010BF9">
            <w:pPr>
              <w:pStyle w:val="aff6"/>
              <w:topLinePunct/>
              <w:rPr>
                <w:b/>
                <w:bCs/>
              </w:rPr>
            </w:pPr>
            <w:r>
              <w:rPr>
                <w:b/>
                <w:bCs/>
              </w:rPr>
              <w:t>(kg)</w:t>
            </w:r>
          </w:p>
        </w:tc>
      </w:tr>
      <w:tr w:rsidR="003E78AB" w14:paraId="6AB65D79" w14:textId="77777777">
        <w:trPr>
          <w:trHeight w:val="548"/>
        </w:trPr>
        <w:tc>
          <w:tcPr>
            <w:tcW w:w="1454" w:type="pct"/>
            <w:vAlign w:val="center"/>
          </w:tcPr>
          <w:p w14:paraId="3B3EC077" w14:textId="77777777" w:rsidR="003E78AB" w:rsidRDefault="00010BF9">
            <w:pPr>
              <w:pStyle w:val="aff6"/>
              <w:topLinePunct/>
            </w:pPr>
            <w:r>
              <w:t>不利气象</w:t>
            </w:r>
            <w:r>
              <w:rPr>
                <w:rFonts w:hint="eastAsia"/>
              </w:rPr>
              <w:t>（</w:t>
            </w:r>
            <w:r>
              <w:t>F</w:t>
            </w:r>
            <w:r>
              <w:t>、</w:t>
            </w:r>
            <w:r>
              <w:t>25℃</w:t>
            </w:r>
            <w:r>
              <w:t>、</w:t>
            </w:r>
            <w:r>
              <w:t>1.5m/s</w:t>
            </w:r>
            <w:r>
              <w:t>、</w:t>
            </w:r>
            <w:r>
              <w:t>50%</w:t>
            </w:r>
            <w:r>
              <w:t>湿度</w:t>
            </w:r>
            <w:r>
              <w:rPr>
                <w:rFonts w:hint="eastAsia"/>
              </w:rPr>
              <w:t>）</w:t>
            </w:r>
          </w:p>
        </w:tc>
        <w:tc>
          <w:tcPr>
            <w:tcW w:w="694" w:type="pct"/>
            <w:vAlign w:val="center"/>
          </w:tcPr>
          <w:p w14:paraId="716A6FD1" w14:textId="77777777" w:rsidR="003E78AB" w:rsidRDefault="00010BF9">
            <w:pPr>
              <w:pStyle w:val="aff6"/>
              <w:topLinePunct/>
            </w:pPr>
            <w:r>
              <w:t>0.74</w:t>
            </w:r>
          </w:p>
        </w:tc>
        <w:tc>
          <w:tcPr>
            <w:tcW w:w="620" w:type="pct"/>
            <w:vAlign w:val="center"/>
          </w:tcPr>
          <w:p w14:paraId="1B5095EC" w14:textId="77777777" w:rsidR="003E78AB" w:rsidRDefault="00010BF9">
            <w:pPr>
              <w:pStyle w:val="aff6"/>
              <w:topLinePunct/>
            </w:pPr>
            <w:r>
              <w:t>446.35</w:t>
            </w:r>
          </w:p>
        </w:tc>
        <w:tc>
          <w:tcPr>
            <w:tcW w:w="706" w:type="pct"/>
            <w:vAlign w:val="center"/>
          </w:tcPr>
          <w:p w14:paraId="7D942EE9" w14:textId="77777777" w:rsidR="003E78AB" w:rsidRDefault="00010BF9">
            <w:pPr>
              <w:pStyle w:val="aff6"/>
              <w:topLinePunct/>
            </w:pPr>
            <w:r>
              <w:t>6.32E-08</w:t>
            </w:r>
          </w:p>
        </w:tc>
        <w:tc>
          <w:tcPr>
            <w:tcW w:w="733" w:type="pct"/>
            <w:vAlign w:val="center"/>
          </w:tcPr>
          <w:p w14:paraId="38D898FB" w14:textId="77777777" w:rsidR="003E78AB" w:rsidRDefault="00010BF9">
            <w:pPr>
              <w:pStyle w:val="aff6"/>
              <w:topLinePunct/>
            </w:pPr>
            <w:r>
              <w:t>30min</w:t>
            </w:r>
          </w:p>
        </w:tc>
        <w:tc>
          <w:tcPr>
            <w:tcW w:w="789" w:type="pct"/>
            <w:vAlign w:val="center"/>
          </w:tcPr>
          <w:p w14:paraId="6871A43B" w14:textId="77777777" w:rsidR="003E78AB" w:rsidRDefault="00010BF9">
            <w:pPr>
              <w:pStyle w:val="aff6"/>
              <w:topLinePunct/>
            </w:pPr>
            <w:r>
              <w:t>1.14E-04</w:t>
            </w:r>
          </w:p>
        </w:tc>
      </w:tr>
      <w:tr w:rsidR="003E78AB" w14:paraId="680BA44F" w14:textId="77777777">
        <w:trPr>
          <w:trHeight w:val="564"/>
        </w:trPr>
        <w:tc>
          <w:tcPr>
            <w:tcW w:w="1454" w:type="pct"/>
            <w:vAlign w:val="center"/>
          </w:tcPr>
          <w:p w14:paraId="712CD654" w14:textId="77777777" w:rsidR="003E78AB" w:rsidRDefault="00010BF9">
            <w:pPr>
              <w:pStyle w:val="aff6"/>
              <w:topLinePunct/>
            </w:pPr>
            <w:r>
              <w:t>常见气象</w:t>
            </w:r>
            <w:r>
              <w:rPr>
                <w:rFonts w:hint="eastAsia"/>
              </w:rPr>
              <w:t>（</w:t>
            </w:r>
            <w:r>
              <w:t>D</w:t>
            </w:r>
            <w:r>
              <w:t>、</w:t>
            </w:r>
            <w:r>
              <w:t>17.38℃</w:t>
            </w:r>
            <w:r>
              <w:t>、</w:t>
            </w:r>
            <w:r>
              <w:t>1.64m/s</w:t>
            </w:r>
            <w:r>
              <w:t>、</w:t>
            </w:r>
            <w:r>
              <w:t>42.98%</w:t>
            </w:r>
            <w:r>
              <w:t>湿度</w:t>
            </w:r>
            <w:r>
              <w:rPr>
                <w:rFonts w:hint="eastAsia"/>
              </w:rPr>
              <w:t>）</w:t>
            </w:r>
          </w:p>
        </w:tc>
        <w:tc>
          <w:tcPr>
            <w:tcW w:w="694" w:type="pct"/>
            <w:vAlign w:val="center"/>
          </w:tcPr>
          <w:p w14:paraId="60273984" w14:textId="77777777" w:rsidR="003E78AB" w:rsidRDefault="00010BF9">
            <w:pPr>
              <w:pStyle w:val="aff6"/>
              <w:topLinePunct/>
            </w:pPr>
            <w:r>
              <w:t>0.74</w:t>
            </w:r>
          </w:p>
        </w:tc>
        <w:tc>
          <w:tcPr>
            <w:tcW w:w="620" w:type="pct"/>
            <w:vAlign w:val="center"/>
          </w:tcPr>
          <w:p w14:paraId="5BD67776" w14:textId="77777777" w:rsidR="003E78AB" w:rsidRDefault="00010BF9">
            <w:pPr>
              <w:pStyle w:val="aff6"/>
              <w:topLinePunct/>
            </w:pPr>
            <w:r>
              <w:t>446.35</w:t>
            </w:r>
          </w:p>
        </w:tc>
        <w:tc>
          <w:tcPr>
            <w:tcW w:w="706" w:type="pct"/>
            <w:vAlign w:val="center"/>
          </w:tcPr>
          <w:p w14:paraId="4DB1C308" w14:textId="77777777" w:rsidR="003E78AB" w:rsidRDefault="00010BF9">
            <w:pPr>
              <w:pStyle w:val="aff6"/>
              <w:topLinePunct/>
            </w:pPr>
            <w:r>
              <w:t>6.38E-08</w:t>
            </w:r>
          </w:p>
        </w:tc>
        <w:tc>
          <w:tcPr>
            <w:tcW w:w="733" w:type="pct"/>
            <w:vAlign w:val="center"/>
          </w:tcPr>
          <w:p w14:paraId="3793E997" w14:textId="77777777" w:rsidR="003E78AB" w:rsidRDefault="00010BF9">
            <w:pPr>
              <w:pStyle w:val="aff6"/>
              <w:topLinePunct/>
            </w:pPr>
            <w:r>
              <w:t>30min</w:t>
            </w:r>
          </w:p>
        </w:tc>
        <w:tc>
          <w:tcPr>
            <w:tcW w:w="789" w:type="pct"/>
            <w:vAlign w:val="center"/>
          </w:tcPr>
          <w:p w14:paraId="40751DF9" w14:textId="77777777" w:rsidR="003E78AB" w:rsidRDefault="00010BF9">
            <w:pPr>
              <w:pStyle w:val="aff6"/>
              <w:topLinePunct/>
            </w:pPr>
            <w:r>
              <w:t>1.15E-04</w:t>
            </w:r>
          </w:p>
        </w:tc>
      </w:tr>
    </w:tbl>
    <w:p w14:paraId="21AB5626"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6.4.1.2</w:t>
      </w:r>
      <w:r>
        <w:rPr>
          <w:rFonts w:ascii="Times New Roman" w:hAnsi="Times New Roman"/>
        </w:rPr>
        <w:t>水体污染事故情形</w:t>
      </w:r>
    </w:p>
    <w:p w14:paraId="4514B56A" w14:textId="77777777" w:rsidR="003E78AB" w:rsidRDefault="00010BF9">
      <w:pPr>
        <w:pStyle w:val="5"/>
        <w:keepNext w:val="0"/>
        <w:keepLines w:val="0"/>
        <w:ind w:firstLine="482"/>
        <w:rPr>
          <w:sz w:val="24"/>
        </w:rPr>
      </w:pPr>
      <w:r>
        <w:rPr>
          <w:rFonts w:hint="eastAsia"/>
          <w:sz w:val="24"/>
        </w:rPr>
        <w:t>1.</w:t>
      </w:r>
      <w:r>
        <w:rPr>
          <w:rFonts w:hint="eastAsia"/>
          <w:sz w:val="24"/>
        </w:rPr>
        <w:t>地表水</w:t>
      </w:r>
      <w:r>
        <w:rPr>
          <w:sz w:val="24"/>
        </w:rPr>
        <w:t>水体污染事故情形</w:t>
      </w:r>
    </w:p>
    <w:p w14:paraId="46807388" w14:textId="77777777" w:rsidR="003E78AB" w:rsidRDefault="00010BF9">
      <w:pPr>
        <w:ind w:firstLine="480"/>
      </w:pPr>
      <w:r>
        <w:t>正常情况下，</w:t>
      </w:r>
      <w:r>
        <w:rPr>
          <w:kern w:val="28"/>
        </w:rPr>
        <w:t>本项目</w:t>
      </w:r>
      <w:r>
        <w:rPr>
          <w:kern w:val="2"/>
        </w:rPr>
        <w:t>无生产废水外排，</w:t>
      </w:r>
      <w:r>
        <w:t>工艺废气处理废水</w:t>
      </w:r>
      <w:r>
        <w:rPr>
          <w:rFonts w:hint="eastAsia"/>
        </w:rPr>
        <w:t>经蒸发冷凝后回用于淋洗补水配碱，实验废水经生产车间</w:t>
      </w:r>
      <w:r>
        <w:rPr>
          <w:rFonts w:hint="eastAsia"/>
        </w:rPr>
        <w:t>15m</w:t>
      </w:r>
      <w:r>
        <w:rPr>
          <w:rFonts w:hint="eastAsia"/>
          <w:vertAlign w:val="superscript"/>
        </w:rPr>
        <w:t>3</w:t>
      </w:r>
      <w:r>
        <w:rPr>
          <w:rFonts w:hint="eastAsia"/>
        </w:rPr>
        <w:t>电解液事故罐收集后回用于生产，地面冲洗水、</w:t>
      </w:r>
      <w:r>
        <w:rPr>
          <w:kern w:val="2"/>
        </w:rPr>
        <w:t>软水制备及纯水制备排浓水、锅炉排水经厂内污水管道收集，生活污水经预处理后，一并经厂区总排口排入园区污水厂进一步处理</w:t>
      </w:r>
      <w:r>
        <w:rPr>
          <w:kern w:val="28"/>
        </w:rPr>
        <w:t>。</w:t>
      </w:r>
    </w:p>
    <w:p w14:paraId="48DD01F2" w14:textId="77777777" w:rsidR="003E78AB" w:rsidRDefault="00010BF9">
      <w:pPr>
        <w:ind w:firstLine="480"/>
      </w:pPr>
      <w:r>
        <w:t>厂区涉及的废水泄漏事故主要为生产装置、</w:t>
      </w:r>
      <w:r>
        <w:rPr>
          <w:rFonts w:hint="eastAsia"/>
        </w:rPr>
        <w:t>灌装区、液体库</w:t>
      </w:r>
      <w:r>
        <w:t>是否导致废液泄漏、消防废水事故排放或厂区初期雨水事故排放。项目拟建设事故水池，收集能力为</w:t>
      </w:r>
      <w:r>
        <w:rPr>
          <w:rFonts w:hint="eastAsia"/>
        </w:rPr>
        <w:t>9</w:t>
      </w:r>
      <w:r>
        <w:t>00m</w:t>
      </w:r>
      <w:r>
        <w:rPr>
          <w:vertAlign w:val="superscript"/>
        </w:rPr>
        <w:t>3</w:t>
      </w:r>
      <w:r>
        <w:rPr>
          <w:rFonts w:hint="eastAsia"/>
        </w:rPr>
        <w:t>，</w:t>
      </w:r>
      <w:r>
        <w:t>位于厂区东南处，深度约</w:t>
      </w:r>
      <w:r>
        <w:t>3.3m</w:t>
      </w:r>
      <w:r>
        <w:t>，可满足本项目事故废水的存放，一般情况下可对事故排水进行有效拦截和暂时存储，不向厂区外排放。</w:t>
      </w:r>
    </w:p>
    <w:p w14:paraId="61A07D13" w14:textId="77777777" w:rsidR="003E78AB" w:rsidRDefault="00010BF9">
      <w:pPr>
        <w:pStyle w:val="5"/>
        <w:keepNext w:val="0"/>
        <w:keepLines w:val="0"/>
        <w:ind w:firstLine="482"/>
        <w:rPr>
          <w:sz w:val="24"/>
        </w:rPr>
      </w:pPr>
      <w:r>
        <w:rPr>
          <w:rFonts w:hint="eastAsia"/>
          <w:sz w:val="24"/>
        </w:rPr>
        <w:t>2.</w:t>
      </w:r>
      <w:r>
        <w:rPr>
          <w:rFonts w:hint="eastAsia"/>
          <w:sz w:val="24"/>
        </w:rPr>
        <w:t>地下水</w:t>
      </w:r>
      <w:r>
        <w:rPr>
          <w:sz w:val="24"/>
        </w:rPr>
        <w:t>水体污染事故情形</w:t>
      </w:r>
    </w:p>
    <w:p w14:paraId="64EB2BC6" w14:textId="77777777" w:rsidR="003E78AB" w:rsidRDefault="00010BF9">
      <w:pPr>
        <w:ind w:firstLine="480"/>
      </w:pPr>
      <w:r>
        <w:t>本次确定的地下水污染工况为：</w:t>
      </w:r>
      <w:r>
        <w:rPr>
          <w:rFonts w:hint="eastAsia"/>
        </w:rPr>
        <w:t>工艺废气淋洗设施的淋洗液</w:t>
      </w:r>
      <w:r>
        <w:rPr>
          <w:rFonts w:hint="eastAsia"/>
        </w:rPr>
        <w:t>/</w:t>
      </w:r>
      <w:r>
        <w:rPr>
          <w:rFonts w:hint="eastAsia"/>
        </w:rPr>
        <w:t>水循环水箱防</w:t>
      </w:r>
      <w:r>
        <w:t>渗系统破裂。废水泄漏源项的确定见</w:t>
      </w:r>
      <w:r>
        <w:t>5.4“</w:t>
      </w:r>
      <w:r>
        <w:t>地下水环境影响预测</w:t>
      </w:r>
      <w:r>
        <w:t>”</w:t>
      </w:r>
      <w:r>
        <w:t>小节。</w:t>
      </w:r>
    </w:p>
    <w:p w14:paraId="2CFB3E05"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w:t>
      </w:r>
      <w:r>
        <w:rPr>
          <w:rFonts w:cs="Times New Roman"/>
          <w:sz w:val="28"/>
          <w:szCs w:val="28"/>
        </w:rPr>
        <w:t>.</w:t>
      </w:r>
      <w:r>
        <w:rPr>
          <w:rFonts w:cs="Times New Roman" w:hint="eastAsia"/>
          <w:sz w:val="28"/>
          <w:szCs w:val="28"/>
        </w:rPr>
        <w:t>4.2</w:t>
      </w:r>
      <w:r>
        <w:rPr>
          <w:rFonts w:cs="Times New Roman"/>
          <w:sz w:val="28"/>
          <w:szCs w:val="28"/>
        </w:rPr>
        <w:t>最大可信事故及其概率</w:t>
      </w:r>
    </w:p>
    <w:p w14:paraId="3D871FA8" w14:textId="77777777" w:rsidR="003E78AB" w:rsidRDefault="00010BF9">
      <w:pPr>
        <w:ind w:firstLine="480"/>
        <w:rPr>
          <w:kern w:val="2"/>
        </w:rPr>
      </w:pPr>
      <w:r>
        <w:rPr>
          <w:kern w:val="2"/>
        </w:rPr>
        <w:t>物质泄漏频率参照《建设项目环境风险评价技术导则》</w:t>
      </w:r>
      <w:r>
        <w:rPr>
          <w:rFonts w:hint="eastAsia"/>
          <w:kern w:val="2"/>
        </w:rPr>
        <w:t>（</w:t>
      </w:r>
      <w:r>
        <w:rPr>
          <w:kern w:val="2"/>
        </w:rPr>
        <w:t>HJ169-2018</w:t>
      </w:r>
      <w:r>
        <w:rPr>
          <w:rFonts w:hint="eastAsia"/>
          <w:kern w:val="2"/>
        </w:rPr>
        <w:t>）</w:t>
      </w:r>
      <w:r>
        <w:rPr>
          <w:kern w:val="2"/>
        </w:rPr>
        <w:t>中附录</w:t>
      </w:r>
      <w:r>
        <w:rPr>
          <w:kern w:val="2"/>
        </w:rPr>
        <w:t>E</w:t>
      </w:r>
      <w:r>
        <w:rPr>
          <w:kern w:val="2"/>
        </w:rPr>
        <w:t>泄漏频率的推荐值表</w:t>
      </w:r>
      <w:r>
        <w:rPr>
          <w:kern w:val="2"/>
        </w:rPr>
        <w:t>E.1</w:t>
      </w:r>
      <w:r>
        <w:rPr>
          <w:kern w:val="2"/>
        </w:rPr>
        <w:t>泄漏频率表，见</w:t>
      </w:r>
      <w:r>
        <w:rPr>
          <w:kern w:val="2"/>
        </w:rPr>
        <w:fldChar w:fldCharType="begin"/>
      </w:r>
      <w:r>
        <w:rPr>
          <w:kern w:val="2"/>
        </w:rPr>
        <w:instrText xml:space="preserve"> REF _Ref25607 \r \h </w:instrText>
      </w:r>
      <w:r>
        <w:rPr>
          <w:kern w:val="2"/>
        </w:rPr>
      </w:r>
      <w:r>
        <w:rPr>
          <w:kern w:val="2"/>
        </w:rPr>
        <w:fldChar w:fldCharType="separate"/>
      </w:r>
      <w:r>
        <w:rPr>
          <w:kern w:val="2"/>
        </w:rPr>
        <w:t>表</w:t>
      </w:r>
      <w:r>
        <w:rPr>
          <w:kern w:val="2"/>
        </w:rPr>
        <w:t>6-25</w:t>
      </w:r>
      <w:r>
        <w:rPr>
          <w:kern w:val="2"/>
        </w:rPr>
        <w:fldChar w:fldCharType="end"/>
      </w:r>
      <w:r>
        <w:rPr>
          <w:kern w:val="2"/>
        </w:rPr>
        <w:t>。</w:t>
      </w:r>
    </w:p>
    <w:p w14:paraId="03D641B5" w14:textId="77777777" w:rsidR="003E78AB" w:rsidRDefault="00010BF9">
      <w:pPr>
        <w:pStyle w:val="a"/>
        <w:spacing w:before="120"/>
        <w:ind w:left="425" w:hanging="425"/>
      </w:pPr>
      <w:bookmarkStart w:id="435" w:name="_Ref25607"/>
      <w:r>
        <w:t>泄漏频率表</w:t>
      </w:r>
      <w:bookmarkEnd w:id="435"/>
    </w:p>
    <w:tbl>
      <w:tblPr>
        <w:tblStyle w:val="afff0"/>
        <w:tblW w:w="4998" w:type="pct"/>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3"/>
        <w:gridCol w:w="3992"/>
        <w:gridCol w:w="1667"/>
      </w:tblGrid>
      <w:tr w:rsidR="003E78AB" w14:paraId="3AE3A389" w14:textId="77777777">
        <w:trPr>
          <w:trHeight w:val="340"/>
          <w:tblHeader/>
          <w:jc w:val="center"/>
        </w:trPr>
        <w:tc>
          <w:tcPr>
            <w:tcW w:w="1635" w:type="pct"/>
          </w:tcPr>
          <w:p w14:paraId="4DA36FC8" w14:textId="77777777" w:rsidR="003E78AB" w:rsidRDefault="00010BF9">
            <w:pPr>
              <w:pStyle w:val="aff6"/>
              <w:topLinePunct/>
              <w:rPr>
                <w:b/>
                <w:bCs/>
                <w:color w:val="auto"/>
              </w:rPr>
            </w:pPr>
            <w:r>
              <w:rPr>
                <w:b/>
                <w:bCs/>
                <w:color w:val="auto"/>
              </w:rPr>
              <w:t>部件类型</w:t>
            </w:r>
          </w:p>
        </w:tc>
        <w:tc>
          <w:tcPr>
            <w:tcW w:w="2372" w:type="pct"/>
          </w:tcPr>
          <w:p w14:paraId="120419E2" w14:textId="77777777" w:rsidR="003E78AB" w:rsidRDefault="00010BF9">
            <w:pPr>
              <w:pStyle w:val="aff6"/>
              <w:topLinePunct/>
              <w:rPr>
                <w:b/>
                <w:bCs/>
                <w:color w:val="auto"/>
              </w:rPr>
            </w:pPr>
            <w:r>
              <w:rPr>
                <w:b/>
                <w:bCs/>
                <w:color w:val="auto"/>
              </w:rPr>
              <w:t>泄漏模式</w:t>
            </w:r>
          </w:p>
        </w:tc>
        <w:tc>
          <w:tcPr>
            <w:tcW w:w="991" w:type="pct"/>
          </w:tcPr>
          <w:p w14:paraId="4261BEDB" w14:textId="77777777" w:rsidR="003E78AB" w:rsidRDefault="00010BF9">
            <w:pPr>
              <w:pStyle w:val="aff6"/>
              <w:topLinePunct/>
              <w:rPr>
                <w:b/>
                <w:bCs/>
                <w:color w:val="auto"/>
              </w:rPr>
            </w:pPr>
            <w:r>
              <w:rPr>
                <w:b/>
                <w:bCs/>
                <w:color w:val="auto"/>
              </w:rPr>
              <w:t>泄漏频率</w:t>
            </w:r>
          </w:p>
        </w:tc>
      </w:tr>
      <w:tr w:rsidR="003E78AB" w14:paraId="751E5F6B" w14:textId="77777777">
        <w:trPr>
          <w:trHeight w:val="340"/>
          <w:jc w:val="center"/>
        </w:trPr>
        <w:tc>
          <w:tcPr>
            <w:tcW w:w="1635" w:type="pct"/>
          </w:tcPr>
          <w:p w14:paraId="4A059FA7" w14:textId="77777777" w:rsidR="003E78AB" w:rsidRDefault="00010BF9">
            <w:pPr>
              <w:pStyle w:val="aff6"/>
              <w:topLinePunct/>
              <w:rPr>
                <w:color w:val="auto"/>
              </w:rPr>
            </w:pPr>
            <w:r>
              <w:rPr>
                <w:color w:val="auto"/>
              </w:rPr>
              <w:t>反应器</w:t>
            </w:r>
            <w:r>
              <w:rPr>
                <w:color w:val="auto"/>
              </w:rPr>
              <w:t>/</w:t>
            </w:r>
            <w:r>
              <w:rPr>
                <w:color w:val="auto"/>
              </w:rPr>
              <w:t>工艺储罐</w:t>
            </w:r>
            <w:r>
              <w:rPr>
                <w:color w:val="auto"/>
              </w:rPr>
              <w:t>/</w:t>
            </w:r>
            <w:r>
              <w:rPr>
                <w:color w:val="auto"/>
              </w:rPr>
              <w:t>气体储罐</w:t>
            </w:r>
            <w:r>
              <w:rPr>
                <w:color w:val="auto"/>
              </w:rPr>
              <w:t>/</w:t>
            </w:r>
            <w:r>
              <w:rPr>
                <w:color w:val="auto"/>
              </w:rPr>
              <w:t>塔器</w:t>
            </w:r>
          </w:p>
        </w:tc>
        <w:tc>
          <w:tcPr>
            <w:tcW w:w="2372" w:type="pct"/>
          </w:tcPr>
          <w:p w14:paraId="54CA9E30" w14:textId="77777777" w:rsidR="003E78AB" w:rsidRDefault="00010BF9">
            <w:pPr>
              <w:pStyle w:val="aff6"/>
              <w:topLinePunct/>
              <w:rPr>
                <w:color w:val="auto"/>
              </w:rPr>
            </w:pPr>
            <w:r>
              <w:rPr>
                <w:color w:val="auto"/>
              </w:rPr>
              <w:t>泄漏孔径为</w:t>
            </w:r>
            <w:r>
              <w:rPr>
                <w:color w:val="auto"/>
              </w:rPr>
              <w:t>10mm</w:t>
            </w:r>
            <w:r>
              <w:rPr>
                <w:color w:val="auto"/>
              </w:rPr>
              <w:t>孔径</w:t>
            </w:r>
          </w:p>
          <w:p w14:paraId="7C236D14" w14:textId="77777777" w:rsidR="003E78AB" w:rsidRDefault="00010BF9">
            <w:pPr>
              <w:pStyle w:val="aff6"/>
              <w:topLinePunct/>
              <w:rPr>
                <w:color w:val="auto"/>
              </w:rPr>
            </w:pPr>
            <w:r>
              <w:rPr>
                <w:color w:val="auto"/>
              </w:rPr>
              <w:t>10min</w:t>
            </w:r>
            <w:r>
              <w:rPr>
                <w:color w:val="auto"/>
              </w:rPr>
              <w:t>内储罐泄漏完</w:t>
            </w:r>
          </w:p>
          <w:p w14:paraId="761C89B4" w14:textId="77777777" w:rsidR="003E78AB" w:rsidRDefault="00010BF9">
            <w:pPr>
              <w:pStyle w:val="aff6"/>
              <w:topLinePunct/>
              <w:rPr>
                <w:color w:val="auto"/>
              </w:rPr>
            </w:pPr>
            <w:r>
              <w:rPr>
                <w:color w:val="auto"/>
              </w:rPr>
              <w:t>储罐全破裂</w:t>
            </w:r>
          </w:p>
        </w:tc>
        <w:tc>
          <w:tcPr>
            <w:tcW w:w="991" w:type="pct"/>
          </w:tcPr>
          <w:p w14:paraId="3FDBBEE5" w14:textId="77777777" w:rsidR="003E78AB" w:rsidRDefault="00010BF9">
            <w:pPr>
              <w:pStyle w:val="aff6"/>
              <w:topLinePunct/>
              <w:rPr>
                <w:color w:val="auto"/>
              </w:rPr>
            </w:pPr>
            <w:r>
              <w:rPr>
                <w:color w:val="auto"/>
              </w:rPr>
              <w:t>1.00×10</w:t>
            </w:r>
            <w:r>
              <w:rPr>
                <w:color w:val="auto"/>
                <w:vertAlign w:val="superscript"/>
              </w:rPr>
              <w:t>-4</w:t>
            </w:r>
            <w:r>
              <w:rPr>
                <w:color w:val="auto"/>
              </w:rPr>
              <w:t>/a</w:t>
            </w:r>
          </w:p>
          <w:p w14:paraId="6C371E72" w14:textId="77777777" w:rsidR="003E78AB" w:rsidRDefault="00010BF9">
            <w:pPr>
              <w:pStyle w:val="aff6"/>
              <w:topLinePunct/>
              <w:rPr>
                <w:color w:val="auto"/>
              </w:rPr>
            </w:pPr>
            <w:r>
              <w:rPr>
                <w:color w:val="auto"/>
              </w:rPr>
              <w:t>5.00×10</w:t>
            </w:r>
            <w:r>
              <w:rPr>
                <w:color w:val="auto"/>
                <w:vertAlign w:val="superscript"/>
              </w:rPr>
              <w:t>-6</w:t>
            </w:r>
            <w:r>
              <w:rPr>
                <w:color w:val="auto"/>
              </w:rPr>
              <w:t>/a</w:t>
            </w:r>
          </w:p>
          <w:p w14:paraId="1997F1A7" w14:textId="77777777" w:rsidR="003E78AB" w:rsidRDefault="00010BF9">
            <w:pPr>
              <w:pStyle w:val="aff6"/>
              <w:topLinePunct/>
              <w:rPr>
                <w:color w:val="auto"/>
              </w:rPr>
            </w:pPr>
            <w:r>
              <w:rPr>
                <w:color w:val="auto"/>
              </w:rPr>
              <w:t>5.00×10</w:t>
            </w:r>
            <w:r>
              <w:rPr>
                <w:color w:val="auto"/>
                <w:vertAlign w:val="superscript"/>
              </w:rPr>
              <w:t>-6</w:t>
            </w:r>
            <w:r>
              <w:rPr>
                <w:color w:val="auto"/>
              </w:rPr>
              <w:t>/a</w:t>
            </w:r>
          </w:p>
        </w:tc>
      </w:tr>
      <w:tr w:rsidR="003E78AB" w14:paraId="24B8F172" w14:textId="77777777">
        <w:trPr>
          <w:trHeight w:val="340"/>
          <w:jc w:val="center"/>
        </w:trPr>
        <w:tc>
          <w:tcPr>
            <w:tcW w:w="1635" w:type="pct"/>
          </w:tcPr>
          <w:p w14:paraId="293F7E37" w14:textId="77777777" w:rsidR="003E78AB" w:rsidRDefault="00010BF9">
            <w:pPr>
              <w:pStyle w:val="aff6"/>
              <w:topLinePunct/>
              <w:rPr>
                <w:color w:val="auto"/>
              </w:rPr>
            </w:pPr>
            <w:r>
              <w:rPr>
                <w:color w:val="auto"/>
              </w:rPr>
              <w:t>常压单包容储罐</w:t>
            </w:r>
          </w:p>
        </w:tc>
        <w:tc>
          <w:tcPr>
            <w:tcW w:w="2372" w:type="pct"/>
          </w:tcPr>
          <w:p w14:paraId="03D9BEA7" w14:textId="77777777" w:rsidR="003E78AB" w:rsidRDefault="00010BF9">
            <w:pPr>
              <w:pStyle w:val="aff6"/>
              <w:topLinePunct/>
              <w:rPr>
                <w:color w:val="auto"/>
              </w:rPr>
            </w:pPr>
            <w:r>
              <w:rPr>
                <w:color w:val="auto"/>
              </w:rPr>
              <w:t>泄漏孔径为</w:t>
            </w:r>
            <w:r>
              <w:rPr>
                <w:color w:val="auto"/>
              </w:rPr>
              <w:t>10mm</w:t>
            </w:r>
            <w:r>
              <w:rPr>
                <w:color w:val="auto"/>
              </w:rPr>
              <w:t>孔径</w:t>
            </w:r>
          </w:p>
          <w:p w14:paraId="5373C8C2" w14:textId="77777777" w:rsidR="003E78AB" w:rsidRDefault="00010BF9">
            <w:pPr>
              <w:pStyle w:val="aff6"/>
              <w:topLinePunct/>
              <w:rPr>
                <w:color w:val="auto"/>
              </w:rPr>
            </w:pPr>
            <w:r>
              <w:rPr>
                <w:color w:val="auto"/>
              </w:rPr>
              <w:t>10min</w:t>
            </w:r>
            <w:r>
              <w:rPr>
                <w:color w:val="auto"/>
              </w:rPr>
              <w:t>内储罐泄漏完</w:t>
            </w:r>
          </w:p>
          <w:p w14:paraId="1BE9AE3E" w14:textId="77777777" w:rsidR="003E78AB" w:rsidRDefault="00010BF9">
            <w:pPr>
              <w:pStyle w:val="aff6"/>
              <w:topLinePunct/>
              <w:rPr>
                <w:color w:val="auto"/>
              </w:rPr>
            </w:pPr>
            <w:r>
              <w:rPr>
                <w:color w:val="auto"/>
              </w:rPr>
              <w:t>储罐全破裂</w:t>
            </w:r>
          </w:p>
        </w:tc>
        <w:tc>
          <w:tcPr>
            <w:tcW w:w="991" w:type="pct"/>
          </w:tcPr>
          <w:p w14:paraId="6ECE4C59" w14:textId="77777777" w:rsidR="003E78AB" w:rsidRDefault="00010BF9">
            <w:pPr>
              <w:pStyle w:val="aff6"/>
              <w:topLinePunct/>
              <w:rPr>
                <w:color w:val="auto"/>
              </w:rPr>
            </w:pPr>
            <w:r>
              <w:rPr>
                <w:color w:val="auto"/>
              </w:rPr>
              <w:t>1.00×10</w:t>
            </w:r>
            <w:r>
              <w:rPr>
                <w:color w:val="auto"/>
                <w:vertAlign w:val="superscript"/>
              </w:rPr>
              <w:t>-4</w:t>
            </w:r>
            <w:r>
              <w:rPr>
                <w:color w:val="auto"/>
              </w:rPr>
              <w:t>/a</w:t>
            </w:r>
          </w:p>
          <w:p w14:paraId="7B53EBA3" w14:textId="77777777" w:rsidR="003E78AB" w:rsidRDefault="00010BF9">
            <w:pPr>
              <w:pStyle w:val="aff6"/>
              <w:topLinePunct/>
              <w:rPr>
                <w:color w:val="auto"/>
              </w:rPr>
            </w:pPr>
            <w:r>
              <w:rPr>
                <w:color w:val="auto"/>
              </w:rPr>
              <w:t>5.00×10</w:t>
            </w:r>
            <w:r>
              <w:rPr>
                <w:color w:val="auto"/>
                <w:vertAlign w:val="superscript"/>
              </w:rPr>
              <w:t>-6</w:t>
            </w:r>
            <w:r>
              <w:rPr>
                <w:color w:val="auto"/>
              </w:rPr>
              <w:t>/a</w:t>
            </w:r>
          </w:p>
          <w:p w14:paraId="5D83CF6A" w14:textId="77777777" w:rsidR="003E78AB" w:rsidRDefault="00010BF9">
            <w:pPr>
              <w:pStyle w:val="aff6"/>
              <w:topLinePunct/>
              <w:rPr>
                <w:color w:val="auto"/>
              </w:rPr>
            </w:pPr>
            <w:r>
              <w:rPr>
                <w:color w:val="auto"/>
              </w:rPr>
              <w:t>5.00×10</w:t>
            </w:r>
            <w:r>
              <w:rPr>
                <w:color w:val="auto"/>
                <w:vertAlign w:val="superscript"/>
              </w:rPr>
              <w:t>-6</w:t>
            </w:r>
            <w:r>
              <w:rPr>
                <w:color w:val="auto"/>
              </w:rPr>
              <w:t>/a</w:t>
            </w:r>
          </w:p>
        </w:tc>
      </w:tr>
      <w:tr w:rsidR="003E78AB" w14:paraId="376685BD" w14:textId="77777777">
        <w:trPr>
          <w:trHeight w:val="340"/>
          <w:jc w:val="center"/>
        </w:trPr>
        <w:tc>
          <w:tcPr>
            <w:tcW w:w="1635" w:type="pct"/>
          </w:tcPr>
          <w:p w14:paraId="66137761" w14:textId="77777777" w:rsidR="003E78AB" w:rsidRDefault="00010BF9">
            <w:pPr>
              <w:pStyle w:val="aff6"/>
              <w:topLinePunct/>
              <w:rPr>
                <w:color w:val="auto"/>
              </w:rPr>
            </w:pPr>
            <w:r>
              <w:rPr>
                <w:color w:val="auto"/>
              </w:rPr>
              <w:t>常压双包容储罐</w:t>
            </w:r>
          </w:p>
        </w:tc>
        <w:tc>
          <w:tcPr>
            <w:tcW w:w="2372" w:type="pct"/>
          </w:tcPr>
          <w:p w14:paraId="13D7C3B2" w14:textId="77777777" w:rsidR="003E78AB" w:rsidRDefault="00010BF9">
            <w:pPr>
              <w:pStyle w:val="aff6"/>
              <w:topLinePunct/>
              <w:rPr>
                <w:color w:val="auto"/>
              </w:rPr>
            </w:pPr>
            <w:r>
              <w:rPr>
                <w:color w:val="auto"/>
              </w:rPr>
              <w:t>泄漏孔径为</w:t>
            </w:r>
            <w:r>
              <w:rPr>
                <w:color w:val="auto"/>
              </w:rPr>
              <w:t>10mm</w:t>
            </w:r>
            <w:r>
              <w:rPr>
                <w:color w:val="auto"/>
              </w:rPr>
              <w:t>孔径</w:t>
            </w:r>
          </w:p>
          <w:p w14:paraId="577B3604" w14:textId="77777777" w:rsidR="003E78AB" w:rsidRDefault="00010BF9">
            <w:pPr>
              <w:pStyle w:val="aff6"/>
              <w:topLinePunct/>
              <w:rPr>
                <w:color w:val="auto"/>
              </w:rPr>
            </w:pPr>
            <w:r>
              <w:rPr>
                <w:color w:val="auto"/>
              </w:rPr>
              <w:t>10min</w:t>
            </w:r>
            <w:r>
              <w:rPr>
                <w:color w:val="auto"/>
              </w:rPr>
              <w:t>内储罐泄漏完</w:t>
            </w:r>
          </w:p>
          <w:p w14:paraId="2CD413B1" w14:textId="77777777" w:rsidR="003E78AB" w:rsidRDefault="00010BF9">
            <w:pPr>
              <w:pStyle w:val="aff6"/>
              <w:topLinePunct/>
              <w:rPr>
                <w:color w:val="auto"/>
              </w:rPr>
            </w:pPr>
            <w:r>
              <w:rPr>
                <w:color w:val="auto"/>
              </w:rPr>
              <w:t>储罐全破裂</w:t>
            </w:r>
          </w:p>
        </w:tc>
        <w:tc>
          <w:tcPr>
            <w:tcW w:w="991" w:type="pct"/>
          </w:tcPr>
          <w:p w14:paraId="5F0437C7" w14:textId="77777777" w:rsidR="003E78AB" w:rsidRDefault="00010BF9">
            <w:pPr>
              <w:pStyle w:val="aff6"/>
              <w:topLinePunct/>
              <w:rPr>
                <w:color w:val="auto"/>
              </w:rPr>
            </w:pPr>
            <w:r>
              <w:rPr>
                <w:color w:val="auto"/>
              </w:rPr>
              <w:t>1.00×10</w:t>
            </w:r>
            <w:r>
              <w:rPr>
                <w:color w:val="auto"/>
                <w:vertAlign w:val="superscript"/>
              </w:rPr>
              <w:t>-4</w:t>
            </w:r>
            <w:r>
              <w:rPr>
                <w:color w:val="auto"/>
              </w:rPr>
              <w:t>/a</w:t>
            </w:r>
          </w:p>
          <w:p w14:paraId="3FDCBC43" w14:textId="77777777" w:rsidR="003E78AB" w:rsidRDefault="00010BF9">
            <w:pPr>
              <w:pStyle w:val="aff6"/>
              <w:topLinePunct/>
              <w:rPr>
                <w:color w:val="auto"/>
              </w:rPr>
            </w:pPr>
            <w:r>
              <w:rPr>
                <w:color w:val="auto"/>
              </w:rPr>
              <w:t>1.25×10</w:t>
            </w:r>
            <w:r>
              <w:rPr>
                <w:color w:val="auto"/>
                <w:vertAlign w:val="superscript"/>
              </w:rPr>
              <w:t>-8</w:t>
            </w:r>
            <w:r>
              <w:rPr>
                <w:color w:val="auto"/>
              </w:rPr>
              <w:t>/a</w:t>
            </w:r>
          </w:p>
          <w:p w14:paraId="122F308E" w14:textId="77777777" w:rsidR="003E78AB" w:rsidRDefault="00010BF9">
            <w:pPr>
              <w:pStyle w:val="aff6"/>
              <w:topLinePunct/>
              <w:rPr>
                <w:color w:val="auto"/>
              </w:rPr>
            </w:pPr>
            <w:r>
              <w:rPr>
                <w:color w:val="auto"/>
              </w:rPr>
              <w:t>1.25×10</w:t>
            </w:r>
            <w:r>
              <w:rPr>
                <w:color w:val="auto"/>
                <w:vertAlign w:val="superscript"/>
              </w:rPr>
              <w:t>-8</w:t>
            </w:r>
            <w:r>
              <w:rPr>
                <w:color w:val="auto"/>
              </w:rPr>
              <w:t>/a</w:t>
            </w:r>
          </w:p>
        </w:tc>
      </w:tr>
      <w:tr w:rsidR="003E78AB" w14:paraId="31B38612" w14:textId="77777777">
        <w:trPr>
          <w:trHeight w:val="340"/>
          <w:jc w:val="center"/>
        </w:trPr>
        <w:tc>
          <w:tcPr>
            <w:tcW w:w="1635" w:type="pct"/>
          </w:tcPr>
          <w:p w14:paraId="73256871" w14:textId="77777777" w:rsidR="003E78AB" w:rsidRDefault="00010BF9">
            <w:pPr>
              <w:pStyle w:val="aff6"/>
              <w:topLinePunct/>
              <w:rPr>
                <w:color w:val="auto"/>
              </w:rPr>
            </w:pPr>
            <w:r>
              <w:rPr>
                <w:color w:val="auto"/>
              </w:rPr>
              <w:t>常压全包容储罐</w:t>
            </w:r>
          </w:p>
        </w:tc>
        <w:tc>
          <w:tcPr>
            <w:tcW w:w="2372" w:type="pct"/>
          </w:tcPr>
          <w:p w14:paraId="7D24AD82" w14:textId="77777777" w:rsidR="003E78AB" w:rsidRDefault="00010BF9">
            <w:pPr>
              <w:pStyle w:val="aff6"/>
              <w:topLinePunct/>
              <w:rPr>
                <w:color w:val="auto"/>
              </w:rPr>
            </w:pPr>
            <w:r>
              <w:rPr>
                <w:color w:val="auto"/>
              </w:rPr>
              <w:t>储罐全破裂</w:t>
            </w:r>
          </w:p>
        </w:tc>
        <w:tc>
          <w:tcPr>
            <w:tcW w:w="991" w:type="pct"/>
          </w:tcPr>
          <w:p w14:paraId="03215B2D" w14:textId="77777777" w:rsidR="003E78AB" w:rsidRDefault="00010BF9">
            <w:pPr>
              <w:pStyle w:val="aff6"/>
              <w:topLinePunct/>
              <w:rPr>
                <w:color w:val="auto"/>
              </w:rPr>
            </w:pPr>
            <w:r>
              <w:rPr>
                <w:color w:val="auto"/>
              </w:rPr>
              <w:t>1.00×10</w:t>
            </w:r>
            <w:r>
              <w:rPr>
                <w:color w:val="auto"/>
                <w:vertAlign w:val="superscript"/>
              </w:rPr>
              <w:t>-8</w:t>
            </w:r>
            <w:r>
              <w:rPr>
                <w:color w:val="auto"/>
              </w:rPr>
              <w:t>/a</w:t>
            </w:r>
          </w:p>
        </w:tc>
      </w:tr>
      <w:tr w:rsidR="003E78AB" w14:paraId="0B33DDF3" w14:textId="77777777">
        <w:trPr>
          <w:trHeight w:val="340"/>
          <w:jc w:val="center"/>
        </w:trPr>
        <w:tc>
          <w:tcPr>
            <w:tcW w:w="1635" w:type="pct"/>
          </w:tcPr>
          <w:p w14:paraId="4F2B2746" w14:textId="77777777" w:rsidR="003E78AB" w:rsidRDefault="00010BF9">
            <w:pPr>
              <w:pStyle w:val="aff6"/>
              <w:topLinePunct/>
              <w:rPr>
                <w:color w:val="auto"/>
              </w:rPr>
            </w:pPr>
            <w:r>
              <w:rPr>
                <w:color w:val="auto"/>
              </w:rPr>
              <w:t>内径</w:t>
            </w:r>
            <w:r>
              <w:rPr>
                <w:color w:val="auto"/>
              </w:rPr>
              <w:t>≤75mm</w:t>
            </w:r>
            <w:r>
              <w:rPr>
                <w:color w:val="auto"/>
              </w:rPr>
              <w:t>的管道</w:t>
            </w:r>
          </w:p>
        </w:tc>
        <w:tc>
          <w:tcPr>
            <w:tcW w:w="2372" w:type="pct"/>
          </w:tcPr>
          <w:p w14:paraId="458E84E4" w14:textId="77777777" w:rsidR="003E78AB" w:rsidRDefault="00010BF9">
            <w:pPr>
              <w:pStyle w:val="aff6"/>
              <w:topLinePunct/>
              <w:rPr>
                <w:color w:val="auto"/>
              </w:rPr>
            </w:pPr>
            <w:r>
              <w:rPr>
                <w:color w:val="auto"/>
              </w:rPr>
              <w:t>泄漏孔径为</w:t>
            </w:r>
            <w:r>
              <w:rPr>
                <w:color w:val="auto"/>
              </w:rPr>
              <w:t>10%</w:t>
            </w:r>
            <w:r>
              <w:rPr>
                <w:color w:val="auto"/>
              </w:rPr>
              <w:t>孔径</w:t>
            </w:r>
          </w:p>
          <w:p w14:paraId="078CFE37" w14:textId="77777777" w:rsidR="003E78AB" w:rsidRDefault="00010BF9">
            <w:pPr>
              <w:pStyle w:val="aff6"/>
              <w:topLinePunct/>
              <w:rPr>
                <w:color w:val="auto"/>
              </w:rPr>
            </w:pPr>
            <w:r>
              <w:rPr>
                <w:color w:val="auto"/>
              </w:rPr>
              <w:t>全管径泄漏</w:t>
            </w:r>
          </w:p>
        </w:tc>
        <w:tc>
          <w:tcPr>
            <w:tcW w:w="991" w:type="pct"/>
          </w:tcPr>
          <w:p w14:paraId="47014039" w14:textId="77777777" w:rsidR="003E78AB" w:rsidRDefault="00010BF9">
            <w:pPr>
              <w:pStyle w:val="aff6"/>
              <w:topLinePunct/>
              <w:rPr>
                <w:color w:val="auto"/>
              </w:rPr>
            </w:pPr>
            <w:r>
              <w:rPr>
                <w:color w:val="auto"/>
              </w:rPr>
              <w:t>5.00×10</w:t>
            </w:r>
            <w:r>
              <w:rPr>
                <w:color w:val="auto"/>
                <w:vertAlign w:val="superscript"/>
              </w:rPr>
              <w:t>-6</w:t>
            </w:r>
            <w:r>
              <w:rPr>
                <w:color w:val="auto"/>
              </w:rPr>
              <w:t>/(m·a)</w:t>
            </w:r>
          </w:p>
          <w:p w14:paraId="1609A60C" w14:textId="77777777" w:rsidR="003E78AB" w:rsidRDefault="00010BF9">
            <w:pPr>
              <w:pStyle w:val="aff6"/>
              <w:topLinePunct/>
              <w:rPr>
                <w:color w:val="auto"/>
              </w:rPr>
            </w:pPr>
            <w:r>
              <w:rPr>
                <w:color w:val="auto"/>
              </w:rPr>
              <w:t>1.00×10</w:t>
            </w:r>
            <w:r>
              <w:rPr>
                <w:color w:val="auto"/>
                <w:vertAlign w:val="superscript"/>
              </w:rPr>
              <w:t>-6</w:t>
            </w:r>
            <w:r>
              <w:rPr>
                <w:color w:val="auto"/>
              </w:rPr>
              <w:t>/(m·a)</w:t>
            </w:r>
          </w:p>
        </w:tc>
      </w:tr>
      <w:tr w:rsidR="003E78AB" w14:paraId="31C12318" w14:textId="77777777">
        <w:trPr>
          <w:trHeight w:val="340"/>
          <w:jc w:val="center"/>
        </w:trPr>
        <w:tc>
          <w:tcPr>
            <w:tcW w:w="1635" w:type="pct"/>
          </w:tcPr>
          <w:p w14:paraId="5FD6609B" w14:textId="77777777" w:rsidR="003E78AB" w:rsidRDefault="00010BF9">
            <w:pPr>
              <w:pStyle w:val="aff6"/>
              <w:topLinePunct/>
              <w:rPr>
                <w:color w:val="auto"/>
              </w:rPr>
            </w:pPr>
            <w:r>
              <w:rPr>
                <w:color w:val="auto"/>
              </w:rPr>
              <w:t>75&lt;</w:t>
            </w:r>
            <w:r>
              <w:rPr>
                <w:color w:val="auto"/>
              </w:rPr>
              <w:t>内径</w:t>
            </w:r>
            <w:r>
              <w:rPr>
                <w:color w:val="auto"/>
              </w:rPr>
              <w:t>≤150mm</w:t>
            </w:r>
            <w:r>
              <w:rPr>
                <w:color w:val="auto"/>
              </w:rPr>
              <w:t>的管道</w:t>
            </w:r>
          </w:p>
        </w:tc>
        <w:tc>
          <w:tcPr>
            <w:tcW w:w="2372" w:type="pct"/>
          </w:tcPr>
          <w:p w14:paraId="3E451664" w14:textId="77777777" w:rsidR="003E78AB" w:rsidRDefault="00010BF9">
            <w:pPr>
              <w:pStyle w:val="aff6"/>
              <w:topLinePunct/>
              <w:rPr>
                <w:color w:val="auto"/>
              </w:rPr>
            </w:pPr>
            <w:r>
              <w:rPr>
                <w:color w:val="auto"/>
              </w:rPr>
              <w:t>泄漏孔径为</w:t>
            </w:r>
            <w:r>
              <w:rPr>
                <w:color w:val="auto"/>
              </w:rPr>
              <w:t>10%</w:t>
            </w:r>
            <w:r>
              <w:rPr>
                <w:color w:val="auto"/>
              </w:rPr>
              <w:t>孔径</w:t>
            </w:r>
          </w:p>
          <w:p w14:paraId="7B78CC5F" w14:textId="77777777" w:rsidR="003E78AB" w:rsidRDefault="00010BF9">
            <w:pPr>
              <w:pStyle w:val="aff6"/>
              <w:topLinePunct/>
              <w:rPr>
                <w:color w:val="auto"/>
              </w:rPr>
            </w:pPr>
            <w:r>
              <w:rPr>
                <w:color w:val="auto"/>
              </w:rPr>
              <w:t>全管径泄漏</w:t>
            </w:r>
          </w:p>
        </w:tc>
        <w:tc>
          <w:tcPr>
            <w:tcW w:w="991" w:type="pct"/>
          </w:tcPr>
          <w:p w14:paraId="644554BE" w14:textId="77777777" w:rsidR="003E78AB" w:rsidRDefault="00010BF9">
            <w:pPr>
              <w:pStyle w:val="aff6"/>
              <w:topLinePunct/>
              <w:rPr>
                <w:color w:val="auto"/>
              </w:rPr>
            </w:pPr>
            <w:r>
              <w:rPr>
                <w:color w:val="auto"/>
              </w:rPr>
              <w:t>2.00×10</w:t>
            </w:r>
            <w:r>
              <w:rPr>
                <w:color w:val="auto"/>
                <w:vertAlign w:val="superscript"/>
              </w:rPr>
              <w:t>-6</w:t>
            </w:r>
            <w:r>
              <w:rPr>
                <w:color w:val="auto"/>
              </w:rPr>
              <w:t>/(m·a)</w:t>
            </w:r>
          </w:p>
          <w:p w14:paraId="52D0DD28" w14:textId="77777777" w:rsidR="003E78AB" w:rsidRDefault="00010BF9">
            <w:pPr>
              <w:pStyle w:val="aff6"/>
              <w:topLinePunct/>
              <w:rPr>
                <w:color w:val="auto"/>
              </w:rPr>
            </w:pPr>
            <w:r>
              <w:rPr>
                <w:color w:val="auto"/>
              </w:rPr>
              <w:t>3.00×10</w:t>
            </w:r>
            <w:r>
              <w:rPr>
                <w:color w:val="auto"/>
                <w:vertAlign w:val="superscript"/>
              </w:rPr>
              <w:t>-7</w:t>
            </w:r>
            <w:r>
              <w:rPr>
                <w:color w:val="auto"/>
              </w:rPr>
              <w:t>/(m·a)</w:t>
            </w:r>
          </w:p>
        </w:tc>
      </w:tr>
      <w:tr w:rsidR="003E78AB" w14:paraId="0C0A7DD2" w14:textId="77777777">
        <w:trPr>
          <w:trHeight w:val="340"/>
          <w:jc w:val="center"/>
        </w:trPr>
        <w:tc>
          <w:tcPr>
            <w:tcW w:w="1635" w:type="pct"/>
          </w:tcPr>
          <w:p w14:paraId="596C2835" w14:textId="77777777" w:rsidR="003E78AB" w:rsidRDefault="00010BF9">
            <w:pPr>
              <w:pStyle w:val="aff6"/>
              <w:topLinePunct/>
              <w:rPr>
                <w:color w:val="auto"/>
              </w:rPr>
            </w:pPr>
            <w:r>
              <w:rPr>
                <w:color w:val="auto"/>
              </w:rPr>
              <w:t>内径</w:t>
            </w:r>
            <w:r>
              <w:rPr>
                <w:color w:val="auto"/>
              </w:rPr>
              <w:t>&gt;150mm</w:t>
            </w:r>
            <w:r>
              <w:rPr>
                <w:color w:val="auto"/>
              </w:rPr>
              <w:t>的管道</w:t>
            </w:r>
          </w:p>
        </w:tc>
        <w:tc>
          <w:tcPr>
            <w:tcW w:w="2372" w:type="pct"/>
          </w:tcPr>
          <w:p w14:paraId="254F66F3" w14:textId="77777777" w:rsidR="003E78AB" w:rsidRDefault="00010BF9">
            <w:pPr>
              <w:pStyle w:val="aff6"/>
              <w:topLinePunct/>
              <w:rPr>
                <w:color w:val="auto"/>
              </w:rPr>
            </w:pPr>
            <w:r>
              <w:rPr>
                <w:color w:val="auto"/>
              </w:rPr>
              <w:t>泄漏孔径为</w:t>
            </w:r>
            <w:r>
              <w:rPr>
                <w:color w:val="auto"/>
              </w:rPr>
              <w:t>10%</w:t>
            </w:r>
            <w:r>
              <w:rPr>
                <w:color w:val="auto"/>
              </w:rPr>
              <w:t>孔径</w:t>
            </w:r>
            <w:r>
              <w:rPr>
                <w:color w:val="auto"/>
              </w:rPr>
              <w:t>(</w:t>
            </w:r>
            <w:r>
              <w:rPr>
                <w:color w:val="auto"/>
              </w:rPr>
              <w:t>最大</w:t>
            </w:r>
            <w:r>
              <w:rPr>
                <w:color w:val="auto"/>
              </w:rPr>
              <w:t>50mm)</w:t>
            </w:r>
          </w:p>
          <w:p w14:paraId="722D4F1E" w14:textId="77777777" w:rsidR="003E78AB" w:rsidRDefault="00010BF9">
            <w:pPr>
              <w:pStyle w:val="aff6"/>
              <w:topLinePunct/>
              <w:rPr>
                <w:color w:val="auto"/>
              </w:rPr>
            </w:pPr>
            <w:r>
              <w:rPr>
                <w:color w:val="auto"/>
              </w:rPr>
              <w:t>全管径泄漏</w:t>
            </w:r>
          </w:p>
        </w:tc>
        <w:tc>
          <w:tcPr>
            <w:tcW w:w="991" w:type="pct"/>
          </w:tcPr>
          <w:p w14:paraId="4F411FBE" w14:textId="77777777" w:rsidR="003E78AB" w:rsidRDefault="00010BF9">
            <w:pPr>
              <w:pStyle w:val="aff6"/>
              <w:topLinePunct/>
              <w:rPr>
                <w:color w:val="auto"/>
              </w:rPr>
            </w:pPr>
            <w:r>
              <w:rPr>
                <w:color w:val="auto"/>
              </w:rPr>
              <w:t>2.40×10</w:t>
            </w:r>
            <w:r>
              <w:rPr>
                <w:color w:val="auto"/>
                <w:vertAlign w:val="superscript"/>
              </w:rPr>
              <w:t>-6</w:t>
            </w:r>
            <w:r>
              <w:rPr>
                <w:color w:val="auto"/>
              </w:rPr>
              <w:t>/(m·a)</w:t>
            </w:r>
          </w:p>
          <w:p w14:paraId="106BA0F4" w14:textId="77777777" w:rsidR="003E78AB" w:rsidRDefault="00010BF9">
            <w:pPr>
              <w:pStyle w:val="aff6"/>
              <w:topLinePunct/>
              <w:rPr>
                <w:color w:val="auto"/>
              </w:rPr>
            </w:pPr>
            <w:r>
              <w:rPr>
                <w:color w:val="auto"/>
              </w:rPr>
              <w:t>1.00×10</w:t>
            </w:r>
            <w:r>
              <w:rPr>
                <w:color w:val="auto"/>
                <w:vertAlign w:val="superscript"/>
              </w:rPr>
              <w:t>-7</w:t>
            </w:r>
            <w:r>
              <w:rPr>
                <w:color w:val="auto"/>
              </w:rPr>
              <w:t>/(m·a)</w:t>
            </w:r>
          </w:p>
        </w:tc>
      </w:tr>
      <w:tr w:rsidR="003E78AB" w14:paraId="0CD90E0C" w14:textId="77777777">
        <w:trPr>
          <w:trHeight w:val="340"/>
          <w:jc w:val="center"/>
        </w:trPr>
        <w:tc>
          <w:tcPr>
            <w:tcW w:w="1635" w:type="pct"/>
          </w:tcPr>
          <w:p w14:paraId="09899837" w14:textId="77777777" w:rsidR="003E78AB" w:rsidRDefault="00010BF9">
            <w:pPr>
              <w:pStyle w:val="aff6"/>
              <w:topLinePunct/>
              <w:rPr>
                <w:color w:val="auto"/>
              </w:rPr>
            </w:pPr>
            <w:r>
              <w:rPr>
                <w:color w:val="auto"/>
              </w:rPr>
              <w:t>泵体和压缩机</w:t>
            </w:r>
          </w:p>
        </w:tc>
        <w:tc>
          <w:tcPr>
            <w:tcW w:w="2372" w:type="pct"/>
          </w:tcPr>
          <w:p w14:paraId="7EA12EEC" w14:textId="77777777" w:rsidR="003E78AB" w:rsidRDefault="00010BF9">
            <w:pPr>
              <w:pStyle w:val="aff6"/>
              <w:topLinePunct/>
              <w:rPr>
                <w:color w:val="auto"/>
              </w:rPr>
            </w:pPr>
            <w:r>
              <w:rPr>
                <w:color w:val="auto"/>
              </w:rPr>
              <w:t>泵体和压缩机最大连接管泄漏孔径为</w:t>
            </w:r>
            <w:r>
              <w:rPr>
                <w:color w:val="auto"/>
              </w:rPr>
              <w:t>10%</w:t>
            </w:r>
            <w:r>
              <w:rPr>
                <w:color w:val="auto"/>
              </w:rPr>
              <w:t>孔径</w:t>
            </w:r>
            <w:r>
              <w:rPr>
                <w:color w:val="auto"/>
              </w:rPr>
              <w:t>(</w:t>
            </w:r>
            <w:r>
              <w:rPr>
                <w:color w:val="auto"/>
              </w:rPr>
              <w:t>最大为</w:t>
            </w:r>
            <w:r>
              <w:rPr>
                <w:color w:val="auto"/>
              </w:rPr>
              <w:t>50mm)</w:t>
            </w:r>
          </w:p>
          <w:p w14:paraId="089215BD" w14:textId="77777777" w:rsidR="003E78AB" w:rsidRDefault="00010BF9">
            <w:pPr>
              <w:pStyle w:val="aff6"/>
              <w:topLinePunct/>
              <w:rPr>
                <w:color w:val="auto"/>
              </w:rPr>
            </w:pPr>
            <w:r>
              <w:rPr>
                <w:color w:val="auto"/>
              </w:rPr>
              <w:t>泵体和压缩机最大连接管全管径泄漏</w:t>
            </w:r>
          </w:p>
        </w:tc>
        <w:tc>
          <w:tcPr>
            <w:tcW w:w="991" w:type="pct"/>
          </w:tcPr>
          <w:p w14:paraId="6758ACD4" w14:textId="77777777" w:rsidR="003E78AB" w:rsidRDefault="00010BF9">
            <w:pPr>
              <w:pStyle w:val="aff6"/>
              <w:topLinePunct/>
              <w:rPr>
                <w:color w:val="auto"/>
              </w:rPr>
            </w:pPr>
            <w:r>
              <w:rPr>
                <w:color w:val="auto"/>
              </w:rPr>
              <w:t>5.00×10</w:t>
            </w:r>
            <w:r>
              <w:rPr>
                <w:color w:val="auto"/>
                <w:vertAlign w:val="superscript"/>
              </w:rPr>
              <w:t>-4</w:t>
            </w:r>
            <w:r>
              <w:rPr>
                <w:color w:val="auto"/>
              </w:rPr>
              <w:t>/a</w:t>
            </w:r>
          </w:p>
          <w:p w14:paraId="4FEB318F" w14:textId="77777777" w:rsidR="003E78AB" w:rsidRDefault="00010BF9">
            <w:pPr>
              <w:pStyle w:val="aff6"/>
              <w:topLinePunct/>
              <w:rPr>
                <w:color w:val="auto"/>
              </w:rPr>
            </w:pPr>
            <w:r>
              <w:rPr>
                <w:color w:val="auto"/>
              </w:rPr>
              <w:t>1.00×10</w:t>
            </w:r>
            <w:r>
              <w:rPr>
                <w:color w:val="auto"/>
                <w:vertAlign w:val="superscript"/>
              </w:rPr>
              <w:t>-4</w:t>
            </w:r>
            <w:r>
              <w:rPr>
                <w:color w:val="auto"/>
              </w:rPr>
              <w:t>/a</w:t>
            </w:r>
          </w:p>
        </w:tc>
      </w:tr>
      <w:tr w:rsidR="003E78AB" w14:paraId="50DCF246" w14:textId="77777777">
        <w:trPr>
          <w:trHeight w:val="340"/>
          <w:jc w:val="center"/>
        </w:trPr>
        <w:tc>
          <w:tcPr>
            <w:tcW w:w="1635" w:type="pct"/>
          </w:tcPr>
          <w:p w14:paraId="7DFCA6B1" w14:textId="77777777" w:rsidR="003E78AB" w:rsidRDefault="00010BF9">
            <w:pPr>
              <w:pStyle w:val="aff6"/>
              <w:topLinePunct/>
              <w:rPr>
                <w:color w:val="auto"/>
              </w:rPr>
            </w:pPr>
            <w:r>
              <w:rPr>
                <w:color w:val="auto"/>
              </w:rPr>
              <w:t>装卸臂</w:t>
            </w:r>
          </w:p>
        </w:tc>
        <w:tc>
          <w:tcPr>
            <w:tcW w:w="2372" w:type="pct"/>
          </w:tcPr>
          <w:p w14:paraId="6093C750" w14:textId="77777777" w:rsidR="003E78AB" w:rsidRDefault="00010BF9">
            <w:pPr>
              <w:pStyle w:val="aff6"/>
              <w:topLinePunct/>
              <w:rPr>
                <w:color w:val="auto"/>
              </w:rPr>
            </w:pPr>
            <w:r>
              <w:rPr>
                <w:color w:val="auto"/>
              </w:rPr>
              <w:t>装卸臂连接管泄漏孔径为</w:t>
            </w:r>
            <w:r>
              <w:rPr>
                <w:color w:val="auto"/>
              </w:rPr>
              <w:t>10%</w:t>
            </w:r>
            <w:r>
              <w:rPr>
                <w:color w:val="auto"/>
              </w:rPr>
              <w:t>孔径</w:t>
            </w:r>
            <w:r>
              <w:rPr>
                <w:color w:val="auto"/>
              </w:rPr>
              <w:t>(</w:t>
            </w:r>
            <w:r>
              <w:rPr>
                <w:color w:val="auto"/>
              </w:rPr>
              <w:t>最大</w:t>
            </w:r>
            <w:r>
              <w:rPr>
                <w:color w:val="auto"/>
              </w:rPr>
              <w:t>50mm)</w:t>
            </w:r>
          </w:p>
          <w:p w14:paraId="20524160" w14:textId="77777777" w:rsidR="003E78AB" w:rsidRDefault="00010BF9">
            <w:pPr>
              <w:pStyle w:val="aff6"/>
              <w:topLinePunct/>
              <w:rPr>
                <w:color w:val="auto"/>
              </w:rPr>
            </w:pPr>
            <w:r>
              <w:rPr>
                <w:color w:val="auto"/>
              </w:rPr>
              <w:t>装卸臂全管径泄漏</w:t>
            </w:r>
          </w:p>
        </w:tc>
        <w:tc>
          <w:tcPr>
            <w:tcW w:w="991" w:type="pct"/>
          </w:tcPr>
          <w:p w14:paraId="0EA2B647" w14:textId="77777777" w:rsidR="003E78AB" w:rsidRDefault="00010BF9">
            <w:pPr>
              <w:pStyle w:val="aff6"/>
              <w:topLinePunct/>
              <w:rPr>
                <w:color w:val="auto"/>
              </w:rPr>
            </w:pPr>
            <w:r>
              <w:rPr>
                <w:color w:val="auto"/>
              </w:rPr>
              <w:t>3.00×10</w:t>
            </w:r>
            <w:r>
              <w:rPr>
                <w:color w:val="auto"/>
                <w:vertAlign w:val="superscript"/>
              </w:rPr>
              <w:t>-7</w:t>
            </w:r>
            <w:r>
              <w:rPr>
                <w:color w:val="auto"/>
              </w:rPr>
              <w:t>/h</w:t>
            </w:r>
          </w:p>
          <w:p w14:paraId="13377054" w14:textId="77777777" w:rsidR="003E78AB" w:rsidRDefault="00010BF9">
            <w:pPr>
              <w:pStyle w:val="aff6"/>
              <w:topLinePunct/>
              <w:rPr>
                <w:color w:val="auto"/>
              </w:rPr>
            </w:pPr>
            <w:r>
              <w:rPr>
                <w:color w:val="auto"/>
              </w:rPr>
              <w:t>3.00×10</w:t>
            </w:r>
            <w:r>
              <w:rPr>
                <w:color w:val="auto"/>
                <w:vertAlign w:val="superscript"/>
              </w:rPr>
              <w:t>-8</w:t>
            </w:r>
            <w:r>
              <w:rPr>
                <w:color w:val="auto"/>
              </w:rPr>
              <w:t>/h</w:t>
            </w:r>
          </w:p>
        </w:tc>
      </w:tr>
      <w:tr w:rsidR="003E78AB" w14:paraId="60228237" w14:textId="77777777">
        <w:trPr>
          <w:trHeight w:val="340"/>
          <w:jc w:val="center"/>
        </w:trPr>
        <w:tc>
          <w:tcPr>
            <w:tcW w:w="1635" w:type="pct"/>
          </w:tcPr>
          <w:p w14:paraId="47474444" w14:textId="77777777" w:rsidR="003E78AB" w:rsidRDefault="00010BF9">
            <w:pPr>
              <w:pStyle w:val="aff6"/>
              <w:topLinePunct/>
              <w:rPr>
                <w:color w:val="auto"/>
              </w:rPr>
            </w:pPr>
            <w:r>
              <w:rPr>
                <w:color w:val="auto"/>
              </w:rPr>
              <w:t>装卸软管</w:t>
            </w:r>
          </w:p>
        </w:tc>
        <w:tc>
          <w:tcPr>
            <w:tcW w:w="2372" w:type="pct"/>
          </w:tcPr>
          <w:p w14:paraId="1412C091" w14:textId="77777777" w:rsidR="003E78AB" w:rsidRDefault="00010BF9">
            <w:pPr>
              <w:pStyle w:val="aff6"/>
              <w:topLinePunct/>
              <w:rPr>
                <w:color w:val="auto"/>
              </w:rPr>
            </w:pPr>
            <w:r>
              <w:rPr>
                <w:color w:val="auto"/>
              </w:rPr>
              <w:t>装卸软管连接管泄漏孔径为</w:t>
            </w:r>
            <w:r>
              <w:rPr>
                <w:color w:val="auto"/>
              </w:rPr>
              <w:t>10%</w:t>
            </w:r>
            <w:r>
              <w:rPr>
                <w:color w:val="auto"/>
              </w:rPr>
              <w:t>孔径</w:t>
            </w:r>
            <w:r>
              <w:rPr>
                <w:color w:val="auto"/>
              </w:rPr>
              <w:t>(</w:t>
            </w:r>
            <w:r>
              <w:rPr>
                <w:color w:val="auto"/>
              </w:rPr>
              <w:t>最大</w:t>
            </w:r>
            <w:r>
              <w:rPr>
                <w:color w:val="auto"/>
              </w:rPr>
              <w:t>50mm)</w:t>
            </w:r>
          </w:p>
          <w:p w14:paraId="2E7248AD" w14:textId="77777777" w:rsidR="003E78AB" w:rsidRDefault="00010BF9">
            <w:pPr>
              <w:pStyle w:val="aff6"/>
              <w:topLinePunct/>
              <w:rPr>
                <w:color w:val="auto"/>
              </w:rPr>
            </w:pPr>
            <w:r>
              <w:rPr>
                <w:color w:val="auto"/>
              </w:rPr>
              <w:t>装卸臂全管径泄漏</w:t>
            </w:r>
          </w:p>
        </w:tc>
        <w:tc>
          <w:tcPr>
            <w:tcW w:w="991" w:type="pct"/>
          </w:tcPr>
          <w:p w14:paraId="715AF20E" w14:textId="77777777" w:rsidR="003E78AB" w:rsidRDefault="00010BF9">
            <w:pPr>
              <w:pStyle w:val="aff6"/>
              <w:topLinePunct/>
              <w:rPr>
                <w:color w:val="auto"/>
              </w:rPr>
            </w:pPr>
            <w:r>
              <w:rPr>
                <w:color w:val="auto"/>
              </w:rPr>
              <w:t>4.00×10-5/h</w:t>
            </w:r>
          </w:p>
          <w:p w14:paraId="490501CA" w14:textId="77777777" w:rsidR="003E78AB" w:rsidRDefault="00010BF9">
            <w:pPr>
              <w:pStyle w:val="aff6"/>
              <w:topLinePunct/>
              <w:rPr>
                <w:color w:val="auto"/>
              </w:rPr>
            </w:pPr>
            <w:r>
              <w:rPr>
                <w:color w:val="auto"/>
              </w:rPr>
              <w:t>4.00×10-6/h</w:t>
            </w:r>
          </w:p>
        </w:tc>
      </w:tr>
    </w:tbl>
    <w:p w14:paraId="26EA5E09" w14:textId="77777777" w:rsidR="003E78AB" w:rsidRDefault="00010BF9">
      <w:pPr>
        <w:ind w:firstLine="480"/>
        <w:rPr>
          <w:kern w:val="2"/>
        </w:rPr>
      </w:pPr>
      <w:r>
        <w:rPr>
          <w:kern w:val="2"/>
        </w:rPr>
        <w:t>从上表可见，反应釜、储罐、输送管、输送泵等损坏泄漏事故的概率相对较大，发生概率为</w:t>
      </w:r>
      <w:r>
        <w:rPr>
          <w:kern w:val="2"/>
        </w:rPr>
        <w:t>10</w:t>
      </w:r>
      <w:r>
        <w:rPr>
          <w:kern w:val="2"/>
          <w:vertAlign w:val="superscript"/>
        </w:rPr>
        <w:t>-4</w:t>
      </w:r>
      <w:r>
        <w:rPr>
          <w:kern w:val="2"/>
        </w:rPr>
        <w:t>~10</w:t>
      </w:r>
      <w:r>
        <w:rPr>
          <w:kern w:val="2"/>
          <w:vertAlign w:val="superscript"/>
        </w:rPr>
        <w:t>-6</w:t>
      </w:r>
      <w:r>
        <w:rPr>
          <w:kern w:val="2"/>
        </w:rPr>
        <w:t>。本次评价根据《建设项目环境风险评价技术导则》</w:t>
      </w:r>
      <w:r>
        <w:rPr>
          <w:rFonts w:hint="eastAsia"/>
          <w:kern w:val="2"/>
        </w:rPr>
        <w:t>（</w:t>
      </w:r>
      <w:r>
        <w:rPr>
          <w:kern w:val="2"/>
        </w:rPr>
        <w:t>HJ169-2018</w:t>
      </w:r>
      <w:r>
        <w:rPr>
          <w:rFonts w:hint="eastAsia"/>
          <w:kern w:val="2"/>
        </w:rPr>
        <w:t>）</w:t>
      </w:r>
      <w:r>
        <w:rPr>
          <w:kern w:val="2"/>
        </w:rPr>
        <w:t>，选择工艺设备及储罐泄漏孔径为</w:t>
      </w:r>
      <w:r>
        <w:rPr>
          <w:kern w:val="2"/>
        </w:rPr>
        <w:t>10mm</w:t>
      </w:r>
      <w:r>
        <w:rPr>
          <w:kern w:val="2"/>
        </w:rPr>
        <w:t>孔径的泄漏事件作为代表性事故情形中最大可信事故，确定事故概率为</w:t>
      </w:r>
      <w:r>
        <w:rPr>
          <w:kern w:val="2"/>
        </w:rPr>
        <w:t>10</w:t>
      </w:r>
      <w:r>
        <w:rPr>
          <w:kern w:val="2"/>
          <w:vertAlign w:val="superscript"/>
        </w:rPr>
        <w:t>-4</w:t>
      </w:r>
      <w:r>
        <w:rPr>
          <w:kern w:val="2"/>
        </w:rPr>
        <w:t>次</w:t>
      </w:r>
      <w:r>
        <w:rPr>
          <w:kern w:val="2"/>
        </w:rPr>
        <w:t>/</w:t>
      </w:r>
      <w:r>
        <w:rPr>
          <w:kern w:val="2"/>
        </w:rPr>
        <w:t>年。</w:t>
      </w:r>
    </w:p>
    <w:p w14:paraId="082641E2" w14:textId="77777777" w:rsidR="003E78AB" w:rsidRDefault="00010BF9">
      <w:pPr>
        <w:pStyle w:val="24"/>
        <w:keepNext w:val="0"/>
        <w:keepLines w:val="0"/>
        <w:topLinePunct/>
        <w:spacing w:before="120"/>
        <w:rPr>
          <w:rFonts w:cs="Times New Roman"/>
        </w:rPr>
      </w:pPr>
      <w:bookmarkStart w:id="436" w:name="_Toc6261"/>
      <w:r>
        <w:rPr>
          <w:rFonts w:cs="Times New Roman" w:hint="eastAsia"/>
        </w:rPr>
        <w:t>6</w:t>
      </w:r>
      <w:r>
        <w:rPr>
          <w:rFonts w:cs="Times New Roman"/>
        </w:rPr>
        <w:t>.5</w:t>
      </w:r>
      <w:r>
        <w:rPr>
          <w:rFonts w:cs="Times New Roman"/>
        </w:rPr>
        <w:t>风险预测评价</w:t>
      </w:r>
      <w:bookmarkEnd w:id="436"/>
    </w:p>
    <w:p w14:paraId="3EBA40EF"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6.5.1</w:t>
      </w:r>
      <w:r>
        <w:rPr>
          <w:rFonts w:cs="Times New Roman" w:hint="eastAsia"/>
          <w:sz w:val="28"/>
          <w:szCs w:val="28"/>
        </w:rPr>
        <w:t>大气环境风险分析</w:t>
      </w:r>
    </w:p>
    <w:p w14:paraId="0A59F5C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6.5.1.1</w:t>
      </w:r>
      <w:r>
        <w:rPr>
          <w:rFonts w:ascii="Times New Roman" w:hAnsi="Times New Roman" w:hint="eastAsia"/>
        </w:rPr>
        <w:t>预测模式</w:t>
      </w:r>
    </w:p>
    <w:p w14:paraId="3835BA4A" w14:textId="77777777" w:rsidR="003E78AB" w:rsidRDefault="00010BF9">
      <w:pPr>
        <w:ind w:firstLine="480"/>
        <w:rPr>
          <w:kern w:val="28"/>
        </w:rPr>
      </w:pPr>
      <w:r>
        <w:rPr>
          <w:rFonts w:hint="eastAsia"/>
          <w:kern w:val="28"/>
        </w:rPr>
        <w:t>根据《建设项目环境风险评价技术导则》（</w:t>
      </w:r>
      <w:r>
        <w:rPr>
          <w:rFonts w:hint="eastAsia"/>
          <w:kern w:val="28"/>
        </w:rPr>
        <w:t>HJ169-2018</w:t>
      </w:r>
      <w:r>
        <w:rPr>
          <w:rFonts w:hint="eastAsia"/>
          <w:kern w:val="28"/>
        </w:rPr>
        <w:t>），</w:t>
      </w:r>
      <w:r>
        <w:rPr>
          <w:rFonts w:hint="eastAsia"/>
          <w:kern w:val="28"/>
        </w:rPr>
        <w:t>SLAB</w:t>
      </w:r>
      <w:r>
        <w:rPr>
          <w:rFonts w:hint="eastAsia"/>
          <w:kern w:val="28"/>
        </w:rPr>
        <w:t>模型适用于平坦地形下重质气体排放的扩散模拟，</w:t>
      </w:r>
      <w:r>
        <w:rPr>
          <w:rFonts w:hint="eastAsia"/>
          <w:kern w:val="28"/>
        </w:rPr>
        <w:t>AFTOX</w:t>
      </w:r>
      <w:r>
        <w:rPr>
          <w:rFonts w:hint="eastAsia"/>
          <w:kern w:val="28"/>
        </w:rPr>
        <w:t>模型适用于平坦地形下中性气体和轻质气体排放以及液池蒸发气体的扩散模拟。本项目除尘废气事故排放，根据物质初始密度、排烟速率及初始烟团宽度等参数，核算项目理查德森数</w:t>
      </w:r>
      <w:r>
        <w:rPr>
          <w:rFonts w:hint="eastAsia"/>
          <w:kern w:val="28"/>
        </w:rPr>
        <w:t>Ri&lt;1/6</w:t>
      </w:r>
      <w:r>
        <w:rPr>
          <w:rFonts w:hint="eastAsia"/>
          <w:kern w:val="28"/>
        </w:rPr>
        <w:t>，为轻质气体，扩散计算建议采用</w:t>
      </w:r>
      <w:r>
        <w:rPr>
          <w:rFonts w:hint="eastAsia"/>
          <w:kern w:val="28"/>
        </w:rPr>
        <w:t>AFTOX</w:t>
      </w:r>
      <w:r>
        <w:rPr>
          <w:rFonts w:hint="eastAsia"/>
          <w:kern w:val="28"/>
        </w:rPr>
        <w:t>模式。</w:t>
      </w:r>
    </w:p>
    <w:p w14:paraId="0038862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6.5.1.2</w:t>
      </w:r>
      <w:r>
        <w:rPr>
          <w:rFonts w:ascii="Times New Roman" w:hAnsi="Times New Roman" w:hint="eastAsia"/>
        </w:rPr>
        <w:t>预测范围与计算点</w:t>
      </w:r>
    </w:p>
    <w:p w14:paraId="137FFEEF" w14:textId="77777777" w:rsidR="003E78AB" w:rsidRDefault="00010BF9">
      <w:pPr>
        <w:ind w:firstLine="480"/>
        <w:rPr>
          <w:kern w:val="28"/>
        </w:rPr>
      </w:pPr>
      <w:r>
        <w:rPr>
          <w:rFonts w:hint="eastAsia"/>
          <w:kern w:val="28"/>
        </w:rPr>
        <w:t>根据导则要求，大气环境风险预测范围为预测物质浓度达到评价标准时的最大影响范围，根据初步预测结果，项目大气毒性终点浓度预测到达距离均未超出</w:t>
      </w:r>
      <w:r>
        <w:rPr>
          <w:rFonts w:hint="eastAsia"/>
          <w:kern w:val="28"/>
        </w:rPr>
        <w:t>5km</w:t>
      </w:r>
      <w:r>
        <w:rPr>
          <w:rFonts w:hint="eastAsia"/>
          <w:kern w:val="28"/>
        </w:rPr>
        <w:t>，因此本项目大气环境风险预测范围设为</w:t>
      </w:r>
      <w:r>
        <w:rPr>
          <w:rFonts w:hint="eastAsia"/>
          <w:kern w:val="28"/>
        </w:rPr>
        <w:t>5km</w:t>
      </w:r>
      <w:r>
        <w:rPr>
          <w:rFonts w:hint="eastAsia"/>
          <w:kern w:val="28"/>
        </w:rPr>
        <w:t>。</w:t>
      </w:r>
    </w:p>
    <w:p w14:paraId="3063CC1A" w14:textId="77777777" w:rsidR="003E78AB" w:rsidRDefault="00010BF9">
      <w:pPr>
        <w:ind w:firstLine="480"/>
        <w:rPr>
          <w:kern w:val="28"/>
        </w:rPr>
      </w:pPr>
      <w:r>
        <w:rPr>
          <w:rFonts w:hint="eastAsia"/>
          <w:kern w:val="28"/>
        </w:rPr>
        <w:t>计算点设置情况为：距离风险源</w:t>
      </w:r>
      <w:r>
        <w:rPr>
          <w:rFonts w:hint="eastAsia"/>
          <w:kern w:val="28"/>
        </w:rPr>
        <w:t>500m</w:t>
      </w:r>
      <w:r>
        <w:rPr>
          <w:rFonts w:hint="eastAsia"/>
          <w:kern w:val="28"/>
        </w:rPr>
        <w:t>范围内设置</w:t>
      </w:r>
      <w:r>
        <w:rPr>
          <w:rFonts w:hint="eastAsia"/>
          <w:kern w:val="28"/>
        </w:rPr>
        <w:t>50m</w:t>
      </w:r>
      <w:r>
        <w:rPr>
          <w:rFonts w:hint="eastAsia"/>
          <w:kern w:val="28"/>
        </w:rPr>
        <w:t>间距，大于</w:t>
      </w:r>
      <w:r>
        <w:rPr>
          <w:rFonts w:hint="eastAsia"/>
          <w:kern w:val="28"/>
        </w:rPr>
        <w:t>500m</w:t>
      </w:r>
      <w:r>
        <w:rPr>
          <w:rFonts w:hint="eastAsia"/>
          <w:kern w:val="28"/>
        </w:rPr>
        <w:t>范围内设置</w:t>
      </w:r>
      <w:r>
        <w:rPr>
          <w:rFonts w:hint="eastAsia"/>
          <w:kern w:val="28"/>
        </w:rPr>
        <w:t>100m</w:t>
      </w:r>
      <w:r>
        <w:rPr>
          <w:rFonts w:hint="eastAsia"/>
          <w:kern w:val="28"/>
        </w:rPr>
        <w:t>间距。</w:t>
      </w:r>
    </w:p>
    <w:p w14:paraId="7F99C8E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6.5.1.3</w:t>
      </w:r>
      <w:r>
        <w:rPr>
          <w:rFonts w:ascii="Times New Roman" w:hAnsi="Times New Roman" w:hint="eastAsia"/>
        </w:rPr>
        <w:t>气象参数</w:t>
      </w:r>
    </w:p>
    <w:p w14:paraId="49BD58ED" w14:textId="77777777" w:rsidR="003E78AB" w:rsidRDefault="00010BF9">
      <w:pPr>
        <w:ind w:firstLine="480"/>
        <w:rPr>
          <w:kern w:val="28"/>
        </w:rPr>
      </w:pPr>
      <w:r>
        <w:rPr>
          <w:rFonts w:hint="eastAsia"/>
          <w:kern w:val="28"/>
        </w:rPr>
        <w:t>评价根据导则要求的最常见气象条件和最不利气象条件作为本次环境风险预测气象，具体见</w:t>
      </w:r>
      <w:r>
        <w:rPr>
          <w:rFonts w:hint="eastAsia"/>
          <w:kern w:val="28"/>
        </w:rPr>
        <w:fldChar w:fldCharType="begin"/>
      </w:r>
      <w:r>
        <w:rPr>
          <w:rFonts w:hint="eastAsia"/>
          <w:kern w:val="28"/>
        </w:rPr>
        <w:instrText xml:space="preserve"> REF _Ref11643 \r \h </w:instrText>
      </w:r>
      <w:r>
        <w:rPr>
          <w:rFonts w:hint="eastAsia"/>
          <w:kern w:val="28"/>
        </w:rPr>
      </w:r>
      <w:r>
        <w:rPr>
          <w:rFonts w:hint="eastAsia"/>
          <w:kern w:val="28"/>
        </w:rPr>
        <w:fldChar w:fldCharType="separate"/>
      </w:r>
      <w:r>
        <w:rPr>
          <w:rFonts w:hint="eastAsia"/>
          <w:kern w:val="28"/>
        </w:rPr>
        <w:t>表</w:t>
      </w:r>
      <w:r>
        <w:rPr>
          <w:rFonts w:hint="eastAsia"/>
          <w:kern w:val="28"/>
        </w:rPr>
        <w:t>6-26</w:t>
      </w:r>
      <w:r>
        <w:rPr>
          <w:rFonts w:hint="eastAsia"/>
          <w:kern w:val="28"/>
        </w:rPr>
        <w:fldChar w:fldCharType="end"/>
      </w:r>
      <w:r>
        <w:rPr>
          <w:rFonts w:hint="eastAsia"/>
          <w:kern w:val="28"/>
        </w:rPr>
        <w:t>。</w:t>
      </w:r>
    </w:p>
    <w:p w14:paraId="000964A0" w14:textId="77777777" w:rsidR="003E78AB" w:rsidRDefault="00010BF9">
      <w:pPr>
        <w:pStyle w:val="a"/>
        <w:spacing w:before="120"/>
        <w:ind w:left="425" w:hanging="425"/>
      </w:pPr>
      <w:bookmarkStart w:id="437" w:name="_Ref11643"/>
      <w:r>
        <w:t>预测气象参数一览表</w:t>
      </w:r>
      <w:bookmarkEnd w:id="437"/>
    </w:p>
    <w:p w14:paraId="03661084" w14:textId="77777777" w:rsidR="003E78AB" w:rsidRDefault="003E78AB">
      <w:pPr>
        <w:spacing w:line="25" w:lineRule="exact"/>
        <w:ind w:firstLine="480"/>
      </w:pPr>
    </w:p>
    <w:tbl>
      <w:tblPr>
        <w:tblStyle w:val="TableNormal"/>
        <w:tblW w:w="49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952"/>
        <w:gridCol w:w="2013"/>
        <w:gridCol w:w="1579"/>
        <w:gridCol w:w="1639"/>
      </w:tblGrid>
      <w:tr w:rsidR="003E78AB" w14:paraId="2FEB7355" w14:textId="77777777">
        <w:trPr>
          <w:trHeight w:val="302"/>
          <w:tblHeader/>
        </w:trPr>
        <w:tc>
          <w:tcPr>
            <w:tcW w:w="677" w:type="pct"/>
            <w:vAlign w:val="center"/>
          </w:tcPr>
          <w:p w14:paraId="7D9448E1" w14:textId="77777777" w:rsidR="003E78AB" w:rsidRDefault="00010BF9">
            <w:pPr>
              <w:pStyle w:val="aff6"/>
              <w:topLinePunct/>
              <w:rPr>
                <w:b/>
                <w:bCs/>
              </w:rPr>
            </w:pPr>
            <w:r>
              <w:rPr>
                <w:b/>
                <w:bCs/>
              </w:rPr>
              <w:t>参数类型</w:t>
            </w:r>
          </w:p>
        </w:tc>
        <w:tc>
          <w:tcPr>
            <w:tcW w:w="1174" w:type="pct"/>
            <w:vAlign w:val="center"/>
          </w:tcPr>
          <w:p w14:paraId="3CBCDEB0" w14:textId="77777777" w:rsidR="003E78AB" w:rsidRDefault="00010BF9">
            <w:pPr>
              <w:pStyle w:val="aff6"/>
              <w:topLinePunct/>
              <w:rPr>
                <w:b/>
                <w:bCs/>
              </w:rPr>
            </w:pPr>
            <w:r>
              <w:rPr>
                <w:b/>
                <w:bCs/>
              </w:rPr>
              <w:t>事故类型</w:t>
            </w:r>
          </w:p>
        </w:tc>
        <w:tc>
          <w:tcPr>
            <w:tcW w:w="1211" w:type="pct"/>
            <w:vAlign w:val="center"/>
          </w:tcPr>
          <w:p w14:paraId="34B7CC72" w14:textId="77777777" w:rsidR="003E78AB" w:rsidRDefault="00010BF9">
            <w:pPr>
              <w:pStyle w:val="aff6"/>
              <w:topLinePunct/>
              <w:rPr>
                <w:b/>
                <w:bCs/>
              </w:rPr>
            </w:pPr>
            <w:r>
              <w:rPr>
                <w:b/>
                <w:bCs/>
              </w:rPr>
              <w:t>选项</w:t>
            </w:r>
          </w:p>
        </w:tc>
        <w:tc>
          <w:tcPr>
            <w:tcW w:w="1936" w:type="pct"/>
            <w:gridSpan w:val="2"/>
            <w:vAlign w:val="center"/>
          </w:tcPr>
          <w:p w14:paraId="0A2B0856" w14:textId="77777777" w:rsidR="003E78AB" w:rsidRDefault="00010BF9">
            <w:pPr>
              <w:pStyle w:val="aff6"/>
              <w:topLinePunct/>
              <w:rPr>
                <w:b/>
                <w:bCs/>
              </w:rPr>
            </w:pPr>
            <w:r>
              <w:rPr>
                <w:b/>
                <w:bCs/>
              </w:rPr>
              <w:t>参数</w:t>
            </w:r>
          </w:p>
        </w:tc>
      </w:tr>
      <w:tr w:rsidR="003E78AB" w14:paraId="7610F554" w14:textId="77777777">
        <w:trPr>
          <w:trHeight w:val="290"/>
        </w:trPr>
        <w:tc>
          <w:tcPr>
            <w:tcW w:w="677" w:type="pct"/>
            <w:vMerge w:val="restart"/>
            <w:vAlign w:val="center"/>
          </w:tcPr>
          <w:p w14:paraId="76B43E2C" w14:textId="77777777" w:rsidR="003E78AB" w:rsidRDefault="00010BF9">
            <w:pPr>
              <w:pStyle w:val="aff6"/>
              <w:topLinePunct/>
            </w:pPr>
            <w:r>
              <w:t>基本情况</w:t>
            </w:r>
          </w:p>
        </w:tc>
        <w:tc>
          <w:tcPr>
            <w:tcW w:w="1174" w:type="pct"/>
            <w:vMerge w:val="restart"/>
            <w:vAlign w:val="center"/>
          </w:tcPr>
          <w:p w14:paraId="7BC203F5" w14:textId="77777777" w:rsidR="003E78AB" w:rsidRDefault="00010BF9">
            <w:pPr>
              <w:pStyle w:val="aff6"/>
              <w:topLinePunct/>
            </w:pPr>
            <w:r>
              <w:t>除尘系统破裂</w:t>
            </w:r>
          </w:p>
        </w:tc>
        <w:tc>
          <w:tcPr>
            <w:tcW w:w="1211" w:type="pct"/>
            <w:vAlign w:val="center"/>
          </w:tcPr>
          <w:p w14:paraId="5D1ED672" w14:textId="77777777" w:rsidR="003E78AB" w:rsidRDefault="00010BF9">
            <w:pPr>
              <w:pStyle w:val="aff6"/>
              <w:topLinePunct/>
            </w:pPr>
            <w:r>
              <w:t>事故源经度</w:t>
            </w:r>
            <w:r>
              <w:t>/(°)</w:t>
            </w:r>
          </w:p>
        </w:tc>
        <w:tc>
          <w:tcPr>
            <w:tcW w:w="1936" w:type="pct"/>
            <w:gridSpan w:val="2"/>
            <w:vAlign w:val="center"/>
          </w:tcPr>
          <w:p w14:paraId="0315CAC7" w14:textId="77777777" w:rsidR="003E78AB" w:rsidRDefault="00010BF9">
            <w:pPr>
              <w:pStyle w:val="aff6"/>
              <w:topLinePunct/>
            </w:pPr>
            <w:r>
              <w:rPr>
                <w:rFonts w:hint="eastAsia"/>
              </w:rPr>
              <w:t>93.</w:t>
            </w:r>
            <w:r>
              <w:rPr>
                <w:rFonts w:hint="eastAsia"/>
              </w:rPr>
              <w:t>251388</w:t>
            </w:r>
            <w:r>
              <w:t>E</w:t>
            </w:r>
          </w:p>
        </w:tc>
      </w:tr>
      <w:tr w:rsidR="003E78AB" w14:paraId="46EEAEC6" w14:textId="77777777">
        <w:trPr>
          <w:trHeight w:val="287"/>
        </w:trPr>
        <w:tc>
          <w:tcPr>
            <w:tcW w:w="677" w:type="pct"/>
            <w:vMerge/>
            <w:vAlign w:val="center"/>
          </w:tcPr>
          <w:p w14:paraId="03A08AD6" w14:textId="77777777" w:rsidR="003E78AB" w:rsidRDefault="003E78AB">
            <w:pPr>
              <w:pStyle w:val="aff6"/>
              <w:topLinePunct/>
            </w:pPr>
          </w:p>
        </w:tc>
        <w:tc>
          <w:tcPr>
            <w:tcW w:w="1174" w:type="pct"/>
            <w:vMerge/>
            <w:vAlign w:val="center"/>
          </w:tcPr>
          <w:p w14:paraId="40FAECC3" w14:textId="77777777" w:rsidR="003E78AB" w:rsidRDefault="003E78AB">
            <w:pPr>
              <w:pStyle w:val="aff6"/>
              <w:topLinePunct/>
            </w:pPr>
          </w:p>
        </w:tc>
        <w:tc>
          <w:tcPr>
            <w:tcW w:w="1211" w:type="pct"/>
            <w:vAlign w:val="center"/>
          </w:tcPr>
          <w:p w14:paraId="7559D771" w14:textId="77777777" w:rsidR="003E78AB" w:rsidRDefault="00010BF9">
            <w:pPr>
              <w:pStyle w:val="aff6"/>
              <w:topLinePunct/>
            </w:pPr>
            <w:r>
              <w:t>事故源纬度</w:t>
            </w:r>
            <w:r>
              <w:t>/(°)</w:t>
            </w:r>
          </w:p>
        </w:tc>
        <w:tc>
          <w:tcPr>
            <w:tcW w:w="1936" w:type="pct"/>
            <w:gridSpan w:val="2"/>
            <w:vAlign w:val="center"/>
          </w:tcPr>
          <w:p w14:paraId="12AB0BC1" w14:textId="77777777" w:rsidR="003E78AB" w:rsidRDefault="00010BF9">
            <w:pPr>
              <w:pStyle w:val="aff6"/>
              <w:topLinePunct/>
            </w:pPr>
            <w:r>
              <w:rPr>
                <w:rFonts w:hint="eastAsia"/>
              </w:rPr>
              <w:t>42.</w:t>
            </w:r>
            <w:r>
              <w:rPr>
                <w:rFonts w:hint="eastAsia"/>
              </w:rPr>
              <w:t>413960</w:t>
            </w:r>
            <w:r>
              <w:t>N</w:t>
            </w:r>
          </w:p>
        </w:tc>
      </w:tr>
      <w:tr w:rsidR="003E78AB" w14:paraId="7CA61E96" w14:textId="77777777">
        <w:trPr>
          <w:trHeight w:val="290"/>
        </w:trPr>
        <w:tc>
          <w:tcPr>
            <w:tcW w:w="677" w:type="pct"/>
            <w:vMerge/>
            <w:vAlign w:val="center"/>
          </w:tcPr>
          <w:p w14:paraId="4DB3BC98" w14:textId="77777777" w:rsidR="003E78AB" w:rsidRDefault="003E78AB">
            <w:pPr>
              <w:pStyle w:val="aff6"/>
              <w:topLinePunct/>
            </w:pPr>
          </w:p>
        </w:tc>
        <w:tc>
          <w:tcPr>
            <w:tcW w:w="1174" w:type="pct"/>
            <w:vMerge/>
            <w:vAlign w:val="center"/>
          </w:tcPr>
          <w:p w14:paraId="0356E4D2" w14:textId="77777777" w:rsidR="003E78AB" w:rsidRDefault="003E78AB">
            <w:pPr>
              <w:pStyle w:val="aff6"/>
              <w:topLinePunct/>
            </w:pPr>
          </w:p>
        </w:tc>
        <w:tc>
          <w:tcPr>
            <w:tcW w:w="1211" w:type="pct"/>
            <w:vAlign w:val="center"/>
          </w:tcPr>
          <w:p w14:paraId="3794F859" w14:textId="77777777" w:rsidR="003E78AB" w:rsidRDefault="00010BF9">
            <w:pPr>
              <w:pStyle w:val="aff6"/>
              <w:topLinePunct/>
            </w:pPr>
            <w:r>
              <w:t>事故源类型</w:t>
            </w:r>
          </w:p>
        </w:tc>
        <w:tc>
          <w:tcPr>
            <w:tcW w:w="1936" w:type="pct"/>
            <w:gridSpan w:val="2"/>
            <w:vAlign w:val="center"/>
          </w:tcPr>
          <w:p w14:paraId="690840AD" w14:textId="77777777" w:rsidR="003E78AB" w:rsidRDefault="00010BF9">
            <w:pPr>
              <w:pStyle w:val="aff6"/>
              <w:topLinePunct/>
            </w:pPr>
            <w:r>
              <w:t>泄漏</w:t>
            </w:r>
          </w:p>
        </w:tc>
      </w:tr>
      <w:tr w:rsidR="003E78AB" w14:paraId="2653154D" w14:textId="77777777">
        <w:trPr>
          <w:trHeight w:val="287"/>
        </w:trPr>
        <w:tc>
          <w:tcPr>
            <w:tcW w:w="677" w:type="pct"/>
            <w:vMerge/>
            <w:vAlign w:val="center"/>
          </w:tcPr>
          <w:p w14:paraId="0BF0565C" w14:textId="77777777" w:rsidR="003E78AB" w:rsidRDefault="003E78AB">
            <w:pPr>
              <w:pStyle w:val="aff6"/>
              <w:topLinePunct/>
            </w:pPr>
          </w:p>
        </w:tc>
        <w:tc>
          <w:tcPr>
            <w:tcW w:w="1174" w:type="pct"/>
            <w:vMerge w:val="restart"/>
            <w:vAlign w:val="center"/>
          </w:tcPr>
          <w:p w14:paraId="1E2DB043" w14:textId="77777777" w:rsidR="003E78AB" w:rsidRDefault="00010BF9">
            <w:pPr>
              <w:pStyle w:val="aff6"/>
              <w:topLinePunct/>
            </w:pPr>
            <w:r>
              <w:t>硫酸储罐泄漏</w:t>
            </w:r>
          </w:p>
        </w:tc>
        <w:tc>
          <w:tcPr>
            <w:tcW w:w="1211" w:type="pct"/>
            <w:vAlign w:val="center"/>
          </w:tcPr>
          <w:p w14:paraId="59CFAD97" w14:textId="77777777" w:rsidR="003E78AB" w:rsidRDefault="00010BF9">
            <w:pPr>
              <w:pStyle w:val="aff6"/>
              <w:topLinePunct/>
            </w:pPr>
            <w:r>
              <w:t>事故源经度</w:t>
            </w:r>
            <w:r>
              <w:t>/(°)</w:t>
            </w:r>
          </w:p>
        </w:tc>
        <w:tc>
          <w:tcPr>
            <w:tcW w:w="1936" w:type="pct"/>
            <w:gridSpan w:val="2"/>
            <w:vAlign w:val="center"/>
          </w:tcPr>
          <w:p w14:paraId="0F435CFD" w14:textId="77777777" w:rsidR="003E78AB" w:rsidRDefault="00010BF9">
            <w:pPr>
              <w:pStyle w:val="aff6"/>
              <w:topLinePunct/>
            </w:pPr>
            <w:r>
              <w:rPr>
                <w:rFonts w:hint="eastAsia"/>
              </w:rPr>
              <w:t>93.25101</w:t>
            </w:r>
            <w:r>
              <w:rPr>
                <w:rFonts w:hint="eastAsia"/>
              </w:rPr>
              <w:t>9</w:t>
            </w:r>
            <w:r>
              <w:t>E</w:t>
            </w:r>
          </w:p>
        </w:tc>
      </w:tr>
      <w:tr w:rsidR="003E78AB" w14:paraId="4EEDE7C8" w14:textId="77777777">
        <w:trPr>
          <w:trHeight w:val="290"/>
        </w:trPr>
        <w:tc>
          <w:tcPr>
            <w:tcW w:w="677" w:type="pct"/>
            <w:vMerge/>
            <w:vAlign w:val="center"/>
          </w:tcPr>
          <w:p w14:paraId="5C64F813" w14:textId="77777777" w:rsidR="003E78AB" w:rsidRDefault="003E78AB">
            <w:pPr>
              <w:pStyle w:val="aff6"/>
              <w:topLinePunct/>
            </w:pPr>
          </w:p>
        </w:tc>
        <w:tc>
          <w:tcPr>
            <w:tcW w:w="1174" w:type="pct"/>
            <w:vMerge/>
            <w:vAlign w:val="center"/>
          </w:tcPr>
          <w:p w14:paraId="288DC739" w14:textId="77777777" w:rsidR="003E78AB" w:rsidRDefault="003E78AB">
            <w:pPr>
              <w:pStyle w:val="aff6"/>
              <w:topLinePunct/>
            </w:pPr>
          </w:p>
        </w:tc>
        <w:tc>
          <w:tcPr>
            <w:tcW w:w="1211" w:type="pct"/>
            <w:vAlign w:val="center"/>
          </w:tcPr>
          <w:p w14:paraId="622092C6" w14:textId="77777777" w:rsidR="003E78AB" w:rsidRDefault="00010BF9">
            <w:pPr>
              <w:pStyle w:val="aff6"/>
              <w:topLinePunct/>
            </w:pPr>
            <w:r>
              <w:t>事故源纬度</w:t>
            </w:r>
            <w:r>
              <w:t>/(°)</w:t>
            </w:r>
          </w:p>
        </w:tc>
        <w:tc>
          <w:tcPr>
            <w:tcW w:w="1936" w:type="pct"/>
            <w:gridSpan w:val="2"/>
            <w:vAlign w:val="center"/>
          </w:tcPr>
          <w:p w14:paraId="16AB9132" w14:textId="77777777" w:rsidR="003E78AB" w:rsidRDefault="00010BF9">
            <w:pPr>
              <w:pStyle w:val="aff6"/>
              <w:topLinePunct/>
            </w:pPr>
            <w:r>
              <w:rPr>
                <w:rFonts w:hint="eastAsia"/>
              </w:rPr>
              <w:t>42.414117</w:t>
            </w:r>
            <w:r>
              <w:t>N</w:t>
            </w:r>
          </w:p>
        </w:tc>
      </w:tr>
      <w:tr w:rsidR="003E78AB" w14:paraId="1747657F" w14:textId="77777777">
        <w:trPr>
          <w:trHeight w:val="287"/>
        </w:trPr>
        <w:tc>
          <w:tcPr>
            <w:tcW w:w="677" w:type="pct"/>
            <w:vMerge/>
            <w:vAlign w:val="center"/>
          </w:tcPr>
          <w:p w14:paraId="17E1BB7A" w14:textId="77777777" w:rsidR="003E78AB" w:rsidRDefault="003E78AB">
            <w:pPr>
              <w:pStyle w:val="aff6"/>
              <w:topLinePunct/>
            </w:pPr>
          </w:p>
        </w:tc>
        <w:tc>
          <w:tcPr>
            <w:tcW w:w="1174" w:type="pct"/>
            <w:vMerge/>
            <w:vAlign w:val="center"/>
          </w:tcPr>
          <w:p w14:paraId="49E1E64D" w14:textId="77777777" w:rsidR="003E78AB" w:rsidRDefault="003E78AB">
            <w:pPr>
              <w:pStyle w:val="aff6"/>
              <w:topLinePunct/>
            </w:pPr>
          </w:p>
        </w:tc>
        <w:tc>
          <w:tcPr>
            <w:tcW w:w="1211" w:type="pct"/>
            <w:vAlign w:val="center"/>
          </w:tcPr>
          <w:p w14:paraId="7A4CED8A" w14:textId="77777777" w:rsidR="003E78AB" w:rsidRDefault="00010BF9">
            <w:pPr>
              <w:pStyle w:val="aff6"/>
              <w:topLinePunct/>
            </w:pPr>
            <w:r>
              <w:t>事故源类型</w:t>
            </w:r>
          </w:p>
        </w:tc>
        <w:tc>
          <w:tcPr>
            <w:tcW w:w="1936" w:type="pct"/>
            <w:gridSpan w:val="2"/>
            <w:vAlign w:val="center"/>
          </w:tcPr>
          <w:p w14:paraId="7441B19A" w14:textId="77777777" w:rsidR="003E78AB" w:rsidRDefault="00010BF9">
            <w:pPr>
              <w:pStyle w:val="aff6"/>
              <w:topLinePunct/>
            </w:pPr>
            <w:r>
              <w:t>泄漏</w:t>
            </w:r>
          </w:p>
        </w:tc>
      </w:tr>
      <w:tr w:rsidR="003E78AB" w14:paraId="7168CD20" w14:textId="77777777">
        <w:trPr>
          <w:trHeight w:val="290"/>
        </w:trPr>
        <w:tc>
          <w:tcPr>
            <w:tcW w:w="1851" w:type="pct"/>
            <w:gridSpan w:val="2"/>
            <w:vMerge w:val="restart"/>
            <w:vAlign w:val="center"/>
          </w:tcPr>
          <w:p w14:paraId="290D790D" w14:textId="77777777" w:rsidR="003E78AB" w:rsidRDefault="00010BF9">
            <w:pPr>
              <w:pStyle w:val="aff6"/>
              <w:topLinePunct/>
            </w:pPr>
            <w:r>
              <w:t>气象参数</w:t>
            </w:r>
          </w:p>
        </w:tc>
        <w:tc>
          <w:tcPr>
            <w:tcW w:w="1211" w:type="pct"/>
            <w:vAlign w:val="center"/>
          </w:tcPr>
          <w:p w14:paraId="04E9BF3E" w14:textId="77777777" w:rsidR="003E78AB" w:rsidRDefault="00010BF9">
            <w:pPr>
              <w:pStyle w:val="aff6"/>
              <w:topLinePunct/>
            </w:pPr>
            <w:r>
              <w:t>气象条件类型</w:t>
            </w:r>
          </w:p>
        </w:tc>
        <w:tc>
          <w:tcPr>
            <w:tcW w:w="950" w:type="pct"/>
            <w:vAlign w:val="center"/>
          </w:tcPr>
          <w:p w14:paraId="165A66FF" w14:textId="77777777" w:rsidR="003E78AB" w:rsidRDefault="00010BF9">
            <w:pPr>
              <w:pStyle w:val="aff6"/>
              <w:topLinePunct/>
            </w:pPr>
            <w:r>
              <w:t>最不利气象</w:t>
            </w:r>
          </w:p>
        </w:tc>
        <w:tc>
          <w:tcPr>
            <w:tcW w:w="986" w:type="pct"/>
            <w:vAlign w:val="center"/>
          </w:tcPr>
          <w:p w14:paraId="252E0454" w14:textId="77777777" w:rsidR="003E78AB" w:rsidRDefault="00010BF9">
            <w:pPr>
              <w:pStyle w:val="aff6"/>
              <w:topLinePunct/>
            </w:pPr>
            <w:r>
              <w:t>最常见气象</w:t>
            </w:r>
          </w:p>
        </w:tc>
      </w:tr>
      <w:tr w:rsidR="003E78AB" w14:paraId="0834EC13" w14:textId="77777777">
        <w:trPr>
          <w:trHeight w:val="287"/>
        </w:trPr>
        <w:tc>
          <w:tcPr>
            <w:tcW w:w="1851" w:type="pct"/>
            <w:gridSpan w:val="2"/>
            <w:vMerge/>
            <w:vAlign w:val="center"/>
          </w:tcPr>
          <w:p w14:paraId="5C9230D2" w14:textId="77777777" w:rsidR="003E78AB" w:rsidRDefault="003E78AB">
            <w:pPr>
              <w:pStyle w:val="aff6"/>
              <w:topLinePunct/>
            </w:pPr>
          </w:p>
        </w:tc>
        <w:tc>
          <w:tcPr>
            <w:tcW w:w="1211" w:type="pct"/>
            <w:vAlign w:val="center"/>
          </w:tcPr>
          <w:p w14:paraId="6F67CD37" w14:textId="77777777" w:rsidR="003E78AB" w:rsidRDefault="00010BF9">
            <w:pPr>
              <w:pStyle w:val="aff6"/>
              <w:topLinePunct/>
            </w:pPr>
            <w:r>
              <w:t>风速</w:t>
            </w:r>
            <w:r>
              <w:t>/(m/s)</w:t>
            </w:r>
          </w:p>
        </w:tc>
        <w:tc>
          <w:tcPr>
            <w:tcW w:w="950" w:type="pct"/>
            <w:vAlign w:val="center"/>
          </w:tcPr>
          <w:p w14:paraId="7C38AA84" w14:textId="77777777" w:rsidR="003E78AB" w:rsidRDefault="00010BF9">
            <w:pPr>
              <w:pStyle w:val="aff6"/>
              <w:topLinePunct/>
            </w:pPr>
            <w:r>
              <w:t>1.5</w:t>
            </w:r>
          </w:p>
        </w:tc>
        <w:tc>
          <w:tcPr>
            <w:tcW w:w="986" w:type="pct"/>
            <w:vAlign w:val="center"/>
          </w:tcPr>
          <w:p w14:paraId="24F28DC1" w14:textId="77777777" w:rsidR="003E78AB" w:rsidRDefault="00010BF9">
            <w:pPr>
              <w:pStyle w:val="aff6"/>
              <w:topLinePunct/>
            </w:pPr>
            <w:r>
              <w:t>1.64</w:t>
            </w:r>
          </w:p>
        </w:tc>
      </w:tr>
      <w:tr w:rsidR="003E78AB" w14:paraId="491BBA5D" w14:textId="77777777">
        <w:trPr>
          <w:trHeight w:val="290"/>
        </w:trPr>
        <w:tc>
          <w:tcPr>
            <w:tcW w:w="1851" w:type="pct"/>
            <w:gridSpan w:val="2"/>
            <w:vMerge/>
            <w:vAlign w:val="center"/>
          </w:tcPr>
          <w:p w14:paraId="715148E6" w14:textId="77777777" w:rsidR="003E78AB" w:rsidRDefault="003E78AB">
            <w:pPr>
              <w:pStyle w:val="aff6"/>
              <w:topLinePunct/>
            </w:pPr>
          </w:p>
        </w:tc>
        <w:tc>
          <w:tcPr>
            <w:tcW w:w="1211" w:type="pct"/>
            <w:vAlign w:val="center"/>
          </w:tcPr>
          <w:p w14:paraId="5666A201" w14:textId="77777777" w:rsidR="003E78AB" w:rsidRDefault="00010BF9">
            <w:pPr>
              <w:pStyle w:val="aff6"/>
              <w:topLinePunct/>
            </w:pPr>
            <w:r>
              <w:t>环境温度</w:t>
            </w:r>
            <w:r>
              <w:t>/℃</w:t>
            </w:r>
          </w:p>
        </w:tc>
        <w:tc>
          <w:tcPr>
            <w:tcW w:w="950" w:type="pct"/>
            <w:vAlign w:val="center"/>
          </w:tcPr>
          <w:p w14:paraId="3A61E358" w14:textId="77777777" w:rsidR="003E78AB" w:rsidRDefault="00010BF9">
            <w:pPr>
              <w:pStyle w:val="aff6"/>
              <w:topLinePunct/>
            </w:pPr>
            <w:r>
              <w:t>25</w:t>
            </w:r>
          </w:p>
        </w:tc>
        <w:tc>
          <w:tcPr>
            <w:tcW w:w="986" w:type="pct"/>
            <w:vAlign w:val="center"/>
          </w:tcPr>
          <w:p w14:paraId="585B7EC9" w14:textId="77777777" w:rsidR="003E78AB" w:rsidRDefault="00010BF9">
            <w:pPr>
              <w:pStyle w:val="aff6"/>
              <w:topLinePunct/>
            </w:pPr>
            <w:r>
              <w:t>17.38</w:t>
            </w:r>
          </w:p>
        </w:tc>
      </w:tr>
      <w:tr w:rsidR="003E78AB" w14:paraId="09C5884B" w14:textId="77777777">
        <w:trPr>
          <w:trHeight w:val="288"/>
        </w:trPr>
        <w:tc>
          <w:tcPr>
            <w:tcW w:w="1851" w:type="pct"/>
            <w:gridSpan w:val="2"/>
            <w:vMerge/>
            <w:vAlign w:val="center"/>
          </w:tcPr>
          <w:p w14:paraId="47C9575A" w14:textId="77777777" w:rsidR="003E78AB" w:rsidRDefault="003E78AB">
            <w:pPr>
              <w:pStyle w:val="aff6"/>
              <w:topLinePunct/>
            </w:pPr>
          </w:p>
        </w:tc>
        <w:tc>
          <w:tcPr>
            <w:tcW w:w="1211" w:type="pct"/>
            <w:vAlign w:val="center"/>
          </w:tcPr>
          <w:p w14:paraId="1229022C" w14:textId="77777777" w:rsidR="003E78AB" w:rsidRDefault="00010BF9">
            <w:pPr>
              <w:pStyle w:val="aff6"/>
              <w:topLinePunct/>
            </w:pPr>
            <w:r>
              <w:t>相对湿度</w:t>
            </w:r>
            <w:r>
              <w:t>/%</w:t>
            </w:r>
          </w:p>
        </w:tc>
        <w:tc>
          <w:tcPr>
            <w:tcW w:w="950" w:type="pct"/>
            <w:vAlign w:val="center"/>
          </w:tcPr>
          <w:p w14:paraId="4A4509BB" w14:textId="77777777" w:rsidR="003E78AB" w:rsidRDefault="00010BF9">
            <w:pPr>
              <w:pStyle w:val="aff6"/>
              <w:topLinePunct/>
            </w:pPr>
            <w:r>
              <w:t>50</w:t>
            </w:r>
          </w:p>
        </w:tc>
        <w:tc>
          <w:tcPr>
            <w:tcW w:w="986" w:type="pct"/>
            <w:vAlign w:val="center"/>
          </w:tcPr>
          <w:p w14:paraId="55932A2B" w14:textId="77777777" w:rsidR="003E78AB" w:rsidRDefault="00010BF9">
            <w:pPr>
              <w:pStyle w:val="aff6"/>
              <w:topLinePunct/>
            </w:pPr>
            <w:r>
              <w:t>42.98</w:t>
            </w:r>
          </w:p>
        </w:tc>
      </w:tr>
      <w:tr w:rsidR="003E78AB" w14:paraId="15C96A93" w14:textId="77777777">
        <w:trPr>
          <w:trHeight w:val="290"/>
        </w:trPr>
        <w:tc>
          <w:tcPr>
            <w:tcW w:w="1851" w:type="pct"/>
            <w:gridSpan w:val="2"/>
            <w:vMerge/>
            <w:vAlign w:val="center"/>
          </w:tcPr>
          <w:p w14:paraId="7A0A6276" w14:textId="77777777" w:rsidR="003E78AB" w:rsidRDefault="003E78AB">
            <w:pPr>
              <w:pStyle w:val="aff6"/>
              <w:topLinePunct/>
            </w:pPr>
          </w:p>
        </w:tc>
        <w:tc>
          <w:tcPr>
            <w:tcW w:w="1211" w:type="pct"/>
            <w:vAlign w:val="center"/>
          </w:tcPr>
          <w:p w14:paraId="7B703210" w14:textId="77777777" w:rsidR="003E78AB" w:rsidRDefault="00010BF9">
            <w:pPr>
              <w:pStyle w:val="aff6"/>
              <w:topLinePunct/>
            </w:pPr>
            <w:r>
              <w:t>稳定度</w:t>
            </w:r>
          </w:p>
        </w:tc>
        <w:tc>
          <w:tcPr>
            <w:tcW w:w="950" w:type="pct"/>
            <w:vAlign w:val="center"/>
          </w:tcPr>
          <w:p w14:paraId="1A3D90EB" w14:textId="77777777" w:rsidR="003E78AB" w:rsidRDefault="00010BF9">
            <w:pPr>
              <w:pStyle w:val="aff6"/>
              <w:topLinePunct/>
            </w:pPr>
            <w:r>
              <w:t>F</w:t>
            </w:r>
          </w:p>
        </w:tc>
        <w:tc>
          <w:tcPr>
            <w:tcW w:w="986" w:type="pct"/>
            <w:vAlign w:val="center"/>
          </w:tcPr>
          <w:p w14:paraId="46ED39A6" w14:textId="77777777" w:rsidR="003E78AB" w:rsidRDefault="00010BF9">
            <w:pPr>
              <w:pStyle w:val="aff6"/>
              <w:topLinePunct/>
            </w:pPr>
            <w:r>
              <w:t>D</w:t>
            </w:r>
          </w:p>
        </w:tc>
      </w:tr>
      <w:tr w:rsidR="003E78AB" w14:paraId="504C9D65" w14:textId="77777777">
        <w:trPr>
          <w:trHeight w:val="288"/>
        </w:trPr>
        <w:tc>
          <w:tcPr>
            <w:tcW w:w="1851" w:type="pct"/>
            <w:gridSpan w:val="2"/>
            <w:vMerge w:val="restart"/>
            <w:vAlign w:val="center"/>
          </w:tcPr>
          <w:p w14:paraId="6B0A5800" w14:textId="77777777" w:rsidR="003E78AB" w:rsidRDefault="00010BF9">
            <w:pPr>
              <w:pStyle w:val="aff6"/>
              <w:topLinePunct/>
            </w:pPr>
            <w:r>
              <w:t>其他参数</w:t>
            </w:r>
          </w:p>
        </w:tc>
        <w:tc>
          <w:tcPr>
            <w:tcW w:w="1211" w:type="pct"/>
            <w:vAlign w:val="center"/>
          </w:tcPr>
          <w:p w14:paraId="06DEE699" w14:textId="77777777" w:rsidR="003E78AB" w:rsidRDefault="00010BF9">
            <w:pPr>
              <w:pStyle w:val="aff6"/>
              <w:topLinePunct/>
            </w:pPr>
            <w:r>
              <w:t>地表粗糙度</w:t>
            </w:r>
            <w:r>
              <w:t>/m</w:t>
            </w:r>
          </w:p>
        </w:tc>
        <w:tc>
          <w:tcPr>
            <w:tcW w:w="1936" w:type="pct"/>
            <w:gridSpan w:val="2"/>
            <w:vAlign w:val="center"/>
          </w:tcPr>
          <w:p w14:paraId="304132F5" w14:textId="77777777" w:rsidR="003E78AB" w:rsidRDefault="00010BF9">
            <w:pPr>
              <w:pStyle w:val="aff6"/>
              <w:topLinePunct/>
            </w:pPr>
            <w:r>
              <w:rPr>
                <w:rFonts w:hint="eastAsia"/>
              </w:rPr>
              <w:t>0.0</w:t>
            </w:r>
            <w:r>
              <w:t>3</w:t>
            </w:r>
          </w:p>
        </w:tc>
      </w:tr>
      <w:tr w:rsidR="003E78AB" w14:paraId="683B2106" w14:textId="77777777">
        <w:trPr>
          <w:trHeight w:val="290"/>
        </w:trPr>
        <w:tc>
          <w:tcPr>
            <w:tcW w:w="1851" w:type="pct"/>
            <w:gridSpan w:val="2"/>
            <w:vMerge/>
            <w:vAlign w:val="center"/>
          </w:tcPr>
          <w:p w14:paraId="263F14F8" w14:textId="77777777" w:rsidR="003E78AB" w:rsidRDefault="003E78AB">
            <w:pPr>
              <w:pStyle w:val="aff6"/>
              <w:topLinePunct/>
            </w:pPr>
          </w:p>
        </w:tc>
        <w:tc>
          <w:tcPr>
            <w:tcW w:w="1211" w:type="pct"/>
            <w:vAlign w:val="center"/>
          </w:tcPr>
          <w:p w14:paraId="5D14296F" w14:textId="77777777" w:rsidR="003E78AB" w:rsidRDefault="00010BF9">
            <w:pPr>
              <w:pStyle w:val="aff6"/>
              <w:topLinePunct/>
            </w:pPr>
            <w:r>
              <w:t>是否考虑地形</w:t>
            </w:r>
          </w:p>
        </w:tc>
        <w:tc>
          <w:tcPr>
            <w:tcW w:w="1936" w:type="pct"/>
            <w:gridSpan w:val="2"/>
            <w:vAlign w:val="center"/>
          </w:tcPr>
          <w:p w14:paraId="69868221" w14:textId="77777777" w:rsidR="003E78AB" w:rsidRDefault="00010BF9">
            <w:pPr>
              <w:pStyle w:val="aff6"/>
              <w:topLinePunct/>
            </w:pPr>
            <w:r>
              <w:t>/</w:t>
            </w:r>
          </w:p>
        </w:tc>
      </w:tr>
      <w:tr w:rsidR="003E78AB" w14:paraId="626DBFB8" w14:textId="77777777">
        <w:trPr>
          <w:trHeight w:val="304"/>
        </w:trPr>
        <w:tc>
          <w:tcPr>
            <w:tcW w:w="1851" w:type="pct"/>
            <w:gridSpan w:val="2"/>
            <w:vMerge/>
            <w:vAlign w:val="center"/>
          </w:tcPr>
          <w:p w14:paraId="3F6ED8BE" w14:textId="77777777" w:rsidR="003E78AB" w:rsidRDefault="003E78AB">
            <w:pPr>
              <w:pStyle w:val="aff6"/>
              <w:topLinePunct/>
            </w:pPr>
          </w:p>
        </w:tc>
        <w:tc>
          <w:tcPr>
            <w:tcW w:w="1211" w:type="pct"/>
            <w:vAlign w:val="center"/>
          </w:tcPr>
          <w:p w14:paraId="1A7DCAA4" w14:textId="77777777" w:rsidR="003E78AB" w:rsidRDefault="00010BF9">
            <w:pPr>
              <w:pStyle w:val="aff6"/>
              <w:topLinePunct/>
            </w:pPr>
            <w:r>
              <w:t>地形数据精度</w:t>
            </w:r>
            <w:r>
              <w:t>/m</w:t>
            </w:r>
          </w:p>
        </w:tc>
        <w:tc>
          <w:tcPr>
            <w:tcW w:w="1936" w:type="pct"/>
            <w:gridSpan w:val="2"/>
            <w:vAlign w:val="center"/>
          </w:tcPr>
          <w:p w14:paraId="66D3B258" w14:textId="77777777" w:rsidR="003E78AB" w:rsidRDefault="00010BF9">
            <w:pPr>
              <w:pStyle w:val="aff6"/>
              <w:topLinePunct/>
            </w:pPr>
            <w:r>
              <w:t>90</w:t>
            </w:r>
          </w:p>
        </w:tc>
      </w:tr>
    </w:tbl>
    <w:p w14:paraId="2760E94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6.5.1.4</w:t>
      </w:r>
      <w:r>
        <w:rPr>
          <w:rFonts w:ascii="Times New Roman" w:hAnsi="Times New Roman" w:hint="eastAsia"/>
        </w:rPr>
        <w:t>环境风险评价标准</w:t>
      </w:r>
    </w:p>
    <w:p w14:paraId="4BE35204" w14:textId="77777777" w:rsidR="003E78AB" w:rsidRDefault="00010BF9">
      <w:pPr>
        <w:ind w:firstLine="480"/>
        <w:rPr>
          <w:kern w:val="28"/>
        </w:rPr>
      </w:pPr>
      <w:r>
        <w:rPr>
          <w:rFonts w:hint="eastAsia"/>
          <w:kern w:val="28"/>
        </w:rPr>
        <w:t>本次环境风险评价采用《建设项目环境风险评价技术导则》（</w:t>
      </w:r>
      <w:r>
        <w:rPr>
          <w:rFonts w:hint="eastAsia"/>
          <w:kern w:val="28"/>
        </w:rPr>
        <w:t>HJ169-2018)</w:t>
      </w:r>
      <w:r>
        <w:rPr>
          <w:rFonts w:hint="eastAsia"/>
          <w:kern w:val="28"/>
        </w:rPr>
        <w:t>中提出的大气毒性终点浓度值，该浓度值分为</w:t>
      </w:r>
      <w:r>
        <w:rPr>
          <w:rFonts w:hint="eastAsia"/>
          <w:kern w:val="28"/>
        </w:rPr>
        <w:t>1</w:t>
      </w:r>
      <w:r>
        <w:rPr>
          <w:rFonts w:hint="eastAsia"/>
          <w:kern w:val="28"/>
        </w:rPr>
        <w:t>、</w:t>
      </w:r>
      <w:r>
        <w:rPr>
          <w:rFonts w:hint="eastAsia"/>
          <w:kern w:val="28"/>
        </w:rPr>
        <w:t>2</w:t>
      </w:r>
      <w:r>
        <w:rPr>
          <w:rFonts w:hint="eastAsia"/>
          <w:kern w:val="28"/>
        </w:rPr>
        <w:t>两级，其中</w:t>
      </w:r>
      <w:r>
        <w:rPr>
          <w:rFonts w:hint="eastAsia"/>
          <w:kern w:val="28"/>
        </w:rPr>
        <w:t>1</w:t>
      </w:r>
      <w:r>
        <w:rPr>
          <w:rFonts w:hint="eastAsia"/>
          <w:kern w:val="28"/>
        </w:rPr>
        <w:t>级为当大气中危险物质浓度低于该限值时，绝大多数人员暴露</w:t>
      </w:r>
      <w:r>
        <w:rPr>
          <w:rFonts w:hint="eastAsia"/>
          <w:kern w:val="28"/>
        </w:rPr>
        <w:t>1h</w:t>
      </w:r>
      <w:r>
        <w:rPr>
          <w:rFonts w:hint="eastAsia"/>
          <w:kern w:val="28"/>
        </w:rPr>
        <w:t>不会对生命造成威胁，当超过该限值时，有可能对人群造成生命威胁；</w:t>
      </w:r>
      <w:r>
        <w:rPr>
          <w:rFonts w:hint="eastAsia"/>
          <w:kern w:val="28"/>
        </w:rPr>
        <w:t>2</w:t>
      </w:r>
      <w:r>
        <w:rPr>
          <w:rFonts w:hint="eastAsia"/>
          <w:kern w:val="28"/>
        </w:rPr>
        <w:t>级为当大气中危险物质浓度低于该限值时，暴露</w:t>
      </w:r>
      <w:r>
        <w:rPr>
          <w:rFonts w:hint="eastAsia"/>
          <w:kern w:val="28"/>
        </w:rPr>
        <w:t>1h</w:t>
      </w:r>
      <w:r>
        <w:rPr>
          <w:rFonts w:hint="eastAsia"/>
          <w:kern w:val="28"/>
        </w:rPr>
        <w:t>一般不会对人体造成不可逆的伤害，或者出现的症状一般不会损伤该个体采取有效防护措施的能力。</w:t>
      </w:r>
    </w:p>
    <w:p w14:paraId="6ACE46E1" w14:textId="77777777" w:rsidR="003E78AB" w:rsidRDefault="00010BF9">
      <w:pPr>
        <w:ind w:firstLine="480"/>
        <w:rPr>
          <w:kern w:val="28"/>
        </w:rPr>
      </w:pPr>
      <w:r>
        <w:rPr>
          <w:rFonts w:hint="eastAsia"/>
          <w:kern w:val="28"/>
        </w:rPr>
        <w:t>根据《建设项目环境风险评价技术导则》（</w:t>
      </w:r>
      <w:r>
        <w:rPr>
          <w:rFonts w:hint="eastAsia"/>
          <w:kern w:val="28"/>
        </w:rPr>
        <w:t>HJ169-2018</w:t>
      </w:r>
      <w:r>
        <w:rPr>
          <w:rFonts w:hint="eastAsia"/>
          <w:kern w:val="28"/>
        </w:rPr>
        <w:t>）附录</w:t>
      </w:r>
      <w:r>
        <w:rPr>
          <w:rFonts w:hint="eastAsia"/>
          <w:kern w:val="28"/>
        </w:rPr>
        <w:t>H</w:t>
      </w:r>
      <w:r>
        <w:rPr>
          <w:rFonts w:hint="eastAsia"/>
          <w:kern w:val="28"/>
        </w:rPr>
        <w:t>，重点关注的危险物质大气毒性重点浓度值未包含五氧化二钒及硫酸，本次评价根据美国能源部公布的大气目标浓度值相关数据，五氧化二钒、硫酸的风险评价标准见</w:t>
      </w:r>
      <w:r>
        <w:rPr>
          <w:rFonts w:hint="eastAsia"/>
          <w:kern w:val="28"/>
        </w:rPr>
        <w:fldChar w:fldCharType="begin"/>
      </w:r>
      <w:r>
        <w:rPr>
          <w:rFonts w:hint="eastAsia"/>
          <w:kern w:val="28"/>
        </w:rPr>
        <w:instrText xml:space="preserve"> REF _Ref15825 \r \h </w:instrText>
      </w:r>
      <w:r>
        <w:rPr>
          <w:rFonts w:hint="eastAsia"/>
          <w:kern w:val="28"/>
        </w:rPr>
      </w:r>
      <w:r>
        <w:rPr>
          <w:rFonts w:hint="eastAsia"/>
          <w:kern w:val="28"/>
        </w:rPr>
        <w:fldChar w:fldCharType="separate"/>
      </w:r>
      <w:r>
        <w:rPr>
          <w:rFonts w:hint="eastAsia"/>
          <w:kern w:val="28"/>
        </w:rPr>
        <w:t>表</w:t>
      </w:r>
      <w:r>
        <w:rPr>
          <w:rFonts w:hint="eastAsia"/>
          <w:kern w:val="28"/>
        </w:rPr>
        <w:t>6-27</w:t>
      </w:r>
      <w:r>
        <w:rPr>
          <w:rFonts w:hint="eastAsia"/>
          <w:kern w:val="28"/>
        </w:rPr>
        <w:fldChar w:fldCharType="end"/>
      </w:r>
      <w:r>
        <w:rPr>
          <w:rFonts w:hint="eastAsia"/>
          <w:kern w:val="28"/>
        </w:rPr>
        <w:t>。</w:t>
      </w:r>
    </w:p>
    <w:p w14:paraId="0682275E" w14:textId="77777777" w:rsidR="003E78AB" w:rsidRDefault="00010BF9">
      <w:pPr>
        <w:pStyle w:val="a"/>
        <w:spacing w:before="120"/>
        <w:ind w:left="425" w:hanging="425"/>
      </w:pPr>
      <w:bookmarkStart w:id="438" w:name="_Ref15825"/>
      <w:r>
        <w:t>环境风险评价标准一览表</w:t>
      </w:r>
      <w:bookmarkEnd w:id="438"/>
    </w:p>
    <w:p w14:paraId="4A2CFDEA" w14:textId="77777777" w:rsidR="003E78AB" w:rsidRDefault="003E78AB">
      <w:pPr>
        <w:spacing w:line="24" w:lineRule="exact"/>
        <w:ind w:firstLine="480"/>
      </w:pP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193"/>
        <w:gridCol w:w="1638"/>
        <w:gridCol w:w="1946"/>
        <w:gridCol w:w="1947"/>
      </w:tblGrid>
      <w:tr w:rsidR="003E78AB" w14:paraId="2625FF06" w14:textId="77777777">
        <w:trPr>
          <w:trHeight w:val="339"/>
        </w:trPr>
        <w:tc>
          <w:tcPr>
            <w:tcW w:w="953" w:type="pct"/>
            <w:vAlign w:val="center"/>
          </w:tcPr>
          <w:p w14:paraId="3B15DFC3" w14:textId="77777777" w:rsidR="003E78AB" w:rsidRDefault="00010BF9">
            <w:pPr>
              <w:pStyle w:val="aff6"/>
              <w:topLinePunct/>
              <w:rPr>
                <w:b/>
                <w:bCs/>
              </w:rPr>
            </w:pPr>
            <w:r>
              <w:rPr>
                <w:b/>
                <w:bCs/>
              </w:rPr>
              <w:t>风险物质</w:t>
            </w:r>
          </w:p>
        </w:tc>
        <w:tc>
          <w:tcPr>
            <w:tcW w:w="718" w:type="pct"/>
            <w:vAlign w:val="center"/>
          </w:tcPr>
          <w:p w14:paraId="513608F1" w14:textId="77777777" w:rsidR="003E78AB" w:rsidRDefault="00010BF9">
            <w:pPr>
              <w:pStyle w:val="aff6"/>
              <w:topLinePunct/>
              <w:rPr>
                <w:b/>
                <w:bCs/>
              </w:rPr>
            </w:pPr>
            <w:r>
              <w:rPr>
                <w:b/>
                <w:bCs/>
              </w:rPr>
              <w:t>CAS</w:t>
            </w:r>
            <w:r>
              <w:rPr>
                <w:b/>
                <w:bCs/>
              </w:rPr>
              <w:t>号</w:t>
            </w:r>
          </w:p>
        </w:tc>
        <w:tc>
          <w:tcPr>
            <w:tcW w:w="985" w:type="pct"/>
            <w:vAlign w:val="center"/>
          </w:tcPr>
          <w:p w14:paraId="2101DBDF" w14:textId="77777777" w:rsidR="003E78AB" w:rsidRDefault="00010BF9">
            <w:pPr>
              <w:pStyle w:val="aff6"/>
              <w:topLinePunct/>
              <w:rPr>
                <w:b/>
                <w:bCs/>
              </w:rPr>
            </w:pPr>
            <w:r>
              <w:rPr>
                <w:b/>
                <w:bCs/>
              </w:rPr>
              <w:t>单位</w:t>
            </w:r>
          </w:p>
        </w:tc>
        <w:tc>
          <w:tcPr>
            <w:tcW w:w="1170" w:type="pct"/>
            <w:vAlign w:val="center"/>
          </w:tcPr>
          <w:p w14:paraId="5F5CB714" w14:textId="77777777" w:rsidR="003E78AB" w:rsidRDefault="00010BF9">
            <w:pPr>
              <w:pStyle w:val="aff6"/>
              <w:topLinePunct/>
              <w:rPr>
                <w:b/>
                <w:bCs/>
              </w:rPr>
            </w:pPr>
            <w:r>
              <w:rPr>
                <w:b/>
                <w:bCs/>
              </w:rPr>
              <w:t>大气毒性终点浓度</w:t>
            </w:r>
            <w:r>
              <w:rPr>
                <w:b/>
                <w:bCs/>
              </w:rPr>
              <w:t>-1</w:t>
            </w:r>
          </w:p>
        </w:tc>
        <w:tc>
          <w:tcPr>
            <w:tcW w:w="1171" w:type="pct"/>
            <w:vAlign w:val="center"/>
          </w:tcPr>
          <w:p w14:paraId="02E85588" w14:textId="77777777" w:rsidR="003E78AB" w:rsidRDefault="00010BF9">
            <w:pPr>
              <w:pStyle w:val="aff6"/>
              <w:topLinePunct/>
              <w:rPr>
                <w:b/>
                <w:bCs/>
              </w:rPr>
            </w:pPr>
            <w:r>
              <w:rPr>
                <w:b/>
                <w:bCs/>
              </w:rPr>
              <w:t>大气毒性终点浓度</w:t>
            </w:r>
            <w:r>
              <w:rPr>
                <w:b/>
                <w:bCs/>
              </w:rPr>
              <w:t>-2</w:t>
            </w:r>
          </w:p>
        </w:tc>
      </w:tr>
      <w:tr w:rsidR="003E78AB" w14:paraId="2E7F8471" w14:textId="77777777">
        <w:trPr>
          <w:trHeight w:val="325"/>
        </w:trPr>
        <w:tc>
          <w:tcPr>
            <w:tcW w:w="953" w:type="pct"/>
            <w:vAlign w:val="center"/>
          </w:tcPr>
          <w:p w14:paraId="1AB56100" w14:textId="77777777" w:rsidR="003E78AB" w:rsidRDefault="00010BF9">
            <w:pPr>
              <w:pStyle w:val="aff6"/>
              <w:topLinePunct/>
            </w:pPr>
            <w:r>
              <w:t>五氧化二钒</w:t>
            </w:r>
          </w:p>
        </w:tc>
        <w:tc>
          <w:tcPr>
            <w:tcW w:w="718" w:type="pct"/>
            <w:vAlign w:val="center"/>
          </w:tcPr>
          <w:p w14:paraId="3B5702FC" w14:textId="77777777" w:rsidR="003E78AB" w:rsidRDefault="00010BF9">
            <w:pPr>
              <w:pStyle w:val="aff6"/>
              <w:topLinePunct/>
            </w:pPr>
            <w:r>
              <w:t>1314-62-1</w:t>
            </w:r>
          </w:p>
        </w:tc>
        <w:tc>
          <w:tcPr>
            <w:tcW w:w="985" w:type="pct"/>
            <w:vAlign w:val="center"/>
          </w:tcPr>
          <w:p w14:paraId="141A4A0D" w14:textId="77777777" w:rsidR="003E78AB" w:rsidRDefault="00010BF9">
            <w:pPr>
              <w:pStyle w:val="aff6"/>
              <w:topLinePunct/>
            </w:pPr>
            <w:r>
              <w:t>mg/m</w:t>
            </w:r>
            <w:r>
              <w:rPr>
                <w:vertAlign w:val="superscript"/>
              </w:rPr>
              <w:t>3</w:t>
            </w:r>
          </w:p>
        </w:tc>
        <w:tc>
          <w:tcPr>
            <w:tcW w:w="1170" w:type="pct"/>
            <w:vAlign w:val="center"/>
          </w:tcPr>
          <w:p w14:paraId="4F9799A8" w14:textId="77777777" w:rsidR="003E78AB" w:rsidRDefault="00010BF9">
            <w:pPr>
              <w:pStyle w:val="aff6"/>
              <w:topLinePunct/>
            </w:pPr>
            <w:r>
              <w:t>70</w:t>
            </w:r>
          </w:p>
        </w:tc>
        <w:tc>
          <w:tcPr>
            <w:tcW w:w="1171" w:type="pct"/>
            <w:vAlign w:val="center"/>
          </w:tcPr>
          <w:p w14:paraId="05EEA012" w14:textId="77777777" w:rsidR="003E78AB" w:rsidRDefault="00010BF9">
            <w:pPr>
              <w:pStyle w:val="aff6"/>
              <w:topLinePunct/>
            </w:pPr>
            <w:r>
              <w:t>7</w:t>
            </w:r>
          </w:p>
        </w:tc>
      </w:tr>
      <w:tr w:rsidR="003E78AB" w14:paraId="0DFD13B1" w14:textId="77777777">
        <w:trPr>
          <w:trHeight w:val="336"/>
        </w:trPr>
        <w:tc>
          <w:tcPr>
            <w:tcW w:w="953" w:type="pct"/>
            <w:vAlign w:val="center"/>
          </w:tcPr>
          <w:p w14:paraId="6D08BBD7" w14:textId="77777777" w:rsidR="003E78AB" w:rsidRDefault="00010BF9">
            <w:pPr>
              <w:pStyle w:val="aff6"/>
              <w:topLinePunct/>
            </w:pPr>
            <w:r>
              <w:t>硫酸</w:t>
            </w:r>
          </w:p>
        </w:tc>
        <w:tc>
          <w:tcPr>
            <w:tcW w:w="718" w:type="pct"/>
            <w:vAlign w:val="center"/>
          </w:tcPr>
          <w:p w14:paraId="031B0A51" w14:textId="77777777" w:rsidR="003E78AB" w:rsidRDefault="00010BF9">
            <w:pPr>
              <w:pStyle w:val="aff6"/>
              <w:topLinePunct/>
            </w:pPr>
            <w:r>
              <w:t>7664-93-9</w:t>
            </w:r>
          </w:p>
        </w:tc>
        <w:tc>
          <w:tcPr>
            <w:tcW w:w="985" w:type="pct"/>
            <w:vAlign w:val="center"/>
          </w:tcPr>
          <w:p w14:paraId="3F67656C" w14:textId="77777777" w:rsidR="003E78AB" w:rsidRDefault="00010BF9">
            <w:pPr>
              <w:pStyle w:val="aff6"/>
              <w:topLinePunct/>
            </w:pPr>
            <w:r>
              <w:t>mg/m</w:t>
            </w:r>
            <w:r>
              <w:rPr>
                <w:vertAlign w:val="superscript"/>
              </w:rPr>
              <w:t>3</w:t>
            </w:r>
          </w:p>
        </w:tc>
        <w:tc>
          <w:tcPr>
            <w:tcW w:w="1170" w:type="pct"/>
            <w:vAlign w:val="center"/>
          </w:tcPr>
          <w:p w14:paraId="7CAAA937" w14:textId="77777777" w:rsidR="003E78AB" w:rsidRDefault="00010BF9">
            <w:pPr>
              <w:pStyle w:val="aff6"/>
              <w:topLinePunct/>
            </w:pPr>
            <w:r>
              <w:t>160</w:t>
            </w:r>
          </w:p>
        </w:tc>
        <w:tc>
          <w:tcPr>
            <w:tcW w:w="1171" w:type="pct"/>
            <w:vAlign w:val="center"/>
          </w:tcPr>
          <w:p w14:paraId="3A2A90AD" w14:textId="77777777" w:rsidR="003E78AB" w:rsidRDefault="00010BF9">
            <w:pPr>
              <w:pStyle w:val="aff6"/>
              <w:topLinePunct/>
            </w:pPr>
            <w:r>
              <w:t>8.7</w:t>
            </w:r>
          </w:p>
        </w:tc>
      </w:tr>
    </w:tbl>
    <w:p w14:paraId="40E934C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6.5.1.5</w:t>
      </w:r>
      <w:r>
        <w:rPr>
          <w:rFonts w:ascii="Times New Roman" w:hAnsi="Times New Roman" w:hint="eastAsia"/>
        </w:rPr>
        <w:t>环境风险预测结果及影响范围分析</w:t>
      </w:r>
    </w:p>
    <w:p w14:paraId="4D9AC16F" w14:textId="77777777" w:rsidR="003E78AB" w:rsidRDefault="00010BF9">
      <w:pPr>
        <w:ind w:firstLine="480"/>
        <w:rPr>
          <w:kern w:val="28"/>
        </w:rPr>
      </w:pPr>
      <w:r>
        <w:rPr>
          <w:rFonts w:hint="eastAsia"/>
          <w:kern w:val="28"/>
        </w:rPr>
        <w:t>除尘管线破裂五氧化二钒颗粒物在不同气象条件下的下风向浓度预测计算结果见</w:t>
      </w:r>
      <w:r>
        <w:rPr>
          <w:rFonts w:hint="eastAsia"/>
          <w:kern w:val="28"/>
        </w:rPr>
        <w:fldChar w:fldCharType="begin"/>
      </w:r>
      <w:r>
        <w:rPr>
          <w:rFonts w:hint="eastAsia"/>
          <w:kern w:val="28"/>
        </w:rPr>
        <w:instrText xml:space="preserve"> REF _Ref2066 \r \h </w:instrText>
      </w:r>
      <w:r>
        <w:rPr>
          <w:rFonts w:hint="eastAsia"/>
          <w:kern w:val="28"/>
        </w:rPr>
      </w:r>
      <w:r>
        <w:rPr>
          <w:rFonts w:hint="eastAsia"/>
          <w:kern w:val="28"/>
        </w:rPr>
        <w:fldChar w:fldCharType="separate"/>
      </w:r>
      <w:r>
        <w:rPr>
          <w:rFonts w:hint="eastAsia"/>
          <w:kern w:val="28"/>
        </w:rPr>
        <w:t>表</w:t>
      </w:r>
      <w:r>
        <w:rPr>
          <w:rFonts w:hint="eastAsia"/>
          <w:kern w:val="28"/>
        </w:rPr>
        <w:t>6-28</w:t>
      </w:r>
      <w:r>
        <w:rPr>
          <w:rFonts w:hint="eastAsia"/>
          <w:kern w:val="28"/>
        </w:rPr>
        <w:fldChar w:fldCharType="end"/>
      </w:r>
      <w:r>
        <w:rPr>
          <w:rFonts w:hint="eastAsia"/>
          <w:kern w:val="28"/>
        </w:rPr>
        <w:t>和</w:t>
      </w:r>
      <w:r>
        <w:rPr>
          <w:rFonts w:hint="eastAsia"/>
          <w:kern w:val="28"/>
        </w:rPr>
        <w:fldChar w:fldCharType="begin"/>
      </w:r>
      <w:r>
        <w:rPr>
          <w:rFonts w:hint="eastAsia"/>
          <w:kern w:val="28"/>
        </w:rPr>
        <w:instrText xml:space="preserve"> REF _Ref2102 \r \h </w:instrText>
      </w:r>
      <w:r>
        <w:rPr>
          <w:rFonts w:hint="eastAsia"/>
          <w:kern w:val="28"/>
        </w:rPr>
      </w:r>
      <w:r>
        <w:rPr>
          <w:rFonts w:hint="eastAsia"/>
          <w:kern w:val="28"/>
        </w:rPr>
        <w:fldChar w:fldCharType="separate"/>
      </w:r>
      <w:r>
        <w:rPr>
          <w:rFonts w:hint="eastAsia"/>
          <w:kern w:val="28"/>
        </w:rPr>
        <w:t>表</w:t>
      </w:r>
      <w:r>
        <w:rPr>
          <w:rFonts w:hint="eastAsia"/>
          <w:kern w:val="28"/>
        </w:rPr>
        <w:t>6-29</w:t>
      </w:r>
      <w:r>
        <w:rPr>
          <w:rFonts w:hint="eastAsia"/>
          <w:kern w:val="28"/>
        </w:rPr>
        <w:fldChar w:fldCharType="end"/>
      </w:r>
      <w:r>
        <w:rPr>
          <w:rFonts w:hint="eastAsia"/>
          <w:kern w:val="28"/>
        </w:rPr>
        <w:t>。</w:t>
      </w:r>
    </w:p>
    <w:p w14:paraId="44FBA4ED" w14:textId="77777777" w:rsidR="003E78AB" w:rsidRDefault="00010BF9">
      <w:pPr>
        <w:ind w:firstLine="480"/>
        <w:rPr>
          <w:kern w:val="28"/>
        </w:rPr>
      </w:pPr>
      <w:r>
        <w:rPr>
          <w:rFonts w:hint="eastAsia"/>
          <w:kern w:val="28"/>
        </w:rPr>
        <w:t>硫酸储罐泄漏在不同气象条件下的下风向浓度预测计算结果见</w:t>
      </w:r>
      <w:r>
        <w:rPr>
          <w:rFonts w:hint="eastAsia"/>
          <w:kern w:val="28"/>
        </w:rPr>
        <w:fldChar w:fldCharType="begin"/>
      </w:r>
      <w:r>
        <w:rPr>
          <w:rFonts w:hint="eastAsia"/>
          <w:kern w:val="28"/>
        </w:rPr>
        <w:instrText xml:space="preserve"> REF _Ref12590 \r \h </w:instrText>
      </w:r>
      <w:r>
        <w:rPr>
          <w:rFonts w:hint="eastAsia"/>
          <w:kern w:val="28"/>
        </w:rPr>
      </w:r>
      <w:r>
        <w:rPr>
          <w:rFonts w:hint="eastAsia"/>
          <w:kern w:val="28"/>
        </w:rPr>
        <w:fldChar w:fldCharType="separate"/>
      </w:r>
      <w:r>
        <w:rPr>
          <w:rFonts w:hint="eastAsia"/>
          <w:kern w:val="28"/>
        </w:rPr>
        <w:t>表</w:t>
      </w:r>
      <w:r>
        <w:rPr>
          <w:rFonts w:hint="eastAsia"/>
          <w:kern w:val="28"/>
        </w:rPr>
        <w:t>6-29</w:t>
      </w:r>
      <w:r>
        <w:rPr>
          <w:rFonts w:hint="eastAsia"/>
          <w:kern w:val="28"/>
        </w:rPr>
        <w:fldChar w:fldCharType="end"/>
      </w:r>
      <w:r>
        <w:rPr>
          <w:rFonts w:hint="eastAsia"/>
          <w:kern w:val="28"/>
        </w:rPr>
        <w:t>和</w:t>
      </w:r>
      <w:r>
        <w:rPr>
          <w:rFonts w:hint="eastAsia"/>
          <w:kern w:val="28"/>
        </w:rPr>
        <w:fldChar w:fldCharType="begin"/>
      </w:r>
      <w:r>
        <w:rPr>
          <w:rFonts w:hint="eastAsia"/>
          <w:kern w:val="28"/>
        </w:rPr>
        <w:instrText xml:space="preserve"> REF _Ref12622 \r \h </w:instrText>
      </w:r>
      <w:r>
        <w:rPr>
          <w:rFonts w:hint="eastAsia"/>
          <w:kern w:val="28"/>
        </w:rPr>
      </w:r>
      <w:r>
        <w:rPr>
          <w:rFonts w:hint="eastAsia"/>
          <w:kern w:val="28"/>
        </w:rPr>
        <w:fldChar w:fldCharType="separate"/>
      </w:r>
      <w:r>
        <w:rPr>
          <w:rFonts w:hint="eastAsia"/>
          <w:kern w:val="28"/>
        </w:rPr>
        <w:t>表</w:t>
      </w:r>
      <w:r>
        <w:rPr>
          <w:rFonts w:hint="eastAsia"/>
          <w:kern w:val="28"/>
        </w:rPr>
        <w:t>6-31</w:t>
      </w:r>
      <w:r>
        <w:rPr>
          <w:rFonts w:hint="eastAsia"/>
          <w:kern w:val="28"/>
        </w:rPr>
        <w:fldChar w:fldCharType="end"/>
      </w:r>
      <w:r>
        <w:rPr>
          <w:rFonts w:hint="eastAsia"/>
          <w:kern w:val="28"/>
        </w:rPr>
        <w:t>。</w:t>
      </w:r>
    </w:p>
    <w:p w14:paraId="49AC3F5C" w14:textId="77777777" w:rsidR="003E78AB" w:rsidRDefault="003E78AB">
      <w:pPr>
        <w:ind w:firstLine="480"/>
        <w:sectPr w:rsidR="003E78AB">
          <w:footerReference w:type="default" r:id="rId120"/>
          <w:pgSz w:w="11907" w:h="16841"/>
          <w:pgMar w:top="1440" w:right="1803" w:bottom="1440" w:left="1803" w:header="850" w:footer="992" w:gutter="0"/>
          <w:cols w:space="720"/>
        </w:sectPr>
      </w:pPr>
    </w:p>
    <w:p w14:paraId="70077ADF" w14:textId="77777777" w:rsidR="003E78AB" w:rsidRDefault="00010BF9">
      <w:pPr>
        <w:pStyle w:val="a"/>
        <w:spacing w:before="120"/>
        <w:ind w:left="425" w:hanging="425"/>
        <w:jc w:val="right"/>
        <w:rPr>
          <w:vertAlign w:val="superscript"/>
        </w:rPr>
      </w:pPr>
      <w:bookmarkStart w:id="439" w:name="_Ref2066"/>
      <w:r>
        <w:t>最不利气象条件不同时段的</w:t>
      </w:r>
      <w:r>
        <w:t>V</w:t>
      </w:r>
      <w:r>
        <w:rPr>
          <w:vertAlign w:val="subscript"/>
        </w:rPr>
        <w:t>2</w:t>
      </w:r>
      <w:r>
        <w:t>O</w:t>
      </w:r>
      <w:r>
        <w:rPr>
          <w:vertAlign w:val="subscript"/>
        </w:rPr>
        <w:t>5</w:t>
      </w:r>
      <w:r>
        <w:t>地面浓度值</w:t>
      </w:r>
      <w:r>
        <w:rPr>
          <w:rFonts w:hint="eastAsia"/>
        </w:rPr>
        <w:t xml:space="preserve">                       </w:t>
      </w:r>
      <w:r>
        <w:t>单位：</w:t>
      </w:r>
      <w:r>
        <w:t>mg/m</w:t>
      </w:r>
      <w:r>
        <w:rPr>
          <w:vertAlign w:val="superscript"/>
        </w:rPr>
        <w:t>3</w:t>
      </w:r>
      <w:bookmarkEnd w:id="439"/>
    </w:p>
    <w:p w14:paraId="6A019DAB" w14:textId="77777777" w:rsidR="003E78AB" w:rsidRDefault="003E78AB">
      <w:pPr>
        <w:spacing w:line="33" w:lineRule="exact"/>
        <w:ind w:firstLine="480"/>
      </w:pPr>
    </w:p>
    <w:tbl>
      <w:tblPr>
        <w:tblStyle w:val="TableNormal"/>
        <w:tblW w:w="139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2185"/>
        <w:gridCol w:w="1022"/>
        <w:gridCol w:w="1022"/>
        <w:gridCol w:w="1022"/>
        <w:gridCol w:w="1023"/>
        <w:gridCol w:w="1020"/>
        <w:gridCol w:w="1020"/>
        <w:gridCol w:w="1023"/>
        <w:gridCol w:w="1020"/>
        <w:gridCol w:w="1022"/>
        <w:gridCol w:w="896"/>
        <w:gridCol w:w="677"/>
      </w:tblGrid>
      <w:tr w:rsidR="003E78AB" w14:paraId="7EC7D922" w14:textId="77777777">
        <w:trPr>
          <w:trHeight w:val="563"/>
          <w:tblHeader/>
        </w:trPr>
        <w:tc>
          <w:tcPr>
            <w:tcW w:w="1013" w:type="dxa"/>
            <w:vAlign w:val="center"/>
          </w:tcPr>
          <w:p w14:paraId="5B0A8F3F" w14:textId="77777777" w:rsidR="003E78AB" w:rsidRDefault="00010BF9">
            <w:pPr>
              <w:pStyle w:val="aff6"/>
              <w:topLinePunct/>
              <w:rPr>
                <w:b/>
                <w:bCs/>
              </w:rPr>
            </w:pPr>
            <w:r>
              <w:rPr>
                <w:b/>
                <w:bCs/>
              </w:rPr>
              <w:t>距离</w:t>
            </w:r>
          </w:p>
        </w:tc>
        <w:tc>
          <w:tcPr>
            <w:tcW w:w="2185" w:type="dxa"/>
            <w:vAlign w:val="center"/>
          </w:tcPr>
          <w:p w14:paraId="3F2653D4" w14:textId="77777777" w:rsidR="003E78AB" w:rsidRDefault="00010BF9">
            <w:pPr>
              <w:pStyle w:val="aff6"/>
              <w:topLinePunct/>
              <w:rPr>
                <w:b/>
                <w:bCs/>
              </w:rPr>
            </w:pPr>
            <w:r>
              <w:rPr>
                <w:b/>
                <w:bCs/>
              </w:rPr>
              <w:t>最大浓度</w:t>
            </w:r>
            <w:r>
              <w:rPr>
                <w:b/>
                <w:bCs/>
              </w:rPr>
              <w:t>(mg/m</w:t>
            </w:r>
            <w:r>
              <w:rPr>
                <w:b/>
                <w:bCs/>
                <w:vertAlign w:val="superscript"/>
              </w:rPr>
              <w:t>3</w:t>
            </w:r>
            <w:r>
              <w:rPr>
                <w:b/>
                <w:bCs/>
              </w:rPr>
              <w:t>)</w:t>
            </w:r>
          </w:p>
          <w:p w14:paraId="3C6AD417" w14:textId="77777777" w:rsidR="003E78AB" w:rsidRDefault="00010BF9">
            <w:pPr>
              <w:pStyle w:val="aff6"/>
              <w:topLinePunct/>
              <w:rPr>
                <w:b/>
                <w:bCs/>
              </w:rPr>
            </w:pPr>
            <w:r>
              <w:rPr>
                <w:b/>
                <w:bCs/>
              </w:rPr>
              <w:t>时间</w:t>
            </w:r>
            <w:r>
              <w:rPr>
                <w:b/>
                <w:bCs/>
              </w:rPr>
              <w:t>(min)</w:t>
            </w:r>
          </w:p>
        </w:tc>
        <w:tc>
          <w:tcPr>
            <w:tcW w:w="1022" w:type="dxa"/>
            <w:vAlign w:val="center"/>
          </w:tcPr>
          <w:p w14:paraId="69575BA8" w14:textId="77777777" w:rsidR="003E78AB" w:rsidRDefault="00010BF9">
            <w:pPr>
              <w:pStyle w:val="aff6"/>
              <w:topLinePunct/>
              <w:rPr>
                <w:b/>
                <w:bCs/>
              </w:rPr>
            </w:pPr>
            <w:r>
              <w:rPr>
                <w:b/>
                <w:bCs/>
              </w:rPr>
              <w:t>1min</w:t>
            </w:r>
          </w:p>
        </w:tc>
        <w:tc>
          <w:tcPr>
            <w:tcW w:w="1022" w:type="dxa"/>
            <w:vAlign w:val="center"/>
          </w:tcPr>
          <w:p w14:paraId="57642C0C" w14:textId="77777777" w:rsidR="003E78AB" w:rsidRDefault="00010BF9">
            <w:pPr>
              <w:pStyle w:val="aff6"/>
              <w:topLinePunct/>
              <w:rPr>
                <w:b/>
                <w:bCs/>
              </w:rPr>
            </w:pPr>
            <w:r>
              <w:rPr>
                <w:b/>
                <w:bCs/>
              </w:rPr>
              <w:t>5min</w:t>
            </w:r>
          </w:p>
        </w:tc>
        <w:tc>
          <w:tcPr>
            <w:tcW w:w="1022" w:type="dxa"/>
            <w:vAlign w:val="center"/>
          </w:tcPr>
          <w:p w14:paraId="38FAB767" w14:textId="77777777" w:rsidR="003E78AB" w:rsidRDefault="00010BF9">
            <w:pPr>
              <w:pStyle w:val="aff6"/>
              <w:topLinePunct/>
              <w:rPr>
                <w:b/>
                <w:bCs/>
              </w:rPr>
            </w:pPr>
            <w:r>
              <w:rPr>
                <w:b/>
                <w:bCs/>
              </w:rPr>
              <w:t>8min</w:t>
            </w:r>
          </w:p>
        </w:tc>
        <w:tc>
          <w:tcPr>
            <w:tcW w:w="1023" w:type="dxa"/>
            <w:vAlign w:val="center"/>
          </w:tcPr>
          <w:p w14:paraId="055ACB9B" w14:textId="77777777" w:rsidR="003E78AB" w:rsidRDefault="00010BF9">
            <w:pPr>
              <w:pStyle w:val="aff6"/>
              <w:topLinePunct/>
              <w:rPr>
                <w:b/>
                <w:bCs/>
              </w:rPr>
            </w:pPr>
            <w:r>
              <w:rPr>
                <w:b/>
                <w:bCs/>
              </w:rPr>
              <w:t>10min</w:t>
            </w:r>
          </w:p>
        </w:tc>
        <w:tc>
          <w:tcPr>
            <w:tcW w:w="1020" w:type="dxa"/>
            <w:vAlign w:val="center"/>
          </w:tcPr>
          <w:p w14:paraId="07419CFA" w14:textId="77777777" w:rsidR="003E78AB" w:rsidRDefault="00010BF9">
            <w:pPr>
              <w:pStyle w:val="aff6"/>
              <w:topLinePunct/>
              <w:rPr>
                <w:b/>
                <w:bCs/>
              </w:rPr>
            </w:pPr>
            <w:r>
              <w:rPr>
                <w:b/>
                <w:bCs/>
              </w:rPr>
              <w:t>15min</w:t>
            </w:r>
          </w:p>
        </w:tc>
        <w:tc>
          <w:tcPr>
            <w:tcW w:w="1020" w:type="dxa"/>
            <w:vAlign w:val="center"/>
          </w:tcPr>
          <w:p w14:paraId="7B2FE7FA" w14:textId="77777777" w:rsidR="003E78AB" w:rsidRDefault="00010BF9">
            <w:pPr>
              <w:pStyle w:val="aff6"/>
              <w:topLinePunct/>
              <w:rPr>
                <w:b/>
                <w:bCs/>
              </w:rPr>
            </w:pPr>
            <w:r>
              <w:rPr>
                <w:b/>
                <w:bCs/>
              </w:rPr>
              <w:t>20min</w:t>
            </w:r>
          </w:p>
        </w:tc>
        <w:tc>
          <w:tcPr>
            <w:tcW w:w="1023" w:type="dxa"/>
            <w:vAlign w:val="center"/>
          </w:tcPr>
          <w:p w14:paraId="77E354C2" w14:textId="77777777" w:rsidR="003E78AB" w:rsidRDefault="00010BF9">
            <w:pPr>
              <w:pStyle w:val="aff6"/>
              <w:topLinePunct/>
              <w:rPr>
                <w:b/>
                <w:bCs/>
              </w:rPr>
            </w:pPr>
            <w:r>
              <w:rPr>
                <w:b/>
                <w:bCs/>
              </w:rPr>
              <w:t>30min</w:t>
            </w:r>
          </w:p>
        </w:tc>
        <w:tc>
          <w:tcPr>
            <w:tcW w:w="1020" w:type="dxa"/>
            <w:vAlign w:val="center"/>
          </w:tcPr>
          <w:p w14:paraId="673788E4" w14:textId="77777777" w:rsidR="003E78AB" w:rsidRDefault="00010BF9">
            <w:pPr>
              <w:pStyle w:val="aff6"/>
              <w:topLinePunct/>
              <w:rPr>
                <w:b/>
                <w:bCs/>
              </w:rPr>
            </w:pPr>
            <w:r>
              <w:rPr>
                <w:b/>
                <w:bCs/>
              </w:rPr>
              <w:t>40min</w:t>
            </w:r>
          </w:p>
        </w:tc>
        <w:tc>
          <w:tcPr>
            <w:tcW w:w="1022" w:type="dxa"/>
            <w:vAlign w:val="center"/>
          </w:tcPr>
          <w:p w14:paraId="588B7AC1" w14:textId="77777777" w:rsidR="003E78AB" w:rsidRDefault="00010BF9">
            <w:pPr>
              <w:pStyle w:val="aff6"/>
              <w:topLinePunct/>
              <w:rPr>
                <w:b/>
                <w:bCs/>
              </w:rPr>
            </w:pPr>
            <w:r>
              <w:rPr>
                <w:b/>
                <w:bCs/>
              </w:rPr>
              <w:t>50min</w:t>
            </w:r>
          </w:p>
        </w:tc>
        <w:tc>
          <w:tcPr>
            <w:tcW w:w="896" w:type="dxa"/>
            <w:vAlign w:val="center"/>
          </w:tcPr>
          <w:p w14:paraId="79F1157A" w14:textId="77777777" w:rsidR="003E78AB" w:rsidRDefault="00010BF9">
            <w:pPr>
              <w:pStyle w:val="aff6"/>
              <w:topLinePunct/>
              <w:rPr>
                <w:b/>
                <w:bCs/>
              </w:rPr>
            </w:pPr>
            <w:r>
              <w:rPr>
                <w:b/>
                <w:bCs/>
              </w:rPr>
              <w:t>60min</w:t>
            </w:r>
          </w:p>
        </w:tc>
        <w:tc>
          <w:tcPr>
            <w:tcW w:w="677" w:type="dxa"/>
            <w:vAlign w:val="center"/>
          </w:tcPr>
          <w:p w14:paraId="30D1E195" w14:textId="77777777" w:rsidR="003E78AB" w:rsidRDefault="00010BF9">
            <w:pPr>
              <w:pStyle w:val="aff6"/>
              <w:topLinePunct/>
              <w:rPr>
                <w:b/>
                <w:bCs/>
              </w:rPr>
            </w:pPr>
            <w:r>
              <w:rPr>
                <w:b/>
                <w:bCs/>
              </w:rPr>
              <w:t>80min</w:t>
            </w:r>
          </w:p>
        </w:tc>
      </w:tr>
      <w:tr w:rsidR="003E78AB" w14:paraId="166D08D1" w14:textId="77777777">
        <w:trPr>
          <w:trHeight w:val="287"/>
        </w:trPr>
        <w:tc>
          <w:tcPr>
            <w:tcW w:w="1013" w:type="dxa"/>
            <w:vAlign w:val="center"/>
          </w:tcPr>
          <w:p w14:paraId="53E1DC8B" w14:textId="77777777" w:rsidR="003E78AB" w:rsidRDefault="00010BF9">
            <w:pPr>
              <w:pStyle w:val="aff6"/>
              <w:topLinePunct/>
            </w:pPr>
            <w:r>
              <w:t>10</w:t>
            </w:r>
          </w:p>
        </w:tc>
        <w:tc>
          <w:tcPr>
            <w:tcW w:w="2185" w:type="dxa"/>
            <w:vAlign w:val="center"/>
          </w:tcPr>
          <w:p w14:paraId="1AD6AF9E" w14:textId="77777777" w:rsidR="003E78AB" w:rsidRDefault="00010BF9">
            <w:pPr>
              <w:pStyle w:val="aff6"/>
              <w:topLinePunct/>
            </w:pPr>
            <w:r>
              <w:t>0.0|1</w:t>
            </w:r>
          </w:p>
        </w:tc>
        <w:tc>
          <w:tcPr>
            <w:tcW w:w="1022" w:type="dxa"/>
            <w:vAlign w:val="center"/>
          </w:tcPr>
          <w:p w14:paraId="391C0230" w14:textId="77777777" w:rsidR="003E78AB" w:rsidRDefault="00010BF9">
            <w:pPr>
              <w:pStyle w:val="aff6"/>
              <w:topLinePunct/>
            </w:pPr>
            <w:r>
              <w:t>0.0</w:t>
            </w:r>
          </w:p>
        </w:tc>
        <w:tc>
          <w:tcPr>
            <w:tcW w:w="1022" w:type="dxa"/>
            <w:vAlign w:val="center"/>
          </w:tcPr>
          <w:p w14:paraId="028CB15A" w14:textId="77777777" w:rsidR="003E78AB" w:rsidRDefault="00010BF9">
            <w:pPr>
              <w:pStyle w:val="aff6"/>
              <w:topLinePunct/>
            </w:pPr>
            <w:r>
              <w:t>0.0</w:t>
            </w:r>
          </w:p>
        </w:tc>
        <w:tc>
          <w:tcPr>
            <w:tcW w:w="1022" w:type="dxa"/>
            <w:vAlign w:val="center"/>
          </w:tcPr>
          <w:p w14:paraId="6A7C68DD" w14:textId="77777777" w:rsidR="003E78AB" w:rsidRDefault="00010BF9">
            <w:pPr>
              <w:pStyle w:val="aff6"/>
              <w:topLinePunct/>
            </w:pPr>
            <w:r>
              <w:t>0.0</w:t>
            </w:r>
          </w:p>
        </w:tc>
        <w:tc>
          <w:tcPr>
            <w:tcW w:w="1023" w:type="dxa"/>
            <w:vAlign w:val="center"/>
          </w:tcPr>
          <w:p w14:paraId="41CFD5B5" w14:textId="77777777" w:rsidR="003E78AB" w:rsidRDefault="00010BF9">
            <w:pPr>
              <w:pStyle w:val="aff6"/>
              <w:topLinePunct/>
            </w:pPr>
            <w:r>
              <w:t>0.0</w:t>
            </w:r>
          </w:p>
        </w:tc>
        <w:tc>
          <w:tcPr>
            <w:tcW w:w="1020" w:type="dxa"/>
            <w:vAlign w:val="center"/>
          </w:tcPr>
          <w:p w14:paraId="5D464F0D" w14:textId="77777777" w:rsidR="003E78AB" w:rsidRDefault="00010BF9">
            <w:pPr>
              <w:pStyle w:val="aff6"/>
              <w:topLinePunct/>
            </w:pPr>
            <w:r>
              <w:t>0.0</w:t>
            </w:r>
          </w:p>
        </w:tc>
        <w:tc>
          <w:tcPr>
            <w:tcW w:w="1020" w:type="dxa"/>
            <w:vAlign w:val="center"/>
          </w:tcPr>
          <w:p w14:paraId="6D539ECE" w14:textId="77777777" w:rsidR="003E78AB" w:rsidRDefault="00010BF9">
            <w:pPr>
              <w:pStyle w:val="aff6"/>
              <w:topLinePunct/>
            </w:pPr>
            <w:r>
              <w:t>0.0</w:t>
            </w:r>
          </w:p>
        </w:tc>
        <w:tc>
          <w:tcPr>
            <w:tcW w:w="1023" w:type="dxa"/>
            <w:vAlign w:val="center"/>
          </w:tcPr>
          <w:p w14:paraId="3C00330E" w14:textId="77777777" w:rsidR="003E78AB" w:rsidRDefault="00010BF9">
            <w:pPr>
              <w:pStyle w:val="aff6"/>
              <w:topLinePunct/>
            </w:pPr>
            <w:r>
              <w:t>0.0</w:t>
            </w:r>
          </w:p>
        </w:tc>
        <w:tc>
          <w:tcPr>
            <w:tcW w:w="1020" w:type="dxa"/>
            <w:vAlign w:val="center"/>
          </w:tcPr>
          <w:p w14:paraId="6EB3816A" w14:textId="77777777" w:rsidR="003E78AB" w:rsidRDefault="00010BF9">
            <w:pPr>
              <w:pStyle w:val="aff6"/>
              <w:topLinePunct/>
            </w:pPr>
            <w:r>
              <w:t>0.0</w:t>
            </w:r>
          </w:p>
        </w:tc>
        <w:tc>
          <w:tcPr>
            <w:tcW w:w="1022" w:type="dxa"/>
            <w:vAlign w:val="center"/>
          </w:tcPr>
          <w:p w14:paraId="7778BDD5" w14:textId="77777777" w:rsidR="003E78AB" w:rsidRDefault="00010BF9">
            <w:pPr>
              <w:pStyle w:val="aff6"/>
              <w:topLinePunct/>
            </w:pPr>
            <w:r>
              <w:t>0.0</w:t>
            </w:r>
          </w:p>
        </w:tc>
        <w:tc>
          <w:tcPr>
            <w:tcW w:w="896" w:type="dxa"/>
            <w:vAlign w:val="center"/>
          </w:tcPr>
          <w:p w14:paraId="6E179E2B" w14:textId="77777777" w:rsidR="003E78AB" w:rsidRDefault="00010BF9">
            <w:pPr>
              <w:pStyle w:val="aff6"/>
              <w:topLinePunct/>
            </w:pPr>
            <w:r>
              <w:t>0.0</w:t>
            </w:r>
          </w:p>
        </w:tc>
        <w:tc>
          <w:tcPr>
            <w:tcW w:w="677" w:type="dxa"/>
            <w:vAlign w:val="center"/>
          </w:tcPr>
          <w:p w14:paraId="1B1BD953" w14:textId="77777777" w:rsidR="003E78AB" w:rsidRDefault="00010BF9">
            <w:pPr>
              <w:pStyle w:val="aff6"/>
              <w:topLinePunct/>
            </w:pPr>
            <w:r>
              <w:t>0.0</w:t>
            </w:r>
          </w:p>
        </w:tc>
      </w:tr>
      <w:tr w:rsidR="003E78AB" w14:paraId="5FEA2CD0" w14:textId="77777777">
        <w:trPr>
          <w:trHeight w:val="288"/>
        </w:trPr>
        <w:tc>
          <w:tcPr>
            <w:tcW w:w="1013" w:type="dxa"/>
            <w:vAlign w:val="center"/>
          </w:tcPr>
          <w:p w14:paraId="6FF7EE39" w14:textId="77777777" w:rsidR="003E78AB" w:rsidRDefault="00010BF9">
            <w:pPr>
              <w:pStyle w:val="aff6"/>
              <w:topLinePunct/>
            </w:pPr>
            <w:r>
              <w:t>20</w:t>
            </w:r>
          </w:p>
        </w:tc>
        <w:tc>
          <w:tcPr>
            <w:tcW w:w="2185" w:type="dxa"/>
            <w:vAlign w:val="center"/>
          </w:tcPr>
          <w:p w14:paraId="157AF8AC" w14:textId="77777777" w:rsidR="003E78AB" w:rsidRDefault="00010BF9">
            <w:pPr>
              <w:pStyle w:val="aff6"/>
              <w:topLinePunct/>
            </w:pPr>
            <w:r>
              <w:t>0.0|1</w:t>
            </w:r>
          </w:p>
        </w:tc>
        <w:tc>
          <w:tcPr>
            <w:tcW w:w="1022" w:type="dxa"/>
            <w:vAlign w:val="center"/>
          </w:tcPr>
          <w:p w14:paraId="29A28A9E" w14:textId="77777777" w:rsidR="003E78AB" w:rsidRDefault="00010BF9">
            <w:pPr>
              <w:pStyle w:val="aff6"/>
              <w:topLinePunct/>
            </w:pPr>
            <w:r>
              <w:t>0.0</w:t>
            </w:r>
          </w:p>
        </w:tc>
        <w:tc>
          <w:tcPr>
            <w:tcW w:w="1022" w:type="dxa"/>
            <w:vAlign w:val="center"/>
          </w:tcPr>
          <w:p w14:paraId="5BACA8B6" w14:textId="77777777" w:rsidR="003E78AB" w:rsidRDefault="00010BF9">
            <w:pPr>
              <w:pStyle w:val="aff6"/>
              <w:topLinePunct/>
            </w:pPr>
            <w:r>
              <w:t>0.0</w:t>
            </w:r>
          </w:p>
        </w:tc>
        <w:tc>
          <w:tcPr>
            <w:tcW w:w="1022" w:type="dxa"/>
            <w:vAlign w:val="center"/>
          </w:tcPr>
          <w:p w14:paraId="09D13BBE" w14:textId="77777777" w:rsidR="003E78AB" w:rsidRDefault="00010BF9">
            <w:pPr>
              <w:pStyle w:val="aff6"/>
              <w:topLinePunct/>
            </w:pPr>
            <w:r>
              <w:t>0.0</w:t>
            </w:r>
          </w:p>
        </w:tc>
        <w:tc>
          <w:tcPr>
            <w:tcW w:w="1023" w:type="dxa"/>
            <w:vAlign w:val="center"/>
          </w:tcPr>
          <w:p w14:paraId="3AED9189" w14:textId="77777777" w:rsidR="003E78AB" w:rsidRDefault="00010BF9">
            <w:pPr>
              <w:pStyle w:val="aff6"/>
              <w:topLinePunct/>
            </w:pPr>
            <w:r>
              <w:t>0.0</w:t>
            </w:r>
          </w:p>
        </w:tc>
        <w:tc>
          <w:tcPr>
            <w:tcW w:w="1020" w:type="dxa"/>
            <w:vAlign w:val="center"/>
          </w:tcPr>
          <w:p w14:paraId="46F5005F" w14:textId="77777777" w:rsidR="003E78AB" w:rsidRDefault="00010BF9">
            <w:pPr>
              <w:pStyle w:val="aff6"/>
              <w:topLinePunct/>
            </w:pPr>
            <w:r>
              <w:t>0.0</w:t>
            </w:r>
          </w:p>
        </w:tc>
        <w:tc>
          <w:tcPr>
            <w:tcW w:w="1020" w:type="dxa"/>
            <w:vAlign w:val="center"/>
          </w:tcPr>
          <w:p w14:paraId="401C20EA" w14:textId="77777777" w:rsidR="003E78AB" w:rsidRDefault="00010BF9">
            <w:pPr>
              <w:pStyle w:val="aff6"/>
              <w:topLinePunct/>
            </w:pPr>
            <w:r>
              <w:t>0.0</w:t>
            </w:r>
          </w:p>
        </w:tc>
        <w:tc>
          <w:tcPr>
            <w:tcW w:w="1023" w:type="dxa"/>
            <w:vAlign w:val="center"/>
          </w:tcPr>
          <w:p w14:paraId="12279A23" w14:textId="77777777" w:rsidR="003E78AB" w:rsidRDefault="00010BF9">
            <w:pPr>
              <w:pStyle w:val="aff6"/>
              <w:topLinePunct/>
            </w:pPr>
            <w:r>
              <w:t>0.0</w:t>
            </w:r>
          </w:p>
        </w:tc>
        <w:tc>
          <w:tcPr>
            <w:tcW w:w="1020" w:type="dxa"/>
            <w:vAlign w:val="center"/>
          </w:tcPr>
          <w:p w14:paraId="1450DE20" w14:textId="77777777" w:rsidR="003E78AB" w:rsidRDefault="00010BF9">
            <w:pPr>
              <w:pStyle w:val="aff6"/>
              <w:topLinePunct/>
            </w:pPr>
            <w:r>
              <w:t>0.0</w:t>
            </w:r>
          </w:p>
        </w:tc>
        <w:tc>
          <w:tcPr>
            <w:tcW w:w="1022" w:type="dxa"/>
            <w:vAlign w:val="center"/>
          </w:tcPr>
          <w:p w14:paraId="7D6627F2" w14:textId="77777777" w:rsidR="003E78AB" w:rsidRDefault="00010BF9">
            <w:pPr>
              <w:pStyle w:val="aff6"/>
              <w:topLinePunct/>
            </w:pPr>
            <w:r>
              <w:t>0.0</w:t>
            </w:r>
          </w:p>
        </w:tc>
        <w:tc>
          <w:tcPr>
            <w:tcW w:w="896" w:type="dxa"/>
            <w:vAlign w:val="center"/>
          </w:tcPr>
          <w:p w14:paraId="53176334" w14:textId="77777777" w:rsidR="003E78AB" w:rsidRDefault="00010BF9">
            <w:pPr>
              <w:pStyle w:val="aff6"/>
              <w:topLinePunct/>
            </w:pPr>
            <w:r>
              <w:t>0.0</w:t>
            </w:r>
          </w:p>
        </w:tc>
        <w:tc>
          <w:tcPr>
            <w:tcW w:w="677" w:type="dxa"/>
            <w:vAlign w:val="center"/>
          </w:tcPr>
          <w:p w14:paraId="43459822" w14:textId="77777777" w:rsidR="003E78AB" w:rsidRDefault="00010BF9">
            <w:pPr>
              <w:pStyle w:val="aff6"/>
              <w:topLinePunct/>
            </w:pPr>
            <w:r>
              <w:t>0.0</w:t>
            </w:r>
          </w:p>
        </w:tc>
      </w:tr>
      <w:tr w:rsidR="003E78AB" w14:paraId="2D31A78E" w14:textId="77777777">
        <w:trPr>
          <w:trHeight w:val="288"/>
        </w:trPr>
        <w:tc>
          <w:tcPr>
            <w:tcW w:w="1013" w:type="dxa"/>
            <w:vAlign w:val="center"/>
          </w:tcPr>
          <w:p w14:paraId="35C606F2" w14:textId="77777777" w:rsidR="003E78AB" w:rsidRDefault="00010BF9">
            <w:pPr>
              <w:pStyle w:val="aff6"/>
              <w:topLinePunct/>
            </w:pPr>
            <w:r>
              <w:t>30</w:t>
            </w:r>
          </w:p>
        </w:tc>
        <w:tc>
          <w:tcPr>
            <w:tcW w:w="2185" w:type="dxa"/>
            <w:vAlign w:val="center"/>
          </w:tcPr>
          <w:p w14:paraId="09055486" w14:textId="77777777" w:rsidR="003E78AB" w:rsidRDefault="00010BF9">
            <w:pPr>
              <w:pStyle w:val="aff6"/>
              <w:topLinePunct/>
            </w:pPr>
            <w:r>
              <w:t>0.0|1</w:t>
            </w:r>
          </w:p>
        </w:tc>
        <w:tc>
          <w:tcPr>
            <w:tcW w:w="1022" w:type="dxa"/>
            <w:vAlign w:val="center"/>
          </w:tcPr>
          <w:p w14:paraId="2C884DA8" w14:textId="77777777" w:rsidR="003E78AB" w:rsidRDefault="00010BF9">
            <w:pPr>
              <w:pStyle w:val="aff6"/>
              <w:topLinePunct/>
            </w:pPr>
            <w:r>
              <w:t>0.0</w:t>
            </w:r>
          </w:p>
        </w:tc>
        <w:tc>
          <w:tcPr>
            <w:tcW w:w="1022" w:type="dxa"/>
            <w:vAlign w:val="center"/>
          </w:tcPr>
          <w:p w14:paraId="0417E99F" w14:textId="77777777" w:rsidR="003E78AB" w:rsidRDefault="00010BF9">
            <w:pPr>
              <w:pStyle w:val="aff6"/>
              <w:topLinePunct/>
            </w:pPr>
            <w:r>
              <w:t>0.0</w:t>
            </w:r>
          </w:p>
        </w:tc>
        <w:tc>
          <w:tcPr>
            <w:tcW w:w="1022" w:type="dxa"/>
            <w:vAlign w:val="center"/>
          </w:tcPr>
          <w:p w14:paraId="246A2618" w14:textId="77777777" w:rsidR="003E78AB" w:rsidRDefault="00010BF9">
            <w:pPr>
              <w:pStyle w:val="aff6"/>
              <w:topLinePunct/>
            </w:pPr>
            <w:r>
              <w:t>0.0</w:t>
            </w:r>
          </w:p>
        </w:tc>
        <w:tc>
          <w:tcPr>
            <w:tcW w:w="1023" w:type="dxa"/>
            <w:vAlign w:val="center"/>
          </w:tcPr>
          <w:p w14:paraId="17443C71" w14:textId="77777777" w:rsidR="003E78AB" w:rsidRDefault="00010BF9">
            <w:pPr>
              <w:pStyle w:val="aff6"/>
              <w:topLinePunct/>
            </w:pPr>
            <w:r>
              <w:t>0.0</w:t>
            </w:r>
          </w:p>
        </w:tc>
        <w:tc>
          <w:tcPr>
            <w:tcW w:w="1020" w:type="dxa"/>
            <w:vAlign w:val="center"/>
          </w:tcPr>
          <w:p w14:paraId="2FCF66BC" w14:textId="77777777" w:rsidR="003E78AB" w:rsidRDefault="00010BF9">
            <w:pPr>
              <w:pStyle w:val="aff6"/>
              <w:topLinePunct/>
            </w:pPr>
            <w:r>
              <w:t>0.0</w:t>
            </w:r>
          </w:p>
        </w:tc>
        <w:tc>
          <w:tcPr>
            <w:tcW w:w="1020" w:type="dxa"/>
            <w:vAlign w:val="center"/>
          </w:tcPr>
          <w:p w14:paraId="42A5102A" w14:textId="77777777" w:rsidR="003E78AB" w:rsidRDefault="00010BF9">
            <w:pPr>
              <w:pStyle w:val="aff6"/>
              <w:topLinePunct/>
            </w:pPr>
            <w:r>
              <w:t>0.0</w:t>
            </w:r>
          </w:p>
        </w:tc>
        <w:tc>
          <w:tcPr>
            <w:tcW w:w="1023" w:type="dxa"/>
            <w:vAlign w:val="center"/>
          </w:tcPr>
          <w:p w14:paraId="5169FB3D" w14:textId="77777777" w:rsidR="003E78AB" w:rsidRDefault="00010BF9">
            <w:pPr>
              <w:pStyle w:val="aff6"/>
              <w:topLinePunct/>
            </w:pPr>
            <w:r>
              <w:t>0.0</w:t>
            </w:r>
          </w:p>
        </w:tc>
        <w:tc>
          <w:tcPr>
            <w:tcW w:w="1020" w:type="dxa"/>
            <w:vAlign w:val="center"/>
          </w:tcPr>
          <w:p w14:paraId="69D84726" w14:textId="77777777" w:rsidR="003E78AB" w:rsidRDefault="00010BF9">
            <w:pPr>
              <w:pStyle w:val="aff6"/>
              <w:topLinePunct/>
            </w:pPr>
            <w:r>
              <w:t>0.0</w:t>
            </w:r>
          </w:p>
        </w:tc>
        <w:tc>
          <w:tcPr>
            <w:tcW w:w="1022" w:type="dxa"/>
            <w:vAlign w:val="center"/>
          </w:tcPr>
          <w:p w14:paraId="292E5D8A" w14:textId="77777777" w:rsidR="003E78AB" w:rsidRDefault="00010BF9">
            <w:pPr>
              <w:pStyle w:val="aff6"/>
              <w:topLinePunct/>
            </w:pPr>
            <w:r>
              <w:t>0.0</w:t>
            </w:r>
          </w:p>
        </w:tc>
        <w:tc>
          <w:tcPr>
            <w:tcW w:w="896" w:type="dxa"/>
            <w:vAlign w:val="center"/>
          </w:tcPr>
          <w:p w14:paraId="72C73DB6" w14:textId="77777777" w:rsidR="003E78AB" w:rsidRDefault="00010BF9">
            <w:pPr>
              <w:pStyle w:val="aff6"/>
              <w:topLinePunct/>
            </w:pPr>
            <w:r>
              <w:t>0.0</w:t>
            </w:r>
          </w:p>
        </w:tc>
        <w:tc>
          <w:tcPr>
            <w:tcW w:w="677" w:type="dxa"/>
            <w:vAlign w:val="center"/>
          </w:tcPr>
          <w:p w14:paraId="6097735D" w14:textId="77777777" w:rsidR="003E78AB" w:rsidRDefault="00010BF9">
            <w:pPr>
              <w:pStyle w:val="aff6"/>
              <w:topLinePunct/>
            </w:pPr>
            <w:r>
              <w:t>0.0</w:t>
            </w:r>
          </w:p>
        </w:tc>
      </w:tr>
      <w:tr w:rsidR="003E78AB" w14:paraId="453CC812" w14:textId="77777777">
        <w:trPr>
          <w:trHeight w:val="288"/>
        </w:trPr>
        <w:tc>
          <w:tcPr>
            <w:tcW w:w="1013" w:type="dxa"/>
            <w:vAlign w:val="center"/>
          </w:tcPr>
          <w:p w14:paraId="64F5B439" w14:textId="77777777" w:rsidR="003E78AB" w:rsidRDefault="00010BF9">
            <w:pPr>
              <w:pStyle w:val="aff6"/>
              <w:topLinePunct/>
            </w:pPr>
            <w:r>
              <w:t>40</w:t>
            </w:r>
          </w:p>
        </w:tc>
        <w:tc>
          <w:tcPr>
            <w:tcW w:w="2185" w:type="dxa"/>
            <w:vAlign w:val="center"/>
          </w:tcPr>
          <w:p w14:paraId="410FCD0B" w14:textId="77777777" w:rsidR="003E78AB" w:rsidRDefault="00010BF9">
            <w:pPr>
              <w:pStyle w:val="aff6"/>
              <w:topLinePunct/>
            </w:pPr>
            <w:r>
              <w:t>0.0|1</w:t>
            </w:r>
          </w:p>
        </w:tc>
        <w:tc>
          <w:tcPr>
            <w:tcW w:w="1022" w:type="dxa"/>
            <w:vAlign w:val="center"/>
          </w:tcPr>
          <w:p w14:paraId="1639ECC6" w14:textId="77777777" w:rsidR="003E78AB" w:rsidRDefault="00010BF9">
            <w:pPr>
              <w:pStyle w:val="aff6"/>
              <w:topLinePunct/>
            </w:pPr>
            <w:r>
              <w:t>0.0</w:t>
            </w:r>
          </w:p>
        </w:tc>
        <w:tc>
          <w:tcPr>
            <w:tcW w:w="1022" w:type="dxa"/>
            <w:vAlign w:val="center"/>
          </w:tcPr>
          <w:p w14:paraId="473D303C" w14:textId="77777777" w:rsidR="003E78AB" w:rsidRDefault="00010BF9">
            <w:pPr>
              <w:pStyle w:val="aff6"/>
              <w:topLinePunct/>
            </w:pPr>
            <w:r>
              <w:t>0.0</w:t>
            </w:r>
          </w:p>
        </w:tc>
        <w:tc>
          <w:tcPr>
            <w:tcW w:w="1022" w:type="dxa"/>
            <w:vAlign w:val="center"/>
          </w:tcPr>
          <w:p w14:paraId="11705281" w14:textId="77777777" w:rsidR="003E78AB" w:rsidRDefault="00010BF9">
            <w:pPr>
              <w:pStyle w:val="aff6"/>
              <w:topLinePunct/>
            </w:pPr>
            <w:r>
              <w:t>0.0</w:t>
            </w:r>
          </w:p>
        </w:tc>
        <w:tc>
          <w:tcPr>
            <w:tcW w:w="1023" w:type="dxa"/>
            <w:vAlign w:val="center"/>
          </w:tcPr>
          <w:p w14:paraId="1D19D723" w14:textId="77777777" w:rsidR="003E78AB" w:rsidRDefault="00010BF9">
            <w:pPr>
              <w:pStyle w:val="aff6"/>
              <w:topLinePunct/>
            </w:pPr>
            <w:r>
              <w:t>0.0</w:t>
            </w:r>
          </w:p>
        </w:tc>
        <w:tc>
          <w:tcPr>
            <w:tcW w:w="1020" w:type="dxa"/>
            <w:vAlign w:val="center"/>
          </w:tcPr>
          <w:p w14:paraId="035F1D01" w14:textId="77777777" w:rsidR="003E78AB" w:rsidRDefault="00010BF9">
            <w:pPr>
              <w:pStyle w:val="aff6"/>
              <w:topLinePunct/>
            </w:pPr>
            <w:r>
              <w:t>0.0</w:t>
            </w:r>
          </w:p>
        </w:tc>
        <w:tc>
          <w:tcPr>
            <w:tcW w:w="1020" w:type="dxa"/>
            <w:vAlign w:val="center"/>
          </w:tcPr>
          <w:p w14:paraId="72E8672F" w14:textId="77777777" w:rsidR="003E78AB" w:rsidRDefault="00010BF9">
            <w:pPr>
              <w:pStyle w:val="aff6"/>
              <w:topLinePunct/>
            </w:pPr>
            <w:r>
              <w:t>0.0</w:t>
            </w:r>
          </w:p>
        </w:tc>
        <w:tc>
          <w:tcPr>
            <w:tcW w:w="1023" w:type="dxa"/>
            <w:vAlign w:val="center"/>
          </w:tcPr>
          <w:p w14:paraId="58CB5C46" w14:textId="77777777" w:rsidR="003E78AB" w:rsidRDefault="00010BF9">
            <w:pPr>
              <w:pStyle w:val="aff6"/>
              <w:topLinePunct/>
            </w:pPr>
            <w:r>
              <w:t>0.0</w:t>
            </w:r>
          </w:p>
        </w:tc>
        <w:tc>
          <w:tcPr>
            <w:tcW w:w="1020" w:type="dxa"/>
            <w:vAlign w:val="center"/>
          </w:tcPr>
          <w:p w14:paraId="0C9FE058" w14:textId="77777777" w:rsidR="003E78AB" w:rsidRDefault="00010BF9">
            <w:pPr>
              <w:pStyle w:val="aff6"/>
              <w:topLinePunct/>
            </w:pPr>
            <w:r>
              <w:t>0.0</w:t>
            </w:r>
          </w:p>
        </w:tc>
        <w:tc>
          <w:tcPr>
            <w:tcW w:w="1022" w:type="dxa"/>
            <w:vAlign w:val="center"/>
          </w:tcPr>
          <w:p w14:paraId="6C6E4D8F" w14:textId="77777777" w:rsidR="003E78AB" w:rsidRDefault="00010BF9">
            <w:pPr>
              <w:pStyle w:val="aff6"/>
              <w:topLinePunct/>
            </w:pPr>
            <w:r>
              <w:t>0.0</w:t>
            </w:r>
          </w:p>
        </w:tc>
        <w:tc>
          <w:tcPr>
            <w:tcW w:w="896" w:type="dxa"/>
            <w:vAlign w:val="center"/>
          </w:tcPr>
          <w:p w14:paraId="5EA24CA0" w14:textId="77777777" w:rsidR="003E78AB" w:rsidRDefault="00010BF9">
            <w:pPr>
              <w:pStyle w:val="aff6"/>
              <w:topLinePunct/>
            </w:pPr>
            <w:r>
              <w:t>0.0</w:t>
            </w:r>
          </w:p>
        </w:tc>
        <w:tc>
          <w:tcPr>
            <w:tcW w:w="677" w:type="dxa"/>
            <w:vAlign w:val="center"/>
          </w:tcPr>
          <w:p w14:paraId="136282B3" w14:textId="77777777" w:rsidR="003E78AB" w:rsidRDefault="00010BF9">
            <w:pPr>
              <w:pStyle w:val="aff6"/>
              <w:topLinePunct/>
            </w:pPr>
            <w:r>
              <w:t>0.0</w:t>
            </w:r>
          </w:p>
        </w:tc>
      </w:tr>
      <w:tr w:rsidR="003E78AB" w14:paraId="43143E45" w14:textId="77777777">
        <w:trPr>
          <w:trHeight w:val="290"/>
        </w:trPr>
        <w:tc>
          <w:tcPr>
            <w:tcW w:w="1013" w:type="dxa"/>
            <w:vAlign w:val="center"/>
          </w:tcPr>
          <w:p w14:paraId="47D43979" w14:textId="77777777" w:rsidR="003E78AB" w:rsidRDefault="00010BF9">
            <w:pPr>
              <w:pStyle w:val="aff6"/>
              <w:topLinePunct/>
            </w:pPr>
            <w:r>
              <w:t>50</w:t>
            </w:r>
          </w:p>
        </w:tc>
        <w:tc>
          <w:tcPr>
            <w:tcW w:w="2185" w:type="dxa"/>
            <w:vAlign w:val="center"/>
          </w:tcPr>
          <w:p w14:paraId="33ADB61E" w14:textId="77777777" w:rsidR="003E78AB" w:rsidRDefault="00010BF9">
            <w:pPr>
              <w:pStyle w:val="aff6"/>
              <w:topLinePunct/>
            </w:pPr>
            <w:r>
              <w:t>0.0|1</w:t>
            </w:r>
          </w:p>
        </w:tc>
        <w:tc>
          <w:tcPr>
            <w:tcW w:w="1022" w:type="dxa"/>
            <w:vAlign w:val="center"/>
          </w:tcPr>
          <w:p w14:paraId="2A306A9A" w14:textId="77777777" w:rsidR="003E78AB" w:rsidRDefault="00010BF9">
            <w:pPr>
              <w:pStyle w:val="aff6"/>
              <w:topLinePunct/>
            </w:pPr>
            <w:r>
              <w:t>0.0</w:t>
            </w:r>
          </w:p>
        </w:tc>
        <w:tc>
          <w:tcPr>
            <w:tcW w:w="1022" w:type="dxa"/>
            <w:vAlign w:val="center"/>
          </w:tcPr>
          <w:p w14:paraId="1E765749" w14:textId="77777777" w:rsidR="003E78AB" w:rsidRDefault="00010BF9">
            <w:pPr>
              <w:pStyle w:val="aff6"/>
              <w:topLinePunct/>
            </w:pPr>
            <w:r>
              <w:t>0.0</w:t>
            </w:r>
          </w:p>
        </w:tc>
        <w:tc>
          <w:tcPr>
            <w:tcW w:w="1022" w:type="dxa"/>
            <w:vAlign w:val="center"/>
          </w:tcPr>
          <w:p w14:paraId="3CFF4DFB" w14:textId="77777777" w:rsidR="003E78AB" w:rsidRDefault="00010BF9">
            <w:pPr>
              <w:pStyle w:val="aff6"/>
              <w:topLinePunct/>
            </w:pPr>
            <w:r>
              <w:t>0.0</w:t>
            </w:r>
          </w:p>
        </w:tc>
        <w:tc>
          <w:tcPr>
            <w:tcW w:w="1023" w:type="dxa"/>
            <w:vAlign w:val="center"/>
          </w:tcPr>
          <w:p w14:paraId="295F7472" w14:textId="77777777" w:rsidR="003E78AB" w:rsidRDefault="00010BF9">
            <w:pPr>
              <w:pStyle w:val="aff6"/>
              <w:topLinePunct/>
            </w:pPr>
            <w:r>
              <w:t>0.0</w:t>
            </w:r>
          </w:p>
        </w:tc>
        <w:tc>
          <w:tcPr>
            <w:tcW w:w="1020" w:type="dxa"/>
            <w:vAlign w:val="center"/>
          </w:tcPr>
          <w:p w14:paraId="4E030039" w14:textId="77777777" w:rsidR="003E78AB" w:rsidRDefault="00010BF9">
            <w:pPr>
              <w:pStyle w:val="aff6"/>
              <w:topLinePunct/>
            </w:pPr>
            <w:r>
              <w:t>0.0</w:t>
            </w:r>
          </w:p>
        </w:tc>
        <w:tc>
          <w:tcPr>
            <w:tcW w:w="1020" w:type="dxa"/>
            <w:vAlign w:val="center"/>
          </w:tcPr>
          <w:p w14:paraId="642C5722" w14:textId="77777777" w:rsidR="003E78AB" w:rsidRDefault="00010BF9">
            <w:pPr>
              <w:pStyle w:val="aff6"/>
              <w:topLinePunct/>
            </w:pPr>
            <w:r>
              <w:t>0.0</w:t>
            </w:r>
          </w:p>
        </w:tc>
        <w:tc>
          <w:tcPr>
            <w:tcW w:w="1023" w:type="dxa"/>
            <w:vAlign w:val="center"/>
          </w:tcPr>
          <w:p w14:paraId="141797AF" w14:textId="77777777" w:rsidR="003E78AB" w:rsidRDefault="00010BF9">
            <w:pPr>
              <w:pStyle w:val="aff6"/>
              <w:topLinePunct/>
            </w:pPr>
            <w:r>
              <w:t>0.0</w:t>
            </w:r>
          </w:p>
        </w:tc>
        <w:tc>
          <w:tcPr>
            <w:tcW w:w="1020" w:type="dxa"/>
            <w:vAlign w:val="center"/>
          </w:tcPr>
          <w:p w14:paraId="6822D05D" w14:textId="77777777" w:rsidR="003E78AB" w:rsidRDefault="00010BF9">
            <w:pPr>
              <w:pStyle w:val="aff6"/>
              <w:topLinePunct/>
            </w:pPr>
            <w:r>
              <w:t>0.0</w:t>
            </w:r>
          </w:p>
        </w:tc>
        <w:tc>
          <w:tcPr>
            <w:tcW w:w="1022" w:type="dxa"/>
            <w:vAlign w:val="center"/>
          </w:tcPr>
          <w:p w14:paraId="1AA07E0B" w14:textId="77777777" w:rsidR="003E78AB" w:rsidRDefault="00010BF9">
            <w:pPr>
              <w:pStyle w:val="aff6"/>
              <w:topLinePunct/>
            </w:pPr>
            <w:r>
              <w:t>0.0</w:t>
            </w:r>
          </w:p>
        </w:tc>
        <w:tc>
          <w:tcPr>
            <w:tcW w:w="896" w:type="dxa"/>
            <w:vAlign w:val="center"/>
          </w:tcPr>
          <w:p w14:paraId="1A1021F2" w14:textId="77777777" w:rsidR="003E78AB" w:rsidRDefault="00010BF9">
            <w:pPr>
              <w:pStyle w:val="aff6"/>
              <w:topLinePunct/>
            </w:pPr>
            <w:r>
              <w:t>0.0</w:t>
            </w:r>
          </w:p>
        </w:tc>
        <w:tc>
          <w:tcPr>
            <w:tcW w:w="677" w:type="dxa"/>
            <w:vAlign w:val="center"/>
          </w:tcPr>
          <w:p w14:paraId="77F3125C" w14:textId="77777777" w:rsidR="003E78AB" w:rsidRDefault="00010BF9">
            <w:pPr>
              <w:pStyle w:val="aff6"/>
              <w:topLinePunct/>
            </w:pPr>
            <w:r>
              <w:t>0.0</w:t>
            </w:r>
          </w:p>
        </w:tc>
      </w:tr>
      <w:tr w:rsidR="003E78AB" w14:paraId="4452DF76" w14:textId="77777777">
        <w:trPr>
          <w:trHeight w:val="288"/>
        </w:trPr>
        <w:tc>
          <w:tcPr>
            <w:tcW w:w="1013" w:type="dxa"/>
            <w:vAlign w:val="center"/>
          </w:tcPr>
          <w:p w14:paraId="7AA5B7CD" w14:textId="77777777" w:rsidR="003E78AB" w:rsidRDefault="00010BF9">
            <w:pPr>
              <w:pStyle w:val="aff6"/>
              <w:topLinePunct/>
            </w:pPr>
            <w:r>
              <w:t>100</w:t>
            </w:r>
          </w:p>
        </w:tc>
        <w:tc>
          <w:tcPr>
            <w:tcW w:w="2185" w:type="dxa"/>
            <w:vAlign w:val="center"/>
          </w:tcPr>
          <w:p w14:paraId="42893267" w14:textId="77777777" w:rsidR="003E78AB" w:rsidRDefault="00010BF9">
            <w:pPr>
              <w:pStyle w:val="aff6"/>
              <w:topLinePunct/>
            </w:pPr>
            <w:r>
              <w:t>0.022251|2</w:t>
            </w:r>
          </w:p>
        </w:tc>
        <w:tc>
          <w:tcPr>
            <w:tcW w:w="1022" w:type="dxa"/>
            <w:vAlign w:val="center"/>
          </w:tcPr>
          <w:p w14:paraId="245F67DF" w14:textId="77777777" w:rsidR="003E78AB" w:rsidRDefault="00010BF9">
            <w:pPr>
              <w:pStyle w:val="aff6"/>
              <w:topLinePunct/>
            </w:pPr>
            <w:r>
              <w:t>0.0</w:t>
            </w:r>
          </w:p>
        </w:tc>
        <w:tc>
          <w:tcPr>
            <w:tcW w:w="1022" w:type="dxa"/>
            <w:vAlign w:val="center"/>
          </w:tcPr>
          <w:p w14:paraId="7B20904D" w14:textId="77777777" w:rsidR="003E78AB" w:rsidRDefault="00010BF9">
            <w:pPr>
              <w:pStyle w:val="aff6"/>
              <w:topLinePunct/>
            </w:pPr>
            <w:r>
              <w:t>0.022251</w:t>
            </w:r>
          </w:p>
        </w:tc>
        <w:tc>
          <w:tcPr>
            <w:tcW w:w="1022" w:type="dxa"/>
            <w:vAlign w:val="center"/>
          </w:tcPr>
          <w:p w14:paraId="2B4CE651" w14:textId="77777777" w:rsidR="003E78AB" w:rsidRDefault="00010BF9">
            <w:pPr>
              <w:pStyle w:val="aff6"/>
              <w:topLinePunct/>
            </w:pPr>
            <w:r>
              <w:t>0.022251</w:t>
            </w:r>
          </w:p>
        </w:tc>
        <w:tc>
          <w:tcPr>
            <w:tcW w:w="1023" w:type="dxa"/>
            <w:vAlign w:val="center"/>
          </w:tcPr>
          <w:p w14:paraId="402C6D25" w14:textId="77777777" w:rsidR="003E78AB" w:rsidRDefault="00010BF9">
            <w:pPr>
              <w:pStyle w:val="aff6"/>
              <w:topLinePunct/>
            </w:pPr>
            <w:r>
              <w:t>0.022251</w:t>
            </w:r>
          </w:p>
        </w:tc>
        <w:tc>
          <w:tcPr>
            <w:tcW w:w="1020" w:type="dxa"/>
            <w:vAlign w:val="center"/>
          </w:tcPr>
          <w:p w14:paraId="0363F55E" w14:textId="77777777" w:rsidR="003E78AB" w:rsidRDefault="00010BF9">
            <w:pPr>
              <w:pStyle w:val="aff6"/>
              <w:topLinePunct/>
            </w:pPr>
            <w:r>
              <w:t>0.0</w:t>
            </w:r>
          </w:p>
        </w:tc>
        <w:tc>
          <w:tcPr>
            <w:tcW w:w="1020" w:type="dxa"/>
            <w:vAlign w:val="center"/>
          </w:tcPr>
          <w:p w14:paraId="2CC8D138" w14:textId="77777777" w:rsidR="003E78AB" w:rsidRDefault="00010BF9">
            <w:pPr>
              <w:pStyle w:val="aff6"/>
              <w:topLinePunct/>
            </w:pPr>
            <w:r>
              <w:t>0.0</w:t>
            </w:r>
          </w:p>
        </w:tc>
        <w:tc>
          <w:tcPr>
            <w:tcW w:w="1023" w:type="dxa"/>
            <w:vAlign w:val="center"/>
          </w:tcPr>
          <w:p w14:paraId="2F0F226B" w14:textId="77777777" w:rsidR="003E78AB" w:rsidRDefault="00010BF9">
            <w:pPr>
              <w:pStyle w:val="aff6"/>
              <w:topLinePunct/>
            </w:pPr>
            <w:r>
              <w:t>0.0</w:t>
            </w:r>
          </w:p>
        </w:tc>
        <w:tc>
          <w:tcPr>
            <w:tcW w:w="1020" w:type="dxa"/>
            <w:vAlign w:val="center"/>
          </w:tcPr>
          <w:p w14:paraId="72A82AE0" w14:textId="77777777" w:rsidR="003E78AB" w:rsidRDefault="00010BF9">
            <w:pPr>
              <w:pStyle w:val="aff6"/>
              <w:topLinePunct/>
            </w:pPr>
            <w:r>
              <w:t>0.0</w:t>
            </w:r>
          </w:p>
        </w:tc>
        <w:tc>
          <w:tcPr>
            <w:tcW w:w="1022" w:type="dxa"/>
            <w:vAlign w:val="center"/>
          </w:tcPr>
          <w:p w14:paraId="3881C292" w14:textId="77777777" w:rsidR="003E78AB" w:rsidRDefault="00010BF9">
            <w:pPr>
              <w:pStyle w:val="aff6"/>
              <w:topLinePunct/>
            </w:pPr>
            <w:r>
              <w:t>0.0</w:t>
            </w:r>
          </w:p>
        </w:tc>
        <w:tc>
          <w:tcPr>
            <w:tcW w:w="896" w:type="dxa"/>
            <w:vAlign w:val="center"/>
          </w:tcPr>
          <w:p w14:paraId="651223CB" w14:textId="77777777" w:rsidR="003E78AB" w:rsidRDefault="00010BF9">
            <w:pPr>
              <w:pStyle w:val="aff6"/>
              <w:topLinePunct/>
            </w:pPr>
            <w:r>
              <w:t>0.0</w:t>
            </w:r>
          </w:p>
        </w:tc>
        <w:tc>
          <w:tcPr>
            <w:tcW w:w="677" w:type="dxa"/>
            <w:vAlign w:val="center"/>
          </w:tcPr>
          <w:p w14:paraId="03F40AE7" w14:textId="77777777" w:rsidR="003E78AB" w:rsidRDefault="00010BF9">
            <w:pPr>
              <w:pStyle w:val="aff6"/>
              <w:topLinePunct/>
            </w:pPr>
            <w:r>
              <w:t>0.0</w:t>
            </w:r>
          </w:p>
        </w:tc>
      </w:tr>
      <w:tr w:rsidR="003E78AB" w14:paraId="62EA6403" w14:textId="77777777">
        <w:trPr>
          <w:trHeight w:val="288"/>
        </w:trPr>
        <w:tc>
          <w:tcPr>
            <w:tcW w:w="1013" w:type="dxa"/>
            <w:vAlign w:val="center"/>
          </w:tcPr>
          <w:p w14:paraId="3A539DC4" w14:textId="77777777" w:rsidR="003E78AB" w:rsidRDefault="00010BF9">
            <w:pPr>
              <w:pStyle w:val="aff6"/>
              <w:topLinePunct/>
            </w:pPr>
            <w:r>
              <w:t>200</w:t>
            </w:r>
          </w:p>
        </w:tc>
        <w:tc>
          <w:tcPr>
            <w:tcW w:w="2185" w:type="dxa"/>
            <w:vAlign w:val="center"/>
          </w:tcPr>
          <w:p w14:paraId="34D83142" w14:textId="77777777" w:rsidR="003E78AB" w:rsidRDefault="00010BF9">
            <w:pPr>
              <w:pStyle w:val="aff6"/>
              <w:topLinePunct/>
            </w:pPr>
            <w:r>
              <w:t>0.538553|3</w:t>
            </w:r>
          </w:p>
        </w:tc>
        <w:tc>
          <w:tcPr>
            <w:tcW w:w="1022" w:type="dxa"/>
            <w:vAlign w:val="center"/>
          </w:tcPr>
          <w:p w14:paraId="64E68EA3" w14:textId="77777777" w:rsidR="003E78AB" w:rsidRDefault="00010BF9">
            <w:pPr>
              <w:pStyle w:val="aff6"/>
              <w:topLinePunct/>
            </w:pPr>
            <w:r>
              <w:t>0.0</w:t>
            </w:r>
          </w:p>
        </w:tc>
        <w:tc>
          <w:tcPr>
            <w:tcW w:w="1022" w:type="dxa"/>
            <w:vAlign w:val="center"/>
          </w:tcPr>
          <w:p w14:paraId="7BFADF00" w14:textId="77777777" w:rsidR="003E78AB" w:rsidRDefault="00010BF9">
            <w:pPr>
              <w:pStyle w:val="aff6"/>
              <w:topLinePunct/>
            </w:pPr>
            <w:r>
              <w:t>0.538553</w:t>
            </w:r>
          </w:p>
        </w:tc>
        <w:tc>
          <w:tcPr>
            <w:tcW w:w="1022" w:type="dxa"/>
            <w:vAlign w:val="center"/>
          </w:tcPr>
          <w:p w14:paraId="6249F065" w14:textId="77777777" w:rsidR="003E78AB" w:rsidRDefault="00010BF9">
            <w:pPr>
              <w:pStyle w:val="aff6"/>
              <w:topLinePunct/>
            </w:pPr>
            <w:r>
              <w:t>0.538553</w:t>
            </w:r>
          </w:p>
        </w:tc>
        <w:tc>
          <w:tcPr>
            <w:tcW w:w="1023" w:type="dxa"/>
            <w:vAlign w:val="center"/>
          </w:tcPr>
          <w:p w14:paraId="49983406" w14:textId="77777777" w:rsidR="003E78AB" w:rsidRDefault="00010BF9">
            <w:pPr>
              <w:pStyle w:val="aff6"/>
              <w:topLinePunct/>
            </w:pPr>
            <w:r>
              <w:t>0.538553</w:t>
            </w:r>
          </w:p>
        </w:tc>
        <w:tc>
          <w:tcPr>
            <w:tcW w:w="1020" w:type="dxa"/>
            <w:vAlign w:val="center"/>
          </w:tcPr>
          <w:p w14:paraId="6F10A225" w14:textId="77777777" w:rsidR="003E78AB" w:rsidRDefault="00010BF9">
            <w:pPr>
              <w:pStyle w:val="aff6"/>
              <w:topLinePunct/>
            </w:pPr>
            <w:r>
              <w:t>0.0</w:t>
            </w:r>
          </w:p>
        </w:tc>
        <w:tc>
          <w:tcPr>
            <w:tcW w:w="1020" w:type="dxa"/>
            <w:vAlign w:val="center"/>
          </w:tcPr>
          <w:p w14:paraId="6C2948B8" w14:textId="77777777" w:rsidR="003E78AB" w:rsidRDefault="00010BF9">
            <w:pPr>
              <w:pStyle w:val="aff6"/>
              <w:topLinePunct/>
            </w:pPr>
            <w:r>
              <w:t>0.0</w:t>
            </w:r>
          </w:p>
        </w:tc>
        <w:tc>
          <w:tcPr>
            <w:tcW w:w="1023" w:type="dxa"/>
            <w:vAlign w:val="center"/>
          </w:tcPr>
          <w:p w14:paraId="06D7AE9D" w14:textId="77777777" w:rsidR="003E78AB" w:rsidRDefault="00010BF9">
            <w:pPr>
              <w:pStyle w:val="aff6"/>
              <w:topLinePunct/>
            </w:pPr>
            <w:r>
              <w:t>0.0</w:t>
            </w:r>
          </w:p>
        </w:tc>
        <w:tc>
          <w:tcPr>
            <w:tcW w:w="1020" w:type="dxa"/>
            <w:vAlign w:val="center"/>
          </w:tcPr>
          <w:p w14:paraId="1B526294" w14:textId="77777777" w:rsidR="003E78AB" w:rsidRDefault="00010BF9">
            <w:pPr>
              <w:pStyle w:val="aff6"/>
              <w:topLinePunct/>
            </w:pPr>
            <w:r>
              <w:t>0.0</w:t>
            </w:r>
          </w:p>
        </w:tc>
        <w:tc>
          <w:tcPr>
            <w:tcW w:w="1022" w:type="dxa"/>
            <w:vAlign w:val="center"/>
          </w:tcPr>
          <w:p w14:paraId="429C7B51" w14:textId="77777777" w:rsidR="003E78AB" w:rsidRDefault="00010BF9">
            <w:pPr>
              <w:pStyle w:val="aff6"/>
              <w:topLinePunct/>
            </w:pPr>
            <w:r>
              <w:t>0.0</w:t>
            </w:r>
          </w:p>
        </w:tc>
        <w:tc>
          <w:tcPr>
            <w:tcW w:w="896" w:type="dxa"/>
            <w:vAlign w:val="center"/>
          </w:tcPr>
          <w:p w14:paraId="0833AB12" w14:textId="77777777" w:rsidR="003E78AB" w:rsidRDefault="00010BF9">
            <w:pPr>
              <w:pStyle w:val="aff6"/>
              <w:topLinePunct/>
            </w:pPr>
            <w:r>
              <w:t>0.0</w:t>
            </w:r>
          </w:p>
        </w:tc>
        <w:tc>
          <w:tcPr>
            <w:tcW w:w="677" w:type="dxa"/>
            <w:vAlign w:val="center"/>
          </w:tcPr>
          <w:p w14:paraId="41368072" w14:textId="77777777" w:rsidR="003E78AB" w:rsidRDefault="00010BF9">
            <w:pPr>
              <w:pStyle w:val="aff6"/>
              <w:topLinePunct/>
            </w:pPr>
            <w:r>
              <w:t>0.0</w:t>
            </w:r>
          </w:p>
        </w:tc>
      </w:tr>
      <w:tr w:rsidR="003E78AB" w14:paraId="0994DA0E" w14:textId="77777777">
        <w:trPr>
          <w:trHeight w:val="244"/>
        </w:trPr>
        <w:tc>
          <w:tcPr>
            <w:tcW w:w="1013" w:type="dxa"/>
            <w:vAlign w:val="center"/>
          </w:tcPr>
          <w:p w14:paraId="550BB5AF" w14:textId="77777777" w:rsidR="003E78AB" w:rsidRDefault="00010BF9">
            <w:pPr>
              <w:pStyle w:val="aff6"/>
              <w:topLinePunct/>
            </w:pPr>
            <w:r>
              <w:t>300</w:t>
            </w:r>
          </w:p>
        </w:tc>
        <w:tc>
          <w:tcPr>
            <w:tcW w:w="2185" w:type="dxa"/>
            <w:vAlign w:val="center"/>
          </w:tcPr>
          <w:p w14:paraId="3D45D84F" w14:textId="77777777" w:rsidR="003E78AB" w:rsidRDefault="00010BF9">
            <w:pPr>
              <w:pStyle w:val="aff6"/>
              <w:topLinePunct/>
            </w:pPr>
            <w:r>
              <w:t>0.777539|4</w:t>
            </w:r>
          </w:p>
        </w:tc>
        <w:tc>
          <w:tcPr>
            <w:tcW w:w="1022" w:type="dxa"/>
            <w:vAlign w:val="center"/>
          </w:tcPr>
          <w:p w14:paraId="3B883175" w14:textId="77777777" w:rsidR="003E78AB" w:rsidRDefault="00010BF9">
            <w:pPr>
              <w:pStyle w:val="aff6"/>
              <w:topLinePunct/>
            </w:pPr>
            <w:r>
              <w:t>0.0</w:t>
            </w:r>
          </w:p>
        </w:tc>
        <w:tc>
          <w:tcPr>
            <w:tcW w:w="1022" w:type="dxa"/>
            <w:vAlign w:val="center"/>
          </w:tcPr>
          <w:p w14:paraId="72DE1869" w14:textId="77777777" w:rsidR="003E78AB" w:rsidRDefault="00010BF9">
            <w:pPr>
              <w:pStyle w:val="aff6"/>
              <w:topLinePunct/>
            </w:pPr>
            <w:r>
              <w:t>0.777539</w:t>
            </w:r>
          </w:p>
        </w:tc>
        <w:tc>
          <w:tcPr>
            <w:tcW w:w="1022" w:type="dxa"/>
            <w:vAlign w:val="center"/>
          </w:tcPr>
          <w:p w14:paraId="4D5B7C37" w14:textId="77777777" w:rsidR="003E78AB" w:rsidRDefault="00010BF9">
            <w:pPr>
              <w:pStyle w:val="aff6"/>
              <w:topLinePunct/>
            </w:pPr>
            <w:r>
              <w:t>0.777539</w:t>
            </w:r>
          </w:p>
        </w:tc>
        <w:tc>
          <w:tcPr>
            <w:tcW w:w="1023" w:type="dxa"/>
            <w:vAlign w:val="center"/>
          </w:tcPr>
          <w:p w14:paraId="49B91E6D" w14:textId="77777777" w:rsidR="003E78AB" w:rsidRDefault="00010BF9">
            <w:pPr>
              <w:pStyle w:val="aff6"/>
              <w:topLinePunct/>
            </w:pPr>
            <w:r>
              <w:t>0.777539</w:t>
            </w:r>
          </w:p>
        </w:tc>
        <w:tc>
          <w:tcPr>
            <w:tcW w:w="1020" w:type="dxa"/>
            <w:vAlign w:val="center"/>
          </w:tcPr>
          <w:p w14:paraId="5DD10A45" w14:textId="77777777" w:rsidR="003E78AB" w:rsidRDefault="00010BF9">
            <w:pPr>
              <w:pStyle w:val="aff6"/>
              <w:topLinePunct/>
            </w:pPr>
            <w:r>
              <w:t>0.0</w:t>
            </w:r>
          </w:p>
        </w:tc>
        <w:tc>
          <w:tcPr>
            <w:tcW w:w="1020" w:type="dxa"/>
            <w:vAlign w:val="center"/>
          </w:tcPr>
          <w:p w14:paraId="3783EEA1" w14:textId="77777777" w:rsidR="003E78AB" w:rsidRDefault="00010BF9">
            <w:pPr>
              <w:pStyle w:val="aff6"/>
              <w:topLinePunct/>
            </w:pPr>
            <w:r>
              <w:t>0.0</w:t>
            </w:r>
          </w:p>
        </w:tc>
        <w:tc>
          <w:tcPr>
            <w:tcW w:w="1023" w:type="dxa"/>
            <w:vAlign w:val="center"/>
          </w:tcPr>
          <w:p w14:paraId="5B66701A" w14:textId="77777777" w:rsidR="003E78AB" w:rsidRDefault="00010BF9">
            <w:pPr>
              <w:pStyle w:val="aff6"/>
              <w:topLinePunct/>
            </w:pPr>
            <w:r>
              <w:t>0.0</w:t>
            </w:r>
          </w:p>
        </w:tc>
        <w:tc>
          <w:tcPr>
            <w:tcW w:w="1020" w:type="dxa"/>
            <w:vAlign w:val="center"/>
          </w:tcPr>
          <w:p w14:paraId="03E77894" w14:textId="77777777" w:rsidR="003E78AB" w:rsidRDefault="00010BF9">
            <w:pPr>
              <w:pStyle w:val="aff6"/>
              <w:topLinePunct/>
            </w:pPr>
            <w:r>
              <w:t>0.0</w:t>
            </w:r>
          </w:p>
        </w:tc>
        <w:tc>
          <w:tcPr>
            <w:tcW w:w="1022" w:type="dxa"/>
            <w:vAlign w:val="center"/>
          </w:tcPr>
          <w:p w14:paraId="62098527" w14:textId="77777777" w:rsidR="003E78AB" w:rsidRDefault="00010BF9">
            <w:pPr>
              <w:pStyle w:val="aff6"/>
              <w:topLinePunct/>
            </w:pPr>
            <w:r>
              <w:t>0.0</w:t>
            </w:r>
          </w:p>
        </w:tc>
        <w:tc>
          <w:tcPr>
            <w:tcW w:w="896" w:type="dxa"/>
            <w:vAlign w:val="center"/>
          </w:tcPr>
          <w:p w14:paraId="22461CA2" w14:textId="77777777" w:rsidR="003E78AB" w:rsidRDefault="00010BF9">
            <w:pPr>
              <w:pStyle w:val="aff6"/>
              <w:topLinePunct/>
            </w:pPr>
            <w:r>
              <w:t>0.0</w:t>
            </w:r>
          </w:p>
        </w:tc>
        <w:tc>
          <w:tcPr>
            <w:tcW w:w="677" w:type="dxa"/>
            <w:vAlign w:val="center"/>
          </w:tcPr>
          <w:p w14:paraId="76C5492A" w14:textId="77777777" w:rsidR="003E78AB" w:rsidRDefault="00010BF9">
            <w:pPr>
              <w:pStyle w:val="aff6"/>
              <w:topLinePunct/>
            </w:pPr>
            <w:r>
              <w:t>0.0</w:t>
            </w:r>
          </w:p>
        </w:tc>
      </w:tr>
      <w:tr w:rsidR="003E78AB" w14:paraId="1300CBAC" w14:textId="77777777">
        <w:trPr>
          <w:trHeight w:val="290"/>
        </w:trPr>
        <w:tc>
          <w:tcPr>
            <w:tcW w:w="1013" w:type="dxa"/>
            <w:vAlign w:val="center"/>
          </w:tcPr>
          <w:p w14:paraId="2E7E0010" w14:textId="77777777" w:rsidR="003E78AB" w:rsidRDefault="00010BF9">
            <w:pPr>
              <w:pStyle w:val="aff6"/>
              <w:topLinePunct/>
            </w:pPr>
            <w:r>
              <w:t>400</w:t>
            </w:r>
          </w:p>
        </w:tc>
        <w:tc>
          <w:tcPr>
            <w:tcW w:w="2185" w:type="dxa"/>
            <w:vAlign w:val="center"/>
          </w:tcPr>
          <w:p w14:paraId="32D52966" w14:textId="77777777" w:rsidR="003E78AB" w:rsidRDefault="00010BF9">
            <w:pPr>
              <w:pStyle w:val="aff6"/>
              <w:topLinePunct/>
            </w:pPr>
            <w:r>
              <w:t>0.737315|5</w:t>
            </w:r>
          </w:p>
        </w:tc>
        <w:tc>
          <w:tcPr>
            <w:tcW w:w="1022" w:type="dxa"/>
            <w:vAlign w:val="center"/>
          </w:tcPr>
          <w:p w14:paraId="36A201C0" w14:textId="77777777" w:rsidR="003E78AB" w:rsidRDefault="00010BF9">
            <w:pPr>
              <w:pStyle w:val="aff6"/>
              <w:topLinePunct/>
            </w:pPr>
            <w:r>
              <w:t>0.0</w:t>
            </w:r>
          </w:p>
        </w:tc>
        <w:tc>
          <w:tcPr>
            <w:tcW w:w="1022" w:type="dxa"/>
            <w:vAlign w:val="center"/>
          </w:tcPr>
          <w:p w14:paraId="0029F879" w14:textId="77777777" w:rsidR="003E78AB" w:rsidRDefault="00010BF9">
            <w:pPr>
              <w:pStyle w:val="aff6"/>
              <w:topLinePunct/>
            </w:pPr>
            <w:r>
              <w:t>0.737315</w:t>
            </w:r>
          </w:p>
        </w:tc>
        <w:tc>
          <w:tcPr>
            <w:tcW w:w="1022" w:type="dxa"/>
            <w:vAlign w:val="center"/>
          </w:tcPr>
          <w:p w14:paraId="652DE5A3" w14:textId="77777777" w:rsidR="003E78AB" w:rsidRDefault="00010BF9">
            <w:pPr>
              <w:pStyle w:val="aff6"/>
              <w:topLinePunct/>
            </w:pPr>
            <w:r>
              <w:t>0.737315</w:t>
            </w:r>
          </w:p>
        </w:tc>
        <w:tc>
          <w:tcPr>
            <w:tcW w:w="1023" w:type="dxa"/>
            <w:vAlign w:val="center"/>
          </w:tcPr>
          <w:p w14:paraId="2CCF9A73" w14:textId="77777777" w:rsidR="003E78AB" w:rsidRDefault="00010BF9">
            <w:pPr>
              <w:pStyle w:val="aff6"/>
              <w:topLinePunct/>
            </w:pPr>
            <w:r>
              <w:t>0.737315</w:t>
            </w:r>
          </w:p>
        </w:tc>
        <w:tc>
          <w:tcPr>
            <w:tcW w:w="1020" w:type="dxa"/>
            <w:vAlign w:val="center"/>
          </w:tcPr>
          <w:p w14:paraId="3364F5C9" w14:textId="77777777" w:rsidR="003E78AB" w:rsidRDefault="00010BF9">
            <w:pPr>
              <w:pStyle w:val="aff6"/>
              <w:topLinePunct/>
            </w:pPr>
            <w:r>
              <w:t>0.000437</w:t>
            </w:r>
          </w:p>
        </w:tc>
        <w:tc>
          <w:tcPr>
            <w:tcW w:w="1020" w:type="dxa"/>
            <w:vAlign w:val="center"/>
          </w:tcPr>
          <w:p w14:paraId="4335E8DA" w14:textId="77777777" w:rsidR="003E78AB" w:rsidRDefault="00010BF9">
            <w:pPr>
              <w:pStyle w:val="aff6"/>
              <w:topLinePunct/>
            </w:pPr>
            <w:r>
              <w:t>0.0</w:t>
            </w:r>
          </w:p>
        </w:tc>
        <w:tc>
          <w:tcPr>
            <w:tcW w:w="1023" w:type="dxa"/>
            <w:vAlign w:val="center"/>
          </w:tcPr>
          <w:p w14:paraId="0632BBF4" w14:textId="77777777" w:rsidR="003E78AB" w:rsidRDefault="00010BF9">
            <w:pPr>
              <w:pStyle w:val="aff6"/>
              <w:topLinePunct/>
            </w:pPr>
            <w:r>
              <w:t>0.0</w:t>
            </w:r>
          </w:p>
        </w:tc>
        <w:tc>
          <w:tcPr>
            <w:tcW w:w="1020" w:type="dxa"/>
            <w:vAlign w:val="center"/>
          </w:tcPr>
          <w:p w14:paraId="6361416D" w14:textId="77777777" w:rsidR="003E78AB" w:rsidRDefault="00010BF9">
            <w:pPr>
              <w:pStyle w:val="aff6"/>
              <w:topLinePunct/>
            </w:pPr>
            <w:r>
              <w:t>0.0</w:t>
            </w:r>
          </w:p>
        </w:tc>
        <w:tc>
          <w:tcPr>
            <w:tcW w:w="1022" w:type="dxa"/>
            <w:vAlign w:val="center"/>
          </w:tcPr>
          <w:p w14:paraId="2517DEDF" w14:textId="77777777" w:rsidR="003E78AB" w:rsidRDefault="00010BF9">
            <w:pPr>
              <w:pStyle w:val="aff6"/>
              <w:topLinePunct/>
            </w:pPr>
            <w:r>
              <w:t>0.0</w:t>
            </w:r>
          </w:p>
        </w:tc>
        <w:tc>
          <w:tcPr>
            <w:tcW w:w="896" w:type="dxa"/>
            <w:vAlign w:val="center"/>
          </w:tcPr>
          <w:p w14:paraId="1FCDD68C" w14:textId="77777777" w:rsidR="003E78AB" w:rsidRDefault="00010BF9">
            <w:pPr>
              <w:pStyle w:val="aff6"/>
              <w:topLinePunct/>
            </w:pPr>
            <w:r>
              <w:t>0.0</w:t>
            </w:r>
          </w:p>
        </w:tc>
        <w:tc>
          <w:tcPr>
            <w:tcW w:w="677" w:type="dxa"/>
            <w:vAlign w:val="center"/>
          </w:tcPr>
          <w:p w14:paraId="36AC81EA" w14:textId="77777777" w:rsidR="003E78AB" w:rsidRDefault="00010BF9">
            <w:pPr>
              <w:pStyle w:val="aff6"/>
              <w:topLinePunct/>
            </w:pPr>
            <w:r>
              <w:t>0.0</w:t>
            </w:r>
          </w:p>
        </w:tc>
      </w:tr>
      <w:tr w:rsidR="003E78AB" w14:paraId="297131D2" w14:textId="77777777">
        <w:trPr>
          <w:trHeight w:val="288"/>
        </w:trPr>
        <w:tc>
          <w:tcPr>
            <w:tcW w:w="1013" w:type="dxa"/>
            <w:vAlign w:val="center"/>
          </w:tcPr>
          <w:p w14:paraId="20923AE9" w14:textId="77777777" w:rsidR="003E78AB" w:rsidRDefault="00010BF9">
            <w:pPr>
              <w:pStyle w:val="aff6"/>
              <w:topLinePunct/>
            </w:pPr>
            <w:r>
              <w:t>500</w:t>
            </w:r>
          </w:p>
        </w:tc>
        <w:tc>
          <w:tcPr>
            <w:tcW w:w="2185" w:type="dxa"/>
            <w:vAlign w:val="center"/>
          </w:tcPr>
          <w:p w14:paraId="24EAC3AE" w14:textId="77777777" w:rsidR="003E78AB" w:rsidRDefault="00010BF9">
            <w:pPr>
              <w:pStyle w:val="aff6"/>
              <w:topLinePunct/>
            </w:pPr>
            <w:r>
              <w:t>0.633741|6</w:t>
            </w:r>
          </w:p>
        </w:tc>
        <w:tc>
          <w:tcPr>
            <w:tcW w:w="1022" w:type="dxa"/>
            <w:vAlign w:val="center"/>
          </w:tcPr>
          <w:p w14:paraId="5D61A52E" w14:textId="77777777" w:rsidR="003E78AB" w:rsidRDefault="00010BF9">
            <w:pPr>
              <w:pStyle w:val="aff6"/>
              <w:topLinePunct/>
            </w:pPr>
            <w:r>
              <w:t>0.0</w:t>
            </w:r>
          </w:p>
        </w:tc>
        <w:tc>
          <w:tcPr>
            <w:tcW w:w="1022" w:type="dxa"/>
            <w:vAlign w:val="center"/>
          </w:tcPr>
          <w:p w14:paraId="060AADAE" w14:textId="77777777" w:rsidR="003E78AB" w:rsidRDefault="00010BF9">
            <w:pPr>
              <w:pStyle w:val="aff6"/>
              <w:topLinePunct/>
            </w:pPr>
            <w:r>
              <w:t>0.0</w:t>
            </w:r>
          </w:p>
        </w:tc>
        <w:tc>
          <w:tcPr>
            <w:tcW w:w="1022" w:type="dxa"/>
            <w:vAlign w:val="center"/>
          </w:tcPr>
          <w:p w14:paraId="62B5A920" w14:textId="77777777" w:rsidR="003E78AB" w:rsidRDefault="00010BF9">
            <w:pPr>
              <w:pStyle w:val="aff6"/>
              <w:topLinePunct/>
            </w:pPr>
            <w:r>
              <w:t>0.633741</w:t>
            </w:r>
          </w:p>
        </w:tc>
        <w:tc>
          <w:tcPr>
            <w:tcW w:w="1023" w:type="dxa"/>
            <w:vAlign w:val="center"/>
          </w:tcPr>
          <w:p w14:paraId="6E262450" w14:textId="77777777" w:rsidR="003E78AB" w:rsidRDefault="00010BF9">
            <w:pPr>
              <w:pStyle w:val="aff6"/>
              <w:topLinePunct/>
            </w:pPr>
            <w:r>
              <w:t>0.633741</w:t>
            </w:r>
          </w:p>
        </w:tc>
        <w:tc>
          <w:tcPr>
            <w:tcW w:w="1020" w:type="dxa"/>
            <w:vAlign w:val="center"/>
          </w:tcPr>
          <w:p w14:paraId="484BFC49" w14:textId="77777777" w:rsidR="003E78AB" w:rsidRDefault="00010BF9">
            <w:pPr>
              <w:pStyle w:val="aff6"/>
              <w:topLinePunct/>
            </w:pPr>
            <w:r>
              <w:t>0.632926</w:t>
            </w:r>
          </w:p>
        </w:tc>
        <w:tc>
          <w:tcPr>
            <w:tcW w:w="1020" w:type="dxa"/>
            <w:vAlign w:val="center"/>
          </w:tcPr>
          <w:p w14:paraId="261A53AA" w14:textId="77777777" w:rsidR="003E78AB" w:rsidRDefault="00010BF9">
            <w:pPr>
              <w:pStyle w:val="aff6"/>
              <w:topLinePunct/>
            </w:pPr>
            <w:r>
              <w:t>0.0</w:t>
            </w:r>
          </w:p>
        </w:tc>
        <w:tc>
          <w:tcPr>
            <w:tcW w:w="1023" w:type="dxa"/>
            <w:vAlign w:val="center"/>
          </w:tcPr>
          <w:p w14:paraId="5B085DC0" w14:textId="77777777" w:rsidR="003E78AB" w:rsidRDefault="00010BF9">
            <w:pPr>
              <w:pStyle w:val="aff6"/>
              <w:topLinePunct/>
            </w:pPr>
            <w:r>
              <w:t>0.0</w:t>
            </w:r>
          </w:p>
        </w:tc>
        <w:tc>
          <w:tcPr>
            <w:tcW w:w="1020" w:type="dxa"/>
            <w:vAlign w:val="center"/>
          </w:tcPr>
          <w:p w14:paraId="6B01630B" w14:textId="77777777" w:rsidR="003E78AB" w:rsidRDefault="00010BF9">
            <w:pPr>
              <w:pStyle w:val="aff6"/>
              <w:topLinePunct/>
            </w:pPr>
            <w:r>
              <w:t>0.0</w:t>
            </w:r>
          </w:p>
        </w:tc>
        <w:tc>
          <w:tcPr>
            <w:tcW w:w="1022" w:type="dxa"/>
            <w:vAlign w:val="center"/>
          </w:tcPr>
          <w:p w14:paraId="2F418419" w14:textId="77777777" w:rsidR="003E78AB" w:rsidRDefault="00010BF9">
            <w:pPr>
              <w:pStyle w:val="aff6"/>
              <w:topLinePunct/>
            </w:pPr>
            <w:r>
              <w:t>0.0</w:t>
            </w:r>
          </w:p>
        </w:tc>
        <w:tc>
          <w:tcPr>
            <w:tcW w:w="896" w:type="dxa"/>
            <w:vAlign w:val="center"/>
          </w:tcPr>
          <w:p w14:paraId="7F758A85" w14:textId="77777777" w:rsidR="003E78AB" w:rsidRDefault="00010BF9">
            <w:pPr>
              <w:pStyle w:val="aff6"/>
              <w:topLinePunct/>
            </w:pPr>
            <w:r>
              <w:t>0.0</w:t>
            </w:r>
          </w:p>
        </w:tc>
        <w:tc>
          <w:tcPr>
            <w:tcW w:w="677" w:type="dxa"/>
            <w:vAlign w:val="center"/>
          </w:tcPr>
          <w:p w14:paraId="5B500F8B" w14:textId="77777777" w:rsidR="003E78AB" w:rsidRDefault="00010BF9">
            <w:pPr>
              <w:pStyle w:val="aff6"/>
              <w:topLinePunct/>
            </w:pPr>
            <w:r>
              <w:t>0.0</w:t>
            </w:r>
          </w:p>
        </w:tc>
      </w:tr>
      <w:tr w:rsidR="003E78AB" w14:paraId="022E055F" w14:textId="77777777">
        <w:trPr>
          <w:trHeight w:val="287"/>
        </w:trPr>
        <w:tc>
          <w:tcPr>
            <w:tcW w:w="1013" w:type="dxa"/>
            <w:vAlign w:val="center"/>
          </w:tcPr>
          <w:p w14:paraId="76911576" w14:textId="77777777" w:rsidR="003E78AB" w:rsidRDefault="00010BF9">
            <w:pPr>
              <w:pStyle w:val="aff6"/>
              <w:topLinePunct/>
            </w:pPr>
            <w:r>
              <w:t>600</w:t>
            </w:r>
          </w:p>
        </w:tc>
        <w:tc>
          <w:tcPr>
            <w:tcW w:w="2185" w:type="dxa"/>
            <w:vAlign w:val="center"/>
          </w:tcPr>
          <w:p w14:paraId="36F13758" w14:textId="77777777" w:rsidR="003E78AB" w:rsidRDefault="00010BF9">
            <w:pPr>
              <w:pStyle w:val="aff6"/>
              <w:topLinePunct/>
            </w:pPr>
            <w:r>
              <w:t>0.532904|7</w:t>
            </w:r>
          </w:p>
        </w:tc>
        <w:tc>
          <w:tcPr>
            <w:tcW w:w="1022" w:type="dxa"/>
            <w:vAlign w:val="center"/>
          </w:tcPr>
          <w:p w14:paraId="5EE4FEF6" w14:textId="77777777" w:rsidR="003E78AB" w:rsidRDefault="00010BF9">
            <w:pPr>
              <w:pStyle w:val="aff6"/>
              <w:topLinePunct/>
            </w:pPr>
            <w:r>
              <w:t>0.0</w:t>
            </w:r>
          </w:p>
        </w:tc>
        <w:tc>
          <w:tcPr>
            <w:tcW w:w="1022" w:type="dxa"/>
            <w:vAlign w:val="center"/>
          </w:tcPr>
          <w:p w14:paraId="121614F6" w14:textId="77777777" w:rsidR="003E78AB" w:rsidRDefault="00010BF9">
            <w:pPr>
              <w:pStyle w:val="aff6"/>
              <w:topLinePunct/>
            </w:pPr>
            <w:r>
              <w:t>0.0</w:t>
            </w:r>
          </w:p>
        </w:tc>
        <w:tc>
          <w:tcPr>
            <w:tcW w:w="1022" w:type="dxa"/>
            <w:vAlign w:val="center"/>
          </w:tcPr>
          <w:p w14:paraId="742EE2ED" w14:textId="77777777" w:rsidR="003E78AB" w:rsidRDefault="00010BF9">
            <w:pPr>
              <w:pStyle w:val="aff6"/>
              <w:topLinePunct/>
            </w:pPr>
            <w:r>
              <w:t>0.532904</w:t>
            </w:r>
          </w:p>
        </w:tc>
        <w:tc>
          <w:tcPr>
            <w:tcW w:w="1023" w:type="dxa"/>
            <w:vAlign w:val="center"/>
          </w:tcPr>
          <w:p w14:paraId="45C49BD4" w14:textId="77777777" w:rsidR="003E78AB" w:rsidRDefault="00010BF9">
            <w:pPr>
              <w:pStyle w:val="aff6"/>
              <w:topLinePunct/>
            </w:pPr>
            <w:r>
              <w:t>0.532904</w:t>
            </w:r>
          </w:p>
        </w:tc>
        <w:tc>
          <w:tcPr>
            <w:tcW w:w="1020" w:type="dxa"/>
            <w:vAlign w:val="center"/>
          </w:tcPr>
          <w:p w14:paraId="229AE610" w14:textId="77777777" w:rsidR="003E78AB" w:rsidRDefault="00010BF9">
            <w:pPr>
              <w:pStyle w:val="aff6"/>
              <w:topLinePunct/>
            </w:pPr>
            <w:r>
              <w:t>0.53287</w:t>
            </w:r>
          </w:p>
        </w:tc>
        <w:tc>
          <w:tcPr>
            <w:tcW w:w="1020" w:type="dxa"/>
            <w:vAlign w:val="center"/>
          </w:tcPr>
          <w:p w14:paraId="2B78C9AF" w14:textId="77777777" w:rsidR="003E78AB" w:rsidRDefault="00010BF9">
            <w:pPr>
              <w:pStyle w:val="aff6"/>
              <w:topLinePunct/>
            </w:pPr>
            <w:r>
              <w:t>0.0</w:t>
            </w:r>
          </w:p>
        </w:tc>
        <w:tc>
          <w:tcPr>
            <w:tcW w:w="1023" w:type="dxa"/>
            <w:vAlign w:val="center"/>
          </w:tcPr>
          <w:p w14:paraId="53DDF831" w14:textId="77777777" w:rsidR="003E78AB" w:rsidRDefault="00010BF9">
            <w:pPr>
              <w:pStyle w:val="aff6"/>
              <w:topLinePunct/>
            </w:pPr>
            <w:r>
              <w:t>0.0</w:t>
            </w:r>
          </w:p>
        </w:tc>
        <w:tc>
          <w:tcPr>
            <w:tcW w:w="1020" w:type="dxa"/>
            <w:vAlign w:val="center"/>
          </w:tcPr>
          <w:p w14:paraId="058763CB" w14:textId="77777777" w:rsidR="003E78AB" w:rsidRDefault="00010BF9">
            <w:pPr>
              <w:pStyle w:val="aff6"/>
              <w:topLinePunct/>
            </w:pPr>
            <w:r>
              <w:t>0.0</w:t>
            </w:r>
          </w:p>
        </w:tc>
        <w:tc>
          <w:tcPr>
            <w:tcW w:w="1022" w:type="dxa"/>
            <w:vAlign w:val="center"/>
          </w:tcPr>
          <w:p w14:paraId="360C1D1E" w14:textId="77777777" w:rsidR="003E78AB" w:rsidRDefault="00010BF9">
            <w:pPr>
              <w:pStyle w:val="aff6"/>
              <w:topLinePunct/>
            </w:pPr>
            <w:r>
              <w:t>0.0</w:t>
            </w:r>
          </w:p>
        </w:tc>
        <w:tc>
          <w:tcPr>
            <w:tcW w:w="896" w:type="dxa"/>
            <w:vAlign w:val="center"/>
          </w:tcPr>
          <w:p w14:paraId="09C5CE7C" w14:textId="77777777" w:rsidR="003E78AB" w:rsidRDefault="00010BF9">
            <w:pPr>
              <w:pStyle w:val="aff6"/>
              <w:topLinePunct/>
            </w:pPr>
            <w:r>
              <w:t>0.0</w:t>
            </w:r>
          </w:p>
        </w:tc>
        <w:tc>
          <w:tcPr>
            <w:tcW w:w="677" w:type="dxa"/>
            <w:vAlign w:val="center"/>
          </w:tcPr>
          <w:p w14:paraId="048F2293" w14:textId="77777777" w:rsidR="003E78AB" w:rsidRDefault="00010BF9">
            <w:pPr>
              <w:pStyle w:val="aff6"/>
              <w:topLinePunct/>
            </w:pPr>
            <w:r>
              <w:t>0.0</w:t>
            </w:r>
          </w:p>
        </w:tc>
      </w:tr>
      <w:tr w:rsidR="003E78AB" w14:paraId="3D22F29E" w14:textId="77777777">
        <w:trPr>
          <w:trHeight w:val="288"/>
        </w:trPr>
        <w:tc>
          <w:tcPr>
            <w:tcW w:w="1013" w:type="dxa"/>
            <w:vAlign w:val="center"/>
          </w:tcPr>
          <w:p w14:paraId="3A90C82E" w14:textId="77777777" w:rsidR="003E78AB" w:rsidRDefault="00010BF9">
            <w:pPr>
              <w:pStyle w:val="aff6"/>
              <w:topLinePunct/>
            </w:pPr>
            <w:r>
              <w:t>700</w:t>
            </w:r>
          </w:p>
        </w:tc>
        <w:tc>
          <w:tcPr>
            <w:tcW w:w="2185" w:type="dxa"/>
            <w:vAlign w:val="center"/>
          </w:tcPr>
          <w:p w14:paraId="5F5C6F2B" w14:textId="77777777" w:rsidR="003E78AB" w:rsidRDefault="00010BF9">
            <w:pPr>
              <w:pStyle w:val="aff6"/>
              <w:topLinePunct/>
            </w:pPr>
            <w:r>
              <w:t>0.448473|8</w:t>
            </w:r>
          </w:p>
        </w:tc>
        <w:tc>
          <w:tcPr>
            <w:tcW w:w="1022" w:type="dxa"/>
            <w:vAlign w:val="center"/>
          </w:tcPr>
          <w:p w14:paraId="7821A906" w14:textId="77777777" w:rsidR="003E78AB" w:rsidRDefault="00010BF9">
            <w:pPr>
              <w:pStyle w:val="aff6"/>
              <w:topLinePunct/>
            </w:pPr>
            <w:r>
              <w:t>0.0</w:t>
            </w:r>
          </w:p>
        </w:tc>
        <w:tc>
          <w:tcPr>
            <w:tcW w:w="1022" w:type="dxa"/>
            <w:vAlign w:val="center"/>
          </w:tcPr>
          <w:p w14:paraId="3E5E344E" w14:textId="77777777" w:rsidR="003E78AB" w:rsidRDefault="00010BF9">
            <w:pPr>
              <w:pStyle w:val="aff6"/>
              <w:topLinePunct/>
            </w:pPr>
            <w:r>
              <w:t>0.0</w:t>
            </w:r>
          </w:p>
        </w:tc>
        <w:tc>
          <w:tcPr>
            <w:tcW w:w="1022" w:type="dxa"/>
            <w:vAlign w:val="center"/>
          </w:tcPr>
          <w:p w14:paraId="3F09682E" w14:textId="77777777" w:rsidR="003E78AB" w:rsidRDefault="00010BF9">
            <w:pPr>
              <w:pStyle w:val="aff6"/>
              <w:topLinePunct/>
            </w:pPr>
            <w:r>
              <w:t>0.448473</w:t>
            </w:r>
          </w:p>
        </w:tc>
        <w:tc>
          <w:tcPr>
            <w:tcW w:w="1023" w:type="dxa"/>
            <w:vAlign w:val="center"/>
          </w:tcPr>
          <w:p w14:paraId="66EE905D" w14:textId="77777777" w:rsidR="003E78AB" w:rsidRDefault="00010BF9">
            <w:pPr>
              <w:pStyle w:val="aff6"/>
              <w:topLinePunct/>
            </w:pPr>
            <w:r>
              <w:t>0.448473</w:t>
            </w:r>
          </w:p>
        </w:tc>
        <w:tc>
          <w:tcPr>
            <w:tcW w:w="1020" w:type="dxa"/>
            <w:vAlign w:val="center"/>
          </w:tcPr>
          <w:p w14:paraId="69252FF3" w14:textId="77777777" w:rsidR="003E78AB" w:rsidRDefault="00010BF9">
            <w:pPr>
              <w:pStyle w:val="aff6"/>
              <w:topLinePunct/>
            </w:pPr>
            <w:r>
              <w:t>0.448451</w:t>
            </w:r>
          </w:p>
        </w:tc>
        <w:tc>
          <w:tcPr>
            <w:tcW w:w="1020" w:type="dxa"/>
            <w:vAlign w:val="center"/>
          </w:tcPr>
          <w:p w14:paraId="52AD7A42" w14:textId="77777777" w:rsidR="003E78AB" w:rsidRDefault="00010BF9">
            <w:pPr>
              <w:pStyle w:val="aff6"/>
              <w:topLinePunct/>
            </w:pPr>
            <w:r>
              <w:t>0.0</w:t>
            </w:r>
          </w:p>
        </w:tc>
        <w:tc>
          <w:tcPr>
            <w:tcW w:w="1023" w:type="dxa"/>
            <w:vAlign w:val="center"/>
          </w:tcPr>
          <w:p w14:paraId="64380EEA" w14:textId="77777777" w:rsidR="003E78AB" w:rsidRDefault="00010BF9">
            <w:pPr>
              <w:pStyle w:val="aff6"/>
              <w:topLinePunct/>
            </w:pPr>
            <w:r>
              <w:t>0.0</w:t>
            </w:r>
          </w:p>
        </w:tc>
        <w:tc>
          <w:tcPr>
            <w:tcW w:w="1020" w:type="dxa"/>
            <w:vAlign w:val="center"/>
          </w:tcPr>
          <w:p w14:paraId="55A11826" w14:textId="77777777" w:rsidR="003E78AB" w:rsidRDefault="00010BF9">
            <w:pPr>
              <w:pStyle w:val="aff6"/>
              <w:topLinePunct/>
            </w:pPr>
            <w:r>
              <w:t>0.0</w:t>
            </w:r>
          </w:p>
        </w:tc>
        <w:tc>
          <w:tcPr>
            <w:tcW w:w="1022" w:type="dxa"/>
            <w:vAlign w:val="center"/>
          </w:tcPr>
          <w:p w14:paraId="20284E49" w14:textId="77777777" w:rsidR="003E78AB" w:rsidRDefault="00010BF9">
            <w:pPr>
              <w:pStyle w:val="aff6"/>
              <w:topLinePunct/>
            </w:pPr>
            <w:r>
              <w:t>0.0</w:t>
            </w:r>
          </w:p>
        </w:tc>
        <w:tc>
          <w:tcPr>
            <w:tcW w:w="896" w:type="dxa"/>
            <w:vAlign w:val="center"/>
          </w:tcPr>
          <w:p w14:paraId="45501040" w14:textId="77777777" w:rsidR="003E78AB" w:rsidRDefault="00010BF9">
            <w:pPr>
              <w:pStyle w:val="aff6"/>
              <w:topLinePunct/>
            </w:pPr>
            <w:r>
              <w:t>0.0</w:t>
            </w:r>
          </w:p>
        </w:tc>
        <w:tc>
          <w:tcPr>
            <w:tcW w:w="677" w:type="dxa"/>
            <w:vAlign w:val="center"/>
          </w:tcPr>
          <w:p w14:paraId="2B8C36E6" w14:textId="77777777" w:rsidR="003E78AB" w:rsidRDefault="00010BF9">
            <w:pPr>
              <w:pStyle w:val="aff6"/>
              <w:topLinePunct/>
            </w:pPr>
            <w:r>
              <w:t>0.0</w:t>
            </w:r>
          </w:p>
        </w:tc>
      </w:tr>
      <w:tr w:rsidR="003E78AB" w14:paraId="06D8F672" w14:textId="77777777">
        <w:trPr>
          <w:trHeight w:val="288"/>
        </w:trPr>
        <w:tc>
          <w:tcPr>
            <w:tcW w:w="1013" w:type="dxa"/>
            <w:vAlign w:val="center"/>
          </w:tcPr>
          <w:p w14:paraId="00C261CE" w14:textId="77777777" w:rsidR="003E78AB" w:rsidRDefault="00010BF9">
            <w:pPr>
              <w:pStyle w:val="aff6"/>
              <w:topLinePunct/>
            </w:pPr>
            <w:r>
              <w:t>800</w:t>
            </w:r>
          </w:p>
        </w:tc>
        <w:tc>
          <w:tcPr>
            <w:tcW w:w="2185" w:type="dxa"/>
            <w:vAlign w:val="center"/>
          </w:tcPr>
          <w:p w14:paraId="3C2EDD79" w14:textId="77777777" w:rsidR="003E78AB" w:rsidRDefault="00010BF9">
            <w:pPr>
              <w:pStyle w:val="aff6"/>
              <w:topLinePunct/>
            </w:pPr>
            <w:r>
              <w:t>0.380459|9</w:t>
            </w:r>
          </w:p>
        </w:tc>
        <w:tc>
          <w:tcPr>
            <w:tcW w:w="1022" w:type="dxa"/>
            <w:vAlign w:val="center"/>
          </w:tcPr>
          <w:p w14:paraId="6CF3494A" w14:textId="77777777" w:rsidR="003E78AB" w:rsidRDefault="00010BF9">
            <w:pPr>
              <w:pStyle w:val="aff6"/>
              <w:topLinePunct/>
            </w:pPr>
            <w:r>
              <w:t>0.0</w:t>
            </w:r>
          </w:p>
        </w:tc>
        <w:tc>
          <w:tcPr>
            <w:tcW w:w="1022" w:type="dxa"/>
            <w:vAlign w:val="center"/>
          </w:tcPr>
          <w:p w14:paraId="4C4F9B7C" w14:textId="77777777" w:rsidR="003E78AB" w:rsidRDefault="00010BF9">
            <w:pPr>
              <w:pStyle w:val="aff6"/>
              <w:topLinePunct/>
            </w:pPr>
            <w:r>
              <w:t>0.0</w:t>
            </w:r>
          </w:p>
        </w:tc>
        <w:tc>
          <w:tcPr>
            <w:tcW w:w="1022" w:type="dxa"/>
            <w:vAlign w:val="center"/>
          </w:tcPr>
          <w:p w14:paraId="250CCAC7" w14:textId="77777777" w:rsidR="003E78AB" w:rsidRDefault="00010BF9">
            <w:pPr>
              <w:pStyle w:val="aff6"/>
              <w:topLinePunct/>
            </w:pPr>
            <w:r>
              <w:t>0.0</w:t>
            </w:r>
          </w:p>
        </w:tc>
        <w:tc>
          <w:tcPr>
            <w:tcW w:w="1023" w:type="dxa"/>
            <w:vAlign w:val="center"/>
          </w:tcPr>
          <w:p w14:paraId="76CBE8E4" w14:textId="77777777" w:rsidR="003E78AB" w:rsidRDefault="00010BF9">
            <w:pPr>
              <w:pStyle w:val="aff6"/>
              <w:topLinePunct/>
            </w:pPr>
            <w:r>
              <w:t>0.380459</w:t>
            </w:r>
          </w:p>
        </w:tc>
        <w:tc>
          <w:tcPr>
            <w:tcW w:w="1020" w:type="dxa"/>
            <w:vAlign w:val="center"/>
          </w:tcPr>
          <w:p w14:paraId="07B2604D" w14:textId="77777777" w:rsidR="003E78AB" w:rsidRDefault="00010BF9">
            <w:pPr>
              <w:pStyle w:val="aff6"/>
              <w:topLinePunct/>
            </w:pPr>
            <w:r>
              <w:t>0.380436</w:t>
            </w:r>
          </w:p>
        </w:tc>
        <w:tc>
          <w:tcPr>
            <w:tcW w:w="1020" w:type="dxa"/>
            <w:vAlign w:val="center"/>
          </w:tcPr>
          <w:p w14:paraId="61252BFC" w14:textId="77777777" w:rsidR="003E78AB" w:rsidRDefault="00010BF9">
            <w:pPr>
              <w:pStyle w:val="aff6"/>
              <w:topLinePunct/>
            </w:pPr>
            <w:r>
              <w:t>0.000056</w:t>
            </w:r>
          </w:p>
        </w:tc>
        <w:tc>
          <w:tcPr>
            <w:tcW w:w="1023" w:type="dxa"/>
            <w:vAlign w:val="center"/>
          </w:tcPr>
          <w:p w14:paraId="6A153D5C" w14:textId="77777777" w:rsidR="003E78AB" w:rsidRDefault="00010BF9">
            <w:pPr>
              <w:pStyle w:val="aff6"/>
              <w:topLinePunct/>
            </w:pPr>
            <w:r>
              <w:t>0.0</w:t>
            </w:r>
          </w:p>
        </w:tc>
        <w:tc>
          <w:tcPr>
            <w:tcW w:w="1020" w:type="dxa"/>
            <w:vAlign w:val="center"/>
          </w:tcPr>
          <w:p w14:paraId="4BDFD1F4" w14:textId="77777777" w:rsidR="003E78AB" w:rsidRDefault="00010BF9">
            <w:pPr>
              <w:pStyle w:val="aff6"/>
              <w:topLinePunct/>
            </w:pPr>
            <w:r>
              <w:t>0.0</w:t>
            </w:r>
          </w:p>
        </w:tc>
        <w:tc>
          <w:tcPr>
            <w:tcW w:w="1022" w:type="dxa"/>
            <w:vAlign w:val="center"/>
          </w:tcPr>
          <w:p w14:paraId="64866E2E" w14:textId="77777777" w:rsidR="003E78AB" w:rsidRDefault="00010BF9">
            <w:pPr>
              <w:pStyle w:val="aff6"/>
              <w:topLinePunct/>
            </w:pPr>
            <w:r>
              <w:t>0.0</w:t>
            </w:r>
          </w:p>
        </w:tc>
        <w:tc>
          <w:tcPr>
            <w:tcW w:w="896" w:type="dxa"/>
            <w:vAlign w:val="center"/>
          </w:tcPr>
          <w:p w14:paraId="143DD42C" w14:textId="77777777" w:rsidR="003E78AB" w:rsidRDefault="00010BF9">
            <w:pPr>
              <w:pStyle w:val="aff6"/>
              <w:topLinePunct/>
            </w:pPr>
            <w:r>
              <w:t>0.0</w:t>
            </w:r>
          </w:p>
        </w:tc>
        <w:tc>
          <w:tcPr>
            <w:tcW w:w="677" w:type="dxa"/>
            <w:vAlign w:val="center"/>
          </w:tcPr>
          <w:p w14:paraId="23016052" w14:textId="77777777" w:rsidR="003E78AB" w:rsidRDefault="00010BF9">
            <w:pPr>
              <w:pStyle w:val="aff6"/>
              <w:topLinePunct/>
            </w:pPr>
            <w:r>
              <w:t>0.0</w:t>
            </w:r>
          </w:p>
        </w:tc>
      </w:tr>
      <w:tr w:rsidR="003E78AB" w14:paraId="4E6F0F9E" w14:textId="77777777">
        <w:trPr>
          <w:trHeight w:val="288"/>
        </w:trPr>
        <w:tc>
          <w:tcPr>
            <w:tcW w:w="1013" w:type="dxa"/>
            <w:vAlign w:val="center"/>
          </w:tcPr>
          <w:p w14:paraId="4C731FEC" w14:textId="77777777" w:rsidR="003E78AB" w:rsidRDefault="00010BF9">
            <w:pPr>
              <w:pStyle w:val="aff6"/>
              <w:topLinePunct/>
            </w:pPr>
            <w:r>
              <w:t>900</w:t>
            </w:r>
          </w:p>
        </w:tc>
        <w:tc>
          <w:tcPr>
            <w:tcW w:w="2185" w:type="dxa"/>
            <w:vAlign w:val="center"/>
          </w:tcPr>
          <w:p w14:paraId="779C7686" w14:textId="77777777" w:rsidR="003E78AB" w:rsidRDefault="00010BF9">
            <w:pPr>
              <w:pStyle w:val="aff6"/>
              <w:topLinePunct/>
            </w:pPr>
            <w:r>
              <w:t>0.326007|10</w:t>
            </w:r>
          </w:p>
        </w:tc>
        <w:tc>
          <w:tcPr>
            <w:tcW w:w="1022" w:type="dxa"/>
            <w:vAlign w:val="center"/>
          </w:tcPr>
          <w:p w14:paraId="487BF20F" w14:textId="77777777" w:rsidR="003E78AB" w:rsidRDefault="00010BF9">
            <w:pPr>
              <w:pStyle w:val="aff6"/>
              <w:topLinePunct/>
            </w:pPr>
            <w:r>
              <w:t>0.0</w:t>
            </w:r>
          </w:p>
        </w:tc>
        <w:tc>
          <w:tcPr>
            <w:tcW w:w="1022" w:type="dxa"/>
            <w:vAlign w:val="center"/>
          </w:tcPr>
          <w:p w14:paraId="5601FB32" w14:textId="77777777" w:rsidR="003E78AB" w:rsidRDefault="00010BF9">
            <w:pPr>
              <w:pStyle w:val="aff6"/>
              <w:topLinePunct/>
            </w:pPr>
            <w:r>
              <w:t>0.0</w:t>
            </w:r>
          </w:p>
        </w:tc>
        <w:tc>
          <w:tcPr>
            <w:tcW w:w="1022" w:type="dxa"/>
            <w:vAlign w:val="center"/>
          </w:tcPr>
          <w:p w14:paraId="250E8D86" w14:textId="77777777" w:rsidR="003E78AB" w:rsidRDefault="00010BF9">
            <w:pPr>
              <w:pStyle w:val="aff6"/>
              <w:topLinePunct/>
            </w:pPr>
            <w:r>
              <w:t>0.0</w:t>
            </w:r>
          </w:p>
        </w:tc>
        <w:tc>
          <w:tcPr>
            <w:tcW w:w="1023" w:type="dxa"/>
            <w:vAlign w:val="center"/>
          </w:tcPr>
          <w:p w14:paraId="3A5817C9" w14:textId="77777777" w:rsidR="003E78AB" w:rsidRDefault="00010BF9">
            <w:pPr>
              <w:pStyle w:val="aff6"/>
              <w:topLinePunct/>
            </w:pPr>
            <w:r>
              <w:t>0.326007</w:t>
            </w:r>
          </w:p>
        </w:tc>
        <w:tc>
          <w:tcPr>
            <w:tcW w:w="1020" w:type="dxa"/>
            <w:vAlign w:val="center"/>
          </w:tcPr>
          <w:p w14:paraId="60954625" w14:textId="77777777" w:rsidR="003E78AB" w:rsidRDefault="00010BF9">
            <w:pPr>
              <w:pStyle w:val="aff6"/>
              <w:topLinePunct/>
            </w:pPr>
            <w:r>
              <w:t>0.325991</w:t>
            </w:r>
          </w:p>
        </w:tc>
        <w:tc>
          <w:tcPr>
            <w:tcW w:w="1020" w:type="dxa"/>
            <w:vAlign w:val="center"/>
          </w:tcPr>
          <w:p w14:paraId="59B0E842" w14:textId="77777777" w:rsidR="003E78AB" w:rsidRDefault="00010BF9">
            <w:pPr>
              <w:pStyle w:val="aff6"/>
              <w:topLinePunct/>
            </w:pPr>
            <w:r>
              <w:t>0.181695</w:t>
            </w:r>
          </w:p>
        </w:tc>
        <w:tc>
          <w:tcPr>
            <w:tcW w:w="1023" w:type="dxa"/>
            <w:vAlign w:val="center"/>
          </w:tcPr>
          <w:p w14:paraId="72CB1E9D" w14:textId="77777777" w:rsidR="003E78AB" w:rsidRDefault="00010BF9">
            <w:pPr>
              <w:pStyle w:val="aff6"/>
              <w:topLinePunct/>
            </w:pPr>
            <w:r>
              <w:t>0.0</w:t>
            </w:r>
          </w:p>
        </w:tc>
        <w:tc>
          <w:tcPr>
            <w:tcW w:w="1020" w:type="dxa"/>
            <w:vAlign w:val="center"/>
          </w:tcPr>
          <w:p w14:paraId="756269CA" w14:textId="77777777" w:rsidR="003E78AB" w:rsidRDefault="00010BF9">
            <w:pPr>
              <w:pStyle w:val="aff6"/>
              <w:topLinePunct/>
            </w:pPr>
            <w:r>
              <w:t>0.0</w:t>
            </w:r>
          </w:p>
        </w:tc>
        <w:tc>
          <w:tcPr>
            <w:tcW w:w="1022" w:type="dxa"/>
            <w:vAlign w:val="center"/>
          </w:tcPr>
          <w:p w14:paraId="5B8154DB" w14:textId="77777777" w:rsidR="003E78AB" w:rsidRDefault="00010BF9">
            <w:pPr>
              <w:pStyle w:val="aff6"/>
              <w:topLinePunct/>
            </w:pPr>
            <w:r>
              <w:t>0.0</w:t>
            </w:r>
          </w:p>
        </w:tc>
        <w:tc>
          <w:tcPr>
            <w:tcW w:w="896" w:type="dxa"/>
            <w:vAlign w:val="center"/>
          </w:tcPr>
          <w:p w14:paraId="0BA133BF" w14:textId="77777777" w:rsidR="003E78AB" w:rsidRDefault="00010BF9">
            <w:pPr>
              <w:pStyle w:val="aff6"/>
              <w:topLinePunct/>
            </w:pPr>
            <w:r>
              <w:t>0.0</w:t>
            </w:r>
          </w:p>
        </w:tc>
        <w:tc>
          <w:tcPr>
            <w:tcW w:w="677" w:type="dxa"/>
            <w:vAlign w:val="center"/>
          </w:tcPr>
          <w:p w14:paraId="424AE63A" w14:textId="77777777" w:rsidR="003E78AB" w:rsidRDefault="00010BF9">
            <w:pPr>
              <w:pStyle w:val="aff6"/>
              <w:topLinePunct/>
            </w:pPr>
            <w:r>
              <w:t>0.0</w:t>
            </w:r>
          </w:p>
        </w:tc>
      </w:tr>
      <w:tr w:rsidR="003E78AB" w14:paraId="7B3D2D43" w14:textId="77777777">
        <w:trPr>
          <w:trHeight w:val="287"/>
        </w:trPr>
        <w:tc>
          <w:tcPr>
            <w:tcW w:w="1013" w:type="dxa"/>
            <w:vAlign w:val="center"/>
          </w:tcPr>
          <w:p w14:paraId="15B7045B" w14:textId="77777777" w:rsidR="003E78AB" w:rsidRDefault="00010BF9">
            <w:pPr>
              <w:pStyle w:val="aff6"/>
              <w:topLinePunct/>
            </w:pPr>
            <w:r>
              <w:t>1000</w:t>
            </w:r>
          </w:p>
        </w:tc>
        <w:tc>
          <w:tcPr>
            <w:tcW w:w="2185" w:type="dxa"/>
            <w:vAlign w:val="center"/>
          </w:tcPr>
          <w:p w14:paraId="292ED660" w14:textId="77777777" w:rsidR="003E78AB" w:rsidRDefault="00010BF9">
            <w:pPr>
              <w:pStyle w:val="aff6"/>
              <w:topLinePunct/>
            </w:pPr>
            <w:r>
              <w:t>0.282168|13</w:t>
            </w:r>
          </w:p>
        </w:tc>
        <w:tc>
          <w:tcPr>
            <w:tcW w:w="1022" w:type="dxa"/>
            <w:vAlign w:val="center"/>
          </w:tcPr>
          <w:p w14:paraId="04E2E703" w14:textId="77777777" w:rsidR="003E78AB" w:rsidRDefault="00010BF9">
            <w:pPr>
              <w:pStyle w:val="aff6"/>
              <w:topLinePunct/>
            </w:pPr>
            <w:r>
              <w:t>0.0</w:t>
            </w:r>
          </w:p>
        </w:tc>
        <w:tc>
          <w:tcPr>
            <w:tcW w:w="1022" w:type="dxa"/>
            <w:vAlign w:val="center"/>
          </w:tcPr>
          <w:p w14:paraId="0FC5122B" w14:textId="77777777" w:rsidR="003E78AB" w:rsidRDefault="00010BF9">
            <w:pPr>
              <w:pStyle w:val="aff6"/>
              <w:topLinePunct/>
            </w:pPr>
            <w:r>
              <w:t>0.0</w:t>
            </w:r>
          </w:p>
        </w:tc>
        <w:tc>
          <w:tcPr>
            <w:tcW w:w="1022" w:type="dxa"/>
            <w:vAlign w:val="center"/>
          </w:tcPr>
          <w:p w14:paraId="1656B851" w14:textId="77777777" w:rsidR="003E78AB" w:rsidRDefault="00010BF9">
            <w:pPr>
              <w:pStyle w:val="aff6"/>
              <w:topLinePunct/>
            </w:pPr>
            <w:r>
              <w:t>0.0</w:t>
            </w:r>
          </w:p>
        </w:tc>
        <w:tc>
          <w:tcPr>
            <w:tcW w:w="1023" w:type="dxa"/>
            <w:vAlign w:val="center"/>
          </w:tcPr>
          <w:p w14:paraId="17E9B3D9" w14:textId="77777777" w:rsidR="003E78AB" w:rsidRDefault="00010BF9">
            <w:pPr>
              <w:pStyle w:val="aff6"/>
              <w:topLinePunct/>
            </w:pPr>
            <w:r>
              <w:t>0.0</w:t>
            </w:r>
          </w:p>
        </w:tc>
        <w:tc>
          <w:tcPr>
            <w:tcW w:w="1020" w:type="dxa"/>
            <w:vAlign w:val="center"/>
          </w:tcPr>
          <w:p w14:paraId="7BA55D0D" w14:textId="77777777" w:rsidR="003E78AB" w:rsidRDefault="00010BF9">
            <w:pPr>
              <w:pStyle w:val="aff6"/>
              <w:topLinePunct/>
            </w:pPr>
            <w:r>
              <w:t>0.282168</w:t>
            </w:r>
          </w:p>
        </w:tc>
        <w:tc>
          <w:tcPr>
            <w:tcW w:w="1020" w:type="dxa"/>
            <w:vAlign w:val="center"/>
          </w:tcPr>
          <w:p w14:paraId="11EFB808" w14:textId="77777777" w:rsidR="003E78AB" w:rsidRDefault="00010BF9">
            <w:pPr>
              <w:pStyle w:val="aff6"/>
              <w:topLinePunct/>
            </w:pPr>
            <w:r>
              <w:t>0.281983</w:t>
            </w:r>
          </w:p>
        </w:tc>
        <w:tc>
          <w:tcPr>
            <w:tcW w:w="1023" w:type="dxa"/>
            <w:vAlign w:val="center"/>
          </w:tcPr>
          <w:p w14:paraId="3473CB92" w14:textId="77777777" w:rsidR="003E78AB" w:rsidRDefault="00010BF9">
            <w:pPr>
              <w:pStyle w:val="aff6"/>
              <w:topLinePunct/>
            </w:pPr>
            <w:r>
              <w:t>0.0</w:t>
            </w:r>
          </w:p>
        </w:tc>
        <w:tc>
          <w:tcPr>
            <w:tcW w:w="1020" w:type="dxa"/>
            <w:vAlign w:val="center"/>
          </w:tcPr>
          <w:p w14:paraId="59557083" w14:textId="77777777" w:rsidR="003E78AB" w:rsidRDefault="00010BF9">
            <w:pPr>
              <w:pStyle w:val="aff6"/>
              <w:topLinePunct/>
            </w:pPr>
            <w:r>
              <w:t>0.0</w:t>
            </w:r>
          </w:p>
        </w:tc>
        <w:tc>
          <w:tcPr>
            <w:tcW w:w="1022" w:type="dxa"/>
            <w:vAlign w:val="center"/>
          </w:tcPr>
          <w:p w14:paraId="3DCA2E94" w14:textId="77777777" w:rsidR="003E78AB" w:rsidRDefault="00010BF9">
            <w:pPr>
              <w:pStyle w:val="aff6"/>
              <w:topLinePunct/>
            </w:pPr>
            <w:r>
              <w:t>0.0</w:t>
            </w:r>
          </w:p>
        </w:tc>
        <w:tc>
          <w:tcPr>
            <w:tcW w:w="896" w:type="dxa"/>
            <w:vAlign w:val="center"/>
          </w:tcPr>
          <w:p w14:paraId="1069A734" w14:textId="77777777" w:rsidR="003E78AB" w:rsidRDefault="00010BF9">
            <w:pPr>
              <w:pStyle w:val="aff6"/>
              <w:topLinePunct/>
            </w:pPr>
            <w:r>
              <w:t>0.0</w:t>
            </w:r>
          </w:p>
        </w:tc>
        <w:tc>
          <w:tcPr>
            <w:tcW w:w="677" w:type="dxa"/>
            <w:vAlign w:val="center"/>
          </w:tcPr>
          <w:p w14:paraId="40403BA6" w14:textId="77777777" w:rsidR="003E78AB" w:rsidRDefault="00010BF9">
            <w:pPr>
              <w:pStyle w:val="aff6"/>
              <w:topLinePunct/>
            </w:pPr>
            <w:r>
              <w:t>0.0</w:t>
            </w:r>
          </w:p>
        </w:tc>
      </w:tr>
      <w:tr w:rsidR="003E78AB" w14:paraId="2364ED24" w14:textId="77777777">
        <w:trPr>
          <w:trHeight w:val="288"/>
        </w:trPr>
        <w:tc>
          <w:tcPr>
            <w:tcW w:w="1013" w:type="dxa"/>
            <w:vAlign w:val="center"/>
          </w:tcPr>
          <w:p w14:paraId="74FE5AFF" w14:textId="77777777" w:rsidR="003E78AB" w:rsidRDefault="00010BF9">
            <w:pPr>
              <w:pStyle w:val="aff6"/>
              <w:topLinePunct/>
            </w:pPr>
            <w:r>
              <w:t>1200</w:t>
            </w:r>
          </w:p>
        </w:tc>
        <w:tc>
          <w:tcPr>
            <w:tcW w:w="2185" w:type="dxa"/>
            <w:vAlign w:val="center"/>
          </w:tcPr>
          <w:p w14:paraId="5CF5EBFC" w14:textId="77777777" w:rsidR="003E78AB" w:rsidRDefault="00010BF9">
            <w:pPr>
              <w:pStyle w:val="aff6"/>
              <w:topLinePunct/>
            </w:pPr>
            <w:r>
              <w:t>0.217341|16</w:t>
            </w:r>
          </w:p>
        </w:tc>
        <w:tc>
          <w:tcPr>
            <w:tcW w:w="1022" w:type="dxa"/>
            <w:vAlign w:val="center"/>
          </w:tcPr>
          <w:p w14:paraId="616B0C6B" w14:textId="77777777" w:rsidR="003E78AB" w:rsidRDefault="00010BF9">
            <w:pPr>
              <w:pStyle w:val="aff6"/>
              <w:topLinePunct/>
            </w:pPr>
            <w:r>
              <w:t>0.0</w:t>
            </w:r>
          </w:p>
        </w:tc>
        <w:tc>
          <w:tcPr>
            <w:tcW w:w="1022" w:type="dxa"/>
            <w:vAlign w:val="center"/>
          </w:tcPr>
          <w:p w14:paraId="62C857F6" w14:textId="77777777" w:rsidR="003E78AB" w:rsidRDefault="00010BF9">
            <w:pPr>
              <w:pStyle w:val="aff6"/>
              <w:topLinePunct/>
            </w:pPr>
            <w:r>
              <w:t>0.0</w:t>
            </w:r>
          </w:p>
        </w:tc>
        <w:tc>
          <w:tcPr>
            <w:tcW w:w="1022" w:type="dxa"/>
            <w:vAlign w:val="center"/>
          </w:tcPr>
          <w:p w14:paraId="3AE35235" w14:textId="77777777" w:rsidR="003E78AB" w:rsidRDefault="00010BF9">
            <w:pPr>
              <w:pStyle w:val="aff6"/>
              <w:topLinePunct/>
            </w:pPr>
            <w:r>
              <w:t>0.0</w:t>
            </w:r>
          </w:p>
        </w:tc>
        <w:tc>
          <w:tcPr>
            <w:tcW w:w="1023" w:type="dxa"/>
            <w:vAlign w:val="center"/>
          </w:tcPr>
          <w:p w14:paraId="3DD58CED" w14:textId="77777777" w:rsidR="003E78AB" w:rsidRDefault="00010BF9">
            <w:pPr>
              <w:pStyle w:val="aff6"/>
              <w:topLinePunct/>
            </w:pPr>
            <w:r>
              <w:t>0.0</w:t>
            </w:r>
          </w:p>
        </w:tc>
        <w:tc>
          <w:tcPr>
            <w:tcW w:w="1020" w:type="dxa"/>
            <w:vAlign w:val="center"/>
          </w:tcPr>
          <w:p w14:paraId="448C397D" w14:textId="77777777" w:rsidR="003E78AB" w:rsidRDefault="00010BF9">
            <w:pPr>
              <w:pStyle w:val="aff6"/>
              <w:topLinePunct/>
            </w:pPr>
            <w:r>
              <w:t>0.217337</w:t>
            </w:r>
          </w:p>
        </w:tc>
        <w:tc>
          <w:tcPr>
            <w:tcW w:w="1020" w:type="dxa"/>
            <w:vAlign w:val="center"/>
          </w:tcPr>
          <w:p w14:paraId="52863EA2" w14:textId="77777777" w:rsidR="003E78AB" w:rsidRDefault="00010BF9">
            <w:pPr>
              <w:pStyle w:val="aff6"/>
              <w:topLinePunct/>
            </w:pPr>
            <w:r>
              <w:t>0.217341</w:t>
            </w:r>
          </w:p>
        </w:tc>
        <w:tc>
          <w:tcPr>
            <w:tcW w:w="1023" w:type="dxa"/>
            <w:vAlign w:val="center"/>
          </w:tcPr>
          <w:p w14:paraId="031DBEF9" w14:textId="77777777" w:rsidR="003E78AB" w:rsidRDefault="00010BF9">
            <w:pPr>
              <w:pStyle w:val="aff6"/>
              <w:topLinePunct/>
            </w:pPr>
            <w:r>
              <w:t>0.0</w:t>
            </w:r>
          </w:p>
        </w:tc>
        <w:tc>
          <w:tcPr>
            <w:tcW w:w="1020" w:type="dxa"/>
            <w:vAlign w:val="center"/>
          </w:tcPr>
          <w:p w14:paraId="2733FC13" w14:textId="77777777" w:rsidR="003E78AB" w:rsidRDefault="00010BF9">
            <w:pPr>
              <w:pStyle w:val="aff6"/>
              <w:topLinePunct/>
            </w:pPr>
            <w:r>
              <w:t>0.0</w:t>
            </w:r>
          </w:p>
        </w:tc>
        <w:tc>
          <w:tcPr>
            <w:tcW w:w="1022" w:type="dxa"/>
            <w:vAlign w:val="center"/>
          </w:tcPr>
          <w:p w14:paraId="105A1F6D" w14:textId="77777777" w:rsidR="003E78AB" w:rsidRDefault="00010BF9">
            <w:pPr>
              <w:pStyle w:val="aff6"/>
              <w:topLinePunct/>
            </w:pPr>
            <w:r>
              <w:t>0.0</w:t>
            </w:r>
          </w:p>
        </w:tc>
        <w:tc>
          <w:tcPr>
            <w:tcW w:w="896" w:type="dxa"/>
            <w:vAlign w:val="center"/>
          </w:tcPr>
          <w:p w14:paraId="6C745DC1" w14:textId="77777777" w:rsidR="003E78AB" w:rsidRDefault="00010BF9">
            <w:pPr>
              <w:pStyle w:val="aff6"/>
              <w:topLinePunct/>
            </w:pPr>
            <w:r>
              <w:t>0.0</w:t>
            </w:r>
          </w:p>
        </w:tc>
        <w:tc>
          <w:tcPr>
            <w:tcW w:w="677" w:type="dxa"/>
            <w:vAlign w:val="center"/>
          </w:tcPr>
          <w:p w14:paraId="473DA80E" w14:textId="77777777" w:rsidR="003E78AB" w:rsidRDefault="00010BF9">
            <w:pPr>
              <w:pStyle w:val="aff6"/>
              <w:topLinePunct/>
            </w:pPr>
            <w:r>
              <w:t>0.0</w:t>
            </w:r>
          </w:p>
        </w:tc>
      </w:tr>
      <w:tr w:rsidR="003E78AB" w14:paraId="0EC5750F" w14:textId="77777777">
        <w:trPr>
          <w:trHeight w:val="288"/>
        </w:trPr>
        <w:tc>
          <w:tcPr>
            <w:tcW w:w="1013" w:type="dxa"/>
            <w:vAlign w:val="center"/>
          </w:tcPr>
          <w:p w14:paraId="71EA3F90" w14:textId="77777777" w:rsidR="003E78AB" w:rsidRDefault="00010BF9">
            <w:pPr>
              <w:pStyle w:val="aff6"/>
              <w:topLinePunct/>
            </w:pPr>
            <w:r>
              <w:t>1400</w:t>
            </w:r>
          </w:p>
        </w:tc>
        <w:tc>
          <w:tcPr>
            <w:tcW w:w="2185" w:type="dxa"/>
            <w:vAlign w:val="center"/>
          </w:tcPr>
          <w:p w14:paraId="42956E13" w14:textId="77777777" w:rsidR="003E78AB" w:rsidRDefault="00010BF9">
            <w:pPr>
              <w:pStyle w:val="aff6"/>
              <w:topLinePunct/>
            </w:pPr>
            <w:r>
              <w:t>0.172764|18</w:t>
            </w:r>
          </w:p>
        </w:tc>
        <w:tc>
          <w:tcPr>
            <w:tcW w:w="1022" w:type="dxa"/>
            <w:vAlign w:val="center"/>
          </w:tcPr>
          <w:p w14:paraId="79ACA4FE" w14:textId="77777777" w:rsidR="003E78AB" w:rsidRDefault="00010BF9">
            <w:pPr>
              <w:pStyle w:val="aff6"/>
              <w:topLinePunct/>
            </w:pPr>
            <w:r>
              <w:t>0.0</w:t>
            </w:r>
          </w:p>
        </w:tc>
        <w:tc>
          <w:tcPr>
            <w:tcW w:w="1022" w:type="dxa"/>
            <w:vAlign w:val="center"/>
          </w:tcPr>
          <w:p w14:paraId="6F429929" w14:textId="77777777" w:rsidR="003E78AB" w:rsidRDefault="00010BF9">
            <w:pPr>
              <w:pStyle w:val="aff6"/>
              <w:topLinePunct/>
            </w:pPr>
            <w:r>
              <w:t>0.0</w:t>
            </w:r>
          </w:p>
        </w:tc>
        <w:tc>
          <w:tcPr>
            <w:tcW w:w="1022" w:type="dxa"/>
            <w:vAlign w:val="center"/>
          </w:tcPr>
          <w:p w14:paraId="68FAA185" w14:textId="77777777" w:rsidR="003E78AB" w:rsidRDefault="00010BF9">
            <w:pPr>
              <w:pStyle w:val="aff6"/>
              <w:topLinePunct/>
            </w:pPr>
            <w:r>
              <w:t>0.0</w:t>
            </w:r>
          </w:p>
        </w:tc>
        <w:tc>
          <w:tcPr>
            <w:tcW w:w="1023" w:type="dxa"/>
            <w:vAlign w:val="center"/>
          </w:tcPr>
          <w:p w14:paraId="72134D3F" w14:textId="77777777" w:rsidR="003E78AB" w:rsidRDefault="00010BF9">
            <w:pPr>
              <w:pStyle w:val="aff6"/>
              <w:topLinePunct/>
            </w:pPr>
            <w:r>
              <w:t>0.0</w:t>
            </w:r>
          </w:p>
        </w:tc>
        <w:tc>
          <w:tcPr>
            <w:tcW w:w="1020" w:type="dxa"/>
            <w:vAlign w:val="center"/>
          </w:tcPr>
          <w:p w14:paraId="6987533C" w14:textId="77777777" w:rsidR="003E78AB" w:rsidRDefault="00010BF9">
            <w:pPr>
              <w:pStyle w:val="aff6"/>
              <w:topLinePunct/>
            </w:pPr>
            <w:r>
              <w:t>0.024333</w:t>
            </w:r>
          </w:p>
        </w:tc>
        <w:tc>
          <w:tcPr>
            <w:tcW w:w="1020" w:type="dxa"/>
            <w:vAlign w:val="center"/>
          </w:tcPr>
          <w:p w14:paraId="07910DA0" w14:textId="77777777" w:rsidR="003E78AB" w:rsidRDefault="00010BF9">
            <w:pPr>
              <w:pStyle w:val="aff6"/>
              <w:topLinePunct/>
            </w:pPr>
            <w:r>
              <w:t>0.172764</w:t>
            </w:r>
          </w:p>
        </w:tc>
        <w:tc>
          <w:tcPr>
            <w:tcW w:w="1023" w:type="dxa"/>
            <w:vAlign w:val="center"/>
          </w:tcPr>
          <w:p w14:paraId="62C46B05" w14:textId="77777777" w:rsidR="003E78AB" w:rsidRDefault="00010BF9">
            <w:pPr>
              <w:pStyle w:val="aff6"/>
              <w:topLinePunct/>
            </w:pPr>
            <w:r>
              <w:t>0.0</w:t>
            </w:r>
          </w:p>
        </w:tc>
        <w:tc>
          <w:tcPr>
            <w:tcW w:w="1020" w:type="dxa"/>
            <w:vAlign w:val="center"/>
          </w:tcPr>
          <w:p w14:paraId="244A8BFD" w14:textId="77777777" w:rsidR="003E78AB" w:rsidRDefault="00010BF9">
            <w:pPr>
              <w:pStyle w:val="aff6"/>
              <w:topLinePunct/>
            </w:pPr>
            <w:r>
              <w:t>0.0</w:t>
            </w:r>
          </w:p>
        </w:tc>
        <w:tc>
          <w:tcPr>
            <w:tcW w:w="1022" w:type="dxa"/>
            <w:vAlign w:val="center"/>
          </w:tcPr>
          <w:p w14:paraId="5AE93556" w14:textId="77777777" w:rsidR="003E78AB" w:rsidRDefault="00010BF9">
            <w:pPr>
              <w:pStyle w:val="aff6"/>
              <w:topLinePunct/>
            </w:pPr>
            <w:r>
              <w:t>0.0</w:t>
            </w:r>
          </w:p>
        </w:tc>
        <w:tc>
          <w:tcPr>
            <w:tcW w:w="896" w:type="dxa"/>
            <w:vAlign w:val="center"/>
          </w:tcPr>
          <w:p w14:paraId="3FB00892" w14:textId="77777777" w:rsidR="003E78AB" w:rsidRDefault="00010BF9">
            <w:pPr>
              <w:pStyle w:val="aff6"/>
              <w:topLinePunct/>
            </w:pPr>
            <w:r>
              <w:t>0.0</w:t>
            </w:r>
          </w:p>
        </w:tc>
        <w:tc>
          <w:tcPr>
            <w:tcW w:w="677" w:type="dxa"/>
            <w:vAlign w:val="center"/>
          </w:tcPr>
          <w:p w14:paraId="5F45AB32" w14:textId="77777777" w:rsidR="003E78AB" w:rsidRDefault="00010BF9">
            <w:pPr>
              <w:pStyle w:val="aff6"/>
              <w:topLinePunct/>
            </w:pPr>
            <w:r>
              <w:t>0.0</w:t>
            </w:r>
          </w:p>
        </w:tc>
      </w:tr>
      <w:tr w:rsidR="003E78AB" w14:paraId="52BA5FF2" w14:textId="77777777">
        <w:trPr>
          <w:trHeight w:val="287"/>
        </w:trPr>
        <w:tc>
          <w:tcPr>
            <w:tcW w:w="1013" w:type="dxa"/>
            <w:vAlign w:val="center"/>
          </w:tcPr>
          <w:p w14:paraId="48287666" w14:textId="77777777" w:rsidR="003E78AB" w:rsidRDefault="00010BF9">
            <w:pPr>
              <w:pStyle w:val="aff6"/>
              <w:topLinePunct/>
            </w:pPr>
            <w:r>
              <w:t>1600</w:t>
            </w:r>
          </w:p>
        </w:tc>
        <w:tc>
          <w:tcPr>
            <w:tcW w:w="2185" w:type="dxa"/>
            <w:vAlign w:val="center"/>
          </w:tcPr>
          <w:p w14:paraId="5352F880" w14:textId="77777777" w:rsidR="003E78AB" w:rsidRDefault="00010BF9">
            <w:pPr>
              <w:pStyle w:val="aff6"/>
              <w:topLinePunct/>
            </w:pPr>
            <w:r>
              <w:t>0.145285|20</w:t>
            </w:r>
          </w:p>
        </w:tc>
        <w:tc>
          <w:tcPr>
            <w:tcW w:w="1022" w:type="dxa"/>
            <w:vAlign w:val="center"/>
          </w:tcPr>
          <w:p w14:paraId="31143159" w14:textId="77777777" w:rsidR="003E78AB" w:rsidRDefault="00010BF9">
            <w:pPr>
              <w:pStyle w:val="aff6"/>
              <w:topLinePunct/>
            </w:pPr>
            <w:r>
              <w:t>0.0</w:t>
            </w:r>
          </w:p>
        </w:tc>
        <w:tc>
          <w:tcPr>
            <w:tcW w:w="1022" w:type="dxa"/>
            <w:vAlign w:val="center"/>
          </w:tcPr>
          <w:p w14:paraId="6EB5FDEB" w14:textId="77777777" w:rsidR="003E78AB" w:rsidRDefault="00010BF9">
            <w:pPr>
              <w:pStyle w:val="aff6"/>
              <w:topLinePunct/>
            </w:pPr>
            <w:r>
              <w:t>0.0</w:t>
            </w:r>
          </w:p>
        </w:tc>
        <w:tc>
          <w:tcPr>
            <w:tcW w:w="1022" w:type="dxa"/>
            <w:vAlign w:val="center"/>
          </w:tcPr>
          <w:p w14:paraId="56DB115D" w14:textId="77777777" w:rsidR="003E78AB" w:rsidRDefault="00010BF9">
            <w:pPr>
              <w:pStyle w:val="aff6"/>
              <w:topLinePunct/>
            </w:pPr>
            <w:r>
              <w:t>0.0</w:t>
            </w:r>
          </w:p>
        </w:tc>
        <w:tc>
          <w:tcPr>
            <w:tcW w:w="1023" w:type="dxa"/>
            <w:vAlign w:val="center"/>
          </w:tcPr>
          <w:p w14:paraId="2D35F354" w14:textId="77777777" w:rsidR="003E78AB" w:rsidRDefault="00010BF9">
            <w:pPr>
              <w:pStyle w:val="aff6"/>
              <w:topLinePunct/>
            </w:pPr>
            <w:r>
              <w:t>0.0</w:t>
            </w:r>
          </w:p>
        </w:tc>
        <w:tc>
          <w:tcPr>
            <w:tcW w:w="1020" w:type="dxa"/>
            <w:vAlign w:val="center"/>
          </w:tcPr>
          <w:p w14:paraId="09C4AF7E" w14:textId="77777777" w:rsidR="003E78AB" w:rsidRDefault="00010BF9">
            <w:pPr>
              <w:pStyle w:val="aff6"/>
              <w:topLinePunct/>
            </w:pPr>
            <w:r>
              <w:t>0.0</w:t>
            </w:r>
          </w:p>
        </w:tc>
        <w:tc>
          <w:tcPr>
            <w:tcW w:w="1020" w:type="dxa"/>
            <w:vAlign w:val="center"/>
          </w:tcPr>
          <w:p w14:paraId="598D1D4F" w14:textId="77777777" w:rsidR="003E78AB" w:rsidRDefault="00010BF9">
            <w:pPr>
              <w:pStyle w:val="aff6"/>
              <w:topLinePunct/>
            </w:pPr>
            <w:r>
              <w:t>0.145285</w:t>
            </w:r>
          </w:p>
        </w:tc>
        <w:tc>
          <w:tcPr>
            <w:tcW w:w="1023" w:type="dxa"/>
            <w:vAlign w:val="center"/>
          </w:tcPr>
          <w:p w14:paraId="15AA43CE" w14:textId="77777777" w:rsidR="003E78AB" w:rsidRDefault="00010BF9">
            <w:pPr>
              <w:pStyle w:val="aff6"/>
              <w:topLinePunct/>
            </w:pPr>
            <w:r>
              <w:t>0.000004</w:t>
            </w:r>
          </w:p>
        </w:tc>
        <w:tc>
          <w:tcPr>
            <w:tcW w:w="1020" w:type="dxa"/>
            <w:vAlign w:val="center"/>
          </w:tcPr>
          <w:p w14:paraId="3FF80316" w14:textId="77777777" w:rsidR="003E78AB" w:rsidRDefault="00010BF9">
            <w:pPr>
              <w:pStyle w:val="aff6"/>
              <w:topLinePunct/>
            </w:pPr>
            <w:r>
              <w:t>0.0</w:t>
            </w:r>
          </w:p>
        </w:tc>
        <w:tc>
          <w:tcPr>
            <w:tcW w:w="1022" w:type="dxa"/>
            <w:vAlign w:val="center"/>
          </w:tcPr>
          <w:p w14:paraId="289B473F" w14:textId="77777777" w:rsidR="003E78AB" w:rsidRDefault="00010BF9">
            <w:pPr>
              <w:pStyle w:val="aff6"/>
              <w:topLinePunct/>
            </w:pPr>
            <w:r>
              <w:t>0.0</w:t>
            </w:r>
          </w:p>
        </w:tc>
        <w:tc>
          <w:tcPr>
            <w:tcW w:w="896" w:type="dxa"/>
            <w:vAlign w:val="center"/>
          </w:tcPr>
          <w:p w14:paraId="68091713" w14:textId="77777777" w:rsidR="003E78AB" w:rsidRDefault="00010BF9">
            <w:pPr>
              <w:pStyle w:val="aff6"/>
              <w:topLinePunct/>
            </w:pPr>
            <w:r>
              <w:t>0.0</w:t>
            </w:r>
          </w:p>
        </w:tc>
        <w:tc>
          <w:tcPr>
            <w:tcW w:w="677" w:type="dxa"/>
            <w:vAlign w:val="center"/>
          </w:tcPr>
          <w:p w14:paraId="3FC70FEA" w14:textId="77777777" w:rsidR="003E78AB" w:rsidRDefault="00010BF9">
            <w:pPr>
              <w:pStyle w:val="aff6"/>
              <w:topLinePunct/>
            </w:pPr>
            <w:r>
              <w:t>0.0</w:t>
            </w:r>
          </w:p>
        </w:tc>
      </w:tr>
      <w:tr w:rsidR="003E78AB" w14:paraId="24FDDAC6" w14:textId="77777777">
        <w:trPr>
          <w:trHeight w:val="288"/>
        </w:trPr>
        <w:tc>
          <w:tcPr>
            <w:tcW w:w="1013" w:type="dxa"/>
            <w:vAlign w:val="center"/>
          </w:tcPr>
          <w:p w14:paraId="52FF9BE2" w14:textId="77777777" w:rsidR="003E78AB" w:rsidRDefault="00010BF9">
            <w:pPr>
              <w:pStyle w:val="aff6"/>
              <w:topLinePunct/>
            </w:pPr>
            <w:r>
              <w:t>1800</w:t>
            </w:r>
          </w:p>
        </w:tc>
        <w:tc>
          <w:tcPr>
            <w:tcW w:w="2185" w:type="dxa"/>
            <w:vAlign w:val="center"/>
          </w:tcPr>
          <w:p w14:paraId="330C0631" w14:textId="77777777" w:rsidR="003E78AB" w:rsidRDefault="00010BF9">
            <w:pPr>
              <w:pStyle w:val="aff6"/>
              <w:topLinePunct/>
            </w:pPr>
            <w:r>
              <w:t>0.125301|23</w:t>
            </w:r>
          </w:p>
        </w:tc>
        <w:tc>
          <w:tcPr>
            <w:tcW w:w="1022" w:type="dxa"/>
            <w:vAlign w:val="center"/>
          </w:tcPr>
          <w:p w14:paraId="6F565E83" w14:textId="77777777" w:rsidR="003E78AB" w:rsidRDefault="00010BF9">
            <w:pPr>
              <w:pStyle w:val="aff6"/>
              <w:topLinePunct/>
            </w:pPr>
            <w:r>
              <w:t>0.0</w:t>
            </w:r>
          </w:p>
        </w:tc>
        <w:tc>
          <w:tcPr>
            <w:tcW w:w="1022" w:type="dxa"/>
            <w:vAlign w:val="center"/>
          </w:tcPr>
          <w:p w14:paraId="5F74CA30" w14:textId="77777777" w:rsidR="003E78AB" w:rsidRDefault="00010BF9">
            <w:pPr>
              <w:pStyle w:val="aff6"/>
              <w:topLinePunct/>
            </w:pPr>
            <w:r>
              <w:t>0.0</w:t>
            </w:r>
          </w:p>
        </w:tc>
        <w:tc>
          <w:tcPr>
            <w:tcW w:w="1022" w:type="dxa"/>
            <w:vAlign w:val="center"/>
          </w:tcPr>
          <w:p w14:paraId="1E7D845B" w14:textId="77777777" w:rsidR="003E78AB" w:rsidRDefault="00010BF9">
            <w:pPr>
              <w:pStyle w:val="aff6"/>
              <w:topLinePunct/>
            </w:pPr>
            <w:r>
              <w:t>0.0</w:t>
            </w:r>
          </w:p>
        </w:tc>
        <w:tc>
          <w:tcPr>
            <w:tcW w:w="1023" w:type="dxa"/>
            <w:vAlign w:val="center"/>
          </w:tcPr>
          <w:p w14:paraId="504B66A2" w14:textId="77777777" w:rsidR="003E78AB" w:rsidRDefault="00010BF9">
            <w:pPr>
              <w:pStyle w:val="aff6"/>
              <w:topLinePunct/>
            </w:pPr>
            <w:r>
              <w:t>0.0</w:t>
            </w:r>
          </w:p>
        </w:tc>
        <w:tc>
          <w:tcPr>
            <w:tcW w:w="1020" w:type="dxa"/>
            <w:vAlign w:val="center"/>
          </w:tcPr>
          <w:p w14:paraId="77AD2AF1" w14:textId="77777777" w:rsidR="003E78AB" w:rsidRDefault="00010BF9">
            <w:pPr>
              <w:pStyle w:val="aff6"/>
              <w:topLinePunct/>
            </w:pPr>
            <w:r>
              <w:t>0.0</w:t>
            </w:r>
          </w:p>
        </w:tc>
        <w:tc>
          <w:tcPr>
            <w:tcW w:w="1020" w:type="dxa"/>
            <w:vAlign w:val="center"/>
          </w:tcPr>
          <w:p w14:paraId="49555470" w14:textId="77777777" w:rsidR="003E78AB" w:rsidRDefault="00010BF9">
            <w:pPr>
              <w:pStyle w:val="aff6"/>
              <w:topLinePunct/>
            </w:pPr>
            <w:r>
              <w:t>0.064673</w:t>
            </w:r>
          </w:p>
        </w:tc>
        <w:tc>
          <w:tcPr>
            <w:tcW w:w="1023" w:type="dxa"/>
            <w:vAlign w:val="center"/>
          </w:tcPr>
          <w:p w14:paraId="69953450" w14:textId="77777777" w:rsidR="003E78AB" w:rsidRDefault="00010BF9">
            <w:pPr>
              <w:pStyle w:val="aff6"/>
              <w:topLinePunct/>
            </w:pPr>
            <w:r>
              <w:t>0.066972</w:t>
            </w:r>
          </w:p>
        </w:tc>
        <w:tc>
          <w:tcPr>
            <w:tcW w:w="1020" w:type="dxa"/>
            <w:vAlign w:val="center"/>
          </w:tcPr>
          <w:p w14:paraId="1C04C2EC" w14:textId="77777777" w:rsidR="003E78AB" w:rsidRDefault="00010BF9">
            <w:pPr>
              <w:pStyle w:val="aff6"/>
              <w:topLinePunct/>
            </w:pPr>
            <w:r>
              <w:t>0.0</w:t>
            </w:r>
          </w:p>
        </w:tc>
        <w:tc>
          <w:tcPr>
            <w:tcW w:w="1022" w:type="dxa"/>
            <w:vAlign w:val="center"/>
          </w:tcPr>
          <w:p w14:paraId="7DB693C0" w14:textId="77777777" w:rsidR="003E78AB" w:rsidRDefault="00010BF9">
            <w:pPr>
              <w:pStyle w:val="aff6"/>
              <w:topLinePunct/>
            </w:pPr>
            <w:r>
              <w:t>0.0</w:t>
            </w:r>
          </w:p>
        </w:tc>
        <w:tc>
          <w:tcPr>
            <w:tcW w:w="896" w:type="dxa"/>
            <w:vAlign w:val="center"/>
          </w:tcPr>
          <w:p w14:paraId="604F198B" w14:textId="77777777" w:rsidR="003E78AB" w:rsidRDefault="00010BF9">
            <w:pPr>
              <w:pStyle w:val="aff6"/>
              <w:topLinePunct/>
            </w:pPr>
            <w:r>
              <w:t>0.0</w:t>
            </w:r>
          </w:p>
        </w:tc>
        <w:tc>
          <w:tcPr>
            <w:tcW w:w="677" w:type="dxa"/>
            <w:vAlign w:val="center"/>
          </w:tcPr>
          <w:p w14:paraId="5593DFCF" w14:textId="77777777" w:rsidR="003E78AB" w:rsidRDefault="00010BF9">
            <w:pPr>
              <w:pStyle w:val="aff6"/>
              <w:topLinePunct/>
            </w:pPr>
            <w:r>
              <w:t>0.0</w:t>
            </w:r>
          </w:p>
        </w:tc>
      </w:tr>
      <w:tr w:rsidR="003E78AB" w14:paraId="0AA414DC" w14:textId="77777777">
        <w:trPr>
          <w:trHeight w:val="288"/>
        </w:trPr>
        <w:tc>
          <w:tcPr>
            <w:tcW w:w="1013" w:type="dxa"/>
            <w:vAlign w:val="center"/>
          </w:tcPr>
          <w:p w14:paraId="39BE97DA" w14:textId="77777777" w:rsidR="003E78AB" w:rsidRDefault="00010BF9">
            <w:pPr>
              <w:pStyle w:val="aff6"/>
              <w:topLinePunct/>
            </w:pPr>
            <w:r>
              <w:t>2000</w:t>
            </w:r>
          </w:p>
        </w:tc>
        <w:tc>
          <w:tcPr>
            <w:tcW w:w="2185" w:type="dxa"/>
            <w:vAlign w:val="center"/>
          </w:tcPr>
          <w:p w14:paraId="5FD44954" w14:textId="77777777" w:rsidR="003E78AB" w:rsidRDefault="00010BF9">
            <w:pPr>
              <w:pStyle w:val="aff6"/>
              <w:topLinePunct/>
            </w:pPr>
            <w:r>
              <w:t>0.109678|25</w:t>
            </w:r>
          </w:p>
        </w:tc>
        <w:tc>
          <w:tcPr>
            <w:tcW w:w="1022" w:type="dxa"/>
            <w:vAlign w:val="center"/>
          </w:tcPr>
          <w:p w14:paraId="6E0E1220" w14:textId="77777777" w:rsidR="003E78AB" w:rsidRDefault="00010BF9">
            <w:pPr>
              <w:pStyle w:val="aff6"/>
              <w:topLinePunct/>
            </w:pPr>
            <w:r>
              <w:t>0.0</w:t>
            </w:r>
          </w:p>
        </w:tc>
        <w:tc>
          <w:tcPr>
            <w:tcW w:w="1022" w:type="dxa"/>
            <w:vAlign w:val="center"/>
          </w:tcPr>
          <w:p w14:paraId="2CDA4412" w14:textId="77777777" w:rsidR="003E78AB" w:rsidRDefault="00010BF9">
            <w:pPr>
              <w:pStyle w:val="aff6"/>
              <w:topLinePunct/>
            </w:pPr>
            <w:r>
              <w:t>0.0</w:t>
            </w:r>
          </w:p>
        </w:tc>
        <w:tc>
          <w:tcPr>
            <w:tcW w:w="1022" w:type="dxa"/>
            <w:vAlign w:val="center"/>
          </w:tcPr>
          <w:p w14:paraId="4C72367D" w14:textId="77777777" w:rsidR="003E78AB" w:rsidRDefault="00010BF9">
            <w:pPr>
              <w:pStyle w:val="aff6"/>
              <w:topLinePunct/>
            </w:pPr>
            <w:r>
              <w:t>0.0</w:t>
            </w:r>
          </w:p>
        </w:tc>
        <w:tc>
          <w:tcPr>
            <w:tcW w:w="1023" w:type="dxa"/>
            <w:vAlign w:val="center"/>
          </w:tcPr>
          <w:p w14:paraId="54A12BFB" w14:textId="77777777" w:rsidR="003E78AB" w:rsidRDefault="00010BF9">
            <w:pPr>
              <w:pStyle w:val="aff6"/>
              <w:topLinePunct/>
            </w:pPr>
            <w:r>
              <w:t>0.0</w:t>
            </w:r>
          </w:p>
        </w:tc>
        <w:tc>
          <w:tcPr>
            <w:tcW w:w="1020" w:type="dxa"/>
            <w:vAlign w:val="center"/>
          </w:tcPr>
          <w:p w14:paraId="46211C77" w14:textId="77777777" w:rsidR="003E78AB" w:rsidRDefault="00010BF9">
            <w:pPr>
              <w:pStyle w:val="aff6"/>
              <w:topLinePunct/>
            </w:pPr>
            <w:r>
              <w:t>0.0</w:t>
            </w:r>
          </w:p>
        </w:tc>
        <w:tc>
          <w:tcPr>
            <w:tcW w:w="1020" w:type="dxa"/>
            <w:vAlign w:val="center"/>
          </w:tcPr>
          <w:p w14:paraId="7F4DEABA" w14:textId="77777777" w:rsidR="003E78AB" w:rsidRDefault="00010BF9">
            <w:pPr>
              <w:pStyle w:val="aff6"/>
              <w:topLinePunct/>
            </w:pPr>
            <w:r>
              <w:t>0.000063</w:t>
            </w:r>
          </w:p>
        </w:tc>
        <w:tc>
          <w:tcPr>
            <w:tcW w:w="1023" w:type="dxa"/>
            <w:vAlign w:val="center"/>
          </w:tcPr>
          <w:p w14:paraId="6B32D82E" w14:textId="77777777" w:rsidR="003E78AB" w:rsidRDefault="00010BF9">
            <w:pPr>
              <w:pStyle w:val="aff6"/>
              <w:topLinePunct/>
            </w:pPr>
            <w:r>
              <w:t>0.109633</w:t>
            </w:r>
          </w:p>
        </w:tc>
        <w:tc>
          <w:tcPr>
            <w:tcW w:w="1020" w:type="dxa"/>
            <w:vAlign w:val="center"/>
          </w:tcPr>
          <w:p w14:paraId="189C4B3C" w14:textId="77777777" w:rsidR="003E78AB" w:rsidRDefault="00010BF9">
            <w:pPr>
              <w:pStyle w:val="aff6"/>
              <w:topLinePunct/>
            </w:pPr>
            <w:r>
              <w:t>0.0</w:t>
            </w:r>
          </w:p>
        </w:tc>
        <w:tc>
          <w:tcPr>
            <w:tcW w:w="1022" w:type="dxa"/>
            <w:vAlign w:val="center"/>
          </w:tcPr>
          <w:p w14:paraId="3EFEED47" w14:textId="77777777" w:rsidR="003E78AB" w:rsidRDefault="00010BF9">
            <w:pPr>
              <w:pStyle w:val="aff6"/>
              <w:topLinePunct/>
            </w:pPr>
            <w:r>
              <w:t>0.0</w:t>
            </w:r>
          </w:p>
        </w:tc>
        <w:tc>
          <w:tcPr>
            <w:tcW w:w="896" w:type="dxa"/>
            <w:vAlign w:val="center"/>
          </w:tcPr>
          <w:p w14:paraId="54E18446" w14:textId="77777777" w:rsidR="003E78AB" w:rsidRDefault="00010BF9">
            <w:pPr>
              <w:pStyle w:val="aff6"/>
              <w:topLinePunct/>
            </w:pPr>
            <w:r>
              <w:t>0.0</w:t>
            </w:r>
          </w:p>
        </w:tc>
        <w:tc>
          <w:tcPr>
            <w:tcW w:w="677" w:type="dxa"/>
            <w:vAlign w:val="center"/>
          </w:tcPr>
          <w:p w14:paraId="6A9C5635" w14:textId="77777777" w:rsidR="003E78AB" w:rsidRDefault="00010BF9">
            <w:pPr>
              <w:pStyle w:val="aff6"/>
              <w:topLinePunct/>
            </w:pPr>
            <w:r>
              <w:t>0.0</w:t>
            </w:r>
          </w:p>
        </w:tc>
      </w:tr>
      <w:tr w:rsidR="003E78AB" w14:paraId="222C911A" w14:textId="77777777">
        <w:trPr>
          <w:trHeight w:val="290"/>
        </w:trPr>
        <w:tc>
          <w:tcPr>
            <w:tcW w:w="1013" w:type="dxa"/>
            <w:vAlign w:val="center"/>
          </w:tcPr>
          <w:p w14:paraId="53C0FB16" w14:textId="77777777" w:rsidR="003E78AB" w:rsidRDefault="00010BF9">
            <w:pPr>
              <w:pStyle w:val="aff6"/>
              <w:topLinePunct/>
            </w:pPr>
            <w:r>
              <w:t>2500</w:t>
            </w:r>
          </w:p>
        </w:tc>
        <w:tc>
          <w:tcPr>
            <w:tcW w:w="2185" w:type="dxa"/>
            <w:vAlign w:val="center"/>
          </w:tcPr>
          <w:p w14:paraId="2D6D598E" w14:textId="77777777" w:rsidR="003E78AB" w:rsidRDefault="00010BF9">
            <w:pPr>
              <w:pStyle w:val="aff6"/>
              <w:topLinePunct/>
            </w:pPr>
            <w:r>
              <w:t>0.082543|32</w:t>
            </w:r>
          </w:p>
        </w:tc>
        <w:tc>
          <w:tcPr>
            <w:tcW w:w="1022" w:type="dxa"/>
            <w:vAlign w:val="center"/>
          </w:tcPr>
          <w:p w14:paraId="571158E7" w14:textId="77777777" w:rsidR="003E78AB" w:rsidRDefault="00010BF9">
            <w:pPr>
              <w:pStyle w:val="aff6"/>
              <w:topLinePunct/>
            </w:pPr>
            <w:r>
              <w:t>0.0</w:t>
            </w:r>
          </w:p>
        </w:tc>
        <w:tc>
          <w:tcPr>
            <w:tcW w:w="1022" w:type="dxa"/>
            <w:vAlign w:val="center"/>
          </w:tcPr>
          <w:p w14:paraId="4F8C7839" w14:textId="77777777" w:rsidR="003E78AB" w:rsidRDefault="00010BF9">
            <w:pPr>
              <w:pStyle w:val="aff6"/>
              <w:topLinePunct/>
            </w:pPr>
            <w:r>
              <w:t>0.0</w:t>
            </w:r>
          </w:p>
        </w:tc>
        <w:tc>
          <w:tcPr>
            <w:tcW w:w="1022" w:type="dxa"/>
            <w:vAlign w:val="center"/>
          </w:tcPr>
          <w:p w14:paraId="5AED0889" w14:textId="77777777" w:rsidR="003E78AB" w:rsidRDefault="00010BF9">
            <w:pPr>
              <w:pStyle w:val="aff6"/>
              <w:topLinePunct/>
            </w:pPr>
            <w:r>
              <w:t>0.0</w:t>
            </w:r>
          </w:p>
        </w:tc>
        <w:tc>
          <w:tcPr>
            <w:tcW w:w="1023" w:type="dxa"/>
            <w:vAlign w:val="center"/>
          </w:tcPr>
          <w:p w14:paraId="526D43D7" w14:textId="77777777" w:rsidR="003E78AB" w:rsidRDefault="00010BF9">
            <w:pPr>
              <w:pStyle w:val="aff6"/>
              <w:topLinePunct/>
            </w:pPr>
            <w:r>
              <w:t>0.0</w:t>
            </w:r>
          </w:p>
        </w:tc>
        <w:tc>
          <w:tcPr>
            <w:tcW w:w="1020" w:type="dxa"/>
            <w:vAlign w:val="center"/>
          </w:tcPr>
          <w:p w14:paraId="44D0614D" w14:textId="77777777" w:rsidR="003E78AB" w:rsidRDefault="00010BF9">
            <w:pPr>
              <w:pStyle w:val="aff6"/>
              <w:topLinePunct/>
            </w:pPr>
            <w:r>
              <w:t>0.0</w:t>
            </w:r>
          </w:p>
        </w:tc>
        <w:tc>
          <w:tcPr>
            <w:tcW w:w="1020" w:type="dxa"/>
            <w:vAlign w:val="center"/>
          </w:tcPr>
          <w:p w14:paraId="0931AAC8" w14:textId="77777777" w:rsidR="003E78AB" w:rsidRDefault="00010BF9">
            <w:pPr>
              <w:pStyle w:val="aff6"/>
              <w:topLinePunct/>
            </w:pPr>
            <w:r>
              <w:t>0.0</w:t>
            </w:r>
          </w:p>
        </w:tc>
        <w:tc>
          <w:tcPr>
            <w:tcW w:w="1023" w:type="dxa"/>
            <w:vAlign w:val="center"/>
          </w:tcPr>
          <w:p w14:paraId="51716C09" w14:textId="77777777" w:rsidR="003E78AB" w:rsidRDefault="00010BF9">
            <w:pPr>
              <w:pStyle w:val="aff6"/>
              <w:topLinePunct/>
            </w:pPr>
            <w:r>
              <w:t>0.082266</w:t>
            </w:r>
          </w:p>
        </w:tc>
        <w:tc>
          <w:tcPr>
            <w:tcW w:w="1020" w:type="dxa"/>
            <w:vAlign w:val="center"/>
          </w:tcPr>
          <w:p w14:paraId="074A63A6" w14:textId="77777777" w:rsidR="003E78AB" w:rsidRDefault="00010BF9">
            <w:pPr>
              <w:pStyle w:val="aff6"/>
              <w:topLinePunct/>
            </w:pPr>
            <w:r>
              <w:t>0.000335</w:t>
            </w:r>
          </w:p>
        </w:tc>
        <w:tc>
          <w:tcPr>
            <w:tcW w:w="1022" w:type="dxa"/>
            <w:vAlign w:val="center"/>
          </w:tcPr>
          <w:p w14:paraId="4BDD8AA1" w14:textId="77777777" w:rsidR="003E78AB" w:rsidRDefault="00010BF9">
            <w:pPr>
              <w:pStyle w:val="aff6"/>
              <w:topLinePunct/>
            </w:pPr>
            <w:r>
              <w:t>0.0</w:t>
            </w:r>
          </w:p>
        </w:tc>
        <w:tc>
          <w:tcPr>
            <w:tcW w:w="896" w:type="dxa"/>
            <w:vAlign w:val="center"/>
          </w:tcPr>
          <w:p w14:paraId="0D1C2C97" w14:textId="77777777" w:rsidR="003E78AB" w:rsidRDefault="00010BF9">
            <w:pPr>
              <w:pStyle w:val="aff6"/>
              <w:topLinePunct/>
            </w:pPr>
            <w:r>
              <w:t>0.0</w:t>
            </w:r>
          </w:p>
        </w:tc>
        <w:tc>
          <w:tcPr>
            <w:tcW w:w="677" w:type="dxa"/>
            <w:vAlign w:val="center"/>
          </w:tcPr>
          <w:p w14:paraId="0CE75821" w14:textId="77777777" w:rsidR="003E78AB" w:rsidRDefault="00010BF9">
            <w:pPr>
              <w:pStyle w:val="aff6"/>
              <w:topLinePunct/>
            </w:pPr>
            <w:r>
              <w:t>0.0</w:t>
            </w:r>
          </w:p>
        </w:tc>
      </w:tr>
      <w:tr w:rsidR="003E78AB" w14:paraId="1F8188AD" w14:textId="77777777">
        <w:trPr>
          <w:trHeight w:val="287"/>
        </w:trPr>
        <w:tc>
          <w:tcPr>
            <w:tcW w:w="1013" w:type="dxa"/>
            <w:vAlign w:val="center"/>
          </w:tcPr>
          <w:p w14:paraId="22C7653E" w14:textId="77777777" w:rsidR="003E78AB" w:rsidRDefault="00010BF9">
            <w:pPr>
              <w:pStyle w:val="aff6"/>
              <w:topLinePunct/>
            </w:pPr>
            <w:r>
              <w:t>3000</w:t>
            </w:r>
          </w:p>
        </w:tc>
        <w:tc>
          <w:tcPr>
            <w:tcW w:w="2185" w:type="dxa"/>
            <w:vAlign w:val="center"/>
          </w:tcPr>
          <w:p w14:paraId="5683CA59" w14:textId="77777777" w:rsidR="003E78AB" w:rsidRDefault="00010BF9">
            <w:pPr>
              <w:pStyle w:val="aff6"/>
              <w:topLinePunct/>
            </w:pPr>
            <w:r>
              <w:t>0.065313|38</w:t>
            </w:r>
          </w:p>
        </w:tc>
        <w:tc>
          <w:tcPr>
            <w:tcW w:w="1022" w:type="dxa"/>
            <w:vAlign w:val="center"/>
          </w:tcPr>
          <w:p w14:paraId="18F69578" w14:textId="77777777" w:rsidR="003E78AB" w:rsidRDefault="00010BF9">
            <w:pPr>
              <w:pStyle w:val="aff6"/>
              <w:topLinePunct/>
            </w:pPr>
            <w:r>
              <w:t>0.0</w:t>
            </w:r>
          </w:p>
        </w:tc>
        <w:tc>
          <w:tcPr>
            <w:tcW w:w="1022" w:type="dxa"/>
            <w:vAlign w:val="center"/>
          </w:tcPr>
          <w:p w14:paraId="46D0EDF7" w14:textId="77777777" w:rsidR="003E78AB" w:rsidRDefault="00010BF9">
            <w:pPr>
              <w:pStyle w:val="aff6"/>
              <w:topLinePunct/>
            </w:pPr>
            <w:r>
              <w:t>0.0</w:t>
            </w:r>
          </w:p>
        </w:tc>
        <w:tc>
          <w:tcPr>
            <w:tcW w:w="1022" w:type="dxa"/>
            <w:vAlign w:val="center"/>
          </w:tcPr>
          <w:p w14:paraId="5846009C" w14:textId="77777777" w:rsidR="003E78AB" w:rsidRDefault="00010BF9">
            <w:pPr>
              <w:pStyle w:val="aff6"/>
              <w:topLinePunct/>
            </w:pPr>
            <w:r>
              <w:t>0.0</w:t>
            </w:r>
          </w:p>
        </w:tc>
        <w:tc>
          <w:tcPr>
            <w:tcW w:w="1023" w:type="dxa"/>
            <w:vAlign w:val="center"/>
          </w:tcPr>
          <w:p w14:paraId="10923F62" w14:textId="77777777" w:rsidR="003E78AB" w:rsidRDefault="00010BF9">
            <w:pPr>
              <w:pStyle w:val="aff6"/>
              <w:topLinePunct/>
            </w:pPr>
            <w:r>
              <w:t>0.0</w:t>
            </w:r>
          </w:p>
        </w:tc>
        <w:tc>
          <w:tcPr>
            <w:tcW w:w="1020" w:type="dxa"/>
            <w:vAlign w:val="center"/>
          </w:tcPr>
          <w:p w14:paraId="55965CDB" w14:textId="77777777" w:rsidR="003E78AB" w:rsidRDefault="00010BF9">
            <w:pPr>
              <w:pStyle w:val="aff6"/>
              <w:topLinePunct/>
            </w:pPr>
            <w:r>
              <w:t>0.0</w:t>
            </w:r>
          </w:p>
        </w:tc>
        <w:tc>
          <w:tcPr>
            <w:tcW w:w="1020" w:type="dxa"/>
            <w:vAlign w:val="center"/>
          </w:tcPr>
          <w:p w14:paraId="047517A0" w14:textId="77777777" w:rsidR="003E78AB" w:rsidRDefault="00010BF9">
            <w:pPr>
              <w:pStyle w:val="aff6"/>
              <w:topLinePunct/>
            </w:pPr>
            <w:r>
              <w:t>0.0</w:t>
            </w:r>
          </w:p>
        </w:tc>
        <w:tc>
          <w:tcPr>
            <w:tcW w:w="1023" w:type="dxa"/>
            <w:vAlign w:val="center"/>
          </w:tcPr>
          <w:p w14:paraId="1B181557" w14:textId="77777777" w:rsidR="003E78AB" w:rsidRDefault="00010BF9">
            <w:pPr>
              <w:pStyle w:val="aff6"/>
              <w:topLinePunct/>
            </w:pPr>
            <w:r>
              <w:t>0.000021</w:t>
            </w:r>
          </w:p>
        </w:tc>
        <w:tc>
          <w:tcPr>
            <w:tcW w:w="1020" w:type="dxa"/>
            <w:vAlign w:val="center"/>
          </w:tcPr>
          <w:p w14:paraId="05F777A3" w14:textId="77777777" w:rsidR="003E78AB" w:rsidRDefault="00010BF9">
            <w:pPr>
              <w:pStyle w:val="aff6"/>
              <w:topLinePunct/>
            </w:pPr>
            <w:r>
              <w:t>0.065296</w:t>
            </w:r>
          </w:p>
        </w:tc>
        <w:tc>
          <w:tcPr>
            <w:tcW w:w="1022" w:type="dxa"/>
            <w:vAlign w:val="center"/>
          </w:tcPr>
          <w:p w14:paraId="01B55134" w14:textId="77777777" w:rsidR="003E78AB" w:rsidRDefault="00010BF9">
            <w:pPr>
              <w:pStyle w:val="aff6"/>
              <w:topLinePunct/>
            </w:pPr>
            <w:r>
              <w:t>0.0</w:t>
            </w:r>
          </w:p>
        </w:tc>
        <w:tc>
          <w:tcPr>
            <w:tcW w:w="896" w:type="dxa"/>
            <w:vAlign w:val="center"/>
          </w:tcPr>
          <w:p w14:paraId="23F8F915" w14:textId="77777777" w:rsidR="003E78AB" w:rsidRDefault="00010BF9">
            <w:pPr>
              <w:pStyle w:val="aff6"/>
              <w:topLinePunct/>
            </w:pPr>
            <w:r>
              <w:t>0.0</w:t>
            </w:r>
          </w:p>
        </w:tc>
        <w:tc>
          <w:tcPr>
            <w:tcW w:w="677" w:type="dxa"/>
            <w:vAlign w:val="center"/>
          </w:tcPr>
          <w:p w14:paraId="21784F28" w14:textId="77777777" w:rsidR="003E78AB" w:rsidRDefault="00010BF9">
            <w:pPr>
              <w:pStyle w:val="aff6"/>
              <w:topLinePunct/>
            </w:pPr>
            <w:r>
              <w:t>0.0</w:t>
            </w:r>
          </w:p>
        </w:tc>
      </w:tr>
      <w:tr w:rsidR="003E78AB" w14:paraId="49552FC1" w14:textId="77777777">
        <w:trPr>
          <w:trHeight w:val="288"/>
        </w:trPr>
        <w:tc>
          <w:tcPr>
            <w:tcW w:w="1013" w:type="dxa"/>
            <w:vAlign w:val="center"/>
          </w:tcPr>
          <w:p w14:paraId="476511D7" w14:textId="77777777" w:rsidR="003E78AB" w:rsidRDefault="00010BF9">
            <w:pPr>
              <w:pStyle w:val="aff6"/>
              <w:topLinePunct/>
            </w:pPr>
            <w:r>
              <w:t>3500</w:t>
            </w:r>
          </w:p>
        </w:tc>
        <w:tc>
          <w:tcPr>
            <w:tcW w:w="2185" w:type="dxa"/>
            <w:vAlign w:val="center"/>
          </w:tcPr>
          <w:p w14:paraId="0B6A3967" w14:textId="77777777" w:rsidR="003E78AB" w:rsidRDefault="00010BF9">
            <w:pPr>
              <w:pStyle w:val="aff6"/>
              <w:topLinePunct/>
            </w:pPr>
            <w:r>
              <w:t>0.053522|44</w:t>
            </w:r>
          </w:p>
        </w:tc>
        <w:tc>
          <w:tcPr>
            <w:tcW w:w="1022" w:type="dxa"/>
            <w:vAlign w:val="center"/>
          </w:tcPr>
          <w:p w14:paraId="0528E529" w14:textId="77777777" w:rsidR="003E78AB" w:rsidRDefault="00010BF9">
            <w:pPr>
              <w:pStyle w:val="aff6"/>
              <w:topLinePunct/>
            </w:pPr>
            <w:r>
              <w:t>0.0</w:t>
            </w:r>
          </w:p>
        </w:tc>
        <w:tc>
          <w:tcPr>
            <w:tcW w:w="1022" w:type="dxa"/>
            <w:vAlign w:val="center"/>
          </w:tcPr>
          <w:p w14:paraId="0CEC06FA" w14:textId="77777777" w:rsidR="003E78AB" w:rsidRDefault="00010BF9">
            <w:pPr>
              <w:pStyle w:val="aff6"/>
              <w:topLinePunct/>
            </w:pPr>
            <w:r>
              <w:t>0.0</w:t>
            </w:r>
          </w:p>
        </w:tc>
        <w:tc>
          <w:tcPr>
            <w:tcW w:w="1022" w:type="dxa"/>
            <w:vAlign w:val="center"/>
          </w:tcPr>
          <w:p w14:paraId="55D45752" w14:textId="77777777" w:rsidR="003E78AB" w:rsidRDefault="00010BF9">
            <w:pPr>
              <w:pStyle w:val="aff6"/>
              <w:topLinePunct/>
            </w:pPr>
            <w:r>
              <w:t>0.0</w:t>
            </w:r>
          </w:p>
        </w:tc>
        <w:tc>
          <w:tcPr>
            <w:tcW w:w="1023" w:type="dxa"/>
            <w:vAlign w:val="center"/>
          </w:tcPr>
          <w:p w14:paraId="4E26CEF6" w14:textId="77777777" w:rsidR="003E78AB" w:rsidRDefault="00010BF9">
            <w:pPr>
              <w:pStyle w:val="aff6"/>
              <w:topLinePunct/>
            </w:pPr>
            <w:r>
              <w:t>0.0</w:t>
            </w:r>
          </w:p>
        </w:tc>
        <w:tc>
          <w:tcPr>
            <w:tcW w:w="1020" w:type="dxa"/>
            <w:vAlign w:val="center"/>
          </w:tcPr>
          <w:p w14:paraId="41DE9BF8" w14:textId="77777777" w:rsidR="003E78AB" w:rsidRDefault="00010BF9">
            <w:pPr>
              <w:pStyle w:val="aff6"/>
              <w:topLinePunct/>
            </w:pPr>
            <w:r>
              <w:t>0.0</w:t>
            </w:r>
          </w:p>
        </w:tc>
        <w:tc>
          <w:tcPr>
            <w:tcW w:w="1020" w:type="dxa"/>
            <w:vAlign w:val="center"/>
          </w:tcPr>
          <w:p w14:paraId="14124274" w14:textId="77777777" w:rsidR="003E78AB" w:rsidRDefault="00010BF9">
            <w:pPr>
              <w:pStyle w:val="aff6"/>
              <w:topLinePunct/>
            </w:pPr>
            <w:r>
              <w:t>0.0</w:t>
            </w:r>
          </w:p>
        </w:tc>
        <w:tc>
          <w:tcPr>
            <w:tcW w:w="1023" w:type="dxa"/>
            <w:vAlign w:val="center"/>
          </w:tcPr>
          <w:p w14:paraId="1B8C08F3" w14:textId="77777777" w:rsidR="003E78AB" w:rsidRDefault="00010BF9">
            <w:pPr>
              <w:pStyle w:val="aff6"/>
              <w:topLinePunct/>
            </w:pPr>
            <w:r>
              <w:t>0.0</w:t>
            </w:r>
          </w:p>
        </w:tc>
        <w:tc>
          <w:tcPr>
            <w:tcW w:w="1020" w:type="dxa"/>
            <w:vAlign w:val="center"/>
          </w:tcPr>
          <w:p w14:paraId="66401D94" w14:textId="77777777" w:rsidR="003E78AB" w:rsidRDefault="00010BF9">
            <w:pPr>
              <w:pStyle w:val="aff6"/>
              <w:topLinePunct/>
            </w:pPr>
            <w:r>
              <w:t>0.045182</w:t>
            </w:r>
          </w:p>
        </w:tc>
        <w:tc>
          <w:tcPr>
            <w:tcW w:w="1022" w:type="dxa"/>
            <w:vAlign w:val="center"/>
          </w:tcPr>
          <w:p w14:paraId="44BBA5A9" w14:textId="77777777" w:rsidR="003E78AB" w:rsidRDefault="00010BF9">
            <w:pPr>
              <w:pStyle w:val="aff6"/>
              <w:topLinePunct/>
            </w:pPr>
            <w:r>
              <w:t>0.00915</w:t>
            </w:r>
          </w:p>
        </w:tc>
        <w:tc>
          <w:tcPr>
            <w:tcW w:w="896" w:type="dxa"/>
            <w:vAlign w:val="center"/>
          </w:tcPr>
          <w:p w14:paraId="6DCF17A3" w14:textId="77777777" w:rsidR="003E78AB" w:rsidRDefault="00010BF9">
            <w:pPr>
              <w:pStyle w:val="aff6"/>
              <w:topLinePunct/>
            </w:pPr>
            <w:r>
              <w:t>0.0</w:t>
            </w:r>
          </w:p>
        </w:tc>
        <w:tc>
          <w:tcPr>
            <w:tcW w:w="677" w:type="dxa"/>
            <w:vAlign w:val="center"/>
          </w:tcPr>
          <w:p w14:paraId="3CCAC0DA" w14:textId="77777777" w:rsidR="003E78AB" w:rsidRDefault="00010BF9">
            <w:pPr>
              <w:pStyle w:val="aff6"/>
              <w:topLinePunct/>
            </w:pPr>
            <w:r>
              <w:t>0.0</w:t>
            </w:r>
          </w:p>
        </w:tc>
      </w:tr>
      <w:tr w:rsidR="003E78AB" w14:paraId="024FD4C5" w14:textId="77777777">
        <w:trPr>
          <w:trHeight w:val="287"/>
        </w:trPr>
        <w:tc>
          <w:tcPr>
            <w:tcW w:w="1013" w:type="dxa"/>
            <w:vAlign w:val="center"/>
          </w:tcPr>
          <w:p w14:paraId="6415E0AB" w14:textId="77777777" w:rsidR="003E78AB" w:rsidRDefault="00010BF9">
            <w:pPr>
              <w:pStyle w:val="aff6"/>
              <w:topLinePunct/>
            </w:pPr>
            <w:r>
              <w:t>4000</w:t>
            </w:r>
          </w:p>
        </w:tc>
        <w:tc>
          <w:tcPr>
            <w:tcW w:w="2185" w:type="dxa"/>
            <w:vAlign w:val="center"/>
          </w:tcPr>
          <w:p w14:paraId="3658ECFE" w14:textId="77777777" w:rsidR="003E78AB" w:rsidRDefault="00010BF9">
            <w:pPr>
              <w:pStyle w:val="aff6"/>
              <w:topLinePunct/>
            </w:pPr>
            <w:r>
              <w:t>0.045004|49</w:t>
            </w:r>
          </w:p>
        </w:tc>
        <w:tc>
          <w:tcPr>
            <w:tcW w:w="1022" w:type="dxa"/>
            <w:vAlign w:val="center"/>
          </w:tcPr>
          <w:p w14:paraId="0C88A332" w14:textId="77777777" w:rsidR="003E78AB" w:rsidRDefault="00010BF9">
            <w:pPr>
              <w:pStyle w:val="aff6"/>
              <w:topLinePunct/>
            </w:pPr>
            <w:r>
              <w:t>0.0</w:t>
            </w:r>
          </w:p>
        </w:tc>
        <w:tc>
          <w:tcPr>
            <w:tcW w:w="1022" w:type="dxa"/>
            <w:vAlign w:val="center"/>
          </w:tcPr>
          <w:p w14:paraId="70E95D3F" w14:textId="77777777" w:rsidR="003E78AB" w:rsidRDefault="00010BF9">
            <w:pPr>
              <w:pStyle w:val="aff6"/>
              <w:topLinePunct/>
            </w:pPr>
            <w:r>
              <w:t>0.0</w:t>
            </w:r>
          </w:p>
        </w:tc>
        <w:tc>
          <w:tcPr>
            <w:tcW w:w="1022" w:type="dxa"/>
            <w:vAlign w:val="center"/>
          </w:tcPr>
          <w:p w14:paraId="43AB40E8" w14:textId="77777777" w:rsidR="003E78AB" w:rsidRDefault="00010BF9">
            <w:pPr>
              <w:pStyle w:val="aff6"/>
              <w:topLinePunct/>
            </w:pPr>
            <w:r>
              <w:t>0.0</w:t>
            </w:r>
          </w:p>
        </w:tc>
        <w:tc>
          <w:tcPr>
            <w:tcW w:w="1023" w:type="dxa"/>
            <w:vAlign w:val="center"/>
          </w:tcPr>
          <w:p w14:paraId="1BE5EA69" w14:textId="77777777" w:rsidR="003E78AB" w:rsidRDefault="00010BF9">
            <w:pPr>
              <w:pStyle w:val="aff6"/>
              <w:topLinePunct/>
            </w:pPr>
            <w:r>
              <w:t>0.0</w:t>
            </w:r>
          </w:p>
        </w:tc>
        <w:tc>
          <w:tcPr>
            <w:tcW w:w="1020" w:type="dxa"/>
            <w:vAlign w:val="center"/>
          </w:tcPr>
          <w:p w14:paraId="5E5E87B9" w14:textId="77777777" w:rsidR="003E78AB" w:rsidRDefault="00010BF9">
            <w:pPr>
              <w:pStyle w:val="aff6"/>
              <w:topLinePunct/>
            </w:pPr>
            <w:r>
              <w:t>0.0</w:t>
            </w:r>
          </w:p>
        </w:tc>
        <w:tc>
          <w:tcPr>
            <w:tcW w:w="1020" w:type="dxa"/>
            <w:vAlign w:val="center"/>
          </w:tcPr>
          <w:p w14:paraId="6B89AC48" w14:textId="77777777" w:rsidR="003E78AB" w:rsidRDefault="00010BF9">
            <w:pPr>
              <w:pStyle w:val="aff6"/>
              <w:topLinePunct/>
            </w:pPr>
            <w:r>
              <w:t>0.0</w:t>
            </w:r>
          </w:p>
        </w:tc>
        <w:tc>
          <w:tcPr>
            <w:tcW w:w="1023" w:type="dxa"/>
            <w:vAlign w:val="center"/>
          </w:tcPr>
          <w:p w14:paraId="1BA32B76" w14:textId="77777777" w:rsidR="003E78AB" w:rsidRDefault="00010BF9">
            <w:pPr>
              <w:pStyle w:val="aff6"/>
              <w:topLinePunct/>
            </w:pPr>
            <w:r>
              <w:t>0.0</w:t>
            </w:r>
          </w:p>
        </w:tc>
        <w:tc>
          <w:tcPr>
            <w:tcW w:w="1020" w:type="dxa"/>
            <w:vAlign w:val="center"/>
          </w:tcPr>
          <w:p w14:paraId="5DC71785" w14:textId="77777777" w:rsidR="003E78AB" w:rsidRDefault="00010BF9">
            <w:pPr>
              <w:pStyle w:val="aff6"/>
              <w:topLinePunct/>
            </w:pPr>
            <w:r>
              <w:t>0.000009</w:t>
            </w:r>
          </w:p>
        </w:tc>
        <w:tc>
          <w:tcPr>
            <w:tcW w:w="1022" w:type="dxa"/>
            <w:vAlign w:val="center"/>
          </w:tcPr>
          <w:p w14:paraId="39DE385C" w14:textId="77777777" w:rsidR="003E78AB" w:rsidRDefault="00010BF9">
            <w:pPr>
              <w:pStyle w:val="aff6"/>
              <w:topLinePunct/>
            </w:pPr>
            <w:r>
              <w:t>0.045003</w:t>
            </w:r>
          </w:p>
        </w:tc>
        <w:tc>
          <w:tcPr>
            <w:tcW w:w="896" w:type="dxa"/>
            <w:vAlign w:val="center"/>
          </w:tcPr>
          <w:p w14:paraId="1D25029B" w14:textId="77777777" w:rsidR="003E78AB" w:rsidRDefault="00010BF9">
            <w:pPr>
              <w:pStyle w:val="aff6"/>
              <w:topLinePunct/>
            </w:pPr>
            <w:r>
              <w:t>0.0</w:t>
            </w:r>
          </w:p>
        </w:tc>
        <w:tc>
          <w:tcPr>
            <w:tcW w:w="677" w:type="dxa"/>
            <w:vAlign w:val="center"/>
          </w:tcPr>
          <w:p w14:paraId="2FE1BE57" w14:textId="77777777" w:rsidR="003E78AB" w:rsidRDefault="00010BF9">
            <w:pPr>
              <w:pStyle w:val="aff6"/>
              <w:topLinePunct/>
            </w:pPr>
            <w:r>
              <w:t>0.0</w:t>
            </w:r>
          </w:p>
        </w:tc>
      </w:tr>
      <w:tr w:rsidR="003E78AB" w14:paraId="2719D8E2" w14:textId="77777777">
        <w:trPr>
          <w:trHeight w:val="302"/>
        </w:trPr>
        <w:tc>
          <w:tcPr>
            <w:tcW w:w="1013" w:type="dxa"/>
            <w:vAlign w:val="center"/>
          </w:tcPr>
          <w:p w14:paraId="4BA22FC8" w14:textId="77777777" w:rsidR="003E78AB" w:rsidRDefault="00010BF9">
            <w:pPr>
              <w:pStyle w:val="aff6"/>
              <w:topLinePunct/>
            </w:pPr>
            <w:r>
              <w:t>5000</w:t>
            </w:r>
          </w:p>
        </w:tc>
        <w:tc>
          <w:tcPr>
            <w:tcW w:w="2185" w:type="dxa"/>
            <w:vAlign w:val="center"/>
          </w:tcPr>
          <w:p w14:paraId="280FD790" w14:textId="77777777" w:rsidR="003E78AB" w:rsidRDefault="00010BF9">
            <w:pPr>
              <w:pStyle w:val="aff6"/>
              <w:topLinePunct/>
            </w:pPr>
            <w:r>
              <w:t>0.033591|61</w:t>
            </w:r>
          </w:p>
        </w:tc>
        <w:tc>
          <w:tcPr>
            <w:tcW w:w="1022" w:type="dxa"/>
            <w:vAlign w:val="center"/>
          </w:tcPr>
          <w:p w14:paraId="02CD79DF" w14:textId="77777777" w:rsidR="003E78AB" w:rsidRDefault="00010BF9">
            <w:pPr>
              <w:pStyle w:val="aff6"/>
              <w:topLinePunct/>
            </w:pPr>
            <w:r>
              <w:t>0.0</w:t>
            </w:r>
          </w:p>
        </w:tc>
        <w:tc>
          <w:tcPr>
            <w:tcW w:w="1022" w:type="dxa"/>
            <w:vAlign w:val="center"/>
          </w:tcPr>
          <w:p w14:paraId="1FC90939" w14:textId="77777777" w:rsidR="003E78AB" w:rsidRDefault="00010BF9">
            <w:pPr>
              <w:pStyle w:val="aff6"/>
              <w:topLinePunct/>
            </w:pPr>
            <w:r>
              <w:t>0.0</w:t>
            </w:r>
          </w:p>
        </w:tc>
        <w:tc>
          <w:tcPr>
            <w:tcW w:w="1022" w:type="dxa"/>
            <w:vAlign w:val="center"/>
          </w:tcPr>
          <w:p w14:paraId="7E73A5CC" w14:textId="77777777" w:rsidR="003E78AB" w:rsidRDefault="00010BF9">
            <w:pPr>
              <w:pStyle w:val="aff6"/>
              <w:topLinePunct/>
            </w:pPr>
            <w:r>
              <w:t>0.0</w:t>
            </w:r>
          </w:p>
        </w:tc>
        <w:tc>
          <w:tcPr>
            <w:tcW w:w="1023" w:type="dxa"/>
            <w:vAlign w:val="center"/>
          </w:tcPr>
          <w:p w14:paraId="35AC8F00" w14:textId="77777777" w:rsidR="003E78AB" w:rsidRDefault="00010BF9">
            <w:pPr>
              <w:pStyle w:val="aff6"/>
              <w:topLinePunct/>
            </w:pPr>
            <w:r>
              <w:t>0.0</w:t>
            </w:r>
          </w:p>
        </w:tc>
        <w:tc>
          <w:tcPr>
            <w:tcW w:w="1020" w:type="dxa"/>
            <w:vAlign w:val="center"/>
          </w:tcPr>
          <w:p w14:paraId="37F6D1A3" w14:textId="77777777" w:rsidR="003E78AB" w:rsidRDefault="00010BF9">
            <w:pPr>
              <w:pStyle w:val="aff6"/>
              <w:topLinePunct/>
            </w:pPr>
            <w:r>
              <w:t>0.0</w:t>
            </w:r>
          </w:p>
        </w:tc>
        <w:tc>
          <w:tcPr>
            <w:tcW w:w="1020" w:type="dxa"/>
            <w:vAlign w:val="center"/>
          </w:tcPr>
          <w:p w14:paraId="12D51D81" w14:textId="77777777" w:rsidR="003E78AB" w:rsidRDefault="00010BF9">
            <w:pPr>
              <w:pStyle w:val="aff6"/>
              <w:topLinePunct/>
            </w:pPr>
            <w:r>
              <w:t>0.0</w:t>
            </w:r>
          </w:p>
        </w:tc>
        <w:tc>
          <w:tcPr>
            <w:tcW w:w="1023" w:type="dxa"/>
            <w:vAlign w:val="center"/>
          </w:tcPr>
          <w:p w14:paraId="14D995B0" w14:textId="77777777" w:rsidR="003E78AB" w:rsidRDefault="00010BF9">
            <w:pPr>
              <w:pStyle w:val="aff6"/>
              <w:topLinePunct/>
            </w:pPr>
            <w:r>
              <w:t>0.0</w:t>
            </w:r>
          </w:p>
        </w:tc>
        <w:tc>
          <w:tcPr>
            <w:tcW w:w="1020" w:type="dxa"/>
            <w:vAlign w:val="center"/>
          </w:tcPr>
          <w:p w14:paraId="7A5040C6" w14:textId="77777777" w:rsidR="003E78AB" w:rsidRDefault="00010BF9">
            <w:pPr>
              <w:pStyle w:val="aff6"/>
              <w:topLinePunct/>
            </w:pPr>
            <w:r>
              <w:t>0.0</w:t>
            </w:r>
          </w:p>
        </w:tc>
        <w:tc>
          <w:tcPr>
            <w:tcW w:w="1022" w:type="dxa"/>
            <w:vAlign w:val="center"/>
          </w:tcPr>
          <w:p w14:paraId="73D1E2D7" w14:textId="77777777" w:rsidR="003E78AB" w:rsidRDefault="00010BF9">
            <w:pPr>
              <w:pStyle w:val="aff6"/>
              <w:topLinePunct/>
            </w:pPr>
            <w:r>
              <w:t>0.000005</w:t>
            </w:r>
          </w:p>
        </w:tc>
        <w:tc>
          <w:tcPr>
            <w:tcW w:w="896" w:type="dxa"/>
            <w:vAlign w:val="center"/>
          </w:tcPr>
          <w:p w14:paraId="55F83622" w14:textId="77777777" w:rsidR="003E78AB" w:rsidRDefault="00010BF9">
            <w:pPr>
              <w:pStyle w:val="aff6"/>
              <w:topLinePunct/>
            </w:pPr>
            <w:r>
              <w:t>0.033584</w:t>
            </w:r>
          </w:p>
        </w:tc>
        <w:tc>
          <w:tcPr>
            <w:tcW w:w="677" w:type="dxa"/>
            <w:vAlign w:val="center"/>
          </w:tcPr>
          <w:p w14:paraId="2E41A313" w14:textId="77777777" w:rsidR="003E78AB" w:rsidRDefault="00010BF9">
            <w:pPr>
              <w:pStyle w:val="aff6"/>
              <w:topLinePunct/>
            </w:pPr>
            <w:r>
              <w:t>0.0</w:t>
            </w:r>
          </w:p>
        </w:tc>
      </w:tr>
    </w:tbl>
    <w:p w14:paraId="25A22CCC" w14:textId="77777777" w:rsidR="003E78AB" w:rsidRDefault="00010BF9">
      <w:pPr>
        <w:pStyle w:val="a"/>
        <w:spacing w:before="120"/>
        <w:ind w:left="425" w:hanging="425"/>
        <w:jc w:val="right"/>
      </w:pPr>
      <w:bookmarkStart w:id="440" w:name="_Ref2102"/>
      <w:r>
        <w:t>最常见气象条件不同时段的</w:t>
      </w:r>
      <w:r>
        <w:t>V</w:t>
      </w:r>
      <w:r>
        <w:rPr>
          <w:vertAlign w:val="subscript"/>
        </w:rPr>
        <w:t>2</w:t>
      </w:r>
      <w:r>
        <w:t>O</w:t>
      </w:r>
      <w:r>
        <w:rPr>
          <w:vertAlign w:val="subscript"/>
        </w:rPr>
        <w:t>5</w:t>
      </w:r>
      <w:r>
        <w:t>地面浓度值</w:t>
      </w:r>
      <w:r>
        <w:rPr>
          <w:rFonts w:hint="eastAsia"/>
        </w:rPr>
        <w:t xml:space="preserve">                         </w:t>
      </w:r>
      <w:r>
        <w:t>单位：</w:t>
      </w:r>
      <w:r>
        <w:t>mg/m</w:t>
      </w:r>
      <w:r>
        <w:rPr>
          <w:vertAlign w:val="superscript"/>
        </w:rPr>
        <w:t>3</w:t>
      </w:r>
      <w:bookmarkEnd w:id="440"/>
    </w:p>
    <w:p w14:paraId="599D47A7" w14:textId="77777777" w:rsidR="003E78AB" w:rsidRDefault="003E78AB">
      <w:pPr>
        <w:spacing w:line="33" w:lineRule="exact"/>
        <w:ind w:firstLine="480"/>
      </w:pPr>
    </w:p>
    <w:tbl>
      <w:tblPr>
        <w:tblStyle w:val="TableNormal"/>
        <w:tblW w:w="139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2185"/>
        <w:gridCol w:w="1022"/>
        <w:gridCol w:w="1022"/>
        <w:gridCol w:w="1022"/>
        <w:gridCol w:w="1023"/>
        <w:gridCol w:w="1020"/>
        <w:gridCol w:w="1020"/>
        <w:gridCol w:w="1023"/>
        <w:gridCol w:w="1020"/>
        <w:gridCol w:w="1022"/>
        <w:gridCol w:w="896"/>
        <w:gridCol w:w="677"/>
      </w:tblGrid>
      <w:tr w:rsidR="003E78AB" w14:paraId="4AF690CC" w14:textId="77777777">
        <w:trPr>
          <w:trHeight w:val="563"/>
          <w:tblHeader/>
        </w:trPr>
        <w:tc>
          <w:tcPr>
            <w:tcW w:w="1013" w:type="dxa"/>
            <w:vAlign w:val="center"/>
          </w:tcPr>
          <w:p w14:paraId="01D2BEB1" w14:textId="77777777" w:rsidR="003E78AB" w:rsidRDefault="00010BF9">
            <w:pPr>
              <w:pStyle w:val="aff6"/>
              <w:topLinePunct/>
              <w:rPr>
                <w:b/>
                <w:bCs/>
              </w:rPr>
            </w:pPr>
            <w:r>
              <w:rPr>
                <w:b/>
                <w:bCs/>
              </w:rPr>
              <w:t>距离</w:t>
            </w:r>
          </w:p>
        </w:tc>
        <w:tc>
          <w:tcPr>
            <w:tcW w:w="2185" w:type="dxa"/>
            <w:vAlign w:val="center"/>
          </w:tcPr>
          <w:p w14:paraId="0CEA4ACB" w14:textId="77777777" w:rsidR="003E78AB" w:rsidRDefault="00010BF9">
            <w:pPr>
              <w:pStyle w:val="aff6"/>
              <w:topLinePunct/>
              <w:rPr>
                <w:b/>
                <w:bCs/>
              </w:rPr>
            </w:pPr>
            <w:r>
              <w:rPr>
                <w:b/>
                <w:bCs/>
              </w:rPr>
              <w:t>最大浓度</w:t>
            </w:r>
            <w:r>
              <w:rPr>
                <w:b/>
                <w:bCs/>
              </w:rPr>
              <w:t>(mg/m</w:t>
            </w:r>
            <w:r>
              <w:rPr>
                <w:b/>
                <w:bCs/>
                <w:vertAlign w:val="superscript"/>
              </w:rPr>
              <w:t>3</w:t>
            </w:r>
            <w:r>
              <w:rPr>
                <w:b/>
                <w:bCs/>
              </w:rPr>
              <w:t>)</w:t>
            </w:r>
          </w:p>
          <w:p w14:paraId="134413F6" w14:textId="77777777" w:rsidR="003E78AB" w:rsidRDefault="00010BF9">
            <w:pPr>
              <w:pStyle w:val="aff6"/>
              <w:topLinePunct/>
              <w:rPr>
                <w:b/>
                <w:bCs/>
              </w:rPr>
            </w:pPr>
            <w:r>
              <w:rPr>
                <w:b/>
                <w:bCs/>
              </w:rPr>
              <w:t>时间</w:t>
            </w:r>
            <w:r>
              <w:rPr>
                <w:b/>
                <w:bCs/>
              </w:rPr>
              <w:t>(min)</w:t>
            </w:r>
          </w:p>
        </w:tc>
        <w:tc>
          <w:tcPr>
            <w:tcW w:w="1022" w:type="dxa"/>
            <w:vAlign w:val="center"/>
          </w:tcPr>
          <w:p w14:paraId="35BE700B" w14:textId="77777777" w:rsidR="003E78AB" w:rsidRDefault="00010BF9">
            <w:pPr>
              <w:pStyle w:val="aff6"/>
              <w:topLinePunct/>
              <w:rPr>
                <w:b/>
                <w:bCs/>
              </w:rPr>
            </w:pPr>
            <w:r>
              <w:rPr>
                <w:b/>
                <w:bCs/>
              </w:rPr>
              <w:t>1min</w:t>
            </w:r>
          </w:p>
        </w:tc>
        <w:tc>
          <w:tcPr>
            <w:tcW w:w="1022" w:type="dxa"/>
            <w:vAlign w:val="center"/>
          </w:tcPr>
          <w:p w14:paraId="65DD1C9D" w14:textId="77777777" w:rsidR="003E78AB" w:rsidRDefault="00010BF9">
            <w:pPr>
              <w:pStyle w:val="aff6"/>
              <w:topLinePunct/>
              <w:rPr>
                <w:b/>
                <w:bCs/>
              </w:rPr>
            </w:pPr>
            <w:r>
              <w:rPr>
                <w:b/>
                <w:bCs/>
              </w:rPr>
              <w:t>5min</w:t>
            </w:r>
          </w:p>
        </w:tc>
        <w:tc>
          <w:tcPr>
            <w:tcW w:w="1022" w:type="dxa"/>
            <w:vAlign w:val="center"/>
          </w:tcPr>
          <w:p w14:paraId="6E9FA79F" w14:textId="77777777" w:rsidR="003E78AB" w:rsidRDefault="00010BF9">
            <w:pPr>
              <w:pStyle w:val="aff6"/>
              <w:topLinePunct/>
              <w:rPr>
                <w:b/>
                <w:bCs/>
              </w:rPr>
            </w:pPr>
            <w:r>
              <w:rPr>
                <w:b/>
                <w:bCs/>
              </w:rPr>
              <w:t>8min</w:t>
            </w:r>
          </w:p>
        </w:tc>
        <w:tc>
          <w:tcPr>
            <w:tcW w:w="1023" w:type="dxa"/>
            <w:vAlign w:val="center"/>
          </w:tcPr>
          <w:p w14:paraId="7DEE70E0" w14:textId="77777777" w:rsidR="003E78AB" w:rsidRDefault="00010BF9">
            <w:pPr>
              <w:pStyle w:val="aff6"/>
              <w:topLinePunct/>
              <w:rPr>
                <w:b/>
                <w:bCs/>
              </w:rPr>
            </w:pPr>
            <w:r>
              <w:rPr>
                <w:b/>
                <w:bCs/>
              </w:rPr>
              <w:t>10min</w:t>
            </w:r>
          </w:p>
        </w:tc>
        <w:tc>
          <w:tcPr>
            <w:tcW w:w="1020" w:type="dxa"/>
            <w:vAlign w:val="center"/>
          </w:tcPr>
          <w:p w14:paraId="3F6D33CA" w14:textId="77777777" w:rsidR="003E78AB" w:rsidRDefault="00010BF9">
            <w:pPr>
              <w:pStyle w:val="aff6"/>
              <w:topLinePunct/>
              <w:rPr>
                <w:b/>
                <w:bCs/>
              </w:rPr>
            </w:pPr>
            <w:r>
              <w:rPr>
                <w:b/>
                <w:bCs/>
              </w:rPr>
              <w:t>15min</w:t>
            </w:r>
          </w:p>
        </w:tc>
        <w:tc>
          <w:tcPr>
            <w:tcW w:w="1020" w:type="dxa"/>
            <w:vAlign w:val="center"/>
          </w:tcPr>
          <w:p w14:paraId="5B68B44F" w14:textId="77777777" w:rsidR="003E78AB" w:rsidRDefault="00010BF9">
            <w:pPr>
              <w:pStyle w:val="aff6"/>
              <w:topLinePunct/>
              <w:rPr>
                <w:b/>
                <w:bCs/>
              </w:rPr>
            </w:pPr>
            <w:r>
              <w:rPr>
                <w:b/>
                <w:bCs/>
              </w:rPr>
              <w:t>20min</w:t>
            </w:r>
          </w:p>
        </w:tc>
        <w:tc>
          <w:tcPr>
            <w:tcW w:w="1023" w:type="dxa"/>
            <w:vAlign w:val="center"/>
          </w:tcPr>
          <w:p w14:paraId="5ADA1210" w14:textId="77777777" w:rsidR="003E78AB" w:rsidRDefault="00010BF9">
            <w:pPr>
              <w:pStyle w:val="aff6"/>
              <w:topLinePunct/>
              <w:rPr>
                <w:b/>
                <w:bCs/>
              </w:rPr>
            </w:pPr>
            <w:r>
              <w:rPr>
                <w:b/>
                <w:bCs/>
              </w:rPr>
              <w:t>30min</w:t>
            </w:r>
          </w:p>
        </w:tc>
        <w:tc>
          <w:tcPr>
            <w:tcW w:w="1020" w:type="dxa"/>
            <w:vAlign w:val="center"/>
          </w:tcPr>
          <w:p w14:paraId="7AF3E812" w14:textId="77777777" w:rsidR="003E78AB" w:rsidRDefault="00010BF9">
            <w:pPr>
              <w:pStyle w:val="aff6"/>
              <w:topLinePunct/>
              <w:rPr>
                <w:b/>
                <w:bCs/>
              </w:rPr>
            </w:pPr>
            <w:r>
              <w:rPr>
                <w:b/>
                <w:bCs/>
              </w:rPr>
              <w:t>40min</w:t>
            </w:r>
          </w:p>
        </w:tc>
        <w:tc>
          <w:tcPr>
            <w:tcW w:w="1022" w:type="dxa"/>
            <w:vAlign w:val="center"/>
          </w:tcPr>
          <w:p w14:paraId="7A1AE8D5" w14:textId="77777777" w:rsidR="003E78AB" w:rsidRDefault="00010BF9">
            <w:pPr>
              <w:pStyle w:val="aff6"/>
              <w:topLinePunct/>
              <w:rPr>
                <w:b/>
                <w:bCs/>
              </w:rPr>
            </w:pPr>
            <w:r>
              <w:rPr>
                <w:b/>
                <w:bCs/>
              </w:rPr>
              <w:t>50min</w:t>
            </w:r>
          </w:p>
        </w:tc>
        <w:tc>
          <w:tcPr>
            <w:tcW w:w="896" w:type="dxa"/>
            <w:vAlign w:val="center"/>
          </w:tcPr>
          <w:p w14:paraId="75631B9A" w14:textId="77777777" w:rsidR="003E78AB" w:rsidRDefault="00010BF9">
            <w:pPr>
              <w:pStyle w:val="aff6"/>
              <w:topLinePunct/>
              <w:rPr>
                <w:b/>
                <w:bCs/>
              </w:rPr>
            </w:pPr>
            <w:r>
              <w:rPr>
                <w:b/>
                <w:bCs/>
              </w:rPr>
              <w:t>60min</w:t>
            </w:r>
          </w:p>
        </w:tc>
        <w:tc>
          <w:tcPr>
            <w:tcW w:w="677" w:type="dxa"/>
            <w:vAlign w:val="center"/>
          </w:tcPr>
          <w:p w14:paraId="7626D642" w14:textId="77777777" w:rsidR="003E78AB" w:rsidRDefault="00010BF9">
            <w:pPr>
              <w:pStyle w:val="aff6"/>
              <w:topLinePunct/>
              <w:rPr>
                <w:b/>
                <w:bCs/>
              </w:rPr>
            </w:pPr>
            <w:r>
              <w:rPr>
                <w:b/>
                <w:bCs/>
              </w:rPr>
              <w:t>80min</w:t>
            </w:r>
          </w:p>
        </w:tc>
      </w:tr>
      <w:tr w:rsidR="003E78AB" w14:paraId="39D5AFB5" w14:textId="77777777">
        <w:trPr>
          <w:trHeight w:val="287"/>
        </w:trPr>
        <w:tc>
          <w:tcPr>
            <w:tcW w:w="1013" w:type="dxa"/>
            <w:vAlign w:val="center"/>
          </w:tcPr>
          <w:p w14:paraId="701DAE75" w14:textId="77777777" w:rsidR="003E78AB" w:rsidRDefault="00010BF9">
            <w:pPr>
              <w:pStyle w:val="aff6"/>
              <w:topLinePunct/>
            </w:pPr>
            <w:r>
              <w:t>10</w:t>
            </w:r>
          </w:p>
        </w:tc>
        <w:tc>
          <w:tcPr>
            <w:tcW w:w="2185" w:type="dxa"/>
            <w:vAlign w:val="center"/>
          </w:tcPr>
          <w:p w14:paraId="3DBAC23A" w14:textId="77777777" w:rsidR="003E78AB" w:rsidRDefault="00010BF9">
            <w:pPr>
              <w:pStyle w:val="aff6"/>
              <w:topLinePunct/>
            </w:pPr>
            <w:r>
              <w:t>0.0|1</w:t>
            </w:r>
          </w:p>
        </w:tc>
        <w:tc>
          <w:tcPr>
            <w:tcW w:w="1022" w:type="dxa"/>
            <w:vAlign w:val="center"/>
          </w:tcPr>
          <w:p w14:paraId="40BA117F" w14:textId="77777777" w:rsidR="003E78AB" w:rsidRDefault="00010BF9">
            <w:pPr>
              <w:pStyle w:val="aff6"/>
              <w:topLinePunct/>
            </w:pPr>
            <w:r>
              <w:t>0</w:t>
            </w:r>
          </w:p>
        </w:tc>
        <w:tc>
          <w:tcPr>
            <w:tcW w:w="1022" w:type="dxa"/>
            <w:vAlign w:val="center"/>
          </w:tcPr>
          <w:p w14:paraId="3D3E1A97" w14:textId="77777777" w:rsidR="003E78AB" w:rsidRDefault="00010BF9">
            <w:pPr>
              <w:pStyle w:val="aff6"/>
              <w:topLinePunct/>
            </w:pPr>
            <w:r>
              <w:t>0</w:t>
            </w:r>
          </w:p>
        </w:tc>
        <w:tc>
          <w:tcPr>
            <w:tcW w:w="1022" w:type="dxa"/>
            <w:vAlign w:val="center"/>
          </w:tcPr>
          <w:p w14:paraId="128EEA73" w14:textId="77777777" w:rsidR="003E78AB" w:rsidRDefault="00010BF9">
            <w:pPr>
              <w:pStyle w:val="aff6"/>
              <w:topLinePunct/>
            </w:pPr>
            <w:r>
              <w:t>0</w:t>
            </w:r>
          </w:p>
        </w:tc>
        <w:tc>
          <w:tcPr>
            <w:tcW w:w="1023" w:type="dxa"/>
            <w:vAlign w:val="center"/>
          </w:tcPr>
          <w:p w14:paraId="0FC4FE38" w14:textId="77777777" w:rsidR="003E78AB" w:rsidRDefault="00010BF9">
            <w:pPr>
              <w:pStyle w:val="aff6"/>
              <w:topLinePunct/>
            </w:pPr>
            <w:r>
              <w:t>0</w:t>
            </w:r>
          </w:p>
        </w:tc>
        <w:tc>
          <w:tcPr>
            <w:tcW w:w="1020" w:type="dxa"/>
            <w:vAlign w:val="center"/>
          </w:tcPr>
          <w:p w14:paraId="135965EA" w14:textId="77777777" w:rsidR="003E78AB" w:rsidRDefault="00010BF9">
            <w:pPr>
              <w:pStyle w:val="aff6"/>
              <w:topLinePunct/>
            </w:pPr>
            <w:r>
              <w:t>0</w:t>
            </w:r>
          </w:p>
        </w:tc>
        <w:tc>
          <w:tcPr>
            <w:tcW w:w="1020" w:type="dxa"/>
            <w:vAlign w:val="center"/>
          </w:tcPr>
          <w:p w14:paraId="67A784FE" w14:textId="77777777" w:rsidR="003E78AB" w:rsidRDefault="00010BF9">
            <w:pPr>
              <w:pStyle w:val="aff6"/>
              <w:topLinePunct/>
            </w:pPr>
            <w:r>
              <w:t>0</w:t>
            </w:r>
          </w:p>
        </w:tc>
        <w:tc>
          <w:tcPr>
            <w:tcW w:w="1023" w:type="dxa"/>
            <w:vAlign w:val="center"/>
          </w:tcPr>
          <w:p w14:paraId="20A5ECF3" w14:textId="77777777" w:rsidR="003E78AB" w:rsidRDefault="00010BF9">
            <w:pPr>
              <w:pStyle w:val="aff6"/>
              <w:topLinePunct/>
            </w:pPr>
            <w:r>
              <w:t>0</w:t>
            </w:r>
          </w:p>
        </w:tc>
        <w:tc>
          <w:tcPr>
            <w:tcW w:w="1020" w:type="dxa"/>
            <w:vAlign w:val="center"/>
          </w:tcPr>
          <w:p w14:paraId="187FF69A" w14:textId="77777777" w:rsidR="003E78AB" w:rsidRDefault="00010BF9">
            <w:pPr>
              <w:pStyle w:val="aff6"/>
              <w:topLinePunct/>
            </w:pPr>
            <w:r>
              <w:t>0</w:t>
            </w:r>
          </w:p>
        </w:tc>
        <w:tc>
          <w:tcPr>
            <w:tcW w:w="1022" w:type="dxa"/>
            <w:vAlign w:val="center"/>
          </w:tcPr>
          <w:p w14:paraId="00244100" w14:textId="77777777" w:rsidR="003E78AB" w:rsidRDefault="00010BF9">
            <w:pPr>
              <w:pStyle w:val="aff6"/>
              <w:topLinePunct/>
            </w:pPr>
            <w:r>
              <w:t>0</w:t>
            </w:r>
          </w:p>
        </w:tc>
        <w:tc>
          <w:tcPr>
            <w:tcW w:w="896" w:type="dxa"/>
            <w:vAlign w:val="center"/>
          </w:tcPr>
          <w:p w14:paraId="09DE4251" w14:textId="77777777" w:rsidR="003E78AB" w:rsidRDefault="00010BF9">
            <w:pPr>
              <w:pStyle w:val="aff6"/>
              <w:topLinePunct/>
            </w:pPr>
            <w:r>
              <w:t>0</w:t>
            </w:r>
          </w:p>
        </w:tc>
        <w:tc>
          <w:tcPr>
            <w:tcW w:w="677" w:type="dxa"/>
            <w:vAlign w:val="center"/>
          </w:tcPr>
          <w:p w14:paraId="2EA2E270" w14:textId="77777777" w:rsidR="003E78AB" w:rsidRDefault="00010BF9">
            <w:pPr>
              <w:pStyle w:val="aff6"/>
              <w:topLinePunct/>
            </w:pPr>
            <w:r>
              <w:t>0</w:t>
            </w:r>
          </w:p>
        </w:tc>
      </w:tr>
      <w:tr w:rsidR="003E78AB" w14:paraId="45434979" w14:textId="77777777">
        <w:trPr>
          <w:trHeight w:val="288"/>
        </w:trPr>
        <w:tc>
          <w:tcPr>
            <w:tcW w:w="1013" w:type="dxa"/>
            <w:vAlign w:val="center"/>
          </w:tcPr>
          <w:p w14:paraId="55C272DB" w14:textId="77777777" w:rsidR="003E78AB" w:rsidRDefault="00010BF9">
            <w:pPr>
              <w:pStyle w:val="aff6"/>
              <w:topLinePunct/>
            </w:pPr>
            <w:r>
              <w:t>20</w:t>
            </w:r>
          </w:p>
        </w:tc>
        <w:tc>
          <w:tcPr>
            <w:tcW w:w="2185" w:type="dxa"/>
            <w:vAlign w:val="center"/>
          </w:tcPr>
          <w:p w14:paraId="1FBD1147" w14:textId="77777777" w:rsidR="003E78AB" w:rsidRDefault="00010BF9">
            <w:pPr>
              <w:pStyle w:val="aff6"/>
              <w:topLinePunct/>
            </w:pPr>
            <w:r>
              <w:t>0.0|1</w:t>
            </w:r>
          </w:p>
        </w:tc>
        <w:tc>
          <w:tcPr>
            <w:tcW w:w="1022" w:type="dxa"/>
            <w:vAlign w:val="center"/>
          </w:tcPr>
          <w:p w14:paraId="334CA2D7" w14:textId="77777777" w:rsidR="003E78AB" w:rsidRDefault="00010BF9">
            <w:pPr>
              <w:pStyle w:val="aff6"/>
              <w:topLinePunct/>
            </w:pPr>
            <w:r>
              <w:t>0</w:t>
            </w:r>
          </w:p>
        </w:tc>
        <w:tc>
          <w:tcPr>
            <w:tcW w:w="1022" w:type="dxa"/>
            <w:vAlign w:val="center"/>
          </w:tcPr>
          <w:p w14:paraId="1E0FE7FA" w14:textId="77777777" w:rsidR="003E78AB" w:rsidRDefault="00010BF9">
            <w:pPr>
              <w:pStyle w:val="aff6"/>
              <w:topLinePunct/>
            </w:pPr>
            <w:r>
              <w:t>0</w:t>
            </w:r>
          </w:p>
        </w:tc>
        <w:tc>
          <w:tcPr>
            <w:tcW w:w="1022" w:type="dxa"/>
            <w:vAlign w:val="center"/>
          </w:tcPr>
          <w:p w14:paraId="63431B70" w14:textId="77777777" w:rsidR="003E78AB" w:rsidRDefault="00010BF9">
            <w:pPr>
              <w:pStyle w:val="aff6"/>
              <w:topLinePunct/>
            </w:pPr>
            <w:r>
              <w:t>0</w:t>
            </w:r>
          </w:p>
        </w:tc>
        <w:tc>
          <w:tcPr>
            <w:tcW w:w="1023" w:type="dxa"/>
            <w:vAlign w:val="center"/>
          </w:tcPr>
          <w:p w14:paraId="20808BAE" w14:textId="77777777" w:rsidR="003E78AB" w:rsidRDefault="00010BF9">
            <w:pPr>
              <w:pStyle w:val="aff6"/>
              <w:topLinePunct/>
            </w:pPr>
            <w:r>
              <w:t>0</w:t>
            </w:r>
          </w:p>
        </w:tc>
        <w:tc>
          <w:tcPr>
            <w:tcW w:w="1020" w:type="dxa"/>
            <w:vAlign w:val="center"/>
          </w:tcPr>
          <w:p w14:paraId="7E7B4C94" w14:textId="77777777" w:rsidR="003E78AB" w:rsidRDefault="00010BF9">
            <w:pPr>
              <w:pStyle w:val="aff6"/>
              <w:topLinePunct/>
            </w:pPr>
            <w:r>
              <w:t>0</w:t>
            </w:r>
          </w:p>
        </w:tc>
        <w:tc>
          <w:tcPr>
            <w:tcW w:w="1020" w:type="dxa"/>
            <w:vAlign w:val="center"/>
          </w:tcPr>
          <w:p w14:paraId="5B35B6B6" w14:textId="77777777" w:rsidR="003E78AB" w:rsidRDefault="00010BF9">
            <w:pPr>
              <w:pStyle w:val="aff6"/>
              <w:topLinePunct/>
            </w:pPr>
            <w:r>
              <w:t>0</w:t>
            </w:r>
          </w:p>
        </w:tc>
        <w:tc>
          <w:tcPr>
            <w:tcW w:w="1023" w:type="dxa"/>
            <w:vAlign w:val="center"/>
          </w:tcPr>
          <w:p w14:paraId="36AF4227" w14:textId="77777777" w:rsidR="003E78AB" w:rsidRDefault="00010BF9">
            <w:pPr>
              <w:pStyle w:val="aff6"/>
              <w:topLinePunct/>
            </w:pPr>
            <w:r>
              <w:t>0</w:t>
            </w:r>
          </w:p>
        </w:tc>
        <w:tc>
          <w:tcPr>
            <w:tcW w:w="1020" w:type="dxa"/>
            <w:vAlign w:val="center"/>
          </w:tcPr>
          <w:p w14:paraId="7C89AA6E" w14:textId="77777777" w:rsidR="003E78AB" w:rsidRDefault="00010BF9">
            <w:pPr>
              <w:pStyle w:val="aff6"/>
              <w:topLinePunct/>
            </w:pPr>
            <w:r>
              <w:t>0</w:t>
            </w:r>
          </w:p>
        </w:tc>
        <w:tc>
          <w:tcPr>
            <w:tcW w:w="1022" w:type="dxa"/>
            <w:vAlign w:val="center"/>
          </w:tcPr>
          <w:p w14:paraId="485C3D1D" w14:textId="77777777" w:rsidR="003E78AB" w:rsidRDefault="00010BF9">
            <w:pPr>
              <w:pStyle w:val="aff6"/>
              <w:topLinePunct/>
            </w:pPr>
            <w:r>
              <w:t>0</w:t>
            </w:r>
          </w:p>
        </w:tc>
        <w:tc>
          <w:tcPr>
            <w:tcW w:w="896" w:type="dxa"/>
            <w:vAlign w:val="center"/>
          </w:tcPr>
          <w:p w14:paraId="15A164D1" w14:textId="77777777" w:rsidR="003E78AB" w:rsidRDefault="00010BF9">
            <w:pPr>
              <w:pStyle w:val="aff6"/>
              <w:topLinePunct/>
            </w:pPr>
            <w:r>
              <w:t>0</w:t>
            </w:r>
          </w:p>
        </w:tc>
        <w:tc>
          <w:tcPr>
            <w:tcW w:w="677" w:type="dxa"/>
            <w:vAlign w:val="center"/>
          </w:tcPr>
          <w:p w14:paraId="6BA57340" w14:textId="77777777" w:rsidR="003E78AB" w:rsidRDefault="00010BF9">
            <w:pPr>
              <w:pStyle w:val="aff6"/>
              <w:topLinePunct/>
            </w:pPr>
            <w:r>
              <w:t>0</w:t>
            </w:r>
          </w:p>
        </w:tc>
      </w:tr>
      <w:tr w:rsidR="003E78AB" w14:paraId="73C9A562" w14:textId="77777777">
        <w:trPr>
          <w:trHeight w:val="288"/>
        </w:trPr>
        <w:tc>
          <w:tcPr>
            <w:tcW w:w="1013" w:type="dxa"/>
            <w:vAlign w:val="center"/>
          </w:tcPr>
          <w:p w14:paraId="41667E19" w14:textId="77777777" w:rsidR="003E78AB" w:rsidRDefault="00010BF9">
            <w:pPr>
              <w:pStyle w:val="aff6"/>
              <w:topLinePunct/>
            </w:pPr>
            <w:r>
              <w:t>30</w:t>
            </w:r>
          </w:p>
        </w:tc>
        <w:tc>
          <w:tcPr>
            <w:tcW w:w="2185" w:type="dxa"/>
            <w:vAlign w:val="center"/>
          </w:tcPr>
          <w:p w14:paraId="14006871" w14:textId="77777777" w:rsidR="003E78AB" w:rsidRDefault="00010BF9">
            <w:pPr>
              <w:pStyle w:val="aff6"/>
              <w:topLinePunct/>
            </w:pPr>
            <w:r>
              <w:t>0.0|1</w:t>
            </w:r>
          </w:p>
        </w:tc>
        <w:tc>
          <w:tcPr>
            <w:tcW w:w="1022" w:type="dxa"/>
            <w:vAlign w:val="center"/>
          </w:tcPr>
          <w:p w14:paraId="6EB364FB" w14:textId="77777777" w:rsidR="003E78AB" w:rsidRDefault="00010BF9">
            <w:pPr>
              <w:pStyle w:val="aff6"/>
              <w:topLinePunct/>
            </w:pPr>
            <w:r>
              <w:t>0</w:t>
            </w:r>
          </w:p>
        </w:tc>
        <w:tc>
          <w:tcPr>
            <w:tcW w:w="1022" w:type="dxa"/>
            <w:vAlign w:val="center"/>
          </w:tcPr>
          <w:p w14:paraId="7335D848" w14:textId="77777777" w:rsidR="003E78AB" w:rsidRDefault="00010BF9">
            <w:pPr>
              <w:pStyle w:val="aff6"/>
              <w:topLinePunct/>
            </w:pPr>
            <w:r>
              <w:t>0</w:t>
            </w:r>
          </w:p>
        </w:tc>
        <w:tc>
          <w:tcPr>
            <w:tcW w:w="1022" w:type="dxa"/>
            <w:vAlign w:val="center"/>
          </w:tcPr>
          <w:p w14:paraId="73B73FF5" w14:textId="77777777" w:rsidR="003E78AB" w:rsidRDefault="00010BF9">
            <w:pPr>
              <w:pStyle w:val="aff6"/>
              <w:topLinePunct/>
            </w:pPr>
            <w:r>
              <w:t>0</w:t>
            </w:r>
          </w:p>
        </w:tc>
        <w:tc>
          <w:tcPr>
            <w:tcW w:w="1023" w:type="dxa"/>
            <w:vAlign w:val="center"/>
          </w:tcPr>
          <w:p w14:paraId="581D994E" w14:textId="77777777" w:rsidR="003E78AB" w:rsidRDefault="00010BF9">
            <w:pPr>
              <w:pStyle w:val="aff6"/>
              <w:topLinePunct/>
            </w:pPr>
            <w:r>
              <w:t>0</w:t>
            </w:r>
          </w:p>
        </w:tc>
        <w:tc>
          <w:tcPr>
            <w:tcW w:w="1020" w:type="dxa"/>
            <w:vAlign w:val="center"/>
          </w:tcPr>
          <w:p w14:paraId="028F368F" w14:textId="77777777" w:rsidR="003E78AB" w:rsidRDefault="00010BF9">
            <w:pPr>
              <w:pStyle w:val="aff6"/>
              <w:topLinePunct/>
            </w:pPr>
            <w:r>
              <w:t>0</w:t>
            </w:r>
          </w:p>
        </w:tc>
        <w:tc>
          <w:tcPr>
            <w:tcW w:w="1020" w:type="dxa"/>
            <w:vAlign w:val="center"/>
          </w:tcPr>
          <w:p w14:paraId="4B2CAAAB" w14:textId="77777777" w:rsidR="003E78AB" w:rsidRDefault="00010BF9">
            <w:pPr>
              <w:pStyle w:val="aff6"/>
              <w:topLinePunct/>
            </w:pPr>
            <w:r>
              <w:t>0</w:t>
            </w:r>
          </w:p>
        </w:tc>
        <w:tc>
          <w:tcPr>
            <w:tcW w:w="1023" w:type="dxa"/>
            <w:vAlign w:val="center"/>
          </w:tcPr>
          <w:p w14:paraId="0B9C4E19" w14:textId="77777777" w:rsidR="003E78AB" w:rsidRDefault="00010BF9">
            <w:pPr>
              <w:pStyle w:val="aff6"/>
              <w:topLinePunct/>
            </w:pPr>
            <w:r>
              <w:t>0</w:t>
            </w:r>
          </w:p>
        </w:tc>
        <w:tc>
          <w:tcPr>
            <w:tcW w:w="1020" w:type="dxa"/>
            <w:vAlign w:val="center"/>
          </w:tcPr>
          <w:p w14:paraId="066CD5C0" w14:textId="77777777" w:rsidR="003E78AB" w:rsidRDefault="00010BF9">
            <w:pPr>
              <w:pStyle w:val="aff6"/>
              <w:topLinePunct/>
            </w:pPr>
            <w:r>
              <w:t>0</w:t>
            </w:r>
          </w:p>
        </w:tc>
        <w:tc>
          <w:tcPr>
            <w:tcW w:w="1022" w:type="dxa"/>
            <w:vAlign w:val="center"/>
          </w:tcPr>
          <w:p w14:paraId="1850D0DD" w14:textId="77777777" w:rsidR="003E78AB" w:rsidRDefault="00010BF9">
            <w:pPr>
              <w:pStyle w:val="aff6"/>
              <w:topLinePunct/>
            </w:pPr>
            <w:r>
              <w:t>0</w:t>
            </w:r>
          </w:p>
        </w:tc>
        <w:tc>
          <w:tcPr>
            <w:tcW w:w="896" w:type="dxa"/>
            <w:vAlign w:val="center"/>
          </w:tcPr>
          <w:p w14:paraId="6F6964E8" w14:textId="77777777" w:rsidR="003E78AB" w:rsidRDefault="00010BF9">
            <w:pPr>
              <w:pStyle w:val="aff6"/>
              <w:topLinePunct/>
            </w:pPr>
            <w:r>
              <w:t>0</w:t>
            </w:r>
          </w:p>
        </w:tc>
        <w:tc>
          <w:tcPr>
            <w:tcW w:w="677" w:type="dxa"/>
            <w:vAlign w:val="center"/>
          </w:tcPr>
          <w:p w14:paraId="39510215" w14:textId="77777777" w:rsidR="003E78AB" w:rsidRDefault="00010BF9">
            <w:pPr>
              <w:pStyle w:val="aff6"/>
              <w:topLinePunct/>
            </w:pPr>
            <w:r>
              <w:t>0</w:t>
            </w:r>
          </w:p>
        </w:tc>
      </w:tr>
      <w:tr w:rsidR="003E78AB" w14:paraId="7830DAE3" w14:textId="77777777">
        <w:trPr>
          <w:trHeight w:val="288"/>
        </w:trPr>
        <w:tc>
          <w:tcPr>
            <w:tcW w:w="1013" w:type="dxa"/>
            <w:vAlign w:val="center"/>
          </w:tcPr>
          <w:p w14:paraId="19DAA4ED" w14:textId="77777777" w:rsidR="003E78AB" w:rsidRDefault="00010BF9">
            <w:pPr>
              <w:pStyle w:val="aff6"/>
              <w:topLinePunct/>
            </w:pPr>
            <w:r>
              <w:t>40</w:t>
            </w:r>
          </w:p>
        </w:tc>
        <w:tc>
          <w:tcPr>
            <w:tcW w:w="2185" w:type="dxa"/>
            <w:vAlign w:val="center"/>
          </w:tcPr>
          <w:p w14:paraId="73F5E98B" w14:textId="77777777" w:rsidR="003E78AB" w:rsidRDefault="00010BF9">
            <w:pPr>
              <w:pStyle w:val="aff6"/>
              <w:topLinePunct/>
            </w:pPr>
            <w:r>
              <w:t>0.000005|2</w:t>
            </w:r>
          </w:p>
        </w:tc>
        <w:tc>
          <w:tcPr>
            <w:tcW w:w="1022" w:type="dxa"/>
            <w:vAlign w:val="center"/>
          </w:tcPr>
          <w:p w14:paraId="3C0D6458" w14:textId="77777777" w:rsidR="003E78AB" w:rsidRDefault="00010BF9">
            <w:pPr>
              <w:pStyle w:val="aff6"/>
              <w:topLinePunct/>
            </w:pPr>
            <w:r>
              <w:t>0</w:t>
            </w:r>
          </w:p>
        </w:tc>
        <w:tc>
          <w:tcPr>
            <w:tcW w:w="1022" w:type="dxa"/>
            <w:vAlign w:val="center"/>
          </w:tcPr>
          <w:p w14:paraId="68CF5EB4" w14:textId="77777777" w:rsidR="003E78AB" w:rsidRDefault="00010BF9">
            <w:pPr>
              <w:pStyle w:val="aff6"/>
              <w:topLinePunct/>
            </w:pPr>
            <w:r>
              <w:t>0.000005</w:t>
            </w:r>
          </w:p>
        </w:tc>
        <w:tc>
          <w:tcPr>
            <w:tcW w:w="1022" w:type="dxa"/>
            <w:vAlign w:val="center"/>
          </w:tcPr>
          <w:p w14:paraId="76711E51" w14:textId="77777777" w:rsidR="003E78AB" w:rsidRDefault="00010BF9">
            <w:pPr>
              <w:pStyle w:val="aff6"/>
              <w:topLinePunct/>
            </w:pPr>
            <w:r>
              <w:t>0.000005</w:t>
            </w:r>
          </w:p>
        </w:tc>
        <w:tc>
          <w:tcPr>
            <w:tcW w:w="1023" w:type="dxa"/>
            <w:vAlign w:val="center"/>
          </w:tcPr>
          <w:p w14:paraId="6CA4FE16" w14:textId="77777777" w:rsidR="003E78AB" w:rsidRDefault="00010BF9">
            <w:pPr>
              <w:pStyle w:val="aff6"/>
              <w:topLinePunct/>
            </w:pPr>
            <w:r>
              <w:t>0.000005</w:t>
            </w:r>
          </w:p>
        </w:tc>
        <w:tc>
          <w:tcPr>
            <w:tcW w:w="1020" w:type="dxa"/>
            <w:vAlign w:val="center"/>
          </w:tcPr>
          <w:p w14:paraId="10B48B28" w14:textId="77777777" w:rsidR="003E78AB" w:rsidRDefault="00010BF9">
            <w:pPr>
              <w:pStyle w:val="aff6"/>
              <w:topLinePunct/>
            </w:pPr>
            <w:r>
              <w:t>0</w:t>
            </w:r>
          </w:p>
        </w:tc>
        <w:tc>
          <w:tcPr>
            <w:tcW w:w="1020" w:type="dxa"/>
            <w:vAlign w:val="center"/>
          </w:tcPr>
          <w:p w14:paraId="794B2610" w14:textId="77777777" w:rsidR="003E78AB" w:rsidRDefault="00010BF9">
            <w:pPr>
              <w:pStyle w:val="aff6"/>
              <w:topLinePunct/>
            </w:pPr>
            <w:r>
              <w:t>0</w:t>
            </w:r>
          </w:p>
        </w:tc>
        <w:tc>
          <w:tcPr>
            <w:tcW w:w="1023" w:type="dxa"/>
            <w:vAlign w:val="center"/>
          </w:tcPr>
          <w:p w14:paraId="53003E47" w14:textId="77777777" w:rsidR="003E78AB" w:rsidRDefault="00010BF9">
            <w:pPr>
              <w:pStyle w:val="aff6"/>
              <w:topLinePunct/>
            </w:pPr>
            <w:r>
              <w:t>0</w:t>
            </w:r>
          </w:p>
        </w:tc>
        <w:tc>
          <w:tcPr>
            <w:tcW w:w="1020" w:type="dxa"/>
            <w:vAlign w:val="center"/>
          </w:tcPr>
          <w:p w14:paraId="4B621D68" w14:textId="77777777" w:rsidR="003E78AB" w:rsidRDefault="00010BF9">
            <w:pPr>
              <w:pStyle w:val="aff6"/>
              <w:topLinePunct/>
            </w:pPr>
            <w:r>
              <w:t>0</w:t>
            </w:r>
          </w:p>
        </w:tc>
        <w:tc>
          <w:tcPr>
            <w:tcW w:w="1022" w:type="dxa"/>
            <w:vAlign w:val="center"/>
          </w:tcPr>
          <w:p w14:paraId="0E0F030A" w14:textId="77777777" w:rsidR="003E78AB" w:rsidRDefault="00010BF9">
            <w:pPr>
              <w:pStyle w:val="aff6"/>
              <w:topLinePunct/>
            </w:pPr>
            <w:r>
              <w:t>0</w:t>
            </w:r>
          </w:p>
        </w:tc>
        <w:tc>
          <w:tcPr>
            <w:tcW w:w="896" w:type="dxa"/>
            <w:vAlign w:val="center"/>
          </w:tcPr>
          <w:p w14:paraId="70F44B74" w14:textId="77777777" w:rsidR="003E78AB" w:rsidRDefault="00010BF9">
            <w:pPr>
              <w:pStyle w:val="aff6"/>
              <w:topLinePunct/>
            </w:pPr>
            <w:r>
              <w:t>0</w:t>
            </w:r>
          </w:p>
        </w:tc>
        <w:tc>
          <w:tcPr>
            <w:tcW w:w="677" w:type="dxa"/>
            <w:vAlign w:val="center"/>
          </w:tcPr>
          <w:p w14:paraId="66FFA384" w14:textId="77777777" w:rsidR="003E78AB" w:rsidRDefault="00010BF9">
            <w:pPr>
              <w:pStyle w:val="aff6"/>
              <w:topLinePunct/>
            </w:pPr>
            <w:r>
              <w:t>0</w:t>
            </w:r>
          </w:p>
        </w:tc>
      </w:tr>
      <w:tr w:rsidR="003E78AB" w14:paraId="34C4F3B9" w14:textId="77777777">
        <w:trPr>
          <w:trHeight w:val="290"/>
        </w:trPr>
        <w:tc>
          <w:tcPr>
            <w:tcW w:w="1013" w:type="dxa"/>
            <w:vAlign w:val="center"/>
          </w:tcPr>
          <w:p w14:paraId="054A31CD" w14:textId="77777777" w:rsidR="003E78AB" w:rsidRDefault="00010BF9">
            <w:pPr>
              <w:pStyle w:val="aff6"/>
              <w:topLinePunct/>
            </w:pPr>
            <w:r>
              <w:t>50</w:t>
            </w:r>
          </w:p>
        </w:tc>
        <w:tc>
          <w:tcPr>
            <w:tcW w:w="2185" w:type="dxa"/>
            <w:vAlign w:val="center"/>
          </w:tcPr>
          <w:p w14:paraId="0A65385A" w14:textId="77777777" w:rsidR="003E78AB" w:rsidRDefault="00010BF9">
            <w:pPr>
              <w:pStyle w:val="aff6"/>
              <w:topLinePunct/>
            </w:pPr>
            <w:r>
              <w:t>0.000406|2</w:t>
            </w:r>
          </w:p>
        </w:tc>
        <w:tc>
          <w:tcPr>
            <w:tcW w:w="1022" w:type="dxa"/>
            <w:vAlign w:val="center"/>
          </w:tcPr>
          <w:p w14:paraId="682F94FB" w14:textId="77777777" w:rsidR="003E78AB" w:rsidRDefault="00010BF9">
            <w:pPr>
              <w:pStyle w:val="aff6"/>
              <w:topLinePunct/>
            </w:pPr>
            <w:r>
              <w:t>0</w:t>
            </w:r>
          </w:p>
        </w:tc>
        <w:tc>
          <w:tcPr>
            <w:tcW w:w="1022" w:type="dxa"/>
            <w:vAlign w:val="center"/>
          </w:tcPr>
          <w:p w14:paraId="04735B8C" w14:textId="77777777" w:rsidR="003E78AB" w:rsidRDefault="00010BF9">
            <w:pPr>
              <w:pStyle w:val="aff6"/>
              <w:topLinePunct/>
            </w:pPr>
            <w:r>
              <w:t>0.000406</w:t>
            </w:r>
          </w:p>
        </w:tc>
        <w:tc>
          <w:tcPr>
            <w:tcW w:w="1022" w:type="dxa"/>
            <w:vAlign w:val="center"/>
          </w:tcPr>
          <w:p w14:paraId="588BAEB9" w14:textId="77777777" w:rsidR="003E78AB" w:rsidRDefault="00010BF9">
            <w:pPr>
              <w:pStyle w:val="aff6"/>
              <w:topLinePunct/>
            </w:pPr>
            <w:r>
              <w:t>0.000406</w:t>
            </w:r>
          </w:p>
        </w:tc>
        <w:tc>
          <w:tcPr>
            <w:tcW w:w="1023" w:type="dxa"/>
            <w:vAlign w:val="center"/>
          </w:tcPr>
          <w:p w14:paraId="01BAD723" w14:textId="77777777" w:rsidR="003E78AB" w:rsidRDefault="00010BF9">
            <w:pPr>
              <w:pStyle w:val="aff6"/>
              <w:topLinePunct/>
            </w:pPr>
            <w:r>
              <w:t>0.000406</w:t>
            </w:r>
          </w:p>
        </w:tc>
        <w:tc>
          <w:tcPr>
            <w:tcW w:w="1020" w:type="dxa"/>
            <w:vAlign w:val="center"/>
          </w:tcPr>
          <w:p w14:paraId="77DC0AB7" w14:textId="77777777" w:rsidR="003E78AB" w:rsidRDefault="00010BF9">
            <w:pPr>
              <w:pStyle w:val="aff6"/>
              <w:topLinePunct/>
            </w:pPr>
            <w:r>
              <w:t>0</w:t>
            </w:r>
          </w:p>
        </w:tc>
        <w:tc>
          <w:tcPr>
            <w:tcW w:w="1020" w:type="dxa"/>
            <w:vAlign w:val="center"/>
          </w:tcPr>
          <w:p w14:paraId="4F9406BE" w14:textId="77777777" w:rsidR="003E78AB" w:rsidRDefault="00010BF9">
            <w:pPr>
              <w:pStyle w:val="aff6"/>
              <w:topLinePunct/>
            </w:pPr>
            <w:r>
              <w:t>0</w:t>
            </w:r>
          </w:p>
        </w:tc>
        <w:tc>
          <w:tcPr>
            <w:tcW w:w="1023" w:type="dxa"/>
            <w:vAlign w:val="center"/>
          </w:tcPr>
          <w:p w14:paraId="7CD385F4" w14:textId="77777777" w:rsidR="003E78AB" w:rsidRDefault="00010BF9">
            <w:pPr>
              <w:pStyle w:val="aff6"/>
              <w:topLinePunct/>
            </w:pPr>
            <w:r>
              <w:t>0</w:t>
            </w:r>
          </w:p>
        </w:tc>
        <w:tc>
          <w:tcPr>
            <w:tcW w:w="1020" w:type="dxa"/>
            <w:vAlign w:val="center"/>
          </w:tcPr>
          <w:p w14:paraId="59C6E729" w14:textId="77777777" w:rsidR="003E78AB" w:rsidRDefault="00010BF9">
            <w:pPr>
              <w:pStyle w:val="aff6"/>
              <w:topLinePunct/>
            </w:pPr>
            <w:r>
              <w:t>0</w:t>
            </w:r>
          </w:p>
        </w:tc>
        <w:tc>
          <w:tcPr>
            <w:tcW w:w="1022" w:type="dxa"/>
            <w:vAlign w:val="center"/>
          </w:tcPr>
          <w:p w14:paraId="3E9F041C" w14:textId="77777777" w:rsidR="003E78AB" w:rsidRDefault="00010BF9">
            <w:pPr>
              <w:pStyle w:val="aff6"/>
              <w:topLinePunct/>
            </w:pPr>
            <w:r>
              <w:t>0</w:t>
            </w:r>
          </w:p>
        </w:tc>
        <w:tc>
          <w:tcPr>
            <w:tcW w:w="896" w:type="dxa"/>
            <w:vAlign w:val="center"/>
          </w:tcPr>
          <w:p w14:paraId="756D7571" w14:textId="77777777" w:rsidR="003E78AB" w:rsidRDefault="00010BF9">
            <w:pPr>
              <w:pStyle w:val="aff6"/>
              <w:topLinePunct/>
            </w:pPr>
            <w:r>
              <w:t>0</w:t>
            </w:r>
          </w:p>
        </w:tc>
        <w:tc>
          <w:tcPr>
            <w:tcW w:w="677" w:type="dxa"/>
            <w:vAlign w:val="center"/>
          </w:tcPr>
          <w:p w14:paraId="033F7700" w14:textId="77777777" w:rsidR="003E78AB" w:rsidRDefault="00010BF9">
            <w:pPr>
              <w:pStyle w:val="aff6"/>
              <w:topLinePunct/>
            </w:pPr>
            <w:r>
              <w:t>0</w:t>
            </w:r>
          </w:p>
        </w:tc>
      </w:tr>
      <w:tr w:rsidR="003E78AB" w14:paraId="3B83ADB5" w14:textId="77777777">
        <w:trPr>
          <w:trHeight w:val="288"/>
        </w:trPr>
        <w:tc>
          <w:tcPr>
            <w:tcW w:w="1013" w:type="dxa"/>
            <w:vAlign w:val="center"/>
          </w:tcPr>
          <w:p w14:paraId="02C6C6F2" w14:textId="77777777" w:rsidR="003E78AB" w:rsidRDefault="00010BF9">
            <w:pPr>
              <w:pStyle w:val="aff6"/>
              <w:topLinePunct/>
            </w:pPr>
            <w:r>
              <w:t>100</w:t>
            </w:r>
          </w:p>
        </w:tc>
        <w:tc>
          <w:tcPr>
            <w:tcW w:w="2185" w:type="dxa"/>
            <w:vAlign w:val="center"/>
          </w:tcPr>
          <w:p w14:paraId="1ECAE804" w14:textId="77777777" w:rsidR="003E78AB" w:rsidRDefault="00010BF9">
            <w:pPr>
              <w:pStyle w:val="aff6"/>
              <w:topLinePunct/>
            </w:pPr>
            <w:r>
              <w:t>0.153008|2</w:t>
            </w:r>
          </w:p>
        </w:tc>
        <w:tc>
          <w:tcPr>
            <w:tcW w:w="1022" w:type="dxa"/>
            <w:vAlign w:val="center"/>
          </w:tcPr>
          <w:p w14:paraId="69339A79" w14:textId="77777777" w:rsidR="003E78AB" w:rsidRDefault="00010BF9">
            <w:pPr>
              <w:pStyle w:val="aff6"/>
              <w:topLinePunct/>
            </w:pPr>
            <w:r>
              <w:t>0</w:t>
            </w:r>
          </w:p>
        </w:tc>
        <w:tc>
          <w:tcPr>
            <w:tcW w:w="1022" w:type="dxa"/>
            <w:vAlign w:val="center"/>
          </w:tcPr>
          <w:p w14:paraId="7BBA0D90" w14:textId="77777777" w:rsidR="003E78AB" w:rsidRDefault="00010BF9">
            <w:pPr>
              <w:pStyle w:val="aff6"/>
              <w:topLinePunct/>
            </w:pPr>
            <w:r>
              <w:t>0.153008</w:t>
            </w:r>
          </w:p>
        </w:tc>
        <w:tc>
          <w:tcPr>
            <w:tcW w:w="1022" w:type="dxa"/>
            <w:vAlign w:val="center"/>
          </w:tcPr>
          <w:p w14:paraId="2BA745F3" w14:textId="77777777" w:rsidR="003E78AB" w:rsidRDefault="00010BF9">
            <w:pPr>
              <w:pStyle w:val="aff6"/>
              <w:topLinePunct/>
            </w:pPr>
            <w:r>
              <w:t>0.153008</w:t>
            </w:r>
          </w:p>
        </w:tc>
        <w:tc>
          <w:tcPr>
            <w:tcW w:w="1023" w:type="dxa"/>
            <w:vAlign w:val="center"/>
          </w:tcPr>
          <w:p w14:paraId="4B333FD6" w14:textId="77777777" w:rsidR="003E78AB" w:rsidRDefault="00010BF9">
            <w:pPr>
              <w:pStyle w:val="aff6"/>
              <w:topLinePunct/>
            </w:pPr>
            <w:r>
              <w:t>0.153008</w:t>
            </w:r>
          </w:p>
        </w:tc>
        <w:tc>
          <w:tcPr>
            <w:tcW w:w="1020" w:type="dxa"/>
            <w:vAlign w:val="center"/>
          </w:tcPr>
          <w:p w14:paraId="0824D64D" w14:textId="77777777" w:rsidR="003E78AB" w:rsidRDefault="00010BF9">
            <w:pPr>
              <w:pStyle w:val="aff6"/>
              <w:topLinePunct/>
            </w:pPr>
            <w:r>
              <w:t>0</w:t>
            </w:r>
          </w:p>
        </w:tc>
        <w:tc>
          <w:tcPr>
            <w:tcW w:w="1020" w:type="dxa"/>
            <w:vAlign w:val="center"/>
          </w:tcPr>
          <w:p w14:paraId="083E0E7C" w14:textId="77777777" w:rsidR="003E78AB" w:rsidRDefault="00010BF9">
            <w:pPr>
              <w:pStyle w:val="aff6"/>
              <w:topLinePunct/>
            </w:pPr>
            <w:r>
              <w:t>0</w:t>
            </w:r>
          </w:p>
        </w:tc>
        <w:tc>
          <w:tcPr>
            <w:tcW w:w="1023" w:type="dxa"/>
            <w:vAlign w:val="center"/>
          </w:tcPr>
          <w:p w14:paraId="4FBE5B9A" w14:textId="77777777" w:rsidR="003E78AB" w:rsidRDefault="00010BF9">
            <w:pPr>
              <w:pStyle w:val="aff6"/>
              <w:topLinePunct/>
            </w:pPr>
            <w:r>
              <w:t>0</w:t>
            </w:r>
          </w:p>
        </w:tc>
        <w:tc>
          <w:tcPr>
            <w:tcW w:w="1020" w:type="dxa"/>
            <w:vAlign w:val="center"/>
          </w:tcPr>
          <w:p w14:paraId="54CCF165" w14:textId="77777777" w:rsidR="003E78AB" w:rsidRDefault="00010BF9">
            <w:pPr>
              <w:pStyle w:val="aff6"/>
              <w:topLinePunct/>
            </w:pPr>
            <w:r>
              <w:t>0</w:t>
            </w:r>
          </w:p>
        </w:tc>
        <w:tc>
          <w:tcPr>
            <w:tcW w:w="1022" w:type="dxa"/>
            <w:vAlign w:val="center"/>
          </w:tcPr>
          <w:p w14:paraId="55559059" w14:textId="77777777" w:rsidR="003E78AB" w:rsidRDefault="00010BF9">
            <w:pPr>
              <w:pStyle w:val="aff6"/>
              <w:topLinePunct/>
            </w:pPr>
            <w:r>
              <w:t>0</w:t>
            </w:r>
          </w:p>
        </w:tc>
        <w:tc>
          <w:tcPr>
            <w:tcW w:w="896" w:type="dxa"/>
            <w:vAlign w:val="center"/>
          </w:tcPr>
          <w:p w14:paraId="4E8F8C4F" w14:textId="77777777" w:rsidR="003E78AB" w:rsidRDefault="00010BF9">
            <w:pPr>
              <w:pStyle w:val="aff6"/>
              <w:topLinePunct/>
            </w:pPr>
            <w:r>
              <w:t>0</w:t>
            </w:r>
          </w:p>
        </w:tc>
        <w:tc>
          <w:tcPr>
            <w:tcW w:w="677" w:type="dxa"/>
            <w:vAlign w:val="center"/>
          </w:tcPr>
          <w:p w14:paraId="740694B4" w14:textId="77777777" w:rsidR="003E78AB" w:rsidRDefault="00010BF9">
            <w:pPr>
              <w:pStyle w:val="aff6"/>
              <w:topLinePunct/>
            </w:pPr>
            <w:r>
              <w:t>0</w:t>
            </w:r>
          </w:p>
        </w:tc>
      </w:tr>
      <w:tr w:rsidR="003E78AB" w14:paraId="68C31BE1" w14:textId="77777777">
        <w:trPr>
          <w:trHeight w:val="288"/>
        </w:trPr>
        <w:tc>
          <w:tcPr>
            <w:tcW w:w="1013" w:type="dxa"/>
            <w:vAlign w:val="center"/>
          </w:tcPr>
          <w:p w14:paraId="45ABDD62" w14:textId="77777777" w:rsidR="003E78AB" w:rsidRDefault="00010BF9">
            <w:pPr>
              <w:pStyle w:val="aff6"/>
              <w:topLinePunct/>
            </w:pPr>
            <w:r>
              <w:t>200</w:t>
            </w:r>
          </w:p>
        </w:tc>
        <w:tc>
          <w:tcPr>
            <w:tcW w:w="2185" w:type="dxa"/>
            <w:vAlign w:val="center"/>
          </w:tcPr>
          <w:p w14:paraId="6D58D044" w14:textId="77777777" w:rsidR="003E78AB" w:rsidRDefault="00010BF9">
            <w:pPr>
              <w:pStyle w:val="aff6"/>
              <w:topLinePunct/>
            </w:pPr>
            <w:r>
              <w:t>0.424368|2</w:t>
            </w:r>
          </w:p>
        </w:tc>
        <w:tc>
          <w:tcPr>
            <w:tcW w:w="1022" w:type="dxa"/>
            <w:vAlign w:val="center"/>
          </w:tcPr>
          <w:p w14:paraId="033AAE7A" w14:textId="77777777" w:rsidR="003E78AB" w:rsidRDefault="00010BF9">
            <w:pPr>
              <w:pStyle w:val="aff6"/>
              <w:topLinePunct/>
            </w:pPr>
            <w:r>
              <w:t>0</w:t>
            </w:r>
          </w:p>
        </w:tc>
        <w:tc>
          <w:tcPr>
            <w:tcW w:w="1022" w:type="dxa"/>
            <w:vAlign w:val="center"/>
          </w:tcPr>
          <w:p w14:paraId="7D4435D7" w14:textId="77777777" w:rsidR="003E78AB" w:rsidRDefault="00010BF9">
            <w:pPr>
              <w:pStyle w:val="aff6"/>
              <w:topLinePunct/>
            </w:pPr>
            <w:r>
              <w:t>0.424368</w:t>
            </w:r>
          </w:p>
        </w:tc>
        <w:tc>
          <w:tcPr>
            <w:tcW w:w="1022" w:type="dxa"/>
            <w:vAlign w:val="center"/>
          </w:tcPr>
          <w:p w14:paraId="3CD269CD" w14:textId="77777777" w:rsidR="003E78AB" w:rsidRDefault="00010BF9">
            <w:pPr>
              <w:pStyle w:val="aff6"/>
              <w:topLinePunct/>
            </w:pPr>
            <w:r>
              <w:t>0.424368</w:t>
            </w:r>
          </w:p>
        </w:tc>
        <w:tc>
          <w:tcPr>
            <w:tcW w:w="1023" w:type="dxa"/>
            <w:vAlign w:val="center"/>
          </w:tcPr>
          <w:p w14:paraId="6F31AF38" w14:textId="77777777" w:rsidR="003E78AB" w:rsidRDefault="00010BF9">
            <w:pPr>
              <w:pStyle w:val="aff6"/>
              <w:topLinePunct/>
            </w:pPr>
            <w:r>
              <w:t>0.424368</w:t>
            </w:r>
          </w:p>
        </w:tc>
        <w:tc>
          <w:tcPr>
            <w:tcW w:w="1020" w:type="dxa"/>
            <w:vAlign w:val="center"/>
          </w:tcPr>
          <w:p w14:paraId="601BD7B3" w14:textId="77777777" w:rsidR="003E78AB" w:rsidRDefault="00010BF9">
            <w:pPr>
              <w:pStyle w:val="aff6"/>
              <w:topLinePunct/>
            </w:pPr>
            <w:r>
              <w:t>0</w:t>
            </w:r>
          </w:p>
        </w:tc>
        <w:tc>
          <w:tcPr>
            <w:tcW w:w="1020" w:type="dxa"/>
            <w:vAlign w:val="center"/>
          </w:tcPr>
          <w:p w14:paraId="272EDEA5" w14:textId="77777777" w:rsidR="003E78AB" w:rsidRDefault="00010BF9">
            <w:pPr>
              <w:pStyle w:val="aff6"/>
              <w:topLinePunct/>
            </w:pPr>
            <w:r>
              <w:t>0</w:t>
            </w:r>
          </w:p>
        </w:tc>
        <w:tc>
          <w:tcPr>
            <w:tcW w:w="1023" w:type="dxa"/>
            <w:vAlign w:val="center"/>
          </w:tcPr>
          <w:p w14:paraId="4C203A01" w14:textId="77777777" w:rsidR="003E78AB" w:rsidRDefault="00010BF9">
            <w:pPr>
              <w:pStyle w:val="aff6"/>
              <w:topLinePunct/>
            </w:pPr>
            <w:r>
              <w:t>0</w:t>
            </w:r>
          </w:p>
        </w:tc>
        <w:tc>
          <w:tcPr>
            <w:tcW w:w="1020" w:type="dxa"/>
            <w:vAlign w:val="center"/>
          </w:tcPr>
          <w:p w14:paraId="0B5E1EF2" w14:textId="77777777" w:rsidR="003E78AB" w:rsidRDefault="00010BF9">
            <w:pPr>
              <w:pStyle w:val="aff6"/>
              <w:topLinePunct/>
            </w:pPr>
            <w:r>
              <w:t>0</w:t>
            </w:r>
          </w:p>
        </w:tc>
        <w:tc>
          <w:tcPr>
            <w:tcW w:w="1022" w:type="dxa"/>
            <w:vAlign w:val="center"/>
          </w:tcPr>
          <w:p w14:paraId="34D5D094" w14:textId="77777777" w:rsidR="003E78AB" w:rsidRDefault="00010BF9">
            <w:pPr>
              <w:pStyle w:val="aff6"/>
              <w:topLinePunct/>
            </w:pPr>
            <w:r>
              <w:t>0</w:t>
            </w:r>
          </w:p>
        </w:tc>
        <w:tc>
          <w:tcPr>
            <w:tcW w:w="896" w:type="dxa"/>
            <w:vAlign w:val="center"/>
          </w:tcPr>
          <w:p w14:paraId="09AF8D1E" w14:textId="77777777" w:rsidR="003E78AB" w:rsidRDefault="00010BF9">
            <w:pPr>
              <w:pStyle w:val="aff6"/>
              <w:topLinePunct/>
            </w:pPr>
            <w:r>
              <w:t>0</w:t>
            </w:r>
          </w:p>
        </w:tc>
        <w:tc>
          <w:tcPr>
            <w:tcW w:w="677" w:type="dxa"/>
            <w:vAlign w:val="center"/>
          </w:tcPr>
          <w:p w14:paraId="2EC57916" w14:textId="77777777" w:rsidR="003E78AB" w:rsidRDefault="00010BF9">
            <w:pPr>
              <w:pStyle w:val="aff6"/>
              <w:topLinePunct/>
            </w:pPr>
            <w:r>
              <w:t>0</w:t>
            </w:r>
          </w:p>
        </w:tc>
      </w:tr>
      <w:tr w:rsidR="003E78AB" w14:paraId="7D4DB939" w14:textId="77777777">
        <w:trPr>
          <w:trHeight w:val="244"/>
        </w:trPr>
        <w:tc>
          <w:tcPr>
            <w:tcW w:w="1013" w:type="dxa"/>
            <w:vAlign w:val="center"/>
          </w:tcPr>
          <w:p w14:paraId="20116D3E" w14:textId="77777777" w:rsidR="003E78AB" w:rsidRDefault="00010BF9">
            <w:pPr>
              <w:pStyle w:val="aff6"/>
              <w:topLinePunct/>
            </w:pPr>
            <w:r>
              <w:t>300</w:t>
            </w:r>
          </w:p>
        </w:tc>
        <w:tc>
          <w:tcPr>
            <w:tcW w:w="2185" w:type="dxa"/>
            <w:vAlign w:val="center"/>
          </w:tcPr>
          <w:p w14:paraId="5798A995" w14:textId="77777777" w:rsidR="003E78AB" w:rsidRDefault="00010BF9">
            <w:pPr>
              <w:pStyle w:val="aff6"/>
              <w:topLinePunct/>
            </w:pPr>
            <w:r>
              <w:t>0.345069|3</w:t>
            </w:r>
          </w:p>
        </w:tc>
        <w:tc>
          <w:tcPr>
            <w:tcW w:w="1022" w:type="dxa"/>
            <w:vAlign w:val="center"/>
          </w:tcPr>
          <w:p w14:paraId="16AE8C9A" w14:textId="77777777" w:rsidR="003E78AB" w:rsidRDefault="00010BF9">
            <w:pPr>
              <w:pStyle w:val="aff6"/>
              <w:topLinePunct/>
            </w:pPr>
            <w:r>
              <w:t>0</w:t>
            </w:r>
          </w:p>
        </w:tc>
        <w:tc>
          <w:tcPr>
            <w:tcW w:w="1022" w:type="dxa"/>
            <w:vAlign w:val="center"/>
          </w:tcPr>
          <w:p w14:paraId="4154B0C2" w14:textId="77777777" w:rsidR="003E78AB" w:rsidRDefault="00010BF9">
            <w:pPr>
              <w:pStyle w:val="aff6"/>
              <w:topLinePunct/>
            </w:pPr>
            <w:r>
              <w:t>0.345069</w:t>
            </w:r>
          </w:p>
        </w:tc>
        <w:tc>
          <w:tcPr>
            <w:tcW w:w="1022" w:type="dxa"/>
            <w:vAlign w:val="center"/>
          </w:tcPr>
          <w:p w14:paraId="690DE0E2" w14:textId="77777777" w:rsidR="003E78AB" w:rsidRDefault="00010BF9">
            <w:pPr>
              <w:pStyle w:val="aff6"/>
              <w:topLinePunct/>
            </w:pPr>
            <w:r>
              <w:t>0.345069</w:t>
            </w:r>
          </w:p>
        </w:tc>
        <w:tc>
          <w:tcPr>
            <w:tcW w:w="1023" w:type="dxa"/>
            <w:vAlign w:val="center"/>
          </w:tcPr>
          <w:p w14:paraId="54793935" w14:textId="77777777" w:rsidR="003E78AB" w:rsidRDefault="00010BF9">
            <w:pPr>
              <w:pStyle w:val="aff6"/>
              <w:topLinePunct/>
            </w:pPr>
            <w:r>
              <w:t>0.345069</w:t>
            </w:r>
          </w:p>
        </w:tc>
        <w:tc>
          <w:tcPr>
            <w:tcW w:w="1020" w:type="dxa"/>
            <w:vAlign w:val="center"/>
          </w:tcPr>
          <w:p w14:paraId="499490CD" w14:textId="77777777" w:rsidR="003E78AB" w:rsidRDefault="00010BF9">
            <w:pPr>
              <w:pStyle w:val="aff6"/>
              <w:topLinePunct/>
            </w:pPr>
            <w:r>
              <w:t>0</w:t>
            </w:r>
          </w:p>
        </w:tc>
        <w:tc>
          <w:tcPr>
            <w:tcW w:w="1020" w:type="dxa"/>
            <w:vAlign w:val="center"/>
          </w:tcPr>
          <w:p w14:paraId="6383ED8D" w14:textId="77777777" w:rsidR="003E78AB" w:rsidRDefault="00010BF9">
            <w:pPr>
              <w:pStyle w:val="aff6"/>
              <w:topLinePunct/>
            </w:pPr>
            <w:r>
              <w:t>0</w:t>
            </w:r>
          </w:p>
        </w:tc>
        <w:tc>
          <w:tcPr>
            <w:tcW w:w="1023" w:type="dxa"/>
            <w:vAlign w:val="center"/>
          </w:tcPr>
          <w:p w14:paraId="573D1556" w14:textId="77777777" w:rsidR="003E78AB" w:rsidRDefault="00010BF9">
            <w:pPr>
              <w:pStyle w:val="aff6"/>
              <w:topLinePunct/>
            </w:pPr>
            <w:r>
              <w:t>0</w:t>
            </w:r>
          </w:p>
        </w:tc>
        <w:tc>
          <w:tcPr>
            <w:tcW w:w="1020" w:type="dxa"/>
            <w:vAlign w:val="center"/>
          </w:tcPr>
          <w:p w14:paraId="5D685949" w14:textId="77777777" w:rsidR="003E78AB" w:rsidRDefault="00010BF9">
            <w:pPr>
              <w:pStyle w:val="aff6"/>
              <w:topLinePunct/>
            </w:pPr>
            <w:r>
              <w:t>0</w:t>
            </w:r>
          </w:p>
        </w:tc>
        <w:tc>
          <w:tcPr>
            <w:tcW w:w="1022" w:type="dxa"/>
            <w:vAlign w:val="center"/>
          </w:tcPr>
          <w:p w14:paraId="07362595" w14:textId="77777777" w:rsidR="003E78AB" w:rsidRDefault="00010BF9">
            <w:pPr>
              <w:pStyle w:val="aff6"/>
              <w:topLinePunct/>
            </w:pPr>
            <w:r>
              <w:t>0</w:t>
            </w:r>
          </w:p>
        </w:tc>
        <w:tc>
          <w:tcPr>
            <w:tcW w:w="896" w:type="dxa"/>
            <w:vAlign w:val="center"/>
          </w:tcPr>
          <w:p w14:paraId="434C735C" w14:textId="77777777" w:rsidR="003E78AB" w:rsidRDefault="00010BF9">
            <w:pPr>
              <w:pStyle w:val="aff6"/>
              <w:topLinePunct/>
            </w:pPr>
            <w:r>
              <w:t>0</w:t>
            </w:r>
          </w:p>
        </w:tc>
        <w:tc>
          <w:tcPr>
            <w:tcW w:w="677" w:type="dxa"/>
            <w:vAlign w:val="center"/>
          </w:tcPr>
          <w:p w14:paraId="66F26D08" w14:textId="77777777" w:rsidR="003E78AB" w:rsidRDefault="00010BF9">
            <w:pPr>
              <w:pStyle w:val="aff6"/>
              <w:topLinePunct/>
            </w:pPr>
            <w:r>
              <w:t>0</w:t>
            </w:r>
          </w:p>
        </w:tc>
      </w:tr>
      <w:tr w:rsidR="003E78AB" w14:paraId="7AC83629" w14:textId="77777777">
        <w:trPr>
          <w:trHeight w:val="290"/>
        </w:trPr>
        <w:tc>
          <w:tcPr>
            <w:tcW w:w="1013" w:type="dxa"/>
            <w:vAlign w:val="center"/>
          </w:tcPr>
          <w:p w14:paraId="29C7C06F" w14:textId="77777777" w:rsidR="003E78AB" w:rsidRDefault="00010BF9">
            <w:pPr>
              <w:pStyle w:val="aff6"/>
              <w:topLinePunct/>
            </w:pPr>
            <w:r>
              <w:t>400</w:t>
            </w:r>
          </w:p>
        </w:tc>
        <w:tc>
          <w:tcPr>
            <w:tcW w:w="2185" w:type="dxa"/>
            <w:vAlign w:val="center"/>
          </w:tcPr>
          <w:p w14:paraId="6F2E3E8F" w14:textId="77777777" w:rsidR="003E78AB" w:rsidRDefault="00010BF9">
            <w:pPr>
              <w:pStyle w:val="aff6"/>
              <w:topLinePunct/>
            </w:pPr>
            <w:r>
              <w:t>0.254392|4</w:t>
            </w:r>
          </w:p>
        </w:tc>
        <w:tc>
          <w:tcPr>
            <w:tcW w:w="1022" w:type="dxa"/>
            <w:vAlign w:val="center"/>
          </w:tcPr>
          <w:p w14:paraId="5C22E4CA" w14:textId="77777777" w:rsidR="003E78AB" w:rsidRDefault="00010BF9">
            <w:pPr>
              <w:pStyle w:val="aff6"/>
              <w:topLinePunct/>
            </w:pPr>
            <w:r>
              <w:t>0</w:t>
            </w:r>
          </w:p>
        </w:tc>
        <w:tc>
          <w:tcPr>
            <w:tcW w:w="1022" w:type="dxa"/>
            <w:vAlign w:val="center"/>
          </w:tcPr>
          <w:p w14:paraId="41B00880" w14:textId="77777777" w:rsidR="003E78AB" w:rsidRDefault="00010BF9">
            <w:pPr>
              <w:pStyle w:val="aff6"/>
              <w:topLinePunct/>
            </w:pPr>
            <w:r>
              <w:t>0.254392</w:t>
            </w:r>
          </w:p>
        </w:tc>
        <w:tc>
          <w:tcPr>
            <w:tcW w:w="1022" w:type="dxa"/>
            <w:vAlign w:val="center"/>
          </w:tcPr>
          <w:p w14:paraId="1942FEA7" w14:textId="77777777" w:rsidR="003E78AB" w:rsidRDefault="00010BF9">
            <w:pPr>
              <w:pStyle w:val="aff6"/>
              <w:topLinePunct/>
            </w:pPr>
            <w:r>
              <w:t>0.254392</w:t>
            </w:r>
          </w:p>
        </w:tc>
        <w:tc>
          <w:tcPr>
            <w:tcW w:w="1023" w:type="dxa"/>
            <w:vAlign w:val="center"/>
          </w:tcPr>
          <w:p w14:paraId="3A301294" w14:textId="77777777" w:rsidR="003E78AB" w:rsidRDefault="00010BF9">
            <w:pPr>
              <w:pStyle w:val="aff6"/>
              <w:topLinePunct/>
            </w:pPr>
            <w:r>
              <w:t>0.254392</w:t>
            </w:r>
          </w:p>
        </w:tc>
        <w:tc>
          <w:tcPr>
            <w:tcW w:w="1020" w:type="dxa"/>
            <w:vAlign w:val="center"/>
          </w:tcPr>
          <w:p w14:paraId="61457D4C" w14:textId="77777777" w:rsidR="003E78AB" w:rsidRDefault="00010BF9">
            <w:pPr>
              <w:pStyle w:val="aff6"/>
              <w:topLinePunct/>
            </w:pPr>
            <w:r>
              <w:t>0.00027</w:t>
            </w:r>
          </w:p>
        </w:tc>
        <w:tc>
          <w:tcPr>
            <w:tcW w:w="1020" w:type="dxa"/>
            <w:vAlign w:val="center"/>
          </w:tcPr>
          <w:p w14:paraId="41E4BC07" w14:textId="77777777" w:rsidR="003E78AB" w:rsidRDefault="00010BF9">
            <w:pPr>
              <w:pStyle w:val="aff6"/>
              <w:topLinePunct/>
            </w:pPr>
            <w:r>
              <w:t>0</w:t>
            </w:r>
          </w:p>
        </w:tc>
        <w:tc>
          <w:tcPr>
            <w:tcW w:w="1023" w:type="dxa"/>
            <w:vAlign w:val="center"/>
          </w:tcPr>
          <w:p w14:paraId="7F0E3633" w14:textId="77777777" w:rsidR="003E78AB" w:rsidRDefault="00010BF9">
            <w:pPr>
              <w:pStyle w:val="aff6"/>
              <w:topLinePunct/>
            </w:pPr>
            <w:r>
              <w:t>0</w:t>
            </w:r>
          </w:p>
        </w:tc>
        <w:tc>
          <w:tcPr>
            <w:tcW w:w="1020" w:type="dxa"/>
            <w:vAlign w:val="center"/>
          </w:tcPr>
          <w:p w14:paraId="5F4244AD" w14:textId="77777777" w:rsidR="003E78AB" w:rsidRDefault="00010BF9">
            <w:pPr>
              <w:pStyle w:val="aff6"/>
              <w:topLinePunct/>
            </w:pPr>
            <w:r>
              <w:t>0</w:t>
            </w:r>
          </w:p>
        </w:tc>
        <w:tc>
          <w:tcPr>
            <w:tcW w:w="1022" w:type="dxa"/>
            <w:vAlign w:val="center"/>
          </w:tcPr>
          <w:p w14:paraId="0C518E52" w14:textId="77777777" w:rsidR="003E78AB" w:rsidRDefault="00010BF9">
            <w:pPr>
              <w:pStyle w:val="aff6"/>
              <w:topLinePunct/>
            </w:pPr>
            <w:r>
              <w:t>0</w:t>
            </w:r>
          </w:p>
        </w:tc>
        <w:tc>
          <w:tcPr>
            <w:tcW w:w="896" w:type="dxa"/>
            <w:vAlign w:val="center"/>
          </w:tcPr>
          <w:p w14:paraId="2FCDA1BA" w14:textId="77777777" w:rsidR="003E78AB" w:rsidRDefault="00010BF9">
            <w:pPr>
              <w:pStyle w:val="aff6"/>
              <w:topLinePunct/>
            </w:pPr>
            <w:r>
              <w:t>0</w:t>
            </w:r>
          </w:p>
        </w:tc>
        <w:tc>
          <w:tcPr>
            <w:tcW w:w="677" w:type="dxa"/>
            <w:vAlign w:val="center"/>
          </w:tcPr>
          <w:p w14:paraId="7EC23069" w14:textId="77777777" w:rsidR="003E78AB" w:rsidRDefault="00010BF9">
            <w:pPr>
              <w:pStyle w:val="aff6"/>
              <w:topLinePunct/>
            </w:pPr>
            <w:r>
              <w:t>0</w:t>
            </w:r>
          </w:p>
        </w:tc>
      </w:tr>
      <w:tr w:rsidR="003E78AB" w14:paraId="0EAAFC18" w14:textId="77777777">
        <w:trPr>
          <w:trHeight w:val="288"/>
        </w:trPr>
        <w:tc>
          <w:tcPr>
            <w:tcW w:w="1013" w:type="dxa"/>
            <w:vAlign w:val="center"/>
          </w:tcPr>
          <w:p w14:paraId="6DD2B336" w14:textId="77777777" w:rsidR="003E78AB" w:rsidRDefault="00010BF9">
            <w:pPr>
              <w:pStyle w:val="aff6"/>
              <w:topLinePunct/>
            </w:pPr>
            <w:r>
              <w:t>500</w:t>
            </w:r>
          </w:p>
        </w:tc>
        <w:tc>
          <w:tcPr>
            <w:tcW w:w="2185" w:type="dxa"/>
            <w:vAlign w:val="center"/>
          </w:tcPr>
          <w:p w14:paraId="4732033F" w14:textId="77777777" w:rsidR="003E78AB" w:rsidRDefault="00010BF9">
            <w:pPr>
              <w:pStyle w:val="aff6"/>
              <w:topLinePunct/>
            </w:pPr>
            <w:r>
              <w:t>0.190379|5</w:t>
            </w:r>
          </w:p>
        </w:tc>
        <w:tc>
          <w:tcPr>
            <w:tcW w:w="1022" w:type="dxa"/>
            <w:vAlign w:val="center"/>
          </w:tcPr>
          <w:p w14:paraId="64B35FA0" w14:textId="77777777" w:rsidR="003E78AB" w:rsidRDefault="00010BF9">
            <w:pPr>
              <w:pStyle w:val="aff6"/>
              <w:topLinePunct/>
            </w:pPr>
            <w:r>
              <w:t>0</w:t>
            </w:r>
          </w:p>
        </w:tc>
        <w:tc>
          <w:tcPr>
            <w:tcW w:w="1022" w:type="dxa"/>
            <w:vAlign w:val="center"/>
          </w:tcPr>
          <w:p w14:paraId="506871DD" w14:textId="77777777" w:rsidR="003E78AB" w:rsidRDefault="00010BF9">
            <w:pPr>
              <w:pStyle w:val="aff6"/>
              <w:topLinePunct/>
            </w:pPr>
            <w:r>
              <w:t>0.190379</w:t>
            </w:r>
          </w:p>
        </w:tc>
        <w:tc>
          <w:tcPr>
            <w:tcW w:w="1022" w:type="dxa"/>
            <w:vAlign w:val="center"/>
          </w:tcPr>
          <w:p w14:paraId="51E504F9" w14:textId="77777777" w:rsidR="003E78AB" w:rsidRDefault="00010BF9">
            <w:pPr>
              <w:pStyle w:val="aff6"/>
              <w:topLinePunct/>
            </w:pPr>
            <w:r>
              <w:t>0.190379</w:t>
            </w:r>
          </w:p>
        </w:tc>
        <w:tc>
          <w:tcPr>
            <w:tcW w:w="1023" w:type="dxa"/>
            <w:vAlign w:val="center"/>
          </w:tcPr>
          <w:p w14:paraId="59FCAE8E" w14:textId="77777777" w:rsidR="003E78AB" w:rsidRDefault="00010BF9">
            <w:pPr>
              <w:pStyle w:val="aff6"/>
              <w:topLinePunct/>
            </w:pPr>
            <w:r>
              <w:t>0.190379</w:t>
            </w:r>
          </w:p>
        </w:tc>
        <w:tc>
          <w:tcPr>
            <w:tcW w:w="1020" w:type="dxa"/>
            <w:vAlign w:val="center"/>
          </w:tcPr>
          <w:p w14:paraId="4DC15F38" w14:textId="77777777" w:rsidR="003E78AB" w:rsidRDefault="00010BF9">
            <w:pPr>
              <w:pStyle w:val="aff6"/>
              <w:topLinePunct/>
            </w:pPr>
            <w:r>
              <w:t>0.124464</w:t>
            </w:r>
          </w:p>
        </w:tc>
        <w:tc>
          <w:tcPr>
            <w:tcW w:w="1020" w:type="dxa"/>
            <w:vAlign w:val="center"/>
          </w:tcPr>
          <w:p w14:paraId="0E6EB4D3" w14:textId="77777777" w:rsidR="003E78AB" w:rsidRDefault="00010BF9">
            <w:pPr>
              <w:pStyle w:val="aff6"/>
              <w:topLinePunct/>
            </w:pPr>
            <w:r>
              <w:t>0</w:t>
            </w:r>
          </w:p>
        </w:tc>
        <w:tc>
          <w:tcPr>
            <w:tcW w:w="1023" w:type="dxa"/>
            <w:vAlign w:val="center"/>
          </w:tcPr>
          <w:p w14:paraId="481BAF16" w14:textId="77777777" w:rsidR="003E78AB" w:rsidRDefault="00010BF9">
            <w:pPr>
              <w:pStyle w:val="aff6"/>
              <w:topLinePunct/>
            </w:pPr>
            <w:r>
              <w:t>0</w:t>
            </w:r>
          </w:p>
        </w:tc>
        <w:tc>
          <w:tcPr>
            <w:tcW w:w="1020" w:type="dxa"/>
            <w:vAlign w:val="center"/>
          </w:tcPr>
          <w:p w14:paraId="6918ADD1" w14:textId="77777777" w:rsidR="003E78AB" w:rsidRDefault="00010BF9">
            <w:pPr>
              <w:pStyle w:val="aff6"/>
              <w:topLinePunct/>
            </w:pPr>
            <w:r>
              <w:t>0</w:t>
            </w:r>
          </w:p>
        </w:tc>
        <w:tc>
          <w:tcPr>
            <w:tcW w:w="1022" w:type="dxa"/>
            <w:vAlign w:val="center"/>
          </w:tcPr>
          <w:p w14:paraId="72D1080F" w14:textId="77777777" w:rsidR="003E78AB" w:rsidRDefault="00010BF9">
            <w:pPr>
              <w:pStyle w:val="aff6"/>
              <w:topLinePunct/>
            </w:pPr>
            <w:r>
              <w:t>0</w:t>
            </w:r>
          </w:p>
        </w:tc>
        <w:tc>
          <w:tcPr>
            <w:tcW w:w="896" w:type="dxa"/>
            <w:vAlign w:val="center"/>
          </w:tcPr>
          <w:p w14:paraId="582F1F2F" w14:textId="77777777" w:rsidR="003E78AB" w:rsidRDefault="00010BF9">
            <w:pPr>
              <w:pStyle w:val="aff6"/>
              <w:topLinePunct/>
            </w:pPr>
            <w:r>
              <w:t>0</w:t>
            </w:r>
          </w:p>
        </w:tc>
        <w:tc>
          <w:tcPr>
            <w:tcW w:w="677" w:type="dxa"/>
            <w:vAlign w:val="center"/>
          </w:tcPr>
          <w:p w14:paraId="22CC321B" w14:textId="77777777" w:rsidR="003E78AB" w:rsidRDefault="00010BF9">
            <w:pPr>
              <w:pStyle w:val="aff6"/>
              <w:topLinePunct/>
            </w:pPr>
            <w:r>
              <w:t>0</w:t>
            </w:r>
          </w:p>
        </w:tc>
      </w:tr>
      <w:tr w:rsidR="003E78AB" w14:paraId="7E74EB0F" w14:textId="77777777">
        <w:trPr>
          <w:trHeight w:val="287"/>
        </w:trPr>
        <w:tc>
          <w:tcPr>
            <w:tcW w:w="1013" w:type="dxa"/>
            <w:vAlign w:val="center"/>
          </w:tcPr>
          <w:p w14:paraId="5095E6BB" w14:textId="77777777" w:rsidR="003E78AB" w:rsidRDefault="00010BF9">
            <w:pPr>
              <w:pStyle w:val="aff6"/>
              <w:topLinePunct/>
            </w:pPr>
            <w:r>
              <w:t>600</w:t>
            </w:r>
          </w:p>
        </w:tc>
        <w:tc>
          <w:tcPr>
            <w:tcW w:w="2185" w:type="dxa"/>
            <w:vAlign w:val="center"/>
          </w:tcPr>
          <w:p w14:paraId="21C16EC0" w14:textId="77777777" w:rsidR="003E78AB" w:rsidRDefault="00010BF9">
            <w:pPr>
              <w:pStyle w:val="aff6"/>
              <w:topLinePunct/>
            </w:pPr>
            <w:r>
              <w:t>0.146765|6</w:t>
            </w:r>
          </w:p>
        </w:tc>
        <w:tc>
          <w:tcPr>
            <w:tcW w:w="1022" w:type="dxa"/>
            <w:vAlign w:val="center"/>
          </w:tcPr>
          <w:p w14:paraId="14C274EC" w14:textId="77777777" w:rsidR="003E78AB" w:rsidRDefault="00010BF9">
            <w:pPr>
              <w:pStyle w:val="aff6"/>
              <w:topLinePunct/>
            </w:pPr>
            <w:r>
              <w:t>0</w:t>
            </w:r>
          </w:p>
        </w:tc>
        <w:tc>
          <w:tcPr>
            <w:tcW w:w="1022" w:type="dxa"/>
            <w:vAlign w:val="center"/>
          </w:tcPr>
          <w:p w14:paraId="030C4BEB" w14:textId="77777777" w:rsidR="003E78AB" w:rsidRDefault="00010BF9">
            <w:pPr>
              <w:pStyle w:val="aff6"/>
              <w:topLinePunct/>
            </w:pPr>
            <w:r>
              <w:t>0</w:t>
            </w:r>
          </w:p>
        </w:tc>
        <w:tc>
          <w:tcPr>
            <w:tcW w:w="1022" w:type="dxa"/>
            <w:vAlign w:val="center"/>
          </w:tcPr>
          <w:p w14:paraId="09C9231B" w14:textId="77777777" w:rsidR="003E78AB" w:rsidRDefault="00010BF9">
            <w:pPr>
              <w:pStyle w:val="aff6"/>
              <w:topLinePunct/>
            </w:pPr>
            <w:r>
              <w:t>0.146765</w:t>
            </w:r>
          </w:p>
        </w:tc>
        <w:tc>
          <w:tcPr>
            <w:tcW w:w="1023" w:type="dxa"/>
            <w:vAlign w:val="center"/>
          </w:tcPr>
          <w:p w14:paraId="04548726" w14:textId="77777777" w:rsidR="003E78AB" w:rsidRDefault="00010BF9">
            <w:pPr>
              <w:pStyle w:val="aff6"/>
              <w:topLinePunct/>
            </w:pPr>
            <w:r>
              <w:t>0.146765</w:t>
            </w:r>
          </w:p>
        </w:tc>
        <w:tc>
          <w:tcPr>
            <w:tcW w:w="1020" w:type="dxa"/>
            <w:vAlign w:val="center"/>
          </w:tcPr>
          <w:p w14:paraId="39D17A16" w14:textId="77777777" w:rsidR="003E78AB" w:rsidRDefault="00010BF9">
            <w:pPr>
              <w:pStyle w:val="aff6"/>
              <w:topLinePunct/>
            </w:pPr>
            <w:r>
              <w:t>0.146246</w:t>
            </w:r>
          </w:p>
        </w:tc>
        <w:tc>
          <w:tcPr>
            <w:tcW w:w="1020" w:type="dxa"/>
            <w:vAlign w:val="center"/>
          </w:tcPr>
          <w:p w14:paraId="34457EE7" w14:textId="77777777" w:rsidR="003E78AB" w:rsidRDefault="00010BF9">
            <w:pPr>
              <w:pStyle w:val="aff6"/>
              <w:topLinePunct/>
            </w:pPr>
            <w:r>
              <w:t>0</w:t>
            </w:r>
          </w:p>
        </w:tc>
        <w:tc>
          <w:tcPr>
            <w:tcW w:w="1023" w:type="dxa"/>
            <w:vAlign w:val="center"/>
          </w:tcPr>
          <w:p w14:paraId="69223FDA" w14:textId="77777777" w:rsidR="003E78AB" w:rsidRDefault="00010BF9">
            <w:pPr>
              <w:pStyle w:val="aff6"/>
              <w:topLinePunct/>
            </w:pPr>
            <w:r>
              <w:t>0</w:t>
            </w:r>
          </w:p>
        </w:tc>
        <w:tc>
          <w:tcPr>
            <w:tcW w:w="1020" w:type="dxa"/>
            <w:vAlign w:val="center"/>
          </w:tcPr>
          <w:p w14:paraId="61F88987" w14:textId="77777777" w:rsidR="003E78AB" w:rsidRDefault="00010BF9">
            <w:pPr>
              <w:pStyle w:val="aff6"/>
              <w:topLinePunct/>
            </w:pPr>
            <w:r>
              <w:t>0</w:t>
            </w:r>
          </w:p>
        </w:tc>
        <w:tc>
          <w:tcPr>
            <w:tcW w:w="1022" w:type="dxa"/>
            <w:vAlign w:val="center"/>
          </w:tcPr>
          <w:p w14:paraId="16C0D923" w14:textId="77777777" w:rsidR="003E78AB" w:rsidRDefault="00010BF9">
            <w:pPr>
              <w:pStyle w:val="aff6"/>
              <w:topLinePunct/>
            </w:pPr>
            <w:r>
              <w:t>0</w:t>
            </w:r>
          </w:p>
        </w:tc>
        <w:tc>
          <w:tcPr>
            <w:tcW w:w="896" w:type="dxa"/>
            <w:vAlign w:val="center"/>
          </w:tcPr>
          <w:p w14:paraId="7F56C610" w14:textId="77777777" w:rsidR="003E78AB" w:rsidRDefault="00010BF9">
            <w:pPr>
              <w:pStyle w:val="aff6"/>
              <w:topLinePunct/>
            </w:pPr>
            <w:r>
              <w:t>0</w:t>
            </w:r>
          </w:p>
        </w:tc>
        <w:tc>
          <w:tcPr>
            <w:tcW w:w="677" w:type="dxa"/>
            <w:vAlign w:val="center"/>
          </w:tcPr>
          <w:p w14:paraId="3EF9566A" w14:textId="77777777" w:rsidR="003E78AB" w:rsidRDefault="00010BF9">
            <w:pPr>
              <w:pStyle w:val="aff6"/>
              <w:topLinePunct/>
            </w:pPr>
            <w:r>
              <w:t>0</w:t>
            </w:r>
          </w:p>
        </w:tc>
      </w:tr>
      <w:tr w:rsidR="003E78AB" w14:paraId="2969B633" w14:textId="77777777">
        <w:trPr>
          <w:trHeight w:val="288"/>
        </w:trPr>
        <w:tc>
          <w:tcPr>
            <w:tcW w:w="1013" w:type="dxa"/>
            <w:vAlign w:val="center"/>
          </w:tcPr>
          <w:p w14:paraId="666A9462" w14:textId="77777777" w:rsidR="003E78AB" w:rsidRDefault="00010BF9">
            <w:pPr>
              <w:pStyle w:val="aff6"/>
              <w:topLinePunct/>
            </w:pPr>
            <w:r>
              <w:t>700</w:t>
            </w:r>
          </w:p>
        </w:tc>
        <w:tc>
          <w:tcPr>
            <w:tcW w:w="2185" w:type="dxa"/>
            <w:vAlign w:val="center"/>
          </w:tcPr>
          <w:p w14:paraId="21CB7036" w14:textId="77777777" w:rsidR="003E78AB" w:rsidRDefault="00010BF9">
            <w:pPr>
              <w:pStyle w:val="aff6"/>
              <w:topLinePunct/>
            </w:pPr>
            <w:r>
              <w:t>0.116385|7</w:t>
            </w:r>
          </w:p>
        </w:tc>
        <w:tc>
          <w:tcPr>
            <w:tcW w:w="1022" w:type="dxa"/>
            <w:vAlign w:val="center"/>
          </w:tcPr>
          <w:p w14:paraId="149C7DB8" w14:textId="77777777" w:rsidR="003E78AB" w:rsidRDefault="00010BF9">
            <w:pPr>
              <w:pStyle w:val="aff6"/>
              <w:topLinePunct/>
            </w:pPr>
            <w:r>
              <w:t>0</w:t>
            </w:r>
          </w:p>
        </w:tc>
        <w:tc>
          <w:tcPr>
            <w:tcW w:w="1022" w:type="dxa"/>
            <w:vAlign w:val="center"/>
          </w:tcPr>
          <w:p w14:paraId="528FB4DD" w14:textId="77777777" w:rsidR="003E78AB" w:rsidRDefault="00010BF9">
            <w:pPr>
              <w:pStyle w:val="aff6"/>
              <w:topLinePunct/>
            </w:pPr>
            <w:r>
              <w:t>0</w:t>
            </w:r>
          </w:p>
        </w:tc>
        <w:tc>
          <w:tcPr>
            <w:tcW w:w="1022" w:type="dxa"/>
            <w:vAlign w:val="center"/>
          </w:tcPr>
          <w:p w14:paraId="6E1A64E3" w14:textId="77777777" w:rsidR="003E78AB" w:rsidRDefault="00010BF9">
            <w:pPr>
              <w:pStyle w:val="aff6"/>
              <w:topLinePunct/>
            </w:pPr>
            <w:r>
              <w:t>0.116385</w:t>
            </w:r>
          </w:p>
        </w:tc>
        <w:tc>
          <w:tcPr>
            <w:tcW w:w="1023" w:type="dxa"/>
            <w:vAlign w:val="center"/>
          </w:tcPr>
          <w:p w14:paraId="059D5A2B" w14:textId="77777777" w:rsidR="003E78AB" w:rsidRDefault="00010BF9">
            <w:pPr>
              <w:pStyle w:val="aff6"/>
              <w:topLinePunct/>
            </w:pPr>
            <w:r>
              <w:t>0.116385</w:t>
            </w:r>
          </w:p>
        </w:tc>
        <w:tc>
          <w:tcPr>
            <w:tcW w:w="1020" w:type="dxa"/>
            <w:vAlign w:val="center"/>
          </w:tcPr>
          <w:p w14:paraId="0098E749" w14:textId="77777777" w:rsidR="003E78AB" w:rsidRDefault="00010BF9">
            <w:pPr>
              <w:pStyle w:val="aff6"/>
              <w:topLinePunct/>
            </w:pPr>
            <w:r>
              <w:t>0.116379</w:t>
            </w:r>
          </w:p>
        </w:tc>
        <w:tc>
          <w:tcPr>
            <w:tcW w:w="1020" w:type="dxa"/>
            <w:vAlign w:val="center"/>
          </w:tcPr>
          <w:p w14:paraId="04ED8FD3" w14:textId="77777777" w:rsidR="003E78AB" w:rsidRDefault="00010BF9">
            <w:pPr>
              <w:pStyle w:val="aff6"/>
              <w:topLinePunct/>
            </w:pPr>
            <w:r>
              <w:t>0</w:t>
            </w:r>
          </w:p>
        </w:tc>
        <w:tc>
          <w:tcPr>
            <w:tcW w:w="1023" w:type="dxa"/>
            <w:vAlign w:val="center"/>
          </w:tcPr>
          <w:p w14:paraId="28B33CE4" w14:textId="77777777" w:rsidR="003E78AB" w:rsidRDefault="00010BF9">
            <w:pPr>
              <w:pStyle w:val="aff6"/>
              <w:topLinePunct/>
            </w:pPr>
            <w:r>
              <w:t>0</w:t>
            </w:r>
          </w:p>
        </w:tc>
        <w:tc>
          <w:tcPr>
            <w:tcW w:w="1020" w:type="dxa"/>
            <w:vAlign w:val="center"/>
          </w:tcPr>
          <w:p w14:paraId="7F33AE61" w14:textId="77777777" w:rsidR="003E78AB" w:rsidRDefault="00010BF9">
            <w:pPr>
              <w:pStyle w:val="aff6"/>
              <w:topLinePunct/>
            </w:pPr>
            <w:r>
              <w:t>0</w:t>
            </w:r>
          </w:p>
        </w:tc>
        <w:tc>
          <w:tcPr>
            <w:tcW w:w="1022" w:type="dxa"/>
            <w:vAlign w:val="center"/>
          </w:tcPr>
          <w:p w14:paraId="7CB5BEF3" w14:textId="77777777" w:rsidR="003E78AB" w:rsidRDefault="00010BF9">
            <w:pPr>
              <w:pStyle w:val="aff6"/>
              <w:topLinePunct/>
            </w:pPr>
            <w:r>
              <w:t>0</w:t>
            </w:r>
          </w:p>
        </w:tc>
        <w:tc>
          <w:tcPr>
            <w:tcW w:w="896" w:type="dxa"/>
            <w:vAlign w:val="center"/>
          </w:tcPr>
          <w:p w14:paraId="636B74AC" w14:textId="77777777" w:rsidR="003E78AB" w:rsidRDefault="00010BF9">
            <w:pPr>
              <w:pStyle w:val="aff6"/>
              <w:topLinePunct/>
            </w:pPr>
            <w:r>
              <w:t>0</w:t>
            </w:r>
          </w:p>
        </w:tc>
        <w:tc>
          <w:tcPr>
            <w:tcW w:w="677" w:type="dxa"/>
            <w:vAlign w:val="center"/>
          </w:tcPr>
          <w:p w14:paraId="2C67E931" w14:textId="77777777" w:rsidR="003E78AB" w:rsidRDefault="00010BF9">
            <w:pPr>
              <w:pStyle w:val="aff6"/>
              <w:topLinePunct/>
            </w:pPr>
            <w:r>
              <w:t>0</w:t>
            </w:r>
          </w:p>
        </w:tc>
      </w:tr>
      <w:tr w:rsidR="003E78AB" w14:paraId="543B7925" w14:textId="77777777">
        <w:trPr>
          <w:trHeight w:val="288"/>
        </w:trPr>
        <w:tc>
          <w:tcPr>
            <w:tcW w:w="1013" w:type="dxa"/>
            <w:vAlign w:val="center"/>
          </w:tcPr>
          <w:p w14:paraId="577F7B3F" w14:textId="77777777" w:rsidR="003E78AB" w:rsidRDefault="00010BF9">
            <w:pPr>
              <w:pStyle w:val="aff6"/>
              <w:topLinePunct/>
            </w:pPr>
            <w:r>
              <w:t>800</w:t>
            </w:r>
          </w:p>
        </w:tc>
        <w:tc>
          <w:tcPr>
            <w:tcW w:w="2185" w:type="dxa"/>
            <w:vAlign w:val="center"/>
          </w:tcPr>
          <w:p w14:paraId="50A80CFB" w14:textId="77777777" w:rsidR="003E78AB" w:rsidRDefault="00010BF9">
            <w:pPr>
              <w:pStyle w:val="aff6"/>
              <w:topLinePunct/>
            </w:pPr>
            <w:r>
              <w:t>0.094558|8</w:t>
            </w:r>
          </w:p>
        </w:tc>
        <w:tc>
          <w:tcPr>
            <w:tcW w:w="1022" w:type="dxa"/>
            <w:vAlign w:val="center"/>
          </w:tcPr>
          <w:p w14:paraId="5A06E501" w14:textId="77777777" w:rsidR="003E78AB" w:rsidRDefault="00010BF9">
            <w:pPr>
              <w:pStyle w:val="aff6"/>
              <w:topLinePunct/>
            </w:pPr>
            <w:r>
              <w:t>0</w:t>
            </w:r>
          </w:p>
        </w:tc>
        <w:tc>
          <w:tcPr>
            <w:tcW w:w="1022" w:type="dxa"/>
            <w:vAlign w:val="center"/>
          </w:tcPr>
          <w:p w14:paraId="558C3FD0" w14:textId="77777777" w:rsidR="003E78AB" w:rsidRDefault="00010BF9">
            <w:pPr>
              <w:pStyle w:val="aff6"/>
              <w:topLinePunct/>
            </w:pPr>
            <w:r>
              <w:t>0</w:t>
            </w:r>
          </w:p>
        </w:tc>
        <w:tc>
          <w:tcPr>
            <w:tcW w:w="1022" w:type="dxa"/>
            <w:vAlign w:val="center"/>
          </w:tcPr>
          <w:p w14:paraId="0078F059" w14:textId="77777777" w:rsidR="003E78AB" w:rsidRDefault="00010BF9">
            <w:pPr>
              <w:pStyle w:val="aff6"/>
              <w:topLinePunct/>
            </w:pPr>
            <w:r>
              <w:t>0.094558</w:t>
            </w:r>
          </w:p>
        </w:tc>
        <w:tc>
          <w:tcPr>
            <w:tcW w:w="1023" w:type="dxa"/>
            <w:vAlign w:val="center"/>
          </w:tcPr>
          <w:p w14:paraId="3AA93B62" w14:textId="77777777" w:rsidR="003E78AB" w:rsidRDefault="00010BF9">
            <w:pPr>
              <w:pStyle w:val="aff6"/>
              <w:topLinePunct/>
            </w:pPr>
            <w:r>
              <w:t>0.094558</w:t>
            </w:r>
          </w:p>
        </w:tc>
        <w:tc>
          <w:tcPr>
            <w:tcW w:w="1020" w:type="dxa"/>
            <w:vAlign w:val="center"/>
          </w:tcPr>
          <w:p w14:paraId="0957E929" w14:textId="77777777" w:rsidR="003E78AB" w:rsidRDefault="00010BF9">
            <w:pPr>
              <w:pStyle w:val="aff6"/>
              <w:topLinePunct/>
            </w:pPr>
            <w:r>
              <w:t>0.094553</w:t>
            </w:r>
          </w:p>
        </w:tc>
        <w:tc>
          <w:tcPr>
            <w:tcW w:w="1020" w:type="dxa"/>
            <w:vAlign w:val="center"/>
          </w:tcPr>
          <w:p w14:paraId="0C987E93" w14:textId="77777777" w:rsidR="003E78AB" w:rsidRDefault="00010BF9">
            <w:pPr>
              <w:pStyle w:val="aff6"/>
              <w:topLinePunct/>
            </w:pPr>
            <w:r>
              <w:t>0.000041</w:t>
            </w:r>
          </w:p>
        </w:tc>
        <w:tc>
          <w:tcPr>
            <w:tcW w:w="1023" w:type="dxa"/>
            <w:vAlign w:val="center"/>
          </w:tcPr>
          <w:p w14:paraId="513C751D" w14:textId="77777777" w:rsidR="003E78AB" w:rsidRDefault="00010BF9">
            <w:pPr>
              <w:pStyle w:val="aff6"/>
              <w:topLinePunct/>
            </w:pPr>
            <w:r>
              <w:t>0</w:t>
            </w:r>
          </w:p>
        </w:tc>
        <w:tc>
          <w:tcPr>
            <w:tcW w:w="1020" w:type="dxa"/>
            <w:vAlign w:val="center"/>
          </w:tcPr>
          <w:p w14:paraId="1765BDB8" w14:textId="77777777" w:rsidR="003E78AB" w:rsidRDefault="00010BF9">
            <w:pPr>
              <w:pStyle w:val="aff6"/>
              <w:topLinePunct/>
            </w:pPr>
            <w:r>
              <w:t>0</w:t>
            </w:r>
          </w:p>
        </w:tc>
        <w:tc>
          <w:tcPr>
            <w:tcW w:w="1022" w:type="dxa"/>
            <w:vAlign w:val="center"/>
          </w:tcPr>
          <w:p w14:paraId="352BE9B3" w14:textId="77777777" w:rsidR="003E78AB" w:rsidRDefault="00010BF9">
            <w:pPr>
              <w:pStyle w:val="aff6"/>
              <w:topLinePunct/>
            </w:pPr>
            <w:r>
              <w:t>0</w:t>
            </w:r>
          </w:p>
        </w:tc>
        <w:tc>
          <w:tcPr>
            <w:tcW w:w="896" w:type="dxa"/>
            <w:vAlign w:val="center"/>
          </w:tcPr>
          <w:p w14:paraId="70B15828" w14:textId="77777777" w:rsidR="003E78AB" w:rsidRDefault="00010BF9">
            <w:pPr>
              <w:pStyle w:val="aff6"/>
              <w:topLinePunct/>
            </w:pPr>
            <w:r>
              <w:t>0</w:t>
            </w:r>
          </w:p>
        </w:tc>
        <w:tc>
          <w:tcPr>
            <w:tcW w:w="677" w:type="dxa"/>
            <w:vAlign w:val="center"/>
          </w:tcPr>
          <w:p w14:paraId="5E8FF875" w14:textId="77777777" w:rsidR="003E78AB" w:rsidRDefault="00010BF9">
            <w:pPr>
              <w:pStyle w:val="aff6"/>
              <w:topLinePunct/>
            </w:pPr>
            <w:r>
              <w:t>0</w:t>
            </w:r>
          </w:p>
        </w:tc>
      </w:tr>
      <w:tr w:rsidR="003E78AB" w14:paraId="26320C4F" w14:textId="77777777">
        <w:trPr>
          <w:trHeight w:val="288"/>
        </w:trPr>
        <w:tc>
          <w:tcPr>
            <w:tcW w:w="1013" w:type="dxa"/>
            <w:vAlign w:val="center"/>
          </w:tcPr>
          <w:p w14:paraId="08A355B7" w14:textId="77777777" w:rsidR="003E78AB" w:rsidRDefault="00010BF9">
            <w:pPr>
              <w:pStyle w:val="aff6"/>
              <w:topLinePunct/>
            </w:pPr>
            <w:r>
              <w:t>900</w:t>
            </w:r>
          </w:p>
        </w:tc>
        <w:tc>
          <w:tcPr>
            <w:tcW w:w="2185" w:type="dxa"/>
            <w:vAlign w:val="center"/>
          </w:tcPr>
          <w:p w14:paraId="7D1BF5B7" w14:textId="77777777" w:rsidR="003E78AB" w:rsidRDefault="00010BF9">
            <w:pPr>
              <w:pStyle w:val="aff6"/>
              <w:topLinePunct/>
            </w:pPr>
            <w:r>
              <w:t>0.078402|9</w:t>
            </w:r>
          </w:p>
        </w:tc>
        <w:tc>
          <w:tcPr>
            <w:tcW w:w="1022" w:type="dxa"/>
            <w:vAlign w:val="center"/>
          </w:tcPr>
          <w:p w14:paraId="34AE5C13" w14:textId="77777777" w:rsidR="003E78AB" w:rsidRDefault="00010BF9">
            <w:pPr>
              <w:pStyle w:val="aff6"/>
              <w:topLinePunct/>
            </w:pPr>
            <w:r>
              <w:t>0</w:t>
            </w:r>
          </w:p>
        </w:tc>
        <w:tc>
          <w:tcPr>
            <w:tcW w:w="1022" w:type="dxa"/>
            <w:vAlign w:val="center"/>
          </w:tcPr>
          <w:p w14:paraId="200F22A4" w14:textId="77777777" w:rsidR="003E78AB" w:rsidRDefault="00010BF9">
            <w:pPr>
              <w:pStyle w:val="aff6"/>
              <w:topLinePunct/>
            </w:pPr>
            <w:r>
              <w:t>0</w:t>
            </w:r>
          </w:p>
        </w:tc>
        <w:tc>
          <w:tcPr>
            <w:tcW w:w="1022" w:type="dxa"/>
            <w:vAlign w:val="center"/>
          </w:tcPr>
          <w:p w14:paraId="7FB0A9F7" w14:textId="77777777" w:rsidR="003E78AB" w:rsidRDefault="00010BF9">
            <w:pPr>
              <w:pStyle w:val="aff6"/>
              <w:topLinePunct/>
            </w:pPr>
            <w:r>
              <w:t>0</w:t>
            </w:r>
          </w:p>
        </w:tc>
        <w:tc>
          <w:tcPr>
            <w:tcW w:w="1023" w:type="dxa"/>
            <w:vAlign w:val="center"/>
          </w:tcPr>
          <w:p w14:paraId="3775785E" w14:textId="77777777" w:rsidR="003E78AB" w:rsidRDefault="00010BF9">
            <w:pPr>
              <w:pStyle w:val="aff6"/>
              <w:topLinePunct/>
            </w:pPr>
            <w:r>
              <w:t>0.078402</w:t>
            </w:r>
          </w:p>
        </w:tc>
        <w:tc>
          <w:tcPr>
            <w:tcW w:w="1020" w:type="dxa"/>
            <w:vAlign w:val="center"/>
          </w:tcPr>
          <w:p w14:paraId="30978FEE" w14:textId="77777777" w:rsidR="003E78AB" w:rsidRDefault="00010BF9">
            <w:pPr>
              <w:pStyle w:val="aff6"/>
              <w:topLinePunct/>
            </w:pPr>
            <w:r>
              <w:t>0.078398</w:t>
            </w:r>
          </w:p>
        </w:tc>
        <w:tc>
          <w:tcPr>
            <w:tcW w:w="1020" w:type="dxa"/>
            <w:vAlign w:val="center"/>
          </w:tcPr>
          <w:p w14:paraId="417978E0" w14:textId="77777777" w:rsidR="003E78AB" w:rsidRDefault="00010BF9">
            <w:pPr>
              <w:pStyle w:val="aff6"/>
              <w:topLinePunct/>
            </w:pPr>
            <w:r>
              <w:t>0.007263</w:t>
            </w:r>
          </w:p>
        </w:tc>
        <w:tc>
          <w:tcPr>
            <w:tcW w:w="1023" w:type="dxa"/>
            <w:vAlign w:val="center"/>
          </w:tcPr>
          <w:p w14:paraId="6C1EF3ED" w14:textId="77777777" w:rsidR="003E78AB" w:rsidRDefault="00010BF9">
            <w:pPr>
              <w:pStyle w:val="aff6"/>
              <w:topLinePunct/>
            </w:pPr>
            <w:r>
              <w:t>0</w:t>
            </w:r>
          </w:p>
        </w:tc>
        <w:tc>
          <w:tcPr>
            <w:tcW w:w="1020" w:type="dxa"/>
            <w:vAlign w:val="center"/>
          </w:tcPr>
          <w:p w14:paraId="7A80C108" w14:textId="77777777" w:rsidR="003E78AB" w:rsidRDefault="00010BF9">
            <w:pPr>
              <w:pStyle w:val="aff6"/>
              <w:topLinePunct/>
            </w:pPr>
            <w:r>
              <w:t>0</w:t>
            </w:r>
          </w:p>
        </w:tc>
        <w:tc>
          <w:tcPr>
            <w:tcW w:w="1022" w:type="dxa"/>
            <w:vAlign w:val="center"/>
          </w:tcPr>
          <w:p w14:paraId="387A4C83" w14:textId="77777777" w:rsidR="003E78AB" w:rsidRDefault="00010BF9">
            <w:pPr>
              <w:pStyle w:val="aff6"/>
              <w:topLinePunct/>
            </w:pPr>
            <w:r>
              <w:t>0</w:t>
            </w:r>
          </w:p>
        </w:tc>
        <w:tc>
          <w:tcPr>
            <w:tcW w:w="896" w:type="dxa"/>
            <w:vAlign w:val="center"/>
          </w:tcPr>
          <w:p w14:paraId="46D61A20" w14:textId="77777777" w:rsidR="003E78AB" w:rsidRDefault="00010BF9">
            <w:pPr>
              <w:pStyle w:val="aff6"/>
              <w:topLinePunct/>
            </w:pPr>
            <w:r>
              <w:t>0</w:t>
            </w:r>
          </w:p>
        </w:tc>
        <w:tc>
          <w:tcPr>
            <w:tcW w:w="677" w:type="dxa"/>
            <w:vAlign w:val="center"/>
          </w:tcPr>
          <w:p w14:paraId="1EB523FB" w14:textId="77777777" w:rsidR="003E78AB" w:rsidRDefault="00010BF9">
            <w:pPr>
              <w:pStyle w:val="aff6"/>
              <w:topLinePunct/>
            </w:pPr>
            <w:r>
              <w:t>0</w:t>
            </w:r>
          </w:p>
        </w:tc>
      </w:tr>
      <w:tr w:rsidR="003E78AB" w14:paraId="7E77B789" w14:textId="77777777">
        <w:trPr>
          <w:trHeight w:val="287"/>
        </w:trPr>
        <w:tc>
          <w:tcPr>
            <w:tcW w:w="1013" w:type="dxa"/>
            <w:vAlign w:val="center"/>
          </w:tcPr>
          <w:p w14:paraId="690EE80C" w14:textId="77777777" w:rsidR="003E78AB" w:rsidRDefault="00010BF9">
            <w:pPr>
              <w:pStyle w:val="aff6"/>
              <w:topLinePunct/>
            </w:pPr>
            <w:r>
              <w:t>1000</w:t>
            </w:r>
          </w:p>
        </w:tc>
        <w:tc>
          <w:tcPr>
            <w:tcW w:w="2185" w:type="dxa"/>
            <w:vAlign w:val="center"/>
          </w:tcPr>
          <w:p w14:paraId="7BE8FAC8" w14:textId="77777777" w:rsidR="003E78AB" w:rsidRDefault="00010BF9">
            <w:pPr>
              <w:pStyle w:val="aff6"/>
              <w:topLinePunct/>
            </w:pPr>
            <w:r>
              <w:t>0.066125|10</w:t>
            </w:r>
          </w:p>
        </w:tc>
        <w:tc>
          <w:tcPr>
            <w:tcW w:w="1022" w:type="dxa"/>
            <w:vAlign w:val="center"/>
          </w:tcPr>
          <w:p w14:paraId="33E9D679" w14:textId="77777777" w:rsidR="003E78AB" w:rsidRDefault="00010BF9">
            <w:pPr>
              <w:pStyle w:val="aff6"/>
              <w:topLinePunct/>
            </w:pPr>
            <w:r>
              <w:t>0</w:t>
            </w:r>
          </w:p>
        </w:tc>
        <w:tc>
          <w:tcPr>
            <w:tcW w:w="1022" w:type="dxa"/>
            <w:vAlign w:val="center"/>
          </w:tcPr>
          <w:p w14:paraId="2CD5B7B3" w14:textId="77777777" w:rsidR="003E78AB" w:rsidRDefault="00010BF9">
            <w:pPr>
              <w:pStyle w:val="aff6"/>
              <w:topLinePunct/>
            </w:pPr>
            <w:r>
              <w:t>0</w:t>
            </w:r>
          </w:p>
        </w:tc>
        <w:tc>
          <w:tcPr>
            <w:tcW w:w="1022" w:type="dxa"/>
            <w:vAlign w:val="center"/>
          </w:tcPr>
          <w:p w14:paraId="1DF51C68" w14:textId="77777777" w:rsidR="003E78AB" w:rsidRDefault="00010BF9">
            <w:pPr>
              <w:pStyle w:val="aff6"/>
              <w:topLinePunct/>
            </w:pPr>
            <w:r>
              <w:t>0</w:t>
            </w:r>
          </w:p>
        </w:tc>
        <w:tc>
          <w:tcPr>
            <w:tcW w:w="1023" w:type="dxa"/>
            <w:vAlign w:val="center"/>
          </w:tcPr>
          <w:p w14:paraId="5F4F751B" w14:textId="77777777" w:rsidR="003E78AB" w:rsidRDefault="00010BF9">
            <w:pPr>
              <w:pStyle w:val="aff6"/>
              <w:topLinePunct/>
            </w:pPr>
            <w:r>
              <w:t>0.066125</w:t>
            </w:r>
          </w:p>
        </w:tc>
        <w:tc>
          <w:tcPr>
            <w:tcW w:w="1020" w:type="dxa"/>
            <w:vAlign w:val="center"/>
          </w:tcPr>
          <w:p w14:paraId="064C76E9" w14:textId="77777777" w:rsidR="003E78AB" w:rsidRDefault="00010BF9">
            <w:pPr>
              <w:pStyle w:val="aff6"/>
              <w:topLinePunct/>
            </w:pPr>
            <w:r>
              <w:t>0.066121</w:t>
            </w:r>
          </w:p>
        </w:tc>
        <w:tc>
          <w:tcPr>
            <w:tcW w:w="1020" w:type="dxa"/>
            <w:vAlign w:val="center"/>
          </w:tcPr>
          <w:p w14:paraId="3E7A83EA" w14:textId="77777777" w:rsidR="003E78AB" w:rsidRDefault="00010BF9">
            <w:pPr>
              <w:pStyle w:val="aff6"/>
              <w:topLinePunct/>
            </w:pPr>
            <w:r>
              <w:t>0.04103</w:t>
            </w:r>
          </w:p>
        </w:tc>
        <w:tc>
          <w:tcPr>
            <w:tcW w:w="1023" w:type="dxa"/>
            <w:vAlign w:val="center"/>
          </w:tcPr>
          <w:p w14:paraId="7D23757B" w14:textId="77777777" w:rsidR="003E78AB" w:rsidRDefault="00010BF9">
            <w:pPr>
              <w:pStyle w:val="aff6"/>
              <w:topLinePunct/>
            </w:pPr>
            <w:r>
              <w:t>0</w:t>
            </w:r>
          </w:p>
        </w:tc>
        <w:tc>
          <w:tcPr>
            <w:tcW w:w="1020" w:type="dxa"/>
            <w:vAlign w:val="center"/>
          </w:tcPr>
          <w:p w14:paraId="545EE8D7" w14:textId="77777777" w:rsidR="003E78AB" w:rsidRDefault="00010BF9">
            <w:pPr>
              <w:pStyle w:val="aff6"/>
              <w:topLinePunct/>
            </w:pPr>
            <w:r>
              <w:t>0</w:t>
            </w:r>
          </w:p>
        </w:tc>
        <w:tc>
          <w:tcPr>
            <w:tcW w:w="1022" w:type="dxa"/>
            <w:vAlign w:val="center"/>
          </w:tcPr>
          <w:p w14:paraId="5817755E" w14:textId="77777777" w:rsidR="003E78AB" w:rsidRDefault="00010BF9">
            <w:pPr>
              <w:pStyle w:val="aff6"/>
              <w:topLinePunct/>
            </w:pPr>
            <w:r>
              <w:t>0</w:t>
            </w:r>
          </w:p>
        </w:tc>
        <w:tc>
          <w:tcPr>
            <w:tcW w:w="896" w:type="dxa"/>
            <w:vAlign w:val="center"/>
          </w:tcPr>
          <w:p w14:paraId="16FE7B41" w14:textId="77777777" w:rsidR="003E78AB" w:rsidRDefault="00010BF9">
            <w:pPr>
              <w:pStyle w:val="aff6"/>
              <w:topLinePunct/>
            </w:pPr>
            <w:r>
              <w:t>0</w:t>
            </w:r>
          </w:p>
        </w:tc>
        <w:tc>
          <w:tcPr>
            <w:tcW w:w="677" w:type="dxa"/>
            <w:vAlign w:val="center"/>
          </w:tcPr>
          <w:p w14:paraId="3BCB39DD" w14:textId="77777777" w:rsidR="003E78AB" w:rsidRDefault="00010BF9">
            <w:pPr>
              <w:pStyle w:val="aff6"/>
              <w:topLinePunct/>
            </w:pPr>
            <w:r>
              <w:t>0</w:t>
            </w:r>
          </w:p>
        </w:tc>
      </w:tr>
      <w:tr w:rsidR="003E78AB" w14:paraId="2755DCB0" w14:textId="77777777">
        <w:trPr>
          <w:trHeight w:val="288"/>
        </w:trPr>
        <w:tc>
          <w:tcPr>
            <w:tcW w:w="1013" w:type="dxa"/>
            <w:vAlign w:val="center"/>
          </w:tcPr>
          <w:p w14:paraId="51C90452" w14:textId="77777777" w:rsidR="003E78AB" w:rsidRDefault="00010BF9">
            <w:pPr>
              <w:pStyle w:val="aff6"/>
              <w:topLinePunct/>
            </w:pPr>
            <w:r>
              <w:t>1200</w:t>
            </w:r>
          </w:p>
        </w:tc>
        <w:tc>
          <w:tcPr>
            <w:tcW w:w="2185" w:type="dxa"/>
            <w:vAlign w:val="center"/>
          </w:tcPr>
          <w:p w14:paraId="27B799E1" w14:textId="77777777" w:rsidR="003E78AB" w:rsidRDefault="00010BF9">
            <w:pPr>
              <w:pStyle w:val="aff6"/>
              <w:topLinePunct/>
            </w:pPr>
            <w:r>
              <w:t>0.049652|16</w:t>
            </w:r>
          </w:p>
        </w:tc>
        <w:tc>
          <w:tcPr>
            <w:tcW w:w="1022" w:type="dxa"/>
            <w:vAlign w:val="center"/>
          </w:tcPr>
          <w:p w14:paraId="49970948" w14:textId="77777777" w:rsidR="003E78AB" w:rsidRDefault="00010BF9">
            <w:pPr>
              <w:pStyle w:val="aff6"/>
              <w:topLinePunct/>
            </w:pPr>
            <w:r>
              <w:t>0</w:t>
            </w:r>
          </w:p>
        </w:tc>
        <w:tc>
          <w:tcPr>
            <w:tcW w:w="1022" w:type="dxa"/>
            <w:vAlign w:val="center"/>
          </w:tcPr>
          <w:p w14:paraId="424BE001" w14:textId="77777777" w:rsidR="003E78AB" w:rsidRDefault="00010BF9">
            <w:pPr>
              <w:pStyle w:val="aff6"/>
              <w:topLinePunct/>
            </w:pPr>
            <w:r>
              <w:t>0</w:t>
            </w:r>
          </w:p>
        </w:tc>
        <w:tc>
          <w:tcPr>
            <w:tcW w:w="1022" w:type="dxa"/>
            <w:vAlign w:val="center"/>
          </w:tcPr>
          <w:p w14:paraId="73DD5FD3" w14:textId="77777777" w:rsidR="003E78AB" w:rsidRDefault="00010BF9">
            <w:pPr>
              <w:pStyle w:val="aff6"/>
              <w:topLinePunct/>
            </w:pPr>
            <w:r>
              <w:t>0</w:t>
            </w:r>
          </w:p>
        </w:tc>
        <w:tc>
          <w:tcPr>
            <w:tcW w:w="1023" w:type="dxa"/>
            <w:vAlign w:val="center"/>
          </w:tcPr>
          <w:p w14:paraId="0EB21D36" w14:textId="77777777" w:rsidR="003E78AB" w:rsidRDefault="00010BF9">
            <w:pPr>
              <w:pStyle w:val="aff6"/>
              <w:topLinePunct/>
            </w:pPr>
            <w:r>
              <w:t>0</w:t>
            </w:r>
          </w:p>
        </w:tc>
        <w:tc>
          <w:tcPr>
            <w:tcW w:w="1020" w:type="dxa"/>
            <w:vAlign w:val="center"/>
          </w:tcPr>
          <w:p w14:paraId="62176852" w14:textId="77777777" w:rsidR="003E78AB" w:rsidRDefault="00010BF9">
            <w:pPr>
              <w:pStyle w:val="aff6"/>
              <w:topLinePunct/>
            </w:pPr>
            <w:r>
              <w:t>0.049646</w:t>
            </w:r>
          </w:p>
        </w:tc>
        <w:tc>
          <w:tcPr>
            <w:tcW w:w="1020" w:type="dxa"/>
            <w:vAlign w:val="center"/>
          </w:tcPr>
          <w:p w14:paraId="370A0B79" w14:textId="77777777" w:rsidR="003E78AB" w:rsidRDefault="00010BF9">
            <w:pPr>
              <w:pStyle w:val="aff6"/>
              <w:topLinePunct/>
            </w:pPr>
            <w:r>
              <w:t>0.049541</w:t>
            </w:r>
          </w:p>
        </w:tc>
        <w:tc>
          <w:tcPr>
            <w:tcW w:w="1023" w:type="dxa"/>
            <w:vAlign w:val="center"/>
          </w:tcPr>
          <w:p w14:paraId="1766FA33" w14:textId="77777777" w:rsidR="003E78AB" w:rsidRDefault="00010BF9">
            <w:pPr>
              <w:pStyle w:val="aff6"/>
              <w:topLinePunct/>
            </w:pPr>
            <w:r>
              <w:t>0</w:t>
            </w:r>
          </w:p>
        </w:tc>
        <w:tc>
          <w:tcPr>
            <w:tcW w:w="1020" w:type="dxa"/>
            <w:vAlign w:val="center"/>
          </w:tcPr>
          <w:p w14:paraId="649936D0" w14:textId="77777777" w:rsidR="003E78AB" w:rsidRDefault="00010BF9">
            <w:pPr>
              <w:pStyle w:val="aff6"/>
              <w:topLinePunct/>
            </w:pPr>
            <w:r>
              <w:t>0</w:t>
            </w:r>
          </w:p>
        </w:tc>
        <w:tc>
          <w:tcPr>
            <w:tcW w:w="1022" w:type="dxa"/>
            <w:vAlign w:val="center"/>
          </w:tcPr>
          <w:p w14:paraId="64D8C3EB" w14:textId="77777777" w:rsidR="003E78AB" w:rsidRDefault="00010BF9">
            <w:pPr>
              <w:pStyle w:val="aff6"/>
              <w:topLinePunct/>
            </w:pPr>
            <w:r>
              <w:t>0</w:t>
            </w:r>
          </w:p>
        </w:tc>
        <w:tc>
          <w:tcPr>
            <w:tcW w:w="896" w:type="dxa"/>
            <w:vAlign w:val="center"/>
          </w:tcPr>
          <w:p w14:paraId="6AE0FFF6" w14:textId="77777777" w:rsidR="003E78AB" w:rsidRDefault="00010BF9">
            <w:pPr>
              <w:pStyle w:val="aff6"/>
              <w:topLinePunct/>
            </w:pPr>
            <w:r>
              <w:t>0</w:t>
            </w:r>
          </w:p>
        </w:tc>
        <w:tc>
          <w:tcPr>
            <w:tcW w:w="677" w:type="dxa"/>
            <w:vAlign w:val="center"/>
          </w:tcPr>
          <w:p w14:paraId="54C8684B" w14:textId="77777777" w:rsidR="003E78AB" w:rsidRDefault="00010BF9">
            <w:pPr>
              <w:pStyle w:val="aff6"/>
              <w:topLinePunct/>
            </w:pPr>
            <w:r>
              <w:t>0</w:t>
            </w:r>
          </w:p>
        </w:tc>
      </w:tr>
      <w:tr w:rsidR="003E78AB" w14:paraId="01DDEBDA" w14:textId="77777777">
        <w:trPr>
          <w:trHeight w:val="288"/>
        </w:trPr>
        <w:tc>
          <w:tcPr>
            <w:tcW w:w="1013" w:type="dxa"/>
            <w:vAlign w:val="center"/>
          </w:tcPr>
          <w:p w14:paraId="240024CE" w14:textId="77777777" w:rsidR="003E78AB" w:rsidRDefault="00010BF9">
            <w:pPr>
              <w:pStyle w:val="aff6"/>
              <w:topLinePunct/>
            </w:pPr>
            <w:r>
              <w:t>1400</w:t>
            </w:r>
          </w:p>
        </w:tc>
        <w:tc>
          <w:tcPr>
            <w:tcW w:w="2185" w:type="dxa"/>
            <w:vAlign w:val="center"/>
          </w:tcPr>
          <w:p w14:paraId="3490B6A6" w14:textId="77777777" w:rsidR="003E78AB" w:rsidRDefault="00010BF9">
            <w:pPr>
              <w:pStyle w:val="aff6"/>
              <w:topLinePunct/>
            </w:pPr>
            <w:r>
              <w:t>0.039857|18</w:t>
            </w:r>
          </w:p>
        </w:tc>
        <w:tc>
          <w:tcPr>
            <w:tcW w:w="1022" w:type="dxa"/>
            <w:vAlign w:val="center"/>
          </w:tcPr>
          <w:p w14:paraId="2EBBC08B" w14:textId="77777777" w:rsidR="003E78AB" w:rsidRDefault="00010BF9">
            <w:pPr>
              <w:pStyle w:val="aff6"/>
              <w:topLinePunct/>
            </w:pPr>
            <w:r>
              <w:t>0</w:t>
            </w:r>
          </w:p>
        </w:tc>
        <w:tc>
          <w:tcPr>
            <w:tcW w:w="1022" w:type="dxa"/>
            <w:vAlign w:val="center"/>
          </w:tcPr>
          <w:p w14:paraId="73D65DD9" w14:textId="77777777" w:rsidR="003E78AB" w:rsidRDefault="00010BF9">
            <w:pPr>
              <w:pStyle w:val="aff6"/>
              <w:topLinePunct/>
            </w:pPr>
            <w:r>
              <w:t>0</w:t>
            </w:r>
          </w:p>
        </w:tc>
        <w:tc>
          <w:tcPr>
            <w:tcW w:w="1022" w:type="dxa"/>
            <w:vAlign w:val="center"/>
          </w:tcPr>
          <w:p w14:paraId="01DB475F" w14:textId="77777777" w:rsidR="003E78AB" w:rsidRDefault="00010BF9">
            <w:pPr>
              <w:pStyle w:val="aff6"/>
              <w:topLinePunct/>
            </w:pPr>
            <w:r>
              <w:t>0</w:t>
            </w:r>
          </w:p>
        </w:tc>
        <w:tc>
          <w:tcPr>
            <w:tcW w:w="1023" w:type="dxa"/>
            <w:vAlign w:val="center"/>
          </w:tcPr>
          <w:p w14:paraId="544DAC9A" w14:textId="77777777" w:rsidR="003E78AB" w:rsidRDefault="00010BF9">
            <w:pPr>
              <w:pStyle w:val="aff6"/>
              <w:topLinePunct/>
            </w:pPr>
            <w:r>
              <w:t>0</w:t>
            </w:r>
          </w:p>
        </w:tc>
        <w:tc>
          <w:tcPr>
            <w:tcW w:w="1020" w:type="dxa"/>
            <w:vAlign w:val="center"/>
          </w:tcPr>
          <w:p w14:paraId="42E3666A" w14:textId="77777777" w:rsidR="003E78AB" w:rsidRDefault="00010BF9">
            <w:pPr>
              <w:pStyle w:val="aff6"/>
              <w:topLinePunct/>
            </w:pPr>
            <w:r>
              <w:t>0.032339</w:t>
            </w:r>
          </w:p>
        </w:tc>
        <w:tc>
          <w:tcPr>
            <w:tcW w:w="1020" w:type="dxa"/>
            <w:vAlign w:val="center"/>
          </w:tcPr>
          <w:p w14:paraId="28DCD284" w14:textId="77777777" w:rsidR="003E78AB" w:rsidRDefault="00010BF9">
            <w:pPr>
              <w:pStyle w:val="aff6"/>
              <w:topLinePunct/>
            </w:pPr>
            <w:r>
              <w:t>0.039857</w:t>
            </w:r>
          </w:p>
        </w:tc>
        <w:tc>
          <w:tcPr>
            <w:tcW w:w="1023" w:type="dxa"/>
            <w:vAlign w:val="center"/>
          </w:tcPr>
          <w:p w14:paraId="3A84DBE8" w14:textId="77777777" w:rsidR="003E78AB" w:rsidRDefault="00010BF9">
            <w:pPr>
              <w:pStyle w:val="aff6"/>
              <w:topLinePunct/>
            </w:pPr>
            <w:r>
              <w:t>0</w:t>
            </w:r>
          </w:p>
        </w:tc>
        <w:tc>
          <w:tcPr>
            <w:tcW w:w="1020" w:type="dxa"/>
            <w:vAlign w:val="center"/>
          </w:tcPr>
          <w:p w14:paraId="15F537D7" w14:textId="77777777" w:rsidR="003E78AB" w:rsidRDefault="00010BF9">
            <w:pPr>
              <w:pStyle w:val="aff6"/>
              <w:topLinePunct/>
            </w:pPr>
            <w:r>
              <w:t>0</w:t>
            </w:r>
          </w:p>
        </w:tc>
        <w:tc>
          <w:tcPr>
            <w:tcW w:w="1022" w:type="dxa"/>
            <w:vAlign w:val="center"/>
          </w:tcPr>
          <w:p w14:paraId="7B6BDD70" w14:textId="77777777" w:rsidR="003E78AB" w:rsidRDefault="00010BF9">
            <w:pPr>
              <w:pStyle w:val="aff6"/>
              <w:topLinePunct/>
            </w:pPr>
            <w:r>
              <w:t>0</w:t>
            </w:r>
          </w:p>
        </w:tc>
        <w:tc>
          <w:tcPr>
            <w:tcW w:w="896" w:type="dxa"/>
            <w:vAlign w:val="center"/>
          </w:tcPr>
          <w:p w14:paraId="741B0393" w14:textId="77777777" w:rsidR="003E78AB" w:rsidRDefault="00010BF9">
            <w:pPr>
              <w:pStyle w:val="aff6"/>
              <w:topLinePunct/>
            </w:pPr>
            <w:r>
              <w:t>0</w:t>
            </w:r>
          </w:p>
        </w:tc>
        <w:tc>
          <w:tcPr>
            <w:tcW w:w="677" w:type="dxa"/>
            <w:vAlign w:val="center"/>
          </w:tcPr>
          <w:p w14:paraId="4B652233" w14:textId="77777777" w:rsidR="003E78AB" w:rsidRDefault="00010BF9">
            <w:pPr>
              <w:pStyle w:val="aff6"/>
              <w:topLinePunct/>
            </w:pPr>
            <w:r>
              <w:t>0</w:t>
            </w:r>
          </w:p>
        </w:tc>
      </w:tr>
      <w:tr w:rsidR="003E78AB" w14:paraId="410A9BD6" w14:textId="77777777">
        <w:trPr>
          <w:trHeight w:val="287"/>
        </w:trPr>
        <w:tc>
          <w:tcPr>
            <w:tcW w:w="1013" w:type="dxa"/>
            <w:vAlign w:val="center"/>
          </w:tcPr>
          <w:p w14:paraId="39ADBE32" w14:textId="77777777" w:rsidR="003E78AB" w:rsidRDefault="00010BF9">
            <w:pPr>
              <w:pStyle w:val="aff6"/>
              <w:topLinePunct/>
            </w:pPr>
            <w:r>
              <w:t>1600</w:t>
            </w:r>
          </w:p>
        </w:tc>
        <w:tc>
          <w:tcPr>
            <w:tcW w:w="2185" w:type="dxa"/>
            <w:vAlign w:val="center"/>
          </w:tcPr>
          <w:p w14:paraId="59666041" w14:textId="77777777" w:rsidR="003E78AB" w:rsidRDefault="00010BF9">
            <w:pPr>
              <w:pStyle w:val="aff6"/>
              <w:topLinePunct/>
            </w:pPr>
            <w:r>
              <w:t>0.032911|21</w:t>
            </w:r>
          </w:p>
        </w:tc>
        <w:tc>
          <w:tcPr>
            <w:tcW w:w="1022" w:type="dxa"/>
            <w:vAlign w:val="center"/>
          </w:tcPr>
          <w:p w14:paraId="47877128" w14:textId="77777777" w:rsidR="003E78AB" w:rsidRDefault="00010BF9">
            <w:pPr>
              <w:pStyle w:val="aff6"/>
              <w:topLinePunct/>
            </w:pPr>
            <w:r>
              <w:t>0</w:t>
            </w:r>
          </w:p>
        </w:tc>
        <w:tc>
          <w:tcPr>
            <w:tcW w:w="1022" w:type="dxa"/>
            <w:vAlign w:val="center"/>
          </w:tcPr>
          <w:p w14:paraId="320CF9AD" w14:textId="77777777" w:rsidR="003E78AB" w:rsidRDefault="00010BF9">
            <w:pPr>
              <w:pStyle w:val="aff6"/>
              <w:topLinePunct/>
            </w:pPr>
            <w:r>
              <w:t>0</w:t>
            </w:r>
          </w:p>
        </w:tc>
        <w:tc>
          <w:tcPr>
            <w:tcW w:w="1022" w:type="dxa"/>
            <w:vAlign w:val="center"/>
          </w:tcPr>
          <w:p w14:paraId="36D33C23" w14:textId="77777777" w:rsidR="003E78AB" w:rsidRDefault="00010BF9">
            <w:pPr>
              <w:pStyle w:val="aff6"/>
              <w:topLinePunct/>
            </w:pPr>
            <w:r>
              <w:t>0</w:t>
            </w:r>
          </w:p>
        </w:tc>
        <w:tc>
          <w:tcPr>
            <w:tcW w:w="1023" w:type="dxa"/>
            <w:vAlign w:val="center"/>
          </w:tcPr>
          <w:p w14:paraId="60B6DFD5" w14:textId="77777777" w:rsidR="003E78AB" w:rsidRDefault="00010BF9">
            <w:pPr>
              <w:pStyle w:val="aff6"/>
              <w:topLinePunct/>
            </w:pPr>
            <w:r>
              <w:t>0</w:t>
            </w:r>
          </w:p>
        </w:tc>
        <w:tc>
          <w:tcPr>
            <w:tcW w:w="1020" w:type="dxa"/>
            <w:vAlign w:val="center"/>
          </w:tcPr>
          <w:p w14:paraId="62B5D567" w14:textId="77777777" w:rsidR="003E78AB" w:rsidRDefault="00010BF9">
            <w:pPr>
              <w:pStyle w:val="aff6"/>
              <w:topLinePunct/>
            </w:pPr>
            <w:r>
              <w:t>0.003704</w:t>
            </w:r>
          </w:p>
        </w:tc>
        <w:tc>
          <w:tcPr>
            <w:tcW w:w="1020" w:type="dxa"/>
            <w:vAlign w:val="center"/>
          </w:tcPr>
          <w:p w14:paraId="74C8C740" w14:textId="77777777" w:rsidR="003E78AB" w:rsidRDefault="00010BF9">
            <w:pPr>
              <w:pStyle w:val="aff6"/>
              <w:topLinePunct/>
            </w:pPr>
            <w:r>
              <w:t>0.032908</w:t>
            </w:r>
          </w:p>
        </w:tc>
        <w:tc>
          <w:tcPr>
            <w:tcW w:w="1023" w:type="dxa"/>
            <w:vAlign w:val="center"/>
          </w:tcPr>
          <w:p w14:paraId="5590E599" w14:textId="77777777" w:rsidR="003E78AB" w:rsidRDefault="00010BF9">
            <w:pPr>
              <w:pStyle w:val="aff6"/>
              <w:topLinePunct/>
            </w:pPr>
            <w:r>
              <w:t>0.000004</w:t>
            </w:r>
          </w:p>
        </w:tc>
        <w:tc>
          <w:tcPr>
            <w:tcW w:w="1020" w:type="dxa"/>
            <w:vAlign w:val="center"/>
          </w:tcPr>
          <w:p w14:paraId="32C50875" w14:textId="77777777" w:rsidR="003E78AB" w:rsidRDefault="00010BF9">
            <w:pPr>
              <w:pStyle w:val="aff6"/>
              <w:topLinePunct/>
            </w:pPr>
            <w:r>
              <w:t>0</w:t>
            </w:r>
          </w:p>
        </w:tc>
        <w:tc>
          <w:tcPr>
            <w:tcW w:w="1022" w:type="dxa"/>
            <w:vAlign w:val="center"/>
          </w:tcPr>
          <w:p w14:paraId="4BE23D3B" w14:textId="77777777" w:rsidR="003E78AB" w:rsidRDefault="00010BF9">
            <w:pPr>
              <w:pStyle w:val="aff6"/>
              <w:topLinePunct/>
            </w:pPr>
            <w:r>
              <w:t>0</w:t>
            </w:r>
          </w:p>
        </w:tc>
        <w:tc>
          <w:tcPr>
            <w:tcW w:w="896" w:type="dxa"/>
            <w:vAlign w:val="center"/>
          </w:tcPr>
          <w:p w14:paraId="4153DA46" w14:textId="77777777" w:rsidR="003E78AB" w:rsidRDefault="00010BF9">
            <w:pPr>
              <w:pStyle w:val="aff6"/>
              <w:topLinePunct/>
            </w:pPr>
            <w:r>
              <w:t>0</w:t>
            </w:r>
          </w:p>
        </w:tc>
        <w:tc>
          <w:tcPr>
            <w:tcW w:w="677" w:type="dxa"/>
            <w:vAlign w:val="center"/>
          </w:tcPr>
          <w:p w14:paraId="48E9811A" w14:textId="77777777" w:rsidR="003E78AB" w:rsidRDefault="00010BF9">
            <w:pPr>
              <w:pStyle w:val="aff6"/>
              <w:topLinePunct/>
            </w:pPr>
            <w:r>
              <w:t>0</w:t>
            </w:r>
          </w:p>
        </w:tc>
      </w:tr>
      <w:tr w:rsidR="003E78AB" w14:paraId="6CCCA6DF" w14:textId="77777777">
        <w:trPr>
          <w:trHeight w:val="288"/>
        </w:trPr>
        <w:tc>
          <w:tcPr>
            <w:tcW w:w="1013" w:type="dxa"/>
            <w:vAlign w:val="center"/>
          </w:tcPr>
          <w:p w14:paraId="4F092EF7" w14:textId="77777777" w:rsidR="003E78AB" w:rsidRDefault="00010BF9">
            <w:pPr>
              <w:pStyle w:val="aff6"/>
              <w:topLinePunct/>
            </w:pPr>
            <w:r>
              <w:t>1800</w:t>
            </w:r>
          </w:p>
        </w:tc>
        <w:tc>
          <w:tcPr>
            <w:tcW w:w="2185" w:type="dxa"/>
            <w:vAlign w:val="center"/>
          </w:tcPr>
          <w:p w14:paraId="2E5BABD9" w14:textId="77777777" w:rsidR="003E78AB" w:rsidRDefault="00010BF9">
            <w:pPr>
              <w:pStyle w:val="aff6"/>
              <w:topLinePunct/>
            </w:pPr>
            <w:r>
              <w:t>0.027775|23</w:t>
            </w:r>
          </w:p>
        </w:tc>
        <w:tc>
          <w:tcPr>
            <w:tcW w:w="1022" w:type="dxa"/>
            <w:vAlign w:val="center"/>
          </w:tcPr>
          <w:p w14:paraId="0DDC6FD0" w14:textId="77777777" w:rsidR="003E78AB" w:rsidRDefault="00010BF9">
            <w:pPr>
              <w:pStyle w:val="aff6"/>
              <w:topLinePunct/>
            </w:pPr>
            <w:r>
              <w:t>0</w:t>
            </w:r>
          </w:p>
        </w:tc>
        <w:tc>
          <w:tcPr>
            <w:tcW w:w="1022" w:type="dxa"/>
            <w:vAlign w:val="center"/>
          </w:tcPr>
          <w:p w14:paraId="5CBA3914" w14:textId="77777777" w:rsidR="003E78AB" w:rsidRDefault="00010BF9">
            <w:pPr>
              <w:pStyle w:val="aff6"/>
              <w:topLinePunct/>
            </w:pPr>
            <w:r>
              <w:t>0</w:t>
            </w:r>
          </w:p>
        </w:tc>
        <w:tc>
          <w:tcPr>
            <w:tcW w:w="1022" w:type="dxa"/>
            <w:vAlign w:val="center"/>
          </w:tcPr>
          <w:p w14:paraId="6F2CAF25" w14:textId="77777777" w:rsidR="003E78AB" w:rsidRDefault="00010BF9">
            <w:pPr>
              <w:pStyle w:val="aff6"/>
              <w:topLinePunct/>
            </w:pPr>
            <w:r>
              <w:t>0</w:t>
            </w:r>
          </w:p>
        </w:tc>
        <w:tc>
          <w:tcPr>
            <w:tcW w:w="1023" w:type="dxa"/>
            <w:vAlign w:val="center"/>
          </w:tcPr>
          <w:p w14:paraId="20481A73" w14:textId="77777777" w:rsidR="003E78AB" w:rsidRDefault="00010BF9">
            <w:pPr>
              <w:pStyle w:val="aff6"/>
              <w:topLinePunct/>
            </w:pPr>
            <w:r>
              <w:t>0</w:t>
            </w:r>
          </w:p>
        </w:tc>
        <w:tc>
          <w:tcPr>
            <w:tcW w:w="1020" w:type="dxa"/>
            <w:vAlign w:val="center"/>
          </w:tcPr>
          <w:p w14:paraId="092B78EF" w14:textId="77777777" w:rsidR="003E78AB" w:rsidRDefault="00010BF9">
            <w:pPr>
              <w:pStyle w:val="aff6"/>
              <w:topLinePunct/>
            </w:pPr>
            <w:r>
              <w:t>0.000053</w:t>
            </w:r>
          </w:p>
        </w:tc>
        <w:tc>
          <w:tcPr>
            <w:tcW w:w="1020" w:type="dxa"/>
            <w:vAlign w:val="center"/>
          </w:tcPr>
          <w:p w14:paraId="63CB236B" w14:textId="77777777" w:rsidR="003E78AB" w:rsidRDefault="00010BF9">
            <w:pPr>
              <w:pStyle w:val="aff6"/>
              <w:topLinePunct/>
            </w:pPr>
            <w:r>
              <w:t>0.026027</w:t>
            </w:r>
          </w:p>
        </w:tc>
        <w:tc>
          <w:tcPr>
            <w:tcW w:w="1023" w:type="dxa"/>
            <w:vAlign w:val="center"/>
          </w:tcPr>
          <w:p w14:paraId="031A9B5D" w14:textId="77777777" w:rsidR="003E78AB" w:rsidRDefault="00010BF9">
            <w:pPr>
              <w:pStyle w:val="aff6"/>
              <w:topLinePunct/>
            </w:pPr>
            <w:r>
              <w:t>0.002001</w:t>
            </w:r>
          </w:p>
        </w:tc>
        <w:tc>
          <w:tcPr>
            <w:tcW w:w="1020" w:type="dxa"/>
            <w:vAlign w:val="center"/>
          </w:tcPr>
          <w:p w14:paraId="2EC6E9F2" w14:textId="77777777" w:rsidR="003E78AB" w:rsidRDefault="00010BF9">
            <w:pPr>
              <w:pStyle w:val="aff6"/>
              <w:topLinePunct/>
            </w:pPr>
            <w:r>
              <w:t>0</w:t>
            </w:r>
          </w:p>
        </w:tc>
        <w:tc>
          <w:tcPr>
            <w:tcW w:w="1022" w:type="dxa"/>
            <w:vAlign w:val="center"/>
          </w:tcPr>
          <w:p w14:paraId="2009B45F" w14:textId="77777777" w:rsidR="003E78AB" w:rsidRDefault="00010BF9">
            <w:pPr>
              <w:pStyle w:val="aff6"/>
              <w:topLinePunct/>
            </w:pPr>
            <w:r>
              <w:t>0</w:t>
            </w:r>
          </w:p>
        </w:tc>
        <w:tc>
          <w:tcPr>
            <w:tcW w:w="896" w:type="dxa"/>
            <w:vAlign w:val="center"/>
          </w:tcPr>
          <w:p w14:paraId="2F59679F" w14:textId="77777777" w:rsidR="003E78AB" w:rsidRDefault="00010BF9">
            <w:pPr>
              <w:pStyle w:val="aff6"/>
              <w:topLinePunct/>
            </w:pPr>
            <w:r>
              <w:t>0</w:t>
            </w:r>
          </w:p>
        </w:tc>
        <w:tc>
          <w:tcPr>
            <w:tcW w:w="677" w:type="dxa"/>
            <w:vAlign w:val="center"/>
          </w:tcPr>
          <w:p w14:paraId="13E900B4" w14:textId="77777777" w:rsidR="003E78AB" w:rsidRDefault="00010BF9">
            <w:pPr>
              <w:pStyle w:val="aff6"/>
              <w:topLinePunct/>
            </w:pPr>
            <w:r>
              <w:t>0</w:t>
            </w:r>
          </w:p>
        </w:tc>
      </w:tr>
      <w:tr w:rsidR="003E78AB" w14:paraId="22BDAAC6" w14:textId="77777777">
        <w:trPr>
          <w:trHeight w:val="288"/>
        </w:trPr>
        <w:tc>
          <w:tcPr>
            <w:tcW w:w="1013" w:type="dxa"/>
            <w:vAlign w:val="center"/>
          </w:tcPr>
          <w:p w14:paraId="022A9CAC" w14:textId="77777777" w:rsidR="003E78AB" w:rsidRDefault="00010BF9">
            <w:pPr>
              <w:pStyle w:val="aff6"/>
              <w:topLinePunct/>
            </w:pPr>
            <w:r>
              <w:t>2000</w:t>
            </w:r>
          </w:p>
        </w:tc>
        <w:tc>
          <w:tcPr>
            <w:tcW w:w="2185" w:type="dxa"/>
            <w:vAlign w:val="center"/>
          </w:tcPr>
          <w:p w14:paraId="37C91613" w14:textId="77777777" w:rsidR="003E78AB" w:rsidRDefault="00010BF9">
            <w:pPr>
              <w:pStyle w:val="aff6"/>
              <w:topLinePunct/>
            </w:pPr>
            <w:r>
              <w:t>0.023851|25</w:t>
            </w:r>
          </w:p>
        </w:tc>
        <w:tc>
          <w:tcPr>
            <w:tcW w:w="1022" w:type="dxa"/>
            <w:vAlign w:val="center"/>
          </w:tcPr>
          <w:p w14:paraId="3860BB76" w14:textId="77777777" w:rsidR="003E78AB" w:rsidRDefault="00010BF9">
            <w:pPr>
              <w:pStyle w:val="aff6"/>
              <w:topLinePunct/>
            </w:pPr>
            <w:r>
              <w:t>0</w:t>
            </w:r>
          </w:p>
        </w:tc>
        <w:tc>
          <w:tcPr>
            <w:tcW w:w="1022" w:type="dxa"/>
            <w:vAlign w:val="center"/>
          </w:tcPr>
          <w:p w14:paraId="72045F34" w14:textId="77777777" w:rsidR="003E78AB" w:rsidRDefault="00010BF9">
            <w:pPr>
              <w:pStyle w:val="aff6"/>
              <w:topLinePunct/>
            </w:pPr>
            <w:r>
              <w:t>0</w:t>
            </w:r>
          </w:p>
        </w:tc>
        <w:tc>
          <w:tcPr>
            <w:tcW w:w="1022" w:type="dxa"/>
            <w:vAlign w:val="center"/>
          </w:tcPr>
          <w:p w14:paraId="2CC536B8" w14:textId="77777777" w:rsidR="003E78AB" w:rsidRDefault="00010BF9">
            <w:pPr>
              <w:pStyle w:val="aff6"/>
              <w:topLinePunct/>
            </w:pPr>
            <w:r>
              <w:t>0</w:t>
            </w:r>
          </w:p>
        </w:tc>
        <w:tc>
          <w:tcPr>
            <w:tcW w:w="1023" w:type="dxa"/>
            <w:vAlign w:val="center"/>
          </w:tcPr>
          <w:p w14:paraId="24D0E8D1" w14:textId="77777777" w:rsidR="003E78AB" w:rsidRDefault="00010BF9">
            <w:pPr>
              <w:pStyle w:val="aff6"/>
              <w:topLinePunct/>
            </w:pPr>
            <w:r>
              <w:t>0</w:t>
            </w:r>
          </w:p>
        </w:tc>
        <w:tc>
          <w:tcPr>
            <w:tcW w:w="1020" w:type="dxa"/>
            <w:vAlign w:val="center"/>
          </w:tcPr>
          <w:p w14:paraId="7D8067B3" w14:textId="77777777" w:rsidR="003E78AB" w:rsidRDefault="00010BF9">
            <w:pPr>
              <w:pStyle w:val="aff6"/>
              <w:topLinePunct/>
            </w:pPr>
            <w:r>
              <w:t>0</w:t>
            </w:r>
          </w:p>
        </w:tc>
        <w:tc>
          <w:tcPr>
            <w:tcW w:w="1020" w:type="dxa"/>
            <w:vAlign w:val="center"/>
          </w:tcPr>
          <w:p w14:paraId="42172CB2" w14:textId="77777777" w:rsidR="003E78AB" w:rsidRDefault="00010BF9">
            <w:pPr>
              <w:pStyle w:val="aff6"/>
              <w:topLinePunct/>
            </w:pPr>
            <w:r>
              <w:t>0.009653</w:t>
            </w:r>
          </w:p>
        </w:tc>
        <w:tc>
          <w:tcPr>
            <w:tcW w:w="1023" w:type="dxa"/>
            <w:vAlign w:val="center"/>
          </w:tcPr>
          <w:p w14:paraId="0E1A8D72" w14:textId="77777777" w:rsidR="003E78AB" w:rsidRDefault="00010BF9">
            <w:pPr>
              <w:pStyle w:val="aff6"/>
              <w:topLinePunct/>
            </w:pPr>
            <w:r>
              <w:t>0.014907</w:t>
            </w:r>
          </w:p>
        </w:tc>
        <w:tc>
          <w:tcPr>
            <w:tcW w:w="1020" w:type="dxa"/>
            <w:vAlign w:val="center"/>
          </w:tcPr>
          <w:p w14:paraId="2BB10DA8" w14:textId="77777777" w:rsidR="003E78AB" w:rsidRDefault="00010BF9">
            <w:pPr>
              <w:pStyle w:val="aff6"/>
              <w:topLinePunct/>
            </w:pPr>
            <w:r>
              <w:t>0</w:t>
            </w:r>
          </w:p>
        </w:tc>
        <w:tc>
          <w:tcPr>
            <w:tcW w:w="1022" w:type="dxa"/>
            <w:vAlign w:val="center"/>
          </w:tcPr>
          <w:p w14:paraId="4265A532" w14:textId="77777777" w:rsidR="003E78AB" w:rsidRDefault="00010BF9">
            <w:pPr>
              <w:pStyle w:val="aff6"/>
              <w:topLinePunct/>
            </w:pPr>
            <w:r>
              <w:t>0</w:t>
            </w:r>
          </w:p>
        </w:tc>
        <w:tc>
          <w:tcPr>
            <w:tcW w:w="896" w:type="dxa"/>
            <w:vAlign w:val="center"/>
          </w:tcPr>
          <w:p w14:paraId="507F4DB9" w14:textId="77777777" w:rsidR="003E78AB" w:rsidRDefault="00010BF9">
            <w:pPr>
              <w:pStyle w:val="aff6"/>
              <w:topLinePunct/>
            </w:pPr>
            <w:r>
              <w:t>0</w:t>
            </w:r>
          </w:p>
        </w:tc>
        <w:tc>
          <w:tcPr>
            <w:tcW w:w="677" w:type="dxa"/>
            <w:vAlign w:val="center"/>
          </w:tcPr>
          <w:p w14:paraId="3ED594E3" w14:textId="77777777" w:rsidR="003E78AB" w:rsidRDefault="00010BF9">
            <w:pPr>
              <w:pStyle w:val="aff6"/>
              <w:topLinePunct/>
            </w:pPr>
            <w:r>
              <w:t>0</w:t>
            </w:r>
          </w:p>
        </w:tc>
      </w:tr>
      <w:tr w:rsidR="003E78AB" w14:paraId="7BF29C0A" w14:textId="77777777">
        <w:trPr>
          <w:trHeight w:val="290"/>
        </w:trPr>
        <w:tc>
          <w:tcPr>
            <w:tcW w:w="1013" w:type="dxa"/>
            <w:vAlign w:val="center"/>
          </w:tcPr>
          <w:p w14:paraId="614D2D64" w14:textId="77777777" w:rsidR="003E78AB" w:rsidRDefault="00010BF9">
            <w:pPr>
              <w:pStyle w:val="aff6"/>
              <w:topLinePunct/>
            </w:pPr>
            <w:r>
              <w:t>2500</w:t>
            </w:r>
          </w:p>
        </w:tc>
        <w:tc>
          <w:tcPr>
            <w:tcW w:w="2185" w:type="dxa"/>
            <w:vAlign w:val="center"/>
          </w:tcPr>
          <w:p w14:paraId="68D34FC2" w14:textId="77777777" w:rsidR="003E78AB" w:rsidRDefault="00010BF9">
            <w:pPr>
              <w:pStyle w:val="aff6"/>
              <w:topLinePunct/>
            </w:pPr>
            <w:r>
              <w:t>0.017232|30</w:t>
            </w:r>
          </w:p>
        </w:tc>
        <w:tc>
          <w:tcPr>
            <w:tcW w:w="1022" w:type="dxa"/>
            <w:vAlign w:val="center"/>
          </w:tcPr>
          <w:p w14:paraId="0DA7BE0A" w14:textId="77777777" w:rsidR="003E78AB" w:rsidRDefault="00010BF9">
            <w:pPr>
              <w:pStyle w:val="aff6"/>
              <w:topLinePunct/>
            </w:pPr>
            <w:r>
              <w:t>0</w:t>
            </w:r>
          </w:p>
        </w:tc>
        <w:tc>
          <w:tcPr>
            <w:tcW w:w="1022" w:type="dxa"/>
            <w:vAlign w:val="center"/>
          </w:tcPr>
          <w:p w14:paraId="77324312" w14:textId="77777777" w:rsidR="003E78AB" w:rsidRDefault="00010BF9">
            <w:pPr>
              <w:pStyle w:val="aff6"/>
              <w:topLinePunct/>
            </w:pPr>
            <w:r>
              <w:t>0</w:t>
            </w:r>
          </w:p>
        </w:tc>
        <w:tc>
          <w:tcPr>
            <w:tcW w:w="1022" w:type="dxa"/>
            <w:vAlign w:val="center"/>
          </w:tcPr>
          <w:p w14:paraId="5E4407A4" w14:textId="77777777" w:rsidR="003E78AB" w:rsidRDefault="00010BF9">
            <w:pPr>
              <w:pStyle w:val="aff6"/>
              <w:topLinePunct/>
            </w:pPr>
            <w:r>
              <w:t>0</w:t>
            </w:r>
          </w:p>
        </w:tc>
        <w:tc>
          <w:tcPr>
            <w:tcW w:w="1023" w:type="dxa"/>
            <w:vAlign w:val="center"/>
          </w:tcPr>
          <w:p w14:paraId="72E61363" w14:textId="77777777" w:rsidR="003E78AB" w:rsidRDefault="00010BF9">
            <w:pPr>
              <w:pStyle w:val="aff6"/>
              <w:topLinePunct/>
            </w:pPr>
            <w:r>
              <w:t>0</w:t>
            </w:r>
          </w:p>
        </w:tc>
        <w:tc>
          <w:tcPr>
            <w:tcW w:w="1020" w:type="dxa"/>
            <w:vAlign w:val="center"/>
          </w:tcPr>
          <w:p w14:paraId="7F82C3FB" w14:textId="77777777" w:rsidR="003E78AB" w:rsidRDefault="00010BF9">
            <w:pPr>
              <w:pStyle w:val="aff6"/>
              <w:topLinePunct/>
            </w:pPr>
            <w:r>
              <w:t>0</w:t>
            </w:r>
          </w:p>
        </w:tc>
        <w:tc>
          <w:tcPr>
            <w:tcW w:w="1020" w:type="dxa"/>
            <w:vAlign w:val="center"/>
          </w:tcPr>
          <w:p w14:paraId="56A580AC" w14:textId="77777777" w:rsidR="003E78AB" w:rsidRDefault="00010BF9">
            <w:pPr>
              <w:pStyle w:val="aff6"/>
              <w:topLinePunct/>
            </w:pPr>
            <w:r>
              <w:t>0.000003</w:t>
            </w:r>
          </w:p>
        </w:tc>
        <w:tc>
          <w:tcPr>
            <w:tcW w:w="1023" w:type="dxa"/>
            <w:vAlign w:val="center"/>
          </w:tcPr>
          <w:p w14:paraId="26463681" w14:textId="77777777" w:rsidR="003E78AB" w:rsidRDefault="00010BF9">
            <w:pPr>
              <w:pStyle w:val="aff6"/>
              <w:topLinePunct/>
            </w:pPr>
            <w:r>
              <w:t>0.017232</w:t>
            </w:r>
          </w:p>
        </w:tc>
        <w:tc>
          <w:tcPr>
            <w:tcW w:w="1020" w:type="dxa"/>
            <w:vAlign w:val="center"/>
          </w:tcPr>
          <w:p w14:paraId="6EA5BB8B" w14:textId="77777777" w:rsidR="003E78AB" w:rsidRDefault="00010BF9">
            <w:pPr>
              <w:pStyle w:val="aff6"/>
              <w:topLinePunct/>
            </w:pPr>
            <w:r>
              <w:t>0.000023</w:t>
            </w:r>
          </w:p>
        </w:tc>
        <w:tc>
          <w:tcPr>
            <w:tcW w:w="1022" w:type="dxa"/>
            <w:vAlign w:val="center"/>
          </w:tcPr>
          <w:p w14:paraId="6718A4AD" w14:textId="77777777" w:rsidR="003E78AB" w:rsidRDefault="00010BF9">
            <w:pPr>
              <w:pStyle w:val="aff6"/>
              <w:topLinePunct/>
            </w:pPr>
            <w:r>
              <w:t>0</w:t>
            </w:r>
          </w:p>
        </w:tc>
        <w:tc>
          <w:tcPr>
            <w:tcW w:w="896" w:type="dxa"/>
            <w:vAlign w:val="center"/>
          </w:tcPr>
          <w:p w14:paraId="37727151" w14:textId="77777777" w:rsidR="003E78AB" w:rsidRDefault="00010BF9">
            <w:pPr>
              <w:pStyle w:val="aff6"/>
              <w:topLinePunct/>
            </w:pPr>
            <w:r>
              <w:t>0</w:t>
            </w:r>
          </w:p>
        </w:tc>
        <w:tc>
          <w:tcPr>
            <w:tcW w:w="677" w:type="dxa"/>
            <w:vAlign w:val="center"/>
          </w:tcPr>
          <w:p w14:paraId="3C71FC8E" w14:textId="77777777" w:rsidR="003E78AB" w:rsidRDefault="00010BF9">
            <w:pPr>
              <w:pStyle w:val="aff6"/>
              <w:topLinePunct/>
            </w:pPr>
            <w:r>
              <w:t>0</w:t>
            </w:r>
          </w:p>
        </w:tc>
      </w:tr>
      <w:tr w:rsidR="003E78AB" w14:paraId="6E43C333" w14:textId="77777777">
        <w:trPr>
          <w:trHeight w:val="287"/>
        </w:trPr>
        <w:tc>
          <w:tcPr>
            <w:tcW w:w="1013" w:type="dxa"/>
            <w:vAlign w:val="center"/>
          </w:tcPr>
          <w:p w14:paraId="25591E46" w14:textId="77777777" w:rsidR="003E78AB" w:rsidRDefault="00010BF9">
            <w:pPr>
              <w:pStyle w:val="aff6"/>
              <w:topLinePunct/>
            </w:pPr>
            <w:r>
              <w:t>3000</w:t>
            </w:r>
          </w:p>
        </w:tc>
        <w:tc>
          <w:tcPr>
            <w:tcW w:w="2185" w:type="dxa"/>
            <w:vAlign w:val="center"/>
          </w:tcPr>
          <w:p w14:paraId="66EB39F8" w14:textId="77777777" w:rsidR="003E78AB" w:rsidRDefault="00010BF9">
            <w:pPr>
              <w:pStyle w:val="aff6"/>
              <w:topLinePunct/>
            </w:pPr>
            <w:r>
              <w:t>0.013146|35</w:t>
            </w:r>
          </w:p>
        </w:tc>
        <w:tc>
          <w:tcPr>
            <w:tcW w:w="1022" w:type="dxa"/>
            <w:vAlign w:val="center"/>
          </w:tcPr>
          <w:p w14:paraId="691BD76D" w14:textId="77777777" w:rsidR="003E78AB" w:rsidRDefault="00010BF9">
            <w:pPr>
              <w:pStyle w:val="aff6"/>
              <w:topLinePunct/>
            </w:pPr>
            <w:r>
              <w:t>0</w:t>
            </w:r>
          </w:p>
        </w:tc>
        <w:tc>
          <w:tcPr>
            <w:tcW w:w="1022" w:type="dxa"/>
            <w:vAlign w:val="center"/>
          </w:tcPr>
          <w:p w14:paraId="6C2465DC" w14:textId="77777777" w:rsidR="003E78AB" w:rsidRDefault="00010BF9">
            <w:pPr>
              <w:pStyle w:val="aff6"/>
              <w:topLinePunct/>
            </w:pPr>
            <w:r>
              <w:t>0</w:t>
            </w:r>
          </w:p>
        </w:tc>
        <w:tc>
          <w:tcPr>
            <w:tcW w:w="1022" w:type="dxa"/>
            <w:vAlign w:val="center"/>
          </w:tcPr>
          <w:p w14:paraId="4B648D07" w14:textId="77777777" w:rsidR="003E78AB" w:rsidRDefault="00010BF9">
            <w:pPr>
              <w:pStyle w:val="aff6"/>
              <w:topLinePunct/>
            </w:pPr>
            <w:r>
              <w:t>0</w:t>
            </w:r>
          </w:p>
        </w:tc>
        <w:tc>
          <w:tcPr>
            <w:tcW w:w="1023" w:type="dxa"/>
            <w:vAlign w:val="center"/>
          </w:tcPr>
          <w:p w14:paraId="6B8312CB" w14:textId="77777777" w:rsidR="003E78AB" w:rsidRDefault="00010BF9">
            <w:pPr>
              <w:pStyle w:val="aff6"/>
              <w:topLinePunct/>
            </w:pPr>
            <w:r>
              <w:t>0</w:t>
            </w:r>
          </w:p>
        </w:tc>
        <w:tc>
          <w:tcPr>
            <w:tcW w:w="1020" w:type="dxa"/>
            <w:vAlign w:val="center"/>
          </w:tcPr>
          <w:p w14:paraId="1E74DA01" w14:textId="77777777" w:rsidR="003E78AB" w:rsidRDefault="00010BF9">
            <w:pPr>
              <w:pStyle w:val="aff6"/>
              <w:topLinePunct/>
            </w:pPr>
            <w:r>
              <w:t>0</w:t>
            </w:r>
          </w:p>
        </w:tc>
        <w:tc>
          <w:tcPr>
            <w:tcW w:w="1020" w:type="dxa"/>
            <w:vAlign w:val="center"/>
          </w:tcPr>
          <w:p w14:paraId="03DC0D57" w14:textId="77777777" w:rsidR="003E78AB" w:rsidRDefault="00010BF9">
            <w:pPr>
              <w:pStyle w:val="aff6"/>
              <w:topLinePunct/>
            </w:pPr>
            <w:r>
              <w:t>0</w:t>
            </w:r>
          </w:p>
        </w:tc>
        <w:tc>
          <w:tcPr>
            <w:tcW w:w="1023" w:type="dxa"/>
            <w:vAlign w:val="center"/>
          </w:tcPr>
          <w:p w14:paraId="2BF88631" w14:textId="77777777" w:rsidR="003E78AB" w:rsidRDefault="00010BF9">
            <w:pPr>
              <w:pStyle w:val="aff6"/>
              <w:topLinePunct/>
            </w:pPr>
            <w:r>
              <w:t>0.005269</w:t>
            </w:r>
          </w:p>
        </w:tc>
        <w:tc>
          <w:tcPr>
            <w:tcW w:w="1020" w:type="dxa"/>
            <w:vAlign w:val="center"/>
          </w:tcPr>
          <w:p w14:paraId="7840D97E" w14:textId="77777777" w:rsidR="003E78AB" w:rsidRDefault="00010BF9">
            <w:pPr>
              <w:pStyle w:val="aff6"/>
              <w:topLinePunct/>
            </w:pPr>
            <w:r>
              <w:t>0.00823</w:t>
            </w:r>
          </w:p>
        </w:tc>
        <w:tc>
          <w:tcPr>
            <w:tcW w:w="1022" w:type="dxa"/>
            <w:vAlign w:val="center"/>
          </w:tcPr>
          <w:p w14:paraId="6AE4B2DA" w14:textId="77777777" w:rsidR="003E78AB" w:rsidRDefault="00010BF9">
            <w:pPr>
              <w:pStyle w:val="aff6"/>
              <w:topLinePunct/>
            </w:pPr>
            <w:r>
              <w:t>0</w:t>
            </w:r>
          </w:p>
        </w:tc>
        <w:tc>
          <w:tcPr>
            <w:tcW w:w="896" w:type="dxa"/>
            <w:vAlign w:val="center"/>
          </w:tcPr>
          <w:p w14:paraId="62AE4D9A" w14:textId="77777777" w:rsidR="003E78AB" w:rsidRDefault="00010BF9">
            <w:pPr>
              <w:pStyle w:val="aff6"/>
              <w:topLinePunct/>
            </w:pPr>
            <w:r>
              <w:t>0</w:t>
            </w:r>
          </w:p>
        </w:tc>
        <w:tc>
          <w:tcPr>
            <w:tcW w:w="677" w:type="dxa"/>
            <w:vAlign w:val="center"/>
          </w:tcPr>
          <w:p w14:paraId="53E40940" w14:textId="77777777" w:rsidR="003E78AB" w:rsidRDefault="00010BF9">
            <w:pPr>
              <w:pStyle w:val="aff6"/>
              <w:topLinePunct/>
            </w:pPr>
            <w:r>
              <w:t>0</w:t>
            </w:r>
          </w:p>
        </w:tc>
      </w:tr>
      <w:tr w:rsidR="003E78AB" w14:paraId="6EB0F35B" w14:textId="77777777">
        <w:trPr>
          <w:trHeight w:val="288"/>
        </w:trPr>
        <w:tc>
          <w:tcPr>
            <w:tcW w:w="1013" w:type="dxa"/>
            <w:vAlign w:val="center"/>
          </w:tcPr>
          <w:p w14:paraId="38A46B65" w14:textId="77777777" w:rsidR="003E78AB" w:rsidRDefault="00010BF9">
            <w:pPr>
              <w:pStyle w:val="aff6"/>
              <w:topLinePunct/>
            </w:pPr>
            <w:r>
              <w:t>3500</w:t>
            </w:r>
          </w:p>
        </w:tc>
        <w:tc>
          <w:tcPr>
            <w:tcW w:w="2185" w:type="dxa"/>
            <w:vAlign w:val="center"/>
          </w:tcPr>
          <w:p w14:paraId="16B8E2E0" w14:textId="77777777" w:rsidR="003E78AB" w:rsidRDefault="00010BF9">
            <w:pPr>
              <w:pStyle w:val="aff6"/>
              <w:topLinePunct/>
            </w:pPr>
            <w:r>
              <w:t>0.010397|41</w:t>
            </w:r>
          </w:p>
        </w:tc>
        <w:tc>
          <w:tcPr>
            <w:tcW w:w="1022" w:type="dxa"/>
            <w:vAlign w:val="center"/>
          </w:tcPr>
          <w:p w14:paraId="4DE47567" w14:textId="77777777" w:rsidR="003E78AB" w:rsidRDefault="00010BF9">
            <w:pPr>
              <w:pStyle w:val="aff6"/>
              <w:topLinePunct/>
            </w:pPr>
            <w:r>
              <w:t>0</w:t>
            </w:r>
          </w:p>
        </w:tc>
        <w:tc>
          <w:tcPr>
            <w:tcW w:w="1022" w:type="dxa"/>
            <w:vAlign w:val="center"/>
          </w:tcPr>
          <w:p w14:paraId="5078DBF0" w14:textId="77777777" w:rsidR="003E78AB" w:rsidRDefault="00010BF9">
            <w:pPr>
              <w:pStyle w:val="aff6"/>
              <w:topLinePunct/>
            </w:pPr>
            <w:r>
              <w:t>0</w:t>
            </w:r>
          </w:p>
        </w:tc>
        <w:tc>
          <w:tcPr>
            <w:tcW w:w="1022" w:type="dxa"/>
            <w:vAlign w:val="center"/>
          </w:tcPr>
          <w:p w14:paraId="479A7921" w14:textId="77777777" w:rsidR="003E78AB" w:rsidRDefault="00010BF9">
            <w:pPr>
              <w:pStyle w:val="aff6"/>
              <w:topLinePunct/>
            </w:pPr>
            <w:r>
              <w:t>0</w:t>
            </w:r>
          </w:p>
        </w:tc>
        <w:tc>
          <w:tcPr>
            <w:tcW w:w="1023" w:type="dxa"/>
            <w:vAlign w:val="center"/>
          </w:tcPr>
          <w:p w14:paraId="0C25B2E5" w14:textId="77777777" w:rsidR="003E78AB" w:rsidRDefault="00010BF9">
            <w:pPr>
              <w:pStyle w:val="aff6"/>
              <w:topLinePunct/>
            </w:pPr>
            <w:r>
              <w:t>0</w:t>
            </w:r>
          </w:p>
        </w:tc>
        <w:tc>
          <w:tcPr>
            <w:tcW w:w="1020" w:type="dxa"/>
            <w:vAlign w:val="center"/>
          </w:tcPr>
          <w:p w14:paraId="1D4CAEBF" w14:textId="77777777" w:rsidR="003E78AB" w:rsidRDefault="00010BF9">
            <w:pPr>
              <w:pStyle w:val="aff6"/>
              <w:topLinePunct/>
            </w:pPr>
            <w:r>
              <w:t>0</w:t>
            </w:r>
          </w:p>
        </w:tc>
        <w:tc>
          <w:tcPr>
            <w:tcW w:w="1020" w:type="dxa"/>
            <w:vAlign w:val="center"/>
          </w:tcPr>
          <w:p w14:paraId="21D887AA" w14:textId="77777777" w:rsidR="003E78AB" w:rsidRDefault="00010BF9">
            <w:pPr>
              <w:pStyle w:val="aff6"/>
              <w:topLinePunct/>
            </w:pPr>
            <w:r>
              <w:t>0</w:t>
            </w:r>
          </w:p>
        </w:tc>
        <w:tc>
          <w:tcPr>
            <w:tcW w:w="1023" w:type="dxa"/>
            <w:vAlign w:val="center"/>
          </w:tcPr>
          <w:p w14:paraId="0AD95A08" w14:textId="77777777" w:rsidR="003E78AB" w:rsidRDefault="00010BF9">
            <w:pPr>
              <w:pStyle w:val="aff6"/>
              <w:topLinePunct/>
            </w:pPr>
            <w:r>
              <w:t>0.000037</w:t>
            </w:r>
          </w:p>
        </w:tc>
        <w:tc>
          <w:tcPr>
            <w:tcW w:w="1020" w:type="dxa"/>
            <w:vAlign w:val="center"/>
          </w:tcPr>
          <w:p w14:paraId="4F5F8D24" w14:textId="77777777" w:rsidR="003E78AB" w:rsidRDefault="00010BF9">
            <w:pPr>
              <w:pStyle w:val="aff6"/>
              <w:topLinePunct/>
            </w:pPr>
            <w:r>
              <w:t>0.010385</w:t>
            </w:r>
          </w:p>
        </w:tc>
        <w:tc>
          <w:tcPr>
            <w:tcW w:w="1022" w:type="dxa"/>
            <w:vAlign w:val="center"/>
          </w:tcPr>
          <w:p w14:paraId="1FB68CAD" w14:textId="77777777" w:rsidR="003E78AB" w:rsidRDefault="00010BF9">
            <w:pPr>
              <w:pStyle w:val="aff6"/>
              <w:topLinePunct/>
            </w:pPr>
            <w:r>
              <w:t>0.000181</w:t>
            </w:r>
          </w:p>
        </w:tc>
        <w:tc>
          <w:tcPr>
            <w:tcW w:w="896" w:type="dxa"/>
            <w:vAlign w:val="center"/>
          </w:tcPr>
          <w:p w14:paraId="393F8038" w14:textId="77777777" w:rsidR="003E78AB" w:rsidRDefault="00010BF9">
            <w:pPr>
              <w:pStyle w:val="aff6"/>
              <w:topLinePunct/>
            </w:pPr>
            <w:r>
              <w:t>0</w:t>
            </w:r>
          </w:p>
        </w:tc>
        <w:tc>
          <w:tcPr>
            <w:tcW w:w="677" w:type="dxa"/>
            <w:vAlign w:val="center"/>
          </w:tcPr>
          <w:p w14:paraId="5426C719" w14:textId="77777777" w:rsidR="003E78AB" w:rsidRDefault="00010BF9">
            <w:pPr>
              <w:pStyle w:val="aff6"/>
              <w:topLinePunct/>
            </w:pPr>
            <w:r>
              <w:t>0</w:t>
            </w:r>
          </w:p>
        </w:tc>
      </w:tr>
      <w:tr w:rsidR="003E78AB" w14:paraId="1919676E" w14:textId="77777777">
        <w:trPr>
          <w:trHeight w:val="287"/>
        </w:trPr>
        <w:tc>
          <w:tcPr>
            <w:tcW w:w="1013" w:type="dxa"/>
            <w:vAlign w:val="center"/>
          </w:tcPr>
          <w:p w14:paraId="1574CBC5" w14:textId="77777777" w:rsidR="003E78AB" w:rsidRDefault="00010BF9">
            <w:pPr>
              <w:pStyle w:val="aff6"/>
              <w:topLinePunct/>
            </w:pPr>
            <w:r>
              <w:t>4000</w:t>
            </w:r>
          </w:p>
        </w:tc>
        <w:tc>
          <w:tcPr>
            <w:tcW w:w="2185" w:type="dxa"/>
            <w:vAlign w:val="center"/>
          </w:tcPr>
          <w:p w14:paraId="3CB9F2A6" w14:textId="77777777" w:rsidR="003E78AB" w:rsidRDefault="00010BF9">
            <w:pPr>
              <w:pStyle w:val="aff6"/>
              <w:topLinePunct/>
            </w:pPr>
            <w:r>
              <w:t>0.008443|46</w:t>
            </w:r>
          </w:p>
        </w:tc>
        <w:tc>
          <w:tcPr>
            <w:tcW w:w="1022" w:type="dxa"/>
            <w:vAlign w:val="center"/>
          </w:tcPr>
          <w:p w14:paraId="449E98FB" w14:textId="77777777" w:rsidR="003E78AB" w:rsidRDefault="00010BF9">
            <w:pPr>
              <w:pStyle w:val="aff6"/>
              <w:topLinePunct/>
            </w:pPr>
            <w:r>
              <w:t>0</w:t>
            </w:r>
          </w:p>
        </w:tc>
        <w:tc>
          <w:tcPr>
            <w:tcW w:w="1022" w:type="dxa"/>
            <w:vAlign w:val="center"/>
          </w:tcPr>
          <w:p w14:paraId="135FA463" w14:textId="77777777" w:rsidR="003E78AB" w:rsidRDefault="00010BF9">
            <w:pPr>
              <w:pStyle w:val="aff6"/>
              <w:topLinePunct/>
            </w:pPr>
            <w:r>
              <w:t>0</w:t>
            </w:r>
          </w:p>
        </w:tc>
        <w:tc>
          <w:tcPr>
            <w:tcW w:w="1022" w:type="dxa"/>
            <w:vAlign w:val="center"/>
          </w:tcPr>
          <w:p w14:paraId="57321D37" w14:textId="77777777" w:rsidR="003E78AB" w:rsidRDefault="00010BF9">
            <w:pPr>
              <w:pStyle w:val="aff6"/>
              <w:topLinePunct/>
            </w:pPr>
            <w:r>
              <w:t>0</w:t>
            </w:r>
          </w:p>
        </w:tc>
        <w:tc>
          <w:tcPr>
            <w:tcW w:w="1023" w:type="dxa"/>
            <w:vAlign w:val="center"/>
          </w:tcPr>
          <w:p w14:paraId="3897AA1D" w14:textId="77777777" w:rsidR="003E78AB" w:rsidRDefault="00010BF9">
            <w:pPr>
              <w:pStyle w:val="aff6"/>
              <w:topLinePunct/>
            </w:pPr>
            <w:r>
              <w:t>0</w:t>
            </w:r>
          </w:p>
        </w:tc>
        <w:tc>
          <w:tcPr>
            <w:tcW w:w="1020" w:type="dxa"/>
            <w:vAlign w:val="center"/>
          </w:tcPr>
          <w:p w14:paraId="2D65D9ED" w14:textId="77777777" w:rsidR="003E78AB" w:rsidRDefault="00010BF9">
            <w:pPr>
              <w:pStyle w:val="aff6"/>
              <w:topLinePunct/>
            </w:pPr>
            <w:r>
              <w:t>0</w:t>
            </w:r>
          </w:p>
        </w:tc>
        <w:tc>
          <w:tcPr>
            <w:tcW w:w="1020" w:type="dxa"/>
            <w:vAlign w:val="center"/>
          </w:tcPr>
          <w:p w14:paraId="37662633" w14:textId="77777777" w:rsidR="003E78AB" w:rsidRDefault="00010BF9">
            <w:pPr>
              <w:pStyle w:val="aff6"/>
              <w:topLinePunct/>
            </w:pPr>
            <w:r>
              <w:t>0</w:t>
            </w:r>
          </w:p>
        </w:tc>
        <w:tc>
          <w:tcPr>
            <w:tcW w:w="1023" w:type="dxa"/>
            <w:vAlign w:val="center"/>
          </w:tcPr>
          <w:p w14:paraId="64D448D8" w14:textId="77777777" w:rsidR="003E78AB" w:rsidRDefault="00010BF9">
            <w:pPr>
              <w:pStyle w:val="aff6"/>
              <w:topLinePunct/>
            </w:pPr>
            <w:r>
              <w:t>0</w:t>
            </w:r>
          </w:p>
        </w:tc>
        <w:tc>
          <w:tcPr>
            <w:tcW w:w="1020" w:type="dxa"/>
            <w:vAlign w:val="center"/>
          </w:tcPr>
          <w:p w14:paraId="3EFB69E6" w14:textId="77777777" w:rsidR="003E78AB" w:rsidRDefault="00010BF9">
            <w:pPr>
              <w:pStyle w:val="aff6"/>
              <w:topLinePunct/>
            </w:pPr>
            <w:r>
              <w:t>0.00344</w:t>
            </w:r>
          </w:p>
        </w:tc>
        <w:tc>
          <w:tcPr>
            <w:tcW w:w="1022" w:type="dxa"/>
            <w:vAlign w:val="center"/>
          </w:tcPr>
          <w:p w14:paraId="4E1A77D1" w14:textId="77777777" w:rsidR="003E78AB" w:rsidRDefault="00010BF9">
            <w:pPr>
              <w:pStyle w:val="aff6"/>
              <w:topLinePunct/>
            </w:pPr>
            <w:r>
              <w:t>0.005386</w:t>
            </w:r>
          </w:p>
        </w:tc>
        <w:tc>
          <w:tcPr>
            <w:tcW w:w="896" w:type="dxa"/>
            <w:vAlign w:val="center"/>
          </w:tcPr>
          <w:p w14:paraId="68736FE7" w14:textId="77777777" w:rsidR="003E78AB" w:rsidRDefault="00010BF9">
            <w:pPr>
              <w:pStyle w:val="aff6"/>
              <w:topLinePunct/>
            </w:pPr>
            <w:r>
              <w:t>0</w:t>
            </w:r>
          </w:p>
        </w:tc>
        <w:tc>
          <w:tcPr>
            <w:tcW w:w="677" w:type="dxa"/>
            <w:vAlign w:val="center"/>
          </w:tcPr>
          <w:p w14:paraId="2F98EF19" w14:textId="77777777" w:rsidR="003E78AB" w:rsidRDefault="00010BF9">
            <w:pPr>
              <w:pStyle w:val="aff6"/>
              <w:topLinePunct/>
            </w:pPr>
            <w:r>
              <w:t>0</w:t>
            </w:r>
          </w:p>
        </w:tc>
      </w:tr>
      <w:tr w:rsidR="003E78AB" w14:paraId="656F8895" w14:textId="77777777">
        <w:trPr>
          <w:trHeight w:val="302"/>
        </w:trPr>
        <w:tc>
          <w:tcPr>
            <w:tcW w:w="1013" w:type="dxa"/>
            <w:vAlign w:val="center"/>
          </w:tcPr>
          <w:p w14:paraId="7EA1962A" w14:textId="77777777" w:rsidR="003E78AB" w:rsidRDefault="00010BF9">
            <w:pPr>
              <w:pStyle w:val="aff6"/>
              <w:topLinePunct/>
            </w:pPr>
            <w:r>
              <w:t>5000</w:t>
            </w:r>
          </w:p>
        </w:tc>
        <w:tc>
          <w:tcPr>
            <w:tcW w:w="2185" w:type="dxa"/>
            <w:vAlign w:val="center"/>
          </w:tcPr>
          <w:p w14:paraId="180AB3BC" w14:textId="77777777" w:rsidR="003E78AB" w:rsidRDefault="00010BF9">
            <w:pPr>
              <w:pStyle w:val="aff6"/>
              <w:topLinePunct/>
            </w:pPr>
            <w:r>
              <w:t>0.005892|56</w:t>
            </w:r>
          </w:p>
        </w:tc>
        <w:tc>
          <w:tcPr>
            <w:tcW w:w="1022" w:type="dxa"/>
            <w:vAlign w:val="center"/>
          </w:tcPr>
          <w:p w14:paraId="6D9DEB1E" w14:textId="77777777" w:rsidR="003E78AB" w:rsidRDefault="00010BF9">
            <w:pPr>
              <w:pStyle w:val="aff6"/>
              <w:topLinePunct/>
            </w:pPr>
            <w:r>
              <w:t>0</w:t>
            </w:r>
          </w:p>
        </w:tc>
        <w:tc>
          <w:tcPr>
            <w:tcW w:w="1022" w:type="dxa"/>
            <w:vAlign w:val="center"/>
          </w:tcPr>
          <w:p w14:paraId="5E51C419" w14:textId="77777777" w:rsidR="003E78AB" w:rsidRDefault="00010BF9">
            <w:pPr>
              <w:pStyle w:val="aff6"/>
              <w:topLinePunct/>
            </w:pPr>
            <w:r>
              <w:t>0</w:t>
            </w:r>
          </w:p>
        </w:tc>
        <w:tc>
          <w:tcPr>
            <w:tcW w:w="1022" w:type="dxa"/>
            <w:vAlign w:val="center"/>
          </w:tcPr>
          <w:p w14:paraId="01DCE9FF" w14:textId="77777777" w:rsidR="003E78AB" w:rsidRDefault="00010BF9">
            <w:pPr>
              <w:pStyle w:val="aff6"/>
              <w:topLinePunct/>
            </w:pPr>
            <w:r>
              <w:t>0</w:t>
            </w:r>
          </w:p>
        </w:tc>
        <w:tc>
          <w:tcPr>
            <w:tcW w:w="1023" w:type="dxa"/>
            <w:vAlign w:val="center"/>
          </w:tcPr>
          <w:p w14:paraId="1309993B" w14:textId="77777777" w:rsidR="003E78AB" w:rsidRDefault="00010BF9">
            <w:pPr>
              <w:pStyle w:val="aff6"/>
              <w:topLinePunct/>
            </w:pPr>
            <w:r>
              <w:t>0</w:t>
            </w:r>
          </w:p>
        </w:tc>
        <w:tc>
          <w:tcPr>
            <w:tcW w:w="1020" w:type="dxa"/>
            <w:vAlign w:val="center"/>
          </w:tcPr>
          <w:p w14:paraId="72482BBF" w14:textId="77777777" w:rsidR="003E78AB" w:rsidRDefault="00010BF9">
            <w:pPr>
              <w:pStyle w:val="aff6"/>
              <w:topLinePunct/>
            </w:pPr>
            <w:r>
              <w:t>0</w:t>
            </w:r>
          </w:p>
        </w:tc>
        <w:tc>
          <w:tcPr>
            <w:tcW w:w="1020" w:type="dxa"/>
            <w:vAlign w:val="center"/>
          </w:tcPr>
          <w:p w14:paraId="55C341E3" w14:textId="77777777" w:rsidR="003E78AB" w:rsidRDefault="00010BF9">
            <w:pPr>
              <w:pStyle w:val="aff6"/>
              <w:topLinePunct/>
            </w:pPr>
            <w:r>
              <w:t>0</w:t>
            </w:r>
          </w:p>
        </w:tc>
        <w:tc>
          <w:tcPr>
            <w:tcW w:w="1023" w:type="dxa"/>
            <w:vAlign w:val="center"/>
          </w:tcPr>
          <w:p w14:paraId="3EC372EA" w14:textId="77777777" w:rsidR="003E78AB" w:rsidRDefault="00010BF9">
            <w:pPr>
              <w:pStyle w:val="aff6"/>
              <w:topLinePunct/>
            </w:pPr>
            <w:r>
              <w:t>0</w:t>
            </w:r>
          </w:p>
        </w:tc>
        <w:tc>
          <w:tcPr>
            <w:tcW w:w="1020" w:type="dxa"/>
            <w:vAlign w:val="center"/>
          </w:tcPr>
          <w:p w14:paraId="6B1C3F7D" w14:textId="77777777" w:rsidR="003E78AB" w:rsidRDefault="00010BF9">
            <w:pPr>
              <w:pStyle w:val="aff6"/>
              <w:topLinePunct/>
            </w:pPr>
            <w:r>
              <w:t>0</w:t>
            </w:r>
          </w:p>
        </w:tc>
        <w:tc>
          <w:tcPr>
            <w:tcW w:w="1022" w:type="dxa"/>
            <w:vAlign w:val="center"/>
          </w:tcPr>
          <w:p w14:paraId="35BC9F5D" w14:textId="77777777" w:rsidR="003E78AB" w:rsidRDefault="00010BF9">
            <w:pPr>
              <w:pStyle w:val="aff6"/>
              <w:topLinePunct/>
            </w:pPr>
            <w:r>
              <w:t>0.002498</w:t>
            </w:r>
          </w:p>
        </w:tc>
        <w:tc>
          <w:tcPr>
            <w:tcW w:w="896" w:type="dxa"/>
            <w:vAlign w:val="center"/>
          </w:tcPr>
          <w:p w14:paraId="203A7D7E" w14:textId="77777777" w:rsidR="003E78AB" w:rsidRDefault="00010BF9">
            <w:pPr>
              <w:pStyle w:val="aff6"/>
              <w:topLinePunct/>
            </w:pPr>
            <w:r>
              <w:t>0.003894</w:t>
            </w:r>
          </w:p>
        </w:tc>
        <w:tc>
          <w:tcPr>
            <w:tcW w:w="677" w:type="dxa"/>
            <w:vAlign w:val="center"/>
          </w:tcPr>
          <w:p w14:paraId="7EED01EB" w14:textId="77777777" w:rsidR="003E78AB" w:rsidRDefault="00010BF9">
            <w:pPr>
              <w:pStyle w:val="aff6"/>
              <w:topLinePunct/>
            </w:pPr>
            <w:r>
              <w:t>0</w:t>
            </w:r>
          </w:p>
        </w:tc>
      </w:tr>
    </w:tbl>
    <w:p w14:paraId="02D7B1D8" w14:textId="77777777" w:rsidR="003E78AB" w:rsidRDefault="00010BF9">
      <w:pPr>
        <w:pStyle w:val="a"/>
        <w:spacing w:before="120"/>
        <w:ind w:left="425" w:hanging="425"/>
        <w:jc w:val="right"/>
      </w:pPr>
      <w:bookmarkStart w:id="441" w:name="_Ref12590"/>
      <w:r>
        <w:t>最不利气象条件不同时段的硫酸地面浓度值</w:t>
      </w:r>
      <w:r>
        <w:rPr>
          <w:rFonts w:hint="eastAsia"/>
        </w:rPr>
        <w:t xml:space="preserve">                         </w:t>
      </w:r>
      <w:r>
        <w:t>单位：</w:t>
      </w:r>
      <w:r>
        <w:t>mg/m</w:t>
      </w:r>
      <w:r>
        <w:rPr>
          <w:vertAlign w:val="superscript"/>
        </w:rPr>
        <w:t>3</w:t>
      </w:r>
      <w:bookmarkEnd w:id="441"/>
    </w:p>
    <w:p w14:paraId="27CE6CA8" w14:textId="77777777" w:rsidR="003E78AB" w:rsidRDefault="003E78AB">
      <w:pPr>
        <w:spacing w:line="33" w:lineRule="exact"/>
        <w:ind w:firstLine="480"/>
      </w:pP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172"/>
        <w:gridCol w:w="1007"/>
        <w:gridCol w:w="1007"/>
        <w:gridCol w:w="1007"/>
        <w:gridCol w:w="1007"/>
        <w:gridCol w:w="1007"/>
        <w:gridCol w:w="1007"/>
        <w:gridCol w:w="1008"/>
        <w:gridCol w:w="1008"/>
        <w:gridCol w:w="1008"/>
        <w:gridCol w:w="883"/>
        <w:gridCol w:w="846"/>
      </w:tblGrid>
      <w:tr w:rsidR="003E78AB" w14:paraId="21B9E091" w14:textId="77777777">
        <w:trPr>
          <w:trHeight w:val="563"/>
          <w:tblHeader/>
        </w:trPr>
        <w:tc>
          <w:tcPr>
            <w:tcW w:w="357" w:type="pct"/>
            <w:vAlign w:val="center"/>
          </w:tcPr>
          <w:p w14:paraId="352B43EC" w14:textId="77777777" w:rsidR="003E78AB" w:rsidRDefault="00010BF9">
            <w:pPr>
              <w:pStyle w:val="aff6"/>
              <w:topLinePunct/>
              <w:rPr>
                <w:b/>
                <w:bCs/>
              </w:rPr>
            </w:pPr>
            <w:r>
              <w:rPr>
                <w:b/>
                <w:bCs/>
              </w:rPr>
              <w:t>距离</w:t>
            </w:r>
          </w:p>
        </w:tc>
        <w:tc>
          <w:tcPr>
            <w:tcW w:w="777" w:type="pct"/>
            <w:vAlign w:val="center"/>
          </w:tcPr>
          <w:p w14:paraId="57D98BE0" w14:textId="77777777" w:rsidR="003E78AB" w:rsidRDefault="00010BF9">
            <w:pPr>
              <w:pStyle w:val="aff6"/>
              <w:topLinePunct/>
              <w:rPr>
                <w:b/>
                <w:bCs/>
              </w:rPr>
            </w:pPr>
            <w:r>
              <w:rPr>
                <w:b/>
                <w:bCs/>
              </w:rPr>
              <w:t>最大浓度</w:t>
            </w:r>
            <w:r>
              <w:rPr>
                <w:b/>
                <w:bCs/>
              </w:rPr>
              <w:t>(mg/m</w:t>
            </w:r>
            <w:r>
              <w:rPr>
                <w:b/>
                <w:bCs/>
                <w:vertAlign w:val="superscript"/>
              </w:rPr>
              <w:t>3</w:t>
            </w:r>
            <w:r>
              <w:rPr>
                <w:b/>
                <w:bCs/>
              </w:rPr>
              <w:t>)</w:t>
            </w:r>
          </w:p>
          <w:p w14:paraId="4FD7F3BB" w14:textId="77777777" w:rsidR="003E78AB" w:rsidRDefault="00010BF9">
            <w:pPr>
              <w:pStyle w:val="aff6"/>
              <w:topLinePunct/>
              <w:rPr>
                <w:b/>
                <w:bCs/>
              </w:rPr>
            </w:pPr>
            <w:r>
              <w:rPr>
                <w:b/>
                <w:bCs/>
              </w:rPr>
              <w:t>时间</w:t>
            </w:r>
            <w:r>
              <w:rPr>
                <w:b/>
                <w:bCs/>
              </w:rPr>
              <w:t>(min)</w:t>
            </w:r>
          </w:p>
        </w:tc>
        <w:tc>
          <w:tcPr>
            <w:tcW w:w="360" w:type="pct"/>
            <w:vAlign w:val="center"/>
          </w:tcPr>
          <w:p w14:paraId="2AAE213B" w14:textId="77777777" w:rsidR="003E78AB" w:rsidRDefault="00010BF9">
            <w:pPr>
              <w:pStyle w:val="aff6"/>
              <w:topLinePunct/>
              <w:rPr>
                <w:b/>
                <w:bCs/>
              </w:rPr>
            </w:pPr>
            <w:r>
              <w:rPr>
                <w:b/>
                <w:bCs/>
              </w:rPr>
              <w:t>1min</w:t>
            </w:r>
          </w:p>
        </w:tc>
        <w:tc>
          <w:tcPr>
            <w:tcW w:w="360" w:type="pct"/>
            <w:vAlign w:val="center"/>
          </w:tcPr>
          <w:p w14:paraId="753D952B" w14:textId="77777777" w:rsidR="003E78AB" w:rsidRDefault="00010BF9">
            <w:pPr>
              <w:pStyle w:val="aff6"/>
              <w:topLinePunct/>
              <w:rPr>
                <w:b/>
                <w:bCs/>
              </w:rPr>
            </w:pPr>
            <w:r>
              <w:rPr>
                <w:b/>
                <w:bCs/>
              </w:rPr>
              <w:t>5min</w:t>
            </w:r>
          </w:p>
        </w:tc>
        <w:tc>
          <w:tcPr>
            <w:tcW w:w="360" w:type="pct"/>
            <w:vAlign w:val="center"/>
          </w:tcPr>
          <w:p w14:paraId="5690906D" w14:textId="77777777" w:rsidR="003E78AB" w:rsidRDefault="00010BF9">
            <w:pPr>
              <w:pStyle w:val="aff6"/>
              <w:topLinePunct/>
              <w:rPr>
                <w:b/>
                <w:bCs/>
              </w:rPr>
            </w:pPr>
            <w:r>
              <w:rPr>
                <w:b/>
                <w:bCs/>
              </w:rPr>
              <w:t>8min</w:t>
            </w:r>
          </w:p>
        </w:tc>
        <w:tc>
          <w:tcPr>
            <w:tcW w:w="360" w:type="pct"/>
            <w:vAlign w:val="center"/>
          </w:tcPr>
          <w:p w14:paraId="03017E8B" w14:textId="77777777" w:rsidR="003E78AB" w:rsidRDefault="00010BF9">
            <w:pPr>
              <w:pStyle w:val="aff6"/>
              <w:topLinePunct/>
              <w:rPr>
                <w:b/>
                <w:bCs/>
              </w:rPr>
            </w:pPr>
            <w:r>
              <w:rPr>
                <w:b/>
                <w:bCs/>
              </w:rPr>
              <w:t>10min</w:t>
            </w:r>
          </w:p>
        </w:tc>
        <w:tc>
          <w:tcPr>
            <w:tcW w:w="360" w:type="pct"/>
            <w:vAlign w:val="center"/>
          </w:tcPr>
          <w:p w14:paraId="6B603EE9" w14:textId="77777777" w:rsidR="003E78AB" w:rsidRDefault="00010BF9">
            <w:pPr>
              <w:pStyle w:val="aff6"/>
              <w:topLinePunct/>
              <w:rPr>
                <w:b/>
                <w:bCs/>
              </w:rPr>
            </w:pPr>
            <w:r>
              <w:rPr>
                <w:b/>
                <w:bCs/>
              </w:rPr>
              <w:t>15min</w:t>
            </w:r>
          </w:p>
        </w:tc>
        <w:tc>
          <w:tcPr>
            <w:tcW w:w="360" w:type="pct"/>
            <w:vAlign w:val="center"/>
          </w:tcPr>
          <w:p w14:paraId="665A5520" w14:textId="77777777" w:rsidR="003E78AB" w:rsidRDefault="00010BF9">
            <w:pPr>
              <w:pStyle w:val="aff6"/>
              <w:topLinePunct/>
              <w:rPr>
                <w:b/>
                <w:bCs/>
              </w:rPr>
            </w:pPr>
            <w:r>
              <w:rPr>
                <w:b/>
                <w:bCs/>
              </w:rPr>
              <w:t>20min</w:t>
            </w:r>
          </w:p>
        </w:tc>
        <w:tc>
          <w:tcPr>
            <w:tcW w:w="360" w:type="pct"/>
            <w:vAlign w:val="center"/>
          </w:tcPr>
          <w:p w14:paraId="32808D5C" w14:textId="77777777" w:rsidR="003E78AB" w:rsidRDefault="00010BF9">
            <w:pPr>
              <w:pStyle w:val="aff6"/>
              <w:topLinePunct/>
              <w:rPr>
                <w:b/>
                <w:bCs/>
              </w:rPr>
            </w:pPr>
            <w:r>
              <w:rPr>
                <w:b/>
                <w:bCs/>
              </w:rPr>
              <w:t>30min</w:t>
            </w:r>
          </w:p>
        </w:tc>
        <w:tc>
          <w:tcPr>
            <w:tcW w:w="360" w:type="pct"/>
            <w:vAlign w:val="center"/>
          </w:tcPr>
          <w:p w14:paraId="08BBC902" w14:textId="77777777" w:rsidR="003E78AB" w:rsidRDefault="00010BF9">
            <w:pPr>
              <w:pStyle w:val="aff6"/>
              <w:topLinePunct/>
              <w:rPr>
                <w:b/>
                <w:bCs/>
              </w:rPr>
            </w:pPr>
            <w:r>
              <w:rPr>
                <w:b/>
                <w:bCs/>
              </w:rPr>
              <w:t>40min</w:t>
            </w:r>
          </w:p>
        </w:tc>
        <w:tc>
          <w:tcPr>
            <w:tcW w:w="360" w:type="pct"/>
            <w:vAlign w:val="center"/>
          </w:tcPr>
          <w:p w14:paraId="271B0940" w14:textId="77777777" w:rsidR="003E78AB" w:rsidRDefault="00010BF9">
            <w:pPr>
              <w:pStyle w:val="aff6"/>
              <w:topLinePunct/>
              <w:rPr>
                <w:b/>
                <w:bCs/>
              </w:rPr>
            </w:pPr>
            <w:r>
              <w:rPr>
                <w:b/>
                <w:bCs/>
              </w:rPr>
              <w:t>50min</w:t>
            </w:r>
          </w:p>
        </w:tc>
        <w:tc>
          <w:tcPr>
            <w:tcW w:w="315" w:type="pct"/>
            <w:vAlign w:val="center"/>
          </w:tcPr>
          <w:p w14:paraId="533EA694" w14:textId="77777777" w:rsidR="003E78AB" w:rsidRDefault="00010BF9">
            <w:pPr>
              <w:pStyle w:val="aff6"/>
              <w:topLinePunct/>
              <w:rPr>
                <w:b/>
                <w:bCs/>
              </w:rPr>
            </w:pPr>
            <w:r>
              <w:rPr>
                <w:b/>
                <w:bCs/>
              </w:rPr>
              <w:t>60min</w:t>
            </w:r>
          </w:p>
        </w:tc>
        <w:tc>
          <w:tcPr>
            <w:tcW w:w="302" w:type="pct"/>
            <w:vAlign w:val="center"/>
          </w:tcPr>
          <w:p w14:paraId="25895CCD" w14:textId="77777777" w:rsidR="003E78AB" w:rsidRDefault="00010BF9">
            <w:pPr>
              <w:pStyle w:val="aff6"/>
              <w:topLinePunct/>
              <w:rPr>
                <w:b/>
                <w:bCs/>
              </w:rPr>
            </w:pPr>
            <w:r>
              <w:rPr>
                <w:b/>
                <w:bCs/>
              </w:rPr>
              <w:t>80min</w:t>
            </w:r>
          </w:p>
        </w:tc>
      </w:tr>
      <w:tr w:rsidR="003E78AB" w14:paraId="12E04094" w14:textId="77777777">
        <w:trPr>
          <w:trHeight w:val="287"/>
        </w:trPr>
        <w:tc>
          <w:tcPr>
            <w:tcW w:w="357" w:type="pct"/>
            <w:vAlign w:val="center"/>
          </w:tcPr>
          <w:p w14:paraId="72E8E813" w14:textId="77777777" w:rsidR="003E78AB" w:rsidRDefault="00010BF9">
            <w:pPr>
              <w:pStyle w:val="aff6"/>
              <w:topLinePunct/>
            </w:pPr>
            <w:r>
              <w:t>10</w:t>
            </w:r>
          </w:p>
        </w:tc>
        <w:tc>
          <w:tcPr>
            <w:tcW w:w="777" w:type="pct"/>
            <w:vAlign w:val="center"/>
          </w:tcPr>
          <w:p w14:paraId="6C1C1317" w14:textId="77777777" w:rsidR="003E78AB" w:rsidRDefault="00010BF9">
            <w:pPr>
              <w:pStyle w:val="aff6"/>
              <w:topLinePunct/>
            </w:pPr>
            <w:r>
              <w:t>0.000003|1</w:t>
            </w:r>
          </w:p>
        </w:tc>
        <w:tc>
          <w:tcPr>
            <w:tcW w:w="360" w:type="pct"/>
            <w:vAlign w:val="center"/>
          </w:tcPr>
          <w:p w14:paraId="0C1552AB" w14:textId="77777777" w:rsidR="003E78AB" w:rsidRDefault="00010BF9">
            <w:pPr>
              <w:pStyle w:val="aff6"/>
              <w:topLinePunct/>
            </w:pPr>
            <w:r>
              <w:t>0.000003</w:t>
            </w:r>
          </w:p>
        </w:tc>
        <w:tc>
          <w:tcPr>
            <w:tcW w:w="360" w:type="pct"/>
            <w:vAlign w:val="center"/>
          </w:tcPr>
          <w:p w14:paraId="29112098" w14:textId="77777777" w:rsidR="003E78AB" w:rsidRDefault="00010BF9">
            <w:pPr>
              <w:pStyle w:val="aff6"/>
              <w:topLinePunct/>
            </w:pPr>
            <w:r>
              <w:t>0.000003</w:t>
            </w:r>
          </w:p>
        </w:tc>
        <w:tc>
          <w:tcPr>
            <w:tcW w:w="360" w:type="pct"/>
            <w:vAlign w:val="center"/>
          </w:tcPr>
          <w:p w14:paraId="111C4316" w14:textId="77777777" w:rsidR="003E78AB" w:rsidRDefault="00010BF9">
            <w:pPr>
              <w:pStyle w:val="aff6"/>
              <w:topLinePunct/>
            </w:pPr>
            <w:r>
              <w:t>0.000003</w:t>
            </w:r>
          </w:p>
        </w:tc>
        <w:tc>
          <w:tcPr>
            <w:tcW w:w="360" w:type="pct"/>
            <w:vAlign w:val="center"/>
          </w:tcPr>
          <w:p w14:paraId="04464AA2" w14:textId="77777777" w:rsidR="003E78AB" w:rsidRDefault="00010BF9">
            <w:pPr>
              <w:pStyle w:val="aff6"/>
              <w:topLinePunct/>
            </w:pPr>
            <w:r>
              <w:t>0.000003</w:t>
            </w:r>
          </w:p>
        </w:tc>
        <w:tc>
          <w:tcPr>
            <w:tcW w:w="360" w:type="pct"/>
            <w:vAlign w:val="center"/>
          </w:tcPr>
          <w:p w14:paraId="17A9DFB4" w14:textId="77777777" w:rsidR="003E78AB" w:rsidRDefault="00010BF9">
            <w:pPr>
              <w:pStyle w:val="aff6"/>
              <w:topLinePunct/>
            </w:pPr>
            <w:r>
              <w:t>0.000003</w:t>
            </w:r>
          </w:p>
        </w:tc>
        <w:tc>
          <w:tcPr>
            <w:tcW w:w="360" w:type="pct"/>
            <w:vAlign w:val="center"/>
          </w:tcPr>
          <w:p w14:paraId="6AF7AE5E" w14:textId="77777777" w:rsidR="003E78AB" w:rsidRDefault="00010BF9">
            <w:pPr>
              <w:pStyle w:val="aff6"/>
              <w:topLinePunct/>
            </w:pPr>
            <w:r>
              <w:t>0.000003</w:t>
            </w:r>
          </w:p>
        </w:tc>
        <w:tc>
          <w:tcPr>
            <w:tcW w:w="360" w:type="pct"/>
            <w:vAlign w:val="center"/>
          </w:tcPr>
          <w:p w14:paraId="3AE92BE8" w14:textId="77777777" w:rsidR="003E78AB" w:rsidRDefault="00010BF9">
            <w:pPr>
              <w:pStyle w:val="aff6"/>
              <w:topLinePunct/>
            </w:pPr>
            <w:r>
              <w:t>0.000003</w:t>
            </w:r>
          </w:p>
        </w:tc>
        <w:tc>
          <w:tcPr>
            <w:tcW w:w="360" w:type="pct"/>
            <w:vAlign w:val="center"/>
          </w:tcPr>
          <w:p w14:paraId="1E464284" w14:textId="77777777" w:rsidR="003E78AB" w:rsidRDefault="00010BF9">
            <w:pPr>
              <w:pStyle w:val="aff6"/>
              <w:topLinePunct/>
            </w:pPr>
            <w:r>
              <w:t>0</w:t>
            </w:r>
          </w:p>
        </w:tc>
        <w:tc>
          <w:tcPr>
            <w:tcW w:w="360" w:type="pct"/>
            <w:vAlign w:val="center"/>
          </w:tcPr>
          <w:p w14:paraId="087296A0" w14:textId="77777777" w:rsidR="003E78AB" w:rsidRDefault="00010BF9">
            <w:pPr>
              <w:pStyle w:val="aff6"/>
              <w:topLinePunct/>
            </w:pPr>
            <w:r>
              <w:t>0</w:t>
            </w:r>
          </w:p>
        </w:tc>
        <w:tc>
          <w:tcPr>
            <w:tcW w:w="315" w:type="pct"/>
            <w:vAlign w:val="center"/>
          </w:tcPr>
          <w:p w14:paraId="2F093558" w14:textId="77777777" w:rsidR="003E78AB" w:rsidRDefault="00010BF9">
            <w:pPr>
              <w:pStyle w:val="aff6"/>
              <w:topLinePunct/>
            </w:pPr>
            <w:r>
              <w:t>0</w:t>
            </w:r>
          </w:p>
        </w:tc>
        <w:tc>
          <w:tcPr>
            <w:tcW w:w="302" w:type="pct"/>
            <w:vAlign w:val="center"/>
          </w:tcPr>
          <w:p w14:paraId="0F5033CF" w14:textId="77777777" w:rsidR="003E78AB" w:rsidRDefault="00010BF9">
            <w:pPr>
              <w:pStyle w:val="aff6"/>
              <w:topLinePunct/>
            </w:pPr>
            <w:r>
              <w:t>0</w:t>
            </w:r>
          </w:p>
        </w:tc>
      </w:tr>
      <w:tr w:rsidR="003E78AB" w14:paraId="517C08DE" w14:textId="77777777">
        <w:trPr>
          <w:trHeight w:val="288"/>
        </w:trPr>
        <w:tc>
          <w:tcPr>
            <w:tcW w:w="357" w:type="pct"/>
            <w:vAlign w:val="center"/>
          </w:tcPr>
          <w:p w14:paraId="401A1FF8" w14:textId="77777777" w:rsidR="003E78AB" w:rsidRDefault="00010BF9">
            <w:pPr>
              <w:pStyle w:val="aff6"/>
              <w:topLinePunct/>
            </w:pPr>
            <w:r>
              <w:t>20</w:t>
            </w:r>
          </w:p>
        </w:tc>
        <w:tc>
          <w:tcPr>
            <w:tcW w:w="777" w:type="pct"/>
            <w:vAlign w:val="center"/>
          </w:tcPr>
          <w:p w14:paraId="45493B65" w14:textId="77777777" w:rsidR="003E78AB" w:rsidRDefault="00010BF9">
            <w:pPr>
              <w:pStyle w:val="aff6"/>
              <w:topLinePunct/>
            </w:pPr>
            <w:r>
              <w:t>0.00049|1</w:t>
            </w:r>
          </w:p>
        </w:tc>
        <w:tc>
          <w:tcPr>
            <w:tcW w:w="360" w:type="pct"/>
            <w:vAlign w:val="center"/>
          </w:tcPr>
          <w:p w14:paraId="2578646A" w14:textId="77777777" w:rsidR="003E78AB" w:rsidRDefault="00010BF9">
            <w:pPr>
              <w:pStyle w:val="aff6"/>
              <w:topLinePunct/>
            </w:pPr>
            <w:r>
              <w:t>0.00049</w:t>
            </w:r>
          </w:p>
        </w:tc>
        <w:tc>
          <w:tcPr>
            <w:tcW w:w="360" w:type="pct"/>
            <w:vAlign w:val="center"/>
          </w:tcPr>
          <w:p w14:paraId="16B0FE5E" w14:textId="77777777" w:rsidR="003E78AB" w:rsidRDefault="00010BF9">
            <w:pPr>
              <w:pStyle w:val="aff6"/>
              <w:topLinePunct/>
            </w:pPr>
            <w:r>
              <w:t>0.00049</w:t>
            </w:r>
          </w:p>
        </w:tc>
        <w:tc>
          <w:tcPr>
            <w:tcW w:w="360" w:type="pct"/>
            <w:vAlign w:val="center"/>
          </w:tcPr>
          <w:p w14:paraId="1F1B170B" w14:textId="77777777" w:rsidR="003E78AB" w:rsidRDefault="00010BF9">
            <w:pPr>
              <w:pStyle w:val="aff6"/>
              <w:topLinePunct/>
            </w:pPr>
            <w:r>
              <w:t>0.00049</w:t>
            </w:r>
          </w:p>
        </w:tc>
        <w:tc>
          <w:tcPr>
            <w:tcW w:w="360" w:type="pct"/>
            <w:vAlign w:val="center"/>
          </w:tcPr>
          <w:p w14:paraId="6D4FD1FE" w14:textId="77777777" w:rsidR="003E78AB" w:rsidRDefault="00010BF9">
            <w:pPr>
              <w:pStyle w:val="aff6"/>
              <w:topLinePunct/>
            </w:pPr>
            <w:r>
              <w:t>0.00049</w:t>
            </w:r>
          </w:p>
        </w:tc>
        <w:tc>
          <w:tcPr>
            <w:tcW w:w="360" w:type="pct"/>
            <w:vAlign w:val="center"/>
          </w:tcPr>
          <w:p w14:paraId="2A37E4AD" w14:textId="77777777" w:rsidR="003E78AB" w:rsidRDefault="00010BF9">
            <w:pPr>
              <w:pStyle w:val="aff6"/>
              <w:topLinePunct/>
            </w:pPr>
            <w:r>
              <w:t>0.00049</w:t>
            </w:r>
          </w:p>
        </w:tc>
        <w:tc>
          <w:tcPr>
            <w:tcW w:w="360" w:type="pct"/>
            <w:vAlign w:val="center"/>
          </w:tcPr>
          <w:p w14:paraId="3D4C8DCD" w14:textId="77777777" w:rsidR="003E78AB" w:rsidRDefault="00010BF9">
            <w:pPr>
              <w:pStyle w:val="aff6"/>
              <w:topLinePunct/>
            </w:pPr>
            <w:r>
              <w:t>0.00049</w:t>
            </w:r>
          </w:p>
        </w:tc>
        <w:tc>
          <w:tcPr>
            <w:tcW w:w="360" w:type="pct"/>
            <w:vAlign w:val="center"/>
          </w:tcPr>
          <w:p w14:paraId="3CE8B9DB" w14:textId="77777777" w:rsidR="003E78AB" w:rsidRDefault="00010BF9">
            <w:pPr>
              <w:pStyle w:val="aff6"/>
              <w:topLinePunct/>
            </w:pPr>
            <w:r>
              <w:t>0.00049</w:t>
            </w:r>
          </w:p>
        </w:tc>
        <w:tc>
          <w:tcPr>
            <w:tcW w:w="360" w:type="pct"/>
            <w:vAlign w:val="center"/>
          </w:tcPr>
          <w:p w14:paraId="472ECBDE" w14:textId="77777777" w:rsidR="003E78AB" w:rsidRDefault="00010BF9">
            <w:pPr>
              <w:pStyle w:val="aff6"/>
              <w:topLinePunct/>
            </w:pPr>
            <w:r>
              <w:t>0</w:t>
            </w:r>
          </w:p>
        </w:tc>
        <w:tc>
          <w:tcPr>
            <w:tcW w:w="360" w:type="pct"/>
            <w:vAlign w:val="center"/>
          </w:tcPr>
          <w:p w14:paraId="694FDE29" w14:textId="77777777" w:rsidR="003E78AB" w:rsidRDefault="00010BF9">
            <w:pPr>
              <w:pStyle w:val="aff6"/>
              <w:topLinePunct/>
            </w:pPr>
            <w:r>
              <w:t>0</w:t>
            </w:r>
          </w:p>
        </w:tc>
        <w:tc>
          <w:tcPr>
            <w:tcW w:w="315" w:type="pct"/>
            <w:vAlign w:val="center"/>
          </w:tcPr>
          <w:p w14:paraId="380AB4EB" w14:textId="77777777" w:rsidR="003E78AB" w:rsidRDefault="00010BF9">
            <w:pPr>
              <w:pStyle w:val="aff6"/>
              <w:topLinePunct/>
            </w:pPr>
            <w:r>
              <w:t>0</w:t>
            </w:r>
          </w:p>
        </w:tc>
        <w:tc>
          <w:tcPr>
            <w:tcW w:w="302" w:type="pct"/>
            <w:vAlign w:val="center"/>
          </w:tcPr>
          <w:p w14:paraId="0DCB760A" w14:textId="77777777" w:rsidR="003E78AB" w:rsidRDefault="00010BF9">
            <w:pPr>
              <w:pStyle w:val="aff6"/>
              <w:topLinePunct/>
            </w:pPr>
            <w:r>
              <w:t>0</w:t>
            </w:r>
          </w:p>
        </w:tc>
      </w:tr>
      <w:tr w:rsidR="003E78AB" w14:paraId="572E8764" w14:textId="77777777">
        <w:trPr>
          <w:trHeight w:val="288"/>
        </w:trPr>
        <w:tc>
          <w:tcPr>
            <w:tcW w:w="357" w:type="pct"/>
            <w:vAlign w:val="center"/>
          </w:tcPr>
          <w:p w14:paraId="1E6CFF12" w14:textId="77777777" w:rsidR="003E78AB" w:rsidRDefault="00010BF9">
            <w:pPr>
              <w:pStyle w:val="aff6"/>
              <w:topLinePunct/>
            </w:pPr>
            <w:r>
              <w:t>30</w:t>
            </w:r>
          </w:p>
        </w:tc>
        <w:tc>
          <w:tcPr>
            <w:tcW w:w="777" w:type="pct"/>
            <w:vAlign w:val="center"/>
          </w:tcPr>
          <w:p w14:paraId="568227E2" w14:textId="77777777" w:rsidR="003E78AB" w:rsidRDefault="00010BF9">
            <w:pPr>
              <w:pStyle w:val="aff6"/>
              <w:topLinePunct/>
            </w:pPr>
            <w:r>
              <w:t>0.001175|1</w:t>
            </w:r>
          </w:p>
        </w:tc>
        <w:tc>
          <w:tcPr>
            <w:tcW w:w="360" w:type="pct"/>
            <w:vAlign w:val="center"/>
          </w:tcPr>
          <w:p w14:paraId="5A40FAD7" w14:textId="77777777" w:rsidR="003E78AB" w:rsidRDefault="00010BF9">
            <w:pPr>
              <w:pStyle w:val="aff6"/>
              <w:topLinePunct/>
            </w:pPr>
            <w:r>
              <w:t>0.001175</w:t>
            </w:r>
          </w:p>
        </w:tc>
        <w:tc>
          <w:tcPr>
            <w:tcW w:w="360" w:type="pct"/>
            <w:vAlign w:val="center"/>
          </w:tcPr>
          <w:p w14:paraId="09E3FFF9" w14:textId="77777777" w:rsidR="003E78AB" w:rsidRDefault="00010BF9">
            <w:pPr>
              <w:pStyle w:val="aff6"/>
              <w:topLinePunct/>
            </w:pPr>
            <w:r>
              <w:t>0.001175</w:t>
            </w:r>
          </w:p>
        </w:tc>
        <w:tc>
          <w:tcPr>
            <w:tcW w:w="360" w:type="pct"/>
            <w:vAlign w:val="center"/>
          </w:tcPr>
          <w:p w14:paraId="0ADF9C39" w14:textId="77777777" w:rsidR="003E78AB" w:rsidRDefault="00010BF9">
            <w:pPr>
              <w:pStyle w:val="aff6"/>
              <w:topLinePunct/>
            </w:pPr>
            <w:r>
              <w:t>0.001175</w:t>
            </w:r>
          </w:p>
        </w:tc>
        <w:tc>
          <w:tcPr>
            <w:tcW w:w="360" w:type="pct"/>
            <w:vAlign w:val="center"/>
          </w:tcPr>
          <w:p w14:paraId="3F78E2FD" w14:textId="77777777" w:rsidR="003E78AB" w:rsidRDefault="00010BF9">
            <w:pPr>
              <w:pStyle w:val="aff6"/>
              <w:topLinePunct/>
            </w:pPr>
            <w:r>
              <w:t>0.001175</w:t>
            </w:r>
          </w:p>
        </w:tc>
        <w:tc>
          <w:tcPr>
            <w:tcW w:w="360" w:type="pct"/>
            <w:vAlign w:val="center"/>
          </w:tcPr>
          <w:p w14:paraId="1BA8EB2A" w14:textId="77777777" w:rsidR="003E78AB" w:rsidRDefault="00010BF9">
            <w:pPr>
              <w:pStyle w:val="aff6"/>
              <w:topLinePunct/>
            </w:pPr>
            <w:r>
              <w:t>0.001175</w:t>
            </w:r>
          </w:p>
        </w:tc>
        <w:tc>
          <w:tcPr>
            <w:tcW w:w="360" w:type="pct"/>
            <w:vAlign w:val="center"/>
          </w:tcPr>
          <w:p w14:paraId="3A526946" w14:textId="77777777" w:rsidR="003E78AB" w:rsidRDefault="00010BF9">
            <w:pPr>
              <w:pStyle w:val="aff6"/>
              <w:topLinePunct/>
            </w:pPr>
            <w:r>
              <w:t>0.001175</w:t>
            </w:r>
          </w:p>
        </w:tc>
        <w:tc>
          <w:tcPr>
            <w:tcW w:w="360" w:type="pct"/>
            <w:vAlign w:val="center"/>
          </w:tcPr>
          <w:p w14:paraId="069D730E" w14:textId="77777777" w:rsidR="003E78AB" w:rsidRDefault="00010BF9">
            <w:pPr>
              <w:pStyle w:val="aff6"/>
              <w:topLinePunct/>
            </w:pPr>
            <w:r>
              <w:t>0.001175</w:t>
            </w:r>
          </w:p>
        </w:tc>
        <w:tc>
          <w:tcPr>
            <w:tcW w:w="360" w:type="pct"/>
            <w:vAlign w:val="center"/>
          </w:tcPr>
          <w:p w14:paraId="6153A4A5" w14:textId="77777777" w:rsidR="003E78AB" w:rsidRDefault="00010BF9">
            <w:pPr>
              <w:pStyle w:val="aff6"/>
              <w:topLinePunct/>
            </w:pPr>
            <w:r>
              <w:t>0</w:t>
            </w:r>
          </w:p>
        </w:tc>
        <w:tc>
          <w:tcPr>
            <w:tcW w:w="360" w:type="pct"/>
            <w:vAlign w:val="center"/>
          </w:tcPr>
          <w:p w14:paraId="60E02F7F" w14:textId="77777777" w:rsidR="003E78AB" w:rsidRDefault="00010BF9">
            <w:pPr>
              <w:pStyle w:val="aff6"/>
              <w:topLinePunct/>
            </w:pPr>
            <w:r>
              <w:t>0</w:t>
            </w:r>
          </w:p>
        </w:tc>
        <w:tc>
          <w:tcPr>
            <w:tcW w:w="315" w:type="pct"/>
            <w:vAlign w:val="center"/>
          </w:tcPr>
          <w:p w14:paraId="138B0803" w14:textId="77777777" w:rsidR="003E78AB" w:rsidRDefault="00010BF9">
            <w:pPr>
              <w:pStyle w:val="aff6"/>
              <w:topLinePunct/>
            </w:pPr>
            <w:r>
              <w:t>0</w:t>
            </w:r>
          </w:p>
        </w:tc>
        <w:tc>
          <w:tcPr>
            <w:tcW w:w="302" w:type="pct"/>
            <w:vAlign w:val="center"/>
          </w:tcPr>
          <w:p w14:paraId="57BF0BA4" w14:textId="77777777" w:rsidR="003E78AB" w:rsidRDefault="00010BF9">
            <w:pPr>
              <w:pStyle w:val="aff6"/>
              <w:topLinePunct/>
            </w:pPr>
            <w:r>
              <w:t>0</w:t>
            </w:r>
          </w:p>
        </w:tc>
      </w:tr>
      <w:tr w:rsidR="003E78AB" w14:paraId="6D2F0F27" w14:textId="77777777">
        <w:trPr>
          <w:trHeight w:val="288"/>
        </w:trPr>
        <w:tc>
          <w:tcPr>
            <w:tcW w:w="357" w:type="pct"/>
            <w:vAlign w:val="center"/>
          </w:tcPr>
          <w:p w14:paraId="2F0CE7FD" w14:textId="77777777" w:rsidR="003E78AB" w:rsidRDefault="00010BF9">
            <w:pPr>
              <w:pStyle w:val="aff6"/>
              <w:topLinePunct/>
            </w:pPr>
            <w:r>
              <w:t>40</w:t>
            </w:r>
          </w:p>
        </w:tc>
        <w:tc>
          <w:tcPr>
            <w:tcW w:w="777" w:type="pct"/>
            <w:vAlign w:val="center"/>
          </w:tcPr>
          <w:p w14:paraId="1D2C9487" w14:textId="77777777" w:rsidR="003E78AB" w:rsidRDefault="00010BF9">
            <w:pPr>
              <w:pStyle w:val="aff6"/>
              <w:topLinePunct/>
            </w:pPr>
            <w:r>
              <w:t>0.001377|1</w:t>
            </w:r>
          </w:p>
        </w:tc>
        <w:tc>
          <w:tcPr>
            <w:tcW w:w="360" w:type="pct"/>
            <w:vAlign w:val="center"/>
          </w:tcPr>
          <w:p w14:paraId="524ABAAF" w14:textId="77777777" w:rsidR="003E78AB" w:rsidRDefault="00010BF9">
            <w:pPr>
              <w:pStyle w:val="aff6"/>
              <w:topLinePunct/>
            </w:pPr>
            <w:r>
              <w:t>0.001377</w:t>
            </w:r>
          </w:p>
        </w:tc>
        <w:tc>
          <w:tcPr>
            <w:tcW w:w="360" w:type="pct"/>
            <w:vAlign w:val="center"/>
          </w:tcPr>
          <w:p w14:paraId="17E8BBE5" w14:textId="77777777" w:rsidR="003E78AB" w:rsidRDefault="00010BF9">
            <w:pPr>
              <w:pStyle w:val="aff6"/>
              <w:topLinePunct/>
            </w:pPr>
            <w:r>
              <w:t>0.001377</w:t>
            </w:r>
          </w:p>
        </w:tc>
        <w:tc>
          <w:tcPr>
            <w:tcW w:w="360" w:type="pct"/>
            <w:vAlign w:val="center"/>
          </w:tcPr>
          <w:p w14:paraId="567CFE61" w14:textId="77777777" w:rsidR="003E78AB" w:rsidRDefault="00010BF9">
            <w:pPr>
              <w:pStyle w:val="aff6"/>
              <w:topLinePunct/>
            </w:pPr>
            <w:r>
              <w:t>0.001377</w:t>
            </w:r>
          </w:p>
        </w:tc>
        <w:tc>
          <w:tcPr>
            <w:tcW w:w="360" w:type="pct"/>
            <w:vAlign w:val="center"/>
          </w:tcPr>
          <w:p w14:paraId="1437C64D" w14:textId="77777777" w:rsidR="003E78AB" w:rsidRDefault="00010BF9">
            <w:pPr>
              <w:pStyle w:val="aff6"/>
              <w:topLinePunct/>
            </w:pPr>
            <w:r>
              <w:t>0.001377</w:t>
            </w:r>
          </w:p>
        </w:tc>
        <w:tc>
          <w:tcPr>
            <w:tcW w:w="360" w:type="pct"/>
            <w:vAlign w:val="center"/>
          </w:tcPr>
          <w:p w14:paraId="3ABF4380" w14:textId="77777777" w:rsidR="003E78AB" w:rsidRDefault="00010BF9">
            <w:pPr>
              <w:pStyle w:val="aff6"/>
              <w:topLinePunct/>
            </w:pPr>
            <w:r>
              <w:t>0.001377</w:t>
            </w:r>
          </w:p>
        </w:tc>
        <w:tc>
          <w:tcPr>
            <w:tcW w:w="360" w:type="pct"/>
            <w:vAlign w:val="center"/>
          </w:tcPr>
          <w:p w14:paraId="568D62EF" w14:textId="77777777" w:rsidR="003E78AB" w:rsidRDefault="00010BF9">
            <w:pPr>
              <w:pStyle w:val="aff6"/>
              <w:topLinePunct/>
            </w:pPr>
            <w:r>
              <w:t>0.001377</w:t>
            </w:r>
          </w:p>
        </w:tc>
        <w:tc>
          <w:tcPr>
            <w:tcW w:w="360" w:type="pct"/>
            <w:vAlign w:val="center"/>
          </w:tcPr>
          <w:p w14:paraId="09195813" w14:textId="77777777" w:rsidR="003E78AB" w:rsidRDefault="00010BF9">
            <w:pPr>
              <w:pStyle w:val="aff6"/>
              <w:topLinePunct/>
            </w:pPr>
            <w:r>
              <w:t>0.001377</w:t>
            </w:r>
          </w:p>
        </w:tc>
        <w:tc>
          <w:tcPr>
            <w:tcW w:w="360" w:type="pct"/>
            <w:vAlign w:val="center"/>
          </w:tcPr>
          <w:p w14:paraId="2C547DF0" w14:textId="77777777" w:rsidR="003E78AB" w:rsidRDefault="00010BF9">
            <w:pPr>
              <w:pStyle w:val="aff6"/>
              <w:topLinePunct/>
            </w:pPr>
            <w:r>
              <w:t>0</w:t>
            </w:r>
          </w:p>
        </w:tc>
        <w:tc>
          <w:tcPr>
            <w:tcW w:w="360" w:type="pct"/>
            <w:vAlign w:val="center"/>
          </w:tcPr>
          <w:p w14:paraId="40701A08" w14:textId="77777777" w:rsidR="003E78AB" w:rsidRDefault="00010BF9">
            <w:pPr>
              <w:pStyle w:val="aff6"/>
              <w:topLinePunct/>
            </w:pPr>
            <w:r>
              <w:t>0</w:t>
            </w:r>
          </w:p>
        </w:tc>
        <w:tc>
          <w:tcPr>
            <w:tcW w:w="315" w:type="pct"/>
            <w:vAlign w:val="center"/>
          </w:tcPr>
          <w:p w14:paraId="27A38770" w14:textId="77777777" w:rsidR="003E78AB" w:rsidRDefault="00010BF9">
            <w:pPr>
              <w:pStyle w:val="aff6"/>
              <w:topLinePunct/>
            </w:pPr>
            <w:r>
              <w:t>0</w:t>
            </w:r>
          </w:p>
        </w:tc>
        <w:tc>
          <w:tcPr>
            <w:tcW w:w="302" w:type="pct"/>
            <w:vAlign w:val="center"/>
          </w:tcPr>
          <w:p w14:paraId="478FA80E" w14:textId="77777777" w:rsidR="003E78AB" w:rsidRDefault="00010BF9">
            <w:pPr>
              <w:pStyle w:val="aff6"/>
              <w:topLinePunct/>
            </w:pPr>
            <w:r>
              <w:t>0</w:t>
            </w:r>
          </w:p>
        </w:tc>
      </w:tr>
      <w:tr w:rsidR="003E78AB" w14:paraId="7B20C6C4" w14:textId="77777777">
        <w:trPr>
          <w:trHeight w:val="290"/>
        </w:trPr>
        <w:tc>
          <w:tcPr>
            <w:tcW w:w="357" w:type="pct"/>
            <w:vAlign w:val="center"/>
          </w:tcPr>
          <w:p w14:paraId="416544DA" w14:textId="77777777" w:rsidR="003E78AB" w:rsidRDefault="00010BF9">
            <w:pPr>
              <w:pStyle w:val="aff6"/>
              <w:topLinePunct/>
            </w:pPr>
            <w:r>
              <w:t>50</w:t>
            </w:r>
          </w:p>
        </w:tc>
        <w:tc>
          <w:tcPr>
            <w:tcW w:w="777" w:type="pct"/>
            <w:vAlign w:val="center"/>
          </w:tcPr>
          <w:p w14:paraId="650F386F" w14:textId="77777777" w:rsidR="003E78AB" w:rsidRDefault="00010BF9">
            <w:pPr>
              <w:pStyle w:val="aff6"/>
              <w:topLinePunct/>
            </w:pPr>
            <w:r>
              <w:t>0.001324|1</w:t>
            </w:r>
          </w:p>
        </w:tc>
        <w:tc>
          <w:tcPr>
            <w:tcW w:w="360" w:type="pct"/>
            <w:vAlign w:val="center"/>
          </w:tcPr>
          <w:p w14:paraId="13F4E0FB" w14:textId="77777777" w:rsidR="003E78AB" w:rsidRDefault="00010BF9">
            <w:pPr>
              <w:pStyle w:val="aff6"/>
              <w:topLinePunct/>
            </w:pPr>
            <w:r>
              <w:t>0.001324</w:t>
            </w:r>
          </w:p>
        </w:tc>
        <w:tc>
          <w:tcPr>
            <w:tcW w:w="360" w:type="pct"/>
            <w:vAlign w:val="center"/>
          </w:tcPr>
          <w:p w14:paraId="3467AAD1" w14:textId="77777777" w:rsidR="003E78AB" w:rsidRDefault="00010BF9">
            <w:pPr>
              <w:pStyle w:val="aff6"/>
              <w:topLinePunct/>
            </w:pPr>
            <w:r>
              <w:t>0.001324</w:t>
            </w:r>
          </w:p>
        </w:tc>
        <w:tc>
          <w:tcPr>
            <w:tcW w:w="360" w:type="pct"/>
            <w:vAlign w:val="center"/>
          </w:tcPr>
          <w:p w14:paraId="0810DF28" w14:textId="77777777" w:rsidR="003E78AB" w:rsidRDefault="00010BF9">
            <w:pPr>
              <w:pStyle w:val="aff6"/>
              <w:topLinePunct/>
            </w:pPr>
            <w:r>
              <w:t>0.001324</w:t>
            </w:r>
          </w:p>
        </w:tc>
        <w:tc>
          <w:tcPr>
            <w:tcW w:w="360" w:type="pct"/>
            <w:vAlign w:val="center"/>
          </w:tcPr>
          <w:p w14:paraId="0A4DC319" w14:textId="77777777" w:rsidR="003E78AB" w:rsidRDefault="00010BF9">
            <w:pPr>
              <w:pStyle w:val="aff6"/>
              <w:topLinePunct/>
            </w:pPr>
            <w:r>
              <w:t>0.001324</w:t>
            </w:r>
          </w:p>
        </w:tc>
        <w:tc>
          <w:tcPr>
            <w:tcW w:w="360" w:type="pct"/>
            <w:vAlign w:val="center"/>
          </w:tcPr>
          <w:p w14:paraId="64424715" w14:textId="77777777" w:rsidR="003E78AB" w:rsidRDefault="00010BF9">
            <w:pPr>
              <w:pStyle w:val="aff6"/>
              <w:topLinePunct/>
            </w:pPr>
            <w:r>
              <w:t>0.001324</w:t>
            </w:r>
          </w:p>
        </w:tc>
        <w:tc>
          <w:tcPr>
            <w:tcW w:w="360" w:type="pct"/>
            <w:vAlign w:val="center"/>
          </w:tcPr>
          <w:p w14:paraId="5DADE8E3" w14:textId="77777777" w:rsidR="003E78AB" w:rsidRDefault="00010BF9">
            <w:pPr>
              <w:pStyle w:val="aff6"/>
              <w:topLinePunct/>
            </w:pPr>
            <w:r>
              <w:t>0.001324</w:t>
            </w:r>
          </w:p>
        </w:tc>
        <w:tc>
          <w:tcPr>
            <w:tcW w:w="360" w:type="pct"/>
            <w:vAlign w:val="center"/>
          </w:tcPr>
          <w:p w14:paraId="73CC3AC2" w14:textId="77777777" w:rsidR="003E78AB" w:rsidRDefault="00010BF9">
            <w:pPr>
              <w:pStyle w:val="aff6"/>
              <w:topLinePunct/>
            </w:pPr>
            <w:r>
              <w:t>0.001324</w:t>
            </w:r>
          </w:p>
        </w:tc>
        <w:tc>
          <w:tcPr>
            <w:tcW w:w="360" w:type="pct"/>
            <w:vAlign w:val="center"/>
          </w:tcPr>
          <w:p w14:paraId="7CF70CB3" w14:textId="77777777" w:rsidR="003E78AB" w:rsidRDefault="00010BF9">
            <w:pPr>
              <w:pStyle w:val="aff6"/>
              <w:topLinePunct/>
            </w:pPr>
            <w:r>
              <w:t>0</w:t>
            </w:r>
          </w:p>
        </w:tc>
        <w:tc>
          <w:tcPr>
            <w:tcW w:w="360" w:type="pct"/>
            <w:vAlign w:val="center"/>
          </w:tcPr>
          <w:p w14:paraId="2CAF2258" w14:textId="77777777" w:rsidR="003E78AB" w:rsidRDefault="00010BF9">
            <w:pPr>
              <w:pStyle w:val="aff6"/>
              <w:topLinePunct/>
            </w:pPr>
            <w:r>
              <w:t>0</w:t>
            </w:r>
          </w:p>
        </w:tc>
        <w:tc>
          <w:tcPr>
            <w:tcW w:w="315" w:type="pct"/>
            <w:vAlign w:val="center"/>
          </w:tcPr>
          <w:p w14:paraId="55C5526C" w14:textId="77777777" w:rsidR="003E78AB" w:rsidRDefault="00010BF9">
            <w:pPr>
              <w:pStyle w:val="aff6"/>
              <w:topLinePunct/>
            </w:pPr>
            <w:r>
              <w:t>0</w:t>
            </w:r>
          </w:p>
        </w:tc>
        <w:tc>
          <w:tcPr>
            <w:tcW w:w="302" w:type="pct"/>
            <w:vAlign w:val="center"/>
          </w:tcPr>
          <w:p w14:paraId="0DF7EBE1" w14:textId="77777777" w:rsidR="003E78AB" w:rsidRDefault="00010BF9">
            <w:pPr>
              <w:pStyle w:val="aff6"/>
              <w:topLinePunct/>
            </w:pPr>
            <w:r>
              <w:t>0</w:t>
            </w:r>
          </w:p>
        </w:tc>
      </w:tr>
      <w:tr w:rsidR="003E78AB" w14:paraId="00736A15" w14:textId="77777777">
        <w:trPr>
          <w:trHeight w:val="288"/>
        </w:trPr>
        <w:tc>
          <w:tcPr>
            <w:tcW w:w="357" w:type="pct"/>
            <w:vAlign w:val="center"/>
          </w:tcPr>
          <w:p w14:paraId="3376379A" w14:textId="77777777" w:rsidR="003E78AB" w:rsidRDefault="00010BF9">
            <w:pPr>
              <w:pStyle w:val="aff6"/>
              <w:topLinePunct/>
            </w:pPr>
            <w:r>
              <w:t>100</w:t>
            </w:r>
          </w:p>
        </w:tc>
        <w:tc>
          <w:tcPr>
            <w:tcW w:w="777" w:type="pct"/>
            <w:vAlign w:val="center"/>
          </w:tcPr>
          <w:p w14:paraId="593FE616" w14:textId="77777777" w:rsidR="003E78AB" w:rsidRDefault="00010BF9">
            <w:pPr>
              <w:pStyle w:val="aff6"/>
              <w:topLinePunct/>
            </w:pPr>
            <w:r>
              <w:t>0.000708|2</w:t>
            </w:r>
          </w:p>
        </w:tc>
        <w:tc>
          <w:tcPr>
            <w:tcW w:w="360" w:type="pct"/>
            <w:vAlign w:val="center"/>
          </w:tcPr>
          <w:p w14:paraId="036ABD5A" w14:textId="77777777" w:rsidR="003E78AB" w:rsidRDefault="00010BF9">
            <w:pPr>
              <w:pStyle w:val="aff6"/>
              <w:topLinePunct/>
            </w:pPr>
            <w:r>
              <w:t>0</w:t>
            </w:r>
          </w:p>
        </w:tc>
        <w:tc>
          <w:tcPr>
            <w:tcW w:w="360" w:type="pct"/>
            <w:vAlign w:val="center"/>
          </w:tcPr>
          <w:p w14:paraId="30EED3A1" w14:textId="77777777" w:rsidR="003E78AB" w:rsidRDefault="00010BF9">
            <w:pPr>
              <w:pStyle w:val="aff6"/>
              <w:topLinePunct/>
            </w:pPr>
            <w:r>
              <w:t>0.000708</w:t>
            </w:r>
          </w:p>
        </w:tc>
        <w:tc>
          <w:tcPr>
            <w:tcW w:w="360" w:type="pct"/>
            <w:vAlign w:val="center"/>
          </w:tcPr>
          <w:p w14:paraId="5539883A" w14:textId="77777777" w:rsidR="003E78AB" w:rsidRDefault="00010BF9">
            <w:pPr>
              <w:pStyle w:val="aff6"/>
              <w:topLinePunct/>
            </w:pPr>
            <w:r>
              <w:t>0.000708</w:t>
            </w:r>
          </w:p>
        </w:tc>
        <w:tc>
          <w:tcPr>
            <w:tcW w:w="360" w:type="pct"/>
            <w:vAlign w:val="center"/>
          </w:tcPr>
          <w:p w14:paraId="1B2BF084" w14:textId="77777777" w:rsidR="003E78AB" w:rsidRDefault="00010BF9">
            <w:pPr>
              <w:pStyle w:val="aff6"/>
              <w:topLinePunct/>
            </w:pPr>
            <w:r>
              <w:t>0.000708</w:t>
            </w:r>
          </w:p>
        </w:tc>
        <w:tc>
          <w:tcPr>
            <w:tcW w:w="360" w:type="pct"/>
            <w:vAlign w:val="center"/>
          </w:tcPr>
          <w:p w14:paraId="7FB6AA74" w14:textId="77777777" w:rsidR="003E78AB" w:rsidRDefault="00010BF9">
            <w:pPr>
              <w:pStyle w:val="aff6"/>
              <w:topLinePunct/>
            </w:pPr>
            <w:r>
              <w:t>0.000708</w:t>
            </w:r>
          </w:p>
        </w:tc>
        <w:tc>
          <w:tcPr>
            <w:tcW w:w="360" w:type="pct"/>
            <w:vAlign w:val="center"/>
          </w:tcPr>
          <w:p w14:paraId="1DB60E51" w14:textId="77777777" w:rsidR="003E78AB" w:rsidRDefault="00010BF9">
            <w:pPr>
              <w:pStyle w:val="aff6"/>
              <w:topLinePunct/>
            </w:pPr>
            <w:r>
              <w:t>0.000708</w:t>
            </w:r>
          </w:p>
        </w:tc>
        <w:tc>
          <w:tcPr>
            <w:tcW w:w="360" w:type="pct"/>
            <w:vAlign w:val="center"/>
          </w:tcPr>
          <w:p w14:paraId="6C4FFBBC" w14:textId="77777777" w:rsidR="003E78AB" w:rsidRDefault="00010BF9">
            <w:pPr>
              <w:pStyle w:val="aff6"/>
              <w:topLinePunct/>
            </w:pPr>
            <w:r>
              <w:t>0.000708</w:t>
            </w:r>
          </w:p>
        </w:tc>
        <w:tc>
          <w:tcPr>
            <w:tcW w:w="360" w:type="pct"/>
            <w:vAlign w:val="center"/>
          </w:tcPr>
          <w:p w14:paraId="537951FC" w14:textId="77777777" w:rsidR="003E78AB" w:rsidRDefault="00010BF9">
            <w:pPr>
              <w:pStyle w:val="aff6"/>
              <w:topLinePunct/>
            </w:pPr>
            <w:r>
              <w:t>0</w:t>
            </w:r>
          </w:p>
        </w:tc>
        <w:tc>
          <w:tcPr>
            <w:tcW w:w="360" w:type="pct"/>
            <w:vAlign w:val="center"/>
          </w:tcPr>
          <w:p w14:paraId="704AFF98" w14:textId="77777777" w:rsidR="003E78AB" w:rsidRDefault="00010BF9">
            <w:pPr>
              <w:pStyle w:val="aff6"/>
              <w:topLinePunct/>
            </w:pPr>
            <w:r>
              <w:t>0</w:t>
            </w:r>
          </w:p>
        </w:tc>
        <w:tc>
          <w:tcPr>
            <w:tcW w:w="315" w:type="pct"/>
            <w:vAlign w:val="center"/>
          </w:tcPr>
          <w:p w14:paraId="083C5C43" w14:textId="77777777" w:rsidR="003E78AB" w:rsidRDefault="00010BF9">
            <w:pPr>
              <w:pStyle w:val="aff6"/>
              <w:topLinePunct/>
            </w:pPr>
            <w:r>
              <w:t>0</w:t>
            </w:r>
          </w:p>
        </w:tc>
        <w:tc>
          <w:tcPr>
            <w:tcW w:w="302" w:type="pct"/>
            <w:vAlign w:val="center"/>
          </w:tcPr>
          <w:p w14:paraId="0EAC3B81" w14:textId="77777777" w:rsidR="003E78AB" w:rsidRDefault="00010BF9">
            <w:pPr>
              <w:pStyle w:val="aff6"/>
              <w:topLinePunct/>
            </w:pPr>
            <w:r>
              <w:t>0</w:t>
            </w:r>
          </w:p>
        </w:tc>
      </w:tr>
      <w:tr w:rsidR="003E78AB" w14:paraId="19558B5E" w14:textId="77777777">
        <w:trPr>
          <w:trHeight w:val="288"/>
        </w:trPr>
        <w:tc>
          <w:tcPr>
            <w:tcW w:w="357" w:type="pct"/>
            <w:vAlign w:val="center"/>
          </w:tcPr>
          <w:p w14:paraId="66B94D2A" w14:textId="77777777" w:rsidR="003E78AB" w:rsidRDefault="00010BF9">
            <w:pPr>
              <w:pStyle w:val="aff6"/>
              <w:topLinePunct/>
            </w:pPr>
            <w:r>
              <w:t>200</w:t>
            </w:r>
          </w:p>
        </w:tc>
        <w:tc>
          <w:tcPr>
            <w:tcW w:w="777" w:type="pct"/>
            <w:vAlign w:val="center"/>
          </w:tcPr>
          <w:p w14:paraId="6DD24489" w14:textId="77777777" w:rsidR="003E78AB" w:rsidRDefault="00010BF9">
            <w:pPr>
              <w:pStyle w:val="aff6"/>
              <w:topLinePunct/>
            </w:pPr>
            <w:r>
              <w:t>0.000266|3</w:t>
            </w:r>
          </w:p>
        </w:tc>
        <w:tc>
          <w:tcPr>
            <w:tcW w:w="360" w:type="pct"/>
            <w:vAlign w:val="center"/>
          </w:tcPr>
          <w:p w14:paraId="369C1FE0" w14:textId="77777777" w:rsidR="003E78AB" w:rsidRDefault="00010BF9">
            <w:pPr>
              <w:pStyle w:val="aff6"/>
              <w:topLinePunct/>
            </w:pPr>
            <w:r>
              <w:t>0</w:t>
            </w:r>
          </w:p>
        </w:tc>
        <w:tc>
          <w:tcPr>
            <w:tcW w:w="360" w:type="pct"/>
            <w:vAlign w:val="center"/>
          </w:tcPr>
          <w:p w14:paraId="1E7FA1A1" w14:textId="77777777" w:rsidR="003E78AB" w:rsidRDefault="00010BF9">
            <w:pPr>
              <w:pStyle w:val="aff6"/>
              <w:topLinePunct/>
            </w:pPr>
            <w:r>
              <w:t>0.000266</w:t>
            </w:r>
          </w:p>
        </w:tc>
        <w:tc>
          <w:tcPr>
            <w:tcW w:w="360" w:type="pct"/>
            <w:vAlign w:val="center"/>
          </w:tcPr>
          <w:p w14:paraId="21685B62" w14:textId="77777777" w:rsidR="003E78AB" w:rsidRDefault="00010BF9">
            <w:pPr>
              <w:pStyle w:val="aff6"/>
              <w:topLinePunct/>
            </w:pPr>
            <w:r>
              <w:t>0.000266</w:t>
            </w:r>
          </w:p>
        </w:tc>
        <w:tc>
          <w:tcPr>
            <w:tcW w:w="360" w:type="pct"/>
            <w:vAlign w:val="center"/>
          </w:tcPr>
          <w:p w14:paraId="3B86736D" w14:textId="77777777" w:rsidR="003E78AB" w:rsidRDefault="00010BF9">
            <w:pPr>
              <w:pStyle w:val="aff6"/>
              <w:topLinePunct/>
            </w:pPr>
            <w:r>
              <w:t>0.000266</w:t>
            </w:r>
          </w:p>
        </w:tc>
        <w:tc>
          <w:tcPr>
            <w:tcW w:w="360" w:type="pct"/>
            <w:vAlign w:val="center"/>
          </w:tcPr>
          <w:p w14:paraId="3006F89C" w14:textId="77777777" w:rsidR="003E78AB" w:rsidRDefault="00010BF9">
            <w:pPr>
              <w:pStyle w:val="aff6"/>
              <w:topLinePunct/>
            </w:pPr>
            <w:r>
              <w:t>0.000266</w:t>
            </w:r>
          </w:p>
        </w:tc>
        <w:tc>
          <w:tcPr>
            <w:tcW w:w="360" w:type="pct"/>
            <w:vAlign w:val="center"/>
          </w:tcPr>
          <w:p w14:paraId="167C549D" w14:textId="77777777" w:rsidR="003E78AB" w:rsidRDefault="00010BF9">
            <w:pPr>
              <w:pStyle w:val="aff6"/>
              <w:topLinePunct/>
            </w:pPr>
            <w:r>
              <w:t>0.000266</w:t>
            </w:r>
          </w:p>
        </w:tc>
        <w:tc>
          <w:tcPr>
            <w:tcW w:w="360" w:type="pct"/>
            <w:vAlign w:val="center"/>
          </w:tcPr>
          <w:p w14:paraId="3AC6B9A4" w14:textId="77777777" w:rsidR="003E78AB" w:rsidRDefault="00010BF9">
            <w:pPr>
              <w:pStyle w:val="aff6"/>
              <w:topLinePunct/>
            </w:pPr>
            <w:r>
              <w:t>0.000266</w:t>
            </w:r>
          </w:p>
        </w:tc>
        <w:tc>
          <w:tcPr>
            <w:tcW w:w="360" w:type="pct"/>
            <w:vAlign w:val="center"/>
          </w:tcPr>
          <w:p w14:paraId="74CCA1AA" w14:textId="77777777" w:rsidR="003E78AB" w:rsidRDefault="00010BF9">
            <w:pPr>
              <w:pStyle w:val="aff6"/>
              <w:topLinePunct/>
            </w:pPr>
            <w:r>
              <w:t>0</w:t>
            </w:r>
          </w:p>
        </w:tc>
        <w:tc>
          <w:tcPr>
            <w:tcW w:w="360" w:type="pct"/>
            <w:vAlign w:val="center"/>
          </w:tcPr>
          <w:p w14:paraId="6962F5D6" w14:textId="77777777" w:rsidR="003E78AB" w:rsidRDefault="00010BF9">
            <w:pPr>
              <w:pStyle w:val="aff6"/>
              <w:topLinePunct/>
            </w:pPr>
            <w:r>
              <w:t>0</w:t>
            </w:r>
          </w:p>
        </w:tc>
        <w:tc>
          <w:tcPr>
            <w:tcW w:w="315" w:type="pct"/>
            <w:vAlign w:val="center"/>
          </w:tcPr>
          <w:p w14:paraId="147DEEFB" w14:textId="77777777" w:rsidR="003E78AB" w:rsidRDefault="00010BF9">
            <w:pPr>
              <w:pStyle w:val="aff6"/>
              <w:topLinePunct/>
            </w:pPr>
            <w:r>
              <w:t>0</w:t>
            </w:r>
          </w:p>
        </w:tc>
        <w:tc>
          <w:tcPr>
            <w:tcW w:w="302" w:type="pct"/>
            <w:vAlign w:val="center"/>
          </w:tcPr>
          <w:p w14:paraId="3E45DDAA" w14:textId="77777777" w:rsidR="003E78AB" w:rsidRDefault="00010BF9">
            <w:pPr>
              <w:pStyle w:val="aff6"/>
              <w:topLinePunct/>
            </w:pPr>
            <w:r>
              <w:t>0</w:t>
            </w:r>
          </w:p>
        </w:tc>
      </w:tr>
      <w:tr w:rsidR="003E78AB" w14:paraId="5D0ECB38" w14:textId="77777777">
        <w:trPr>
          <w:trHeight w:val="244"/>
        </w:trPr>
        <w:tc>
          <w:tcPr>
            <w:tcW w:w="357" w:type="pct"/>
            <w:vAlign w:val="center"/>
          </w:tcPr>
          <w:p w14:paraId="01D04901" w14:textId="77777777" w:rsidR="003E78AB" w:rsidRDefault="00010BF9">
            <w:pPr>
              <w:pStyle w:val="aff6"/>
              <w:topLinePunct/>
            </w:pPr>
            <w:r>
              <w:t>300</w:t>
            </w:r>
          </w:p>
        </w:tc>
        <w:tc>
          <w:tcPr>
            <w:tcW w:w="777" w:type="pct"/>
            <w:vAlign w:val="center"/>
          </w:tcPr>
          <w:p w14:paraId="2E8D5327" w14:textId="77777777" w:rsidR="003E78AB" w:rsidRDefault="00010BF9">
            <w:pPr>
              <w:pStyle w:val="aff6"/>
              <w:topLinePunct/>
            </w:pPr>
            <w:r>
              <w:t>0.000141|4</w:t>
            </w:r>
          </w:p>
        </w:tc>
        <w:tc>
          <w:tcPr>
            <w:tcW w:w="360" w:type="pct"/>
            <w:vAlign w:val="center"/>
          </w:tcPr>
          <w:p w14:paraId="7EBBC3F3" w14:textId="77777777" w:rsidR="003E78AB" w:rsidRDefault="00010BF9">
            <w:pPr>
              <w:pStyle w:val="aff6"/>
              <w:topLinePunct/>
            </w:pPr>
            <w:r>
              <w:t>0</w:t>
            </w:r>
          </w:p>
        </w:tc>
        <w:tc>
          <w:tcPr>
            <w:tcW w:w="360" w:type="pct"/>
            <w:vAlign w:val="center"/>
          </w:tcPr>
          <w:p w14:paraId="04594EBF" w14:textId="77777777" w:rsidR="003E78AB" w:rsidRDefault="00010BF9">
            <w:pPr>
              <w:pStyle w:val="aff6"/>
              <w:topLinePunct/>
            </w:pPr>
            <w:r>
              <w:t>0.000141</w:t>
            </w:r>
          </w:p>
        </w:tc>
        <w:tc>
          <w:tcPr>
            <w:tcW w:w="360" w:type="pct"/>
            <w:vAlign w:val="center"/>
          </w:tcPr>
          <w:p w14:paraId="712EA676" w14:textId="77777777" w:rsidR="003E78AB" w:rsidRDefault="00010BF9">
            <w:pPr>
              <w:pStyle w:val="aff6"/>
              <w:topLinePunct/>
            </w:pPr>
            <w:r>
              <w:t>0.000141</w:t>
            </w:r>
          </w:p>
        </w:tc>
        <w:tc>
          <w:tcPr>
            <w:tcW w:w="360" w:type="pct"/>
            <w:vAlign w:val="center"/>
          </w:tcPr>
          <w:p w14:paraId="25B4FC19" w14:textId="77777777" w:rsidR="003E78AB" w:rsidRDefault="00010BF9">
            <w:pPr>
              <w:pStyle w:val="aff6"/>
              <w:topLinePunct/>
            </w:pPr>
            <w:r>
              <w:t>0.000141</w:t>
            </w:r>
          </w:p>
        </w:tc>
        <w:tc>
          <w:tcPr>
            <w:tcW w:w="360" w:type="pct"/>
            <w:vAlign w:val="center"/>
          </w:tcPr>
          <w:p w14:paraId="2B380F0B" w14:textId="77777777" w:rsidR="003E78AB" w:rsidRDefault="00010BF9">
            <w:pPr>
              <w:pStyle w:val="aff6"/>
              <w:topLinePunct/>
            </w:pPr>
            <w:r>
              <w:t>0.000141</w:t>
            </w:r>
          </w:p>
        </w:tc>
        <w:tc>
          <w:tcPr>
            <w:tcW w:w="360" w:type="pct"/>
            <w:vAlign w:val="center"/>
          </w:tcPr>
          <w:p w14:paraId="20A5E92C" w14:textId="77777777" w:rsidR="003E78AB" w:rsidRDefault="00010BF9">
            <w:pPr>
              <w:pStyle w:val="aff6"/>
              <w:topLinePunct/>
            </w:pPr>
            <w:r>
              <w:t>0.000141</w:t>
            </w:r>
          </w:p>
        </w:tc>
        <w:tc>
          <w:tcPr>
            <w:tcW w:w="360" w:type="pct"/>
            <w:vAlign w:val="center"/>
          </w:tcPr>
          <w:p w14:paraId="17EEFE1A" w14:textId="77777777" w:rsidR="003E78AB" w:rsidRDefault="00010BF9">
            <w:pPr>
              <w:pStyle w:val="aff6"/>
              <w:topLinePunct/>
            </w:pPr>
            <w:r>
              <w:t>0.000141</w:t>
            </w:r>
          </w:p>
        </w:tc>
        <w:tc>
          <w:tcPr>
            <w:tcW w:w="360" w:type="pct"/>
            <w:vAlign w:val="center"/>
          </w:tcPr>
          <w:p w14:paraId="4696D900" w14:textId="77777777" w:rsidR="003E78AB" w:rsidRDefault="00010BF9">
            <w:pPr>
              <w:pStyle w:val="aff6"/>
              <w:topLinePunct/>
            </w:pPr>
            <w:r>
              <w:t>0</w:t>
            </w:r>
          </w:p>
        </w:tc>
        <w:tc>
          <w:tcPr>
            <w:tcW w:w="360" w:type="pct"/>
            <w:vAlign w:val="center"/>
          </w:tcPr>
          <w:p w14:paraId="240FBFA0" w14:textId="77777777" w:rsidR="003E78AB" w:rsidRDefault="00010BF9">
            <w:pPr>
              <w:pStyle w:val="aff6"/>
              <w:topLinePunct/>
            </w:pPr>
            <w:r>
              <w:t>0</w:t>
            </w:r>
          </w:p>
        </w:tc>
        <w:tc>
          <w:tcPr>
            <w:tcW w:w="315" w:type="pct"/>
            <w:vAlign w:val="center"/>
          </w:tcPr>
          <w:p w14:paraId="0B3722D0" w14:textId="77777777" w:rsidR="003E78AB" w:rsidRDefault="00010BF9">
            <w:pPr>
              <w:pStyle w:val="aff6"/>
              <w:topLinePunct/>
            </w:pPr>
            <w:r>
              <w:t>0</w:t>
            </w:r>
          </w:p>
        </w:tc>
        <w:tc>
          <w:tcPr>
            <w:tcW w:w="302" w:type="pct"/>
            <w:vAlign w:val="center"/>
          </w:tcPr>
          <w:p w14:paraId="5D3F3631" w14:textId="77777777" w:rsidR="003E78AB" w:rsidRDefault="00010BF9">
            <w:pPr>
              <w:pStyle w:val="aff6"/>
              <w:topLinePunct/>
            </w:pPr>
            <w:r>
              <w:t>0</w:t>
            </w:r>
          </w:p>
        </w:tc>
      </w:tr>
      <w:tr w:rsidR="003E78AB" w14:paraId="4ECD74C0" w14:textId="77777777">
        <w:trPr>
          <w:trHeight w:val="290"/>
        </w:trPr>
        <w:tc>
          <w:tcPr>
            <w:tcW w:w="357" w:type="pct"/>
            <w:vAlign w:val="center"/>
          </w:tcPr>
          <w:p w14:paraId="1B96FFE2" w14:textId="77777777" w:rsidR="003E78AB" w:rsidRDefault="00010BF9">
            <w:pPr>
              <w:pStyle w:val="aff6"/>
              <w:topLinePunct/>
            </w:pPr>
            <w:r>
              <w:t>400</w:t>
            </w:r>
          </w:p>
        </w:tc>
        <w:tc>
          <w:tcPr>
            <w:tcW w:w="777" w:type="pct"/>
            <w:vAlign w:val="center"/>
          </w:tcPr>
          <w:p w14:paraId="0AE34118" w14:textId="77777777" w:rsidR="003E78AB" w:rsidRDefault="00010BF9">
            <w:pPr>
              <w:pStyle w:val="aff6"/>
              <w:topLinePunct/>
            </w:pPr>
            <w:r>
              <w:t>0.000089|5</w:t>
            </w:r>
          </w:p>
        </w:tc>
        <w:tc>
          <w:tcPr>
            <w:tcW w:w="360" w:type="pct"/>
            <w:vAlign w:val="center"/>
          </w:tcPr>
          <w:p w14:paraId="4B44EDD7" w14:textId="77777777" w:rsidR="003E78AB" w:rsidRDefault="00010BF9">
            <w:pPr>
              <w:pStyle w:val="aff6"/>
              <w:topLinePunct/>
            </w:pPr>
            <w:r>
              <w:t>0</w:t>
            </w:r>
          </w:p>
        </w:tc>
        <w:tc>
          <w:tcPr>
            <w:tcW w:w="360" w:type="pct"/>
            <w:vAlign w:val="center"/>
          </w:tcPr>
          <w:p w14:paraId="2E652CD2" w14:textId="77777777" w:rsidR="003E78AB" w:rsidRDefault="00010BF9">
            <w:pPr>
              <w:pStyle w:val="aff6"/>
              <w:topLinePunct/>
            </w:pPr>
            <w:r>
              <w:t>0.000089</w:t>
            </w:r>
          </w:p>
        </w:tc>
        <w:tc>
          <w:tcPr>
            <w:tcW w:w="360" w:type="pct"/>
            <w:vAlign w:val="center"/>
          </w:tcPr>
          <w:p w14:paraId="7A753459" w14:textId="77777777" w:rsidR="003E78AB" w:rsidRDefault="00010BF9">
            <w:pPr>
              <w:pStyle w:val="aff6"/>
              <w:topLinePunct/>
            </w:pPr>
            <w:r>
              <w:t>0.000089</w:t>
            </w:r>
          </w:p>
        </w:tc>
        <w:tc>
          <w:tcPr>
            <w:tcW w:w="360" w:type="pct"/>
            <w:vAlign w:val="center"/>
          </w:tcPr>
          <w:p w14:paraId="7D664625" w14:textId="77777777" w:rsidR="003E78AB" w:rsidRDefault="00010BF9">
            <w:pPr>
              <w:pStyle w:val="aff6"/>
              <w:topLinePunct/>
            </w:pPr>
            <w:r>
              <w:t>0.000089</w:t>
            </w:r>
          </w:p>
        </w:tc>
        <w:tc>
          <w:tcPr>
            <w:tcW w:w="360" w:type="pct"/>
            <w:vAlign w:val="center"/>
          </w:tcPr>
          <w:p w14:paraId="579DF78B" w14:textId="77777777" w:rsidR="003E78AB" w:rsidRDefault="00010BF9">
            <w:pPr>
              <w:pStyle w:val="aff6"/>
              <w:topLinePunct/>
            </w:pPr>
            <w:r>
              <w:t>0.000089</w:t>
            </w:r>
          </w:p>
        </w:tc>
        <w:tc>
          <w:tcPr>
            <w:tcW w:w="360" w:type="pct"/>
            <w:vAlign w:val="center"/>
          </w:tcPr>
          <w:p w14:paraId="622E844F" w14:textId="77777777" w:rsidR="003E78AB" w:rsidRDefault="00010BF9">
            <w:pPr>
              <w:pStyle w:val="aff6"/>
              <w:topLinePunct/>
            </w:pPr>
            <w:r>
              <w:t>0.000089</w:t>
            </w:r>
          </w:p>
        </w:tc>
        <w:tc>
          <w:tcPr>
            <w:tcW w:w="360" w:type="pct"/>
            <w:vAlign w:val="center"/>
          </w:tcPr>
          <w:p w14:paraId="2D96AB5C" w14:textId="77777777" w:rsidR="003E78AB" w:rsidRDefault="00010BF9">
            <w:pPr>
              <w:pStyle w:val="aff6"/>
              <w:topLinePunct/>
            </w:pPr>
            <w:r>
              <w:t>0.000089</w:t>
            </w:r>
          </w:p>
        </w:tc>
        <w:tc>
          <w:tcPr>
            <w:tcW w:w="360" w:type="pct"/>
            <w:vAlign w:val="center"/>
          </w:tcPr>
          <w:p w14:paraId="0838A80A" w14:textId="77777777" w:rsidR="003E78AB" w:rsidRDefault="00010BF9">
            <w:pPr>
              <w:pStyle w:val="aff6"/>
              <w:topLinePunct/>
            </w:pPr>
            <w:r>
              <w:t>0</w:t>
            </w:r>
          </w:p>
        </w:tc>
        <w:tc>
          <w:tcPr>
            <w:tcW w:w="360" w:type="pct"/>
            <w:vAlign w:val="center"/>
          </w:tcPr>
          <w:p w14:paraId="00934348" w14:textId="77777777" w:rsidR="003E78AB" w:rsidRDefault="00010BF9">
            <w:pPr>
              <w:pStyle w:val="aff6"/>
              <w:topLinePunct/>
            </w:pPr>
            <w:r>
              <w:t>0</w:t>
            </w:r>
          </w:p>
        </w:tc>
        <w:tc>
          <w:tcPr>
            <w:tcW w:w="315" w:type="pct"/>
            <w:vAlign w:val="center"/>
          </w:tcPr>
          <w:p w14:paraId="2C88C4C0" w14:textId="77777777" w:rsidR="003E78AB" w:rsidRDefault="00010BF9">
            <w:pPr>
              <w:pStyle w:val="aff6"/>
              <w:topLinePunct/>
            </w:pPr>
            <w:r>
              <w:t>0</w:t>
            </w:r>
          </w:p>
        </w:tc>
        <w:tc>
          <w:tcPr>
            <w:tcW w:w="302" w:type="pct"/>
            <w:vAlign w:val="center"/>
          </w:tcPr>
          <w:p w14:paraId="15F0B7F2" w14:textId="77777777" w:rsidR="003E78AB" w:rsidRDefault="00010BF9">
            <w:pPr>
              <w:pStyle w:val="aff6"/>
              <w:topLinePunct/>
            </w:pPr>
            <w:r>
              <w:t>0</w:t>
            </w:r>
          </w:p>
        </w:tc>
      </w:tr>
      <w:tr w:rsidR="003E78AB" w14:paraId="40CE5B06" w14:textId="77777777">
        <w:trPr>
          <w:trHeight w:val="288"/>
        </w:trPr>
        <w:tc>
          <w:tcPr>
            <w:tcW w:w="357" w:type="pct"/>
            <w:vAlign w:val="center"/>
          </w:tcPr>
          <w:p w14:paraId="3B04C3ED" w14:textId="77777777" w:rsidR="003E78AB" w:rsidRDefault="00010BF9">
            <w:pPr>
              <w:pStyle w:val="aff6"/>
              <w:topLinePunct/>
            </w:pPr>
            <w:r>
              <w:t>500</w:t>
            </w:r>
          </w:p>
        </w:tc>
        <w:tc>
          <w:tcPr>
            <w:tcW w:w="777" w:type="pct"/>
            <w:vAlign w:val="center"/>
          </w:tcPr>
          <w:p w14:paraId="40DD38E8" w14:textId="77777777" w:rsidR="003E78AB" w:rsidRDefault="00010BF9">
            <w:pPr>
              <w:pStyle w:val="aff6"/>
              <w:topLinePunct/>
            </w:pPr>
            <w:r>
              <w:t>0.000062|6</w:t>
            </w:r>
          </w:p>
        </w:tc>
        <w:tc>
          <w:tcPr>
            <w:tcW w:w="360" w:type="pct"/>
            <w:vAlign w:val="center"/>
          </w:tcPr>
          <w:p w14:paraId="01DD0602" w14:textId="77777777" w:rsidR="003E78AB" w:rsidRDefault="00010BF9">
            <w:pPr>
              <w:pStyle w:val="aff6"/>
              <w:topLinePunct/>
            </w:pPr>
            <w:r>
              <w:t>0</w:t>
            </w:r>
          </w:p>
        </w:tc>
        <w:tc>
          <w:tcPr>
            <w:tcW w:w="360" w:type="pct"/>
            <w:vAlign w:val="center"/>
          </w:tcPr>
          <w:p w14:paraId="173C3985" w14:textId="77777777" w:rsidR="003E78AB" w:rsidRDefault="00010BF9">
            <w:pPr>
              <w:pStyle w:val="aff6"/>
              <w:topLinePunct/>
            </w:pPr>
            <w:r>
              <w:t>0</w:t>
            </w:r>
          </w:p>
        </w:tc>
        <w:tc>
          <w:tcPr>
            <w:tcW w:w="360" w:type="pct"/>
            <w:vAlign w:val="center"/>
          </w:tcPr>
          <w:p w14:paraId="7C775F09" w14:textId="77777777" w:rsidR="003E78AB" w:rsidRDefault="00010BF9">
            <w:pPr>
              <w:pStyle w:val="aff6"/>
              <w:topLinePunct/>
            </w:pPr>
            <w:r>
              <w:t>0.000062</w:t>
            </w:r>
          </w:p>
        </w:tc>
        <w:tc>
          <w:tcPr>
            <w:tcW w:w="360" w:type="pct"/>
            <w:vAlign w:val="center"/>
          </w:tcPr>
          <w:p w14:paraId="0A85C433" w14:textId="77777777" w:rsidR="003E78AB" w:rsidRDefault="00010BF9">
            <w:pPr>
              <w:pStyle w:val="aff6"/>
              <w:topLinePunct/>
            </w:pPr>
            <w:r>
              <w:t>0.000062</w:t>
            </w:r>
          </w:p>
        </w:tc>
        <w:tc>
          <w:tcPr>
            <w:tcW w:w="360" w:type="pct"/>
            <w:vAlign w:val="center"/>
          </w:tcPr>
          <w:p w14:paraId="48C4899B" w14:textId="77777777" w:rsidR="003E78AB" w:rsidRDefault="00010BF9">
            <w:pPr>
              <w:pStyle w:val="aff6"/>
              <w:topLinePunct/>
            </w:pPr>
            <w:r>
              <w:t>0.000062</w:t>
            </w:r>
          </w:p>
        </w:tc>
        <w:tc>
          <w:tcPr>
            <w:tcW w:w="360" w:type="pct"/>
            <w:vAlign w:val="center"/>
          </w:tcPr>
          <w:p w14:paraId="36DFD82D" w14:textId="77777777" w:rsidR="003E78AB" w:rsidRDefault="00010BF9">
            <w:pPr>
              <w:pStyle w:val="aff6"/>
              <w:topLinePunct/>
            </w:pPr>
            <w:r>
              <w:t>0.000062</w:t>
            </w:r>
          </w:p>
        </w:tc>
        <w:tc>
          <w:tcPr>
            <w:tcW w:w="360" w:type="pct"/>
            <w:vAlign w:val="center"/>
          </w:tcPr>
          <w:p w14:paraId="4474FA28" w14:textId="77777777" w:rsidR="003E78AB" w:rsidRDefault="00010BF9">
            <w:pPr>
              <w:pStyle w:val="aff6"/>
              <w:topLinePunct/>
            </w:pPr>
            <w:r>
              <w:t>0.000062</w:t>
            </w:r>
          </w:p>
        </w:tc>
        <w:tc>
          <w:tcPr>
            <w:tcW w:w="360" w:type="pct"/>
            <w:vAlign w:val="center"/>
          </w:tcPr>
          <w:p w14:paraId="56ADB921" w14:textId="77777777" w:rsidR="003E78AB" w:rsidRDefault="00010BF9">
            <w:pPr>
              <w:pStyle w:val="aff6"/>
              <w:topLinePunct/>
            </w:pPr>
            <w:r>
              <w:t>0</w:t>
            </w:r>
          </w:p>
        </w:tc>
        <w:tc>
          <w:tcPr>
            <w:tcW w:w="360" w:type="pct"/>
            <w:vAlign w:val="center"/>
          </w:tcPr>
          <w:p w14:paraId="61A416B4" w14:textId="77777777" w:rsidR="003E78AB" w:rsidRDefault="00010BF9">
            <w:pPr>
              <w:pStyle w:val="aff6"/>
              <w:topLinePunct/>
            </w:pPr>
            <w:r>
              <w:t>0</w:t>
            </w:r>
          </w:p>
        </w:tc>
        <w:tc>
          <w:tcPr>
            <w:tcW w:w="315" w:type="pct"/>
            <w:vAlign w:val="center"/>
          </w:tcPr>
          <w:p w14:paraId="6F07F0EC" w14:textId="77777777" w:rsidR="003E78AB" w:rsidRDefault="00010BF9">
            <w:pPr>
              <w:pStyle w:val="aff6"/>
              <w:topLinePunct/>
            </w:pPr>
            <w:r>
              <w:t>0</w:t>
            </w:r>
          </w:p>
        </w:tc>
        <w:tc>
          <w:tcPr>
            <w:tcW w:w="302" w:type="pct"/>
            <w:vAlign w:val="center"/>
          </w:tcPr>
          <w:p w14:paraId="1EB27F67" w14:textId="77777777" w:rsidR="003E78AB" w:rsidRDefault="00010BF9">
            <w:pPr>
              <w:pStyle w:val="aff6"/>
              <w:topLinePunct/>
            </w:pPr>
            <w:r>
              <w:t>0</w:t>
            </w:r>
          </w:p>
        </w:tc>
      </w:tr>
      <w:tr w:rsidR="003E78AB" w14:paraId="3B2734CC" w14:textId="77777777">
        <w:trPr>
          <w:trHeight w:val="287"/>
        </w:trPr>
        <w:tc>
          <w:tcPr>
            <w:tcW w:w="357" w:type="pct"/>
            <w:vAlign w:val="center"/>
          </w:tcPr>
          <w:p w14:paraId="4786CF65" w14:textId="77777777" w:rsidR="003E78AB" w:rsidRDefault="00010BF9">
            <w:pPr>
              <w:pStyle w:val="aff6"/>
              <w:topLinePunct/>
            </w:pPr>
            <w:r>
              <w:t>600</w:t>
            </w:r>
          </w:p>
        </w:tc>
        <w:tc>
          <w:tcPr>
            <w:tcW w:w="777" w:type="pct"/>
            <w:vAlign w:val="center"/>
          </w:tcPr>
          <w:p w14:paraId="19CF23D8" w14:textId="77777777" w:rsidR="003E78AB" w:rsidRDefault="00010BF9">
            <w:pPr>
              <w:pStyle w:val="aff6"/>
              <w:topLinePunct/>
            </w:pPr>
            <w:r>
              <w:t>0.000046|7</w:t>
            </w:r>
          </w:p>
        </w:tc>
        <w:tc>
          <w:tcPr>
            <w:tcW w:w="360" w:type="pct"/>
            <w:vAlign w:val="center"/>
          </w:tcPr>
          <w:p w14:paraId="3A9EDA41" w14:textId="77777777" w:rsidR="003E78AB" w:rsidRDefault="00010BF9">
            <w:pPr>
              <w:pStyle w:val="aff6"/>
              <w:topLinePunct/>
            </w:pPr>
            <w:r>
              <w:t>0</w:t>
            </w:r>
          </w:p>
        </w:tc>
        <w:tc>
          <w:tcPr>
            <w:tcW w:w="360" w:type="pct"/>
            <w:vAlign w:val="center"/>
          </w:tcPr>
          <w:p w14:paraId="7B27BFB5" w14:textId="77777777" w:rsidR="003E78AB" w:rsidRDefault="00010BF9">
            <w:pPr>
              <w:pStyle w:val="aff6"/>
              <w:topLinePunct/>
            </w:pPr>
            <w:r>
              <w:t>0</w:t>
            </w:r>
          </w:p>
        </w:tc>
        <w:tc>
          <w:tcPr>
            <w:tcW w:w="360" w:type="pct"/>
            <w:vAlign w:val="center"/>
          </w:tcPr>
          <w:p w14:paraId="3EF289A0" w14:textId="77777777" w:rsidR="003E78AB" w:rsidRDefault="00010BF9">
            <w:pPr>
              <w:pStyle w:val="aff6"/>
              <w:topLinePunct/>
            </w:pPr>
            <w:r>
              <w:t>0.000046</w:t>
            </w:r>
          </w:p>
        </w:tc>
        <w:tc>
          <w:tcPr>
            <w:tcW w:w="360" w:type="pct"/>
            <w:vAlign w:val="center"/>
          </w:tcPr>
          <w:p w14:paraId="7996972A" w14:textId="77777777" w:rsidR="003E78AB" w:rsidRDefault="00010BF9">
            <w:pPr>
              <w:pStyle w:val="aff6"/>
              <w:topLinePunct/>
            </w:pPr>
            <w:r>
              <w:t>0.000046</w:t>
            </w:r>
          </w:p>
        </w:tc>
        <w:tc>
          <w:tcPr>
            <w:tcW w:w="360" w:type="pct"/>
            <w:vAlign w:val="center"/>
          </w:tcPr>
          <w:p w14:paraId="21321082" w14:textId="77777777" w:rsidR="003E78AB" w:rsidRDefault="00010BF9">
            <w:pPr>
              <w:pStyle w:val="aff6"/>
              <w:topLinePunct/>
            </w:pPr>
            <w:r>
              <w:t>0.000046</w:t>
            </w:r>
          </w:p>
        </w:tc>
        <w:tc>
          <w:tcPr>
            <w:tcW w:w="360" w:type="pct"/>
            <w:vAlign w:val="center"/>
          </w:tcPr>
          <w:p w14:paraId="18B01496" w14:textId="77777777" w:rsidR="003E78AB" w:rsidRDefault="00010BF9">
            <w:pPr>
              <w:pStyle w:val="aff6"/>
              <w:topLinePunct/>
            </w:pPr>
            <w:r>
              <w:t>0.000046</w:t>
            </w:r>
          </w:p>
        </w:tc>
        <w:tc>
          <w:tcPr>
            <w:tcW w:w="360" w:type="pct"/>
            <w:vAlign w:val="center"/>
          </w:tcPr>
          <w:p w14:paraId="36126B4D" w14:textId="77777777" w:rsidR="003E78AB" w:rsidRDefault="00010BF9">
            <w:pPr>
              <w:pStyle w:val="aff6"/>
              <w:topLinePunct/>
            </w:pPr>
            <w:r>
              <w:t>0.000046</w:t>
            </w:r>
          </w:p>
        </w:tc>
        <w:tc>
          <w:tcPr>
            <w:tcW w:w="360" w:type="pct"/>
            <w:vAlign w:val="center"/>
          </w:tcPr>
          <w:p w14:paraId="7BAB3446" w14:textId="77777777" w:rsidR="003E78AB" w:rsidRDefault="00010BF9">
            <w:pPr>
              <w:pStyle w:val="aff6"/>
              <w:topLinePunct/>
            </w:pPr>
            <w:r>
              <w:t>0</w:t>
            </w:r>
          </w:p>
        </w:tc>
        <w:tc>
          <w:tcPr>
            <w:tcW w:w="360" w:type="pct"/>
            <w:vAlign w:val="center"/>
          </w:tcPr>
          <w:p w14:paraId="72015052" w14:textId="77777777" w:rsidR="003E78AB" w:rsidRDefault="00010BF9">
            <w:pPr>
              <w:pStyle w:val="aff6"/>
              <w:topLinePunct/>
            </w:pPr>
            <w:r>
              <w:t>0</w:t>
            </w:r>
          </w:p>
        </w:tc>
        <w:tc>
          <w:tcPr>
            <w:tcW w:w="315" w:type="pct"/>
            <w:vAlign w:val="center"/>
          </w:tcPr>
          <w:p w14:paraId="37735366" w14:textId="77777777" w:rsidR="003E78AB" w:rsidRDefault="00010BF9">
            <w:pPr>
              <w:pStyle w:val="aff6"/>
              <w:topLinePunct/>
            </w:pPr>
            <w:r>
              <w:t>0</w:t>
            </w:r>
          </w:p>
        </w:tc>
        <w:tc>
          <w:tcPr>
            <w:tcW w:w="302" w:type="pct"/>
            <w:vAlign w:val="center"/>
          </w:tcPr>
          <w:p w14:paraId="5E534266" w14:textId="77777777" w:rsidR="003E78AB" w:rsidRDefault="00010BF9">
            <w:pPr>
              <w:pStyle w:val="aff6"/>
              <w:topLinePunct/>
            </w:pPr>
            <w:r>
              <w:t>0</w:t>
            </w:r>
          </w:p>
        </w:tc>
      </w:tr>
      <w:tr w:rsidR="003E78AB" w14:paraId="22829A9C" w14:textId="77777777">
        <w:trPr>
          <w:trHeight w:val="288"/>
        </w:trPr>
        <w:tc>
          <w:tcPr>
            <w:tcW w:w="357" w:type="pct"/>
            <w:vAlign w:val="center"/>
          </w:tcPr>
          <w:p w14:paraId="6A21459B" w14:textId="77777777" w:rsidR="003E78AB" w:rsidRDefault="00010BF9">
            <w:pPr>
              <w:pStyle w:val="aff6"/>
              <w:topLinePunct/>
            </w:pPr>
            <w:r>
              <w:t>700</w:t>
            </w:r>
          </w:p>
        </w:tc>
        <w:tc>
          <w:tcPr>
            <w:tcW w:w="777" w:type="pct"/>
            <w:vAlign w:val="center"/>
          </w:tcPr>
          <w:p w14:paraId="197840CD" w14:textId="77777777" w:rsidR="003E78AB" w:rsidRDefault="00010BF9">
            <w:pPr>
              <w:pStyle w:val="aff6"/>
              <w:topLinePunct/>
            </w:pPr>
            <w:r>
              <w:t>0.000035|8</w:t>
            </w:r>
          </w:p>
        </w:tc>
        <w:tc>
          <w:tcPr>
            <w:tcW w:w="360" w:type="pct"/>
            <w:vAlign w:val="center"/>
          </w:tcPr>
          <w:p w14:paraId="355AA4C2" w14:textId="77777777" w:rsidR="003E78AB" w:rsidRDefault="00010BF9">
            <w:pPr>
              <w:pStyle w:val="aff6"/>
              <w:topLinePunct/>
            </w:pPr>
            <w:r>
              <w:t>0</w:t>
            </w:r>
          </w:p>
        </w:tc>
        <w:tc>
          <w:tcPr>
            <w:tcW w:w="360" w:type="pct"/>
            <w:vAlign w:val="center"/>
          </w:tcPr>
          <w:p w14:paraId="716F675D" w14:textId="77777777" w:rsidR="003E78AB" w:rsidRDefault="00010BF9">
            <w:pPr>
              <w:pStyle w:val="aff6"/>
              <w:topLinePunct/>
            </w:pPr>
            <w:r>
              <w:t>0</w:t>
            </w:r>
          </w:p>
        </w:tc>
        <w:tc>
          <w:tcPr>
            <w:tcW w:w="360" w:type="pct"/>
            <w:vAlign w:val="center"/>
          </w:tcPr>
          <w:p w14:paraId="59DD4029" w14:textId="77777777" w:rsidR="003E78AB" w:rsidRDefault="00010BF9">
            <w:pPr>
              <w:pStyle w:val="aff6"/>
              <w:topLinePunct/>
            </w:pPr>
            <w:r>
              <w:t>0.000035</w:t>
            </w:r>
          </w:p>
        </w:tc>
        <w:tc>
          <w:tcPr>
            <w:tcW w:w="360" w:type="pct"/>
            <w:vAlign w:val="center"/>
          </w:tcPr>
          <w:p w14:paraId="17F35BF5" w14:textId="77777777" w:rsidR="003E78AB" w:rsidRDefault="00010BF9">
            <w:pPr>
              <w:pStyle w:val="aff6"/>
              <w:topLinePunct/>
            </w:pPr>
            <w:r>
              <w:t>0.000035</w:t>
            </w:r>
          </w:p>
        </w:tc>
        <w:tc>
          <w:tcPr>
            <w:tcW w:w="360" w:type="pct"/>
            <w:vAlign w:val="center"/>
          </w:tcPr>
          <w:p w14:paraId="6E1B9187" w14:textId="77777777" w:rsidR="003E78AB" w:rsidRDefault="00010BF9">
            <w:pPr>
              <w:pStyle w:val="aff6"/>
              <w:topLinePunct/>
            </w:pPr>
            <w:r>
              <w:t>0.000035</w:t>
            </w:r>
          </w:p>
        </w:tc>
        <w:tc>
          <w:tcPr>
            <w:tcW w:w="360" w:type="pct"/>
            <w:vAlign w:val="center"/>
          </w:tcPr>
          <w:p w14:paraId="32AAEBD8" w14:textId="77777777" w:rsidR="003E78AB" w:rsidRDefault="00010BF9">
            <w:pPr>
              <w:pStyle w:val="aff6"/>
              <w:topLinePunct/>
            </w:pPr>
            <w:r>
              <w:t>0.000035</w:t>
            </w:r>
          </w:p>
        </w:tc>
        <w:tc>
          <w:tcPr>
            <w:tcW w:w="360" w:type="pct"/>
            <w:vAlign w:val="center"/>
          </w:tcPr>
          <w:p w14:paraId="6226846D" w14:textId="77777777" w:rsidR="003E78AB" w:rsidRDefault="00010BF9">
            <w:pPr>
              <w:pStyle w:val="aff6"/>
              <w:topLinePunct/>
            </w:pPr>
            <w:r>
              <w:t>0.000035</w:t>
            </w:r>
          </w:p>
        </w:tc>
        <w:tc>
          <w:tcPr>
            <w:tcW w:w="360" w:type="pct"/>
            <w:vAlign w:val="center"/>
          </w:tcPr>
          <w:p w14:paraId="7AB323F5" w14:textId="77777777" w:rsidR="003E78AB" w:rsidRDefault="00010BF9">
            <w:pPr>
              <w:pStyle w:val="aff6"/>
              <w:topLinePunct/>
            </w:pPr>
            <w:r>
              <w:t>0</w:t>
            </w:r>
          </w:p>
        </w:tc>
        <w:tc>
          <w:tcPr>
            <w:tcW w:w="360" w:type="pct"/>
            <w:vAlign w:val="center"/>
          </w:tcPr>
          <w:p w14:paraId="45777074" w14:textId="77777777" w:rsidR="003E78AB" w:rsidRDefault="00010BF9">
            <w:pPr>
              <w:pStyle w:val="aff6"/>
              <w:topLinePunct/>
            </w:pPr>
            <w:r>
              <w:t>0</w:t>
            </w:r>
          </w:p>
        </w:tc>
        <w:tc>
          <w:tcPr>
            <w:tcW w:w="315" w:type="pct"/>
            <w:vAlign w:val="center"/>
          </w:tcPr>
          <w:p w14:paraId="1221F520" w14:textId="77777777" w:rsidR="003E78AB" w:rsidRDefault="00010BF9">
            <w:pPr>
              <w:pStyle w:val="aff6"/>
              <w:topLinePunct/>
            </w:pPr>
            <w:r>
              <w:t>0</w:t>
            </w:r>
          </w:p>
        </w:tc>
        <w:tc>
          <w:tcPr>
            <w:tcW w:w="302" w:type="pct"/>
            <w:vAlign w:val="center"/>
          </w:tcPr>
          <w:p w14:paraId="3BC57E14" w14:textId="77777777" w:rsidR="003E78AB" w:rsidRDefault="00010BF9">
            <w:pPr>
              <w:pStyle w:val="aff6"/>
              <w:topLinePunct/>
            </w:pPr>
            <w:r>
              <w:t>0</w:t>
            </w:r>
          </w:p>
        </w:tc>
      </w:tr>
      <w:tr w:rsidR="003E78AB" w14:paraId="0B548AB6" w14:textId="77777777">
        <w:trPr>
          <w:trHeight w:val="288"/>
        </w:trPr>
        <w:tc>
          <w:tcPr>
            <w:tcW w:w="357" w:type="pct"/>
            <w:vAlign w:val="center"/>
          </w:tcPr>
          <w:p w14:paraId="0772283E" w14:textId="77777777" w:rsidR="003E78AB" w:rsidRDefault="00010BF9">
            <w:pPr>
              <w:pStyle w:val="aff6"/>
              <w:topLinePunct/>
            </w:pPr>
            <w:r>
              <w:t>800</w:t>
            </w:r>
          </w:p>
        </w:tc>
        <w:tc>
          <w:tcPr>
            <w:tcW w:w="777" w:type="pct"/>
            <w:vAlign w:val="center"/>
          </w:tcPr>
          <w:p w14:paraId="417E96A2" w14:textId="77777777" w:rsidR="003E78AB" w:rsidRDefault="00010BF9">
            <w:pPr>
              <w:pStyle w:val="aff6"/>
              <w:topLinePunct/>
            </w:pPr>
            <w:r>
              <w:t>0.000028|9</w:t>
            </w:r>
          </w:p>
        </w:tc>
        <w:tc>
          <w:tcPr>
            <w:tcW w:w="360" w:type="pct"/>
            <w:vAlign w:val="center"/>
          </w:tcPr>
          <w:p w14:paraId="3065A2F6" w14:textId="77777777" w:rsidR="003E78AB" w:rsidRDefault="00010BF9">
            <w:pPr>
              <w:pStyle w:val="aff6"/>
              <w:topLinePunct/>
            </w:pPr>
            <w:r>
              <w:t>0</w:t>
            </w:r>
          </w:p>
        </w:tc>
        <w:tc>
          <w:tcPr>
            <w:tcW w:w="360" w:type="pct"/>
            <w:vAlign w:val="center"/>
          </w:tcPr>
          <w:p w14:paraId="4629969A" w14:textId="77777777" w:rsidR="003E78AB" w:rsidRDefault="00010BF9">
            <w:pPr>
              <w:pStyle w:val="aff6"/>
              <w:topLinePunct/>
            </w:pPr>
            <w:r>
              <w:t>0</w:t>
            </w:r>
          </w:p>
        </w:tc>
        <w:tc>
          <w:tcPr>
            <w:tcW w:w="360" w:type="pct"/>
            <w:vAlign w:val="center"/>
          </w:tcPr>
          <w:p w14:paraId="4483669D" w14:textId="77777777" w:rsidR="003E78AB" w:rsidRDefault="00010BF9">
            <w:pPr>
              <w:pStyle w:val="aff6"/>
              <w:topLinePunct/>
            </w:pPr>
            <w:r>
              <w:t>0</w:t>
            </w:r>
          </w:p>
        </w:tc>
        <w:tc>
          <w:tcPr>
            <w:tcW w:w="360" w:type="pct"/>
            <w:vAlign w:val="center"/>
          </w:tcPr>
          <w:p w14:paraId="0004789E" w14:textId="77777777" w:rsidR="003E78AB" w:rsidRDefault="00010BF9">
            <w:pPr>
              <w:pStyle w:val="aff6"/>
              <w:topLinePunct/>
            </w:pPr>
            <w:r>
              <w:t>0.000028</w:t>
            </w:r>
          </w:p>
        </w:tc>
        <w:tc>
          <w:tcPr>
            <w:tcW w:w="360" w:type="pct"/>
            <w:vAlign w:val="center"/>
          </w:tcPr>
          <w:p w14:paraId="4694083C" w14:textId="77777777" w:rsidR="003E78AB" w:rsidRDefault="00010BF9">
            <w:pPr>
              <w:pStyle w:val="aff6"/>
              <w:topLinePunct/>
            </w:pPr>
            <w:r>
              <w:t>0.000028</w:t>
            </w:r>
          </w:p>
        </w:tc>
        <w:tc>
          <w:tcPr>
            <w:tcW w:w="360" w:type="pct"/>
            <w:vAlign w:val="center"/>
          </w:tcPr>
          <w:p w14:paraId="380CC08A" w14:textId="77777777" w:rsidR="003E78AB" w:rsidRDefault="00010BF9">
            <w:pPr>
              <w:pStyle w:val="aff6"/>
              <w:topLinePunct/>
            </w:pPr>
            <w:r>
              <w:t>0.000028</w:t>
            </w:r>
          </w:p>
        </w:tc>
        <w:tc>
          <w:tcPr>
            <w:tcW w:w="360" w:type="pct"/>
            <w:vAlign w:val="center"/>
          </w:tcPr>
          <w:p w14:paraId="5C432E32" w14:textId="77777777" w:rsidR="003E78AB" w:rsidRDefault="00010BF9">
            <w:pPr>
              <w:pStyle w:val="aff6"/>
              <w:topLinePunct/>
            </w:pPr>
            <w:r>
              <w:t>0.000028</w:t>
            </w:r>
          </w:p>
        </w:tc>
        <w:tc>
          <w:tcPr>
            <w:tcW w:w="360" w:type="pct"/>
            <w:vAlign w:val="center"/>
          </w:tcPr>
          <w:p w14:paraId="1850199F" w14:textId="77777777" w:rsidR="003E78AB" w:rsidRDefault="00010BF9">
            <w:pPr>
              <w:pStyle w:val="aff6"/>
              <w:topLinePunct/>
            </w:pPr>
            <w:r>
              <w:t>0</w:t>
            </w:r>
          </w:p>
        </w:tc>
        <w:tc>
          <w:tcPr>
            <w:tcW w:w="360" w:type="pct"/>
            <w:vAlign w:val="center"/>
          </w:tcPr>
          <w:p w14:paraId="53F399FD" w14:textId="77777777" w:rsidR="003E78AB" w:rsidRDefault="00010BF9">
            <w:pPr>
              <w:pStyle w:val="aff6"/>
              <w:topLinePunct/>
            </w:pPr>
            <w:r>
              <w:t>0</w:t>
            </w:r>
          </w:p>
        </w:tc>
        <w:tc>
          <w:tcPr>
            <w:tcW w:w="315" w:type="pct"/>
            <w:vAlign w:val="center"/>
          </w:tcPr>
          <w:p w14:paraId="436765B6" w14:textId="77777777" w:rsidR="003E78AB" w:rsidRDefault="00010BF9">
            <w:pPr>
              <w:pStyle w:val="aff6"/>
              <w:topLinePunct/>
            </w:pPr>
            <w:r>
              <w:t>0</w:t>
            </w:r>
          </w:p>
        </w:tc>
        <w:tc>
          <w:tcPr>
            <w:tcW w:w="302" w:type="pct"/>
            <w:vAlign w:val="center"/>
          </w:tcPr>
          <w:p w14:paraId="70B5D90C" w14:textId="77777777" w:rsidR="003E78AB" w:rsidRDefault="00010BF9">
            <w:pPr>
              <w:pStyle w:val="aff6"/>
              <w:topLinePunct/>
            </w:pPr>
            <w:r>
              <w:t>0</w:t>
            </w:r>
          </w:p>
        </w:tc>
      </w:tr>
      <w:tr w:rsidR="003E78AB" w14:paraId="451C9065" w14:textId="77777777">
        <w:trPr>
          <w:trHeight w:val="288"/>
        </w:trPr>
        <w:tc>
          <w:tcPr>
            <w:tcW w:w="357" w:type="pct"/>
            <w:vAlign w:val="center"/>
          </w:tcPr>
          <w:p w14:paraId="455A2A94" w14:textId="77777777" w:rsidR="003E78AB" w:rsidRDefault="00010BF9">
            <w:pPr>
              <w:pStyle w:val="aff6"/>
              <w:topLinePunct/>
            </w:pPr>
            <w:r>
              <w:t>900</w:t>
            </w:r>
          </w:p>
        </w:tc>
        <w:tc>
          <w:tcPr>
            <w:tcW w:w="777" w:type="pct"/>
            <w:vAlign w:val="center"/>
          </w:tcPr>
          <w:p w14:paraId="2F204E07" w14:textId="77777777" w:rsidR="003E78AB" w:rsidRDefault="00010BF9">
            <w:pPr>
              <w:pStyle w:val="aff6"/>
              <w:topLinePunct/>
            </w:pPr>
            <w:r>
              <w:t>0.000023|10</w:t>
            </w:r>
          </w:p>
        </w:tc>
        <w:tc>
          <w:tcPr>
            <w:tcW w:w="360" w:type="pct"/>
            <w:vAlign w:val="center"/>
          </w:tcPr>
          <w:p w14:paraId="055E295B" w14:textId="77777777" w:rsidR="003E78AB" w:rsidRDefault="00010BF9">
            <w:pPr>
              <w:pStyle w:val="aff6"/>
              <w:topLinePunct/>
            </w:pPr>
            <w:r>
              <w:t>0</w:t>
            </w:r>
          </w:p>
        </w:tc>
        <w:tc>
          <w:tcPr>
            <w:tcW w:w="360" w:type="pct"/>
            <w:vAlign w:val="center"/>
          </w:tcPr>
          <w:p w14:paraId="08652E20" w14:textId="77777777" w:rsidR="003E78AB" w:rsidRDefault="00010BF9">
            <w:pPr>
              <w:pStyle w:val="aff6"/>
              <w:topLinePunct/>
            </w:pPr>
            <w:r>
              <w:t>0</w:t>
            </w:r>
          </w:p>
        </w:tc>
        <w:tc>
          <w:tcPr>
            <w:tcW w:w="360" w:type="pct"/>
            <w:vAlign w:val="center"/>
          </w:tcPr>
          <w:p w14:paraId="2CA73F98" w14:textId="77777777" w:rsidR="003E78AB" w:rsidRDefault="00010BF9">
            <w:pPr>
              <w:pStyle w:val="aff6"/>
              <w:topLinePunct/>
            </w:pPr>
            <w:r>
              <w:t>0</w:t>
            </w:r>
          </w:p>
        </w:tc>
        <w:tc>
          <w:tcPr>
            <w:tcW w:w="360" w:type="pct"/>
            <w:vAlign w:val="center"/>
          </w:tcPr>
          <w:p w14:paraId="273F6603" w14:textId="77777777" w:rsidR="003E78AB" w:rsidRDefault="00010BF9">
            <w:pPr>
              <w:pStyle w:val="aff6"/>
              <w:topLinePunct/>
            </w:pPr>
            <w:r>
              <w:t>0.000023</w:t>
            </w:r>
          </w:p>
        </w:tc>
        <w:tc>
          <w:tcPr>
            <w:tcW w:w="360" w:type="pct"/>
            <w:vAlign w:val="center"/>
          </w:tcPr>
          <w:p w14:paraId="463958FB" w14:textId="77777777" w:rsidR="003E78AB" w:rsidRDefault="00010BF9">
            <w:pPr>
              <w:pStyle w:val="aff6"/>
              <w:topLinePunct/>
            </w:pPr>
            <w:r>
              <w:t>0.000023</w:t>
            </w:r>
          </w:p>
        </w:tc>
        <w:tc>
          <w:tcPr>
            <w:tcW w:w="360" w:type="pct"/>
            <w:vAlign w:val="center"/>
          </w:tcPr>
          <w:p w14:paraId="2117717F" w14:textId="77777777" w:rsidR="003E78AB" w:rsidRDefault="00010BF9">
            <w:pPr>
              <w:pStyle w:val="aff6"/>
              <w:topLinePunct/>
            </w:pPr>
            <w:r>
              <w:t>0.000023</w:t>
            </w:r>
          </w:p>
        </w:tc>
        <w:tc>
          <w:tcPr>
            <w:tcW w:w="360" w:type="pct"/>
            <w:vAlign w:val="center"/>
          </w:tcPr>
          <w:p w14:paraId="1B69E696" w14:textId="77777777" w:rsidR="003E78AB" w:rsidRDefault="00010BF9">
            <w:pPr>
              <w:pStyle w:val="aff6"/>
              <w:topLinePunct/>
            </w:pPr>
            <w:r>
              <w:t>0.000023</w:t>
            </w:r>
          </w:p>
        </w:tc>
        <w:tc>
          <w:tcPr>
            <w:tcW w:w="360" w:type="pct"/>
            <w:vAlign w:val="center"/>
          </w:tcPr>
          <w:p w14:paraId="48BFCCFA" w14:textId="77777777" w:rsidR="003E78AB" w:rsidRDefault="00010BF9">
            <w:pPr>
              <w:pStyle w:val="aff6"/>
              <w:topLinePunct/>
            </w:pPr>
            <w:r>
              <w:t>0.000013</w:t>
            </w:r>
          </w:p>
        </w:tc>
        <w:tc>
          <w:tcPr>
            <w:tcW w:w="360" w:type="pct"/>
            <w:vAlign w:val="center"/>
          </w:tcPr>
          <w:p w14:paraId="01276D6A" w14:textId="77777777" w:rsidR="003E78AB" w:rsidRDefault="00010BF9">
            <w:pPr>
              <w:pStyle w:val="aff6"/>
              <w:topLinePunct/>
            </w:pPr>
            <w:r>
              <w:t>0</w:t>
            </w:r>
          </w:p>
        </w:tc>
        <w:tc>
          <w:tcPr>
            <w:tcW w:w="315" w:type="pct"/>
            <w:vAlign w:val="center"/>
          </w:tcPr>
          <w:p w14:paraId="609D1FC5" w14:textId="77777777" w:rsidR="003E78AB" w:rsidRDefault="00010BF9">
            <w:pPr>
              <w:pStyle w:val="aff6"/>
              <w:topLinePunct/>
            </w:pPr>
            <w:r>
              <w:t>0</w:t>
            </w:r>
          </w:p>
        </w:tc>
        <w:tc>
          <w:tcPr>
            <w:tcW w:w="302" w:type="pct"/>
            <w:vAlign w:val="center"/>
          </w:tcPr>
          <w:p w14:paraId="06D8C57A" w14:textId="77777777" w:rsidR="003E78AB" w:rsidRDefault="00010BF9">
            <w:pPr>
              <w:pStyle w:val="aff6"/>
              <w:topLinePunct/>
            </w:pPr>
            <w:r>
              <w:t>0</w:t>
            </w:r>
          </w:p>
        </w:tc>
      </w:tr>
      <w:tr w:rsidR="003E78AB" w14:paraId="26667DC3" w14:textId="77777777">
        <w:trPr>
          <w:trHeight w:val="287"/>
        </w:trPr>
        <w:tc>
          <w:tcPr>
            <w:tcW w:w="357" w:type="pct"/>
            <w:vAlign w:val="center"/>
          </w:tcPr>
          <w:p w14:paraId="73DC3992" w14:textId="77777777" w:rsidR="003E78AB" w:rsidRDefault="00010BF9">
            <w:pPr>
              <w:pStyle w:val="aff6"/>
              <w:topLinePunct/>
            </w:pPr>
            <w:r>
              <w:t>1000</w:t>
            </w:r>
          </w:p>
        </w:tc>
        <w:tc>
          <w:tcPr>
            <w:tcW w:w="777" w:type="pct"/>
            <w:vAlign w:val="center"/>
          </w:tcPr>
          <w:p w14:paraId="62998FCC" w14:textId="77777777" w:rsidR="003E78AB" w:rsidRDefault="00010BF9">
            <w:pPr>
              <w:pStyle w:val="aff6"/>
              <w:topLinePunct/>
            </w:pPr>
            <w:r>
              <w:t>0.00002|11</w:t>
            </w:r>
          </w:p>
        </w:tc>
        <w:tc>
          <w:tcPr>
            <w:tcW w:w="360" w:type="pct"/>
            <w:vAlign w:val="center"/>
          </w:tcPr>
          <w:p w14:paraId="382E6565" w14:textId="77777777" w:rsidR="003E78AB" w:rsidRDefault="00010BF9">
            <w:pPr>
              <w:pStyle w:val="aff6"/>
              <w:topLinePunct/>
            </w:pPr>
            <w:r>
              <w:t>0</w:t>
            </w:r>
          </w:p>
        </w:tc>
        <w:tc>
          <w:tcPr>
            <w:tcW w:w="360" w:type="pct"/>
            <w:vAlign w:val="center"/>
          </w:tcPr>
          <w:p w14:paraId="66F496D3" w14:textId="77777777" w:rsidR="003E78AB" w:rsidRDefault="00010BF9">
            <w:pPr>
              <w:pStyle w:val="aff6"/>
              <w:topLinePunct/>
            </w:pPr>
            <w:r>
              <w:t>0</w:t>
            </w:r>
          </w:p>
        </w:tc>
        <w:tc>
          <w:tcPr>
            <w:tcW w:w="360" w:type="pct"/>
            <w:vAlign w:val="center"/>
          </w:tcPr>
          <w:p w14:paraId="504B1343" w14:textId="77777777" w:rsidR="003E78AB" w:rsidRDefault="00010BF9">
            <w:pPr>
              <w:pStyle w:val="aff6"/>
              <w:topLinePunct/>
            </w:pPr>
            <w:r>
              <w:t>0</w:t>
            </w:r>
          </w:p>
        </w:tc>
        <w:tc>
          <w:tcPr>
            <w:tcW w:w="360" w:type="pct"/>
            <w:vAlign w:val="center"/>
          </w:tcPr>
          <w:p w14:paraId="6B2EDFC8" w14:textId="77777777" w:rsidR="003E78AB" w:rsidRDefault="00010BF9">
            <w:pPr>
              <w:pStyle w:val="aff6"/>
              <w:topLinePunct/>
            </w:pPr>
            <w:r>
              <w:t>0</w:t>
            </w:r>
          </w:p>
        </w:tc>
        <w:tc>
          <w:tcPr>
            <w:tcW w:w="360" w:type="pct"/>
            <w:vAlign w:val="center"/>
          </w:tcPr>
          <w:p w14:paraId="004BF1D3" w14:textId="77777777" w:rsidR="003E78AB" w:rsidRDefault="00010BF9">
            <w:pPr>
              <w:pStyle w:val="aff6"/>
              <w:topLinePunct/>
            </w:pPr>
            <w:r>
              <w:t>0.00002</w:t>
            </w:r>
          </w:p>
        </w:tc>
        <w:tc>
          <w:tcPr>
            <w:tcW w:w="360" w:type="pct"/>
            <w:vAlign w:val="center"/>
          </w:tcPr>
          <w:p w14:paraId="7C88C9FF" w14:textId="77777777" w:rsidR="003E78AB" w:rsidRDefault="00010BF9">
            <w:pPr>
              <w:pStyle w:val="aff6"/>
              <w:topLinePunct/>
            </w:pPr>
            <w:r>
              <w:t>0.00002</w:t>
            </w:r>
          </w:p>
        </w:tc>
        <w:tc>
          <w:tcPr>
            <w:tcW w:w="360" w:type="pct"/>
            <w:vAlign w:val="center"/>
          </w:tcPr>
          <w:p w14:paraId="26BA2B22" w14:textId="77777777" w:rsidR="003E78AB" w:rsidRDefault="00010BF9">
            <w:pPr>
              <w:pStyle w:val="aff6"/>
              <w:topLinePunct/>
            </w:pPr>
            <w:r>
              <w:t>0.00002</w:t>
            </w:r>
          </w:p>
        </w:tc>
        <w:tc>
          <w:tcPr>
            <w:tcW w:w="360" w:type="pct"/>
            <w:vAlign w:val="center"/>
          </w:tcPr>
          <w:p w14:paraId="4F158401" w14:textId="77777777" w:rsidR="003E78AB" w:rsidRDefault="00010BF9">
            <w:pPr>
              <w:pStyle w:val="aff6"/>
              <w:topLinePunct/>
            </w:pPr>
            <w:r>
              <w:t>0.000019</w:t>
            </w:r>
          </w:p>
        </w:tc>
        <w:tc>
          <w:tcPr>
            <w:tcW w:w="360" w:type="pct"/>
            <w:vAlign w:val="center"/>
          </w:tcPr>
          <w:p w14:paraId="0775ED3D" w14:textId="77777777" w:rsidR="003E78AB" w:rsidRDefault="00010BF9">
            <w:pPr>
              <w:pStyle w:val="aff6"/>
              <w:topLinePunct/>
            </w:pPr>
            <w:r>
              <w:t>0</w:t>
            </w:r>
          </w:p>
        </w:tc>
        <w:tc>
          <w:tcPr>
            <w:tcW w:w="315" w:type="pct"/>
            <w:vAlign w:val="center"/>
          </w:tcPr>
          <w:p w14:paraId="521AEC97" w14:textId="77777777" w:rsidR="003E78AB" w:rsidRDefault="00010BF9">
            <w:pPr>
              <w:pStyle w:val="aff6"/>
              <w:topLinePunct/>
            </w:pPr>
            <w:r>
              <w:t>0</w:t>
            </w:r>
          </w:p>
        </w:tc>
        <w:tc>
          <w:tcPr>
            <w:tcW w:w="302" w:type="pct"/>
            <w:vAlign w:val="center"/>
          </w:tcPr>
          <w:p w14:paraId="6DF335DE" w14:textId="77777777" w:rsidR="003E78AB" w:rsidRDefault="00010BF9">
            <w:pPr>
              <w:pStyle w:val="aff6"/>
              <w:topLinePunct/>
            </w:pPr>
            <w:r>
              <w:t>0</w:t>
            </w:r>
          </w:p>
        </w:tc>
      </w:tr>
      <w:tr w:rsidR="003E78AB" w14:paraId="6A184689" w14:textId="77777777">
        <w:trPr>
          <w:trHeight w:val="288"/>
        </w:trPr>
        <w:tc>
          <w:tcPr>
            <w:tcW w:w="357" w:type="pct"/>
            <w:vAlign w:val="center"/>
          </w:tcPr>
          <w:p w14:paraId="44F35BE9" w14:textId="77777777" w:rsidR="003E78AB" w:rsidRDefault="00010BF9">
            <w:pPr>
              <w:pStyle w:val="aff6"/>
              <w:topLinePunct/>
            </w:pPr>
            <w:r>
              <w:t>1200</w:t>
            </w:r>
          </w:p>
        </w:tc>
        <w:tc>
          <w:tcPr>
            <w:tcW w:w="777" w:type="pct"/>
            <w:vAlign w:val="center"/>
          </w:tcPr>
          <w:p w14:paraId="4719CAB8" w14:textId="77777777" w:rsidR="003E78AB" w:rsidRDefault="00010BF9">
            <w:pPr>
              <w:pStyle w:val="aff6"/>
              <w:topLinePunct/>
            </w:pPr>
            <w:r>
              <w:t>0.000014|13</w:t>
            </w:r>
          </w:p>
        </w:tc>
        <w:tc>
          <w:tcPr>
            <w:tcW w:w="360" w:type="pct"/>
            <w:vAlign w:val="center"/>
          </w:tcPr>
          <w:p w14:paraId="4382BCDA" w14:textId="77777777" w:rsidR="003E78AB" w:rsidRDefault="00010BF9">
            <w:pPr>
              <w:pStyle w:val="aff6"/>
              <w:topLinePunct/>
            </w:pPr>
            <w:r>
              <w:t>0</w:t>
            </w:r>
          </w:p>
        </w:tc>
        <w:tc>
          <w:tcPr>
            <w:tcW w:w="360" w:type="pct"/>
            <w:vAlign w:val="center"/>
          </w:tcPr>
          <w:p w14:paraId="0993C007" w14:textId="77777777" w:rsidR="003E78AB" w:rsidRDefault="00010BF9">
            <w:pPr>
              <w:pStyle w:val="aff6"/>
              <w:topLinePunct/>
            </w:pPr>
            <w:r>
              <w:t>0</w:t>
            </w:r>
          </w:p>
        </w:tc>
        <w:tc>
          <w:tcPr>
            <w:tcW w:w="360" w:type="pct"/>
            <w:vAlign w:val="center"/>
          </w:tcPr>
          <w:p w14:paraId="043A954D" w14:textId="77777777" w:rsidR="003E78AB" w:rsidRDefault="00010BF9">
            <w:pPr>
              <w:pStyle w:val="aff6"/>
              <w:topLinePunct/>
            </w:pPr>
            <w:r>
              <w:t>0</w:t>
            </w:r>
          </w:p>
        </w:tc>
        <w:tc>
          <w:tcPr>
            <w:tcW w:w="360" w:type="pct"/>
            <w:vAlign w:val="center"/>
          </w:tcPr>
          <w:p w14:paraId="567E6CC2" w14:textId="77777777" w:rsidR="003E78AB" w:rsidRDefault="00010BF9">
            <w:pPr>
              <w:pStyle w:val="aff6"/>
              <w:topLinePunct/>
            </w:pPr>
            <w:r>
              <w:t>0</w:t>
            </w:r>
          </w:p>
        </w:tc>
        <w:tc>
          <w:tcPr>
            <w:tcW w:w="360" w:type="pct"/>
            <w:vAlign w:val="center"/>
          </w:tcPr>
          <w:p w14:paraId="4B1F3ABF" w14:textId="77777777" w:rsidR="003E78AB" w:rsidRDefault="00010BF9">
            <w:pPr>
              <w:pStyle w:val="aff6"/>
              <w:topLinePunct/>
            </w:pPr>
            <w:r>
              <w:t>0.000014</w:t>
            </w:r>
          </w:p>
        </w:tc>
        <w:tc>
          <w:tcPr>
            <w:tcW w:w="360" w:type="pct"/>
            <w:vAlign w:val="center"/>
          </w:tcPr>
          <w:p w14:paraId="081D9D4A" w14:textId="77777777" w:rsidR="003E78AB" w:rsidRDefault="00010BF9">
            <w:pPr>
              <w:pStyle w:val="aff6"/>
              <w:topLinePunct/>
            </w:pPr>
            <w:r>
              <w:t>0.000014</w:t>
            </w:r>
          </w:p>
        </w:tc>
        <w:tc>
          <w:tcPr>
            <w:tcW w:w="360" w:type="pct"/>
            <w:vAlign w:val="center"/>
          </w:tcPr>
          <w:p w14:paraId="7327C292" w14:textId="77777777" w:rsidR="003E78AB" w:rsidRDefault="00010BF9">
            <w:pPr>
              <w:pStyle w:val="aff6"/>
              <w:topLinePunct/>
            </w:pPr>
            <w:r>
              <w:t>0.000014</w:t>
            </w:r>
          </w:p>
        </w:tc>
        <w:tc>
          <w:tcPr>
            <w:tcW w:w="360" w:type="pct"/>
            <w:vAlign w:val="center"/>
          </w:tcPr>
          <w:p w14:paraId="57605F10" w14:textId="77777777" w:rsidR="003E78AB" w:rsidRDefault="00010BF9">
            <w:pPr>
              <w:pStyle w:val="aff6"/>
              <w:topLinePunct/>
            </w:pPr>
            <w:r>
              <w:t>0.000014</w:t>
            </w:r>
          </w:p>
        </w:tc>
        <w:tc>
          <w:tcPr>
            <w:tcW w:w="360" w:type="pct"/>
            <w:vAlign w:val="center"/>
          </w:tcPr>
          <w:p w14:paraId="272BC4C0" w14:textId="77777777" w:rsidR="003E78AB" w:rsidRDefault="00010BF9">
            <w:pPr>
              <w:pStyle w:val="aff6"/>
              <w:topLinePunct/>
            </w:pPr>
            <w:r>
              <w:t>0</w:t>
            </w:r>
          </w:p>
        </w:tc>
        <w:tc>
          <w:tcPr>
            <w:tcW w:w="315" w:type="pct"/>
            <w:vAlign w:val="center"/>
          </w:tcPr>
          <w:p w14:paraId="5527CEB8" w14:textId="77777777" w:rsidR="003E78AB" w:rsidRDefault="00010BF9">
            <w:pPr>
              <w:pStyle w:val="aff6"/>
              <w:topLinePunct/>
            </w:pPr>
            <w:r>
              <w:t>0</w:t>
            </w:r>
          </w:p>
        </w:tc>
        <w:tc>
          <w:tcPr>
            <w:tcW w:w="302" w:type="pct"/>
            <w:vAlign w:val="center"/>
          </w:tcPr>
          <w:p w14:paraId="733241EE" w14:textId="77777777" w:rsidR="003E78AB" w:rsidRDefault="00010BF9">
            <w:pPr>
              <w:pStyle w:val="aff6"/>
              <w:topLinePunct/>
            </w:pPr>
            <w:r>
              <w:t>0</w:t>
            </w:r>
          </w:p>
        </w:tc>
      </w:tr>
      <w:tr w:rsidR="003E78AB" w14:paraId="56234FFA" w14:textId="77777777">
        <w:trPr>
          <w:trHeight w:val="288"/>
        </w:trPr>
        <w:tc>
          <w:tcPr>
            <w:tcW w:w="357" w:type="pct"/>
            <w:vAlign w:val="center"/>
          </w:tcPr>
          <w:p w14:paraId="4056F85F" w14:textId="77777777" w:rsidR="003E78AB" w:rsidRDefault="00010BF9">
            <w:pPr>
              <w:pStyle w:val="aff6"/>
              <w:topLinePunct/>
            </w:pPr>
            <w:r>
              <w:t>1400</w:t>
            </w:r>
          </w:p>
        </w:tc>
        <w:tc>
          <w:tcPr>
            <w:tcW w:w="777" w:type="pct"/>
            <w:vAlign w:val="center"/>
          </w:tcPr>
          <w:p w14:paraId="63831EFD" w14:textId="77777777" w:rsidR="003E78AB" w:rsidRDefault="00010BF9">
            <w:pPr>
              <w:pStyle w:val="aff6"/>
              <w:topLinePunct/>
            </w:pPr>
            <w:r>
              <w:t>0.000011|15</w:t>
            </w:r>
          </w:p>
        </w:tc>
        <w:tc>
          <w:tcPr>
            <w:tcW w:w="360" w:type="pct"/>
            <w:vAlign w:val="center"/>
          </w:tcPr>
          <w:p w14:paraId="3848BEE1" w14:textId="77777777" w:rsidR="003E78AB" w:rsidRDefault="00010BF9">
            <w:pPr>
              <w:pStyle w:val="aff6"/>
              <w:topLinePunct/>
            </w:pPr>
            <w:r>
              <w:t>0</w:t>
            </w:r>
          </w:p>
        </w:tc>
        <w:tc>
          <w:tcPr>
            <w:tcW w:w="360" w:type="pct"/>
            <w:vAlign w:val="center"/>
          </w:tcPr>
          <w:p w14:paraId="59CF97F3" w14:textId="77777777" w:rsidR="003E78AB" w:rsidRDefault="00010BF9">
            <w:pPr>
              <w:pStyle w:val="aff6"/>
              <w:topLinePunct/>
            </w:pPr>
            <w:r>
              <w:t>0</w:t>
            </w:r>
          </w:p>
        </w:tc>
        <w:tc>
          <w:tcPr>
            <w:tcW w:w="360" w:type="pct"/>
            <w:vAlign w:val="center"/>
          </w:tcPr>
          <w:p w14:paraId="0C0539CB" w14:textId="77777777" w:rsidR="003E78AB" w:rsidRDefault="00010BF9">
            <w:pPr>
              <w:pStyle w:val="aff6"/>
              <w:topLinePunct/>
            </w:pPr>
            <w:r>
              <w:t>0</w:t>
            </w:r>
          </w:p>
        </w:tc>
        <w:tc>
          <w:tcPr>
            <w:tcW w:w="360" w:type="pct"/>
            <w:vAlign w:val="center"/>
          </w:tcPr>
          <w:p w14:paraId="3F86E588" w14:textId="77777777" w:rsidR="003E78AB" w:rsidRDefault="00010BF9">
            <w:pPr>
              <w:pStyle w:val="aff6"/>
              <w:topLinePunct/>
            </w:pPr>
            <w:r>
              <w:t>0</w:t>
            </w:r>
          </w:p>
        </w:tc>
        <w:tc>
          <w:tcPr>
            <w:tcW w:w="360" w:type="pct"/>
            <w:vAlign w:val="center"/>
          </w:tcPr>
          <w:p w14:paraId="35206281" w14:textId="77777777" w:rsidR="003E78AB" w:rsidRDefault="00010BF9">
            <w:pPr>
              <w:pStyle w:val="aff6"/>
              <w:topLinePunct/>
            </w:pPr>
            <w:r>
              <w:t>0.000011</w:t>
            </w:r>
          </w:p>
        </w:tc>
        <w:tc>
          <w:tcPr>
            <w:tcW w:w="360" w:type="pct"/>
            <w:vAlign w:val="center"/>
          </w:tcPr>
          <w:p w14:paraId="366FCF5F" w14:textId="77777777" w:rsidR="003E78AB" w:rsidRDefault="00010BF9">
            <w:pPr>
              <w:pStyle w:val="aff6"/>
              <w:topLinePunct/>
            </w:pPr>
            <w:r>
              <w:t>0.000011</w:t>
            </w:r>
          </w:p>
        </w:tc>
        <w:tc>
          <w:tcPr>
            <w:tcW w:w="360" w:type="pct"/>
            <w:vAlign w:val="center"/>
          </w:tcPr>
          <w:p w14:paraId="7A73478D" w14:textId="77777777" w:rsidR="003E78AB" w:rsidRDefault="00010BF9">
            <w:pPr>
              <w:pStyle w:val="aff6"/>
              <w:topLinePunct/>
            </w:pPr>
            <w:r>
              <w:t>0.000011</w:t>
            </w:r>
          </w:p>
        </w:tc>
        <w:tc>
          <w:tcPr>
            <w:tcW w:w="360" w:type="pct"/>
            <w:vAlign w:val="center"/>
          </w:tcPr>
          <w:p w14:paraId="338CD679" w14:textId="77777777" w:rsidR="003E78AB" w:rsidRDefault="00010BF9">
            <w:pPr>
              <w:pStyle w:val="aff6"/>
              <w:topLinePunct/>
            </w:pPr>
            <w:r>
              <w:t>0.000011</w:t>
            </w:r>
          </w:p>
        </w:tc>
        <w:tc>
          <w:tcPr>
            <w:tcW w:w="360" w:type="pct"/>
            <w:vAlign w:val="center"/>
          </w:tcPr>
          <w:p w14:paraId="3D0CA950" w14:textId="77777777" w:rsidR="003E78AB" w:rsidRDefault="00010BF9">
            <w:pPr>
              <w:pStyle w:val="aff6"/>
              <w:topLinePunct/>
            </w:pPr>
            <w:r>
              <w:t>0</w:t>
            </w:r>
          </w:p>
        </w:tc>
        <w:tc>
          <w:tcPr>
            <w:tcW w:w="315" w:type="pct"/>
            <w:vAlign w:val="center"/>
          </w:tcPr>
          <w:p w14:paraId="29C8353C" w14:textId="77777777" w:rsidR="003E78AB" w:rsidRDefault="00010BF9">
            <w:pPr>
              <w:pStyle w:val="aff6"/>
              <w:topLinePunct/>
            </w:pPr>
            <w:r>
              <w:t>0</w:t>
            </w:r>
          </w:p>
        </w:tc>
        <w:tc>
          <w:tcPr>
            <w:tcW w:w="302" w:type="pct"/>
            <w:vAlign w:val="center"/>
          </w:tcPr>
          <w:p w14:paraId="00AF0A1B" w14:textId="77777777" w:rsidR="003E78AB" w:rsidRDefault="00010BF9">
            <w:pPr>
              <w:pStyle w:val="aff6"/>
              <w:topLinePunct/>
            </w:pPr>
            <w:r>
              <w:t>0</w:t>
            </w:r>
          </w:p>
        </w:tc>
      </w:tr>
      <w:tr w:rsidR="003E78AB" w14:paraId="43B3EC56" w14:textId="77777777">
        <w:trPr>
          <w:trHeight w:val="287"/>
        </w:trPr>
        <w:tc>
          <w:tcPr>
            <w:tcW w:w="357" w:type="pct"/>
            <w:vAlign w:val="center"/>
          </w:tcPr>
          <w:p w14:paraId="23BFFD12" w14:textId="77777777" w:rsidR="003E78AB" w:rsidRDefault="00010BF9">
            <w:pPr>
              <w:pStyle w:val="aff6"/>
              <w:topLinePunct/>
            </w:pPr>
            <w:r>
              <w:t>1600</w:t>
            </w:r>
          </w:p>
        </w:tc>
        <w:tc>
          <w:tcPr>
            <w:tcW w:w="777" w:type="pct"/>
            <w:vAlign w:val="center"/>
          </w:tcPr>
          <w:p w14:paraId="175C52EA" w14:textId="77777777" w:rsidR="003E78AB" w:rsidRDefault="00010BF9">
            <w:pPr>
              <w:pStyle w:val="aff6"/>
              <w:topLinePunct/>
            </w:pPr>
            <w:r>
              <w:t>0.000009|18</w:t>
            </w:r>
          </w:p>
        </w:tc>
        <w:tc>
          <w:tcPr>
            <w:tcW w:w="360" w:type="pct"/>
            <w:vAlign w:val="center"/>
          </w:tcPr>
          <w:p w14:paraId="4BE59766" w14:textId="77777777" w:rsidR="003E78AB" w:rsidRDefault="00010BF9">
            <w:pPr>
              <w:pStyle w:val="aff6"/>
              <w:topLinePunct/>
            </w:pPr>
            <w:r>
              <w:t>0</w:t>
            </w:r>
          </w:p>
        </w:tc>
        <w:tc>
          <w:tcPr>
            <w:tcW w:w="360" w:type="pct"/>
            <w:vAlign w:val="center"/>
          </w:tcPr>
          <w:p w14:paraId="41EE0D54" w14:textId="77777777" w:rsidR="003E78AB" w:rsidRDefault="00010BF9">
            <w:pPr>
              <w:pStyle w:val="aff6"/>
              <w:topLinePunct/>
            </w:pPr>
            <w:r>
              <w:t>0</w:t>
            </w:r>
          </w:p>
        </w:tc>
        <w:tc>
          <w:tcPr>
            <w:tcW w:w="360" w:type="pct"/>
            <w:vAlign w:val="center"/>
          </w:tcPr>
          <w:p w14:paraId="64823138" w14:textId="77777777" w:rsidR="003E78AB" w:rsidRDefault="00010BF9">
            <w:pPr>
              <w:pStyle w:val="aff6"/>
              <w:topLinePunct/>
            </w:pPr>
            <w:r>
              <w:t>0</w:t>
            </w:r>
          </w:p>
        </w:tc>
        <w:tc>
          <w:tcPr>
            <w:tcW w:w="360" w:type="pct"/>
            <w:vAlign w:val="center"/>
          </w:tcPr>
          <w:p w14:paraId="71A72C26" w14:textId="77777777" w:rsidR="003E78AB" w:rsidRDefault="00010BF9">
            <w:pPr>
              <w:pStyle w:val="aff6"/>
              <w:topLinePunct/>
            </w:pPr>
            <w:r>
              <w:t>0</w:t>
            </w:r>
          </w:p>
        </w:tc>
        <w:tc>
          <w:tcPr>
            <w:tcW w:w="360" w:type="pct"/>
            <w:vAlign w:val="center"/>
          </w:tcPr>
          <w:p w14:paraId="3555A2D8" w14:textId="77777777" w:rsidR="003E78AB" w:rsidRDefault="00010BF9">
            <w:pPr>
              <w:pStyle w:val="aff6"/>
              <w:topLinePunct/>
            </w:pPr>
            <w:r>
              <w:t>0</w:t>
            </w:r>
          </w:p>
        </w:tc>
        <w:tc>
          <w:tcPr>
            <w:tcW w:w="360" w:type="pct"/>
            <w:vAlign w:val="center"/>
          </w:tcPr>
          <w:p w14:paraId="315507D2" w14:textId="77777777" w:rsidR="003E78AB" w:rsidRDefault="00010BF9">
            <w:pPr>
              <w:pStyle w:val="aff6"/>
              <w:topLinePunct/>
            </w:pPr>
            <w:r>
              <w:t>0.000009</w:t>
            </w:r>
          </w:p>
        </w:tc>
        <w:tc>
          <w:tcPr>
            <w:tcW w:w="360" w:type="pct"/>
            <w:vAlign w:val="center"/>
          </w:tcPr>
          <w:p w14:paraId="2619C47B" w14:textId="77777777" w:rsidR="003E78AB" w:rsidRDefault="00010BF9">
            <w:pPr>
              <w:pStyle w:val="aff6"/>
              <w:topLinePunct/>
            </w:pPr>
            <w:r>
              <w:t>0.000009</w:t>
            </w:r>
          </w:p>
        </w:tc>
        <w:tc>
          <w:tcPr>
            <w:tcW w:w="360" w:type="pct"/>
            <w:vAlign w:val="center"/>
          </w:tcPr>
          <w:p w14:paraId="45935735" w14:textId="77777777" w:rsidR="003E78AB" w:rsidRDefault="00010BF9">
            <w:pPr>
              <w:pStyle w:val="aff6"/>
              <w:topLinePunct/>
            </w:pPr>
            <w:r>
              <w:t>0.000009</w:t>
            </w:r>
          </w:p>
        </w:tc>
        <w:tc>
          <w:tcPr>
            <w:tcW w:w="360" w:type="pct"/>
            <w:vAlign w:val="center"/>
          </w:tcPr>
          <w:p w14:paraId="408572C2" w14:textId="77777777" w:rsidR="003E78AB" w:rsidRDefault="00010BF9">
            <w:pPr>
              <w:pStyle w:val="aff6"/>
              <w:topLinePunct/>
            </w:pPr>
            <w:r>
              <w:t>0</w:t>
            </w:r>
          </w:p>
        </w:tc>
        <w:tc>
          <w:tcPr>
            <w:tcW w:w="315" w:type="pct"/>
            <w:vAlign w:val="center"/>
          </w:tcPr>
          <w:p w14:paraId="5A904289" w14:textId="77777777" w:rsidR="003E78AB" w:rsidRDefault="00010BF9">
            <w:pPr>
              <w:pStyle w:val="aff6"/>
              <w:topLinePunct/>
            </w:pPr>
            <w:r>
              <w:t>0</w:t>
            </w:r>
          </w:p>
        </w:tc>
        <w:tc>
          <w:tcPr>
            <w:tcW w:w="302" w:type="pct"/>
            <w:vAlign w:val="center"/>
          </w:tcPr>
          <w:p w14:paraId="6B55553D" w14:textId="77777777" w:rsidR="003E78AB" w:rsidRDefault="00010BF9">
            <w:pPr>
              <w:pStyle w:val="aff6"/>
              <w:topLinePunct/>
            </w:pPr>
            <w:r>
              <w:t>0</w:t>
            </w:r>
          </w:p>
        </w:tc>
      </w:tr>
      <w:tr w:rsidR="003E78AB" w14:paraId="6868C581" w14:textId="77777777">
        <w:trPr>
          <w:trHeight w:val="288"/>
        </w:trPr>
        <w:tc>
          <w:tcPr>
            <w:tcW w:w="357" w:type="pct"/>
            <w:vAlign w:val="center"/>
          </w:tcPr>
          <w:p w14:paraId="687E7DBA" w14:textId="77777777" w:rsidR="003E78AB" w:rsidRDefault="00010BF9">
            <w:pPr>
              <w:pStyle w:val="aff6"/>
              <w:topLinePunct/>
            </w:pPr>
            <w:r>
              <w:t>1800</w:t>
            </w:r>
          </w:p>
        </w:tc>
        <w:tc>
          <w:tcPr>
            <w:tcW w:w="777" w:type="pct"/>
            <w:vAlign w:val="center"/>
          </w:tcPr>
          <w:p w14:paraId="57AA2448" w14:textId="77777777" w:rsidR="003E78AB" w:rsidRDefault="00010BF9">
            <w:pPr>
              <w:pStyle w:val="aff6"/>
              <w:topLinePunct/>
            </w:pPr>
            <w:r>
              <w:t>0.000008|20</w:t>
            </w:r>
          </w:p>
        </w:tc>
        <w:tc>
          <w:tcPr>
            <w:tcW w:w="360" w:type="pct"/>
            <w:vAlign w:val="center"/>
          </w:tcPr>
          <w:p w14:paraId="353EC496" w14:textId="77777777" w:rsidR="003E78AB" w:rsidRDefault="00010BF9">
            <w:pPr>
              <w:pStyle w:val="aff6"/>
              <w:topLinePunct/>
            </w:pPr>
            <w:r>
              <w:t>0</w:t>
            </w:r>
          </w:p>
        </w:tc>
        <w:tc>
          <w:tcPr>
            <w:tcW w:w="360" w:type="pct"/>
            <w:vAlign w:val="center"/>
          </w:tcPr>
          <w:p w14:paraId="44086D95" w14:textId="77777777" w:rsidR="003E78AB" w:rsidRDefault="00010BF9">
            <w:pPr>
              <w:pStyle w:val="aff6"/>
              <w:topLinePunct/>
            </w:pPr>
            <w:r>
              <w:t>0</w:t>
            </w:r>
          </w:p>
        </w:tc>
        <w:tc>
          <w:tcPr>
            <w:tcW w:w="360" w:type="pct"/>
            <w:vAlign w:val="center"/>
          </w:tcPr>
          <w:p w14:paraId="1260C4B9" w14:textId="77777777" w:rsidR="003E78AB" w:rsidRDefault="00010BF9">
            <w:pPr>
              <w:pStyle w:val="aff6"/>
              <w:topLinePunct/>
            </w:pPr>
            <w:r>
              <w:t>0</w:t>
            </w:r>
          </w:p>
        </w:tc>
        <w:tc>
          <w:tcPr>
            <w:tcW w:w="360" w:type="pct"/>
            <w:vAlign w:val="center"/>
          </w:tcPr>
          <w:p w14:paraId="2567ADA6" w14:textId="77777777" w:rsidR="003E78AB" w:rsidRDefault="00010BF9">
            <w:pPr>
              <w:pStyle w:val="aff6"/>
              <w:topLinePunct/>
            </w:pPr>
            <w:r>
              <w:t>0</w:t>
            </w:r>
          </w:p>
        </w:tc>
        <w:tc>
          <w:tcPr>
            <w:tcW w:w="360" w:type="pct"/>
            <w:vAlign w:val="center"/>
          </w:tcPr>
          <w:p w14:paraId="157D74E0" w14:textId="77777777" w:rsidR="003E78AB" w:rsidRDefault="00010BF9">
            <w:pPr>
              <w:pStyle w:val="aff6"/>
              <w:topLinePunct/>
            </w:pPr>
            <w:r>
              <w:t>0</w:t>
            </w:r>
          </w:p>
        </w:tc>
        <w:tc>
          <w:tcPr>
            <w:tcW w:w="360" w:type="pct"/>
            <w:vAlign w:val="center"/>
          </w:tcPr>
          <w:p w14:paraId="08F9785D" w14:textId="77777777" w:rsidR="003E78AB" w:rsidRDefault="00010BF9">
            <w:pPr>
              <w:pStyle w:val="aff6"/>
              <w:topLinePunct/>
            </w:pPr>
            <w:r>
              <w:t>0.000008</w:t>
            </w:r>
          </w:p>
        </w:tc>
        <w:tc>
          <w:tcPr>
            <w:tcW w:w="360" w:type="pct"/>
            <w:vAlign w:val="center"/>
          </w:tcPr>
          <w:p w14:paraId="658B4A18" w14:textId="77777777" w:rsidR="003E78AB" w:rsidRDefault="00010BF9">
            <w:pPr>
              <w:pStyle w:val="aff6"/>
              <w:topLinePunct/>
            </w:pPr>
            <w:r>
              <w:t>0.000008</w:t>
            </w:r>
          </w:p>
        </w:tc>
        <w:tc>
          <w:tcPr>
            <w:tcW w:w="360" w:type="pct"/>
            <w:vAlign w:val="center"/>
          </w:tcPr>
          <w:p w14:paraId="2BA67168" w14:textId="77777777" w:rsidR="003E78AB" w:rsidRDefault="00010BF9">
            <w:pPr>
              <w:pStyle w:val="aff6"/>
              <w:topLinePunct/>
            </w:pPr>
            <w:r>
              <w:t>0.000008</w:t>
            </w:r>
          </w:p>
        </w:tc>
        <w:tc>
          <w:tcPr>
            <w:tcW w:w="360" w:type="pct"/>
            <w:vAlign w:val="center"/>
          </w:tcPr>
          <w:p w14:paraId="2B5971D5" w14:textId="77777777" w:rsidR="003E78AB" w:rsidRDefault="00010BF9">
            <w:pPr>
              <w:pStyle w:val="aff6"/>
              <w:topLinePunct/>
            </w:pPr>
            <w:r>
              <w:t>0.000004</w:t>
            </w:r>
          </w:p>
        </w:tc>
        <w:tc>
          <w:tcPr>
            <w:tcW w:w="315" w:type="pct"/>
            <w:vAlign w:val="center"/>
          </w:tcPr>
          <w:p w14:paraId="2170C40F" w14:textId="77777777" w:rsidR="003E78AB" w:rsidRDefault="00010BF9">
            <w:pPr>
              <w:pStyle w:val="aff6"/>
              <w:topLinePunct/>
            </w:pPr>
            <w:r>
              <w:t>0</w:t>
            </w:r>
          </w:p>
        </w:tc>
        <w:tc>
          <w:tcPr>
            <w:tcW w:w="302" w:type="pct"/>
            <w:vAlign w:val="center"/>
          </w:tcPr>
          <w:p w14:paraId="7E1E3874" w14:textId="77777777" w:rsidR="003E78AB" w:rsidRDefault="00010BF9">
            <w:pPr>
              <w:pStyle w:val="aff6"/>
              <w:topLinePunct/>
            </w:pPr>
            <w:r>
              <w:t>0</w:t>
            </w:r>
          </w:p>
        </w:tc>
      </w:tr>
      <w:tr w:rsidR="003E78AB" w14:paraId="0D47D04D" w14:textId="77777777">
        <w:trPr>
          <w:trHeight w:val="288"/>
        </w:trPr>
        <w:tc>
          <w:tcPr>
            <w:tcW w:w="357" w:type="pct"/>
            <w:vAlign w:val="center"/>
          </w:tcPr>
          <w:p w14:paraId="166DE060" w14:textId="77777777" w:rsidR="003E78AB" w:rsidRDefault="00010BF9">
            <w:pPr>
              <w:pStyle w:val="aff6"/>
              <w:topLinePunct/>
            </w:pPr>
            <w:r>
              <w:t>2000</w:t>
            </w:r>
          </w:p>
        </w:tc>
        <w:tc>
          <w:tcPr>
            <w:tcW w:w="777" w:type="pct"/>
            <w:vAlign w:val="center"/>
          </w:tcPr>
          <w:p w14:paraId="104575AE" w14:textId="77777777" w:rsidR="003E78AB" w:rsidRDefault="00010BF9">
            <w:pPr>
              <w:pStyle w:val="aff6"/>
              <w:topLinePunct/>
            </w:pPr>
            <w:r>
              <w:t>0.000007|22</w:t>
            </w:r>
          </w:p>
        </w:tc>
        <w:tc>
          <w:tcPr>
            <w:tcW w:w="360" w:type="pct"/>
            <w:vAlign w:val="center"/>
          </w:tcPr>
          <w:p w14:paraId="53C04D88" w14:textId="77777777" w:rsidR="003E78AB" w:rsidRDefault="00010BF9">
            <w:pPr>
              <w:pStyle w:val="aff6"/>
              <w:topLinePunct/>
            </w:pPr>
            <w:r>
              <w:t>0</w:t>
            </w:r>
          </w:p>
        </w:tc>
        <w:tc>
          <w:tcPr>
            <w:tcW w:w="360" w:type="pct"/>
            <w:vAlign w:val="center"/>
          </w:tcPr>
          <w:p w14:paraId="136B3286" w14:textId="77777777" w:rsidR="003E78AB" w:rsidRDefault="00010BF9">
            <w:pPr>
              <w:pStyle w:val="aff6"/>
              <w:topLinePunct/>
            </w:pPr>
            <w:r>
              <w:t>0</w:t>
            </w:r>
          </w:p>
        </w:tc>
        <w:tc>
          <w:tcPr>
            <w:tcW w:w="360" w:type="pct"/>
            <w:vAlign w:val="center"/>
          </w:tcPr>
          <w:p w14:paraId="127E0989" w14:textId="77777777" w:rsidR="003E78AB" w:rsidRDefault="00010BF9">
            <w:pPr>
              <w:pStyle w:val="aff6"/>
              <w:topLinePunct/>
            </w:pPr>
            <w:r>
              <w:t>0</w:t>
            </w:r>
          </w:p>
        </w:tc>
        <w:tc>
          <w:tcPr>
            <w:tcW w:w="360" w:type="pct"/>
            <w:vAlign w:val="center"/>
          </w:tcPr>
          <w:p w14:paraId="084091DB" w14:textId="77777777" w:rsidR="003E78AB" w:rsidRDefault="00010BF9">
            <w:pPr>
              <w:pStyle w:val="aff6"/>
              <w:topLinePunct/>
            </w:pPr>
            <w:r>
              <w:t>0</w:t>
            </w:r>
          </w:p>
        </w:tc>
        <w:tc>
          <w:tcPr>
            <w:tcW w:w="360" w:type="pct"/>
            <w:vAlign w:val="center"/>
          </w:tcPr>
          <w:p w14:paraId="3028442B" w14:textId="77777777" w:rsidR="003E78AB" w:rsidRDefault="00010BF9">
            <w:pPr>
              <w:pStyle w:val="aff6"/>
              <w:topLinePunct/>
            </w:pPr>
            <w:r>
              <w:t>0</w:t>
            </w:r>
          </w:p>
        </w:tc>
        <w:tc>
          <w:tcPr>
            <w:tcW w:w="360" w:type="pct"/>
            <w:vAlign w:val="center"/>
          </w:tcPr>
          <w:p w14:paraId="13CBF5A6" w14:textId="77777777" w:rsidR="003E78AB" w:rsidRDefault="00010BF9">
            <w:pPr>
              <w:pStyle w:val="aff6"/>
              <w:topLinePunct/>
            </w:pPr>
            <w:r>
              <w:t>0</w:t>
            </w:r>
          </w:p>
        </w:tc>
        <w:tc>
          <w:tcPr>
            <w:tcW w:w="360" w:type="pct"/>
            <w:vAlign w:val="center"/>
          </w:tcPr>
          <w:p w14:paraId="129B947C" w14:textId="77777777" w:rsidR="003E78AB" w:rsidRDefault="00010BF9">
            <w:pPr>
              <w:pStyle w:val="aff6"/>
              <w:topLinePunct/>
            </w:pPr>
            <w:r>
              <w:t>0.000007</w:t>
            </w:r>
          </w:p>
        </w:tc>
        <w:tc>
          <w:tcPr>
            <w:tcW w:w="360" w:type="pct"/>
            <w:vAlign w:val="center"/>
          </w:tcPr>
          <w:p w14:paraId="759C0ED8" w14:textId="77777777" w:rsidR="003E78AB" w:rsidRDefault="00010BF9">
            <w:pPr>
              <w:pStyle w:val="aff6"/>
              <w:topLinePunct/>
            </w:pPr>
            <w:r>
              <w:t>0.000007</w:t>
            </w:r>
          </w:p>
        </w:tc>
        <w:tc>
          <w:tcPr>
            <w:tcW w:w="360" w:type="pct"/>
            <w:vAlign w:val="center"/>
          </w:tcPr>
          <w:p w14:paraId="7EF25E57" w14:textId="77777777" w:rsidR="003E78AB" w:rsidRDefault="00010BF9">
            <w:pPr>
              <w:pStyle w:val="aff6"/>
              <w:topLinePunct/>
            </w:pPr>
            <w:r>
              <w:t>0.000007</w:t>
            </w:r>
          </w:p>
        </w:tc>
        <w:tc>
          <w:tcPr>
            <w:tcW w:w="315" w:type="pct"/>
            <w:vAlign w:val="center"/>
          </w:tcPr>
          <w:p w14:paraId="331A22C5" w14:textId="77777777" w:rsidR="003E78AB" w:rsidRDefault="00010BF9">
            <w:pPr>
              <w:pStyle w:val="aff6"/>
              <w:topLinePunct/>
            </w:pPr>
            <w:r>
              <w:t>0</w:t>
            </w:r>
          </w:p>
        </w:tc>
        <w:tc>
          <w:tcPr>
            <w:tcW w:w="302" w:type="pct"/>
            <w:vAlign w:val="center"/>
          </w:tcPr>
          <w:p w14:paraId="0CB4C074" w14:textId="77777777" w:rsidR="003E78AB" w:rsidRDefault="00010BF9">
            <w:pPr>
              <w:pStyle w:val="aff6"/>
              <w:topLinePunct/>
            </w:pPr>
            <w:r>
              <w:t>0</w:t>
            </w:r>
          </w:p>
        </w:tc>
      </w:tr>
      <w:tr w:rsidR="003E78AB" w14:paraId="5B40E455" w14:textId="77777777">
        <w:trPr>
          <w:trHeight w:val="290"/>
        </w:trPr>
        <w:tc>
          <w:tcPr>
            <w:tcW w:w="357" w:type="pct"/>
            <w:vAlign w:val="center"/>
          </w:tcPr>
          <w:p w14:paraId="170EC941" w14:textId="77777777" w:rsidR="003E78AB" w:rsidRDefault="00010BF9">
            <w:pPr>
              <w:pStyle w:val="aff6"/>
              <w:topLinePunct/>
            </w:pPr>
            <w:r>
              <w:t>2500</w:t>
            </w:r>
          </w:p>
        </w:tc>
        <w:tc>
          <w:tcPr>
            <w:tcW w:w="777" w:type="pct"/>
            <w:vAlign w:val="center"/>
          </w:tcPr>
          <w:p w14:paraId="2D4B8DB1" w14:textId="77777777" w:rsidR="003E78AB" w:rsidRDefault="00010BF9">
            <w:pPr>
              <w:pStyle w:val="aff6"/>
              <w:topLinePunct/>
            </w:pPr>
            <w:r>
              <w:t>0.000005|27</w:t>
            </w:r>
          </w:p>
        </w:tc>
        <w:tc>
          <w:tcPr>
            <w:tcW w:w="360" w:type="pct"/>
            <w:vAlign w:val="center"/>
          </w:tcPr>
          <w:p w14:paraId="4687994A" w14:textId="77777777" w:rsidR="003E78AB" w:rsidRDefault="00010BF9">
            <w:pPr>
              <w:pStyle w:val="aff6"/>
              <w:topLinePunct/>
            </w:pPr>
            <w:r>
              <w:t>0</w:t>
            </w:r>
          </w:p>
        </w:tc>
        <w:tc>
          <w:tcPr>
            <w:tcW w:w="360" w:type="pct"/>
            <w:vAlign w:val="center"/>
          </w:tcPr>
          <w:p w14:paraId="5B108B7D" w14:textId="77777777" w:rsidR="003E78AB" w:rsidRDefault="00010BF9">
            <w:pPr>
              <w:pStyle w:val="aff6"/>
              <w:topLinePunct/>
            </w:pPr>
            <w:r>
              <w:t>0</w:t>
            </w:r>
          </w:p>
        </w:tc>
        <w:tc>
          <w:tcPr>
            <w:tcW w:w="360" w:type="pct"/>
            <w:vAlign w:val="center"/>
          </w:tcPr>
          <w:p w14:paraId="24C431EC" w14:textId="77777777" w:rsidR="003E78AB" w:rsidRDefault="00010BF9">
            <w:pPr>
              <w:pStyle w:val="aff6"/>
              <w:topLinePunct/>
            </w:pPr>
            <w:r>
              <w:t>0</w:t>
            </w:r>
          </w:p>
        </w:tc>
        <w:tc>
          <w:tcPr>
            <w:tcW w:w="360" w:type="pct"/>
            <w:vAlign w:val="center"/>
          </w:tcPr>
          <w:p w14:paraId="15BBF9B6" w14:textId="77777777" w:rsidR="003E78AB" w:rsidRDefault="00010BF9">
            <w:pPr>
              <w:pStyle w:val="aff6"/>
              <w:topLinePunct/>
            </w:pPr>
            <w:r>
              <w:t>0</w:t>
            </w:r>
          </w:p>
        </w:tc>
        <w:tc>
          <w:tcPr>
            <w:tcW w:w="360" w:type="pct"/>
            <w:vAlign w:val="center"/>
          </w:tcPr>
          <w:p w14:paraId="67677FD3" w14:textId="77777777" w:rsidR="003E78AB" w:rsidRDefault="00010BF9">
            <w:pPr>
              <w:pStyle w:val="aff6"/>
              <w:topLinePunct/>
            </w:pPr>
            <w:r>
              <w:t>0</w:t>
            </w:r>
          </w:p>
        </w:tc>
        <w:tc>
          <w:tcPr>
            <w:tcW w:w="360" w:type="pct"/>
            <w:vAlign w:val="center"/>
          </w:tcPr>
          <w:p w14:paraId="089FB126" w14:textId="77777777" w:rsidR="003E78AB" w:rsidRDefault="00010BF9">
            <w:pPr>
              <w:pStyle w:val="aff6"/>
              <w:topLinePunct/>
            </w:pPr>
            <w:r>
              <w:t>0</w:t>
            </w:r>
          </w:p>
        </w:tc>
        <w:tc>
          <w:tcPr>
            <w:tcW w:w="360" w:type="pct"/>
            <w:vAlign w:val="center"/>
          </w:tcPr>
          <w:p w14:paraId="715BBD11" w14:textId="77777777" w:rsidR="003E78AB" w:rsidRDefault="00010BF9">
            <w:pPr>
              <w:pStyle w:val="aff6"/>
              <w:topLinePunct/>
            </w:pPr>
            <w:r>
              <w:t>0.000005</w:t>
            </w:r>
          </w:p>
        </w:tc>
        <w:tc>
          <w:tcPr>
            <w:tcW w:w="360" w:type="pct"/>
            <w:vAlign w:val="center"/>
          </w:tcPr>
          <w:p w14:paraId="67713334" w14:textId="77777777" w:rsidR="003E78AB" w:rsidRDefault="00010BF9">
            <w:pPr>
              <w:pStyle w:val="aff6"/>
              <w:topLinePunct/>
            </w:pPr>
            <w:r>
              <w:t>0.000005</w:t>
            </w:r>
          </w:p>
        </w:tc>
        <w:tc>
          <w:tcPr>
            <w:tcW w:w="360" w:type="pct"/>
            <w:vAlign w:val="center"/>
          </w:tcPr>
          <w:p w14:paraId="7CC63FCF" w14:textId="77777777" w:rsidR="003E78AB" w:rsidRDefault="00010BF9">
            <w:pPr>
              <w:pStyle w:val="aff6"/>
              <w:topLinePunct/>
            </w:pPr>
            <w:r>
              <w:t>0.000005</w:t>
            </w:r>
          </w:p>
        </w:tc>
        <w:tc>
          <w:tcPr>
            <w:tcW w:w="315" w:type="pct"/>
            <w:vAlign w:val="center"/>
          </w:tcPr>
          <w:p w14:paraId="5C8AD3F2" w14:textId="77777777" w:rsidR="003E78AB" w:rsidRDefault="00010BF9">
            <w:pPr>
              <w:pStyle w:val="aff6"/>
              <w:topLinePunct/>
            </w:pPr>
            <w:r>
              <w:t>0</w:t>
            </w:r>
          </w:p>
        </w:tc>
        <w:tc>
          <w:tcPr>
            <w:tcW w:w="302" w:type="pct"/>
            <w:vAlign w:val="center"/>
          </w:tcPr>
          <w:p w14:paraId="54F1CC8B" w14:textId="77777777" w:rsidR="003E78AB" w:rsidRDefault="00010BF9">
            <w:pPr>
              <w:pStyle w:val="aff6"/>
              <w:topLinePunct/>
            </w:pPr>
            <w:r>
              <w:t>0</w:t>
            </w:r>
          </w:p>
        </w:tc>
      </w:tr>
      <w:tr w:rsidR="003E78AB" w14:paraId="5CEDD2DC" w14:textId="77777777">
        <w:trPr>
          <w:trHeight w:val="287"/>
        </w:trPr>
        <w:tc>
          <w:tcPr>
            <w:tcW w:w="357" w:type="pct"/>
            <w:vAlign w:val="center"/>
          </w:tcPr>
          <w:p w14:paraId="63848A09" w14:textId="77777777" w:rsidR="003E78AB" w:rsidRDefault="00010BF9">
            <w:pPr>
              <w:pStyle w:val="aff6"/>
              <w:topLinePunct/>
            </w:pPr>
            <w:r>
              <w:t>3000</w:t>
            </w:r>
          </w:p>
        </w:tc>
        <w:tc>
          <w:tcPr>
            <w:tcW w:w="777" w:type="pct"/>
            <w:vAlign w:val="center"/>
          </w:tcPr>
          <w:p w14:paraId="6EB07074" w14:textId="77777777" w:rsidR="003E78AB" w:rsidRDefault="00010BF9">
            <w:pPr>
              <w:pStyle w:val="aff6"/>
              <w:topLinePunct/>
            </w:pPr>
            <w:r>
              <w:t>0.000004|35</w:t>
            </w:r>
          </w:p>
        </w:tc>
        <w:tc>
          <w:tcPr>
            <w:tcW w:w="360" w:type="pct"/>
            <w:vAlign w:val="center"/>
          </w:tcPr>
          <w:p w14:paraId="01D715A5" w14:textId="77777777" w:rsidR="003E78AB" w:rsidRDefault="00010BF9">
            <w:pPr>
              <w:pStyle w:val="aff6"/>
              <w:topLinePunct/>
            </w:pPr>
            <w:r>
              <w:t>0</w:t>
            </w:r>
          </w:p>
        </w:tc>
        <w:tc>
          <w:tcPr>
            <w:tcW w:w="360" w:type="pct"/>
            <w:vAlign w:val="center"/>
          </w:tcPr>
          <w:p w14:paraId="33660607" w14:textId="77777777" w:rsidR="003E78AB" w:rsidRDefault="00010BF9">
            <w:pPr>
              <w:pStyle w:val="aff6"/>
              <w:topLinePunct/>
            </w:pPr>
            <w:r>
              <w:t>0</w:t>
            </w:r>
          </w:p>
        </w:tc>
        <w:tc>
          <w:tcPr>
            <w:tcW w:w="360" w:type="pct"/>
            <w:vAlign w:val="center"/>
          </w:tcPr>
          <w:p w14:paraId="6C01FF07" w14:textId="77777777" w:rsidR="003E78AB" w:rsidRDefault="00010BF9">
            <w:pPr>
              <w:pStyle w:val="aff6"/>
              <w:topLinePunct/>
            </w:pPr>
            <w:r>
              <w:t>0</w:t>
            </w:r>
          </w:p>
        </w:tc>
        <w:tc>
          <w:tcPr>
            <w:tcW w:w="360" w:type="pct"/>
            <w:vAlign w:val="center"/>
          </w:tcPr>
          <w:p w14:paraId="23A1A123" w14:textId="77777777" w:rsidR="003E78AB" w:rsidRDefault="00010BF9">
            <w:pPr>
              <w:pStyle w:val="aff6"/>
              <w:topLinePunct/>
            </w:pPr>
            <w:r>
              <w:t>0</w:t>
            </w:r>
          </w:p>
        </w:tc>
        <w:tc>
          <w:tcPr>
            <w:tcW w:w="360" w:type="pct"/>
            <w:vAlign w:val="center"/>
          </w:tcPr>
          <w:p w14:paraId="0AAF7D48" w14:textId="77777777" w:rsidR="003E78AB" w:rsidRDefault="00010BF9">
            <w:pPr>
              <w:pStyle w:val="aff6"/>
              <w:topLinePunct/>
            </w:pPr>
            <w:r>
              <w:t>0</w:t>
            </w:r>
          </w:p>
        </w:tc>
        <w:tc>
          <w:tcPr>
            <w:tcW w:w="360" w:type="pct"/>
            <w:vAlign w:val="center"/>
          </w:tcPr>
          <w:p w14:paraId="0965E42A" w14:textId="77777777" w:rsidR="003E78AB" w:rsidRDefault="00010BF9">
            <w:pPr>
              <w:pStyle w:val="aff6"/>
              <w:topLinePunct/>
            </w:pPr>
            <w:r>
              <w:t>0</w:t>
            </w:r>
          </w:p>
        </w:tc>
        <w:tc>
          <w:tcPr>
            <w:tcW w:w="360" w:type="pct"/>
            <w:vAlign w:val="center"/>
          </w:tcPr>
          <w:p w14:paraId="24EECACB" w14:textId="77777777" w:rsidR="003E78AB" w:rsidRDefault="00010BF9">
            <w:pPr>
              <w:pStyle w:val="aff6"/>
              <w:topLinePunct/>
            </w:pPr>
            <w:r>
              <w:t>0</w:t>
            </w:r>
          </w:p>
        </w:tc>
        <w:tc>
          <w:tcPr>
            <w:tcW w:w="360" w:type="pct"/>
            <w:vAlign w:val="center"/>
          </w:tcPr>
          <w:p w14:paraId="77E695AD" w14:textId="77777777" w:rsidR="003E78AB" w:rsidRDefault="00010BF9">
            <w:pPr>
              <w:pStyle w:val="aff6"/>
              <w:topLinePunct/>
            </w:pPr>
            <w:r>
              <w:t>0.000004</w:t>
            </w:r>
          </w:p>
        </w:tc>
        <w:tc>
          <w:tcPr>
            <w:tcW w:w="360" w:type="pct"/>
            <w:vAlign w:val="center"/>
          </w:tcPr>
          <w:p w14:paraId="6408F612" w14:textId="77777777" w:rsidR="003E78AB" w:rsidRDefault="00010BF9">
            <w:pPr>
              <w:pStyle w:val="aff6"/>
              <w:topLinePunct/>
            </w:pPr>
            <w:r>
              <w:t>0.000004</w:t>
            </w:r>
          </w:p>
        </w:tc>
        <w:tc>
          <w:tcPr>
            <w:tcW w:w="315" w:type="pct"/>
            <w:vAlign w:val="center"/>
          </w:tcPr>
          <w:p w14:paraId="46D503DB" w14:textId="77777777" w:rsidR="003E78AB" w:rsidRDefault="00010BF9">
            <w:pPr>
              <w:pStyle w:val="aff6"/>
              <w:topLinePunct/>
            </w:pPr>
            <w:r>
              <w:t>0.000004</w:t>
            </w:r>
          </w:p>
        </w:tc>
        <w:tc>
          <w:tcPr>
            <w:tcW w:w="302" w:type="pct"/>
            <w:vAlign w:val="center"/>
          </w:tcPr>
          <w:p w14:paraId="7501B0F0" w14:textId="77777777" w:rsidR="003E78AB" w:rsidRDefault="00010BF9">
            <w:pPr>
              <w:pStyle w:val="aff6"/>
              <w:topLinePunct/>
            </w:pPr>
            <w:r>
              <w:t>0</w:t>
            </w:r>
          </w:p>
        </w:tc>
      </w:tr>
      <w:tr w:rsidR="003E78AB" w14:paraId="0295AFED" w14:textId="77777777">
        <w:trPr>
          <w:trHeight w:val="288"/>
        </w:trPr>
        <w:tc>
          <w:tcPr>
            <w:tcW w:w="357" w:type="pct"/>
            <w:vAlign w:val="center"/>
          </w:tcPr>
          <w:p w14:paraId="2ABF1C83" w14:textId="77777777" w:rsidR="003E78AB" w:rsidRDefault="00010BF9">
            <w:pPr>
              <w:pStyle w:val="aff6"/>
              <w:topLinePunct/>
            </w:pPr>
            <w:r>
              <w:t>3500</w:t>
            </w:r>
          </w:p>
        </w:tc>
        <w:tc>
          <w:tcPr>
            <w:tcW w:w="777" w:type="pct"/>
            <w:vAlign w:val="center"/>
          </w:tcPr>
          <w:p w14:paraId="00B59839" w14:textId="77777777" w:rsidR="003E78AB" w:rsidRDefault="00010BF9">
            <w:pPr>
              <w:pStyle w:val="aff6"/>
              <w:topLinePunct/>
            </w:pPr>
            <w:r>
              <w:t>0.000003|40</w:t>
            </w:r>
          </w:p>
        </w:tc>
        <w:tc>
          <w:tcPr>
            <w:tcW w:w="360" w:type="pct"/>
            <w:vAlign w:val="center"/>
          </w:tcPr>
          <w:p w14:paraId="519D72E3" w14:textId="77777777" w:rsidR="003E78AB" w:rsidRDefault="00010BF9">
            <w:pPr>
              <w:pStyle w:val="aff6"/>
              <w:topLinePunct/>
            </w:pPr>
            <w:r>
              <w:t>0</w:t>
            </w:r>
          </w:p>
        </w:tc>
        <w:tc>
          <w:tcPr>
            <w:tcW w:w="360" w:type="pct"/>
            <w:vAlign w:val="center"/>
          </w:tcPr>
          <w:p w14:paraId="204D4071" w14:textId="77777777" w:rsidR="003E78AB" w:rsidRDefault="00010BF9">
            <w:pPr>
              <w:pStyle w:val="aff6"/>
              <w:topLinePunct/>
            </w:pPr>
            <w:r>
              <w:t>0</w:t>
            </w:r>
          </w:p>
        </w:tc>
        <w:tc>
          <w:tcPr>
            <w:tcW w:w="360" w:type="pct"/>
            <w:vAlign w:val="center"/>
          </w:tcPr>
          <w:p w14:paraId="4EADE30D" w14:textId="77777777" w:rsidR="003E78AB" w:rsidRDefault="00010BF9">
            <w:pPr>
              <w:pStyle w:val="aff6"/>
              <w:topLinePunct/>
            </w:pPr>
            <w:r>
              <w:t>0</w:t>
            </w:r>
          </w:p>
        </w:tc>
        <w:tc>
          <w:tcPr>
            <w:tcW w:w="360" w:type="pct"/>
            <w:vAlign w:val="center"/>
          </w:tcPr>
          <w:p w14:paraId="7FEC45CE" w14:textId="77777777" w:rsidR="003E78AB" w:rsidRDefault="00010BF9">
            <w:pPr>
              <w:pStyle w:val="aff6"/>
              <w:topLinePunct/>
            </w:pPr>
            <w:r>
              <w:t>0</w:t>
            </w:r>
          </w:p>
        </w:tc>
        <w:tc>
          <w:tcPr>
            <w:tcW w:w="360" w:type="pct"/>
            <w:vAlign w:val="center"/>
          </w:tcPr>
          <w:p w14:paraId="263EF91B" w14:textId="77777777" w:rsidR="003E78AB" w:rsidRDefault="00010BF9">
            <w:pPr>
              <w:pStyle w:val="aff6"/>
              <w:topLinePunct/>
            </w:pPr>
            <w:r>
              <w:t>0</w:t>
            </w:r>
          </w:p>
        </w:tc>
        <w:tc>
          <w:tcPr>
            <w:tcW w:w="360" w:type="pct"/>
            <w:vAlign w:val="center"/>
          </w:tcPr>
          <w:p w14:paraId="58E751A8" w14:textId="77777777" w:rsidR="003E78AB" w:rsidRDefault="00010BF9">
            <w:pPr>
              <w:pStyle w:val="aff6"/>
              <w:topLinePunct/>
            </w:pPr>
            <w:r>
              <w:t>0</w:t>
            </w:r>
          </w:p>
        </w:tc>
        <w:tc>
          <w:tcPr>
            <w:tcW w:w="360" w:type="pct"/>
            <w:vAlign w:val="center"/>
          </w:tcPr>
          <w:p w14:paraId="3D34737F" w14:textId="77777777" w:rsidR="003E78AB" w:rsidRDefault="00010BF9">
            <w:pPr>
              <w:pStyle w:val="aff6"/>
              <w:topLinePunct/>
            </w:pPr>
            <w:r>
              <w:t>0</w:t>
            </w:r>
          </w:p>
        </w:tc>
        <w:tc>
          <w:tcPr>
            <w:tcW w:w="360" w:type="pct"/>
            <w:vAlign w:val="center"/>
          </w:tcPr>
          <w:p w14:paraId="203FA455" w14:textId="77777777" w:rsidR="003E78AB" w:rsidRDefault="00010BF9">
            <w:pPr>
              <w:pStyle w:val="aff6"/>
              <w:topLinePunct/>
            </w:pPr>
            <w:r>
              <w:t>0.000003</w:t>
            </w:r>
          </w:p>
        </w:tc>
        <w:tc>
          <w:tcPr>
            <w:tcW w:w="360" w:type="pct"/>
            <w:vAlign w:val="center"/>
          </w:tcPr>
          <w:p w14:paraId="44901883" w14:textId="77777777" w:rsidR="003E78AB" w:rsidRDefault="00010BF9">
            <w:pPr>
              <w:pStyle w:val="aff6"/>
              <w:topLinePunct/>
            </w:pPr>
            <w:r>
              <w:t>0.000003</w:t>
            </w:r>
          </w:p>
        </w:tc>
        <w:tc>
          <w:tcPr>
            <w:tcW w:w="315" w:type="pct"/>
            <w:vAlign w:val="center"/>
          </w:tcPr>
          <w:p w14:paraId="670925F1" w14:textId="77777777" w:rsidR="003E78AB" w:rsidRDefault="00010BF9">
            <w:pPr>
              <w:pStyle w:val="aff6"/>
              <w:topLinePunct/>
            </w:pPr>
            <w:r>
              <w:t>0.000003</w:t>
            </w:r>
          </w:p>
        </w:tc>
        <w:tc>
          <w:tcPr>
            <w:tcW w:w="302" w:type="pct"/>
            <w:vAlign w:val="center"/>
          </w:tcPr>
          <w:p w14:paraId="65016BE9" w14:textId="77777777" w:rsidR="003E78AB" w:rsidRDefault="00010BF9">
            <w:pPr>
              <w:pStyle w:val="aff6"/>
              <w:topLinePunct/>
            </w:pPr>
            <w:r>
              <w:t>0</w:t>
            </w:r>
          </w:p>
        </w:tc>
      </w:tr>
      <w:tr w:rsidR="003E78AB" w14:paraId="573A8178" w14:textId="77777777">
        <w:trPr>
          <w:trHeight w:val="287"/>
        </w:trPr>
        <w:tc>
          <w:tcPr>
            <w:tcW w:w="357" w:type="pct"/>
            <w:vAlign w:val="center"/>
          </w:tcPr>
          <w:p w14:paraId="438AC840" w14:textId="77777777" w:rsidR="003E78AB" w:rsidRDefault="00010BF9">
            <w:pPr>
              <w:pStyle w:val="aff6"/>
              <w:topLinePunct/>
            </w:pPr>
            <w:r>
              <w:t>4000</w:t>
            </w:r>
          </w:p>
        </w:tc>
        <w:tc>
          <w:tcPr>
            <w:tcW w:w="777" w:type="pct"/>
            <w:vAlign w:val="center"/>
          </w:tcPr>
          <w:p w14:paraId="3E311F16" w14:textId="77777777" w:rsidR="003E78AB" w:rsidRDefault="00010BF9">
            <w:pPr>
              <w:pStyle w:val="aff6"/>
              <w:topLinePunct/>
            </w:pPr>
            <w:r>
              <w:t>0.000003|47</w:t>
            </w:r>
          </w:p>
        </w:tc>
        <w:tc>
          <w:tcPr>
            <w:tcW w:w="360" w:type="pct"/>
            <w:vAlign w:val="center"/>
          </w:tcPr>
          <w:p w14:paraId="7D8265AE" w14:textId="77777777" w:rsidR="003E78AB" w:rsidRDefault="00010BF9">
            <w:pPr>
              <w:pStyle w:val="aff6"/>
              <w:topLinePunct/>
            </w:pPr>
            <w:r>
              <w:t>0</w:t>
            </w:r>
          </w:p>
        </w:tc>
        <w:tc>
          <w:tcPr>
            <w:tcW w:w="360" w:type="pct"/>
            <w:vAlign w:val="center"/>
          </w:tcPr>
          <w:p w14:paraId="0E83CA7C" w14:textId="77777777" w:rsidR="003E78AB" w:rsidRDefault="00010BF9">
            <w:pPr>
              <w:pStyle w:val="aff6"/>
              <w:topLinePunct/>
            </w:pPr>
            <w:r>
              <w:t>0</w:t>
            </w:r>
          </w:p>
        </w:tc>
        <w:tc>
          <w:tcPr>
            <w:tcW w:w="360" w:type="pct"/>
            <w:vAlign w:val="center"/>
          </w:tcPr>
          <w:p w14:paraId="70FBBDB4" w14:textId="77777777" w:rsidR="003E78AB" w:rsidRDefault="00010BF9">
            <w:pPr>
              <w:pStyle w:val="aff6"/>
              <w:topLinePunct/>
            </w:pPr>
            <w:r>
              <w:t>0</w:t>
            </w:r>
          </w:p>
        </w:tc>
        <w:tc>
          <w:tcPr>
            <w:tcW w:w="360" w:type="pct"/>
            <w:vAlign w:val="center"/>
          </w:tcPr>
          <w:p w14:paraId="04A98740" w14:textId="77777777" w:rsidR="003E78AB" w:rsidRDefault="00010BF9">
            <w:pPr>
              <w:pStyle w:val="aff6"/>
              <w:topLinePunct/>
            </w:pPr>
            <w:r>
              <w:t>0</w:t>
            </w:r>
          </w:p>
        </w:tc>
        <w:tc>
          <w:tcPr>
            <w:tcW w:w="360" w:type="pct"/>
            <w:vAlign w:val="center"/>
          </w:tcPr>
          <w:p w14:paraId="76B6423E" w14:textId="77777777" w:rsidR="003E78AB" w:rsidRDefault="00010BF9">
            <w:pPr>
              <w:pStyle w:val="aff6"/>
              <w:topLinePunct/>
            </w:pPr>
            <w:r>
              <w:t>0</w:t>
            </w:r>
          </w:p>
        </w:tc>
        <w:tc>
          <w:tcPr>
            <w:tcW w:w="360" w:type="pct"/>
            <w:vAlign w:val="center"/>
          </w:tcPr>
          <w:p w14:paraId="491833DE" w14:textId="77777777" w:rsidR="003E78AB" w:rsidRDefault="00010BF9">
            <w:pPr>
              <w:pStyle w:val="aff6"/>
              <w:topLinePunct/>
            </w:pPr>
            <w:r>
              <w:t>0</w:t>
            </w:r>
          </w:p>
        </w:tc>
        <w:tc>
          <w:tcPr>
            <w:tcW w:w="360" w:type="pct"/>
            <w:vAlign w:val="center"/>
          </w:tcPr>
          <w:p w14:paraId="408AA27E" w14:textId="77777777" w:rsidR="003E78AB" w:rsidRDefault="00010BF9">
            <w:pPr>
              <w:pStyle w:val="aff6"/>
              <w:topLinePunct/>
            </w:pPr>
            <w:r>
              <w:t>0</w:t>
            </w:r>
          </w:p>
        </w:tc>
        <w:tc>
          <w:tcPr>
            <w:tcW w:w="360" w:type="pct"/>
            <w:vAlign w:val="center"/>
          </w:tcPr>
          <w:p w14:paraId="21888342" w14:textId="77777777" w:rsidR="003E78AB" w:rsidRDefault="00010BF9">
            <w:pPr>
              <w:pStyle w:val="aff6"/>
              <w:topLinePunct/>
            </w:pPr>
            <w:r>
              <w:t>0</w:t>
            </w:r>
          </w:p>
        </w:tc>
        <w:tc>
          <w:tcPr>
            <w:tcW w:w="360" w:type="pct"/>
            <w:vAlign w:val="center"/>
          </w:tcPr>
          <w:p w14:paraId="0D203965" w14:textId="77777777" w:rsidR="003E78AB" w:rsidRDefault="00010BF9">
            <w:pPr>
              <w:pStyle w:val="aff6"/>
              <w:topLinePunct/>
            </w:pPr>
            <w:r>
              <w:t>0.000003</w:t>
            </w:r>
          </w:p>
        </w:tc>
        <w:tc>
          <w:tcPr>
            <w:tcW w:w="315" w:type="pct"/>
            <w:vAlign w:val="center"/>
          </w:tcPr>
          <w:p w14:paraId="284696EF" w14:textId="77777777" w:rsidR="003E78AB" w:rsidRDefault="00010BF9">
            <w:pPr>
              <w:pStyle w:val="aff6"/>
              <w:topLinePunct/>
            </w:pPr>
            <w:r>
              <w:t>0.000003</w:t>
            </w:r>
          </w:p>
        </w:tc>
        <w:tc>
          <w:tcPr>
            <w:tcW w:w="302" w:type="pct"/>
            <w:vAlign w:val="center"/>
          </w:tcPr>
          <w:p w14:paraId="37190DFD" w14:textId="77777777" w:rsidR="003E78AB" w:rsidRDefault="00010BF9">
            <w:pPr>
              <w:pStyle w:val="aff6"/>
              <w:topLinePunct/>
            </w:pPr>
            <w:r>
              <w:t>0</w:t>
            </w:r>
          </w:p>
        </w:tc>
      </w:tr>
      <w:tr w:rsidR="003E78AB" w14:paraId="2C5531B3" w14:textId="77777777">
        <w:trPr>
          <w:trHeight w:val="302"/>
        </w:trPr>
        <w:tc>
          <w:tcPr>
            <w:tcW w:w="357" w:type="pct"/>
            <w:vAlign w:val="center"/>
          </w:tcPr>
          <w:p w14:paraId="7A85BB45" w14:textId="77777777" w:rsidR="003E78AB" w:rsidRDefault="00010BF9">
            <w:pPr>
              <w:pStyle w:val="aff6"/>
              <w:topLinePunct/>
            </w:pPr>
            <w:r>
              <w:t>5000</w:t>
            </w:r>
          </w:p>
        </w:tc>
        <w:tc>
          <w:tcPr>
            <w:tcW w:w="777" w:type="pct"/>
            <w:vAlign w:val="center"/>
          </w:tcPr>
          <w:p w14:paraId="776E4EBC" w14:textId="77777777" w:rsidR="003E78AB" w:rsidRDefault="00010BF9">
            <w:pPr>
              <w:pStyle w:val="aff6"/>
              <w:topLinePunct/>
            </w:pPr>
            <w:r>
              <w:t>0.000002|57</w:t>
            </w:r>
          </w:p>
        </w:tc>
        <w:tc>
          <w:tcPr>
            <w:tcW w:w="360" w:type="pct"/>
            <w:vAlign w:val="center"/>
          </w:tcPr>
          <w:p w14:paraId="5DCF681F" w14:textId="77777777" w:rsidR="003E78AB" w:rsidRDefault="00010BF9">
            <w:pPr>
              <w:pStyle w:val="aff6"/>
              <w:topLinePunct/>
            </w:pPr>
            <w:r>
              <w:t>0</w:t>
            </w:r>
          </w:p>
        </w:tc>
        <w:tc>
          <w:tcPr>
            <w:tcW w:w="360" w:type="pct"/>
            <w:vAlign w:val="center"/>
          </w:tcPr>
          <w:p w14:paraId="78DA67C4" w14:textId="77777777" w:rsidR="003E78AB" w:rsidRDefault="00010BF9">
            <w:pPr>
              <w:pStyle w:val="aff6"/>
              <w:topLinePunct/>
            </w:pPr>
            <w:r>
              <w:t>0</w:t>
            </w:r>
          </w:p>
        </w:tc>
        <w:tc>
          <w:tcPr>
            <w:tcW w:w="360" w:type="pct"/>
            <w:vAlign w:val="center"/>
          </w:tcPr>
          <w:p w14:paraId="6DCBC9BB" w14:textId="77777777" w:rsidR="003E78AB" w:rsidRDefault="00010BF9">
            <w:pPr>
              <w:pStyle w:val="aff6"/>
              <w:topLinePunct/>
            </w:pPr>
            <w:r>
              <w:t>0</w:t>
            </w:r>
          </w:p>
        </w:tc>
        <w:tc>
          <w:tcPr>
            <w:tcW w:w="360" w:type="pct"/>
            <w:vAlign w:val="center"/>
          </w:tcPr>
          <w:p w14:paraId="3E06EAC4" w14:textId="77777777" w:rsidR="003E78AB" w:rsidRDefault="00010BF9">
            <w:pPr>
              <w:pStyle w:val="aff6"/>
              <w:topLinePunct/>
            </w:pPr>
            <w:r>
              <w:t>0</w:t>
            </w:r>
          </w:p>
        </w:tc>
        <w:tc>
          <w:tcPr>
            <w:tcW w:w="360" w:type="pct"/>
            <w:vAlign w:val="center"/>
          </w:tcPr>
          <w:p w14:paraId="2A694755" w14:textId="77777777" w:rsidR="003E78AB" w:rsidRDefault="00010BF9">
            <w:pPr>
              <w:pStyle w:val="aff6"/>
              <w:topLinePunct/>
            </w:pPr>
            <w:r>
              <w:t>0</w:t>
            </w:r>
          </w:p>
        </w:tc>
        <w:tc>
          <w:tcPr>
            <w:tcW w:w="360" w:type="pct"/>
            <w:vAlign w:val="center"/>
          </w:tcPr>
          <w:p w14:paraId="23E25176" w14:textId="77777777" w:rsidR="003E78AB" w:rsidRDefault="00010BF9">
            <w:pPr>
              <w:pStyle w:val="aff6"/>
              <w:topLinePunct/>
            </w:pPr>
            <w:r>
              <w:t>0</w:t>
            </w:r>
          </w:p>
        </w:tc>
        <w:tc>
          <w:tcPr>
            <w:tcW w:w="360" w:type="pct"/>
            <w:vAlign w:val="center"/>
          </w:tcPr>
          <w:p w14:paraId="3C5BDD94" w14:textId="77777777" w:rsidR="003E78AB" w:rsidRDefault="00010BF9">
            <w:pPr>
              <w:pStyle w:val="aff6"/>
              <w:topLinePunct/>
            </w:pPr>
            <w:r>
              <w:t>0</w:t>
            </w:r>
          </w:p>
        </w:tc>
        <w:tc>
          <w:tcPr>
            <w:tcW w:w="360" w:type="pct"/>
            <w:vAlign w:val="center"/>
          </w:tcPr>
          <w:p w14:paraId="2B505C12" w14:textId="77777777" w:rsidR="003E78AB" w:rsidRDefault="00010BF9">
            <w:pPr>
              <w:pStyle w:val="aff6"/>
              <w:topLinePunct/>
            </w:pPr>
            <w:r>
              <w:t>0</w:t>
            </w:r>
          </w:p>
        </w:tc>
        <w:tc>
          <w:tcPr>
            <w:tcW w:w="360" w:type="pct"/>
            <w:vAlign w:val="center"/>
          </w:tcPr>
          <w:p w14:paraId="44E8E832" w14:textId="77777777" w:rsidR="003E78AB" w:rsidRDefault="00010BF9">
            <w:pPr>
              <w:pStyle w:val="aff6"/>
              <w:topLinePunct/>
            </w:pPr>
            <w:r>
              <w:t>0</w:t>
            </w:r>
          </w:p>
        </w:tc>
        <w:tc>
          <w:tcPr>
            <w:tcW w:w="315" w:type="pct"/>
            <w:vAlign w:val="center"/>
          </w:tcPr>
          <w:p w14:paraId="36208ED8" w14:textId="77777777" w:rsidR="003E78AB" w:rsidRDefault="00010BF9">
            <w:pPr>
              <w:pStyle w:val="aff6"/>
              <w:topLinePunct/>
            </w:pPr>
            <w:r>
              <w:t>0.000002</w:t>
            </w:r>
          </w:p>
        </w:tc>
        <w:tc>
          <w:tcPr>
            <w:tcW w:w="302" w:type="pct"/>
            <w:vAlign w:val="center"/>
          </w:tcPr>
          <w:p w14:paraId="1A14D5A7" w14:textId="77777777" w:rsidR="003E78AB" w:rsidRDefault="00010BF9">
            <w:pPr>
              <w:pStyle w:val="aff6"/>
              <w:topLinePunct/>
            </w:pPr>
            <w:r>
              <w:t>0.000002</w:t>
            </w:r>
          </w:p>
        </w:tc>
      </w:tr>
    </w:tbl>
    <w:p w14:paraId="5B60652F" w14:textId="77777777" w:rsidR="003E78AB" w:rsidRDefault="00010BF9">
      <w:pPr>
        <w:pStyle w:val="a"/>
        <w:spacing w:before="120"/>
        <w:ind w:left="425" w:hanging="425"/>
        <w:jc w:val="right"/>
      </w:pPr>
      <w:bookmarkStart w:id="442" w:name="_Ref12622"/>
      <w:r>
        <w:t>最常见气象条件不同时段的硫酸地面浓度值</w:t>
      </w:r>
      <w:r>
        <w:rPr>
          <w:rFonts w:hint="eastAsia"/>
        </w:rPr>
        <w:t xml:space="preserve">                         </w:t>
      </w:r>
      <w:r>
        <w:t>单位：</w:t>
      </w:r>
      <w:r>
        <w:t>mg/m</w:t>
      </w:r>
      <w:r>
        <w:rPr>
          <w:vertAlign w:val="superscript"/>
        </w:rPr>
        <w:t>3</w:t>
      </w:r>
      <w:bookmarkEnd w:id="442"/>
    </w:p>
    <w:p w14:paraId="1C16AF04" w14:textId="77777777" w:rsidR="003E78AB" w:rsidRDefault="003E78AB">
      <w:pPr>
        <w:spacing w:line="33" w:lineRule="exact"/>
        <w:ind w:firstLine="480"/>
      </w:pPr>
    </w:p>
    <w:tbl>
      <w:tblPr>
        <w:tblStyle w:val="TableNormal"/>
        <w:tblW w:w="139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2185"/>
        <w:gridCol w:w="1022"/>
        <w:gridCol w:w="1022"/>
        <w:gridCol w:w="1022"/>
        <w:gridCol w:w="1023"/>
        <w:gridCol w:w="1020"/>
        <w:gridCol w:w="1020"/>
        <w:gridCol w:w="1023"/>
        <w:gridCol w:w="1020"/>
        <w:gridCol w:w="1022"/>
        <w:gridCol w:w="896"/>
        <w:gridCol w:w="677"/>
      </w:tblGrid>
      <w:tr w:rsidR="003E78AB" w14:paraId="7CFA902A" w14:textId="77777777">
        <w:trPr>
          <w:trHeight w:val="563"/>
          <w:tblHeader/>
        </w:trPr>
        <w:tc>
          <w:tcPr>
            <w:tcW w:w="1013" w:type="dxa"/>
            <w:vAlign w:val="center"/>
          </w:tcPr>
          <w:p w14:paraId="2D44F85B" w14:textId="77777777" w:rsidR="003E78AB" w:rsidRDefault="00010BF9">
            <w:pPr>
              <w:pStyle w:val="aff6"/>
              <w:topLinePunct/>
              <w:rPr>
                <w:b/>
                <w:bCs/>
              </w:rPr>
            </w:pPr>
            <w:r>
              <w:rPr>
                <w:b/>
                <w:bCs/>
              </w:rPr>
              <w:t>距离</w:t>
            </w:r>
          </w:p>
        </w:tc>
        <w:tc>
          <w:tcPr>
            <w:tcW w:w="2185" w:type="dxa"/>
            <w:vAlign w:val="center"/>
          </w:tcPr>
          <w:p w14:paraId="49F894F9" w14:textId="77777777" w:rsidR="003E78AB" w:rsidRDefault="00010BF9">
            <w:pPr>
              <w:pStyle w:val="aff6"/>
              <w:topLinePunct/>
              <w:rPr>
                <w:b/>
                <w:bCs/>
              </w:rPr>
            </w:pPr>
            <w:r>
              <w:rPr>
                <w:b/>
                <w:bCs/>
              </w:rPr>
              <w:t>最大浓度</w:t>
            </w:r>
            <w:r>
              <w:rPr>
                <w:b/>
                <w:bCs/>
              </w:rPr>
              <w:t>(mg/m</w:t>
            </w:r>
            <w:r>
              <w:rPr>
                <w:b/>
                <w:bCs/>
                <w:vertAlign w:val="superscript"/>
              </w:rPr>
              <w:t>3</w:t>
            </w:r>
            <w:r>
              <w:rPr>
                <w:b/>
                <w:bCs/>
              </w:rPr>
              <w:t>)</w:t>
            </w:r>
          </w:p>
          <w:p w14:paraId="6077ED18" w14:textId="77777777" w:rsidR="003E78AB" w:rsidRDefault="00010BF9">
            <w:pPr>
              <w:pStyle w:val="aff6"/>
              <w:topLinePunct/>
              <w:rPr>
                <w:b/>
                <w:bCs/>
              </w:rPr>
            </w:pPr>
            <w:r>
              <w:rPr>
                <w:b/>
                <w:bCs/>
              </w:rPr>
              <w:t>时间</w:t>
            </w:r>
            <w:r>
              <w:rPr>
                <w:b/>
                <w:bCs/>
              </w:rPr>
              <w:t>(min)</w:t>
            </w:r>
          </w:p>
        </w:tc>
        <w:tc>
          <w:tcPr>
            <w:tcW w:w="1022" w:type="dxa"/>
            <w:vAlign w:val="center"/>
          </w:tcPr>
          <w:p w14:paraId="73CFAD59" w14:textId="77777777" w:rsidR="003E78AB" w:rsidRDefault="00010BF9">
            <w:pPr>
              <w:pStyle w:val="aff6"/>
              <w:topLinePunct/>
              <w:rPr>
                <w:b/>
                <w:bCs/>
              </w:rPr>
            </w:pPr>
            <w:r>
              <w:rPr>
                <w:b/>
                <w:bCs/>
              </w:rPr>
              <w:t>1min</w:t>
            </w:r>
          </w:p>
        </w:tc>
        <w:tc>
          <w:tcPr>
            <w:tcW w:w="1022" w:type="dxa"/>
            <w:vAlign w:val="center"/>
          </w:tcPr>
          <w:p w14:paraId="013A244D" w14:textId="77777777" w:rsidR="003E78AB" w:rsidRDefault="00010BF9">
            <w:pPr>
              <w:pStyle w:val="aff6"/>
              <w:topLinePunct/>
              <w:rPr>
                <w:b/>
                <w:bCs/>
              </w:rPr>
            </w:pPr>
            <w:r>
              <w:rPr>
                <w:b/>
                <w:bCs/>
              </w:rPr>
              <w:t>5min</w:t>
            </w:r>
          </w:p>
        </w:tc>
        <w:tc>
          <w:tcPr>
            <w:tcW w:w="1022" w:type="dxa"/>
            <w:vAlign w:val="center"/>
          </w:tcPr>
          <w:p w14:paraId="2E8F3FEB" w14:textId="77777777" w:rsidR="003E78AB" w:rsidRDefault="00010BF9">
            <w:pPr>
              <w:pStyle w:val="aff6"/>
              <w:topLinePunct/>
              <w:rPr>
                <w:b/>
                <w:bCs/>
              </w:rPr>
            </w:pPr>
            <w:r>
              <w:rPr>
                <w:b/>
                <w:bCs/>
              </w:rPr>
              <w:t>8min</w:t>
            </w:r>
          </w:p>
        </w:tc>
        <w:tc>
          <w:tcPr>
            <w:tcW w:w="1023" w:type="dxa"/>
            <w:vAlign w:val="center"/>
          </w:tcPr>
          <w:p w14:paraId="4893D8B6" w14:textId="77777777" w:rsidR="003E78AB" w:rsidRDefault="00010BF9">
            <w:pPr>
              <w:pStyle w:val="aff6"/>
              <w:topLinePunct/>
              <w:rPr>
                <w:b/>
                <w:bCs/>
              </w:rPr>
            </w:pPr>
            <w:r>
              <w:rPr>
                <w:b/>
                <w:bCs/>
              </w:rPr>
              <w:t>10min</w:t>
            </w:r>
          </w:p>
        </w:tc>
        <w:tc>
          <w:tcPr>
            <w:tcW w:w="1020" w:type="dxa"/>
            <w:vAlign w:val="center"/>
          </w:tcPr>
          <w:p w14:paraId="6AEDA840" w14:textId="77777777" w:rsidR="003E78AB" w:rsidRDefault="00010BF9">
            <w:pPr>
              <w:pStyle w:val="aff6"/>
              <w:topLinePunct/>
              <w:rPr>
                <w:b/>
                <w:bCs/>
              </w:rPr>
            </w:pPr>
            <w:r>
              <w:rPr>
                <w:b/>
                <w:bCs/>
              </w:rPr>
              <w:t>15min</w:t>
            </w:r>
          </w:p>
        </w:tc>
        <w:tc>
          <w:tcPr>
            <w:tcW w:w="1020" w:type="dxa"/>
            <w:vAlign w:val="center"/>
          </w:tcPr>
          <w:p w14:paraId="3A5C9796" w14:textId="77777777" w:rsidR="003E78AB" w:rsidRDefault="00010BF9">
            <w:pPr>
              <w:pStyle w:val="aff6"/>
              <w:topLinePunct/>
              <w:rPr>
                <w:b/>
                <w:bCs/>
              </w:rPr>
            </w:pPr>
            <w:r>
              <w:rPr>
                <w:b/>
                <w:bCs/>
              </w:rPr>
              <w:t>20min</w:t>
            </w:r>
          </w:p>
        </w:tc>
        <w:tc>
          <w:tcPr>
            <w:tcW w:w="1023" w:type="dxa"/>
            <w:vAlign w:val="center"/>
          </w:tcPr>
          <w:p w14:paraId="0D30248C" w14:textId="77777777" w:rsidR="003E78AB" w:rsidRDefault="00010BF9">
            <w:pPr>
              <w:pStyle w:val="aff6"/>
              <w:topLinePunct/>
              <w:rPr>
                <w:b/>
                <w:bCs/>
              </w:rPr>
            </w:pPr>
            <w:r>
              <w:rPr>
                <w:b/>
                <w:bCs/>
              </w:rPr>
              <w:t>30min</w:t>
            </w:r>
          </w:p>
        </w:tc>
        <w:tc>
          <w:tcPr>
            <w:tcW w:w="1020" w:type="dxa"/>
            <w:vAlign w:val="center"/>
          </w:tcPr>
          <w:p w14:paraId="0AF6B42D" w14:textId="77777777" w:rsidR="003E78AB" w:rsidRDefault="00010BF9">
            <w:pPr>
              <w:pStyle w:val="aff6"/>
              <w:topLinePunct/>
              <w:rPr>
                <w:b/>
                <w:bCs/>
              </w:rPr>
            </w:pPr>
            <w:r>
              <w:rPr>
                <w:b/>
                <w:bCs/>
              </w:rPr>
              <w:t>40min</w:t>
            </w:r>
          </w:p>
        </w:tc>
        <w:tc>
          <w:tcPr>
            <w:tcW w:w="1022" w:type="dxa"/>
            <w:vAlign w:val="center"/>
          </w:tcPr>
          <w:p w14:paraId="356AE75C" w14:textId="77777777" w:rsidR="003E78AB" w:rsidRDefault="00010BF9">
            <w:pPr>
              <w:pStyle w:val="aff6"/>
              <w:topLinePunct/>
              <w:rPr>
                <w:b/>
                <w:bCs/>
              </w:rPr>
            </w:pPr>
            <w:r>
              <w:rPr>
                <w:b/>
                <w:bCs/>
              </w:rPr>
              <w:t>50min</w:t>
            </w:r>
          </w:p>
        </w:tc>
        <w:tc>
          <w:tcPr>
            <w:tcW w:w="896" w:type="dxa"/>
            <w:vAlign w:val="center"/>
          </w:tcPr>
          <w:p w14:paraId="613A730F" w14:textId="77777777" w:rsidR="003E78AB" w:rsidRDefault="00010BF9">
            <w:pPr>
              <w:pStyle w:val="aff6"/>
              <w:topLinePunct/>
              <w:rPr>
                <w:b/>
                <w:bCs/>
              </w:rPr>
            </w:pPr>
            <w:r>
              <w:rPr>
                <w:b/>
                <w:bCs/>
              </w:rPr>
              <w:t>60min</w:t>
            </w:r>
          </w:p>
        </w:tc>
        <w:tc>
          <w:tcPr>
            <w:tcW w:w="677" w:type="dxa"/>
            <w:vAlign w:val="center"/>
          </w:tcPr>
          <w:p w14:paraId="1A5D00F6" w14:textId="77777777" w:rsidR="003E78AB" w:rsidRDefault="00010BF9">
            <w:pPr>
              <w:pStyle w:val="aff6"/>
              <w:topLinePunct/>
              <w:rPr>
                <w:b/>
                <w:bCs/>
              </w:rPr>
            </w:pPr>
            <w:r>
              <w:rPr>
                <w:b/>
                <w:bCs/>
              </w:rPr>
              <w:t>80min</w:t>
            </w:r>
          </w:p>
        </w:tc>
      </w:tr>
      <w:tr w:rsidR="003E78AB" w14:paraId="759F2E1C" w14:textId="77777777">
        <w:trPr>
          <w:trHeight w:val="287"/>
        </w:trPr>
        <w:tc>
          <w:tcPr>
            <w:tcW w:w="1013" w:type="dxa"/>
            <w:vAlign w:val="center"/>
          </w:tcPr>
          <w:p w14:paraId="3379A14E" w14:textId="77777777" w:rsidR="003E78AB" w:rsidRDefault="00010BF9">
            <w:pPr>
              <w:pStyle w:val="aff6"/>
              <w:topLinePunct/>
            </w:pPr>
            <w:r>
              <w:t>10</w:t>
            </w:r>
          </w:p>
        </w:tc>
        <w:tc>
          <w:tcPr>
            <w:tcW w:w="2185" w:type="dxa"/>
            <w:vAlign w:val="center"/>
          </w:tcPr>
          <w:p w14:paraId="5C2E0586" w14:textId="77777777" w:rsidR="003E78AB" w:rsidRDefault="00010BF9">
            <w:pPr>
              <w:pStyle w:val="aff6"/>
              <w:topLinePunct/>
            </w:pPr>
            <w:r>
              <w:t>0.0|1</w:t>
            </w:r>
          </w:p>
        </w:tc>
        <w:tc>
          <w:tcPr>
            <w:tcW w:w="1022" w:type="dxa"/>
            <w:vAlign w:val="center"/>
          </w:tcPr>
          <w:p w14:paraId="6C96DDDD" w14:textId="77777777" w:rsidR="003E78AB" w:rsidRDefault="00010BF9">
            <w:pPr>
              <w:pStyle w:val="aff6"/>
              <w:topLinePunct/>
            </w:pPr>
            <w:r>
              <w:t>0</w:t>
            </w:r>
          </w:p>
        </w:tc>
        <w:tc>
          <w:tcPr>
            <w:tcW w:w="1022" w:type="dxa"/>
            <w:vAlign w:val="center"/>
          </w:tcPr>
          <w:p w14:paraId="72CA4E9C" w14:textId="77777777" w:rsidR="003E78AB" w:rsidRDefault="00010BF9">
            <w:pPr>
              <w:pStyle w:val="aff6"/>
              <w:topLinePunct/>
            </w:pPr>
            <w:r>
              <w:t>0</w:t>
            </w:r>
          </w:p>
        </w:tc>
        <w:tc>
          <w:tcPr>
            <w:tcW w:w="1022" w:type="dxa"/>
            <w:vAlign w:val="center"/>
          </w:tcPr>
          <w:p w14:paraId="5636A318" w14:textId="77777777" w:rsidR="003E78AB" w:rsidRDefault="00010BF9">
            <w:pPr>
              <w:pStyle w:val="aff6"/>
              <w:topLinePunct/>
            </w:pPr>
            <w:r>
              <w:t>0</w:t>
            </w:r>
          </w:p>
        </w:tc>
        <w:tc>
          <w:tcPr>
            <w:tcW w:w="1023" w:type="dxa"/>
            <w:vAlign w:val="center"/>
          </w:tcPr>
          <w:p w14:paraId="091BA344" w14:textId="77777777" w:rsidR="003E78AB" w:rsidRDefault="00010BF9">
            <w:pPr>
              <w:pStyle w:val="aff6"/>
              <w:topLinePunct/>
            </w:pPr>
            <w:r>
              <w:t>0</w:t>
            </w:r>
          </w:p>
        </w:tc>
        <w:tc>
          <w:tcPr>
            <w:tcW w:w="1020" w:type="dxa"/>
            <w:vAlign w:val="center"/>
          </w:tcPr>
          <w:p w14:paraId="04532F7D" w14:textId="77777777" w:rsidR="003E78AB" w:rsidRDefault="00010BF9">
            <w:pPr>
              <w:pStyle w:val="aff6"/>
              <w:topLinePunct/>
            </w:pPr>
            <w:r>
              <w:t>0</w:t>
            </w:r>
          </w:p>
        </w:tc>
        <w:tc>
          <w:tcPr>
            <w:tcW w:w="1020" w:type="dxa"/>
            <w:vAlign w:val="center"/>
          </w:tcPr>
          <w:p w14:paraId="06518257" w14:textId="77777777" w:rsidR="003E78AB" w:rsidRDefault="00010BF9">
            <w:pPr>
              <w:pStyle w:val="aff6"/>
              <w:topLinePunct/>
            </w:pPr>
            <w:r>
              <w:t>0</w:t>
            </w:r>
          </w:p>
        </w:tc>
        <w:tc>
          <w:tcPr>
            <w:tcW w:w="1023" w:type="dxa"/>
            <w:vAlign w:val="center"/>
          </w:tcPr>
          <w:p w14:paraId="0001F25D" w14:textId="77777777" w:rsidR="003E78AB" w:rsidRDefault="00010BF9">
            <w:pPr>
              <w:pStyle w:val="aff6"/>
              <w:topLinePunct/>
            </w:pPr>
            <w:r>
              <w:t>0</w:t>
            </w:r>
          </w:p>
        </w:tc>
        <w:tc>
          <w:tcPr>
            <w:tcW w:w="1020" w:type="dxa"/>
            <w:vAlign w:val="center"/>
          </w:tcPr>
          <w:p w14:paraId="65BB9A72" w14:textId="77777777" w:rsidR="003E78AB" w:rsidRDefault="00010BF9">
            <w:pPr>
              <w:pStyle w:val="aff6"/>
              <w:topLinePunct/>
            </w:pPr>
            <w:r>
              <w:t>0</w:t>
            </w:r>
          </w:p>
        </w:tc>
        <w:tc>
          <w:tcPr>
            <w:tcW w:w="1022" w:type="dxa"/>
            <w:vAlign w:val="center"/>
          </w:tcPr>
          <w:p w14:paraId="6920FE40" w14:textId="77777777" w:rsidR="003E78AB" w:rsidRDefault="00010BF9">
            <w:pPr>
              <w:pStyle w:val="aff6"/>
              <w:topLinePunct/>
            </w:pPr>
            <w:r>
              <w:t>0</w:t>
            </w:r>
          </w:p>
        </w:tc>
        <w:tc>
          <w:tcPr>
            <w:tcW w:w="896" w:type="dxa"/>
            <w:vAlign w:val="center"/>
          </w:tcPr>
          <w:p w14:paraId="31C6C819" w14:textId="77777777" w:rsidR="003E78AB" w:rsidRDefault="00010BF9">
            <w:pPr>
              <w:pStyle w:val="aff6"/>
              <w:topLinePunct/>
            </w:pPr>
            <w:r>
              <w:t>0</w:t>
            </w:r>
          </w:p>
        </w:tc>
        <w:tc>
          <w:tcPr>
            <w:tcW w:w="677" w:type="dxa"/>
            <w:vAlign w:val="center"/>
          </w:tcPr>
          <w:p w14:paraId="31F741AC" w14:textId="77777777" w:rsidR="003E78AB" w:rsidRDefault="00010BF9">
            <w:pPr>
              <w:pStyle w:val="aff6"/>
              <w:topLinePunct/>
            </w:pPr>
            <w:r>
              <w:t>0</w:t>
            </w:r>
          </w:p>
        </w:tc>
      </w:tr>
      <w:tr w:rsidR="003E78AB" w14:paraId="32700BC1" w14:textId="77777777">
        <w:trPr>
          <w:trHeight w:val="288"/>
        </w:trPr>
        <w:tc>
          <w:tcPr>
            <w:tcW w:w="1013" w:type="dxa"/>
            <w:vAlign w:val="center"/>
          </w:tcPr>
          <w:p w14:paraId="76B8E513" w14:textId="77777777" w:rsidR="003E78AB" w:rsidRDefault="00010BF9">
            <w:pPr>
              <w:pStyle w:val="aff6"/>
              <w:topLinePunct/>
            </w:pPr>
            <w:r>
              <w:t>20</w:t>
            </w:r>
          </w:p>
        </w:tc>
        <w:tc>
          <w:tcPr>
            <w:tcW w:w="2185" w:type="dxa"/>
            <w:vAlign w:val="center"/>
          </w:tcPr>
          <w:p w14:paraId="2E390250" w14:textId="77777777" w:rsidR="003E78AB" w:rsidRDefault="00010BF9">
            <w:pPr>
              <w:pStyle w:val="aff6"/>
              <w:topLinePunct/>
            </w:pPr>
            <w:r>
              <w:t>0.0|1</w:t>
            </w:r>
          </w:p>
        </w:tc>
        <w:tc>
          <w:tcPr>
            <w:tcW w:w="1022" w:type="dxa"/>
            <w:vAlign w:val="center"/>
          </w:tcPr>
          <w:p w14:paraId="5C1A8D01" w14:textId="77777777" w:rsidR="003E78AB" w:rsidRDefault="00010BF9">
            <w:pPr>
              <w:pStyle w:val="aff6"/>
              <w:topLinePunct/>
            </w:pPr>
            <w:r>
              <w:t>0</w:t>
            </w:r>
          </w:p>
        </w:tc>
        <w:tc>
          <w:tcPr>
            <w:tcW w:w="1022" w:type="dxa"/>
            <w:vAlign w:val="center"/>
          </w:tcPr>
          <w:p w14:paraId="01A04652" w14:textId="77777777" w:rsidR="003E78AB" w:rsidRDefault="00010BF9">
            <w:pPr>
              <w:pStyle w:val="aff6"/>
              <w:topLinePunct/>
            </w:pPr>
            <w:r>
              <w:t>0</w:t>
            </w:r>
          </w:p>
        </w:tc>
        <w:tc>
          <w:tcPr>
            <w:tcW w:w="1022" w:type="dxa"/>
            <w:vAlign w:val="center"/>
          </w:tcPr>
          <w:p w14:paraId="7CB65AED" w14:textId="77777777" w:rsidR="003E78AB" w:rsidRDefault="00010BF9">
            <w:pPr>
              <w:pStyle w:val="aff6"/>
              <w:topLinePunct/>
            </w:pPr>
            <w:r>
              <w:t>0</w:t>
            </w:r>
          </w:p>
        </w:tc>
        <w:tc>
          <w:tcPr>
            <w:tcW w:w="1023" w:type="dxa"/>
            <w:vAlign w:val="center"/>
          </w:tcPr>
          <w:p w14:paraId="7ACB3D91" w14:textId="77777777" w:rsidR="003E78AB" w:rsidRDefault="00010BF9">
            <w:pPr>
              <w:pStyle w:val="aff6"/>
              <w:topLinePunct/>
            </w:pPr>
            <w:r>
              <w:t>0</w:t>
            </w:r>
          </w:p>
        </w:tc>
        <w:tc>
          <w:tcPr>
            <w:tcW w:w="1020" w:type="dxa"/>
            <w:vAlign w:val="center"/>
          </w:tcPr>
          <w:p w14:paraId="6205D8A3" w14:textId="77777777" w:rsidR="003E78AB" w:rsidRDefault="00010BF9">
            <w:pPr>
              <w:pStyle w:val="aff6"/>
              <w:topLinePunct/>
            </w:pPr>
            <w:r>
              <w:t>0</w:t>
            </w:r>
          </w:p>
        </w:tc>
        <w:tc>
          <w:tcPr>
            <w:tcW w:w="1020" w:type="dxa"/>
            <w:vAlign w:val="center"/>
          </w:tcPr>
          <w:p w14:paraId="1554D3E3" w14:textId="77777777" w:rsidR="003E78AB" w:rsidRDefault="00010BF9">
            <w:pPr>
              <w:pStyle w:val="aff6"/>
              <w:topLinePunct/>
            </w:pPr>
            <w:r>
              <w:t>0</w:t>
            </w:r>
          </w:p>
        </w:tc>
        <w:tc>
          <w:tcPr>
            <w:tcW w:w="1023" w:type="dxa"/>
            <w:vAlign w:val="center"/>
          </w:tcPr>
          <w:p w14:paraId="725169CD" w14:textId="77777777" w:rsidR="003E78AB" w:rsidRDefault="00010BF9">
            <w:pPr>
              <w:pStyle w:val="aff6"/>
              <w:topLinePunct/>
            </w:pPr>
            <w:r>
              <w:t>0</w:t>
            </w:r>
          </w:p>
        </w:tc>
        <w:tc>
          <w:tcPr>
            <w:tcW w:w="1020" w:type="dxa"/>
            <w:vAlign w:val="center"/>
          </w:tcPr>
          <w:p w14:paraId="3854E279" w14:textId="77777777" w:rsidR="003E78AB" w:rsidRDefault="00010BF9">
            <w:pPr>
              <w:pStyle w:val="aff6"/>
              <w:topLinePunct/>
            </w:pPr>
            <w:r>
              <w:t>0</w:t>
            </w:r>
          </w:p>
        </w:tc>
        <w:tc>
          <w:tcPr>
            <w:tcW w:w="1022" w:type="dxa"/>
            <w:vAlign w:val="center"/>
          </w:tcPr>
          <w:p w14:paraId="2B80FF52" w14:textId="77777777" w:rsidR="003E78AB" w:rsidRDefault="00010BF9">
            <w:pPr>
              <w:pStyle w:val="aff6"/>
              <w:topLinePunct/>
            </w:pPr>
            <w:r>
              <w:t>0</w:t>
            </w:r>
          </w:p>
        </w:tc>
        <w:tc>
          <w:tcPr>
            <w:tcW w:w="896" w:type="dxa"/>
            <w:vAlign w:val="center"/>
          </w:tcPr>
          <w:p w14:paraId="0ECFAB95" w14:textId="77777777" w:rsidR="003E78AB" w:rsidRDefault="00010BF9">
            <w:pPr>
              <w:pStyle w:val="aff6"/>
              <w:topLinePunct/>
            </w:pPr>
            <w:r>
              <w:t>0</w:t>
            </w:r>
          </w:p>
        </w:tc>
        <w:tc>
          <w:tcPr>
            <w:tcW w:w="677" w:type="dxa"/>
            <w:vAlign w:val="center"/>
          </w:tcPr>
          <w:p w14:paraId="4FF62ED9" w14:textId="77777777" w:rsidR="003E78AB" w:rsidRDefault="00010BF9">
            <w:pPr>
              <w:pStyle w:val="aff6"/>
              <w:topLinePunct/>
            </w:pPr>
            <w:r>
              <w:t>0</w:t>
            </w:r>
          </w:p>
        </w:tc>
      </w:tr>
      <w:tr w:rsidR="003E78AB" w14:paraId="61611025" w14:textId="77777777">
        <w:trPr>
          <w:trHeight w:val="288"/>
        </w:trPr>
        <w:tc>
          <w:tcPr>
            <w:tcW w:w="1013" w:type="dxa"/>
            <w:vAlign w:val="center"/>
          </w:tcPr>
          <w:p w14:paraId="0F7FCB8D" w14:textId="77777777" w:rsidR="003E78AB" w:rsidRDefault="00010BF9">
            <w:pPr>
              <w:pStyle w:val="aff6"/>
              <w:topLinePunct/>
            </w:pPr>
            <w:r>
              <w:t>30</w:t>
            </w:r>
          </w:p>
        </w:tc>
        <w:tc>
          <w:tcPr>
            <w:tcW w:w="2185" w:type="dxa"/>
            <w:vAlign w:val="center"/>
          </w:tcPr>
          <w:p w14:paraId="34B08AEF" w14:textId="77777777" w:rsidR="003E78AB" w:rsidRDefault="00010BF9">
            <w:pPr>
              <w:pStyle w:val="aff6"/>
              <w:topLinePunct/>
            </w:pPr>
            <w:r>
              <w:t>0.0|1</w:t>
            </w:r>
          </w:p>
        </w:tc>
        <w:tc>
          <w:tcPr>
            <w:tcW w:w="1022" w:type="dxa"/>
            <w:vAlign w:val="center"/>
          </w:tcPr>
          <w:p w14:paraId="73CEBAD4" w14:textId="77777777" w:rsidR="003E78AB" w:rsidRDefault="00010BF9">
            <w:pPr>
              <w:pStyle w:val="aff6"/>
              <w:topLinePunct/>
            </w:pPr>
            <w:r>
              <w:t>0</w:t>
            </w:r>
          </w:p>
        </w:tc>
        <w:tc>
          <w:tcPr>
            <w:tcW w:w="1022" w:type="dxa"/>
            <w:vAlign w:val="center"/>
          </w:tcPr>
          <w:p w14:paraId="5CE24635" w14:textId="77777777" w:rsidR="003E78AB" w:rsidRDefault="00010BF9">
            <w:pPr>
              <w:pStyle w:val="aff6"/>
              <w:topLinePunct/>
            </w:pPr>
            <w:r>
              <w:t>0</w:t>
            </w:r>
          </w:p>
        </w:tc>
        <w:tc>
          <w:tcPr>
            <w:tcW w:w="1022" w:type="dxa"/>
            <w:vAlign w:val="center"/>
          </w:tcPr>
          <w:p w14:paraId="6FAC4E5F" w14:textId="77777777" w:rsidR="003E78AB" w:rsidRDefault="00010BF9">
            <w:pPr>
              <w:pStyle w:val="aff6"/>
              <w:topLinePunct/>
            </w:pPr>
            <w:r>
              <w:t>0</w:t>
            </w:r>
          </w:p>
        </w:tc>
        <w:tc>
          <w:tcPr>
            <w:tcW w:w="1023" w:type="dxa"/>
            <w:vAlign w:val="center"/>
          </w:tcPr>
          <w:p w14:paraId="40477AAA" w14:textId="77777777" w:rsidR="003E78AB" w:rsidRDefault="00010BF9">
            <w:pPr>
              <w:pStyle w:val="aff6"/>
              <w:topLinePunct/>
            </w:pPr>
            <w:r>
              <w:t>0</w:t>
            </w:r>
          </w:p>
        </w:tc>
        <w:tc>
          <w:tcPr>
            <w:tcW w:w="1020" w:type="dxa"/>
            <w:vAlign w:val="center"/>
          </w:tcPr>
          <w:p w14:paraId="113991D2" w14:textId="77777777" w:rsidR="003E78AB" w:rsidRDefault="00010BF9">
            <w:pPr>
              <w:pStyle w:val="aff6"/>
              <w:topLinePunct/>
            </w:pPr>
            <w:r>
              <w:t>0</w:t>
            </w:r>
          </w:p>
        </w:tc>
        <w:tc>
          <w:tcPr>
            <w:tcW w:w="1020" w:type="dxa"/>
            <w:vAlign w:val="center"/>
          </w:tcPr>
          <w:p w14:paraId="689BD265" w14:textId="77777777" w:rsidR="003E78AB" w:rsidRDefault="00010BF9">
            <w:pPr>
              <w:pStyle w:val="aff6"/>
              <w:topLinePunct/>
            </w:pPr>
            <w:r>
              <w:t>0</w:t>
            </w:r>
          </w:p>
        </w:tc>
        <w:tc>
          <w:tcPr>
            <w:tcW w:w="1023" w:type="dxa"/>
            <w:vAlign w:val="center"/>
          </w:tcPr>
          <w:p w14:paraId="3CE353DE" w14:textId="77777777" w:rsidR="003E78AB" w:rsidRDefault="00010BF9">
            <w:pPr>
              <w:pStyle w:val="aff6"/>
              <w:topLinePunct/>
            </w:pPr>
            <w:r>
              <w:t>0</w:t>
            </w:r>
          </w:p>
        </w:tc>
        <w:tc>
          <w:tcPr>
            <w:tcW w:w="1020" w:type="dxa"/>
            <w:vAlign w:val="center"/>
          </w:tcPr>
          <w:p w14:paraId="78154A0E" w14:textId="77777777" w:rsidR="003E78AB" w:rsidRDefault="00010BF9">
            <w:pPr>
              <w:pStyle w:val="aff6"/>
              <w:topLinePunct/>
            </w:pPr>
            <w:r>
              <w:t>0</w:t>
            </w:r>
          </w:p>
        </w:tc>
        <w:tc>
          <w:tcPr>
            <w:tcW w:w="1022" w:type="dxa"/>
            <w:vAlign w:val="center"/>
          </w:tcPr>
          <w:p w14:paraId="63C6F631" w14:textId="77777777" w:rsidR="003E78AB" w:rsidRDefault="00010BF9">
            <w:pPr>
              <w:pStyle w:val="aff6"/>
              <w:topLinePunct/>
            </w:pPr>
            <w:r>
              <w:t>0</w:t>
            </w:r>
          </w:p>
        </w:tc>
        <w:tc>
          <w:tcPr>
            <w:tcW w:w="896" w:type="dxa"/>
            <w:vAlign w:val="center"/>
          </w:tcPr>
          <w:p w14:paraId="62DFA06C" w14:textId="77777777" w:rsidR="003E78AB" w:rsidRDefault="00010BF9">
            <w:pPr>
              <w:pStyle w:val="aff6"/>
              <w:topLinePunct/>
            </w:pPr>
            <w:r>
              <w:t>0</w:t>
            </w:r>
          </w:p>
        </w:tc>
        <w:tc>
          <w:tcPr>
            <w:tcW w:w="677" w:type="dxa"/>
            <w:vAlign w:val="center"/>
          </w:tcPr>
          <w:p w14:paraId="381A3B48" w14:textId="77777777" w:rsidR="003E78AB" w:rsidRDefault="00010BF9">
            <w:pPr>
              <w:pStyle w:val="aff6"/>
              <w:topLinePunct/>
            </w:pPr>
            <w:r>
              <w:t>0</w:t>
            </w:r>
          </w:p>
        </w:tc>
      </w:tr>
      <w:tr w:rsidR="003E78AB" w14:paraId="2C7AF40E" w14:textId="77777777">
        <w:trPr>
          <w:trHeight w:val="288"/>
        </w:trPr>
        <w:tc>
          <w:tcPr>
            <w:tcW w:w="1013" w:type="dxa"/>
            <w:vAlign w:val="center"/>
          </w:tcPr>
          <w:p w14:paraId="63B55739" w14:textId="77777777" w:rsidR="003E78AB" w:rsidRDefault="00010BF9">
            <w:pPr>
              <w:pStyle w:val="aff6"/>
              <w:topLinePunct/>
            </w:pPr>
            <w:r>
              <w:t>40</w:t>
            </w:r>
          </w:p>
        </w:tc>
        <w:tc>
          <w:tcPr>
            <w:tcW w:w="2185" w:type="dxa"/>
            <w:vAlign w:val="center"/>
          </w:tcPr>
          <w:p w14:paraId="3EE0023E" w14:textId="77777777" w:rsidR="003E78AB" w:rsidRDefault="00010BF9">
            <w:pPr>
              <w:pStyle w:val="aff6"/>
              <w:topLinePunct/>
            </w:pPr>
            <w:r>
              <w:t>0.0|1</w:t>
            </w:r>
          </w:p>
        </w:tc>
        <w:tc>
          <w:tcPr>
            <w:tcW w:w="1022" w:type="dxa"/>
            <w:vAlign w:val="center"/>
          </w:tcPr>
          <w:p w14:paraId="32C2EAE0" w14:textId="77777777" w:rsidR="003E78AB" w:rsidRDefault="00010BF9">
            <w:pPr>
              <w:pStyle w:val="aff6"/>
              <w:topLinePunct/>
            </w:pPr>
            <w:r>
              <w:t>0</w:t>
            </w:r>
          </w:p>
        </w:tc>
        <w:tc>
          <w:tcPr>
            <w:tcW w:w="1022" w:type="dxa"/>
            <w:vAlign w:val="center"/>
          </w:tcPr>
          <w:p w14:paraId="7AB971DB" w14:textId="77777777" w:rsidR="003E78AB" w:rsidRDefault="00010BF9">
            <w:pPr>
              <w:pStyle w:val="aff6"/>
              <w:topLinePunct/>
            </w:pPr>
            <w:r>
              <w:t>0</w:t>
            </w:r>
          </w:p>
        </w:tc>
        <w:tc>
          <w:tcPr>
            <w:tcW w:w="1022" w:type="dxa"/>
            <w:vAlign w:val="center"/>
          </w:tcPr>
          <w:p w14:paraId="3751E0A3" w14:textId="77777777" w:rsidR="003E78AB" w:rsidRDefault="00010BF9">
            <w:pPr>
              <w:pStyle w:val="aff6"/>
              <w:topLinePunct/>
            </w:pPr>
            <w:r>
              <w:t>0</w:t>
            </w:r>
          </w:p>
        </w:tc>
        <w:tc>
          <w:tcPr>
            <w:tcW w:w="1023" w:type="dxa"/>
            <w:vAlign w:val="center"/>
          </w:tcPr>
          <w:p w14:paraId="5B238D47" w14:textId="77777777" w:rsidR="003E78AB" w:rsidRDefault="00010BF9">
            <w:pPr>
              <w:pStyle w:val="aff6"/>
              <w:topLinePunct/>
            </w:pPr>
            <w:r>
              <w:t>0</w:t>
            </w:r>
          </w:p>
        </w:tc>
        <w:tc>
          <w:tcPr>
            <w:tcW w:w="1020" w:type="dxa"/>
            <w:vAlign w:val="center"/>
          </w:tcPr>
          <w:p w14:paraId="7DEFC23E" w14:textId="77777777" w:rsidR="003E78AB" w:rsidRDefault="00010BF9">
            <w:pPr>
              <w:pStyle w:val="aff6"/>
              <w:topLinePunct/>
            </w:pPr>
            <w:r>
              <w:t>0</w:t>
            </w:r>
          </w:p>
        </w:tc>
        <w:tc>
          <w:tcPr>
            <w:tcW w:w="1020" w:type="dxa"/>
            <w:vAlign w:val="center"/>
          </w:tcPr>
          <w:p w14:paraId="71FBC27A" w14:textId="77777777" w:rsidR="003E78AB" w:rsidRDefault="00010BF9">
            <w:pPr>
              <w:pStyle w:val="aff6"/>
              <w:topLinePunct/>
            </w:pPr>
            <w:r>
              <w:t>0</w:t>
            </w:r>
          </w:p>
        </w:tc>
        <w:tc>
          <w:tcPr>
            <w:tcW w:w="1023" w:type="dxa"/>
            <w:vAlign w:val="center"/>
          </w:tcPr>
          <w:p w14:paraId="6260A932" w14:textId="77777777" w:rsidR="003E78AB" w:rsidRDefault="00010BF9">
            <w:pPr>
              <w:pStyle w:val="aff6"/>
              <w:topLinePunct/>
            </w:pPr>
            <w:r>
              <w:t>0</w:t>
            </w:r>
          </w:p>
        </w:tc>
        <w:tc>
          <w:tcPr>
            <w:tcW w:w="1020" w:type="dxa"/>
            <w:vAlign w:val="center"/>
          </w:tcPr>
          <w:p w14:paraId="3147CC24" w14:textId="77777777" w:rsidR="003E78AB" w:rsidRDefault="00010BF9">
            <w:pPr>
              <w:pStyle w:val="aff6"/>
              <w:topLinePunct/>
            </w:pPr>
            <w:r>
              <w:t>0</w:t>
            </w:r>
          </w:p>
        </w:tc>
        <w:tc>
          <w:tcPr>
            <w:tcW w:w="1022" w:type="dxa"/>
            <w:vAlign w:val="center"/>
          </w:tcPr>
          <w:p w14:paraId="2A6F46EA" w14:textId="77777777" w:rsidR="003E78AB" w:rsidRDefault="00010BF9">
            <w:pPr>
              <w:pStyle w:val="aff6"/>
              <w:topLinePunct/>
            </w:pPr>
            <w:r>
              <w:t>0</w:t>
            </w:r>
          </w:p>
        </w:tc>
        <w:tc>
          <w:tcPr>
            <w:tcW w:w="896" w:type="dxa"/>
            <w:vAlign w:val="center"/>
          </w:tcPr>
          <w:p w14:paraId="0A003D94" w14:textId="77777777" w:rsidR="003E78AB" w:rsidRDefault="00010BF9">
            <w:pPr>
              <w:pStyle w:val="aff6"/>
              <w:topLinePunct/>
            </w:pPr>
            <w:r>
              <w:t>0</w:t>
            </w:r>
          </w:p>
        </w:tc>
        <w:tc>
          <w:tcPr>
            <w:tcW w:w="677" w:type="dxa"/>
            <w:vAlign w:val="center"/>
          </w:tcPr>
          <w:p w14:paraId="4646FD94" w14:textId="77777777" w:rsidR="003E78AB" w:rsidRDefault="00010BF9">
            <w:pPr>
              <w:pStyle w:val="aff6"/>
              <w:topLinePunct/>
            </w:pPr>
            <w:r>
              <w:t>0</w:t>
            </w:r>
          </w:p>
        </w:tc>
      </w:tr>
      <w:tr w:rsidR="003E78AB" w14:paraId="6156E66E" w14:textId="77777777">
        <w:trPr>
          <w:trHeight w:val="290"/>
        </w:trPr>
        <w:tc>
          <w:tcPr>
            <w:tcW w:w="1013" w:type="dxa"/>
            <w:vAlign w:val="center"/>
          </w:tcPr>
          <w:p w14:paraId="03F17609" w14:textId="77777777" w:rsidR="003E78AB" w:rsidRDefault="00010BF9">
            <w:pPr>
              <w:pStyle w:val="aff6"/>
              <w:topLinePunct/>
            </w:pPr>
            <w:r>
              <w:t>50</w:t>
            </w:r>
          </w:p>
        </w:tc>
        <w:tc>
          <w:tcPr>
            <w:tcW w:w="2185" w:type="dxa"/>
            <w:vAlign w:val="center"/>
          </w:tcPr>
          <w:p w14:paraId="6149EC8B" w14:textId="77777777" w:rsidR="003E78AB" w:rsidRDefault="00010BF9">
            <w:pPr>
              <w:pStyle w:val="aff6"/>
              <w:topLinePunct/>
            </w:pPr>
            <w:r>
              <w:t>0.000001|1</w:t>
            </w:r>
          </w:p>
        </w:tc>
        <w:tc>
          <w:tcPr>
            <w:tcW w:w="1022" w:type="dxa"/>
            <w:vAlign w:val="center"/>
          </w:tcPr>
          <w:p w14:paraId="6C046FF4" w14:textId="77777777" w:rsidR="003E78AB" w:rsidRDefault="00010BF9">
            <w:pPr>
              <w:pStyle w:val="aff6"/>
              <w:topLinePunct/>
            </w:pPr>
            <w:r>
              <w:t>0.000001</w:t>
            </w:r>
          </w:p>
        </w:tc>
        <w:tc>
          <w:tcPr>
            <w:tcW w:w="1022" w:type="dxa"/>
            <w:vAlign w:val="center"/>
          </w:tcPr>
          <w:p w14:paraId="0147CD38" w14:textId="77777777" w:rsidR="003E78AB" w:rsidRDefault="00010BF9">
            <w:pPr>
              <w:pStyle w:val="aff6"/>
              <w:topLinePunct/>
            </w:pPr>
            <w:r>
              <w:t>0.000001</w:t>
            </w:r>
          </w:p>
        </w:tc>
        <w:tc>
          <w:tcPr>
            <w:tcW w:w="1022" w:type="dxa"/>
            <w:vAlign w:val="center"/>
          </w:tcPr>
          <w:p w14:paraId="3A988E46" w14:textId="77777777" w:rsidR="003E78AB" w:rsidRDefault="00010BF9">
            <w:pPr>
              <w:pStyle w:val="aff6"/>
              <w:topLinePunct/>
            </w:pPr>
            <w:r>
              <w:t>0.000001</w:t>
            </w:r>
          </w:p>
        </w:tc>
        <w:tc>
          <w:tcPr>
            <w:tcW w:w="1023" w:type="dxa"/>
            <w:vAlign w:val="center"/>
          </w:tcPr>
          <w:p w14:paraId="0996DE5D" w14:textId="77777777" w:rsidR="003E78AB" w:rsidRDefault="00010BF9">
            <w:pPr>
              <w:pStyle w:val="aff6"/>
              <w:topLinePunct/>
            </w:pPr>
            <w:r>
              <w:t>0.000001</w:t>
            </w:r>
          </w:p>
        </w:tc>
        <w:tc>
          <w:tcPr>
            <w:tcW w:w="1020" w:type="dxa"/>
            <w:vAlign w:val="center"/>
          </w:tcPr>
          <w:p w14:paraId="7BDD46EF" w14:textId="77777777" w:rsidR="003E78AB" w:rsidRDefault="00010BF9">
            <w:pPr>
              <w:pStyle w:val="aff6"/>
              <w:topLinePunct/>
            </w:pPr>
            <w:r>
              <w:t>0.000001</w:t>
            </w:r>
          </w:p>
        </w:tc>
        <w:tc>
          <w:tcPr>
            <w:tcW w:w="1020" w:type="dxa"/>
            <w:vAlign w:val="center"/>
          </w:tcPr>
          <w:p w14:paraId="72F74505" w14:textId="77777777" w:rsidR="003E78AB" w:rsidRDefault="00010BF9">
            <w:pPr>
              <w:pStyle w:val="aff6"/>
              <w:topLinePunct/>
            </w:pPr>
            <w:r>
              <w:t>0.000001</w:t>
            </w:r>
          </w:p>
        </w:tc>
        <w:tc>
          <w:tcPr>
            <w:tcW w:w="1023" w:type="dxa"/>
            <w:vAlign w:val="center"/>
          </w:tcPr>
          <w:p w14:paraId="131FB6F2" w14:textId="77777777" w:rsidR="003E78AB" w:rsidRDefault="00010BF9">
            <w:pPr>
              <w:pStyle w:val="aff6"/>
              <w:topLinePunct/>
            </w:pPr>
            <w:r>
              <w:t>0.000001</w:t>
            </w:r>
          </w:p>
        </w:tc>
        <w:tc>
          <w:tcPr>
            <w:tcW w:w="1020" w:type="dxa"/>
            <w:vAlign w:val="center"/>
          </w:tcPr>
          <w:p w14:paraId="42BA2B92" w14:textId="77777777" w:rsidR="003E78AB" w:rsidRDefault="00010BF9">
            <w:pPr>
              <w:pStyle w:val="aff6"/>
              <w:topLinePunct/>
            </w:pPr>
            <w:r>
              <w:t>0</w:t>
            </w:r>
          </w:p>
        </w:tc>
        <w:tc>
          <w:tcPr>
            <w:tcW w:w="1022" w:type="dxa"/>
            <w:vAlign w:val="center"/>
          </w:tcPr>
          <w:p w14:paraId="7B2648B7" w14:textId="77777777" w:rsidR="003E78AB" w:rsidRDefault="00010BF9">
            <w:pPr>
              <w:pStyle w:val="aff6"/>
              <w:topLinePunct/>
            </w:pPr>
            <w:r>
              <w:t>0</w:t>
            </w:r>
          </w:p>
        </w:tc>
        <w:tc>
          <w:tcPr>
            <w:tcW w:w="896" w:type="dxa"/>
            <w:vAlign w:val="center"/>
          </w:tcPr>
          <w:p w14:paraId="06C09C08" w14:textId="77777777" w:rsidR="003E78AB" w:rsidRDefault="00010BF9">
            <w:pPr>
              <w:pStyle w:val="aff6"/>
              <w:topLinePunct/>
            </w:pPr>
            <w:r>
              <w:t>0</w:t>
            </w:r>
          </w:p>
        </w:tc>
        <w:tc>
          <w:tcPr>
            <w:tcW w:w="677" w:type="dxa"/>
            <w:vAlign w:val="center"/>
          </w:tcPr>
          <w:p w14:paraId="262E82A6" w14:textId="77777777" w:rsidR="003E78AB" w:rsidRDefault="00010BF9">
            <w:pPr>
              <w:pStyle w:val="aff6"/>
              <w:topLinePunct/>
            </w:pPr>
            <w:r>
              <w:t>0</w:t>
            </w:r>
          </w:p>
        </w:tc>
      </w:tr>
      <w:tr w:rsidR="003E78AB" w14:paraId="6EAB7443" w14:textId="77777777">
        <w:trPr>
          <w:trHeight w:val="288"/>
        </w:trPr>
        <w:tc>
          <w:tcPr>
            <w:tcW w:w="1013" w:type="dxa"/>
            <w:vAlign w:val="center"/>
          </w:tcPr>
          <w:p w14:paraId="5DD2F8C7" w14:textId="77777777" w:rsidR="003E78AB" w:rsidRDefault="00010BF9">
            <w:pPr>
              <w:pStyle w:val="aff6"/>
              <w:topLinePunct/>
            </w:pPr>
            <w:r>
              <w:t>100</w:t>
            </w:r>
          </w:p>
        </w:tc>
        <w:tc>
          <w:tcPr>
            <w:tcW w:w="2185" w:type="dxa"/>
            <w:vAlign w:val="center"/>
          </w:tcPr>
          <w:p w14:paraId="019EDCF0" w14:textId="77777777" w:rsidR="003E78AB" w:rsidRDefault="00010BF9">
            <w:pPr>
              <w:pStyle w:val="aff6"/>
              <w:topLinePunct/>
            </w:pPr>
            <w:r>
              <w:t>0.000026|1</w:t>
            </w:r>
          </w:p>
        </w:tc>
        <w:tc>
          <w:tcPr>
            <w:tcW w:w="1022" w:type="dxa"/>
            <w:vAlign w:val="center"/>
          </w:tcPr>
          <w:p w14:paraId="468E9337" w14:textId="77777777" w:rsidR="003E78AB" w:rsidRDefault="00010BF9">
            <w:pPr>
              <w:pStyle w:val="aff6"/>
              <w:topLinePunct/>
            </w:pPr>
            <w:r>
              <w:t>0.000026</w:t>
            </w:r>
          </w:p>
        </w:tc>
        <w:tc>
          <w:tcPr>
            <w:tcW w:w="1022" w:type="dxa"/>
            <w:vAlign w:val="center"/>
          </w:tcPr>
          <w:p w14:paraId="66B28F61" w14:textId="77777777" w:rsidR="003E78AB" w:rsidRDefault="00010BF9">
            <w:pPr>
              <w:pStyle w:val="aff6"/>
              <w:topLinePunct/>
            </w:pPr>
            <w:r>
              <w:t>0.000026</w:t>
            </w:r>
          </w:p>
        </w:tc>
        <w:tc>
          <w:tcPr>
            <w:tcW w:w="1022" w:type="dxa"/>
            <w:vAlign w:val="center"/>
          </w:tcPr>
          <w:p w14:paraId="6B335ED7" w14:textId="77777777" w:rsidR="003E78AB" w:rsidRDefault="00010BF9">
            <w:pPr>
              <w:pStyle w:val="aff6"/>
              <w:topLinePunct/>
            </w:pPr>
            <w:r>
              <w:t>0.000026</w:t>
            </w:r>
          </w:p>
        </w:tc>
        <w:tc>
          <w:tcPr>
            <w:tcW w:w="1023" w:type="dxa"/>
            <w:vAlign w:val="center"/>
          </w:tcPr>
          <w:p w14:paraId="2CCA5FCF" w14:textId="77777777" w:rsidR="003E78AB" w:rsidRDefault="00010BF9">
            <w:pPr>
              <w:pStyle w:val="aff6"/>
              <w:topLinePunct/>
            </w:pPr>
            <w:r>
              <w:t>0.000026</w:t>
            </w:r>
          </w:p>
        </w:tc>
        <w:tc>
          <w:tcPr>
            <w:tcW w:w="1020" w:type="dxa"/>
            <w:vAlign w:val="center"/>
          </w:tcPr>
          <w:p w14:paraId="6ACA4BDB" w14:textId="77777777" w:rsidR="003E78AB" w:rsidRDefault="00010BF9">
            <w:pPr>
              <w:pStyle w:val="aff6"/>
              <w:topLinePunct/>
            </w:pPr>
            <w:r>
              <w:t>0.000026</w:t>
            </w:r>
          </w:p>
        </w:tc>
        <w:tc>
          <w:tcPr>
            <w:tcW w:w="1020" w:type="dxa"/>
            <w:vAlign w:val="center"/>
          </w:tcPr>
          <w:p w14:paraId="6DCD1195" w14:textId="77777777" w:rsidR="003E78AB" w:rsidRDefault="00010BF9">
            <w:pPr>
              <w:pStyle w:val="aff6"/>
              <w:topLinePunct/>
            </w:pPr>
            <w:r>
              <w:t>0.000026</w:t>
            </w:r>
          </w:p>
        </w:tc>
        <w:tc>
          <w:tcPr>
            <w:tcW w:w="1023" w:type="dxa"/>
            <w:vAlign w:val="center"/>
          </w:tcPr>
          <w:p w14:paraId="6F28793D" w14:textId="77777777" w:rsidR="003E78AB" w:rsidRDefault="00010BF9">
            <w:pPr>
              <w:pStyle w:val="aff6"/>
              <w:topLinePunct/>
            </w:pPr>
            <w:r>
              <w:t>0.000026</w:t>
            </w:r>
          </w:p>
        </w:tc>
        <w:tc>
          <w:tcPr>
            <w:tcW w:w="1020" w:type="dxa"/>
            <w:vAlign w:val="center"/>
          </w:tcPr>
          <w:p w14:paraId="7EBFF997" w14:textId="77777777" w:rsidR="003E78AB" w:rsidRDefault="00010BF9">
            <w:pPr>
              <w:pStyle w:val="aff6"/>
              <w:topLinePunct/>
            </w:pPr>
            <w:r>
              <w:t>0</w:t>
            </w:r>
          </w:p>
        </w:tc>
        <w:tc>
          <w:tcPr>
            <w:tcW w:w="1022" w:type="dxa"/>
            <w:vAlign w:val="center"/>
          </w:tcPr>
          <w:p w14:paraId="25D70D5E" w14:textId="77777777" w:rsidR="003E78AB" w:rsidRDefault="00010BF9">
            <w:pPr>
              <w:pStyle w:val="aff6"/>
              <w:topLinePunct/>
            </w:pPr>
            <w:r>
              <w:t>0</w:t>
            </w:r>
          </w:p>
        </w:tc>
        <w:tc>
          <w:tcPr>
            <w:tcW w:w="896" w:type="dxa"/>
            <w:vAlign w:val="center"/>
          </w:tcPr>
          <w:p w14:paraId="46289E33" w14:textId="77777777" w:rsidR="003E78AB" w:rsidRDefault="00010BF9">
            <w:pPr>
              <w:pStyle w:val="aff6"/>
              <w:topLinePunct/>
            </w:pPr>
            <w:r>
              <w:t>0</w:t>
            </w:r>
          </w:p>
        </w:tc>
        <w:tc>
          <w:tcPr>
            <w:tcW w:w="677" w:type="dxa"/>
            <w:vAlign w:val="center"/>
          </w:tcPr>
          <w:p w14:paraId="1F49D635" w14:textId="77777777" w:rsidR="003E78AB" w:rsidRDefault="00010BF9">
            <w:pPr>
              <w:pStyle w:val="aff6"/>
              <w:topLinePunct/>
            </w:pPr>
            <w:r>
              <w:t>0</w:t>
            </w:r>
          </w:p>
        </w:tc>
      </w:tr>
      <w:tr w:rsidR="003E78AB" w14:paraId="4B3B874B" w14:textId="77777777">
        <w:trPr>
          <w:trHeight w:val="288"/>
        </w:trPr>
        <w:tc>
          <w:tcPr>
            <w:tcW w:w="1013" w:type="dxa"/>
            <w:vAlign w:val="center"/>
          </w:tcPr>
          <w:p w14:paraId="42981358" w14:textId="77777777" w:rsidR="003E78AB" w:rsidRDefault="00010BF9">
            <w:pPr>
              <w:pStyle w:val="aff6"/>
              <w:topLinePunct/>
            </w:pPr>
            <w:r>
              <w:t>200</w:t>
            </w:r>
          </w:p>
        </w:tc>
        <w:tc>
          <w:tcPr>
            <w:tcW w:w="2185" w:type="dxa"/>
            <w:vAlign w:val="center"/>
          </w:tcPr>
          <w:p w14:paraId="5F2AEB1D" w14:textId="77777777" w:rsidR="003E78AB" w:rsidRDefault="00010BF9">
            <w:pPr>
              <w:pStyle w:val="aff6"/>
              <w:topLinePunct/>
            </w:pPr>
            <w:r>
              <w:t>0.000038|2</w:t>
            </w:r>
          </w:p>
        </w:tc>
        <w:tc>
          <w:tcPr>
            <w:tcW w:w="1022" w:type="dxa"/>
            <w:vAlign w:val="center"/>
          </w:tcPr>
          <w:p w14:paraId="0C8A90B4" w14:textId="77777777" w:rsidR="003E78AB" w:rsidRDefault="00010BF9">
            <w:pPr>
              <w:pStyle w:val="aff6"/>
              <w:topLinePunct/>
            </w:pPr>
            <w:r>
              <w:t>0</w:t>
            </w:r>
          </w:p>
        </w:tc>
        <w:tc>
          <w:tcPr>
            <w:tcW w:w="1022" w:type="dxa"/>
            <w:vAlign w:val="center"/>
          </w:tcPr>
          <w:p w14:paraId="3ADE02B6" w14:textId="77777777" w:rsidR="003E78AB" w:rsidRDefault="00010BF9">
            <w:pPr>
              <w:pStyle w:val="aff6"/>
              <w:topLinePunct/>
            </w:pPr>
            <w:r>
              <w:t>0.000038</w:t>
            </w:r>
          </w:p>
        </w:tc>
        <w:tc>
          <w:tcPr>
            <w:tcW w:w="1022" w:type="dxa"/>
            <w:vAlign w:val="center"/>
          </w:tcPr>
          <w:p w14:paraId="721AD83B" w14:textId="77777777" w:rsidR="003E78AB" w:rsidRDefault="00010BF9">
            <w:pPr>
              <w:pStyle w:val="aff6"/>
              <w:topLinePunct/>
            </w:pPr>
            <w:r>
              <w:t>0.000038</w:t>
            </w:r>
          </w:p>
        </w:tc>
        <w:tc>
          <w:tcPr>
            <w:tcW w:w="1023" w:type="dxa"/>
            <w:vAlign w:val="center"/>
          </w:tcPr>
          <w:p w14:paraId="0AE640A7" w14:textId="77777777" w:rsidR="003E78AB" w:rsidRDefault="00010BF9">
            <w:pPr>
              <w:pStyle w:val="aff6"/>
              <w:topLinePunct/>
            </w:pPr>
            <w:r>
              <w:t>0.000038</w:t>
            </w:r>
          </w:p>
        </w:tc>
        <w:tc>
          <w:tcPr>
            <w:tcW w:w="1020" w:type="dxa"/>
            <w:vAlign w:val="center"/>
          </w:tcPr>
          <w:p w14:paraId="3E4B0BD4" w14:textId="77777777" w:rsidR="003E78AB" w:rsidRDefault="00010BF9">
            <w:pPr>
              <w:pStyle w:val="aff6"/>
              <w:topLinePunct/>
            </w:pPr>
            <w:r>
              <w:t>0.000038</w:t>
            </w:r>
          </w:p>
        </w:tc>
        <w:tc>
          <w:tcPr>
            <w:tcW w:w="1020" w:type="dxa"/>
            <w:vAlign w:val="center"/>
          </w:tcPr>
          <w:p w14:paraId="60119097" w14:textId="77777777" w:rsidR="003E78AB" w:rsidRDefault="00010BF9">
            <w:pPr>
              <w:pStyle w:val="aff6"/>
              <w:topLinePunct/>
            </w:pPr>
            <w:r>
              <w:t>0.000038</w:t>
            </w:r>
          </w:p>
        </w:tc>
        <w:tc>
          <w:tcPr>
            <w:tcW w:w="1023" w:type="dxa"/>
            <w:vAlign w:val="center"/>
          </w:tcPr>
          <w:p w14:paraId="1CE4E320" w14:textId="77777777" w:rsidR="003E78AB" w:rsidRDefault="00010BF9">
            <w:pPr>
              <w:pStyle w:val="aff6"/>
              <w:topLinePunct/>
            </w:pPr>
            <w:r>
              <w:t>0.000038</w:t>
            </w:r>
          </w:p>
        </w:tc>
        <w:tc>
          <w:tcPr>
            <w:tcW w:w="1020" w:type="dxa"/>
            <w:vAlign w:val="center"/>
          </w:tcPr>
          <w:p w14:paraId="13E9F62E" w14:textId="77777777" w:rsidR="003E78AB" w:rsidRDefault="00010BF9">
            <w:pPr>
              <w:pStyle w:val="aff6"/>
              <w:topLinePunct/>
            </w:pPr>
            <w:r>
              <w:t>0</w:t>
            </w:r>
          </w:p>
        </w:tc>
        <w:tc>
          <w:tcPr>
            <w:tcW w:w="1022" w:type="dxa"/>
            <w:vAlign w:val="center"/>
          </w:tcPr>
          <w:p w14:paraId="1195F4FE" w14:textId="77777777" w:rsidR="003E78AB" w:rsidRDefault="00010BF9">
            <w:pPr>
              <w:pStyle w:val="aff6"/>
              <w:topLinePunct/>
            </w:pPr>
            <w:r>
              <w:t>0</w:t>
            </w:r>
          </w:p>
        </w:tc>
        <w:tc>
          <w:tcPr>
            <w:tcW w:w="896" w:type="dxa"/>
            <w:vAlign w:val="center"/>
          </w:tcPr>
          <w:p w14:paraId="40E4632E" w14:textId="77777777" w:rsidR="003E78AB" w:rsidRDefault="00010BF9">
            <w:pPr>
              <w:pStyle w:val="aff6"/>
              <w:topLinePunct/>
            </w:pPr>
            <w:r>
              <w:t>0</w:t>
            </w:r>
          </w:p>
        </w:tc>
        <w:tc>
          <w:tcPr>
            <w:tcW w:w="677" w:type="dxa"/>
            <w:vAlign w:val="center"/>
          </w:tcPr>
          <w:p w14:paraId="14BDAA50" w14:textId="77777777" w:rsidR="003E78AB" w:rsidRDefault="00010BF9">
            <w:pPr>
              <w:pStyle w:val="aff6"/>
              <w:topLinePunct/>
            </w:pPr>
            <w:r>
              <w:t>0</w:t>
            </w:r>
          </w:p>
        </w:tc>
      </w:tr>
      <w:tr w:rsidR="003E78AB" w14:paraId="013100C9" w14:textId="77777777">
        <w:trPr>
          <w:trHeight w:val="244"/>
        </w:trPr>
        <w:tc>
          <w:tcPr>
            <w:tcW w:w="1013" w:type="dxa"/>
            <w:vAlign w:val="center"/>
          </w:tcPr>
          <w:p w14:paraId="45C225FB" w14:textId="77777777" w:rsidR="003E78AB" w:rsidRDefault="00010BF9">
            <w:pPr>
              <w:pStyle w:val="aff6"/>
              <w:topLinePunct/>
            </w:pPr>
            <w:r>
              <w:t>300</w:t>
            </w:r>
          </w:p>
        </w:tc>
        <w:tc>
          <w:tcPr>
            <w:tcW w:w="2185" w:type="dxa"/>
            <w:vAlign w:val="center"/>
          </w:tcPr>
          <w:p w14:paraId="4437F0F0" w14:textId="77777777" w:rsidR="003E78AB" w:rsidRDefault="00010BF9">
            <w:pPr>
              <w:pStyle w:val="aff6"/>
              <w:topLinePunct/>
            </w:pPr>
            <w:r>
              <w:t>0.000026|3</w:t>
            </w:r>
          </w:p>
        </w:tc>
        <w:tc>
          <w:tcPr>
            <w:tcW w:w="1022" w:type="dxa"/>
            <w:vAlign w:val="center"/>
          </w:tcPr>
          <w:p w14:paraId="31231077" w14:textId="77777777" w:rsidR="003E78AB" w:rsidRDefault="00010BF9">
            <w:pPr>
              <w:pStyle w:val="aff6"/>
              <w:topLinePunct/>
            </w:pPr>
            <w:r>
              <w:t>0</w:t>
            </w:r>
          </w:p>
        </w:tc>
        <w:tc>
          <w:tcPr>
            <w:tcW w:w="1022" w:type="dxa"/>
            <w:vAlign w:val="center"/>
          </w:tcPr>
          <w:p w14:paraId="293B6093" w14:textId="77777777" w:rsidR="003E78AB" w:rsidRDefault="00010BF9">
            <w:pPr>
              <w:pStyle w:val="aff6"/>
              <w:topLinePunct/>
            </w:pPr>
            <w:r>
              <w:t>0.000026</w:t>
            </w:r>
          </w:p>
        </w:tc>
        <w:tc>
          <w:tcPr>
            <w:tcW w:w="1022" w:type="dxa"/>
            <w:vAlign w:val="center"/>
          </w:tcPr>
          <w:p w14:paraId="65F4BBD8" w14:textId="77777777" w:rsidR="003E78AB" w:rsidRDefault="00010BF9">
            <w:pPr>
              <w:pStyle w:val="aff6"/>
              <w:topLinePunct/>
            </w:pPr>
            <w:r>
              <w:t>0.000026</w:t>
            </w:r>
          </w:p>
        </w:tc>
        <w:tc>
          <w:tcPr>
            <w:tcW w:w="1023" w:type="dxa"/>
            <w:vAlign w:val="center"/>
          </w:tcPr>
          <w:p w14:paraId="78D74281" w14:textId="77777777" w:rsidR="003E78AB" w:rsidRDefault="00010BF9">
            <w:pPr>
              <w:pStyle w:val="aff6"/>
              <w:topLinePunct/>
            </w:pPr>
            <w:r>
              <w:t>0.000026</w:t>
            </w:r>
          </w:p>
        </w:tc>
        <w:tc>
          <w:tcPr>
            <w:tcW w:w="1020" w:type="dxa"/>
            <w:vAlign w:val="center"/>
          </w:tcPr>
          <w:p w14:paraId="751F446C" w14:textId="77777777" w:rsidR="003E78AB" w:rsidRDefault="00010BF9">
            <w:pPr>
              <w:pStyle w:val="aff6"/>
              <w:topLinePunct/>
            </w:pPr>
            <w:r>
              <w:t>0.000026</w:t>
            </w:r>
          </w:p>
        </w:tc>
        <w:tc>
          <w:tcPr>
            <w:tcW w:w="1020" w:type="dxa"/>
            <w:vAlign w:val="center"/>
          </w:tcPr>
          <w:p w14:paraId="4B90E349" w14:textId="77777777" w:rsidR="003E78AB" w:rsidRDefault="00010BF9">
            <w:pPr>
              <w:pStyle w:val="aff6"/>
              <w:topLinePunct/>
            </w:pPr>
            <w:r>
              <w:t>0.000026</w:t>
            </w:r>
          </w:p>
        </w:tc>
        <w:tc>
          <w:tcPr>
            <w:tcW w:w="1023" w:type="dxa"/>
            <w:vAlign w:val="center"/>
          </w:tcPr>
          <w:p w14:paraId="106C51B2" w14:textId="77777777" w:rsidR="003E78AB" w:rsidRDefault="00010BF9">
            <w:pPr>
              <w:pStyle w:val="aff6"/>
              <w:topLinePunct/>
            </w:pPr>
            <w:r>
              <w:t>0.000026</w:t>
            </w:r>
          </w:p>
        </w:tc>
        <w:tc>
          <w:tcPr>
            <w:tcW w:w="1020" w:type="dxa"/>
            <w:vAlign w:val="center"/>
          </w:tcPr>
          <w:p w14:paraId="2686DBE7" w14:textId="77777777" w:rsidR="003E78AB" w:rsidRDefault="00010BF9">
            <w:pPr>
              <w:pStyle w:val="aff6"/>
              <w:topLinePunct/>
            </w:pPr>
            <w:r>
              <w:t>0</w:t>
            </w:r>
          </w:p>
        </w:tc>
        <w:tc>
          <w:tcPr>
            <w:tcW w:w="1022" w:type="dxa"/>
            <w:vAlign w:val="center"/>
          </w:tcPr>
          <w:p w14:paraId="1EAEF646" w14:textId="77777777" w:rsidR="003E78AB" w:rsidRDefault="00010BF9">
            <w:pPr>
              <w:pStyle w:val="aff6"/>
              <w:topLinePunct/>
            </w:pPr>
            <w:r>
              <w:t>0</w:t>
            </w:r>
          </w:p>
        </w:tc>
        <w:tc>
          <w:tcPr>
            <w:tcW w:w="896" w:type="dxa"/>
            <w:vAlign w:val="center"/>
          </w:tcPr>
          <w:p w14:paraId="392AAE9A" w14:textId="77777777" w:rsidR="003E78AB" w:rsidRDefault="00010BF9">
            <w:pPr>
              <w:pStyle w:val="aff6"/>
              <w:topLinePunct/>
            </w:pPr>
            <w:r>
              <w:t>0</w:t>
            </w:r>
          </w:p>
        </w:tc>
        <w:tc>
          <w:tcPr>
            <w:tcW w:w="677" w:type="dxa"/>
            <w:vAlign w:val="center"/>
          </w:tcPr>
          <w:p w14:paraId="35791540" w14:textId="77777777" w:rsidR="003E78AB" w:rsidRDefault="00010BF9">
            <w:pPr>
              <w:pStyle w:val="aff6"/>
              <w:topLinePunct/>
            </w:pPr>
            <w:r>
              <w:t>0</w:t>
            </w:r>
          </w:p>
        </w:tc>
      </w:tr>
      <w:tr w:rsidR="003E78AB" w14:paraId="7C578C9B" w14:textId="77777777">
        <w:trPr>
          <w:trHeight w:val="290"/>
        </w:trPr>
        <w:tc>
          <w:tcPr>
            <w:tcW w:w="1013" w:type="dxa"/>
            <w:vAlign w:val="center"/>
          </w:tcPr>
          <w:p w14:paraId="4FF7CBE7" w14:textId="77777777" w:rsidR="003E78AB" w:rsidRDefault="00010BF9">
            <w:pPr>
              <w:pStyle w:val="aff6"/>
              <w:topLinePunct/>
            </w:pPr>
            <w:r>
              <w:t>400</w:t>
            </w:r>
          </w:p>
        </w:tc>
        <w:tc>
          <w:tcPr>
            <w:tcW w:w="2185" w:type="dxa"/>
            <w:vAlign w:val="center"/>
          </w:tcPr>
          <w:p w14:paraId="70562F30" w14:textId="77777777" w:rsidR="003E78AB" w:rsidRDefault="00010BF9">
            <w:pPr>
              <w:pStyle w:val="aff6"/>
              <w:topLinePunct/>
            </w:pPr>
            <w:r>
              <w:t>0.000018|4</w:t>
            </w:r>
          </w:p>
        </w:tc>
        <w:tc>
          <w:tcPr>
            <w:tcW w:w="1022" w:type="dxa"/>
            <w:vAlign w:val="center"/>
          </w:tcPr>
          <w:p w14:paraId="355D3AAD" w14:textId="77777777" w:rsidR="003E78AB" w:rsidRDefault="00010BF9">
            <w:pPr>
              <w:pStyle w:val="aff6"/>
              <w:topLinePunct/>
            </w:pPr>
            <w:r>
              <w:t>0</w:t>
            </w:r>
          </w:p>
        </w:tc>
        <w:tc>
          <w:tcPr>
            <w:tcW w:w="1022" w:type="dxa"/>
            <w:vAlign w:val="center"/>
          </w:tcPr>
          <w:p w14:paraId="54A0CA99" w14:textId="77777777" w:rsidR="003E78AB" w:rsidRDefault="00010BF9">
            <w:pPr>
              <w:pStyle w:val="aff6"/>
              <w:topLinePunct/>
            </w:pPr>
            <w:r>
              <w:t>0.000018</w:t>
            </w:r>
          </w:p>
        </w:tc>
        <w:tc>
          <w:tcPr>
            <w:tcW w:w="1022" w:type="dxa"/>
            <w:vAlign w:val="center"/>
          </w:tcPr>
          <w:p w14:paraId="378941EC" w14:textId="77777777" w:rsidR="003E78AB" w:rsidRDefault="00010BF9">
            <w:pPr>
              <w:pStyle w:val="aff6"/>
              <w:topLinePunct/>
            </w:pPr>
            <w:r>
              <w:t>0.000018</w:t>
            </w:r>
          </w:p>
        </w:tc>
        <w:tc>
          <w:tcPr>
            <w:tcW w:w="1023" w:type="dxa"/>
            <w:vAlign w:val="center"/>
          </w:tcPr>
          <w:p w14:paraId="27B2DB9E" w14:textId="77777777" w:rsidR="003E78AB" w:rsidRDefault="00010BF9">
            <w:pPr>
              <w:pStyle w:val="aff6"/>
              <w:topLinePunct/>
            </w:pPr>
            <w:r>
              <w:t>0.000018</w:t>
            </w:r>
          </w:p>
        </w:tc>
        <w:tc>
          <w:tcPr>
            <w:tcW w:w="1020" w:type="dxa"/>
            <w:vAlign w:val="center"/>
          </w:tcPr>
          <w:p w14:paraId="13A010EC" w14:textId="77777777" w:rsidR="003E78AB" w:rsidRDefault="00010BF9">
            <w:pPr>
              <w:pStyle w:val="aff6"/>
              <w:topLinePunct/>
            </w:pPr>
            <w:r>
              <w:t>0.000018</w:t>
            </w:r>
          </w:p>
        </w:tc>
        <w:tc>
          <w:tcPr>
            <w:tcW w:w="1020" w:type="dxa"/>
            <w:vAlign w:val="center"/>
          </w:tcPr>
          <w:p w14:paraId="7EB5DD03" w14:textId="77777777" w:rsidR="003E78AB" w:rsidRDefault="00010BF9">
            <w:pPr>
              <w:pStyle w:val="aff6"/>
              <w:topLinePunct/>
            </w:pPr>
            <w:r>
              <w:t>0.000018</w:t>
            </w:r>
          </w:p>
        </w:tc>
        <w:tc>
          <w:tcPr>
            <w:tcW w:w="1023" w:type="dxa"/>
            <w:vAlign w:val="center"/>
          </w:tcPr>
          <w:p w14:paraId="21ECAD89" w14:textId="77777777" w:rsidR="003E78AB" w:rsidRDefault="00010BF9">
            <w:pPr>
              <w:pStyle w:val="aff6"/>
              <w:topLinePunct/>
            </w:pPr>
            <w:r>
              <w:t>0.000018</w:t>
            </w:r>
          </w:p>
        </w:tc>
        <w:tc>
          <w:tcPr>
            <w:tcW w:w="1020" w:type="dxa"/>
            <w:vAlign w:val="center"/>
          </w:tcPr>
          <w:p w14:paraId="0FCA148C" w14:textId="77777777" w:rsidR="003E78AB" w:rsidRDefault="00010BF9">
            <w:pPr>
              <w:pStyle w:val="aff6"/>
              <w:topLinePunct/>
            </w:pPr>
            <w:r>
              <w:t>0</w:t>
            </w:r>
          </w:p>
        </w:tc>
        <w:tc>
          <w:tcPr>
            <w:tcW w:w="1022" w:type="dxa"/>
            <w:vAlign w:val="center"/>
          </w:tcPr>
          <w:p w14:paraId="5683060A" w14:textId="77777777" w:rsidR="003E78AB" w:rsidRDefault="00010BF9">
            <w:pPr>
              <w:pStyle w:val="aff6"/>
              <w:topLinePunct/>
            </w:pPr>
            <w:r>
              <w:t>0</w:t>
            </w:r>
          </w:p>
        </w:tc>
        <w:tc>
          <w:tcPr>
            <w:tcW w:w="896" w:type="dxa"/>
            <w:vAlign w:val="center"/>
          </w:tcPr>
          <w:p w14:paraId="7B8B9CE6" w14:textId="77777777" w:rsidR="003E78AB" w:rsidRDefault="00010BF9">
            <w:pPr>
              <w:pStyle w:val="aff6"/>
              <w:topLinePunct/>
            </w:pPr>
            <w:r>
              <w:t>0</w:t>
            </w:r>
          </w:p>
        </w:tc>
        <w:tc>
          <w:tcPr>
            <w:tcW w:w="677" w:type="dxa"/>
            <w:vAlign w:val="center"/>
          </w:tcPr>
          <w:p w14:paraId="360F19A5" w14:textId="77777777" w:rsidR="003E78AB" w:rsidRDefault="00010BF9">
            <w:pPr>
              <w:pStyle w:val="aff6"/>
              <w:topLinePunct/>
            </w:pPr>
            <w:r>
              <w:t>0</w:t>
            </w:r>
          </w:p>
        </w:tc>
      </w:tr>
      <w:tr w:rsidR="003E78AB" w14:paraId="6DBBD3F8" w14:textId="77777777">
        <w:trPr>
          <w:trHeight w:val="288"/>
        </w:trPr>
        <w:tc>
          <w:tcPr>
            <w:tcW w:w="1013" w:type="dxa"/>
            <w:vAlign w:val="center"/>
          </w:tcPr>
          <w:p w14:paraId="45BA02F4" w14:textId="77777777" w:rsidR="003E78AB" w:rsidRDefault="00010BF9">
            <w:pPr>
              <w:pStyle w:val="aff6"/>
              <w:topLinePunct/>
            </w:pPr>
            <w:r>
              <w:t>500</w:t>
            </w:r>
          </w:p>
        </w:tc>
        <w:tc>
          <w:tcPr>
            <w:tcW w:w="2185" w:type="dxa"/>
            <w:vAlign w:val="center"/>
          </w:tcPr>
          <w:p w14:paraId="0C10332B" w14:textId="77777777" w:rsidR="003E78AB" w:rsidRDefault="00010BF9">
            <w:pPr>
              <w:pStyle w:val="aff6"/>
              <w:topLinePunct/>
            </w:pPr>
            <w:r>
              <w:t>0.000013|5</w:t>
            </w:r>
          </w:p>
        </w:tc>
        <w:tc>
          <w:tcPr>
            <w:tcW w:w="1022" w:type="dxa"/>
            <w:vAlign w:val="center"/>
          </w:tcPr>
          <w:p w14:paraId="6487BB01" w14:textId="77777777" w:rsidR="003E78AB" w:rsidRDefault="00010BF9">
            <w:pPr>
              <w:pStyle w:val="aff6"/>
              <w:topLinePunct/>
            </w:pPr>
            <w:r>
              <w:t>0</w:t>
            </w:r>
          </w:p>
        </w:tc>
        <w:tc>
          <w:tcPr>
            <w:tcW w:w="1022" w:type="dxa"/>
            <w:vAlign w:val="center"/>
          </w:tcPr>
          <w:p w14:paraId="461E1305" w14:textId="77777777" w:rsidR="003E78AB" w:rsidRDefault="00010BF9">
            <w:pPr>
              <w:pStyle w:val="aff6"/>
              <w:topLinePunct/>
            </w:pPr>
            <w:r>
              <w:t>0.000013</w:t>
            </w:r>
          </w:p>
        </w:tc>
        <w:tc>
          <w:tcPr>
            <w:tcW w:w="1022" w:type="dxa"/>
            <w:vAlign w:val="center"/>
          </w:tcPr>
          <w:p w14:paraId="0ACC71C0" w14:textId="77777777" w:rsidR="003E78AB" w:rsidRDefault="00010BF9">
            <w:pPr>
              <w:pStyle w:val="aff6"/>
              <w:topLinePunct/>
            </w:pPr>
            <w:r>
              <w:t>0.000013</w:t>
            </w:r>
          </w:p>
        </w:tc>
        <w:tc>
          <w:tcPr>
            <w:tcW w:w="1023" w:type="dxa"/>
            <w:vAlign w:val="center"/>
          </w:tcPr>
          <w:p w14:paraId="60347870" w14:textId="77777777" w:rsidR="003E78AB" w:rsidRDefault="00010BF9">
            <w:pPr>
              <w:pStyle w:val="aff6"/>
              <w:topLinePunct/>
            </w:pPr>
            <w:r>
              <w:t>0.000013</w:t>
            </w:r>
          </w:p>
        </w:tc>
        <w:tc>
          <w:tcPr>
            <w:tcW w:w="1020" w:type="dxa"/>
            <w:vAlign w:val="center"/>
          </w:tcPr>
          <w:p w14:paraId="57FD4889" w14:textId="77777777" w:rsidR="003E78AB" w:rsidRDefault="00010BF9">
            <w:pPr>
              <w:pStyle w:val="aff6"/>
              <w:topLinePunct/>
            </w:pPr>
            <w:r>
              <w:t>0.000013</w:t>
            </w:r>
          </w:p>
        </w:tc>
        <w:tc>
          <w:tcPr>
            <w:tcW w:w="1020" w:type="dxa"/>
            <w:vAlign w:val="center"/>
          </w:tcPr>
          <w:p w14:paraId="2AD4A688" w14:textId="77777777" w:rsidR="003E78AB" w:rsidRDefault="00010BF9">
            <w:pPr>
              <w:pStyle w:val="aff6"/>
              <w:topLinePunct/>
            </w:pPr>
            <w:r>
              <w:t>0.000013</w:t>
            </w:r>
          </w:p>
        </w:tc>
        <w:tc>
          <w:tcPr>
            <w:tcW w:w="1023" w:type="dxa"/>
            <w:vAlign w:val="center"/>
          </w:tcPr>
          <w:p w14:paraId="3B05856D" w14:textId="77777777" w:rsidR="003E78AB" w:rsidRDefault="00010BF9">
            <w:pPr>
              <w:pStyle w:val="aff6"/>
              <w:topLinePunct/>
            </w:pPr>
            <w:r>
              <w:t>0.000013</w:t>
            </w:r>
          </w:p>
        </w:tc>
        <w:tc>
          <w:tcPr>
            <w:tcW w:w="1020" w:type="dxa"/>
            <w:vAlign w:val="center"/>
          </w:tcPr>
          <w:p w14:paraId="5DDC6E27" w14:textId="77777777" w:rsidR="003E78AB" w:rsidRDefault="00010BF9">
            <w:pPr>
              <w:pStyle w:val="aff6"/>
              <w:topLinePunct/>
            </w:pPr>
            <w:r>
              <w:t>0</w:t>
            </w:r>
          </w:p>
        </w:tc>
        <w:tc>
          <w:tcPr>
            <w:tcW w:w="1022" w:type="dxa"/>
            <w:vAlign w:val="center"/>
          </w:tcPr>
          <w:p w14:paraId="6C7AB9EA" w14:textId="77777777" w:rsidR="003E78AB" w:rsidRDefault="00010BF9">
            <w:pPr>
              <w:pStyle w:val="aff6"/>
              <w:topLinePunct/>
            </w:pPr>
            <w:r>
              <w:t>0</w:t>
            </w:r>
          </w:p>
        </w:tc>
        <w:tc>
          <w:tcPr>
            <w:tcW w:w="896" w:type="dxa"/>
            <w:vAlign w:val="center"/>
          </w:tcPr>
          <w:p w14:paraId="3B3B277D" w14:textId="77777777" w:rsidR="003E78AB" w:rsidRDefault="00010BF9">
            <w:pPr>
              <w:pStyle w:val="aff6"/>
              <w:topLinePunct/>
            </w:pPr>
            <w:r>
              <w:t>0</w:t>
            </w:r>
          </w:p>
        </w:tc>
        <w:tc>
          <w:tcPr>
            <w:tcW w:w="677" w:type="dxa"/>
            <w:vAlign w:val="center"/>
          </w:tcPr>
          <w:p w14:paraId="6766CC63" w14:textId="77777777" w:rsidR="003E78AB" w:rsidRDefault="00010BF9">
            <w:pPr>
              <w:pStyle w:val="aff6"/>
              <w:topLinePunct/>
            </w:pPr>
            <w:r>
              <w:t>0</w:t>
            </w:r>
          </w:p>
        </w:tc>
      </w:tr>
      <w:tr w:rsidR="003E78AB" w14:paraId="09CA31D7" w14:textId="77777777">
        <w:trPr>
          <w:trHeight w:val="287"/>
        </w:trPr>
        <w:tc>
          <w:tcPr>
            <w:tcW w:w="1013" w:type="dxa"/>
            <w:vAlign w:val="center"/>
          </w:tcPr>
          <w:p w14:paraId="59BFC169" w14:textId="77777777" w:rsidR="003E78AB" w:rsidRDefault="00010BF9">
            <w:pPr>
              <w:pStyle w:val="aff6"/>
              <w:topLinePunct/>
            </w:pPr>
            <w:r>
              <w:t>600</w:t>
            </w:r>
          </w:p>
        </w:tc>
        <w:tc>
          <w:tcPr>
            <w:tcW w:w="2185" w:type="dxa"/>
            <w:vAlign w:val="center"/>
          </w:tcPr>
          <w:p w14:paraId="2C6BBDC6" w14:textId="77777777" w:rsidR="003E78AB" w:rsidRDefault="00010BF9">
            <w:pPr>
              <w:pStyle w:val="aff6"/>
              <w:topLinePunct/>
            </w:pPr>
            <w:r>
              <w:t>0.00001|6</w:t>
            </w:r>
          </w:p>
        </w:tc>
        <w:tc>
          <w:tcPr>
            <w:tcW w:w="1022" w:type="dxa"/>
            <w:vAlign w:val="center"/>
          </w:tcPr>
          <w:p w14:paraId="3C5C2C99" w14:textId="77777777" w:rsidR="003E78AB" w:rsidRDefault="00010BF9">
            <w:pPr>
              <w:pStyle w:val="aff6"/>
              <w:topLinePunct/>
            </w:pPr>
            <w:r>
              <w:t>0</w:t>
            </w:r>
          </w:p>
        </w:tc>
        <w:tc>
          <w:tcPr>
            <w:tcW w:w="1022" w:type="dxa"/>
            <w:vAlign w:val="center"/>
          </w:tcPr>
          <w:p w14:paraId="3727B0FD" w14:textId="77777777" w:rsidR="003E78AB" w:rsidRDefault="00010BF9">
            <w:pPr>
              <w:pStyle w:val="aff6"/>
              <w:topLinePunct/>
            </w:pPr>
            <w:r>
              <w:t>0</w:t>
            </w:r>
          </w:p>
        </w:tc>
        <w:tc>
          <w:tcPr>
            <w:tcW w:w="1022" w:type="dxa"/>
            <w:vAlign w:val="center"/>
          </w:tcPr>
          <w:p w14:paraId="08BDB7B9" w14:textId="77777777" w:rsidR="003E78AB" w:rsidRDefault="00010BF9">
            <w:pPr>
              <w:pStyle w:val="aff6"/>
              <w:topLinePunct/>
            </w:pPr>
            <w:r>
              <w:t>0.00001</w:t>
            </w:r>
          </w:p>
        </w:tc>
        <w:tc>
          <w:tcPr>
            <w:tcW w:w="1023" w:type="dxa"/>
            <w:vAlign w:val="center"/>
          </w:tcPr>
          <w:p w14:paraId="713DF791" w14:textId="77777777" w:rsidR="003E78AB" w:rsidRDefault="00010BF9">
            <w:pPr>
              <w:pStyle w:val="aff6"/>
              <w:topLinePunct/>
            </w:pPr>
            <w:r>
              <w:t>0.00001</w:t>
            </w:r>
          </w:p>
        </w:tc>
        <w:tc>
          <w:tcPr>
            <w:tcW w:w="1020" w:type="dxa"/>
            <w:vAlign w:val="center"/>
          </w:tcPr>
          <w:p w14:paraId="714F5AD4" w14:textId="77777777" w:rsidR="003E78AB" w:rsidRDefault="00010BF9">
            <w:pPr>
              <w:pStyle w:val="aff6"/>
              <w:topLinePunct/>
            </w:pPr>
            <w:r>
              <w:t>0.00001</w:t>
            </w:r>
          </w:p>
        </w:tc>
        <w:tc>
          <w:tcPr>
            <w:tcW w:w="1020" w:type="dxa"/>
            <w:vAlign w:val="center"/>
          </w:tcPr>
          <w:p w14:paraId="0C5C5940" w14:textId="77777777" w:rsidR="003E78AB" w:rsidRDefault="00010BF9">
            <w:pPr>
              <w:pStyle w:val="aff6"/>
              <w:topLinePunct/>
            </w:pPr>
            <w:r>
              <w:t>0.00001</w:t>
            </w:r>
          </w:p>
        </w:tc>
        <w:tc>
          <w:tcPr>
            <w:tcW w:w="1023" w:type="dxa"/>
            <w:vAlign w:val="center"/>
          </w:tcPr>
          <w:p w14:paraId="4DD8A4D2" w14:textId="77777777" w:rsidR="003E78AB" w:rsidRDefault="00010BF9">
            <w:pPr>
              <w:pStyle w:val="aff6"/>
              <w:topLinePunct/>
            </w:pPr>
            <w:r>
              <w:t>0.00001</w:t>
            </w:r>
          </w:p>
        </w:tc>
        <w:tc>
          <w:tcPr>
            <w:tcW w:w="1020" w:type="dxa"/>
            <w:vAlign w:val="center"/>
          </w:tcPr>
          <w:p w14:paraId="0B37EB74" w14:textId="77777777" w:rsidR="003E78AB" w:rsidRDefault="00010BF9">
            <w:pPr>
              <w:pStyle w:val="aff6"/>
              <w:topLinePunct/>
            </w:pPr>
            <w:r>
              <w:t>0</w:t>
            </w:r>
          </w:p>
        </w:tc>
        <w:tc>
          <w:tcPr>
            <w:tcW w:w="1022" w:type="dxa"/>
            <w:vAlign w:val="center"/>
          </w:tcPr>
          <w:p w14:paraId="7B50687A" w14:textId="77777777" w:rsidR="003E78AB" w:rsidRDefault="00010BF9">
            <w:pPr>
              <w:pStyle w:val="aff6"/>
              <w:topLinePunct/>
            </w:pPr>
            <w:r>
              <w:t>0</w:t>
            </w:r>
          </w:p>
        </w:tc>
        <w:tc>
          <w:tcPr>
            <w:tcW w:w="896" w:type="dxa"/>
            <w:vAlign w:val="center"/>
          </w:tcPr>
          <w:p w14:paraId="56C4F805" w14:textId="77777777" w:rsidR="003E78AB" w:rsidRDefault="00010BF9">
            <w:pPr>
              <w:pStyle w:val="aff6"/>
              <w:topLinePunct/>
            </w:pPr>
            <w:r>
              <w:t>0</w:t>
            </w:r>
          </w:p>
        </w:tc>
        <w:tc>
          <w:tcPr>
            <w:tcW w:w="677" w:type="dxa"/>
            <w:vAlign w:val="center"/>
          </w:tcPr>
          <w:p w14:paraId="5D6BC0A4" w14:textId="77777777" w:rsidR="003E78AB" w:rsidRDefault="00010BF9">
            <w:pPr>
              <w:pStyle w:val="aff6"/>
              <w:topLinePunct/>
            </w:pPr>
            <w:r>
              <w:t>0</w:t>
            </w:r>
          </w:p>
        </w:tc>
      </w:tr>
      <w:tr w:rsidR="003E78AB" w14:paraId="19A797EB" w14:textId="77777777">
        <w:trPr>
          <w:trHeight w:val="288"/>
        </w:trPr>
        <w:tc>
          <w:tcPr>
            <w:tcW w:w="1013" w:type="dxa"/>
            <w:vAlign w:val="center"/>
          </w:tcPr>
          <w:p w14:paraId="2CE6CBEA" w14:textId="77777777" w:rsidR="003E78AB" w:rsidRDefault="00010BF9">
            <w:pPr>
              <w:pStyle w:val="aff6"/>
              <w:topLinePunct/>
            </w:pPr>
            <w:r>
              <w:t>700</w:t>
            </w:r>
          </w:p>
        </w:tc>
        <w:tc>
          <w:tcPr>
            <w:tcW w:w="2185" w:type="dxa"/>
            <w:vAlign w:val="center"/>
          </w:tcPr>
          <w:p w14:paraId="2D299C70" w14:textId="77777777" w:rsidR="003E78AB" w:rsidRDefault="00010BF9">
            <w:pPr>
              <w:pStyle w:val="aff6"/>
              <w:topLinePunct/>
            </w:pPr>
            <w:r>
              <w:t>0.000008|7</w:t>
            </w:r>
          </w:p>
        </w:tc>
        <w:tc>
          <w:tcPr>
            <w:tcW w:w="1022" w:type="dxa"/>
            <w:vAlign w:val="center"/>
          </w:tcPr>
          <w:p w14:paraId="306332A8" w14:textId="77777777" w:rsidR="003E78AB" w:rsidRDefault="00010BF9">
            <w:pPr>
              <w:pStyle w:val="aff6"/>
              <w:topLinePunct/>
            </w:pPr>
            <w:r>
              <w:t>0</w:t>
            </w:r>
          </w:p>
        </w:tc>
        <w:tc>
          <w:tcPr>
            <w:tcW w:w="1022" w:type="dxa"/>
            <w:vAlign w:val="center"/>
          </w:tcPr>
          <w:p w14:paraId="689B12D2" w14:textId="77777777" w:rsidR="003E78AB" w:rsidRDefault="00010BF9">
            <w:pPr>
              <w:pStyle w:val="aff6"/>
              <w:topLinePunct/>
            </w:pPr>
            <w:r>
              <w:t>0</w:t>
            </w:r>
          </w:p>
        </w:tc>
        <w:tc>
          <w:tcPr>
            <w:tcW w:w="1022" w:type="dxa"/>
            <w:vAlign w:val="center"/>
          </w:tcPr>
          <w:p w14:paraId="202E008C" w14:textId="77777777" w:rsidR="003E78AB" w:rsidRDefault="00010BF9">
            <w:pPr>
              <w:pStyle w:val="aff6"/>
              <w:topLinePunct/>
            </w:pPr>
            <w:r>
              <w:t>0.000008</w:t>
            </w:r>
          </w:p>
        </w:tc>
        <w:tc>
          <w:tcPr>
            <w:tcW w:w="1023" w:type="dxa"/>
            <w:vAlign w:val="center"/>
          </w:tcPr>
          <w:p w14:paraId="1FD7B0CF" w14:textId="77777777" w:rsidR="003E78AB" w:rsidRDefault="00010BF9">
            <w:pPr>
              <w:pStyle w:val="aff6"/>
              <w:topLinePunct/>
            </w:pPr>
            <w:r>
              <w:t>0.000008</w:t>
            </w:r>
          </w:p>
        </w:tc>
        <w:tc>
          <w:tcPr>
            <w:tcW w:w="1020" w:type="dxa"/>
            <w:vAlign w:val="center"/>
          </w:tcPr>
          <w:p w14:paraId="30A6C6A6" w14:textId="77777777" w:rsidR="003E78AB" w:rsidRDefault="00010BF9">
            <w:pPr>
              <w:pStyle w:val="aff6"/>
              <w:topLinePunct/>
            </w:pPr>
            <w:r>
              <w:t>0.000008</w:t>
            </w:r>
          </w:p>
        </w:tc>
        <w:tc>
          <w:tcPr>
            <w:tcW w:w="1020" w:type="dxa"/>
            <w:vAlign w:val="center"/>
          </w:tcPr>
          <w:p w14:paraId="091F92CB" w14:textId="77777777" w:rsidR="003E78AB" w:rsidRDefault="00010BF9">
            <w:pPr>
              <w:pStyle w:val="aff6"/>
              <w:topLinePunct/>
            </w:pPr>
            <w:r>
              <w:t>0.000008</w:t>
            </w:r>
          </w:p>
        </w:tc>
        <w:tc>
          <w:tcPr>
            <w:tcW w:w="1023" w:type="dxa"/>
            <w:vAlign w:val="center"/>
          </w:tcPr>
          <w:p w14:paraId="1B4F29F9" w14:textId="77777777" w:rsidR="003E78AB" w:rsidRDefault="00010BF9">
            <w:pPr>
              <w:pStyle w:val="aff6"/>
              <w:topLinePunct/>
            </w:pPr>
            <w:r>
              <w:t>0.000008</w:t>
            </w:r>
          </w:p>
        </w:tc>
        <w:tc>
          <w:tcPr>
            <w:tcW w:w="1020" w:type="dxa"/>
            <w:vAlign w:val="center"/>
          </w:tcPr>
          <w:p w14:paraId="470A0016" w14:textId="77777777" w:rsidR="003E78AB" w:rsidRDefault="00010BF9">
            <w:pPr>
              <w:pStyle w:val="aff6"/>
              <w:topLinePunct/>
            </w:pPr>
            <w:r>
              <w:t>0</w:t>
            </w:r>
          </w:p>
        </w:tc>
        <w:tc>
          <w:tcPr>
            <w:tcW w:w="1022" w:type="dxa"/>
            <w:vAlign w:val="center"/>
          </w:tcPr>
          <w:p w14:paraId="65B22288" w14:textId="77777777" w:rsidR="003E78AB" w:rsidRDefault="00010BF9">
            <w:pPr>
              <w:pStyle w:val="aff6"/>
              <w:topLinePunct/>
            </w:pPr>
            <w:r>
              <w:t>0</w:t>
            </w:r>
          </w:p>
        </w:tc>
        <w:tc>
          <w:tcPr>
            <w:tcW w:w="896" w:type="dxa"/>
            <w:vAlign w:val="center"/>
          </w:tcPr>
          <w:p w14:paraId="7DE3B3BD" w14:textId="77777777" w:rsidR="003E78AB" w:rsidRDefault="00010BF9">
            <w:pPr>
              <w:pStyle w:val="aff6"/>
              <w:topLinePunct/>
            </w:pPr>
            <w:r>
              <w:t>0</w:t>
            </w:r>
          </w:p>
        </w:tc>
        <w:tc>
          <w:tcPr>
            <w:tcW w:w="677" w:type="dxa"/>
            <w:vAlign w:val="center"/>
          </w:tcPr>
          <w:p w14:paraId="23734EED" w14:textId="77777777" w:rsidR="003E78AB" w:rsidRDefault="00010BF9">
            <w:pPr>
              <w:pStyle w:val="aff6"/>
              <w:topLinePunct/>
            </w:pPr>
            <w:r>
              <w:t>0</w:t>
            </w:r>
          </w:p>
        </w:tc>
      </w:tr>
      <w:tr w:rsidR="003E78AB" w14:paraId="0908E5A9" w14:textId="77777777">
        <w:trPr>
          <w:trHeight w:val="288"/>
        </w:trPr>
        <w:tc>
          <w:tcPr>
            <w:tcW w:w="1013" w:type="dxa"/>
            <w:vAlign w:val="center"/>
          </w:tcPr>
          <w:p w14:paraId="4D7BC03A" w14:textId="77777777" w:rsidR="003E78AB" w:rsidRDefault="00010BF9">
            <w:pPr>
              <w:pStyle w:val="aff6"/>
              <w:topLinePunct/>
            </w:pPr>
            <w:r>
              <w:t>800</w:t>
            </w:r>
          </w:p>
        </w:tc>
        <w:tc>
          <w:tcPr>
            <w:tcW w:w="2185" w:type="dxa"/>
            <w:vAlign w:val="center"/>
          </w:tcPr>
          <w:p w14:paraId="1F8A5135" w14:textId="77777777" w:rsidR="003E78AB" w:rsidRDefault="00010BF9">
            <w:pPr>
              <w:pStyle w:val="aff6"/>
              <w:topLinePunct/>
            </w:pPr>
            <w:r>
              <w:t>0.000006|8</w:t>
            </w:r>
          </w:p>
        </w:tc>
        <w:tc>
          <w:tcPr>
            <w:tcW w:w="1022" w:type="dxa"/>
            <w:vAlign w:val="center"/>
          </w:tcPr>
          <w:p w14:paraId="185A1375" w14:textId="77777777" w:rsidR="003E78AB" w:rsidRDefault="00010BF9">
            <w:pPr>
              <w:pStyle w:val="aff6"/>
              <w:topLinePunct/>
            </w:pPr>
            <w:r>
              <w:t>0</w:t>
            </w:r>
          </w:p>
        </w:tc>
        <w:tc>
          <w:tcPr>
            <w:tcW w:w="1022" w:type="dxa"/>
            <w:vAlign w:val="center"/>
          </w:tcPr>
          <w:p w14:paraId="52A921A1" w14:textId="77777777" w:rsidR="003E78AB" w:rsidRDefault="00010BF9">
            <w:pPr>
              <w:pStyle w:val="aff6"/>
              <w:topLinePunct/>
            </w:pPr>
            <w:r>
              <w:t>0</w:t>
            </w:r>
          </w:p>
        </w:tc>
        <w:tc>
          <w:tcPr>
            <w:tcW w:w="1022" w:type="dxa"/>
            <w:vAlign w:val="center"/>
          </w:tcPr>
          <w:p w14:paraId="3D7C0B2F" w14:textId="77777777" w:rsidR="003E78AB" w:rsidRDefault="00010BF9">
            <w:pPr>
              <w:pStyle w:val="aff6"/>
              <w:topLinePunct/>
            </w:pPr>
            <w:r>
              <w:t>0.000006</w:t>
            </w:r>
          </w:p>
        </w:tc>
        <w:tc>
          <w:tcPr>
            <w:tcW w:w="1023" w:type="dxa"/>
            <w:vAlign w:val="center"/>
          </w:tcPr>
          <w:p w14:paraId="5AC5E0EA" w14:textId="77777777" w:rsidR="003E78AB" w:rsidRDefault="00010BF9">
            <w:pPr>
              <w:pStyle w:val="aff6"/>
              <w:topLinePunct/>
            </w:pPr>
            <w:r>
              <w:t>0.000006</w:t>
            </w:r>
          </w:p>
        </w:tc>
        <w:tc>
          <w:tcPr>
            <w:tcW w:w="1020" w:type="dxa"/>
            <w:vAlign w:val="center"/>
          </w:tcPr>
          <w:p w14:paraId="74525EDA" w14:textId="77777777" w:rsidR="003E78AB" w:rsidRDefault="00010BF9">
            <w:pPr>
              <w:pStyle w:val="aff6"/>
              <w:topLinePunct/>
            </w:pPr>
            <w:r>
              <w:t>0.000006</w:t>
            </w:r>
          </w:p>
        </w:tc>
        <w:tc>
          <w:tcPr>
            <w:tcW w:w="1020" w:type="dxa"/>
            <w:vAlign w:val="center"/>
          </w:tcPr>
          <w:p w14:paraId="170DB5FA" w14:textId="77777777" w:rsidR="003E78AB" w:rsidRDefault="00010BF9">
            <w:pPr>
              <w:pStyle w:val="aff6"/>
              <w:topLinePunct/>
            </w:pPr>
            <w:r>
              <w:t>0.000006</w:t>
            </w:r>
          </w:p>
        </w:tc>
        <w:tc>
          <w:tcPr>
            <w:tcW w:w="1023" w:type="dxa"/>
            <w:vAlign w:val="center"/>
          </w:tcPr>
          <w:p w14:paraId="040AF724" w14:textId="77777777" w:rsidR="003E78AB" w:rsidRDefault="00010BF9">
            <w:pPr>
              <w:pStyle w:val="aff6"/>
              <w:topLinePunct/>
            </w:pPr>
            <w:r>
              <w:t>0.000006</w:t>
            </w:r>
          </w:p>
        </w:tc>
        <w:tc>
          <w:tcPr>
            <w:tcW w:w="1020" w:type="dxa"/>
            <w:vAlign w:val="center"/>
          </w:tcPr>
          <w:p w14:paraId="33B7BFD9" w14:textId="77777777" w:rsidR="003E78AB" w:rsidRDefault="00010BF9">
            <w:pPr>
              <w:pStyle w:val="aff6"/>
              <w:topLinePunct/>
            </w:pPr>
            <w:r>
              <w:t>0</w:t>
            </w:r>
          </w:p>
        </w:tc>
        <w:tc>
          <w:tcPr>
            <w:tcW w:w="1022" w:type="dxa"/>
            <w:vAlign w:val="center"/>
          </w:tcPr>
          <w:p w14:paraId="2B47C246" w14:textId="77777777" w:rsidR="003E78AB" w:rsidRDefault="00010BF9">
            <w:pPr>
              <w:pStyle w:val="aff6"/>
              <w:topLinePunct/>
            </w:pPr>
            <w:r>
              <w:t>0</w:t>
            </w:r>
          </w:p>
        </w:tc>
        <w:tc>
          <w:tcPr>
            <w:tcW w:w="896" w:type="dxa"/>
            <w:vAlign w:val="center"/>
          </w:tcPr>
          <w:p w14:paraId="7AF4B41E" w14:textId="77777777" w:rsidR="003E78AB" w:rsidRDefault="00010BF9">
            <w:pPr>
              <w:pStyle w:val="aff6"/>
              <w:topLinePunct/>
            </w:pPr>
            <w:r>
              <w:t>0</w:t>
            </w:r>
          </w:p>
        </w:tc>
        <w:tc>
          <w:tcPr>
            <w:tcW w:w="677" w:type="dxa"/>
            <w:vAlign w:val="center"/>
          </w:tcPr>
          <w:p w14:paraId="18AEE80C" w14:textId="77777777" w:rsidR="003E78AB" w:rsidRDefault="00010BF9">
            <w:pPr>
              <w:pStyle w:val="aff6"/>
              <w:topLinePunct/>
            </w:pPr>
            <w:r>
              <w:t>0</w:t>
            </w:r>
          </w:p>
        </w:tc>
      </w:tr>
      <w:tr w:rsidR="003E78AB" w14:paraId="02DAC0C3" w14:textId="77777777">
        <w:trPr>
          <w:trHeight w:val="288"/>
        </w:trPr>
        <w:tc>
          <w:tcPr>
            <w:tcW w:w="1013" w:type="dxa"/>
            <w:vAlign w:val="center"/>
          </w:tcPr>
          <w:p w14:paraId="355F3AF1" w14:textId="77777777" w:rsidR="003E78AB" w:rsidRDefault="00010BF9">
            <w:pPr>
              <w:pStyle w:val="aff6"/>
              <w:topLinePunct/>
            </w:pPr>
            <w:r>
              <w:t>900</w:t>
            </w:r>
          </w:p>
        </w:tc>
        <w:tc>
          <w:tcPr>
            <w:tcW w:w="2185" w:type="dxa"/>
            <w:vAlign w:val="center"/>
          </w:tcPr>
          <w:p w14:paraId="21651262" w14:textId="77777777" w:rsidR="003E78AB" w:rsidRDefault="00010BF9">
            <w:pPr>
              <w:pStyle w:val="aff6"/>
              <w:topLinePunct/>
            </w:pPr>
            <w:r>
              <w:t>0.000005|9</w:t>
            </w:r>
          </w:p>
        </w:tc>
        <w:tc>
          <w:tcPr>
            <w:tcW w:w="1022" w:type="dxa"/>
            <w:vAlign w:val="center"/>
          </w:tcPr>
          <w:p w14:paraId="3D7F037B" w14:textId="77777777" w:rsidR="003E78AB" w:rsidRDefault="00010BF9">
            <w:pPr>
              <w:pStyle w:val="aff6"/>
              <w:topLinePunct/>
            </w:pPr>
            <w:r>
              <w:t>0</w:t>
            </w:r>
          </w:p>
        </w:tc>
        <w:tc>
          <w:tcPr>
            <w:tcW w:w="1022" w:type="dxa"/>
            <w:vAlign w:val="center"/>
          </w:tcPr>
          <w:p w14:paraId="4CB56345" w14:textId="77777777" w:rsidR="003E78AB" w:rsidRDefault="00010BF9">
            <w:pPr>
              <w:pStyle w:val="aff6"/>
              <w:topLinePunct/>
            </w:pPr>
            <w:r>
              <w:t>0</w:t>
            </w:r>
          </w:p>
        </w:tc>
        <w:tc>
          <w:tcPr>
            <w:tcW w:w="1022" w:type="dxa"/>
            <w:vAlign w:val="center"/>
          </w:tcPr>
          <w:p w14:paraId="65AE22E2" w14:textId="77777777" w:rsidR="003E78AB" w:rsidRDefault="00010BF9">
            <w:pPr>
              <w:pStyle w:val="aff6"/>
              <w:topLinePunct/>
            </w:pPr>
            <w:r>
              <w:t>0</w:t>
            </w:r>
          </w:p>
        </w:tc>
        <w:tc>
          <w:tcPr>
            <w:tcW w:w="1023" w:type="dxa"/>
            <w:vAlign w:val="center"/>
          </w:tcPr>
          <w:p w14:paraId="647D299E" w14:textId="77777777" w:rsidR="003E78AB" w:rsidRDefault="00010BF9">
            <w:pPr>
              <w:pStyle w:val="aff6"/>
              <w:topLinePunct/>
            </w:pPr>
            <w:r>
              <w:t>0.000005</w:t>
            </w:r>
          </w:p>
        </w:tc>
        <w:tc>
          <w:tcPr>
            <w:tcW w:w="1020" w:type="dxa"/>
            <w:vAlign w:val="center"/>
          </w:tcPr>
          <w:p w14:paraId="30B2735B" w14:textId="77777777" w:rsidR="003E78AB" w:rsidRDefault="00010BF9">
            <w:pPr>
              <w:pStyle w:val="aff6"/>
              <w:topLinePunct/>
            </w:pPr>
            <w:r>
              <w:t>0.000005</w:t>
            </w:r>
          </w:p>
        </w:tc>
        <w:tc>
          <w:tcPr>
            <w:tcW w:w="1020" w:type="dxa"/>
            <w:vAlign w:val="center"/>
          </w:tcPr>
          <w:p w14:paraId="4900458C" w14:textId="77777777" w:rsidR="003E78AB" w:rsidRDefault="00010BF9">
            <w:pPr>
              <w:pStyle w:val="aff6"/>
              <w:topLinePunct/>
            </w:pPr>
            <w:r>
              <w:t>0.000005</w:t>
            </w:r>
          </w:p>
        </w:tc>
        <w:tc>
          <w:tcPr>
            <w:tcW w:w="1023" w:type="dxa"/>
            <w:vAlign w:val="center"/>
          </w:tcPr>
          <w:p w14:paraId="2A78DD62" w14:textId="77777777" w:rsidR="003E78AB" w:rsidRDefault="00010BF9">
            <w:pPr>
              <w:pStyle w:val="aff6"/>
              <w:topLinePunct/>
            </w:pPr>
            <w:r>
              <w:t>0.000005</w:t>
            </w:r>
          </w:p>
        </w:tc>
        <w:tc>
          <w:tcPr>
            <w:tcW w:w="1020" w:type="dxa"/>
            <w:vAlign w:val="center"/>
          </w:tcPr>
          <w:p w14:paraId="79D1C40D" w14:textId="77777777" w:rsidR="003E78AB" w:rsidRDefault="00010BF9">
            <w:pPr>
              <w:pStyle w:val="aff6"/>
              <w:topLinePunct/>
            </w:pPr>
            <w:r>
              <w:t>0.000001</w:t>
            </w:r>
          </w:p>
        </w:tc>
        <w:tc>
          <w:tcPr>
            <w:tcW w:w="1022" w:type="dxa"/>
            <w:vAlign w:val="center"/>
          </w:tcPr>
          <w:p w14:paraId="7F5B238D" w14:textId="77777777" w:rsidR="003E78AB" w:rsidRDefault="00010BF9">
            <w:pPr>
              <w:pStyle w:val="aff6"/>
              <w:topLinePunct/>
            </w:pPr>
            <w:r>
              <w:t>0</w:t>
            </w:r>
          </w:p>
        </w:tc>
        <w:tc>
          <w:tcPr>
            <w:tcW w:w="896" w:type="dxa"/>
            <w:vAlign w:val="center"/>
          </w:tcPr>
          <w:p w14:paraId="666FC9BD" w14:textId="77777777" w:rsidR="003E78AB" w:rsidRDefault="00010BF9">
            <w:pPr>
              <w:pStyle w:val="aff6"/>
              <w:topLinePunct/>
            </w:pPr>
            <w:r>
              <w:t>0</w:t>
            </w:r>
          </w:p>
        </w:tc>
        <w:tc>
          <w:tcPr>
            <w:tcW w:w="677" w:type="dxa"/>
            <w:vAlign w:val="center"/>
          </w:tcPr>
          <w:p w14:paraId="699B38B1" w14:textId="77777777" w:rsidR="003E78AB" w:rsidRDefault="00010BF9">
            <w:pPr>
              <w:pStyle w:val="aff6"/>
              <w:topLinePunct/>
            </w:pPr>
            <w:r>
              <w:t>0</w:t>
            </w:r>
          </w:p>
        </w:tc>
      </w:tr>
      <w:tr w:rsidR="003E78AB" w14:paraId="510EC7A4" w14:textId="77777777">
        <w:trPr>
          <w:trHeight w:val="287"/>
        </w:trPr>
        <w:tc>
          <w:tcPr>
            <w:tcW w:w="1013" w:type="dxa"/>
            <w:vAlign w:val="center"/>
          </w:tcPr>
          <w:p w14:paraId="1D219FE1" w14:textId="77777777" w:rsidR="003E78AB" w:rsidRDefault="00010BF9">
            <w:pPr>
              <w:pStyle w:val="aff6"/>
              <w:topLinePunct/>
            </w:pPr>
            <w:r>
              <w:t>1000</w:t>
            </w:r>
          </w:p>
        </w:tc>
        <w:tc>
          <w:tcPr>
            <w:tcW w:w="2185" w:type="dxa"/>
            <w:vAlign w:val="center"/>
          </w:tcPr>
          <w:p w14:paraId="2DFF4692" w14:textId="77777777" w:rsidR="003E78AB" w:rsidRDefault="00010BF9">
            <w:pPr>
              <w:pStyle w:val="aff6"/>
              <w:topLinePunct/>
            </w:pPr>
            <w:r>
              <w:t>0.000004|10</w:t>
            </w:r>
          </w:p>
        </w:tc>
        <w:tc>
          <w:tcPr>
            <w:tcW w:w="1022" w:type="dxa"/>
            <w:vAlign w:val="center"/>
          </w:tcPr>
          <w:p w14:paraId="354312A0" w14:textId="77777777" w:rsidR="003E78AB" w:rsidRDefault="00010BF9">
            <w:pPr>
              <w:pStyle w:val="aff6"/>
              <w:topLinePunct/>
            </w:pPr>
            <w:r>
              <w:t>0</w:t>
            </w:r>
          </w:p>
        </w:tc>
        <w:tc>
          <w:tcPr>
            <w:tcW w:w="1022" w:type="dxa"/>
            <w:vAlign w:val="center"/>
          </w:tcPr>
          <w:p w14:paraId="692E57D1" w14:textId="77777777" w:rsidR="003E78AB" w:rsidRDefault="00010BF9">
            <w:pPr>
              <w:pStyle w:val="aff6"/>
              <w:topLinePunct/>
            </w:pPr>
            <w:r>
              <w:t>0</w:t>
            </w:r>
          </w:p>
        </w:tc>
        <w:tc>
          <w:tcPr>
            <w:tcW w:w="1022" w:type="dxa"/>
            <w:vAlign w:val="center"/>
          </w:tcPr>
          <w:p w14:paraId="31EBE902" w14:textId="77777777" w:rsidR="003E78AB" w:rsidRDefault="00010BF9">
            <w:pPr>
              <w:pStyle w:val="aff6"/>
              <w:topLinePunct/>
            </w:pPr>
            <w:r>
              <w:t>0</w:t>
            </w:r>
          </w:p>
        </w:tc>
        <w:tc>
          <w:tcPr>
            <w:tcW w:w="1023" w:type="dxa"/>
            <w:vAlign w:val="center"/>
          </w:tcPr>
          <w:p w14:paraId="4256C3C6" w14:textId="77777777" w:rsidR="003E78AB" w:rsidRDefault="00010BF9">
            <w:pPr>
              <w:pStyle w:val="aff6"/>
              <w:topLinePunct/>
            </w:pPr>
            <w:r>
              <w:t>0.000004</w:t>
            </w:r>
          </w:p>
        </w:tc>
        <w:tc>
          <w:tcPr>
            <w:tcW w:w="1020" w:type="dxa"/>
            <w:vAlign w:val="center"/>
          </w:tcPr>
          <w:p w14:paraId="15A158CD" w14:textId="77777777" w:rsidR="003E78AB" w:rsidRDefault="00010BF9">
            <w:pPr>
              <w:pStyle w:val="aff6"/>
              <w:topLinePunct/>
            </w:pPr>
            <w:r>
              <w:t>0.000004</w:t>
            </w:r>
          </w:p>
        </w:tc>
        <w:tc>
          <w:tcPr>
            <w:tcW w:w="1020" w:type="dxa"/>
            <w:vAlign w:val="center"/>
          </w:tcPr>
          <w:p w14:paraId="69D86A17" w14:textId="77777777" w:rsidR="003E78AB" w:rsidRDefault="00010BF9">
            <w:pPr>
              <w:pStyle w:val="aff6"/>
              <w:topLinePunct/>
            </w:pPr>
            <w:r>
              <w:t>0.000004</w:t>
            </w:r>
          </w:p>
        </w:tc>
        <w:tc>
          <w:tcPr>
            <w:tcW w:w="1023" w:type="dxa"/>
            <w:vAlign w:val="center"/>
          </w:tcPr>
          <w:p w14:paraId="2E6AE859" w14:textId="77777777" w:rsidR="003E78AB" w:rsidRDefault="00010BF9">
            <w:pPr>
              <w:pStyle w:val="aff6"/>
              <w:topLinePunct/>
            </w:pPr>
            <w:r>
              <w:t>0.000004</w:t>
            </w:r>
          </w:p>
        </w:tc>
        <w:tc>
          <w:tcPr>
            <w:tcW w:w="1020" w:type="dxa"/>
            <w:vAlign w:val="center"/>
          </w:tcPr>
          <w:p w14:paraId="566058B3" w14:textId="77777777" w:rsidR="003E78AB" w:rsidRDefault="00010BF9">
            <w:pPr>
              <w:pStyle w:val="aff6"/>
              <w:topLinePunct/>
            </w:pPr>
            <w:r>
              <w:t>0.000003</w:t>
            </w:r>
          </w:p>
        </w:tc>
        <w:tc>
          <w:tcPr>
            <w:tcW w:w="1022" w:type="dxa"/>
            <w:vAlign w:val="center"/>
          </w:tcPr>
          <w:p w14:paraId="4937B7F9" w14:textId="77777777" w:rsidR="003E78AB" w:rsidRDefault="00010BF9">
            <w:pPr>
              <w:pStyle w:val="aff6"/>
              <w:topLinePunct/>
            </w:pPr>
            <w:r>
              <w:t>0</w:t>
            </w:r>
          </w:p>
        </w:tc>
        <w:tc>
          <w:tcPr>
            <w:tcW w:w="896" w:type="dxa"/>
            <w:vAlign w:val="center"/>
          </w:tcPr>
          <w:p w14:paraId="7999A957" w14:textId="77777777" w:rsidR="003E78AB" w:rsidRDefault="00010BF9">
            <w:pPr>
              <w:pStyle w:val="aff6"/>
              <w:topLinePunct/>
            </w:pPr>
            <w:r>
              <w:t>0</w:t>
            </w:r>
          </w:p>
        </w:tc>
        <w:tc>
          <w:tcPr>
            <w:tcW w:w="677" w:type="dxa"/>
            <w:vAlign w:val="center"/>
          </w:tcPr>
          <w:p w14:paraId="17025F4D" w14:textId="77777777" w:rsidR="003E78AB" w:rsidRDefault="00010BF9">
            <w:pPr>
              <w:pStyle w:val="aff6"/>
              <w:topLinePunct/>
            </w:pPr>
            <w:r>
              <w:t>0</w:t>
            </w:r>
          </w:p>
        </w:tc>
      </w:tr>
      <w:tr w:rsidR="003E78AB" w14:paraId="78546504" w14:textId="77777777">
        <w:trPr>
          <w:trHeight w:val="288"/>
        </w:trPr>
        <w:tc>
          <w:tcPr>
            <w:tcW w:w="1013" w:type="dxa"/>
            <w:vAlign w:val="center"/>
          </w:tcPr>
          <w:p w14:paraId="3F0DC109" w14:textId="77777777" w:rsidR="003E78AB" w:rsidRDefault="00010BF9">
            <w:pPr>
              <w:pStyle w:val="aff6"/>
              <w:topLinePunct/>
            </w:pPr>
            <w:r>
              <w:t>1200</w:t>
            </w:r>
          </w:p>
        </w:tc>
        <w:tc>
          <w:tcPr>
            <w:tcW w:w="2185" w:type="dxa"/>
            <w:vAlign w:val="center"/>
          </w:tcPr>
          <w:p w14:paraId="0DB343AD" w14:textId="77777777" w:rsidR="003E78AB" w:rsidRDefault="00010BF9">
            <w:pPr>
              <w:pStyle w:val="aff6"/>
              <w:topLinePunct/>
            </w:pPr>
            <w:r>
              <w:t>0.000003|12</w:t>
            </w:r>
          </w:p>
        </w:tc>
        <w:tc>
          <w:tcPr>
            <w:tcW w:w="1022" w:type="dxa"/>
            <w:vAlign w:val="center"/>
          </w:tcPr>
          <w:p w14:paraId="3137E950" w14:textId="77777777" w:rsidR="003E78AB" w:rsidRDefault="00010BF9">
            <w:pPr>
              <w:pStyle w:val="aff6"/>
              <w:topLinePunct/>
            </w:pPr>
            <w:r>
              <w:t>0</w:t>
            </w:r>
          </w:p>
        </w:tc>
        <w:tc>
          <w:tcPr>
            <w:tcW w:w="1022" w:type="dxa"/>
            <w:vAlign w:val="center"/>
          </w:tcPr>
          <w:p w14:paraId="48FE7502" w14:textId="77777777" w:rsidR="003E78AB" w:rsidRDefault="00010BF9">
            <w:pPr>
              <w:pStyle w:val="aff6"/>
              <w:topLinePunct/>
            </w:pPr>
            <w:r>
              <w:t>0</w:t>
            </w:r>
          </w:p>
        </w:tc>
        <w:tc>
          <w:tcPr>
            <w:tcW w:w="1022" w:type="dxa"/>
            <w:vAlign w:val="center"/>
          </w:tcPr>
          <w:p w14:paraId="64DBAA7C" w14:textId="77777777" w:rsidR="003E78AB" w:rsidRDefault="00010BF9">
            <w:pPr>
              <w:pStyle w:val="aff6"/>
              <w:topLinePunct/>
            </w:pPr>
            <w:r>
              <w:t>0</w:t>
            </w:r>
          </w:p>
        </w:tc>
        <w:tc>
          <w:tcPr>
            <w:tcW w:w="1023" w:type="dxa"/>
            <w:vAlign w:val="center"/>
          </w:tcPr>
          <w:p w14:paraId="5A28524D" w14:textId="77777777" w:rsidR="003E78AB" w:rsidRDefault="00010BF9">
            <w:pPr>
              <w:pStyle w:val="aff6"/>
              <w:topLinePunct/>
            </w:pPr>
            <w:r>
              <w:t>0</w:t>
            </w:r>
          </w:p>
        </w:tc>
        <w:tc>
          <w:tcPr>
            <w:tcW w:w="1020" w:type="dxa"/>
            <w:vAlign w:val="center"/>
          </w:tcPr>
          <w:p w14:paraId="57EA4C75" w14:textId="77777777" w:rsidR="003E78AB" w:rsidRDefault="00010BF9">
            <w:pPr>
              <w:pStyle w:val="aff6"/>
              <w:topLinePunct/>
            </w:pPr>
            <w:r>
              <w:t>0.000003</w:t>
            </w:r>
          </w:p>
        </w:tc>
        <w:tc>
          <w:tcPr>
            <w:tcW w:w="1020" w:type="dxa"/>
            <w:vAlign w:val="center"/>
          </w:tcPr>
          <w:p w14:paraId="52840157" w14:textId="77777777" w:rsidR="003E78AB" w:rsidRDefault="00010BF9">
            <w:pPr>
              <w:pStyle w:val="aff6"/>
              <w:topLinePunct/>
            </w:pPr>
            <w:r>
              <w:t>0.000003</w:t>
            </w:r>
          </w:p>
        </w:tc>
        <w:tc>
          <w:tcPr>
            <w:tcW w:w="1023" w:type="dxa"/>
            <w:vAlign w:val="center"/>
          </w:tcPr>
          <w:p w14:paraId="2D344278" w14:textId="77777777" w:rsidR="003E78AB" w:rsidRDefault="00010BF9">
            <w:pPr>
              <w:pStyle w:val="aff6"/>
              <w:topLinePunct/>
            </w:pPr>
            <w:r>
              <w:t>0.000003</w:t>
            </w:r>
          </w:p>
        </w:tc>
        <w:tc>
          <w:tcPr>
            <w:tcW w:w="1020" w:type="dxa"/>
            <w:vAlign w:val="center"/>
          </w:tcPr>
          <w:p w14:paraId="48E6C398" w14:textId="77777777" w:rsidR="003E78AB" w:rsidRDefault="00010BF9">
            <w:pPr>
              <w:pStyle w:val="aff6"/>
              <w:topLinePunct/>
            </w:pPr>
            <w:r>
              <w:t>0.000003</w:t>
            </w:r>
          </w:p>
        </w:tc>
        <w:tc>
          <w:tcPr>
            <w:tcW w:w="1022" w:type="dxa"/>
            <w:vAlign w:val="center"/>
          </w:tcPr>
          <w:p w14:paraId="57EA7B6E" w14:textId="77777777" w:rsidR="003E78AB" w:rsidRDefault="00010BF9">
            <w:pPr>
              <w:pStyle w:val="aff6"/>
              <w:topLinePunct/>
            </w:pPr>
            <w:r>
              <w:t>0</w:t>
            </w:r>
          </w:p>
        </w:tc>
        <w:tc>
          <w:tcPr>
            <w:tcW w:w="896" w:type="dxa"/>
            <w:vAlign w:val="center"/>
          </w:tcPr>
          <w:p w14:paraId="598E034D" w14:textId="77777777" w:rsidR="003E78AB" w:rsidRDefault="00010BF9">
            <w:pPr>
              <w:pStyle w:val="aff6"/>
              <w:topLinePunct/>
            </w:pPr>
            <w:r>
              <w:t>0</w:t>
            </w:r>
          </w:p>
        </w:tc>
        <w:tc>
          <w:tcPr>
            <w:tcW w:w="677" w:type="dxa"/>
            <w:vAlign w:val="center"/>
          </w:tcPr>
          <w:p w14:paraId="382180BB" w14:textId="77777777" w:rsidR="003E78AB" w:rsidRDefault="00010BF9">
            <w:pPr>
              <w:pStyle w:val="aff6"/>
              <w:topLinePunct/>
            </w:pPr>
            <w:r>
              <w:t>0</w:t>
            </w:r>
          </w:p>
        </w:tc>
      </w:tr>
      <w:tr w:rsidR="003E78AB" w14:paraId="7C1712E0" w14:textId="77777777">
        <w:trPr>
          <w:trHeight w:val="288"/>
        </w:trPr>
        <w:tc>
          <w:tcPr>
            <w:tcW w:w="1013" w:type="dxa"/>
            <w:vAlign w:val="center"/>
          </w:tcPr>
          <w:p w14:paraId="58B4378C" w14:textId="77777777" w:rsidR="003E78AB" w:rsidRDefault="00010BF9">
            <w:pPr>
              <w:pStyle w:val="aff6"/>
              <w:topLinePunct/>
            </w:pPr>
            <w:r>
              <w:t>1400</w:t>
            </w:r>
          </w:p>
        </w:tc>
        <w:tc>
          <w:tcPr>
            <w:tcW w:w="2185" w:type="dxa"/>
            <w:vAlign w:val="center"/>
          </w:tcPr>
          <w:p w14:paraId="14C3E1AF" w14:textId="77777777" w:rsidR="003E78AB" w:rsidRDefault="00010BF9">
            <w:pPr>
              <w:pStyle w:val="aff6"/>
              <w:topLinePunct/>
            </w:pPr>
            <w:r>
              <w:t>0.000003|14</w:t>
            </w:r>
          </w:p>
        </w:tc>
        <w:tc>
          <w:tcPr>
            <w:tcW w:w="1022" w:type="dxa"/>
            <w:vAlign w:val="center"/>
          </w:tcPr>
          <w:p w14:paraId="39B5B8A9" w14:textId="77777777" w:rsidR="003E78AB" w:rsidRDefault="00010BF9">
            <w:pPr>
              <w:pStyle w:val="aff6"/>
              <w:topLinePunct/>
            </w:pPr>
            <w:r>
              <w:t>0</w:t>
            </w:r>
          </w:p>
        </w:tc>
        <w:tc>
          <w:tcPr>
            <w:tcW w:w="1022" w:type="dxa"/>
            <w:vAlign w:val="center"/>
          </w:tcPr>
          <w:p w14:paraId="0B7A0D2E" w14:textId="77777777" w:rsidR="003E78AB" w:rsidRDefault="00010BF9">
            <w:pPr>
              <w:pStyle w:val="aff6"/>
              <w:topLinePunct/>
            </w:pPr>
            <w:r>
              <w:t>0</w:t>
            </w:r>
          </w:p>
        </w:tc>
        <w:tc>
          <w:tcPr>
            <w:tcW w:w="1022" w:type="dxa"/>
            <w:vAlign w:val="center"/>
          </w:tcPr>
          <w:p w14:paraId="645852C2" w14:textId="77777777" w:rsidR="003E78AB" w:rsidRDefault="00010BF9">
            <w:pPr>
              <w:pStyle w:val="aff6"/>
              <w:topLinePunct/>
            </w:pPr>
            <w:r>
              <w:t>0</w:t>
            </w:r>
          </w:p>
        </w:tc>
        <w:tc>
          <w:tcPr>
            <w:tcW w:w="1023" w:type="dxa"/>
            <w:vAlign w:val="center"/>
          </w:tcPr>
          <w:p w14:paraId="2B6BCD65" w14:textId="77777777" w:rsidR="003E78AB" w:rsidRDefault="00010BF9">
            <w:pPr>
              <w:pStyle w:val="aff6"/>
              <w:topLinePunct/>
            </w:pPr>
            <w:r>
              <w:t>0</w:t>
            </w:r>
          </w:p>
        </w:tc>
        <w:tc>
          <w:tcPr>
            <w:tcW w:w="1020" w:type="dxa"/>
            <w:vAlign w:val="center"/>
          </w:tcPr>
          <w:p w14:paraId="61B36B43" w14:textId="77777777" w:rsidR="003E78AB" w:rsidRDefault="00010BF9">
            <w:pPr>
              <w:pStyle w:val="aff6"/>
              <w:topLinePunct/>
            </w:pPr>
            <w:r>
              <w:t>0.000003</w:t>
            </w:r>
          </w:p>
        </w:tc>
        <w:tc>
          <w:tcPr>
            <w:tcW w:w="1020" w:type="dxa"/>
            <w:vAlign w:val="center"/>
          </w:tcPr>
          <w:p w14:paraId="3B26E5CC" w14:textId="77777777" w:rsidR="003E78AB" w:rsidRDefault="00010BF9">
            <w:pPr>
              <w:pStyle w:val="aff6"/>
              <w:topLinePunct/>
            </w:pPr>
            <w:r>
              <w:t>0.000003</w:t>
            </w:r>
          </w:p>
        </w:tc>
        <w:tc>
          <w:tcPr>
            <w:tcW w:w="1023" w:type="dxa"/>
            <w:vAlign w:val="center"/>
          </w:tcPr>
          <w:p w14:paraId="5E4A91A2" w14:textId="77777777" w:rsidR="003E78AB" w:rsidRDefault="00010BF9">
            <w:pPr>
              <w:pStyle w:val="aff6"/>
              <w:topLinePunct/>
            </w:pPr>
            <w:r>
              <w:t>0.000003</w:t>
            </w:r>
          </w:p>
        </w:tc>
        <w:tc>
          <w:tcPr>
            <w:tcW w:w="1020" w:type="dxa"/>
            <w:vAlign w:val="center"/>
          </w:tcPr>
          <w:p w14:paraId="6DC1DB7A" w14:textId="77777777" w:rsidR="003E78AB" w:rsidRDefault="00010BF9">
            <w:pPr>
              <w:pStyle w:val="aff6"/>
              <w:topLinePunct/>
            </w:pPr>
            <w:r>
              <w:t>0.000003</w:t>
            </w:r>
          </w:p>
        </w:tc>
        <w:tc>
          <w:tcPr>
            <w:tcW w:w="1022" w:type="dxa"/>
            <w:vAlign w:val="center"/>
          </w:tcPr>
          <w:p w14:paraId="410DB92D" w14:textId="77777777" w:rsidR="003E78AB" w:rsidRDefault="00010BF9">
            <w:pPr>
              <w:pStyle w:val="aff6"/>
              <w:topLinePunct/>
            </w:pPr>
            <w:r>
              <w:t>0</w:t>
            </w:r>
          </w:p>
        </w:tc>
        <w:tc>
          <w:tcPr>
            <w:tcW w:w="896" w:type="dxa"/>
            <w:vAlign w:val="center"/>
          </w:tcPr>
          <w:p w14:paraId="4685D5E1" w14:textId="77777777" w:rsidR="003E78AB" w:rsidRDefault="00010BF9">
            <w:pPr>
              <w:pStyle w:val="aff6"/>
              <w:topLinePunct/>
            </w:pPr>
            <w:r>
              <w:t>0</w:t>
            </w:r>
          </w:p>
        </w:tc>
        <w:tc>
          <w:tcPr>
            <w:tcW w:w="677" w:type="dxa"/>
            <w:vAlign w:val="center"/>
          </w:tcPr>
          <w:p w14:paraId="176AED1C" w14:textId="77777777" w:rsidR="003E78AB" w:rsidRDefault="00010BF9">
            <w:pPr>
              <w:pStyle w:val="aff6"/>
              <w:topLinePunct/>
            </w:pPr>
            <w:r>
              <w:t>0</w:t>
            </w:r>
          </w:p>
        </w:tc>
      </w:tr>
      <w:tr w:rsidR="003E78AB" w14:paraId="2F953C5E" w14:textId="77777777">
        <w:trPr>
          <w:trHeight w:val="287"/>
        </w:trPr>
        <w:tc>
          <w:tcPr>
            <w:tcW w:w="1013" w:type="dxa"/>
            <w:vAlign w:val="center"/>
          </w:tcPr>
          <w:p w14:paraId="1C3C1510" w14:textId="77777777" w:rsidR="003E78AB" w:rsidRDefault="00010BF9">
            <w:pPr>
              <w:pStyle w:val="aff6"/>
              <w:topLinePunct/>
            </w:pPr>
            <w:r>
              <w:t>1600</w:t>
            </w:r>
          </w:p>
        </w:tc>
        <w:tc>
          <w:tcPr>
            <w:tcW w:w="2185" w:type="dxa"/>
            <w:vAlign w:val="center"/>
          </w:tcPr>
          <w:p w14:paraId="4800B9B0" w14:textId="77777777" w:rsidR="003E78AB" w:rsidRDefault="00010BF9">
            <w:pPr>
              <w:pStyle w:val="aff6"/>
              <w:topLinePunct/>
            </w:pPr>
            <w:r>
              <w:t>0.000002|15</w:t>
            </w:r>
          </w:p>
        </w:tc>
        <w:tc>
          <w:tcPr>
            <w:tcW w:w="1022" w:type="dxa"/>
            <w:vAlign w:val="center"/>
          </w:tcPr>
          <w:p w14:paraId="5EE07B96" w14:textId="77777777" w:rsidR="003E78AB" w:rsidRDefault="00010BF9">
            <w:pPr>
              <w:pStyle w:val="aff6"/>
              <w:topLinePunct/>
            </w:pPr>
            <w:r>
              <w:t>0</w:t>
            </w:r>
          </w:p>
        </w:tc>
        <w:tc>
          <w:tcPr>
            <w:tcW w:w="1022" w:type="dxa"/>
            <w:vAlign w:val="center"/>
          </w:tcPr>
          <w:p w14:paraId="64F223D9" w14:textId="77777777" w:rsidR="003E78AB" w:rsidRDefault="00010BF9">
            <w:pPr>
              <w:pStyle w:val="aff6"/>
              <w:topLinePunct/>
            </w:pPr>
            <w:r>
              <w:t>0</w:t>
            </w:r>
          </w:p>
        </w:tc>
        <w:tc>
          <w:tcPr>
            <w:tcW w:w="1022" w:type="dxa"/>
            <w:vAlign w:val="center"/>
          </w:tcPr>
          <w:p w14:paraId="38562D6D" w14:textId="77777777" w:rsidR="003E78AB" w:rsidRDefault="00010BF9">
            <w:pPr>
              <w:pStyle w:val="aff6"/>
              <w:topLinePunct/>
            </w:pPr>
            <w:r>
              <w:t>0</w:t>
            </w:r>
          </w:p>
        </w:tc>
        <w:tc>
          <w:tcPr>
            <w:tcW w:w="1023" w:type="dxa"/>
            <w:vAlign w:val="center"/>
          </w:tcPr>
          <w:p w14:paraId="5D197029" w14:textId="77777777" w:rsidR="003E78AB" w:rsidRDefault="00010BF9">
            <w:pPr>
              <w:pStyle w:val="aff6"/>
              <w:topLinePunct/>
            </w:pPr>
            <w:r>
              <w:t>0</w:t>
            </w:r>
          </w:p>
        </w:tc>
        <w:tc>
          <w:tcPr>
            <w:tcW w:w="1020" w:type="dxa"/>
            <w:vAlign w:val="center"/>
          </w:tcPr>
          <w:p w14:paraId="33F0AC43" w14:textId="77777777" w:rsidR="003E78AB" w:rsidRDefault="00010BF9">
            <w:pPr>
              <w:pStyle w:val="aff6"/>
              <w:topLinePunct/>
            </w:pPr>
            <w:r>
              <w:t>0.000002</w:t>
            </w:r>
          </w:p>
        </w:tc>
        <w:tc>
          <w:tcPr>
            <w:tcW w:w="1020" w:type="dxa"/>
            <w:vAlign w:val="center"/>
          </w:tcPr>
          <w:p w14:paraId="330D583D" w14:textId="77777777" w:rsidR="003E78AB" w:rsidRDefault="00010BF9">
            <w:pPr>
              <w:pStyle w:val="aff6"/>
              <w:topLinePunct/>
            </w:pPr>
            <w:r>
              <w:t>0.000002</w:t>
            </w:r>
          </w:p>
        </w:tc>
        <w:tc>
          <w:tcPr>
            <w:tcW w:w="1023" w:type="dxa"/>
            <w:vAlign w:val="center"/>
          </w:tcPr>
          <w:p w14:paraId="21FEE418" w14:textId="77777777" w:rsidR="003E78AB" w:rsidRDefault="00010BF9">
            <w:pPr>
              <w:pStyle w:val="aff6"/>
              <w:topLinePunct/>
            </w:pPr>
            <w:r>
              <w:t>0.000002</w:t>
            </w:r>
          </w:p>
        </w:tc>
        <w:tc>
          <w:tcPr>
            <w:tcW w:w="1020" w:type="dxa"/>
            <w:vAlign w:val="center"/>
          </w:tcPr>
          <w:p w14:paraId="4A812E95" w14:textId="77777777" w:rsidR="003E78AB" w:rsidRDefault="00010BF9">
            <w:pPr>
              <w:pStyle w:val="aff6"/>
              <w:topLinePunct/>
            </w:pPr>
            <w:r>
              <w:t>0.000002</w:t>
            </w:r>
          </w:p>
        </w:tc>
        <w:tc>
          <w:tcPr>
            <w:tcW w:w="1022" w:type="dxa"/>
            <w:vAlign w:val="center"/>
          </w:tcPr>
          <w:p w14:paraId="58E4D701" w14:textId="77777777" w:rsidR="003E78AB" w:rsidRDefault="00010BF9">
            <w:pPr>
              <w:pStyle w:val="aff6"/>
              <w:topLinePunct/>
            </w:pPr>
            <w:r>
              <w:t>0</w:t>
            </w:r>
          </w:p>
        </w:tc>
        <w:tc>
          <w:tcPr>
            <w:tcW w:w="896" w:type="dxa"/>
            <w:vAlign w:val="center"/>
          </w:tcPr>
          <w:p w14:paraId="5E192923" w14:textId="77777777" w:rsidR="003E78AB" w:rsidRDefault="00010BF9">
            <w:pPr>
              <w:pStyle w:val="aff6"/>
              <w:topLinePunct/>
            </w:pPr>
            <w:r>
              <w:t>0</w:t>
            </w:r>
          </w:p>
        </w:tc>
        <w:tc>
          <w:tcPr>
            <w:tcW w:w="677" w:type="dxa"/>
            <w:vAlign w:val="center"/>
          </w:tcPr>
          <w:p w14:paraId="064C1383" w14:textId="77777777" w:rsidR="003E78AB" w:rsidRDefault="00010BF9">
            <w:pPr>
              <w:pStyle w:val="aff6"/>
              <w:topLinePunct/>
            </w:pPr>
            <w:r>
              <w:t>0</w:t>
            </w:r>
          </w:p>
        </w:tc>
      </w:tr>
      <w:tr w:rsidR="003E78AB" w14:paraId="0E5AC16A" w14:textId="77777777">
        <w:trPr>
          <w:trHeight w:val="288"/>
        </w:trPr>
        <w:tc>
          <w:tcPr>
            <w:tcW w:w="1013" w:type="dxa"/>
            <w:vAlign w:val="center"/>
          </w:tcPr>
          <w:p w14:paraId="0B39A955" w14:textId="77777777" w:rsidR="003E78AB" w:rsidRDefault="00010BF9">
            <w:pPr>
              <w:pStyle w:val="aff6"/>
              <w:topLinePunct/>
            </w:pPr>
            <w:r>
              <w:t>1800</w:t>
            </w:r>
          </w:p>
        </w:tc>
        <w:tc>
          <w:tcPr>
            <w:tcW w:w="2185" w:type="dxa"/>
            <w:vAlign w:val="center"/>
          </w:tcPr>
          <w:p w14:paraId="3E21EAC9" w14:textId="77777777" w:rsidR="003E78AB" w:rsidRDefault="00010BF9">
            <w:pPr>
              <w:pStyle w:val="aff6"/>
              <w:topLinePunct/>
            </w:pPr>
            <w:r>
              <w:t>0.000002|17</w:t>
            </w:r>
          </w:p>
        </w:tc>
        <w:tc>
          <w:tcPr>
            <w:tcW w:w="1022" w:type="dxa"/>
            <w:vAlign w:val="center"/>
          </w:tcPr>
          <w:p w14:paraId="3638F0BF" w14:textId="77777777" w:rsidR="003E78AB" w:rsidRDefault="00010BF9">
            <w:pPr>
              <w:pStyle w:val="aff6"/>
              <w:topLinePunct/>
            </w:pPr>
            <w:r>
              <w:t>0</w:t>
            </w:r>
          </w:p>
        </w:tc>
        <w:tc>
          <w:tcPr>
            <w:tcW w:w="1022" w:type="dxa"/>
            <w:vAlign w:val="center"/>
          </w:tcPr>
          <w:p w14:paraId="41788D0E" w14:textId="77777777" w:rsidR="003E78AB" w:rsidRDefault="00010BF9">
            <w:pPr>
              <w:pStyle w:val="aff6"/>
              <w:topLinePunct/>
            </w:pPr>
            <w:r>
              <w:t>0</w:t>
            </w:r>
          </w:p>
        </w:tc>
        <w:tc>
          <w:tcPr>
            <w:tcW w:w="1022" w:type="dxa"/>
            <w:vAlign w:val="center"/>
          </w:tcPr>
          <w:p w14:paraId="48C8185E" w14:textId="77777777" w:rsidR="003E78AB" w:rsidRDefault="00010BF9">
            <w:pPr>
              <w:pStyle w:val="aff6"/>
              <w:topLinePunct/>
            </w:pPr>
            <w:r>
              <w:t>0</w:t>
            </w:r>
          </w:p>
        </w:tc>
        <w:tc>
          <w:tcPr>
            <w:tcW w:w="1023" w:type="dxa"/>
            <w:vAlign w:val="center"/>
          </w:tcPr>
          <w:p w14:paraId="3F5BB686" w14:textId="77777777" w:rsidR="003E78AB" w:rsidRDefault="00010BF9">
            <w:pPr>
              <w:pStyle w:val="aff6"/>
              <w:topLinePunct/>
            </w:pPr>
            <w:r>
              <w:t>0</w:t>
            </w:r>
          </w:p>
        </w:tc>
        <w:tc>
          <w:tcPr>
            <w:tcW w:w="1020" w:type="dxa"/>
            <w:vAlign w:val="center"/>
          </w:tcPr>
          <w:p w14:paraId="3C760D7E" w14:textId="77777777" w:rsidR="003E78AB" w:rsidRDefault="00010BF9">
            <w:pPr>
              <w:pStyle w:val="aff6"/>
              <w:topLinePunct/>
            </w:pPr>
            <w:r>
              <w:t>0</w:t>
            </w:r>
          </w:p>
        </w:tc>
        <w:tc>
          <w:tcPr>
            <w:tcW w:w="1020" w:type="dxa"/>
            <w:vAlign w:val="center"/>
          </w:tcPr>
          <w:p w14:paraId="17F07A4F" w14:textId="77777777" w:rsidR="003E78AB" w:rsidRDefault="00010BF9">
            <w:pPr>
              <w:pStyle w:val="aff6"/>
              <w:topLinePunct/>
            </w:pPr>
            <w:r>
              <w:t>0.000002</w:t>
            </w:r>
          </w:p>
        </w:tc>
        <w:tc>
          <w:tcPr>
            <w:tcW w:w="1023" w:type="dxa"/>
            <w:vAlign w:val="center"/>
          </w:tcPr>
          <w:p w14:paraId="7F90F2E0" w14:textId="77777777" w:rsidR="003E78AB" w:rsidRDefault="00010BF9">
            <w:pPr>
              <w:pStyle w:val="aff6"/>
              <w:topLinePunct/>
            </w:pPr>
            <w:r>
              <w:t>0.000002</w:t>
            </w:r>
          </w:p>
        </w:tc>
        <w:tc>
          <w:tcPr>
            <w:tcW w:w="1020" w:type="dxa"/>
            <w:vAlign w:val="center"/>
          </w:tcPr>
          <w:p w14:paraId="76C274D5" w14:textId="77777777" w:rsidR="003E78AB" w:rsidRDefault="00010BF9">
            <w:pPr>
              <w:pStyle w:val="aff6"/>
              <w:topLinePunct/>
            </w:pPr>
            <w:r>
              <w:t>0.000002</w:t>
            </w:r>
          </w:p>
        </w:tc>
        <w:tc>
          <w:tcPr>
            <w:tcW w:w="1022" w:type="dxa"/>
            <w:vAlign w:val="center"/>
          </w:tcPr>
          <w:p w14:paraId="1D08FA27" w14:textId="77777777" w:rsidR="003E78AB" w:rsidRDefault="00010BF9">
            <w:pPr>
              <w:pStyle w:val="aff6"/>
              <w:topLinePunct/>
            </w:pPr>
            <w:r>
              <w:t>0</w:t>
            </w:r>
          </w:p>
        </w:tc>
        <w:tc>
          <w:tcPr>
            <w:tcW w:w="896" w:type="dxa"/>
            <w:vAlign w:val="center"/>
          </w:tcPr>
          <w:p w14:paraId="7C717DDC" w14:textId="77777777" w:rsidR="003E78AB" w:rsidRDefault="00010BF9">
            <w:pPr>
              <w:pStyle w:val="aff6"/>
              <w:topLinePunct/>
            </w:pPr>
            <w:r>
              <w:t>0</w:t>
            </w:r>
          </w:p>
        </w:tc>
        <w:tc>
          <w:tcPr>
            <w:tcW w:w="677" w:type="dxa"/>
            <w:vAlign w:val="center"/>
          </w:tcPr>
          <w:p w14:paraId="28F65D01" w14:textId="77777777" w:rsidR="003E78AB" w:rsidRDefault="00010BF9">
            <w:pPr>
              <w:pStyle w:val="aff6"/>
              <w:topLinePunct/>
            </w:pPr>
            <w:r>
              <w:t>0</w:t>
            </w:r>
          </w:p>
        </w:tc>
      </w:tr>
      <w:tr w:rsidR="003E78AB" w14:paraId="3D3370BA" w14:textId="77777777">
        <w:trPr>
          <w:trHeight w:val="288"/>
        </w:trPr>
        <w:tc>
          <w:tcPr>
            <w:tcW w:w="1013" w:type="dxa"/>
            <w:vAlign w:val="center"/>
          </w:tcPr>
          <w:p w14:paraId="4ABAAF03" w14:textId="77777777" w:rsidR="003E78AB" w:rsidRDefault="00010BF9">
            <w:pPr>
              <w:pStyle w:val="aff6"/>
              <w:topLinePunct/>
            </w:pPr>
            <w:r>
              <w:t>2000</w:t>
            </w:r>
          </w:p>
        </w:tc>
        <w:tc>
          <w:tcPr>
            <w:tcW w:w="2185" w:type="dxa"/>
            <w:vAlign w:val="center"/>
          </w:tcPr>
          <w:p w14:paraId="76D8E612" w14:textId="77777777" w:rsidR="003E78AB" w:rsidRDefault="00010BF9">
            <w:pPr>
              <w:pStyle w:val="aff6"/>
              <w:topLinePunct/>
            </w:pPr>
            <w:r>
              <w:t>0.000002|19</w:t>
            </w:r>
          </w:p>
        </w:tc>
        <w:tc>
          <w:tcPr>
            <w:tcW w:w="1022" w:type="dxa"/>
            <w:vAlign w:val="center"/>
          </w:tcPr>
          <w:p w14:paraId="79FF3486" w14:textId="77777777" w:rsidR="003E78AB" w:rsidRDefault="00010BF9">
            <w:pPr>
              <w:pStyle w:val="aff6"/>
              <w:topLinePunct/>
            </w:pPr>
            <w:r>
              <w:t>0</w:t>
            </w:r>
          </w:p>
        </w:tc>
        <w:tc>
          <w:tcPr>
            <w:tcW w:w="1022" w:type="dxa"/>
            <w:vAlign w:val="center"/>
          </w:tcPr>
          <w:p w14:paraId="4E8EFFC6" w14:textId="77777777" w:rsidR="003E78AB" w:rsidRDefault="00010BF9">
            <w:pPr>
              <w:pStyle w:val="aff6"/>
              <w:topLinePunct/>
            </w:pPr>
            <w:r>
              <w:t>0</w:t>
            </w:r>
          </w:p>
        </w:tc>
        <w:tc>
          <w:tcPr>
            <w:tcW w:w="1022" w:type="dxa"/>
            <w:vAlign w:val="center"/>
          </w:tcPr>
          <w:p w14:paraId="5EF73BF3" w14:textId="77777777" w:rsidR="003E78AB" w:rsidRDefault="00010BF9">
            <w:pPr>
              <w:pStyle w:val="aff6"/>
              <w:topLinePunct/>
            </w:pPr>
            <w:r>
              <w:t>0</w:t>
            </w:r>
          </w:p>
        </w:tc>
        <w:tc>
          <w:tcPr>
            <w:tcW w:w="1023" w:type="dxa"/>
            <w:vAlign w:val="center"/>
          </w:tcPr>
          <w:p w14:paraId="4DC3BE21" w14:textId="77777777" w:rsidR="003E78AB" w:rsidRDefault="00010BF9">
            <w:pPr>
              <w:pStyle w:val="aff6"/>
              <w:topLinePunct/>
            </w:pPr>
            <w:r>
              <w:t>0</w:t>
            </w:r>
          </w:p>
        </w:tc>
        <w:tc>
          <w:tcPr>
            <w:tcW w:w="1020" w:type="dxa"/>
            <w:vAlign w:val="center"/>
          </w:tcPr>
          <w:p w14:paraId="6961E48F" w14:textId="77777777" w:rsidR="003E78AB" w:rsidRDefault="00010BF9">
            <w:pPr>
              <w:pStyle w:val="aff6"/>
              <w:topLinePunct/>
            </w:pPr>
            <w:r>
              <w:t>0</w:t>
            </w:r>
          </w:p>
        </w:tc>
        <w:tc>
          <w:tcPr>
            <w:tcW w:w="1020" w:type="dxa"/>
            <w:vAlign w:val="center"/>
          </w:tcPr>
          <w:p w14:paraId="6B8A235B" w14:textId="77777777" w:rsidR="003E78AB" w:rsidRDefault="00010BF9">
            <w:pPr>
              <w:pStyle w:val="aff6"/>
              <w:topLinePunct/>
            </w:pPr>
            <w:r>
              <w:t>0.000002</w:t>
            </w:r>
          </w:p>
        </w:tc>
        <w:tc>
          <w:tcPr>
            <w:tcW w:w="1023" w:type="dxa"/>
            <w:vAlign w:val="center"/>
          </w:tcPr>
          <w:p w14:paraId="2D7B38FF" w14:textId="77777777" w:rsidR="003E78AB" w:rsidRDefault="00010BF9">
            <w:pPr>
              <w:pStyle w:val="aff6"/>
              <w:topLinePunct/>
            </w:pPr>
            <w:r>
              <w:t>0.000002</w:t>
            </w:r>
          </w:p>
        </w:tc>
        <w:tc>
          <w:tcPr>
            <w:tcW w:w="1020" w:type="dxa"/>
            <w:vAlign w:val="center"/>
          </w:tcPr>
          <w:p w14:paraId="6B464781" w14:textId="77777777" w:rsidR="003E78AB" w:rsidRDefault="00010BF9">
            <w:pPr>
              <w:pStyle w:val="aff6"/>
              <w:topLinePunct/>
            </w:pPr>
            <w:r>
              <w:t>0.000002</w:t>
            </w:r>
          </w:p>
        </w:tc>
        <w:tc>
          <w:tcPr>
            <w:tcW w:w="1022" w:type="dxa"/>
            <w:vAlign w:val="center"/>
          </w:tcPr>
          <w:p w14:paraId="02321AE6" w14:textId="77777777" w:rsidR="003E78AB" w:rsidRDefault="00010BF9">
            <w:pPr>
              <w:pStyle w:val="aff6"/>
              <w:topLinePunct/>
            </w:pPr>
            <w:r>
              <w:t>0.000001</w:t>
            </w:r>
          </w:p>
        </w:tc>
        <w:tc>
          <w:tcPr>
            <w:tcW w:w="896" w:type="dxa"/>
            <w:vAlign w:val="center"/>
          </w:tcPr>
          <w:p w14:paraId="573EA6EB" w14:textId="77777777" w:rsidR="003E78AB" w:rsidRDefault="00010BF9">
            <w:pPr>
              <w:pStyle w:val="aff6"/>
              <w:topLinePunct/>
            </w:pPr>
            <w:r>
              <w:t>0</w:t>
            </w:r>
          </w:p>
        </w:tc>
        <w:tc>
          <w:tcPr>
            <w:tcW w:w="677" w:type="dxa"/>
            <w:vAlign w:val="center"/>
          </w:tcPr>
          <w:p w14:paraId="19967C83" w14:textId="77777777" w:rsidR="003E78AB" w:rsidRDefault="00010BF9">
            <w:pPr>
              <w:pStyle w:val="aff6"/>
              <w:topLinePunct/>
            </w:pPr>
            <w:r>
              <w:t>0</w:t>
            </w:r>
          </w:p>
        </w:tc>
      </w:tr>
      <w:tr w:rsidR="003E78AB" w14:paraId="415AB5E3" w14:textId="77777777">
        <w:trPr>
          <w:trHeight w:val="290"/>
        </w:trPr>
        <w:tc>
          <w:tcPr>
            <w:tcW w:w="1013" w:type="dxa"/>
            <w:vAlign w:val="center"/>
          </w:tcPr>
          <w:p w14:paraId="79785FD1" w14:textId="77777777" w:rsidR="003E78AB" w:rsidRDefault="00010BF9">
            <w:pPr>
              <w:pStyle w:val="aff6"/>
              <w:topLinePunct/>
            </w:pPr>
            <w:r>
              <w:t>2500</w:t>
            </w:r>
          </w:p>
        </w:tc>
        <w:tc>
          <w:tcPr>
            <w:tcW w:w="2185" w:type="dxa"/>
            <w:vAlign w:val="center"/>
          </w:tcPr>
          <w:p w14:paraId="1A00C35F" w14:textId="77777777" w:rsidR="003E78AB" w:rsidRDefault="00010BF9">
            <w:pPr>
              <w:pStyle w:val="aff6"/>
              <w:topLinePunct/>
            </w:pPr>
            <w:r>
              <w:t>0.000001|24</w:t>
            </w:r>
          </w:p>
        </w:tc>
        <w:tc>
          <w:tcPr>
            <w:tcW w:w="1022" w:type="dxa"/>
            <w:vAlign w:val="center"/>
          </w:tcPr>
          <w:p w14:paraId="2A53E376" w14:textId="77777777" w:rsidR="003E78AB" w:rsidRDefault="00010BF9">
            <w:pPr>
              <w:pStyle w:val="aff6"/>
              <w:topLinePunct/>
            </w:pPr>
            <w:r>
              <w:t>0</w:t>
            </w:r>
          </w:p>
        </w:tc>
        <w:tc>
          <w:tcPr>
            <w:tcW w:w="1022" w:type="dxa"/>
            <w:vAlign w:val="center"/>
          </w:tcPr>
          <w:p w14:paraId="6F49F870" w14:textId="77777777" w:rsidR="003E78AB" w:rsidRDefault="00010BF9">
            <w:pPr>
              <w:pStyle w:val="aff6"/>
              <w:topLinePunct/>
            </w:pPr>
            <w:r>
              <w:t>0</w:t>
            </w:r>
          </w:p>
        </w:tc>
        <w:tc>
          <w:tcPr>
            <w:tcW w:w="1022" w:type="dxa"/>
            <w:vAlign w:val="center"/>
          </w:tcPr>
          <w:p w14:paraId="03CCC0F9" w14:textId="77777777" w:rsidR="003E78AB" w:rsidRDefault="00010BF9">
            <w:pPr>
              <w:pStyle w:val="aff6"/>
              <w:topLinePunct/>
            </w:pPr>
            <w:r>
              <w:t>0</w:t>
            </w:r>
          </w:p>
        </w:tc>
        <w:tc>
          <w:tcPr>
            <w:tcW w:w="1023" w:type="dxa"/>
            <w:vAlign w:val="center"/>
          </w:tcPr>
          <w:p w14:paraId="6113D3AB" w14:textId="77777777" w:rsidR="003E78AB" w:rsidRDefault="00010BF9">
            <w:pPr>
              <w:pStyle w:val="aff6"/>
              <w:topLinePunct/>
            </w:pPr>
            <w:r>
              <w:t>0</w:t>
            </w:r>
          </w:p>
        </w:tc>
        <w:tc>
          <w:tcPr>
            <w:tcW w:w="1020" w:type="dxa"/>
            <w:vAlign w:val="center"/>
          </w:tcPr>
          <w:p w14:paraId="50AC1E56" w14:textId="77777777" w:rsidR="003E78AB" w:rsidRDefault="00010BF9">
            <w:pPr>
              <w:pStyle w:val="aff6"/>
              <w:topLinePunct/>
            </w:pPr>
            <w:r>
              <w:t>0</w:t>
            </w:r>
          </w:p>
        </w:tc>
        <w:tc>
          <w:tcPr>
            <w:tcW w:w="1020" w:type="dxa"/>
            <w:vAlign w:val="center"/>
          </w:tcPr>
          <w:p w14:paraId="7614B390" w14:textId="77777777" w:rsidR="003E78AB" w:rsidRDefault="00010BF9">
            <w:pPr>
              <w:pStyle w:val="aff6"/>
              <w:topLinePunct/>
            </w:pPr>
            <w:r>
              <w:t>0</w:t>
            </w:r>
          </w:p>
        </w:tc>
        <w:tc>
          <w:tcPr>
            <w:tcW w:w="1023" w:type="dxa"/>
            <w:vAlign w:val="center"/>
          </w:tcPr>
          <w:p w14:paraId="133991DA" w14:textId="77777777" w:rsidR="003E78AB" w:rsidRDefault="00010BF9">
            <w:pPr>
              <w:pStyle w:val="aff6"/>
              <w:topLinePunct/>
            </w:pPr>
            <w:r>
              <w:t>0.000001</w:t>
            </w:r>
          </w:p>
        </w:tc>
        <w:tc>
          <w:tcPr>
            <w:tcW w:w="1020" w:type="dxa"/>
            <w:vAlign w:val="center"/>
          </w:tcPr>
          <w:p w14:paraId="229D1976" w14:textId="77777777" w:rsidR="003E78AB" w:rsidRDefault="00010BF9">
            <w:pPr>
              <w:pStyle w:val="aff6"/>
              <w:topLinePunct/>
            </w:pPr>
            <w:r>
              <w:t>0.000001</w:t>
            </w:r>
          </w:p>
        </w:tc>
        <w:tc>
          <w:tcPr>
            <w:tcW w:w="1022" w:type="dxa"/>
            <w:vAlign w:val="center"/>
          </w:tcPr>
          <w:p w14:paraId="7FE67F5B" w14:textId="77777777" w:rsidR="003E78AB" w:rsidRDefault="00010BF9">
            <w:pPr>
              <w:pStyle w:val="aff6"/>
              <w:topLinePunct/>
            </w:pPr>
            <w:r>
              <w:t>0.000001</w:t>
            </w:r>
          </w:p>
        </w:tc>
        <w:tc>
          <w:tcPr>
            <w:tcW w:w="896" w:type="dxa"/>
            <w:vAlign w:val="center"/>
          </w:tcPr>
          <w:p w14:paraId="48B0CECD" w14:textId="77777777" w:rsidR="003E78AB" w:rsidRDefault="00010BF9">
            <w:pPr>
              <w:pStyle w:val="aff6"/>
              <w:topLinePunct/>
            </w:pPr>
            <w:r>
              <w:t>0</w:t>
            </w:r>
          </w:p>
        </w:tc>
        <w:tc>
          <w:tcPr>
            <w:tcW w:w="677" w:type="dxa"/>
            <w:vAlign w:val="center"/>
          </w:tcPr>
          <w:p w14:paraId="41FA7B58" w14:textId="77777777" w:rsidR="003E78AB" w:rsidRDefault="00010BF9">
            <w:pPr>
              <w:pStyle w:val="aff6"/>
              <w:topLinePunct/>
            </w:pPr>
            <w:r>
              <w:t>0</w:t>
            </w:r>
          </w:p>
        </w:tc>
      </w:tr>
      <w:tr w:rsidR="003E78AB" w14:paraId="59EB9750" w14:textId="77777777">
        <w:trPr>
          <w:trHeight w:val="287"/>
        </w:trPr>
        <w:tc>
          <w:tcPr>
            <w:tcW w:w="1013" w:type="dxa"/>
            <w:vAlign w:val="center"/>
          </w:tcPr>
          <w:p w14:paraId="500093EA" w14:textId="77777777" w:rsidR="003E78AB" w:rsidRDefault="00010BF9">
            <w:pPr>
              <w:pStyle w:val="aff6"/>
              <w:topLinePunct/>
            </w:pPr>
            <w:r>
              <w:t>3000</w:t>
            </w:r>
          </w:p>
        </w:tc>
        <w:tc>
          <w:tcPr>
            <w:tcW w:w="2185" w:type="dxa"/>
            <w:vAlign w:val="center"/>
          </w:tcPr>
          <w:p w14:paraId="413758AA" w14:textId="77777777" w:rsidR="003E78AB" w:rsidRDefault="00010BF9">
            <w:pPr>
              <w:pStyle w:val="aff6"/>
              <w:topLinePunct/>
            </w:pPr>
            <w:r>
              <w:t>0.000001|31</w:t>
            </w:r>
          </w:p>
        </w:tc>
        <w:tc>
          <w:tcPr>
            <w:tcW w:w="1022" w:type="dxa"/>
            <w:vAlign w:val="center"/>
          </w:tcPr>
          <w:p w14:paraId="035157BD" w14:textId="77777777" w:rsidR="003E78AB" w:rsidRDefault="00010BF9">
            <w:pPr>
              <w:pStyle w:val="aff6"/>
              <w:topLinePunct/>
            </w:pPr>
            <w:r>
              <w:t>0</w:t>
            </w:r>
          </w:p>
        </w:tc>
        <w:tc>
          <w:tcPr>
            <w:tcW w:w="1022" w:type="dxa"/>
            <w:vAlign w:val="center"/>
          </w:tcPr>
          <w:p w14:paraId="629FA94D" w14:textId="77777777" w:rsidR="003E78AB" w:rsidRDefault="00010BF9">
            <w:pPr>
              <w:pStyle w:val="aff6"/>
              <w:topLinePunct/>
            </w:pPr>
            <w:r>
              <w:t>0</w:t>
            </w:r>
          </w:p>
        </w:tc>
        <w:tc>
          <w:tcPr>
            <w:tcW w:w="1022" w:type="dxa"/>
            <w:vAlign w:val="center"/>
          </w:tcPr>
          <w:p w14:paraId="222EDF4B" w14:textId="77777777" w:rsidR="003E78AB" w:rsidRDefault="00010BF9">
            <w:pPr>
              <w:pStyle w:val="aff6"/>
              <w:topLinePunct/>
            </w:pPr>
            <w:r>
              <w:t>0</w:t>
            </w:r>
          </w:p>
        </w:tc>
        <w:tc>
          <w:tcPr>
            <w:tcW w:w="1023" w:type="dxa"/>
            <w:vAlign w:val="center"/>
          </w:tcPr>
          <w:p w14:paraId="7B391570" w14:textId="77777777" w:rsidR="003E78AB" w:rsidRDefault="00010BF9">
            <w:pPr>
              <w:pStyle w:val="aff6"/>
              <w:topLinePunct/>
            </w:pPr>
            <w:r>
              <w:t>0</w:t>
            </w:r>
          </w:p>
        </w:tc>
        <w:tc>
          <w:tcPr>
            <w:tcW w:w="1020" w:type="dxa"/>
            <w:vAlign w:val="center"/>
          </w:tcPr>
          <w:p w14:paraId="57F857AE" w14:textId="77777777" w:rsidR="003E78AB" w:rsidRDefault="00010BF9">
            <w:pPr>
              <w:pStyle w:val="aff6"/>
              <w:topLinePunct/>
            </w:pPr>
            <w:r>
              <w:t>0</w:t>
            </w:r>
          </w:p>
        </w:tc>
        <w:tc>
          <w:tcPr>
            <w:tcW w:w="1020" w:type="dxa"/>
            <w:vAlign w:val="center"/>
          </w:tcPr>
          <w:p w14:paraId="6D48A0EC" w14:textId="77777777" w:rsidR="003E78AB" w:rsidRDefault="00010BF9">
            <w:pPr>
              <w:pStyle w:val="aff6"/>
              <w:topLinePunct/>
            </w:pPr>
            <w:r>
              <w:t>0</w:t>
            </w:r>
          </w:p>
        </w:tc>
        <w:tc>
          <w:tcPr>
            <w:tcW w:w="1023" w:type="dxa"/>
            <w:vAlign w:val="center"/>
          </w:tcPr>
          <w:p w14:paraId="16528176" w14:textId="77777777" w:rsidR="003E78AB" w:rsidRDefault="00010BF9">
            <w:pPr>
              <w:pStyle w:val="aff6"/>
              <w:topLinePunct/>
            </w:pPr>
            <w:r>
              <w:t>0</w:t>
            </w:r>
          </w:p>
        </w:tc>
        <w:tc>
          <w:tcPr>
            <w:tcW w:w="1020" w:type="dxa"/>
            <w:vAlign w:val="center"/>
          </w:tcPr>
          <w:p w14:paraId="763D4BEE" w14:textId="77777777" w:rsidR="003E78AB" w:rsidRDefault="00010BF9">
            <w:pPr>
              <w:pStyle w:val="aff6"/>
              <w:topLinePunct/>
            </w:pPr>
            <w:r>
              <w:t>0.000001</w:t>
            </w:r>
          </w:p>
        </w:tc>
        <w:tc>
          <w:tcPr>
            <w:tcW w:w="1022" w:type="dxa"/>
            <w:vAlign w:val="center"/>
          </w:tcPr>
          <w:p w14:paraId="2896CEEA" w14:textId="77777777" w:rsidR="003E78AB" w:rsidRDefault="00010BF9">
            <w:pPr>
              <w:pStyle w:val="aff6"/>
              <w:topLinePunct/>
            </w:pPr>
            <w:r>
              <w:t>0.000001</w:t>
            </w:r>
          </w:p>
        </w:tc>
        <w:tc>
          <w:tcPr>
            <w:tcW w:w="896" w:type="dxa"/>
            <w:vAlign w:val="center"/>
          </w:tcPr>
          <w:p w14:paraId="3C8CBEC0" w14:textId="77777777" w:rsidR="003E78AB" w:rsidRDefault="00010BF9">
            <w:pPr>
              <w:pStyle w:val="aff6"/>
              <w:topLinePunct/>
            </w:pPr>
            <w:r>
              <w:t>0.000001</w:t>
            </w:r>
          </w:p>
        </w:tc>
        <w:tc>
          <w:tcPr>
            <w:tcW w:w="677" w:type="dxa"/>
            <w:vAlign w:val="center"/>
          </w:tcPr>
          <w:p w14:paraId="7E7E9A1F" w14:textId="77777777" w:rsidR="003E78AB" w:rsidRDefault="00010BF9">
            <w:pPr>
              <w:pStyle w:val="aff6"/>
              <w:topLinePunct/>
            </w:pPr>
            <w:r>
              <w:t>0</w:t>
            </w:r>
          </w:p>
        </w:tc>
      </w:tr>
      <w:tr w:rsidR="003E78AB" w14:paraId="5934CC2C" w14:textId="77777777">
        <w:trPr>
          <w:trHeight w:val="288"/>
        </w:trPr>
        <w:tc>
          <w:tcPr>
            <w:tcW w:w="1013" w:type="dxa"/>
            <w:vAlign w:val="center"/>
          </w:tcPr>
          <w:p w14:paraId="3E18C23D" w14:textId="77777777" w:rsidR="003E78AB" w:rsidRDefault="00010BF9">
            <w:pPr>
              <w:pStyle w:val="aff6"/>
              <w:topLinePunct/>
            </w:pPr>
            <w:r>
              <w:t>3500</w:t>
            </w:r>
          </w:p>
        </w:tc>
        <w:tc>
          <w:tcPr>
            <w:tcW w:w="2185" w:type="dxa"/>
            <w:vAlign w:val="center"/>
          </w:tcPr>
          <w:p w14:paraId="56E06065" w14:textId="77777777" w:rsidR="003E78AB" w:rsidRDefault="00010BF9">
            <w:pPr>
              <w:pStyle w:val="aff6"/>
              <w:topLinePunct/>
            </w:pPr>
            <w:r>
              <w:t>0.000001|38</w:t>
            </w:r>
          </w:p>
        </w:tc>
        <w:tc>
          <w:tcPr>
            <w:tcW w:w="1022" w:type="dxa"/>
            <w:vAlign w:val="center"/>
          </w:tcPr>
          <w:p w14:paraId="78DEF268" w14:textId="77777777" w:rsidR="003E78AB" w:rsidRDefault="00010BF9">
            <w:pPr>
              <w:pStyle w:val="aff6"/>
              <w:topLinePunct/>
            </w:pPr>
            <w:r>
              <w:t>0</w:t>
            </w:r>
          </w:p>
        </w:tc>
        <w:tc>
          <w:tcPr>
            <w:tcW w:w="1022" w:type="dxa"/>
            <w:vAlign w:val="center"/>
          </w:tcPr>
          <w:p w14:paraId="1C067951" w14:textId="77777777" w:rsidR="003E78AB" w:rsidRDefault="00010BF9">
            <w:pPr>
              <w:pStyle w:val="aff6"/>
              <w:topLinePunct/>
            </w:pPr>
            <w:r>
              <w:t>0</w:t>
            </w:r>
          </w:p>
        </w:tc>
        <w:tc>
          <w:tcPr>
            <w:tcW w:w="1022" w:type="dxa"/>
            <w:vAlign w:val="center"/>
          </w:tcPr>
          <w:p w14:paraId="3F68E3E1" w14:textId="77777777" w:rsidR="003E78AB" w:rsidRDefault="00010BF9">
            <w:pPr>
              <w:pStyle w:val="aff6"/>
              <w:topLinePunct/>
            </w:pPr>
            <w:r>
              <w:t>0</w:t>
            </w:r>
          </w:p>
        </w:tc>
        <w:tc>
          <w:tcPr>
            <w:tcW w:w="1023" w:type="dxa"/>
            <w:vAlign w:val="center"/>
          </w:tcPr>
          <w:p w14:paraId="35FB0535" w14:textId="77777777" w:rsidR="003E78AB" w:rsidRDefault="00010BF9">
            <w:pPr>
              <w:pStyle w:val="aff6"/>
              <w:topLinePunct/>
            </w:pPr>
            <w:r>
              <w:t>0</w:t>
            </w:r>
          </w:p>
        </w:tc>
        <w:tc>
          <w:tcPr>
            <w:tcW w:w="1020" w:type="dxa"/>
            <w:vAlign w:val="center"/>
          </w:tcPr>
          <w:p w14:paraId="7A038D41" w14:textId="77777777" w:rsidR="003E78AB" w:rsidRDefault="00010BF9">
            <w:pPr>
              <w:pStyle w:val="aff6"/>
              <w:topLinePunct/>
            </w:pPr>
            <w:r>
              <w:t>0</w:t>
            </w:r>
          </w:p>
        </w:tc>
        <w:tc>
          <w:tcPr>
            <w:tcW w:w="1020" w:type="dxa"/>
            <w:vAlign w:val="center"/>
          </w:tcPr>
          <w:p w14:paraId="754EEFFF" w14:textId="77777777" w:rsidR="003E78AB" w:rsidRDefault="00010BF9">
            <w:pPr>
              <w:pStyle w:val="aff6"/>
              <w:topLinePunct/>
            </w:pPr>
            <w:r>
              <w:t>0</w:t>
            </w:r>
          </w:p>
        </w:tc>
        <w:tc>
          <w:tcPr>
            <w:tcW w:w="1023" w:type="dxa"/>
            <w:vAlign w:val="center"/>
          </w:tcPr>
          <w:p w14:paraId="7059ED5D" w14:textId="77777777" w:rsidR="003E78AB" w:rsidRDefault="00010BF9">
            <w:pPr>
              <w:pStyle w:val="aff6"/>
              <w:topLinePunct/>
            </w:pPr>
            <w:r>
              <w:t>0</w:t>
            </w:r>
          </w:p>
        </w:tc>
        <w:tc>
          <w:tcPr>
            <w:tcW w:w="1020" w:type="dxa"/>
            <w:vAlign w:val="center"/>
          </w:tcPr>
          <w:p w14:paraId="44F3FFFF" w14:textId="77777777" w:rsidR="003E78AB" w:rsidRDefault="00010BF9">
            <w:pPr>
              <w:pStyle w:val="aff6"/>
              <w:topLinePunct/>
            </w:pPr>
            <w:r>
              <w:t>0.000001</w:t>
            </w:r>
          </w:p>
        </w:tc>
        <w:tc>
          <w:tcPr>
            <w:tcW w:w="1022" w:type="dxa"/>
            <w:vAlign w:val="center"/>
          </w:tcPr>
          <w:p w14:paraId="5FB0B32D" w14:textId="77777777" w:rsidR="003E78AB" w:rsidRDefault="00010BF9">
            <w:pPr>
              <w:pStyle w:val="aff6"/>
              <w:topLinePunct/>
            </w:pPr>
            <w:r>
              <w:t>0.000001</w:t>
            </w:r>
          </w:p>
        </w:tc>
        <w:tc>
          <w:tcPr>
            <w:tcW w:w="896" w:type="dxa"/>
            <w:vAlign w:val="center"/>
          </w:tcPr>
          <w:p w14:paraId="18D6A183" w14:textId="77777777" w:rsidR="003E78AB" w:rsidRDefault="00010BF9">
            <w:pPr>
              <w:pStyle w:val="aff6"/>
              <w:topLinePunct/>
            </w:pPr>
            <w:r>
              <w:t>0.000001</w:t>
            </w:r>
          </w:p>
        </w:tc>
        <w:tc>
          <w:tcPr>
            <w:tcW w:w="677" w:type="dxa"/>
            <w:vAlign w:val="center"/>
          </w:tcPr>
          <w:p w14:paraId="7CFEE219" w14:textId="77777777" w:rsidR="003E78AB" w:rsidRDefault="00010BF9">
            <w:pPr>
              <w:pStyle w:val="aff6"/>
              <w:topLinePunct/>
            </w:pPr>
            <w:r>
              <w:t>0</w:t>
            </w:r>
          </w:p>
        </w:tc>
      </w:tr>
      <w:tr w:rsidR="003E78AB" w14:paraId="445A90DA" w14:textId="77777777">
        <w:trPr>
          <w:trHeight w:val="287"/>
        </w:trPr>
        <w:tc>
          <w:tcPr>
            <w:tcW w:w="1013" w:type="dxa"/>
            <w:vAlign w:val="center"/>
          </w:tcPr>
          <w:p w14:paraId="59898DD2" w14:textId="77777777" w:rsidR="003E78AB" w:rsidRDefault="00010BF9">
            <w:pPr>
              <w:pStyle w:val="aff6"/>
              <w:topLinePunct/>
            </w:pPr>
            <w:r>
              <w:t>4000</w:t>
            </w:r>
          </w:p>
        </w:tc>
        <w:tc>
          <w:tcPr>
            <w:tcW w:w="2185" w:type="dxa"/>
            <w:vAlign w:val="center"/>
          </w:tcPr>
          <w:p w14:paraId="0D12A954" w14:textId="77777777" w:rsidR="003E78AB" w:rsidRDefault="00010BF9">
            <w:pPr>
              <w:pStyle w:val="aff6"/>
              <w:topLinePunct/>
            </w:pPr>
            <w:r>
              <w:t>0.000001|44</w:t>
            </w:r>
          </w:p>
        </w:tc>
        <w:tc>
          <w:tcPr>
            <w:tcW w:w="1022" w:type="dxa"/>
            <w:vAlign w:val="center"/>
          </w:tcPr>
          <w:p w14:paraId="1FF6AE8B" w14:textId="77777777" w:rsidR="003E78AB" w:rsidRDefault="00010BF9">
            <w:pPr>
              <w:pStyle w:val="aff6"/>
              <w:topLinePunct/>
            </w:pPr>
            <w:r>
              <w:t>0</w:t>
            </w:r>
          </w:p>
        </w:tc>
        <w:tc>
          <w:tcPr>
            <w:tcW w:w="1022" w:type="dxa"/>
            <w:vAlign w:val="center"/>
          </w:tcPr>
          <w:p w14:paraId="5592D8B8" w14:textId="77777777" w:rsidR="003E78AB" w:rsidRDefault="00010BF9">
            <w:pPr>
              <w:pStyle w:val="aff6"/>
              <w:topLinePunct/>
            </w:pPr>
            <w:r>
              <w:t>0</w:t>
            </w:r>
          </w:p>
        </w:tc>
        <w:tc>
          <w:tcPr>
            <w:tcW w:w="1022" w:type="dxa"/>
            <w:vAlign w:val="center"/>
          </w:tcPr>
          <w:p w14:paraId="7D90FCF5" w14:textId="77777777" w:rsidR="003E78AB" w:rsidRDefault="00010BF9">
            <w:pPr>
              <w:pStyle w:val="aff6"/>
              <w:topLinePunct/>
            </w:pPr>
            <w:r>
              <w:t>0</w:t>
            </w:r>
          </w:p>
        </w:tc>
        <w:tc>
          <w:tcPr>
            <w:tcW w:w="1023" w:type="dxa"/>
            <w:vAlign w:val="center"/>
          </w:tcPr>
          <w:p w14:paraId="3E453558" w14:textId="77777777" w:rsidR="003E78AB" w:rsidRDefault="00010BF9">
            <w:pPr>
              <w:pStyle w:val="aff6"/>
              <w:topLinePunct/>
            </w:pPr>
            <w:r>
              <w:t>0</w:t>
            </w:r>
          </w:p>
        </w:tc>
        <w:tc>
          <w:tcPr>
            <w:tcW w:w="1020" w:type="dxa"/>
            <w:vAlign w:val="center"/>
          </w:tcPr>
          <w:p w14:paraId="001C5201" w14:textId="77777777" w:rsidR="003E78AB" w:rsidRDefault="00010BF9">
            <w:pPr>
              <w:pStyle w:val="aff6"/>
              <w:topLinePunct/>
            </w:pPr>
            <w:r>
              <w:t>0</w:t>
            </w:r>
          </w:p>
        </w:tc>
        <w:tc>
          <w:tcPr>
            <w:tcW w:w="1020" w:type="dxa"/>
            <w:vAlign w:val="center"/>
          </w:tcPr>
          <w:p w14:paraId="5982AC74" w14:textId="77777777" w:rsidR="003E78AB" w:rsidRDefault="00010BF9">
            <w:pPr>
              <w:pStyle w:val="aff6"/>
              <w:topLinePunct/>
            </w:pPr>
            <w:r>
              <w:t>0</w:t>
            </w:r>
          </w:p>
        </w:tc>
        <w:tc>
          <w:tcPr>
            <w:tcW w:w="1023" w:type="dxa"/>
            <w:vAlign w:val="center"/>
          </w:tcPr>
          <w:p w14:paraId="051ED1E9" w14:textId="77777777" w:rsidR="003E78AB" w:rsidRDefault="00010BF9">
            <w:pPr>
              <w:pStyle w:val="aff6"/>
              <w:topLinePunct/>
            </w:pPr>
            <w:r>
              <w:t>0</w:t>
            </w:r>
          </w:p>
        </w:tc>
        <w:tc>
          <w:tcPr>
            <w:tcW w:w="1020" w:type="dxa"/>
            <w:vAlign w:val="center"/>
          </w:tcPr>
          <w:p w14:paraId="0A678B80" w14:textId="77777777" w:rsidR="003E78AB" w:rsidRDefault="00010BF9">
            <w:pPr>
              <w:pStyle w:val="aff6"/>
              <w:topLinePunct/>
            </w:pPr>
            <w:r>
              <w:t>0</w:t>
            </w:r>
          </w:p>
        </w:tc>
        <w:tc>
          <w:tcPr>
            <w:tcW w:w="1022" w:type="dxa"/>
            <w:vAlign w:val="center"/>
          </w:tcPr>
          <w:p w14:paraId="415F554A" w14:textId="77777777" w:rsidR="003E78AB" w:rsidRDefault="00010BF9">
            <w:pPr>
              <w:pStyle w:val="aff6"/>
              <w:topLinePunct/>
            </w:pPr>
            <w:r>
              <w:t>0.000001</w:t>
            </w:r>
          </w:p>
        </w:tc>
        <w:tc>
          <w:tcPr>
            <w:tcW w:w="896" w:type="dxa"/>
            <w:vAlign w:val="center"/>
          </w:tcPr>
          <w:p w14:paraId="0157BCAC" w14:textId="77777777" w:rsidR="003E78AB" w:rsidRDefault="00010BF9">
            <w:pPr>
              <w:pStyle w:val="aff6"/>
              <w:topLinePunct/>
            </w:pPr>
            <w:r>
              <w:t>0.000001</w:t>
            </w:r>
          </w:p>
        </w:tc>
        <w:tc>
          <w:tcPr>
            <w:tcW w:w="677" w:type="dxa"/>
            <w:vAlign w:val="center"/>
          </w:tcPr>
          <w:p w14:paraId="1DEDBC39" w14:textId="77777777" w:rsidR="003E78AB" w:rsidRDefault="00010BF9">
            <w:pPr>
              <w:pStyle w:val="aff6"/>
              <w:topLinePunct/>
            </w:pPr>
            <w:r>
              <w:t>0</w:t>
            </w:r>
          </w:p>
        </w:tc>
      </w:tr>
      <w:tr w:rsidR="003E78AB" w14:paraId="5313DF27" w14:textId="77777777">
        <w:trPr>
          <w:trHeight w:val="302"/>
        </w:trPr>
        <w:tc>
          <w:tcPr>
            <w:tcW w:w="1013" w:type="dxa"/>
            <w:vAlign w:val="center"/>
          </w:tcPr>
          <w:p w14:paraId="6173DEBC" w14:textId="77777777" w:rsidR="003E78AB" w:rsidRDefault="00010BF9">
            <w:pPr>
              <w:pStyle w:val="aff6"/>
              <w:topLinePunct/>
            </w:pPr>
            <w:r>
              <w:t>5000</w:t>
            </w:r>
          </w:p>
        </w:tc>
        <w:tc>
          <w:tcPr>
            <w:tcW w:w="2185" w:type="dxa"/>
            <w:vAlign w:val="center"/>
          </w:tcPr>
          <w:p w14:paraId="3534CB3B" w14:textId="77777777" w:rsidR="003E78AB" w:rsidRDefault="00010BF9">
            <w:pPr>
              <w:pStyle w:val="aff6"/>
              <w:topLinePunct/>
            </w:pPr>
            <w:r>
              <w:t>0.0|44</w:t>
            </w:r>
          </w:p>
        </w:tc>
        <w:tc>
          <w:tcPr>
            <w:tcW w:w="1022" w:type="dxa"/>
            <w:vAlign w:val="center"/>
          </w:tcPr>
          <w:p w14:paraId="456576B7" w14:textId="77777777" w:rsidR="003E78AB" w:rsidRDefault="00010BF9">
            <w:pPr>
              <w:pStyle w:val="aff6"/>
              <w:topLinePunct/>
            </w:pPr>
            <w:r>
              <w:t>0</w:t>
            </w:r>
          </w:p>
        </w:tc>
        <w:tc>
          <w:tcPr>
            <w:tcW w:w="1022" w:type="dxa"/>
            <w:vAlign w:val="center"/>
          </w:tcPr>
          <w:p w14:paraId="608833FA" w14:textId="77777777" w:rsidR="003E78AB" w:rsidRDefault="00010BF9">
            <w:pPr>
              <w:pStyle w:val="aff6"/>
              <w:topLinePunct/>
            </w:pPr>
            <w:r>
              <w:t>0</w:t>
            </w:r>
          </w:p>
        </w:tc>
        <w:tc>
          <w:tcPr>
            <w:tcW w:w="1022" w:type="dxa"/>
            <w:vAlign w:val="center"/>
          </w:tcPr>
          <w:p w14:paraId="643EF46E" w14:textId="77777777" w:rsidR="003E78AB" w:rsidRDefault="00010BF9">
            <w:pPr>
              <w:pStyle w:val="aff6"/>
              <w:topLinePunct/>
            </w:pPr>
            <w:r>
              <w:t>0</w:t>
            </w:r>
          </w:p>
        </w:tc>
        <w:tc>
          <w:tcPr>
            <w:tcW w:w="1023" w:type="dxa"/>
            <w:vAlign w:val="center"/>
          </w:tcPr>
          <w:p w14:paraId="5E340E67" w14:textId="77777777" w:rsidR="003E78AB" w:rsidRDefault="00010BF9">
            <w:pPr>
              <w:pStyle w:val="aff6"/>
              <w:topLinePunct/>
            </w:pPr>
            <w:r>
              <w:t>0</w:t>
            </w:r>
          </w:p>
        </w:tc>
        <w:tc>
          <w:tcPr>
            <w:tcW w:w="1020" w:type="dxa"/>
            <w:vAlign w:val="center"/>
          </w:tcPr>
          <w:p w14:paraId="0E197B95" w14:textId="77777777" w:rsidR="003E78AB" w:rsidRDefault="00010BF9">
            <w:pPr>
              <w:pStyle w:val="aff6"/>
              <w:topLinePunct/>
            </w:pPr>
            <w:r>
              <w:t>0</w:t>
            </w:r>
          </w:p>
        </w:tc>
        <w:tc>
          <w:tcPr>
            <w:tcW w:w="1020" w:type="dxa"/>
            <w:vAlign w:val="center"/>
          </w:tcPr>
          <w:p w14:paraId="02A6C7C4" w14:textId="77777777" w:rsidR="003E78AB" w:rsidRDefault="00010BF9">
            <w:pPr>
              <w:pStyle w:val="aff6"/>
              <w:topLinePunct/>
            </w:pPr>
            <w:r>
              <w:t>0</w:t>
            </w:r>
          </w:p>
        </w:tc>
        <w:tc>
          <w:tcPr>
            <w:tcW w:w="1023" w:type="dxa"/>
            <w:vAlign w:val="center"/>
          </w:tcPr>
          <w:p w14:paraId="534A6C5D" w14:textId="77777777" w:rsidR="003E78AB" w:rsidRDefault="00010BF9">
            <w:pPr>
              <w:pStyle w:val="aff6"/>
              <w:topLinePunct/>
            </w:pPr>
            <w:r>
              <w:t>0</w:t>
            </w:r>
          </w:p>
        </w:tc>
        <w:tc>
          <w:tcPr>
            <w:tcW w:w="1020" w:type="dxa"/>
            <w:vAlign w:val="center"/>
          </w:tcPr>
          <w:p w14:paraId="692C1489" w14:textId="77777777" w:rsidR="003E78AB" w:rsidRDefault="00010BF9">
            <w:pPr>
              <w:pStyle w:val="aff6"/>
              <w:topLinePunct/>
            </w:pPr>
            <w:r>
              <w:t>0</w:t>
            </w:r>
          </w:p>
        </w:tc>
        <w:tc>
          <w:tcPr>
            <w:tcW w:w="1022" w:type="dxa"/>
            <w:vAlign w:val="center"/>
          </w:tcPr>
          <w:p w14:paraId="5B1CBA10" w14:textId="77777777" w:rsidR="003E78AB" w:rsidRDefault="00010BF9">
            <w:pPr>
              <w:pStyle w:val="aff6"/>
              <w:topLinePunct/>
            </w:pPr>
            <w:r>
              <w:t>0</w:t>
            </w:r>
          </w:p>
        </w:tc>
        <w:tc>
          <w:tcPr>
            <w:tcW w:w="896" w:type="dxa"/>
            <w:vAlign w:val="center"/>
          </w:tcPr>
          <w:p w14:paraId="781AE009" w14:textId="77777777" w:rsidR="003E78AB" w:rsidRDefault="00010BF9">
            <w:pPr>
              <w:pStyle w:val="aff6"/>
              <w:topLinePunct/>
            </w:pPr>
            <w:r>
              <w:t>0</w:t>
            </w:r>
          </w:p>
        </w:tc>
        <w:tc>
          <w:tcPr>
            <w:tcW w:w="677" w:type="dxa"/>
            <w:vAlign w:val="center"/>
          </w:tcPr>
          <w:p w14:paraId="3A11AC83" w14:textId="77777777" w:rsidR="003E78AB" w:rsidRDefault="00010BF9">
            <w:pPr>
              <w:pStyle w:val="aff6"/>
              <w:topLinePunct/>
            </w:pPr>
            <w:r>
              <w:t>0</w:t>
            </w:r>
          </w:p>
        </w:tc>
      </w:tr>
    </w:tbl>
    <w:p w14:paraId="6FB53FD0" w14:textId="77777777" w:rsidR="003E78AB" w:rsidRDefault="003E78AB">
      <w:pPr>
        <w:ind w:firstLineChars="0" w:firstLine="0"/>
        <w:sectPr w:rsidR="003E78AB">
          <w:footerReference w:type="default" r:id="rId121"/>
          <w:pgSz w:w="16841" w:h="11907"/>
          <w:pgMar w:top="1197" w:right="1444" w:bottom="1062" w:left="1430" w:header="933" w:footer="848" w:gutter="0"/>
          <w:cols w:space="720"/>
        </w:sectPr>
      </w:pPr>
    </w:p>
    <w:p w14:paraId="175DFA3D" w14:textId="77777777" w:rsidR="003E78AB" w:rsidRDefault="00010BF9">
      <w:pPr>
        <w:ind w:firstLine="480"/>
        <w:rPr>
          <w:kern w:val="28"/>
        </w:rPr>
      </w:pPr>
      <w:r>
        <w:rPr>
          <w:rFonts w:hint="eastAsia"/>
          <w:kern w:val="28"/>
        </w:rPr>
        <w:t>由预测结果可知，最不利和最常见气象条件下，含五氧化二钒废气及硫酸储罐泄漏蒸发气体预测浓度均未达到大气毒性终点浓度</w:t>
      </w:r>
      <w:r>
        <w:rPr>
          <w:rFonts w:hint="eastAsia"/>
          <w:kern w:val="28"/>
        </w:rPr>
        <w:t>-1</w:t>
      </w:r>
      <w:r>
        <w:rPr>
          <w:rFonts w:hint="eastAsia"/>
          <w:kern w:val="28"/>
        </w:rPr>
        <w:t>、大气毒性终点浓度</w:t>
      </w:r>
      <w:r>
        <w:rPr>
          <w:rFonts w:hint="eastAsia"/>
          <w:kern w:val="28"/>
        </w:rPr>
        <w:t>-2</w:t>
      </w:r>
      <w:r>
        <w:rPr>
          <w:rFonts w:hint="eastAsia"/>
          <w:kern w:val="28"/>
        </w:rPr>
        <w:t>。</w:t>
      </w:r>
    </w:p>
    <w:p w14:paraId="0B55AA6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6.5.1.6</w:t>
      </w:r>
      <w:r>
        <w:rPr>
          <w:rFonts w:ascii="Times New Roman" w:hAnsi="Times New Roman" w:hint="eastAsia"/>
        </w:rPr>
        <w:t>大气环境风险事故对关心点影响分析</w:t>
      </w:r>
    </w:p>
    <w:p w14:paraId="70766297" w14:textId="77777777" w:rsidR="003E78AB" w:rsidRDefault="00010BF9">
      <w:pPr>
        <w:ind w:firstLine="480"/>
        <w:rPr>
          <w:kern w:val="28"/>
        </w:rPr>
      </w:pPr>
      <w:r>
        <w:rPr>
          <w:rFonts w:hint="eastAsia"/>
          <w:kern w:val="28"/>
        </w:rPr>
        <w:t>根据环境风险预测结果，本项目除尘管线破裂事故状态下废气中的五氧化二钒在最不利和最常见气象条件下均未达到大气毒性终点浓度</w:t>
      </w:r>
      <w:r>
        <w:rPr>
          <w:rFonts w:hint="eastAsia"/>
          <w:kern w:val="28"/>
        </w:rPr>
        <w:t>-1</w:t>
      </w:r>
      <w:r>
        <w:rPr>
          <w:rFonts w:hint="eastAsia"/>
          <w:kern w:val="28"/>
        </w:rPr>
        <w:t>、大气毒性终点浓度</w:t>
      </w:r>
      <w:r>
        <w:rPr>
          <w:rFonts w:hint="eastAsia"/>
          <w:kern w:val="28"/>
        </w:rPr>
        <w:t>-2</w:t>
      </w:r>
      <w:r>
        <w:rPr>
          <w:rFonts w:hint="eastAsia"/>
          <w:kern w:val="28"/>
        </w:rPr>
        <w:t>。本次不再开展关心点概率分析。</w:t>
      </w:r>
    </w:p>
    <w:p w14:paraId="08B137C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6.5.1.7</w:t>
      </w:r>
      <w:r>
        <w:rPr>
          <w:rFonts w:ascii="Times New Roman" w:hAnsi="Times New Roman" w:hint="eastAsia"/>
        </w:rPr>
        <w:t>大气环境风险事故后果</w:t>
      </w:r>
    </w:p>
    <w:p w14:paraId="11B505E4" w14:textId="77777777" w:rsidR="003E78AB" w:rsidRDefault="00010BF9">
      <w:pPr>
        <w:ind w:firstLine="480"/>
        <w:rPr>
          <w:kern w:val="28"/>
        </w:rPr>
      </w:pPr>
      <w:r>
        <w:rPr>
          <w:rFonts w:hint="eastAsia"/>
          <w:kern w:val="28"/>
        </w:rPr>
        <w:t>根据风险预测结果，项目大气环境风险事故后果见</w:t>
      </w:r>
      <w:r>
        <w:rPr>
          <w:rFonts w:hint="eastAsia"/>
          <w:kern w:val="28"/>
        </w:rPr>
        <w:fldChar w:fldCharType="begin"/>
      </w:r>
      <w:r>
        <w:rPr>
          <w:rFonts w:hint="eastAsia"/>
          <w:kern w:val="28"/>
        </w:rPr>
        <w:instrText xml:space="preserve"> REF _Ref5242 \r \h </w:instrText>
      </w:r>
      <w:r>
        <w:rPr>
          <w:rFonts w:hint="eastAsia"/>
          <w:kern w:val="28"/>
        </w:rPr>
      </w:r>
      <w:r>
        <w:rPr>
          <w:rFonts w:hint="eastAsia"/>
          <w:kern w:val="28"/>
        </w:rPr>
        <w:fldChar w:fldCharType="separate"/>
      </w:r>
      <w:r>
        <w:rPr>
          <w:rFonts w:hint="eastAsia"/>
          <w:kern w:val="28"/>
        </w:rPr>
        <w:t>表</w:t>
      </w:r>
      <w:r>
        <w:rPr>
          <w:rFonts w:hint="eastAsia"/>
          <w:kern w:val="28"/>
        </w:rPr>
        <w:t>6-32</w:t>
      </w:r>
      <w:r>
        <w:rPr>
          <w:rFonts w:hint="eastAsia"/>
          <w:kern w:val="28"/>
        </w:rPr>
        <w:fldChar w:fldCharType="end"/>
      </w:r>
      <w:r>
        <w:rPr>
          <w:rFonts w:hint="eastAsia"/>
          <w:kern w:val="28"/>
        </w:rPr>
        <w:t>。</w:t>
      </w:r>
    </w:p>
    <w:p w14:paraId="68AFAB55" w14:textId="77777777" w:rsidR="003E78AB" w:rsidRDefault="00010BF9">
      <w:pPr>
        <w:pStyle w:val="a"/>
        <w:spacing w:before="120"/>
        <w:ind w:left="425" w:hanging="425"/>
      </w:pPr>
      <w:bookmarkStart w:id="443" w:name="_Ref5242"/>
      <w:r>
        <w:t>大气环境风险事故源项及后果信息表</w:t>
      </w:r>
      <w:bookmarkEnd w:id="443"/>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913"/>
        <w:gridCol w:w="75"/>
        <w:gridCol w:w="715"/>
        <w:gridCol w:w="90"/>
        <w:gridCol w:w="651"/>
        <w:gridCol w:w="1513"/>
        <w:gridCol w:w="1562"/>
        <w:gridCol w:w="1036"/>
        <w:gridCol w:w="1319"/>
        <w:gridCol w:w="22"/>
      </w:tblGrid>
      <w:tr w:rsidR="003E78AB" w14:paraId="38CFDAE9" w14:textId="77777777">
        <w:trPr>
          <w:gridAfter w:val="1"/>
          <w:wAfter w:w="13" w:type="pct"/>
          <w:trHeight w:val="489"/>
        </w:trPr>
        <w:tc>
          <w:tcPr>
            <w:tcW w:w="4986" w:type="pct"/>
            <w:gridSpan w:val="10"/>
            <w:vAlign w:val="center"/>
          </w:tcPr>
          <w:p w14:paraId="364CBBDD" w14:textId="77777777" w:rsidR="003E78AB" w:rsidRDefault="00010BF9">
            <w:pPr>
              <w:pStyle w:val="aff6"/>
              <w:topLinePunct/>
              <w:rPr>
                <w:b/>
                <w:bCs/>
              </w:rPr>
            </w:pPr>
            <w:r>
              <w:rPr>
                <w:rFonts w:hint="eastAsia"/>
                <w:b/>
                <w:bCs/>
              </w:rPr>
              <w:t>事故源参数</w:t>
            </w:r>
          </w:p>
        </w:tc>
      </w:tr>
      <w:tr w:rsidR="003E78AB" w14:paraId="4496AE2D" w14:textId="77777777">
        <w:trPr>
          <w:gridAfter w:val="1"/>
          <w:wAfter w:w="13" w:type="pct"/>
          <w:trHeight w:val="489"/>
        </w:trPr>
        <w:tc>
          <w:tcPr>
            <w:tcW w:w="800" w:type="pct"/>
            <w:gridSpan w:val="2"/>
            <w:vAlign w:val="center"/>
          </w:tcPr>
          <w:p w14:paraId="190DFD61" w14:textId="77777777" w:rsidR="003E78AB" w:rsidRDefault="00010BF9">
            <w:pPr>
              <w:pStyle w:val="aff6"/>
              <w:topLinePunct/>
            </w:pPr>
            <w:r>
              <w:t>代表性风险事故情形描述</w:t>
            </w:r>
          </w:p>
        </w:tc>
        <w:tc>
          <w:tcPr>
            <w:tcW w:w="4185" w:type="pct"/>
            <w:gridSpan w:val="8"/>
            <w:vAlign w:val="center"/>
          </w:tcPr>
          <w:p w14:paraId="48BE38D2" w14:textId="77777777" w:rsidR="003E78AB" w:rsidRDefault="00010BF9">
            <w:pPr>
              <w:pStyle w:val="aff6"/>
              <w:topLinePunct/>
            </w:pPr>
            <w:r>
              <w:t>除尘管</w:t>
            </w:r>
            <w:r>
              <w:t>线破裂事故状态下五氧化二钒</w:t>
            </w:r>
            <w:r>
              <w:rPr>
                <w:rFonts w:hint="eastAsia"/>
              </w:rPr>
              <w:t>泄漏</w:t>
            </w:r>
          </w:p>
        </w:tc>
      </w:tr>
      <w:tr w:rsidR="003E78AB" w14:paraId="59544131" w14:textId="77777777">
        <w:trPr>
          <w:gridAfter w:val="1"/>
          <w:wAfter w:w="13" w:type="pct"/>
          <w:trHeight w:val="244"/>
        </w:trPr>
        <w:tc>
          <w:tcPr>
            <w:tcW w:w="800" w:type="pct"/>
            <w:gridSpan w:val="2"/>
            <w:vAlign w:val="center"/>
          </w:tcPr>
          <w:p w14:paraId="63A4BEAD" w14:textId="77777777" w:rsidR="003E78AB" w:rsidRDefault="00010BF9">
            <w:pPr>
              <w:pStyle w:val="aff6"/>
              <w:topLinePunct/>
            </w:pPr>
            <w:r>
              <w:t>环境风险类型</w:t>
            </w:r>
          </w:p>
        </w:tc>
        <w:tc>
          <w:tcPr>
            <w:tcW w:w="4185" w:type="pct"/>
            <w:gridSpan w:val="8"/>
            <w:vAlign w:val="center"/>
          </w:tcPr>
          <w:p w14:paraId="4233D3E1" w14:textId="77777777" w:rsidR="003E78AB" w:rsidRDefault="00010BF9">
            <w:pPr>
              <w:pStyle w:val="aff6"/>
              <w:topLinePunct/>
            </w:pPr>
            <w:r>
              <w:rPr>
                <w:rFonts w:hint="eastAsia"/>
              </w:rPr>
              <w:t>泄漏</w:t>
            </w:r>
          </w:p>
        </w:tc>
      </w:tr>
      <w:tr w:rsidR="003E78AB" w14:paraId="3DE5FFA3" w14:textId="77777777">
        <w:trPr>
          <w:gridAfter w:val="1"/>
          <w:wAfter w:w="13" w:type="pct"/>
          <w:trHeight w:val="245"/>
        </w:trPr>
        <w:tc>
          <w:tcPr>
            <w:tcW w:w="800" w:type="pct"/>
            <w:gridSpan w:val="2"/>
            <w:vAlign w:val="center"/>
          </w:tcPr>
          <w:p w14:paraId="1055E891" w14:textId="77777777" w:rsidR="003E78AB" w:rsidRDefault="00010BF9">
            <w:pPr>
              <w:pStyle w:val="aff6"/>
              <w:topLinePunct/>
            </w:pPr>
            <w:r>
              <w:t>泄漏设备类型</w:t>
            </w:r>
          </w:p>
        </w:tc>
        <w:tc>
          <w:tcPr>
            <w:tcW w:w="924" w:type="pct"/>
            <w:gridSpan w:val="4"/>
            <w:vAlign w:val="center"/>
          </w:tcPr>
          <w:p w14:paraId="4AC7CE81" w14:textId="77777777" w:rsidR="003E78AB" w:rsidRDefault="00010BF9">
            <w:pPr>
              <w:pStyle w:val="aff6"/>
              <w:topLinePunct/>
            </w:pPr>
            <w:r>
              <w:t>除尘管线</w:t>
            </w:r>
          </w:p>
        </w:tc>
        <w:tc>
          <w:tcPr>
            <w:tcW w:w="911" w:type="pct"/>
            <w:vAlign w:val="center"/>
          </w:tcPr>
          <w:p w14:paraId="6E49FDCE" w14:textId="77777777" w:rsidR="003E78AB" w:rsidRDefault="00010BF9">
            <w:pPr>
              <w:pStyle w:val="aff6"/>
              <w:topLinePunct/>
            </w:pPr>
            <w:r>
              <w:t>操作温度</w:t>
            </w:r>
            <w:r>
              <w:t>/℃</w:t>
            </w:r>
          </w:p>
        </w:tc>
        <w:tc>
          <w:tcPr>
            <w:tcW w:w="933" w:type="pct"/>
            <w:vAlign w:val="center"/>
          </w:tcPr>
          <w:p w14:paraId="279ACAF6" w14:textId="77777777" w:rsidR="003E78AB" w:rsidRDefault="00010BF9">
            <w:pPr>
              <w:pStyle w:val="aff6"/>
              <w:topLinePunct/>
            </w:pPr>
            <w:r>
              <w:t>20</w:t>
            </w:r>
          </w:p>
        </w:tc>
        <w:tc>
          <w:tcPr>
            <w:tcW w:w="624" w:type="pct"/>
            <w:vAlign w:val="center"/>
          </w:tcPr>
          <w:p w14:paraId="78691468" w14:textId="77777777" w:rsidR="003E78AB" w:rsidRDefault="00010BF9">
            <w:pPr>
              <w:pStyle w:val="aff6"/>
              <w:topLinePunct/>
            </w:pPr>
            <w:r>
              <w:t>操作</w:t>
            </w:r>
            <w:r>
              <w:t>/MPa</w:t>
            </w:r>
          </w:p>
        </w:tc>
        <w:tc>
          <w:tcPr>
            <w:tcW w:w="791" w:type="pct"/>
            <w:vAlign w:val="center"/>
          </w:tcPr>
          <w:p w14:paraId="7240E033" w14:textId="77777777" w:rsidR="003E78AB" w:rsidRDefault="00010BF9">
            <w:pPr>
              <w:pStyle w:val="aff6"/>
              <w:topLinePunct/>
            </w:pPr>
            <w:r>
              <w:t>常压</w:t>
            </w:r>
          </w:p>
        </w:tc>
      </w:tr>
      <w:tr w:rsidR="003E78AB" w14:paraId="44B1F700" w14:textId="77777777">
        <w:trPr>
          <w:gridAfter w:val="1"/>
          <w:wAfter w:w="13" w:type="pct"/>
          <w:trHeight w:val="319"/>
        </w:trPr>
        <w:tc>
          <w:tcPr>
            <w:tcW w:w="800" w:type="pct"/>
            <w:gridSpan w:val="2"/>
            <w:vAlign w:val="center"/>
          </w:tcPr>
          <w:p w14:paraId="3B8CD47A" w14:textId="77777777" w:rsidR="003E78AB" w:rsidRDefault="00010BF9">
            <w:pPr>
              <w:pStyle w:val="aff6"/>
              <w:topLinePunct/>
            </w:pPr>
            <w:r>
              <w:t>泄漏危险物质</w:t>
            </w:r>
          </w:p>
        </w:tc>
        <w:tc>
          <w:tcPr>
            <w:tcW w:w="924" w:type="pct"/>
            <w:gridSpan w:val="4"/>
            <w:vAlign w:val="center"/>
          </w:tcPr>
          <w:p w14:paraId="24C01201" w14:textId="77777777" w:rsidR="003E78AB" w:rsidRDefault="00010BF9">
            <w:pPr>
              <w:pStyle w:val="aff6"/>
              <w:topLinePunct/>
            </w:pPr>
            <w:r>
              <w:t>五氧化二钒</w:t>
            </w:r>
          </w:p>
        </w:tc>
        <w:tc>
          <w:tcPr>
            <w:tcW w:w="911" w:type="pct"/>
            <w:vAlign w:val="center"/>
          </w:tcPr>
          <w:p w14:paraId="777F875A" w14:textId="77777777" w:rsidR="003E78AB" w:rsidRDefault="00010BF9">
            <w:pPr>
              <w:pStyle w:val="aff6"/>
              <w:topLinePunct/>
            </w:pPr>
            <w:r>
              <w:t>最大存在量</w:t>
            </w:r>
            <w:r>
              <w:t>/kg</w:t>
            </w:r>
          </w:p>
        </w:tc>
        <w:tc>
          <w:tcPr>
            <w:tcW w:w="933" w:type="pct"/>
            <w:vAlign w:val="center"/>
          </w:tcPr>
          <w:p w14:paraId="72788379" w14:textId="77777777" w:rsidR="003E78AB" w:rsidRDefault="00010BF9">
            <w:pPr>
              <w:pStyle w:val="aff6"/>
              <w:topLinePunct/>
            </w:pPr>
            <w:r>
              <w:t>/</w:t>
            </w:r>
          </w:p>
        </w:tc>
        <w:tc>
          <w:tcPr>
            <w:tcW w:w="624" w:type="pct"/>
            <w:vAlign w:val="center"/>
          </w:tcPr>
          <w:p w14:paraId="1458BBDC" w14:textId="77777777" w:rsidR="003E78AB" w:rsidRDefault="00010BF9">
            <w:pPr>
              <w:pStyle w:val="aff6"/>
              <w:topLinePunct/>
            </w:pPr>
            <w:r>
              <w:t>泄漏孔</w:t>
            </w:r>
            <w:r>
              <w:t>/mm</w:t>
            </w:r>
          </w:p>
        </w:tc>
        <w:tc>
          <w:tcPr>
            <w:tcW w:w="791" w:type="pct"/>
            <w:vAlign w:val="center"/>
          </w:tcPr>
          <w:p w14:paraId="2B2BA6FD" w14:textId="77777777" w:rsidR="003E78AB" w:rsidRDefault="00010BF9">
            <w:pPr>
              <w:pStyle w:val="aff6"/>
              <w:topLinePunct/>
            </w:pPr>
            <w:r>
              <w:t>/</w:t>
            </w:r>
          </w:p>
        </w:tc>
      </w:tr>
      <w:tr w:rsidR="003E78AB" w14:paraId="59D64FB8" w14:textId="77777777">
        <w:trPr>
          <w:gridAfter w:val="1"/>
          <w:wAfter w:w="13" w:type="pct"/>
          <w:trHeight w:val="484"/>
        </w:trPr>
        <w:tc>
          <w:tcPr>
            <w:tcW w:w="800" w:type="pct"/>
            <w:gridSpan w:val="2"/>
            <w:vAlign w:val="center"/>
          </w:tcPr>
          <w:p w14:paraId="7A5D9297" w14:textId="77777777" w:rsidR="003E78AB" w:rsidRDefault="00010BF9">
            <w:pPr>
              <w:pStyle w:val="aff6"/>
              <w:topLinePunct/>
            </w:pPr>
            <w:r>
              <w:t>泄漏速率</w:t>
            </w:r>
          </w:p>
          <w:p w14:paraId="72CD91A8" w14:textId="77777777" w:rsidR="003E78AB" w:rsidRDefault="00010BF9">
            <w:pPr>
              <w:pStyle w:val="aff6"/>
              <w:topLinePunct/>
            </w:pPr>
            <w:r>
              <w:t>(kg/s)</w:t>
            </w:r>
          </w:p>
        </w:tc>
        <w:tc>
          <w:tcPr>
            <w:tcW w:w="924" w:type="pct"/>
            <w:gridSpan w:val="4"/>
            <w:vAlign w:val="center"/>
          </w:tcPr>
          <w:p w14:paraId="5359BBF6" w14:textId="77777777" w:rsidR="003E78AB" w:rsidRDefault="00010BF9">
            <w:pPr>
              <w:pStyle w:val="aff6"/>
              <w:topLinePunct/>
            </w:pPr>
            <w:r>
              <w:t>0.000870</w:t>
            </w:r>
          </w:p>
        </w:tc>
        <w:tc>
          <w:tcPr>
            <w:tcW w:w="911" w:type="pct"/>
            <w:vAlign w:val="center"/>
          </w:tcPr>
          <w:p w14:paraId="348CB5CB" w14:textId="77777777" w:rsidR="003E78AB" w:rsidRDefault="00010BF9">
            <w:pPr>
              <w:pStyle w:val="aff6"/>
              <w:topLinePunct/>
            </w:pPr>
            <w:r>
              <w:t>泄漏时间</w:t>
            </w:r>
            <w:r>
              <w:t>/min</w:t>
            </w:r>
          </w:p>
        </w:tc>
        <w:tc>
          <w:tcPr>
            <w:tcW w:w="933" w:type="pct"/>
            <w:vAlign w:val="center"/>
          </w:tcPr>
          <w:p w14:paraId="1526F607" w14:textId="77777777" w:rsidR="003E78AB" w:rsidRDefault="00010BF9">
            <w:pPr>
              <w:pStyle w:val="aff6"/>
              <w:topLinePunct/>
            </w:pPr>
            <w:r>
              <w:t>10</w:t>
            </w:r>
          </w:p>
        </w:tc>
        <w:tc>
          <w:tcPr>
            <w:tcW w:w="624" w:type="pct"/>
            <w:vAlign w:val="center"/>
          </w:tcPr>
          <w:p w14:paraId="12B936C0" w14:textId="77777777" w:rsidR="003E78AB" w:rsidRDefault="00010BF9">
            <w:pPr>
              <w:pStyle w:val="aff6"/>
              <w:topLinePunct/>
            </w:pPr>
            <w:r>
              <w:t>泄漏量</w:t>
            </w:r>
            <w:r>
              <w:t>/kg</w:t>
            </w:r>
          </w:p>
        </w:tc>
        <w:tc>
          <w:tcPr>
            <w:tcW w:w="791" w:type="pct"/>
            <w:vAlign w:val="center"/>
          </w:tcPr>
          <w:p w14:paraId="66760CCF" w14:textId="77777777" w:rsidR="003E78AB" w:rsidRDefault="00010BF9">
            <w:pPr>
              <w:pStyle w:val="aff6"/>
              <w:topLinePunct/>
            </w:pPr>
            <w:r>
              <w:t>0.52</w:t>
            </w:r>
          </w:p>
        </w:tc>
      </w:tr>
      <w:tr w:rsidR="003E78AB" w14:paraId="60A18A00" w14:textId="77777777">
        <w:trPr>
          <w:gridAfter w:val="1"/>
          <w:wAfter w:w="13" w:type="pct"/>
          <w:trHeight w:val="484"/>
        </w:trPr>
        <w:tc>
          <w:tcPr>
            <w:tcW w:w="800" w:type="pct"/>
            <w:gridSpan w:val="2"/>
            <w:vAlign w:val="center"/>
          </w:tcPr>
          <w:p w14:paraId="0DBD1C9D" w14:textId="77777777" w:rsidR="003E78AB" w:rsidRDefault="00010BF9">
            <w:pPr>
              <w:pStyle w:val="aff6"/>
              <w:topLinePunct/>
            </w:pPr>
            <w:r>
              <w:t>泄漏高度</w:t>
            </w:r>
            <w:r>
              <w:t>/m</w:t>
            </w:r>
          </w:p>
        </w:tc>
        <w:tc>
          <w:tcPr>
            <w:tcW w:w="924" w:type="pct"/>
            <w:gridSpan w:val="4"/>
            <w:vAlign w:val="center"/>
          </w:tcPr>
          <w:p w14:paraId="2AFF738D" w14:textId="77777777" w:rsidR="003E78AB" w:rsidRDefault="00010BF9">
            <w:pPr>
              <w:pStyle w:val="aff6"/>
              <w:topLinePunct/>
            </w:pPr>
            <w:r>
              <w:t>10</w:t>
            </w:r>
          </w:p>
        </w:tc>
        <w:tc>
          <w:tcPr>
            <w:tcW w:w="911" w:type="pct"/>
            <w:vAlign w:val="center"/>
          </w:tcPr>
          <w:p w14:paraId="2500AAC3" w14:textId="77777777" w:rsidR="003E78AB" w:rsidRDefault="00010BF9">
            <w:pPr>
              <w:pStyle w:val="aff6"/>
              <w:topLinePunct/>
            </w:pPr>
            <w:r>
              <w:t>泄漏液体蒸发量</w:t>
            </w:r>
            <w:r>
              <w:t>/kg</w:t>
            </w:r>
          </w:p>
        </w:tc>
        <w:tc>
          <w:tcPr>
            <w:tcW w:w="933" w:type="pct"/>
            <w:vAlign w:val="center"/>
          </w:tcPr>
          <w:p w14:paraId="25A3B9B5" w14:textId="77777777" w:rsidR="003E78AB" w:rsidRDefault="00010BF9">
            <w:pPr>
              <w:pStyle w:val="aff6"/>
              <w:topLinePunct/>
            </w:pPr>
            <w:r>
              <w:t>/</w:t>
            </w:r>
          </w:p>
        </w:tc>
        <w:tc>
          <w:tcPr>
            <w:tcW w:w="624" w:type="pct"/>
            <w:vAlign w:val="center"/>
          </w:tcPr>
          <w:p w14:paraId="15181771" w14:textId="77777777" w:rsidR="003E78AB" w:rsidRDefault="00010BF9">
            <w:pPr>
              <w:pStyle w:val="aff6"/>
              <w:topLinePunct/>
            </w:pPr>
            <w:r>
              <w:t>泄漏频率</w:t>
            </w:r>
          </w:p>
        </w:tc>
        <w:tc>
          <w:tcPr>
            <w:tcW w:w="791" w:type="pct"/>
            <w:vAlign w:val="center"/>
          </w:tcPr>
          <w:p w14:paraId="584816DA" w14:textId="77777777" w:rsidR="003E78AB" w:rsidRDefault="00010BF9">
            <w:pPr>
              <w:pStyle w:val="aff6"/>
              <w:topLinePunct/>
            </w:pPr>
            <w:r>
              <w:t>/</w:t>
            </w:r>
          </w:p>
        </w:tc>
      </w:tr>
      <w:tr w:rsidR="003E78AB" w14:paraId="06D7F5A3" w14:textId="77777777">
        <w:trPr>
          <w:gridAfter w:val="1"/>
          <w:wAfter w:w="13" w:type="pct"/>
          <w:trHeight w:val="484"/>
        </w:trPr>
        <w:tc>
          <w:tcPr>
            <w:tcW w:w="800" w:type="pct"/>
            <w:gridSpan w:val="2"/>
            <w:vAlign w:val="center"/>
          </w:tcPr>
          <w:p w14:paraId="303815EA" w14:textId="77777777" w:rsidR="003E78AB" w:rsidRDefault="00010BF9">
            <w:pPr>
              <w:pStyle w:val="aff6"/>
              <w:topLinePunct/>
            </w:pPr>
            <w:r>
              <w:t>代表性风险事故情形描述</w:t>
            </w:r>
          </w:p>
        </w:tc>
        <w:tc>
          <w:tcPr>
            <w:tcW w:w="4185" w:type="pct"/>
            <w:gridSpan w:val="8"/>
            <w:vAlign w:val="center"/>
          </w:tcPr>
          <w:p w14:paraId="72AD8BC5" w14:textId="77777777" w:rsidR="003E78AB" w:rsidRDefault="00010BF9">
            <w:pPr>
              <w:pStyle w:val="aff6"/>
              <w:topLinePunct/>
            </w:pPr>
            <w:r>
              <w:t>硫酸储罐</w:t>
            </w:r>
            <w:r>
              <w:rPr>
                <w:rFonts w:hint="eastAsia"/>
              </w:rPr>
              <w:t>泄漏</w:t>
            </w:r>
          </w:p>
        </w:tc>
      </w:tr>
      <w:tr w:rsidR="003E78AB" w14:paraId="3A8D5C61" w14:textId="77777777">
        <w:trPr>
          <w:gridAfter w:val="1"/>
          <w:wAfter w:w="13" w:type="pct"/>
          <w:trHeight w:val="244"/>
        </w:trPr>
        <w:tc>
          <w:tcPr>
            <w:tcW w:w="800" w:type="pct"/>
            <w:gridSpan w:val="2"/>
            <w:vAlign w:val="center"/>
          </w:tcPr>
          <w:p w14:paraId="25F72570" w14:textId="77777777" w:rsidR="003E78AB" w:rsidRDefault="00010BF9">
            <w:pPr>
              <w:pStyle w:val="aff6"/>
              <w:topLinePunct/>
            </w:pPr>
            <w:r>
              <w:t>环境风险类型</w:t>
            </w:r>
          </w:p>
        </w:tc>
        <w:tc>
          <w:tcPr>
            <w:tcW w:w="4185" w:type="pct"/>
            <w:gridSpan w:val="8"/>
            <w:vAlign w:val="center"/>
          </w:tcPr>
          <w:p w14:paraId="15640E82" w14:textId="77777777" w:rsidR="003E78AB" w:rsidRDefault="00010BF9">
            <w:pPr>
              <w:pStyle w:val="aff6"/>
              <w:topLinePunct/>
            </w:pPr>
            <w:r>
              <w:rPr>
                <w:rFonts w:hint="eastAsia"/>
              </w:rPr>
              <w:t>泄漏</w:t>
            </w:r>
          </w:p>
        </w:tc>
      </w:tr>
      <w:tr w:rsidR="003E78AB" w14:paraId="035A39C4" w14:textId="77777777">
        <w:trPr>
          <w:gridAfter w:val="1"/>
          <w:wAfter w:w="13" w:type="pct"/>
          <w:trHeight w:val="244"/>
        </w:trPr>
        <w:tc>
          <w:tcPr>
            <w:tcW w:w="800" w:type="pct"/>
            <w:gridSpan w:val="2"/>
            <w:vAlign w:val="center"/>
          </w:tcPr>
          <w:p w14:paraId="5C1DD632" w14:textId="77777777" w:rsidR="003E78AB" w:rsidRDefault="00010BF9">
            <w:pPr>
              <w:pStyle w:val="aff6"/>
              <w:topLinePunct/>
            </w:pPr>
            <w:r>
              <w:t>泄漏设备类型</w:t>
            </w:r>
          </w:p>
        </w:tc>
        <w:tc>
          <w:tcPr>
            <w:tcW w:w="924" w:type="pct"/>
            <w:gridSpan w:val="4"/>
            <w:vAlign w:val="center"/>
          </w:tcPr>
          <w:p w14:paraId="7FAF17A6" w14:textId="77777777" w:rsidR="003E78AB" w:rsidRDefault="00010BF9">
            <w:pPr>
              <w:pStyle w:val="aff6"/>
              <w:topLinePunct/>
            </w:pPr>
            <w:r>
              <w:t>硫酸储罐</w:t>
            </w:r>
          </w:p>
        </w:tc>
        <w:tc>
          <w:tcPr>
            <w:tcW w:w="911" w:type="pct"/>
            <w:vAlign w:val="center"/>
          </w:tcPr>
          <w:p w14:paraId="7B2B3330" w14:textId="77777777" w:rsidR="003E78AB" w:rsidRDefault="00010BF9">
            <w:pPr>
              <w:pStyle w:val="aff6"/>
              <w:topLinePunct/>
            </w:pPr>
            <w:r>
              <w:t>操作温度</w:t>
            </w:r>
            <w:r>
              <w:t>/℃</w:t>
            </w:r>
          </w:p>
        </w:tc>
        <w:tc>
          <w:tcPr>
            <w:tcW w:w="933" w:type="pct"/>
            <w:vAlign w:val="center"/>
          </w:tcPr>
          <w:p w14:paraId="4357AA41" w14:textId="77777777" w:rsidR="003E78AB" w:rsidRDefault="00010BF9">
            <w:pPr>
              <w:pStyle w:val="aff6"/>
              <w:topLinePunct/>
            </w:pPr>
            <w:r>
              <w:t>20</w:t>
            </w:r>
          </w:p>
        </w:tc>
        <w:tc>
          <w:tcPr>
            <w:tcW w:w="624" w:type="pct"/>
            <w:vAlign w:val="center"/>
          </w:tcPr>
          <w:p w14:paraId="152B5629" w14:textId="77777777" w:rsidR="003E78AB" w:rsidRDefault="00010BF9">
            <w:pPr>
              <w:pStyle w:val="aff6"/>
              <w:topLinePunct/>
            </w:pPr>
            <w:r>
              <w:t>操作</w:t>
            </w:r>
            <w:r>
              <w:t>/MPa</w:t>
            </w:r>
          </w:p>
        </w:tc>
        <w:tc>
          <w:tcPr>
            <w:tcW w:w="791" w:type="pct"/>
            <w:vAlign w:val="center"/>
          </w:tcPr>
          <w:p w14:paraId="3A950E81" w14:textId="77777777" w:rsidR="003E78AB" w:rsidRDefault="00010BF9">
            <w:pPr>
              <w:pStyle w:val="aff6"/>
              <w:topLinePunct/>
            </w:pPr>
            <w:r>
              <w:t>常压</w:t>
            </w:r>
          </w:p>
        </w:tc>
      </w:tr>
      <w:tr w:rsidR="003E78AB" w14:paraId="61335DCD" w14:textId="77777777">
        <w:trPr>
          <w:gridAfter w:val="1"/>
          <w:wAfter w:w="13" w:type="pct"/>
          <w:trHeight w:val="247"/>
        </w:trPr>
        <w:tc>
          <w:tcPr>
            <w:tcW w:w="800" w:type="pct"/>
            <w:gridSpan w:val="2"/>
            <w:vAlign w:val="center"/>
          </w:tcPr>
          <w:p w14:paraId="3766D1F2" w14:textId="77777777" w:rsidR="003E78AB" w:rsidRDefault="00010BF9">
            <w:pPr>
              <w:pStyle w:val="aff6"/>
              <w:topLinePunct/>
            </w:pPr>
            <w:r>
              <w:t>泄漏危险物质</w:t>
            </w:r>
          </w:p>
        </w:tc>
        <w:tc>
          <w:tcPr>
            <w:tcW w:w="924" w:type="pct"/>
            <w:gridSpan w:val="4"/>
            <w:vAlign w:val="center"/>
          </w:tcPr>
          <w:p w14:paraId="7E90FE29" w14:textId="77777777" w:rsidR="003E78AB" w:rsidRDefault="00010BF9">
            <w:pPr>
              <w:pStyle w:val="aff6"/>
              <w:topLinePunct/>
            </w:pPr>
            <w:r>
              <w:t>硫酸</w:t>
            </w:r>
          </w:p>
        </w:tc>
        <w:tc>
          <w:tcPr>
            <w:tcW w:w="911" w:type="pct"/>
            <w:vAlign w:val="center"/>
          </w:tcPr>
          <w:p w14:paraId="1B737584" w14:textId="77777777" w:rsidR="003E78AB" w:rsidRDefault="00010BF9">
            <w:pPr>
              <w:pStyle w:val="aff6"/>
              <w:topLinePunct/>
            </w:pPr>
            <w:r>
              <w:t>最大存在量</w:t>
            </w:r>
            <w:r>
              <w:t>/kg</w:t>
            </w:r>
          </w:p>
        </w:tc>
        <w:tc>
          <w:tcPr>
            <w:tcW w:w="933" w:type="pct"/>
            <w:vAlign w:val="center"/>
          </w:tcPr>
          <w:p w14:paraId="376FFDEE" w14:textId="77777777" w:rsidR="003E78AB" w:rsidRDefault="00010BF9">
            <w:pPr>
              <w:pStyle w:val="aff6"/>
              <w:topLinePunct/>
            </w:pPr>
            <w:r>
              <w:rPr>
                <w:rFonts w:hint="eastAsia"/>
              </w:rPr>
              <w:t>310400</w:t>
            </w:r>
          </w:p>
        </w:tc>
        <w:tc>
          <w:tcPr>
            <w:tcW w:w="624" w:type="pct"/>
            <w:vAlign w:val="center"/>
          </w:tcPr>
          <w:p w14:paraId="5E6D570B" w14:textId="77777777" w:rsidR="003E78AB" w:rsidRDefault="00010BF9">
            <w:pPr>
              <w:pStyle w:val="aff6"/>
              <w:topLinePunct/>
            </w:pPr>
            <w:r>
              <w:t>泄漏孔</w:t>
            </w:r>
            <w:r>
              <w:t>/mm</w:t>
            </w:r>
          </w:p>
        </w:tc>
        <w:tc>
          <w:tcPr>
            <w:tcW w:w="791" w:type="pct"/>
            <w:vAlign w:val="center"/>
          </w:tcPr>
          <w:p w14:paraId="23B13B0E" w14:textId="77777777" w:rsidR="003E78AB" w:rsidRDefault="00010BF9">
            <w:pPr>
              <w:pStyle w:val="aff6"/>
              <w:topLinePunct/>
            </w:pPr>
            <w:r>
              <w:t>10</w:t>
            </w:r>
          </w:p>
        </w:tc>
      </w:tr>
      <w:tr w:rsidR="003E78AB" w14:paraId="6C6AF398" w14:textId="77777777">
        <w:trPr>
          <w:gridAfter w:val="1"/>
          <w:wAfter w:w="13" w:type="pct"/>
          <w:trHeight w:val="484"/>
        </w:trPr>
        <w:tc>
          <w:tcPr>
            <w:tcW w:w="800" w:type="pct"/>
            <w:gridSpan w:val="2"/>
            <w:vAlign w:val="center"/>
          </w:tcPr>
          <w:p w14:paraId="0AA279E3" w14:textId="77777777" w:rsidR="003E78AB" w:rsidRDefault="00010BF9">
            <w:pPr>
              <w:pStyle w:val="aff6"/>
              <w:topLinePunct/>
            </w:pPr>
            <w:r>
              <w:t>泄漏速率</w:t>
            </w:r>
          </w:p>
          <w:p w14:paraId="162AA8F9" w14:textId="77777777" w:rsidR="003E78AB" w:rsidRDefault="00010BF9">
            <w:pPr>
              <w:pStyle w:val="aff6"/>
              <w:topLinePunct/>
            </w:pPr>
            <w:r>
              <w:t>(kg/s)</w:t>
            </w:r>
          </w:p>
        </w:tc>
        <w:tc>
          <w:tcPr>
            <w:tcW w:w="924" w:type="pct"/>
            <w:gridSpan w:val="4"/>
            <w:vAlign w:val="center"/>
          </w:tcPr>
          <w:p w14:paraId="7DA11213" w14:textId="77777777" w:rsidR="003E78AB" w:rsidRDefault="00010BF9">
            <w:pPr>
              <w:pStyle w:val="aff6"/>
              <w:topLinePunct/>
            </w:pPr>
            <w:r>
              <w:t>0.74</w:t>
            </w:r>
          </w:p>
        </w:tc>
        <w:tc>
          <w:tcPr>
            <w:tcW w:w="911" w:type="pct"/>
            <w:vAlign w:val="center"/>
          </w:tcPr>
          <w:p w14:paraId="273F56E5" w14:textId="77777777" w:rsidR="003E78AB" w:rsidRDefault="00010BF9">
            <w:pPr>
              <w:pStyle w:val="aff6"/>
              <w:topLinePunct/>
            </w:pPr>
            <w:r>
              <w:t>泄漏时间</w:t>
            </w:r>
            <w:r>
              <w:t>/min</w:t>
            </w:r>
          </w:p>
        </w:tc>
        <w:tc>
          <w:tcPr>
            <w:tcW w:w="933" w:type="pct"/>
            <w:vAlign w:val="center"/>
          </w:tcPr>
          <w:p w14:paraId="43F54990" w14:textId="77777777" w:rsidR="003E78AB" w:rsidRDefault="00010BF9">
            <w:pPr>
              <w:pStyle w:val="aff6"/>
              <w:topLinePunct/>
            </w:pPr>
            <w:r>
              <w:t>10</w:t>
            </w:r>
          </w:p>
        </w:tc>
        <w:tc>
          <w:tcPr>
            <w:tcW w:w="624" w:type="pct"/>
            <w:vAlign w:val="center"/>
          </w:tcPr>
          <w:p w14:paraId="3413DFE5" w14:textId="77777777" w:rsidR="003E78AB" w:rsidRDefault="00010BF9">
            <w:pPr>
              <w:pStyle w:val="aff6"/>
              <w:topLinePunct/>
            </w:pPr>
            <w:r>
              <w:t>泄漏量</w:t>
            </w:r>
            <w:r>
              <w:t>/kg</w:t>
            </w:r>
          </w:p>
        </w:tc>
        <w:tc>
          <w:tcPr>
            <w:tcW w:w="791" w:type="pct"/>
            <w:vAlign w:val="center"/>
          </w:tcPr>
          <w:p w14:paraId="79813213" w14:textId="77777777" w:rsidR="003E78AB" w:rsidRDefault="00010BF9">
            <w:pPr>
              <w:pStyle w:val="aff6"/>
              <w:topLinePunct/>
            </w:pPr>
            <w:r>
              <w:t>446.35</w:t>
            </w:r>
          </w:p>
        </w:tc>
      </w:tr>
      <w:tr w:rsidR="003E78AB" w14:paraId="3BE63372" w14:textId="77777777">
        <w:trPr>
          <w:gridAfter w:val="1"/>
          <w:wAfter w:w="13" w:type="pct"/>
          <w:trHeight w:val="492"/>
        </w:trPr>
        <w:tc>
          <w:tcPr>
            <w:tcW w:w="800" w:type="pct"/>
            <w:gridSpan w:val="2"/>
            <w:vAlign w:val="center"/>
          </w:tcPr>
          <w:p w14:paraId="5E0FEF40" w14:textId="77777777" w:rsidR="003E78AB" w:rsidRDefault="00010BF9">
            <w:pPr>
              <w:pStyle w:val="aff6"/>
              <w:topLinePunct/>
            </w:pPr>
            <w:r>
              <w:t>泄漏高度</w:t>
            </w:r>
            <w:r>
              <w:t>/m</w:t>
            </w:r>
          </w:p>
        </w:tc>
        <w:tc>
          <w:tcPr>
            <w:tcW w:w="924" w:type="pct"/>
            <w:gridSpan w:val="4"/>
            <w:vAlign w:val="center"/>
          </w:tcPr>
          <w:p w14:paraId="245A4CC8" w14:textId="77777777" w:rsidR="003E78AB" w:rsidRDefault="00010BF9">
            <w:pPr>
              <w:pStyle w:val="aff6"/>
              <w:topLinePunct/>
            </w:pPr>
            <w:r>
              <w:t>3.2</w:t>
            </w:r>
          </w:p>
        </w:tc>
        <w:tc>
          <w:tcPr>
            <w:tcW w:w="911" w:type="pct"/>
            <w:vAlign w:val="center"/>
          </w:tcPr>
          <w:p w14:paraId="37406907" w14:textId="77777777" w:rsidR="003E78AB" w:rsidRDefault="00010BF9">
            <w:pPr>
              <w:pStyle w:val="aff6"/>
              <w:topLinePunct/>
            </w:pPr>
            <w:r>
              <w:t>泄漏液体蒸发量</w:t>
            </w:r>
            <w:r>
              <w:t>/kg</w:t>
            </w:r>
          </w:p>
        </w:tc>
        <w:tc>
          <w:tcPr>
            <w:tcW w:w="933" w:type="pct"/>
            <w:vAlign w:val="center"/>
          </w:tcPr>
          <w:p w14:paraId="3D09F940" w14:textId="77777777" w:rsidR="003E78AB" w:rsidRDefault="00010BF9">
            <w:pPr>
              <w:pStyle w:val="aff6"/>
              <w:topLinePunct/>
            </w:pPr>
            <w:r>
              <w:t>1.14E-041.15E-04</w:t>
            </w:r>
          </w:p>
        </w:tc>
        <w:tc>
          <w:tcPr>
            <w:tcW w:w="624" w:type="pct"/>
            <w:vAlign w:val="center"/>
          </w:tcPr>
          <w:p w14:paraId="42ABDF92" w14:textId="77777777" w:rsidR="003E78AB" w:rsidRDefault="00010BF9">
            <w:pPr>
              <w:pStyle w:val="aff6"/>
              <w:topLinePunct/>
            </w:pPr>
            <w:r>
              <w:t>泄漏频率</w:t>
            </w:r>
          </w:p>
        </w:tc>
        <w:tc>
          <w:tcPr>
            <w:tcW w:w="791" w:type="pct"/>
            <w:vAlign w:val="center"/>
          </w:tcPr>
          <w:p w14:paraId="56ACBD47" w14:textId="77777777" w:rsidR="003E78AB" w:rsidRDefault="00010BF9">
            <w:pPr>
              <w:pStyle w:val="aff6"/>
              <w:topLinePunct/>
            </w:pPr>
            <w:r>
              <w:t>1.0×10</w:t>
            </w:r>
            <w:r>
              <w:rPr>
                <w:vertAlign w:val="superscript"/>
              </w:rPr>
              <w:t>-4</w:t>
            </w:r>
            <w:r>
              <w:rPr>
                <w:vertAlign w:val="subscript"/>
              </w:rPr>
              <w:t>/</w:t>
            </w:r>
            <w:r>
              <w:t>a</w:t>
            </w:r>
          </w:p>
        </w:tc>
      </w:tr>
      <w:tr w:rsidR="003E78AB" w14:paraId="6DF5375F" w14:textId="77777777">
        <w:trPr>
          <w:trHeight w:val="249"/>
        </w:trPr>
        <w:tc>
          <w:tcPr>
            <w:tcW w:w="5000" w:type="pct"/>
            <w:gridSpan w:val="11"/>
            <w:vAlign w:val="center"/>
          </w:tcPr>
          <w:p w14:paraId="0950706A" w14:textId="77777777" w:rsidR="003E78AB" w:rsidRDefault="00010BF9">
            <w:pPr>
              <w:pStyle w:val="aff6"/>
              <w:topLinePunct/>
            </w:pPr>
            <w:r>
              <w:t>事故后果预测</w:t>
            </w:r>
          </w:p>
        </w:tc>
      </w:tr>
      <w:tr w:rsidR="003E78AB" w14:paraId="21C892A4" w14:textId="77777777">
        <w:trPr>
          <w:trHeight w:val="249"/>
        </w:trPr>
        <w:tc>
          <w:tcPr>
            <w:tcW w:w="250" w:type="pct"/>
            <w:vMerge w:val="restart"/>
            <w:vAlign w:val="center"/>
          </w:tcPr>
          <w:p w14:paraId="735A1F6F" w14:textId="77777777" w:rsidR="003E78AB" w:rsidRDefault="00010BF9">
            <w:pPr>
              <w:pStyle w:val="aff6"/>
              <w:topLinePunct/>
            </w:pPr>
            <w:r>
              <w:t>大</w:t>
            </w:r>
          </w:p>
          <w:p w14:paraId="6374E321" w14:textId="77777777" w:rsidR="003E78AB" w:rsidRDefault="00010BF9">
            <w:pPr>
              <w:pStyle w:val="aff6"/>
              <w:topLinePunct/>
            </w:pPr>
            <w:r>
              <w:t>气</w:t>
            </w:r>
          </w:p>
        </w:tc>
        <w:tc>
          <w:tcPr>
            <w:tcW w:w="596" w:type="pct"/>
            <w:gridSpan w:val="2"/>
            <w:vAlign w:val="center"/>
          </w:tcPr>
          <w:p w14:paraId="163A41EE" w14:textId="77777777" w:rsidR="003E78AB" w:rsidRDefault="00010BF9">
            <w:pPr>
              <w:pStyle w:val="aff6"/>
              <w:topLinePunct/>
            </w:pPr>
            <w:r>
              <w:t>危险物质</w:t>
            </w:r>
          </w:p>
        </w:tc>
        <w:tc>
          <w:tcPr>
            <w:tcW w:w="4152" w:type="pct"/>
            <w:gridSpan w:val="8"/>
            <w:vAlign w:val="center"/>
          </w:tcPr>
          <w:p w14:paraId="5400123D" w14:textId="77777777" w:rsidR="003E78AB" w:rsidRDefault="00010BF9">
            <w:pPr>
              <w:pStyle w:val="aff6"/>
              <w:topLinePunct/>
            </w:pPr>
            <w:r>
              <w:t>大气环境影响</w:t>
            </w:r>
          </w:p>
        </w:tc>
      </w:tr>
      <w:tr w:rsidR="003E78AB" w14:paraId="240D407D" w14:textId="77777777">
        <w:trPr>
          <w:trHeight w:val="487"/>
        </w:trPr>
        <w:tc>
          <w:tcPr>
            <w:tcW w:w="250" w:type="pct"/>
            <w:vMerge/>
            <w:vAlign w:val="center"/>
          </w:tcPr>
          <w:p w14:paraId="26AE674F" w14:textId="77777777" w:rsidR="003E78AB" w:rsidRDefault="003E78AB">
            <w:pPr>
              <w:pStyle w:val="aff6"/>
              <w:topLinePunct/>
            </w:pPr>
          </w:p>
        </w:tc>
        <w:tc>
          <w:tcPr>
            <w:tcW w:w="596" w:type="pct"/>
            <w:gridSpan w:val="2"/>
            <w:vMerge w:val="restart"/>
            <w:vAlign w:val="center"/>
          </w:tcPr>
          <w:p w14:paraId="0BBE115A" w14:textId="77777777" w:rsidR="003E78AB" w:rsidRDefault="00010BF9">
            <w:pPr>
              <w:pStyle w:val="aff6"/>
              <w:topLinePunct/>
            </w:pPr>
            <w:r>
              <w:t>五氧化二钒</w:t>
            </w:r>
          </w:p>
        </w:tc>
        <w:tc>
          <w:tcPr>
            <w:tcW w:w="1788" w:type="pct"/>
            <w:gridSpan w:val="4"/>
            <w:vAlign w:val="center"/>
          </w:tcPr>
          <w:p w14:paraId="15AC6065" w14:textId="77777777" w:rsidR="003E78AB" w:rsidRDefault="00010BF9">
            <w:pPr>
              <w:pStyle w:val="aff6"/>
              <w:topLinePunct/>
            </w:pPr>
            <w:r>
              <w:t>指标</w:t>
            </w:r>
          </w:p>
        </w:tc>
        <w:tc>
          <w:tcPr>
            <w:tcW w:w="933" w:type="pct"/>
            <w:vAlign w:val="center"/>
          </w:tcPr>
          <w:p w14:paraId="10FACD19" w14:textId="77777777" w:rsidR="003E78AB" w:rsidRDefault="00010BF9">
            <w:pPr>
              <w:pStyle w:val="aff6"/>
              <w:topLinePunct/>
            </w:pPr>
            <w:r>
              <w:t>浓度值</w:t>
            </w:r>
            <w:r>
              <w:t>/(mg/m</w:t>
            </w:r>
            <w:r>
              <w:rPr>
                <w:vertAlign w:val="superscript"/>
              </w:rPr>
              <w:t>3</w:t>
            </w:r>
            <w:r>
              <w:t>)</w:t>
            </w:r>
          </w:p>
        </w:tc>
        <w:tc>
          <w:tcPr>
            <w:tcW w:w="624" w:type="pct"/>
            <w:vAlign w:val="center"/>
          </w:tcPr>
          <w:p w14:paraId="009AF9B9" w14:textId="77777777" w:rsidR="003E78AB" w:rsidRDefault="00010BF9">
            <w:pPr>
              <w:pStyle w:val="aff6"/>
              <w:topLinePunct/>
            </w:pPr>
            <w:r>
              <w:t>最远影响距离</w:t>
            </w:r>
            <w:r>
              <w:t>/m</w:t>
            </w:r>
          </w:p>
        </w:tc>
        <w:tc>
          <w:tcPr>
            <w:tcW w:w="805" w:type="pct"/>
            <w:gridSpan w:val="2"/>
            <w:vAlign w:val="center"/>
          </w:tcPr>
          <w:p w14:paraId="546AE62D" w14:textId="77777777" w:rsidR="003E78AB" w:rsidRDefault="00010BF9">
            <w:pPr>
              <w:pStyle w:val="aff6"/>
              <w:topLinePunct/>
            </w:pPr>
            <w:r>
              <w:t>到达时刻</w:t>
            </w:r>
            <w:r>
              <w:t>/min</w:t>
            </w:r>
          </w:p>
        </w:tc>
      </w:tr>
      <w:tr w:rsidR="003E78AB" w14:paraId="1042052A" w14:textId="77777777">
        <w:trPr>
          <w:trHeight w:val="244"/>
        </w:trPr>
        <w:tc>
          <w:tcPr>
            <w:tcW w:w="250" w:type="pct"/>
            <w:vMerge/>
            <w:vAlign w:val="center"/>
          </w:tcPr>
          <w:p w14:paraId="2B6FCF2E" w14:textId="77777777" w:rsidR="003E78AB" w:rsidRDefault="003E78AB">
            <w:pPr>
              <w:pStyle w:val="aff6"/>
              <w:topLinePunct/>
            </w:pPr>
          </w:p>
        </w:tc>
        <w:tc>
          <w:tcPr>
            <w:tcW w:w="596" w:type="pct"/>
            <w:gridSpan w:val="2"/>
            <w:vMerge/>
            <w:vAlign w:val="center"/>
          </w:tcPr>
          <w:p w14:paraId="7B6BF465" w14:textId="77777777" w:rsidR="003E78AB" w:rsidRDefault="003E78AB">
            <w:pPr>
              <w:pStyle w:val="aff6"/>
              <w:topLinePunct/>
            </w:pPr>
          </w:p>
        </w:tc>
        <w:tc>
          <w:tcPr>
            <w:tcW w:w="486" w:type="pct"/>
            <w:gridSpan w:val="2"/>
            <w:vMerge w:val="restart"/>
            <w:vAlign w:val="center"/>
          </w:tcPr>
          <w:p w14:paraId="778BBAFA" w14:textId="77777777" w:rsidR="003E78AB" w:rsidRDefault="00010BF9">
            <w:pPr>
              <w:pStyle w:val="aff6"/>
              <w:topLinePunct/>
            </w:pPr>
            <w:r>
              <w:t>最不利</w:t>
            </w:r>
          </w:p>
        </w:tc>
        <w:tc>
          <w:tcPr>
            <w:tcW w:w="1302" w:type="pct"/>
            <w:gridSpan w:val="2"/>
            <w:vAlign w:val="center"/>
          </w:tcPr>
          <w:p w14:paraId="4691056D" w14:textId="77777777" w:rsidR="003E78AB" w:rsidRDefault="00010BF9">
            <w:pPr>
              <w:pStyle w:val="aff6"/>
              <w:topLinePunct/>
            </w:pPr>
            <w:r>
              <w:t>大气毒性终点浓度</w:t>
            </w:r>
            <w:r>
              <w:t>-1</w:t>
            </w:r>
          </w:p>
        </w:tc>
        <w:tc>
          <w:tcPr>
            <w:tcW w:w="933" w:type="pct"/>
            <w:vAlign w:val="center"/>
          </w:tcPr>
          <w:p w14:paraId="448A0322" w14:textId="77777777" w:rsidR="003E78AB" w:rsidRDefault="00010BF9">
            <w:pPr>
              <w:pStyle w:val="aff6"/>
              <w:topLinePunct/>
            </w:pPr>
            <w:r>
              <w:t>70</w:t>
            </w:r>
          </w:p>
        </w:tc>
        <w:tc>
          <w:tcPr>
            <w:tcW w:w="624" w:type="pct"/>
            <w:vAlign w:val="center"/>
          </w:tcPr>
          <w:p w14:paraId="7DA715B3" w14:textId="77777777" w:rsidR="003E78AB" w:rsidRDefault="00010BF9">
            <w:pPr>
              <w:pStyle w:val="aff6"/>
              <w:topLinePunct/>
            </w:pPr>
            <w:r>
              <w:t>/</w:t>
            </w:r>
          </w:p>
        </w:tc>
        <w:tc>
          <w:tcPr>
            <w:tcW w:w="805" w:type="pct"/>
            <w:gridSpan w:val="2"/>
            <w:vAlign w:val="center"/>
          </w:tcPr>
          <w:p w14:paraId="0DF878E1" w14:textId="77777777" w:rsidR="003E78AB" w:rsidRDefault="00010BF9">
            <w:pPr>
              <w:pStyle w:val="aff6"/>
              <w:topLinePunct/>
            </w:pPr>
            <w:r>
              <w:t>/</w:t>
            </w:r>
          </w:p>
        </w:tc>
      </w:tr>
      <w:tr w:rsidR="003E78AB" w14:paraId="0F57B703" w14:textId="77777777">
        <w:trPr>
          <w:trHeight w:val="244"/>
        </w:trPr>
        <w:tc>
          <w:tcPr>
            <w:tcW w:w="250" w:type="pct"/>
            <w:vMerge/>
            <w:vAlign w:val="center"/>
          </w:tcPr>
          <w:p w14:paraId="4FCCE34A" w14:textId="77777777" w:rsidR="003E78AB" w:rsidRDefault="003E78AB">
            <w:pPr>
              <w:pStyle w:val="aff6"/>
              <w:topLinePunct/>
            </w:pPr>
          </w:p>
        </w:tc>
        <w:tc>
          <w:tcPr>
            <w:tcW w:w="596" w:type="pct"/>
            <w:gridSpan w:val="2"/>
            <w:vMerge/>
            <w:vAlign w:val="center"/>
          </w:tcPr>
          <w:p w14:paraId="02386F38" w14:textId="77777777" w:rsidR="003E78AB" w:rsidRDefault="003E78AB">
            <w:pPr>
              <w:pStyle w:val="aff6"/>
              <w:topLinePunct/>
            </w:pPr>
          </w:p>
        </w:tc>
        <w:tc>
          <w:tcPr>
            <w:tcW w:w="486" w:type="pct"/>
            <w:gridSpan w:val="2"/>
            <w:vMerge/>
            <w:vAlign w:val="center"/>
          </w:tcPr>
          <w:p w14:paraId="4A0F68F2" w14:textId="77777777" w:rsidR="003E78AB" w:rsidRDefault="003E78AB">
            <w:pPr>
              <w:pStyle w:val="aff6"/>
              <w:topLinePunct/>
            </w:pPr>
          </w:p>
        </w:tc>
        <w:tc>
          <w:tcPr>
            <w:tcW w:w="1302" w:type="pct"/>
            <w:gridSpan w:val="2"/>
            <w:vAlign w:val="center"/>
          </w:tcPr>
          <w:p w14:paraId="4C39EF32" w14:textId="77777777" w:rsidR="003E78AB" w:rsidRDefault="00010BF9">
            <w:pPr>
              <w:pStyle w:val="aff6"/>
              <w:topLinePunct/>
            </w:pPr>
            <w:r>
              <w:t>大气毒性终点浓度</w:t>
            </w:r>
            <w:r>
              <w:t>-2</w:t>
            </w:r>
          </w:p>
        </w:tc>
        <w:tc>
          <w:tcPr>
            <w:tcW w:w="933" w:type="pct"/>
            <w:vAlign w:val="center"/>
          </w:tcPr>
          <w:p w14:paraId="659A357E" w14:textId="77777777" w:rsidR="003E78AB" w:rsidRDefault="00010BF9">
            <w:pPr>
              <w:pStyle w:val="aff6"/>
              <w:topLinePunct/>
            </w:pPr>
            <w:r>
              <w:t>7</w:t>
            </w:r>
          </w:p>
        </w:tc>
        <w:tc>
          <w:tcPr>
            <w:tcW w:w="624" w:type="pct"/>
            <w:vAlign w:val="center"/>
          </w:tcPr>
          <w:p w14:paraId="680304ED" w14:textId="77777777" w:rsidR="003E78AB" w:rsidRDefault="00010BF9">
            <w:pPr>
              <w:pStyle w:val="aff6"/>
              <w:topLinePunct/>
            </w:pPr>
            <w:r>
              <w:t>/</w:t>
            </w:r>
          </w:p>
        </w:tc>
        <w:tc>
          <w:tcPr>
            <w:tcW w:w="805" w:type="pct"/>
            <w:gridSpan w:val="2"/>
            <w:vAlign w:val="center"/>
          </w:tcPr>
          <w:p w14:paraId="56E0F65A" w14:textId="77777777" w:rsidR="003E78AB" w:rsidRDefault="00010BF9">
            <w:pPr>
              <w:pStyle w:val="aff6"/>
              <w:topLinePunct/>
            </w:pPr>
            <w:r>
              <w:t>/</w:t>
            </w:r>
          </w:p>
        </w:tc>
      </w:tr>
      <w:tr w:rsidR="003E78AB" w14:paraId="0167EFCF" w14:textId="77777777">
        <w:trPr>
          <w:trHeight w:val="244"/>
        </w:trPr>
        <w:tc>
          <w:tcPr>
            <w:tcW w:w="250" w:type="pct"/>
            <w:vMerge/>
            <w:vAlign w:val="center"/>
          </w:tcPr>
          <w:p w14:paraId="3314992D" w14:textId="77777777" w:rsidR="003E78AB" w:rsidRDefault="003E78AB">
            <w:pPr>
              <w:pStyle w:val="aff6"/>
              <w:topLinePunct/>
            </w:pPr>
          </w:p>
        </w:tc>
        <w:tc>
          <w:tcPr>
            <w:tcW w:w="596" w:type="pct"/>
            <w:gridSpan w:val="2"/>
            <w:vMerge/>
            <w:vAlign w:val="center"/>
          </w:tcPr>
          <w:p w14:paraId="384517D5" w14:textId="77777777" w:rsidR="003E78AB" w:rsidRDefault="003E78AB">
            <w:pPr>
              <w:pStyle w:val="aff6"/>
              <w:topLinePunct/>
            </w:pPr>
          </w:p>
        </w:tc>
        <w:tc>
          <w:tcPr>
            <w:tcW w:w="486" w:type="pct"/>
            <w:gridSpan w:val="2"/>
            <w:vMerge w:val="restart"/>
            <w:vAlign w:val="center"/>
          </w:tcPr>
          <w:p w14:paraId="4DB020F7" w14:textId="77777777" w:rsidR="003E78AB" w:rsidRDefault="00010BF9">
            <w:pPr>
              <w:pStyle w:val="aff6"/>
              <w:topLinePunct/>
            </w:pPr>
            <w:r>
              <w:t>最常见</w:t>
            </w:r>
          </w:p>
        </w:tc>
        <w:tc>
          <w:tcPr>
            <w:tcW w:w="1302" w:type="pct"/>
            <w:gridSpan w:val="2"/>
            <w:vAlign w:val="center"/>
          </w:tcPr>
          <w:p w14:paraId="78ED94B8" w14:textId="77777777" w:rsidR="003E78AB" w:rsidRDefault="00010BF9">
            <w:pPr>
              <w:pStyle w:val="aff6"/>
              <w:topLinePunct/>
            </w:pPr>
            <w:r>
              <w:t>大气毒性终点浓度</w:t>
            </w:r>
            <w:r>
              <w:t>-1</w:t>
            </w:r>
          </w:p>
        </w:tc>
        <w:tc>
          <w:tcPr>
            <w:tcW w:w="933" w:type="pct"/>
            <w:vAlign w:val="center"/>
          </w:tcPr>
          <w:p w14:paraId="4D6F53C0" w14:textId="77777777" w:rsidR="003E78AB" w:rsidRDefault="00010BF9">
            <w:pPr>
              <w:pStyle w:val="aff6"/>
              <w:topLinePunct/>
            </w:pPr>
            <w:r>
              <w:t>70</w:t>
            </w:r>
          </w:p>
        </w:tc>
        <w:tc>
          <w:tcPr>
            <w:tcW w:w="624" w:type="pct"/>
            <w:vAlign w:val="center"/>
          </w:tcPr>
          <w:p w14:paraId="42ECBECC" w14:textId="77777777" w:rsidR="003E78AB" w:rsidRDefault="00010BF9">
            <w:pPr>
              <w:pStyle w:val="aff6"/>
              <w:topLinePunct/>
            </w:pPr>
            <w:r>
              <w:t>/</w:t>
            </w:r>
          </w:p>
        </w:tc>
        <w:tc>
          <w:tcPr>
            <w:tcW w:w="805" w:type="pct"/>
            <w:gridSpan w:val="2"/>
            <w:vAlign w:val="center"/>
          </w:tcPr>
          <w:p w14:paraId="0F606DFB" w14:textId="77777777" w:rsidR="003E78AB" w:rsidRDefault="00010BF9">
            <w:pPr>
              <w:pStyle w:val="aff6"/>
              <w:topLinePunct/>
            </w:pPr>
            <w:r>
              <w:t>/</w:t>
            </w:r>
          </w:p>
        </w:tc>
      </w:tr>
      <w:tr w:rsidR="003E78AB" w14:paraId="675F094E" w14:textId="77777777">
        <w:trPr>
          <w:trHeight w:val="244"/>
        </w:trPr>
        <w:tc>
          <w:tcPr>
            <w:tcW w:w="250" w:type="pct"/>
            <w:vMerge/>
            <w:vAlign w:val="center"/>
          </w:tcPr>
          <w:p w14:paraId="0B677F77" w14:textId="77777777" w:rsidR="003E78AB" w:rsidRDefault="003E78AB">
            <w:pPr>
              <w:pStyle w:val="aff6"/>
              <w:topLinePunct/>
            </w:pPr>
          </w:p>
        </w:tc>
        <w:tc>
          <w:tcPr>
            <w:tcW w:w="596" w:type="pct"/>
            <w:gridSpan w:val="2"/>
            <w:vMerge/>
            <w:vAlign w:val="center"/>
          </w:tcPr>
          <w:p w14:paraId="1C91B29A" w14:textId="77777777" w:rsidR="003E78AB" w:rsidRDefault="003E78AB">
            <w:pPr>
              <w:pStyle w:val="aff6"/>
              <w:topLinePunct/>
            </w:pPr>
          </w:p>
        </w:tc>
        <w:tc>
          <w:tcPr>
            <w:tcW w:w="486" w:type="pct"/>
            <w:gridSpan w:val="2"/>
            <w:vMerge/>
            <w:vAlign w:val="center"/>
          </w:tcPr>
          <w:p w14:paraId="1C7D9008" w14:textId="77777777" w:rsidR="003E78AB" w:rsidRDefault="003E78AB">
            <w:pPr>
              <w:pStyle w:val="aff6"/>
              <w:topLinePunct/>
            </w:pPr>
          </w:p>
        </w:tc>
        <w:tc>
          <w:tcPr>
            <w:tcW w:w="1302" w:type="pct"/>
            <w:gridSpan w:val="2"/>
            <w:vAlign w:val="center"/>
          </w:tcPr>
          <w:p w14:paraId="180B4914" w14:textId="77777777" w:rsidR="003E78AB" w:rsidRDefault="00010BF9">
            <w:pPr>
              <w:pStyle w:val="aff6"/>
              <w:topLinePunct/>
            </w:pPr>
            <w:r>
              <w:t>大气毒性终点浓度</w:t>
            </w:r>
            <w:r>
              <w:t>-2</w:t>
            </w:r>
          </w:p>
        </w:tc>
        <w:tc>
          <w:tcPr>
            <w:tcW w:w="933" w:type="pct"/>
            <w:vAlign w:val="center"/>
          </w:tcPr>
          <w:p w14:paraId="03FF4F03" w14:textId="77777777" w:rsidR="003E78AB" w:rsidRDefault="00010BF9">
            <w:pPr>
              <w:pStyle w:val="aff6"/>
              <w:topLinePunct/>
            </w:pPr>
            <w:r>
              <w:t>7</w:t>
            </w:r>
          </w:p>
        </w:tc>
        <w:tc>
          <w:tcPr>
            <w:tcW w:w="624" w:type="pct"/>
            <w:vAlign w:val="center"/>
          </w:tcPr>
          <w:p w14:paraId="7486CD89" w14:textId="77777777" w:rsidR="003E78AB" w:rsidRDefault="00010BF9">
            <w:pPr>
              <w:pStyle w:val="aff6"/>
              <w:topLinePunct/>
            </w:pPr>
            <w:r>
              <w:t>/</w:t>
            </w:r>
          </w:p>
        </w:tc>
        <w:tc>
          <w:tcPr>
            <w:tcW w:w="805" w:type="pct"/>
            <w:gridSpan w:val="2"/>
            <w:vAlign w:val="center"/>
          </w:tcPr>
          <w:p w14:paraId="7288061A" w14:textId="77777777" w:rsidR="003E78AB" w:rsidRDefault="00010BF9">
            <w:pPr>
              <w:pStyle w:val="aff6"/>
              <w:topLinePunct/>
            </w:pPr>
            <w:r>
              <w:t>/</w:t>
            </w:r>
          </w:p>
        </w:tc>
      </w:tr>
      <w:tr w:rsidR="003E78AB" w14:paraId="411BFCB8" w14:textId="77777777">
        <w:trPr>
          <w:trHeight w:val="484"/>
        </w:trPr>
        <w:tc>
          <w:tcPr>
            <w:tcW w:w="250" w:type="pct"/>
            <w:vMerge/>
            <w:vAlign w:val="center"/>
          </w:tcPr>
          <w:p w14:paraId="43F4EAE6" w14:textId="77777777" w:rsidR="003E78AB" w:rsidRDefault="003E78AB">
            <w:pPr>
              <w:pStyle w:val="aff6"/>
              <w:topLinePunct/>
            </w:pPr>
          </w:p>
        </w:tc>
        <w:tc>
          <w:tcPr>
            <w:tcW w:w="596" w:type="pct"/>
            <w:gridSpan w:val="2"/>
            <w:vMerge/>
            <w:vAlign w:val="center"/>
          </w:tcPr>
          <w:p w14:paraId="25E4532C" w14:textId="77777777" w:rsidR="003E78AB" w:rsidRDefault="003E78AB">
            <w:pPr>
              <w:pStyle w:val="aff6"/>
              <w:topLinePunct/>
            </w:pPr>
          </w:p>
        </w:tc>
        <w:tc>
          <w:tcPr>
            <w:tcW w:w="1788" w:type="pct"/>
            <w:gridSpan w:val="4"/>
            <w:vAlign w:val="center"/>
          </w:tcPr>
          <w:p w14:paraId="43577BC0" w14:textId="77777777" w:rsidR="003E78AB" w:rsidRDefault="00010BF9">
            <w:pPr>
              <w:pStyle w:val="aff6"/>
              <w:topLinePunct/>
            </w:pPr>
            <w:r>
              <w:t>敏感目标名称</w:t>
            </w:r>
          </w:p>
        </w:tc>
        <w:tc>
          <w:tcPr>
            <w:tcW w:w="933" w:type="pct"/>
            <w:vAlign w:val="center"/>
          </w:tcPr>
          <w:p w14:paraId="0E335A82" w14:textId="77777777" w:rsidR="003E78AB" w:rsidRDefault="00010BF9">
            <w:pPr>
              <w:pStyle w:val="aff6"/>
              <w:topLinePunct/>
            </w:pPr>
            <w:r>
              <w:t>超标时间</w:t>
            </w:r>
            <w:r>
              <w:t>/min</w:t>
            </w:r>
          </w:p>
        </w:tc>
        <w:tc>
          <w:tcPr>
            <w:tcW w:w="624" w:type="pct"/>
            <w:vAlign w:val="center"/>
          </w:tcPr>
          <w:p w14:paraId="6323D3F6" w14:textId="77777777" w:rsidR="003E78AB" w:rsidRDefault="00010BF9">
            <w:pPr>
              <w:pStyle w:val="aff6"/>
              <w:topLinePunct/>
            </w:pPr>
            <w:r>
              <w:t>超标持续时间</w:t>
            </w:r>
            <w:r>
              <w:t>/min</w:t>
            </w:r>
          </w:p>
        </w:tc>
        <w:tc>
          <w:tcPr>
            <w:tcW w:w="805" w:type="pct"/>
            <w:gridSpan w:val="2"/>
            <w:vAlign w:val="center"/>
          </w:tcPr>
          <w:p w14:paraId="7087810C" w14:textId="77777777" w:rsidR="003E78AB" w:rsidRDefault="00010BF9">
            <w:pPr>
              <w:pStyle w:val="aff6"/>
              <w:topLinePunct/>
            </w:pPr>
            <w:r>
              <w:t>最大浓度</w:t>
            </w:r>
          </w:p>
          <w:p w14:paraId="196E8CCB" w14:textId="77777777" w:rsidR="003E78AB" w:rsidRDefault="00010BF9">
            <w:pPr>
              <w:pStyle w:val="aff6"/>
              <w:topLinePunct/>
            </w:pPr>
            <w:r>
              <w:t>mg/m3</w:t>
            </w:r>
          </w:p>
        </w:tc>
      </w:tr>
      <w:tr w:rsidR="003E78AB" w14:paraId="5CC24C6F" w14:textId="77777777">
        <w:trPr>
          <w:trHeight w:val="247"/>
        </w:trPr>
        <w:tc>
          <w:tcPr>
            <w:tcW w:w="250" w:type="pct"/>
            <w:vMerge/>
            <w:vAlign w:val="center"/>
          </w:tcPr>
          <w:p w14:paraId="69BB08CA" w14:textId="77777777" w:rsidR="003E78AB" w:rsidRDefault="003E78AB">
            <w:pPr>
              <w:pStyle w:val="aff6"/>
              <w:topLinePunct/>
            </w:pPr>
          </w:p>
        </w:tc>
        <w:tc>
          <w:tcPr>
            <w:tcW w:w="596" w:type="pct"/>
            <w:gridSpan w:val="2"/>
            <w:vMerge/>
            <w:vAlign w:val="center"/>
          </w:tcPr>
          <w:p w14:paraId="474D2771" w14:textId="77777777" w:rsidR="003E78AB" w:rsidRDefault="003E78AB">
            <w:pPr>
              <w:pStyle w:val="aff6"/>
              <w:topLinePunct/>
            </w:pPr>
          </w:p>
        </w:tc>
        <w:tc>
          <w:tcPr>
            <w:tcW w:w="1788" w:type="pct"/>
            <w:gridSpan w:val="4"/>
            <w:vAlign w:val="center"/>
          </w:tcPr>
          <w:p w14:paraId="75EEEFC4" w14:textId="77777777" w:rsidR="003E78AB" w:rsidRDefault="00010BF9">
            <w:pPr>
              <w:pStyle w:val="aff6"/>
              <w:topLinePunct/>
            </w:pPr>
            <w:r>
              <w:t>/</w:t>
            </w:r>
          </w:p>
        </w:tc>
        <w:tc>
          <w:tcPr>
            <w:tcW w:w="933" w:type="pct"/>
            <w:vAlign w:val="center"/>
          </w:tcPr>
          <w:p w14:paraId="6A712A9C" w14:textId="77777777" w:rsidR="003E78AB" w:rsidRDefault="00010BF9">
            <w:pPr>
              <w:pStyle w:val="aff6"/>
              <w:topLinePunct/>
            </w:pPr>
            <w:r>
              <w:t>/</w:t>
            </w:r>
          </w:p>
        </w:tc>
        <w:tc>
          <w:tcPr>
            <w:tcW w:w="624" w:type="pct"/>
            <w:vAlign w:val="center"/>
          </w:tcPr>
          <w:p w14:paraId="127C9EFB" w14:textId="77777777" w:rsidR="003E78AB" w:rsidRDefault="00010BF9">
            <w:pPr>
              <w:pStyle w:val="aff6"/>
              <w:topLinePunct/>
            </w:pPr>
            <w:r>
              <w:t>/</w:t>
            </w:r>
          </w:p>
        </w:tc>
        <w:tc>
          <w:tcPr>
            <w:tcW w:w="805" w:type="pct"/>
            <w:gridSpan w:val="2"/>
            <w:vAlign w:val="center"/>
          </w:tcPr>
          <w:p w14:paraId="51EBC3C5" w14:textId="77777777" w:rsidR="003E78AB" w:rsidRDefault="00010BF9">
            <w:pPr>
              <w:pStyle w:val="aff6"/>
              <w:topLinePunct/>
            </w:pPr>
            <w:r>
              <w:t>/</w:t>
            </w:r>
          </w:p>
        </w:tc>
      </w:tr>
      <w:tr w:rsidR="003E78AB" w14:paraId="74A95354" w14:textId="77777777">
        <w:trPr>
          <w:trHeight w:val="484"/>
        </w:trPr>
        <w:tc>
          <w:tcPr>
            <w:tcW w:w="250" w:type="pct"/>
            <w:vMerge/>
            <w:vAlign w:val="center"/>
          </w:tcPr>
          <w:p w14:paraId="24FB1F6F" w14:textId="77777777" w:rsidR="003E78AB" w:rsidRDefault="003E78AB">
            <w:pPr>
              <w:pStyle w:val="aff6"/>
              <w:topLinePunct/>
            </w:pPr>
          </w:p>
        </w:tc>
        <w:tc>
          <w:tcPr>
            <w:tcW w:w="596" w:type="pct"/>
            <w:gridSpan w:val="2"/>
            <w:vMerge w:val="restart"/>
            <w:vAlign w:val="center"/>
          </w:tcPr>
          <w:p w14:paraId="50F1A862" w14:textId="77777777" w:rsidR="003E78AB" w:rsidRDefault="00010BF9">
            <w:pPr>
              <w:pStyle w:val="aff6"/>
              <w:topLinePunct/>
            </w:pPr>
            <w:r>
              <w:t>硫酸</w:t>
            </w:r>
          </w:p>
        </w:tc>
        <w:tc>
          <w:tcPr>
            <w:tcW w:w="1788" w:type="pct"/>
            <w:gridSpan w:val="4"/>
            <w:vAlign w:val="center"/>
          </w:tcPr>
          <w:p w14:paraId="61D5A73E" w14:textId="77777777" w:rsidR="003E78AB" w:rsidRDefault="00010BF9">
            <w:pPr>
              <w:pStyle w:val="aff6"/>
              <w:topLinePunct/>
            </w:pPr>
            <w:r>
              <w:t>指标</w:t>
            </w:r>
          </w:p>
        </w:tc>
        <w:tc>
          <w:tcPr>
            <w:tcW w:w="933" w:type="pct"/>
            <w:vAlign w:val="center"/>
          </w:tcPr>
          <w:p w14:paraId="5C7DE816" w14:textId="77777777" w:rsidR="003E78AB" w:rsidRDefault="00010BF9">
            <w:pPr>
              <w:pStyle w:val="aff6"/>
              <w:topLinePunct/>
            </w:pPr>
            <w:r>
              <w:t>浓度值</w:t>
            </w:r>
            <w:r>
              <w:t>/(mg/m3)</w:t>
            </w:r>
          </w:p>
        </w:tc>
        <w:tc>
          <w:tcPr>
            <w:tcW w:w="624" w:type="pct"/>
            <w:vAlign w:val="center"/>
          </w:tcPr>
          <w:p w14:paraId="653D89C7" w14:textId="77777777" w:rsidR="003E78AB" w:rsidRDefault="00010BF9">
            <w:pPr>
              <w:pStyle w:val="aff6"/>
              <w:topLinePunct/>
            </w:pPr>
            <w:r>
              <w:t>最远影响距离</w:t>
            </w:r>
            <w:r>
              <w:t>/m</w:t>
            </w:r>
          </w:p>
        </w:tc>
        <w:tc>
          <w:tcPr>
            <w:tcW w:w="805" w:type="pct"/>
            <w:gridSpan w:val="2"/>
            <w:vAlign w:val="center"/>
          </w:tcPr>
          <w:p w14:paraId="04DB85D1" w14:textId="77777777" w:rsidR="003E78AB" w:rsidRDefault="00010BF9">
            <w:pPr>
              <w:pStyle w:val="aff6"/>
              <w:topLinePunct/>
            </w:pPr>
            <w:r>
              <w:t>到达时刻</w:t>
            </w:r>
            <w:r>
              <w:t>/min</w:t>
            </w:r>
          </w:p>
        </w:tc>
      </w:tr>
      <w:tr w:rsidR="003E78AB" w14:paraId="47C045EC" w14:textId="77777777">
        <w:trPr>
          <w:trHeight w:val="245"/>
        </w:trPr>
        <w:tc>
          <w:tcPr>
            <w:tcW w:w="250" w:type="pct"/>
            <w:vMerge/>
            <w:vAlign w:val="center"/>
          </w:tcPr>
          <w:p w14:paraId="1EEEA465" w14:textId="77777777" w:rsidR="003E78AB" w:rsidRDefault="003E78AB">
            <w:pPr>
              <w:pStyle w:val="aff6"/>
              <w:topLinePunct/>
            </w:pPr>
          </w:p>
        </w:tc>
        <w:tc>
          <w:tcPr>
            <w:tcW w:w="596" w:type="pct"/>
            <w:gridSpan w:val="2"/>
            <w:vMerge/>
            <w:vAlign w:val="center"/>
          </w:tcPr>
          <w:p w14:paraId="4425794D" w14:textId="77777777" w:rsidR="003E78AB" w:rsidRDefault="003E78AB">
            <w:pPr>
              <w:pStyle w:val="aff6"/>
              <w:topLinePunct/>
            </w:pPr>
          </w:p>
        </w:tc>
        <w:tc>
          <w:tcPr>
            <w:tcW w:w="431" w:type="pct"/>
            <w:vMerge w:val="restart"/>
            <w:vAlign w:val="center"/>
          </w:tcPr>
          <w:p w14:paraId="6CAB6B2B" w14:textId="77777777" w:rsidR="003E78AB" w:rsidRDefault="00010BF9">
            <w:pPr>
              <w:pStyle w:val="aff6"/>
              <w:topLinePunct/>
            </w:pPr>
            <w:r>
              <w:t>最不利</w:t>
            </w:r>
          </w:p>
        </w:tc>
        <w:tc>
          <w:tcPr>
            <w:tcW w:w="1357" w:type="pct"/>
            <w:gridSpan w:val="3"/>
            <w:vAlign w:val="center"/>
          </w:tcPr>
          <w:p w14:paraId="073B358E" w14:textId="77777777" w:rsidR="003E78AB" w:rsidRDefault="00010BF9">
            <w:pPr>
              <w:pStyle w:val="aff6"/>
              <w:topLinePunct/>
            </w:pPr>
            <w:r>
              <w:t>大气毒性终点浓度</w:t>
            </w:r>
            <w:r>
              <w:t>-1</w:t>
            </w:r>
          </w:p>
        </w:tc>
        <w:tc>
          <w:tcPr>
            <w:tcW w:w="933" w:type="pct"/>
            <w:vAlign w:val="center"/>
          </w:tcPr>
          <w:p w14:paraId="05822F7A" w14:textId="77777777" w:rsidR="003E78AB" w:rsidRDefault="00010BF9">
            <w:pPr>
              <w:pStyle w:val="aff6"/>
              <w:topLinePunct/>
            </w:pPr>
            <w:r>
              <w:t>160</w:t>
            </w:r>
          </w:p>
        </w:tc>
        <w:tc>
          <w:tcPr>
            <w:tcW w:w="624" w:type="pct"/>
            <w:vAlign w:val="center"/>
          </w:tcPr>
          <w:p w14:paraId="6E641935" w14:textId="77777777" w:rsidR="003E78AB" w:rsidRDefault="00010BF9">
            <w:pPr>
              <w:pStyle w:val="aff6"/>
              <w:topLinePunct/>
            </w:pPr>
            <w:r>
              <w:t>/</w:t>
            </w:r>
          </w:p>
        </w:tc>
        <w:tc>
          <w:tcPr>
            <w:tcW w:w="805" w:type="pct"/>
            <w:gridSpan w:val="2"/>
            <w:vAlign w:val="center"/>
          </w:tcPr>
          <w:p w14:paraId="112807CF" w14:textId="77777777" w:rsidR="003E78AB" w:rsidRDefault="00010BF9">
            <w:pPr>
              <w:pStyle w:val="aff6"/>
              <w:topLinePunct/>
            </w:pPr>
            <w:r>
              <w:t>/</w:t>
            </w:r>
          </w:p>
        </w:tc>
      </w:tr>
      <w:tr w:rsidR="003E78AB" w14:paraId="1C173A2A" w14:textId="77777777">
        <w:trPr>
          <w:trHeight w:val="244"/>
        </w:trPr>
        <w:tc>
          <w:tcPr>
            <w:tcW w:w="250" w:type="pct"/>
            <w:vMerge/>
            <w:vAlign w:val="center"/>
          </w:tcPr>
          <w:p w14:paraId="364751A4" w14:textId="77777777" w:rsidR="003E78AB" w:rsidRDefault="003E78AB">
            <w:pPr>
              <w:pStyle w:val="aff6"/>
              <w:topLinePunct/>
            </w:pPr>
          </w:p>
        </w:tc>
        <w:tc>
          <w:tcPr>
            <w:tcW w:w="596" w:type="pct"/>
            <w:gridSpan w:val="2"/>
            <w:vMerge/>
            <w:vAlign w:val="center"/>
          </w:tcPr>
          <w:p w14:paraId="6913D16C" w14:textId="77777777" w:rsidR="003E78AB" w:rsidRDefault="003E78AB">
            <w:pPr>
              <w:pStyle w:val="aff6"/>
              <w:topLinePunct/>
            </w:pPr>
          </w:p>
        </w:tc>
        <w:tc>
          <w:tcPr>
            <w:tcW w:w="431" w:type="pct"/>
            <w:vMerge/>
            <w:vAlign w:val="center"/>
          </w:tcPr>
          <w:p w14:paraId="38561C10" w14:textId="77777777" w:rsidR="003E78AB" w:rsidRDefault="003E78AB">
            <w:pPr>
              <w:pStyle w:val="aff6"/>
              <w:topLinePunct/>
            </w:pPr>
          </w:p>
        </w:tc>
        <w:tc>
          <w:tcPr>
            <w:tcW w:w="1357" w:type="pct"/>
            <w:gridSpan w:val="3"/>
            <w:vAlign w:val="center"/>
          </w:tcPr>
          <w:p w14:paraId="5A7F6701" w14:textId="77777777" w:rsidR="003E78AB" w:rsidRDefault="00010BF9">
            <w:pPr>
              <w:pStyle w:val="aff6"/>
              <w:topLinePunct/>
            </w:pPr>
            <w:r>
              <w:t>大气毒性终点浓度</w:t>
            </w:r>
            <w:r>
              <w:t>-2</w:t>
            </w:r>
          </w:p>
        </w:tc>
        <w:tc>
          <w:tcPr>
            <w:tcW w:w="933" w:type="pct"/>
            <w:vAlign w:val="center"/>
          </w:tcPr>
          <w:p w14:paraId="649F7F5B" w14:textId="77777777" w:rsidR="003E78AB" w:rsidRDefault="00010BF9">
            <w:pPr>
              <w:pStyle w:val="aff6"/>
              <w:topLinePunct/>
            </w:pPr>
            <w:r>
              <w:t>8.7</w:t>
            </w:r>
          </w:p>
        </w:tc>
        <w:tc>
          <w:tcPr>
            <w:tcW w:w="624" w:type="pct"/>
            <w:vAlign w:val="center"/>
          </w:tcPr>
          <w:p w14:paraId="55E5B8C6" w14:textId="77777777" w:rsidR="003E78AB" w:rsidRDefault="00010BF9">
            <w:pPr>
              <w:pStyle w:val="aff6"/>
              <w:topLinePunct/>
            </w:pPr>
            <w:r>
              <w:t>/</w:t>
            </w:r>
          </w:p>
        </w:tc>
        <w:tc>
          <w:tcPr>
            <w:tcW w:w="805" w:type="pct"/>
            <w:gridSpan w:val="2"/>
            <w:vAlign w:val="center"/>
          </w:tcPr>
          <w:p w14:paraId="68EE614A" w14:textId="77777777" w:rsidR="003E78AB" w:rsidRDefault="00010BF9">
            <w:pPr>
              <w:pStyle w:val="aff6"/>
              <w:topLinePunct/>
            </w:pPr>
            <w:r>
              <w:t>/</w:t>
            </w:r>
          </w:p>
        </w:tc>
      </w:tr>
      <w:tr w:rsidR="003E78AB" w14:paraId="430CF06A" w14:textId="77777777">
        <w:trPr>
          <w:trHeight w:val="261"/>
        </w:trPr>
        <w:tc>
          <w:tcPr>
            <w:tcW w:w="250" w:type="pct"/>
            <w:vMerge/>
            <w:vAlign w:val="center"/>
          </w:tcPr>
          <w:p w14:paraId="421F0E69" w14:textId="77777777" w:rsidR="003E78AB" w:rsidRDefault="003E78AB">
            <w:pPr>
              <w:pStyle w:val="aff6"/>
              <w:topLinePunct/>
            </w:pPr>
          </w:p>
        </w:tc>
        <w:tc>
          <w:tcPr>
            <w:tcW w:w="596" w:type="pct"/>
            <w:gridSpan w:val="2"/>
            <w:vMerge/>
            <w:vAlign w:val="center"/>
          </w:tcPr>
          <w:p w14:paraId="3C78B1FA" w14:textId="77777777" w:rsidR="003E78AB" w:rsidRDefault="003E78AB">
            <w:pPr>
              <w:pStyle w:val="aff6"/>
              <w:topLinePunct/>
            </w:pPr>
          </w:p>
        </w:tc>
        <w:tc>
          <w:tcPr>
            <w:tcW w:w="431" w:type="pct"/>
            <w:vMerge w:val="restart"/>
            <w:vAlign w:val="center"/>
          </w:tcPr>
          <w:p w14:paraId="7D50A9DF" w14:textId="77777777" w:rsidR="003E78AB" w:rsidRDefault="00010BF9">
            <w:pPr>
              <w:pStyle w:val="aff6"/>
              <w:topLinePunct/>
            </w:pPr>
            <w:r>
              <w:t>最常见</w:t>
            </w:r>
          </w:p>
        </w:tc>
        <w:tc>
          <w:tcPr>
            <w:tcW w:w="1357" w:type="pct"/>
            <w:gridSpan w:val="3"/>
            <w:vAlign w:val="center"/>
          </w:tcPr>
          <w:p w14:paraId="1A91B8FD" w14:textId="77777777" w:rsidR="003E78AB" w:rsidRDefault="00010BF9">
            <w:pPr>
              <w:pStyle w:val="aff6"/>
              <w:topLinePunct/>
            </w:pPr>
            <w:r>
              <w:t>大气毒性终点浓度</w:t>
            </w:r>
            <w:r>
              <w:t>-1</w:t>
            </w:r>
          </w:p>
        </w:tc>
        <w:tc>
          <w:tcPr>
            <w:tcW w:w="933" w:type="pct"/>
            <w:vAlign w:val="center"/>
          </w:tcPr>
          <w:p w14:paraId="637287D1" w14:textId="77777777" w:rsidR="003E78AB" w:rsidRDefault="00010BF9">
            <w:pPr>
              <w:pStyle w:val="aff6"/>
              <w:topLinePunct/>
            </w:pPr>
            <w:r>
              <w:t>160</w:t>
            </w:r>
          </w:p>
        </w:tc>
        <w:tc>
          <w:tcPr>
            <w:tcW w:w="624" w:type="pct"/>
            <w:vAlign w:val="center"/>
          </w:tcPr>
          <w:p w14:paraId="3BD148D3" w14:textId="77777777" w:rsidR="003E78AB" w:rsidRDefault="00010BF9">
            <w:pPr>
              <w:pStyle w:val="aff6"/>
              <w:topLinePunct/>
            </w:pPr>
            <w:r>
              <w:t>/</w:t>
            </w:r>
          </w:p>
        </w:tc>
        <w:tc>
          <w:tcPr>
            <w:tcW w:w="805" w:type="pct"/>
            <w:gridSpan w:val="2"/>
            <w:vAlign w:val="center"/>
          </w:tcPr>
          <w:p w14:paraId="66E38FB5" w14:textId="77777777" w:rsidR="003E78AB" w:rsidRDefault="00010BF9">
            <w:pPr>
              <w:pStyle w:val="aff6"/>
              <w:topLinePunct/>
            </w:pPr>
            <w:r>
              <w:t>/</w:t>
            </w:r>
          </w:p>
        </w:tc>
      </w:tr>
      <w:tr w:rsidR="003E78AB" w14:paraId="0E38E760" w14:textId="77777777">
        <w:trPr>
          <w:trHeight w:val="258"/>
        </w:trPr>
        <w:tc>
          <w:tcPr>
            <w:tcW w:w="250" w:type="pct"/>
            <w:vMerge/>
            <w:vAlign w:val="center"/>
          </w:tcPr>
          <w:p w14:paraId="626FEE4B" w14:textId="77777777" w:rsidR="003E78AB" w:rsidRDefault="003E78AB">
            <w:pPr>
              <w:pStyle w:val="aff6"/>
              <w:topLinePunct/>
            </w:pPr>
          </w:p>
        </w:tc>
        <w:tc>
          <w:tcPr>
            <w:tcW w:w="596" w:type="pct"/>
            <w:gridSpan w:val="2"/>
            <w:vMerge/>
            <w:vAlign w:val="center"/>
          </w:tcPr>
          <w:p w14:paraId="7B15A0A3" w14:textId="77777777" w:rsidR="003E78AB" w:rsidRDefault="003E78AB">
            <w:pPr>
              <w:pStyle w:val="aff6"/>
              <w:topLinePunct/>
            </w:pPr>
          </w:p>
        </w:tc>
        <w:tc>
          <w:tcPr>
            <w:tcW w:w="431" w:type="pct"/>
            <w:vMerge/>
            <w:vAlign w:val="center"/>
          </w:tcPr>
          <w:p w14:paraId="07C094EA" w14:textId="77777777" w:rsidR="003E78AB" w:rsidRDefault="003E78AB">
            <w:pPr>
              <w:pStyle w:val="aff6"/>
              <w:topLinePunct/>
            </w:pPr>
          </w:p>
        </w:tc>
        <w:tc>
          <w:tcPr>
            <w:tcW w:w="1357" w:type="pct"/>
            <w:gridSpan w:val="3"/>
            <w:vAlign w:val="center"/>
          </w:tcPr>
          <w:p w14:paraId="021D86B0" w14:textId="77777777" w:rsidR="003E78AB" w:rsidRDefault="00010BF9">
            <w:pPr>
              <w:pStyle w:val="aff6"/>
              <w:topLinePunct/>
            </w:pPr>
            <w:r>
              <w:t>大气毒性终点浓度</w:t>
            </w:r>
            <w:r>
              <w:t>-2</w:t>
            </w:r>
          </w:p>
        </w:tc>
        <w:tc>
          <w:tcPr>
            <w:tcW w:w="933" w:type="pct"/>
            <w:vAlign w:val="center"/>
          </w:tcPr>
          <w:p w14:paraId="41C4D1D3" w14:textId="77777777" w:rsidR="003E78AB" w:rsidRDefault="00010BF9">
            <w:pPr>
              <w:pStyle w:val="aff6"/>
              <w:topLinePunct/>
            </w:pPr>
            <w:r>
              <w:t>8.7</w:t>
            </w:r>
          </w:p>
        </w:tc>
        <w:tc>
          <w:tcPr>
            <w:tcW w:w="624" w:type="pct"/>
            <w:vAlign w:val="center"/>
          </w:tcPr>
          <w:p w14:paraId="36B254DC" w14:textId="77777777" w:rsidR="003E78AB" w:rsidRDefault="00010BF9">
            <w:pPr>
              <w:pStyle w:val="aff6"/>
              <w:topLinePunct/>
            </w:pPr>
            <w:r>
              <w:t>/</w:t>
            </w:r>
          </w:p>
        </w:tc>
        <w:tc>
          <w:tcPr>
            <w:tcW w:w="805" w:type="pct"/>
            <w:gridSpan w:val="2"/>
            <w:vAlign w:val="center"/>
          </w:tcPr>
          <w:p w14:paraId="726E5828" w14:textId="77777777" w:rsidR="003E78AB" w:rsidRDefault="00010BF9">
            <w:pPr>
              <w:pStyle w:val="aff6"/>
              <w:topLinePunct/>
            </w:pPr>
            <w:r>
              <w:t>/</w:t>
            </w:r>
          </w:p>
        </w:tc>
      </w:tr>
      <w:tr w:rsidR="003E78AB" w14:paraId="09E42278" w14:textId="77777777">
        <w:trPr>
          <w:trHeight w:val="484"/>
        </w:trPr>
        <w:tc>
          <w:tcPr>
            <w:tcW w:w="250" w:type="pct"/>
            <w:vMerge/>
            <w:vAlign w:val="center"/>
          </w:tcPr>
          <w:p w14:paraId="381116A2" w14:textId="77777777" w:rsidR="003E78AB" w:rsidRDefault="003E78AB">
            <w:pPr>
              <w:pStyle w:val="aff6"/>
              <w:topLinePunct/>
            </w:pPr>
          </w:p>
        </w:tc>
        <w:tc>
          <w:tcPr>
            <w:tcW w:w="596" w:type="pct"/>
            <w:gridSpan w:val="2"/>
            <w:vMerge/>
            <w:vAlign w:val="center"/>
          </w:tcPr>
          <w:p w14:paraId="029E06A5" w14:textId="77777777" w:rsidR="003E78AB" w:rsidRDefault="003E78AB">
            <w:pPr>
              <w:pStyle w:val="aff6"/>
              <w:topLinePunct/>
            </w:pPr>
          </w:p>
        </w:tc>
        <w:tc>
          <w:tcPr>
            <w:tcW w:w="1788" w:type="pct"/>
            <w:gridSpan w:val="4"/>
            <w:vAlign w:val="center"/>
          </w:tcPr>
          <w:p w14:paraId="0371877E" w14:textId="77777777" w:rsidR="003E78AB" w:rsidRDefault="00010BF9">
            <w:pPr>
              <w:pStyle w:val="aff6"/>
              <w:topLinePunct/>
            </w:pPr>
            <w:r>
              <w:t>敏感目标名称</w:t>
            </w:r>
          </w:p>
        </w:tc>
        <w:tc>
          <w:tcPr>
            <w:tcW w:w="933" w:type="pct"/>
            <w:vAlign w:val="center"/>
          </w:tcPr>
          <w:p w14:paraId="35678BF2" w14:textId="77777777" w:rsidR="003E78AB" w:rsidRDefault="00010BF9">
            <w:pPr>
              <w:pStyle w:val="aff6"/>
              <w:topLinePunct/>
            </w:pPr>
            <w:r>
              <w:t>超标时间</w:t>
            </w:r>
            <w:r>
              <w:t>/min</w:t>
            </w:r>
          </w:p>
        </w:tc>
        <w:tc>
          <w:tcPr>
            <w:tcW w:w="624" w:type="pct"/>
            <w:vAlign w:val="center"/>
          </w:tcPr>
          <w:p w14:paraId="6070A2F6" w14:textId="77777777" w:rsidR="003E78AB" w:rsidRDefault="00010BF9">
            <w:pPr>
              <w:pStyle w:val="aff6"/>
              <w:topLinePunct/>
            </w:pPr>
            <w:r>
              <w:t>超标持续时间</w:t>
            </w:r>
            <w:r>
              <w:t>/min</w:t>
            </w:r>
          </w:p>
        </w:tc>
        <w:tc>
          <w:tcPr>
            <w:tcW w:w="805" w:type="pct"/>
            <w:gridSpan w:val="2"/>
            <w:vAlign w:val="center"/>
          </w:tcPr>
          <w:p w14:paraId="5C28A30A" w14:textId="77777777" w:rsidR="003E78AB" w:rsidRDefault="00010BF9">
            <w:pPr>
              <w:pStyle w:val="aff6"/>
              <w:topLinePunct/>
            </w:pPr>
            <w:r>
              <w:t>最大浓度</w:t>
            </w:r>
          </w:p>
          <w:p w14:paraId="1E039126" w14:textId="77777777" w:rsidR="003E78AB" w:rsidRDefault="00010BF9">
            <w:pPr>
              <w:pStyle w:val="aff6"/>
              <w:topLinePunct/>
            </w:pPr>
            <w:r>
              <w:t>mg/m3</w:t>
            </w:r>
          </w:p>
        </w:tc>
      </w:tr>
      <w:tr w:rsidR="003E78AB" w14:paraId="7ACA3697" w14:textId="77777777">
        <w:trPr>
          <w:trHeight w:val="258"/>
        </w:trPr>
        <w:tc>
          <w:tcPr>
            <w:tcW w:w="250" w:type="pct"/>
            <w:vMerge/>
            <w:vAlign w:val="center"/>
          </w:tcPr>
          <w:p w14:paraId="100B09E6" w14:textId="77777777" w:rsidR="003E78AB" w:rsidRDefault="003E78AB">
            <w:pPr>
              <w:pStyle w:val="aff6"/>
              <w:topLinePunct/>
            </w:pPr>
          </w:p>
        </w:tc>
        <w:tc>
          <w:tcPr>
            <w:tcW w:w="596" w:type="pct"/>
            <w:gridSpan w:val="2"/>
            <w:vMerge/>
            <w:vAlign w:val="center"/>
          </w:tcPr>
          <w:p w14:paraId="128767CB" w14:textId="77777777" w:rsidR="003E78AB" w:rsidRDefault="003E78AB">
            <w:pPr>
              <w:pStyle w:val="aff6"/>
              <w:topLinePunct/>
            </w:pPr>
          </w:p>
        </w:tc>
        <w:tc>
          <w:tcPr>
            <w:tcW w:w="1788" w:type="pct"/>
            <w:gridSpan w:val="4"/>
            <w:vAlign w:val="center"/>
          </w:tcPr>
          <w:p w14:paraId="6FA582CD" w14:textId="77777777" w:rsidR="003E78AB" w:rsidRDefault="00010BF9">
            <w:pPr>
              <w:pStyle w:val="aff6"/>
              <w:topLinePunct/>
            </w:pPr>
            <w:r>
              <w:t>/</w:t>
            </w:r>
          </w:p>
        </w:tc>
        <w:tc>
          <w:tcPr>
            <w:tcW w:w="933" w:type="pct"/>
            <w:vAlign w:val="center"/>
          </w:tcPr>
          <w:p w14:paraId="3B97EB2F" w14:textId="77777777" w:rsidR="003E78AB" w:rsidRDefault="00010BF9">
            <w:pPr>
              <w:pStyle w:val="aff6"/>
              <w:topLinePunct/>
            </w:pPr>
            <w:r>
              <w:t>/</w:t>
            </w:r>
          </w:p>
        </w:tc>
        <w:tc>
          <w:tcPr>
            <w:tcW w:w="624" w:type="pct"/>
            <w:vAlign w:val="center"/>
          </w:tcPr>
          <w:p w14:paraId="4E263587" w14:textId="77777777" w:rsidR="003E78AB" w:rsidRDefault="00010BF9">
            <w:pPr>
              <w:pStyle w:val="aff6"/>
              <w:topLinePunct/>
            </w:pPr>
            <w:r>
              <w:t>/</w:t>
            </w:r>
          </w:p>
        </w:tc>
        <w:tc>
          <w:tcPr>
            <w:tcW w:w="805" w:type="pct"/>
            <w:gridSpan w:val="2"/>
            <w:vAlign w:val="center"/>
          </w:tcPr>
          <w:p w14:paraId="2AE05283" w14:textId="77777777" w:rsidR="003E78AB" w:rsidRDefault="00010BF9">
            <w:pPr>
              <w:pStyle w:val="aff6"/>
              <w:topLinePunct/>
            </w:pPr>
            <w:r>
              <w:t>/</w:t>
            </w:r>
          </w:p>
        </w:tc>
      </w:tr>
    </w:tbl>
    <w:p w14:paraId="3A9D383D"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6.5.2</w:t>
      </w:r>
      <w:r>
        <w:rPr>
          <w:rFonts w:cs="Times New Roman" w:hint="eastAsia"/>
          <w:sz w:val="28"/>
          <w:szCs w:val="28"/>
        </w:rPr>
        <w:t>地表水环境风险分析</w:t>
      </w:r>
    </w:p>
    <w:p w14:paraId="3C835FE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6.5.2.1</w:t>
      </w:r>
      <w:r>
        <w:rPr>
          <w:rFonts w:ascii="Times New Roman" w:hAnsi="Times New Roman" w:hint="eastAsia"/>
        </w:rPr>
        <w:t>周边地表水体</w:t>
      </w:r>
    </w:p>
    <w:p w14:paraId="17027E9B" w14:textId="77777777" w:rsidR="003E78AB" w:rsidRDefault="00010BF9">
      <w:pPr>
        <w:ind w:firstLine="480"/>
        <w:rPr>
          <w:kern w:val="28"/>
        </w:rPr>
      </w:pPr>
      <w:r>
        <w:rPr>
          <w:rFonts w:hint="eastAsia"/>
          <w:kern w:val="28"/>
        </w:rPr>
        <w:t>厂区周围地表水体主要有南湖水库和哈密市西干渠，均为</w:t>
      </w:r>
      <w:r>
        <w:rPr>
          <w:rFonts w:hint="eastAsia"/>
          <w:kern w:val="28"/>
        </w:rPr>
        <w:t>III</w:t>
      </w:r>
      <w:r>
        <w:rPr>
          <w:rFonts w:hint="eastAsia"/>
          <w:kern w:val="28"/>
        </w:rPr>
        <w:t>类水体。</w:t>
      </w:r>
    </w:p>
    <w:p w14:paraId="55BFAC71" w14:textId="77777777" w:rsidR="003E78AB" w:rsidRDefault="00010BF9">
      <w:pPr>
        <w:pStyle w:val="a"/>
        <w:spacing w:before="120"/>
        <w:ind w:left="425" w:hanging="425"/>
      </w:pPr>
      <w:r>
        <w:t>厂址周边地表水体与厂区位置关系一览表</w:t>
      </w:r>
    </w:p>
    <w:p w14:paraId="3547445E" w14:textId="77777777" w:rsidR="003E78AB" w:rsidRDefault="003E78AB">
      <w:pPr>
        <w:spacing w:line="25" w:lineRule="exact"/>
        <w:ind w:firstLine="480"/>
      </w:pPr>
    </w:p>
    <w:tbl>
      <w:tblPr>
        <w:tblStyle w:val="TableNormal"/>
        <w:tblW w:w="50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364"/>
        <w:gridCol w:w="2409"/>
        <w:gridCol w:w="1043"/>
        <w:gridCol w:w="1880"/>
      </w:tblGrid>
      <w:tr w:rsidR="003E78AB" w14:paraId="64A4C16E" w14:textId="77777777">
        <w:trPr>
          <w:trHeight w:val="359"/>
        </w:trPr>
        <w:tc>
          <w:tcPr>
            <w:tcW w:w="374" w:type="pct"/>
          </w:tcPr>
          <w:p w14:paraId="0A169169" w14:textId="77777777" w:rsidR="003E78AB" w:rsidRDefault="00010BF9">
            <w:pPr>
              <w:pStyle w:val="aff6"/>
              <w:topLinePunct/>
              <w:rPr>
                <w:b/>
                <w:bCs/>
              </w:rPr>
            </w:pPr>
            <w:r>
              <w:rPr>
                <w:b/>
                <w:bCs/>
              </w:rPr>
              <w:t>序号</w:t>
            </w:r>
          </w:p>
        </w:tc>
        <w:tc>
          <w:tcPr>
            <w:tcW w:w="1420" w:type="pct"/>
          </w:tcPr>
          <w:p w14:paraId="1ED512A8" w14:textId="77777777" w:rsidR="003E78AB" w:rsidRDefault="00010BF9">
            <w:pPr>
              <w:pStyle w:val="aff6"/>
              <w:topLinePunct/>
              <w:rPr>
                <w:b/>
                <w:bCs/>
              </w:rPr>
            </w:pPr>
            <w:r>
              <w:rPr>
                <w:b/>
                <w:bCs/>
              </w:rPr>
              <w:t>受纳水体名称</w:t>
            </w:r>
          </w:p>
        </w:tc>
        <w:tc>
          <w:tcPr>
            <w:tcW w:w="1447" w:type="pct"/>
          </w:tcPr>
          <w:p w14:paraId="6F3982A2" w14:textId="77777777" w:rsidR="003E78AB" w:rsidRDefault="00010BF9">
            <w:pPr>
              <w:pStyle w:val="aff6"/>
              <w:topLinePunct/>
              <w:rPr>
                <w:b/>
                <w:bCs/>
              </w:rPr>
            </w:pPr>
            <w:r>
              <w:rPr>
                <w:b/>
                <w:bCs/>
              </w:rPr>
              <w:t>排放点水域环境功能</w:t>
            </w:r>
          </w:p>
        </w:tc>
        <w:tc>
          <w:tcPr>
            <w:tcW w:w="627" w:type="pct"/>
          </w:tcPr>
          <w:p w14:paraId="0C556542" w14:textId="77777777" w:rsidR="003E78AB" w:rsidRDefault="00010BF9">
            <w:pPr>
              <w:pStyle w:val="aff6"/>
              <w:topLinePunct/>
              <w:rPr>
                <w:b/>
                <w:bCs/>
              </w:rPr>
            </w:pPr>
            <w:r>
              <w:rPr>
                <w:b/>
                <w:bCs/>
              </w:rPr>
              <w:t>方位</w:t>
            </w:r>
          </w:p>
        </w:tc>
        <w:tc>
          <w:tcPr>
            <w:tcW w:w="1130" w:type="pct"/>
          </w:tcPr>
          <w:p w14:paraId="431A57BD" w14:textId="77777777" w:rsidR="003E78AB" w:rsidRDefault="00010BF9">
            <w:pPr>
              <w:pStyle w:val="aff6"/>
              <w:topLinePunct/>
              <w:rPr>
                <w:b/>
                <w:bCs/>
              </w:rPr>
            </w:pPr>
            <w:r>
              <w:rPr>
                <w:b/>
                <w:bCs/>
              </w:rPr>
              <w:t>与厂界距离</w:t>
            </w:r>
            <w:r>
              <w:rPr>
                <w:b/>
                <w:bCs/>
              </w:rPr>
              <w:t>(m)</w:t>
            </w:r>
          </w:p>
        </w:tc>
      </w:tr>
      <w:tr w:rsidR="003E78AB" w14:paraId="043B0100" w14:textId="77777777">
        <w:trPr>
          <w:trHeight w:val="344"/>
        </w:trPr>
        <w:tc>
          <w:tcPr>
            <w:tcW w:w="374" w:type="pct"/>
          </w:tcPr>
          <w:p w14:paraId="1F9D75A6" w14:textId="77777777" w:rsidR="003E78AB" w:rsidRDefault="00010BF9">
            <w:pPr>
              <w:pStyle w:val="aff6"/>
              <w:topLinePunct/>
            </w:pPr>
            <w:r>
              <w:t>1</w:t>
            </w:r>
          </w:p>
        </w:tc>
        <w:tc>
          <w:tcPr>
            <w:tcW w:w="1420" w:type="pct"/>
          </w:tcPr>
          <w:p w14:paraId="76B72F3A" w14:textId="77777777" w:rsidR="003E78AB" w:rsidRDefault="00010BF9">
            <w:pPr>
              <w:pStyle w:val="aff6"/>
              <w:topLinePunct/>
            </w:pPr>
            <w:r>
              <w:rPr>
                <w:rFonts w:hint="eastAsia"/>
                <w:kern w:val="28"/>
              </w:rPr>
              <w:t>南湖水库</w:t>
            </w:r>
          </w:p>
        </w:tc>
        <w:tc>
          <w:tcPr>
            <w:tcW w:w="1447" w:type="pct"/>
          </w:tcPr>
          <w:p w14:paraId="6C9BC0AC" w14:textId="77777777" w:rsidR="003E78AB" w:rsidRDefault="00010BF9">
            <w:pPr>
              <w:pStyle w:val="aff6"/>
              <w:topLinePunct/>
            </w:pPr>
            <w:r>
              <w:rPr>
                <w:rFonts w:hint="eastAsia"/>
              </w:rPr>
              <w:t>III</w:t>
            </w:r>
            <w:r>
              <w:t>类</w:t>
            </w:r>
          </w:p>
        </w:tc>
        <w:tc>
          <w:tcPr>
            <w:tcW w:w="627" w:type="pct"/>
          </w:tcPr>
          <w:p w14:paraId="2E3B8963" w14:textId="77777777" w:rsidR="003E78AB" w:rsidRDefault="00010BF9">
            <w:pPr>
              <w:pStyle w:val="aff6"/>
              <w:topLinePunct/>
            </w:pPr>
            <w:r>
              <w:rPr>
                <w:rFonts w:hint="eastAsia"/>
              </w:rPr>
              <w:t>S</w:t>
            </w:r>
          </w:p>
        </w:tc>
        <w:tc>
          <w:tcPr>
            <w:tcW w:w="1130" w:type="pct"/>
          </w:tcPr>
          <w:p w14:paraId="3D125B07" w14:textId="77777777" w:rsidR="003E78AB" w:rsidRDefault="00010BF9">
            <w:pPr>
              <w:pStyle w:val="aff6"/>
              <w:topLinePunct/>
            </w:pPr>
            <w:r>
              <w:rPr>
                <w:rFonts w:hint="eastAsia"/>
              </w:rPr>
              <w:t>4000</w:t>
            </w:r>
          </w:p>
        </w:tc>
      </w:tr>
      <w:tr w:rsidR="003E78AB" w14:paraId="04B560A7" w14:textId="77777777">
        <w:trPr>
          <w:trHeight w:val="344"/>
        </w:trPr>
        <w:tc>
          <w:tcPr>
            <w:tcW w:w="374" w:type="pct"/>
          </w:tcPr>
          <w:p w14:paraId="66A20E3A" w14:textId="77777777" w:rsidR="003E78AB" w:rsidRDefault="00010BF9">
            <w:pPr>
              <w:pStyle w:val="aff6"/>
              <w:topLinePunct/>
            </w:pPr>
            <w:r>
              <w:t>2</w:t>
            </w:r>
          </w:p>
        </w:tc>
        <w:tc>
          <w:tcPr>
            <w:tcW w:w="1420" w:type="pct"/>
          </w:tcPr>
          <w:p w14:paraId="7208ADDF" w14:textId="77777777" w:rsidR="003E78AB" w:rsidRDefault="00010BF9">
            <w:pPr>
              <w:pStyle w:val="aff6"/>
              <w:topLinePunct/>
            </w:pPr>
            <w:r>
              <w:rPr>
                <w:rFonts w:hint="eastAsia"/>
                <w:kern w:val="28"/>
              </w:rPr>
              <w:t>哈密市西干渠</w:t>
            </w:r>
          </w:p>
        </w:tc>
        <w:tc>
          <w:tcPr>
            <w:tcW w:w="1447" w:type="pct"/>
          </w:tcPr>
          <w:p w14:paraId="520325F1" w14:textId="77777777" w:rsidR="003E78AB" w:rsidRDefault="00010BF9">
            <w:pPr>
              <w:pStyle w:val="aff6"/>
              <w:topLinePunct/>
            </w:pPr>
            <w:r>
              <w:rPr>
                <w:rFonts w:hint="eastAsia"/>
              </w:rPr>
              <w:t>III</w:t>
            </w:r>
            <w:r>
              <w:t>类</w:t>
            </w:r>
          </w:p>
        </w:tc>
        <w:tc>
          <w:tcPr>
            <w:tcW w:w="627" w:type="pct"/>
          </w:tcPr>
          <w:p w14:paraId="5DD377F9" w14:textId="77777777" w:rsidR="003E78AB" w:rsidRDefault="00010BF9">
            <w:pPr>
              <w:pStyle w:val="aff6"/>
              <w:topLinePunct/>
            </w:pPr>
            <w:r>
              <w:rPr>
                <w:rFonts w:hint="eastAsia"/>
              </w:rPr>
              <w:t>E</w:t>
            </w:r>
          </w:p>
        </w:tc>
        <w:tc>
          <w:tcPr>
            <w:tcW w:w="1130" w:type="pct"/>
          </w:tcPr>
          <w:p w14:paraId="14AE7B1A" w14:textId="77777777" w:rsidR="003E78AB" w:rsidRDefault="00010BF9">
            <w:pPr>
              <w:pStyle w:val="aff6"/>
              <w:topLinePunct/>
            </w:pPr>
            <w:r>
              <w:rPr>
                <w:rFonts w:hint="eastAsia"/>
              </w:rPr>
              <w:t>378</w:t>
            </w:r>
            <w:r>
              <w:t>0</w:t>
            </w:r>
          </w:p>
        </w:tc>
      </w:tr>
    </w:tbl>
    <w:p w14:paraId="3D498FB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6.5.2.2</w:t>
      </w:r>
      <w:r>
        <w:rPr>
          <w:rFonts w:ascii="Times New Roman" w:hAnsi="Times New Roman" w:hint="eastAsia"/>
        </w:rPr>
        <w:t>环境风险事故情景及防范措施</w:t>
      </w:r>
    </w:p>
    <w:p w14:paraId="4A1BC117" w14:textId="77777777" w:rsidR="003E78AB" w:rsidRDefault="00010BF9">
      <w:pPr>
        <w:pStyle w:val="5"/>
        <w:keepNext w:val="0"/>
        <w:keepLines w:val="0"/>
        <w:ind w:firstLine="482"/>
        <w:rPr>
          <w:sz w:val="24"/>
        </w:rPr>
      </w:pPr>
      <w:r>
        <w:rPr>
          <w:rFonts w:hint="eastAsia"/>
          <w:sz w:val="24"/>
        </w:rPr>
        <w:t>1.</w:t>
      </w:r>
      <w:r>
        <w:rPr>
          <w:rFonts w:hint="eastAsia"/>
          <w:sz w:val="24"/>
        </w:rPr>
        <w:t>事故情形</w:t>
      </w:r>
    </w:p>
    <w:p w14:paraId="25CB6620" w14:textId="77777777" w:rsidR="003E78AB" w:rsidRDefault="00010BF9">
      <w:pPr>
        <w:ind w:firstLine="480"/>
        <w:rPr>
          <w:kern w:val="28"/>
        </w:rPr>
      </w:pPr>
      <w:r>
        <w:rPr>
          <w:rFonts w:hint="eastAsia"/>
          <w:kern w:val="28"/>
        </w:rPr>
        <w:t>项目地表水环境风险事故主要为生产装置、罐区等发生事故造成电解液泄漏，同时如厂区发生火灾事故也会产生消防废水。项目及厂区设置有事故废水（含初期雨水）收集拦截系统和事故废水池等，可以确保事故废水不排出厂外。</w:t>
      </w:r>
    </w:p>
    <w:p w14:paraId="07199A24" w14:textId="77777777" w:rsidR="003E78AB" w:rsidRDefault="00010BF9">
      <w:pPr>
        <w:pStyle w:val="5"/>
        <w:keepNext w:val="0"/>
        <w:keepLines w:val="0"/>
        <w:ind w:firstLine="482"/>
        <w:rPr>
          <w:sz w:val="24"/>
        </w:rPr>
      </w:pPr>
      <w:r>
        <w:rPr>
          <w:rFonts w:hint="eastAsia"/>
          <w:sz w:val="24"/>
        </w:rPr>
        <w:t>2.</w:t>
      </w:r>
      <w:r>
        <w:rPr>
          <w:rFonts w:hint="eastAsia"/>
          <w:sz w:val="24"/>
        </w:rPr>
        <w:t>事故废水风险防范措施</w:t>
      </w:r>
    </w:p>
    <w:p w14:paraId="7C3B199C" w14:textId="77777777" w:rsidR="003E78AB" w:rsidRDefault="00010BF9">
      <w:pPr>
        <w:ind w:firstLine="480"/>
        <w:rPr>
          <w:kern w:val="28"/>
        </w:rPr>
      </w:pPr>
      <w:r>
        <w:rPr>
          <w:rFonts w:hint="eastAsia"/>
          <w:kern w:val="28"/>
        </w:rPr>
        <w:t>项目事故废水主要采取厂区三级防控措施。</w:t>
      </w:r>
    </w:p>
    <w:p w14:paraId="02528144" w14:textId="77777777" w:rsidR="003E78AB" w:rsidRDefault="00010BF9">
      <w:pPr>
        <w:ind w:firstLine="480"/>
        <w:rPr>
          <w:kern w:val="28"/>
        </w:rPr>
      </w:pPr>
      <w:r>
        <w:rPr>
          <w:rFonts w:hint="eastAsia"/>
          <w:kern w:val="28"/>
        </w:rPr>
        <w:t>一级防控，在装置区设置导流系统，如发生事故可将废水（液）切换到应急收集系统。根据平面布置及设计资料，项目罐区设置围堰，车间内设置地沟及物料输送泵，可有效及时拦截事故废水。</w:t>
      </w:r>
    </w:p>
    <w:p w14:paraId="3235D077" w14:textId="77777777" w:rsidR="003E78AB" w:rsidRDefault="00010BF9">
      <w:pPr>
        <w:ind w:firstLine="480"/>
        <w:rPr>
          <w:kern w:val="28"/>
        </w:rPr>
      </w:pPr>
      <w:r>
        <w:rPr>
          <w:rFonts w:hint="eastAsia"/>
          <w:kern w:val="28"/>
        </w:rPr>
        <w:t>二级防控，厂区设置事故水池，当事故废水产生后，启动应急水池进水阀，引导</w:t>
      </w:r>
      <w:r>
        <w:rPr>
          <w:rFonts w:hint="eastAsia"/>
          <w:kern w:val="28"/>
        </w:rPr>
        <w:t>事故废水进入水池内。</w:t>
      </w:r>
    </w:p>
    <w:p w14:paraId="558B3900" w14:textId="77777777" w:rsidR="003E78AB" w:rsidRDefault="00010BF9">
      <w:pPr>
        <w:ind w:firstLine="480"/>
        <w:rPr>
          <w:kern w:val="28"/>
        </w:rPr>
      </w:pPr>
      <w:r>
        <w:rPr>
          <w:rFonts w:hint="eastAsia"/>
          <w:kern w:val="28"/>
        </w:rPr>
        <w:t>三级防控，设置厂界雨污水总排口截断阀，确保废水不会流出厂外。</w:t>
      </w:r>
    </w:p>
    <w:p w14:paraId="5916A8B0" w14:textId="77777777" w:rsidR="003E78AB" w:rsidRDefault="00010BF9">
      <w:pPr>
        <w:pStyle w:val="5"/>
        <w:keepNext w:val="0"/>
        <w:keepLines w:val="0"/>
        <w:ind w:firstLine="482"/>
        <w:rPr>
          <w:sz w:val="24"/>
        </w:rPr>
      </w:pPr>
      <w:r>
        <w:rPr>
          <w:rFonts w:hint="eastAsia"/>
          <w:sz w:val="24"/>
        </w:rPr>
        <w:t>3.</w:t>
      </w:r>
      <w:r>
        <w:rPr>
          <w:rFonts w:hint="eastAsia"/>
          <w:sz w:val="24"/>
        </w:rPr>
        <w:t>事故池设置情况</w:t>
      </w:r>
    </w:p>
    <w:p w14:paraId="55525329" w14:textId="77777777" w:rsidR="003E78AB" w:rsidRDefault="00010BF9">
      <w:pPr>
        <w:ind w:firstLine="480"/>
        <w:rPr>
          <w:kern w:val="28"/>
        </w:rPr>
      </w:pPr>
      <w:r>
        <w:rPr>
          <w:rFonts w:hint="eastAsia"/>
          <w:kern w:val="28"/>
        </w:rPr>
        <w:t>①项目事故废水产生情况</w:t>
      </w:r>
    </w:p>
    <w:p w14:paraId="524D22F6" w14:textId="77777777" w:rsidR="003E78AB" w:rsidRDefault="00010BF9">
      <w:pPr>
        <w:ind w:firstLine="480"/>
        <w:rPr>
          <w:kern w:val="28"/>
        </w:rPr>
      </w:pPr>
      <w:r>
        <w:rPr>
          <w:rFonts w:hint="eastAsia"/>
          <w:kern w:val="28"/>
        </w:rPr>
        <w:t>项目事故储存设施总有效容积计算方法参考《水体污染防控紧急措施设计导则》（中国石化建标〔</w:t>
      </w:r>
      <w:r>
        <w:rPr>
          <w:rFonts w:hint="eastAsia"/>
          <w:kern w:val="28"/>
        </w:rPr>
        <w:t>2006</w:t>
      </w:r>
      <w:r>
        <w:rPr>
          <w:rFonts w:hint="eastAsia"/>
          <w:kern w:val="28"/>
        </w:rPr>
        <w:t>〕</w:t>
      </w:r>
      <w:r>
        <w:rPr>
          <w:rFonts w:hint="eastAsia"/>
          <w:kern w:val="28"/>
        </w:rPr>
        <w:t>43</w:t>
      </w:r>
      <w:r>
        <w:rPr>
          <w:rFonts w:hint="eastAsia"/>
          <w:kern w:val="28"/>
        </w:rPr>
        <w:t>号）。</w:t>
      </w:r>
    </w:p>
    <w:p w14:paraId="744313C0" w14:textId="77777777" w:rsidR="003E78AB" w:rsidRDefault="00010BF9">
      <w:pPr>
        <w:ind w:firstLine="480"/>
        <w:jc w:val="center"/>
        <w:rPr>
          <w:kern w:val="28"/>
        </w:rPr>
      </w:pPr>
      <w:r>
        <w:rPr>
          <w:rFonts w:hint="eastAsia"/>
          <w:kern w:val="28"/>
        </w:rPr>
        <w:t>V</w:t>
      </w:r>
      <w:r>
        <w:rPr>
          <w:rFonts w:hint="eastAsia"/>
          <w:kern w:val="28"/>
          <w:vertAlign w:val="subscript"/>
        </w:rPr>
        <w:t>总</w:t>
      </w:r>
      <w:r>
        <w:rPr>
          <w:rFonts w:hint="eastAsia"/>
          <w:kern w:val="28"/>
        </w:rPr>
        <w:t>=</w:t>
      </w:r>
      <w:r>
        <w:rPr>
          <w:rFonts w:hint="eastAsia"/>
          <w:kern w:val="28"/>
        </w:rPr>
        <w:t>（</w:t>
      </w:r>
      <w:r>
        <w:rPr>
          <w:rFonts w:hint="eastAsia"/>
          <w:kern w:val="28"/>
        </w:rPr>
        <w:t>V</w:t>
      </w:r>
      <w:r>
        <w:rPr>
          <w:rFonts w:hint="eastAsia"/>
          <w:kern w:val="28"/>
          <w:vertAlign w:val="subscript"/>
        </w:rPr>
        <w:t>物料</w:t>
      </w:r>
      <w:r>
        <w:rPr>
          <w:rFonts w:hint="eastAsia"/>
          <w:kern w:val="28"/>
        </w:rPr>
        <w:t>+V</w:t>
      </w:r>
      <w:r>
        <w:rPr>
          <w:rFonts w:hint="eastAsia"/>
          <w:kern w:val="28"/>
          <w:vertAlign w:val="subscript"/>
        </w:rPr>
        <w:t>消</w:t>
      </w:r>
      <w:r>
        <w:rPr>
          <w:rFonts w:hint="eastAsia"/>
          <w:kern w:val="28"/>
        </w:rPr>
        <w:t>-V</w:t>
      </w:r>
      <w:r>
        <w:rPr>
          <w:rFonts w:hint="eastAsia"/>
          <w:kern w:val="28"/>
          <w:vertAlign w:val="subscript"/>
        </w:rPr>
        <w:t>传输</w:t>
      </w:r>
      <w:r>
        <w:rPr>
          <w:rFonts w:hint="eastAsia"/>
          <w:kern w:val="28"/>
        </w:rPr>
        <w:t>）</w:t>
      </w:r>
      <w:r>
        <w:rPr>
          <w:rFonts w:hint="eastAsia"/>
          <w:kern w:val="28"/>
          <w:vertAlign w:val="subscript"/>
        </w:rPr>
        <w:t>max</w:t>
      </w:r>
      <w:r>
        <w:rPr>
          <w:rFonts w:hint="eastAsia"/>
          <w:kern w:val="28"/>
        </w:rPr>
        <w:t>+V</w:t>
      </w:r>
      <w:r>
        <w:rPr>
          <w:rFonts w:hint="eastAsia"/>
          <w:kern w:val="28"/>
          <w:vertAlign w:val="subscript"/>
        </w:rPr>
        <w:t>生产生活</w:t>
      </w:r>
      <w:r>
        <w:rPr>
          <w:rFonts w:hint="eastAsia"/>
          <w:kern w:val="28"/>
        </w:rPr>
        <w:t>+V</w:t>
      </w:r>
      <w:r>
        <w:rPr>
          <w:rFonts w:hint="eastAsia"/>
          <w:kern w:val="28"/>
          <w:vertAlign w:val="subscript"/>
        </w:rPr>
        <w:t>降水</w:t>
      </w:r>
    </w:p>
    <w:p w14:paraId="4C59AB87" w14:textId="77777777" w:rsidR="003E78AB" w:rsidRDefault="00010BF9">
      <w:pPr>
        <w:ind w:firstLine="480"/>
        <w:rPr>
          <w:kern w:val="28"/>
        </w:rPr>
      </w:pPr>
      <w:r>
        <w:rPr>
          <w:rFonts w:hint="eastAsia"/>
          <w:kern w:val="28"/>
        </w:rPr>
        <w:t>（</w:t>
      </w:r>
      <w:r>
        <w:rPr>
          <w:rFonts w:hint="eastAsia"/>
          <w:kern w:val="28"/>
        </w:rPr>
        <w:t>V</w:t>
      </w:r>
      <w:r>
        <w:rPr>
          <w:rFonts w:hint="eastAsia"/>
          <w:kern w:val="28"/>
          <w:vertAlign w:val="subscript"/>
        </w:rPr>
        <w:t>物料</w:t>
      </w:r>
      <w:r>
        <w:rPr>
          <w:rFonts w:hint="eastAsia"/>
          <w:kern w:val="28"/>
        </w:rPr>
        <w:t>+V</w:t>
      </w:r>
      <w:r>
        <w:rPr>
          <w:rFonts w:hint="eastAsia"/>
          <w:kern w:val="28"/>
          <w:vertAlign w:val="subscript"/>
        </w:rPr>
        <w:t>消</w:t>
      </w:r>
      <w:r>
        <w:rPr>
          <w:rFonts w:hint="eastAsia"/>
          <w:kern w:val="28"/>
        </w:rPr>
        <w:t>-V</w:t>
      </w:r>
      <w:r>
        <w:rPr>
          <w:rFonts w:hint="eastAsia"/>
          <w:kern w:val="28"/>
          <w:vertAlign w:val="subscript"/>
        </w:rPr>
        <w:t>传输</w:t>
      </w:r>
      <w:r>
        <w:rPr>
          <w:rFonts w:hint="eastAsia"/>
          <w:kern w:val="28"/>
        </w:rPr>
        <w:t>）</w:t>
      </w:r>
      <w:r>
        <w:rPr>
          <w:rFonts w:hint="eastAsia"/>
          <w:kern w:val="28"/>
          <w:vertAlign w:val="subscript"/>
        </w:rPr>
        <w:t>max</w:t>
      </w:r>
      <w:r>
        <w:rPr>
          <w:rFonts w:hint="eastAsia"/>
          <w:kern w:val="28"/>
        </w:rPr>
        <w:t>—指对收集系统范围内不同罐组或装置分别计算</w:t>
      </w:r>
      <w:r>
        <w:rPr>
          <w:rFonts w:hint="eastAsia"/>
          <w:kern w:val="28"/>
        </w:rPr>
        <w:t>V</w:t>
      </w:r>
      <w:r>
        <w:rPr>
          <w:rFonts w:hint="eastAsia"/>
          <w:kern w:val="28"/>
          <w:vertAlign w:val="subscript"/>
        </w:rPr>
        <w:t>物料</w:t>
      </w:r>
      <w:r>
        <w:rPr>
          <w:rFonts w:hint="eastAsia"/>
          <w:kern w:val="28"/>
        </w:rPr>
        <w:t>+V</w:t>
      </w:r>
      <w:r>
        <w:rPr>
          <w:rFonts w:hint="eastAsia"/>
          <w:kern w:val="28"/>
          <w:vertAlign w:val="subscript"/>
        </w:rPr>
        <w:t>消</w:t>
      </w:r>
      <w:r>
        <w:rPr>
          <w:rFonts w:hint="eastAsia"/>
          <w:kern w:val="28"/>
        </w:rPr>
        <w:t>-V</w:t>
      </w:r>
      <w:r>
        <w:rPr>
          <w:rFonts w:hint="eastAsia"/>
          <w:kern w:val="28"/>
          <w:vertAlign w:val="subscript"/>
        </w:rPr>
        <w:t>传输</w:t>
      </w:r>
      <w:r>
        <w:rPr>
          <w:rFonts w:hint="eastAsia"/>
          <w:kern w:val="28"/>
        </w:rPr>
        <w:t>，取其中最大值；</w:t>
      </w:r>
    </w:p>
    <w:p w14:paraId="271640C6" w14:textId="77777777" w:rsidR="003E78AB" w:rsidRDefault="00010BF9">
      <w:pPr>
        <w:ind w:firstLine="480"/>
        <w:rPr>
          <w:kern w:val="28"/>
        </w:rPr>
      </w:pPr>
      <w:r>
        <w:rPr>
          <w:rFonts w:hint="eastAsia"/>
          <w:kern w:val="28"/>
        </w:rPr>
        <w:t>V</w:t>
      </w:r>
      <w:r>
        <w:rPr>
          <w:rFonts w:hint="eastAsia"/>
          <w:kern w:val="28"/>
          <w:vertAlign w:val="subscript"/>
        </w:rPr>
        <w:t>物料</w:t>
      </w:r>
      <w:r>
        <w:rPr>
          <w:rFonts w:hint="eastAsia"/>
          <w:kern w:val="28"/>
        </w:rPr>
        <w:t>—收集系统范围内发生事故的一个罐组或一套装置的物料量，</w:t>
      </w:r>
      <w:r>
        <w:rPr>
          <w:rFonts w:hint="eastAsia"/>
          <w:kern w:val="28"/>
        </w:rPr>
        <w:t>m</w:t>
      </w:r>
      <w:r>
        <w:rPr>
          <w:rFonts w:hint="eastAsia"/>
          <w:kern w:val="28"/>
          <w:vertAlign w:val="subscript"/>
        </w:rPr>
        <w:t>3</w:t>
      </w:r>
      <w:r>
        <w:rPr>
          <w:rFonts w:hint="eastAsia"/>
          <w:kern w:val="28"/>
        </w:rPr>
        <w:t>；储存相同物料的罐组按一个最大储罐计，装置物料量按存留最大物料量的一台反应器或中间储罐计；</w:t>
      </w:r>
    </w:p>
    <w:p w14:paraId="1BBFA088" w14:textId="77777777" w:rsidR="003E78AB" w:rsidRDefault="00010BF9">
      <w:pPr>
        <w:ind w:firstLine="480"/>
        <w:rPr>
          <w:kern w:val="28"/>
        </w:rPr>
      </w:pPr>
      <w:r>
        <w:rPr>
          <w:rFonts w:hint="eastAsia"/>
          <w:kern w:val="28"/>
        </w:rPr>
        <w:t>V</w:t>
      </w:r>
      <w:r>
        <w:rPr>
          <w:rFonts w:hint="eastAsia"/>
          <w:kern w:val="28"/>
          <w:vertAlign w:val="subscript"/>
        </w:rPr>
        <w:t>消</w:t>
      </w:r>
      <w:r>
        <w:rPr>
          <w:rFonts w:hint="eastAsia"/>
          <w:kern w:val="28"/>
        </w:rPr>
        <w:t>—发生事故的储罐或装置的消防水量，</w:t>
      </w:r>
      <w:r>
        <w:rPr>
          <w:rFonts w:hint="eastAsia"/>
          <w:kern w:val="28"/>
        </w:rPr>
        <w:t>m</w:t>
      </w:r>
      <w:r>
        <w:rPr>
          <w:rFonts w:hint="eastAsia"/>
          <w:kern w:val="28"/>
          <w:vertAlign w:val="subscript"/>
        </w:rPr>
        <w:t>3</w:t>
      </w:r>
      <w:r>
        <w:rPr>
          <w:rFonts w:hint="eastAsia"/>
          <w:kern w:val="28"/>
        </w:rPr>
        <w:t>；</w:t>
      </w:r>
    </w:p>
    <w:p w14:paraId="217E4884" w14:textId="77777777" w:rsidR="003E78AB" w:rsidRDefault="00010BF9">
      <w:pPr>
        <w:ind w:firstLine="480"/>
        <w:rPr>
          <w:kern w:val="28"/>
        </w:rPr>
      </w:pPr>
      <w:r>
        <w:rPr>
          <w:rFonts w:hint="eastAsia"/>
          <w:kern w:val="28"/>
        </w:rPr>
        <w:t>V</w:t>
      </w:r>
      <w:r>
        <w:rPr>
          <w:rFonts w:hint="eastAsia"/>
          <w:kern w:val="28"/>
          <w:vertAlign w:val="subscript"/>
        </w:rPr>
        <w:t>转输</w:t>
      </w:r>
      <w:r>
        <w:rPr>
          <w:rFonts w:hint="eastAsia"/>
          <w:kern w:val="28"/>
        </w:rPr>
        <w:t>—发生事故时可以转输到其他储存或处理设施的物料量，</w:t>
      </w:r>
      <w:r>
        <w:rPr>
          <w:rFonts w:hint="eastAsia"/>
          <w:kern w:val="28"/>
        </w:rPr>
        <w:t>m</w:t>
      </w:r>
      <w:r>
        <w:rPr>
          <w:rFonts w:hint="eastAsia"/>
          <w:kern w:val="28"/>
          <w:vertAlign w:val="subscript"/>
        </w:rPr>
        <w:t>3</w:t>
      </w:r>
      <w:r>
        <w:rPr>
          <w:rFonts w:hint="eastAsia"/>
          <w:kern w:val="28"/>
        </w:rPr>
        <w:t>；</w:t>
      </w:r>
    </w:p>
    <w:p w14:paraId="04B0B1E5" w14:textId="77777777" w:rsidR="003E78AB" w:rsidRDefault="00010BF9">
      <w:pPr>
        <w:ind w:firstLine="480"/>
        <w:rPr>
          <w:kern w:val="28"/>
        </w:rPr>
      </w:pPr>
      <w:r>
        <w:rPr>
          <w:rFonts w:hint="eastAsia"/>
          <w:kern w:val="28"/>
        </w:rPr>
        <w:t>V</w:t>
      </w:r>
      <w:r>
        <w:rPr>
          <w:rFonts w:hint="eastAsia"/>
          <w:kern w:val="28"/>
          <w:vertAlign w:val="subscript"/>
        </w:rPr>
        <w:t>生产生活</w:t>
      </w:r>
      <w:r>
        <w:rPr>
          <w:rFonts w:hint="eastAsia"/>
          <w:kern w:val="28"/>
        </w:rPr>
        <w:t>—发生事故时仍必须进入该收集系统的生产、生活污水量，</w:t>
      </w:r>
      <w:r>
        <w:rPr>
          <w:rFonts w:hint="eastAsia"/>
          <w:kern w:val="28"/>
        </w:rPr>
        <w:t>m</w:t>
      </w:r>
      <w:r>
        <w:rPr>
          <w:rFonts w:hint="eastAsia"/>
          <w:kern w:val="28"/>
          <w:vertAlign w:val="subscript"/>
        </w:rPr>
        <w:t>3</w:t>
      </w:r>
      <w:r>
        <w:rPr>
          <w:rFonts w:hint="eastAsia"/>
          <w:kern w:val="28"/>
        </w:rPr>
        <w:t>；</w:t>
      </w:r>
    </w:p>
    <w:p w14:paraId="09A54BAD" w14:textId="77777777" w:rsidR="003E78AB" w:rsidRDefault="00010BF9">
      <w:pPr>
        <w:ind w:firstLine="480"/>
        <w:rPr>
          <w:kern w:val="28"/>
        </w:rPr>
      </w:pPr>
      <w:r>
        <w:rPr>
          <w:rFonts w:hint="eastAsia"/>
          <w:kern w:val="28"/>
        </w:rPr>
        <w:t>V</w:t>
      </w:r>
      <w:r>
        <w:rPr>
          <w:rFonts w:hint="eastAsia"/>
          <w:kern w:val="28"/>
          <w:vertAlign w:val="subscript"/>
        </w:rPr>
        <w:t>降水</w:t>
      </w:r>
      <w:r>
        <w:rPr>
          <w:rFonts w:hint="eastAsia"/>
          <w:kern w:val="28"/>
        </w:rPr>
        <w:t>—发生事故时可能进入该收集系统的降雨量，</w:t>
      </w:r>
      <w:r>
        <w:rPr>
          <w:rFonts w:hint="eastAsia"/>
          <w:kern w:val="28"/>
        </w:rPr>
        <w:t>m</w:t>
      </w:r>
      <w:r>
        <w:rPr>
          <w:rFonts w:hint="eastAsia"/>
          <w:kern w:val="28"/>
          <w:vertAlign w:val="subscript"/>
        </w:rPr>
        <w:t>3</w:t>
      </w:r>
      <w:r>
        <w:rPr>
          <w:rFonts w:hint="eastAsia"/>
          <w:kern w:val="28"/>
        </w:rPr>
        <w:t>。</w:t>
      </w:r>
    </w:p>
    <w:p w14:paraId="2554E924" w14:textId="77777777" w:rsidR="003E78AB" w:rsidRDefault="00010BF9">
      <w:pPr>
        <w:ind w:firstLine="480"/>
        <w:rPr>
          <w:kern w:val="28"/>
        </w:rPr>
      </w:pPr>
      <w:r>
        <w:rPr>
          <w:rFonts w:hint="eastAsia"/>
          <w:kern w:val="28"/>
        </w:rPr>
        <w:t>I</w:t>
      </w:r>
      <w:r>
        <w:rPr>
          <w:rFonts w:hint="eastAsia"/>
          <w:kern w:val="28"/>
        </w:rPr>
        <w:t>．物料泄漏收集量</w:t>
      </w:r>
    </w:p>
    <w:p w14:paraId="4580D3E2" w14:textId="77777777" w:rsidR="003E78AB" w:rsidRDefault="00010BF9">
      <w:pPr>
        <w:ind w:firstLine="480"/>
        <w:rPr>
          <w:kern w:val="28"/>
        </w:rPr>
      </w:pPr>
      <w:r>
        <w:rPr>
          <w:rFonts w:hint="eastAsia"/>
          <w:kern w:val="28"/>
        </w:rPr>
        <w:t>对于可能进入事故水池的泄漏物料量应按照</w:t>
      </w:r>
      <w:r>
        <w:rPr>
          <w:rFonts w:hint="eastAsia"/>
          <w:kern w:val="28"/>
        </w:rPr>
        <w:t>V</w:t>
      </w:r>
      <w:r>
        <w:rPr>
          <w:rFonts w:hint="eastAsia"/>
          <w:kern w:val="28"/>
          <w:vertAlign w:val="subscript"/>
        </w:rPr>
        <w:t>物料</w:t>
      </w:r>
      <w:r>
        <w:rPr>
          <w:rFonts w:hint="eastAsia"/>
          <w:kern w:val="28"/>
        </w:rPr>
        <w:t>-V</w:t>
      </w:r>
      <w:r>
        <w:rPr>
          <w:rFonts w:hint="eastAsia"/>
          <w:kern w:val="28"/>
          <w:vertAlign w:val="subscript"/>
        </w:rPr>
        <w:t>传输</w:t>
      </w:r>
      <w:r>
        <w:rPr>
          <w:rFonts w:hint="eastAsia"/>
          <w:kern w:val="28"/>
        </w:rPr>
        <w:t>计算。</w:t>
      </w:r>
      <w:r>
        <w:rPr>
          <w:rFonts w:hint="eastAsia"/>
          <w:kern w:val="28"/>
        </w:rPr>
        <w:t>V</w:t>
      </w:r>
      <w:r>
        <w:rPr>
          <w:rFonts w:hint="eastAsia"/>
          <w:kern w:val="28"/>
        </w:rPr>
        <w:t>物料以项目罐区最大储槽物料量核算。</w:t>
      </w:r>
    </w:p>
    <w:p w14:paraId="7A4D5BB7" w14:textId="77777777" w:rsidR="003E78AB" w:rsidRDefault="00010BF9">
      <w:pPr>
        <w:ind w:firstLine="480"/>
        <w:rPr>
          <w:kern w:val="28"/>
        </w:rPr>
      </w:pPr>
      <w:r>
        <w:rPr>
          <w:rFonts w:hint="eastAsia"/>
          <w:kern w:val="28"/>
        </w:rPr>
        <w:t>项目工程实施后液体库共设置</w:t>
      </w:r>
      <w:r>
        <w:rPr>
          <w:rFonts w:hint="eastAsia"/>
          <w:kern w:val="28"/>
        </w:rPr>
        <w:t>4</w:t>
      </w:r>
      <w:r>
        <w:rPr>
          <w:rFonts w:hint="eastAsia"/>
          <w:kern w:val="28"/>
        </w:rPr>
        <w:t>座</w:t>
      </w:r>
      <w:r>
        <w:rPr>
          <w:rFonts w:hint="eastAsia"/>
          <w:kern w:val="28"/>
        </w:rPr>
        <w:t>200m</w:t>
      </w:r>
      <w:r>
        <w:rPr>
          <w:rFonts w:hint="eastAsia"/>
          <w:kern w:val="28"/>
          <w:vertAlign w:val="superscript"/>
        </w:rPr>
        <w:t>3</w:t>
      </w:r>
      <w:r>
        <w:rPr>
          <w:rFonts w:hint="eastAsia"/>
          <w:kern w:val="28"/>
        </w:rPr>
        <w:t>98%</w:t>
      </w:r>
      <w:r>
        <w:rPr>
          <w:rFonts w:hint="eastAsia"/>
          <w:kern w:val="28"/>
        </w:rPr>
        <w:t>硫酸储罐、</w:t>
      </w:r>
      <w:r>
        <w:rPr>
          <w:rFonts w:hint="eastAsia"/>
          <w:kern w:val="28"/>
        </w:rPr>
        <w:t>3</w:t>
      </w:r>
      <w:r>
        <w:rPr>
          <w:rFonts w:hint="eastAsia"/>
          <w:kern w:val="28"/>
        </w:rPr>
        <w:t>座</w:t>
      </w:r>
      <w:r>
        <w:rPr>
          <w:rFonts w:hint="eastAsia"/>
          <w:kern w:val="28"/>
        </w:rPr>
        <w:t>70m</w:t>
      </w:r>
      <w:r>
        <w:rPr>
          <w:rFonts w:hint="eastAsia"/>
          <w:kern w:val="28"/>
          <w:vertAlign w:val="superscript"/>
        </w:rPr>
        <w:t>3</w:t>
      </w:r>
      <w:r>
        <w:rPr>
          <w:rFonts w:hint="eastAsia"/>
          <w:kern w:val="28"/>
        </w:rPr>
        <w:t>磷</w:t>
      </w:r>
      <w:r>
        <w:rPr>
          <w:rFonts w:hint="eastAsia"/>
          <w:kern w:val="28"/>
        </w:rPr>
        <w:t>酸储罐，生产车间灌装区设</w:t>
      </w:r>
      <w:r>
        <w:rPr>
          <w:rFonts w:hint="eastAsia"/>
          <w:kern w:val="28"/>
        </w:rPr>
        <w:t>10</w:t>
      </w:r>
      <w:r>
        <w:rPr>
          <w:rFonts w:hint="eastAsia"/>
          <w:kern w:val="28"/>
        </w:rPr>
        <w:t>座</w:t>
      </w:r>
      <w:r>
        <w:rPr>
          <w:rFonts w:hint="eastAsia"/>
          <w:kern w:val="28"/>
        </w:rPr>
        <w:t>200m</w:t>
      </w:r>
      <w:r>
        <w:rPr>
          <w:rFonts w:hint="eastAsia"/>
          <w:kern w:val="28"/>
          <w:vertAlign w:val="superscript"/>
        </w:rPr>
        <w:t>3</w:t>
      </w:r>
      <w:r>
        <w:rPr>
          <w:rFonts w:hint="eastAsia"/>
          <w:kern w:val="28"/>
        </w:rPr>
        <w:t>电解液成品储罐，</w:t>
      </w:r>
      <w:r>
        <w:rPr>
          <w:rFonts w:hint="eastAsia"/>
          <w:b/>
          <w:bCs/>
          <w:kern w:val="28"/>
          <w:u w:val="single"/>
        </w:rPr>
        <w:t>均为重点防渗区</w:t>
      </w:r>
      <w:r>
        <w:rPr>
          <w:rFonts w:hint="eastAsia"/>
          <w:kern w:val="28"/>
        </w:rPr>
        <w:t>。液体库最大储罐为硫酸储罐，单个储罐容积</w:t>
      </w:r>
      <w:r>
        <w:rPr>
          <w:rFonts w:hint="eastAsia"/>
          <w:kern w:val="28"/>
        </w:rPr>
        <w:t>200m</w:t>
      </w:r>
      <w:r>
        <w:rPr>
          <w:rFonts w:hint="eastAsia"/>
          <w:kern w:val="28"/>
          <w:vertAlign w:val="superscript"/>
        </w:rPr>
        <w:t>3</w:t>
      </w:r>
      <w:r>
        <w:rPr>
          <w:rFonts w:hint="eastAsia"/>
          <w:kern w:val="28"/>
        </w:rPr>
        <w:t>，按填装量</w:t>
      </w:r>
      <w:r>
        <w:rPr>
          <w:rFonts w:hint="eastAsia"/>
          <w:kern w:val="28"/>
        </w:rPr>
        <w:t>80%</w:t>
      </w:r>
      <w:r>
        <w:rPr>
          <w:rFonts w:hint="eastAsia"/>
          <w:kern w:val="28"/>
        </w:rPr>
        <w:t>核算，则发生泄漏时物料量约</w:t>
      </w:r>
      <w:r>
        <w:rPr>
          <w:rFonts w:hint="eastAsia"/>
          <w:kern w:val="28"/>
        </w:rPr>
        <w:t>160m</w:t>
      </w:r>
      <w:r>
        <w:rPr>
          <w:rFonts w:hint="eastAsia"/>
          <w:kern w:val="28"/>
          <w:vertAlign w:val="superscript"/>
        </w:rPr>
        <w:t>3</w:t>
      </w:r>
      <w:r>
        <w:rPr>
          <w:rFonts w:hint="eastAsia"/>
          <w:kern w:val="28"/>
        </w:rPr>
        <w:t>；硫酸储罐</w:t>
      </w:r>
      <w:r>
        <w:rPr>
          <w:rFonts w:hint="eastAsia"/>
          <w:kern w:val="28"/>
        </w:rPr>
        <w:t>3</w:t>
      </w:r>
      <w:r>
        <w:rPr>
          <w:rFonts w:hint="eastAsia"/>
          <w:kern w:val="28"/>
        </w:rPr>
        <w:t>用</w:t>
      </w:r>
      <w:r>
        <w:rPr>
          <w:rFonts w:hint="eastAsia"/>
          <w:kern w:val="28"/>
        </w:rPr>
        <w:t>1</w:t>
      </w:r>
      <w:r>
        <w:rPr>
          <w:rFonts w:hint="eastAsia"/>
          <w:kern w:val="28"/>
        </w:rPr>
        <w:t>备，可及时周转至备用罐；液体库（</w:t>
      </w:r>
      <w:r>
        <w:rPr>
          <w:rFonts w:hint="eastAsia"/>
          <w:kern w:val="28"/>
        </w:rPr>
        <w:t>30m</w:t>
      </w:r>
      <w:r>
        <w:rPr>
          <w:rFonts w:hint="eastAsia"/>
          <w:kern w:val="28"/>
        </w:rPr>
        <w:t>×</w:t>
      </w:r>
      <w:r>
        <w:rPr>
          <w:rFonts w:hint="eastAsia"/>
          <w:kern w:val="28"/>
        </w:rPr>
        <w:t>21m</w:t>
      </w:r>
      <w:r>
        <w:rPr>
          <w:rFonts w:hint="eastAsia"/>
          <w:kern w:val="28"/>
        </w:rPr>
        <w:t>）为</w:t>
      </w:r>
      <w:r>
        <w:rPr>
          <w:rFonts w:hint="eastAsia"/>
          <w:kern w:val="28"/>
        </w:rPr>
        <w:t>-2.2m</w:t>
      </w:r>
      <w:r>
        <w:rPr>
          <w:rFonts w:hint="eastAsia"/>
          <w:kern w:val="28"/>
        </w:rPr>
        <w:t>半地坑式，容积约</w:t>
      </w:r>
      <w:r>
        <w:rPr>
          <w:rFonts w:hint="eastAsia"/>
          <w:kern w:val="28"/>
        </w:rPr>
        <w:t>1364m</w:t>
      </w:r>
      <w:r>
        <w:rPr>
          <w:rFonts w:hint="eastAsia"/>
          <w:kern w:val="28"/>
          <w:vertAlign w:val="superscript"/>
        </w:rPr>
        <w:t>3</w:t>
      </w:r>
      <w:r>
        <w:rPr>
          <w:rFonts w:hint="eastAsia"/>
          <w:kern w:val="28"/>
        </w:rPr>
        <w:t>，可全部拦截泄漏物料。生产车间最大储罐为电解液成品储罐，单个储罐容积</w:t>
      </w:r>
      <w:r>
        <w:rPr>
          <w:rFonts w:hint="eastAsia"/>
          <w:kern w:val="28"/>
        </w:rPr>
        <w:t>200m</w:t>
      </w:r>
      <w:r>
        <w:rPr>
          <w:rFonts w:hint="eastAsia"/>
          <w:kern w:val="28"/>
          <w:vertAlign w:val="superscript"/>
        </w:rPr>
        <w:t>3</w:t>
      </w:r>
      <w:r>
        <w:rPr>
          <w:rFonts w:hint="eastAsia"/>
          <w:kern w:val="28"/>
        </w:rPr>
        <w:t>，按填装量</w:t>
      </w:r>
      <w:r>
        <w:rPr>
          <w:rFonts w:hint="eastAsia"/>
          <w:kern w:val="28"/>
        </w:rPr>
        <w:t>80%</w:t>
      </w:r>
      <w:r>
        <w:rPr>
          <w:rFonts w:hint="eastAsia"/>
          <w:kern w:val="28"/>
        </w:rPr>
        <w:t>核算，则发生泄漏时物料量约</w:t>
      </w:r>
      <w:r>
        <w:rPr>
          <w:rFonts w:hint="eastAsia"/>
          <w:kern w:val="28"/>
        </w:rPr>
        <w:t>160m</w:t>
      </w:r>
      <w:r>
        <w:rPr>
          <w:rFonts w:hint="eastAsia"/>
          <w:kern w:val="28"/>
          <w:vertAlign w:val="superscript"/>
        </w:rPr>
        <w:t>3</w:t>
      </w:r>
      <w:r>
        <w:rPr>
          <w:rFonts w:hint="eastAsia"/>
          <w:kern w:val="28"/>
        </w:rPr>
        <w:t>；成品罐</w:t>
      </w:r>
      <w:r>
        <w:rPr>
          <w:rFonts w:hint="eastAsia"/>
          <w:kern w:val="28"/>
        </w:rPr>
        <w:t>8</w:t>
      </w:r>
      <w:r>
        <w:rPr>
          <w:rFonts w:hint="eastAsia"/>
          <w:kern w:val="28"/>
        </w:rPr>
        <w:t>用</w:t>
      </w:r>
      <w:r>
        <w:rPr>
          <w:rFonts w:hint="eastAsia"/>
          <w:kern w:val="28"/>
        </w:rPr>
        <w:t>2</w:t>
      </w:r>
      <w:r>
        <w:rPr>
          <w:rFonts w:hint="eastAsia"/>
          <w:kern w:val="28"/>
        </w:rPr>
        <w:t>备，可及时周转至备用罐；成品罐区域（</w:t>
      </w:r>
      <w:r>
        <w:rPr>
          <w:rFonts w:hint="eastAsia"/>
          <w:kern w:val="28"/>
        </w:rPr>
        <w:t>50m</w:t>
      </w:r>
      <w:r>
        <w:rPr>
          <w:rFonts w:hint="eastAsia"/>
          <w:kern w:val="28"/>
        </w:rPr>
        <w:t>×</w:t>
      </w:r>
      <w:r>
        <w:rPr>
          <w:rFonts w:hint="eastAsia"/>
          <w:kern w:val="28"/>
        </w:rPr>
        <w:t>21m</w:t>
      </w:r>
      <w:r>
        <w:rPr>
          <w:rFonts w:hint="eastAsia"/>
          <w:kern w:val="28"/>
        </w:rPr>
        <w:t>）为</w:t>
      </w:r>
      <w:r>
        <w:rPr>
          <w:rFonts w:hint="eastAsia"/>
          <w:kern w:val="28"/>
        </w:rPr>
        <w:t>-1.0m</w:t>
      </w:r>
      <w:r>
        <w:rPr>
          <w:rFonts w:hint="eastAsia"/>
          <w:kern w:val="28"/>
        </w:rPr>
        <w:t>半地坑式，容积约</w:t>
      </w:r>
      <w:r>
        <w:rPr>
          <w:rFonts w:hint="eastAsia"/>
          <w:kern w:val="28"/>
        </w:rPr>
        <w:t>1050m</w:t>
      </w:r>
      <w:r>
        <w:rPr>
          <w:rFonts w:hint="eastAsia"/>
          <w:kern w:val="28"/>
          <w:vertAlign w:val="superscript"/>
        </w:rPr>
        <w:t>3</w:t>
      </w:r>
      <w:r>
        <w:rPr>
          <w:rFonts w:hint="eastAsia"/>
          <w:kern w:val="28"/>
        </w:rPr>
        <w:t>，可全部拦截泄漏物料。</w:t>
      </w:r>
    </w:p>
    <w:p w14:paraId="04C47ACA" w14:textId="77777777" w:rsidR="003E78AB" w:rsidRDefault="00010BF9">
      <w:pPr>
        <w:ind w:firstLine="480"/>
        <w:rPr>
          <w:kern w:val="28"/>
        </w:rPr>
      </w:pPr>
      <w:r>
        <w:rPr>
          <w:rFonts w:hint="eastAsia"/>
          <w:kern w:val="28"/>
        </w:rPr>
        <w:t>II</w:t>
      </w:r>
      <w:r>
        <w:rPr>
          <w:rFonts w:hint="eastAsia"/>
          <w:kern w:val="28"/>
        </w:rPr>
        <w:t>．消防废水</w:t>
      </w:r>
    </w:p>
    <w:p w14:paraId="00A73BE1" w14:textId="77777777" w:rsidR="003E78AB" w:rsidRDefault="00010BF9">
      <w:pPr>
        <w:ind w:firstLine="480"/>
        <w:rPr>
          <w:kern w:val="28"/>
        </w:rPr>
      </w:pPr>
      <w:r>
        <w:rPr>
          <w:rFonts w:hint="eastAsia"/>
          <w:kern w:val="28"/>
        </w:rPr>
        <w:t>根据《消防给水及消火栓系统技术规范》（</w:t>
      </w:r>
      <w:r>
        <w:rPr>
          <w:rFonts w:hint="eastAsia"/>
          <w:kern w:val="28"/>
        </w:rPr>
        <w:t>GB50974-2014</w:t>
      </w:r>
      <w:r>
        <w:rPr>
          <w:rFonts w:hint="eastAsia"/>
          <w:kern w:val="28"/>
        </w:rPr>
        <w:t>），项目消防给水按室内、外消防给水用水量之和核算，两座及以上建筑合用时，应取最大值。</w:t>
      </w:r>
    </w:p>
    <w:p w14:paraId="2AB0C576" w14:textId="77777777" w:rsidR="003E78AB" w:rsidRDefault="00010BF9">
      <w:pPr>
        <w:ind w:firstLine="480"/>
        <w:rPr>
          <w:kern w:val="28"/>
        </w:rPr>
      </w:pPr>
      <w:r>
        <w:rPr>
          <w:rFonts w:hint="eastAsia"/>
          <w:kern w:val="28"/>
        </w:rPr>
        <w:t>根据工程分析，项目原辅料为</w:t>
      </w:r>
      <w:r>
        <w:rPr>
          <w:rFonts w:hint="eastAsia"/>
          <w:kern w:val="28"/>
        </w:rPr>
        <w:t>V</w:t>
      </w:r>
      <w:r>
        <w:rPr>
          <w:rFonts w:hint="eastAsia"/>
          <w:kern w:val="28"/>
          <w:vertAlign w:val="subscript"/>
        </w:rPr>
        <w:t>2</w:t>
      </w:r>
      <w:r>
        <w:rPr>
          <w:rFonts w:hint="eastAsia"/>
          <w:kern w:val="28"/>
        </w:rPr>
        <w:t>O</w:t>
      </w:r>
      <w:r>
        <w:rPr>
          <w:rFonts w:hint="eastAsia"/>
          <w:kern w:val="28"/>
          <w:vertAlign w:val="subscript"/>
        </w:rPr>
        <w:t>5</w:t>
      </w:r>
      <w:r>
        <w:rPr>
          <w:rFonts w:hint="eastAsia"/>
          <w:kern w:val="28"/>
        </w:rPr>
        <w:t>、硫酸、磷酸，为丁、戊类物质，属于难燃烧或不易燃烧物品，最大的易燃点为厂区危险废物暂存间暂存的废矿物油，火灾危险性为丙</w:t>
      </w:r>
      <w:r>
        <w:rPr>
          <w:rFonts w:hint="eastAsia"/>
          <w:kern w:val="28"/>
        </w:rPr>
        <w:t>B</w:t>
      </w:r>
      <w:r>
        <w:rPr>
          <w:rFonts w:hint="eastAsia"/>
          <w:kern w:val="28"/>
        </w:rPr>
        <w:t>类，根据相关规范，危险废物暂存间室内消火栓设计流量为</w:t>
      </w:r>
      <w:r>
        <w:rPr>
          <w:rFonts w:hint="eastAsia"/>
          <w:kern w:val="28"/>
        </w:rPr>
        <w:t>15L/s</w:t>
      </w:r>
      <w:r>
        <w:rPr>
          <w:rFonts w:hint="eastAsia"/>
          <w:kern w:val="28"/>
        </w:rPr>
        <w:t>，厂房及仓库室外消火栓设计流量为</w:t>
      </w:r>
      <w:r>
        <w:rPr>
          <w:rFonts w:hint="eastAsia"/>
          <w:kern w:val="28"/>
        </w:rPr>
        <w:t>15L/s</w:t>
      </w:r>
      <w:r>
        <w:rPr>
          <w:rFonts w:hint="eastAsia"/>
          <w:kern w:val="28"/>
        </w:rPr>
        <w:t>，火灾延续供水时间按</w:t>
      </w:r>
      <w:r>
        <w:rPr>
          <w:rFonts w:hint="eastAsia"/>
          <w:kern w:val="28"/>
        </w:rPr>
        <w:t>2h</w:t>
      </w:r>
      <w:r>
        <w:rPr>
          <w:rFonts w:hint="eastAsia"/>
          <w:kern w:val="28"/>
        </w:rPr>
        <w:t>计算，则核算项目最大消防用水量约</w:t>
      </w:r>
      <w:r>
        <w:rPr>
          <w:rFonts w:hint="eastAsia"/>
          <w:kern w:val="28"/>
        </w:rPr>
        <w:t>108m</w:t>
      </w:r>
      <w:r>
        <w:rPr>
          <w:rFonts w:hint="eastAsia"/>
          <w:kern w:val="28"/>
          <w:vertAlign w:val="superscript"/>
        </w:rPr>
        <w:t>3</w:t>
      </w:r>
      <w:r>
        <w:rPr>
          <w:rFonts w:hint="eastAsia"/>
          <w:kern w:val="28"/>
        </w:rPr>
        <w:t>。</w:t>
      </w:r>
    </w:p>
    <w:p w14:paraId="5A94057A" w14:textId="77777777" w:rsidR="003E78AB" w:rsidRDefault="00010BF9">
      <w:pPr>
        <w:ind w:firstLine="480"/>
        <w:rPr>
          <w:kern w:val="28"/>
        </w:rPr>
      </w:pPr>
      <w:r>
        <w:rPr>
          <w:rFonts w:hint="eastAsia"/>
          <w:kern w:val="28"/>
        </w:rPr>
        <w:t>III</w:t>
      </w:r>
      <w:r>
        <w:rPr>
          <w:rFonts w:hint="eastAsia"/>
          <w:kern w:val="28"/>
        </w:rPr>
        <w:t>．生产、生活事故废水</w:t>
      </w:r>
    </w:p>
    <w:p w14:paraId="7BA2F4D8" w14:textId="77777777" w:rsidR="003E78AB" w:rsidRDefault="00010BF9">
      <w:pPr>
        <w:ind w:firstLine="480"/>
        <w:rPr>
          <w:kern w:val="28"/>
        </w:rPr>
      </w:pPr>
      <w:r>
        <w:rPr>
          <w:rFonts w:hint="eastAsia"/>
          <w:kern w:val="28"/>
        </w:rPr>
        <w:t>考虑生产车间泄漏洗消过程可能产生的废水，进入事故池暂存。</w:t>
      </w:r>
    </w:p>
    <w:p w14:paraId="3597EA9F" w14:textId="77777777" w:rsidR="003E78AB" w:rsidRDefault="00010BF9">
      <w:pPr>
        <w:ind w:firstLine="480"/>
        <w:rPr>
          <w:kern w:val="28"/>
        </w:rPr>
      </w:pPr>
      <w:r>
        <w:rPr>
          <w:rFonts w:hint="eastAsia"/>
          <w:kern w:val="28"/>
        </w:rPr>
        <w:t>生产事故性废水按下式计算：</w:t>
      </w:r>
    </w:p>
    <w:p w14:paraId="20109BD2" w14:textId="77777777" w:rsidR="003E78AB" w:rsidRDefault="00010BF9">
      <w:pPr>
        <w:ind w:firstLine="480"/>
        <w:jc w:val="center"/>
        <w:rPr>
          <w:kern w:val="28"/>
        </w:rPr>
      </w:pPr>
      <w:r>
        <w:rPr>
          <w:rFonts w:hint="eastAsia"/>
          <w:kern w:val="28"/>
        </w:rPr>
        <w:t>V</w:t>
      </w:r>
      <w:r>
        <w:rPr>
          <w:rFonts w:hint="eastAsia"/>
          <w:kern w:val="28"/>
          <w:vertAlign w:val="subscript"/>
        </w:rPr>
        <w:t>生产生活</w:t>
      </w:r>
      <w:r>
        <w:rPr>
          <w:rFonts w:hint="eastAsia"/>
          <w:kern w:val="28"/>
        </w:rPr>
        <w:t>=Q</w:t>
      </w:r>
      <w:r>
        <w:rPr>
          <w:rFonts w:hint="eastAsia"/>
          <w:kern w:val="28"/>
          <w:vertAlign w:val="subscript"/>
        </w:rPr>
        <w:t>生产生活</w:t>
      </w:r>
      <w:r>
        <w:rPr>
          <w:rFonts w:hint="eastAsia"/>
          <w:kern w:val="28"/>
        </w:rPr>
        <w:t>×</w:t>
      </w:r>
      <w:r>
        <w:rPr>
          <w:rFonts w:hint="eastAsia"/>
          <w:kern w:val="28"/>
        </w:rPr>
        <w:t>t</w:t>
      </w:r>
      <w:r>
        <w:rPr>
          <w:rFonts w:hint="eastAsia"/>
          <w:kern w:val="28"/>
          <w:vertAlign w:val="subscript"/>
        </w:rPr>
        <w:t>故障</w:t>
      </w:r>
    </w:p>
    <w:p w14:paraId="38369AC3" w14:textId="77777777" w:rsidR="003E78AB" w:rsidRDefault="00010BF9">
      <w:pPr>
        <w:ind w:firstLine="480"/>
        <w:rPr>
          <w:kern w:val="28"/>
        </w:rPr>
      </w:pPr>
      <w:r>
        <w:rPr>
          <w:rFonts w:hint="eastAsia"/>
          <w:kern w:val="28"/>
        </w:rPr>
        <w:t>Q</w:t>
      </w:r>
      <w:r>
        <w:rPr>
          <w:rFonts w:hint="eastAsia"/>
          <w:kern w:val="28"/>
          <w:vertAlign w:val="subscript"/>
        </w:rPr>
        <w:t>生产生活</w:t>
      </w:r>
      <w:r>
        <w:rPr>
          <w:rFonts w:hint="eastAsia"/>
          <w:kern w:val="28"/>
        </w:rPr>
        <w:t>——洗消水量，生产车间主要生产装置区域占地面积约</w:t>
      </w:r>
      <w:r>
        <w:rPr>
          <w:rFonts w:hint="eastAsia"/>
          <w:kern w:val="28"/>
        </w:rPr>
        <w:t>1280m</w:t>
      </w:r>
      <w:r>
        <w:rPr>
          <w:rFonts w:hint="eastAsia"/>
          <w:kern w:val="28"/>
          <w:vertAlign w:val="superscript"/>
        </w:rPr>
        <w:t>2</w:t>
      </w:r>
      <w:r>
        <w:rPr>
          <w:rFonts w:hint="eastAsia"/>
          <w:kern w:val="28"/>
        </w:rPr>
        <w:t>，室内消火栓设计流量为</w:t>
      </w:r>
      <w:r>
        <w:rPr>
          <w:rFonts w:hint="eastAsia"/>
          <w:kern w:val="28"/>
        </w:rPr>
        <w:t>45L/s</w:t>
      </w:r>
      <w:r>
        <w:rPr>
          <w:rFonts w:hint="eastAsia"/>
          <w:kern w:val="28"/>
        </w:rPr>
        <w:t>，</w:t>
      </w:r>
    </w:p>
    <w:p w14:paraId="21DBEBA8" w14:textId="77777777" w:rsidR="003E78AB" w:rsidRDefault="00010BF9">
      <w:pPr>
        <w:ind w:firstLine="480"/>
        <w:rPr>
          <w:kern w:val="28"/>
        </w:rPr>
      </w:pPr>
      <w:r>
        <w:rPr>
          <w:rFonts w:hint="eastAsia"/>
          <w:kern w:val="28"/>
        </w:rPr>
        <w:t>t</w:t>
      </w:r>
      <w:r>
        <w:rPr>
          <w:rFonts w:hint="eastAsia"/>
          <w:kern w:val="28"/>
          <w:vertAlign w:val="subscript"/>
        </w:rPr>
        <w:t>故障</w:t>
      </w:r>
      <w:r>
        <w:rPr>
          <w:rFonts w:hint="eastAsia"/>
          <w:kern w:val="28"/>
        </w:rPr>
        <w:t>——故障历时，取</w:t>
      </w:r>
      <w:r>
        <w:rPr>
          <w:rFonts w:hint="eastAsia"/>
          <w:kern w:val="28"/>
        </w:rPr>
        <w:t>2h</w:t>
      </w:r>
      <w:r>
        <w:rPr>
          <w:rFonts w:hint="eastAsia"/>
          <w:kern w:val="28"/>
        </w:rPr>
        <w:t>；</w:t>
      </w:r>
    </w:p>
    <w:p w14:paraId="0CEC4415" w14:textId="77777777" w:rsidR="003E78AB" w:rsidRDefault="00010BF9">
      <w:pPr>
        <w:ind w:firstLine="480"/>
        <w:rPr>
          <w:kern w:val="28"/>
        </w:rPr>
      </w:pPr>
      <w:r>
        <w:rPr>
          <w:rFonts w:hint="eastAsia"/>
          <w:kern w:val="28"/>
        </w:rPr>
        <w:t>洗消产生的废水量为</w:t>
      </w:r>
      <w:r>
        <w:rPr>
          <w:rFonts w:hint="eastAsia"/>
          <w:kern w:val="28"/>
        </w:rPr>
        <w:t>324m</w:t>
      </w:r>
      <w:r>
        <w:rPr>
          <w:rFonts w:hint="eastAsia"/>
          <w:kern w:val="28"/>
          <w:vertAlign w:val="superscript"/>
        </w:rPr>
        <w:t>3</w:t>
      </w:r>
      <w:r>
        <w:rPr>
          <w:rFonts w:hint="eastAsia"/>
          <w:kern w:val="28"/>
        </w:rPr>
        <w:t>。</w:t>
      </w:r>
    </w:p>
    <w:p w14:paraId="5EFC8802" w14:textId="77777777" w:rsidR="003E78AB" w:rsidRDefault="00010BF9">
      <w:pPr>
        <w:ind w:firstLine="480"/>
        <w:rPr>
          <w:kern w:val="28"/>
        </w:rPr>
      </w:pPr>
      <w:r>
        <w:rPr>
          <w:rFonts w:hint="eastAsia"/>
          <w:kern w:val="28"/>
        </w:rPr>
        <w:t>IV</w:t>
      </w:r>
      <w:r>
        <w:rPr>
          <w:rFonts w:hint="eastAsia"/>
          <w:kern w:val="28"/>
        </w:rPr>
        <w:t>．降水</w:t>
      </w:r>
    </w:p>
    <w:p w14:paraId="18FA9F47" w14:textId="77777777" w:rsidR="003E78AB" w:rsidRDefault="00010BF9">
      <w:pPr>
        <w:ind w:firstLine="480"/>
        <w:rPr>
          <w:kern w:val="28"/>
        </w:rPr>
      </w:pPr>
      <w:r>
        <w:rPr>
          <w:rFonts w:hint="eastAsia"/>
          <w:kern w:val="28"/>
        </w:rPr>
        <w:t>本项目单独设置初期雨水收集系统，事故废水收集系统不再考虑降水量。</w:t>
      </w:r>
    </w:p>
    <w:p w14:paraId="61BD2582" w14:textId="77777777" w:rsidR="003E78AB" w:rsidRDefault="00010BF9">
      <w:pPr>
        <w:ind w:firstLine="480"/>
        <w:rPr>
          <w:kern w:val="28"/>
        </w:rPr>
      </w:pPr>
      <w:r>
        <w:rPr>
          <w:rFonts w:hint="eastAsia"/>
          <w:kern w:val="28"/>
        </w:rPr>
        <w:t>综上所述，项目事故废水的产生情况见</w:t>
      </w:r>
      <w:r>
        <w:rPr>
          <w:rFonts w:hint="eastAsia"/>
          <w:kern w:val="28"/>
        </w:rPr>
        <w:fldChar w:fldCharType="begin"/>
      </w:r>
      <w:r>
        <w:rPr>
          <w:rFonts w:hint="eastAsia"/>
          <w:kern w:val="28"/>
        </w:rPr>
        <w:instrText xml:space="preserve"> REF _Ref18464 \r \h </w:instrText>
      </w:r>
      <w:r>
        <w:rPr>
          <w:rFonts w:hint="eastAsia"/>
          <w:kern w:val="28"/>
        </w:rPr>
      </w:r>
      <w:r>
        <w:rPr>
          <w:rFonts w:hint="eastAsia"/>
          <w:kern w:val="28"/>
        </w:rPr>
        <w:fldChar w:fldCharType="separate"/>
      </w:r>
      <w:r>
        <w:rPr>
          <w:rFonts w:hint="eastAsia"/>
          <w:kern w:val="28"/>
        </w:rPr>
        <w:t>表</w:t>
      </w:r>
      <w:r>
        <w:rPr>
          <w:rFonts w:hint="eastAsia"/>
          <w:kern w:val="28"/>
        </w:rPr>
        <w:t>6-33</w:t>
      </w:r>
      <w:r>
        <w:rPr>
          <w:rFonts w:hint="eastAsia"/>
          <w:kern w:val="28"/>
        </w:rPr>
        <w:fldChar w:fldCharType="end"/>
      </w:r>
      <w:r>
        <w:rPr>
          <w:rFonts w:hint="eastAsia"/>
          <w:kern w:val="28"/>
        </w:rPr>
        <w:t>。</w:t>
      </w:r>
    </w:p>
    <w:p w14:paraId="3054C757" w14:textId="77777777" w:rsidR="003E78AB" w:rsidRDefault="00010BF9">
      <w:pPr>
        <w:pStyle w:val="a"/>
        <w:spacing w:before="120"/>
        <w:ind w:left="425" w:hanging="425"/>
      </w:pPr>
      <w:bookmarkStart w:id="444" w:name="_Ref18464"/>
      <w:r>
        <w:t>项目事故废水产生情况一览表</w:t>
      </w:r>
      <w:bookmarkEnd w:id="444"/>
    </w:p>
    <w:p w14:paraId="3F7029A6" w14:textId="77777777" w:rsidR="003E78AB" w:rsidRDefault="003E78AB">
      <w:pPr>
        <w:spacing w:line="24" w:lineRule="exact"/>
        <w:ind w:firstLine="480"/>
      </w:pPr>
    </w:p>
    <w:tbl>
      <w:tblPr>
        <w:tblStyle w:val="TableNormal"/>
        <w:tblW w:w="4997" w:type="pct"/>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firstRow="1" w:lastRow="0" w:firstColumn="1" w:lastColumn="0" w:noHBand="0" w:noVBand="1"/>
      </w:tblPr>
      <w:tblGrid>
        <w:gridCol w:w="1394"/>
        <w:gridCol w:w="1381"/>
        <w:gridCol w:w="1381"/>
        <w:gridCol w:w="1381"/>
        <w:gridCol w:w="1384"/>
        <w:gridCol w:w="1384"/>
      </w:tblGrid>
      <w:tr w:rsidR="003E78AB" w14:paraId="638DEFAD" w14:textId="77777777">
        <w:trPr>
          <w:trHeight w:val="414"/>
        </w:trPr>
        <w:tc>
          <w:tcPr>
            <w:tcW w:w="839" w:type="pct"/>
          </w:tcPr>
          <w:p w14:paraId="4CFAA55D" w14:textId="77777777" w:rsidR="003E78AB" w:rsidRDefault="00010BF9">
            <w:pPr>
              <w:pStyle w:val="aff6"/>
              <w:topLinePunct/>
              <w:rPr>
                <w:b/>
                <w:bCs/>
              </w:rPr>
            </w:pPr>
            <w:r>
              <w:rPr>
                <w:b/>
                <w:bCs/>
              </w:rPr>
              <w:t>V</w:t>
            </w:r>
            <w:r>
              <w:rPr>
                <w:b/>
                <w:bCs/>
                <w:vertAlign w:val="subscript"/>
              </w:rPr>
              <w:t>物料</w:t>
            </w:r>
          </w:p>
        </w:tc>
        <w:tc>
          <w:tcPr>
            <w:tcW w:w="831" w:type="pct"/>
          </w:tcPr>
          <w:p w14:paraId="46A6B561" w14:textId="77777777" w:rsidR="003E78AB" w:rsidRDefault="00010BF9">
            <w:pPr>
              <w:pStyle w:val="aff6"/>
              <w:topLinePunct/>
              <w:rPr>
                <w:b/>
                <w:bCs/>
              </w:rPr>
            </w:pPr>
            <w:r>
              <w:rPr>
                <w:b/>
                <w:bCs/>
              </w:rPr>
              <w:t>V</w:t>
            </w:r>
            <w:r>
              <w:rPr>
                <w:b/>
                <w:bCs/>
                <w:vertAlign w:val="subscript"/>
              </w:rPr>
              <w:t>转输</w:t>
            </w:r>
          </w:p>
        </w:tc>
        <w:tc>
          <w:tcPr>
            <w:tcW w:w="831" w:type="pct"/>
            <w:tcBorders>
              <w:right w:val="single" w:sz="4" w:space="0" w:color="000000"/>
            </w:tcBorders>
          </w:tcPr>
          <w:p w14:paraId="048926DB" w14:textId="77777777" w:rsidR="003E78AB" w:rsidRDefault="00010BF9">
            <w:pPr>
              <w:pStyle w:val="aff6"/>
              <w:topLinePunct/>
              <w:rPr>
                <w:b/>
                <w:bCs/>
              </w:rPr>
            </w:pPr>
            <w:r>
              <w:rPr>
                <w:b/>
                <w:bCs/>
              </w:rPr>
              <w:t>V</w:t>
            </w:r>
            <w:r>
              <w:rPr>
                <w:b/>
                <w:bCs/>
                <w:vertAlign w:val="subscript"/>
              </w:rPr>
              <w:t>消</w:t>
            </w:r>
          </w:p>
        </w:tc>
        <w:tc>
          <w:tcPr>
            <w:tcW w:w="831" w:type="pct"/>
            <w:tcBorders>
              <w:left w:val="single" w:sz="4" w:space="0" w:color="000000"/>
            </w:tcBorders>
          </w:tcPr>
          <w:p w14:paraId="1CA44028" w14:textId="77777777" w:rsidR="003E78AB" w:rsidRDefault="00010BF9">
            <w:pPr>
              <w:pStyle w:val="aff6"/>
              <w:topLinePunct/>
              <w:rPr>
                <w:b/>
                <w:bCs/>
              </w:rPr>
            </w:pPr>
            <w:r>
              <w:rPr>
                <w:b/>
                <w:bCs/>
              </w:rPr>
              <w:t>V</w:t>
            </w:r>
            <w:r>
              <w:rPr>
                <w:b/>
                <w:bCs/>
                <w:vertAlign w:val="subscript"/>
              </w:rPr>
              <w:t>生产生活</w:t>
            </w:r>
          </w:p>
        </w:tc>
        <w:tc>
          <w:tcPr>
            <w:tcW w:w="832" w:type="pct"/>
          </w:tcPr>
          <w:p w14:paraId="643DF288" w14:textId="77777777" w:rsidR="003E78AB" w:rsidRDefault="00010BF9">
            <w:pPr>
              <w:pStyle w:val="aff6"/>
              <w:topLinePunct/>
              <w:rPr>
                <w:b/>
                <w:bCs/>
              </w:rPr>
            </w:pPr>
            <w:r>
              <w:rPr>
                <w:b/>
                <w:bCs/>
              </w:rPr>
              <w:t>V</w:t>
            </w:r>
            <w:r>
              <w:rPr>
                <w:b/>
                <w:bCs/>
                <w:vertAlign w:val="subscript"/>
              </w:rPr>
              <w:t>降水</w:t>
            </w:r>
          </w:p>
        </w:tc>
        <w:tc>
          <w:tcPr>
            <w:tcW w:w="832" w:type="pct"/>
          </w:tcPr>
          <w:p w14:paraId="378E277E" w14:textId="77777777" w:rsidR="003E78AB" w:rsidRDefault="00010BF9">
            <w:pPr>
              <w:pStyle w:val="aff6"/>
              <w:topLinePunct/>
              <w:rPr>
                <w:b/>
                <w:bCs/>
              </w:rPr>
            </w:pPr>
            <w:r>
              <w:rPr>
                <w:b/>
                <w:bCs/>
              </w:rPr>
              <w:t>合计</w:t>
            </w:r>
            <w:r>
              <w:rPr>
                <w:b/>
                <w:bCs/>
              </w:rPr>
              <w:t>(m</w:t>
            </w:r>
            <w:r>
              <w:rPr>
                <w:b/>
                <w:bCs/>
                <w:vertAlign w:val="superscript"/>
              </w:rPr>
              <w:t>3</w:t>
            </w:r>
            <w:r>
              <w:rPr>
                <w:b/>
                <w:bCs/>
              </w:rPr>
              <w:t>)</w:t>
            </w:r>
          </w:p>
        </w:tc>
      </w:tr>
      <w:tr w:rsidR="003E78AB" w14:paraId="7B1E0327" w14:textId="77777777">
        <w:trPr>
          <w:trHeight w:val="415"/>
        </w:trPr>
        <w:tc>
          <w:tcPr>
            <w:tcW w:w="839" w:type="pct"/>
          </w:tcPr>
          <w:p w14:paraId="5730B70F" w14:textId="77777777" w:rsidR="003E78AB" w:rsidRDefault="00010BF9">
            <w:pPr>
              <w:pStyle w:val="aff6"/>
              <w:topLinePunct/>
            </w:pPr>
            <w:r>
              <w:t>1</w:t>
            </w:r>
            <w:r>
              <w:rPr>
                <w:rFonts w:hint="eastAsia"/>
              </w:rPr>
              <w:t>6</w:t>
            </w:r>
            <w:r>
              <w:t>0</w:t>
            </w:r>
          </w:p>
        </w:tc>
        <w:tc>
          <w:tcPr>
            <w:tcW w:w="831" w:type="pct"/>
          </w:tcPr>
          <w:p w14:paraId="02EB93EB" w14:textId="77777777" w:rsidR="003E78AB" w:rsidRDefault="00010BF9">
            <w:pPr>
              <w:pStyle w:val="aff6"/>
              <w:topLinePunct/>
            </w:pPr>
            <w:r>
              <w:t>1</w:t>
            </w:r>
            <w:r>
              <w:rPr>
                <w:rFonts w:hint="eastAsia"/>
              </w:rPr>
              <w:t>6</w:t>
            </w:r>
            <w:r>
              <w:t>0</w:t>
            </w:r>
          </w:p>
        </w:tc>
        <w:tc>
          <w:tcPr>
            <w:tcW w:w="831" w:type="pct"/>
            <w:tcBorders>
              <w:right w:val="single" w:sz="4" w:space="0" w:color="000000"/>
            </w:tcBorders>
          </w:tcPr>
          <w:p w14:paraId="22964D34" w14:textId="77777777" w:rsidR="003E78AB" w:rsidRDefault="00010BF9">
            <w:pPr>
              <w:pStyle w:val="aff6"/>
              <w:topLinePunct/>
            </w:pPr>
            <w:r>
              <w:rPr>
                <w:rFonts w:hint="eastAsia"/>
              </w:rPr>
              <w:t>108</w:t>
            </w:r>
          </w:p>
        </w:tc>
        <w:tc>
          <w:tcPr>
            <w:tcW w:w="831" w:type="pct"/>
            <w:tcBorders>
              <w:left w:val="single" w:sz="4" w:space="0" w:color="000000"/>
            </w:tcBorders>
          </w:tcPr>
          <w:p w14:paraId="7B1C8B85" w14:textId="77777777" w:rsidR="003E78AB" w:rsidRDefault="00010BF9">
            <w:pPr>
              <w:pStyle w:val="aff6"/>
              <w:topLinePunct/>
            </w:pPr>
            <w:r>
              <w:rPr>
                <w:rFonts w:hint="eastAsia"/>
              </w:rPr>
              <w:t>324</w:t>
            </w:r>
          </w:p>
        </w:tc>
        <w:tc>
          <w:tcPr>
            <w:tcW w:w="832" w:type="pct"/>
          </w:tcPr>
          <w:p w14:paraId="1121770A" w14:textId="77777777" w:rsidR="003E78AB" w:rsidRDefault="00010BF9">
            <w:pPr>
              <w:pStyle w:val="aff6"/>
              <w:topLinePunct/>
            </w:pPr>
            <w:r>
              <w:t>/</w:t>
            </w:r>
          </w:p>
        </w:tc>
        <w:tc>
          <w:tcPr>
            <w:tcW w:w="832" w:type="pct"/>
          </w:tcPr>
          <w:p w14:paraId="4BE068B7" w14:textId="77777777" w:rsidR="003E78AB" w:rsidRDefault="00010BF9">
            <w:pPr>
              <w:pStyle w:val="aff6"/>
              <w:topLinePunct/>
            </w:pPr>
            <w:r>
              <w:rPr>
                <w:rFonts w:hint="eastAsia"/>
              </w:rPr>
              <w:t>432</w:t>
            </w:r>
          </w:p>
        </w:tc>
      </w:tr>
    </w:tbl>
    <w:p w14:paraId="496BE4BB" w14:textId="77777777" w:rsidR="003E78AB" w:rsidRDefault="00010BF9">
      <w:pPr>
        <w:ind w:firstLine="480"/>
        <w:rPr>
          <w:kern w:val="28"/>
        </w:rPr>
      </w:pPr>
      <w:r>
        <w:rPr>
          <w:rFonts w:hint="eastAsia"/>
          <w:kern w:val="28"/>
        </w:rPr>
        <w:t>②厂区事故池设置情况</w:t>
      </w:r>
    </w:p>
    <w:p w14:paraId="4B32B39F" w14:textId="77777777" w:rsidR="003E78AB" w:rsidRDefault="00010BF9">
      <w:pPr>
        <w:ind w:firstLine="480"/>
        <w:rPr>
          <w:kern w:val="28"/>
        </w:rPr>
      </w:pPr>
      <w:r>
        <w:rPr>
          <w:rFonts w:hint="eastAsia"/>
          <w:kern w:val="28"/>
        </w:rPr>
        <w:t>项目设置</w:t>
      </w:r>
      <w:r>
        <w:rPr>
          <w:rFonts w:hint="eastAsia"/>
          <w:kern w:val="28"/>
        </w:rPr>
        <w:t>1</w:t>
      </w:r>
      <w:r>
        <w:rPr>
          <w:rFonts w:hint="eastAsia"/>
          <w:kern w:val="28"/>
        </w:rPr>
        <w:t>座</w:t>
      </w:r>
      <w:r>
        <w:rPr>
          <w:rFonts w:hint="eastAsia"/>
          <w:kern w:val="28"/>
        </w:rPr>
        <w:t>900m</w:t>
      </w:r>
      <w:r>
        <w:rPr>
          <w:rFonts w:hint="eastAsia"/>
          <w:kern w:val="28"/>
          <w:vertAlign w:val="superscript"/>
        </w:rPr>
        <w:t>3</w:t>
      </w:r>
      <w:r>
        <w:rPr>
          <w:rFonts w:hint="eastAsia"/>
          <w:kern w:val="28"/>
        </w:rPr>
        <w:t>事故池，可以满足项目实施后全部事故废水收集，事故池</w:t>
      </w:r>
      <w:r>
        <w:rPr>
          <w:rFonts w:hint="eastAsia"/>
          <w:b/>
          <w:bCs/>
          <w:kern w:val="28"/>
          <w:u w:val="single"/>
        </w:rPr>
        <w:t>采用重点防渗</w:t>
      </w:r>
      <w:r>
        <w:rPr>
          <w:rFonts w:hint="eastAsia"/>
          <w:kern w:val="28"/>
        </w:rPr>
        <w:t>，事故废水经收集后处理后排放。</w:t>
      </w:r>
    </w:p>
    <w:p w14:paraId="7321C4DB" w14:textId="77777777" w:rsidR="003E78AB" w:rsidRDefault="00010BF9">
      <w:pPr>
        <w:pStyle w:val="5"/>
        <w:keepNext w:val="0"/>
        <w:keepLines w:val="0"/>
        <w:ind w:firstLine="482"/>
        <w:rPr>
          <w:sz w:val="24"/>
        </w:rPr>
      </w:pPr>
      <w:r>
        <w:rPr>
          <w:rFonts w:hint="eastAsia"/>
          <w:sz w:val="24"/>
        </w:rPr>
        <w:t>4.</w:t>
      </w:r>
      <w:r>
        <w:rPr>
          <w:rFonts w:hint="eastAsia"/>
          <w:sz w:val="24"/>
        </w:rPr>
        <w:t>初期雨水收集池设置情况</w:t>
      </w:r>
    </w:p>
    <w:p w14:paraId="718A0D8D" w14:textId="77777777" w:rsidR="003E78AB" w:rsidRDefault="00010BF9">
      <w:pPr>
        <w:ind w:firstLine="480"/>
        <w:rPr>
          <w:kern w:val="28"/>
        </w:rPr>
      </w:pPr>
      <w:r>
        <w:rPr>
          <w:rFonts w:hint="eastAsia"/>
          <w:kern w:val="28"/>
        </w:rPr>
        <w:t>根据《化工建设项目环境保护工程设计标准》（</w:t>
      </w:r>
      <w:r>
        <w:rPr>
          <w:rFonts w:hint="eastAsia"/>
          <w:kern w:val="28"/>
        </w:rPr>
        <w:t>GB/T50483-2019</w:t>
      </w:r>
      <w:r>
        <w:rPr>
          <w:rFonts w:hint="eastAsia"/>
          <w:kern w:val="28"/>
        </w:rPr>
        <w:t>）规定：初期雨水宜取一次降雨初期</w:t>
      </w:r>
      <w:r>
        <w:rPr>
          <w:rFonts w:hint="eastAsia"/>
          <w:kern w:val="28"/>
        </w:rPr>
        <w:t>15min~30min</w:t>
      </w:r>
      <w:r>
        <w:rPr>
          <w:rFonts w:hint="eastAsia"/>
          <w:kern w:val="28"/>
        </w:rPr>
        <w:t>雨量，或降雨初期</w:t>
      </w:r>
      <w:r>
        <w:rPr>
          <w:rFonts w:hint="eastAsia"/>
          <w:kern w:val="28"/>
        </w:rPr>
        <w:t>20mm~30mm</w:t>
      </w:r>
      <w:r>
        <w:rPr>
          <w:rFonts w:hint="eastAsia"/>
          <w:kern w:val="28"/>
        </w:rPr>
        <w:t>厚度的雨量；本次初期雨水量按</w:t>
      </w:r>
      <w:r>
        <w:rPr>
          <w:rFonts w:hint="eastAsia"/>
          <w:kern w:val="28"/>
        </w:rPr>
        <w:t>15mm</w:t>
      </w:r>
      <w:r>
        <w:rPr>
          <w:rFonts w:hint="eastAsia"/>
          <w:kern w:val="28"/>
        </w:rPr>
        <w:t>计，主要收集生产区域初期雨水；根据核算，工程实施后全厂生产区域面积约</w:t>
      </w:r>
      <w:r>
        <w:rPr>
          <w:rFonts w:hint="eastAsia"/>
          <w:kern w:val="28"/>
        </w:rPr>
        <w:t>76002m</w:t>
      </w:r>
      <w:r>
        <w:rPr>
          <w:rFonts w:hint="eastAsia"/>
          <w:kern w:val="28"/>
          <w:vertAlign w:val="superscript"/>
        </w:rPr>
        <w:t>2</w:t>
      </w:r>
      <w:r>
        <w:rPr>
          <w:rFonts w:hint="eastAsia"/>
          <w:kern w:val="28"/>
        </w:rPr>
        <w:t>，</w:t>
      </w:r>
      <w:r>
        <w:rPr>
          <w:rFonts w:hint="eastAsia"/>
          <w:kern w:val="28"/>
        </w:rPr>
        <w:t>q=22.327L/s/hm</w:t>
      </w:r>
      <w:r>
        <w:rPr>
          <w:rFonts w:hint="eastAsia"/>
          <w:kern w:val="28"/>
          <w:vertAlign w:val="superscript"/>
        </w:rPr>
        <w:t>2</w:t>
      </w:r>
      <w:r>
        <w:rPr>
          <w:rFonts w:hint="eastAsia"/>
          <w:kern w:val="28"/>
        </w:rPr>
        <w:t>，核算初期雨水量约</w:t>
      </w:r>
      <w:r>
        <w:rPr>
          <w:rFonts w:hint="eastAsia"/>
          <w:kern w:val="28"/>
        </w:rPr>
        <w:t>106.9m</w:t>
      </w:r>
      <w:r>
        <w:rPr>
          <w:rFonts w:hint="eastAsia"/>
          <w:kern w:val="28"/>
          <w:vertAlign w:val="superscript"/>
        </w:rPr>
        <w:t>3</w:t>
      </w:r>
      <w:r>
        <w:rPr>
          <w:rFonts w:hint="eastAsia"/>
          <w:kern w:val="28"/>
        </w:rPr>
        <w:t>。</w:t>
      </w:r>
    </w:p>
    <w:p w14:paraId="5836CE23" w14:textId="77777777" w:rsidR="003E78AB" w:rsidRDefault="00010BF9">
      <w:pPr>
        <w:ind w:firstLine="480"/>
        <w:rPr>
          <w:kern w:val="28"/>
        </w:rPr>
      </w:pPr>
      <w:r>
        <w:rPr>
          <w:rFonts w:hint="eastAsia"/>
          <w:kern w:val="28"/>
        </w:rPr>
        <w:t>项目设置</w:t>
      </w:r>
      <w:r>
        <w:rPr>
          <w:rFonts w:hint="eastAsia"/>
          <w:kern w:val="28"/>
        </w:rPr>
        <w:t>1</w:t>
      </w:r>
      <w:r>
        <w:rPr>
          <w:rFonts w:hint="eastAsia"/>
          <w:kern w:val="28"/>
        </w:rPr>
        <w:t>座</w:t>
      </w:r>
      <w:r>
        <w:rPr>
          <w:rFonts w:hint="eastAsia"/>
          <w:kern w:val="28"/>
        </w:rPr>
        <w:t>110m</w:t>
      </w:r>
      <w:r>
        <w:rPr>
          <w:rFonts w:hint="eastAsia"/>
          <w:kern w:val="28"/>
          <w:vertAlign w:val="superscript"/>
        </w:rPr>
        <w:t>3</w:t>
      </w:r>
      <w:r>
        <w:rPr>
          <w:rFonts w:hint="eastAsia"/>
          <w:kern w:val="28"/>
        </w:rPr>
        <w:t>初期雨水池，采用重点防渗，可以满足项目实施后生产区域的初期雨水收集，</w:t>
      </w:r>
      <w:r>
        <w:rPr>
          <w:rFonts w:hint="eastAsia"/>
          <w:b/>
          <w:bCs/>
          <w:kern w:val="28"/>
          <w:u w:val="single"/>
        </w:rPr>
        <w:t>初期雨水</w:t>
      </w:r>
      <w:r>
        <w:rPr>
          <w:b/>
          <w:bCs/>
          <w:kern w:val="28"/>
          <w:u w:val="single"/>
        </w:rPr>
        <w:t>经检测达标后排入园区污水管网，进入园区污水处理厂深度处理；检测不达标的</w:t>
      </w:r>
      <w:r>
        <w:rPr>
          <w:b/>
          <w:bCs/>
          <w:kern w:val="28"/>
          <w:u w:val="single"/>
        </w:rPr>
        <w:t>初期雨水经协商送有周边有能力处置的企业有偿处置。</w:t>
      </w:r>
    </w:p>
    <w:p w14:paraId="498EEE8E" w14:textId="77777777" w:rsidR="003E78AB" w:rsidRDefault="00010BF9">
      <w:pPr>
        <w:pStyle w:val="5"/>
        <w:keepNext w:val="0"/>
        <w:keepLines w:val="0"/>
        <w:ind w:firstLine="482"/>
        <w:rPr>
          <w:sz w:val="24"/>
        </w:rPr>
      </w:pPr>
      <w:r>
        <w:rPr>
          <w:rFonts w:hint="eastAsia"/>
          <w:sz w:val="24"/>
        </w:rPr>
        <w:t>5.</w:t>
      </w:r>
      <w:r>
        <w:rPr>
          <w:rFonts w:hint="eastAsia"/>
          <w:sz w:val="24"/>
        </w:rPr>
        <w:t>结论与建议</w:t>
      </w:r>
    </w:p>
    <w:p w14:paraId="0B628F43" w14:textId="77777777" w:rsidR="003E78AB" w:rsidRDefault="00010BF9">
      <w:pPr>
        <w:ind w:firstLine="480"/>
        <w:rPr>
          <w:kern w:val="28"/>
        </w:rPr>
      </w:pPr>
      <w:r>
        <w:rPr>
          <w:rFonts w:hint="eastAsia"/>
          <w:kern w:val="28"/>
        </w:rPr>
        <w:t>综上，厂内无论是发生泄漏事故时的泄漏废液，还是因事故引发的物料泄漏、消防废水，以及初期雨水均可分别收集至事故池或初期雨水池中，不外排。</w:t>
      </w:r>
    </w:p>
    <w:p w14:paraId="5F1EB05D" w14:textId="77777777" w:rsidR="003E78AB" w:rsidRDefault="00010BF9">
      <w:pPr>
        <w:ind w:firstLine="480"/>
        <w:rPr>
          <w:kern w:val="28"/>
        </w:rPr>
      </w:pPr>
      <w:r>
        <w:rPr>
          <w:rFonts w:hint="eastAsia"/>
          <w:kern w:val="28"/>
        </w:rPr>
        <w:t>评价要求厂区事故水池正常情况下应保证其处于空池状态，事故情况下收集的废水应及时处理处置。在采取以上防范设施、措施后，项目及厂区事故发生后废水（液）排放情况是可控的，预计不会对地表水环境产生影响。</w:t>
      </w:r>
    </w:p>
    <w:p w14:paraId="3760D460"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6.5.3</w:t>
      </w:r>
      <w:r>
        <w:rPr>
          <w:rFonts w:cs="Times New Roman" w:hint="eastAsia"/>
          <w:sz w:val="28"/>
          <w:szCs w:val="28"/>
        </w:rPr>
        <w:t>地下水环境风险分析</w:t>
      </w:r>
    </w:p>
    <w:p w14:paraId="18C032A1" w14:textId="77777777" w:rsidR="003E78AB" w:rsidRDefault="00010BF9">
      <w:pPr>
        <w:ind w:firstLine="480"/>
        <w:rPr>
          <w:kern w:val="28"/>
        </w:rPr>
      </w:pPr>
      <w:r>
        <w:rPr>
          <w:rFonts w:hint="eastAsia"/>
          <w:kern w:val="28"/>
        </w:rPr>
        <w:t>根据项目地下水环境影响预测章节相关内容可知，工艺废气淋洗设施的淋洗液</w:t>
      </w:r>
      <w:r>
        <w:rPr>
          <w:rFonts w:hint="eastAsia"/>
          <w:kern w:val="28"/>
        </w:rPr>
        <w:t>/</w:t>
      </w:r>
      <w:r>
        <w:rPr>
          <w:rFonts w:hint="eastAsia"/>
          <w:kern w:val="28"/>
        </w:rPr>
        <w:t>水循环水箱防渗</w:t>
      </w:r>
      <w:r>
        <w:rPr>
          <w:rFonts w:hint="eastAsia"/>
          <w:kern w:val="28"/>
        </w:rPr>
        <w:t>系统破裂时，将有少量污染物通过漏点，逐步渗入土壤并可能影响地下水，与地下水环境影响预测的非正常工况一样，故地下水环境运移扩散影响结果参照地下水影响预测章节。</w:t>
      </w:r>
    </w:p>
    <w:p w14:paraId="20631678" w14:textId="77777777" w:rsidR="003E78AB" w:rsidRDefault="00010BF9">
      <w:pPr>
        <w:ind w:firstLine="480"/>
        <w:rPr>
          <w:kern w:val="28"/>
        </w:rPr>
      </w:pPr>
      <w:r>
        <w:rPr>
          <w:rFonts w:hint="eastAsia"/>
          <w:kern w:val="28"/>
        </w:rPr>
        <w:t>项目地下水环境风险事故为工艺废气淋洗设施的淋洗液</w:t>
      </w:r>
      <w:r>
        <w:rPr>
          <w:rFonts w:hint="eastAsia"/>
          <w:kern w:val="28"/>
        </w:rPr>
        <w:t>/</w:t>
      </w:r>
      <w:r>
        <w:rPr>
          <w:rFonts w:hint="eastAsia"/>
          <w:kern w:val="28"/>
        </w:rPr>
        <w:t>水循环水箱泄漏。</w:t>
      </w:r>
      <w:r>
        <w:rPr>
          <w:kern w:val="28"/>
        </w:rPr>
        <w:t>在预测时间内（</w:t>
      </w:r>
      <w:r>
        <w:rPr>
          <w:kern w:val="28"/>
        </w:rPr>
        <w:t>1000d</w:t>
      </w:r>
      <w:r>
        <w:rPr>
          <w:kern w:val="28"/>
        </w:rPr>
        <w:t>）</w:t>
      </w:r>
      <w:r>
        <w:rPr>
          <w:rFonts w:hint="eastAsia"/>
          <w:kern w:val="28"/>
        </w:rPr>
        <w:t>磷酸盐</w:t>
      </w:r>
      <w:r>
        <w:rPr>
          <w:kern w:val="28"/>
        </w:rPr>
        <w:t>泄漏</w:t>
      </w:r>
      <w:r>
        <w:rPr>
          <w:kern w:val="28"/>
        </w:rPr>
        <w:t>100</w:t>
      </w:r>
      <w:r>
        <w:rPr>
          <w:kern w:val="28"/>
        </w:rPr>
        <w:t>天时，预测超标距离为</w:t>
      </w:r>
      <w:r>
        <w:rPr>
          <w:rFonts w:hint="eastAsia"/>
          <w:kern w:val="28"/>
        </w:rPr>
        <w:t>51</w:t>
      </w:r>
      <w:r>
        <w:rPr>
          <w:kern w:val="28"/>
        </w:rPr>
        <w:t>m</w:t>
      </w:r>
      <w:r>
        <w:rPr>
          <w:kern w:val="28"/>
        </w:rPr>
        <w:t>；影响距离为</w:t>
      </w:r>
      <w:r>
        <w:rPr>
          <w:rFonts w:hint="eastAsia"/>
          <w:kern w:val="28"/>
        </w:rPr>
        <w:t>60</w:t>
      </w:r>
      <w:r>
        <w:rPr>
          <w:kern w:val="28"/>
        </w:rPr>
        <w:t>m</w:t>
      </w:r>
      <w:r>
        <w:rPr>
          <w:kern w:val="28"/>
        </w:rPr>
        <w:t>；泄漏</w:t>
      </w:r>
      <w:r>
        <w:rPr>
          <w:kern w:val="28"/>
        </w:rPr>
        <w:t>365</w:t>
      </w:r>
      <w:r>
        <w:rPr>
          <w:kern w:val="28"/>
        </w:rPr>
        <w:t>天时，预测超标距离为</w:t>
      </w:r>
      <w:r>
        <w:rPr>
          <w:rFonts w:hint="eastAsia"/>
          <w:kern w:val="28"/>
        </w:rPr>
        <w:t>98</w:t>
      </w:r>
      <w:r>
        <w:rPr>
          <w:kern w:val="28"/>
        </w:rPr>
        <w:t>m</w:t>
      </w:r>
      <w:r>
        <w:rPr>
          <w:kern w:val="28"/>
        </w:rPr>
        <w:t>；影响距离为</w:t>
      </w:r>
      <w:r>
        <w:rPr>
          <w:rFonts w:hint="eastAsia"/>
          <w:kern w:val="28"/>
        </w:rPr>
        <w:t>108</w:t>
      </w:r>
      <w:r>
        <w:rPr>
          <w:kern w:val="28"/>
        </w:rPr>
        <w:t>m</w:t>
      </w:r>
      <w:r>
        <w:rPr>
          <w:kern w:val="28"/>
        </w:rPr>
        <w:t>；泄漏</w:t>
      </w:r>
      <w:r>
        <w:rPr>
          <w:kern w:val="28"/>
        </w:rPr>
        <w:t>1000</w:t>
      </w:r>
      <w:r>
        <w:rPr>
          <w:kern w:val="28"/>
        </w:rPr>
        <w:t>天时，预测超标距离为</w:t>
      </w:r>
      <w:r>
        <w:rPr>
          <w:rFonts w:hint="eastAsia"/>
          <w:kern w:val="28"/>
        </w:rPr>
        <w:t>161</w:t>
      </w:r>
      <w:r>
        <w:rPr>
          <w:kern w:val="28"/>
        </w:rPr>
        <w:t>m</w:t>
      </w:r>
      <w:r>
        <w:rPr>
          <w:kern w:val="28"/>
        </w:rPr>
        <w:t>；影响距离为</w:t>
      </w:r>
      <w:r>
        <w:rPr>
          <w:rFonts w:hint="eastAsia"/>
          <w:kern w:val="28"/>
        </w:rPr>
        <w:t>174</w:t>
      </w:r>
      <w:r>
        <w:rPr>
          <w:kern w:val="28"/>
        </w:rPr>
        <w:t>m</w:t>
      </w:r>
      <w:r>
        <w:rPr>
          <w:rFonts w:hint="eastAsia"/>
          <w:kern w:val="28"/>
        </w:rPr>
        <w:t>。</w:t>
      </w:r>
    </w:p>
    <w:p w14:paraId="1461B41E" w14:textId="77777777" w:rsidR="003E78AB" w:rsidRDefault="00010BF9">
      <w:pPr>
        <w:ind w:firstLine="480"/>
        <w:rPr>
          <w:kern w:val="28"/>
        </w:rPr>
      </w:pPr>
      <w:r>
        <w:rPr>
          <w:rFonts w:hint="eastAsia"/>
          <w:kern w:val="28"/>
        </w:rPr>
        <w:t>综合分析，在非正常工况下，该工程对地下水环境有一定的影响。但从泄漏概率、地面破损概率综合考虑，工艺废气淋洗设施的淋洗液</w:t>
      </w:r>
      <w:r>
        <w:rPr>
          <w:rFonts w:hint="eastAsia"/>
          <w:kern w:val="28"/>
        </w:rPr>
        <w:t>/</w:t>
      </w:r>
      <w:r>
        <w:rPr>
          <w:rFonts w:hint="eastAsia"/>
          <w:kern w:val="28"/>
        </w:rPr>
        <w:t>水循环水箱泄漏渗入地下是概率很小的事件，如果采取适当的预防措施和应急处理措施，可以把对地下水环境的影响控制到可以接受的程度。本项目对地下水环境的影响可以接受。</w:t>
      </w:r>
    </w:p>
    <w:p w14:paraId="0347910F" w14:textId="77777777" w:rsidR="003E78AB" w:rsidRDefault="00010BF9">
      <w:pPr>
        <w:pStyle w:val="24"/>
        <w:keepNext w:val="0"/>
        <w:keepLines w:val="0"/>
        <w:topLinePunct/>
        <w:spacing w:before="120"/>
        <w:rPr>
          <w:rFonts w:cs="Times New Roman"/>
        </w:rPr>
      </w:pPr>
      <w:bookmarkStart w:id="445" w:name="_Toc23775"/>
      <w:r>
        <w:rPr>
          <w:rFonts w:cs="Times New Roman" w:hint="eastAsia"/>
        </w:rPr>
        <w:t>6.6</w:t>
      </w:r>
      <w:r>
        <w:rPr>
          <w:rFonts w:cs="Times New Roman" w:hint="eastAsia"/>
        </w:rPr>
        <w:t>环境风险管理</w:t>
      </w:r>
      <w:bookmarkEnd w:id="445"/>
    </w:p>
    <w:p w14:paraId="6B949BBA" w14:textId="77777777" w:rsidR="003E78AB" w:rsidRDefault="00010BF9">
      <w:pPr>
        <w:ind w:firstLine="480"/>
        <w:rPr>
          <w:kern w:val="28"/>
        </w:rPr>
      </w:pPr>
      <w:r>
        <w:rPr>
          <w:rFonts w:hint="eastAsia"/>
          <w:kern w:val="28"/>
        </w:rPr>
        <w:t>环境风险管理的核心是降低风险，可以从两方面采取措施，一是降低事故发生概率，二是减轻事故危害强度。采取设计周密、管理严格的风险防范措施可大大减小事故发生率，预先制定切实可行的事故应急计划可大大减轻事故发生后可能受到</w:t>
      </w:r>
      <w:r>
        <w:rPr>
          <w:rFonts w:hint="eastAsia"/>
          <w:kern w:val="28"/>
        </w:rPr>
        <w:t>的损失。评价从环境风险防范措施和环境风险事故应急预案两方面对本项目环境风险管理提出要求和建议。</w:t>
      </w:r>
    </w:p>
    <w:p w14:paraId="3F272004"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6.6.1</w:t>
      </w:r>
      <w:r>
        <w:rPr>
          <w:rFonts w:cs="Times New Roman" w:hint="eastAsia"/>
          <w:sz w:val="28"/>
          <w:szCs w:val="28"/>
        </w:rPr>
        <w:t>风险防范措施</w:t>
      </w:r>
    </w:p>
    <w:p w14:paraId="5B04042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6.6.1.1</w:t>
      </w:r>
      <w:r>
        <w:rPr>
          <w:rFonts w:ascii="Times New Roman" w:hAnsi="Times New Roman" w:hint="eastAsia"/>
        </w:rPr>
        <w:t>总平面布置防范措施</w:t>
      </w:r>
    </w:p>
    <w:p w14:paraId="4420500B" w14:textId="77777777" w:rsidR="003E78AB" w:rsidRDefault="00010BF9">
      <w:pPr>
        <w:ind w:firstLine="480"/>
        <w:rPr>
          <w:kern w:val="28"/>
        </w:rPr>
      </w:pPr>
      <w:r>
        <w:rPr>
          <w:rFonts w:hint="eastAsia"/>
          <w:kern w:val="28"/>
        </w:rPr>
        <w:t>（</w:t>
      </w:r>
      <w:r>
        <w:rPr>
          <w:rFonts w:hint="eastAsia"/>
          <w:kern w:val="28"/>
        </w:rPr>
        <w:t>1</w:t>
      </w:r>
      <w:r>
        <w:rPr>
          <w:rFonts w:hint="eastAsia"/>
          <w:kern w:val="28"/>
        </w:rPr>
        <w:t>）根据《工业企业总平面设计规范》（</w:t>
      </w:r>
      <w:r>
        <w:rPr>
          <w:rFonts w:hint="eastAsia"/>
          <w:kern w:val="28"/>
        </w:rPr>
        <w:t>GB50187-2012</w:t>
      </w:r>
      <w:r>
        <w:rPr>
          <w:rFonts w:hint="eastAsia"/>
          <w:kern w:val="28"/>
        </w:rPr>
        <w:t>），《化工企业安全卫生设计规定》（</w:t>
      </w:r>
      <w:r>
        <w:rPr>
          <w:rFonts w:hint="eastAsia"/>
          <w:kern w:val="28"/>
        </w:rPr>
        <w:t>HG20571-2014</w:t>
      </w:r>
      <w:r>
        <w:rPr>
          <w:rFonts w:hint="eastAsia"/>
          <w:kern w:val="28"/>
        </w:rPr>
        <w:t>）对厂区设施进行合理分区布置，做到功能划分明确，分区内部和相互之间保持规范要求的通道；建筑物之间的距离符合《建筑设计防火规范》（</w:t>
      </w:r>
      <w:r>
        <w:rPr>
          <w:rFonts w:hint="eastAsia"/>
          <w:kern w:val="28"/>
        </w:rPr>
        <w:t>GB50016-2014</w:t>
      </w:r>
      <w:r>
        <w:rPr>
          <w:rFonts w:hint="eastAsia"/>
          <w:kern w:val="28"/>
        </w:rPr>
        <w:t>）的要求。</w:t>
      </w:r>
    </w:p>
    <w:p w14:paraId="26AB83D9" w14:textId="77777777" w:rsidR="003E78AB" w:rsidRDefault="00010BF9">
      <w:pPr>
        <w:ind w:firstLine="480"/>
        <w:rPr>
          <w:kern w:val="28"/>
        </w:rPr>
      </w:pPr>
      <w:r>
        <w:rPr>
          <w:rFonts w:hint="eastAsia"/>
          <w:kern w:val="28"/>
        </w:rPr>
        <w:t>（</w:t>
      </w:r>
      <w:r>
        <w:rPr>
          <w:rFonts w:hint="eastAsia"/>
          <w:kern w:val="28"/>
        </w:rPr>
        <w:t>2</w:t>
      </w:r>
      <w:r>
        <w:rPr>
          <w:rFonts w:hint="eastAsia"/>
          <w:kern w:val="28"/>
        </w:rPr>
        <w:t>）生产车间、</w:t>
      </w:r>
      <w:r>
        <w:rPr>
          <w:rFonts w:hint="eastAsia"/>
          <w:kern w:val="28"/>
        </w:rPr>
        <w:t>液体库</w:t>
      </w:r>
      <w:r>
        <w:rPr>
          <w:rFonts w:hint="eastAsia"/>
          <w:kern w:val="28"/>
        </w:rPr>
        <w:t>等建构筑物周围设消防通道，并确保生产区域内消防通道畅</w:t>
      </w:r>
      <w:r>
        <w:rPr>
          <w:rFonts w:hint="eastAsia"/>
          <w:kern w:val="28"/>
        </w:rPr>
        <w:t>通。</w:t>
      </w:r>
    </w:p>
    <w:p w14:paraId="1CEDEB1C" w14:textId="77777777" w:rsidR="003E78AB" w:rsidRDefault="00010BF9">
      <w:pPr>
        <w:ind w:firstLine="480"/>
        <w:rPr>
          <w:kern w:val="28"/>
        </w:rPr>
      </w:pPr>
      <w:r>
        <w:rPr>
          <w:rFonts w:hint="eastAsia"/>
          <w:kern w:val="28"/>
        </w:rPr>
        <w:t>（</w:t>
      </w:r>
      <w:r>
        <w:rPr>
          <w:rFonts w:hint="eastAsia"/>
          <w:kern w:val="28"/>
        </w:rPr>
        <w:t>3</w:t>
      </w:r>
      <w:r>
        <w:rPr>
          <w:rFonts w:hint="eastAsia"/>
          <w:kern w:val="28"/>
        </w:rPr>
        <w:t>）生产区域内有两个以上出入口，人流和货流明确分开；危险化学品运输有单独路线，不与人流混行和平交。危险货物的运输、装卸，严格遵守《汽车危险货物运输装卸作业规程》（</w:t>
      </w:r>
      <w:r>
        <w:rPr>
          <w:rFonts w:hint="eastAsia"/>
          <w:kern w:val="28"/>
        </w:rPr>
        <w:t>JT618-2004</w:t>
      </w:r>
      <w:r>
        <w:rPr>
          <w:rFonts w:hint="eastAsia"/>
          <w:kern w:val="28"/>
        </w:rPr>
        <w:t>），《汽车危险货物运输规则》（</w:t>
      </w:r>
      <w:r>
        <w:rPr>
          <w:rFonts w:hint="eastAsia"/>
          <w:kern w:val="28"/>
        </w:rPr>
        <w:t>JT617-2004</w:t>
      </w:r>
      <w:r>
        <w:rPr>
          <w:rFonts w:hint="eastAsia"/>
          <w:kern w:val="28"/>
        </w:rPr>
        <w:t>）。</w:t>
      </w:r>
    </w:p>
    <w:p w14:paraId="6E614B63" w14:textId="77777777" w:rsidR="003E78AB" w:rsidRDefault="00010BF9">
      <w:pPr>
        <w:ind w:firstLine="480"/>
        <w:rPr>
          <w:kern w:val="28"/>
        </w:rPr>
      </w:pPr>
      <w:r>
        <w:rPr>
          <w:rFonts w:hint="eastAsia"/>
          <w:kern w:val="28"/>
        </w:rPr>
        <w:t>（</w:t>
      </w:r>
      <w:r>
        <w:rPr>
          <w:rFonts w:hint="eastAsia"/>
          <w:kern w:val="28"/>
        </w:rPr>
        <w:t>4</w:t>
      </w:r>
      <w:r>
        <w:rPr>
          <w:rFonts w:hint="eastAsia"/>
          <w:kern w:val="28"/>
        </w:rPr>
        <w:t>）</w:t>
      </w:r>
      <w:r>
        <w:rPr>
          <w:rFonts w:hint="eastAsia"/>
          <w:kern w:val="28"/>
        </w:rPr>
        <w:t>液体库和成品罐储存区</w:t>
      </w:r>
      <w:r>
        <w:rPr>
          <w:rFonts w:hint="eastAsia"/>
          <w:kern w:val="28"/>
        </w:rPr>
        <w:t>根据贮存物质的类别进行分类规划，储罐之间的距离符合《建筑设计防火规范》的要求。</w:t>
      </w:r>
    </w:p>
    <w:p w14:paraId="25961A5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6.6.1.2</w:t>
      </w:r>
      <w:r>
        <w:rPr>
          <w:rFonts w:ascii="Times New Roman" w:hAnsi="Times New Roman" w:hint="eastAsia"/>
        </w:rPr>
        <w:t>工艺及生产装置采用的防范措施</w:t>
      </w:r>
    </w:p>
    <w:p w14:paraId="0A7D3B5F" w14:textId="77777777" w:rsidR="003E78AB" w:rsidRDefault="00010BF9">
      <w:pPr>
        <w:ind w:firstLine="480"/>
        <w:rPr>
          <w:kern w:val="28"/>
        </w:rPr>
      </w:pPr>
      <w:r>
        <w:rPr>
          <w:rFonts w:hint="eastAsia"/>
          <w:kern w:val="28"/>
        </w:rPr>
        <w:t>（</w:t>
      </w:r>
      <w:r>
        <w:rPr>
          <w:rFonts w:hint="eastAsia"/>
          <w:kern w:val="28"/>
        </w:rPr>
        <w:t>1</w:t>
      </w:r>
      <w:r>
        <w:rPr>
          <w:rFonts w:hint="eastAsia"/>
          <w:kern w:val="28"/>
        </w:rPr>
        <w:t>）生产系统多采用自动控制系统，工艺发生异常时系统能自动进行安全处置。</w:t>
      </w:r>
    </w:p>
    <w:p w14:paraId="015B7518" w14:textId="77777777" w:rsidR="003E78AB" w:rsidRDefault="00010BF9">
      <w:pPr>
        <w:ind w:firstLine="480"/>
        <w:rPr>
          <w:kern w:val="28"/>
        </w:rPr>
      </w:pPr>
      <w:r>
        <w:rPr>
          <w:rFonts w:hint="eastAsia"/>
          <w:kern w:val="28"/>
        </w:rPr>
        <w:t>（</w:t>
      </w:r>
      <w:r>
        <w:rPr>
          <w:rFonts w:hint="eastAsia"/>
          <w:kern w:val="28"/>
        </w:rPr>
        <w:t>2</w:t>
      </w:r>
      <w:r>
        <w:rPr>
          <w:rFonts w:hint="eastAsia"/>
          <w:kern w:val="28"/>
        </w:rPr>
        <w:t>）制定各工序安全操作规程，并对出现各种</w:t>
      </w:r>
      <w:r>
        <w:rPr>
          <w:rFonts w:hint="eastAsia"/>
          <w:kern w:val="28"/>
        </w:rPr>
        <w:t>异常情况制定详细的安全处理措施，现场配备合适的应急救援设施。</w:t>
      </w:r>
    </w:p>
    <w:p w14:paraId="2CA7DB6F" w14:textId="77777777" w:rsidR="003E78AB" w:rsidRDefault="00010BF9">
      <w:pPr>
        <w:ind w:firstLine="480"/>
        <w:rPr>
          <w:kern w:val="28"/>
        </w:rPr>
      </w:pPr>
      <w:r>
        <w:rPr>
          <w:rFonts w:hint="eastAsia"/>
          <w:kern w:val="28"/>
        </w:rPr>
        <w:t>（</w:t>
      </w:r>
      <w:r>
        <w:rPr>
          <w:rFonts w:hint="eastAsia"/>
          <w:kern w:val="28"/>
        </w:rPr>
        <w:t>3</w:t>
      </w:r>
      <w:r>
        <w:rPr>
          <w:rFonts w:hint="eastAsia"/>
          <w:kern w:val="28"/>
        </w:rPr>
        <w:t>）主要生产设备委托专业厂家制造，有足够的强度和良好的密闭性能，控制仪表及设施灵敏可靠。</w:t>
      </w:r>
    </w:p>
    <w:p w14:paraId="3E99F044" w14:textId="77777777" w:rsidR="003E78AB" w:rsidRDefault="00010BF9">
      <w:pPr>
        <w:ind w:firstLine="480"/>
        <w:rPr>
          <w:kern w:val="28"/>
        </w:rPr>
      </w:pPr>
      <w:r>
        <w:rPr>
          <w:rFonts w:hint="eastAsia"/>
          <w:kern w:val="28"/>
        </w:rPr>
        <w:t>（</w:t>
      </w:r>
      <w:r>
        <w:rPr>
          <w:rFonts w:hint="eastAsia"/>
          <w:kern w:val="28"/>
        </w:rPr>
        <w:t>4</w:t>
      </w:r>
      <w:r>
        <w:rPr>
          <w:rFonts w:hint="eastAsia"/>
          <w:kern w:val="28"/>
        </w:rPr>
        <w:t>）主要生产工段设置反应釜温度、冷却介质温度的显示仪表、温度异常自动报警并自动关闭加料阀门的控制设施。</w:t>
      </w:r>
    </w:p>
    <w:p w14:paraId="32A335DC" w14:textId="77777777" w:rsidR="003E78AB" w:rsidRDefault="00010BF9">
      <w:pPr>
        <w:ind w:firstLine="480"/>
        <w:rPr>
          <w:kern w:val="28"/>
        </w:rPr>
      </w:pPr>
      <w:r>
        <w:rPr>
          <w:rFonts w:hint="eastAsia"/>
          <w:kern w:val="28"/>
        </w:rPr>
        <w:t>（</w:t>
      </w:r>
      <w:r>
        <w:rPr>
          <w:rFonts w:hint="eastAsia"/>
          <w:kern w:val="28"/>
        </w:rPr>
        <w:t>5</w:t>
      </w:r>
      <w:r>
        <w:rPr>
          <w:rFonts w:hint="eastAsia"/>
          <w:kern w:val="28"/>
        </w:rPr>
        <w:t>）工艺过程设计有保证供电、供水系统的可靠性的措施。突然停电时，备用电源（发电机）能实现自动切换；冷却水泵突然发生故障后，备用泵能迅速恢复供应冷却水，并达到规定的流量。</w:t>
      </w:r>
    </w:p>
    <w:p w14:paraId="3A56104A" w14:textId="77777777" w:rsidR="003E78AB" w:rsidRDefault="00010BF9">
      <w:pPr>
        <w:ind w:firstLine="480"/>
        <w:rPr>
          <w:kern w:val="28"/>
        </w:rPr>
      </w:pPr>
      <w:r>
        <w:rPr>
          <w:rFonts w:hint="eastAsia"/>
          <w:kern w:val="28"/>
        </w:rPr>
        <w:t>（</w:t>
      </w:r>
      <w:r>
        <w:rPr>
          <w:rFonts w:hint="eastAsia"/>
          <w:kern w:val="28"/>
        </w:rPr>
        <w:t>6</w:t>
      </w:r>
      <w:r>
        <w:rPr>
          <w:rFonts w:hint="eastAsia"/>
          <w:kern w:val="28"/>
        </w:rPr>
        <w:t>）工艺管线确保安全可靠且便于操作，设计中所选用的管线、管件和阀门的材料，保证</w:t>
      </w:r>
      <w:r>
        <w:rPr>
          <w:rFonts w:hint="eastAsia"/>
          <w:kern w:val="28"/>
        </w:rPr>
        <w:t>有足够的机械强度及使用期限，管线的设计、安装及试压等技术条件符合国家现行标准和规范。</w:t>
      </w:r>
    </w:p>
    <w:p w14:paraId="12BBB8C8" w14:textId="77777777" w:rsidR="003E78AB" w:rsidRDefault="00010BF9">
      <w:pPr>
        <w:ind w:firstLine="480"/>
        <w:rPr>
          <w:kern w:val="28"/>
        </w:rPr>
      </w:pPr>
      <w:r>
        <w:rPr>
          <w:rFonts w:hint="eastAsia"/>
          <w:kern w:val="28"/>
        </w:rPr>
        <w:t>（</w:t>
      </w:r>
      <w:r>
        <w:rPr>
          <w:rFonts w:hint="eastAsia"/>
          <w:kern w:val="28"/>
        </w:rPr>
        <w:t>7</w:t>
      </w:r>
      <w:r>
        <w:rPr>
          <w:rFonts w:hint="eastAsia"/>
          <w:kern w:val="28"/>
        </w:rPr>
        <w:t>）生产过程安全控制措施</w:t>
      </w:r>
    </w:p>
    <w:p w14:paraId="46AC9896" w14:textId="77777777" w:rsidR="003E78AB" w:rsidRDefault="00010BF9">
      <w:pPr>
        <w:ind w:firstLine="480"/>
        <w:rPr>
          <w:kern w:val="28"/>
        </w:rPr>
      </w:pPr>
      <w:r>
        <w:rPr>
          <w:rFonts w:hint="eastAsia"/>
          <w:kern w:val="28"/>
        </w:rPr>
        <w:t>①对生产装置过程控制系统采用先进的分散控制系统（</w:t>
      </w:r>
      <w:r>
        <w:rPr>
          <w:rFonts w:hint="eastAsia"/>
          <w:kern w:val="28"/>
        </w:rPr>
        <w:t>DCS</w:t>
      </w:r>
      <w:r>
        <w:rPr>
          <w:rFonts w:hint="eastAsia"/>
          <w:kern w:val="28"/>
        </w:rPr>
        <w:t>），重点监控工艺参数包括反应温度、压力，反应釜内搅拌速率，物料流量，反应物的配料比，制定详细的、精确的安全操作规程和生产工艺，反应中严格按工艺规程进行计量、计速、计时。</w:t>
      </w:r>
    </w:p>
    <w:p w14:paraId="66669AB7" w14:textId="77777777" w:rsidR="003E78AB" w:rsidRDefault="00010BF9">
      <w:pPr>
        <w:ind w:firstLine="480"/>
        <w:rPr>
          <w:kern w:val="28"/>
        </w:rPr>
      </w:pPr>
      <w:r>
        <w:rPr>
          <w:rFonts w:hint="eastAsia"/>
          <w:kern w:val="28"/>
        </w:rPr>
        <w:t>②严格控制工艺反应的温度及压力，并密切观察釜内温度、压力变化。若有异常，根据安全操作规程采取排空、放料、切断等应急措施。如突然停电、停水，可立即停止加料。</w:t>
      </w:r>
    </w:p>
    <w:p w14:paraId="094A51B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6.6.1.3</w:t>
      </w:r>
      <w:r>
        <w:rPr>
          <w:rFonts w:ascii="Times New Roman" w:hAnsi="Times New Roman" w:hint="eastAsia"/>
        </w:rPr>
        <w:t>生产</w:t>
      </w:r>
      <w:r>
        <w:rPr>
          <w:rFonts w:ascii="Times New Roman" w:hAnsi="Times New Roman" w:hint="eastAsia"/>
        </w:rPr>
        <w:t>设备防范措施</w:t>
      </w:r>
    </w:p>
    <w:p w14:paraId="032DE7A0" w14:textId="77777777" w:rsidR="003E78AB" w:rsidRDefault="00010BF9">
      <w:pPr>
        <w:ind w:firstLine="480"/>
        <w:rPr>
          <w:kern w:val="28"/>
        </w:rPr>
      </w:pPr>
      <w:r>
        <w:rPr>
          <w:rFonts w:hint="eastAsia"/>
          <w:kern w:val="28"/>
        </w:rPr>
        <w:t>设备安全措施是安全生产的重要环节，许多生产事故都是由于设备的不完善、故障、隐患等不安全因素所造成，因此必须对设备的安全性给予高度重视，对设备采购、验收严格把关，制定严格的安全操作规程，严格落实人员培训。</w:t>
      </w:r>
    </w:p>
    <w:p w14:paraId="131B8832" w14:textId="77777777" w:rsidR="003E78AB" w:rsidRDefault="00010BF9">
      <w:pPr>
        <w:ind w:firstLine="480"/>
        <w:rPr>
          <w:kern w:val="28"/>
        </w:rPr>
      </w:pPr>
      <w:r>
        <w:rPr>
          <w:rFonts w:hint="eastAsia"/>
          <w:kern w:val="28"/>
        </w:rPr>
        <w:t>（</w:t>
      </w:r>
      <w:r>
        <w:rPr>
          <w:rFonts w:hint="eastAsia"/>
          <w:kern w:val="28"/>
        </w:rPr>
        <w:t>1</w:t>
      </w:r>
      <w:r>
        <w:rPr>
          <w:rFonts w:hint="eastAsia"/>
          <w:kern w:val="28"/>
        </w:rPr>
        <w:t>）所有专用设备根据工艺要求、物料性质，按照《生产设备安全卫生设计总则》（</w:t>
      </w:r>
      <w:r>
        <w:rPr>
          <w:rFonts w:hint="eastAsia"/>
          <w:kern w:val="28"/>
        </w:rPr>
        <w:t>GB5083-1999</w:t>
      </w:r>
      <w:r>
        <w:rPr>
          <w:rFonts w:hint="eastAsia"/>
          <w:kern w:val="28"/>
        </w:rPr>
        <w:t>）进行选择。选用的通用机械和电气设备符合国家或行业技术标准。</w:t>
      </w:r>
    </w:p>
    <w:p w14:paraId="224499F2" w14:textId="77777777" w:rsidR="003E78AB" w:rsidRDefault="00010BF9">
      <w:pPr>
        <w:ind w:firstLine="480"/>
        <w:rPr>
          <w:kern w:val="28"/>
        </w:rPr>
      </w:pPr>
      <w:r>
        <w:rPr>
          <w:rFonts w:hint="eastAsia"/>
          <w:kern w:val="28"/>
        </w:rPr>
        <w:t>（</w:t>
      </w:r>
      <w:r>
        <w:rPr>
          <w:rFonts w:hint="eastAsia"/>
          <w:kern w:val="28"/>
        </w:rPr>
        <w:t>2</w:t>
      </w:r>
      <w:r>
        <w:rPr>
          <w:rFonts w:hint="eastAsia"/>
          <w:kern w:val="28"/>
        </w:rPr>
        <w:t>）反应釜内温度和压力与反应进料、紧急冷却系统的报警和联锁；搅拌的稳定控制系统；可燃和有毒气体检测报警装置等。对使用和输送危险物质的</w:t>
      </w:r>
      <w:r>
        <w:rPr>
          <w:rFonts w:hint="eastAsia"/>
          <w:kern w:val="28"/>
        </w:rPr>
        <w:t>设备、反应器、管道实施密闭化，配置防火设施。在生产中加强对设备及管道的巡视检查，严格防止跑、冒、滴、漏、串等现象发生，发现问题及时处理。不允许带病的设备运行。严格禁止明火，可靠消除静电。</w:t>
      </w:r>
    </w:p>
    <w:p w14:paraId="3CD290BC" w14:textId="77777777" w:rsidR="003E78AB" w:rsidRDefault="00010BF9">
      <w:pPr>
        <w:ind w:firstLine="480"/>
        <w:rPr>
          <w:kern w:val="28"/>
        </w:rPr>
      </w:pPr>
      <w:r>
        <w:rPr>
          <w:rFonts w:hint="eastAsia"/>
          <w:kern w:val="28"/>
        </w:rPr>
        <w:t>（</w:t>
      </w:r>
      <w:r>
        <w:rPr>
          <w:rFonts w:hint="eastAsia"/>
          <w:kern w:val="28"/>
        </w:rPr>
        <w:t>3</w:t>
      </w:r>
      <w:r>
        <w:rPr>
          <w:rFonts w:hint="eastAsia"/>
          <w:kern w:val="28"/>
        </w:rPr>
        <w:t>）对具有可能超温超压危险的设备、容器设置符合标准要求的泄压、防爆等各种安全装置。如安全阀、防爆膜、紧急放空阀等。对这些具有较大危险性的反应设备，除了要设置泄压装置以外，还设置爆炸抑制装置。</w:t>
      </w:r>
    </w:p>
    <w:p w14:paraId="7507627F" w14:textId="77777777" w:rsidR="003E78AB" w:rsidRDefault="00010BF9">
      <w:pPr>
        <w:ind w:firstLine="480"/>
        <w:rPr>
          <w:kern w:val="28"/>
        </w:rPr>
      </w:pPr>
      <w:r>
        <w:rPr>
          <w:rFonts w:hint="eastAsia"/>
          <w:kern w:val="28"/>
        </w:rPr>
        <w:t>（</w:t>
      </w:r>
      <w:r>
        <w:rPr>
          <w:rFonts w:hint="eastAsia"/>
          <w:kern w:val="28"/>
        </w:rPr>
        <w:t>4</w:t>
      </w:r>
      <w:r>
        <w:rPr>
          <w:rFonts w:hint="eastAsia"/>
          <w:kern w:val="28"/>
        </w:rPr>
        <w:t>）生产厂房的电气设备为防爆型。电缆线用金属罩加以保护，从控制柜至用电设备的电线不宜有接头，电线与电机连接处用橡胶塞密封。</w:t>
      </w:r>
    </w:p>
    <w:p w14:paraId="375A990C" w14:textId="77777777" w:rsidR="003E78AB" w:rsidRDefault="00010BF9">
      <w:pPr>
        <w:ind w:firstLine="480"/>
        <w:rPr>
          <w:kern w:val="28"/>
        </w:rPr>
      </w:pPr>
      <w:r>
        <w:rPr>
          <w:rFonts w:hint="eastAsia"/>
          <w:kern w:val="28"/>
        </w:rPr>
        <w:t>（</w:t>
      </w:r>
      <w:r>
        <w:rPr>
          <w:rFonts w:hint="eastAsia"/>
          <w:kern w:val="28"/>
        </w:rPr>
        <w:t>5</w:t>
      </w:r>
      <w:r>
        <w:rPr>
          <w:rFonts w:hint="eastAsia"/>
          <w:kern w:val="28"/>
        </w:rPr>
        <w:t>）在生产过程中加强对各类设备的日常检查、保养，确保设备状态良好。生产装置所配备的各种压力表、流量计、温度计、液位计、安全阀、报警器等仪表保证齐全。</w:t>
      </w:r>
    </w:p>
    <w:p w14:paraId="29AE4564" w14:textId="77777777" w:rsidR="003E78AB" w:rsidRDefault="00010BF9">
      <w:pPr>
        <w:ind w:firstLine="480"/>
        <w:rPr>
          <w:kern w:val="28"/>
        </w:rPr>
      </w:pPr>
      <w:r>
        <w:rPr>
          <w:rFonts w:hint="eastAsia"/>
          <w:kern w:val="28"/>
        </w:rPr>
        <w:t>（</w:t>
      </w:r>
      <w:r>
        <w:rPr>
          <w:rFonts w:hint="eastAsia"/>
          <w:kern w:val="28"/>
        </w:rPr>
        <w:t>6</w:t>
      </w:r>
      <w:r>
        <w:rPr>
          <w:rFonts w:hint="eastAsia"/>
          <w:kern w:val="28"/>
        </w:rPr>
        <w:t>）对使用腐蚀性物料的设备和容器应进行防腐蚀设计，正确选用防腐设备或防腐蚀衬里设备，以防酸、碱等腐蚀性介质对设备、设施发生腐蚀，造成泄漏。酸、碱管线作防腐处理，如加防腐漆、阴极保护法等。酸碱管线宜地面敷设或沿管沟敷设。</w:t>
      </w:r>
    </w:p>
    <w:p w14:paraId="1DA8D39D" w14:textId="77777777" w:rsidR="003E78AB" w:rsidRDefault="00010BF9">
      <w:pPr>
        <w:ind w:firstLine="480"/>
        <w:rPr>
          <w:kern w:val="28"/>
        </w:rPr>
      </w:pPr>
      <w:r>
        <w:rPr>
          <w:rFonts w:hint="eastAsia"/>
          <w:kern w:val="28"/>
        </w:rPr>
        <w:t>（</w:t>
      </w:r>
      <w:r>
        <w:rPr>
          <w:rFonts w:hint="eastAsia"/>
          <w:kern w:val="28"/>
        </w:rPr>
        <w:t>7</w:t>
      </w:r>
      <w:r>
        <w:rPr>
          <w:rFonts w:hint="eastAsia"/>
          <w:kern w:val="28"/>
        </w:rPr>
        <w:t>）安装在设备周围的配管、阀门、仪表等留有充分的空间、以免互相碰撞。</w:t>
      </w:r>
    </w:p>
    <w:p w14:paraId="70CAF00B" w14:textId="77777777" w:rsidR="003E78AB" w:rsidRDefault="00010BF9">
      <w:pPr>
        <w:ind w:firstLine="480"/>
        <w:rPr>
          <w:kern w:val="28"/>
        </w:rPr>
      </w:pPr>
      <w:r>
        <w:rPr>
          <w:rFonts w:hint="eastAsia"/>
          <w:kern w:val="28"/>
        </w:rPr>
        <w:t>（</w:t>
      </w:r>
      <w:r>
        <w:rPr>
          <w:rFonts w:hint="eastAsia"/>
          <w:kern w:val="28"/>
        </w:rPr>
        <w:t>8</w:t>
      </w:r>
      <w:r>
        <w:rPr>
          <w:rFonts w:hint="eastAsia"/>
          <w:kern w:val="28"/>
        </w:rPr>
        <w:t>）对于反应器及调节系统的控制调节方式、装置的操作平台和梯子的栏杆以及安全爬梯等的安全性，按规范要求设计、安装和使用。</w:t>
      </w:r>
    </w:p>
    <w:p w14:paraId="3467D72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6.6.1.4</w:t>
      </w:r>
      <w:r>
        <w:rPr>
          <w:rFonts w:ascii="Times New Roman" w:hAnsi="Times New Roman" w:hint="eastAsia"/>
        </w:rPr>
        <w:t>储存系统采用的防范措施</w:t>
      </w:r>
    </w:p>
    <w:p w14:paraId="0EB69285" w14:textId="77777777" w:rsidR="003E78AB" w:rsidRDefault="00010BF9">
      <w:pPr>
        <w:ind w:firstLine="480"/>
        <w:rPr>
          <w:kern w:val="28"/>
        </w:rPr>
      </w:pPr>
      <w:r>
        <w:rPr>
          <w:rFonts w:hint="eastAsia"/>
          <w:kern w:val="28"/>
        </w:rPr>
        <w:t>（</w:t>
      </w:r>
      <w:r>
        <w:rPr>
          <w:rFonts w:hint="eastAsia"/>
          <w:kern w:val="28"/>
        </w:rPr>
        <w:t>1</w:t>
      </w:r>
      <w:r>
        <w:rPr>
          <w:rFonts w:hint="eastAsia"/>
          <w:kern w:val="28"/>
        </w:rPr>
        <w:t>）</w:t>
      </w:r>
      <w:r>
        <w:rPr>
          <w:rFonts w:hint="eastAsia"/>
          <w:kern w:val="28"/>
        </w:rPr>
        <w:t>液体库</w:t>
      </w:r>
      <w:r>
        <w:rPr>
          <w:rFonts w:hint="eastAsia"/>
          <w:kern w:val="28"/>
        </w:rPr>
        <w:t>距离按储罐形式及总储量依据《建筑设计防火规范》（</w:t>
      </w:r>
      <w:r>
        <w:rPr>
          <w:rFonts w:hint="eastAsia"/>
          <w:kern w:val="28"/>
        </w:rPr>
        <w:t>GB50016-2014</w:t>
      </w:r>
      <w:r>
        <w:rPr>
          <w:rFonts w:hint="eastAsia"/>
          <w:kern w:val="28"/>
        </w:rPr>
        <w:t>）确定。</w:t>
      </w:r>
    </w:p>
    <w:p w14:paraId="0D1FC280" w14:textId="77777777" w:rsidR="003E78AB" w:rsidRDefault="00010BF9">
      <w:pPr>
        <w:ind w:firstLine="480"/>
        <w:rPr>
          <w:kern w:val="28"/>
        </w:rPr>
      </w:pPr>
      <w:r>
        <w:rPr>
          <w:rFonts w:hint="eastAsia"/>
          <w:kern w:val="28"/>
        </w:rPr>
        <w:t>（</w:t>
      </w:r>
      <w:r>
        <w:rPr>
          <w:rFonts w:hint="eastAsia"/>
          <w:kern w:val="28"/>
        </w:rPr>
        <w:t>2</w:t>
      </w:r>
      <w:r>
        <w:rPr>
          <w:rFonts w:hint="eastAsia"/>
          <w:kern w:val="28"/>
        </w:rPr>
        <w:t>）罐区内的电气设施采用防爆型。雨水排水管设置阀门等封闭装置，并将前</w:t>
      </w:r>
      <w:r>
        <w:rPr>
          <w:rFonts w:hint="eastAsia"/>
          <w:kern w:val="28"/>
        </w:rPr>
        <w:t>15</w:t>
      </w:r>
      <w:r>
        <w:rPr>
          <w:rFonts w:hint="eastAsia"/>
          <w:kern w:val="28"/>
        </w:rPr>
        <w:t>分钟的雨水收集至废水处理装置。</w:t>
      </w:r>
    </w:p>
    <w:p w14:paraId="1675553C" w14:textId="77777777" w:rsidR="003E78AB" w:rsidRDefault="00010BF9">
      <w:pPr>
        <w:ind w:firstLine="480"/>
        <w:rPr>
          <w:kern w:val="28"/>
        </w:rPr>
      </w:pPr>
      <w:r>
        <w:rPr>
          <w:rFonts w:hint="eastAsia"/>
          <w:kern w:val="28"/>
        </w:rPr>
        <w:t>（</w:t>
      </w:r>
      <w:r>
        <w:rPr>
          <w:rFonts w:hint="eastAsia"/>
          <w:kern w:val="28"/>
        </w:rPr>
        <w:t>3</w:t>
      </w:r>
      <w:r>
        <w:rPr>
          <w:rFonts w:hint="eastAsia"/>
          <w:kern w:val="28"/>
        </w:rPr>
        <w:t>）</w:t>
      </w:r>
      <w:r>
        <w:rPr>
          <w:rFonts w:hint="eastAsia"/>
          <w:kern w:val="28"/>
        </w:rPr>
        <w:t>液体库和成品罐储存区均为地坑式，</w:t>
      </w:r>
      <w:r>
        <w:rPr>
          <w:rFonts w:hint="eastAsia"/>
          <w:kern w:val="28"/>
        </w:rPr>
        <w:t>设防火、防渗、防腐措施，并硬化处理，留下人孔及检查平台。</w:t>
      </w:r>
    </w:p>
    <w:p w14:paraId="2E53A322" w14:textId="77777777" w:rsidR="003E78AB" w:rsidRDefault="00010BF9">
      <w:pPr>
        <w:ind w:firstLine="480"/>
        <w:rPr>
          <w:kern w:val="28"/>
        </w:rPr>
      </w:pPr>
      <w:r>
        <w:rPr>
          <w:rFonts w:hint="eastAsia"/>
          <w:kern w:val="28"/>
        </w:rPr>
        <w:t>（</w:t>
      </w:r>
      <w:r>
        <w:rPr>
          <w:rFonts w:hint="eastAsia"/>
          <w:kern w:val="28"/>
        </w:rPr>
        <w:t>4</w:t>
      </w:r>
      <w:r>
        <w:rPr>
          <w:rFonts w:hint="eastAsia"/>
          <w:kern w:val="28"/>
        </w:rPr>
        <w:t>）储罐设置通气管，并设呼吸阀、阻火器。</w:t>
      </w:r>
    </w:p>
    <w:p w14:paraId="59A61C01" w14:textId="77777777" w:rsidR="003E78AB" w:rsidRDefault="00010BF9">
      <w:pPr>
        <w:ind w:firstLine="480"/>
        <w:rPr>
          <w:kern w:val="28"/>
        </w:rPr>
      </w:pPr>
      <w:r>
        <w:rPr>
          <w:rFonts w:hint="eastAsia"/>
          <w:kern w:val="28"/>
        </w:rPr>
        <w:t>（</w:t>
      </w:r>
      <w:r>
        <w:rPr>
          <w:rFonts w:hint="eastAsia"/>
          <w:kern w:val="28"/>
        </w:rPr>
        <w:t>5</w:t>
      </w:r>
      <w:r>
        <w:rPr>
          <w:rFonts w:hint="eastAsia"/>
          <w:kern w:val="28"/>
        </w:rPr>
        <w:t>）罐区配</w:t>
      </w:r>
      <w:r>
        <w:rPr>
          <w:rFonts w:hint="eastAsia"/>
          <w:kern w:val="28"/>
        </w:rPr>
        <w:t>备适用的消防水系统，消防用水量按灭火用水量和冷却用水量之和计算。</w:t>
      </w:r>
    </w:p>
    <w:p w14:paraId="548D253C" w14:textId="77777777" w:rsidR="003E78AB" w:rsidRDefault="00010BF9">
      <w:pPr>
        <w:ind w:firstLine="480"/>
        <w:rPr>
          <w:kern w:val="28"/>
        </w:rPr>
      </w:pPr>
      <w:r>
        <w:rPr>
          <w:rFonts w:hint="eastAsia"/>
          <w:kern w:val="28"/>
        </w:rPr>
        <w:t>（</w:t>
      </w:r>
      <w:r>
        <w:rPr>
          <w:rFonts w:hint="eastAsia"/>
          <w:kern w:val="28"/>
        </w:rPr>
        <w:t>6</w:t>
      </w:r>
      <w:r>
        <w:rPr>
          <w:rFonts w:hint="eastAsia"/>
          <w:kern w:val="28"/>
        </w:rPr>
        <w:t>）储罐设高、低液位报警器，在进罐总管上设置高液位连锁切断阀，出罐管上设置低低液位连锁切断阀。配置泡沫消防、消防喷淋降温等设施。采取可靠的防静电、防雷措施。</w:t>
      </w:r>
    </w:p>
    <w:p w14:paraId="45DA4497" w14:textId="77777777" w:rsidR="003E78AB" w:rsidRDefault="00010BF9">
      <w:pPr>
        <w:ind w:firstLine="480"/>
        <w:rPr>
          <w:kern w:val="28"/>
        </w:rPr>
      </w:pPr>
      <w:r>
        <w:rPr>
          <w:rFonts w:hint="eastAsia"/>
          <w:kern w:val="28"/>
        </w:rPr>
        <w:t>（</w:t>
      </w:r>
      <w:r>
        <w:rPr>
          <w:rFonts w:hint="eastAsia"/>
          <w:kern w:val="28"/>
        </w:rPr>
        <w:t>7</w:t>
      </w:r>
      <w:r>
        <w:rPr>
          <w:rFonts w:hint="eastAsia"/>
          <w:kern w:val="28"/>
        </w:rPr>
        <w:t>）罐区设置安全淋浴和洗眼器、个人防护用具等。</w:t>
      </w:r>
    </w:p>
    <w:p w14:paraId="61862DDE" w14:textId="77777777" w:rsidR="003E78AB" w:rsidRDefault="00010BF9">
      <w:pPr>
        <w:ind w:firstLine="480"/>
        <w:rPr>
          <w:kern w:val="28"/>
        </w:rPr>
      </w:pPr>
      <w:r>
        <w:rPr>
          <w:rFonts w:hint="eastAsia"/>
          <w:kern w:val="28"/>
        </w:rPr>
        <w:t>（</w:t>
      </w:r>
      <w:r>
        <w:rPr>
          <w:rFonts w:hint="eastAsia"/>
          <w:kern w:val="28"/>
        </w:rPr>
        <w:t>8</w:t>
      </w:r>
      <w:r>
        <w:rPr>
          <w:rFonts w:hint="eastAsia"/>
          <w:kern w:val="28"/>
        </w:rPr>
        <w:t>）罐区建筑物用耐酸砖、耐酸混凝土和钢筋等构筑。贮存区地面要有一定斜度，并设排水沟。有物料硫酸等漏出时，就用大量的水冲洗。排出的酸性水非经中和处理不得排放。</w:t>
      </w:r>
    </w:p>
    <w:p w14:paraId="739A95C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6.6.1.5</w:t>
      </w:r>
      <w:r>
        <w:rPr>
          <w:rFonts w:ascii="Times New Roman" w:hAnsi="Times New Roman" w:hint="eastAsia"/>
        </w:rPr>
        <w:t>危险化学品运输安全防范措施</w:t>
      </w:r>
    </w:p>
    <w:p w14:paraId="0C7013D6" w14:textId="77777777" w:rsidR="003E78AB" w:rsidRDefault="00010BF9">
      <w:pPr>
        <w:ind w:firstLine="480"/>
        <w:rPr>
          <w:kern w:val="28"/>
        </w:rPr>
      </w:pPr>
      <w:r>
        <w:rPr>
          <w:rFonts w:hint="eastAsia"/>
          <w:kern w:val="28"/>
        </w:rPr>
        <w:t>（</w:t>
      </w:r>
      <w:r>
        <w:rPr>
          <w:rFonts w:hint="eastAsia"/>
          <w:kern w:val="28"/>
        </w:rPr>
        <w:t>1</w:t>
      </w:r>
      <w:r>
        <w:rPr>
          <w:rFonts w:hint="eastAsia"/>
          <w:kern w:val="28"/>
        </w:rPr>
        <w:t>）采购危险化学品时，应到已获得</w:t>
      </w:r>
      <w:r>
        <w:rPr>
          <w:rFonts w:hint="eastAsia"/>
          <w:kern w:val="28"/>
        </w:rPr>
        <w:t>危险化学品经营许可证的企业进行采购，并要求供应商提供技术说明书及相关技术资料；采购人员必须进行专业培训并取证。</w:t>
      </w:r>
    </w:p>
    <w:p w14:paraId="42B5C2FF" w14:textId="77777777" w:rsidR="003E78AB" w:rsidRDefault="00010BF9">
      <w:pPr>
        <w:ind w:firstLine="480"/>
        <w:rPr>
          <w:kern w:val="28"/>
        </w:rPr>
      </w:pPr>
      <w:r>
        <w:rPr>
          <w:rFonts w:hint="eastAsia"/>
          <w:kern w:val="28"/>
        </w:rPr>
        <w:t>（</w:t>
      </w:r>
      <w:r>
        <w:rPr>
          <w:rFonts w:hint="eastAsia"/>
          <w:kern w:val="28"/>
        </w:rPr>
        <w:t>2</w:t>
      </w:r>
      <w:r>
        <w:rPr>
          <w:rFonts w:hint="eastAsia"/>
          <w:kern w:val="28"/>
        </w:rPr>
        <w:t>）原料及产品的装卸运输应执行《汽车危险货物运输装卸作业规程》（</w:t>
      </w:r>
      <w:r>
        <w:rPr>
          <w:rFonts w:hint="eastAsia"/>
          <w:kern w:val="28"/>
        </w:rPr>
        <w:t>JT618-2004</w:t>
      </w:r>
      <w:r>
        <w:rPr>
          <w:rFonts w:hint="eastAsia"/>
          <w:kern w:val="28"/>
        </w:rPr>
        <w:t>），《汽车危险货物运输规则》（</w:t>
      </w:r>
      <w:r>
        <w:rPr>
          <w:rFonts w:hint="eastAsia"/>
          <w:kern w:val="28"/>
        </w:rPr>
        <w:t>JT617-2004</w:t>
      </w:r>
      <w:r>
        <w:rPr>
          <w:rFonts w:hint="eastAsia"/>
          <w:kern w:val="28"/>
        </w:rPr>
        <w:t>），《机动车辆安全规范》（</w:t>
      </w:r>
      <w:r>
        <w:rPr>
          <w:rFonts w:hint="eastAsia"/>
          <w:kern w:val="28"/>
        </w:rPr>
        <w:t>GB10827-1989</w:t>
      </w:r>
      <w:r>
        <w:rPr>
          <w:rFonts w:hint="eastAsia"/>
          <w:kern w:val="28"/>
        </w:rPr>
        <w:t>），《工业企业厂内铁路、道路运输安全规程》（</w:t>
      </w:r>
      <w:r>
        <w:rPr>
          <w:rFonts w:hint="eastAsia"/>
          <w:kern w:val="28"/>
        </w:rPr>
        <w:t>GB4387-2008</w:t>
      </w:r>
      <w:r>
        <w:rPr>
          <w:rFonts w:hint="eastAsia"/>
          <w:kern w:val="28"/>
        </w:rPr>
        <w:t>）等。</w:t>
      </w:r>
    </w:p>
    <w:p w14:paraId="52068AB3" w14:textId="77777777" w:rsidR="003E78AB" w:rsidRDefault="00010BF9">
      <w:pPr>
        <w:ind w:firstLine="480"/>
        <w:rPr>
          <w:kern w:val="28"/>
        </w:rPr>
      </w:pPr>
      <w:r>
        <w:rPr>
          <w:rFonts w:hint="eastAsia"/>
          <w:kern w:val="28"/>
        </w:rPr>
        <w:t>（</w:t>
      </w:r>
      <w:r>
        <w:rPr>
          <w:rFonts w:hint="eastAsia"/>
          <w:kern w:val="28"/>
        </w:rPr>
        <w:t>3</w:t>
      </w:r>
      <w:r>
        <w:rPr>
          <w:rFonts w:hint="eastAsia"/>
          <w:kern w:val="28"/>
        </w:rPr>
        <w:t>）危险品原料的运装要委托有承运资质的运输单位承担；承担运输危险化学品的人员、车辆等必须符合《危险化学品安全管理条例》的规定。行车路线必须</w:t>
      </w:r>
      <w:r>
        <w:rPr>
          <w:rFonts w:hint="eastAsia"/>
          <w:kern w:val="28"/>
        </w:rPr>
        <w:t>事先经当地公安交通部门批准，并制定路线和时间运输，不可在繁华街道行驶和停留；要悬挂“危险品”（“剧毒品”）标志。</w:t>
      </w:r>
    </w:p>
    <w:p w14:paraId="6003DB9A" w14:textId="77777777" w:rsidR="003E78AB" w:rsidRDefault="00010BF9">
      <w:pPr>
        <w:ind w:firstLine="480"/>
        <w:rPr>
          <w:kern w:val="28"/>
        </w:rPr>
      </w:pPr>
      <w:r>
        <w:rPr>
          <w:rFonts w:hint="eastAsia"/>
          <w:kern w:val="28"/>
        </w:rPr>
        <w:t>（</w:t>
      </w:r>
      <w:r>
        <w:rPr>
          <w:rFonts w:hint="eastAsia"/>
          <w:kern w:val="28"/>
        </w:rPr>
        <w:t>4</w:t>
      </w:r>
      <w:r>
        <w:rPr>
          <w:rFonts w:hint="eastAsia"/>
          <w:kern w:val="28"/>
        </w:rPr>
        <w:t>）对于运输车辆驾驶人员应该了解运载物品的属性，并具备基本的救护常识，在发生意外燃烧、爆炸和泄漏等事故的情况下，可以根据救护要求立即采取相应的措施，并及时向当地部门报告。</w:t>
      </w:r>
    </w:p>
    <w:p w14:paraId="0F0C9657" w14:textId="77777777" w:rsidR="003E78AB" w:rsidRDefault="00010BF9">
      <w:pPr>
        <w:ind w:firstLine="480"/>
        <w:rPr>
          <w:kern w:val="28"/>
        </w:rPr>
      </w:pPr>
      <w:r>
        <w:rPr>
          <w:rFonts w:hint="eastAsia"/>
          <w:kern w:val="28"/>
        </w:rPr>
        <w:t>（</w:t>
      </w:r>
      <w:r>
        <w:rPr>
          <w:rFonts w:hint="eastAsia"/>
          <w:kern w:val="28"/>
        </w:rPr>
        <w:t>5</w:t>
      </w:r>
      <w:r>
        <w:rPr>
          <w:rFonts w:hint="eastAsia"/>
          <w:kern w:val="28"/>
        </w:rPr>
        <w:t>）禁止超装、超载，禁止混装不相容类别的危险化学品。</w:t>
      </w:r>
    </w:p>
    <w:p w14:paraId="70F03097" w14:textId="77777777" w:rsidR="003E78AB" w:rsidRDefault="00010BF9">
      <w:pPr>
        <w:ind w:firstLine="480"/>
        <w:rPr>
          <w:kern w:val="28"/>
        </w:rPr>
      </w:pPr>
      <w:r>
        <w:rPr>
          <w:rFonts w:hint="eastAsia"/>
          <w:kern w:val="28"/>
        </w:rPr>
        <w:t>（</w:t>
      </w:r>
      <w:r>
        <w:rPr>
          <w:rFonts w:hint="eastAsia"/>
          <w:kern w:val="28"/>
        </w:rPr>
        <w:t>6</w:t>
      </w:r>
      <w:r>
        <w:rPr>
          <w:rFonts w:hint="eastAsia"/>
          <w:kern w:val="28"/>
        </w:rPr>
        <w:t>）槽罐车发生泄漏或翻车，必须立即报警，并建议有关部门在</w:t>
      </w:r>
      <w:r>
        <w:rPr>
          <w:rFonts w:hint="eastAsia"/>
          <w:kern w:val="28"/>
        </w:rPr>
        <w:t>1</w:t>
      </w:r>
      <w:r>
        <w:rPr>
          <w:rFonts w:hint="eastAsia"/>
          <w:kern w:val="28"/>
        </w:rPr>
        <w:t>公里范围内设置警戒，</w:t>
      </w:r>
      <w:r>
        <w:rPr>
          <w:rFonts w:hint="eastAsia"/>
          <w:kern w:val="28"/>
        </w:rPr>
        <w:t>2.5~3.0</w:t>
      </w:r>
      <w:r>
        <w:rPr>
          <w:rFonts w:hint="eastAsia"/>
          <w:kern w:val="28"/>
        </w:rPr>
        <w:t>公里作为影响范围，通知采取必要的防范措施。</w:t>
      </w:r>
    </w:p>
    <w:p w14:paraId="4984F868" w14:textId="77777777" w:rsidR="003E78AB" w:rsidRDefault="00010BF9">
      <w:pPr>
        <w:ind w:firstLine="480"/>
        <w:rPr>
          <w:kern w:val="28"/>
        </w:rPr>
      </w:pPr>
      <w:r>
        <w:rPr>
          <w:rFonts w:hint="eastAsia"/>
          <w:kern w:val="28"/>
        </w:rPr>
        <w:t>（</w:t>
      </w:r>
      <w:r>
        <w:rPr>
          <w:rFonts w:hint="eastAsia"/>
          <w:kern w:val="28"/>
        </w:rPr>
        <w:t>7</w:t>
      </w:r>
      <w:r>
        <w:rPr>
          <w:rFonts w:hint="eastAsia"/>
          <w:kern w:val="28"/>
        </w:rPr>
        <w:t>）根据不同物料，提出吸附、</w:t>
      </w:r>
      <w:r>
        <w:rPr>
          <w:rFonts w:hint="eastAsia"/>
          <w:kern w:val="28"/>
        </w:rPr>
        <w:t>覆盖、消除材料，用于应急处理。</w:t>
      </w:r>
    </w:p>
    <w:p w14:paraId="0D3A88D3" w14:textId="77777777" w:rsidR="003E78AB" w:rsidRDefault="00010BF9">
      <w:pPr>
        <w:ind w:firstLine="480"/>
        <w:rPr>
          <w:kern w:val="28"/>
        </w:rPr>
      </w:pPr>
      <w:r>
        <w:rPr>
          <w:rFonts w:hint="eastAsia"/>
          <w:kern w:val="28"/>
        </w:rPr>
        <w:t>本项目</w:t>
      </w:r>
      <w:r>
        <w:rPr>
          <w:rFonts w:hint="eastAsia"/>
          <w:kern w:val="28"/>
        </w:rPr>
        <w:t>五氧化二钒、</w:t>
      </w:r>
      <w:r>
        <w:rPr>
          <w:rFonts w:hint="eastAsia"/>
          <w:kern w:val="28"/>
        </w:rPr>
        <w:t>硫酸、磷酸等物质运输应委托具有危化品运营资质的专业运输单位承担，建设单位应针对项目涉及的各种危险化学品运输制定相应的应急响应程序。</w:t>
      </w:r>
    </w:p>
    <w:p w14:paraId="199FAE5E" w14:textId="77777777" w:rsidR="003E78AB" w:rsidRDefault="00010BF9">
      <w:pPr>
        <w:ind w:firstLine="480"/>
        <w:rPr>
          <w:kern w:val="28"/>
        </w:rPr>
      </w:pPr>
      <w:r>
        <w:rPr>
          <w:rFonts w:hint="eastAsia"/>
          <w:kern w:val="28"/>
        </w:rPr>
        <w:t>本项目化学危险品的运输应符合以下要求：</w:t>
      </w:r>
    </w:p>
    <w:p w14:paraId="1DF109F7" w14:textId="77777777" w:rsidR="003E78AB" w:rsidRDefault="00010BF9">
      <w:pPr>
        <w:ind w:firstLine="480"/>
        <w:rPr>
          <w:kern w:val="28"/>
        </w:rPr>
      </w:pPr>
      <w:r>
        <w:rPr>
          <w:rFonts w:hint="eastAsia"/>
          <w:kern w:val="28"/>
        </w:rPr>
        <w:t>①严格按照《危险化学品安全管理条例》的规定进行危险化学品的运输、使用、贮存；</w:t>
      </w:r>
    </w:p>
    <w:p w14:paraId="43181CF3" w14:textId="77777777" w:rsidR="003E78AB" w:rsidRDefault="00010BF9">
      <w:pPr>
        <w:ind w:firstLine="480"/>
        <w:rPr>
          <w:kern w:val="28"/>
        </w:rPr>
      </w:pPr>
      <w:r>
        <w:rPr>
          <w:rFonts w:hint="eastAsia"/>
          <w:kern w:val="28"/>
        </w:rPr>
        <w:t>②危险化学品的包装、容器应是定点单位生产，并经检测、检验合格，方可使用；</w:t>
      </w:r>
    </w:p>
    <w:p w14:paraId="0F1B766A" w14:textId="77777777" w:rsidR="003E78AB" w:rsidRDefault="00010BF9">
      <w:pPr>
        <w:ind w:firstLine="480"/>
        <w:rPr>
          <w:kern w:val="28"/>
        </w:rPr>
      </w:pPr>
      <w:r>
        <w:rPr>
          <w:rFonts w:hint="eastAsia"/>
          <w:kern w:val="28"/>
        </w:rPr>
        <w:t>③危险品运输单位必须取得《道路危险货物非营业运输证》，有关人员必须取得《道路危险货物运输操作证》和有关专业培训考核，车辆应有危运证，司机、押运员应有上岗证；</w:t>
      </w:r>
    </w:p>
    <w:p w14:paraId="2B9A75B5" w14:textId="77777777" w:rsidR="003E78AB" w:rsidRDefault="00010BF9">
      <w:pPr>
        <w:ind w:firstLine="480"/>
        <w:rPr>
          <w:kern w:val="28"/>
        </w:rPr>
      </w:pPr>
      <w:r>
        <w:rPr>
          <w:rFonts w:hint="eastAsia"/>
          <w:kern w:val="28"/>
        </w:rPr>
        <w:t>④运输危险化学品的车辆后部安装告示牌，告示牌上标明危险化学品的名称、种类、罐体容积、最大载质量、注意事项、施救方法、企业联系电话；</w:t>
      </w:r>
    </w:p>
    <w:p w14:paraId="5FA2793E" w14:textId="77777777" w:rsidR="003E78AB" w:rsidRDefault="00010BF9">
      <w:pPr>
        <w:ind w:firstLine="480"/>
        <w:rPr>
          <w:kern w:val="28"/>
        </w:rPr>
      </w:pPr>
      <w:r>
        <w:rPr>
          <w:rFonts w:hint="eastAsia"/>
          <w:kern w:val="28"/>
        </w:rPr>
        <w:t>⑤危险废物运输必须遵从《危险废物转移联单管理办法》中的规定，填写危险废物转移联单，并向危险废物移出地和接收地的县级以上地方人民政府环境保护行政主管部门报告。</w:t>
      </w:r>
    </w:p>
    <w:p w14:paraId="77122D37" w14:textId="77777777" w:rsidR="003E78AB" w:rsidRDefault="00010BF9">
      <w:pPr>
        <w:ind w:firstLine="480"/>
        <w:rPr>
          <w:kern w:val="28"/>
        </w:rPr>
      </w:pPr>
      <w:r>
        <w:rPr>
          <w:rFonts w:hint="eastAsia"/>
          <w:kern w:val="28"/>
        </w:rPr>
        <w:t>⑥危险化学品运输单位应具有公安部门核发的公路运输通行证，并由公安</w:t>
      </w:r>
      <w:r>
        <w:rPr>
          <w:rFonts w:hint="eastAsia"/>
          <w:kern w:val="28"/>
        </w:rPr>
        <w:t>部门对危险化学品道路运输安全实施监督；</w:t>
      </w:r>
    </w:p>
    <w:p w14:paraId="0F5D9430" w14:textId="77777777" w:rsidR="003E78AB" w:rsidRDefault="00010BF9">
      <w:pPr>
        <w:ind w:firstLine="480"/>
        <w:rPr>
          <w:kern w:val="28"/>
        </w:rPr>
      </w:pPr>
      <w:r>
        <w:rPr>
          <w:rFonts w:hint="eastAsia"/>
          <w:kern w:val="28"/>
        </w:rPr>
        <w:t>⑦运输车辆随车携带包括危险化学品名称、数量、危害性、运输始发地、目的地、运输路线、驾驶员姓名、押运员姓名及运输、经营、单位名称等内容的资料，以及必要的应急处理器材、防护用品和应急措施指导手册。</w:t>
      </w:r>
    </w:p>
    <w:p w14:paraId="140ABCFF" w14:textId="77777777" w:rsidR="003E78AB" w:rsidRDefault="00010BF9">
      <w:pPr>
        <w:ind w:firstLine="480"/>
        <w:rPr>
          <w:kern w:val="28"/>
        </w:rPr>
      </w:pPr>
      <w:r>
        <w:rPr>
          <w:rFonts w:hint="eastAsia"/>
          <w:kern w:val="28"/>
        </w:rPr>
        <w:t>⑧化学品运输车辆在行驶、停车时要与其他车辆、高压线、人口稠密区、高大建筑物、政府机关、桥梁、水源保护区和重点文物保护区保持一定的安全距离；按当地公安机关指定的路线和规定时间行驶，严禁超车、超速、超重，防止摩擦、冲击。</w:t>
      </w:r>
    </w:p>
    <w:p w14:paraId="7B014804" w14:textId="77777777" w:rsidR="003E78AB" w:rsidRDefault="00010BF9">
      <w:pPr>
        <w:ind w:firstLine="480"/>
        <w:rPr>
          <w:kern w:val="28"/>
        </w:rPr>
      </w:pPr>
      <w:r>
        <w:rPr>
          <w:rFonts w:hint="eastAsia"/>
          <w:kern w:val="28"/>
        </w:rPr>
        <w:t>⑨一旦出现运输过程事故排放，一面采取应急处理措施，做好现场保</w:t>
      </w:r>
      <w:r>
        <w:rPr>
          <w:rFonts w:hint="eastAsia"/>
          <w:kern w:val="28"/>
        </w:rPr>
        <w:t>护，一面与当地公安消防和环保部门联系，消除或减缓事故造成的影响。</w:t>
      </w:r>
    </w:p>
    <w:p w14:paraId="7B34C94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6.6.1.6</w:t>
      </w:r>
      <w:r>
        <w:rPr>
          <w:rFonts w:ascii="Times New Roman" w:hAnsi="Times New Roman" w:hint="eastAsia"/>
        </w:rPr>
        <w:t>危险化学品安全生产防范措施</w:t>
      </w:r>
    </w:p>
    <w:p w14:paraId="331B4E97" w14:textId="77777777" w:rsidR="003E78AB" w:rsidRDefault="00010BF9">
      <w:pPr>
        <w:ind w:firstLine="480"/>
        <w:rPr>
          <w:kern w:val="28"/>
        </w:rPr>
      </w:pPr>
      <w:r>
        <w:rPr>
          <w:rFonts w:hint="eastAsia"/>
          <w:kern w:val="28"/>
        </w:rPr>
        <w:t>根据风险识别，项目涉及的主要危险化学品有五氧化二钒、含钒电解液、硫酸</w:t>
      </w:r>
      <w:r>
        <w:rPr>
          <w:rFonts w:hint="eastAsia"/>
          <w:kern w:val="28"/>
        </w:rPr>
        <w:t>、</w:t>
      </w:r>
      <w:r>
        <w:rPr>
          <w:rFonts w:hint="eastAsia"/>
          <w:kern w:val="28"/>
        </w:rPr>
        <w:t>磷酸等</w:t>
      </w:r>
      <w:r>
        <w:rPr>
          <w:rFonts w:hint="eastAsia"/>
          <w:kern w:val="28"/>
        </w:rPr>
        <w:t>。</w:t>
      </w:r>
    </w:p>
    <w:p w14:paraId="39A2B293" w14:textId="77777777" w:rsidR="003E78AB" w:rsidRDefault="00010BF9">
      <w:pPr>
        <w:ind w:firstLine="480"/>
        <w:rPr>
          <w:kern w:val="28"/>
        </w:rPr>
      </w:pPr>
      <w:r>
        <w:rPr>
          <w:rFonts w:hint="eastAsia"/>
          <w:kern w:val="28"/>
        </w:rPr>
        <w:t>（</w:t>
      </w:r>
      <w:r>
        <w:rPr>
          <w:rFonts w:hint="eastAsia"/>
          <w:kern w:val="28"/>
        </w:rPr>
        <w:t>1</w:t>
      </w:r>
      <w:r>
        <w:rPr>
          <w:rFonts w:hint="eastAsia"/>
          <w:kern w:val="28"/>
        </w:rPr>
        <w:t>）五氧化二钒</w:t>
      </w:r>
    </w:p>
    <w:p w14:paraId="31A98253" w14:textId="77777777" w:rsidR="003E78AB" w:rsidRDefault="00010BF9">
      <w:pPr>
        <w:ind w:firstLine="480"/>
        <w:rPr>
          <w:kern w:val="28"/>
        </w:rPr>
      </w:pPr>
      <w:r>
        <w:rPr>
          <w:rFonts w:hint="eastAsia"/>
          <w:kern w:val="28"/>
        </w:rPr>
        <w:t>①应存放在通风良好的地方，保持容器密闭，避免粉尘泄漏；储存环境需干燥、阴凉，防止受潮；存放处须加锁，避免未经授权的人员接触。</w:t>
      </w:r>
    </w:p>
    <w:p w14:paraId="4EF98A96" w14:textId="77777777" w:rsidR="003E78AB" w:rsidRDefault="00010BF9">
      <w:pPr>
        <w:ind w:firstLine="480"/>
        <w:rPr>
          <w:kern w:val="28"/>
        </w:rPr>
      </w:pPr>
      <w:r>
        <w:rPr>
          <w:rFonts w:hint="eastAsia"/>
          <w:kern w:val="28"/>
        </w:rPr>
        <w:t>②操作时应佩戴防护手套、防护服、防护眼罩和防护面具，避免接触皮肤和眼睛。</w:t>
      </w:r>
    </w:p>
    <w:p w14:paraId="56466D90" w14:textId="77777777" w:rsidR="003E78AB" w:rsidRDefault="00010BF9">
      <w:pPr>
        <w:ind w:firstLine="480"/>
        <w:rPr>
          <w:kern w:val="28"/>
        </w:rPr>
      </w:pPr>
      <w:r>
        <w:rPr>
          <w:rFonts w:hint="eastAsia"/>
          <w:kern w:val="28"/>
        </w:rPr>
        <w:t>③在有粉尘生成的地方，需提供合适的排风设备，避免吸入粉尘。</w:t>
      </w:r>
    </w:p>
    <w:p w14:paraId="66E61BAE" w14:textId="77777777" w:rsidR="003E78AB" w:rsidRDefault="00010BF9">
      <w:pPr>
        <w:ind w:firstLine="480"/>
        <w:rPr>
          <w:kern w:val="28"/>
        </w:rPr>
      </w:pPr>
      <w:r>
        <w:rPr>
          <w:rFonts w:hint="eastAsia"/>
          <w:kern w:val="28"/>
        </w:rPr>
        <w:t>④作业后彻底清洗皮肤，避免在操作过程中进食、饮</w:t>
      </w:r>
      <w:r>
        <w:rPr>
          <w:rFonts w:hint="eastAsia"/>
          <w:kern w:val="28"/>
        </w:rPr>
        <w:t>水或吸烟。</w:t>
      </w:r>
    </w:p>
    <w:p w14:paraId="24C0D168" w14:textId="77777777" w:rsidR="003E78AB" w:rsidRDefault="00010BF9">
      <w:pPr>
        <w:ind w:firstLine="480"/>
        <w:rPr>
          <w:kern w:val="28"/>
        </w:rPr>
      </w:pPr>
      <w:r>
        <w:rPr>
          <w:rFonts w:hint="eastAsia"/>
          <w:kern w:val="28"/>
        </w:rPr>
        <w:t>（</w:t>
      </w:r>
      <w:r>
        <w:rPr>
          <w:rFonts w:hint="eastAsia"/>
          <w:kern w:val="28"/>
        </w:rPr>
        <w:t>2</w:t>
      </w:r>
      <w:r>
        <w:rPr>
          <w:rFonts w:hint="eastAsia"/>
          <w:kern w:val="28"/>
        </w:rPr>
        <w:t>）含钒电解液</w:t>
      </w:r>
    </w:p>
    <w:p w14:paraId="142E4B8A" w14:textId="77777777" w:rsidR="003E78AB" w:rsidRDefault="00010BF9">
      <w:pPr>
        <w:ind w:firstLine="480"/>
        <w:rPr>
          <w:kern w:val="28"/>
        </w:rPr>
      </w:pPr>
      <w:r>
        <w:rPr>
          <w:rFonts w:hint="eastAsia"/>
          <w:kern w:val="28"/>
        </w:rPr>
        <w:t>项目电解液储存区应采取必要的防风、防晒、防雨、防漏、防渗、防腐以及其他环境污染防治措施，并设立风险监控及应急监测系统，实现事故预警和快速应急监测、跟踪，工作中要配备专门人员，日常生产过程中应加强罐区日常管理，加强巡逻检查，如：</w:t>
      </w:r>
    </w:p>
    <w:p w14:paraId="4F14AEEB" w14:textId="77777777" w:rsidR="003E78AB" w:rsidRDefault="00010BF9">
      <w:pPr>
        <w:ind w:firstLine="480"/>
        <w:rPr>
          <w:kern w:val="28"/>
        </w:rPr>
      </w:pPr>
      <w:r>
        <w:rPr>
          <w:rFonts w:hint="eastAsia"/>
          <w:kern w:val="28"/>
        </w:rPr>
        <w:t>①贮存设施地面应采取表面防渗措施；表面防渗材料应与所接触的物料或污染物相容，可采用抗渗混凝土、高密度聚乙烯膜、钠基膨润土防水毯或其他防渗性能等效的材料。贮存区直接接触地面的，还应进行基础防渗，防渗层为至少</w:t>
      </w:r>
      <w:r>
        <w:rPr>
          <w:rFonts w:hint="eastAsia"/>
          <w:kern w:val="28"/>
        </w:rPr>
        <w:t>1m</w:t>
      </w:r>
      <w:r>
        <w:rPr>
          <w:rFonts w:hint="eastAsia"/>
          <w:kern w:val="28"/>
        </w:rPr>
        <w:t>厚黏土层（渗透系数不大于</w:t>
      </w:r>
      <w:r>
        <w:rPr>
          <w:rFonts w:hint="eastAsia"/>
          <w:kern w:val="28"/>
        </w:rPr>
        <w:t>10</w:t>
      </w:r>
      <w:r>
        <w:rPr>
          <w:rFonts w:hint="eastAsia"/>
          <w:kern w:val="28"/>
          <w:vertAlign w:val="superscript"/>
        </w:rPr>
        <w:t>-7</w:t>
      </w:r>
      <w:r>
        <w:rPr>
          <w:rFonts w:hint="eastAsia"/>
          <w:kern w:val="28"/>
        </w:rPr>
        <w:t>cm/s</w:t>
      </w:r>
      <w:r>
        <w:rPr>
          <w:rFonts w:hint="eastAsia"/>
          <w:kern w:val="28"/>
        </w:rPr>
        <w:t>），或至少</w:t>
      </w:r>
      <w:r>
        <w:rPr>
          <w:rFonts w:hint="eastAsia"/>
          <w:kern w:val="28"/>
        </w:rPr>
        <w:t>2mm</w:t>
      </w:r>
      <w:r>
        <w:rPr>
          <w:rFonts w:hint="eastAsia"/>
          <w:kern w:val="28"/>
        </w:rPr>
        <w:t>厚高密度聚乙烯膜等人工防渗材料（渗透系数不大于</w:t>
      </w:r>
      <w:r>
        <w:rPr>
          <w:rFonts w:hint="eastAsia"/>
          <w:kern w:val="28"/>
        </w:rPr>
        <w:t>10</w:t>
      </w:r>
      <w:r>
        <w:rPr>
          <w:rFonts w:hint="eastAsia"/>
          <w:kern w:val="28"/>
          <w:vertAlign w:val="superscript"/>
        </w:rPr>
        <w:t>-10</w:t>
      </w:r>
      <w:r>
        <w:rPr>
          <w:rFonts w:hint="eastAsia"/>
          <w:kern w:val="28"/>
        </w:rPr>
        <w:t>cm/s</w:t>
      </w:r>
      <w:r>
        <w:rPr>
          <w:rFonts w:hint="eastAsia"/>
          <w:kern w:val="28"/>
        </w:rPr>
        <w:t>），或其他防渗性能等效的材料。</w:t>
      </w:r>
    </w:p>
    <w:p w14:paraId="678759A4" w14:textId="77777777" w:rsidR="003E78AB" w:rsidRDefault="00010BF9">
      <w:pPr>
        <w:ind w:firstLine="480"/>
        <w:rPr>
          <w:kern w:val="28"/>
        </w:rPr>
      </w:pPr>
      <w:r>
        <w:rPr>
          <w:rFonts w:hint="eastAsia"/>
          <w:kern w:val="28"/>
        </w:rPr>
        <w:t>②采用环氧树脂防腐漆进行防腐处理。</w:t>
      </w:r>
    </w:p>
    <w:p w14:paraId="4E86D479" w14:textId="77777777" w:rsidR="003E78AB" w:rsidRDefault="00010BF9">
      <w:pPr>
        <w:ind w:firstLine="480"/>
        <w:rPr>
          <w:kern w:val="28"/>
        </w:rPr>
      </w:pPr>
      <w:r>
        <w:rPr>
          <w:rFonts w:hint="eastAsia"/>
          <w:kern w:val="28"/>
        </w:rPr>
        <w:t>③预留泄漏液导流槽及泄漏液收集池。</w:t>
      </w:r>
    </w:p>
    <w:p w14:paraId="25921561" w14:textId="77777777" w:rsidR="003E78AB" w:rsidRDefault="00010BF9">
      <w:pPr>
        <w:ind w:firstLine="480"/>
        <w:rPr>
          <w:kern w:val="28"/>
        </w:rPr>
      </w:pPr>
      <w:r>
        <w:rPr>
          <w:rFonts w:hint="eastAsia"/>
          <w:kern w:val="28"/>
        </w:rPr>
        <w:t>④对罐区基础沉降进行日常巡视，如发现异常沉降应及时对罐区进行整改；</w:t>
      </w:r>
    </w:p>
    <w:p w14:paraId="704AE188" w14:textId="77777777" w:rsidR="003E78AB" w:rsidRDefault="00010BF9">
      <w:pPr>
        <w:ind w:firstLine="480"/>
        <w:rPr>
          <w:kern w:val="28"/>
        </w:rPr>
      </w:pPr>
      <w:r>
        <w:rPr>
          <w:rFonts w:hint="eastAsia"/>
          <w:kern w:val="28"/>
        </w:rPr>
        <w:t>⑤对罐壁的接管等开口，检验试压合格后使用；</w:t>
      </w:r>
    </w:p>
    <w:p w14:paraId="03BB2090" w14:textId="77777777" w:rsidR="003E78AB" w:rsidRDefault="00010BF9">
      <w:pPr>
        <w:ind w:firstLine="480"/>
        <w:rPr>
          <w:kern w:val="28"/>
        </w:rPr>
      </w:pPr>
      <w:r>
        <w:rPr>
          <w:rFonts w:hint="eastAsia"/>
          <w:kern w:val="28"/>
        </w:rPr>
        <w:t>⑥电解液装罐过程中应安排专人进行现场看护，未完成装罐作业不得离开，防止报警系统故障，导致储罐充装过量，电解液外溢；</w:t>
      </w:r>
    </w:p>
    <w:p w14:paraId="3CDCD50F" w14:textId="77777777" w:rsidR="003E78AB" w:rsidRDefault="00010BF9">
      <w:pPr>
        <w:ind w:firstLine="480"/>
        <w:rPr>
          <w:kern w:val="28"/>
        </w:rPr>
      </w:pPr>
      <w:r>
        <w:rPr>
          <w:rFonts w:hint="eastAsia"/>
          <w:kern w:val="28"/>
        </w:rPr>
        <w:t>⑦加强作业管理，危险物质轻拿轻放、严防撞击，同时加强日常巡逻、检查。</w:t>
      </w:r>
    </w:p>
    <w:p w14:paraId="7EE66262" w14:textId="77777777" w:rsidR="003E78AB" w:rsidRDefault="00010BF9">
      <w:pPr>
        <w:ind w:firstLine="480"/>
        <w:rPr>
          <w:kern w:val="28"/>
        </w:rPr>
      </w:pPr>
      <w:r>
        <w:rPr>
          <w:rFonts w:hint="eastAsia"/>
          <w:kern w:val="28"/>
        </w:rPr>
        <w:t>（</w:t>
      </w:r>
      <w:r>
        <w:rPr>
          <w:rFonts w:hint="eastAsia"/>
          <w:kern w:val="28"/>
        </w:rPr>
        <w:t>3</w:t>
      </w:r>
      <w:r>
        <w:rPr>
          <w:rFonts w:hint="eastAsia"/>
          <w:kern w:val="28"/>
        </w:rPr>
        <w:t>）液体库和成品罐区</w:t>
      </w:r>
      <w:r>
        <w:rPr>
          <w:rFonts w:hint="eastAsia"/>
          <w:kern w:val="28"/>
        </w:rPr>
        <w:t>域</w:t>
      </w:r>
    </w:p>
    <w:p w14:paraId="675943CF" w14:textId="77777777" w:rsidR="003E78AB" w:rsidRDefault="00010BF9">
      <w:pPr>
        <w:ind w:firstLine="480"/>
        <w:rPr>
          <w:kern w:val="28"/>
        </w:rPr>
      </w:pPr>
      <w:r>
        <w:rPr>
          <w:rFonts w:hint="eastAsia"/>
          <w:kern w:val="28"/>
        </w:rPr>
        <w:t>①加强管理工作，设专人负责硫酸等的安全贮存、厂区内输送以及使用，按照其物化性质、危险特性等特征采取相应的安全贮存方式。</w:t>
      </w:r>
    </w:p>
    <w:p w14:paraId="668B3FED" w14:textId="77777777" w:rsidR="003E78AB" w:rsidRDefault="00010BF9">
      <w:pPr>
        <w:ind w:firstLine="480"/>
        <w:rPr>
          <w:kern w:val="28"/>
        </w:rPr>
      </w:pPr>
      <w:r>
        <w:rPr>
          <w:rFonts w:hint="eastAsia"/>
          <w:kern w:val="28"/>
        </w:rPr>
        <w:t>②制定严格的操作规程，操作人员进行必要的安全培训后方可进行生产。</w:t>
      </w:r>
    </w:p>
    <w:p w14:paraId="07205E3D" w14:textId="77777777" w:rsidR="003E78AB" w:rsidRDefault="00010BF9">
      <w:pPr>
        <w:ind w:firstLine="480"/>
        <w:rPr>
          <w:kern w:val="28"/>
        </w:rPr>
      </w:pPr>
      <w:r>
        <w:rPr>
          <w:rFonts w:hint="eastAsia"/>
          <w:kern w:val="28"/>
        </w:rPr>
        <w:t>③储罐进行防腐，同时设置防溢流措施。</w:t>
      </w:r>
    </w:p>
    <w:p w14:paraId="7FCBF64A" w14:textId="77777777" w:rsidR="003E78AB" w:rsidRDefault="00010BF9">
      <w:pPr>
        <w:ind w:firstLine="480"/>
        <w:rPr>
          <w:kern w:val="28"/>
        </w:rPr>
      </w:pPr>
      <w:r>
        <w:rPr>
          <w:rFonts w:hint="eastAsia"/>
          <w:kern w:val="28"/>
        </w:rPr>
        <w:t>④设置泄漏报警系统，一旦出现泄漏，报警系统立即自动启动报警。</w:t>
      </w:r>
    </w:p>
    <w:p w14:paraId="4EB4748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6.6.1.7</w:t>
      </w:r>
      <w:r>
        <w:rPr>
          <w:rFonts w:ascii="Times New Roman" w:hAnsi="Times New Roman" w:hint="eastAsia"/>
        </w:rPr>
        <w:t>消防设施及火灾报警系统</w:t>
      </w:r>
    </w:p>
    <w:p w14:paraId="7BE87F91" w14:textId="77777777" w:rsidR="003E78AB" w:rsidRDefault="00010BF9">
      <w:pPr>
        <w:ind w:firstLine="480"/>
        <w:rPr>
          <w:kern w:val="28"/>
        </w:rPr>
      </w:pPr>
      <w:r>
        <w:rPr>
          <w:rFonts w:hint="eastAsia"/>
          <w:kern w:val="28"/>
        </w:rPr>
        <w:t>（</w:t>
      </w:r>
      <w:r>
        <w:rPr>
          <w:rFonts w:hint="eastAsia"/>
          <w:kern w:val="28"/>
        </w:rPr>
        <w:t>1</w:t>
      </w:r>
      <w:r>
        <w:rPr>
          <w:rFonts w:hint="eastAsia"/>
          <w:kern w:val="28"/>
        </w:rPr>
        <w:t>）根据《建筑设计防火规范》（</w:t>
      </w:r>
      <w:r>
        <w:rPr>
          <w:rFonts w:hint="eastAsia"/>
          <w:kern w:val="28"/>
        </w:rPr>
        <w:t>GB50016-2006</w:t>
      </w:r>
      <w:r>
        <w:rPr>
          <w:rFonts w:hint="eastAsia"/>
          <w:kern w:val="28"/>
        </w:rPr>
        <w:t>）有关规定，在厂区内配备灭火器材，包括灭火栓、灭火器、灭火沙箱等。</w:t>
      </w:r>
    </w:p>
    <w:p w14:paraId="2172D3EA" w14:textId="77777777" w:rsidR="003E78AB" w:rsidRDefault="00010BF9">
      <w:pPr>
        <w:ind w:firstLine="480"/>
        <w:rPr>
          <w:kern w:val="28"/>
        </w:rPr>
      </w:pPr>
      <w:r>
        <w:rPr>
          <w:rFonts w:hint="eastAsia"/>
          <w:kern w:val="28"/>
        </w:rPr>
        <w:t>（</w:t>
      </w:r>
      <w:r>
        <w:rPr>
          <w:rFonts w:hint="eastAsia"/>
          <w:kern w:val="28"/>
        </w:rPr>
        <w:t>2</w:t>
      </w:r>
      <w:r>
        <w:rPr>
          <w:rFonts w:hint="eastAsia"/>
          <w:kern w:val="28"/>
        </w:rPr>
        <w:t>）灭火器材应设专人负责，经常检查维护，并掌握灭火器材的种类、规格及数量。</w:t>
      </w:r>
    </w:p>
    <w:p w14:paraId="4D3883C3" w14:textId="77777777" w:rsidR="003E78AB" w:rsidRDefault="00010BF9">
      <w:pPr>
        <w:ind w:firstLine="480"/>
        <w:rPr>
          <w:kern w:val="28"/>
        </w:rPr>
      </w:pPr>
      <w:r>
        <w:rPr>
          <w:rFonts w:hint="eastAsia"/>
          <w:kern w:val="28"/>
        </w:rPr>
        <w:t>（</w:t>
      </w:r>
      <w:r>
        <w:rPr>
          <w:rFonts w:hint="eastAsia"/>
          <w:kern w:val="28"/>
        </w:rPr>
        <w:t>3</w:t>
      </w:r>
      <w:r>
        <w:rPr>
          <w:rFonts w:hint="eastAsia"/>
          <w:kern w:val="28"/>
        </w:rPr>
        <w:t>）各种灭火器材应有固定的存放地点、放置地点明显，使用方便和防止腐蚀。灭火器应放在保温之处，不准随意搬动或到处乱扔。</w:t>
      </w:r>
    </w:p>
    <w:p w14:paraId="0C239BD2" w14:textId="77777777" w:rsidR="003E78AB" w:rsidRDefault="00010BF9">
      <w:pPr>
        <w:ind w:firstLine="480"/>
        <w:rPr>
          <w:kern w:val="28"/>
        </w:rPr>
      </w:pPr>
      <w:r>
        <w:rPr>
          <w:rFonts w:hint="eastAsia"/>
          <w:kern w:val="28"/>
        </w:rPr>
        <w:t>（</w:t>
      </w:r>
      <w:r>
        <w:rPr>
          <w:rFonts w:hint="eastAsia"/>
          <w:kern w:val="28"/>
        </w:rPr>
        <w:t>4</w:t>
      </w:r>
      <w:r>
        <w:rPr>
          <w:rFonts w:hint="eastAsia"/>
          <w:kern w:val="28"/>
        </w:rPr>
        <w:t>）每季度或重要节日对灭火器材进行一次全面检查，灭火器要定期更换并做好详细记录。</w:t>
      </w:r>
    </w:p>
    <w:p w14:paraId="4D1D81CF" w14:textId="77777777" w:rsidR="003E78AB" w:rsidRDefault="00010BF9">
      <w:pPr>
        <w:ind w:firstLine="480"/>
        <w:rPr>
          <w:kern w:val="28"/>
        </w:rPr>
      </w:pPr>
      <w:r>
        <w:rPr>
          <w:rFonts w:hint="eastAsia"/>
          <w:kern w:val="28"/>
        </w:rPr>
        <w:t>（</w:t>
      </w:r>
      <w:r>
        <w:rPr>
          <w:rFonts w:hint="eastAsia"/>
          <w:kern w:val="28"/>
        </w:rPr>
        <w:t>5</w:t>
      </w:r>
      <w:r>
        <w:rPr>
          <w:rFonts w:hint="eastAsia"/>
          <w:kern w:val="28"/>
        </w:rPr>
        <w:t>）各级领导和职工须认真学习消防常识及各种消防管理标准；应对工人进行消防常识教育。</w:t>
      </w:r>
    </w:p>
    <w:p w14:paraId="0009B6B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6.6.1.8</w:t>
      </w:r>
      <w:r>
        <w:rPr>
          <w:rFonts w:ascii="Times New Roman" w:hAnsi="Times New Roman" w:hint="eastAsia"/>
        </w:rPr>
        <w:t>大气风险事故防范措施</w:t>
      </w:r>
    </w:p>
    <w:p w14:paraId="0FB3867D" w14:textId="77777777" w:rsidR="003E78AB" w:rsidRDefault="00010BF9">
      <w:pPr>
        <w:ind w:firstLine="480"/>
        <w:rPr>
          <w:kern w:val="28"/>
        </w:rPr>
      </w:pPr>
      <w:r>
        <w:rPr>
          <w:rFonts w:hint="eastAsia"/>
          <w:kern w:val="28"/>
        </w:rPr>
        <w:t>（</w:t>
      </w:r>
      <w:r>
        <w:rPr>
          <w:rFonts w:hint="eastAsia"/>
          <w:kern w:val="28"/>
        </w:rPr>
        <w:t>1</w:t>
      </w:r>
      <w:r>
        <w:rPr>
          <w:rFonts w:hint="eastAsia"/>
          <w:kern w:val="28"/>
        </w:rPr>
        <w:t>）大气环境风险防范制度</w:t>
      </w:r>
    </w:p>
    <w:p w14:paraId="753B347D" w14:textId="77777777" w:rsidR="003E78AB" w:rsidRDefault="00010BF9">
      <w:pPr>
        <w:ind w:firstLine="480"/>
        <w:rPr>
          <w:kern w:val="28"/>
        </w:rPr>
      </w:pPr>
      <w:r>
        <w:rPr>
          <w:rFonts w:hint="eastAsia"/>
          <w:kern w:val="28"/>
        </w:rPr>
        <w:t>公司建立健全危险源监控制度，落实安全环保责任制；定期对危险源进行全面检查并做好记</w:t>
      </w:r>
      <w:r>
        <w:rPr>
          <w:rFonts w:hint="eastAsia"/>
          <w:kern w:val="28"/>
        </w:rPr>
        <w:t>录。公司生产岗位操作人员定时对生产装置、</w:t>
      </w:r>
      <w:r>
        <w:rPr>
          <w:rFonts w:hint="eastAsia"/>
          <w:kern w:val="28"/>
        </w:rPr>
        <w:t>危险废物暂存间</w:t>
      </w:r>
      <w:r>
        <w:rPr>
          <w:rFonts w:hint="eastAsia"/>
          <w:kern w:val="28"/>
        </w:rPr>
        <w:t>、废气处理装置等进行巡回检查，对检查中发现的隐患和问题要及时进行整改，对于不能立即整改的问题需上报公司。生产中可能导致不安全因素的操作参数（温度、压力、流量、液位等），设置相应控制报警系统。</w:t>
      </w:r>
    </w:p>
    <w:p w14:paraId="7B59870D" w14:textId="77777777" w:rsidR="003E78AB" w:rsidRDefault="00010BF9">
      <w:pPr>
        <w:ind w:firstLine="480"/>
        <w:rPr>
          <w:kern w:val="28"/>
        </w:rPr>
      </w:pPr>
      <w:r>
        <w:rPr>
          <w:rFonts w:hint="eastAsia"/>
          <w:kern w:val="28"/>
        </w:rPr>
        <w:t>（</w:t>
      </w:r>
      <w:r>
        <w:rPr>
          <w:rFonts w:hint="eastAsia"/>
          <w:kern w:val="28"/>
        </w:rPr>
        <w:t>2</w:t>
      </w:r>
      <w:r>
        <w:rPr>
          <w:rFonts w:hint="eastAsia"/>
          <w:kern w:val="28"/>
        </w:rPr>
        <w:t>）大气环境风险防范设备</w:t>
      </w:r>
    </w:p>
    <w:p w14:paraId="349EFE3A" w14:textId="77777777" w:rsidR="003E78AB" w:rsidRDefault="00010BF9">
      <w:pPr>
        <w:ind w:firstLine="480"/>
        <w:rPr>
          <w:kern w:val="28"/>
        </w:rPr>
      </w:pPr>
      <w:r>
        <w:rPr>
          <w:rFonts w:hint="eastAsia"/>
          <w:kern w:val="28"/>
        </w:rPr>
        <w:t>对项目装置区、</w:t>
      </w:r>
      <w:r>
        <w:rPr>
          <w:rFonts w:hint="eastAsia"/>
          <w:kern w:val="28"/>
        </w:rPr>
        <w:t>危险废物暂存间</w:t>
      </w:r>
      <w:r>
        <w:rPr>
          <w:rFonts w:hint="eastAsia"/>
          <w:kern w:val="28"/>
        </w:rPr>
        <w:t>等危险源部位安装必要的灾害、火灾监测仪表及报警系统。主要仪表包括：自感烟火灾监测探头及火灾报警设施等。当有毒有害气体发生泄漏或在空气中的浓度达到爆炸下限时，便发出声光信号报警，以提示尽快进行排险处理。</w:t>
      </w:r>
    </w:p>
    <w:p w14:paraId="528BBE54" w14:textId="77777777" w:rsidR="003E78AB" w:rsidRDefault="00010BF9">
      <w:pPr>
        <w:ind w:firstLine="480"/>
        <w:rPr>
          <w:kern w:val="28"/>
        </w:rPr>
      </w:pPr>
      <w:r>
        <w:rPr>
          <w:rFonts w:hint="eastAsia"/>
          <w:kern w:val="28"/>
        </w:rPr>
        <w:t>（</w:t>
      </w:r>
      <w:r>
        <w:rPr>
          <w:rFonts w:hint="eastAsia"/>
          <w:kern w:val="28"/>
        </w:rPr>
        <w:t>3</w:t>
      </w:r>
      <w:r>
        <w:rPr>
          <w:rFonts w:hint="eastAsia"/>
          <w:kern w:val="28"/>
        </w:rPr>
        <w:t>）应</w:t>
      </w:r>
      <w:r>
        <w:rPr>
          <w:rFonts w:hint="eastAsia"/>
          <w:kern w:val="28"/>
        </w:rPr>
        <w:t>急疏散建议</w:t>
      </w:r>
    </w:p>
    <w:p w14:paraId="56116C63" w14:textId="77777777" w:rsidR="003E78AB" w:rsidRDefault="00010BF9">
      <w:pPr>
        <w:ind w:firstLine="480"/>
        <w:rPr>
          <w:kern w:val="28"/>
        </w:rPr>
      </w:pPr>
      <w:r>
        <w:rPr>
          <w:rFonts w:hint="eastAsia"/>
          <w:kern w:val="28"/>
        </w:rPr>
        <w:t>厂区发生危险物质泄漏、火灾、爆炸事故时，应积极开展应急监测，跟踪事故源周边区域内的污染物浓度。应急指挥机构根据事故情况及事故状态下气象条件进行研判，及时做好区域人员疏散。</w:t>
      </w:r>
    </w:p>
    <w:p w14:paraId="757803EE" w14:textId="77777777" w:rsidR="003E78AB" w:rsidRDefault="00010BF9">
      <w:pPr>
        <w:pStyle w:val="a"/>
        <w:spacing w:before="120"/>
        <w:ind w:left="425" w:hanging="425"/>
      </w:pPr>
      <w:r>
        <w:t>项目风险事故紧急疏散注意事项</w:t>
      </w:r>
    </w:p>
    <w:p w14:paraId="183BA5DE" w14:textId="77777777" w:rsidR="003E78AB" w:rsidRDefault="003E78AB">
      <w:pPr>
        <w:spacing w:line="27" w:lineRule="exact"/>
        <w:ind w:firstLine="480"/>
      </w:pPr>
    </w:p>
    <w:tbl>
      <w:tblPr>
        <w:tblStyle w:val="TableNormal"/>
        <w:tblW w:w="50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1238"/>
        <w:gridCol w:w="6326"/>
      </w:tblGrid>
      <w:tr w:rsidR="003E78AB" w14:paraId="5330B2AA" w14:textId="77777777">
        <w:trPr>
          <w:trHeight w:val="388"/>
          <w:tblHeader/>
        </w:trPr>
        <w:tc>
          <w:tcPr>
            <w:tcW w:w="453" w:type="pct"/>
            <w:vAlign w:val="center"/>
          </w:tcPr>
          <w:p w14:paraId="4356F869" w14:textId="77777777" w:rsidR="003E78AB" w:rsidRDefault="00010BF9">
            <w:pPr>
              <w:pStyle w:val="aff6"/>
              <w:topLinePunct/>
              <w:rPr>
                <w:b/>
                <w:bCs/>
              </w:rPr>
            </w:pPr>
            <w:r>
              <w:rPr>
                <w:b/>
                <w:bCs/>
              </w:rPr>
              <w:t>序号</w:t>
            </w:r>
          </w:p>
        </w:tc>
        <w:tc>
          <w:tcPr>
            <w:tcW w:w="744" w:type="pct"/>
            <w:vAlign w:val="center"/>
          </w:tcPr>
          <w:p w14:paraId="7A84A7E9" w14:textId="77777777" w:rsidR="003E78AB" w:rsidRDefault="00010BF9">
            <w:pPr>
              <w:pStyle w:val="aff6"/>
              <w:topLinePunct/>
              <w:rPr>
                <w:b/>
                <w:bCs/>
              </w:rPr>
            </w:pPr>
            <w:r>
              <w:rPr>
                <w:b/>
                <w:bCs/>
              </w:rPr>
              <w:t>注意事项</w:t>
            </w:r>
          </w:p>
        </w:tc>
        <w:tc>
          <w:tcPr>
            <w:tcW w:w="3801" w:type="pct"/>
            <w:vAlign w:val="center"/>
          </w:tcPr>
          <w:p w14:paraId="4E2A98B2" w14:textId="77777777" w:rsidR="003E78AB" w:rsidRDefault="00010BF9">
            <w:pPr>
              <w:pStyle w:val="aff6"/>
              <w:topLinePunct/>
              <w:rPr>
                <w:b/>
                <w:bCs/>
              </w:rPr>
            </w:pPr>
            <w:r>
              <w:rPr>
                <w:b/>
                <w:bCs/>
              </w:rPr>
              <w:t>具体内容</w:t>
            </w:r>
          </w:p>
        </w:tc>
      </w:tr>
      <w:tr w:rsidR="003E78AB" w14:paraId="3920D0B7" w14:textId="77777777">
        <w:trPr>
          <w:trHeight w:val="783"/>
        </w:trPr>
        <w:tc>
          <w:tcPr>
            <w:tcW w:w="453" w:type="pct"/>
            <w:vAlign w:val="center"/>
          </w:tcPr>
          <w:p w14:paraId="0E4300F9" w14:textId="77777777" w:rsidR="003E78AB" w:rsidRDefault="00010BF9">
            <w:pPr>
              <w:pStyle w:val="aff6"/>
              <w:topLinePunct/>
            </w:pPr>
            <w:r>
              <w:t>1</w:t>
            </w:r>
          </w:p>
        </w:tc>
        <w:tc>
          <w:tcPr>
            <w:tcW w:w="744" w:type="pct"/>
            <w:vAlign w:val="center"/>
          </w:tcPr>
          <w:p w14:paraId="3B89026F" w14:textId="77777777" w:rsidR="003E78AB" w:rsidRDefault="00010BF9">
            <w:pPr>
              <w:pStyle w:val="aff6"/>
              <w:topLinePunct/>
            </w:pPr>
            <w:r>
              <w:t>个人防护</w:t>
            </w:r>
          </w:p>
        </w:tc>
        <w:tc>
          <w:tcPr>
            <w:tcW w:w="3801" w:type="pct"/>
            <w:vAlign w:val="center"/>
          </w:tcPr>
          <w:p w14:paraId="122F3C16" w14:textId="77777777" w:rsidR="003E78AB" w:rsidRDefault="00010BF9">
            <w:pPr>
              <w:pStyle w:val="aff6"/>
              <w:topLinePunct/>
              <w:jc w:val="left"/>
            </w:pPr>
            <w:r>
              <w:t>必要时采取佩戴呼吸器具、佩戴个人防护用品或采用其他简易有效的防护措施</w:t>
            </w:r>
            <w:r>
              <w:rPr>
                <w:rFonts w:hint="eastAsia"/>
              </w:rPr>
              <w:t>（</w:t>
            </w:r>
            <w:r>
              <w:t>戴防护眼镜或用浸湿毛巾捂住口鼻、减少皮肤外露等各种措施进行自身防护</w:t>
            </w:r>
            <w:r>
              <w:rPr>
                <w:rFonts w:hint="eastAsia"/>
              </w:rPr>
              <w:t>）</w:t>
            </w:r>
          </w:p>
        </w:tc>
      </w:tr>
      <w:tr w:rsidR="003E78AB" w14:paraId="30F2977F" w14:textId="77777777">
        <w:trPr>
          <w:trHeight w:val="1130"/>
        </w:trPr>
        <w:tc>
          <w:tcPr>
            <w:tcW w:w="453" w:type="pct"/>
            <w:vAlign w:val="center"/>
          </w:tcPr>
          <w:p w14:paraId="3AF3C337" w14:textId="77777777" w:rsidR="003E78AB" w:rsidRDefault="00010BF9">
            <w:pPr>
              <w:pStyle w:val="aff6"/>
              <w:topLinePunct/>
            </w:pPr>
            <w:r>
              <w:t>2</w:t>
            </w:r>
          </w:p>
        </w:tc>
        <w:tc>
          <w:tcPr>
            <w:tcW w:w="744" w:type="pct"/>
            <w:vAlign w:val="center"/>
          </w:tcPr>
          <w:p w14:paraId="3494DA71" w14:textId="77777777" w:rsidR="003E78AB" w:rsidRDefault="00010BF9">
            <w:pPr>
              <w:pStyle w:val="aff6"/>
              <w:topLinePunct/>
            </w:pPr>
            <w:r>
              <w:t>撤离方向</w:t>
            </w:r>
          </w:p>
        </w:tc>
        <w:tc>
          <w:tcPr>
            <w:tcW w:w="3801" w:type="pct"/>
            <w:vAlign w:val="center"/>
          </w:tcPr>
          <w:p w14:paraId="4D8CE323" w14:textId="77777777" w:rsidR="003E78AB" w:rsidRDefault="00010BF9">
            <w:pPr>
              <w:pStyle w:val="aff6"/>
              <w:topLinePunct/>
              <w:jc w:val="left"/>
            </w:pPr>
            <w:r>
              <w:t>应向上风向、高地势转移，迅速撤出危险区域可能受到危害的人员</w:t>
            </w:r>
            <w:r>
              <w:rPr>
                <w:rFonts w:hint="eastAsia"/>
              </w:rPr>
              <w:t>（</w:t>
            </w:r>
            <w:r>
              <w:t>在上风向无撤离通道时，也应避免沿下风向撤离</w:t>
            </w:r>
            <w:r>
              <w:rPr>
                <w:rFonts w:hint="eastAsia"/>
              </w:rPr>
              <w:t>）</w:t>
            </w:r>
            <w:r>
              <w:t>，并由专人引导和护送疏散人员到安全区域，在疏散或撤离的路线上设立哨位，指明疏散、撤离的方向</w:t>
            </w:r>
          </w:p>
        </w:tc>
      </w:tr>
      <w:tr w:rsidR="003E78AB" w14:paraId="7576D0BD" w14:textId="77777777">
        <w:trPr>
          <w:trHeight w:val="582"/>
        </w:trPr>
        <w:tc>
          <w:tcPr>
            <w:tcW w:w="453" w:type="pct"/>
            <w:vAlign w:val="center"/>
          </w:tcPr>
          <w:p w14:paraId="65AABE8C" w14:textId="77777777" w:rsidR="003E78AB" w:rsidRDefault="00010BF9">
            <w:pPr>
              <w:pStyle w:val="aff6"/>
              <w:topLinePunct/>
            </w:pPr>
            <w:r>
              <w:t>3</w:t>
            </w:r>
          </w:p>
        </w:tc>
        <w:tc>
          <w:tcPr>
            <w:tcW w:w="744" w:type="pct"/>
            <w:vAlign w:val="center"/>
          </w:tcPr>
          <w:p w14:paraId="625CF1C6" w14:textId="77777777" w:rsidR="003E78AB" w:rsidRDefault="00010BF9">
            <w:pPr>
              <w:pStyle w:val="aff6"/>
              <w:topLinePunct/>
            </w:pPr>
            <w:r>
              <w:t>交通管制</w:t>
            </w:r>
          </w:p>
        </w:tc>
        <w:tc>
          <w:tcPr>
            <w:tcW w:w="3801" w:type="pct"/>
            <w:vAlign w:val="center"/>
          </w:tcPr>
          <w:p w14:paraId="22B42EDE" w14:textId="77777777" w:rsidR="003E78AB" w:rsidRDefault="00010BF9">
            <w:pPr>
              <w:pStyle w:val="aff6"/>
              <w:topLinePunct/>
              <w:jc w:val="left"/>
            </w:pPr>
            <w:r>
              <w:t>按照设定的危险区域，设立警戒线，并在通往事故现场的主要干道上实行交通管制</w:t>
            </w:r>
          </w:p>
        </w:tc>
      </w:tr>
      <w:tr w:rsidR="003E78AB" w14:paraId="108C034D" w14:textId="77777777">
        <w:trPr>
          <w:trHeight w:val="574"/>
        </w:trPr>
        <w:tc>
          <w:tcPr>
            <w:tcW w:w="453" w:type="pct"/>
            <w:vAlign w:val="center"/>
          </w:tcPr>
          <w:p w14:paraId="6A32D78C" w14:textId="77777777" w:rsidR="003E78AB" w:rsidRDefault="00010BF9">
            <w:pPr>
              <w:pStyle w:val="aff6"/>
              <w:topLinePunct/>
            </w:pPr>
            <w:r>
              <w:t>4</w:t>
            </w:r>
          </w:p>
        </w:tc>
        <w:tc>
          <w:tcPr>
            <w:tcW w:w="744" w:type="pct"/>
            <w:vAlign w:val="center"/>
          </w:tcPr>
          <w:p w14:paraId="3B83FD7C" w14:textId="77777777" w:rsidR="003E78AB" w:rsidRDefault="00010BF9">
            <w:pPr>
              <w:pStyle w:val="aff6"/>
              <w:topLinePunct/>
            </w:pPr>
            <w:r>
              <w:t>监测</w:t>
            </w:r>
          </w:p>
        </w:tc>
        <w:tc>
          <w:tcPr>
            <w:tcW w:w="3801" w:type="pct"/>
            <w:vAlign w:val="center"/>
          </w:tcPr>
          <w:p w14:paraId="51A05FE7" w14:textId="77777777" w:rsidR="003E78AB" w:rsidRDefault="00010BF9">
            <w:pPr>
              <w:pStyle w:val="aff6"/>
              <w:topLinePunct/>
              <w:jc w:val="left"/>
            </w:pPr>
            <w:r>
              <w:t>在污染区域和可能污染区域立即进行布点监测，根据监测数据及时调整疏散范围</w:t>
            </w:r>
          </w:p>
        </w:tc>
      </w:tr>
      <w:tr w:rsidR="003E78AB" w14:paraId="515FFD25" w14:textId="77777777">
        <w:trPr>
          <w:trHeight w:val="541"/>
        </w:trPr>
        <w:tc>
          <w:tcPr>
            <w:tcW w:w="453" w:type="pct"/>
            <w:vAlign w:val="center"/>
          </w:tcPr>
          <w:p w14:paraId="66676767" w14:textId="77777777" w:rsidR="003E78AB" w:rsidRDefault="00010BF9">
            <w:pPr>
              <w:pStyle w:val="aff6"/>
              <w:topLinePunct/>
            </w:pPr>
            <w:r>
              <w:t>5</w:t>
            </w:r>
          </w:p>
        </w:tc>
        <w:tc>
          <w:tcPr>
            <w:tcW w:w="744" w:type="pct"/>
            <w:vAlign w:val="center"/>
          </w:tcPr>
          <w:p w14:paraId="27F6D0BB" w14:textId="77777777" w:rsidR="003E78AB" w:rsidRDefault="00010BF9">
            <w:pPr>
              <w:pStyle w:val="aff6"/>
              <w:topLinePunct/>
            </w:pPr>
            <w:r>
              <w:t>基本保障</w:t>
            </w:r>
          </w:p>
        </w:tc>
        <w:tc>
          <w:tcPr>
            <w:tcW w:w="3801" w:type="pct"/>
            <w:vAlign w:val="center"/>
          </w:tcPr>
          <w:p w14:paraId="42B26881" w14:textId="77777777" w:rsidR="003E78AB" w:rsidRDefault="00010BF9">
            <w:pPr>
              <w:pStyle w:val="aff6"/>
              <w:topLinePunct/>
              <w:jc w:val="left"/>
            </w:pPr>
            <w:r>
              <w:t>为受灾人员提供避难场所以及必要的基本生活保障，配合政府部门进行医疗救助</w:t>
            </w:r>
          </w:p>
        </w:tc>
      </w:tr>
      <w:tr w:rsidR="003E78AB" w14:paraId="76777D62" w14:textId="77777777">
        <w:trPr>
          <w:trHeight w:val="747"/>
        </w:trPr>
        <w:tc>
          <w:tcPr>
            <w:tcW w:w="453" w:type="pct"/>
            <w:vAlign w:val="center"/>
          </w:tcPr>
          <w:p w14:paraId="6A7F5DF0" w14:textId="77777777" w:rsidR="003E78AB" w:rsidRDefault="00010BF9">
            <w:pPr>
              <w:pStyle w:val="aff6"/>
              <w:topLinePunct/>
            </w:pPr>
            <w:r>
              <w:t>6</w:t>
            </w:r>
          </w:p>
        </w:tc>
        <w:tc>
          <w:tcPr>
            <w:tcW w:w="744" w:type="pct"/>
            <w:vAlign w:val="center"/>
          </w:tcPr>
          <w:p w14:paraId="3343B6CD" w14:textId="77777777" w:rsidR="003E78AB" w:rsidRDefault="00010BF9">
            <w:pPr>
              <w:pStyle w:val="aff6"/>
              <w:topLinePunct/>
            </w:pPr>
            <w:r>
              <w:t>搜寻</w:t>
            </w:r>
          </w:p>
        </w:tc>
        <w:tc>
          <w:tcPr>
            <w:tcW w:w="3801" w:type="pct"/>
            <w:vAlign w:val="center"/>
          </w:tcPr>
          <w:p w14:paraId="47C89E8E" w14:textId="77777777" w:rsidR="003E78AB" w:rsidRDefault="00010BF9">
            <w:pPr>
              <w:pStyle w:val="aff6"/>
              <w:topLinePunct/>
              <w:jc w:val="left"/>
            </w:pPr>
            <w:r>
              <w:t>要查清是否有人滞留，如有未及时撤离人员，应由配戴适宜防护装备的成员</w:t>
            </w:r>
            <w:r>
              <w:rPr>
                <w:rFonts w:hint="eastAsia"/>
              </w:rPr>
              <w:t>（</w:t>
            </w:r>
            <w:r>
              <w:t>至少两人一组</w:t>
            </w:r>
            <w:r>
              <w:rPr>
                <w:rFonts w:hint="eastAsia"/>
              </w:rPr>
              <w:t>）</w:t>
            </w:r>
            <w:r>
              <w:t>进入现场搜寻，并实施救助</w:t>
            </w:r>
          </w:p>
        </w:tc>
      </w:tr>
    </w:tbl>
    <w:p w14:paraId="6112039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6.6.1.9</w:t>
      </w:r>
      <w:r>
        <w:rPr>
          <w:rFonts w:ascii="Times New Roman" w:hAnsi="Times New Roman" w:hint="eastAsia"/>
        </w:rPr>
        <w:t>事故废水防控措施</w:t>
      </w:r>
    </w:p>
    <w:p w14:paraId="0B20ED1C" w14:textId="77777777" w:rsidR="003E78AB" w:rsidRDefault="00010BF9">
      <w:pPr>
        <w:ind w:firstLine="480"/>
        <w:rPr>
          <w:kern w:val="28"/>
        </w:rPr>
      </w:pPr>
      <w:r>
        <w:rPr>
          <w:rFonts w:hint="eastAsia"/>
          <w:kern w:val="28"/>
        </w:rPr>
        <w:t>本项目将建立“单元—厂区—园区</w:t>
      </w:r>
      <w:r>
        <w:rPr>
          <w:rFonts w:hint="eastAsia"/>
          <w:kern w:val="28"/>
        </w:rPr>
        <w:t>/</w:t>
      </w:r>
      <w:r>
        <w:rPr>
          <w:rFonts w:hint="eastAsia"/>
          <w:kern w:val="28"/>
        </w:rPr>
        <w:t>区域”的事故废水环境风险防控体系要求，设置厂区“三级防控体系”，设置事故废水收集和应急储存设施，以满足事故状态下收集泄漏物料、污染消防水和污染雨水的需要，从污染源头、过程处理和最终排放等多级防止事故污水外排的保障措施，以防止环境风险事故造成水环境污染。</w:t>
      </w:r>
    </w:p>
    <w:p w14:paraId="09350D90" w14:textId="77777777" w:rsidR="003E78AB" w:rsidRDefault="00010BF9">
      <w:pPr>
        <w:ind w:firstLine="480"/>
        <w:rPr>
          <w:kern w:val="28"/>
        </w:rPr>
      </w:pPr>
      <w:r>
        <w:rPr>
          <w:rFonts w:hint="eastAsia"/>
          <w:kern w:val="28"/>
        </w:rPr>
        <w:t>（</w:t>
      </w:r>
      <w:r>
        <w:rPr>
          <w:rFonts w:hint="eastAsia"/>
          <w:kern w:val="28"/>
        </w:rPr>
        <w:t>1</w:t>
      </w:r>
      <w:r>
        <w:rPr>
          <w:rFonts w:hint="eastAsia"/>
          <w:kern w:val="28"/>
        </w:rPr>
        <w:t>）厂区内三级防控</w:t>
      </w:r>
    </w:p>
    <w:p w14:paraId="5355FE3D" w14:textId="77777777" w:rsidR="003E78AB" w:rsidRDefault="00010BF9">
      <w:pPr>
        <w:ind w:firstLine="480"/>
        <w:rPr>
          <w:kern w:val="28"/>
        </w:rPr>
      </w:pPr>
      <w:r>
        <w:rPr>
          <w:rFonts w:hint="eastAsia"/>
          <w:kern w:val="28"/>
        </w:rPr>
        <w:t>一级防控措施——半地下防火堤。在液体库和成品罐周围建半地下式防火堤，作为防止事故污水外排的一级保障措施，防止污染雨水和轻微事故泄漏造成的环境污染。在一般事故时利用围堰和防火堤控制泄漏物料的转移，防止泄漏物料及污染消防水造成的环境污染。一级防控措施的有效容积不计算到全厂事故水储存能力中。</w:t>
      </w:r>
    </w:p>
    <w:p w14:paraId="25075B74" w14:textId="77777777" w:rsidR="003E78AB" w:rsidRDefault="00010BF9">
      <w:pPr>
        <w:ind w:firstLine="480"/>
        <w:rPr>
          <w:kern w:val="28"/>
        </w:rPr>
      </w:pPr>
      <w:r>
        <w:rPr>
          <w:rFonts w:hint="eastAsia"/>
          <w:kern w:val="28"/>
        </w:rPr>
        <w:t>二级防控措施——项目生产车间的生产装置区均设置收集排水切换设施，可通过配套管道、提升泵将事故废水、消防废水送至事故水池。项目厂区排放口设置初期雨水和事故废水拦截系统，可避免事故废水混入雨水系统外排。</w:t>
      </w:r>
    </w:p>
    <w:p w14:paraId="264C3D32" w14:textId="77777777" w:rsidR="003E78AB" w:rsidRDefault="00010BF9">
      <w:pPr>
        <w:ind w:firstLine="480"/>
        <w:rPr>
          <w:kern w:val="28"/>
        </w:rPr>
      </w:pPr>
      <w:r>
        <w:rPr>
          <w:rFonts w:hint="eastAsia"/>
          <w:kern w:val="28"/>
        </w:rPr>
        <w:t>三级防控措施——项目设置</w:t>
      </w:r>
      <w:r>
        <w:rPr>
          <w:rFonts w:hint="eastAsia"/>
          <w:kern w:val="28"/>
        </w:rPr>
        <w:t>事故池、初期雨水池，且其总容积可以满足项目事故状态下需要。</w:t>
      </w:r>
      <w:r>
        <w:rPr>
          <w:rFonts w:hint="eastAsia"/>
          <w:b/>
          <w:bCs/>
          <w:kern w:val="28"/>
          <w:u w:val="single"/>
        </w:rPr>
        <w:t>事故废水经厂区“三级防控体系”拦截后，分批次送有能力处置单位处理。</w:t>
      </w:r>
    </w:p>
    <w:p w14:paraId="55D468A6" w14:textId="77777777" w:rsidR="003E78AB" w:rsidRDefault="00010BF9">
      <w:pPr>
        <w:ind w:firstLine="480"/>
        <w:rPr>
          <w:kern w:val="28"/>
        </w:rPr>
      </w:pPr>
      <w:r>
        <w:rPr>
          <w:rFonts w:hint="eastAsia"/>
          <w:kern w:val="28"/>
        </w:rPr>
        <w:t>（</w:t>
      </w:r>
      <w:r>
        <w:rPr>
          <w:rFonts w:hint="eastAsia"/>
          <w:kern w:val="28"/>
        </w:rPr>
        <w:t>2</w:t>
      </w:r>
      <w:r>
        <w:rPr>
          <w:rFonts w:hint="eastAsia"/>
          <w:kern w:val="28"/>
        </w:rPr>
        <w:t>）建立区域防控体系</w:t>
      </w:r>
    </w:p>
    <w:p w14:paraId="50BF9F11" w14:textId="77777777" w:rsidR="003E78AB" w:rsidRDefault="00010BF9">
      <w:pPr>
        <w:ind w:firstLine="480"/>
        <w:rPr>
          <w:kern w:val="28"/>
        </w:rPr>
      </w:pPr>
      <w:r>
        <w:rPr>
          <w:rFonts w:hint="eastAsia"/>
          <w:kern w:val="28"/>
        </w:rPr>
        <w:t>评价企业积极与周边企业、园区建立区域防控体系，以调高区域应急防控水平和能力。</w:t>
      </w:r>
    </w:p>
    <w:p w14:paraId="62462531" w14:textId="77777777" w:rsidR="003E78AB" w:rsidRDefault="00010BF9">
      <w:pPr>
        <w:ind w:firstLine="480"/>
        <w:rPr>
          <w:kern w:val="28"/>
        </w:rPr>
      </w:pPr>
      <w:r>
        <w:rPr>
          <w:rFonts w:hint="eastAsia"/>
          <w:kern w:val="28"/>
        </w:rPr>
        <w:t>综上，在采取以上措施及建议后，项目可形成“单元</w:t>
      </w:r>
      <w:r>
        <w:rPr>
          <w:rFonts w:hint="eastAsia"/>
          <w:kern w:val="28"/>
        </w:rPr>
        <w:t>-</w:t>
      </w:r>
      <w:r>
        <w:rPr>
          <w:rFonts w:hint="eastAsia"/>
          <w:kern w:val="28"/>
        </w:rPr>
        <w:t>厂区</w:t>
      </w:r>
      <w:r>
        <w:rPr>
          <w:rFonts w:hint="eastAsia"/>
          <w:kern w:val="28"/>
        </w:rPr>
        <w:t>-</w:t>
      </w:r>
      <w:r>
        <w:rPr>
          <w:rFonts w:hint="eastAsia"/>
          <w:kern w:val="28"/>
        </w:rPr>
        <w:t>区域”多级防控体系，有效防止事故废水对环境的影响。</w:t>
      </w:r>
    </w:p>
    <w:p w14:paraId="380DB6B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6.6.1.10</w:t>
      </w:r>
      <w:r>
        <w:rPr>
          <w:rFonts w:ascii="Times New Roman" w:hAnsi="Times New Roman" w:hint="eastAsia"/>
        </w:rPr>
        <w:t>地下水环境风险防控措施</w:t>
      </w:r>
    </w:p>
    <w:p w14:paraId="01279C98" w14:textId="77777777" w:rsidR="003E78AB" w:rsidRDefault="00010BF9">
      <w:pPr>
        <w:ind w:firstLine="480"/>
        <w:rPr>
          <w:kern w:val="28"/>
        </w:rPr>
      </w:pPr>
      <w:r>
        <w:rPr>
          <w:rFonts w:hint="eastAsia"/>
          <w:kern w:val="28"/>
        </w:rPr>
        <w:t>项目地下水污染防治措施将按照“源头控制、分区防治、污染监控、应急响应”相结合的原则，从污染物的产生、入渗、扩散、应急响应全方位进行控制。</w:t>
      </w:r>
    </w:p>
    <w:p w14:paraId="67AF2E56" w14:textId="77777777" w:rsidR="003E78AB" w:rsidRDefault="00010BF9">
      <w:pPr>
        <w:ind w:firstLine="480"/>
        <w:rPr>
          <w:kern w:val="28"/>
        </w:rPr>
      </w:pPr>
      <w:r>
        <w:rPr>
          <w:rFonts w:hint="eastAsia"/>
          <w:kern w:val="28"/>
        </w:rPr>
        <w:t>（</w:t>
      </w:r>
      <w:r>
        <w:rPr>
          <w:rFonts w:hint="eastAsia"/>
          <w:kern w:val="28"/>
        </w:rPr>
        <w:t>1</w:t>
      </w:r>
      <w:r>
        <w:rPr>
          <w:rFonts w:hint="eastAsia"/>
          <w:kern w:val="28"/>
        </w:rPr>
        <w:t>）严格按照国家相关规范要求，对工艺、管道、设备等采取相应的措施，以防止和降低污染物的跑、冒、滴、漏，将污染物泄漏的环境风险事故降到最低程度。</w:t>
      </w:r>
    </w:p>
    <w:p w14:paraId="46917F25" w14:textId="77777777" w:rsidR="003E78AB" w:rsidRDefault="00010BF9">
      <w:pPr>
        <w:ind w:firstLine="480"/>
        <w:rPr>
          <w:kern w:val="28"/>
        </w:rPr>
      </w:pPr>
      <w:r>
        <w:rPr>
          <w:rFonts w:hint="eastAsia"/>
          <w:kern w:val="28"/>
        </w:rPr>
        <w:t>（</w:t>
      </w:r>
      <w:r>
        <w:rPr>
          <w:rFonts w:hint="eastAsia"/>
          <w:kern w:val="28"/>
        </w:rPr>
        <w:t>2</w:t>
      </w:r>
      <w:r>
        <w:rPr>
          <w:rFonts w:hint="eastAsia"/>
          <w:kern w:val="28"/>
        </w:rPr>
        <w:t>）将整个厂区划分为重点防渗区、一般防渗区、简单防渗区控制。</w:t>
      </w:r>
    </w:p>
    <w:p w14:paraId="56C794F1" w14:textId="77777777" w:rsidR="003E78AB" w:rsidRDefault="00010BF9">
      <w:pPr>
        <w:ind w:firstLine="480"/>
        <w:rPr>
          <w:kern w:val="28"/>
        </w:rPr>
      </w:pPr>
      <w:r>
        <w:rPr>
          <w:rFonts w:hint="eastAsia"/>
          <w:kern w:val="28"/>
        </w:rPr>
        <w:t>（</w:t>
      </w:r>
      <w:r>
        <w:rPr>
          <w:rFonts w:hint="eastAsia"/>
          <w:kern w:val="28"/>
        </w:rPr>
        <w:t>3</w:t>
      </w:r>
      <w:r>
        <w:rPr>
          <w:rFonts w:hint="eastAsia"/>
          <w:kern w:val="28"/>
        </w:rPr>
        <w:t>）在项目场地及周边设置地下水监测井，用以长期监控污染物在地下水中运移情况；如发现异常或发生事故，加密监测频次，并分析污染原因，确定泄漏污染源，及时采取应急措施。</w:t>
      </w:r>
    </w:p>
    <w:p w14:paraId="41A9CDF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6.6.1.11</w:t>
      </w:r>
      <w:r>
        <w:rPr>
          <w:rFonts w:ascii="Times New Roman" w:hAnsi="Times New Roman" w:hint="eastAsia"/>
        </w:rPr>
        <w:t>危险废物防控措施</w:t>
      </w:r>
    </w:p>
    <w:p w14:paraId="2A4F9CEE" w14:textId="77777777" w:rsidR="003E78AB" w:rsidRDefault="00010BF9">
      <w:pPr>
        <w:ind w:firstLine="480"/>
        <w:rPr>
          <w:kern w:val="28"/>
        </w:rPr>
      </w:pPr>
      <w:r>
        <w:rPr>
          <w:rFonts w:hint="eastAsia"/>
          <w:kern w:val="28"/>
        </w:rPr>
        <w:t>由工程资料可知，项目产生的危废主要</w:t>
      </w:r>
      <w:r>
        <w:rPr>
          <w:rFonts w:hint="eastAsia"/>
          <w:bCs/>
          <w:kern w:val="2"/>
        </w:rPr>
        <w:t>车间沉降灰、</w:t>
      </w:r>
      <w:r>
        <w:rPr>
          <w:bCs/>
          <w:kern w:val="2"/>
        </w:rPr>
        <w:t>废包装袋内衬（沾染有毒有害物质的）、</w:t>
      </w:r>
      <w:r>
        <w:rPr>
          <w:rFonts w:hint="eastAsia"/>
          <w:bCs/>
          <w:kern w:val="2"/>
        </w:rPr>
        <w:t>废滤袋、</w:t>
      </w:r>
      <w:r>
        <w:rPr>
          <w:bCs/>
          <w:kern w:val="2"/>
        </w:rPr>
        <w:t>实验室废液、</w:t>
      </w:r>
      <w:r>
        <w:rPr>
          <w:bCs/>
          <w:kern w:val="2"/>
        </w:rPr>
        <w:t>废试剂瓶、废润滑油、废包装桶、沾染物料的废抹布及劳保用品</w:t>
      </w:r>
      <w:r>
        <w:rPr>
          <w:kern w:val="2"/>
        </w:rPr>
        <w:t>等</w:t>
      </w:r>
      <w:r>
        <w:rPr>
          <w:rFonts w:hint="eastAsia"/>
          <w:kern w:val="28"/>
        </w:rPr>
        <w:t>。项目厂区建设</w:t>
      </w:r>
      <w:r>
        <w:rPr>
          <w:rFonts w:hint="eastAsia"/>
          <w:kern w:val="28"/>
        </w:rPr>
        <w:t>1</w:t>
      </w:r>
      <w:r>
        <w:rPr>
          <w:rFonts w:hint="eastAsia"/>
          <w:kern w:val="28"/>
        </w:rPr>
        <w:t>座危险废物暂存间，对于项目危废贮存提出以下要求：</w:t>
      </w:r>
    </w:p>
    <w:p w14:paraId="4B441746" w14:textId="77777777" w:rsidR="003E78AB" w:rsidRDefault="00010BF9">
      <w:pPr>
        <w:ind w:firstLine="480"/>
        <w:rPr>
          <w:kern w:val="28"/>
        </w:rPr>
      </w:pPr>
      <w:r>
        <w:rPr>
          <w:rFonts w:hint="eastAsia"/>
          <w:kern w:val="28"/>
        </w:rPr>
        <w:t>（</w:t>
      </w:r>
      <w:r>
        <w:rPr>
          <w:rFonts w:hint="eastAsia"/>
          <w:kern w:val="28"/>
        </w:rPr>
        <w:t>1</w:t>
      </w:r>
      <w:r>
        <w:rPr>
          <w:rFonts w:hint="eastAsia"/>
          <w:kern w:val="28"/>
        </w:rPr>
        <w:t>）危险废物贮存前进行检验，确保同预定接收的危险废物一致，并登记注册。</w:t>
      </w:r>
    </w:p>
    <w:p w14:paraId="0E3DB6D8" w14:textId="77777777" w:rsidR="003E78AB" w:rsidRDefault="00010BF9">
      <w:pPr>
        <w:ind w:firstLine="480"/>
        <w:rPr>
          <w:kern w:val="28"/>
        </w:rPr>
      </w:pPr>
      <w:r>
        <w:rPr>
          <w:rFonts w:hint="eastAsia"/>
          <w:kern w:val="28"/>
        </w:rPr>
        <w:t>（</w:t>
      </w:r>
      <w:r>
        <w:rPr>
          <w:rFonts w:hint="eastAsia"/>
          <w:kern w:val="28"/>
        </w:rPr>
        <w:t>2</w:t>
      </w:r>
      <w:r>
        <w:rPr>
          <w:rFonts w:hint="eastAsia"/>
          <w:kern w:val="28"/>
        </w:rPr>
        <w:t>）作好危险废物情况的记录，记录上注明危险废物的名称、来源、数量、特性和包装容器的类别、入库日期、存放库位、废物出库日期及接收单位名称。</w:t>
      </w:r>
    </w:p>
    <w:p w14:paraId="709C2AD9" w14:textId="77777777" w:rsidR="003E78AB" w:rsidRDefault="00010BF9">
      <w:pPr>
        <w:ind w:firstLine="480"/>
        <w:rPr>
          <w:kern w:val="28"/>
        </w:rPr>
      </w:pPr>
      <w:r>
        <w:rPr>
          <w:rFonts w:hint="eastAsia"/>
          <w:kern w:val="28"/>
        </w:rPr>
        <w:t>（</w:t>
      </w:r>
      <w:r>
        <w:rPr>
          <w:rFonts w:hint="eastAsia"/>
          <w:kern w:val="28"/>
        </w:rPr>
        <w:t>3</w:t>
      </w:r>
      <w:r>
        <w:rPr>
          <w:rFonts w:hint="eastAsia"/>
          <w:kern w:val="28"/>
        </w:rPr>
        <w:t>）按照《危险废物转移管理办法》（生态环境部、公安部、交通运输部，部令第</w:t>
      </w:r>
      <w:r>
        <w:rPr>
          <w:rFonts w:hint="eastAsia"/>
          <w:kern w:val="28"/>
        </w:rPr>
        <w:t>23</w:t>
      </w:r>
      <w:r>
        <w:rPr>
          <w:rFonts w:hint="eastAsia"/>
          <w:kern w:val="28"/>
        </w:rPr>
        <w:t>号）相关要求填报电子转移联单，并应当在信息系统中至少保存十年。</w:t>
      </w:r>
    </w:p>
    <w:p w14:paraId="3224B162" w14:textId="77777777" w:rsidR="003E78AB" w:rsidRDefault="00010BF9">
      <w:pPr>
        <w:ind w:firstLine="480"/>
        <w:rPr>
          <w:kern w:val="28"/>
        </w:rPr>
      </w:pPr>
      <w:r>
        <w:rPr>
          <w:rFonts w:hint="eastAsia"/>
          <w:kern w:val="28"/>
        </w:rPr>
        <w:t>（</w:t>
      </w:r>
      <w:r>
        <w:rPr>
          <w:rFonts w:hint="eastAsia"/>
          <w:kern w:val="28"/>
        </w:rPr>
        <w:t>4</w:t>
      </w:r>
      <w:r>
        <w:rPr>
          <w:rFonts w:hint="eastAsia"/>
          <w:kern w:val="28"/>
        </w:rPr>
        <w:t>）使用符合标准的容器盛装危险废物。装载危险废物的容器完好无损，无渗漏，粘贴危废标签及信息完整。定期对所贮存的危险废物包装容器及贮存设施进行检查，发现破损，及时采取措施清理更换。盛装危险废物的容器材质和衬里要与危险废物相容（不相互反应）。</w:t>
      </w:r>
    </w:p>
    <w:p w14:paraId="44B5BB77" w14:textId="77777777" w:rsidR="003E78AB" w:rsidRDefault="00010BF9">
      <w:pPr>
        <w:ind w:firstLine="480"/>
        <w:rPr>
          <w:kern w:val="28"/>
        </w:rPr>
      </w:pPr>
      <w:r>
        <w:rPr>
          <w:rFonts w:hint="eastAsia"/>
          <w:kern w:val="28"/>
        </w:rPr>
        <w:t>（</w:t>
      </w:r>
      <w:r>
        <w:rPr>
          <w:rFonts w:hint="eastAsia"/>
          <w:kern w:val="28"/>
        </w:rPr>
        <w:t>5</w:t>
      </w:r>
      <w:r>
        <w:rPr>
          <w:rFonts w:hint="eastAsia"/>
          <w:kern w:val="28"/>
        </w:rPr>
        <w:t>）对同一贮存区同时存放多种危险废物的，分类、分区、包装存放，不相容的危险废物必须分开存放，并设有隔离间隔断。</w:t>
      </w:r>
    </w:p>
    <w:p w14:paraId="0AE5AD4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6.6.1.12</w:t>
      </w:r>
      <w:r>
        <w:rPr>
          <w:rFonts w:ascii="Times New Roman" w:hAnsi="Times New Roman" w:hint="eastAsia"/>
        </w:rPr>
        <w:t>建立健全安全环境管理制度</w:t>
      </w:r>
    </w:p>
    <w:p w14:paraId="28356FF6" w14:textId="77777777" w:rsidR="003E78AB" w:rsidRDefault="00010BF9">
      <w:pPr>
        <w:ind w:firstLine="480"/>
        <w:rPr>
          <w:kern w:val="28"/>
        </w:rPr>
      </w:pPr>
      <w:r>
        <w:rPr>
          <w:rFonts w:hint="eastAsia"/>
          <w:kern w:val="28"/>
        </w:rPr>
        <w:t>项目使用五氧化二钒、硫酸、磷酸、含钒电解液等危险化学品，具有有毒有害、连续作业等特点，进行有效的安全环保管理工作尤其重要。建立健全各种环境风险应急管理规章制度，运用科学的技术手段和管理方法，对环境风险进行有效的预防、监控和响应。</w:t>
      </w:r>
    </w:p>
    <w:p w14:paraId="2514EAD0" w14:textId="77777777" w:rsidR="003E78AB" w:rsidRDefault="00010BF9">
      <w:pPr>
        <w:ind w:firstLine="480"/>
        <w:rPr>
          <w:kern w:val="28"/>
        </w:rPr>
      </w:pPr>
      <w:r>
        <w:rPr>
          <w:rFonts w:hint="eastAsia"/>
          <w:kern w:val="28"/>
        </w:rPr>
        <w:t>（</w:t>
      </w:r>
      <w:r>
        <w:rPr>
          <w:rFonts w:hint="eastAsia"/>
          <w:kern w:val="28"/>
        </w:rPr>
        <w:t>1</w:t>
      </w:r>
      <w:r>
        <w:rPr>
          <w:rFonts w:hint="eastAsia"/>
          <w:kern w:val="28"/>
        </w:rPr>
        <w:t>）公司应有健全的安全、环境管理制度，并严格予以执行。</w:t>
      </w:r>
    </w:p>
    <w:p w14:paraId="2E80FB1D" w14:textId="77777777" w:rsidR="003E78AB" w:rsidRDefault="00010BF9">
      <w:pPr>
        <w:ind w:firstLine="480"/>
        <w:rPr>
          <w:kern w:val="28"/>
        </w:rPr>
      </w:pPr>
      <w:r>
        <w:rPr>
          <w:rFonts w:hint="eastAsia"/>
          <w:kern w:val="28"/>
        </w:rPr>
        <w:t>（</w:t>
      </w:r>
      <w:r>
        <w:rPr>
          <w:rFonts w:hint="eastAsia"/>
          <w:kern w:val="28"/>
        </w:rPr>
        <w:t>2</w:t>
      </w:r>
      <w:r>
        <w:rPr>
          <w:rFonts w:hint="eastAsia"/>
          <w:kern w:val="28"/>
        </w:rPr>
        <w:t>）严格执行我国有关劳动安全、环境保护、工业卫生的规范和标准，最大限度地消除事故隐患，降低因事故引起的损失和对环境的污染。</w:t>
      </w:r>
    </w:p>
    <w:p w14:paraId="252E614D" w14:textId="77777777" w:rsidR="003E78AB" w:rsidRDefault="00010BF9">
      <w:pPr>
        <w:ind w:firstLine="480"/>
        <w:rPr>
          <w:kern w:val="28"/>
        </w:rPr>
      </w:pPr>
      <w:r>
        <w:rPr>
          <w:rFonts w:hint="eastAsia"/>
          <w:kern w:val="28"/>
        </w:rPr>
        <w:t>（</w:t>
      </w:r>
      <w:r>
        <w:rPr>
          <w:rFonts w:hint="eastAsia"/>
          <w:kern w:val="28"/>
        </w:rPr>
        <w:t>3</w:t>
      </w:r>
      <w:r>
        <w:rPr>
          <w:rFonts w:hint="eastAsia"/>
          <w:kern w:val="28"/>
        </w:rPr>
        <w:t>）配备化学消防设备和人员，加强全员安全环保教育和培训，实行人员持证上岗制度。</w:t>
      </w:r>
    </w:p>
    <w:p w14:paraId="7F5791AC" w14:textId="77777777" w:rsidR="003E78AB" w:rsidRDefault="00010BF9">
      <w:pPr>
        <w:ind w:firstLine="480"/>
        <w:rPr>
          <w:kern w:val="28"/>
        </w:rPr>
      </w:pPr>
      <w:r>
        <w:rPr>
          <w:rFonts w:hint="eastAsia"/>
          <w:kern w:val="28"/>
        </w:rPr>
        <w:t>（</w:t>
      </w:r>
      <w:r>
        <w:rPr>
          <w:rFonts w:hint="eastAsia"/>
          <w:kern w:val="28"/>
        </w:rPr>
        <w:t>4</w:t>
      </w:r>
      <w:r>
        <w:rPr>
          <w:rFonts w:hint="eastAsia"/>
          <w:kern w:val="28"/>
        </w:rPr>
        <w:t>）建立火灾报</w:t>
      </w:r>
      <w:r>
        <w:rPr>
          <w:rFonts w:hint="eastAsia"/>
          <w:kern w:val="28"/>
        </w:rPr>
        <w:t>警系统，防火防爆防中毒等事故处理系统，紧急救援站或有毒气体防护站；可能散发可燃及有毒气体的工艺生产车间、罐区等，应设置有毒气体与温度的在线监测装置、测控探头，便携式检测与报警设施、报警系统，紧急切断及停车系统等。</w:t>
      </w:r>
    </w:p>
    <w:p w14:paraId="5D7C775B" w14:textId="77777777" w:rsidR="003E78AB" w:rsidRDefault="00010BF9">
      <w:pPr>
        <w:ind w:firstLine="480"/>
        <w:rPr>
          <w:kern w:val="28"/>
        </w:rPr>
      </w:pPr>
      <w:r>
        <w:rPr>
          <w:rFonts w:hint="eastAsia"/>
          <w:kern w:val="28"/>
        </w:rPr>
        <w:t>（</w:t>
      </w:r>
      <w:r>
        <w:rPr>
          <w:rFonts w:hint="eastAsia"/>
          <w:kern w:val="28"/>
        </w:rPr>
        <w:t>5</w:t>
      </w:r>
      <w:r>
        <w:rPr>
          <w:rFonts w:hint="eastAsia"/>
          <w:kern w:val="28"/>
        </w:rPr>
        <w:t>）建立事故应急预案，并应实现与地方政府应急救援预案的对接与联动，与地区有关化学事故应急救援部门建立正常的定期联系；一旦出现事故可借助社会力量救援，使损失和对环境的污染降低到最低限度。</w:t>
      </w:r>
    </w:p>
    <w:p w14:paraId="0AFBD24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6.6.2</w:t>
      </w:r>
      <w:r>
        <w:rPr>
          <w:rFonts w:cs="Times New Roman" w:hint="eastAsia"/>
          <w:sz w:val="28"/>
          <w:szCs w:val="28"/>
        </w:rPr>
        <w:t>环境风险事故应急预案</w:t>
      </w:r>
    </w:p>
    <w:p w14:paraId="79BE96B3" w14:textId="77777777" w:rsidR="003E78AB" w:rsidRDefault="00010BF9">
      <w:pPr>
        <w:ind w:firstLine="480"/>
        <w:rPr>
          <w:kern w:val="28"/>
        </w:rPr>
      </w:pPr>
      <w:r>
        <w:rPr>
          <w:rFonts w:hint="eastAsia"/>
          <w:kern w:val="28"/>
        </w:rPr>
        <w:t>风险事故发生后，能否迅速而有效的作出应急反应，对于控制污染、减少污染损失以及消</w:t>
      </w:r>
      <w:r>
        <w:rPr>
          <w:rFonts w:hint="eastAsia"/>
          <w:kern w:val="28"/>
        </w:rPr>
        <w:t>除污染等都起到关键性的作用。</w:t>
      </w:r>
    </w:p>
    <w:p w14:paraId="1FA857FA" w14:textId="77777777" w:rsidR="003E78AB" w:rsidRDefault="00010BF9">
      <w:pPr>
        <w:ind w:firstLine="480"/>
        <w:rPr>
          <w:kern w:val="28"/>
        </w:rPr>
      </w:pPr>
      <w:r>
        <w:rPr>
          <w:rFonts w:hint="eastAsia"/>
          <w:kern w:val="28"/>
        </w:rPr>
        <w:t>应急预案是在贯彻预防为主的前提下，对建设项目可能出现的事故，为及时控制危害源，抢救受害人员，指导居民防护和组织撤离，消除危害后果而组织的救援活动的预想方案。它需要建设单位和社会救援相结合。该公司应根据《危险化学品事故应急救援预案编制导则（单位版）》的具体要求及公司的实际情况，制定环境风险事故应急预案。</w:t>
      </w:r>
    </w:p>
    <w:p w14:paraId="1843CA8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w:t>
      </w:r>
      <w:r>
        <w:rPr>
          <w:rFonts w:ascii="Times New Roman" w:hAnsi="Times New Roman" w:hint="eastAsia"/>
        </w:rPr>
        <w:t>总体要求</w:t>
      </w:r>
    </w:p>
    <w:p w14:paraId="7BBDFD3A" w14:textId="77777777" w:rsidR="003E78AB" w:rsidRDefault="00010BF9">
      <w:pPr>
        <w:ind w:firstLine="480"/>
        <w:rPr>
          <w:kern w:val="28"/>
        </w:rPr>
      </w:pPr>
      <w:r>
        <w:rPr>
          <w:rFonts w:hint="eastAsia"/>
          <w:kern w:val="28"/>
        </w:rPr>
        <w:t>制定风险事故应急预案的目的是为了在发生风险事故时，能以最快的速度发挥最大的效能，有序的实施救援，尽快控制事态的发展，降低事故造成的危害，减少事故造成的损失</w:t>
      </w:r>
      <w:r>
        <w:rPr>
          <w:rFonts w:hint="eastAsia"/>
          <w:kern w:val="28"/>
        </w:rPr>
        <w:t>。</w:t>
      </w:r>
    </w:p>
    <w:p w14:paraId="42A885E4" w14:textId="77777777" w:rsidR="003E78AB" w:rsidRDefault="00010BF9">
      <w:pPr>
        <w:ind w:firstLine="480"/>
        <w:rPr>
          <w:kern w:val="28"/>
        </w:rPr>
      </w:pPr>
      <w:r>
        <w:rPr>
          <w:rFonts w:hint="eastAsia"/>
          <w:kern w:val="28"/>
        </w:rPr>
        <w:t>风险事故应急预案的基本要求包括：科学性、实用性和权威性。风险事故的应急救援预案必须进行科学分析和论证；应急预案应符合项目的客观情况，具有实用、简单、易掌握等特性，便于实施；对事故处置过程中职责、权限、任务、工作标准、奖励与处罚等做出明确规定，使之成为企业的一项制度，确保其权威性。</w:t>
      </w:r>
    </w:p>
    <w:p w14:paraId="5625645A" w14:textId="77777777" w:rsidR="003E78AB" w:rsidRDefault="00010BF9">
      <w:pPr>
        <w:ind w:firstLine="480"/>
        <w:rPr>
          <w:kern w:val="28"/>
        </w:rPr>
      </w:pPr>
      <w:r>
        <w:rPr>
          <w:rFonts w:hint="eastAsia"/>
          <w:kern w:val="28"/>
        </w:rPr>
        <w:t>项目风险事故应急预案仅是企业整体事故应急预案的一个组成部分，严格的应急预案应当在项目建成试生产前编制完成，在项目投产运行过程中不断充实完善，且应急预案由于需要内容详细，便于操作，因此应当结合安全评价报告专题制定。本次环评仅对应</w:t>
      </w:r>
      <w:r>
        <w:rPr>
          <w:rFonts w:hint="eastAsia"/>
          <w:kern w:val="28"/>
        </w:rPr>
        <w:t>急预案提出要求，并对主要风险提纲挈领的提出应急措施和设施要求。</w:t>
      </w:r>
    </w:p>
    <w:p w14:paraId="7387B971" w14:textId="77777777" w:rsidR="003E78AB" w:rsidRDefault="00010BF9">
      <w:pPr>
        <w:ind w:firstLine="480"/>
        <w:rPr>
          <w:kern w:val="28"/>
        </w:rPr>
      </w:pPr>
      <w:r>
        <w:rPr>
          <w:rFonts w:hint="eastAsia"/>
          <w:kern w:val="28"/>
        </w:rPr>
        <w:t>评价建议企业制定环境风险预案时，应根据事故规模、响应及处理时间制定妥善的预警、撤离方案，与周边生产企业及各环境敏感点进行联动，通过制定详细的应急疏散方案并定期进行演练，可以进一步减小本项目风险事故对周边环境敏感点的影响。</w:t>
      </w:r>
    </w:p>
    <w:p w14:paraId="38E221B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6.6.2.2</w:t>
      </w:r>
      <w:r>
        <w:rPr>
          <w:rFonts w:ascii="Times New Roman" w:hAnsi="Times New Roman" w:hint="eastAsia"/>
        </w:rPr>
        <w:t>应急计划区确定及分布</w:t>
      </w:r>
    </w:p>
    <w:p w14:paraId="5633E7C2" w14:textId="77777777" w:rsidR="003E78AB" w:rsidRDefault="00010BF9">
      <w:pPr>
        <w:ind w:firstLine="480"/>
        <w:rPr>
          <w:kern w:val="28"/>
        </w:rPr>
      </w:pPr>
      <w:r>
        <w:rPr>
          <w:rFonts w:hint="eastAsia"/>
          <w:kern w:val="28"/>
        </w:rPr>
        <w:t>根据本项目生产、使用、储存危险化学品的品种、数量、性质及可能引起重大事故的特点，确定应急计划区，并将其分布情况绘制成图，以便在一旦发生紧急事故后，可迅速确定其方位，及时采取行动。根据物料性质</w:t>
      </w:r>
      <w:r>
        <w:rPr>
          <w:rFonts w:hint="eastAsia"/>
          <w:kern w:val="28"/>
        </w:rPr>
        <w:t>及厂区布置，建议项目主要事故风险源及防范重点见下表：</w:t>
      </w:r>
    </w:p>
    <w:p w14:paraId="204ED080" w14:textId="77777777" w:rsidR="003E78AB" w:rsidRDefault="00010BF9">
      <w:pPr>
        <w:pStyle w:val="a"/>
        <w:spacing w:before="120"/>
        <w:ind w:left="425" w:hanging="425"/>
      </w:pPr>
      <w:r>
        <w:t>主要事故风险源及防范重点</w:t>
      </w:r>
    </w:p>
    <w:p w14:paraId="0AA17BDF" w14:textId="77777777" w:rsidR="003E78AB" w:rsidRDefault="003E78AB">
      <w:pPr>
        <w:spacing w:line="25" w:lineRule="exact"/>
        <w:ind w:firstLine="480"/>
      </w:pP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154"/>
        <w:gridCol w:w="896"/>
        <w:gridCol w:w="3846"/>
        <w:gridCol w:w="1789"/>
      </w:tblGrid>
      <w:tr w:rsidR="003E78AB" w14:paraId="4B13AE40" w14:textId="77777777">
        <w:trPr>
          <w:trHeight w:val="563"/>
          <w:tblHeader/>
        </w:trPr>
        <w:tc>
          <w:tcPr>
            <w:tcW w:w="374" w:type="pct"/>
            <w:vAlign w:val="center"/>
          </w:tcPr>
          <w:p w14:paraId="7019C46B" w14:textId="77777777" w:rsidR="003E78AB" w:rsidRDefault="00010BF9">
            <w:pPr>
              <w:pStyle w:val="aff6"/>
              <w:topLinePunct/>
              <w:rPr>
                <w:b/>
                <w:bCs/>
              </w:rPr>
            </w:pPr>
            <w:r>
              <w:rPr>
                <w:b/>
                <w:bCs/>
              </w:rPr>
              <w:t>部位</w:t>
            </w:r>
          </w:p>
        </w:tc>
        <w:tc>
          <w:tcPr>
            <w:tcW w:w="694" w:type="pct"/>
            <w:vAlign w:val="center"/>
          </w:tcPr>
          <w:p w14:paraId="279135BB" w14:textId="77777777" w:rsidR="003E78AB" w:rsidRDefault="00010BF9">
            <w:pPr>
              <w:pStyle w:val="aff6"/>
              <w:topLinePunct/>
              <w:rPr>
                <w:b/>
                <w:bCs/>
              </w:rPr>
            </w:pPr>
            <w:r>
              <w:rPr>
                <w:b/>
                <w:bCs/>
              </w:rPr>
              <w:t>关键部位</w:t>
            </w:r>
          </w:p>
        </w:tc>
        <w:tc>
          <w:tcPr>
            <w:tcW w:w="539" w:type="pct"/>
            <w:vAlign w:val="center"/>
          </w:tcPr>
          <w:p w14:paraId="08C72054" w14:textId="77777777" w:rsidR="003E78AB" w:rsidRDefault="00010BF9">
            <w:pPr>
              <w:pStyle w:val="aff6"/>
              <w:topLinePunct/>
              <w:rPr>
                <w:b/>
                <w:bCs/>
              </w:rPr>
            </w:pPr>
            <w:r>
              <w:rPr>
                <w:b/>
                <w:bCs/>
              </w:rPr>
              <w:t>主要风险内容</w:t>
            </w:r>
          </w:p>
        </w:tc>
        <w:tc>
          <w:tcPr>
            <w:tcW w:w="2314" w:type="pct"/>
            <w:vAlign w:val="center"/>
          </w:tcPr>
          <w:p w14:paraId="5A2FDE60" w14:textId="77777777" w:rsidR="003E78AB" w:rsidRDefault="00010BF9">
            <w:pPr>
              <w:pStyle w:val="aff6"/>
              <w:topLinePunct/>
              <w:rPr>
                <w:b/>
                <w:bCs/>
              </w:rPr>
            </w:pPr>
            <w:r>
              <w:rPr>
                <w:b/>
                <w:bCs/>
              </w:rPr>
              <w:t>应急措施</w:t>
            </w:r>
          </w:p>
        </w:tc>
        <w:tc>
          <w:tcPr>
            <w:tcW w:w="1077" w:type="pct"/>
            <w:vAlign w:val="center"/>
          </w:tcPr>
          <w:p w14:paraId="7972FAFD" w14:textId="77777777" w:rsidR="003E78AB" w:rsidRDefault="00010BF9">
            <w:pPr>
              <w:pStyle w:val="aff6"/>
              <w:topLinePunct/>
              <w:rPr>
                <w:b/>
                <w:bCs/>
              </w:rPr>
            </w:pPr>
            <w:r>
              <w:rPr>
                <w:b/>
                <w:bCs/>
              </w:rPr>
              <w:t>应急设施</w:t>
            </w:r>
          </w:p>
        </w:tc>
      </w:tr>
      <w:tr w:rsidR="003E78AB" w14:paraId="7F76A050" w14:textId="77777777">
        <w:trPr>
          <w:trHeight w:val="822"/>
        </w:trPr>
        <w:tc>
          <w:tcPr>
            <w:tcW w:w="374" w:type="pct"/>
            <w:vAlign w:val="center"/>
          </w:tcPr>
          <w:p w14:paraId="4D10AE48" w14:textId="77777777" w:rsidR="003E78AB" w:rsidRDefault="00010BF9">
            <w:pPr>
              <w:pStyle w:val="aff6"/>
              <w:topLinePunct/>
            </w:pPr>
            <w:r>
              <w:t>物料储存</w:t>
            </w:r>
          </w:p>
        </w:tc>
        <w:tc>
          <w:tcPr>
            <w:tcW w:w="694" w:type="pct"/>
            <w:vAlign w:val="center"/>
          </w:tcPr>
          <w:p w14:paraId="13FAE29D" w14:textId="77777777" w:rsidR="003E78AB" w:rsidRDefault="00010BF9">
            <w:pPr>
              <w:pStyle w:val="aff6"/>
              <w:topLinePunct/>
            </w:pPr>
            <w:r>
              <w:rPr>
                <w:rFonts w:hint="eastAsia"/>
              </w:rPr>
              <w:t>硫酸罐、磷酸罐、成品罐</w:t>
            </w:r>
          </w:p>
        </w:tc>
        <w:tc>
          <w:tcPr>
            <w:tcW w:w="539" w:type="pct"/>
            <w:vAlign w:val="center"/>
          </w:tcPr>
          <w:p w14:paraId="1AD46E70" w14:textId="77777777" w:rsidR="003E78AB" w:rsidRDefault="00010BF9">
            <w:pPr>
              <w:pStyle w:val="aff6"/>
              <w:topLinePunct/>
            </w:pPr>
            <w:r>
              <w:t>泄漏</w:t>
            </w:r>
          </w:p>
        </w:tc>
        <w:tc>
          <w:tcPr>
            <w:tcW w:w="2314" w:type="pct"/>
            <w:vAlign w:val="center"/>
          </w:tcPr>
          <w:p w14:paraId="629D8A83" w14:textId="77777777" w:rsidR="003E78AB" w:rsidRDefault="00010BF9">
            <w:pPr>
              <w:pStyle w:val="aff6"/>
              <w:topLinePunct/>
            </w:pPr>
            <w:r>
              <w:t>按程序报告，将罐内物料引至槽车或贮桶，对储罐止漏并检修，对围堰内泄漏的物料进行回收和清理，废水排入废水站。</w:t>
            </w:r>
          </w:p>
        </w:tc>
        <w:tc>
          <w:tcPr>
            <w:tcW w:w="1077" w:type="pct"/>
            <w:vAlign w:val="center"/>
          </w:tcPr>
          <w:p w14:paraId="50D7BCE6" w14:textId="77777777" w:rsidR="003E78AB" w:rsidRDefault="00010BF9">
            <w:pPr>
              <w:pStyle w:val="aff6"/>
              <w:topLinePunct/>
            </w:pPr>
            <w:r>
              <w:t>围堰，个人防护工具、止漏和检修工具。</w:t>
            </w:r>
          </w:p>
        </w:tc>
      </w:tr>
      <w:tr w:rsidR="003E78AB" w14:paraId="06907460" w14:textId="77777777">
        <w:trPr>
          <w:trHeight w:val="1093"/>
        </w:trPr>
        <w:tc>
          <w:tcPr>
            <w:tcW w:w="374" w:type="pct"/>
            <w:vAlign w:val="center"/>
          </w:tcPr>
          <w:p w14:paraId="04F11853" w14:textId="77777777" w:rsidR="003E78AB" w:rsidRDefault="00010BF9">
            <w:pPr>
              <w:pStyle w:val="aff6"/>
              <w:topLinePunct/>
            </w:pPr>
            <w:r>
              <w:t>车间</w:t>
            </w:r>
          </w:p>
        </w:tc>
        <w:tc>
          <w:tcPr>
            <w:tcW w:w="694" w:type="pct"/>
            <w:vAlign w:val="center"/>
          </w:tcPr>
          <w:p w14:paraId="303ED3FD" w14:textId="77777777" w:rsidR="003E78AB" w:rsidRDefault="00010BF9">
            <w:pPr>
              <w:pStyle w:val="aff6"/>
              <w:topLinePunct/>
            </w:pPr>
            <w:r>
              <w:t>生产设备</w:t>
            </w:r>
          </w:p>
        </w:tc>
        <w:tc>
          <w:tcPr>
            <w:tcW w:w="539" w:type="pct"/>
            <w:vAlign w:val="center"/>
          </w:tcPr>
          <w:p w14:paraId="75574E59" w14:textId="77777777" w:rsidR="003E78AB" w:rsidRDefault="00010BF9">
            <w:pPr>
              <w:pStyle w:val="aff6"/>
              <w:topLinePunct/>
            </w:pPr>
            <w:r>
              <w:t>管道泄漏</w:t>
            </w:r>
          </w:p>
        </w:tc>
        <w:tc>
          <w:tcPr>
            <w:tcW w:w="2314" w:type="pct"/>
            <w:vAlign w:val="center"/>
          </w:tcPr>
          <w:p w14:paraId="3165AA70" w14:textId="77777777" w:rsidR="003E78AB" w:rsidRDefault="00010BF9">
            <w:pPr>
              <w:pStyle w:val="aff6"/>
              <w:topLinePunct/>
            </w:pPr>
            <w:r>
              <w:t>按程序报告，关闭相应的设备，停止生产；根据事故大小，启动应急救援方案。</w:t>
            </w:r>
          </w:p>
        </w:tc>
        <w:tc>
          <w:tcPr>
            <w:tcW w:w="1077" w:type="pct"/>
            <w:vAlign w:val="center"/>
          </w:tcPr>
          <w:p w14:paraId="24485924" w14:textId="77777777" w:rsidR="003E78AB" w:rsidRDefault="00010BF9">
            <w:pPr>
              <w:pStyle w:val="aff6"/>
              <w:topLinePunct/>
            </w:pPr>
            <w:r>
              <w:t>DCS</w:t>
            </w:r>
            <w:r>
              <w:t>自动检测，个人防护工具、止漏和检修工具、消防设施</w:t>
            </w:r>
          </w:p>
        </w:tc>
      </w:tr>
      <w:tr w:rsidR="003E78AB" w14:paraId="7C1D28E8" w14:textId="77777777">
        <w:trPr>
          <w:trHeight w:val="836"/>
        </w:trPr>
        <w:tc>
          <w:tcPr>
            <w:tcW w:w="374" w:type="pct"/>
            <w:vAlign w:val="center"/>
          </w:tcPr>
          <w:p w14:paraId="6ECD467D" w14:textId="77777777" w:rsidR="003E78AB" w:rsidRDefault="00010BF9">
            <w:pPr>
              <w:pStyle w:val="aff6"/>
              <w:topLinePunct/>
            </w:pPr>
            <w:r>
              <w:t>废气处理</w:t>
            </w:r>
          </w:p>
        </w:tc>
        <w:tc>
          <w:tcPr>
            <w:tcW w:w="694" w:type="pct"/>
            <w:vAlign w:val="center"/>
          </w:tcPr>
          <w:p w14:paraId="54160B6A" w14:textId="77777777" w:rsidR="003E78AB" w:rsidRDefault="00010BF9">
            <w:pPr>
              <w:pStyle w:val="aff6"/>
              <w:topLinePunct/>
            </w:pPr>
            <w:r>
              <w:t>废气</w:t>
            </w:r>
            <w:r>
              <w:rPr>
                <w:rFonts w:hint="eastAsia"/>
              </w:rPr>
              <w:t>淋洗设施</w:t>
            </w:r>
          </w:p>
        </w:tc>
        <w:tc>
          <w:tcPr>
            <w:tcW w:w="539" w:type="pct"/>
            <w:vAlign w:val="center"/>
          </w:tcPr>
          <w:p w14:paraId="6CC0D1D3" w14:textId="77777777" w:rsidR="003E78AB" w:rsidRDefault="00010BF9">
            <w:pPr>
              <w:pStyle w:val="aff6"/>
              <w:topLinePunct/>
            </w:pPr>
            <w:r>
              <w:t>废气</w:t>
            </w:r>
          </w:p>
        </w:tc>
        <w:tc>
          <w:tcPr>
            <w:tcW w:w="2314" w:type="pct"/>
            <w:vAlign w:val="center"/>
          </w:tcPr>
          <w:p w14:paraId="3C3E7035" w14:textId="77777777" w:rsidR="003E78AB" w:rsidRDefault="00010BF9">
            <w:pPr>
              <w:pStyle w:val="aff6"/>
              <w:topLinePunct/>
            </w:pPr>
            <w:r>
              <w:t>按程序申报，关闭装置，暂停生产线，对装置进行抢修。根据事故大小，启动全厂应急救援方案。</w:t>
            </w:r>
          </w:p>
        </w:tc>
        <w:tc>
          <w:tcPr>
            <w:tcW w:w="1077" w:type="pct"/>
            <w:vAlign w:val="center"/>
          </w:tcPr>
          <w:p w14:paraId="4263721A" w14:textId="77777777" w:rsidR="003E78AB" w:rsidRDefault="00010BF9">
            <w:pPr>
              <w:pStyle w:val="aff6"/>
              <w:topLinePunct/>
            </w:pPr>
            <w:r>
              <w:t>个人防护工具和检修工具、消防设施。</w:t>
            </w:r>
          </w:p>
        </w:tc>
      </w:tr>
    </w:tbl>
    <w:p w14:paraId="05B747D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6.6.2.3</w:t>
      </w:r>
      <w:r>
        <w:rPr>
          <w:rFonts w:ascii="Times New Roman" w:hAnsi="Times New Roman" w:hint="eastAsia"/>
        </w:rPr>
        <w:t>应急组织</w:t>
      </w:r>
    </w:p>
    <w:p w14:paraId="634BCACF" w14:textId="77777777" w:rsidR="003E78AB" w:rsidRDefault="00010BF9">
      <w:pPr>
        <w:ind w:firstLine="480"/>
        <w:rPr>
          <w:kern w:val="28"/>
        </w:rPr>
      </w:pPr>
      <w:r>
        <w:rPr>
          <w:rFonts w:hint="eastAsia"/>
          <w:kern w:val="28"/>
        </w:rPr>
        <w:t>（</w:t>
      </w:r>
      <w:r>
        <w:rPr>
          <w:rFonts w:hint="eastAsia"/>
          <w:kern w:val="28"/>
        </w:rPr>
        <w:t>1</w:t>
      </w:r>
      <w:r>
        <w:rPr>
          <w:rFonts w:hint="eastAsia"/>
          <w:kern w:val="28"/>
        </w:rPr>
        <w:t>）企业应急组织</w:t>
      </w:r>
    </w:p>
    <w:p w14:paraId="6DB060E1" w14:textId="77777777" w:rsidR="003E78AB" w:rsidRDefault="00010BF9">
      <w:pPr>
        <w:ind w:firstLine="480"/>
        <w:rPr>
          <w:kern w:val="28"/>
        </w:rPr>
      </w:pPr>
      <w:r>
        <w:rPr>
          <w:rFonts w:hint="eastAsia"/>
          <w:kern w:val="28"/>
        </w:rPr>
        <w:t>设立企业内部急救指挥部，由经理及各有关生产、安全、设备、保卫、环保等部门的负责人组成，负责现场全面指挥，并明确各自的责任和分工，设立专业救援队伍。</w:t>
      </w:r>
    </w:p>
    <w:p w14:paraId="22819758" w14:textId="77777777" w:rsidR="003E78AB" w:rsidRDefault="00010BF9">
      <w:pPr>
        <w:ind w:firstLine="480"/>
        <w:rPr>
          <w:kern w:val="28"/>
        </w:rPr>
      </w:pPr>
      <w:r>
        <w:rPr>
          <w:rFonts w:hint="eastAsia"/>
          <w:kern w:val="28"/>
        </w:rPr>
        <w:t>（</w:t>
      </w:r>
      <w:r>
        <w:rPr>
          <w:rFonts w:hint="eastAsia"/>
          <w:kern w:val="28"/>
        </w:rPr>
        <w:t>2</w:t>
      </w:r>
      <w:r>
        <w:rPr>
          <w:rFonts w:hint="eastAsia"/>
          <w:kern w:val="28"/>
        </w:rPr>
        <w:t>）地区应急组织</w:t>
      </w:r>
    </w:p>
    <w:p w14:paraId="6097CB55" w14:textId="77777777" w:rsidR="003E78AB" w:rsidRDefault="00010BF9">
      <w:pPr>
        <w:ind w:firstLine="480"/>
        <w:rPr>
          <w:kern w:val="28"/>
        </w:rPr>
      </w:pPr>
      <w:r>
        <w:rPr>
          <w:rFonts w:hint="eastAsia"/>
          <w:kern w:val="28"/>
        </w:rPr>
        <w:t>一旦发生事故，应及时和当地有关化学事故应急救援部门联系，迅速报告，请求当地社会救援中心组织救援。</w:t>
      </w:r>
    </w:p>
    <w:p w14:paraId="3A6056D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6.6.2.4</w:t>
      </w:r>
      <w:r>
        <w:rPr>
          <w:rFonts w:ascii="Times New Roman" w:hAnsi="Times New Roman" w:hint="eastAsia"/>
        </w:rPr>
        <w:t>主要事故风险应急措施</w:t>
      </w:r>
    </w:p>
    <w:p w14:paraId="1CF06394" w14:textId="77777777" w:rsidR="003E78AB" w:rsidRDefault="00010BF9">
      <w:pPr>
        <w:ind w:firstLine="480"/>
        <w:rPr>
          <w:kern w:val="28"/>
        </w:rPr>
      </w:pPr>
      <w:r>
        <w:rPr>
          <w:rFonts w:hint="eastAsia"/>
          <w:kern w:val="28"/>
        </w:rPr>
        <w:t>事故应急救援内容包括污染源控制、人员疏散</w:t>
      </w:r>
      <w:r>
        <w:rPr>
          <w:rFonts w:hint="eastAsia"/>
          <w:kern w:val="28"/>
        </w:rPr>
        <w:t>与救助、污染物处置等内容，具体如下：</w:t>
      </w:r>
    </w:p>
    <w:p w14:paraId="4D28E6B4" w14:textId="77777777" w:rsidR="003E78AB" w:rsidRDefault="00010BF9">
      <w:pPr>
        <w:ind w:firstLine="480"/>
        <w:rPr>
          <w:kern w:val="28"/>
        </w:rPr>
      </w:pPr>
      <w:r>
        <w:rPr>
          <w:rFonts w:hint="eastAsia"/>
          <w:kern w:val="28"/>
        </w:rPr>
        <w:t>（</w:t>
      </w:r>
      <w:r>
        <w:rPr>
          <w:rFonts w:hint="eastAsia"/>
          <w:kern w:val="28"/>
        </w:rPr>
        <w:t>1</w:t>
      </w:r>
      <w:r>
        <w:rPr>
          <w:rFonts w:hint="eastAsia"/>
          <w:kern w:val="28"/>
        </w:rPr>
        <w:t>）事故发生后，装置人员要紧急进行污染源控制工作。如常压储罐泄漏则查明泄漏部位，关闭附近开关，用应急工具堵塞，以防止泄漏继续扩大，在上述方法无法处置或泄漏量很多时，应立即熄灭场内的明火，同时停止泵及其他设施的运转，并关闭紧急切断阀、储槽主阀。将残余物料排至备用储罐或槽车、贮桶，并立即向指挥领导小组报告，听候调遣处置。发生泄漏后应确保消防设备待命和消防队员及时赶赴现场。</w:t>
      </w:r>
    </w:p>
    <w:p w14:paraId="35275B3D" w14:textId="77777777" w:rsidR="003E78AB" w:rsidRDefault="00010BF9">
      <w:pPr>
        <w:ind w:firstLine="480"/>
        <w:rPr>
          <w:kern w:val="28"/>
        </w:rPr>
      </w:pPr>
      <w:r>
        <w:rPr>
          <w:rFonts w:hint="eastAsia"/>
          <w:kern w:val="28"/>
        </w:rPr>
        <w:t>（</w:t>
      </w:r>
      <w:r>
        <w:rPr>
          <w:rFonts w:hint="eastAsia"/>
          <w:kern w:val="28"/>
        </w:rPr>
        <w:t>2</w:t>
      </w:r>
      <w:r>
        <w:rPr>
          <w:rFonts w:hint="eastAsia"/>
          <w:kern w:val="28"/>
        </w:rPr>
        <w:t>）指挥部成员通知所在科室按专业对口迅速向主管上级公安、劳动、环保、卫生等领导机关报告事故情况。</w:t>
      </w:r>
    </w:p>
    <w:p w14:paraId="41E3F074" w14:textId="77777777" w:rsidR="003E78AB" w:rsidRDefault="00010BF9">
      <w:pPr>
        <w:ind w:firstLine="480"/>
        <w:rPr>
          <w:kern w:val="28"/>
        </w:rPr>
      </w:pPr>
      <w:r>
        <w:rPr>
          <w:rFonts w:hint="eastAsia"/>
          <w:kern w:val="28"/>
        </w:rPr>
        <w:t>（</w:t>
      </w:r>
      <w:r>
        <w:rPr>
          <w:rFonts w:hint="eastAsia"/>
          <w:kern w:val="28"/>
        </w:rPr>
        <w:t>3</w:t>
      </w:r>
      <w:r>
        <w:rPr>
          <w:rFonts w:hint="eastAsia"/>
          <w:kern w:val="28"/>
        </w:rPr>
        <w:t>）发生事故的工段，应迅速查明事故发生源点、泄漏部位和原因。指挥部成员到达事故现场后，根据事故状态及危害程度作出相应的应急决定，并命令各应急救援队立即开展救援，如事故扩大时，应及时请求厂外支援。</w:t>
      </w:r>
    </w:p>
    <w:p w14:paraId="608C5BF1" w14:textId="77777777" w:rsidR="003E78AB" w:rsidRDefault="00010BF9">
      <w:pPr>
        <w:ind w:firstLine="480"/>
        <w:rPr>
          <w:kern w:val="28"/>
        </w:rPr>
      </w:pPr>
      <w:r>
        <w:rPr>
          <w:rFonts w:hint="eastAsia"/>
          <w:kern w:val="28"/>
        </w:rPr>
        <w:t>（</w:t>
      </w:r>
      <w:r>
        <w:rPr>
          <w:rFonts w:hint="eastAsia"/>
          <w:kern w:val="28"/>
        </w:rPr>
        <w:t>4</w:t>
      </w:r>
      <w:r>
        <w:rPr>
          <w:rFonts w:hint="eastAsia"/>
          <w:kern w:val="28"/>
        </w:rPr>
        <w:t>）事故发生时至少派一人往下风向开展紧急监测，佩戴随身无线通讯工具，随时向指挥部报告下风向污染物浓度和距离情况，必要时根据指挥部决定通知扩散区域内的群众撤离或指导采取简易有效的保护措施。</w:t>
      </w:r>
    </w:p>
    <w:p w14:paraId="03B02989" w14:textId="77777777" w:rsidR="003E78AB" w:rsidRDefault="00010BF9">
      <w:pPr>
        <w:ind w:firstLine="480"/>
        <w:rPr>
          <w:kern w:val="28"/>
        </w:rPr>
      </w:pPr>
      <w:r>
        <w:rPr>
          <w:rFonts w:hint="eastAsia"/>
          <w:kern w:val="28"/>
        </w:rPr>
        <w:t>（</w:t>
      </w:r>
      <w:r>
        <w:rPr>
          <w:rFonts w:hint="eastAsia"/>
          <w:kern w:val="28"/>
        </w:rPr>
        <w:t>5</w:t>
      </w:r>
      <w:r>
        <w:rPr>
          <w:rFonts w:hint="eastAsia"/>
          <w:kern w:val="28"/>
        </w:rPr>
        <w:t>）如泄漏部位泄漏量较大，则由指挥部派遣人员佩戴防护设备进入装置泄漏部位进行紧急处置，加装紧急机械密封或采用密封胶密封。</w:t>
      </w:r>
    </w:p>
    <w:p w14:paraId="18361F59" w14:textId="77777777" w:rsidR="003E78AB" w:rsidRDefault="00010BF9">
      <w:pPr>
        <w:ind w:firstLine="480"/>
        <w:rPr>
          <w:kern w:val="28"/>
        </w:rPr>
      </w:pPr>
      <w:r>
        <w:rPr>
          <w:rFonts w:hint="eastAsia"/>
          <w:kern w:val="28"/>
        </w:rPr>
        <w:t>（</w:t>
      </w:r>
      <w:r>
        <w:rPr>
          <w:rFonts w:hint="eastAsia"/>
          <w:kern w:val="28"/>
        </w:rPr>
        <w:t>6</w:t>
      </w:r>
      <w:r>
        <w:rPr>
          <w:rFonts w:hint="eastAsia"/>
          <w:kern w:val="28"/>
        </w:rPr>
        <w:t>）火灾和爆炸等低概率、高危害事故发生后影响较大，应向消防队、公安等部门申请应急救援，并开展紧急疏散和人员急救。应急救援策略厂内采用防护、逃生及应急处置三重考虑，而区域居民和邻近企业以尽快撤离逃生为主。</w:t>
      </w:r>
    </w:p>
    <w:p w14:paraId="6F5D641C" w14:textId="77777777" w:rsidR="003E78AB" w:rsidRDefault="00010BF9">
      <w:pPr>
        <w:ind w:firstLine="480"/>
        <w:rPr>
          <w:kern w:val="28"/>
        </w:rPr>
      </w:pPr>
      <w:r>
        <w:rPr>
          <w:rFonts w:hint="eastAsia"/>
          <w:kern w:val="28"/>
        </w:rPr>
        <w:t>（</w:t>
      </w:r>
      <w:r>
        <w:rPr>
          <w:rFonts w:hint="eastAsia"/>
          <w:kern w:val="28"/>
        </w:rPr>
        <w:t>7</w:t>
      </w:r>
      <w:r>
        <w:rPr>
          <w:rFonts w:hint="eastAsia"/>
          <w:kern w:val="28"/>
        </w:rPr>
        <w:t>）厂内设立风向标，根据事故泄漏情况和风向，设置警戒区域，由派遣增援的公安人员协助维持秩序，担负治安和交通指挥，在事故现场周围设岗，划分禁区并加强警戒和巡逻检查。扩散危及到厂内外人员安全时，应迅速组织有关人员协助友邻单位、厂区外过往行人在区、市指挥部指挥协调下，向上侧风方向的安全地带疏散。</w:t>
      </w:r>
    </w:p>
    <w:p w14:paraId="6CD66AA6" w14:textId="77777777" w:rsidR="003E78AB" w:rsidRDefault="00010BF9">
      <w:pPr>
        <w:ind w:firstLine="480"/>
        <w:rPr>
          <w:kern w:val="28"/>
        </w:rPr>
      </w:pPr>
      <w:r>
        <w:rPr>
          <w:rFonts w:hint="eastAsia"/>
          <w:kern w:val="28"/>
        </w:rPr>
        <w:t>（</w:t>
      </w:r>
      <w:r>
        <w:rPr>
          <w:rFonts w:hint="eastAsia"/>
          <w:kern w:val="28"/>
        </w:rPr>
        <w:t>8</w:t>
      </w:r>
      <w:r>
        <w:rPr>
          <w:rFonts w:hint="eastAsia"/>
          <w:kern w:val="28"/>
        </w:rPr>
        <w:t>）现场（</w:t>
      </w:r>
      <w:r>
        <w:rPr>
          <w:rFonts w:hint="eastAsia"/>
          <w:kern w:val="28"/>
        </w:rPr>
        <w:t>或重大事故厂内外区域）如有中毒人员，则医疗救护队与消防队配合，应立即救护伤员和中毒人员，对中毒人员应根据中毒症状及时采取相应的急救措施，对伤员进行清洗包扎或输氧急救，重伤员及时送往医院抢救。发生腐蚀性伤害则先用大量水冲洗然后送医院。</w:t>
      </w:r>
    </w:p>
    <w:p w14:paraId="78C65278" w14:textId="77777777" w:rsidR="003E78AB" w:rsidRDefault="00010BF9">
      <w:pPr>
        <w:ind w:firstLine="480"/>
        <w:rPr>
          <w:kern w:val="28"/>
        </w:rPr>
      </w:pPr>
      <w:r>
        <w:rPr>
          <w:rFonts w:hint="eastAsia"/>
          <w:kern w:val="28"/>
        </w:rPr>
        <w:t>（</w:t>
      </w:r>
      <w:r>
        <w:rPr>
          <w:rFonts w:hint="eastAsia"/>
          <w:kern w:val="28"/>
        </w:rPr>
        <w:t>9</w:t>
      </w:r>
      <w:r>
        <w:rPr>
          <w:rFonts w:hint="eastAsia"/>
          <w:kern w:val="28"/>
        </w:rPr>
        <w:t>）指挥领导小组接到报警后，应迅速通知有关部门、车间，要求查明事故发生部位和原因，下达应急救援处置指令，同时发出警报，通知指挥部成员及消防队和各专业救援队伍迅速赶往事故现场。</w:t>
      </w:r>
    </w:p>
    <w:p w14:paraId="6B56C2A6" w14:textId="77777777" w:rsidR="003E78AB" w:rsidRDefault="00010BF9">
      <w:pPr>
        <w:ind w:firstLine="480"/>
        <w:rPr>
          <w:kern w:val="28"/>
        </w:rPr>
      </w:pPr>
      <w:r>
        <w:rPr>
          <w:rFonts w:hint="eastAsia"/>
          <w:kern w:val="28"/>
        </w:rPr>
        <w:t>（</w:t>
      </w:r>
      <w:r>
        <w:rPr>
          <w:rFonts w:hint="eastAsia"/>
          <w:kern w:val="28"/>
        </w:rPr>
        <w:t>10</w:t>
      </w:r>
      <w:r>
        <w:rPr>
          <w:rFonts w:hint="eastAsia"/>
          <w:kern w:val="28"/>
        </w:rPr>
        <w:t>）当事故得到控制后指挥部要成立调查组，分析事故原因，并研究制定防范措施、抢修方案。</w:t>
      </w:r>
    </w:p>
    <w:p w14:paraId="7A763A4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w:t>
      </w:r>
      <w:r>
        <w:rPr>
          <w:rFonts w:ascii="Times New Roman" w:hAnsi="Times New Roman" w:hint="eastAsia"/>
        </w:rPr>
        <w:t>.5</w:t>
      </w:r>
      <w:r>
        <w:rPr>
          <w:rFonts w:ascii="Times New Roman" w:hAnsi="Times New Roman" w:hint="eastAsia"/>
        </w:rPr>
        <w:t>泄漏、火灾风险事故应急处置预案</w:t>
      </w:r>
    </w:p>
    <w:p w14:paraId="24A6F696" w14:textId="77777777" w:rsidR="003E78AB" w:rsidRDefault="00010BF9">
      <w:pPr>
        <w:pStyle w:val="5"/>
        <w:keepNext w:val="0"/>
        <w:keepLines w:val="0"/>
        <w:ind w:firstLine="482"/>
        <w:rPr>
          <w:sz w:val="24"/>
        </w:rPr>
      </w:pPr>
      <w:r>
        <w:rPr>
          <w:rFonts w:hint="eastAsia"/>
          <w:sz w:val="24"/>
        </w:rPr>
        <w:t>1.</w:t>
      </w:r>
      <w:r>
        <w:rPr>
          <w:rFonts w:hint="eastAsia"/>
          <w:sz w:val="24"/>
        </w:rPr>
        <w:t>五氧化二钒泄漏应急措施</w:t>
      </w:r>
    </w:p>
    <w:p w14:paraId="344E99E8" w14:textId="77777777" w:rsidR="003E78AB" w:rsidRDefault="00010BF9">
      <w:pPr>
        <w:ind w:firstLine="480"/>
        <w:rPr>
          <w:kern w:val="28"/>
        </w:rPr>
      </w:pPr>
      <w:r>
        <w:rPr>
          <w:rFonts w:hint="eastAsia"/>
          <w:kern w:val="28"/>
        </w:rPr>
        <w:t>①泄漏应急处理</w:t>
      </w:r>
    </w:p>
    <w:p w14:paraId="467322B6" w14:textId="77777777" w:rsidR="003E78AB" w:rsidRDefault="00010BF9">
      <w:pPr>
        <w:ind w:firstLine="480"/>
        <w:rPr>
          <w:kern w:val="28"/>
        </w:rPr>
      </w:pPr>
      <w:r>
        <w:rPr>
          <w:rFonts w:hint="eastAsia"/>
          <w:kern w:val="28"/>
        </w:rPr>
        <w:t>隔离泄漏污染区，限制出入。建议应急处理人员戴正压自给式呼吸器，穿化学防护服。不要直接接触泄漏物，避免扬尘，用清洁的铲子收集于干燥净洁有盖的容器中，转移到安全场所。若大量泄漏，用塑料布、帆布覆盖。收集回收或运至废物处理场所处置。</w:t>
      </w:r>
    </w:p>
    <w:p w14:paraId="4A077A41" w14:textId="77777777" w:rsidR="003E78AB" w:rsidRDefault="00010BF9">
      <w:pPr>
        <w:ind w:firstLine="480"/>
        <w:rPr>
          <w:kern w:val="28"/>
        </w:rPr>
      </w:pPr>
      <w:r>
        <w:rPr>
          <w:rFonts w:hint="eastAsia"/>
          <w:kern w:val="28"/>
        </w:rPr>
        <w:t>②防护措施</w:t>
      </w:r>
    </w:p>
    <w:p w14:paraId="1BE9FD29" w14:textId="77777777" w:rsidR="003E78AB" w:rsidRDefault="00010BF9">
      <w:pPr>
        <w:ind w:firstLine="480"/>
        <w:rPr>
          <w:kern w:val="28"/>
        </w:rPr>
      </w:pPr>
      <w:r>
        <w:rPr>
          <w:rFonts w:hint="eastAsia"/>
          <w:kern w:val="28"/>
        </w:rPr>
        <w:t>工程防护：密闭操作，局部排风。</w:t>
      </w:r>
    </w:p>
    <w:p w14:paraId="7AA1D6CC" w14:textId="77777777" w:rsidR="003E78AB" w:rsidRDefault="00010BF9">
      <w:pPr>
        <w:ind w:firstLine="480"/>
        <w:rPr>
          <w:kern w:val="28"/>
        </w:rPr>
      </w:pPr>
      <w:r>
        <w:rPr>
          <w:rFonts w:hint="eastAsia"/>
          <w:kern w:val="28"/>
        </w:rPr>
        <w:t>个人防护：操作人员必须经过专门培训，严格遵守操作规程。建议操作人员佩戴防尘面具（全面罩），穿胶布防毒衣，戴橡胶手套。远离易燃、可燃物。避免产生粉尘。避免与酸类接</w:t>
      </w:r>
      <w:r>
        <w:rPr>
          <w:rFonts w:hint="eastAsia"/>
          <w:kern w:val="28"/>
        </w:rPr>
        <w:t>触。搬运时要轻装轻卸，防止包装及容器损坏。配备泄漏应急处理设备。倒空的容器可能残留有害物。</w:t>
      </w:r>
    </w:p>
    <w:p w14:paraId="2DBA4633" w14:textId="77777777" w:rsidR="003E78AB" w:rsidRDefault="00010BF9">
      <w:pPr>
        <w:ind w:firstLine="480"/>
        <w:rPr>
          <w:kern w:val="28"/>
        </w:rPr>
      </w:pPr>
      <w:r>
        <w:rPr>
          <w:rFonts w:hint="eastAsia"/>
          <w:kern w:val="28"/>
        </w:rPr>
        <w:t>③急救措施</w:t>
      </w:r>
    </w:p>
    <w:p w14:paraId="5E23D031" w14:textId="77777777" w:rsidR="003E78AB" w:rsidRDefault="00010BF9">
      <w:pPr>
        <w:ind w:firstLine="480"/>
        <w:rPr>
          <w:kern w:val="28"/>
        </w:rPr>
      </w:pPr>
      <w:r>
        <w:rPr>
          <w:rFonts w:hint="eastAsia"/>
          <w:kern w:val="28"/>
        </w:rPr>
        <w:t>皮肤接触：脱去污染的衣着，立即用流动清水彻底冲洗。</w:t>
      </w:r>
    </w:p>
    <w:p w14:paraId="1EF6D473" w14:textId="77777777" w:rsidR="003E78AB" w:rsidRDefault="00010BF9">
      <w:pPr>
        <w:ind w:firstLine="480"/>
        <w:rPr>
          <w:kern w:val="28"/>
        </w:rPr>
      </w:pPr>
      <w:r>
        <w:rPr>
          <w:rFonts w:hint="eastAsia"/>
          <w:kern w:val="28"/>
        </w:rPr>
        <w:t>眼睛接触：立即提起眼睑，用流动清水冲洗。</w:t>
      </w:r>
    </w:p>
    <w:p w14:paraId="7E4101C9" w14:textId="77777777" w:rsidR="003E78AB" w:rsidRDefault="00010BF9">
      <w:pPr>
        <w:ind w:firstLine="480"/>
        <w:rPr>
          <w:kern w:val="28"/>
        </w:rPr>
      </w:pPr>
      <w:r>
        <w:rPr>
          <w:rFonts w:hint="eastAsia"/>
          <w:kern w:val="28"/>
        </w:rPr>
        <w:t>食入：误服者给饮大量温水，催吐，就医。</w:t>
      </w:r>
    </w:p>
    <w:p w14:paraId="1EEE7D33" w14:textId="77777777" w:rsidR="003E78AB" w:rsidRDefault="00010BF9">
      <w:pPr>
        <w:ind w:firstLine="480"/>
        <w:rPr>
          <w:kern w:val="28"/>
        </w:rPr>
      </w:pPr>
      <w:r>
        <w:rPr>
          <w:rFonts w:hint="eastAsia"/>
          <w:kern w:val="28"/>
        </w:rPr>
        <w:t>吸入：脱离现场至空气新鲜处。注意保暖，必要时进行人工呼吸。就医。</w:t>
      </w:r>
    </w:p>
    <w:p w14:paraId="3E45C6B3" w14:textId="77777777" w:rsidR="003E78AB" w:rsidRDefault="00010BF9">
      <w:pPr>
        <w:pStyle w:val="5"/>
        <w:keepNext w:val="0"/>
        <w:keepLines w:val="0"/>
        <w:ind w:firstLine="482"/>
        <w:rPr>
          <w:sz w:val="24"/>
        </w:rPr>
      </w:pPr>
      <w:r>
        <w:rPr>
          <w:rFonts w:hint="eastAsia"/>
          <w:sz w:val="24"/>
        </w:rPr>
        <w:t>2.</w:t>
      </w:r>
      <w:r>
        <w:rPr>
          <w:rFonts w:hint="eastAsia"/>
          <w:sz w:val="24"/>
        </w:rPr>
        <w:t>硫酸泄漏处理措施</w:t>
      </w:r>
    </w:p>
    <w:p w14:paraId="15E48B36" w14:textId="77777777" w:rsidR="003E78AB" w:rsidRDefault="00010BF9">
      <w:pPr>
        <w:ind w:firstLine="480"/>
        <w:rPr>
          <w:kern w:val="28"/>
        </w:rPr>
      </w:pPr>
      <w:r>
        <w:rPr>
          <w:rFonts w:hint="eastAsia"/>
          <w:kern w:val="28"/>
        </w:rPr>
        <w:t>①泄漏应急处理</w:t>
      </w:r>
    </w:p>
    <w:p w14:paraId="7BBD4359" w14:textId="77777777" w:rsidR="003E78AB" w:rsidRDefault="00010BF9">
      <w:pPr>
        <w:ind w:firstLine="480"/>
        <w:rPr>
          <w:kern w:val="28"/>
        </w:rPr>
      </w:pPr>
      <w:r>
        <w:rPr>
          <w:rFonts w:hint="eastAsia"/>
          <w:kern w:val="28"/>
        </w:rPr>
        <w:t>迅速撤离泄漏污染区人员至安全区，并进行隔离，严格限制出入。切断火源。建议应急处理人员戴自给正压式呼吸器，穿防酸碱工作服。不要直接接触泄漏物，尽可能切断泄漏源，防止进入下水</w:t>
      </w:r>
      <w:r>
        <w:rPr>
          <w:rFonts w:hint="eastAsia"/>
          <w:kern w:val="28"/>
        </w:rPr>
        <w:t>道、排洪沟等限制性空间。小量泄漏用砂土、干燥石灰或苏打灰混合。也可以用大量水冲洗，洗水稀释后放入废水系统。大量泄漏构筑围堤或挖坑收容。用泵转移至槽车或专用收集器内，回收或运至废物处理场所处置。</w:t>
      </w:r>
    </w:p>
    <w:p w14:paraId="26CD9808" w14:textId="77777777" w:rsidR="003E78AB" w:rsidRDefault="00010BF9">
      <w:pPr>
        <w:ind w:firstLine="480"/>
        <w:rPr>
          <w:kern w:val="28"/>
        </w:rPr>
      </w:pPr>
      <w:r>
        <w:rPr>
          <w:rFonts w:hint="eastAsia"/>
          <w:kern w:val="28"/>
        </w:rPr>
        <w:t>②防护措施</w:t>
      </w:r>
    </w:p>
    <w:p w14:paraId="384E378F" w14:textId="77777777" w:rsidR="003E78AB" w:rsidRDefault="00010BF9">
      <w:pPr>
        <w:ind w:firstLine="480"/>
        <w:rPr>
          <w:kern w:val="28"/>
        </w:rPr>
      </w:pPr>
      <w:r>
        <w:rPr>
          <w:rFonts w:hint="eastAsia"/>
          <w:kern w:val="28"/>
        </w:rPr>
        <w:t>呼吸系统防护：可能接触烟雾时，佩戴自吸过滤式防毒面具（全面罩）或空气呼吸器。紧急事态抢救或撤离时，建议佩戴氧气呼吸器。</w:t>
      </w:r>
    </w:p>
    <w:p w14:paraId="2BB63BD2" w14:textId="77777777" w:rsidR="003E78AB" w:rsidRDefault="00010BF9">
      <w:pPr>
        <w:ind w:firstLine="480"/>
        <w:rPr>
          <w:kern w:val="28"/>
        </w:rPr>
      </w:pPr>
      <w:r>
        <w:rPr>
          <w:rFonts w:hint="eastAsia"/>
          <w:kern w:val="28"/>
        </w:rPr>
        <w:t>眼睛防护：呼吸系统防护中已做防护。</w:t>
      </w:r>
    </w:p>
    <w:p w14:paraId="0921BD16" w14:textId="77777777" w:rsidR="003E78AB" w:rsidRDefault="00010BF9">
      <w:pPr>
        <w:ind w:firstLine="480"/>
        <w:rPr>
          <w:kern w:val="28"/>
        </w:rPr>
      </w:pPr>
      <w:r>
        <w:rPr>
          <w:rFonts w:hint="eastAsia"/>
          <w:kern w:val="28"/>
        </w:rPr>
        <w:t>身体防护：穿橡胶耐酸碱服。</w:t>
      </w:r>
    </w:p>
    <w:p w14:paraId="6E5FA7A4" w14:textId="77777777" w:rsidR="003E78AB" w:rsidRDefault="00010BF9">
      <w:pPr>
        <w:ind w:firstLine="480"/>
        <w:rPr>
          <w:kern w:val="28"/>
        </w:rPr>
      </w:pPr>
      <w:r>
        <w:rPr>
          <w:rFonts w:hint="eastAsia"/>
          <w:kern w:val="28"/>
        </w:rPr>
        <w:t>手防护：戴橡胶耐酸碱手套。</w:t>
      </w:r>
    </w:p>
    <w:p w14:paraId="66AF36B0" w14:textId="77777777" w:rsidR="003E78AB" w:rsidRDefault="00010BF9">
      <w:pPr>
        <w:ind w:firstLine="480"/>
        <w:rPr>
          <w:kern w:val="28"/>
        </w:rPr>
      </w:pPr>
      <w:r>
        <w:rPr>
          <w:rFonts w:hint="eastAsia"/>
          <w:kern w:val="28"/>
        </w:rPr>
        <w:t>其他：工作现场严禁吸烟、进食和饮水。工作毕，淋浴更衣，单独存放被毒物污染的衣服，洗后备用，保持良好的卫生习惯。</w:t>
      </w:r>
    </w:p>
    <w:p w14:paraId="6AD1DE5E" w14:textId="77777777" w:rsidR="003E78AB" w:rsidRDefault="00010BF9">
      <w:pPr>
        <w:ind w:firstLine="480"/>
        <w:rPr>
          <w:kern w:val="28"/>
        </w:rPr>
      </w:pPr>
      <w:r>
        <w:rPr>
          <w:rFonts w:hint="eastAsia"/>
          <w:kern w:val="28"/>
        </w:rPr>
        <w:t>③急救措施</w:t>
      </w:r>
    </w:p>
    <w:p w14:paraId="104CB396" w14:textId="77777777" w:rsidR="003E78AB" w:rsidRDefault="00010BF9">
      <w:pPr>
        <w:ind w:firstLine="480"/>
        <w:rPr>
          <w:kern w:val="28"/>
        </w:rPr>
      </w:pPr>
      <w:r>
        <w:rPr>
          <w:rFonts w:hint="eastAsia"/>
          <w:kern w:val="28"/>
        </w:rPr>
        <w:t>皮肤接触：立即脱去被污染的衣着，用大量流动清水清洗，至少</w:t>
      </w:r>
      <w:r>
        <w:rPr>
          <w:rFonts w:hint="eastAsia"/>
          <w:kern w:val="28"/>
        </w:rPr>
        <w:t>15</w:t>
      </w:r>
      <w:r>
        <w:rPr>
          <w:rFonts w:hint="eastAsia"/>
          <w:kern w:val="28"/>
        </w:rPr>
        <w:t>分钟，就医。</w:t>
      </w:r>
    </w:p>
    <w:p w14:paraId="699249A5" w14:textId="77777777" w:rsidR="003E78AB" w:rsidRDefault="00010BF9">
      <w:pPr>
        <w:ind w:firstLine="480"/>
        <w:rPr>
          <w:kern w:val="28"/>
        </w:rPr>
      </w:pPr>
      <w:r>
        <w:rPr>
          <w:rFonts w:hint="eastAsia"/>
          <w:kern w:val="28"/>
        </w:rPr>
        <w:t>眼睛接触：立即掀起眼睑，用大量的流动清水或生理盐水彻底冲洗至少</w:t>
      </w:r>
      <w:r>
        <w:rPr>
          <w:rFonts w:hint="eastAsia"/>
          <w:kern w:val="28"/>
        </w:rPr>
        <w:t>15</w:t>
      </w:r>
      <w:r>
        <w:rPr>
          <w:rFonts w:hint="eastAsia"/>
          <w:kern w:val="28"/>
        </w:rPr>
        <w:t>分钟。就医。</w:t>
      </w:r>
    </w:p>
    <w:p w14:paraId="2C203C13" w14:textId="77777777" w:rsidR="003E78AB" w:rsidRDefault="00010BF9">
      <w:pPr>
        <w:ind w:firstLine="480"/>
        <w:rPr>
          <w:kern w:val="28"/>
        </w:rPr>
      </w:pPr>
      <w:r>
        <w:rPr>
          <w:rFonts w:hint="eastAsia"/>
          <w:kern w:val="28"/>
        </w:rPr>
        <w:t>吸入：迅速脱离现场至空气清新处。保持呼吸道通畅。如呼吸困难，给输氧，如呼吸停止，立即进行人工呼吸。就医。</w:t>
      </w:r>
    </w:p>
    <w:p w14:paraId="6BAD656A" w14:textId="77777777" w:rsidR="003E78AB" w:rsidRDefault="00010BF9">
      <w:pPr>
        <w:ind w:firstLine="480"/>
        <w:rPr>
          <w:kern w:val="28"/>
        </w:rPr>
      </w:pPr>
      <w:r>
        <w:rPr>
          <w:rFonts w:hint="eastAsia"/>
          <w:kern w:val="28"/>
        </w:rPr>
        <w:t>食入：误服者用水漱口，给饮牛奶或蛋清，就医。</w:t>
      </w:r>
    </w:p>
    <w:p w14:paraId="76187C68" w14:textId="77777777" w:rsidR="003E78AB" w:rsidRDefault="00010BF9">
      <w:pPr>
        <w:pStyle w:val="5"/>
        <w:keepNext w:val="0"/>
        <w:keepLines w:val="0"/>
        <w:ind w:firstLine="482"/>
        <w:rPr>
          <w:sz w:val="24"/>
        </w:rPr>
      </w:pPr>
      <w:r>
        <w:rPr>
          <w:rFonts w:hint="eastAsia"/>
          <w:sz w:val="24"/>
        </w:rPr>
        <w:t>4.</w:t>
      </w:r>
      <w:r>
        <w:rPr>
          <w:rFonts w:hint="eastAsia"/>
          <w:sz w:val="24"/>
        </w:rPr>
        <w:t>磷酸泄漏处理措施</w:t>
      </w:r>
    </w:p>
    <w:p w14:paraId="24698703" w14:textId="77777777" w:rsidR="003E78AB" w:rsidRDefault="00010BF9">
      <w:pPr>
        <w:ind w:firstLine="480"/>
        <w:rPr>
          <w:kern w:val="28"/>
        </w:rPr>
      </w:pPr>
      <w:r>
        <w:rPr>
          <w:rFonts w:hint="eastAsia"/>
          <w:kern w:val="28"/>
        </w:rPr>
        <w:t>①泄漏应急处理</w:t>
      </w:r>
    </w:p>
    <w:p w14:paraId="7F6D40D9" w14:textId="77777777" w:rsidR="003E78AB" w:rsidRDefault="00010BF9">
      <w:pPr>
        <w:ind w:firstLine="480"/>
        <w:rPr>
          <w:kern w:val="28"/>
        </w:rPr>
      </w:pPr>
      <w:r>
        <w:rPr>
          <w:rFonts w:hint="eastAsia"/>
          <w:kern w:val="28"/>
        </w:rPr>
        <w:t>迅速撤离泄漏污染区人员至安全区，并进行隔离，严格限制出入。切断火源。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p w14:paraId="1D5DBEF8" w14:textId="77777777" w:rsidR="003E78AB" w:rsidRDefault="00010BF9">
      <w:pPr>
        <w:ind w:firstLine="480"/>
        <w:rPr>
          <w:kern w:val="28"/>
        </w:rPr>
      </w:pPr>
      <w:r>
        <w:rPr>
          <w:rFonts w:hint="eastAsia"/>
          <w:kern w:val="28"/>
        </w:rPr>
        <w:t>②防护措施</w:t>
      </w:r>
    </w:p>
    <w:p w14:paraId="3073E691" w14:textId="77777777" w:rsidR="003E78AB" w:rsidRDefault="00010BF9">
      <w:pPr>
        <w:ind w:firstLine="480"/>
        <w:rPr>
          <w:kern w:val="28"/>
        </w:rPr>
      </w:pPr>
      <w:r>
        <w:rPr>
          <w:rFonts w:hint="eastAsia"/>
          <w:kern w:val="28"/>
        </w:rPr>
        <w:t>呼吸系统防护：可能接触烟雾时，佩戴自吸过滤式防毒面具（全面罩）或空气呼吸器。紧急事态抢救或撤离时，建议佩戴氧气呼吸器。</w:t>
      </w:r>
    </w:p>
    <w:p w14:paraId="69612489" w14:textId="77777777" w:rsidR="003E78AB" w:rsidRDefault="00010BF9">
      <w:pPr>
        <w:ind w:firstLine="480"/>
        <w:rPr>
          <w:kern w:val="28"/>
        </w:rPr>
      </w:pPr>
      <w:r>
        <w:rPr>
          <w:rFonts w:hint="eastAsia"/>
          <w:kern w:val="28"/>
        </w:rPr>
        <w:t>眼睛防护：呼吸系</w:t>
      </w:r>
      <w:r>
        <w:rPr>
          <w:rFonts w:hint="eastAsia"/>
          <w:kern w:val="28"/>
        </w:rPr>
        <w:t>统防护中已做防护。</w:t>
      </w:r>
    </w:p>
    <w:p w14:paraId="4EC39022" w14:textId="77777777" w:rsidR="003E78AB" w:rsidRDefault="00010BF9">
      <w:pPr>
        <w:ind w:firstLine="480"/>
        <w:rPr>
          <w:kern w:val="28"/>
        </w:rPr>
      </w:pPr>
      <w:r>
        <w:rPr>
          <w:rFonts w:hint="eastAsia"/>
          <w:kern w:val="28"/>
        </w:rPr>
        <w:t>身体防护：穿橡胶耐酸碱服。</w:t>
      </w:r>
    </w:p>
    <w:p w14:paraId="3F7D4590" w14:textId="77777777" w:rsidR="003E78AB" w:rsidRDefault="00010BF9">
      <w:pPr>
        <w:ind w:firstLine="480"/>
        <w:rPr>
          <w:kern w:val="28"/>
        </w:rPr>
      </w:pPr>
      <w:r>
        <w:rPr>
          <w:rFonts w:hint="eastAsia"/>
          <w:kern w:val="28"/>
        </w:rPr>
        <w:t>手防护：戴橡胶耐酸碱手套。</w:t>
      </w:r>
    </w:p>
    <w:p w14:paraId="43E27DA7" w14:textId="77777777" w:rsidR="003E78AB" w:rsidRDefault="00010BF9">
      <w:pPr>
        <w:ind w:firstLine="480"/>
        <w:rPr>
          <w:kern w:val="28"/>
        </w:rPr>
      </w:pPr>
      <w:r>
        <w:rPr>
          <w:rFonts w:hint="eastAsia"/>
          <w:kern w:val="28"/>
        </w:rPr>
        <w:t>其它：工作现场严禁吸烟、进食和饮水。工作毕，淋浴更衣，单独存放被毒物污染的衣服，洗后备用，保持良好的卫生习惯。</w:t>
      </w:r>
    </w:p>
    <w:p w14:paraId="62FB4F6D" w14:textId="77777777" w:rsidR="003E78AB" w:rsidRDefault="00010BF9">
      <w:pPr>
        <w:ind w:firstLine="480"/>
        <w:rPr>
          <w:kern w:val="28"/>
        </w:rPr>
      </w:pPr>
      <w:r>
        <w:rPr>
          <w:rFonts w:hint="eastAsia"/>
          <w:kern w:val="28"/>
        </w:rPr>
        <w:t>③急救措施</w:t>
      </w:r>
    </w:p>
    <w:p w14:paraId="5E22E7AE" w14:textId="77777777" w:rsidR="003E78AB" w:rsidRDefault="00010BF9">
      <w:pPr>
        <w:ind w:firstLine="480"/>
        <w:rPr>
          <w:kern w:val="28"/>
        </w:rPr>
      </w:pPr>
      <w:r>
        <w:rPr>
          <w:rFonts w:hint="eastAsia"/>
          <w:kern w:val="28"/>
        </w:rPr>
        <w:t>皮肤接触：立即脱去被污染的衣着，用大量流动清水清洗，至少</w:t>
      </w:r>
      <w:r>
        <w:rPr>
          <w:rFonts w:hint="eastAsia"/>
          <w:kern w:val="28"/>
        </w:rPr>
        <w:t>15</w:t>
      </w:r>
      <w:r>
        <w:rPr>
          <w:rFonts w:hint="eastAsia"/>
          <w:kern w:val="28"/>
        </w:rPr>
        <w:t>分钟，就医。</w:t>
      </w:r>
    </w:p>
    <w:p w14:paraId="7C1EEB4E" w14:textId="77777777" w:rsidR="003E78AB" w:rsidRDefault="00010BF9">
      <w:pPr>
        <w:ind w:firstLine="480"/>
        <w:rPr>
          <w:kern w:val="28"/>
        </w:rPr>
      </w:pPr>
      <w:r>
        <w:rPr>
          <w:rFonts w:hint="eastAsia"/>
          <w:kern w:val="28"/>
        </w:rPr>
        <w:t>眼睛接触：立即掀起眼睑，用大量的流动清水或生理盐水彻底冲洗至少</w:t>
      </w:r>
      <w:r>
        <w:rPr>
          <w:rFonts w:hint="eastAsia"/>
          <w:kern w:val="28"/>
        </w:rPr>
        <w:t>15</w:t>
      </w:r>
      <w:r>
        <w:rPr>
          <w:rFonts w:hint="eastAsia"/>
          <w:kern w:val="28"/>
        </w:rPr>
        <w:t>分钟。就医。</w:t>
      </w:r>
    </w:p>
    <w:p w14:paraId="4935FB28" w14:textId="77777777" w:rsidR="003E78AB" w:rsidRDefault="00010BF9">
      <w:pPr>
        <w:ind w:firstLine="480"/>
        <w:rPr>
          <w:kern w:val="28"/>
        </w:rPr>
      </w:pPr>
      <w:r>
        <w:rPr>
          <w:rFonts w:hint="eastAsia"/>
          <w:kern w:val="28"/>
        </w:rPr>
        <w:t>吸入：迅速脱离现场至空气清新处。保持呼吸道通畅。如呼吸困难，给输氧，如呼吸停止，立即进行人工呼吸。就医。</w:t>
      </w:r>
    </w:p>
    <w:p w14:paraId="36F1160F" w14:textId="77777777" w:rsidR="003E78AB" w:rsidRDefault="00010BF9">
      <w:pPr>
        <w:ind w:firstLine="480"/>
      </w:pPr>
      <w:r>
        <w:rPr>
          <w:rFonts w:hint="eastAsia"/>
          <w:kern w:val="28"/>
        </w:rPr>
        <w:t>食入：误服者用水漱口，给饮牛奶或蛋清，就医。</w:t>
      </w:r>
    </w:p>
    <w:p w14:paraId="59E7FFD6" w14:textId="77777777" w:rsidR="003E78AB" w:rsidRDefault="00010BF9">
      <w:pPr>
        <w:pStyle w:val="5"/>
        <w:keepNext w:val="0"/>
        <w:keepLines w:val="0"/>
        <w:ind w:firstLine="482"/>
        <w:rPr>
          <w:sz w:val="24"/>
        </w:rPr>
      </w:pPr>
      <w:r>
        <w:rPr>
          <w:rFonts w:hint="eastAsia"/>
          <w:sz w:val="24"/>
        </w:rPr>
        <w:t>5.</w:t>
      </w:r>
      <w:r>
        <w:rPr>
          <w:rFonts w:hint="eastAsia"/>
          <w:sz w:val="24"/>
        </w:rPr>
        <w:t>钒</w:t>
      </w:r>
      <w:r>
        <w:rPr>
          <w:rFonts w:hint="eastAsia"/>
          <w:sz w:val="24"/>
        </w:rPr>
        <w:t>电解液泄漏处理措施</w:t>
      </w:r>
    </w:p>
    <w:p w14:paraId="344E8C09" w14:textId="77777777" w:rsidR="003E78AB" w:rsidRDefault="00010BF9">
      <w:pPr>
        <w:ind w:firstLine="480"/>
        <w:rPr>
          <w:kern w:val="28"/>
        </w:rPr>
      </w:pPr>
      <w:r>
        <w:rPr>
          <w:rFonts w:hint="eastAsia"/>
          <w:kern w:val="28"/>
        </w:rPr>
        <w:t>①泄漏应急处理</w:t>
      </w:r>
    </w:p>
    <w:p w14:paraId="445F0033" w14:textId="77777777" w:rsidR="003E78AB" w:rsidRDefault="00010BF9">
      <w:pPr>
        <w:ind w:firstLine="480"/>
        <w:rPr>
          <w:kern w:val="28"/>
        </w:rPr>
      </w:pPr>
      <w:r>
        <w:rPr>
          <w:rFonts w:hint="eastAsia"/>
          <w:kern w:val="28"/>
        </w:rPr>
        <w:t>必须穿戴防护用具进入泄漏现场，保持现场通风，用简便、安全的方法收集泄漏物，置于密闭容器内。</w:t>
      </w:r>
    </w:p>
    <w:p w14:paraId="0B977095" w14:textId="77777777" w:rsidR="003E78AB" w:rsidRDefault="00010BF9">
      <w:pPr>
        <w:ind w:firstLine="480"/>
        <w:rPr>
          <w:kern w:val="28"/>
        </w:rPr>
      </w:pPr>
      <w:r>
        <w:rPr>
          <w:rFonts w:hint="eastAsia"/>
          <w:kern w:val="28"/>
        </w:rPr>
        <w:t>②防护措施</w:t>
      </w:r>
    </w:p>
    <w:p w14:paraId="4BC6C59E" w14:textId="77777777" w:rsidR="003E78AB" w:rsidRDefault="00010BF9">
      <w:pPr>
        <w:ind w:firstLine="480"/>
        <w:rPr>
          <w:kern w:val="28"/>
        </w:rPr>
      </w:pPr>
      <w:r>
        <w:rPr>
          <w:rFonts w:hint="eastAsia"/>
          <w:kern w:val="28"/>
        </w:rPr>
        <w:t>呼吸系统防护：选用适当的呼吸器，定期检查肺功能；</w:t>
      </w:r>
    </w:p>
    <w:p w14:paraId="23980ECC" w14:textId="77777777" w:rsidR="003E78AB" w:rsidRDefault="00010BF9">
      <w:pPr>
        <w:ind w:firstLine="480"/>
        <w:rPr>
          <w:kern w:val="28"/>
        </w:rPr>
      </w:pPr>
      <w:r>
        <w:rPr>
          <w:rFonts w:hint="eastAsia"/>
          <w:kern w:val="28"/>
        </w:rPr>
        <w:t>眼镜防护：戴防化镜和面罩；</w:t>
      </w:r>
    </w:p>
    <w:p w14:paraId="1B7C7E21" w14:textId="77777777" w:rsidR="003E78AB" w:rsidRDefault="00010BF9">
      <w:pPr>
        <w:ind w:firstLine="480"/>
        <w:rPr>
          <w:kern w:val="28"/>
        </w:rPr>
      </w:pPr>
      <w:r>
        <w:rPr>
          <w:rFonts w:hint="eastAsia"/>
          <w:kern w:val="28"/>
        </w:rPr>
        <w:t>身体防护：穿戴清洁的防护用具（防护手套、靴子、帽子），避免皮肤接触；</w:t>
      </w:r>
    </w:p>
    <w:p w14:paraId="11FF7F8C" w14:textId="77777777" w:rsidR="003E78AB" w:rsidRDefault="00010BF9">
      <w:pPr>
        <w:ind w:firstLine="480"/>
        <w:rPr>
          <w:kern w:val="28"/>
        </w:rPr>
      </w:pPr>
      <w:r>
        <w:rPr>
          <w:rFonts w:hint="eastAsia"/>
          <w:kern w:val="28"/>
        </w:rPr>
        <w:t>手防护：防护手套</w:t>
      </w:r>
    </w:p>
    <w:p w14:paraId="11CCE33F" w14:textId="77777777" w:rsidR="003E78AB" w:rsidRDefault="00010BF9">
      <w:pPr>
        <w:ind w:firstLine="480"/>
        <w:rPr>
          <w:kern w:val="28"/>
        </w:rPr>
      </w:pPr>
      <w:r>
        <w:rPr>
          <w:rFonts w:hint="eastAsia"/>
          <w:kern w:val="28"/>
        </w:rPr>
        <w:t>③急救措施</w:t>
      </w:r>
    </w:p>
    <w:p w14:paraId="7C36A300" w14:textId="77777777" w:rsidR="003E78AB" w:rsidRDefault="00010BF9">
      <w:pPr>
        <w:ind w:firstLine="480"/>
        <w:rPr>
          <w:kern w:val="28"/>
        </w:rPr>
      </w:pPr>
      <w:r>
        <w:rPr>
          <w:rFonts w:hint="eastAsia"/>
          <w:kern w:val="28"/>
        </w:rPr>
        <w:t>皮肤接触：脱掉被污染衣服，用肥皂、水冲洗皮肤。</w:t>
      </w:r>
    </w:p>
    <w:p w14:paraId="57184344" w14:textId="77777777" w:rsidR="003E78AB" w:rsidRDefault="00010BF9">
      <w:pPr>
        <w:ind w:firstLine="480"/>
        <w:rPr>
          <w:kern w:val="28"/>
        </w:rPr>
      </w:pPr>
      <w:r>
        <w:rPr>
          <w:rFonts w:hint="eastAsia"/>
          <w:kern w:val="28"/>
        </w:rPr>
        <w:t>眼睛接触：用大量水冲洗至少</w:t>
      </w:r>
      <w:r>
        <w:rPr>
          <w:rFonts w:hint="eastAsia"/>
          <w:kern w:val="28"/>
        </w:rPr>
        <w:t>15</w:t>
      </w:r>
      <w:r>
        <w:rPr>
          <w:rFonts w:hint="eastAsia"/>
          <w:kern w:val="28"/>
        </w:rPr>
        <w:t>分钟。</w:t>
      </w:r>
    </w:p>
    <w:p w14:paraId="58D962BD" w14:textId="77777777" w:rsidR="003E78AB" w:rsidRDefault="00010BF9">
      <w:pPr>
        <w:ind w:firstLine="480"/>
        <w:rPr>
          <w:kern w:val="28"/>
        </w:rPr>
      </w:pPr>
      <w:r>
        <w:rPr>
          <w:rFonts w:hint="eastAsia"/>
          <w:kern w:val="28"/>
        </w:rPr>
        <w:t>吸入：将患者移至新鲜空气处；呼吸停止时，施行呼吸复苏术，心跳停止时，施行心肺复苏术，就医。</w:t>
      </w:r>
    </w:p>
    <w:p w14:paraId="26ADE11A" w14:textId="77777777" w:rsidR="003E78AB" w:rsidRDefault="00010BF9">
      <w:pPr>
        <w:ind w:firstLine="480"/>
        <w:rPr>
          <w:kern w:val="28"/>
        </w:rPr>
      </w:pPr>
      <w:r>
        <w:rPr>
          <w:rFonts w:hint="eastAsia"/>
          <w:kern w:val="28"/>
        </w:rPr>
        <w:t>食入或其他：留医观察</w:t>
      </w:r>
      <w:r>
        <w:rPr>
          <w:rFonts w:hint="eastAsia"/>
          <w:kern w:val="28"/>
        </w:rPr>
        <w:t>24~48</w:t>
      </w:r>
      <w:r>
        <w:rPr>
          <w:rFonts w:hint="eastAsia"/>
          <w:kern w:val="28"/>
        </w:rPr>
        <w:t>小时，以免延误肺水肿的诊治。</w:t>
      </w:r>
    </w:p>
    <w:p w14:paraId="77A16042" w14:textId="77777777" w:rsidR="003E78AB" w:rsidRDefault="00010BF9">
      <w:pPr>
        <w:pStyle w:val="5"/>
        <w:keepNext w:val="0"/>
        <w:keepLines w:val="0"/>
        <w:ind w:firstLine="482"/>
        <w:rPr>
          <w:sz w:val="24"/>
        </w:rPr>
      </w:pPr>
      <w:r>
        <w:rPr>
          <w:rFonts w:hint="eastAsia"/>
          <w:sz w:val="24"/>
        </w:rPr>
        <w:t>6.</w:t>
      </w:r>
      <w:r>
        <w:rPr>
          <w:rFonts w:hint="eastAsia"/>
          <w:sz w:val="24"/>
        </w:rPr>
        <w:t>火灾应急处理措施</w:t>
      </w:r>
    </w:p>
    <w:p w14:paraId="04F6BE90" w14:textId="77777777" w:rsidR="003E78AB" w:rsidRDefault="00010BF9">
      <w:pPr>
        <w:ind w:firstLine="480"/>
        <w:rPr>
          <w:kern w:val="28"/>
        </w:rPr>
      </w:pPr>
      <w:r>
        <w:rPr>
          <w:rFonts w:hint="eastAsia"/>
          <w:kern w:val="28"/>
        </w:rPr>
        <w:t>火灾起初阶段，单位应迅速组织职工按照应急预案关阀断料，并启动现有所有的消防设备进行喷淋冷却；生产上要做好停送物料、转移物料的准备，必须切断送往火灾部位的物源。</w:t>
      </w:r>
    </w:p>
    <w:p w14:paraId="08F95416" w14:textId="77777777" w:rsidR="003E78AB" w:rsidRDefault="00010BF9">
      <w:pPr>
        <w:ind w:firstLine="480"/>
        <w:rPr>
          <w:kern w:val="28"/>
        </w:rPr>
      </w:pPr>
      <w:r>
        <w:rPr>
          <w:rFonts w:hint="eastAsia"/>
          <w:kern w:val="28"/>
        </w:rPr>
        <w:t>火灾事故发生后，由车间专业技术人员及公司义务消防队员穿戴好防护用品后进入现场，首先察看现场有无受伤人员，若有人员受伤应以最快速度将受伤者脱离现场，其次切断泄漏源，并进行隔离，严格限制出入。</w:t>
      </w:r>
    </w:p>
    <w:p w14:paraId="601B8531" w14:textId="77777777" w:rsidR="003E78AB" w:rsidRDefault="00010BF9">
      <w:pPr>
        <w:ind w:firstLine="480"/>
        <w:rPr>
          <w:kern w:val="28"/>
        </w:rPr>
      </w:pPr>
      <w:r>
        <w:rPr>
          <w:rFonts w:hint="eastAsia"/>
          <w:kern w:val="28"/>
        </w:rPr>
        <w:t>小量着火：立即组织消防队采用灭火器灭火，并用高压水枪向储罐喷洒大量清水让其冷却，</w:t>
      </w:r>
      <w:r>
        <w:rPr>
          <w:rFonts w:hint="eastAsia"/>
          <w:kern w:val="28"/>
        </w:rPr>
        <w:t>灭火后，确认不再复燃，立即采取小量泄漏处理方法处理。</w:t>
      </w:r>
    </w:p>
    <w:p w14:paraId="1AD1814B" w14:textId="77777777" w:rsidR="003E78AB" w:rsidRDefault="00010BF9">
      <w:pPr>
        <w:ind w:firstLine="480"/>
        <w:rPr>
          <w:kern w:val="28"/>
        </w:rPr>
      </w:pPr>
      <w:r>
        <w:rPr>
          <w:rFonts w:hint="eastAsia"/>
          <w:kern w:val="28"/>
        </w:rPr>
        <w:t>大量着火：立即报告</w:t>
      </w:r>
      <w:r>
        <w:rPr>
          <w:rFonts w:hint="eastAsia"/>
          <w:kern w:val="28"/>
        </w:rPr>
        <w:t>119</w:t>
      </w:r>
      <w:r>
        <w:rPr>
          <w:rFonts w:hint="eastAsia"/>
          <w:kern w:val="28"/>
        </w:rPr>
        <w:t>消防队灭火，在专业消防队到来之前，用水带向罐体或着火点喷洒大量清水，让其冷却。现场指挥人员密切注意各种危险征兆，若遇到火势难以熄灭，着火处火焰变亮耀眼，伴有尖叫、安全阀打开、罐体发生变色、罐体晃动等爆裂征兆时，指挥员必须适时做出准确判断，及时下达撤退命令，现场人员看到或听到事先规定的撤退信号后，应迅速撤退至安全地带。消防队到达后，单位相关人员应主动向消防队员介绍火场的一切情况，并密切配合消防人员了解泄漏部位情况。</w:t>
      </w:r>
    </w:p>
    <w:p w14:paraId="7259E19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6.6.2.6</w:t>
      </w:r>
      <w:r>
        <w:rPr>
          <w:rFonts w:ascii="Times New Roman" w:hAnsi="Times New Roman" w:hint="eastAsia"/>
        </w:rPr>
        <w:t>预</w:t>
      </w:r>
      <w:r>
        <w:rPr>
          <w:rFonts w:ascii="Times New Roman" w:hAnsi="Times New Roman" w:hint="eastAsia"/>
        </w:rPr>
        <w:t>案分级响应条件及响应时间</w:t>
      </w:r>
    </w:p>
    <w:p w14:paraId="7D2FC19B" w14:textId="77777777" w:rsidR="003E78AB" w:rsidRDefault="00010BF9">
      <w:pPr>
        <w:ind w:firstLine="480"/>
        <w:rPr>
          <w:kern w:val="28"/>
        </w:rPr>
      </w:pPr>
      <w:r>
        <w:rPr>
          <w:rFonts w:hint="eastAsia"/>
          <w:kern w:val="28"/>
        </w:rPr>
        <w:t>根据《国家突发环境事件应急预案》相关规定，按照突发事件严重性和紧急程度，突发环境事件分为特别重大突发环境事件（Ⅰ级）、重大突发环境事件（Ⅱ级）、较大突发环境事件（Ⅲ级）和一般突发环境事件（Ⅳ级）四级。</w:t>
      </w:r>
    </w:p>
    <w:p w14:paraId="2C23453B" w14:textId="77777777" w:rsidR="003E78AB" w:rsidRDefault="00010BF9">
      <w:pPr>
        <w:ind w:firstLine="480"/>
        <w:rPr>
          <w:kern w:val="28"/>
        </w:rPr>
      </w:pPr>
      <w:r>
        <w:rPr>
          <w:rFonts w:hint="eastAsia"/>
          <w:kern w:val="28"/>
        </w:rPr>
        <w:t>突发环境事件发生地设区的市级或者县级人民政府</w:t>
      </w:r>
      <w:r>
        <w:rPr>
          <w:rFonts w:hint="eastAsia"/>
          <w:kern w:val="28"/>
        </w:rPr>
        <w:t>生态环境主管部门</w:t>
      </w:r>
      <w:r>
        <w:rPr>
          <w:rFonts w:hint="eastAsia"/>
          <w:kern w:val="28"/>
        </w:rPr>
        <w:t>在发现或者得知突发环境事件信息后，应当立即进行核实，对突发环境事件的性质和类别做出初步认定。对初步认定为一般（</w:t>
      </w:r>
      <w:r>
        <w:rPr>
          <w:rFonts w:hint="eastAsia"/>
          <w:kern w:val="28"/>
        </w:rPr>
        <w:t>IV</w:t>
      </w:r>
      <w:r>
        <w:rPr>
          <w:rFonts w:hint="eastAsia"/>
          <w:kern w:val="28"/>
        </w:rPr>
        <w:t>级）或者较大（</w:t>
      </w:r>
      <w:r>
        <w:rPr>
          <w:rFonts w:hint="eastAsia"/>
          <w:kern w:val="28"/>
        </w:rPr>
        <w:t>III</w:t>
      </w:r>
      <w:r>
        <w:rPr>
          <w:rFonts w:hint="eastAsia"/>
          <w:kern w:val="28"/>
        </w:rPr>
        <w:t>级）突发环境事件的，事件发生地设区的市级或者县级人民政府</w:t>
      </w:r>
      <w:r>
        <w:rPr>
          <w:rFonts w:hint="eastAsia"/>
          <w:kern w:val="28"/>
        </w:rPr>
        <w:t>生态环境主管部门</w:t>
      </w:r>
      <w:r>
        <w:rPr>
          <w:rFonts w:hint="eastAsia"/>
          <w:kern w:val="28"/>
        </w:rPr>
        <w:t>应当在四小时内向本</w:t>
      </w:r>
      <w:r>
        <w:rPr>
          <w:rFonts w:hint="eastAsia"/>
          <w:kern w:val="28"/>
        </w:rPr>
        <w:t>级人民政府和上一级人民政府</w:t>
      </w:r>
      <w:r>
        <w:rPr>
          <w:rFonts w:hint="eastAsia"/>
          <w:kern w:val="28"/>
        </w:rPr>
        <w:t>生态环境主管部门</w:t>
      </w:r>
      <w:r>
        <w:rPr>
          <w:rFonts w:hint="eastAsia"/>
          <w:kern w:val="28"/>
        </w:rPr>
        <w:t>报告。对初步认定为重大（</w:t>
      </w:r>
      <w:r>
        <w:rPr>
          <w:rFonts w:hint="eastAsia"/>
          <w:kern w:val="28"/>
        </w:rPr>
        <w:t>II</w:t>
      </w:r>
      <w:r>
        <w:rPr>
          <w:rFonts w:hint="eastAsia"/>
          <w:kern w:val="28"/>
        </w:rPr>
        <w:t>级）或者特别重大（</w:t>
      </w:r>
      <w:r>
        <w:rPr>
          <w:rFonts w:hint="eastAsia"/>
          <w:kern w:val="28"/>
        </w:rPr>
        <w:t>I</w:t>
      </w:r>
      <w:r>
        <w:rPr>
          <w:rFonts w:hint="eastAsia"/>
          <w:kern w:val="28"/>
        </w:rPr>
        <w:t>级）突发环境事件的，事件发生地设区的市级或者县级人民政府</w:t>
      </w:r>
      <w:r>
        <w:rPr>
          <w:rFonts w:hint="eastAsia"/>
          <w:kern w:val="28"/>
        </w:rPr>
        <w:t>生态环境主管部门</w:t>
      </w:r>
      <w:r>
        <w:rPr>
          <w:rFonts w:hint="eastAsia"/>
          <w:kern w:val="28"/>
        </w:rPr>
        <w:t>应当在两小时内向本级人民政府和</w:t>
      </w:r>
      <w:r>
        <w:rPr>
          <w:rFonts w:hint="eastAsia"/>
          <w:kern w:val="28"/>
        </w:rPr>
        <w:t>自治区</w:t>
      </w:r>
      <w:r>
        <w:rPr>
          <w:rFonts w:hint="eastAsia"/>
          <w:kern w:val="28"/>
        </w:rPr>
        <w:t>人民政府</w:t>
      </w:r>
      <w:r>
        <w:rPr>
          <w:rFonts w:hint="eastAsia"/>
          <w:kern w:val="28"/>
        </w:rPr>
        <w:t>生态环境主管部门</w:t>
      </w:r>
      <w:r>
        <w:rPr>
          <w:rFonts w:hint="eastAsia"/>
          <w:kern w:val="28"/>
        </w:rPr>
        <w:t>报告，同时上报</w:t>
      </w:r>
      <w:r>
        <w:rPr>
          <w:rFonts w:hint="eastAsia"/>
          <w:kern w:val="28"/>
        </w:rPr>
        <w:t>生态</w:t>
      </w:r>
      <w:r>
        <w:rPr>
          <w:rFonts w:hint="eastAsia"/>
          <w:kern w:val="28"/>
        </w:rPr>
        <w:t>环境部。</w:t>
      </w:r>
      <w:r>
        <w:rPr>
          <w:rFonts w:hint="eastAsia"/>
          <w:kern w:val="28"/>
        </w:rPr>
        <w:t>自治区</w:t>
      </w:r>
      <w:r>
        <w:rPr>
          <w:rFonts w:hint="eastAsia"/>
          <w:kern w:val="28"/>
        </w:rPr>
        <w:t>人民政府</w:t>
      </w:r>
      <w:r>
        <w:rPr>
          <w:rFonts w:hint="eastAsia"/>
          <w:kern w:val="28"/>
        </w:rPr>
        <w:t>生态环境主管部门</w:t>
      </w:r>
      <w:r>
        <w:rPr>
          <w:rFonts w:hint="eastAsia"/>
          <w:kern w:val="28"/>
        </w:rPr>
        <w:t>接到报告后，应当进行核实并在一小时内报告</w:t>
      </w:r>
      <w:r>
        <w:rPr>
          <w:rFonts w:hint="eastAsia"/>
          <w:kern w:val="28"/>
        </w:rPr>
        <w:t>生态环境部</w:t>
      </w:r>
      <w:r>
        <w:rPr>
          <w:rFonts w:hint="eastAsia"/>
          <w:kern w:val="28"/>
        </w:rPr>
        <w:t>。</w:t>
      </w:r>
    </w:p>
    <w:p w14:paraId="6023ADE4" w14:textId="77777777" w:rsidR="003E78AB" w:rsidRDefault="00010BF9">
      <w:pPr>
        <w:ind w:firstLine="480"/>
        <w:rPr>
          <w:kern w:val="28"/>
        </w:rPr>
      </w:pPr>
      <w:r>
        <w:rPr>
          <w:rFonts w:hint="eastAsia"/>
          <w:kern w:val="28"/>
        </w:rPr>
        <w:t>按突发环境事件的可控性、严重程度和影响范围，突发环境事件的应急响应分为特别重大（Ⅰ级响应）、重大（Ⅱ级响应）、较大（Ⅲ级响应）、一般（Ⅳ级响应）四级。超出本级应急处置能力时，应及时请求上一级应急救援指挥机构启动上一级应急预案。Ⅰ级应急响应由</w:t>
      </w:r>
      <w:r>
        <w:rPr>
          <w:rFonts w:hint="eastAsia"/>
          <w:kern w:val="28"/>
        </w:rPr>
        <w:t>生态环境部</w:t>
      </w:r>
      <w:r>
        <w:rPr>
          <w:rFonts w:hint="eastAsia"/>
          <w:kern w:val="28"/>
        </w:rPr>
        <w:t>和国务院有关部门组织实施。</w:t>
      </w:r>
    </w:p>
    <w:p w14:paraId="53D2EC4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6.6.2.7</w:t>
      </w:r>
      <w:r>
        <w:rPr>
          <w:rFonts w:ascii="Times New Roman" w:hAnsi="Times New Roman" w:hint="eastAsia"/>
        </w:rPr>
        <w:t>报警、通讯联络</w:t>
      </w:r>
    </w:p>
    <w:p w14:paraId="5DBF4193" w14:textId="77777777" w:rsidR="003E78AB" w:rsidRDefault="00010BF9">
      <w:pPr>
        <w:ind w:firstLine="480"/>
        <w:rPr>
          <w:kern w:val="28"/>
        </w:rPr>
      </w:pPr>
      <w:r>
        <w:rPr>
          <w:rFonts w:hint="eastAsia"/>
          <w:kern w:val="28"/>
        </w:rPr>
        <w:t>突发环境污染事故现场人员作为第一责任人，采用最快捷的手段立即向生产部调度台报警，并向事发单位领导报告，事发单位领导组织本单位员工进行紧急处置，降低事故危害。生产部调度接到报警后立即向应急指挥负责人报告，同</w:t>
      </w:r>
      <w:r>
        <w:rPr>
          <w:rFonts w:hint="eastAsia"/>
          <w:kern w:val="28"/>
        </w:rPr>
        <w:t>时通知应急指挥部成员赶赴事故现场。应急救援指挥现场负责人，根据报警信息和现场实际情况，决定启动相应级别的应急预案，确定是否请求外部救援。同时，事故发生时，为避免周围企业员工受到伤害，建设单位应拨打周围企业的报警电话，通知相邻企业事故信息，及时采取应急措施。</w:t>
      </w:r>
    </w:p>
    <w:p w14:paraId="0D437FD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6.6.2.8</w:t>
      </w:r>
      <w:r>
        <w:rPr>
          <w:rFonts w:ascii="Times New Roman" w:hAnsi="Times New Roman" w:hint="eastAsia"/>
        </w:rPr>
        <w:t>应急撤离</w:t>
      </w:r>
    </w:p>
    <w:p w14:paraId="718B3F7A" w14:textId="77777777" w:rsidR="003E78AB" w:rsidRDefault="00010BF9">
      <w:pPr>
        <w:ind w:firstLine="480"/>
        <w:rPr>
          <w:kern w:val="28"/>
        </w:rPr>
      </w:pPr>
      <w:r>
        <w:rPr>
          <w:rFonts w:hint="eastAsia"/>
          <w:kern w:val="28"/>
        </w:rPr>
        <w:t>根据事故情况，建立警戒区域，并迅速将警戒区内与事故处理无关人员撤离。应急撤离应注意以下几点：</w:t>
      </w:r>
    </w:p>
    <w:p w14:paraId="060F2143" w14:textId="77777777" w:rsidR="003E78AB" w:rsidRDefault="00010BF9">
      <w:pPr>
        <w:ind w:firstLine="480"/>
        <w:rPr>
          <w:kern w:val="28"/>
        </w:rPr>
      </w:pPr>
      <w:r>
        <w:rPr>
          <w:rFonts w:hint="eastAsia"/>
          <w:kern w:val="28"/>
        </w:rPr>
        <w:t>（</w:t>
      </w:r>
      <w:r>
        <w:rPr>
          <w:rFonts w:hint="eastAsia"/>
          <w:kern w:val="28"/>
        </w:rPr>
        <w:t>1</w:t>
      </w:r>
      <w:r>
        <w:rPr>
          <w:rFonts w:hint="eastAsia"/>
          <w:kern w:val="28"/>
        </w:rPr>
        <w:t>）警戒区域的边界应设警示标志并有专人警戒，并进行道路交通管制；</w:t>
      </w:r>
    </w:p>
    <w:p w14:paraId="0D7BB739" w14:textId="77777777" w:rsidR="003E78AB" w:rsidRDefault="00010BF9">
      <w:pPr>
        <w:ind w:firstLine="480"/>
        <w:rPr>
          <w:kern w:val="28"/>
        </w:rPr>
      </w:pPr>
      <w:r>
        <w:rPr>
          <w:rFonts w:hint="eastAsia"/>
          <w:kern w:val="28"/>
        </w:rPr>
        <w:t>（</w:t>
      </w:r>
      <w:r>
        <w:rPr>
          <w:rFonts w:hint="eastAsia"/>
          <w:kern w:val="28"/>
        </w:rPr>
        <w:t>2</w:t>
      </w:r>
      <w:r>
        <w:rPr>
          <w:rFonts w:hint="eastAsia"/>
          <w:kern w:val="28"/>
        </w:rPr>
        <w:t>）除消防及应急人员外，其他人员禁止进入警戒区；</w:t>
      </w:r>
    </w:p>
    <w:p w14:paraId="5E30BBCE" w14:textId="77777777" w:rsidR="003E78AB" w:rsidRDefault="00010BF9">
      <w:pPr>
        <w:ind w:firstLine="480"/>
        <w:rPr>
          <w:kern w:val="28"/>
        </w:rPr>
      </w:pPr>
      <w:r>
        <w:rPr>
          <w:rFonts w:hint="eastAsia"/>
          <w:kern w:val="28"/>
        </w:rPr>
        <w:t>（</w:t>
      </w:r>
      <w:r>
        <w:rPr>
          <w:rFonts w:hint="eastAsia"/>
          <w:kern w:val="28"/>
        </w:rPr>
        <w:t>3</w:t>
      </w:r>
      <w:r>
        <w:rPr>
          <w:rFonts w:hint="eastAsia"/>
          <w:kern w:val="28"/>
        </w:rPr>
        <w:t>）应向上风向</w:t>
      </w:r>
      <w:r>
        <w:rPr>
          <w:rFonts w:hint="eastAsia"/>
          <w:kern w:val="28"/>
        </w:rPr>
        <w:t>转移，不要在低洼处停留，并查清是否有人留在污染区和着火区。</w:t>
      </w:r>
    </w:p>
    <w:p w14:paraId="0EA1AD3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6.6.2.9</w:t>
      </w:r>
      <w:r>
        <w:rPr>
          <w:rFonts w:ascii="Times New Roman" w:hAnsi="Times New Roman" w:hint="eastAsia"/>
        </w:rPr>
        <w:t>应急设施、设备与器材</w:t>
      </w:r>
    </w:p>
    <w:p w14:paraId="6B7F1FF2" w14:textId="77777777" w:rsidR="003E78AB" w:rsidRDefault="00010BF9">
      <w:pPr>
        <w:ind w:firstLine="480"/>
        <w:rPr>
          <w:kern w:val="28"/>
        </w:rPr>
      </w:pPr>
      <w:r>
        <w:rPr>
          <w:rFonts w:hint="eastAsia"/>
          <w:kern w:val="28"/>
        </w:rPr>
        <w:t>（</w:t>
      </w:r>
      <w:r>
        <w:rPr>
          <w:rFonts w:hint="eastAsia"/>
          <w:kern w:val="28"/>
        </w:rPr>
        <w:t>1</w:t>
      </w:r>
      <w:r>
        <w:rPr>
          <w:rFonts w:hint="eastAsia"/>
          <w:kern w:val="28"/>
        </w:rPr>
        <w:t>）配备一定的消防器材，如干粉、泡沫、二氧化碳、沙土等消防设施；</w:t>
      </w:r>
    </w:p>
    <w:p w14:paraId="06F9889E" w14:textId="77777777" w:rsidR="003E78AB" w:rsidRDefault="00010BF9">
      <w:pPr>
        <w:ind w:firstLine="480"/>
        <w:rPr>
          <w:kern w:val="28"/>
        </w:rPr>
      </w:pPr>
      <w:r>
        <w:rPr>
          <w:rFonts w:hint="eastAsia"/>
          <w:kern w:val="28"/>
        </w:rPr>
        <w:t>（</w:t>
      </w:r>
      <w:r>
        <w:rPr>
          <w:rFonts w:hint="eastAsia"/>
          <w:kern w:val="28"/>
        </w:rPr>
        <w:t>2</w:t>
      </w:r>
      <w:r>
        <w:rPr>
          <w:rFonts w:hint="eastAsia"/>
          <w:kern w:val="28"/>
        </w:rPr>
        <w:t>）配备一定的防毒面具和化学防护服；</w:t>
      </w:r>
    </w:p>
    <w:p w14:paraId="2DFAD90F" w14:textId="77777777" w:rsidR="003E78AB" w:rsidRDefault="00010BF9">
      <w:pPr>
        <w:ind w:firstLine="480"/>
        <w:rPr>
          <w:kern w:val="28"/>
        </w:rPr>
      </w:pPr>
      <w:r>
        <w:rPr>
          <w:rFonts w:hint="eastAsia"/>
          <w:kern w:val="28"/>
        </w:rPr>
        <w:t>（</w:t>
      </w:r>
      <w:r>
        <w:rPr>
          <w:rFonts w:hint="eastAsia"/>
          <w:kern w:val="28"/>
        </w:rPr>
        <w:t>3</w:t>
      </w:r>
      <w:r>
        <w:rPr>
          <w:rFonts w:hint="eastAsia"/>
          <w:kern w:val="28"/>
        </w:rPr>
        <w:t>）应规定应急状态下的报警通讯方式、通知方式和交通保障。</w:t>
      </w:r>
    </w:p>
    <w:p w14:paraId="0B65EF1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6.6.2.10</w:t>
      </w:r>
      <w:r>
        <w:rPr>
          <w:rFonts w:ascii="Times New Roman" w:hAnsi="Times New Roman" w:hint="eastAsia"/>
        </w:rPr>
        <w:t>应急医疗救护组织</w:t>
      </w:r>
    </w:p>
    <w:p w14:paraId="6092FD21" w14:textId="77777777" w:rsidR="003E78AB" w:rsidRDefault="00010BF9">
      <w:pPr>
        <w:ind w:firstLine="480"/>
        <w:rPr>
          <w:kern w:val="28"/>
        </w:rPr>
      </w:pPr>
      <w:r>
        <w:rPr>
          <w:rFonts w:hint="eastAsia"/>
          <w:kern w:val="28"/>
        </w:rPr>
        <w:t>应急医疗救护组织包括厂内医疗救护组织和厂外医疗机构。负责事故现场、工厂邻近区受事故影响的临近区域人员及公众对毒物应急剂量控制规定，撤离组织计划及救护。</w:t>
      </w:r>
    </w:p>
    <w:p w14:paraId="0205D3C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6.6.2.11</w:t>
      </w:r>
      <w:r>
        <w:rPr>
          <w:rFonts w:ascii="Times New Roman" w:hAnsi="Times New Roman" w:hint="eastAsia"/>
        </w:rPr>
        <w:t>应急监测系统及实施计划</w:t>
      </w:r>
    </w:p>
    <w:p w14:paraId="349A2547" w14:textId="77777777" w:rsidR="003E78AB" w:rsidRDefault="00010BF9">
      <w:pPr>
        <w:ind w:firstLine="480"/>
        <w:rPr>
          <w:kern w:val="28"/>
        </w:rPr>
      </w:pPr>
      <w:r>
        <w:rPr>
          <w:rFonts w:hint="eastAsia"/>
          <w:kern w:val="28"/>
        </w:rPr>
        <w:t>在事故发生后，环境应急事件应急监测工作可委托第三方环境监测公司负责，厂内环境监控组配合。对现场进行全天候的空气、水质等项目监控，防止大气和废水污染区扩大。按照环境污染事故的类型，分别进行大气和水环境等监测，监测频率可按每小时一次安排。监测结果需随时提供给专业指挥部，为应急决策提供支持。应急监测方案见</w:t>
      </w:r>
      <w:r>
        <w:rPr>
          <w:rFonts w:hint="eastAsia"/>
          <w:kern w:val="28"/>
        </w:rPr>
        <w:fldChar w:fldCharType="begin"/>
      </w:r>
      <w:r>
        <w:rPr>
          <w:rFonts w:hint="eastAsia"/>
          <w:kern w:val="28"/>
        </w:rPr>
        <w:instrText xml:space="preserve"> REF _Ref28613 \r \h </w:instrText>
      </w:r>
      <w:r>
        <w:rPr>
          <w:rFonts w:hint="eastAsia"/>
          <w:kern w:val="28"/>
        </w:rPr>
      </w:r>
      <w:r>
        <w:rPr>
          <w:rFonts w:hint="eastAsia"/>
          <w:kern w:val="28"/>
        </w:rPr>
        <w:fldChar w:fldCharType="separate"/>
      </w:r>
      <w:r>
        <w:rPr>
          <w:rFonts w:hint="eastAsia"/>
          <w:kern w:val="28"/>
        </w:rPr>
        <w:t>表</w:t>
      </w:r>
      <w:r>
        <w:rPr>
          <w:rFonts w:hint="eastAsia"/>
          <w:kern w:val="28"/>
        </w:rPr>
        <w:t>6-37</w:t>
      </w:r>
      <w:r>
        <w:rPr>
          <w:rFonts w:hint="eastAsia"/>
          <w:kern w:val="28"/>
        </w:rPr>
        <w:fldChar w:fldCharType="end"/>
      </w:r>
      <w:r>
        <w:rPr>
          <w:rFonts w:hint="eastAsia"/>
          <w:kern w:val="28"/>
        </w:rPr>
        <w:t>。</w:t>
      </w:r>
    </w:p>
    <w:p w14:paraId="1894E02D" w14:textId="77777777" w:rsidR="003E78AB" w:rsidRDefault="00010BF9">
      <w:pPr>
        <w:pStyle w:val="a"/>
        <w:spacing w:before="120"/>
        <w:ind w:left="425" w:hanging="425"/>
      </w:pPr>
      <w:bookmarkStart w:id="446" w:name="_Ref28613"/>
      <w:r>
        <w:t>本项目事故应急监测方案</w:t>
      </w:r>
      <w:bookmarkEnd w:id="446"/>
    </w:p>
    <w:p w14:paraId="2268DE7D" w14:textId="77777777" w:rsidR="003E78AB" w:rsidRDefault="003E78AB">
      <w:pPr>
        <w:spacing w:line="26" w:lineRule="exact"/>
        <w:ind w:firstLine="480"/>
      </w:pP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515"/>
        <w:gridCol w:w="3790"/>
        <w:gridCol w:w="1881"/>
      </w:tblGrid>
      <w:tr w:rsidR="003E78AB" w14:paraId="2E695489" w14:textId="77777777">
        <w:trPr>
          <w:trHeight w:val="417"/>
        </w:trPr>
        <w:tc>
          <w:tcPr>
            <w:tcW w:w="674" w:type="pct"/>
            <w:vAlign w:val="center"/>
          </w:tcPr>
          <w:p w14:paraId="2C2C2778" w14:textId="77777777" w:rsidR="003E78AB" w:rsidRDefault="00010BF9">
            <w:pPr>
              <w:pStyle w:val="aff6"/>
              <w:topLinePunct/>
              <w:rPr>
                <w:b/>
                <w:bCs/>
              </w:rPr>
            </w:pPr>
            <w:r>
              <w:rPr>
                <w:b/>
                <w:bCs/>
              </w:rPr>
              <w:t>类</w:t>
            </w:r>
            <w:r>
              <w:rPr>
                <w:b/>
                <w:bCs/>
              </w:rPr>
              <w:t>别</w:t>
            </w:r>
          </w:p>
        </w:tc>
        <w:tc>
          <w:tcPr>
            <w:tcW w:w="912" w:type="pct"/>
            <w:vAlign w:val="center"/>
          </w:tcPr>
          <w:p w14:paraId="34F2FA11" w14:textId="77777777" w:rsidR="003E78AB" w:rsidRDefault="00010BF9">
            <w:pPr>
              <w:pStyle w:val="aff6"/>
              <w:topLinePunct/>
              <w:rPr>
                <w:b/>
                <w:bCs/>
              </w:rPr>
            </w:pPr>
            <w:r>
              <w:rPr>
                <w:b/>
                <w:bCs/>
              </w:rPr>
              <w:t>监测点位</w:t>
            </w:r>
          </w:p>
        </w:tc>
        <w:tc>
          <w:tcPr>
            <w:tcW w:w="2280" w:type="pct"/>
            <w:vAlign w:val="center"/>
          </w:tcPr>
          <w:p w14:paraId="68701EFD" w14:textId="77777777" w:rsidR="003E78AB" w:rsidRDefault="00010BF9">
            <w:pPr>
              <w:pStyle w:val="aff6"/>
              <w:topLinePunct/>
              <w:rPr>
                <w:b/>
                <w:bCs/>
              </w:rPr>
            </w:pPr>
            <w:r>
              <w:rPr>
                <w:b/>
                <w:bCs/>
              </w:rPr>
              <w:t>监测因子</w:t>
            </w:r>
          </w:p>
        </w:tc>
        <w:tc>
          <w:tcPr>
            <w:tcW w:w="1132" w:type="pct"/>
            <w:vAlign w:val="center"/>
          </w:tcPr>
          <w:p w14:paraId="3061AE52" w14:textId="77777777" w:rsidR="003E78AB" w:rsidRDefault="00010BF9">
            <w:pPr>
              <w:pStyle w:val="aff6"/>
              <w:topLinePunct/>
              <w:rPr>
                <w:b/>
                <w:bCs/>
              </w:rPr>
            </w:pPr>
            <w:r>
              <w:rPr>
                <w:b/>
                <w:bCs/>
              </w:rPr>
              <w:t>备注</w:t>
            </w:r>
          </w:p>
        </w:tc>
      </w:tr>
      <w:tr w:rsidR="003E78AB" w14:paraId="43FA656B" w14:textId="77777777">
        <w:trPr>
          <w:trHeight w:val="644"/>
        </w:trPr>
        <w:tc>
          <w:tcPr>
            <w:tcW w:w="674" w:type="pct"/>
            <w:vAlign w:val="center"/>
          </w:tcPr>
          <w:p w14:paraId="19DCCFF5" w14:textId="77777777" w:rsidR="003E78AB" w:rsidRDefault="00010BF9">
            <w:pPr>
              <w:pStyle w:val="aff6"/>
              <w:topLinePunct/>
            </w:pPr>
            <w:r>
              <w:t>环境空气</w:t>
            </w:r>
          </w:p>
        </w:tc>
        <w:tc>
          <w:tcPr>
            <w:tcW w:w="912" w:type="pct"/>
            <w:vAlign w:val="center"/>
          </w:tcPr>
          <w:p w14:paraId="4722A8B8" w14:textId="77777777" w:rsidR="003E78AB" w:rsidRDefault="00010BF9">
            <w:pPr>
              <w:pStyle w:val="aff6"/>
              <w:topLinePunct/>
            </w:pPr>
            <w:r>
              <w:t>厂界四周、下风向最近居民点</w:t>
            </w:r>
          </w:p>
        </w:tc>
        <w:tc>
          <w:tcPr>
            <w:tcW w:w="2280" w:type="pct"/>
            <w:vAlign w:val="center"/>
          </w:tcPr>
          <w:p w14:paraId="17AF75F6" w14:textId="77777777" w:rsidR="003E78AB" w:rsidRDefault="00010BF9">
            <w:pPr>
              <w:pStyle w:val="aff6"/>
              <w:topLinePunct/>
            </w:pPr>
            <w:r>
              <w:t>颗粒物、硫酸雾</w:t>
            </w:r>
          </w:p>
        </w:tc>
        <w:tc>
          <w:tcPr>
            <w:tcW w:w="1132" w:type="pct"/>
            <w:vMerge w:val="restart"/>
            <w:vAlign w:val="center"/>
          </w:tcPr>
          <w:p w14:paraId="414D0D0C" w14:textId="77777777" w:rsidR="003E78AB" w:rsidRDefault="00010BF9">
            <w:pPr>
              <w:pStyle w:val="aff6"/>
              <w:topLinePunct/>
            </w:pPr>
            <w:r>
              <w:t>按照事故持续时间决定监测时间，根据事故严重性决定监测频次，每天监测</w:t>
            </w:r>
            <w:r>
              <w:t>1</w:t>
            </w:r>
            <w:r>
              <w:t>次，随事故控制减弱，适当减少监测频次。</w:t>
            </w:r>
          </w:p>
        </w:tc>
      </w:tr>
      <w:tr w:rsidR="003E78AB" w14:paraId="4AE13C74" w14:textId="77777777">
        <w:trPr>
          <w:trHeight w:val="1059"/>
        </w:trPr>
        <w:tc>
          <w:tcPr>
            <w:tcW w:w="674" w:type="pct"/>
            <w:vAlign w:val="center"/>
          </w:tcPr>
          <w:p w14:paraId="78118E76" w14:textId="77777777" w:rsidR="003E78AB" w:rsidRDefault="00010BF9">
            <w:pPr>
              <w:pStyle w:val="aff6"/>
              <w:topLinePunct/>
            </w:pPr>
            <w:r>
              <w:t>排水水质</w:t>
            </w:r>
          </w:p>
        </w:tc>
        <w:tc>
          <w:tcPr>
            <w:tcW w:w="912" w:type="pct"/>
            <w:vAlign w:val="center"/>
          </w:tcPr>
          <w:p w14:paraId="549347D7" w14:textId="77777777" w:rsidR="003E78AB" w:rsidRDefault="00010BF9">
            <w:pPr>
              <w:pStyle w:val="aff6"/>
              <w:topLinePunct/>
            </w:pPr>
            <w:r>
              <w:t>厂区废水总排口</w:t>
            </w:r>
          </w:p>
        </w:tc>
        <w:tc>
          <w:tcPr>
            <w:tcW w:w="2280" w:type="pct"/>
            <w:vAlign w:val="center"/>
          </w:tcPr>
          <w:p w14:paraId="3137F06D" w14:textId="77777777" w:rsidR="003E78AB" w:rsidRDefault="00010BF9">
            <w:pPr>
              <w:pStyle w:val="aff6"/>
              <w:topLinePunct/>
            </w:pPr>
            <w:r>
              <w:t>COD</w:t>
            </w:r>
            <w:r>
              <w:t>、氨氮、</w:t>
            </w:r>
            <w:r>
              <w:t>SS</w:t>
            </w:r>
            <w:r>
              <w:t>、</w:t>
            </w:r>
            <w:r>
              <w:t>BOD</w:t>
            </w:r>
            <w:r>
              <w:rPr>
                <w:vertAlign w:val="subscript"/>
              </w:rPr>
              <w:t>5</w:t>
            </w:r>
            <w:r>
              <w:t>、总磷、总氮、硫酸盐、钒</w:t>
            </w:r>
          </w:p>
        </w:tc>
        <w:tc>
          <w:tcPr>
            <w:tcW w:w="1132" w:type="pct"/>
            <w:vMerge/>
            <w:vAlign w:val="center"/>
          </w:tcPr>
          <w:p w14:paraId="4A0F5FF6" w14:textId="77777777" w:rsidR="003E78AB" w:rsidRDefault="003E78AB">
            <w:pPr>
              <w:pStyle w:val="aff6"/>
              <w:topLinePunct/>
            </w:pPr>
          </w:p>
        </w:tc>
      </w:tr>
      <w:tr w:rsidR="003E78AB" w14:paraId="179F9B44" w14:textId="77777777">
        <w:trPr>
          <w:trHeight w:val="1620"/>
        </w:trPr>
        <w:tc>
          <w:tcPr>
            <w:tcW w:w="674" w:type="pct"/>
            <w:vAlign w:val="center"/>
          </w:tcPr>
          <w:p w14:paraId="3DD9110C" w14:textId="77777777" w:rsidR="003E78AB" w:rsidRDefault="00010BF9">
            <w:pPr>
              <w:pStyle w:val="aff6"/>
              <w:topLinePunct/>
            </w:pPr>
            <w:r>
              <w:t>地下水</w:t>
            </w:r>
          </w:p>
        </w:tc>
        <w:tc>
          <w:tcPr>
            <w:tcW w:w="912" w:type="pct"/>
            <w:vAlign w:val="center"/>
          </w:tcPr>
          <w:p w14:paraId="4B6FCA35" w14:textId="77777777" w:rsidR="003E78AB" w:rsidRDefault="00010BF9">
            <w:pPr>
              <w:pStyle w:val="aff6"/>
              <w:topLinePunct/>
            </w:pPr>
            <w:r>
              <w:t>厂区及周边布设的</w:t>
            </w:r>
            <w:r>
              <w:t>3</w:t>
            </w:r>
            <w:r>
              <w:rPr>
                <w:rFonts w:hint="eastAsia"/>
              </w:rPr>
              <w:t>处</w:t>
            </w:r>
            <w:r>
              <w:t>监测</w:t>
            </w:r>
            <w:r>
              <w:rPr>
                <w:rFonts w:hint="eastAsia"/>
              </w:rPr>
              <w:t>井</w:t>
            </w:r>
          </w:p>
        </w:tc>
        <w:tc>
          <w:tcPr>
            <w:tcW w:w="2280" w:type="pct"/>
            <w:vAlign w:val="center"/>
          </w:tcPr>
          <w:p w14:paraId="1AAD2CB9" w14:textId="77777777" w:rsidR="003E78AB" w:rsidRDefault="00010BF9">
            <w:pPr>
              <w:pStyle w:val="aff6"/>
              <w:topLinePunct/>
            </w:pPr>
            <w:r>
              <w:t>pH</w:t>
            </w:r>
            <w:r>
              <w:t>、氨氮、硝酸盐、亚硝酸盐、挥发性酚类、氰化物、砷、汞、铬</w:t>
            </w:r>
            <w:r>
              <w:rPr>
                <w:rFonts w:hint="eastAsia"/>
              </w:rPr>
              <w:t>（</w:t>
            </w:r>
            <w:r>
              <w:t>六价</w:t>
            </w:r>
            <w:r>
              <w:rPr>
                <w:rFonts w:hint="eastAsia"/>
              </w:rPr>
              <w:t>）</w:t>
            </w:r>
            <w:r>
              <w:t>、总硬度、铅、氟化物、镉、铁、锰、溶解性总固体、耗氧量、硫酸盐、氯化物、总大肠菌群、细菌总数、钒</w:t>
            </w:r>
          </w:p>
        </w:tc>
        <w:tc>
          <w:tcPr>
            <w:tcW w:w="1132" w:type="pct"/>
            <w:vMerge/>
            <w:vAlign w:val="center"/>
          </w:tcPr>
          <w:p w14:paraId="0099640B" w14:textId="77777777" w:rsidR="003E78AB" w:rsidRDefault="003E78AB">
            <w:pPr>
              <w:pStyle w:val="aff6"/>
              <w:topLinePunct/>
            </w:pPr>
          </w:p>
        </w:tc>
      </w:tr>
    </w:tbl>
    <w:p w14:paraId="61144C0E" w14:textId="77777777" w:rsidR="003E78AB" w:rsidRDefault="00010BF9">
      <w:pPr>
        <w:ind w:firstLine="480"/>
        <w:rPr>
          <w:kern w:val="28"/>
        </w:rPr>
      </w:pPr>
      <w:r>
        <w:rPr>
          <w:rFonts w:hint="eastAsia"/>
          <w:kern w:val="28"/>
        </w:rPr>
        <w:t>另外，还应对事件造成的环境影响进行评估，并对受污染事件持续影响的区域进行环境状况跟踪监测，直至污染事件发生地环境状况恢复原状或长久稳定。</w:t>
      </w:r>
    </w:p>
    <w:p w14:paraId="62B69DF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6.6.2.12</w:t>
      </w:r>
      <w:r>
        <w:rPr>
          <w:rFonts w:ascii="Times New Roman" w:hAnsi="Times New Roman" w:hint="eastAsia"/>
        </w:rPr>
        <w:t>培训、演习制度及公众教育</w:t>
      </w:r>
    </w:p>
    <w:p w14:paraId="12D641CE" w14:textId="77777777" w:rsidR="003E78AB" w:rsidRDefault="00010BF9">
      <w:pPr>
        <w:pStyle w:val="5"/>
        <w:keepNext w:val="0"/>
        <w:keepLines w:val="0"/>
        <w:ind w:firstLine="482"/>
        <w:rPr>
          <w:sz w:val="24"/>
        </w:rPr>
      </w:pPr>
      <w:r>
        <w:rPr>
          <w:rFonts w:hint="eastAsia"/>
          <w:sz w:val="24"/>
        </w:rPr>
        <w:t>1.</w:t>
      </w:r>
      <w:r>
        <w:rPr>
          <w:rFonts w:hint="eastAsia"/>
          <w:sz w:val="24"/>
        </w:rPr>
        <w:t>培训</w:t>
      </w:r>
    </w:p>
    <w:p w14:paraId="40A73D19" w14:textId="77777777" w:rsidR="003E78AB" w:rsidRDefault="00010BF9">
      <w:pPr>
        <w:ind w:firstLine="480"/>
        <w:rPr>
          <w:kern w:val="28"/>
        </w:rPr>
      </w:pPr>
      <w:r>
        <w:rPr>
          <w:rFonts w:hint="eastAsia"/>
          <w:kern w:val="28"/>
        </w:rPr>
        <w:t>公司应急抢救队每半年组织一次抢险理论培训，培训人员要明确公司原料危险性、护具使用、抢险办法、紧急逃生方法并进行考核，记录在案。工段员工由工段负责每月进行应急及自救培训，生产部组织检查。</w:t>
      </w:r>
    </w:p>
    <w:p w14:paraId="6ADFC9F0" w14:textId="77777777" w:rsidR="003E78AB" w:rsidRDefault="00010BF9">
      <w:pPr>
        <w:pStyle w:val="5"/>
        <w:keepNext w:val="0"/>
        <w:keepLines w:val="0"/>
        <w:ind w:firstLine="482"/>
        <w:rPr>
          <w:sz w:val="24"/>
        </w:rPr>
      </w:pPr>
      <w:r>
        <w:rPr>
          <w:rFonts w:hint="eastAsia"/>
          <w:sz w:val="24"/>
        </w:rPr>
        <w:t>2.</w:t>
      </w:r>
      <w:r>
        <w:rPr>
          <w:rFonts w:hint="eastAsia"/>
          <w:sz w:val="24"/>
        </w:rPr>
        <w:t>演习</w:t>
      </w:r>
    </w:p>
    <w:p w14:paraId="2652DE92" w14:textId="77777777" w:rsidR="003E78AB" w:rsidRDefault="00010BF9">
      <w:pPr>
        <w:ind w:firstLine="480"/>
        <w:rPr>
          <w:kern w:val="28"/>
        </w:rPr>
      </w:pPr>
      <w:r>
        <w:rPr>
          <w:rFonts w:hint="eastAsia"/>
          <w:kern w:val="28"/>
        </w:rPr>
        <w:t>①专项演习为针对应急响应系统某个环节进行演习，以进一步完善公司应急反应能力，也可增加应急人员熟悉应急行动的机会。公司每年至少组</w:t>
      </w:r>
      <w:r>
        <w:rPr>
          <w:rFonts w:hint="eastAsia"/>
          <w:kern w:val="28"/>
        </w:rPr>
        <w:t>织一次。</w:t>
      </w:r>
    </w:p>
    <w:p w14:paraId="54314D8C" w14:textId="77777777" w:rsidR="003E78AB" w:rsidRDefault="00010BF9">
      <w:pPr>
        <w:ind w:firstLine="480"/>
        <w:rPr>
          <w:kern w:val="28"/>
        </w:rPr>
      </w:pPr>
      <w:r>
        <w:rPr>
          <w:rFonts w:hint="eastAsia"/>
          <w:kern w:val="28"/>
        </w:rPr>
        <w:t>②应急全过程演习为全面、系统的演习，以检验整个应急响应系统各环节的有效性。按应急响应程序进行公司各级突发环境事件模拟事故应急的全过程演习。每年至少组织一次。</w:t>
      </w:r>
    </w:p>
    <w:p w14:paraId="0278CAC8" w14:textId="77777777" w:rsidR="003E78AB" w:rsidRDefault="00010BF9">
      <w:pPr>
        <w:pStyle w:val="5"/>
        <w:keepNext w:val="0"/>
        <w:keepLines w:val="0"/>
        <w:ind w:firstLine="482"/>
        <w:rPr>
          <w:sz w:val="24"/>
        </w:rPr>
      </w:pPr>
      <w:r>
        <w:rPr>
          <w:rFonts w:hint="eastAsia"/>
          <w:sz w:val="24"/>
        </w:rPr>
        <w:t>3.</w:t>
      </w:r>
      <w:r>
        <w:rPr>
          <w:rFonts w:hint="eastAsia"/>
          <w:sz w:val="24"/>
        </w:rPr>
        <w:t>公众教育</w:t>
      </w:r>
    </w:p>
    <w:p w14:paraId="6F0802BE" w14:textId="77777777" w:rsidR="003E78AB" w:rsidRDefault="00010BF9">
      <w:pPr>
        <w:ind w:firstLine="480"/>
        <w:rPr>
          <w:kern w:val="28"/>
        </w:rPr>
      </w:pPr>
      <w:r>
        <w:rPr>
          <w:rFonts w:hint="eastAsia"/>
          <w:kern w:val="28"/>
        </w:rPr>
        <w:t>针对公司可能发生的事故，每年进行一次社区和周边人员应急响应的自身宣传活动。宣传内容：</w:t>
      </w:r>
    </w:p>
    <w:p w14:paraId="215E13AF" w14:textId="77777777" w:rsidR="003E78AB" w:rsidRDefault="00010BF9">
      <w:pPr>
        <w:ind w:firstLine="480"/>
        <w:rPr>
          <w:kern w:val="28"/>
        </w:rPr>
      </w:pPr>
      <w:r>
        <w:rPr>
          <w:rFonts w:hint="eastAsia"/>
          <w:kern w:val="28"/>
        </w:rPr>
        <w:t>①公司生产中存在的污染物和危险化学品的特性、健康危害、防护知识等。</w:t>
      </w:r>
    </w:p>
    <w:p w14:paraId="3125F744" w14:textId="77777777" w:rsidR="003E78AB" w:rsidRDefault="00010BF9">
      <w:pPr>
        <w:ind w:firstLine="480"/>
        <w:rPr>
          <w:kern w:val="28"/>
        </w:rPr>
      </w:pPr>
      <w:r>
        <w:rPr>
          <w:rFonts w:hint="eastAsia"/>
          <w:kern w:val="28"/>
        </w:rPr>
        <w:t>②公司可能发生环境污染事件、危险化学品泄漏事故能够导致的危害和污染；在什么条件下，必须对社区和周边人员进行转移疏散。</w:t>
      </w:r>
    </w:p>
    <w:p w14:paraId="188BCB9D" w14:textId="77777777" w:rsidR="003E78AB" w:rsidRDefault="00010BF9">
      <w:pPr>
        <w:ind w:firstLine="480"/>
        <w:rPr>
          <w:kern w:val="28"/>
        </w:rPr>
      </w:pPr>
      <w:r>
        <w:rPr>
          <w:rFonts w:hint="eastAsia"/>
          <w:kern w:val="28"/>
        </w:rPr>
        <w:t>③人员转移、疏散的原则以及转移过程中的安全注意事项。</w:t>
      </w:r>
    </w:p>
    <w:p w14:paraId="460F0CB1" w14:textId="77777777" w:rsidR="003E78AB" w:rsidRDefault="00010BF9">
      <w:pPr>
        <w:ind w:firstLine="480"/>
        <w:rPr>
          <w:kern w:val="28"/>
        </w:rPr>
      </w:pPr>
      <w:r>
        <w:rPr>
          <w:rFonts w:hint="eastAsia"/>
          <w:kern w:val="28"/>
        </w:rPr>
        <w:t>④对</w:t>
      </w:r>
      <w:r>
        <w:rPr>
          <w:rFonts w:hint="eastAsia"/>
          <w:kern w:val="28"/>
        </w:rPr>
        <w:t>因事故而导致的污染和伤害的处理方法。</w:t>
      </w:r>
    </w:p>
    <w:p w14:paraId="4A66C72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6.6.2.13</w:t>
      </w:r>
      <w:r>
        <w:rPr>
          <w:rFonts w:ascii="Times New Roman" w:hAnsi="Times New Roman" w:hint="eastAsia"/>
        </w:rPr>
        <w:t>园区应急预案的对接及联动</w:t>
      </w:r>
    </w:p>
    <w:p w14:paraId="63F30FBD" w14:textId="77777777" w:rsidR="003E78AB" w:rsidRDefault="00010BF9">
      <w:pPr>
        <w:ind w:firstLine="480"/>
        <w:rPr>
          <w:kern w:val="28"/>
        </w:rPr>
      </w:pPr>
      <w:r>
        <w:rPr>
          <w:rFonts w:hint="eastAsia"/>
          <w:kern w:val="28"/>
        </w:rPr>
        <w:t>本项目应将污染事件分为二级，一级为事故的事态较为严重，公司应急救援能力不能完全控制事态的污染事故，二级为公司的应急救援能力完全可以控制的环境污染事件。</w:t>
      </w:r>
    </w:p>
    <w:p w14:paraId="7EAFA710" w14:textId="77777777" w:rsidR="003E78AB" w:rsidRDefault="00010BF9">
      <w:pPr>
        <w:ind w:firstLine="480"/>
        <w:rPr>
          <w:kern w:val="28"/>
        </w:rPr>
      </w:pPr>
      <w:r>
        <w:rPr>
          <w:rFonts w:hint="eastAsia"/>
          <w:kern w:val="28"/>
        </w:rPr>
        <w:t>发生一级污染事件，企业应急指挥机构应立即组织进行先期处置工作，同时应在第一时间（最迟不超过半小时）向园区突发公共事件应急指挥机构或突发环境污染事件应急指挥机构报告，或拨打</w:t>
      </w:r>
      <w:r>
        <w:rPr>
          <w:rFonts w:hint="eastAsia"/>
          <w:kern w:val="28"/>
        </w:rPr>
        <w:t>110</w:t>
      </w:r>
      <w:r>
        <w:rPr>
          <w:rFonts w:hint="eastAsia"/>
          <w:kern w:val="28"/>
        </w:rPr>
        <w:t>、</w:t>
      </w:r>
      <w:r>
        <w:rPr>
          <w:rFonts w:hint="eastAsia"/>
          <w:kern w:val="28"/>
        </w:rPr>
        <w:t>119</w:t>
      </w:r>
      <w:r>
        <w:rPr>
          <w:rFonts w:hint="eastAsia"/>
          <w:kern w:val="28"/>
        </w:rPr>
        <w:t>。要认真记录事件发生的时间、地点、单位、原因、伤亡损失情况等内容，进行核实后立即通知园区突发公共事件应急指挥机构或突发环境污染事件应急指挥机构。</w:t>
      </w:r>
    </w:p>
    <w:p w14:paraId="33A9161C" w14:textId="77777777" w:rsidR="003E78AB" w:rsidRDefault="00010BF9">
      <w:pPr>
        <w:ind w:firstLine="480"/>
        <w:rPr>
          <w:kern w:val="28"/>
        </w:rPr>
      </w:pPr>
      <w:r>
        <w:rPr>
          <w:rFonts w:hint="eastAsia"/>
          <w:kern w:val="28"/>
        </w:rPr>
        <w:t>发生二级污染事件，企业在及时启动二级应急预案对事故进行妥善处理的同时，应将事故情况向有关部门汇报。</w:t>
      </w:r>
    </w:p>
    <w:p w14:paraId="78C20F6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6.6.2.14</w:t>
      </w:r>
      <w:r>
        <w:rPr>
          <w:rFonts w:ascii="Times New Roman" w:hAnsi="Times New Roman" w:hint="eastAsia"/>
        </w:rPr>
        <w:t>其他有关规定和要求</w:t>
      </w:r>
    </w:p>
    <w:p w14:paraId="47D5DD73" w14:textId="77777777" w:rsidR="003E78AB" w:rsidRDefault="00010BF9">
      <w:pPr>
        <w:ind w:firstLine="480"/>
        <w:rPr>
          <w:kern w:val="28"/>
        </w:rPr>
      </w:pPr>
      <w:r>
        <w:rPr>
          <w:rFonts w:hint="eastAsia"/>
          <w:kern w:val="28"/>
        </w:rPr>
        <w:t>（</w:t>
      </w:r>
      <w:r>
        <w:rPr>
          <w:rFonts w:hint="eastAsia"/>
          <w:kern w:val="28"/>
        </w:rPr>
        <w:t>1</w:t>
      </w:r>
      <w:r>
        <w:rPr>
          <w:rFonts w:hint="eastAsia"/>
          <w:kern w:val="28"/>
        </w:rPr>
        <w:t>）按照本节内容要求落实应急救援组织，每年初</w:t>
      </w:r>
      <w:r>
        <w:rPr>
          <w:rFonts w:hint="eastAsia"/>
          <w:kern w:val="28"/>
        </w:rPr>
        <w:t>要根据人员变化进行组织调整，确保救援组织的落实。</w:t>
      </w:r>
    </w:p>
    <w:p w14:paraId="729D6881" w14:textId="77777777" w:rsidR="003E78AB" w:rsidRDefault="00010BF9">
      <w:pPr>
        <w:ind w:firstLine="480"/>
        <w:rPr>
          <w:kern w:val="28"/>
        </w:rPr>
      </w:pPr>
      <w:r>
        <w:rPr>
          <w:rFonts w:hint="eastAsia"/>
          <w:kern w:val="28"/>
        </w:rPr>
        <w:t>（</w:t>
      </w:r>
      <w:r>
        <w:rPr>
          <w:rFonts w:hint="eastAsia"/>
          <w:kern w:val="28"/>
        </w:rPr>
        <w:t>2</w:t>
      </w:r>
      <w:r>
        <w:rPr>
          <w:rFonts w:hint="eastAsia"/>
          <w:kern w:val="28"/>
        </w:rPr>
        <w:t>）按照任务分工做好物资器材准备，如：必要的指挥通讯、报警、洗消、消防、抢修等器材及交通工具。上述各种器材应指定专人保管，并定期检查保养，使其处于良好状态，各重点目标设救援器材柜，专人保管以备急用。</w:t>
      </w:r>
    </w:p>
    <w:p w14:paraId="1BBF1400" w14:textId="77777777" w:rsidR="003E78AB" w:rsidRDefault="00010BF9">
      <w:pPr>
        <w:ind w:firstLine="480"/>
        <w:rPr>
          <w:kern w:val="28"/>
        </w:rPr>
      </w:pPr>
      <w:r>
        <w:rPr>
          <w:rFonts w:hint="eastAsia"/>
          <w:kern w:val="28"/>
        </w:rPr>
        <w:t>（</w:t>
      </w:r>
      <w:r>
        <w:rPr>
          <w:rFonts w:hint="eastAsia"/>
          <w:kern w:val="28"/>
        </w:rPr>
        <w:t>3</w:t>
      </w:r>
      <w:r>
        <w:rPr>
          <w:rFonts w:hint="eastAsia"/>
          <w:kern w:val="28"/>
        </w:rPr>
        <w:t>）定期组织救援训练和学习，提高指挥水平和救援能力。</w:t>
      </w:r>
    </w:p>
    <w:p w14:paraId="0C6F16A6" w14:textId="77777777" w:rsidR="003E78AB" w:rsidRDefault="00010BF9">
      <w:pPr>
        <w:ind w:firstLine="480"/>
        <w:rPr>
          <w:kern w:val="28"/>
        </w:rPr>
      </w:pPr>
      <w:r>
        <w:rPr>
          <w:rFonts w:hint="eastAsia"/>
          <w:kern w:val="28"/>
        </w:rPr>
        <w:t>（</w:t>
      </w:r>
      <w:r>
        <w:rPr>
          <w:rFonts w:hint="eastAsia"/>
          <w:kern w:val="28"/>
        </w:rPr>
        <w:t>4</w:t>
      </w:r>
      <w:r>
        <w:rPr>
          <w:rFonts w:hint="eastAsia"/>
          <w:kern w:val="28"/>
        </w:rPr>
        <w:t>）对全厂职工进行经常性的救援常识教育。</w:t>
      </w:r>
    </w:p>
    <w:p w14:paraId="1CC49F32" w14:textId="77777777" w:rsidR="003E78AB" w:rsidRDefault="00010BF9">
      <w:pPr>
        <w:ind w:firstLine="480"/>
        <w:rPr>
          <w:kern w:val="28"/>
        </w:rPr>
      </w:pPr>
      <w:r>
        <w:rPr>
          <w:rFonts w:hint="eastAsia"/>
          <w:kern w:val="28"/>
        </w:rPr>
        <w:t>（</w:t>
      </w:r>
      <w:r>
        <w:rPr>
          <w:rFonts w:hint="eastAsia"/>
          <w:kern w:val="28"/>
        </w:rPr>
        <w:t>5</w:t>
      </w:r>
      <w:r>
        <w:rPr>
          <w:rFonts w:hint="eastAsia"/>
          <w:kern w:val="28"/>
        </w:rPr>
        <w:t>）建立完善各项制度：</w:t>
      </w:r>
    </w:p>
    <w:p w14:paraId="3E1C002E" w14:textId="77777777" w:rsidR="003E78AB" w:rsidRDefault="00010BF9">
      <w:pPr>
        <w:ind w:firstLine="480"/>
        <w:rPr>
          <w:kern w:val="28"/>
        </w:rPr>
      </w:pPr>
      <w:r>
        <w:rPr>
          <w:rFonts w:hint="eastAsia"/>
          <w:kern w:val="28"/>
        </w:rPr>
        <w:t>①建立昼夜值班制度，指定预案责任人和备选联系人。</w:t>
      </w:r>
    </w:p>
    <w:p w14:paraId="533FB555" w14:textId="77777777" w:rsidR="003E78AB" w:rsidRDefault="00010BF9">
      <w:pPr>
        <w:ind w:firstLine="480"/>
        <w:rPr>
          <w:kern w:val="28"/>
        </w:rPr>
      </w:pPr>
      <w:r>
        <w:rPr>
          <w:rFonts w:hint="eastAsia"/>
          <w:kern w:val="28"/>
        </w:rPr>
        <w:t>②建立检查制度，每月结合安全生产工作检查，定期检查应急救援工作落实情况及器具保管情况</w:t>
      </w:r>
      <w:r>
        <w:rPr>
          <w:rFonts w:hint="eastAsia"/>
          <w:kern w:val="28"/>
        </w:rPr>
        <w:t>，并组织应急预案演习。</w:t>
      </w:r>
    </w:p>
    <w:p w14:paraId="4E1C68CD" w14:textId="77777777" w:rsidR="003E78AB" w:rsidRDefault="00010BF9">
      <w:pPr>
        <w:ind w:firstLine="480"/>
        <w:rPr>
          <w:kern w:val="28"/>
        </w:rPr>
      </w:pPr>
      <w:r>
        <w:rPr>
          <w:rFonts w:hint="eastAsia"/>
          <w:kern w:val="28"/>
        </w:rPr>
        <w:t>③建立例会制度，每季度第一个月的第一周召开领导小组成员和救援队负责人会议，研究应急救援工作。</w:t>
      </w:r>
    </w:p>
    <w:p w14:paraId="32ED6208" w14:textId="77777777" w:rsidR="003E78AB" w:rsidRDefault="00010BF9">
      <w:pPr>
        <w:ind w:firstLine="480"/>
        <w:rPr>
          <w:kern w:val="28"/>
        </w:rPr>
      </w:pPr>
      <w:r>
        <w:rPr>
          <w:rFonts w:hint="eastAsia"/>
          <w:kern w:val="28"/>
        </w:rPr>
        <w:t>④总结评比工作，与安全生产工作同检查、同讲评、同表彰奖励。</w:t>
      </w:r>
    </w:p>
    <w:p w14:paraId="57D6936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6.6.2.15</w:t>
      </w:r>
      <w:r>
        <w:rPr>
          <w:rFonts w:ascii="Times New Roman" w:hAnsi="Times New Roman" w:hint="eastAsia"/>
        </w:rPr>
        <w:t>加强保备设施安全生产</w:t>
      </w:r>
    </w:p>
    <w:p w14:paraId="5DE2206C" w14:textId="77777777" w:rsidR="003E78AB" w:rsidRDefault="00010BF9">
      <w:pPr>
        <w:ind w:firstLine="480"/>
        <w:rPr>
          <w:kern w:val="28"/>
        </w:rPr>
      </w:pPr>
      <w:r>
        <w:rPr>
          <w:rFonts w:hint="eastAsia"/>
          <w:kern w:val="28"/>
        </w:rPr>
        <w:t>在本项目建设和运营过程中认真落实国务院安委会办公室、生态环境部、应急管理部联合印发的《关于进一步加强环保设备设施安全生产工作的通知》（安委办明电〔</w:t>
      </w:r>
      <w:r>
        <w:rPr>
          <w:rFonts w:hint="eastAsia"/>
          <w:kern w:val="28"/>
        </w:rPr>
        <w:t>2022</w:t>
      </w:r>
      <w:r>
        <w:rPr>
          <w:rFonts w:hint="eastAsia"/>
          <w:kern w:val="28"/>
        </w:rPr>
        <w:t>〕</w:t>
      </w:r>
      <w:r>
        <w:rPr>
          <w:rFonts w:hint="eastAsia"/>
          <w:kern w:val="28"/>
        </w:rPr>
        <w:t>17</w:t>
      </w:r>
      <w:r>
        <w:rPr>
          <w:rFonts w:hint="eastAsia"/>
          <w:kern w:val="28"/>
        </w:rPr>
        <w:t>号）等相关文件要求。主要建议如下：</w:t>
      </w:r>
    </w:p>
    <w:p w14:paraId="4702C40C" w14:textId="77777777" w:rsidR="003E78AB" w:rsidRDefault="00010BF9">
      <w:pPr>
        <w:ind w:firstLine="480"/>
        <w:rPr>
          <w:kern w:val="28"/>
        </w:rPr>
      </w:pPr>
      <w:r>
        <w:rPr>
          <w:rFonts w:hint="eastAsia"/>
          <w:kern w:val="28"/>
        </w:rPr>
        <w:t>（</w:t>
      </w:r>
      <w:r>
        <w:rPr>
          <w:rFonts w:hint="eastAsia"/>
          <w:kern w:val="28"/>
        </w:rPr>
        <w:t>1</w:t>
      </w:r>
      <w:r>
        <w:rPr>
          <w:rFonts w:hint="eastAsia"/>
          <w:kern w:val="28"/>
        </w:rPr>
        <w:t>）进一步落实企业主体责任。企业主要负责人应严格履行第一责任人责任，将环保设备设施安全作为企业安全</w:t>
      </w:r>
      <w:r>
        <w:rPr>
          <w:rFonts w:hint="eastAsia"/>
          <w:kern w:val="28"/>
        </w:rPr>
        <w:t>管理的重要组成部分，全面负责落实本单位的环保设备设施安全生产工作。</w:t>
      </w:r>
    </w:p>
    <w:p w14:paraId="5027E104" w14:textId="77777777" w:rsidR="003E78AB" w:rsidRDefault="00010BF9">
      <w:pPr>
        <w:ind w:firstLine="480"/>
        <w:rPr>
          <w:kern w:val="28"/>
        </w:rPr>
      </w:pPr>
      <w:r>
        <w:rPr>
          <w:rFonts w:hint="eastAsia"/>
          <w:kern w:val="28"/>
        </w:rPr>
        <w:t>（</w:t>
      </w:r>
      <w:r>
        <w:rPr>
          <w:rFonts w:hint="eastAsia"/>
          <w:kern w:val="28"/>
        </w:rPr>
        <w:t>2</w:t>
      </w:r>
      <w:r>
        <w:rPr>
          <w:rFonts w:hint="eastAsia"/>
          <w:kern w:val="28"/>
        </w:rPr>
        <w:t>）严格落实涉环保设备设施新、改、扩建项目环保和安全“三同时”有关要求，委托有资质的设计单位进行正规设计，在选用污染防治技术时要充分考虑安全因素；在环保设备设施改造中必须依法开展安全风险评估，按要求设置安全监测监控系统和联锁保护装置，做好安全防范。</w:t>
      </w:r>
    </w:p>
    <w:p w14:paraId="24F03C6F" w14:textId="77777777" w:rsidR="003E78AB" w:rsidRDefault="00010BF9">
      <w:pPr>
        <w:ind w:firstLine="480"/>
        <w:rPr>
          <w:kern w:val="28"/>
        </w:rPr>
      </w:pPr>
      <w:r>
        <w:rPr>
          <w:rFonts w:hint="eastAsia"/>
          <w:kern w:val="28"/>
        </w:rPr>
        <w:t>（</w:t>
      </w:r>
      <w:r>
        <w:rPr>
          <w:rFonts w:hint="eastAsia"/>
          <w:kern w:val="28"/>
        </w:rPr>
        <w:t>3</w:t>
      </w:r>
      <w:r>
        <w:rPr>
          <w:rFonts w:hint="eastAsia"/>
          <w:kern w:val="28"/>
        </w:rPr>
        <w:t>）对涉环保设备设施相关岗位人员进行操作规程、风险管控、应急处置、典型事故警示等专项安全培训教育。开展环保设备设施安全风险辨识评估，系统排查隐患，依法建立隐患整改台账，明确整改责任人、措施、</w:t>
      </w:r>
      <w:r>
        <w:rPr>
          <w:rFonts w:hint="eastAsia"/>
          <w:kern w:val="28"/>
        </w:rPr>
        <w:t>资金、时限和应急救援预案，及时消除隐患。</w:t>
      </w:r>
    </w:p>
    <w:p w14:paraId="2F4B29F8" w14:textId="77777777" w:rsidR="003E78AB" w:rsidRDefault="00010BF9">
      <w:pPr>
        <w:ind w:firstLine="480"/>
        <w:rPr>
          <w:kern w:val="28"/>
        </w:rPr>
      </w:pPr>
      <w:r>
        <w:rPr>
          <w:rFonts w:hint="eastAsia"/>
          <w:kern w:val="28"/>
        </w:rPr>
        <w:t>（</w:t>
      </w:r>
      <w:r>
        <w:rPr>
          <w:rFonts w:hint="eastAsia"/>
          <w:kern w:val="28"/>
        </w:rPr>
        <w:t>4</w:t>
      </w:r>
      <w:r>
        <w:rPr>
          <w:rFonts w:hint="eastAsia"/>
          <w:kern w:val="28"/>
        </w:rPr>
        <w:t>）认真落实相关技术标准规范，严格执行吊装、动火、高处等危险作业审批制度，加强有限空间、检维修作业安全管理，采取有效隔离措施，实施现场安全监护和科学施救。对受委托开展环保设备设施建设、运营和检维修第三方的安全生产工作进行统一协调、管理，定期进行安全检查，发现安全问题的，及时督促整改，不得“一包了之</w:t>
      </w:r>
      <w:r>
        <w:rPr>
          <w:rFonts w:hint="eastAsia"/>
          <w:kern w:val="28"/>
        </w:rPr>
        <w:t>"</w:t>
      </w:r>
      <w:r>
        <w:rPr>
          <w:rFonts w:hint="eastAsia"/>
          <w:kern w:val="28"/>
        </w:rPr>
        <w:t>，不管不问。</w:t>
      </w:r>
    </w:p>
    <w:p w14:paraId="7195D90C" w14:textId="77777777" w:rsidR="003E78AB" w:rsidRDefault="00010BF9">
      <w:pPr>
        <w:pStyle w:val="24"/>
        <w:keepNext w:val="0"/>
        <w:keepLines w:val="0"/>
        <w:topLinePunct/>
        <w:spacing w:before="120"/>
        <w:rPr>
          <w:rFonts w:cs="Times New Roman"/>
        </w:rPr>
      </w:pPr>
      <w:bookmarkStart w:id="447" w:name="_Toc2724"/>
      <w:r>
        <w:rPr>
          <w:rFonts w:cs="Times New Roman" w:hint="eastAsia"/>
        </w:rPr>
        <w:t>6.7</w:t>
      </w:r>
      <w:r>
        <w:rPr>
          <w:rFonts w:cs="Times New Roman" w:hint="eastAsia"/>
        </w:rPr>
        <w:t>风险防范、应急设施及投资估算</w:t>
      </w:r>
      <w:bookmarkEnd w:id="447"/>
    </w:p>
    <w:p w14:paraId="1CB485EA" w14:textId="77777777" w:rsidR="003E78AB" w:rsidRDefault="00010BF9">
      <w:pPr>
        <w:ind w:firstLine="480"/>
        <w:rPr>
          <w:kern w:val="28"/>
        </w:rPr>
      </w:pPr>
      <w:r>
        <w:rPr>
          <w:rFonts w:hint="eastAsia"/>
          <w:kern w:val="28"/>
        </w:rPr>
        <w:t>本项目主要事故防范及应急措施及投资估算见</w:t>
      </w:r>
      <w:r>
        <w:rPr>
          <w:rFonts w:hint="eastAsia"/>
          <w:kern w:val="28"/>
        </w:rPr>
        <w:fldChar w:fldCharType="begin"/>
      </w:r>
      <w:r>
        <w:rPr>
          <w:rFonts w:hint="eastAsia"/>
          <w:kern w:val="28"/>
        </w:rPr>
        <w:instrText xml:space="preserve"> REF _Ref6701 \r \h </w:instrText>
      </w:r>
      <w:r>
        <w:rPr>
          <w:rFonts w:hint="eastAsia"/>
          <w:kern w:val="28"/>
        </w:rPr>
      </w:r>
      <w:r>
        <w:rPr>
          <w:rFonts w:hint="eastAsia"/>
          <w:kern w:val="28"/>
        </w:rPr>
        <w:fldChar w:fldCharType="separate"/>
      </w:r>
      <w:r>
        <w:rPr>
          <w:rFonts w:hint="eastAsia"/>
          <w:kern w:val="28"/>
        </w:rPr>
        <w:t>表</w:t>
      </w:r>
      <w:r>
        <w:rPr>
          <w:rFonts w:hint="eastAsia"/>
          <w:kern w:val="28"/>
        </w:rPr>
        <w:t>6-38</w:t>
      </w:r>
      <w:r>
        <w:rPr>
          <w:rFonts w:hint="eastAsia"/>
          <w:kern w:val="28"/>
        </w:rPr>
        <w:fldChar w:fldCharType="end"/>
      </w:r>
      <w:r>
        <w:rPr>
          <w:rFonts w:hint="eastAsia"/>
          <w:kern w:val="28"/>
        </w:rPr>
        <w:t>。</w:t>
      </w:r>
    </w:p>
    <w:p w14:paraId="548232DB" w14:textId="77777777" w:rsidR="003E78AB" w:rsidRDefault="00010BF9">
      <w:pPr>
        <w:pStyle w:val="a"/>
        <w:spacing w:before="120"/>
        <w:ind w:left="425" w:hanging="425"/>
      </w:pPr>
      <w:bookmarkStart w:id="448" w:name="_Ref6701"/>
      <w:r>
        <w:t>风险事故应急措施和设施投资估算一览表</w:t>
      </w:r>
      <w:bookmarkEnd w:id="448"/>
    </w:p>
    <w:p w14:paraId="21E5D506" w14:textId="77777777" w:rsidR="003E78AB" w:rsidRDefault="003E78AB">
      <w:pPr>
        <w:spacing w:line="25" w:lineRule="exact"/>
        <w:ind w:firstLine="480"/>
      </w:pPr>
    </w:p>
    <w:tbl>
      <w:tblPr>
        <w:tblStyle w:val="TableNormal"/>
        <w:tblW w:w="50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5030"/>
        <w:gridCol w:w="1722"/>
      </w:tblGrid>
      <w:tr w:rsidR="003E78AB" w14:paraId="146F5C21" w14:textId="77777777">
        <w:trPr>
          <w:trHeight w:val="563"/>
          <w:tblHeader/>
        </w:trPr>
        <w:tc>
          <w:tcPr>
            <w:tcW w:w="940" w:type="pct"/>
            <w:vAlign w:val="center"/>
          </w:tcPr>
          <w:p w14:paraId="092A1C60" w14:textId="77777777" w:rsidR="003E78AB" w:rsidRDefault="00010BF9">
            <w:pPr>
              <w:pStyle w:val="aff6"/>
              <w:topLinePunct/>
              <w:rPr>
                <w:b/>
                <w:bCs/>
              </w:rPr>
            </w:pPr>
            <w:r>
              <w:rPr>
                <w:b/>
                <w:bCs/>
              </w:rPr>
              <w:t>项目</w:t>
            </w:r>
          </w:p>
        </w:tc>
        <w:tc>
          <w:tcPr>
            <w:tcW w:w="3023" w:type="pct"/>
            <w:vAlign w:val="center"/>
          </w:tcPr>
          <w:p w14:paraId="2F8F5682" w14:textId="77777777" w:rsidR="003E78AB" w:rsidRDefault="00010BF9">
            <w:pPr>
              <w:pStyle w:val="aff6"/>
              <w:topLinePunct/>
              <w:rPr>
                <w:b/>
                <w:bCs/>
              </w:rPr>
            </w:pPr>
            <w:r>
              <w:rPr>
                <w:b/>
                <w:bCs/>
              </w:rPr>
              <w:t>主要设施</w:t>
            </w:r>
          </w:p>
        </w:tc>
        <w:tc>
          <w:tcPr>
            <w:tcW w:w="1035" w:type="pct"/>
            <w:vAlign w:val="center"/>
          </w:tcPr>
          <w:p w14:paraId="28F68595" w14:textId="77777777" w:rsidR="003E78AB" w:rsidRDefault="00010BF9">
            <w:pPr>
              <w:pStyle w:val="aff6"/>
              <w:topLinePunct/>
              <w:rPr>
                <w:b/>
                <w:bCs/>
              </w:rPr>
            </w:pPr>
            <w:r>
              <w:rPr>
                <w:b/>
                <w:bCs/>
              </w:rPr>
              <w:t>投资</w:t>
            </w:r>
            <w:r>
              <w:rPr>
                <w:rFonts w:hint="eastAsia"/>
                <w:b/>
                <w:bCs/>
              </w:rPr>
              <w:t>（</w:t>
            </w:r>
            <w:r>
              <w:rPr>
                <w:b/>
                <w:bCs/>
              </w:rPr>
              <w:t>万元</w:t>
            </w:r>
            <w:r>
              <w:rPr>
                <w:rFonts w:hint="eastAsia"/>
                <w:b/>
                <w:bCs/>
              </w:rPr>
              <w:t>）</w:t>
            </w:r>
          </w:p>
        </w:tc>
      </w:tr>
      <w:tr w:rsidR="003E78AB" w14:paraId="3C498CA9" w14:textId="77777777">
        <w:trPr>
          <w:trHeight w:val="402"/>
        </w:trPr>
        <w:tc>
          <w:tcPr>
            <w:tcW w:w="940" w:type="pct"/>
            <w:vMerge w:val="restart"/>
            <w:vAlign w:val="center"/>
          </w:tcPr>
          <w:p w14:paraId="0F2E1DE8" w14:textId="77777777" w:rsidR="003E78AB" w:rsidRDefault="00010BF9">
            <w:pPr>
              <w:pStyle w:val="aff6"/>
              <w:topLinePunct/>
            </w:pPr>
            <w:r>
              <w:t>废水防护设施</w:t>
            </w:r>
          </w:p>
        </w:tc>
        <w:tc>
          <w:tcPr>
            <w:tcW w:w="3023" w:type="pct"/>
            <w:vAlign w:val="center"/>
          </w:tcPr>
          <w:p w14:paraId="773DFE6E" w14:textId="77777777" w:rsidR="003E78AB" w:rsidRDefault="00010BF9">
            <w:pPr>
              <w:pStyle w:val="aff6"/>
              <w:topLinePunct/>
            </w:pPr>
            <w:r>
              <w:rPr>
                <w:rFonts w:hint="eastAsia"/>
              </w:rPr>
              <w:t>90</w:t>
            </w:r>
            <w:r>
              <w:t>0m</w:t>
            </w:r>
            <w:r>
              <w:rPr>
                <w:vertAlign w:val="superscript"/>
              </w:rPr>
              <w:t>3</w:t>
            </w:r>
            <w:r>
              <w:t>事故池</w:t>
            </w:r>
          </w:p>
        </w:tc>
        <w:tc>
          <w:tcPr>
            <w:tcW w:w="1035" w:type="pct"/>
            <w:vAlign w:val="center"/>
          </w:tcPr>
          <w:p w14:paraId="2056C829" w14:textId="77777777" w:rsidR="003E78AB" w:rsidRDefault="00010BF9">
            <w:pPr>
              <w:pStyle w:val="aff6"/>
              <w:topLinePunct/>
            </w:pPr>
            <w:r>
              <w:rPr>
                <w:rFonts w:hint="eastAsia"/>
              </w:rPr>
              <w:t>500</w:t>
            </w:r>
          </w:p>
        </w:tc>
      </w:tr>
      <w:tr w:rsidR="003E78AB" w14:paraId="4D692DA4" w14:textId="77777777">
        <w:trPr>
          <w:trHeight w:val="402"/>
        </w:trPr>
        <w:tc>
          <w:tcPr>
            <w:tcW w:w="940" w:type="pct"/>
            <w:vMerge/>
            <w:vAlign w:val="center"/>
          </w:tcPr>
          <w:p w14:paraId="6CA5F8F9" w14:textId="77777777" w:rsidR="003E78AB" w:rsidRDefault="003E78AB">
            <w:pPr>
              <w:pStyle w:val="aff6"/>
              <w:topLinePunct/>
            </w:pPr>
          </w:p>
        </w:tc>
        <w:tc>
          <w:tcPr>
            <w:tcW w:w="3023" w:type="pct"/>
            <w:vAlign w:val="center"/>
          </w:tcPr>
          <w:p w14:paraId="364D5089" w14:textId="77777777" w:rsidR="003E78AB" w:rsidRDefault="00010BF9">
            <w:pPr>
              <w:pStyle w:val="aff6"/>
              <w:topLinePunct/>
            </w:pPr>
            <w:r>
              <w:rPr>
                <w:rFonts w:hint="eastAsia"/>
              </w:rPr>
              <w:t>11</w:t>
            </w:r>
            <w:r>
              <w:t>0m</w:t>
            </w:r>
            <w:r>
              <w:rPr>
                <w:vertAlign w:val="superscript"/>
              </w:rPr>
              <w:t>3</w:t>
            </w:r>
            <w:r>
              <w:t>初期雨水池</w:t>
            </w:r>
          </w:p>
        </w:tc>
        <w:tc>
          <w:tcPr>
            <w:tcW w:w="1035" w:type="pct"/>
            <w:vAlign w:val="center"/>
          </w:tcPr>
          <w:p w14:paraId="4F1756C9" w14:textId="77777777" w:rsidR="003E78AB" w:rsidRDefault="00010BF9">
            <w:pPr>
              <w:pStyle w:val="aff6"/>
              <w:topLinePunct/>
            </w:pPr>
            <w:r>
              <w:rPr>
                <w:rFonts w:hint="eastAsia"/>
              </w:rPr>
              <w:t>50</w:t>
            </w:r>
          </w:p>
        </w:tc>
      </w:tr>
      <w:tr w:rsidR="003E78AB" w14:paraId="628521EB" w14:textId="77777777">
        <w:trPr>
          <w:trHeight w:val="401"/>
        </w:trPr>
        <w:tc>
          <w:tcPr>
            <w:tcW w:w="940" w:type="pct"/>
            <w:vMerge/>
            <w:vAlign w:val="center"/>
          </w:tcPr>
          <w:p w14:paraId="5708D780" w14:textId="77777777" w:rsidR="003E78AB" w:rsidRDefault="003E78AB">
            <w:pPr>
              <w:pStyle w:val="aff6"/>
              <w:topLinePunct/>
            </w:pPr>
          </w:p>
        </w:tc>
        <w:tc>
          <w:tcPr>
            <w:tcW w:w="3023" w:type="pct"/>
            <w:vAlign w:val="center"/>
          </w:tcPr>
          <w:p w14:paraId="09402B0F" w14:textId="77777777" w:rsidR="003E78AB" w:rsidRDefault="00010BF9">
            <w:pPr>
              <w:pStyle w:val="aff6"/>
              <w:topLinePunct/>
            </w:pPr>
            <w:r>
              <w:rPr>
                <w:rFonts w:hint="eastAsia"/>
              </w:rPr>
              <w:t>液体库地下式</w:t>
            </w:r>
            <w:r>
              <w:t>及配套应急泵</w:t>
            </w:r>
          </w:p>
        </w:tc>
        <w:tc>
          <w:tcPr>
            <w:tcW w:w="1035" w:type="pct"/>
            <w:vAlign w:val="center"/>
          </w:tcPr>
          <w:p w14:paraId="7DC0A4F4" w14:textId="77777777" w:rsidR="003E78AB" w:rsidRDefault="00010BF9">
            <w:pPr>
              <w:pStyle w:val="aff6"/>
              <w:topLinePunct/>
            </w:pPr>
            <w:r>
              <w:rPr>
                <w:rFonts w:hint="eastAsia"/>
              </w:rPr>
              <w:t>300</w:t>
            </w:r>
          </w:p>
        </w:tc>
      </w:tr>
      <w:tr w:rsidR="003E78AB" w14:paraId="65597BA6" w14:textId="77777777">
        <w:trPr>
          <w:trHeight w:val="402"/>
        </w:trPr>
        <w:tc>
          <w:tcPr>
            <w:tcW w:w="940" w:type="pct"/>
            <w:vMerge w:val="restart"/>
            <w:vAlign w:val="center"/>
          </w:tcPr>
          <w:p w14:paraId="28732930" w14:textId="77777777" w:rsidR="003E78AB" w:rsidRDefault="00010BF9">
            <w:pPr>
              <w:pStyle w:val="aff6"/>
              <w:topLinePunct/>
            </w:pPr>
            <w:r>
              <w:t>其他</w:t>
            </w:r>
          </w:p>
        </w:tc>
        <w:tc>
          <w:tcPr>
            <w:tcW w:w="3023" w:type="pct"/>
            <w:vAlign w:val="center"/>
          </w:tcPr>
          <w:p w14:paraId="64FFD0BB" w14:textId="77777777" w:rsidR="003E78AB" w:rsidRDefault="00010BF9">
            <w:pPr>
              <w:pStyle w:val="aff6"/>
              <w:topLinePunct/>
            </w:pPr>
            <w:r>
              <w:t>火灾自动报警系统、消防设施</w:t>
            </w:r>
          </w:p>
        </w:tc>
        <w:tc>
          <w:tcPr>
            <w:tcW w:w="1035" w:type="pct"/>
            <w:vMerge w:val="restart"/>
            <w:vAlign w:val="center"/>
          </w:tcPr>
          <w:p w14:paraId="44F77BE9" w14:textId="77777777" w:rsidR="003E78AB" w:rsidRDefault="00010BF9">
            <w:pPr>
              <w:pStyle w:val="aff6"/>
              <w:topLinePunct/>
            </w:pPr>
            <w:r>
              <w:rPr>
                <w:rFonts w:hint="eastAsia"/>
              </w:rPr>
              <w:t>897</w:t>
            </w:r>
          </w:p>
        </w:tc>
      </w:tr>
      <w:tr w:rsidR="003E78AB" w14:paraId="7BCE2E39" w14:textId="77777777">
        <w:trPr>
          <w:trHeight w:val="400"/>
        </w:trPr>
        <w:tc>
          <w:tcPr>
            <w:tcW w:w="940" w:type="pct"/>
            <w:vMerge/>
            <w:vAlign w:val="center"/>
          </w:tcPr>
          <w:p w14:paraId="34E97FA0" w14:textId="77777777" w:rsidR="003E78AB" w:rsidRDefault="003E78AB">
            <w:pPr>
              <w:pStyle w:val="aff6"/>
              <w:topLinePunct/>
            </w:pPr>
          </w:p>
        </w:tc>
        <w:tc>
          <w:tcPr>
            <w:tcW w:w="3023" w:type="pct"/>
            <w:vAlign w:val="center"/>
          </w:tcPr>
          <w:p w14:paraId="7CD1DB50" w14:textId="77777777" w:rsidR="003E78AB" w:rsidRDefault="00010BF9">
            <w:pPr>
              <w:pStyle w:val="aff6"/>
              <w:topLinePunct/>
            </w:pPr>
            <w:r>
              <w:t>应急救援器材及检测仪器</w:t>
            </w:r>
          </w:p>
        </w:tc>
        <w:tc>
          <w:tcPr>
            <w:tcW w:w="1035" w:type="pct"/>
            <w:vMerge/>
            <w:vAlign w:val="center"/>
          </w:tcPr>
          <w:p w14:paraId="19D78320" w14:textId="77777777" w:rsidR="003E78AB" w:rsidRDefault="003E78AB">
            <w:pPr>
              <w:pStyle w:val="aff6"/>
              <w:topLinePunct/>
            </w:pPr>
          </w:p>
        </w:tc>
      </w:tr>
      <w:tr w:rsidR="003E78AB" w14:paraId="3507B4BE" w14:textId="77777777">
        <w:trPr>
          <w:trHeight w:val="402"/>
        </w:trPr>
        <w:tc>
          <w:tcPr>
            <w:tcW w:w="940" w:type="pct"/>
            <w:vMerge/>
            <w:vAlign w:val="center"/>
          </w:tcPr>
          <w:p w14:paraId="2FD04B7A" w14:textId="77777777" w:rsidR="003E78AB" w:rsidRDefault="003E78AB">
            <w:pPr>
              <w:pStyle w:val="aff6"/>
              <w:topLinePunct/>
            </w:pPr>
          </w:p>
        </w:tc>
        <w:tc>
          <w:tcPr>
            <w:tcW w:w="3023" w:type="pct"/>
            <w:vAlign w:val="center"/>
          </w:tcPr>
          <w:p w14:paraId="64EC4A14" w14:textId="77777777" w:rsidR="003E78AB" w:rsidRDefault="00010BF9">
            <w:pPr>
              <w:pStyle w:val="aff6"/>
              <w:topLinePunct/>
            </w:pPr>
            <w:r>
              <w:t>应急救援、防雷电、培训、演练</w:t>
            </w:r>
          </w:p>
        </w:tc>
        <w:tc>
          <w:tcPr>
            <w:tcW w:w="1035" w:type="pct"/>
            <w:vMerge/>
            <w:vAlign w:val="center"/>
          </w:tcPr>
          <w:p w14:paraId="57E2DB66" w14:textId="77777777" w:rsidR="003E78AB" w:rsidRDefault="003E78AB">
            <w:pPr>
              <w:pStyle w:val="aff6"/>
              <w:topLinePunct/>
            </w:pPr>
          </w:p>
        </w:tc>
      </w:tr>
      <w:tr w:rsidR="003E78AB" w14:paraId="272FA5AE" w14:textId="77777777">
        <w:trPr>
          <w:trHeight w:val="417"/>
        </w:trPr>
        <w:tc>
          <w:tcPr>
            <w:tcW w:w="940" w:type="pct"/>
            <w:vAlign w:val="center"/>
          </w:tcPr>
          <w:p w14:paraId="03ADAAF4" w14:textId="77777777" w:rsidR="003E78AB" w:rsidRDefault="00010BF9">
            <w:pPr>
              <w:pStyle w:val="aff6"/>
              <w:topLinePunct/>
            </w:pPr>
            <w:r>
              <w:t>合计</w:t>
            </w:r>
          </w:p>
        </w:tc>
        <w:tc>
          <w:tcPr>
            <w:tcW w:w="3023" w:type="pct"/>
            <w:vAlign w:val="center"/>
          </w:tcPr>
          <w:p w14:paraId="38840285" w14:textId="77777777" w:rsidR="003E78AB" w:rsidRDefault="00010BF9">
            <w:pPr>
              <w:pStyle w:val="aff6"/>
              <w:topLinePunct/>
            </w:pPr>
            <w:r>
              <w:t>/</w:t>
            </w:r>
          </w:p>
        </w:tc>
        <w:tc>
          <w:tcPr>
            <w:tcW w:w="1035" w:type="pct"/>
            <w:vAlign w:val="center"/>
          </w:tcPr>
          <w:p w14:paraId="3B6184C7" w14:textId="77777777" w:rsidR="003E78AB" w:rsidRDefault="00010BF9">
            <w:pPr>
              <w:pStyle w:val="aff6"/>
              <w:topLinePunct/>
            </w:pPr>
            <w:r>
              <w:rPr>
                <w:rFonts w:hint="eastAsia"/>
              </w:rPr>
              <w:t>1747</w:t>
            </w:r>
          </w:p>
        </w:tc>
      </w:tr>
    </w:tbl>
    <w:p w14:paraId="69F3C073" w14:textId="77777777" w:rsidR="003E78AB" w:rsidRDefault="00010BF9">
      <w:pPr>
        <w:pStyle w:val="24"/>
        <w:keepNext w:val="0"/>
        <w:keepLines w:val="0"/>
        <w:topLinePunct/>
        <w:spacing w:before="120"/>
        <w:rPr>
          <w:rFonts w:cs="Times New Roman"/>
        </w:rPr>
      </w:pPr>
      <w:bookmarkStart w:id="449" w:name="_Toc26299"/>
      <w:r>
        <w:rPr>
          <w:rFonts w:cs="Times New Roman" w:hint="eastAsia"/>
        </w:rPr>
        <w:t>6.8</w:t>
      </w:r>
      <w:r>
        <w:rPr>
          <w:rFonts w:cs="Times New Roman" w:hint="eastAsia"/>
        </w:rPr>
        <w:t>环境风险评价结论</w:t>
      </w:r>
      <w:bookmarkEnd w:id="449"/>
    </w:p>
    <w:p w14:paraId="472AFD7A"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6.8.1</w:t>
      </w:r>
      <w:r>
        <w:rPr>
          <w:rFonts w:cs="Times New Roman" w:hint="eastAsia"/>
          <w:sz w:val="28"/>
          <w:szCs w:val="28"/>
        </w:rPr>
        <w:t>环境危险因素</w:t>
      </w:r>
    </w:p>
    <w:p w14:paraId="574B1B45" w14:textId="77777777" w:rsidR="003E78AB" w:rsidRDefault="00010BF9">
      <w:pPr>
        <w:ind w:firstLine="480"/>
        <w:rPr>
          <w:kern w:val="28"/>
        </w:rPr>
      </w:pPr>
      <w:r>
        <w:rPr>
          <w:rFonts w:hint="eastAsia"/>
          <w:kern w:val="28"/>
        </w:rPr>
        <w:t>项目主要危险物质为五氧化二钒、</w:t>
      </w:r>
      <w:r>
        <w:rPr>
          <w:rFonts w:hint="eastAsia"/>
          <w:kern w:val="28"/>
        </w:rPr>
        <w:t>98%</w:t>
      </w:r>
      <w:r>
        <w:rPr>
          <w:rFonts w:hint="eastAsia"/>
          <w:kern w:val="28"/>
        </w:rPr>
        <w:t>硫酸、磷酸、含钒电解液、危险废物等，主要分布在原料丙类仓库、生产车间一、危险废物暂存间，环境风险因素主要为物料泄漏。</w:t>
      </w:r>
    </w:p>
    <w:p w14:paraId="7761F9C2"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6.8.2</w:t>
      </w:r>
      <w:r>
        <w:rPr>
          <w:rFonts w:cs="Times New Roman" w:hint="eastAsia"/>
          <w:sz w:val="28"/>
          <w:szCs w:val="28"/>
        </w:rPr>
        <w:t>环境敏感性及事故环境影响</w:t>
      </w:r>
    </w:p>
    <w:p w14:paraId="04B78390" w14:textId="77777777" w:rsidR="003E78AB" w:rsidRDefault="00010BF9">
      <w:pPr>
        <w:ind w:firstLine="480"/>
        <w:rPr>
          <w:kern w:val="28"/>
        </w:rPr>
      </w:pPr>
      <w:r>
        <w:rPr>
          <w:rFonts w:hint="eastAsia"/>
          <w:kern w:val="28"/>
        </w:rPr>
        <w:t>项目区域环境敏感目标主要为周边村庄、地表水体及地下水环境。</w:t>
      </w:r>
    </w:p>
    <w:p w14:paraId="0F3ED700" w14:textId="77777777" w:rsidR="003E78AB" w:rsidRDefault="00010BF9">
      <w:pPr>
        <w:ind w:firstLine="480"/>
        <w:rPr>
          <w:kern w:val="28"/>
        </w:rPr>
      </w:pPr>
      <w:r>
        <w:rPr>
          <w:rFonts w:hint="eastAsia"/>
          <w:kern w:val="28"/>
        </w:rPr>
        <w:t>项目除尘管线破裂造成五氧化二钒泄漏，最不利和最常见气象条件下，含五氧化二钒废气预测浓度均未达到大气毒性终点浓度</w:t>
      </w:r>
      <w:r>
        <w:rPr>
          <w:rFonts w:hint="eastAsia"/>
          <w:kern w:val="28"/>
        </w:rPr>
        <w:t>-1</w:t>
      </w:r>
      <w:r>
        <w:rPr>
          <w:rFonts w:hint="eastAsia"/>
          <w:kern w:val="28"/>
        </w:rPr>
        <w:t>、大气毒性终点浓度</w:t>
      </w:r>
      <w:r>
        <w:rPr>
          <w:rFonts w:hint="eastAsia"/>
          <w:kern w:val="28"/>
        </w:rPr>
        <w:t>-2</w:t>
      </w:r>
      <w:r>
        <w:rPr>
          <w:rFonts w:hint="eastAsia"/>
          <w:kern w:val="28"/>
        </w:rPr>
        <w:t>。硫酸储罐泄漏，最不利和最常见气象条件下，泄漏蒸发气体预测浓度均未达到大气毒性终点浓度</w:t>
      </w:r>
      <w:r>
        <w:rPr>
          <w:rFonts w:hint="eastAsia"/>
          <w:kern w:val="28"/>
        </w:rPr>
        <w:t>-1</w:t>
      </w:r>
      <w:r>
        <w:rPr>
          <w:rFonts w:hint="eastAsia"/>
          <w:kern w:val="28"/>
        </w:rPr>
        <w:t>、大气毒性终点浓度</w:t>
      </w:r>
      <w:r>
        <w:rPr>
          <w:rFonts w:hint="eastAsia"/>
          <w:kern w:val="28"/>
        </w:rPr>
        <w:t>-2</w:t>
      </w:r>
      <w:r>
        <w:rPr>
          <w:rFonts w:hint="eastAsia"/>
          <w:kern w:val="28"/>
        </w:rPr>
        <w:t>。项目风险事故不会造成周边环境敏感点人员死亡，不会对周边环境敏感点居民的生命及健康造成严重威胁。</w:t>
      </w:r>
    </w:p>
    <w:p w14:paraId="78CACA80" w14:textId="77777777" w:rsidR="003E78AB" w:rsidRDefault="00010BF9">
      <w:pPr>
        <w:ind w:firstLine="480"/>
        <w:rPr>
          <w:kern w:val="28"/>
        </w:rPr>
      </w:pPr>
      <w:r>
        <w:rPr>
          <w:rFonts w:hint="eastAsia"/>
          <w:kern w:val="28"/>
        </w:rPr>
        <w:t>厂区设置三级防控体系，对事故状态下产生的废水（液）进行有效的收集处理，事故发生后废水（液）排放情况是可控的；评价建议与园区周边企业建立区域防控体系；在采取以上措施及建</w:t>
      </w:r>
      <w:r>
        <w:rPr>
          <w:rFonts w:hint="eastAsia"/>
          <w:kern w:val="28"/>
        </w:rPr>
        <w:t>议后，本项目可形成“单元</w:t>
      </w:r>
      <w:r>
        <w:rPr>
          <w:rFonts w:hint="eastAsia"/>
          <w:kern w:val="28"/>
        </w:rPr>
        <w:t>-</w:t>
      </w:r>
      <w:r>
        <w:rPr>
          <w:rFonts w:hint="eastAsia"/>
          <w:kern w:val="28"/>
        </w:rPr>
        <w:t>厂区</w:t>
      </w:r>
      <w:r>
        <w:rPr>
          <w:rFonts w:hint="eastAsia"/>
          <w:kern w:val="28"/>
        </w:rPr>
        <w:t>-</w:t>
      </w:r>
      <w:r>
        <w:rPr>
          <w:rFonts w:hint="eastAsia"/>
          <w:kern w:val="28"/>
        </w:rPr>
        <w:t>区域”多级防控体系，有效防止事故废水对环境的影响。</w:t>
      </w:r>
    </w:p>
    <w:p w14:paraId="16C796D9" w14:textId="77777777" w:rsidR="003E78AB" w:rsidRDefault="00010BF9">
      <w:pPr>
        <w:ind w:firstLine="480"/>
        <w:rPr>
          <w:kern w:val="28"/>
        </w:rPr>
      </w:pPr>
      <w:r>
        <w:rPr>
          <w:rFonts w:hint="eastAsia"/>
          <w:kern w:val="28"/>
        </w:rPr>
        <w:t>在非正常工况下，项目对地下水环境有一定的影响。由于地下水具有埋藏隐蔽性和一旦污染很难治理的特征，因此本项目在设计建设中应对水工建（构）筑物进行防渗处理，并加强施工监理，确保施工质量达到防渗要求。同时加强后期检查和监控，避免生产过程中“跑冒滴漏”现象的发生，发现污染及时采取防控措施，可有效控制项目生产对地下水造成的污染。</w:t>
      </w:r>
    </w:p>
    <w:p w14:paraId="01F2D089"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6.8.3</w:t>
      </w:r>
      <w:r>
        <w:rPr>
          <w:rFonts w:cs="Times New Roman" w:hint="eastAsia"/>
          <w:sz w:val="28"/>
          <w:szCs w:val="28"/>
        </w:rPr>
        <w:t>环境风险防范措施和应急预案</w:t>
      </w:r>
    </w:p>
    <w:p w14:paraId="5B36D91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6.8.3.1</w:t>
      </w:r>
      <w:r>
        <w:rPr>
          <w:rFonts w:ascii="Times New Roman" w:hAnsi="Times New Roman" w:hint="eastAsia"/>
        </w:rPr>
        <w:t>大气风险防控措施</w:t>
      </w:r>
    </w:p>
    <w:p w14:paraId="6233C9A2" w14:textId="77777777" w:rsidR="003E78AB" w:rsidRDefault="00010BF9">
      <w:pPr>
        <w:ind w:firstLine="480"/>
        <w:rPr>
          <w:kern w:val="28"/>
        </w:rPr>
      </w:pPr>
      <w:r>
        <w:rPr>
          <w:rFonts w:hint="eastAsia"/>
          <w:kern w:val="28"/>
        </w:rPr>
        <w:t>项目环境风险类型主要为有毒有害物料泄</w:t>
      </w:r>
      <w:r>
        <w:rPr>
          <w:rFonts w:hint="eastAsia"/>
          <w:kern w:val="28"/>
        </w:rPr>
        <w:t>漏；主要的防控措施有：加强环保设施维护，定期巡检及维修检测等。</w:t>
      </w:r>
    </w:p>
    <w:p w14:paraId="77CB411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6.8.3.2</w:t>
      </w:r>
      <w:r>
        <w:rPr>
          <w:rFonts w:ascii="Times New Roman" w:hAnsi="Times New Roman" w:hint="eastAsia"/>
        </w:rPr>
        <w:t>地表水风险防控措施</w:t>
      </w:r>
    </w:p>
    <w:p w14:paraId="4B8DD9A4" w14:textId="77777777" w:rsidR="003E78AB" w:rsidRDefault="00010BF9">
      <w:pPr>
        <w:ind w:firstLine="480"/>
        <w:rPr>
          <w:kern w:val="28"/>
        </w:rPr>
      </w:pPr>
      <w:r>
        <w:rPr>
          <w:rFonts w:hint="eastAsia"/>
          <w:kern w:val="28"/>
        </w:rPr>
        <w:t>设置“单元</w:t>
      </w:r>
      <w:r>
        <w:rPr>
          <w:rFonts w:hint="eastAsia"/>
          <w:kern w:val="28"/>
        </w:rPr>
        <w:t>-</w:t>
      </w:r>
      <w:r>
        <w:rPr>
          <w:rFonts w:hint="eastAsia"/>
          <w:kern w:val="28"/>
        </w:rPr>
        <w:t>厂区</w:t>
      </w:r>
      <w:r>
        <w:rPr>
          <w:rFonts w:hint="eastAsia"/>
          <w:kern w:val="28"/>
        </w:rPr>
        <w:t>-</w:t>
      </w:r>
      <w:r>
        <w:rPr>
          <w:rFonts w:hint="eastAsia"/>
          <w:kern w:val="28"/>
        </w:rPr>
        <w:t>区域”多级防控体系，有效防止事故废水对环境的影响，确保事故废水、消防废水和初期雨水不外排。</w:t>
      </w:r>
    </w:p>
    <w:p w14:paraId="1BE335D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6.8.3.3</w:t>
      </w:r>
      <w:r>
        <w:rPr>
          <w:rFonts w:ascii="Times New Roman" w:hAnsi="Times New Roman" w:hint="eastAsia"/>
        </w:rPr>
        <w:t>地下水风险防控措施</w:t>
      </w:r>
    </w:p>
    <w:p w14:paraId="7694EA44" w14:textId="77777777" w:rsidR="003E78AB" w:rsidRDefault="00010BF9">
      <w:pPr>
        <w:ind w:firstLine="480"/>
        <w:rPr>
          <w:kern w:val="28"/>
        </w:rPr>
      </w:pPr>
      <w:r>
        <w:rPr>
          <w:rFonts w:hint="eastAsia"/>
          <w:kern w:val="28"/>
        </w:rPr>
        <w:t>按照“源头控制、分区防治、污染监控、应急响应相结合”的原则，从污染物的产生、入渗、扩散、应急响应全方位进行控制。对工艺、管道、设备、污水储存构筑物等采取相应的措施，以防止和降低污染物的跑、冒、滴、漏，将污染物泄漏的环境风险事故降到最低程度；将整个厂区划分为重点防渗区、一</w:t>
      </w:r>
      <w:r>
        <w:rPr>
          <w:rFonts w:hint="eastAsia"/>
          <w:kern w:val="28"/>
        </w:rPr>
        <w:t>般防渗区、简单防渗区；结合厂区地下水污染监控井，对生产区的地下水污染情况进行监控，及时发现污染、及时控制。</w:t>
      </w:r>
    </w:p>
    <w:p w14:paraId="49EC344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6.8.3.4</w:t>
      </w:r>
      <w:r>
        <w:rPr>
          <w:rFonts w:ascii="Times New Roman" w:hAnsi="Times New Roman" w:hint="eastAsia"/>
        </w:rPr>
        <w:t>环境风险应急预案</w:t>
      </w:r>
    </w:p>
    <w:p w14:paraId="059D7DB4" w14:textId="77777777" w:rsidR="003E78AB" w:rsidRDefault="00010BF9">
      <w:pPr>
        <w:ind w:firstLine="480"/>
        <w:rPr>
          <w:kern w:val="28"/>
        </w:rPr>
      </w:pPr>
      <w:r>
        <w:rPr>
          <w:rFonts w:hint="eastAsia"/>
          <w:kern w:val="28"/>
        </w:rPr>
        <w:t>按照相关要求设置应急预案；预案需明确各级应急指挥管理机构的设置、职责要求，并制定各类环境风险事故应急、救援措施；与此同时明确各级预案的职责、启动机制、联动方式，为控制本工程可能发生的各类、各级环境风险事故、降低并最终消除其环境影响，提供有效的组织保障、措施保障，环境风险可防控。</w:t>
      </w:r>
    </w:p>
    <w:p w14:paraId="05EC1EF0"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6.8.4</w:t>
      </w:r>
      <w:r>
        <w:rPr>
          <w:rFonts w:cs="Times New Roman" w:hint="eastAsia"/>
          <w:sz w:val="28"/>
          <w:szCs w:val="28"/>
        </w:rPr>
        <w:t>环境风险评价结论与建议</w:t>
      </w:r>
    </w:p>
    <w:p w14:paraId="4E6B87AC" w14:textId="77777777" w:rsidR="003E78AB" w:rsidRDefault="00010BF9">
      <w:pPr>
        <w:ind w:firstLine="480"/>
        <w:rPr>
          <w:kern w:val="28"/>
        </w:rPr>
      </w:pPr>
      <w:r>
        <w:rPr>
          <w:rFonts w:hint="eastAsia"/>
          <w:kern w:val="28"/>
        </w:rPr>
        <w:t>综上所述，项目采取了较完善的风险防范措施，可将环境风险降至</w:t>
      </w:r>
      <w:r>
        <w:rPr>
          <w:rFonts w:hint="eastAsia"/>
          <w:kern w:val="28"/>
        </w:rPr>
        <w:t>最低，环境风险水平可接受，同时针对项目存在的潜在环境风险，评价提出以下建议：</w:t>
      </w:r>
    </w:p>
    <w:p w14:paraId="0E40AAF4" w14:textId="77777777" w:rsidR="003E78AB" w:rsidRDefault="00010BF9">
      <w:pPr>
        <w:ind w:firstLine="480"/>
        <w:rPr>
          <w:kern w:val="28"/>
        </w:rPr>
      </w:pPr>
      <w:r>
        <w:rPr>
          <w:rFonts w:hint="eastAsia"/>
          <w:kern w:val="28"/>
        </w:rPr>
        <w:t>建设单位在设计和运营中应落实工程和环评的相关要求和建议，根据厂区实际情况制定突发事件应急预案，加强安全生产管理、应急培训及演练，防止重大风险事故的发生。</w:t>
      </w:r>
    </w:p>
    <w:p w14:paraId="61EB0178" w14:textId="77777777" w:rsidR="003E78AB" w:rsidRDefault="00010BF9">
      <w:pPr>
        <w:pStyle w:val="a"/>
        <w:spacing w:before="120"/>
        <w:ind w:left="425" w:hanging="425"/>
      </w:pPr>
      <w:r>
        <w:t>建设项目环境风险评价自查表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0"/>
        <w:gridCol w:w="622"/>
        <w:gridCol w:w="1082"/>
        <w:gridCol w:w="160"/>
        <w:gridCol w:w="537"/>
        <w:gridCol w:w="761"/>
        <w:gridCol w:w="651"/>
        <w:gridCol w:w="599"/>
        <w:gridCol w:w="401"/>
        <w:gridCol w:w="39"/>
        <w:gridCol w:w="476"/>
        <w:gridCol w:w="337"/>
        <w:gridCol w:w="513"/>
        <w:gridCol w:w="207"/>
        <w:gridCol w:w="426"/>
        <w:gridCol w:w="683"/>
        <w:gridCol w:w="490"/>
      </w:tblGrid>
      <w:tr w:rsidR="003E78AB" w14:paraId="02CA5D9E" w14:textId="77777777">
        <w:trPr>
          <w:trHeight w:val="340"/>
          <w:tblHeader/>
          <w:jc w:val="center"/>
        </w:trPr>
        <w:tc>
          <w:tcPr>
            <w:tcW w:w="626" w:type="pct"/>
            <w:gridSpan w:val="2"/>
            <w:noWrap/>
            <w:vAlign w:val="center"/>
          </w:tcPr>
          <w:p w14:paraId="0FA44697" w14:textId="77777777" w:rsidR="003E78AB" w:rsidRDefault="00010BF9">
            <w:pPr>
              <w:pStyle w:val="aff6"/>
              <w:topLinePunct/>
              <w:rPr>
                <w:b/>
                <w:bCs/>
              </w:rPr>
            </w:pPr>
            <w:r>
              <w:rPr>
                <w:b/>
                <w:bCs/>
              </w:rPr>
              <w:t>工作内容</w:t>
            </w:r>
          </w:p>
        </w:tc>
        <w:tc>
          <w:tcPr>
            <w:tcW w:w="4373" w:type="pct"/>
            <w:gridSpan w:val="15"/>
            <w:noWrap/>
            <w:vAlign w:val="center"/>
          </w:tcPr>
          <w:p w14:paraId="2C34DB35" w14:textId="77777777" w:rsidR="003E78AB" w:rsidRDefault="00010BF9">
            <w:pPr>
              <w:pStyle w:val="aff6"/>
              <w:topLinePunct/>
              <w:rPr>
                <w:b/>
                <w:bCs/>
              </w:rPr>
            </w:pPr>
            <w:r>
              <w:rPr>
                <w:b/>
                <w:bCs/>
              </w:rPr>
              <w:t>完成情况</w:t>
            </w:r>
          </w:p>
        </w:tc>
      </w:tr>
      <w:tr w:rsidR="003E78AB" w14:paraId="60F6C7C9" w14:textId="77777777">
        <w:trPr>
          <w:trHeight w:val="340"/>
          <w:jc w:val="center"/>
        </w:trPr>
        <w:tc>
          <w:tcPr>
            <w:tcW w:w="256" w:type="pct"/>
            <w:vMerge w:val="restart"/>
            <w:noWrap/>
            <w:vAlign w:val="center"/>
          </w:tcPr>
          <w:p w14:paraId="28763650" w14:textId="77777777" w:rsidR="003E78AB" w:rsidRDefault="00010BF9">
            <w:pPr>
              <w:pStyle w:val="aff6"/>
              <w:topLinePunct/>
            </w:pPr>
            <w:r>
              <w:t>风险调查</w:t>
            </w:r>
          </w:p>
        </w:tc>
        <w:tc>
          <w:tcPr>
            <w:tcW w:w="370" w:type="pct"/>
            <w:vMerge w:val="restart"/>
            <w:noWrap/>
            <w:vAlign w:val="center"/>
          </w:tcPr>
          <w:p w14:paraId="5A0E7294" w14:textId="77777777" w:rsidR="003E78AB" w:rsidRDefault="00010BF9">
            <w:pPr>
              <w:pStyle w:val="aff6"/>
              <w:topLinePunct/>
            </w:pPr>
            <w:r>
              <w:t>危险物质</w:t>
            </w:r>
          </w:p>
        </w:tc>
        <w:tc>
          <w:tcPr>
            <w:tcW w:w="643" w:type="pct"/>
            <w:noWrap/>
            <w:vAlign w:val="center"/>
          </w:tcPr>
          <w:p w14:paraId="774E8E99" w14:textId="77777777" w:rsidR="003E78AB" w:rsidRDefault="00010BF9">
            <w:pPr>
              <w:pStyle w:val="aff6"/>
              <w:topLinePunct/>
            </w:pPr>
            <w:r>
              <w:t>名称</w:t>
            </w:r>
          </w:p>
        </w:tc>
        <w:tc>
          <w:tcPr>
            <w:tcW w:w="414" w:type="pct"/>
            <w:gridSpan w:val="2"/>
            <w:noWrap/>
            <w:vAlign w:val="center"/>
          </w:tcPr>
          <w:p w14:paraId="1BC186EF" w14:textId="77777777" w:rsidR="003E78AB" w:rsidRDefault="00010BF9">
            <w:pPr>
              <w:pStyle w:val="aff6"/>
              <w:topLinePunct/>
              <w:rPr>
                <w:b/>
                <w:bCs/>
                <w:u w:val="single"/>
              </w:rPr>
            </w:pPr>
            <w:r>
              <w:rPr>
                <w:rFonts w:hint="eastAsia"/>
                <w:b/>
                <w:bCs/>
                <w:u w:val="single"/>
              </w:rPr>
              <w:t>五氧化二钒（以钒计）</w:t>
            </w:r>
          </w:p>
        </w:tc>
        <w:tc>
          <w:tcPr>
            <w:tcW w:w="452" w:type="pct"/>
            <w:vAlign w:val="center"/>
          </w:tcPr>
          <w:p w14:paraId="6A624255" w14:textId="77777777" w:rsidR="003E78AB" w:rsidRDefault="00010BF9">
            <w:pPr>
              <w:pStyle w:val="aff6"/>
              <w:topLinePunct/>
              <w:rPr>
                <w:b/>
                <w:bCs/>
                <w:u w:val="single"/>
              </w:rPr>
            </w:pPr>
            <w:r>
              <w:rPr>
                <w:rFonts w:hint="eastAsia"/>
                <w:b/>
                <w:bCs/>
                <w:u w:val="single"/>
              </w:rPr>
              <w:t>浓硫酸</w:t>
            </w:r>
          </w:p>
        </w:tc>
        <w:tc>
          <w:tcPr>
            <w:tcW w:w="386" w:type="pct"/>
            <w:vAlign w:val="center"/>
          </w:tcPr>
          <w:p w14:paraId="5697A9F8" w14:textId="77777777" w:rsidR="003E78AB" w:rsidRDefault="00010BF9">
            <w:pPr>
              <w:pStyle w:val="aff6"/>
              <w:topLinePunct/>
              <w:rPr>
                <w:b/>
                <w:bCs/>
                <w:u w:val="single"/>
              </w:rPr>
            </w:pPr>
            <w:r>
              <w:rPr>
                <w:rFonts w:hint="eastAsia"/>
                <w:b/>
                <w:bCs/>
                <w:u w:val="single"/>
              </w:rPr>
              <w:t>磷酸</w:t>
            </w:r>
          </w:p>
        </w:tc>
        <w:tc>
          <w:tcPr>
            <w:tcW w:w="356" w:type="pct"/>
            <w:vAlign w:val="center"/>
          </w:tcPr>
          <w:p w14:paraId="136068F0" w14:textId="77777777" w:rsidR="003E78AB" w:rsidRDefault="00010BF9">
            <w:pPr>
              <w:pStyle w:val="aff6"/>
              <w:topLinePunct/>
              <w:rPr>
                <w:b/>
                <w:bCs/>
                <w:u w:val="single"/>
              </w:rPr>
            </w:pPr>
            <w:r>
              <w:rPr>
                <w:rFonts w:hint="eastAsia"/>
                <w:b/>
                <w:bCs/>
                <w:u w:val="single"/>
              </w:rPr>
              <w:t>二水草酸</w:t>
            </w:r>
          </w:p>
        </w:tc>
        <w:tc>
          <w:tcPr>
            <w:tcW w:w="544" w:type="pct"/>
            <w:gridSpan w:val="3"/>
            <w:vAlign w:val="center"/>
          </w:tcPr>
          <w:p w14:paraId="74A66A7E" w14:textId="77777777" w:rsidR="003E78AB" w:rsidRDefault="00010BF9">
            <w:pPr>
              <w:pStyle w:val="aff6"/>
              <w:topLinePunct/>
              <w:rPr>
                <w:b/>
                <w:bCs/>
                <w:u w:val="single"/>
              </w:rPr>
            </w:pPr>
            <w:r>
              <w:rPr>
                <w:rFonts w:hint="eastAsia"/>
                <w:b/>
                <w:bCs/>
                <w:u w:val="single"/>
              </w:rPr>
              <w:t>钒电解液（以钒计）</w:t>
            </w:r>
          </w:p>
        </w:tc>
        <w:tc>
          <w:tcPr>
            <w:tcW w:w="505" w:type="pct"/>
            <w:gridSpan w:val="2"/>
            <w:vAlign w:val="center"/>
          </w:tcPr>
          <w:p w14:paraId="2F506387" w14:textId="77777777" w:rsidR="003E78AB" w:rsidRDefault="00010BF9">
            <w:pPr>
              <w:pStyle w:val="aff6"/>
              <w:topLinePunct/>
              <w:rPr>
                <w:b/>
                <w:bCs/>
                <w:u w:val="single"/>
              </w:rPr>
            </w:pPr>
            <w:r>
              <w:rPr>
                <w:rFonts w:hint="eastAsia"/>
                <w:b/>
                <w:bCs/>
                <w:u w:val="single"/>
              </w:rPr>
              <w:t>含钒结晶盐（以钒计）</w:t>
            </w:r>
          </w:p>
        </w:tc>
        <w:tc>
          <w:tcPr>
            <w:tcW w:w="376" w:type="pct"/>
            <w:gridSpan w:val="2"/>
            <w:vAlign w:val="center"/>
          </w:tcPr>
          <w:p w14:paraId="3A070058" w14:textId="77777777" w:rsidR="003E78AB" w:rsidRDefault="00010BF9">
            <w:pPr>
              <w:pStyle w:val="aff6"/>
              <w:topLinePunct/>
              <w:rPr>
                <w:b/>
                <w:bCs/>
                <w:u w:val="single"/>
              </w:rPr>
            </w:pPr>
            <w:r>
              <w:rPr>
                <w:b/>
                <w:bCs/>
                <w:u w:val="single"/>
              </w:rPr>
              <w:t>天然气</w:t>
            </w:r>
          </w:p>
        </w:tc>
        <w:tc>
          <w:tcPr>
            <w:tcW w:w="406" w:type="pct"/>
            <w:vAlign w:val="center"/>
          </w:tcPr>
          <w:p w14:paraId="39A502B1" w14:textId="77777777" w:rsidR="003E78AB" w:rsidRDefault="00010BF9">
            <w:pPr>
              <w:pStyle w:val="aff6"/>
              <w:topLinePunct/>
              <w:rPr>
                <w:b/>
                <w:bCs/>
                <w:u w:val="single"/>
              </w:rPr>
            </w:pPr>
            <w:r>
              <w:rPr>
                <w:rFonts w:hint="eastAsia"/>
                <w:b/>
                <w:bCs/>
                <w:u w:val="single"/>
              </w:rPr>
              <w:t>废润滑油</w:t>
            </w:r>
          </w:p>
        </w:tc>
        <w:tc>
          <w:tcPr>
            <w:tcW w:w="287" w:type="pct"/>
            <w:vAlign w:val="center"/>
          </w:tcPr>
          <w:p w14:paraId="0A650829" w14:textId="77777777" w:rsidR="003E78AB" w:rsidRDefault="00010BF9">
            <w:pPr>
              <w:pStyle w:val="aff6"/>
              <w:topLinePunct/>
              <w:rPr>
                <w:b/>
                <w:bCs/>
                <w:u w:val="single"/>
              </w:rPr>
            </w:pPr>
            <w:r>
              <w:rPr>
                <w:rFonts w:hint="eastAsia"/>
                <w:b/>
                <w:bCs/>
                <w:u w:val="single"/>
              </w:rPr>
              <w:t>氢氧化钠</w:t>
            </w:r>
          </w:p>
        </w:tc>
      </w:tr>
      <w:tr w:rsidR="003E78AB" w14:paraId="34E0F0D1" w14:textId="77777777">
        <w:trPr>
          <w:trHeight w:val="340"/>
          <w:jc w:val="center"/>
        </w:trPr>
        <w:tc>
          <w:tcPr>
            <w:tcW w:w="256" w:type="pct"/>
            <w:vMerge/>
            <w:vAlign w:val="center"/>
          </w:tcPr>
          <w:p w14:paraId="765B6161" w14:textId="77777777" w:rsidR="003E78AB" w:rsidRDefault="003E78AB">
            <w:pPr>
              <w:pStyle w:val="aff6"/>
              <w:topLinePunct/>
            </w:pPr>
          </w:p>
        </w:tc>
        <w:tc>
          <w:tcPr>
            <w:tcW w:w="370" w:type="pct"/>
            <w:vMerge/>
            <w:vAlign w:val="center"/>
          </w:tcPr>
          <w:p w14:paraId="2AB3ADA4" w14:textId="77777777" w:rsidR="003E78AB" w:rsidRDefault="003E78AB">
            <w:pPr>
              <w:pStyle w:val="aff6"/>
              <w:topLinePunct/>
            </w:pPr>
          </w:p>
        </w:tc>
        <w:tc>
          <w:tcPr>
            <w:tcW w:w="643" w:type="pct"/>
            <w:noWrap/>
            <w:vAlign w:val="center"/>
          </w:tcPr>
          <w:p w14:paraId="4A193987" w14:textId="77777777" w:rsidR="003E78AB" w:rsidRDefault="00010BF9">
            <w:pPr>
              <w:pStyle w:val="aff6"/>
              <w:topLinePunct/>
            </w:pPr>
            <w:r>
              <w:t>存在总量</w:t>
            </w:r>
            <w:r>
              <w:t>/t</w:t>
            </w:r>
          </w:p>
        </w:tc>
        <w:tc>
          <w:tcPr>
            <w:tcW w:w="414" w:type="pct"/>
            <w:gridSpan w:val="2"/>
            <w:noWrap/>
            <w:vAlign w:val="center"/>
          </w:tcPr>
          <w:p w14:paraId="44C0DEC9" w14:textId="77777777" w:rsidR="003E78AB" w:rsidRDefault="00010BF9">
            <w:pPr>
              <w:pStyle w:val="aff6"/>
              <w:topLinePunct/>
              <w:rPr>
                <w:b/>
                <w:bCs/>
                <w:u w:val="single"/>
              </w:rPr>
            </w:pPr>
            <w:r>
              <w:rPr>
                <w:rFonts w:hint="eastAsia"/>
                <w:b/>
                <w:bCs/>
                <w:u w:val="single"/>
              </w:rPr>
              <w:t>39.23</w:t>
            </w:r>
          </w:p>
        </w:tc>
        <w:tc>
          <w:tcPr>
            <w:tcW w:w="452" w:type="pct"/>
            <w:vAlign w:val="center"/>
          </w:tcPr>
          <w:p w14:paraId="362FB0B1" w14:textId="77777777" w:rsidR="003E78AB" w:rsidRDefault="00010BF9">
            <w:pPr>
              <w:pStyle w:val="aff6"/>
              <w:topLinePunct/>
              <w:rPr>
                <w:b/>
                <w:bCs/>
                <w:u w:val="single"/>
              </w:rPr>
            </w:pPr>
            <w:r>
              <w:rPr>
                <w:rFonts w:hint="eastAsia"/>
                <w:b/>
                <w:bCs/>
                <w:u w:val="single"/>
              </w:rPr>
              <w:t>886.88</w:t>
            </w:r>
          </w:p>
        </w:tc>
        <w:tc>
          <w:tcPr>
            <w:tcW w:w="386" w:type="pct"/>
            <w:vAlign w:val="center"/>
          </w:tcPr>
          <w:p w14:paraId="5E9A50D0" w14:textId="77777777" w:rsidR="003E78AB" w:rsidRDefault="00010BF9">
            <w:pPr>
              <w:pStyle w:val="aff6"/>
              <w:topLinePunct/>
              <w:rPr>
                <w:b/>
                <w:bCs/>
                <w:u w:val="single"/>
              </w:rPr>
            </w:pPr>
            <w:r>
              <w:rPr>
                <w:rFonts w:hint="eastAsia"/>
                <w:b/>
                <w:bCs/>
                <w:u w:val="single"/>
              </w:rPr>
              <w:t>94.87</w:t>
            </w:r>
          </w:p>
        </w:tc>
        <w:tc>
          <w:tcPr>
            <w:tcW w:w="356" w:type="pct"/>
            <w:vAlign w:val="center"/>
          </w:tcPr>
          <w:p w14:paraId="611B2596" w14:textId="77777777" w:rsidR="003E78AB" w:rsidRDefault="00010BF9">
            <w:pPr>
              <w:pStyle w:val="aff6"/>
              <w:topLinePunct/>
              <w:rPr>
                <w:b/>
                <w:bCs/>
                <w:u w:val="single"/>
              </w:rPr>
            </w:pPr>
            <w:r>
              <w:rPr>
                <w:rFonts w:hint="eastAsia"/>
                <w:b/>
                <w:bCs/>
                <w:u w:val="single"/>
              </w:rPr>
              <w:t>330</w:t>
            </w:r>
          </w:p>
        </w:tc>
        <w:tc>
          <w:tcPr>
            <w:tcW w:w="544" w:type="pct"/>
            <w:gridSpan w:val="3"/>
            <w:vAlign w:val="center"/>
          </w:tcPr>
          <w:p w14:paraId="697DC627" w14:textId="77777777" w:rsidR="003E78AB" w:rsidRDefault="00010BF9">
            <w:pPr>
              <w:pStyle w:val="aff6"/>
              <w:topLinePunct/>
              <w:rPr>
                <w:b/>
                <w:bCs/>
                <w:u w:val="single"/>
              </w:rPr>
            </w:pPr>
            <w:r>
              <w:rPr>
                <w:rFonts w:hint="eastAsia"/>
                <w:b/>
                <w:bCs/>
                <w:u w:val="single"/>
              </w:rPr>
              <w:t>72.6</w:t>
            </w:r>
          </w:p>
        </w:tc>
        <w:tc>
          <w:tcPr>
            <w:tcW w:w="505" w:type="pct"/>
            <w:gridSpan w:val="2"/>
            <w:vAlign w:val="center"/>
          </w:tcPr>
          <w:p w14:paraId="1927BE21" w14:textId="77777777" w:rsidR="003E78AB" w:rsidRDefault="00010BF9">
            <w:pPr>
              <w:pStyle w:val="aff6"/>
              <w:topLinePunct/>
              <w:rPr>
                <w:b/>
                <w:bCs/>
                <w:u w:val="single"/>
              </w:rPr>
            </w:pPr>
            <w:r>
              <w:rPr>
                <w:rFonts w:hint="eastAsia"/>
                <w:b/>
                <w:bCs/>
                <w:u w:val="single"/>
              </w:rPr>
              <w:t>0.01168</w:t>
            </w:r>
          </w:p>
        </w:tc>
        <w:tc>
          <w:tcPr>
            <w:tcW w:w="376" w:type="pct"/>
            <w:gridSpan w:val="2"/>
            <w:vAlign w:val="center"/>
          </w:tcPr>
          <w:p w14:paraId="24B5CA69" w14:textId="77777777" w:rsidR="003E78AB" w:rsidRDefault="00010BF9">
            <w:pPr>
              <w:pStyle w:val="aff6"/>
              <w:topLinePunct/>
              <w:rPr>
                <w:b/>
                <w:bCs/>
                <w:u w:val="single"/>
              </w:rPr>
            </w:pPr>
            <w:r>
              <w:rPr>
                <w:b/>
                <w:bCs/>
                <w:u w:val="single"/>
              </w:rPr>
              <w:t>0.5</w:t>
            </w:r>
          </w:p>
        </w:tc>
        <w:tc>
          <w:tcPr>
            <w:tcW w:w="406" w:type="pct"/>
            <w:vAlign w:val="center"/>
          </w:tcPr>
          <w:p w14:paraId="6D22F07D" w14:textId="77777777" w:rsidR="003E78AB" w:rsidRDefault="00010BF9">
            <w:pPr>
              <w:pStyle w:val="aff6"/>
              <w:topLinePunct/>
              <w:rPr>
                <w:b/>
                <w:bCs/>
                <w:u w:val="single"/>
              </w:rPr>
            </w:pPr>
            <w:r>
              <w:rPr>
                <w:rFonts w:hint="eastAsia"/>
                <w:b/>
                <w:bCs/>
                <w:u w:val="single"/>
              </w:rPr>
              <w:t>2</w:t>
            </w:r>
          </w:p>
        </w:tc>
        <w:tc>
          <w:tcPr>
            <w:tcW w:w="287" w:type="pct"/>
            <w:vAlign w:val="center"/>
          </w:tcPr>
          <w:p w14:paraId="7070DD26" w14:textId="77777777" w:rsidR="003E78AB" w:rsidRDefault="00010BF9">
            <w:pPr>
              <w:pStyle w:val="aff6"/>
              <w:topLinePunct/>
              <w:rPr>
                <w:b/>
                <w:bCs/>
                <w:u w:val="single"/>
              </w:rPr>
            </w:pPr>
            <w:r>
              <w:rPr>
                <w:rFonts w:hint="eastAsia"/>
                <w:b/>
                <w:bCs/>
                <w:u w:val="single"/>
              </w:rPr>
              <w:t>10</w:t>
            </w:r>
          </w:p>
        </w:tc>
      </w:tr>
      <w:tr w:rsidR="003E78AB" w14:paraId="07275958" w14:textId="77777777">
        <w:trPr>
          <w:trHeight w:val="340"/>
          <w:jc w:val="center"/>
        </w:trPr>
        <w:tc>
          <w:tcPr>
            <w:tcW w:w="256" w:type="pct"/>
            <w:vMerge/>
            <w:vAlign w:val="center"/>
          </w:tcPr>
          <w:p w14:paraId="34835F10" w14:textId="77777777" w:rsidR="003E78AB" w:rsidRDefault="003E78AB">
            <w:pPr>
              <w:pStyle w:val="aff6"/>
              <w:topLinePunct/>
            </w:pPr>
          </w:p>
        </w:tc>
        <w:tc>
          <w:tcPr>
            <w:tcW w:w="370" w:type="pct"/>
            <w:vMerge w:val="restart"/>
            <w:noWrap/>
            <w:vAlign w:val="center"/>
          </w:tcPr>
          <w:p w14:paraId="2EE2BA30" w14:textId="77777777" w:rsidR="003E78AB" w:rsidRDefault="00010BF9">
            <w:pPr>
              <w:pStyle w:val="aff6"/>
              <w:topLinePunct/>
            </w:pPr>
            <w:r>
              <w:t>环境敏感性</w:t>
            </w:r>
          </w:p>
        </w:tc>
        <w:tc>
          <w:tcPr>
            <w:tcW w:w="643" w:type="pct"/>
            <w:vMerge w:val="restart"/>
            <w:noWrap/>
            <w:vAlign w:val="center"/>
          </w:tcPr>
          <w:p w14:paraId="4B0D80F4" w14:textId="77777777" w:rsidR="003E78AB" w:rsidRDefault="00010BF9">
            <w:pPr>
              <w:pStyle w:val="aff6"/>
              <w:topLinePunct/>
            </w:pPr>
            <w:r>
              <w:t>大气</w:t>
            </w:r>
          </w:p>
        </w:tc>
        <w:tc>
          <w:tcPr>
            <w:tcW w:w="1847" w:type="pct"/>
            <w:gridSpan w:val="6"/>
            <w:noWrap/>
            <w:vAlign w:val="center"/>
          </w:tcPr>
          <w:p w14:paraId="6018EF59" w14:textId="77777777" w:rsidR="003E78AB" w:rsidRDefault="00010BF9">
            <w:pPr>
              <w:pStyle w:val="aff6"/>
              <w:topLinePunct/>
            </w:pPr>
            <w:r>
              <w:t>500m</w:t>
            </w:r>
            <w:r>
              <w:t>范围内人口数＜</w:t>
            </w:r>
            <w:r>
              <w:t>500</w:t>
            </w:r>
            <w:r>
              <w:t>人</w:t>
            </w:r>
          </w:p>
        </w:tc>
        <w:tc>
          <w:tcPr>
            <w:tcW w:w="1882" w:type="pct"/>
            <w:gridSpan w:val="8"/>
            <w:noWrap/>
            <w:vAlign w:val="center"/>
          </w:tcPr>
          <w:p w14:paraId="37A319F3" w14:textId="77777777" w:rsidR="003E78AB" w:rsidRDefault="00010BF9">
            <w:pPr>
              <w:pStyle w:val="aff6"/>
              <w:topLinePunct/>
            </w:pPr>
            <w:r>
              <w:t>5km</w:t>
            </w:r>
            <w:r>
              <w:t>范围内人口数</w:t>
            </w:r>
            <w:r>
              <w:rPr>
                <w:rFonts w:hint="eastAsia"/>
              </w:rPr>
              <w:t>＞</w:t>
            </w:r>
            <w:r>
              <w:t>10000</w:t>
            </w:r>
            <w:r>
              <w:t>人</w:t>
            </w:r>
          </w:p>
        </w:tc>
      </w:tr>
      <w:tr w:rsidR="003E78AB" w14:paraId="7CE75CA3" w14:textId="77777777">
        <w:trPr>
          <w:trHeight w:val="340"/>
          <w:jc w:val="center"/>
        </w:trPr>
        <w:tc>
          <w:tcPr>
            <w:tcW w:w="256" w:type="pct"/>
            <w:vMerge/>
            <w:vAlign w:val="center"/>
          </w:tcPr>
          <w:p w14:paraId="0B9B4530" w14:textId="77777777" w:rsidR="003E78AB" w:rsidRDefault="003E78AB">
            <w:pPr>
              <w:pStyle w:val="aff6"/>
              <w:topLinePunct/>
            </w:pPr>
          </w:p>
        </w:tc>
        <w:tc>
          <w:tcPr>
            <w:tcW w:w="370" w:type="pct"/>
            <w:vMerge/>
            <w:vAlign w:val="center"/>
          </w:tcPr>
          <w:p w14:paraId="5EB9E919" w14:textId="77777777" w:rsidR="003E78AB" w:rsidRDefault="003E78AB">
            <w:pPr>
              <w:pStyle w:val="aff6"/>
              <w:topLinePunct/>
            </w:pPr>
          </w:p>
        </w:tc>
        <w:tc>
          <w:tcPr>
            <w:tcW w:w="643" w:type="pct"/>
            <w:vMerge/>
            <w:vAlign w:val="center"/>
          </w:tcPr>
          <w:p w14:paraId="1D3059CC" w14:textId="77777777" w:rsidR="003E78AB" w:rsidRDefault="003E78AB">
            <w:pPr>
              <w:pStyle w:val="aff6"/>
              <w:topLinePunct/>
            </w:pPr>
          </w:p>
        </w:tc>
        <w:tc>
          <w:tcPr>
            <w:tcW w:w="2781" w:type="pct"/>
            <w:gridSpan w:val="11"/>
            <w:noWrap/>
            <w:vAlign w:val="center"/>
          </w:tcPr>
          <w:p w14:paraId="62F1A84C" w14:textId="77777777" w:rsidR="003E78AB" w:rsidRDefault="00010BF9">
            <w:pPr>
              <w:pStyle w:val="aff6"/>
              <w:topLinePunct/>
            </w:pPr>
            <w:r>
              <w:t>每公里管段周边</w:t>
            </w:r>
            <w:r>
              <w:t>200m</w:t>
            </w:r>
            <w:r>
              <w:t>范围内人口数</w:t>
            </w:r>
            <w:r>
              <w:rPr>
                <w:rFonts w:hint="eastAsia"/>
              </w:rPr>
              <w:t>（</w:t>
            </w:r>
            <w:r>
              <w:t>最大</w:t>
            </w:r>
            <w:r>
              <w:rPr>
                <w:rFonts w:hint="eastAsia"/>
              </w:rPr>
              <w:t>）</w:t>
            </w:r>
          </w:p>
        </w:tc>
        <w:tc>
          <w:tcPr>
            <w:tcW w:w="948" w:type="pct"/>
            <w:gridSpan w:val="3"/>
            <w:vAlign w:val="center"/>
          </w:tcPr>
          <w:p w14:paraId="6BD2467F" w14:textId="77777777" w:rsidR="003E78AB" w:rsidRDefault="00010BF9">
            <w:pPr>
              <w:pStyle w:val="aff6"/>
              <w:topLinePunct/>
            </w:pPr>
            <w:r>
              <w:rPr>
                <w:rFonts w:hint="eastAsia"/>
              </w:rPr>
              <w:t>/</w:t>
            </w:r>
            <w:r>
              <w:t>人</w:t>
            </w:r>
          </w:p>
        </w:tc>
      </w:tr>
      <w:tr w:rsidR="003E78AB" w14:paraId="4B518BA4" w14:textId="77777777">
        <w:trPr>
          <w:trHeight w:val="340"/>
          <w:jc w:val="center"/>
        </w:trPr>
        <w:tc>
          <w:tcPr>
            <w:tcW w:w="256" w:type="pct"/>
            <w:vMerge/>
            <w:vAlign w:val="center"/>
          </w:tcPr>
          <w:p w14:paraId="52D9C5A3" w14:textId="77777777" w:rsidR="003E78AB" w:rsidRDefault="003E78AB">
            <w:pPr>
              <w:pStyle w:val="aff6"/>
              <w:topLinePunct/>
            </w:pPr>
          </w:p>
        </w:tc>
        <w:tc>
          <w:tcPr>
            <w:tcW w:w="370" w:type="pct"/>
            <w:vMerge/>
            <w:vAlign w:val="center"/>
          </w:tcPr>
          <w:p w14:paraId="077FD1C3" w14:textId="77777777" w:rsidR="003E78AB" w:rsidRDefault="003E78AB">
            <w:pPr>
              <w:pStyle w:val="aff6"/>
              <w:topLinePunct/>
            </w:pPr>
          </w:p>
        </w:tc>
        <w:tc>
          <w:tcPr>
            <w:tcW w:w="643" w:type="pct"/>
            <w:vMerge w:val="restart"/>
            <w:noWrap/>
            <w:vAlign w:val="center"/>
          </w:tcPr>
          <w:p w14:paraId="4D9EED9F" w14:textId="77777777" w:rsidR="003E78AB" w:rsidRDefault="00010BF9">
            <w:pPr>
              <w:pStyle w:val="aff6"/>
              <w:topLinePunct/>
            </w:pPr>
            <w:r>
              <w:t>地表水</w:t>
            </w:r>
          </w:p>
        </w:tc>
        <w:tc>
          <w:tcPr>
            <w:tcW w:w="1253" w:type="pct"/>
            <w:gridSpan w:val="4"/>
            <w:noWrap/>
            <w:vAlign w:val="center"/>
          </w:tcPr>
          <w:p w14:paraId="650EC70C" w14:textId="77777777" w:rsidR="003E78AB" w:rsidRDefault="00010BF9">
            <w:pPr>
              <w:pStyle w:val="aff6"/>
              <w:topLinePunct/>
            </w:pPr>
            <w:r>
              <w:t>地表水功能敏感性</w:t>
            </w:r>
          </w:p>
        </w:tc>
        <w:tc>
          <w:tcPr>
            <w:tcW w:w="594" w:type="pct"/>
            <w:gridSpan w:val="2"/>
            <w:noWrap/>
            <w:vAlign w:val="center"/>
          </w:tcPr>
          <w:p w14:paraId="02F712D8" w14:textId="77777777" w:rsidR="003E78AB" w:rsidRDefault="00010BF9">
            <w:pPr>
              <w:pStyle w:val="aff6"/>
              <w:topLinePunct/>
            </w:pPr>
            <w:r>
              <w:t>F1</w:t>
            </w:r>
            <w:r>
              <w:sym w:font="Wingdings 2" w:char="00A3"/>
            </w:r>
          </w:p>
        </w:tc>
        <w:tc>
          <w:tcPr>
            <w:tcW w:w="934" w:type="pct"/>
            <w:gridSpan w:val="5"/>
            <w:noWrap/>
            <w:vAlign w:val="center"/>
          </w:tcPr>
          <w:p w14:paraId="5B9AA921" w14:textId="77777777" w:rsidR="003E78AB" w:rsidRDefault="00010BF9">
            <w:pPr>
              <w:pStyle w:val="aff6"/>
              <w:topLinePunct/>
            </w:pPr>
            <w:r>
              <w:t>F2</w:t>
            </w:r>
            <w:r>
              <w:sym w:font="Wingdings 2" w:char="00A3"/>
            </w:r>
          </w:p>
        </w:tc>
        <w:tc>
          <w:tcPr>
            <w:tcW w:w="948" w:type="pct"/>
            <w:gridSpan w:val="3"/>
            <w:noWrap/>
            <w:vAlign w:val="center"/>
          </w:tcPr>
          <w:p w14:paraId="57574DD3" w14:textId="77777777" w:rsidR="003E78AB" w:rsidRDefault="00010BF9">
            <w:pPr>
              <w:pStyle w:val="aff6"/>
              <w:topLinePunct/>
            </w:pPr>
            <w:r>
              <w:t>F3</w:t>
            </w:r>
            <w:r>
              <w:sym w:font="Wingdings 2" w:char="00A3"/>
            </w:r>
          </w:p>
        </w:tc>
      </w:tr>
      <w:tr w:rsidR="003E78AB" w14:paraId="7178BC1B" w14:textId="77777777">
        <w:trPr>
          <w:trHeight w:val="340"/>
          <w:jc w:val="center"/>
        </w:trPr>
        <w:tc>
          <w:tcPr>
            <w:tcW w:w="256" w:type="pct"/>
            <w:vMerge/>
            <w:vAlign w:val="center"/>
          </w:tcPr>
          <w:p w14:paraId="1266F350" w14:textId="77777777" w:rsidR="003E78AB" w:rsidRDefault="003E78AB">
            <w:pPr>
              <w:pStyle w:val="aff6"/>
              <w:topLinePunct/>
            </w:pPr>
          </w:p>
        </w:tc>
        <w:tc>
          <w:tcPr>
            <w:tcW w:w="370" w:type="pct"/>
            <w:vMerge/>
            <w:vAlign w:val="center"/>
          </w:tcPr>
          <w:p w14:paraId="12910AA6" w14:textId="77777777" w:rsidR="003E78AB" w:rsidRDefault="003E78AB">
            <w:pPr>
              <w:pStyle w:val="aff6"/>
              <w:topLinePunct/>
            </w:pPr>
          </w:p>
        </w:tc>
        <w:tc>
          <w:tcPr>
            <w:tcW w:w="643" w:type="pct"/>
            <w:vMerge/>
            <w:vAlign w:val="center"/>
          </w:tcPr>
          <w:p w14:paraId="615239D3" w14:textId="77777777" w:rsidR="003E78AB" w:rsidRDefault="003E78AB">
            <w:pPr>
              <w:pStyle w:val="aff6"/>
              <w:topLinePunct/>
            </w:pPr>
          </w:p>
        </w:tc>
        <w:tc>
          <w:tcPr>
            <w:tcW w:w="1253" w:type="pct"/>
            <w:gridSpan w:val="4"/>
            <w:noWrap/>
            <w:vAlign w:val="center"/>
          </w:tcPr>
          <w:p w14:paraId="2A814459" w14:textId="77777777" w:rsidR="003E78AB" w:rsidRDefault="00010BF9">
            <w:pPr>
              <w:pStyle w:val="aff6"/>
              <w:topLinePunct/>
            </w:pPr>
            <w:r>
              <w:t>环境敏感目标分级</w:t>
            </w:r>
          </w:p>
        </w:tc>
        <w:tc>
          <w:tcPr>
            <w:tcW w:w="594" w:type="pct"/>
            <w:gridSpan w:val="2"/>
            <w:noWrap/>
            <w:vAlign w:val="center"/>
          </w:tcPr>
          <w:p w14:paraId="3C27C500" w14:textId="77777777" w:rsidR="003E78AB" w:rsidRDefault="00010BF9">
            <w:pPr>
              <w:pStyle w:val="aff6"/>
              <w:topLinePunct/>
            </w:pPr>
            <w:r>
              <w:t>S1</w:t>
            </w:r>
            <w:r>
              <w:sym w:font="Wingdings 2" w:char="00A3"/>
            </w:r>
          </w:p>
        </w:tc>
        <w:tc>
          <w:tcPr>
            <w:tcW w:w="934" w:type="pct"/>
            <w:gridSpan w:val="5"/>
            <w:noWrap/>
            <w:vAlign w:val="center"/>
          </w:tcPr>
          <w:p w14:paraId="5CBD7374" w14:textId="77777777" w:rsidR="003E78AB" w:rsidRDefault="00010BF9">
            <w:pPr>
              <w:pStyle w:val="aff6"/>
              <w:topLinePunct/>
            </w:pPr>
            <w:r>
              <w:t>S2</w:t>
            </w:r>
            <w:r>
              <w:sym w:font="Wingdings 2" w:char="00A3"/>
            </w:r>
          </w:p>
        </w:tc>
        <w:tc>
          <w:tcPr>
            <w:tcW w:w="948" w:type="pct"/>
            <w:gridSpan w:val="3"/>
            <w:noWrap/>
            <w:vAlign w:val="center"/>
          </w:tcPr>
          <w:p w14:paraId="6B031CE7" w14:textId="77777777" w:rsidR="003E78AB" w:rsidRDefault="00010BF9">
            <w:pPr>
              <w:pStyle w:val="aff6"/>
              <w:topLinePunct/>
            </w:pPr>
            <w:r>
              <w:t>S3</w:t>
            </w:r>
            <w:r>
              <w:sym w:font="Wingdings 2" w:char="00A3"/>
            </w:r>
          </w:p>
        </w:tc>
      </w:tr>
      <w:tr w:rsidR="003E78AB" w14:paraId="77D07C7D" w14:textId="77777777">
        <w:trPr>
          <w:trHeight w:val="340"/>
          <w:jc w:val="center"/>
        </w:trPr>
        <w:tc>
          <w:tcPr>
            <w:tcW w:w="256" w:type="pct"/>
            <w:vMerge/>
            <w:vAlign w:val="center"/>
          </w:tcPr>
          <w:p w14:paraId="3FD5511E" w14:textId="77777777" w:rsidR="003E78AB" w:rsidRDefault="003E78AB">
            <w:pPr>
              <w:pStyle w:val="aff6"/>
              <w:topLinePunct/>
            </w:pPr>
          </w:p>
        </w:tc>
        <w:tc>
          <w:tcPr>
            <w:tcW w:w="370" w:type="pct"/>
            <w:vMerge/>
            <w:vAlign w:val="center"/>
          </w:tcPr>
          <w:p w14:paraId="7595C8BB" w14:textId="77777777" w:rsidR="003E78AB" w:rsidRDefault="003E78AB">
            <w:pPr>
              <w:pStyle w:val="aff6"/>
              <w:topLinePunct/>
            </w:pPr>
          </w:p>
        </w:tc>
        <w:tc>
          <w:tcPr>
            <w:tcW w:w="643" w:type="pct"/>
            <w:vMerge w:val="restart"/>
            <w:noWrap/>
            <w:vAlign w:val="center"/>
          </w:tcPr>
          <w:p w14:paraId="0E42B02A" w14:textId="77777777" w:rsidR="003E78AB" w:rsidRDefault="00010BF9">
            <w:pPr>
              <w:pStyle w:val="aff6"/>
              <w:topLinePunct/>
            </w:pPr>
            <w:r>
              <w:t>地下水</w:t>
            </w:r>
          </w:p>
        </w:tc>
        <w:tc>
          <w:tcPr>
            <w:tcW w:w="1253" w:type="pct"/>
            <w:gridSpan w:val="4"/>
            <w:noWrap/>
            <w:vAlign w:val="center"/>
          </w:tcPr>
          <w:p w14:paraId="2F6CE30C" w14:textId="77777777" w:rsidR="003E78AB" w:rsidRDefault="00010BF9">
            <w:pPr>
              <w:pStyle w:val="aff6"/>
              <w:topLinePunct/>
            </w:pPr>
            <w:r>
              <w:t>地下水功能敏感性</w:t>
            </w:r>
          </w:p>
        </w:tc>
        <w:tc>
          <w:tcPr>
            <w:tcW w:w="594" w:type="pct"/>
            <w:gridSpan w:val="2"/>
            <w:noWrap/>
            <w:vAlign w:val="center"/>
          </w:tcPr>
          <w:p w14:paraId="7F4F0824" w14:textId="77777777" w:rsidR="003E78AB" w:rsidRDefault="00010BF9">
            <w:pPr>
              <w:pStyle w:val="aff6"/>
              <w:topLinePunct/>
            </w:pPr>
            <w:r>
              <w:t>G1</w:t>
            </w:r>
            <w:r>
              <w:sym w:font="Wingdings 2" w:char="00A3"/>
            </w:r>
          </w:p>
        </w:tc>
        <w:tc>
          <w:tcPr>
            <w:tcW w:w="934" w:type="pct"/>
            <w:gridSpan w:val="5"/>
            <w:noWrap/>
            <w:vAlign w:val="center"/>
          </w:tcPr>
          <w:p w14:paraId="15F8438B" w14:textId="77777777" w:rsidR="003E78AB" w:rsidRDefault="00010BF9">
            <w:pPr>
              <w:pStyle w:val="aff6"/>
              <w:topLinePunct/>
            </w:pPr>
            <w:r>
              <w:t>G2</w:t>
            </w:r>
            <w:r>
              <w:sym w:font="Wingdings 2" w:char="00A3"/>
            </w:r>
          </w:p>
        </w:tc>
        <w:tc>
          <w:tcPr>
            <w:tcW w:w="948" w:type="pct"/>
            <w:gridSpan w:val="3"/>
            <w:noWrap/>
            <w:vAlign w:val="center"/>
          </w:tcPr>
          <w:p w14:paraId="7043E5B6" w14:textId="77777777" w:rsidR="003E78AB" w:rsidRDefault="00010BF9">
            <w:pPr>
              <w:pStyle w:val="aff6"/>
              <w:topLinePunct/>
            </w:pPr>
            <w:r>
              <w:t>G3</w:t>
            </w:r>
            <w:r>
              <w:sym w:font="Wingdings 2" w:char="0052"/>
            </w:r>
          </w:p>
        </w:tc>
      </w:tr>
      <w:tr w:rsidR="003E78AB" w14:paraId="2273AF34" w14:textId="77777777">
        <w:trPr>
          <w:trHeight w:val="340"/>
          <w:jc w:val="center"/>
        </w:trPr>
        <w:tc>
          <w:tcPr>
            <w:tcW w:w="256" w:type="pct"/>
            <w:vMerge/>
            <w:vAlign w:val="center"/>
          </w:tcPr>
          <w:p w14:paraId="1444AD8A" w14:textId="77777777" w:rsidR="003E78AB" w:rsidRDefault="003E78AB">
            <w:pPr>
              <w:pStyle w:val="aff6"/>
              <w:topLinePunct/>
            </w:pPr>
          </w:p>
        </w:tc>
        <w:tc>
          <w:tcPr>
            <w:tcW w:w="370" w:type="pct"/>
            <w:vMerge/>
            <w:vAlign w:val="center"/>
          </w:tcPr>
          <w:p w14:paraId="29C250CA" w14:textId="77777777" w:rsidR="003E78AB" w:rsidRDefault="003E78AB">
            <w:pPr>
              <w:pStyle w:val="aff6"/>
              <w:topLinePunct/>
            </w:pPr>
          </w:p>
        </w:tc>
        <w:tc>
          <w:tcPr>
            <w:tcW w:w="643" w:type="pct"/>
            <w:vMerge/>
            <w:vAlign w:val="center"/>
          </w:tcPr>
          <w:p w14:paraId="1EA21E11" w14:textId="77777777" w:rsidR="003E78AB" w:rsidRDefault="003E78AB">
            <w:pPr>
              <w:pStyle w:val="aff6"/>
              <w:topLinePunct/>
            </w:pPr>
          </w:p>
        </w:tc>
        <w:tc>
          <w:tcPr>
            <w:tcW w:w="1253" w:type="pct"/>
            <w:gridSpan w:val="4"/>
            <w:noWrap/>
            <w:vAlign w:val="center"/>
          </w:tcPr>
          <w:p w14:paraId="4C682CFE" w14:textId="77777777" w:rsidR="003E78AB" w:rsidRDefault="00010BF9">
            <w:pPr>
              <w:pStyle w:val="aff6"/>
              <w:topLinePunct/>
            </w:pPr>
            <w:r>
              <w:t>包气带防污性能</w:t>
            </w:r>
          </w:p>
        </w:tc>
        <w:tc>
          <w:tcPr>
            <w:tcW w:w="594" w:type="pct"/>
            <w:gridSpan w:val="2"/>
            <w:noWrap/>
            <w:vAlign w:val="center"/>
          </w:tcPr>
          <w:p w14:paraId="5392FCAA" w14:textId="77777777" w:rsidR="003E78AB" w:rsidRDefault="00010BF9">
            <w:pPr>
              <w:pStyle w:val="aff6"/>
              <w:topLinePunct/>
            </w:pPr>
            <w:r>
              <w:t>D1</w:t>
            </w:r>
            <w:r>
              <w:sym w:font="Wingdings 2" w:char="0052"/>
            </w:r>
          </w:p>
        </w:tc>
        <w:tc>
          <w:tcPr>
            <w:tcW w:w="934" w:type="pct"/>
            <w:gridSpan w:val="5"/>
            <w:noWrap/>
            <w:vAlign w:val="center"/>
          </w:tcPr>
          <w:p w14:paraId="48F3F148" w14:textId="77777777" w:rsidR="003E78AB" w:rsidRDefault="00010BF9">
            <w:pPr>
              <w:pStyle w:val="aff6"/>
              <w:topLinePunct/>
            </w:pPr>
            <w:r>
              <w:t>D2</w:t>
            </w:r>
            <w:r>
              <w:sym w:font="Wingdings 2" w:char="00A3"/>
            </w:r>
          </w:p>
        </w:tc>
        <w:tc>
          <w:tcPr>
            <w:tcW w:w="948" w:type="pct"/>
            <w:gridSpan w:val="3"/>
            <w:noWrap/>
            <w:vAlign w:val="center"/>
          </w:tcPr>
          <w:p w14:paraId="517C23BB" w14:textId="77777777" w:rsidR="003E78AB" w:rsidRDefault="00010BF9">
            <w:pPr>
              <w:pStyle w:val="aff6"/>
              <w:topLinePunct/>
            </w:pPr>
            <w:r>
              <w:t>D3</w:t>
            </w:r>
            <w:r>
              <w:sym w:font="Wingdings 2" w:char="00A3"/>
            </w:r>
          </w:p>
        </w:tc>
      </w:tr>
      <w:tr w:rsidR="003E78AB" w14:paraId="465CB6E2" w14:textId="77777777">
        <w:trPr>
          <w:trHeight w:val="340"/>
          <w:jc w:val="center"/>
        </w:trPr>
        <w:tc>
          <w:tcPr>
            <w:tcW w:w="626" w:type="pct"/>
            <w:gridSpan w:val="2"/>
            <w:vMerge w:val="restart"/>
            <w:noWrap/>
            <w:vAlign w:val="center"/>
          </w:tcPr>
          <w:p w14:paraId="4B151171" w14:textId="77777777" w:rsidR="003E78AB" w:rsidRDefault="00010BF9">
            <w:pPr>
              <w:pStyle w:val="aff6"/>
              <w:topLinePunct/>
            </w:pPr>
            <w:r>
              <w:t>物质及工艺系统危险性</w:t>
            </w:r>
          </w:p>
        </w:tc>
        <w:tc>
          <w:tcPr>
            <w:tcW w:w="643" w:type="pct"/>
            <w:noWrap/>
            <w:vAlign w:val="center"/>
          </w:tcPr>
          <w:p w14:paraId="024AF4B2" w14:textId="77777777" w:rsidR="003E78AB" w:rsidRDefault="00010BF9">
            <w:pPr>
              <w:pStyle w:val="aff6"/>
              <w:topLinePunct/>
            </w:pPr>
            <w:r>
              <w:t>Q</w:t>
            </w:r>
            <w:r>
              <w:t>值</w:t>
            </w:r>
          </w:p>
        </w:tc>
        <w:tc>
          <w:tcPr>
            <w:tcW w:w="1253" w:type="pct"/>
            <w:gridSpan w:val="4"/>
            <w:noWrap/>
            <w:vAlign w:val="center"/>
          </w:tcPr>
          <w:p w14:paraId="1099FF93" w14:textId="77777777" w:rsidR="003E78AB" w:rsidRDefault="00010BF9">
            <w:pPr>
              <w:pStyle w:val="aff6"/>
              <w:topLinePunct/>
            </w:pPr>
            <w:r>
              <w:t>Q&lt;1</w:t>
            </w:r>
            <w:r>
              <w:sym w:font="Wingdings 2" w:char="00A3"/>
            </w:r>
          </w:p>
        </w:tc>
        <w:tc>
          <w:tcPr>
            <w:tcW w:w="594" w:type="pct"/>
            <w:gridSpan w:val="2"/>
            <w:noWrap/>
            <w:vAlign w:val="center"/>
          </w:tcPr>
          <w:p w14:paraId="7EEE52A3" w14:textId="77777777" w:rsidR="003E78AB" w:rsidRDefault="00010BF9">
            <w:pPr>
              <w:pStyle w:val="aff6"/>
              <w:topLinePunct/>
            </w:pPr>
            <w:r>
              <w:t>1≤Q&lt;10</w:t>
            </w:r>
            <w:r>
              <w:sym w:font="Wingdings 2" w:char="00A3"/>
            </w:r>
          </w:p>
        </w:tc>
        <w:tc>
          <w:tcPr>
            <w:tcW w:w="934" w:type="pct"/>
            <w:gridSpan w:val="5"/>
            <w:noWrap/>
            <w:vAlign w:val="center"/>
          </w:tcPr>
          <w:p w14:paraId="17E53CD1" w14:textId="77777777" w:rsidR="003E78AB" w:rsidRDefault="00010BF9">
            <w:pPr>
              <w:pStyle w:val="aff6"/>
              <w:topLinePunct/>
            </w:pPr>
            <w:r>
              <w:t>10≤Q&lt;100</w:t>
            </w:r>
            <w:r>
              <w:sym w:font="Wingdings 2" w:char="00A3"/>
            </w:r>
          </w:p>
        </w:tc>
        <w:tc>
          <w:tcPr>
            <w:tcW w:w="948" w:type="pct"/>
            <w:gridSpan w:val="3"/>
            <w:noWrap/>
            <w:vAlign w:val="center"/>
          </w:tcPr>
          <w:p w14:paraId="505ACC4E" w14:textId="77777777" w:rsidR="003E78AB" w:rsidRDefault="00010BF9">
            <w:pPr>
              <w:pStyle w:val="aff6"/>
              <w:topLinePunct/>
            </w:pPr>
            <w:r>
              <w:t>Q&gt;100</w:t>
            </w:r>
            <w:r>
              <w:sym w:font="Wingdings 2" w:char="0052"/>
            </w:r>
          </w:p>
        </w:tc>
      </w:tr>
      <w:tr w:rsidR="003E78AB" w14:paraId="64F953F3" w14:textId="77777777">
        <w:trPr>
          <w:trHeight w:val="340"/>
          <w:jc w:val="center"/>
        </w:trPr>
        <w:tc>
          <w:tcPr>
            <w:tcW w:w="626" w:type="pct"/>
            <w:gridSpan w:val="2"/>
            <w:vMerge/>
            <w:vAlign w:val="center"/>
          </w:tcPr>
          <w:p w14:paraId="6DE0E12D" w14:textId="77777777" w:rsidR="003E78AB" w:rsidRDefault="003E78AB">
            <w:pPr>
              <w:pStyle w:val="aff6"/>
              <w:topLinePunct/>
            </w:pPr>
          </w:p>
        </w:tc>
        <w:tc>
          <w:tcPr>
            <w:tcW w:w="643" w:type="pct"/>
            <w:noWrap/>
            <w:vAlign w:val="center"/>
          </w:tcPr>
          <w:p w14:paraId="672B7CD2" w14:textId="77777777" w:rsidR="003E78AB" w:rsidRDefault="00010BF9">
            <w:pPr>
              <w:pStyle w:val="aff6"/>
              <w:topLinePunct/>
            </w:pPr>
            <w:r>
              <w:t>M</w:t>
            </w:r>
            <w:r>
              <w:t>值</w:t>
            </w:r>
          </w:p>
        </w:tc>
        <w:tc>
          <w:tcPr>
            <w:tcW w:w="1253" w:type="pct"/>
            <w:gridSpan w:val="4"/>
            <w:noWrap/>
            <w:vAlign w:val="center"/>
          </w:tcPr>
          <w:p w14:paraId="0A607FB3" w14:textId="77777777" w:rsidR="003E78AB" w:rsidRDefault="00010BF9">
            <w:pPr>
              <w:pStyle w:val="aff6"/>
              <w:topLinePunct/>
            </w:pPr>
            <w:r>
              <w:t>M1</w:t>
            </w:r>
            <w:r>
              <w:sym w:font="Wingdings 2" w:char="00A3"/>
            </w:r>
          </w:p>
        </w:tc>
        <w:tc>
          <w:tcPr>
            <w:tcW w:w="594" w:type="pct"/>
            <w:gridSpan w:val="2"/>
            <w:noWrap/>
            <w:vAlign w:val="center"/>
          </w:tcPr>
          <w:p w14:paraId="330FAFB9" w14:textId="77777777" w:rsidR="003E78AB" w:rsidRDefault="00010BF9">
            <w:pPr>
              <w:pStyle w:val="aff6"/>
              <w:topLinePunct/>
            </w:pPr>
            <w:r>
              <w:t>M2</w:t>
            </w:r>
            <w:r>
              <w:sym w:font="Wingdings 2" w:char="00A3"/>
            </w:r>
          </w:p>
        </w:tc>
        <w:tc>
          <w:tcPr>
            <w:tcW w:w="934" w:type="pct"/>
            <w:gridSpan w:val="5"/>
            <w:noWrap/>
            <w:vAlign w:val="center"/>
          </w:tcPr>
          <w:p w14:paraId="7BD520CC" w14:textId="77777777" w:rsidR="003E78AB" w:rsidRDefault="00010BF9">
            <w:pPr>
              <w:pStyle w:val="aff6"/>
              <w:topLinePunct/>
            </w:pPr>
            <w:r>
              <w:t>M3</w:t>
            </w:r>
            <w:r>
              <w:sym w:font="Wingdings 2" w:char="00A3"/>
            </w:r>
          </w:p>
        </w:tc>
        <w:tc>
          <w:tcPr>
            <w:tcW w:w="948" w:type="pct"/>
            <w:gridSpan w:val="3"/>
            <w:noWrap/>
            <w:vAlign w:val="center"/>
          </w:tcPr>
          <w:p w14:paraId="3A583516" w14:textId="77777777" w:rsidR="003E78AB" w:rsidRDefault="00010BF9">
            <w:pPr>
              <w:pStyle w:val="aff6"/>
              <w:topLinePunct/>
            </w:pPr>
            <w:r>
              <w:t>M4</w:t>
            </w:r>
            <w:r>
              <w:sym w:font="Wingdings 2" w:char="0052"/>
            </w:r>
          </w:p>
        </w:tc>
      </w:tr>
      <w:tr w:rsidR="003E78AB" w14:paraId="3D331F42" w14:textId="77777777">
        <w:trPr>
          <w:trHeight w:val="340"/>
          <w:jc w:val="center"/>
        </w:trPr>
        <w:tc>
          <w:tcPr>
            <w:tcW w:w="626" w:type="pct"/>
            <w:gridSpan w:val="2"/>
            <w:vMerge/>
            <w:vAlign w:val="center"/>
          </w:tcPr>
          <w:p w14:paraId="4C166BA4" w14:textId="77777777" w:rsidR="003E78AB" w:rsidRDefault="003E78AB">
            <w:pPr>
              <w:pStyle w:val="aff6"/>
              <w:topLinePunct/>
            </w:pPr>
          </w:p>
        </w:tc>
        <w:tc>
          <w:tcPr>
            <w:tcW w:w="643" w:type="pct"/>
            <w:noWrap/>
            <w:vAlign w:val="center"/>
          </w:tcPr>
          <w:p w14:paraId="132C4EAB" w14:textId="77777777" w:rsidR="003E78AB" w:rsidRDefault="00010BF9">
            <w:pPr>
              <w:pStyle w:val="aff6"/>
              <w:topLinePunct/>
            </w:pPr>
            <w:r>
              <w:t>P</w:t>
            </w:r>
            <w:r>
              <w:t>值</w:t>
            </w:r>
          </w:p>
        </w:tc>
        <w:tc>
          <w:tcPr>
            <w:tcW w:w="1253" w:type="pct"/>
            <w:gridSpan w:val="4"/>
            <w:noWrap/>
            <w:vAlign w:val="center"/>
          </w:tcPr>
          <w:p w14:paraId="25D2B2AA" w14:textId="77777777" w:rsidR="003E78AB" w:rsidRDefault="00010BF9">
            <w:pPr>
              <w:pStyle w:val="aff6"/>
              <w:topLinePunct/>
            </w:pPr>
            <w:r>
              <w:t>P1</w:t>
            </w:r>
            <w:r>
              <w:sym w:font="Wingdings 2" w:char="00A3"/>
            </w:r>
          </w:p>
        </w:tc>
        <w:tc>
          <w:tcPr>
            <w:tcW w:w="594" w:type="pct"/>
            <w:gridSpan w:val="2"/>
            <w:noWrap/>
            <w:vAlign w:val="center"/>
          </w:tcPr>
          <w:p w14:paraId="1F1CF49C" w14:textId="77777777" w:rsidR="003E78AB" w:rsidRDefault="00010BF9">
            <w:pPr>
              <w:pStyle w:val="aff6"/>
              <w:topLinePunct/>
            </w:pPr>
            <w:r>
              <w:t>P2</w:t>
            </w:r>
            <w:r>
              <w:sym w:font="Wingdings 2" w:char="00A3"/>
            </w:r>
          </w:p>
        </w:tc>
        <w:tc>
          <w:tcPr>
            <w:tcW w:w="934" w:type="pct"/>
            <w:gridSpan w:val="5"/>
            <w:noWrap/>
            <w:vAlign w:val="center"/>
          </w:tcPr>
          <w:p w14:paraId="34E0B7C6" w14:textId="77777777" w:rsidR="003E78AB" w:rsidRDefault="00010BF9">
            <w:pPr>
              <w:pStyle w:val="aff6"/>
              <w:topLinePunct/>
            </w:pPr>
            <w:r>
              <w:t>P3</w:t>
            </w:r>
            <w:r>
              <w:sym w:font="Wingdings 2" w:char="0052"/>
            </w:r>
          </w:p>
        </w:tc>
        <w:tc>
          <w:tcPr>
            <w:tcW w:w="948" w:type="pct"/>
            <w:gridSpan w:val="3"/>
            <w:noWrap/>
            <w:vAlign w:val="center"/>
          </w:tcPr>
          <w:p w14:paraId="2BF6FC20" w14:textId="77777777" w:rsidR="003E78AB" w:rsidRDefault="00010BF9">
            <w:pPr>
              <w:pStyle w:val="aff6"/>
              <w:topLinePunct/>
            </w:pPr>
            <w:r>
              <w:t>P4</w:t>
            </w:r>
            <w:r>
              <w:sym w:font="Wingdings 2" w:char="00A3"/>
            </w:r>
          </w:p>
        </w:tc>
      </w:tr>
      <w:tr w:rsidR="003E78AB" w14:paraId="76BCC7D0" w14:textId="77777777">
        <w:trPr>
          <w:trHeight w:val="340"/>
          <w:jc w:val="center"/>
        </w:trPr>
        <w:tc>
          <w:tcPr>
            <w:tcW w:w="626" w:type="pct"/>
            <w:gridSpan w:val="2"/>
            <w:vMerge w:val="restart"/>
            <w:noWrap/>
            <w:vAlign w:val="center"/>
          </w:tcPr>
          <w:p w14:paraId="6D42F353" w14:textId="77777777" w:rsidR="003E78AB" w:rsidRDefault="00010BF9">
            <w:pPr>
              <w:pStyle w:val="aff6"/>
              <w:topLinePunct/>
            </w:pPr>
            <w:r>
              <w:t>环境敏感程度</w:t>
            </w:r>
          </w:p>
        </w:tc>
        <w:tc>
          <w:tcPr>
            <w:tcW w:w="643" w:type="pct"/>
            <w:noWrap/>
            <w:vAlign w:val="center"/>
          </w:tcPr>
          <w:p w14:paraId="3C7DBAE0" w14:textId="77777777" w:rsidR="003E78AB" w:rsidRDefault="00010BF9">
            <w:pPr>
              <w:pStyle w:val="aff6"/>
              <w:topLinePunct/>
            </w:pPr>
            <w:r>
              <w:t>大气</w:t>
            </w:r>
          </w:p>
        </w:tc>
        <w:tc>
          <w:tcPr>
            <w:tcW w:w="1253" w:type="pct"/>
            <w:gridSpan w:val="4"/>
            <w:noWrap/>
            <w:vAlign w:val="center"/>
          </w:tcPr>
          <w:p w14:paraId="3E7709CD" w14:textId="77777777" w:rsidR="003E78AB" w:rsidRDefault="00010BF9">
            <w:pPr>
              <w:pStyle w:val="aff6"/>
              <w:topLinePunct/>
            </w:pPr>
            <w:r>
              <w:t>E1</w:t>
            </w:r>
            <w:r>
              <w:sym w:font="Wingdings 2" w:char="00A3"/>
            </w:r>
          </w:p>
        </w:tc>
        <w:tc>
          <w:tcPr>
            <w:tcW w:w="1100" w:type="pct"/>
            <w:gridSpan w:val="5"/>
            <w:noWrap/>
            <w:vAlign w:val="center"/>
          </w:tcPr>
          <w:p w14:paraId="77BFE2EC" w14:textId="77777777" w:rsidR="003E78AB" w:rsidRDefault="00010BF9">
            <w:pPr>
              <w:pStyle w:val="aff6"/>
              <w:topLinePunct/>
            </w:pPr>
            <w:r>
              <w:t>E2</w:t>
            </w:r>
            <w:r>
              <w:sym w:font="Wingdings 2" w:char="0052"/>
            </w:r>
          </w:p>
        </w:tc>
        <w:tc>
          <w:tcPr>
            <w:tcW w:w="1376" w:type="pct"/>
            <w:gridSpan w:val="5"/>
            <w:noWrap/>
            <w:vAlign w:val="center"/>
          </w:tcPr>
          <w:p w14:paraId="177175B1" w14:textId="77777777" w:rsidR="003E78AB" w:rsidRDefault="00010BF9">
            <w:pPr>
              <w:pStyle w:val="aff6"/>
              <w:topLinePunct/>
            </w:pPr>
            <w:r>
              <w:t>E3</w:t>
            </w:r>
            <w:r>
              <w:sym w:font="Wingdings 2" w:char="00A3"/>
            </w:r>
          </w:p>
        </w:tc>
      </w:tr>
      <w:tr w:rsidR="003E78AB" w14:paraId="6180908E" w14:textId="77777777">
        <w:trPr>
          <w:trHeight w:val="340"/>
          <w:jc w:val="center"/>
        </w:trPr>
        <w:tc>
          <w:tcPr>
            <w:tcW w:w="626" w:type="pct"/>
            <w:gridSpan w:val="2"/>
            <w:vMerge/>
            <w:vAlign w:val="center"/>
          </w:tcPr>
          <w:p w14:paraId="434A5F76" w14:textId="77777777" w:rsidR="003E78AB" w:rsidRDefault="003E78AB">
            <w:pPr>
              <w:pStyle w:val="aff6"/>
              <w:topLinePunct/>
            </w:pPr>
          </w:p>
        </w:tc>
        <w:tc>
          <w:tcPr>
            <w:tcW w:w="643" w:type="pct"/>
            <w:noWrap/>
            <w:vAlign w:val="center"/>
          </w:tcPr>
          <w:p w14:paraId="173D1719" w14:textId="77777777" w:rsidR="003E78AB" w:rsidRDefault="00010BF9">
            <w:pPr>
              <w:pStyle w:val="aff6"/>
              <w:topLinePunct/>
            </w:pPr>
            <w:r>
              <w:t>地表水</w:t>
            </w:r>
          </w:p>
        </w:tc>
        <w:tc>
          <w:tcPr>
            <w:tcW w:w="1253" w:type="pct"/>
            <w:gridSpan w:val="4"/>
            <w:noWrap/>
            <w:vAlign w:val="center"/>
          </w:tcPr>
          <w:p w14:paraId="1DABDCC5" w14:textId="77777777" w:rsidR="003E78AB" w:rsidRDefault="00010BF9">
            <w:pPr>
              <w:pStyle w:val="aff6"/>
              <w:topLinePunct/>
            </w:pPr>
            <w:r>
              <w:t>E1</w:t>
            </w:r>
            <w:r>
              <w:sym w:font="Wingdings 2" w:char="00A3"/>
            </w:r>
          </w:p>
        </w:tc>
        <w:tc>
          <w:tcPr>
            <w:tcW w:w="1100" w:type="pct"/>
            <w:gridSpan w:val="5"/>
            <w:noWrap/>
            <w:vAlign w:val="center"/>
          </w:tcPr>
          <w:p w14:paraId="65413E5E" w14:textId="77777777" w:rsidR="003E78AB" w:rsidRDefault="00010BF9">
            <w:pPr>
              <w:pStyle w:val="aff6"/>
              <w:topLinePunct/>
            </w:pPr>
            <w:r>
              <w:t>E2</w:t>
            </w:r>
            <w:r>
              <w:sym w:font="Wingdings 2" w:char="00A3"/>
            </w:r>
          </w:p>
        </w:tc>
        <w:tc>
          <w:tcPr>
            <w:tcW w:w="1376" w:type="pct"/>
            <w:gridSpan w:val="5"/>
            <w:noWrap/>
            <w:vAlign w:val="center"/>
          </w:tcPr>
          <w:p w14:paraId="13027CF5" w14:textId="77777777" w:rsidR="003E78AB" w:rsidRDefault="00010BF9">
            <w:pPr>
              <w:pStyle w:val="aff6"/>
              <w:topLinePunct/>
            </w:pPr>
            <w:r>
              <w:t>E3</w:t>
            </w:r>
            <w:r>
              <w:sym w:font="Wingdings 2" w:char="0052"/>
            </w:r>
          </w:p>
        </w:tc>
      </w:tr>
      <w:tr w:rsidR="003E78AB" w14:paraId="73BECB81" w14:textId="77777777">
        <w:trPr>
          <w:trHeight w:val="340"/>
          <w:jc w:val="center"/>
        </w:trPr>
        <w:tc>
          <w:tcPr>
            <w:tcW w:w="626" w:type="pct"/>
            <w:gridSpan w:val="2"/>
            <w:vMerge/>
            <w:vAlign w:val="center"/>
          </w:tcPr>
          <w:p w14:paraId="1C36715A" w14:textId="77777777" w:rsidR="003E78AB" w:rsidRDefault="003E78AB">
            <w:pPr>
              <w:pStyle w:val="aff6"/>
              <w:topLinePunct/>
            </w:pPr>
          </w:p>
        </w:tc>
        <w:tc>
          <w:tcPr>
            <w:tcW w:w="643" w:type="pct"/>
            <w:noWrap/>
            <w:vAlign w:val="center"/>
          </w:tcPr>
          <w:p w14:paraId="6FA75465" w14:textId="77777777" w:rsidR="003E78AB" w:rsidRDefault="00010BF9">
            <w:pPr>
              <w:pStyle w:val="aff6"/>
              <w:topLinePunct/>
            </w:pPr>
            <w:r>
              <w:t>地下水</w:t>
            </w:r>
          </w:p>
        </w:tc>
        <w:tc>
          <w:tcPr>
            <w:tcW w:w="1253" w:type="pct"/>
            <w:gridSpan w:val="4"/>
            <w:noWrap/>
            <w:vAlign w:val="center"/>
          </w:tcPr>
          <w:p w14:paraId="015DAA92" w14:textId="77777777" w:rsidR="003E78AB" w:rsidRDefault="00010BF9">
            <w:pPr>
              <w:pStyle w:val="aff6"/>
              <w:topLinePunct/>
            </w:pPr>
            <w:r>
              <w:t>E1</w:t>
            </w:r>
            <w:r>
              <w:sym w:font="Wingdings 2" w:char="00A3"/>
            </w:r>
          </w:p>
        </w:tc>
        <w:tc>
          <w:tcPr>
            <w:tcW w:w="1100" w:type="pct"/>
            <w:gridSpan w:val="5"/>
            <w:noWrap/>
            <w:vAlign w:val="center"/>
          </w:tcPr>
          <w:p w14:paraId="01654A88" w14:textId="77777777" w:rsidR="003E78AB" w:rsidRDefault="00010BF9">
            <w:pPr>
              <w:pStyle w:val="aff6"/>
              <w:topLinePunct/>
            </w:pPr>
            <w:r>
              <w:t>E2</w:t>
            </w:r>
            <w:r>
              <w:sym w:font="Wingdings 2" w:char="0052"/>
            </w:r>
          </w:p>
        </w:tc>
        <w:tc>
          <w:tcPr>
            <w:tcW w:w="1376" w:type="pct"/>
            <w:gridSpan w:val="5"/>
            <w:noWrap/>
            <w:vAlign w:val="center"/>
          </w:tcPr>
          <w:p w14:paraId="25E8EC52" w14:textId="77777777" w:rsidR="003E78AB" w:rsidRDefault="00010BF9">
            <w:pPr>
              <w:pStyle w:val="aff6"/>
              <w:topLinePunct/>
            </w:pPr>
            <w:r>
              <w:t>E3</w:t>
            </w:r>
            <w:r>
              <w:sym w:font="Wingdings 2" w:char="00A3"/>
            </w:r>
          </w:p>
        </w:tc>
      </w:tr>
      <w:tr w:rsidR="003E78AB" w14:paraId="3BCE7346" w14:textId="77777777">
        <w:trPr>
          <w:trHeight w:val="340"/>
          <w:jc w:val="center"/>
        </w:trPr>
        <w:tc>
          <w:tcPr>
            <w:tcW w:w="626" w:type="pct"/>
            <w:gridSpan w:val="2"/>
            <w:vAlign w:val="center"/>
          </w:tcPr>
          <w:p w14:paraId="799210E1" w14:textId="77777777" w:rsidR="003E78AB" w:rsidRDefault="00010BF9">
            <w:pPr>
              <w:pStyle w:val="aff6"/>
              <w:topLinePunct/>
            </w:pPr>
            <w:r>
              <w:t>环境风险潜势</w:t>
            </w:r>
          </w:p>
        </w:tc>
        <w:tc>
          <w:tcPr>
            <w:tcW w:w="643" w:type="pct"/>
            <w:noWrap/>
            <w:vAlign w:val="center"/>
          </w:tcPr>
          <w:p w14:paraId="739E7774" w14:textId="77777777" w:rsidR="003E78AB" w:rsidRDefault="00010BF9">
            <w:pPr>
              <w:pStyle w:val="aff6"/>
              <w:topLinePunct/>
            </w:pPr>
            <w:r>
              <w:t>IV+</w:t>
            </w:r>
            <w:r>
              <w:sym w:font="Wingdings 2" w:char="00A3"/>
            </w:r>
          </w:p>
        </w:tc>
        <w:tc>
          <w:tcPr>
            <w:tcW w:w="1253" w:type="pct"/>
            <w:gridSpan w:val="4"/>
            <w:vAlign w:val="center"/>
          </w:tcPr>
          <w:p w14:paraId="215996C0" w14:textId="77777777" w:rsidR="003E78AB" w:rsidRDefault="00010BF9">
            <w:pPr>
              <w:pStyle w:val="aff6"/>
              <w:topLinePunct/>
            </w:pPr>
            <w:r>
              <w:t>IV</w:t>
            </w:r>
            <w:r>
              <w:sym w:font="Wingdings 2" w:char="00A3"/>
            </w:r>
          </w:p>
        </w:tc>
        <w:tc>
          <w:tcPr>
            <w:tcW w:w="617" w:type="pct"/>
            <w:gridSpan w:val="3"/>
            <w:vAlign w:val="center"/>
          </w:tcPr>
          <w:p w14:paraId="04F9161A" w14:textId="77777777" w:rsidR="003E78AB" w:rsidRDefault="00010BF9">
            <w:pPr>
              <w:pStyle w:val="aff6"/>
              <w:topLinePunct/>
            </w:pPr>
            <w:r>
              <w:t>III</w:t>
            </w:r>
            <w:r>
              <w:sym w:font="Wingdings 2" w:char="0052"/>
            </w:r>
          </w:p>
        </w:tc>
        <w:tc>
          <w:tcPr>
            <w:tcW w:w="910" w:type="pct"/>
            <w:gridSpan w:val="4"/>
            <w:vAlign w:val="center"/>
          </w:tcPr>
          <w:p w14:paraId="62D18875" w14:textId="77777777" w:rsidR="003E78AB" w:rsidRDefault="00010BF9">
            <w:pPr>
              <w:pStyle w:val="aff6"/>
              <w:topLinePunct/>
            </w:pPr>
            <w:r>
              <w:t>II</w:t>
            </w:r>
            <w:r>
              <w:sym w:font="Wingdings 2" w:char="00A3"/>
            </w:r>
          </w:p>
        </w:tc>
        <w:tc>
          <w:tcPr>
            <w:tcW w:w="948" w:type="pct"/>
            <w:gridSpan w:val="3"/>
            <w:vAlign w:val="center"/>
          </w:tcPr>
          <w:p w14:paraId="1B6CE65E" w14:textId="77777777" w:rsidR="003E78AB" w:rsidRDefault="00010BF9">
            <w:pPr>
              <w:pStyle w:val="aff6"/>
              <w:topLinePunct/>
            </w:pPr>
            <w:r>
              <w:t>I</w:t>
            </w:r>
            <w:r>
              <w:sym w:font="Wingdings 2" w:char="00A3"/>
            </w:r>
          </w:p>
        </w:tc>
      </w:tr>
      <w:tr w:rsidR="003E78AB" w14:paraId="1FCD3046" w14:textId="77777777">
        <w:trPr>
          <w:trHeight w:val="340"/>
          <w:jc w:val="center"/>
        </w:trPr>
        <w:tc>
          <w:tcPr>
            <w:tcW w:w="626" w:type="pct"/>
            <w:gridSpan w:val="2"/>
            <w:noWrap/>
            <w:vAlign w:val="center"/>
          </w:tcPr>
          <w:p w14:paraId="7A291713" w14:textId="77777777" w:rsidR="003E78AB" w:rsidRDefault="00010BF9">
            <w:pPr>
              <w:pStyle w:val="aff6"/>
              <w:topLinePunct/>
            </w:pPr>
            <w:r>
              <w:t>评价等级</w:t>
            </w:r>
          </w:p>
        </w:tc>
        <w:tc>
          <w:tcPr>
            <w:tcW w:w="1896" w:type="pct"/>
            <w:gridSpan w:val="5"/>
            <w:noWrap/>
            <w:vAlign w:val="center"/>
          </w:tcPr>
          <w:p w14:paraId="15671B28" w14:textId="77777777" w:rsidR="003E78AB" w:rsidRDefault="00010BF9">
            <w:pPr>
              <w:pStyle w:val="aff6"/>
              <w:topLinePunct/>
            </w:pPr>
            <w:r>
              <w:t>一级</w:t>
            </w:r>
            <w:r>
              <w:sym w:font="Wingdings 2" w:char="00A3"/>
            </w:r>
          </w:p>
        </w:tc>
        <w:tc>
          <w:tcPr>
            <w:tcW w:w="617" w:type="pct"/>
            <w:gridSpan w:val="3"/>
            <w:noWrap/>
            <w:vAlign w:val="center"/>
          </w:tcPr>
          <w:p w14:paraId="2F898CB2" w14:textId="77777777" w:rsidR="003E78AB" w:rsidRDefault="00010BF9">
            <w:pPr>
              <w:pStyle w:val="aff6"/>
              <w:topLinePunct/>
            </w:pPr>
            <w:r>
              <w:t>二级</w:t>
            </w:r>
            <w:r>
              <w:sym w:font="Wingdings 2" w:char="0052"/>
            </w:r>
          </w:p>
        </w:tc>
        <w:tc>
          <w:tcPr>
            <w:tcW w:w="910" w:type="pct"/>
            <w:gridSpan w:val="4"/>
            <w:noWrap/>
            <w:vAlign w:val="center"/>
          </w:tcPr>
          <w:p w14:paraId="4AE76739" w14:textId="77777777" w:rsidR="003E78AB" w:rsidRDefault="00010BF9">
            <w:pPr>
              <w:pStyle w:val="aff6"/>
              <w:topLinePunct/>
            </w:pPr>
            <w:r>
              <w:t>三级</w:t>
            </w:r>
            <w:r>
              <w:sym w:font="Wingdings 2" w:char="00A3"/>
            </w:r>
          </w:p>
        </w:tc>
        <w:tc>
          <w:tcPr>
            <w:tcW w:w="948" w:type="pct"/>
            <w:gridSpan w:val="3"/>
            <w:noWrap/>
            <w:vAlign w:val="center"/>
          </w:tcPr>
          <w:p w14:paraId="2A6FD864" w14:textId="77777777" w:rsidR="003E78AB" w:rsidRDefault="00010BF9">
            <w:pPr>
              <w:pStyle w:val="aff6"/>
              <w:topLinePunct/>
            </w:pPr>
            <w:r>
              <w:t>简单分析</w:t>
            </w:r>
            <w:r>
              <w:sym w:font="Wingdings 2" w:char="00A3"/>
            </w:r>
          </w:p>
        </w:tc>
      </w:tr>
      <w:tr w:rsidR="003E78AB" w14:paraId="48AC9F25" w14:textId="77777777">
        <w:trPr>
          <w:trHeight w:val="340"/>
          <w:jc w:val="center"/>
        </w:trPr>
        <w:tc>
          <w:tcPr>
            <w:tcW w:w="256" w:type="pct"/>
            <w:vMerge w:val="restart"/>
            <w:noWrap/>
            <w:vAlign w:val="center"/>
          </w:tcPr>
          <w:p w14:paraId="1DC1ACE5" w14:textId="77777777" w:rsidR="003E78AB" w:rsidRDefault="00010BF9">
            <w:pPr>
              <w:pStyle w:val="aff6"/>
              <w:topLinePunct/>
            </w:pPr>
            <w:r>
              <w:t>风险识别</w:t>
            </w:r>
          </w:p>
        </w:tc>
        <w:tc>
          <w:tcPr>
            <w:tcW w:w="370" w:type="pct"/>
            <w:noWrap/>
            <w:vAlign w:val="center"/>
          </w:tcPr>
          <w:p w14:paraId="2A12A143" w14:textId="77777777" w:rsidR="003E78AB" w:rsidRDefault="00010BF9">
            <w:pPr>
              <w:pStyle w:val="aff6"/>
              <w:topLinePunct/>
            </w:pPr>
            <w:r>
              <w:t>物质危险性</w:t>
            </w:r>
          </w:p>
        </w:tc>
        <w:tc>
          <w:tcPr>
            <w:tcW w:w="1896" w:type="pct"/>
            <w:gridSpan w:val="5"/>
            <w:noWrap/>
            <w:vAlign w:val="center"/>
          </w:tcPr>
          <w:p w14:paraId="27C1598A" w14:textId="77777777" w:rsidR="003E78AB" w:rsidRDefault="00010BF9">
            <w:pPr>
              <w:pStyle w:val="aff6"/>
              <w:topLinePunct/>
            </w:pPr>
            <w:r>
              <w:t>有毒有害</w:t>
            </w:r>
            <w:r>
              <w:sym w:font="Wingdings 2" w:char="0052"/>
            </w:r>
          </w:p>
        </w:tc>
        <w:tc>
          <w:tcPr>
            <w:tcW w:w="2476" w:type="pct"/>
            <w:gridSpan w:val="10"/>
            <w:vAlign w:val="center"/>
          </w:tcPr>
          <w:p w14:paraId="3F94C093" w14:textId="77777777" w:rsidR="003E78AB" w:rsidRDefault="00010BF9">
            <w:pPr>
              <w:pStyle w:val="aff6"/>
              <w:topLinePunct/>
            </w:pPr>
            <w:r>
              <w:t>易燃易爆</w:t>
            </w:r>
            <w:r>
              <w:sym w:font="Wingdings 2" w:char="0052"/>
            </w:r>
          </w:p>
        </w:tc>
      </w:tr>
      <w:tr w:rsidR="003E78AB" w14:paraId="568B7206" w14:textId="77777777">
        <w:trPr>
          <w:trHeight w:val="340"/>
          <w:jc w:val="center"/>
        </w:trPr>
        <w:tc>
          <w:tcPr>
            <w:tcW w:w="256" w:type="pct"/>
            <w:vMerge/>
            <w:vAlign w:val="center"/>
          </w:tcPr>
          <w:p w14:paraId="21621CD2" w14:textId="77777777" w:rsidR="003E78AB" w:rsidRDefault="003E78AB">
            <w:pPr>
              <w:pStyle w:val="aff6"/>
              <w:topLinePunct/>
            </w:pPr>
          </w:p>
        </w:tc>
        <w:tc>
          <w:tcPr>
            <w:tcW w:w="370" w:type="pct"/>
            <w:noWrap/>
            <w:vAlign w:val="center"/>
          </w:tcPr>
          <w:p w14:paraId="4BF8579D" w14:textId="77777777" w:rsidR="003E78AB" w:rsidRDefault="00010BF9">
            <w:pPr>
              <w:pStyle w:val="aff6"/>
              <w:topLinePunct/>
            </w:pPr>
            <w:r>
              <w:t>环境风险类型</w:t>
            </w:r>
          </w:p>
        </w:tc>
        <w:tc>
          <w:tcPr>
            <w:tcW w:w="1896" w:type="pct"/>
            <w:gridSpan w:val="5"/>
            <w:noWrap/>
            <w:vAlign w:val="center"/>
          </w:tcPr>
          <w:p w14:paraId="11460C23" w14:textId="77777777" w:rsidR="003E78AB" w:rsidRDefault="00010BF9">
            <w:pPr>
              <w:pStyle w:val="aff6"/>
              <w:topLinePunct/>
            </w:pPr>
            <w:r>
              <w:t>泄漏</w:t>
            </w:r>
            <w:r>
              <w:sym w:font="Wingdings 2" w:char="0052"/>
            </w:r>
          </w:p>
        </w:tc>
        <w:tc>
          <w:tcPr>
            <w:tcW w:w="2476" w:type="pct"/>
            <w:gridSpan w:val="10"/>
            <w:vAlign w:val="center"/>
          </w:tcPr>
          <w:p w14:paraId="474C55FC" w14:textId="77777777" w:rsidR="003E78AB" w:rsidRDefault="00010BF9">
            <w:pPr>
              <w:pStyle w:val="aff6"/>
              <w:topLinePunct/>
            </w:pPr>
            <w:r>
              <w:t>火灾、爆炸引发伴生</w:t>
            </w:r>
            <w:r>
              <w:t>/</w:t>
            </w:r>
            <w:r>
              <w:t>次生污染物排放</w:t>
            </w:r>
            <w:r>
              <w:sym w:font="Wingdings 2" w:char="0052"/>
            </w:r>
          </w:p>
        </w:tc>
      </w:tr>
      <w:tr w:rsidR="003E78AB" w14:paraId="1D786052" w14:textId="77777777">
        <w:trPr>
          <w:trHeight w:val="340"/>
          <w:jc w:val="center"/>
        </w:trPr>
        <w:tc>
          <w:tcPr>
            <w:tcW w:w="256" w:type="pct"/>
            <w:vMerge/>
            <w:vAlign w:val="center"/>
          </w:tcPr>
          <w:p w14:paraId="3EA222FA" w14:textId="77777777" w:rsidR="003E78AB" w:rsidRDefault="003E78AB">
            <w:pPr>
              <w:pStyle w:val="aff6"/>
              <w:topLinePunct/>
            </w:pPr>
          </w:p>
        </w:tc>
        <w:tc>
          <w:tcPr>
            <w:tcW w:w="370" w:type="pct"/>
            <w:noWrap/>
            <w:vAlign w:val="center"/>
          </w:tcPr>
          <w:p w14:paraId="6D249FA4" w14:textId="77777777" w:rsidR="003E78AB" w:rsidRDefault="00010BF9">
            <w:pPr>
              <w:pStyle w:val="aff6"/>
              <w:topLinePunct/>
            </w:pPr>
            <w:r>
              <w:t>影响途径</w:t>
            </w:r>
          </w:p>
        </w:tc>
        <w:tc>
          <w:tcPr>
            <w:tcW w:w="1896" w:type="pct"/>
            <w:gridSpan w:val="5"/>
            <w:noWrap/>
            <w:vAlign w:val="center"/>
          </w:tcPr>
          <w:p w14:paraId="310D5A14" w14:textId="77777777" w:rsidR="003E78AB" w:rsidRDefault="00010BF9">
            <w:pPr>
              <w:pStyle w:val="aff6"/>
              <w:topLinePunct/>
            </w:pPr>
            <w:r>
              <w:t>大气</w:t>
            </w:r>
            <w:r>
              <w:sym w:font="Wingdings 2" w:char="0052"/>
            </w:r>
          </w:p>
        </w:tc>
        <w:tc>
          <w:tcPr>
            <w:tcW w:w="1100" w:type="pct"/>
            <w:gridSpan w:val="5"/>
            <w:noWrap/>
            <w:vAlign w:val="center"/>
          </w:tcPr>
          <w:p w14:paraId="684582B6" w14:textId="77777777" w:rsidR="003E78AB" w:rsidRDefault="00010BF9">
            <w:pPr>
              <w:pStyle w:val="aff6"/>
              <w:topLinePunct/>
            </w:pPr>
            <w:r>
              <w:t>地表水</w:t>
            </w:r>
            <w:r>
              <w:sym w:font="Wingdings 2" w:char="00A3"/>
            </w:r>
          </w:p>
        </w:tc>
        <w:tc>
          <w:tcPr>
            <w:tcW w:w="1376" w:type="pct"/>
            <w:gridSpan w:val="5"/>
            <w:noWrap/>
            <w:vAlign w:val="center"/>
          </w:tcPr>
          <w:p w14:paraId="4DB46AF7" w14:textId="77777777" w:rsidR="003E78AB" w:rsidRDefault="00010BF9">
            <w:pPr>
              <w:pStyle w:val="aff6"/>
              <w:topLinePunct/>
            </w:pPr>
            <w:r>
              <w:t>地下水</w:t>
            </w:r>
            <w:r>
              <w:sym w:font="Wingdings 2" w:char="0052"/>
            </w:r>
          </w:p>
        </w:tc>
      </w:tr>
      <w:tr w:rsidR="003E78AB" w14:paraId="27E47F0D" w14:textId="77777777">
        <w:trPr>
          <w:trHeight w:val="340"/>
          <w:jc w:val="center"/>
        </w:trPr>
        <w:tc>
          <w:tcPr>
            <w:tcW w:w="626" w:type="pct"/>
            <w:gridSpan w:val="2"/>
            <w:noWrap/>
            <w:vAlign w:val="center"/>
          </w:tcPr>
          <w:p w14:paraId="2E13F46B" w14:textId="77777777" w:rsidR="003E78AB" w:rsidRDefault="00010BF9">
            <w:pPr>
              <w:pStyle w:val="aff6"/>
              <w:topLinePunct/>
            </w:pPr>
            <w:r>
              <w:t>事故情形分析</w:t>
            </w:r>
          </w:p>
        </w:tc>
        <w:tc>
          <w:tcPr>
            <w:tcW w:w="738" w:type="pct"/>
            <w:gridSpan w:val="2"/>
            <w:noWrap/>
            <w:vAlign w:val="center"/>
          </w:tcPr>
          <w:p w14:paraId="4E94836A" w14:textId="77777777" w:rsidR="003E78AB" w:rsidRDefault="00010BF9">
            <w:pPr>
              <w:pStyle w:val="aff6"/>
              <w:topLinePunct/>
            </w:pPr>
            <w:r>
              <w:t>源强设定方法</w:t>
            </w:r>
          </w:p>
        </w:tc>
        <w:tc>
          <w:tcPr>
            <w:tcW w:w="1158" w:type="pct"/>
            <w:gridSpan w:val="3"/>
            <w:vAlign w:val="center"/>
          </w:tcPr>
          <w:p w14:paraId="32824B7B" w14:textId="77777777" w:rsidR="003E78AB" w:rsidRDefault="00010BF9">
            <w:pPr>
              <w:pStyle w:val="aff6"/>
              <w:topLinePunct/>
            </w:pPr>
            <w:r>
              <w:t>计算法</w:t>
            </w:r>
            <w:r>
              <w:sym w:font="Wingdings 2" w:char="0052"/>
            </w:r>
          </w:p>
        </w:tc>
        <w:tc>
          <w:tcPr>
            <w:tcW w:w="1100" w:type="pct"/>
            <w:gridSpan w:val="5"/>
            <w:vAlign w:val="center"/>
          </w:tcPr>
          <w:p w14:paraId="4B967C95" w14:textId="77777777" w:rsidR="003E78AB" w:rsidRDefault="00010BF9">
            <w:pPr>
              <w:pStyle w:val="aff6"/>
              <w:topLinePunct/>
            </w:pPr>
            <w:r>
              <w:t>经验估算法</w:t>
            </w:r>
            <w:r>
              <w:sym w:font="Wingdings 2" w:char="00A3"/>
            </w:r>
          </w:p>
        </w:tc>
        <w:tc>
          <w:tcPr>
            <w:tcW w:w="1376" w:type="pct"/>
            <w:gridSpan w:val="5"/>
            <w:vAlign w:val="center"/>
          </w:tcPr>
          <w:p w14:paraId="6736443B" w14:textId="77777777" w:rsidR="003E78AB" w:rsidRDefault="00010BF9">
            <w:pPr>
              <w:pStyle w:val="aff6"/>
              <w:topLinePunct/>
            </w:pPr>
            <w:r>
              <w:t>其他估算法</w:t>
            </w:r>
            <w:r>
              <w:sym w:font="Wingdings 2" w:char="00A3"/>
            </w:r>
          </w:p>
        </w:tc>
      </w:tr>
      <w:tr w:rsidR="003E78AB" w14:paraId="50FD73C5" w14:textId="77777777">
        <w:trPr>
          <w:trHeight w:val="340"/>
          <w:jc w:val="center"/>
        </w:trPr>
        <w:tc>
          <w:tcPr>
            <w:tcW w:w="256" w:type="pct"/>
            <w:vMerge w:val="restart"/>
            <w:noWrap/>
            <w:vAlign w:val="center"/>
          </w:tcPr>
          <w:p w14:paraId="03EAD39E" w14:textId="77777777" w:rsidR="003E78AB" w:rsidRDefault="00010BF9">
            <w:pPr>
              <w:pStyle w:val="aff6"/>
              <w:topLinePunct/>
            </w:pPr>
            <w:r>
              <w:t>风险预测与评价</w:t>
            </w:r>
          </w:p>
        </w:tc>
        <w:tc>
          <w:tcPr>
            <w:tcW w:w="370" w:type="pct"/>
            <w:vMerge w:val="restart"/>
            <w:noWrap/>
            <w:vAlign w:val="center"/>
          </w:tcPr>
          <w:p w14:paraId="62C50939" w14:textId="77777777" w:rsidR="003E78AB" w:rsidRDefault="00010BF9">
            <w:pPr>
              <w:pStyle w:val="aff6"/>
              <w:topLinePunct/>
            </w:pPr>
            <w:r>
              <w:t>大气</w:t>
            </w:r>
          </w:p>
        </w:tc>
        <w:tc>
          <w:tcPr>
            <w:tcW w:w="738" w:type="pct"/>
            <w:gridSpan w:val="2"/>
            <w:noWrap/>
            <w:vAlign w:val="center"/>
          </w:tcPr>
          <w:p w14:paraId="3BFFABB8" w14:textId="77777777" w:rsidR="003E78AB" w:rsidRDefault="00010BF9">
            <w:pPr>
              <w:pStyle w:val="aff6"/>
              <w:topLinePunct/>
            </w:pPr>
            <w:r>
              <w:t>预测模型</w:t>
            </w:r>
          </w:p>
        </w:tc>
        <w:tc>
          <w:tcPr>
            <w:tcW w:w="1158" w:type="pct"/>
            <w:gridSpan w:val="3"/>
            <w:vAlign w:val="center"/>
          </w:tcPr>
          <w:p w14:paraId="5A6B8DC8" w14:textId="77777777" w:rsidR="003E78AB" w:rsidRDefault="00010BF9">
            <w:pPr>
              <w:pStyle w:val="aff6"/>
              <w:topLinePunct/>
            </w:pPr>
            <w:r>
              <w:t>SLAB</w:t>
            </w:r>
            <w:r>
              <w:sym w:font="Wingdings 2" w:char="00A3"/>
            </w:r>
          </w:p>
        </w:tc>
        <w:tc>
          <w:tcPr>
            <w:tcW w:w="1100" w:type="pct"/>
            <w:gridSpan w:val="5"/>
            <w:vAlign w:val="center"/>
          </w:tcPr>
          <w:p w14:paraId="6B2B069F" w14:textId="77777777" w:rsidR="003E78AB" w:rsidRDefault="00010BF9">
            <w:pPr>
              <w:pStyle w:val="aff6"/>
              <w:topLinePunct/>
            </w:pPr>
            <w:r>
              <w:t>AFTOX</w:t>
            </w:r>
            <w:r>
              <w:sym w:font="Wingdings 2" w:char="0052"/>
            </w:r>
          </w:p>
        </w:tc>
        <w:tc>
          <w:tcPr>
            <w:tcW w:w="1376" w:type="pct"/>
            <w:gridSpan w:val="5"/>
            <w:vAlign w:val="center"/>
          </w:tcPr>
          <w:p w14:paraId="6CAA0136" w14:textId="77777777" w:rsidR="003E78AB" w:rsidRDefault="00010BF9">
            <w:pPr>
              <w:pStyle w:val="aff6"/>
              <w:topLinePunct/>
            </w:pPr>
            <w:r>
              <w:t>其他</w:t>
            </w:r>
            <w:r>
              <w:sym w:font="Wingdings 2" w:char="00A3"/>
            </w:r>
          </w:p>
        </w:tc>
      </w:tr>
      <w:tr w:rsidR="003E78AB" w14:paraId="43908219" w14:textId="77777777">
        <w:trPr>
          <w:trHeight w:val="340"/>
          <w:jc w:val="center"/>
        </w:trPr>
        <w:tc>
          <w:tcPr>
            <w:tcW w:w="256" w:type="pct"/>
            <w:vMerge/>
            <w:vAlign w:val="center"/>
          </w:tcPr>
          <w:p w14:paraId="264F2FD9" w14:textId="77777777" w:rsidR="003E78AB" w:rsidRDefault="003E78AB">
            <w:pPr>
              <w:pStyle w:val="aff6"/>
              <w:topLinePunct/>
            </w:pPr>
          </w:p>
        </w:tc>
        <w:tc>
          <w:tcPr>
            <w:tcW w:w="370" w:type="pct"/>
            <w:vMerge/>
            <w:vAlign w:val="center"/>
          </w:tcPr>
          <w:p w14:paraId="46EB6528" w14:textId="77777777" w:rsidR="003E78AB" w:rsidRDefault="003E78AB">
            <w:pPr>
              <w:pStyle w:val="aff6"/>
              <w:topLinePunct/>
            </w:pPr>
          </w:p>
        </w:tc>
        <w:tc>
          <w:tcPr>
            <w:tcW w:w="738" w:type="pct"/>
            <w:gridSpan w:val="2"/>
            <w:vMerge w:val="restart"/>
            <w:noWrap/>
            <w:vAlign w:val="center"/>
          </w:tcPr>
          <w:p w14:paraId="4F949AC1" w14:textId="77777777" w:rsidR="003E78AB" w:rsidRDefault="00010BF9">
            <w:pPr>
              <w:pStyle w:val="aff6"/>
              <w:topLinePunct/>
            </w:pPr>
            <w:r>
              <w:t>预测结果</w:t>
            </w:r>
          </w:p>
        </w:tc>
        <w:tc>
          <w:tcPr>
            <w:tcW w:w="3635" w:type="pct"/>
            <w:gridSpan w:val="13"/>
            <w:vAlign w:val="center"/>
          </w:tcPr>
          <w:p w14:paraId="1301B52F" w14:textId="77777777" w:rsidR="003E78AB" w:rsidRDefault="00010BF9">
            <w:pPr>
              <w:pStyle w:val="aff6"/>
              <w:topLinePunct/>
            </w:pPr>
            <w:r>
              <w:t>大气毒性终点浓度</w:t>
            </w:r>
            <w:r>
              <w:t>-1</w:t>
            </w:r>
            <w:r>
              <w:t>最大影响范围</w:t>
            </w:r>
            <w:r>
              <w:t>840m</w:t>
            </w:r>
          </w:p>
        </w:tc>
      </w:tr>
      <w:tr w:rsidR="003E78AB" w14:paraId="2438795C" w14:textId="77777777">
        <w:trPr>
          <w:trHeight w:val="340"/>
          <w:jc w:val="center"/>
        </w:trPr>
        <w:tc>
          <w:tcPr>
            <w:tcW w:w="256" w:type="pct"/>
            <w:vMerge/>
            <w:vAlign w:val="center"/>
          </w:tcPr>
          <w:p w14:paraId="19DBD180" w14:textId="77777777" w:rsidR="003E78AB" w:rsidRDefault="003E78AB">
            <w:pPr>
              <w:pStyle w:val="aff6"/>
              <w:topLinePunct/>
            </w:pPr>
          </w:p>
        </w:tc>
        <w:tc>
          <w:tcPr>
            <w:tcW w:w="370" w:type="pct"/>
            <w:vMerge/>
            <w:vAlign w:val="center"/>
          </w:tcPr>
          <w:p w14:paraId="2100DBDE" w14:textId="77777777" w:rsidR="003E78AB" w:rsidRDefault="003E78AB">
            <w:pPr>
              <w:pStyle w:val="aff6"/>
              <w:topLinePunct/>
            </w:pPr>
          </w:p>
        </w:tc>
        <w:tc>
          <w:tcPr>
            <w:tcW w:w="738" w:type="pct"/>
            <w:gridSpan w:val="2"/>
            <w:vMerge/>
            <w:vAlign w:val="center"/>
          </w:tcPr>
          <w:p w14:paraId="38FF8840" w14:textId="77777777" w:rsidR="003E78AB" w:rsidRDefault="003E78AB">
            <w:pPr>
              <w:pStyle w:val="aff6"/>
              <w:topLinePunct/>
            </w:pPr>
          </w:p>
        </w:tc>
        <w:tc>
          <w:tcPr>
            <w:tcW w:w="3635" w:type="pct"/>
            <w:gridSpan w:val="13"/>
            <w:vAlign w:val="center"/>
          </w:tcPr>
          <w:p w14:paraId="3E1AC65B" w14:textId="77777777" w:rsidR="003E78AB" w:rsidRDefault="00010BF9">
            <w:pPr>
              <w:pStyle w:val="aff6"/>
              <w:topLinePunct/>
            </w:pPr>
            <w:r>
              <w:t>大气毒性终点浓度</w:t>
            </w:r>
            <w:r>
              <w:t>-2</w:t>
            </w:r>
            <w:r>
              <w:t>最大影响范围</w:t>
            </w:r>
            <w:r>
              <w:t>2140m</w:t>
            </w:r>
          </w:p>
        </w:tc>
      </w:tr>
      <w:tr w:rsidR="003E78AB" w14:paraId="44687CB0" w14:textId="77777777">
        <w:trPr>
          <w:trHeight w:val="170"/>
          <w:jc w:val="center"/>
        </w:trPr>
        <w:tc>
          <w:tcPr>
            <w:tcW w:w="256" w:type="pct"/>
            <w:vMerge/>
            <w:vAlign w:val="center"/>
          </w:tcPr>
          <w:p w14:paraId="25949245" w14:textId="77777777" w:rsidR="003E78AB" w:rsidRDefault="003E78AB">
            <w:pPr>
              <w:pStyle w:val="aff6"/>
              <w:topLinePunct/>
            </w:pPr>
          </w:p>
        </w:tc>
        <w:tc>
          <w:tcPr>
            <w:tcW w:w="370" w:type="pct"/>
            <w:noWrap/>
            <w:vAlign w:val="center"/>
          </w:tcPr>
          <w:p w14:paraId="4FBC1E5B" w14:textId="77777777" w:rsidR="003E78AB" w:rsidRDefault="00010BF9">
            <w:pPr>
              <w:pStyle w:val="aff6"/>
              <w:topLinePunct/>
            </w:pPr>
            <w:r>
              <w:t>地表水</w:t>
            </w:r>
          </w:p>
        </w:tc>
        <w:tc>
          <w:tcPr>
            <w:tcW w:w="4373" w:type="pct"/>
            <w:gridSpan w:val="15"/>
            <w:noWrap/>
            <w:vAlign w:val="center"/>
          </w:tcPr>
          <w:p w14:paraId="7EE57939" w14:textId="77777777" w:rsidR="003E78AB" w:rsidRDefault="00010BF9">
            <w:pPr>
              <w:pStyle w:val="aff6"/>
              <w:topLinePunct/>
            </w:pPr>
            <w:r>
              <w:t>/</w:t>
            </w:r>
          </w:p>
        </w:tc>
      </w:tr>
      <w:tr w:rsidR="003E78AB" w14:paraId="31BD0DCC" w14:textId="77777777">
        <w:trPr>
          <w:trHeight w:val="340"/>
          <w:jc w:val="center"/>
        </w:trPr>
        <w:tc>
          <w:tcPr>
            <w:tcW w:w="256" w:type="pct"/>
            <w:vMerge/>
            <w:vAlign w:val="center"/>
          </w:tcPr>
          <w:p w14:paraId="778444E0" w14:textId="77777777" w:rsidR="003E78AB" w:rsidRDefault="003E78AB">
            <w:pPr>
              <w:pStyle w:val="aff6"/>
              <w:topLinePunct/>
            </w:pPr>
          </w:p>
        </w:tc>
        <w:tc>
          <w:tcPr>
            <w:tcW w:w="370" w:type="pct"/>
            <w:noWrap/>
            <w:vAlign w:val="center"/>
          </w:tcPr>
          <w:p w14:paraId="28533685" w14:textId="77777777" w:rsidR="003E78AB" w:rsidRDefault="00010BF9">
            <w:pPr>
              <w:pStyle w:val="aff6"/>
              <w:topLinePunct/>
            </w:pPr>
            <w:r>
              <w:t>地下水</w:t>
            </w:r>
          </w:p>
        </w:tc>
        <w:tc>
          <w:tcPr>
            <w:tcW w:w="4373" w:type="pct"/>
            <w:gridSpan w:val="15"/>
            <w:noWrap/>
            <w:vAlign w:val="center"/>
          </w:tcPr>
          <w:p w14:paraId="1B5F4A96" w14:textId="77777777" w:rsidR="003E78AB" w:rsidRDefault="00010BF9">
            <w:pPr>
              <w:pStyle w:val="aff6"/>
              <w:topLinePunct/>
            </w:pPr>
            <w:r>
              <w:rPr>
                <w:rFonts w:hint="eastAsia"/>
              </w:rPr>
              <w:t>循环水箱</w:t>
            </w:r>
            <w:r>
              <w:t>发生泄漏，导致高盐废水进入地下对地下水环境造成污染，在预测时间内（</w:t>
            </w:r>
            <w:r>
              <w:t>1000d</w:t>
            </w:r>
            <w:r>
              <w:t>）钒泄漏</w:t>
            </w:r>
            <w:r>
              <w:t>100</w:t>
            </w:r>
            <w:r>
              <w:t>天时，预测超标距离为</w:t>
            </w:r>
            <w:r>
              <w:t>26m</w:t>
            </w:r>
            <w:r>
              <w:t>；影响距离为</w:t>
            </w:r>
            <w:r>
              <w:t>29m</w:t>
            </w:r>
            <w:r>
              <w:t>；泄漏</w:t>
            </w:r>
            <w:r>
              <w:t>365</w:t>
            </w:r>
            <w:r>
              <w:t>天时，预测超标距离为</w:t>
            </w:r>
            <w:r>
              <w:t>40m</w:t>
            </w:r>
            <w:r>
              <w:t>；影响距离为</w:t>
            </w:r>
            <w:r>
              <w:t>43m</w:t>
            </w:r>
            <w:r>
              <w:t>；泄漏</w:t>
            </w:r>
            <w:r>
              <w:t>1000</w:t>
            </w:r>
            <w:r>
              <w:t>天时，预测超标距离为</w:t>
            </w:r>
            <w:r>
              <w:t>66m</w:t>
            </w:r>
            <w:r>
              <w:t>；影响距离为</w:t>
            </w:r>
            <w:r>
              <w:t>69m</w:t>
            </w:r>
            <w:r>
              <w:t>。，在预测时间内（</w:t>
            </w:r>
            <w:r>
              <w:t>1000d</w:t>
            </w:r>
            <w:r>
              <w:t>）磷酸盐泄漏</w:t>
            </w:r>
            <w:r>
              <w:t>100</w:t>
            </w:r>
            <w:r>
              <w:t>天时，预测超标距离为</w:t>
            </w:r>
            <w:r>
              <w:t>51m</w:t>
            </w:r>
            <w:r>
              <w:t>；影响距离为</w:t>
            </w:r>
            <w:r>
              <w:t>60m</w:t>
            </w:r>
            <w:r>
              <w:t>；泄漏</w:t>
            </w:r>
            <w:r>
              <w:t>365</w:t>
            </w:r>
            <w:r>
              <w:t>天时，预测超标距离为</w:t>
            </w:r>
            <w:r>
              <w:t>98m</w:t>
            </w:r>
            <w:r>
              <w:t>；影响距离为</w:t>
            </w:r>
            <w:r>
              <w:t>108m</w:t>
            </w:r>
            <w:r>
              <w:t>；泄漏</w:t>
            </w:r>
            <w:r>
              <w:t>1000</w:t>
            </w:r>
            <w:r>
              <w:t>天时，预测超标距离为</w:t>
            </w:r>
            <w:r>
              <w:t>161m</w:t>
            </w:r>
            <w:r>
              <w:t>；影响距离为</w:t>
            </w:r>
            <w:r>
              <w:t>174m</w:t>
            </w:r>
            <w:r>
              <w:t>。</w:t>
            </w:r>
          </w:p>
        </w:tc>
      </w:tr>
      <w:tr w:rsidR="003E78AB" w14:paraId="6D1B3590" w14:textId="77777777">
        <w:trPr>
          <w:trHeight w:val="340"/>
          <w:jc w:val="center"/>
        </w:trPr>
        <w:tc>
          <w:tcPr>
            <w:tcW w:w="626" w:type="pct"/>
            <w:gridSpan w:val="2"/>
            <w:noWrap/>
            <w:vAlign w:val="center"/>
          </w:tcPr>
          <w:p w14:paraId="3CC71284" w14:textId="77777777" w:rsidR="003E78AB" w:rsidRDefault="00010BF9">
            <w:pPr>
              <w:pStyle w:val="aff6"/>
              <w:topLinePunct/>
            </w:pPr>
            <w:r>
              <w:t>重点风险防范措施</w:t>
            </w:r>
          </w:p>
        </w:tc>
        <w:tc>
          <w:tcPr>
            <w:tcW w:w="4373" w:type="pct"/>
            <w:gridSpan w:val="15"/>
            <w:noWrap/>
            <w:vAlign w:val="center"/>
          </w:tcPr>
          <w:p w14:paraId="3C1E2FC4" w14:textId="77777777" w:rsidR="003E78AB" w:rsidRDefault="00010BF9">
            <w:pPr>
              <w:pStyle w:val="aff6"/>
              <w:topLinePunct/>
            </w:pPr>
            <w:r>
              <w:t>见</w:t>
            </w:r>
            <w:r>
              <w:rPr>
                <w:rFonts w:hint="eastAsia"/>
              </w:rPr>
              <w:t>6</w:t>
            </w:r>
            <w:r>
              <w:t>.6</w:t>
            </w:r>
          </w:p>
        </w:tc>
      </w:tr>
      <w:tr w:rsidR="003E78AB" w14:paraId="1EC712BB" w14:textId="77777777">
        <w:trPr>
          <w:trHeight w:val="340"/>
          <w:jc w:val="center"/>
        </w:trPr>
        <w:tc>
          <w:tcPr>
            <w:tcW w:w="626" w:type="pct"/>
            <w:gridSpan w:val="2"/>
            <w:noWrap/>
            <w:vAlign w:val="center"/>
          </w:tcPr>
          <w:p w14:paraId="47E2BA77" w14:textId="77777777" w:rsidR="003E78AB" w:rsidRDefault="00010BF9">
            <w:pPr>
              <w:pStyle w:val="aff6"/>
              <w:topLinePunct/>
            </w:pPr>
            <w:r>
              <w:t>评价结论与建议</w:t>
            </w:r>
          </w:p>
        </w:tc>
        <w:tc>
          <w:tcPr>
            <w:tcW w:w="4373" w:type="pct"/>
            <w:gridSpan w:val="15"/>
            <w:noWrap/>
            <w:vAlign w:val="center"/>
          </w:tcPr>
          <w:p w14:paraId="60184976" w14:textId="77777777" w:rsidR="003E78AB" w:rsidRDefault="00010BF9">
            <w:pPr>
              <w:pStyle w:val="aff6"/>
              <w:topLinePunct/>
            </w:pPr>
            <w:r>
              <w:t>本</w:t>
            </w:r>
            <w:r>
              <w:t>项目在采取报告中提出的相应风险防范措施后，环境风险可接受</w:t>
            </w:r>
          </w:p>
        </w:tc>
      </w:tr>
      <w:tr w:rsidR="003E78AB" w14:paraId="14B5A7AA" w14:textId="77777777">
        <w:trPr>
          <w:trHeight w:val="340"/>
          <w:jc w:val="center"/>
        </w:trPr>
        <w:tc>
          <w:tcPr>
            <w:tcW w:w="5000" w:type="pct"/>
            <w:gridSpan w:val="17"/>
            <w:noWrap/>
            <w:vAlign w:val="center"/>
          </w:tcPr>
          <w:p w14:paraId="562641C3" w14:textId="77777777" w:rsidR="003E78AB" w:rsidRDefault="00010BF9">
            <w:pPr>
              <w:pStyle w:val="aff6"/>
              <w:topLinePunct/>
            </w:pPr>
            <w:r>
              <w:t>注：</w:t>
            </w:r>
            <w:r>
              <w:t>“</w:t>
            </w:r>
            <w:r>
              <w:sym w:font="Wingdings 2" w:char="00A3"/>
            </w:r>
            <w:r>
              <w:t>”</w:t>
            </w:r>
            <w:r>
              <w:t>为勾选项，</w:t>
            </w:r>
            <w:r>
              <w:t>“”</w:t>
            </w:r>
            <w:r>
              <w:t>为填写项。</w:t>
            </w:r>
          </w:p>
        </w:tc>
      </w:tr>
    </w:tbl>
    <w:p w14:paraId="17EDE5B9" w14:textId="77777777" w:rsidR="003E78AB" w:rsidRDefault="003E78AB">
      <w:pPr>
        <w:spacing w:line="240" w:lineRule="auto"/>
        <w:ind w:firstLineChars="0" w:firstLine="0"/>
        <w:jc w:val="center"/>
        <w:rPr>
          <w:rFonts w:eastAsia="黑体"/>
          <w:kern w:val="2"/>
          <w:sz w:val="21"/>
        </w:rPr>
      </w:pPr>
    </w:p>
    <w:p w14:paraId="1C92B031" w14:textId="77777777" w:rsidR="003E78AB" w:rsidRDefault="003E78AB">
      <w:pPr>
        <w:ind w:firstLine="480"/>
        <w:rPr>
          <w:kern w:val="2"/>
        </w:rPr>
      </w:pPr>
    </w:p>
    <w:p w14:paraId="427E144E" w14:textId="77777777" w:rsidR="003E78AB" w:rsidRDefault="003E78AB">
      <w:pPr>
        <w:pStyle w:val="10"/>
        <w:keepNext w:val="0"/>
        <w:spacing w:before="120" w:after="120" w:line="520" w:lineRule="exact"/>
        <w:jc w:val="center"/>
        <w:rPr>
          <w:rFonts w:eastAsia="黑体"/>
          <w:bCs/>
          <w:snapToGrid w:val="0"/>
          <w:spacing w:val="2"/>
          <w:kern w:val="44"/>
          <w:sz w:val="35"/>
          <w:szCs w:val="35"/>
        </w:rPr>
        <w:sectPr w:rsidR="003E78AB">
          <w:pgSz w:w="11906" w:h="16838"/>
          <w:pgMar w:top="1440" w:right="1803" w:bottom="1440" w:left="1803" w:header="851" w:footer="992" w:gutter="0"/>
          <w:cols w:space="720"/>
          <w:docGrid w:linePitch="312"/>
        </w:sectPr>
      </w:pPr>
    </w:p>
    <w:p w14:paraId="79DDB944" w14:textId="77777777" w:rsidR="003E78AB" w:rsidRDefault="00010BF9">
      <w:pPr>
        <w:pStyle w:val="10"/>
        <w:keepNext w:val="0"/>
        <w:spacing w:before="120" w:after="120" w:line="520" w:lineRule="exact"/>
        <w:jc w:val="center"/>
        <w:rPr>
          <w:rFonts w:eastAsia="黑体"/>
          <w:bCs/>
          <w:snapToGrid w:val="0"/>
          <w:spacing w:val="2"/>
          <w:kern w:val="44"/>
          <w:sz w:val="35"/>
          <w:szCs w:val="35"/>
        </w:rPr>
      </w:pPr>
      <w:bookmarkStart w:id="450" w:name="_Toc24304"/>
      <w:r>
        <w:rPr>
          <w:rFonts w:eastAsia="黑体" w:hint="eastAsia"/>
          <w:bCs/>
          <w:snapToGrid w:val="0"/>
          <w:spacing w:val="2"/>
          <w:kern w:val="44"/>
          <w:sz w:val="35"/>
          <w:szCs w:val="35"/>
        </w:rPr>
        <w:t>第七章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环境保护措施及其可行性论证</w:t>
      </w:r>
      <w:bookmarkEnd w:id="328"/>
      <w:bookmarkEnd w:id="329"/>
      <w:bookmarkEnd w:id="330"/>
      <w:bookmarkEnd w:id="450"/>
    </w:p>
    <w:p w14:paraId="4A196A1A" w14:textId="77777777" w:rsidR="003E78AB" w:rsidRDefault="00010BF9">
      <w:pPr>
        <w:pStyle w:val="24"/>
        <w:keepNext w:val="0"/>
        <w:keepLines w:val="0"/>
        <w:topLinePunct/>
        <w:spacing w:before="120"/>
        <w:rPr>
          <w:rFonts w:cs="Times New Roman"/>
        </w:rPr>
      </w:pPr>
      <w:bookmarkStart w:id="451" w:name="_Toc23252"/>
      <w:bookmarkStart w:id="452" w:name="_Toc32363"/>
      <w:bookmarkStart w:id="453" w:name="_Toc309715449"/>
      <w:bookmarkStart w:id="454" w:name="_Toc454899389"/>
      <w:r>
        <w:rPr>
          <w:rFonts w:cs="Times New Roman" w:hint="eastAsia"/>
        </w:rPr>
        <w:t>7.1</w:t>
      </w:r>
      <w:r>
        <w:rPr>
          <w:rFonts w:cs="Times New Roman"/>
        </w:rPr>
        <w:t>施工期环境保护措施</w:t>
      </w:r>
      <w:bookmarkEnd w:id="451"/>
      <w:bookmarkEnd w:id="452"/>
    </w:p>
    <w:p w14:paraId="4C083FC9" w14:textId="77777777" w:rsidR="003E78AB" w:rsidRDefault="00010BF9">
      <w:pPr>
        <w:ind w:firstLine="480"/>
      </w:pPr>
      <w:r>
        <w:t>项目施工期主要产生的污染物为施工扬尘、机械尾气、施工粉尘、施工噪声、废水以及建筑垃圾等，对周围环境产生影响。结合本项目的特征和当地环境状况及项目施工过程中对环境的影响，环评提出减少影响的措施和建议。</w:t>
      </w:r>
    </w:p>
    <w:p w14:paraId="7383E1C6"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7.1</w:t>
      </w:r>
      <w:r>
        <w:rPr>
          <w:rFonts w:cs="Times New Roman"/>
          <w:sz w:val="28"/>
          <w:szCs w:val="28"/>
        </w:rPr>
        <w:t>.1</w:t>
      </w:r>
      <w:r>
        <w:rPr>
          <w:rFonts w:cs="Times New Roman"/>
          <w:sz w:val="28"/>
          <w:szCs w:val="28"/>
        </w:rPr>
        <w:t>施工期大气污染防治措施</w:t>
      </w:r>
      <w:bookmarkEnd w:id="453"/>
      <w:bookmarkEnd w:id="454"/>
    </w:p>
    <w:p w14:paraId="25796E61" w14:textId="77777777" w:rsidR="003E78AB" w:rsidRDefault="00010BF9">
      <w:pPr>
        <w:ind w:firstLine="480"/>
      </w:pPr>
      <w:bookmarkStart w:id="455" w:name="_Toc309715450"/>
      <w: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w:t>
      </w:r>
      <w:r>
        <w:t>GB3095-2012</w:t>
      </w:r>
      <w:r>
        <w:t>）二级标准要求。</w:t>
      </w:r>
    </w:p>
    <w:p w14:paraId="3E8C460C" w14:textId="77777777" w:rsidR="003E78AB" w:rsidRDefault="00010BF9">
      <w:pPr>
        <w:ind w:firstLine="480"/>
      </w:pPr>
      <w:r>
        <w:t>（</w:t>
      </w:r>
      <w:r>
        <w:t>1</w:t>
      </w:r>
      <w:r>
        <w:t>）无组织排放扬尘的防治措施</w:t>
      </w:r>
    </w:p>
    <w:p w14:paraId="266806CA" w14:textId="77777777" w:rsidR="003E78AB" w:rsidRDefault="00010BF9">
      <w:pPr>
        <w:ind w:firstLine="480"/>
      </w:pPr>
      <w:r>
        <w:t>施工过程中产生的扬尘尽管是短期的，但会对周围环境带来不利的影响，因此在施工期应采取相应的措施尽量减少扬尘的产生。为降低扬尘产生量，保护大气环境，施工单位</w:t>
      </w:r>
      <w:r>
        <w:t>应根据《关于进一步加强建设工程扬尘污染防治专项整治的通知》等规定，在施工期采取以下扬尘防治措施：</w:t>
      </w:r>
    </w:p>
    <w:p w14:paraId="7FD93158" w14:textId="77777777" w:rsidR="003E78AB" w:rsidRDefault="00010BF9">
      <w:pPr>
        <w:ind w:firstLine="480"/>
      </w:pPr>
      <w:r>
        <w:t>①</w:t>
      </w:r>
      <w:r>
        <w:t>施工作业区应配备专人负责，做到科学管理、文明施工；在基础施工期，应尽可能采取措施提高工程进度，并将土石方及时外运到指定地点，缩短堆放的危害周期。</w:t>
      </w:r>
    </w:p>
    <w:p w14:paraId="4A47057D" w14:textId="77777777" w:rsidR="003E78AB" w:rsidRDefault="00010BF9">
      <w:pPr>
        <w:ind w:firstLine="480"/>
      </w:pPr>
      <w:r>
        <w:t>②</w:t>
      </w:r>
      <w:r>
        <w:t>合理安排施工工期；施工场地应定期洒水，特别是旱季施工；施工现场周边设置符合要求的围栏；竣工后要及时清理场地。对于建设施工阶段的车辆和机械扬尘，采取洒水抑尘；洒水次数根据天气状况而定，一般每天洒水</w:t>
      </w:r>
      <w:r>
        <w:t>1</w:t>
      </w:r>
      <w:r>
        <w:t>～</w:t>
      </w:r>
      <w:r>
        <w:t>2</w:t>
      </w:r>
      <w:r>
        <w:t>次，若遇大风或干燥天气可适当增加洒水次数，遇雨天则不必洒水。施工</w:t>
      </w:r>
      <w:r>
        <w:t>场地洒水量对扬尘的影响很大，场地洒水后，扬尘量将降低</w:t>
      </w:r>
      <w:r>
        <w:t>28%</w:t>
      </w:r>
      <w:r>
        <w:t>～</w:t>
      </w:r>
      <w:r>
        <w:t>75%</w:t>
      </w:r>
      <w:r>
        <w:t>，可大大减少扬尘对环境的影响。</w:t>
      </w:r>
    </w:p>
    <w:p w14:paraId="21AA6474" w14:textId="77777777" w:rsidR="003E78AB" w:rsidRDefault="00010BF9">
      <w:pPr>
        <w:ind w:firstLine="480"/>
      </w:pPr>
      <w:r>
        <w:t>③</w:t>
      </w:r>
      <w:r>
        <w:t>对施工区周围的道路进行清扫，减少粉尘和二次扬尘的产生。</w:t>
      </w:r>
    </w:p>
    <w:p w14:paraId="20DC7A07" w14:textId="77777777" w:rsidR="003E78AB" w:rsidRDefault="00010BF9">
      <w:pPr>
        <w:ind w:firstLine="480"/>
      </w:pPr>
      <w:r>
        <w:t>④</w:t>
      </w:r>
      <w:r>
        <w:t>对于装运含尘物料的运输车辆进行密封运输，严格控制和规范车辆运输量和方式，容易产生粉尘的物料装载高度不得超过车辆两边和尾部的挡板和篷布，严格控制物料的洒落；尽量选择对周围环境影响较小的运输路线。</w:t>
      </w:r>
    </w:p>
    <w:p w14:paraId="454227BF" w14:textId="77777777" w:rsidR="003E78AB" w:rsidRDefault="00010BF9">
      <w:pPr>
        <w:ind w:firstLine="480"/>
      </w:pPr>
      <w:r>
        <w:t>⑤</w:t>
      </w:r>
      <w:r>
        <w:t>限制施工区内运输车辆的速度，卡车在施工场地的车速控制在</w:t>
      </w:r>
      <w:r>
        <w:t>10km/h</w:t>
      </w:r>
      <w:r>
        <w:t>，推土机的速度控制在</w:t>
      </w:r>
      <w:r>
        <w:t>8km/h</w:t>
      </w:r>
      <w:r>
        <w:t>内。对运输过程中散落在路面上的泥土要及时清扫，以减少运行过程中的扬尘。</w:t>
      </w:r>
    </w:p>
    <w:p w14:paraId="15FBB5FD" w14:textId="77777777" w:rsidR="003E78AB" w:rsidRDefault="00010BF9">
      <w:pPr>
        <w:ind w:firstLine="480"/>
      </w:pPr>
      <w:r>
        <w:t>⑥</w:t>
      </w:r>
      <w:r>
        <w:t>施工现场应设置稳固、整齐、美观并符合安全标准要求的连续封闭式围挡（其边界设置高度</w:t>
      </w:r>
      <w:r>
        <w:t>2.5m</w:t>
      </w:r>
      <w:r>
        <w:t>以上），对于特殊地点无法设置围挡、围栏及防溢座的，应设置警示牌，严禁敞开式作业。</w:t>
      </w:r>
    </w:p>
    <w:p w14:paraId="74815817" w14:textId="77777777" w:rsidR="003E78AB" w:rsidRDefault="00010BF9">
      <w:pPr>
        <w:ind w:firstLine="480"/>
      </w:pPr>
      <w:r>
        <w:t>⑦</w:t>
      </w:r>
      <w:r>
        <w:t>施工现场必须做到</w:t>
      </w:r>
      <w:r>
        <w:t>“6</w:t>
      </w:r>
      <w:r>
        <w:t>个</w:t>
      </w:r>
      <w:r>
        <w:t>100%”</w:t>
      </w:r>
      <w:r>
        <w:t>，即施工现场</w:t>
      </w:r>
      <w:r>
        <w:t>100%</w:t>
      </w:r>
      <w:r>
        <w:t>围挡、工地砂土</w:t>
      </w:r>
      <w:r>
        <w:t>100%</w:t>
      </w:r>
      <w:r>
        <w:t>覆盖、工地路面</w:t>
      </w:r>
      <w:r>
        <w:t>100%</w:t>
      </w:r>
      <w:r>
        <w:t>硬化、拆除工程</w:t>
      </w:r>
      <w:r>
        <w:t>100%</w:t>
      </w:r>
      <w:r>
        <w:t>洒水降尘、出工地车辆</w:t>
      </w:r>
      <w:r>
        <w:t>100%</w:t>
      </w:r>
      <w:r>
        <w:t>冲净车轮车身、暂不开发</w:t>
      </w:r>
      <w:r>
        <w:t>的场地</w:t>
      </w:r>
      <w:r>
        <w:t>100%</w:t>
      </w:r>
      <w:r>
        <w:t>绿化。</w:t>
      </w:r>
    </w:p>
    <w:p w14:paraId="211D5881" w14:textId="77777777" w:rsidR="003E78AB" w:rsidRDefault="00010BF9">
      <w:pPr>
        <w:ind w:firstLine="480"/>
      </w:pPr>
      <w:r>
        <w:t>⑧</w:t>
      </w:r>
      <w:r>
        <w:t>易起尘物料采取袋装、覆盖等措施，严禁高空抛撒作业，施工过程中使用水泥、石灰、砂石、涂料、铺装材料等易产生扬尘的建筑材料，应采取密闭存储、设置围挡或堆砌围墙、采用防尘布苫盖或其他有效的防尘措施。</w:t>
      </w:r>
    </w:p>
    <w:p w14:paraId="7DD900EF" w14:textId="77777777" w:rsidR="003E78AB" w:rsidRDefault="00010BF9">
      <w:pPr>
        <w:ind w:firstLine="480"/>
      </w:pPr>
      <w:r>
        <w:t>⑨</w:t>
      </w:r>
      <w:r>
        <w:t>施工期尽量避开大风、大雨天气，对施工作业面应边施工、边洒水，尽可能降低或避免对区域的扬尘污染。</w:t>
      </w:r>
    </w:p>
    <w:p w14:paraId="0905DA3F" w14:textId="77777777" w:rsidR="003E78AB" w:rsidRDefault="00010BF9">
      <w:pPr>
        <w:ind w:firstLine="480"/>
      </w:pPr>
      <w:r>
        <w:t>⑩</w:t>
      </w:r>
      <w:r>
        <w:t>建筑垃圾应在</w:t>
      </w:r>
      <w:r>
        <w:t>48</w:t>
      </w:r>
      <w:r>
        <w:t>小时内完成清运，不能按时完成清运的建筑垃圾，应采取覆盖防尘布、防尘网、定期喷洒抑尘剂、定期喷水压尘或其他有效的防尘措施；不能按时完成清运的土方，在工地内堆置超过一周的，应采取固化</w:t>
      </w:r>
      <w:r>
        <w:t>、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14:paraId="40925B75" w14:textId="77777777" w:rsidR="003E78AB" w:rsidRDefault="00010BF9">
      <w:pPr>
        <w:ind w:firstLine="480"/>
      </w:pPr>
      <w:r>
        <w:t>⑪</w:t>
      </w:r>
      <w:r>
        <w:t>粉尘、扬尘和燃油产生的污染物对人体健康有害，对受影响的施工人员应做好劳动保护，特别是材料加工、运输粉尘较大的施工场地更应做好防护措施，配备必要的劳保用品。</w:t>
      </w:r>
    </w:p>
    <w:p w14:paraId="49CB76AA" w14:textId="77777777" w:rsidR="003E78AB" w:rsidRDefault="00010BF9">
      <w:pPr>
        <w:ind w:firstLine="480"/>
      </w:pPr>
      <w:r>
        <w:t>（</w:t>
      </w:r>
      <w:r>
        <w:t>2</w:t>
      </w:r>
      <w:r>
        <w:t>）施工机械排放尾气的防治措施</w:t>
      </w:r>
    </w:p>
    <w:p w14:paraId="1D942576" w14:textId="77777777" w:rsidR="003E78AB" w:rsidRDefault="00010BF9">
      <w:pPr>
        <w:ind w:firstLine="480"/>
      </w:pPr>
      <w:r>
        <w:t>建设单位针对汽车尾气的排放拟采取以下的措施：</w:t>
      </w:r>
    </w:p>
    <w:p w14:paraId="576DE134" w14:textId="77777777" w:rsidR="003E78AB" w:rsidRDefault="00010BF9">
      <w:pPr>
        <w:ind w:firstLine="480"/>
      </w:pPr>
      <w:r>
        <w:t>①</w:t>
      </w:r>
      <w:r>
        <w:t>运输、施工单位使用符合国家有关标准的运输车辆和</w:t>
      </w:r>
      <w:r>
        <w:t>工程机械，严禁使用超标排放污染物的车辆和机械。</w:t>
      </w:r>
    </w:p>
    <w:p w14:paraId="2D6570B7" w14:textId="77777777" w:rsidR="003E78AB" w:rsidRDefault="00010BF9">
      <w:pPr>
        <w:ind w:firstLine="480"/>
      </w:pPr>
      <w:r>
        <w:t>②</w:t>
      </w:r>
      <w:r>
        <w:t>所有车辆和机械必须定时维修和维护，保证正常运营，减少事故排放。</w:t>
      </w:r>
    </w:p>
    <w:p w14:paraId="27A1FABE" w14:textId="77777777" w:rsidR="003E78AB" w:rsidRDefault="00010BF9">
      <w:pPr>
        <w:ind w:firstLine="480"/>
      </w:pPr>
      <w:r>
        <w:t>③</w:t>
      </w:r>
      <w:r>
        <w:t>运输车辆统一调度，避免出现拥挤，尽可能正常装载和行驶，以免在交通不畅通的情况下，排出更多的尾气。</w:t>
      </w:r>
    </w:p>
    <w:p w14:paraId="0C1D11D6" w14:textId="77777777" w:rsidR="003E78AB" w:rsidRDefault="00010BF9">
      <w:pPr>
        <w:ind w:firstLine="480"/>
      </w:pPr>
      <w:r>
        <w:t>④</w:t>
      </w:r>
      <w:r>
        <w:t>运输车辆禁止超载，不得使用劣质燃料；对车辆的尾气排放应进行监督管理，严格执行汽车排污监管办法相关规定，避免排放黑烟。</w:t>
      </w:r>
    </w:p>
    <w:p w14:paraId="5241E4CE" w14:textId="77777777" w:rsidR="003E78AB" w:rsidRDefault="00010BF9">
      <w:pPr>
        <w:ind w:firstLine="480"/>
      </w:pPr>
      <w:r>
        <w:t>综上所述，施工期大气污染防治措施简单，经济有效，操作难度小；在采取上述措施后，大气污染物的排放将有效减少，不会对当地大气环境质量造成大的影响；评价认为大气污染防治措施有效可行。</w:t>
      </w:r>
    </w:p>
    <w:p w14:paraId="44F3972A"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7.1</w:t>
      </w:r>
      <w:r>
        <w:rPr>
          <w:rFonts w:cs="Times New Roman"/>
          <w:sz w:val="28"/>
          <w:szCs w:val="28"/>
        </w:rPr>
        <w:t>.2</w:t>
      </w:r>
      <w:r>
        <w:rPr>
          <w:rFonts w:cs="Times New Roman"/>
          <w:sz w:val="28"/>
          <w:szCs w:val="28"/>
        </w:rPr>
        <w:t>施工期水污染防治措施</w:t>
      </w:r>
    </w:p>
    <w:p w14:paraId="4FFB086A" w14:textId="77777777" w:rsidR="003E78AB" w:rsidRDefault="00010BF9">
      <w:pPr>
        <w:ind w:firstLine="480"/>
      </w:pPr>
      <w:r>
        <w:t>施工期废水主要是来自施工废水及施工人员的生活污水。其中：施工废水包括泥浆水、车辆和机械设备洗涤水等。生活污水包括施工人员的盥洗水等。施工期废水处置不当会对施工场地周围的水环境产生短时间的不良影响，拟对施工期产生的废水采取如下污染防治措施：</w:t>
      </w:r>
    </w:p>
    <w:p w14:paraId="6C7EA265" w14:textId="77777777" w:rsidR="003E78AB" w:rsidRDefault="00010BF9">
      <w:pPr>
        <w:ind w:firstLine="480"/>
      </w:pPr>
      <w:r>
        <w:t>（</w:t>
      </w:r>
      <w:r>
        <w:t>1</w:t>
      </w:r>
      <w:r>
        <w:t>）在施工期间制定严格的施工环保管理制度，施工人员自觉遵守规章制度，并加以严格监督和管理。</w:t>
      </w:r>
    </w:p>
    <w:p w14:paraId="5128FF5E" w14:textId="77777777" w:rsidR="003E78AB" w:rsidRDefault="00010BF9">
      <w:pPr>
        <w:ind w:firstLine="480"/>
      </w:pPr>
      <w:r>
        <w:t>（</w:t>
      </w:r>
      <w:r>
        <w:t>2</w:t>
      </w:r>
      <w:r>
        <w:t>）本项目施工营地接通园区下水管网，施工过程施工人员生活污水进入园区污水处理厂处置。</w:t>
      </w:r>
    </w:p>
    <w:p w14:paraId="2CD98A99" w14:textId="77777777" w:rsidR="003E78AB" w:rsidRDefault="00010BF9">
      <w:pPr>
        <w:ind w:firstLine="480"/>
      </w:pPr>
      <w:r>
        <w:t>（</w:t>
      </w:r>
      <w:r>
        <w:t>3</w:t>
      </w:r>
      <w:r>
        <w:t>）施工废水为间断排水，水量较小，主要污染因子为</w:t>
      </w:r>
      <w:r>
        <w:t>SS</w:t>
      </w:r>
      <w:r>
        <w:t>，工</w:t>
      </w:r>
      <w:r>
        <w:t>程施工时设置</w:t>
      </w:r>
      <w:r>
        <w:t>1</w:t>
      </w:r>
      <w:r>
        <w:t>个临时沉淀池，用防水布或塑料薄膜进行防渗，将施工废水进行沉淀处理，降低废水中</w:t>
      </w:r>
      <w:r>
        <w:t>SS</w:t>
      </w:r>
      <w:r>
        <w:t>的含量，经过沉淀处理后的施工废水用于施工场地洒水降尘或回用。施工结束后，防水布或塑料薄膜回收再用，将废水收集坑填埋清理，恢复原貌。该处理措施特点是构造简单，造价低，管理也方便，仅需定期清洗。</w:t>
      </w:r>
    </w:p>
    <w:p w14:paraId="30A6D411" w14:textId="77777777" w:rsidR="003E78AB" w:rsidRDefault="00010BF9">
      <w:pPr>
        <w:ind w:firstLine="480"/>
      </w:pPr>
      <w:r>
        <w:t>（</w:t>
      </w:r>
      <w:r>
        <w:t>4</w:t>
      </w:r>
      <w:r>
        <w:t>）在施工过程中加强对机械设备的检修和维护，以防止设备漏油现象的发生；施工机械设备的维修应在专业厂家进行。</w:t>
      </w:r>
    </w:p>
    <w:p w14:paraId="0B226AC5" w14:textId="77777777" w:rsidR="003E78AB" w:rsidRDefault="00010BF9">
      <w:pPr>
        <w:ind w:firstLine="480"/>
      </w:pPr>
      <w:r>
        <w:t>（</w:t>
      </w:r>
      <w:r>
        <w:t>5</w:t>
      </w:r>
      <w:r>
        <w:t>）加强施工期固体废物的管理。固体废物应堆放至指定的地点并及时清运，堆放点应做好防排水设置，防止固体废物造成的污染。</w:t>
      </w:r>
    </w:p>
    <w:p w14:paraId="4266ABD5" w14:textId="77777777" w:rsidR="003E78AB" w:rsidRDefault="00010BF9">
      <w:pPr>
        <w:ind w:firstLine="480"/>
      </w:pPr>
      <w:r>
        <w:t>（</w:t>
      </w:r>
      <w:r>
        <w:t>6</w:t>
      </w:r>
      <w:r>
        <w:t>）做好建筑材料和施工废渣的管理和回收，特别是含有油污的物体，不能露天存放，以免因雨水冲刷而污染水体，用废油桶收集，集中保管，定期送有关单位进行回收处理，严禁将废油随意倾倒。通过以上水污染控制措施，拟建项目施工期污水对周边环境影响极小，项目施工期水污染防治措施可行。</w:t>
      </w:r>
    </w:p>
    <w:p w14:paraId="77DAE0EB"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7.1</w:t>
      </w:r>
      <w:r>
        <w:rPr>
          <w:rFonts w:cs="Times New Roman"/>
          <w:sz w:val="28"/>
          <w:szCs w:val="28"/>
        </w:rPr>
        <w:t>.3</w:t>
      </w:r>
      <w:r>
        <w:rPr>
          <w:rFonts w:cs="Times New Roman"/>
          <w:sz w:val="28"/>
          <w:szCs w:val="28"/>
        </w:rPr>
        <w:t>施工期噪声防治措施</w:t>
      </w:r>
    </w:p>
    <w:p w14:paraId="22F38FB5" w14:textId="77777777" w:rsidR="003E78AB" w:rsidRDefault="00010BF9">
      <w:pPr>
        <w:ind w:firstLine="480"/>
      </w:pPr>
      <w:r>
        <w:t>施工期间的噪声污染主要来自施工机械作业产生的噪声和运输车辆产生的交通噪声，施工噪声对其周围环</w:t>
      </w:r>
      <w:r>
        <w:t>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14:paraId="74DCE1C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7.1.3.1</w:t>
      </w:r>
      <w:r>
        <w:rPr>
          <w:rFonts w:ascii="Times New Roman" w:hAnsi="Times New Roman" w:hint="eastAsia"/>
        </w:rPr>
        <w:t>强噪声机械的降噪措施</w:t>
      </w:r>
    </w:p>
    <w:p w14:paraId="58CF6783" w14:textId="77777777" w:rsidR="003E78AB" w:rsidRDefault="00010BF9">
      <w:pPr>
        <w:ind w:firstLine="480"/>
      </w:pPr>
      <w:r>
        <w:t>（</w:t>
      </w:r>
      <w:r>
        <w:t>1</w:t>
      </w:r>
      <w:r>
        <w:t>）推行清洁生产，必须采用低噪声的施工机械和先进的施工技术，以达到控制噪声的目的。施工机械进场应得到环保部门的批准，对环境噪声污染严重的落后的施工机械和施工方式实行淘汰制度。施工中应采用低噪声新技术设备，使噪声污染在施工中得到控制。</w:t>
      </w:r>
    </w:p>
    <w:p w14:paraId="27C2F81D" w14:textId="77777777" w:rsidR="003E78AB" w:rsidRDefault="00010BF9">
      <w:pPr>
        <w:ind w:firstLine="480"/>
      </w:pPr>
      <w:r>
        <w:t>（</w:t>
      </w:r>
      <w:r>
        <w:t>2</w:t>
      </w:r>
      <w:r>
        <w:t>）在施工机械与设备与基础或连接部位之间采用弹簧减震、橡皮减震、管道减震、阻尼减震技术，可减少动量，降低噪声。</w:t>
      </w:r>
    </w:p>
    <w:p w14:paraId="7DB53D1C" w14:textId="77777777" w:rsidR="003E78AB" w:rsidRDefault="00010BF9">
      <w:pPr>
        <w:ind w:firstLine="480"/>
      </w:pPr>
      <w:r>
        <w:t>（</w:t>
      </w:r>
      <w:r>
        <w:t>3</w:t>
      </w:r>
      <w:r>
        <w:t>）降低钢模施工噪声，小钢模改为竹夹板以减少振动作业时冲击钢模产生噪声。</w:t>
      </w:r>
    </w:p>
    <w:p w14:paraId="2CF64D70" w14:textId="77777777" w:rsidR="003E78AB" w:rsidRDefault="00010BF9">
      <w:pPr>
        <w:ind w:firstLine="480"/>
      </w:pPr>
      <w:r>
        <w:t>（</w:t>
      </w:r>
      <w:r>
        <w:t>4</w:t>
      </w:r>
      <w:r>
        <w:t>）合理布局施工场地，在允许的情况下，高噪声施工机械设备布置在远离居民的位置。按照有</w:t>
      </w:r>
      <w:r>
        <w:t>关规定，每个施工段对作业区设置围挡。</w:t>
      </w:r>
    </w:p>
    <w:p w14:paraId="00059BAE" w14:textId="77777777" w:rsidR="003E78AB" w:rsidRDefault="00010BF9">
      <w:pPr>
        <w:ind w:firstLine="480"/>
      </w:pPr>
      <w:r>
        <w:t>（</w:t>
      </w:r>
      <w:r>
        <w:t>5</w:t>
      </w:r>
      <w:r>
        <w:t>）施工车辆禁鸣喇叭。</w:t>
      </w:r>
    </w:p>
    <w:p w14:paraId="72321B74" w14:textId="77777777" w:rsidR="003E78AB" w:rsidRDefault="00010BF9">
      <w:pPr>
        <w:ind w:firstLine="480"/>
      </w:pPr>
      <w:r>
        <w:t>（</w:t>
      </w:r>
      <w:r>
        <w:t>6</w:t>
      </w:r>
      <w:r>
        <w:t>）施工过程中加强检查、维护和保养机械设备，保持润滑，紧固各部件，减少运行振动噪声。减轻噪声对周围环境敏感点的影响。</w:t>
      </w:r>
    </w:p>
    <w:p w14:paraId="075428A8"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7.1.3.2</w:t>
      </w:r>
      <w:r>
        <w:rPr>
          <w:rFonts w:ascii="Times New Roman" w:hAnsi="Times New Roman" w:hint="eastAsia"/>
        </w:rPr>
        <w:t>人为噪声控制</w:t>
      </w:r>
    </w:p>
    <w:p w14:paraId="42A86B81" w14:textId="77777777" w:rsidR="003E78AB" w:rsidRDefault="00010BF9">
      <w:pPr>
        <w:ind w:firstLine="480"/>
      </w:pPr>
      <w:r>
        <w:t>（</w:t>
      </w:r>
      <w:r>
        <w:t>1</w:t>
      </w:r>
      <w:r>
        <w:t>）提倡文明施工，建立控制人为噪声的管理制度，增强施工人员的环保意识，提高防治噪声扰民的自觉性，减少人为噪声污染。</w:t>
      </w:r>
    </w:p>
    <w:p w14:paraId="52310FB9" w14:textId="77777777" w:rsidR="003E78AB" w:rsidRDefault="00010BF9">
      <w:pPr>
        <w:ind w:firstLine="480"/>
      </w:pPr>
      <w:r>
        <w:t>（</w:t>
      </w:r>
      <w:r>
        <w:t>2</w:t>
      </w:r>
      <w:r>
        <w:t>）在施工现场禁止大声喧哗吵闹、高声唱歌或敲击工具等。</w:t>
      </w:r>
    </w:p>
    <w:p w14:paraId="3F352092" w14:textId="77777777" w:rsidR="003E78AB" w:rsidRDefault="00010BF9">
      <w:pPr>
        <w:ind w:firstLine="480"/>
      </w:pPr>
      <w:r>
        <w:t>（</w:t>
      </w:r>
      <w:r>
        <w:t>3</w:t>
      </w:r>
      <w:r>
        <w:t>）作业中搬运物件，必须轻拿轻放，钢铁件堆放不发出大的声响，严禁抛掷物件而造成噪声。</w:t>
      </w:r>
    </w:p>
    <w:p w14:paraId="742F5E3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7.1.3.3</w:t>
      </w:r>
      <w:r>
        <w:rPr>
          <w:rFonts w:ascii="Times New Roman" w:hAnsi="Times New Roman" w:hint="eastAsia"/>
        </w:rPr>
        <w:t>个人防护</w:t>
      </w:r>
    </w:p>
    <w:p w14:paraId="583F9597" w14:textId="77777777" w:rsidR="003E78AB" w:rsidRDefault="00010BF9">
      <w:pPr>
        <w:ind w:firstLine="480"/>
      </w:pPr>
      <w:r>
        <w:t>施工单位应合</w:t>
      </w:r>
      <w:r>
        <w:t>理安排工作人员轮流操作产生高强噪声的施工机械，减少接触高噪声的时间，或穿插安排高噪声和低噪声的工作。加强对施工人员的个人防护，对高噪声设备附近工作的施工人员，采取配备、使用耳塞、耳机、防声头盔等防噪用具。</w:t>
      </w:r>
    </w:p>
    <w:p w14:paraId="1A5AA1B1" w14:textId="77777777" w:rsidR="003E78AB" w:rsidRDefault="00010BF9">
      <w:pPr>
        <w:ind w:firstLine="480"/>
      </w:pPr>
      <w:r>
        <w:t>经采取以上的降噪措施后，有效地减缓了施工和运输噪声对项目施工人员和周围居民区的影响，因此施工期拟采取的噪声防治措施可行。</w:t>
      </w:r>
    </w:p>
    <w:p w14:paraId="21F9C2FE" w14:textId="77777777" w:rsidR="003E78AB" w:rsidRDefault="00010BF9">
      <w:pPr>
        <w:ind w:firstLine="480"/>
      </w:pPr>
      <w:r>
        <w:t>施工期环境影响为短期影响，施工结束后消除。但考虑施工期对周围环境的影响，建设单位在建设过程中认真遵守各项管理制度，做到文明施工、严格管理、缩短工期，力争将项目建设过程中对周围环境产生的</w:t>
      </w:r>
      <w:r>
        <w:t>影响降到最低限度。</w:t>
      </w:r>
    </w:p>
    <w:p w14:paraId="05BA4CE3"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7.1</w:t>
      </w:r>
      <w:r>
        <w:rPr>
          <w:rFonts w:cs="Times New Roman"/>
          <w:sz w:val="28"/>
          <w:szCs w:val="28"/>
        </w:rPr>
        <w:t>.4</w:t>
      </w:r>
      <w:r>
        <w:rPr>
          <w:rFonts w:cs="Times New Roman"/>
          <w:sz w:val="28"/>
          <w:szCs w:val="28"/>
        </w:rPr>
        <w:t>施工期固体废物防治措施</w:t>
      </w:r>
    </w:p>
    <w:p w14:paraId="5724664C" w14:textId="77777777" w:rsidR="003E78AB" w:rsidRDefault="00010BF9">
      <w:pPr>
        <w:ind w:firstLine="480"/>
      </w:pPr>
      <w:r>
        <w:t>施工期固体废物主要为建筑垃圾及施工人员生活垃圾，为降低施工固体废物排放对周边环境的影响，环评提出以下措施：</w:t>
      </w:r>
    </w:p>
    <w:p w14:paraId="2A75568A" w14:textId="77777777" w:rsidR="003E78AB" w:rsidRDefault="00010BF9">
      <w:pPr>
        <w:ind w:firstLine="480"/>
      </w:pPr>
      <w:r>
        <w:t>（</w:t>
      </w:r>
      <w:r>
        <w:t>1</w:t>
      </w:r>
      <w:r>
        <w:t>）施工期建筑垃圾主要有：废砂石、废砖瓦、废木块、废塑料、废混凝土、废金属、油漆涂料包装物、碎玻璃等。能回收利用的如废金属、废木块、废包装材料等由废物收购站回收，不能回收利用的废砖瓦等集中收集后运往住建部门指定地点，不得随处丢弃；旧建筑拆除产生的废砖块运往</w:t>
      </w:r>
      <w:r>
        <w:rPr>
          <w:kern w:val="2"/>
        </w:rPr>
        <w:t>伊州区城北建筑垃圾填埋场处置</w:t>
      </w:r>
      <w:r>
        <w:t>，禁止随意倾倒。</w:t>
      </w:r>
    </w:p>
    <w:p w14:paraId="7285B94E" w14:textId="77777777" w:rsidR="003E78AB" w:rsidRDefault="00010BF9">
      <w:pPr>
        <w:ind w:firstLine="480"/>
      </w:pPr>
      <w:r>
        <w:t>（</w:t>
      </w:r>
      <w:r>
        <w:t>2</w:t>
      </w:r>
      <w:r>
        <w:t>）施工场地均配备生活垃圾箱，经工程管理部门</w:t>
      </w:r>
      <w:r>
        <w:t>集中收集后及时清运至哈密市生活垃圾填埋场处置。</w:t>
      </w:r>
    </w:p>
    <w:p w14:paraId="0F22E8FD" w14:textId="77777777" w:rsidR="003E78AB" w:rsidRDefault="00010BF9">
      <w:pPr>
        <w:ind w:firstLine="480"/>
      </w:pPr>
      <w:r>
        <w:t>以上措施可以有效处理施工产生的各类固体废物，防止其影响周边景观环境和卫生环境，达到环保治理目的。该部分环保投资主要为来往运输费用及处置费用，经济合理。施工期固体废物得到综合处理，对环境影响较小。环评认为项目施工期固废处置措施可行。</w:t>
      </w:r>
    </w:p>
    <w:p w14:paraId="4950EAEE" w14:textId="77777777" w:rsidR="003E78AB" w:rsidRDefault="00010BF9">
      <w:pPr>
        <w:pStyle w:val="24"/>
        <w:keepNext w:val="0"/>
        <w:keepLines w:val="0"/>
        <w:topLinePunct/>
        <w:spacing w:before="120"/>
        <w:outlineLvl w:val="2"/>
        <w:rPr>
          <w:rFonts w:cs="Times New Roman"/>
          <w:sz w:val="28"/>
          <w:szCs w:val="28"/>
          <w:u w:val="single"/>
        </w:rPr>
      </w:pPr>
      <w:r>
        <w:rPr>
          <w:rFonts w:cs="Times New Roman" w:hint="eastAsia"/>
          <w:sz w:val="28"/>
          <w:szCs w:val="28"/>
          <w:u w:val="single"/>
        </w:rPr>
        <w:t>7.1.5</w:t>
      </w:r>
      <w:r>
        <w:rPr>
          <w:rFonts w:cs="Times New Roman" w:hint="eastAsia"/>
          <w:sz w:val="28"/>
          <w:szCs w:val="28"/>
          <w:u w:val="single"/>
        </w:rPr>
        <w:t>施工期防沙治沙措施</w:t>
      </w:r>
    </w:p>
    <w:p w14:paraId="40518F11" w14:textId="77777777" w:rsidR="003E78AB" w:rsidRDefault="00010BF9">
      <w:pPr>
        <w:ind w:firstLine="482"/>
        <w:rPr>
          <w:b/>
          <w:bCs/>
          <w:u w:val="single"/>
        </w:rPr>
      </w:pPr>
      <w:r>
        <w:rPr>
          <w:b/>
          <w:bCs/>
          <w:u w:val="single"/>
        </w:rPr>
        <w:t>依据《新疆维吾尔自治区第六次沙化土地监测报告》，本项目区属于非沙化土地，为防止项目建设造成项目区沙化，环评按照《中华人民共和国防沙治沙法》的有关规定，结合《关于加强沙区建设项目环境影响评价工作的通知》的</w:t>
      </w:r>
      <w:r>
        <w:rPr>
          <w:b/>
          <w:bCs/>
          <w:u w:val="single"/>
        </w:rPr>
        <w:t>相关要求提出以下防沙、治沙措施：</w:t>
      </w:r>
    </w:p>
    <w:p w14:paraId="13EA5A84" w14:textId="77777777" w:rsidR="003E78AB" w:rsidRDefault="00010BF9">
      <w:pPr>
        <w:ind w:firstLine="482"/>
        <w:rPr>
          <w:b/>
          <w:bCs/>
          <w:u w:val="single"/>
        </w:rPr>
      </w:pPr>
      <w:r>
        <w:rPr>
          <w:b/>
          <w:bCs/>
          <w:u w:val="single"/>
        </w:rPr>
        <w:t>①</w:t>
      </w:r>
      <w:r>
        <w:rPr>
          <w:b/>
          <w:bCs/>
          <w:u w:val="single"/>
        </w:rPr>
        <w:t>加强管理，严禁不合理利用土地、草地等资源行为，避免项目区及周边植被资源遭到破坏。为了提高项目区植被的覆盖率，选择乔、灌、草相结合，且抗旱能力强的植被进行人工封沙种草。</w:t>
      </w:r>
    </w:p>
    <w:p w14:paraId="209F3D8A" w14:textId="77777777" w:rsidR="003E78AB" w:rsidRDefault="00010BF9">
      <w:pPr>
        <w:ind w:firstLine="482"/>
        <w:rPr>
          <w:b/>
          <w:bCs/>
          <w:u w:val="single"/>
        </w:rPr>
      </w:pPr>
      <w:r>
        <w:rPr>
          <w:b/>
          <w:bCs/>
          <w:u w:val="single"/>
        </w:rPr>
        <w:t>②</w:t>
      </w:r>
      <w:r>
        <w:rPr>
          <w:b/>
          <w:bCs/>
          <w:u w:val="single"/>
        </w:rPr>
        <w:t>由于冬季风力较强，加上干燥的气候条件以及地表覆盖的植被较少，风沙较大。建设单位要重视防沙固沙工作，有效利用周围的环境条件，如在风沙区域增设沙障、固定沙丘，避免沙丘随大风肆意扩散，减少沙土的扩散范围。</w:t>
      </w:r>
    </w:p>
    <w:p w14:paraId="1808AAD5" w14:textId="77777777" w:rsidR="003E78AB" w:rsidRDefault="00010BF9">
      <w:pPr>
        <w:ind w:firstLine="482"/>
        <w:rPr>
          <w:b/>
          <w:bCs/>
          <w:u w:val="single"/>
        </w:rPr>
      </w:pPr>
      <w:r>
        <w:rPr>
          <w:b/>
          <w:bCs/>
          <w:u w:val="single"/>
        </w:rPr>
        <w:t>③</w:t>
      </w:r>
      <w:r>
        <w:rPr>
          <w:b/>
          <w:bCs/>
          <w:u w:val="single"/>
        </w:rPr>
        <w:t>对现有植被加大保护力度。对现有植被资源加强保护，将其作为土壤沙漠化治理工作的重中之重，原生植被具有较强的防风固沙作用，必须加大保护力度。</w:t>
      </w:r>
    </w:p>
    <w:p w14:paraId="1F8E5CBC" w14:textId="77777777" w:rsidR="003E78AB" w:rsidRDefault="00010BF9">
      <w:pPr>
        <w:ind w:firstLine="482"/>
        <w:rPr>
          <w:b/>
          <w:bCs/>
          <w:u w:val="single"/>
        </w:rPr>
      </w:pPr>
      <w:r>
        <w:rPr>
          <w:b/>
          <w:bCs/>
          <w:u w:val="single"/>
        </w:rPr>
        <w:t>④</w:t>
      </w:r>
      <w:r>
        <w:rPr>
          <w:b/>
          <w:bCs/>
          <w:u w:val="single"/>
        </w:rPr>
        <w:t>严格控制施工活动范围，严禁乱碾乱轧，避免对项目占地范围外的区域造成扰动，严禁破坏占地范围外的植被。</w:t>
      </w:r>
    </w:p>
    <w:p w14:paraId="33886A58" w14:textId="77777777" w:rsidR="003E78AB" w:rsidRDefault="00010BF9">
      <w:pPr>
        <w:pStyle w:val="24"/>
        <w:keepNext w:val="0"/>
        <w:keepLines w:val="0"/>
        <w:topLinePunct/>
        <w:spacing w:before="120"/>
        <w:rPr>
          <w:rFonts w:cs="Times New Roman"/>
        </w:rPr>
      </w:pPr>
      <w:bookmarkStart w:id="456" w:name="_Toc23503"/>
      <w:bookmarkStart w:id="457" w:name="_Toc8571"/>
      <w:r>
        <w:rPr>
          <w:rFonts w:cs="Times New Roman" w:hint="eastAsia"/>
        </w:rPr>
        <w:t>7.2</w:t>
      </w:r>
      <w:r>
        <w:rPr>
          <w:rFonts w:cs="Times New Roman"/>
        </w:rPr>
        <w:t>运营期环境保护措施及可行性分析</w:t>
      </w:r>
      <w:bookmarkEnd w:id="456"/>
      <w:bookmarkEnd w:id="457"/>
    </w:p>
    <w:p w14:paraId="136487D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7.2</w:t>
      </w:r>
      <w:r>
        <w:rPr>
          <w:rFonts w:cs="Times New Roman"/>
          <w:sz w:val="28"/>
          <w:szCs w:val="28"/>
        </w:rPr>
        <w:t>.1</w:t>
      </w:r>
      <w:r>
        <w:rPr>
          <w:rFonts w:cs="Times New Roman"/>
          <w:sz w:val="28"/>
          <w:szCs w:val="28"/>
        </w:rPr>
        <w:t>运营期废气治理措施及可行性分析</w:t>
      </w:r>
    </w:p>
    <w:p w14:paraId="12BBFCB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7.2.1.1</w:t>
      </w:r>
      <w:r>
        <w:rPr>
          <w:rFonts w:ascii="Times New Roman" w:hAnsi="Times New Roman" w:hint="eastAsia"/>
        </w:rPr>
        <w:t>废气种类及防治措施</w:t>
      </w:r>
    </w:p>
    <w:p w14:paraId="50DB3932" w14:textId="77777777" w:rsidR="003E78AB" w:rsidRDefault="00010BF9">
      <w:pPr>
        <w:ind w:firstLine="480"/>
      </w:pPr>
      <w:r>
        <w:rPr>
          <w:rFonts w:hint="eastAsia"/>
        </w:rPr>
        <w:t>根据项目生产工艺流程及工程分析，项目营运期废气主要涉及五氧化二钒投料废气、工艺过程硫酸雾及储罐废气、实验废气，废气主要产生及收集治理措施见</w:t>
      </w:r>
      <w:r>
        <w:rPr>
          <w:rFonts w:hint="eastAsia"/>
        </w:rPr>
        <w:fldChar w:fldCharType="begin"/>
      </w:r>
      <w:r>
        <w:rPr>
          <w:rFonts w:hint="eastAsia"/>
        </w:rPr>
        <w:instrText xml:space="preserve"> REF _Ref9534 \r \h </w:instrText>
      </w:r>
      <w:r>
        <w:rPr>
          <w:rFonts w:hint="eastAsia"/>
        </w:rPr>
      </w:r>
      <w:r>
        <w:rPr>
          <w:rFonts w:hint="eastAsia"/>
        </w:rPr>
        <w:fldChar w:fldCharType="separate"/>
      </w:r>
      <w:r>
        <w:rPr>
          <w:rFonts w:hint="eastAsia"/>
        </w:rPr>
        <w:t>表</w:t>
      </w:r>
      <w:r>
        <w:rPr>
          <w:rFonts w:hint="eastAsia"/>
        </w:rPr>
        <w:t>7-1</w:t>
      </w:r>
      <w:r>
        <w:rPr>
          <w:rFonts w:hint="eastAsia"/>
        </w:rPr>
        <w:fldChar w:fldCharType="end"/>
      </w:r>
      <w:r>
        <w:rPr>
          <w:rFonts w:hint="eastAsia"/>
        </w:rPr>
        <w:t>。</w:t>
      </w:r>
    </w:p>
    <w:p w14:paraId="052E13E7" w14:textId="77777777" w:rsidR="003E78AB" w:rsidRDefault="00010BF9">
      <w:pPr>
        <w:pStyle w:val="a6"/>
        <w:spacing w:before="120"/>
      </w:pPr>
      <w:bookmarkStart w:id="458" w:name="_Ref9534"/>
      <w:r>
        <w:t>项目废气产生及收集、治理措施一览表</w:t>
      </w:r>
      <w:bookmarkEnd w:id="458"/>
    </w:p>
    <w:p w14:paraId="53BE2523" w14:textId="77777777" w:rsidR="003E78AB" w:rsidRDefault="003E78AB">
      <w:pPr>
        <w:spacing w:line="25" w:lineRule="exact"/>
        <w:ind w:firstLine="480"/>
      </w:pPr>
    </w:p>
    <w:tbl>
      <w:tblPr>
        <w:tblStyle w:val="TableNormal"/>
        <w:tblW w:w="502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108"/>
        <w:gridCol w:w="1675"/>
        <w:gridCol w:w="1285"/>
        <w:gridCol w:w="901"/>
        <w:gridCol w:w="1152"/>
      </w:tblGrid>
      <w:tr w:rsidR="003E78AB" w14:paraId="7FB4624E" w14:textId="77777777">
        <w:trPr>
          <w:trHeight w:val="805"/>
          <w:tblHeader/>
        </w:trPr>
        <w:tc>
          <w:tcPr>
            <w:tcW w:w="734" w:type="pct"/>
            <w:vAlign w:val="center"/>
          </w:tcPr>
          <w:p w14:paraId="40A38D9A" w14:textId="77777777" w:rsidR="003E78AB" w:rsidRDefault="00010BF9">
            <w:pPr>
              <w:pStyle w:val="aff6"/>
              <w:topLinePunct/>
              <w:rPr>
                <w:b/>
                <w:bCs/>
              </w:rPr>
            </w:pPr>
            <w:r>
              <w:rPr>
                <w:b/>
                <w:bCs/>
              </w:rPr>
              <w:t>废气</w:t>
            </w:r>
          </w:p>
        </w:tc>
        <w:tc>
          <w:tcPr>
            <w:tcW w:w="1261" w:type="pct"/>
            <w:vAlign w:val="center"/>
          </w:tcPr>
          <w:p w14:paraId="5D7C1746" w14:textId="77777777" w:rsidR="003E78AB" w:rsidRDefault="00010BF9">
            <w:pPr>
              <w:pStyle w:val="aff6"/>
              <w:topLinePunct/>
              <w:rPr>
                <w:b/>
                <w:bCs/>
              </w:rPr>
            </w:pPr>
            <w:r>
              <w:rPr>
                <w:b/>
                <w:bCs/>
              </w:rPr>
              <w:t>产生位置</w:t>
            </w:r>
          </w:p>
        </w:tc>
        <w:tc>
          <w:tcPr>
            <w:tcW w:w="1002" w:type="pct"/>
            <w:vAlign w:val="center"/>
          </w:tcPr>
          <w:p w14:paraId="7C95B975" w14:textId="77777777" w:rsidR="003E78AB" w:rsidRDefault="00010BF9">
            <w:pPr>
              <w:pStyle w:val="aff6"/>
              <w:topLinePunct/>
              <w:rPr>
                <w:b/>
                <w:bCs/>
              </w:rPr>
            </w:pPr>
            <w:r>
              <w:rPr>
                <w:b/>
                <w:bCs/>
              </w:rPr>
              <w:t>收集点位</w:t>
            </w:r>
          </w:p>
        </w:tc>
        <w:tc>
          <w:tcPr>
            <w:tcW w:w="770" w:type="pct"/>
            <w:vAlign w:val="center"/>
          </w:tcPr>
          <w:p w14:paraId="16F8C653" w14:textId="77777777" w:rsidR="003E78AB" w:rsidRDefault="00010BF9">
            <w:pPr>
              <w:pStyle w:val="aff6"/>
              <w:topLinePunct/>
              <w:rPr>
                <w:b/>
                <w:bCs/>
              </w:rPr>
            </w:pPr>
            <w:r>
              <w:rPr>
                <w:b/>
                <w:bCs/>
              </w:rPr>
              <w:t>捕集措施</w:t>
            </w:r>
          </w:p>
        </w:tc>
        <w:tc>
          <w:tcPr>
            <w:tcW w:w="540" w:type="pct"/>
            <w:vAlign w:val="center"/>
          </w:tcPr>
          <w:p w14:paraId="60DD2BB4" w14:textId="77777777" w:rsidR="003E78AB" w:rsidRDefault="00010BF9">
            <w:pPr>
              <w:pStyle w:val="aff6"/>
              <w:topLinePunct/>
              <w:rPr>
                <w:b/>
                <w:bCs/>
              </w:rPr>
            </w:pPr>
            <w:r>
              <w:rPr>
                <w:b/>
                <w:bCs/>
              </w:rPr>
              <w:t>风量</w:t>
            </w:r>
          </w:p>
          <w:p w14:paraId="1FE27228" w14:textId="77777777" w:rsidR="003E78AB" w:rsidRDefault="00010BF9">
            <w:pPr>
              <w:pStyle w:val="aff6"/>
              <w:topLinePunct/>
              <w:rPr>
                <w:b/>
                <w:bCs/>
              </w:rPr>
            </w:pPr>
            <w:r>
              <w:rPr>
                <w:b/>
                <w:bCs/>
              </w:rPr>
              <w:t>Nm</w:t>
            </w:r>
            <w:r>
              <w:rPr>
                <w:b/>
                <w:bCs/>
                <w:vertAlign w:val="superscript"/>
              </w:rPr>
              <w:t>3</w:t>
            </w:r>
            <w:r>
              <w:rPr>
                <w:b/>
                <w:bCs/>
              </w:rPr>
              <w:t>/h</w:t>
            </w:r>
          </w:p>
        </w:tc>
        <w:tc>
          <w:tcPr>
            <w:tcW w:w="690" w:type="pct"/>
            <w:vAlign w:val="center"/>
          </w:tcPr>
          <w:p w14:paraId="4D42333C" w14:textId="77777777" w:rsidR="003E78AB" w:rsidRDefault="00010BF9">
            <w:pPr>
              <w:pStyle w:val="aff6"/>
              <w:topLinePunct/>
              <w:rPr>
                <w:b/>
                <w:bCs/>
              </w:rPr>
            </w:pPr>
            <w:r>
              <w:rPr>
                <w:b/>
                <w:bCs/>
              </w:rPr>
              <w:t>治理措施</w:t>
            </w:r>
          </w:p>
        </w:tc>
      </w:tr>
      <w:tr w:rsidR="003E78AB" w14:paraId="0FD699EB" w14:textId="77777777">
        <w:trPr>
          <w:trHeight w:val="548"/>
        </w:trPr>
        <w:tc>
          <w:tcPr>
            <w:tcW w:w="734" w:type="pct"/>
            <w:vMerge w:val="restart"/>
            <w:vAlign w:val="center"/>
          </w:tcPr>
          <w:p w14:paraId="462C3E8D" w14:textId="77777777" w:rsidR="003E78AB" w:rsidRDefault="00010BF9">
            <w:pPr>
              <w:pStyle w:val="aff6"/>
              <w:topLinePunct/>
            </w:pPr>
            <w:r>
              <w:t>投料废气</w:t>
            </w:r>
          </w:p>
        </w:tc>
        <w:tc>
          <w:tcPr>
            <w:tcW w:w="1261" w:type="pct"/>
            <w:vAlign w:val="center"/>
          </w:tcPr>
          <w:p w14:paraId="2A687693" w14:textId="77777777" w:rsidR="003E78AB" w:rsidRDefault="00010BF9">
            <w:pPr>
              <w:pStyle w:val="aff6"/>
              <w:topLinePunct/>
            </w:pPr>
            <w:r>
              <w:t>五氧化二钒</w:t>
            </w:r>
            <w:r>
              <w:rPr>
                <w:rFonts w:hint="eastAsia"/>
              </w:rPr>
              <w:t>拆包</w:t>
            </w:r>
            <w:r>
              <w:t>投料</w:t>
            </w:r>
          </w:p>
        </w:tc>
        <w:tc>
          <w:tcPr>
            <w:tcW w:w="1002" w:type="pct"/>
            <w:vAlign w:val="center"/>
          </w:tcPr>
          <w:p w14:paraId="0499A698" w14:textId="77777777" w:rsidR="003E78AB" w:rsidRDefault="00010BF9">
            <w:pPr>
              <w:pStyle w:val="aff6"/>
              <w:topLinePunct/>
            </w:pPr>
            <w:r>
              <w:rPr>
                <w:rFonts w:hint="eastAsia"/>
              </w:rPr>
              <w:t>拆包机、</w:t>
            </w:r>
            <w:r>
              <w:t>投料</w:t>
            </w:r>
            <w:r>
              <w:rPr>
                <w:rFonts w:hint="eastAsia"/>
              </w:rPr>
              <w:t>仓</w:t>
            </w:r>
          </w:p>
        </w:tc>
        <w:tc>
          <w:tcPr>
            <w:tcW w:w="770" w:type="pct"/>
            <w:vAlign w:val="center"/>
          </w:tcPr>
          <w:p w14:paraId="1598C9BF" w14:textId="77777777" w:rsidR="003E78AB" w:rsidRDefault="00010BF9">
            <w:pPr>
              <w:pStyle w:val="aff6"/>
              <w:topLinePunct/>
            </w:pPr>
            <w:r>
              <w:t>负压抽风及集气系统</w:t>
            </w:r>
          </w:p>
        </w:tc>
        <w:tc>
          <w:tcPr>
            <w:tcW w:w="540" w:type="pct"/>
            <w:vAlign w:val="center"/>
          </w:tcPr>
          <w:p w14:paraId="21806487" w14:textId="77777777" w:rsidR="003E78AB" w:rsidRDefault="00010BF9">
            <w:pPr>
              <w:pStyle w:val="aff6"/>
              <w:topLinePunct/>
            </w:pPr>
            <w:r>
              <w:rPr>
                <w:rFonts w:hint="eastAsia"/>
              </w:rPr>
              <w:t>8</w:t>
            </w:r>
            <w:r>
              <w:t>000</w:t>
            </w:r>
          </w:p>
        </w:tc>
        <w:tc>
          <w:tcPr>
            <w:tcW w:w="690" w:type="pct"/>
            <w:vAlign w:val="center"/>
          </w:tcPr>
          <w:p w14:paraId="559D551A" w14:textId="77777777" w:rsidR="003E78AB" w:rsidRDefault="00010BF9">
            <w:pPr>
              <w:pStyle w:val="aff6"/>
              <w:topLinePunct/>
            </w:pPr>
            <w:r>
              <w:t>覆膜滤料袋式除尘器</w:t>
            </w:r>
          </w:p>
        </w:tc>
      </w:tr>
      <w:tr w:rsidR="003E78AB" w14:paraId="4B4D6FEE" w14:textId="77777777">
        <w:trPr>
          <w:trHeight w:val="549"/>
        </w:trPr>
        <w:tc>
          <w:tcPr>
            <w:tcW w:w="734" w:type="pct"/>
            <w:vMerge/>
            <w:vAlign w:val="center"/>
          </w:tcPr>
          <w:p w14:paraId="36DB8D2F" w14:textId="77777777" w:rsidR="003E78AB" w:rsidRDefault="003E78AB">
            <w:pPr>
              <w:pStyle w:val="aff6"/>
              <w:topLinePunct/>
            </w:pPr>
          </w:p>
        </w:tc>
        <w:tc>
          <w:tcPr>
            <w:tcW w:w="1261" w:type="pct"/>
            <w:vAlign w:val="center"/>
          </w:tcPr>
          <w:p w14:paraId="1FC4227C" w14:textId="77777777" w:rsidR="003E78AB" w:rsidRDefault="00010BF9">
            <w:pPr>
              <w:pStyle w:val="aff6"/>
              <w:topLinePunct/>
            </w:pPr>
            <w:r>
              <w:rPr>
                <w:rFonts w:hint="eastAsia"/>
              </w:rPr>
              <w:t>草酸拆包</w:t>
            </w:r>
            <w:r>
              <w:t>投料</w:t>
            </w:r>
          </w:p>
        </w:tc>
        <w:tc>
          <w:tcPr>
            <w:tcW w:w="1002" w:type="pct"/>
            <w:vAlign w:val="center"/>
          </w:tcPr>
          <w:p w14:paraId="426BC3CA" w14:textId="77777777" w:rsidR="003E78AB" w:rsidRDefault="00010BF9">
            <w:pPr>
              <w:pStyle w:val="aff6"/>
              <w:topLinePunct/>
            </w:pPr>
            <w:r>
              <w:rPr>
                <w:rFonts w:hint="eastAsia"/>
              </w:rPr>
              <w:t>拆包机、</w:t>
            </w:r>
            <w:r>
              <w:t>投料</w:t>
            </w:r>
            <w:r>
              <w:rPr>
                <w:rFonts w:hint="eastAsia"/>
              </w:rPr>
              <w:t>仓</w:t>
            </w:r>
          </w:p>
        </w:tc>
        <w:tc>
          <w:tcPr>
            <w:tcW w:w="770" w:type="pct"/>
            <w:vAlign w:val="center"/>
          </w:tcPr>
          <w:p w14:paraId="3B4306EE" w14:textId="77777777" w:rsidR="003E78AB" w:rsidRDefault="00010BF9">
            <w:pPr>
              <w:pStyle w:val="aff6"/>
              <w:topLinePunct/>
            </w:pPr>
            <w:r>
              <w:t>负压抽风及集气系统</w:t>
            </w:r>
          </w:p>
        </w:tc>
        <w:tc>
          <w:tcPr>
            <w:tcW w:w="540" w:type="pct"/>
            <w:vAlign w:val="center"/>
          </w:tcPr>
          <w:p w14:paraId="156DBD8B" w14:textId="77777777" w:rsidR="003E78AB" w:rsidRDefault="00010BF9">
            <w:pPr>
              <w:pStyle w:val="aff6"/>
              <w:topLinePunct/>
            </w:pPr>
            <w:r>
              <w:rPr>
                <w:rFonts w:hint="eastAsia"/>
              </w:rPr>
              <w:t>8</w:t>
            </w:r>
            <w:r>
              <w:t>000</w:t>
            </w:r>
          </w:p>
        </w:tc>
        <w:tc>
          <w:tcPr>
            <w:tcW w:w="690" w:type="pct"/>
            <w:vAlign w:val="center"/>
          </w:tcPr>
          <w:p w14:paraId="2E0D323F" w14:textId="77777777" w:rsidR="003E78AB" w:rsidRDefault="00010BF9">
            <w:pPr>
              <w:pStyle w:val="aff6"/>
              <w:topLinePunct/>
            </w:pPr>
            <w:r>
              <w:t>覆膜滤料袋式除尘器</w:t>
            </w:r>
          </w:p>
        </w:tc>
      </w:tr>
      <w:tr w:rsidR="003E78AB" w14:paraId="5805CE6B" w14:textId="77777777">
        <w:trPr>
          <w:trHeight w:val="822"/>
        </w:trPr>
        <w:tc>
          <w:tcPr>
            <w:tcW w:w="734" w:type="pct"/>
            <w:vAlign w:val="center"/>
          </w:tcPr>
          <w:p w14:paraId="74CBDD84" w14:textId="77777777" w:rsidR="003E78AB" w:rsidRDefault="00010BF9">
            <w:pPr>
              <w:pStyle w:val="aff6"/>
              <w:topLinePunct/>
            </w:pPr>
            <w:r>
              <w:rPr>
                <w:rFonts w:hint="eastAsia"/>
              </w:rPr>
              <w:t>工艺废气</w:t>
            </w:r>
          </w:p>
        </w:tc>
        <w:tc>
          <w:tcPr>
            <w:tcW w:w="1261" w:type="pct"/>
            <w:vAlign w:val="center"/>
          </w:tcPr>
          <w:p w14:paraId="4BFE0BE9" w14:textId="77777777" w:rsidR="003E78AB" w:rsidRDefault="00010BF9">
            <w:pPr>
              <w:pStyle w:val="aff6"/>
              <w:topLinePunct/>
            </w:pPr>
            <w:r>
              <w:rPr>
                <w:rFonts w:hint="eastAsia"/>
              </w:rPr>
              <w:t>硫酸稀释、</w:t>
            </w:r>
            <w:r>
              <w:rPr>
                <w:spacing w:val="-4"/>
              </w:rPr>
              <w:t>溶解还原釜搅拌和反应过程</w:t>
            </w:r>
            <w:r>
              <w:rPr>
                <w:rFonts w:hint="eastAsia"/>
                <w:spacing w:val="-4"/>
              </w:rPr>
              <w:t>、</w:t>
            </w:r>
            <w:r>
              <w:rPr>
                <w:spacing w:val="-4"/>
              </w:rPr>
              <w:t>电解</w:t>
            </w:r>
            <w:r>
              <w:rPr>
                <w:rFonts w:hint="eastAsia"/>
                <w:spacing w:val="-4"/>
              </w:rPr>
              <w:t>投料及电解</w:t>
            </w:r>
            <w:r>
              <w:rPr>
                <w:spacing w:val="-4"/>
              </w:rPr>
              <w:t>过程</w:t>
            </w:r>
            <w:r>
              <w:rPr>
                <w:rFonts w:hint="eastAsia"/>
                <w:spacing w:val="-4"/>
              </w:rPr>
              <w:t>、调制定容</w:t>
            </w:r>
            <w:r>
              <w:rPr>
                <w:spacing w:val="-4"/>
              </w:rPr>
              <w:t>过程</w:t>
            </w:r>
            <w:r>
              <w:rPr>
                <w:rFonts w:hint="eastAsia"/>
                <w:spacing w:val="-4"/>
              </w:rPr>
              <w:t>、成品装卸</w:t>
            </w:r>
            <w:r>
              <w:rPr>
                <w:spacing w:val="-4"/>
              </w:rPr>
              <w:t>过程</w:t>
            </w:r>
          </w:p>
        </w:tc>
        <w:tc>
          <w:tcPr>
            <w:tcW w:w="1002" w:type="pct"/>
            <w:vAlign w:val="center"/>
          </w:tcPr>
          <w:p w14:paraId="6C1BC654" w14:textId="77777777" w:rsidR="003E78AB" w:rsidRDefault="00010BF9">
            <w:pPr>
              <w:pStyle w:val="aff6"/>
              <w:topLinePunct/>
            </w:pPr>
            <w:r>
              <w:rPr>
                <w:rFonts w:hint="eastAsia"/>
              </w:rPr>
              <w:t>密闭连接管道</w:t>
            </w:r>
          </w:p>
        </w:tc>
        <w:tc>
          <w:tcPr>
            <w:tcW w:w="770" w:type="pct"/>
            <w:vAlign w:val="center"/>
          </w:tcPr>
          <w:p w14:paraId="009478CF" w14:textId="77777777" w:rsidR="003E78AB" w:rsidRDefault="00010BF9">
            <w:pPr>
              <w:pStyle w:val="aff6"/>
              <w:topLinePunct/>
            </w:pPr>
            <w:r>
              <w:t>气体管道</w:t>
            </w:r>
          </w:p>
        </w:tc>
        <w:tc>
          <w:tcPr>
            <w:tcW w:w="540" w:type="pct"/>
            <w:vMerge w:val="restart"/>
            <w:vAlign w:val="center"/>
          </w:tcPr>
          <w:p w14:paraId="5AEB4D14" w14:textId="77777777" w:rsidR="003E78AB" w:rsidRDefault="00010BF9">
            <w:pPr>
              <w:pStyle w:val="aff6"/>
              <w:topLinePunct/>
            </w:pPr>
            <w:r>
              <w:t>1</w:t>
            </w:r>
            <w:r>
              <w:rPr>
                <w:rFonts w:hint="eastAsia"/>
              </w:rPr>
              <w:t>0</w:t>
            </w:r>
            <w:r>
              <w:t>000</w:t>
            </w:r>
          </w:p>
        </w:tc>
        <w:tc>
          <w:tcPr>
            <w:tcW w:w="690" w:type="pct"/>
            <w:vMerge w:val="restart"/>
            <w:vAlign w:val="center"/>
          </w:tcPr>
          <w:p w14:paraId="0FF8D4BB" w14:textId="77777777" w:rsidR="003E78AB" w:rsidRDefault="00010BF9">
            <w:pPr>
              <w:pStyle w:val="aff6"/>
              <w:topLinePunct/>
            </w:pPr>
            <w:r>
              <w:t>1</w:t>
            </w:r>
            <w:r>
              <w:t>套</w:t>
            </w:r>
            <w:r>
              <w:rPr>
                <w:rFonts w:hint="eastAsia"/>
              </w:rPr>
              <w:t>废气淋洗设施（一级碱洗</w:t>
            </w:r>
            <w:r>
              <w:rPr>
                <w:rFonts w:hint="eastAsia"/>
              </w:rPr>
              <w:t>+</w:t>
            </w:r>
            <w:r>
              <w:rPr>
                <w:rFonts w:hint="eastAsia"/>
              </w:rPr>
              <w:t>一级水洗）</w:t>
            </w:r>
          </w:p>
        </w:tc>
      </w:tr>
      <w:tr w:rsidR="003E78AB" w14:paraId="6DFA3FC6" w14:textId="77777777">
        <w:trPr>
          <w:trHeight w:val="549"/>
        </w:trPr>
        <w:tc>
          <w:tcPr>
            <w:tcW w:w="734" w:type="pct"/>
            <w:vMerge w:val="restart"/>
            <w:vAlign w:val="center"/>
          </w:tcPr>
          <w:p w14:paraId="71CCB975" w14:textId="77777777" w:rsidR="003E78AB" w:rsidRDefault="00010BF9">
            <w:pPr>
              <w:pStyle w:val="aff6"/>
              <w:topLinePunct/>
            </w:pPr>
            <w:r>
              <w:rPr>
                <w:rFonts w:hint="eastAsia"/>
              </w:rPr>
              <w:t>液体库</w:t>
            </w:r>
            <w:r>
              <w:t>废气</w:t>
            </w:r>
          </w:p>
        </w:tc>
        <w:tc>
          <w:tcPr>
            <w:tcW w:w="1261" w:type="pct"/>
            <w:vAlign w:val="center"/>
          </w:tcPr>
          <w:p w14:paraId="55F3AE7F" w14:textId="77777777" w:rsidR="003E78AB" w:rsidRDefault="00010BF9">
            <w:pPr>
              <w:pStyle w:val="aff6"/>
              <w:topLinePunct/>
            </w:pPr>
            <w:r>
              <w:rPr>
                <w:rFonts w:hint="eastAsia"/>
              </w:rPr>
              <w:t>磷酸储罐</w:t>
            </w:r>
          </w:p>
        </w:tc>
        <w:tc>
          <w:tcPr>
            <w:tcW w:w="1002" w:type="pct"/>
            <w:vAlign w:val="center"/>
          </w:tcPr>
          <w:p w14:paraId="007A14AF" w14:textId="77777777" w:rsidR="003E78AB" w:rsidRDefault="00010BF9">
            <w:pPr>
              <w:pStyle w:val="aff6"/>
              <w:topLinePunct/>
            </w:pPr>
            <w:r>
              <w:t>储罐呼吸阀</w:t>
            </w:r>
          </w:p>
        </w:tc>
        <w:tc>
          <w:tcPr>
            <w:tcW w:w="770" w:type="pct"/>
            <w:vAlign w:val="center"/>
          </w:tcPr>
          <w:p w14:paraId="6678292E" w14:textId="77777777" w:rsidR="003E78AB" w:rsidRDefault="00010BF9">
            <w:pPr>
              <w:pStyle w:val="aff6"/>
              <w:topLinePunct/>
            </w:pPr>
            <w:r>
              <w:t>气体管道</w:t>
            </w:r>
          </w:p>
        </w:tc>
        <w:tc>
          <w:tcPr>
            <w:tcW w:w="540" w:type="pct"/>
            <w:vMerge/>
            <w:vAlign w:val="center"/>
          </w:tcPr>
          <w:p w14:paraId="2AD0BEFA" w14:textId="77777777" w:rsidR="003E78AB" w:rsidRDefault="003E78AB">
            <w:pPr>
              <w:pStyle w:val="aff6"/>
              <w:topLinePunct/>
            </w:pPr>
          </w:p>
        </w:tc>
        <w:tc>
          <w:tcPr>
            <w:tcW w:w="690" w:type="pct"/>
            <w:vMerge/>
            <w:vAlign w:val="center"/>
          </w:tcPr>
          <w:p w14:paraId="253B4607" w14:textId="77777777" w:rsidR="003E78AB" w:rsidRDefault="003E78AB">
            <w:pPr>
              <w:pStyle w:val="aff6"/>
              <w:topLinePunct/>
            </w:pPr>
          </w:p>
        </w:tc>
      </w:tr>
      <w:tr w:rsidR="003E78AB" w14:paraId="2912D893" w14:textId="77777777">
        <w:trPr>
          <w:trHeight w:val="549"/>
        </w:trPr>
        <w:tc>
          <w:tcPr>
            <w:tcW w:w="734" w:type="pct"/>
            <w:vMerge/>
            <w:vAlign w:val="center"/>
          </w:tcPr>
          <w:p w14:paraId="346D88D7" w14:textId="77777777" w:rsidR="003E78AB" w:rsidRDefault="003E78AB">
            <w:pPr>
              <w:pStyle w:val="aff6"/>
              <w:topLinePunct/>
            </w:pPr>
          </w:p>
        </w:tc>
        <w:tc>
          <w:tcPr>
            <w:tcW w:w="1261" w:type="pct"/>
            <w:vAlign w:val="center"/>
          </w:tcPr>
          <w:p w14:paraId="692767F6" w14:textId="77777777" w:rsidR="003E78AB" w:rsidRDefault="00010BF9">
            <w:pPr>
              <w:pStyle w:val="aff6"/>
              <w:topLinePunct/>
            </w:pPr>
            <w:r>
              <w:t>硫酸储罐</w:t>
            </w:r>
          </w:p>
        </w:tc>
        <w:tc>
          <w:tcPr>
            <w:tcW w:w="1002" w:type="pct"/>
            <w:shd w:val="clear" w:color="auto" w:fill="auto"/>
            <w:vAlign w:val="center"/>
          </w:tcPr>
          <w:p w14:paraId="27CC29A0" w14:textId="77777777" w:rsidR="003E78AB" w:rsidRDefault="00010BF9">
            <w:pPr>
              <w:pStyle w:val="aff6"/>
              <w:topLinePunct/>
            </w:pPr>
            <w:r>
              <w:t>储罐呼吸阀</w:t>
            </w:r>
          </w:p>
        </w:tc>
        <w:tc>
          <w:tcPr>
            <w:tcW w:w="770" w:type="pct"/>
            <w:shd w:val="clear" w:color="auto" w:fill="auto"/>
            <w:vAlign w:val="center"/>
          </w:tcPr>
          <w:p w14:paraId="5E65B01F" w14:textId="77777777" w:rsidR="003E78AB" w:rsidRDefault="00010BF9">
            <w:pPr>
              <w:pStyle w:val="aff6"/>
              <w:topLinePunct/>
            </w:pPr>
            <w:r>
              <w:t>气体管道</w:t>
            </w:r>
          </w:p>
        </w:tc>
        <w:tc>
          <w:tcPr>
            <w:tcW w:w="540" w:type="pct"/>
            <w:vAlign w:val="center"/>
          </w:tcPr>
          <w:p w14:paraId="7E227CA9" w14:textId="77777777" w:rsidR="003E78AB" w:rsidRDefault="00010BF9">
            <w:pPr>
              <w:pStyle w:val="aff6"/>
              <w:topLinePunct/>
            </w:pPr>
            <w:r>
              <w:rPr>
                <w:rFonts w:hint="eastAsia"/>
              </w:rPr>
              <w:t>/</w:t>
            </w:r>
          </w:p>
        </w:tc>
        <w:tc>
          <w:tcPr>
            <w:tcW w:w="690" w:type="pct"/>
            <w:vAlign w:val="center"/>
          </w:tcPr>
          <w:p w14:paraId="0C1552B6" w14:textId="77777777" w:rsidR="003E78AB" w:rsidRDefault="00010BF9">
            <w:pPr>
              <w:pStyle w:val="aff6"/>
              <w:topLinePunct/>
            </w:pPr>
            <w:r>
              <w:rPr>
                <w:rFonts w:hint="eastAsia"/>
              </w:rPr>
              <w:t>无组织</w:t>
            </w:r>
          </w:p>
        </w:tc>
      </w:tr>
      <w:tr w:rsidR="003E78AB" w14:paraId="40010316" w14:textId="77777777">
        <w:trPr>
          <w:trHeight w:val="563"/>
        </w:trPr>
        <w:tc>
          <w:tcPr>
            <w:tcW w:w="734" w:type="pct"/>
            <w:vAlign w:val="center"/>
          </w:tcPr>
          <w:p w14:paraId="530B4BAE" w14:textId="77777777" w:rsidR="003E78AB" w:rsidRDefault="00010BF9">
            <w:pPr>
              <w:pStyle w:val="aff6"/>
              <w:topLinePunct/>
            </w:pPr>
            <w:r>
              <w:rPr>
                <w:rFonts w:hint="eastAsia"/>
              </w:rPr>
              <w:t>实验废气</w:t>
            </w:r>
          </w:p>
        </w:tc>
        <w:tc>
          <w:tcPr>
            <w:tcW w:w="1261" w:type="pct"/>
            <w:vAlign w:val="center"/>
          </w:tcPr>
          <w:p w14:paraId="7363289A" w14:textId="77777777" w:rsidR="003E78AB" w:rsidRDefault="00010BF9">
            <w:pPr>
              <w:pStyle w:val="aff6"/>
              <w:topLinePunct/>
            </w:pPr>
            <w:r>
              <w:t>化验室操作台</w:t>
            </w:r>
          </w:p>
        </w:tc>
        <w:tc>
          <w:tcPr>
            <w:tcW w:w="1002" w:type="pct"/>
            <w:vAlign w:val="center"/>
          </w:tcPr>
          <w:p w14:paraId="3E198658" w14:textId="77777777" w:rsidR="003E78AB" w:rsidRDefault="00010BF9">
            <w:pPr>
              <w:pStyle w:val="aff6"/>
              <w:topLinePunct/>
            </w:pPr>
            <w:r>
              <w:t>操作台</w:t>
            </w:r>
          </w:p>
        </w:tc>
        <w:tc>
          <w:tcPr>
            <w:tcW w:w="770" w:type="pct"/>
            <w:vAlign w:val="center"/>
          </w:tcPr>
          <w:p w14:paraId="7443B51C" w14:textId="77777777" w:rsidR="003E78AB" w:rsidRDefault="00010BF9">
            <w:pPr>
              <w:pStyle w:val="aff6"/>
              <w:topLinePunct/>
            </w:pPr>
            <w:r>
              <w:t>通风柜收集</w:t>
            </w:r>
          </w:p>
        </w:tc>
        <w:tc>
          <w:tcPr>
            <w:tcW w:w="540" w:type="pct"/>
            <w:vAlign w:val="center"/>
          </w:tcPr>
          <w:p w14:paraId="6487D686" w14:textId="77777777" w:rsidR="003E78AB" w:rsidRDefault="00010BF9">
            <w:pPr>
              <w:pStyle w:val="aff6"/>
              <w:topLinePunct/>
            </w:pPr>
            <w:r>
              <w:t>/</w:t>
            </w:r>
          </w:p>
        </w:tc>
        <w:tc>
          <w:tcPr>
            <w:tcW w:w="690" w:type="pct"/>
            <w:vAlign w:val="center"/>
          </w:tcPr>
          <w:p w14:paraId="4A3DCD7D" w14:textId="77777777" w:rsidR="003E78AB" w:rsidRDefault="00010BF9">
            <w:pPr>
              <w:pStyle w:val="aff6"/>
              <w:topLinePunct/>
            </w:pPr>
            <w:r>
              <w:t>化验室楼顶排放</w:t>
            </w:r>
          </w:p>
        </w:tc>
      </w:tr>
      <w:tr w:rsidR="003E78AB" w14:paraId="11D0A15E" w14:textId="77777777">
        <w:trPr>
          <w:trHeight w:val="563"/>
        </w:trPr>
        <w:tc>
          <w:tcPr>
            <w:tcW w:w="734" w:type="pct"/>
            <w:vAlign w:val="center"/>
          </w:tcPr>
          <w:p w14:paraId="01E03232" w14:textId="77777777" w:rsidR="003E78AB" w:rsidRDefault="00010BF9">
            <w:pPr>
              <w:pStyle w:val="aff6"/>
              <w:topLinePunct/>
            </w:pPr>
            <w:r>
              <w:rPr>
                <w:rFonts w:hint="eastAsia"/>
              </w:rPr>
              <w:t>锅炉烟气</w:t>
            </w:r>
          </w:p>
        </w:tc>
        <w:tc>
          <w:tcPr>
            <w:tcW w:w="1261" w:type="pct"/>
            <w:vAlign w:val="center"/>
          </w:tcPr>
          <w:p w14:paraId="10F25B6B" w14:textId="77777777" w:rsidR="003E78AB" w:rsidRDefault="00010BF9">
            <w:pPr>
              <w:pStyle w:val="aff6"/>
              <w:topLinePunct/>
            </w:pPr>
            <w:r>
              <w:rPr>
                <w:rFonts w:hint="eastAsia"/>
              </w:rPr>
              <w:t>天然气锅炉</w:t>
            </w:r>
          </w:p>
        </w:tc>
        <w:tc>
          <w:tcPr>
            <w:tcW w:w="1002" w:type="pct"/>
            <w:vAlign w:val="center"/>
          </w:tcPr>
          <w:p w14:paraId="3CA9D4A4" w14:textId="77777777" w:rsidR="003E78AB" w:rsidRDefault="00010BF9">
            <w:pPr>
              <w:pStyle w:val="aff6"/>
              <w:topLinePunct/>
            </w:pPr>
            <w:r>
              <w:rPr>
                <w:rFonts w:hint="eastAsia"/>
              </w:rPr>
              <w:t>燃烧机</w:t>
            </w:r>
          </w:p>
        </w:tc>
        <w:tc>
          <w:tcPr>
            <w:tcW w:w="770" w:type="pct"/>
            <w:vAlign w:val="center"/>
          </w:tcPr>
          <w:p w14:paraId="5A4F6DF8" w14:textId="77777777" w:rsidR="003E78AB" w:rsidRDefault="00010BF9">
            <w:pPr>
              <w:pStyle w:val="aff6"/>
              <w:topLinePunct/>
            </w:pPr>
            <w:r>
              <w:t>气体管道</w:t>
            </w:r>
          </w:p>
        </w:tc>
        <w:tc>
          <w:tcPr>
            <w:tcW w:w="540" w:type="pct"/>
            <w:vAlign w:val="center"/>
          </w:tcPr>
          <w:p w14:paraId="343AAD7E" w14:textId="77777777" w:rsidR="003E78AB" w:rsidRDefault="00010BF9">
            <w:pPr>
              <w:pStyle w:val="aff6"/>
              <w:topLinePunct/>
            </w:pPr>
            <w:r>
              <w:rPr>
                <w:rFonts w:hint="eastAsia"/>
              </w:rPr>
              <w:t>4711</w:t>
            </w:r>
          </w:p>
        </w:tc>
        <w:tc>
          <w:tcPr>
            <w:tcW w:w="690" w:type="pct"/>
            <w:vAlign w:val="center"/>
          </w:tcPr>
          <w:p w14:paraId="4A1E91EA" w14:textId="77777777" w:rsidR="003E78AB" w:rsidRDefault="00010BF9">
            <w:pPr>
              <w:pStyle w:val="aff6"/>
              <w:topLinePunct/>
            </w:pPr>
            <w:r>
              <w:rPr>
                <w:kern w:val="0"/>
                <w:lang w:bidi="ar"/>
              </w:rPr>
              <w:t>低氮燃烧技术</w:t>
            </w:r>
            <w:r>
              <w:rPr>
                <w:kern w:val="0"/>
                <w:lang w:bidi="ar"/>
              </w:rPr>
              <w:t>+</w:t>
            </w:r>
            <w:r>
              <w:rPr>
                <w:kern w:val="0"/>
                <w:lang w:bidi="ar"/>
              </w:rPr>
              <w:t>烟气再循环</w:t>
            </w:r>
          </w:p>
        </w:tc>
      </w:tr>
    </w:tbl>
    <w:p w14:paraId="0BCB411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.1.</w:t>
      </w:r>
      <w:r>
        <w:rPr>
          <w:rFonts w:ascii="Times New Roman" w:hAnsi="Times New Roman" w:hint="eastAsia"/>
        </w:rPr>
        <w:t>2</w:t>
      </w:r>
      <w:r>
        <w:rPr>
          <w:rFonts w:ascii="Times New Roman" w:hAnsi="Times New Roman"/>
        </w:rPr>
        <w:t>有组织废气治理措施可行性</w:t>
      </w:r>
    </w:p>
    <w:p w14:paraId="0F8C835F" w14:textId="77777777" w:rsidR="003E78AB" w:rsidRDefault="00010BF9">
      <w:pPr>
        <w:pStyle w:val="5"/>
        <w:keepNext w:val="0"/>
        <w:keepLines w:val="0"/>
        <w:ind w:firstLine="482"/>
        <w:rPr>
          <w:sz w:val="24"/>
        </w:rPr>
      </w:pPr>
      <w:r>
        <w:rPr>
          <w:rFonts w:hint="eastAsia"/>
          <w:sz w:val="24"/>
        </w:rPr>
        <w:t>1.</w:t>
      </w:r>
      <w:r>
        <w:rPr>
          <w:sz w:val="24"/>
        </w:rPr>
        <w:t>除尘措施可行性分析</w:t>
      </w:r>
    </w:p>
    <w:p w14:paraId="1C988498" w14:textId="77777777" w:rsidR="003E78AB" w:rsidRDefault="00010BF9">
      <w:pPr>
        <w:ind w:firstLine="480"/>
      </w:pPr>
      <w:r>
        <w:t>本项目生产车间</w:t>
      </w:r>
      <w:r>
        <w:rPr>
          <w:rFonts w:hint="eastAsia"/>
        </w:rPr>
        <w:t>拆包投料</w:t>
      </w:r>
      <w:r>
        <w:t>废气</w:t>
      </w:r>
      <w:r>
        <w:rPr>
          <w:rFonts w:hint="eastAsia"/>
        </w:rPr>
        <w:t>均</w:t>
      </w:r>
      <w:r>
        <w:t>采用脉冲袋式除尘技术，其工作原理为：</w:t>
      </w:r>
    </w:p>
    <w:p w14:paraId="22236DB9" w14:textId="77777777" w:rsidR="003E78AB" w:rsidRDefault="00010BF9">
      <w:pPr>
        <w:ind w:firstLine="480"/>
      </w:pPr>
      <w:r>
        <w:t>含尘气体在引风机吸引力的作用下进入灰斗，经导流板后被均匀分配到各条滤袋上。粉尘被拦截在滤袋外表面，气体则穿过滤袋，经过净气室后外排。袋式除尘器捕集在滤袋外表面上的粉尘会导致滤袋透气性的减少，使除尘器的阻力不断增加，等到阻力达到设定值（差压控制）或是过滤的时间达到设定值（时间控制），通常处于关闭状态的脉冲阀在脉冲喷吹控制仪</w:t>
      </w:r>
      <w:r>
        <w:t>PLC</w:t>
      </w:r>
      <w:r>
        <w:t>脉冲喷吹控制下打开极短暂的一段时间（</w:t>
      </w:r>
      <w:r>
        <w:t>0.1s</w:t>
      </w:r>
      <w:r>
        <w:t>左右），高压气体瞬间从气包进入喷吹管，并高速从喷吹孔喷出。高速气流喷入滤袋时还会产生数倍于喷射气体的二次引流。喷射气流与二次引流的共同作用使</w:t>
      </w:r>
      <w:r>
        <w:t>滤袋内侧的压力迅速升高，滤袋由原先内凹的形状变成外凸的形状，并在变形量达到最大值时产生一个很大的反向加速度，吸附在滤袋上的粉尘主要在这反向加速度作用下，脱离滤袋表面，落入灰斗，除尘器的阻力随之下降。将粉尘从滤袋表面清除的过程称为清灰。清灰工作是一排一排进行的。脉冲阀每动作一次，一排滤袋就得到清灰。脉冲阀按照设定的时间间隔与顺序依次动作，直到完成一个循环。整台除尘器就完成了一个清灰周期。</w:t>
      </w:r>
    </w:p>
    <w:p w14:paraId="44351604" w14:textId="77777777" w:rsidR="003E78AB" w:rsidRDefault="00010BF9">
      <w:pPr>
        <w:ind w:firstLine="480"/>
      </w:pPr>
      <w:r>
        <w:t>根据《排污许可证申请与核发技术规范</w:t>
      </w:r>
      <w:r>
        <w:t xml:space="preserve"> </w:t>
      </w:r>
      <w:r>
        <w:t>专用化学产品制造工业》（</w:t>
      </w:r>
      <w:r>
        <w:t>HJ1103-2020</w:t>
      </w:r>
      <w:r>
        <w:t>）附录</w:t>
      </w:r>
      <w:r>
        <w:rPr>
          <w:rFonts w:hint="eastAsia"/>
        </w:rPr>
        <w:t>C</w:t>
      </w:r>
      <w:r>
        <w:t>。本项目含尘废气治理措施可行性分析见</w:t>
      </w:r>
      <w:r>
        <w:fldChar w:fldCharType="begin"/>
      </w:r>
      <w:r>
        <w:instrText xml:space="preserve"> REF _Ref9602 \r \h </w:instrText>
      </w:r>
      <w:r>
        <w:fldChar w:fldCharType="separate"/>
      </w:r>
      <w:r>
        <w:t>表</w:t>
      </w:r>
      <w:r>
        <w:t>7-2</w:t>
      </w:r>
      <w:r>
        <w:fldChar w:fldCharType="end"/>
      </w:r>
      <w:r>
        <w:t>。</w:t>
      </w:r>
    </w:p>
    <w:p w14:paraId="439A800E" w14:textId="77777777" w:rsidR="003E78AB" w:rsidRDefault="00010BF9">
      <w:pPr>
        <w:pStyle w:val="a6"/>
        <w:spacing w:before="120"/>
      </w:pPr>
      <w:bookmarkStart w:id="459" w:name="_Ref9602"/>
      <w:r>
        <w:t>本项目含尘废气治理措施可行性分析表</w:t>
      </w:r>
      <w:bookmarkEnd w:id="459"/>
    </w:p>
    <w:tbl>
      <w:tblPr>
        <w:tblStyle w:val="afe"/>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274"/>
        <w:gridCol w:w="2101"/>
        <w:gridCol w:w="2196"/>
        <w:gridCol w:w="1386"/>
      </w:tblGrid>
      <w:tr w:rsidR="003E78AB" w14:paraId="18E3E700" w14:textId="77777777">
        <w:trPr>
          <w:trHeight w:val="340"/>
        </w:trPr>
        <w:tc>
          <w:tcPr>
            <w:tcW w:w="913" w:type="pct"/>
          </w:tcPr>
          <w:p w14:paraId="192F6272" w14:textId="77777777" w:rsidR="003E78AB" w:rsidRDefault="00010BF9">
            <w:pPr>
              <w:pStyle w:val="aff6"/>
              <w:topLinePunct/>
              <w:rPr>
                <w:b/>
                <w:bCs/>
              </w:rPr>
            </w:pPr>
            <w:r>
              <w:rPr>
                <w:b/>
                <w:bCs/>
              </w:rPr>
              <w:t>产污节点</w:t>
            </w:r>
          </w:p>
        </w:tc>
        <w:tc>
          <w:tcPr>
            <w:tcW w:w="748" w:type="pct"/>
          </w:tcPr>
          <w:p w14:paraId="49E05C39" w14:textId="77777777" w:rsidR="003E78AB" w:rsidRDefault="00010BF9">
            <w:pPr>
              <w:pStyle w:val="aff6"/>
              <w:topLinePunct/>
              <w:rPr>
                <w:b/>
                <w:bCs/>
              </w:rPr>
            </w:pPr>
            <w:r>
              <w:rPr>
                <w:b/>
                <w:bCs/>
              </w:rPr>
              <w:t>污染物</w:t>
            </w:r>
          </w:p>
        </w:tc>
        <w:tc>
          <w:tcPr>
            <w:tcW w:w="1233" w:type="pct"/>
          </w:tcPr>
          <w:p w14:paraId="3F3EC203" w14:textId="77777777" w:rsidR="003E78AB" w:rsidRDefault="00010BF9">
            <w:pPr>
              <w:pStyle w:val="aff6"/>
              <w:topLinePunct/>
              <w:rPr>
                <w:b/>
                <w:bCs/>
              </w:rPr>
            </w:pPr>
            <w:r>
              <w:rPr>
                <w:b/>
                <w:bCs/>
              </w:rPr>
              <w:t>治理措施</w:t>
            </w:r>
          </w:p>
        </w:tc>
        <w:tc>
          <w:tcPr>
            <w:tcW w:w="1289" w:type="pct"/>
          </w:tcPr>
          <w:p w14:paraId="65A5B59E" w14:textId="77777777" w:rsidR="003E78AB" w:rsidRDefault="00010BF9">
            <w:pPr>
              <w:pStyle w:val="aff6"/>
              <w:topLinePunct/>
              <w:rPr>
                <w:b/>
                <w:bCs/>
              </w:rPr>
            </w:pPr>
            <w:r>
              <w:rPr>
                <w:b/>
                <w:bCs/>
              </w:rPr>
              <w:t>HJ1103-2020</w:t>
            </w:r>
            <w:r>
              <w:rPr>
                <w:b/>
                <w:bCs/>
              </w:rPr>
              <w:t>推荐可行技术</w:t>
            </w:r>
          </w:p>
        </w:tc>
        <w:tc>
          <w:tcPr>
            <w:tcW w:w="814" w:type="pct"/>
          </w:tcPr>
          <w:p w14:paraId="21356802" w14:textId="77777777" w:rsidR="003E78AB" w:rsidRDefault="00010BF9">
            <w:pPr>
              <w:pStyle w:val="aff6"/>
              <w:topLinePunct/>
              <w:rPr>
                <w:b/>
                <w:bCs/>
              </w:rPr>
            </w:pPr>
            <w:r>
              <w:rPr>
                <w:b/>
                <w:bCs/>
              </w:rPr>
              <w:t>是否为可行技术</w:t>
            </w:r>
          </w:p>
        </w:tc>
      </w:tr>
      <w:tr w:rsidR="003E78AB" w14:paraId="2856BEB3" w14:textId="77777777">
        <w:trPr>
          <w:trHeight w:val="340"/>
        </w:trPr>
        <w:tc>
          <w:tcPr>
            <w:tcW w:w="913" w:type="pct"/>
          </w:tcPr>
          <w:p w14:paraId="7A21AF68" w14:textId="77777777" w:rsidR="003E78AB" w:rsidRDefault="00010BF9">
            <w:pPr>
              <w:pStyle w:val="aff6"/>
              <w:topLinePunct/>
            </w:pPr>
            <w:r>
              <w:rPr>
                <w:rFonts w:hint="eastAsia"/>
              </w:rPr>
              <w:t>V</w:t>
            </w:r>
            <w:r>
              <w:rPr>
                <w:rFonts w:hint="eastAsia"/>
                <w:vertAlign w:val="subscript"/>
              </w:rPr>
              <w:t>2</w:t>
            </w:r>
            <w:r>
              <w:rPr>
                <w:rFonts w:hint="eastAsia"/>
              </w:rPr>
              <w:t>O</w:t>
            </w:r>
            <w:r>
              <w:rPr>
                <w:rFonts w:hint="eastAsia"/>
                <w:vertAlign w:val="subscript"/>
              </w:rPr>
              <w:t>5</w:t>
            </w:r>
            <w:r>
              <w:rPr>
                <w:rFonts w:hint="eastAsia"/>
              </w:rPr>
              <w:t>、草酸拆包投料</w:t>
            </w:r>
          </w:p>
        </w:tc>
        <w:tc>
          <w:tcPr>
            <w:tcW w:w="748" w:type="pct"/>
          </w:tcPr>
          <w:p w14:paraId="795322C3" w14:textId="77777777" w:rsidR="003E78AB" w:rsidRDefault="00010BF9">
            <w:pPr>
              <w:pStyle w:val="aff6"/>
              <w:topLinePunct/>
            </w:pPr>
            <w:r>
              <w:t>颗粒物</w:t>
            </w:r>
          </w:p>
        </w:tc>
        <w:tc>
          <w:tcPr>
            <w:tcW w:w="1233" w:type="pct"/>
          </w:tcPr>
          <w:p w14:paraId="056987F5" w14:textId="77777777" w:rsidR="003E78AB" w:rsidRDefault="00010BF9">
            <w:pPr>
              <w:pStyle w:val="aff6"/>
              <w:topLinePunct/>
            </w:pPr>
            <w:r>
              <w:t>袋式除尘器</w:t>
            </w:r>
            <w:r>
              <w:t>/</w:t>
            </w:r>
            <w:r>
              <w:t>效率</w:t>
            </w:r>
            <w:r>
              <w:t>9</w:t>
            </w:r>
            <w:r>
              <w:rPr>
                <w:rFonts w:hint="eastAsia"/>
              </w:rPr>
              <w:t>8</w:t>
            </w:r>
            <w:r>
              <w:t>%</w:t>
            </w:r>
          </w:p>
        </w:tc>
        <w:tc>
          <w:tcPr>
            <w:tcW w:w="1289" w:type="pct"/>
          </w:tcPr>
          <w:p w14:paraId="3C9171E2" w14:textId="77777777" w:rsidR="003E78AB" w:rsidRDefault="00010BF9">
            <w:pPr>
              <w:pStyle w:val="aff6"/>
              <w:topLinePunct/>
            </w:pPr>
            <w:r>
              <w:t>袋式除尘</w:t>
            </w:r>
          </w:p>
        </w:tc>
        <w:tc>
          <w:tcPr>
            <w:tcW w:w="814" w:type="pct"/>
          </w:tcPr>
          <w:p w14:paraId="32CAC790" w14:textId="77777777" w:rsidR="003E78AB" w:rsidRDefault="00010BF9">
            <w:pPr>
              <w:pStyle w:val="aff6"/>
              <w:topLinePunct/>
            </w:pPr>
            <w:r>
              <w:t>是</w:t>
            </w:r>
          </w:p>
        </w:tc>
      </w:tr>
    </w:tbl>
    <w:p w14:paraId="22DE9546" w14:textId="77777777" w:rsidR="003E78AB" w:rsidRDefault="00010BF9">
      <w:pPr>
        <w:ind w:firstLine="480"/>
      </w:pPr>
      <w:r>
        <w:t>根据上表内容，项目含尘废气治理措施均为《排污许可证申请与核发技术规范</w:t>
      </w:r>
      <w:r>
        <w:t xml:space="preserve"> </w:t>
      </w:r>
      <w:r>
        <w:t>专用化学产品制造工业》（</w:t>
      </w:r>
      <w:r>
        <w:t>HJ1103-</w:t>
      </w:r>
      <w:r>
        <w:t>2020</w:t>
      </w:r>
      <w:r>
        <w:t>）附录</w:t>
      </w:r>
      <w:r>
        <w:rPr>
          <w:rFonts w:hint="eastAsia"/>
        </w:rPr>
        <w:t>C</w:t>
      </w:r>
      <w:r>
        <w:t>中推荐技术，故项目含尘废气治理措施可行。</w:t>
      </w:r>
    </w:p>
    <w:p w14:paraId="50115367" w14:textId="77777777" w:rsidR="003E78AB" w:rsidRDefault="00010BF9">
      <w:pPr>
        <w:pStyle w:val="5"/>
        <w:keepNext w:val="0"/>
        <w:keepLines w:val="0"/>
        <w:ind w:firstLine="482"/>
        <w:rPr>
          <w:sz w:val="24"/>
        </w:rPr>
      </w:pPr>
      <w:r>
        <w:rPr>
          <w:rFonts w:hint="eastAsia"/>
          <w:sz w:val="24"/>
        </w:rPr>
        <w:t>2.</w:t>
      </w:r>
      <w:r>
        <w:rPr>
          <w:rFonts w:hint="eastAsia"/>
          <w:sz w:val="24"/>
        </w:rPr>
        <w:t>工艺废气</w:t>
      </w:r>
      <w:r>
        <w:rPr>
          <w:sz w:val="24"/>
        </w:rPr>
        <w:t>可行性分析</w:t>
      </w:r>
    </w:p>
    <w:p w14:paraId="43B9805E" w14:textId="77777777" w:rsidR="003E78AB" w:rsidRDefault="00010BF9">
      <w:pPr>
        <w:ind w:firstLine="480"/>
      </w:pPr>
      <w:bookmarkStart w:id="460" w:name="OLE_LINK66"/>
      <w:r>
        <w:rPr>
          <w:rFonts w:hint="eastAsia"/>
        </w:rPr>
        <w:t>工艺废气主要污染物成分有硫酸雾、磷酸雾及少量草酸雾和甲酸雾等酸性废气。</w:t>
      </w:r>
    </w:p>
    <w:bookmarkEnd w:id="460"/>
    <w:p w14:paraId="3E7E69D8" w14:textId="77777777" w:rsidR="003E78AB" w:rsidRDefault="00010BF9">
      <w:pPr>
        <w:numPr>
          <w:ilvl w:val="0"/>
          <w:numId w:val="29"/>
        </w:numPr>
        <w:ind w:firstLine="480"/>
      </w:pPr>
      <w:r>
        <w:rPr>
          <w:rFonts w:hint="eastAsia"/>
        </w:rPr>
        <w:t>方案比选</w:t>
      </w:r>
    </w:p>
    <w:p w14:paraId="12AF5931" w14:textId="77777777" w:rsidR="003E78AB" w:rsidRDefault="00010BF9">
      <w:pPr>
        <w:numPr>
          <w:ilvl w:val="255"/>
          <w:numId w:val="0"/>
        </w:numPr>
        <w:ind w:firstLine="480"/>
      </w:pPr>
      <w:r>
        <w:rPr>
          <w:rFonts w:hint="eastAsia"/>
        </w:rPr>
        <w:t>目前，处理酸雾成熟的技术主要有吸收法、吸附法、静电除雾法等，这几种酸雾处理技术原理、优缺点情况见下表。</w:t>
      </w:r>
    </w:p>
    <w:p w14:paraId="6BFD587B" w14:textId="77777777" w:rsidR="003E78AB" w:rsidRDefault="00010BF9">
      <w:pPr>
        <w:pStyle w:val="a6"/>
        <w:spacing w:before="120"/>
      </w:pPr>
      <w:r>
        <w:t>酸雾治理技术比较一览表</w:t>
      </w:r>
    </w:p>
    <w:p w14:paraId="713862E9" w14:textId="77777777" w:rsidR="003E78AB" w:rsidRDefault="003E78AB">
      <w:pPr>
        <w:spacing w:line="25" w:lineRule="exact"/>
        <w:ind w:firstLine="480"/>
      </w:pP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3975"/>
        <w:gridCol w:w="1150"/>
        <w:gridCol w:w="2045"/>
      </w:tblGrid>
      <w:tr w:rsidR="003E78AB" w14:paraId="3ECE0E0F" w14:textId="77777777">
        <w:trPr>
          <w:trHeight w:val="292"/>
          <w:tblHeader/>
        </w:trPr>
        <w:tc>
          <w:tcPr>
            <w:tcW w:w="684" w:type="pct"/>
            <w:vAlign w:val="center"/>
          </w:tcPr>
          <w:p w14:paraId="1B378B25" w14:textId="77777777" w:rsidR="003E78AB" w:rsidRDefault="00010BF9">
            <w:pPr>
              <w:pStyle w:val="aff6"/>
              <w:topLinePunct/>
              <w:rPr>
                <w:b/>
                <w:bCs/>
              </w:rPr>
            </w:pPr>
            <w:r>
              <w:rPr>
                <w:b/>
                <w:bCs/>
              </w:rPr>
              <w:t>处理方法</w:t>
            </w:r>
          </w:p>
        </w:tc>
        <w:tc>
          <w:tcPr>
            <w:tcW w:w="2391" w:type="pct"/>
            <w:vAlign w:val="center"/>
          </w:tcPr>
          <w:p w14:paraId="3CE1BFB7" w14:textId="77777777" w:rsidR="003E78AB" w:rsidRDefault="00010BF9">
            <w:pPr>
              <w:pStyle w:val="aff6"/>
              <w:topLinePunct/>
              <w:rPr>
                <w:b/>
                <w:bCs/>
              </w:rPr>
            </w:pPr>
            <w:r>
              <w:rPr>
                <w:b/>
                <w:bCs/>
              </w:rPr>
              <w:t>原理</w:t>
            </w:r>
          </w:p>
        </w:tc>
        <w:tc>
          <w:tcPr>
            <w:tcW w:w="692" w:type="pct"/>
            <w:vAlign w:val="center"/>
          </w:tcPr>
          <w:p w14:paraId="3B84AEF1" w14:textId="77777777" w:rsidR="003E78AB" w:rsidRDefault="00010BF9">
            <w:pPr>
              <w:pStyle w:val="aff6"/>
              <w:topLinePunct/>
              <w:rPr>
                <w:b/>
                <w:bCs/>
              </w:rPr>
            </w:pPr>
            <w:r>
              <w:rPr>
                <w:b/>
                <w:bCs/>
              </w:rPr>
              <w:t>优点</w:t>
            </w:r>
          </w:p>
        </w:tc>
        <w:tc>
          <w:tcPr>
            <w:tcW w:w="1231" w:type="pct"/>
            <w:vAlign w:val="center"/>
          </w:tcPr>
          <w:p w14:paraId="6C3816C2" w14:textId="77777777" w:rsidR="003E78AB" w:rsidRDefault="00010BF9">
            <w:pPr>
              <w:pStyle w:val="aff6"/>
              <w:topLinePunct/>
              <w:rPr>
                <w:b/>
                <w:bCs/>
              </w:rPr>
            </w:pPr>
            <w:r>
              <w:rPr>
                <w:b/>
                <w:bCs/>
              </w:rPr>
              <w:t>缺点</w:t>
            </w:r>
          </w:p>
        </w:tc>
      </w:tr>
      <w:tr w:rsidR="003E78AB" w14:paraId="781C24AD" w14:textId="77777777">
        <w:trPr>
          <w:trHeight w:val="2727"/>
        </w:trPr>
        <w:tc>
          <w:tcPr>
            <w:tcW w:w="684" w:type="pct"/>
            <w:vAlign w:val="center"/>
          </w:tcPr>
          <w:p w14:paraId="01FE196A" w14:textId="77777777" w:rsidR="003E78AB" w:rsidRDefault="00010BF9">
            <w:pPr>
              <w:pStyle w:val="aff6"/>
              <w:topLinePunct/>
            </w:pPr>
            <w:r>
              <w:t>吸收法</w:t>
            </w:r>
          </w:p>
        </w:tc>
        <w:tc>
          <w:tcPr>
            <w:tcW w:w="2391" w:type="pct"/>
            <w:vAlign w:val="center"/>
          </w:tcPr>
          <w:p w14:paraId="0C21A152" w14:textId="77777777" w:rsidR="003E78AB" w:rsidRDefault="00010BF9">
            <w:pPr>
              <w:pStyle w:val="aff6"/>
              <w:topLinePunct/>
              <w:jc w:val="left"/>
            </w:pPr>
            <w:r>
              <w:t>通过排气管捕集的含酸雾废气进入吸收设备，用流体吸收液吸收净化酸雾的方法。常用水吸收法和化学吸收法，其中化学吸收法有碱液吸收、氧化吸收和还原吸收三种碱液。碱液吸收剂有</w:t>
            </w:r>
            <w:r>
              <w:t>NaOH</w:t>
            </w:r>
            <w:r>
              <w:t>、</w:t>
            </w:r>
            <w:r>
              <w:t>Ca(OH)</w:t>
            </w:r>
            <w:r>
              <w:rPr>
                <w:vertAlign w:val="subscript"/>
              </w:rPr>
              <w:t>2</w:t>
            </w:r>
            <w:r>
              <w:t>等；氧化吸收主要是在碱液中加入适量氧化剂，如</w:t>
            </w:r>
            <w:r>
              <w:t>Mn(OH)</w:t>
            </w:r>
            <w:r>
              <w:rPr>
                <w:vertAlign w:val="subscript"/>
              </w:rPr>
              <w:t>2</w:t>
            </w:r>
            <w:r>
              <w:t>或臭氧，以提高净化效率；还原吸收是用还原剂如</w:t>
            </w:r>
            <w:r>
              <w:t>H</w:t>
            </w:r>
            <w:r>
              <w:rPr>
                <w:vertAlign w:val="subscript"/>
              </w:rPr>
              <w:t>2</w:t>
            </w:r>
            <w:r>
              <w:t>SO</w:t>
            </w:r>
            <w:r>
              <w:rPr>
                <w:vertAlign w:val="subscript"/>
              </w:rPr>
              <w:t>4</w:t>
            </w:r>
            <w:r>
              <w:t>、</w:t>
            </w:r>
            <w:r>
              <w:t>Na</w:t>
            </w:r>
            <w:r>
              <w:rPr>
                <w:vertAlign w:val="subscript"/>
              </w:rPr>
              <w:t>2</w:t>
            </w:r>
            <w:r>
              <w:t>S</w:t>
            </w:r>
            <w:r>
              <w:t>、</w:t>
            </w:r>
            <w:r>
              <w:t>NaOH</w:t>
            </w:r>
            <w:r>
              <w:t>等与酸雾反应。常用的吸收设备有喷淋塔、填料塔和筛板塔等。</w:t>
            </w:r>
          </w:p>
        </w:tc>
        <w:tc>
          <w:tcPr>
            <w:tcW w:w="692" w:type="pct"/>
            <w:vAlign w:val="center"/>
          </w:tcPr>
          <w:p w14:paraId="013687E9" w14:textId="77777777" w:rsidR="003E78AB" w:rsidRDefault="00010BF9">
            <w:pPr>
              <w:pStyle w:val="aff6"/>
              <w:topLinePunct/>
            </w:pPr>
            <w:r>
              <w:t>设备投资较低，工艺较简单。</w:t>
            </w:r>
          </w:p>
        </w:tc>
        <w:tc>
          <w:tcPr>
            <w:tcW w:w="1231" w:type="pct"/>
            <w:vAlign w:val="center"/>
          </w:tcPr>
          <w:p w14:paraId="240893D5" w14:textId="77777777" w:rsidR="003E78AB" w:rsidRDefault="00010BF9">
            <w:pPr>
              <w:pStyle w:val="aff6"/>
              <w:topLinePunct/>
            </w:pPr>
            <w:r>
              <w:t>耗能耗水量大，运行费用高，容易造成二次污染。</w:t>
            </w:r>
          </w:p>
        </w:tc>
      </w:tr>
      <w:tr w:rsidR="003E78AB" w14:paraId="0CB35E8E" w14:textId="77777777">
        <w:trPr>
          <w:trHeight w:val="2182"/>
        </w:trPr>
        <w:tc>
          <w:tcPr>
            <w:tcW w:w="684" w:type="pct"/>
            <w:vAlign w:val="center"/>
          </w:tcPr>
          <w:p w14:paraId="6AB7FE8A" w14:textId="77777777" w:rsidR="003E78AB" w:rsidRDefault="00010BF9">
            <w:pPr>
              <w:pStyle w:val="aff6"/>
              <w:topLinePunct/>
            </w:pPr>
            <w:r>
              <w:t>吸附法</w:t>
            </w:r>
          </w:p>
        </w:tc>
        <w:tc>
          <w:tcPr>
            <w:tcW w:w="2391" w:type="pct"/>
            <w:vAlign w:val="center"/>
          </w:tcPr>
          <w:p w14:paraId="2FACD5C4" w14:textId="77777777" w:rsidR="003E78AB" w:rsidRDefault="00010BF9">
            <w:pPr>
              <w:pStyle w:val="aff6"/>
              <w:topLinePunct/>
              <w:jc w:val="left"/>
            </w:pPr>
            <w:r>
              <w:t>通过排气管捕集的含酸雾废气进入吸附设备，用吸附剂吸</w:t>
            </w:r>
            <w:r>
              <w:t>附净化酸雾的方法。吸附剂吸附酸雾分为物理吸附和化学吸附两种。吸附剂主要为活性炭或其它一些对介质有较强吸附能力的物质。</w:t>
            </w:r>
          </w:p>
        </w:tc>
        <w:tc>
          <w:tcPr>
            <w:tcW w:w="692" w:type="pct"/>
            <w:vAlign w:val="center"/>
          </w:tcPr>
          <w:p w14:paraId="14918DAF" w14:textId="77777777" w:rsidR="003E78AB" w:rsidRDefault="00010BF9">
            <w:pPr>
              <w:pStyle w:val="aff6"/>
              <w:topLinePunct/>
            </w:pPr>
            <w:r>
              <w:t>具有流程简单、运行可靠、净化效率高，对气温不敏感以及无二次污染问题。</w:t>
            </w:r>
          </w:p>
        </w:tc>
        <w:tc>
          <w:tcPr>
            <w:tcW w:w="1231" w:type="pct"/>
            <w:vAlign w:val="center"/>
          </w:tcPr>
          <w:p w14:paraId="2EF51F02" w14:textId="77777777" w:rsidR="003E78AB" w:rsidRDefault="00010BF9">
            <w:pPr>
              <w:pStyle w:val="aff6"/>
              <w:topLinePunct/>
            </w:pPr>
            <w:r>
              <w:t>吸附剂成本较高，设备较大，存在吸附剂中毒，造成效率下降等问题，且过程为间歇操作，仅适用于净化处理酸雾浓度较低的废气。</w:t>
            </w:r>
          </w:p>
        </w:tc>
      </w:tr>
      <w:tr w:rsidR="003E78AB" w14:paraId="5FD0C0FF" w14:textId="77777777">
        <w:trPr>
          <w:trHeight w:val="1379"/>
        </w:trPr>
        <w:tc>
          <w:tcPr>
            <w:tcW w:w="684" w:type="pct"/>
            <w:vAlign w:val="center"/>
          </w:tcPr>
          <w:p w14:paraId="583F245B" w14:textId="77777777" w:rsidR="003E78AB" w:rsidRDefault="00010BF9">
            <w:pPr>
              <w:pStyle w:val="aff6"/>
              <w:topLinePunct/>
            </w:pPr>
            <w:r>
              <w:t>静电除雾法</w:t>
            </w:r>
          </w:p>
        </w:tc>
        <w:tc>
          <w:tcPr>
            <w:tcW w:w="2391" w:type="pct"/>
            <w:vAlign w:val="center"/>
          </w:tcPr>
          <w:p w14:paraId="0962AECC" w14:textId="77777777" w:rsidR="003E78AB" w:rsidRDefault="00010BF9">
            <w:pPr>
              <w:pStyle w:val="aff6"/>
              <w:topLinePunct/>
              <w:jc w:val="left"/>
            </w:pPr>
            <w:r>
              <w:t>静电除雾法使含酸雾废气通过电除雾器除去酸雾的方法。</w:t>
            </w:r>
          </w:p>
        </w:tc>
        <w:tc>
          <w:tcPr>
            <w:tcW w:w="692" w:type="pct"/>
            <w:vAlign w:val="center"/>
          </w:tcPr>
          <w:p w14:paraId="29D885A1" w14:textId="77777777" w:rsidR="003E78AB" w:rsidRDefault="00010BF9">
            <w:pPr>
              <w:pStyle w:val="aff6"/>
              <w:topLinePunct/>
            </w:pPr>
            <w:r>
              <w:t>效率高、性能、稳定。</w:t>
            </w:r>
          </w:p>
        </w:tc>
        <w:tc>
          <w:tcPr>
            <w:tcW w:w="1231" w:type="pct"/>
            <w:vAlign w:val="center"/>
          </w:tcPr>
          <w:p w14:paraId="728B29D5" w14:textId="77777777" w:rsidR="003E78AB" w:rsidRDefault="00010BF9">
            <w:pPr>
              <w:pStyle w:val="aff6"/>
              <w:topLinePunct/>
            </w:pPr>
            <w:r>
              <w:t>易产生电晕闭塞等问题，设备体积大，价格高，适用面窄，只适用于硫酸雾和铬酸雾处理。</w:t>
            </w:r>
          </w:p>
        </w:tc>
      </w:tr>
    </w:tbl>
    <w:p w14:paraId="6688D0C6" w14:textId="77777777" w:rsidR="003E78AB" w:rsidRDefault="00010BF9">
      <w:pPr>
        <w:ind w:firstLine="480"/>
      </w:pPr>
      <w:r>
        <w:rPr>
          <w:rFonts w:hint="eastAsia"/>
        </w:rPr>
        <w:t>综合分析，吸收法具有净化效率高，适用面广的特点，也是运用最广泛的净化方法。本项目设置</w:t>
      </w:r>
      <w:r>
        <w:rPr>
          <w:rFonts w:hint="eastAsia"/>
        </w:rPr>
        <w:t>1</w:t>
      </w:r>
      <w:r>
        <w:rPr>
          <w:rFonts w:hint="eastAsia"/>
        </w:rPr>
        <w:t>套</w:t>
      </w:r>
      <w:bookmarkStart w:id="461" w:name="OLE_LINK65"/>
      <w:r>
        <w:rPr>
          <w:rFonts w:hint="eastAsia"/>
        </w:rPr>
        <w:t>工艺废气淋洗设施（一级碱喷淋</w:t>
      </w:r>
      <w:r>
        <w:rPr>
          <w:rFonts w:hint="eastAsia"/>
        </w:rPr>
        <w:t>+</w:t>
      </w:r>
      <w:r>
        <w:rPr>
          <w:rFonts w:hint="eastAsia"/>
        </w:rPr>
        <w:t>一级水吸收）</w:t>
      </w:r>
      <w:bookmarkEnd w:id="461"/>
      <w:r>
        <w:rPr>
          <w:rFonts w:hint="eastAsia"/>
        </w:rPr>
        <w:t>，该工艺具有结构简单、能耗低、净化效率高和适用范围广的特点，能有效去除硫酸雾等酸性气体。酸性废气由风管引入吸收塔，与碱液及水进行气液两相充分接触吸收反应，废气经净化处理后可达标排放。吸收液在塔底经水泵增压后在塔顶喷淋而下，回流至塔底循环使用。目前该治理技术较成熟、效果良好，净化效率可达</w:t>
      </w:r>
      <w:r>
        <w:rPr>
          <w:rFonts w:hint="eastAsia"/>
        </w:rPr>
        <w:t>95%</w:t>
      </w:r>
      <w:r>
        <w:rPr>
          <w:rFonts w:hint="eastAsia"/>
        </w:rPr>
        <w:t>以上。</w:t>
      </w:r>
    </w:p>
    <w:p w14:paraId="29BE297A" w14:textId="77777777" w:rsidR="003E78AB" w:rsidRDefault="00010BF9">
      <w:pPr>
        <w:ind w:firstLine="482"/>
        <w:rPr>
          <w:b/>
          <w:bCs/>
          <w:u w:val="single"/>
        </w:rPr>
      </w:pPr>
      <w:r>
        <w:rPr>
          <w:rFonts w:hint="eastAsia"/>
          <w:b/>
          <w:bCs/>
          <w:u w:val="single"/>
        </w:rPr>
        <w:t>（</w:t>
      </w:r>
      <w:r>
        <w:rPr>
          <w:rFonts w:hint="eastAsia"/>
          <w:b/>
          <w:bCs/>
          <w:u w:val="single"/>
        </w:rPr>
        <w:t>2</w:t>
      </w:r>
      <w:r>
        <w:rPr>
          <w:rFonts w:hint="eastAsia"/>
          <w:b/>
          <w:bCs/>
          <w:u w:val="single"/>
        </w:rPr>
        <w:t>）吸收法处理有机酸性废气的可行性</w:t>
      </w:r>
    </w:p>
    <w:p w14:paraId="7F49F639" w14:textId="77777777" w:rsidR="003E78AB" w:rsidRDefault="00010BF9">
      <w:pPr>
        <w:ind w:firstLine="482"/>
        <w:rPr>
          <w:b/>
          <w:bCs/>
          <w:u w:val="single"/>
        </w:rPr>
      </w:pPr>
      <w:r>
        <w:rPr>
          <w:rFonts w:hint="eastAsia"/>
          <w:b/>
          <w:bCs/>
          <w:u w:val="single"/>
        </w:rPr>
        <w:t>工艺生产过程主要在溶解还原釜搅拌和反应过程产</w:t>
      </w:r>
      <w:r>
        <w:rPr>
          <w:rFonts w:hint="eastAsia"/>
          <w:b/>
          <w:bCs/>
          <w:u w:val="single"/>
        </w:rPr>
        <w:t>生少量草酸雾和甲酸雾，计入</w:t>
      </w:r>
      <w:r>
        <w:rPr>
          <w:rFonts w:hint="eastAsia"/>
          <w:b/>
          <w:bCs/>
          <w:u w:val="single"/>
        </w:rPr>
        <w:t>VOCs</w:t>
      </w:r>
      <w:r>
        <w:rPr>
          <w:rFonts w:hint="eastAsia"/>
          <w:b/>
          <w:bCs/>
          <w:u w:val="single"/>
        </w:rPr>
        <w:t>，属于有机酸性废气。草酸和甲酸与</w:t>
      </w:r>
      <w:r>
        <w:rPr>
          <w:rFonts w:hint="eastAsia"/>
          <w:b/>
          <w:bCs/>
          <w:u w:val="single"/>
        </w:rPr>
        <w:t>NaOH</w:t>
      </w:r>
      <w:r>
        <w:rPr>
          <w:rFonts w:hint="eastAsia"/>
          <w:b/>
          <w:bCs/>
          <w:u w:val="single"/>
        </w:rPr>
        <w:t>碱液易于发生反应，处理可行。</w:t>
      </w:r>
    </w:p>
    <w:p w14:paraId="5377DECB" w14:textId="77777777" w:rsidR="003E78AB" w:rsidRDefault="00010BF9">
      <w:pPr>
        <w:ind w:firstLine="482"/>
        <w:rPr>
          <w:b/>
          <w:bCs/>
          <w:u w:val="single"/>
        </w:rPr>
      </w:pPr>
      <w:r>
        <w:rPr>
          <w:rFonts w:hint="eastAsia"/>
          <w:b/>
          <w:bCs/>
          <w:u w:val="single"/>
        </w:rPr>
        <w:t>①草酸与碱液反应生成草酸钠（可溶性盐）：</w:t>
      </w:r>
    </w:p>
    <w:p w14:paraId="38AAF5C7" w14:textId="77777777" w:rsidR="003E78AB" w:rsidRDefault="00010BF9">
      <w:pPr>
        <w:ind w:firstLine="482"/>
        <w:rPr>
          <w:b/>
          <w:bCs/>
          <w:u w:val="single"/>
        </w:rPr>
      </w:pPr>
      <w:r>
        <w:rPr>
          <w:rFonts w:hint="eastAsia"/>
          <w:b/>
          <w:bCs/>
          <w:u w:val="single"/>
        </w:rPr>
        <w:t>H</w:t>
      </w:r>
      <w:r>
        <w:rPr>
          <w:rFonts w:hint="eastAsia"/>
          <w:b/>
          <w:bCs/>
          <w:u w:val="single"/>
          <w:vertAlign w:val="subscript"/>
        </w:rPr>
        <w:t>2</w:t>
      </w:r>
      <w:r>
        <w:rPr>
          <w:rFonts w:hint="eastAsia"/>
          <w:b/>
          <w:bCs/>
          <w:u w:val="single"/>
        </w:rPr>
        <w:t>C</w:t>
      </w:r>
      <w:r>
        <w:rPr>
          <w:rFonts w:hint="eastAsia"/>
          <w:b/>
          <w:bCs/>
          <w:u w:val="single"/>
          <w:vertAlign w:val="subscript"/>
        </w:rPr>
        <w:t>2</w:t>
      </w:r>
      <w:r>
        <w:rPr>
          <w:rFonts w:hint="eastAsia"/>
          <w:b/>
          <w:bCs/>
          <w:u w:val="single"/>
        </w:rPr>
        <w:t>O</w:t>
      </w:r>
      <w:r>
        <w:rPr>
          <w:rFonts w:hint="eastAsia"/>
          <w:b/>
          <w:bCs/>
          <w:u w:val="single"/>
          <w:vertAlign w:val="subscript"/>
        </w:rPr>
        <w:t>4</w:t>
      </w:r>
      <w:r>
        <w:rPr>
          <w:rFonts w:hint="eastAsia"/>
          <w:b/>
          <w:bCs/>
          <w:u w:val="single"/>
        </w:rPr>
        <w:t>+2NaOH</w:t>
      </w:r>
      <w:r>
        <w:rPr>
          <w:rFonts w:hint="eastAsia"/>
          <w:b/>
          <w:bCs/>
          <w:u w:val="single"/>
        </w:rPr>
        <w:t>→</w:t>
      </w:r>
      <w:r>
        <w:rPr>
          <w:rFonts w:hint="eastAsia"/>
          <w:b/>
          <w:bCs/>
          <w:u w:val="single"/>
        </w:rPr>
        <w:t>Na</w:t>
      </w:r>
      <w:r>
        <w:rPr>
          <w:rFonts w:hint="eastAsia"/>
          <w:b/>
          <w:bCs/>
          <w:u w:val="single"/>
          <w:vertAlign w:val="subscript"/>
        </w:rPr>
        <w:t>2</w:t>
      </w:r>
      <w:r>
        <w:rPr>
          <w:rFonts w:hint="eastAsia"/>
          <w:b/>
          <w:bCs/>
          <w:u w:val="single"/>
        </w:rPr>
        <w:t>C</w:t>
      </w:r>
      <w:r>
        <w:rPr>
          <w:rFonts w:hint="eastAsia"/>
          <w:b/>
          <w:bCs/>
          <w:u w:val="single"/>
          <w:vertAlign w:val="subscript"/>
        </w:rPr>
        <w:t>2</w:t>
      </w:r>
      <w:r>
        <w:rPr>
          <w:rFonts w:hint="eastAsia"/>
          <w:b/>
          <w:bCs/>
          <w:u w:val="single"/>
        </w:rPr>
        <w:t>O</w:t>
      </w:r>
      <w:r>
        <w:rPr>
          <w:rFonts w:hint="eastAsia"/>
          <w:b/>
          <w:bCs/>
          <w:u w:val="single"/>
          <w:vertAlign w:val="subscript"/>
        </w:rPr>
        <w:t>4</w:t>
      </w:r>
      <w:r>
        <w:rPr>
          <w:rFonts w:hint="eastAsia"/>
          <w:b/>
          <w:bCs/>
          <w:u w:val="single"/>
        </w:rPr>
        <w:t>+2</w:t>
      </w:r>
      <w:bookmarkStart w:id="462" w:name="OLE_LINK67"/>
      <w:r>
        <w:rPr>
          <w:rFonts w:hint="eastAsia"/>
          <w:b/>
          <w:bCs/>
          <w:u w:val="single"/>
        </w:rPr>
        <w:t>H</w:t>
      </w:r>
      <w:r>
        <w:rPr>
          <w:rFonts w:hint="eastAsia"/>
          <w:b/>
          <w:bCs/>
          <w:u w:val="single"/>
          <w:vertAlign w:val="subscript"/>
        </w:rPr>
        <w:t>2</w:t>
      </w:r>
      <w:r>
        <w:rPr>
          <w:rFonts w:hint="eastAsia"/>
          <w:b/>
          <w:bCs/>
          <w:u w:val="single"/>
        </w:rPr>
        <w:t>O</w:t>
      </w:r>
      <w:bookmarkEnd w:id="462"/>
    </w:p>
    <w:p w14:paraId="11A39994" w14:textId="77777777" w:rsidR="003E78AB" w:rsidRDefault="00010BF9">
      <w:pPr>
        <w:ind w:firstLine="482"/>
        <w:rPr>
          <w:b/>
          <w:bCs/>
          <w:u w:val="single"/>
        </w:rPr>
      </w:pPr>
      <w:r>
        <w:rPr>
          <w:rFonts w:hint="eastAsia"/>
          <w:b/>
          <w:bCs/>
          <w:u w:val="single"/>
        </w:rPr>
        <w:t>②甲酸与碱液反应生成易溶的甲酸钠</w:t>
      </w:r>
    </w:p>
    <w:p w14:paraId="4C4784C7" w14:textId="77777777" w:rsidR="003E78AB" w:rsidRDefault="00010BF9">
      <w:pPr>
        <w:ind w:firstLine="482"/>
        <w:rPr>
          <w:b/>
          <w:bCs/>
          <w:u w:val="single"/>
        </w:rPr>
      </w:pPr>
      <w:r>
        <w:rPr>
          <w:rFonts w:hint="eastAsia"/>
          <w:b/>
          <w:bCs/>
          <w:u w:val="single"/>
        </w:rPr>
        <w:t xml:space="preserve">HCOOH+NaOH </w:t>
      </w:r>
      <w:r>
        <w:rPr>
          <w:rFonts w:hint="eastAsia"/>
          <w:b/>
          <w:bCs/>
          <w:u w:val="single"/>
        </w:rPr>
        <w:t>→</w:t>
      </w:r>
      <w:r>
        <w:rPr>
          <w:rFonts w:hint="eastAsia"/>
          <w:b/>
          <w:bCs/>
          <w:u w:val="single"/>
        </w:rPr>
        <w:t xml:space="preserve"> HCOONa+H</w:t>
      </w:r>
      <w:r>
        <w:rPr>
          <w:rFonts w:hint="eastAsia"/>
          <w:b/>
          <w:bCs/>
          <w:u w:val="single"/>
          <w:vertAlign w:val="subscript"/>
        </w:rPr>
        <w:t>2</w:t>
      </w:r>
      <w:r>
        <w:rPr>
          <w:rFonts w:hint="eastAsia"/>
          <w:b/>
          <w:bCs/>
          <w:u w:val="single"/>
        </w:rPr>
        <w:t>O</w:t>
      </w:r>
    </w:p>
    <w:p w14:paraId="6EBDA11B" w14:textId="77777777" w:rsidR="003E78AB" w:rsidRDefault="00010BF9">
      <w:pPr>
        <w:ind w:firstLine="482"/>
        <w:rPr>
          <w:b/>
          <w:bCs/>
          <w:u w:val="single"/>
        </w:rPr>
      </w:pPr>
      <w:r>
        <w:rPr>
          <w:rFonts w:hint="eastAsia"/>
          <w:b/>
          <w:bCs/>
          <w:u w:val="single"/>
        </w:rPr>
        <w:t>（</w:t>
      </w:r>
      <w:r>
        <w:rPr>
          <w:rFonts w:hint="eastAsia"/>
          <w:b/>
          <w:bCs/>
          <w:u w:val="single"/>
        </w:rPr>
        <w:t>3</w:t>
      </w:r>
      <w:r>
        <w:rPr>
          <w:rFonts w:hint="eastAsia"/>
          <w:b/>
          <w:bCs/>
          <w:u w:val="single"/>
        </w:rPr>
        <w:t>）处理效率</w:t>
      </w:r>
    </w:p>
    <w:p w14:paraId="7BDA6857" w14:textId="77777777" w:rsidR="003E78AB" w:rsidRDefault="00010BF9">
      <w:pPr>
        <w:ind w:firstLine="482"/>
        <w:rPr>
          <w:b/>
          <w:bCs/>
          <w:u w:val="single"/>
        </w:rPr>
      </w:pPr>
      <w:r>
        <w:rPr>
          <w:rFonts w:hint="eastAsia"/>
          <w:b/>
          <w:bCs/>
          <w:u w:val="single"/>
        </w:rPr>
        <w:t>根据工程设计方案，项目生产工序设置</w:t>
      </w:r>
      <w:r>
        <w:rPr>
          <w:rFonts w:hint="eastAsia"/>
          <w:b/>
          <w:bCs/>
          <w:u w:val="single"/>
        </w:rPr>
        <w:t>1</w:t>
      </w:r>
      <w:r>
        <w:rPr>
          <w:rFonts w:hint="eastAsia"/>
          <w:b/>
          <w:bCs/>
          <w:u w:val="single"/>
        </w:rPr>
        <w:t>套工艺废气淋洗设施（一级碱喷淋</w:t>
      </w:r>
      <w:r>
        <w:rPr>
          <w:rFonts w:hint="eastAsia"/>
          <w:b/>
          <w:bCs/>
          <w:u w:val="single"/>
        </w:rPr>
        <w:t>+</w:t>
      </w:r>
      <w:r>
        <w:rPr>
          <w:rFonts w:hint="eastAsia"/>
          <w:b/>
          <w:bCs/>
          <w:u w:val="single"/>
        </w:rPr>
        <w:t>一级水吸收），主要处理硫酸稀释、溶解还原釜搅拌和反应过程、电解投料及电解过程、调制定容过程、成品装卸过程及磷酸储罐大小呼吸过程的废气，废气通过密闭管</w:t>
      </w:r>
      <w:r>
        <w:rPr>
          <w:rFonts w:hint="eastAsia"/>
          <w:b/>
          <w:bCs/>
          <w:u w:val="single"/>
        </w:rPr>
        <w:t>道收集后通入淋洗设施。</w:t>
      </w:r>
    </w:p>
    <w:p w14:paraId="04E1C23A" w14:textId="77777777" w:rsidR="003E78AB" w:rsidRDefault="00010BF9">
      <w:pPr>
        <w:pStyle w:val="a6"/>
        <w:shd w:val="clear" w:color="auto" w:fill="FFFFFF"/>
        <w:spacing w:before="120"/>
        <w:rPr>
          <w:b/>
          <w:bCs/>
          <w:u w:val="single"/>
        </w:rPr>
      </w:pPr>
      <w:r>
        <w:rPr>
          <w:rFonts w:hint="eastAsia"/>
          <w:b/>
          <w:bCs/>
          <w:u w:val="single"/>
        </w:rPr>
        <w:t>不同</w:t>
      </w:r>
      <w:r>
        <w:rPr>
          <w:b/>
          <w:bCs/>
          <w:u w:val="single"/>
          <w:shd w:val="clear" w:color="auto" w:fill="FFFFFF"/>
        </w:rPr>
        <w:t>酸雾类型处理效率对比</w:t>
      </w:r>
    </w:p>
    <w:tbl>
      <w:tblPr>
        <w:tblW w:w="0" w:type="auto"/>
        <w:tblCellMar>
          <w:top w:w="15" w:type="dxa"/>
          <w:left w:w="15" w:type="dxa"/>
          <w:bottom w:w="15" w:type="dxa"/>
          <w:right w:w="15" w:type="dxa"/>
        </w:tblCellMar>
        <w:tblLook w:val="04A0" w:firstRow="1" w:lastRow="0" w:firstColumn="1" w:lastColumn="0" w:noHBand="0" w:noVBand="1"/>
      </w:tblPr>
      <w:tblGrid>
        <w:gridCol w:w="1133"/>
        <w:gridCol w:w="3288"/>
        <w:gridCol w:w="2825"/>
        <w:gridCol w:w="1154"/>
      </w:tblGrid>
      <w:tr w:rsidR="003E78AB" w14:paraId="15BBB079" w14:textId="77777777">
        <w:trPr>
          <w:trHeight w:val="90"/>
          <w:tblHeader/>
        </w:trPr>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0" w:type="dxa"/>
              <w:bottom w:w="100" w:type="dxa"/>
              <w:right w:w="100" w:type="dxa"/>
            </w:tcMar>
            <w:vAlign w:val="center"/>
          </w:tcPr>
          <w:p w14:paraId="63E4DED8" w14:textId="77777777" w:rsidR="003E78AB" w:rsidRDefault="00010BF9">
            <w:pPr>
              <w:pStyle w:val="aff6"/>
              <w:topLinePunct/>
              <w:spacing w:line="17" w:lineRule="atLeast"/>
              <w:rPr>
                <w:b/>
                <w:bCs/>
                <w:u w:val="single"/>
              </w:rPr>
            </w:pPr>
            <w:r>
              <w:rPr>
                <w:b/>
                <w:bCs/>
                <w:u w:val="single"/>
                <w:lang w:bidi="ar"/>
              </w:rPr>
              <w:t>酸雾类型</w:t>
            </w:r>
          </w:p>
        </w:tc>
        <w:tc>
          <w:tcPr>
            <w:tcW w:w="32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45F203" w14:textId="77777777" w:rsidR="003E78AB" w:rsidRDefault="00010BF9">
            <w:pPr>
              <w:pStyle w:val="aff6"/>
              <w:topLinePunct/>
              <w:spacing w:line="17" w:lineRule="atLeast"/>
              <w:rPr>
                <w:b/>
                <w:bCs/>
                <w:u w:val="single"/>
              </w:rPr>
            </w:pPr>
            <w:r>
              <w:rPr>
                <w:b/>
                <w:bCs/>
                <w:u w:val="single"/>
                <w:lang w:bidi="ar"/>
              </w:rPr>
              <w:t>碱喷淋段适用性</w:t>
            </w:r>
          </w:p>
        </w:tc>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624C5C" w14:textId="77777777" w:rsidR="003E78AB" w:rsidRDefault="00010BF9">
            <w:pPr>
              <w:pStyle w:val="aff6"/>
              <w:topLinePunct/>
              <w:spacing w:line="17" w:lineRule="atLeast"/>
              <w:rPr>
                <w:b/>
                <w:bCs/>
                <w:u w:val="single"/>
              </w:rPr>
            </w:pPr>
            <w:r>
              <w:rPr>
                <w:b/>
                <w:bCs/>
                <w:u w:val="single"/>
                <w:lang w:bidi="ar"/>
              </w:rPr>
              <w:t>水吸收段适用性</w:t>
            </w:r>
          </w:p>
        </w:tc>
        <w:tc>
          <w:tcPr>
            <w:tcW w:w="11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2183526" w14:textId="77777777" w:rsidR="003E78AB" w:rsidRDefault="00010BF9">
            <w:pPr>
              <w:pStyle w:val="aff6"/>
              <w:topLinePunct/>
              <w:spacing w:line="17" w:lineRule="atLeast"/>
              <w:rPr>
                <w:b/>
                <w:bCs/>
                <w:u w:val="single"/>
              </w:rPr>
            </w:pPr>
            <w:r>
              <w:rPr>
                <w:rFonts w:hint="eastAsia"/>
                <w:b/>
                <w:bCs/>
                <w:u w:val="single"/>
                <w:lang w:bidi="ar"/>
              </w:rPr>
              <w:t>综合</w:t>
            </w:r>
            <w:r>
              <w:rPr>
                <w:b/>
                <w:bCs/>
                <w:u w:val="single"/>
                <w:lang w:bidi="ar"/>
              </w:rPr>
              <w:t>效率</w:t>
            </w:r>
          </w:p>
        </w:tc>
      </w:tr>
      <w:tr w:rsidR="003E78AB" w14:paraId="0D7550F1" w14:textId="77777777">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0" w:type="dxa"/>
              <w:bottom w:w="100" w:type="dxa"/>
              <w:right w:w="100" w:type="dxa"/>
            </w:tcMar>
            <w:vAlign w:val="center"/>
          </w:tcPr>
          <w:p w14:paraId="5C6DD83D" w14:textId="77777777" w:rsidR="003E78AB" w:rsidRDefault="00010BF9">
            <w:pPr>
              <w:pStyle w:val="aff6"/>
              <w:topLinePunct/>
              <w:spacing w:line="17" w:lineRule="atLeast"/>
              <w:rPr>
                <w:b/>
                <w:bCs/>
                <w:u w:val="single"/>
              </w:rPr>
            </w:pPr>
            <w:r>
              <w:rPr>
                <w:b/>
                <w:bCs/>
                <w:u w:val="single"/>
                <w:lang w:bidi="ar"/>
              </w:rPr>
              <w:t>硫酸雾</w:t>
            </w:r>
          </w:p>
        </w:tc>
        <w:tc>
          <w:tcPr>
            <w:tcW w:w="32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0D8488" w14:textId="77777777" w:rsidR="003E78AB" w:rsidRDefault="00010BF9">
            <w:pPr>
              <w:pStyle w:val="aff6"/>
              <w:topLinePunct/>
              <w:spacing w:line="17" w:lineRule="atLeast"/>
              <w:rPr>
                <w:b/>
                <w:bCs/>
                <w:u w:val="single"/>
              </w:rPr>
            </w:pPr>
            <w:r>
              <w:rPr>
                <w:b/>
                <w:bCs/>
                <w:u w:val="single"/>
                <w:lang w:bidi="ar"/>
              </w:rPr>
              <w:t>极高效（</w:t>
            </w:r>
            <w:r>
              <w:rPr>
                <w:b/>
                <w:bCs/>
                <w:u w:val="single"/>
                <w:lang w:bidi="ar"/>
              </w:rPr>
              <w:t>≥95%</w:t>
            </w:r>
            <w:r>
              <w:rPr>
                <w:b/>
                <w:bCs/>
                <w:u w:val="single"/>
                <w:lang w:bidi="ar"/>
              </w:rPr>
              <w:t>，易成盐溶解）</w:t>
            </w:r>
          </w:p>
        </w:tc>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AA25696" w14:textId="77777777" w:rsidR="003E78AB" w:rsidRDefault="00010BF9">
            <w:pPr>
              <w:pStyle w:val="aff6"/>
              <w:topLinePunct/>
              <w:spacing w:line="17" w:lineRule="atLeast"/>
              <w:rPr>
                <w:b/>
                <w:bCs/>
                <w:u w:val="single"/>
              </w:rPr>
            </w:pPr>
            <w:r>
              <w:rPr>
                <w:b/>
                <w:bCs/>
                <w:u w:val="single"/>
                <w:lang w:bidi="ar"/>
              </w:rPr>
              <w:t>辅助捕集逸逃酸滴</w:t>
            </w:r>
            <w:r>
              <w:rPr>
                <w:rFonts w:hint="eastAsia"/>
                <w:b/>
                <w:bCs/>
                <w:u w:val="single"/>
                <w:lang w:bidi="ar"/>
              </w:rPr>
              <w:t>（</w:t>
            </w:r>
            <w:r>
              <w:rPr>
                <w:b/>
                <w:bCs/>
                <w:u w:val="single"/>
                <w:lang w:bidi="ar"/>
              </w:rPr>
              <w:t>≥</w:t>
            </w:r>
            <w:r>
              <w:rPr>
                <w:rFonts w:hint="eastAsia"/>
                <w:b/>
                <w:bCs/>
                <w:u w:val="single"/>
                <w:lang w:bidi="ar"/>
              </w:rPr>
              <w:t>20%</w:t>
            </w:r>
            <w:r>
              <w:rPr>
                <w:rFonts w:hint="eastAsia"/>
                <w:b/>
                <w:bCs/>
                <w:u w:val="single"/>
                <w:lang w:bidi="ar"/>
              </w:rPr>
              <w:t>）</w:t>
            </w:r>
          </w:p>
        </w:tc>
        <w:tc>
          <w:tcPr>
            <w:tcW w:w="11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0E071AA" w14:textId="77777777" w:rsidR="003E78AB" w:rsidRDefault="00010BF9">
            <w:pPr>
              <w:pStyle w:val="aff6"/>
              <w:topLinePunct/>
              <w:spacing w:line="17" w:lineRule="atLeast"/>
              <w:rPr>
                <w:b/>
                <w:bCs/>
                <w:u w:val="single"/>
              </w:rPr>
            </w:pPr>
            <w:r>
              <w:rPr>
                <w:rFonts w:hint="eastAsia"/>
                <w:b/>
                <w:bCs/>
                <w:u w:val="single"/>
              </w:rPr>
              <w:t>96%</w:t>
            </w:r>
          </w:p>
        </w:tc>
      </w:tr>
      <w:tr w:rsidR="003E78AB" w14:paraId="6B781F33" w14:textId="77777777">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0" w:type="dxa"/>
              <w:bottom w:w="100" w:type="dxa"/>
              <w:right w:w="100" w:type="dxa"/>
            </w:tcMar>
            <w:vAlign w:val="center"/>
          </w:tcPr>
          <w:p w14:paraId="68AEDA48" w14:textId="77777777" w:rsidR="003E78AB" w:rsidRDefault="00010BF9">
            <w:pPr>
              <w:pStyle w:val="aff6"/>
              <w:topLinePunct/>
              <w:spacing w:line="17" w:lineRule="atLeast"/>
              <w:rPr>
                <w:b/>
                <w:bCs/>
                <w:u w:val="single"/>
              </w:rPr>
            </w:pPr>
            <w:r>
              <w:rPr>
                <w:b/>
                <w:bCs/>
                <w:u w:val="single"/>
                <w:lang w:bidi="ar"/>
              </w:rPr>
              <w:t>磷酸雾</w:t>
            </w:r>
          </w:p>
        </w:tc>
        <w:tc>
          <w:tcPr>
            <w:tcW w:w="32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6F8E6DB" w14:textId="77777777" w:rsidR="003E78AB" w:rsidRDefault="00010BF9">
            <w:pPr>
              <w:pStyle w:val="aff6"/>
              <w:topLinePunct/>
              <w:spacing w:line="17" w:lineRule="atLeast"/>
              <w:rPr>
                <w:b/>
                <w:bCs/>
                <w:u w:val="single"/>
              </w:rPr>
            </w:pPr>
            <w:r>
              <w:rPr>
                <w:b/>
                <w:bCs/>
                <w:u w:val="single"/>
                <w:lang w:bidi="ar"/>
              </w:rPr>
              <w:t>高效（</w:t>
            </w:r>
            <w:r>
              <w:rPr>
                <w:b/>
                <w:bCs/>
                <w:u w:val="single"/>
                <w:lang w:bidi="ar"/>
              </w:rPr>
              <w:t>90~95%</w:t>
            </w:r>
            <w:r>
              <w:rPr>
                <w:b/>
                <w:bCs/>
                <w:u w:val="single"/>
                <w:lang w:bidi="ar"/>
              </w:rPr>
              <w:t>，生成磷酸钠易溶）</w:t>
            </w:r>
          </w:p>
        </w:tc>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BD2C35" w14:textId="77777777" w:rsidR="003E78AB" w:rsidRDefault="00010BF9">
            <w:pPr>
              <w:pStyle w:val="aff6"/>
              <w:topLinePunct/>
              <w:spacing w:line="17" w:lineRule="atLeast"/>
              <w:rPr>
                <w:b/>
                <w:bCs/>
                <w:u w:val="single"/>
              </w:rPr>
            </w:pPr>
            <w:r>
              <w:rPr>
                <w:b/>
                <w:bCs/>
                <w:u w:val="single"/>
                <w:lang w:bidi="ar"/>
              </w:rPr>
              <w:t>对残留雾滴捕集有效</w:t>
            </w:r>
            <w:r>
              <w:rPr>
                <w:rFonts w:hint="eastAsia"/>
                <w:b/>
                <w:bCs/>
                <w:u w:val="single"/>
                <w:lang w:bidi="ar"/>
              </w:rPr>
              <w:t>（</w:t>
            </w:r>
            <w:r>
              <w:rPr>
                <w:b/>
                <w:bCs/>
                <w:u w:val="single"/>
                <w:lang w:bidi="ar"/>
              </w:rPr>
              <w:t>≥</w:t>
            </w:r>
            <w:r>
              <w:rPr>
                <w:rFonts w:hint="eastAsia"/>
                <w:b/>
                <w:bCs/>
                <w:u w:val="single"/>
                <w:lang w:bidi="ar"/>
              </w:rPr>
              <w:t>20%</w:t>
            </w:r>
            <w:r>
              <w:rPr>
                <w:rFonts w:hint="eastAsia"/>
                <w:b/>
                <w:bCs/>
                <w:u w:val="single"/>
                <w:lang w:bidi="ar"/>
              </w:rPr>
              <w:t>）</w:t>
            </w:r>
          </w:p>
        </w:tc>
        <w:tc>
          <w:tcPr>
            <w:tcW w:w="11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55E67D" w14:textId="77777777" w:rsidR="003E78AB" w:rsidRDefault="00010BF9">
            <w:pPr>
              <w:pStyle w:val="aff6"/>
              <w:topLinePunct/>
              <w:spacing w:line="17" w:lineRule="atLeast"/>
              <w:rPr>
                <w:b/>
                <w:bCs/>
                <w:u w:val="single"/>
              </w:rPr>
            </w:pPr>
            <w:r>
              <w:rPr>
                <w:rFonts w:hint="eastAsia"/>
                <w:b/>
                <w:bCs/>
                <w:u w:val="single"/>
              </w:rPr>
              <w:t>92%</w:t>
            </w:r>
          </w:p>
        </w:tc>
      </w:tr>
      <w:tr w:rsidR="003E78AB" w14:paraId="73ABE432" w14:textId="77777777">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0" w:type="dxa"/>
              <w:bottom w:w="100" w:type="dxa"/>
              <w:right w:w="100" w:type="dxa"/>
            </w:tcMar>
            <w:vAlign w:val="center"/>
          </w:tcPr>
          <w:p w14:paraId="7A51E6E7" w14:textId="77777777" w:rsidR="003E78AB" w:rsidRDefault="00010BF9">
            <w:pPr>
              <w:pStyle w:val="aff6"/>
              <w:topLinePunct/>
              <w:spacing w:line="17" w:lineRule="atLeast"/>
              <w:rPr>
                <w:b/>
                <w:bCs/>
                <w:u w:val="single"/>
              </w:rPr>
            </w:pPr>
            <w:r>
              <w:rPr>
                <w:b/>
                <w:bCs/>
                <w:u w:val="single"/>
                <w:lang w:bidi="ar"/>
              </w:rPr>
              <w:t>草酸雾</w:t>
            </w:r>
          </w:p>
        </w:tc>
        <w:tc>
          <w:tcPr>
            <w:tcW w:w="32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3142407" w14:textId="77777777" w:rsidR="003E78AB" w:rsidRDefault="00010BF9">
            <w:pPr>
              <w:pStyle w:val="aff6"/>
              <w:topLinePunct/>
              <w:spacing w:line="17" w:lineRule="atLeast"/>
              <w:rPr>
                <w:b/>
                <w:bCs/>
                <w:u w:val="single"/>
              </w:rPr>
            </w:pPr>
            <w:r>
              <w:rPr>
                <w:b/>
                <w:bCs/>
                <w:u w:val="single"/>
                <w:lang w:bidi="ar"/>
              </w:rPr>
              <w:t>中高效（</w:t>
            </w:r>
            <w:r>
              <w:rPr>
                <w:b/>
                <w:bCs/>
                <w:u w:val="single"/>
                <w:lang w:bidi="ar"/>
              </w:rPr>
              <w:t>85~90%</w:t>
            </w:r>
            <w:r>
              <w:rPr>
                <w:b/>
                <w:bCs/>
                <w:u w:val="single"/>
                <w:lang w:bidi="ar"/>
              </w:rPr>
              <w:t>，草酸钠易堵但无钙时改善）</w:t>
            </w:r>
          </w:p>
        </w:tc>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B700FA" w14:textId="77777777" w:rsidR="003E78AB" w:rsidRDefault="00010BF9">
            <w:pPr>
              <w:pStyle w:val="aff6"/>
              <w:topLinePunct/>
              <w:spacing w:line="17" w:lineRule="atLeast"/>
              <w:rPr>
                <w:b/>
                <w:bCs/>
                <w:u w:val="single"/>
              </w:rPr>
            </w:pPr>
            <w:r>
              <w:rPr>
                <w:b/>
                <w:bCs/>
                <w:u w:val="single"/>
                <w:lang w:bidi="ar"/>
              </w:rPr>
              <w:t>对气相草酸分子捕集弱</w:t>
            </w:r>
            <w:r>
              <w:rPr>
                <w:rFonts w:hint="eastAsia"/>
                <w:b/>
                <w:bCs/>
                <w:u w:val="single"/>
                <w:lang w:bidi="ar"/>
              </w:rPr>
              <w:t>（≤</w:t>
            </w:r>
            <w:r>
              <w:rPr>
                <w:rFonts w:hint="eastAsia"/>
                <w:b/>
                <w:bCs/>
                <w:u w:val="single"/>
                <w:lang w:bidi="ar"/>
              </w:rPr>
              <w:t>10%</w:t>
            </w:r>
            <w:r>
              <w:rPr>
                <w:rFonts w:hint="eastAsia"/>
                <w:b/>
                <w:bCs/>
                <w:u w:val="single"/>
                <w:lang w:bidi="ar"/>
              </w:rPr>
              <w:t>）</w:t>
            </w:r>
          </w:p>
        </w:tc>
        <w:tc>
          <w:tcPr>
            <w:tcW w:w="11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5AD47E4" w14:textId="77777777" w:rsidR="003E78AB" w:rsidRDefault="00010BF9">
            <w:pPr>
              <w:pStyle w:val="aff6"/>
              <w:topLinePunct/>
              <w:spacing w:line="17" w:lineRule="atLeast"/>
              <w:rPr>
                <w:b/>
                <w:bCs/>
                <w:u w:val="single"/>
              </w:rPr>
            </w:pPr>
            <w:r>
              <w:rPr>
                <w:rFonts w:hint="eastAsia"/>
                <w:b/>
                <w:bCs/>
                <w:u w:val="single"/>
              </w:rPr>
              <w:t>86.5%</w:t>
            </w:r>
          </w:p>
        </w:tc>
      </w:tr>
      <w:tr w:rsidR="003E78AB" w14:paraId="2E9A66AE" w14:textId="77777777">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0" w:type="dxa"/>
              <w:bottom w:w="100" w:type="dxa"/>
              <w:right w:w="100" w:type="dxa"/>
            </w:tcMar>
            <w:vAlign w:val="center"/>
          </w:tcPr>
          <w:p w14:paraId="245E415C" w14:textId="77777777" w:rsidR="003E78AB" w:rsidRDefault="00010BF9">
            <w:pPr>
              <w:pStyle w:val="aff6"/>
              <w:topLinePunct/>
              <w:spacing w:line="17" w:lineRule="atLeast"/>
              <w:rPr>
                <w:b/>
                <w:bCs/>
                <w:u w:val="single"/>
              </w:rPr>
            </w:pPr>
            <w:r>
              <w:rPr>
                <w:b/>
                <w:bCs/>
                <w:u w:val="single"/>
                <w:lang w:bidi="ar"/>
              </w:rPr>
              <w:t>甲酸雾</w:t>
            </w:r>
          </w:p>
        </w:tc>
        <w:tc>
          <w:tcPr>
            <w:tcW w:w="32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FE2F2D" w14:textId="77777777" w:rsidR="003E78AB" w:rsidRDefault="00010BF9">
            <w:pPr>
              <w:pStyle w:val="aff6"/>
              <w:topLinePunct/>
              <w:spacing w:line="17" w:lineRule="atLeast"/>
              <w:rPr>
                <w:b/>
                <w:bCs/>
                <w:u w:val="single"/>
              </w:rPr>
            </w:pPr>
            <w:r>
              <w:rPr>
                <w:b/>
                <w:bCs/>
                <w:u w:val="single"/>
                <w:lang w:bidi="ar"/>
              </w:rPr>
              <w:t>高效（</w:t>
            </w:r>
            <w:r>
              <w:rPr>
                <w:b/>
                <w:bCs/>
                <w:u w:val="single"/>
                <w:lang w:bidi="ar"/>
              </w:rPr>
              <w:t>90~95%</w:t>
            </w:r>
            <w:r>
              <w:rPr>
                <w:b/>
                <w:bCs/>
                <w:u w:val="single"/>
                <w:lang w:bidi="ar"/>
              </w:rPr>
              <w:t>，甲酸钠易溶）</w:t>
            </w:r>
          </w:p>
        </w:tc>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64B980" w14:textId="77777777" w:rsidR="003E78AB" w:rsidRDefault="00010BF9">
            <w:pPr>
              <w:pStyle w:val="aff6"/>
              <w:topLinePunct/>
              <w:spacing w:line="17" w:lineRule="atLeast"/>
              <w:rPr>
                <w:b/>
                <w:bCs/>
                <w:u w:val="single"/>
              </w:rPr>
            </w:pPr>
            <w:r>
              <w:rPr>
                <w:b/>
                <w:bCs/>
                <w:u w:val="single"/>
                <w:lang w:bidi="ar"/>
              </w:rPr>
              <w:t>对挥发性甲酸捕获率低（</w:t>
            </w:r>
            <w:r>
              <w:rPr>
                <w:rFonts w:hint="eastAsia"/>
                <w:b/>
                <w:bCs/>
                <w:u w:val="single"/>
                <w:lang w:bidi="ar"/>
              </w:rPr>
              <w:t>10</w:t>
            </w:r>
            <w:r>
              <w:rPr>
                <w:b/>
                <w:bCs/>
                <w:u w:val="single"/>
                <w:lang w:bidi="ar"/>
              </w:rPr>
              <w:t>~</w:t>
            </w:r>
            <w:r>
              <w:rPr>
                <w:rFonts w:hint="eastAsia"/>
                <w:b/>
                <w:bCs/>
                <w:u w:val="single"/>
                <w:lang w:bidi="ar"/>
              </w:rPr>
              <w:t>15</w:t>
            </w:r>
            <w:r>
              <w:rPr>
                <w:b/>
                <w:bCs/>
                <w:u w:val="single"/>
                <w:lang w:bidi="ar"/>
              </w:rPr>
              <w:t>%</w:t>
            </w:r>
            <w:r>
              <w:rPr>
                <w:rFonts w:hint="eastAsia"/>
                <w:b/>
                <w:bCs/>
                <w:u w:val="single"/>
                <w:lang w:bidi="ar"/>
              </w:rPr>
              <w:t>）</w:t>
            </w:r>
          </w:p>
        </w:tc>
        <w:tc>
          <w:tcPr>
            <w:tcW w:w="11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2D2969" w14:textId="77777777" w:rsidR="003E78AB" w:rsidRDefault="00010BF9">
            <w:pPr>
              <w:pStyle w:val="aff6"/>
              <w:topLinePunct/>
              <w:spacing w:line="17" w:lineRule="atLeast"/>
              <w:rPr>
                <w:b/>
                <w:bCs/>
                <w:u w:val="single"/>
              </w:rPr>
            </w:pPr>
            <w:r>
              <w:rPr>
                <w:rFonts w:hint="eastAsia"/>
                <w:b/>
                <w:bCs/>
                <w:u w:val="single"/>
              </w:rPr>
              <w:t>91%</w:t>
            </w:r>
          </w:p>
        </w:tc>
      </w:tr>
    </w:tbl>
    <w:p w14:paraId="7461EA43" w14:textId="77777777" w:rsidR="003E78AB" w:rsidRDefault="00010BF9">
      <w:pPr>
        <w:ind w:firstLine="482"/>
        <w:rPr>
          <w:b/>
          <w:bCs/>
          <w:u w:val="single"/>
        </w:rPr>
      </w:pPr>
      <w:r>
        <w:rPr>
          <w:rFonts w:hint="eastAsia"/>
          <w:b/>
          <w:bCs/>
          <w:u w:val="single"/>
        </w:rPr>
        <w:t>处理后，项目硫酸雾排放浓度满足《无机化学工业污染物排放标准》（</w:t>
      </w:r>
      <w:r>
        <w:rPr>
          <w:rFonts w:hint="eastAsia"/>
          <w:b/>
          <w:bCs/>
          <w:u w:val="single"/>
        </w:rPr>
        <w:t>GB31573-2015</w:t>
      </w:r>
      <w:r>
        <w:rPr>
          <w:rFonts w:hint="eastAsia"/>
          <w:b/>
          <w:bCs/>
          <w:u w:val="single"/>
        </w:rPr>
        <w:t>）及其修改单限值要求，磷酸雾、草酸雾和甲酸雾排放浓度较低，评价认为该措施可行。</w:t>
      </w:r>
    </w:p>
    <w:p w14:paraId="6B65105C" w14:textId="77777777" w:rsidR="003E78AB" w:rsidRDefault="00010BF9">
      <w:pPr>
        <w:pStyle w:val="5"/>
        <w:keepNext w:val="0"/>
        <w:keepLines w:val="0"/>
        <w:ind w:firstLine="482"/>
        <w:rPr>
          <w:sz w:val="24"/>
        </w:rPr>
      </w:pPr>
      <w:r>
        <w:rPr>
          <w:rFonts w:hint="eastAsia"/>
          <w:sz w:val="24"/>
        </w:rPr>
        <w:t>3.</w:t>
      </w:r>
      <w:r>
        <w:rPr>
          <w:sz w:val="24"/>
        </w:rPr>
        <w:t>锅炉烟气可行性分析</w:t>
      </w:r>
    </w:p>
    <w:p w14:paraId="1F319BB9" w14:textId="77777777" w:rsidR="003E78AB" w:rsidRDefault="00010BF9">
      <w:pPr>
        <w:ind w:firstLine="480"/>
      </w:pPr>
      <w:r>
        <w:t>本项目锅炉采用低氮燃烧技术</w:t>
      </w:r>
      <w:r>
        <w:t>+</w:t>
      </w:r>
      <w:r>
        <w:t>烟气再循环技术。其中，烟气再循环技术是通过将燃烧产出的烟气重新引入燃烧区域，实现对燃烧温度氧化物浓度的控制，降低峰值火焰的温度，从而实现降低氮氧化物的排放效果。</w:t>
      </w:r>
    </w:p>
    <w:p w14:paraId="4D2FDD40" w14:textId="77777777" w:rsidR="003E78AB" w:rsidRDefault="00010BF9">
      <w:pPr>
        <w:ind w:firstLine="480"/>
      </w:pPr>
      <w:r>
        <w:t>其减排机理可以用热力型</w:t>
      </w:r>
      <w:r>
        <w:t>NOx</w:t>
      </w:r>
      <w:r>
        <w:t>的生成机理来解释。在高温条件下，由空气中的氮经氧化而生成的</w:t>
      </w:r>
      <w:r>
        <w:t>NOx</w:t>
      </w:r>
      <w:r>
        <w:t>，称为热力型</w:t>
      </w:r>
      <w:r>
        <w:t>NOx</w:t>
      </w:r>
      <w:r>
        <w:t>。其形成的主要控制因素</w:t>
      </w:r>
      <w:r>
        <w:t>是温度，温度对</w:t>
      </w:r>
      <w:r>
        <w:t>NOx</w:t>
      </w:r>
      <w:r>
        <w:t>生成速率的影响呈指数关系。再循环的烟气降低了峰值火焰温度，可以减少热力型</w:t>
      </w:r>
      <w:r>
        <w:t>NOx</w:t>
      </w:r>
      <w:r>
        <w:t>的产生。</w:t>
      </w:r>
    </w:p>
    <w:p w14:paraId="4047C04F" w14:textId="77777777" w:rsidR="003E78AB" w:rsidRDefault="00010BF9">
      <w:pPr>
        <w:ind w:firstLine="480"/>
      </w:pPr>
      <w:r>
        <w:t>本项目采用的烟气再循环技术结构如图</w:t>
      </w:r>
      <w:r>
        <w:rPr>
          <w:rFonts w:hint="eastAsia"/>
        </w:rPr>
        <w:t>7</w:t>
      </w:r>
      <w:r>
        <w:t>-1</w:t>
      </w:r>
      <w:r>
        <w:t>所示。</w:t>
      </w:r>
    </w:p>
    <w:p w14:paraId="1BA96B4C" w14:textId="77777777" w:rsidR="003E78AB" w:rsidRDefault="00010BF9">
      <w:pPr>
        <w:spacing w:line="240" w:lineRule="atLeast"/>
        <w:ind w:firstLineChars="0" w:firstLine="0"/>
        <w:rPr>
          <w:kern w:val="2"/>
          <w:sz w:val="21"/>
        </w:rPr>
      </w:pPr>
      <w:r>
        <w:rPr>
          <w:noProof/>
          <w:kern w:val="2"/>
          <w:sz w:val="21"/>
        </w:rPr>
        <w:drawing>
          <wp:inline distT="0" distB="0" distL="114300" distR="114300">
            <wp:extent cx="5213985" cy="2729865"/>
            <wp:effectExtent l="0" t="0" r="5715" b="13335"/>
            <wp:docPr id="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pic:cNvPicPr>
                      <a:picLocks noChangeAspect="1"/>
                    </pic:cNvPicPr>
                  </pic:nvPicPr>
                  <pic:blipFill>
                    <a:blip r:embed="rId122"/>
                    <a:stretch>
                      <a:fillRect/>
                    </a:stretch>
                  </pic:blipFill>
                  <pic:spPr>
                    <a:xfrm>
                      <a:off x="0" y="0"/>
                      <a:ext cx="5213985" cy="2729865"/>
                    </a:xfrm>
                    <a:prstGeom prst="rect">
                      <a:avLst/>
                    </a:prstGeom>
                    <a:noFill/>
                    <a:ln>
                      <a:noFill/>
                    </a:ln>
                  </pic:spPr>
                </pic:pic>
              </a:graphicData>
            </a:graphic>
          </wp:inline>
        </w:drawing>
      </w:r>
    </w:p>
    <w:p w14:paraId="4D85F8DB" w14:textId="77777777" w:rsidR="003E78AB" w:rsidRDefault="00010BF9">
      <w:pPr>
        <w:spacing w:line="460" w:lineRule="exact"/>
        <w:ind w:firstLine="480"/>
        <w:jc w:val="center"/>
        <w:rPr>
          <w:rFonts w:eastAsia="黑体"/>
          <w:kern w:val="2"/>
        </w:rPr>
      </w:pPr>
      <w:r>
        <w:rPr>
          <w:rFonts w:eastAsia="黑体"/>
          <w:kern w:val="2"/>
        </w:rPr>
        <w:t>图</w:t>
      </w:r>
      <w:r>
        <w:rPr>
          <w:rFonts w:eastAsia="黑体"/>
          <w:kern w:val="2"/>
        </w:rPr>
        <w:t xml:space="preserve">7-1  </w:t>
      </w:r>
      <w:r>
        <w:rPr>
          <w:rFonts w:eastAsia="黑体"/>
          <w:kern w:val="2"/>
        </w:rPr>
        <w:t>烟气再循环技术结构图</w:t>
      </w:r>
    </w:p>
    <w:p w14:paraId="27A8D6E1" w14:textId="77777777" w:rsidR="003E78AB" w:rsidRDefault="00010BF9">
      <w:pPr>
        <w:ind w:firstLine="480"/>
      </w:pPr>
      <w:r>
        <w:t>依据《排污许可证申请与核发技术规范</w:t>
      </w:r>
      <w:r>
        <w:rPr>
          <w:rFonts w:hint="eastAsia"/>
        </w:rPr>
        <w:t xml:space="preserve"> </w:t>
      </w:r>
      <w:r>
        <w:t>锅炉》（</w:t>
      </w:r>
      <w:r>
        <w:t>HJ953-2018</w:t>
      </w:r>
      <w:r>
        <w:t>）及《工业锅炉污染防治可行技术指南》（</w:t>
      </w:r>
      <w:r>
        <w:t>HJ1178-2021</w:t>
      </w:r>
      <w:r>
        <w:t>）中关于锅炉烟气污染防治可行技术，本项目采取的烟气治理措施可行性分析见</w:t>
      </w:r>
      <w:r>
        <w:fldChar w:fldCharType="begin"/>
      </w:r>
      <w:r>
        <w:instrText xml:space="preserve"> REF _Ref10102 \r \h </w:instrText>
      </w:r>
      <w:r>
        <w:fldChar w:fldCharType="separate"/>
      </w:r>
      <w:r>
        <w:t>表</w:t>
      </w:r>
      <w:r>
        <w:t>7-5</w:t>
      </w:r>
      <w:r>
        <w:fldChar w:fldCharType="end"/>
      </w:r>
      <w:r>
        <w:t>。</w:t>
      </w:r>
    </w:p>
    <w:p w14:paraId="1348501B" w14:textId="77777777" w:rsidR="003E78AB" w:rsidRDefault="00010BF9">
      <w:pPr>
        <w:pStyle w:val="a6"/>
        <w:spacing w:before="120"/>
      </w:pPr>
      <w:bookmarkStart w:id="463" w:name="_Ref10102"/>
      <w:r>
        <w:t>项目锅炉烟气污染物防治可行性一览表</w:t>
      </w:r>
      <w:bookmarkEnd w:id="463"/>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77"/>
        <w:gridCol w:w="2954"/>
        <w:gridCol w:w="2195"/>
        <w:gridCol w:w="1170"/>
      </w:tblGrid>
      <w:tr w:rsidR="003E78AB" w14:paraId="74004EC7" w14:textId="77777777">
        <w:trPr>
          <w:trHeight w:val="340"/>
          <w:tblHeader/>
          <w:jc w:val="center"/>
        </w:trPr>
        <w:tc>
          <w:tcPr>
            <w:tcW w:w="1289" w:type="pct"/>
            <w:gridSpan w:val="2"/>
            <w:tcBorders>
              <w:tl2br w:val="nil"/>
              <w:tr2bl w:val="nil"/>
            </w:tcBorders>
            <w:vAlign w:val="center"/>
          </w:tcPr>
          <w:p w14:paraId="5835D188" w14:textId="77777777" w:rsidR="003E78AB" w:rsidRDefault="00010BF9">
            <w:pPr>
              <w:pStyle w:val="aff6"/>
              <w:topLinePunct/>
              <w:rPr>
                <w:b/>
                <w:bCs/>
              </w:rPr>
            </w:pPr>
            <w:r>
              <w:rPr>
                <w:b/>
                <w:bCs/>
              </w:rPr>
              <w:t>燃料类型</w:t>
            </w:r>
          </w:p>
        </w:tc>
        <w:tc>
          <w:tcPr>
            <w:tcW w:w="1735" w:type="pct"/>
            <w:tcBorders>
              <w:tl2br w:val="nil"/>
              <w:tr2bl w:val="nil"/>
            </w:tcBorders>
            <w:vAlign w:val="center"/>
          </w:tcPr>
          <w:p w14:paraId="23B43150" w14:textId="77777777" w:rsidR="003E78AB" w:rsidRDefault="00010BF9">
            <w:pPr>
              <w:pStyle w:val="aff6"/>
              <w:topLinePunct/>
              <w:rPr>
                <w:b/>
                <w:bCs/>
              </w:rPr>
            </w:pPr>
            <w:r>
              <w:rPr>
                <w:b/>
                <w:bCs/>
              </w:rPr>
              <w:t>HJ953-2018</w:t>
            </w:r>
            <w:r>
              <w:rPr>
                <w:b/>
                <w:bCs/>
              </w:rPr>
              <w:t>要求</w:t>
            </w:r>
          </w:p>
        </w:tc>
        <w:tc>
          <w:tcPr>
            <w:tcW w:w="1289" w:type="pct"/>
            <w:tcBorders>
              <w:tl2br w:val="nil"/>
              <w:tr2bl w:val="nil"/>
            </w:tcBorders>
            <w:vAlign w:val="center"/>
          </w:tcPr>
          <w:p w14:paraId="52D49AE9" w14:textId="77777777" w:rsidR="003E78AB" w:rsidRDefault="00010BF9">
            <w:pPr>
              <w:pStyle w:val="aff6"/>
              <w:topLinePunct/>
              <w:rPr>
                <w:b/>
                <w:bCs/>
              </w:rPr>
            </w:pPr>
            <w:r>
              <w:rPr>
                <w:b/>
                <w:bCs/>
              </w:rPr>
              <w:t>本项目锅炉烟气</w:t>
            </w:r>
          </w:p>
          <w:p w14:paraId="4147B61C" w14:textId="77777777" w:rsidR="003E78AB" w:rsidRDefault="00010BF9">
            <w:pPr>
              <w:pStyle w:val="aff6"/>
              <w:topLinePunct/>
              <w:rPr>
                <w:b/>
                <w:bCs/>
              </w:rPr>
            </w:pPr>
            <w:r>
              <w:rPr>
                <w:b/>
                <w:bCs/>
              </w:rPr>
              <w:t>治理措施</w:t>
            </w:r>
          </w:p>
        </w:tc>
        <w:tc>
          <w:tcPr>
            <w:tcW w:w="685" w:type="pct"/>
            <w:tcBorders>
              <w:tl2br w:val="nil"/>
              <w:tr2bl w:val="nil"/>
            </w:tcBorders>
            <w:vAlign w:val="center"/>
          </w:tcPr>
          <w:p w14:paraId="7722255D" w14:textId="77777777" w:rsidR="003E78AB" w:rsidRDefault="00010BF9">
            <w:pPr>
              <w:pStyle w:val="aff6"/>
              <w:topLinePunct/>
              <w:rPr>
                <w:b/>
                <w:bCs/>
              </w:rPr>
            </w:pPr>
            <w:r>
              <w:rPr>
                <w:b/>
                <w:bCs/>
              </w:rPr>
              <w:t>是否为可行技术</w:t>
            </w:r>
          </w:p>
        </w:tc>
      </w:tr>
      <w:tr w:rsidR="003E78AB" w14:paraId="7C205929" w14:textId="77777777">
        <w:trPr>
          <w:trHeight w:val="340"/>
          <w:jc w:val="center"/>
        </w:trPr>
        <w:tc>
          <w:tcPr>
            <w:tcW w:w="1289" w:type="pct"/>
            <w:gridSpan w:val="2"/>
            <w:tcBorders>
              <w:tl2br w:val="nil"/>
              <w:tr2bl w:val="nil"/>
            </w:tcBorders>
            <w:vAlign w:val="center"/>
          </w:tcPr>
          <w:p w14:paraId="4ADB1B02" w14:textId="77777777" w:rsidR="003E78AB" w:rsidRDefault="00010BF9">
            <w:pPr>
              <w:pStyle w:val="aff6"/>
              <w:topLinePunct/>
            </w:pPr>
            <w:r>
              <w:t>炉型</w:t>
            </w:r>
            <w:r>
              <w:t>/</w:t>
            </w:r>
            <w:r>
              <w:t>燃料</w:t>
            </w:r>
          </w:p>
        </w:tc>
        <w:tc>
          <w:tcPr>
            <w:tcW w:w="1735" w:type="pct"/>
            <w:tcBorders>
              <w:tl2br w:val="nil"/>
              <w:tr2bl w:val="nil"/>
            </w:tcBorders>
            <w:vAlign w:val="center"/>
          </w:tcPr>
          <w:p w14:paraId="52A7F929" w14:textId="77777777" w:rsidR="003E78AB" w:rsidRDefault="00010BF9">
            <w:pPr>
              <w:pStyle w:val="aff6"/>
              <w:topLinePunct/>
            </w:pPr>
            <w:r>
              <w:t>室燃炉</w:t>
            </w:r>
            <w:r>
              <w:t>/</w:t>
            </w:r>
            <w:r>
              <w:t>天然气</w:t>
            </w:r>
          </w:p>
        </w:tc>
        <w:tc>
          <w:tcPr>
            <w:tcW w:w="1289" w:type="pct"/>
            <w:tcBorders>
              <w:tl2br w:val="nil"/>
              <w:tr2bl w:val="nil"/>
            </w:tcBorders>
            <w:vAlign w:val="center"/>
          </w:tcPr>
          <w:p w14:paraId="110E8725" w14:textId="77777777" w:rsidR="003E78AB" w:rsidRDefault="00010BF9">
            <w:pPr>
              <w:pStyle w:val="aff6"/>
              <w:topLinePunct/>
            </w:pPr>
            <w:r>
              <w:t>室燃炉</w:t>
            </w:r>
            <w:r>
              <w:t>/</w:t>
            </w:r>
            <w:r>
              <w:t>天然气</w:t>
            </w:r>
          </w:p>
        </w:tc>
        <w:tc>
          <w:tcPr>
            <w:tcW w:w="685" w:type="pct"/>
            <w:tcBorders>
              <w:tl2br w:val="nil"/>
              <w:tr2bl w:val="nil"/>
            </w:tcBorders>
            <w:vAlign w:val="center"/>
          </w:tcPr>
          <w:p w14:paraId="75634378" w14:textId="77777777" w:rsidR="003E78AB" w:rsidRDefault="00010BF9">
            <w:pPr>
              <w:pStyle w:val="aff6"/>
              <w:topLinePunct/>
            </w:pPr>
            <w:r>
              <w:t>/</w:t>
            </w:r>
          </w:p>
        </w:tc>
      </w:tr>
      <w:tr w:rsidR="003E78AB" w14:paraId="2643F7DD" w14:textId="77777777">
        <w:trPr>
          <w:trHeight w:val="340"/>
          <w:jc w:val="center"/>
        </w:trPr>
        <w:tc>
          <w:tcPr>
            <w:tcW w:w="480" w:type="pct"/>
            <w:vMerge w:val="restart"/>
            <w:tcBorders>
              <w:tl2br w:val="nil"/>
              <w:tr2bl w:val="nil"/>
            </w:tcBorders>
            <w:vAlign w:val="center"/>
          </w:tcPr>
          <w:p w14:paraId="000982CB" w14:textId="77777777" w:rsidR="003E78AB" w:rsidRDefault="00010BF9">
            <w:pPr>
              <w:pStyle w:val="aff6"/>
              <w:topLinePunct/>
            </w:pPr>
            <w:r>
              <w:t>二氧</w:t>
            </w:r>
          </w:p>
          <w:p w14:paraId="07EB53D5" w14:textId="77777777" w:rsidR="003E78AB" w:rsidRDefault="00010BF9">
            <w:pPr>
              <w:pStyle w:val="aff6"/>
              <w:topLinePunct/>
            </w:pPr>
            <w:r>
              <w:t>化硫</w:t>
            </w:r>
          </w:p>
        </w:tc>
        <w:tc>
          <w:tcPr>
            <w:tcW w:w="808" w:type="pct"/>
            <w:tcBorders>
              <w:tl2br w:val="nil"/>
              <w:tr2bl w:val="nil"/>
            </w:tcBorders>
            <w:vAlign w:val="center"/>
          </w:tcPr>
          <w:p w14:paraId="69FBBAB1" w14:textId="77777777" w:rsidR="003E78AB" w:rsidRDefault="00010BF9">
            <w:pPr>
              <w:pStyle w:val="aff6"/>
              <w:topLinePunct/>
            </w:pPr>
            <w:r>
              <w:t>一般地区</w:t>
            </w:r>
          </w:p>
        </w:tc>
        <w:tc>
          <w:tcPr>
            <w:tcW w:w="1735" w:type="pct"/>
            <w:tcBorders>
              <w:tl2br w:val="nil"/>
              <w:tr2bl w:val="nil"/>
            </w:tcBorders>
            <w:vAlign w:val="center"/>
          </w:tcPr>
          <w:p w14:paraId="7935F527" w14:textId="77777777" w:rsidR="003E78AB" w:rsidRDefault="00010BF9">
            <w:pPr>
              <w:pStyle w:val="aff6"/>
              <w:topLinePunct/>
            </w:pPr>
            <w:r>
              <w:t>/</w:t>
            </w:r>
          </w:p>
        </w:tc>
        <w:tc>
          <w:tcPr>
            <w:tcW w:w="1289" w:type="pct"/>
            <w:tcBorders>
              <w:tl2br w:val="nil"/>
              <w:tr2bl w:val="nil"/>
            </w:tcBorders>
            <w:vAlign w:val="center"/>
          </w:tcPr>
          <w:p w14:paraId="260AD387" w14:textId="77777777" w:rsidR="003E78AB" w:rsidRDefault="00010BF9">
            <w:pPr>
              <w:pStyle w:val="aff6"/>
              <w:topLinePunct/>
            </w:pPr>
            <w:r>
              <w:t>/</w:t>
            </w:r>
          </w:p>
        </w:tc>
        <w:tc>
          <w:tcPr>
            <w:tcW w:w="685" w:type="pct"/>
            <w:tcBorders>
              <w:tl2br w:val="nil"/>
              <w:tr2bl w:val="nil"/>
            </w:tcBorders>
            <w:vAlign w:val="center"/>
          </w:tcPr>
          <w:p w14:paraId="0861AD5A" w14:textId="77777777" w:rsidR="003E78AB" w:rsidRDefault="00010BF9">
            <w:pPr>
              <w:pStyle w:val="aff6"/>
              <w:topLinePunct/>
            </w:pPr>
            <w:r>
              <w:t>/</w:t>
            </w:r>
          </w:p>
        </w:tc>
      </w:tr>
      <w:tr w:rsidR="003E78AB" w14:paraId="740E49DC" w14:textId="77777777">
        <w:trPr>
          <w:trHeight w:val="340"/>
          <w:jc w:val="center"/>
        </w:trPr>
        <w:tc>
          <w:tcPr>
            <w:tcW w:w="480" w:type="pct"/>
            <w:vMerge/>
            <w:tcBorders>
              <w:tl2br w:val="nil"/>
              <w:tr2bl w:val="nil"/>
            </w:tcBorders>
            <w:vAlign w:val="center"/>
          </w:tcPr>
          <w:p w14:paraId="1888AC89" w14:textId="77777777" w:rsidR="003E78AB" w:rsidRDefault="003E78AB">
            <w:pPr>
              <w:pStyle w:val="aff6"/>
              <w:topLinePunct/>
            </w:pPr>
          </w:p>
        </w:tc>
        <w:tc>
          <w:tcPr>
            <w:tcW w:w="808" w:type="pct"/>
            <w:tcBorders>
              <w:tl2br w:val="nil"/>
              <w:tr2bl w:val="nil"/>
            </w:tcBorders>
            <w:vAlign w:val="center"/>
          </w:tcPr>
          <w:p w14:paraId="4E4FAFAD" w14:textId="77777777" w:rsidR="003E78AB" w:rsidRDefault="00010BF9">
            <w:pPr>
              <w:pStyle w:val="aff6"/>
              <w:topLinePunct/>
            </w:pPr>
            <w:r>
              <w:t>重点地区</w:t>
            </w:r>
          </w:p>
        </w:tc>
        <w:tc>
          <w:tcPr>
            <w:tcW w:w="1735" w:type="pct"/>
            <w:tcBorders>
              <w:tl2br w:val="nil"/>
              <w:tr2bl w:val="nil"/>
            </w:tcBorders>
            <w:vAlign w:val="center"/>
          </w:tcPr>
          <w:p w14:paraId="62136A9E" w14:textId="77777777" w:rsidR="003E78AB" w:rsidRDefault="00010BF9">
            <w:pPr>
              <w:pStyle w:val="aff6"/>
              <w:topLinePunct/>
            </w:pPr>
            <w:r>
              <w:t>/</w:t>
            </w:r>
          </w:p>
        </w:tc>
        <w:tc>
          <w:tcPr>
            <w:tcW w:w="1289" w:type="pct"/>
            <w:tcBorders>
              <w:tl2br w:val="nil"/>
              <w:tr2bl w:val="nil"/>
            </w:tcBorders>
            <w:vAlign w:val="center"/>
          </w:tcPr>
          <w:p w14:paraId="1DEE2962" w14:textId="77777777" w:rsidR="003E78AB" w:rsidRDefault="00010BF9">
            <w:pPr>
              <w:pStyle w:val="aff6"/>
              <w:topLinePunct/>
            </w:pPr>
            <w:r>
              <w:t>/</w:t>
            </w:r>
          </w:p>
        </w:tc>
        <w:tc>
          <w:tcPr>
            <w:tcW w:w="685" w:type="pct"/>
            <w:tcBorders>
              <w:tl2br w:val="nil"/>
              <w:tr2bl w:val="nil"/>
            </w:tcBorders>
            <w:vAlign w:val="center"/>
          </w:tcPr>
          <w:p w14:paraId="54B6635A" w14:textId="77777777" w:rsidR="003E78AB" w:rsidRDefault="00010BF9">
            <w:pPr>
              <w:pStyle w:val="aff6"/>
              <w:topLinePunct/>
            </w:pPr>
            <w:r>
              <w:t>/</w:t>
            </w:r>
          </w:p>
        </w:tc>
      </w:tr>
      <w:tr w:rsidR="003E78AB" w14:paraId="0C0FDA4D" w14:textId="77777777">
        <w:trPr>
          <w:trHeight w:val="340"/>
          <w:jc w:val="center"/>
        </w:trPr>
        <w:tc>
          <w:tcPr>
            <w:tcW w:w="480" w:type="pct"/>
            <w:vMerge w:val="restart"/>
            <w:tcBorders>
              <w:tl2br w:val="nil"/>
              <w:tr2bl w:val="nil"/>
            </w:tcBorders>
            <w:vAlign w:val="center"/>
          </w:tcPr>
          <w:p w14:paraId="633478C7" w14:textId="77777777" w:rsidR="003E78AB" w:rsidRDefault="00010BF9">
            <w:pPr>
              <w:pStyle w:val="aff6"/>
              <w:topLinePunct/>
            </w:pPr>
            <w:r>
              <w:t>氮氧化物</w:t>
            </w:r>
          </w:p>
        </w:tc>
        <w:tc>
          <w:tcPr>
            <w:tcW w:w="808" w:type="pct"/>
            <w:tcBorders>
              <w:tl2br w:val="nil"/>
              <w:tr2bl w:val="nil"/>
            </w:tcBorders>
            <w:vAlign w:val="center"/>
          </w:tcPr>
          <w:p w14:paraId="6F0A4DDF" w14:textId="77777777" w:rsidR="003E78AB" w:rsidRDefault="00010BF9">
            <w:pPr>
              <w:pStyle w:val="aff6"/>
              <w:topLinePunct/>
            </w:pPr>
            <w:r>
              <w:t>一般地区</w:t>
            </w:r>
          </w:p>
        </w:tc>
        <w:tc>
          <w:tcPr>
            <w:tcW w:w="1735" w:type="pct"/>
            <w:tcBorders>
              <w:tl2br w:val="nil"/>
              <w:tr2bl w:val="nil"/>
            </w:tcBorders>
            <w:vAlign w:val="center"/>
          </w:tcPr>
          <w:p w14:paraId="795A4D35" w14:textId="77777777" w:rsidR="003E78AB" w:rsidRDefault="00010BF9">
            <w:pPr>
              <w:pStyle w:val="aff6"/>
              <w:topLinePunct/>
            </w:pPr>
            <w:r>
              <w:t>低氮燃烧技术、低氮燃烧</w:t>
            </w:r>
            <w:r>
              <w:t>+SCR</w:t>
            </w:r>
            <w:r>
              <w:t>脱硝技术</w:t>
            </w:r>
          </w:p>
        </w:tc>
        <w:tc>
          <w:tcPr>
            <w:tcW w:w="1289" w:type="pct"/>
            <w:tcBorders>
              <w:tl2br w:val="nil"/>
              <w:tr2bl w:val="nil"/>
            </w:tcBorders>
            <w:vAlign w:val="center"/>
          </w:tcPr>
          <w:p w14:paraId="1850EB5C" w14:textId="77777777" w:rsidR="003E78AB" w:rsidRDefault="00010BF9">
            <w:pPr>
              <w:pStyle w:val="aff6"/>
              <w:topLinePunct/>
            </w:pPr>
            <w:r>
              <w:t>低氮燃烧技术</w:t>
            </w:r>
            <w:r>
              <w:t>+</w:t>
            </w:r>
            <w:r>
              <w:t>烟气再循环技术</w:t>
            </w:r>
          </w:p>
        </w:tc>
        <w:tc>
          <w:tcPr>
            <w:tcW w:w="685" w:type="pct"/>
            <w:tcBorders>
              <w:tl2br w:val="nil"/>
              <w:tr2bl w:val="nil"/>
            </w:tcBorders>
            <w:vAlign w:val="center"/>
          </w:tcPr>
          <w:p w14:paraId="7361DAB2" w14:textId="77777777" w:rsidR="003E78AB" w:rsidRDefault="00010BF9">
            <w:pPr>
              <w:pStyle w:val="aff6"/>
              <w:topLinePunct/>
            </w:pPr>
            <w:r>
              <w:t>是</w:t>
            </w:r>
          </w:p>
        </w:tc>
      </w:tr>
      <w:tr w:rsidR="003E78AB" w14:paraId="2CA4E851" w14:textId="77777777">
        <w:trPr>
          <w:trHeight w:val="340"/>
          <w:jc w:val="center"/>
        </w:trPr>
        <w:tc>
          <w:tcPr>
            <w:tcW w:w="480" w:type="pct"/>
            <w:vMerge/>
            <w:tcBorders>
              <w:tl2br w:val="nil"/>
              <w:tr2bl w:val="nil"/>
            </w:tcBorders>
            <w:vAlign w:val="center"/>
          </w:tcPr>
          <w:p w14:paraId="5736645C" w14:textId="77777777" w:rsidR="003E78AB" w:rsidRDefault="003E78AB">
            <w:pPr>
              <w:pStyle w:val="aff6"/>
              <w:topLinePunct/>
            </w:pPr>
          </w:p>
        </w:tc>
        <w:tc>
          <w:tcPr>
            <w:tcW w:w="808" w:type="pct"/>
            <w:tcBorders>
              <w:tl2br w:val="nil"/>
              <w:tr2bl w:val="nil"/>
            </w:tcBorders>
            <w:vAlign w:val="center"/>
          </w:tcPr>
          <w:p w14:paraId="5CB4F397" w14:textId="77777777" w:rsidR="003E78AB" w:rsidRDefault="00010BF9">
            <w:pPr>
              <w:pStyle w:val="aff6"/>
              <w:topLinePunct/>
            </w:pPr>
            <w:r>
              <w:t>重点地区</w:t>
            </w:r>
          </w:p>
        </w:tc>
        <w:tc>
          <w:tcPr>
            <w:tcW w:w="1735" w:type="pct"/>
            <w:tcBorders>
              <w:tl2br w:val="nil"/>
              <w:tr2bl w:val="nil"/>
            </w:tcBorders>
            <w:vAlign w:val="center"/>
          </w:tcPr>
          <w:p w14:paraId="24F1BD5A" w14:textId="77777777" w:rsidR="003E78AB" w:rsidRDefault="00010BF9">
            <w:pPr>
              <w:pStyle w:val="aff6"/>
              <w:topLinePunct/>
            </w:pPr>
            <w:r>
              <w:t>低氮燃烧技术、低氮燃烧</w:t>
            </w:r>
            <w:r>
              <w:t>+SCR</w:t>
            </w:r>
            <w:r>
              <w:t>脱硝技术</w:t>
            </w:r>
          </w:p>
        </w:tc>
        <w:tc>
          <w:tcPr>
            <w:tcW w:w="1289" w:type="pct"/>
            <w:tcBorders>
              <w:tl2br w:val="nil"/>
              <w:tr2bl w:val="nil"/>
            </w:tcBorders>
            <w:vAlign w:val="center"/>
          </w:tcPr>
          <w:p w14:paraId="68F9E2D6" w14:textId="77777777" w:rsidR="003E78AB" w:rsidRDefault="00010BF9">
            <w:pPr>
              <w:pStyle w:val="aff6"/>
              <w:topLinePunct/>
            </w:pPr>
            <w:r>
              <w:t>/</w:t>
            </w:r>
          </w:p>
        </w:tc>
        <w:tc>
          <w:tcPr>
            <w:tcW w:w="685" w:type="pct"/>
            <w:tcBorders>
              <w:tl2br w:val="nil"/>
              <w:tr2bl w:val="nil"/>
            </w:tcBorders>
            <w:vAlign w:val="center"/>
          </w:tcPr>
          <w:p w14:paraId="55800DF9" w14:textId="77777777" w:rsidR="003E78AB" w:rsidRDefault="00010BF9">
            <w:pPr>
              <w:pStyle w:val="aff6"/>
              <w:topLinePunct/>
            </w:pPr>
            <w:r>
              <w:t>/</w:t>
            </w:r>
          </w:p>
        </w:tc>
      </w:tr>
      <w:tr w:rsidR="003E78AB" w14:paraId="5D854504" w14:textId="77777777">
        <w:trPr>
          <w:trHeight w:val="346"/>
          <w:jc w:val="center"/>
        </w:trPr>
        <w:tc>
          <w:tcPr>
            <w:tcW w:w="480" w:type="pct"/>
            <w:vMerge w:val="restart"/>
            <w:tcBorders>
              <w:tl2br w:val="nil"/>
              <w:tr2bl w:val="nil"/>
            </w:tcBorders>
            <w:vAlign w:val="center"/>
          </w:tcPr>
          <w:p w14:paraId="4D71439E" w14:textId="77777777" w:rsidR="003E78AB" w:rsidRDefault="00010BF9">
            <w:pPr>
              <w:pStyle w:val="aff6"/>
              <w:topLinePunct/>
            </w:pPr>
            <w:r>
              <w:t>颗粒物</w:t>
            </w:r>
          </w:p>
        </w:tc>
        <w:tc>
          <w:tcPr>
            <w:tcW w:w="808" w:type="pct"/>
            <w:tcBorders>
              <w:tl2br w:val="nil"/>
              <w:tr2bl w:val="nil"/>
            </w:tcBorders>
            <w:vAlign w:val="center"/>
          </w:tcPr>
          <w:p w14:paraId="0D3BD639" w14:textId="77777777" w:rsidR="003E78AB" w:rsidRDefault="00010BF9">
            <w:pPr>
              <w:pStyle w:val="aff6"/>
              <w:topLinePunct/>
            </w:pPr>
            <w:r>
              <w:t>一般地区</w:t>
            </w:r>
          </w:p>
        </w:tc>
        <w:tc>
          <w:tcPr>
            <w:tcW w:w="1735" w:type="pct"/>
            <w:tcBorders>
              <w:tl2br w:val="nil"/>
              <w:tr2bl w:val="nil"/>
            </w:tcBorders>
            <w:vAlign w:val="center"/>
          </w:tcPr>
          <w:p w14:paraId="4B9609AB" w14:textId="77777777" w:rsidR="003E78AB" w:rsidRDefault="00010BF9">
            <w:pPr>
              <w:pStyle w:val="aff6"/>
              <w:topLinePunct/>
            </w:pPr>
            <w:r>
              <w:t>/</w:t>
            </w:r>
          </w:p>
        </w:tc>
        <w:tc>
          <w:tcPr>
            <w:tcW w:w="1289" w:type="pct"/>
            <w:tcBorders>
              <w:tl2br w:val="nil"/>
              <w:tr2bl w:val="nil"/>
            </w:tcBorders>
            <w:vAlign w:val="center"/>
          </w:tcPr>
          <w:p w14:paraId="55FDD177" w14:textId="77777777" w:rsidR="003E78AB" w:rsidRDefault="00010BF9">
            <w:pPr>
              <w:pStyle w:val="aff6"/>
              <w:topLinePunct/>
            </w:pPr>
            <w:r>
              <w:t>/</w:t>
            </w:r>
          </w:p>
        </w:tc>
        <w:tc>
          <w:tcPr>
            <w:tcW w:w="685" w:type="pct"/>
            <w:tcBorders>
              <w:tl2br w:val="nil"/>
              <w:tr2bl w:val="nil"/>
            </w:tcBorders>
            <w:vAlign w:val="center"/>
          </w:tcPr>
          <w:p w14:paraId="0559B519" w14:textId="77777777" w:rsidR="003E78AB" w:rsidRDefault="00010BF9">
            <w:pPr>
              <w:pStyle w:val="aff6"/>
              <w:topLinePunct/>
            </w:pPr>
            <w:r>
              <w:t>/</w:t>
            </w:r>
          </w:p>
        </w:tc>
      </w:tr>
      <w:tr w:rsidR="003E78AB" w14:paraId="4AE72533" w14:textId="77777777">
        <w:trPr>
          <w:trHeight w:val="340"/>
          <w:jc w:val="center"/>
        </w:trPr>
        <w:tc>
          <w:tcPr>
            <w:tcW w:w="480" w:type="pct"/>
            <w:vMerge/>
            <w:tcBorders>
              <w:tl2br w:val="nil"/>
              <w:tr2bl w:val="nil"/>
            </w:tcBorders>
            <w:vAlign w:val="center"/>
          </w:tcPr>
          <w:p w14:paraId="5CB5887D" w14:textId="77777777" w:rsidR="003E78AB" w:rsidRDefault="003E78AB">
            <w:pPr>
              <w:pStyle w:val="aff6"/>
              <w:topLinePunct/>
            </w:pPr>
          </w:p>
        </w:tc>
        <w:tc>
          <w:tcPr>
            <w:tcW w:w="808" w:type="pct"/>
            <w:tcBorders>
              <w:tl2br w:val="nil"/>
              <w:tr2bl w:val="nil"/>
            </w:tcBorders>
            <w:vAlign w:val="center"/>
          </w:tcPr>
          <w:p w14:paraId="3B41FBAD" w14:textId="77777777" w:rsidR="003E78AB" w:rsidRDefault="00010BF9">
            <w:pPr>
              <w:pStyle w:val="aff6"/>
              <w:topLinePunct/>
            </w:pPr>
            <w:r>
              <w:t>重点地区</w:t>
            </w:r>
          </w:p>
        </w:tc>
        <w:tc>
          <w:tcPr>
            <w:tcW w:w="1735" w:type="pct"/>
            <w:tcBorders>
              <w:tl2br w:val="nil"/>
              <w:tr2bl w:val="nil"/>
            </w:tcBorders>
            <w:vAlign w:val="center"/>
          </w:tcPr>
          <w:p w14:paraId="6D60F4A3" w14:textId="77777777" w:rsidR="003E78AB" w:rsidRDefault="00010BF9">
            <w:pPr>
              <w:pStyle w:val="aff6"/>
              <w:topLinePunct/>
            </w:pPr>
            <w:r>
              <w:t>/</w:t>
            </w:r>
          </w:p>
        </w:tc>
        <w:tc>
          <w:tcPr>
            <w:tcW w:w="1289" w:type="pct"/>
            <w:tcBorders>
              <w:tl2br w:val="nil"/>
              <w:tr2bl w:val="nil"/>
            </w:tcBorders>
            <w:vAlign w:val="center"/>
          </w:tcPr>
          <w:p w14:paraId="3B95F46C" w14:textId="77777777" w:rsidR="003E78AB" w:rsidRDefault="00010BF9">
            <w:pPr>
              <w:pStyle w:val="aff6"/>
              <w:topLinePunct/>
            </w:pPr>
            <w:r>
              <w:t>/</w:t>
            </w:r>
          </w:p>
        </w:tc>
        <w:tc>
          <w:tcPr>
            <w:tcW w:w="685" w:type="pct"/>
            <w:tcBorders>
              <w:tl2br w:val="nil"/>
              <w:tr2bl w:val="nil"/>
            </w:tcBorders>
            <w:vAlign w:val="center"/>
          </w:tcPr>
          <w:p w14:paraId="02CE9999" w14:textId="77777777" w:rsidR="003E78AB" w:rsidRDefault="00010BF9">
            <w:pPr>
              <w:pStyle w:val="aff6"/>
              <w:topLinePunct/>
            </w:pPr>
            <w:r>
              <w:t>/</w:t>
            </w:r>
          </w:p>
        </w:tc>
      </w:tr>
      <w:tr w:rsidR="003E78AB" w14:paraId="0C951742" w14:textId="77777777">
        <w:trPr>
          <w:trHeight w:val="340"/>
          <w:jc w:val="center"/>
        </w:trPr>
        <w:tc>
          <w:tcPr>
            <w:tcW w:w="5000" w:type="pct"/>
            <w:gridSpan w:val="5"/>
            <w:tcBorders>
              <w:tl2br w:val="nil"/>
              <w:tr2bl w:val="nil"/>
            </w:tcBorders>
            <w:vAlign w:val="center"/>
          </w:tcPr>
          <w:p w14:paraId="208AEC39" w14:textId="77777777" w:rsidR="003E78AB" w:rsidRDefault="00010BF9">
            <w:pPr>
              <w:pStyle w:val="aff6"/>
              <w:topLinePunct/>
            </w:pPr>
            <w:r>
              <w:t>HJ1178-2021</w:t>
            </w:r>
            <w:r>
              <w:t>要求</w:t>
            </w:r>
          </w:p>
        </w:tc>
      </w:tr>
      <w:tr w:rsidR="003E78AB" w14:paraId="20F17E38" w14:textId="77777777">
        <w:trPr>
          <w:trHeight w:val="340"/>
          <w:jc w:val="center"/>
        </w:trPr>
        <w:tc>
          <w:tcPr>
            <w:tcW w:w="1289" w:type="pct"/>
            <w:gridSpan w:val="2"/>
            <w:tcBorders>
              <w:tl2br w:val="nil"/>
              <w:tr2bl w:val="nil"/>
            </w:tcBorders>
            <w:vAlign w:val="center"/>
          </w:tcPr>
          <w:p w14:paraId="4EA9FC91" w14:textId="77777777" w:rsidR="003E78AB" w:rsidRDefault="00010BF9">
            <w:pPr>
              <w:pStyle w:val="aff6"/>
              <w:topLinePunct/>
            </w:pPr>
            <w:r>
              <w:t>天然气</w:t>
            </w:r>
          </w:p>
        </w:tc>
        <w:tc>
          <w:tcPr>
            <w:tcW w:w="1735" w:type="pct"/>
            <w:tcBorders>
              <w:tl2br w:val="nil"/>
              <w:tr2bl w:val="nil"/>
            </w:tcBorders>
            <w:vAlign w:val="center"/>
          </w:tcPr>
          <w:p w14:paraId="6A4B2C5A" w14:textId="77777777" w:rsidR="003E78AB" w:rsidRDefault="00010BF9">
            <w:pPr>
              <w:pStyle w:val="aff6"/>
              <w:topLinePunct/>
            </w:pPr>
            <w:r>
              <w:t>可行技术</w:t>
            </w:r>
            <w:r>
              <w:t>13①</w:t>
            </w:r>
            <w:r>
              <w:t>扩散式燃烧器</w:t>
            </w:r>
            <w:r>
              <w:t>+②</w:t>
            </w:r>
            <w:r>
              <w:t>烟气再循环适用于</w:t>
            </w:r>
            <w:r>
              <w:t>1.4MW</w:t>
            </w:r>
            <w:r>
              <w:t>及以上天然气锅炉</w:t>
            </w:r>
          </w:p>
        </w:tc>
        <w:tc>
          <w:tcPr>
            <w:tcW w:w="1289" w:type="pct"/>
            <w:tcBorders>
              <w:tl2br w:val="nil"/>
              <w:tr2bl w:val="nil"/>
            </w:tcBorders>
            <w:vAlign w:val="center"/>
          </w:tcPr>
          <w:p w14:paraId="60F16531" w14:textId="77777777" w:rsidR="003E78AB" w:rsidRDefault="00010BF9">
            <w:pPr>
              <w:pStyle w:val="aff6"/>
              <w:topLinePunct/>
            </w:pPr>
            <w:r>
              <w:t>本项目新增</w:t>
            </w:r>
            <w:r>
              <w:rPr>
                <w:rFonts w:hint="eastAsia"/>
              </w:rPr>
              <w:t>2</w:t>
            </w:r>
            <w:r>
              <w:rPr>
                <w:rFonts w:hint="eastAsia"/>
              </w:rPr>
              <w:t>台</w:t>
            </w:r>
            <w:r>
              <w:t>锅炉功率</w:t>
            </w:r>
            <w:r>
              <w:rPr>
                <w:rFonts w:hint="eastAsia"/>
              </w:rPr>
              <w:t>3</w:t>
            </w:r>
            <w:r>
              <w:t>t/h</w:t>
            </w:r>
            <w:r>
              <w:t>满足使用要求，采用低氮燃烧技术</w:t>
            </w:r>
            <w:r>
              <w:t>+</w:t>
            </w:r>
            <w:r>
              <w:t>烟气再循环技术</w:t>
            </w:r>
          </w:p>
        </w:tc>
        <w:tc>
          <w:tcPr>
            <w:tcW w:w="685" w:type="pct"/>
            <w:tcBorders>
              <w:tl2br w:val="nil"/>
              <w:tr2bl w:val="nil"/>
            </w:tcBorders>
            <w:vAlign w:val="center"/>
          </w:tcPr>
          <w:p w14:paraId="27C3E33E" w14:textId="77777777" w:rsidR="003E78AB" w:rsidRDefault="00010BF9">
            <w:pPr>
              <w:pStyle w:val="aff6"/>
              <w:topLinePunct/>
            </w:pPr>
            <w:r>
              <w:t>是</w:t>
            </w:r>
          </w:p>
        </w:tc>
      </w:tr>
    </w:tbl>
    <w:p w14:paraId="6B83E2C3" w14:textId="77777777" w:rsidR="003E78AB" w:rsidRDefault="00010BF9">
      <w:pPr>
        <w:ind w:firstLine="480"/>
      </w:pPr>
      <w:r>
        <w:t>由上表对比分析可知，本项目燃气锅炉采用了低氮燃烧</w:t>
      </w:r>
      <w:r>
        <w:t>+</w:t>
      </w:r>
      <w:r>
        <w:t>烟气再循环技术，其中烟气再循环技术是通过将燃烧产出的烟气重新引入燃烧区域，实现对燃烧温度氧化物浓度的控制，从而实现降低氮氧化物的排放的目的，该组合技术为《排污许可证申请与核发技术规范</w:t>
      </w:r>
      <w:r>
        <w:rPr>
          <w:rFonts w:hint="eastAsia"/>
        </w:rPr>
        <w:t xml:space="preserve"> </w:t>
      </w:r>
      <w:r>
        <w:t>锅炉》（</w:t>
      </w:r>
      <w:r>
        <w:t>HJ953-2018</w:t>
      </w:r>
      <w:r>
        <w:t>）及《工业锅炉污染防治可行技术指南》（</w:t>
      </w:r>
      <w:r>
        <w:t>HJ1178-2021</w:t>
      </w:r>
      <w:r>
        <w:t>）中推荐的可行技术，故锅炉烟气治理措施可行。</w:t>
      </w:r>
    </w:p>
    <w:p w14:paraId="3D9F4A6D"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.1.2</w:t>
      </w:r>
      <w:r>
        <w:rPr>
          <w:rFonts w:ascii="Times New Roman" w:hAnsi="Times New Roman"/>
        </w:rPr>
        <w:t>无组织废气治理措施可行性</w:t>
      </w:r>
    </w:p>
    <w:p w14:paraId="22F70D8B" w14:textId="77777777" w:rsidR="003E78AB" w:rsidRDefault="00010BF9">
      <w:pPr>
        <w:ind w:firstLine="480"/>
        <w:rPr>
          <w:kern w:val="2"/>
        </w:rPr>
      </w:pPr>
      <w:r>
        <w:rPr>
          <w:kern w:val="2"/>
        </w:rPr>
        <w:t>本项目无组织排放废气主要来源于投料环节颗粒物、硫酸雾、硫酸储罐以及车间跑冒滴漏等，从以下方面减少无组织排放。</w:t>
      </w:r>
    </w:p>
    <w:p w14:paraId="7ACF4E15" w14:textId="77777777" w:rsidR="003E78AB" w:rsidRDefault="00010BF9">
      <w:pPr>
        <w:ind w:firstLine="480"/>
        <w:rPr>
          <w:kern w:val="2"/>
        </w:rPr>
      </w:pPr>
      <w:r>
        <w:rPr>
          <w:rFonts w:hint="eastAsia"/>
          <w:kern w:val="2"/>
        </w:rPr>
        <w:t>（</w:t>
      </w:r>
      <w:r>
        <w:rPr>
          <w:rFonts w:hint="eastAsia"/>
          <w:kern w:val="2"/>
        </w:rPr>
        <w:t>1</w:t>
      </w:r>
      <w:r>
        <w:rPr>
          <w:rFonts w:hint="eastAsia"/>
          <w:kern w:val="2"/>
        </w:rPr>
        <w:t>）</w:t>
      </w:r>
      <w:r>
        <w:rPr>
          <w:kern w:val="2"/>
        </w:rPr>
        <w:t>厂房车间合理设计，生产车间应尽量密闭；主要生产设备正常生产情况下均为密闭状态，投料等其他工况时开口不宜过大，减少曝空面积。</w:t>
      </w:r>
    </w:p>
    <w:p w14:paraId="7DF36B7E" w14:textId="77777777" w:rsidR="003E78AB" w:rsidRDefault="00010BF9">
      <w:pPr>
        <w:ind w:firstLine="480"/>
        <w:rPr>
          <w:kern w:val="2"/>
        </w:rPr>
      </w:pPr>
      <w:r>
        <w:rPr>
          <w:rFonts w:hint="eastAsia"/>
          <w:kern w:val="2"/>
        </w:rPr>
        <w:t>（</w:t>
      </w:r>
      <w:r>
        <w:rPr>
          <w:rFonts w:hint="eastAsia"/>
          <w:kern w:val="2"/>
        </w:rPr>
        <w:t>2</w:t>
      </w:r>
      <w:r>
        <w:rPr>
          <w:rFonts w:hint="eastAsia"/>
          <w:kern w:val="2"/>
        </w:rPr>
        <w:t>）</w:t>
      </w:r>
      <w:r>
        <w:rPr>
          <w:kern w:val="2"/>
        </w:rPr>
        <w:t>设备起停、检修，载有物料的设备、管道在开停工</w:t>
      </w:r>
      <w:r>
        <w:rPr>
          <w:kern w:val="2"/>
        </w:rPr>
        <w:t>(</w:t>
      </w:r>
      <w:r>
        <w:rPr>
          <w:kern w:val="2"/>
        </w:rPr>
        <w:t>车</w:t>
      </w:r>
      <w:r>
        <w:rPr>
          <w:kern w:val="2"/>
        </w:rPr>
        <w:t>)</w:t>
      </w:r>
      <w:r>
        <w:rPr>
          <w:kern w:val="2"/>
        </w:rPr>
        <w:t>、检修时，应在退料阶段尽量将残存物料退净，用密闭容器盛接，并回收利用。</w:t>
      </w:r>
    </w:p>
    <w:p w14:paraId="7E6FC851" w14:textId="77777777" w:rsidR="003E78AB" w:rsidRDefault="00010BF9">
      <w:pPr>
        <w:ind w:firstLine="480"/>
        <w:rPr>
          <w:kern w:val="2"/>
        </w:rPr>
      </w:pPr>
      <w:r>
        <w:rPr>
          <w:rFonts w:hint="eastAsia"/>
          <w:kern w:val="2"/>
        </w:rPr>
        <w:t>（</w:t>
      </w:r>
      <w:r>
        <w:rPr>
          <w:rFonts w:hint="eastAsia"/>
          <w:kern w:val="2"/>
        </w:rPr>
        <w:t>3</w:t>
      </w:r>
      <w:r>
        <w:rPr>
          <w:rFonts w:hint="eastAsia"/>
          <w:kern w:val="2"/>
        </w:rPr>
        <w:t>）</w:t>
      </w:r>
      <w:r>
        <w:rPr>
          <w:kern w:val="2"/>
        </w:rPr>
        <w:t>所有液体物料均采用管道、液泵</w:t>
      </w:r>
      <w:r>
        <w:rPr>
          <w:rFonts w:hint="eastAsia"/>
          <w:kern w:val="2"/>
        </w:rPr>
        <w:t>（</w:t>
      </w:r>
      <w:r>
        <w:rPr>
          <w:kern w:val="2"/>
        </w:rPr>
        <w:t>配计量装置</w:t>
      </w:r>
      <w:r>
        <w:rPr>
          <w:rFonts w:hint="eastAsia"/>
          <w:kern w:val="2"/>
        </w:rPr>
        <w:t>）</w:t>
      </w:r>
      <w:r>
        <w:rPr>
          <w:kern w:val="2"/>
        </w:rPr>
        <w:t>输送，减少加料、出料等操作工序的物料损失，可有效减少废气逸散；采用密闭工艺，密封加料，减少生产过程中物质的无组织排放。</w:t>
      </w:r>
    </w:p>
    <w:p w14:paraId="2164BBE5" w14:textId="77777777" w:rsidR="003E78AB" w:rsidRDefault="00010BF9">
      <w:pPr>
        <w:ind w:firstLine="480"/>
        <w:rPr>
          <w:kern w:val="2"/>
        </w:rPr>
      </w:pPr>
      <w:r>
        <w:rPr>
          <w:rFonts w:hint="eastAsia"/>
          <w:kern w:val="2"/>
        </w:rPr>
        <w:t>（</w:t>
      </w:r>
      <w:r>
        <w:rPr>
          <w:rFonts w:hint="eastAsia"/>
          <w:kern w:val="2"/>
        </w:rPr>
        <w:t>4</w:t>
      </w:r>
      <w:r>
        <w:rPr>
          <w:rFonts w:hint="eastAsia"/>
          <w:kern w:val="2"/>
        </w:rPr>
        <w:t>）</w:t>
      </w:r>
      <w:r>
        <w:rPr>
          <w:kern w:val="2"/>
        </w:rPr>
        <w:t>严格控制反应条件，使反应平稳进行，对反应釜温度的控制采用自动控制</w:t>
      </w:r>
      <w:r>
        <w:rPr>
          <w:rFonts w:hint="eastAsia"/>
          <w:kern w:val="2"/>
        </w:rPr>
        <w:t>（</w:t>
      </w:r>
      <w:r>
        <w:rPr>
          <w:kern w:val="2"/>
        </w:rPr>
        <w:t>如采用温度自调或压力自调</w:t>
      </w:r>
      <w:r>
        <w:rPr>
          <w:rFonts w:hint="eastAsia"/>
          <w:kern w:val="2"/>
        </w:rPr>
        <w:t>）</w:t>
      </w:r>
      <w:r>
        <w:rPr>
          <w:kern w:val="2"/>
        </w:rPr>
        <w:t>。</w:t>
      </w:r>
    </w:p>
    <w:p w14:paraId="30890C65" w14:textId="77777777" w:rsidR="003E78AB" w:rsidRDefault="00010BF9">
      <w:pPr>
        <w:ind w:firstLine="480"/>
        <w:rPr>
          <w:kern w:val="2"/>
        </w:rPr>
      </w:pPr>
      <w:r>
        <w:rPr>
          <w:rFonts w:hint="eastAsia"/>
          <w:kern w:val="2"/>
        </w:rPr>
        <w:t>（</w:t>
      </w:r>
      <w:r>
        <w:rPr>
          <w:rFonts w:hint="eastAsia"/>
          <w:kern w:val="2"/>
        </w:rPr>
        <w:t>5</w:t>
      </w:r>
      <w:r>
        <w:rPr>
          <w:rFonts w:hint="eastAsia"/>
          <w:kern w:val="2"/>
        </w:rPr>
        <w:t>）</w:t>
      </w:r>
      <w:r>
        <w:rPr>
          <w:kern w:val="2"/>
        </w:rPr>
        <w:t>加强设备的维护，减少装置的跑、冒、滴、漏，从而减少废气的无组织排放量；对输送管道定期检修，加强管道接口处的密封工作</w:t>
      </w:r>
      <w:r>
        <w:rPr>
          <w:kern w:val="2"/>
        </w:rPr>
        <w:t>。</w:t>
      </w:r>
    </w:p>
    <w:p w14:paraId="14AD4E1E" w14:textId="77777777" w:rsidR="003E78AB" w:rsidRDefault="00010BF9">
      <w:pPr>
        <w:ind w:firstLine="480"/>
        <w:rPr>
          <w:kern w:val="2"/>
        </w:rPr>
      </w:pPr>
      <w:r>
        <w:rPr>
          <w:rFonts w:hint="eastAsia"/>
          <w:kern w:val="2"/>
        </w:rPr>
        <w:t>（</w:t>
      </w:r>
      <w:r>
        <w:rPr>
          <w:rFonts w:hint="eastAsia"/>
          <w:kern w:val="2"/>
        </w:rPr>
        <w:t>6</w:t>
      </w:r>
      <w:r>
        <w:rPr>
          <w:rFonts w:hint="eastAsia"/>
          <w:kern w:val="2"/>
        </w:rPr>
        <w:t>）</w:t>
      </w:r>
      <w:r>
        <w:rPr>
          <w:kern w:val="2"/>
        </w:rPr>
        <w:t>加强人员培训，增强事故防范意识，生产车间做好封闭工作，尤其是生产期间关闭车间门窗。</w:t>
      </w:r>
    </w:p>
    <w:p w14:paraId="579A9D0E" w14:textId="77777777" w:rsidR="003E78AB" w:rsidRDefault="00010BF9">
      <w:pPr>
        <w:ind w:firstLine="480"/>
        <w:rPr>
          <w:kern w:val="2"/>
        </w:rPr>
      </w:pPr>
      <w:r>
        <w:rPr>
          <w:rFonts w:hint="eastAsia"/>
          <w:kern w:val="2"/>
        </w:rPr>
        <w:t>（</w:t>
      </w:r>
      <w:r>
        <w:rPr>
          <w:rFonts w:hint="eastAsia"/>
          <w:kern w:val="2"/>
        </w:rPr>
        <w:t>7</w:t>
      </w:r>
      <w:r>
        <w:rPr>
          <w:rFonts w:hint="eastAsia"/>
          <w:kern w:val="2"/>
        </w:rPr>
        <w:t>）</w:t>
      </w:r>
      <w:r>
        <w:rPr>
          <w:kern w:val="2"/>
        </w:rPr>
        <w:t>对储罐区物料储存和进料过程产生废气的大、小呼吸无组织排放，拟采取喷淋降温措施，以减少废气排放量。</w:t>
      </w:r>
    </w:p>
    <w:p w14:paraId="6187F8DA" w14:textId="77777777" w:rsidR="003E78AB" w:rsidRDefault="00010BF9">
      <w:pPr>
        <w:ind w:firstLine="480"/>
        <w:rPr>
          <w:kern w:val="2"/>
        </w:rPr>
      </w:pPr>
      <w:r>
        <w:rPr>
          <w:rFonts w:hint="eastAsia"/>
          <w:kern w:val="2"/>
        </w:rPr>
        <w:t>（</w:t>
      </w:r>
      <w:r>
        <w:rPr>
          <w:rFonts w:hint="eastAsia"/>
          <w:kern w:val="2"/>
        </w:rPr>
        <w:t>8</w:t>
      </w:r>
      <w:r>
        <w:rPr>
          <w:rFonts w:hint="eastAsia"/>
          <w:kern w:val="2"/>
        </w:rPr>
        <w:t>）</w:t>
      </w:r>
      <w:r>
        <w:rPr>
          <w:kern w:val="2"/>
        </w:rPr>
        <w:t>在厂区原料仓库、生产车间</w:t>
      </w:r>
      <w:r>
        <w:rPr>
          <w:rFonts w:hint="eastAsia"/>
          <w:kern w:val="2"/>
        </w:rPr>
        <w:t>、液体库</w:t>
      </w:r>
      <w:r>
        <w:rPr>
          <w:kern w:val="2"/>
        </w:rPr>
        <w:t>等周围进行植被绿化，控制无组织废气对厂区周围环境空气的影响。</w:t>
      </w:r>
    </w:p>
    <w:p w14:paraId="3862AA13" w14:textId="77777777" w:rsidR="003E78AB" w:rsidRDefault="00010BF9">
      <w:pPr>
        <w:ind w:firstLine="480"/>
        <w:rPr>
          <w:kern w:val="2"/>
        </w:rPr>
      </w:pPr>
      <w:r>
        <w:rPr>
          <w:kern w:val="2"/>
        </w:rPr>
        <w:t>综上所述，项目通过采取以上措施后，可有效减少无组织废气的不利影响。</w:t>
      </w:r>
    </w:p>
    <w:p w14:paraId="3C235D7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.1.3</w:t>
      </w:r>
      <w:r>
        <w:rPr>
          <w:rFonts w:ascii="Times New Roman" w:hAnsi="Times New Roman"/>
        </w:rPr>
        <w:t>废气达标性分析</w:t>
      </w:r>
    </w:p>
    <w:p w14:paraId="33C476EB" w14:textId="77777777" w:rsidR="003E78AB" w:rsidRDefault="00010BF9">
      <w:pPr>
        <w:ind w:firstLine="480"/>
        <w:rPr>
          <w:kern w:val="28"/>
        </w:rPr>
      </w:pPr>
      <w:r>
        <w:rPr>
          <w:kern w:val="28"/>
        </w:rPr>
        <w:t>项目废气污染物排放达标性分析见</w:t>
      </w:r>
      <w:r>
        <w:rPr>
          <w:kern w:val="28"/>
        </w:rPr>
        <w:fldChar w:fldCharType="begin"/>
      </w:r>
      <w:r>
        <w:rPr>
          <w:kern w:val="28"/>
        </w:rPr>
        <w:instrText xml:space="preserve"> REF _Ref12851 \r \h </w:instrText>
      </w:r>
      <w:r>
        <w:rPr>
          <w:kern w:val="28"/>
        </w:rPr>
      </w:r>
      <w:r>
        <w:rPr>
          <w:kern w:val="28"/>
        </w:rPr>
        <w:fldChar w:fldCharType="separate"/>
      </w:r>
      <w:r>
        <w:rPr>
          <w:kern w:val="28"/>
        </w:rPr>
        <w:t>表</w:t>
      </w:r>
      <w:r>
        <w:rPr>
          <w:kern w:val="28"/>
        </w:rPr>
        <w:t>7-6</w:t>
      </w:r>
      <w:r>
        <w:rPr>
          <w:kern w:val="28"/>
        </w:rPr>
        <w:fldChar w:fldCharType="end"/>
      </w:r>
      <w:r>
        <w:rPr>
          <w:rFonts w:hint="eastAsia"/>
          <w:kern w:val="28"/>
        </w:rPr>
        <w:t>。</w:t>
      </w:r>
    </w:p>
    <w:p w14:paraId="1312D80F" w14:textId="77777777" w:rsidR="003E78AB" w:rsidRDefault="003E78AB">
      <w:pPr>
        <w:ind w:firstLineChars="0" w:firstLine="0"/>
        <w:rPr>
          <w:rFonts w:ascii="黑体" w:eastAsia="黑体" w:hAnsi="黑体" w:cs="黑体"/>
          <w14:textOutline w14:w="4356" w14:cap="flat" w14:cmpd="sng" w14:algn="ctr">
            <w14:solidFill>
              <w14:srgbClr w14:val="000000"/>
            </w14:solidFill>
            <w14:prstDash w14:val="solid"/>
            <w14:miter w14:lim="0"/>
          </w14:textOutline>
        </w:rPr>
        <w:sectPr w:rsidR="003E78AB">
          <w:pgSz w:w="11906" w:h="16838"/>
          <w:pgMar w:top="1440" w:right="1803" w:bottom="1440" w:left="1803" w:header="851" w:footer="992" w:gutter="0"/>
          <w:cols w:space="720"/>
          <w:docGrid w:linePitch="312"/>
        </w:sectPr>
      </w:pPr>
    </w:p>
    <w:p w14:paraId="54F78440" w14:textId="77777777" w:rsidR="003E78AB" w:rsidRDefault="00010BF9">
      <w:pPr>
        <w:pStyle w:val="a6"/>
        <w:spacing w:before="120"/>
      </w:pPr>
      <w:bookmarkStart w:id="464" w:name="_Ref12851"/>
      <w:r>
        <w:t>废气污染物排放达标性分析</w:t>
      </w:r>
      <w:bookmarkEnd w:id="464"/>
    </w:p>
    <w:tbl>
      <w:tblPr>
        <w:tblW w:w="5000" w:type="pct"/>
        <w:tblLayout w:type="fixed"/>
        <w:tblLook w:val="04A0" w:firstRow="1" w:lastRow="0" w:firstColumn="1" w:lastColumn="0" w:noHBand="0" w:noVBand="1"/>
      </w:tblPr>
      <w:tblGrid>
        <w:gridCol w:w="653"/>
        <w:gridCol w:w="800"/>
        <w:gridCol w:w="704"/>
        <w:gridCol w:w="656"/>
        <w:gridCol w:w="761"/>
        <w:gridCol w:w="798"/>
        <w:gridCol w:w="809"/>
        <w:gridCol w:w="761"/>
        <w:gridCol w:w="843"/>
        <w:gridCol w:w="956"/>
        <w:gridCol w:w="715"/>
        <w:gridCol w:w="805"/>
        <w:gridCol w:w="819"/>
        <w:gridCol w:w="802"/>
        <w:gridCol w:w="882"/>
        <w:gridCol w:w="2410"/>
      </w:tblGrid>
      <w:tr w:rsidR="003E78AB" w14:paraId="10D1EBEB" w14:textId="77777777">
        <w:trPr>
          <w:trHeight w:val="280"/>
          <w:tblHeader/>
        </w:trPr>
        <w:tc>
          <w:tcPr>
            <w:tcW w:w="2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96C0F" w14:textId="77777777" w:rsidR="003E78AB" w:rsidRDefault="00010BF9">
            <w:pPr>
              <w:spacing w:line="360" w:lineRule="exact"/>
              <w:ind w:firstLineChars="0" w:firstLine="0"/>
              <w:jc w:val="center"/>
              <w:textAlignment w:val="center"/>
              <w:rPr>
                <w:b/>
                <w:bCs/>
                <w:sz w:val="18"/>
                <w:szCs w:val="18"/>
              </w:rPr>
            </w:pPr>
            <w:r>
              <w:rPr>
                <w:b/>
                <w:bCs/>
                <w:sz w:val="18"/>
                <w:szCs w:val="18"/>
                <w:lang w:bidi="ar"/>
              </w:rPr>
              <w:t>产生工段</w:t>
            </w:r>
          </w:p>
        </w:tc>
        <w:tc>
          <w:tcPr>
            <w:tcW w:w="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D34900"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排放口</w:t>
            </w:r>
          </w:p>
        </w:tc>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A45EC3"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排气量</w:t>
            </w:r>
            <w:r>
              <w:rPr>
                <w:b/>
                <w:bCs/>
                <w:sz w:val="18"/>
                <w:szCs w:val="18"/>
                <w:lang w:bidi="ar"/>
              </w:rPr>
              <w:t>m</w:t>
            </w:r>
            <w:r>
              <w:rPr>
                <w:b/>
                <w:bCs/>
                <w:sz w:val="18"/>
                <w:szCs w:val="18"/>
                <w:vertAlign w:val="superscript"/>
                <w:lang w:bidi="ar"/>
              </w:rPr>
              <w:t>3</w:t>
            </w:r>
            <w:r>
              <w:rPr>
                <w:b/>
                <w:bCs/>
                <w:sz w:val="18"/>
                <w:szCs w:val="18"/>
                <w:lang w:bidi="ar"/>
              </w:rPr>
              <w:t>/h</w:t>
            </w:r>
          </w:p>
        </w:tc>
        <w:tc>
          <w:tcPr>
            <w:tcW w:w="2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D44FE8" w14:textId="77777777" w:rsidR="003E78AB" w:rsidRDefault="00010BF9">
            <w:pPr>
              <w:spacing w:line="360" w:lineRule="exact"/>
              <w:ind w:firstLineChars="0" w:firstLine="0"/>
              <w:jc w:val="center"/>
              <w:textAlignment w:val="center"/>
              <w:rPr>
                <w:b/>
                <w:bCs/>
                <w:sz w:val="18"/>
                <w:szCs w:val="18"/>
              </w:rPr>
            </w:pPr>
            <w:r>
              <w:rPr>
                <w:b/>
                <w:bCs/>
                <w:sz w:val="18"/>
                <w:szCs w:val="18"/>
                <w:lang w:bidi="ar"/>
              </w:rPr>
              <w:t>运行时间</w:t>
            </w:r>
          </w:p>
        </w:tc>
        <w:tc>
          <w:tcPr>
            <w:tcW w:w="54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0A54CB" w14:textId="77777777" w:rsidR="003E78AB" w:rsidRDefault="00010BF9">
            <w:pPr>
              <w:spacing w:line="360" w:lineRule="exact"/>
              <w:ind w:firstLineChars="0" w:firstLine="0"/>
              <w:jc w:val="center"/>
              <w:textAlignment w:val="center"/>
              <w:rPr>
                <w:b/>
                <w:bCs/>
                <w:sz w:val="18"/>
                <w:szCs w:val="18"/>
              </w:rPr>
            </w:pPr>
            <w:r>
              <w:rPr>
                <w:b/>
                <w:bCs/>
                <w:sz w:val="18"/>
                <w:szCs w:val="18"/>
                <w:lang w:bidi="ar"/>
              </w:rPr>
              <w:t>污染因子</w:t>
            </w:r>
          </w:p>
        </w:tc>
        <w:tc>
          <w:tcPr>
            <w:tcW w:w="850" w:type="pct"/>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6963BD98" w14:textId="77777777" w:rsidR="003E78AB" w:rsidRDefault="00010BF9">
            <w:pPr>
              <w:spacing w:line="360" w:lineRule="exact"/>
              <w:ind w:firstLineChars="0" w:firstLine="0"/>
              <w:jc w:val="center"/>
              <w:textAlignment w:val="center"/>
              <w:rPr>
                <w:b/>
                <w:bCs/>
                <w:sz w:val="18"/>
                <w:szCs w:val="18"/>
                <w:lang w:bidi="ar"/>
              </w:rPr>
            </w:pPr>
            <w:r>
              <w:rPr>
                <w:b/>
                <w:bCs/>
                <w:sz w:val="18"/>
                <w:szCs w:val="18"/>
                <w:lang w:bidi="ar"/>
              </w:rPr>
              <w:t>产生源强</w:t>
            </w:r>
          </w:p>
        </w:tc>
        <w:tc>
          <w:tcPr>
            <w:tcW w:w="337" w:type="pct"/>
            <w:vMerge w:val="restart"/>
            <w:tcBorders>
              <w:top w:val="single" w:sz="4" w:space="0" w:color="000000"/>
              <w:left w:val="single" w:sz="4" w:space="0" w:color="000000"/>
              <w:right w:val="single" w:sz="4" w:space="0" w:color="000000"/>
            </w:tcBorders>
            <w:shd w:val="clear" w:color="auto" w:fill="auto"/>
            <w:vAlign w:val="center"/>
          </w:tcPr>
          <w:p w14:paraId="326D65DB" w14:textId="77777777" w:rsidR="003E78AB" w:rsidRDefault="00010BF9">
            <w:pPr>
              <w:spacing w:line="360" w:lineRule="exact"/>
              <w:ind w:firstLineChars="0" w:firstLine="0"/>
              <w:jc w:val="center"/>
              <w:textAlignment w:val="center"/>
              <w:rPr>
                <w:b/>
                <w:bCs/>
                <w:sz w:val="18"/>
                <w:szCs w:val="18"/>
              </w:rPr>
            </w:pPr>
            <w:r>
              <w:rPr>
                <w:b/>
                <w:bCs/>
                <w:sz w:val="18"/>
                <w:szCs w:val="18"/>
                <w:lang w:bidi="ar"/>
              </w:rPr>
              <w:t>处理措施</w:t>
            </w:r>
          </w:p>
        </w:tc>
        <w:tc>
          <w:tcPr>
            <w:tcW w:w="252" w:type="pct"/>
            <w:vMerge w:val="restart"/>
            <w:tcBorders>
              <w:top w:val="single" w:sz="4" w:space="0" w:color="000000"/>
              <w:left w:val="single" w:sz="4" w:space="0" w:color="000000"/>
              <w:right w:val="single" w:sz="4" w:space="0" w:color="000000"/>
            </w:tcBorders>
            <w:shd w:val="clear" w:color="auto" w:fill="auto"/>
            <w:vAlign w:val="center"/>
          </w:tcPr>
          <w:p w14:paraId="29E96325" w14:textId="77777777" w:rsidR="003E78AB" w:rsidRDefault="00010BF9">
            <w:pPr>
              <w:spacing w:line="360" w:lineRule="exact"/>
              <w:ind w:firstLineChars="0" w:firstLine="0"/>
              <w:jc w:val="center"/>
              <w:textAlignment w:val="center"/>
              <w:rPr>
                <w:b/>
                <w:bCs/>
                <w:sz w:val="18"/>
                <w:szCs w:val="18"/>
              </w:rPr>
            </w:pPr>
            <w:r>
              <w:rPr>
                <w:b/>
                <w:bCs/>
                <w:sz w:val="18"/>
                <w:szCs w:val="18"/>
                <w:lang w:bidi="ar"/>
              </w:rPr>
              <w:t>处置效率</w:t>
            </w:r>
            <w:r>
              <w:rPr>
                <w:b/>
                <w:bCs/>
                <w:sz w:val="18"/>
                <w:szCs w:val="18"/>
                <w:lang w:bidi="ar"/>
              </w:rPr>
              <w:t>%</w:t>
            </w:r>
          </w:p>
        </w:tc>
        <w:tc>
          <w:tcPr>
            <w:tcW w:w="85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8D3B16"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排放源强</w:t>
            </w:r>
          </w:p>
        </w:tc>
        <w:tc>
          <w:tcPr>
            <w:tcW w:w="116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A20A11F" w14:textId="77777777" w:rsidR="003E78AB" w:rsidRDefault="00010BF9">
            <w:pPr>
              <w:spacing w:line="360" w:lineRule="exact"/>
              <w:ind w:firstLineChars="0" w:firstLine="0"/>
              <w:jc w:val="center"/>
              <w:textAlignment w:val="center"/>
              <w:rPr>
                <w:b/>
                <w:bCs/>
                <w:sz w:val="18"/>
                <w:szCs w:val="18"/>
              </w:rPr>
            </w:pPr>
            <w:r>
              <w:rPr>
                <w:rFonts w:hint="eastAsia"/>
                <w:b/>
                <w:bCs/>
                <w:sz w:val="18"/>
                <w:szCs w:val="18"/>
                <w:lang w:bidi="ar"/>
              </w:rPr>
              <w:t>排放标准</w:t>
            </w:r>
          </w:p>
        </w:tc>
      </w:tr>
      <w:tr w:rsidR="003E78AB" w14:paraId="21BE29FE" w14:textId="77777777">
        <w:trPr>
          <w:trHeight w:val="333"/>
          <w:tblHeader/>
        </w:trPr>
        <w:tc>
          <w:tcPr>
            <w:tcW w:w="2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545F0D" w14:textId="77777777" w:rsidR="003E78AB" w:rsidRDefault="003E78AB">
            <w:pPr>
              <w:spacing w:line="360" w:lineRule="exact"/>
              <w:ind w:firstLineChars="0" w:firstLine="0"/>
              <w:jc w:val="center"/>
              <w:rPr>
                <w:b/>
                <w:bCs/>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CF56E8" w14:textId="77777777" w:rsidR="003E78AB" w:rsidRDefault="003E78AB">
            <w:pPr>
              <w:spacing w:line="360" w:lineRule="exact"/>
              <w:ind w:firstLineChars="0" w:firstLine="0"/>
              <w:jc w:val="center"/>
              <w:rPr>
                <w:b/>
                <w:bCs/>
                <w:sz w:val="18"/>
                <w:szCs w:val="18"/>
              </w:rPr>
            </w:pPr>
          </w:p>
        </w:tc>
        <w:tc>
          <w:tcPr>
            <w:tcW w:w="24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5CC4F" w14:textId="77777777" w:rsidR="003E78AB" w:rsidRDefault="003E78AB">
            <w:pPr>
              <w:spacing w:line="360" w:lineRule="exact"/>
              <w:ind w:firstLineChars="0" w:firstLine="0"/>
              <w:jc w:val="center"/>
              <w:rPr>
                <w:b/>
                <w:bCs/>
                <w:sz w:val="18"/>
                <w:szCs w:val="18"/>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BBDE39" w14:textId="77777777" w:rsidR="003E78AB" w:rsidRDefault="003E78AB">
            <w:pPr>
              <w:spacing w:line="360" w:lineRule="exact"/>
              <w:ind w:firstLineChars="0" w:firstLine="0"/>
              <w:jc w:val="center"/>
              <w:rPr>
                <w:b/>
                <w:bCs/>
                <w:sz w:val="18"/>
                <w:szCs w:val="18"/>
              </w:rPr>
            </w:pPr>
          </w:p>
        </w:tc>
        <w:tc>
          <w:tcPr>
            <w:tcW w:w="549"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48FD5D" w14:textId="77777777" w:rsidR="003E78AB" w:rsidRDefault="003E78AB">
            <w:pPr>
              <w:spacing w:line="360" w:lineRule="exact"/>
              <w:ind w:firstLineChars="0" w:firstLine="0"/>
              <w:jc w:val="center"/>
              <w:rPr>
                <w:b/>
                <w:bCs/>
                <w:sz w:val="18"/>
                <w:szCs w:val="18"/>
              </w:rPr>
            </w:pPr>
          </w:p>
        </w:tc>
        <w:tc>
          <w:tcPr>
            <w:tcW w:w="285" w:type="pct"/>
            <w:tcBorders>
              <w:top w:val="single" w:sz="4" w:space="0" w:color="000000"/>
              <w:left w:val="single" w:sz="4" w:space="0" w:color="auto"/>
              <w:bottom w:val="single" w:sz="4" w:space="0" w:color="000000"/>
              <w:right w:val="single" w:sz="4" w:space="0" w:color="000000"/>
            </w:tcBorders>
            <w:shd w:val="clear" w:color="auto" w:fill="auto"/>
            <w:vAlign w:val="center"/>
          </w:tcPr>
          <w:p w14:paraId="452C854B" w14:textId="77777777" w:rsidR="003E78AB" w:rsidRDefault="00010BF9">
            <w:pPr>
              <w:spacing w:line="360" w:lineRule="exact"/>
              <w:ind w:firstLineChars="0" w:firstLine="0"/>
              <w:jc w:val="center"/>
              <w:textAlignment w:val="center"/>
              <w:rPr>
                <w:b/>
                <w:bCs/>
                <w:sz w:val="18"/>
                <w:szCs w:val="18"/>
              </w:rPr>
            </w:pPr>
            <w:r>
              <w:rPr>
                <w:b/>
                <w:bCs/>
                <w:sz w:val="18"/>
                <w:szCs w:val="18"/>
                <w:lang w:bidi="ar"/>
              </w:rPr>
              <w:t>浓度</w:t>
            </w:r>
            <w:r>
              <w:rPr>
                <w:b/>
                <w:bCs/>
                <w:sz w:val="18"/>
                <w:szCs w:val="18"/>
                <w:lang w:bidi="ar"/>
              </w:rPr>
              <w:t>mg/m</w:t>
            </w:r>
            <w:r>
              <w:rPr>
                <w:rStyle w:val="font71"/>
                <w:b/>
                <w:bCs/>
                <w:color w:val="auto"/>
                <w:sz w:val="18"/>
                <w:szCs w:val="18"/>
                <w:lang w:bidi="ar"/>
              </w:rPr>
              <w:t>3</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2640A" w14:textId="77777777" w:rsidR="003E78AB" w:rsidRDefault="00010BF9">
            <w:pPr>
              <w:spacing w:line="360" w:lineRule="exact"/>
              <w:ind w:firstLineChars="0" w:firstLine="0"/>
              <w:jc w:val="center"/>
              <w:textAlignment w:val="center"/>
              <w:rPr>
                <w:b/>
                <w:bCs/>
                <w:sz w:val="18"/>
                <w:szCs w:val="18"/>
              </w:rPr>
            </w:pPr>
            <w:r>
              <w:rPr>
                <w:b/>
                <w:bCs/>
                <w:sz w:val="18"/>
                <w:szCs w:val="18"/>
                <w:lang w:bidi="ar"/>
              </w:rPr>
              <w:t>速率</w:t>
            </w:r>
            <w:r>
              <w:rPr>
                <w:b/>
                <w:bCs/>
                <w:sz w:val="18"/>
                <w:szCs w:val="18"/>
                <w:lang w:bidi="ar"/>
              </w:rPr>
              <w:t>kg/h</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4C3A6" w14:textId="77777777" w:rsidR="003E78AB" w:rsidRDefault="00010BF9">
            <w:pPr>
              <w:spacing w:line="360" w:lineRule="exact"/>
              <w:ind w:firstLineChars="0" w:firstLine="0"/>
              <w:jc w:val="center"/>
              <w:textAlignment w:val="center"/>
              <w:rPr>
                <w:b/>
                <w:bCs/>
                <w:sz w:val="18"/>
                <w:szCs w:val="18"/>
              </w:rPr>
            </w:pPr>
            <w:r>
              <w:rPr>
                <w:b/>
                <w:bCs/>
                <w:sz w:val="18"/>
                <w:szCs w:val="18"/>
                <w:lang w:bidi="ar"/>
              </w:rPr>
              <w:t>产生量</w:t>
            </w:r>
            <w:r>
              <w:rPr>
                <w:b/>
                <w:bCs/>
                <w:sz w:val="18"/>
                <w:szCs w:val="18"/>
                <w:lang w:bidi="ar"/>
              </w:rPr>
              <w:t>t/a</w:t>
            </w:r>
          </w:p>
        </w:tc>
        <w:tc>
          <w:tcPr>
            <w:tcW w:w="337" w:type="pct"/>
            <w:vMerge/>
            <w:tcBorders>
              <w:left w:val="single" w:sz="4" w:space="0" w:color="000000"/>
              <w:right w:val="single" w:sz="4" w:space="0" w:color="000000"/>
            </w:tcBorders>
            <w:shd w:val="clear" w:color="auto" w:fill="auto"/>
            <w:vAlign w:val="center"/>
          </w:tcPr>
          <w:p w14:paraId="0D92A65A" w14:textId="77777777" w:rsidR="003E78AB" w:rsidRDefault="003E78AB">
            <w:pPr>
              <w:spacing w:line="360" w:lineRule="exact"/>
              <w:ind w:firstLineChars="0" w:firstLine="0"/>
              <w:jc w:val="center"/>
              <w:rPr>
                <w:b/>
                <w:bCs/>
                <w:sz w:val="18"/>
                <w:szCs w:val="18"/>
              </w:rPr>
            </w:pPr>
          </w:p>
        </w:tc>
        <w:tc>
          <w:tcPr>
            <w:tcW w:w="252" w:type="pct"/>
            <w:vMerge/>
            <w:tcBorders>
              <w:left w:val="single" w:sz="4" w:space="0" w:color="000000"/>
              <w:right w:val="single" w:sz="4" w:space="0" w:color="000000"/>
            </w:tcBorders>
            <w:shd w:val="clear" w:color="auto" w:fill="auto"/>
            <w:vAlign w:val="center"/>
          </w:tcPr>
          <w:p w14:paraId="4E0485AA" w14:textId="77777777" w:rsidR="003E78AB" w:rsidRDefault="003E78AB">
            <w:pPr>
              <w:spacing w:line="360" w:lineRule="exact"/>
              <w:ind w:firstLineChars="0" w:firstLine="0"/>
              <w:jc w:val="center"/>
              <w:rPr>
                <w:b/>
                <w:bCs/>
                <w:sz w:val="18"/>
                <w:szCs w:val="18"/>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8A2BA" w14:textId="77777777" w:rsidR="003E78AB" w:rsidRDefault="00010BF9">
            <w:pPr>
              <w:spacing w:line="360" w:lineRule="exact"/>
              <w:ind w:firstLineChars="0" w:firstLine="0"/>
              <w:jc w:val="center"/>
              <w:textAlignment w:val="center"/>
              <w:rPr>
                <w:b/>
                <w:bCs/>
                <w:sz w:val="18"/>
                <w:szCs w:val="18"/>
              </w:rPr>
            </w:pPr>
            <w:r>
              <w:rPr>
                <w:b/>
                <w:bCs/>
                <w:sz w:val="18"/>
                <w:szCs w:val="18"/>
                <w:lang w:bidi="ar"/>
              </w:rPr>
              <w:t>浓度</w:t>
            </w:r>
            <w:r>
              <w:rPr>
                <w:b/>
                <w:bCs/>
                <w:sz w:val="18"/>
                <w:szCs w:val="18"/>
                <w:lang w:bidi="ar"/>
              </w:rPr>
              <w:t>mg/m</w:t>
            </w:r>
            <w:r>
              <w:rPr>
                <w:rStyle w:val="font71"/>
                <w:b/>
                <w:bCs/>
                <w:color w:val="auto"/>
                <w:sz w:val="18"/>
                <w:szCs w:val="18"/>
                <w:lang w:bidi="ar"/>
              </w:rPr>
              <w:t>3</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7767C" w14:textId="77777777" w:rsidR="003E78AB" w:rsidRDefault="00010BF9">
            <w:pPr>
              <w:spacing w:line="360" w:lineRule="exact"/>
              <w:ind w:firstLineChars="0" w:firstLine="0"/>
              <w:jc w:val="center"/>
              <w:textAlignment w:val="center"/>
              <w:rPr>
                <w:b/>
                <w:bCs/>
                <w:sz w:val="18"/>
                <w:szCs w:val="18"/>
              </w:rPr>
            </w:pPr>
            <w:r>
              <w:rPr>
                <w:b/>
                <w:bCs/>
                <w:sz w:val="18"/>
                <w:szCs w:val="18"/>
                <w:lang w:bidi="ar"/>
              </w:rPr>
              <w:t>速率</w:t>
            </w:r>
            <w:r>
              <w:rPr>
                <w:b/>
                <w:bCs/>
                <w:sz w:val="18"/>
                <w:szCs w:val="18"/>
                <w:lang w:bidi="ar"/>
              </w:rPr>
              <w:t>kg/h</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966BD" w14:textId="77777777" w:rsidR="003E78AB" w:rsidRDefault="00010BF9">
            <w:pPr>
              <w:spacing w:line="360" w:lineRule="exact"/>
              <w:ind w:firstLineChars="0" w:firstLine="0"/>
              <w:jc w:val="center"/>
              <w:textAlignment w:val="center"/>
              <w:rPr>
                <w:b/>
                <w:bCs/>
                <w:sz w:val="18"/>
                <w:szCs w:val="18"/>
              </w:rPr>
            </w:pPr>
            <w:r>
              <w:rPr>
                <w:b/>
                <w:bCs/>
                <w:sz w:val="18"/>
                <w:szCs w:val="18"/>
                <w:lang w:bidi="ar"/>
              </w:rPr>
              <w:t>排放量</w:t>
            </w:r>
            <w:r>
              <w:rPr>
                <w:b/>
                <w:bCs/>
                <w:sz w:val="18"/>
                <w:szCs w:val="18"/>
                <w:lang w:bidi="ar"/>
              </w:rPr>
              <w:t>t/a</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72585" w14:textId="77777777" w:rsidR="003E78AB" w:rsidRDefault="00010BF9">
            <w:pPr>
              <w:spacing w:line="360" w:lineRule="exact"/>
              <w:ind w:firstLineChars="0" w:firstLine="0"/>
              <w:jc w:val="center"/>
              <w:textAlignment w:val="center"/>
              <w:rPr>
                <w:b/>
                <w:bCs/>
                <w:sz w:val="18"/>
                <w:szCs w:val="18"/>
              </w:rPr>
            </w:pPr>
            <w:r>
              <w:rPr>
                <w:rFonts w:hint="eastAsia"/>
                <w:b/>
                <w:bCs/>
                <w:sz w:val="18"/>
                <w:szCs w:val="18"/>
              </w:rPr>
              <w:t>标准值</w:t>
            </w:r>
            <w:r>
              <w:rPr>
                <w:rFonts w:hint="eastAsia"/>
                <w:b/>
                <w:bCs/>
                <w:sz w:val="18"/>
                <w:szCs w:val="18"/>
              </w:rPr>
              <w:t>mg/m</w:t>
            </w:r>
            <w:r>
              <w:rPr>
                <w:rFonts w:hint="eastAsia"/>
                <w:b/>
                <w:bCs/>
                <w:sz w:val="18"/>
                <w:szCs w:val="18"/>
                <w:vertAlign w:val="superscript"/>
              </w:rPr>
              <w:t>3</w:t>
            </w:r>
          </w:p>
        </w:tc>
        <w:tc>
          <w:tcPr>
            <w:tcW w:w="848" w:type="pct"/>
            <w:tcBorders>
              <w:top w:val="single" w:sz="4" w:space="0" w:color="000000"/>
              <w:left w:val="single" w:sz="4" w:space="0" w:color="000000"/>
              <w:bottom w:val="single" w:sz="4" w:space="0" w:color="000000"/>
              <w:right w:val="single" w:sz="4" w:space="0" w:color="auto"/>
            </w:tcBorders>
            <w:shd w:val="clear" w:color="auto" w:fill="auto"/>
            <w:vAlign w:val="center"/>
          </w:tcPr>
          <w:p w14:paraId="1A073663" w14:textId="77777777" w:rsidR="003E78AB" w:rsidRDefault="00010BF9">
            <w:pPr>
              <w:spacing w:line="360" w:lineRule="exact"/>
              <w:ind w:firstLineChars="0" w:firstLine="0"/>
              <w:jc w:val="center"/>
              <w:textAlignment w:val="center"/>
              <w:rPr>
                <w:b/>
                <w:bCs/>
                <w:sz w:val="18"/>
                <w:szCs w:val="18"/>
              </w:rPr>
            </w:pPr>
            <w:r>
              <w:rPr>
                <w:rFonts w:hint="eastAsia"/>
                <w:b/>
                <w:bCs/>
                <w:sz w:val="18"/>
                <w:szCs w:val="18"/>
              </w:rPr>
              <w:t>标准名</w:t>
            </w:r>
          </w:p>
        </w:tc>
      </w:tr>
      <w:tr w:rsidR="003E78AB" w14:paraId="486ADDB5" w14:textId="77777777">
        <w:trPr>
          <w:trHeight w:val="280"/>
        </w:trPr>
        <w:tc>
          <w:tcPr>
            <w:tcW w:w="2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5DA754" w14:textId="77777777" w:rsidR="003E78AB" w:rsidRDefault="00010BF9">
            <w:pPr>
              <w:spacing w:line="360" w:lineRule="exact"/>
              <w:ind w:firstLineChars="0" w:firstLine="0"/>
              <w:jc w:val="center"/>
              <w:textAlignment w:val="center"/>
              <w:rPr>
                <w:sz w:val="18"/>
                <w:szCs w:val="18"/>
              </w:rPr>
            </w:pPr>
            <w:r>
              <w:rPr>
                <w:sz w:val="18"/>
                <w:szCs w:val="18"/>
                <w:lang w:bidi="ar"/>
              </w:rPr>
              <w:t>拆包投料</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901E0" w14:textId="77777777" w:rsidR="003E78AB" w:rsidRDefault="00010BF9">
            <w:pPr>
              <w:spacing w:line="360" w:lineRule="exact"/>
              <w:ind w:firstLineChars="0" w:firstLine="0"/>
              <w:jc w:val="center"/>
              <w:textAlignment w:val="center"/>
              <w:rPr>
                <w:sz w:val="18"/>
                <w:szCs w:val="18"/>
              </w:rPr>
            </w:pPr>
            <w:r>
              <w:rPr>
                <w:sz w:val="18"/>
                <w:szCs w:val="18"/>
                <w:lang w:bidi="ar"/>
              </w:rPr>
              <w:t>DA001</w:t>
            </w: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9EFB3" w14:textId="77777777" w:rsidR="003E78AB" w:rsidRDefault="00010BF9">
            <w:pPr>
              <w:spacing w:line="360" w:lineRule="exact"/>
              <w:ind w:firstLineChars="0" w:firstLine="0"/>
              <w:jc w:val="center"/>
              <w:textAlignment w:val="center"/>
              <w:rPr>
                <w:sz w:val="18"/>
                <w:szCs w:val="18"/>
              </w:rPr>
            </w:pPr>
            <w:r>
              <w:rPr>
                <w:sz w:val="18"/>
                <w:szCs w:val="18"/>
                <w:lang w:bidi="ar"/>
              </w:rPr>
              <w:t>8000</w:t>
            </w:r>
          </w:p>
        </w:tc>
        <w:tc>
          <w:tcPr>
            <w:tcW w:w="2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D93A6" w14:textId="77777777" w:rsidR="003E78AB" w:rsidRDefault="00010BF9">
            <w:pPr>
              <w:spacing w:line="360" w:lineRule="exact"/>
              <w:ind w:firstLineChars="0" w:firstLine="0"/>
              <w:jc w:val="center"/>
              <w:textAlignment w:val="center"/>
              <w:rPr>
                <w:sz w:val="18"/>
                <w:szCs w:val="18"/>
              </w:rPr>
            </w:pPr>
            <w:r>
              <w:rPr>
                <w:sz w:val="18"/>
                <w:szCs w:val="18"/>
                <w:lang w:bidi="ar"/>
              </w:rPr>
              <w:t>2500</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C6172D"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40B51" w14:textId="77777777" w:rsidR="003E78AB" w:rsidRDefault="00010BF9">
            <w:pPr>
              <w:spacing w:line="360" w:lineRule="exact"/>
              <w:ind w:firstLineChars="0" w:firstLine="0"/>
              <w:jc w:val="center"/>
              <w:textAlignment w:val="center"/>
              <w:rPr>
                <w:sz w:val="18"/>
                <w:szCs w:val="18"/>
                <w:lang w:bidi="ar"/>
              </w:rPr>
            </w:pPr>
            <w:r>
              <w:rPr>
                <w:sz w:val="18"/>
                <w:szCs w:val="18"/>
                <w:lang w:bidi="ar"/>
              </w:rPr>
              <w:t>344.86</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E078" w14:textId="77777777" w:rsidR="003E78AB" w:rsidRDefault="00010BF9">
            <w:pPr>
              <w:spacing w:line="360" w:lineRule="exact"/>
              <w:ind w:firstLineChars="0" w:firstLine="0"/>
              <w:jc w:val="center"/>
              <w:textAlignment w:val="center"/>
              <w:rPr>
                <w:sz w:val="18"/>
                <w:szCs w:val="18"/>
                <w:lang w:bidi="ar"/>
              </w:rPr>
            </w:pPr>
            <w:r>
              <w:rPr>
                <w:sz w:val="18"/>
                <w:szCs w:val="18"/>
                <w:lang w:bidi="ar"/>
              </w:rPr>
              <w:t>2.7589</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A1E5B" w14:textId="77777777" w:rsidR="003E78AB" w:rsidRDefault="00010BF9">
            <w:pPr>
              <w:spacing w:line="360" w:lineRule="exact"/>
              <w:ind w:firstLineChars="0" w:firstLine="0"/>
              <w:jc w:val="center"/>
              <w:textAlignment w:val="center"/>
              <w:rPr>
                <w:sz w:val="18"/>
                <w:szCs w:val="18"/>
                <w:lang w:bidi="ar"/>
              </w:rPr>
            </w:pPr>
            <w:r>
              <w:rPr>
                <w:sz w:val="18"/>
                <w:szCs w:val="18"/>
                <w:lang w:bidi="ar"/>
              </w:rPr>
              <w:t>6.8972</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B5CD4" w14:textId="77777777" w:rsidR="003E78AB" w:rsidRDefault="00010BF9">
            <w:pPr>
              <w:spacing w:line="360" w:lineRule="exact"/>
              <w:ind w:firstLineChars="0" w:firstLine="0"/>
              <w:jc w:val="center"/>
              <w:textAlignment w:val="center"/>
              <w:rPr>
                <w:sz w:val="18"/>
                <w:szCs w:val="18"/>
                <w:lang w:bidi="ar"/>
              </w:rPr>
            </w:pPr>
            <w:r>
              <w:rPr>
                <w:sz w:val="18"/>
                <w:szCs w:val="18"/>
                <w:lang w:bidi="ar"/>
              </w:rPr>
              <w:t>袋式除尘</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0DB5" w14:textId="77777777" w:rsidR="003E78AB" w:rsidRDefault="00010BF9">
            <w:pPr>
              <w:spacing w:line="360" w:lineRule="exact"/>
              <w:ind w:firstLineChars="0" w:firstLine="0"/>
              <w:jc w:val="center"/>
              <w:textAlignment w:val="center"/>
              <w:rPr>
                <w:sz w:val="18"/>
                <w:szCs w:val="18"/>
                <w:lang w:bidi="ar"/>
              </w:rPr>
            </w:pPr>
            <w:r>
              <w:rPr>
                <w:sz w:val="18"/>
                <w:szCs w:val="18"/>
                <w:lang w:bidi="ar"/>
              </w:rPr>
              <w:t>98</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B8050" w14:textId="77777777" w:rsidR="003E78AB" w:rsidRDefault="00010BF9">
            <w:pPr>
              <w:spacing w:line="360" w:lineRule="exact"/>
              <w:ind w:firstLineChars="0" w:firstLine="0"/>
              <w:jc w:val="center"/>
              <w:textAlignment w:val="center"/>
              <w:rPr>
                <w:sz w:val="18"/>
                <w:szCs w:val="18"/>
                <w:lang w:bidi="ar"/>
              </w:rPr>
            </w:pPr>
            <w:r>
              <w:rPr>
                <w:sz w:val="18"/>
                <w:szCs w:val="18"/>
                <w:lang w:bidi="ar"/>
              </w:rPr>
              <w:t>6.90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679AC" w14:textId="77777777" w:rsidR="003E78AB" w:rsidRDefault="00010BF9">
            <w:pPr>
              <w:spacing w:line="360" w:lineRule="exact"/>
              <w:ind w:firstLineChars="0" w:firstLine="0"/>
              <w:jc w:val="center"/>
              <w:textAlignment w:val="center"/>
              <w:rPr>
                <w:sz w:val="18"/>
                <w:szCs w:val="18"/>
                <w:lang w:bidi="ar"/>
              </w:rPr>
            </w:pPr>
            <w:r>
              <w:rPr>
                <w:sz w:val="18"/>
                <w:szCs w:val="18"/>
                <w:lang w:bidi="ar"/>
              </w:rPr>
              <w:t>0.0436</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671A8" w14:textId="77777777" w:rsidR="003E78AB" w:rsidRDefault="00010BF9">
            <w:pPr>
              <w:spacing w:line="360" w:lineRule="exact"/>
              <w:ind w:firstLineChars="0" w:firstLine="0"/>
              <w:jc w:val="center"/>
              <w:textAlignment w:val="center"/>
              <w:rPr>
                <w:sz w:val="18"/>
                <w:szCs w:val="18"/>
                <w:lang w:bidi="ar"/>
              </w:rPr>
            </w:pPr>
            <w:r>
              <w:rPr>
                <w:sz w:val="18"/>
                <w:szCs w:val="18"/>
                <w:lang w:bidi="ar"/>
              </w:rPr>
              <w:t>0.1379</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32063" w14:textId="77777777" w:rsidR="003E78AB" w:rsidRDefault="00010BF9">
            <w:pPr>
              <w:pStyle w:val="aff6"/>
              <w:topLinePunct/>
              <w:rPr>
                <w:sz w:val="18"/>
                <w:szCs w:val="18"/>
              </w:rPr>
            </w:pPr>
            <w:r>
              <w:rPr>
                <w:rFonts w:hint="eastAsia"/>
                <w:sz w:val="18"/>
                <w:szCs w:val="18"/>
              </w:rPr>
              <w:t>30</w:t>
            </w:r>
          </w:p>
        </w:tc>
        <w:tc>
          <w:tcPr>
            <w:tcW w:w="848" w:type="pct"/>
            <w:vMerge w:val="restart"/>
            <w:tcBorders>
              <w:top w:val="single" w:sz="4" w:space="0" w:color="000000"/>
              <w:left w:val="single" w:sz="4" w:space="0" w:color="000000"/>
              <w:right w:val="single" w:sz="4" w:space="0" w:color="000000"/>
            </w:tcBorders>
            <w:shd w:val="clear" w:color="auto" w:fill="auto"/>
            <w:vAlign w:val="center"/>
          </w:tcPr>
          <w:p w14:paraId="2CEE2E16" w14:textId="77777777" w:rsidR="003E78AB" w:rsidRDefault="00010BF9">
            <w:pPr>
              <w:spacing w:line="360" w:lineRule="exact"/>
              <w:ind w:firstLineChars="0" w:firstLine="0"/>
              <w:jc w:val="center"/>
              <w:textAlignment w:val="center"/>
              <w:rPr>
                <w:sz w:val="18"/>
                <w:szCs w:val="18"/>
              </w:rPr>
            </w:pPr>
            <w:r>
              <w:rPr>
                <w:sz w:val="18"/>
                <w:szCs w:val="18"/>
              </w:rPr>
              <w:t>《无机化学工业污染物排放标准》（</w:t>
            </w:r>
            <w:r>
              <w:rPr>
                <w:sz w:val="18"/>
                <w:szCs w:val="18"/>
              </w:rPr>
              <w:t>GB31573-2015</w:t>
            </w:r>
            <w:r>
              <w:rPr>
                <w:sz w:val="18"/>
                <w:szCs w:val="18"/>
              </w:rPr>
              <w:t>）</w:t>
            </w:r>
          </w:p>
        </w:tc>
      </w:tr>
      <w:tr w:rsidR="003E78AB" w14:paraId="5D49FA39" w14:textId="77777777">
        <w:trPr>
          <w:trHeight w:val="280"/>
        </w:trPr>
        <w:tc>
          <w:tcPr>
            <w:tcW w:w="2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C83FD2" w14:textId="77777777" w:rsidR="003E78AB" w:rsidRDefault="003E78AB">
            <w:pPr>
              <w:spacing w:line="360" w:lineRule="exact"/>
              <w:ind w:firstLineChars="0" w:firstLine="0"/>
              <w:jc w:val="center"/>
              <w:rPr>
                <w:sz w:val="18"/>
                <w:szCs w:val="18"/>
              </w:rPr>
            </w:pP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537AE" w14:textId="77777777" w:rsidR="003E78AB" w:rsidRDefault="00010BF9">
            <w:pPr>
              <w:spacing w:line="360" w:lineRule="exact"/>
              <w:ind w:firstLineChars="0" w:firstLine="0"/>
              <w:jc w:val="center"/>
              <w:textAlignment w:val="center"/>
              <w:rPr>
                <w:sz w:val="18"/>
                <w:szCs w:val="18"/>
              </w:rPr>
            </w:pPr>
            <w:r>
              <w:rPr>
                <w:sz w:val="18"/>
                <w:szCs w:val="18"/>
                <w:lang w:bidi="ar"/>
              </w:rPr>
              <w:t>DA002</w:t>
            </w:r>
          </w:p>
        </w:tc>
        <w:tc>
          <w:tcPr>
            <w:tcW w:w="2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5C043" w14:textId="77777777" w:rsidR="003E78AB" w:rsidRDefault="00010BF9">
            <w:pPr>
              <w:spacing w:line="360" w:lineRule="exact"/>
              <w:ind w:firstLineChars="0" w:firstLine="0"/>
              <w:jc w:val="center"/>
              <w:textAlignment w:val="center"/>
              <w:rPr>
                <w:sz w:val="18"/>
                <w:szCs w:val="18"/>
              </w:rPr>
            </w:pPr>
            <w:r>
              <w:rPr>
                <w:sz w:val="18"/>
                <w:szCs w:val="18"/>
                <w:lang w:bidi="ar"/>
              </w:rPr>
              <w:t>8000</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B111" w14:textId="77777777" w:rsidR="003E78AB" w:rsidRDefault="00010BF9">
            <w:pPr>
              <w:spacing w:line="360" w:lineRule="exact"/>
              <w:ind w:firstLineChars="0" w:firstLine="0"/>
              <w:jc w:val="center"/>
              <w:textAlignment w:val="center"/>
              <w:rPr>
                <w:sz w:val="18"/>
                <w:szCs w:val="18"/>
              </w:rPr>
            </w:pPr>
            <w:r>
              <w:rPr>
                <w:sz w:val="18"/>
                <w:szCs w:val="18"/>
                <w:lang w:bidi="ar"/>
              </w:rPr>
              <w:t>1800</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EB436"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4700E" w14:textId="77777777" w:rsidR="003E78AB" w:rsidRDefault="00010BF9">
            <w:pPr>
              <w:spacing w:line="360" w:lineRule="exact"/>
              <w:ind w:firstLineChars="0" w:firstLine="0"/>
              <w:jc w:val="center"/>
              <w:textAlignment w:val="center"/>
              <w:rPr>
                <w:sz w:val="18"/>
                <w:szCs w:val="18"/>
                <w:lang w:bidi="ar"/>
              </w:rPr>
            </w:pPr>
            <w:r>
              <w:rPr>
                <w:sz w:val="18"/>
                <w:szCs w:val="18"/>
                <w:lang w:bidi="ar"/>
              </w:rPr>
              <w:t>243.40</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BAD44" w14:textId="77777777" w:rsidR="003E78AB" w:rsidRDefault="00010BF9">
            <w:pPr>
              <w:spacing w:line="360" w:lineRule="exact"/>
              <w:ind w:firstLineChars="0" w:firstLine="0"/>
              <w:jc w:val="center"/>
              <w:textAlignment w:val="center"/>
              <w:rPr>
                <w:sz w:val="18"/>
                <w:szCs w:val="18"/>
                <w:lang w:bidi="ar"/>
              </w:rPr>
            </w:pPr>
            <w:r>
              <w:rPr>
                <w:sz w:val="18"/>
                <w:szCs w:val="18"/>
                <w:lang w:bidi="ar"/>
              </w:rPr>
              <w:t>1.9472</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2DDEC"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3.5050</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886DD" w14:textId="77777777" w:rsidR="003E78AB" w:rsidRDefault="00010BF9">
            <w:pPr>
              <w:spacing w:line="360" w:lineRule="exact"/>
              <w:ind w:firstLineChars="0" w:firstLine="0"/>
              <w:jc w:val="center"/>
              <w:textAlignment w:val="center"/>
              <w:rPr>
                <w:sz w:val="18"/>
                <w:szCs w:val="18"/>
                <w:lang w:bidi="ar"/>
              </w:rPr>
            </w:pPr>
            <w:r>
              <w:rPr>
                <w:sz w:val="18"/>
                <w:szCs w:val="18"/>
                <w:lang w:bidi="ar"/>
              </w:rPr>
              <w:t>袋式除尘</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CE35" w14:textId="77777777" w:rsidR="003E78AB" w:rsidRDefault="00010BF9">
            <w:pPr>
              <w:spacing w:line="360" w:lineRule="exact"/>
              <w:ind w:firstLineChars="0" w:firstLine="0"/>
              <w:jc w:val="center"/>
              <w:textAlignment w:val="center"/>
              <w:rPr>
                <w:sz w:val="18"/>
                <w:szCs w:val="18"/>
                <w:lang w:bidi="ar"/>
              </w:rPr>
            </w:pPr>
            <w:r>
              <w:rPr>
                <w:sz w:val="18"/>
                <w:szCs w:val="18"/>
                <w:lang w:bidi="ar"/>
              </w:rPr>
              <w:t>98</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5C641" w14:textId="77777777" w:rsidR="003E78AB" w:rsidRDefault="00010BF9">
            <w:pPr>
              <w:spacing w:line="360" w:lineRule="exact"/>
              <w:ind w:firstLineChars="0" w:firstLine="0"/>
              <w:jc w:val="center"/>
              <w:textAlignment w:val="center"/>
              <w:rPr>
                <w:sz w:val="18"/>
                <w:szCs w:val="18"/>
                <w:lang w:bidi="ar"/>
              </w:rPr>
            </w:pPr>
            <w:r>
              <w:rPr>
                <w:sz w:val="18"/>
                <w:szCs w:val="18"/>
                <w:lang w:bidi="ar"/>
              </w:rPr>
              <w:t>4.87</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A73F"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0.0605</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3EAA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0.0701</w:t>
            </w: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D4563" w14:textId="77777777" w:rsidR="003E78AB" w:rsidRDefault="00010BF9">
            <w:pPr>
              <w:pStyle w:val="aff6"/>
              <w:topLinePunct/>
              <w:rPr>
                <w:sz w:val="18"/>
                <w:szCs w:val="18"/>
              </w:rPr>
            </w:pPr>
            <w:r>
              <w:rPr>
                <w:rFonts w:hint="eastAsia"/>
                <w:sz w:val="18"/>
                <w:szCs w:val="18"/>
              </w:rPr>
              <w:t>30</w:t>
            </w:r>
          </w:p>
        </w:tc>
        <w:tc>
          <w:tcPr>
            <w:tcW w:w="848" w:type="pct"/>
            <w:vMerge/>
            <w:tcBorders>
              <w:left w:val="single" w:sz="4" w:space="0" w:color="000000"/>
              <w:right w:val="single" w:sz="4" w:space="0" w:color="000000"/>
            </w:tcBorders>
            <w:shd w:val="clear" w:color="auto" w:fill="auto"/>
            <w:noWrap/>
            <w:vAlign w:val="center"/>
          </w:tcPr>
          <w:p w14:paraId="40CB9618" w14:textId="77777777" w:rsidR="003E78AB" w:rsidRDefault="003E78AB">
            <w:pPr>
              <w:spacing w:line="360" w:lineRule="exact"/>
              <w:ind w:firstLineChars="0" w:firstLine="0"/>
              <w:jc w:val="center"/>
              <w:textAlignment w:val="center"/>
              <w:rPr>
                <w:sz w:val="18"/>
                <w:szCs w:val="18"/>
              </w:rPr>
            </w:pPr>
          </w:p>
        </w:tc>
      </w:tr>
      <w:tr w:rsidR="003E78AB" w14:paraId="7A0AE819" w14:textId="77777777">
        <w:trPr>
          <w:trHeight w:val="280"/>
        </w:trPr>
        <w:tc>
          <w:tcPr>
            <w:tcW w:w="23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14A66" w14:textId="77777777" w:rsidR="003E78AB" w:rsidRDefault="00010BF9">
            <w:pPr>
              <w:spacing w:line="360" w:lineRule="exact"/>
              <w:ind w:firstLineChars="0" w:firstLine="0"/>
              <w:jc w:val="center"/>
              <w:textAlignment w:val="center"/>
              <w:rPr>
                <w:sz w:val="18"/>
                <w:szCs w:val="18"/>
              </w:rPr>
            </w:pPr>
            <w:r>
              <w:rPr>
                <w:sz w:val="18"/>
                <w:szCs w:val="18"/>
                <w:lang w:bidi="ar"/>
              </w:rPr>
              <w:t>生产工序</w:t>
            </w:r>
          </w:p>
        </w:tc>
        <w:tc>
          <w:tcPr>
            <w:tcW w:w="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602844" w14:textId="77777777" w:rsidR="003E78AB" w:rsidRDefault="00010BF9">
            <w:pPr>
              <w:spacing w:line="360" w:lineRule="exact"/>
              <w:ind w:firstLineChars="0" w:firstLine="0"/>
              <w:jc w:val="center"/>
              <w:textAlignment w:val="center"/>
              <w:rPr>
                <w:sz w:val="18"/>
                <w:szCs w:val="18"/>
              </w:rPr>
            </w:pPr>
            <w:r>
              <w:rPr>
                <w:sz w:val="18"/>
                <w:szCs w:val="18"/>
                <w:lang w:bidi="ar"/>
              </w:rPr>
              <w:t>DA003</w:t>
            </w:r>
          </w:p>
        </w:tc>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559E5" w14:textId="77777777" w:rsidR="003E78AB" w:rsidRDefault="00010BF9">
            <w:pPr>
              <w:spacing w:line="360" w:lineRule="exact"/>
              <w:ind w:firstLineChars="0" w:firstLine="0"/>
              <w:jc w:val="center"/>
              <w:textAlignment w:val="center"/>
              <w:rPr>
                <w:sz w:val="18"/>
                <w:szCs w:val="18"/>
              </w:rPr>
            </w:pPr>
            <w:r>
              <w:rPr>
                <w:sz w:val="18"/>
                <w:szCs w:val="18"/>
                <w:lang w:bidi="ar"/>
              </w:rPr>
              <w:t>10000</w:t>
            </w:r>
          </w:p>
        </w:tc>
        <w:tc>
          <w:tcPr>
            <w:tcW w:w="23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691F1" w14:textId="77777777" w:rsidR="003E78AB" w:rsidRDefault="00010BF9">
            <w:pPr>
              <w:spacing w:line="360" w:lineRule="exact"/>
              <w:ind w:firstLineChars="0" w:firstLine="0"/>
              <w:jc w:val="center"/>
              <w:textAlignment w:val="center"/>
              <w:rPr>
                <w:sz w:val="18"/>
                <w:szCs w:val="18"/>
              </w:rPr>
            </w:pPr>
            <w:r>
              <w:rPr>
                <w:sz w:val="18"/>
                <w:szCs w:val="18"/>
                <w:lang w:bidi="ar"/>
              </w:rPr>
              <w:t>7920</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985D2" w14:textId="77777777" w:rsidR="003E78AB" w:rsidRDefault="00010BF9">
            <w:pPr>
              <w:spacing w:line="360" w:lineRule="exact"/>
              <w:ind w:firstLineChars="0" w:firstLine="0"/>
              <w:jc w:val="center"/>
              <w:textAlignment w:val="center"/>
              <w:rPr>
                <w:sz w:val="18"/>
                <w:szCs w:val="18"/>
              </w:rPr>
            </w:pPr>
            <w:r>
              <w:rPr>
                <w:sz w:val="18"/>
                <w:szCs w:val="18"/>
                <w:lang w:bidi="ar"/>
              </w:rPr>
              <w:t>硫酸雾</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96C5" w14:textId="77777777" w:rsidR="003E78AB" w:rsidRDefault="00010BF9">
            <w:pPr>
              <w:spacing w:line="360" w:lineRule="exact"/>
              <w:ind w:firstLineChars="0" w:firstLine="0"/>
              <w:jc w:val="center"/>
              <w:textAlignment w:val="center"/>
              <w:rPr>
                <w:sz w:val="18"/>
                <w:szCs w:val="18"/>
                <w:lang w:bidi="ar"/>
              </w:rPr>
            </w:pPr>
            <w:r>
              <w:rPr>
                <w:sz w:val="18"/>
                <w:szCs w:val="18"/>
                <w:lang w:bidi="ar"/>
              </w:rPr>
              <w:t>0.3549</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7B000" w14:textId="77777777" w:rsidR="003E78AB" w:rsidRDefault="00010BF9">
            <w:pPr>
              <w:spacing w:line="360" w:lineRule="exact"/>
              <w:ind w:firstLineChars="0" w:firstLine="0"/>
              <w:jc w:val="center"/>
              <w:textAlignment w:val="center"/>
              <w:rPr>
                <w:sz w:val="18"/>
                <w:szCs w:val="18"/>
                <w:lang w:bidi="ar"/>
              </w:rPr>
            </w:pPr>
            <w:r>
              <w:rPr>
                <w:sz w:val="18"/>
                <w:szCs w:val="18"/>
                <w:lang w:bidi="ar"/>
              </w:rPr>
              <w:t>3.5490</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ED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28.1077</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1081C9" w14:textId="77777777" w:rsidR="003E78AB" w:rsidRDefault="00010BF9">
            <w:pPr>
              <w:spacing w:line="360" w:lineRule="exact"/>
              <w:ind w:firstLineChars="0" w:firstLine="0"/>
              <w:jc w:val="center"/>
              <w:textAlignment w:val="center"/>
              <w:rPr>
                <w:sz w:val="18"/>
                <w:szCs w:val="18"/>
                <w:lang w:bidi="ar"/>
              </w:rPr>
            </w:pPr>
            <w:r>
              <w:rPr>
                <w:sz w:val="18"/>
                <w:szCs w:val="18"/>
                <w:lang w:bidi="ar"/>
              </w:rPr>
              <w:t>一级碱洗</w:t>
            </w:r>
            <w:r>
              <w:rPr>
                <w:sz w:val="18"/>
                <w:szCs w:val="18"/>
                <w:lang w:bidi="ar"/>
              </w:rPr>
              <w:t>+</w:t>
            </w:r>
            <w:r>
              <w:rPr>
                <w:sz w:val="18"/>
                <w:szCs w:val="18"/>
                <w:lang w:bidi="ar"/>
              </w:rPr>
              <w:t>一级水洗</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F3C1" w14:textId="77777777" w:rsidR="003E78AB" w:rsidRDefault="00010BF9">
            <w:pPr>
              <w:spacing w:line="360" w:lineRule="exact"/>
              <w:ind w:firstLineChars="0" w:firstLine="0"/>
              <w:jc w:val="center"/>
              <w:textAlignment w:val="center"/>
              <w:rPr>
                <w:sz w:val="18"/>
                <w:szCs w:val="18"/>
                <w:lang w:bidi="ar"/>
              </w:rPr>
            </w:pPr>
            <w:r>
              <w:rPr>
                <w:sz w:val="18"/>
                <w:szCs w:val="18"/>
                <w:lang w:bidi="ar"/>
              </w:rPr>
              <w:t>96</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716FE"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14.20</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9ECFB"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0.1420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549CC"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1.1243</w:t>
            </w: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D178A" w14:textId="77777777" w:rsidR="003E78AB" w:rsidRDefault="00010BF9">
            <w:pPr>
              <w:pStyle w:val="aff6"/>
              <w:topLinePunct/>
              <w:rPr>
                <w:sz w:val="18"/>
                <w:szCs w:val="18"/>
              </w:rPr>
            </w:pPr>
            <w:r>
              <w:rPr>
                <w:rFonts w:hint="eastAsia"/>
                <w:sz w:val="18"/>
                <w:szCs w:val="18"/>
              </w:rPr>
              <w:t>20</w:t>
            </w:r>
          </w:p>
        </w:tc>
        <w:tc>
          <w:tcPr>
            <w:tcW w:w="848" w:type="pct"/>
            <w:vMerge/>
            <w:tcBorders>
              <w:left w:val="single" w:sz="4" w:space="0" w:color="000000"/>
              <w:bottom w:val="single" w:sz="4" w:space="0" w:color="000000"/>
              <w:right w:val="single" w:sz="4" w:space="0" w:color="000000"/>
            </w:tcBorders>
            <w:shd w:val="clear" w:color="auto" w:fill="auto"/>
            <w:noWrap/>
            <w:vAlign w:val="center"/>
          </w:tcPr>
          <w:p w14:paraId="1F3CC980" w14:textId="77777777" w:rsidR="003E78AB" w:rsidRDefault="003E78AB">
            <w:pPr>
              <w:spacing w:line="360" w:lineRule="exact"/>
              <w:ind w:firstLineChars="0" w:firstLine="0"/>
              <w:jc w:val="center"/>
              <w:textAlignment w:val="center"/>
              <w:rPr>
                <w:sz w:val="18"/>
                <w:szCs w:val="18"/>
              </w:rPr>
            </w:pPr>
          </w:p>
        </w:tc>
      </w:tr>
      <w:tr w:rsidR="003E78AB" w14:paraId="0FF5BEE9" w14:textId="77777777">
        <w:trPr>
          <w:trHeight w:val="280"/>
        </w:trPr>
        <w:tc>
          <w:tcPr>
            <w:tcW w:w="2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F48E" w14:textId="77777777" w:rsidR="003E78AB" w:rsidRDefault="003E78AB">
            <w:pPr>
              <w:spacing w:line="360" w:lineRule="exact"/>
              <w:ind w:firstLineChars="0" w:firstLine="0"/>
              <w:jc w:val="center"/>
              <w:rPr>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0AD99" w14:textId="77777777" w:rsidR="003E78AB" w:rsidRDefault="003E78AB">
            <w:pPr>
              <w:spacing w:line="360" w:lineRule="exact"/>
              <w:ind w:firstLineChars="0" w:firstLine="0"/>
              <w:jc w:val="center"/>
              <w:rPr>
                <w:sz w:val="18"/>
                <w:szCs w:val="18"/>
              </w:rPr>
            </w:pPr>
          </w:p>
        </w:tc>
        <w:tc>
          <w:tcPr>
            <w:tcW w:w="24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A166" w14:textId="77777777" w:rsidR="003E78AB" w:rsidRDefault="003E78AB">
            <w:pPr>
              <w:spacing w:line="360" w:lineRule="exact"/>
              <w:ind w:firstLineChars="0" w:firstLine="0"/>
              <w:jc w:val="center"/>
              <w:rPr>
                <w:sz w:val="18"/>
                <w:szCs w:val="18"/>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7F3A" w14:textId="77777777" w:rsidR="003E78AB" w:rsidRDefault="003E78AB">
            <w:pPr>
              <w:spacing w:line="360" w:lineRule="exact"/>
              <w:ind w:firstLineChars="0" w:firstLine="0"/>
              <w:jc w:val="center"/>
              <w:rPr>
                <w:sz w:val="18"/>
                <w:szCs w:val="18"/>
              </w:rPr>
            </w:pP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99E41" w14:textId="77777777" w:rsidR="003E78AB" w:rsidRDefault="00010BF9">
            <w:pPr>
              <w:spacing w:line="360" w:lineRule="exact"/>
              <w:ind w:firstLineChars="0" w:firstLine="0"/>
              <w:jc w:val="center"/>
              <w:textAlignment w:val="center"/>
              <w:rPr>
                <w:sz w:val="18"/>
                <w:szCs w:val="18"/>
              </w:rPr>
            </w:pPr>
            <w:r>
              <w:rPr>
                <w:sz w:val="18"/>
                <w:szCs w:val="18"/>
                <w:lang w:bidi="ar"/>
              </w:rPr>
              <w:t>磷酸雾</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8D058" w14:textId="77777777" w:rsidR="003E78AB" w:rsidRDefault="00010BF9">
            <w:pPr>
              <w:spacing w:line="360" w:lineRule="exact"/>
              <w:ind w:firstLineChars="0" w:firstLine="0"/>
              <w:jc w:val="center"/>
              <w:textAlignment w:val="center"/>
              <w:rPr>
                <w:sz w:val="18"/>
                <w:szCs w:val="18"/>
                <w:lang w:bidi="ar"/>
              </w:rPr>
            </w:pPr>
            <w:r>
              <w:rPr>
                <w:sz w:val="18"/>
                <w:szCs w:val="18"/>
                <w:lang w:bidi="ar"/>
              </w:rPr>
              <w:t>0.0286</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DAAAA" w14:textId="77777777" w:rsidR="003E78AB" w:rsidRDefault="00010BF9">
            <w:pPr>
              <w:spacing w:line="360" w:lineRule="exact"/>
              <w:ind w:firstLineChars="0" w:firstLine="0"/>
              <w:jc w:val="center"/>
              <w:textAlignment w:val="center"/>
              <w:rPr>
                <w:sz w:val="18"/>
                <w:szCs w:val="18"/>
                <w:lang w:bidi="ar"/>
              </w:rPr>
            </w:pPr>
            <w:r>
              <w:rPr>
                <w:sz w:val="18"/>
                <w:szCs w:val="18"/>
                <w:lang w:bidi="ar"/>
              </w:rPr>
              <w:t>0.2857</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92EC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2.2628</w:t>
            </w: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C434DF" w14:textId="77777777" w:rsidR="003E78AB" w:rsidRDefault="003E78AB">
            <w:pPr>
              <w:spacing w:line="360" w:lineRule="exact"/>
              <w:ind w:firstLineChars="0" w:firstLine="0"/>
              <w:jc w:val="center"/>
              <w:textAlignment w:val="center"/>
              <w:rPr>
                <w:sz w:val="18"/>
                <w:szCs w:val="18"/>
                <w:lang w:bidi="ar"/>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D5224"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92</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4DDC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2.29</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C3B8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0.0229</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4E272"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0.1810</w:t>
            </w: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FE391"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F557" w14:textId="77777777" w:rsidR="003E78AB" w:rsidRDefault="00010BF9">
            <w:pPr>
              <w:spacing w:line="360" w:lineRule="exact"/>
              <w:ind w:firstLineChars="0" w:firstLine="0"/>
              <w:jc w:val="center"/>
              <w:rPr>
                <w:sz w:val="18"/>
                <w:szCs w:val="18"/>
              </w:rPr>
            </w:pPr>
            <w:r>
              <w:rPr>
                <w:rFonts w:hint="eastAsia"/>
                <w:sz w:val="18"/>
                <w:szCs w:val="18"/>
              </w:rPr>
              <w:t>/</w:t>
            </w:r>
          </w:p>
        </w:tc>
      </w:tr>
      <w:tr w:rsidR="003E78AB" w14:paraId="3596487E" w14:textId="77777777">
        <w:trPr>
          <w:trHeight w:val="348"/>
        </w:trPr>
        <w:tc>
          <w:tcPr>
            <w:tcW w:w="2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99BE0" w14:textId="77777777" w:rsidR="003E78AB" w:rsidRDefault="003E78AB">
            <w:pPr>
              <w:spacing w:line="360" w:lineRule="exact"/>
              <w:ind w:firstLineChars="0" w:firstLine="0"/>
              <w:jc w:val="center"/>
              <w:rPr>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DD929" w14:textId="77777777" w:rsidR="003E78AB" w:rsidRDefault="003E78AB">
            <w:pPr>
              <w:spacing w:line="360" w:lineRule="exact"/>
              <w:ind w:firstLineChars="0" w:firstLine="0"/>
              <w:jc w:val="center"/>
              <w:rPr>
                <w:sz w:val="18"/>
                <w:szCs w:val="18"/>
              </w:rPr>
            </w:pPr>
          </w:p>
        </w:tc>
        <w:tc>
          <w:tcPr>
            <w:tcW w:w="24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0CC3D" w14:textId="77777777" w:rsidR="003E78AB" w:rsidRDefault="003E78AB">
            <w:pPr>
              <w:spacing w:line="360" w:lineRule="exact"/>
              <w:ind w:firstLineChars="0" w:firstLine="0"/>
              <w:jc w:val="center"/>
              <w:rPr>
                <w:sz w:val="18"/>
                <w:szCs w:val="18"/>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831E7" w14:textId="77777777" w:rsidR="003E78AB" w:rsidRDefault="003E78AB">
            <w:pPr>
              <w:spacing w:line="360" w:lineRule="exact"/>
              <w:ind w:firstLineChars="0" w:firstLine="0"/>
              <w:jc w:val="center"/>
              <w:rPr>
                <w:sz w:val="18"/>
                <w:szCs w:val="18"/>
              </w:rPr>
            </w:pPr>
          </w:p>
        </w:tc>
        <w:tc>
          <w:tcPr>
            <w:tcW w:w="268" w:type="pct"/>
            <w:vMerge w:val="restart"/>
            <w:tcBorders>
              <w:top w:val="single" w:sz="4" w:space="0" w:color="000000"/>
              <w:left w:val="single" w:sz="4" w:space="0" w:color="000000"/>
              <w:right w:val="single" w:sz="4" w:space="0" w:color="auto"/>
            </w:tcBorders>
            <w:shd w:val="clear" w:color="auto" w:fill="auto"/>
            <w:noWrap/>
            <w:vAlign w:val="center"/>
          </w:tcPr>
          <w:p w14:paraId="3F1F3A91" w14:textId="77777777" w:rsidR="003E78AB" w:rsidRDefault="00010BF9">
            <w:pPr>
              <w:spacing w:line="360" w:lineRule="exact"/>
              <w:ind w:firstLineChars="0" w:firstLine="0"/>
              <w:jc w:val="center"/>
              <w:textAlignment w:val="bottom"/>
              <w:rPr>
                <w:b/>
                <w:bCs/>
                <w:sz w:val="18"/>
                <w:szCs w:val="18"/>
                <w:u w:val="single"/>
                <w:lang w:bidi="ar"/>
              </w:rPr>
            </w:pPr>
            <w:r>
              <w:rPr>
                <w:rFonts w:hint="eastAsia"/>
                <w:b/>
                <w:bCs/>
                <w:sz w:val="18"/>
                <w:szCs w:val="18"/>
                <w:u w:val="single"/>
                <w:lang w:bidi="ar"/>
              </w:rPr>
              <w:t>VOCs</w:t>
            </w:r>
          </w:p>
        </w:tc>
        <w:tc>
          <w:tcPr>
            <w:tcW w:w="280"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2C16A9BD"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草酸雾</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A8210"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01150.</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C87D1"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0.1145</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314E5"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0.9071</w:t>
            </w: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58955" w14:textId="77777777" w:rsidR="003E78AB" w:rsidRDefault="003E78AB">
            <w:pPr>
              <w:spacing w:line="360" w:lineRule="exact"/>
              <w:ind w:firstLineChars="0" w:firstLine="0"/>
              <w:jc w:val="center"/>
              <w:textAlignment w:val="center"/>
              <w:rPr>
                <w:sz w:val="18"/>
                <w:szCs w:val="18"/>
                <w:lang w:bidi="ar"/>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6130" w14:textId="77777777" w:rsidR="003E78AB" w:rsidRDefault="00010BF9">
            <w:pPr>
              <w:spacing w:line="360" w:lineRule="exact"/>
              <w:ind w:firstLineChars="0" w:firstLine="0"/>
              <w:jc w:val="center"/>
              <w:textAlignment w:val="center"/>
              <w:rPr>
                <w:b/>
                <w:bCs/>
                <w:sz w:val="18"/>
                <w:szCs w:val="18"/>
                <w:u w:val="single"/>
                <w:lang w:bidi="ar"/>
              </w:rPr>
            </w:pPr>
            <w:r>
              <w:rPr>
                <w:rFonts w:hint="eastAsia"/>
                <w:b/>
                <w:bCs/>
                <w:sz w:val="18"/>
                <w:szCs w:val="18"/>
                <w:u w:val="single"/>
                <w:lang w:bidi="ar"/>
              </w:rPr>
              <w:t>86.5</w:t>
            </w:r>
          </w:p>
        </w:tc>
        <w:tc>
          <w:tcPr>
            <w:tcW w:w="284" w:type="pct"/>
            <w:vMerge w:val="restart"/>
            <w:tcBorders>
              <w:top w:val="single" w:sz="4" w:space="0" w:color="000000"/>
              <w:left w:val="single" w:sz="4" w:space="0" w:color="000000"/>
              <w:right w:val="single" w:sz="4" w:space="0" w:color="000000"/>
            </w:tcBorders>
            <w:shd w:val="clear" w:color="auto" w:fill="auto"/>
            <w:noWrap/>
            <w:vAlign w:val="center"/>
          </w:tcPr>
          <w:p w14:paraId="43D74A13" w14:textId="77777777" w:rsidR="003E78AB" w:rsidRDefault="00010BF9">
            <w:pPr>
              <w:spacing w:line="360" w:lineRule="exact"/>
              <w:ind w:firstLineChars="0" w:firstLine="0"/>
              <w:jc w:val="center"/>
              <w:textAlignment w:val="center"/>
              <w:rPr>
                <w:b/>
                <w:bCs/>
                <w:sz w:val="18"/>
                <w:szCs w:val="18"/>
                <w:u w:val="single"/>
                <w:lang w:bidi="ar"/>
              </w:rPr>
            </w:pPr>
            <w:r>
              <w:rPr>
                <w:rFonts w:hint="eastAsia"/>
                <w:b/>
                <w:bCs/>
                <w:sz w:val="18"/>
                <w:szCs w:val="18"/>
                <w:u w:val="single"/>
                <w:lang w:bidi="ar"/>
              </w:rPr>
              <w:t>4.61</w:t>
            </w:r>
          </w:p>
        </w:tc>
        <w:tc>
          <w:tcPr>
            <w:tcW w:w="289" w:type="pct"/>
            <w:vMerge w:val="restart"/>
            <w:tcBorders>
              <w:top w:val="single" w:sz="4" w:space="0" w:color="000000"/>
              <w:left w:val="single" w:sz="4" w:space="0" w:color="000000"/>
              <w:right w:val="single" w:sz="4" w:space="0" w:color="000000"/>
            </w:tcBorders>
            <w:shd w:val="clear" w:color="auto" w:fill="auto"/>
            <w:noWrap/>
            <w:vAlign w:val="center"/>
          </w:tcPr>
          <w:p w14:paraId="35419A5D" w14:textId="77777777" w:rsidR="003E78AB" w:rsidRDefault="00010BF9">
            <w:pPr>
              <w:spacing w:line="360" w:lineRule="exact"/>
              <w:ind w:firstLineChars="0" w:firstLine="0"/>
              <w:jc w:val="center"/>
              <w:textAlignment w:val="center"/>
              <w:rPr>
                <w:b/>
                <w:bCs/>
                <w:sz w:val="18"/>
                <w:szCs w:val="18"/>
                <w:u w:val="single"/>
                <w:lang w:bidi="ar"/>
              </w:rPr>
            </w:pPr>
            <w:r>
              <w:rPr>
                <w:rFonts w:hint="eastAsia"/>
                <w:b/>
                <w:bCs/>
                <w:sz w:val="18"/>
                <w:szCs w:val="18"/>
                <w:u w:val="single"/>
                <w:lang w:bidi="ar"/>
              </w:rPr>
              <w:t>0.0461</w:t>
            </w:r>
          </w:p>
        </w:tc>
        <w:tc>
          <w:tcPr>
            <w:tcW w:w="282" w:type="pct"/>
            <w:vMerge w:val="restart"/>
            <w:tcBorders>
              <w:top w:val="single" w:sz="4" w:space="0" w:color="000000"/>
              <w:left w:val="single" w:sz="4" w:space="0" w:color="000000"/>
              <w:right w:val="single" w:sz="4" w:space="0" w:color="000000"/>
            </w:tcBorders>
            <w:shd w:val="clear" w:color="auto" w:fill="auto"/>
            <w:noWrap/>
            <w:vAlign w:val="center"/>
          </w:tcPr>
          <w:p w14:paraId="30CBA4FF" w14:textId="77777777" w:rsidR="003E78AB" w:rsidRDefault="00010BF9">
            <w:pPr>
              <w:spacing w:line="360" w:lineRule="exact"/>
              <w:ind w:firstLineChars="0" w:firstLine="0"/>
              <w:jc w:val="center"/>
              <w:textAlignment w:val="center"/>
              <w:rPr>
                <w:b/>
                <w:bCs/>
                <w:sz w:val="18"/>
                <w:szCs w:val="18"/>
                <w:u w:val="single"/>
                <w:lang w:bidi="ar"/>
              </w:rPr>
            </w:pPr>
            <w:r>
              <w:rPr>
                <w:rFonts w:hint="eastAsia"/>
                <w:b/>
                <w:bCs/>
                <w:sz w:val="18"/>
                <w:szCs w:val="18"/>
                <w:u w:val="single"/>
                <w:lang w:bidi="ar"/>
              </w:rPr>
              <w:t>0.3649</w:t>
            </w:r>
          </w:p>
        </w:tc>
        <w:tc>
          <w:tcPr>
            <w:tcW w:w="311" w:type="pct"/>
            <w:vMerge w:val="restart"/>
            <w:tcBorders>
              <w:top w:val="single" w:sz="4" w:space="0" w:color="000000"/>
              <w:left w:val="single" w:sz="4" w:space="0" w:color="000000"/>
              <w:right w:val="single" w:sz="4" w:space="0" w:color="000000"/>
            </w:tcBorders>
            <w:shd w:val="clear" w:color="auto" w:fill="auto"/>
            <w:noWrap/>
            <w:vAlign w:val="center"/>
          </w:tcPr>
          <w:p w14:paraId="0F85A1DB" w14:textId="77777777" w:rsidR="003E78AB" w:rsidRDefault="00010BF9">
            <w:pPr>
              <w:pStyle w:val="aff6"/>
              <w:topLinePunct/>
              <w:rPr>
                <w:sz w:val="18"/>
                <w:szCs w:val="18"/>
              </w:rPr>
            </w:pPr>
            <w:r>
              <w:rPr>
                <w:rFonts w:hint="eastAsia"/>
                <w:sz w:val="18"/>
                <w:szCs w:val="18"/>
              </w:rPr>
              <w:t>/</w:t>
            </w:r>
          </w:p>
        </w:tc>
        <w:tc>
          <w:tcPr>
            <w:tcW w:w="848" w:type="pct"/>
            <w:vMerge w:val="restart"/>
            <w:tcBorders>
              <w:top w:val="single" w:sz="4" w:space="0" w:color="000000"/>
              <w:left w:val="single" w:sz="4" w:space="0" w:color="000000"/>
              <w:right w:val="single" w:sz="4" w:space="0" w:color="000000"/>
            </w:tcBorders>
            <w:shd w:val="clear" w:color="auto" w:fill="auto"/>
            <w:noWrap/>
            <w:vAlign w:val="center"/>
          </w:tcPr>
          <w:p w14:paraId="149F1286" w14:textId="77777777" w:rsidR="003E78AB" w:rsidRDefault="00010BF9">
            <w:pPr>
              <w:spacing w:line="360" w:lineRule="exact"/>
              <w:ind w:firstLineChars="0" w:firstLine="0"/>
              <w:jc w:val="center"/>
              <w:rPr>
                <w:sz w:val="18"/>
                <w:szCs w:val="18"/>
              </w:rPr>
            </w:pPr>
            <w:r>
              <w:rPr>
                <w:rFonts w:hint="eastAsia"/>
                <w:sz w:val="18"/>
                <w:szCs w:val="18"/>
              </w:rPr>
              <w:t>/</w:t>
            </w:r>
          </w:p>
        </w:tc>
      </w:tr>
      <w:tr w:rsidR="003E78AB" w14:paraId="5E91D5C6" w14:textId="77777777">
        <w:trPr>
          <w:trHeight w:val="280"/>
        </w:trPr>
        <w:tc>
          <w:tcPr>
            <w:tcW w:w="2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CAE2" w14:textId="77777777" w:rsidR="003E78AB" w:rsidRDefault="003E78AB">
            <w:pPr>
              <w:spacing w:line="360" w:lineRule="exact"/>
              <w:ind w:firstLineChars="0" w:firstLine="0"/>
              <w:jc w:val="center"/>
              <w:rPr>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DF3A62" w14:textId="77777777" w:rsidR="003E78AB" w:rsidRDefault="003E78AB">
            <w:pPr>
              <w:spacing w:line="360" w:lineRule="exact"/>
              <w:ind w:firstLineChars="0" w:firstLine="0"/>
              <w:jc w:val="center"/>
              <w:rPr>
                <w:sz w:val="18"/>
                <w:szCs w:val="18"/>
              </w:rPr>
            </w:pPr>
          </w:p>
        </w:tc>
        <w:tc>
          <w:tcPr>
            <w:tcW w:w="24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FAC3A" w14:textId="77777777" w:rsidR="003E78AB" w:rsidRDefault="003E78AB">
            <w:pPr>
              <w:spacing w:line="360" w:lineRule="exact"/>
              <w:ind w:firstLineChars="0" w:firstLine="0"/>
              <w:jc w:val="center"/>
              <w:rPr>
                <w:sz w:val="18"/>
                <w:szCs w:val="18"/>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F2C2" w14:textId="77777777" w:rsidR="003E78AB" w:rsidRDefault="003E78AB">
            <w:pPr>
              <w:spacing w:line="360" w:lineRule="exact"/>
              <w:ind w:firstLineChars="0" w:firstLine="0"/>
              <w:jc w:val="center"/>
              <w:rPr>
                <w:sz w:val="18"/>
                <w:szCs w:val="18"/>
              </w:rPr>
            </w:pPr>
          </w:p>
        </w:tc>
        <w:tc>
          <w:tcPr>
            <w:tcW w:w="268" w:type="pct"/>
            <w:vMerge/>
            <w:tcBorders>
              <w:left w:val="single" w:sz="4" w:space="0" w:color="000000"/>
              <w:bottom w:val="single" w:sz="4" w:space="0" w:color="000000"/>
              <w:right w:val="single" w:sz="4" w:space="0" w:color="auto"/>
            </w:tcBorders>
            <w:shd w:val="clear" w:color="auto" w:fill="auto"/>
            <w:noWrap/>
            <w:vAlign w:val="center"/>
          </w:tcPr>
          <w:p w14:paraId="6183AD1A" w14:textId="77777777" w:rsidR="003E78AB" w:rsidRDefault="003E78AB">
            <w:pPr>
              <w:spacing w:line="360" w:lineRule="exact"/>
              <w:ind w:firstLineChars="0" w:firstLine="0"/>
              <w:jc w:val="center"/>
              <w:textAlignment w:val="bottom"/>
              <w:rPr>
                <w:b/>
                <w:bCs/>
                <w:sz w:val="18"/>
                <w:szCs w:val="18"/>
                <w:u w:val="single"/>
              </w:rPr>
            </w:pPr>
          </w:p>
        </w:tc>
        <w:tc>
          <w:tcPr>
            <w:tcW w:w="280"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1394BA3B"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甲酸雾</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91F9B"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0.0340</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E63AA"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0.3401</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28E2" w14:textId="77777777" w:rsidR="003E78AB" w:rsidRDefault="00010BF9">
            <w:pPr>
              <w:spacing w:line="360" w:lineRule="exact"/>
              <w:ind w:firstLineChars="0" w:firstLine="0"/>
              <w:jc w:val="center"/>
              <w:textAlignment w:val="bottom"/>
              <w:rPr>
                <w:b/>
                <w:bCs/>
                <w:sz w:val="18"/>
                <w:szCs w:val="18"/>
                <w:u w:val="single"/>
                <w:lang w:bidi="ar"/>
              </w:rPr>
            </w:pPr>
            <w:r>
              <w:rPr>
                <w:b/>
                <w:bCs/>
                <w:sz w:val="18"/>
                <w:szCs w:val="18"/>
                <w:u w:val="single"/>
                <w:lang w:bidi="ar"/>
              </w:rPr>
              <w:t>2.6939</w:t>
            </w: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271B74" w14:textId="77777777" w:rsidR="003E78AB" w:rsidRDefault="003E78AB">
            <w:pPr>
              <w:spacing w:line="360" w:lineRule="exact"/>
              <w:ind w:firstLineChars="0" w:firstLine="0"/>
              <w:jc w:val="center"/>
              <w:textAlignment w:val="center"/>
              <w:rPr>
                <w:sz w:val="18"/>
                <w:szCs w:val="18"/>
                <w:lang w:bidi="ar"/>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F134" w14:textId="77777777" w:rsidR="003E78AB" w:rsidRDefault="00010BF9">
            <w:pPr>
              <w:spacing w:line="360" w:lineRule="exact"/>
              <w:ind w:firstLineChars="0" w:firstLine="0"/>
              <w:jc w:val="center"/>
              <w:textAlignment w:val="center"/>
              <w:rPr>
                <w:sz w:val="18"/>
                <w:szCs w:val="18"/>
                <w:lang w:bidi="ar"/>
              </w:rPr>
            </w:pPr>
            <w:r>
              <w:rPr>
                <w:rFonts w:hint="eastAsia"/>
                <w:b/>
                <w:bCs/>
                <w:sz w:val="18"/>
                <w:szCs w:val="18"/>
                <w:u w:val="single"/>
                <w:lang w:bidi="ar"/>
              </w:rPr>
              <w:t>91</w:t>
            </w:r>
          </w:p>
        </w:tc>
        <w:tc>
          <w:tcPr>
            <w:tcW w:w="284" w:type="pct"/>
            <w:vMerge/>
            <w:tcBorders>
              <w:left w:val="single" w:sz="4" w:space="0" w:color="000000"/>
              <w:bottom w:val="single" w:sz="4" w:space="0" w:color="000000"/>
              <w:right w:val="single" w:sz="4" w:space="0" w:color="000000"/>
            </w:tcBorders>
            <w:shd w:val="clear" w:color="auto" w:fill="auto"/>
            <w:noWrap/>
            <w:vAlign w:val="center"/>
          </w:tcPr>
          <w:p w14:paraId="66B63D57" w14:textId="77777777" w:rsidR="003E78AB" w:rsidRDefault="003E78AB">
            <w:pPr>
              <w:spacing w:line="360" w:lineRule="exact"/>
              <w:ind w:firstLineChars="0" w:firstLine="0"/>
              <w:jc w:val="center"/>
              <w:textAlignment w:val="center"/>
              <w:rPr>
                <w:sz w:val="18"/>
                <w:szCs w:val="18"/>
                <w:lang w:bidi="ar"/>
              </w:rPr>
            </w:pPr>
          </w:p>
        </w:tc>
        <w:tc>
          <w:tcPr>
            <w:tcW w:w="289" w:type="pct"/>
            <w:vMerge/>
            <w:tcBorders>
              <w:left w:val="single" w:sz="4" w:space="0" w:color="000000"/>
              <w:bottom w:val="single" w:sz="4" w:space="0" w:color="000000"/>
              <w:right w:val="single" w:sz="4" w:space="0" w:color="000000"/>
            </w:tcBorders>
            <w:shd w:val="clear" w:color="auto" w:fill="auto"/>
            <w:noWrap/>
            <w:vAlign w:val="center"/>
          </w:tcPr>
          <w:p w14:paraId="785C308F" w14:textId="77777777" w:rsidR="003E78AB" w:rsidRDefault="003E78AB">
            <w:pPr>
              <w:spacing w:line="360" w:lineRule="exact"/>
              <w:ind w:firstLineChars="0" w:firstLine="0"/>
              <w:jc w:val="center"/>
              <w:textAlignment w:val="center"/>
              <w:rPr>
                <w:sz w:val="18"/>
                <w:szCs w:val="18"/>
                <w:lang w:bidi="ar"/>
              </w:rPr>
            </w:pPr>
          </w:p>
        </w:tc>
        <w:tc>
          <w:tcPr>
            <w:tcW w:w="282" w:type="pct"/>
            <w:vMerge/>
            <w:tcBorders>
              <w:left w:val="single" w:sz="4" w:space="0" w:color="000000"/>
              <w:bottom w:val="single" w:sz="4" w:space="0" w:color="000000"/>
              <w:right w:val="single" w:sz="4" w:space="0" w:color="000000"/>
            </w:tcBorders>
            <w:shd w:val="clear" w:color="auto" w:fill="auto"/>
            <w:noWrap/>
            <w:vAlign w:val="center"/>
          </w:tcPr>
          <w:p w14:paraId="03BFC4C1" w14:textId="77777777" w:rsidR="003E78AB" w:rsidRDefault="003E78AB">
            <w:pPr>
              <w:spacing w:line="360" w:lineRule="exact"/>
              <w:ind w:firstLineChars="0" w:firstLine="0"/>
              <w:jc w:val="center"/>
              <w:textAlignment w:val="center"/>
              <w:rPr>
                <w:sz w:val="18"/>
                <w:szCs w:val="18"/>
                <w:lang w:bidi="ar"/>
              </w:rPr>
            </w:pPr>
          </w:p>
        </w:tc>
        <w:tc>
          <w:tcPr>
            <w:tcW w:w="311" w:type="pct"/>
            <w:vMerge/>
            <w:tcBorders>
              <w:left w:val="single" w:sz="4" w:space="0" w:color="000000"/>
              <w:bottom w:val="single" w:sz="4" w:space="0" w:color="000000"/>
              <w:right w:val="single" w:sz="4" w:space="0" w:color="000000"/>
            </w:tcBorders>
            <w:shd w:val="clear" w:color="auto" w:fill="auto"/>
            <w:noWrap/>
            <w:vAlign w:val="center"/>
          </w:tcPr>
          <w:p w14:paraId="6EEBDBAE" w14:textId="77777777" w:rsidR="003E78AB" w:rsidRDefault="003E78AB">
            <w:pPr>
              <w:pStyle w:val="aff6"/>
              <w:topLinePunct/>
              <w:rPr>
                <w:sz w:val="18"/>
                <w:szCs w:val="18"/>
              </w:rPr>
            </w:pPr>
          </w:p>
        </w:tc>
        <w:tc>
          <w:tcPr>
            <w:tcW w:w="848" w:type="pct"/>
            <w:vMerge/>
            <w:tcBorders>
              <w:left w:val="single" w:sz="4" w:space="0" w:color="000000"/>
              <w:bottom w:val="single" w:sz="4" w:space="0" w:color="000000"/>
              <w:right w:val="single" w:sz="4" w:space="0" w:color="000000"/>
            </w:tcBorders>
            <w:shd w:val="clear" w:color="auto" w:fill="auto"/>
            <w:noWrap/>
            <w:vAlign w:val="center"/>
          </w:tcPr>
          <w:p w14:paraId="69578B8F" w14:textId="77777777" w:rsidR="003E78AB" w:rsidRDefault="003E78AB">
            <w:pPr>
              <w:spacing w:line="360" w:lineRule="exact"/>
              <w:ind w:firstLineChars="0" w:firstLine="0"/>
              <w:jc w:val="center"/>
              <w:rPr>
                <w:sz w:val="18"/>
                <w:szCs w:val="18"/>
              </w:rPr>
            </w:pPr>
          </w:p>
        </w:tc>
      </w:tr>
      <w:tr w:rsidR="003E78AB" w14:paraId="1AF0FE79" w14:textId="77777777">
        <w:trPr>
          <w:trHeight w:val="280"/>
        </w:trPr>
        <w:tc>
          <w:tcPr>
            <w:tcW w:w="23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2EB31" w14:textId="77777777" w:rsidR="003E78AB" w:rsidRDefault="00010BF9">
            <w:pPr>
              <w:spacing w:line="360" w:lineRule="exact"/>
              <w:ind w:firstLineChars="0" w:firstLine="0"/>
              <w:jc w:val="center"/>
              <w:textAlignment w:val="center"/>
              <w:rPr>
                <w:sz w:val="18"/>
                <w:szCs w:val="18"/>
              </w:rPr>
            </w:pPr>
            <w:r>
              <w:rPr>
                <w:sz w:val="18"/>
                <w:szCs w:val="18"/>
                <w:lang w:bidi="ar"/>
              </w:rPr>
              <w:t>燃气锅炉</w:t>
            </w:r>
          </w:p>
        </w:tc>
        <w:tc>
          <w:tcPr>
            <w:tcW w:w="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C57D9C" w14:textId="77777777" w:rsidR="003E78AB" w:rsidRDefault="00010BF9">
            <w:pPr>
              <w:spacing w:line="360" w:lineRule="exact"/>
              <w:ind w:firstLineChars="0" w:firstLine="0"/>
              <w:jc w:val="center"/>
              <w:textAlignment w:val="center"/>
              <w:rPr>
                <w:sz w:val="18"/>
                <w:szCs w:val="18"/>
              </w:rPr>
            </w:pPr>
            <w:r>
              <w:rPr>
                <w:sz w:val="18"/>
                <w:szCs w:val="18"/>
                <w:lang w:bidi="ar"/>
              </w:rPr>
              <w:t>DA004</w:t>
            </w:r>
          </w:p>
        </w:tc>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09619" w14:textId="77777777" w:rsidR="003E78AB" w:rsidRDefault="00010BF9">
            <w:pPr>
              <w:spacing w:line="360" w:lineRule="exact"/>
              <w:ind w:firstLineChars="0" w:firstLine="0"/>
              <w:jc w:val="center"/>
              <w:textAlignment w:val="center"/>
              <w:rPr>
                <w:sz w:val="18"/>
                <w:szCs w:val="18"/>
              </w:rPr>
            </w:pPr>
            <w:r>
              <w:rPr>
                <w:sz w:val="18"/>
                <w:szCs w:val="18"/>
                <w:lang w:bidi="ar"/>
              </w:rPr>
              <w:t>471</w:t>
            </w:r>
            <w:r>
              <w:rPr>
                <w:rFonts w:hint="eastAsia"/>
                <w:sz w:val="18"/>
                <w:szCs w:val="18"/>
                <w:lang w:bidi="ar"/>
              </w:rPr>
              <w:t>1</w:t>
            </w:r>
          </w:p>
        </w:tc>
        <w:tc>
          <w:tcPr>
            <w:tcW w:w="23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B2169" w14:textId="77777777" w:rsidR="003E78AB" w:rsidRDefault="00010BF9">
            <w:pPr>
              <w:spacing w:line="360" w:lineRule="exact"/>
              <w:ind w:firstLineChars="0" w:firstLine="0"/>
              <w:jc w:val="center"/>
              <w:textAlignment w:val="center"/>
              <w:rPr>
                <w:sz w:val="18"/>
                <w:szCs w:val="18"/>
              </w:rPr>
            </w:pPr>
            <w:r>
              <w:rPr>
                <w:sz w:val="18"/>
                <w:szCs w:val="18"/>
                <w:lang w:bidi="ar"/>
              </w:rPr>
              <w:t>4320</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7D9B5F"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E90BC"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5.90</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354A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0.0278</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2D0F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0.1201</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67BF8A" w14:textId="77777777" w:rsidR="003E78AB" w:rsidRDefault="00010BF9">
            <w:pPr>
              <w:spacing w:line="360" w:lineRule="exact"/>
              <w:ind w:firstLineChars="0" w:firstLine="0"/>
              <w:jc w:val="center"/>
              <w:textAlignment w:val="center"/>
              <w:rPr>
                <w:sz w:val="18"/>
                <w:szCs w:val="18"/>
                <w:lang w:bidi="ar"/>
              </w:rPr>
            </w:pPr>
            <w:r>
              <w:rPr>
                <w:sz w:val="18"/>
                <w:szCs w:val="18"/>
                <w:lang w:bidi="ar"/>
              </w:rPr>
              <w:t>低氮燃烧</w:t>
            </w:r>
            <w:r>
              <w:rPr>
                <w:sz w:val="18"/>
                <w:szCs w:val="18"/>
                <w:lang w:bidi="ar"/>
              </w:rPr>
              <w:t>+</w:t>
            </w:r>
            <w:r>
              <w:rPr>
                <w:sz w:val="18"/>
                <w:szCs w:val="18"/>
                <w:lang w:bidi="ar"/>
              </w:rPr>
              <w:t>烟气再循环技术</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BFE3A" w14:textId="77777777" w:rsidR="003E78AB" w:rsidRDefault="00010BF9">
            <w:pPr>
              <w:spacing w:line="360" w:lineRule="exact"/>
              <w:ind w:firstLineChars="0" w:firstLine="0"/>
              <w:jc w:val="center"/>
              <w:textAlignment w:val="center"/>
              <w:rPr>
                <w:sz w:val="18"/>
                <w:szCs w:val="18"/>
                <w:lang w:bidi="ar"/>
              </w:rPr>
            </w:pPr>
            <w:r>
              <w:rPr>
                <w:sz w:val="18"/>
                <w:szCs w:val="18"/>
                <w:lang w:bidi="ar"/>
              </w:rPr>
              <w:t>0</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E2E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5.90</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12D48"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0.0278</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DE9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0.1201</w:t>
            </w: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188D2" w14:textId="77777777" w:rsidR="003E78AB" w:rsidRDefault="00010BF9">
            <w:pPr>
              <w:pStyle w:val="aff6"/>
              <w:topLinePunct/>
              <w:rPr>
                <w:sz w:val="18"/>
                <w:szCs w:val="18"/>
              </w:rPr>
            </w:pPr>
            <w:r>
              <w:rPr>
                <w:rFonts w:hint="eastAsia"/>
                <w:sz w:val="18"/>
                <w:szCs w:val="18"/>
              </w:rPr>
              <w:t>20</w:t>
            </w:r>
          </w:p>
        </w:tc>
        <w:tc>
          <w:tcPr>
            <w:tcW w:w="8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A8FF2"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18"/>
                <w:szCs w:val="18"/>
              </w:rPr>
            </w:pPr>
            <w:r>
              <w:rPr>
                <w:rFonts w:ascii="Times New Roman" w:hAnsi="Times New Roman" w:cs="Times New Roman"/>
                <w:sz w:val="18"/>
                <w:szCs w:val="18"/>
              </w:rPr>
              <w:t>《锅炉大气污染物排放标准》</w:t>
            </w:r>
            <w:r>
              <w:rPr>
                <w:rFonts w:ascii="Times New Roman" w:hAnsi="Times New Roman" w:cs="Times New Roman" w:hint="eastAsia"/>
                <w:sz w:val="18"/>
                <w:szCs w:val="18"/>
              </w:rPr>
              <w:t>（</w:t>
            </w:r>
            <w:r>
              <w:rPr>
                <w:rFonts w:ascii="Times New Roman" w:hAnsi="Times New Roman" w:cs="Times New Roman"/>
                <w:sz w:val="18"/>
                <w:szCs w:val="18"/>
              </w:rPr>
              <w:t>GB13271-2014</w:t>
            </w:r>
            <w:r>
              <w:rPr>
                <w:rFonts w:ascii="Times New Roman" w:hAnsi="Times New Roman" w:cs="Times New Roman" w:hint="eastAsia"/>
                <w:sz w:val="18"/>
                <w:szCs w:val="18"/>
              </w:rPr>
              <w:t>）</w:t>
            </w:r>
          </w:p>
        </w:tc>
      </w:tr>
      <w:tr w:rsidR="003E78AB" w14:paraId="6B0132A8" w14:textId="77777777">
        <w:trPr>
          <w:trHeight w:val="340"/>
        </w:trPr>
        <w:tc>
          <w:tcPr>
            <w:tcW w:w="2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F2D58" w14:textId="77777777" w:rsidR="003E78AB" w:rsidRDefault="003E78AB">
            <w:pPr>
              <w:spacing w:line="360" w:lineRule="exact"/>
              <w:ind w:firstLineChars="0" w:firstLine="0"/>
              <w:jc w:val="center"/>
              <w:rPr>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5B4417" w14:textId="77777777" w:rsidR="003E78AB" w:rsidRDefault="003E78AB">
            <w:pPr>
              <w:spacing w:line="360" w:lineRule="exact"/>
              <w:ind w:firstLineChars="0" w:firstLine="0"/>
              <w:jc w:val="center"/>
              <w:rPr>
                <w:sz w:val="18"/>
                <w:szCs w:val="18"/>
              </w:rPr>
            </w:pPr>
          </w:p>
        </w:tc>
        <w:tc>
          <w:tcPr>
            <w:tcW w:w="24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E5E4" w14:textId="77777777" w:rsidR="003E78AB" w:rsidRDefault="003E78AB">
            <w:pPr>
              <w:spacing w:line="360" w:lineRule="exact"/>
              <w:ind w:firstLineChars="0" w:firstLine="0"/>
              <w:jc w:val="center"/>
              <w:rPr>
                <w:sz w:val="18"/>
                <w:szCs w:val="18"/>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5D3A" w14:textId="77777777" w:rsidR="003E78AB" w:rsidRDefault="003E78AB">
            <w:pPr>
              <w:spacing w:line="360" w:lineRule="exact"/>
              <w:ind w:firstLineChars="0" w:firstLine="0"/>
              <w:jc w:val="center"/>
              <w:rPr>
                <w:sz w:val="18"/>
                <w:szCs w:val="18"/>
              </w:rPr>
            </w:pP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8C6E82" w14:textId="77777777" w:rsidR="003E78AB" w:rsidRDefault="00010BF9">
            <w:pPr>
              <w:spacing w:line="360" w:lineRule="exact"/>
              <w:ind w:firstLineChars="0" w:firstLine="0"/>
              <w:jc w:val="center"/>
              <w:textAlignment w:val="center"/>
              <w:rPr>
                <w:sz w:val="18"/>
                <w:szCs w:val="18"/>
              </w:rPr>
            </w:pPr>
            <w:r>
              <w:rPr>
                <w:sz w:val="18"/>
                <w:szCs w:val="18"/>
                <w:lang w:bidi="ar"/>
              </w:rPr>
              <w:t>SO</w:t>
            </w:r>
            <w:r>
              <w:rPr>
                <w:rStyle w:val="font61"/>
                <w:color w:val="auto"/>
                <w:sz w:val="18"/>
                <w:szCs w:val="18"/>
                <w:lang w:bidi="ar"/>
              </w:rPr>
              <w:t>2</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85568"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7.51</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14B00"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0.0354</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71F22"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0.1529</w:t>
            </w: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5236EB" w14:textId="77777777" w:rsidR="003E78AB" w:rsidRDefault="003E78AB">
            <w:pPr>
              <w:spacing w:line="360" w:lineRule="exact"/>
              <w:ind w:firstLineChars="0" w:firstLine="0"/>
              <w:jc w:val="center"/>
              <w:textAlignment w:val="center"/>
              <w:rPr>
                <w:sz w:val="18"/>
                <w:szCs w:val="18"/>
                <w:lang w:bidi="ar"/>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1877F" w14:textId="77777777" w:rsidR="003E78AB" w:rsidRDefault="00010BF9">
            <w:pPr>
              <w:spacing w:line="360" w:lineRule="exact"/>
              <w:ind w:firstLineChars="0" w:firstLine="0"/>
              <w:jc w:val="center"/>
              <w:textAlignment w:val="center"/>
              <w:rPr>
                <w:sz w:val="18"/>
                <w:szCs w:val="18"/>
                <w:lang w:bidi="ar"/>
              </w:rPr>
            </w:pPr>
            <w:r>
              <w:rPr>
                <w:sz w:val="18"/>
                <w:szCs w:val="18"/>
                <w:lang w:bidi="ar"/>
              </w:rPr>
              <w:t>0</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800D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7.51</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4C239"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0.0354</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BCC3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0.1529</w:t>
            </w:r>
          </w:p>
        </w:tc>
        <w:tc>
          <w:tcPr>
            <w:tcW w:w="31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3E053237" w14:textId="77777777" w:rsidR="003E78AB" w:rsidRDefault="00010BF9">
            <w:pPr>
              <w:pStyle w:val="aff6"/>
              <w:topLinePunct/>
              <w:rPr>
                <w:sz w:val="18"/>
                <w:szCs w:val="18"/>
              </w:rPr>
            </w:pPr>
            <w:r>
              <w:rPr>
                <w:rFonts w:hint="eastAsia"/>
                <w:sz w:val="18"/>
                <w:szCs w:val="18"/>
              </w:rPr>
              <w:t>50</w:t>
            </w:r>
          </w:p>
        </w:tc>
        <w:tc>
          <w:tcPr>
            <w:tcW w:w="848" w:type="pct"/>
            <w:vMerge/>
            <w:tcBorders>
              <w:top w:val="single" w:sz="4" w:space="0" w:color="000000"/>
              <w:left w:val="single" w:sz="4" w:space="0" w:color="000000"/>
              <w:bottom w:val="single" w:sz="4" w:space="0" w:color="auto"/>
              <w:right w:val="single" w:sz="4" w:space="0" w:color="000000"/>
            </w:tcBorders>
            <w:shd w:val="clear" w:color="auto" w:fill="auto"/>
            <w:noWrap/>
            <w:vAlign w:val="center"/>
          </w:tcPr>
          <w:p w14:paraId="68644D95" w14:textId="77777777" w:rsidR="003E78AB" w:rsidRDefault="003E78AB">
            <w:pPr>
              <w:pStyle w:val="aff6"/>
              <w:topLinePunct/>
              <w:rPr>
                <w:sz w:val="18"/>
                <w:szCs w:val="18"/>
              </w:rPr>
            </w:pPr>
          </w:p>
        </w:tc>
      </w:tr>
      <w:tr w:rsidR="003E78AB" w14:paraId="5FA6DC82" w14:textId="77777777">
        <w:trPr>
          <w:trHeight w:val="280"/>
        </w:trPr>
        <w:tc>
          <w:tcPr>
            <w:tcW w:w="2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3598" w14:textId="77777777" w:rsidR="003E78AB" w:rsidRDefault="003E78AB">
            <w:pPr>
              <w:spacing w:line="360" w:lineRule="exact"/>
              <w:ind w:firstLineChars="0" w:firstLine="0"/>
              <w:jc w:val="center"/>
              <w:rPr>
                <w:sz w:val="18"/>
                <w:szCs w:val="18"/>
              </w:rPr>
            </w:pPr>
          </w:p>
        </w:tc>
        <w:tc>
          <w:tcPr>
            <w:tcW w:w="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1C4AF" w14:textId="77777777" w:rsidR="003E78AB" w:rsidRDefault="003E78AB">
            <w:pPr>
              <w:spacing w:line="360" w:lineRule="exact"/>
              <w:ind w:firstLineChars="0" w:firstLine="0"/>
              <w:jc w:val="center"/>
              <w:rPr>
                <w:sz w:val="18"/>
                <w:szCs w:val="18"/>
              </w:rPr>
            </w:pPr>
          </w:p>
        </w:tc>
        <w:tc>
          <w:tcPr>
            <w:tcW w:w="24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5DD2" w14:textId="77777777" w:rsidR="003E78AB" w:rsidRDefault="003E78AB">
            <w:pPr>
              <w:spacing w:line="360" w:lineRule="exact"/>
              <w:ind w:firstLineChars="0" w:firstLine="0"/>
              <w:jc w:val="center"/>
              <w:rPr>
                <w:sz w:val="18"/>
                <w:szCs w:val="18"/>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F882" w14:textId="77777777" w:rsidR="003E78AB" w:rsidRDefault="003E78AB">
            <w:pPr>
              <w:spacing w:line="360" w:lineRule="exact"/>
              <w:ind w:firstLineChars="0" w:firstLine="0"/>
              <w:jc w:val="center"/>
              <w:rPr>
                <w:sz w:val="18"/>
                <w:szCs w:val="18"/>
              </w:rPr>
            </w:pP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848E68" w14:textId="77777777" w:rsidR="003E78AB" w:rsidRDefault="00010BF9">
            <w:pPr>
              <w:spacing w:line="360" w:lineRule="exact"/>
              <w:ind w:firstLineChars="0" w:firstLine="0"/>
              <w:jc w:val="center"/>
              <w:textAlignment w:val="center"/>
              <w:rPr>
                <w:sz w:val="18"/>
                <w:szCs w:val="18"/>
              </w:rPr>
            </w:pPr>
            <w:r>
              <w:rPr>
                <w:sz w:val="18"/>
                <w:szCs w:val="18"/>
                <w:lang w:bidi="ar"/>
              </w:rPr>
              <w:t>NOx</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81D4B"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100.00</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8CD90"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0.4711</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30F5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2.0350</w:t>
            </w: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8F4F99" w14:textId="77777777" w:rsidR="003E78AB" w:rsidRDefault="003E78AB">
            <w:pPr>
              <w:spacing w:line="360" w:lineRule="exact"/>
              <w:ind w:firstLineChars="0" w:firstLine="0"/>
              <w:jc w:val="center"/>
              <w:textAlignment w:val="center"/>
              <w:rPr>
                <w:sz w:val="18"/>
                <w:szCs w:val="18"/>
                <w:lang w:bidi="ar"/>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D6AC3" w14:textId="77777777" w:rsidR="003E78AB" w:rsidRDefault="00010BF9">
            <w:pPr>
              <w:spacing w:line="360" w:lineRule="exact"/>
              <w:ind w:firstLineChars="0" w:firstLine="0"/>
              <w:jc w:val="center"/>
              <w:textAlignment w:val="center"/>
              <w:rPr>
                <w:sz w:val="18"/>
                <w:szCs w:val="18"/>
                <w:lang w:bidi="ar"/>
              </w:rPr>
            </w:pPr>
            <w:r>
              <w:rPr>
                <w:sz w:val="18"/>
                <w:szCs w:val="18"/>
                <w:lang w:bidi="ar"/>
              </w:rPr>
              <w:t>50</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8DF0"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50.00</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2F48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0.2355</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B855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1.0175</w:t>
            </w:r>
          </w:p>
        </w:tc>
        <w:tc>
          <w:tcPr>
            <w:tcW w:w="31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4BA6E0C0" w14:textId="77777777" w:rsidR="003E78AB" w:rsidRDefault="00010BF9">
            <w:pPr>
              <w:pStyle w:val="aff6"/>
              <w:topLinePunct/>
              <w:rPr>
                <w:sz w:val="18"/>
                <w:szCs w:val="18"/>
              </w:rPr>
            </w:pPr>
            <w:r>
              <w:rPr>
                <w:rFonts w:hint="eastAsia"/>
                <w:sz w:val="18"/>
                <w:szCs w:val="18"/>
              </w:rPr>
              <w:t>50</w:t>
            </w:r>
          </w:p>
        </w:tc>
        <w:tc>
          <w:tcPr>
            <w:tcW w:w="848"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5C08FB8B"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18"/>
                <w:szCs w:val="18"/>
              </w:rPr>
            </w:pPr>
            <w:r>
              <w:rPr>
                <w:rFonts w:ascii="Times New Roman" w:hAnsi="Times New Roman" w:cs="Times New Roman"/>
                <w:sz w:val="18"/>
                <w:szCs w:val="18"/>
              </w:rPr>
              <w:t>《关于开展自治区</w:t>
            </w:r>
            <w:r>
              <w:rPr>
                <w:rFonts w:ascii="Times New Roman" w:hAnsi="Times New Roman" w:cs="Times New Roman"/>
                <w:sz w:val="18"/>
                <w:szCs w:val="18"/>
              </w:rPr>
              <w:t>2022</w:t>
            </w:r>
            <w:r>
              <w:rPr>
                <w:rFonts w:ascii="Times New Roman" w:hAnsi="Times New Roman" w:cs="Times New Roman"/>
                <w:sz w:val="18"/>
                <w:szCs w:val="18"/>
              </w:rPr>
              <w:t>年度夏秋季大气污染防治</w:t>
            </w:r>
            <w:r>
              <w:rPr>
                <w:rFonts w:ascii="Times New Roman" w:hAnsi="Times New Roman" w:cs="Times New Roman"/>
                <w:sz w:val="18"/>
                <w:szCs w:val="18"/>
              </w:rPr>
              <w:t>“</w:t>
            </w:r>
            <w:r>
              <w:rPr>
                <w:rFonts w:ascii="Times New Roman" w:hAnsi="Times New Roman" w:cs="Times New Roman"/>
                <w:sz w:val="18"/>
                <w:szCs w:val="18"/>
              </w:rPr>
              <w:t>冬病夏治</w:t>
            </w:r>
            <w:r>
              <w:rPr>
                <w:rFonts w:ascii="Times New Roman" w:hAnsi="Times New Roman" w:cs="Times New Roman"/>
                <w:sz w:val="18"/>
                <w:szCs w:val="18"/>
              </w:rPr>
              <w:t>”</w:t>
            </w:r>
            <w:r>
              <w:rPr>
                <w:rFonts w:ascii="Times New Roman" w:hAnsi="Times New Roman" w:cs="Times New Roman"/>
                <w:sz w:val="18"/>
                <w:szCs w:val="18"/>
              </w:rPr>
              <w:t>工作的通知》（新环大气函〔</w:t>
            </w:r>
            <w:r>
              <w:rPr>
                <w:rFonts w:ascii="Times New Roman" w:hAnsi="Times New Roman" w:cs="Times New Roman"/>
                <w:sz w:val="18"/>
                <w:szCs w:val="18"/>
              </w:rPr>
              <w:t>2022</w:t>
            </w:r>
            <w:r>
              <w:rPr>
                <w:rFonts w:ascii="Times New Roman" w:hAnsi="Times New Roman" w:cs="Times New Roman"/>
                <w:sz w:val="18"/>
                <w:szCs w:val="18"/>
              </w:rPr>
              <w:t>〕</w:t>
            </w:r>
            <w:r>
              <w:rPr>
                <w:rFonts w:ascii="Times New Roman" w:hAnsi="Times New Roman" w:cs="Times New Roman"/>
                <w:sz w:val="18"/>
                <w:szCs w:val="18"/>
              </w:rPr>
              <w:t>483</w:t>
            </w:r>
            <w:r>
              <w:rPr>
                <w:rFonts w:ascii="Times New Roman" w:hAnsi="Times New Roman" w:cs="Times New Roman"/>
                <w:sz w:val="18"/>
                <w:szCs w:val="18"/>
              </w:rPr>
              <w:t>号）</w:t>
            </w:r>
          </w:p>
        </w:tc>
      </w:tr>
      <w:tr w:rsidR="003E78AB" w14:paraId="37268A34" w14:textId="77777777">
        <w:trPr>
          <w:trHeight w:val="280"/>
        </w:trPr>
        <w:tc>
          <w:tcPr>
            <w:tcW w:w="2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5F57" w14:textId="77777777" w:rsidR="003E78AB" w:rsidRDefault="00010BF9">
            <w:pPr>
              <w:spacing w:line="360" w:lineRule="exact"/>
              <w:ind w:firstLineChars="0" w:firstLine="0"/>
              <w:jc w:val="center"/>
              <w:textAlignment w:val="center"/>
              <w:rPr>
                <w:sz w:val="18"/>
                <w:szCs w:val="18"/>
              </w:rPr>
            </w:pPr>
            <w:r>
              <w:rPr>
                <w:sz w:val="18"/>
                <w:szCs w:val="18"/>
                <w:lang w:bidi="ar"/>
              </w:rPr>
              <w:t>拆包投料</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4469A"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54C0C"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5AD9" w14:textId="77777777" w:rsidR="003E78AB" w:rsidRDefault="00010BF9">
            <w:pPr>
              <w:spacing w:line="360" w:lineRule="exact"/>
              <w:ind w:firstLineChars="0" w:firstLine="0"/>
              <w:jc w:val="center"/>
              <w:textAlignment w:val="center"/>
              <w:rPr>
                <w:sz w:val="18"/>
                <w:szCs w:val="18"/>
              </w:rPr>
            </w:pPr>
            <w:r>
              <w:rPr>
                <w:sz w:val="18"/>
                <w:szCs w:val="18"/>
                <w:lang w:bidi="ar"/>
              </w:rPr>
              <w:t>2500</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25A7" w14:textId="77777777" w:rsidR="003E78AB" w:rsidRDefault="00010BF9">
            <w:pPr>
              <w:spacing w:line="360" w:lineRule="exact"/>
              <w:ind w:firstLineChars="0" w:firstLine="0"/>
              <w:jc w:val="center"/>
              <w:textAlignment w:val="center"/>
              <w:rPr>
                <w:sz w:val="18"/>
                <w:szCs w:val="18"/>
              </w:rPr>
            </w:pPr>
            <w:r>
              <w:rPr>
                <w:sz w:val="18"/>
                <w:szCs w:val="18"/>
                <w:lang w:bidi="ar"/>
              </w:rPr>
              <w:t>颗粒物</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440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512D"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0.2404</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11A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0.6010</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FEA5" w14:textId="77777777" w:rsidR="003E78AB" w:rsidRDefault="00010BF9">
            <w:pPr>
              <w:spacing w:line="360" w:lineRule="exact"/>
              <w:ind w:firstLineChars="0" w:firstLine="0"/>
              <w:jc w:val="center"/>
              <w:textAlignment w:val="center"/>
              <w:rPr>
                <w:sz w:val="18"/>
                <w:szCs w:val="18"/>
                <w:lang w:bidi="ar"/>
              </w:rPr>
            </w:pPr>
            <w:r>
              <w:rPr>
                <w:sz w:val="18"/>
                <w:szCs w:val="18"/>
                <w:lang w:bidi="ar"/>
              </w:rPr>
              <w:t>真空投料</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8B96A" w14:textId="77777777" w:rsidR="003E78AB" w:rsidRDefault="00010BF9">
            <w:pPr>
              <w:spacing w:line="360" w:lineRule="exact"/>
              <w:ind w:firstLineChars="0" w:firstLine="0"/>
              <w:jc w:val="center"/>
              <w:textAlignment w:val="center"/>
              <w:rPr>
                <w:sz w:val="18"/>
                <w:szCs w:val="18"/>
                <w:lang w:bidi="ar"/>
              </w:rPr>
            </w:pPr>
            <w:r>
              <w:rPr>
                <w:sz w:val="18"/>
                <w:szCs w:val="18"/>
                <w:lang w:bidi="ar"/>
              </w:rPr>
              <w:t>70</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DD73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58223"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0.0871</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64EA"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0.2178</w:t>
            </w: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22392" w14:textId="77777777" w:rsidR="003E78AB" w:rsidRDefault="00010BF9">
            <w:pPr>
              <w:spacing w:line="360" w:lineRule="exact"/>
              <w:ind w:firstLineChars="0" w:firstLine="0"/>
              <w:jc w:val="center"/>
              <w:textAlignment w:val="center"/>
              <w:rPr>
                <w:sz w:val="18"/>
                <w:szCs w:val="18"/>
              </w:rPr>
            </w:pPr>
            <w:r>
              <w:rPr>
                <w:rFonts w:hint="eastAsia"/>
                <w:sz w:val="18"/>
                <w:szCs w:val="18"/>
              </w:rPr>
              <w:t>1.0</w:t>
            </w:r>
          </w:p>
        </w:tc>
        <w:tc>
          <w:tcPr>
            <w:tcW w:w="848" w:type="pct"/>
            <w:vMerge w:val="restart"/>
            <w:tcBorders>
              <w:top w:val="single" w:sz="4" w:space="0" w:color="000000"/>
              <w:left w:val="single" w:sz="4" w:space="0" w:color="000000"/>
              <w:right w:val="single" w:sz="4" w:space="0" w:color="000000"/>
            </w:tcBorders>
            <w:shd w:val="clear" w:color="auto" w:fill="auto"/>
            <w:noWrap/>
            <w:vAlign w:val="center"/>
          </w:tcPr>
          <w:p w14:paraId="72FB8B93" w14:textId="77777777" w:rsidR="003E78AB" w:rsidRDefault="00010BF9">
            <w:pPr>
              <w:spacing w:line="360" w:lineRule="exact"/>
              <w:ind w:firstLineChars="0" w:firstLine="0"/>
              <w:jc w:val="center"/>
              <w:textAlignment w:val="center"/>
              <w:rPr>
                <w:sz w:val="18"/>
                <w:szCs w:val="18"/>
              </w:rPr>
            </w:pPr>
            <w:r>
              <w:rPr>
                <w:sz w:val="18"/>
                <w:szCs w:val="18"/>
              </w:rPr>
              <w:t>《大气污染物综合排放标准》</w:t>
            </w:r>
            <w:r>
              <w:rPr>
                <w:sz w:val="18"/>
                <w:szCs w:val="18"/>
              </w:rPr>
              <w:t>(GB16297-1996)</w:t>
            </w:r>
          </w:p>
        </w:tc>
      </w:tr>
      <w:tr w:rsidR="003E78AB" w14:paraId="1D453A03" w14:textId="77777777">
        <w:trPr>
          <w:trHeight w:val="280"/>
        </w:trPr>
        <w:tc>
          <w:tcPr>
            <w:tcW w:w="2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B3D9" w14:textId="77777777" w:rsidR="003E78AB" w:rsidRDefault="00010BF9">
            <w:pPr>
              <w:spacing w:line="360" w:lineRule="exact"/>
              <w:ind w:firstLineChars="0" w:firstLine="0"/>
              <w:jc w:val="center"/>
              <w:textAlignment w:val="center"/>
              <w:rPr>
                <w:sz w:val="18"/>
                <w:szCs w:val="18"/>
              </w:rPr>
            </w:pPr>
            <w:r>
              <w:rPr>
                <w:sz w:val="18"/>
                <w:szCs w:val="18"/>
                <w:lang w:bidi="ar"/>
              </w:rPr>
              <w:t>生产工序</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06632"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D6840" w14:textId="77777777" w:rsidR="003E78AB" w:rsidRDefault="00010BF9">
            <w:pPr>
              <w:spacing w:line="360" w:lineRule="exact"/>
              <w:ind w:firstLineChars="0" w:firstLine="0"/>
              <w:jc w:val="center"/>
              <w:textAlignment w:val="center"/>
              <w:rPr>
                <w:sz w:val="18"/>
                <w:szCs w:val="18"/>
              </w:rPr>
            </w:pPr>
            <w:r>
              <w:rPr>
                <w:sz w:val="18"/>
                <w:szCs w:val="18"/>
                <w:lang w:bidi="ar"/>
              </w:rPr>
              <w:t>/</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54229" w14:textId="77777777" w:rsidR="003E78AB" w:rsidRDefault="00010BF9">
            <w:pPr>
              <w:spacing w:line="360" w:lineRule="exact"/>
              <w:ind w:firstLineChars="0" w:firstLine="0"/>
              <w:jc w:val="center"/>
              <w:textAlignment w:val="center"/>
              <w:rPr>
                <w:sz w:val="18"/>
                <w:szCs w:val="18"/>
              </w:rPr>
            </w:pPr>
            <w:r>
              <w:rPr>
                <w:sz w:val="18"/>
                <w:szCs w:val="18"/>
                <w:lang w:bidi="ar"/>
              </w:rPr>
              <w:t>7920</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7C961" w14:textId="77777777" w:rsidR="003E78AB" w:rsidRDefault="00010BF9">
            <w:pPr>
              <w:spacing w:line="360" w:lineRule="exact"/>
              <w:ind w:firstLineChars="0" w:firstLine="0"/>
              <w:jc w:val="center"/>
              <w:textAlignment w:val="center"/>
              <w:rPr>
                <w:sz w:val="18"/>
                <w:szCs w:val="18"/>
              </w:rPr>
            </w:pPr>
            <w:r>
              <w:rPr>
                <w:sz w:val="18"/>
                <w:szCs w:val="18"/>
                <w:lang w:bidi="ar"/>
              </w:rPr>
              <w:t>硫酸雾</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567B4"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83995"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0.0088</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F721"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0.0697</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52FB" w14:textId="77777777" w:rsidR="003E78AB" w:rsidRDefault="00010BF9">
            <w:pPr>
              <w:spacing w:line="360" w:lineRule="exact"/>
              <w:ind w:firstLineChars="0" w:firstLine="0"/>
              <w:jc w:val="center"/>
              <w:textAlignment w:val="center"/>
              <w:rPr>
                <w:sz w:val="18"/>
                <w:szCs w:val="18"/>
                <w:lang w:bidi="ar"/>
              </w:rPr>
            </w:pPr>
            <w:r>
              <w:rPr>
                <w:sz w:val="18"/>
                <w:szCs w:val="18"/>
                <w:lang w:bidi="ar"/>
              </w:rPr>
              <w:t>/</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A1E2E" w14:textId="77777777" w:rsidR="003E78AB" w:rsidRDefault="00010BF9">
            <w:pPr>
              <w:spacing w:line="360" w:lineRule="exact"/>
              <w:ind w:firstLineChars="0" w:firstLine="0"/>
              <w:jc w:val="center"/>
              <w:textAlignment w:val="center"/>
              <w:rPr>
                <w:sz w:val="18"/>
                <w:szCs w:val="18"/>
                <w:lang w:bidi="ar"/>
              </w:rPr>
            </w:pPr>
            <w:r>
              <w:rPr>
                <w:sz w:val="18"/>
                <w:szCs w:val="18"/>
                <w:lang w:bidi="ar"/>
              </w:rPr>
              <w:t>0</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4B0FD"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B16D"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0.0088</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1826F" w14:textId="77777777" w:rsidR="003E78AB" w:rsidRDefault="00010BF9">
            <w:pPr>
              <w:spacing w:line="360" w:lineRule="exact"/>
              <w:ind w:firstLineChars="0" w:firstLine="0"/>
              <w:jc w:val="center"/>
              <w:textAlignment w:val="center"/>
              <w:rPr>
                <w:sz w:val="18"/>
                <w:szCs w:val="18"/>
                <w:lang w:bidi="ar"/>
              </w:rPr>
            </w:pPr>
            <w:r>
              <w:rPr>
                <w:rFonts w:hint="eastAsia"/>
                <w:sz w:val="18"/>
                <w:szCs w:val="18"/>
                <w:lang w:bidi="ar"/>
              </w:rPr>
              <w:t>0.0697</w:t>
            </w: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59C04" w14:textId="77777777" w:rsidR="003E78AB" w:rsidRDefault="00010BF9">
            <w:pPr>
              <w:spacing w:line="360" w:lineRule="exact"/>
              <w:ind w:firstLineChars="0" w:firstLine="0"/>
              <w:jc w:val="center"/>
              <w:rPr>
                <w:sz w:val="18"/>
                <w:szCs w:val="18"/>
              </w:rPr>
            </w:pPr>
            <w:r>
              <w:rPr>
                <w:rFonts w:hint="eastAsia"/>
                <w:sz w:val="18"/>
                <w:szCs w:val="18"/>
              </w:rPr>
              <w:t>1.2</w:t>
            </w:r>
          </w:p>
        </w:tc>
        <w:tc>
          <w:tcPr>
            <w:tcW w:w="848" w:type="pct"/>
            <w:vMerge/>
            <w:tcBorders>
              <w:left w:val="single" w:sz="4" w:space="0" w:color="000000"/>
              <w:bottom w:val="single" w:sz="4" w:space="0" w:color="000000"/>
              <w:right w:val="single" w:sz="4" w:space="0" w:color="000000"/>
            </w:tcBorders>
            <w:shd w:val="clear" w:color="auto" w:fill="auto"/>
            <w:noWrap/>
            <w:vAlign w:val="center"/>
          </w:tcPr>
          <w:p w14:paraId="0EDF0811" w14:textId="77777777" w:rsidR="003E78AB" w:rsidRDefault="003E78AB">
            <w:pPr>
              <w:spacing w:line="360" w:lineRule="exact"/>
              <w:ind w:firstLineChars="0" w:firstLine="0"/>
              <w:jc w:val="center"/>
              <w:textAlignment w:val="center"/>
              <w:rPr>
                <w:sz w:val="18"/>
                <w:szCs w:val="18"/>
              </w:rPr>
            </w:pPr>
          </w:p>
        </w:tc>
      </w:tr>
      <w:bookmarkEnd w:id="455"/>
    </w:tbl>
    <w:p w14:paraId="03CF43A9" w14:textId="77777777" w:rsidR="003E78AB" w:rsidRDefault="003E78AB">
      <w:pPr>
        <w:pStyle w:val="24"/>
        <w:keepNext w:val="0"/>
        <w:keepLines w:val="0"/>
        <w:topLinePunct/>
        <w:spacing w:before="120"/>
        <w:outlineLvl w:val="2"/>
        <w:rPr>
          <w:rFonts w:cs="Times New Roman"/>
          <w:sz w:val="28"/>
          <w:szCs w:val="28"/>
        </w:rPr>
        <w:sectPr w:rsidR="003E78AB">
          <w:pgSz w:w="16838" w:h="11906" w:orient="landscape"/>
          <w:pgMar w:top="1803" w:right="1440" w:bottom="1803" w:left="1440" w:header="851" w:footer="992" w:gutter="0"/>
          <w:cols w:space="720"/>
          <w:docGrid w:linePitch="312"/>
        </w:sectPr>
      </w:pPr>
    </w:p>
    <w:p w14:paraId="41635135" w14:textId="77777777" w:rsidR="003E78AB" w:rsidRDefault="00010BF9">
      <w:pPr>
        <w:ind w:firstLine="480"/>
        <w:rPr>
          <w:kern w:val="2"/>
        </w:rPr>
      </w:pPr>
      <w:r>
        <w:rPr>
          <w:rFonts w:hint="eastAsia"/>
          <w:kern w:val="2"/>
        </w:rPr>
        <w:t>拆包投料排气筒</w:t>
      </w:r>
      <w:r>
        <w:rPr>
          <w:rFonts w:hint="eastAsia"/>
          <w:kern w:val="2"/>
        </w:rPr>
        <w:t>DA001</w:t>
      </w:r>
      <w:r>
        <w:rPr>
          <w:rFonts w:hint="eastAsia"/>
          <w:kern w:val="2"/>
        </w:rPr>
        <w:t>和</w:t>
      </w:r>
      <w:r>
        <w:rPr>
          <w:rFonts w:hint="eastAsia"/>
          <w:kern w:val="2"/>
        </w:rPr>
        <w:t>DA002</w:t>
      </w:r>
      <w:r>
        <w:rPr>
          <w:kern w:val="2"/>
        </w:rPr>
        <w:t>颗粒物</w:t>
      </w:r>
      <w:r>
        <w:rPr>
          <w:rFonts w:hint="eastAsia"/>
          <w:kern w:val="2"/>
        </w:rPr>
        <w:t>排放浓度可满足</w:t>
      </w:r>
      <w:r>
        <w:rPr>
          <w:kern w:val="2"/>
        </w:rPr>
        <w:t>《无机化学工业污染物排放标准》（</w:t>
      </w:r>
      <w:r>
        <w:rPr>
          <w:kern w:val="2"/>
        </w:rPr>
        <w:t>GB31573-2015</w:t>
      </w:r>
      <w:r>
        <w:rPr>
          <w:kern w:val="2"/>
        </w:rPr>
        <w:t>）</w:t>
      </w:r>
      <w:r>
        <w:rPr>
          <w:rFonts w:hint="eastAsia"/>
          <w:kern w:val="2"/>
        </w:rPr>
        <w:t>表</w:t>
      </w:r>
      <w:r>
        <w:rPr>
          <w:rFonts w:hint="eastAsia"/>
          <w:kern w:val="2"/>
        </w:rPr>
        <w:t>3</w:t>
      </w:r>
      <w:r>
        <w:rPr>
          <w:rFonts w:hint="eastAsia"/>
          <w:kern w:val="2"/>
        </w:rPr>
        <w:t>中</w:t>
      </w:r>
      <w:r>
        <w:rPr>
          <w:rFonts w:hint="eastAsia"/>
          <w:kern w:val="2"/>
        </w:rPr>
        <w:t>30mg/m</w:t>
      </w:r>
      <w:r>
        <w:rPr>
          <w:rFonts w:hint="eastAsia"/>
          <w:kern w:val="2"/>
          <w:vertAlign w:val="superscript"/>
        </w:rPr>
        <w:t>3</w:t>
      </w:r>
      <w:r>
        <w:rPr>
          <w:rFonts w:hint="eastAsia"/>
          <w:kern w:val="2"/>
        </w:rPr>
        <w:t>限值要求；工艺废气排气筒</w:t>
      </w:r>
      <w:r>
        <w:rPr>
          <w:rFonts w:hint="eastAsia"/>
          <w:kern w:val="2"/>
        </w:rPr>
        <w:t>DA003</w:t>
      </w:r>
      <w:r>
        <w:rPr>
          <w:rFonts w:hint="eastAsia"/>
          <w:kern w:val="2"/>
        </w:rPr>
        <w:t>的</w:t>
      </w:r>
      <w:r>
        <w:rPr>
          <w:kern w:val="2"/>
        </w:rPr>
        <w:t>硫酸雾</w:t>
      </w:r>
      <w:r>
        <w:rPr>
          <w:rFonts w:hint="eastAsia"/>
          <w:kern w:val="2"/>
        </w:rPr>
        <w:t>排放浓度可满足</w:t>
      </w:r>
      <w:r>
        <w:rPr>
          <w:kern w:val="2"/>
        </w:rPr>
        <w:t>《无机化学工业污染物排放标准》（</w:t>
      </w:r>
      <w:r>
        <w:rPr>
          <w:kern w:val="2"/>
        </w:rPr>
        <w:t>GB31573-2015</w:t>
      </w:r>
      <w:r>
        <w:rPr>
          <w:kern w:val="2"/>
        </w:rPr>
        <w:t>）</w:t>
      </w:r>
      <w:r>
        <w:rPr>
          <w:rFonts w:hint="eastAsia"/>
          <w:kern w:val="2"/>
        </w:rPr>
        <w:t>表</w:t>
      </w:r>
      <w:r>
        <w:rPr>
          <w:rFonts w:hint="eastAsia"/>
          <w:kern w:val="2"/>
        </w:rPr>
        <w:t>3</w:t>
      </w:r>
      <w:r>
        <w:rPr>
          <w:rFonts w:hint="eastAsia"/>
          <w:kern w:val="2"/>
        </w:rPr>
        <w:t>中</w:t>
      </w:r>
      <w:r>
        <w:rPr>
          <w:rFonts w:hint="eastAsia"/>
          <w:kern w:val="2"/>
        </w:rPr>
        <w:t>20mg/m</w:t>
      </w:r>
      <w:r>
        <w:rPr>
          <w:rFonts w:hint="eastAsia"/>
          <w:kern w:val="2"/>
          <w:vertAlign w:val="superscript"/>
        </w:rPr>
        <w:t>3</w:t>
      </w:r>
      <w:r>
        <w:rPr>
          <w:rFonts w:hint="eastAsia"/>
          <w:kern w:val="2"/>
        </w:rPr>
        <w:t>限值要求；锅炉燃烧废气</w:t>
      </w:r>
      <w:r>
        <w:rPr>
          <w:rFonts w:hint="eastAsia"/>
          <w:kern w:val="2"/>
        </w:rPr>
        <w:t>DA004</w:t>
      </w:r>
      <w:r>
        <w:rPr>
          <w:rFonts w:hint="eastAsia"/>
          <w:kern w:val="2"/>
        </w:rPr>
        <w:t>的颗粒物、</w:t>
      </w:r>
      <w:r>
        <w:rPr>
          <w:rFonts w:hint="eastAsia"/>
          <w:kern w:val="2"/>
        </w:rPr>
        <w:t>SO</w:t>
      </w:r>
      <w:r>
        <w:rPr>
          <w:rFonts w:hint="eastAsia"/>
          <w:kern w:val="2"/>
          <w:vertAlign w:val="subscript"/>
        </w:rPr>
        <w:t>2</w:t>
      </w:r>
      <w:r>
        <w:rPr>
          <w:rFonts w:hint="eastAsia"/>
          <w:kern w:val="2"/>
        </w:rPr>
        <w:t>、</w:t>
      </w:r>
      <w:r>
        <w:rPr>
          <w:rFonts w:hint="eastAsia"/>
          <w:kern w:val="2"/>
        </w:rPr>
        <w:t>NOx</w:t>
      </w:r>
      <w:r>
        <w:rPr>
          <w:rFonts w:hint="eastAsia"/>
          <w:kern w:val="2"/>
        </w:rPr>
        <w:t>可满足《锅炉大气污染物排放标准》《</w:t>
      </w:r>
      <w:r>
        <w:rPr>
          <w:rFonts w:hint="eastAsia"/>
          <w:kern w:val="2"/>
        </w:rPr>
        <w:t>GB13271-2014</w:t>
      </w:r>
      <w:r>
        <w:rPr>
          <w:rFonts w:hint="eastAsia"/>
          <w:kern w:val="2"/>
        </w:rPr>
        <w:t>》中</w:t>
      </w:r>
      <w:r>
        <w:rPr>
          <w:rFonts w:hint="eastAsia"/>
          <w:kern w:val="2"/>
        </w:rPr>
        <w:t>20</w:t>
      </w:r>
      <w:r>
        <w:rPr>
          <w:rFonts w:hint="eastAsia"/>
          <w:kern w:val="2"/>
        </w:rPr>
        <w:t>、</w:t>
      </w:r>
      <w:r>
        <w:rPr>
          <w:rFonts w:hint="eastAsia"/>
          <w:kern w:val="2"/>
        </w:rPr>
        <w:t>50</w:t>
      </w:r>
      <w:r>
        <w:rPr>
          <w:rFonts w:hint="eastAsia"/>
          <w:kern w:val="2"/>
        </w:rPr>
        <w:t>、</w:t>
      </w:r>
      <w:r>
        <w:rPr>
          <w:rFonts w:hint="eastAsia"/>
          <w:kern w:val="2"/>
        </w:rPr>
        <w:t>200mg/m</w:t>
      </w:r>
      <w:r>
        <w:rPr>
          <w:rFonts w:hint="eastAsia"/>
          <w:kern w:val="2"/>
          <w:vertAlign w:val="superscript"/>
        </w:rPr>
        <w:t>3</w:t>
      </w:r>
      <w:r>
        <w:rPr>
          <w:rFonts w:hint="eastAsia"/>
          <w:kern w:val="2"/>
        </w:rPr>
        <w:t>限值要求，且</w:t>
      </w:r>
      <w:r>
        <w:rPr>
          <w:rFonts w:hint="eastAsia"/>
          <w:kern w:val="2"/>
        </w:rPr>
        <w:t>NOx</w:t>
      </w:r>
      <w:r>
        <w:rPr>
          <w:rFonts w:hint="eastAsia"/>
          <w:kern w:val="2"/>
        </w:rPr>
        <w:t>可满足《关于开展自治区</w:t>
      </w:r>
      <w:r>
        <w:rPr>
          <w:rFonts w:hint="eastAsia"/>
          <w:kern w:val="2"/>
        </w:rPr>
        <w:t>2022</w:t>
      </w:r>
      <w:r>
        <w:rPr>
          <w:rFonts w:hint="eastAsia"/>
          <w:kern w:val="2"/>
        </w:rPr>
        <w:t>年度夏秋季大气污染防治“冬病夏治”工作的通知》（新环大气函〔</w:t>
      </w:r>
      <w:r>
        <w:rPr>
          <w:rFonts w:hint="eastAsia"/>
          <w:kern w:val="2"/>
        </w:rPr>
        <w:t>2022</w:t>
      </w:r>
      <w:r>
        <w:rPr>
          <w:rFonts w:hint="eastAsia"/>
          <w:kern w:val="2"/>
        </w:rPr>
        <w:t>〕</w:t>
      </w:r>
      <w:r>
        <w:rPr>
          <w:rFonts w:hint="eastAsia"/>
          <w:kern w:val="2"/>
        </w:rPr>
        <w:t>483</w:t>
      </w:r>
      <w:r>
        <w:rPr>
          <w:rFonts w:hint="eastAsia"/>
          <w:kern w:val="2"/>
        </w:rPr>
        <w:t>号）中</w:t>
      </w:r>
      <w:r>
        <w:rPr>
          <w:rFonts w:hint="eastAsia"/>
          <w:kern w:val="2"/>
        </w:rPr>
        <w:t>50mg/m</w:t>
      </w:r>
      <w:r>
        <w:rPr>
          <w:rFonts w:hint="eastAsia"/>
          <w:kern w:val="2"/>
          <w:vertAlign w:val="superscript"/>
        </w:rPr>
        <w:t>3</w:t>
      </w:r>
      <w:r>
        <w:rPr>
          <w:rFonts w:hint="eastAsia"/>
          <w:kern w:val="2"/>
        </w:rPr>
        <w:t>限值要求。厂界无组织颗粒物和硫酸雾可满足《大气污染物综合排放标准》（</w:t>
      </w:r>
      <w:r>
        <w:rPr>
          <w:rFonts w:hint="eastAsia"/>
          <w:kern w:val="2"/>
        </w:rPr>
        <w:t>GB16297-19</w:t>
      </w:r>
      <w:r>
        <w:rPr>
          <w:rFonts w:hint="eastAsia"/>
          <w:kern w:val="2"/>
        </w:rPr>
        <w:t>96</w:t>
      </w:r>
      <w:r>
        <w:rPr>
          <w:rFonts w:hint="eastAsia"/>
          <w:kern w:val="2"/>
        </w:rPr>
        <w:t>）限值要求。</w:t>
      </w:r>
    </w:p>
    <w:p w14:paraId="1A2F3B8B"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7.2</w:t>
      </w:r>
      <w:r>
        <w:rPr>
          <w:rFonts w:cs="Times New Roman"/>
          <w:sz w:val="28"/>
          <w:szCs w:val="28"/>
        </w:rPr>
        <w:t>.2</w:t>
      </w:r>
      <w:r>
        <w:rPr>
          <w:rFonts w:cs="Times New Roman"/>
          <w:sz w:val="28"/>
          <w:szCs w:val="28"/>
        </w:rPr>
        <w:t>废水污染防治措施及其可行性分析</w:t>
      </w:r>
    </w:p>
    <w:p w14:paraId="210BFC7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w:t>
      </w:r>
      <w:r>
        <w:rPr>
          <w:rFonts w:ascii="Times New Roman" w:hAnsi="Times New Roman" w:hint="eastAsia"/>
        </w:rPr>
        <w:t>2</w:t>
      </w:r>
      <w:r>
        <w:rPr>
          <w:rFonts w:ascii="Times New Roman" w:hAnsi="Times New Roman"/>
        </w:rPr>
        <w:t>.</w:t>
      </w:r>
      <w:r>
        <w:rPr>
          <w:rFonts w:ascii="Times New Roman" w:hAnsi="Times New Roman" w:hint="eastAsia"/>
        </w:rPr>
        <w:t>1</w:t>
      </w:r>
      <w:r>
        <w:rPr>
          <w:rFonts w:ascii="Times New Roman" w:hAnsi="Times New Roman"/>
        </w:rPr>
        <w:t>废</w:t>
      </w:r>
      <w:r>
        <w:rPr>
          <w:rFonts w:ascii="Times New Roman" w:hAnsi="Times New Roman" w:hint="eastAsia"/>
        </w:rPr>
        <w:t>水污染防治措施及</w:t>
      </w:r>
      <w:r>
        <w:rPr>
          <w:rFonts w:ascii="Times New Roman" w:hAnsi="Times New Roman"/>
        </w:rPr>
        <w:t>达标性分析</w:t>
      </w:r>
    </w:p>
    <w:p w14:paraId="63E056B0" w14:textId="77777777" w:rsidR="003E78AB" w:rsidRDefault="00010BF9">
      <w:pPr>
        <w:ind w:firstLine="480"/>
        <w:rPr>
          <w:kern w:val="2"/>
        </w:rPr>
      </w:pPr>
      <w:r>
        <w:t>本项目运营期废水包括工艺废气处理废水、</w:t>
      </w:r>
      <w:r>
        <w:rPr>
          <w:rFonts w:hint="eastAsia"/>
        </w:rPr>
        <w:t>实验废水</w:t>
      </w:r>
      <w:r>
        <w:t>、纯水制备排浓水、软水制备排浓水、锅炉排污水、地面冲洗水、生活污水</w:t>
      </w:r>
      <w:r>
        <w:rPr>
          <w:rFonts w:hint="eastAsia"/>
        </w:rPr>
        <w:t>等</w:t>
      </w:r>
      <w:r>
        <w:t>。</w:t>
      </w:r>
      <w:r>
        <w:rPr>
          <w:kern w:val="2"/>
        </w:rPr>
        <w:t>按照</w:t>
      </w:r>
      <w:r>
        <w:rPr>
          <w:kern w:val="2"/>
        </w:rPr>
        <w:t>“</w:t>
      </w:r>
      <w:r>
        <w:rPr>
          <w:kern w:val="2"/>
        </w:rPr>
        <w:t>雨污分流、清污分流、污污分治</w:t>
      </w:r>
      <w:r>
        <w:rPr>
          <w:kern w:val="2"/>
        </w:rPr>
        <w:t>”</w:t>
      </w:r>
      <w:r>
        <w:rPr>
          <w:kern w:val="2"/>
        </w:rPr>
        <w:t>的原则将各类废水分类收集</w:t>
      </w:r>
      <w:r>
        <w:rPr>
          <w:rFonts w:hint="eastAsia"/>
          <w:kern w:val="2"/>
        </w:rPr>
        <w:t>、</w:t>
      </w:r>
      <w:r>
        <w:rPr>
          <w:kern w:val="2"/>
        </w:rPr>
        <w:t>处理</w:t>
      </w:r>
      <w:r>
        <w:rPr>
          <w:rFonts w:hint="eastAsia"/>
          <w:kern w:val="2"/>
        </w:rPr>
        <w:t>、</w:t>
      </w:r>
      <w:r>
        <w:rPr>
          <w:kern w:val="2"/>
        </w:rPr>
        <w:t>分质回用</w:t>
      </w:r>
      <w:r>
        <w:rPr>
          <w:rFonts w:hint="eastAsia"/>
          <w:kern w:val="2"/>
        </w:rPr>
        <w:t>和排放</w:t>
      </w:r>
      <w:r>
        <w:rPr>
          <w:kern w:val="2"/>
        </w:rPr>
        <w:t>。</w:t>
      </w:r>
      <w:r>
        <w:t>工艺废气处理废水</w:t>
      </w:r>
      <w:r>
        <w:rPr>
          <w:rFonts w:hint="eastAsia"/>
        </w:rPr>
        <w:t>经蒸发冷凝后回用于淋洗补水配碱，</w:t>
      </w:r>
      <w:r>
        <w:rPr>
          <w:rFonts w:hint="eastAsia"/>
          <w:kern w:val="2"/>
        </w:rPr>
        <w:t>实验废水经生产车间</w:t>
      </w:r>
      <w:r>
        <w:rPr>
          <w:rFonts w:hint="eastAsia"/>
          <w:kern w:val="2"/>
        </w:rPr>
        <w:t>15m</w:t>
      </w:r>
      <w:r>
        <w:rPr>
          <w:rFonts w:hint="eastAsia"/>
          <w:kern w:val="2"/>
          <w:vertAlign w:val="superscript"/>
        </w:rPr>
        <w:t>3</w:t>
      </w:r>
      <w:r>
        <w:rPr>
          <w:rFonts w:hint="eastAsia"/>
          <w:kern w:val="2"/>
        </w:rPr>
        <w:t>电解液事故罐收集后回用于生产，</w:t>
      </w:r>
      <w:r>
        <w:rPr>
          <w:rFonts w:hint="eastAsia"/>
        </w:rPr>
        <w:t>地面冲洗水、</w:t>
      </w:r>
      <w:r>
        <w:rPr>
          <w:kern w:val="2"/>
        </w:rPr>
        <w:t>软水制备及纯水制备排浓水、锅炉排水经厂内污水管道收集，生活污水经预处理后，一并经厂区总排口排</w:t>
      </w:r>
      <w:r>
        <w:rPr>
          <w:kern w:val="2"/>
        </w:rPr>
        <w:t>入园区污水厂进一步处理。</w:t>
      </w:r>
    </w:p>
    <w:p w14:paraId="306A7D66" w14:textId="77777777" w:rsidR="003E78AB" w:rsidRDefault="00010BF9">
      <w:pPr>
        <w:pStyle w:val="5"/>
        <w:keepNext w:val="0"/>
        <w:keepLines w:val="0"/>
        <w:ind w:firstLine="482"/>
        <w:rPr>
          <w:sz w:val="24"/>
          <w:u w:val="single"/>
        </w:rPr>
      </w:pPr>
      <w:r>
        <w:rPr>
          <w:rFonts w:hint="eastAsia"/>
          <w:sz w:val="24"/>
          <w:u w:val="single"/>
        </w:rPr>
        <w:t>1.</w:t>
      </w:r>
      <w:r>
        <w:rPr>
          <w:rFonts w:hint="eastAsia"/>
          <w:sz w:val="24"/>
          <w:u w:val="single"/>
        </w:rPr>
        <w:t>工艺废气淋洗循环废水处理措施可行性</w:t>
      </w:r>
    </w:p>
    <w:p w14:paraId="00597545" w14:textId="77777777" w:rsidR="003E78AB" w:rsidRDefault="00010BF9">
      <w:pPr>
        <w:ind w:firstLine="482"/>
        <w:rPr>
          <w:b/>
          <w:u w:val="single"/>
        </w:rPr>
      </w:pPr>
      <w:r>
        <w:rPr>
          <w:rFonts w:hint="eastAsia"/>
          <w:b/>
          <w:u w:val="single"/>
        </w:rPr>
        <w:t>工艺废气喷淋系统定期排盐，高盐废水需使用蒸发釜处理。</w:t>
      </w:r>
    </w:p>
    <w:p w14:paraId="02F488EC" w14:textId="77777777" w:rsidR="003E78AB" w:rsidRDefault="00010BF9">
      <w:pPr>
        <w:ind w:firstLine="482"/>
        <w:rPr>
          <w:b/>
          <w:u w:val="single"/>
        </w:rPr>
      </w:pPr>
      <w:r>
        <w:rPr>
          <w:rFonts w:hint="eastAsia"/>
          <w:b/>
          <w:u w:val="single"/>
        </w:rPr>
        <w:t>（</w:t>
      </w:r>
      <w:r>
        <w:rPr>
          <w:rFonts w:hint="eastAsia"/>
          <w:b/>
          <w:u w:val="single"/>
        </w:rPr>
        <w:t>1</w:t>
      </w:r>
      <w:r>
        <w:rPr>
          <w:rFonts w:hint="eastAsia"/>
          <w:b/>
          <w:u w:val="single"/>
        </w:rPr>
        <w:t>）工艺比选</w:t>
      </w:r>
    </w:p>
    <w:p w14:paraId="7A3589B1" w14:textId="77777777" w:rsidR="003E78AB" w:rsidRDefault="00010BF9">
      <w:pPr>
        <w:pStyle w:val="a6"/>
        <w:spacing w:before="120"/>
        <w:rPr>
          <w:b/>
          <w:u w:val="single"/>
        </w:rPr>
      </w:pPr>
      <w:r>
        <w:rPr>
          <w:b/>
          <w:u w:val="single"/>
        </w:rPr>
        <w:t>工艺比选表</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72"/>
        <w:gridCol w:w="1452"/>
        <w:gridCol w:w="1516"/>
        <w:gridCol w:w="1497"/>
        <w:gridCol w:w="1684"/>
        <w:gridCol w:w="1191"/>
      </w:tblGrid>
      <w:tr w:rsidR="003E78AB" w14:paraId="249F6E77" w14:textId="77777777">
        <w:trPr>
          <w:tblHeader/>
        </w:trPr>
        <w:tc>
          <w:tcPr>
            <w:tcW w:w="638" w:type="pct"/>
            <w:shd w:val="clear" w:color="auto" w:fill="auto"/>
            <w:tcMar>
              <w:top w:w="100" w:type="dxa"/>
              <w:left w:w="0" w:type="dxa"/>
              <w:bottom w:w="100" w:type="dxa"/>
              <w:right w:w="100" w:type="dxa"/>
            </w:tcMar>
            <w:vAlign w:val="center"/>
          </w:tcPr>
          <w:p w14:paraId="72F05036" w14:textId="77777777" w:rsidR="003E78AB" w:rsidRDefault="00010BF9">
            <w:pPr>
              <w:pStyle w:val="aff6"/>
              <w:topLinePunct/>
              <w:rPr>
                <w:b/>
                <w:u w:val="single"/>
              </w:rPr>
            </w:pPr>
            <w:r>
              <w:rPr>
                <w:b/>
                <w:u w:val="single"/>
              </w:rPr>
              <w:t>工艺</w:t>
            </w:r>
          </w:p>
        </w:tc>
        <w:tc>
          <w:tcPr>
            <w:tcW w:w="862" w:type="pct"/>
            <w:shd w:val="clear" w:color="auto" w:fill="auto"/>
            <w:tcMar>
              <w:top w:w="100" w:type="dxa"/>
              <w:left w:w="100" w:type="dxa"/>
              <w:bottom w:w="100" w:type="dxa"/>
              <w:right w:w="100" w:type="dxa"/>
            </w:tcMar>
            <w:vAlign w:val="center"/>
          </w:tcPr>
          <w:p w14:paraId="08420A74" w14:textId="77777777" w:rsidR="003E78AB" w:rsidRDefault="00010BF9">
            <w:pPr>
              <w:pStyle w:val="aff6"/>
              <w:topLinePunct/>
              <w:rPr>
                <w:b/>
                <w:u w:val="single"/>
              </w:rPr>
            </w:pPr>
            <w:r>
              <w:rPr>
                <w:b/>
                <w:u w:val="single"/>
              </w:rPr>
              <w:t>核心原理</w:t>
            </w:r>
          </w:p>
        </w:tc>
        <w:tc>
          <w:tcPr>
            <w:tcW w:w="900" w:type="pct"/>
            <w:shd w:val="clear" w:color="auto" w:fill="auto"/>
            <w:tcMar>
              <w:top w:w="100" w:type="dxa"/>
              <w:left w:w="100" w:type="dxa"/>
              <w:bottom w:w="100" w:type="dxa"/>
              <w:right w:w="100" w:type="dxa"/>
            </w:tcMar>
            <w:vAlign w:val="center"/>
          </w:tcPr>
          <w:p w14:paraId="6897A7BB" w14:textId="77777777" w:rsidR="003E78AB" w:rsidRDefault="00010BF9">
            <w:pPr>
              <w:pStyle w:val="aff6"/>
              <w:topLinePunct/>
              <w:rPr>
                <w:b/>
                <w:u w:val="single"/>
              </w:rPr>
            </w:pPr>
            <w:r>
              <w:rPr>
                <w:b/>
                <w:u w:val="single"/>
              </w:rPr>
              <w:t>适用场景</w:t>
            </w:r>
          </w:p>
        </w:tc>
        <w:tc>
          <w:tcPr>
            <w:tcW w:w="889" w:type="pct"/>
            <w:shd w:val="clear" w:color="auto" w:fill="auto"/>
            <w:tcMar>
              <w:top w:w="100" w:type="dxa"/>
              <w:left w:w="100" w:type="dxa"/>
              <w:bottom w:w="100" w:type="dxa"/>
              <w:right w:w="100" w:type="dxa"/>
            </w:tcMar>
            <w:vAlign w:val="center"/>
          </w:tcPr>
          <w:p w14:paraId="1D0A957D" w14:textId="77777777" w:rsidR="003E78AB" w:rsidRDefault="00010BF9">
            <w:pPr>
              <w:pStyle w:val="aff6"/>
              <w:topLinePunct/>
              <w:rPr>
                <w:b/>
                <w:u w:val="single"/>
              </w:rPr>
            </w:pPr>
            <w:r>
              <w:rPr>
                <w:b/>
                <w:u w:val="single"/>
              </w:rPr>
              <w:t>优势</w:t>
            </w:r>
          </w:p>
        </w:tc>
        <w:tc>
          <w:tcPr>
            <w:tcW w:w="1000" w:type="pct"/>
            <w:shd w:val="clear" w:color="auto" w:fill="auto"/>
            <w:tcMar>
              <w:top w:w="100" w:type="dxa"/>
              <w:left w:w="100" w:type="dxa"/>
              <w:bottom w:w="100" w:type="dxa"/>
              <w:right w:w="100" w:type="dxa"/>
            </w:tcMar>
            <w:vAlign w:val="center"/>
          </w:tcPr>
          <w:p w14:paraId="3A15AD1C" w14:textId="77777777" w:rsidR="003E78AB" w:rsidRDefault="00010BF9">
            <w:pPr>
              <w:pStyle w:val="aff6"/>
              <w:topLinePunct/>
              <w:rPr>
                <w:b/>
                <w:u w:val="single"/>
              </w:rPr>
            </w:pPr>
            <w:r>
              <w:rPr>
                <w:b/>
                <w:u w:val="single"/>
              </w:rPr>
              <w:t>劣势</w:t>
            </w:r>
          </w:p>
        </w:tc>
        <w:tc>
          <w:tcPr>
            <w:tcW w:w="708" w:type="pct"/>
            <w:shd w:val="clear" w:color="auto" w:fill="auto"/>
            <w:tcMar>
              <w:top w:w="100" w:type="dxa"/>
              <w:left w:w="100" w:type="dxa"/>
              <w:bottom w:w="100" w:type="dxa"/>
              <w:right w:w="100" w:type="dxa"/>
            </w:tcMar>
            <w:vAlign w:val="center"/>
          </w:tcPr>
          <w:p w14:paraId="6C9ED6B2" w14:textId="77777777" w:rsidR="003E78AB" w:rsidRDefault="00010BF9">
            <w:pPr>
              <w:pStyle w:val="aff6"/>
              <w:topLinePunct/>
              <w:rPr>
                <w:b/>
                <w:u w:val="single"/>
              </w:rPr>
            </w:pPr>
            <w:r>
              <w:rPr>
                <w:b/>
                <w:u w:val="single"/>
              </w:rPr>
              <w:t>经济性</w:t>
            </w:r>
          </w:p>
        </w:tc>
      </w:tr>
      <w:tr w:rsidR="003E78AB" w14:paraId="1803A03C" w14:textId="77777777">
        <w:tc>
          <w:tcPr>
            <w:tcW w:w="638" w:type="pct"/>
            <w:shd w:val="clear" w:color="auto" w:fill="auto"/>
            <w:tcMar>
              <w:top w:w="100" w:type="dxa"/>
              <w:left w:w="0" w:type="dxa"/>
              <w:bottom w:w="100" w:type="dxa"/>
              <w:right w:w="100" w:type="dxa"/>
            </w:tcMar>
            <w:vAlign w:val="center"/>
          </w:tcPr>
          <w:p w14:paraId="135D9231" w14:textId="77777777" w:rsidR="003E78AB" w:rsidRDefault="00010BF9">
            <w:pPr>
              <w:pStyle w:val="aff6"/>
              <w:topLinePunct/>
              <w:rPr>
                <w:b/>
                <w:u w:val="single"/>
              </w:rPr>
            </w:pPr>
            <w:r>
              <w:rPr>
                <w:b/>
                <w:u w:val="single"/>
              </w:rPr>
              <w:t>强制循环蒸发结晶</w:t>
            </w:r>
            <w:r>
              <w:rPr>
                <w:b/>
                <w:u w:val="single"/>
              </w:rPr>
              <w:t>(FCEC)</w:t>
            </w:r>
          </w:p>
        </w:tc>
        <w:tc>
          <w:tcPr>
            <w:tcW w:w="862" w:type="pct"/>
            <w:shd w:val="clear" w:color="auto" w:fill="auto"/>
            <w:tcMar>
              <w:top w:w="100" w:type="dxa"/>
              <w:left w:w="100" w:type="dxa"/>
              <w:bottom w:w="100" w:type="dxa"/>
              <w:right w:w="100" w:type="dxa"/>
            </w:tcMar>
            <w:vAlign w:val="center"/>
          </w:tcPr>
          <w:p w14:paraId="07BE15CE" w14:textId="77777777" w:rsidR="003E78AB" w:rsidRDefault="00010BF9">
            <w:pPr>
              <w:pStyle w:val="aff6"/>
              <w:topLinePunct/>
              <w:rPr>
                <w:b/>
                <w:u w:val="single"/>
              </w:rPr>
            </w:pPr>
            <w:r>
              <w:rPr>
                <w:b/>
                <w:u w:val="single"/>
              </w:rPr>
              <w:t>高速循环防垢</w:t>
            </w:r>
            <w:r>
              <w:rPr>
                <w:b/>
                <w:u w:val="single"/>
              </w:rPr>
              <w:t>+</w:t>
            </w:r>
            <w:r>
              <w:rPr>
                <w:b/>
                <w:u w:val="single"/>
              </w:rPr>
              <w:t>电加热蒸发</w:t>
            </w:r>
            <w:r>
              <w:rPr>
                <w:b/>
                <w:u w:val="single"/>
              </w:rPr>
              <w:t>+</w:t>
            </w:r>
            <w:r>
              <w:rPr>
                <w:b/>
                <w:u w:val="single"/>
              </w:rPr>
              <w:t>结晶</w:t>
            </w:r>
          </w:p>
        </w:tc>
        <w:tc>
          <w:tcPr>
            <w:tcW w:w="900" w:type="pct"/>
            <w:shd w:val="clear" w:color="auto" w:fill="auto"/>
            <w:tcMar>
              <w:top w:w="100" w:type="dxa"/>
              <w:left w:w="100" w:type="dxa"/>
              <w:bottom w:w="100" w:type="dxa"/>
              <w:right w:w="100" w:type="dxa"/>
            </w:tcMar>
            <w:vAlign w:val="center"/>
          </w:tcPr>
          <w:p w14:paraId="22573590" w14:textId="77777777" w:rsidR="003E78AB" w:rsidRDefault="00010BF9">
            <w:pPr>
              <w:pStyle w:val="aff6"/>
              <w:topLinePunct/>
              <w:jc w:val="left"/>
              <w:rPr>
                <w:b/>
                <w:u w:val="single"/>
              </w:rPr>
            </w:pPr>
            <w:r>
              <w:rPr>
                <w:b/>
                <w:u w:val="single"/>
              </w:rPr>
              <w:t>•</w:t>
            </w:r>
            <w:r>
              <w:rPr>
                <w:b/>
                <w:u w:val="single"/>
              </w:rPr>
              <w:t>高盐（</w:t>
            </w:r>
            <w:r>
              <w:rPr>
                <w:b/>
                <w:u w:val="single"/>
              </w:rPr>
              <w:t>TDS&gt;10%</w:t>
            </w:r>
            <w:r>
              <w:rPr>
                <w:b/>
                <w:u w:val="single"/>
              </w:rPr>
              <w:t>）</w:t>
            </w:r>
            <w:r>
              <w:rPr>
                <w:b/>
                <w:u w:val="single"/>
              </w:rPr>
              <w:br/>
              <w:t>•</w:t>
            </w:r>
            <w:r>
              <w:rPr>
                <w:b/>
                <w:u w:val="single"/>
              </w:rPr>
              <w:t>易结垢废水（如含</w:t>
            </w:r>
            <w:r>
              <w:rPr>
                <w:b/>
                <w:u w:val="single"/>
              </w:rPr>
              <w:t>CaSO₄</w:t>
            </w:r>
            <w:r>
              <w:rPr>
                <w:b/>
                <w:u w:val="single"/>
              </w:rPr>
              <w:t>、硅酸盐）</w:t>
            </w:r>
            <w:r>
              <w:rPr>
                <w:b/>
                <w:u w:val="single"/>
              </w:rPr>
              <w:br/>
              <w:t>•</w:t>
            </w:r>
            <w:r>
              <w:rPr>
                <w:b/>
                <w:u w:val="single"/>
              </w:rPr>
              <w:t>需结晶回收盐</w:t>
            </w:r>
          </w:p>
        </w:tc>
        <w:tc>
          <w:tcPr>
            <w:tcW w:w="889" w:type="pct"/>
            <w:shd w:val="clear" w:color="auto" w:fill="auto"/>
            <w:tcMar>
              <w:top w:w="100" w:type="dxa"/>
              <w:left w:w="100" w:type="dxa"/>
              <w:bottom w:w="100" w:type="dxa"/>
              <w:right w:w="100" w:type="dxa"/>
            </w:tcMar>
            <w:vAlign w:val="center"/>
          </w:tcPr>
          <w:p w14:paraId="06AE91DC" w14:textId="77777777" w:rsidR="003E78AB" w:rsidRDefault="00010BF9">
            <w:pPr>
              <w:pStyle w:val="aff6"/>
              <w:topLinePunct/>
              <w:jc w:val="left"/>
              <w:rPr>
                <w:b/>
                <w:u w:val="single"/>
              </w:rPr>
            </w:pPr>
            <w:r>
              <w:rPr>
                <w:b/>
                <w:u w:val="single"/>
              </w:rPr>
              <w:t>•</w:t>
            </w:r>
            <w:r>
              <w:rPr>
                <w:b/>
                <w:u w:val="single"/>
              </w:rPr>
              <w:t>抗结垢能力强（循环流速</w:t>
            </w:r>
            <w:r>
              <w:rPr>
                <w:b/>
                <w:u w:val="single"/>
              </w:rPr>
              <w:t>&gt;1.5m/s</w:t>
            </w:r>
            <w:r>
              <w:rPr>
                <w:b/>
                <w:u w:val="single"/>
              </w:rPr>
              <w:t>）</w:t>
            </w:r>
            <w:r>
              <w:rPr>
                <w:b/>
                <w:u w:val="single"/>
              </w:rPr>
              <w:br/>
              <w:t>•</w:t>
            </w:r>
            <w:r>
              <w:rPr>
                <w:b/>
                <w:u w:val="single"/>
              </w:rPr>
              <w:t>结晶粒度可控</w:t>
            </w:r>
            <w:r>
              <w:rPr>
                <w:b/>
                <w:u w:val="single"/>
              </w:rPr>
              <w:br/>
              <w:t>•</w:t>
            </w:r>
            <w:r>
              <w:rPr>
                <w:b/>
                <w:u w:val="single"/>
              </w:rPr>
              <w:t>产水纯度最高（蒸馏水级）</w:t>
            </w:r>
          </w:p>
        </w:tc>
        <w:tc>
          <w:tcPr>
            <w:tcW w:w="1000" w:type="pct"/>
            <w:shd w:val="clear" w:color="auto" w:fill="auto"/>
            <w:tcMar>
              <w:top w:w="100" w:type="dxa"/>
              <w:left w:w="100" w:type="dxa"/>
              <w:bottom w:w="100" w:type="dxa"/>
              <w:right w:w="100" w:type="dxa"/>
            </w:tcMar>
            <w:vAlign w:val="center"/>
          </w:tcPr>
          <w:p w14:paraId="721E4F67" w14:textId="77777777" w:rsidR="003E78AB" w:rsidRDefault="00010BF9">
            <w:pPr>
              <w:pStyle w:val="aff6"/>
              <w:topLinePunct/>
              <w:jc w:val="left"/>
              <w:rPr>
                <w:b/>
                <w:u w:val="single"/>
              </w:rPr>
            </w:pPr>
            <w:r>
              <w:rPr>
                <w:b/>
                <w:u w:val="single"/>
              </w:rPr>
              <w:t>•</w:t>
            </w:r>
            <w:r>
              <w:rPr>
                <w:b/>
                <w:u w:val="single"/>
              </w:rPr>
              <w:t>能耗高（电加热成本占</w:t>
            </w:r>
            <w:r>
              <w:rPr>
                <w:b/>
                <w:u w:val="single"/>
              </w:rPr>
              <w:t>70%+</w:t>
            </w:r>
            <w:r>
              <w:rPr>
                <w:b/>
                <w:u w:val="single"/>
              </w:rPr>
              <w:t>）</w:t>
            </w:r>
            <w:r>
              <w:rPr>
                <w:b/>
                <w:u w:val="single"/>
              </w:rPr>
              <w:br/>
              <w:t>•</w:t>
            </w:r>
            <w:r>
              <w:rPr>
                <w:b/>
                <w:u w:val="single"/>
              </w:rPr>
              <w:t>设备投资较大（搪瓷釜</w:t>
            </w:r>
            <w:r>
              <w:rPr>
                <w:b/>
                <w:u w:val="single"/>
              </w:rPr>
              <w:t>/</w:t>
            </w:r>
            <w:r>
              <w:rPr>
                <w:b/>
                <w:u w:val="single"/>
              </w:rPr>
              <w:t>耐腐泵）</w:t>
            </w:r>
          </w:p>
        </w:tc>
        <w:tc>
          <w:tcPr>
            <w:tcW w:w="708" w:type="pct"/>
            <w:shd w:val="clear" w:color="auto" w:fill="auto"/>
            <w:tcMar>
              <w:top w:w="100" w:type="dxa"/>
              <w:left w:w="100" w:type="dxa"/>
              <w:bottom w:w="100" w:type="dxa"/>
              <w:right w:w="100" w:type="dxa"/>
            </w:tcMar>
            <w:vAlign w:val="center"/>
          </w:tcPr>
          <w:p w14:paraId="0FD92240" w14:textId="77777777" w:rsidR="003E78AB" w:rsidRDefault="00010BF9">
            <w:pPr>
              <w:pStyle w:val="aff6"/>
              <w:topLinePunct/>
              <w:rPr>
                <w:b/>
                <w:u w:val="single"/>
              </w:rPr>
            </w:pPr>
            <w:r>
              <w:rPr>
                <w:b/>
                <w:u w:val="single"/>
              </w:rPr>
              <w:t>运行成本高（电费主导），盐回收可部分抵偿</w:t>
            </w:r>
          </w:p>
        </w:tc>
      </w:tr>
      <w:tr w:rsidR="003E78AB" w14:paraId="01658F5B" w14:textId="77777777">
        <w:tc>
          <w:tcPr>
            <w:tcW w:w="638" w:type="pct"/>
            <w:shd w:val="clear" w:color="auto" w:fill="auto"/>
            <w:tcMar>
              <w:top w:w="100" w:type="dxa"/>
              <w:left w:w="0" w:type="dxa"/>
              <w:bottom w:w="100" w:type="dxa"/>
              <w:right w:w="100" w:type="dxa"/>
            </w:tcMar>
            <w:vAlign w:val="center"/>
          </w:tcPr>
          <w:p w14:paraId="5E26CD00" w14:textId="77777777" w:rsidR="003E78AB" w:rsidRDefault="00010BF9">
            <w:pPr>
              <w:pStyle w:val="aff6"/>
              <w:topLinePunct/>
              <w:rPr>
                <w:b/>
                <w:u w:val="single"/>
              </w:rPr>
            </w:pPr>
            <w:r>
              <w:rPr>
                <w:b/>
                <w:u w:val="single"/>
              </w:rPr>
              <w:t>多效蒸发</w:t>
            </w:r>
            <w:r>
              <w:rPr>
                <w:b/>
                <w:u w:val="single"/>
              </w:rPr>
              <w:t>(MED)</w:t>
            </w:r>
          </w:p>
        </w:tc>
        <w:tc>
          <w:tcPr>
            <w:tcW w:w="862" w:type="pct"/>
            <w:shd w:val="clear" w:color="auto" w:fill="auto"/>
            <w:tcMar>
              <w:top w:w="100" w:type="dxa"/>
              <w:left w:w="100" w:type="dxa"/>
              <w:bottom w:w="100" w:type="dxa"/>
              <w:right w:w="100" w:type="dxa"/>
            </w:tcMar>
            <w:vAlign w:val="center"/>
          </w:tcPr>
          <w:p w14:paraId="1193637A" w14:textId="77777777" w:rsidR="003E78AB" w:rsidRDefault="00010BF9">
            <w:pPr>
              <w:pStyle w:val="aff6"/>
              <w:topLinePunct/>
              <w:rPr>
                <w:b/>
                <w:u w:val="single"/>
              </w:rPr>
            </w:pPr>
            <w:r>
              <w:rPr>
                <w:b/>
                <w:u w:val="single"/>
              </w:rPr>
              <w:t>多级串联，利用前效蒸汽加热后效</w:t>
            </w:r>
          </w:p>
        </w:tc>
        <w:tc>
          <w:tcPr>
            <w:tcW w:w="900" w:type="pct"/>
            <w:shd w:val="clear" w:color="auto" w:fill="auto"/>
            <w:tcMar>
              <w:top w:w="100" w:type="dxa"/>
              <w:left w:w="100" w:type="dxa"/>
              <w:bottom w:w="100" w:type="dxa"/>
              <w:right w:w="100" w:type="dxa"/>
            </w:tcMar>
            <w:vAlign w:val="center"/>
          </w:tcPr>
          <w:p w14:paraId="5E5BF711" w14:textId="77777777" w:rsidR="003E78AB" w:rsidRDefault="00010BF9">
            <w:pPr>
              <w:pStyle w:val="aff6"/>
              <w:topLinePunct/>
              <w:jc w:val="left"/>
              <w:rPr>
                <w:b/>
                <w:u w:val="single"/>
              </w:rPr>
            </w:pPr>
            <w:r>
              <w:rPr>
                <w:b/>
                <w:u w:val="single"/>
              </w:rPr>
              <w:t>•</w:t>
            </w:r>
            <w:r>
              <w:rPr>
                <w:b/>
                <w:u w:val="single"/>
              </w:rPr>
              <w:t>中等盐浓度（</w:t>
            </w:r>
            <w:r>
              <w:rPr>
                <w:b/>
                <w:u w:val="single"/>
              </w:rPr>
              <w:t>TDS3~8%</w:t>
            </w:r>
            <w:r>
              <w:rPr>
                <w:b/>
                <w:u w:val="single"/>
              </w:rPr>
              <w:t>）</w:t>
            </w:r>
            <w:r>
              <w:rPr>
                <w:b/>
                <w:u w:val="single"/>
              </w:rPr>
              <w:br/>
              <w:t>•</w:t>
            </w:r>
            <w:r>
              <w:rPr>
                <w:b/>
                <w:u w:val="single"/>
              </w:rPr>
              <w:t>有廉价蒸汽源（如电厂余热）</w:t>
            </w:r>
          </w:p>
        </w:tc>
        <w:tc>
          <w:tcPr>
            <w:tcW w:w="889" w:type="pct"/>
            <w:shd w:val="clear" w:color="auto" w:fill="auto"/>
            <w:tcMar>
              <w:top w:w="100" w:type="dxa"/>
              <w:left w:w="100" w:type="dxa"/>
              <w:bottom w:w="100" w:type="dxa"/>
              <w:right w:w="100" w:type="dxa"/>
            </w:tcMar>
            <w:vAlign w:val="center"/>
          </w:tcPr>
          <w:p w14:paraId="0922266A" w14:textId="77777777" w:rsidR="003E78AB" w:rsidRDefault="00010BF9">
            <w:pPr>
              <w:pStyle w:val="aff6"/>
              <w:topLinePunct/>
              <w:jc w:val="left"/>
              <w:rPr>
                <w:b/>
                <w:u w:val="single"/>
              </w:rPr>
            </w:pPr>
            <w:r>
              <w:rPr>
                <w:b/>
                <w:u w:val="single"/>
              </w:rPr>
              <w:t>•</w:t>
            </w:r>
            <w:r>
              <w:rPr>
                <w:b/>
                <w:u w:val="single"/>
              </w:rPr>
              <w:t>能耗较低（效数越多越省）</w:t>
            </w:r>
            <w:r>
              <w:rPr>
                <w:b/>
                <w:u w:val="single"/>
              </w:rPr>
              <w:br/>
              <w:t>•</w:t>
            </w:r>
            <w:r>
              <w:rPr>
                <w:b/>
                <w:u w:val="single"/>
              </w:rPr>
              <w:t>技术成熟稳定</w:t>
            </w:r>
          </w:p>
        </w:tc>
        <w:tc>
          <w:tcPr>
            <w:tcW w:w="1000" w:type="pct"/>
            <w:shd w:val="clear" w:color="auto" w:fill="auto"/>
            <w:tcMar>
              <w:top w:w="100" w:type="dxa"/>
              <w:left w:w="100" w:type="dxa"/>
              <w:bottom w:w="100" w:type="dxa"/>
              <w:right w:w="100" w:type="dxa"/>
            </w:tcMar>
            <w:vAlign w:val="center"/>
          </w:tcPr>
          <w:p w14:paraId="7E285ECF" w14:textId="77777777" w:rsidR="003E78AB" w:rsidRDefault="00010BF9">
            <w:pPr>
              <w:pStyle w:val="aff6"/>
              <w:topLinePunct/>
              <w:jc w:val="left"/>
              <w:rPr>
                <w:b/>
                <w:u w:val="single"/>
              </w:rPr>
            </w:pPr>
            <w:r>
              <w:rPr>
                <w:b/>
                <w:u w:val="single"/>
              </w:rPr>
              <w:t>•</w:t>
            </w:r>
            <w:r>
              <w:rPr>
                <w:b/>
                <w:u w:val="single"/>
              </w:rPr>
              <w:t>易结垢需频繁清洗</w:t>
            </w:r>
            <w:r>
              <w:rPr>
                <w:b/>
                <w:u w:val="single"/>
              </w:rPr>
              <w:br/>
              <w:t>•</w:t>
            </w:r>
            <w:r>
              <w:rPr>
                <w:b/>
                <w:u w:val="single"/>
              </w:rPr>
              <w:t>设备体积庞大</w:t>
            </w:r>
            <w:r>
              <w:rPr>
                <w:b/>
                <w:u w:val="single"/>
              </w:rPr>
              <w:br/>
              <w:t>•</w:t>
            </w:r>
            <w:r>
              <w:rPr>
                <w:b/>
                <w:u w:val="single"/>
              </w:rPr>
              <w:t>末效真空度要求高</w:t>
            </w:r>
          </w:p>
        </w:tc>
        <w:tc>
          <w:tcPr>
            <w:tcW w:w="708" w:type="pct"/>
            <w:shd w:val="clear" w:color="auto" w:fill="auto"/>
            <w:tcMar>
              <w:top w:w="100" w:type="dxa"/>
              <w:left w:w="100" w:type="dxa"/>
              <w:bottom w:w="100" w:type="dxa"/>
              <w:right w:w="100" w:type="dxa"/>
            </w:tcMar>
            <w:vAlign w:val="center"/>
          </w:tcPr>
          <w:p w14:paraId="6DCA3524" w14:textId="77777777" w:rsidR="003E78AB" w:rsidRDefault="00010BF9">
            <w:pPr>
              <w:pStyle w:val="aff6"/>
              <w:topLinePunct/>
              <w:rPr>
                <w:b/>
                <w:u w:val="single"/>
              </w:rPr>
            </w:pPr>
            <w:r>
              <w:rPr>
                <w:b/>
                <w:u w:val="single"/>
              </w:rPr>
              <w:t>蒸汽成本低时经济性优，投资中等</w:t>
            </w:r>
          </w:p>
        </w:tc>
      </w:tr>
      <w:tr w:rsidR="003E78AB" w14:paraId="3D6489F2" w14:textId="77777777">
        <w:tc>
          <w:tcPr>
            <w:tcW w:w="638" w:type="pct"/>
            <w:shd w:val="clear" w:color="auto" w:fill="auto"/>
            <w:tcMar>
              <w:top w:w="100" w:type="dxa"/>
              <w:left w:w="0" w:type="dxa"/>
              <w:bottom w:w="100" w:type="dxa"/>
              <w:right w:w="100" w:type="dxa"/>
            </w:tcMar>
            <w:vAlign w:val="center"/>
          </w:tcPr>
          <w:p w14:paraId="3039517A" w14:textId="77777777" w:rsidR="003E78AB" w:rsidRDefault="00010BF9">
            <w:pPr>
              <w:pStyle w:val="aff6"/>
              <w:topLinePunct/>
              <w:rPr>
                <w:b/>
                <w:u w:val="single"/>
              </w:rPr>
            </w:pPr>
            <w:r>
              <w:rPr>
                <w:b/>
                <w:u w:val="single"/>
              </w:rPr>
              <w:t>机械蒸汽再压缩</w:t>
            </w:r>
            <w:r>
              <w:rPr>
                <w:b/>
                <w:u w:val="single"/>
              </w:rPr>
              <w:t>(MVR)</w:t>
            </w:r>
          </w:p>
        </w:tc>
        <w:tc>
          <w:tcPr>
            <w:tcW w:w="862" w:type="pct"/>
            <w:shd w:val="clear" w:color="auto" w:fill="auto"/>
            <w:tcMar>
              <w:top w:w="100" w:type="dxa"/>
              <w:left w:w="100" w:type="dxa"/>
              <w:bottom w:w="100" w:type="dxa"/>
              <w:right w:w="100" w:type="dxa"/>
            </w:tcMar>
            <w:vAlign w:val="center"/>
          </w:tcPr>
          <w:p w14:paraId="21F790BC" w14:textId="77777777" w:rsidR="003E78AB" w:rsidRDefault="00010BF9">
            <w:pPr>
              <w:pStyle w:val="aff6"/>
              <w:topLinePunct/>
              <w:rPr>
                <w:b/>
                <w:u w:val="single"/>
              </w:rPr>
            </w:pPr>
            <w:r>
              <w:rPr>
                <w:b/>
                <w:u w:val="single"/>
              </w:rPr>
              <w:t>压缩机将二次蒸汽升温复用为热源</w:t>
            </w:r>
          </w:p>
        </w:tc>
        <w:tc>
          <w:tcPr>
            <w:tcW w:w="900" w:type="pct"/>
            <w:shd w:val="clear" w:color="auto" w:fill="auto"/>
            <w:tcMar>
              <w:top w:w="100" w:type="dxa"/>
              <w:left w:w="100" w:type="dxa"/>
              <w:bottom w:w="100" w:type="dxa"/>
              <w:right w:w="100" w:type="dxa"/>
            </w:tcMar>
            <w:vAlign w:val="center"/>
          </w:tcPr>
          <w:p w14:paraId="3178525A" w14:textId="77777777" w:rsidR="003E78AB" w:rsidRDefault="00010BF9">
            <w:pPr>
              <w:pStyle w:val="aff6"/>
              <w:topLinePunct/>
              <w:jc w:val="left"/>
              <w:rPr>
                <w:b/>
                <w:u w:val="single"/>
              </w:rPr>
            </w:pPr>
            <w:r>
              <w:rPr>
                <w:b/>
                <w:u w:val="single"/>
              </w:rPr>
              <w:t>•</w:t>
            </w:r>
            <w:r>
              <w:rPr>
                <w:b/>
                <w:u w:val="single"/>
              </w:rPr>
              <w:t>中高盐浓度（</w:t>
            </w:r>
            <w:r>
              <w:rPr>
                <w:b/>
                <w:u w:val="single"/>
              </w:rPr>
              <w:t>TDS5~20%</w:t>
            </w:r>
            <w:r>
              <w:rPr>
                <w:b/>
                <w:u w:val="single"/>
              </w:rPr>
              <w:t>）</w:t>
            </w:r>
            <w:r>
              <w:rPr>
                <w:b/>
                <w:u w:val="single"/>
              </w:rPr>
              <w:br/>
              <w:t>•</w:t>
            </w:r>
            <w:r>
              <w:rPr>
                <w:b/>
                <w:u w:val="single"/>
              </w:rPr>
              <w:t>长期连续运行</w:t>
            </w:r>
          </w:p>
        </w:tc>
        <w:tc>
          <w:tcPr>
            <w:tcW w:w="889" w:type="pct"/>
            <w:shd w:val="clear" w:color="auto" w:fill="auto"/>
            <w:tcMar>
              <w:top w:w="100" w:type="dxa"/>
              <w:left w:w="100" w:type="dxa"/>
              <w:bottom w:w="100" w:type="dxa"/>
              <w:right w:w="100" w:type="dxa"/>
            </w:tcMar>
            <w:vAlign w:val="center"/>
          </w:tcPr>
          <w:p w14:paraId="6FFC24EA" w14:textId="77777777" w:rsidR="003E78AB" w:rsidRDefault="00010BF9">
            <w:pPr>
              <w:pStyle w:val="aff6"/>
              <w:topLinePunct/>
              <w:jc w:val="left"/>
              <w:rPr>
                <w:b/>
                <w:u w:val="single"/>
              </w:rPr>
            </w:pPr>
            <w:r>
              <w:rPr>
                <w:b/>
                <w:u w:val="single"/>
              </w:rPr>
              <w:t>•</w:t>
            </w:r>
            <w:r>
              <w:rPr>
                <w:b/>
                <w:u w:val="single"/>
              </w:rPr>
              <w:t>能耗最低（电能</w:t>
            </w:r>
            <w:r>
              <w:rPr>
                <w:b/>
                <w:u w:val="single"/>
              </w:rPr>
              <w:t>→</w:t>
            </w:r>
            <w:r>
              <w:rPr>
                <w:b/>
                <w:u w:val="single"/>
              </w:rPr>
              <w:t>机械能，效率高）</w:t>
            </w:r>
            <w:r>
              <w:rPr>
                <w:b/>
                <w:u w:val="single"/>
              </w:rPr>
              <w:br/>
              <w:t>•</w:t>
            </w:r>
            <w:r>
              <w:rPr>
                <w:b/>
                <w:u w:val="single"/>
              </w:rPr>
              <w:t>占地面积小</w:t>
            </w:r>
          </w:p>
        </w:tc>
        <w:tc>
          <w:tcPr>
            <w:tcW w:w="1000" w:type="pct"/>
            <w:shd w:val="clear" w:color="auto" w:fill="auto"/>
            <w:tcMar>
              <w:top w:w="100" w:type="dxa"/>
              <w:left w:w="100" w:type="dxa"/>
              <w:bottom w:w="100" w:type="dxa"/>
              <w:right w:w="100" w:type="dxa"/>
            </w:tcMar>
            <w:vAlign w:val="center"/>
          </w:tcPr>
          <w:p w14:paraId="372121E0" w14:textId="77777777" w:rsidR="003E78AB" w:rsidRDefault="00010BF9">
            <w:pPr>
              <w:pStyle w:val="aff6"/>
              <w:topLinePunct/>
              <w:jc w:val="left"/>
              <w:rPr>
                <w:b/>
                <w:u w:val="single"/>
              </w:rPr>
            </w:pPr>
            <w:r>
              <w:rPr>
                <w:b/>
                <w:u w:val="single"/>
              </w:rPr>
              <w:t>•</w:t>
            </w:r>
            <w:r>
              <w:rPr>
                <w:b/>
                <w:u w:val="single"/>
              </w:rPr>
              <w:t>压缩机投资高（占成本</w:t>
            </w:r>
            <w:r>
              <w:rPr>
                <w:b/>
                <w:u w:val="single"/>
              </w:rPr>
              <w:t>40%</w:t>
            </w:r>
            <w:r>
              <w:rPr>
                <w:b/>
                <w:u w:val="single"/>
              </w:rPr>
              <w:t>）</w:t>
            </w:r>
            <w:r>
              <w:rPr>
                <w:b/>
                <w:u w:val="single"/>
              </w:rPr>
              <w:br/>
            </w:r>
            <w:r>
              <w:rPr>
                <w:b/>
                <w:u w:val="single"/>
              </w:rPr>
              <w:t>•</w:t>
            </w:r>
            <w:r>
              <w:rPr>
                <w:b/>
                <w:u w:val="single"/>
              </w:rPr>
              <w:t>对蒸汽纯度敏感（需防雾沫夹带）</w:t>
            </w:r>
          </w:p>
        </w:tc>
        <w:tc>
          <w:tcPr>
            <w:tcW w:w="708" w:type="pct"/>
            <w:shd w:val="clear" w:color="auto" w:fill="auto"/>
            <w:tcMar>
              <w:top w:w="100" w:type="dxa"/>
              <w:left w:w="100" w:type="dxa"/>
              <w:bottom w:w="100" w:type="dxa"/>
              <w:right w:w="100" w:type="dxa"/>
            </w:tcMar>
            <w:vAlign w:val="center"/>
          </w:tcPr>
          <w:p w14:paraId="0D1D7029" w14:textId="77777777" w:rsidR="003E78AB" w:rsidRDefault="00010BF9">
            <w:pPr>
              <w:pStyle w:val="aff6"/>
              <w:topLinePunct/>
              <w:rPr>
                <w:b/>
                <w:u w:val="single"/>
              </w:rPr>
            </w:pPr>
            <w:r>
              <w:rPr>
                <w:b/>
                <w:u w:val="single"/>
              </w:rPr>
              <w:t>高投资，低运行成本（电费节省</w:t>
            </w:r>
            <w:r>
              <w:rPr>
                <w:b/>
                <w:u w:val="single"/>
              </w:rPr>
              <w:t>50%+</w:t>
            </w:r>
            <w:r>
              <w:rPr>
                <w:b/>
                <w:u w:val="single"/>
              </w:rPr>
              <w:t>）</w:t>
            </w:r>
          </w:p>
        </w:tc>
      </w:tr>
      <w:tr w:rsidR="003E78AB" w14:paraId="780DDD95" w14:textId="77777777">
        <w:tc>
          <w:tcPr>
            <w:tcW w:w="638" w:type="pct"/>
            <w:shd w:val="clear" w:color="auto" w:fill="auto"/>
            <w:tcMar>
              <w:top w:w="100" w:type="dxa"/>
              <w:left w:w="0" w:type="dxa"/>
              <w:bottom w:w="100" w:type="dxa"/>
              <w:right w:w="100" w:type="dxa"/>
            </w:tcMar>
            <w:vAlign w:val="center"/>
          </w:tcPr>
          <w:p w14:paraId="550CD377" w14:textId="77777777" w:rsidR="003E78AB" w:rsidRDefault="00010BF9">
            <w:pPr>
              <w:pStyle w:val="aff6"/>
              <w:topLinePunct/>
              <w:rPr>
                <w:b/>
                <w:u w:val="single"/>
              </w:rPr>
            </w:pPr>
            <w:r>
              <w:rPr>
                <w:b/>
                <w:u w:val="single"/>
              </w:rPr>
              <w:t>膜浓缩（</w:t>
            </w:r>
            <w:r>
              <w:rPr>
                <w:b/>
                <w:u w:val="single"/>
              </w:rPr>
              <w:t>RO/FO+ED</w:t>
            </w:r>
            <w:r>
              <w:rPr>
                <w:b/>
                <w:u w:val="single"/>
              </w:rPr>
              <w:t>）</w:t>
            </w:r>
          </w:p>
        </w:tc>
        <w:tc>
          <w:tcPr>
            <w:tcW w:w="862" w:type="pct"/>
            <w:shd w:val="clear" w:color="auto" w:fill="auto"/>
            <w:tcMar>
              <w:top w:w="100" w:type="dxa"/>
              <w:left w:w="100" w:type="dxa"/>
              <w:bottom w:w="100" w:type="dxa"/>
              <w:right w:w="100" w:type="dxa"/>
            </w:tcMar>
            <w:vAlign w:val="center"/>
          </w:tcPr>
          <w:p w14:paraId="6819722A" w14:textId="77777777" w:rsidR="003E78AB" w:rsidRDefault="00010BF9">
            <w:pPr>
              <w:pStyle w:val="aff6"/>
              <w:topLinePunct/>
              <w:rPr>
                <w:b/>
                <w:u w:val="single"/>
              </w:rPr>
            </w:pPr>
            <w:r>
              <w:rPr>
                <w:b/>
                <w:u w:val="single"/>
              </w:rPr>
              <w:t>反渗透（</w:t>
            </w:r>
            <w:r>
              <w:rPr>
                <w:b/>
                <w:u w:val="single"/>
              </w:rPr>
              <w:t>RO</w:t>
            </w:r>
            <w:r>
              <w:rPr>
                <w:b/>
                <w:u w:val="single"/>
              </w:rPr>
              <w:t>）</w:t>
            </w:r>
            <w:r>
              <w:rPr>
                <w:b/>
                <w:u w:val="single"/>
              </w:rPr>
              <w:t>/</w:t>
            </w:r>
            <w:r>
              <w:rPr>
                <w:b/>
                <w:u w:val="single"/>
              </w:rPr>
              <w:t>正渗透（</w:t>
            </w:r>
            <w:r>
              <w:rPr>
                <w:b/>
                <w:u w:val="single"/>
              </w:rPr>
              <w:t>FO</w:t>
            </w:r>
            <w:r>
              <w:rPr>
                <w:b/>
                <w:u w:val="single"/>
              </w:rPr>
              <w:t>）</w:t>
            </w:r>
            <w:r>
              <w:rPr>
                <w:b/>
                <w:u w:val="single"/>
              </w:rPr>
              <w:t>+</w:t>
            </w:r>
            <w:r>
              <w:rPr>
                <w:b/>
                <w:u w:val="single"/>
              </w:rPr>
              <w:t>电渗析（</w:t>
            </w:r>
            <w:r>
              <w:rPr>
                <w:b/>
                <w:u w:val="single"/>
              </w:rPr>
              <w:t>ED</w:t>
            </w:r>
            <w:r>
              <w:rPr>
                <w:b/>
                <w:u w:val="single"/>
              </w:rPr>
              <w:t>）</w:t>
            </w:r>
          </w:p>
        </w:tc>
        <w:tc>
          <w:tcPr>
            <w:tcW w:w="900" w:type="pct"/>
            <w:shd w:val="clear" w:color="auto" w:fill="auto"/>
            <w:tcMar>
              <w:top w:w="100" w:type="dxa"/>
              <w:left w:w="100" w:type="dxa"/>
              <w:bottom w:w="100" w:type="dxa"/>
              <w:right w:w="100" w:type="dxa"/>
            </w:tcMar>
            <w:vAlign w:val="center"/>
          </w:tcPr>
          <w:p w14:paraId="333DB1B7" w14:textId="77777777" w:rsidR="003E78AB" w:rsidRDefault="00010BF9">
            <w:pPr>
              <w:pStyle w:val="aff6"/>
              <w:topLinePunct/>
              <w:jc w:val="left"/>
              <w:rPr>
                <w:b/>
                <w:u w:val="single"/>
              </w:rPr>
            </w:pPr>
            <w:r>
              <w:rPr>
                <w:b/>
                <w:u w:val="single"/>
              </w:rPr>
              <w:t>•</w:t>
            </w:r>
            <w:r>
              <w:rPr>
                <w:b/>
                <w:u w:val="single"/>
              </w:rPr>
              <w:t>低中盐浓度（</w:t>
            </w:r>
            <w:r>
              <w:rPr>
                <w:b/>
                <w:u w:val="single"/>
              </w:rPr>
              <w:t>TDS&lt;5%</w:t>
            </w:r>
            <w:r>
              <w:rPr>
                <w:b/>
                <w:u w:val="single"/>
              </w:rPr>
              <w:t>）</w:t>
            </w:r>
            <w:r>
              <w:rPr>
                <w:b/>
                <w:u w:val="single"/>
              </w:rPr>
              <w:br/>
              <w:t>•</w:t>
            </w:r>
            <w:r>
              <w:rPr>
                <w:b/>
                <w:u w:val="single"/>
              </w:rPr>
              <w:t>预处理完善的废水</w:t>
            </w:r>
          </w:p>
        </w:tc>
        <w:tc>
          <w:tcPr>
            <w:tcW w:w="889" w:type="pct"/>
            <w:shd w:val="clear" w:color="auto" w:fill="auto"/>
            <w:tcMar>
              <w:top w:w="100" w:type="dxa"/>
              <w:left w:w="100" w:type="dxa"/>
              <w:bottom w:w="100" w:type="dxa"/>
              <w:right w:w="100" w:type="dxa"/>
            </w:tcMar>
            <w:vAlign w:val="center"/>
          </w:tcPr>
          <w:p w14:paraId="60D78801" w14:textId="77777777" w:rsidR="003E78AB" w:rsidRDefault="00010BF9">
            <w:pPr>
              <w:pStyle w:val="aff6"/>
              <w:topLinePunct/>
              <w:jc w:val="left"/>
              <w:rPr>
                <w:b/>
                <w:u w:val="single"/>
              </w:rPr>
            </w:pPr>
            <w:r>
              <w:rPr>
                <w:b/>
                <w:u w:val="single"/>
              </w:rPr>
              <w:t>•</w:t>
            </w:r>
            <w:r>
              <w:rPr>
                <w:b/>
                <w:u w:val="single"/>
              </w:rPr>
              <w:t>能耗低（无相变）</w:t>
            </w:r>
            <w:r>
              <w:rPr>
                <w:b/>
                <w:u w:val="single"/>
              </w:rPr>
              <w:br/>
              <w:t>•</w:t>
            </w:r>
            <w:r>
              <w:rPr>
                <w:b/>
                <w:u w:val="single"/>
              </w:rPr>
              <w:t>可回收</w:t>
            </w:r>
            <w:r>
              <w:rPr>
                <w:b/>
                <w:u w:val="single"/>
              </w:rPr>
              <w:t>80%</w:t>
            </w:r>
            <w:r>
              <w:rPr>
                <w:b/>
                <w:u w:val="single"/>
              </w:rPr>
              <w:t>淡水</w:t>
            </w:r>
          </w:p>
        </w:tc>
        <w:tc>
          <w:tcPr>
            <w:tcW w:w="1000" w:type="pct"/>
            <w:shd w:val="clear" w:color="auto" w:fill="auto"/>
            <w:tcMar>
              <w:top w:w="100" w:type="dxa"/>
              <w:left w:w="100" w:type="dxa"/>
              <w:bottom w:w="100" w:type="dxa"/>
              <w:right w:w="100" w:type="dxa"/>
            </w:tcMar>
            <w:vAlign w:val="center"/>
          </w:tcPr>
          <w:p w14:paraId="478975FD" w14:textId="77777777" w:rsidR="003E78AB" w:rsidRDefault="00010BF9">
            <w:pPr>
              <w:pStyle w:val="aff6"/>
              <w:topLinePunct/>
              <w:jc w:val="left"/>
              <w:rPr>
                <w:b/>
                <w:u w:val="single"/>
              </w:rPr>
            </w:pPr>
            <w:r>
              <w:rPr>
                <w:b/>
                <w:u w:val="single"/>
              </w:rPr>
              <w:t>•</w:t>
            </w:r>
            <w:r>
              <w:rPr>
                <w:b/>
                <w:u w:val="single"/>
              </w:rPr>
              <w:t>膜污染风险高</w:t>
            </w:r>
            <w:r>
              <w:rPr>
                <w:b/>
                <w:u w:val="single"/>
              </w:rPr>
              <w:br/>
              <w:t>•</w:t>
            </w:r>
            <w:r>
              <w:rPr>
                <w:b/>
                <w:u w:val="single"/>
              </w:rPr>
              <w:t>浓水需二次处理（</w:t>
            </w:r>
            <w:r>
              <w:rPr>
                <w:b/>
                <w:u w:val="single"/>
              </w:rPr>
              <w:t>TDS&lt;10%</w:t>
            </w:r>
            <w:r>
              <w:rPr>
                <w:b/>
                <w:u w:val="single"/>
              </w:rPr>
              <w:t>）</w:t>
            </w:r>
            <w:r>
              <w:rPr>
                <w:b/>
                <w:u w:val="single"/>
              </w:rPr>
              <w:br/>
              <w:t>•</w:t>
            </w:r>
            <w:r>
              <w:rPr>
                <w:b/>
                <w:u w:val="single"/>
              </w:rPr>
              <w:t>无法直接结晶</w:t>
            </w:r>
          </w:p>
        </w:tc>
        <w:tc>
          <w:tcPr>
            <w:tcW w:w="708" w:type="pct"/>
            <w:shd w:val="clear" w:color="auto" w:fill="auto"/>
            <w:tcMar>
              <w:top w:w="100" w:type="dxa"/>
              <w:left w:w="100" w:type="dxa"/>
              <w:bottom w:w="100" w:type="dxa"/>
              <w:right w:w="100" w:type="dxa"/>
            </w:tcMar>
            <w:vAlign w:val="center"/>
          </w:tcPr>
          <w:p w14:paraId="7F804CC3" w14:textId="77777777" w:rsidR="003E78AB" w:rsidRDefault="00010BF9">
            <w:pPr>
              <w:pStyle w:val="aff6"/>
              <w:topLinePunct/>
              <w:rPr>
                <w:b/>
                <w:u w:val="single"/>
              </w:rPr>
            </w:pPr>
            <w:r>
              <w:rPr>
                <w:b/>
                <w:u w:val="single"/>
              </w:rPr>
              <w:t>投资中等，运行成本低（仅泵耗电）</w:t>
            </w:r>
          </w:p>
        </w:tc>
      </w:tr>
    </w:tbl>
    <w:p w14:paraId="46FA8A00" w14:textId="77777777" w:rsidR="003E78AB" w:rsidRDefault="00010BF9">
      <w:pPr>
        <w:ind w:firstLine="482"/>
        <w:rPr>
          <w:b/>
          <w:u w:val="single"/>
        </w:rPr>
      </w:pPr>
      <w:r>
        <w:rPr>
          <w:rFonts w:hint="eastAsia"/>
          <w:b/>
          <w:u w:val="single"/>
        </w:rPr>
        <w:t>经过上述各种处理方法的综合比较以及结合项目的实际情况，本项目高盐废水的处理工艺拟采用强制循环蒸发结晶（</w:t>
      </w:r>
      <w:r>
        <w:rPr>
          <w:rFonts w:hint="eastAsia"/>
          <w:b/>
          <w:u w:val="single"/>
        </w:rPr>
        <w:t>FCEC</w:t>
      </w:r>
      <w:r>
        <w:rPr>
          <w:rFonts w:hint="eastAsia"/>
          <w:b/>
          <w:u w:val="single"/>
        </w:rPr>
        <w:t>）技术。</w:t>
      </w:r>
    </w:p>
    <w:p w14:paraId="148CF8FF" w14:textId="77777777" w:rsidR="003E78AB" w:rsidRDefault="00010BF9">
      <w:pPr>
        <w:ind w:firstLine="482"/>
        <w:rPr>
          <w:b/>
          <w:u w:val="single"/>
        </w:rPr>
      </w:pPr>
      <w:r>
        <w:rPr>
          <w:rFonts w:hint="eastAsia"/>
          <w:b/>
          <w:u w:val="single"/>
        </w:rPr>
        <w:t>（</w:t>
      </w:r>
      <w:r>
        <w:rPr>
          <w:rFonts w:hint="eastAsia"/>
          <w:b/>
          <w:u w:val="single"/>
        </w:rPr>
        <w:t>2</w:t>
      </w:r>
      <w:r>
        <w:rPr>
          <w:rFonts w:hint="eastAsia"/>
          <w:b/>
          <w:u w:val="single"/>
        </w:rPr>
        <w:t>）高盐废水处理工艺</w:t>
      </w:r>
    </w:p>
    <w:p w14:paraId="7F38FDB0" w14:textId="77777777" w:rsidR="003E78AB" w:rsidRDefault="00010BF9">
      <w:pPr>
        <w:ind w:firstLine="482"/>
        <w:rPr>
          <w:b/>
          <w:u w:val="single"/>
        </w:rPr>
      </w:pPr>
      <w:r>
        <w:rPr>
          <w:rFonts w:hint="eastAsia"/>
          <w:b/>
          <w:u w:val="single"/>
        </w:rPr>
        <w:t>进料：高盐废水首先进入蒸发结晶釜。</w:t>
      </w:r>
    </w:p>
    <w:p w14:paraId="48694BD6" w14:textId="77777777" w:rsidR="003E78AB" w:rsidRDefault="00010BF9">
      <w:pPr>
        <w:ind w:firstLine="482"/>
        <w:rPr>
          <w:b/>
          <w:u w:val="single"/>
        </w:rPr>
      </w:pPr>
      <w:r>
        <w:rPr>
          <w:rFonts w:hint="eastAsia"/>
          <w:b/>
          <w:u w:val="single"/>
        </w:rPr>
        <w:t>循环加热：循环泵将釜内的废水以较高的流速抽出。废水被泵入循环电加热器进行加热（通常加热到接近沸点或略高于沸点）。加热后的高温废水返回蒸发结晶釜的底部。</w:t>
      </w:r>
    </w:p>
    <w:p w14:paraId="0A8F372C" w14:textId="77777777" w:rsidR="003E78AB" w:rsidRDefault="00010BF9">
      <w:pPr>
        <w:ind w:firstLine="482"/>
        <w:rPr>
          <w:b/>
          <w:u w:val="single"/>
        </w:rPr>
      </w:pPr>
      <w:r>
        <w:rPr>
          <w:rFonts w:hint="eastAsia"/>
          <w:b/>
          <w:u w:val="single"/>
        </w:rPr>
        <w:t>蒸发：在蒸发结晶釜内，由于压力降低（常压或负压）和高温，废水剧烈沸腾，产生大量二次蒸汽（水蒸气）。搅拌器的作用至关重要，它防止盐分在釜壁和底部结垢，促进晶体生长和悬浮，保证传热和蒸发效率。</w:t>
      </w:r>
    </w:p>
    <w:p w14:paraId="33445213" w14:textId="77777777" w:rsidR="003E78AB" w:rsidRDefault="00010BF9">
      <w:pPr>
        <w:ind w:firstLine="482"/>
        <w:rPr>
          <w:b/>
          <w:u w:val="single"/>
        </w:rPr>
      </w:pPr>
      <w:r>
        <w:rPr>
          <w:rFonts w:hint="eastAsia"/>
          <w:b/>
          <w:u w:val="single"/>
        </w:rPr>
        <w:t>蒸汽冷凝：产生的二次蒸汽进入冷凝器。在冷凝器中，二次蒸汽被冷却介质（通常是冷却水或冷冻水）冷凝成液态水。</w:t>
      </w:r>
    </w:p>
    <w:p w14:paraId="5F0D7A7E" w14:textId="77777777" w:rsidR="003E78AB" w:rsidRDefault="00010BF9">
      <w:pPr>
        <w:ind w:firstLine="482"/>
        <w:rPr>
          <w:b/>
          <w:u w:val="single"/>
        </w:rPr>
      </w:pPr>
      <w:r>
        <w:rPr>
          <w:rFonts w:hint="eastAsia"/>
          <w:b/>
          <w:u w:val="single"/>
        </w:rPr>
        <w:t>产水收集：冷凝得到的液态水（即处理后的淡水，水质较好，</w:t>
      </w:r>
      <w:r>
        <w:rPr>
          <w:rFonts w:hint="eastAsia"/>
          <w:b/>
          <w:u w:val="single"/>
        </w:rPr>
        <w:t>TDS</w:t>
      </w:r>
      <w:r>
        <w:rPr>
          <w:rFonts w:hint="eastAsia"/>
          <w:b/>
          <w:u w:val="single"/>
        </w:rPr>
        <w:t>低）流入水接收罐储存。</w:t>
      </w:r>
    </w:p>
    <w:p w14:paraId="23211A94" w14:textId="77777777" w:rsidR="003E78AB" w:rsidRDefault="00010BF9">
      <w:pPr>
        <w:ind w:firstLine="482"/>
        <w:rPr>
          <w:b/>
          <w:u w:val="single"/>
        </w:rPr>
      </w:pPr>
      <w:r>
        <w:rPr>
          <w:rFonts w:hint="eastAsia"/>
          <w:b/>
          <w:u w:val="single"/>
        </w:rPr>
        <w:t>浓缩液</w:t>
      </w:r>
      <w:r>
        <w:rPr>
          <w:rFonts w:hint="eastAsia"/>
          <w:b/>
          <w:u w:val="single"/>
        </w:rPr>
        <w:t>/</w:t>
      </w:r>
      <w:r>
        <w:rPr>
          <w:rFonts w:hint="eastAsia"/>
          <w:b/>
          <w:u w:val="single"/>
        </w:rPr>
        <w:t>晶浆排放：随着蒸发过程的持续进行，蒸发结晶釜内的溶液浓度不断升高。当盐分浓度达到过饱和状态时，盐分开始结晶析出，形成晶浆。输送泵将釜底富含晶体的浓缩液（晶浆）抽出，输送到后续的固液分离单元进行脱水干燥，得到固体盐。</w:t>
      </w:r>
    </w:p>
    <w:p w14:paraId="48055B55" w14:textId="77777777" w:rsidR="003E78AB" w:rsidRDefault="00010BF9">
      <w:pPr>
        <w:ind w:firstLine="482"/>
        <w:rPr>
          <w:b/>
          <w:u w:val="single"/>
        </w:rPr>
      </w:pPr>
      <w:r>
        <w:rPr>
          <w:rFonts w:hint="eastAsia"/>
          <w:b/>
          <w:u w:val="single"/>
        </w:rPr>
        <w:t>（</w:t>
      </w:r>
      <w:r>
        <w:rPr>
          <w:rFonts w:hint="eastAsia"/>
          <w:b/>
          <w:u w:val="single"/>
        </w:rPr>
        <w:t>3</w:t>
      </w:r>
      <w:r>
        <w:rPr>
          <w:rFonts w:hint="eastAsia"/>
          <w:b/>
          <w:u w:val="single"/>
        </w:rPr>
        <w:t>）冷凝水回用可行性</w:t>
      </w:r>
    </w:p>
    <w:p w14:paraId="108DB53B" w14:textId="77777777" w:rsidR="003E78AB" w:rsidRDefault="00010BF9">
      <w:pPr>
        <w:ind w:firstLine="482"/>
        <w:rPr>
          <w:b/>
          <w:u w:val="single"/>
        </w:rPr>
      </w:pPr>
      <w:r>
        <w:rPr>
          <w:rFonts w:hint="eastAsia"/>
          <w:b/>
          <w:u w:val="single"/>
        </w:rPr>
        <w:t>高盐废水处理单元设计去除效率见</w:t>
      </w:r>
      <w:r>
        <w:rPr>
          <w:rFonts w:hint="eastAsia"/>
          <w:b/>
          <w:u w:val="single"/>
        </w:rPr>
        <w:fldChar w:fldCharType="begin"/>
      </w:r>
      <w:r>
        <w:rPr>
          <w:rFonts w:hint="eastAsia"/>
          <w:b/>
          <w:u w:val="single"/>
        </w:rPr>
        <w:instrText xml:space="preserve"> REF _Ref11188 \r \h </w:instrText>
      </w:r>
      <w:r>
        <w:rPr>
          <w:rFonts w:hint="eastAsia"/>
          <w:b/>
          <w:u w:val="single"/>
        </w:rPr>
      </w:r>
      <w:r>
        <w:rPr>
          <w:rFonts w:hint="eastAsia"/>
          <w:b/>
          <w:u w:val="single"/>
        </w:rPr>
        <w:fldChar w:fldCharType="separate"/>
      </w:r>
      <w:r>
        <w:rPr>
          <w:rFonts w:hint="eastAsia"/>
          <w:b/>
          <w:u w:val="single"/>
        </w:rPr>
        <w:t>表</w:t>
      </w:r>
      <w:r>
        <w:rPr>
          <w:rFonts w:hint="eastAsia"/>
          <w:b/>
          <w:u w:val="single"/>
        </w:rPr>
        <w:t>7-7</w:t>
      </w:r>
      <w:r>
        <w:rPr>
          <w:rFonts w:hint="eastAsia"/>
          <w:b/>
          <w:u w:val="single"/>
        </w:rPr>
        <w:fldChar w:fldCharType="end"/>
      </w:r>
      <w:r>
        <w:rPr>
          <w:rFonts w:hint="eastAsia"/>
          <w:b/>
          <w:u w:val="single"/>
        </w:rPr>
        <w:t>。蒸发结晶后的冷凝水回用于配置碱液或淋洗补水，按《城市污水再生利用</w:t>
      </w:r>
      <w:r>
        <w:rPr>
          <w:rFonts w:hint="eastAsia"/>
          <w:b/>
          <w:u w:val="single"/>
        </w:rPr>
        <w:t xml:space="preserve"> </w:t>
      </w:r>
      <w:r>
        <w:rPr>
          <w:rFonts w:hint="eastAsia"/>
          <w:b/>
          <w:u w:val="single"/>
        </w:rPr>
        <w:t>工业用水水质》（</w:t>
      </w:r>
      <w:r>
        <w:rPr>
          <w:rFonts w:hint="eastAsia"/>
          <w:b/>
          <w:u w:val="single"/>
        </w:rPr>
        <w:t>GB/T 19923-2024</w:t>
      </w:r>
      <w:r>
        <w:rPr>
          <w:rFonts w:hint="eastAsia"/>
          <w:b/>
          <w:u w:val="single"/>
        </w:rPr>
        <w:t>）表</w:t>
      </w:r>
      <w:r>
        <w:rPr>
          <w:rFonts w:hint="eastAsia"/>
          <w:b/>
          <w:u w:val="single"/>
        </w:rPr>
        <w:t>1</w:t>
      </w:r>
      <w:r>
        <w:rPr>
          <w:rFonts w:hint="eastAsia"/>
          <w:b/>
          <w:u w:val="single"/>
        </w:rPr>
        <w:t>洗涤用水的标准执行。</w:t>
      </w:r>
    </w:p>
    <w:p w14:paraId="276E5ABF" w14:textId="77777777" w:rsidR="003E78AB" w:rsidRDefault="00010BF9">
      <w:pPr>
        <w:pStyle w:val="a6"/>
        <w:spacing w:before="120"/>
        <w:rPr>
          <w:b/>
          <w:u w:val="single"/>
        </w:rPr>
      </w:pPr>
      <w:bookmarkStart w:id="465" w:name="_Ref11188"/>
      <w:r>
        <w:rPr>
          <w:rFonts w:hint="eastAsia"/>
          <w:b/>
          <w:u w:val="single"/>
        </w:rPr>
        <w:t>高盐废水处理设施处理效率</w:t>
      </w:r>
      <w:bookmarkEnd w:id="465"/>
    </w:p>
    <w:tbl>
      <w:tblPr>
        <w:tblStyle w:val="TableNormal"/>
        <w:tblW w:w="501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93"/>
        <w:gridCol w:w="1593"/>
        <w:gridCol w:w="1595"/>
        <w:gridCol w:w="1595"/>
      </w:tblGrid>
      <w:tr w:rsidR="003E78AB" w14:paraId="715F6094" w14:textId="77777777">
        <w:trPr>
          <w:trHeight w:val="401"/>
        </w:trPr>
        <w:tc>
          <w:tcPr>
            <w:tcW w:w="1171" w:type="pct"/>
            <w:vAlign w:val="center"/>
          </w:tcPr>
          <w:p w14:paraId="4F9C21B6" w14:textId="77777777" w:rsidR="003E78AB" w:rsidRDefault="00010BF9">
            <w:pPr>
              <w:pStyle w:val="aff6"/>
              <w:topLinePunct/>
              <w:rPr>
                <w:b/>
                <w:u w:val="single"/>
              </w:rPr>
            </w:pPr>
            <w:r>
              <w:rPr>
                <w:rFonts w:hint="eastAsia"/>
                <w:b/>
                <w:u w:val="single"/>
              </w:rPr>
              <w:t>污染物</w:t>
            </w:r>
          </w:p>
        </w:tc>
        <w:tc>
          <w:tcPr>
            <w:tcW w:w="956" w:type="pct"/>
            <w:vAlign w:val="center"/>
          </w:tcPr>
          <w:p w14:paraId="33C6122B" w14:textId="77777777" w:rsidR="003E78AB" w:rsidRDefault="00010BF9">
            <w:pPr>
              <w:pStyle w:val="aff6"/>
              <w:topLinePunct/>
              <w:rPr>
                <w:b/>
                <w:u w:val="single"/>
              </w:rPr>
            </w:pPr>
            <w:r>
              <w:rPr>
                <w:rFonts w:hint="eastAsia"/>
                <w:b/>
                <w:u w:val="single"/>
              </w:rPr>
              <w:t>进水指标（</w:t>
            </w:r>
            <w:r>
              <w:rPr>
                <w:rFonts w:hint="eastAsia"/>
                <w:b/>
                <w:u w:val="single"/>
              </w:rPr>
              <w:t>mg/L</w:t>
            </w:r>
            <w:r>
              <w:rPr>
                <w:rFonts w:hint="eastAsia"/>
                <w:b/>
                <w:u w:val="single"/>
              </w:rPr>
              <w:t>）</w:t>
            </w:r>
          </w:p>
        </w:tc>
        <w:tc>
          <w:tcPr>
            <w:tcW w:w="956" w:type="pct"/>
            <w:vAlign w:val="center"/>
          </w:tcPr>
          <w:p w14:paraId="50B3C74C" w14:textId="77777777" w:rsidR="003E78AB" w:rsidRDefault="00010BF9">
            <w:pPr>
              <w:pStyle w:val="aff6"/>
              <w:topLinePunct/>
              <w:rPr>
                <w:b/>
                <w:u w:val="single"/>
              </w:rPr>
            </w:pPr>
            <w:r>
              <w:rPr>
                <w:rFonts w:hint="eastAsia"/>
                <w:b/>
                <w:u w:val="single"/>
              </w:rPr>
              <w:t>处理效率（</w:t>
            </w:r>
            <w:r>
              <w:rPr>
                <w:rFonts w:hint="eastAsia"/>
                <w:b/>
                <w:u w:val="single"/>
              </w:rPr>
              <w:t>%</w:t>
            </w:r>
            <w:r>
              <w:rPr>
                <w:rFonts w:hint="eastAsia"/>
                <w:b/>
                <w:u w:val="single"/>
              </w:rPr>
              <w:t>）</w:t>
            </w:r>
          </w:p>
        </w:tc>
        <w:tc>
          <w:tcPr>
            <w:tcW w:w="957" w:type="pct"/>
            <w:vAlign w:val="center"/>
          </w:tcPr>
          <w:p w14:paraId="1BF199FC" w14:textId="77777777" w:rsidR="003E78AB" w:rsidRDefault="00010BF9">
            <w:pPr>
              <w:pStyle w:val="aff6"/>
              <w:topLinePunct/>
              <w:rPr>
                <w:b/>
                <w:u w:val="single"/>
              </w:rPr>
            </w:pPr>
            <w:r>
              <w:rPr>
                <w:rFonts w:hint="eastAsia"/>
                <w:b/>
                <w:u w:val="single"/>
              </w:rPr>
              <w:t>出水指标（</w:t>
            </w:r>
            <w:r>
              <w:rPr>
                <w:rFonts w:hint="eastAsia"/>
                <w:b/>
                <w:u w:val="single"/>
              </w:rPr>
              <w:t>mg/L</w:t>
            </w:r>
            <w:r>
              <w:rPr>
                <w:rFonts w:hint="eastAsia"/>
                <w:b/>
                <w:u w:val="single"/>
              </w:rPr>
              <w:t>）</w:t>
            </w:r>
          </w:p>
        </w:tc>
        <w:tc>
          <w:tcPr>
            <w:tcW w:w="957" w:type="pct"/>
            <w:vAlign w:val="center"/>
          </w:tcPr>
          <w:p w14:paraId="1EAD1730" w14:textId="77777777" w:rsidR="003E78AB" w:rsidRDefault="00010BF9">
            <w:pPr>
              <w:pStyle w:val="aff6"/>
              <w:topLinePunct/>
              <w:rPr>
                <w:b/>
                <w:u w:val="single"/>
              </w:rPr>
            </w:pPr>
            <w:r>
              <w:rPr>
                <w:rFonts w:hint="eastAsia"/>
                <w:b/>
                <w:u w:val="single"/>
              </w:rPr>
              <w:t>回用标准</w:t>
            </w:r>
          </w:p>
        </w:tc>
      </w:tr>
      <w:tr w:rsidR="003E78AB" w14:paraId="7E85A861" w14:textId="77777777">
        <w:trPr>
          <w:trHeight w:val="401"/>
        </w:trPr>
        <w:tc>
          <w:tcPr>
            <w:tcW w:w="1171" w:type="pct"/>
            <w:vAlign w:val="center"/>
          </w:tcPr>
          <w:p w14:paraId="73090D4A" w14:textId="77777777" w:rsidR="003E78AB" w:rsidRDefault="00010BF9">
            <w:pPr>
              <w:pStyle w:val="aff6"/>
              <w:topLinePunct/>
              <w:rPr>
                <w:b/>
                <w:u w:val="single"/>
              </w:rPr>
            </w:pPr>
            <w:r>
              <w:rPr>
                <w:b/>
                <w:u w:val="single"/>
              </w:rPr>
              <w:t>钒</w:t>
            </w:r>
          </w:p>
        </w:tc>
        <w:tc>
          <w:tcPr>
            <w:tcW w:w="956" w:type="pct"/>
            <w:vAlign w:val="center"/>
          </w:tcPr>
          <w:p w14:paraId="3D4FD614" w14:textId="77777777" w:rsidR="003E78AB" w:rsidRDefault="00010BF9">
            <w:pPr>
              <w:pStyle w:val="aff6"/>
              <w:topLinePunct/>
              <w:rPr>
                <w:b/>
                <w:u w:val="single"/>
              </w:rPr>
            </w:pPr>
            <w:r>
              <w:rPr>
                <w:rFonts w:hint="eastAsia"/>
                <w:b/>
                <w:u w:val="single"/>
              </w:rPr>
              <w:t>12.1</w:t>
            </w:r>
          </w:p>
        </w:tc>
        <w:tc>
          <w:tcPr>
            <w:tcW w:w="956" w:type="pct"/>
            <w:vAlign w:val="center"/>
          </w:tcPr>
          <w:p w14:paraId="3AD4A365" w14:textId="77777777" w:rsidR="003E78AB" w:rsidRDefault="00010BF9">
            <w:pPr>
              <w:pStyle w:val="aff6"/>
              <w:topLinePunct/>
              <w:rPr>
                <w:b/>
                <w:u w:val="single"/>
              </w:rPr>
            </w:pPr>
            <w:r>
              <w:rPr>
                <w:rFonts w:hint="eastAsia"/>
                <w:b/>
                <w:u w:val="single"/>
              </w:rPr>
              <w:t>99.99</w:t>
            </w:r>
          </w:p>
        </w:tc>
        <w:tc>
          <w:tcPr>
            <w:tcW w:w="957" w:type="pct"/>
            <w:vAlign w:val="center"/>
          </w:tcPr>
          <w:p w14:paraId="0A8D2346" w14:textId="77777777" w:rsidR="003E78AB" w:rsidRDefault="00010BF9">
            <w:pPr>
              <w:pStyle w:val="aff6"/>
              <w:topLinePunct/>
              <w:rPr>
                <w:b/>
                <w:u w:val="single"/>
              </w:rPr>
            </w:pPr>
            <w:r>
              <w:rPr>
                <w:rFonts w:hint="eastAsia"/>
                <w:b/>
                <w:u w:val="single"/>
              </w:rPr>
              <w:t>0.00121</w:t>
            </w:r>
          </w:p>
        </w:tc>
        <w:tc>
          <w:tcPr>
            <w:tcW w:w="957" w:type="pct"/>
            <w:vAlign w:val="center"/>
          </w:tcPr>
          <w:p w14:paraId="638EF624" w14:textId="77777777" w:rsidR="003E78AB" w:rsidRDefault="00010BF9">
            <w:pPr>
              <w:pStyle w:val="aff6"/>
              <w:topLinePunct/>
              <w:rPr>
                <w:b/>
                <w:u w:val="single"/>
              </w:rPr>
            </w:pPr>
            <w:r>
              <w:rPr>
                <w:rFonts w:hint="eastAsia"/>
                <w:b/>
                <w:u w:val="single"/>
              </w:rPr>
              <w:t>/</w:t>
            </w:r>
          </w:p>
        </w:tc>
      </w:tr>
      <w:tr w:rsidR="003E78AB" w14:paraId="767CFA31" w14:textId="77777777">
        <w:trPr>
          <w:trHeight w:val="401"/>
        </w:trPr>
        <w:tc>
          <w:tcPr>
            <w:tcW w:w="1171" w:type="pct"/>
            <w:vAlign w:val="center"/>
          </w:tcPr>
          <w:p w14:paraId="68998141" w14:textId="77777777" w:rsidR="003E78AB" w:rsidRDefault="00010BF9">
            <w:pPr>
              <w:pStyle w:val="aff6"/>
              <w:topLinePunct/>
              <w:rPr>
                <w:b/>
                <w:u w:val="single"/>
              </w:rPr>
            </w:pPr>
            <w:r>
              <w:rPr>
                <w:rFonts w:hint="eastAsia"/>
                <w:b/>
                <w:u w:val="single"/>
              </w:rPr>
              <w:t>COD</w:t>
            </w:r>
          </w:p>
        </w:tc>
        <w:tc>
          <w:tcPr>
            <w:tcW w:w="956" w:type="pct"/>
            <w:vAlign w:val="center"/>
          </w:tcPr>
          <w:p w14:paraId="640089BB" w14:textId="77777777" w:rsidR="003E78AB" w:rsidRDefault="00010BF9">
            <w:pPr>
              <w:pStyle w:val="aff6"/>
              <w:topLinePunct/>
              <w:rPr>
                <w:b/>
                <w:u w:val="single"/>
              </w:rPr>
            </w:pPr>
            <w:r>
              <w:rPr>
                <w:rFonts w:hint="eastAsia"/>
                <w:b/>
                <w:u w:val="single"/>
              </w:rPr>
              <w:t>2820</w:t>
            </w:r>
          </w:p>
        </w:tc>
        <w:tc>
          <w:tcPr>
            <w:tcW w:w="956" w:type="pct"/>
            <w:vAlign w:val="center"/>
          </w:tcPr>
          <w:p w14:paraId="03B0B317" w14:textId="77777777" w:rsidR="003E78AB" w:rsidRDefault="00010BF9">
            <w:pPr>
              <w:pStyle w:val="aff6"/>
              <w:topLinePunct/>
              <w:rPr>
                <w:b/>
                <w:u w:val="single"/>
              </w:rPr>
            </w:pPr>
            <w:r>
              <w:rPr>
                <w:rFonts w:hint="eastAsia"/>
                <w:b/>
                <w:u w:val="single"/>
              </w:rPr>
              <w:t>90</w:t>
            </w:r>
          </w:p>
        </w:tc>
        <w:tc>
          <w:tcPr>
            <w:tcW w:w="957" w:type="pct"/>
            <w:vAlign w:val="center"/>
          </w:tcPr>
          <w:p w14:paraId="2CD318E7" w14:textId="77777777" w:rsidR="003E78AB" w:rsidRDefault="00010BF9">
            <w:pPr>
              <w:pStyle w:val="aff6"/>
              <w:topLinePunct/>
              <w:rPr>
                <w:b/>
                <w:u w:val="single"/>
              </w:rPr>
            </w:pPr>
            <w:r>
              <w:rPr>
                <w:rFonts w:hint="eastAsia"/>
                <w:b/>
                <w:u w:val="single"/>
              </w:rPr>
              <w:t>28.2</w:t>
            </w:r>
          </w:p>
        </w:tc>
        <w:tc>
          <w:tcPr>
            <w:tcW w:w="957" w:type="pct"/>
            <w:vAlign w:val="center"/>
          </w:tcPr>
          <w:p w14:paraId="396F1B74" w14:textId="77777777" w:rsidR="003E78AB" w:rsidRDefault="00010BF9">
            <w:pPr>
              <w:pStyle w:val="aff6"/>
              <w:topLinePunct/>
              <w:rPr>
                <w:b/>
                <w:u w:val="single"/>
              </w:rPr>
            </w:pPr>
            <w:r>
              <w:rPr>
                <w:rFonts w:hint="eastAsia"/>
                <w:b/>
                <w:u w:val="single"/>
              </w:rPr>
              <w:t>50</w:t>
            </w:r>
          </w:p>
        </w:tc>
      </w:tr>
      <w:tr w:rsidR="003E78AB" w14:paraId="6A7596E5" w14:textId="77777777">
        <w:trPr>
          <w:trHeight w:val="396"/>
        </w:trPr>
        <w:tc>
          <w:tcPr>
            <w:tcW w:w="1171" w:type="pct"/>
            <w:vAlign w:val="center"/>
          </w:tcPr>
          <w:p w14:paraId="33972DD3" w14:textId="77777777" w:rsidR="003E78AB" w:rsidRDefault="00010BF9">
            <w:pPr>
              <w:pStyle w:val="aff6"/>
              <w:topLinePunct/>
              <w:rPr>
                <w:b/>
                <w:u w:val="single"/>
              </w:rPr>
            </w:pPr>
            <w:r>
              <w:rPr>
                <w:b/>
                <w:u w:val="single"/>
              </w:rPr>
              <w:t>氨氮</w:t>
            </w:r>
          </w:p>
        </w:tc>
        <w:tc>
          <w:tcPr>
            <w:tcW w:w="956" w:type="pct"/>
            <w:vAlign w:val="center"/>
          </w:tcPr>
          <w:p w14:paraId="49C5D397" w14:textId="77777777" w:rsidR="003E78AB" w:rsidRDefault="00010BF9">
            <w:pPr>
              <w:pStyle w:val="aff6"/>
              <w:topLinePunct/>
              <w:rPr>
                <w:b/>
                <w:u w:val="single"/>
              </w:rPr>
            </w:pPr>
            <w:r>
              <w:rPr>
                <w:rFonts w:hint="eastAsia"/>
                <w:b/>
                <w:u w:val="single"/>
              </w:rPr>
              <w:t>1</w:t>
            </w:r>
            <w:r>
              <w:rPr>
                <w:b/>
                <w:u w:val="single"/>
              </w:rPr>
              <w:t>5</w:t>
            </w:r>
          </w:p>
        </w:tc>
        <w:tc>
          <w:tcPr>
            <w:tcW w:w="956" w:type="pct"/>
            <w:vAlign w:val="center"/>
          </w:tcPr>
          <w:p w14:paraId="45531CD3" w14:textId="77777777" w:rsidR="003E78AB" w:rsidRDefault="00010BF9">
            <w:pPr>
              <w:pStyle w:val="aff6"/>
              <w:topLinePunct/>
              <w:rPr>
                <w:b/>
                <w:u w:val="single"/>
              </w:rPr>
            </w:pPr>
            <w:r>
              <w:rPr>
                <w:rFonts w:hint="eastAsia"/>
                <w:b/>
                <w:u w:val="single"/>
              </w:rPr>
              <w:t>90</w:t>
            </w:r>
          </w:p>
        </w:tc>
        <w:tc>
          <w:tcPr>
            <w:tcW w:w="957" w:type="pct"/>
            <w:vAlign w:val="center"/>
          </w:tcPr>
          <w:p w14:paraId="2085A3BF" w14:textId="77777777" w:rsidR="003E78AB" w:rsidRDefault="00010BF9">
            <w:pPr>
              <w:pStyle w:val="aff6"/>
              <w:topLinePunct/>
              <w:rPr>
                <w:b/>
                <w:u w:val="single"/>
              </w:rPr>
            </w:pPr>
            <w:r>
              <w:rPr>
                <w:rFonts w:hint="eastAsia"/>
                <w:b/>
                <w:u w:val="single"/>
              </w:rPr>
              <w:t>1.5</w:t>
            </w:r>
          </w:p>
        </w:tc>
        <w:tc>
          <w:tcPr>
            <w:tcW w:w="957" w:type="pct"/>
            <w:vAlign w:val="center"/>
          </w:tcPr>
          <w:p w14:paraId="41E788BD" w14:textId="77777777" w:rsidR="003E78AB" w:rsidRDefault="00010BF9">
            <w:pPr>
              <w:pStyle w:val="aff6"/>
              <w:topLinePunct/>
              <w:rPr>
                <w:b/>
                <w:u w:val="single"/>
              </w:rPr>
            </w:pPr>
            <w:r>
              <w:rPr>
                <w:rFonts w:hint="eastAsia"/>
                <w:b/>
                <w:u w:val="single"/>
              </w:rPr>
              <w:t>5</w:t>
            </w:r>
          </w:p>
        </w:tc>
      </w:tr>
      <w:tr w:rsidR="003E78AB" w14:paraId="230E8DD7" w14:textId="77777777">
        <w:trPr>
          <w:trHeight w:val="396"/>
        </w:trPr>
        <w:tc>
          <w:tcPr>
            <w:tcW w:w="1171" w:type="pct"/>
            <w:vAlign w:val="center"/>
          </w:tcPr>
          <w:p w14:paraId="3C2AC009" w14:textId="77777777" w:rsidR="003E78AB" w:rsidRDefault="00010BF9">
            <w:pPr>
              <w:pStyle w:val="aff6"/>
              <w:topLinePunct/>
              <w:rPr>
                <w:b/>
                <w:u w:val="single"/>
              </w:rPr>
            </w:pPr>
            <w:r>
              <w:rPr>
                <w:rFonts w:hint="eastAsia"/>
                <w:b/>
                <w:u w:val="single"/>
              </w:rPr>
              <w:t>磷酸盐（以</w:t>
            </w:r>
            <w:r>
              <w:rPr>
                <w:rFonts w:hint="eastAsia"/>
                <w:b/>
                <w:u w:val="single"/>
              </w:rPr>
              <w:t>P</w:t>
            </w:r>
            <w:r>
              <w:rPr>
                <w:rFonts w:hint="eastAsia"/>
                <w:b/>
                <w:u w:val="single"/>
              </w:rPr>
              <w:t>计）</w:t>
            </w:r>
          </w:p>
        </w:tc>
        <w:tc>
          <w:tcPr>
            <w:tcW w:w="956" w:type="pct"/>
            <w:vAlign w:val="center"/>
          </w:tcPr>
          <w:p w14:paraId="4F15E1E0" w14:textId="77777777" w:rsidR="003E78AB" w:rsidRDefault="00010BF9">
            <w:pPr>
              <w:pStyle w:val="aff6"/>
              <w:topLinePunct/>
              <w:rPr>
                <w:b/>
                <w:u w:val="single"/>
              </w:rPr>
            </w:pPr>
            <w:r>
              <w:rPr>
                <w:rFonts w:hint="eastAsia"/>
                <w:b/>
                <w:u w:val="single"/>
              </w:rPr>
              <w:t>2490</w:t>
            </w:r>
          </w:p>
        </w:tc>
        <w:tc>
          <w:tcPr>
            <w:tcW w:w="956" w:type="pct"/>
            <w:vAlign w:val="center"/>
          </w:tcPr>
          <w:p w14:paraId="15872897" w14:textId="77777777" w:rsidR="003E78AB" w:rsidRDefault="00010BF9">
            <w:pPr>
              <w:pStyle w:val="aff6"/>
              <w:topLinePunct/>
              <w:rPr>
                <w:b/>
                <w:u w:val="single"/>
              </w:rPr>
            </w:pPr>
            <w:r>
              <w:rPr>
                <w:rFonts w:hint="eastAsia"/>
                <w:b/>
                <w:u w:val="single"/>
              </w:rPr>
              <w:t>99.99</w:t>
            </w:r>
          </w:p>
        </w:tc>
        <w:tc>
          <w:tcPr>
            <w:tcW w:w="957" w:type="pct"/>
            <w:vAlign w:val="center"/>
          </w:tcPr>
          <w:p w14:paraId="7D2CF701" w14:textId="77777777" w:rsidR="003E78AB" w:rsidRDefault="00010BF9">
            <w:pPr>
              <w:pStyle w:val="aff6"/>
              <w:topLinePunct/>
              <w:rPr>
                <w:b/>
                <w:u w:val="single"/>
              </w:rPr>
            </w:pPr>
            <w:r>
              <w:rPr>
                <w:rFonts w:hint="eastAsia"/>
                <w:b/>
                <w:u w:val="single"/>
              </w:rPr>
              <w:t>0.25</w:t>
            </w:r>
          </w:p>
        </w:tc>
        <w:tc>
          <w:tcPr>
            <w:tcW w:w="957" w:type="pct"/>
            <w:vAlign w:val="center"/>
          </w:tcPr>
          <w:p w14:paraId="410CCC83" w14:textId="77777777" w:rsidR="003E78AB" w:rsidRDefault="00010BF9">
            <w:pPr>
              <w:pStyle w:val="aff6"/>
              <w:topLinePunct/>
              <w:rPr>
                <w:b/>
                <w:u w:val="single"/>
              </w:rPr>
            </w:pPr>
            <w:r>
              <w:rPr>
                <w:rFonts w:hint="eastAsia"/>
                <w:b/>
                <w:u w:val="single"/>
              </w:rPr>
              <w:t>0.5</w:t>
            </w:r>
          </w:p>
        </w:tc>
      </w:tr>
      <w:tr w:rsidR="003E78AB" w14:paraId="71DE8939" w14:textId="77777777">
        <w:trPr>
          <w:trHeight w:val="411"/>
        </w:trPr>
        <w:tc>
          <w:tcPr>
            <w:tcW w:w="1171" w:type="pct"/>
            <w:vAlign w:val="center"/>
          </w:tcPr>
          <w:p w14:paraId="00643931" w14:textId="77777777" w:rsidR="003E78AB" w:rsidRDefault="00010BF9">
            <w:pPr>
              <w:pStyle w:val="aff6"/>
              <w:topLinePunct/>
              <w:rPr>
                <w:b/>
                <w:u w:val="single"/>
              </w:rPr>
            </w:pPr>
            <w:r>
              <w:rPr>
                <w:b/>
                <w:u w:val="single"/>
              </w:rPr>
              <w:t>硫酸</w:t>
            </w:r>
            <w:r>
              <w:rPr>
                <w:rFonts w:hint="eastAsia"/>
                <w:b/>
                <w:u w:val="single"/>
              </w:rPr>
              <w:t>盐</w:t>
            </w:r>
          </w:p>
        </w:tc>
        <w:tc>
          <w:tcPr>
            <w:tcW w:w="956" w:type="pct"/>
            <w:vAlign w:val="center"/>
          </w:tcPr>
          <w:p w14:paraId="1FF2B63D" w14:textId="77777777" w:rsidR="003E78AB" w:rsidRDefault="00010BF9">
            <w:pPr>
              <w:pStyle w:val="aff6"/>
              <w:topLinePunct/>
              <w:rPr>
                <w:b/>
                <w:u w:val="single"/>
              </w:rPr>
            </w:pPr>
            <w:r>
              <w:rPr>
                <w:rFonts w:hint="eastAsia"/>
                <w:b/>
                <w:u w:val="single"/>
              </w:rPr>
              <w:t>25800</w:t>
            </w:r>
          </w:p>
        </w:tc>
        <w:tc>
          <w:tcPr>
            <w:tcW w:w="956" w:type="pct"/>
            <w:vAlign w:val="center"/>
          </w:tcPr>
          <w:p w14:paraId="3D4606CC" w14:textId="77777777" w:rsidR="003E78AB" w:rsidRDefault="00010BF9">
            <w:pPr>
              <w:pStyle w:val="aff6"/>
              <w:topLinePunct/>
              <w:rPr>
                <w:b/>
                <w:u w:val="single"/>
              </w:rPr>
            </w:pPr>
            <w:r>
              <w:rPr>
                <w:rFonts w:hint="eastAsia"/>
                <w:b/>
                <w:u w:val="single"/>
              </w:rPr>
              <w:t>99.99</w:t>
            </w:r>
          </w:p>
        </w:tc>
        <w:tc>
          <w:tcPr>
            <w:tcW w:w="957" w:type="pct"/>
            <w:vAlign w:val="center"/>
          </w:tcPr>
          <w:p w14:paraId="427F90A8" w14:textId="77777777" w:rsidR="003E78AB" w:rsidRDefault="00010BF9">
            <w:pPr>
              <w:pStyle w:val="aff6"/>
              <w:topLinePunct/>
              <w:rPr>
                <w:b/>
                <w:u w:val="single"/>
              </w:rPr>
            </w:pPr>
            <w:r>
              <w:rPr>
                <w:rFonts w:hint="eastAsia"/>
                <w:b/>
                <w:u w:val="single"/>
              </w:rPr>
              <w:t>2.58</w:t>
            </w:r>
          </w:p>
        </w:tc>
        <w:tc>
          <w:tcPr>
            <w:tcW w:w="957" w:type="pct"/>
            <w:vAlign w:val="center"/>
          </w:tcPr>
          <w:p w14:paraId="32DD60FD" w14:textId="77777777" w:rsidR="003E78AB" w:rsidRDefault="00010BF9">
            <w:pPr>
              <w:pStyle w:val="aff6"/>
              <w:topLinePunct/>
              <w:rPr>
                <w:b/>
                <w:u w:val="single"/>
              </w:rPr>
            </w:pPr>
            <w:r>
              <w:rPr>
                <w:rFonts w:hint="eastAsia"/>
                <w:b/>
                <w:u w:val="single"/>
              </w:rPr>
              <w:t>600</w:t>
            </w:r>
          </w:p>
        </w:tc>
      </w:tr>
    </w:tbl>
    <w:p w14:paraId="01433C35" w14:textId="77777777" w:rsidR="003E78AB" w:rsidRDefault="00010BF9">
      <w:pPr>
        <w:ind w:firstLine="482"/>
        <w:rPr>
          <w:b/>
          <w:u w:val="single"/>
        </w:rPr>
      </w:pPr>
      <w:r>
        <w:rPr>
          <w:rFonts w:hint="eastAsia"/>
          <w:b/>
          <w:u w:val="single"/>
        </w:rPr>
        <w:t>根据上表，高盐废水经蒸发结晶处理后的水质满足《城市污水再生利用</w:t>
      </w:r>
      <w:r>
        <w:rPr>
          <w:rFonts w:hint="eastAsia"/>
          <w:b/>
          <w:u w:val="single"/>
        </w:rPr>
        <w:t xml:space="preserve"> </w:t>
      </w:r>
      <w:r>
        <w:rPr>
          <w:rFonts w:hint="eastAsia"/>
          <w:b/>
          <w:u w:val="single"/>
        </w:rPr>
        <w:t>工业用水水质》（</w:t>
      </w:r>
      <w:r>
        <w:rPr>
          <w:rFonts w:hint="eastAsia"/>
          <w:b/>
          <w:u w:val="single"/>
        </w:rPr>
        <w:t>GB/T 19923-2005</w:t>
      </w:r>
      <w:r>
        <w:rPr>
          <w:rFonts w:hint="eastAsia"/>
          <w:b/>
          <w:u w:val="single"/>
        </w:rPr>
        <w:t>）标准要求，可回用作为洗涤用水。</w:t>
      </w:r>
    </w:p>
    <w:p w14:paraId="0B697155" w14:textId="77777777" w:rsidR="003E78AB" w:rsidRDefault="00010BF9">
      <w:pPr>
        <w:pStyle w:val="5"/>
        <w:keepNext w:val="0"/>
        <w:keepLines w:val="0"/>
        <w:ind w:firstLine="482"/>
        <w:rPr>
          <w:sz w:val="24"/>
          <w:u w:val="single"/>
        </w:rPr>
      </w:pPr>
      <w:r>
        <w:rPr>
          <w:rFonts w:hint="eastAsia"/>
          <w:sz w:val="24"/>
          <w:u w:val="single"/>
        </w:rPr>
        <w:t>2.</w:t>
      </w:r>
      <w:r>
        <w:rPr>
          <w:rFonts w:hint="eastAsia"/>
          <w:sz w:val="24"/>
          <w:u w:val="single"/>
        </w:rPr>
        <w:t>实验废水收集与回用可行性</w:t>
      </w:r>
    </w:p>
    <w:p w14:paraId="672D8692" w14:textId="77777777" w:rsidR="003E78AB" w:rsidRDefault="00010BF9">
      <w:pPr>
        <w:ind w:firstLine="482"/>
        <w:rPr>
          <w:b/>
          <w:u w:val="single"/>
        </w:rPr>
      </w:pPr>
      <w:r>
        <w:rPr>
          <w:rFonts w:hint="eastAsia"/>
          <w:b/>
          <w:u w:val="single"/>
        </w:rPr>
        <w:t>实验室运行过程中配置试剂及化验用水为纯水，项目实验废水产生量</w:t>
      </w:r>
      <w:r>
        <w:rPr>
          <w:rFonts w:hint="eastAsia"/>
          <w:b/>
          <w:u w:val="single"/>
        </w:rPr>
        <w:t>80m</w:t>
      </w:r>
      <w:r>
        <w:rPr>
          <w:rFonts w:hint="eastAsia"/>
          <w:b/>
          <w:u w:val="single"/>
          <w:vertAlign w:val="superscript"/>
        </w:rPr>
        <w:t>3</w:t>
      </w:r>
      <w:r>
        <w:rPr>
          <w:rFonts w:hint="eastAsia"/>
          <w:b/>
          <w:u w:val="single"/>
        </w:rPr>
        <w:t>/a</w:t>
      </w:r>
      <w:r>
        <w:rPr>
          <w:rFonts w:hint="eastAsia"/>
          <w:b/>
          <w:u w:val="single"/>
        </w:rPr>
        <w:t>（约</w:t>
      </w:r>
      <w:r>
        <w:rPr>
          <w:rFonts w:hint="eastAsia"/>
          <w:b/>
          <w:u w:val="single"/>
        </w:rPr>
        <w:t>0.242m</w:t>
      </w:r>
      <w:r>
        <w:rPr>
          <w:rFonts w:hint="eastAsia"/>
          <w:b/>
          <w:u w:val="single"/>
          <w:vertAlign w:val="superscript"/>
        </w:rPr>
        <w:t>3</w:t>
      </w:r>
      <w:r>
        <w:rPr>
          <w:rFonts w:hint="eastAsia"/>
          <w:b/>
          <w:u w:val="single"/>
        </w:rPr>
        <w:t>/d</w:t>
      </w:r>
      <w:r>
        <w:rPr>
          <w:rFonts w:hint="eastAsia"/>
          <w:b/>
          <w:u w:val="single"/>
        </w:rPr>
        <w:t>），经管道收集后流入生产车间的</w:t>
      </w:r>
      <w:r>
        <w:rPr>
          <w:rFonts w:hint="eastAsia"/>
          <w:b/>
          <w:u w:val="single"/>
        </w:rPr>
        <w:t>15m</w:t>
      </w:r>
      <w:r>
        <w:rPr>
          <w:rFonts w:hint="eastAsia"/>
          <w:b/>
          <w:u w:val="single"/>
          <w:vertAlign w:val="superscript"/>
        </w:rPr>
        <w:t>3</w:t>
      </w:r>
      <w:r>
        <w:rPr>
          <w:rFonts w:hint="eastAsia"/>
          <w:b/>
          <w:u w:val="single"/>
        </w:rPr>
        <w:t>电解液事故罐，回用于生产。实验废水量较小，电解液事故罐作为周转罐，向溶解还原釜投加的阀门常开，正常生产状态或事故状态下，可保证实验废水及事故电解液及时周转。因此，实验废水使用电解液事故罐收集和周转可行。</w:t>
      </w:r>
    </w:p>
    <w:p w14:paraId="58907953" w14:textId="77777777" w:rsidR="003E78AB" w:rsidRDefault="003E78AB">
      <w:pPr>
        <w:ind w:firstLine="480"/>
        <w:rPr>
          <w:kern w:val="28"/>
        </w:rPr>
      </w:pPr>
    </w:p>
    <w:p w14:paraId="1C86F994" w14:textId="77777777" w:rsidR="003E78AB" w:rsidRDefault="003E78AB">
      <w:pPr>
        <w:pStyle w:val="a4"/>
        <w:spacing w:before="120"/>
        <w:sectPr w:rsidR="003E78AB">
          <w:footerReference w:type="default" r:id="rId123"/>
          <w:pgSz w:w="11906" w:h="16838"/>
          <w:pgMar w:top="1440" w:right="1803" w:bottom="1440" w:left="1803" w:header="851" w:footer="992" w:gutter="0"/>
          <w:cols w:space="720"/>
          <w:docGrid w:linePitch="312"/>
        </w:sectPr>
      </w:pPr>
    </w:p>
    <w:p w14:paraId="01215B91" w14:textId="77777777" w:rsidR="003E78AB" w:rsidRDefault="00010BF9">
      <w:pPr>
        <w:pStyle w:val="a6"/>
        <w:spacing w:before="120"/>
      </w:pPr>
      <w:r>
        <w:t>废</w:t>
      </w:r>
      <w:r>
        <w:rPr>
          <w:rFonts w:hint="eastAsia"/>
        </w:rPr>
        <w:t>水</w:t>
      </w:r>
      <w:r>
        <w:t>污染物排放达标性分析</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89"/>
        <w:gridCol w:w="1579"/>
        <w:gridCol w:w="956"/>
        <w:gridCol w:w="1089"/>
        <w:gridCol w:w="919"/>
        <w:gridCol w:w="975"/>
        <w:gridCol w:w="1055"/>
        <w:gridCol w:w="726"/>
        <w:gridCol w:w="647"/>
        <w:gridCol w:w="1076"/>
        <w:gridCol w:w="1028"/>
        <w:gridCol w:w="1088"/>
        <w:gridCol w:w="938"/>
        <w:gridCol w:w="972"/>
      </w:tblGrid>
      <w:tr w:rsidR="003E78AB" w14:paraId="1F0E11DC" w14:textId="77777777">
        <w:trPr>
          <w:trHeight w:val="313"/>
          <w:jc w:val="center"/>
        </w:trPr>
        <w:tc>
          <w:tcPr>
            <w:tcW w:w="150" w:type="pct"/>
            <w:vMerge w:val="restart"/>
            <w:vAlign w:val="center"/>
          </w:tcPr>
          <w:p w14:paraId="77C27103" w14:textId="77777777" w:rsidR="003E78AB" w:rsidRDefault="00010BF9">
            <w:pPr>
              <w:spacing w:line="360" w:lineRule="exact"/>
              <w:ind w:firstLineChars="0" w:firstLine="0"/>
              <w:jc w:val="center"/>
              <w:rPr>
                <w:b/>
                <w:bCs/>
                <w:kern w:val="2"/>
                <w:sz w:val="21"/>
                <w:szCs w:val="21"/>
              </w:rPr>
            </w:pPr>
            <w:r>
              <w:rPr>
                <w:b/>
                <w:bCs/>
                <w:kern w:val="2"/>
                <w:sz w:val="21"/>
                <w:szCs w:val="21"/>
              </w:rPr>
              <w:t>序号</w:t>
            </w:r>
          </w:p>
        </w:tc>
        <w:tc>
          <w:tcPr>
            <w:tcW w:w="243" w:type="pct"/>
            <w:vMerge w:val="restart"/>
            <w:vAlign w:val="center"/>
          </w:tcPr>
          <w:p w14:paraId="797667CA" w14:textId="77777777" w:rsidR="003E78AB" w:rsidRDefault="00010BF9">
            <w:pPr>
              <w:spacing w:line="360" w:lineRule="exact"/>
              <w:ind w:firstLineChars="0" w:firstLine="0"/>
              <w:jc w:val="center"/>
              <w:rPr>
                <w:b/>
                <w:bCs/>
                <w:kern w:val="2"/>
                <w:sz w:val="21"/>
                <w:szCs w:val="21"/>
              </w:rPr>
            </w:pPr>
            <w:r>
              <w:rPr>
                <w:b/>
                <w:bCs/>
                <w:kern w:val="2"/>
                <w:sz w:val="21"/>
                <w:szCs w:val="21"/>
              </w:rPr>
              <w:t>废水类别</w:t>
            </w:r>
          </w:p>
        </w:tc>
        <w:tc>
          <w:tcPr>
            <w:tcW w:w="556" w:type="pct"/>
            <w:vMerge w:val="restart"/>
            <w:vAlign w:val="center"/>
          </w:tcPr>
          <w:p w14:paraId="4E78A4BF" w14:textId="77777777" w:rsidR="003E78AB" w:rsidRDefault="00010BF9">
            <w:pPr>
              <w:spacing w:line="360" w:lineRule="exact"/>
              <w:ind w:firstLineChars="0" w:firstLine="0"/>
              <w:jc w:val="center"/>
              <w:rPr>
                <w:b/>
                <w:bCs/>
                <w:kern w:val="2"/>
                <w:sz w:val="21"/>
                <w:szCs w:val="21"/>
              </w:rPr>
            </w:pPr>
            <w:r>
              <w:rPr>
                <w:b/>
                <w:bCs/>
                <w:kern w:val="2"/>
                <w:sz w:val="21"/>
                <w:szCs w:val="21"/>
              </w:rPr>
              <w:t>地理位置</w:t>
            </w:r>
          </w:p>
        </w:tc>
        <w:tc>
          <w:tcPr>
            <w:tcW w:w="337" w:type="pct"/>
            <w:vMerge w:val="restart"/>
            <w:vAlign w:val="center"/>
          </w:tcPr>
          <w:p w14:paraId="055510AD" w14:textId="77777777" w:rsidR="003E78AB" w:rsidRDefault="00010BF9">
            <w:pPr>
              <w:spacing w:line="360" w:lineRule="exact"/>
              <w:ind w:firstLineChars="0" w:firstLine="0"/>
              <w:jc w:val="center"/>
              <w:rPr>
                <w:b/>
                <w:bCs/>
                <w:kern w:val="2"/>
                <w:sz w:val="21"/>
                <w:szCs w:val="21"/>
              </w:rPr>
            </w:pPr>
            <w:r>
              <w:rPr>
                <w:b/>
                <w:bCs/>
                <w:kern w:val="2"/>
                <w:sz w:val="21"/>
                <w:szCs w:val="21"/>
              </w:rPr>
              <w:t>排放</w:t>
            </w:r>
          </w:p>
          <w:p w14:paraId="2B6D75CB" w14:textId="77777777" w:rsidR="003E78AB" w:rsidRDefault="00010BF9">
            <w:pPr>
              <w:spacing w:line="360" w:lineRule="exact"/>
              <w:ind w:firstLineChars="0" w:firstLine="0"/>
              <w:jc w:val="center"/>
              <w:rPr>
                <w:b/>
                <w:bCs/>
                <w:kern w:val="2"/>
                <w:sz w:val="21"/>
                <w:szCs w:val="21"/>
              </w:rPr>
            </w:pPr>
            <w:r>
              <w:rPr>
                <w:b/>
                <w:bCs/>
                <w:kern w:val="2"/>
                <w:sz w:val="21"/>
                <w:szCs w:val="21"/>
              </w:rPr>
              <w:t>去向</w:t>
            </w:r>
          </w:p>
        </w:tc>
        <w:tc>
          <w:tcPr>
            <w:tcW w:w="384" w:type="pct"/>
            <w:vMerge w:val="restart"/>
            <w:vAlign w:val="center"/>
          </w:tcPr>
          <w:p w14:paraId="214CC863" w14:textId="77777777" w:rsidR="003E78AB" w:rsidRDefault="00010BF9">
            <w:pPr>
              <w:spacing w:line="360" w:lineRule="exact"/>
              <w:ind w:firstLineChars="0" w:firstLine="0"/>
              <w:jc w:val="center"/>
              <w:rPr>
                <w:b/>
                <w:bCs/>
                <w:kern w:val="2"/>
                <w:sz w:val="21"/>
                <w:szCs w:val="21"/>
              </w:rPr>
            </w:pPr>
            <w:r>
              <w:rPr>
                <w:b/>
                <w:bCs/>
                <w:kern w:val="2"/>
                <w:sz w:val="21"/>
                <w:szCs w:val="21"/>
              </w:rPr>
              <w:t>排放</w:t>
            </w:r>
          </w:p>
          <w:p w14:paraId="19B03710" w14:textId="77777777" w:rsidR="003E78AB" w:rsidRDefault="00010BF9">
            <w:pPr>
              <w:spacing w:line="360" w:lineRule="exact"/>
              <w:ind w:firstLineChars="0" w:firstLine="0"/>
              <w:jc w:val="center"/>
              <w:rPr>
                <w:b/>
                <w:bCs/>
                <w:kern w:val="2"/>
                <w:sz w:val="21"/>
                <w:szCs w:val="21"/>
              </w:rPr>
            </w:pPr>
            <w:r>
              <w:rPr>
                <w:b/>
                <w:bCs/>
                <w:kern w:val="2"/>
                <w:sz w:val="21"/>
                <w:szCs w:val="21"/>
              </w:rPr>
              <w:t>规律</w:t>
            </w:r>
          </w:p>
        </w:tc>
        <w:tc>
          <w:tcPr>
            <w:tcW w:w="1040" w:type="pct"/>
            <w:gridSpan w:val="3"/>
            <w:vAlign w:val="center"/>
          </w:tcPr>
          <w:p w14:paraId="183D2407"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w:t>
            </w:r>
          </w:p>
        </w:tc>
        <w:tc>
          <w:tcPr>
            <w:tcW w:w="256" w:type="pct"/>
            <w:vMerge w:val="restart"/>
            <w:vAlign w:val="center"/>
          </w:tcPr>
          <w:p w14:paraId="7C9BD165" w14:textId="77777777" w:rsidR="003E78AB" w:rsidRDefault="00010BF9">
            <w:pPr>
              <w:spacing w:line="360" w:lineRule="exact"/>
              <w:ind w:firstLineChars="0" w:firstLine="0"/>
              <w:jc w:val="center"/>
              <w:rPr>
                <w:b/>
                <w:bCs/>
                <w:kern w:val="2"/>
                <w:sz w:val="21"/>
                <w:szCs w:val="21"/>
              </w:rPr>
            </w:pPr>
            <w:r>
              <w:rPr>
                <w:b/>
                <w:bCs/>
                <w:kern w:val="2"/>
                <w:sz w:val="21"/>
                <w:szCs w:val="21"/>
              </w:rPr>
              <w:t>排放口编号</w:t>
            </w:r>
          </w:p>
        </w:tc>
        <w:tc>
          <w:tcPr>
            <w:tcW w:w="228" w:type="pct"/>
            <w:vMerge w:val="restart"/>
            <w:vAlign w:val="center"/>
          </w:tcPr>
          <w:p w14:paraId="00BCFA05" w14:textId="77777777" w:rsidR="003E78AB" w:rsidRDefault="00010BF9">
            <w:pPr>
              <w:spacing w:line="360" w:lineRule="exact"/>
              <w:ind w:firstLineChars="0" w:firstLine="0"/>
              <w:jc w:val="center"/>
              <w:rPr>
                <w:b/>
                <w:bCs/>
                <w:kern w:val="2"/>
                <w:sz w:val="21"/>
                <w:szCs w:val="21"/>
              </w:rPr>
            </w:pPr>
            <w:r>
              <w:rPr>
                <w:b/>
                <w:bCs/>
                <w:kern w:val="2"/>
                <w:sz w:val="21"/>
                <w:szCs w:val="21"/>
              </w:rPr>
              <w:t>排放口类型</w:t>
            </w:r>
          </w:p>
        </w:tc>
        <w:tc>
          <w:tcPr>
            <w:tcW w:w="380" w:type="pct"/>
            <w:vMerge w:val="restart"/>
            <w:vAlign w:val="center"/>
          </w:tcPr>
          <w:p w14:paraId="6CD03BB3" w14:textId="77777777" w:rsidR="003E78AB" w:rsidRDefault="00010BF9">
            <w:pPr>
              <w:spacing w:line="360" w:lineRule="exact"/>
              <w:ind w:firstLineChars="0" w:firstLine="0"/>
              <w:jc w:val="center"/>
              <w:rPr>
                <w:b/>
                <w:bCs/>
                <w:kern w:val="2"/>
                <w:sz w:val="21"/>
                <w:szCs w:val="21"/>
              </w:rPr>
            </w:pPr>
            <w:r>
              <w:rPr>
                <w:b/>
                <w:bCs/>
                <w:kern w:val="2"/>
                <w:sz w:val="21"/>
                <w:szCs w:val="21"/>
              </w:rPr>
              <w:t>污染物类别</w:t>
            </w:r>
          </w:p>
        </w:tc>
        <w:tc>
          <w:tcPr>
            <w:tcW w:w="363" w:type="pct"/>
            <w:vMerge w:val="restart"/>
            <w:vAlign w:val="center"/>
          </w:tcPr>
          <w:p w14:paraId="0B8F307A" w14:textId="77777777" w:rsidR="003E78AB" w:rsidRDefault="00010BF9">
            <w:pPr>
              <w:spacing w:line="360" w:lineRule="exact"/>
              <w:ind w:firstLineChars="0" w:firstLine="0"/>
              <w:jc w:val="center"/>
              <w:rPr>
                <w:b/>
                <w:bCs/>
                <w:kern w:val="2"/>
                <w:sz w:val="21"/>
                <w:szCs w:val="21"/>
              </w:rPr>
            </w:pPr>
            <w:r>
              <w:rPr>
                <w:b/>
                <w:bCs/>
                <w:kern w:val="2"/>
                <w:sz w:val="21"/>
                <w:szCs w:val="21"/>
              </w:rPr>
              <w:t>排放</w:t>
            </w:r>
            <w:r>
              <w:rPr>
                <w:rFonts w:hint="eastAsia"/>
                <w:b/>
                <w:bCs/>
                <w:kern w:val="2"/>
                <w:sz w:val="21"/>
                <w:szCs w:val="21"/>
              </w:rPr>
              <w:t>量</w:t>
            </w:r>
            <w:r>
              <w:rPr>
                <w:rFonts w:hint="eastAsia"/>
                <w:b/>
                <w:bCs/>
                <w:kern w:val="2"/>
                <w:sz w:val="21"/>
                <w:szCs w:val="21"/>
              </w:rPr>
              <w:t>t/a</w:t>
            </w:r>
          </w:p>
        </w:tc>
        <w:tc>
          <w:tcPr>
            <w:tcW w:w="383" w:type="pct"/>
            <w:vMerge w:val="restart"/>
            <w:vAlign w:val="center"/>
          </w:tcPr>
          <w:p w14:paraId="0F436D4C"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排放浓度</w:t>
            </w:r>
            <w:r>
              <w:rPr>
                <w:b/>
                <w:bCs/>
                <w:kern w:val="2"/>
                <w:sz w:val="21"/>
                <w:szCs w:val="21"/>
              </w:rPr>
              <w:t>mg/L</w:t>
            </w:r>
          </w:p>
        </w:tc>
        <w:tc>
          <w:tcPr>
            <w:tcW w:w="674" w:type="pct"/>
            <w:gridSpan w:val="2"/>
            <w:vAlign w:val="center"/>
          </w:tcPr>
          <w:p w14:paraId="28C4C032" w14:textId="77777777" w:rsidR="003E78AB" w:rsidRDefault="00010BF9">
            <w:pPr>
              <w:spacing w:line="360" w:lineRule="exact"/>
              <w:ind w:firstLineChars="0" w:firstLine="0"/>
              <w:jc w:val="center"/>
              <w:rPr>
                <w:b/>
                <w:bCs/>
                <w:kern w:val="2"/>
                <w:sz w:val="21"/>
                <w:szCs w:val="21"/>
              </w:rPr>
            </w:pPr>
            <w:r>
              <w:rPr>
                <w:rFonts w:hint="eastAsia"/>
                <w:b/>
                <w:bCs/>
                <w:kern w:val="2"/>
                <w:sz w:val="21"/>
                <w:szCs w:val="21"/>
              </w:rPr>
              <w:t>执行标准</w:t>
            </w:r>
          </w:p>
        </w:tc>
      </w:tr>
      <w:tr w:rsidR="003E78AB" w14:paraId="76F3BA20" w14:textId="77777777">
        <w:trPr>
          <w:trHeight w:val="241"/>
          <w:jc w:val="center"/>
        </w:trPr>
        <w:tc>
          <w:tcPr>
            <w:tcW w:w="150" w:type="pct"/>
            <w:vMerge/>
            <w:vAlign w:val="center"/>
          </w:tcPr>
          <w:p w14:paraId="79CFFAA3" w14:textId="77777777" w:rsidR="003E78AB" w:rsidRDefault="003E78AB">
            <w:pPr>
              <w:spacing w:line="360" w:lineRule="exact"/>
              <w:ind w:firstLineChars="0" w:firstLine="0"/>
              <w:jc w:val="center"/>
              <w:rPr>
                <w:kern w:val="2"/>
                <w:sz w:val="21"/>
                <w:szCs w:val="21"/>
              </w:rPr>
            </w:pPr>
          </w:p>
        </w:tc>
        <w:tc>
          <w:tcPr>
            <w:tcW w:w="243" w:type="pct"/>
            <w:vMerge/>
            <w:vAlign w:val="center"/>
          </w:tcPr>
          <w:p w14:paraId="3ACF37A0" w14:textId="77777777" w:rsidR="003E78AB" w:rsidRDefault="003E78AB">
            <w:pPr>
              <w:spacing w:line="360" w:lineRule="exact"/>
              <w:ind w:firstLineChars="0" w:firstLine="0"/>
              <w:jc w:val="center"/>
              <w:rPr>
                <w:kern w:val="2"/>
                <w:sz w:val="21"/>
                <w:szCs w:val="21"/>
              </w:rPr>
            </w:pPr>
          </w:p>
        </w:tc>
        <w:tc>
          <w:tcPr>
            <w:tcW w:w="556" w:type="pct"/>
            <w:vMerge/>
            <w:vAlign w:val="center"/>
          </w:tcPr>
          <w:p w14:paraId="3A95CB12" w14:textId="77777777" w:rsidR="003E78AB" w:rsidRDefault="003E78AB">
            <w:pPr>
              <w:spacing w:line="360" w:lineRule="exact"/>
              <w:ind w:firstLineChars="0" w:firstLine="0"/>
              <w:jc w:val="center"/>
              <w:rPr>
                <w:kern w:val="2"/>
                <w:sz w:val="21"/>
                <w:szCs w:val="21"/>
              </w:rPr>
            </w:pPr>
          </w:p>
        </w:tc>
        <w:tc>
          <w:tcPr>
            <w:tcW w:w="337" w:type="pct"/>
            <w:vMerge/>
            <w:vAlign w:val="center"/>
          </w:tcPr>
          <w:p w14:paraId="1F9C3221" w14:textId="77777777" w:rsidR="003E78AB" w:rsidRDefault="003E78AB">
            <w:pPr>
              <w:spacing w:line="360" w:lineRule="exact"/>
              <w:ind w:firstLineChars="0" w:firstLine="0"/>
              <w:jc w:val="center"/>
              <w:rPr>
                <w:kern w:val="2"/>
                <w:sz w:val="21"/>
                <w:szCs w:val="21"/>
              </w:rPr>
            </w:pPr>
          </w:p>
        </w:tc>
        <w:tc>
          <w:tcPr>
            <w:tcW w:w="384" w:type="pct"/>
            <w:vMerge/>
            <w:vAlign w:val="center"/>
          </w:tcPr>
          <w:p w14:paraId="463BE57E" w14:textId="77777777" w:rsidR="003E78AB" w:rsidRDefault="003E78AB">
            <w:pPr>
              <w:spacing w:line="360" w:lineRule="exact"/>
              <w:ind w:firstLineChars="0" w:firstLine="0"/>
              <w:jc w:val="center"/>
              <w:rPr>
                <w:kern w:val="2"/>
                <w:sz w:val="21"/>
                <w:szCs w:val="21"/>
              </w:rPr>
            </w:pPr>
          </w:p>
        </w:tc>
        <w:tc>
          <w:tcPr>
            <w:tcW w:w="324" w:type="pct"/>
            <w:vAlign w:val="center"/>
          </w:tcPr>
          <w:p w14:paraId="02DFF3E2"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污染物治理设施编号</w:t>
            </w:r>
          </w:p>
        </w:tc>
        <w:tc>
          <w:tcPr>
            <w:tcW w:w="344" w:type="pct"/>
            <w:vAlign w:val="center"/>
          </w:tcPr>
          <w:p w14:paraId="649BE829"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污染物治理设施名称</w:t>
            </w:r>
          </w:p>
        </w:tc>
        <w:tc>
          <w:tcPr>
            <w:tcW w:w="372" w:type="pct"/>
            <w:vAlign w:val="center"/>
          </w:tcPr>
          <w:p w14:paraId="4C265C8A" w14:textId="77777777" w:rsidR="003E78AB" w:rsidRDefault="00010BF9">
            <w:pPr>
              <w:spacing w:line="360" w:lineRule="exact"/>
              <w:ind w:firstLineChars="0" w:firstLine="0"/>
              <w:jc w:val="center"/>
              <w:rPr>
                <w:b/>
                <w:bCs/>
                <w:kern w:val="2"/>
                <w:sz w:val="21"/>
                <w:szCs w:val="21"/>
              </w:rPr>
            </w:pPr>
            <w:r>
              <w:rPr>
                <w:b/>
                <w:bCs/>
                <w:kern w:val="2"/>
                <w:sz w:val="21"/>
                <w:szCs w:val="21"/>
              </w:rPr>
              <w:t>污染物治理设施工艺</w:t>
            </w:r>
          </w:p>
        </w:tc>
        <w:tc>
          <w:tcPr>
            <w:tcW w:w="256" w:type="pct"/>
            <w:vMerge/>
            <w:vAlign w:val="center"/>
          </w:tcPr>
          <w:p w14:paraId="76B8FD56" w14:textId="77777777" w:rsidR="003E78AB" w:rsidRDefault="003E78AB">
            <w:pPr>
              <w:spacing w:line="360" w:lineRule="exact"/>
              <w:ind w:firstLineChars="0" w:firstLine="0"/>
              <w:jc w:val="center"/>
              <w:rPr>
                <w:kern w:val="2"/>
                <w:sz w:val="21"/>
                <w:szCs w:val="21"/>
              </w:rPr>
            </w:pPr>
          </w:p>
        </w:tc>
        <w:tc>
          <w:tcPr>
            <w:tcW w:w="228" w:type="pct"/>
            <w:vMerge/>
            <w:vAlign w:val="center"/>
          </w:tcPr>
          <w:p w14:paraId="31DBB8F7" w14:textId="77777777" w:rsidR="003E78AB" w:rsidRDefault="003E78AB">
            <w:pPr>
              <w:spacing w:line="360" w:lineRule="exact"/>
              <w:ind w:firstLineChars="0" w:firstLine="0"/>
              <w:jc w:val="center"/>
              <w:rPr>
                <w:kern w:val="2"/>
                <w:sz w:val="21"/>
                <w:szCs w:val="21"/>
              </w:rPr>
            </w:pPr>
          </w:p>
        </w:tc>
        <w:tc>
          <w:tcPr>
            <w:tcW w:w="380" w:type="pct"/>
            <w:vMerge/>
            <w:vAlign w:val="center"/>
          </w:tcPr>
          <w:p w14:paraId="5553A4C9" w14:textId="77777777" w:rsidR="003E78AB" w:rsidRDefault="003E78AB">
            <w:pPr>
              <w:spacing w:line="360" w:lineRule="exact"/>
              <w:ind w:firstLineChars="0" w:firstLine="0"/>
              <w:jc w:val="center"/>
              <w:rPr>
                <w:kern w:val="2"/>
                <w:sz w:val="21"/>
                <w:szCs w:val="21"/>
              </w:rPr>
            </w:pPr>
          </w:p>
        </w:tc>
        <w:tc>
          <w:tcPr>
            <w:tcW w:w="363" w:type="pct"/>
            <w:vMerge/>
            <w:vAlign w:val="center"/>
          </w:tcPr>
          <w:p w14:paraId="04E590AF" w14:textId="77777777" w:rsidR="003E78AB" w:rsidRDefault="003E78AB">
            <w:pPr>
              <w:spacing w:line="360" w:lineRule="exact"/>
              <w:ind w:firstLineChars="0" w:firstLine="0"/>
              <w:jc w:val="center"/>
              <w:rPr>
                <w:kern w:val="2"/>
                <w:sz w:val="21"/>
                <w:szCs w:val="21"/>
              </w:rPr>
            </w:pPr>
          </w:p>
        </w:tc>
        <w:tc>
          <w:tcPr>
            <w:tcW w:w="383" w:type="pct"/>
            <w:vMerge/>
            <w:vAlign w:val="center"/>
          </w:tcPr>
          <w:p w14:paraId="75EC3EFF" w14:textId="77777777" w:rsidR="003E78AB" w:rsidRDefault="003E78AB">
            <w:pPr>
              <w:spacing w:line="360" w:lineRule="exact"/>
              <w:ind w:firstLineChars="0" w:firstLine="0"/>
              <w:jc w:val="center"/>
              <w:rPr>
                <w:kern w:val="2"/>
                <w:sz w:val="21"/>
                <w:szCs w:val="21"/>
              </w:rPr>
            </w:pPr>
          </w:p>
        </w:tc>
        <w:tc>
          <w:tcPr>
            <w:tcW w:w="331" w:type="pct"/>
            <w:vAlign w:val="center"/>
          </w:tcPr>
          <w:p w14:paraId="0339AA09" w14:textId="77777777" w:rsidR="003E78AB" w:rsidRDefault="00010BF9">
            <w:pPr>
              <w:spacing w:line="360" w:lineRule="exact"/>
              <w:ind w:firstLineChars="0" w:firstLine="0"/>
              <w:jc w:val="center"/>
              <w:rPr>
                <w:b/>
                <w:bCs/>
                <w:kern w:val="2"/>
                <w:sz w:val="21"/>
                <w:szCs w:val="21"/>
              </w:rPr>
            </w:pPr>
            <w:r>
              <w:rPr>
                <w:b/>
                <w:bCs/>
                <w:kern w:val="2"/>
                <w:sz w:val="21"/>
                <w:szCs w:val="21"/>
              </w:rPr>
              <w:t>GB21904-2008</w:t>
            </w:r>
          </w:p>
        </w:tc>
        <w:tc>
          <w:tcPr>
            <w:tcW w:w="343" w:type="pct"/>
            <w:vAlign w:val="center"/>
          </w:tcPr>
          <w:p w14:paraId="563CD63D" w14:textId="77777777" w:rsidR="003E78AB" w:rsidRDefault="00010BF9">
            <w:pPr>
              <w:spacing w:line="360" w:lineRule="exact"/>
              <w:ind w:firstLineChars="0" w:firstLine="0"/>
              <w:jc w:val="center"/>
              <w:rPr>
                <w:b/>
                <w:bCs/>
                <w:kern w:val="2"/>
                <w:sz w:val="21"/>
                <w:szCs w:val="21"/>
              </w:rPr>
            </w:pPr>
            <w:r>
              <w:rPr>
                <w:b/>
                <w:bCs/>
                <w:kern w:val="2"/>
                <w:sz w:val="21"/>
                <w:szCs w:val="21"/>
              </w:rPr>
              <w:t>GB8978-1996</w:t>
            </w:r>
          </w:p>
        </w:tc>
      </w:tr>
      <w:tr w:rsidR="003E78AB" w14:paraId="78DBBBC0" w14:textId="77777777">
        <w:trPr>
          <w:trHeight w:val="544"/>
          <w:jc w:val="center"/>
        </w:trPr>
        <w:tc>
          <w:tcPr>
            <w:tcW w:w="150" w:type="pct"/>
            <w:vMerge w:val="restart"/>
            <w:vAlign w:val="center"/>
          </w:tcPr>
          <w:p w14:paraId="7F3857E8" w14:textId="77777777" w:rsidR="003E78AB" w:rsidRDefault="00010BF9">
            <w:pPr>
              <w:spacing w:line="360" w:lineRule="exact"/>
              <w:ind w:firstLineChars="0" w:firstLine="0"/>
              <w:jc w:val="center"/>
              <w:rPr>
                <w:kern w:val="2"/>
                <w:sz w:val="21"/>
                <w:szCs w:val="21"/>
              </w:rPr>
            </w:pPr>
            <w:r>
              <w:rPr>
                <w:kern w:val="2"/>
                <w:sz w:val="21"/>
                <w:szCs w:val="21"/>
              </w:rPr>
              <w:t>1</w:t>
            </w:r>
          </w:p>
        </w:tc>
        <w:tc>
          <w:tcPr>
            <w:tcW w:w="243" w:type="pct"/>
            <w:vMerge w:val="restart"/>
            <w:vAlign w:val="center"/>
          </w:tcPr>
          <w:p w14:paraId="2F9149E8" w14:textId="77777777" w:rsidR="003E78AB" w:rsidRDefault="00010BF9">
            <w:pPr>
              <w:spacing w:line="360" w:lineRule="exact"/>
              <w:ind w:firstLineChars="0" w:firstLine="0"/>
              <w:jc w:val="center"/>
              <w:rPr>
                <w:kern w:val="2"/>
                <w:sz w:val="21"/>
                <w:szCs w:val="21"/>
              </w:rPr>
            </w:pPr>
            <w:r>
              <w:rPr>
                <w:kern w:val="2"/>
                <w:sz w:val="21"/>
                <w:szCs w:val="21"/>
              </w:rPr>
              <w:t>综合废水</w:t>
            </w:r>
          </w:p>
        </w:tc>
        <w:tc>
          <w:tcPr>
            <w:tcW w:w="556" w:type="pct"/>
            <w:vMerge w:val="restart"/>
            <w:vAlign w:val="center"/>
          </w:tcPr>
          <w:p w14:paraId="73CD0F09" w14:textId="77777777" w:rsidR="003E78AB" w:rsidRDefault="00010BF9">
            <w:pPr>
              <w:spacing w:line="360" w:lineRule="exact"/>
              <w:ind w:firstLineChars="0" w:firstLine="0"/>
              <w:jc w:val="center"/>
              <w:rPr>
                <w:kern w:val="2"/>
                <w:sz w:val="21"/>
                <w:szCs w:val="21"/>
              </w:rPr>
            </w:pPr>
            <w:r>
              <w:rPr>
                <w:rFonts w:hint="eastAsia"/>
                <w:kern w:val="2"/>
                <w:sz w:val="21"/>
                <w:szCs w:val="21"/>
              </w:rPr>
              <w:t>93.251082</w:t>
            </w:r>
            <w:r>
              <w:rPr>
                <w:rFonts w:hint="eastAsia"/>
                <w:kern w:val="2"/>
                <w:sz w:val="21"/>
                <w:szCs w:val="21"/>
              </w:rPr>
              <w:t>°</w:t>
            </w:r>
            <w:r>
              <w:rPr>
                <w:rFonts w:hint="eastAsia"/>
                <w:kern w:val="2"/>
                <w:sz w:val="21"/>
                <w:szCs w:val="21"/>
              </w:rPr>
              <w:t>E</w:t>
            </w:r>
            <w:r>
              <w:rPr>
                <w:rFonts w:hint="eastAsia"/>
                <w:kern w:val="2"/>
                <w:sz w:val="21"/>
                <w:szCs w:val="21"/>
              </w:rPr>
              <w:t>，</w:t>
            </w:r>
            <w:r>
              <w:rPr>
                <w:rFonts w:hint="eastAsia"/>
                <w:kern w:val="2"/>
                <w:sz w:val="21"/>
                <w:szCs w:val="21"/>
              </w:rPr>
              <w:t>42.413383</w:t>
            </w:r>
            <w:r>
              <w:rPr>
                <w:rFonts w:hint="eastAsia"/>
                <w:kern w:val="2"/>
                <w:sz w:val="21"/>
                <w:szCs w:val="21"/>
              </w:rPr>
              <w:t>°</w:t>
            </w:r>
            <w:r>
              <w:rPr>
                <w:rFonts w:hint="eastAsia"/>
                <w:kern w:val="2"/>
                <w:sz w:val="21"/>
                <w:szCs w:val="21"/>
              </w:rPr>
              <w:t>N</w:t>
            </w:r>
          </w:p>
        </w:tc>
        <w:tc>
          <w:tcPr>
            <w:tcW w:w="337" w:type="pct"/>
            <w:vMerge w:val="restart"/>
            <w:vAlign w:val="center"/>
          </w:tcPr>
          <w:p w14:paraId="1CC6D098" w14:textId="77777777" w:rsidR="003E78AB" w:rsidRDefault="00010BF9">
            <w:pPr>
              <w:spacing w:line="360" w:lineRule="exact"/>
              <w:ind w:firstLineChars="0" w:firstLine="0"/>
              <w:jc w:val="center"/>
              <w:rPr>
                <w:kern w:val="2"/>
                <w:sz w:val="21"/>
                <w:szCs w:val="21"/>
              </w:rPr>
            </w:pPr>
            <w:r>
              <w:rPr>
                <w:kern w:val="2"/>
                <w:sz w:val="21"/>
                <w:szCs w:val="21"/>
              </w:rPr>
              <w:t>南部循环经济产业园污水处理厂</w:t>
            </w:r>
          </w:p>
        </w:tc>
        <w:tc>
          <w:tcPr>
            <w:tcW w:w="384" w:type="pct"/>
            <w:vMerge w:val="restart"/>
            <w:vAlign w:val="center"/>
          </w:tcPr>
          <w:p w14:paraId="123D28AB" w14:textId="77777777" w:rsidR="003E78AB" w:rsidRDefault="00010BF9">
            <w:pPr>
              <w:spacing w:line="360" w:lineRule="exact"/>
              <w:ind w:firstLineChars="0" w:firstLine="0"/>
              <w:jc w:val="center"/>
              <w:rPr>
                <w:kern w:val="2"/>
                <w:sz w:val="21"/>
                <w:szCs w:val="21"/>
              </w:rPr>
            </w:pPr>
            <w:r>
              <w:rPr>
                <w:kern w:val="2"/>
                <w:sz w:val="21"/>
                <w:szCs w:val="21"/>
              </w:rPr>
              <w:t>连续排放，流量不稳定且无规律，但不属于冲击型排放</w:t>
            </w:r>
          </w:p>
        </w:tc>
        <w:tc>
          <w:tcPr>
            <w:tcW w:w="324" w:type="pct"/>
            <w:vMerge w:val="restart"/>
            <w:vAlign w:val="center"/>
          </w:tcPr>
          <w:p w14:paraId="4F4DEC9B" w14:textId="77777777" w:rsidR="003E78AB" w:rsidRDefault="00010BF9">
            <w:pPr>
              <w:spacing w:line="360" w:lineRule="exact"/>
              <w:ind w:firstLineChars="0" w:firstLine="0"/>
              <w:jc w:val="center"/>
              <w:rPr>
                <w:kern w:val="2"/>
                <w:sz w:val="21"/>
                <w:szCs w:val="21"/>
              </w:rPr>
            </w:pPr>
            <w:r>
              <w:rPr>
                <w:rFonts w:hint="eastAsia"/>
                <w:kern w:val="2"/>
                <w:sz w:val="21"/>
                <w:szCs w:val="21"/>
              </w:rPr>
              <w:t>TW001</w:t>
            </w:r>
          </w:p>
        </w:tc>
        <w:tc>
          <w:tcPr>
            <w:tcW w:w="344" w:type="pct"/>
            <w:vMerge w:val="restart"/>
            <w:vAlign w:val="center"/>
          </w:tcPr>
          <w:p w14:paraId="7B7AD0E5" w14:textId="77777777" w:rsidR="003E78AB" w:rsidRDefault="00010BF9">
            <w:pPr>
              <w:spacing w:line="360" w:lineRule="exact"/>
              <w:ind w:firstLineChars="0" w:firstLine="0"/>
              <w:jc w:val="center"/>
              <w:rPr>
                <w:kern w:val="2"/>
                <w:sz w:val="21"/>
                <w:szCs w:val="21"/>
              </w:rPr>
            </w:pPr>
            <w:r>
              <w:rPr>
                <w:rFonts w:hint="eastAsia"/>
                <w:kern w:val="2"/>
                <w:sz w:val="21"/>
                <w:szCs w:val="21"/>
              </w:rPr>
              <w:t>蒸发结晶装置</w:t>
            </w:r>
          </w:p>
        </w:tc>
        <w:tc>
          <w:tcPr>
            <w:tcW w:w="372" w:type="pct"/>
            <w:vMerge w:val="restart"/>
            <w:vAlign w:val="center"/>
          </w:tcPr>
          <w:p w14:paraId="31ACD22F" w14:textId="77777777" w:rsidR="003E78AB" w:rsidRDefault="00010BF9">
            <w:pPr>
              <w:spacing w:line="360" w:lineRule="exact"/>
              <w:ind w:firstLineChars="0" w:firstLine="0"/>
              <w:jc w:val="center"/>
              <w:rPr>
                <w:kern w:val="2"/>
                <w:sz w:val="21"/>
                <w:szCs w:val="21"/>
              </w:rPr>
            </w:pPr>
            <w:r>
              <w:rPr>
                <w:rFonts w:hint="eastAsia"/>
                <w:kern w:val="2"/>
                <w:sz w:val="21"/>
                <w:szCs w:val="21"/>
              </w:rPr>
              <w:t>蒸发结晶</w:t>
            </w:r>
            <w:r>
              <w:rPr>
                <w:rFonts w:hint="eastAsia"/>
                <w:kern w:val="2"/>
                <w:sz w:val="21"/>
                <w:szCs w:val="21"/>
              </w:rPr>
              <w:t>+</w:t>
            </w:r>
            <w:r>
              <w:rPr>
                <w:rFonts w:hint="eastAsia"/>
                <w:kern w:val="2"/>
                <w:sz w:val="21"/>
                <w:szCs w:val="21"/>
              </w:rPr>
              <w:t>回用</w:t>
            </w:r>
          </w:p>
        </w:tc>
        <w:tc>
          <w:tcPr>
            <w:tcW w:w="256" w:type="pct"/>
            <w:vMerge w:val="restart"/>
            <w:vAlign w:val="center"/>
          </w:tcPr>
          <w:p w14:paraId="4E082B9E" w14:textId="77777777" w:rsidR="003E78AB" w:rsidRDefault="00010BF9">
            <w:pPr>
              <w:spacing w:line="360" w:lineRule="exact"/>
              <w:ind w:firstLineChars="0" w:firstLine="0"/>
              <w:jc w:val="center"/>
              <w:rPr>
                <w:kern w:val="2"/>
                <w:sz w:val="21"/>
                <w:szCs w:val="21"/>
              </w:rPr>
            </w:pPr>
            <w:r>
              <w:rPr>
                <w:kern w:val="2"/>
                <w:sz w:val="21"/>
                <w:szCs w:val="21"/>
              </w:rPr>
              <w:t>DW001</w:t>
            </w:r>
          </w:p>
        </w:tc>
        <w:tc>
          <w:tcPr>
            <w:tcW w:w="228" w:type="pct"/>
            <w:vMerge w:val="restart"/>
            <w:vAlign w:val="center"/>
          </w:tcPr>
          <w:p w14:paraId="2A7E1E5F" w14:textId="77777777" w:rsidR="003E78AB" w:rsidRDefault="00010BF9">
            <w:pPr>
              <w:spacing w:line="360" w:lineRule="exact"/>
              <w:ind w:firstLineChars="0" w:firstLine="0"/>
              <w:jc w:val="center"/>
              <w:rPr>
                <w:kern w:val="2"/>
                <w:sz w:val="21"/>
                <w:szCs w:val="21"/>
              </w:rPr>
            </w:pPr>
            <w:r>
              <w:rPr>
                <w:rFonts w:hint="eastAsia"/>
                <w:kern w:val="2"/>
                <w:sz w:val="21"/>
                <w:szCs w:val="21"/>
              </w:rPr>
              <w:t>一般</w:t>
            </w:r>
            <w:r>
              <w:rPr>
                <w:kern w:val="2"/>
                <w:sz w:val="21"/>
                <w:szCs w:val="21"/>
              </w:rPr>
              <w:t>排放口</w:t>
            </w:r>
          </w:p>
        </w:tc>
        <w:tc>
          <w:tcPr>
            <w:tcW w:w="1127" w:type="pct"/>
            <w:gridSpan w:val="3"/>
            <w:vAlign w:val="center"/>
          </w:tcPr>
          <w:p w14:paraId="435FF169" w14:textId="77777777" w:rsidR="003E78AB" w:rsidRDefault="00010BF9">
            <w:pPr>
              <w:spacing w:line="360" w:lineRule="exact"/>
              <w:ind w:firstLineChars="0" w:firstLine="0"/>
              <w:jc w:val="center"/>
              <w:rPr>
                <w:kern w:val="2"/>
                <w:sz w:val="21"/>
                <w:szCs w:val="21"/>
              </w:rPr>
            </w:pPr>
            <w:r>
              <w:rPr>
                <w:kern w:val="2"/>
                <w:sz w:val="21"/>
                <w:szCs w:val="21"/>
              </w:rPr>
              <w:t>废水量</w:t>
            </w:r>
            <w:r>
              <w:rPr>
                <w:rFonts w:hint="eastAsia"/>
                <w:sz w:val="21"/>
                <w:szCs w:val="21"/>
                <w:lang w:bidi="ar"/>
              </w:rPr>
              <w:t>16468.52</w:t>
            </w:r>
            <w:r>
              <w:rPr>
                <w:kern w:val="2"/>
                <w:sz w:val="21"/>
                <w:szCs w:val="21"/>
              </w:rPr>
              <w:t>m</w:t>
            </w:r>
            <w:r>
              <w:rPr>
                <w:kern w:val="2"/>
                <w:sz w:val="21"/>
                <w:szCs w:val="21"/>
                <w:vertAlign w:val="superscript"/>
              </w:rPr>
              <w:t>3</w:t>
            </w:r>
            <w:r>
              <w:rPr>
                <w:kern w:val="2"/>
                <w:sz w:val="21"/>
                <w:szCs w:val="21"/>
              </w:rPr>
              <w:t>/a</w:t>
            </w:r>
          </w:p>
        </w:tc>
        <w:tc>
          <w:tcPr>
            <w:tcW w:w="331" w:type="pct"/>
            <w:vAlign w:val="center"/>
          </w:tcPr>
          <w:p w14:paraId="52BD2D3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3E7DBD8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435A153F" w14:textId="77777777">
        <w:trPr>
          <w:trHeight w:val="544"/>
          <w:jc w:val="center"/>
        </w:trPr>
        <w:tc>
          <w:tcPr>
            <w:tcW w:w="150" w:type="pct"/>
            <w:vMerge/>
            <w:vAlign w:val="center"/>
          </w:tcPr>
          <w:p w14:paraId="20BEB64E" w14:textId="77777777" w:rsidR="003E78AB" w:rsidRDefault="003E78AB">
            <w:pPr>
              <w:spacing w:line="360" w:lineRule="exact"/>
              <w:ind w:firstLineChars="0" w:firstLine="0"/>
              <w:jc w:val="center"/>
              <w:rPr>
                <w:kern w:val="2"/>
                <w:sz w:val="21"/>
                <w:szCs w:val="21"/>
              </w:rPr>
            </w:pPr>
          </w:p>
        </w:tc>
        <w:tc>
          <w:tcPr>
            <w:tcW w:w="243" w:type="pct"/>
            <w:vMerge/>
            <w:vAlign w:val="center"/>
          </w:tcPr>
          <w:p w14:paraId="4F64840F" w14:textId="77777777" w:rsidR="003E78AB" w:rsidRDefault="003E78AB">
            <w:pPr>
              <w:spacing w:line="360" w:lineRule="exact"/>
              <w:ind w:firstLineChars="0" w:firstLine="0"/>
              <w:jc w:val="center"/>
              <w:rPr>
                <w:kern w:val="2"/>
                <w:sz w:val="21"/>
                <w:szCs w:val="21"/>
              </w:rPr>
            </w:pPr>
          </w:p>
        </w:tc>
        <w:tc>
          <w:tcPr>
            <w:tcW w:w="556" w:type="pct"/>
            <w:vMerge/>
            <w:vAlign w:val="center"/>
          </w:tcPr>
          <w:p w14:paraId="5E2B165A" w14:textId="77777777" w:rsidR="003E78AB" w:rsidRDefault="003E78AB">
            <w:pPr>
              <w:spacing w:line="360" w:lineRule="exact"/>
              <w:ind w:firstLineChars="0" w:firstLine="0"/>
              <w:jc w:val="center"/>
              <w:rPr>
                <w:kern w:val="2"/>
                <w:sz w:val="21"/>
                <w:szCs w:val="21"/>
              </w:rPr>
            </w:pPr>
          </w:p>
        </w:tc>
        <w:tc>
          <w:tcPr>
            <w:tcW w:w="337" w:type="pct"/>
            <w:vMerge/>
            <w:vAlign w:val="center"/>
          </w:tcPr>
          <w:p w14:paraId="360571E8" w14:textId="77777777" w:rsidR="003E78AB" w:rsidRDefault="003E78AB">
            <w:pPr>
              <w:spacing w:line="360" w:lineRule="exact"/>
              <w:ind w:firstLineChars="0" w:firstLine="0"/>
              <w:jc w:val="center"/>
              <w:rPr>
                <w:kern w:val="2"/>
                <w:sz w:val="21"/>
                <w:szCs w:val="21"/>
              </w:rPr>
            </w:pPr>
          </w:p>
        </w:tc>
        <w:tc>
          <w:tcPr>
            <w:tcW w:w="384" w:type="pct"/>
            <w:vMerge/>
            <w:vAlign w:val="center"/>
          </w:tcPr>
          <w:p w14:paraId="09EFAAC0" w14:textId="77777777" w:rsidR="003E78AB" w:rsidRDefault="003E78AB">
            <w:pPr>
              <w:spacing w:line="360" w:lineRule="exact"/>
              <w:ind w:firstLineChars="0" w:firstLine="0"/>
              <w:jc w:val="center"/>
              <w:rPr>
                <w:kern w:val="2"/>
                <w:sz w:val="21"/>
                <w:szCs w:val="21"/>
              </w:rPr>
            </w:pPr>
          </w:p>
        </w:tc>
        <w:tc>
          <w:tcPr>
            <w:tcW w:w="324" w:type="pct"/>
            <w:vMerge/>
            <w:vAlign w:val="center"/>
          </w:tcPr>
          <w:p w14:paraId="4A763694" w14:textId="77777777" w:rsidR="003E78AB" w:rsidRDefault="003E78AB">
            <w:pPr>
              <w:spacing w:line="360" w:lineRule="exact"/>
              <w:ind w:firstLineChars="0" w:firstLine="0"/>
              <w:jc w:val="center"/>
              <w:rPr>
                <w:kern w:val="2"/>
                <w:sz w:val="21"/>
                <w:szCs w:val="21"/>
              </w:rPr>
            </w:pPr>
          </w:p>
        </w:tc>
        <w:tc>
          <w:tcPr>
            <w:tcW w:w="344" w:type="pct"/>
            <w:vMerge/>
            <w:vAlign w:val="center"/>
          </w:tcPr>
          <w:p w14:paraId="3418B9C3" w14:textId="77777777" w:rsidR="003E78AB" w:rsidRDefault="003E78AB">
            <w:pPr>
              <w:spacing w:line="360" w:lineRule="exact"/>
              <w:ind w:firstLineChars="0" w:firstLine="0"/>
              <w:jc w:val="center"/>
              <w:rPr>
                <w:kern w:val="2"/>
                <w:sz w:val="21"/>
                <w:szCs w:val="21"/>
              </w:rPr>
            </w:pPr>
          </w:p>
        </w:tc>
        <w:tc>
          <w:tcPr>
            <w:tcW w:w="372" w:type="pct"/>
            <w:vMerge/>
            <w:vAlign w:val="center"/>
          </w:tcPr>
          <w:p w14:paraId="339B3A31" w14:textId="77777777" w:rsidR="003E78AB" w:rsidRDefault="003E78AB">
            <w:pPr>
              <w:spacing w:line="360" w:lineRule="exact"/>
              <w:ind w:firstLineChars="0" w:firstLine="0"/>
              <w:jc w:val="center"/>
              <w:rPr>
                <w:kern w:val="2"/>
                <w:sz w:val="21"/>
                <w:szCs w:val="21"/>
              </w:rPr>
            </w:pPr>
          </w:p>
        </w:tc>
        <w:tc>
          <w:tcPr>
            <w:tcW w:w="256" w:type="pct"/>
            <w:vMerge/>
            <w:vAlign w:val="center"/>
          </w:tcPr>
          <w:p w14:paraId="65144729" w14:textId="77777777" w:rsidR="003E78AB" w:rsidRDefault="003E78AB">
            <w:pPr>
              <w:spacing w:line="360" w:lineRule="exact"/>
              <w:ind w:firstLineChars="0" w:firstLine="0"/>
              <w:jc w:val="center"/>
              <w:rPr>
                <w:kern w:val="2"/>
                <w:sz w:val="21"/>
                <w:szCs w:val="21"/>
              </w:rPr>
            </w:pPr>
          </w:p>
        </w:tc>
        <w:tc>
          <w:tcPr>
            <w:tcW w:w="228" w:type="pct"/>
            <w:vMerge/>
            <w:vAlign w:val="center"/>
          </w:tcPr>
          <w:p w14:paraId="55FAD62C" w14:textId="77777777" w:rsidR="003E78AB" w:rsidRDefault="003E78AB">
            <w:pPr>
              <w:spacing w:line="360" w:lineRule="exact"/>
              <w:ind w:firstLineChars="0" w:firstLine="0"/>
              <w:jc w:val="center"/>
              <w:rPr>
                <w:kern w:val="2"/>
                <w:sz w:val="21"/>
                <w:szCs w:val="21"/>
              </w:rPr>
            </w:pPr>
          </w:p>
        </w:tc>
        <w:tc>
          <w:tcPr>
            <w:tcW w:w="380" w:type="pct"/>
            <w:vAlign w:val="center"/>
          </w:tcPr>
          <w:p w14:paraId="12F72D81" w14:textId="77777777" w:rsidR="003E78AB" w:rsidRDefault="00010BF9">
            <w:pPr>
              <w:spacing w:line="360" w:lineRule="exact"/>
              <w:ind w:firstLineChars="0" w:firstLine="0"/>
              <w:jc w:val="center"/>
              <w:textAlignment w:val="center"/>
              <w:rPr>
                <w:kern w:val="2"/>
                <w:sz w:val="21"/>
                <w:szCs w:val="21"/>
              </w:rPr>
            </w:pPr>
            <w:r>
              <w:rPr>
                <w:sz w:val="21"/>
                <w:szCs w:val="21"/>
                <w:lang w:bidi="ar"/>
              </w:rPr>
              <w:t>pH</w:t>
            </w:r>
          </w:p>
        </w:tc>
        <w:tc>
          <w:tcPr>
            <w:tcW w:w="363" w:type="pct"/>
            <w:vAlign w:val="center"/>
          </w:tcPr>
          <w:p w14:paraId="2F996756" w14:textId="77777777" w:rsidR="003E78AB" w:rsidRDefault="00010BF9">
            <w:pPr>
              <w:spacing w:line="360" w:lineRule="exact"/>
              <w:ind w:firstLineChars="0" w:firstLine="0"/>
              <w:jc w:val="center"/>
              <w:textAlignment w:val="center"/>
              <w:rPr>
                <w:kern w:val="2"/>
                <w:sz w:val="21"/>
                <w:szCs w:val="21"/>
              </w:rPr>
            </w:pPr>
            <w:r>
              <w:rPr>
                <w:sz w:val="21"/>
                <w:szCs w:val="21"/>
                <w:lang w:bidi="ar"/>
              </w:rPr>
              <w:t>/</w:t>
            </w:r>
          </w:p>
        </w:tc>
        <w:tc>
          <w:tcPr>
            <w:tcW w:w="383" w:type="pct"/>
            <w:vAlign w:val="center"/>
          </w:tcPr>
          <w:p w14:paraId="2B1E0DEF" w14:textId="77777777" w:rsidR="003E78AB" w:rsidRDefault="00010BF9">
            <w:pPr>
              <w:spacing w:line="360" w:lineRule="exact"/>
              <w:ind w:firstLineChars="0" w:firstLine="0"/>
              <w:jc w:val="center"/>
              <w:textAlignment w:val="center"/>
              <w:rPr>
                <w:kern w:val="2"/>
                <w:sz w:val="21"/>
                <w:szCs w:val="21"/>
              </w:rPr>
            </w:pPr>
            <w:r>
              <w:rPr>
                <w:sz w:val="21"/>
                <w:szCs w:val="21"/>
                <w:lang w:bidi="ar"/>
              </w:rPr>
              <w:t>6~9</w:t>
            </w:r>
          </w:p>
        </w:tc>
        <w:tc>
          <w:tcPr>
            <w:tcW w:w="331" w:type="pct"/>
            <w:vAlign w:val="center"/>
          </w:tcPr>
          <w:p w14:paraId="3B094C70"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c>
          <w:tcPr>
            <w:tcW w:w="343" w:type="pct"/>
            <w:vAlign w:val="center"/>
          </w:tcPr>
          <w:p w14:paraId="6EC62A85"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r>
      <w:tr w:rsidR="003E78AB" w14:paraId="13216B80" w14:textId="77777777">
        <w:trPr>
          <w:trHeight w:val="360"/>
          <w:jc w:val="center"/>
        </w:trPr>
        <w:tc>
          <w:tcPr>
            <w:tcW w:w="150" w:type="pct"/>
            <w:vMerge/>
            <w:vAlign w:val="center"/>
          </w:tcPr>
          <w:p w14:paraId="71EDDF23" w14:textId="77777777" w:rsidR="003E78AB" w:rsidRDefault="003E78AB">
            <w:pPr>
              <w:spacing w:line="360" w:lineRule="exact"/>
              <w:ind w:firstLineChars="0" w:firstLine="0"/>
              <w:jc w:val="center"/>
              <w:rPr>
                <w:kern w:val="2"/>
                <w:sz w:val="21"/>
                <w:szCs w:val="21"/>
              </w:rPr>
            </w:pPr>
          </w:p>
        </w:tc>
        <w:tc>
          <w:tcPr>
            <w:tcW w:w="243" w:type="pct"/>
            <w:vMerge/>
            <w:vAlign w:val="center"/>
          </w:tcPr>
          <w:p w14:paraId="4D9625F8" w14:textId="77777777" w:rsidR="003E78AB" w:rsidRDefault="003E78AB">
            <w:pPr>
              <w:spacing w:line="360" w:lineRule="exact"/>
              <w:ind w:firstLineChars="0" w:firstLine="0"/>
              <w:jc w:val="center"/>
              <w:rPr>
                <w:kern w:val="2"/>
                <w:sz w:val="21"/>
                <w:szCs w:val="21"/>
              </w:rPr>
            </w:pPr>
          </w:p>
        </w:tc>
        <w:tc>
          <w:tcPr>
            <w:tcW w:w="556" w:type="pct"/>
            <w:vMerge/>
            <w:vAlign w:val="center"/>
          </w:tcPr>
          <w:p w14:paraId="143B766F" w14:textId="77777777" w:rsidR="003E78AB" w:rsidRDefault="003E78AB">
            <w:pPr>
              <w:spacing w:line="360" w:lineRule="exact"/>
              <w:ind w:firstLineChars="0" w:firstLine="0"/>
              <w:jc w:val="center"/>
              <w:rPr>
                <w:kern w:val="2"/>
                <w:sz w:val="21"/>
                <w:szCs w:val="21"/>
              </w:rPr>
            </w:pPr>
          </w:p>
        </w:tc>
        <w:tc>
          <w:tcPr>
            <w:tcW w:w="337" w:type="pct"/>
            <w:vMerge/>
            <w:vAlign w:val="center"/>
          </w:tcPr>
          <w:p w14:paraId="483B43E9" w14:textId="77777777" w:rsidR="003E78AB" w:rsidRDefault="003E78AB">
            <w:pPr>
              <w:spacing w:line="360" w:lineRule="exact"/>
              <w:ind w:firstLineChars="0" w:firstLine="0"/>
              <w:jc w:val="center"/>
              <w:rPr>
                <w:kern w:val="2"/>
                <w:sz w:val="21"/>
                <w:szCs w:val="21"/>
              </w:rPr>
            </w:pPr>
          </w:p>
        </w:tc>
        <w:tc>
          <w:tcPr>
            <w:tcW w:w="384" w:type="pct"/>
            <w:vMerge/>
            <w:vAlign w:val="center"/>
          </w:tcPr>
          <w:p w14:paraId="24A91557" w14:textId="77777777" w:rsidR="003E78AB" w:rsidRDefault="003E78AB">
            <w:pPr>
              <w:spacing w:line="360" w:lineRule="exact"/>
              <w:ind w:firstLineChars="0" w:firstLine="0"/>
              <w:jc w:val="center"/>
              <w:rPr>
                <w:kern w:val="2"/>
                <w:sz w:val="21"/>
                <w:szCs w:val="21"/>
              </w:rPr>
            </w:pPr>
          </w:p>
        </w:tc>
        <w:tc>
          <w:tcPr>
            <w:tcW w:w="324" w:type="pct"/>
            <w:vMerge/>
            <w:vAlign w:val="center"/>
          </w:tcPr>
          <w:p w14:paraId="05A48054" w14:textId="77777777" w:rsidR="003E78AB" w:rsidRDefault="003E78AB">
            <w:pPr>
              <w:spacing w:line="360" w:lineRule="exact"/>
              <w:ind w:firstLineChars="0" w:firstLine="0"/>
              <w:jc w:val="center"/>
              <w:rPr>
                <w:kern w:val="2"/>
                <w:sz w:val="21"/>
                <w:szCs w:val="21"/>
              </w:rPr>
            </w:pPr>
          </w:p>
        </w:tc>
        <w:tc>
          <w:tcPr>
            <w:tcW w:w="344" w:type="pct"/>
            <w:vMerge/>
            <w:vAlign w:val="center"/>
          </w:tcPr>
          <w:p w14:paraId="12DBC234" w14:textId="77777777" w:rsidR="003E78AB" w:rsidRDefault="003E78AB">
            <w:pPr>
              <w:spacing w:line="360" w:lineRule="exact"/>
              <w:ind w:firstLineChars="0" w:firstLine="0"/>
              <w:jc w:val="center"/>
              <w:rPr>
                <w:kern w:val="2"/>
                <w:sz w:val="21"/>
                <w:szCs w:val="21"/>
              </w:rPr>
            </w:pPr>
          </w:p>
        </w:tc>
        <w:tc>
          <w:tcPr>
            <w:tcW w:w="372" w:type="pct"/>
            <w:vMerge/>
            <w:vAlign w:val="center"/>
          </w:tcPr>
          <w:p w14:paraId="13B5F466" w14:textId="77777777" w:rsidR="003E78AB" w:rsidRDefault="003E78AB">
            <w:pPr>
              <w:spacing w:line="360" w:lineRule="exact"/>
              <w:ind w:firstLineChars="0" w:firstLine="0"/>
              <w:jc w:val="center"/>
              <w:rPr>
                <w:kern w:val="2"/>
                <w:sz w:val="21"/>
                <w:szCs w:val="21"/>
              </w:rPr>
            </w:pPr>
          </w:p>
        </w:tc>
        <w:tc>
          <w:tcPr>
            <w:tcW w:w="256" w:type="pct"/>
            <w:vMerge/>
            <w:vAlign w:val="center"/>
          </w:tcPr>
          <w:p w14:paraId="466DA6AD" w14:textId="77777777" w:rsidR="003E78AB" w:rsidRDefault="003E78AB">
            <w:pPr>
              <w:spacing w:line="360" w:lineRule="exact"/>
              <w:ind w:firstLineChars="0" w:firstLine="0"/>
              <w:jc w:val="center"/>
              <w:rPr>
                <w:kern w:val="2"/>
                <w:sz w:val="21"/>
                <w:szCs w:val="21"/>
              </w:rPr>
            </w:pPr>
          </w:p>
        </w:tc>
        <w:tc>
          <w:tcPr>
            <w:tcW w:w="228" w:type="pct"/>
            <w:vMerge/>
            <w:vAlign w:val="center"/>
          </w:tcPr>
          <w:p w14:paraId="77A00878" w14:textId="77777777" w:rsidR="003E78AB" w:rsidRDefault="003E78AB">
            <w:pPr>
              <w:spacing w:line="360" w:lineRule="exact"/>
              <w:ind w:firstLineChars="0" w:firstLine="0"/>
              <w:jc w:val="center"/>
              <w:rPr>
                <w:kern w:val="2"/>
                <w:sz w:val="21"/>
                <w:szCs w:val="21"/>
              </w:rPr>
            </w:pPr>
          </w:p>
        </w:tc>
        <w:tc>
          <w:tcPr>
            <w:tcW w:w="380" w:type="pct"/>
            <w:vMerge w:val="restart"/>
            <w:vAlign w:val="center"/>
          </w:tcPr>
          <w:p w14:paraId="5171EAB0" w14:textId="77777777" w:rsidR="003E78AB" w:rsidRDefault="00010BF9">
            <w:pPr>
              <w:spacing w:line="360" w:lineRule="exact"/>
              <w:ind w:firstLineChars="0" w:firstLine="0"/>
              <w:jc w:val="center"/>
              <w:textAlignment w:val="center"/>
              <w:rPr>
                <w:kern w:val="2"/>
                <w:sz w:val="21"/>
                <w:szCs w:val="21"/>
              </w:rPr>
            </w:pPr>
            <w:r>
              <w:rPr>
                <w:sz w:val="21"/>
                <w:szCs w:val="21"/>
                <w:lang w:bidi="ar"/>
              </w:rPr>
              <w:t>CODcr</w:t>
            </w:r>
          </w:p>
        </w:tc>
        <w:tc>
          <w:tcPr>
            <w:tcW w:w="363" w:type="pct"/>
            <w:vMerge w:val="restart"/>
            <w:vAlign w:val="center"/>
          </w:tcPr>
          <w:p w14:paraId="1A454EF6" w14:textId="77777777" w:rsidR="003E78AB" w:rsidRDefault="00010BF9">
            <w:pPr>
              <w:spacing w:line="360" w:lineRule="exact"/>
              <w:ind w:firstLineChars="0" w:firstLine="0"/>
              <w:jc w:val="center"/>
              <w:textAlignment w:val="center"/>
              <w:rPr>
                <w:kern w:val="2"/>
                <w:sz w:val="21"/>
                <w:szCs w:val="21"/>
              </w:rPr>
            </w:pPr>
            <w:r>
              <w:rPr>
                <w:sz w:val="21"/>
                <w:szCs w:val="21"/>
                <w:lang w:bidi="ar"/>
              </w:rPr>
              <w:t>1.3543</w:t>
            </w:r>
          </w:p>
        </w:tc>
        <w:tc>
          <w:tcPr>
            <w:tcW w:w="383" w:type="pct"/>
            <w:vMerge w:val="restart"/>
            <w:vAlign w:val="center"/>
          </w:tcPr>
          <w:p w14:paraId="6FF2F1DB" w14:textId="77777777" w:rsidR="003E78AB" w:rsidRDefault="00010BF9">
            <w:pPr>
              <w:spacing w:line="360" w:lineRule="exact"/>
              <w:ind w:firstLineChars="0" w:firstLine="0"/>
              <w:jc w:val="center"/>
              <w:textAlignment w:val="center"/>
              <w:rPr>
                <w:kern w:val="2"/>
                <w:sz w:val="21"/>
                <w:szCs w:val="21"/>
              </w:rPr>
            </w:pPr>
            <w:r>
              <w:rPr>
                <w:sz w:val="21"/>
                <w:szCs w:val="21"/>
                <w:lang w:bidi="ar"/>
              </w:rPr>
              <w:t>82.24</w:t>
            </w:r>
          </w:p>
        </w:tc>
        <w:tc>
          <w:tcPr>
            <w:tcW w:w="331" w:type="pct"/>
            <w:vMerge w:val="restart"/>
            <w:vAlign w:val="center"/>
          </w:tcPr>
          <w:p w14:paraId="56354B2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200</w:t>
            </w:r>
          </w:p>
        </w:tc>
        <w:tc>
          <w:tcPr>
            <w:tcW w:w="343" w:type="pct"/>
            <w:vMerge w:val="restart"/>
            <w:vAlign w:val="center"/>
          </w:tcPr>
          <w:p w14:paraId="5590127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500</w:t>
            </w:r>
          </w:p>
        </w:tc>
      </w:tr>
      <w:tr w:rsidR="003E78AB" w14:paraId="376A2C2E" w14:textId="77777777">
        <w:trPr>
          <w:trHeight w:val="360"/>
          <w:jc w:val="center"/>
        </w:trPr>
        <w:tc>
          <w:tcPr>
            <w:tcW w:w="150" w:type="pct"/>
            <w:vMerge/>
            <w:vAlign w:val="center"/>
          </w:tcPr>
          <w:p w14:paraId="0425C22E" w14:textId="77777777" w:rsidR="003E78AB" w:rsidRDefault="003E78AB">
            <w:pPr>
              <w:spacing w:line="360" w:lineRule="exact"/>
              <w:ind w:firstLineChars="0" w:firstLine="0"/>
              <w:jc w:val="center"/>
              <w:rPr>
                <w:kern w:val="2"/>
                <w:sz w:val="21"/>
                <w:szCs w:val="21"/>
              </w:rPr>
            </w:pPr>
          </w:p>
        </w:tc>
        <w:tc>
          <w:tcPr>
            <w:tcW w:w="243" w:type="pct"/>
            <w:vMerge/>
            <w:vAlign w:val="center"/>
          </w:tcPr>
          <w:p w14:paraId="3797066C" w14:textId="77777777" w:rsidR="003E78AB" w:rsidRDefault="003E78AB">
            <w:pPr>
              <w:spacing w:line="360" w:lineRule="exact"/>
              <w:ind w:firstLineChars="0" w:firstLine="0"/>
              <w:jc w:val="center"/>
              <w:rPr>
                <w:kern w:val="2"/>
                <w:sz w:val="21"/>
                <w:szCs w:val="21"/>
              </w:rPr>
            </w:pPr>
          </w:p>
        </w:tc>
        <w:tc>
          <w:tcPr>
            <w:tcW w:w="556" w:type="pct"/>
            <w:vMerge/>
            <w:vAlign w:val="center"/>
          </w:tcPr>
          <w:p w14:paraId="37DE416A" w14:textId="77777777" w:rsidR="003E78AB" w:rsidRDefault="003E78AB">
            <w:pPr>
              <w:spacing w:line="360" w:lineRule="exact"/>
              <w:ind w:firstLineChars="0" w:firstLine="0"/>
              <w:jc w:val="center"/>
              <w:rPr>
                <w:kern w:val="2"/>
                <w:sz w:val="21"/>
                <w:szCs w:val="21"/>
              </w:rPr>
            </w:pPr>
          </w:p>
        </w:tc>
        <w:tc>
          <w:tcPr>
            <w:tcW w:w="337" w:type="pct"/>
            <w:vMerge/>
            <w:vAlign w:val="center"/>
          </w:tcPr>
          <w:p w14:paraId="648053BA" w14:textId="77777777" w:rsidR="003E78AB" w:rsidRDefault="003E78AB">
            <w:pPr>
              <w:spacing w:line="360" w:lineRule="exact"/>
              <w:ind w:firstLineChars="0" w:firstLine="0"/>
              <w:jc w:val="center"/>
              <w:rPr>
                <w:kern w:val="2"/>
                <w:sz w:val="21"/>
                <w:szCs w:val="21"/>
              </w:rPr>
            </w:pPr>
          </w:p>
        </w:tc>
        <w:tc>
          <w:tcPr>
            <w:tcW w:w="384" w:type="pct"/>
            <w:vMerge/>
            <w:vAlign w:val="center"/>
          </w:tcPr>
          <w:p w14:paraId="2A18E6B4" w14:textId="77777777" w:rsidR="003E78AB" w:rsidRDefault="003E78AB">
            <w:pPr>
              <w:spacing w:line="360" w:lineRule="exact"/>
              <w:ind w:firstLineChars="0" w:firstLine="0"/>
              <w:jc w:val="center"/>
              <w:rPr>
                <w:kern w:val="2"/>
                <w:sz w:val="21"/>
                <w:szCs w:val="21"/>
              </w:rPr>
            </w:pPr>
          </w:p>
        </w:tc>
        <w:tc>
          <w:tcPr>
            <w:tcW w:w="324" w:type="pct"/>
            <w:vMerge w:val="restart"/>
            <w:vAlign w:val="center"/>
          </w:tcPr>
          <w:p w14:paraId="185762F5" w14:textId="77777777" w:rsidR="003E78AB" w:rsidRDefault="00010BF9">
            <w:pPr>
              <w:spacing w:line="360" w:lineRule="exact"/>
              <w:ind w:firstLineChars="0" w:firstLine="0"/>
              <w:jc w:val="center"/>
              <w:rPr>
                <w:kern w:val="2"/>
                <w:sz w:val="21"/>
                <w:szCs w:val="21"/>
              </w:rPr>
            </w:pPr>
            <w:r>
              <w:rPr>
                <w:rFonts w:hint="eastAsia"/>
                <w:kern w:val="2"/>
                <w:sz w:val="21"/>
                <w:szCs w:val="21"/>
              </w:rPr>
              <w:t>TW002</w:t>
            </w:r>
          </w:p>
        </w:tc>
        <w:tc>
          <w:tcPr>
            <w:tcW w:w="344" w:type="pct"/>
            <w:vMerge w:val="restart"/>
            <w:vAlign w:val="center"/>
          </w:tcPr>
          <w:p w14:paraId="6B7C0321" w14:textId="77777777" w:rsidR="003E78AB" w:rsidRDefault="00010BF9">
            <w:pPr>
              <w:spacing w:line="360" w:lineRule="exact"/>
              <w:ind w:firstLineChars="0" w:firstLine="0"/>
              <w:jc w:val="center"/>
              <w:rPr>
                <w:kern w:val="2"/>
                <w:sz w:val="21"/>
                <w:szCs w:val="21"/>
              </w:rPr>
            </w:pPr>
            <w:r>
              <w:rPr>
                <w:rFonts w:hint="eastAsia"/>
                <w:kern w:val="2"/>
                <w:sz w:val="21"/>
                <w:szCs w:val="21"/>
              </w:rPr>
              <w:t>沉淀池</w:t>
            </w:r>
          </w:p>
        </w:tc>
        <w:tc>
          <w:tcPr>
            <w:tcW w:w="372" w:type="pct"/>
            <w:vMerge w:val="restart"/>
            <w:vAlign w:val="center"/>
          </w:tcPr>
          <w:p w14:paraId="0F90F6B0" w14:textId="77777777" w:rsidR="003E78AB" w:rsidRDefault="00010BF9">
            <w:pPr>
              <w:spacing w:line="360" w:lineRule="exact"/>
              <w:ind w:firstLineChars="0" w:firstLine="0"/>
              <w:jc w:val="center"/>
              <w:rPr>
                <w:kern w:val="2"/>
                <w:sz w:val="21"/>
                <w:szCs w:val="21"/>
              </w:rPr>
            </w:pPr>
            <w:r>
              <w:rPr>
                <w:rFonts w:hint="eastAsia"/>
                <w:kern w:val="2"/>
                <w:sz w:val="21"/>
                <w:szCs w:val="21"/>
              </w:rPr>
              <w:t>沉淀</w:t>
            </w:r>
          </w:p>
        </w:tc>
        <w:tc>
          <w:tcPr>
            <w:tcW w:w="256" w:type="pct"/>
            <w:vMerge/>
            <w:vAlign w:val="center"/>
          </w:tcPr>
          <w:p w14:paraId="47546E6A" w14:textId="77777777" w:rsidR="003E78AB" w:rsidRDefault="003E78AB">
            <w:pPr>
              <w:spacing w:line="360" w:lineRule="exact"/>
              <w:ind w:firstLineChars="0" w:firstLine="0"/>
              <w:jc w:val="center"/>
              <w:rPr>
                <w:kern w:val="2"/>
                <w:sz w:val="21"/>
                <w:szCs w:val="21"/>
              </w:rPr>
            </w:pPr>
          </w:p>
        </w:tc>
        <w:tc>
          <w:tcPr>
            <w:tcW w:w="228" w:type="pct"/>
            <w:vMerge/>
            <w:vAlign w:val="center"/>
          </w:tcPr>
          <w:p w14:paraId="0D1CC65B" w14:textId="77777777" w:rsidR="003E78AB" w:rsidRDefault="003E78AB">
            <w:pPr>
              <w:spacing w:line="360" w:lineRule="exact"/>
              <w:ind w:firstLineChars="0" w:firstLine="0"/>
              <w:jc w:val="center"/>
              <w:rPr>
                <w:kern w:val="2"/>
                <w:sz w:val="21"/>
                <w:szCs w:val="21"/>
              </w:rPr>
            </w:pPr>
          </w:p>
        </w:tc>
        <w:tc>
          <w:tcPr>
            <w:tcW w:w="380" w:type="pct"/>
            <w:vMerge/>
            <w:vAlign w:val="center"/>
          </w:tcPr>
          <w:p w14:paraId="23F24F7A" w14:textId="77777777" w:rsidR="003E78AB" w:rsidRDefault="003E78AB">
            <w:pPr>
              <w:spacing w:line="360" w:lineRule="exact"/>
              <w:ind w:firstLineChars="0" w:firstLine="0"/>
              <w:jc w:val="center"/>
              <w:rPr>
                <w:kern w:val="2"/>
                <w:sz w:val="21"/>
                <w:szCs w:val="21"/>
              </w:rPr>
            </w:pPr>
          </w:p>
        </w:tc>
        <w:tc>
          <w:tcPr>
            <w:tcW w:w="363" w:type="pct"/>
            <w:vMerge/>
            <w:vAlign w:val="center"/>
          </w:tcPr>
          <w:p w14:paraId="21DFBA90" w14:textId="77777777" w:rsidR="003E78AB" w:rsidRDefault="003E78AB">
            <w:pPr>
              <w:spacing w:line="360" w:lineRule="exact"/>
              <w:ind w:firstLineChars="0" w:firstLine="0"/>
              <w:jc w:val="center"/>
              <w:rPr>
                <w:kern w:val="2"/>
                <w:sz w:val="21"/>
                <w:szCs w:val="21"/>
              </w:rPr>
            </w:pPr>
          </w:p>
        </w:tc>
        <w:tc>
          <w:tcPr>
            <w:tcW w:w="383" w:type="pct"/>
            <w:vMerge/>
            <w:vAlign w:val="center"/>
          </w:tcPr>
          <w:p w14:paraId="1F04E57B" w14:textId="77777777" w:rsidR="003E78AB" w:rsidRDefault="003E78AB">
            <w:pPr>
              <w:spacing w:line="360" w:lineRule="exact"/>
              <w:ind w:firstLineChars="0" w:firstLine="0"/>
              <w:jc w:val="center"/>
              <w:rPr>
                <w:kern w:val="2"/>
                <w:sz w:val="21"/>
                <w:szCs w:val="21"/>
              </w:rPr>
            </w:pPr>
          </w:p>
        </w:tc>
        <w:tc>
          <w:tcPr>
            <w:tcW w:w="331" w:type="pct"/>
            <w:vMerge/>
            <w:vAlign w:val="center"/>
          </w:tcPr>
          <w:p w14:paraId="19E457E2" w14:textId="77777777" w:rsidR="003E78AB" w:rsidRDefault="003E78AB">
            <w:pPr>
              <w:spacing w:line="360" w:lineRule="exact"/>
              <w:ind w:firstLineChars="0" w:firstLine="0"/>
              <w:jc w:val="center"/>
              <w:textAlignment w:val="center"/>
              <w:rPr>
                <w:sz w:val="21"/>
                <w:szCs w:val="21"/>
                <w:lang w:bidi="ar"/>
              </w:rPr>
            </w:pPr>
          </w:p>
        </w:tc>
        <w:tc>
          <w:tcPr>
            <w:tcW w:w="343" w:type="pct"/>
            <w:vMerge/>
            <w:vAlign w:val="center"/>
          </w:tcPr>
          <w:p w14:paraId="680C356B" w14:textId="77777777" w:rsidR="003E78AB" w:rsidRDefault="003E78AB">
            <w:pPr>
              <w:spacing w:line="360" w:lineRule="exact"/>
              <w:ind w:firstLineChars="0" w:firstLine="0"/>
              <w:jc w:val="center"/>
              <w:textAlignment w:val="center"/>
              <w:rPr>
                <w:sz w:val="21"/>
                <w:szCs w:val="21"/>
                <w:lang w:bidi="ar"/>
              </w:rPr>
            </w:pPr>
          </w:p>
        </w:tc>
      </w:tr>
      <w:tr w:rsidR="003E78AB" w14:paraId="086F624E" w14:textId="77777777">
        <w:trPr>
          <w:trHeight w:val="544"/>
          <w:jc w:val="center"/>
        </w:trPr>
        <w:tc>
          <w:tcPr>
            <w:tcW w:w="150" w:type="pct"/>
            <w:vMerge/>
            <w:vAlign w:val="center"/>
          </w:tcPr>
          <w:p w14:paraId="7F2DA02C" w14:textId="77777777" w:rsidR="003E78AB" w:rsidRDefault="003E78AB">
            <w:pPr>
              <w:spacing w:line="360" w:lineRule="exact"/>
              <w:ind w:firstLineChars="0" w:firstLine="0"/>
              <w:jc w:val="center"/>
              <w:rPr>
                <w:kern w:val="2"/>
                <w:sz w:val="21"/>
                <w:szCs w:val="21"/>
              </w:rPr>
            </w:pPr>
          </w:p>
        </w:tc>
        <w:tc>
          <w:tcPr>
            <w:tcW w:w="243" w:type="pct"/>
            <w:vMerge/>
            <w:vAlign w:val="center"/>
          </w:tcPr>
          <w:p w14:paraId="1466B26C" w14:textId="77777777" w:rsidR="003E78AB" w:rsidRDefault="003E78AB">
            <w:pPr>
              <w:spacing w:line="360" w:lineRule="exact"/>
              <w:ind w:firstLineChars="0" w:firstLine="0"/>
              <w:jc w:val="center"/>
              <w:rPr>
                <w:kern w:val="2"/>
                <w:sz w:val="21"/>
                <w:szCs w:val="21"/>
              </w:rPr>
            </w:pPr>
          </w:p>
        </w:tc>
        <w:tc>
          <w:tcPr>
            <w:tcW w:w="556" w:type="pct"/>
            <w:vMerge/>
            <w:vAlign w:val="center"/>
          </w:tcPr>
          <w:p w14:paraId="42D78538" w14:textId="77777777" w:rsidR="003E78AB" w:rsidRDefault="003E78AB">
            <w:pPr>
              <w:spacing w:line="360" w:lineRule="exact"/>
              <w:ind w:firstLineChars="0" w:firstLine="0"/>
              <w:jc w:val="center"/>
              <w:rPr>
                <w:kern w:val="2"/>
                <w:sz w:val="21"/>
                <w:szCs w:val="21"/>
              </w:rPr>
            </w:pPr>
          </w:p>
        </w:tc>
        <w:tc>
          <w:tcPr>
            <w:tcW w:w="337" w:type="pct"/>
            <w:vMerge/>
            <w:vAlign w:val="center"/>
          </w:tcPr>
          <w:p w14:paraId="611E80B8" w14:textId="77777777" w:rsidR="003E78AB" w:rsidRDefault="003E78AB">
            <w:pPr>
              <w:spacing w:line="360" w:lineRule="exact"/>
              <w:ind w:firstLineChars="0" w:firstLine="0"/>
              <w:jc w:val="center"/>
              <w:rPr>
                <w:kern w:val="2"/>
                <w:sz w:val="21"/>
                <w:szCs w:val="21"/>
              </w:rPr>
            </w:pPr>
          </w:p>
        </w:tc>
        <w:tc>
          <w:tcPr>
            <w:tcW w:w="384" w:type="pct"/>
            <w:vMerge/>
            <w:vAlign w:val="center"/>
          </w:tcPr>
          <w:p w14:paraId="6A3D08B4" w14:textId="77777777" w:rsidR="003E78AB" w:rsidRDefault="003E78AB">
            <w:pPr>
              <w:spacing w:line="360" w:lineRule="exact"/>
              <w:ind w:firstLineChars="0" w:firstLine="0"/>
              <w:jc w:val="center"/>
              <w:rPr>
                <w:kern w:val="2"/>
                <w:sz w:val="21"/>
                <w:szCs w:val="21"/>
              </w:rPr>
            </w:pPr>
          </w:p>
        </w:tc>
        <w:tc>
          <w:tcPr>
            <w:tcW w:w="324" w:type="pct"/>
            <w:vMerge/>
            <w:vAlign w:val="center"/>
          </w:tcPr>
          <w:p w14:paraId="4283D6E1" w14:textId="77777777" w:rsidR="003E78AB" w:rsidRDefault="003E78AB">
            <w:pPr>
              <w:spacing w:line="360" w:lineRule="exact"/>
              <w:ind w:firstLineChars="0" w:firstLine="0"/>
              <w:jc w:val="center"/>
              <w:rPr>
                <w:kern w:val="2"/>
                <w:sz w:val="21"/>
                <w:szCs w:val="21"/>
              </w:rPr>
            </w:pPr>
          </w:p>
        </w:tc>
        <w:tc>
          <w:tcPr>
            <w:tcW w:w="344" w:type="pct"/>
            <w:vMerge/>
            <w:vAlign w:val="center"/>
          </w:tcPr>
          <w:p w14:paraId="56D74862" w14:textId="77777777" w:rsidR="003E78AB" w:rsidRDefault="003E78AB">
            <w:pPr>
              <w:spacing w:line="360" w:lineRule="exact"/>
              <w:ind w:firstLineChars="0" w:firstLine="0"/>
              <w:jc w:val="center"/>
              <w:rPr>
                <w:kern w:val="2"/>
                <w:sz w:val="21"/>
                <w:szCs w:val="21"/>
              </w:rPr>
            </w:pPr>
          </w:p>
        </w:tc>
        <w:tc>
          <w:tcPr>
            <w:tcW w:w="372" w:type="pct"/>
            <w:vMerge/>
            <w:vAlign w:val="center"/>
          </w:tcPr>
          <w:p w14:paraId="1C00BEDB" w14:textId="77777777" w:rsidR="003E78AB" w:rsidRDefault="003E78AB">
            <w:pPr>
              <w:spacing w:line="360" w:lineRule="exact"/>
              <w:ind w:firstLineChars="0" w:firstLine="0"/>
              <w:jc w:val="center"/>
              <w:rPr>
                <w:kern w:val="2"/>
                <w:sz w:val="21"/>
                <w:szCs w:val="21"/>
              </w:rPr>
            </w:pPr>
          </w:p>
        </w:tc>
        <w:tc>
          <w:tcPr>
            <w:tcW w:w="256" w:type="pct"/>
            <w:vMerge/>
            <w:vAlign w:val="center"/>
          </w:tcPr>
          <w:p w14:paraId="63A69692" w14:textId="77777777" w:rsidR="003E78AB" w:rsidRDefault="003E78AB">
            <w:pPr>
              <w:spacing w:line="360" w:lineRule="exact"/>
              <w:ind w:firstLineChars="0" w:firstLine="0"/>
              <w:jc w:val="center"/>
              <w:rPr>
                <w:kern w:val="2"/>
                <w:sz w:val="21"/>
                <w:szCs w:val="21"/>
              </w:rPr>
            </w:pPr>
          </w:p>
        </w:tc>
        <w:tc>
          <w:tcPr>
            <w:tcW w:w="228" w:type="pct"/>
            <w:vMerge/>
            <w:vAlign w:val="center"/>
          </w:tcPr>
          <w:p w14:paraId="08EB5607" w14:textId="77777777" w:rsidR="003E78AB" w:rsidRDefault="003E78AB">
            <w:pPr>
              <w:spacing w:line="360" w:lineRule="exact"/>
              <w:ind w:firstLineChars="0" w:firstLine="0"/>
              <w:jc w:val="center"/>
              <w:rPr>
                <w:kern w:val="2"/>
                <w:sz w:val="21"/>
                <w:szCs w:val="21"/>
              </w:rPr>
            </w:pPr>
          </w:p>
        </w:tc>
        <w:tc>
          <w:tcPr>
            <w:tcW w:w="380" w:type="pct"/>
            <w:vAlign w:val="center"/>
          </w:tcPr>
          <w:p w14:paraId="47500F1A"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363" w:type="pct"/>
            <w:vAlign w:val="center"/>
          </w:tcPr>
          <w:p w14:paraId="65603A00" w14:textId="77777777" w:rsidR="003E78AB" w:rsidRDefault="00010BF9">
            <w:pPr>
              <w:spacing w:line="360" w:lineRule="exact"/>
              <w:ind w:firstLineChars="0" w:firstLine="0"/>
              <w:jc w:val="center"/>
              <w:textAlignment w:val="center"/>
              <w:rPr>
                <w:kern w:val="2"/>
                <w:sz w:val="21"/>
                <w:szCs w:val="21"/>
              </w:rPr>
            </w:pPr>
            <w:r>
              <w:rPr>
                <w:sz w:val="21"/>
                <w:szCs w:val="21"/>
                <w:lang w:bidi="ar"/>
              </w:rPr>
              <w:t>0.0718</w:t>
            </w:r>
          </w:p>
        </w:tc>
        <w:tc>
          <w:tcPr>
            <w:tcW w:w="383" w:type="pct"/>
            <w:vAlign w:val="center"/>
          </w:tcPr>
          <w:p w14:paraId="379DFEDF" w14:textId="77777777" w:rsidR="003E78AB" w:rsidRDefault="00010BF9">
            <w:pPr>
              <w:spacing w:line="360" w:lineRule="exact"/>
              <w:ind w:firstLineChars="0" w:firstLine="0"/>
              <w:jc w:val="center"/>
              <w:textAlignment w:val="center"/>
              <w:rPr>
                <w:kern w:val="2"/>
                <w:sz w:val="21"/>
                <w:szCs w:val="21"/>
              </w:rPr>
            </w:pPr>
            <w:r>
              <w:rPr>
                <w:sz w:val="21"/>
                <w:szCs w:val="21"/>
                <w:lang w:bidi="ar"/>
              </w:rPr>
              <w:t>4.36</w:t>
            </w:r>
          </w:p>
        </w:tc>
        <w:tc>
          <w:tcPr>
            <w:tcW w:w="331" w:type="pct"/>
            <w:vAlign w:val="center"/>
          </w:tcPr>
          <w:p w14:paraId="434787E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40</w:t>
            </w:r>
          </w:p>
        </w:tc>
        <w:tc>
          <w:tcPr>
            <w:tcW w:w="343" w:type="pct"/>
            <w:vAlign w:val="center"/>
          </w:tcPr>
          <w:p w14:paraId="2A3683E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4BA3A133" w14:textId="77777777">
        <w:trPr>
          <w:trHeight w:val="544"/>
          <w:jc w:val="center"/>
        </w:trPr>
        <w:tc>
          <w:tcPr>
            <w:tcW w:w="150" w:type="pct"/>
            <w:vMerge/>
            <w:vAlign w:val="center"/>
          </w:tcPr>
          <w:p w14:paraId="341B09F3" w14:textId="77777777" w:rsidR="003E78AB" w:rsidRDefault="003E78AB">
            <w:pPr>
              <w:spacing w:line="360" w:lineRule="exact"/>
              <w:ind w:firstLineChars="0" w:firstLine="0"/>
              <w:jc w:val="center"/>
              <w:rPr>
                <w:kern w:val="2"/>
                <w:sz w:val="21"/>
                <w:szCs w:val="21"/>
              </w:rPr>
            </w:pPr>
          </w:p>
        </w:tc>
        <w:tc>
          <w:tcPr>
            <w:tcW w:w="243" w:type="pct"/>
            <w:vMerge/>
            <w:vAlign w:val="center"/>
          </w:tcPr>
          <w:p w14:paraId="0C599149" w14:textId="77777777" w:rsidR="003E78AB" w:rsidRDefault="003E78AB">
            <w:pPr>
              <w:spacing w:line="360" w:lineRule="exact"/>
              <w:ind w:firstLineChars="0" w:firstLine="0"/>
              <w:jc w:val="center"/>
              <w:rPr>
                <w:kern w:val="2"/>
                <w:sz w:val="21"/>
                <w:szCs w:val="21"/>
              </w:rPr>
            </w:pPr>
          </w:p>
        </w:tc>
        <w:tc>
          <w:tcPr>
            <w:tcW w:w="556" w:type="pct"/>
            <w:vMerge/>
            <w:vAlign w:val="center"/>
          </w:tcPr>
          <w:p w14:paraId="63276779" w14:textId="77777777" w:rsidR="003E78AB" w:rsidRDefault="003E78AB">
            <w:pPr>
              <w:spacing w:line="360" w:lineRule="exact"/>
              <w:ind w:firstLineChars="0" w:firstLine="0"/>
              <w:jc w:val="center"/>
              <w:rPr>
                <w:kern w:val="2"/>
                <w:sz w:val="21"/>
                <w:szCs w:val="21"/>
              </w:rPr>
            </w:pPr>
          </w:p>
        </w:tc>
        <w:tc>
          <w:tcPr>
            <w:tcW w:w="337" w:type="pct"/>
            <w:vMerge/>
            <w:vAlign w:val="center"/>
          </w:tcPr>
          <w:p w14:paraId="79B97182" w14:textId="77777777" w:rsidR="003E78AB" w:rsidRDefault="003E78AB">
            <w:pPr>
              <w:spacing w:line="360" w:lineRule="exact"/>
              <w:ind w:firstLineChars="0" w:firstLine="0"/>
              <w:jc w:val="center"/>
              <w:rPr>
                <w:kern w:val="2"/>
                <w:sz w:val="21"/>
                <w:szCs w:val="21"/>
              </w:rPr>
            </w:pPr>
          </w:p>
        </w:tc>
        <w:tc>
          <w:tcPr>
            <w:tcW w:w="384" w:type="pct"/>
            <w:vMerge/>
            <w:vAlign w:val="center"/>
          </w:tcPr>
          <w:p w14:paraId="5A447F49" w14:textId="77777777" w:rsidR="003E78AB" w:rsidRDefault="003E78AB">
            <w:pPr>
              <w:spacing w:line="360" w:lineRule="exact"/>
              <w:ind w:firstLineChars="0" w:firstLine="0"/>
              <w:jc w:val="center"/>
              <w:rPr>
                <w:kern w:val="2"/>
                <w:sz w:val="21"/>
                <w:szCs w:val="21"/>
              </w:rPr>
            </w:pPr>
          </w:p>
        </w:tc>
        <w:tc>
          <w:tcPr>
            <w:tcW w:w="324" w:type="pct"/>
            <w:vMerge/>
            <w:vAlign w:val="center"/>
          </w:tcPr>
          <w:p w14:paraId="10D4057D" w14:textId="77777777" w:rsidR="003E78AB" w:rsidRDefault="003E78AB">
            <w:pPr>
              <w:spacing w:line="360" w:lineRule="exact"/>
              <w:ind w:firstLineChars="0" w:firstLine="0"/>
              <w:jc w:val="center"/>
              <w:rPr>
                <w:kern w:val="2"/>
                <w:sz w:val="21"/>
                <w:szCs w:val="21"/>
              </w:rPr>
            </w:pPr>
          </w:p>
        </w:tc>
        <w:tc>
          <w:tcPr>
            <w:tcW w:w="344" w:type="pct"/>
            <w:vMerge/>
            <w:vAlign w:val="center"/>
          </w:tcPr>
          <w:p w14:paraId="30E34A74" w14:textId="77777777" w:rsidR="003E78AB" w:rsidRDefault="003E78AB">
            <w:pPr>
              <w:spacing w:line="360" w:lineRule="exact"/>
              <w:ind w:firstLineChars="0" w:firstLine="0"/>
              <w:jc w:val="center"/>
              <w:rPr>
                <w:kern w:val="2"/>
                <w:sz w:val="21"/>
                <w:szCs w:val="21"/>
              </w:rPr>
            </w:pPr>
          </w:p>
        </w:tc>
        <w:tc>
          <w:tcPr>
            <w:tcW w:w="372" w:type="pct"/>
            <w:vMerge/>
            <w:vAlign w:val="center"/>
          </w:tcPr>
          <w:p w14:paraId="1AAC06E8" w14:textId="77777777" w:rsidR="003E78AB" w:rsidRDefault="003E78AB">
            <w:pPr>
              <w:spacing w:line="360" w:lineRule="exact"/>
              <w:ind w:firstLineChars="0" w:firstLine="0"/>
              <w:jc w:val="center"/>
              <w:rPr>
                <w:kern w:val="2"/>
                <w:sz w:val="21"/>
                <w:szCs w:val="21"/>
              </w:rPr>
            </w:pPr>
          </w:p>
        </w:tc>
        <w:tc>
          <w:tcPr>
            <w:tcW w:w="256" w:type="pct"/>
            <w:vMerge/>
            <w:vAlign w:val="center"/>
          </w:tcPr>
          <w:p w14:paraId="54919FB0" w14:textId="77777777" w:rsidR="003E78AB" w:rsidRDefault="003E78AB">
            <w:pPr>
              <w:spacing w:line="360" w:lineRule="exact"/>
              <w:ind w:firstLineChars="0" w:firstLine="0"/>
              <w:jc w:val="center"/>
              <w:rPr>
                <w:kern w:val="2"/>
                <w:sz w:val="21"/>
                <w:szCs w:val="21"/>
              </w:rPr>
            </w:pPr>
          </w:p>
        </w:tc>
        <w:tc>
          <w:tcPr>
            <w:tcW w:w="228" w:type="pct"/>
            <w:vMerge/>
            <w:vAlign w:val="center"/>
          </w:tcPr>
          <w:p w14:paraId="71A7FF9F" w14:textId="77777777" w:rsidR="003E78AB" w:rsidRDefault="003E78AB">
            <w:pPr>
              <w:spacing w:line="360" w:lineRule="exact"/>
              <w:ind w:firstLineChars="0" w:firstLine="0"/>
              <w:jc w:val="center"/>
              <w:rPr>
                <w:kern w:val="2"/>
                <w:sz w:val="21"/>
                <w:szCs w:val="21"/>
              </w:rPr>
            </w:pPr>
          </w:p>
        </w:tc>
        <w:tc>
          <w:tcPr>
            <w:tcW w:w="380" w:type="pct"/>
            <w:vAlign w:val="center"/>
          </w:tcPr>
          <w:p w14:paraId="55066B0D"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TN</w:t>
            </w:r>
          </w:p>
        </w:tc>
        <w:tc>
          <w:tcPr>
            <w:tcW w:w="363" w:type="pct"/>
            <w:vAlign w:val="center"/>
          </w:tcPr>
          <w:p w14:paraId="7245A7F6" w14:textId="77777777" w:rsidR="003E78AB" w:rsidRDefault="00010BF9">
            <w:pPr>
              <w:spacing w:line="360" w:lineRule="exact"/>
              <w:ind w:firstLineChars="0" w:firstLine="0"/>
              <w:jc w:val="center"/>
              <w:textAlignment w:val="center"/>
              <w:rPr>
                <w:kern w:val="2"/>
                <w:sz w:val="21"/>
                <w:szCs w:val="21"/>
              </w:rPr>
            </w:pPr>
            <w:r>
              <w:rPr>
                <w:sz w:val="21"/>
                <w:szCs w:val="21"/>
                <w:lang w:bidi="ar"/>
              </w:rPr>
              <w:t>0.1220</w:t>
            </w:r>
          </w:p>
        </w:tc>
        <w:tc>
          <w:tcPr>
            <w:tcW w:w="383" w:type="pct"/>
            <w:vAlign w:val="center"/>
          </w:tcPr>
          <w:p w14:paraId="75498B30" w14:textId="77777777" w:rsidR="003E78AB" w:rsidRDefault="00010BF9">
            <w:pPr>
              <w:spacing w:line="360" w:lineRule="exact"/>
              <w:ind w:firstLineChars="0" w:firstLine="0"/>
              <w:jc w:val="center"/>
              <w:textAlignment w:val="center"/>
              <w:rPr>
                <w:kern w:val="2"/>
                <w:sz w:val="21"/>
                <w:szCs w:val="21"/>
              </w:rPr>
            </w:pPr>
            <w:r>
              <w:rPr>
                <w:sz w:val="21"/>
                <w:szCs w:val="21"/>
                <w:lang w:bidi="ar"/>
              </w:rPr>
              <w:t>7.41</w:t>
            </w:r>
          </w:p>
        </w:tc>
        <w:tc>
          <w:tcPr>
            <w:tcW w:w="331" w:type="pct"/>
            <w:vAlign w:val="center"/>
          </w:tcPr>
          <w:p w14:paraId="216DB656"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60</w:t>
            </w:r>
          </w:p>
        </w:tc>
        <w:tc>
          <w:tcPr>
            <w:tcW w:w="343" w:type="pct"/>
            <w:vAlign w:val="center"/>
          </w:tcPr>
          <w:p w14:paraId="08F8CB8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795039B5" w14:textId="77777777">
        <w:trPr>
          <w:trHeight w:val="459"/>
          <w:jc w:val="center"/>
        </w:trPr>
        <w:tc>
          <w:tcPr>
            <w:tcW w:w="150" w:type="pct"/>
            <w:vMerge/>
            <w:vAlign w:val="center"/>
          </w:tcPr>
          <w:p w14:paraId="5F6C081A" w14:textId="77777777" w:rsidR="003E78AB" w:rsidRDefault="003E78AB">
            <w:pPr>
              <w:spacing w:line="360" w:lineRule="exact"/>
              <w:ind w:firstLineChars="0" w:firstLine="0"/>
              <w:jc w:val="center"/>
              <w:rPr>
                <w:kern w:val="2"/>
                <w:sz w:val="21"/>
                <w:szCs w:val="21"/>
              </w:rPr>
            </w:pPr>
          </w:p>
        </w:tc>
        <w:tc>
          <w:tcPr>
            <w:tcW w:w="243" w:type="pct"/>
            <w:vMerge/>
            <w:vAlign w:val="center"/>
          </w:tcPr>
          <w:p w14:paraId="4E7FC0D6" w14:textId="77777777" w:rsidR="003E78AB" w:rsidRDefault="003E78AB">
            <w:pPr>
              <w:spacing w:line="360" w:lineRule="exact"/>
              <w:ind w:firstLineChars="0" w:firstLine="0"/>
              <w:jc w:val="center"/>
              <w:rPr>
                <w:kern w:val="2"/>
                <w:sz w:val="21"/>
                <w:szCs w:val="21"/>
              </w:rPr>
            </w:pPr>
          </w:p>
        </w:tc>
        <w:tc>
          <w:tcPr>
            <w:tcW w:w="556" w:type="pct"/>
            <w:vMerge/>
            <w:vAlign w:val="center"/>
          </w:tcPr>
          <w:p w14:paraId="1615A118" w14:textId="77777777" w:rsidR="003E78AB" w:rsidRDefault="003E78AB">
            <w:pPr>
              <w:spacing w:line="360" w:lineRule="exact"/>
              <w:ind w:firstLineChars="0" w:firstLine="0"/>
              <w:jc w:val="center"/>
              <w:rPr>
                <w:kern w:val="2"/>
                <w:sz w:val="21"/>
                <w:szCs w:val="21"/>
              </w:rPr>
            </w:pPr>
          </w:p>
        </w:tc>
        <w:tc>
          <w:tcPr>
            <w:tcW w:w="337" w:type="pct"/>
            <w:vMerge/>
            <w:vAlign w:val="center"/>
          </w:tcPr>
          <w:p w14:paraId="56D1D6E8" w14:textId="77777777" w:rsidR="003E78AB" w:rsidRDefault="003E78AB">
            <w:pPr>
              <w:spacing w:line="360" w:lineRule="exact"/>
              <w:ind w:firstLineChars="0" w:firstLine="0"/>
              <w:jc w:val="center"/>
              <w:rPr>
                <w:kern w:val="2"/>
                <w:sz w:val="21"/>
                <w:szCs w:val="21"/>
              </w:rPr>
            </w:pPr>
          </w:p>
        </w:tc>
        <w:tc>
          <w:tcPr>
            <w:tcW w:w="384" w:type="pct"/>
            <w:vMerge/>
            <w:vAlign w:val="center"/>
          </w:tcPr>
          <w:p w14:paraId="4B2E5D2B" w14:textId="77777777" w:rsidR="003E78AB" w:rsidRDefault="003E78AB">
            <w:pPr>
              <w:spacing w:line="360" w:lineRule="exact"/>
              <w:ind w:firstLineChars="0" w:firstLine="0"/>
              <w:jc w:val="center"/>
              <w:rPr>
                <w:kern w:val="2"/>
                <w:sz w:val="21"/>
                <w:szCs w:val="21"/>
              </w:rPr>
            </w:pPr>
          </w:p>
        </w:tc>
        <w:tc>
          <w:tcPr>
            <w:tcW w:w="324" w:type="pct"/>
            <w:vMerge/>
            <w:vAlign w:val="center"/>
          </w:tcPr>
          <w:p w14:paraId="4CB9211F" w14:textId="77777777" w:rsidR="003E78AB" w:rsidRDefault="003E78AB">
            <w:pPr>
              <w:spacing w:line="360" w:lineRule="exact"/>
              <w:ind w:firstLineChars="0" w:firstLine="0"/>
              <w:jc w:val="center"/>
              <w:rPr>
                <w:kern w:val="2"/>
                <w:sz w:val="21"/>
                <w:szCs w:val="21"/>
              </w:rPr>
            </w:pPr>
          </w:p>
        </w:tc>
        <w:tc>
          <w:tcPr>
            <w:tcW w:w="344" w:type="pct"/>
            <w:vMerge/>
            <w:vAlign w:val="center"/>
          </w:tcPr>
          <w:p w14:paraId="75388EAE" w14:textId="77777777" w:rsidR="003E78AB" w:rsidRDefault="003E78AB">
            <w:pPr>
              <w:spacing w:line="360" w:lineRule="exact"/>
              <w:ind w:firstLineChars="0" w:firstLine="0"/>
              <w:jc w:val="center"/>
              <w:rPr>
                <w:kern w:val="2"/>
                <w:sz w:val="21"/>
                <w:szCs w:val="21"/>
              </w:rPr>
            </w:pPr>
          </w:p>
        </w:tc>
        <w:tc>
          <w:tcPr>
            <w:tcW w:w="372" w:type="pct"/>
            <w:vMerge/>
            <w:vAlign w:val="center"/>
          </w:tcPr>
          <w:p w14:paraId="15C6A30C" w14:textId="77777777" w:rsidR="003E78AB" w:rsidRDefault="003E78AB">
            <w:pPr>
              <w:spacing w:line="360" w:lineRule="exact"/>
              <w:ind w:firstLineChars="0" w:firstLine="0"/>
              <w:jc w:val="center"/>
              <w:rPr>
                <w:kern w:val="2"/>
                <w:sz w:val="21"/>
                <w:szCs w:val="21"/>
              </w:rPr>
            </w:pPr>
          </w:p>
        </w:tc>
        <w:tc>
          <w:tcPr>
            <w:tcW w:w="256" w:type="pct"/>
            <w:vMerge/>
            <w:vAlign w:val="center"/>
          </w:tcPr>
          <w:p w14:paraId="0069C454" w14:textId="77777777" w:rsidR="003E78AB" w:rsidRDefault="003E78AB">
            <w:pPr>
              <w:spacing w:line="360" w:lineRule="exact"/>
              <w:ind w:firstLineChars="0" w:firstLine="0"/>
              <w:jc w:val="center"/>
              <w:rPr>
                <w:kern w:val="2"/>
                <w:sz w:val="21"/>
                <w:szCs w:val="21"/>
              </w:rPr>
            </w:pPr>
          </w:p>
        </w:tc>
        <w:tc>
          <w:tcPr>
            <w:tcW w:w="228" w:type="pct"/>
            <w:vMerge/>
            <w:vAlign w:val="center"/>
          </w:tcPr>
          <w:p w14:paraId="749D6A22" w14:textId="77777777" w:rsidR="003E78AB" w:rsidRDefault="003E78AB">
            <w:pPr>
              <w:spacing w:line="360" w:lineRule="exact"/>
              <w:ind w:firstLineChars="0" w:firstLine="0"/>
              <w:jc w:val="center"/>
              <w:rPr>
                <w:kern w:val="2"/>
                <w:sz w:val="21"/>
                <w:szCs w:val="21"/>
              </w:rPr>
            </w:pPr>
          </w:p>
        </w:tc>
        <w:tc>
          <w:tcPr>
            <w:tcW w:w="380" w:type="pct"/>
            <w:vAlign w:val="center"/>
          </w:tcPr>
          <w:p w14:paraId="55FD8D38"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SS</w:t>
            </w:r>
          </w:p>
        </w:tc>
        <w:tc>
          <w:tcPr>
            <w:tcW w:w="363" w:type="pct"/>
            <w:shd w:val="clear" w:color="auto" w:fill="auto"/>
            <w:vAlign w:val="center"/>
          </w:tcPr>
          <w:p w14:paraId="7B1F70BC" w14:textId="77777777" w:rsidR="003E78AB" w:rsidRDefault="00010BF9">
            <w:pPr>
              <w:spacing w:line="360" w:lineRule="exact"/>
              <w:ind w:firstLineChars="0" w:firstLine="0"/>
              <w:jc w:val="center"/>
              <w:textAlignment w:val="center"/>
              <w:rPr>
                <w:sz w:val="21"/>
                <w:szCs w:val="21"/>
                <w:lang w:bidi="ar"/>
              </w:rPr>
            </w:pPr>
            <w:r>
              <w:rPr>
                <w:sz w:val="21"/>
                <w:szCs w:val="21"/>
                <w:lang w:bidi="ar"/>
              </w:rPr>
              <w:t>0.5901</w:t>
            </w:r>
          </w:p>
        </w:tc>
        <w:tc>
          <w:tcPr>
            <w:tcW w:w="383" w:type="pct"/>
            <w:shd w:val="clear" w:color="auto" w:fill="auto"/>
            <w:vAlign w:val="center"/>
          </w:tcPr>
          <w:p w14:paraId="0034E2DF" w14:textId="77777777" w:rsidR="003E78AB" w:rsidRDefault="00010BF9">
            <w:pPr>
              <w:spacing w:line="360" w:lineRule="exact"/>
              <w:ind w:firstLineChars="0" w:firstLine="0"/>
              <w:jc w:val="center"/>
              <w:textAlignment w:val="center"/>
              <w:rPr>
                <w:sz w:val="21"/>
                <w:szCs w:val="21"/>
                <w:lang w:bidi="ar"/>
              </w:rPr>
            </w:pPr>
            <w:r>
              <w:rPr>
                <w:sz w:val="21"/>
                <w:szCs w:val="21"/>
                <w:lang w:bidi="ar"/>
              </w:rPr>
              <w:t>35.83</w:t>
            </w:r>
          </w:p>
        </w:tc>
        <w:tc>
          <w:tcPr>
            <w:tcW w:w="331" w:type="pct"/>
            <w:vAlign w:val="center"/>
          </w:tcPr>
          <w:p w14:paraId="07F0412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100</w:t>
            </w:r>
          </w:p>
        </w:tc>
        <w:tc>
          <w:tcPr>
            <w:tcW w:w="343" w:type="pct"/>
            <w:vAlign w:val="center"/>
          </w:tcPr>
          <w:p w14:paraId="2701561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400</w:t>
            </w:r>
          </w:p>
        </w:tc>
      </w:tr>
      <w:tr w:rsidR="003E78AB" w14:paraId="7B0DB76F" w14:textId="77777777">
        <w:trPr>
          <w:trHeight w:val="95"/>
          <w:jc w:val="center"/>
        </w:trPr>
        <w:tc>
          <w:tcPr>
            <w:tcW w:w="150" w:type="pct"/>
            <w:vMerge/>
            <w:vAlign w:val="center"/>
          </w:tcPr>
          <w:p w14:paraId="15C2E0C3" w14:textId="77777777" w:rsidR="003E78AB" w:rsidRDefault="003E78AB">
            <w:pPr>
              <w:spacing w:line="360" w:lineRule="exact"/>
              <w:ind w:firstLineChars="0" w:firstLine="0"/>
              <w:jc w:val="center"/>
              <w:rPr>
                <w:kern w:val="2"/>
                <w:sz w:val="21"/>
                <w:szCs w:val="21"/>
              </w:rPr>
            </w:pPr>
          </w:p>
        </w:tc>
        <w:tc>
          <w:tcPr>
            <w:tcW w:w="243" w:type="pct"/>
            <w:vMerge/>
            <w:vAlign w:val="center"/>
          </w:tcPr>
          <w:p w14:paraId="7035486B" w14:textId="77777777" w:rsidR="003E78AB" w:rsidRDefault="003E78AB">
            <w:pPr>
              <w:spacing w:line="360" w:lineRule="exact"/>
              <w:ind w:firstLineChars="0" w:firstLine="0"/>
              <w:jc w:val="center"/>
              <w:rPr>
                <w:kern w:val="2"/>
                <w:sz w:val="21"/>
                <w:szCs w:val="21"/>
              </w:rPr>
            </w:pPr>
          </w:p>
        </w:tc>
        <w:tc>
          <w:tcPr>
            <w:tcW w:w="556" w:type="pct"/>
            <w:vMerge/>
            <w:vAlign w:val="center"/>
          </w:tcPr>
          <w:p w14:paraId="472817D3" w14:textId="77777777" w:rsidR="003E78AB" w:rsidRDefault="003E78AB">
            <w:pPr>
              <w:spacing w:line="360" w:lineRule="exact"/>
              <w:ind w:firstLineChars="0" w:firstLine="0"/>
              <w:jc w:val="center"/>
              <w:rPr>
                <w:kern w:val="2"/>
                <w:sz w:val="21"/>
                <w:szCs w:val="21"/>
              </w:rPr>
            </w:pPr>
          </w:p>
        </w:tc>
        <w:tc>
          <w:tcPr>
            <w:tcW w:w="337" w:type="pct"/>
            <w:vMerge/>
            <w:vAlign w:val="center"/>
          </w:tcPr>
          <w:p w14:paraId="6826C34E" w14:textId="77777777" w:rsidR="003E78AB" w:rsidRDefault="003E78AB">
            <w:pPr>
              <w:spacing w:line="360" w:lineRule="exact"/>
              <w:ind w:firstLineChars="0" w:firstLine="0"/>
              <w:jc w:val="center"/>
              <w:rPr>
                <w:kern w:val="2"/>
                <w:sz w:val="21"/>
                <w:szCs w:val="21"/>
              </w:rPr>
            </w:pPr>
          </w:p>
        </w:tc>
        <w:tc>
          <w:tcPr>
            <w:tcW w:w="384" w:type="pct"/>
            <w:vMerge/>
            <w:vAlign w:val="center"/>
          </w:tcPr>
          <w:p w14:paraId="321F7661" w14:textId="77777777" w:rsidR="003E78AB" w:rsidRDefault="003E78AB">
            <w:pPr>
              <w:spacing w:line="360" w:lineRule="exact"/>
              <w:ind w:firstLineChars="0" w:firstLine="0"/>
              <w:jc w:val="center"/>
              <w:rPr>
                <w:kern w:val="2"/>
                <w:sz w:val="21"/>
                <w:szCs w:val="21"/>
              </w:rPr>
            </w:pPr>
          </w:p>
        </w:tc>
        <w:tc>
          <w:tcPr>
            <w:tcW w:w="324" w:type="pct"/>
            <w:vMerge/>
            <w:vAlign w:val="center"/>
          </w:tcPr>
          <w:p w14:paraId="7C0D486B" w14:textId="77777777" w:rsidR="003E78AB" w:rsidRDefault="003E78AB">
            <w:pPr>
              <w:spacing w:line="360" w:lineRule="exact"/>
              <w:ind w:firstLineChars="0" w:firstLine="0"/>
              <w:jc w:val="center"/>
              <w:rPr>
                <w:kern w:val="2"/>
                <w:sz w:val="21"/>
                <w:szCs w:val="21"/>
              </w:rPr>
            </w:pPr>
          </w:p>
        </w:tc>
        <w:tc>
          <w:tcPr>
            <w:tcW w:w="344" w:type="pct"/>
            <w:vMerge/>
            <w:vAlign w:val="center"/>
          </w:tcPr>
          <w:p w14:paraId="24A02144" w14:textId="77777777" w:rsidR="003E78AB" w:rsidRDefault="003E78AB">
            <w:pPr>
              <w:spacing w:line="360" w:lineRule="exact"/>
              <w:ind w:firstLineChars="0" w:firstLine="0"/>
              <w:jc w:val="center"/>
              <w:rPr>
                <w:kern w:val="2"/>
                <w:sz w:val="21"/>
                <w:szCs w:val="21"/>
              </w:rPr>
            </w:pPr>
          </w:p>
        </w:tc>
        <w:tc>
          <w:tcPr>
            <w:tcW w:w="372" w:type="pct"/>
            <w:vMerge/>
            <w:vAlign w:val="center"/>
          </w:tcPr>
          <w:p w14:paraId="2E28F2DD" w14:textId="77777777" w:rsidR="003E78AB" w:rsidRDefault="003E78AB">
            <w:pPr>
              <w:spacing w:line="360" w:lineRule="exact"/>
              <w:ind w:firstLineChars="0" w:firstLine="0"/>
              <w:jc w:val="center"/>
              <w:rPr>
                <w:kern w:val="2"/>
                <w:sz w:val="21"/>
                <w:szCs w:val="21"/>
              </w:rPr>
            </w:pPr>
          </w:p>
        </w:tc>
        <w:tc>
          <w:tcPr>
            <w:tcW w:w="256" w:type="pct"/>
            <w:vMerge/>
            <w:vAlign w:val="center"/>
          </w:tcPr>
          <w:p w14:paraId="73F9D4DC" w14:textId="77777777" w:rsidR="003E78AB" w:rsidRDefault="003E78AB">
            <w:pPr>
              <w:spacing w:line="360" w:lineRule="exact"/>
              <w:ind w:firstLineChars="0" w:firstLine="0"/>
              <w:jc w:val="center"/>
              <w:rPr>
                <w:kern w:val="2"/>
                <w:sz w:val="21"/>
                <w:szCs w:val="21"/>
              </w:rPr>
            </w:pPr>
          </w:p>
        </w:tc>
        <w:tc>
          <w:tcPr>
            <w:tcW w:w="228" w:type="pct"/>
            <w:vMerge/>
            <w:vAlign w:val="center"/>
          </w:tcPr>
          <w:p w14:paraId="5267EE30"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7829816C" w14:textId="77777777" w:rsidR="003E78AB" w:rsidRDefault="00010BF9">
            <w:pPr>
              <w:spacing w:line="360" w:lineRule="exact"/>
              <w:ind w:firstLineChars="0" w:firstLine="0"/>
              <w:jc w:val="center"/>
              <w:textAlignment w:val="center"/>
              <w:rPr>
                <w:kern w:val="2"/>
                <w:sz w:val="21"/>
                <w:szCs w:val="21"/>
              </w:rPr>
            </w:pPr>
            <w:r>
              <w:rPr>
                <w:sz w:val="21"/>
                <w:szCs w:val="21"/>
                <w:lang w:bidi="ar"/>
              </w:rPr>
              <w:t>BOD</w:t>
            </w:r>
            <w:r>
              <w:rPr>
                <w:sz w:val="21"/>
                <w:szCs w:val="21"/>
                <w:vertAlign w:val="subscript"/>
                <w:lang w:bidi="ar"/>
              </w:rPr>
              <w:t>5</w:t>
            </w:r>
          </w:p>
        </w:tc>
        <w:tc>
          <w:tcPr>
            <w:tcW w:w="363" w:type="pct"/>
            <w:shd w:val="clear" w:color="auto" w:fill="auto"/>
            <w:vAlign w:val="center"/>
          </w:tcPr>
          <w:p w14:paraId="6B571234" w14:textId="77777777" w:rsidR="003E78AB" w:rsidRDefault="00010BF9">
            <w:pPr>
              <w:spacing w:line="360" w:lineRule="exact"/>
              <w:ind w:firstLineChars="0" w:firstLine="0"/>
              <w:jc w:val="center"/>
              <w:textAlignment w:val="center"/>
              <w:rPr>
                <w:kern w:val="2"/>
                <w:sz w:val="21"/>
                <w:szCs w:val="21"/>
              </w:rPr>
            </w:pPr>
            <w:r>
              <w:rPr>
                <w:sz w:val="21"/>
                <w:szCs w:val="21"/>
                <w:lang w:bidi="ar"/>
              </w:rPr>
              <w:t>0.4219</w:t>
            </w:r>
          </w:p>
        </w:tc>
        <w:tc>
          <w:tcPr>
            <w:tcW w:w="383" w:type="pct"/>
            <w:shd w:val="clear" w:color="auto" w:fill="auto"/>
            <w:vAlign w:val="center"/>
          </w:tcPr>
          <w:p w14:paraId="06624C68" w14:textId="77777777" w:rsidR="003E78AB" w:rsidRDefault="00010BF9">
            <w:pPr>
              <w:spacing w:line="360" w:lineRule="exact"/>
              <w:ind w:firstLineChars="0" w:firstLine="0"/>
              <w:jc w:val="center"/>
              <w:textAlignment w:val="center"/>
              <w:rPr>
                <w:kern w:val="2"/>
                <w:sz w:val="21"/>
                <w:szCs w:val="21"/>
              </w:rPr>
            </w:pPr>
            <w:r>
              <w:rPr>
                <w:sz w:val="21"/>
                <w:szCs w:val="21"/>
                <w:lang w:bidi="ar"/>
              </w:rPr>
              <w:t>25.62</w:t>
            </w:r>
          </w:p>
        </w:tc>
        <w:tc>
          <w:tcPr>
            <w:tcW w:w="331" w:type="pct"/>
            <w:vAlign w:val="center"/>
          </w:tcPr>
          <w:p w14:paraId="0419DA7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6EDEF94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300</w:t>
            </w:r>
          </w:p>
        </w:tc>
      </w:tr>
      <w:tr w:rsidR="003E78AB" w14:paraId="7947C9D7" w14:textId="77777777">
        <w:trPr>
          <w:trHeight w:val="544"/>
          <w:jc w:val="center"/>
        </w:trPr>
        <w:tc>
          <w:tcPr>
            <w:tcW w:w="150" w:type="pct"/>
            <w:vMerge/>
            <w:vAlign w:val="center"/>
          </w:tcPr>
          <w:p w14:paraId="584328C4" w14:textId="77777777" w:rsidR="003E78AB" w:rsidRDefault="003E78AB">
            <w:pPr>
              <w:spacing w:line="360" w:lineRule="exact"/>
              <w:ind w:firstLineChars="0" w:firstLine="0"/>
              <w:jc w:val="center"/>
              <w:rPr>
                <w:kern w:val="2"/>
                <w:sz w:val="21"/>
                <w:szCs w:val="21"/>
              </w:rPr>
            </w:pPr>
          </w:p>
        </w:tc>
        <w:tc>
          <w:tcPr>
            <w:tcW w:w="243" w:type="pct"/>
            <w:vMerge/>
            <w:vAlign w:val="center"/>
          </w:tcPr>
          <w:p w14:paraId="237FC265" w14:textId="77777777" w:rsidR="003E78AB" w:rsidRDefault="003E78AB">
            <w:pPr>
              <w:spacing w:line="360" w:lineRule="exact"/>
              <w:ind w:firstLineChars="0" w:firstLine="0"/>
              <w:jc w:val="center"/>
              <w:rPr>
                <w:kern w:val="2"/>
                <w:sz w:val="21"/>
                <w:szCs w:val="21"/>
              </w:rPr>
            </w:pPr>
          </w:p>
        </w:tc>
        <w:tc>
          <w:tcPr>
            <w:tcW w:w="556" w:type="pct"/>
            <w:vMerge/>
            <w:vAlign w:val="center"/>
          </w:tcPr>
          <w:p w14:paraId="77515256" w14:textId="77777777" w:rsidR="003E78AB" w:rsidRDefault="003E78AB">
            <w:pPr>
              <w:spacing w:line="360" w:lineRule="exact"/>
              <w:ind w:firstLineChars="0" w:firstLine="0"/>
              <w:jc w:val="center"/>
              <w:rPr>
                <w:kern w:val="2"/>
                <w:sz w:val="21"/>
                <w:szCs w:val="21"/>
              </w:rPr>
            </w:pPr>
          </w:p>
        </w:tc>
        <w:tc>
          <w:tcPr>
            <w:tcW w:w="337" w:type="pct"/>
            <w:vMerge/>
            <w:vAlign w:val="center"/>
          </w:tcPr>
          <w:p w14:paraId="05D0AF8C" w14:textId="77777777" w:rsidR="003E78AB" w:rsidRDefault="003E78AB">
            <w:pPr>
              <w:spacing w:line="360" w:lineRule="exact"/>
              <w:ind w:firstLineChars="0" w:firstLine="0"/>
              <w:jc w:val="center"/>
              <w:rPr>
                <w:kern w:val="2"/>
                <w:sz w:val="21"/>
                <w:szCs w:val="21"/>
              </w:rPr>
            </w:pPr>
          </w:p>
        </w:tc>
        <w:tc>
          <w:tcPr>
            <w:tcW w:w="384" w:type="pct"/>
            <w:vMerge/>
            <w:vAlign w:val="center"/>
          </w:tcPr>
          <w:p w14:paraId="31EB3C8A" w14:textId="77777777" w:rsidR="003E78AB" w:rsidRDefault="003E78AB">
            <w:pPr>
              <w:spacing w:line="360" w:lineRule="exact"/>
              <w:ind w:firstLineChars="0" w:firstLine="0"/>
              <w:jc w:val="center"/>
              <w:rPr>
                <w:kern w:val="2"/>
                <w:sz w:val="21"/>
                <w:szCs w:val="21"/>
              </w:rPr>
            </w:pPr>
          </w:p>
        </w:tc>
        <w:tc>
          <w:tcPr>
            <w:tcW w:w="324" w:type="pct"/>
            <w:vMerge w:val="restart"/>
            <w:vAlign w:val="center"/>
          </w:tcPr>
          <w:p w14:paraId="287E5A31" w14:textId="77777777" w:rsidR="003E78AB" w:rsidRDefault="00010BF9">
            <w:pPr>
              <w:spacing w:line="360" w:lineRule="exact"/>
              <w:ind w:firstLineChars="0" w:firstLine="0"/>
              <w:jc w:val="center"/>
              <w:rPr>
                <w:kern w:val="2"/>
                <w:sz w:val="21"/>
                <w:szCs w:val="21"/>
              </w:rPr>
            </w:pPr>
            <w:r>
              <w:rPr>
                <w:rFonts w:hint="eastAsia"/>
                <w:kern w:val="2"/>
                <w:sz w:val="21"/>
                <w:szCs w:val="21"/>
              </w:rPr>
              <w:t>TW003</w:t>
            </w:r>
          </w:p>
        </w:tc>
        <w:tc>
          <w:tcPr>
            <w:tcW w:w="344" w:type="pct"/>
            <w:vMerge w:val="restart"/>
            <w:vAlign w:val="center"/>
          </w:tcPr>
          <w:p w14:paraId="1256DE66" w14:textId="77777777" w:rsidR="003E78AB" w:rsidRDefault="00010BF9">
            <w:pPr>
              <w:spacing w:line="360" w:lineRule="exact"/>
              <w:ind w:firstLineChars="0" w:firstLine="0"/>
              <w:jc w:val="center"/>
              <w:rPr>
                <w:kern w:val="2"/>
                <w:sz w:val="21"/>
                <w:szCs w:val="21"/>
              </w:rPr>
            </w:pPr>
            <w:r>
              <w:rPr>
                <w:rFonts w:hint="eastAsia"/>
                <w:kern w:val="2"/>
                <w:sz w:val="21"/>
                <w:szCs w:val="21"/>
              </w:rPr>
              <w:t>隔油</w:t>
            </w:r>
            <w:r>
              <w:rPr>
                <w:rFonts w:hint="eastAsia"/>
                <w:kern w:val="2"/>
                <w:sz w:val="21"/>
                <w:szCs w:val="21"/>
              </w:rPr>
              <w:t>+</w:t>
            </w:r>
            <w:r>
              <w:rPr>
                <w:rFonts w:hint="eastAsia"/>
                <w:kern w:val="2"/>
                <w:sz w:val="21"/>
                <w:szCs w:val="21"/>
              </w:rPr>
              <w:t>化粪池</w:t>
            </w:r>
          </w:p>
        </w:tc>
        <w:tc>
          <w:tcPr>
            <w:tcW w:w="372" w:type="pct"/>
            <w:vMerge w:val="restart"/>
            <w:vAlign w:val="center"/>
          </w:tcPr>
          <w:p w14:paraId="299EA54E" w14:textId="77777777" w:rsidR="003E78AB" w:rsidRDefault="00010BF9">
            <w:pPr>
              <w:spacing w:line="360" w:lineRule="exact"/>
              <w:ind w:firstLineChars="0" w:firstLine="0"/>
              <w:jc w:val="center"/>
              <w:rPr>
                <w:kern w:val="2"/>
                <w:sz w:val="21"/>
                <w:szCs w:val="21"/>
              </w:rPr>
            </w:pPr>
            <w:r>
              <w:rPr>
                <w:rFonts w:hint="eastAsia"/>
                <w:kern w:val="2"/>
                <w:sz w:val="21"/>
                <w:szCs w:val="21"/>
              </w:rPr>
              <w:t>沉淀</w:t>
            </w:r>
          </w:p>
        </w:tc>
        <w:tc>
          <w:tcPr>
            <w:tcW w:w="256" w:type="pct"/>
            <w:vMerge/>
            <w:vAlign w:val="center"/>
          </w:tcPr>
          <w:p w14:paraId="4638684B" w14:textId="77777777" w:rsidR="003E78AB" w:rsidRDefault="003E78AB">
            <w:pPr>
              <w:spacing w:line="360" w:lineRule="exact"/>
              <w:ind w:firstLineChars="0" w:firstLine="0"/>
              <w:jc w:val="center"/>
              <w:rPr>
                <w:kern w:val="2"/>
                <w:sz w:val="21"/>
                <w:szCs w:val="21"/>
              </w:rPr>
            </w:pPr>
          </w:p>
        </w:tc>
        <w:tc>
          <w:tcPr>
            <w:tcW w:w="228" w:type="pct"/>
            <w:vMerge/>
            <w:vAlign w:val="center"/>
          </w:tcPr>
          <w:p w14:paraId="7D05DF9B"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65603FC2" w14:textId="77777777" w:rsidR="003E78AB" w:rsidRDefault="00010BF9">
            <w:pPr>
              <w:spacing w:line="360" w:lineRule="exact"/>
              <w:ind w:firstLineChars="0" w:firstLine="0"/>
              <w:jc w:val="center"/>
              <w:textAlignment w:val="center"/>
              <w:rPr>
                <w:kern w:val="2"/>
                <w:sz w:val="21"/>
                <w:szCs w:val="21"/>
              </w:rPr>
            </w:pPr>
            <w:r>
              <w:rPr>
                <w:sz w:val="21"/>
                <w:szCs w:val="21"/>
                <w:lang w:bidi="ar"/>
              </w:rPr>
              <w:t>TP</w:t>
            </w:r>
          </w:p>
        </w:tc>
        <w:tc>
          <w:tcPr>
            <w:tcW w:w="363" w:type="pct"/>
            <w:vAlign w:val="center"/>
          </w:tcPr>
          <w:p w14:paraId="387AD875" w14:textId="77777777" w:rsidR="003E78AB" w:rsidRDefault="00010BF9">
            <w:pPr>
              <w:spacing w:line="360" w:lineRule="exact"/>
              <w:ind w:firstLineChars="0" w:firstLine="0"/>
              <w:jc w:val="center"/>
              <w:textAlignment w:val="center"/>
              <w:rPr>
                <w:kern w:val="2"/>
                <w:sz w:val="21"/>
                <w:szCs w:val="21"/>
              </w:rPr>
            </w:pPr>
            <w:r>
              <w:rPr>
                <w:sz w:val="21"/>
                <w:szCs w:val="21"/>
                <w:lang w:bidi="ar"/>
              </w:rPr>
              <w:t>0.0196</w:t>
            </w:r>
          </w:p>
        </w:tc>
        <w:tc>
          <w:tcPr>
            <w:tcW w:w="383" w:type="pct"/>
            <w:vAlign w:val="center"/>
          </w:tcPr>
          <w:p w14:paraId="5BCED852" w14:textId="77777777" w:rsidR="003E78AB" w:rsidRDefault="00010BF9">
            <w:pPr>
              <w:spacing w:line="360" w:lineRule="exact"/>
              <w:ind w:firstLineChars="0" w:firstLine="0"/>
              <w:jc w:val="center"/>
              <w:textAlignment w:val="center"/>
              <w:rPr>
                <w:kern w:val="2"/>
                <w:sz w:val="21"/>
                <w:szCs w:val="21"/>
              </w:rPr>
            </w:pPr>
            <w:r>
              <w:rPr>
                <w:sz w:val="21"/>
                <w:szCs w:val="21"/>
                <w:lang w:bidi="ar"/>
              </w:rPr>
              <w:t>1.19</w:t>
            </w:r>
          </w:p>
        </w:tc>
        <w:tc>
          <w:tcPr>
            <w:tcW w:w="331" w:type="pct"/>
            <w:vAlign w:val="center"/>
          </w:tcPr>
          <w:p w14:paraId="294D972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w:t>
            </w:r>
          </w:p>
        </w:tc>
        <w:tc>
          <w:tcPr>
            <w:tcW w:w="343" w:type="pct"/>
            <w:vAlign w:val="center"/>
          </w:tcPr>
          <w:p w14:paraId="20ABC8E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1BD7FC5B" w14:textId="77777777">
        <w:trPr>
          <w:trHeight w:val="544"/>
          <w:jc w:val="center"/>
        </w:trPr>
        <w:tc>
          <w:tcPr>
            <w:tcW w:w="150" w:type="pct"/>
            <w:vMerge/>
            <w:vAlign w:val="center"/>
          </w:tcPr>
          <w:p w14:paraId="52174194" w14:textId="77777777" w:rsidR="003E78AB" w:rsidRDefault="003E78AB">
            <w:pPr>
              <w:spacing w:line="360" w:lineRule="exact"/>
              <w:ind w:firstLineChars="0" w:firstLine="0"/>
              <w:jc w:val="center"/>
              <w:rPr>
                <w:kern w:val="2"/>
                <w:sz w:val="21"/>
                <w:szCs w:val="21"/>
              </w:rPr>
            </w:pPr>
          </w:p>
        </w:tc>
        <w:tc>
          <w:tcPr>
            <w:tcW w:w="243" w:type="pct"/>
            <w:vMerge/>
            <w:vAlign w:val="center"/>
          </w:tcPr>
          <w:p w14:paraId="613BA9FF" w14:textId="77777777" w:rsidR="003E78AB" w:rsidRDefault="003E78AB">
            <w:pPr>
              <w:spacing w:line="360" w:lineRule="exact"/>
              <w:ind w:firstLineChars="0" w:firstLine="0"/>
              <w:jc w:val="center"/>
              <w:rPr>
                <w:kern w:val="2"/>
                <w:sz w:val="21"/>
                <w:szCs w:val="21"/>
              </w:rPr>
            </w:pPr>
          </w:p>
        </w:tc>
        <w:tc>
          <w:tcPr>
            <w:tcW w:w="556" w:type="pct"/>
            <w:vMerge/>
            <w:vAlign w:val="center"/>
          </w:tcPr>
          <w:p w14:paraId="48F596AB" w14:textId="77777777" w:rsidR="003E78AB" w:rsidRDefault="003E78AB">
            <w:pPr>
              <w:spacing w:line="360" w:lineRule="exact"/>
              <w:ind w:firstLineChars="0" w:firstLine="0"/>
              <w:jc w:val="center"/>
              <w:rPr>
                <w:kern w:val="2"/>
                <w:sz w:val="21"/>
                <w:szCs w:val="21"/>
              </w:rPr>
            </w:pPr>
          </w:p>
        </w:tc>
        <w:tc>
          <w:tcPr>
            <w:tcW w:w="337" w:type="pct"/>
            <w:vMerge/>
            <w:vAlign w:val="center"/>
          </w:tcPr>
          <w:p w14:paraId="10A201B4" w14:textId="77777777" w:rsidR="003E78AB" w:rsidRDefault="003E78AB">
            <w:pPr>
              <w:spacing w:line="360" w:lineRule="exact"/>
              <w:ind w:firstLineChars="0" w:firstLine="0"/>
              <w:jc w:val="center"/>
              <w:rPr>
                <w:kern w:val="2"/>
                <w:sz w:val="21"/>
                <w:szCs w:val="21"/>
              </w:rPr>
            </w:pPr>
          </w:p>
        </w:tc>
        <w:tc>
          <w:tcPr>
            <w:tcW w:w="384" w:type="pct"/>
            <w:vMerge/>
            <w:vAlign w:val="center"/>
          </w:tcPr>
          <w:p w14:paraId="3228193A" w14:textId="77777777" w:rsidR="003E78AB" w:rsidRDefault="003E78AB">
            <w:pPr>
              <w:spacing w:line="360" w:lineRule="exact"/>
              <w:ind w:firstLineChars="0" w:firstLine="0"/>
              <w:jc w:val="center"/>
              <w:rPr>
                <w:kern w:val="2"/>
                <w:sz w:val="21"/>
                <w:szCs w:val="21"/>
              </w:rPr>
            </w:pPr>
          </w:p>
        </w:tc>
        <w:tc>
          <w:tcPr>
            <w:tcW w:w="324" w:type="pct"/>
            <w:vMerge/>
            <w:vAlign w:val="center"/>
          </w:tcPr>
          <w:p w14:paraId="475CA0CF" w14:textId="77777777" w:rsidR="003E78AB" w:rsidRDefault="003E78AB">
            <w:pPr>
              <w:spacing w:line="360" w:lineRule="exact"/>
              <w:ind w:firstLineChars="0" w:firstLine="0"/>
              <w:jc w:val="center"/>
              <w:rPr>
                <w:kern w:val="2"/>
                <w:sz w:val="21"/>
                <w:szCs w:val="21"/>
              </w:rPr>
            </w:pPr>
          </w:p>
        </w:tc>
        <w:tc>
          <w:tcPr>
            <w:tcW w:w="344" w:type="pct"/>
            <w:vMerge/>
            <w:vAlign w:val="center"/>
          </w:tcPr>
          <w:p w14:paraId="4791FDC4" w14:textId="77777777" w:rsidR="003E78AB" w:rsidRDefault="003E78AB">
            <w:pPr>
              <w:spacing w:line="360" w:lineRule="exact"/>
              <w:ind w:firstLineChars="0" w:firstLine="0"/>
              <w:jc w:val="center"/>
              <w:rPr>
                <w:kern w:val="2"/>
                <w:sz w:val="21"/>
                <w:szCs w:val="21"/>
              </w:rPr>
            </w:pPr>
          </w:p>
        </w:tc>
        <w:tc>
          <w:tcPr>
            <w:tcW w:w="372" w:type="pct"/>
            <w:vMerge/>
            <w:vAlign w:val="center"/>
          </w:tcPr>
          <w:p w14:paraId="46C11681" w14:textId="77777777" w:rsidR="003E78AB" w:rsidRDefault="003E78AB">
            <w:pPr>
              <w:spacing w:line="360" w:lineRule="exact"/>
              <w:ind w:firstLineChars="0" w:firstLine="0"/>
              <w:jc w:val="center"/>
              <w:rPr>
                <w:kern w:val="2"/>
                <w:sz w:val="21"/>
                <w:szCs w:val="21"/>
              </w:rPr>
            </w:pPr>
          </w:p>
        </w:tc>
        <w:tc>
          <w:tcPr>
            <w:tcW w:w="256" w:type="pct"/>
            <w:vMerge/>
            <w:vAlign w:val="center"/>
          </w:tcPr>
          <w:p w14:paraId="78892595" w14:textId="77777777" w:rsidR="003E78AB" w:rsidRDefault="003E78AB">
            <w:pPr>
              <w:spacing w:line="360" w:lineRule="exact"/>
              <w:ind w:firstLineChars="0" w:firstLine="0"/>
              <w:jc w:val="center"/>
              <w:rPr>
                <w:kern w:val="2"/>
                <w:sz w:val="21"/>
                <w:szCs w:val="21"/>
              </w:rPr>
            </w:pPr>
          </w:p>
        </w:tc>
        <w:tc>
          <w:tcPr>
            <w:tcW w:w="228" w:type="pct"/>
            <w:vMerge/>
            <w:vAlign w:val="center"/>
          </w:tcPr>
          <w:p w14:paraId="4073B359"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31B43EAA"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含盐量</w:t>
            </w:r>
          </w:p>
        </w:tc>
        <w:tc>
          <w:tcPr>
            <w:tcW w:w="363" w:type="pct"/>
            <w:shd w:val="clear" w:color="auto" w:fill="auto"/>
            <w:vAlign w:val="center"/>
          </w:tcPr>
          <w:p w14:paraId="6AD4D7B9" w14:textId="77777777" w:rsidR="003E78AB" w:rsidRDefault="00010BF9">
            <w:pPr>
              <w:spacing w:line="360" w:lineRule="exact"/>
              <w:ind w:firstLineChars="0" w:firstLine="0"/>
              <w:jc w:val="center"/>
              <w:textAlignment w:val="center"/>
              <w:rPr>
                <w:sz w:val="21"/>
                <w:szCs w:val="21"/>
                <w:lang w:bidi="ar"/>
              </w:rPr>
            </w:pPr>
            <w:r>
              <w:rPr>
                <w:sz w:val="21"/>
                <w:szCs w:val="21"/>
                <w:lang w:bidi="ar"/>
              </w:rPr>
              <w:t>13.7757</w:t>
            </w:r>
          </w:p>
        </w:tc>
        <w:tc>
          <w:tcPr>
            <w:tcW w:w="383" w:type="pct"/>
            <w:shd w:val="clear" w:color="auto" w:fill="auto"/>
            <w:vAlign w:val="center"/>
          </w:tcPr>
          <w:p w14:paraId="0264B77E" w14:textId="77777777" w:rsidR="003E78AB" w:rsidRDefault="00010BF9">
            <w:pPr>
              <w:spacing w:line="360" w:lineRule="exact"/>
              <w:ind w:firstLineChars="0" w:firstLine="0"/>
              <w:jc w:val="center"/>
              <w:textAlignment w:val="center"/>
              <w:rPr>
                <w:sz w:val="21"/>
                <w:szCs w:val="21"/>
                <w:lang w:bidi="ar"/>
              </w:rPr>
            </w:pPr>
            <w:r>
              <w:rPr>
                <w:sz w:val="21"/>
                <w:szCs w:val="21"/>
                <w:lang w:bidi="ar"/>
              </w:rPr>
              <w:t>836.49</w:t>
            </w:r>
          </w:p>
        </w:tc>
        <w:tc>
          <w:tcPr>
            <w:tcW w:w="331" w:type="pct"/>
            <w:vAlign w:val="center"/>
          </w:tcPr>
          <w:p w14:paraId="6CE003CF"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68FF0E64"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192E7797" w14:textId="77777777">
        <w:trPr>
          <w:trHeight w:val="495"/>
          <w:jc w:val="center"/>
        </w:trPr>
        <w:tc>
          <w:tcPr>
            <w:tcW w:w="150" w:type="pct"/>
            <w:vMerge/>
            <w:vAlign w:val="center"/>
          </w:tcPr>
          <w:p w14:paraId="47F8E35C" w14:textId="77777777" w:rsidR="003E78AB" w:rsidRDefault="003E78AB">
            <w:pPr>
              <w:spacing w:line="360" w:lineRule="exact"/>
              <w:ind w:firstLineChars="0" w:firstLine="0"/>
              <w:jc w:val="center"/>
              <w:rPr>
                <w:kern w:val="2"/>
                <w:sz w:val="21"/>
                <w:szCs w:val="21"/>
              </w:rPr>
            </w:pPr>
          </w:p>
        </w:tc>
        <w:tc>
          <w:tcPr>
            <w:tcW w:w="243" w:type="pct"/>
            <w:vMerge/>
            <w:vAlign w:val="center"/>
          </w:tcPr>
          <w:p w14:paraId="32371205" w14:textId="77777777" w:rsidR="003E78AB" w:rsidRDefault="003E78AB">
            <w:pPr>
              <w:spacing w:line="360" w:lineRule="exact"/>
              <w:ind w:firstLineChars="0" w:firstLine="0"/>
              <w:jc w:val="center"/>
              <w:rPr>
                <w:kern w:val="2"/>
                <w:sz w:val="21"/>
                <w:szCs w:val="21"/>
              </w:rPr>
            </w:pPr>
          </w:p>
        </w:tc>
        <w:tc>
          <w:tcPr>
            <w:tcW w:w="556" w:type="pct"/>
            <w:vMerge/>
            <w:vAlign w:val="center"/>
          </w:tcPr>
          <w:p w14:paraId="05BB1C3E" w14:textId="77777777" w:rsidR="003E78AB" w:rsidRDefault="003E78AB">
            <w:pPr>
              <w:spacing w:line="360" w:lineRule="exact"/>
              <w:ind w:firstLineChars="0" w:firstLine="0"/>
              <w:jc w:val="center"/>
              <w:rPr>
                <w:kern w:val="2"/>
                <w:sz w:val="21"/>
                <w:szCs w:val="21"/>
              </w:rPr>
            </w:pPr>
          </w:p>
        </w:tc>
        <w:tc>
          <w:tcPr>
            <w:tcW w:w="337" w:type="pct"/>
            <w:vMerge/>
            <w:vAlign w:val="center"/>
          </w:tcPr>
          <w:p w14:paraId="76372281" w14:textId="77777777" w:rsidR="003E78AB" w:rsidRDefault="003E78AB">
            <w:pPr>
              <w:spacing w:line="360" w:lineRule="exact"/>
              <w:ind w:firstLineChars="0" w:firstLine="0"/>
              <w:jc w:val="center"/>
              <w:rPr>
                <w:kern w:val="2"/>
                <w:sz w:val="21"/>
                <w:szCs w:val="21"/>
              </w:rPr>
            </w:pPr>
          </w:p>
        </w:tc>
        <w:tc>
          <w:tcPr>
            <w:tcW w:w="384" w:type="pct"/>
            <w:vMerge/>
            <w:vAlign w:val="center"/>
          </w:tcPr>
          <w:p w14:paraId="3C33A09B" w14:textId="77777777" w:rsidR="003E78AB" w:rsidRDefault="003E78AB">
            <w:pPr>
              <w:spacing w:line="360" w:lineRule="exact"/>
              <w:ind w:firstLineChars="0" w:firstLine="0"/>
              <w:jc w:val="center"/>
              <w:rPr>
                <w:kern w:val="2"/>
                <w:sz w:val="21"/>
                <w:szCs w:val="21"/>
              </w:rPr>
            </w:pPr>
          </w:p>
        </w:tc>
        <w:tc>
          <w:tcPr>
            <w:tcW w:w="324" w:type="pct"/>
            <w:vMerge/>
            <w:vAlign w:val="center"/>
          </w:tcPr>
          <w:p w14:paraId="23A529F6" w14:textId="77777777" w:rsidR="003E78AB" w:rsidRDefault="003E78AB">
            <w:pPr>
              <w:spacing w:line="360" w:lineRule="exact"/>
              <w:ind w:firstLineChars="0" w:firstLine="0"/>
              <w:jc w:val="center"/>
              <w:rPr>
                <w:kern w:val="2"/>
                <w:sz w:val="21"/>
                <w:szCs w:val="21"/>
              </w:rPr>
            </w:pPr>
          </w:p>
        </w:tc>
        <w:tc>
          <w:tcPr>
            <w:tcW w:w="344" w:type="pct"/>
            <w:vMerge/>
            <w:vAlign w:val="center"/>
          </w:tcPr>
          <w:p w14:paraId="12477911" w14:textId="77777777" w:rsidR="003E78AB" w:rsidRDefault="003E78AB">
            <w:pPr>
              <w:spacing w:line="360" w:lineRule="exact"/>
              <w:ind w:firstLineChars="0" w:firstLine="0"/>
              <w:jc w:val="center"/>
              <w:rPr>
                <w:kern w:val="2"/>
                <w:sz w:val="21"/>
                <w:szCs w:val="21"/>
              </w:rPr>
            </w:pPr>
          </w:p>
        </w:tc>
        <w:tc>
          <w:tcPr>
            <w:tcW w:w="372" w:type="pct"/>
            <w:vMerge/>
            <w:vAlign w:val="center"/>
          </w:tcPr>
          <w:p w14:paraId="5AFC4B94" w14:textId="77777777" w:rsidR="003E78AB" w:rsidRDefault="003E78AB">
            <w:pPr>
              <w:spacing w:line="360" w:lineRule="exact"/>
              <w:ind w:firstLineChars="0" w:firstLine="0"/>
              <w:jc w:val="center"/>
              <w:rPr>
                <w:kern w:val="2"/>
                <w:sz w:val="21"/>
                <w:szCs w:val="21"/>
              </w:rPr>
            </w:pPr>
          </w:p>
        </w:tc>
        <w:tc>
          <w:tcPr>
            <w:tcW w:w="256" w:type="pct"/>
            <w:vMerge/>
            <w:vAlign w:val="center"/>
          </w:tcPr>
          <w:p w14:paraId="1BEC54C5" w14:textId="77777777" w:rsidR="003E78AB" w:rsidRDefault="003E78AB">
            <w:pPr>
              <w:spacing w:line="360" w:lineRule="exact"/>
              <w:ind w:firstLineChars="0" w:firstLine="0"/>
              <w:jc w:val="center"/>
              <w:rPr>
                <w:kern w:val="2"/>
                <w:sz w:val="21"/>
                <w:szCs w:val="21"/>
              </w:rPr>
            </w:pPr>
          </w:p>
        </w:tc>
        <w:tc>
          <w:tcPr>
            <w:tcW w:w="228" w:type="pct"/>
            <w:vMerge/>
            <w:vAlign w:val="center"/>
          </w:tcPr>
          <w:p w14:paraId="547CC189" w14:textId="77777777" w:rsidR="003E78AB" w:rsidRDefault="003E78AB">
            <w:pPr>
              <w:spacing w:line="360" w:lineRule="exact"/>
              <w:ind w:firstLineChars="0" w:firstLine="0"/>
              <w:jc w:val="center"/>
              <w:rPr>
                <w:kern w:val="2"/>
                <w:sz w:val="21"/>
                <w:szCs w:val="21"/>
              </w:rPr>
            </w:pPr>
          </w:p>
        </w:tc>
        <w:tc>
          <w:tcPr>
            <w:tcW w:w="380" w:type="pct"/>
            <w:vAlign w:val="center"/>
          </w:tcPr>
          <w:p w14:paraId="511998E8"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硫酸盐</w:t>
            </w:r>
          </w:p>
        </w:tc>
        <w:tc>
          <w:tcPr>
            <w:tcW w:w="363" w:type="pct"/>
            <w:vAlign w:val="center"/>
          </w:tcPr>
          <w:p w14:paraId="5E0BEAF3" w14:textId="77777777" w:rsidR="003E78AB" w:rsidRDefault="00010BF9">
            <w:pPr>
              <w:spacing w:line="360" w:lineRule="exact"/>
              <w:ind w:firstLineChars="0" w:firstLine="0"/>
              <w:jc w:val="center"/>
              <w:textAlignment w:val="center"/>
              <w:rPr>
                <w:kern w:val="2"/>
                <w:sz w:val="21"/>
                <w:szCs w:val="21"/>
              </w:rPr>
            </w:pPr>
            <w:r>
              <w:rPr>
                <w:sz w:val="21"/>
                <w:szCs w:val="21"/>
                <w:lang w:bidi="ar"/>
              </w:rPr>
              <w:t>0.1690</w:t>
            </w:r>
          </w:p>
        </w:tc>
        <w:tc>
          <w:tcPr>
            <w:tcW w:w="383" w:type="pct"/>
            <w:vAlign w:val="center"/>
          </w:tcPr>
          <w:p w14:paraId="0A4150FC" w14:textId="77777777" w:rsidR="003E78AB" w:rsidRDefault="00010BF9">
            <w:pPr>
              <w:spacing w:line="360" w:lineRule="exact"/>
              <w:ind w:firstLineChars="0" w:firstLine="0"/>
              <w:jc w:val="center"/>
              <w:textAlignment w:val="center"/>
              <w:rPr>
                <w:kern w:val="2"/>
                <w:sz w:val="21"/>
                <w:szCs w:val="21"/>
              </w:rPr>
            </w:pPr>
            <w:r>
              <w:rPr>
                <w:sz w:val="21"/>
                <w:szCs w:val="21"/>
                <w:lang w:bidi="ar"/>
              </w:rPr>
              <w:t>10.26</w:t>
            </w:r>
          </w:p>
        </w:tc>
        <w:tc>
          <w:tcPr>
            <w:tcW w:w="331" w:type="pct"/>
            <w:vAlign w:val="center"/>
          </w:tcPr>
          <w:p w14:paraId="06CC8BD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701CBA92"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r w:rsidR="003E78AB" w14:paraId="45A07D52" w14:textId="77777777">
        <w:trPr>
          <w:trHeight w:val="462"/>
          <w:jc w:val="center"/>
        </w:trPr>
        <w:tc>
          <w:tcPr>
            <w:tcW w:w="150" w:type="pct"/>
            <w:vMerge/>
            <w:vAlign w:val="center"/>
          </w:tcPr>
          <w:p w14:paraId="26AE9BC5" w14:textId="77777777" w:rsidR="003E78AB" w:rsidRDefault="003E78AB">
            <w:pPr>
              <w:spacing w:line="360" w:lineRule="exact"/>
              <w:ind w:firstLineChars="0" w:firstLine="0"/>
              <w:jc w:val="center"/>
              <w:rPr>
                <w:kern w:val="2"/>
                <w:sz w:val="21"/>
                <w:szCs w:val="21"/>
              </w:rPr>
            </w:pPr>
          </w:p>
        </w:tc>
        <w:tc>
          <w:tcPr>
            <w:tcW w:w="243" w:type="pct"/>
            <w:vMerge/>
            <w:vAlign w:val="center"/>
          </w:tcPr>
          <w:p w14:paraId="139AAC16" w14:textId="77777777" w:rsidR="003E78AB" w:rsidRDefault="003E78AB">
            <w:pPr>
              <w:spacing w:line="360" w:lineRule="exact"/>
              <w:ind w:firstLineChars="0" w:firstLine="0"/>
              <w:jc w:val="center"/>
              <w:rPr>
                <w:kern w:val="2"/>
                <w:sz w:val="21"/>
                <w:szCs w:val="21"/>
              </w:rPr>
            </w:pPr>
          </w:p>
        </w:tc>
        <w:tc>
          <w:tcPr>
            <w:tcW w:w="556" w:type="pct"/>
            <w:vMerge/>
            <w:vAlign w:val="center"/>
          </w:tcPr>
          <w:p w14:paraId="2FC88177" w14:textId="77777777" w:rsidR="003E78AB" w:rsidRDefault="003E78AB">
            <w:pPr>
              <w:spacing w:line="360" w:lineRule="exact"/>
              <w:ind w:firstLineChars="0" w:firstLine="0"/>
              <w:jc w:val="center"/>
              <w:rPr>
                <w:kern w:val="2"/>
                <w:sz w:val="21"/>
                <w:szCs w:val="21"/>
              </w:rPr>
            </w:pPr>
          </w:p>
        </w:tc>
        <w:tc>
          <w:tcPr>
            <w:tcW w:w="337" w:type="pct"/>
            <w:vMerge/>
            <w:vAlign w:val="center"/>
          </w:tcPr>
          <w:p w14:paraId="3A1B71EC" w14:textId="77777777" w:rsidR="003E78AB" w:rsidRDefault="003E78AB">
            <w:pPr>
              <w:spacing w:line="360" w:lineRule="exact"/>
              <w:ind w:firstLineChars="0" w:firstLine="0"/>
              <w:jc w:val="center"/>
              <w:rPr>
                <w:kern w:val="2"/>
                <w:sz w:val="21"/>
                <w:szCs w:val="21"/>
              </w:rPr>
            </w:pPr>
          </w:p>
        </w:tc>
        <w:tc>
          <w:tcPr>
            <w:tcW w:w="384" w:type="pct"/>
            <w:vMerge/>
            <w:vAlign w:val="center"/>
          </w:tcPr>
          <w:p w14:paraId="49EE2D58" w14:textId="77777777" w:rsidR="003E78AB" w:rsidRDefault="003E78AB">
            <w:pPr>
              <w:spacing w:line="360" w:lineRule="exact"/>
              <w:ind w:firstLineChars="0" w:firstLine="0"/>
              <w:jc w:val="center"/>
              <w:rPr>
                <w:kern w:val="2"/>
                <w:sz w:val="21"/>
                <w:szCs w:val="21"/>
              </w:rPr>
            </w:pPr>
          </w:p>
        </w:tc>
        <w:tc>
          <w:tcPr>
            <w:tcW w:w="324" w:type="pct"/>
            <w:vMerge/>
            <w:vAlign w:val="center"/>
          </w:tcPr>
          <w:p w14:paraId="514E752A" w14:textId="77777777" w:rsidR="003E78AB" w:rsidRDefault="003E78AB">
            <w:pPr>
              <w:spacing w:line="360" w:lineRule="exact"/>
              <w:ind w:firstLineChars="0" w:firstLine="0"/>
              <w:jc w:val="center"/>
              <w:rPr>
                <w:kern w:val="2"/>
                <w:sz w:val="21"/>
                <w:szCs w:val="21"/>
              </w:rPr>
            </w:pPr>
          </w:p>
        </w:tc>
        <w:tc>
          <w:tcPr>
            <w:tcW w:w="344" w:type="pct"/>
            <w:vMerge/>
            <w:vAlign w:val="center"/>
          </w:tcPr>
          <w:p w14:paraId="49F1B130" w14:textId="77777777" w:rsidR="003E78AB" w:rsidRDefault="003E78AB">
            <w:pPr>
              <w:spacing w:line="360" w:lineRule="exact"/>
              <w:ind w:firstLineChars="0" w:firstLine="0"/>
              <w:jc w:val="center"/>
              <w:rPr>
                <w:kern w:val="2"/>
                <w:sz w:val="21"/>
                <w:szCs w:val="21"/>
              </w:rPr>
            </w:pPr>
          </w:p>
        </w:tc>
        <w:tc>
          <w:tcPr>
            <w:tcW w:w="372" w:type="pct"/>
            <w:vMerge/>
            <w:vAlign w:val="center"/>
          </w:tcPr>
          <w:p w14:paraId="58274B9D" w14:textId="77777777" w:rsidR="003E78AB" w:rsidRDefault="003E78AB">
            <w:pPr>
              <w:spacing w:line="360" w:lineRule="exact"/>
              <w:ind w:firstLineChars="0" w:firstLine="0"/>
              <w:jc w:val="center"/>
              <w:rPr>
                <w:kern w:val="2"/>
                <w:sz w:val="21"/>
                <w:szCs w:val="21"/>
              </w:rPr>
            </w:pPr>
          </w:p>
        </w:tc>
        <w:tc>
          <w:tcPr>
            <w:tcW w:w="256" w:type="pct"/>
            <w:vMerge/>
            <w:vAlign w:val="center"/>
          </w:tcPr>
          <w:p w14:paraId="768CA351" w14:textId="77777777" w:rsidR="003E78AB" w:rsidRDefault="003E78AB">
            <w:pPr>
              <w:spacing w:line="360" w:lineRule="exact"/>
              <w:ind w:firstLineChars="0" w:firstLine="0"/>
              <w:jc w:val="center"/>
              <w:rPr>
                <w:kern w:val="2"/>
                <w:sz w:val="21"/>
                <w:szCs w:val="21"/>
              </w:rPr>
            </w:pPr>
          </w:p>
        </w:tc>
        <w:tc>
          <w:tcPr>
            <w:tcW w:w="228" w:type="pct"/>
            <w:vMerge/>
            <w:vAlign w:val="center"/>
          </w:tcPr>
          <w:p w14:paraId="0C62601A" w14:textId="77777777" w:rsidR="003E78AB" w:rsidRDefault="003E78AB">
            <w:pPr>
              <w:spacing w:line="360" w:lineRule="exact"/>
              <w:ind w:firstLineChars="0" w:firstLine="0"/>
              <w:jc w:val="center"/>
              <w:rPr>
                <w:kern w:val="2"/>
                <w:sz w:val="21"/>
                <w:szCs w:val="21"/>
              </w:rPr>
            </w:pPr>
          </w:p>
        </w:tc>
        <w:tc>
          <w:tcPr>
            <w:tcW w:w="380" w:type="pct"/>
            <w:shd w:val="clear" w:color="auto" w:fill="auto"/>
            <w:vAlign w:val="center"/>
          </w:tcPr>
          <w:p w14:paraId="350D7AB8"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钒</w:t>
            </w:r>
          </w:p>
        </w:tc>
        <w:tc>
          <w:tcPr>
            <w:tcW w:w="363" w:type="pct"/>
            <w:shd w:val="clear" w:color="auto" w:fill="auto"/>
            <w:vAlign w:val="center"/>
          </w:tcPr>
          <w:p w14:paraId="6129C44D" w14:textId="77777777" w:rsidR="003E78AB" w:rsidRDefault="00010BF9">
            <w:pPr>
              <w:spacing w:line="360" w:lineRule="exact"/>
              <w:ind w:firstLineChars="0" w:firstLine="0"/>
              <w:jc w:val="center"/>
              <w:textAlignment w:val="center"/>
              <w:rPr>
                <w:sz w:val="21"/>
                <w:szCs w:val="21"/>
                <w:lang w:bidi="ar"/>
              </w:rPr>
            </w:pPr>
            <w:r>
              <w:rPr>
                <w:sz w:val="21"/>
                <w:szCs w:val="21"/>
                <w:lang w:bidi="ar"/>
              </w:rPr>
              <w:t>0.0002</w:t>
            </w:r>
          </w:p>
        </w:tc>
        <w:tc>
          <w:tcPr>
            <w:tcW w:w="383" w:type="pct"/>
            <w:shd w:val="clear" w:color="auto" w:fill="auto"/>
            <w:vAlign w:val="center"/>
          </w:tcPr>
          <w:p w14:paraId="1A5CA78D" w14:textId="77777777" w:rsidR="003E78AB" w:rsidRDefault="00010BF9">
            <w:pPr>
              <w:spacing w:line="360" w:lineRule="exact"/>
              <w:ind w:firstLineChars="0" w:firstLine="0"/>
              <w:jc w:val="center"/>
              <w:textAlignment w:val="center"/>
              <w:rPr>
                <w:sz w:val="21"/>
                <w:szCs w:val="21"/>
                <w:lang w:bidi="ar"/>
              </w:rPr>
            </w:pPr>
            <w:r>
              <w:rPr>
                <w:sz w:val="21"/>
                <w:szCs w:val="21"/>
                <w:lang w:bidi="ar"/>
              </w:rPr>
              <w:t>0.01</w:t>
            </w:r>
          </w:p>
        </w:tc>
        <w:tc>
          <w:tcPr>
            <w:tcW w:w="331" w:type="pct"/>
            <w:vAlign w:val="center"/>
          </w:tcPr>
          <w:p w14:paraId="6F947D1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343" w:type="pct"/>
            <w:vAlign w:val="center"/>
          </w:tcPr>
          <w:p w14:paraId="2E8F2C3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r>
    </w:tbl>
    <w:p w14:paraId="38F47ADF" w14:textId="77777777" w:rsidR="003E78AB" w:rsidRDefault="003E78AB">
      <w:pPr>
        <w:ind w:firstLine="480"/>
        <w:rPr>
          <w:kern w:val="28"/>
        </w:rPr>
        <w:sectPr w:rsidR="003E78AB">
          <w:pgSz w:w="16838" w:h="11906" w:orient="landscape"/>
          <w:pgMar w:top="1803" w:right="1440" w:bottom="1803" w:left="1440" w:header="851" w:footer="992" w:gutter="0"/>
          <w:cols w:space="720"/>
          <w:docGrid w:linePitch="312"/>
        </w:sectPr>
      </w:pPr>
    </w:p>
    <w:p w14:paraId="161A8CD0" w14:textId="77777777" w:rsidR="003E78AB" w:rsidRDefault="00010BF9">
      <w:pPr>
        <w:ind w:firstLine="480"/>
        <w:rPr>
          <w:kern w:val="28"/>
        </w:rPr>
      </w:pPr>
      <w:r>
        <w:rPr>
          <w:kern w:val="28"/>
        </w:rPr>
        <w:t>根据工程分析内容，本项目</w:t>
      </w:r>
      <w:r>
        <w:rPr>
          <w:rFonts w:hint="eastAsia"/>
          <w:kern w:val="28"/>
        </w:rPr>
        <w:t>综合</w:t>
      </w:r>
      <w:r>
        <w:rPr>
          <w:kern w:val="28"/>
        </w:rPr>
        <w:t>废水</w:t>
      </w:r>
      <w:r>
        <w:rPr>
          <w:rFonts w:hint="eastAsia"/>
          <w:kern w:val="28"/>
        </w:rPr>
        <w:t>水质</w:t>
      </w:r>
      <w:r>
        <w:rPr>
          <w:kern w:val="28"/>
        </w:rPr>
        <w:t>可以满足</w:t>
      </w:r>
      <w:r>
        <w:rPr>
          <w:kern w:val="2"/>
        </w:rPr>
        <w:t>《无机化学工业污染物排放标准》（</w:t>
      </w:r>
      <w:r>
        <w:rPr>
          <w:kern w:val="2"/>
        </w:rPr>
        <w:t>GB31573-2015</w:t>
      </w:r>
      <w:r>
        <w:rPr>
          <w:kern w:val="2"/>
        </w:rPr>
        <w:t>）间接排放标准，同时需满足园区污水处理厂纳管要求即《污水综合排放标准》（</w:t>
      </w:r>
      <w:r>
        <w:rPr>
          <w:kern w:val="2"/>
        </w:rPr>
        <w:t>GB8978-1996</w:t>
      </w:r>
      <w:r>
        <w:rPr>
          <w:kern w:val="2"/>
        </w:rPr>
        <w:t>）中三级标准限值</w:t>
      </w:r>
      <w:r>
        <w:rPr>
          <w:kern w:val="28"/>
        </w:rPr>
        <w:t>。</w:t>
      </w:r>
    </w:p>
    <w:p w14:paraId="1398CC33" w14:textId="77777777" w:rsidR="003E78AB" w:rsidRDefault="00010BF9">
      <w:pPr>
        <w:ind w:firstLine="480"/>
        <w:rPr>
          <w:kern w:val="28"/>
        </w:rPr>
      </w:pPr>
      <w:r>
        <w:rPr>
          <w:rFonts w:hint="eastAsia"/>
          <w:kern w:val="28"/>
        </w:rPr>
        <w:t>本项目无生产废水排放，主要是公辅设施排水和生活污水排水，水质污染物浓度较低，</w:t>
      </w:r>
      <w:r>
        <w:rPr>
          <w:kern w:val="28"/>
        </w:rPr>
        <w:t>故项目</w:t>
      </w:r>
      <w:r>
        <w:rPr>
          <w:rFonts w:hint="eastAsia"/>
          <w:kern w:val="28"/>
        </w:rPr>
        <w:t>废水达标排入污水管网</w:t>
      </w:r>
      <w:r>
        <w:rPr>
          <w:kern w:val="28"/>
        </w:rPr>
        <w:t>可行</w:t>
      </w:r>
      <w:r>
        <w:rPr>
          <w:rFonts w:hint="eastAsia"/>
          <w:kern w:val="28"/>
        </w:rPr>
        <w:t>。</w:t>
      </w:r>
    </w:p>
    <w:p w14:paraId="67DE82B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.2.2</w:t>
      </w:r>
      <w:r>
        <w:rPr>
          <w:rFonts w:ascii="Times New Roman" w:hAnsi="Times New Roman"/>
        </w:rPr>
        <w:t>废水排放去向可行性分析</w:t>
      </w:r>
    </w:p>
    <w:p w14:paraId="5E4882B0" w14:textId="77777777" w:rsidR="003E78AB" w:rsidRDefault="00010BF9">
      <w:pPr>
        <w:ind w:firstLine="480"/>
        <w:rPr>
          <w:kern w:val="28"/>
        </w:rPr>
      </w:pPr>
      <w:r>
        <w:rPr>
          <w:kern w:val="28"/>
        </w:rPr>
        <w:t>南部循环经济产业园污水处理厂位于哈密工业园区南侧</w:t>
      </w:r>
      <w:r>
        <w:rPr>
          <w:kern w:val="28"/>
        </w:rPr>
        <w:t>1km</w:t>
      </w:r>
      <w:r>
        <w:rPr>
          <w:kern w:val="28"/>
        </w:rPr>
        <w:t>处的低洼地，污水接纳要求为《污水综合排放标准》（</w:t>
      </w:r>
      <w:r>
        <w:rPr>
          <w:kern w:val="28"/>
        </w:rPr>
        <w:t>G</w:t>
      </w:r>
      <w:r>
        <w:rPr>
          <w:kern w:val="28"/>
        </w:rPr>
        <w:t>B8978-1996</w:t>
      </w:r>
      <w:r>
        <w:rPr>
          <w:kern w:val="28"/>
        </w:rPr>
        <w:t>）三级排放标准，处理规模为</w:t>
      </w:r>
      <w:r>
        <w:rPr>
          <w:kern w:val="28"/>
        </w:rPr>
        <w:t>5000m</w:t>
      </w:r>
      <w:r>
        <w:rPr>
          <w:kern w:val="28"/>
          <w:vertAlign w:val="superscript"/>
        </w:rPr>
        <w:t>3</w:t>
      </w:r>
      <w:r>
        <w:rPr>
          <w:kern w:val="28"/>
        </w:rPr>
        <w:t>/d</w:t>
      </w:r>
      <w:r>
        <w:rPr>
          <w:kern w:val="28"/>
        </w:rPr>
        <w:t>（其中格栅、沉砂池处理规模为</w:t>
      </w:r>
      <w:r>
        <w:rPr>
          <w:kern w:val="28"/>
        </w:rPr>
        <w:t>10000m³/d</w:t>
      </w:r>
      <w:r>
        <w:rPr>
          <w:kern w:val="28"/>
        </w:rPr>
        <w:t>），现状实际每天处理规模</w:t>
      </w:r>
      <w:r>
        <w:rPr>
          <w:kern w:val="28"/>
        </w:rPr>
        <w:t>1267m</w:t>
      </w:r>
      <w:r>
        <w:rPr>
          <w:kern w:val="28"/>
          <w:vertAlign w:val="superscript"/>
        </w:rPr>
        <w:t>3</w:t>
      </w:r>
      <w:r>
        <w:rPr>
          <w:kern w:val="28"/>
        </w:rPr>
        <w:t>/d</w:t>
      </w:r>
      <w:r>
        <w:rPr>
          <w:kern w:val="28"/>
        </w:rPr>
        <w:t>，采用</w:t>
      </w:r>
      <w:r>
        <w:rPr>
          <w:kern w:val="28"/>
        </w:rPr>
        <w:t>“</w:t>
      </w:r>
      <w:r>
        <w:rPr>
          <w:kern w:val="28"/>
        </w:rPr>
        <w:t>粗格栅</w:t>
      </w:r>
      <w:r>
        <w:rPr>
          <w:kern w:val="28"/>
        </w:rPr>
        <w:t>+</w:t>
      </w:r>
      <w:r>
        <w:rPr>
          <w:kern w:val="28"/>
        </w:rPr>
        <w:t>提升泵</w:t>
      </w:r>
      <w:r>
        <w:rPr>
          <w:kern w:val="28"/>
        </w:rPr>
        <w:t>+</w:t>
      </w:r>
      <w:r>
        <w:rPr>
          <w:kern w:val="28"/>
        </w:rPr>
        <w:t>细格栅</w:t>
      </w:r>
      <w:r>
        <w:rPr>
          <w:kern w:val="28"/>
        </w:rPr>
        <w:t>+</w:t>
      </w:r>
      <w:r>
        <w:rPr>
          <w:kern w:val="28"/>
        </w:rPr>
        <w:t>旋流沉砂池</w:t>
      </w:r>
      <w:r>
        <w:rPr>
          <w:kern w:val="28"/>
        </w:rPr>
        <w:t>+</w:t>
      </w:r>
      <w:r>
        <w:rPr>
          <w:kern w:val="28"/>
        </w:rPr>
        <w:t>水解酸化池</w:t>
      </w:r>
      <w:r>
        <w:rPr>
          <w:kern w:val="28"/>
        </w:rPr>
        <w:t>+A</w:t>
      </w:r>
      <w:r>
        <w:rPr>
          <w:kern w:val="28"/>
          <w:vertAlign w:val="superscript"/>
        </w:rPr>
        <w:t>2</w:t>
      </w:r>
      <w:r>
        <w:rPr>
          <w:kern w:val="28"/>
        </w:rPr>
        <w:t>/O</w:t>
      </w:r>
      <w:r>
        <w:rPr>
          <w:kern w:val="28"/>
        </w:rPr>
        <w:t>池</w:t>
      </w:r>
      <w:r>
        <w:rPr>
          <w:kern w:val="28"/>
        </w:rPr>
        <w:t>+</w:t>
      </w:r>
      <w:r>
        <w:rPr>
          <w:kern w:val="28"/>
        </w:rPr>
        <w:t>曝气生物滤池</w:t>
      </w:r>
      <w:r>
        <w:rPr>
          <w:kern w:val="28"/>
        </w:rPr>
        <w:t>+</w:t>
      </w:r>
      <w:r>
        <w:rPr>
          <w:kern w:val="28"/>
        </w:rPr>
        <w:t>二沉池</w:t>
      </w:r>
      <w:r>
        <w:rPr>
          <w:kern w:val="28"/>
        </w:rPr>
        <w:t>+</w:t>
      </w:r>
      <w:r>
        <w:rPr>
          <w:kern w:val="28"/>
        </w:rPr>
        <w:t>二氧化氯消毒</w:t>
      </w:r>
      <w:r>
        <w:rPr>
          <w:kern w:val="28"/>
        </w:rPr>
        <w:t>”</w:t>
      </w:r>
      <w:r>
        <w:rPr>
          <w:kern w:val="28"/>
        </w:rPr>
        <w:t>，尾水达到《城镇污水处理厂污染物排放标准》（</w:t>
      </w:r>
      <w:r>
        <w:rPr>
          <w:kern w:val="28"/>
        </w:rPr>
        <w:t>GB18918-2002</w:t>
      </w:r>
      <w:r>
        <w:rPr>
          <w:kern w:val="28"/>
        </w:rPr>
        <w:t>）中的一级</w:t>
      </w:r>
      <w:r>
        <w:rPr>
          <w:kern w:val="28"/>
        </w:rPr>
        <w:t>A</w:t>
      </w:r>
      <w:r>
        <w:rPr>
          <w:kern w:val="28"/>
        </w:rPr>
        <w:t>标准和《城市污水再生利用工业用水水质》（</w:t>
      </w:r>
      <w:r>
        <w:rPr>
          <w:kern w:val="28"/>
        </w:rPr>
        <w:t>GB/T19923-2005</w:t>
      </w:r>
      <w:r>
        <w:rPr>
          <w:kern w:val="28"/>
        </w:rPr>
        <w:t>）标准，全部排至污水厂东侧的中水管网，最终进入大南湖煤电基地作为工业用水回用。该污水处理厂于</w:t>
      </w:r>
      <w:r>
        <w:rPr>
          <w:kern w:val="28"/>
        </w:rPr>
        <w:t>2019</w:t>
      </w:r>
      <w:r>
        <w:rPr>
          <w:kern w:val="28"/>
        </w:rPr>
        <w:t>年</w:t>
      </w:r>
      <w:r>
        <w:rPr>
          <w:kern w:val="28"/>
        </w:rPr>
        <w:t>10</w:t>
      </w:r>
      <w:r>
        <w:rPr>
          <w:kern w:val="28"/>
        </w:rPr>
        <w:t>月</w:t>
      </w:r>
      <w:r>
        <w:rPr>
          <w:kern w:val="28"/>
        </w:rPr>
        <w:t>13</w:t>
      </w:r>
      <w:r>
        <w:rPr>
          <w:kern w:val="28"/>
        </w:rPr>
        <w:t>日通过项目竣工环境保护验收，目前运行正常，尾水达标排放。</w:t>
      </w:r>
    </w:p>
    <w:p w14:paraId="1ECA713B" w14:textId="77777777" w:rsidR="003E78AB" w:rsidRDefault="00010BF9">
      <w:pPr>
        <w:ind w:firstLine="480"/>
        <w:rPr>
          <w:kern w:val="28"/>
        </w:rPr>
      </w:pPr>
      <w:r>
        <w:rPr>
          <w:kern w:val="28"/>
        </w:rPr>
        <w:t>本项目废水排放量约为</w:t>
      </w:r>
      <w:r>
        <w:rPr>
          <w:rFonts w:hint="eastAsia"/>
          <w:kern w:val="28"/>
        </w:rPr>
        <w:t>49.9</w:t>
      </w:r>
      <w:r>
        <w:rPr>
          <w:kern w:val="28"/>
        </w:rPr>
        <w:t>m</w:t>
      </w:r>
      <w:r>
        <w:rPr>
          <w:kern w:val="28"/>
          <w:vertAlign w:val="superscript"/>
        </w:rPr>
        <w:t>3</w:t>
      </w:r>
      <w:r>
        <w:rPr>
          <w:kern w:val="28"/>
        </w:rPr>
        <w:t>/d</w:t>
      </w:r>
      <w:r>
        <w:rPr>
          <w:kern w:val="28"/>
        </w:rPr>
        <w:t>，污水处理厂余量</w:t>
      </w:r>
      <w:r>
        <w:rPr>
          <w:kern w:val="28"/>
        </w:rPr>
        <w:t>3733m</w:t>
      </w:r>
      <w:r>
        <w:rPr>
          <w:kern w:val="28"/>
          <w:vertAlign w:val="superscript"/>
        </w:rPr>
        <w:t>3</w:t>
      </w:r>
      <w:r>
        <w:rPr>
          <w:kern w:val="28"/>
        </w:rPr>
        <w:t>/d</w:t>
      </w:r>
      <w:r>
        <w:rPr>
          <w:kern w:val="28"/>
        </w:rPr>
        <w:t>可以满足本项目新增废水的处理需求，本项目废水排放去向合理。</w:t>
      </w:r>
    </w:p>
    <w:p w14:paraId="5766AF5C" w14:textId="77777777" w:rsidR="003E78AB" w:rsidRDefault="00010BF9">
      <w:pPr>
        <w:ind w:firstLine="480"/>
        <w:rPr>
          <w:kern w:val="28"/>
        </w:rPr>
      </w:pPr>
      <w:r>
        <w:rPr>
          <w:kern w:val="28"/>
        </w:rPr>
        <w:t>故项目废水处置措施可行。</w:t>
      </w:r>
    </w:p>
    <w:p w14:paraId="19624ED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7.2</w:t>
      </w:r>
      <w:r>
        <w:rPr>
          <w:rFonts w:cs="Times New Roman"/>
          <w:sz w:val="28"/>
          <w:szCs w:val="28"/>
        </w:rPr>
        <w:t>.3</w:t>
      </w:r>
      <w:r>
        <w:rPr>
          <w:rFonts w:cs="Times New Roman"/>
          <w:sz w:val="28"/>
          <w:szCs w:val="28"/>
        </w:rPr>
        <w:t>噪声污染防治措施可行性分析</w:t>
      </w:r>
    </w:p>
    <w:p w14:paraId="6B774F97" w14:textId="77777777" w:rsidR="003E78AB" w:rsidRDefault="00010BF9">
      <w:pPr>
        <w:ind w:firstLine="480"/>
      </w:pPr>
      <w:r>
        <w:t>项目的噪声污染源主要为设备运转产生的噪声。本项目采取的降噪措施有：</w:t>
      </w:r>
    </w:p>
    <w:p w14:paraId="5B354A9E" w14:textId="77777777" w:rsidR="003E78AB" w:rsidRDefault="00010BF9">
      <w:pPr>
        <w:ind w:firstLine="480"/>
      </w:pPr>
      <w:r>
        <w:t>（</w:t>
      </w:r>
      <w:r>
        <w:t>1</w:t>
      </w:r>
      <w:r>
        <w:t>）合理布置噪声源：将高噪声设备尽可能布置远离厂界，加大了噪声的距离衰减，并采取相应的降噪措施，使之确保实现厂界达标。</w:t>
      </w:r>
    </w:p>
    <w:p w14:paraId="267C657E" w14:textId="77777777" w:rsidR="003E78AB" w:rsidRDefault="00010BF9">
      <w:pPr>
        <w:ind w:firstLine="480"/>
      </w:pPr>
      <w:r>
        <w:t>（</w:t>
      </w:r>
      <w:r>
        <w:t>2</w:t>
      </w:r>
      <w: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14:paraId="0D4E614D" w14:textId="77777777" w:rsidR="003E78AB" w:rsidRDefault="00010BF9">
      <w:pPr>
        <w:ind w:firstLine="480"/>
      </w:pPr>
      <w:r>
        <w:t>（</w:t>
      </w:r>
      <w:r>
        <w:t>3</w:t>
      </w:r>
      <w:r>
        <w:t>）使用隔声门窗，加强车间隔声，减少对周边环境的影响。</w:t>
      </w:r>
    </w:p>
    <w:p w14:paraId="12F7883D" w14:textId="77777777" w:rsidR="003E78AB" w:rsidRDefault="00010BF9">
      <w:pPr>
        <w:ind w:firstLine="480"/>
      </w:pPr>
      <w:r>
        <w:t>（</w:t>
      </w:r>
      <w:r>
        <w:t>4</w:t>
      </w:r>
      <w:r>
        <w:t>）加强设备的维修保养，使设备处于最佳工作状态</w:t>
      </w:r>
    </w:p>
    <w:p w14:paraId="3D3247A7" w14:textId="77777777" w:rsidR="003E78AB" w:rsidRDefault="00010BF9">
      <w:pPr>
        <w:ind w:firstLine="480"/>
      </w:pPr>
      <w:r>
        <w:t>（</w:t>
      </w:r>
      <w:r>
        <w:t>5</w:t>
      </w:r>
      <w:r>
        <w:t>）进一步加强绿化：车间周围和厂界处加强绿化建设，既可绿化厂区环境，又可做到绿化隔音降噪。</w:t>
      </w:r>
    </w:p>
    <w:p w14:paraId="4CF3B40C" w14:textId="77777777" w:rsidR="003E78AB" w:rsidRDefault="00010BF9">
      <w:pPr>
        <w:ind w:firstLine="480"/>
      </w:pPr>
      <w:r>
        <w:t>通过采取以上措施后，厂界噪声贡献值很低，厂界噪声满足《工业企业厂界环境噪声排放标准》（</w:t>
      </w:r>
      <w:r>
        <w:t>GB123</w:t>
      </w:r>
      <w:r>
        <w:t>48-2008</w:t>
      </w:r>
      <w:r>
        <w:t>）</w:t>
      </w:r>
      <w:r>
        <w:t>3</w:t>
      </w:r>
      <w:r>
        <w:t>类标准限值要求，因此，噪声防治措施是有效、可行的。</w:t>
      </w:r>
    </w:p>
    <w:p w14:paraId="3C4F1D28"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7.2</w:t>
      </w:r>
      <w:r>
        <w:rPr>
          <w:rFonts w:cs="Times New Roman"/>
          <w:sz w:val="28"/>
          <w:szCs w:val="28"/>
        </w:rPr>
        <w:t>.4</w:t>
      </w:r>
      <w:r>
        <w:rPr>
          <w:rFonts w:cs="Times New Roman"/>
          <w:sz w:val="28"/>
          <w:szCs w:val="28"/>
        </w:rPr>
        <w:t>固体废弃物防治措施可行性</w:t>
      </w:r>
    </w:p>
    <w:p w14:paraId="421E577B" w14:textId="77777777" w:rsidR="003E78AB" w:rsidRDefault="00010BF9">
      <w:pPr>
        <w:ind w:firstLine="480"/>
      </w:pPr>
      <w:r>
        <w:t>本项目产生的固体废物包括生活垃圾、一般固废和危险废物。</w:t>
      </w:r>
    </w:p>
    <w:p w14:paraId="210EDC4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.4.1</w:t>
      </w:r>
      <w:r>
        <w:rPr>
          <w:rFonts w:ascii="Times New Roman" w:hAnsi="Times New Roman"/>
        </w:rPr>
        <w:t>生活垃圾</w:t>
      </w:r>
    </w:p>
    <w:p w14:paraId="522489E5" w14:textId="77777777" w:rsidR="003E78AB" w:rsidRDefault="00010BF9">
      <w:pPr>
        <w:ind w:firstLine="480"/>
      </w:pPr>
      <w:r>
        <w:t>本项目运营期产生的生活垃圾在厂区设置垃圾收集箱集中收集，由环卫部门定期清运处置。</w:t>
      </w:r>
    </w:p>
    <w:p w14:paraId="5ECAFFB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.4.2</w:t>
      </w:r>
      <w:r>
        <w:rPr>
          <w:rFonts w:ascii="Times New Roman" w:hAnsi="Times New Roman"/>
        </w:rPr>
        <w:t>一般工业固体废物</w:t>
      </w:r>
    </w:p>
    <w:p w14:paraId="2CBFF98D" w14:textId="77777777" w:rsidR="003E78AB" w:rsidRDefault="00010BF9">
      <w:pPr>
        <w:ind w:firstLine="480"/>
      </w:pPr>
      <w:r>
        <w:t>本项目产生的一般固体废物主要</w:t>
      </w:r>
      <w:r>
        <w:rPr>
          <w:rFonts w:hint="eastAsia"/>
          <w:bCs/>
          <w:kern w:val="2"/>
        </w:rPr>
        <w:t>有</w:t>
      </w:r>
      <w:r>
        <w:rPr>
          <w:bCs/>
          <w:kern w:val="2"/>
        </w:rPr>
        <w:t>纯水及软水制备固废（废滤芯、废过滤膜）由生产厂家回收利用；</w:t>
      </w:r>
      <w:r>
        <w:rPr>
          <w:rFonts w:hint="eastAsia"/>
          <w:bCs/>
          <w:kern w:val="2"/>
        </w:rPr>
        <w:t>吨包袋</w:t>
      </w:r>
      <w:r>
        <w:rPr>
          <w:bCs/>
          <w:kern w:val="2"/>
        </w:rPr>
        <w:t>由生产厂家回收利用</w:t>
      </w:r>
      <w:r>
        <w:rPr>
          <w:rFonts w:hint="eastAsia"/>
          <w:bCs/>
          <w:kern w:val="2"/>
        </w:rPr>
        <w:t>，其他</w:t>
      </w:r>
      <w:r>
        <w:rPr>
          <w:bCs/>
          <w:kern w:val="2"/>
        </w:rPr>
        <w:t>废包装物（未沾染有毒有害物质的）</w:t>
      </w:r>
      <w:r>
        <w:rPr>
          <w:rFonts w:hint="eastAsia"/>
          <w:bCs/>
          <w:kern w:val="2"/>
        </w:rPr>
        <w:t>外售综合利用</w:t>
      </w:r>
      <w:r>
        <w:rPr>
          <w:kern w:val="2"/>
        </w:rPr>
        <w:t>均能得到合理处置。项目在</w:t>
      </w:r>
      <w:r>
        <w:rPr>
          <w:rFonts w:hint="eastAsia"/>
          <w:kern w:val="2"/>
        </w:rPr>
        <w:t>丙类仓库一的东跨设置一间</w:t>
      </w:r>
      <w:r>
        <w:rPr>
          <w:rFonts w:hint="eastAsia"/>
          <w:kern w:val="2"/>
        </w:rPr>
        <w:t>6</w:t>
      </w:r>
      <w:r>
        <w:rPr>
          <w:rFonts w:hint="eastAsia"/>
          <w:kern w:val="2"/>
        </w:rPr>
        <w:t>0</w:t>
      </w:r>
      <w:r>
        <w:rPr>
          <w:kern w:val="2"/>
        </w:rPr>
        <w:t>m</w:t>
      </w:r>
      <w:r>
        <w:rPr>
          <w:rFonts w:hint="eastAsia"/>
          <w:kern w:val="2"/>
          <w:vertAlign w:val="superscript"/>
        </w:rPr>
        <w:t>2</w:t>
      </w:r>
      <w:r>
        <w:rPr>
          <w:kern w:val="2"/>
        </w:rPr>
        <w:t>的</w:t>
      </w:r>
      <w:r>
        <w:rPr>
          <w:rFonts w:hint="eastAsia"/>
          <w:kern w:val="2"/>
        </w:rPr>
        <w:t>一般固废</w:t>
      </w:r>
      <w:r>
        <w:rPr>
          <w:kern w:val="2"/>
        </w:rPr>
        <w:t>暂存间</w:t>
      </w:r>
      <w:r>
        <w:rPr>
          <w:rFonts w:hint="eastAsia"/>
          <w:kern w:val="2"/>
        </w:rPr>
        <w:t>，分类分区存放产生的一般工业固废</w:t>
      </w:r>
      <w:r>
        <w:rPr>
          <w:kern w:val="2"/>
        </w:rPr>
        <w:t>。</w:t>
      </w:r>
    </w:p>
    <w:p w14:paraId="5BD55E4D" w14:textId="77777777" w:rsidR="003E78AB" w:rsidRDefault="00010BF9">
      <w:pPr>
        <w:ind w:firstLine="480"/>
      </w:pPr>
      <w:r>
        <w:t>哈密工业园南部循环经济产业园已建设一般工业固废填埋场，哈密高新区南部循环经济产业园一般工业固体废物填埋场建设项目位于南部循环经济产业园西南向约</w:t>
      </w:r>
      <w:r>
        <w:t>10</w:t>
      </w:r>
      <w:r>
        <w:t>公里沟谷处。新建处置规模为</w:t>
      </w:r>
      <w:r>
        <w:t>40</w:t>
      </w:r>
      <w:r>
        <w:t>万吨</w:t>
      </w:r>
      <w:r>
        <w:t>/</w:t>
      </w:r>
      <w:r>
        <w:t>年的一般工业固体废物填埋场，填埋场按</w:t>
      </w:r>
      <w:r>
        <w:t>Ⅱ</w:t>
      </w:r>
      <w:r>
        <w:t>类场设计每年填埋固废所需库容约</w:t>
      </w:r>
      <w:r>
        <w:t>35</w:t>
      </w:r>
      <w:r>
        <w:t>万立方米，设计总库容</w:t>
      </w:r>
      <w:r>
        <w:t>350</w:t>
      </w:r>
      <w:r>
        <w:t>万立方米，服务年限约</w:t>
      </w:r>
      <w:r>
        <w:t>10</w:t>
      </w:r>
      <w:r>
        <w:t>年。项目主要处理南部循环经济产业园各企业生产运营过程产生的一般工业固体废物。一般工业固废填埋场已取得哈密市生态环境局</w:t>
      </w:r>
      <w:r>
        <w:t>2020</w:t>
      </w:r>
      <w:r>
        <w:t>年</w:t>
      </w:r>
      <w:r>
        <w:t>3</w:t>
      </w:r>
      <w:r>
        <w:t>月</w:t>
      </w:r>
      <w:r>
        <w:t>23</w:t>
      </w:r>
      <w:r>
        <w:t>日出具的《关于哈</w:t>
      </w:r>
      <w:r>
        <w:t>密高新区南部循环经济产业园一般工业固体废物填埋场建设项目环境影响报告书的批复》，文号哈市环监函〔</w:t>
      </w:r>
      <w:r>
        <w:t>2020</w:t>
      </w:r>
      <w:r>
        <w:t>〕</w:t>
      </w:r>
      <w:r>
        <w:t>6</w:t>
      </w:r>
      <w:r>
        <w:t>号。</w:t>
      </w:r>
      <w:r>
        <w:t>2021</w:t>
      </w:r>
      <w:r>
        <w:t>年</w:t>
      </w:r>
      <w:r>
        <w:t>11</w:t>
      </w:r>
      <w:r>
        <w:t>月，该填埋场通过竣工环境保护验收。故本项目依托园区填埋场是可行的。</w:t>
      </w:r>
    </w:p>
    <w:p w14:paraId="238FA623"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.4.3</w:t>
      </w:r>
      <w:r>
        <w:rPr>
          <w:rFonts w:ascii="Times New Roman" w:hAnsi="Times New Roman"/>
        </w:rPr>
        <w:t>危险废物</w:t>
      </w:r>
    </w:p>
    <w:p w14:paraId="58E55159" w14:textId="77777777" w:rsidR="003E78AB" w:rsidRDefault="00010BF9">
      <w:pPr>
        <w:ind w:firstLine="482"/>
        <w:rPr>
          <w:b/>
          <w:bCs/>
          <w:u w:val="single"/>
        </w:rPr>
      </w:pPr>
      <w:r>
        <w:rPr>
          <w:b/>
          <w:bCs/>
          <w:kern w:val="2"/>
          <w:u w:val="single"/>
        </w:rPr>
        <w:t>项目在</w:t>
      </w:r>
      <w:r>
        <w:rPr>
          <w:rFonts w:hint="eastAsia"/>
          <w:b/>
          <w:bCs/>
          <w:kern w:val="2"/>
          <w:u w:val="single"/>
        </w:rPr>
        <w:t>丙类仓库一的东跨设置一间</w:t>
      </w:r>
      <w:r>
        <w:rPr>
          <w:rFonts w:hint="eastAsia"/>
          <w:b/>
          <w:bCs/>
          <w:kern w:val="2"/>
          <w:u w:val="single"/>
        </w:rPr>
        <w:t>60</w:t>
      </w:r>
      <w:r>
        <w:rPr>
          <w:b/>
          <w:bCs/>
          <w:kern w:val="2"/>
          <w:u w:val="single"/>
        </w:rPr>
        <w:t>m</w:t>
      </w:r>
      <w:r>
        <w:rPr>
          <w:rFonts w:hint="eastAsia"/>
          <w:b/>
          <w:bCs/>
          <w:kern w:val="2"/>
          <w:u w:val="single"/>
          <w:vertAlign w:val="superscript"/>
        </w:rPr>
        <w:t>2</w:t>
      </w:r>
      <w:r>
        <w:rPr>
          <w:b/>
          <w:bCs/>
          <w:kern w:val="2"/>
          <w:u w:val="single"/>
        </w:rPr>
        <w:t>的危险废物暂存间。按照《危险废物贮存污染控制标准》</w:t>
      </w:r>
      <w:r>
        <w:rPr>
          <w:b/>
          <w:bCs/>
          <w:kern w:val="2"/>
          <w:u w:val="single"/>
        </w:rPr>
        <w:t>(GB18597-2023)</w:t>
      </w:r>
      <w:r>
        <w:rPr>
          <w:b/>
          <w:bCs/>
          <w:kern w:val="2"/>
          <w:u w:val="single"/>
        </w:rPr>
        <w:t>的相关规定进行管理</w:t>
      </w:r>
      <w:r>
        <w:rPr>
          <w:rFonts w:hint="eastAsia"/>
          <w:b/>
          <w:bCs/>
          <w:kern w:val="2"/>
          <w:u w:val="single"/>
        </w:rPr>
        <w:t>。</w:t>
      </w:r>
      <w:r>
        <w:rPr>
          <w:b/>
          <w:bCs/>
          <w:u w:val="single"/>
        </w:rPr>
        <w:t>项目产生的不同危险废物单独收集、固定容器在厂内危险废物暂存间临时贮存后，交具相应危险废物处置资质的单位回收处置。</w:t>
      </w:r>
    </w:p>
    <w:p w14:paraId="706EABDB" w14:textId="77777777" w:rsidR="003E78AB" w:rsidRDefault="00010BF9">
      <w:pPr>
        <w:pStyle w:val="5"/>
        <w:keepNext w:val="0"/>
        <w:keepLines w:val="0"/>
        <w:ind w:firstLine="482"/>
        <w:rPr>
          <w:bCs/>
          <w:sz w:val="24"/>
          <w:u w:val="single"/>
        </w:rPr>
      </w:pPr>
      <w:r>
        <w:rPr>
          <w:rFonts w:hint="eastAsia"/>
          <w:bCs/>
          <w:sz w:val="24"/>
          <w:u w:val="single"/>
        </w:rPr>
        <w:t>1.</w:t>
      </w:r>
      <w:r>
        <w:rPr>
          <w:rFonts w:hint="eastAsia"/>
          <w:bCs/>
          <w:sz w:val="24"/>
          <w:u w:val="single"/>
        </w:rPr>
        <w:t>危险废物暂存措施</w:t>
      </w:r>
    </w:p>
    <w:p w14:paraId="60C3D94F" w14:textId="77777777" w:rsidR="003E78AB" w:rsidRDefault="00010BF9">
      <w:pPr>
        <w:ind w:firstLine="482"/>
        <w:rPr>
          <w:b/>
          <w:bCs/>
          <w:u w:val="single"/>
        </w:rPr>
      </w:pPr>
      <w:r>
        <w:rPr>
          <w:rFonts w:hint="eastAsia"/>
          <w:b/>
          <w:bCs/>
          <w:u w:val="single"/>
        </w:rPr>
        <w:t>（</w:t>
      </w:r>
      <w:r>
        <w:rPr>
          <w:rFonts w:hint="eastAsia"/>
          <w:b/>
          <w:bCs/>
          <w:u w:val="single"/>
        </w:rPr>
        <w:t>1</w:t>
      </w:r>
      <w:r>
        <w:rPr>
          <w:rFonts w:hint="eastAsia"/>
          <w:b/>
          <w:bCs/>
          <w:u w:val="single"/>
        </w:rPr>
        <w:t>）设置危险废物暂存间。暂存间根据危险废物的类别、数量、形态、物理化学性质和污染防治等要求设置必要的贮存分区，避免不相容的危险废物接触、混合。</w:t>
      </w:r>
    </w:p>
    <w:p w14:paraId="54748324" w14:textId="77777777" w:rsidR="003E78AB" w:rsidRDefault="00010BF9">
      <w:pPr>
        <w:ind w:firstLine="482"/>
        <w:rPr>
          <w:b/>
          <w:bCs/>
          <w:u w:val="single"/>
        </w:rPr>
      </w:pPr>
      <w:r>
        <w:rPr>
          <w:rFonts w:hint="eastAsia"/>
          <w:b/>
          <w:bCs/>
          <w:u w:val="single"/>
        </w:rPr>
        <w:t>（</w:t>
      </w:r>
      <w:r>
        <w:rPr>
          <w:rFonts w:hint="eastAsia"/>
          <w:b/>
          <w:bCs/>
          <w:u w:val="single"/>
        </w:rPr>
        <w:t>2</w:t>
      </w:r>
      <w:r>
        <w:rPr>
          <w:rFonts w:hint="eastAsia"/>
          <w:b/>
          <w:bCs/>
          <w:u w:val="single"/>
        </w:rPr>
        <w:t>）危险废物暂存间内地面、墙面裙脚、堵截泄漏的围堰、接触危险废物的隔板和墙体等采用坚固的材料建造，表面无裂缝。</w:t>
      </w:r>
    </w:p>
    <w:p w14:paraId="14D7D4F2" w14:textId="77777777" w:rsidR="003E78AB" w:rsidRDefault="00010BF9">
      <w:pPr>
        <w:ind w:firstLine="482"/>
        <w:rPr>
          <w:b/>
          <w:bCs/>
          <w:u w:val="single"/>
        </w:rPr>
      </w:pPr>
      <w:r>
        <w:rPr>
          <w:rFonts w:hint="eastAsia"/>
          <w:b/>
          <w:bCs/>
          <w:u w:val="single"/>
        </w:rPr>
        <w:t>（</w:t>
      </w:r>
      <w:r>
        <w:rPr>
          <w:rFonts w:hint="eastAsia"/>
          <w:b/>
          <w:bCs/>
          <w:u w:val="single"/>
        </w:rPr>
        <w:t>3</w:t>
      </w:r>
      <w:r>
        <w:rPr>
          <w:rFonts w:hint="eastAsia"/>
          <w:b/>
          <w:bCs/>
          <w:u w:val="single"/>
        </w:rPr>
        <w:t>）危险废物暂存间地面与裙脚应采取表面防渗措施；表面防渗材料与所接触的物料或污染物相容，可采用抗渗混凝土、高密度聚乙烯膜、钠基膨润土防水毯或其他防渗性能等效的材料。贮存的危险废物直接接触地面的，进行基础防渗，防渗层为至少</w:t>
      </w:r>
      <w:r>
        <w:rPr>
          <w:rFonts w:hint="eastAsia"/>
          <w:b/>
          <w:bCs/>
          <w:u w:val="single"/>
        </w:rPr>
        <w:t>1m</w:t>
      </w:r>
      <w:r>
        <w:rPr>
          <w:rFonts w:hint="eastAsia"/>
          <w:b/>
          <w:bCs/>
          <w:u w:val="single"/>
        </w:rPr>
        <w:t>厚黏土层（渗透系数不大于</w:t>
      </w:r>
      <w:r>
        <w:rPr>
          <w:rFonts w:hint="eastAsia"/>
          <w:b/>
          <w:bCs/>
          <w:u w:val="single"/>
        </w:rPr>
        <w:t>1</w:t>
      </w:r>
      <w:r>
        <w:rPr>
          <w:rFonts w:hint="eastAsia"/>
          <w:b/>
          <w:bCs/>
          <w:u w:val="single"/>
        </w:rPr>
        <w:t>0</w:t>
      </w:r>
      <w:r>
        <w:rPr>
          <w:rFonts w:hint="eastAsia"/>
          <w:b/>
          <w:bCs/>
          <w:u w:val="single"/>
          <w:vertAlign w:val="superscript"/>
        </w:rPr>
        <w:t>-7</w:t>
      </w:r>
      <w:r>
        <w:rPr>
          <w:rFonts w:hint="eastAsia"/>
          <w:b/>
          <w:bCs/>
          <w:u w:val="single"/>
        </w:rPr>
        <w:t>cm/s</w:t>
      </w:r>
      <w:r>
        <w:rPr>
          <w:rFonts w:hint="eastAsia"/>
          <w:b/>
          <w:bCs/>
          <w:u w:val="single"/>
        </w:rPr>
        <w:t>），或至少</w:t>
      </w:r>
      <w:r>
        <w:rPr>
          <w:rFonts w:hint="eastAsia"/>
          <w:b/>
          <w:bCs/>
          <w:u w:val="single"/>
        </w:rPr>
        <w:t>2mm</w:t>
      </w:r>
      <w:r>
        <w:rPr>
          <w:rFonts w:hint="eastAsia"/>
          <w:b/>
          <w:bCs/>
          <w:u w:val="single"/>
        </w:rPr>
        <w:t>厚高密度聚乙烯膜等人工防渗材料（渗透系数不大于</w:t>
      </w:r>
      <w:r>
        <w:rPr>
          <w:rFonts w:hint="eastAsia"/>
          <w:b/>
          <w:bCs/>
          <w:u w:val="single"/>
        </w:rPr>
        <w:t>10</w:t>
      </w:r>
      <w:r>
        <w:rPr>
          <w:rFonts w:hint="eastAsia"/>
          <w:b/>
          <w:bCs/>
          <w:u w:val="single"/>
          <w:vertAlign w:val="superscript"/>
        </w:rPr>
        <w:t>-10</w:t>
      </w:r>
      <w:r>
        <w:rPr>
          <w:rFonts w:hint="eastAsia"/>
          <w:b/>
          <w:bCs/>
          <w:u w:val="single"/>
        </w:rPr>
        <w:t>cm/s</w:t>
      </w:r>
      <w:r>
        <w:rPr>
          <w:rFonts w:hint="eastAsia"/>
          <w:b/>
          <w:bCs/>
          <w:u w:val="single"/>
        </w:rPr>
        <w:t>），或其他防渗性能等效的材料。</w:t>
      </w:r>
    </w:p>
    <w:p w14:paraId="37110BBA" w14:textId="77777777" w:rsidR="003E78AB" w:rsidRDefault="00010BF9">
      <w:pPr>
        <w:ind w:firstLine="482"/>
        <w:rPr>
          <w:b/>
          <w:bCs/>
          <w:u w:val="single"/>
        </w:rPr>
      </w:pPr>
      <w:r>
        <w:rPr>
          <w:rFonts w:hint="eastAsia"/>
          <w:b/>
          <w:bCs/>
          <w:u w:val="single"/>
        </w:rPr>
        <w:t>（</w:t>
      </w:r>
      <w:r>
        <w:rPr>
          <w:rFonts w:hint="eastAsia"/>
          <w:b/>
          <w:bCs/>
          <w:u w:val="single"/>
        </w:rPr>
        <w:t>4</w:t>
      </w:r>
      <w:r>
        <w:rPr>
          <w:rFonts w:hint="eastAsia"/>
          <w:b/>
          <w:bCs/>
          <w:u w:val="single"/>
        </w:rPr>
        <w:t>）同一座危险废物暂存间采用相同的防渗、防腐工艺（包括防渗、防腐结构或材料），防渗、防腐材料应覆盖所有可能与废物及其渗滤液、渗漏液等接触的构筑物表面；采用不同防渗、防腐工艺应分别建设贮存分区。</w:t>
      </w:r>
    </w:p>
    <w:p w14:paraId="23FBA0CF" w14:textId="77777777" w:rsidR="003E78AB" w:rsidRDefault="00010BF9">
      <w:pPr>
        <w:ind w:firstLine="482"/>
        <w:rPr>
          <w:b/>
          <w:bCs/>
          <w:u w:val="single"/>
        </w:rPr>
      </w:pPr>
      <w:r>
        <w:rPr>
          <w:rFonts w:hint="eastAsia"/>
          <w:b/>
          <w:bCs/>
          <w:u w:val="single"/>
        </w:rPr>
        <w:t>（</w:t>
      </w:r>
      <w:r>
        <w:rPr>
          <w:rFonts w:hint="eastAsia"/>
          <w:b/>
          <w:bCs/>
          <w:u w:val="single"/>
        </w:rPr>
        <w:t>5</w:t>
      </w:r>
      <w:r>
        <w:rPr>
          <w:rFonts w:hint="eastAsia"/>
          <w:b/>
          <w:bCs/>
          <w:u w:val="single"/>
        </w:rPr>
        <w:t>）采取技术和管理措施防止无关人员进入。</w:t>
      </w:r>
    </w:p>
    <w:p w14:paraId="0754EE8F" w14:textId="77777777" w:rsidR="003E78AB" w:rsidRDefault="00010BF9">
      <w:pPr>
        <w:pStyle w:val="5"/>
        <w:keepNext w:val="0"/>
        <w:keepLines w:val="0"/>
        <w:ind w:firstLine="482"/>
        <w:rPr>
          <w:bCs/>
          <w:sz w:val="24"/>
          <w:u w:val="single"/>
        </w:rPr>
      </w:pPr>
      <w:r>
        <w:rPr>
          <w:rFonts w:hint="eastAsia"/>
          <w:bCs/>
          <w:sz w:val="24"/>
          <w:u w:val="single"/>
        </w:rPr>
        <w:t>2.</w:t>
      </w:r>
      <w:r>
        <w:rPr>
          <w:rFonts w:hint="eastAsia"/>
          <w:bCs/>
          <w:sz w:val="24"/>
          <w:u w:val="single"/>
        </w:rPr>
        <w:t>危险废物收集过程污染防治措施</w:t>
      </w:r>
    </w:p>
    <w:p w14:paraId="605090C1" w14:textId="77777777" w:rsidR="003E78AB" w:rsidRDefault="00010BF9">
      <w:pPr>
        <w:ind w:firstLine="482"/>
        <w:rPr>
          <w:b/>
          <w:bCs/>
          <w:u w:val="single"/>
        </w:rPr>
      </w:pPr>
      <w:r>
        <w:rPr>
          <w:rFonts w:hint="eastAsia"/>
          <w:b/>
          <w:bCs/>
          <w:u w:val="single"/>
        </w:rPr>
        <w:t>（</w:t>
      </w:r>
      <w:r>
        <w:rPr>
          <w:rFonts w:hint="eastAsia"/>
          <w:b/>
          <w:bCs/>
          <w:u w:val="single"/>
        </w:rPr>
        <w:t>1</w:t>
      </w:r>
      <w:r>
        <w:rPr>
          <w:rFonts w:hint="eastAsia"/>
          <w:b/>
          <w:bCs/>
          <w:u w:val="single"/>
        </w:rPr>
        <w:t>）制定收集计划</w:t>
      </w:r>
    </w:p>
    <w:p w14:paraId="0DCE2DC8" w14:textId="77777777" w:rsidR="003E78AB" w:rsidRDefault="00010BF9">
      <w:pPr>
        <w:ind w:firstLine="482"/>
        <w:rPr>
          <w:b/>
          <w:bCs/>
          <w:u w:val="single"/>
        </w:rPr>
      </w:pPr>
      <w:r>
        <w:rPr>
          <w:rFonts w:hint="eastAsia"/>
          <w:b/>
          <w:bCs/>
          <w:u w:val="single"/>
        </w:rPr>
        <w:t>危险废物的收集应根据危险废物产生的工艺特征、排放周期、危险废物特性、废物管理计划等因素制定收集计划，计划应包括收集任务概述、收集目标及原则、危险废物特性评估、危险废物收集量估算、收集作业范围和方法、收集设备与包装容器、安全生产与个人防护、工程防护与事故应急、进度安排与组织管理等。</w:t>
      </w:r>
    </w:p>
    <w:p w14:paraId="39BF1A30" w14:textId="77777777" w:rsidR="003E78AB" w:rsidRDefault="00010BF9">
      <w:pPr>
        <w:ind w:firstLine="482"/>
        <w:rPr>
          <w:b/>
          <w:bCs/>
          <w:u w:val="single"/>
        </w:rPr>
      </w:pPr>
      <w:r>
        <w:rPr>
          <w:rFonts w:hint="eastAsia"/>
          <w:b/>
          <w:bCs/>
          <w:u w:val="single"/>
        </w:rPr>
        <w:t>（</w:t>
      </w:r>
      <w:r>
        <w:rPr>
          <w:rFonts w:hint="eastAsia"/>
          <w:b/>
          <w:bCs/>
          <w:u w:val="single"/>
        </w:rPr>
        <w:t>2</w:t>
      </w:r>
      <w:r>
        <w:rPr>
          <w:rFonts w:hint="eastAsia"/>
          <w:b/>
          <w:bCs/>
          <w:u w:val="single"/>
        </w:rPr>
        <w:t>）制定详细的操作规程</w:t>
      </w:r>
    </w:p>
    <w:p w14:paraId="735C76AE" w14:textId="77777777" w:rsidR="003E78AB" w:rsidRDefault="00010BF9">
      <w:pPr>
        <w:ind w:firstLine="482"/>
        <w:rPr>
          <w:b/>
          <w:bCs/>
          <w:u w:val="single"/>
        </w:rPr>
      </w:pPr>
      <w:r>
        <w:rPr>
          <w:rFonts w:hint="eastAsia"/>
          <w:b/>
          <w:bCs/>
          <w:u w:val="single"/>
        </w:rPr>
        <w:t>危险废物的收集应制定详细的操作规程，内容至少应包括适用范围、操作程序和方法、专用设备和工具、转移和交接、安全保障和应急防护等。</w:t>
      </w:r>
    </w:p>
    <w:p w14:paraId="3D41E9D9" w14:textId="77777777" w:rsidR="003E78AB" w:rsidRDefault="00010BF9">
      <w:pPr>
        <w:ind w:firstLine="482"/>
        <w:rPr>
          <w:b/>
          <w:bCs/>
          <w:u w:val="single"/>
        </w:rPr>
      </w:pPr>
      <w:r>
        <w:rPr>
          <w:rFonts w:hint="eastAsia"/>
          <w:b/>
          <w:bCs/>
          <w:u w:val="single"/>
        </w:rPr>
        <w:t>（</w:t>
      </w:r>
      <w:r>
        <w:rPr>
          <w:rFonts w:hint="eastAsia"/>
          <w:b/>
          <w:bCs/>
          <w:u w:val="single"/>
        </w:rPr>
        <w:t>3</w:t>
      </w:r>
      <w:r>
        <w:rPr>
          <w:rFonts w:hint="eastAsia"/>
          <w:b/>
          <w:bCs/>
          <w:u w:val="single"/>
        </w:rPr>
        <w:t>）配备必要的个人防护设备</w:t>
      </w:r>
    </w:p>
    <w:p w14:paraId="24B4EE65" w14:textId="77777777" w:rsidR="003E78AB" w:rsidRDefault="00010BF9">
      <w:pPr>
        <w:ind w:firstLine="482"/>
        <w:rPr>
          <w:b/>
          <w:bCs/>
          <w:u w:val="single"/>
        </w:rPr>
      </w:pPr>
      <w:r>
        <w:rPr>
          <w:rFonts w:hint="eastAsia"/>
          <w:b/>
          <w:bCs/>
          <w:u w:val="single"/>
        </w:rPr>
        <w:t>危险废物收集和转运作业人员应根据工作需要配备必</w:t>
      </w:r>
      <w:r>
        <w:rPr>
          <w:rFonts w:hint="eastAsia"/>
          <w:b/>
          <w:bCs/>
          <w:u w:val="single"/>
        </w:rPr>
        <w:t>要的个人防护装备，如手套、防护镜、防护服、防毒面具或口罩等。</w:t>
      </w:r>
    </w:p>
    <w:p w14:paraId="4C2A53E2" w14:textId="77777777" w:rsidR="003E78AB" w:rsidRDefault="00010BF9">
      <w:pPr>
        <w:ind w:firstLine="482"/>
        <w:rPr>
          <w:b/>
          <w:bCs/>
          <w:u w:val="single"/>
        </w:rPr>
      </w:pPr>
      <w:r>
        <w:rPr>
          <w:rFonts w:hint="eastAsia"/>
          <w:b/>
          <w:bCs/>
          <w:u w:val="single"/>
        </w:rPr>
        <w:t>（</w:t>
      </w:r>
      <w:r>
        <w:rPr>
          <w:rFonts w:hint="eastAsia"/>
          <w:b/>
          <w:bCs/>
          <w:u w:val="single"/>
        </w:rPr>
        <w:t>4</w:t>
      </w:r>
      <w:r>
        <w:rPr>
          <w:rFonts w:hint="eastAsia"/>
          <w:b/>
          <w:bCs/>
          <w:u w:val="single"/>
        </w:rPr>
        <w:t>）采取安全防护和污染防治措施</w:t>
      </w:r>
    </w:p>
    <w:p w14:paraId="0EE0F1FA" w14:textId="77777777" w:rsidR="003E78AB" w:rsidRDefault="00010BF9">
      <w:pPr>
        <w:ind w:firstLine="482"/>
        <w:rPr>
          <w:b/>
          <w:bCs/>
          <w:u w:val="single"/>
        </w:rPr>
      </w:pPr>
      <w:r>
        <w:rPr>
          <w:rFonts w:hint="eastAsia"/>
          <w:b/>
          <w:bCs/>
          <w:u w:val="single"/>
        </w:rPr>
        <w:t>在危险废物的收集和转运过程中，应采取相应的安全防护和污染防治措施，包括防爆、防火、防中毒、防感染、防泄漏、防飞扬、防雨或其他防止污染环境的措施。</w:t>
      </w:r>
    </w:p>
    <w:p w14:paraId="66AFB45F" w14:textId="77777777" w:rsidR="003E78AB" w:rsidRDefault="00010BF9">
      <w:pPr>
        <w:ind w:firstLine="482"/>
        <w:rPr>
          <w:b/>
          <w:bCs/>
          <w:u w:val="single"/>
        </w:rPr>
      </w:pPr>
      <w:r>
        <w:rPr>
          <w:rFonts w:hint="eastAsia"/>
          <w:b/>
          <w:bCs/>
          <w:u w:val="single"/>
        </w:rPr>
        <w:t>（</w:t>
      </w:r>
      <w:r>
        <w:rPr>
          <w:rFonts w:hint="eastAsia"/>
          <w:b/>
          <w:bCs/>
          <w:u w:val="single"/>
        </w:rPr>
        <w:t>5</w:t>
      </w:r>
      <w:r>
        <w:rPr>
          <w:rFonts w:hint="eastAsia"/>
          <w:b/>
          <w:bCs/>
          <w:u w:val="single"/>
        </w:rPr>
        <w:t>）采用合适的包装形式</w:t>
      </w:r>
    </w:p>
    <w:p w14:paraId="7DA79552" w14:textId="77777777" w:rsidR="003E78AB" w:rsidRDefault="00010BF9">
      <w:pPr>
        <w:ind w:firstLine="482"/>
        <w:rPr>
          <w:b/>
          <w:bCs/>
          <w:u w:val="single"/>
        </w:rPr>
      </w:pPr>
      <w:r>
        <w:rPr>
          <w:rFonts w:hint="eastAsia"/>
          <w:b/>
          <w:bCs/>
          <w:u w:val="single"/>
        </w:rPr>
        <w:t>危险废物收集时应根据危险废物的种类、数量、危险特性、物理形态、运输要求等因素确定包装形式，具体包装应符合如下要求：</w:t>
      </w:r>
    </w:p>
    <w:p w14:paraId="211871D0" w14:textId="77777777" w:rsidR="003E78AB" w:rsidRDefault="00010BF9">
      <w:pPr>
        <w:ind w:firstLine="482"/>
        <w:rPr>
          <w:b/>
          <w:bCs/>
          <w:u w:val="single"/>
        </w:rPr>
      </w:pPr>
      <w:r>
        <w:rPr>
          <w:rFonts w:hint="eastAsia"/>
          <w:b/>
          <w:bCs/>
          <w:u w:val="single"/>
        </w:rPr>
        <w:t>①包装材质要与危险废物相容，可根据废物特性选择钢、铝、塑料等材质。</w:t>
      </w:r>
    </w:p>
    <w:p w14:paraId="41D2F854" w14:textId="77777777" w:rsidR="003E78AB" w:rsidRDefault="00010BF9">
      <w:pPr>
        <w:ind w:firstLine="482"/>
        <w:rPr>
          <w:b/>
          <w:bCs/>
          <w:u w:val="single"/>
        </w:rPr>
      </w:pPr>
      <w:r>
        <w:rPr>
          <w:rFonts w:hint="eastAsia"/>
          <w:b/>
          <w:bCs/>
          <w:u w:val="single"/>
        </w:rPr>
        <w:t>②性质类似的废物可收集到同一容器中，性质不相容的危险废物不应</w:t>
      </w:r>
      <w:r>
        <w:rPr>
          <w:rFonts w:hint="eastAsia"/>
          <w:b/>
          <w:bCs/>
          <w:u w:val="single"/>
        </w:rPr>
        <w:t>混合包装。</w:t>
      </w:r>
    </w:p>
    <w:p w14:paraId="558D7818" w14:textId="77777777" w:rsidR="003E78AB" w:rsidRDefault="00010BF9">
      <w:pPr>
        <w:ind w:firstLine="482"/>
        <w:rPr>
          <w:b/>
          <w:bCs/>
          <w:u w:val="single"/>
        </w:rPr>
      </w:pPr>
      <w:r>
        <w:rPr>
          <w:rFonts w:hint="eastAsia"/>
          <w:b/>
          <w:bCs/>
          <w:u w:val="single"/>
        </w:rPr>
        <w:t>③危险废物包装应能有效隔断危险废物迁移扩散途径，并达到防渗、防漏要求。</w:t>
      </w:r>
    </w:p>
    <w:p w14:paraId="2F4518CC" w14:textId="77777777" w:rsidR="003E78AB" w:rsidRDefault="00010BF9">
      <w:pPr>
        <w:ind w:firstLine="482"/>
        <w:rPr>
          <w:b/>
          <w:bCs/>
          <w:u w:val="single"/>
        </w:rPr>
      </w:pPr>
      <w:r>
        <w:rPr>
          <w:rFonts w:hint="eastAsia"/>
          <w:b/>
          <w:bCs/>
          <w:u w:val="single"/>
        </w:rPr>
        <w:t>④包装好的危险废物应设置相应的标签，标签信息应填写完整详实。</w:t>
      </w:r>
    </w:p>
    <w:p w14:paraId="08D5090E" w14:textId="77777777" w:rsidR="003E78AB" w:rsidRDefault="00010BF9">
      <w:pPr>
        <w:ind w:firstLine="482"/>
        <w:rPr>
          <w:b/>
          <w:bCs/>
          <w:u w:val="single"/>
        </w:rPr>
      </w:pPr>
      <w:r>
        <w:rPr>
          <w:rFonts w:hint="eastAsia"/>
          <w:b/>
          <w:bCs/>
          <w:u w:val="single"/>
        </w:rPr>
        <w:t>⑤盛装过危险废物的包装袋或包装容器破损后应按危险废物进行管理和处置。</w:t>
      </w:r>
    </w:p>
    <w:p w14:paraId="6FC90160" w14:textId="77777777" w:rsidR="003E78AB" w:rsidRDefault="00010BF9">
      <w:pPr>
        <w:ind w:firstLine="482"/>
        <w:rPr>
          <w:b/>
          <w:bCs/>
          <w:u w:val="single"/>
        </w:rPr>
      </w:pPr>
      <w:r>
        <w:rPr>
          <w:rFonts w:hint="eastAsia"/>
          <w:b/>
          <w:bCs/>
          <w:u w:val="single"/>
        </w:rPr>
        <w:t>⑥危险废物还应根据</w:t>
      </w:r>
      <w:r>
        <w:rPr>
          <w:rFonts w:hint="eastAsia"/>
          <w:b/>
          <w:bCs/>
          <w:u w:val="single"/>
        </w:rPr>
        <w:t>GB12463</w:t>
      </w:r>
      <w:r>
        <w:rPr>
          <w:rFonts w:hint="eastAsia"/>
          <w:b/>
          <w:bCs/>
          <w:u w:val="single"/>
        </w:rPr>
        <w:t>的有关要求进行运输包装。</w:t>
      </w:r>
    </w:p>
    <w:p w14:paraId="0D46AEEC" w14:textId="77777777" w:rsidR="003E78AB" w:rsidRDefault="00010BF9">
      <w:pPr>
        <w:ind w:firstLine="482"/>
        <w:rPr>
          <w:b/>
          <w:bCs/>
          <w:u w:val="single"/>
        </w:rPr>
      </w:pPr>
      <w:r>
        <w:rPr>
          <w:rFonts w:hint="eastAsia"/>
          <w:b/>
          <w:bCs/>
          <w:u w:val="single"/>
        </w:rPr>
        <w:t>（</w:t>
      </w:r>
      <w:r>
        <w:rPr>
          <w:rFonts w:hint="eastAsia"/>
          <w:b/>
          <w:bCs/>
          <w:u w:val="single"/>
        </w:rPr>
        <w:t>6</w:t>
      </w:r>
      <w:r>
        <w:rPr>
          <w:rFonts w:hint="eastAsia"/>
          <w:b/>
          <w:bCs/>
          <w:u w:val="single"/>
        </w:rPr>
        <w:t>）危废收集作业还应满足的要求</w:t>
      </w:r>
    </w:p>
    <w:p w14:paraId="6BB14EB3" w14:textId="77777777" w:rsidR="003E78AB" w:rsidRDefault="00010BF9">
      <w:pPr>
        <w:ind w:firstLine="482"/>
        <w:rPr>
          <w:b/>
          <w:bCs/>
          <w:u w:val="single"/>
        </w:rPr>
      </w:pPr>
      <w:r>
        <w:rPr>
          <w:rFonts w:hint="eastAsia"/>
          <w:b/>
          <w:bCs/>
          <w:u w:val="single"/>
        </w:rPr>
        <w:t>①应根据收集设备、转运车辆以及现场人员等实际情况确定相应作业区域，同时要设置作业界限标志和警示牌。</w:t>
      </w:r>
    </w:p>
    <w:p w14:paraId="0C25275C" w14:textId="77777777" w:rsidR="003E78AB" w:rsidRDefault="00010BF9">
      <w:pPr>
        <w:ind w:firstLine="482"/>
        <w:rPr>
          <w:b/>
          <w:bCs/>
          <w:u w:val="single"/>
        </w:rPr>
      </w:pPr>
      <w:r>
        <w:rPr>
          <w:rFonts w:hint="eastAsia"/>
          <w:b/>
          <w:bCs/>
          <w:u w:val="single"/>
        </w:rPr>
        <w:t>②作业区域内应设置危险废物收集专用通道和人员避险通道。</w:t>
      </w:r>
    </w:p>
    <w:p w14:paraId="0863B17E" w14:textId="77777777" w:rsidR="003E78AB" w:rsidRDefault="00010BF9">
      <w:pPr>
        <w:ind w:firstLine="482"/>
        <w:rPr>
          <w:b/>
          <w:bCs/>
          <w:u w:val="single"/>
        </w:rPr>
      </w:pPr>
      <w:r>
        <w:rPr>
          <w:rFonts w:hint="eastAsia"/>
          <w:b/>
          <w:bCs/>
          <w:u w:val="single"/>
        </w:rPr>
        <w:t>③收集时应配备必要的收集工具和包装物，以及必要的</w:t>
      </w:r>
      <w:r>
        <w:rPr>
          <w:rFonts w:hint="eastAsia"/>
          <w:b/>
          <w:bCs/>
          <w:u w:val="single"/>
        </w:rPr>
        <w:t>应急监测设备及应急装备。</w:t>
      </w:r>
    </w:p>
    <w:p w14:paraId="739CE3AC" w14:textId="77777777" w:rsidR="003E78AB" w:rsidRDefault="00010BF9">
      <w:pPr>
        <w:ind w:firstLine="482"/>
        <w:rPr>
          <w:b/>
          <w:bCs/>
          <w:u w:val="single"/>
        </w:rPr>
      </w:pPr>
      <w:r>
        <w:rPr>
          <w:rFonts w:hint="eastAsia"/>
          <w:b/>
          <w:bCs/>
          <w:u w:val="single"/>
        </w:rPr>
        <w:t>④危险废物收集应参照危废贮存标准附录</w:t>
      </w:r>
      <w:r>
        <w:rPr>
          <w:rFonts w:hint="eastAsia"/>
          <w:b/>
          <w:bCs/>
          <w:u w:val="single"/>
        </w:rPr>
        <w:t>A</w:t>
      </w:r>
      <w:r>
        <w:rPr>
          <w:rFonts w:hint="eastAsia"/>
          <w:b/>
          <w:bCs/>
          <w:u w:val="single"/>
        </w:rPr>
        <w:t>填写记录表，并将记录表作为危险废物管理的重要档案妥善保存。</w:t>
      </w:r>
    </w:p>
    <w:p w14:paraId="64D72076" w14:textId="77777777" w:rsidR="003E78AB" w:rsidRDefault="00010BF9">
      <w:pPr>
        <w:ind w:firstLine="482"/>
        <w:rPr>
          <w:b/>
          <w:bCs/>
          <w:u w:val="single"/>
        </w:rPr>
      </w:pPr>
      <w:r>
        <w:rPr>
          <w:rFonts w:hint="eastAsia"/>
          <w:b/>
          <w:bCs/>
          <w:u w:val="single"/>
        </w:rPr>
        <w:t>⑤收集结束后应清理和恢复收集作业区域，确保作业区域环境整洁安全。</w:t>
      </w:r>
    </w:p>
    <w:p w14:paraId="2C054D1F" w14:textId="77777777" w:rsidR="003E78AB" w:rsidRDefault="00010BF9">
      <w:pPr>
        <w:ind w:firstLine="482"/>
        <w:rPr>
          <w:b/>
          <w:bCs/>
          <w:u w:val="single"/>
        </w:rPr>
      </w:pPr>
      <w:r>
        <w:rPr>
          <w:rFonts w:hint="eastAsia"/>
          <w:b/>
          <w:bCs/>
          <w:u w:val="single"/>
        </w:rPr>
        <w:t>⑥收集过危险废物的容器、设备、设施、场所及其它物品转作它用时，应消除污染，确保其使用安全。</w:t>
      </w:r>
    </w:p>
    <w:p w14:paraId="626C7A92" w14:textId="77777777" w:rsidR="003E78AB" w:rsidRDefault="00010BF9">
      <w:pPr>
        <w:pStyle w:val="5"/>
        <w:keepNext w:val="0"/>
        <w:keepLines w:val="0"/>
        <w:ind w:firstLine="482"/>
        <w:rPr>
          <w:bCs/>
          <w:sz w:val="24"/>
          <w:u w:val="single"/>
        </w:rPr>
      </w:pPr>
      <w:r>
        <w:rPr>
          <w:rFonts w:hint="eastAsia"/>
          <w:bCs/>
          <w:sz w:val="24"/>
          <w:u w:val="single"/>
        </w:rPr>
        <w:t>3.</w:t>
      </w:r>
      <w:r>
        <w:rPr>
          <w:rFonts w:hint="eastAsia"/>
          <w:bCs/>
          <w:sz w:val="24"/>
          <w:u w:val="single"/>
        </w:rPr>
        <w:t>危险废物内部转运污染防治措施</w:t>
      </w:r>
    </w:p>
    <w:p w14:paraId="76A72AD9" w14:textId="77777777" w:rsidR="003E78AB" w:rsidRDefault="00010BF9">
      <w:pPr>
        <w:ind w:firstLine="482"/>
        <w:rPr>
          <w:b/>
          <w:bCs/>
          <w:u w:val="single"/>
        </w:rPr>
      </w:pPr>
      <w:r>
        <w:rPr>
          <w:rFonts w:hint="eastAsia"/>
          <w:b/>
          <w:bCs/>
          <w:u w:val="single"/>
        </w:rPr>
        <w:t>①危险废物内部转运应综合考虑厂区的实际情况确定转运路线，尽量避开办公区和生活区。</w:t>
      </w:r>
    </w:p>
    <w:p w14:paraId="0623B1AF" w14:textId="77777777" w:rsidR="003E78AB" w:rsidRDefault="00010BF9">
      <w:pPr>
        <w:ind w:firstLine="482"/>
        <w:rPr>
          <w:b/>
          <w:bCs/>
          <w:u w:val="single"/>
        </w:rPr>
      </w:pPr>
      <w:r>
        <w:rPr>
          <w:rFonts w:hint="eastAsia"/>
          <w:b/>
          <w:bCs/>
          <w:u w:val="single"/>
        </w:rPr>
        <w:t>②危险废物内部转运作业应采用专用的工具，危险废物内部转运应参照《危险废物收集、贮存、运输技术规范》附录</w:t>
      </w:r>
      <w:r>
        <w:rPr>
          <w:rFonts w:hint="eastAsia"/>
          <w:b/>
          <w:bCs/>
          <w:u w:val="single"/>
        </w:rPr>
        <w:t>B</w:t>
      </w:r>
      <w:r>
        <w:rPr>
          <w:rFonts w:hint="eastAsia"/>
          <w:b/>
          <w:bCs/>
          <w:u w:val="single"/>
        </w:rPr>
        <w:t>填写《危险</w:t>
      </w:r>
      <w:r>
        <w:rPr>
          <w:rFonts w:hint="eastAsia"/>
          <w:b/>
          <w:bCs/>
          <w:u w:val="single"/>
        </w:rPr>
        <w:t>废物厂内转运记录表》。</w:t>
      </w:r>
    </w:p>
    <w:p w14:paraId="22643AF4" w14:textId="77777777" w:rsidR="003E78AB" w:rsidRDefault="00010BF9">
      <w:pPr>
        <w:ind w:firstLine="482"/>
        <w:rPr>
          <w:b/>
          <w:bCs/>
          <w:u w:val="single"/>
        </w:rPr>
      </w:pPr>
      <w:r>
        <w:rPr>
          <w:rFonts w:hint="eastAsia"/>
          <w:b/>
          <w:bCs/>
          <w:u w:val="single"/>
        </w:rPr>
        <w:t>③危险废物内部转运结束后，应对转运路线进行检查和清理，确保无危险废物遗失在转运路线上，并对转运工具进行清洗。</w:t>
      </w:r>
    </w:p>
    <w:p w14:paraId="7A3654D7" w14:textId="77777777" w:rsidR="003E78AB" w:rsidRDefault="00010BF9">
      <w:pPr>
        <w:ind w:firstLine="482"/>
        <w:rPr>
          <w:b/>
          <w:bCs/>
          <w:u w:val="single"/>
        </w:rPr>
      </w:pPr>
      <w:r>
        <w:rPr>
          <w:rFonts w:hint="eastAsia"/>
          <w:b/>
          <w:bCs/>
          <w:u w:val="single"/>
        </w:rPr>
        <w:t>④对产生的危险固废，按班次转移，暂存于危废贮存库。</w:t>
      </w:r>
    </w:p>
    <w:p w14:paraId="1161B0C6" w14:textId="77777777" w:rsidR="003E78AB" w:rsidRDefault="00010BF9">
      <w:pPr>
        <w:ind w:firstLine="482"/>
        <w:rPr>
          <w:b/>
          <w:bCs/>
          <w:u w:val="single"/>
        </w:rPr>
      </w:pPr>
      <w:r>
        <w:rPr>
          <w:rFonts w:hint="eastAsia"/>
          <w:b/>
          <w:bCs/>
          <w:u w:val="single"/>
        </w:rPr>
        <w:t>⑤临时包装要求，收集不具备运输包装条件的危险废物时，且危险特性不会对环境和操作人员造成重大危害，可在临时包装后进行暂时贮存，但正式运输前应按本标准要求进行包装。</w:t>
      </w:r>
    </w:p>
    <w:p w14:paraId="6BC7485C" w14:textId="77777777" w:rsidR="003E78AB" w:rsidRDefault="00010BF9">
      <w:pPr>
        <w:pStyle w:val="5"/>
        <w:keepNext w:val="0"/>
        <w:keepLines w:val="0"/>
        <w:ind w:firstLine="482"/>
        <w:rPr>
          <w:bCs/>
          <w:sz w:val="24"/>
          <w:u w:val="single"/>
        </w:rPr>
      </w:pPr>
      <w:r>
        <w:rPr>
          <w:rFonts w:hint="eastAsia"/>
          <w:bCs/>
          <w:sz w:val="24"/>
          <w:u w:val="single"/>
        </w:rPr>
        <w:t>4.</w:t>
      </w:r>
      <w:r>
        <w:rPr>
          <w:rFonts w:hint="eastAsia"/>
          <w:bCs/>
          <w:sz w:val="24"/>
          <w:u w:val="single"/>
        </w:rPr>
        <w:t>危险废物外部转运污染防治措施</w:t>
      </w:r>
    </w:p>
    <w:p w14:paraId="572FE69C" w14:textId="77777777" w:rsidR="003E78AB" w:rsidRDefault="00010BF9">
      <w:pPr>
        <w:ind w:firstLine="482"/>
        <w:rPr>
          <w:b/>
          <w:bCs/>
          <w:u w:val="single"/>
        </w:rPr>
      </w:pPr>
      <w:r>
        <w:rPr>
          <w:rFonts w:hint="eastAsia"/>
          <w:b/>
          <w:bCs/>
          <w:u w:val="single"/>
        </w:rPr>
        <w:t>危险废物的运输需由具有相应资质的公司，在按照《危险废物收集贮存运输技术规范》（</w:t>
      </w:r>
      <w:r>
        <w:rPr>
          <w:rFonts w:hint="eastAsia"/>
          <w:b/>
          <w:bCs/>
          <w:u w:val="single"/>
        </w:rPr>
        <w:t>HJ2025</w:t>
      </w:r>
      <w:r>
        <w:rPr>
          <w:rFonts w:hint="eastAsia"/>
          <w:b/>
          <w:bCs/>
          <w:u w:val="single"/>
        </w:rPr>
        <w:t>）、《危险废物转移管理办法》（生态环境部、公安部、交通运输部，部令第</w:t>
      </w:r>
      <w:r>
        <w:rPr>
          <w:rFonts w:hint="eastAsia"/>
          <w:b/>
          <w:bCs/>
          <w:u w:val="single"/>
        </w:rPr>
        <w:t>23</w:t>
      </w:r>
      <w:r>
        <w:rPr>
          <w:rFonts w:hint="eastAsia"/>
          <w:b/>
          <w:bCs/>
          <w:u w:val="single"/>
        </w:rPr>
        <w:t>号）要求的基础上以公路运输的形式进行运输，具体的转移和运输要求如下：</w:t>
      </w:r>
    </w:p>
    <w:p w14:paraId="63AECBCE" w14:textId="77777777" w:rsidR="003E78AB" w:rsidRDefault="00010BF9">
      <w:pPr>
        <w:ind w:firstLine="482"/>
        <w:rPr>
          <w:b/>
          <w:bCs/>
          <w:u w:val="single"/>
        </w:rPr>
      </w:pPr>
      <w:r>
        <w:rPr>
          <w:rFonts w:hint="eastAsia"/>
          <w:b/>
          <w:bCs/>
          <w:u w:val="single"/>
        </w:rPr>
        <w:t>（</w:t>
      </w:r>
      <w:r>
        <w:rPr>
          <w:rFonts w:hint="eastAsia"/>
          <w:b/>
          <w:bCs/>
          <w:u w:val="single"/>
        </w:rPr>
        <w:t>1</w:t>
      </w:r>
      <w:r>
        <w:rPr>
          <w:rFonts w:hint="eastAsia"/>
          <w:b/>
          <w:bCs/>
          <w:u w:val="single"/>
        </w:rPr>
        <w:t>）危险废物的转移要求</w:t>
      </w:r>
    </w:p>
    <w:p w14:paraId="43CD9592" w14:textId="77777777" w:rsidR="003E78AB" w:rsidRDefault="00010BF9">
      <w:pPr>
        <w:ind w:firstLine="482"/>
        <w:rPr>
          <w:b/>
          <w:bCs/>
          <w:u w:val="single"/>
        </w:rPr>
      </w:pPr>
      <w:r>
        <w:rPr>
          <w:rFonts w:hint="eastAsia"/>
          <w:b/>
          <w:bCs/>
          <w:u w:val="single"/>
        </w:rPr>
        <w:t>转移危险废物的，应当执行危险废物转移联单制度，通过国家危险废物信息管理系统填写、运行危险废物电子转移联单，并依照国家有关规定公开危险废物转移相关污染环境防治信息。</w:t>
      </w:r>
    </w:p>
    <w:p w14:paraId="40EFE5EB" w14:textId="77777777" w:rsidR="003E78AB" w:rsidRDefault="00010BF9">
      <w:pPr>
        <w:ind w:firstLine="482"/>
        <w:rPr>
          <w:b/>
          <w:bCs/>
          <w:u w:val="single"/>
        </w:rPr>
      </w:pPr>
      <w:r>
        <w:rPr>
          <w:rFonts w:hint="eastAsia"/>
          <w:b/>
          <w:bCs/>
          <w:u w:val="single"/>
        </w:rPr>
        <w:t>（</w:t>
      </w:r>
      <w:r>
        <w:rPr>
          <w:rFonts w:hint="eastAsia"/>
          <w:b/>
          <w:bCs/>
          <w:u w:val="single"/>
        </w:rPr>
        <w:t>2</w:t>
      </w:r>
      <w:r>
        <w:rPr>
          <w:rFonts w:hint="eastAsia"/>
          <w:b/>
          <w:bCs/>
          <w:u w:val="single"/>
        </w:rPr>
        <w:t>）移出人义务</w:t>
      </w:r>
    </w:p>
    <w:p w14:paraId="4E544714" w14:textId="77777777" w:rsidR="003E78AB" w:rsidRDefault="00010BF9">
      <w:pPr>
        <w:ind w:firstLine="482"/>
        <w:rPr>
          <w:b/>
          <w:bCs/>
          <w:u w:val="single"/>
        </w:rPr>
      </w:pPr>
      <w:r>
        <w:rPr>
          <w:rFonts w:hint="eastAsia"/>
          <w:b/>
          <w:bCs/>
          <w:u w:val="single"/>
        </w:rPr>
        <w:t>①对承运人或者接受人的主体资格和技术能力进行核实，依法签订书面合同，并在合同中约定运输、贮存、利用、处置危险废物的污染防治要求及相关责任；</w:t>
      </w:r>
    </w:p>
    <w:p w14:paraId="1237BAE3" w14:textId="77777777" w:rsidR="003E78AB" w:rsidRDefault="00010BF9">
      <w:pPr>
        <w:ind w:firstLine="482"/>
        <w:rPr>
          <w:b/>
          <w:bCs/>
          <w:u w:val="single"/>
        </w:rPr>
      </w:pPr>
      <w:r>
        <w:rPr>
          <w:rFonts w:hint="eastAsia"/>
          <w:b/>
          <w:bCs/>
          <w:u w:val="single"/>
        </w:rPr>
        <w:t>②制定危险废物管理计划，明确拟转移危险废物的种类、重量</w:t>
      </w:r>
      <w:r>
        <w:rPr>
          <w:rFonts w:hint="eastAsia"/>
          <w:b/>
          <w:bCs/>
          <w:u w:val="single"/>
        </w:rPr>
        <w:t>(</w:t>
      </w:r>
      <w:r>
        <w:rPr>
          <w:rFonts w:hint="eastAsia"/>
          <w:b/>
          <w:bCs/>
          <w:u w:val="single"/>
        </w:rPr>
        <w:t>数量</w:t>
      </w:r>
      <w:r>
        <w:rPr>
          <w:rFonts w:hint="eastAsia"/>
          <w:b/>
          <w:bCs/>
          <w:u w:val="single"/>
        </w:rPr>
        <w:t>)</w:t>
      </w:r>
      <w:r>
        <w:rPr>
          <w:rFonts w:hint="eastAsia"/>
          <w:b/>
          <w:bCs/>
          <w:u w:val="single"/>
        </w:rPr>
        <w:t>和流向等信息；</w:t>
      </w:r>
    </w:p>
    <w:p w14:paraId="7F094A29" w14:textId="77777777" w:rsidR="003E78AB" w:rsidRDefault="00010BF9">
      <w:pPr>
        <w:ind w:firstLine="482"/>
        <w:rPr>
          <w:b/>
          <w:bCs/>
          <w:u w:val="single"/>
        </w:rPr>
      </w:pPr>
      <w:r>
        <w:rPr>
          <w:rFonts w:hint="eastAsia"/>
          <w:b/>
          <w:bCs/>
          <w:u w:val="single"/>
        </w:rPr>
        <w:t>③建立危险废物管理台账，对转移的危险废物进行计量称重，如实记录、妥善保管转移危险废物的种类、重量</w:t>
      </w:r>
      <w:r>
        <w:rPr>
          <w:rFonts w:hint="eastAsia"/>
          <w:b/>
          <w:bCs/>
          <w:u w:val="single"/>
        </w:rPr>
        <w:t>(</w:t>
      </w:r>
      <w:r>
        <w:rPr>
          <w:rFonts w:hint="eastAsia"/>
          <w:b/>
          <w:bCs/>
          <w:u w:val="single"/>
        </w:rPr>
        <w:t>数量</w:t>
      </w:r>
      <w:r>
        <w:rPr>
          <w:rFonts w:hint="eastAsia"/>
          <w:b/>
          <w:bCs/>
          <w:u w:val="single"/>
        </w:rPr>
        <w:t>)</w:t>
      </w:r>
      <w:r>
        <w:rPr>
          <w:rFonts w:hint="eastAsia"/>
          <w:b/>
          <w:bCs/>
          <w:u w:val="single"/>
        </w:rPr>
        <w:t>和接收人等相关信息；</w:t>
      </w:r>
    </w:p>
    <w:p w14:paraId="226F13D6" w14:textId="77777777" w:rsidR="003E78AB" w:rsidRDefault="00010BF9">
      <w:pPr>
        <w:ind w:firstLine="482"/>
        <w:rPr>
          <w:b/>
          <w:bCs/>
          <w:u w:val="single"/>
        </w:rPr>
      </w:pPr>
      <w:r>
        <w:rPr>
          <w:rFonts w:hint="eastAsia"/>
          <w:b/>
          <w:bCs/>
          <w:u w:val="single"/>
        </w:rPr>
        <w:t>④填写、运行危险废物转移联单，在危险废物转移联单中如实填写移出人、承运人、接收人信息，转移危险废物的种类、重量</w:t>
      </w:r>
      <w:r>
        <w:rPr>
          <w:rFonts w:hint="eastAsia"/>
          <w:b/>
          <w:bCs/>
          <w:u w:val="single"/>
        </w:rPr>
        <w:t>(</w:t>
      </w:r>
      <w:r>
        <w:rPr>
          <w:rFonts w:hint="eastAsia"/>
          <w:b/>
          <w:bCs/>
          <w:u w:val="single"/>
        </w:rPr>
        <w:t>数量</w:t>
      </w:r>
      <w:r>
        <w:rPr>
          <w:rFonts w:hint="eastAsia"/>
          <w:b/>
          <w:bCs/>
          <w:u w:val="single"/>
        </w:rPr>
        <w:t>)</w:t>
      </w:r>
      <w:r>
        <w:rPr>
          <w:rFonts w:hint="eastAsia"/>
          <w:b/>
          <w:bCs/>
          <w:u w:val="single"/>
        </w:rPr>
        <w:t>、危险特性等信息，以及突发环境事件的防范措施等；</w:t>
      </w:r>
    </w:p>
    <w:p w14:paraId="1A58C5D9" w14:textId="77777777" w:rsidR="003E78AB" w:rsidRDefault="00010BF9">
      <w:pPr>
        <w:ind w:firstLine="482"/>
        <w:rPr>
          <w:b/>
          <w:bCs/>
          <w:u w:val="single"/>
        </w:rPr>
      </w:pPr>
      <w:r>
        <w:rPr>
          <w:rFonts w:hint="eastAsia"/>
          <w:b/>
          <w:bCs/>
          <w:u w:val="single"/>
        </w:rPr>
        <w:t>⑤及时核实接受人贮存、利用或者处置相关危险废物情况；移出人应当按照国家有关要求开展危险废物鉴别。禁止将危险废物以副产品等名义提供或者委托给无危险废物经营许可证的单位或者其他生产经营者从事收集、贮存、利用、处置活动。</w:t>
      </w:r>
    </w:p>
    <w:p w14:paraId="5AAAC5C9" w14:textId="77777777" w:rsidR="003E78AB" w:rsidRDefault="00010BF9">
      <w:pPr>
        <w:ind w:firstLine="482"/>
        <w:rPr>
          <w:b/>
          <w:bCs/>
          <w:u w:val="single"/>
        </w:rPr>
      </w:pPr>
      <w:r>
        <w:rPr>
          <w:rFonts w:hint="eastAsia"/>
          <w:b/>
          <w:bCs/>
          <w:u w:val="single"/>
        </w:rPr>
        <w:t>（</w:t>
      </w:r>
      <w:r>
        <w:rPr>
          <w:rFonts w:hint="eastAsia"/>
          <w:b/>
          <w:bCs/>
          <w:u w:val="single"/>
        </w:rPr>
        <w:t>3</w:t>
      </w:r>
      <w:r>
        <w:rPr>
          <w:rFonts w:hint="eastAsia"/>
          <w:b/>
          <w:bCs/>
          <w:u w:val="single"/>
        </w:rPr>
        <w:t>）转移联单的运行和管理</w:t>
      </w:r>
    </w:p>
    <w:p w14:paraId="64729373" w14:textId="77777777" w:rsidR="003E78AB" w:rsidRDefault="00010BF9">
      <w:pPr>
        <w:ind w:firstLine="482"/>
        <w:rPr>
          <w:b/>
          <w:bCs/>
          <w:u w:val="single"/>
        </w:rPr>
      </w:pPr>
      <w:r>
        <w:rPr>
          <w:rFonts w:hint="eastAsia"/>
          <w:b/>
          <w:bCs/>
          <w:u w:val="single"/>
        </w:rPr>
        <w:t>危险废物转移联单应当根据危险废物管理计划中填报的危险废物转移等备案信息填写、运行。</w:t>
      </w:r>
    </w:p>
    <w:p w14:paraId="1A8F7E0B" w14:textId="77777777" w:rsidR="003E78AB" w:rsidRDefault="00010BF9">
      <w:pPr>
        <w:ind w:firstLine="482"/>
        <w:rPr>
          <w:b/>
          <w:bCs/>
          <w:u w:val="single"/>
        </w:rPr>
      </w:pPr>
      <w:r>
        <w:rPr>
          <w:rFonts w:hint="eastAsia"/>
          <w:b/>
          <w:bCs/>
          <w:u w:val="single"/>
        </w:rPr>
        <w:t>移出人每转移一车次同类危险废物，应当填写、运行一份危险废物转移联单；每车次转移多类危险废物的，可以填写、运行一份危险废物转移联单，也可以每一类危险废物填写、运行一份危险废物转移联单。</w:t>
      </w:r>
    </w:p>
    <w:p w14:paraId="0DE3289E" w14:textId="77777777" w:rsidR="003E78AB" w:rsidRDefault="00010BF9">
      <w:pPr>
        <w:ind w:firstLine="482"/>
        <w:rPr>
          <w:b/>
          <w:bCs/>
          <w:u w:val="single"/>
        </w:rPr>
      </w:pPr>
      <w:r>
        <w:rPr>
          <w:rFonts w:hint="eastAsia"/>
          <w:b/>
          <w:bCs/>
          <w:u w:val="single"/>
        </w:rPr>
        <w:t>对不通过车，且无法按次对危险废物计量的其他方式转移危险废物的，移出人和接受人应当分别配备计量记录设备，将每天危险废物转移的种类、重量</w:t>
      </w:r>
      <w:r>
        <w:rPr>
          <w:rFonts w:hint="eastAsia"/>
          <w:b/>
          <w:bCs/>
          <w:u w:val="single"/>
        </w:rPr>
        <w:t>(</w:t>
      </w:r>
      <w:r>
        <w:rPr>
          <w:rFonts w:hint="eastAsia"/>
          <w:b/>
          <w:bCs/>
          <w:u w:val="single"/>
        </w:rPr>
        <w:t>数量</w:t>
      </w:r>
      <w:r>
        <w:rPr>
          <w:rFonts w:hint="eastAsia"/>
          <w:b/>
          <w:bCs/>
          <w:u w:val="single"/>
        </w:rPr>
        <w:t>)</w:t>
      </w:r>
      <w:r>
        <w:rPr>
          <w:rFonts w:hint="eastAsia"/>
          <w:b/>
          <w:bCs/>
          <w:u w:val="single"/>
        </w:rPr>
        <w:t>、形态和危险特性等信息纳入相关台账记录，并根据所在地设区的市级以上地方生态环境主管部门的要求填写、运行危险废物转移联单。</w:t>
      </w:r>
    </w:p>
    <w:p w14:paraId="5E99E6D9" w14:textId="77777777" w:rsidR="003E78AB" w:rsidRDefault="00010BF9">
      <w:pPr>
        <w:ind w:firstLine="482"/>
        <w:rPr>
          <w:b/>
          <w:bCs/>
          <w:u w:val="single"/>
        </w:rPr>
      </w:pPr>
      <w:r>
        <w:rPr>
          <w:rFonts w:hint="eastAsia"/>
          <w:b/>
          <w:bCs/>
          <w:u w:val="single"/>
        </w:rPr>
        <w:t>危险废物电子转移联单数据应当在信息系统中至少保存十年。</w:t>
      </w:r>
    </w:p>
    <w:p w14:paraId="513A0E8A" w14:textId="77777777" w:rsidR="003E78AB" w:rsidRDefault="00010BF9">
      <w:pPr>
        <w:ind w:firstLine="482"/>
        <w:rPr>
          <w:b/>
          <w:bCs/>
          <w:u w:val="single"/>
        </w:rPr>
      </w:pPr>
      <w:r>
        <w:rPr>
          <w:rFonts w:hint="eastAsia"/>
          <w:b/>
          <w:bCs/>
          <w:u w:val="single"/>
        </w:rPr>
        <w:t>因特殊原因无法运行危险废物电子转移联单的，可以先使用纸质转移联单，并于转移活动完成后十个工作日内在信息系统中补录电子转移联单。</w:t>
      </w:r>
    </w:p>
    <w:p w14:paraId="3B4C99B4" w14:textId="77777777" w:rsidR="003E78AB" w:rsidRDefault="00010BF9">
      <w:pPr>
        <w:ind w:firstLine="482"/>
        <w:rPr>
          <w:b/>
          <w:bCs/>
          <w:u w:val="single"/>
        </w:rPr>
      </w:pPr>
      <w:r>
        <w:rPr>
          <w:rFonts w:hint="eastAsia"/>
          <w:b/>
          <w:bCs/>
          <w:u w:val="single"/>
        </w:rPr>
        <w:t>（</w:t>
      </w:r>
      <w:r>
        <w:rPr>
          <w:rFonts w:hint="eastAsia"/>
          <w:b/>
          <w:bCs/>
          <w:u w:val="single"/>
        </w:rPr>
        <w:t>4</w:t>
      </w:r>
      <w:r>
        <w:rPr>
          <w:rFonts w:hint="eastAsia"/>
          <w:b/>
          <w:bCs/>
          <w:u w:val="single"/>
        </w:rPr>
        <w:t>）危险废物的运输要求</w:t>
      </w:r>
    </w:p>
    <w:p w14:paraId="04B15281" w14:textId="77777777" w:rsidR="003E78AB" w:rsidRDefault="00010BF9">
      <w:pPr>
        <w:ind w:firstLine="482"/>
        <w:rPr>
          <w:b/>
          <w:bCs/>
          <w:u w:val="single"/>
        </w:rPr>
      </w:pPr>
      <w:r>
        <w:rPr>
          <w:rFonts w:hint="eastAsia"/>
          <w:b/>
          <w:bCs/>
          <w:u w:val="single"/>
        </w:rPr>
        <w:t>①危险废物运输应由持有危险废物经营许可证</w:t>
      </w:r>
      <w:r>
        <w:rPr>
          <w:rFonts w:hint="eastAsia"/>
          <w:b/>
          <w:bCs/>
          <w:u w:val="single"/>
        </w:rPr>
        <w:t>的单位按照其许可证的经营范围组织实施，承担危险废物运输的单位应获得交通运输部门颁发的危险货物运输资质。</w:t>
      </w:r>
    </w:p>
    <w:p w14:paraId="21B6D69D" w14:textId="77777777" w:rsidR="003E78AB" w:rsidRDefault="00010BF9">
      <w:pPr>
        <w:ind w:firstLine="482"/>
        <w:rPr>
          <w:b/>
          <w:bCs/>
          <w:u w:val="single"/>
        </w:rPr>
      </w:pPr>
      <w:r>
        <w:rPr>
          <w:rFonts w:hint="eastAsia"/>
          <w:b/>
          <w:bCs/>
          <w:u w:val="single"/>
        </w:rPr>
        <w:t>②运输危险公路运输应按照《道路危险货物运输管理规定》（交通部令</w:t>
      </w:r>
      <w:r>
        <w:rPr>
          <w:b/>
          <w:bCs/>
          <w:u w:val="single"/>
        </w:rPr>
        <w:t>〔</w:t>
      </w:r>
      <w:r>
        <w:rPr>
          <w:b/>
          <w:bCs/>
          <w:u w:val="single"/>
        </w:rPr>
        <w:t>20</w:t>
      </w:r>
      <w:r>
        <w:rPr>
          <w:rFonts w:hint="eastAsia"/>
          <w:b/>
          <w:bCs/>
          <w:u w:val="single"/>
        </w:rPr>
        <w:t>05</w:t>
      </w:r>
      <w:r>
        <w:rPr>
          <w:b/>
          <w:bCs/>
          <w:u w:val="single"/>
        </w:rPr>
        <w:t>〕</w:t>
      </w:r>
      <w:r>
        <w:rPr>
          <w:rFonts w:hint="eastAsia"/>
          <w:b/>
          <w:bCs/>
          <w:u w:val="single"/>
        </w:rPr>
        <w:t>年第</w:t>
      </w:r>
      <w:r>
        <w:rPr>
          <w:rFonts w:hint="eastAsia"/>
          <w:b/>
          <w:bCs/>
          <w:u w:val="single"/>
        </w:rPr>
        <w:t>9</w:t>
      </w:r>
      <w:r>
        <w:rPr>
          <w:rFonts w:hint="eastAsia"/>
          <w:b/>
          <w:bCs/>
          <w:u w:val="single"/>
        </w:rPr>
        <w:t>号）、</w:t>
      </w:r>
      <w:r>
        <w:rPr>
          <w:rFonts w:hint="eastAsia"/>
          <w:b/>
          <w:bCs/>
          <w:u w:val="single"/>
        </w:rPr>
        <w:t>JT617</w:t>
      </w:r>
      <w:r>
        <w:rPr>
          <w:rFonts w:hint="eastAsia"/>
          <w:b/>
          <w:bCs/>
          <w:u w:val="single"/>
        </w:rPr>
        <w:t>以及</w:t>
      </w:r>
      <w:r>
        <w:rPr>
          <w:rFonts w:hint="eastAsia"/>
          <w:b/>
          <w:bCs/>
          <w:u w:val="single"/>
        </w:rPr>
        <w:t>JT618</w:t>
      </w:r>
      <w:r>
        <w:rPr>
          <w:rFonts w:hint="eastAsia"/>
          <w:b/>
          <w:bCs/>
          <w:u w:val="single"/>
        </w:rPr>
        <w:t>执行。</w:t>
      </w:r>
    </w:p>
    <w:p w14:paraId="7E53FDE7" w14:textId="77777777" w:rsidR="003E78AB" w:rsidRDefault="00010BF9">
      <w:pPr>
        <w:ind w:firstLine="482"/>
        <w:rPr>
          <w:b/>
          <w:bCs/>
          <w:u w:val="single"/>
        </w:rPr>
      </w:pPr>
      <w:r>
        <w:rPr>
          <w:rFonts w:hint="eastAsia"/>
          <w:b/>
          <w:bCs/>
          <w:u w:val="single"/>
        </w:rPr>
        <w:t>③运输单位承运危险废物时，应在危险废物包装上按照</w:t>
      </w:r>
      <w:r>
        <w:rPr>
          <w:rFonts w:hint="eastAsia"/>
          <w:b/>
          <w:bCs/>
          <w:u w:val="single"/>
        </w:rPr>
        <w:t>GB18597</w:t>
      </w:r>
      <w:r>
        <w:rPr>
          <w:rFonts w:hint="eastAsia"/>
          <w:b/>
          <w:bCs/>
          <w:u w:val="single"/>
        </w:rPr>
        <w:t>附录</w:t>
      </w:r>
      <w:r>
        <w:rPr>
          <w:rFonts w:hint="eastAsia"/>
          <w:b/>
          <w:bCs/>
          <w:u w:val="single"/>
        </w:rPr>
        <w:t>A</w:t>
      </w:r>
      <w:r>
        <w:rPr>
          <w:rFonts w:hint="eastAsia"/>
          <w:b/>
          <w:bCs/>
          <w:u w:val="single"/>
        </w:rPr>
        <w:t>设置标志。</w:t>
      </w:r>
    </w:p>
    <w:p w14:paraId="774081F2" w14:textId="77777777" w:rsidR="003E78AB" w:rsidRDefault="00010BF9">
      <w:pPr>
        <w:ind w:firstLine="482"/>
        <w:rPr>
          <w:b/>
          <w:bCs/>
          <w:u w:val="single"/>
        </w:rPr>
      </w:pPr>
      <w:r>
        <w:rPr>
          <w:rFonts w:hint="eastAsia"/>
          <w:b/>
          <w:bCs/>
          <w:u w:val="single"/>
        </w:rPr>
        <w:t>④危险废物公路运输时，运输车辆应按</w:t>
      </w:r>
      <w:r>
        <w:rPr>
          <w:rFonts w:hint="eastAsia"/>
          <w:b/>
          <w:bCs/>
          <w:u w:val="single"/>
        </w:rPr>
        <w:t>GB13392</w:t>
      </w:r>
      <w:r>
        <w:rPr>
          <w:rFonts w:hint="eastAsia"/>
          <w:b/>
          <w:bCs/>
          <w:u w:val="single"/>
        </w:rPr>
        <w:t>设置车辆标志。</w:t>
      </w:r>
    </w:p>
    <w:p w14:paraId="00C62B03" w14:textId="77777777" w:rsidR="003E78AB" w:rsidRDefault="00010BF9">
      <w:pPr>
        <w:ind w:firstLine="482"/>
        <w:rPr>
          <w:b/>
          <w:bCs/>
          <w:u w:val="single"/>
        </w:rPr>
      </w:pPr>
      <w:r>
        <w:rPr>
          <w:rFonts w:hint="eastAsia"/>
          <w:b/>
          <w:bCs/>
          <w:u w:val="single"/>
        </w:rPr>
        <w:t>⑤危险废物运输时的中转、装卸过程应遵守如下技术要求：</w:t>
      </w:r>
    </w:p>
    <w:p w14:paraId="4D6CBC93" w14:textId="77777777" w:rsidR="003E78AB" w:rsidRDefault="00010BF9">
      <w:pPr>
        <w:ind w:firstLine="482"/>
        <w:rPr>
          <w:b/>
          <w:bCs/>
          <w:u w:val="single"/>
        </w:rPr>
      </w:pPr>
      <w:r>
        <w:rPr>
          <w:rFonts w:hint="eastAsia"/>
          <w:b/>
          <w:bCs/>
          <w:u w:val="single"/>
        </w:rPr>
        <w:t>⑥卸载区的工作人员应熟悉废物的危险特性，并配备适当的个人防护设备。</w:t>
      </w:r>
    </w:p>
    <w:p w14:paraId="5F8B2CDE" w14:textId="77777777" w:rsidR="003E78AB" w:rsidRDefault="00010BF9">
      <w:pPr>
        <w:ind w:firstLine="482"/>
        <w:rPr>
          <w:b/>
          <w:bCs/>
          <w:u w:val="single"/>
        </w:rPr>
      </w:pPr>
      <w:r>
        <w:rPr>
          <w:rFonts w:hint="eastAsia"/>
          <w:b/>
          <w:bCs/>
          <w:u w:val="single"/>
        </w:rPr>
        <w:t>⑦卸载区应配备必要的消防</w:t>
      </w:r>
      <w:r>
        <w:rPr>
          <w:rFonts w:hint="eastAsia"/>
          <w:b/>
          <w:bCs/>
          <w:u w:val="single"/>
        </w:rPr>
        <w:t>设备和设施，并设置明显的指示标志</w:t>
      </w:r>
    </w:p>
    <w:p w14:paraId="7945214E" w14:textId="77777777" w:rsidR="003E78AB" w:rsidRDefault="00010BF9">
      <w:pPr>
        <w:ind w:firstLine="482"/>
        <w:rPr>
          <w:b/>
          <w:bCs/>
          <w:u w:val="single"/>
        </w:rPr>
      </w:pPr>
      <w:r>
        <w:rPr>
          <w:rFonts w:hint="eastAsia"/>
          <w:b/>
          <w:bCs/>
          <w:u w:val="single"/>
        </w:rPr>
        <w:t>⑧危险废物装卸区应设置隔离设施，液态废物卸载区应设置收集槽和缓冲罐。</w:t>
      </w:r>
    </w:p>
    <w:p w14:paraId="6C1B9350" w14:textId="77777777" w:rsidR="003E78AB" w:rsidRDefault="00010BF9">
      <w:pPr>
        <w:ind w:firstLine="480"/>
      </w:pPr>
      <w:r>
        <w:t>综上所述，在加强管理，并在落实好各项污染防治措施和固体废物处置措施的前提下，固废处置遵循分类原则、减量化原则、无公害化原则与集中相结合的原则，对工程产生的固废根据种类不同、污染性质不同，对其进行分类收集，定向处置。全厂固体废物处置措施可行，处置方向明确，各处置措施经济、可行。</w:t>
      </w:r>
    </w:p>
    <w:p w14:paraId="78EF4624"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7.2</w:t>
      </w:r>
      <w:r>
        <w:rPr>
          <w:rFonts w:cs="Times New Roman"/>
          <w:sz w:val="28"/>
          <w:szCs w:val="28"/>
        </w:rPr>
        <w:t>.5</w:t>
      </w:r>
      <w:r>
        <w:rPr>
          <w:rFonts w:cs="Times New Roman"/>
          <w:sz w:val="28"/>
          <w:szCs w:val="28"/>
        </w:rPr>
        <w:t>土壤、地下水污染防治措施</w:t>
      </w:r>
    </w:p>
    <w:p w14:paraId="0E62CA7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.5.1</w:t>
      </w:r>
      <w:r>
        <w:rPr>
          <w:rFonts w:ascii="Times New Roman" w:hAnsi="Times New Roman"/>
        </w:rPr>
        <w:t>总体控制措施</w:t>
      </w:r>
    </w:p>
    <w:p w14:paraId="7EFD1229" w14:textId="77777777" w:rsidR="003E78AB" w:rsidRDefault="00010BF9">
      <w:pPr>
        <w:ind w:firstLine="480"/>
      </w:pPr>
      <w:r>
        <w:t>首先，源头控制措施要从相关的设备及生产工艺上下功夫，对产生的废水进行有效的治理和综合利用，采用先进工艺，良好的管道、设备和污水储存设施，尽可能从源头上减少污染物产生；严格按照国家相关规范要求，对工艺、管道、设备、污水储存及处理构筑物采取相应的措施，以防止和降低污染物的跑、冒、滴、漏，将环境风险事故降低到最低；管线铺设尽量采用</w:t>
      </w:r>
      <w:r>
        <w:t>“</w:t>
      </w:r>
      <w:r>
        <w:t>可视化</w:t>
      </w:r>
      <w:r>
        <w:t>”</w:t>
      </w:r>
      <w:r>
        <w:t>原则，即管道尽可能</w:t>
      </w:r>
      <w:r>
        <w:rPr>
          <w:rFonts w:hint="eastAsia"/>
        </w:rPr>
        <w:t>在</w:t>
      </w:r>
      <w:r>
        <w:t>地上铺设，做到污染物</w:t>
      </w:r>
      <w:r>
        <w:t>“</w:t>
      </w:r>
      <w:r>
        <w:t>早发现、早处理</w:t>
      </w:r>
      <w:r>
        <w:t>”</w:t>
      </w:r>
      <w:r>
        <w:t>，以减少由于埋地管道泄漏而可能造成的地下水污染。</w:t>
      </w:r>
    </w:p>
    <w:p w14:paraId="4DAEA92D" w14:textId="77777777" w:rsidR="003E78AB" w:rsidRDefault="00010BF9">
      <w:pPr>
        <w:ind w:firstLine="480"/>
      </w:pPr>
      <w:r>
        <w:t>其次，要从生产及运营管理上进行</w:t>
      </w:r>
      <w:r>
        <w:rPr>
          <w:rFonts w:hint="eastAsia"/>
        </w:rPr>
        <w:t>泄漏</w:t>
      </w:r>
      <w:r>
        <w:t>源头的防控，对于</w:t>
      </w:r>
      <w:r>
        <w:rPr>
          <w:rFonts w:hint="eastAsia"/>
        </w:rPr>
        <w:t>液体库、生产车间、</w:t>
      </w:r>
      <w:r>
        <w:rPr>
          <w:rFonts w:hint="eastAsia"/>
        </w:rPr>
        <w:t>原料仓库、危险废物暂存间</w:t>
      </w:r>
      <w:r>
        <w:t>等地下水污染风险较大的区域要将管理责任落实到个人，并制定相应的责任管理制度；同时要定期组织开展污染泄漏防控培训，强化员工的污染泄漏防控意识，从根源上防控；企业要定期考察项目各区域的污染防控责任人员并对相关污染防控设备进行检查；环保部门对相关污染防控设施进行监督。</w:t>
      </w:r>
    </w:p>
    <w:p w14:paraId="409D0DF9" w14:textId="77777777" w:rsidR="003E78AB" w:rsidRDefault="00010BF9">
      <w:pPr>
        <w:ind w:firstLine="480"/>
      </w:pPr>
      <w:r>
        <w:t>本环评要求企业着重采取以下环保措施避免对地下水造成污染：</w:t>
      </w:r>
    </w:p>
    <w:p w14:paraId="642DCF23" w14:textId="77777777" w:rsidR="003E78AB" w:rsidRDefault="00010BF9">
      <w:pPr>
        <w:ind w:firstLine="480"/>
      </w:pPr>
      <w:r>
        <w:t>（</w:t>
      </w:r>
      <w:r>
        <w:t>1</w:t>
      </w:r>
      <w:r>
        <w:t>）车间内地面等全部硬化，并做好防渗措施；</w:t>
      </w:r>
    </w:p>
    <w:p w14:paraId="4C706F12" w14:textId="77777777" w:rsidR="003E78AB" w:rsidRDefault="00010BF9">
      <w:pPr>
        <w:ind w:firstLine="480"/>
      </w:pPr>
      <w:r>
        <w:t>（</w:t>
      </w:r>
      <w:r>
        <w:t>2</w:t>
      </w:r>
      <w:r>
        <w:t>）严格按照《工业金属管道工程施工规范》（</w:t>
      </w:r>
      <w:r>
        <w:t>GB50235-2010</w:t>
      </w:r>
      <w:r>
        <w:t>）、《工业设备及管道防腐蚀工程施工规范》（</w:t>
      </w:r>
      <w:r>
        <w:t>GB502</w:t>
      </w:r>
      <w:r>
        <w:t>76-2011</w:t>
      </w:r>
      <w:r>
        <w:t>）、《给水排水管道工程施工及验收规范》（</w:t>
      </w:r>
      <w:r>
        <w:t>GB50268-2008</w:t>
      </w:r>
      <w:r>
        <w:t>）执行，选择管材优质的管道，钢制进行防腐处理；</w:t>
      </w:r>
    </w:p>
    <w:p w14:paraId="1061DAF6" w14:textId="77777777" w:rsidR="003E78AB" w:rsidRDefault="00010BF9">
      <w:pPr>
        <w:ind w:firstLine="480"/>
      </w:pPr>
      <w:r>
        <w:t>（</w:t>
      </w:r>
      <w:r>
        <w:t>3</w:t>
      </w:r>
      <w:r>
        <w:t>）排水管道基础地基处理要严格按规范执行，防止因地基不均匀沉降导致管道变形、崩裂、漏水；</w:t>
      </w:r>
    </w:p>
    <w:p w14:paraId="1519C58B" w14:textId="77777777" w:rsidR="003E78AB" w:rsidRDefault="00010BF9">
      <w:pPr>
        <w:ind w:firstLine="480"/>
      </w:pPr>
      <w:r>
        <w:t>（</w:t>
      </w:r>
      <w:r>
        <w:t>4</w:t>
      </w:r>
      <w:r>
        <w:t>）施工排水管道接口时加强施工监管，防止因施工质量问题导致渗漏；</w:t>
      </w:r>
    </w:p>
    <w:p w14:paraId="18BC257D" w14:textId="77777777" w:rsidR="003E78AB" w:rsidRDefault="00010BF9">
      <w:pPr>
        <w:ind w:firstLine="480"/>
      </w:pPr>
      <w:r>
        <w:t>（</w:t>
      </w:r>
      <w:r>
        <w:t>5</w:t>
      </w:r>
      <w:r>
        <w:t>）做好地面防渗，以及装置、管道的密封防漏工作，定期检查、维修和及时更新。</w:t>
      </w:r>
    </w:p>
    <w:p w14:paraId="04F6E489" w14:textId="77777777" w:rsidR="003E78AB" w:rsidRDefault="00010BF9">
      <w:pPr>
        <w:ind w:firstLine="480"/>
      </w:pPr>
      <w:r>
        <w:t>（</w:t>
      </w:r>
      <w:r>
        <w:t>6</w:t>
      </w:r>
      <w:r>
        <w:t>）项目储罐区设置围堰，围堰底部及各池体下方按要求设置防渗措施。</w:t>
      </w:r>
    </w:p>
    <w:p w14:paraId="0EAA111F" w14:textId="77777777" w:rsidR="003E78AB" w:rsidRDefault="00010BF9">
      <w:pPr>
        <w:ind w:firstLine="480"/>
      </w:pPr>
      <w:r>
        <w:t>（</w:t>
      </w:r>
      <w:r>
        <w:t>7</w:t>
      </w:r>
      <w:r>
        <w:t>）项目运行过程中，严格按照环评要求对下游水质监测井进行监测，一旦发现水质异常，立刻采取有效措施（如采用水动力隔离技术）阻止污染羽的扩散迁移，将地下水控制在局部范围，避免对厂区下游地下水造成污染。</w:t>
      </w:r>
    </w:p>
    <w:p w14:paraId="2D5F925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.5.2</w:t>
      </w:r>
      <w:r>
        <w:rPr>
          <w:rFonts w:ascii="Times New Roman" w:hAnsi="Times New Roman"/>
        </w:rPr>
        <w:t>分区防渗措施</w:t>
      </w:r>
    </w:p>
    <w:p w14:paraId="467D5F9B" w14:textId="77777777" w:rsidR="003E78AB" w:rsidRDefault="00010BF9">
      <w:pPr>
        <w:ind w:firstLine="480"/>
        <w:rPr>
          <w:kern w:val="28"/>
        </w:rPr>
      </w:pPr>
      <w:r>
        <w:rPr>
          <w:kern w:val="28"/>
        </w:rPr>
        <w:t>根据项目特点，项目拟建工程防渗工程分为重点防渗区、一般防渗区和简单防渗区，分区情况见</w:t>
      </w:r>
      <w:r>
        <w:rPr>
          <w:kern w:val="28"/>
        </w:rPr>
        <w:fldChar w:fldCharType="begin"/>
      </w:r>
      <w:r>
        <w:rPr>
          <w:kern w:val="28"/>
        </w:rPr>
        <w:instrText xml:space="preserve"> REF _Ref19614 \r \h </w:instrText>
      </w:r>
      <w:r>
        <w:rPr>
          <w:kern w:val="28"/>
        </w:rPr>
      </w:r>
      <w:r>
        <w:rPr>
          <w:kern w:val="28"/>
        </w:rPr>
        <w:fldChar w:fldCharType="separate"/>
      </w:r>
      <w:r>
        <w:rPr>
          <w:kern w:val="28"/>
        </w:rPr>
        <w:t>表</w:t>
      </w:r>
      <w:r>
        <w:rPr>
          <w:kern w:val="28"/>
        </w:rPr>
        <w:t>7-10</w:t>
      </w:r>
      <w:r>
        <w:rPr>
          <w:kern w:val="28"/>
        </w:rPr>
        <w:fldChar w:fldCharType="end"/>
      </w:r>
      <w:r>
        <w:rPr>
          <w:kern w:val="28"/>
        </w:rPr>
        <w:t>，项目分区防渗见</w:t>
      </w:r>
      <w:r>
        <w:rPr>
          <w:rFonts w:hint="eastAsia"/>
          <w:kern w:val="28"/>
        </w:rPr>
        <w:t>附图</w:t>
      </w:r>
      <w:r>
        <w:rPr>
          <w:rFonts w:hint="eastAsia"/>
          <w:kern w:val="28"/>
        </w:rPr>
        <w:t>10</w:t>
      </w:r>
      <w:r>
        <w:rPr>
          <w:kern w:val="28"/>
        </w:rPr>
        <w:t>。</w:t>
      </w:r>
    </w:p>
    <w:p w14:paraId="52C994E6" w14:textId="77777777" w:rsidR="003E78AB" w:rsidRDefault="00010BF9">
      <w:pPr>
        <w:pStyle w:val="a6"/>
        <w:spacing w:before="120"/>
      </w:pPr>
      <w:bookmarkStart w:id="466" w:name="_Ref19614"/>
      <w:r>
        <w:t>拟建项目分区防渗要求表</w:t>
      </w:r>
      <w:bookmarkEnd w:id="466"/>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12"/>
        <w:gridCol w:w="5007"/>
      </w:tblGrid>
      <w:tr w:rsidR="003E78AB" w14:paraId="139FC1A8" w14:textId="77777777">
        <w:trPr>
          <w:trHeight w:val="283"/>
          <w:tblHeader/>
          <w:jc w:val="center"/>
        </w:trPr>
        <w:tc>
          <w:tcPr>
            <w:tcW w:w="1406" w:type="pct"/>
            <w:vAlign w:val="center"/>
          </w:tcPr>
          <w:p w14:paraId="1A62225C"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主要环节</w:t>
            </w:r>
          </w:p>
        </w:tc>
        <w:tc>
          <w:tcPr>
            <w:tcW w:w="653" w:type="pct"/>
            <w:vAlign w:val="center"/>
          </w:tcPr>
          <w:p w14:paraId="41CCDEFD"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防渗级别</w:t>
            </w:r>
          </w:p>
        </w:tc>
        <w:tc>
          <w:tcPr>
            <w:tcW w:w="2940" w:type="pct"/>
            <w:vAlign w:val="center"/>
          </w:tcPr>
          <w:p w14:paraId="6B937942" w14:textId="77777777" w:rsidR="003E78AB" w:rsidRDefault="00010BF9">
            <w:pPr>
              <w:spacing w:line="360" w:lineRule="exact"/>
              <w:ind w:firstLineChars="0" w:firstLine="0"/>
              <w:contextualSpacing/>
              <w:jc w:val="center"/>
              <w:rPr>
                <w:b/>
                <w:sz w:val="21"/>
                <w:szCs w:val="21"/>
                <w:lang w:eastAsia="en-US"/>
              </w:rPr>
            </w:pPr>
            <w:r>
              <w:rPr>
                <w:b/>
                <w:sz w:val="21"/>
                <w:szCs w:val="21"/>
                <w:lang w:eastAsia="en-US"/>
              </w:rPr>
              <w:t>防渗要求</w:t>
            </w:r>
          </w:p>
        </w:tc>
      </w:tr>
      <w:tr w:rsidR="003E78AB" w14:paraId="64FA45AA" w14:textId="77777777">
        <w:trPr>
          <w:trHeight w:val="283"/>
          <w:jc w:val="center"/>
        </w:trPr>
        <w:tc>
          <w:tcPr>
            <w:tcW w:w="1406" w:type="pct"/>
            <w:vAlign w:val="center"/>
          </w:tcPr>
          <w:p w14:paraId="72D4F410" w14:textId="77777777" w:rsidR="003E78AB" w:rsidRDefault="00010BF9">
            <w:pPr>
              <w:spacing w:line="360" w:lineRule="exact"/>
              <w:ind w:firstLineChars="0" w:firstLine="0"/>
              <w:contextualSpacing/>
              <w:jc w:val="center"/>
              <w:rPr>
                <w:bCs/>
                <w:sz w:val="21"/>
                <w:szCs w:val="21"/>
              </w:rPr>
            </w:pPr>
            <w:r>
              <w:rPr>
                <w:bCs/>
                <w:sz w:val="21"/>
                <w:szCs w:val="21"/>
              </w:rPr>
              <w:t>危险废物暂存间</w:t>
            </w:r>
          </w:p>
        </w:tc>
        <w:tc>
          <w:tcPr>
            <w:tcW w:w="653" w:type="pct"/>
            <w:vAlign w:val="center"/>
          </w:tcPr>
          <w:p w14:paraId="6EA40631" w14:textId="77777777" w:rsidR="003E78AB" w:rsidRDefault="00010BF9">
            <w:pPr>
              <w:spacing w:line="360" w:lineRule="exact"/>
              <w:ind w:firstLineChars="0" w:firstLine="0"/>
              <w:contextualSpacing/>
              <w:jc w:val="center"/>
              <w:rPr>
                <w:bCs/>
                <w:sz w:val="21"/>
                <w:szCs w:val="21"/>
              </w:rPr>
            </w:pPr>
            <w:r>
              <w:rPr>
                <w:bCs/>
                <w:sz w:val="21"/>
                <w:szCs w:val="21"/>
              </w:rPr>
              <w:t>重点防渗区</w:t>
            </w:r>
          </w:p>
        </w:tc>
        <w:tc>
          <w:tcPr>
            <w:tcW w:w="2940" w:type="pct"/>
            <w:vAlign w:val="center"/>
          </w:tcPr>
          <w:p w14:paraId="258E73B9" w14:textId="77777777" w:rsidR="003E78AB" w:rsidRDefault="00010BF9">
            <w:pPr>
              <w:spacing w:line="360" w:lineRule="exact"/>
              <w:ind w:firstLineChars="0" w:firstLine="0"/>
              <w:contextualSpacing/>
              <w:jc w:val="left"/>
              <w:rPr>
                <w:bCs/>
                <w:sz w:val="21"/>
                <w:szCs w:val="21"/>
              </w:rPr>
            </w:pPr>
            <w:r>
              <w:rPr>
                <w:bCs/>
                <w:sz w:val="21"/>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bCs/>
                <w:sz w:val="21"/>
                <w:szCs w:val="21"/>
              </w:rPr>
              <w:t>1m</w:t>
            </w:r>
            <w:r>
              <w:rPr>
                <w:bCs/>
                <w:sz w:val="21"/>
                <w:szCs w:val="21"/>
              </w:rPr>
              <w:t>厚粘土层（渗透系数</w:t>
            </w:r>
            <w:r>
              <w:rPr>
                <w:bCs/>
                <w:sz w:val="21"/>
                <w:szCs w:val="21"/>
              </w:rPr>
              <w:t>≤10</w:t>
            </w:r>
            <w:r>
              <w:rPr>
                <w:bCs/>
                <w:sz w:val="21"/>
                <w:szCs w:val="21"/>
                <w:vertAlign w:val="superscript"/>
              </w:rPr>
              <w:t>-7</w:t>
            </w:r>
            <w:r>
              <w:rPr>
                <w:bCs/>
                <w:sz w:val="21"/>
                <w:szCs w:val="21"/>
              </w:rPr>
              <w:t>cm/s</w:t>
            </w:r>
            <w:r>
              <w:rPr>
                <w:bCs/>
                <w:sz w:val="21"/>
                <w:szCs w:val="21"/>
              </w:rPr>
              <w:t>），或</w:t>
            </w:r>
            <w:r>
              <w:rPr>
                <w:bCs/>
                <w:sz w:val="21"/>
                <w:szCs w:val="21"/>
              </w:rPr>
              <w:t>2mm</w:t>
            </w:r>
            <w:r>
              <w:rPr>
                <w:bCs/>
                <w:sz w:val="21"/>
                <w:szCs w:val="21"/>
              </w:rPr>
              <w:t>厚高密度聚乙烯，或至少</w:t>
            </w:r>
            <w:r>
              <w:rPr>
                <w:bCs/>
                <w:sz w:val="21"/>
                <w:szCs w:val="21"/>
              </w:rPr>
              <w:t>2mm</w:t>
            </w:r>
            <w:r>
              <w:rPr>
                <w:bCs/>
                <w:sz w:val="21"/>
                <w:szCs w:val="21"/>
              </w:rPr>
              <w:t>厚的其他人工材料，渗透系数</w:t>
            </w:r>
            <w:r>
              <w:rPr>
                <w:bCs/>
                <w:sz w:val="21"/>
                <w:szCs w:val="21"/>
              </w:rPr>
              <w:t>≤10</w:t>
            </w:r>
            <w:r>
              <w:rPr>
                <w:bCs/>
                <w:sz w:val="21"/>
                <w:szCs w:val="21"/>
                <w:vertAlign w:val="superscript"/>
              </w:rPr>
              <w:t>-10</w:t>
            </w:r>
            <w:r>
              <w:rPr>
                <w:bCs/>
                <w:sz w:val="21"/>
                <w:szCs w:val="21"/>
              </w:rPr>
              <w:t>cm/s</w:t>
            </w:r>
            <w:r>
              <w:rPr>
                <w:rFonts w:hint="eastAsia"/>
                <w:bCs/>
                <w:sz w:val="21"/>
                <w:szCs w:val="21"/>
              </w:rPr>
              <w:t>。</w:t>
            </w:r>
          </w:p>
        </w:tc>
      </w:tr>
      <w:tr w:rsidR="003E78AB" w14:paraId="06EBB99D" w14:textId="77777777">
        <w:trPr>
          <w:trHeight w:val="283"/>
          <w:jc w:val="center"/>
        </w:trPr>
        <w:tc>
          <w:tcPr>
            <w:tcW w:w="1406" w:type="pct"/>
            <w:vAlign w:val="center"/>
          </w:tcPr>
          <w:p w14:paraId="704F7335" w14:textId="77777777" w:rsidR="003E78AB" w:rsidRDefault="00010BF9">
            <w:pPr>
              <w:spacing w:line="360" w:lineRule="exact"/>
              <w:ind w:firstLineChars="0" w:firstLine="0"/>
              <w:contextualSpacing/>
              <w:jc w:val="center"/>
              <w:rPr>
                <w:bCs/>
                <w:sz w:val="21"/>
                <w:szCs w:val="21"/>
              </w:rPr>
            </w:pPr>
            <w:r>
              <w:rPr>
                <w:bCs/>
                <w:sz w:val="21"/>
                <w:szCs w:val="21"/>
              </w:rPr>
              <w:t>生产车间一</w:t>
            </w:r>
            <w:r>
              <w:rPr>
                <w:rFonts w:hint="eastAsia"/>
                <w:bCs/>
                <w:sz w:val="21"/>
                <w:szCs w:val="21"/>
              </w:rPr>
              <w:t>（含淋洗塔区域）</w:t>
            </w:r>
          </w:p>
        </w:tc>
        <w:tc>
          <w:tcPr>
            <w:tcW w:w="653" w:type="pct"/>
            <w:vMerge w:val="restart"/>
            <w:vAlign w:val="center"/>
          </w:tcPr>
          <w:p w14:paraId="33039A09" w14:textId="77777777" w:rsidR="003E78AB" w:rsidRDefault="00010BF9">
            <w:pPr>
              <w:spacing w:line="360" w:lineRule="exact"/>
              <w:ind w:firstLineChars="0" w:firstLine="0"/>
              <w:contextualSpacing/>
              <w:jc w:val="center"/>
              <w:rPr>
                <w:bCs/>
                <w:sz w:val="21"/>
                <w:szCs w:val="21"/>
              </w:rPr>
            </w:pPr>
            <w:r>
              <w:rPr>
                <w:bCs/>
                <w:sz w:val="21"/>
                <w:szCs w:val="21"/>
              </w:rPr>
              <w:t>重点防渗区</w:t>
            </w:r>
          </w:p>
        </w:tc>
        <w:tc>
          <w:tcPr>
            <w:tcW w:w="2940" w:type="pct"/>
            <w:vMerge w:val="restart"/>
            <w:vAlign w:val="center"/>
          </w:tcPr>
          <w:p w14:paraId="2C3926C2" w14:textId="77777777" w:rsidR="003E78AB" w:rsidRDefault="00010BF9">
            <w:pPr>
              <w:spacing w:line="360" w:lineRule="exact"/>
              <w:ind w:firstLineChars="0" w:firstLine="0"/>
              <w:contextualSpacing/>
              <w:jc w:val="left"/>
              <w:rPr>
                <w:bCs/>
                <w:sz w:val="21"/>
                <w:szCs w:val="21"/>
              </w:rPr>
            </w:pPr>
            <w:r>
              <w:rPr>
                <w:bCs/>
                <w:sz w:val="21"/>
                <w:szCs w:val="21"/>
              </w:rPr>
              <w:t>①</w:t>
            </w:r>
            <w:r>
              <w:rPr>
                <w:bCs/>
                <w:sz w:val="21"/>
                <w:szCs w:val="21"/>
              </w:rPr>
              <w:t>各单元防渗工程的设计使用年限不低于构筑物的设计使用年限。</w:t>
            </w:r>
          </w:p>
          <w:p w14:paraId="2790B200" w14:textId="77777777" w:rsidR="003E78AB" w:rsidRDefault="00010BF9">
            <w:pPr>
              <w:spacing w:line="360" w:lineRule="exact"/>
              <w:ind w:firstLineChars="0" w:firstLine="0"/>
              <w:contextualSpacing/>
              <w:jc w:val="left"/>
              <w:rPr>
                <w:bCs/>
                <w:sz w:val="21"/>
                <w:szCs w:val="21"/>
              </w:rPr>
            </w:pPr>
            <w:r>
              <w:rPr>
                <w:bCs/>
                <w:sz w:val="21"/>
                <w:szCs w:val="21"/>
              </w:rPr>
              <w:t>②</w:t>
            </w:r>
            <w:r>
              <w:rPr>
                <w:bCs/>
                <w:sz w:val="21"/>
                <w:szCs w:val="21"/>
              </w:rPr>
              <w:t>防渗性能黏土厚度应不小于</w:t>
            </w:r>
            <w:r>
              <w:rPr>
                <w:bCs/>
                <w:sz w:val="21"/>
                <w:szCs w:val="21"/>
              </w:rPr>
              <w:t>1.0m</w:t>
            </w:r>
            <w:r>
              <w:rPr>
                <w:bCs/>
                <w:sz w:val="21"/>
                <w:szCs w:val="21"/>
              </w:rPr>
              <w:t>，且经压实、人工改性等措施处理后的饱和渗透系数不应大于</w:t>
            </w:r>
            <w:r>
              <w:rPr>
                <w:bCs/>
                <w:sz w:val="21"/>
                <w:szCs w:val="21"/>
              </w:rPr>
              <w:t>1.0×10</w:t>
            </w:r>
            <w:r>
              <w:rPr>
                <w:bCs/>
                <w:sz w:val="21"/>
                <w:szCs w:val="21"/>
                <w:vertAlign w:val="superscript"/>
              </w:rPr>
              <w:t>-7</w:t>
            </w:r>
            <w:r>
              <w:rPr>
                <w:bCs/>
                <w:sz w:val="21"/>
                <w:szCs w:val="21"/>
              </w:rPr>
              <w:t>cm/s</w:t>
            </w:r>
            <w:r>
              <w:rPr>
                <w:bCs/>
                <w:sz w:val="21"/>
                <w:szCs w:val="21"/>
              </w:rPr>
              <w:t>。人工合成材料应采用高密度聚乙烯膜，厚度不小于</w:t>
            </w:r>
            <w:r>
              <w:rPr>
                <w:bCs/>
                <w:sz w:val="21"/>
                <w:szCs w:val="21"/>
              </w:rPr>
              <w:t>2mm</w:t>
            </w:r>
            <w:r>
              <w:rPr>
                <w:bCs/>
                <w:sz w:val="21"/>
                <w:szCs w:val="21"/>
              </w:rPr>
              <w:t>，并满足</w:t>
            </w:r>
            <w:r>
              <w:rPr>
                <w:bCs/>
                <w:sz w:val="21"/>
                <w:szCs w:val="21"/>
              </w:rPr>
              <w:t>GB/T17643</w:t>
            </w:r>
            <w:r>
              <w:rPr>
                <w:bCs/>
                <w:sz w:val="21"/>
                <w:szCs w:val="21"/>
              </w:rPr>
              <w:t>规定的技术指标要求。采用其他人工合成材料的，其防渗性能至少相当于</w:t>
            </w:r>
            <w:r>
              <w:rPr>
                <w:bCs/>
                <w:sz w:val="21"/>
                <w:szCs w:val="21"/>
              </w:rPr>
              <w:t>2mm</w:t>
            </w:r>
            <w:r>
              <w:rPr>
                <w:bCs/>
                <w:sz w:val="21"/>
                <w:szCs w:val="21"/>
              </w:rPr>
              <w:t>高密度聚乙烯膜的防渗性能。</w:t>
            </w:r>
          </w:p>
          <w:p w14:paraId="75097573" w14:textId="77777777" w:rsidR="003E78AB" w:rsidRDefault="00010BF9">
            <w:pPr>
              <w:spacing w:line="360" w:lineRule="exact"/>
              <w:ind w:firstLineChars="0" w:firstLine="0"/>
              <w:contextualSpacing/>
              <w:jc w:val="left"/>
              <w:rPr>
                <w:bCs/>
                <w:sz w:val="21"/>
                <w:szCs w:val="21"/>
              </w:rPr>
            </w:pPr>
            <w:r>
              <w:rPr>
                <w:bCs/>
                <w:sz w:val="21"/>
                <w:szCs w:val="21"/>
              </w:rPr>
              <w:t>③</w:t>
            </w:r>
            <w:r>
              <w:rPr>
                <w:bCs/>
                <w:sz w:val="21"/>
                <w:szCs w:val="21"/>
              </w:rPr>
              <w:t>防渗、防腐材料应覆盖所有可能与废物及其渗出液等接触的构筑物表面，并采用与之相适应的防渗、防腐结构</w:t>
            </w:r>
            <w:r>
              <w:rPr>
                <w:rFonts w:hint="eastAsia"/>
                <w:bCs/>
                <w:sz w:val="21"/>
                <w:szCs w:val="21"/>
              </w:rPr>
              <w:t>。</w:t>
            </w:r>
          </w:p>
        </w:tc>
      </w:tr>
      <w:tr w:rsidR="003E78AB" w14:paraId="2105596B" w14:textId="77777777">
        <w:trPr>
          <w:trHeight w:val="283"/>
          <w:jc w:val="center"/>
        </w:trPr>
        <w:tc>
          <w:tcPr>
            <w:tcW w:w="1406" w:type="pct"/>
            <w:vAlign w:val="center"/>
          </w:tcPr>
          <w:p w14:paraId="1C3C60D4" w14:textId="77777777" w:rsidR="003E78AB" w:rsidRDefault="00010BF9">
            <w:pPr>
              <w:spacing w:line="360" w:lineRule="exact"/>
              <w:ind w:firstLineChars="0" w:firstLine="0"/>
              <w:contextualSpacing/>
              <w:jc w:val="center"/>
              <w:rPr>
                <w:bCs/>
                <w:sz w:val="21"/>
                <w:szCs w:val="21"/>
              </w:rPr>
            </w:pPr>
            <w:r>
              <w:rPr>
                <w:rFonts w:hint="eastAsia"/>
                <w:bCs/>
                <w:sz w:val="21"/>
                <w:szCs w:val="21"/>
              </w:rPr>
              <w:t>液体库</w:t>
            </w:r>
          </w:p>
        </w:tc>
        <w:tc>
          <w:tcPr>
            <w:tcW w:w="653" w:type="pct"/>
            <w:vMerge/>
            <w:vAlign w:val="center"/>
          </w:tcPr>
          <w:p w14:paraId="535B5F9C"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736FBF28" w14:textId="77777777" w:rsidR="003E78AB" w:rsidRDefault="003E78AB">
            <w:pPr>
              <w:spacing w:line="360" w:lineRule="exact"/>
              <w:ind w:firstLineChars="0" w:firstLine="0"/>
              <w:contextualSpacing/>
              <w:jc w:val="left"/>
              <w:rPr>
                <w:bCs/>
                <w:sz w:val="21"/>
                <w:szCs w:val="21"/>
              </w:rPr>
            </w:pPr>
          </w:p>
        </w:tc>
      </w:tr>
      <w:tr w:rsidR="003E78AB" w14:paraId="15CE5B3B" w14:textId="77777777">
        <w:trPr>
          <w:trHeight w:val="283"/>
          <w:jc w:val="center"/>
        </w:trPr>
        <w:tc>
          <w:tcPr>
            <w:tcW w:w="1406" w:type="pct"/>
            <w:vAlign w:val="center"/>
          </w:tcPr>
          <w:p w14:paraId="65442952" w14:textId="77777777" w:rsidR="003E78AB" w:rsidRDefault="00010BF9">
            <w:pPr>
              <w:spacing w:line="360" w:lineRule="exact"/>
              <w:ind w:firstLineChars="0" w:firstLine="0"/>
              <w:contextualSpacing/>
              <w:jc w:val="center"/>
              <w:rPr>
                <w:bCs/>
                <w:sz w:val="21"/>
                <w:szCs w:val="21"/>
              </w:rPr>
            </w:pPr>
            <w:r>
              <w:rPr>
                <w:bCs/>
                <w:sz w:val="21"/>
                <w:szCs w:val="21"/>
              </w:rPr>
              <w:t>丙类仓库一</w:t>
            </w:r>
            <w:r>
              <w:rPr>
                <w:rFonts w:hint="eastAsia"/>
                <w:bCs/>
                <w:sz w:val="21"/>
                <w:szCs w:val="21"/>
              </w:rPr>
              <w:t>、二</w:t>
            </w:r>
          </w:p>
        </w:tc>
        <w:tc>
          <w:tcPr>
            <w:tcW w:w="653" w:type="pct"/>
            <w:vMerge/>
            <w:vAlign w:val="center"/>
          </w:tcPr>
          <w:p w14:paraId="02F22BA0"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1F803DC4" w14:textId="77777777" w:rsidR="003E78AB" w:rsidRDefault="003E78AB">
            <w:pPr>
              <w:spacing w:line="360" w:lineRule="exact"/>
              <w:ind w:firstLineChars="0" w:firstLine="0"/>
              <w:contextualSpacing/>
              <w:jc w:val="left"/>
              <w:rPr>
                <w:bCs/>
                <w:sz w:val="21"/>
                <w:szCs w:val="21"/>
              </w:rPr>
            </w:pPr>
          </w:p>
        </w:tc>
      </w:tr>
      <w:tr w:rsidR="003E78AB" w14:paraId="5F7C6659" w14:textId="77777777">
        <w:trPr>
          <w:trHeight w:val="283"/>
          <w:jc w:val="center"/>
        </w:trPr>
        <w:tc>
          <w:tcPr>
            <w:tcW w:w="1406" w:type="pct"/>
            <w:vAlign w:val="center"/>
          </w:tcPr>
          <w:p w14:paraId="288E9471" w14:textId="77777777" w:rsidR="003E78AB" w:rsidRDefault="00010BF9">
            <w:pPr>
              <w:spacing w:line="360" w:lineRule="exact"/>
              <w:ind w:firstLineChars="0" w:firstLine="0"/>
              <w:contextualSpacing/>
              <w:jc w:val="center"/>
              <w:rPr>
                <w:bCs/>
                <w:sz w:val="21"/>
                <w:szCs w:val="21"/>
              </w:rPr>
            </w:pPr>
            <w:r>
              <w:rPr>
                <w:bCs/>
                <w:sz w:val="21"/>
                <w:szCs w:val="21"/>
              </w:rPr>
              <w:t>事故水池及</w:t>
            </w:r>
            <w:r>
              <w:rPr>
                <w:rFonts w:hint="eastAsia"/>
                <w:bCs/>
                <w:sz w:val="21"/>
                <w:szCs w:val="21"/>
              </w:rPr>
              <w:t>初期</w:t>
            </w:r>
            <w:r>
              <w:rPr>
                <w:bCs/>
                <w:sz w:val="21"/>
                <w:szCs w:val="21"/>
              </w:rPr>
              <w:t>雨水池</w:t>
            </w:r>
          </w:p>
        </w:tc>
        <w:tc>
          <w:tcPr>
            <w:tcW w:w="653" w:type="pct"/>
            <w:vMerge/>
            <w:vAlign w:val="center"/>
          </w:tcPr>
          <w:p w14:paraId="00E17AC3"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652F37CB" w14:textId="77777777" w:rsidR="003E78AB" w:rsidRDefault="003E78AB">
            <w:pPr>
              <w:spacing w:line="360" w:lineRule="exact"/>
              <w:ind w:firstLineChars="0" w:firstLine="0"/>
              <w:contextualSpacing/>
              <w:jc w:val="left"/>
              <w:rPr>
                <w:bCs/>
                <w:sz w:val="21"/>
                <w:szCs w:val="21"/>
              </w:rPr>
            </w:pPr>
          </w:p>
        </w:tc>
      </w:tr>
      <w:tr w:rsidR="003E78AB" w14:paraId="05C55429" w14:textId="77777777">
        <w:trPr>
          <w:trHeight w:val="283"/>
          <w:jc w:val="center"/>
        </w:trPr>
        <w:tc>
          <w:tcPr>
            <w:tcW w:w="1406" w:type="pct"/>
            <w:vAlign w:val="center"/>
          </w:tcPr>
          <w:p w14:paraId="426F5673" w14:textId="77777777" w:rsidR="003E78AB" w:rsidRDefault="00010BF9">
            <w:pPr>
              <w:spacing w:line="360" w:lineRule="exact"/>
              <w:ind w:firstLineChars="0" w:firstLine="0"/>
              <w:contextualSpacing/>
              <w:jc w:val="center"/>
              <w:rPr>
                <w:bCs/>
                <w:sz w:val="21"/>
                <w:szCs w:val="21"/>
              </w:rPr>
            </w:pPr>
            <w:r>
              <w:rPr>
                <w:rFonts w:hint="eastAsia"/>
                <w:bCs/>
                <w:sz w:val="21"/>
                <w:szCs w:val="21"/>
              </w:rPr>
              <w:t>生产车间二（预留）、环保设施（预留）</w:t>
            </w:r>
          </w:p>
        </w:tc>
        <w:tc>
          <w:tcPr>
            <w:tcW w:w="653" w:type="pct"/>
            <w:vMerge/>
            <w:vAlign w:val="center"/>
          </w:tcPr>
          <w:p w14:paraId="445445C1"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7004DDFE" w14:textId="77777777" w:rsidR="003E78AB" w:rsidRDefault="003E78AB">
            <w:pPr>
              <w:spacing w:line="360" w:lineRule="exact"/>
              <w:ind w:firstLineChars="0" w:firstLine="0"/>
              <w:contextualSpacing/>
              <w:jc w:val="left"/>
              <w:rPr>
                <w:bCs/>
                <w:sz w:val="21"/>
                <w:szCs w:val="21"/>
              </w:rPr>
            </w:pPr>
          </w:p>
        </w:tc>
      </w:tr>
      <w:tr w:rsidR="003E78AB" w14:paraId="431C75D8" w14:textId="77777777">
        <w:trPr>
          <w:trHeight w:val="283"/>
          <w:jc w:val="center"/>
        </w:trPr>
        <w:tc>
          <w:tcPr>
            <w:tcW w:w="1406" w:type="pct"/>
            <w:shd w:val="clear" w:color="auto" w:fill="auto"/>
            <w:vAlign w:val="center"/>
          </w:tcPr>
          <w:p w14:paraId="7E3A582C" w14:textId="77777777" w:rsidR="003E78AB" w:rsidRDefault="00010BF9">
            <w:pPr>
              <w:spacing w:line="360" w:lineRule="exact"/>
              <w:ind w:firstLineChars="0" w:firstLine="0"/>
              <w:contextualSpacing/>
              <w:jc w:val="center"/>
              <w:rPr>
                <w:bCs/>
                <w:sz w:val="21"/>
                <w:szCs w:val="21"/>
              </w:rPr>
            </w:pPr>
            <w:r>
              <w:rPr>
                <w:rFonts w:hint="eastAsia"/>
                <w:bCs/>
                <w:sz w:val="21"/>
                <w:szCs w:val="21"/>
              </w:rPr>
              <w:t>机修车间</w:t>
            </w:r>
          </w:p>
        </w:tc>
        <w:tc>
          <w:tcPr>
            <w:tcW w:w="653" w:type="pct"/>
            <w:vMerge w:val="restart"/>
            <w:vAlign w:val="center"/>
          </w:tcPr>
          <w:p w14:paraId="1F55816E" w14:textId="77777777" w:rsidR="003E78AB" w:rsidRDefault="00010BF9">
            <w:pPr>
              <w:spacing w:line="360" w:lineRule="exact"/>
              <w:ind w:firstLineChars="0" w:firstLine="0"/>
              <w:contextualSpacing/>
              <w:jc w:val="center"/>
              <w:rPr>
                <w:bCs/>
                <w:sz w:val="21"/>
                <w:szCs w:val="21"/>
              </w:rPr>
            </w:pPr>
            <w:r>
              <w:rPr>
                <w:bCs/>
                <w:sz w:val="21"/>
                <w:szCs w:val="21"/>
                <w:lang w:eastAsia="en-US"/>
              </w:rPr>
              <w:t>一般防渗区</w:t>
            </w:r>
          </w:p>
        </w:tc>
        <w:tc>
          <w:tcPr>
            <w:tcW w:w="2940" w:type="pct"/>
            <w:vMerge w:val="restart"/>
            <w:vAlign w:val="center"/>
          </w:tcPr>
          <w:p w14:paraId="2E530CBD" w14:textId="77777777" w:rsidR="003E78AB" w:rsidRDefault="00010BF9">
            <w:pPr>
              <w:spacing w:line="360" w:lineRule="exact"/>
              <w:ind w:firstLineChars="0" w:firstLine="0"/>
              <w:contextualSpacing/>
              <w:jc w:val="center"/>
              <w:rPr>
                <w:bCs/>
                <w:sz w:val="21"/>
                <w:szCs w:val="21"/>
              </w:rPr>
            </w:pPr>
            <w:r>
              <w:rPr>
                <w:bCs/>
                <w:sz w:val="21"/>
                <w:szCs w:val="21"/>
              </w:rPr>
              <w:t>防渗性能不低于</w:t>
            </w:r>
            <w:r>
              <w:rPr>
                <w:bCs/>
                <w:sz w:val="21"/>
                <w:szCs w:val="21"/>
              </w:rPr>
              <w:t>1.5m</w:t>
            </w:r>
            <w:r>
              <w:rPr>
                <w:bCs/>
                <w:sz w:val="21"/>
                <w:szCs w:val="21"/>
              </w:rPr>
              <w:t>厚，渗透系数为</w:t>
            </w:r>
            <w:r>
              <w:rPr>
                <w:bCs/>
                <w:sz w:val="21"/>
                <w:szCs w:val="21"/>
              </w:rPr>
              <w:t>1.0×10</w:t>
            </w:r>
            <w:r>
              <w:rPr>
                <w:bCs/>
                <w:sz w:val="21"/>
                <w:szCs w:val="21"/>
                <w:vertAlign w:val="superscript"/>
              </w:rPr>
              <w:t>-7</w:t>
            </w:r>
            <w:r>
              <w:rPr>
                <w:bCs/>
                <w:sz w:val="21"/>
                <w:szCs w:val="21"/>
              </w:rPr>
              <w:t>cm/s</w:t>
            </w:r>
            <w:r>
              <w:rPr>
                <w:bCs/>
                <w:sz w:val="21"/>
                <w:szCs w:val="21"/>
              </w:rPr>
              <w:t>的黏土层的防渗性能。</w:t>
            </w:r>
          </w:p>
        </w:tc>
      </w:tr>
      <w:tr w:rsidR="003E78AB" w14:paraId="4319C451" w14:textId="77777777">
        <w:trPr>
          <w:trHeight w:val="283"/>
          <w:jc w:val="center"/>
        </w:trPr>
        <w:tc>
          <w:tcPr>
            <w:tcW w:w="1406" w:type="pct"/>
            <w:shd w:val="clear" w:color="auto" w:fill="auto"/>
            <w:vAlign w:val="center"/>
          </w:tcPr>
          <w:p w14:paraId="35E1A860" w14:textId="77777777" w:rsidR="003E78AB" w:rsidRDefault="00010BF9">
            <w:pPr>
              <w:spacing w:line="360" w:lineRule="exact"/>
              <w:ind w:firstLineChars="0" w:firstLine="0"/>
              <w:contextualSpacing/>
              <w:jc w:val="center"/>
              <w:rPr>
                <w:bCs/>
                <w:sz w:val="21"/>
                <w:szCs w:val="21"/>
              </w:rPr>
            </w:pPr>
            <w:r>
              <w:rPr>
                <w:rFonts w:hint="eastAsia"/>
                <w:bCs/>
                <w:sz w:val="21"/>
                <w:szCs w:val="21"/>
              </w:rPr>
              <w:t>动力车间</w:t>
            </w:r>
          </w:p>
        </w:tc>
        <w:tc>
          <w:tcPr>
            <w:tcW w:w="653" w:type="pct"/>
            <w:vMerge/>
            <w:vAlign w:val="center"/>
          </w:tcPr>
          <w:p w14:paraId="2D053A9A"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3CA5E39D" w14:textId="77777777" w:rsidR="003E78AB" w:rsidRDefault="003E78AB">
            <w:pPr>
              <w:spacing w:line="360" w:lineRule="exact"/>
              <w:ind w:firstLineChars="0" w:firstLine="0"/>
              <w:contextualSpacing/>
              <w:jc w:val="center"/>
              <w:rPr>
                <w:bCs/>
                <w:sz w:val="21"/>
                <w:szCs w:val="21"/>
              </w:rPr>
            </w:pPr>
          </w:p>
        </w:tc>
      </w:tr>
      <w:tr w:rsidR="003E78AB" w14:paraId="784D1943" w14:textId="77777777">
        <w:trPr>
          <w:trHeight w:val="283"/>
          <w:jc w:val="center"/>
        </w:trPr>
        <w:tc>
          <w:tcPr>
            <w:tcW w:w="1406" w:type="pct"/>
            <w:shd w:val="clear" w:color="auto" w:fill="auto"/>
            <w:vAlign w:val="center"/>
          </w:tcPr>
          <w:p w14:paraId="4E8D3FCD" w14:textId="77777777" w:rsidR="003E78AB" w:rsidRDefault="00010BF9">
            <w:pPr>
              <w:spacing w:line="360" w:lineRule="exact"/>
              <w:ind w:firstLineChars="0" w:firstLine="0"/>
              <w:contextualSpacing/>
              <w:jc w:val="center"/>
              <w:rPr>
                <w:bCs/>
                <w:sz w:val="21"/>
                <w:szCs w:val="21"/>
              </w:rPr>
            </w:pPr>
            <w:r>
              <w:rPr>
                <w:bCs/>
                <w:sz w:val="21"/>
                <w:szCs w:val="21"/>
              </w:rPr>
              <w:t>循环水系统</w:t>
            </w:r>
          </w:p>
        </w:tc>
        <w:tc>
          <w:tcPr>
            <w:tcW w:w="653" w:type="pct"/>
            <w:vMerge/>
            <w:vAlign w:val="center"/>
          </w:tcPr>
          <w:p w14:paraId="1BD5764A" w14:textId="77777777" w:rsidR="003E78AB" w:rsidRDefault="003E78AB">
            <w:pPr>
              <w:spacing w:line="360" w:lineRule="exact"/>
              <w:ind w:firstLineChars="0" w:firstLine="0"/>
              <w:contextualSpacing/>
              <w:jc w:val="center"/>
              <w:rPr>
                <w:bCs/>
                <w:sz w:val="21"/>
                <w:szCs w:val="21"/>
              </w:rPr>
            </w:pPr>
          </w:p>
        </w:tc>
        <w:tc>
          <w:tcPr>
            <w:tcW w:w="2940" w:type="pct"/>
            <w:vMerge/>
            <w:vAlign w:val="center"/>
          </w:tcPr>
          <w:p w14:paraId="6727AE0D" w14:textId="77777777" w:rsidR="003E78AB" w:rsidRDefault="003E78AB">
            <w:pPr>
              <w:spacing w:line="360" w:lineRule="exact"/>
              <w:ind w:firstLineChars="0" w:firstLine="0"/>
              <w:contextualSpacing/>
              <w:jc w:val="center"/>
              <w:rPr>
                <w:bCs/>
                <w:sz w:val="21"/>
                <w:szCs w:val="21"/>
              </w:rPr>
            </w:pPr>
          </w:p>
        </w:tc>
      </w:tr>
      <w:tr w:rsidR="003E78AB" w14:paraId="33E0A8F5" w14:textId="77777777">
        <w:trPr>
          <w:trHeight w:val="283"/>
          <w:jc w:val="center"/>
        </w:trPr>
        <w:tc>
          <w:tcPr>
            <w:tcW w:w="1406" w:type="pct"/>
            <w:shd w:val="clear" w:color="auto" w:fill="auto"/>
            <w:vAlign w:val="center"/>
          </w:tcPr>
          <w:p w14:paraId="40CF18CD" w14:textId="77777777" w:rsidR="003E78AB" w:rsidRDefault="00010BF9">
            <w:pPr>
              <w:spacing w:line="360" w:lineRule="exact"/>
              <w:ind w:firstLineChars="0" w:firstLine="0"/>
              <w:contextualSpacing/>
              <w:jc w:val="center"/>
              <w:rPr>
                <w:bCs/>
                <w:sz w:val="21"/>
                <w:szCs w:val="21"/>
              </w:rPr>
            </w:pPr>
            <w:r>
              <w:rPr>
                <w:bCs/>
                <w:sz w:val="21"/>
                <w:szCs w:val="21"/>
              </w:rPr>
              <w:t>消防水系统</w:t>
            </w:r>
          </w:p>
        </w:tc>
        <w:tc>
          <w:tcPr>
            <w:tcW w:w="653" w:type="pct"/>
            <w:vMerge/>
            <w:vAlign w:val="center"/>
          </w:tcPr>
          <w:p w14:paraId="63F734E1" w14:textId="77777777" w:rsidR="003E78AB" w:rsidRDefault="003E78AB">
            <w:pPr>
              <w:spacing w:line="360" w:lineRule="exact"/>
              <w:ind w:firstLineChars="0" w:firstLine="0"/>
              <w:contextualSpacing/>
              <w:jc w:val="center"/>
              <w:rPr>
                <w:bCs/>
                <w:sz w:val="21"/>
                <w:szCs w:val="21"/>
                <w:lang w:eastAsia="en-US"/>
              </w:rPr>
            </w:pPr>
          </w:p>
        </w:tc>
        <w:tc>
          <w:tcPr>
            <w:tcW w:w="2940" w:type="pct"/>
            <w:vMerge/>
            <w:vAlign w:val="center"/>
          </w:tcPr>
          <w:p w14:paraId="1DB495B9" w14:textId="77777777" w:rsidR="003E78AB" w:rsidRDefault="003E78AB">
            <w:pPr>
              <w:spacing w:line="360" w:lineRule="exact"/>
              <w:ind w:firstLineChars="0" w:firstLine="0"/>
              <w:contextualSpacing/>
              <w:jc w:val="center"/>
              <w:rPr>
                <w:bCs/>
                <w:sz w:val="21"/>
                <w:szCs w:val="21"/>
              </w:rPr>
            </w:pPr>
          </w:p>
        </w:tc>
      </w:tr>
      <w:tr w:rsidR="003E78AB" w14:paraId="35BB9DE2" w14:textId="77777777">
        <w:trPr>
          <w:trHeight w:val="283"/>
          <w:jc w:val="center"/>
        </w:trPr>
        <w:tc>
          <w:tcPr>
            <w:tcW w:w="1406" w:type="pct"/>
            <w:vAlign w:val="center"/>
          </w:tcPr>
          <w:p w14:paraId="4CBE952C" w14:textId="77777777" w:rsidR="003E78AB" w:rsidRDefault="00010BF9">
            <w:pPr>
              <w:spacing w:line="360" w:lineRule="exact"/>
              <w:ind w:firstLineChars="0" w:firstLine="0"/>
              <w:contextualSpacing/>
              <w:jc w:val="center"/>
              <w:rPr>
                <w:bCs/>
                <w:sz w:val="21"/>
                <w:szCs w:val="21"/>
              </w:rPr>
            </w:pPr>
            <w:r>
              <w:rPr>
                <w:rFonts w:hint="eastAsia"/>
                <w:bCs/>
                <w:sz w:val="21"/>
                <w:szCs w:val="21"/>
              </w:rPr>
              <w:t>研发中心</w:t>
            </w:r>
          </w:p>
        </w:tc>
        <w:tc>
          <w:tcPr>
            <w:tcW w:w="653" w:type="pct"/>
            <w:vMerge/>
            <w:vAlign w:val="center"/>
          </w:tcPr>
          <w:p w14:paraId="466D8E7A" w14:textId="77777777" w:rsidR="003E78AB" w:rsidRDefault="003E78AB">
            <w:pPr>
              <w:spacing w:line="360" w:lineRule="exact"/>
              <w:ind w:firstLineChars="0" w:firstLine="0"/>
              <w:contextualSpacing/>
              <w:jc w:val="center"/>
              <w:rPr>
                <w:bCs/>
                <w:sz w:val="21"/>
                <w:szCs w:val="21"/>
                <w:lang w:eastAsia="en-US"/>
              </w:rPr>
            </w:pPr>
          </w:p>
        </w:tc>
        <w:tc>
          <w:tcPr>
            <w:tcW w:w="2940" w:type="pct"/>
            <w:vMerge/>
            <w:vAlign w:val="center"/>
          </w:tcPr>
          <w:p w14:paraId="73FFC1D2" w14:textId="77777777" w:rsidR="003E78AB" w:rsidRDefault="003E78AB">
            <w:pPr>
              <w:spacing w:line="360" w:lineRule="exact"/>
              <w:ind w:firstLineChars="0" w:firstLine="0"/>
              <w:contextualSpacing/>
              <w:jc w:val="center"/>
              <w:rPr>
                <w:bCs/>
                <w:sz w:val="21"/>
                <w:szCs w:val="21"/>
              </w:rPr>
            </w:pPr>
          </w:p>
        </w:tc>
      </w:tr>
      <w:tr w:rsidR="003E78AB" w14:paraId="200F55D7" w14:textId="77777777">
        <w:trPr>
          <w:trHeight w:val="283"/>
          <w:jc w:val="center"/>
        </w:trPr>
        <w:tc>
          <w:tcPr>
            <w:tcW w:w="1406" w:type="pct"/>
            <w:vAlign w:val="center"/>
          </w:tcPr>
          <w:p w14:paraId="79A4C608" w14:textId="77777777" w:rsidR="003E78AB" w:rsidRDefault="00010BF9">
            <w:pPr>
              <w:spacing w:line="360" w:lineRule="exact"/>
              <w:ind w:firstLineChars="0" w:firstLine="0"/>
              <w:contextualSpacing/>
              <w:jc w:val="center"/>
              <w:rPr>
                <w:bCs/>
                <w:sz w:val="21"/>
                <w:szCs w:val="21"/>
              </w:rPr>
            </w:pPr>
            <w:r>
              <w:rPr>
                <w:rFonts w:hint="eastAsia"/>
                <w:bCs/>
                <w:sz w:val="21"/>
                <w:szCs w:val="21"/>
              </w:rPr>
              <w:t>其他区域</w:t>
            </w:r>
          </w:p>
        </w:tc>
        <w:tc>
          <w:tcPr>
            <w:tcW w:w="653" w:type="pct"/>
            <w:vAlign w:val="center"/>
          </w:tcPr>
          <w:p w14:paraId="414E266E" w14:textId="77777777" w:rsidR="003E78AB" w:rsidRDefault="00010BF9">
            <w:pPr>
              <w:spacing w:line="360" w:lineRule="exact"/>
              <w:ind w:firstLineChars="0" w:firstLine="0"/>
              <w:contextualSpacing/>
              <w:jc w:val="center"/>
              <w:rPr>
                <w:bCs/>
                <w:sz w:val="21"/>
                <w:szCs w:val="21"/>
              </w:rPr>
            </w:pPr>
            <w:r>
              <w:rPr>
                <w:bCs/>
                <w:sz w:val="21"/>
                <w:szCs w:val="21"/>
              </w:rPr>
              <w:t>简单防渗区</w:t>
            </w:r>
          </w:p>
        </w:tc>
        <w:tc>
          <w:tcPr>
            <w:tcW w:w="2940" w:type="pct"/>
            <w:vAlign w:val="center"/>
          </w:tcPr>
          <w:p w14:paraId="6E2517CF" w14:textId="77777777" w:rsidR="003E78AB" w:rsidRDefault="00010BF9">
            <w:pPr>
              <w:spacing w:line="360" w:lineRule="exact"/>
              <w:ind w:firstLineChars="0" w:firstLine="0"/>
              <w:contextualSpacing/>
              <w:jc w:val="center"/>
              <w:rPr>
                <w:bCs/>
                <w:sz w:val="21"/>
                <w:szCs w:val="21"/>
              </w:rPr>
            </w:pPr>
            <w:r>
              <w:rPr>
                <w:bCs/>
                <w:sz w:val="21"/>
                <w:szCs w:val="21"/>
              </w:rPr>
              <w:t>简单硬化防渗</w:t>
            </w:r>
          </w:p>
        </w:tc>
      </w:tr>
    </w:tbl>
    <w:p w14:paraId="075CD37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7.2</w:t>
      </w:r>
      <w:r>
        <w:rPr>
          <w:rFonts w:ascii="Times New Roman" w:hAnsi="Times New Roman"/>
        </w:rPr>
        <w:t>.5.3</w:t>
      </w:r>
      <w:r>
        <w:rPr>
          <w:rFonts w:ascii="Times New Roman" w:hAnsi="Times New Roman"/>
        </w:rPr>
        <w:t>跟踪监测</w:t>
      </w:r>
    </w:p>
    <w:p w14:paraId="0F29B5E8" w14:textId="77777777" w:rsidR="003E78AB" w:rsidRDefault="00010BF9">
      <w:pPr>
        <w:ind w:firstLine="480"/>
        <w:rPr>
          <w:kern w:val="28"/>
        </w:rPr>
      </w:pPr>
      <w:r>
        <w:rPr>
          <w:kern w:val="28"/>
        </w:rPr>
        <w:t>本项目建立地下水、土壤环境监测管理体系，包括制定地下水、土壤环境影响跟踪监测计划、建立地下水、土壤环境影响跟踪监测制度、定期委托有能力的机构监测，及时发现污染，及时控制。</w:t>
      </w:r>
    </w:p>
    <w:p w14:paraId="4E343CCD" w14:textId="77777777" w:rsidR="003E78AB" w:rsidRDefault="00010BF9">
      <w:pPr>
        <w:ind w:firstLine="480"/>
        <w:rPr>
          <w:kern w:val="28"/>
        </w:rPr>
      </w:pPr>
      <w:r>
        <w:rPr>
          <w:kern w:val="28"/>
        </w:rPr>
        <w:t>（</w:t>
      </w:r>
      <w:r>
        <w:rPr>
          <w:kern w:val="28"/>
        </w:rPr>
        <w:t>1</w:t>
      </w:r>
      <w:r>
        <w:rPr>
          <w:kern w:val="28"/>
        </w:rPr>
        <w:t>）地下水跟踪监测</w:t>
      </w:r>
    </w:p>
    <w:p w14:paraId="450D752A" w14:textId="77777777" w:rsidR="003E78AB" w:rsidRDefault="00010BF9">
      <w:pPr>
        <w:ind w:firstLine="480"/>
        <w:rPr>
          <w:kern w:val="28"/>
        </w:rPr>
      </w:pPr>
      <w:r>
        <w:rPr>
          <w:kern w:val="28"/>
        </w:rPr>
        <w:t>①</w:t>
      </w:r>
      <w:r>
        <w:rPr>
          <w:kern w:val="28"/>
        </w:rPr>
        <w:t>监测点位布设</w:t>
      </w:r>
    </w:p>
    <w:p w14:paraId="3054AD4B" w14:textId="77777777" w:rsidR="003E78AB" w:rsidRDefault="00010BF9">
      <w:pPr>
        <w:ind w:firstLine="480"/>
        <w:rPr>
          <w:kern w:val="28"/>
        </w:rPr>
      </w:pPr>
      <w:r>
        <w:rPr>
          <w:kern w:val="28"/>
        </w:rPr>
        <w:t>项目已根据《环境影响评价技术导则地下水环境》（</w:t>
      </w:r>
      <w:r>
        <w:rPr>
          <w:kern w:val="28"/>
        </w:rPr>
        <w:t>HJ610-2016</w:t>
      </w:r>
      <w:r>
        <w:rPr>
          <w:kern w:val="28"/>
        </w:rPr>
        <w:t>）要求设置有地下水水质监控井，其分布情况见</w:t>
      </w:r>
      <w:r>
        <w:rPr>
          <w:kern w:val="28"/>
        </w:rPr>
        <w:fldChar w:fldCharType="begin"/>
      </w:r>
      <w:r>
        <w:rPr>
          <w:kern w:val="28"/>
        </w:rPr>
        <w:instrText xml:space="preserve"> REF _Ref19454 \r \h </w:instrText>
      </w:r>
      <w:r>
        <w:rPr>
          <w:kern w:val="28"/>
        </w:rPr>
      </w:r>
      <w:r>
        <w:rPr>
          <w:kern w:val="28"/>
        </w:rPr>
        <w:fldChar w:fldCharType="separate"/>
      </w:r>
      <w:r>
        <w:rPr>
          <w:kern w:val="28"/>
        </w:rPr>
        <w:t>表</w:t>
      </w:r>
      <w:r>
        <w:rPr>
          <w:kern w:val="28"/>
        </w:rPr>
        <w:t>7-11</w:t>
      </w:r>
      <w:r>
        <w:rPr>
          <w:kern w:val="28"/>
        </w:rPr>
        <w:fldChar w:fldCharType="end"/>
      </w:r>
      <w:r>
        <w:rPr>
          <w:kern w:val="28"/>
        </w:rPr>
        <w:t>。</w:t>
      </w:r>
    </w:p>
    <w:p w14:paraId="3B88D257" w14:textId="77777777" w:rsidR="003E78AB" w:rsidRDefault="00010BF9">
      <w:pPr>
        <w:pStyle w:val="a6"/>
        <w:spacing w:before="120"/>
      </w:pPr>
      <w:bookmarkStart w:id="467" w:name="_Ref19454"/>
      <w:r>
        <w:t>项目区地下水质量监控井概况一览表</w:t>
      </w:r>
      <w:bookmarkEnd w:id="467"/>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492"/>
        <w:gridCol w:w="2335"/>
        <w:gridCol w:w="2928"/>
        <w:gridCol w:w="873"/>
      </w:tblGrid>
      <w:tr w:rsidR="003E78AB" w14:paraId="23845D14" w14:textId="77777777">
        <w:trPr>
          <w:trHeight w:val="498"/>
        </w:trPr>
        <w:tc>
          <w:tcPr>
            <w:tcW w:w="519" w:type="pct"/>
            <w:tcBorders>
              <w:tl2br w:val="nil"/>
              <w:tr2bl w:val="nil"/>
            </w:tcBorders>
            <w:vAlign w:val="center"/>
          </w:tcPr>
          <w:p w14:paraId="0AFA2103" w14:textId="77777777" w:rsidR="003E78AB" w:rsidRDefault="00010BF9">
            <w:pPr>
              <w:pStyle w:val="aff6"/>
              <w:topLinePunct/>
              <w:rPr>
                <w:b/>
                <w:bCs/>
                <w:lang w:val="zh-CN"/>
              </w:rPr>
            </w:pPr>
            <w:r>
              <w:rPr>
                <w:b/>
                <w:bCs/>
                <w:lang w:val="zh-CN"/>
              </w:rPr>
              <w:t>编号</w:t>
            </w:r>
          </w:p>
        </w:tc>
        <w:tc>
          <w:tcPr>
            <w:tcW w:w="876" w:type="pct"/>
            <w:tcBorders>
              <w:tl2br w:val="nil"/>
              <w:tr2bl w:val="nil"/>
            </w:tcBorders>
            <w:vAlign w:val="center"/>
          </w:tcPr>
          <w:p w14:paraId="38D1158E" w14:textId="77777777" w:rsidR="003E78AB" w:rsidRDefault="00010BF9">
            <w:pPr>
              <w:pStyle w:val="aff6"/>
              <w:topLinePunct/>
              <w:rPr>
                <w:b/>
                <w:bCs/>
                <w:lang w:val="zh-CN"/>
              </w:rPr>
            </w:pPr>
            <w:r>
              <w:rPr>
                <w:b/>
                <w:bCs/>
                <w:lang w:val="zh-CN"/>
              </w:rPr>
              <w:t>方位</w:t>
            </w:r>
          </w:p>
        </w:tc>
        <w:tc>
          <w:tcPr>
            <w:tcW w:w="1371" w:type="pct"/>
            <w:tcBorders>
              <w:tl2br w:val="nil"/>
              <w:tr2bl w:val="nil"/>
            </w:tcBorders>
            <w:vAlign w:val="center"/>
          </w:tcPr>
          <w:p w14:paraId="4834BB88" w14:textId="77777777" w:rsidR="003E78AB" w:rsidRDefault="00010BF9">
            <w:pPr>
              <w:pStyle w:val="aff6"/>
              <w:topLinePunct/>
              <w:rPr>
                <w:b/>
                <w:bCs/>
                <w:lang w:val="zh-CN"/>
              </w:rPr>
            </w:pPr>
            <w:r>
              <w:rPr>
                <w:b/>
                <w:bCs/>
                <w:lang w:val="zh-CN"/>
              </w:rPr>
              <w:t>区域内地下水流场中位置关系</w:t>
            </w:r>
          </w:p>
        </w:tc>
        <w:tc>
          <w:tcPr>
            <w:tcW w:w="1720" w:type="pct"/>
            <w:tcBorders>
              <w:tl2br w:val="nil"/>
              <w:tr2bl w:val="nil"/>
            </w:tcBorders>
            <w:vAlign w:val="center"/>
          </w:tcPr>
          <w:p w14:paraId="2A0B2D2B" w14:textId="77777777" w:rsidR="003E78AB" w:rsidRDefault="00010BF9">
            <w:pPr>
              <w:pStyle w:val="aff6"/>
              <w:topLinePunct/>
              <w:rPr>
                <w:b/>
                <w:bCs/>
              </w:rPr>
            </w:pPr>
            <w:r>
              <w:rPr>
                <w:b/>
                <w:bCs/>
              </w:rPr>
              <w:t>功能</w:t>
            </w:r>
          </w:p>
        </w:tc>
        <w:tc>
          <w:tcPr>
            <w:tcW w:w="513" w:type="pct"/>
            <w:tcBorders>
              <w:tl2br w:val="nil"/>
              <w:tr2bl w:val="nil"/>
            </w:tcBorders>
            <w:vAlign w:val="center"/>
          </w:tcPr>
          <w:p w14:paraId="09D09F85" w14:textId="77777777" w:rsidR="003E78AB" w:rsidRDefault="00010BF9">
            <w:pPr>
              <w:pStyle w:val="aff6"/>
              <w:topLinePunct/>
              <w:rPr>
                <w:b/>
                <w:bCs/>
              </w:rPr>
            </w:pPr>
            <w:r>
              <w:rPr>
                <w:b/>
                <w:bCs/>
              </w:rPr>
              <w:t>监控水层</w:t>
            </w:r>
          </w:p>
        </w:tc>
      </w:tr>
      <w:tr w:rsidR="003E78AB" w14:paraId="51C38029" w14:textId="77777777">
        <w:trPr>
          <w:trHeight w:val="340"/>
        </w:trPr>
        <w:tc>
          <w:tcPr>
            <w:tcW w:w="519" w:type="pct"/>
            <w:tcBorders>
              <w:tl2br w:val="nil"/>
              <w:tr2bl w:val="nil"/>
            </w:tcBorders>
            <w:vAlign w:val="center"/>
          </w:tcPr>
          <w:p w14:paraId="27F37EBE" w14:textId="77777777" w:rsidR="003E78AB" w:rsidRDefault="00010BF9">
            <w:pPr>
              <w:pStyle w:val="aff6"/>
              <w:topLinePunct/>
            </w:pPr>
            <w:r>
              <w:t>1#</w:t>
            </w:r>
          </w:p>
        </w:tc>
        <w:tc>
          <w:tcPr>
            <w:tcW w:w="876" w:type="pct"/>
            <w:tcBorders>
              <w:tl2br w:val="nil"/>
              <w:tr2bl w:val="nil"/>
            </w:tcBorders>
            <w:vAlign w:val="center"/>
          </w:tcPr>
          <w:p w14:paraId="4351F486" w14:textId="77777777" w:rsidR="003E78AB" w:rsidRDefault="00010BF9">
            <w:pPr>
              <w:pStyle w:val="aff6"/>
              <w:topLinePunct/>
              <w:rPr>
                <w:lang w:val="zh-CN"/>
              </w:rPr>
            </w:pPr>
            <w:r>
              <w:rPr>
                <w:lang w:val="zh-CN"/>
              </w:rPr>
              <w:t>厂区内</w:t>
            </w:r>
          </w:p>
        </w:tc>
        <w:tc>
          <w:tcPr>
            <w:tcW w:w="1371" w:type="pct"/>
            <w:tcBorders>
              <w:tl2br w:val="nil"/>
              <w:tr2bl w:val="nil"/>
            </w:tcBorders>
            <w:vAlign w:val="center"/>
          </w:tcPr>
          <w:p w14:paraId="3A1E86AE" w14:textId="77777777" w:rsidR="003E78AB" w:rsidRDefault="00010BF9">
            <w:pPr>
              <w:pStyle w:val="aff6"/>
              <w:topLinePunct/>
              <w:rPr>
                <w:lang w:val="zh-CN"/>
              </w:rPr>
            </w:pPr>
            <w:r>
              <w:rPr>
                <w:lang w:val="zh-CN"/>
              </w:rPr>
              <w:t>/</w:t>
            </w:r>
          </w:p>
        </w:tc>
        <w:tc>
          <w:tcPr>
            <w:tcW w:w="1720" w:type="pct"/>
            <w:tcBorders>
              <w:tl2br w:val="nil"/>
              <w:tr2bl w:val="nil"/>
            </w:tcBorders>
            <w:vAlign w:val="center"/>
          </w:tcPr>
          <w:p w14:paraId="40219E6C" w14:textId="77777777" w:rsidR="003E78AB" w:rsidRDefault="00010BF9">
            <w:pPr>
              <w:pStyle w:val="aff6"/>
              <w:topLinePunct/>
              <w:rPr>
                <w:lang w:val="zh-CN"/>
              </w:rPr>
            </w:pPr>
            <w:r>
              <w:t>污染跟踪监测井</w:t>
            </w:r>
          </w:p>
        </w:tc>
        <w:tc>
          <w:tcPr>
            <w:tcW w:w="513" w:type="pct"/>
            <w:vMerge w:val="restart"/>
            <w:tcBorders>
              <w:tl2br w:val="nil"/>
              <w:tr2bl w:val="nil"/>
            </w:tcBorders>
            <w:vAlign w:val="center"/>
          </w:tcPr>
          <w:p w14:paraId="64C76D93" w14:textId="77777777" w:rsidR="003E78AB" w:rsidRDefault="00010BF9">
            <w:pPr>
              <w:pStyle w:val="aff6"/>
              <w:topLinePunct/>
            </w:pPr>
            <w:r>
              <w:t>潜水层</w:t>
            </w:r>
          </w:p>
        </w:tc>
      </w:tr>
      <w:tr w:rsidR="003E78AB" w14:paraId="60D9A480" w14:textId="77777777">
        <w:trPr>
          <w:trHeight w:val="340"/>
        </w:trPr>
        <w:tc>
          <w:tcPr>
            <w:tcW w:w="519" w:type="pct"/>
            <w:tcBorders>
              <w:tl2br w:val="nil"/>
              <w:tr2bl w:val="nil"/>
            </w:tcBorders>
            <w:vAlign w:val="center"/>
          </w:tcPr>
          <w:p w14:paraId="541883FA" w14:textId="77777777" w:rsidR="003E78AB" w:rsidRDefault="00010BF9">
            <w:pPr>
              <w:pStyle w:val="aff6"/>
              <w:topLinePunct/>
            </w:pPr>
            <w:r>
              <w:t>2#</w:t>
            </w:r>
          </w:p>
        </w:tc>
        <w:tc>
          <w:tcPr>
            <w:tcW w:w="876" w:type="pct"/>
            <w:tcBorders>
              <w:tl2br w:val="nil"/>
              <w:tr2bl w:val="nil"/>
            </w:tcBorders>
            <w:vAlign w:val="center"/>
          </w:tcPr>
          <w:p w14:paraId="4B8BFAEA" w14:textId="77777777" w:rsidR="003E78AB" w:rsidRDefault="00010BF9">
            <w:pPr>
              <w:pStyle w:val="aff6"/>
              <w:topLinePunct/>
            </w:pPr>
            <w:r>
              <w:rPr>
                <w:lang w:val="zh-CN"/>
              </w:rPr>
              <w:t>厂区西南侧</w:t>
            </w:r>
            <w:r>
              <w:t>10m</w:t>
            </w:r>
            <w:r>
              <w:t>处</w:t>
            </w:r>
          </w:p>
        </w:tc>
        <w:tc>
          <w:tcPr>
            <w:tcW w:w="1371" w:type="pct"/>
            <w:tcBorders>
              <w:tl2br w:val="nil"/>
              <w:tr2bl w:val="nil"/>
            </w:tcBorders>
            <w:vAlign w:val="center"/>
          </w:tcPr>
          <w:p w14:paraId="5425CED4" w14:textId="77777777" w:rsidR="003E78AB" w:rsidRDefault="00010BF9">
            <w:pPr>
              <w:pStyle w:val="aff6"/>
              <w:topLinePunct/>
              <w:rPr>
                <w:lang w:val="zh-CN"/>
              </w:rPr>
            </w:pPr>
            <w:r>
              <w:rPr>
                <w:lang w:val="zh-CN"/>
              </w:rPr>
              <w:t>地下水下游方向</w:t>
            </w:r>
          </w:p>
        </w:tc>
        <w:tc>
          <w:tcPr>
            <w:tcW w:w="1720" w:type="pct"/>
            <w:tcBorders>
              <w:tl2br w:val="nil"/>
              <w:tr2bl w:val="nil"/>
            </w:tcBorders>
            <w:vAlign w:val="center"/>
          </w:tcPr>
          <w:p w14:paraId="497C8377" w14:textId="77777777" w:rsidR="003E78AB" w:rsidRDefault="00010BF9">
            <w:pPr>
              <w:pStyle w:val="aff6"/>
              <w:topLinePunct/>
            </w:pPr>
            <w:r>
              <w:t>污染扩散监测井</w:t>
            </w:r>
          </w:p>
        </w:tc>
        <w:tc>
          <w:tcPr>
            <w:tcW w:w="513" w:type="pct"/>
            <w:vMerge/>
            <w:tcBorders>
              <w:tl2br w:val="nil"/>
              <w:tr2bl w:val="nil"/>
            </w:tcBorders>
            <w:vAlign w:val="center"/>
          </w:tcPr>
          <w:p w14:paraId="48CC4E03" w14:textId="77777777" w:rsidR="003E78AB" w:rsidRDefault="003E78AB">
            <w:pPr>
              <w:pStyle w:val="aff6"/>
              <w:topLinePunct/>
              <w:rPr>
                <w:lang w:val="zh-CN"/>
              </w:rPr>
            </w:pPr>
          </w:p>
        </w:tc>
      </w:tr>
      <w:tr w:rsidR="003E78AB" w14:paraId="5BCF14CE" w14:textId="77777777">
        <w:trPr>
          <w:trHeight w:val="340"/>
        </w:trPr>
        <w:tc>
          <w:tcPr>
            <w:tcW w:w="519" w:type="pct"/>
            <w:tcBorders>
              <w:tl2br w:val="nil"/>
              <w:tr2bl w:val="nil"/>
            </w:tcBorders>
            <w:vAlign w:val="center"/>
          </w:tcPr>
          <w:p w14:paraId="1888B36B" w14:textId="77777777" w:rsidR="003E78AB" w:rsidRDefault="00010BF9">
            <w:pPr>
              <w:pStyle w:val="aff6"/>
              <w:topLinePunct/>
            </w:pPr>
            <w:r>
              <w:t>3#</w:t>
            </w:r>
          </w:p>
        </w:tc>
        <w:tc>
          <w:tcPr>
            <w:tcW w:w="876" w:type="pct"/>
            <w:tcBorders>
              <w:tl2br w:val="nil"/>
              <w:tr2bl w:val="nil"/>
            </w:tcBorders>
            <w:vAlign w:val="center"/>
          </w:tcPr>
          <w:p w14:paraId="4F57DF72" w14:textId="77777777" w:rsidR="003E78AB" w:rsidRDefault="00010BF9">
            <w:pPr>
              <w:pStyle w:val="aff6"/>
              <w:topLinePunct/>
            </w:pPr>
            <w:r>
              <w:rPr>
                <w:lang w:val="zh-CN"/>
              </w:rPr>
              <w:t>厂区东北侧</w:t>
            </w:r>
            <w:r>
              <w:t>1km</w:t>
            </w:r>
            <w:r>
              <w:t>处</w:t>
            </w:r>
          </w:p>
        </w:tc>
        <w:tc>
          <w:tcPr>
            <w:tcW w:w="1371" w:type="pct"/>
            <w:tcBorders>
              <w:tl2br w:val="nil"/>
              <w:tr2bl w:val="nil"/>
            </w:tcBorders>
            <w:vAlign w:val="center"/>
          </w:tcPr>
          <w:p w14:paraId="7923EE81" w14:textId="77777777" w:rsidR="003E78AB" w:rsidRDefault="00010BF9">
            <w:pPr>
              <w:pStyle w:val="aff6"/>
              <w:topLinePunct/>
              <w:rPr>
                <w:lang w:val="zh-CN"/>
              </w:rPr>
            </w:pPr>
            <w:r>
              <w:rPr>
                <w:lang w:val="zh-CN"/>
              </w:rPr>
              <w:t>地下水上游方向</w:t>
            </w:r>
          </w:p>
        </w:tc>
        <w:tc>
          <w:tcPr>
            <w:tcW w:w="1720" w:type="pct"/>
            <w:tcBorders>
              <w:tl2br w:val="nil"/>
              <w:tr2bl w:val="nil"/>
            </w:tcBorders>
            <w:vAlign w:val="center"/>
          </w:tcPr>
          <w:p w14:paraId="7281BFC0" w14:textId="77777777" w:rsidR="003E78AB" w:rsidRDefault="00010BF9">
            <w:pPr>
              <w:pStyle w:val="aff6"/>
              <w:topLinePunct/>
            </w:pPr>
            <w:r>
              <w:t>背景值监测井</w:t>
            </w:r>
          </w:p>
        </w:tc>
        <w:tc>
          <w:tcPr>
            <w:tcW w:w="513" w:type="pct"/>
            <w:vMerge/>
            <w:tcBorders>
              <w:tl2br w:val="nil"/>
              <w:tr2bl w:val="nil"/>
            </w:tcBorders>
            <w:vAlign w:val="center"/>
          </w:tcPr>
          <w:p w14:paraId="76A6105F" w14:textId="77777777" w:rsidR="003E78AB" w:rsidRDefault="003E78AB">
            <w:pPr>
              <w:pStyle w:val="aff6"/>
              <w:topLinePunct/>
              <w:rPr>
                <w:lang w:val="zh-CN"/>
              </w:rPr>
            </w:pPr>
          </w:p>
        </w:tc>
      </w:tr>
    </w:tbl>
    <w:p w14:paraId="325E0C43" w14:textId="77777777" w:rsidR="003E78AB" w:rsidRDefault="00010BF9">
      <w:pPr>
        <w:ind w:firstLine="480"/>
        <w:rPr>
          <w:kern w:val="28"/>
        </w:rPr>
      </w:pPr>
      <w:r>
        <w:rPr>
          <w:kern w:val="28"/>
        </w:rPr>
        <w:t>②</w:t>
      </w:r>
      <w:r>
        <w:rPr>
          <w:kern w:val="28"/>
        </w:rPr>
        <w:t>监测制度</w:t>
      </w:r>
    </w:p>
    <w:p w14:paraId="5D092F9E" w14:textId="77777777" w:rsidR="003E78AB" w:rsidRDefault="00010BF9">
      <w:pPr>
        <w:ind w:firstLine="480"/>
        <w:rPr>
          <w:kern w:val="28"/>
        </w:rPr>
      </w:pPr>
      <w:r>
        <w:rPr>
          <w:kern w:val="28"/>
        </w:rPr>
        <w:t>监测频次初步设置为：</w:t>
      </w:r>
    </w:p>
    <w:p w14:paraId="4474B2F7" w14:textId="77777777" w:rsidR="003E78AB" w:rsidRDefault="00010BF9">
      <w:pPr>
        <w:ind w:firstLine="480"/>
        <w:rPr>
          <w:kern w:val="28"/>
        </w:rPr>
      </w:pPr>
      <w:r>
        <w:rPr>
          <w:kern w:val="28"/>
        </w:rPr>
        <w:t>每年丰、枯水期各监测一次；</w:t>
      </w:r>
    </w:p>
    <w:p w14:paraId="4C027D27" w14:textId="77777777" w:rsidR="003E78AB" w:rsidRDefault="00010BF9">
      <w:pPr>
        <w:ind w:firstLine="480"/>
        <w:rPr>
          <w:kern w:val="28"/>
        </w:rPr>
      </w:pPr>
      <w:r>
        <w:rPr>
          <w:kern w:val="28"/>
        </w:rPr>
        <w:t>如发现监测值异常（特征因子浓度持续升高，或现状监测未检出的因子检出），应加密监测频次，以确定是否发生污染事故。</w:t>
      </w:r>
    </w:p>
    <w:p w14:paraId="16882FB1" w14:textId="77777777" w:rsidR="003E78AB" w:rsidRDefault="00010BF9">
      <w:pPr>
        <w:ind w:firstLine="480"/>
        <w:rPr>
          <w:kern w:val="28"/>
        </w:rPr>
      </w:pPr>
      <w:r>
        <w:rPr>
          <w:kern w:val="28"/>
        </w:rPr>
        <w:t>监测项目：</w:t>
      </w:r>
      <w:r>
        <w:rPr>
          <w:kern w:val="2"/>
        </w:rPr>
        <w:t>水位、</w:t>
      </w:r>
      <w:r>
        <w:rPr>
          <w:kern w:val="2"/>
        </w:rPr>
        <w:t>pH</w:t>
      </w:r>
      <w:r>
        <w:rPr>
          <w:kern w:val="2"/>
        </w:rPr>
        <w:t>、氨氮、硝酸盐、亚硝酸盐、挥发性酚类、氰化物、砷、汞、铬</w:t>
      </w:r>
      <w:r>
        <w:rPr>
          <w:kern w:val="2"/>
        </w:rPr>
        <w:t>(</w:t>
      </w:r>
      <w:r>
        <w:rPr>
          <w:kern w:val="2"/>
        </w:rPr>
        <w:t>六价</w:t>
      </w:r>
      <w:r>
        <w:rPr>
          <w:kern w:val="2"/>
        </w:rPr>
        <w:t>)</w:t>
      </w:r>
      <w:r>
        <w:rPr>
          <w:kern w:val="2"/>
        </w:rPr>
        <w:t>、总硬度、铅、氟化物、镉、铁、锰、溶解性总固体、耗氧量、硫酸盐、氯化物、总大肠菌群、细菌总数、钒</w:t>
      </w:r>
      <w:r>
        <w:rPr>
          <w:rFonts w:hint="eastAsia"/>
          <w:kern w:val="2"/>
        </w:rPr>
        <w:t>、总磷</w:t>
      </w:r>
      <w:r>
        <w:rPr>
          <w:kern w:val="2"/>
        </w:rPr>
        <w:t>等</w:t>
      </w:r>
      <w:r>
        <w:rPr>
          <w:kern w:val="28"/>
        </w:rPr>
        <w:t>。</w:t>
      </w:r>
    </w:p>
    <w:p w14:paraId="019A49B5" w14:textId="77777777" w:rsidR="003E78AB" w:rsidRDefault="00010BF9">
      <w:pPr>
        <w:ind w:firstLine="480"/>
        <w:rPr>
          <w:kern w:val="28"/>
        </w:rPr>
      </w:pPr>
      <w:r>
        <w:rPr>
          <w:kern w:val="28"/>
        </w:rPr>
        <w:t>地下水进行监测时的气温、地下水水位、水温、溶解氧、电导率、氧化还原电位、嗅和味、浑浊度、肉眼可见物等监</w:t>
      </w:r>
      <w:r>
        <w:rPr>
          <w:kern w:val="28"/>
        </w:rPr>
        <w:t>测项目为每次监测的现场必测项目，同时记录井深。</w:t>
      </w:r>
    </w:p>
    <w:p w14:paraId="170A6545" w14:textId="77777777" w:rsidR="003E78AB" w:rsidRDefault="00010BF9">
      <w:pPr>
        <w:ind w:firstLine="480"/>
        <w:rPr>
          <w:kern w:val="28"/>
        </w:rPr>
      </w:pPr>
      <w:r>
        <w:rPr>
          <w:kern w:val="28"/>
        </w:rPr>
        <w:t>监测结果应按项目有关规定及时建立档案，并及时向厂环保部门汇报，如发现异常或发生事故，应加密监测频次，改为每周监测一次，通过对比分析厂区地下水上下游监测数据，确定是否为厂区内污染物泄漏导致，然后启动地下水污染应急预案。</w:t>
      </w:r>
    </w:p>
    <w:p w14:paraId="04DBCA9C" w14:textId="77777777" w:rsidR="003E78AB" w:rsidRDefault="00010BF9">
      <w:pPr>
        <w:ind w:firstLine="480"/>
        <w:rPr>
          <w:kern w:val="28"/>
        </w:rPr>
      </w:pPr>
      <w:r>
        <w:rPr>
          <w:kern w:val="28"/>
        </w:rPr>
        <w:t>（</w:t>
      </w:r>
      <w:r>
        <w:rPr>
          <w:kern w:val="28"/>
        </w:rPr>
        <w:t>2</w:t>
      </w:r>
      <w:r>
        <w:rPr>
          <w:kern w:val="28"/>
        </w:rPr>
        <w:t>）土壤环境跟踪监测</w:t>
      </w:r>
    </w:p>
    <w:p w14:paraId="7EF866AC" w14:textId="77777777" w:rsidR="003E78AB" w:rsidRDefault="00010BF9">
      <w:pPr>
        <w:ind w:firstLine="480"/>
      </w:pPr>
      <w:r>
        <w:t>根据《工业企业土壤和地下水自行监测技术指南（试行）》（</w:t>
      </w:r>
      <w:r>
        <w:t>HJ1209-2021</w:t>
      </w:r>
      <w:r>
        <w:t>），土壤环境跟踪监测计划应明确监测点位、监测指标、监测频次以及执行标准等，项目土壤环境跟踪监测计划见</w:t>
      </w:r>
      <w:r>
        <w:fldChar w:fldCharType="begin"/>
      </w:r>
      <w:r>
        <w:instrText xml:space="preserve"> REF _Ref19056 \r \h </w:instrText>
      </w:r>
      <w:r>
        <w:fldChar w:fldCharType="separate"/>
      </w:r>
      <w:r>
        <w:t>表</w:t>
      </w:r>
      <w:r>
        <w:t>7-12</w:t>
      </w:r>
      <w:r>
        <w:fldChar w:fldCharType="end"/>
      </w:r>
      <w:r>
        <w:t>。</w:t>
      </w:r>
    </w:p>
    <w:p w14:paraId="1A87CC2F" w14:textId="77777777" w:rsidR="003E78AB" w:rsidRDefault="00010BF9">
      <w:pPr>
        <w:pStyle w:val="a6"/>
        <w:spacing w:before="120"/>
      </w:pPr>
      <w:bookmarkStart w:id="468" w:name="_Ref19056"/>
      <w:r>
        <w:t>土壤环境跟踪监测计划一览表</w:t>
      </w:r>
      <w:bookmarkEnd w:id="46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7337"/>
      </w:tblGrid>
      <w:tr w:rsidR="003E78AB" w14:paraId="06DB88F9" w14:textId="77777777">
        <w:trPr>
          <w:trHeight w:val="340"/>
          <w:jc w:val="center"/>
        </w:trPr>
        <w:tc>
          <w:tcPr>
            <w:tcW w:w="608" w:type="pct"/>
            <w:vAlign w:val="center"/>
          </w:tcPr>
          <w:p w14:paraId="66B0F453" w14:textId="77777777" w:rsidR="003E78AB" w:rsidRDefault="00010BF9">
            <w:pPr>
              <w:pStyle w:val="aff6"/>
              <w:topLinePunct/>
              <w:rPr>
                <w:b/>
                <w:bCs/>
              </w:rPr>
            </w:pPr>
            <w:r>
              <w:rPr>
                <w:b/>
                <w:bCs/>
              </w:rPr>
              <w:t>项目类别</w:t>
            </w:r>
          </w:p>
        </w:tc>
        <w:tc>
          <w:tcPr>
            <w:tcW w:w="4391" w:type="pct"/>
            <w:vAlign w:val="center"/>
          </w:tcPr>
          <w:p w14:paraId="2D99F868" w14:textId="77777777" w:rsidR="003E78AB" w:rsidRDefault="00010BF9">
            <w:pPr>
              <w:pStyle w:val="aff6"/>
              <w:topLinePunct/>
              <w:rPr>
                <w:b/>
                <w:bCs/>
              </w:rPr>
            </w:pPr>
            <w:r>
              <w:rPr>
                <w:b/>
                <w:bCs/>
              </w:rPr>
              <w:t>本项目</w:t>
            </w:r>
          </w:p>
        </w:tc>
      </w:tr>
      <w:tr w:rsidR="003E78AB" w14:paraId="71D5BD5A" w14:textId="77777777">
        <w:trPr>
          <w:trHeight w:val="340"/>
          <w:jc w:val="center"/>
        </w:trPr>
        <w:tc>
          <w:tcPr>
            <w:tcW w:w="608" w:type="pct"/>
            <w:vAlign w:val="center"/>
          </w:tcPr>
          <w:p w14:paraId="2F226E1B" w14:textId="77777777" w:rsidR="003E78AB" w:rsidRDefault="00010BF9">
            <w:pPr>
              <w:pStyle w:val="aff6"/>
              <w:topLinePunct/>
            </w:pPr>
            <w:r>
              <w:t>监测点位</w:t>
            </w:r>
          </w:p>
        </w:tc>
        <w:tc>
          <w:tcPr>
            <w:tcW w:w="4391" w:type="pct"/>
            <w:vAlign w:val="center"/>
          </w:tcPr>
          <w:p w14:paraId="56E6DDBF" w14:textId="77777777" w:rsidR="003E78AB" w:rsidRDefault="00010BF9">
            <w:pPr>
              <w:pStyle w:val="aff6"/>
              <w:topLinePunct/>
            </w:pPr>
            <w:r>
              <w:t>液体库及原料仓库</w:t>
            </w:r>
            <w:r>
              <w:rPr>
                <w:rFonts w:hint="eastAsia"/>
              </w:rPr>
              <w:t>旁</w:t>
            </w:r>
            <w:r>
              <w:t>各布设一个点位；柱状样，监测深度</w:t>
            </w:r>
            <w:r>
              <w:t>3m</w:t>
            </w:r>
          </w:p>
        </w:tc>
      </w:tr>
      <w:tr w:rsidR="003E78AB" w14:paraId="0687D96D" w14:textId="77777777">
        <w:trPr>
          <w:trHeight w:val="340"/>
          <w:jc w:val="center"/>
        </w:trPr>
        <w:tc>
          <w:tcPr>
            <w:tcW w:w="608" w:type="pct"/>
            <w:vAlign w:val="center"/>
          </w:tcPr>
          <w:p w14:paraId="2FCE2526" w14:textId="77777777" w:rsidR="003E78AB" w:rsidRDefault="00010BF9">
            <w:pPr>
              <w:pStyle w:val="aff6"/>
              <w:topLinePunct/>
            </w:pPr>
            <w:r>
              <w:t>监测指标</w:t>
            </w:r>
          </w:p>
        </w:tc>
        <w:tc>
          <w:tcPr>
            <w:tcW w:w="4391" w:type="pct"/>
            <w:vAlign w:val="center"/>
          </w:tcPr>
          <w:p w14:paraId="1273FB99" w14:textId="77777777" w:rsidR="003E78AB" w:rsidRDefault="00010BF9">
            <w:pPr>
              <w:pStyle w:val="aff6"/>
              <w:topLinePunct/>
            </w:pPr>
            <w:r>
              <w:t>《</w:t>
            </w:r>
            <w:r>
              <w:t>pH</w:t>
            </w:r>
            <w:r>
              <w:t>、石油烃、总磷、钒等《土壤环境质量建设用地土壤污染风险管控标准（试行）》（</w:t>
            </w:r>
            <w:r>
              <w:t>GB36600-2018</w:t>
            </w:r>
            <w:r>
              <w:t>）中基本</w:t>
            </w:r>
            <w:r>
              <w:t>45</w:t>
            </w:r>
            <w:r>
              <w:t>项</w:t>
            </w:r>
          </w:p>
        </w:tc>
      </w:tr>
      <w:tr w:rsidR="003E78AB" w14:paraId="5E002D3D" w14:textId="77777777">
        <w:trPr>
          <w:trHeight w:val="340"/>
          <w:jc w:val="center"/>
        </w:trPr>
        <w:tc>
          <w:tcPr>
            <w:tcW w:w="608" w:type="pct"/>
            <w:vAlign w:val="center"/>
          </w:tcPr>
          <w:p w14:paraId="24ACF0F5" w14:textId="77777777" w:rsidR="003E78AB" w:rsidRDefault="00010BF9">
            <w:pPr>
              <w:pStyle w:val="aff6"/>
              <w:topLinePunct/>
            </w:pPr>
            <w:r>
              <w:t>监测频次</w:t>
            </w:r>
          </w:p>
        </w:tc>
        <w:tc>
          <w:tcPr>
            <w:tcW w:w="4391" w:type="pct"/>
            <w:vAlign w:val="center"/>
          </w:tcPr>
          <w:p w14:paraId="19A4AFFD" w14:textId="77777777" w:rsidR="003E78AB" w:rsidRDefault="00010BF9">
            <w:pPr>
              <w:pStyle w:val="aff6"/>
              <w:topLinePunct/>
            </w:pPr>
            <w:r>
              <w:rPr>
                <w:b/>
                <w:bCs/>
                <w:u w:val="single"/>
              </w:rPr>
              <w:t>每</w:t>
            </w:r>
            <w:r>
              <w:rPr>
                <w:rFonts w:hint="eastAsia"/>
                <w:b/>
                <w:bCs/>
                <w:u w:val="single"/>
              </w:rPr>
              <w:t>五</w:t>
            </w:r>
            <w:r>
              <w:rPr>
                <w:b/>
                <w:bCs/>
                <w:u w:val="single"/>
              </w:rPr>
              <w:t>年一次</w:t>
            </w:r>
          </w:p>
        </w:tc>
      </w:tr>
    </w:tbl>
    <w:p w14:paraId="47D45D11" w14:textId="77777777" w:rsidR="003E78AB" w:rsidRDefault="00010BF9">
      <w:pPr>
        <w:ind w:firstLine="480"/>
      </w:pPr>
      <w:r>
        <w:t>建设单位要对监测数据存档备查，并根据土壤环境跟踪监测情况定期编制监测报告并向社会公开。</w:t>
      </w:r>
    </w:p>
    <w:p w14:paraId="39034232" w14:textId="77777777" w:rsidR="003E78AB" w:rsidRDefault="00010BF9">
      <w:pPr>
        <w:spacing w:line="240" w:lineRule="auto"/>
        <w:ind w:firstLineChars="0" w:firstLine="0"/>
        <w:jc w:val="left"/>
        <w:rPr>
          <w:kern w:val="2"/>
          <w:sz w:val="44"/>
          <w:szCs w:val="22"/>
        </w:rPr>
      </w:pPr>
      <w:bookmarkStart w:id="469" w:name="_Toc146967278"/>
      <w:bookmarkStart w:id="470" w:name="_Toc188349480"/>
      <w:bookmarkStart w:id="471" w:name="_Toc149705177"/>
      <w:bookmarkStart w:id="472" w:name="_Toc146967282"/>
      <w:bookmarkStart w:id="473" w:name="_Toc327365518"/>
      <w:bookmarkStart w:id="474" w:name="_Toc149705181"/>
      <w:bookmarkStart w:id="475" w:name="_Toc26384"/>
      <w:bookmarkStart w:id="476" w:name="_Toc188349484"/>
      <w:bookmarkEnd w:id="331"/>
      <w:bookmarkEnd w:id="332"/>
      <w:bookmarkEnd w:id="333"/>
      <w:bookmarkEnd w:id="334"/>
      <w:bookmarkEnd w:id="335"/>
      <w:bookmarkEnd w:id="336"/>
      <w:r>
        <w:rPr>
          <w:kern w:val="2"/>
          <w:sz w:val="21"/>
          <w:szCs w:val="22"/>
        </w:rPr>
        <w:br w:type="page"/>
      </w:r>
    </w:p>
    <w:p w14:paraId="4D0F5D04" w14:textId="77777777" w:rsidR="003E78AB" w:rsidRDefault="00010BF9">
      <w:pPr>
        <w:pStyle w:val="10"/>
        <w:keepNext w:val="0"/>
        <w:spacing w:before="120" w:after="120" w:line="520" w:lineRule="exact"/>
        <w:jc w:val="center"/>
        <w:rPr>
          <w:rFonts w:eastAsia="黑体"/>
          <w:bCs/>
          <w:snapToGrid w:val="0"/>
          <w:spacing w:val="2"/>
          <w:kern w:val="44"/>
          <w:sz w:val="35"/>
          <w:szCs w:val="35"/>
        </w:rPr>
      </w:pPr>
      <w:bookmarkStart w:id="477" w:name="_Toc21593"/>
      <w:bookmarkStart w:id="478" w:name="_Toc25496"/>
      <w:bookmarkStart w:id="479" w:name="_Toc454899407"/>
      <w:bookmarkEnd w:id="469"/>
      <w:bookmarkEnd w:id="470"/>
      <w:bookmarkEnd w:id="471"/>
      <w:bookmarkEnd w:id="472"/>
      <w:bookmarkEnd w:id="473"/>
      <w:bookmarkEnd w:id="474"/>
      <w:bookmarkEnd w:id="475"/>
      <w:bookmarkEnd w:id="476"/>
      <w:r>
        <w:rPr>
          <w:rFonts w:eastAsia="黑体" w:hint="eastAsia"/>
          <w:bCs/>
          <w:snapToGrid w:val="0"/>
          <w:spacing w:val="2"/>
          <w:kern w:val="44"/>
          <w:sz w:val="35"/>
          <w:szCs w:val="35"/>
        </w:rPr>
        <w:t>第八章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环境经济损益分析</w:t>
      </w:r>
      <w:bookmarkEnd w:id="477"/>
      <w:bookmarkEnd w:id="478"/>
    </w:p>
    <w:p w14:paraId="61704F06" w14:textId="77777777" w:rsidR="003E78AB" w:rsidRDefault="00010BF9">
      <w:pPr>
        <w:ind w:firstLine="480"/>
      </w:pPr>
      <w: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14:paraId="2C947A97" w14:textId="77777777" w:rsidR="003E78AB" w:rsidRDefault="00010BF9">
      <w:pPr>
        <w:pStyle w:val="24"/>
        <w:keepNext w:val="0"/>
        <w:keepLines w:val="0"/>
        <w:topLinePunct/>
        <w:spacing w:before="120"/>
        <w:rPr>
          <w:rFonts w:cs="Times New Roman"/>
        </w:rPr>
      </w:pPr>
      <w:bookmarkStart w:id="480" w:name="_Toc18634"/>
      <w:bookmarkStart w:id="481" w:name="_Toc11263"/>
      <w:r>
        <w:rPr>
          <w:rFonts w:cs="Times New Roman" w:hint="eastAsia"/>
        </w:rPr>
        <w:t>8.1</w:t>
      </w:r>
      <w:r>
        <w:rPr>
          <w:rFonts w:cs="Times New Roman"/>
        </w:rPr>
        <w:t>环保设施内容及投资估算</w:t>
      </w:r>
      <w:bookmarkEnd w:id="480"/>
      <w:bookmarkEnd w:id="481"/>
    </w:p>
    <w:p w14:paraId="572FAB6D" w14:textId="77777777" w:rsidR="003E78AB" w:rsidRDefault="00010BF9">
      <w:pPr>
        <w:ind w:firstLine="480"/>
        <w:rPr>
          <w:kern w:val="28"/>
        </w:rPr>
      </w:pPr>
      <w:r>
        <w:rPr>
          <w:kern w:val="28"/>
        </w:rPr>
        <w:t>本项目计划总投资</w:t>
      </w:r>
      <w:r>
        <w:rPr>
          <w:kern w:val="28"/>
        </w:rPr>
        <w:t>34125.20</w:t>
      </w:r>
      <w:r>
        <w:rPr>
          <w:kern w:val="28"/>
        </w:rPr>
        <w:t>万元，环保投资</w:t>
      </w:r>
      <w:r>
        <w:rPr>
          <w:rFonts w:hint="eastAsia"/>
          <w:kern w:val="28"/>
        </w:rPr>
        <w:t>2595</w:t>
      </w:r>
      <w:r>
        <w:rPr>
          <w:kern w:val="28"/>
        </w:rPr>
        <w:t>万元，</w:t>
      </w:r>
      <w:r>
        <w:rPr>
          <w:kern w:val="28"/>
        </w:rPr>
        <w:t>占总投资</w:t>
      </w:r>
      <w:r>
        <w:rPr>
          <w:rFonts w:hint="eastAsia"/>
          <w:kern w:val="28"/>
        </w:rPr>
        <w:t>7.6</w:t>
      </w:r>
      <w:r>
        <w:rPr>
          <w:kern w:val="28"/>
        </w:rPr>
        <w:t>%</w:t>
      </w:r>
      <w:r>
        <w:rPr>
          <w:kern w:val="28"/>
        </w:rPr>
        <w:t>。本项目环境保护投资见表</w:t>
      </w:r>
      <w:r>
        <w:rPr>
          <w:rFonts w:hint="eastAsia"/>
          <w:kern w:val="28"/>
        </w:rPr>
        <w:t>8</w:t>
      </w:r>
      <w:r>
        <w:rPr>
          <w:kern w:val="28"/>
        </w:rPr>
        <w:t>-1</w:t>
      </w:r>
      <w:r>
        <w:rPr>
          <w:kern w:val="28"/>
        </w:rPr>
        <w:t>。</w:t>
      </w:r>
    </w:p>
    <w:p w14:paraId="5AD053C1" w14:textId="77777777" w:rsidR="003E78AB" w:rsidRDefault="00010BF9">
      <w:pPr>
        <w:pStyle w:val="a5"/>
        <w:numPr>
          <w:ilvl w:val="0"/>
          <w:numId w:val="0"/>
        </w:numPr>
      </w:pPr>
      <w:r>
        <w:t>表</w:t>
      </w:r>
      <w:r>
        <w:rPr>
          <w:rFonts w:hint="eastAsia"/>
        </w:rPr>
        <w:t>8</w:t>
      </w:r>
      <w:r>
        <w:t>-1</w:t>
      </w:r>
      <w:r>
        <w:rPr>
          <w:rFonts w:hint="eastAsia"/>
        </w:rPr>
        <w:t xml:space="preserve">  </w:t>
      </w:r>
      <w:r>
        <w:t>项目建设环保投资一览表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625"/>
        <w:gridCol w:w="1263"/>
        <w:gridCol w:w="5041"/>
        <w:gridCol w:w="965"/>
      </w:tblGrid>
      <w:tr w:rsidR="003E78AB" w14:paraId="0E970202" w14:textId="77777777">
        <w:trPr>
          <w:trHeight w:val="471"/>
          <w:tblHeader/>
          <w:jc w:val="center"/>
        </w:trPr>
        <w:tc>
          <w:tcPr>
            <w:tcW w:w="363" w:type="pct"/>
            <w:vAlign w:val="center"/>
          </w:tcPr>
          <w:p w14:paraId="052A072E" w14:textId="77777777" w:rsidR="003E78AB" w:rsidRDefault="00010BF9">
            <w:pPr>
              <w:spacing w:line="360" w:lineRule="exact"/>
              <w:ind w:firstLineChars="0" w:firstLine="0"/>
              <w:jc w:val="center"/>
              <w:rPr>
                <w:b/>
                <w:bCs/>
                <w:kern w:val="2"/>
                <w:sz w:val="21"/>
                <w:szCs w:val="21"/>
              </w:rPr>
            </w:pPr>
            <w:r>
              <w:rPr>
                <w:b/>
                <w:bCs/>
                <w:kern w:val="2"/>
                <w:sz w:val="21"/>
                <w:szCs w:val="21"/>
              </w:rPr>
              <w:t>时段</w:t>
            </w:r>
          </w:p>
        </w:tc>
        <w:tc>
          <w:tcPr>
            <w:tcW w:w="367" w:type="pct"/>
            <w:vAlign w:val="center"/>
          </w:tcPr>
          <w:p w14:paraId="3862310D" w14:textId="77777777" w:rsidR="003E78AB" w:rsidRDefault="00010BF9">
            <w:pPr>
              <w:spacing w:line="360" w:lineRule="exact"/>
              <w:ind w:firstLineChars="0" w:firstLine="0"/>
              <w:jc w:val="center"/>
              <w:rPr>
                <w:b/>
                <w:bCs/>
                <w:kern w:val="2"/>
                <w:sz w:val="21"/>
                <w:szCs w:val="21"/>
              </w:rPr>
            </w:pPr>
            <w:r>
              <w:rPr>
                <w:b/>
                <w:bCs/>
                <w:kern w:val="2"/>
                <w:sz w:val="21"/>
                <w:szCs w:val="21"/>
              </w:rPr>
              <w:t>类别</w:t>
            </w:r>
          </w:p>
        </w:tc>
        <w:tc>
          <w:tcPr>
            <w:tcW w:w="742" w:type="pct"/>
            <w:vAlign w:val="center"/>
          </w:tcPr>
          <w:p w14:paraId="2A008230" w14:textId="77777777" w:rsidR="003E78AB" w:rsidRDefault="00010BF9">
            <w:pPr>
              <w:spacing w:line="360" w:lineRule="exact"/>
              <w:ind w:firstLineChars="0" w:firstLine="0"/>
              <w:jc w:val="center"/>
              <w:rPr>
                <w:b/>
                <w:bCs/>
                <w:kern w:val="2"/>
                <w:sz w:val="21"/>
                <w:szCs w:val="21"/>
              </w:rPr>
            </w:pPr>
            <w:r>
              <w:rPr>
                <w:b/>
                <w:bCs/>
                <w:kern w:val="2"/>
                <w:sz w:val="21"/>
                <w:szCs w:val="21"/>
              </w:rPr>
              <w:t>污染源</w:t>
            </w:r>
          </w:p>
        </w:tc>
        <w:tc>
          <w:tcPr>
            <w:tcW w:w="2959" w:type="pct"/>
            <w:vAlign w:val="center"/>
          </w:tcPr>
          <w:p w14:paraId="708F2355" w14:textId="77777777" w:rsidR="003E78AB" w:rsidRDefault="00010BF9">
            <w:pPr>
              <w:spacing w:line="360" w:lineRule="exact"/>
              <w:ind w:firstLineChars="0" w:firstLine="0"/>
              <w:jc w:val="center"/>
              <w:rPr>
                <w:b/>
                <w:bCs/>
                <w:kern w:val="2"/>
                <w:sz w:val="21"/>
                <w:szCs w:val="21"/>
              </w:rPr>
            </w:pPr>
            <w:r>
              <w:rPr>
                <w:b/>
                <w:bCs/>
                <w:kern w:val="2"/>
                <w:sz w:val="21"/>
                <w:szCs w:val="21"/>
              </w:rPr>
              <w:t>治理措施</w:t>
            </w:r>
          </w:p>
        </w:tc>
        <w:tc>
          <w:tcPr>
            <w:tcW w:w="567" w:type="pct"/>
            <w:vAlign w:val="center"/>
          </w:tcPr>
          <w:p w14:paraId="3E4B610D" w14:textId="77777777" w:rsidR="003E78AB" w:rsidRDefault="00010BF9">
            <w:pPr>
              <w:spacing w:line="360" w:lineRule="exact"/>
              <w:ind w:firstLineChars="0" w:firstLine="0"/>
              <w:jc w:val="center"/>
              <w:rPr>
                <w:b/>
                <w:bCs/>
                <w:kern w:val="2"/>
                <w:sz w:val="21"/>
                <w:szCs w:val="21"/>
              </w:rPr>
            </w:pPr>
            <w:r>
              <w:rPr>
                <w:b/>
                <w:bCs/>
                <w:kern w:val="2"/>
                <w:sz w:val="21"/>
                <w:szCs w:val="21"/>
              </w:rPr>
              <w:t>投资</w:t>
            </w:r>
          </w:p>
          <w:p w14:paraId="6CD6FC39" w14:textId="77777777" w:rsidR="003E78AB" w:rsidRDefault="00010BF9">
            <w:pPr>
              <w:spacing w:line="360" w:lineRule="exact"/>
              <w:ind w:firstLineChars="0" w:firstLine="0"/>
              <w:jc w:val="center"/>
              <w:rPr>
                <w:b/>
                <w:bCs/>
                <w:kern w:val="2"/>
                <w:sz w:val="21"/>
                <w:szCs w:val="21"/>
              </w:rPr>
            </w:pPr>
            <w:r>
              <w:rPr>
                <w:b/>
                <w:bCs/>
                <w:kern w:val="2"/>
                <w:sz w:val="21"/>
                <w:szCs w:val="21"/>
              </w:rPr>
              <w:t>（万元）</w:t>
            </w:r>
          </w:p>
        </w:tc>
      </w:tr>
      <w:tr w:rsidR="003E78AB" w14:paraId="4AA129E8" w14:textId="77777777">
        <w:trPr>
          <w:trHeight w:val="471"/>
          <w:jc w:val="center"/>
        </w:trPr>
        <w:tc>
          <w:tcPr>
            <w:tcW w:w="363" w:type="pct"/>
            <w:vMerge w:val="restart"/>
            <w:vAlign w:val="center"/>
          </w:tcPr>
          <w:p w14:paraId="5234BE66" w14:textId="77777777" w:rsidR="003E78AB" w:rsidRDefault="00010BF9">
            <w:pPr>
              <w:spacing w:line="360" w:lineRule="exact"/>
              <w:ind w:firstLineChars="0" w:firstLine="0"/>
              <w:jc w:val="center"/>
              <w:rPr>
                <w:kern w:val="2"/>
                <w:sz w:val="21"/>
                <w:szCs w:val="21"/>
              </w:rPr>
            </w:pPr>
            <w:r>
              <w:rPr>
                <w:kern w:val="2"/>
                <w:sz w:val="21"/>
                <w:szCs w:val="21"/>
              </w:rPr>
              <w:t>施工期</w:t>
            </w:r>
          </w:p>
        </w:tc>
        <w:tc>
          <w:tcPr>
            <w:tcW w:w="367" w:type="pct"/>
            <w:vAlign w:val="center"/>
          </w:tcPr>
          <w:p w14:paraId="4C792752" w14:textId="77777777" w:rsidR="003E78AB" w:rsidRDefault="00010BF9">
            <w:pPr>
              <w:spacing w:line="360" w:lineRule="exact"/>
              <w:ind w:firstLineChars="0" w:firstLine="0"/>
              <w:jc w:val="center"/>
              <w:rPr>
                <w:kern w:val="2"/>
                <w:sz w:val="21"/>
                <w:szCs w:val="21"/>
              </w:rPr>
            </w:pPr>
            <w:r>
              <w:rPr>
                <w:bCs/>
                <w:sz w:val="21"/>
                <w:szCs w:val="21"/>
              </w:rPr>
              <w:t>废气</w:t>
            </w:r>
          </w:p>
        </w:tc>
        <w:tc>
          <w:tcPr>
            <w:tcW w:w="742" w:type="pct"/>
            <w:vAlign w:val="center"/>
          </w:tcPr>
          <w:p w14:paraId="5EE64D94" w14:textId="77777777" w:rsidR="003E78AB" w:rsidRDefault="00010BF9">
            <w:pPr>
              <w:spacing w:line="360" w:lineRule="exact"/>
              <w:ind w:firstLineChars="0" w:firstLine="0"/>
              <w:jc w:val="center"/>
              <w:rPr>
                <w:kern w:val="2"/>
                <w:sz w:val="21"/>
                <w:szCs w:val="21"/>
              </w:rPr>
            </w:pPr>
            <w:r>
              <w:rPr>
                <w:bCs/>
                <w:sz w:val="21"/>
                <w:szCs w:val="21"/>
              </w:rPr>
              <w:t>施工扬尘</w:t>
            </w:r>
          </w:p>
        </w:tc>
        <w:tc>
          <w:tcPr>
            <w:tcW w:w="2959" w:type="pct"/>
            <w:vAlign w:val="center"/>
          </w:tcPr>
          <w:p w14:paraId="443B09F9" w14:textId="77777777" w:rsidR="003E78AB" w:rsidRDefault="00010BF9">
            <w:pPr>
              <w:spacing w:line="360" w:lineRule="exact"/>
              <w:ind w:firstLineChars="0" w:firstLine="0"/>
              <w:jc w:val="center"/>
              <w:rPr>
                <w:kern w:val="2"/>
                <w:sz w:val="21"/>
                <w:szCs w:val="21"/>
              </w:rPr>
            </w:pPr>
            <w:r>
              <w:rPr>
                <w:bCs/>
                <w:sz w:val="21"/>
                <w:szCs w:val="21"/>
              </w:rPr>
              <w:t>洒水降尘；及时清扫路面灰尘；设置围挡，并对开挖的土石方采用纱网遮盖</w:t>
            </w:r>
          </w:p>
        </w:tc>
        <w:tc>
          <w:tcPr>
            <w:tcW w:w="567" w:type="pct"/>
            <w:vAlign w:val="center"/>
          </w:tcPr>
          <w:p w14:paraId="27FA5BD1" w14:textId="77777777" w:rsidR="003E78AB" w:rsidRDefault="00010BF9">
            <w:pPr>
              <w:spacing w:line="360" w:lineRule="exact"/>
              <w:ind w:firstLineChars="0" w:firstLine="0"/>
              <w:jc w:val="center"/>
              <w:rPr>
                <w:kern w:val="2"/>
                <w:sz w:val="21"/>
                <w:szCs w:val="21"/>
              </w:rPr>
            </w:pPr>
            <w:r>
              <w:rPr>
                <w:kern w:val="2"/>
                <w:sz w:val="21"/>
                <w:szCs w:val="21"/>
              </w:rPr>
              <w:t>5.0</w:t>
            </w:r>
          </w:p>
        </w:tc>
      </w:tr>
      <w:tr w:rsidR="003E78AB" w14:paraId="7FEDE25F" w14:textId="77777777">
        <w:trPr>
          <w:trHeight w:val="479"/>
          <w:jc w:val="center"/>
        </w:trPr>
        <w:tc>
          <w:tcPr>
            <w:tcW w:w="363" w:type="pct"/>
            <w:vMerge/>
            <w:vAlign w:val="center"/>
          </w:tcPr>
          <w:p w14:paraId="23D17FFA" w14:textId="77777777" w:rsidR="003E78AB" w:rsidRDefault="003E78AB">
            <w:pPr>
              <w:spacing w:line="360" w:lineRule="exact"/>
              <w:ind w:firstLineChars="0" w:firstLine="0"/>
              <w:jc w:val="center"/>
              <w:rPr>
                <w:kern w:val="2"/>
                <w:sz w:val="21"/>
                <w:szCs w:val="21"/>
              </w:rPr>
            </w:pPr>
          </w:p>
        </w:tc>
        <w:tc>
          <w:tcPr>
            <w:tcW w:w="367" w:type="pct"/>
            <w:vMerge w:val="restart"/>
            <w:vAlign w:val="center"/>
          </w:tcPr>
          <w:p w14:paraId="3727535E" w14:textId="77777777" w:rsidR="003E78AB" w:rsidRDefault="00010BF9">
            <w:pPr>
              <w:spacing w:line="360" w:lineRule="exact"/>
              <w:ind w:firstLineChars="0" w:firstLine="0"/>
              <w:jc w:val="center"/>
              <w:rPr>
                <w:kern w:val="2"/>
                <w:sz w:val="21"/>
                <w:szCs w:val="21"/>
              </w:rPr>
            </w:pPr>
            <w:r>
              <w:rPr>
                <w:bCs/>
                <w:sz w:val="21"/>
                <w:szCs w:val="21"/>
              </w:rPr>
              <w:t>废水</w:t>
            </w:r>
          </w:p>
        </w:tc>
        <w:tc>
          <w:tcPr>
            <w:tcW w:w="742" w:type="pct"/>
            <w:vAlign w:val="center"/>
          </w:tcPr>
          <w:p w14:paraId="7AB603CD" w14:textId="77777777" w:rsidR="003E78AB" w:rsidRDefault="00010BF9">
            <w:pPr>
              <w:spacing w:line="360" w:lineRule="exact"/>
              <w:ind w:firstLineChars="0" w:firstLine="0"/>
              <w:jc w:val="center"/>
              <w:rPr>
                <w:kern w:val="2"/>
                <w:sz w:val="21"/>
                <w:szCs w:val="21"/>
              </w:rPr>
            </w:pPr>
            <w:r>
              <w:rPr>
                <w:bCs/>
                <w:sz w:val="21"/>
                <w:szCs w:val="21"/>
              </w:rPr>
              <w:t>施工废水</w:t>
            </w:r>
          </w:p>
        </w:tc>
        <w:tc>
          <w:tcPr>
            <w:tcW w:w="2959" w:type="pct"/>
            <w:vAlign w:val="center"/>
          </w:tcPr>
          <w:p w14:paraId="33BCDAB1" w14:textId="77777777" w:rsidR="003E78AB" w:rsidRDefault="00010BF9">
            <w:pPr>
              <w:spacing w:line="360" w:lineRule="exact"/>
              <w:ind w:firstLineChars="0" w:firstLine="0"/>
              <w:jc w:val="center"/>
              <w:rPr>
                <w:kern w:val="2"/>
                <w:sz w:val="21"/>
                <w:szCs w:val="21"/>
              </w:rPr>
            </w:pPr>
            <w:r>
              <w:rPr>
                <w:bCs/>
                <w:sz w:val="21"/>
                <w:szCs w:val="21"/>
              </w:rPr>
              <w:t>设置简易沉淀池，经沉淀、除渣后回用</w:t>
            </w:r>
          </w:p>
        </w:tc>
        <w:tc>
          <w:tcPr>
            <w:tcW w:w="567" w:type="pct"/>
            <w:vAlign w:val="center"/>
          </w:tcPr>
          <w:p w14:paraId="6F1E7EA8" w14:textId="77777777" w:rsidR="003E78AB" w:rsidRDefault="00010BF9">
            <w:pPr>
              <w:spacing w:line="360" w:lineRule="exact"/>
              <w:ind w:firstLineChars="0" w:firstLine="0"/>
              <w:jc w:val="center"/>
              <w:rPr>
                <w:kern w:val="2"/>
                <w:sz w:val="21"/>
                <w:szCs w:val="21"/>
              </w:rPr>
            </w:pPr>
            <w:r>
              <w:rPr>
                <w:kern w:val="2"/>
                <w:sz w:val="21"/>
                <w:szCs w:val="21"/>
              </w:rPr>
              <w:t>1.0</w:t>
            </w:r>
          </w:p>
        </w:tc>
      </w:tr>
      <w:tr w:rsidR="003E78AB" w14:paraId="180FE368" w14:textId="77777777">
        <w:trPr>
          <w:trHeight w:val="471"/>
          <w:jc w:val="center"/>
        </w:trPr>
        <w:tc>
          <w:tcPr>
            <w:tcW w:w="363" w:type="pct"/>
            <w:vMerge/>
            <w:vAlign w:val="center"/>
          </w:tcPr>
          <w:p w14:paraId="641253B7" w14:textId="77777777" w:rsidR="003E78AB" w:rsidRDefault="003E78AB">
            <w:pPr>
              <w:spacing w:line="360" w:lineRule="exact"/>
              <w:ind w:firstLineChars="0" w:firstLine="0"/>
              <w:jc w:val="center"/>
              <w:rPr>
                <w:kern w:val="2"/>
                <w:sz w:val="21"/>
                <w:szCs w:val="21"/>
              </w:rPr>
            </w:pPr>
          </w:p>
        </w:tc>
        <w:tc>
          <w:tcPr>
            <w:tcW w:w="367" w:type="pct"/>
            <w:vMerge/>
            <w:vAlign w:val="center"/>
          </w:tcPr>
          <w:p w14:paraId="2E228167" w14:textId="77777777" w:rsidR="003E78AB" w:rsidRDefault="003E78AB">
            <w:pPr>
              <w:spacing w:line="360" w:lineRule="exact"/>
              <w:ind w:firstLineChars="0" w:firstLine="0"/>
              <w:jc w:val="center"/>
              <w:rPr>
                <w:kern w:val="2"/>
                <w:sz w:val="21"/>
                <w:szCs w:val="21"/>
              </w:rPr>
            </w:pPr>
          </w:p>
        </w:tc>
        <w:tc>
          <w:tcPr>
            <w:tcW w:w="742" w:type="pct"/>
            <w:vAlign w:val="center"/>
          </w:tcPr>
          <w:p w14:paraId="7CCB11CC" w14:textId="77777777" w:rsidR="003E78AB" w:rsidRDefault="00010BF9">
            <w:pPr>
              <w:spacing w:line="360" w:lineRule="exact"/>
              <w:ind w:firstLineChars="0" w:firstLine="0"/>
              <w:jc w:val="center"/>
              <w:rPr>
                <w:bCs/>
                <w:sz w:val="21"/>
                <w:szCs w:val="21"/>
              </w:rPr>
            </w:pPr>
            <w:r>
              <w:rPr>
                <w:bCs/>
                <w:sz w:val="21"/>
                <w:szCs w:val="21"/>
              </w:rPr>
              <w:t>生活污水</w:t>
            </w:r>
          </w:p>
        </w:tc>
        <w:tc>
          <w:tcPr>
            <w:tcW w:w="2959" w:type="pct"/>
            <w:vAlign w:val="center"/>
          </w:tcPr>
          <w:p w14:paraId="1576C6F5" w14:textId="77777777" w:rsidR="003E78AB" w:rsidRDefault="00010BF9">
            <w:pPr>
              <w:spacing w:line="360" w:lineRule="exact"/>
              <w:ind w:firstLineChars="0" w:firstLine="0"/>
              <w:jc w:val="center"/>
              <w:rPr>
                <w:bCs/>
                <w:sz w:val="21"/>
                <w:szCs w:val="21"/>
              </w:rPr>
            </w:pPr>
            <w:r>
              <w:rPr>
                <w:bCs/>
                <w:sz w:val="21"/>
                <w:szCs w:val="21"/>
              </w:rPr>
              <w:t>施工营地联通园区下水管网，进入园区污水处理厂处理</w:t>
            </w:r>
          </w:p>
        </w:tc>
        <w:tc>
          <w:tcPr>
            <w:tcW w:w="567" w:type="pct"/>
            <w:vAlign w:val="center"/>
          </w:tcPr>
          <w:p w14:paraId="08BB649F" w14:textId="77777777" w:rsidR="003E78AB" w:rsidRDefault="00010BF9">
            <w:pPr>
              <w:spacing w:line="360" w:lineRule="exact"/>
              <w:ind w:firstLineChars="0" w:firstLine="0"/>
              <w:jc w:val="center"/>
              <w:rPr>
                <w:bCs/>
                <w:sz w:val="21"/>
                <w:szCs w:val="21"/>
              </w:rPr>
            </w:pPr>
            <w:r>
              <w:rPr>
                <w:bCs/>
                <w:sz w:val="21"/>
                <w:szCs w:val="21"/>
              </w:rPr>
              <w:t>1.0</w:t>
            </w:r>
          </w:p>
        </w:tc>
      </w:tr>
      <w:tr w:rsidR="003E78AB" w14:paraId="5207D20A" w14:textId="77777777">
        <w:trPr>
          <w:trHeight w:val="471"/>
          <w:jc w:val="center"/>
        </w:trPr>
        <w:tc>
          <w:tcPr>
            <w:tcW w:w="363" w:type="pct"/>
            <w:vMerge/>
            <w:vAlign w:val="center"/>
          </w:tcPr>
          <w:p w14:paraId="3493D6BD" w14:textId="77777777" w:rsidR="003E78AB" w:rsidRDefault="003E78AB">
            <w:pPr>
              <w:spacing w:line="360" w:lineRule="exact"/>
              <w:ind w:firstLineChars="0" w:firstLine="0"/>
              <w:jc w:val="center"/>
              <w:rPr>
                <w:kern w:val="2"/>
                <w:sz w:val="21"/>
                <w:szCs w:val="21"/>
              </w:rPr>
            </w:pPr>
          </w:p>
        </w:tc>
        <w:tc>
          <w:tcPr>
            <w:tcW w:w="367" w:type="pct"/>
            <w:vMerge w:val="restart"/>
            <w:vAlign w:val="center"/>
          </w:tcPr>
          <w:p w14:paraId="26A1CEDA" w14:textId="77777777" w:rsidR="003E78AB" w:rsidRDefault="00010BF9">
            <w:pPr>
              <w:spacing w:line="360" w:lineRule="exact"/>
              <w:ind w:firstLineChars="0" w:firstLine="0"/>
              <w:jc w:val="center"/>
              <w:rPr>
                <w:kern w:val="2"/>
                <w:sz w:val="21"/>
                <w:szCs w:val="21"/>
              </w:rPr>
            </w:pPr>
            <w:r>
              <w:rPr>
                <w:bCs/>
                <w:sz w:val="21"/>
                <w:szCs w:val="21"/>
              </w:rPr>
              <w:t>固废</w:t>
            </w:r>
          </w:p>
        </w:tc>
        <w:tc>
          <w:tcPr>
            <w:tcW w:w="742" w:type="pct"/>
            <w:vAlign w:val="center"/>
          </w:tcPr>
          <w:p w14:paraId="288951E5" w14:textId="77777777" w:rsidR="003E78AB" w:rsidRDefault="00010BF9">
            <w:pPr>
              <w:spacing w:line="360" w:lineRule="exact"/>
              <w:ind w:firstLineChars="0" w:firstLine="0"/>
              <w:jc w:val="center"/>
              <w:rPr>
                <w:kern w:val="2"/>
                <w:sz w:val="21"/>
                <w:szCs w:val="21"/>
              </w:rPr>
            </w:pPr>
            <w:r>
              <w:rPr>
                <w:bCs/>
                <w:sz w:val="21"/>
                <w:szCs w:val="21"/>
              </w:rPr>
              <w:t>建筑垃圾</w:t>
            </w:r>
          </w:p>
        </w:tc>
        <w:tc>
          <w:tcPr>
            <w:tcW w:w="2959" w:type="pct"/>
            <w:vAlign w:val="center"/>
          </w:tcPr>
          <w:p w14:paraId="371789B8" w14:textId="77777777" w:rsidR="003E78AB" w:rsidRDefault="00010BF9">
            <w:pPr>
              <w:spacing w:line="360" w:lineRule="exact"/>
              <w:ind w:firstLineChars="0" w:firstLine="0"/>
              <w:jc w:val="center"/>
              <w:rPr>
                <w:kern w:val="2"/>
                <w:sz w:val="21"/>
                <w:szCs w:val="21"/>
              </w:rPr>
            </w:pPr>
            <w:r>
              <w:rPr>
                <w:bCs/>
                <w:sz w:val="21"/>
                <w:szCs w:val="21"/>
              </w:rPr>
              <w:t>回收利用，不能回收的定时清运至伊州区城北建筑垃圾填埋场处置</w:t>
            </w:r>
          </w:p>
        </w:tc>
        <w:tc>
          <w:tcPr>
            <w:tcW w:w="567" w:type="pct"/>
            <w:vMerge w:val="restart"/>
            <w:vAlign w:val="center"/>
          </w:tcPr>
          <w:p w14:paraId="1D0B3548" w14:textId="77777777" w:rsidR="003E78AB" w:rsidRDefault="00010BF9">
            <w:pPr>
              <w:spacing w:line="360" w:lineRule="exact"/>
              <w:ind w:firstLineChars="0" w:firstLine="0"/>
              <w:jc w:val="center"/>
              <w:rPr>
                <w:kern w:val="2"/>
                <w:sz w:val="21"/>
                <w:szCs w:val="21"/>
              </w:rPr>
            </w:pPr>
            <w:r>
              <w:rPr>
                <w:kern w:val="2"/>
                <w:sz w:val="21"/>
                <w:szCs w:val="21"/>
              </w:rPr>
              <w:t>10.0</w:t>
            </w:r>
          </w:p>
        </w:tc>
      </w:tr>
      <w:tr w:rsidR="003E78AB" w14:paraId="0FE717F7" w14:textId="77777777">
        <w:trPr>
          <w:trHeight w:val="471"/>
          <w:jc w:val="center"/>
        </w:trPr>
        <w:tc>
          <w:tcPr>
            <w:tcW w:w="363" w:type="pct"/>
            <w:vMerge/>
            <w:vAlign w:val="center"/>
          </w:tcPr>
          <w:p w14:paraId="11119D08" w14:textId="77777777" w:rsidR="003E78AB" w:rsidRDefault="003E78AB">
            <w:pPr>
              <w:spacing w:line="360" w:lineRule="exact"/>
              <w:ind w:firstLineChars="0" w:firstLine="0"/>
              <w:jc w:val="center"/>
              <w:rPr>
                <w:kern w:val="2"/>
                <w:sz w:val="21"/>
                <w:szCs w:val="21"/>
              </w:rPr>
            </w:pPr>
          </w:p>
        </w:tc>
        <w:tc>
          <w:tcPr>
            <w:tcW w:w="367" w:type="pct"/>
            <w:vMerge/>
            <w:vAlign w:val="center"/>
          </w:tcPr>
          <w:p w14:paraId="6BC1F5C0" w14:textId="77777777" w:rsidR="003E78AB" w:rsidRDefault="003E78AB">
            <w:pPr>
              <w:spacing w:line="360" w:lineRule="exact"/>
              <w:ind w:firstLineChars="0" w:firstLine="0"/>
              <w:jc w:val="center"/>
              <w:rPr>
                <w:kern w:val="2"/>
                <w:sz w:val="21"/>
                <w:szCs w:val="21"/>
              </w:rPr>
            </w:pPr>
          </w:p>
        </w:tc>
        <w:tc>
          <w:tcPr>
            <w:tcW w:w="742" w:type="pct"/>
            <w:vAlign w:val="center"/>
          </w:tcPr>
          <w:p w14:paraId="0AFDA949" w14:textId="77777777" w:rsidR="003E78AB" w:rsidRDefault="00010BF9">
            <w:pPr>
              <w:spacing w:line="360" w:lineRule="exact"/>
              <w:ind w:firstLineChars="0" w:firstLine="0"/>
              <w:jc w:val="center"/>
              <w:rPr>
                <w:kern w:val="2"/>
                <w:sz w:val="21"/>
                <w:szCs w:val="21"/>
              </w:rPr>
            </w:pPr>
            <w:r>
              <w:rPr>
                <w:bCs/>
                <w:sz w:val="21"/>
                <w:szCs w:val="21"/>
              </w:rPr>
              <w:t>生活垃圾</w:t>
            </w:r>
          </w:p>
        </w:tc>
        <w:tc>
          <w:tcPr>
            <w:tcW w:w="2959" w:type="pct"/>
            <w:vAlign w:val="center"/>
          </w:tcPr>
          <w:p w14:paraId="4054039A" w14:textId="77777777" w:rsidR="003E78AB" w:rsidRDefault="00010BF9">
            <w:pPr>
              <w:spacing w:line="360" w:lineRule="exact"/>
              <w:ind w:firstLineChars="0" w:firstLine="0"/>
              <w:jc w:val="center"/>
              <w:rPr>
                <w:kern w:val="2"/>
                <w:sz w:val="21"/>
                <w:szCs w:val="21"/>
              </w:rPr>
            </w:pPr>
            <w:r>
              <w:rPr>
                <w:bCs/>
                <w:sz w:val="21"/>
                <w:szCs w:val="21"/>
              </w:rPr>
              <w:t>施工场地设置垃圾桶及清运</w:t>
            </w:r>
          </w:p>
        </w:tc>
        <w:tc>
          <w:tcPr>
            <w:tcW w:w="567" w:type="pct"/>
            <w:vMerge/>
            <w:vAlign w:val="center"/>
          </w:tcPr>
          <w:p w14:paraId="721AF99E" w14:textId="77777777" w:rsidR="003E78AB" w:rsidRDefault="003E78AB">
            <w:pPr>
              <w:spacing w:line="360" w:lineRule="exact"/>
              <w:ind w:firstLineChars="0" w:firstLine="0"/>
              <w:jc w:val="center"/>
              <w:rPr>
                <w:kern w:val="2"/>
                <w:sz w:val="21"/>
                <w:szCs w:val="21"/>
              </w:rPr>
            </w:pPr>
          </w:p>
        </w:tc>
      </w:tr>
      <w:tr w:rsidR="003E78AB" w14:paraId="3A683643" w14:textId="77777777">
        <w:trPr>
          <w:trHeight w:val="471"/>
          <w:jc w:val="center"/>
        </w:trPr>
        <w:tc>
          <w:tcPr>
            <w:tcW w:w="363" w:type="pct"/>
            <w:vMerge/>
            <w:vAlign w:val="center"/>
          </w:tcPr>
          <w:p w14:paraId="2F8F120F" w14:textId="77777777" w:rsidR="003E78AB" w:rsidRDefault="003E78AB">
            <w:pPr>
              <w:spacing w:line="360" w:lineRule="exact"/>
              <w:ind w:firstLineChars="0" w:firstLine="0"/>
              <w:jc w:val="center"/>
              <w:rPr>
                <w:kern w:val="2"/>
                <w:sz w:val="21"/>
                <w:szCs w:val="21"/>
              </w:rPr>
            </w:pPr>
          </w:p>
        </w:tc>
        <w:tc>
          <w:tcPr>
            <w:tcW w:w="367" w:type="pct"/>
            <w:vAlign w:val="center"/>
          </w:tcPr>
          <w:p w14:paraId="1EB48D30" w14:textId="77777777" w:rsidR="003E78AB" w:rsidRDefault="00010BF9">
            <w:pPr>
              <w:spacing w:line="360" w:lineRule="exact"/>
              <w:ind w:firstLineChars="0" w:firstLine="0"/>
              <w:jc w:val="center"/>
              <w:rPr>
                <w:kern w:val="2"/>
                <w:sz w:val="21"/>
                <w:szCs w:val="21"/>
              </w:rPr>
            </w:pPr>
            <w:r>
              <w:rPr>
                <w:bCs/>
                <w:sz w:val="21"/>
                <w:szCs w:val="21"/>
              </w:rPr>
              <w:t>噪声</w:t>
            </w:r>
          </w:p>
        </w:tc>
        <w:tc>
          <w:tcPr>
            <w:tcW w:w="742" w:type="pct"/>
            <w:vAlign w:val="center"/>
          </w:tcPr>
          <w:p w14:paraId="0F9925B6" w14:textId="77777777" w:rsidR="003E78AB" w:rsidRDefault="00010BF9">
            <w:pPr>
              <w:spacing w:line="360" w:lineRule="exact"/>
              <w:ind w:firstLineChars="0" w:firstLine="0"/>
              <w:jc w:val="center"/>
              <w:rPr>
                <w:kern w:val="2"/>
                <w:sz w:val="21"/>
                <w:szCs w:val="21"/>
              </w:rPr>
            </w:pPr>
            <w:r>
              <w:rPr>
                <w:bCs/>
                <w:sz w:val="21"/>
                <w:szCs w:val="21"/>
              </w:rPr>
              <w:t>设备噪声</w:t>
            </w:r>
          </w:p>
        </w:tc>
        <w:tc>
          <w:tcPr>
            <w:tcW w:w="2959" w:type="pct"/>
            <w:vAlign w:val="center"/>
          </w:tcPr>
          <w:p w14:paraId="01485E3C" w14:textId="77777777" w:rsidR="003E78AB" w:rsidRDefault="00010BF9">
            <w:pPr>
              <w:spacing w:line="360" w:lineRule="exact"/>
              <w:ind w:firstLineChars="0" w:firstLine="0"/>
              <w:jc w:val="center"/>
              <w:rPr>
                <w:kern w:val="2"/>
                <w:sz w:val="21"/>
                <w:szCs w:val="21"/>
              </w:rPr>
            </w:pPr>
            <w:r>
              <w:rPr>
                <w:bCs/>
                <w:sz w:val="21"/>
                <w:szCs w:val="21"/>
              </w:rPr>
              <w:t>合理安排施工时间，合理布置施工平面图，加强管理等</w:t>
            </w:r>
          </w:p>
        </w:tc>
        <w:tc>
          <w:tcPr>
            <w:tcW w:w="567" w:type="pct"/>
            <w:vAlign w:val="center"/>
          </w:tcPr>
          <w:p w14:paraId="5053D03B" w14:textId="77777777" w:rsidR="003E78AB" w:rsidRDefault="00010BF9">
            <w:pPr>
              <w:spacing w:line="360" w:lineRule="exact"/>
              <w:ind w:firstLineChars="0" w:firstLine="0"/>
              <w:jc w:val="center"/>
              <w:rPr>
                <w:kern w:val="2"/>
                <w:sz w:val="21"/>
                <w:szCs w:val="21"/>
              </w:rPr>
            </w:pPr>
            <w:r>
              <w:rPr>
                <w:kern w:val="2"/>
                <w:sz w:val="21"/>
                <w:szCs w:val="21"/>
              </w:rPr>
              <w:t>1.0</w:t>
            </w:r>
          </w:p>
        </w:tc>
      </w:tr>
      <w:tr w:rsidR="003E78AB" w14:paraId="5E9BEE0F" w14:textId="77777777">
        <w:trPr>
          <w:trHeight w:val="471"/>
          <w:jc w:val="center"/>
        </w:trPr>
        <w:tc>
          <w:tcPr>
            <w:tcW w:w="363" w:type="pct"/>
            <w:vMerge/>
            <w:vAlign w:val="center"/>
          </w:tcPr>
          <w:p w14:paraId="4AF66A93" w14:textId="77777777" w:rsidR="003E78AB" w:rsidRDefault="003E78AB">
            <w:pPr>
              <w:spacing w:line="360" w:lineRule="exact"/>
              <w:ind w:firstLineChars="0" w:firstLine="0"/>
              <w:jc w:val="center"/>
              <w:rPr>
                <w:kern w:val="2"/>
                <w:sz w:val="21"/>
                <w:szCs w:val="21"/>
              </w:rPr>
            </w:pPr>
          </w:p>
        </w:tc>
        <w:tc>
          <w:tcPr>
            <w:tcW w:w="367" w:type="pct"/>
            <w:vAlign w:val="center"/>
          </w:tcPr>
          <w:p w14:paraId="6A63791E" w14:textId="77777777" w:rsidR="003E78AB" w:rsidRDefault="00010BF9">
            <w:pPr>
              <w:spacing w:line="360" w:lineRule="exact"/>
              <w:ind w:firstLineChars="0" w:firstLine="0"/>
              <w:jc w:val="center"/>
              <w:rPr>
                <w:kern w:val="2"/>
                <w:sz w:val="21"/>
                <w:szCs w:val="21"/>
              </w:rPr>
            </w:pPr>
            <w:r>
              <w:rPr>
                <w:bCs/>
                <w:sz w:val="21"/>
                <w:szCs w:val="21"/>
              </w:rPr>
              <w:t>生态</w:t>
            </w:r>
          </w:p>
        </w:tc>
        <w:tc>
          <w:tcPr>
            <w:tcW w:w="742" w:type="pct"/>
            <w:vAlign w:val="center"/>
          </w:tcPr>
          <w:p w14:paraId="052A6D70" w14:textId="77777777" w:rsidR="003E78AB" w:rsidRDefault="00010BF9">
            <w:pPr>
              <w:spacing w:line="360" w:lineRule="exact"/>
              <w:ind w:firstLineChars="0" w:firstLine="0"/>
              <w:jc w:val="center"/>
              <w:rPr>
                <w:kern w:val="2"/>
                <w:sz w:val="21"/>
                <w:szCs w:val="21"/>
              </w:rPr>
            </w:pPr>
            <w:r>
              <w:rPr>
                <w:bCs/>
                <w:sz w:val="21"/>
                <w:szCs w:val="21"/>
              </w:rPr>
              <w:t>生态</w:t>
            </w:r>
          </w:p>
        </w:tc>
        <w:tc>
          <w:tcPr>
            <w:tcW w:w="2959" w:type="pct"/>
            <w:vAlign w:val="center"/>
          </w:tcPr>
          <w:p w14:paraId="47B506A1" w14:textId="77777777" w:rsidR="003E78AB" w:rsidRDefault="00010BF9">
            <w:pPr>
              <w:spacing w:line="360" w:lineRule="exact"/>
              <w:ind w:firstLineChars="0" w:firstLine="0"/>
              <w:jc w:val="center"/>
              <w:rPr>
                <w:kern w:val="2"/>
                <w:sz w:val="21"/>
                <w:szCs w:val="21"/>
              </w:rPr>
            </w:pPr>
            <w:r>
              <w:rPr>
                <w:bCs/>
                <w:sz w:val="21"/>
                <w:szCs w:val="21"/>
              </w:rPr>
              <w:t>施工迹地及时恢复，完善绿化措施</w:t>
            </w:r>
          </w:p>
        </w:tc>
        <w:tc>
          <w:tcPr>
            <w:tcW w:w="567" w:type="pct"/>
            <w:vAlign w:val="center"/>
          </w:tcPr>
          <w:p w14:paraId="06CC1706" w14:textId="77777777" w:rsidR="003E78AB" w:rsidRDefault="00010BF9">
            <w:pPr>
              <w:spacing w:line="360" w:lineRule="exact"/>
              <w:ind w:firstLineChars="0" w:firstLine="0"/>
              <w:jc w:val="center"/>
              <w:rPr>
                <w:kern w:val="2"/>
                <w:sz w:val="21"/>
                <w:szCs w:val="21"/>
              </w:rPr>
            </w:pPr>
            <w:r>
              <w:rPr>
                <w:kern w:val="2"/>
                <w:sz w:val="21"/>
                <w:szCs w:val="21"/>
              </w:rPr>
              <w:t>5.0</w:t>
            </w:r>
          </w:p>
        </w:tc>
      </w:tr>
      <w:tr w:rsidR="003E78AB" w14:paraId="4BFC5F36" w14:textId="77777777">
        <w:trPr>
          <w:trHeight w:val="471"/>
          <w:jc w:val="center"/>
        </w:trPr>
        <w:tc>
          <w:tcPr>
            <w:tcW w:w="363" w:type="pct"/>
            <w:vMerge w:val="restart"/>
            <w:vAlign w:val="center"/>
          </w:tcPr>
          <w:p w14:paraId="1F08AE16" w14:textId="77777777" w:rsidR="003E78AB" w:rsidRDefault="00010BF9">
            <w:pPr>
              <w:spacing w:line="360" w:lineRule="exact"/>
              <w:ind w:firstLineChars="0" w:firstLine="0"/>
              <w:jc w:val="center"/>
              <w:rPr>
                <w:kern w:val="2"/>
                <w:sz w:val="21"/>
                <w:szCs w:val="21"/>
              </w:rPr>
            </w:pPr>
            <w:r>
              <w:rPr>
                <w:kern w:val="2"/>
                <w:sz w:val="21"/>
                <w:szCs w:val="21"/>
              </w:rPr>
              <w:t>运营期</w:t>
            </w:r>
          </w:p>
        </w:tc>
        <w:tc>
          <w:tcPr>
            <w:tcW w:w="367" w:type="pct"/>
            <w:vMerge w:val="restart"/>
            <w:vAlign w:val="center"/>
          </w:tcPr>
          <w:p w14:paraId="2B0B4667" w14:textId="77777777" w:rsidR="003E78AB" w:rsidRDefault="00010BF9">
            <w:pPr>
              <w:spacing w:line="360" w:lineRule="exact"/>
              <w:ind w:firstLineChars="0" w:firstLine="0"/>
              <w:jc w:val="center"/>
              <w:rPr>
                <w:kern w:val="2"/>
                <w:sz w:val="21"/>
                <w:szCs w:val="21"/>
              </w:rPr>
            </w:pPr>
            <w:r>
              <w:rPr>
                <w:kern w:val="2"/>
                <w:sz w:val="21"/>
                <w:szCs w:val="21"/>
              </w:rPr>
              <w:t>废气处理措施</w:t>
            </w:r>
          </w:p>
        </w:tc>
        <w:tc>
          <w:tcPr>
            <w:tcW w:w="742" w:type="pct"/>
            <w:vAlign w:val="center"/>
          </w:tcPr>
          <w:p w14:paraId="6A98B109" w14:textId="77777777" w:rsidR="003E78AB" w:rsidRDefault="00010BF9">
            <w:pPr>
              <w:pStyle w:val="aff6"/>
              <w:topLinePunct/>
            </w:pPr>
            <w:r>
              <w:rPr>
                <w:spacing w:val="-4"/>
              </w:rPr>
              <w:t>五氧化二钒</w:t>
            </w:r>
            <w:r>
              <w:rPr>
                <w:rFonts w:hint="eastAsia"/>
                <w:spacing w:val="-4"/>
              </w:rPr>
              <w:t>拆包</w:t>
            </w:r>
            <w:r>
              <w:rPr>
                <w:spacing w:val="-4"/>
              </w:rPr>
              <w:t>投料</w:t>
            </w:r>
            <w:r>
              <w:rPr>
                <w:rFonts w:hint="eastAsia"/>
                <w:spacing w:val="-4"/>
              </w:rPr>
              <w:t>粉尘</w:t>
            </w:r>
          </w:p>
        </w:tc>
        <w:tc>
          <w:tcPr>
            <w:tcW w:w="2959" w:type="pct"/>
            <w:vAlign w:val="center"/>
          </w:tcPr>
          <w:p w14:paraId="7ECC9B61" w14:textId="77777777" w:rsidR="003E78AB" w:rsidRDefault="00010BF9">
            <w:pPr>
              <w:spacing w:line="360" w:lineRule="exact"/>
              <w:ind w:firstLineChars="0" w:firstLine="0"/>
              <w:jc w:val="center"/>
              <w:textAlignment w:val="center"/>
              <w:rPr>
                <w:kern w:val="2"/>
                <w:sz w:val="21"/>
                <w:szCs w:val="21"/>
              </w:rPr>
            </w:pPr>
            <w:r>
              <w:rPr>
                <w:spacing w:val="-4"/>
                <w:sz w:val="21"/>
                <w:szCs w:val="21"/>
              </w:rPr>
              <w:t>密闭</w:t>
            </w:r>
            <w:r>
              <w:rPr>
                <w:rFonts w:hint="eastAsia"/>
                <w:spacing w:val="-4"/>
                <w:sz w:val="21"/>
                <w:szCs w:val="21"/>
              </w:rPr>
              <w:t>拆包</w:t>
            </w:r>
            <w:r>
              <w:rPr>
                <w:spacing w:val="-4"/>
                <w:sz w:val="21"/>
                <w:szCs w:val="21"/>
              </w:rPr>
              <w:t>投料</w:t>
            </w:r>
            <w:r>
              <w:rPr>
                <w:spacing w:val="-4"/>
                <w:sz w:val="21"/>
                <w:szCs w:val="21"/>
              </w:rPr>
              <w:t>+</w:t>
            </w:r>
            <w:r>
              <w:rPr>
                <w:rFonts w:eastAsia="Times New Roman"/>
                <w:spacing w:val="-4"/>
                <w:sz w:val="21"/>
                <w:szCs w:val="21"/>
              </w:rPr>
              <w:t>1</w:t>
            </w:r>
            <w:r>
              <w:rPr>
                <w:spacing w:val="-4"/>
                <w:sz w:val="21"/>
                <w:szCs w:val="21"/>
              </w:rPr>
              <w:t>套</w:t>
            </w:r>
            <w:r>
              <w:rPr>
                <w:spacing w:val="-2"/>
                <w:sz w:val="21"/>
                <w:szCs w:val="21"/>
              </w:rPr>
              <w:t>袋式除尘器</w:t>
            </w:r>
            <w:r>
              <w:rPr>
                <w:rFonts w:eastAsia="Times New Roman"/>
                <w:spacing w:val="-1"/>
                <w:sz w:val="21"/>
                <w:szCs w:val="21"/>
              </w:rPr>
              <w:t>+</w:t>
            </w:r>
            <w:r>
              <w:rPr>
                <w:rFonts w:eastAsia="Times New Roman"/>
                <w:sz w:val="21"/>
                <w:szCs w:val="21"/>
              </w:rPr>
              <w:t>1</w:t>
            </w:r>
            <w:r>
              <w:rPr>
                <w:sz w:val="21"/>
                <w:szCs w:val="21"/>
              </w:rPr>
              <w:t>根</w:t>
            </w:r>
            <w:r>
              <w:rPr>
                <w:sz w:val="21"/>
                <w:szCs w:val="21"/>
              </w:rPr>
              <w:t>1</w:t>
            </w:r>
            <w:r>
              <w:rPr>
                <w:sz w:val="21"/>
                <w:szCs w:val="21"/>
                <w:lang w:bidi="ar"/>
              </w:rPr>
              <w:t>5m</w:t>
            </w:r>
            <w:r>
              <w:rPr>
                <w:sz w:val="21"/>
                <w:szCs w:val="21"/>
                <w:lang w:bidi="ar"/>
              </w:rPr>
              <w:t>排气筒</w:t>
            </w:r>
            <w:r>
              <w:rPr>
                <w:sz w:val="21"/>
                <w:szCs w:val="21"/>
                <w:lang w:bidi="ar"/>
              </w:rPr>
              <w:t>DA001</w:t>
            </w:r>
          </w:p>
        </w:tc>
        <w:tc>
          <w:tcPr>
            <w:tcW w:w="567" w:type="pct"/>
            <w:vAlign w:val="center"/>
          </w:tcPr>
          <w:p w14:paraId="0A71D4C6" w14:textId="77777777" w:rsidR="003E78AB" w:rsidRDefault="00010BF9">
            <w:pPr>
              <w:spacing w:line="360" w:lineRule="exact"/>
              <w:ind w:firstLineChars="0" w:firstLine="0"/>
              <w:jc w:val="center"/>
              <w:rPr>
                <w:kern w:val="2"/>
                <w:sz w:val="21"/>
                <w:szCs w:val="21"/>
              </w:rPr>
            </w:pPr>
            <w:r>
              <w:rPr>
                <w:rFonts w:hint="eastAsia"/>
                <w:kern w:val="2"/>
                <w:sz w:val="21"/>
                <w:szCs w:val="21"/>
              </w:rPr>
              <w:t>15</w:t>
            </w:r>
          </w:p>
        </w:tc>
      </w:tr>
      <w:tr w:rsidR="003E78AB" w14:paraId="40BB34C1" w14:textId="77777777">
        <w:trPr>
          <w:trHeight w:val="471"/>
          <w:jc w:val="center"/>
        </w:trPr>
        <w:tc>
          <w:tcPr>
            <w:tcW w:w="363" w:type="pct"/>
            <w:vMerge/>
            <w:vAlign w:val="center"/>
          </w:tcPr>
          <w:p w14:paraId="2BDD65B2" w14:textId="77777777" w:rsidR="003E78AB" w:rsidRDefault="003E78AB">
            <w:pPr>
              <w:spacing w:line="360" w:lineRule="exact"/>
              <w:ind w:firstLineChars="0" w:firstLine="0"/>
              <w:jc w:val="center"/>
              <w:rPr>
                <w:kern w:val="2"/>
                <w:sz w:val="21"/>
                <w:szCs w:val="21"/>
              </w:rPr>
            </w:pPr>
          </w:p>
        </w:tc>
        <w:tc>
          <w:tcPr>
            <w:tcW w:w="367" w:type="pct"/>
            <w:vMerge/>
            <w:vAlign w:val="center"/>
          </w:tcPr>
          <w:p w14:paraId="679337A7" w14:textId="77777777" w:rsidR="003E78AB" w:rsidRDefault="003E78AB">
            <w:pPr>
              <w:spacing w:line="360" w:lineRule="exact"/>
              <w:ind w:firstLineChars="0" w:firstLine="0"/>
              <w:jc w:val="center"/>
              <w:rPr>
                <w:kern w:val="2"/>
                <w:sz w:val="21"/>
                <w:szCs w:val="21"/>
              </w:rPr>
            </w:pPr>
          </w:p>
        </w:tc>
        <w:tc>
          <w:tcPr>
            <w:tcW w:w="742" w:type="pct"/>
            <w:vAlign w:val="center"/>
          </w:tcPr>
          <w:p w14:paraId="15CAE148" w14:textId="77777777" w:rsidR="003E78AB" w:rsidRDefault="00010BF9">
            <w:pPr>
              <w:pStyle w:val="aff6"/>
              <w:topLinePunct/>
            </w:pPr>
            <w:r>
              <w:rPr>
                <w:rFonts w:hint="eastAsia"/>
                <w:spacing w:val="-4"/>
              </w:rPr>
              <w:t>草酸拆包</w:t>
            </w:r>
            <w:r>
              <w:rPr>
                <w:spacing w:val="-4"/>
              </w:rPr>
              <w:t>投料</w:t>
            </w:r>
            <w:r>
              <w:rPr>
                <w:rFonts w:hint="eastAsia"/>
                <w:spacing w:val="-4"/>
              </w:rPr>
              <w:t>粉尘</w:t>
            </w:r>
          </w:p>
        </w:tc>
        <w:tc>
          <w:tcPr>
            <w:tcW w:w="2959" w:type="pct"/>
            <w:vAlign w:val="center"/>
          </w:tcPr>
          <w:p w14:paraId="233131F1" w14:textId="77777777" w:rsidR="003E78AB" w:rsidRDefault="00010BF9">
            <w:pPr>
              <w:spacing w:line="360" w:lineRule="exact"/>
              <w:ind w:firstLineChars="0" w:firstLine="0"/>
              <w:jc w:val="center"/>
              <w:textAlignment w:val="center"/>
              <w:rPr>
                <w:kern w:val="2"/>
                <w:sz w:val="21"/>
                <w:szCs w:val="21"/>
              </w:rPr>
            </w:pPr>
            <w:r>
              <w:rPr>
                <w:spacing w:val="-4"/>
                <w:sz w:val="21"/>
                <w:szCs w:val="21"/>
              </w:rPr>
              <w:t>密闭</w:t>
            </w:r>
            <w:r>
              <w:rPr>
                <w:rFonts w:hint="eastAsia"/>
                <w:spacing w:val="-4"/>
                <w:sz w:val="21"/>
                <w:szCs w:val="21"/>
              </w:rPr>
              <w:t>拆包</w:t>
            </w:r>
            <w:r>
              <w:rPr>
                <w:spacing w:val="-4"/>
                <w:sz w:val="21"/>
                <w:szCs w:val="21"/>
              </w:rPr>
              <w:t>投料</w:t>
            </w:r>
            <w:r>
              <w:rPr>
                <w:spacing w:val="-4"/>
                <w:sz w:val="21"/>
                <w:szCs w:val="21"/>
              </w:rPr>
              <w:t>+</w:t>
            </w:r>
            <w:r>
              <w:rPr>
                <w:rFonts w:eastAsia="Times New Roman"/>
                <w:spacing w:val="-4"/>
                <w:sz w:val="21"/>
                <w:szCs w:val="21"/>
              </w:rPr>
              <w:t>1</w:t>
            </w:r>
            <w:r>
              <w:rPr>
                <w:spacing w:val="-4"/>
                <w:sz w:val="21"/>
                <w:szCs w:val="21"/>
              </w:rPr>
              <w:t>套</w:t>
            </w:r>
            <w:r>
              <w:rPr>
                <w:spacing w:val="-2"/>
                <w:sz w:val="21"/>
                <w:szCs w:val="21"/>
              </w:rPr>
              <w:t>袋式除尘器</w:t>
            </w:r>
            <w:r>
              <w:rPr>
                <w:rFonts w:eastAsia="Times New Roman"/>
                <w:spacing w:val="-1"/>
                <w:sz w:val="21"/>
                <w:szCs w:val="21"/>
              </w:rPr>
              <w:t>+</w:t>
            </w:r>
            <w:r>
              <w:rPr>
                <w:rFonts w:eastAsia="Times New Roman"/>
                <w:sz w:val="21"/>
                <w:szCs w:val="21"/>
              </w:rPr>
              <w:t>1</w:t>
            </w:r>
            <w:r>
              <w:rPr>
                <w:sz w:val="21"/>
                <w:szCs w:val="21"/>
              </w:rPr>
              <w:t>根</w:t>
            </w:r>
            <w:r>
              <w:rPr>
                <w:sz w:val="21"/>
                <w:szCs w:val="21"/>
              </w:rPr>
              <w:t>1</w:t>
            </w:r>
            <w:r>
              <w:rPr>
                <w:sz w:val="21"/>
                <w:szCs w:val="21"/>
                <w:lang w:bidi="ar"/>
              </w:rPr>
              <w:t>5m</w:t>
            </w:r>
            <w:r>
              <w:rPr>
                <w:sz w:val="21"/>
                <w:szCs w:val="21"/>
                <w:lang w:bidi="ar"/>
              </w:rPr>
              <w:t>排气筒</w:t>
            </w:r>
            <w:r>
              <w:rPr>
                <w:sz w:val="21"/>
                <w:szCs w:val="21"/>
                <w:lang w:bidi="ar"/>
              </w:rPr>
              <w:t>DA002</w:t>
            </w:r>
          </w:p>
        </w:tc>
        <w:tc>
          <w:tcPr>
            <w:tcW w:w="567" w:type="pct"/>
            <w:vAlign w:val="center"/>
          </w:tcPr>
          <w:p w14:paraId="3155B987" w14:textId="77777777" w:rsidR="003E78AB" w:rsidRDefault="00010BF9">
            <w:pPr>
              <w:spacing w:line="360" w:lineRule="exact"/>
              <w:ind w:firstLineChars="0" w:firstLine="0"/>
              <w:jc w:val="center"/>
              <w:rPr>
                <w:kern w:val="2"/>
                <w:sz w:val="21"/>
                <w:szCs w:val="21"/>
              </w:rPr>
            </w:pPr>
            <w:r>
              <w:rPr>
                <w:rFonts w:hint="eastAsia"/>
                <w:kern w:val="2"/>
                <w:sz w:val="21"/>
                <w:szCs w:val="21"/>
              </w:rPr>
              <w:t>15</w:t>
            </w:r>
          </w:p>
        </w:tc>
      </w:tr>
      <w:tr w:rsidR="003E78AB" w14:paraId="6C40078A" w14:textId="77777777">
        <w:trPr>
          <w:trHeight w:val="471"/>
          <w:jc w:val="center"/>
        </w:trPr>
        <w:tc>
          <w:tcPr>
            <w:tcW w:w="363" w:type="pct"/>
            <w:vMerge/>
            <w:vAlign w:val="center"/>
          </w:tcPr>
          <w:p w14:paraId="68E3993E" w14:textId="77777777" w:rsidR="003E78AB" w:rsidRDefault="003E78AB">
            <w:pPr>
              <w:spacing w:line="360" w:lineRule="exact"/>
              <w:ind w:firstLineChars="0" w:firstLine="0"/>
              <w:jc w:val="center"/>
              <w:rPr>
                <w:kern w:val="2"/>
                <w:sz w:val="21"/>
                <w:szCs w:val="21"/>
              </w:rPr>
            </w:pPr>
          </w:p>
        </w:tc>
        <w:tc>
          <w:tcPr>
            <w:tcW w:w="367" w:type="pct"/>
            <w:vMerge/>
            <w:vAlign w:val="center"/>
          </w:tcPr>
          <w:p w14:paraId="7E7AC426" w14:textId="77777777" w:rsidR="003E78AB" w:rsidRDefault="003E78AB">
            <w:pPr>
              <w:spacing w:line="360" w:lineRule="exact"/>
              <w:ind w:firstLineChars="0" w:firstLine="0"/>
              <w:jc w:val="center"/>
              <w:rPr>
                <w:kern w:val="2"/>
                <w:sz w:val="21"/>
                <w:szCs w:val="21"/>
              </w:rPr>
            </w:pPr>
          </w:p>
        </w:tc>
        <w:tc>
          <w:tcPr>
            <w:tcW w:w="742" w:type="pct"/>
            <w:vAlign w:val="center"/>
          </w:tcPr>
          <w:p w14:paraId="46C3E3D6" w14:textId="77777777" w:rsidR="003E78AB" w:rsidRDefault="00010BF9">
            <w:pPr>
              <w:pStyle w:val="aff6"/>
              <w:topLinePunct/>
            </w:pPr>
            <w:r>
              <w:rPr>
                <w:rFonts w:hint="eastAsia"/>
              </w:rPr>
              <w:t>工艺废气</w:t>
            </w:r>
          </w:p>
        </w:tc>
        <w:tc>
          <w:tcPr>
            <w:tcW w:w="2959" w:type="pct"/>
            <w:vAlign w:val="center"/>
          </w:tcPr>
          <w:p w14:paraId="6408504C" w14:textId="77777777" w:rsidR="003E78AB" w:rsidRDefault="00010BF9">
            <w:pPr>
              <w:spacing w:line="360" w:lineRule="exact"/>
              <w:ind w:firstLineChars="0" w:firstLine="0"/>
              <w:jc w:val="center"/>
              <w:textAlignment w:val="center"/>
              <w:rPr>
                <w:kern w:val="2"/>
                <w:sz w:val="21"/>
                <w:szCs w:val="21"/>
              </w:rPr>
            </w:pPr>
            <w:r>
              <w:rPr>
                <w:sz w:val="21"/>
                <w:szCs w:val="21"/>
                <w:lang w:bidi="ar"/>
              </w:rPr>
              <w:t>一级</w:t>
            </w:r>
            <w:r>
              <w:rPr>
                <w:rFonts w:hint="eastAsia"/>
                <w:sz w:val="21"/>
                <w:szCs w:val="21"/>
                <w:lang w:bidi="ar"/>
              </w:rPr>
              <w:t>碱洗</w:t>
            </w:r>
            <w:r>
              <w:rPr>
                <w:sz w:val="21"/>
                <w:szCs w:val="21"/>
                <w:lang w:bidi="ar"/>
              </w:rPr>
              <w:t>+</w:t>
            </w:r>
            <w:r>
              <w:rPr>
                <w:sz w:val="21"/>
                <w:szCs w:val="21"/>
                <w:lang w:bidi="ar"/>
              </w:rPr>
              <w:t>一级水洗</w:t>
            </w:r>
            <w:r>
              <w:rPr>
                <w:sz w:val="21"/>
                <w:szCs w:val="21"/>
                <w:lang w:bidi="ar"/>
              </w:rPr>
              <w:t>+15m</w:t>
            </w:r>
            <w:r>
              <w:rPr>
                <w:sz w:val="21"/>
                <w:szCs w:val="21"/>
                <w:lang w:bidi="ar"/>
              </w:rPr>
              <w:t>排气筒</w:t>
            </w:r>
            <w:r>
              <w:rPr>
                <w:sz w:val="21"/>
                <w:szCs w:val="21"/>
                <w:lang w:bidi="ar"/>
              </w:rPr>
              <w:t>DA003</w:t>
            </w:r>
          </w:p>
        </w:tc>
        <w:tc>
          <w:tcPr>
            <w:tcW w:w="567" w:type="pct"/>
            <w:vAlign w:val="center"/>
          </w:tcPr>
          <w:p w14:paraId="2DFD5F5C" w14:textId="77777777" w:rsidR="003E78AB" w:rsidRDefault="00010BF9">
            <w:pPr>
              <w:spacing w:line="360" w:lineRule="exact"/>
              <w:ind w:firstLineChars="0" w:firstLine="0"/>
              <w:jc w:val="center"/>
              <w:rPr>
                <w:kern w:val="2"/>
                <w:sz w:val="21"/>
                <w:szCs w:val="21"/>
              </w:rPr>
            </w:pPr>
            <w:r>
              <w:rPr>
                <w:rFonts w:hint="eastAsia"/>
                <w:kern w:val="2"/>
                <w:sz w:val="21"/>
                <w:szCs w:val="21"/>
              </w:rPr>
              <w:t>50</w:t>
            </w:r>
          </w:p>
        </w:tc>
      </w:tr>
      <w:tr w:rsidR="003E78AB" w14:paraId="74560F6C" w14:textId="77777777">
        <w:trPr>
          <w:trHeight w:val="471"/>
          <w:jc w:val="center"/>
        </w:trPr>
        <w:tc>
          <w:tcPr>
            <w:tcW w:w="363" w:type="pct"/>
            <w:vMerge/>
            <w:vAlign w:val="center"/>
          </w:tcPr>
          <w:p w14:paraId="6F6E1F08" w14:textId="77777777" w:rsidR="003E78AB" w:rsidRDefault="003E78AB">
            <w:pPr>
              <w:spacing w:line="360" w:lineRule="exact"/>
              <w:ind w:firstLineChars="0" w:firstLine="0"/>
              <w:jc w:val="center"/>
              <w:rPr>
                <w:kern w:val="2"/>
                <w:sz w:val="21"/>
                <w:szCs w:val="21"/>
              </w:rPr>
            </w:pPr>
          </w:p>
        </w:tc>
        <w:tc>
          <w:tcPr>
            <w:tcW w:w="367" w:type="pct"/>
            <w:vMerge/>
            <w:vAlign w:val="center"/>
          </w:tcPr>
          <w:p w14:paraId="6EA9774E" w14:textId="77777777" w:rsidR="003E78AB" w:rsidRDefault="003E78AB">
            <w:pPr>
              <w:spacing w:line="360" w:lineRule="exact"/>
              <w:ind w:firstLineChars="0" w:firstLine="0"/>
              <w:jc w:val="center"/>
              <w:rPr>
                <w:kern w:val="2"/>
                <w:sz w:val="21"/>
                <w:szCs w:val="21"/>
              </w:rPr>
            </w:pPr>
          </w:p>
        </w:tc>
        <w:tc>
          <w:tcPr>
            <w:tcW w:w="742" w:type="pct"/>
            <w:vAlign w:val="center"/>
          </w:tcPr>
          <w:p w14:paraId="7652DFD9" w14:textId="77777777" w:rsidR="003E78AB" w:rsidRDefault="00010BF9">
            <w:pPr>
              <w:spacing w:line="360" w:lineRule="exact"/>
              <w:ind w:firstLineChars="0" w:firstLine="0"/>
              <w:jc w:val="center"/>
              <w:rPr>
                <w:kern w:val="2"/>
                <w:sz w:val="21"/>
                <w:szCs w:val="21"/>
              </w:rPr>
            </w:pPr>
            <w:r>
              <w:rPr>
                <w:kern w:val="2"/>
                <w:sz w:val="21"/>
                <w:szCs w:val="21"/>
              </w:rPr>
              <w:t>锅炉烟气</w:t>
            </w:r>
          </w:p>
        </w:tc>
        <w:tc>
          <w:tcPr>
            <w:tcW w:w="2959" w:type="pct"/>
            <w:vAlign w:val="center"/>
          </w:tcPr>
          <w:p w14:paraId="6462730D" w14:textId="77777777" w:rsidR="003E78AB" w:rsidRDefault="00010BF9">
            <w:pPr>
              <w:spacing w:line="360" w:lineRule="exact"/>
              <w:ind w:firstLineChars="0" w:firstLine="0"/>
              <w:jc w:val="center"/>
              <w:rPr>
                <w:kern w:val="2"/>
                <w:sz w:val="21"/>
                <w:szCs w:val="21"/>
              </w:rPr>
            </w:pPr>
            <w:r>
              <w:rPr>
                <w:kern w:val="2"/>
                <w:sz w:val="21"/>
                <w:szCs w:val="21"/>
              </w:rPr>
              <w:t>项目燃气锅炉采用低氮燃烧技术，烟气经烟气再循环设施回用后通过</w:t>
            </w:r>
            <w:r>
              <w:rPr>
                <w:kern w:val="2"/>
                <w:sz w:val="21"/>
                <w:szCs w:val="21"/>
              </w:rPr>
              <w:t>15m</w:t>
            </w:r>
            <w:r>
              <w:rPr>
                <w:kern w:val="2"/>
                <w:sz w:val="21"/>
                <w:szCs w:val="21"/>
              </w:rPr>
              <w:t>高排气筒</w:t>
            </w:r>
            <w:r>
              <w:rPr>
                <w:kern w:val="2"/>
                <w:sz w:val="21"/>
                <w:szCs w:val="21"/>
              </w:rPr>
              <w:t>DA004</w:t>
            </w:r>
            <w:r>
              <w:rPr>
                <w:kern w:val="2"/>
                <w:sz w:val="21"/>
                <w:szCs w:val="21"/>
              </w:rPr>
              <w:t>排放</w:t>
            </w:r>
          </w:p>
        </w:tc>
        <w:tc>
          <w:tcPr>
            <w:tcW w:w="567" w:type="pct"/>
            <w:vAlign w:val="center"/>
          </w:tcPr>
          <w:p w14:paraId="2FE4B73B" w14:textId="77777777" w:rsidR="003E78AB" w:rsidRDefault="00010BF9">
            <w:pPr>
              <w:spacing w:line="360" w:lineRule="exact"/>
              <w:ind w:firstLineChars="0" w:firstLine="0"/>
              <w:jc w:val="center"/>
              <w:rPr>
                <w:kern w:val="2"/>
                <w:sz w:val="21"/>
                <w:szCs w:val="21"/>
              </w:rPr>
            </w:pPr>
            <w:r>
              <w:rPr>
                <w:rFonts w:hint="eastAsia"/>
                <w:kern w:val="2"/>
                <w:sz w:val="21"/>
                <w:szCs w:val="21"/>
              </w:rPr>
              <w:t>40</w:t>
            </w:r>
          </w:p>
        </w:tc>
      </w:tr>
      <w:tr w:rsidR="003E78AB" w14:paraId="41001722" w14:textId="77777777">
        <w:trPr>
          <w:trHeight w:val="471"/>
          <w:jc w:val="center"/>
        </w:trPr>
        <w:tc>
          <w:tcPr>
            <w:tcW w:w="363" w:type="pct"/>
            <w:vMerge/>
            <w:vAlign w:val="center"/>
          </w:tcPr>
          <w:p w14:paraId="249A9CE5" w14:textId="77777777" w:rsidR="003E78AB" w:rsidRDefault="003E78AB">
            <w:pPr>
              <w:spacing w:line="360" w:lineRule="exact"/>
              <w:ind w:firstLineChars="0" w:firstLine="0"/>
              <w:jc w:val="center"/>
              <w:rPr>
                <w:kern w:val="2"/>
                <w:sz w:val="21"/>
                <w:szCs w:val="21"/>
              </w:rPr>
            </w:pPr>
          </w:p>
        </w:tc>
        <w:tc>
          <w:tcPr>
            <w:tcW w:w="367" w:type="pct"/>
            <w:vMerge/>
            <w:vAlign w:val="center"/>
          </w:tcPr>
          <w:p w14:paraId="5A81BE01" w14:textId="77777777" w:rsidR="003E78AB" w:rsidRDefault="003E78AB">
            <w:pPr>
              <w:spacing w:line="360" w:lineRule="exact"/>
              <w:ind w:firstLineChars="0" w:firstLine="0"/>
              <w:jc w:val="center"/>
              <w:rPr>
                <w:kern w:val="2"/>
                <w:sz w:val="21"/>
                <w:szCs w:val="21"/>
              </w:rPr>
            </w:pPr>
          </w:p>
        </w:tc>
        <w:tc>
          <w:tcPr>
            <w:tcW w:w="742" w:type="pct"/>
            <w:vAlign w:val="center"/>
          </w:tcPr>
          <w:p w14:paraId="3E630AC6" w14:textId="77777777" w:rsidR="003E78AB" w:rsidRDefault="00010BF9">
            <w:pPr>
              <w:spacing w:line="360" w:lineRule="exact"/>
              <w:ind w:firstLineChars="0" w:firstLine="0"/>
              <w:jc w:val="center"/>
              <w:rPr>
                <w:kern w:val="2"/>
                <w:sz w:val="21"/>
                <w:szCs w:val="21"/>
              </w:rPr>
            </w:pPr>
            <w:r>
              <w:rPr>
                <w:kern w:val="2"/>
                <w:sz w:val="21"/>
                <w:szCs w:val="21"/>
              </w:rPr>
              <w:t>无组织废气</w:t>
            </w:r>
          </w:p>
        </w:tc>
        <w:tc>
          <w:tcPr>
            <w:tcW w:w="2959" w:type="pct"/>
            <w:vAlign w:val="center"/>
          </w:tcPr>
          <w:p w14:paraId="78A122AC" w14:textId="77777777" w:rsidR="003E78AB" w:rsidRDefault="00010BF9">
            <w:pPr>
              <w:spacing w:line="360" w:lineRule="exact"/>
              <w:ind w:firstLineChars="0" w:firstLine="0"/>
              <w:jc w:val="center"/>
              <w:rPr>
                <w:kern w:val="2"/>
                <w:sz w:val="21"/>
                <w:szCs w:val="21"/>
              </w:rPr>
            </w:pPr>
            <w:r>
              <w:rPr>
                <w:kern w:val="2"/>
                <w:sz w:val="21"/>
                <w:szCs w:val="21"/>
              </w:rPr>
              <w:t>加强</w:t>
            </w:r>
            <w:r>
              <w:rPr>
                <w:rFonts w:hint="eastAsia"/>
                <w:kern w:val="2"/>
                <w:sz w:val="21"/>
                <w:szCs w:val="21"/>
              </w:rPr>
              <w:t>封闭密闭管控，定期泄漏与检测。</w:t>
            </w:r>
          </w:p>
        </w:tc>
        <w:tc>
          <w:tcPr>
            <w:tcW w:w="567" w:type="pct"/>
            <w:vAlign w:val="center"/>
          </w:tcPr>
          <w:p w14:paraId="58BC0B08" w14:textId="77777777" w:rsidR="003E78AB" w:rsidRDefault="00010BF9">
            <w:pPr>
              <w:spacing w:line="360" w:lineRule="exact"/>
              <w:ind w:firstLineChars="0" w:firstLine="0"/>
              <w:jc w:val="center"/>
              <w:rPr>
                <w:kern w:val="2"/>
                <w:sz w:val="21"/>
                <w:szCs w:val="21"/>
              </w:rPr>
            </w:pPr>
            <w:r>
              <w:rPr>
                <w:rFonts w:hint="eastAsia"/>
                <w:kern w:val="2"/>
                <w:sz w:val="21"/>
                <w:szCs w:val="21"/>
              </w:rPr>
              <w:t>20</w:t>
            </w:r>
          </w:p>
        </w:tc>
      </w:tr>
      <w:tr w:rsidR="003E78AB" w14:paraId="70EC755F" w14:textId="77777777">
        <w:trPr>
          <w:trHeight w:val="471"/>
          <w:jc w:val="center"/>
        </w:trPr>
        <w:tc>
          <w:tcPr>
            <w:tcW w:w="363" w:type="pct"/>
            <w:vMerge/>
            <w:vAlign w:val="center"/>
          </w:tcPr>
          <w:p w14:paraId="3B845C67" w14:textId="77777777" w:rsidR="003E78AB" w:rsidRDefault="003E78AB">
            <w:pPr>
              <w:spacing w:line="360" w:lineRule="exact"/>
              <w:ind w:firstLineChars="0" w:firstLine="0"/>
              <w:jc w:val="center"/>
              <w:rPr>
                <w:kern w:val="2"/>
                <w:sz w:val="21"/>
                <w:szCs w:val="21"/>
              </w:rPr>
            </w:pPr>
          </w:p>
        </w:tc>
        <w:tc>
          <w:tcPr>
            <w:tcW w:w="367" w:type="pct"/>
            <w:vMerge w:val="restart"/>
            <w:vAlign w:val="center"/>
          </w:tcPr>
          <w:p w14:paraId="5FD9A838" w14:textId="77777777" w:rsidR="003E78AB" w:rsidRDefault="00010BF9">
            <w:pPr>
              <w:spacing w:line="360" w:lineRule="exact"/>
              <w:ind w:firstLineChars="0" w:firstLine="0"/>
              <w:jc w:val="center"/>
              <w:rPr>
                <w:kern w:val="2"/>
                <w:sz w:val="21"/>
                <w:szCs w:val="21"/>
              </w:rPr>
            </w:pPr>
            <w:r>
              <w:rPr>
                <w:kern w:val="2"/>
                <w:sz w:val="21"/>
                <w:szCs w:val="21"/>
              </w:rPr>
              <w:t>废水处理措施</w:t>
            </w:r>
          </w:p>
        </w:tc>
        <w:tc>
          <w:tcPr>
            <w:tcW w:w="742" w:type="pct"/>
            <w:vAlign w:val="center"/>
          </w:tcPr>
          <w:p w14:paraId="3C174D27" w14:textId="77777777" w:rsidR="003E78AB" w:rsidRDefault="00010BF9">
            <w:pPr>
              <w:pStyle w:val="aff6"/>
              <w:topLinePunct/>
            </w:pPr>
            <w:r>
              <w:t>生产废水</w:t>
            </w:r>
          </w:p>
        </w:tc>
        <w:tc>
          <w:tcPr>
            <w:tcW w:w="2959" w:type="pct"/>
            <w:vAlign w:val="center"/>
          </w:tcPr>
          <w:p w14:paraId="64F79EB8" w14:textId="77777777" w:rsidR="003E78AB" w:rsidRDefault="00010BF9">
            <w:pPr>
              <w:pStyle w:val="aff6"/>
              <w:topLinePunct/>
              <w:rPr>
                <w:lang w:val="zh-CN"/>
              </w:rPr>
            </w:pPr>
            <w:r>
              <w:t>工艺废气处理废水</w:t>
            </w:r>
            <w:r>
              <w:rPr>
                <w:rFonts w:hint="eastAsia"/>
              </w:rPr>
              <w:t>经蒸发冷凝后回用于淋洗补水配碱</w:t>
            </w:r>
          </w:p>
        </w:tc>
        <w:tc>
          <w:tcPr>
            <w:tcW w:w="567" w:type="pct"/>
            <w:vAlign w:val="center"/>
          </w:tcPr>
          <w:p w14:paraId="0A90D29D" w14:textId="77777777" w:rsidR="003E78AB" w:rsidRDefault="00010BF9">
            <w:pPr>
              <w:spacing w:line="360" w:lineRule="exact"/>
              <w:ind w:firstLineChars="0" w:firstLine="0"/>
              <w:jc w:val="center"/>
              <w:rPr>
                <w:kern w:val="2"/>
                <w:sz w:val="21"/>
                <w:szCs w:val="21"/>
              </w:rPr>
            </w:pPr>
            <w:r>
              <w:rPr>
                <w:rFonts w:hint="eastAsia"/>
                <w:kern w:val="2"/>
                <w:sz w:val="21"/>
                <w:szCs w:val="21"/>
              </w:rPr>
              <w:t>30</w:t>
            </w:r>
          </w:p>
        </w:tc>
      </w:tr>
      <w:tr w:rsidR="003E78AB" w14:paraId="7C45C9D6" w14:textId="77777777">
        <w:trPr>
          <w:trHeight w:val="471"/>
          <w:jc w:val="center"/>
        </w:trPr>
        <w:tc>
          <w:tcPr>
            <w:tcW w:w="363" w:type="pct"/>
            <w:vMerge/>
            <w:vAlign w:val="center"/>
          </w:tcPr>
          <w:p w14:paraId="3A5FC163" w14:textId="77777777" w:rsidR="003E78AB" w:rsidRDefault="003E78AB">
            <w:pPr>
              <w:spacing w:line="360" w:lineRule="exact"/>
              <w:ind w:firstLineChars="0" w:firstLine="0"/>
              <w:jc w:val="center"/>
              <w:rPr>
                <w:kern w:val="2"/>
                <w:sz w:val="21"/>
                <w:szCs w:val="21"/>
              </w:rPr>
            </w:pPr>
          </w:p>
        </w:tc>
        <w:tc>
          <w:tcPr>
            <w:tcW w:w="367" w:type="pct"/>
            <w:vMerge/>
            <w:vAlign w:val="center"/>
          </w:tcPr>
          <w:p w14:paraId="068AC0D2" w14:textId="77777777" w:rsidR="003E78AB" w:rsidRDefault="003E78AB">
            <w:pPr>
              <w:spacing w:line="360" w:lineRule="exact"/>
              <w:ind w:firstLineChars="0" w:firstLine="0"/>
              <w:jc w:val="center"/>
              <w:rPr>
                <w:kern w:val="2"/>
                <w:sz w:val="21"/>
                <w:szCs w:val="21"/>
              </w:rPr>
            </w:pPr>
          </w:p>
        </w:tc>
        <w:tc>
          <w:tcPr>
            <w:tcW w:w="742" w:type="pct"/>
            <w:vAlign w:val="center"/>
          </w:tcPr>
          <w:p w14:paraId="1413E134" w14:textId="77777777" w:rsidR="003E78AB" w:rsidRDefault="00010BF9">
            <w:pPr>
              <w:pStyle w:val="aff6"/>
              <w:topLinePunct/>
            </w:pPr>
            <w:r>
              <w:rPr>
                <w:rFonts w:hint="eastAsia"/>
              </w:rPr>
              <w:t>实验废水</w:t>
            </w:r>
          </w:p>
        </w:tc>
        <w:tc>
          <w:tcPr>
            <w:tcW w:w="2959" w:type="pct"/>
            <w:vAlign w:val="center"/>
          </w:tcPr>
          <w:p w14:paraId="59B3421C" w14:textId="77777777" w:rsidR="003E78AB" w:rsidRDefault="00010BF9">
            <w:pPr>
              <w:pStyle w:val="aff6"/>
              <w:topLinePunct/>
            </w:pPr>
            <w:r>
              <w:rPr>
                <w:rFonts w:hint="eastAsia"/>
              </w:rPr>
              <w:t>经生产车间</w:t>
            </w:r>
            <w:r>
              <w:rPr>
                <w:rFonts w:hint="eastAsia"/>
              </w:rPr>
              <w:t>15m</w:t>
            </w:r>
            <w:r>
              <w:rPr>
                <w:rFonts w:hint="eastAsia"/>
                <w:vertAlign w:val="superscript"/>
              </w:rPr>
              <w:t>3</w:t>
            </w:r>
            <w:r>
              <w:rPr>
                <w:rFonts w:hint="eastAsia"/>
              </w:rPr>
              <w:t>电解液事故罐收集后回用于生产</w:t>
            </w:r>
          </w:p>
        </w:tc>
        <w:tc>
          <w:tcPr>
            <w:tcW w:w="567" w:type="pct"/>
            <w:vAlign w:val="center"/>
          </w:tcPr>
          <w:p w14:paraId="4CFC0B2E" w14:textId="77777777" w:rsidR="003E78AB" w:rsidRDefault="00010BF9">
            <w:pPr>
              <w:spacing w:line="360" w:lineRule="exact"/>
              <w:ind w:firstLineChars="0" w:firstLine="0"/>
              <w:jc w:val="center"/>
              <w:rPr>
                <w:kern w:val="2"/>
                <w:sz w:val="21"/>
                <w:szCs w:val="21"/>
              </w:rPr>
            </w:pPr>
            <w:r>
              <w:rPr>
                <w:rFonts w:hint="eastAsia"/>
                <w:kern w:val="2"/>
                <w:sz w:val="21"/>
                <w:szCs w:val="21"/>
              </w:rPr>
              <w:t>1</w:t>
            </w:r>
          </w:p>
        </w:tc>
      </w:tr>
      <w:tr w:rsidR="003E78AB" w14:paraId="3572E316" w14:textId="77777777">
        <w:trPr>
          <w:trHeight w:val="471"/>
          <w:jc w:val="center"/>
        </w:trPr>
        <w:tc>
          <w:tcPr>
            <w:tcW w:w="363" w:type="pct"/>
            <w:vMerge/>
            <w:vAlign w:val="center"/>
          </w:tcPr>
          <w:p w14:paraId="1C5D06B0" w14:textId="77777777" w:rsidR="003E78AB" w:rsidRDefault="003E78AB">
            <w:pPr>
              <w:spacing w:line="360" w:lineRule="exact"/>
              <w:ind w:firstLineChars="0" w:firstLine="0"/>
              <w:jc w:val="center"/>
              <w:rPr>
                <w:kern w:val="2"/>
                <w:sz w:val="21"/>
                <w:szCs w:val="21"/>
              </w:rPr>
            </w:pPr>
          </w:p>
        </w:tc>
        <w:tc>
          <w:tcPr>
            <w:tcW w:w="367" w:type="pct"/>
            <w:vMerge/>
            <w:vAlign w:val="center"/>
          </w:tcPr>
          <w:p w14:paraId="37D64FCD" w14:textId="77777777" w:rsidR="003E78AB" w:rsidRDefault="003E78AB">
            <w:pPr>
              <w:spacing w:line="360" w:lineRule="exact"/>
              <w:ind w:firstLineChars="0" w:firstLine="0"/>
              <w:jc w:val="center"/>
              <w:rPr>
                <w:kern w:val="2"/>
                <w:sz w:val="21"/>
                <w:szCs w:val="21"/>
              </w:rPr>
            </w:pPr>
          </w:p>
        </w:tc>
        <w:tc>
          <w:tcPr>
            <w:tcW w:w="742" w:type="pct"/>
            <w:vAlign w:val="center"/>
          </w:tcPr>
          <w:p w14:paraId="33C0385A" w14:textId="77777777" w:rsidR="003E78AB" w:rsidRDefault="00010BF9">
            <w:pPr>
              <w:pStyle w:val="aff6"/>
              <w:topLinePunct/>
              <w:rPr>
                <w:lang w:val="zh-CN"/>
              </w:rPr>
            </w:pPr>
            <w:r>
              <w:rPr>
                <w:rFonts w:hint="eastAsia"/>
              </w:rPr>
              <w:t>公辅废水</w:t>
            </w:r>
          </w:p>
        </w:tc>
        <w:tc>
          <w:tcPr>
            <w:tcW w:w="2959" w:type="pct"/>
            <w:vAlign w:val="center"/>
          </w:tcPr>
          <w:p w14:paraId="703E961B" w14:textId="77777777" w:rsidR="003E78AB" w:rsidRDefault="00010BF9">
            <w:pPr>
              <w:pStyle w:val="aff6"/>
              <w:topLinePunct/>
            </w:pPr>
            <w:r>
              <w:rPr>
                <w:rFonts w:hint="eastAsia"/>
              </w:rPr>
              <w:t>地面冲洗水、</w:t>
            </w:r>
            <w:r>
              <w:t>软水制备及纯水制备排浓水、锅炉排水经厂内污水管道收集经厂区总排口排入园区污水厂进一步处理</w:t>
            </w:r>
          </w:p>
        </w:tc>
        <w:tc>
          <w:tcPr>
            <w:tcW w:w="567" w:type="pct"/>
            <w:vAlign w:val="center"/>
          </w:tcPr>
          <w:p w14:paraId="2C11799A" w14:textId="77777777" w:rsidR="003E78AB" w:rsidRDefault="00010BF9">
            <w:pPr>
              <w:spacing w:line="360" w:lineRule="exact"/>
              <w:ind w:firstLineChars="0" w:firstLine="0"/>
              <w:jc w:val="center"/>
              <w:rPr>
                <w:kern w:val="2"/>
                <w:sz w:val="21"/>
                <w:szCs w:val="21"/>
              </w:rPr>
            </w:pPr>
            <w:r>
              <w:rPr>
                <w:rFonts w:hint="eastAsia"/>
                <w:kern w:val="2"/>
                <w:sz w:val="21"/>
                <w:szCs w:val="21"/>
              </w:rPr>
              <w:t>4</w:t>
            </w:r>
          </w:p>
        </w:tc>
      </w:tr>
      <w:tr w:rsidR="003E78AB" w14:paraId="270E7E7F" w14:textId="77777777">
        <w:trPr>
          <w:trHeight w:val="471"/>
          <w:jc w:val="center"/>
        </w:trPr>
        <w:tc>
          <w:tcPr>
            <w:tcW w:w="363" w:type="pct"/>
            <w:vMerge/>
            <w:vAlign w:val="center"/>
          </w:tcPr>
          <w:p w14:paraId="137E8A2D" w14:textId="77777777" w:rsidR="003E78AB" w:rsidRDefault="003E78AB">
            <w:pPr>
              <w:spacing w:line="360" w:lineRule="exact"/>
              <w:ind w:firstLineChars="0" w:firstLine="0"/>
              <w:jc w:val="center"/>
              <w:rPr>
                <w:kern w:val="2"/>
                <w:sz w:val="21"/>
                <w:szCs w:val="21"/>
              </w:rPr>
            </w:pPr>
          </w:p>
        </w:tc>
        <w:tc>
          <w:tcPr>
            <w:tcW w:w="367" w:type="pct"/>
            <w:vMerge/>
            <w:vAlign w:val="center"/>
          </w:tcPr>
          <w:p w14:paraId="7887A940" w14:textId="77777777" w:rsidR="003E78AB" w:rsidRDefault="003E78AB">
            <w:pPr>
              <w:spacing w:line="360" w:lineRule="exact"/>
              <w:ind w:firstLineChars="0" w:firstLine="0"/>
              <w:jc w:val="center"/>
              <w:rPr>
                <w:kern w:val="2"/>
                <w:sz w:val="21"/>
                <w:szCs w:val="21"/>
              </w:rPr>
            </w:pPr>
          </w:p>
        </w:tc>
        <w:tc>
          <w:tcPr>
            <w:tcW w:w="742" w:type="pct"/>
            <w:vAlign w:val="center"/>
          </w:tcPr>
          <w:p w14:paraId="0774F257" w14:textId="77777777" w:rsidR="003E78AB" w:rsidRDefault="00010BF9">
            <w:pPr>
              <w:pStyle w:val="aff6"/>
              <w:topLinePunct/>
            </w:pPr>
            <w:r>
              <w:rPr>
                <w:lang w:val="zh-CN"/>
              </w:rPr>
              <w:t>生活污水</w:t>
            </w:r>
          </w:p>
        </w:tc>
        <w:tc>
          <w:tcPr>
            <w:tcW w:w="2959" w:type="pct"/>
            <w:vAlign w:val="center"/>
          </w:tcPr>
          <w:p w14:paraId="2C81B146" w14:textId="77777777" w:rsidR="003E78AB" w:rsidRDefault="00010BF9">
            <w:pPr>
              <w:pStyle w:val="aff6"/>
              <w:topLinePunct/>
            </w:pPr>
            <w:r>
              <w:t>生活污水经预处理经厂区总排口排入园区污水厂进一步处理</w:t>
            </w:r>
          </w:p>
        </w:tc>
        <w:tc>
          <w:tcPr>
            <w:tcW w:w="567" w:type="pct"/>
            <w:vAlign w:val="center"/>
          </w:tcPr>
          <w:p w14:paraId="067A90B7" w14:textId="77777777" w:rsidR="003E78AB" w:rsidRDefault="00010BF9">
            <w:pPr>
              <w:spacing w:line="360" w:lineRule="exact"/>
              <w:ind w:firstLineChars="0" w:firstLine="0"/>
              <w:jc w:val="center"/>
              <w:rPr>
                <w:kern w:val="2"/>
                <w:sz w:val="21"/>
                <w:szCs w:val="21"/>
              </w:rPr>
            </w:pPr>
            <w:r>
              <w:rPr>
                <w:rFonts w:hint="eastAsia"/>
                <w:kern w:val="2"/>
                <w:sz w:val="21"/>
                <w:szCs w:val="21"/>
              </w:rPr>
              <w:t>3</w:t>
            </w:r>
          </w:p>
        </w:tc>
      </w:tr>
      <w:tr w:rsidR="003E78AB" w14:paraId="393CA490" w14:textId="77777777">
        <w:trPr>
          <w:trHeight w:val="471"/>
          <w:jc w:val="center"/>
        </w:trPr>
        <w:tc>
          <w:tcPr>
            <w:tcW w:w="363" w:type="pct"/>
            <w:vMerge/>
            <w:vAlign w:val="center"/>
          </w:tcPr>
          <w:p w14:paraId="72178295" w14:textId="77777777" w:rsidR="003E78AB" w:rsidRDefault="003E78AB">
            <w:pPr>
              <w:spacing w:line="360" w:lineRule="exact"/>
              <w:ind w:firstLineChars="0" w:firstLine="0"/>
              <w:jc w:val="center"/>
              <w:rPr>
                <w:kern w:val="2"/>
                <w:sz w:val="21"/>
                <w:szCs w:val="21"/>
              </w:rPr>
            </w:pPr>
          </w:p>
        </w:tc>
        <w:tc>
          <w:tcPr>
            <w:tcW w:w="1109" w:type="pct"/>
            <w:gridSpan w:val="2"/>
            <w:vAlign w:val="center"/>
          </w:tcPr>
          <w:p w14:paraId="0AF99408" w14:textId="77777777" w:rsidR="003E78AB" w:rsidRDefault="00010BF9">
            <w:pPr>
              <w:spacing w:line="360" w:lineRule="exact"/>
              <w:ind w:firstLineChars="0" w:firstLine="0"/>
              <w:jc w:val="center"/>
              <w:rPr>
                <w:kern w:val="2"/>
                <w:sz w:val="21"/>
                <w:szCs w:val="21"/>
              </w:rPr>
            </w:pPr>
            <w:r>
              <w:rPr>
                <w:kern w:val="2"/>
                <w:sz w:val="21"/>
                <w:szCs w:val="21"/>
              </w:rPr>
              <w:t>地下水污染防治</w:t>
            </w:r>
          </w:p>
        </w:tc>
        <w:tc>
          <w:tcPr>
            <w:tcW w:w="2959" w:type="pct"/>
            <w:vAlign w:val="center"/>
          </w:tcPr>
          <w:p w14:paraId="23B09ACD" w14:textId="77777777" w:rsidR="003E78AB" w:rsidRDefault="00010BF9">
            <w:pPr>
              <w:spacing w:line="360" w:lineRule="exact"/>
              <w:ind w:firstLineChars="0" w:firstLine="0"/>
              <w:jc w:val="center"/>
              <w:rPr>
                <w:kern w:val="2"/>
                <w:sz w:val="21"/>
                <w:szCs w:val="21"/>
              </w:rPr>
            </w:pPr>
            <w:r>
              <w:rPr>
                <w:kern w:val="2"/>
                <w:sz w:val="21"/>
                <w:szCs w:val="21"/>
              </w:rPr>
              <w:t>厂区按照要求进行分区防渗，并设置</w:t>
            </w:r>
            <w:r>
              <w:rPr>
                <w:kern w:val="2"/>
                <w:sz w:val="21"/>
                <w:szCs w:val="21"/>
              </w:rPr>
              <w:t>3</w:t>
            </w:r>
            <w:r>
              <w:rPr>
                <w:kern w:val="2"/>
                <w:sz w:val="21"/>
                <w:szCs w:val="21"/>
              </w:rPr>
              <w:t>口地下水观测井。</w:t>
            </w:r>
          </w:p>
        </w:tc>
        <w:tc>
          <w:tcPr>
            <w:tcW w:w="567" w:type="pct"/>
            <w:vAlign w:val="center"/>
          </w:tcPr>
          <w:p w14:paraId="492F5E2C" w14:textId="77777777" w:rsidR="003E78AB" w:rsidRDefault="00010BF9">
            <w:pPr>
              <w:spacing w:line="360" w:lineRule="exact"/>
              <w:ind w:firstLineChars="0" w:firstLine="0"/>
              <w:jc w:val="center"/>
              <w:rPr>
                <w:kern w:val="2"/>
                <w:sz w:val="21"/>
                <w:szCs w:val="21"/>
              </w:rPr>
            </w:pPr>
            <w:r>
              <w:rPr>
                <w:rFonts w:hint="eastAsia"/>
                <w:kern w:val="2"/>
                <w:sz w:val="21"/>
                <w:szCs w:val="21"/>
              </w:rPr>
              <w:t>600</w:t>
            </w:r>
          </w:p>
        </w:tc>
      </w:tr>
      <w:tr w:rsidR="003E78AB" w14:paraId="3245E571" w14:textId="77777777">
        <w:trPr>
          <w:trHeight w:val="471"/>
          <w:jc w:val="center"/>
        </w:trPr>
        <w:tc>
          <w:tcPr>
            <w:tcW w:w="363" w:type="pct"/>
            <w:vMerge/>
            <w:vAlign w:val="center"/>
          </w:tcPr>
          <w:p w14:paraId="6681F556" w14:textId="77777777" w:rsidR="003E78AB" w:rsidRDefault="003E78AB">
            <w:pPr>
              <w:spacing w:line="360" w:lineRule="exact"/>
              <w:ind w:firstLineChars="0" w:firstLine="0"/>
              <w:jc w:val="center"/>
              <w:rPr>
                <w:kern w:val="2"/>
                <w:sz w:val="21"/>
                <w:szCs w:val="21"/>
              </w:rPr>
            </w:pPr>
          </w:p>
        </w:tc>
        <w:tc>
          <w:tcPr>
            <w:tcW w:w="1109" w:type="pct"/>
            <w:gridSpan w:val="2"/>
            <w:vMerge w:val="restart"/>
            <w:vAlign w:val="center"/>
          </w:tcPr>
          <w:p w14:paraId="22ADD9F5" w14:textId="77777777" w:rsidR="003E78AB" w:rsidRDefault="00010BF9">
            <w:pPr>
              <w:spacing w:line="360" w:lineRule="exact"/>
              <w:ind w:firstLineChars="0" w:firstLine="0"/>
              <w:jc w:val="center"/>
              <w:rPr>
                <w:kern w:val="2"/>
                <w:sz w:val="21"/>
                <w:szCs w:val="21"/>
              </w:rPr>
            </w:pPr>
            <w:r>
              <w:rPr>
                <w:kern w:val="2"/>
                <w:sz w:val="21"/>
                <w:szCs w:val="21"/>
              </w:rPr>
              <w:t>固体废物处置措施</w:t>
            </w:r>
          </w:p>
        </w:tc>
        <w:tc>
          <w:tcPr>
            <w:tcW w:w="2959" w:type="pct"/>
            <w:vAlign w:val="center"/>
          </w:tcPr>
          <w:p w14:paraId="028F4D32" w14:textId="77777777" w:rsidR="003E78AB" w:rsidRDefault="00010BF9">
            <w:pPr>
              <w:pStyle w:val="aff6"/>
              <w:topLinePunct/>
              <w:rPr>
                <w:lang w:val="zh-CN"/>
              </w:rPr>
            </w:pPr>
            <w:r>
              <w:t>一座</w:t>
            </w:r>
            <w:r>
              <w:rPr>
                <w:rFonts w:hint="eastAsia"/>
              </w:rPr>
              <w:t>60</w:t>
            </w:r>
            <w:r>
              <w:t>m</w:t>
            </w:r>
            <w:r>
              <w:rPr>
                <w:vertAlign w:val="superscript"/>
              </w:rPr>
              <w:t>2</w:t>
            </w:r>
            <w:r>
              <w:t>危险废物暂存间，各项危险废物分类收集后委托有资质的单位定期清运处置</w:t>
            </w:r>
          </w:p>
        </w:tc>
        <w:tc>
          <w:tcPr>
            <w:tcW w:w="567" w:type="pct"/>
            <w:vAlign w:val="center"/>
          </w:tcPr>
          <w:p w14:paraId="4E912BB0" w14:textId="77777777" w:rsidR="003E78AB" w:rsidRDefault="00010BF9">
            <w:pPr>
              <w:spacing w:line="360" w:lineRule="exact"/>
              <w:ind w:firstLineChars="0" w:firstLine="0"/>
              <w:jc w:val="center"/>
              <w:rPr>
                <w:kern w:val="2"/>
                <w:sz w:val="21"/>
                <w:szCs w:val="21"/>
              </w:rPr>
            </w:pPr>
            <w:r>
              <w:rPr>
                <w:rFonts w:hint="eastAsia"/>
                <w:kern w:val="2"/>
                <w:sz w:val="21"/>
                <w:szCs w:val="21"/>
              </w:rPr>
              <w:t>20</w:t>
            </w:r>
          </w:p>
        </w:tc>
      </w:tr>
      <w:tr w:rsidR="003E78AB" w14:paraId="4FDE3AB4" w14:textId="77777777">
        <w:trPr>
          <w:trHeight w:val="471"/>
          <w:jc w:val="center"/>
        </w:trPr>
        <w:tc>
          <w:tcPr>
            <w:tcW w:w="363" w:type="pct"/>
            <w:vMerge/>
            <w:vAlign w:val="center"/>
          </w:tcPr>
          <w:p w14:paraId="3E7FFD1D" w14:textId="77777777" w:rsidR="003E78AB" w:rsidRDefault="003E78AB">
            <w:pPr>
              <w:spacing w:line="360" w:lineRule="exact"/>
              <w:ind w:firstLineChars="0" w:firstLine="0"/>
              <w:jc w:val="center"/>
              <w:rPr>
                <w:kern w:val="2"/>
                <w:sz w:val="21"/>
                <w:szCs w:val="21"/>
              </w:rPr>
            </w:pPr>
          </w:p>
        </w:tc>
        <w:tc>
          <w:tcPr>
            <w:tcW w:w="1109" w:type="pct"/>
            <w:gridSpan w:val="2"/>
            <w:vMerge/>
            <w:vAlign w:val="center"/>
          </w:tcPr>
          <w:p w14:paraId="4F1E0BF0" w14:textId="77777777" w:rsidR="003E78AB" w:rsidRDefault="003E78AB">
            <w:pPr>
              <w:spacing w:line="360" w:lineRule="exact"/>
              <w:ind w:firstLineChars="0" w:firstLine="0"/>
              <w:jc w:val="center"/>
              <w:rPr>
                <w:kern w:val="2"/>
                <w:sz w:val="21"/>
                <w:szCs w:val="21"/>
              </w:rPr>
            </w:pPr>
          </w:p>
        </w:tc>
        <w:tc>
          <w:tcPr>
            <w:tcW w:w="2959" w:type="pct"/>
            <w:vAlign w:val="center"/>
          </w:tcPr>
          <w:p w14:paraId="4EBCDE30" w14:textId="77777777" w:rsidR="003E78AB" w:rsidRDefault="00010BF9">
            <w:pPr>
              <w:spacing w:line="360" w:lineRule="exact"/>
              <w:ind w:firstLineChars="0" w:firstLine="0"/>
              <w:jc w:val="center"/>
              <w:rPr>
                <w:kern w:val="2"/>
                <w:sz w:val="21"/>
                <w:szCs w:val="21"/>
              </w:rPr>
            </w:pPr>
            <w:r>
              <w:rPr>
                <w:rFonts w:hint="eastAsia"/>
                <w:kern w:val="2"/>
                <w:sz w:val="21"/>
                <w:szCs w:val="21"/>
              </w:rPr>
              <w:t>一座</w:t>
            </w:r>
            <w:r>
              <w:rPr>
                <w:rFonts w:hint="eastAsia"/>
                <w:kern w:val="2"/>
                <w:sz w:val="21"/>
                <w:szCs w:val="21"/>
              </w:rPr>
              <w:t>60</w:t>
            </w:r>
            <w:r>
              <w:rPr>
                <w:kern w:val="2"/>
                <w:sz w:val="21"/>
                <w:szCs w:val="21"/>
              </w:rPr>
              <w:t>m</w:t>
            </w:r>
            <w:r>
              <w:rPr>
                <w:kern w:val="2"/>
                <w:sz w:val="21"/>
                <w:szCs w:val="21"/>
                <w:vertAlign w:val="superscript"/>
              </w:rPr>
              <w:t>2</w:t>
            </w:r>
            <w:r>
              <w:rPr>
                <w:rFonts w:hint="eastAsia"/>
                <w:kern w:val="2"/>
                <w:sz w:val="21"/>
                <w:szCs w:val="21"/>
              </w:rPr>
              <w:t>一般固废</w:t>
            </w:r>
            <w:r>
              <w:rPr>
                <w:kern w:val="2"/>
                <w:sz w:val="21"/>
                <w:szCs w:val="21"/>
              </w:rPr>
              <w:t>暂存间</w:t>
            </w:r>
          </w:p>
        </w:tc>
        <w:tc>
          <w:tcPr>
            <w:tcW w:w="567" w:type="pct"/>
            <w:vAlign w:val="center"/>
          </w:tcPr>
          <w:p w14:paraId="3EA4B5C6" w14:textId="77777777" w:rsidR="003E78AB" w:rsidRDefault="00010BF9">
            <w:pPr>
              <w:spacing w:line="360" w:lineRule="exact"/>
              <w:ind w:firstLineChars="0" w:firstLine="0"/>
              <w:jc w:val="center"/>
              <w:rPr>
                <w:kern w:val="2"/>
                <w:sz w:val="21"/>
                <w:szCs w:val="21"/>
              </w:rPr>
            </w:pPr>
            <w:r>
              <w:rPr>
                <w:rFonts w:hint="eastAsia"/>
                <w:kern w:val="2"/>
                <w:sz w:val="21"/>
                <w:szCs w:val="21"/>
              </w:rPr>
              <w:t>10</w:t>
            </w:r>
          </w:p>
        </w:tc>
      </w:tr>
      <w:tr w:rsidR="003E78AB" w14:paraId="20B4F152" w14:textId="77777777">
        <w:trPr>
          <w:trHeight w:val="471"/>
          <w:jc w:val="center"/>
        </w:trPr>
        <w:tc>
          <w:tcPr>
            <w:tcW w:w="363" w:type="pct"/>
            <w:vMerge/>
            <w:vAlign w:val="center"/>
          </w:tcPr>
          <w:p w14:paraId="1B7EFA10" w14:textId="77777777" w:rsidR="003E78AB" w:rsidRDefault="003E78AB">
            <w:pPr>
              <w:spacing w:line="360" w:lineRule="exact"/>
              <w:ind w:firstLineChars="0" w:firstLine="0"/>
              <w:jc w:val="center"/>
              <w:rPr>
                <w:kern w:val="2"/>
                <w:sz w:val="21"/>
                <w:szCs w:val="21"/>
              </w:rPr>
            </w:pPr>
          </w:p>
        </w:tc>
        <w:tc>
          <w:tcPr>
            <w:tcW w:w="1109" w:type="pct"/>
            <w:gridSpan w:val="2"/>
            <w:vMerge/>
            <w:vAlign w:val="center"/>
          </w:tcPr>
          <w:p w14:paraId="714BF626" w14:textId="77777777" w:rsidR="003E78AB" w:rsidRDefault="003E78AB">
            <w:pPr>
              <w:spacing w:line="360" w:lineRule="exact"/>
              <w:ind w:firstLineChars="0" w:firstLine="0"/>
              <w:jc w:val="center"/>
              <w:rPr>
                <w:kern w:val="2"/>
                <w:sz w:val="21"/>
                <w:szCs w:val="21"/>
              </w:rPr>
            </w:pPr>
          </w:p>
        </w:tc>
        <w:tc>
          <w:tcPr>
            <w:tcW w:w="2959" w:type="pct"/>
            <w:vAlign w:val="center"/>
          </w:tcPr>
          <w:p w14:paraId="0A2F14CE" w14:textId="77777777" w:rsidR="003E78AB" w:rsidRDefault="00010BF9">
            <w:pPr>
              <w:spacing w:line="360" w:lineRule="exact"/>
              <w:ind w:firstLineChars="0" w:firstLine="0"/>
              <w:jc w:val="center"/>
              <w:rPr>
                <w:kern w:val="2"/>
                <w:sz w:val="21"/>
                <w:szCs w:val="21"/>
              </w:rPr>
            </w:pPr>
            <w:r>
              <w:rPr>
                <w:kern w:val="2"/>
                <w:sz w:val="21"/>
                <w:szCs w:val="21"/>
              </w:rPr>
              <w:t>生活垃圾由环卫部门清运处置</w:t>
            </w:r>
          </w:p>
        </w:tc>
        <w:tc>
          <w:tcPr>
            <w:tcW w:w="567" w:type="pct"/>
            <w:vAlign w:val="center"/>
          </w:tcPr>
          <w:p w14:paraId="4B3DE632" w14:textId="77777777" w:rsidR="003E78AB" w:rsidRDefault="00010BF9">
            <w:pPr>
              <w:spacing w:line="360" w:lineRule="exact"/>
              <w:ind w:firstLineChars="0" w:firstLine="0"/>
              <w:jc w:val="center"/>
              <w:rPr>
                <w:kern w:val="2"/>
                <w:sz w:val="21"/>
                <w:szCs w:val="21"/>
              </w:rPr>
            </w:pPr>
            <w:r>
              <w:rPr>
                <w:rFonts w:hint="eastAsia"/>
                <w:kern w:val="2"/>
                <w:sz w:val="21"/>
                <w:szCs w:val="21"/>
              </w:rPr>
              <w:t>2</w:t>
            </w:r>
          </w:p>
        </w:tc>
      </w:tr>
      <w:tr w:rsidR="003E78AB" w14:paraId="47BD16CE" w14:textId="77777777">
        <w:trPr>
          <w:trHeight w:val="471"/>
          <w:jc w:val="center"/>
        </w:trPr>
        <w:tc>
          <w:tcPr>
            <w:tcW w:w="363" w:type="pct"/>
            <w:vMerge/>
            <w:vAlign w:val="center"/>
          </w:tcPr>
          <w:p w14:paraId="589A9281" w14:textId="77777777" w:rsidR="003E78AB" w:rsidRDefault="003E78AB">
            <w:pPr>
              <w:spacing w:line="360" w:lineRule="exact"/>
              <w:ind w:firstLineChars="0" w:firstLine="0"/>
              <w:jc w:val="center"/>
              <w:rPr>
                <w:kern w:val="2"/>
                <w:sz w:val="21"/>
                <w:szCs w:val="21"/>
              </w:rPr>
            </w:pPr>
          </w:p>
        </w:tc>
        <w:tc>
          <w:tcPr>
            <w:tcW w:w="1109" w:type="pct"/>
            <w:gridSpan w:val="2"/>
            <w:vAlign w:val="center"/>
          </w:tcPr>
          <w:p w14:paraId="3CF35626" w14:textId="77777777" w:rsidR="003E78AB" w:rsidRDefault="00010BF9">
            <w:pPr>
              <w:spacing w:line="360" w:lineRule="exact"/>
              <w:ind w:firstLineChars="0" w:firstLine="0"/>
              <w:jc w:val="center"/>
              <w:rPr>
                <w:kern w:val="2"/>
                <w:sz w:val="21"/>
                <w:szCs w:val="21"/>
              </w:rPr>
            </w:pPr>
            <w:r>
              <w:rPr>
                <w:kern w:val="2"/>
                <w:sz w:val="21"/>
                <w:szCs w:val="21"/>
              </w:rPr>
              <w:t>噪声治理措施</w:t>
            </w:r>
          </w:p>
        </w:tc>
        <w:tc>
          <w:tcPr>
            <w:tcW w:w="2959" w:type="pct"/>
            <w:vAlign w:val="center"/>
          </w:tcPr>
          <w:p w14:paraId="5E3CD03C" w14:textId="77777777" w:rsidR="003E78AB" w:rsidRDefault="00010BF9">
            <w:pPr>
              <w:spacing w:line="360" w:lineRule="exact"/>
              <w:ind w:firstLineChars="0" w:firstLine="0"/>
              <w:jc w:val="center"/>
              <w:rPr>
                <w:kern w:val="2"/>
                <w:sz w:val="21"/>
                <w:szCs w:val="21"/>
              </w:rPr>
            </w:pPr>
            <w:r>
              <w:rPr>
                <w:kern w:val="2"/>
                <w:sz w:val="21"/>
                <w:szCs w:val="21"/>
              </w:rPr>
              <w:t>采用选用低噪声设备，消声、吸声、隔声、减振等治理措施</w:t>
            </w:r>
          </w:p>
        </w:tc>
        <w:tc>
          <w:tcPr>
            <w:tcW w:w="567" w:type="pct"/>
            <w:vAlign w:val="center"/>
          </w:tcPr>
          <w:p w14:paraId="5E0D853B" w14:textId="77777777" w:rsidR="003E78AB" w:rsidRDefault="00010BF9">
            <w:pPr>
              <w:spacing w:line="360" w:lineRule="exact"/>
              <w:ind w:firstLineChars="0" w:firstLine="0"/>
              <w:jc w:val="center"/>
              <w:rPr>
                <w:kern w:val="2"/>
                <w:sz w:val="21"/>
                <w:szCs w:val="21"/>
              </w:rPr>
            </w:pPr>
            <w:r>
              <w:rPr>
                <w:rFonts w:hint="eastAsia"/>
                <w:kern w:val="2"/>
                <w:sz w:val="21"/>
                <w:szCs w:val="21"/>
              </w:rPr>
              <w:t>15</w:t>
            </w:r>
          </w:p>
        </w:tc>
      </w:tr>
      <w:tr w:rsidR="003E78AB" w14:paraId="640A142C" w14:textId="77777777">
        <w:trPr>
          <w:trHeight w:val="471"/>
          <w:jc w:val="center"/>
        </w:trPr>
        <w:tc>
          <w:tcPr>
            <w:tcW w:w="363" w:type="pct"/>
            <w:vMerge/>
            <w:vAlign w:val="center"/>
          </w:tcPr>
          <w:p w14:paraId="3C20A5AB" w14:textId="77777777" w:rsidR="003E78AB" w:rsidRDefault="003E78AB">
            <w:pPr>
              <w:spacing w:line="360" w:lineRule="exact"/>
              <w:ind w:firstLineChars="0" w:firstLine="0"/>
              <w:jc w:val="center"/>
              <w:rPr>
                <w:kern w:val="2"/>
                <w:sz w:val="21"/>
                <w:szCs w:val="21"/>
              </w:rPr>
            </w:pPr>
          </w:p>
        </w:tc>
        <w:tc>
          <w:tcPr>
            <w:tcW w:w="1109" w:type="pct"/>
            <w:gridSpan w:val="2"/>
            <w:vMerge w:val="restart"/>
            <w:vAlign w:val="center"/>
          </w:tcPr>
          <w:p w14:paraId="4B8059E0" w14:textId="77777777" w:rsidR="003E78AB" w:rsidRDefault="00010BF9">
            <w:pPr>
              <w:spacing w:line="360" w:lineRule="exact"/>
              <w:ind w:firstLineChars="0" w:firstLine="0"/>
              <w:jc w:val="center"/>
              <w:rPr>
                <w:kern w:val="2"/>
                <w:sz w:val="21"/>
                <w:szCs w:val="21"/>
              </w:rPr>
            </w:pPr>
            <w:r>
              <w:rPr>
                <w:kern w:val="2"/>
                <w:sz w:val="21"/>
                <w:szCs w:val="21"/>
              </w:rPr>
              <w:t>风险应急设施</w:t>
            </w:r>
          </w:p>
        </w:tc>
        <w:tc>
          <w:tcPr>
            <w:tcW w:w="2959" w:type="pct"/>
            <w:vAlign w:val="center"/>
          </w:tcPr>
          <w:p w14:paraId="1604CE87" w14:textId="77777777" w:rsidR="003E78AB" w:rsidRDefault="00010BF9">
            <w:pPr>
              <w:spacing w:line="360" w:lineRule="exact"/>
              <w:ind w:firstLineChars="0" w:firstLine="0"/>
              <w:jc w:val="center"/>
              <w:rPr>
                <w:kern w:val="2"/>
                <w:sz w:val="21"/>
                <w:szCs w:val="21"/>
              </w:rPr>
            </w:pPr>
            <w:r>
              <w:rPr>
                <w:kern w:val="2"/>
                <w:sz w:val="21"/>
                <w:szCs w:val="21"/>
              </w:rPr>
              <w:t>编制突发环境事件应急预案</w:t>
            </w:r>
          </w:p>
        </w:tc>
        <w:tc>
          <w:tcPr>
            <w:tcW w:w="567" w:type="pct"/>
            <w:vAlign w:val="center"/>
          </w:tcPr>
          <w:p w14:paraId="5173D6F3" w14:textId="77777777" w:rsidR="003E78AB" w:rsidRDefault="00010BF9">
            <w:pPr>
              <w:spacing w:line="360" w:lineRule="exact"/>
              <w:ind w:firstLineChars="0" w:firstLine="0"/>
              <w:jc w:val="center"/>
              <w:rPr>
                <w:kern w:val="2"/>
                <w:sz w:val="21"/>
                <w:szCs w:val="21"/>
              </w:rPr>
            </w:pPr>
            <w:r>
              <w:rPr>
                <w:rFonts w:hint="eastAsia"/>
                <w:kern w:val="2"/>
                <w:sz w:val="21"/>
                <w:szCs w:val="21"/>
              </w:rPr>
              <w:t>5</w:t>
            </w:r>
          </w:p>
        </w:tc>
      </w:tr>
      <w:tr w:rsidR="003E78AB" w14:paraId="6763C302" w14:textId="77777777">
        <w:trPr>
          <w:trHeight w:val="471"/>
          <w:jc w:val="center"/>
        </w:trPr>
        <w:tc>
          <w:tcPr>
            <w:tcW w:w="363" w:type="pct"/>
            <w:vMerge/>
            <w:vAlign w:val="center"/>
          </w:tcPr>
          <w:p w14:paraId="71B4CB66" w14:textId="77777777" w:rsidR="003E78AB" w:rsidRDefault="003E78AB">
            <w:pPr>
              <w:spacing w:line="360" w:lineRule="exact"/>
              <w:ind w:firstLineChars="0" w:firstLine="0"/>
              <w:jc w:val="center"/>
              <w:rPr>
                <w:kern w:val="2"/>
                <w:sz w:val="21"/>
                <w:szCs w:val="21"/>
              </w:rPr>
            </w:pPr>
          </w:p>
        </w:tc>
        <w:tc>
          <w:tcPr>
            <w:tcW w:w="1109" w:type="pct"/>
            <w:gridSpan w:val="2"/>
            <w:vMerge/>
            <w:vAlign w:val="center"/>
          </w:tcPr>
          <w:p w14:paraId="3FEC0C14" w14:textId="77777777" w:rsidR="003E78AB" w:rsidRDefault="003E78AB">
            <w:pPr>
              <w:spacing w:line="360" w:lineRule="exact"/>
              <w:ind w:firstLineChars="0" w:firstLine="0"/>
              <w:jc w:val="center"/>
              <w:rPr>
                <w:kern w:val="2"/>
                <w:sz w:val="21"/>
                <w:szCs w:val="21"/>
              </w:rPr>
            </w:pPr>
          </w:p>
        </w:tc>
        <w:tc>
          <w:tcPr>
            <w:tcW w:w="2959" w:type="pct"/>
            <w:vAlign w:val="center"/>
          </w:tcPr>
          <w:p w14:paraId="5D983733" w14:textId="77777777" w:rsidR="003E78AB" w:rsidRDefault="00010BF9">
            <w:pPr>
              <w:spacing w:line="360" w:lineRule="exact"/>
              <w:ind w:firstLineChars="0" w:firstLine="0"/>
              <w:jc w:val="center"/>
              <w:rPr>
                <w:kern w:val="2"/>
                <w:sz w:val="21"/>
                <w:szCs w:val="21"/>
              </w:rPr>
            </w:pPr>
            <w:r>
              <w:rPr>
                <w:kern w:val="2"/>
                <w:sz w:val="21"/>
                <w:szCs w:val="21"/>
              </w:rPr>
              <w:t>建立</w:t>
            </w:r>
            <w:r>
              <w:rPr>
                <w:kern w:val="2"/>
                <w:sz w:val="21"/>
                <w:szCs w:val="21"/>
              </w:rPr>
              <w:t>“</w:t>
            </w:r>
            <w:r>
              <w:rPr>
                <w:kern w:val="2"/>
                <w:sz w:val="21"/>
                <w:szCs w:val="21"/>
              </w:rPr>
              <w:t>单元</w:t>
            </w:r>
            <w:r>
              <w:rPr>
                <w:kern w:val="2"/>
                <w:sz w:val="21"/>
                <w:szCs w:val="21"/>
              </w:rPr>
              <w:t>—</w:t>
            </w:r>
            <w:r>
              <w:rPr>
                <w:kern w:val="2"/>
                <w:sz w:val="21"/>
                <w:szCs w:val="21"/>
              </w:rPr>
              <w:t>厂区</w:t>
            </w:r>
            <w:r>
              <w:rPr>
                <w:kern w:val="2"/>
                <w:sz w:val="21"/>
                <w:szCs w:val="21"/>
              </w:rPr>
              <w:t>—</w:t>
            </w:r>
            <w:r>
              <w:rPr>
                <w:kern w:val="2"/>
                <w:sz w:val="21"/>
                <w:szCs w:val="21"/>
              </w:rPr>
              <w:t>园区</w:t>
            </w:r>
            <w:r>
              <w:rPr>
                <w:kern w:val="2"/>
                <w:sz w:val="21"/>
                <w:szCs w:val="21"/>
              </w:rPr>
              <w:t>”</w:t>
            </w:r>
            <w:r>
              <w:rPr>
                <w:kern w:val="2"/>
                <w:sz w:val="21"/>
                <w:szCs w:val="21"/>
              </w:rPr>
              <w:t>环境风险防控体系，</w:t>
            </w:r>
            <w:r>
              <w:rPr>
                <w:rFonts w:hint="eastAsia"/>
                <w:kern w:val="2"/>
                <w:sz w:val="21"/>
                <w:szCs w:val="21"/>
              </w:rPr>
              <w:t>液体库和成品罐区域为半地下式，</w:t>
            </w:r>
            <w:r>
              <w:rPr>
                <w:kern w:val="2"/>
                <w:sz w:val="21"/>
                <w:szCs w:val="21"/>
              </w:rPr>
              <w:t>配</w:t>
            </w:r>
            <w:r>
              <w:rPr>
                <w:rFonts w:hint="eastAsia"/>
                <w:kern w:val="2"/>
                <w:sz w:val="21"/>
                <w:szCs w:val="21"/>
              </w:rPr>
              <w:t>套应急泵，火灾自动报警系统、消防设施，应急救援器材及检测仪器，应急救援、防雷电、培训、演练</w:t>
            </w:r>
            <w:r>
              <w:rPr>
                <w:kern w:val="2"/>
                <w:sz w:val="21"/>
                <w:szCs w:val="21"/>
              </w:rPr>
              <w:t>。</w:t>
            </w:r>
          </w:p>
        </w:tc>
        <w:tc>
          <w:tcPr>
            <w:tcW w:w="567" w:type="pct"/>
            <w:vAlign w:val="center"/>
          </w:tcPr>
          <w:p w14:paraId="338A9ADC" w14:textId="77777777" w:rsidR="003E78AB" w:rsidRDefault="00010BF9">
            <w:pPr>
              <w:spacing w:line="360" w:lineRule="exact"/>
              <w:ind w:firstLineChars="0" w:firstLine="0"/>
              <w:jc w:val="center"/>
              <w:rPr>
                <w:kern w:val="2"/>
                <w:sz w:val="21"/>
                <w:szCs w:val="21"/>
              </w:rPr>
            </w:pPr>
            <w:r>
              <w:rPr>
                <w:rFonts w:hint="eastAsia"/>
                <w:kern w:val="2"/>
                <w:sz w:val="21"/>
                <w:szCs w:val="21"/>
              </w:rPr>
              <w:t>1192</w:t>
            </w:r>
          </w:p>
        </w:tc>
      </w:tr>
      <w:tr w:rsidR="003E78AB" w14:paraId="044D315D" w14:textId="77777777">
        <w:trPr>
          <w:trHeight w:val="471"/>
          <w:jc w:val="center"/>
        </w:trPr>
        <w:tc>
          <w:tcPr>
            <w:tcW w:w="363" w:type="pct"/>
            <w:vMerge/>
            <w:vAlign w:val="center"/>
          </w:tcPr>
          <w:p w14:paraId="793D22CD" w14:textId="77777777" w:rsidR="003E78AB" w:rsidRDefault="003E78AB">
            <w:pPr>
              <w:spacing w:line="360" w:lineRule="exact"/>
              <w:ind w:firstLineChars="0" w:firstLine="0"/>
              <w:jc w:val="center"/>
              <w:rPr>
                <w:kern w:val="2"/>
                <w:sz w:val="21"/>
                <w:szCs w:val="21"/>
              </w:rPr>
            </w:pPr>
          </w:p>
        </w:tc>
        <w:tc>
          <w:tcPr>
            <w:tcW w:w="1109" w:type="pct"/>
            <w:gridSpan w:val="2"/>
            <w:vMerge/>
            <w:vAlign w:val="center"/>
          </w:tcPr>
          <w:p w14:paraId="396D1513" w14:textId="77777777" w:rsidR="003E78AB" w:rsidRDefault="003E78AB">
            <w:pPr>
              <w:spacing w:line="360" w:lineRule="exact"/>
              <w:ind w:firstLineChars="0" w:firstLine="0"/>
              <w:jc w:val="center"/>
              <w:rPr>
                <w:kern w:val="2"/>
                <w:sz w:val="21"/>
                <w:szCs w:val="21"/>
              </w:rPr>
            </w:pPr>
          </w:p>
        </w:tc>
        <w:tc>
          <w:tcPr>
            <w:tcW w:w="2959" w:type="pct"/>
            <w:vAlign w:val="center"/>
          </w:tcPr>
          <w:p w14:paraId="28CE4475" w14:textId="77777777" w:rsidR="003E78AB" w:rsidRDefault="00010BF9">
            <w:pPr>
              <w:spacing w:line="360" w:lineRule="exact"/>
              <w:ind w:firstLineChars="0" w:firstLine="0"/>
              <w:jc w:val="center"/>
              <w:rPr>
                <w:kern w:val="2"/>
                <w:sz w:val="21"/>
                <w:szCs w:val="21"/>
              </w:rPr>
            </w:pPr>
            <w:r>
              <w:rPr>
                <w:kern w:val="2"/>
                <w:sz w:val="21"/>
                <w:szCs w:val="21"/>
              </w:rPr>
              <w:t>厂区</w:t>
            </w:r>
            <w:r>
              <w:rPr>
                <w:rFonts w:hint="eastAsia"/>
                <w:kern w:val="2"/>
                <w:sz w:val="21"/>
                <w:szCs w:val="21"/>
              </w:rPr>
              <w:t>东南处</w:t>
            </w:r>
            <w:r>
              <w:rPr>
                <w:kern w:val="2"/>
                <w:sz w:val="21"/>
                <w:szCs w:val="21"/>
              </w:rPr>
              <w:t>设置一座</w:t>
            </w:r>
            <w:r>
              <w:rPr>
                <w:rFonts w:hint="eastAsia"/>
                <w:kern w:val="2"/>
                <w:sz w:val="21"/>
                <w:szCs w:val="21"/>
              </w:rPr>
              <w:t>9</w:t>
            </w:r>
            <w:r>
              <w:rPr>
                <w:kern w:val="2"/>
                <w:sz w:val="21"/>
                <w:szCs w:val="21"/>
              </w:rPr>
              <w:t>00m</w:t>
            </w:r>
            <w:r>
              <w:rPr>
                <w:kern w:val="2"/>
                <w:sz w:val="21"/>
                <w:szCs w:val="21"/>
                <w:vertAlign w:val="superscript"/>
              </w:rPr>
              <w:t>3</w:t>
            </w:r>
            <w:r>
              <w:rPr>
                <w:kern w:val="2"/>
                <w:sz w:val="21"/>
                <w:szCs w:val="21"/>
              </w:rPr>
              <w:t>事故池</w:t>
            </w:r>
            <w:r>
              <w:rPr>
                <w:rFonts w:hint="eastAsia"/>
                <w:kern w:val="2"/>
                <w:sz w:val="21"/>
                <w:szCs w:val="21"/>
              </w:rPr>
              <w:t>和一座</w:t>
            </w:r>
            <w:r>
              <w:rPr>
                <w:rFonts w:hint="eastAsia"/>
                <w:kern w:val="2"/>
                <w:sz w:val="21"/>
                <w:szCs w:val="21"/>
              </w:rPr>
              <w:t>110m</w:t>
            </w:r>
            <w:r>
              <w:rPr>
                <w:rFonts w:hint="eastAsia"/>
                <w:kern w:val="2"/>
                <w:sz w:val="21"/>
                <w:szCs w:val="21"/>
                <w:vertAlign w:val="superscript"/>
              </w:rPr>
              <w:t>3</w:t>
            </w:r>
            <w:r>
              <w:rPr>
                <w:rFonts w:hint="eastAsia"/>
                <w:kern w:val="2"/>
                <w:sz w:val="21"/>
                <w:szCs w:val="21"/>
              </w:rPr>
              <w:t>初期雨水收集池</w:t>
            </w:r>
          </w:p>
        </w:tc>
        <w:tc>
          <w:tcPr>
            <w:tcW w:w="567" w:type="pct"/>
            <w:vAlign w:val="center"/>
          </w:tcPr>
          <w:p w14:paraId="0C250C15" w14:textId="77777777" w:rsidR="003E78AB" w:rsidRDefault="00010BF9">
            <w:pPr>
              <w:spacing w:line="360" w:lineRule="exact"/>
              <w:ind w:firstLineChars="0" w:firstLine="0"/>
              <w:jc w:val="center"/>
              <w:rPr>
                <w:kern w:val="2"/>
                <w:sz w:val="21"/>
                <w:szCs w:val="21"/>
              </w:rPr>
            </w:pPr>
            <w:r>
              <w:rPr>
                <w:rFonts w:hint="eastAsia"/>
                <w:kern w:val="2"/>
                <w:sz w:val="21"/>
                <w:szCs w:val="21"/>
              </w:rPr>
              <w:t>550</w:t>
            </w:r>
          </w:p>
        </w:tc>
      </w:tr>
      <w:tr w:rsidR="003E78AB" w14:paraId="2185B2FE" w14:textId="77777777">
        <w:trPr>
          <w:trHeight w:val="471"/>
          <w:jc w:val="center"/>
        </w:trPr>
        <w:tc>
          <w:tcPr>
            <w:tcW w:w="4432" w:type="pct"/>
            <w:gridSpan w:val="4"/>
            <w:vAlign w:val="center"/>
          </w:tcPr>
          <w:p w14:paraId="206B64F3" w14:textId="77777777" w:rsidR="003E78AB" w:rsidRDefault="00010BF9">
            <w:pPr>
              <w:spacing w:line="360" w:lineRule="exact"/>
              <w:ind w:firstLineChars="0" w:firstLine="0"/>
              <w:jc w:val="center"/>
              <w:rPr>
                <w:kern w:val="2"/>
                <w:sz w:val="21"/>
                <w:szCs w:val="21"/>
              </w:rPr>
            </w:pPr>
            <w:r>
              <w:rPr>
                <w:kern w:val="2"/>
                <w:sz w:val="21"/>
                <w:szCs w:val="21"/>
              </w:rPr>
              <w:t>合计</w:t>
            </w:r>
          </w:p>
        </w:tc>
        <w:tc>
          <w:tcPr>
            <w:tcW w:w="567" w:type="pct"/>
            <w:vAlign w:val="center"/>
          </w:tcPr>
          <w:p w14:paraId="530C7F8A" w14:textId="77777777" w:rsidR="003E78AB" w:rsidRDefault="00010BF9">
            <w:pPr>
              <w:spacing w:line="360" w:lineRule="exact"/>
              <w:ind w:firstLineChars="0" w:firstLine="0"/>
              <w:jc w:val="center"/>
              <w:rPr>
                <w:kern w:val="2"/>
                <w:sz w:val="21"/>
                <w:szCs w:val="21"/>
              </w:rPr>
            </w:pPr>
            <w:r>
              <w:rPr>
                <w:rFonts w:hint="eastAsia"/>
                <w:kern w:val="2"/>
                <w:sz w:val="21"/>
                <w:szCs w:val="21"/>
              </w:rPr>
              <w:t>2595</w:t>
            </w:r>
          </w:p>
        </w:tc>
      </w:tr>
    </w:tbl>
    <w:p w14:paraId="2130764B" w14:textId="77777777" w:rsidR="003E78AB" w:rsidRDefault="00010BF9">
      <w:pPr>
        <w:pStyle w:val="24"/>
        <w:keepNext w:val="0"/>
        <w:keepLines w:val="0"/>
        <w:topLinePunct/>
        <w:spacing w:before="120"/>
        <w:rPr>
          <w:rFonts w:cs="Times New Roman"/>
        </w:rPr>
      </w:pPr>
      <w:bookmarkStart w:id="482" w:name="_Toc20036"/>
      <w:bookmarkStart w:id="483" w:name="_Toc1583"/>
      <w:r>
        <w:rPr>
          <w:rFonts w:cs="Times New Roman" w:hint="eastAsia"/>
        </w:rPr>
        <w:t>8.2</w:t>
      </w:r>
      <w:r>
        <w:rPr>
          <w:rFonts w:cs="Times New Roman"/>
        </w:rPr>
        <w:t>环境效益分析</w:t>
      </w:r>
      <w:bookmarkEnd w:id="482"/>
      <w:bookmarkEnd w:id="483"/>
    </w:p>
    <w:p w14:paraId="5B36E1AD"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8</w:t>
      </w:r>
      <w:r>
        <w:rPr>
          <w:rFonts w:cs="Times New Roman"/>
          <w:sz w:val="28"/>
          <w:szCs w:val="28"/>
        </w:rPr>
        <w:t>.2.1</w:t>
      </w:r>
      <w:r>
        <w:rPr>
          <w:rFonts w:cs="Times New Roman"/>
          <w:sz w:val="28"/>
          <w:szCs w:val="28"/>
        </w:rPr>
        <w:t>经济效益分析</w:t>
      </w:r>
    </w:p>
    <w:p w14:paraId="637CA028" w14:textId="77777777" w:rsidR="003E78AB" w:rsidRDefault="00010BF9">
      <w:pPr>
        <w:ind w:firstLine="480"/>
        <w:rPr>
          <w:kern w:val="28"/>
        </w:rPr>
      </w:pPr>
      <w:r>
        <w:rPr>
          <w:kern w:val="28"/>
        </w:rPr>
        <w:t>项目环保投资为</w:t>
      </w:r>
      <w:r>
        <w:rPr>
          <w:rFonts w:hint="eastAsia"/>
          <w:kern w:val="28"/>
        </w:rPr>
        <w:t>2595</w:t>
      </w:r>
      <w:r>
        <w:rPr>
          <w:kern w:val="28"/>
        </w:rPr>
        <w:t>万元，投入资金用于环境保护后，可以取得如下环境效益：</w:t>
      </w:r>
    </w:p>
    <w:p w14:paraId="3F191777" w14:textId="77777777" w:rsidR="003E78AB" w:rsidRDefault="00010BF9">
      <w:pPr>
        <w:ind w:firstLine="480"/>
        <w:rPr>
          <w:kern w:val="28"/>
        </w:rPr>
      </w:pPr>
      <w:r>
        <w:rPr>
          <w:kern w:val="28"/>
        </w:rPr>
        <w:t>（</w:t>
      </w:r>
      <w:r>
        <w:rPr>
          <w:kern w:val="28"/>
        </w:rPr>
        <w:t>1</w:t>
      </w:r>
      <w:r>
        <w:rPr>
          <w:kern w:val="28"/>
        </w:rPr>
        <w:t>）废气处理设施投入使用后，减少了废气污染物的排放量，确保达标排放。</w:t>
      </w:r>
    </w:p>
    <w:p w14:paraId="40A61083" w14:textId="77777777" w:rsidR="003E78AB" w:rsidRDefault="00010BF9">
      <w:pPr>
        <w:ind w:firstLine="480"/>
        <w:rPr>
          <w:kern w:val="28"/>
        </w:rPr>
      </w:pPr>
      <w:r>
        <w:rPr>
          <w:kern w:val="28"/>
        </w:rPr>
        <w:t>（</w:t>
      </w:r>
      <w:r>
        <w:rPr>
          <w:kern w:val="28"/>
        </w:rPr>
        <w:t>2</w:t>
      </w:r>
      <w:r>
        <w:rPr>
          <w:kern w:val="28"/>
        </w:rPr>
        <w:t>）</w:t>
      </w:r>
      <w:r>
        <w:t>工艺废气处理废水</w:t>
      </w:r>
      <w:r>
        <w:rPr>
          <w:rFonts w:hint="eastAsia"/>
        </w:rPr>
        <w:t>经蒸发冷凝后回用于淋洗补水配碱，实验废水经生产车间</w:t>
      </w:r>
      <w:r>
        <w:rPr>
          <w:rFonts w:hint="eastAsia"/>
        </w:rPr>
        <w:t>15m</w:t>
      </w:r>
      <w:r>
        <w:rPr>
          <w:rFonts w:hint="eastAsia"/>
          <w:vertAlign w:val="superscript"/>
        </w:rPr>
        <w:t>3</w:t>
      </w:r>
      <w:r>
        <w:rPr>
          <w:rFonts w:hint="eastAsia"/>
        </w:rPr>
        <w:t>电解液事故罐收集后回用于生产，地面冲洗水、</w:t>
      </w:r>
      <w:r>
        <w:rPr>
          <w:kern w:val="2"/>
        </w:rPr>
        <w:t>软水制备及纯水制备排浓水、锅炉排水经厂内污水管道收集，生活污水经预处理后，一并经厂区总排口排入园区污水厂进一步处理</w:t>
      </w:r>
      <w:r>
        <w:rPr>
          <w:kern w:val="28"/>
        </w:rPr>
        <w:t>，减少了对废水外排对外环境的影响。</w:t>
      </w:r>
    </w:p>
    <w:p w14:paraId="3DD45B17" w14:textId="77777777" w:rsidR="003E78AB" w:rsidRDefault="00010BF9">
      <w:pPr>
        <w:ind w:firstLine="480"/>
        <w:rPr>
          <w:kern w:val="28"/>
        </w:rPr>
      </w:pPr>
      <w:r>
        <w:rPr>
          <w:kern w:val="28"/>
        </w:rPr>
        <w:t>（</w:t>
      </w:r>
      <w:r>
        <w:rPr>
          <w:kern w:val="28"/>
        </w:rPr>
        <w:t>3</w:t>
      </w:r>
      <w:r>
        <w:rPr>
          <w:kern w:val="28"/>
        </w:rPr>
        <w:t>）减少了无组织废气的排放量。</w:t>
      </w:r>
    </w:p>
    <w:p w14:paraId="16B7519B" w14:textId="77777777" w:rsidR="003E78AB" w:rsidRDefault="00010BF9">
      <w:pPr>
        <w:ind w:firstLine="480"/>
        <w:rPr>
          <w:kern w:val="28"/>
        </w:rPr>
      </w:pPr>
      <w:r>
        <w:rPr>
          <w:kern w:val="28"/>
        </w:rPr>
        <w:t>（</w:t>
      </w:r>
      <w:r>
        <w:rPr>
          <w:kern w:val="28"/>
        </w:rPr>
        <w:t>4</w:t>
      </w:r>
      <w:r>
        <w:rPr>
          <w:kern w:val="28"/>
        </w:rPr>
        <w:t>）固体废物得到了合理处置，处置率为</w:t>
      </w:r>
      <w:r>
        <w:rPr>
          <w:kern w:val="28"/>
        </w:rPr>
        <w:t>100%</w:t>
      </w:r>
      <w:r>
        <w:rPr>
          <w:kern w:val="28"/>
        </w:rPr>
        <w:t>。</w:t>
      </w:r>
    </w:p>
    <w:p w14:paraId="11C26F65" w14:textId="77777777" w:rsidR="003E78AB" w:rsidRDefault="00010BF9">
      <w:pPr>
        <w:ind w:firstLine="480"/>
        <w:rPr>
          <w:kern w:val="28"/>
        </w:rPr>
      </w:pPr>
      <w:r>
        <w:rPr>
          <w:kern w:val="28"/>
        </w:rPr>
        <w:t>（</w:t>
      </w:r>
      <w:r>
        <w:rPr>
          <w:kern w:val="28"/>
        </w:rPr>
        <w:t>5</w:t>
      </w:r>
      <w:r>
        <w:rPr>
          <w:kern w:val="28"/>
        </w:rPr>
        <w:t>）噪声污染治理设施降低了噪声排放。</w:t>
      </w:r>
    </w:p>
    <w:p w14:paraId="6B381F20" w14:textId="77777777" w:rsidR="003E78AB" w:rsidRDefault="00010BF9">
      <w:pPr>
        <w:ind w:firstLine="480"/>
        <w:rPr>
          <w:kern w:val="28"/>
        </w:rPr>
      </w:pPr>
      <w:r>
        <w:rPr>
          <w:kern w:val="28"/>
        </w:rPr>
        <w:t>（</w:t>
      </w:r>
      <w:r>
        <w:rPr>
          <w:kern w:val="28"/>
        </w:rPr>
        <w:t>6</w:t>
      </w:r>
      <w:r>
        <w:rPr>
          <w:kern w:val="28"/>
        </w:rPr>
        <w:t>）环境风险防范及应急措施降低了环境风险。</w:t>
      </w:r>
    </w:p>
    <w:p w14:paraId="630EF99F" w14:textId="77777777" w:rsidR="003E78AB" w:rsidRDefault="00010BF9">
      <w:pPr>
        <w:ind w:firstLine="480"/>
        <w:rPr>
          <w:kern w:val="28"/>
        </w:rPr>
      </w:pPr>
      <w:r>
        <w:rPr>
          <w:kern w:val="28"/>
        </w:rPr>
        <w:t>本项目环保综合整治的实施，可实现污染物的减量化、资源化和无害化。环保综合整治工作可将本项目的污染降低到最低限度，产生的环境效益较明显。</w:t>
      </w:r>
    </w:p>
    <w:p w14:paraId="508B3149"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8</w:t>
      </w:r>
      <w:r>
        <w:rPr>
          <w:rFonts w:cs="Times New Roman"/>
          <w:sz w:val="28"/>
          <w:szCs w:val="28"/>
        </w:rPr>
        <w:t>.2.2</w:t>
      </w:r>
      <w:r>
        <w:rPr>
          <w:rFonts w:cs="Times New Roman"/>
          <w:sz w:val="28"/>
          <w:szCs w:val="28"/>
        </w:rPr>
        <w:t>社会效益分析</w:t>
      </w:r>
    </w:p>
    <w:p w14:paraId="06EEA646" w14:textId="77777777" w:rsidR="003E78AB" w:rsidRDefault="00010BF9">
      <w:pPr>
        <w:ind w:firstLine="480"/>
        <w:rPr>
          <w:kern w:val="28"/>
        </w:rPr>
      </w:pPr>
      <w:r>
        <w:rPr>
          <w:kern w:val="28"/>
        </w:rPr>
        <w:t>社会效益是指项目对实现地方社会发展目标所作贡献与影响。社会效益分析作为一种评价方法，它包括对项目与当地社会环境相互影响的分析，以考察项目的社会可行性，保证项目顺利实施，提高投资效益，促进社会发展。</w:t>
      </w:r>
    </w:p>
    <w:p w14:paraId="0C6D7C5D" w14:textId="77777777" w:rsidR="003E78AB" w:rsidRDefault="00010BF9">
      <w:pPr>
        <w:ind w:firstLine="480"/>
        <w:rPr>
          <w:kern w:val="28"/>
        </w:rPr>
      </w:pPr>
      <w:r>
        <w:rPr>
          <w:kern w:val="28"/>
        </w:rPr>
        <w:t>工程的建设对当地发展具有明显的促进作用，给当地的经济发展注入活力，可以解决当地部分居民的就业问题，改善当地居民的生活水平。同时促进当地经济建设发展和繁荣。因此工程的建设具有较高的社会效益。</w:t>
      </w:r>
    </w:p>
    <w:p w14:paraId="5F48A059" w14:textId="77777777" w:rsidR="003E78AB" w:rsidRDefault="00010BF9">
      <w:pPr>
        <w:pStyle w:val="24"/>
        <w:keepNext w:val="0"/>
        <w:keepLines w:val="0"/>
        <w:topLinePunct/>
        <w:spacing w:before="120"/>
        <w:rPr>
          <w:rFonts w:cs="Times New Roman"/>
        </w:rPr>
      </w:pPr>
      <w:bookmarkStart w:id="484" w:name="_Toc14227"/>
      <w:bookmarkStart w:id="485" w:name="_Toc9574"/>
      <w:r>
        <w:rPr>
          <w:rFonts w:cs="Times New Roman" w:hint="eastAsia"/>
        </w:rPr>
        <w:t>8.3</w:t>
      </w:r>
      <w:r>
        <w:rPr>
          <w:rFonts w:cs="Times New Roman"/>
        </w:rPr>
        <w:t>环境经济损益分析结论</w:t>
      </w:r>
      <w:bookmarkEnd w:id="484"/>
      <w:bookmarkEnd w:id="485"/>
    </w:p>
    <w:p w14:paraId="003C68C0" w14:textId="77777777" w:rsidR="003E78AB" w:rsidRDefault="00010BF9">
      <w:pPr>
        <w:ind w:firstLine="480"/>
        <w:rPr>
          <w:kern w:val="28"/>
        </w:rPr>
      </w:pPr>
      <w:r>
        <w:rPr>
          <w:kern w:val="28"/>
        </w:rPr>
        <w:t>本项目环保投资为</w:t>
      </w:r>
      <w:r>
        <w:rPr>
          <w:rFonts w:hint="eastAsia"/>
          <w:kern w:val="28"/>
        </w:rPr>
        <w:t>2595</w:t>
      </w:r>
      <w:r>
        <w:rPr>
          <w:kern w:val="28"/>
        </w:rPr>
        <w:t>万元，约占工程总投资的</w:t>
      </w:r>
      <w:r>
        <w:rPr>
          <w:kern w:val="28"/>
        </w:rPr>
        <w:t>5.33%</w:t>
      </w:r>
      <w:r>
        <w:rPr>
          <w:kern w:val="28"/>
        </w:rPr>
        <w:t>。由于项目建设对环境影响是复杂的，造成的</w:t>
      </w:r>
      <w:r>
        <w:rPr>
          <w:kern w:val="28"/>
        </w:rPr>
        <w:t>环境损失是多方面的，有些损失是直接可以量化计算，有些损失是难以将其货币化的，本项目主要污染是在运营期，因此，本评价环境损益分析仅针对运营期进行简要分析。</w:t>
      </w:r>
    </w:p>
    <w:p w14:paraId="288B4F3D" w14:textId="77777777" w:rsidR="003E78AB" w:rsidRDefault="00010BF9">
      <w:pPr>
        <w:ind w:firstLine="480"/>
        <w:rPr>
          <w:kern w:val="28"/>
        </w:rPr>
      </w:pPr>
      <w:r>
        <w:rPr>
          <w:kern w:val="28"/>
        </w:rPr>
        <w:t>随着企业环保设施的落实，项目废气、废水、厂界噪声、固废都能实现达标排放，通过场内小循环经济的实现，有效减少了污染物的排放量，在落实</w:t>
      </w:r>
      <w:r>
        <w:rPr>
          <w:kern w:val="28"/>
        </w:rPr>
        <w:t>“</w:t>
      </w:r>
      <w:r>
        <w:rPr>
          <w:kern w:val="28"/>
        </w:rPr>
        <w:t>三同时</w:t>
      </w:r>
      <w:r>
        <w:rPr>
          <w:kern w:val="28"/>
        </w:rPr>
        <w:t>”</w:t>
      </w:r>
      <w:r>
        <w:rPr>
          <w:kern w:val="28"/>
        </w:rPr>
        <w:t>后，污染治理设施的运行使污染物排放量大大降低，项目环保投入的环境效益显著，可以保证项目投产后，厂址周围的大气环境和区域水环境不致恶化，促进了企业生产的良性循环，为企业发展的长期稳定提供了可靠的保证。</w:t>
      </w:r>
    </w:p>
    <w:p w14:paraId="036BA790" w14:textId="77777777" w:rsidR="003E78AB" w:rsidRDefault="00010BF9">
      <w:pPr>
        <w:ind w:firstLine="480"/>
        <w:rPr>
          <w:kern w:val="28"/>
        </w:rPr>
      </w:pPr>
      <w:r>
        <w:rPr>
          <w:kern w:val="28"/>
        </w:rPr>
        <w:t>项目环保投资经济效</w:t>
      </w:r>
      <w:r>
        <w:rPr>
          <w:kern w:val="28"/>
        </w:rPr>
        <w:t>益较为明显，同时具有较好的环境效益和社会效益，做到了污染物达标排放，减轻了对环境的污染，保护了人群健康。因此，本评价认为建设项目环保投资产生的环境效益和社会效益较为明显，环保投资是可行、合理和有价值的。</w:t>
      </w:r>
    </w:p>
    <w:p w14:paraId="5407FD5A" w14:textId="77777777" w:rsidR="003E78AB" w:rsidRDefault="00010BF9">
      <w:pPr>
        <w:ind w:firstLine="480"/>
      </w:pPr>
      <w:r>
        <w:br w:type="page"/>
      </w:r>
    </w:p>
    <w:p w14:paraId="518F4ED2" w14:textId="77777777" w:rsidR="003E78AB" w:rsidRDefault="00010BF9">
      <w:pPr>
        <w:pStyle w:val="10"/>
        <w:keepNext w:val="0"/>
        <w:spacing w:before="120" w:after="120" w:line="520" w:lineRule="exact"/>
        <w:jc w:val="center"/>
        <w:rPr>
          <w:rFonts w:eastAsia="黑体"/>
          <w:bCs/>
          <w:snapToGrid w:val="0"/>
          <w:spacing w:val="2"/>
          <w:kern w:val="44"/>
          <w:sz w:val="35"/>
          <w:szCs w:val="35"/>
        </w:rPr>
      </w:pPr>
      <w:bookmarkStart w:id="486" w:name="_Toc2778"/>
      <w:bookmarkStart w:id="487" w:name="_Toc929"/>
      <w:r>
        <w:rPr>
          <w:rFonts w:eastAsia="黑体" w:hint="eastAsia"/>
          <w:bCs/>
          <w:snapToGrid w:val="0"/>
          <w:spacing w:val="2"/>
          <w:kern w:val="44"/>
          <w:sz w:val="35"/>
          <w:szCs w:val="35"/>
        </w:rPr>
        <w:t>第九章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环境管理与</w:t>
      </w:r>
      <w:bookmarkEnd w:id="479"/>
      <w:r>
        <w:rPr>
          <w:rFonts w:eastAsia="黑体"/>
          <w:bCs/>
          <w:snapToGrid w:val="0"/>
          <w:spacing w:val="2"/>
          <w:kern w:val="44"/>
          <w:sz w:val="35"/>
          <w:szCs w:val="35"/>
        </w:rPr>
        <w:t>监测计划</w:t>
      </w:r>
      <w:bookmarkEnd w:id="486"/>
      <w:bookmarkEnd w:id="487"/>
    </w:p>
    <w:p w14:paraId="01CFA210" w14:textId="77777777" w:rsidR="003E78AB" w:rsidRDefault="00010BF9">
      <w:pPr>
        <w:ind w:firstLine="480"/>
      </w:pPr>
      <w:bookmarkStart w:id="488" w:name="_Toc309715436"/>
      <w:bookmarkStart w:id="489" w:name="_Toc454899408"/>
      <w:r>
        <w:rPr>
          <w:bCs/>
          <w:kern w:val="2"/>
        </w:rPr>
        <w:t>加强企业环境管理，加大企业环境监测力度，是严格执行建设项目环境影响评价制度和</w:t>
      </w:r>
      <w:r>
        <w:rPr>
          <w:bCs/>
          <w:kern w:val="2"/>
        </w:rPr>
        <w:t>“</w:t>
      </w:r>
      <w:r>
        <w:rPr>
          <w:bCs/>
          <w:kern w:val="2"/>
        </w:rPr>
        <w:t>三同时</w:t>
      </w:r>
      <w:r>
        <w:rPr>
          <w:bCs/>
          <w:kern w:val="2"/>
        </w:rPr>
        <w:t>”</w:t>
      </w:r>
      <w:r>
        <w:rPr>
          <w:bCs/>
          <w:kern w:val="2"/>
        </w:rPr>
        <w:t>制度，切实落实环境保护措施，严格控制污染物排放总量，有效改善生态环境的重要举措之一。因此，根据该项目污染物排放特征，污染物治理情况，有针对性地制定环境保护管理与监测计划是非常必要的。</w:t>
      </w:r>
    </w:p>
    <w:p w14:paraId="1588F623" w14:textId="77777777" w:rsidR="003E78AB" w:rsidRDefault="00010BF9">
      <w:pPr>
        <w:pStyle w:val="24"/>
        <w:keepNext w:val="0"/>
        <w:keepLines w:val="0"/>
        <w:topLinePunct/>
        <w:spacing w:before="120"/>
        <w:rPr>
          <w:rFonts w:cs="Times New Roman"/>
        </w:rPr>
      </w:pPr>
      <w:bookmarkStart w:id="490" w:name="_Toc26607"/>
      <w:bookmarkStart w:id="491" w:name="_Toc27624"/>
      <w:r>
        <w:rPr>
          <w:rFonts w:cs="Times New Roman" w:hint="eastAsia"/>
        </w:rPr>
        <w:t>9.1</w:t>
      </w:r>
      <w:r>
        <w:rPr>
          <w:rFonts w:cs="Times New Roman"/>
        </w:rPr>
        <w:t>环境管理</w:t>
      </w:r>
      <w:bookmarkEnd w:id="488"/>
      <w:bookmarkEnd w:id="489"/>
      <w:bookmarkEnd w:id="490"/>
      <w:bookmarkEnd w:id="491"/>
    </w:p>
    <w:p w14:paraId="42576AA5" w14:textId="77777777" w:rsidR="003E78AB" w:rsidRDefault="00010BF9">
      <w:pPr>
        <w:ind w:firstLine="480"/>
        <w:rPr>
          <w:bCs/>
          <w:kern w:val="2"/>
        </w:rPr>
      </w:pPr>
      <w:r>
        <w:rPr>
          <w:bCs/>
          <w:kern w:val="2"/>
        </w:rPr>
        <w:t>根据《中华人民共和国环境保护法》和中华人民共和国国务院令第</w:t>
      </w:r>
      <w:r>
        <w:rPr>
          <w:bCs/>
          <w:kern w:val="2"/>
        </w:rPr>
        <w:t>253</w:t>
      </w:r>
      <w:r>
        <w:rPr>
          <w:bCs/>
          <w:kern w:val="2"/>
        </w:rPr>
        <w:t>号《建设项目环境保护管理条例》，建设单位必须把环境保护工作纳入工作计划，建立环境保护责任制度，采取有效措施，防止环境破坏。</w:t>
      </w:r>
    </w:p>
    <w:p w14:paraId="2EA302D3" w14:textId="77777777" w:rsidR="003E78AB" w:rsidRDefault="00010BF9">
      <w:pPr>
        <w:ind w:firstLine="480"/>
        <w:rPr>
          <w:bCs/>
          <w:kern w:val="2"/>
        </w:rPr>
      </w:pPr>
      <w:r>
        <w:rPr>
          <w:bCs/>
          <w:kern w:val="2"/>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生产过程产生一般固废进行回收处理及循环利用，变普通产品为</w:t>
      </w:r>
      <w:r>
        <w:rPr>
          <w:bCs/>
          <w:kern w:val="2"/>
        </w:rPr>
        <w:t>“</w:t>
      </w:r>
      <w:r>
        <w:rPr>
          <w:bCs/>
          <w:kern w:val="2"/>
        </w:rPr>
        <w:t>绿色</w:t>
      </w:r>
      <w:r>
        <w:rPr>
          <w:bCs/>
          <w:kern w:val="2"/>
        </w:rPr>
        <w:t>”</w:t>
      </w:r>
      <w:r>
        <w:rPr>
          <w:bCs/>
          <w:kern w:val="2"/>
        </w:rPr>
        <w:t>产品，努力通过环境</w:t>
      </w:r>
      <w:r>
        <w:rPr>
          <w:bCs/>
          <w:kern w:val="2"/>
        </w:rPr>
        <w:t>认证，积极参与社会环境整治，推动员工和公众的环保宣传和引导，树立</w:t>
      </w:r>
      <w:r>
        <w:rPr>
          <w:bCs/>
          <w:kern w:val="2"/>
        </w:rPr>
        <w:t>“</w:t>
      </w:r>
      <w:r>
        <w:rPr>
          <w:bCs/>
          <w:kern w:val="2"/>
        </w:rPr>
        <w:t>绿色企业</w:t>
      </w:r>
      <w:r>
        <w:rPr>
          <w:bCs/>
          <w:kern w:val="2"/>
        </w:rPr>
        <w:t>”</w:t>
      </w:r>
      <w:r>
        <w:rPr>
          <w:bCs/>
          <w:kern w:val="2"/>
        </w:rPr>
        <w:t>的良好形象。</w:t>
      </w:r>
    </w:p>
    <w:p w14:paraId="3EB02C0C" w14:textId="77777777" w:rsidR="003E78AB" w:rsidRDefault="00010BF9">
      <w:pPr>
        <w:ind w:firstLine="480"/>
        <w:rPr>
          <w:bCs/>
          <w:kern w:val="2"/>
        </w:rPr>
      </w:pPr>
      <w:r>
        <w:rPr>
          <w:bCs/>
          <w:kern w:val="2"/>
        </w:rPr>
        <w:t>为了贯彻和执行国家和地方环境保护法律、法规、政策与标准，及时掌握和了解污染控制措施的效果，以及项目所在区域环境质量的变化情况，更好地监控环保设施的运行情况，保证企业生产管理和环境管理的正常运作，建立环境管理体系与监测制度是非常必要和重要的。</w:t>
      </w:r>
    </w:p>
    <w:p w14:paraId="0796A892" w14:textId="77777777" w:rsidR="003E78AB" w:rsidRDefault="00010BF9">
      <w:pPr>
        <w:ind w:firstLine="480"/>
        <w:rPr>
          <w:bCs/>
          <w:kern w:val="2"/>
        </w:rPr>
      </w:pPr>
      <w:r>
        <w:rPr>
          <w:bCs/>
          <w:kern w:val="2"/>
        </w:rPr>
        <w:t>环境管理体系能够帮助企业及早发现问题，使企业在发展生产的同时节约能源、降低原材料的消耗，控制污染物排放量，减轻污染物排放对环境产生的影响，为企业创造更好的经济效益和环境效益，树立良</w:t>
      </w:r>
      <w:r>
        <w:rPr>
          <w:bCs/>
          <w:kern w:val="2"/>
        </w:rPr>
        <w:t>好的社会形象。</w:t>
      </w:r>
    </w:p>
    <w:p w14:paraId="39CDA535" w14:textId="77777777" w:rsidR="003E78AB" w:rsidRDefault="00010BF9">
      <w:pPr>
        <w:pStyle w:val="24"/>
        <w:keepNext w:val="0"/>
        <w:keepLines w:val="0"/>
        <w:topLinePunct/>
        <w:spacing w:before="120"/>
        <w:outlineLvl w:val="2"/>
        <w:rPr>
          <w:rFonts w:cs="Times New Roman"/>
          <w:sz w:val="28"/>
          <w:szCs w:val="28"/>
        </w:rPr>
      </w:pPr>
      <w:bookmarkStart w:id="492" w:name="_Toc309715437"/>
      <w:r>
        <w:rPr>
          <w:rFonts w:cs="Times New Roman" w:hint="eastAsia"/>
          <w:sz w:val="28"/>
          <w:szCs w:val="28"/>
        </w:rPr>
        <w:t>9.1</w:t>
      </w:r>
      <w:r>
        <w:rPr>
          <w:rFonts w:cs="Times New Roman"/>
          <w:sz w:val="28"/>
          <w:szCs w:val="28"/>
        </w:rPr>
        <w:t>.1</w:t>
      </w:r>
      <w:r>
        <w:rPr>
          <w:rFonts w:cs="Times New Roman"/>
          <w:sz w:val="28"/>
          <w:szCs w:val="28"/>
        </w:rPr>
        <w:t>环境管理</w:t>
      </w:r>
      <w:bookmarkEnd w:id="492"/>
      <w:r>
        <w:rPr>
          <w:rFonts w:cs="Times New Roman"/>
          <w:sz w:val="28"/>
          <w:szCs w:val="28"/>
        </w:rPr>
        <w:t>基本任务</w:t>
      </w:r>
    </w:p>
    <w:p w14:paraId="2147B6A0" w14:textId="77777777" w:rsidR="003E78AB" w:rsidRDefault="00010BF9">
      <w:pPr>
        <w:ind w:firstLine="480"/>
        <w:rPr>
          <w:bCs/>
          <w:kern w:val="2"/>
        </w:rPr>
      </w:pPr>
      <w:r>
        <w:rPr>
          <w:bCs/>
          <w:kern w:val="2"/>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14:paraId="5735DFD5"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9.1</w:t>
      </w:r>
      <w:r>
        <w:rPr>
          <w:rFonts w:cs="Times New Roman"/>
          <w:sz w:val="28"/>
          <w:szCs w:val="28"/>
        </w:rPr>
        <w:t>.2</w:t>
      </w:r>
      <w:r>
        <w:rPr>
          <w:rFonts w:cs="Times New Roman"/>
          <w:sz w:val="28"/>
          <w:szCs w:val="28"/>
        </w:rPr>
        <w:t>环境管理基本原则</w:t>
      </w:r>
    </w:p>
    <w:p w14:paraId="48D8C1B3" w14:textId="77777777" w:rsidR="003E78AB" w:rsidRDefault="00010BF9">
      <w:pPr>
        <w:ind w:firstLine="480"/>
        <w:rPr>
          <w:bCs/>
          <w:kern w:val="2"/>
        </w:rPr>
      </w:pPr>
      <w:r>
        <w:rPr>
          <w:bCs/>
          <w:kern w:val="2"/>
        </w:rPr>
        <w:t>本项目环境管理遵循以下原则：</w:t>
      </w:r>
    </w:p>
    <w:p w14:paraId="3E8BC944" w14:textId="77777777" w:rsidR="003E78AB" w:rsidRDefault="00010BF9">
      <w:pPr>
        <w:ind w:firstLine="480"/>
        <w:rPr>
          <w:bCs/>
          <w:kern w:val="2"/>
        </w:rPr>
      </w:pPr>
      <w:r>
        <w:rPr>
          <w:bCs/>
          <w:kern w:val="2"/>
        </w:rPr>
        <w:t>1</w:t>
      </w:r>
      <w:r>
        <w:rPr>
          <w:bCs/>
          <w:kern w:val="2"/>
        </w:rPr>
        <w:t>、正确处理生产经营与环境保护的关系，在生产经营中做好环境保护，环境教育、环境规划等都是协调企业生产经营与环境保护的重要手段，在本企业环境管理工作中掌握和</w:t>
      </w:r>
      <w:r>
        <w:rPr>
          <w:bCs/>
          <w:kern w:val="2"/>
        </w:rPr>
        <w:t>充分运用这些手段促使生产经营与环境保护协调发展。</w:t>
      </w:r>
    </w:p>
    <w:p w14:paraId="13B51C5C" w14:textId="77777777" w:rsidR="003E78AB" w:rsidRDefault="00010BF9">
      <w:pPr>
        <w:ind w:firstLine="480"/>
        <w:rPr>
          <w:bCs/>
          <w:kern w:val="2"/>
        </w:rPr>
      </w:pPr>
      <w:r>
        <w:rPr>
          <w:bCs/>
          <w:kern w:val="2"/>
        </w:rPr>
        <w:t>2</w:t>
      </w:r>
      <w:r>
        <w:rPr>
          <w:bCs/>
          <w:kern w:val="2"/>
        </w:rPr>
        <w:t>、正确处理环境管理与污染防治的关系，管治结合，以管促治，把环境管理放在企业环境保护工作首位。</w:t>
      </w:r>
    </w:p>
    <w:p w14:paraId="260DA30E" w14:textId="77777777" w:rsidR="003E78AB" w:rsidRDefault="00010BF9">
      <w:pPr>
        <w:ind w:firstLine="480"/>
        <w:rPr>
          <w:bCs/>
          <w:kern w:val="2"/>
        </w:rPr>
      </w:pPr>
      <w:r>
        <w:rPr>
          <w:bCs/>
          <w:kern w:val="2"/>
        </w:rPr>
        <w:t>3</w:t>
      </w:r>
      <w:r>
        <w:rPr>
          <w:bCs/>
          <w:kern w:val="2"/>
        </w:rPr>
        <w:t>、专业环境管理与群众环境管理结合，企业环境管理与生产管理结合，产品质量控制与环境质量控制结合。</w:t>
      </w:r>
    </w:p>
    <w:p w14:paraId="74351B50" w14:textId="77777777" w:rsidR="003E78AB" w:rsidRDefault="00010BF9">
      <w:pPr>
        <w:ind w:firstLine="480"/>
        <w:rPr>
          <w:bCs/>
          <w:kern w:val="2"/>
        </w:rPr>
      </w:pPr>
      <w:r>
        <w:rPr>
          <w:bCs/>
          <w:kern w:val="2"/>
        </w:rPr>
        <w:t>4</w:t>
      </w:r>
      <w:r>
        <w:rPr>
          <w:bCs/>
          <w:kern w:val="2"/>
        </w:rPr>
        <w:t>、企业环境管理渗透到整个生产经营活动中，贯彻在过程始终。</w:t>
      </w:r>
    </w:p>
    <w:p w14:paraId="3465B3FD" w14:textId="77777777" w:rsidR="003E78AB" w:rsidRDefault="00010BF9">
      <w:pPr>
        <w:ind w:firstLine="480"/>
        <w:rPr>
          <w:bCs/>
          <w:kern w:val="2"/>
        </w:rPr>
      </w:pPr>
      <w:r>
        <w:rPr>
          <w:bCs/>
          <w:kern w:val="2"/>
        </w:rPr>
        <w:t>5</w:t>
      </w:r>
      <w:r>
        <w:rPr>
          <w:bCs/>
          <w:kern w:val="2"/>
        </w:rPr>
        <w:t>、坚持</w:t>
      </w:r>
      <w:r>
        <w:rPr>
          <w:bCs/>
          <w:kern w:val="2"/>
        </w:rPr>
        <w:t>“</w:t>
      </w:r>
      <w:r>
        <w:rPr>
          <w:bCs/>
          <w:kern w:val="2"/>
        </w:rPr>
        <w:t>谁污染，谁治理</w:t>
      </w:r>
      <w:r>
        <w:rPr>
          <w:bCs/>
          <w:kern w:val="2"/>
        </w:rPr>
        <w:t>”</w:t>
      </w:r>
      <w:r>
        <w:rPr>
          <w:bCs/>
          <w:kern w:val="2"/>
        </w:rPr>
        <w:t>原则，企业内部从领导和职工都要对本企业污染与治理负责，收费、罚款、赔偿损失、行政处分等处罚都要落实，实行分片包干，各负其责。</w:t>
      </w:r>
    </w:p>
    <w:p w14:paraId="3CB6C85A"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9.1</w:t>
      </w:r>
      <w:r>
        <w:rPr>
          <w:rFonts w:cs="Times New Roman"/>
          <w:sz w:val="28"/>
          <w:szCs w:val="28"/>
        </w:rPr>
        <w:t>.3</w:t>
      </w:r>
      <w:r>
        <w:rPr>
          <w:rFonts w:cs="Times New Roman"/>
          <w:sz w:val="28"/>
          <w:szCs w:val="28"/>
        </w:rPr>
        <w:t>环境管理机构设置</w:t>
      </w:r>
    </w:p>
    <w:p w14:paraId="4B30FD8F" w14:textId="77777777" w:rsidR="003E78AB" w:rsidRDefault="00010BF9">
      <w:pPr>
        <w:ind w:firstLine="480"/>
        <w:rPr>
          <w:bCs/>
          <w:kern w:val="2"/>
        </w:rPr>
      </w:pPr>
      <w:r>
        <w:rPr>
          <w:rFonts w:hint="eastAsia"/>
          <w:bCs/>
          <w:kern w:val="2"/>
        </w:rPr>
        <w:t>1.</w:t>
      </w:r>
      <w:r>
        <w:rPr>
          <w:bCs/>
          <w:kern w:val="2"/>
        </w:rPr>
        <w:t>环境管理机构设置目的</w:t>
      </w:r>
    </w:p>
    <w:p w14:paraId="317C4120" w14:textId="77777777" w:rsidR="003E78AB" w:rsidRDefault="00010BF9">
      <w:pPr>
        <w:ind w:firstLine="480"/>
        <w:rPr>
          <w:bCs/>
          <w:kern w:val="2"/>
        </w:rPr>
      </w:pPr>
      <w:r>
        <w:rPr>
          <w:bCs/>
          <w:kern w:val="2"/>
        </w:rPr>
        <w:t>环境管理机构设置目的是为贯彻执行《中华人民共和国环境保护法》中相关法律法规以及全面落实《国务院关于环境保护若干问题的决定》中相关规定，对</w:t>
      </w:r>
      <w:r>
        <w:rPr>
          <w:bCs/>
          <w:kern w:val="2"/>
        </w:rPr>
        <w:t>“</w:t>
      </w:r>
      <w:r>
        <w:rPr>
          <w:bCs/>
          <w:kern w:val="2"/>
        </w:rPr>
        <w:t>三废</w:t>
      </w:r>
      <w:r>
        <w:rPr>
          <w:bCs/>
          <w:kern w:val="2"/>
        </w:rPr>
        <w:t>”</w:t>
      </w:r>
      <w:r>
        <w:rPr>
          <w:bCs/>
          <w:kern w:val="2"/>
        </w:rPr>
        <w:t>排放实行管理和监控，确保社会、经济、环境等效益的协调发展，协调地方生态环境部门工作，为企业生产管理和环境管理提供保证，针对本项目具体情况，为加强管理，建设单位应设置环境管理机构，并尽相应职责。</w:t>
      </w:r>
    </w:p>
    <w:p w14:paraId="06DB2ADE" w14:textId="77777777" w:rsidR="003E78AB" w:rsidRDefault="00010BF9">
      <w:pPr>
        <w:ind w:firstLine="480"/>
        <w:rPr>
          <w:bCs/>
          <w:kern w:val="2"/>
        </w:rPr>
      </w:pPr>
      <w:r>
        <w:rPr>
          <w:rFonts w:hint="eastAsia"/>
          <w:bCs/>
          <w:kern w:val="2"/>
        </w:rPr>
        <w:t>2.</w:t>
      </w:r>
      <w:r>
        <w:rPr>
          <w:bCs/>
          <w:kern w:val="2"/>
        </w:rPr>
        <w:t>环境管理机构组成</w:t>
      </w:r>
    </w:p>
    <w:p w14:paraId="210829A4" w14:textId="77777777" w:rsidR="003E78AB" w:rsidRDefault="00010BF9">
      <w:pPr>
        <w:ind w:firstLine="480"/>
        <w:rPr>
          <w:bCs/>
          <w:kern w:val="2"/>
        </w:rPr>
      </w:pPr>
      <w:r>
        <w:rPr>
          <w:bCs/>
          <w:kern w:val="2"/>
        </w:rPr>
        <w:t>园区内企业应有明确的环保管理部门和完备的环境管理制度，人员配备齐全。企业应每年年初向园区管理机构报送自行监测方案，年中有调整时及时报送调整后的监测方案。</w:t>
      </w:r>
      <w:r>
        <w:rPr>
          <w:bCs/>
          <w:kern w:val="2"/>
        </w:rPr>
        <w:t>属于国控重点源的企业，按照《国家重点监控企业自行监测及信息公开办法（试行）》（环发〔</w:t>
      </w:r>
      <w:r>
        <w:rPr>
          <w:bCs/>
          <w:kern w:val="2"/>
        </w:rPr>
        <w:t>2013</w:t>
      </w:r>
      <w:r>
        <w:rPr>
          <w:bCs/>
          <w:kern w:val="2"/>
        </w:rPr>
        <w:t>〕</w:t>
      </w:r>
      <w:r>
        <w:rPr>
          <w:bCs/>
          <w:kern w:val="2"/>
        </w:rPr>
        <w:t>81</w:t>
      </w:r>
      <w:r>
        <w:rPr>
          <w:bCs/>
          <w:kern w:val="2"/>
        </w:rPr>
        <w:t>号）要求，定期向当地环保主管部门报送自行监测结果，作为地方政府污染物总量减排考核的依据，并及时向社会公开排污信息。</w:t>
      </w:r>
    </w:p>
    <w:p w14:paraId="51324BBF" w14:textId="77777777" w:rsidR="003E78AB" w:rsidRDefault="00010BF9">
      <w:pPr>
        <w:ind w:firstLine="480"/>
        <w:rPr>
          <w:bCs/>
          <w:kern w:val="2"/>
        </w:rPr>
      </w:pPr>
      <w:r>
        <w:rPr>
          <w:bCs/>
          <w:kern w:val="2"/>
        </w:rPr>
        <w:t>企业应成立安环部，设置专职或兼职人员负责安全生产、环境管理、环境监测、事故应急处理等工作，并接受本项目主管单位及当地生态环境部门监督和指导。</w:t>
      </w:r>
    </w:p>
    <w:p w14:paraId="1190D00E" w14:textId="77777777" w:rsidR="003E78AB" w:rsidRDefault="00010BF9">
      <w:pPr>
        <w:ind w:firstLine="480"/>
        <w:rPr>
          <w:bCs/>
          <w:kern w:val="2"/>
        </w:rPr>
      </w:pPr>
      <w:r>
        <w:rPr>
          <w:rFonts w:hint="eastAsia"/>
          <w:bCs/>
          <w:kern w:val="2"/>
        </w:rPr>
        <w:t>3.</w:t>
      </w:r>
      <w:r>
        <w:rPr>
          <w:bCs/>
          <w:kern w:val="2"/>
        </w:rPr>
        <w:t>环境管理机构定员</w:t>
      </w:r>
    </w:p>
    <w:p w14:paraId="7B8A719D" w14:textId="77777777" w:rsidR="003E78AB" w:rsidRDefault="00010BF9">
      <w:pPr>
        <w:ind w:firstLine="480"/>
        <w:rPr>
          <w:bCs/>
          <w:kern w:val="2"/>
        </w:rPr>
      </w:pPr>
      <w:r>
        <w:rPr>
          <w:bCs/>
          <w:kern w:val="2"/>
        </w:rPr>
        <w:t>企业应成立安环部，设置专职或兼职人员。这些人员应有一定环保基础理论知识、组织协调处理能力和较强责任心，对有资质要求特殊岗位从业人员必须</w:t>
      </w:r>
      <w:r>
        <w:rPr>
          <w:bCs/>
          <w:kern w:val="2"/>
        </w:rPr>
        <w:t>做到持证上岗。</w:t>
      </w:r>
    </w:p>
    <w:p w14:paraId="09358DA6" w14:textId="77777777" w:rsidR="003E78AB" w:rsidRDefault="00010BF9">
      <w:pPr>
        <w:ind w:firstLine="480"/>
        <w:rPr>
          <w:bCs/>
          <w:kern w:val="2"/>
        </w:rPr>
      </w:pPr>
      <w:r>
        <w:rPr>
          <w:rFonts w:hint="eastAsia"/>
          <w:bCs/>
          <w:kern w:val="2"/>
        </w:rPr>
        <w:t>4.</w:t>
      </w:r>
      <w:r>
        <w:rPr>
          <w:bCs/>
          <w:kern w:val="2"/>
        </w:rPr>
        <w:t>环境管理机构职责</w:t>
      </w:r>
    </w:p>
    <w:p w14:paraId="6687C549" w14:textId="77777777" w:rsidR="003E78AB" w:rsidRDefault="00010BF9">
      <w:pPr>
        <w:ind w:firstLine="480"/>
        <w:rPr>
          <w:bCs/>
          <w:kern w:val="2"/>
        </w:rPr>
      </w:pPr>
      <w:r>
        <w:rPr>
          <w:bCs/>
          <w:kern w:val="2"/>
        </w:rPr>
        <w:t>①</w:t>
      </w:r>
      <w:r>
        <w:rPr>
          <w:bCs/>
          <w:kern w:val="2"/>
        </w:rPr>
        <w:t>贯彻执行国家和自治区现行各项环保方针、政策、法律法规和标准，认真执行当地生态环境部门下达各项任务；</w:t>
      </w:r>
    </w:p>
    <w:p w14:paraId="01A87344" w14:textId="77777777" w:rsidR="003E78AB" w:rsidRDefault="00010BF9">
      <w:pPr>
        <w:ind w:firstLine="480"/>
        <w:rPr>
          <w:bCs/>
          <w:kern w:val="2"/>
        </w:rPr>
      </w:pPr>
      <w:r>
        <w:rPr>
          <w:bCs/>
          <w:kern w:val="2"/>
        </w:rPr>
        <w:t>②</w:t>
      </w:r>
      <w:r>
        <w:rPr>
          <w:bCs/>
          <w:kern w:val="2"/>
        </w:rPr>
        <w:t>组织编制本企业环境保护计划，建立本企业各项环境保护规章制度，并且经常进行监督检查；</w:t>
      </w:r>
    </w:p>
    <w:p w14:paraId="365AA0D7" w14:textId="77777777" w:rsidR="003E78AB" w:rsidRDefault="00010BF9">
      <w:pPr>
        <w:ind w:firstLine="480"/>
        <w:rPr>
          <w:bCs/>
          <w:kern w:val="2"/>
        </w:rPr>
      </w:pPr>
      <w:r>
        <w:rPr>
          <w:bCs/>
          <w:kern w:val="2"/>
        </w:rPr>
        <w:t>③</w:t>
      </w:r>
      <w:r>
        <w:rPr>
          <w:bCs/>
          <w:kern w:val="2"/>
        </w:rPr>
        <w:t>参与本企业环保设施设计论证，监督环保设施安装调试，落实</w:t>
      </w:r>
      <w:r>
        <w:rPr>
          <w:bCs/>
          <w:kern w:val="2"/>
        </w:rPr>
        <w:t>“</w:t>
      </w:r>
      <w:r>
        <w:rPr>
          <w:bCs/>
          <w:kern w:val="2"/>
        </w:rPr>
        <w:t>三同时</w:t>
      </w:r>
      <w:r>
        <w:rPr>
          <w:bCs/>
          <w:kern w:val="2"/>
        </w:rPr>
        <w:t>”</w:t>
      </w:r>
      <w:r>
        <w:rPr>
          <w:bCs/>
          <w:kern w:val="2"/>
        </w:rPr>
        <w:t>措施；</w:t>
      </w:r>
    </w:p>
    <w:p w14:paraId="4DD9273B" w14:textId="77777777" w:rsidR="003E78AB" w:rsidRDefault="00010BF9">
      <w:pPr>
        <w:ind w:firstLine="480"/>
        <w:rPr>
          <w:bCs/>
          <w:kern w:val="2"/>
        </w:rPr>
      </w:pPr>
      <w:r>
        <w:rPr>
          <w:bCs/>
          <w:kern w:val="2"/>
        </w:rPr>
        <w:t>④</w:t>
      </w:r>
      <w:r>
        <w:rPr>
          <w:bCs/>
          <w:kern w:val="2"/>
        </w:rPr>
        <w:t>定期对本企业各污染源进行检查，请有资质的专业环境监测单位对本企业污染源的排放情况进行监测，了解各污染源动态，建立健全污染源档案，并做好环境统计工作，及时发现和掌握企业污染变化情况，从而制定相应处理措施；</w:t>
      </w:r>
    </w:p>
    <w:p w14:paraId="1EC2E08C" w14:textId="77777777" w:rsidR="003E78AB" w:rsidRDefault="00010BF9">
      <w:pPr>
        <w:ind w:firstLine="480"/>
        <w:rPr>
          <w:bCs/>
          <w:kern w:val="2"/>
        </w:rPr>
      </w:pPr>
      <w:r>
        <w:rPr>
          <w:bCs/>
          <w:kern w:val="2"/>
        </w:rPr>
        <w:t>⑤</w:t>
      </w:r>
      <w:r>
        <w:rPr>
          <w:bCs/>
          <w:kern w:val="2"/>
        </w:rPr>
        <w:t>加强对污染治理设施的管理、检查及维护，确保污染治理设施正常运行，并将污染治理设施治理效率按照生产指标一样进行考核，防止污染事故发生；</w:t>
      </w:r>
    </w:p>
    <w:p w14:paraId="352D13BB" w14:textId="77777777" w:rsidR="003E78AB" w:rsidRDefault="00010BF9">
      <w:pPr>
        <w:ind w:firstLine="480"/>
        <w:rPr>
          <w:bCs/>
          <w:kern w:val="2"/>
        </w:rPr>
      </w:pPr>
      <w:r>
        <w:rPr>
          <w:bCs/>
          <w:kern w:val="2"/>
        </w:rPr>
        <w:t>⑥</w:t>
      </w:r>
      <w:r>
        <w:rPr>
          <w:bCs/>
          <w:kern w:val="2"/>
        </w:rPr>
        <w:t>学习并推广应用先进环保技术和经验，推行清洁生产，组织污染治理设施操作人员进行岗前专业技术培训；</w:t>
      </w:r>
    </w:p>
    <w:p w14:paraId="1D5AC19B" w14:textId="77777777" w:rsidR="003E78AB" w:rsidRDefault="00010BF9">
      <w:pPr>
        <w:ind w:firstLine="480"/>
        <w:rPr>
          <w:bCs/>
          <w:kern w:val="2"/>
        </w:rPr>
      </w:pPr>
      <w:r>
        <w:rPr>
          <w:bCs/>
          <w:kern w:val="2"/>
        </w:rPr>
        <w:t>⑦</w:t>
      </w:r>
      <w:r>
        <w:rPr>
          <w:bCs/>
          <w:kern w:val="2"/>
        </w:rPr>
        <w:t>加强对职工进行环保法律法规的宣传、教育和学习，增强职工环保意识。</w:t>
      </w:r>
    </w:p>
    <w:p w14:paraId="3DC2148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9.1</w:t>
      </w:r>
      <w:r>
        <w:rPr>
          <w:rFonts w:cs="Times New Roman"/>
          <w:sz w:val="28"/>
          <w:szCs w:val="28"/>
        </w:rPr>
        <w:t>.4</w:t>
      </w:r>
      <w:r>
        <w:rPr>
          <w:rFonts w:cs="Times New Roman"/>
          <w:sz w:val="28"/>
          <w:szCs w:val="28"/>
        </w:rPr>
        <w:t>环境管理规章制度</w:t>
      </w:r>
    </w:p>
    <w:p w14:paraId="599A41E1" w14:textId="77777777" w:rsidR="003E78AB" w:rsidRDefault="00010BF9">
      <w:pPr>
        <w:ind w:firstLine="480"/>
        <w:rPr>
          <w:bCs/>
          <w:kern w:val="2"/>
        </w:rPr>
      </w:pPr>
      <w:r>
        <w:rPr>
          <w:rFonts w:hint="eastAsia"/>
          <w:bCs/>
          <w:kern w:val="2"/>
        </w:rPr>
        <w:t>1.</w:t>
      </w:r>
      <w:r>
        <w:rPr>
          <w:bCs/>
          <w:kern w:val="2"/>
        </w:rPr>
        <w:t>严格执行</w:t>
      </w:r>
      <w:r>
        <w:rPr>
          <w:bCs/>
          <w:kern w:val="2"/>
        </w:rPr>
        <w:t>“</w:t>
      </w:r>
      <w:r>
        <w:rPr>
          <w:bCs/>
          <w:kern w:val="2"/>
        </w:rPr>
        <w:t>三同时</w:t>
      </w:r>
      <w:r>
        <w:rPr>
          <w:bCs/>
          <w:kern w:val="2"/>
        </w:rPr>
        <w:t>”</w:t>
      </w:r>
      <w:r>
        <w:rPr>
          <w:bCs/>
          <w:kern w:val="2"/>
        </w:rPr>
        <w:t>制度</w:t>
      </w:r>
    </w:p>
    <w:p w14:paraId="0DDE2F7B" w14:textId="77777777" w:rsidR="003E78AB" w:rsidRDefault="00010BF9">
      <w:pPr>
        <w:ind w:firstLine="480"/>
        <w:rPr>
          <w:bCs/>
          <w:kern w:val="2"/>
        </w:rPr>
      </w:pPr>
      <w:r>
        <w:rPr>
          <w:bCs/>
          <w:kern w:val="2"/>
        </w:rPr>
        <w:t>在本项目建设的不同阶段均应严格执行</w:t>
      </w:r>
      <w:r>
        <w:rPr>
          <w:bCs/>
          <w:kern w:val="2"/>
        </w:rPr>
        <w:t>“</w:t>
      </w:r>
      <w:r>
        <w:rPr>
          <w:bCs/>
          <w:kern w:val="2"/>
        </w:rPr>
        <w:t>三同时</w:t>
      </w:r>
      <w:r>
        <w:rPr>
          <w:bCs/>
          <w:kern w:val="2"/>
        </w:rPr>
        <w:t>”</w:t>
      </w:r>
      <w:r>
        <w:rPr>
          <w:bCs/>
          <w:kern w:val="2"/>
        </w:rPr>
        <w:t>制度，确保污染处理设施能够与生产设施</w:t>
      </w:r>
      <w:r>
        <w:rPr>
          <w:bCs/>
          <w:kern w:val="2"/>
        </w:rPr>
        <w:t>“</w:t>
      </w:r>
      <w:r>
        <w:rPr>
          <w:bCs/>
          <w:kern w:val="2"/>
        </w:rPr>
        <w:t>同时设计、同时施工、同时竣工并投入使用</w:t>
      </w:r>
      <w:r>
        <w:rPr>
          <w:bCs/>
          <w:kern w:val="2"/>
        </w:rPr>
        <w:t>”</w:t>
      </w:r>
      <w:r>
        <w:rPr>
          <w:bCs/>
          <w:kern w:val="2"/>
        </w:rPr>
        <w:t>。</w:t>
      </w:r>
    </w:p>
    <w:p w14:paraId="1FD033E3" w14:textId="77777777" w:rsidR="003E78AB" w:rsidRDefault="00010BF9">
      <w:pPr>
        <w:ind w:firstLine="480"/>
        <w:rPr>
          <w:bCs/>
          <w:kern w:val="2"/>
        </w:rPr>
      </w:pPr>
      <w:r>
        <w:rPr>
          <w:rFonts w:hint="eastAsia"/>
          <w:bCs/>
          <w:kern w:val="2"/>
        </w:rPr>
        <w:t>2.</w:t>
      </w:r>
      <w:r>
        <w:rPr>
          <w:bCs/>
          <w:kern w:val="2"/>
        </w:rPr>
        <w:t>建立环境报告制度</w:t>
      </w:r>
    </w:p>
    <w:p w14:paraId="116359C5" w14:textId="77777777" w:rsidR="003E78AB" w:rsidRDefault="00010BF9">
      <w:pPr>
        <w:ind w:firstLine="480"/>
        <w:rPr>
          <w:bCs/>
          <w:kern w:val="2"/>
        </w:rPr>
      </w:pPr>
      <w:r>
        <w:rPr>
          <w:rFonts w:hint="eastAsia"/>
          <w:bCs/>
          <w:kern w:val="2"/>
        </w:rPr>
        <w:t>星辰新</w:t>
      </w:r>
      <w:r>
        <w:rPr>
          <w:rFonts w:hint="eastAsia"/>
          <w:bCs/>
          <w:kern w:val="2"/>
        </w:rPr>
        <w:t>能</w:t>
      </w:r>
      <w:r>
        <w:rPr>
          <w:rFonts w:hint="eastAsia"/>
          <w:bCs/>
          <w:kern w:val="2"/>
        </w:rPr>
        <w:t>(</w:t>
      </w:r>
      <w:r>
        <w:rPr>
          <w:rFonts w:hint="eastAsia"/>
          <w:bCs/>
          <w:kern w:val="2"/>
        </w:rPr>
        <w:t>哈密</w:t>
      </w:r>
      <w:r>
        <w:rPr>
          <w:rFonts w:hint="eastAsia"/>
          <w:bCs/>
          <w:kern w:val="2"/>
        </w:rPr>
        <w:t>)</w:t>
      </w:r>
      <w:r>
        <w:rPr>
          <w:rFonts w:hint="eastAsia"/>
          <w:bCs/>
          <w:kern w:val="2"/>
        </w:rPr>
        <w:t>科技有限公司</w:t>
      </w:r>
      <w:r>
        <w:rPr>
          <w:bCs/>
          <w:kern w:val="2"/>
        </w:rPr>
        <w:t>应按相关法律法规要求严格执行排污申报制度，此外在本项目排污发生重大变化、污染治理设施发生重大改变或实施新改扩建项目时必须及时向当地的生态环境部门申报。</w:t>
      </w:r>
    </w:p>
    <w:p w14:paraId="2B7786ED" w14:textId="77777777" w:rsidR="003E78AB" w:rsidRDefault="00010BF9">
      <w:pPr>
        <w:ind w:firstLine="480"/>
        <w:rPr>
          <w:bCs/>
          <w:kern w:val="2"/>
        </w:rPr>
      </w:pPr>
      <w:r>
        <w:rPr>
          <w:rFonts w:hint="eastAsia"/>
          <w:bCs/>
          <w:kern w:val="2"/>
        </w:rPr>
        <w:t>4.</w:t>
      </w:r>
      <w:r>
        <w:rPr>
          <w:bCs/>
          <w:kern w:val="2"/>
        </w:rPr>
        <w:t>建立健全污染治理设施管理制度</w:t>
      </w:r>
    </w:p>
    <w:p w14:paraId="237FF9F5" w14:textId="77777777" w:rsidR="003E78AB" w:rsidRDefault="00010BF9">
      <w:pPr>
        <w:ind w:firstLine="480"/>
        <w:rPr>
          <w:bCs/>
          <w:kern w:val="2"/>
        </w:rPr>
      </w:pPr>
      <w:r>
        <w:rPr>
          <w:rFonts w:hint="eastAsia"/>
          <w:bCs/>
          <w:kern w:val="2"/>
        </w:rPr>
        <w:t>星辰新能</w:t>
      </w:r>
      <w:r>
        <w:rPr>
          <w:rFonts w:hint="eastAsia"/>
          <w:bCs/>
          <w:kern w:val="2"/>
        </w:rPr>
        <w:t>(</w:t>
      </w:r>
      <w:r>
        <w:rPr>
          <w:rFonts w:hint="eastAsia"/>
          <w:bCs/>
          <w:kern w:val="2"/>
        </w:rPr>
        <w:t>哈密</w:t>
      </w:r>
      <w:r>
        <w:rPr>
          <w:rFonts w:hint="eastAsia"/>
          <w:bCs/>
          <w:kern w:val="2"/>
        </w:rPr>
        <w:t>)</w:t>
      </w:r>
      <w:r>
        <w:rPr>
          <w:rFonts w:hint="eastAsia"/>
          <w:bCs/>
          <w:kern w:val="2"/>
        </w:rPr>
        <w:t>科技有限公司</w:t>
      </w:r>
      <w:r>
        <w:rPr>
          <w:bCs/>
          <w:kern w:val="2"/>
        </w:rPr>
        <w:t>应建立健全污染治理设施的运行、检修、维护保养等作业规程和管理制度，将污染治理设施管理与生产管理一同纳入本企业管理工作范畴，落实责任人，建立管理台账，避免擅自拆除或闲置污染处理设施的现象发生，严禁故意不正常使用污染处理设施。</w:t>
      </w:r>
    </w:p>
    <w:p w14:paraId="7FA4E6E5" w14:textId="77777777" w:rsidR="003E78AB" w:rsidRDefault="00010BF9">
      <w:pPr>
        <w:ind w:firstLine="480"/>
        <w:rPr>
          <w:bCs/>
          <w:kern w:val="2"/>
        </w:rPr>
      </w:pPr>
      <w:r>
        <w:rPr>
          <w:rFonts w:hint="eastAsia"/>
          <w:bCs/>
          <w:kern w:val="2"/>
        </w:rPr>
        <w:t>5.</w:t>
      </w:r>
      <w:r>
        <w:rPr>
          <w:bCs/>
          <w:kern w:val="2"/>
        </w:rPr>
        <w:t>建立环境目标管理责任制和奖惩条例</w:t>
      </w:r>
    </w:p>
    <w:p w14:paraId="743AD68D" w14:textId="77777777" w:rsidR="003E78AB" w:rsidRDefault="00010BF9">
      <w:pPr>
        <w:ind w:firstLine="480"/>
        <w:rPr>
          <w:bCs/>
          <w:kern w:val="2"/>
        </w:rPr>
      </w:pPr>
      <w:r>
        <w:rPr>
          <w:rFonts w:hint="eastAsia"/>
          <w:bCs/>
          <w:kern w:val="2"/>
        </w:rPr>
        <w:t>星辰新能</w:t>
      </w:r>
      <w:r>
        <w:rPr>
          <w:rFonts w:hint="eastAsia"/>
          <w:bCs/>
          <w:kern w:val="2"/>
        </w:rPr>
        <w:t>(</w:t>
      </w:r>
      <w:r>
        <w:rPr>
          <w:rFonts w:hint="eastAsia"/>
          <w:bCs/>
          <w:kern w:val="2"/>
        </w:rPr>
        <w:t>哈密</w:t>
      </w:r>
      <w:r>
        <w:rPr>
          <w:rFonts w:hint="eastAsia"/>
          <w:bCs/>
          <w:kern w:val="2"/>
        </w:rPr>
        <w:t>)</w:t>
      </w:r>
      <w:r>
        <w:rPr>
          <w:rFonts w:hint="eastAsia"/>
          <w:bCs/>
          <w:kern w:val="2"/>
        </w:rPr>
        <w:t>科技有限公司</w:t>
      </w:r>
      <w:r>
        <w:rPr>
          <w:bCs/>
          <w:kern w:val="2"/>
        </w:rPr>
        <w:t>应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处罚。在公司内部形成注重环境管理，持续改进环境绩效的氛围。</w:t>
      </w:r>
    </w:p>
    <w:p w14:paraId="1045C6B4"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9.1</w:t>
      </w:r>
      <w:r>
        <w:rPr>
          <w:rFonts w:cs="Times New Roman"/>
          <w:sz w:val="28"/>
          <w:szCs w:val="28"/>
        </w:rPr>
        <w:t>.5</w:t>
      </w:r>
      <w:r>
        <w:rPr>
          <w:rFonts w:cs="Times New Roman"/>
          <w:sz w:val="28"/>
          <w:szCs w:val="28"/>
        </w:rPr>
        <w:t>环境管理措施</w:t>
      </w:r>
    </w:p>
    <w:p w14:paraId="5FE49505" w14:textId="77777777" w:rsidR="003E78AB" w:rsidRDefault="00010BF9">
      <w:pPr>
        <w:ind w:firstLine="480"/>
        <w:rPr>
          <w:bCs/>
          <w:kern w:val="2"/>
        </w:rPr>
      </w:pPr>
      <w:r>
        <w:rPr>
          <w:bCs/>
          <w:kern w:val="2"/>
        </w:rPr>
        <w:t>为使环境管理工作科学化、规范化、合理化，确保各项环保措施落实到位，在管理方面采取以下措施：</w:t>
      </w:r>
    </w:p>
    <w:p w14:paraId="5F35D268" w14:textId="77777777" w:rsidR="003E78AB" w:rsidRDefault="00010BF9">
      <w:pPr>
        <w:ind w:firstLine="480"/>
        <w:rPr>
          <w:bCs/>
          <w:kern w:val="2"/>
        </w:rPr>
      </w:pPr>
      <w:r>
        <w:rPr>
          <w:bCs/>
          <w:kern w:val="2"/>
        </w:rPr>
        <w:t>1</w:t>
      </w:r>
      <w:r>
        <w:rPr>
          <w:bCs/>
          <w:kern w:val="2"/>
        </w:rPr>
        <w:t>、建立</w:t>
      </w:r>
      <w:r>
        <w:rPr>
          <w:bCs/>
          <w:kern w:val="2"/>
        </w:rPr>
        <w:t>IS014000</w:t>
      </w:r>
      <w:r>
        <w:rPr>
          <w:bCs/>
          <w:kern w:val="2"/>
        </w:rPr>
        <w:t>环境管理体系，并建议同时进行</w:t>
      </w:r>
      <w:r>
        <w:rPr>
          <w:bCs/>
          <w:kern w:val="2"/>
        </w:rPr>
        <w:t>QHSE</w:t>
      </w:r>
      <w:r>
        <w:rPr>
          <w:bCs/>
          <w:kern w:val="2"/>
        </w:rPr>
        <w:t>（质量、健康、安全、环保）审核。</w:t>
      </w:r>
    </w:p>
    <w:p w14:paraId="2ED5C7B5" w14:textId="77777777" w:rsidR="003E78AB" w:rsidRDefault="00010BF9">
      <w:pPr>
        <w:ind w:firstLine="480"/>
        <w:rPr>
          <w:bCs/>
          <w:kern w:val="2"/>
        </w:rPr>
      </w:pPr>
      <w:r>
        <w:rPr>
          <w:bCs/>
          <w:kern w:val="2"/>
        </w:rPr>
        <w:t>2</w:t>
      </w:r>
      <w:r>
        <w:rPr>
          <w:bCs/>
          <w:kern w:val="2"/>
        </w:rPr>
        <w:t>、强化对环保设施运行监督管理职能，建立完善的环保设施运行、维护、维修等技术档案，加强对环保设施操作人员技术培训，确保环保设施处于正常的运行情况，污染物排放连续达标。</w:t>
      </w:r>
    </w:p>
    <w:p w14:paraId="5A5B421E" w14:textId="77777777" w:rsidR="003E78AB" w:rsidRDefault="00010BF9">
      <w:pPr>
        <w:ind w:firstLine="480"/>
        <w:rPr>
          <w:bCs/>
          <w:kern w:val="2"/>
        </w:rPr>
      </w:pPr>
      <w:r>
        <w:rPr>
          <w:bCs/>
          <w:kern w:val="2"/>
        </w:rPr>
        <w:t>3</w:t>
      </w:r>
      <w:r>
        <w:rPr>
          <w:bCs/>
          <w:kern w:val="2"/>
        </w:rPr>
        <w:t>、加强环境监测数据统计工作，建立完善的污染源及物料流失档案，确保污染物排放指标达到设计要求。</w:t>
      </w:r>
    </w:p>
    <w:p w14:paraId="7A047128" w14:textId="77777777" w:rsidR="003E78AB" w:rsidRDefault="00010BF9">
      <w:pPr>
        <w:ind w:firstLine="480"/>
        <w:rPr>
          <w:bCs/>
          <w:kern w:val="2"/>
        </w:rPr>
      </w:pPr>
      <w:r>
        <w:rPr>
          <w:bCs/>
          <w:kern w:val="2"/>
        </w:rPr>
        <w:t>4</w:t>
      </w:r>
      <w:r>
        <w:rPr>
          <w:bCs/>
          <w:kern w:val="2"/>
        </w:rPr>
        <w:t>、制订环境保护岗位目标责任制，将环境管理纳入生产管理体系，将环境评估与经济效益评估相结合，建立严格奖惩机制。</w:t>
      </w:r>
    </w:p>
    <w:p w14:paraId="1775F9D4" w14:textId="77777777" w:rsidR="003E78AB" w:rsidRDefault="00010BF9">
      <w:pPr>
        <w:ind w:firstLine="480"/>
        <w:rPr>
          <w:bCs/>
          <w:kern w:val="2"/>
        </w:rPr>
      </w:pPr>
      <w:r>
        <w:rPr>
          <w:bCs/>
          <w:kern w:val="2"/>
        </w:rPr>
        <w:t>5</w:t>
      </w:r>
      <w:r>
        <w:rPr>
          <w:bCs/>
          <w:kern w:val="2"/>
        </w:rPr>
        <w:t>、加强对职工进行环保法律法规的宣传、教育和学习，进行岗位培训，使职工意识到环境保护的重要意义，包括与企业生产、生存和发展的关系，企业应具有危机感和责任感，把环保工作落到实处，落实到每一位职工。</w:t>
      </w:r>
    </w:p>
    <w:p w14:paraId="23FDFBE1"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9.1</w:t>
      </w:r>
      <w:r>
        <w:rPr>
          <w:rFonts w:cs="Times New Roman"/>
          <w:sz w:val="28"/>
          <w:szCs w:val="28"/>
        </w:rPr>
        <w:t>.6</w:t>
      </w:r>
      <w:r>
        <w:rPr>
          <w:rFonts w:cs="Times New Roman"/>
          <w:sz w:val="28"/>
          <w:szCs w:val="28"/>
        </w:rPr>
        <w:t>环境管理计划</w:t>
      </w:r>
    </w:p>
    <w:p w14:paraId="61B4B39D" w14:textId="77777777" w:rsidR="003E78AB" w:rsidRDefault="00010BF9">
      <w:pPr>
        <w:ind w:firstLine="480"/>
        <w:rPr>
          <w:bCs/>
          <w:kern w:val="2"/>
        </w:rPr>
      </w:pPr>
      <w:r>
        <w:rPr>
          <w:bCs/>
          <w:kern w:val="2"/>
        </w:rPr>
        <w:t>本项目环境管理计划见表</w:t>
      </w:r>
      <w:r>
        <w:rPr>
          <w:rFonts w:hint="eastAsia"/>
          <w:bCs/>
          <w:kern w:val="2"/>
        </w:rPr>
        <w:t>9</w:t>
      </w:r>
      <w:r>
        <w:rPr>
          <w:bCs/>
          <w:kern w:val="2"/>
        </w:rPr>
        <w:t>-1</w:t>
      </w:r>
      <w:r>
        <w:rPr>
          <w:bCs/>
          <w:kern w:val="2"/>
        </w:rPr>
        <w:t>。</w:t>
      </w:r>
    </w:p>
    <w:p w14:paraId="6C5B75CF" w14:textId="77777777" w:rsidR="003E78AB" w:rsidRDefault="00010BF9">
      <w:pPr>
        <w:pStyle w:val="a5"/>
        <w:numPr>
          <w:ilvl w:val="0"/>
          <w:numId w:val="0"/>
        </w:numPr>
      </w:pPr>
      <w:r>
        <w:rPr>
          <w:rFonts w:hint="eastAsia"/>
        </w:rPr>
        <w:t>表</w:t>
      </w:r>
      <w:r>
        <w:rPr>
          <w:rFonts w:hint="eastAsia"/>
        </w:rPr>
        <w:t xml:space="preserve">9-1  </w:t>
      </w:r>
      <w:r>
        <w:t>环境管理计划</w:t>
      </w:r>
    </w:p>
    <w:tbl>
      <w:tblPr>
        <w:tblStyle w:val="afe"/>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6823"/>
        <w:gridCol w:w="815"/>
      </w:tblGrid>
      <w:tr w:rsidR="003E78AB" w14:paraId="1A9BB735" w14:textId="77777777">
        <w:trPr>
          <w:trHeight w:val="340"/>
          <w:tblHeader/>
        </w:trPr>
        <w:tc>
          <w:tcPr>
            <w:tcW w:w="798" w:type="dxa"/>
          </w:tcPr>
          <w:p w14:paraId="0BC375FF" w14:textId="77777777" w:rsidR="003E78AB" w:rsidRDefault="00010BF9">
            <w:pPr>
              <w:spacing w:line="360" w:lineRule="exact"/>
              <w:ind w:firstLineChars="0" w:firstLine="0"/>
              <w:jc w:val="center"/>
              <w:rPr>
                <w:b/>
                <w:bCs/>
                <w:snapToGrid w:val="0"/>
                <w:kern w:val="2"/>
                <w:sz w:val="21"/>
                <w:szCs w:val="21"/>
              </w:rPr>
            </w:pPr>
            <w:r>
              <w:rPr>
                <w:b/>
                <w:bCs/>
                <w:snapToGrid w:val="0"/>
                <w:kern w:val="2"/>
                <w:sz w:val="21"/>
                <w:szCs w:val="21"/>
              </w:rPr>
              <w:t>时期</w:t>
            </w:r>
          </w:p>
        </w:tc>
        <w:tc>
          <w:tcPr>
            <w:tcW w:w="6823" w:type="dxa"/>
          </w:tcPr>
          <w:p w14:paraId="64926B69" w14:textId="77777777" w:rsidR="003E78AB" w:rsidRDefault="00010BF9">
            <w:pPr>
              <w:spacing w:line="360" w:lineRule="exact"/>
              <w:ind w:firstLineChars="0" w:firstLine="0"/>
              <w:jc w:val="center"/>
              <w:rPr>
                <w:b/>
                <w:bCs/>
                <w:snapToGrid w:val="0"/>
                <w:kern w:val="2"/>
                <w:sz w:val="21"/>
                <w:szCs w:val="21"/>
              </w:rPr>
            </w:pPr>
            <w:r>
              <w:rPr>
                <w:b/>
                <w:bCs/>
                <w:snapToGrid w:val="0"/>
                <w:kern w:val="2"/>
                <w:sz w:val="21"/>
                <w:szCs w:val="21"/>
              </w:rPr>
              <w:t>管理要求</w:t>
            </w:r>
          </w:p>
        </w:tc>
        <w:tc>
          <w:tcPr>
            <w:tcW w:w="815" w:type="dxa"/>
          </w:tcPr>
          <w:p w14:paraId="602F88B0" w14:textId="77777777" w:rsidR="003E78AB" w:rsidRDefault="00010BF9">
            <w:pPr>
              <w:spacing w:line="360" w:lineRule="exact"/>
              <w:ind w:firstLineChars="0" w:firstLine="0"/>
              <w:jc w:val="center"/>
              <w:rPr>
                <w:b/>
                <w:bCs/>
                <w:snapToGrid w:val="0"/>
                <w:kern w:val="2"/>
                <w:sz w:val="21"/>
                <w:szCs w:val="21"/>
              </w:rPr>
            </w:pPr>
            <w:r>
              <w:rPr>
                <w:b/>
                <w:bCs/>
                <w:snapToGrid w:val="0"/>
                <w:kern w:val="2"/>
                <w:sz w:val="21"/>
                <w:szCs w:val="21"/>
              </w:rPr>
              <w:t>实施机构</w:t>
            </w:r>
          </w:p>
        </w:tc>
      </w:tr>
      <w:tr w:rsidR="003E78AB" w14:paraId="1B8DFA37" w14:textId="77777777">
        <w:trPr>
          <w:trHeight w:val="340"/>
        </w:trPr>
        <w:tc>
          <w:tcPr>
            <w:tcW w:w="798" w:type="dxa"/>
          </w:tcPr>
          <w:p w14:paraId="62D03BFA" w14:textId="77777777" w:rsidR="003E78AB" w:rsidRDefault="00010BF9">
            <w:pPr>
              <w:spacing w:line="360" w:lineRule="exact"/>
              <w:ind w:firstLineChars="0" w:firstLine="0"/>
              <w:jc w:val="center"/>
              <w:rPr>
                <w:snapToGrid w:val="0"/>
                <w:kern w:val="2"/>
                <w:sz w:val="21"/>
                <w:szCs w:val="21"/>
              </w:rPr>
            </w:pPr>
            <w:r>
              <w:rPr>
                <w:snapToGrid w:val="0"/>
                <w:kern w:val="2"/>
                <w:sz w:val="21"/>
                <w:szCs w:val="21"/>
              </w:rPr>
              <w:t>施工期</w:t>
            </w:r>
          </w:p>
        </w:tc>
        <w:tc>
          <w:tcPr>
            <w:tcW w:w="6823" w:type="dxa"/>
          </w:tcPr>
          <w:p w14:paraId="6999C9D9" w14:textId="77777777" w:rsidR="003E78AB" w:rsidRDefault="00010BF9">
            <w:pPr>
              <w:spacing w:line="360" w:lineRule="exact"/>
              <w:ind w:firstLineChars="0" w:firstLine="0"/>
              <w:jc w:val="left"/>
              <w:rPr>
                <w:snapToGrid w:val="0"/>
                <w:kern w:val="2"/>
                <w:sz w:val="21"/>
                <w:szCs w:val="21"/>
              </w:rPr>
            </w:pPr>
            <w:r>
              <w:rPr>
                <w:snapToGrid w:val="0"/>
                <w:kern w:val="2"/>
                <w:sz w:val="21"/>
                <w:szCs w:val="21"/>
              </w:rPr>
              <w:t>1</w:t>
            </w:r>
            <w:r>
              <w:rPr>
                <w:snapToGrid w:val="0"/>
                <w:kern w:val="2"/>
                <w:sz w:val="21"/>
                <w:szCs w:val="21"/>
              </w:rPr>
              <w:t>、环保设施严格按设计要求，环保工程与总体工程同步施工；</w:t>
            </w:r>
          </w:p>
          <w:p w14:paraId="4BE1767A" w14:textId="77777777" w:rsidR="003E78AB" w:rsidRDefault="00010BF9">
            <w:pPr>
              <w:spacing w:line="360" w:lineRule="exact"/>
              <w:ind w:firstLineChars="0" w:firstLine="0"/>
              <w:jc w:val="left"/>
              <w:rPr>
                <w:snapToGrid w:val="0"/>
                <w:kern w:val="2"/>
                <w:sz w:val="21"/>
                <w:szCs w:val="21"/>
              </w:rPr>
            </w:pPr>
            <w:r>
              <w:rPr>
                <w:snapToGrid w:val="0"/>
                <w:kern w:val="2"/>
                <w:sz w:val="21"/>
                <w:szCs w:val="21"/>
              </w:rPr>
              <w:t>2</w:t>
            </w:r>
            <w:r>
              <w:rPr>
                <w:snapToGrid w:val="0"/>
                <w:kern w:val="2"/>
                <w:sz w:val="21"/>
                <w:szCs w:val="21"/>
              </w:rPr>
              <w:t>、环境管理机构对施工期环境保护工作全面负责，履行施工期各阶段环境管理职责；</w:t>
            </w:r>
          </w:p>
          <w:p w14:paraId="238B0EB3" w14:textId="77777777" w:rsidR="003E78AB" w:rsidRDefault="00010BF9">
            <w:pPr>
              <w:spacing w:line="360" w:lineRule="exact"/>
              <w:ind w:firstLineChars="0" w:firstLine="0"/>
              <w:jc w:val="left"/>
              <w:rPr>
                <w:snapToGrid w:val="0"/>
                <w:kern w:val="2"/>
                <w:sz w:val="21"/>
                <w:szCs w:val="21"/>
              </w:rPr>
            </w:pPr>
            <w:r>
              <w:rPr>
                <w:snapToGrid w:val="0"/>
                <w:kern w:val="2"/>
                <w:sz w:val="21"/>
                <w:szCs w:val="21"/>
              </w:rPr>
              <w:t>3</w:t>
            </w:r>
            <w:r>
              <w:rPr>
                <w:snapToGrid w:val="0"/>
                <w:kern w:val="2"/>
                <w:sz w:val="21"/>
                <w:szCs w:val="21"/>
              </w:rPr>
              <w:t>、对施工队伍实行职责管理，要求施工队伍按要求文明施工，并做好监督、检查和教育工作；</w:t>
            </w:r>
          </w:p>
          <w:p w14:paraId="28BF9D7B" w14:textId="77777777" w:rsidR="003E78AB" w:rsidRDefault="00010BF9">
            <w:pPr>
              <w:spacing w:line="360" w:lineRule="exact"/>
              <w:ind w:firstLineChars="0" w:firstLine="0"/>
              <w:jc w:val="left"/>
              <w:rPr>
                <w:snapToGrid w:val="0"/>
                <w:kern w:val="2"/>
                <w:sz w:val="21"/>
                <w:szCs w:val="21"/>
              </w:rPr>
            </w:pPr>
            <w:r>
              <w:rPr>
                <w:snapToGrid w:val="0"/>
                <w:kern w:val="2"/>
                <w:sz w:val="21"/>
                <w:szCs w:val="21"/>
              </w:rPr>
              <w:t>4</w:t>
            </w:r>
            <w:r>
              <w:rPr>
                <w:snapToGrid w:val="0"/>
                <w:kern w:val="2"/>
                <w:sz w:val="21"/>
                <w:szCs w:val="21"/>
              </w:rPr>
              <w:t>、按照环保主管部门的要求和本报告书中有关环境保护对策措施对施工程序和场地布置实施统一安排；</w:t>
            </w:r>
          </w:p>
          <w:p w14:paraId="5A0930DA" w14:textId="77777777" w:rsidR="003E78AB" w:rsidRDefault="00010BF9">
            <w:pPr>
              <w:spacing w:line="360" w:lineRule="exact"/>
              <w:ind w:firstLineChars="0" w:firstLine="0"/>
              <w:jc w:val="left"/>
              <w:rPr>
                <w:snapToGrid w:val="0"/>
                <w:kern w:val="2"/>
                <w:sz w:val="21"/>
                <w:szCs w:val="21"/>
              </w:rPr>
            </w:pPr>
            <w:r>
              <w:rPr>
                <w:snapToGrid w:val="0"/>
                <w:kern w:val="2"/>
                <w:sz w:val="21"/>
                <w:szCs w:val="21"/>
              </w:rPr>
              <w:t>5</w:t>
            </w:r>
            <w:r>
              <w:rPr>
                <w:snapToGrid w:val="0"/>
                <w:kern w:val="2"/>
                <w:sz w:val="21"/>
                <w:szCs w:val="21"/>
              </w:rPr>
              <w:t>、土建工程需要土石方的挖掘与运输、管道挖沟、施工建材机械等占地，对产生的扬尘应及时洒水，土石方回填，避免二次扬尘；</w:t>
            </w:r>
          </w:p>
          <w:p w14:paraId="2DA40BBD" w14:textId="77777777" w:rsidR="003E78AB" w:rsidRDefault="00010BF9">
            <w:pPr>
              <w:spacing w:line="360" w:lineRule="exact"/>
              <w:ind w:firstLineChars="0" w:firstLine="0"/>
              <w:jc w:val="left"/>
              <w:rPr>
                <w:snapToGrid w:val="0"/>
                <w:kern w:val="2"/>
                <w:sz w:val="21"/>
                <w:szCs w:val="21"/>
              </w:rPr>
            </w:pPr>
            <w:r>
              <w:rPr>
                <w:snapToGrid w:val="0"/>
                <w:kern w:val="2"/>
                <w:sz w:val="21"/>
                <w:szCs w:val="21"/>
              </w:rPr>
              <w:t>6</w:t>
            </w:r>
            <w:r>
              <w:rPr>
                <w:snapToGrid w:val="0"/>
                <w:kern w:val="2"/>
                <w:sz w:val="21"/>
                <w:szCs w:val="21"/>
              </w:rPr>
              <w:t>、合理布置施工场内的机械和设备，合理安排施工时间；</w:t>
            </w:r>
          </w:p>
          <w:p w14:paraId="096324C2" w14:textId="77777777" w:rsidR="003E78AB" w:rsidRDefault="00010BF9">
            <w:pPr>
              <w:spacing w:line="360" w:lineRule="exact"/>
              <w:ind w:firstLineChars="0" w:firstLine="0"/>
              <w:jc w:val="left"/>
              <w:rPr>
                <w:snapToGrid w:val="0"/>
                <w:kern w:val="2"/>
                <w:sz w:val="21"/>
                <w:szCs w:val="21"/>
              </w:rPr>
            </w:pPr>
            <w:r>
              <w:rPr>
                <w:snapToGrid w:val="0"/>
                <w:kern w:val="2"/>
                <w:sz w:val="21"/>
                <w:szCs w:val="21"/>
              </w:rPr>
              <w:t>7</w:t>
            </w:r>
            <w:r>
              <w:rPr>
                <w:snapToGrid w:val="0"/>
                <w:kern w:val="2"/>
                <w:sz w:val="21"/>
                <w:szCs w:val="21"/>
              </w:rPr>
              <w:t>、项目防渗工程施工时需留有影像资料备查，且项目防渗工程单独出具施工监理报告。</w:t>
            </w:r>
          </w:p>
        </w:tc>
        <w:tc>
          <w:tcPr>
            <w:tcW w:w="815" w:type="dxa"/>
          </w:tcPr>
          <w:p w14:paraId="3B85EAD0" w14:textId="77777777" w:rsidR="003E78AB" w:rsidRDefault="00010BF9">
            <w:pPr>
              <w:spacing w:line="360" w:lineRule="exact"/>
              <w:ind w:firstLineChars="0" w:firstLine="0"/>
              <w:jc w:val="center"/>
              <w:rPr>
                <w:snapToGrid w:val="0"/>
                <w:kern w:val="2"/>
                <w:sz w:val="21"/>
                <w:szCs w:val="21"/>
              </w:rPr>
            </w:pPr>
            <w:r>
              <w:rPr>
                <w:rFonts w:hint="eastAsia"/>
                <w:snapToGrid w:val="0"/>
                <w:kern w:val="2"/>
                <w:sz w:val="21"/>
                <w:szCs w:val="21"/>
              </w:rPr>
              <w:t>星辰新能</w:t>
            </w:r>
            <w:r>
              <w:rPr>
                <w:rFonts w:hint="eastAsia"/>
                <w:snapToGrid w:val="0"/>
                <w:kern w:val="2"/>
                <w:sz w:val="21"/>
                <w:szCs w:val="21"/>
              </w:rPr>
              <w:t>(</w:t>
            </w:r>
            <w:r>
              <w:rPr>
                <w:rFonts w:hint="eastAsia"/>
                <w:snapToGrid w:val="0"/>
                <w:kern w:val="2"/>
                <w:sz w:val="21"/>
                <w:szCs w:val="21"/>
              </w:rPr>
              <w:t>哈密</w:t>
            </w:r>
            <w:r>
              <w:rPr>
                <w:rFonts w:hint="eastAsia"/>
                <w:snapToGrid w:val="0"/>
                <w:kern w:val="2"/>
                <w:sz w:val="21"/>
                <w:szCs w:val="21"/>
              </w:rPr>
              <w:t>)</w:t>
            </w:r>
            <w:r>
              <w:rPr>
                <w:rFonts w:hint="eastAsia"/>
                <w:snapToGrid w:val="0"/>
                <w:kern w:val="2"/>
                <w:sz w:val="21"/>
                <w:szCs w:val="21"/>
              </w:rPr>
              <w:t>科技有限公司</w:t>
            </w:r>
          </w:p>
        </w:tc>
      </w:tr>
      <w:tr w:rsidR="003E78AB" w14:paraId="5CCFE225" w14:textId="77777777">
        <w:trPr>
          <w:trHeight w:val="340"/>
        </w:trPr>
        <w:tc>
          <w:tcPr>
            <w:tcW w:w="798" w:type="dxa"/>
          </w:tcPr>
          <w:p w14:paraId="30C4E2DA" w14:textId="77777777" w:rsidR="003E78AB" w:rsidRDefault="00010BF9">
            <w:pPr>
              <w:spacing w:line="360" w:lineRule="exact"/>
              <w:ind w:firstLineChars="0" w:firstLine="0"/>
              <w:jc w:val="center"/>
              <w:rPr>
                <w:snapToGrid w:val="0"/>
                <w:kern w:val="2"/>
                <w:sz w:val="21"/>
                <w:szCs w:val="21"/>
              </w:rPr>
            </w:pPr>
            <w:r>
              <w:rPr>
                <w:snapToGrid w:val="0"/>
                <w:kern w:val="2"/>
                <w:sz w:val="21"/>
                <w:szCs w:val="21"/>
              </w:rPr>
              <w:t>运营期</w:t>
            </w:r>
          </w:p>
        </w:tc>
        <w:tc>
          <w:tcPr>
            <w:tcW w:w="6823" w:type="dxa"/>
          </w:tcPr>
          <w:p w14:paraId="0C3F9AFE" w14:textId="77777777" w:rsidR="003E78AB" w:rsidRDefault="00010BF9">
            <w:pPr>
              <w:spacing w:line="360" w:lineRule="exact"/>
              <w:ind w:firstLineChars="0" w:firstLine="0"/>
              <w:jc w:val="left"/>
              <w:rPr>
                <w:snapToGrid w:val="0"/>
                <w:kern w:val="2"/>
                <w:sz w:val="21"/>
                <w:szCs w:val="21"/>
              </w:rPr>
            </w:pPr>
            <w:r>
              <w:rPr>
                <w:snapToGrid w:val="0"/>
                <w:kern w:val="2"/>
                <w:sz w:val="21"/>
                <w:szCs w:val="21"/>
              </w:rPr>
              <w:t>1</w:t>
            </w:r>
            <w:r>
              <w:rPr>
                <w:snapToGrid w:val="0"/>
                <w:kern w:val="2"/>
                <w:sz w:val="21"/>
                <w:szCs w:val="21"/>
              </w:rPr>
              <w:t>、本项目建设单位设置环保专职人员对各环保设施进行环保设备的正常运行管理、维护及维修；</w:t>
            </w:r>
          </w:p>
          <w:p w14:paraId="7F29B4EC" w14:textId="77777777" w:rsidR="003E78AB" w:rsidRDefault="00010BF9">
            <w:pPr>
              <w:spacing w:line="360" w:lineRule="exact"/>
              <w:ind w:firstLineChars="0" w:firstLine="0"/>
              <w:jc w:val="left"/>
              <w:rPr>
                <w:snapToGrid w:val="0"/>
                <w:kern w:val="2"/>
                <w:sz w:val="21"/>
                <w:szCs w:val="21"/>
              </w:rPr>
            </w:pPr>
            <w:r>
              <w:rPr>
                <w:snapToGrid w:val="0"/>
                <w:kern w:val="2"/>
                <w:sz w:val="21"/>
                <w:szCs w:val="21"/>
              </w:rPr>
              <w:t>2</w:t>
            </w:r>
            <w:r>
              <w:rPr>
                <w:snapToGrid w:val="0"/>
                <w:kern w:val="2"/>
                <w:sz w:val="21"/>
                <w:szCs w:val="21"/>
              </w:rPr>
              <w:t>、根据国家环保政策、标准及环境监测要求，制定该项目运行期环境管理规章制度、各种污染物排放指标；</w:t>
            </w:r>
          </w:p>
          <w:p w14:paraId="7E0EB9D7" w14:textId="77777777" w:rsidR="003E78AB" w:rsidRDefault="00010BF9">
            <w:pPr>
              <w:spacing w:line="360" w:lineRule="exact"/>
              <w:ind w:firstLineChars="0" w:firstLine="0"/>
              <w:jc w:val="left"/>
              <w:rPr>
                <w:snapToGrid w:val="0"/>
                <w:kern w:val="2"/>
                <w:sz w:val="21"/>
                <w:szCs w:val="21"/>
              </w:rPr>
            </w:pPr>
            <w:r>
              <w:rPr>
                <w:snapToGrid w:val="0"/>
                <w:kern w:val="2"/>
                <w:sz w:val="21"/>
                <w:szCs w:val="21"/>
              </w:rPr>
              <w:t>3</w:t>
            </w:r>
            <w:r>
              <w:rPr>
                <w:snapToGrid w:val="0"/>
                <w:kern w:val="2"/>
                <w:sz w:val="21"/>
                <w:szCs w:val="21"/>
              </w:rPr>
              <w:t>、对厂区内的公建设施给水管网、生产设备进行定期维护和检修，确保公建设施的正常运行及管网畅通；</w:t>
            </w:r>
          </w:p>
          <w:p w14:paraId="15FC73E8" w14:textId="77777777" w:rsidR="003E78AB" w:rsidRDefault="00010BF9">
            <w:pPr>
              <w:spacing w:line="360" w:lineRule="exact"/>
              <w:ind w:firstLineChars="0" w:firstLine="0"/>
              <w:jc w:val="left"/>
              <w:rPr>
                <w:snapToGrid w:val="0"/>
                <w:kern w:val="2"/>
                <w:sz w:val="21"/>
                <w:szCs w:val="21"/>
              </w:rPr>
            </w:pPr>
            <w:r>
              <w:rPr>
                <w:snapToGrid w:val="0"/>
                <w:kern w:val="2"/>
                <w:sz w:val="21"/>
                <w:szCs w:val="21"/>
              </w:rPr>
              <w:t>4</w:t>
            </w:r>
            <w:r>
              <w:rPr>
                <w:snapToGrid w:val="0"/>
                <w:kern w:val="2"/>
                <w:sz w:val="21"/>
                <w:szCs w:val="21"/>
              </w:rPr>
              <w:t>、原料危险废物及运行产生的危险废物设置专人负责，并制定相关管理制度及考核要求；</w:t>
            </w:r>
          </w:p>
          <w:p w14:paraId="10F73612" w14:textId="77777777" w:rsidR="003E78AB" w:rsidRDefault="00010BF9">
            <w:pPr>
              <w:spacing w:line="360" w:lineRule="exact"/>
              <w:ind w:firstLineChars="0" w:firstLine="0"/>
              <w:jc w:val="left"/>
              <w:rPr>
                <w:snapToGrid w:val="0"/>
                <w:kern w:val="2"/>
                <w:sz w:val="21"/>
                <w:szCs w:val="21"/>
              </w:rPr>
            </w:pPr>
            <w:r>
              <w:rPr>
                <w:snapToGrid w:val="0"/>
                <w:kern w:val="2"/>
                <w:sz w:val="21"/>
                <w:szCs w:val="21"/>
              </w:rPr>
              <w:t>5</w:t>
            </w:r>
            <w:r>
              <w:rPr>
                <w:snapToGrid w:val="0"/>
                <w:kern w:val="2"/>
                <w:sz w:val="21"/>
                <w:szCs w:val="21"/>
              </w:rPr>
              <w:t>、生活垃圾的收集管理应由专人负责，交由环卫部门运走，妥善处置；</w:t>
            </w:r>
          </w:p>
          <w:p w14:paraId="76E1F926" w14:textId="77777777" w:rsidR="003E78AB" w:rsidRDefault="00010BF9">
            <w:pPr>
              <w:spacing w:line="360" w:lineRule="exact"/>
              <w:ind w:firstLineChars="0" w:firstLine="0"/>
              <w:jc w:val="left"/>
              <w:rPr>
                <w:snapToGrid w:val="0"/>
                <w:kern w:val="2"/>
                <w:sz w:val="21"/>
                <w:szCs w:val="21"/>
              </w:rPr>
            </w:pPr>
            <w:r>
              <w:rPr>
                <w:snapToGrid w:val="0"/>
                <w:kern w:val="2"/>
                <w:sz w:val="21"/>
                <w:szCs w:val="21"/>
              </w:rPr>
              <w:t>6</w:t>
            </w:r>
            <w:r>
              <w:rPr>
                <w:snapToGrid w:val="0"/>
                <w:kern w:val="2"/>
                <w:sz w:val="21"/>
                <w:szCs w:val="21"/>
              </w:rPr>
              <w:t>、绿化能改善区域小气候和起到降噪除异味的作用，对厂区内的绿地必须有专人管理、养护</w:t>
            </w:r>
            <w:r>
              <w:rPr>
                <w:snapToGrid w:val="0"/>
                <w:kern w:val="2"/>
                <w:sz w:val="21"/>
                <w:szCs w:val="21"/>
              </w:rPr>
              <w:t>；</w:t>
            </w:r>
          </w:p>
          <w:p w14:paraId="562011E0" w14:textId="77777777" w:rsidR="003E78AB" w:rsidRDefault="00010BF9">
            <w:pPr>
              <w:spacing w:line="360" w:lineRule="exact"/>
              <w:ind w:firstLineChars="0" w:firstLine="0"/>
              <w:jc w:val="left"/>
              <w:rPr>
                <w:snapToGrid w:val="0"/>
                <w:kern w:val="2"/>
                <w:sz w:val="21"/>
                <w:szCs w:val="21"/>
              </w:rPr>
            </w:pPr>
            <w:r>
              <w:rPr>
                <w:snapToGrid w:val="0"/>
                <w:kern w:val="2"/>
                <w:sz w:val="21"/>
                <w:szCs w:val="21"/>
              </w:rPr>
              <w:t>7</w:t>
            </w:r>
            <w:r>
              <w:rPr>
                <w:snapToGrid w:val="0"/>
                <w:kern w:val="2"/>
                <w:sz w:val="21"/>
                <w:szCs w:val="21"/>
              </w:rPr>
              <w:t>、建设单位每年向其划拨环保设施运行维护费用，企业效益较好，可保障其环保设施运行维护经费。</w:t>
            </w:r>
          </w:p>
        </w:tc>
        <w:tc>
          <w:tcPr>
            <w:tcW w:w="815" w:type="dxa"/>
          </w:tcPr>
          <w:p w14:paraId="275AADF2" w14:textId="77777777" w:rsidR="003E78AB" w:rsidRDefault="00010BF9">
            <w:pPr>
              <w:spacing w:line="360" w:lineRule="exact"/>
              <w:ind w:firstLineChars="0" w:firstLine="0"/>
              <w:jc w:val="center"/>
              <w:rPr>
                <w:snapToGrid w:val="0"/>
                <w:kern w:val="2"/>
                <w:sz w:val="21"/>
                <w:szCs w:val="21"/>
              </w:rPr>
            </w:pPr>
            <w:r>
              <w:rPr>
                <w:rFonts w:hint="eastAsia"/>
                <w:snapToGrid w:val="0"/>
                <w:kern w:val="2"/>
                <w:sz w:val="21"/>
                <w:szCs w:val="21"/>
              </w:rPr>
              <w:t>星辰新能</w:t>
            </w:r>
            <w:r>
              <w:rPr>
                <w:rFonts w:hint="eastAsia"/>
                <w:snapToGrid w:val="0"/>
                <w:kern w:val="2"/>
                <w:sz w:val="21"/>
                <w:szCs w:val="21"/>
              </w:rPr>
              <w:t>(</w:t>
            </w:r>
            <w:r>
              <w:rPr>
                <w:rFonts w:hint="eastAsia"/>
                <w:snapToGrid w:val="0"/>
                <w:kern w:val="2"/>
                <w:sz w:val="21"/>
                <w:szCs w:val="21"/>
              </w:rPr>
              <w:t>哈密</w:t>
            </w:r>
            <w:r>
              <w:rPr>
                <w:rFonts w:hint="eastAsia"/>
                <w:snapToGrid w:val="0"/>
                <w:kern w:val="2"/>
                <w:sz w:val="21"/>
                <w:szCs w:val="21"/>
              </w:rPr>
              <w:t>)</w:t>
            </w:r>
            <w:r>
              <w:rPr>
                <w:rFonts w:hint="eastAsia"/>
                <w:snapToGrid w:val="0"/>
                <w:kern w:val="2"/>
                <w:sz w:val="21"/>
                <w:szCs w:val="21"/>
              </w:rPr>
              <w:t>科技有限公司</w:t>
            </w:r>
          </w:p>
        </w:tc>
      </w:tr>
    </w:tbl>
    <w:p w14:paraId="2E239F5A"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9.1</w:t>
      </w:r>
      <w:r>
        <w:rPr>
          <w:rFonts w:cs="Times New Roman"/>
          <w:sz w:val="28"/>
          <w:szCs w:val="28"/>
        </w:rPr>
        <w:t>.7</w:t>
      </w:r>
      <w:r>
        <w:rPr>
          <w:rFonts w:cs="Times New Roman"/>
          <w:sz w:val="28"/>
          <w:szCs w:val="28"/>
        </w:rPr>
        <w:t>环境管理台账</w:t>
      </w:r>
    </w:p>
    <w:p w14:paraId="27A5077A" w14:textId="77777777" w:rsidR="003E78AB" w:rsidRDefault="00010BF9">
      <w:pPr>
        <w:ind w:firstLine="480"/>
        <w:rPr>
          <w:bCs/>
          <w:kern w:val="2"/>
        </w:rPr>
      </w:pPr>
      <w:r>
        <w:rPr>
          <w:rFonts w:hint="eastAsia"/>
          <w:bCs/>
          <w:kern w:val="2"/>
        </w:rPr>
        <w:t>星辰新能</w:t>
      </w:r>
      <w:r>
        <w:rPr>
          <w:rFonts w:hint="eastAsia"/>
          <w:bCs/>
          <w:kern w:val="2"/>
        </w:rPr>
        <w:t>(</w:t>
      </w:r>
      <w:r>
        <w:rPr>
          <w:rFonts w:hint="eastAsia"/>
          <w:bCs/>
          <w:kern w:val="2"/>
        </w:rPr>
        <w:t>哈密</w:t>
      </w:r>
      <w:r>
        <w:rPr>
          <w:rFonts w:hint="eastAsia"/>
          <w:bCs/>
          <w:kern w:val="2"/>
        </w:rPr>
        <w:t>)</w:t>
      </w:r>
      <w:r>
        <w:rPr>
          <w:rFonts w:hint="eastAsia"/>
          <w:bCs/>
          <w:kern w:val="2"/>
        </w:rPr>
        <w:t>科技有限公司</w:t>
      </w:r>
      <w:r>
        <w:rPr>
          <w:bCs/>
          <w:kern w:val="2"/>
        </w:rPr>
        <w:t>应根据《排污单位环境管理台账及排污许可执行报告技术规范</w:t>
      </w:r>
      <w:r>
        <w:rPr>
          <w:rFonts w:hint="eastAsia"/>
          <w:bCs/>
          <w:kern w:val="2"/>
        </w:rPr>
        <w:t xml:space="preserve"> </w:t>
      </w:r>
      <w:r>
        <w:rPr>
          <w:bCs/>
          <w:kern w:val="2"/>
        </w:rPr>
        <w:t>总则》和《排污许可证申请与核发技术规范</w:t>
      </w:r>
      <w:r>
        <w:rPr>
          <w:rFonts w:hint="eastAsia"/>
          <w:bCs/>
          <w:kern w:val="2"/>
        </w:rPr>
        <w:t xml:space="preserve"> </w:t>
      </w:r>
      <w:r>
        <w:rPr>
          <w:bCs/>
          <w:kern w:val="2"/>
        </w:rPr>
        <w:t>总则》（</w:t>
      </w:r>
      <w:r>
        <w:rPr>
          <w:bCs/>
          <w:kern w:val="2"/>
        </w:rPr>
        <w:t>HJ942-2018</w:t>
      </w:r>
      <w:r>
        <w:rPr>
          <w:bCs/>
          <w:kern w:val="2"/>
        </w:rPr>
        <w:t>）要求建立了环境管理台账记录制度，落实环境管理台账记录的责任部门为安环部，明确了工作职责，包括台账的记录、整理、维护和管理等，并对环境管理台账的真实性、完整性和规范性负责。</w:t>
      </w:r>
    </w:p>
    <w:p w14:paraId="011CAD9D" w14:textId="77777777" w:rsidR="003E78AB" w:rsidRDefault="00010BF9">
      <w:pPr>
        <w:ind w:firstLine="480"/>
        <w:rPr>
          <w:bCs/>
          <w:kern w:val="2"/>
        </w:rPr>
      </w:pPr>
      <w:r>
        <w:rPr>
          <w:bCs/>
          <w:kern w:val="2"/>
        </w:rPr>
        <w:t>企业现有环境管理台账应分为电子化储存和纸质储存两种形式同步管理。环境管理台账记录有以下内容：基本信息、生产设施运行管理信息和污染防治设施运行管理信息、监测记录信息和其他环境管理信息等。</w:t>
      </w:r>
    </w:p>
    <w:p w14:paraId="443D0EC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.7.1</w:t>
      </w:r>
      <w:r>
        <w:rPr>
          <w:rFonts w:ascii="Times New Roman" w:hAnsi="Times New Roman"/>
        </w:rPr>
        <w:t>基本信息</w:t>
      </w:r>
    </w:p>
    <w:p w14:paraId="756D4268" w14:textId="77777777" w:rsidR="003E78AB" w:rsidRDefault="00010BF9">
      <w:pPr>
        <w:ind w:firstLine="480"/>
        <w:rPr>
          <w:bCs/>
          <w:kern w:val="2"/>
        </w:rPr>
      </w:pPr>
      <w:r>
        <w:rPr>
          <w:bCs/>
          <w:kern w:val="2"/>
        </w:rPr>
        <w:t>基本信息主要包括排污单位生产设施基本信息、污染防治设施基本信息。</w:t>
      </w:r>
    </w:p>
    <w:p w14:paraId="7B99921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.7.2</w:t>
      </w:r>
      <w:r>
        <w:rPr>
          <w:rFonts w:ascii="Times New Roman" w:hAnsi="Times New Roman"/>
        </w:rPr>
        <w:t>生产设施运行管理信息</w:t>
      </w:r>
    </w:p>
    <w:p w14:paraId="4D8604AC" w14:textId="77777777" w:rsidR="003E78AB" w:rsidRDefault="00010BF9">
      <w:pPr>
        <w:ind w:firstLine="480"/>
        <w:rPr>
          <w:bCs/>
          <w:kern w:val="2"/>
        </w:rPr>
      </w:pPr>
      <w:r>
        <w:rPr>
          <w:bCs/>
          <w:kern w:val="2"/>
        </w:rPr>
        <w:t>包括主体工程、公用工程、辅助工程、储运工程等单元的生产设施运行管理信息。分正常工况和非正常工况进行记录，正常工况主要记录运行状态、生产负荷、主要产品产量、原辅料及燃料等；非正常工况主要记录起止时间、产品产量、原辅料及燃料消耗量、时间起因、应对措施、是否报告等。</w:t>
      </w:r>
    </w:p>
    <w:p w14:paraId="296E1A9E"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.7.3</w:t>
      </w:r>
      <w:r>
        <w:rPr>
          <w:rFonts w:ascii="Times New Roman" w:hAnsi="Times New Roman"/>
        </w:rPr>
        <w:t>污染防治设施运行管理信息</w:t>
      </w:r>
    </w:p>
    <w:p w14:paraId="7FFFFAF5" w14:textId="77777777" w:rsidR="003E78AB" w:rsidRDefault="00010BF9">
      <w:pPr>
        <w:ind w:firstLine="480"/>
        <w:rPr>
          <w:bCs/>
          <w:kern w:val="2"/>
        </w:rPr>
      </w:pPr>
      <w:r>
        <w:rPr>
          <w:bCs/>
          <w:kern w:val="2"/>
        </w:rPr>
        <w:t>（</w:t>
      </w:r>
      <w:r>
        <w:rPr>
          <w:bCs/>
          <w:kern w:val="2"/>
        </w:rPr>
        <w:t>1</w:t>
      </w:r>
      <w:r>
        <w:rPr>
          <w:bCs/>
          <w:kern w:val="2"/>
        </w:rPr>
        <w:t>）正常情况：污染防治设施运行信息应按照设施类别分别记录设施的实际运行相关参数和维护记录。</w:t>
      </w:r>
    </w:p>
    <w:p w14:paraId="1A4B87DC" w14:textId="77777777" w:rsidR="003E78AB" w:rsidRDefault="00010BF9">
      <w:pPr>
        <w:ind w:firstLine="480"/>
        <w:rPr>
          <w:bCs/>
          <w:kern w:val="2"/>
        </w:rPr>
      </w:pPr>
      <w:r>
        <w:rPr>
          <w:bCs/>
          <w:kern w:val="2"/>
        </w:rPr>
        <w:t>①</w:t>
      </w:r>
      <w:r>
        <w:rPr>
          <w:bCs/>
          <w:kern w:val="2"/>
        </w:rPr>
        <w:t>有组织废气治理设施记录设施名称</w:t>
      </w:r>
      <w:r>
        <w:rPr>
          <w:bCs/>
          <w:kern w:val="2"/>
        </w:rPr>
        <w:t>/</w:t>
      </w:r>
      <w:r>
        <w:rPr>
          <w:bCs/>
          <w:kern w:val="2"/>
        </w:rPr>
        <w:t>编码、设施运行时间、主要运行参数、排气量、主要污染因子及治理效率、排气筒高度、排气</w:t>
      </w:r>
      <w:r>
        <w:rPr>
          <w:bCs/>
          <w:kern w:val="2"/>
        </w:rPr>
        <w:t>筒温度、停运时间。</w:t>
      </w:r>
    </w:p>
    <w:p w14:paraId="5EA7CA54" w14:textId="77777777" w:rsidR="003E78AB" w:rsidRDefault="00010BF9">
      <w:pPr>
        <w:ind w:firstLine="480"/>
        <w:rPr>
          <w:bCs/>
          <w:kern w:val="2"/>
        </w:rPr>
      </w:pPr>
      <w:r>
        <w:rPr>
          <w:bCs/>
          <w:kern w:val="2"/>
        </w:rPr>
        <w:t>②</w:t>
      </w:r>
      <w:r>
        <w:rPr>
          <w:bCs/>
          <w:kern w:val="2"/>
        </w:rPr>
        <w:t>无组织废气排放控制记录措施执行情况，应包括记录时间、无组织排放源、采取的控制措施及简要描述。</w:t>
      </w:r>
    </w:p>
    <w:p w14:paraId="6609D653" w14:textId="77777777" w:rsidR="003E78AB" w:rsidRDefault="00010BF9">
      <w:pPr>
        <w:ind w:firstLine="480"/>
        <w:rPr>
          <w:bCs/>
          <w:kern w:val="2"/>
        </w:rPr>
      </w:pPr>
      <w:r>
        <w:rPr>
          <w:bCs/>
          <w:kern w:val="2"/>
        </w:rPr>
        <w:t>③</w:t>
      </w:r>
      <w:r>
        <w:rPr>
          <w:rFonts w:hint="eastAsia"/>
          <w:bCs/>
          <w:kern w:val="2"/>
        </w:rPr>
        <w:t>高盐</w:t>
      </w:r>
      <w:r>
        <w:rPr>
          <w:bCs/>
          <w:kern w:val="2"/>
        </w:rPr>
        <w:t>废水处理设施运行情况应包括设施名称</w:t>
      </w:r>
      <w:r>
        <w:rPr>
          <w:bCs/>
          <w:kern w:val="2"/>
        </w:rPr>
        <w:t>/</w:t>
      </w:r>
      <w:r>
        <w:rPr>
          <w:bCs/>
          <w:kern w:val="2"/>
        </w:rPr>
        <w:t>编码、主要运行参数、流量、</w:t>
      </w:r>
      <w:r>
        <w:rPr>
          <w:rFonts w:hint="eastAsia"/>
          <w:bCs/>
          <w:kern w:val="2"/>
        </w:rPr>
        <w:t>冷凝水回用量</w:t>
      </w:r>
      <w:r>
        <w:rPr>
          <w:bCs/>
          <w:kern w:val="2"/>
        </w:rPr>
        <w:t>、</w:t>
      </w:r>
      <w:r>
        <w:rPr>
          <w:rFonts w:hint="eastAsia"/>
          <w:bCs/>
          <w:kern w:val="2"/>
        </w:rPr>
        <w:t>结晶盐</w:t>
      </w:r>
      <w:r>
        <w:rPr>
          <w:bCs/>
          <w:kern w:val="2"/>
        </w:rPr>
        <w:t>产生量及处理方式、停运时间。</w:t>
      </w:r>
    </w:p>
    <w:p w14:paraId="227017E1" w14:textId="77777777" w:rsidR="003E78AB" w:rsidRDefault="00010BF9">
      <w:pPr>
        <w:ind w:firstLine="480"/>
        <w:rPr>
          <w:bCs/>
          <w:kern w:val="2"/>
        </w:rPr>
      </w:pPr>
      <w:r>
        <w:rPr>
          <w:bCs/>
          <w:kern w:val="2"/>
        </w:rPr>
        <w:t>④</w:t>
      </w:r>
      <w:r>
        <w:rPr>
          <w:bCs/>
          <w:kern w:val="2"/>
        </w:rPr>
        <w:t>自身产生的一般工业固体废物</w:t>
      </w:r>
      <w:r>
        <w:rPr>
          <w:bCs/>
          <w:kern w:val="2"/>
        </w:rPr>
        <w:t>/</w:t>
      </w:r>
      <w:r>
        <w:rPr>
          <w:bCs/>
          <w:kern w:val="2"/>
        </w:rPr>
        <w:t>危险废物贮存、利用、处置信息应包括记录时间、产废设施名称</w:t>
      </w:r>
      <w:r>
        <w:rPr>
          <w:bCs/>
          <w:kern w:val="2"/>
        </w:rPr>
        <w:t>/</w:t>
      </w:r>
      <w:r>
        <w:rPr>
          <w:bCs/>
          <w:kern w:val="2"/>
        </w:rPr>
        <w:t>编码、产生的废物名称及类别（属于危险废物的还包括危险废物代码）、废物去向。废物去向包括利用、处置、贮存和委外转移，按照实际情况分别记录利用量、处置量</w:t>
      </w:r>
      <w:r>
        <w:rPr>
          <w:rFonts w:hint="eastAsia"/>
          <w:bCs/>
          <w:kern w:val="2"/>
        </w:rPr>
        <w:t>和</w:t>
      </w:r>
      <w:r>
        <w:rPr>
          <w:bCs/>
          <w:kern w:val="2"/>
        </w:rPr>
        <w:t>贮存量以及相应的设施名称或编号，委外的记</w:t>
      </w:r>
      <w:r>
        <w:rPr>
          <w:bCs/>
          <w:kern w:val="2"/>
        </w:rPr>
        <w:t>录转移量、转移联单编号、委托单位。</w:t>
      </w:r>
    </w:p>
    <w:p w14:paraId="4150D187" w14:textId="77777777" w:rsidR="003E78AB" w:rsidRDefault="00010BF9">
      <w:pPr>
        <w:ind w:firstLine="480"/>
        <w:rPr>
          <w:bCs/>
          <w:kern w:val="2"/>
        </w:rPr>
      </w:pPr>
      <w:r>
        <w:rPr>
          <w:bCs/>
          <w:kern w:val="2"/>
        </w:rPr>
        <w:t>（</w:t>
      </w:r>
      <w:r>
        <w:rPr>
          <w:bCs/>
          <w:kern w:val="2"/>
        </w:rPr>
        <w:t>2</w:t>
      </w:r>
      <w:r>
        <w:rPr>
          <w:bCs/>
          <w:kern w:val="2"/>
        </w:rPr>
        <w:t>）非正常工况应记录起止时间、生产设施名称</w:t>
      </w:r>
      <w:r>
        <w:rPr>
          <w:bCs/>
          <w:kern w:val="2"/>
        </w:rPr>
        <w:t>/</w:t>
      </w:r>
      <w:r>
        <w:rPr>
          <w:bCs/>
          <w:kern w:val="2"/>
        </w:rPr>
        <w:t>编码、非正常工况下的固体废物利用</w:t>
      </w:r>
      <w:r>
        <w:rPr>
          <w:bCs/>
          <w:kern w:val="2"/>
        </w:rPr>
        <w:t>/</w:t>
      </w:r>
      <w:r>
        <w:rPr>
          <w:bCs/>
          <w:kern w:val="2"/>
        </w:rPr>
        <w:t>处置情况、辅料添加情况、燃料适用情况、时间原因、对应措施，并记录是否报告。</w:t>
      </w:r>
    </w:p>
    <w:p w14:paraId="54830A20" w14:textId="77777777" w:rsidR="003E78AB" w:rsidRDefault="00010BF9">
      <w:pPr>
        <w:ind w:firstLine="480"/>
        <w:rPr>
          <w:bCs/>
          <w:kern w:val="2"/>
        </w:rPr>
      </w:pPr>
      <w:r>
        <w:rPr>
          <w:bCs/>
          <w:kern w:val="2"/>
        </w:rPr>
        <w:t>污染防治设施异常情况应记录异常情况起止时间、设施名称或编码、设施异常情况下的污染物排放情况、时间原因、对应措施，并记录是否报告。</w:t>
      </w:r>
    </w:p>
    <w:p w14:paraId="42283E8C" w14:textId="77777777" w:rsidR="003E78AB" w:rsidRDefault="00010BF9">
      <w:pPr>
        <w:ind w:firstLine="480"/>
        <w:rPr>
          <w:bCs/>
          <w:kern w:val="2"/>
        </w:rPr>
      </w:pPr>
      <w:r>
        <w:rPr>
          <w:bCs/>
          <w:kern w:val="2"/>
        </w:rPr>
        <w:t>（</w:t>
      </w:r>
      <w:r>
        <w:rPr>
          <w:bCs/>
          <w:kern w:val="2"/>
        </w:rPr>
        <w:t>3</w:t>
      </w:r>
      <w:r>
        <w:rPr>
          <w:bCs/>
          <w:kern w:val="2"/>
        </w:rPr>
        <w:t>）环保设施检查、维护记录要求</w:t>
      </w:r>
    </w:p>
    <w:p w14:paraId="1CF4614B" w14:textId="77777777" w:rsidR="003E78AB" w:rsidRDefault="00010BF9">
      <w:pPr>
        <w:ind w:firstLine="480"/>
        <w:rPr>
          <w:bCs/>
          <w:kern w:val="2"/>
        </w:rPr>
      </w:pPr>
      <w:r>
        <w:rPr>
          <w:bCs/>
          <w:kern w:val="2"/>
        </w:rPr>
        <w:t>①</w:t>
      </w:r>
      <w:r>
        <w:rPr>
          <w:bCs/>
          <w:kern w:val="2"/>
        </w:rPr>
        <w:t>废气治理措施设施</w:t>
      </w:r>
    </w:p>
    <w:p w14:paraId="66454B51" w14:textId="77777777" w:rsidR="003E78AB" w:rsidRDefault="00010BF9">
      <w:pPr>
        <w:ind w:firstLine="480"/>
        <w:rPr>
          <w:bCs/>
          <w:kern w:val="2"/>
        </w:rPr>
      </w:pPr>
      <w:r>
        <w:rPr>
          <w:bCs/>
          <w:kern w:val="2"/>
        </w:rPr>
        <w:t>废气治理措施设施应每班检查：是否正常、故障原因、维护过程、检查人、检查日期及班次。</w:t>
      </w:r>
    </w:p>
    <w:p w14:paraId="0B6750CC" w14:textId="77777777" w:rsidR="003E78AB" w:rsidRDefault="00010BF9">
      <w:pPr>
        <w:ind w:firstLine="480"/>
        <w:rPr>
          <w:bCs/>
          <w:kern w:val="2"/>
        </w:rPr>
      </w:pPr>
      <w:r>
        <w:rPr>
          <w:bCs/>
          <w:kern w:val="2"/>
        </w:rPr>
        <w:t>废气治理措施应每周检查：提升阀、脉冲阀、气源压力、提</w:t>
      </w:r>
      <w:r>
        <w:rPr>
          <w:bCs/>
          <w:kern w:val="2"/>
        </w:rPr>
        <w:t>升盖板、有无漏风、维护过程运行时间、检查人、检查日期。</w:t>
      </w:r>
    </w:p>
    <w:p w14:paraId="15936AF1" w14:textId="77777777" w:rsidR="003E78AB" w:rsidRDefault="00010BF9">
      <w:pPr>
        <w:ind w:firstLine="480"/>
        <w:rPr>
          <w:bCs/>
          <w:kern w:val="2"/>
        </w:rPr>
      </w:pPr>
      <w:r>
        <w:rPr>
          <w:bCs/>
          <w:kern w:val="2"/>
        </w:rPr>
        <w:t>②</w:t>
      </w:r>
      <w:r>
        <w:rPr>
          <w:bCs/>
          <w:kern w:val="2"/>
        </w:rPr>
        <w:t>无组织治理设施</w:t>
      </w:r>
    </w:p>
    <w:p w14:paraId="537A684E" w14:textId="77777777" w:rsidR="003E78AB" w:rsidRDefault="00010BF9">
      <w:pPr>
        <w:ind w:firstLine="480"/>
        <w:rPr>
          <w:bCs/>
          <w:kern w:val="2"/>
        </w:rPr>
      </w:pPr>
      <w:r>
        <w:rPr>
          <w:bCs/>
          <w:kern w:val="2"/>
        </w:rPr>
        <w:t>无组织治理设施应每天检查并记录：设施（设备）名称、无组织管控措施是否正常、故障原因、维护过程、检查人、检查日期等信息。</w:t>
      </w:r>
    </w:p>
    <w:p w14:paraId="1A00607D" w14:textId="77777777" w:rsidR="003E78AB" w:rsidRDefault="00010BF9">
      <w:pPr>
        <w:ind w:firstLine="480"/>
        <w:rPr>
          <w:bCs/>
          <w:kern w:val="2"/>
        </w:rPr>
      </w:pPr>
      <w:r>
        <w:rPr>
          <w:bCs/>
          <w:kern w:val="2"/>
        </w:rPr>
        <w:t>③</w:t>
      </w:r>
      <w:r>
        <w:rPr>
          <w:rFonts w:hint="eastAsia"/>
          <w:bCs/>
          <w:kern w:val="2"/>
        </w:rPr>
        <w:t>蒸发结晶</w:t>
      </w:r>
      <w:r>
        <w:rPr>
          <w:bCs/>
          <w:kern w:val="2"/>
        </w:rPr>
        <w:t>设施</w:t>
      </w:r>
    </w:p>
    <w:p w14:paraId="1B826152" w14:textId="77777777" w:rsidR="003E78AB" w:rsidRDefault="00010BF9">
      <w:pPr>
        <w:ind w:firstLine="480"/>
        <w:rPr>
          <w:bCs/>
          <w:kern w:val="2"/>
        </w:rPr>
      </w:pPr>
      <w:r>
        <w:rPr>
          <w:rFonts w:hint="eastAsia"/>
          <w:bCs/>
          <w:kern w:val="2"/>
        </w:rPr>
        <w:t>蒸发结晶</w:t>
      </w:r>
      <w:r>
        <w:rPr>
          <w:bCs/>
          <w:kern w:val="2"/>
        </w:rPr>
        <w:t>设施应每天检查：风机、水泵和设施等是否正常、故障原因、维护过程、检查人、检查日期等信息。</w:t>
      </w:r>
    </w:p>
    <w:p w14:paraId="73DC4C52" w14:textId="77777777" w:rsidR="003E78AB" w:rsidRDefault="00010BF9">
      <w:pPr>
        <w:ind w:firstLine="480"/>
        <w:rPr>
          <w:bCs/>
          <w:kern w:val="2"/>
        </w:rPr>
      </w:pPr>
      <w:r>
        <w:rPr>
          <w:rFonts w:hint="eastAsia"/>
          <w:bCs/>
          <w:kern w:val="2"/>
        </w:rPr>
        <w:t>蒸发结晶</w:t>
      </w:r>
      <w:r>
        <w:rPr>
          <w:bCs/>
          <w:kern w:val="2"/>
        </w:rPr>
        <w:t>设施应每周记录：处理水量、回用量</w:t>
      </w:r>
      <w:r>
        <w:rPr>
          <w:rFonts w:hint="eastAsia"/>
          <w:bCs/>
          <w:kern w:val="2"/>
        </w:rPr>
        <w:t>、结晶盐产生量</w:t>
      </w:r>
      <w:r>
        <w:rPr>
          <w:bCs/>
          <w:kern w:val="2"/>
        </w:rPr>
        <w:t>。</w:t>
      </w:r>
    </w:p>
    <w:p w14:paraId="6568D535"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.7.4</w:t>
      </w:r>
      <w:r>
        <w:rPr>
          <w:rFonts w:ascii="Times New Roman" w:hAnsi="Times New Roman"/>
        </w:rPr>
        <w:t>监测记录信息</w:t>
      </w:r>
    </w:p>
    <w:p w14:paraId="01C82FFE" w14:textId="77777777" w:rsidR="003E78AB" w:rsidRDefault="00010BF9">
      <w:pPr>
        <w:ind w:firstLine="480"/>
        <w:rPr>
          <w:bCs/>
          <w:kern w:val="2"/>
        </w:rPr>
      </w:pPr>
      <w:r>
        <w:rPr>
          <w:bCs/>
          <w:kern w:val="2"/>
        </w:rPr>
        <w:t>监测记录包括有组织废气污染物监测、无组织废气污染物监测、废水污染物监测以及地下水监测。监测记录信息应包括监测日期、监测时间、监测结果、监测期间工况、若有超标记录超标原因。有监测报告的可只记录监测期间工况及超标排放的超标原因。</w:t>
      </w:r>
    </w:p>
    <w:p w14:paraId="77E5DFA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.7.5</w:t>
      </w:r>
      <w:r>
        <w:rPr>
          <w:rFonts w:ascii="Times New Roman" w:hAnsi="Times New Roman"/>
        </w:rPr>
        <w:t>其他环境管理信息</w:t>
      </w:r>
    </w:p>
    <w:p w14:paraId="48C26609" w14:textId="77777777" w:rsidR="003E78AB" w:rsidRDefault="00010BF9">
      <w:pPr>
        <w:ind w:firstLine="480"/>
        <w:rPr>
          <w:bCs/>
          <w:kern w:val="2"/>
        </w:rPr>
      </w:pPr>
      <w:r>
        <w:rPr>
          <w:bCs/>
          <w:kern w:val="2"/>
        </w:rPr>
        <w:t>排污单位应记录无组织废气污染治理措施运行、维护、管理相关的信息。排污单位在特殊时段应记录管理要求、执行情况（包括特殊时段生产设施运行管理信息和污染防治设施运行管理信息）等。</w:t>
      </w:r>
    </w:p>
    <w:p w14:paraId="64D1399D" w14:textId="77777777" w:rsidR="003E78AB" w:rsidRDefault="00010BF9">
      <w:pPr>
        <w:ind w:firstLine="480"/>
        <w:rPr>
          <w:bCs/>
          <w:kern w:val="2"/>
        </w:rPr>
      </w:pPr>
      <w:r>
        <w:rPr>
          <w:bCs/>
          <w:kern w:val="2"/>
        </w:rPr>
        <w:t>排污单位还应根据管理部门要求和排污单位自行监测内容需求，自行增补记录。</w:t>
      </w:r>
    </w:p>
    <w:p w14:paraId="499C2DC7"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.7.6</w:t>
      </w:r>
      <w:r>
        <w:rPr>
          <w:rFonts w:ascii="Times New Roman" w:hAnsi="Times New Roman"/>
        </w:rPr>
        <w:t>记录频次</w:t>
      </w:r>
    </w:p>
    <w:p w14:paraId="0794FACC" w14:textId="77777777" w:rsidR="003E78AB" w:rsidRDefault="00010BF9">
      <w:pPr>
        <w:ind w:firstLine="480"/>
        <w:rPr>
          <w:bCs/>
          <w:kern w:val="2"/>
        </w:rPr>
      </w:pPr>
      <w:r>
        <w:rPr>
          <w:bCs/>
          <w:kern w:val="2"/>
        </w:rPr>
        <w:t>（</w:t>
      </w:r>
      <w:r>
        <w:rPr>
          <w:bCs/>
          <w:kern w:val="2"/>
        </w:rPr>
        <w:t>1</w:t>
      </w:r>
      <w:r>
        <w:rPr>
          <w:bCs/>
          <w:kern w:val="2"/>
        </w:rPr>
        <w:t>）基本信息</w:t>
      </w:r>
    </w:p>
    <w:p w14:paraId="79660CDE" w14:textId="77777777" w:rsidR="003E78AB" w:rsidRDefault="00010BF9">
      <w:pPr>
        <w:ind w:firstLine="480"/>
        <w:rPr>
          <w:bCs/>
          <w:kern w:val="2"/>
        </w:rPr>
      </w:pPr>
      <w:r>
        <w:rPr>
          <w:bCs/>
          <w:kern w:val="2"/>
        </w:rPr>
        <w:t>对于未发生变化的基本信息，按年记录，每年一次；对于发生变化的基本信息，在发生变化时记录一次。</w:t>
      </w:r>
    </w:p>
    <w:p w14:paraId="5B0899A8" w14:textId="77777777" w:rsidR="003E78AB" w:rsidRDefault="00010BF9">
      <w:pPr>
        <w:ind w:firstLine="480"/>
        <w:rPr>
          <w:bCs/>
          <w:kern w:val="2"/>
        </w:rPr>
      </w:pPr>
      <w:r>
        <w:rPr>
          <w:bCs/>
          <w:kern w:val="2"/>
        </w:rPr>
        <w:t>（</w:t>
      </w:r>
      <w:r>
        <w:rPr>
          <w:bCs/>
          <w:kern w:val="2"/>
        </w:rPr>
        <w:t>2</w:t>
      </w:r>
      <w:r>
        <w:rPr>
          <w:bCs/>
          <w:kern w:val="2"/>
        </w:rPr>
        <w:t>）生产设施运行管理信息</w:t>
      </w:r>
    </w:p>
    <w:p w14:paraId="73FBA95B" w14:textId="77777777" w:rsidR="003E78AB" w:rsidRDefault="00010BF9">
      <w:pPr>
        <w:ind w:firstLine="480"/>
        <w:rPr>
          <w:bCs/>
          <w:kern w:val="2"/>
        </w:rPr>
      </w:pPr>
      <w:r>
        <w:rPr>
          <w:bCs/>
          <w:kern w:val="2"/>
        </w:rPr>
        <w:t>正常工况：</w:t>
      </w:r>
    </w:p>
    <w:p w14:paraId="189CF468" w14:textId="77777777" w:rsidR="003E78AB" w:rsidRDefault="00010BF9">
      <w:pPr>
        <w:ind w:firstLine="480"/>
        <w:rPr>
          <w:bCs/>
          <w:kern w:val="2"/>
        </w:rPr>
      </w:pPr>
      <w:r>
        <w:rPr>
          <w:bCs/>
          <w:kern w:val="2"/>
        </w:rPr>
        <w:t>①</w:t>
      </w:r>
      <w:r>
        <w:rPr>
          <w:bCs/>
          <w:kern w:val="2"/>
        </w:rPr>
        <w:t>运行状态：一般按日或批次记录，</w:t>
      </w:r>
      <w:r>
        <w:rPr>
          <w:bCs/>
          <w:kern w:val="2"/>
        </w:rPr>
        <w:t>1</w:t>
      </w:r>
      <w:r>
        <w:rPr>
          <w:bCs/>
          <w:kern w:val="2"/>
        </w:rPr>
        <w:t>次</w:t>
      </w:r>
      <w:r>
        <w:rPr>
          <w:bCs/>
          <w:kern w:val="2"/>
        </w:rPr>
        <w:t>/</w:t>
      </w:r>
      <w:r>
        <w:rPr>
          <w:bCs/>
          <w:kern w:val="2"/>
        </w:rPr>
        <w:t>日或批次。</w:t>
      </w:r>
    </w:p>
    <w:p w14:paraId="5859066F" w14:textId="77777777" w:rsidR="003E78AB" w:rsidRDefault="00010BF9">
      <w:pPr>
        <w:ind w:firstLine="480"/>
        <w:rPr>
          <w:bCs/>
          <w:kern w:val="2"/>
        </w:rPr>
      </w:pPr>
      <w:r>
        <w:rPr>
          <w:bCs/>
          <w:kern w:val="2"/>
        </w:rPr>
        <w:t>②</w:t>
      </w:r>
      <w:r>
        <w:rPr>
          <w:bCs/>
          <w:kern w:val="2"/>
        </w:rPr>
        <w:t>生产负荷：一般按日或批次记录，</w:t>
      </w:r>
      <w:r>
        <w:rPr>
          <w:bCs/>
          <w:kern w:val="2"/>
        </w:rPr>
        <w:t>1</w:t>
      </w:r>
      <w:r>
        <w:rPr>
          <w:bCs/>
          <w:kern w:val="2"/>
        </w:rPr>
        <w:t>次</w:t>
      </w:r>
      <w:r>
        <w:rPr>
          <w:bCs/>
          <w:kern w:val="2"/>
        </w:rPr>
        <w:t>/</w:t>
      </w:r>
      <w:r>
        <w:rPr>
          <w:bCs/>
          <w:kern w:val="2"/>
        </w:rPr>
        <w:t>日或批次。</w:t>
      </w:r>
    </w:p>
    <w:p w14:paraId="6A58A331" w14:textId="77777777" w:rsidR="003E78AB" w:rsidRDefault="00010BF9">
      <w:pPr>
        <w:ind w:firstLine="480"/>
        <w:rPr>
          <w:bCs/>
          <w:kern w:val="2"/>
        </w:rPr>
      </w:pPr>
      <w:r>
        <w:rPr>
          <w:bCs/>
          <w:kern w:val="2"/>
        </w:rPr>
        <w:t>③</w:t>
      </w:r>
      <w:r>
        <w:rPr>
          <w:bCs/>
          <w:kern w:val="2"/>
        </w:rPr>
        <w:t>产品产量：连续生产的，按日记录，</w:t>
      </w:r>
      <w:r>
        <w:rPr>
          <w:bCs/>
          <w:kern w:val="2"/>
        </w:rPr>
        <w:t>1</w:t>
      </w:r>
      <w:r>
        <w:rPr>
          <w:bCs/>
          <w:kern w:val="2"/>
        </w:rPr>
        <w:t>次</w:t>
      </w:r>
      <w:r>
        <w:rPr>
          <w:bCs/>
          <w:kern w:val="2"/>
        </w:rPr>
        <w:t>/</w:t>
      </w:r>
      <w:r>
        <w:rPr>
          <w:bCs/>
          <w:kern w:val="2"/>
        </w:rPr>
        <w:t>日。非连续生产的，按照生产周期记录，</w:t>
      </w:r>
      <w:r>
        <w:rPr>
          <w:bCs/>
          <w:kern w:val="2"/>
        </w:rPr>
        <w:t>1</w:t>
      </w:r>
      <w:r>
        <w:rPr>
          <w:bCs/>
          <w:kern w:val="2"/>
        </w:rPr>
        <w:t>次</w:t>
      </w:r>
      <w:r>
        <w:rPr>
          <w:bCs/>
          <w:kern w:val="2"/>
        </w:rPr>
        <w:t>/</w:t>
      </w:r>
      <w:r>
        <w:rPr>
          <w:bCs/>
          <w:kern w:val="2"/>
        </w:rPr>
        <w:t>周期；周期小于</w:t>
      </w:r>
      <w:r>
        <w:rPr>
          <w:bCs/>
          <w:kern w:val="2"/>
        </w:rPr>
        <w:t>1</w:t>
      </w:r>
      <w:r>
        <w:rPr>
          <w:bCs/>
          <w:kern w:val="2"/>
        </w:rPr>
        <w:t>天的，按日记录，</w:t>
      </w:r>
      <w:r>
        <w:rPr>
          <w:bCs/>
          <w:kern w:val="2"/>
        </w:rPr>
        <w:t>1</w:t>
      </w:r>
      <w:r>
        <w:rPr>
          <w:bCs/>
          <w:kern w:val="2"/>
        </w:rPr>
        <w:t>次</w:t>
      </w:r>
      <w:r>
        <w:rPr>
          <w:bCs/>
          <w:kern w:val="2"/>
        </w:rPr>
        <w:t>/</w:t>
      </w:r>
      <w:r>
        <w:rPr>
          <w:bCs/>
          <w:kern w:val="2"/>
        </w:rPr>
        <w:t>日。</w:t>
      </w:r>
    </w:p>
    <w:p w14:paraId="65798AF4" w14:textId="77777777" w:rsidR="003E78AB" w:rsidRDefault="00010BF9">
      <w:pPr>
        <w:ind w:firstLine="480"/>
        <w:rPr>
          <w:bCs/>
          <w:kern w:val="2"/>
        </w:rPr>
      </w:pPr>
      <w:r>
        <w:rPr>
          <w:bCs/>
          <w:kern w:val="2"/>
        </w:rPr>
        <w:t>④</w:t>
      </w:r>
      <w:r>
        <w:rPr>
          <w:bCs/>
          <w:kern w:val="2"/>
        </w:rPr>
        <w:t>原辅料：按照采购批次记录，</w:t>
      </w:r>
      <w:r>
        <w:rPr>
          <w:bCs/>
          <w:kern w:val="2"/>
        </w:rPr>
        <w:t>1</w:t>
      </w:r>
      <w:r>
        <w:rPr>
          <w:bCs/>
          <w:kern w:val="2"/>
        </w:rPr>
        <w:t>次</w:t>
      </w:r>
      <w:r>
        <w:rPr>
          <w:bCs/>
          <w:kern w:val="2"/>
        </w:rPr>
        <w:t>/</w:t>
      </w:r>
      <w:r>
        <w:rPr>
          <w:bCs/>
          <w:kern w:val="2"/>
        </w:rPr>
        <w:t>批。</w:t>
      </w:r>
    </w:p>
    <w:p w14:paraId="02D4B206" w14:textId="77777777" w:rsidR="003E78AB" w:rsidRDefault="00010BF9">
      <w:pPr>
        <w:ind w:firstLine="480"/>
        <w:rPr>
          <w:bCs/>
          <w:kern w:val="2"/>
        </w:rPr>
      </w:pPr>
      <w:r>
        <w:rPr>
          <w:bCs/>
          <w:kern w:val="2"/>
        </w:rPr>
        <w:t>⑤</w:t>
      </w:r>
      <w:r>
        <w:rPr>
          <w:bCs/>
          <w:kern w:val="2"/>
        </w:rPr>
        <w:t>燃料：按照采购批次记录，</w:t>
      </w:r>
      <w:r>
        <w:rPr>
          <w:bCs/>
          <w:kern w:val="2"/>
        </w:rPr>
        <w:t>1</w:t>
      </w:r>
      <w:r>
        <w:rPr>
          <w:bCs/>
          <w:kern w:val="2"/>
        </w:rPr>
        <w:t>次</w:t>
      </w:r>
      <w:r>
        <w:rPr>
          <w:bCs/>
          <w:kern w:val="2"/>
        </w:rPr>
        <w:t>/</w:t>
      </w:r>
      <w:r>
        <w:rPr>
          <w:bCs/>
          <w:kern w:val="2"/>
        </w:rPr>
        <w:t>批。</w:t>
      </w:r>
    </w:p>
    <w:p w14:paraId="34BE3B90" w14:textId="77777777" w:rsidR="003E78AB" w:rsidRDefault="00010BF9">
      <w:pPr>
        <w:ind w:firstLine="480"/>
        <w:rPr>
          <w:bCs/>
          <w:kern w:val="2"/>
        </w:rPr>
      </w:pPr>
      <w:r>
        <w:rPr>
          <w:bCs/>
          <w:kern w:val="2"/>
        </w:rPr>
        <w:t>异常情况：非正常工况开始时刻至工况恢复正</w:t>
      </w:r>
      <w:r>
        <w:rPr>
          <w:bCs/>
          <w:kern w:val="2"/>
        </w:rPr>
        <w:t>常时刻为一个记录工况期。</w:t>
      </w:r>
    </w:p>
    <w:p w14:paraId="00FFE3AD" w14:textId="77777777" w:rsidR="003E78AB" w:rsidRDefault="00010BF9">
      <w:pPr>
        <w:ind w:firstLine="480"/>
        <w:rPr>
          <w:bCs/>
          <w:kern w:val="2"/>
        </w:rPr>
      </w:pPr>
      <w:r>
        <w:rPr>
          <w:bCs/>
          <w:kern w:val="2"/>
        </w:rPr>
        <w:t>（</w:t>
      </w:r>
      <w:r>
        <w:rPr>
          <w:bCs/>
          <w:kern w:val="2"/>
        </w:rPr>
        <w:t>3</w:t>
      </w:r>
      <w:r>
        <w:rPr>
          <w:bCs/>
          <w:kern w:val="2"/>
        </w:rPr>
        <w:t>）污染防治设施运行管理信息</w:t>
      </w:r>
    </w:p>
    <w:p w14:paraId="73CE1E97" w14:textId="77777777" w:rsidR="003E78AB" w:rsidRDefault="00010BF9">
      <w:pPr>
        <w:ind w:firstLine="480"/>
        <w:rPr>
          <w:bCs/>
          <w:kern w:val="2"/>
        </w:rPr>
      </w:pPr>
      <w:r>
        <w:rPr>
          <w:bCs/>
          <w:kern w:val="2"/>
        </w:rPr>
        <w:t>正常情况：</w:t>
      </w:r>
    </w:p>
    <w:p w14:paraId="45787048" w14:textId="77777777" w:rsidR="003E78AB" w:rsidRDefault="00010BF9">
      <w:pPr>
        <w:ind w:firstLine="480"/>
        <w:rPr>
          <w:bCs/>
          <w:kern w:val="2"/>
        </w:rPr>
      </w:pPr>
      <w:r>
        <w:rPr>
          <w:bCs/>
          <w:kern w:val="2"/>
        </w:rPr>
        <w:t>①</w:t>
      </w:r>
      <w:r>
        <w:rPr>
          <w:bCs/>
          <w:kern w:val="2"/>
        </w:rPr>
        <w:t>运行情况：按日记录，</w:t>
      </w:r>
      <w:r>
        <w:rPr>
          <w:bCs/>
          <w:kern w:val="2"/>
        </w:rPr>
        <w:t>1</w:t>
      </w:r>
      <w:r>
        <w:rPr>
          <w:bCs/>
          <w:kern w:val="2"/>
        </w:rPr>
        <w:t>次</w:t>
      </w:r>
      <w:r>
        <w:rPr>
          <w:bCs/>
          <w:kern w:val="2"/>
        </w:rPr>
        <w:t>/</w:t>
      </w:r>
      <w:r>
        <w:rPr>
          <w:bCs/>
          <w:kern w:val="2"/>
        </w:rPr>
        <w:t>日。</w:t>
      </w:r>
    </w:p>
    <w:p w14:paraId="38784F0D" w14:textId="77777777" w:rsidR="003E78AB" w:rsidRDefault="00010BF9">
      <w:pPr>
        <w:ind w:firstLine="480"/>
        <w:rPr>
          <w:bCs/>
          <w:kern w:val="2"/>
        </w:rPr>
      </w:pPr>
      <w:r>
        <w:rPr>
          <w:bCs/>
          <w:kern w:val="2"/>
        </w:rPr>
        <w:t>②</w:t>
      </w:r>
      <w:r>
        <w:rPr>
          <w:bCs/>
          <w:kern w:val="2"/>
        </w:rPr>
        <w:t>主要药剂添加情况：按日或批次记录，</w:t>
      </w:r>
      <w:r>
        <w:rPr>
          <w:bCs/>
          <w:kern w:val="2"/>
        </w:rPr>
        <w:t>1</w:t>
      </w:r>
      <w:r>
        <w:rPr>
          <w:bCs/>
          <w:kern w:val="2"/>
        </w:rPr>
        <w:t>次</w:t>
      </w:r>
      <w:r>
        <w:rPr>
          <w:bCs/>
          <w:kern w:val="2"/>
        </w:rPr>
        <w:t>/</w:t>
      </w:r>
      <w:r>
        <w:rPr>
          <w:bCs/>
          <w:kern w:val="2"/>
        </w:rPr>
        <w:t>日或批次。</w:t>
      </w:r>
    </w:p>
    <w:p w14:paraId="7A7D77D7" w14:textId="77777777" w:rsidR="003E78AB" w:rsidRDefault="00010BF9">
      <w:pPr>
        <w:ind w:firstLine="480"/>
        <w:rPr>
          <w:bCs/>
          <w:kern w:val="2"/>
        </w:rPr>
      </w:pPr>
      <w:r>
        <w:rPr>
          <w:bCs/>
          <w:kern w:val="2"/>
        </w:rPr>
        <w:t>③DCS</w:t>
      </w:r>
      <w:r>
        <w:rPr>
          <w:bCs/>
          <w:kern w:val="2"/>
        </w:rPr>
        <w:t>曲线图：按月记录，</w:t>
      </w:r>
      <w:r>
        <w:rPr>
          <w:bCs/>
          <w:kern w:val="2"/>
        </w:rPr>
        <w:t>1</w:t>
      </w:r>
      <w:r>
        <w:rPr>
          <w:bCs/>
          <w:kern w:val="2"/>
        </w:rPr>
        <w:t>次</w:t>
      </w:r>
      <w:r>
        <w:rPr>
          <w:bCs/>
          <w:kern w:val="2"/>
        </w:rPr>
        <w:t>/</w:t>
      </w:r>
      <w:r>
        <w:rPr>
          <w:bCs/>
          <w:kern w:val="2"/>
        </w:rPr>
        <w:t>月。</w:t>
      </w:r>
    </w:p>
    <w:p w14:paraId="3A6B764E" w14:textId="77777777" w:rsidR="003E78AB" w:rsidRDefault="00010BF9">
      <w:pPr>
        <w:ind w:firstLine="480"/>
        <w:rPr>
          <w:bCs/>
          <w:kern w:val="2"/>
        </w:rPr>
      </w:pPr>
      <w:r>
        <w:rPr>
          <w:bCs/>
          <w:kern w:val="2"/>
        </w:rPr>
        <w:t>异常情况：按照异常情况期记录，</w:t>
      </w:r>
      <w:r>
        <w:rPr>
          <w:bCs/>
          <w:kern w:val="2"/>
        </w:rPr>
        <w:t>1</w:t>
      </w:r>
      <w:r>
        <w:rPr>
          <w:bCs/>
          <w:kern w:val="2"/>
        </w:rPr>
        <w:t>次</w:t>
      </w:r>
      <w:r>
        <w:rPr>
          <w:bCs/>
          <w:kern w:val="2"/>
        </w:rPr>
        <w:t>/</w:t>
      </w:r>
      <w:r>
        <w:rPr>
          <w:bCs/>
          <w:kern w:val="2"/>
        </w:rPr>
        <w:t>异常情况期。</w:t>
      </w:r>
    </w:p>
    <w:p w14:paraId="47A66A46" w14:textId="77777777" w:rsidR="003E78AB" w:rsidRDefault="00010BF9">
      <w:pPr>
        <w:ind w:firstLine="480"/>
        <w:rPr>
          <w:bCs/>
          <w:kern w:val="2"/>
        </w:rPr>
      </w:pPr>
      <w:r>
        <w:rPr>
          <w:bCs/>
          <w:kern w:val="2"/>
        </w:rPr>
        <w:t>（</w:t>
      </w:r>
      <w:r>
        <w:rPr>
          <w:bCs/>
          <w:kern w:val="2"/>
        </w:rPr>
        <w:t>4</w:t>
      </w:r>
      <w:r>
        <w:rPr>
          <w:bCs/>
          <w:kern w:val="2"/>
        </w:rPr>
        <w:t>）监测记录信息</w:t>
      </w:r>
    </w:p>
    <w:p w14:paraId="5647D466" w14:textId="77777777" w:rsidR="003E78AB" w:rsidRDefault="00010BF9">
      <w:pPr>
        <w:ind w:firstLine="480"/>
        <w:rPr>
          <w:bCs/>
          <w:kern w:val="2"/>
        </w:rPr>
      </w:pPr>
      <w:r>
        <w:rPr>
          <w:bCs/>
          <w:kern w:val="2"/>
        </w:rPr>
        <w:t>监测数据的记录频次与本次环境管理监测规定的废气、废水监测频次一致。</w:t>
      </w:r>
    </w:p>
    <w:p w14:paraId="1CAC2626" w14:textId="77777777" w:rsidR="003E78AB" w:rsidRDefault="00010BF9">
      <w:pPr>
        <w:ind w:firstLine="480"/>
        <w:rPr>
          <w:bCs/>
          <w:kern w:val="2"/>
        </w:rPr>
      </w:pPr>
      <w:r>
        <w:rPr>
          <w:bCs/>
          <w:kern w:val="2"/>
        </w:rPr>
        <w:t>（</w:t>
      </w:r>
      <w:r>
        <w:rPr>
          <w:bCs/>
          <w:kern w:val="2"/>
        </w:rPr>
        <w:t>5</w:t>
      </w:r>
      <w:r>
        <w:rPr>
          <w:bCs/>
          <w:kern w:val="2"/>
        </w:rPr>
        <w:t>）其他环境管理信息</w:t>
      </w:r>
    </w:p>
    <w:p w14:paraId="13403229" w14:textId="77777777" w:rsidR="003E78AB" w:rsidRDefault="00010BF9">
      <w:pPr>
        <w:ind w:firstLine="480"/>
        <w:rPr>
          <w:bCs/>
          <w:kern w:val="2"/>
        </w:rPr>
      </w:pPr>
      <w:r>
        <w:rPr>
          <w:bCs/>
          <w:kern w:val="2"/>
        </w:rPr>
        <w:t>采取无组织废气污染控制措施的信息记录频次原则上不低于</w:t>
      </w:r>
      <w:r>
        <w:rPr>
          <w:bCs/>
          <w:kern w:val="2"/>
        </w:rPr>
        <w:t>1</w:t>
      </w:r>
      <w:r>
        <w:rPr>
          <w:bCs/>
          <w:kern w:val="2"/>
        </w:rPr>
        <w:t>次</w:t>
      </w:r>
      <w:r>
        <w:rPr>
          <w:bCs/>
          <w:kern w:val="2"/>
        </w:rPr>
        <w:t>/d</w:t>
      </w:r>
      <w:r>
        <w:rPr>
          <w:bCs/>
          <w:kern w:val="2"/>
        </w:rPr>
        <w:t>。</w:t>
      </w:r>
    </w:p>
    <w:p w14:paraId="20D104C5" w14:textId="77777777" w:rsidR="003E78AB" w:rsidRDefault="00010BF9">
      <w:pPr>
        <w:ind w:firstLine="480"/>
        <w:rPr>
          <w:bCs/>
          <w:kern w:val="2"/>
        </w:rPr>
      </w:pPr>
      <w:r>
        <w:rPr>
          <w:bCs/>
          <w:kern w:val="2"/>
        </w:rPr>
        <w:t>重污染天气应对期间等特殊时段的台账记录频次原则上与正常生产记录频次一致，涉及特殊时段停产的</w:t>
      </w:r>
      <w:r>
        <w:rPr>
          <w:bCs/>
          <w:kern w:val="2"/>
        </w:rPr>
        <w:t>排污单位或生产工序，该期间原则上仅对起始和结束当天进行</w:t>
      </w:r>
      <w:r>
        <w:rPr>
          <w:bCs/>
          <w:kern w:val="2"/>
        </w:rPr>
        <w:t>1</w:t>
      </w:r>
      <w:r>
        <w:rPr>
          <w:bCs/>
          <w:kern w:val="2"/>
        </w:rPr>
        <w:t>次记录，地方生态环境主管部门有特殊要求的，从其规定。</w:t>
      </w:r>
    </w:p>
    <w:p w14:paraId="0DB0C40C"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9.1</w:t>
      </w:r>
      <w:r>
        <w:rPr>
          <w:rFonts w:ascii="Times New Roman" w:hAnsi="Times New Roman"/>
        </w:rPr>
        <w:t>.7.7</w:t>
      </w:r>
      <w:r>
        <w:rPr>
          <w:rFonts w:ascii="Times New Roman" w:hAnsi="Times New Roman"/>
        </w:rPr>
        <w:t>记录存储及保存</w:t>
      </w:r>
    </w:p>
    <w:p w14:paraId="515DC8F7" w14:textId="77777777" w:rsidR="003E78AB" w:rsidRDefault="00010BF9">
      <w:pPr>
        <w:ind w:firstLine="480"/>
        <w:rPr>
          <w:bCs/>
          <w:kern w:val="2"/>
        </w:rPr>
      </w:pPr>
      <w:r>
        <w:rPr>
          <w:bCs/>
          <w:kern w:val="2"/>
        </w:rPr>
        <w:t>环境台账应按照纸质储存和电子化储存两种形式同步管理，本次评价要求台账保存期限不得少于五年。</w:t>
      </w:r>
    </w:p>
    <w:p w14:paraId="15F385F2" w14:textId="77777777" w:rsidR="003E78AB" w:rsidRDefault="00010BF9">
      <w:pPr>
        <w:ind w:firstLine="480"/>
        <w:rPr>
          <w:bCs/>
          <w:kern w:val="2"/>
        </w:rPr>
      </w:pPr>
      <w:r>
        <w:rPr>
          <w:bCs/>
          <w:kern w:val="2"/>
        </w:rPr>
        <w:t>纸质台账应存放于保护袋、卷夹或保护盒等保存媒介中，专人保存于专门的档案保存地点，并由相关人员签字。档案保存应采取防光、防热、防潮、防细菌及防污染等措施。纸质类档案如有破损应随时修补。</w:t>
      </w:r>
    </w:p>
    <w:p w14:paraId="3A666311" w14:textId="77777777" w:rsidR="003E78AB" w:rsidRDefault="00010BF9">
      <w:pPr>
        <w:ind w:firstLine="480"/>
      </w:pPr>
      <w:r>
        <w:rPr>
          <w:bCs/>
          <w:kern w:val="2"/>
        </w:rPr>
        <w:t>电子台账保存于专门存贮设备中，并保留备份数据。存贮设备由专人负责管理，定期进行维护。电子台账根据</w:t>
      </w:r>
      <w:r>
        <w:rPr>
          <w:bCs/>
          <w:kern w:val="2"/>
        </w:rPr>
        <w:t>地方生态环境主管部门管理要求定期上传，纸质台账由排污单位留存备查。</w:t>
      </w:r>
    </w:p>
    <w:p w14:paraId="04F347F7" w14:textId="77777777" w:rsidR="003E78AB" w:rsidRDefault="00010BF9">
      <w:pPr>
        <w:pStyle w:val="24"/>
        <w:keepNext w:val="0"/>
        <w:keepLines w:val="0"/>
        <w:topLinePunct/>
        <w:spacing w:before="120"/>
        <w:rPr>
          <w:rFonts w:cs="Times New Roman"/>
        </w:rPr>
      </w:pPr>
      <w:bookmarkStart w:id="493" w:name="_Toc309715440"/>
      <w:bookmarkStart w:id="494" w:name="_Toc454899410"/>
      <w:bookmarkStart w:id="495" w:name="_Toc17517"/>
      <w:bookmarkStart w:id="496" w:name="_Toc78"/>
      <w:r>
        <w:rPr>
          <w:rFonts w:cs="Times New Roman" w:hint="eastAsia"/>
        </w:rPr>
        <w:t>9.2</w:t>
      </w:r>
      <w:r>
        <w:rPr>
          <w:rFonts w:cs="Times New Roman"/>
        </w:rPr>
        <w:t>环境</w:t>
      </w:r>
      <w:bookmarkEnd w:id="493"/>
      <w:bookmarkEnd w:id="494"/>
      <w:r>
        <w:rPr>
          <w:rFonts w:cs="Times New Roman"/>
        </w:rPr>
        <w:t>监测</w:t>
      </w:r>
      <w:bookmarkEnd w:id="495"/>
      <w:bookmarkEnd w:id="496"/>
    </w:p>
    <w:p w14:paraId="041C7878" w14:textId="77777777" w:rsidR="003E78AB" w:rsidRDefault="00010BF9">
      <w:pPr>
        <w:pStyle w:val="24"/>
        <w:keepNext w:val="0"/>
        <w:keepLines w:val="0"/>
        <w:topLinePunct/>
        <w:spacing w:before="120"/>
        <w:outlineLvl w:val="2"/>
        <w:rPr>
          <w:rFonts w:cs="Times New Roman"/>
          <w:sz w:val="28"/>
          <w:szCs w:val="28"/>
        </w:rPr>
      </w:pPr>
      <w:bookmarkStart w:id="497" w:name="_Toc309715441"/>
      <w:r>
        <w:rPr>
          <w:rFonts w:cs="Times New Roman" w:hint="eastAsia"/>
          <w:sz w:val="28"/>
          <w:szCs w:val="28"/>
        </w:rPr>
        <w:t>9.2</w:t>
      </w:r>
      <w:r>
        <w:rPr>
          <w:rFonts w:cs="Times New Roman"/>
          <w:sz w:val="28"/>
          <w:szCs w:val="28"/>
        </w:rPr>
        <w:t>.1</w:t>
      </w:r>
      <w:bookmarkEnd w:id="497"/>
      <w:r>
        <w:rPr>
          <w:rFonts w:cs="Times New Roman"/>
          <w:sz w:val="28"/>
          <w:szCs w:val="28"/>
        </w:rPr>
        <w:t>环境监测目的</w:t>
      </w:r>
    </w:p>
    <w:p w14:paraId="53464DBD" w14:textId="77777777" w:rsidR="003E78AB" w:rsidRDefault="00010BF9">
      <w:pPr>
        <w:ind w:firstLine="480"/>
        <w:rPr>
          <w:bCs/>
          <w:kern w:val="2"/>
        </w:rPr>
      </w:pPr>
      <w:r>
        <w:rPr>
          <w:bCs/>
          <w:kern w:val="2"/>
        </w:rPr>
        <w:t>通过对工程运行中环保设施进行监控，掌握废气、废水、噪声等污染源排放是否符合国家或地方排放标准的要求，做到达标排放，同时对废气、废水、固体废物及噪声防治设施进行监督检查，保证正常运行。</w:t>
      </w:r>
    </w:p>
    <w:p w14:paraId="4B2123B3"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9.2</w:t>
      </w:r>
      <w:r>
        <w:rPr>
          <w:rFonts w:cs="Times New Roman"/>
          <w:sz w:val="28"/>
          <w:szCs w:val="28"/>
        </w:rPr>
        <w:t>.2</w:t>
      </w:r>
      <w:r>
        <w:rPr>
          <w:rFonts w:cs="Times New Roman"/>
          <w:sz w:val="28"/>
          <w:szCs w:val="28"/>
        </w:rPr>
        <w:t>监测计划</w:t>
      </w:r>
    </w:p>
    <w:p w14:paraId="51637446" w14:textId="77777777" w:rsidR="003E78AB" w:rsidRDefault="00010BF9">
      <w:pPr>
        <w:ind w:firstLine="480"/>
        <w:rPr>
          <w:bCs/>
          <w:kern w:val="2"/>
        </w:rPr>
      </w:pPr>
      <w:bookmarkStart w:id="498" w:name="_Toc309715442"/>
      <w:r>
        <w:rPr>
          <w:bCs/>
          <w:kern w:val="2"/>
        </w:rPr>
        <w:t>（</w:t>
      </w:r>
      <w:r>
        <w:rPr>
          <w:bCs/>
          <w:kern w:val="2"/>
        </w:rPr>
        <w:t>1</w:t>
      </w:r>
      <w:r>
        <w:rPr>
          <w:bCs/>
          <w:kern w:val="2"/>
        </w:rPr>
        <w:t>）污染源监测</w:t>
      </w:r>
    </w:p>
    <w:p w14:paraId="6F7090FF" w14:textId="77777777" w:rsidR="003E78AB" w:rsidRDefault="00010BF9">
      <w:pPr>
        <w:ind w:firstLine="480"/>
        <w:rPr>
          <w:bCs/>
          <w:kern w:val="2"/>
        </w:rPr>
      </w:pPr>
      <w:r>
        <w:rPr>
          <w:bCs/>
          <w:kern w:val="2"/>
        </w:rPr>
        <w:t>根据生产特征和污染物的排放特征，依据国家颁布的环境质量标准，污染物排放标准及地方环保部门的要求，结合《排污单位自行监测技术指南</w:t>
      </w:r>
      <w:r>
        <w:rPr>
          <w:rFonts w:hint="eastAsia"/>
          <w:bCs/>
          <w:kern w:val="2"/>
        </w:rPr>
        <w:t xml:space="preserve"> </w:t>
      </w:r>
      <w:r>
        <w:rPr>
          <w:rFonts w:hint="eastAsia"/>
          <w:bCs/>
          <w:kern w:val="2"/>
        </w:rPr>
        <w:t>总则</w:t>
      </w:r>
      <w:r>
        <w:rPr>
          <w:bCs/>
          <w:kern w:val="2"/>
        </w:rPr>
        <w:t>》（</w:t>
      </w:r>
      <w:r>
        <w:rPr>
          <w:bCs/>
          <w:kern w:val="2"/>
        </w:rPr>
        <w:t>HJ883-2017</w:t>
      </w:r>
      <w:r>
        <w:rPr>
          <w:bCs/>
          <w:kern w:val="2"/>
        </w:rPr>
        <w:t>）、《排污许可证申请与核发技术规范专用</w:t>
      </w:r>
      <w:r>
        <w:rPr>
          <w:bCs/>
          <w:kern w:val="2"/>
        </w:rPr>
        <w:t xml:space="preserve"> </w:t>
      </w:r>
      <w:r>
        <w:rPr>
          <w:bCs/>
          <w:kern w:val="2"/>
        </w:rPr>
        <w:t>化学产品制造工业》（</w:t>
      </w:r>
      <w:r>
        <w:rPr>
          <w:bCs/>
          <w:kern w:val="2"/>
        </w:rPr>
        <w:t>HJ1103-2020</w:t>
      </w:r>
      <w:r>
        <w:rPr>
          <w:bCs/>
          <w:kern w:val="2"/>
        </w:rPr>
        <w:t>）中相关规定，制定工程的监测计划和工作方案，监测工作可委托有资质的检（监）测机构承担。</w:t>
      </w:r>
    </w:p>
    <w:p w14:paraId="4C77723C" w14:textId="77777777" w:rsidR="003E78AB" w:rsidRDefault="00010BF9">
      <w:pPr>
        <w:ind w:firstLine="480"/>
        <w:rPr>
          <w:bCs/>
          <w:kern w:val="2"/>
        </w:rPr>
      </w:pPr>
      <w:r>
        <w:rPr>
          <w:bCs/>
          <w:kern w:val="2"/>
        </w:rPr>
        <w:t>本项目污染物监测计划详见表</w:t>
      </w:r>
      <w:r>
        <w:rPr>
          <w:rFonts w:hint="eastAsia"/>
          <w:bCs/>
          <w:kern w:val="2"/>
        </w:rPr>
        <w:t>9-2</w:t>
      </w:r>
      <w:r>
        <w:rPr>
          <w:bCs/>
          <w:kern w:val="2"/>
        </w:rPr>
        <w:t>。</w:t>
      </w:r>
    </w:p>
    <w:p w14:paraId="1D663B58" w14:textId="77777777" w:rsidR="003E78AB" w:rsidRDefault="003E78AB">
      <w:pPr>
        <w:pStyle w:val="a5"/>
        <w:numPr>
          <w:ilvl w:val="0"/>
          <w:numId w:val="0"/>
        </w:numPr>
        <w:sectPr w:rsidR="003E78AB">
          <w:pgSz w:w="11906" w:h="16838"/>
          <w:pgMar w:top="1440" w:right="1803" w:bottom="1440" w:left="1803" w:header="851" w:footer="992" w:gutter="0"/>
          <w:cols w:space="720"/>
          <w:docGrid w:linePitch="312"/>
        </w:sectPr>
      </w:pPr>
    </w:p>
    <w:p w14:paraId="75FF66BF" w14:textId="77777777" w:rsidR="003E78AB" w:rsidRDefault="00010BF9">
      <w:pPr>
        <w:pStyle w:val="a5"/>
        <w:numPr>
          <w:ilvl w:val="0"/>
          <w:numId w:val="0"/>
        </w:numPr>
      </w:pPr>
      <w:r>
        <w:t>表</w:t>
      </w:r>
      <w:r>
        <w:rPr>
          <w:rFonts w:hint="eastAsia"/>
        </w:rPr>
        <w:t xml:space="preserve">9-2  </w:t>
      </w:r>
      <w:r>
        <w:t>环境保护监测内容一览表</w:t>
      </w:r>
    </w:p>
    <w:tbl>
      <w:tblPr>
        <w:tblStyle w:val="TableNormal"/>
        <w:tblW w:w="508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888"/>
        <w:gridCol w:w="1008"/>
        <w:gridCol w:w="2029"/>
        <w:gridCol w:w="1047"/>
        <w:gridCol w:w="1107"/>
        <w:gridCol w:w="1981"/>
        <w:gridCol w:w="988"/>
        <w:gridCol w:w="1172"/>
        <w:gridCol w:w="1785"/>
        <w:gridCol w:w="1726"/>
      </w:tblGrid>
      <w:tr w:rsidR="003E78AB" w14:paraId="4E3BD17C" w14:textId="77777777">
        <w:trPr>
          <w:trHeight w:val="434"/>
          <w:tblHeader/>
        </w:trPr>
        <w:tc>
          <w:tcPr>
            <w:tcW w:w="475" w:type="pct"/>
            <w:gridSpan w:val="2"/>
            <w:vMerge w:val="restart"/>
            <w:vAlign w:val="center"/>
          </w:tcPr>
          <w:p w14:paraId="6215AE09" w14:textId="77777777" w:rsidR="003E78AB" w:rsidRDefault="00010BF9">
            <w:pPr>
              <w:pStyle w:val="aff6"/>
              <w:topLinePunct/>
              <w:rPr>
                <w:b/>
                <w:bCs/>
              </w:rPr>
            </w:pPr>
            <w:r>
              <w:rPr>
                <w:b/>
                <w:bCs/>
              </w:rPr>
              <w:t>监测</w:t>
            </w:r>
            <w:r>
              <w:rPr>
                <w:rFonts w:hint="eastAsia"/>
                <w:b/>
                <w:bCs/>
              </w:rPr>
              <w:t>类型</w:t>
            </w:r>
          </w:p>
        </w:tc>
        <w:tc>
          <w:tcPr>
            <w:tcW w:w="355" w:type="pct"/>
            <w:vMerge w:val="restart"/>
            <w:vAlign w:val="center"/>
          </w:tcPr>
          <w:p w14:paraId="74C28AD3" w14:textId="77777777" w:rsidR="003E78AB" w:rsidRDefault="00010BF9">
            <w:pPr>
              <w:pStyle w:val="aff6"/>
              <w:topLinePunct/>
              <w:rPr>
                <w:b/>
                <w:bCs/>
              </w:rPr>
            </w:pPr>
            <w:r>
              <w:rPr>
                <w:b/>
                <w:bCs/>
              </w:rPr>
              <w:t>排气筒</w:t>
            </w:r>
          </w:p>
        </w:tc>
        <w:tc>
          <w:tcPr>
            <w:tcW w:w="715" w:type="pct"/>
            <w:vMerge w:val="restart"/>
            <w:vAlign w:val="center"/>
          </w:tcPr>
          <w:p w14:paraId="6654AEA5" w14:textId="77777777" w:rsidR="003E78AB" w:rsidRDefault="00010BF9">
            <w:pPr>
              <w:pStyle w:val="aff6"/>
              <w:topLinePunct/>
              <w:rPr>
                <w:b/>
                <w:bCs/>
              </w:rPr>
            </w:pPr>
            <w:r>
              <w:rPr>
                <w:b/>
                <w:bCs/>
              </w:rPr>
              <w:t>污染源</w:t>
            </w:r>
          </w:p>
        </w:tc>
        <w:tc>
          <w:tcPr>
            <w:tcW w:w="369" w:type="pct"/>
            <w:vMerge w:val="restart"/>
            <w:vAlign w:val="center"/>
          </w:tcPr>
          <w:p w14:paraId="59BCE2A8" w14:textId="77777777" w:rsidR="003E78AB" w:rsidRDefault="00010BF9">
            <w:pPr>
              <w:pStyle w:val="aff6"/>
              <w:topLinePunct/>
              <w:rPr>
                <w:b/>
                <w:bCs/>
              </w:rPr>
            </w:pPr>
            <w:r>
              <w:rPr>
                <w:b/>
                <w:bCs/>
              </w:rPr>
              <w:t>监测指标</w:t>
            </w:r>
          </w:p>
        </w:tc>
        <w:tc>
          <w:tcPr>
            <w:tcW w:w="390" w:type="pct"/>
            <w:vMerge w:val="restart"/>
            <w:vAlign w:val="center"/>
          </w:tcPr>
          <w:p w14:paraId="3E502464" w14:textId="77777777" w:rsidR="003E78AB" w:rsidRDefault="00010BF9">
            <w:pPr>
              <w:pStyle w:val="aff6"/>
              <w:topLinePunct/>
              <w:rPr>
                <w:b/>
                <w:bCs/>
              </w:rPr>
            </w:pPr>
            <w:r>
              <w:rPr>
                <w:b/>
                <w:bCs/>
              </w:rPr>
              <w:t>监测频次</w:t>
            </w:r>
          </w:p>
        </w:tc>
        <w:tc>
          <w:tcPr>
            <w:tcW w:w="698" w:type="pct"/>
            <w:vMerge w:val="restart"/>
            <w:vAlign w:val="center"/>
          </w:tcPr>
          <w:p w14:paraId="2390F69B" w14:textId="77777777" w:rsidR="003E78AB" w:rsidRDefault="00010BF9">
            <w:pPr>
              <w:pStyle w:val="aff6"/>
              <w:topLinePunct/>
              <w:rPr>
                <w:b/>
                <w:bCs/>
              </w:rPr>
            </w:pPr>
            <w:r>
              <w:rPr>
                <w:b/>
                <w:bCs/>
              </w:rPr>
              <w:t>依据</w:t>
            </w:r>
          </w:p>
        </w:tc>
        <w:tc>
          <w:tcPr>
            <w:tcW w:w="1995" w:type="pct"/>
            <w:gridSpan w:val="4"/>
            <w:vAlign w:val="center"/>
          </w:tcPr>
          <w:p w14:paraId="0B516FD4" w14:textId="77777777" w:rsidR="003E78AB" w:rsidRDefault="00010BF9">
            <w:pPr>
              <w:pStyle w:val="aff6"/>
              <w:topLinePunct/>
              <w:rPr>
                <w:b/>
                <w:bCs/>
              </w:rPr>
            </w:pPr>
            <w:r>
              <w:rPr>
                <w:b/>
                <w:bCs/>
              </w:rPr>
              <w:t>执行标准</w:t>
            </w:r>
          </w:p>
        </w:tc>
      </w:tr>
      <w:tr w:rsidR="003E78AB" w14:paraId="01BD673C" w14:textId="77777777">
        <w:trPr>
          <w:trHeight w:val="434"/>
          <w:tblHeader/>
        </w:trPr>
        <w:tc>
          <w:tcPr>
            <w:tcW w:w="475" w:type="pct"/>
            <w:gridSpan w:val="2"/>
            <w:vMerge/>
            <w:vAlign w:val="center"/>
          </w:tcPr>
          <w:p w14:paraId="67E06819" w14:textId="77777777" w:rsidR="003E78AB" w:rsidRDefault="003E78AB">
            <w:pPr>
              <w:pStyle w:val="aff6"/>
              <w:topLinePunct/>
            </w:pPr>
          </w:p>
        </w:tc>
        <w:tc>
          <w:tcPr>
            <w:tcW w:w="355" w:type="pct"/>
            <w:vMerge/>
            <w:vAlign w:val="center"/>
          </w:tcPr>
          <w:p w14:paraId="2706700F" w14:textId="77777777" w:rsidR="003E78AB" w:rsidRDefault="003E78AB">
            <w:pPr>
              <w:pStyle w:val="aff6"/>
              <w:topLinePunct/>
            </w:pPr>
          </w:p>
        </w:tc>
        <w:tc>
          <w:tcPr>
            <w:tcW w:w="715" w:type="pct"/>
            <w:vMerge/>
            <w:vAlign w:val="center"/>
          </w:tcPr>
          <w:p w14:paraId="3D05B548" w14:textId="77777777" w:rsidR="003E78AB" w:rsidRDefault="003E78AB">
            <w:pPr>
              <w:pStyle w:val="aff6"/>
              <w:topLinePunct/>
            </w:pPr>
          </w:p>
        </w:tc>
        <w:tc>
          <w:tcPr>
            <w:tcW w:w="369" w:type="pct"/>
            <w:vMerge/>
            <w:vAlign w:val="center"/>
          </w:tcPr>
          <w:p w14:paraId="1F087016" w14:textId="77777777" w:rsidR="003E78AB" w:rsidRDefault="003E78AB">
            <w:pPr>
              <w:pStyle w:val="aff6"/>
              <w:topLinePunct/>
            </w:pPr>
          </w:p>
        </w:tc>
        <w:tc>
          <w:tcPr>
            <w:tcW w:w="390" w:type="pct"/>
            <w:vMerge/>
            <w:vAlign w:val="center"/>
          </w:tcPr>
          <w:p w14:paraId="21C0C92C" w14:textId="77777777" w:rsidR="003E78AB" w:rsidRDefault="003E78AB">
            <w:pPr>
              <w:pStyle w:val="aff6"/>
              <w:topLinePunct/>
            </w:pPr>
          </w:p>
        </w:tc>
        <w:tc>
          <w:tcPr>
            <w:tcW w:w="698" w:type="pct"/>
            <w:vMerge/>
            <w:vAlign w:val="center"/>
          </w:tcPr>
          <w:p w14:paraId="7BF253E7" w14:textId="77777777" w:rsidR="003E78AB" w:rsidRDefault="003E78AB">
            <w:pPr>
              <w:pStyle w:val="aff6"/>
              <w:topLinePunct/>
            </w:pPr>
          </w:p>
        </w:tc>
        <w:tc>
          <w:tcPr>
            <w:tcW w:w="761" w:type="pct"/>
            <w:gridSpan w:val="2"/>
            <w:vAlign w:val="center"/>
          </w:tcPr>
          <w:p w14:paraId="1A89CA98" w14:textId="77777777" w:rsidR="003E78AB" w:rsidRDefault="00010BF9">
            <w:pPr>
              <w:pStyle w:val="aff6"/>
              <w:topLinePunct/>
              <w:rPr>
                <w:b/>
                <w:bCs/>
              </w:rPr>
            </w:pPr>
            <w:r>
              <w:rPr>
                <w:b/>
                <w:bCs/>
              </w:rPr>
              <w:t>标准值</w:t>
            </w:r>
            <w:r>
              <w:rPr>
                <w:rFonts w:hint="eastAsia"/>
                <w:b/>
                <w:bCs/>
              </w:rPr>
              <w:t>（</w:t>
            </w:r>
            <w:r>
              <w:t>mg/m</w:t>
            </w:r>
            <w:r>
              <w:rPr>
                <w:vertAlign w:val="superscript"/>
              </w:rPr>
              <w:t>3</w:t>
            </w:r>
            <w:r>
              <w:rPr>
                <w:rFonts w:hint="eastAsia"/>
                <w:b/>
                <w:bCs/>
              </w:rPr>
              <w:t>）</w:t>
            </w:r>
          </w:p>
        </w:tc>
        <w:tc>
          <w:tcPr>
            <w:tcW w:w="1233" w:type="pct"/>
            <w:gridSpan w:val="2"/>
            <w:vAlign w:val="center"/>
          </w:tcPr>
          <w:p w14:paraId="332DDE7E" w14:textId="77777777" w:rsidR="003E78AB" w:rsidRDefault="00010BF9">
            <w:pPr>
              <w:pStyle w:val="aff6"/>
              <w:topLinePunct/>
              <w:rPr>
                <w:b/>
                <w:bCs/>
              </w:rPr>
            </w:pPr>
            <w:r>
              <w:rPr>
                <w:b/>
                <w:bCs/>
              </w:rPr>
              <w:t>名称</w:t>
            </w:r>
          </w:p>
        </w:tc>
      </w:tr>
      <w:tr w:rsidR="003E78AB" w14:paraId="0707CE17" w14:textId="77777777">
        <w:trPr>
          <w:trHeight w:val="434"/>
        </w:trPr>
        <w:tc>
          <w:tcPr>
            <w:tcW w:w="162" w:type="pct"/>
            <w:vMerge w:val="restart"/>
            <w:vAlign w:val="center"/>
          </w:tcPr>
          <w:p w14:paraId="5A2E2C02" w14:textId="77777777" w:rsidR="003E78AB" w:rsidRDefault="00010BF9">
            <w:pPr>
              <w:pStyle w:val="aff6"/>
              <w:topLinePunct/>
            </w:pPr>
            <w:r>
              <w:t>废气</w:t>
            </w:r>
          </w:p>
        </w:tc>
        <w:tc>
          <w:tcPr>
            <w:tcW w:w="313" w:type="pct"/>
            <w:vMerge w:val="restart"/>
            <w:vAlign w:val="center"/>
          </w:tcPr>
          <w:p w14:paraId="385B1FF2" w14:textId="77777777" w:rsidR="003E78AB" w:rsidRDefault="00010BF9">
            <w:pPr>
              <w:pStyle w:val="aff6"/>
              <w:topLinePunct/>
            </w:pPr>
            <w:r>
              <w:t>有组织</w:t>
            </w:r>
          </w:p>
        </w:tc>
        <w:tc>
          <w:tcPr>
            <w:tcW w:w="355" w:type="pct"/>
            <w:vAlign w:val="center"/>
          </w:tcPr>
          <w:p w14:paraId="1AE561E1" w14:textId="77777777" w:rsidR="003E78AB" w:rsidRDefault="00010BF9">
            <w:pPr>
              <w:pStyle w:val="aff6"/>
              <w:topLinePunct/>
            </w:pPr>
            <w:r>
              <w:rPr>
                <w:rFonts w:hint="eastAsia"/>
              </w:rPr>
              <w:t>DA001</w:t>
            </w:r>
          </w:p>
        </w:tc>
        <w:tc>
          <w:tcPr>
            <w:tcW w:w="715" w:type="pct"/>
            <w:vAlign w:val="center"/>
          </w:tcPr>
          <w:p w14:paraId="6CE8BBD8" w14:textId="77777777" w:rsidR="003E78AB" w:rsidRDefault="00010BF9">
            <w:pPr>
              <w:pStyle w:val="aff6"/>
              <w:topLinePunct/>
            </w:pPr>
            <w:r>
              <w:rPr>
                <w:rFonts w:hint="eastAsia"/>
              </w:rPr>
              <w:t>V</w:t>
            </w:r>
            <w:r>
              <w:rPr>
                <w:rFonts w:hint="eastAsia"/>
                <w:vertAlign w:val="subscript"/>
              </w:rPr>
              <w:t>2</w:t>
            </w:r>
            <w:r>
              <w:rPr>
                <w:rFonts w:hint="eastAsia"/>
              </w:rPr>
              <w:t>O</w:t>
            </w:r>
            <w:r>
              <w:rPr>
                <w:rFonts w:hint="eastAsia"/>
                <w:vertAlign w:val="subscript"/>
              </w:rPr>
              <w:t>5</w:t>
            </w:r>
            <w:r>
              <w:rPr>
                <w:rFonts w:hint="eastAsia"/>
              </w:rPr>
              <w:t>拆包投料粉尘</w:t>
            </w:r>
          </w:p>
        </w:tc>
        <w:tc>
          <w:tcPr>
            <w:tcW w:w="369" w:type="pct"/>
            <w:vAlign w:val="center"/>
          </w:tcPr>
          <w:p w14:paraId="377B35C5" w14:textId="77777777" w:rsidR="003E78AB" w:rsidRDefault="00010BF9">
            <w:pPr>
              <w:pStyle w:val="aff6"/>
              <w:topLinePunct/>
            </w:pPr>
            <w:r>
              <w:t>颗粒物</w:t>
            </w:r>
          </w:p>
        </w:tc>
        <w:tc>
          <w:tcPr>
            <w:tcW w:w="390" w:type="pct"/>
            <w:vAlign w:val="center"/>
          </w:tcPr>
          <w:p w14:paraId="0CCA9A6A" w14:textId="77777777" w:rsidR="003E78AB" w:rsidRDefault="00010BF9">
            <w:pPr>
              <w:pStyle w:val="aff6"/>
              <w:topLinePunct/>
            </w:pPr>
            <w:r>
              <w:rPr>
                <w:rFonts w:hint="eastAsia"/>
              </w:rPr>
              <w:t>1</w:t>
            </w:r>
            <w:r>
              <w:rPr>
                <w:rFonts w:hint="eastAsia"/>
              </w:rPr>
              <w:t>次</w:t>
            </w:r>
            <w:r>
              <w:rPr>
                <w:rFonts w:hint="eastAsia"/>
              </w:rPr>
              <w:t>/</w:t>
            </w:r>
            <w:r>
              <w:t>半年</w:t>
            </w:r>
          </w:p>
        </w:tc>
        <w:tc>
          <w:tcPr>
            <w:tcW w:w="698" w:type="pct"/>
            <w:vMerge w:val="restart"/>
            <w:vAlign w:val="center"/>
          </w:tcPr>
          <w:p w14:paraId="539291CC" w14:textId="77777777" w:rsidR="003E78AB" w:rsidRDefault="00010BF9">
            <w:pPr>
              <w:pStyle w:val="aff6"/>
              <w:topLinePunct/>
            </w:pPr>
            <w:r>
              <w:t>《排污许可证申请与核发技术规范专用</w:t>
            </w:r>
            <w:r>
              <w:rPr>
                <w:rFonts w:hint="eastAsia"/>
              </w:rPr>
              <w:t xml:space="preserve"> </w:t>
            </w:r>
            <w:r>
              <w:t>化学产品制造工业》</w:t>
            </w:r>
            <w:r>
              <w:rPr>
                <w:rFonts w:hint="eastAsia"/>
              </w:rPr>
              <w:t>（</w:t>
            </w:r>
            <w:r>
              <w:t>HJ1103-2020</w:t>
            </w:r>
            <w:r>
              <w:rPr>
                <w:rFonts w:hint="eastAsia"/>
              </w:rPr>
              <w:t>）</w:t>
            </w:r>
            <w:r>
              <w:t>表</w:t>
            </w:r>
            <w:r>
              <w:t>20</w:t>
            </w:r>
            <w:r>
              <w:t>一般排放口</w:t>
            </w:r>
          </w:p>
        </w:tc>
        <w:tc>
          <w:tcPr>
            <w:tcW w:w="761" w:type="pct"/>
            <w:gridSpan w:val="2"/>
            <w:vAlign w:val="center"/>
          </w:tcPr>
          <w:p w14:paraId="38F02F47" w14:textId="77777777" w:rsidR="003E78AB" w:rsidRDefault="00010BF9">
            <w:pPr>
              <w:pStyle w:val="aff6"/>
              <w:topLinePunct/>
            </w:pPr>
            <w:r>
              <w:rPr>
                <w:rFonts w:hint="eastAsia"/>
              </w:rPr>
              <w:t>30</w:t>
            </w:r>
          </w:p>
        </w:tc>
        <w:tc>
          <w:tcPr>
            <w:tcW w:w="1233" w:type="pct"/>
            <w:gridSpan w:val="2"/>
            <w:vMerge w:val="restart"/>
            <w:vAlign w:val="center"/>
          </w:tcPr>
          <w:p w14:paraId="71528D68" w14:textId="77777777" w:rsidR="003E78AB" w:rsidRDefault="00010BF9">
            <w:pPr>
              <w:pStyle w:val="TableParagraph"/>
              <w:topLinePunct/>
              <w:spacing w:before="0" w:beforeAutospacing="0" w:line="360" w:lineRule="exact"/>
              <w:ind w:firstLineChars="0" w:firstLine="0"/>
              <w:jc w:val="center"/>
            </w:pPr>
            <w:r>
              <w:rPr>
                <w:rFonts w:ascii="Times New Roman" w:hAnsi="Times New Roman" w:cs="Times New Roman"/>
                <w:sz w:val="21"/>
                <w:szCs w:val="21"/>
              </w:rPr>
              <w:t>《无机化学工业污染物排放标准》（</w:t>
            </w:r>
            <w:r>
              <w:rPr>
                <w:rFonts w:ascii="Times New Roman" w:hAnsi="Times New Roman" w:cs="Times New Roman"/>
                <w:sz w:val="21"/>
                <w:szCs w:val="21"/>
              </w:rPr>
              <w:t>GB31573-2015</w:t>
            </w:r>
            <w:r>
              <w:rPr>
                <w:rFonts w:ascii="Times New Roman" w:hAnsi="Times New Roman" w:cs="Times New Roman"/>
                <w:sz w:val="21"/>
                <w:szCs w:val="21"/>
              </w:rPr>
              <w:t>）</w:t>
            </w:r>
          </w:p>
        </w:tc>
      </w:tr>
      <w:tr w:rsidR="003E78AB" w14:paraId="7F640498" w14:textId="77777777">
        <w:trPr>
          <w:trHeight w:val="434"/>
        </w:trPr>
        <w:tc>
          <w:tcPr>
            <w:tcW w:w="162" w:type="pct"/>
            <w:vMerge/>
            <w:vAlign w:val="center"/>
          </w:tcPr>
          <w:p w14:paraId="5179ECD8" w14:textId="77777777" w:rsidR="003E78AB" w:rsidRDefault="003E78AB">
            <w:pPr>
              <w:pStyle w:val="aff6"/>
              <w:topLinePunct/>
            </w:pPr>
          </w:p>
        </w:tc>
        <w:tc>
          <w:tcPr>
            <w:tcW w:w="313" w:type="pct"/>
            <w:vMerge/>
            <w:vAlign w:val="center"/>
          </w:tcPr>
          <w:p w14:paraId="4D8005EA" w14:textId="77777777" w:rsidR="003E78AB" w:rsidRDefault="003E78AB">
            <w:pPr>
              <w:pStyle w:val="aff6"/>
              <w:topLinePunct/>
            </w:pPr>
          </w:p>
        </w:tc>
        <w:tc>
          <w:tcPr>
            <w:tcW w:w="355" w:type="pct"/>
            <w:vAlign w:val="center"/>
          </w:tcPr>
          <w:p w14:paraId="436FCDFB" w14:textId="77777777" w:rsidR="003E78AB" w:rsidRDefault="00010BF9">
            <w:pPr>
              <w:pStyle w:val="aff6"/>
              <w:topLinePunct/>
            </w:pPr>
            <w:r>
              <w:rPr>
                <w:rFonts w:hint="eastAsia"/>
              </w:rPr>
              <w:t>DA002</w:t>
            </w:r>
          </w:p>
        </w:tc>
        <w:tc>
          <w:tcPr>
            <w:tcW w:w="715" w:type="pct"/>
            <w:vAlign w:val="center"/>
          </w:tcPr>
          <w:p w14:paraId="333DE635" w14:textId="77777777" w:rsidR="003E78AB" w:rsidRDefault="00010BF9">
            <w:pPr>
              <w:pStyle w:val="aff6"/>
              <w:topLinePunct/>
            </w:pPr>
            <w:r>
              <w:rPr>
                <w:rFonts w:hint="eastAsia"/>
              </w:rPr>
              <w:t>草酸拆包投料粉尘</w:t>
            </w:r>
          </w:p>
        </w:tc>
        <w:tc>
          <w:tcPr>
            <w:tcW w:w="369" w:type="pct"/>
            <w:vAlign w:val="center"/>
          </w:tcPr>
          <w:p w14:paraId="68B558CB" w14:textId="77777777" w:rsidR="003E78AB" w:rsidRDefault="00010BF9">
            <w:pPr>
              <w:pStyle w:val="aff6"/>
              <w:topLinePunct/>
            </w:pPr>
            <w:r>
              <w:rPr>
                <w:rFonts w:hint="eastAsia"/>
              </w:rPr>
              <w:t>颗粒物</w:t>
            </w:r>
          </w:p>
        </w:tc>
        <w:tc>
          <w:tcPr>
            <w:tcW w:w="390" w:type="pct"/>
            <w:vAlign w:val="center"/>
          </w:tcPr>
          <w:p w14:paraId="101C3FE9" w14:textId="77777777" w:rsidR="003E78AB" w:rsidRDefault="00010BF9">
            <w:pPr>
              <w:pStyle w:val="aff6"/>
              <w:topLinePunct/>
            </w:pPr>
            <w:r>
              <w:rPr>
                <w:rFonts w:hint="eastAsia"/>
              </w:rPr>
              <w:t>1</w:t>
            </w:r>
            <w:r>
              <w:rPr>
                <w:rFonts w:hint="eastAsia"/>
              </w:rPr>
              <w:t>次</w:t>
            </w:r>
            <w:r>
              <w:rPr>
                <w:rFonts w:hint="eastAsia"/>
              </w:rPr>
              <w:t>/</w:t>
            </w:r>
            <w:r>
              <w:rPr>
                <w:rFonts w:hint="eastAsia"/>
              </w:rPr>
              <w:t>半年</w:t>
            </w:r>
          </w:p>
        </w:tc>
        <w:tc>
          <w:tcPr>
            <w:tcW w:w="698" w:type="pct"/>
            <w:vMerge/>
            <w:vAlign w:val="center"/>
          </w:tcPr>
          <w:p w14:paraId="26CC9128" w14:textId="77777777" w:rsidR="003E78AB" w:rsidRDefault="003E78AB">
            <w:pPr>
              <w:pStyle w:val="aff6"/>
              <w:topLinePunct/>
            </w:pPr>
          </w:p>
        </w:tc>
        <w:tc>
          <w:tcPr>
            <w:tcW w:w="761" w:type="pct"/>
            <w:gridSpan w:val="2"/>
            <w:vAlign w:val="center"/>
          </w:tcPr>
          <w:p w14:paraId="10E97843" w14:textId="77777777" w:rsidR="003E78AB" w:rsidRDefault="00010BF9">
            <w:pPr>
              <w:pStyle w:val="aff6"/>
              <w:topLinePunct/>
            </w:pPr>
            <w:r>
              <w:rPr>
                <w:rFonts w:hint="eastAsia"/>
              </w:rPr>
              <w:t>30</w:t>
            </w:r>
          </w:p>
        </w:tc>
        <w:tc>
          <w:tcPr>
            <w:tcW w:w="1233" w:type="pct"/>
            <w:gridSpan w:val="2"/>
            <w:vMerge/>
            <w:vAlign w:val="center"/>
          </w:tcPr>
          <w:p w14:paraId="67B755D0" w14:textId="77777777" w:rsidR="003E78AB" w:rsidRDefault="003E78AB">
            <w:pPr>
              <w:pStyle w:val="aff6"/>
              <w:topLinePunct/>
            </w:pPr>
          </w:p>
        </w:tc>
      </w:tr>
      <w:tr w:rsidR="003E78AB" w14:paraId="2CAA935B" w14:textId="77777777">
        <w:trPr>
          <w:trHeight w:val="434"/>
        </w:trPr>
        <w:tc>
          <w:tcPr>
            <w:tcW w:w="162" w:type="pct"/>
            <w:vMerge/>
            <w:vAlign w:val="center"/>
          </w:tcPr>
          <w:p w14:paraId="3B113AF9" w14:textId="77777777" w:rsidR="003E78AB" w:rsidRDefault="003E78AB">
            <w:pPr>
              <w:pStyle w:val="aff6"/>
              <w:topLinePunct/>
            </w:pPr>
          </w:p>
        </w:tc>
        <w:tc>
          <w:tcPr>
            <w:tcW w:w="313" w:type="pct"/>
            <w:vMerge/>
            <w:vAlign w:val="center"/>
          </w:tcPr>
          <w:p w14:paraId="1F1030C2" w14:textId="77777777" w:rsidR="003E78AB" w:rsidRDefault="003E78AB">
            <w:pPr>
              <w:pStyle w:val="aff6"/>
              <w:topLinePunct/>
            </w:pPr>
          </w:p>
        </w:tc>
        <w:tc>
          <w:tcPr>
            <w:tcW w:w="355" w:type="pct"/>
            <w:vMerge w:val="restart"/>
            <w:vAlign w:val="center"/>
          </w:tcPr>
          <w:p w14:paraId="4B2B5532" w14:textId="77777777" w:rsidR="003E78AB" w:rsidRDefault="00010BF9">
            <w:pPr>
              <w:pStyle w:val="aff6"/>
              <w:topLinePunct/>
            </w:pPr>
            <w:r>
              <w:rPr>
                <w:rFonts w:hint="eastAsia"/>
              </w:rPr>
              <w:t>DA003</w:t>
            </w:r>
          </w:p>
        </w:tc>
        <w:tc>
          <w:tcPr>
            <w:tcW w:w="715" w:type="pct"/>
            <w:vMerge w:val="restart"/>
            <w:vAlign w:val="center"/>
          </w:tcPr>
          <w:p w14:paraId="58704D62" w14:textId="77777777" w:rsidR="003E78AB" w:rsidRDefault="00010BF9">
            <w:pPr>
              <w:pStyle w:val="aff6"/>
              <w:topLinePunct/>
            </w:pPr>
            <w:r>
              <w:rPr>
                <w:rFonts w:hint="eastAsia"/>
              </w:rPr>
              <w:t>工艺废气</w:t>
            </w:r>
          </w:p>
        </w:tc>
        <w:tc>
          <w:tcPr>
            <w:tcW w:w="369" w:type="pct"/>
            <w:vAlign w:val="center"/>
          </w:tcPr>
          <w:p w14:paraId="675589DB" w14:textId="77777777" w:rsidR="003E78AB" w:rsidRDefault="00010BF9">
            <w:pPr>
              <w:pStyle w:val="aff6"/>
              <w:topLinePunct/>
            </w:pPr>
            <w:r>
              <w:rPr>
                <w:rFonts w:hint="eastAsia"/>
              </w:rPr>
              <w:t>硫酸雾</w:t>
            </w:r>
          </w:p>
        </w:tc>
        <w:tc>
          <w:tcPr>
            <w:tcW w:w="390" w:type="pct"/>
            <w:vMerge w:val="restart"/>
            <w:vAlign w:val="center"/>
          </w:tcPr>
          <w:p w14:paraId="57968DEB" w14:textId="77777777" w:rsidR="003E78AB" w:rsidRDefault="00010BF9">
            <w:pPr>
              <w:pStyle w:val="aff6"/>
              <w:topLinePunct/>
            </w:pPr>
            <w:r>
              <w:rPr>
                <w:rFonts w:hint="eastAsia"/>
              </w:rPr>
              <w:t>1</w:t>
            </w:r>
            <w:r>
              <w:rPr>
                <w:rFonts w:hint="eastAsia"/>
              </w:rPr>
              <w:t>次</w:t>
            </w:r>
            <w:r>
              <w:rPr>
                <w:rFonts w:hint="eastAsia"/>
              </w:rPr>
              <w:t>/</w:t>
            </w:r>
            <w:r>
              <w:rPr>
                <w:rFonts w:hint="eastAsia"/>
              </w:rPr>
              <w:t>半年</w:t>
            </w:r>
          </w:p>
        </w:tc>
        <w:tc>
          <w:tcPr>
            <w:tcW w:w="698" w:type="pct"/>
            <w:vMerge/>
            <w:vAlign w:val="center"/>
          </w:tcPr>
          <w:p w14:paraId="45CF57C6" w14:textId="77777777" w:rsidR="003E78AB" w:rsidRDefault="003E78AB">
            <w:pPr>
              <w:pStyle w:val="aff6"/>
              <w:topLinePunct/>
            </w:pPr>
          </w:p>
        </w:tc>
        <w:tc>
          <w:tcPr>
            <w:tcW w:w="761" w:type="pct"/>
            <w:gridSpan w:val="2"/>
            <w:vAlign w:val="center"/>
          </w:tcPr>
          <w:p w14:paraId="3E6713E2" w14:textId="77777777" w:rsidR="003E78AB" w:rsidRDefault="00010BF9">
            <w:pPr>
              <w:pStyle w:val="aff6"/>
              <w:topLinePunct/>
            </w:pPr>
            <w:r>
              <w:rPr>
                <w:rFonts w:hint="eastAsia"/>
              </w:rPr>
              <w:t>20</w:t>
            </w:r>
          </w:p>
        </w:tc>
        <w:tc>
          <w:tcPr>
            <w:tcW w:w="1233" w:type="pct"/>
            <w:gridSpan w:val="2"/>
            <w:vMerge/>
            <w:vAlign w:val="center"/>
          </w:tcPr>
          <w:p w14:paraId="13728D7C" w14:textId="77777777" w:rsidR="003E78AB" w:rsidRDefault="003E78AB">
            <w:pPr>
              <w:pStyle w:val="TableParagraph"/>
              <w:topLinePunct/>
              <w:spacing w:before="0" w:beforeAutospacing="0" w:line="360" w:lineRule="exact"/>
              <w:ind w:firstLineChars="0" w:firstLine="0"/>
              <w:jc w:val="center"/>
            </w:pPr>
          </w:p>
        </w:tc>
      </w:tr>
      <w:tr w:rsidR="003E78AB" w14:paraId="2AD15C43" w14:textId="77777777">
        <w:trPr>
          <w:trHeight w:val="434"/>
        </w:trPr>
        <w:tc>
          <w:tcPr>
            <w:tcW w:w="162" w:type="pct"/>
            <w:vMerge/>
            <w:vAlign w:val="center"/>
          </w:tcPr>
          <w:p w14:paraId="26E3E493" w14:textId="77777777" w:rsidR="003E78AB" w:rsidRDefault="003E78AB">
            <w:pPr>
              <w:pStyle w:val="aff6"/>
              <w:topLinePunct/>
            </w:pPr>
          </w:p>
        </w:tc>
        <w:tc>
          <w:tcPr>
            <w:tcW w:w="313" w:type="pct"/>
            <w:vMerge/>
            <w:vAlign w:val="center"/>
          </w:tcPr>
          <w:p w14:paraId="0FC49F11" w14:textId="77777777" w:rsidR="003E78AB" w:rsidRDefault="003E78AB">
            <w:pPr>
              <w:pStyle w:val="aff6"/>
              <w:topLinePunct/>
            </w:pPr>
          </w:p>
        </w:tc>
        <w:tc>
          <w:tcPr>
            <w:tcW w:w="355" w:type="pct"/>
            <w:vMerge w:val="restart"/>
            <w:vAlign w:val="center"/>
          </w:tcPr>
          <w:p w14:paraId="0517037B" w14:textId="77777777" w:rsidR="003E78AB" w:rsidRDefault="00010BF9">
            <w:pPr>
              <w:pStyle w:val="aff6"/>
              <w:topLinePunct/>
            </w:pPr>
            <w:r>
              <w:rPr>
                <w:rFonts w:hint="eastAsia"/>
              </w:rPr>
              <w:t>DA004</w:t>
            </w:r>
          </w:p>
        </w:tc>
        <w:tc>
          <w:tcPr>
            <w:tcW w:w="715" w:type="pct"/>
            <w:vMerge w:val="restart"/>
            <w:vAlign w:val="center"/>
          </w:tcPr>
          <w:p w14:paraId="5EED30EA" w14:textId="77777777" w:rsidR="003E78AB" w:rsidRDefault="00010BF9">
            <w:pPr>
              <w:pStyle w:val="aff6"/>
              <w:topLinePunct/>
            </w:pPr>
            <w:r>
              <w:rPr>
                <w:rFonts w:hint="eastAsia"/>
              </w:rPr>
              <w:t>天然气锅炉燃烧烟气</w:t>
            </w:r>
          </w:p>
        </w:tc>
        <w:tc>
          <w:tcPr>
            <w:tcW w:w="369" w:type="pct"/>
            <w:vAlign w:val="center"/>
          </w:tcPr>
          <w:p w14:paraId="4C7A79CB" w14:textId="77777777" w:rsidR="003E78AB" w:rsidRDefault="00010BF9">
            <w:pPr>
              <w:pStyle w:val="aff6"/>
              <w:topLinePunct/>
            </w:pPr>
            <w:r>
              <w:rPr>
                <w:rFonts w:hint="eastAsia"/>
              </w:rPr>
              <w:t>颗粒物</w:t>
            </w:r>
          </w:p>
        </w:tc>
        <w:tc>
          <w:tcPr>
            <w:tcW w:w="390" w:type="pct"/>
            <w:vMerge w:val="restart"/>
            <w:vAlign w:val="center"/>
          </w:tcPr>
          <w:p w14:paraId="119F3318" w14:textId="77777777" w:rsidR="003E78AB" w:rsidRDefault="00010BF9">
            <w:pPr>
              <w:pStyle w:val="aff6"/>
              <w:topLinePunct/>
            </w:pPr>
            <w:r>
              <w:rPr>
                <w:rFonts w:hint="eastAsia"/>
              </w:rPr>
              <w:t>1</w:t>
            </w:r>
            <w:r>
              <w:rPr>
                <w:rFonts w:hint="eastAsia"/>
              </w:rPr>
              <w:t>次</w:t>
            </w:r>
            <w:r>
              <w:rPr>
                <w:rFonts w:hint="eastAsia"/>
              </w:rPr>
              <w:t>/</w:t>
            </w:r>
            <w:r>
              <w:rPr>
                <w:rFonts w:hint="eastAsia"/>
              </w:rPr>
              <w:t>半年</w:t>
            </w:r>
          </w:p>
        </w:tc>
        <w:tc>
          <w:tcPr>
            <w:tcW w:w="698" w:type="pct"/>
            <w:vMerge/>
            <w:vAlign w:val="center"/>
          </w:tcPr>
          <w:p w14:paraId="2377EB19" w14:textId="77777777" w:rsidR="003E78AB" w:rsidRDefault="003E78AB">
            <w:pPr>
              <w:pStyle w:val="aff6"/>
              <w:topLinePunct/>
            </w:pPr>
          </w:p>
        </w:tc>
        <w:tc>
          <w:tcPr>
            <w:tcW w:w="761" w:type="pct"/>
            <w:gridSpan w:val="2"/>
            <w:vAlign w:val="center"/>
          </w:tcPr>
          <w:p w14:paraId="4A82ED95" w14:textId="77777777" w:rsidR="003E78AB" w:rsidRDefault="00010BF9">
            <w:pPr>
              <w:pStyle w:val="aff6"/>
              <w:topLinePunct/>
            </w:pPr>
            <w:r>
              <w:rPr>
                <w:rFonts w:hint="eastAsia"/>
              </w:rPr>
              <w:t>20</w:t>
            </w:r>
          </w:p>
        </w:tc>
        <w:tc>
          <w:tcPr>
            <w:tcW w:w="1233" w:type="pct"/>
            <w:gridSpan w:val="2"/>
            <w:vMerge w:val="restart"/>
            <w:vAlign w:val="center"/>
          </w:tcPr>
          <w:p w14:paraId="1BE13C41" w14:textId="77777777" w:rsidR="003E78AB" w:rsidRDefault="00010BF9">
            <w:pPr>
              <w:pStyle w:val="TableParagraph"/>
              <w:topLinePunct/>
              <w:spacing w:before="0" w:beforeAutospacing="0" w:line="360" w:lineRule="exact"/>
              <w:ind w:firstLineChars="0" w:firstLine="0"/>
              <w:jc w:val="center"/>
            </w:pPr>
            <w:r>
              <w:rPr>
                <w:rFonts w:ascii="Times New Roman" w:hAnsi="Times New Roman" w:cs="Times New Roman"/>
                <w:sz w:val="21"/>
                <w:szCs w:val="21"/>
              </w:rPr>
              <w:t>《锅炉大气污染物排放标准》</w:t>
            </w:r>
            <w:r>
              <w:rPr>
                <w:rFonts w:ascii="Times New Roman" w:hAnsi="Times New Roman" w:cs="Times New Roman" w:hint="eastAsia"/>
                <w:sz w:val="21"/>
                <w:szCs w:val="21"/>
              </w:rPr>
              <w:t>（</w:t>
            </w:r>
            <w:r>
              <w:rPr>
                <w:rFonts w:ascii="Times New Roman" w:hAnsi="Times New Roman" w:cs="Times New Roman"/>
                <w:sz w:val="21"/>
                <w:szCs w:val="21"/>
              </w:rPr>
              <w:t>GB13271-2014</w:t>
            </w:r>
            <w:r>
              <w:rPr>
                <w:rFonts w:ascii="Times New Roman" w:hAnsi="Times New Roman" w:cs="Times New Roman" w:hint="eastAsia"/>
                <w:sz w:val="21"/>
                <w:szCs w:val="21"/>
              </w:rPr>
              <w:t>）</w:t>
            </w:r>
          </w:p>
        </w:tc>
      </w:tr>
      <w:tr w:rsidR="003E78AB" w14:paraId="2A377DA0" w14:textId="77777777">
        <w:trPr>
          <w:trHeight w:val="434"/>
        </w:trPr>
        <w:tc>
          <w:tcPr>
            <w:tcW w:w="162" w:type="pct"/>
            <w:vMerge/>
            <w:vAlign w:val="center"/>
          </w:tcPr>
          <w:p w14:paraId="3CCD373A" w14:textId="77777777" w:rsidR="003E78AB" w:rsidRDefault="003E78AB">
            <w:pPr>
              <w:pStyle w:val="aff6"/>
              <w:topLinePunct/>
            </w:pPr>
          </w:p>
        </w:tc>
        <w:tc>
          <w:tcPr>
            <w:tcW w:w="313" w:type="pct"/>
            <w:vMerge/>
            <w:vAlign w:val="center"/>
          </w:tcPr>
          <w:p w14:paraId="27CC9173" w14:textId="77777777" w:rsidR="003E78AB" w:rsidRDefault="003E78AB">
            <w:pPr>
              <w:pStyle w:val="aff6"/>
              <w:topLinePunct/>
            </w:pPr>
          </w:p>
        </w:tc>
        <w:tc>
          <w:tcPr>
            <w:tcW w:w="355" w:type="pct"/>
            <w:vMerge/>
            <w:vAlign w:val="center"/>
          </w:tcPr>
          <w:p w14:paraId="6DF4B966" w14:textId="77777777" w:rsidR="003E78AB" w:rsidRDefault="003E78AB">
            <w:pPr>
              <w:pStyle w:val="aff6"/>
              <w:topLinePunct/>
            </w:pPr>
          </w:p>
        </w:tc>
        <w:tc>
          <w:tcPr>
            <w:tcW w:w="715" w:type="pct"/>
            <w:vMerge/>
            <w:vAlign w:val="center"/>
          </w:tcPr>
          <w:p w14:paraId="607968FA" w14:textId="77777777" w:rsidR="003E78AB" w:rsidRDefault="003E78AB">
            <w:pPr>
              <w:pStyle w:val="aff6"/>
              <w:topLinePunct/>
              <w:rPr>
                <w:sz w:val="24"/>
              </w:rPr>
            </w:pPr>
          </w:p>
        </w:tc>
        <w:tc>
          <w:tcPr>
            <w:tcW w:w="369" w:type="pct"/>
            <w:vAlign w:val="center"/>
          </w:tcPr>
          <w:p w14:paraId="2CBD2074" w14:textId="77777777" w:rsidR="003E78AB" w:rsidRDefault="00010BF9">
            <w:pPr>
              <w:pStyle w:val="aff6"/>
              <w:topLinePunct/>
            </w:pPr>
            <w:r>
              <w:rPr>
                <w:rFonts w:hint="eastAsia"/>
              </w:rPr>
              <w:t>SO</w:t>
            </w:r>
            <w:r>
              <w:rPr>
                <w:rFonts w:hint="eastAsia"/>
                <w:vertAlign w:val="subscript"/>
              </w:rPr>
              <w:t>2</w:t>
            </w:r>
          </w:p>
        </w:tc>
        <w:tc>
          <w:tcPr>
            <w:tcW w:w="390" w:type="pct"/>
            <w:vMerge/>
            <w:vAlign w:val="center"/>
          </w:tcPr>
          <w:p w14:paraId="6E92CF9D" w14:textId="77777777" w:rsidR="003E78AB" w:rsidRDefault="003E78AB">
            <w:pPr>
              <w:pStyle w:val="aff6"/>
              <w:topLinePunct/>
            </w:pPr>
          </w:p>
        </w:tc>
        <w:tc>
          <w:tcPr>
            <w:tcW w:w="698" w:type="pct"/>
            <w:vMerge/>
            <w:vAlign w:val="center"/>
          </w:tcPr>
          <w:p w14:paraId="1133B333" w14:textId="77777777" w:rsidR="003E78AB" w:rsidRDefault="003E78AB">
            <w:pPr>
              <w:pStyle w:val="aff6"/>
              <w:topLinePunct/>
            </w:pPr>
          </w:p>
        </w:tc>
        <w:tc>
          <w:tcPr>
            <w:tcW w:w="761" w:type="pct"/>
            <w:gridSpan w:val="2"/>
            <w:vAlign w:val="center"/>
          </w:tcPr>
          <w:p w14:paraId="076E5411" w14:textId="77777777" w:rsidR="003E78AB" w:rsidRDefault="00010BF9">
            <w:pPr>
              <w:pStyle w:val="aff6"/>
              <w:topLinePunct/>
            </w:pPr>
            <w:r>
              <w:rPr>
                <w:rFonts w:hint="eastAsia"/>
              </w:rPr>
              <w:t>50</w:t>
            </w:r>
          </w:p>
        </w:tc>
        <w:tc>
          <w:tcPr>
            <w:tcW w:w="1233" w:type="pct"/>
            <w:gridSpan w:val="2"/>
            <w:vMerge/>
            <w:vAlign w:val="center"/>
          </w:tcPr>
          <w:p w14:paraId="2E9BCDEB" w14:textId="77777777" w:rsidR="003E78AB" w:rsidRDefault="003E78AB">
            <w:pPr>
              <w:pStyle w:val="aff6"/>
              <w:topLinePunct/>
            </w:pPr>
          </w:p>
        </w:tc>
      </w:tr>
      <w:tr w:rsidR="003E78AB" w14:paraId="55FCB3E6" w14:textId="77777777">
        <w:trPr>
          <w:trHeight w:val="1257"/>
        </w:trPr>
        <w:tc>
          <w:tcPr>
            <w:tcW w:w="162" w:type="pct"/>
            <w:vMerge/>
            <w:vAlign w:val="center"/>
          </w:tcPr>
          <w:p w14:paraId="2DDB2104" w14:textId="77777777" w:rsidR="003E78AB" w:rsidRDefault="003E78AB">
            <w:pPr>
              <w:pStyle w:val="aff6"/>
              <w:topLinePunct/>
            </w:pPr>
          </w:p>
        </w:tc>
        <w:tc>
          <w:tcPr>
            <w:tcW w:w="313" w:type="pct"/>
            <w:vMerge/>
            <w:vAlign w:val="center"/>
          </w:tcPr>
          <w:p w14:paraId="4A8E71A4" w14:textId="77777777" w:rsidR="003E78AB" w:rsidRDefault="003E78AB">
            <w:pPr>
              <w:pStyle w:val="aff6"/>
              <w:topLinePunct/>
            </w:pPr>
          </w:p>
        </w:tc>
        <w:tc>
          <w:tcPr>
            <w:tcW w:w="355" w:type="pct"/>
            <w:vMerge/>
            <w:vAlign w:val="center"/>
          </w:tcPr>
          <w:p w14:paraId="55AA7C97" w14:textId="77777777" w:rsidR="003E78AB" w:rsidRDefault="003E78AB">
            <w:pPr>
              <w:pStyle w:val="aff6"/>
              <w:topLinePunct/>
            </w:pPr>
          </w:p>
        </w:tc>
        <w:tc>
          <w:tcPr>
            <w:tcW w:w="715" w:type="pct"/>
            <w:vMerge/>
            <w:vAlign w:val="center"/>
          </w:tcPr>
          <w:p w14:paraId="087A88CC" w14:textId="77777777" w:rsidR="003E78AB" w:rsidRDefault="003E78AB">
            <w:pPr>
              <w:pStyle w:val="aff6"/>
              <w:topLinePunct/>
              <w:rPr>
                <w:sz w:val="24"/>
              </w:rPr>
            </w:pPr>
          </w:p>
        </w:tc>
        <w:tc>
          <w:tcPr>
            <w:tcW w:w="369" w:type="pct"/>
            <w:vAlign w:val="center"/>
          </w:tcPr>
          <w:p w14:paraId="5FDEA8B7" w14:textId="77777777" w:rsidR="003E78AB" w:rsidRDefault="00010BF9">
            <w:pPr>
              <w:pStyle w:val="aff6"/>
              <w:topLinePunct/>
            </w:pPr>
            <w:r>
              <w:rPr>
                <w:rFonts w:hint="eastAsia"/>
              </w:rPr>
              <w:t>NOx</w:t>
            </w:r>
          </w:p>
        </w:tc>
        <w:tc>
          <w:tcPr>
            <w:tcW w:w="390" w:type="pct"/>
            <w:vMerge/>
            <w:vAlign w:val="center"/>
          </w:tcPr>
          <w:p w14:paraId="7BFB4D91" w14:textId="77777777" w:rsidR="003E78AB" w:rsidRDefault="003E78AB">
            <w:pPr>
              <w:pStyle w:val="aff6"/>
              <w:topLinePunct/>
            </w:pPr>
          </w:p>
        </w:tc>
        <w:tc>
          <w:tcPr>
            <w:tcW w:w="698" w:type="pct"/>
            <w:vMerge/>
            <w:vAlign w:val="center"/>
          </w:tcPr>
          <w:p w14:paraId="72DBB2C0" w14:textId="77777777" w:rsidR="003E78AB" w:rsidRDefault="003E78AB">
            <w:pPr>
              <w:pStyle w:val="aff6"/>
              <w:topLinePunct/>
            </w:pPr>
          </w:p>
        </w:tc>
        <w:tc>
          <w:tcPr>
            <w:tcW w:w="761" w:type="pct"/>
            <w:gridSpan w:val="2"/>
            <w:vAlign w:val="center"/>
          </w:tcPr>
          <w:p w14:paraId="71657259" w14:textId="77777777" w:rsidR="003E78AB" w:rsidRDefault="00010BF9">
            <w:pPr>
              <w:pStyle w:val="aff6"/>
              <w:topLinePunct/>
            </w:pPr>
            <w:r>
              <w:rPr>
                <w:rFonts w:hint="eastAsia"/>
              </w:rPr>
              <w:t>50</w:t>
            </w:r>
          </w:p>
        </w:tc>
        <w:tc>
          <w:tcPr>
            <w:tcW w:w="1233" w:type="pct"/>
            <w:gridSpan w:val="2"/>
            <w:vAlign w:val="center"/>
          </w:tcPr>
          <w:p w14:paraId="5BE0B13F" w14:textId="77777777" w:rsidR="003E78AB" w:rsidRDefault="00010BF9">
            <w:pPr>
              <w:pStyle w:val="TableParagraph"/>
              <w:topLinePunct/>
              <w:spacing w:before="0" w:beforeAutospacing="0" w:line="360" w:lineRule="exact"/>
              <w:ind w:firstLineChars="0" w:firstLine="0"/>
              <w:jc w:val="center"/>
            </w:pPr>
            <w:r>
              <w:rPr>
                <w:rFonts w:ascii="Times New Roman" w:hAnsi="Times New Roman" w:cs="Times New Roman"/>
                <w:sz w:val="21"/>
                <w:szCs w:val="21"/>
              </w:rPr>
              <w:t>《关于开展自治区</w:t>
            </w:r>
            <w:r>
              <w:rPr>
                <w:rFonts w:ascii="Times New Roman" w:hAnsi="Times New Roman" w:cs="Times New Roman"/>
                <w:sz w:val="21"/>
                <w:szCs w:val="21"/>
              </w:rPr>
              <w:t>2022</w:t>
            </w:r>
            <w:r>
              <w:rPr>
                <w:rFonts w:ascii="Times New Roman" w:hAnsi="Times New Roman" w:cs="Times New Roman"/>
                <w:sz w:val="21"/>
                <w:szCs w:val="21"/>
              </w:rPr>
              <w:t>年度夏秋季大气污染防治</w:t>
            </w:r>
            <w:r>
              <w:rPr>
                <w:rFonts w:ascii="Times New Roman" w:hAnsi="Times New Roman" w:cs="Times New Roman"/>
                <w:sz w:val="21"/>
                <w:szCs w:val="21"/>
              </w:rPr>
              <w:t>“</w:t>
            </w:r>
            <w:r>
              <w:rPr>
                <w:rFonts w:ascii="Times New Roman" w:hAnsi="Times New Roman" w:cs="Times New Roman"/>
                <w:sz w:val="21"/>
                <w:szCs w:val="21"/>
              </w:rPr>
              <w:t>冬病夏治</w:t>
            </w:r>
            <w:r>
              <w:rPr>
                <w:rFonts w:ascii="Times New Roman" w:hAnsi="Times New Roman" w:cs="Times New Roman"/>
                <w:sz w:val="21"/>
                <w:szCs w:val="21"/>
              </w:rPr>
              <w:t>”</w:t>
            </w:r>
            <w:r>
              <w:rPr>
                <w:rFonts w:ascii="Times New Roman" w:hAnsi="Times New Roman" w:cs="Times New Roman"/>
                <w:sz w:val="21"/>
                <w:szCs w:val="21"/>
              </w:rPr>
              <w:t>工作的通知》（新环大气函〔</w:t>
            </w:r>
            <w:r>
              <w:rPr>
                <w:rFonts w:ascii="Times New Roman" w:hAnsi="Times New Roman" w:cs="Times New Roman"/>
                <w:sz w:val="21"/>
                <w:szCs w:val="21"/>
              </w:rPr>
              <w:t>2022</w:t>
            </w:r>
            <w:r>
              <w:rPr>
                <w:rFonts w:ascii="Times New Roman" w:hAnsi="Times New Roman" w:cs="Times New Roman"/>
                <w:sz w:val="21"/>
                <w:szCs w:val="21"/>
              </w:rPr>
              <w:t>〕</w:t>
            </w:r>
            <w:r>
              <w:rPr>
                <w:rFonts w:ascii="Times New Roman" w:hAnsi="Times New Roman" w:cs="Times New Roman"/>
                <w:sz w:val="21"/>
                <w:szCs w:val="21"/>
              </w:rPr>
              <w:t>483</w:t>
            </w:r>
            <w:r>
              <w:rPr>
                <w:rFonts w:ascii="Times New Roman" w:hAnsi="Times New Roman" w:cs="Times New Roman"/>
                <w:sz w:val="21"/>
                <w:szCs w:val="21"/>
              </w:rPr>
              <w:t>号）</w:t>
            </w:r>
          </w:p>
        </w:tc>
      </w:tr>
      <w:tr w:rsidR="003E78AB" w14:paraId="13CA54D3" w14:textId="77777777">
        <w:trPr>
          <w:trHeight w:val="845"/>
        </w:trPr>
        <w:tc>
          <w:tcPr>
            <w:tcW w:w="162" w:type="pct"/>
            <w:vMerge/>
            <w:vAlign w:val="center"/>
          </w:tcPr>
          <w:p w14:paraId="5A8E5B9D" w14:textId="77777777" w:rsidR="003E78AB" w:rsidRDefault="003E78AB">
            <w:pPr>
              <w:pStyle w:val="aff6"/>
              <w:topLinePunct/>
            </w:pPr>
          </w:p>
        </w:tc>
        <w:tc>
          <w:tcPr>
            <w:tcW w:w="313" w:type="pct"/>
            <w:vMerge w:val="restart"/>
            <w:vAlign w:val="center"/>
          </w:tcPr>
          <w:p w14:paraId="225D86CE" w14:textId="77777777" w:rsidR="003E78AB" w:rsidRDefault="00010BF9">
            <w:pPr>
              <w:pStyle w:val="aff6"/>
              <w:topLinePunct/>
            </w:pPr>
            <w:r>
              <w:t>无组织</w:t>
            </w:r>
          </w:p>
        </w:tc>
        <w:tc>
          <w:tcPr>
            <w:tcW w:w="1070" w:type="pct"/>
            <w:gridSpan w:val="2"/>
            <w:vMerge w:val="restart"/>
            <w:vAlign w:val="center"/>
          </w:tcPr>
          <w:p w14:paraId="79094E78" w14:textId="77777777" w:rsidR="003E78AB" w:rsidRDefault="00010BF9">
            <w:pPr>
              <w:pStyle w:val="aff6"/>
              <w:topLinePunct/>
            </w:pPr>
            <w:r>
              <w:rPr>
                <w:rFonts w:hint="eastAsia"/>
              </w:rPr>
              <w:t>车间界</w:t>
            </w:r>
          </w:p>
        </w:tc>
        <w:tc>
          <w:tcPr>
            <w:tcW w:w="369" w:type="pct"/>
            <w:vMerge w:val="restart"/>
            <w:vAlign w:val="center"/>
          </w:tcPr>
          <w:p w14:paraId="7514564A" w14:textId="77777777" w:rsidR="003E78AB" w:rsidRDefault="00010BF9">
            <w:pPr>
              <w:pStyle w:val="aff6"/>
              <w:topLinePunct/>
            </w:pPr>
            <w:r>
              <w:rPr>
                <w:rFonts w:hint="eastAsia"/>
                <w:b/>
                <w:bCs/>
                <w:u w:val="single"/>
              </w:rPr>
              <w:t>VOCs</w:t>
            </w:r>
            <w:r>
              <w:rPr>
                <w:rFonts w:hint="eastAsia"/>
                <w:b/>
                <w:bCs/>
                <w:u w:val="single"/>
              </w:rPr>
              <w:t>（监测项目</w:t>
            </w:r>
            <w:r>
              <w:rPr>
                <w:rFonts w:hint="eastAsia"/>
                <w:b/>
                <w:bCs/>
                <w:u w:val="single"/>
              </w:rPr>
              <w:t>NMHC</w:t>
            </w:r>
            <w:r>
              <w:rPr>
                <w:rFonts w:hint="eastAsia"/>
                <w:b/>
                <w:bCs/>
                <w:u w:val="single"/>
              </w:rPr>
              <w:t>）</w:t>
            </w:r>
          </w:p>
        </w:tc>
        <w:tc>
          <w:tcPr>
            <w:tcW w:w="390" w:type="pct"/>
            <w:vMerge w:val="restart"/>
            <w:vAlign w:val="center"/>
          </w:tcPr>
          <w:p w14:paraId="283F4919" w14:textId="77777777" w:rsidR="003E78AB" w:rsidRDefault="00010BF9">
            <w:pPr>
              <w:pStyle w:val="aff6"/>
              <w:topLinePunct/>
            </w:pPr>
            <w:r>
              <w:rPr>
                <w:rFonts w:hint="eastAsia"/>
              </w:rPr>
              <w:t>1</w:t>
            </w:r>
            <w:r>
              <w:rPr>
                <w:rFonts w:hint="eastAsia"/>
              </w:rPr>
              <w:t>次</w:t>
            </w:r>
            <w:r>
              <w:rPr>
                <w:rFonts w:hint="eastAsia"/>
              </w:rPr>
              <w:t>/</w:t>
            </w:r>
            <w:r>
              <w:t>半年</w:t>
            </w:r>
          </w:p>
        </w:tc>
        <w:tc>
          <w:tcPr>
            <w:tcW w:w="698" w:type="pct"/>
            <w:vMerge/>
            <w:vAlign w:val="center"/>
          </w:tcPr>
          <w:p w14:paraId="1EE4136F" w14:textId="77777777" w:rsidR="003E78AB" w:rsidRDefault="003E78AB">
            <w:pPr>
              <w:ind w:firstLine="420"/>
              <w:jc w:val="center"/>
              <w:rPr>
                <w:kern w:val="2"/>
                <w:sz w:val="21"/>
                <w:szCs w:val="21"/>
              </w:rPr>
            </w:pPr>
          </w:p>
        </w:tc>
        <w:tc>
          <w:tcPr>
            <w:tcW w:w="761" w:type="pct"/>
            <w:gridSpan w:val="2"/>
            <w:vAlign w:val="center"/>
          </w:tcPr>
          <w:p w14:paraId="2ECA4A83" w14:textId="77777777" w:rsidR="003E78AB" w:rsidRDefault="00010BF9">
            <w:pPr>
              <w:spacing w:line="360" w:lineRule="exact"/>
              <w:ind w:firstLineChars="0" w:firstLine="0"/>
              <w:jc w:val="center"/>
            </w:pPr>
            <w:r>
              <w:rPr>
                <w:kern w:val="2"/>
                <w:sz w:val="21"/>
                <w:szCs w:val="21"/>
              </w:rPr>
              <w:t>监控点处</w:t>
            </w:r>
            <w:r>
              <w:rPr>
                <w:kern w:val="2"/>
                <w:sz w:val="21"/>
                <w:szCs w:val="21"/>
              </w:rPr>
              <w:t>1h</w:t>
            </w:r>
            <w:r>
              <w:rPr>
                <w:kern w:val="2"/>
                <w:sz w:val="21"/>
                <w:szCs w:val="21"/>
              </w:rPr>
              <w:t>平均浓度值排放限值</w:t>
            </w:r>
            <w:r>
              <w:rPr>
                <w:rFonts w:hint="eastAsia"/>
                <w:kern w:val="2"/>
                <w:sz w:val="21"/>
                <w:szCs w:val="21"/>
              </w:rPr>
              <w:t>10</w:t>
            </w:r>
          </w:p>
        </w:tc>
        <w:tc>
          <w:tcPr>
            <w:tcW w:w="1233" w:type="pct"/>
            <w:gridSpan w:val="2"/>
            <w:vMerge w:val="restart"/>
            <w:vAlign w:val="center"/>
          </w:tcPr>
          <w:p w14:paraId="21995E7B" w14:textId="77777777" w:rsidR="003E78AB" w:rsidRDefault="00010BF9">
            <w:pPr>
              <w:pStyle w:val="aff6"/>
              <w:topLinePunct/>
            </w:pPr>
            <w:r>
              <w:t>《挥发性有机物无组织排放控制标准</w:t>
            </w:r>
            <w:r>
              <w:rPr>
                <w:rFonts w:hint="eastAsia"/>
              </w:rPr>
              <w:t>（试行）</w:t>
            </w:r>
            <w:r>
              <w:t>》（</w:t>
            </w:r>
            <w:r>
              <w:t>GB37822-2019</w:t>
            </w:r>
            <w:r>
              <w:t>）</w:t>
            </w:r>
          </w:p>
        </w:tc>
      </w:tr>
      <w:tr w:rsidR="003E78AB" w14:paraId="69EB9F22" w14:textId="77777777">
        <w:trPr>
          <w:trHeight w:val="845"/>
        </w:trPr>
        <w:tc>
          <w:tcPr>
            <w:tcW w:w="162" w:type="pct"/>
            <w:vMerge/>
            <w:vAlign w:val="center"/>
          </w:tcPr>
          <w:p w14:paraId="5424E8B6" w14:textId="77777777" w:rsidR="003E78AB" w:rsidRDefault="003E78AB">
            <w:pPr>
              <w:pStyle w:val="aff6"/>
              <w:topLinePunct/>
            </w:pPr>
          </w:p>
        </w:tc>
        <w:tc>
          <w:tcPr>
            <w:tcW w:w="313" w:type="pct"/>
            <w:vMerge/>
            <w:vAlign w:val="center"/>
          </w:tcPr>
          <w:p w14:paraId="27006197" w14:textId="77777777" w:rsidR="003E78AB" w:rsidRDefault="003E78AB">
            <w:pPr>
              <w:pStyle w:val="aff6"/>
              <w:topLinePunct/>
            </w:pPr>
          </w:p>
        </w:tc>
        <w:tc>
          <w:tcPr>
            <w:tcW w:w="1070" w:type="pct"/>
            <w:gridSpan w:val="2"/>
            <w:vMerge/>
            <w:vAlign w:val="center"/>
          </w:tcPr>
          <w:p w14:paraId="54AC9EAB" w14:textId="77777777" w:rsidR="003E78AB" w:rsidRDefault="003E78AB">
            <w:pPr>
              <w:pStyle w:val="aff6"/>
              <w:topLinePunct/>
            </w:pPr>
          </w:p>
        </w:tc>
        <w:tc>
          <w:tcPr>
            <w:tcW w:w="369" w:type="pct"/>
            <w:vMerge/>
            <w:vAlign w:val="center"/>
          </w:tcPr>
          <w:p w14:paraId="7D4FE487" w14:textId="77777777" w:rsidR="003E78AB" w:rsidRDefault="003E78AB">
            <w:pPr>
              <w:pStyle w:val="aff6"/>
              <w:topLinePunct/>
            </w:pPr>
          </w:p>
        </w:tc>
        <w:tc>
          <w:tcPr>
            <w:tcW w:w="390" w:type="pct"/>
            <w:vMerge/>
            <w:vAlign w:val="center"/>
          </w:tcPr>
          <w:p w14:paraId="7CFF0A26" w14:textId="77777777" w:rsidR="003E78AB" w:rsidRDefault="003E78AB">
            <w:pPr>
              <w:pStyle w:val="aff6"/>
              <w:topLinePunct/>
            </w:pPr>
          </w:p>
        </w:tc>
        <w:tc>
          <w:tcPr>
            <w:tcW w:w="698" w:type="pct"/>
            <w:vMerge/>
            <w:vAlign w:val="center"/>
          </w:tcPr>
          <w:p w14:paraId="5F353E6D" w14:textId="77777777" w:rsidR="003E78AB" w:rsidRDefault="003E78AB">
            <w:pPr>
              <w:pStyle w:val="aff6"/>
              <w:topLinePunct/>
            </w:pPr>
          </w:p>
        </w:tc>
        <w:tc>
          <w:tcPr>
            <w:tcW w:w="761" w:type="pct"/>
            <w:gridSpan w:val="2"/>
            <w:vAlign w:val="center"/>
          </w:tcPr>
          <w:p w14:paraId="18A8C7B9" w14:textId="77777777" w:rsidR="003E78AB" w:rsidRDefault="00010BF9">
            <w:pPr>
              <w:spacing w:line="360" w:lineRule="exact"/>
              <w:ind w:firstLineChars="0" w:firstLine="0"/>
              <w:jc w:val="center"/>
            </w:pPr>
            <w:r>
              <w:rPr>
                <w:kern w:val="2"/>
                <w:sz w:val="21"/>
                <w:szCs w:val="21"/>
              </w:rPr>
              <w:t>监控点处任意一次浓度值排放限值</w:t>
            </w:r>
            <w:r>
              <w:rPr>
                <w:rFonts w:hint="eastAsia"/>
                <w:kern w:val="2"/>
                <w:sz w:val="21"/>
                <w:szCs w:val="21"/>
              </w:rPr>
              <w:t>30</w:t>
            </w:r>
          </w:p>
        </w:tc>
        <w:tc>
          <w:tcPr>
            <w:tcW w:w="1233" w:type="pct"/>
            <w:gridSpan w:val="2"/>
            <w:vMerge/>
            <w:vAlign w:val="center"/>
          </w:tcPr>
          <w:p w14:paraId="1E02BBCE" w14:textId="77777777" w:rsidR="003E78AB" w:rsidRDefault="003E78AB">
            <w:pPr>
              <w:pStyle w:val="aff6"/>
              <w:topLinePunct/>
            </w:pPr>
          </w:p>
        </w:tc>
      </w:tr>
      <w:tr w:rsidR="003E78AB" w14:paraId="5C13AE12" w14:textId="77777777">
        <w:trPr>
          <w:trHeight w:val="1257"/>
        </w:trPr>
        <w:tc>
          <w:tcPr>
            <w:tcW w:w="162" w:type="pct"/>
            <w:vMerge/>
            <w:vAlign w:val="center"/>
          </w:tcPr>
          <w:p w14:paraId="0F44B844" w14:textId="77777777" w:rsidR="003E78AB" w:rsidRDefault="003E78AB">
            <w:pPr>
              <w:pStyle w:val="aff6"/>
              <w:topLinePunct/>
            </w:pPr>
          </w:p>
        </w:tc>
        <w:tc>
          <w:tcPr>
            <w:tcW w:w="313" w:type="pct"/>
            <w:vMerge/>
            <w:vAlign w:val="center"/>
          </w:tcPr>
          <w:p w14:paraId="5A5DC52B" w14:textId="77777777" w:rsidR="003E78AB" w:rsidRDefault="003E78AB">
            <w:pPr>
              <w:pStyle w:val="aff6"/>
              <w:topLinePunct/>
            </w:pPr>
          </w:p>
        </w:tc>
        <w:tc>
          <w:tcPr>
            <w:tcW w:w="1070" w:type="pct"/>
            <w:gridSpan w:val="2"/>
            <w:shd w:val="clear" w:color="auto" w:fill="auto"/>
            <w:vAlign w:val="center"/>
          </w:tcPr>
          <w:p w14:paraId="5A61F2DD" w14:textId="77777777" w:rsidR="003E78AB" w:rsidRDefault="00010BF9">
            <w:pPr>
              <w:pStyle w:val="aff6"/>
              <w:topLinePunct/>
            </w:pPr>
            <w:r>
              <w:t>厂界</w:t>
            </w:r>
          </w:p>
        </w:tc>
        <w:tc>
          <w:tcPr>
            <w:tcW w:w="369" w:type="pct"/>
            <w:shd w:val="clear" w:color="auto" w:fill="auto"/>
            <w:vAlign w:val="center"/>
          </w:tcPr>
          <w:p w14:paraId="7AAEE5DE" w14:textId="77777777" w:rsidR="003E78AB" w:rsidRDefault="00010BF9">
            <w:pPr>
              <w:pStyle w:val="aff6"/>
              <w:topLinePunct/>
            </w:pPr>
            <w:r>
              <w:t>颗粒物</w:t>
            </w:r>
          </w:p>
          <w:p w14:paraId="22B570D5" w14:textId="77777777" w:rsidR="003E78AB" w:rsidRDefault="00010BF9">
            <w:pPr>
              <w:pStyle w:val="aff6"/>
              <w:topLinePunct/>
            </w:pPr>
            <w:r>
              <w:t>硫酸雾</w:t>
            </w:r>
          </w:p>
          <w:p w14:paraId="25B66689" w14:textId="77777777" w:rsidR="003E78AB" w:rsidRDefault="00010BF9">
            <w:pPr>
              <w:pStyle w:val="aff6"/>
              <w:topLinePunct/>
            </w:pPr>
            <w:r>
              <w:rPr>
                <w:rFonts w:hint="eastAsia"/>
                <w:b/>
                <w:bCs/>
                <w:u w:val="single"/>
              </w:rPr>
              <w:t>VOCs</w:t>
            </w:r>
            <w:r>
              <w:rPr>
                <w:rFonts w:hint="eastAsia"/>
                <w:b/>
                <w:bCs/>
                <w:u w:val="single"/>
              </w:rPr>
              <w:t>（监测项目</w:t>
            </w:r>
            <w:r>
              <w:rPr>
                <w:rFonts w:hint="eastAsia"/>
                <w:b/>
                <w:bCs/>
                <w:u w:val="single"/>
              </w:rPr>
              <w:t>NMHC</w:t>
            </w:r>
            <w:r>
              <w:rPr>
                <w:rFonts w:hint="eastAsia"/>
              </w:rPr>
              <w:t>）</w:t>
            </w:r>
          </w:p>
        </w:tc>
        <w:tc>
          <w:tcPr>
            <w:tcW w:w="390" w:type="pct"/>
            <w:shd w:val="clear" w:color="auto" w:fill="auto"/>
            <w:vAlign w:val="center"/>
          </w:tcPr>
          <w:p w14:paraId="6188505D" w14:textId="77777777" w:rsidR="003E78AB" w:rsidRDefault="00010BF9">
            <w:pPr>
              <w:pStyle w:val="aff6"/>
              <w:topLinePunct/>
            </w:pPr>
            <w:r>
              <w:rPr>
                <w:rFonts w:hint="eastAsia"/>
              </w:rPr>
              <w:t>1</w:t>
            </w:r>
            <w:r>
              <w:rPr>
                <w:rFonts w:hint="eastAsia"/>
              </w:rPr>
              <w:t>次</w:t>
            </w:r>
            <w:r>
              <w:rPr>
                <w:rFonts w:hint="eastAsia"/>
              </w:rPr>
              <w:t>/</w:t>
            </w:r>
            <w:r>
              <w:t>半年</w:t>
            </w:r>
          </w:p>
        </w:tc>
        <w:tc>
          <w:tcPr>
            <w:tcW w:w="698" w:type="pct"/>
            <w:vMerge/>
            <w:shd w:val="clear" w:color="auto" w:fill="auto"/>
            <w:vAlign w:val="center"/>
          </w:tcPr>
          <w:p w14:paraId="457FDB46" w14:textId="77777777" w:rsidR="003E78AB" w:rsidRDefault="003E78AB">
            <w:pPr>
              <w:ind w:firstLine="420"/>
              <w:jc w:val="center"/>
              <w:rPr>
                <w:kern w:val="2"/>
                <w:sz w:val="21"/>
                <w:szCs w:val="21"/>
              </w:rPr>
            </w:pPr>
          </w:p>
        </w:tc>
        <w:tc>
          <w:tcPr>
            <w:tcW w:w="761" w:type="pct"/>
            <w:gridSpan w:val="2"/>
            <w:shd w:val="clear" w:color="auto" w:fill="auto"/>
            <w:vAlign w:val="center"/>
          </w:tcPr>
          <w:p w14:paraId="550BDDF3" w14:textId="77777777" w:rsidR="003E78AB" w:rsidRDefault="00010BF9">
            <w:pPr>
              <w:pStyle w:val="aff6"/>
              <w:topLinePunct/>
            </w:pPr>
            <w:r>
              <w:t>1.0</w:t>
            </w:r>
          </w:p>
          <w:p w14:paraId="434EA518" w14:textId="77777777" w:rsidR="003E78AB" w:rsidRDefault="00010BF9">
            <w:pPr>
              <w:pStyle w:val="aff6"/>
              <w:topLinePunct/>
            </w:pPr>
            <w:r>
              <w:t>1.2</w:t>
            </w:r>
          </w:p>
          <w:p w14:paraId="3B206030" w14:textId="77777777" w:rsidR="003E78AB" w:rsidRDefault="00010BF9">
            <w:pPr>
              <w:pStyle w:val="aff6"/>
              <w:topLinePunct/>
            </w:pPr>
            <w:r>
              <w:rPr>
                <w:rFonts w:hint="eastAsia"/>
              </w:rPr>
              <w:t>4.0</w:t>
            </w:r>
          </w:p>
        </w:tc>
        <w:tc>
          <w:tcPr>
            <w:tcW w:w="1233" w:type="pct"/>
            <w:gridSpan w:val="2"/>
            <w:shd w:val="clear" w:color="auto" w:fill="auto"/>
            <w:vAlign w:val="center"/>
          </w:tcPr>
          <w:p w14:paraId="6416DC70" w14:textId="77777777" w:rsidR="003E78AB" w:rsidRDefault="00010BF9">
            <w:pPr>
              <w:pStyle w:val="aff6"/>
              <w:topLinePunct/>
            </w:pPr>
            <w:r>
              <w:t>《大气污染物综合排放标准》</w:t>
            </w:r>
            <w:r>
              <w:t>(GB16297-1996)</w:t>
            </w:r>
          </w:p>
        </w:tc>
      </w:tr>
      <w:tr w:rsidR="003E78AB" w14:paraId="55F1C807" w14:textId="77777777">
        <w:trPr>
          <w:trHeight w:val="342"/>
        </w:trPr>
        <w:tc>
          <w:tcPr>
            <w:tcW w:w="162" w:type="pct"/>
            <w:vMerge w:val="restart"/>
            <w:vAlign w:val="center"/>
          </w:tcPr>
          <w:p w14:paraId="7A09CC44" w14:textId="77777777" w:rsidR="003E78AB" w:rsidRDefault="00010BF9">
            <w:pPr>
              <w:pStyle w:val="aff6"/>
              <w:topLinePunct/>
            </w:pPr>
            <w:r>
              <w:t>废水</w:t>
            </w:r>
          </w:p>
        </w:tc>
        <w:tc>
          <w:tcPr>
            <w:tcW w:w="313" w:type="pct"/>
            <w:vMerge w:val="restart"/>
            <w:vAlign w:val="center"/>
          </w:tcPr>
          <w:p w14:paraId="64EE43D6" w14:textId="77777777" w:rsidR="003E78AB" w:rsidRDefault="00010BF9">
            <w:pPr>
              <w:pStyle w:val="aff6"/>
              <w:topLinePunct/>
            </w:pPr>
            <w:r>
              <w:t>一般排放口</w:t>
            </w:r>
          </w:p>
        </w:tc>
        <w:tc>
          <w:tcPr>
            <w:tcW w:w="1070" w:type="pct"/>
            <w:gridSpan w:val="2"/>
            <w:vMerge w:val="restart"/>
            <w:vAlign w:val="center"/>
          </w:tcPr>
          <w:p w14:paraId="23AD61C1" w14:textId="77777777" w:rsidR="003E78AB" w:rsidRDefault="00010BF9">
            <w:pPr>
              <w:pStyle w:val="aff6"/>
              <w:topLinePunct/>
            </w:pPr>
            <w:r>
              <w:t>废水总排口</w:t>
            </w:r>
          </w:p>
        </w:tc>
        <w:tc>
          <w:tcPr>
            <w:tcW w:w="369" w:type="pct"/>
            <w:vAlign w:val="center"/>
          </w:tcPr>
          <w:p w14:paraId="4D8BEA00" w14:textId="77777777" w:rsidR="003E78AB" w:rsidRDefault="00010BF9">
            <w:pPr>
              <w:spacing w:line="240" w:lineRule="auto"/>
              <w:ind w:leftChars="-50" w:left="-120" w:rightChars="-50" w:right="-120" w:firstLineChars="0" w:firstLine="0"/>
              <w:jc w:val="center"/>
              <w:outlineLvl w:val="3"/>
            </w:pPr>
            <w:r>
              <w:rPr>
                <w:kern w:val="2"/>
                <w:sz w:val="21"/>
                <w:szCs w:val="21"/>
              </w:rPr>
              <w:t>pH</w:t>
            </w:r>
          </w:p>
        </w:tc>
        <w:tc>
          <w:tcPr>
            <w:tcW w:w="390" w:type="pct"/>
            <w:vMerge w:val="restart"/>
            <w:vAlign w:val="center"/>
          </w:tcPr>
          <w:p w14:paraId="0B9CE762" w14:textId="77777777" w:rsidR="003E78AB" w:rsidRDefault="00010BF9">
            <w:pPr>
              <w:pStyle w:val="aff6"/>
              <w:topLinePunct/>
            </w:pPr>
            <w:r>
              <w:rPr>
                <w:rFonts w:hint="eastAsia"/>
              </w:rPr>
              <w:t>1</w:t>
            </w:r>
            <w:r>
              <w:rPr>
                <w:rFonts w:hint="eastAsia"/>
              </w:rPr>
              <w:t>次</w:t>
            </w:r>
            <w:r>
              <w:rPr>
                <w:rFonts w:hint="eastAsia"/>
              </w:rPr>
              <w:t>/</w:t>
            </w:r>
            <w:r>
              <w:rPr>
                <w:rFonts w:hint="eastAsia"/>
              </w:rPr>
              <w:t>半年</w:t>
            </w:r>
          </w:p>
        </w:tc>
        <w:tc>
          <w:tcPr>
            <w:tcW w:w="698" w:type="pct"/>
            <w:vMerge w:val="restart"/>
            <w:vAlign w:val="center"/>
          </w:tcPr>
          <w:p w14:paraId="1D6544DD" w14:textId="77777777" w:rsidR="003E78AB" w:rsidRDefault="00010BF9">
            <w:pPr>
              <w:pStyle w:val="aff6"/>
              <w:topLinePunct/>
            </w:pPr>
            <w:r>
              <w:t>《排污许可证申请与核发技术规范专用</w:t>
            </w:r>
            <w:r>
              <w:rPr>
                <w:rFonts w:hint="eastAsia"/>
              </w:rPr>
              <w:t xml:space="preserve"> </w:t>
            </w:r>
            <w:r>
              <w:t>化学产品制造工业》</w:t>
            </w:r>
            <w:r>
              <w:rPr>
                <w:rFonts w:hint="eastAsia"/>
              </w:rPr>
              <w:t>（</w:t>
            </w:r>
            <w:r>
              <w:t>HJ1103-2020</w:t>
            </w:r>
            <w:r>
              <w:rPr>
                <w:rFonts w:hint="eastAsia"/>
              </w:rPr>
              <w:t>）</w:t>
            </w:r>
            <w:r>
              <w:t>表</w:t>
            </w:r>
            <w:r>
              <w:t>21</w:t>
            </w:r>
          </w:p>
        </w:tc>
        <w:tc>
          <w:tcPr>
            <w:tcW w:w="348" w:type="pct"/>
            <w:vAlign w:val="center"/>
          </w:tcPr>
          <w:p w14:paraId="510F96D8" w14:textId="77777777" w:rsidR="003E78AB" w:rsidRDefault="00010BF9">
            <w:pPr>
              <w:spacing w:line="240" w:lineRule="auto"/>
              <w:ind w:leftChars="-50" w:left="-120" w:rightChars="-50" w:right="-120" w:firstLineChars="0" w:firstLine="0"/>
              <w:jc w:val="center"/>
              <w:outlineLvl w:val="3"/>
            </w:pPr>
            <w:r>
              <w:rPr>
                <w:kern w:val="2"/>
                <w:sz w:val="21"/>
                <w:szCs w:val="21"/>
              </w:rPr>
              <w:t>6~9</w:t>
            </w:r>
          </w:p>
        </w:tc>
        <w:tc>
          <w:tcPr>
            <w:tcW w:w="413" w:type="pct"/>
            <w:vMerge w:val="restart"/>
            <w:vAlign w:val="center"/>
          </w:tcPr>
          <w:p w14:paraId="5E1ABE06" w14:textId="77777777" w:rsidR="003E78AB" w:rsidRDefault="00010BF9">
            <w:pPr>
              <w:pStyle w:val="aff6"/>
              <w:topLinePunct/>
            </w:pPr>
            <w:r>
              <w:rPr>
                <w:rFonts w:hint="eastAsia"/>
              </w:rPr>
              <w:t>《无机化学工业污染物排放标准》（</w:t>
            </w:r>
            <w:r>
              <w:rPr>
                <w:rFonts w:hint="eastAsia"/>
              </w:rPr>
              <w:t>GB31573-2015</w:t>
            </w:r>
            <w:r>
              <w:rPr>
                <w:rFonts w:hint="eastAsia"/>
              </w:rPr>
              <w:t>）间接排放</w:t>
            </w:r>
          </w:p>
        </w:tc>
        <w:tc>
          <w:tcPr>
            <w:tcW w:w="629" w:type="pct"/>
            <w:vAlign w:val="center"/>
          </w:tcPr>
          <w:p w14:paraId="42F8D90D" w14:textId="77777777" w:rsidR="003E78AB" w:rsidRDefault="00010BF9">
            <w:pPr>
              <w:spacing w:line="240" w:lineRule="auto"/>
              <w:ind w:leftChars="-50" w:left="-120" w:rightChars="-50" w:right="-120" w:firstLineChars="0" w:firstLine="0"/>
              <w:jc w:val="center"/>
              <w:outlineLvl w:val="3"/>
            </w:pPr>
            <w:r>
              <w:rPr>
                <w:kern w:val="2"/>
                <w:sz w:val="21"/>
                <w:szCs w:val="21"/>
              </w:rPr>
              <w:t>6~9</w:t>
            </w:r>
          </w:p>
        </w:tc>
        <w:tc>
          <w:tcPr>
            <w:tcW w:w="603" w:type="pct"/>
            <w:vMerge w:val="restart"/>
            <w:vAlign w:val="center"/>
          </w:tcPr>
          <w:p w14:paraId="5FAB9EA3" w14:textId="77777777" w:rsidR="003E78AB" w:rsidRDefault="00010BF9">
            <w:pPr>
              <w:pStyle w:val="aff6"/>
              <w:topLinePunct/>
            </w:pPr>
            <w:r>
              <w:rPr>
                <w:rFonts w:hint="eastAsia"/>
              </w:rPr>
              <w:t>《污水综合排放标准》（</w:t>
            </w:r>
            <w:r>
              <w:rPr>
                <w:rFonts w:hint="eastAsia"/>
              </w:rPr>
              <w:t>GB8978-1996</w:t>
            </w:r>
            <w:r>
              <w:rPr>
                <w:rFonts w:hint="eastAsia"/>
              </w:rPr>
              <w:t>）</w:t>
            </w:r>
          </w:p>
        </w:tc>
      </w:tr>
      <w:tr w:rsidR="003E78AB" w14:paraId="3FC05A97" w14:textId="77777777">
        <w:trPr>
          <w:trHeight w:val="297"/>
        </w:trPr>
        <w:tc>
          <w:tcPr>
            <w:tcW w:w="162" w:type="pct"/>
            <w:vMerge/>
            <w:vAlign w:val="center"/>
          </w:tcPr>
          <w:p w14:paraId="37939534" w14:textId="77777777" w:rsidR="003E78AB" w:rsidRDefault="003E78AB">
            <w:pPr>
              <w:pStyle w:val="aff6"/>
              <w:topLinePunct/>
            </w:pPr>
          </w:p>
        </w:tc>
        <w:tc>
          <w:tcPr>
            <w:tcW w:w="313" w:type="pct"/>
            <w:vMerge/>
            <w:vAlign w:val="center"/>
          </w:tcPr>
          <w:p w14:paraId="33CFAB81" w14:textId="77777777" w:rsidR="003E78AB" w:rsidRDefault="003E78AB">
            <w:pPr>
              <w:pStyle w:val="aff6"/>
              <w:topLinePunct/>
            </w:pPr>
          </w:p>
        </w:tc>
        <w:tc>
          <w:tcPr>
            <w:tcW w:w="1070" w:type="pct"/>
            <w:gridSpan w:val="2"/>
            <w:vMerge/>
            <w:vAlign w:val="center"/>
          </w:tcPr>
          <w:p w14:paraId="40F355DF" w14:textId="77777777" w:rsidR="003E78AB" w:rsidRDefault="003E78AB">
            <w:pPr>
              <w:pStyle w:val="aff6"/>
              <w:topLinePunct/>
            </w:pPr>
          </w:p>
        </w:tc>
        <w:tc>
          <w:tcPr>
            <w:tcW w:w="369" w:type="pct"/>
            <w:vAlign w:val="center"/>
          </w:tcPr>
          <w:p w14:paraId="523215F7" w14:textId="77777777" w:rsidR="003E78AB" w:rsidRDefault="00010BF9">
            <w:pPr>
              <w:spacing w:line="240" w:lineRule="auto"/>
              <w:ind w:leftChars="-50" w:left="-120" w:rightChars="-50" w:right="-120" w:firstLineChars="0" w:firstLine="0"/>
              <w:jc w:val="center"/>
              <w:outlineLvl w:val="3"/>
            </w:pPr>
            <w:r>
              <w:rPr>
                <w:kern w:val="2"/>
                <w:sz w:val="21"/>
                <w:szCs w:val="21"/>
              </w:rPr>
              <w:t>COD</w:t>
            </w:r>
          </w:p>
        </w:tc>
        <w:tc>
          <w:tcPr>
            <w:tcW w:w="390" w:type="pct"/>
            <w:vMerge/>
            <w:vAlign w:val="center"/>
          </w:tcPr>
          <w:p w14:paraId="66818948" w14:textId="77777777" w:rsidR="003E78AB" w:rsidRDefault="003E78AB">
            <w:pPr>
              <w:pStyle w:val="aff6"/>
              <w:topLinePunct/>
            </w:pPr>
          </w:p>
        </w:tc>
        <w:tc>
          <w:tcPr>
            <w:tcW w:w="698" w:type="pct"/>
            <w:vMerge/>
            <w:vAlign w:val="center"/>
          </w:tcPr>
          <w:p w14:paraId="127C8638" w14:textId="77777777" w:rsidR="003E78AB" w:rsidRDefault="003E78AB">
            <w:pPr>
              <w:pStyle w:val="aff6"/>
              <w:topLinePunct/>
            </w:pPr>
          </w:p>
        </w:tc>
        <w:tc>
          <w:tcPr>
            <w:tcW w:w="348" w:type="pct"/>
            <w:vAlign w:val="center"/>
          </w:tcPr>
          <w:p w14:paraId="4E35DDDF" w14:textId="77777777" w:rsidR="003E78AB" w:rsidRDefault="00010BF9">
            <w:pPr>
              <w:spacing w:line="240" w:lineRule="auto"/>
              <w:ind w:leftChars="-50" w:left="-120" w:rightChars="-50" w:right="-120" w:firstLineChars="0" w:firstLine="0"/>
              <w:jc w:val="center"/>
              <w:outlineLvl w:val="3"/>
            </w:pPr>
            <w:r>
              <w:rPr>
                <w:kern w:val="2"/>
                <w:sz w:val="21"/>
                <w:szCs w:val="21"/>
              </w:rPr>
              <w:t>200</w:t>
            </w:r>
          </w:p>
        </w:tc>
        <w:tc>
          <w:tcPr>
            <w:tcW w:w="413" w:type="pct"/>
            <w:vMerge/>
            <w:vAlign w:val="center"/>
          </w:tcPr>
          <w:p w14:paraId="038D9174" w14:textId="77777777" w:rsidR="003E78AB" w:rsidRDefault="003E78AB">
            <w:pPr>
              <w:pStyle w:val="aff6"/>
              <w:topLinePunct/>
            </w:pPr>
          </w:p>
        </w:tc>
        <w:tc>
          <w:tcPr>
            <w:tcW w:w="629" w:type="pct"/>
            <w:vAlign w:val="center"/>
          </w:tcPr>
          <w:p w14:paraId="6911AFA8" w14:textId="77777777" w:rsidR="003E78AB" w:rsidRDefault="00010BF9">
            <w:pPr>
              <w:spacing w:line="240" w:lineRule="auto"/>
              <w:ind w:leftChars="-50" w:left="-120" w:rightChars="-50" w:right="-120" w:firstLineChars="0" w:firstLine="0"/>
              <w:jc w:val="center"/>
              <w:outlineLvl w:val="3"/>
            </w:pPr>
            <w:r>
              <w:rPr>
                <w:kern w:val="2"/>
                <w:sz w:val="21"/>
                <w:szCs w:val="21"/>
              </w:rPr>
              <w:t>500</w:t>
            </w:r>
          </w:p>
        </w:tc>
        <w:tc>
          <w:tcPr>
            <w:tcW w:w="603" w:type="pct"/>
            <w:vMerge/>
            <w:vAlign w:val="center"/>
          </w:tcPr>
          <w:p w14:paraId="668CB9CA" w14:textId="77777777" w:rsidR="003E78AB" w:rsidRDefault="003E78AB">
            <w:pPr>
              <w:pStyle w:val="aff6"/>
              <w:topLinePunct/>
            </w:pPr>
          </w:p>
        </w:tc>
      </w:tr>
      <w:tr w:rsidR="003E78AB" w14:paraId="5D86977A" w14:textId="77777777">
        <w:trPr>
          <w:trHeight w:val="297"/>
        </w:trPr>
        <w:tc>
          <w:tcPr>
            <w:tcW w:w="162" w:type="pct"/>
            <w:vMerge/>
            <w:vAlign w:val="center"/>
          </w:tcPr>
          <w:p w14:paraId="51603563" w14:textId="77777777" w:rsidR="003E78AB" w:rsidRDefault="003E78AB">
            <w:pPr>
              <w:pStyle w:val="aff6"/>
              <w:topLinePunct/>
            </w:pPr>
          </w:p>
        </w:tc>
        <w:tc>
          <w:tcPr>
            <w:tcW w:w="313" w:type="pct"/>
            <w:vMerge/>
            <w:vAlign w:val="center"/>
          </w:tcPr>
          <w:p w14:paraId="72ECEB55" w14:textId="77777777" w:rsidR="003E78AB" w:rsidRDefault="003E78AB">
            <w:pPr>
              <w:pStyle w:val="aff6"/>
              <w:topLinePunct/>
            </w:pPr>
          </w:p>
        </w:tc>
        <w:tc>
          <w:tcPr>
            <w:tcW w:w="1070" w:type="pct"/>
            <w:gridSpan w:val="2"/>
            <w:vMerge/>
            <w:vAlign w:val="center"/>
          </w:tcPr>
          <w:p w14:paraId="060D09F4" w14:textId="77777777" w:rsidR="003E78AB" w:rsidRDefault="003E78AB">
            <w:pPr>
              <w:pStyle w:val="aff6"/>
              <w:topLinePunct/>
            </w:pPr>
          </w:p>
        </w:tc>
        <w:tc>
          <w:tcPr>
            <w:tcW w:w="369" w:type="pct"/>
            <w:vAlign w:val="center"/>
          </w:tcPr>
          <w:p w14:paraId="3D4382AC" w14:textId="77777777" w:rsidR="003E78AB" w:rsidRDefault="00010BF9">
            <w:pPr>
              <w:spacing w:line="240" w:lineRule="auto"/>
              <w:ind w:leftChars="-50" w:left="-120" w:rightChars="-50" w:right="-120" w:firstLineChars="0" w:firstLine="0"/>
              <w:jc w:val="center"/>
              <w:outlineLvl w:val="3"/>
            </w:pPr>
            <w:r>
              <w:rPr>
                <w:kern w:val="2"/>
                <w:sz w:val="21"/>
                <w:szCs w:val="21"/>
              </w:rPr>
              <w:t>BOD</w:t>
            </w:r>
            <w:r>
              <w:rPr>
                <w:kern w:val="2"/>
                <w:sz w:val="21"/>
                <w:szCs w:val="21"/>
                <w:vertAlign w:val="subscript"/>
              </w:rPr>
              <w:t>5</w:t>
            </w:r>
          </w:p>
        </w:tc>
        <w:tc>
          <w:tcPr>
            <w:tcW w:w="390" w:type="pct"/>
            <w:vMerge/>
            <w:vAlign w:val="center"/>
          </w:tcPr>
          <w:p w14:paraId="61F8E0B1" w14:textId="77777777" w:rsidR="003E78AB" w:rsidRDefault="003E78AB">
            <w:pPr>
              <w:pStyle w:val="aff6"/>
              <w:topLinePunct/>
            </w:pPr>
          </w:p>
        </w:tc>
        <w:tc>
          <w:tcPr>
            <w:tcW w:w="698" w:type="pct"/>
            <w:vMerge/>
            <w:vAlign w:val="center"/>
          </w:tcPr>
          <w:p w14:paraId="23D0C8D5" w14:textId="77777777" w:rsidR="003E78AB" w:rsidRDefault="003E78AB">
            <w:pPr>
              <w:pStyle w:val="aff6"/>
              <w:topLinePunct/>
            </w:pPr>
          </w:p>
        </w:tc>
        <w:tc>
          <w:tcPr>
            <w:tcW w:w="348" w:type="pct"/>
            <w:vAlign w:val="center"/>
          </w:tcPr>
          <w:p w14:paraId="1BB567C0" w14:textId="77777777" w:rsidR="003E78AB" w:rsidRDefault="00010BF9">
            <w:pPr>
              <w:spacing w:line="240" w:lineRule="auto"/>
              <w:ind w:leftChars="-50" w:left="-120" w:rightChars="-50" w:right="-120" w:firstLineChars="0" w:firstLine="0"/>
              <w:jc w:val="center"/>
              <w:outlineLvl w:val="3"/>
            </w:pPr>
            <w:r>
              <w:rPr>
                <w:kern w:val="2"/>
                <w:sz w:val="21"/>
                <w:szCs w:val="21"/>
              </w:rPr>
              <w:t>/</w:t>
            </w:r>
          </w:p>
        </w:tc>
        <w:tc>
          <w:tcPr>
            <w:tcW w:w="413" w:type="pct"/>
            <w:vMerge/>
            <w:vAlign w:val="center"/>
          </w:tcPr>
          <w:p w14:paraId="1959F876" w14:textId="77777777" w:rsidR="003E78AB" w:rsidRDefault="003E78AB">
            <w:pPr>
              <w:pStyle w:val="aff6"/>
              <w:topLinePunct/>
            </w:pPr>
          </w:p>
        </w:tc>
        <w:tc>
          <w:tcPr>
            <w:tcW w:w="629" w:type="pct"/>
            <w:vAlign w:val="center"/>
          </w:tcPr>
          <w:p w14:paraId="2B9D73D3" w14:textId="77777777" w:rsidR="003E78AB" w:rsidRDefault="00010BF9">
            <w:pPr>
              <w:spacing w:line="240" w:lineRule="auto"/>
              <w:ind w:leftChars="-50" w:left="-120" w:rightChars="-50" w:right="-120" w:firstLineChars="0" w:firstLine="0"/>
              <w:jc w:val="center"/>
              <w:outlineLvl w:val="3"/>
            </w:pPr>
            <w:r>
              <w:rPr>
                <w:kern w:val="2"/>
                <w:sz w:val="21"/>
                <w:szCs w:val="21"/>
              </w:rPr>
              <w:t>300</w:t>
            </w:r>
          </w:p>
        </w:tc>
        <w:tc>
          <w:tcPr>
            <w:tcW w:w="603" w:type="pct"/>
            <w:vMerge/>
            <w:vAlign w:val="center"/>
          </w:tcPr>
          <w:p w14:paraId="52713EE4" w14:textId="77777777" w:rsidR="003E78AB" w:rsidRDefault="003E78AB">
            <w:pPr>
              <w:pStyle w:val="aff6"/>
              <w:topLinePunct/>
            </w:pPr>
          </w:p>
        </w:tc>
      </w:tr>
      <w:tr w:rsidR="003E78AB" w14:paraId="2C75D031" w14:textId="77777777">
        <w:trPr>
          <w:trHeight w:val="297"/>
        </w:trPr>
        <w:tc>
          <w:tcPr>
            <w:tcW w:w="162" w:type="pct"/>
            <w:vMerge/>
            <w:vAlign w:val="center"/>
          </w:tcPr>
          <w:p w14:paraId="0F6E1DAE" w14:textId="77777777" w:rsidR="003E78AB" w:rsidRDefault="003E78AB">
            <w:pPr>
              <w:pStyle w:val="aff6"/>
              <w:topLinePunct/>
            </w:pPr>
          </w:p>
        </w:tc>
        <w:tc>
          <w:tcPr>
            <w:tcW w:w="313" w:type="pct"/>
            <w:vMerge/>
            <w:vAlign w:val="center"/>
          </w:tcPr>
          <w:p w14:paraId="0E756771" w14:textId="77777777" w:rsidR="003E78AB" w:rsidRDefault="003E78AB">
            <w:pPr>
              <w:pStyle w:val="aff6"/>
              <w:topLinePunct/>
            </w:pPr>
          </w:p>
        </w:tc>
        <w:tc>
          <w:tcPr>
            <w:tcW w:w="1070" w:type="pct"/>
            <w:gridSpan w:val="2"/>
            <w:vMerge/>
            <w:vAlign w:val="center"/>
          </w:tcPr>
          <w:p w14:paraId="490E1B9D" w14:textId="77777777" w:rsidR="003E78AB" w:rsidRDefault="003E78AB">
            <w:pPr>
              <w:pStyle w:val="aff6"/>
              <w:topLinePunct/>
            </w:pPr>
          </w:p>
        </w:tc>
        <w:tc>
          <w:tcPr>
            <w:tcW w:w="369" w:type="pct"/>
            <w:vAlign w:val="center"/>
          </w:tcPr>
          <w:p w14:paraId="3D462D67" w14:textId="77777777" w:rsidR="003E78AB" w:rsidRDefault="00010BF9">
            <w:pPr>
              <w:spacing w:line="240" w:lineRule="auto"/>
              <w:ind w:firstLineChars="0" w:firstLine="0"/>
              <w:jc w:val="center"/>
              <w:rPr>
                <w:kern w:val="2"/>
                <w:sz w:val="21"/>
                <w:szCs w:val="21"/>
              </w:rPr>
            </w:pPr>
            <w:r>
              <w:rPr>
                <w:rFonts w:hint="eastAsia"/>
                <w:kern w:val="2"/>
                <w:sz w:val="21"/>
                <w:szCs w:val="21"/>
              </w:rPr>
              <w:t>NH3-N</w:t>
            </w:r>
          </w:p>
        </w:tc>
        <w:tc>
          <w:tcPr>
            <w:tcW w:w="390" w:type="pct"/>
            <w:vMerge/>
            <w:vAlign w:val="center"/>
          </w:tcPr>
          <w:p w14:paraId="48489A50" w14:textId="77777777" w:rsidR="003E78AB" w:rsidRDefault="003E78AB">
            <w:pPr>
              <w:pStyle w:val="aff6"/>
              <w:topLinePunct/>
            </w:pPr>
          </w:p>
        </w:tc>
        <w:tc>
          <w:tcPr>
            <w:tcW w:w="698" w:type="pct"/>
            <w:vMerge/>
            <w:vAlign w:val="center"/>
          </w:tcPr>
          <w:p w14:paraId="2454DD5C" w14:textId="77777777" w:rsidR="003E78AB" w:rsidRDefault="003E78AB">
            <w:pPr>
              <w:pStyle w:val="aff6"/>
              <w:topLinePunct/>
            </w:pPr>
          </w:p>
        </w:tc>
        <w:tc>
          <w:tcPr>
            <w:tcW w:w="348" w:type="pct"/>
            <w:vAlign w:val="center"/>
          </w:tcPr>
          <w:p w14:paraId="66BCD448" w14:textId="77777777" w:rsidR="003E78AB" w:rsidRDefault="00010BF9">
            <w:pPr>
              <w:spacing w:line="240" w:lineRule="auto"/>
              <w:ind w:leftChars="-50" w:left="-120" w:rightChars="-50" w:right="-120" w:firstLineChars="0" w:firstLine="0"/>
              <w:jc w:val="center"/>
              <w:outlineLvl w:val="3"/>
            </w:pPr>
            <w:r>
              <w:rPr>
                <w:kern w:val="2"/>
                <w:sz w:val="21"/>
                <w:szCs w:val="21"/>
              </w:rPr>
              <w:t>40</w:t>
            </w:r>
          </w:p>
        </w:tc>
        <w:tc>
          <w:tcPr>
            <w:tcW w:w="413" w:type="pct"/>
            <w:vMerge/>
            <w:vAlign w:val="center"/>
          </w:tcPr>
          <w:p w14:paraId="7528C165" w14:textId="77777777" w:rsidR="003E78AB" w:rsidRDefault="003E78AB">
            <w:pPr>
              <w:pStyle w:val="aff6"/>
              <w:topLinePunct/>
            </w:pPr>
          </w:p>
        </w:tc>
        <w:tc>
          <w:tcPr>
            <w:tcW w:w="629" w:type="pct"/>
            <w:vAlign w:val="center"/>
          </w:tcPr>
          <w:p w14:paraId="37902778" w14:textId="77777777" w:rsidR="003E78AB" w:rsidRDefault="00010BF9">
            <w:pPr>
              <w:spacing w:line="240" w:lineRule="auto"/>
              <w:ind w:leftChars="-50" w:left="-120" w:rightChars="-50" w:right="-120" w:firstLineChars="0" w:firstLine="0"/>
              <w:jc w:val="center"/>
              <w:outlineLvl w:val="3"/>
            </w:pPr>
            <w:r>
              <w:rPr>
                <w:kern w:val="2"/>
                <w:sz w:val="21"/>
                <w:szCs w:val="21"/>
              </w:rPr>
              <w:t>400</w:t>
            </w:r>
          </w:p>
        </w:tc>
        <w:tc>
          <w:tcPr>
            <w:tcW w:w="603" w:type="pct"/>
            <w:vMerge/>
            <w:vAlign w:val="center"/>
          </w:tcPr>
          <w:p w14:paraId="3046F01A" w14:textId="77777777" w:rsidR="003E78AB" w:rsidRDefault="003E78AB">
            <w:pPr>
              <w:pStyle w:val="aff6"/>
              <w:topLinePunct/>
            </w:pPr>
          </w:p>
        </w:tc>
      </w:tr>
      <w:tr w:rsidR="003E78AB" w14:paraId="16B97DA2" w14:textId="77777777">
        <w:trPr>
          <w:trHeight w:val="297"/>
        </w:trPr>
        <w:tc>
          <w:tcPr>
            <w:tcW w:w="162" w:type="pct"/>
            <w:vMerge/>
            <w:vAlign w:val="center"/>
          </w:tcPr>
          <w:p w14:paraId="3EC0AADD" w14:textId="77777777" w:rsidR="003E78AB" w:rsidRDefault="003E78AB">
            <w:pPr>
              <w:pStyle w:val="aff6"/>
              <w:topLinePunct/>
            </w:pPr>
          </w:p>
        </w:tc>
        <w:tc>
          <w:tcPr>
            <w:tcW w:w="313" w:type="pct"/>
            <w:vMerge/>
            <w:vAlign w:val="center"/>
          </w:tcPr>
          <w:p w14:paraId="0067A992" w14:textId="77777777" w:rsidR="003E78AB" w:rsidRDefault="003E78AB">
            <w:pPr>
              <w:pStyle w:val="aff6"/>
              <w:topLinePunct/>
            </w:pPr>
          </w:p>
        </w:tc>
        <w:tc>
          <w:tcPr>
            <w:tcW w:w="1070" w:type="pct"/>
            <w:gridSpan w:val="2"/>
            <w:vMerge/>
            <w:vAlign w:val="center"/>
          </w:tcPr>
          <w:p w14:paraId="23E0EBE1" w14:textId="77777777" w:rsidR="003E78AB" w:rsidRDefault="003E78AB">
            <w:pPr>
              <w:pStyle w:val="aff6"/>
              <w:topLinePunct/>
            </w:pPr>
          </w:p>
        </w:tc>
        <w:tc>
          <w:tcPr>
            <w:tcW w:w="369" w:type="pct"/>
            <w:vAlign w:val="center"/>
          </w:tcPr>
          <w:p w14:paraId="06C5E62B" w14:textId="77777777" w:rsidR="003E78AB" w:rsidRDefault="00010BF9">
            <w:pPr>
              <w:spacing w:line="240" w:lineRule="auto"/>
              <w:ind w:firstLineChars="0" w:firstLine="0"/>
              <w:jc w:val="center"/>
              <w:rPr>
                <w:kern w:val="2"/>
                <w:sz w:val="21"/>
                <w:szCs w:val="21"/>
              </w:rPr>
            </w:pPr>
            <w:r>
              <w:rPr>
                <w:kern w:val="2"/>
                <w:sz w:val="21"/>
                <w:szCs w:val="21"/>
              </w:rPr>
              <w:t>SS</w:t>
            </w:r>
          </w:p>
        </w:tc>
        <w:tc>
          <w:tcPr>
            <w:tcW w:w="390" w:type="pct"/>
            <w:vMerge w:val="restart"/>
            <w:vAlign w:val="center"/>
          </w:tcPr>
          <w:p w14:paraId="711BAFCC" w14:textId="77777777" w:rsidR="003E78AB" w:rsidRDefault="00010BF9">
            <w:pPr>
              <w:pStyle w:val="aff6"/>
              <w:topLinePunct/>
            </w:pPr>
            <w:r>
              <w:rPr>
                <w:rFonts w:hint="eastAsia"/>
              </w:rPr>
              <w:t>1</w:t>
            </w:r>
            <w:r>
              <w:rPr>
                <w:rFonts w:hint="eastAsia"/>
              </w:rPr>
              <w:t>次</w:t>
            </w:r>
            <w:r>
              <w:rPr>
                <w:rFonts w:hint="eastAsia"/>
              </w:rPr>
              <w:t>/</w:t>
            </w:r>
            <w:r>
              <w:rPr>
                <w:rFonts w:hint="eastAsia"/>
              </w:rPr>
              <w:t>年</w:t>
            </w:r>
          </w:p>
        </w:tc>
        <w:tc>
          <w:tcPr>
            <w:tcW w:w="698" w:type="pct"/>
            <w:vMerge/>
            <w:vAlign w:val="center"/>
          </w:tcPr>
          <w:p w14:paraId="4E341D72" w14:textId="77777777" w:rsidR="003E78AB" w:rsidRDefault="003E78AB">
            <w:pPr>
              <w:pStyle w:val="aff6"/>
              <w:topLinePunct/>
            </w:pPr>
          </w:p>
        </w:tc>
        <w:tc>
          <w:tcPr>
            <w:tcW w:w="348" w:type="pct"/>
            <w:vAlign w:val="center"/>
          </w:tcPr>
          <w:p w14:paraId="405A6D77" w14:textId="77777777" w:rsidR="003E78AB" w:rsidRDefault="00010BF9">
            <w:pPr>
              <w:spacing w:line="240" w:lineRule="auto"/>
              <w:ind w:leftChars="-50" w:left="-120" w:rightChars="-50" w:right="-120" w:firstLineChars="0" w:firstLine="0"/>
              <w:jc w:val="center"/>
              <w:outlineLvl w:val="3"/>
            </w:pPr>
            <w:r>
              <w:rPr>
                <w:kern w:val="2"/>
                <w:sz w:val="21"/>
                <w:szCs w:val="21"/>
              </w:rPr>
              <w:t>100</w:t>
            </w:r>
          </w:p>
        </w:tc>
        <w:tc>
          <w:tcPr>
            <w:tcW w:w="413" w:type="pct"/>
            <w:vMerge/>
            <w:vAlign w:val="center"/>
          </w:tcPr>
          <w:p w14:paraId="682639E8" w14:textId="77777777" w:rsidR="003E78AB" w:rsidRDefault="003E78AB">
            <w:pPr>
              <w:pStyle w:val="aff6"/>
              <w:topLinePunct/>
            </w:pPr>
          </w:p>
        </w:tc>
        <w:tc>
          <w:tcPr>
            <w:tcW w:w="629" w:type="pct"/>
            <w:vAlign w:val="center"/>
          </w:tcPr>
          <w:p w14:paraId="1D8864A8" w14:textId="77777777" w:rsidR="003E78AB" w:rsidRDefault="00010BF9">
            <w:pPr>
              <w:spacing w:line="240" w:lineRule="auto"/>
              <w:ind w:leftChars="-50" w:left="-120" w:rightChars="-50" w:right="-120" w:firstLineChars="0" w:firstLine="0"/>
              <w:jc w:val="center"/>
              <w:outlineLvl w:val="3"/>
            </w:pPr>
            <w:r>
              <w:rPr>
                <w:rFonts w:hint="eastAsia"/>
                <w:kern w:val="2"/>
                <w:sz w:val="21"/>
                <w:szCs w:val="21"/>
              </w:rPr>
              <w:t>--</w:t>
            </w:r>
          </w:p>
        </w:tc>
        <w:tc>
          <w:tcPr>
            <w:tcW w:w="603" w:type="pct"/>
            <w:vMerge/>
            <w:vAlign w:val="center"/>
          </w:tcPr>
          <w:p w14:paraId="148A3FAD" w14:textId="77777777" w:rsidR="003E78AB" w:rsidRDefault="003E78AB">
            <w:pPr>
              <w:pStyle w:val="aff6"/>
              <w:topLinePunct/>
            </w:pPr>
          </w:p>
        </w:tc>
      </w:tr>
      <w:tr w:rsidR="003E78AB" w14:paraId="64B879CE" w14:textId="77777777">
        <w:trPr>
          <w:trHeight w:val="297"/>
        </w:trPr>
        <w:tc>
          <w:tcPr>
            <w:tcW w:w="162" w:type="pct"/>
            <w:vMerge/>
            <w:vAlign w:val="center"/>
          </w:tcPr>
          <w:p w14:paraId="651562A7" w14:textId="77777777" w:rsidR="003E78AB" w:rsidRDefault="003E78AB">
            <w:pPr>
              <w:pStyle w:val="aff6"/>
              <w:topLinePunct/>
            </w:pPr>
          </w:p>
        </w:tc>
        <w:tc>
          <w:tcPr>
            <w:tcW w:w="313" w:type="pct"/>
            <w:vMerge/>
            <w:vAlign w:val="center"/>
          </w:tcPr>
          <w:p w14:paraId="0076805B" w14:textId="77777777" w:rsidR="003E78AB" w:rsidRDefault="003E78AB">
            <w:pPr>
              <w:pStyle w:val="aff6"/>
              <w:topLinePunct/>
            </w:pPr>
          </w:p>
        </w:tc>
        <w:tc>
          <w:tcPr>
            <w:tcW w:w="1070" w:type="pct"/>
            <w:gridSpan w:val="2"/>
            <w:vMerge/>
            <w:vAlign w:val="center"/>
          </w:tcPr>
          <w:p w14:paraId="5D26D4CF" w14:textId="77777777" w:rsidR="003E78AB" w:rsidRDefault="003E78AB">
            <w:pPr>
              <w:pStyle w:val="aff6"/>
              <w:topLinePunct/>
            </w:pPr>
          </w:p>
        </w:tc>
        <w:tc>
          <w:tcPr>
            <w:tcW w:w="369" w:type="pct"/>
            <w:vAlign w:val="center"/>
          </w:tcPr>
          <w:p w14:paraId="35BEFA6B" w14:textId="77777777" w:rsidR="003E78AB" w:rsidRDefault="00010BF9">
            <w:pPr>
              <w:spacing w:line="240" w:lineRule="auto"/>
              <w:ind w:firstLineChars="0" w:firstLine="0"/>
              <w:jc w:val="center"/>
              <w:rPr>
                <w:kern w:val="2"/>
                <w:sz w:val="21"/>
                <w:szCs w:val="21"/>
              </w:rPr>
            </w:pPr>
            <w:r>
              <w:rPr>
                <w:kern w:val="2"/>
                <w:sz w:val="21"/>
                <w:szCs w:val="21"/>
              </w:rPr>
              <w:t>TP</w:t>
            </w:r>
          </w:p>
        </w:tc>
        <w:tc>
          <w:tcPr>
            <w:tcW w:w="390" w:type="pct"/>
            <w:vMerge/>
            <w:vAlign w:val="center"/>
          </w:tcPr>
          <w:p w14:paraId="7A99AB6A" w14:textId="77777777" w:rsidR="003E78AB" w:rsidRDefault="003E78AB">
            <w:pPr>
              <w:pStyle w:val="aff6"/>
              <w:topLinePunct/>
              <w:rPr>
                <w:highlight w:val="yellow"/>
              </w:rPr>
            </w:pPr>
          </w:p>
        </w:tc>
        <w:tc>
          <w:tcPr>
            <w:tcW w:w="698" w:type="pct"/>
            <w:vMerge/>
            <w:vAlign w:val="center"/>
          </w:tcPr>
          <w:p w14:paraId="74520BD3" w14:textId="77777777" w:rsidR="003E78AB" w:rsidRDefault="003E78AB">
            <w:pPr>
              <w:pStyle w:val="aff6"/>
              <w:topLinePunct/>
            </w:pPr>
          </w:p>
        </w:tc>
        <w:tc>
          <w:tcPr>
            <w:tcW w:w="348" w:type="pct"/>
            <w:vAlign w:val="center"/>
          </w:tcPr>
          <w:p w14:paraId="0A9C837C" w14:textId="77777777" w:rsidR="003E78AB" w:rsidRDefault="00010BF9">
            <w:pPr>
              <w:spacing w:line="240" w:lineRule="auto"/>
              <w:ind w:leftChars="-50" w:left="-120" w:rightChars="-50" w:right="-120" w:firstLineChars="0" w:firstLine="0"/>
              <w:jc w:val="center"/>
              <w:outlineLvl w:val="3"/>
            </w:pPr>
            <w:r>
              <w:rPr>
                <w:kern w:val="2"/>
                <w:sz w:val="21"/>
                <w:szCs w:val="21"/>
              </w:rPr>
              <w:t>2</w:t>
            </w:r>
          </w:p>
        </w:tc>
        <w:tc>
          <w:tcPr>
            <w:tcW w:w="413" w:type="pct"/>
            <w:vMerge/>
            <w:vAlign w:val="center"/>
          </w:tcPr>
          <w:p w14:paraId="316CD9D4" w14:textId="77777777" w:rsidR="003E78AB" w:rsidRDefault="003E78AB">
            <w:pPr>
              <w:pStyle w:val="aff6"/>
              <w:topLinePunct/>
            </w:pPr>
          </w:p>
        </w:tc>
        <w:tc>
          <w:tcPr>
            <w:tcW w:w="629" w:type="pct"/>
            <w:vAlign w:val="center"/>
          </w:tcPr>
          <w:p w14:paraId="37ED732E" w14:textId="77777777" w:rsidR="003E78AB" w:rsidRDefault="00010BF9">
            <w:pPr>
              <w:spacing w:line="240" w:lineRule="auto"/>
              <w:ind w:leftChars="-50" w:left="-120" w:rightChars="-50" w:right="-120" w:firstLineChars="0" w:firstLine="0"/>
              <w:jc w:val="center"/>
              <w:outlineLvl w:val="3"/>
            </w:pPr>
            <w:r>
              <w:rPr>
                <w:rFonts w:hint="eastAsia"/>
                <w:kern w:val="2"/>
                <w:sz w:val="21"/>
                <w:szCs w:val="21"/>
              </w:rPr>
              <w:t>--</w:t>
            </w:r>
          </w:p>
        </w:tc>
        <w:tc>
          <w:tcPr>
            <w:tcW w:w="603" w:type="pct"/>
            <w:vMerge/>
            <w:vAlign w:val="center"/>
          </w:tcPr>
          <w:p w14:paraId="2B688B65" w14:textId="77777777" w:rsidR="003E78AB" w:rsidRDefault="003E78AB">
            <w:pPr>
              <w:pStyle w:val="aff6"/>
              <w:topLinePunct/>
            </w:pPr>
          </w:p>
        </w:tc>
      </w:tr>
      <w:tr w:rsidR="003E78AB" w14:paraId="3CA57AB1" w14:textId="77777777">
        <w:trPr>
          <w:trHeight w:val="297"/>
        </w:trPr>
        <w:tc>
          <w:tcPr>
            <w:tcW w:w="162" w:type="pct"/>
            <w:vMerge/>
            <w:vAlign w:val="center"/>
          </w:tcPr>
          <w:p w14:paraId="1425C50E" w14:textId="77777777" w:rsidR="003E78AB" w:rsidRDefault="003E78AB">
            <w:pPr>
              <w:pStyle w:val="aff6"/>
              <w:topLinePunct/>
            </w:pPr>
          </w:p>
        </w:tc>
        <w:tc>
          <w:tcPr>
            <w:tcW w:w="313" w:type="pct"/>
            <w:vMerge/>
            <w:vAlign w:val="center"/>
          </w:tcPr>
          <w:p w14:paraId="08056F2C" w14:textId="77777777" w:rsidR="003E78AB" w:rsidRDefault="003E78AB">
            <w:pPr>
              <w:pStyle w:val="aff6"/>
              <w:topLinePunct/>
            </w:pPr>
          </w:p>
        </w:tc>
        <w:tc>
          <w:tcPr>
            <w:tcW w:w="1070" w:type="pct"/>
            <w:gridSpan w:val="2"/>
            <w:vMerge/>
            <w:vAlign w:val="center"/>
          </w:tcPr>
          <w:p w14:paraId="5386B098" w14:textId="77777777" w:rsidR="003E78AB" w:rsidRDefault="003E78AB">
            <w:pPr>
              <w:pStyle w:val="aff6"/>
              <w:topLinePunct/>
            </w:pPr>
          </w:p>
        </w:tc>
        <w:tc>
          <w:tcPr>
            <w:tcW w:w="369" w:type="pct"/>
            <w:vAlign w:val="center"/>
          </w:tcPr>
          <w:p w14:paraId="7131873D" w14:textId="77777777" w:rsidR="003E78AB" w:rsidRDefault="00010BF9">
            <w:pPr>
              <w:spacing w:line="240" w:lineRule="auto"/>
              <w:ind w:firstLineChars="0" w:firstLine="0"/>
              <w:jc w:val="center"/>
              <w:rPr>
                <w:kern w:val="2"/>
                <w:sz w:val="21"/>
                <w:szCs w:val="21"/>
              </w:rPr>
            </w:pPr>
            <w:r>
              <w:rPr>
                <w:rFonts w:hint="eastAsia"/>
                <w:kern w:val="2"/>
                <w:sz w:val="21"/>
                <w:szCs w:val="21"/>
              </w:rPr>
              <w:t>TN</w:t>
            </w:r>
          </w:p>
        </w:tc>
        <w:tc>
          <w:tcPr>
            <w:tcW w:w="390" w:type="pct"/>
            <w:vMerge/>
            <w:vAlign w:val="center"/>
          </w:tcPr>
          <w:p w14:paraId="141E2F11" w14:textId="77777777" w:rsidR="003E78AB" w:rsidRDefault="003E78AB">
            <w:pPr>
              <w:pStyle w:val="aff6"/>
              <w:topLinePunct/>
              <w:rPr>
                <w:highlight w:val="yellow"/>
              </w:rPr>
            </w:pPr>
          </w:p>
        </w:tc>
        <w:tc>
          <w:tcPr>
            <w:tcW w:w="698" w:type="pct"/>
            <w:vMerge/>
            <w:vAlign w:val="center"/>
          </w:tcPr>
          <w:p w14:paraId="6500550C" w14:textId="77777777" w:rsidR="003E78AB" w:rsidRDefault="003E78AB">
            <w:pPr>
              <w:pStyle w:val="aff6"/>
              <w:topLinePunct/>
            </w:pPr>
          </w:p>
        </w:tc>
        <w:tc>
          <w:tcPr>
            <w:tcW w:w="348" w:type="pct"/>
            <w:vAlign w:val="center"/>
          </w:tcPr>
          <w:p w14:paraId="58CB9E33" w14:textId="77777777" w:rsidR="003E78AB" w:rsidRDefault="00010BF9">
            <w:pPr>
              <w:spacing w:line="240" w:lineRule="auto"/>
              <w:ind w:leftChars="-50" w:left="-120" w:rightChars="-50" w:right="-120" w:firstLineChars="0" w:firstLine="0"/>
              <w:jc w:val="center"/>
              <w:outlineLvl w:val="3"/>
            </w:pPr>
            <w:r>
              <w:rPr>
                <w:rFonts w:hint="eastAsia"/>
                <w:kern w:val="2"/>
                <w:sz w:val="21"/>
                <w:szCs w:val="21"/>
              </w:rPr>
              <w:t>60</w:t>
            </w:r>
          </w:p>
        </w:tc>
        <w:tc>
          <w:tcPr>
            <w:tcW w:w="413" w:type="pct"/>
            <w:vMerge/>
            <w:vAlign w:val="center"/>
          </w:tcPr>
          <w:p w14:paraId="1680F980" w14:textId="77777777" w:rsidR="003E78AB" w:rsidRDefault="003E78AB">
            <w:pPr>
              <w:pStyle w:val="aff6"/>
              <w:topLinePunct/>
            </w:pPr>
          </w:p>
        </w:tc>
        <w:tc>
          <w:tcPr>
            <w:tcW w:w="629" w:type="pct"/>
            <w:vAlign w:val="center"/>
          </w:tcPr>
          <w:p w14:paraId="6CF05759" w14:textId="77777777" w:rsidR="003E78AB" w:rsidRDefault="00010BF9">
            <w:pPr>
              <w:spacing w:line="240" w:lineRule="auto"/>
              <w:ind w:leftChars="-50" w:left="-120" w:rightChars="-50" w:right="-120" w:firstLineChars="0" w:firstLine="0"/>
              <w:jc w:val="center"/>
              <w:outlineLvl w:val="3"/>
            </w:pPr>
            <w:r>
              <w:rPr>
                <w:kern w:val="2"/>
                <w:sz w:val="21"/>
                <w:szCs w:val="21"/>
              </w:rPr>
              <w:t>/</w:t>
            </w:r>
          </w:p>
        </w:tc>
        <w:tc>
          <w:tcPr>
            <w:tcW w:w="603" w:type="pct"/>
            <w:vMerge/>
            <w:vAlign w:val="center"/>
          </w:tcPr>
          <w:p w14:paraId="5B53E5D8" w14:textId="77777777" w:rsidR="003E78AB" w:rsidRDefault="003E78AB">
            <w:pPr>
              <w:pStyle w:val="aff6"/>
              <w:topLinePunct/>
            </w:pPr>
          </w:p>
        </w:tc>
      </w:tr>
      <w:tr w:rsidR="003E78AB" w14:paraId="20253031" w14:textId="77777777">
        <w:trPr>
          <w:trHeight w:val="333"/>
        </w:trPr>
        <w:tc>
          <w:tcPr>
            <w:tcW w:w="162" w:type="pct"/>
            <w:vMerge/>
            <w:vAlign w:val="center"/>
          </w:tcPr>
          <w:p w14:paraId="3360AF5E" w14:textId="77777777" w:rsidR="003E78AB" w:rsidRDefault="003E78AB">
            <w:pPr>
              <w:pStyle w:val="aff6"/>
              <w:topLinePunct/>
            </w:pPr>
          </w:p>
        </w:tc>
        <w:tc>
          <w:tcPr>
            <w:tcW w:w="313" w:type="pct"/>
            <w:vMerge/>
            <w:vAlign w:val="center"/>
          </w:tcPr>
          <w:p w14:paraId="1F34858A" w14:textId="77777777" w:rsidR="003E78AB" w:rsidRDefault="003E78AB">
            <w:pPr>
              <w:pStyle w:val="aff6"/>
              <w:topLinePunct/>
            </w:pPr>
          </w:p>
        </w:tc>
        <w:tc>
          <w:tcPr>
            <w:tcW w:w="1070" w:type="pct"/>
            <w:gridSpan w:val="2"/>
            <w:vMerge/>
            <w:vAlign w:val="center"/>
          </w:tcPr>
          <w:p w14:paraId="3CF3B12F" w14:textId="77777777" w:rsidR="003E78AB" w:rsidRDefault="003E78AB">
            <w:pPr>
              <w:pStyle w:val="aff6"/>
              <w:topLinePunct/>
            </w:pPr>
          </w:p>
        </w:tc>
        <w:tc>
          <w:tcPr>
            <w:tcW w:w="369" w:type="pct"/>
            <w:vAlign w:val="center"/>
          </w:tcPr>
          <w:p w14:paraId="6BE13ECC" w14:textId="77777777" w:rsidR="003E78AB" w:rsidRDefault="00010BF9">
            <w:pPr>
              <w:spacing w:line="240" w:lineRule="auto"/>
              <w:ind w:firstLineChars="0" w:firstLine="0"/>
              <w:jc w:val="center"/>
              <w:rPr>
                <w:kern w:val="2"/>
                <w:sz w:val="21"/>
                <w:szCs w:val="21"/>
              </w:rPr>
            </w:pPr>
            <w:r>
              <w:rPr>
                <w:rFonts w:hint="eastAsia"/>
                <w:kern w:val="2"/>
                <w:sz w:val="21"/>
                <w:szCs w:val="21"/>
              </w:rPr>
              <w:t>硫酸盐</w:t>
            </w:r>
          </w:p>
        </w:tc>
        <w:tc>
          <w:tcPr>
            <w:tcW w:w="390" w:type="pct"/>
            <w:vMerge/>
            <w:vAlign w:val="center"/>
          </w:tcPr>
          <w:p w14:paraId="3B331970" w14:textId="77777777" w:rsidR="003E78AB" w:rsidRDefault="003E78AB">
            <w:pPr>
              <w:pStyle w:val="aff6"/>
              <w:topLinePunct/>
              <w:rPr>
                <w:highlight w:val="yellow"/>
              </w:rPr>
            </w:pPr>
          </w:p>
        </w:tc>
        <w:tc>
          <w:tcPr>
            <w:tcW w:w="698" w:type="pct"/>
            <w:vMerge/>
            <w:vAlign w:val="center"/>
          </w:tcPr>
          <w:p w14:paraId="3263A4F2" w14:textId="77777777" w:rsidR="003E78AB" w:rsidRDefault="003E78AB">
            <w:pPr>
              <w:pStyle w:val="aff6"/>
              <w:topLinePunct/>
            </w:pPr>
          </w:p>
        </w:tc>
        <w:tc>
          <w:tcPr>
            <w:tcW w:w="348" w:type="pct"/>
            <w:vAlign w:val="center"/>
          </w:tcPr>
          <w:p w14:paraId="33BBA7CA" w14:textId="77777777" w:rsidR="003E78AB" w:rsidRDefault="00010BF9">
            <w:pPr>
              <w:spacing w:line="240" w:lineRule="auto"/>
              <w:ind w:leftChars="-50" w:left="-120" w:rightChars="-50" w:right="-120" w:firstLineChars="0" w:firstLine="0"/>
              <w:jc w:val="center"/>
              <w:outlineLvl w:val="3"/>
            </w:pPr>
            <w:r>
              <w:rPr>
                <w:rFonts w:hint="eastAsia"/>
                <w:kern w:val="2"/>
                <w:sz w:val="21"/>
                <w:szCs w:val="21"/>
              </w:rPr>
              <w:t>/</w:t>
            </w:r>
          </w:p>
        </w:tc>
        <w:tc>
          <w:tcPr>
            <w:tcW w:w="413" w:type="pct"/>
            <w:vMerge/>
            <w:vAlign w:val="center"/>
          </w:tcPr>
          <w:p w14:paraId="4120BBFC" w14:textId="77777777" w:rsidR="003E78AB" w:rsidRDefault="003E78AB">
            <w:pPr>
              <w:pStyle w:val="aff6"/>
              <w:topLinePunct/>
            </w:pPr>
          </w:p>
        </w:tc>
        <w:tc>
          <w:tcPr>
            <w:tcW w:w="629" w:type="pct"/>
            <w:vAlign w:val="center"/>
          </w:tcPr>
          <w:p w14:paraId="1FD896F4" w14:textId="77777777" w:rsidR="003E78AB" w:rsidRDefault="00010BF9">
            <w:pPr>
              <w:spacing w:line="240" w:lineRule="auto"/>
              <w:ind w:leftChars="-50" w:left="-120" w:rightChars="-50" w:right="-120" w:firstLineChars="0" w:firstLine="0"/>
              <w:jc w:val="center"/>
              <w:outlineLvl w:val="3"/>
            </w:pPr>
            <w:r>
              <w:rPr>
                <w:kern w:val="2"/>
                <w:sz w:val="21"/>
                <w:szCs w:val="21"/>
              </w:rPr>
              <w:t>/</w:t>
            </w:r>
          </w:p>
        </w:tc>
        <w:tc>
          <w:tcPr>
            <w:tcW w:w="603" w:type="pct"/>
            <w:vMerge/>
            <w:vAlign w:val="center"/>
          </w:tcPr>
          <w:p w14:paraId="5323D167" w14:textId="77777777" w:rsidR="003E78AB" w:rsidRDefault="003E78AB">
            <w:pPr>
              <w:pStyle w:val="aff6"/>
              <w:topLinePunct/>
            </w:pPr>
          </w:p>
        </w:tc>
      </w:tr>
      <w:tr w:rsidR="003E78AB" w14:paraId="719D8D01" w14:textId="77777777">
        <w:trPr>
          <w:trHeight w:val="333"/>
        </w:trPr>
        <w:tc>
          <w:tcPr>
            <w:tcW w:w="162" w:type="pct"/>
            <w:vMerge/>
            <w:vAlign w:val="center"/>
          </w:tcPr>
          <w:p w14:paraId="4DB67E20" w14:textId="77777777" w:rsidR="003E78AB" w:rsidRDefault="003E78AB">
            <w:pPr>
              <w:pStyle w:val="aff6"/>
              <w:topLinePunct/>
            </w:pPr>
          </w:p>
        </w:tc>
        <w:tc>
          <w:tcPr>
            <w:tcW w:w="313" w:type="pct"/>
            <w:vMerge/>
            <w:vAlign w:val="center"/>
          </w:tcPr>
          <w:p w14:paraId="6D115F8C" w14:textId="77777777" w:rsidR="003E78AB" w:rsidRDefault="003E78AB">
            <w:pPr>
              <w:pStyle w:val="aff6"/>
              <w:topLinePunct/>
            </w:pPr>
          </w:p>
        </w:tc>
        <w:tc>
          <w:tcPr>
            <w:tcW w:w="1070" w:type="pct"/>
            <w:gridSpan w:val="2"/>
            <w:vMerge/>
            <w:vAlign w:val="center"/>
          </w:tcPr>
          <w:p w14:paraId="4E8B7A77" w14:textId="77777777" w:rsidR="003E78AB" w:rsidRDefault="003E78AB">
            <w:pPr>
              <w:pStyle w:val="aff6"/>
              <w:topLinePunct/>
            </w:pPr>
          </w:p>
        </w:tc>
        <w:tc>
          <w:tcPr>
            <w:tcW w:w="369" w:type="pct"/>
            <w:vAlign w:val="center"/>
          </w:tcPr>
          <w:p w14:paraId="57E603C4" w14:textId="77777777" w:rsidR="003E78AB" w:rsidRDefault="00010BF9">
            <w:pPr>
              <w:spacing w:line="240" w:lineRule="auto"/>
              <w:ind w:firstLineChars="0" w:firstLine="0"/>
              <w:jc w:val="center"/>
              <w:rPr>
                <w:kern w:val="2"/>
                <w:sz w:val="21"/>
                <w:szCs w:val="21"/>
              </w:rPr>
            </w:pPr>
            <w:r>
              <w:rPr>
                <w:rFonts w:hint="eastAsia"/>
                <w:kern w:val="2"/>
                <w:sz w:val="21"/>
                <w:szCs w:val="21"/>
              </w:rPr>
              <w:t>钒</w:t>
            </w:r>
          </w:p>
        </w:tc>
        <w:tc>
          <w:tcPr>
            <w:tcW w:w="390" w:type="pct"/>
            <w:vMerge/>
            <w:vAlign w:val="center"/>
          </w:tcPr>
          <w:p w14:paraId="2E2B5C8E" w14:textId="77777777" w:rsidR="003E78AB" w:rsidRDefault="003E78AB">
            <w:pPr>
              <w:pStyle w:val="aff6"/>
              <w:topLinePunct/>
              <w:rPr>
                <w:highlight w:val="yellow"/>
              </w:rPr>
            </w:pPr>
          </w:p>
        </w:tc>
        <w:tc>
          <w:tcPr>
            <w:tcW w:w="698" w:type="pct"/>
            <w:vMerge/>
            <w:vAlign w:val="center"/>
          </w:tcPr>
          <w:p w14:paraId="508A9212" w14:textId="77777777" w:rsidR="003E78AB" w:rsidRDefault="003E78AB">
            <w:pPr>
              <w:pStyle w:val="aff6"/>
              <w:topLinePunct/>
            </w:pPr>
          </w:p>
        </w:tc>
        <w:tc>
          <w:tcPr>
            <w:tcW w:w="348" w:type="pct"/>
            <w:vAlign w:val="center"/>
          </w:tcPr>
          <w:p w14:paraId="6F129840" w14:textId="77777777" w:rsidR="003E78AB" w:rsidRDefault="00010BF9">
            <w:pPr>
              <w:spacing w:line="240" w:lineRule="auto"/>
              <w:ind w:leftChars="-50" w:left="-120" w:rightChars="-50" w:right="-120" w:firstLineChars="0" w:firstLine="0"/>
              <w:jc w:val="center"/>
              <w:outlineLvl w:val="3"/>
            </w:pPr>
            <w:r>
              <w:rPr>
                <w:rFonts w:hint="eastAsia"/>
                <w:kern w:val="2"/>
                <w:sz w:val="21"/>
                <w:szCs w:val="21"/>
              </w:rPr>
              <w:t>/</w:t>
            </w:r>
          </w:p>
        </w:tc>
        <w:tc>
          <w:tcPr>
            <w:tcW w:w="413" w:type="pct"/>
            <w:vMerge/>
            <w:vAlign w:val="center"/>
          </w:tcPr>
          <w:p w14:paraId="3767B5AE" w14:textId="77777777" w:rsidR="003E78AB" w:rsidRDefault="003E78AB">
            <w:pPr>
              <w:pStyle w:val="aff6"/>
              <w:topLinePunct/>
            </w:pPr>
          </w:p>
        </w:tc>
        <w:tc>
          <w:tcPr>
            <w:tcW w:w="629" w:type="pct"/>
            <w:vAlign w:val="center"/>
          </w:tcPr>
          <w:p w14:paraId="20B19361" w14:textId="77777777" w:rsidR="003E78AB" w:rsidRDefault="00010BF9">
            <w:pPr>
              <w:spacing w:line="240" w:lineRule="auto"/>
              <w:ind w:leftChars="-50" w:left="-120" w:rightChars="-50" w:right="-120" w:firstLineChars="0" w:firstLine="0"/>
              <w:jc w:val="center"/>
              <w:outlineLvl w:val="3"/>
            </w:pPr>
            <w:r>
              <w:rPr>
                <w:rFonts w:hint="eastAsia"/>
                <w:kern w:val="2"/>
                <w:sz w:val="21"/>
                <w:szCs w:val="21"/>
              </w:rPr>
              <w:t>/</w:t>
            </w:r>
          </w:p>
        </w:tc>
        <w:tc>
          <w:tcPr>
            <w:tcW w:w="603" w:type="pct"/>
            <w:vMerge/>
            <w:vAlign w:val="center"/>
          </w:tcPr>
          <w:p w14:paraId="576FA86F" w14:textId="77777777" w:rsidR="003E78AB" w:rsidRDefault="003E78AB">
            <w:pPr>
              <w:pStyle w:val="aff6"/>
              <w:topLinePunct/>
            </w:pPr>
          </w:p>
        </w:tc>
      </w:tr>
      <w:tr w:rsidR="003E78AB" w14:paraId="332066DC" w14:textId="77777777">
        <w:trPr>
          <w:trHeight w:val="643"/>
        </w:trPr>
        <w:tc>
          <w:tcPr>
            <w:tcW w:w="162" w:type="pct"/>
            <w:vMerge/>
            <w:vAlign w:val="center"/>
          </w:tcPr>
          <w:p w14:paraId="443741AB" w14:textId="77777777" w:rsidR="003E78AB" w:rsidRDefault="003E78AB">
            <w:pPr>
              <w:pStyle w:val="aff6"/>
              <w:topLinePunct/>
            </w:pPr>
          </w:p>
        </w:tc>
        <w:tc>
          <w:tcPr>
            <w:tcW w:w="1383" w:type="pct"/>
            <w:gridSpan w:val="3"/>
            <w:vAlign w:val="center"/>
          </w:tcPr>
          <w:p w14:paraId="16DF22F4" w14:textId="77777777" w:rsidR="003E78AB" w:rsidRDefault="00010BF9">
            <w:pPr>
              <w:pStyle w:val="aff6"/>
              <w:topLinePunct/>
            </w:pPr>
            <w:r>
              <w:t>雨水排放口</w:t>
            </w:r>
          </w:p>
        </w:tc>
        <w:tc>
          <w:tcPr>
            <w:tcW w:w="369" w:type="pct"/>
            <w:vAlign w:val="center"/>
          </w:tcPr>
          <w:p w14:paraId="094C985A" w14:textId="77777777" w:rsidR="003E78AB" w:rsidRDefault="00010BF9">
            <w:pPr>
              <w:spacing w:line="240" w:lineRule="auto"/>
              <w:ind w:firstLineChars="0" w:firstLine="0"/>
              <w:jc w:val="center"/>
              <w:rPr>
                <w:kern w:val="2"/>
                <w:sz w:val="21"/>
                <w:szCs w:val="21"/>
              </w:rPr>
            </w:pPr>
            <w:r>
              <w:rPr>
                <w:kern w:val="2"/>
                <w:sz w:val="21"/>
                <w:szCs w:val="21"/>
              </w:rPr>
              <w:t>COD</w:t>
            </w:r>
            <w:r>
              <w:rPr>
                <w:kern w:val="2"/>
                <w:sz w:val="21"/>
                <w:szCs w:val="21"/>
              </w:rPr>
              <w:t>、悬浮物</w:t>
            </w:r>
          </w:p>
        </w:tc>
        <w:tc>
          <w:tcPr>
            <w:tcW w:w="390" w:type="pct"/>
            <w:vAlign w:val="center"/>
          </w:tcPr>
          <w:p w14:paraId="5A7D6087" w14:textId="77777777" w:rsidR="003E78AB" w:rsidRDefault="00010BF9">
            <w:pPr>
              <w:pStyle w:val="aff6"/>
              <w:topLinePunct/>
            </w:pPr>
            <w:r>
              <w:rPr>
                <w:rFonts w:hint="eastAsia"/>
                <w:noProof/>
              </w:rPr>
              <mc:AlternateContent>
                <mc:Choice Requires="wps">
                  <w:drawing>
                    <wp:anchor distT="0" distB="0" distL="114300" distR="114300" simplePos="0" relativeHeight="251676672" behindDoc="0" locked="0" layoutInCell="1" allowOverlap="1">
                      <wp:simplePos x="0" y="0"/>
                      <wp:positionH relativeFrom="page">
                        <wp:posOffset>472440</wp:posOffset>
                      </wp:positionH>
                      <wp:positionV relativeFrom="page">
                        <wp:posOffset>97155</wp:posOffset>
                      </wp:positionV>
                      <wp:extent cx="151130" cy="18478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51130" cy="184785"/>
                              </a:xfrm>
                              <a:prstGeom prst="rect">
                                <a:avLst/>
                              </a:prstGeom>
                              <a:noFill/>
                              <a:ln>
                                <a:noFill/>
                              </a:ln>
                            </wps:spPr>
                            <wps:txbx>
                              <w:txbxContent>
                                <w:p w14:paraId="2FDEAFC7" w14:textId="77777777" w:rsidR="003E78AB" w:rsidRDefault="00010BF9">
                                  <w:pPr>
                                    <w:spacing w:before="19" w:line="221" w:lineRule="auto"/>
                                    <w:ind w:left="20" w:firstLine="420"/>
                                    <w:rPr>
                                      <w:rFonts w:ascii="宋体" w:hAnsi="宋体" w:cs="宋体"/>
                                      <w:sz w:val="21"/>
                                      <w:szCs w:val="21"/>
                                    </w:rPr>
                                  </w:pPr>
                                  <w:r>
                                    <w:rPr>
                                      <w:rFonts w:ascii="宋体" w:hAnsi="宋体" w:cs="宋体"/>
                                      <w:sz w:val="21"/>
                                      <w:szCs w:val="21"/>
                                    </w:rPr>
                                    <w:t>月</w:t>
                                  </w:r>
                                </w:p>
                              </w:txbxContent>
                            </wps:txbx>
                            <wps:bodyPr lIns="0" tIns="0" rIns="0" bIns="0" upright="1"/>
                          </wps:wsp>
                        </a:graphicData>
                      </a:graphic>
                    </wp:anchor>
                  </w:drawing>
                </mc:Choice>
                <mc:Fallback>
                  <w:pict>
                    <v:shape id="文本框 22" o:spid="_x0000_s1028" type="#_x0000_t202" style="position:absolute;left:0;text-align:left;margin-left:37.2pt;margin-top:7.65pt;width:11.9pt;height:14.5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" filled="f" stroked="f">
                      <v:textbox inset="0,0,0,0">
                        <w:txbxContent>
                          <w:p w14:paraId="2FDEAFC7" w14:textId="77777777" w:rsidR="003E78AB" w:rsidRDefault="00010BF9">
                            <w:pPr>
                              <w:spacing w:before="19" w:line="221" w:lineRule="auto"/>
                              <w:ind w:left="20" w:firstLine="420"/>
                              <w:rPr>
                                <w:rFonts w:ascii="宋体" w:hAnsi="宋体" w:cs="宋体"/>
                                <w:sz w:val="21"/>
                                <w:szCs w:val="21"/>
                              </w:rPr>
                            </w:pPr>
                            <w:r>
                              <w:rPr>
                                <w:rFonts w:ascii="宋体" w:hAnsi="宋体" w:cs="宋体"/>
                                <w:sz w:val="21"/>
                                <w:szCs w:val="21"/>
                              </w:rPr>
                              <w:t>月</w:t>
                            </w:r>
                          </w:p>
                        </w:txbxContent>
                      </v:textbox>
                      <w10:wrap anchorx="page" anchory="page"/>
                    </v:shape>
                  </w:pict>
                </mc:Fallback>
              </mc:AlternateContent>
            </w:r>
            <w:r>
              <w:rPr>
                <w:rFonts w:hint="eastAsia"/>
              </w:rPr>
              <w:t>a</w:t>
            </w:r>
          </w:p>
        </w:tc>
        <w:tc>
          <w:tcPr>
            <w:tcW w:w="698" w:type="pct"/>
            <w:vMerge/>
            <w:vAlign w:val="center"/>
          </w:tcPr>
          <w:p w14:paraId="0D0A3EFC" w14:textId="77777777" w:rsidR="003E78AB" w:rsidRDefault="003E78AB">
            <w:pPr>
              <w:pStyle w:val="aff6"/>
              <w:topLinePunct/>
            </w:pPr>
          </w:p>
        </w:tc>
        <w:tc>
          <w:tcPr>
            <w:tcW w:w="761" w:type="pct"/>
            <w:gridSpan w:val="2"/>
            <w:vAlign w:val="center"/>
          </w:tcPr>
          <w:p w14:paraId="5D1F0D48" w14:textId="77777777" w:rsidR="003E78AB" w:rsidRDefault="00010BF9">
            <w:pPr>
              <w:pStyle w:val="aff6"/>
              <w:topLinePunct/>
            </w:pPr>
            <w:r>
              <w:t>/</w:t>
            </w:r>
          </w:p>
        </w:tc>
        <w:tc>
          <w:tcPr>
            <w:tcW w:w="1233" w:type="pct"/>
            <w:gridSpan w:val="2"/>
            <w:vAlign w:val="center"/>
          </w:tcPr>
          <w:p w14:paraId="0B4D64CB" w14:textId="77777777" w:rsidR="003E78AB" w:rsidRDefault="00010BF9">
            <w:pPr>
              <w:pStyle w:val="aff6"/>
              <w:topLinePunct/>
            </w:pPr>
            <w:r>
              <w:t>/</w:t>
            </w:r>
          </w:p>
        </w:tc>
      </w:tr>
      <w:tr w:rsidR="003E78AB" w14:paraId="6EDA2AF9" w14:textId="77777777">
        <w:trPr>
          <w:trHeight w:val="1257"/>
        </w:trPr>
        <w:tc>
          <w:tcPr>
            <w:tcW w:w="475" w:type="pct"/>
            <w:gridSpan w:val="2"/>
            <w:vAlign w:val="center"/>
          </w:tcPr>
          <w:p w14:paraId="7D16D8B7" w14:textId="77777777" w:rsidR="003E78AB" w:rsidRDefault="00010BF9">
            <w:pPr>
              <w:pStyle w:val="aff6"/>
              <w:topLinePunct/>
            </w:pPr>
            <w:r>
              <w:t>噪声</w:t>
            </w:r>
          </w:p>
        </w:tc>
        <w:tc>
          <w:tcPr>
            <w:tcW w:w="1070" w:type="pct"/>
            <w:gridSpan w:val="2"/>
            <w:vAlign w:val="center"/>
          </w:tcPr>
          <w:p w14:paraId="7084D9AA" w14:textId="77777777" w:rsidR="003E78AB" w:rsidRDefault="00010BF9">
            <w:pPr>
              <w:pStyle w:val="aff6"/>
              <w:topLinePunct/>
            </w:pPr>
            <w:r>
              <w:t>厂界四周</w:t>
            </w:r>
          </w:p>
        </w:tc>
        <w:tc>
          <w:tcPr>
            <w:tcW w:w="369" w:type="pct"/>
            <w:vAlign w:val="center"/>
          </w:tcPr>
          <w:p w14:paraId="339F5242" w14:textId="77777777" w:rsidR="003E78AB" w:rsidRDefault="00010BF9">
            <w:pPr>
              <w:spacing w:line="240" w:lineRule="auto"/>
              <w:ind w:firstLineChars="0" w:firstLine="0"/>
              <w:jc w:val="center"/>
              <w:rPr>
                <w:kern w:val="2"/>
                <w:sz w:val="21"/>
                <w:szCs w:val="21"/>
              </w:rPr>
            </w:pPr>
            <w:r>
              <w:rPr>
                <w:kern w:val="2"/>
                <w:sz w:val="21"/>
                <w:szCs w:val="21"/>
              </w:rPr>
              <w:t>等效声级</w:t>
            </w:r>
            <w:r>
              <w:rPr>
                <w:kern w:val="2"/>
                <w:sz w:val="21"/>
                <w:szCs w:val="21"/>
              </w:rPr>
              <w:t>(</w:t>
            </w:r>
            <w:r>
              <w:rPr>
                <w:kern w:val="2"/>
                <w:sz w:val="21"/>
                <w:szCs w:val="21"/>
              </w:rPr>
              <w:t>昼、夜</w:t>
            </w:r>
            <w:r>
              <w:rPr>
                <w:kern w:val="2"/>
                <w:sz w:val="21"/>
                <w:szCs w:val="21"/>
              </w:rPr>
              <w:t>)</w:t>
            </w:r>
          </w:p>
        </w:tc>
        <w:tc>
          <w:tcPr>
            <w:tcW w:w="390" w:type="pct"/>
            <w:vAlign w:val="center"/>
          </w:tcPr>
          <w:p w14:paraId="02237F6D" w14:textId="77777777" w:rsidR="003E78AB" w:rsidRDefault="00010BF9">
            <w:pPr>
              <w:pStyle w:val="aff6"/>
              <w:topLinePunct/>
            </w:pPr>
            <w:r>
              <w:t>季度</w:t>
            </w:r>
          </w:p>
        </w:tc>
        <w:tc>
          <w:tcPr>
            <w:tcW w:w="698" w:type="pct"/>
            <w:vAlign w:val="center"/>
          </w:tcPr>
          <w:p w14:paraId="26DC3D15" w14:textId="77777777" w:rsidR="003E78AB" w:rsidRDefault="00010BF9">
            <w:pPr>
              <w:pStyle w:val="aff6"/>
              <w:topLinePunct/>
            </w:pPr>
            <w:r>
              <w:t>《排污单位自行监测技术指南</w:t>
            </w:r>
            <w:r>
              <w:rPr>
                <w:rFonts w:hint="eastAsia"/>
              </w:rPr>
              <w:t xml:space="preserve"> </w:t>
            </w:r>
            <w:r>
              <w:t>总则》</w:t>
            </w:r>
            <w:r>
              <w:rPr>
                <w:rFonts w:hint="eastAsia"/>
              </w:rPr>
              <w:t>（</w:t>
            </w:r>
            <w:r>
              <w:t>HJ819-2017</w:t>
            </w:r>
            <w:r>
              <w:rPr>
                <w:rFonts w:hint="eastAsia"/>
              </w:rPr>
              <w:t>）</w:t>
            </w:r>
          </w:p>
        </w:tc>
        <w:tc>
          <w:tcPr>
            <w:tcW w:w="1995" w:type="pct"/>
            <w:gridSpan w:val="4"/>
            <w:vAlign w:val="center"/>
          </w:tcPr>
          <w:p w14:paraId="6A202938" w14:textId="77777777" w:rsidR="003E78AB" w:rsidRDefault="00010BF9">
            <w:pPr>
              <w:pStyle w:val="aff6"/>
              <w:topLinePunct/>
            </w:pPr>
            <w:r>
              <w:t>《工业企业厂界环境噪声排放标准》</w:t>
            </w:r>
            <w:r>
              <w:t>(GB12348-2008)3</w:t>
            </w:r>
            <w:r>
              <w:t>类</w:t>
            </w:r>
          </w:p>
        </w:tc>
      </w:tr>
      <w:tr w:rsidR="003E78AB" w14:paraId="62BFE48E" w14:textId="77777777">
        <w:trPr>
          <w:trHeight w:val="455"/>
        </w:trPr>
        <w:tc>
          <w:tcPr>
            <w:tcW w:w="5000" w:type="pct"/>
            <w:gridSpan w:val="11"/>
            <w:vAlign w:val="center"/>
          </w:tcPr>
          <w:p w14:paraId="42AF864C" w14:textId="77777777" w:rsidR="003E78AB" w:rsidRDefault="00010BF9">
            <w:pPr>
              <w:pStyle w:val="aff6"/>
              <w:topLinePunct/>
              <w:jc w:val="left"/>
            </w:pPr>
            <w:r>
              <w:rPr>
                <w:rFonts w:hint="eastAsia"/>
              </w:rPr>
              <w:t>a.</w:t>
            </w:r>
            <w:r>
              <w:rPr>
                <w:rFonts w:hint="eastAsia"/>
              </w:rPr>
              <w:t>雨水排放口每月有流动水排放时开展一次监测。如监测一年无异常情况，可放宽至每季度有流动水排放时开展一次监测</w:t>
            </w:r>
          </w:p>
        </w:tc>
      </w:tr>
    </w:tbl>
    <w:p w14:paraId="76AFF858" w14:textId="77777777" w:rsidR="003E78AB" w:rsidRDefault="003E78AB">
      <w:pPr>
        <w:pStyle w:val="a5"/>
        <w:numPr>
          <w:ilvl w:val="0"/>
          <w:numId w:val="0"/>
        </w:numPr>
        <w:sectPr w:rsidR="003E78AB">
          <w:pgSz w:w="16838" w:h="11906" w:orient="landscape"/>
          <w:pgMar w:top="1803" w:right="1440" w:bottom="1803" w:left="1440" w:header="851" w:footer="992" w:gutter="0"/>
          <w:cols w:space="720"/>
          <w:docGrid w:linePitch="312"/>
        </w:sectPr>
      </w:pPr>
    </w:p>
    <w:p w14:paraId="57D7433A" w14:textId="77777777" w:rsidR="003E78AB" w:rsidRDefault="00010BF9">
      <w:pPr>
        <w:ind w:firstLine="480"/>
        <w:rPr>
          <w:bCs/>
          <w:kern w:val="2"/>
        </w:rPr>
      </w:pPr>
      <w:r>
        <w:rPr>
          <w:bCs/>
          <w:kern w:val="2"/>
        </w:rPr>
        <w:t>（</w:t>
      </w:r>
      <w:r>
        <w:rPr>
          <w:bCs/>
          <w:kern w:val="2"/>
        </w:rPr>
        <w:t>2</w:t>
      </w:r>
      <w:r>
        <w:rPr>
          <w:bCs/>
          <w:kern w:val="2"/>
        </w:rPr>
        <w:t>）运营期环境质量监测</w:t>
      </w:r>
    </w:p>
    <w:p w14:paraId="783ADA43" w14:textId="77777777" w:rsidR="003E78AB" w:rsidRDefault="00010BF9">
      <w:pPr>
        <w:ind w:firstLine="480"/>
        <w:rPr>
          <w:bCs/>
          <w:kern w:val="2"/>
        </w:rPr>
      </w:pPr>
      <w:r>
        <w:rPr>
          <w:bCs/>
          <w:kern w:val="2"/>
        </w:rPr>
        <w:t>①</w:t>
      </w:r>
      <w:r>
        <w:rPr>
          <w:bCs/>
          <w:kern w:val="2"/>
        </w:rPr>
        <w:t>地下水质量监测</w:t>
      </w:r>
    </w:p>
    <w:p w14:paraId="04D44683" w14:textId="77777777" w:rsidR="003E78AB" w:rsidRDefault="00010BF9">
      <w:pPr>
        <w:ind w:firstLine="480"/>
        <w:rPr>
          <w:bCs/>
          <w:kern w:val="2"/>
        </w:rPr>
      </w:pPr>
      <w:r>
        <w:rPr>
          <w:bCs/>
          <w:kern w:val="2"/>
        </w:rPr>
        <w:t>为在总体和宏观上控制区域地下水的环境质量状况和地下水质量空间变化，监控地下水重点污染区及可能产生污染的区域，监视污染源对地下水的污染程度及动态变化，地下水监测点位布置见表</w:t>
      </w:r>
      <w:r>
        <w:rPr>
          <w:rFonts w:hint="eastAsia"/>
          <w:bCs/>
          <w:kern w:val="2"/>
        </w:rPr>
        <w:t>9-3</w:t>
      </w:r>
      <w:r>
        <w:rPr>
          <w:bCs/>
          <w:kern w:val="2"/>
        </w:rPr>
        <w:t>。</w:t>
      </w:r>
    </w:p>
    <w:p w14:paraId="5EA1C0F7" w14:textId="77777777" w:rsidR="003E78AB" w:rsidRDefault="00010BF9">
      <w:pPr>
        <w:pStyle w:val="a5"/>
        <w:numPr>
          <w:ilvl w:val="0"/>
          <w:numId w:val="0"/>
        </w:numPr>
        <w:rPr>
          <w:kern w:val="2"/>
          <w:sz w:val="21"/>
          <w:szCs w:val="21"/>
        </w:rPr>
      </w:pPr>
      <w:r>
        <w:t>表</w:t>
      </w:r>
      <w:r>
        <w:rPr>
          <w:rFonts w:hint="eastAsia"/>
        </w:rPr>
        <w:t xml:space="preserve">9-3  </w:t>
      </w:r>
      <w:r>
        <w:t>项目区地下水质量监控井概况一览表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965"/>
        <w:gridCol w:w="3034"/>
        <w:gridCol w:w="1835"/>
        <w:gridCol w:w="1083"/>
      </w:tblGrid>
      <w:tr w:rsidR="003E78AB" w14:paraId="48F930C9" w14:textId="77777777">
        <w:trPr>
          <w:trHeight w:val="406"/>
        </w:trPr>
        <w:tc>
          <w:tcPr>
            <w:tcW w:w="350" w:type="pct"/>
            <w:tcBorders>
              <w:tl2br w:val="nil"/>
              <w:tr2bl w:val="nil"/>
            </w:tcBorders>
            <w:vAlign w:val="center"/>
          </w:tcPr>
          <w:p w14:paraId="7E74B877" w14:textId="77777777" w:rsidR="003E78AB" w:rsidRDefault="00010BF9">
            <w:pPr>
              <w:pStyle w:val="aff6"/>
              <w:topLinePunct/>
              <w:rPr>
                <w:b/>
                <w:bCs/>
                <w:lang w:val="zh-CN"/>
              </w:rPr>
            </w:pPr>
            <w:r>
              <w:rPr>
                <w:b/>
                <w:bCs/>
                <w:lang w:val="zh-CN"/>
              </w:rPr>
              <w:t>编号</w:t>
            </w:r>
          </w:p>
        </w:tc>
        <w:tc>
          <w:tcPr>
            <w:tcW w:w="1153" w:type="pct"/>
            <w:tcBorders>
              <w:tl2br w:val="nil"/>
              <w:tr2bl w:val="nil"/>
            </w:tcBorders>
            <w:vAlign w:val="center"/>
          </w:tcPr>
          <w:p w14:paraId="5ED5AD48" w14:textId="77777777" w:rsidR="003E78AB" w:rsidRDefault="00010BF9">
            <w:pPr>
              <w:pStyle w:val="aff6"/>
              <w:topLinePunct/>
              <w:rPr>
                <w:b/>
                <w:bCs/>
                <w:lang w:val="zh-CN"/>
              </w:rPr>
            </w:pPr>
            <w:r>
              <w:rPr>
                <w:b/>
                <w:bCs/>
                <w:lang w:val="zh-CN"/>
              </w:rPr>
              <w:t>方位</w:t>
            </w:r>
          </w:p>
        </w:tc>
        <w:tc>
          <w:tcPr>
            <w:tcW w:w="1781" w:type="pct"/>
            <w:tcBorders>
              <w:tl2br w:val="nil"/>
              <w:tr2bl w:val="nil"/>
            </w:tcBorders>
            <w:vAlign w:val="center"/>
          </w:tcPr>
          <w:p w14:paraId="46658D54" w14:textId="77777777" w:rsidR="003E78AB" w:rsidRDefault="00010BF9">
            <w:pPr>
              <w:pStyle w:val="aff6"/>
              <w:topLinePunct/>
              <w:rPr>
                <w:b/>
                <w:bCs/>
                <w:lang w:val="zh-CN"/>
              </w:rPr>
            </w:pPr>
            <w:r>
              <w:rPr>
                <w:b/>
                <w:bCs/>
                <w:lang w:val="zh-CN"/>
              </w:rPr>
              <w:t>区域内地下水流场中位置关系</w:t>
            </w:r>
          </w:p>
        </w:tc>
        <w:tc>
          <w:tcPr>
            <w:tcW w:w="1077" w:type="pct"/>
            <w:tcBorders>
              <w:tl2br w:val="nil"/>
              <w:tr2bl w:val="nil"/>
            </w:tcBorders>
            <w:vAlign w:val="center"/>
          </w:tcPr>
          <w:p w14:paraId="40EBB81E" w14:textId="77777777" w:rsidR="003E78AB" w:rsidRDefault="00010BF9">
            <w:pPr>
              <w:pStyle w:val="aff6"/>
              <w:topLinePunct/>
              <w:rPr>
                <w:b/>
                <w:bCs/>
              </w:rPr>
            </w:pPr>
            <w:r>
              <w:rPr>
                <w:b/>
                <w:bCs/>
              </w:rPr>
              <w:t>功能</w:t>
            </w:r>
          </w:p>
        </w:tc>
        <w:tc>
          <w:tcPr>
            <w:tcW w:w="636" w:type="pct"/>
            <w:tcBorders>
              <w:tl2br w:val="nil"/>
              <w:tr2bl w:val="nil"/>
            </w:tcBorders>
            <w:vAlign w:val="center"/>
          </w:tcPr>
          <w:p w14:paraId="2E032041" w14:textId="77777777" w:rsidR="003E78AB" w:rsidRDefault="00010BF9">
            <w:pPr>
              <w:pStyle w:val="aff6"/>
              <w:topLinePunct/>
              <w:rPr>
                <w:b/>
                <w:bCs/>
              </w:rPr>
            </w:pPr>
            <w:r>
              <w:rPr>
                <w:b/>
                <w:bCs/>
              </w:rPr>
              <w:t>监控水层</w:t>
            </w:r>
          </w:p>
        </w:tc>
      </w:tr>
      <w:tr w:rsidR="003E78AB" w14:paraId="2C8E2E97" w14:textId="77777777">
        <w:trPr>
          <w:trHeight w:val="340"/>
        </w:trPr>
        <w:tc>
          <w:tcPr>
            <w:tcW w:w="350" w:type="pct"/>
            <w:tcBorders>
              <w:tl2br w:val="nil"/>
              <w:tr2bl w:val="nil"/>
            </w:tcBorders>
            <w:vAlign w:val="center"/>
          </w:tcPr>
          <w:p w14:paraId="1AD15A53" w14:textId="77777777" w:rsidR="003E78AB" w:rsidRDefault="00010BF9">
            <w:pPr>
              <w:pStyle w:val="aff6"/>
              <w:topLinePunct/>
            </w:pPr>
            <w:r>
              <w:t>1#</w:t>
            </w:r>
          </w:p>
        </w:tc>
        <w:tc>
          <w:tcPr>
            <w:tcW w:w="1153" w:type="pct"/>
            <w:tcBorders>
              <w:tl2br w:val="nil"/>
              <w:tr2bl w:val="nil"/>
            </w:tcBorders>
            <w:vAlign w:val="center"/>
          </w:tcPr>
          <w:p w14:paraId="6C82EAAE" w14:textId="77777777" w:rsidR="003E78AB" w:rsidRDefault="00010BF9">
            <w:pPr>
              <w:pStyle w:val="aff6"/>
              <w:topLinePunct/>
              <w:rPr>
                <w:lang w:val="zh-CN"/>
              </w:rPr>
            </w:pPr>
            <w:r>
              <w:rPr>
                <w:lang w:val="zh-CN"/>
              </w:rPr>
              <w:t>厂区内</w:t>
            </w:r>
          </w:p>
        </w:tc>
        <w:tc>
          <w:tcPr>
            <w:tcW w:w="1781" w:type="pct"/>
            <w:tcBorders>
              <w:tl2br w:val="nil"/>
              <w:tr2bl w:val="nil"/>
            </w:tcBorders>
            <w:vAlign w:val="center"/>
          </w:tcPr>
          <w:p w14:paraId="75720ED1" w14:textId="77777777" w:rsidR="003E78AB" w:rsidRDefault="00010BF9">
            <w:pPr>
              <w:pStyle w:val="aff6"/>
              <w:topLinePunct/>
              <w:rPr>
                <w:lang w:val="zh-CN"/>
              </w:rPr>
            </w:pPr>
            <w:r>
              <w:rPr>
                <w:lang w:val="zh-CN"/>
              </w:rPr>
              <w:t>/</w:t>
            </w:r>
          </w:p>
        </w:tc>
        <w:tc>
          <w:tcPr>
            <w:tcW w:w="1077" w:type="pct"/>
            <w:tcBorders>
              <w:tl2br w:val="nil"/>
              <w:tr2bl w:val="nil"/>
            </w:tcBorders>
            <w:vAlign w:val="center"/>
          </w:tcPr>
          <w:p w14:paraId="33AF60A3" w14:textId="77777777" w:rsidR="003E78AB" w:rsidRDefault="00010BF9">
            <w:pPr>
              <w:pStyle w:val="aff6"/>
              <w:topLinePunct/>
              <w:rPr>
                <w:lang w:val="zh-CN"/>
              </w:rPr>
            </w:pPr>
            <w:r>
              <w:t>污染跟踪监测井</w:t>
            </w:r>
          </w:p>
        </w:tc>
        <w:tc>
          <w:tcPr>
            <w:tcW w:w="636" w:type="pct"/>
            <w:vMerge w:val="restart"/>
            <w:tcBorders>
              <w:tl2br w:val="nil"/>
              <w:tr2bl w:val="nil"/>
            </w:tcBorders>
            <w:vAlign w:val="center"/>
          </w:tcPr>
          <w:p w14:paraId="6A1B18AA" w14:textId="77777777" w:rsidR="003E78AB" w:rsidRDefault="00010BF9">
            <w:pPr>
              <w:pStyle w:val="aff6"/>
              <w:topLinePunct/>
            </w:pPr>
            <w:r>
              <w:t>潜水层</w:t>
            </w:r>
          </w:p>
        </w:tc>
      </w:tr>
      <w:tr w:rsidR="003E78AB" w14:paraId="56BF4C14" w14:textId="77777777">
        <w:trPr>
          <w:trHeight w:val="340"/>
        </w:trPr>
        <w:tc>
          <w:tcPr>
            <w:tcW w:w="350" w:type="pct"/>
            <w:tcBorders>
              <w:tl2br w:val="nil"/>
              <w:tr2bl w:val="nil"/>
            </w:tcBorders>
            <w:vAlign w:val="center"/>
          </w:tcPr>
          <w:p w14:paraId="659E21DB" w14:textId="77777777" w:rsidR="003E78AB" w:rsidRDefault="00010BF9">
            <w:pPr>
              <w:pStyle w:val="aff6"/>
              <w:topLinePunct/>
            </w:pPr>
            <w:r>
              <w:t>2#</w:t>
            </w:r>
          </w:p>
        </w:tc>
        <w:tc>
          <w:tcPr>
            <w:tcW w:w="1153" w:type="pct"/>
            <w:tcBorders>
              <w:tl2br w:val="nil"/>
              <w:tr2bl w:val="nil"/>
            </w:tcBorders>
            <w:vAlign w:val="center"/>
          </w:tcPr>
          <w:p w14:paraId="7E85C7F0" w14:textId="77777777" w:rsidR="003E78AB" w:rsidRDefault="00010BF9">
            <w:pPr>
              <w:pStyle w:val="aff6"/>
              <w:topLinePunct/>
            </w:pPr>
            <w:r>
              <w:rPr>
                <w:lang w:val="zh-CN"/>
              </w:rPr>
              <w:t>厂区西南侧</w:t>
            </w:r>
            <w:r>
              <w:t>10m</w:t>
            </w:r>
            <w:r>
              <w:t>处</w:t>
            </w:r>
          </w:p>
        </w:tc>
        <w:tc>
          <w:tcPr>
            <w:tcW w:w="1781" w:type="pct"/>
            <w:tcBorders>
              <w:tl2br w:val="nil"/>
              <w:tr2bl w:val="nil"/>
            </w:tcBorders>
            <w:vAlign w:val="center"/>
          </w:tcPr>
          <w:p w14:paraId="6D544C47" w14:textId="77777777" w:rsidR="003E78AB" w:rsidRDefault="00010BF9">
            <w:pPr>
              <w:pStyle w:val="aff6"/>
              <w:topLinePunct/>
              <w:rPr>
                <w:lang w:val="zh-CN"/>
              </w:rPr>
            </w:pPr>
            <w:r>
              <w:rPr>
                <w:lang w:val="zh-CN"/>
              </w:rPr>
              <w:t>地下水下游方向</w:t>
            </w:r>
          </w:p>
        </w:tc>
        <w:tc>
          <w:tcPr>
            <w:tcW w:w="1077" w:type="pct"/>
            <w:tcBorders>
              <w:tl2br w:val="nil"/>
              <w:tr2bl w:val="nil"/>
            </w:tcBorders>
            <w:vAlign w:val="center"/>
          </w:tcPr>
          <w:p w14:paraId="55FF3701" w14:textId="77777777" w:rsidR="003E78AB" w:rsidRDefault="00010BF9">
            <w:pPr>
              <w:pStyle w:val="aff6"/>
              <w:topLinePunct/>
            </w:pPr>
            <w:r>
              <w:t>污染扩散监测井</w:t>
            </w:r>
          </w:p>
        </w:tc>
        <w:tc>
          <w:tcPr>
            <w:tcW w:w="636" w:type="pct"/>
            <w:vMerge/>
            <w:tcBorders>
              <w:tl2br w:val="nil"/>
              <w:tr2bl w:val="nil"/>
            </w:tcBorders>
            <w:vAlign w:val="center"/>
          </w:tcPr>
          <w:p w14:paraId="3AEDFAE7" w14:textId="77777777" w:rsidR="003E78AB" w:rsidRDefault="003E78AB">
            <w:pPr>
              <w:pStyle w:val="aff6"/>
              <w:topLinePunct/>
              <w:rPr>
                <w:lang w:val="zh-CN"/>
              </w:rPr>
            </w:pPr>
          </w:p>
        </w:tc>
      </w:tr>
      <w:tr w:rsidR="003E78AB" w14:paraId="61BC210D" w14:textId="77777777">
        <w:trPr>
          <w:trHeight w:val="340"/>
        </w:trPr>
        <w:tc>
          <w:tcPr>
            <w:tcW w:w="350" w:type="pct"/>
            <w:tcBorders>
              <w:tl2br w:val="nil"/>
              <w:tr2bl w:val="nil"/>
            </w:tcBorders>
            <w:vAlign w:val="center"/>
          </w:tcPr>
          <w:p w14:paraId="03D68525" w14:textId="77777777" w:rsidR="003E78AB" w:rsidRDefault="00010BF9">
            <w:pPr>
              <w:pStyle w:val="aff6"/>
              <w:topLinePunct/>
            </w:pPr>
            <w:r>
              <w:t>3#</w:t>
            </w:r>
          </w:p>
        </w:tc>
        <w:tc>
          <w:tcPr>
            <w:tcW w:w="1153" w:type="pct"/>
            <w:tcBorders>
              <w:tl2br w:val="nil"/>
              <w:tr2bl w:val="nil"/>
            </w:tcBorders>
            <w:vAlign w:val="center"/>
          </w:tcPr>
          <w:p w14:paraId="57BE82CE" w14:textId="77777777" w:rsidR="003E78AB" w:rsidRDefault="00010BF9">
            <w:pPr>
              <w:pStyle w:val="aff6"/>
              <w:topLinePunct/>
            </w:pPr>
            <w:r>
              <w:rPr>
                <w:lang w:val="zh-CN"/>
              </w:rPr>
              <w:t>厂区东北侧</w:t>
            </w:r>
            <w:r>
              <w:t>1km</w:t>
            </w:r>
            <w:r>
              <w:t>处</w:t>
            </w:r>
          </w:p>
        </w:tc>
        <w:tc>
          <w:tcPr>
            <w:tcW w:w="1781" w:type="pct"/>
            <w:tcBorders>
              <w:tl2br w:val="nil"/>
              <w:tr2bl w:val="nil"/>
            </w:tcBorders>
            <w:vAlign w:val="center"/>
          </w:tcPr>
          <w:p w14:paraId="42ACF2AD" w14:textId="77777777" w:rsidR="003E78AB" w:rsidRDefault="00010BF9">
            <w:pPr>
              <w:pStyle w:val="aff6"/>
              <w:topLinePunct/>
              <w:rPr>
                <w:lang w:val="zh-CN"/>
              </w:rPr>
            </w:pPr>
            <w:r>
              <w:rPr>
                <w:lang w:val="zh-CN"/>
              </w:rPr>
              <w:t>地下水上游方向</w:t>
            </w:r>
          </w:p>
        </w:tc>
        <w:tc>
          <w:tcPr>
            <w:tcW w:w="1077" w:type="pct"/>
            <w:tcBorders>
              <w:tl2br w:val="nil"/>
              <w:tr2bl w:val="nil"/>
            </w:tcBorders>
            <w:vAlign w:val="center"/>
          </w:tcPr>
          <w:p w14:paraId="7FE6A884" w14:textId="77777777" w:rsidR="003E78AB" w:rsidRDefault="00010BF9">
            <w:pPr>
              <w:pStyle w:val="aff6"/>
              <w:topLinePunct/>
            </w:pPr>
            <w:r>
              <w:t>背景值监测井</w:t>
            </w:r>
          </w:p>
        </w:tc>
        <w:tc>
          <w:tcPr>
            <w:tcW w:w="636" w:type="pct"/>
            <w:vMerge/>
            <w:tcBorders>
              <w:tl2br w:val="nil"/>
              <w:tr2bl w:val="nil"/>
            </w:tcBorders>
            <w:vAlign w:val="center"/>
          </w:tcPr>
          <w:p w14:paraId="4EDBCFB5" w14:textId="77777777" w:rsidR="003E78AB" w:rsidRDefault="003E78AB">
            <w:pPr>
              <w:pStyle w:val="aff6"/>
              <w:topLinePunct/>
              <w:rPr>
                <w:lang w:val="zh-CN"/>
              </w:rPr>
            </w:pPr>
          </w:p>
        </w:tc>
      </w:tr>
    </w:tbl>
    <w:p w14:paraId="094CE8CF" w14:textId="77777777" w:rsidR="003E78AB" w:rsidRDefault="00010BF9">
      <w:pPr>
        <w:ind w:firstLine="480"/>
        <w:textAlignment w:val="baseline"/>
        <w:rPr>
          <w:kern w:val="2"/>
        </w:rPr>
      </w:pPr>
      <w:r>
        <w:rPr>
          <w:bCs/>
          <w:kern w:val="2"/>
        </w:rPr>
        <w:t>监测频次：</w:t>
      </w:r>
      <w:r>
        <w:rPr>
          <w:kern w:val="2"/>
        </w:rPr>
        <w:t>1</w:t>
      </w:r>
      <w:r>
        <w:rPr>
          <w:kern w:val="2"/>
        </w:rPr>
        <w:t>次</w:t>
      </w:r>
      <w:r>
        <w:rPr>
          <w:kern w:val="2"/>
        </w:rPr>
        <w:t>/</w:t>
      </w:r>
      <w:r>
        <w:rPr>
          <w:kern w:val="2"/>
        </w:rPr>
        <w:t>半年（每年丰、枯水期各</w:t>
      </w:r>
      <w:r>
        <w:rPr>
          <w:kern w:val="2"/>
        </w:rPr>
        <w:t>1</w:t>
      </w:r>
      <w:r>
        <w:rPr>
          <w:kern w:val="2"/>
        </w:rPr>
        <w:t>次）</w:t>
      </w:r>
    </w:p>
    <w:p w14:paraId="668C150E" w14:textId="77777777" w:rsidR="003E78AB" w:rsidRDefault="00010BF9">
      <w:pPr>
        <w:ind w:firstLine="480"/>
        <w:textAlignment w:val="baseline"/>
        <w:rPr>
          <w:kern w:val="2"/>
        </w:rPr>
      </w:pPr>
      <w:r>
        <w:rPr>
          <w:kern w:val="2"/>
        </w:rPr>
        <w:t>监测因子：水位、</w:t>
      </w:r>
      <w:r>
        <w:rPr>
          <w:kern w:val="2"/>
        </w:rPr>
        <w:t>pH</w:t>
      </w:r>
      <w:r>
        <w:rPr>
          <w:kern w:val="2"/>
        </w:rPr>
        <w:t>、氨氮、硝酸盐、亚硝酸盐、挥发性酚类、氰化物、砷、汞、铬</w:t>
      </w:r>
      <w:r>
        <w:rPr>
          <w:kern w:val="2"/>
        </w:rPr>
        <w:t>(</w:t>
      </w:r>
      <w:r>
        <w:rPr>
          <w:kern w:val="2"/>
        </w:rPr>
        <w:t>六价</w:t>
      </w:r>
      <w:r>
        <w:rPr>
          <w:kern w:val="2"/>
        </w:rPr>
        <w:t>)</w:t>
      </w:r>
      <w:r>
        <w:rPr>
          <w:kern w:val="2"/>
        </w:rPr>
        <w:t>、总硬度、铅、氟化物、镉、铁、锰、溶解性总固体、耗氧量、硫酸盐、氯化物、总大肠菌群、细菌总数、钒</w:t>
      </w:r>
      <w:r>
        <w:rPr>
          <w:rFonts w:hint="eastAsia"/>
          <w:kern w:val="2"/>
        </w:rPr>
        <w:t>、总磷</w:t>
      </w:r>
      <w:r>
        <w:rPr>
          <w:kern w:val="2"/>
        </w:rPr>
        <w:t>等。</w:t>
      </w:r>
    </w:p>
    <w:p w14:paraId="27109B58" w14:textId="77777777" w:rsidR="003E78AB" w:rsidRDefault="00010BF9">
      <w:pPr>
        <w:ind w:firstLine="480"/>
        <w:textAlignment w:val="baseline"/>
        <w:rPr>
          <w:kern w:val="2"/>
        </w:rPr>
      </w:pPr>
      <w:r>
        <w:rPr>
          <w:kern w:val="2"/>
        </w:rPr>
        <w:t>②</w:t>
      </w:r>
      <w:r>
        <w:rPr>
          <w:kern w:val="2"/>
        </w:rPr>
        <w:t>土壤环境监测</w:t>
      </w:r>
    </w:p>
    <w:p w14:paraId="43244FF7" w14:textId="77777777" w:rsidR="003E78AB" w:rsidRDefault="00010BF9">
      <w:pPr>
        <w:ind w:firstLine="480"/>
        <w:textAlignment w:val="baseline"/>
        <w:rPr>
          <w:kern w:val="2"/>
        </w:rPr>
      </w:pPr>
      <w:r>
        <w:rPr>
          <w:kern w:val="2"/>
        </w:rPr>
        <w:t>监测点位：厂区</w:t>
      </w:r>
      <w:r>
        <w:rPr>
          <w:rFonts w:hint="eastAsia"/>
          <w:kern w:val="2"/>
        </w:rPr>
        <w:t>液体库</w:t>
      </w:r>
      <w:r>
        <w:rPr>
          <w:kern w:val="2"/>
        </w:rPr>
        <w:t>及原料仓库</w:t>
      </w:r>
      <w:r>
        <w:rPr>
          <w:rFonts w:hint="eastAsia"/>
          <w:kern w:val="2"/>
        </w:rPr>
        <w:t>旁</w:t>
      </w:r>
      <w:r>
        <w:rPr>
          <w:kern w:val="2"/>
        </w:rPr>
        <w:t>各布设一个柱状点位，监测深度</w:t>
      </w:r>
      <w:r>
        <w:rPr>
          <w:kern w:val="2"/>
        </w:rPr>
        <w:t>3m</w:t>
      </w:r>
      <w:r>
        <w:rPr>
          <w:kern w:val="2"/>
        </w:rPr>
        <w:t>。</w:t>
      </w:r>
    </w:p>
    <w:p w14:paraId="631C9E21" w14:textId="77777777" w:rsidR="003E78AB" w:rsidRDefault="00010BF9">
      <w:pPr>
        <w:ind w:firstLine="480"/>
        <w:textAlignment w:val="baseline"/>
        <w:rPr>
          <w:kern w:val="2"/>
        </w:rPr>
      </w:pPr>
      <w:r>
        <w:rPr>
          <w:kern w:val="2"/>
        </w:rPr>
        <w:t>监测因子：</w:t>
      </w:r>
      <w:r>
        <w:rPr>
          <w:kern w:val="2"/>
        </w:rPr>
        <w:t>pH</w:t>
      </w:r>
      <w:r>
        <w:rPr>
          <w:kern w:val="2"/>
        </w:rPr>
        <w:t>、</w:t>
      </w:r>
      <w:r>
        <w:rPr>
          <w:rFonts w:hint="eastAsia"/>
          <w:kern w:val="2"/>
        </w:rPr>
        <w:t>石油烃、总磷、钒</w:t>
      </w:r>
      <w:r>
        <w:rPr>
          <w:kern w:val="2"/>
        </w:rPr>
        <w:t>等《土壤环境质量建设用地土壤污染风险管控标准（试行）》（</w:t>
      </w:r>
      <w:r>
        <w:rPr>
          <w:kern w:val="2"/>
        </w:rPr>
        <w:t>GB36600-2018</w:t>
      </w:r>
      <w:r>
        <w:rPr>
          <w:kern w:val="2"/>
        </w:rPr>
        <w:t>）中基本</w:t>
      </w:r>
      <w:r>
        <w:rPr>
          <w:kern w:val="2"/>
        </w:rPr>
        <w:t>45</w:t>
      </w:r>
      <w:r>
        <w:rPr>
          <w:kern w:val="2"/>
        </w:rPr>
        <w:t>项。</w:t>
      </w:r>
    </w:p>
    <w:p w14:paraId="5BEB4B4D" w14:textId="77777777" w:rsidR="003E78AB" w:rsidRDefault="00010BF9">
      <w:pPr>
        <w:ind w:firstLine="482"/>
        <w:textAlignment w:val="baseline"/>
        <w:rPr>
          <w:b/>
          <w:bCs/>
          <w:kern w:val="2"/>
          <w:u w:val="single"/>
        </w:rPr>
      </w:pPr>
      <w:r>
        <w:rPr>
          <w:b/>
          <w:bCs/>
          <w:kern w:val="2"/>
          <w:u w:val="single"/>
        </w:rPr>
        <w:t>监测频次：</w:t>
      </w:r>
      <w:r>
        <w:rPr>
          <w:rFonts w:hint="eastAsia"/>
          <w:b/>
          <w:bCs/>
          <w:kern w:val="2"/>
          <w:u w:val="single"/>
        </w:rPr>
        <w:t>五</w:t>
      </w:r>
      <w:r>
        <w:rPr>
          <w:b/>
          <w:bCs/>
          <w:kern w:val="2"/>
          <w:u w:val="single"/>
        </w:rPr>
        <w:t>年监测</w:t>
      </w:r>
      <w:r>
        <w:rPr>
          <w:b/>
          <w:bCs/>
          <w:kern w:val="2"/>
          <w:u w:val="single"/>
        </w:rPr>
        <w:t>1</w:t>
      </w:r>
      <w:r>
        <w:rPr>
          <w:b/>
          <w:bCs/>
          <w:kern w:val="2"/>
          <w:u w:val="single"/>
        </w:rPr>
        <w:t>次。</w:t>
      </w:r>
    </w:p>
    <w:p w14:paraId="6CB4B7B7" w14:textId="77777777" w:rsidR="003E78AB" w:rsidRDefault="00010BF9">
      <w:pPr>
        <w:pStyle w:val="24"/>
        <w:keepNext w:val="0"/>
        <w:keepLines w:val="0"/>
        <w:topLinePunct/>
        <w:spacing w:before="120"/>
        <w:rPr>
          <w:rFonts w:cs="Times New Roman"/>
        </w:rPr>
      </w:pPr>
      <w:bookmarkStart w:id="499" w:name="_Toc30722"/>
      <w:bookmarkStart w:id="500" w:name="_Toc73531155"/>
      <w:bookmarkStart w:id="501" w:name="_Toc19273"/>
      <w:bookmarkStart w:id="502" w:name="_Toc399327777"/>
      <w:bookmarkStart w:id="503" w:name="_Toc399496929"/>
      <w:bookmarkStart w:id="504" w:name="_Toc410121582"/>
      <w:bookmarkStart w:id="505" w:name="_Toc363496105"/>
      <w:bookmarkEnd w:id="498"/>
      <w:r>
        <w:rPr>
          <w:rFonts w:cs="Times New Roman" w:hint="eastAsia"/>
        </w:rPr>
        <w:t>9.3</w:t>
      </w:r>
      <w:r>
        <w:rPr>
          <w:rFonts w:cs="Times New Roman"/>
        </w:rPr>
        <w:t>环境监理</w:t>
      </w:r>
      <w:bookmarkEnd w:id="499"/>
      <w:bookmarkEnd w:id="500"/>
      <w:bookmarkEnd w:id="501"/>
    </w:p>
    <w:p w14:paraId="6BF8D326"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.1</w:t>
      </w:r>
      <w:r>
        <w:rPr>
          <w:rFonts w:cs="Times New Roman"/>
          <w:sz w:val="28"/>
          <w:szCs w:val="28"/>
        </w:rPr>
        <w:t>环境监理依据</w:t>
      </w:r>
    </w:p>
    <w:p w14:paraId="43C959C2" w14:textId="77777777" w:rsidR="003E78AB" w:rsidRDefault="00010BF9">
      <w:pPr>
        <w:ind w:firstLine="480"/>
      </w:pPr>
      <w:r>
        <w:t>环境监理的依据是国家和相关主管部门制定、颁发的有关法律、法规、政策、技术标准，经批准的设计文件、投标文件和依法签订的监理、施工承包合同，按环境监理服务的范围和内容，履行环境监理义务，独立、公正、科学、有效地服务于工程，实施全面环境监理，使工程在设计、施工、营运等方面达到环境保护要求。</w:t>
      </w:r>
    </w:p>
    <w:p w14:paraId="1E85322F"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.2</w:t>
      </w:r>
      <w:r>
        <w:rPr>
          <w:rFonts w:cs="Times New Roman"/>
          <w:sz w:val="28"/>
          <w:szCs w:val="28"/>
        </w:rPr>
        <w:t>监理阶段</w:t>
      </w:r>
    </w:p>
    <w:p w14:paraId="76E2EC38" w14:textId="77777777" w:rsidR="003E78AB" w:rsidRDefault="00010BF9">
      <w:pPr>
        <w:ind w:firstLine="480"/>
      </w:pPr>
      <w:r>
        <w:t>与主体工程监理阶段划分一致，本项目的工程环境监理阶段分为施工准备阶段、施工阶段以及交工验收与缺陷责任期三个阶段。</w:t>
      </w:r>
    </w:p>
    <w:p w14:paraId="7A8D148E"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.3</w:t>
      </w:r>
      <w:r>
        <w:rPr>
          <w:rFonts w:cs="Times New Roman"/>
          <w:sz w:val="28"/>
          <w:szCs w:val="28"/>
        </w:rPr>
        <w:t>环境监理应遵循的原则</w:t>
      </w:r>
    </w:p>
    <w:p w14:paraId="115A814D" w14:textId="77777777" w:rsidR="003E78AB" w:rsidRDefault="00010BF9">
      <w:pPr>
        <w:ind w:firstLine="480"/>
      </w:pPr>
      <w:r>
        <w:t>项目建设应在项目设计、施工和运行管理等各个阶段，高度重视生态</w:t>
      </w:r>
      <w:r>
        <w:t>环境保护和污染防治工作，严格执行建设项目环境保护</w:t>
      </w:r>
      <w:r>
        <w:t>“</w:t>
      </w:r>
      <w:r>
        <w:t>三同时</w:t>
      </w:r>
      <w:r>
        <w:t>”</w:t>
      </w:r>
      <w:r>
        <w:t>制度，规范工程建设管理的各项工作，确保符合有关环保要求。</w:t>
      </w:r>
    </w:p>
    <w:p w14:paraId="581F283C" w14:textId="77777777" w:rsidR="003E78AB" w:rsidRDefault="00010BF9">
      <w:pPr>
        <w:ind w:firstLine="480"/>
      </w:pPr>
      <w:r>
        <w:t>从事工程建设环境监理活动，应当遵循守法、诚信、公正、科学的准则。确立环境监理是</w:t>
      </w:r>
      <w:r>
        <w:t>“</w:t>
      </w:r>
      <w:r>
        <w:t>第三方</w:t>
      </w:r>
      <w:r>
        <w:t>”</w:t>
      </w:r>
      <w:r>
        <w:t>的原则，应当将环境监理和建设单位的环境管理、政府部门的环境监督执法严格区分开来，并为建设单位和政府部门的环境管理服务。</w:t>
      </w:r>
    </w:p>
    <w:p w14:paraId="3E5767A7" w14:textId="77777777" w:rsidR="003E78AB" w:rsidRDefault="00010BF9">
      <w:pPr>
        <w:ind w:firstLine="480"/>
      </w:pPr>
      <w:r>
        <w:t>环境监理应纳入工程监理和管理体系，不能弱化环境监理的地位。监理工作中应理顺和协调好建设单位、施工单位、工程监理单位、环境监理单位、环境监测单位及政府环境行政主管部门等各方面的关系，为做好环</w:t>
      </w:r>
      <w:r>
        <w:t>境监理工作创造有利条件。</w:t>
      </w:r>
    </w:p>
    <w:p w14:paraId="3A30540D" w14:textId="77777777" w:rsidR="003E78AB" w:rsidRDefault="00010BF9">
      <w:pPr>
        <w:ind w:firstLine="480"/>
      </w:pPr>
      <w:r>
        <w:t>监理单位应根据工程特点，制定符合工程实际情况规范化的监理制度，使监理工作有序展开。</w:t>
      </w:r>
    </w:p>
    <w:p w14:paraId="6B153D27"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.4</w:t>
      </w:r>
      <w:r>
        <w:rPr>
          <w:rFonts w:cs="Times New Roman"/>
          <w:sz w:val="28"/>
          <w:szCs w:val="28"/>
        </w:rPr>
        <w:t>监理范围、内容及方式</w:t>
      </w:r>
    </w:p>
    <w:p w14:paraId="28D7F77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.4.1</w:t>
      </w:r>
      <w:r>
        <w:rPr>
          <w:rFonts w:ascii="Times New Roman" w:hAnsi="Times New Roman"/>
        </w:rPr>
        <w:t>环境监理范围</w:t>
      </w:r>
    </w:p>
    <w:p w14:paraId="003DFC55" w14:textId="77777777" w:rsidR="003E78AB" w:rsidRDefault="00010BF9">
      <w:pPr>
        <w:ind w:firstLine="480"/>
      </w:pPr>
      <w:r>
        <w:t>项目建设区与工程直接影响区域，包括主体工程、生活营地、生产区、施工便道等。</w:t>
      </w:r>
    </w:p>
    <w:p w14:paraId="650609C4"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.4.2</w:t>
      </w:r>
      <w:r>
        <w:rPr>
          <w:rFonts w:ascii="Times New Roman" w:hAnsi="Times New Roman"/>
        </w:rPr>
        <w:t>监理内容</w:t>
      </w:r>
    </w:p>
    <w:p w14:paraId="33B18995" w14:textId="77777777" w:rsidR="003E78AB" w:rsidRDefault="00010BF9">
      <w:pPr>
        <w:ind w:firstLine="480"/>
      </w:pPr>
      <w:r>
        <w:t>包括生态保护、水土保持、污染物防治等环境保护工作的所有方面。</w:t>
      </w:r>
    </w:p>
    <w:p w14:paraId="3CF7F823"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.5</w:t>
      </w:r>
      <w:r>
        <w:rPr>
          <w:rFonts w:cs="Times New Roman"/>
          <w:sz w:val="28"/>
          <w:szCs w:val="28"/>
        </w:rPr>
        <w:t>环境监理工作内容</w:t>
      </w:r>
    </w:p>
    <w:p w14:paraId="0FF73CD8" w14:textId="77777777" w:rsidR="003E78AB" w:rsidRDefault="00010BF9">
      <w:pPr>
        <w:ind w:firstLine="480"/>
      </w:pPr>
      <w:r>
        <w:t>本项目工程环境监理的工作内容包括环保达标监理和环保工程监理。</w:t>
      </w:r>
    </w:p>
    <w:p w14:paraId="1AE5F40D" w14:textId="77777777" w:rsidR="003E78AB" w:rsidRDefault="00010BF9">
      <w:pPr>
        <w:ind w:firstLine="480"/>
      </w:pPr>
      <w:r>
        <w:t>环保达标监理指对主体工程的施工过程是否符合环境保护的要求进行监理，如噪声、废气、污水等排放</w:t>
      </w:r>
      <w:r>
        <w:t>应达到有关的标准等，施工是否造成水土流失和生态环境破坏，是否符合有关环境保护法律、法规规定等进行监理。</w:t>
      </w:r>
    </w:p>
    <w:p w14:paraId="02D05870" w14:textId="77777777" w:rsidR="003E78AB" w:rsidRDefault="00010BF9">
      <w:pPr>
        <w:ind w:firstLine="480"/>
      </w:pPr>
      <w:r>
        <w:t>环保工程监理是指对为保护施工和营运期的环境而建设的各项环境保护设施（包括临时工程）进行监理，如污水收纳设施、废气治理设施、固废去向、项目建设防渗要求等。</w:t>
      </w:r>
    </w:p>
    <w:p w14:paraId="0DDD7FA1"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.6</w:t>
      </w:r>
      <w:r>
        <w:rPr>
          <w:rFonts w:cs="Times New Roman"/>
          <w:sz w:val="28"/>
          <w:szCs w:val="28"/>
        </w:rPr>
        <w:t>环境监理机构及工作制度</w:t>
      </w:r>
    </w:p>
    <w:p w14:paraId="05760D26" w14:textId="77777777" w:rsidR="003E78AB" w:rsidRDefault="00010BF9">
      <w:pPr>
        <w:ind w:firstLine="480"/>
      </w:pPr>
      <w:r>
        <w:t>建设单位应按照环境影响评价文件的要求，制定施工期工程环境监理实施方案，在施工招标文件、合同中明确施工单位和监理单位的环境保护责任，将工程环境监理纳入工程监理。</w:t>
      </w:r>
    </w:p>
    <w:p w14:paraId="1CE3242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.6.1</w:t>
      </w:r>
      <w:r>
        <w:rPr>
          <w:rFonts w:ascii="Times New Roman" w:hAnsi="Times New Roman"/>
        </w:rPr>
        <w:t>环境监理组织机构</w:t>
      </w:r>
    </w:p>
    <w:p w14:paraId="50EDB7BD" w14:textId="77777777" w:rsidR="003E78AB" w:rsidRDefault="00010BF9">
      <w:pPr>
        <w:ind w:firstLine="480"/>
      </w:pPr>
      <w:r>
        <w:t>拟建项目设立环保总监（由总监</w:t>
      </w:r>
      <w:r>
        <w:t>兼任），主管工程环境监理工作；环监办（由总监办兼）负责组织实施，各环监代表处（由总监代表处兼）和环监驻地办（由驻地办兼）具体承担监理任务。</w:t>
      </w:r>
    </w:p>
    <w:p w14:paraId="4AAEBEE0"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.6.2</w:t>
      </w:r>
      <w:r>
        <w:rPr>
          <w:rFonts w:ascii="Times New Roman" w:hAnsi="Times New Roman"/>
        </w:rPr>
        <w:t>工程环境监理的工作制度</w:t>
      </w:r>
    </w:p>
    <w:p w14:paraId="2CDD82D3" w14:textId="77777777" w:rsidR="003E78AB" w:rsidRDefault="00010BF9">
      <w:pPr>
        <w:ind w:firstLine="480"/>
      </w:pPr>
      <w:r>
        <w:t>主要包括环境监理例会制度、环境监理记录与报告制度、人员培训制度、函件来往制度、环境监理奖惩制度以及环境监理资料归档制度。</w:t>
      </w:r>
    </w:p>
    <w:p w14:paraId="48F09E43" w14:textId="77777777" w:rsidR="003E78AB" w:rsidRDefault="00010BF9">
      <w:pPr>
        <w:ind w:firstLine="480"/>
      </w:pPr>
      <w:r>
        <w:t>环境监理的工作制度同主体工程监理。</w:t>
      </w:r>
    </w:p>
    <w:p w14:paraId="51F4405D" w14:textId="77777777" w:rsidR="003E78AB" w:rsidRDefault="00010BF9">
      <w:pPr>
        <w:pStyle w:val="24"/>
        <w:keepNext w:val="0"/>
        <w:keepLines w:val="0"/>
        <w:topLinePunct/>
        <w:spacing w:before="120"/>
        <w:outlineLvl w:val="2"/>
        <w:rPr>
          <w:rFonts w:cs="Times New Roman"/>
          <w:sz w:val="28"/>
          <w:szCs w:val="28"/>
        </w:rPr>
      </w:pPr>
      <w:r>
        <w:rPr>
          <w:rFonts w:cs="Times New Roman" w:hint="eastAsia"/>
          <w:sz w:val="28"/>
          <w:szCs w:val="28"/>
        </w:rPr>
        <w:t>9.3</w:t>
      </w:r>
      <w:r>
        <w:rPr>
          <w:rFonts w:cs="Times New Roman"/>
          <w:sz w:val="28"/>
          <w:szCs w:val="28"/>
        </w:rPr>
        <w:t>.7</w:t>
      </w:r>
      <w:r>
        <w:rPr>
          <w:rFonts w:cs="Times New Roman"/>
          <w:sz w:val="28"/>
          <w:szCs w:val="28"/>
        </w:rPr>
        <w:t>环境监理技术要点</w:t>
      </w:r>
    </w:p>
    <w:p w14:paraId="22560954" w14:textId="77777777" w:rsidR="003E78AB" w:rsidRDefault="00010BF9">
      <w:pPr>
        <w:ind w:firstLine="480"/>
      </w:pPr>
      <w:r>
        <w:t>环境监理单位应收集拟建项目的有关资料，包括项目的基本情况，环境影响报告书，水土保持方案，环境保护设计，施工企业的设备、生产管理方式，施工现场的环境情况，施工过程的排污规律，防治措施等。</w:t>
      </w:r>
    </w:p>
    <w:p w14:paraId="59B09150" w14:textId="77777777" w:rsidR="003E78AB" w:rsidRDefault="00010BF9">
      <w:pPr>
        <w:ind w:firstLine="480"/>
      </w:pPr>
      <w:r>
        <w:t>根据项目施工方法制定施工期环境监理计划。按施工进度计划及排污行为，确定不同时间检查的重点项目和检查方式、方法。监理的技术要点是：施工初期主要检查对植被、景观的保护措施；中期主要检查施工噪声、施工及生活污水排放、弃渣工程行为及其防护情况等；后期检查土地平整、植被恢复情况等。</w:t>
      </w:r>
    </w:p>
    <w:p w14:paraId="65C393EF"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.7.1</w:t>
      </w:r>
      <w:r>
        <w:rPr>
          <w:rFonts w:ascii="Times New Roman" w:hAnsi="Times New Roman"/>
        </w:rPr>
        <w:t>施工现场的植被保护措施检查</w:t>
      </w:r>
    </w:p>
    <w:p w14:paraId="1B0F2AEB" w14:textId="77777777" w:rsidR="003E78AB" w:rsidRDefault="00010BF9">
      <w:pPr>
        <w:ind w:firstLine="480"/>
      </w:pPr>
      <w:r>
        <w:t>审查施工企</w:t>
      </w:r>
      <w:r>
        <w:t>业制定的有关保护措施，并做好现场检查。由于施工过程改变了现场原有的和谐景观，应采取恢复植被及景观美化等方法减少影响。</w:t>
      </w:r>
    </w:p>
    <w:p w14:paraId="2FEE2CD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.7.2</w:t>
      </w:r>
      <w:r>
        <w:rPr>
          <w:rFonts w:ascii="Times New Roman" w:hAnsi="Times New Roman"/>
        </w:rPr>
        <w:t>施工过程的水土保持检查</w:t>
      </w:r>
    </w:p>
    <w:p w14:paraId="5F3B5281" w14:textId="77777777" w:rsidR="003E78AB" w:rsidRDefault="00010BF9">
      <w:pPr>
        <w:ind w:firstLine="480"/>
      </w:pPr>
      <w:r>
        <w:t>对项目区水土保持情况进行巡视检查。</w:t>
      </w:r>
    </w:p>
    <w:p w14:paraId="01D8F84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.7.3</w:t>
      </w:r>
      <w:r>
        <w:rPr>
          <w:rFonts w:ascii="Times New Roman" w:hAnsi="Times New Roman"/>
        </w:rPr>
        <w:t>污水排放检查</w:t>
      </w:r>
    </w:p>
    <w:p w14:paraId="7BB8A3D6" w14:textId="77777777" w:rsidR="003E78AB" w:rsidRDefault="00010BF9">
      <w:pPr>
        <w:ind w:firstLine="480"/>
      </w:pPr>
      <w:r>
        <w:t>首先检查资源利用中的不合理因素，督促排污单位，节约用水，减少污水排放；其次要检查施工单位是否按要求建设污水贮存池，生活污水是否按要求进入园区污水处理系统，是否有随意外排现象；洗车台水是否循环使用不外排；检查是否有向泄洪沟排污现象；检查是否有其他排污点。</w:t>
      </w:r>
    </w:p>
    <w:p w14:paraId="75723ADB"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.7.4</w:t>
      </w:r>
      <w:r>
        <w:rPr>
          <w:rFonts w:ascii="Times New Roman" w:hAnsi="Times New Roman"/>
        </w:rPr>
        <w:t>施工噪声检查</w:t>
      </w:r>
    </w:p>
    <w:p w14:paraId="3A48ECE7" w14:textId="77777777" w:rsidR="003E78AB" w:rsidRDefault="00010BF9">
      <w:pPr>
        <w:ind w:firstLine="480"/>
      </w:pPr>
      <w:r>
        <w:t>（</w:t>
      </w:r>
      <w:r>
        <w:t>1</w:t>
      </w:r>
      <w:r>
        <w:t>）产生</w:t>
      </w:r>
      <w:r>
        <w:t>噪声的设备检查</w:t>
      </w:r>
    </w:p>
    <w:p w14:paraId="1AB531D0" w14:textId="77777777" w:rsidR="003E78AB" w:rsidRDefault="00010BF9">
      <w:pPr>
        <w:ind w:firstLine="480"/>
      </w:pPr>
      <w:r>
        <w:t>检查产生噪声的设备是否为国家禁止生产、销售、进口、使用的淘汰产品。</w:t>
      </w:r>
    </w:p>
    <w:p w14:paraId="3444AE83" w14:textId="77777777" w:rsidR="003E78AB" w:rsidRDefault="00010BF9">
      <w:pPr>
        <w:ind w:firstLine="480"/>
      </w:pPr>
      <w:r>
        <w:t>（</w:t>
      </w:r>
      <w:r>
        <w:t>2</w:t>
      </w:r>
      <w:r>
        <w:t>）检查产生噪声设备的管理</w:t>
      </w:r>
    </w:p>
    <w:p w14:paraId="49E7A909" w14:textId="77777777" w:rsidR="003E78AB" w:rsidRDefault="00010BF9">
      <w:pPr>
        <w:ind w:firstLine="480"/>
      </w:pPr>
      <w:r>
        <w:t>应监督施工单位加强设备的维护，及时更换磨损部件，降低噪声。产生噪声设备的管理还包括生产时间的合理安排。为减少对环境的影响，应检查施工单位的噪声监测记录，发现问题应及时通知施工单位整改。</w:t>
      </w:r>
    </w:p>
    <w:p w14:paraId="574CA91E" w14:textId="77777777" w:rsidR="003E78AB" w:rsidRDefault="00010BF9">
      <w:pPr>
        <w:ind w:firstLine="480"/>
      </w:pPr>
      <w:r>
        <w:t>（</w:t>
      </w:r>
      <w:r>
        <w:t>3</w:t>
      </w:r>
      <w:r>
        <w:t>）交通噪声的检查</w:t>
      </w:r>
    </w:p>
    <w:p w14:paraId="3300BE7D" w14:textId="77777777" w:rsidR="003E78AB" w:rsidRDefault="00010BF9">
      <w:pPr>
        <w:ind w:firstLine="480"/>
      </w:pPr>
      <w:r>
        <w:t>发现超过功能区标准的要采取措施。可采取措施有：加强交通管理，加强车辆年审，采取防噪声措施等。</w:t>
      </w:r>
    </w:p>
    <w:p w14:paraId="3E988C0A"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.7.5</w:t>
      </w:r>
      <w:r>
        <w:rPr>
          <w:rFonts w:ascii="Times New Roman" w:hAnsi="Times New Roman"/>
        </w:rPr>
        <w:t>大气污染控制检查</w:t>
      </w:r>
    </w:p>
    <w:p w14:paraId="7D41322C" w14:textId="77777777" w:rsidR="003E78AB" w:rsidRDefault="00010BF9">
      <w:pPr>
        <w:ind w:firstLine="480"/>
      </w:pPr>
      <w:r>
        <w:t>施工扬尘主要有交通扬尘、工地扬尘、堆放扬尘等。要求施工单位采取防</w:t>
      </w:r>
      <w:r>
        <w:t>扬尘的措施，如喷雾机</w:t>
      </w:r>
      <w:r>
        <w:t>+</w:t>
      </w:r>
      <w:r>
        <w:t>洒水车降尘；临时堆场覆盖防尘网；施工周界设置围栏等措施。</w:t>
      </w:r>
    </w:p>
    <w:p w14:paraId="492EBA52"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9.3</w:t>
      </w:r>
      <w:r>
        <w:rPr>
          <w:rFonts w:ascii="Times New Roman" w:hAnsi="Times New Roman"/>
        </w:rPr>
        <w:t>.7.6</w:t>
      </w:r>
      <w:r>
        <w:rPr>
          <w:rFonts w:ascii="Times New Roman" w:hAnsi="Times New Roman"/>
        </w:rPr>
        <w:t>环评</w:t>
      </w:r>
      <w:r>
        <w:rPr>
          <w:rFonts w:ascii="Times New Roman" w:hAnsi="Times New Roman"/>
        </w:rPr>
        <w:t>“</w:t>
      </w:r>
      <w:r>
        <w:rPr>
          <w:rFonts w:ascii="Times New Roman" w:hAnsi="Times New Roman"/>
        </w:rPr>
        <w:t>三同时</w:t>
      </w:r>
      <w:r>
        <w:rPr>
          <w:rFonts w:ascii="Times New Roman" w:hAnsi="Times New Roman"/>
        </w:rPr>
        <w:t>”</w:t>
      </w:r>
      <w:r>
        <w:rPr>
          <w:rFonts w:ascii="Times New Roman" w:hAnsi="Times New Roman"/>
        </w:rPr>
        <w:t>环保设施建设与措施落实建立</w:t>
      </w:r>
    </w:p>
    <w:p w14:paraId="20AEAAD7" w14:textId="77777777" w:rsidR="003E78AB" w:rsidRDefault="00010BF9">
      <w:pPr>
        <w:ind w:firstLine="480"/>
      </w:pPr>
      <w:r>
        <w:t>监督检查项目施工建设过程中环境污染治理设施按照环境影响评价文件及其批复的要求建设情况。检查环评文件及其批复中所提出的各项污染治理工程的工艺、设备、能力、规模、防渗要求等按照设计文件的要求得到落实，监督检查各项目环保措施的有效实施。</w:t>
      </w:r>
    </w:p>
    <w:p w14:paraId="67DCC5C8" w14:textId="77777777" w:rsidR="003E78AB" w:rsidRDefault="00010BF9">
      <w:pPr>
        <w:pStyle w:val="24"/>
        <w:keepNext w:val="0"/>
        <w:keepLines w:val="0"/>
        <w:topLinePunct/>
        <w:spacing w:before="120"/>
        <w:rPr>
          <w:rFonts w:cs="Times New Roman"/>
        </w:rPr>
      </w:pPr>
      <w:bookmarkStart w:id="506" w:name="_Toc21828"/>
      <w:bookmarkStart w:id="507" w:name="_Toc16961"/>
      <w:r>
        <w:rPr>
          <w:rFonts w:cs="Times New Roman" w:hint="eastAsia"/>
        </w:rPr>
        <w:t>9.4</w:t>
      </w:r>
      <w:r>
        <w:rPr>
          <w:rFonts w:cs="Times New Roman"/>
        </w:rPr>
        <w:t>污染物排放清单</w:t>
      </w:r>
      <w:bookmarkEnd w:id="506"/>
      <w:bookmarkEnd w:id="507"/>
    </w:p>
    <w:p w14:paraId="1B9C7508" w14:textId="77777777" w:rsidR="003E78AB" w:rsidRDefault="00010BF9">
      <w:pPr>
        <w:ind w:firstLine="480"/>
      </w:pPr>
      <w:r>
        <w:t>环境影响评价文件及其批复是建设项目排污许可证管理、环境监测等事中事后管理的技术依据，结合《排污许可证管理暂行规定》《排污许</w:t>
      </w:r>
      <w:r>
        <w:t>可证申请与核发技术规范</w:t>
      </w:r>
      <w:r>
        <w:rPr>
          <w:rFonts w:hint="eastAsia"/>
        </w:rPr>
        <w:t xml:space="preserve"> </w:t>
      </w:r>
      <w:r>
        <w:t>总则》（</w:t>
      </w:r>
      <w:r>
        <w:t>HJ942-2018</w:t>
      </w:r>
      <w:r>
        <w:t>）中相关规定，本项目污染物排放清单见表</w:t>
      </w:r>
      <w:r>
        <w:rPr>
          <w:rFonts w:hint="eastAsia"/>
        </w:rPr>
        <w:t>9-4</w:t>
      </w:r>
      <w:r>
        <w:t>。</w:t>
      </w:r>
    </w:p>
    <w:p w14:paraId="5C42728B" w14:textId="77777777" w:rsidR="003E78AB" w:rsidRDefault="003E78AB">
      <w:pPr>
        <w:ind w:firstLine="480"/>
        <w:textAlignment w:val="baseline"/>
        <w:sectPr w:rsidR="003E78AB">
          <w:pgSz w:w="11906" w:h="16838"/>
          <w:pgMar w:top="1440" w:right="1803" w:bottom="1440" w:left="1803" w:header="851" w:footer="992" w:gutter="0"/>
          <w:cols w:space="720"/>
          <w:docGrid w:linePitch="312"/>
        </w:sectPr>
      </w:pPr>
    </w:p>
    <w:p w14:paraId="7C313900" w14:textId="77777777" w:rsidR="003E78AB" w:rsidRDefault="00010BF9">
      <w:pPr>
        <w:pStyle w:val="a5"/>
        <w:numPr>
          <w:ilvl w:val="0"/>
          <w:numId w:val="0"/>
        </w:numPr>
      </w:pPr>
      <w:r>
        <w:t>表</w:t>
      </w:r>
      <w:r>
        <w:rPr>
          <w:rFonts w:hint="eastAsia"/>
        </w:rPr>
        <w:t xml:space="preserve">9-4  </w:t>
      </w:r>
      <w:r>
        <w:t>工程建成后污染物排放清单</w:t>
      </w:r>
    </w:p>
    <w:tbl>
      <w:tblPr>
        <w:tblW w:w="1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1044"/>
        <w:gridCol w:w="1367"/>
        <w:gridCol w:w="708"/>
        <w:gridCol w:w="2268"/>
        <w:gridCol w:w="1134"/>
        <w:gridCol w:w="1185"/>
        <w:gridCol w:w="496"/>
        <w:gridCol w:w="447"/>
        <w:gridCol w:w="872"/>
        <w:gridCol w:w="725"/>
        <w:gridCol w:w="2229"/>
        <w:gridCol w:w="704"/>
      </w:tblGrid>
      <w:tr w:rsidR="003E78AB" w14:paraId="2C8F85E9" w14:textId="77777777">
        <w:trPr>
          <w:trHeight w:val="340"/>
          <w:tblHeader/>
          <w:jc w:val="center"/>
        </w:trPr>
        <w:tc>
          <w:tcPr>
            <w:tcW w:w="709" w:type="dxa"/>
            <w:vMerge w:val="restart"/>
            <w:vAlign w:val="center"/>
          </w:tcPr>
          <w:p w14:paraId="0764B488" w14:textId="77777777" w:rsidR="003E78AB" w:rsidRDefault="00010BF9">
            <w:pPr>
              <w:spacing w:line="360" w:lineRule="exact"/>
              <w:ind w:firstLineChars="0" w:firstLine="0"/>
              <w:jc w:val="center"/>
              <w:rPr>
                <w:b/>
                <w:bCs/>
                <w:snapToGrid w:val="0"/>
                <w:sz w:val="21"/>
                <w:szCs w:val="21"/>
              </w:rPr>
            </w:pPr>
            <w:r>
              <w:rPr>
                <w:b/>
                <w:bCs/>
                <w:snapToGrid w:val="0"/>
                <w:sz w:val="21"/>
                <w:szCs w:val="21"/>
              </w:rPr>
              <w:t>污染物类型</w:t>
            </w:r>
          </w:p>
        </w:tc>
        <w:tc>
          <w:tcPr>
            <w:tcW w:w="709" w:type="dxa"/>
            <w:vMerge w:val="restart"/>
            <w:vAlign w:val="center"/>
          </w:tcPr>
          <w:p w14:paraId="3D6E7EE0" w14:textId="77777777" w:rsidR="003E78AB" w:rsidRDefault="00010BF9">
            <w:pPr>
              <w:spacing w:line="360" w:lineRule="exact"/>
              <w:ind w:firstLineChars="0" w:firstLine="0"/>
              <w:jc w:val="center"/>
              <w:rPr>
                <w:b/>
                <w:bCs/>
                <w:snapToGrid w:val="0"/>
                <w:sz w:val="21"/>
                <w:szCs w:val="21"/>
              </w:rPr>
            </w:pPr>
            <w:r>
              <w:rPr>
                <w:b/>
                <w:bCs/>
                <w:snapToGrid w:val="0"/>
                <w:sz w:val="21"/>
                <w:szCs w:val="21"/>
              </w:rPr>
              <w:t>工程组成</w:t>
            </w:r>
          </w:p>
        </w:tc>
        <w:tc>
          <w:tcPr>
            <w:tcW w:w="1044" w:type="dxa"/>
            <w:vMerge w:val="restart"/>
            <w:vAlign w:val="center"/>
          </w:tcPr>
          <w:p w14:paraId="53063D6D" w14:textId="77777777" w:rsidR="003E78AB" w:rsidRDefault="00010BF9">
            <w:pPr>
              <w:spacing w:line="360" w:lineRule="exact"/>
              <w:ind w:firstLineChars="0" w:firstLine="0"/>
              <w:jc w:val="center"/>
              <w:rPr>
                <w:b/>
                <w:bCs/>
                <w:snapToGrid w:val="0"/>
                <w:sz w:val="21"/>
                <w:szCs w:val="21"/>
              </w:rPr>
            </w:pPr>
            <w:r>
              <w:rPr>
                <w:b/>
                <w:bCs/>
                <w:snapToGrid w:val="0"/>
                <w:sz w:val="21"/>
                <w:szCs w:val="21"/>
              </w:rPr>
              <w:t>产污</w:t>
            </w:r>
          </w:p>
          <w:p w14:paraId="316F6793" w14:textId="77777777" w:rsidR="003E78AB" w:rsidRDefault="00010BF9">
            <w:pPr>
              <w:spacing w:line="360" w:lineRule="exact"/>
              <w:ind w:firstLineChars="0" w:firstLine="0"/>
              <w:jc w:val="center"/>
              <w:rPr>
                <w:b/>
                <w:bCs/>
                <w:snapToGrid w:val="0"/>
                <w:sz w:val="21"/>
                <w:szCs w:val="21"/>
              </w:rPr>
            </w:pPr>
            <w:r>
              <w:rPr>
                <w:b/>
                <w:bCs/>
                <w:snapToGrid w:val="0"/>
                <w:sz w:val="21"/>
                <w:szCs w:val="21"/>
              </w:rPr>
              <w:t>环节</w:t>
            </w:r>
          </w:p>
        </w:tc>
        <w:tc>
          <w:tcPr>
            <w:tcW w:w="1367" w:type="dxa"/>
            <w:vMerge w:val="restart"/>
            <w:vAlign w:val="center"/>
          </w:tcPr>
          <w:p w14:paraId="19E5383D" w14:textId="77777777" w:rsidR="003E78AB" w:rsidRDefault="00010BF9">
            <w:pPr>
              <w:spacing w:line="360" w:lineRule="exact"/>
              <w:ind w:firstLineChars="0" w:firstLine="0"/>
              <w:jc w:val="center"/>
              <w:rPr>
                <w:b/>
                <w:bCs/>
                <w:snapToGrid w:val="0"/>
                <w:sz w:val="21"/>
                <w:szCs w:val="21"/>
              </w:rPr>
            </w:pPr>
            <w:r>
              <w:rPr>
                <w:b/>
                <w:bCs/>
                <w:snapToGrid w:val="0"/>
                <w:sz w:val="21"/>
                <w:szCs w:val="21"/>
              </w:rPr>
              <w:t>污染物类型</w:t>
            </w:r>
          </w:p>
        </w:tc>
        <w:tc>
          <w:tcPr>
            <w:tcW w:w="708" w:type="dxa"/>
            <w:vMerge w:val="restart"/>
            <w:vAlign w:val="center"/>
          </w:tcPr>
          <w:p w14:paraId="09AB3ABB" w14:textId="77777777" w:rsidR="003E78AB" w:rsidRDefault="00010BF9">
            <w:pPr>
              <w:spacing w:line="360" w:lineRule="exact"/>
              <w:ind w:firstLineChars="0" w:firstLine="0"/>
              <w:jc w:val="center"/>
              <w:rPr>
                <w:b/>
                <w:bCs/>
                <w:snapToGrid w:val="0"/>
                <w:sz w:val="21"/>
                <w:szCs w:val="21"/>
              </w:rPr>
            </w:pPr>
            <w:r>
              <w:rPr>
                <w:b/>
                <w:bCs/>
                <w:snapToGrid w:val="0"/>
                <w:sz w:val="21"/>
                <w:szCs w:val="21"/>
              </w:rPr>
              <w:t>排放形式</w:t>
            </w:r>
          </w:p>
        </w:tc>
        <w:tc>
          <w:tcPr>
            <w:tcW w:w="2268" w:type="dxa"/>
            <w:vMerge w:val="restart"/>
            <w:vAlign w:val="center"/>
          </w:tcPr>
          <w:p w14:paraId="08F8BEC0" w14:textId="77777777" w:rsidR="003E78AB" w:rsidRDefault="00010BF9">
            <w:pPr>
              <w:spacing w:line="360" w:lineRule="exact"/>
              <w:ind w:firstLineChars="0" w:firstLine="0"/>
              <w:jc w:val="center"/>
              <w:rPr>
                <w:b/>
                <w:bCs/>
                <w:snapToGrid w:val="0"/>
                <w:sz w:val="21"/>
                <w:szCs w:val="21"/>
              </w:rPr>
            </w:pPr>
            <w:r>
              <w:rPr>
                <w:b/>
                <w:bCs/>
                <w:snapToGrid w:val="0"/>
                <w:sz w:val="21"/>
                <w:szCs w:val="21"/>
              </w:rPr>
              <w:t>拟采取的环境保护措施</w:t>
            </w:r>
          </w:p>
        </w:tc>
        <w:tc>
          <w:tcPr>
            <w:tcW w:w="1134" w:type="dxa"/>
            <w:vMerge w:val="restart"/>
            <w:vAlign w:val="center"/>
          </w:tcPr>
          <w:p w14:paraId="49BA82AC" w14:textId="77777777" w:rsidR="003E78AB" w:rsidRDefault="00010BF9">
            <w:pPr>
              <w:spacing w:line="360" w:lineRule="exact"/>
              <w:ind w:firstLineChars="0" w:firstLine="0"/>
              <w:jc w:val="center"/>
              <w:rPr>
                <w:b/>
                <w:bCs/>
                <w:snapToGrid w:val="0"/>
                <w:sz w:val="21"/>
                <w:szCs w:val="21"/>
              </w:rPr>
            </w:pPr>
            <w:r>
              <w:rPr>
                <w:b/>
                <w:bCs/>
                <w:snapToGrid w:val="0"/>
                <w:sz w:val="21"/>
                <w:szCs w:val="21"/>
              </w:rPr>
              <w:t>排放浓度</w:t>
            </w:r>
          </w:p>
          <w:p w14:paraId="1333DFCC" w14:textId="77777777" w:rsidR="003E78AB" w:rsidRDefault="00010BF9">
            <w:pPr>
              <w:spacing w:line="360" w:lineRule="exact"/>
              <w:ind w:firstLineChars="0" w:firstLine="0"/>
              <w:jc w:val="center"/>
              <w:rPr>
                <w:b/>
                <w:bCs/>
                <w:snapToGrid w:val="0"/>
                <w:sz w:val="21"/>
                <w:szCs w:val="21"/>
                <w:vertAlign w:val="superscript"/>
              </w:rPr>
            </w:pPr>
            <w:r>
              <w:rPr>
                <w:rFonts w:hint="eastAsia"/>
                <w:b/>
                <w:bCs/>
                <w:snapToGrid w:val="0"/>
                <w:sz w:val="21"/>
                <w:szCs w:val="21"/>
              </w:rPr>
              <w:t>（</w:t>
            </w:r>
            <w:r>
              <w:rPr>
                <w:b/>
                <w:bCs/>
                <w:snapToGrid w:val="0"/>
                <w:sz w:val="21"/>
                <w:szCs w:val="21"/>
              </w:rPr>
              <w:t>mg/m</w:t>
            </w:r>
            <w:r>
              <w:rPr>
                <w:b/>
                <w:bCs/>
                <w:snapToGrid w:val="0"/>
                <w:sz w:val="21"/>
                <w:szCs w:val="21"/>
                <w:vertAlign w:val="superscript"/>
              </w:rPr>
              <w:t>3</w:t>
            </w:r>
          </w:p>
          <w:p w14:paraId="481D4A62" w14:textId="77777777" w:rsidR="003E78AB" w:rsidRDefault="00010BF9">
            <w:pPr>
              <w:spacing w:line="360" w:lineRule="exact"/>
              <w:ind w:firstLineChars="0" w:firstLine="0"/>
              <w:jc w:val="center"/>
              <w:rPr>
                <w:b/>
                <w:bCs/>
                <w:snapToGrid w:val="0"/>
                <w:sz w:val="21"/>
                <w:szCs w:val="21"/>
              </w:rPr>
            </w:pPr>
            <w:r>
              <w:rPr>
                <w:b/>
                <w:bCs/>
                <w:snapToGrid w:val="0"/>
                <w:sz w:val="21"/>
                <w:szCs w:val="21"/>
              </w:rPr>
              <w:t>mg/L</w:t>
            </w:r>
            <w:r>
              <w:rPr>
                <w:rFonts w:hint="eastAsia"/>
                <w:b/>
                <w:bCs/>
                <w:snapToGrid w:val="0"/>
                <w:sz w:val="21"/>
                <w:szCs w:val="21"/>
              </w:rPr>
              <w:t>）</w:t>
            </w:r>
          </w:p>
        </w:tc>
        <w:tc>
          <w:tcPr>
            <w:tcW w:w="1185" w:type="dxa"/>
            <w:vMerge w:val="restart"/>
            <w:vAlign w:val="center"/>
          </w:tcPr>
          <w:p w14:paraId="26BB7110" w14:textId="77777777" w:rsidR="003E78AB" w:rsidRDefault="00010BF9">
            <w:pPr>
              <w:spacing w:line="360" w:lineRule="exact"/>
              <w:ind w:firstLineChars="0" w:firstLine="0"/>
              <w:jc w:val="center"/>
              <w:rPr>
                <w:b/>
                <w:bCs/>
                <w:snapToGrid w:val="0"/>
                <w:sz w:val="21"/>
                <w:szCs w:val="21"/>
              </w:rPr>
            </w:pPr>
            <w:r>
              <w:rPr>
                <w:b/>
                <w:bCs/>
                <w:snapToGrid w:val="0"/>
                <w:sz w:val="21"/>
                <w:szCs w:val="21"/>
              </w:rPr>
              <w:t>排放量</w:t>
            </w:r>
          </w:p>
          <w:p w14:paraId="7FED3605" w14:textId="77777777" w:rsidR="003E78AB" w:rsidRDefault="00010BF9">
            <w:pPr>
              <w:spacing w:line="360" w:lineRule="exact"/>
              <w:ind w:firstLineChars="0" w:firstLine="0"/>
              <w:jc w:val="center"/>
              <w:rPr>
                <w:b/>
                <w:bCs/>
                <w:snapToGrid w:val="0"/>
                <w:sz w:val="21"/>
                <w:szCs w:val="21"/>
              </w:rPr>
            </w:pPr>
            <w:r>
              <w:rPr>
                <w:b/>
                <w:bCs/>
                <w:snapToGrid w:val="0"/>
                <w:sz w:val="21"/>
                <w:szCs w:val="21"/>
              </w:rPr>
              <w:t>（</w:t>
            </w:r>
            <w:r>
              <w:rPr>
                <w:b/>
                <w:bCs/>
                <w:snapToGrid w:val="0"/>
                <w:sz w:val="21"/>
                <w:szCs w:val="21"/>
              </w:rPr>
              <w:t>t/a</w:t>
            </w:r>
            <w:r>
              <w:rPr>
                <w:rFonts w:hint="eastAsia"/>
                <w:b/>
                <w:bCs/>
                <w:snapToGrid w:val="0"/>
                <w:sz w:val="21"/>
                <w:szCs w:val="21"/>
              </w:rPr>
              <w:t>，固废为产生量</w:t>
            </w:r>
            <w:r>
              <w:rPr>
                <w:b/>
                <w:bCs/>
                <w:snapToGrid w:val="0"/>
                <w:sz w:val="21"/>
                <w:szCs w:val="21"/>
              </w:rPr>
              <w:t>）</w:t>
            </w:r>
          </w:p>
        </w:tc>
        <w:tc>
          <w:tcPr>
            <w:tcW w:w="943" w:type="dxa"/>
            <w:gridSpan w:val="2"/>
            <w:vMerge w:val="restart"/>
            <w:vAlign w:val="center"/>
          </w:tcPr>
          <w:p w14:paraId="4A3E5B65" w14:textId="77777777" w:rsidR="003E78AB" w:rsidRDefault="00010BF9">
            <w:pPr>
              <w:spacing w:line="360" w:lineRule="exact"/>
              <w:ind w:firstLineChars="0" w:firstLine="0"/>
              <w:jc w:val="center"/>
              <w:rPr>
                <w:b/>
                <w:bCs/>
                <w:snapToGrid w:val="0"/>
                <w:sz w:val="21"/>
                <w:szCs w:val="21"/>
              </w:rPr>
            </w:pPr>
            <w:r>
              <w:rPr>
                <w:b/>
                <w:bCs/>
                <w:snapToGrid w:val="0"/>
                <w:sz w:val="21"/>
                <w:szCs w:val="21"/>
              </w:rPr>
              <w:t>总量指标</w:t>
            </w:r>
          </w:p>
          <w:p w14:paraId="55451C04" w14:textId="77777777" w:rsidR="003E78AB" w:rsidRDefault="00010BF9">
            <w:pPr>
              <w:spacing w:line="360" w:lineRule="exact"/>
              <w:ind w:firstLineChars="0" w:firstLine="0"/>
              <w:jc w:val="center"/>
              <w:rPr>
                <w:b/>
                <w:bCs/>
                <w:snapToGrid w:val="0"/>
                <w:sz w:val="21"/>
                <w:szCs w:val="21"/>
              </w:rPr>
            </w:pPr>
            <w:r>
              <w:rPr>
                <w:b/>
                <w:bCs/>
                <w:snapToGrid w:val="0"/>
                <w:sz w:val="21"/>
                <w:szCs w:val="21"/>
              </w:rPr>
              <w:t>（</w:t>
            </w:r>
            <w:r>
              <w:rPr>
                <w:b/>
                <w:bCs/>
                <w:snapToGrid w:val="0"/>
                <w:sz w:val="21"/>
                <w:szCs w:val="21"/>
              </w:rPr>
              <w:t>t/a</w:t>
            </w:r>
            <w:r>
              <w:rPr>
                <w:b/>
                <w:bCs/>
                <w:snapToGrid w:val="0"/>
                <w:sz w:val="21"/>
                <w:szCs w:val="21"/>
              </w:rPr>
              <w:t>）</w:t>
            </w:r>
          </w:p>
        </w:tc>
        <w:tc>
          <w:tcPr>
            <w:tcW w:w="1597" w:type="dxa"/>
            <w:gridSpan w:val="2"/>
            <w:vAlign w:val="center"/>
          </w:tcPr>
          <w:p w14:paraId="575095A0" w14:textId="77777777" w:rsidR="003E78AB" w:rsidRDefault="00010BF9">
            <w:pPr>
              <w:spacing w:line="360" w:lineRule="exact"/>
              <w:ind w:firstLineChars="0" w:firstLine="0"/>
              <w:jc w:val="center"/>
              <w:rPr>
                <w:b/>
                <w:bCs/>
                <w:snapToGrid w:val="0"/>
                <w:sz w:val="21"/>
                <w:szCs w:val="21"/>
              </w:rPr>
            </w:pPr>
            <w:r>
              <w:rPr>
                <w:b/>
                <w:bCs/>
                <w:snapToGrid w:val="0"/>
                <w:sz w:val="21"/>
                <w:szCs w:val="21"/>
              </w:rPr>
              <w:t>排放标准</w:t>
            </w:r>
          </w:p>
        </w:tc>
        <w:tc>
          <w:tcPr>
            <w:tcW w:w="2229" w:type="dxa"/>
            <w:vMerge w:val="restart"/>
            <w:vAlign w:val="center"/>
          </w:tcPr>
          <w:p w14:paraId="4989029A" w14:textId="77777777" w:rsidR="003E78AB" w:rsidRDefault="00010BF9">
            <w:pPr>
              <w:spacing w:line="360" w:lineRule="exact"/>
              <w:ind w:firstLineChars="0" w:firstLine="0"/>
              <w:jc w:val="center"/>
              <w:rPr>
                <w:b/>
                <w:bCs/>
                <w:snapToGrid w:val="0"/>
                <w:sz w:val="21"/>
                <w:szCs w:val="21"/>
              </w:rPr>
            </w:pPr>
            <w:r>
              <w:rPr>
                <w:b/>
                <w:bCs/>
                <w:snapToGrid w:val="0"/>
                <w:sz w:val="21"/>
                <w:szCs w:val="21"/>
              </w:rPr>
              <w:t>执行标准</w:t>
            </w:r>
          </w:p>
        </w:tc>
        <w:tc>
          <w:tcPr>
            <w:tcW w:w="704" w:type="dxa"/>
            <w:vMerge w:val="restart"/>
            <w:vAlign w:val="center"/>
          </w:tcPr>
          <w:p w14:paraId="2835A1DE" w14:textId="77777777" w:rsidR="003E78AB" w:rsidRDefault="00010BF9">
            <w:pPr>
              <w:spacing w:line="360" w:lineRule="exact"/>
              <w:ind w:firstLineChars="0" w:firstLine="0"/>
              <w:jc w:val="center"/>
              <w:rPr>
                <w:b/>
                <w:bCs/>
                <w:snapToGrid w:val="0"/>
                <w:sz w:val="21"/>
                <w:szCs w:val="21"/>
              </w:rPr>
            </w:pPr>
            <w:r>
              <w:rPr>
                <w:b/>
                <w:bCs/>
                <w:snapToGrid w:val="0"/>
                <w:sz w:val="21"/>
                <w:szCs w:val="21"/>
              </w:rPr>
              <w:t>环境风险防范措施</w:t>
            </w:r>
          </w:p>
        </w:tc>
      </w:tr>
      <w:tr w:rsidR="003E78AB" w14:paraId="2C0D4E4B" w14:textId="77777777">
        <w:trPr>
          <w:trHeight w:val="340"/>
          <w:tblHeader/>
          <w:jc w:val="center"/>
        </w:trPr>
        <w:tc>
          <w:tcPr>
            <w:tcW w:w="709" w:type="dxa"/>
            <w:vMerge/>
            <w:vAlign w:val="center"/>
          </w:tcPr>
          <w:p w14:paraId="19110155" w14:textId="77777777" w:rsidR="003E78AB" w:rsidRDefault="003E78AB">
            <w:pPr>
              <w:spacing w:line="360" w:lineRule="exact"/>
              <w:ind w:firstLineChars="0" w:firstLine="0"/>
              <w:jc w:val="center"/>
              <w:rPr>
                <w:sz w:val="21"/>
                <w:szCs w:val="21"/>
              </w:rPr>
            </w:pPr>
          </w:p>
        </w:tc>
        <w:tc>
          <w:tcPr>
            <w:tcW w:w="709" w:type="dxa"/>
            <w:vMerge/>
            <w:vAlign w:val="center"/>
          </w:tcPr>
          <w:p w14:paraId="3C6CCA82" w14:textId="77777777" w:rsidR="003E78AB" w:rsidRDefault="003E78AB">
            <w:pPr>
              <w:spacing w:line="360" w:lineRule="exact"/>
              <w:ind w:firstLineChars="0" w:firstLine="0"/>
              <w:jc w:val="center"/>
              <w:rPr>
                <w:sz w:val="21"/>
                <w:szCs w:val="21"/>
              </w:rPr>
            </w:pPr>
          </w:p>
        </w:tc>
        <w:tc>
          <w:tcPr>
            <w:tcW w:w="1044" w:type="dxa"/>
            <w:vMerge/>
            <w:vAlign w:val="center"/>
          </w:tcPr>
          <w:p w14:paraId="34A1B2A5" w14:textId="77777777" w:rsidR="003E78AB" w:rsidRDefault="003E78AB">
            <w:pPr>
              <w:spacing w:line="360" w:lineRule="exact"/>
              <w:ind w:firstLineChars="0" w:firstLine="0"/>
              <w:jc w:val="center"/>
              <w:rPr>
                <w:sz w:val="21"/>
                <w:szCs w:val="21"/>
              </w:rPr>
            </w:pPr>
          </w:p>
        </w:tc>
        <w:tc>
          <w:tcPr>
            <w:tcW w:w="1367" w:type="dxa"/>
            <w:vMerge/>
            <w:vAlign w:val="center"/>
          </w:tcPr>
          <w:p w14:paraId="3A4F407B" w14:textId="77777777" w:rsidR="003E78AB" w:rsidRDefault="003E78AB">
            <w:pPr>
              <w:spacing w:line="360" w:lineRule="exact"/>
              <w:ind w:firstLineChars="0" w:firstLine="0"/>
              <w:jc w:val="center"/>
              <w:rPr>
                <w:sz w:val="21"/>
                <w:szCs w:val="21"/>
              </w:rPr>
            </w:pPr>
          </w:p>
        </w:tc>
        <w:tc>
          <w:tcPr>
            <w:tcW w:w="708" w:type="dxa"/>
            <w:vMerge/>
            <w:vAlign w:val="center"/>
          </w:tcPr>
          <w:p w14:paraId="0D696EAD" w14:textId="77777777" w:rsidR="003E78AB" w:rsidRDefault="003E78AB">
            <w:pPr>
              <w:spacing w:line="360" w:lineRule="exact"/>
              <w:ind w:firstLineChars="0" w:firstLine="0"/>
              <w:jc w:val="center"/>
              <w:rPr>
                <w:sz w:val="21"/>
                <w:szCs w:val="21"/>
              </w:rPr>
            </w:pPr>
          </w:p>
        </w:tc>
        <w:tc>
          <w:tcPr>
            <w:tcW w:w="2268" w:type="dxa"/>
            <w:vMerge/>
            <w:vAlign w:val="center"/>
          </w:tcPr>
          <w:p w14:paraId="20C79AF9" w14:textId="77777777" w:rsidR="003E78AB" w:rsidRDefault="003E78AB">
            <w:pPr>
              <w:spacing w:line="360" w:lineRule="exact"/>
              <w:ind w:firstLineChars="0" w:firstLine="0"/>
              <w:jc w:val="center"/>
              <w:rPr>
                <w:sz w:val="21"/>
                <w:szCs w:val="21"/>
              </w:rPr>
            </w:pPr>
          </w:p>
        </w:tc>
        <w:tc>
          <w:tcPr>
            <w:tcW w:w="1134" w:type="dxa"/>
            <w:vMerge/>
            <w:vAlign w:val="center"/>
          </w:tcPr>
          <w:p w14:paraId="2490F7CF" w14:textId="77777777" w:rsidR="003E78AB" w:rsidRDefault="003E78AB">
            <w:pPr>
              <w:spacing w:line="360" w:lineRule="exact"/>
              <w:ind w:firstLineChars="0" w:firstLine="0"/>
              <w:jc w:val="center"/>
              <w:rPr>
                <w:sz w:val="21"/>
                <w:szCs w:val="21"/>
              </w:rPr>
            </w:pPr>
          </w:p>
        </w:tc>
        <w:tc>
          <w:tcPr>
            <w:tcW w:w="1185" w:type="dxa"/>
            <w:vMerge/>
            <w:vAlign w:val="center"/>
          </w:tcPr>
          <w:p w14:paraId="687F8043" w14:textId="77777777" w:rsidR="003E78AB" w:rsidRDefault="003E78AB">
            <w:pPr>
              <w:spacing w:line="360" w:lineRule="exact"/>
              <w:ind w:firstLineChars="0" w:firstLine="0"/>
              <w:jc w:val="center"/>
              <w:rPr>
                <w:sz w:val="21"/>
                <w:szCs w:val="21"/>
              </w:rPr>
            </w:pPr>
          </w:p>
        </w:tc>
        <w:tc>
          <w:tcPr>
            <w:tcW w:w="943" w:type="dxa"/>
            <w:gridSpan w:val="2"/>
            <w:vMerge/>
            <w:vAlign w:val="center"/>
          </w:tcPr>
          <w:p w14:paraId="7E686FCA" w14:textId="77777777" w:rsidR="003E78AB" w:rsidRDefault="003E78AB">
            <w:pPr>
              <w:spacing w:line="360" w:lineRule="exact"/>
              <w:ind w:firstLineChars="0" w:firstLine="0"/>
              <w:jc w:val="center"/>
              <w:rPr>
                <w:sz w:val="21"/>
                <w:szCs w:val="21"/>
              </w:rPr>
            </w:pPr>
          </w:p>
        </w:tc>
        <w:tc>
          <w:tcPr>
            <w:tcW w:w="1597" w:type="dxa"/>
            <w:gridSpan w:val="2"/>
            <w:vAlign w:val="center"/>
          </w:tcPr>
          <w:p w14:paraId="07959657" w14:textId="77777777" w:rsidR="003E78AB" w:rsidRDefault="00010BF9">
            <w:pPr>
              <w:spacing w:line="360" w:lineRule="exact"/>
              <w:ind w:firstLineChars="0" w:firstLine="0"/>
              <w:jc w:val="center"/>
              <w:rPr>
                <w:b/>
                <w:bCs/>
                <w:snapToGrid w:val="0"/>
                <w:sz w:val="21"/>
                <w:szCs w:val="21"/>
                <w:vertAlign w:val="superscript"/>
              </w:rPr>
            </w:pPr>
            <w:r>
              <w:rPr>
                <w:b/>
                <w:bCs/>
                <w:snapToGrid w:val="0"/>
                <w:sz w:val="21"/>
                <w:szCs w:val="21"/>
              </w:rPr>
              <w:t>排放浓度</w:t>
            </w:r>
            <w:r>
              <w:rPr>
                <w:b/>
                <w:bCs/>
                <w:snapToGrid w:val="0"/>
                <w:sz w:val="21"/>
                <w:szCs w:val="21"/>
              </w:rPr>
              <w:t>mg/m</w:t>
            </w:r>
            <w:r>
              <w:rPr>
                <w:b/>
                <w:bCs/>
                <w:snapToGrid w:val="0"/>
                <w:sz w:val="21"/>
                <w:szCs w:val="21"/>
                <w:vertAlign w:val="superscript"/>
              </w:rPr>
              <w:t>3</w:t>
            </w:r>
          </w:p>
          <w:p w14:paraId="10B5481F" w14:textId="77777777" w:rsidR="003E78AB" w:rsidRDefault="00010BF9">
            <w:pPr>
              <w:spacing w:line="360" w:lineRule="exact"/>
              <w:ind w:firstLineChars="0" w:firstLine="0"/>
              <w:jc w:val="center"/>
              <w:rPr>
                <w:b/>
                <w:bCs/>
                <w:snapToGrid w:val="0"/>
                <w:sz w:val="21"/>
                <w:szCs w:val="21"/>
              </w:rPr>
            </w:pPr>
            <w:r>
              <w:rPr>
                <w:b/>
                <w:bCs/>
                <w:snapToGrid w:val="0"/>
                <w:sz w:val="21"/>
                <w:szCs w:val="21"/>
              </w:rPr>
              <w:t>mg/L</w:t>
            </w:r>
          </w:p>
        </w:tc>
        <w:tc>
          <w:tcPr>
            <w:tcW w:w="2229" w:type="dxa"/>
            <w:vMerge/>
            <w:vAlign w:val="center"/>
          </w:tcPr>
          <w:p w14:paraId="159C8FCD" w14:textId="77777777" w:rsidR="003E78AB" w:rsidRDefault="003E78AB">
            <w:pPr>
              <w:spacing w:line="360" w:lineRule="exact"/>
              <w:ind w:firstLineChars="0" w:firstLine="0"/>
              <w:jc w:val="center"/>
              <w:rPr>
                <w:b/>
                <w:bCs/>
                <w:sz w:val="21"/>
                <w:szCs w:val="21"/>
              </w:rPr>
            </w:pPr>
          </w:p>
        </w:tc>
        <w:tc>
          <w:tcPr>
            <w:tcW w:w="704" w:type="dxa"/>
            <w:vMerge/>
            <w:vAlign w:val="center"/>
          </w:tcPr>
          <w:p w14:paraId="32456A57" w14:textId="77777777" w:rsidR="003E78AB" w:rsidRDefault="003E78AB">
            <w:pPr>
              <w:spacing w:line="360" w:lineRule="exact"/>
              <w:ind w:firstLineChars="0" w:firstLine="0"/>
              <w:jc w:val="center"/>
              <w:rPr>
                <w:b/>
                <w:bCs/>
                <w:sz w:val="21"/>
                <w:szCs w:val="21"/>
              </w:rPr>
            </w:pPr>
          </w:p>
        </w:tc>
      </w:tr>
      <w:tr w:rsidR="003E78AB" w14:paraId="5C9C4AF7" w14:textId="77777777">
        <w:trPr>
          <w:trHeight w:val="340"/>
          <w:jc w:val="center"/>
        </w:trPr>
        <w:tc>
          <w:tcPr>
            <w:tcW w:w="709" w:type="dxa"/>
            <w:vMerge w:val="restart"/>
            <w:vAlign w:val="center"/>
          </w:tcPr>
          <w:p w14:paraId="1581600D" w14:textId="77777777" w:rsidR="003E78AB" w:rsidRDefault="00010BF9">
            <w:pPr>
              <w:spacing w:line="360" w:lineRule="exact"/>
              <w:ind w:firstLineChars="0" w:firstLine="0"/>
              <w:jc w:val="center"/>
              <w:rPr>
                <w:snapToGrid w:val="0"/>
                <w:sz w:val="21"/>
                <w:szCs w:val="21"/>
              </w:rPr>
            </w:pPr>
            <w:r>
              <w:rPr>
                <w:snapToGrid w:val="0"/>
                <w:sz w:val="21"/>
                <w:szCs w:val="21"/>
              </w:rPr>
              <w:t>大气污染物</w:t>
            </w:r>
          </w:p>
        </w:tc>
        <w:tc>
          <w:tcPr>
            <w:tcW w:w="709" w:type="dxa"/>
            <w:vMerge w:val="restart"/>
            <w:vAlign w:val="center"/>
          </w:tcPr>
          <w:p w14:paraId="1F4E8D2B" w14:textId="77777777" w:rsidR="003E78AB" w:rsidRDefault="00010BF9">
            <w:pPr>
              <w:spacing w:line="360" w:lineRule="exact"/>
              <w:ind w:firstLineChars="0" w:firstLine="0"/>
              <w:jc w:val="center"/>
              <w:rPr>
                <w:snapToGrid w:val="0"/>
                <w:sz w:val="21"/>
                <w:szCs w:val="21"/>
              </w:rPr>
            </w:pPr>
            <w:r>
              <w:rPr>
                <w:snapToGrid w:val="0"/>
                <w:sz w:val="21"/>
                <w:szCs w:val="21"/>
              </w:rPr>
              <w:t>主体工程</w:t>
            </w:r>
          </w:p>
        </w:tc>
        <w:tc>
          <w:tcPr>
            <w:tcW w:w="1044" w:type="dxa"/>
            <w:vAlign w:val="center"/>
          </w:tcPr>
          <w:p w14:paraId="238A782D" w14:textId="77777777" w:rsidR="003E78AB" w:rsidRDefault="00010BF9">
            <w:pPr>
              <w:spacing w:line="360" w:lineRule="exact"/>
              <w:ind w:firstLineChars="0" w:firstLine="0"/>
              <w:jc w:val="center"/>
              <w:rPr>
                <w:snapToGrid w:val="0"/>
                <w:sz w:val="21"/>
                <w:szCs w:val="21"/>
              </w:rPr>
            </w:pPr>
            <w:r>
              <w:rPr>
                <w:rFonts w:hint="eastAsia"/>
                <w:snapToGrid w:val="0"/>
                <w:sz w:val="21"/>
                <w:szCs w:val="21"/>
              </w:rPr>
              <w:t>V</w:t>
            </w:r>
            <w:r>
              <w:rPr>
                <w:rFonts w:hint="eastAsia"/>
                <w:snapToGrid w:val="0"/>
                <w:sz w:val="21"/>
                <w:szCs w:val="21"/>
                <w:vertAlign w:val="subscript"/>
              </w:rPr>
              <w:t>2</w:t>
            </w:r>
            <w:r>
              <w:rPr>
                <w:rFonts w:hint="eastAsia"/>
                <w:snapToGrid w:val="0"/>
                <w:sz w:val="21"/>
                <w:szCs w:val="21"/>
              </w:rPr>
              <w:t>O</w:t>
            </w:r>
            <w:r>
              <w:rPr>
                <w:rFonts w:hint="eastAsia"/>
                <w:snapToGrid w:val="0"/>
                <w:sz w:val="21"/>
                <w:szCs w:val="21"/>
                <w:vertAlign w:val="subscript"/>
              </w:rPr>
              <w:t>5</w:t>
            </w:r>
            <w:r>
              <w:rPr>
                <w:rFonts w:hint="eastAsia"/>
                <w:snapToGrid w:val="0"/>
                <w:sz w:val="21"/>
                <w:szCs w:val="21"/>
              </w:rPr>
              <w:t>拆包投料</w:t>
            </w:r>
          </w:p>
        </w:tc>
        <w:tc>
          <w:tcPr>
            <w:tcW w:w="1367" w:type="dxa"/>
            <w:vAlign w:val="center"/>
          </w:tcPr>
          <w:p w14:paraId="123109C0" w14:textId="77777777" w:rsidR="003E78AB" w:rsidRDefault="00010BF9">
            <w:pPr>
              <w:spacing w:line="360" w:lineRule="exact"/>
              <w:ind w:firstLineChars="0" w:firstLine="0"/>
              <w:jc w:val="center"/>
              <w:textAlignment w:val="center"/>
              <w:rPr>
                <w:sz w:val="21"/>
                <w:szCs w:val="21"/>
              </w:rPr>
            </w:pPr>
            <w:r>
              <w:rPr>
                <w:sz w:val="21"/>
                <w:szCs w:val="21"/>
                <w:lang w:bidi="ar"/>
              </w:rPr>
              <w:t>颗粒物</w:t>
            </w:r>
          </w:p>
        </w:tc>
        <w:tc>
          <w:tcPr>
            <w:tcW w:w="708" w:type="dxa"/>
            <w:vAlign w:val="center"/>
          </w:tcPr>
          <w:p w14:paraId="7E4FD573" w14:textId="77777777" w:rsidR="003E78AB" w:rsidRDefault="00010BF9">
            <w:pPr>
              <w:spacing w:line="360" w:lineRule="exact"/>
              <w:ind w:firstLineChars="0" w:firstLine="0"/>
              <w:jc w:val="center"/>
              <w:rPr>
                <w:snapToGrid w:val="0"/>
                <w:sz w:val="21"/>
                <w:szCs w:val="21"/>
              </w:rPr>
            </w:pPr>
            <w:r>
              <w:rPr>
                <w:snapToGrid w:val="0"/>
                <w:sz w:val="21"/>
                <w:szCs w:val="21"/>
              </w:rPr>
              <w:t>有组织</w:t>
            </w:r>
          </w:p>
        </w:tc>
        <w:tc>
          <w:tcPr>
            <w:tcW w:w="2268" w:type="dxa"/>
            <w:vAlign w:val="center"/>
          </w:tcPr>
          <w:p w14:paraId="57BCA0A6" w14:textId="77777777" w:rsidR="003E78AB" w:rsidRDefault="00010BF9">
            <w:pPr>
              <w:spacing w:line="360" w:lineRule="exact"/>
              <w:ind w:firstLineChars="0" w:firstLine="0"/>
              <w:jc w:val="center"/>
              <w:rPr>
                <w:snapToGrid w:val="0"/>
                <w:sz w:val="21"/>
                <w:szCs w:val="21"/>
              </w:rPr>
            </w:pPr>
            <w:r>
              <w:rPr>
                <w:snapToGrid w:val="0"/>
                <w:sz w:val="21"/>
                <w:szCs w:val="21"/>
              </w:rPr>
              <w:t>密闭</w:t>
            </w:r>
            <w:r>
              <w:rPr>
                <w:rFonts w:hint="eastAsia"/>
                <w:snapToGrid w:val="0"/>
                <w:sz w:val="21"/>
                <w:szCs w:val="21"/>
              </w:rPr>
              <w:t>拆包</w:t>
            </w:r>
            <w:r>
              <w:rPr>
                <w:snapToGrid w:val="0"/>
                <w:sz w:val="21"/>
                <w:szCs w:val="21"/>
              </w:rPr>
              <w:t>投料</w:t>
            </w:r>
            <w:r>
              <w:rPr>
                <w:snapToGrid w:val="0"/>
                <w:sz w:val="21"/>
                <w:szCs w:val="21"/>
              </w:rPr>
              <w:t>+1</w:t>
            </w:r>
            <w:r>
              <w:rPr>
                <w:snapToGrid w:val="0"/>
                <w:sz w:val="21"/>
                <w:szCs w:val="21"/>
              </w:rPr>
              <w:t>套袋式除尘器</w:t>
            </w:r>
            <w:r>
              <w:rPr>
                <w:snapToGrid w:val="0"/>
                <w:sz w:val="21"/>
                <w:szCs w:val="21"/>
              </w:rPr>
              <w:t>+1</w:t>
            </w:r>
            <w:r>
              <w:rPr>
                <w:snapToGrid w:val="0"/>
                <w:sz w:val="21"/>
                <w:szCs w:val="21"/>
              </w:rPr>
              <w:t>根</w:t>
            </w:r>
            <w:r>
              <w:rPr>
                <w:snapToGrid w:val="0"/>
                <w:sz w:val="21"/>
                <w:szCs w:val="21"/>
              </w:rPr>
              <w:t>15m</w:t>
            </w:r>
            <w:r>
              <w:rPr>
                <w:snapToGrid w:val="0"/>
                <w:sz w:val="21"/>
                <w:szCs w:val="21"/>
              </w:rPr>
              <w:t>排气筒</w:t>
            </w:r>
            <w:r>
              <w:rPr>
                <w:snapToGrid w:val="0"/>
                <w:sz w:val="21"/>
                <w:szCs w:val="21"/>
              </w:rPr>
              <w:t>DA001</w:t>
            </w:r>
          </w:p>
        </w:tc>
        <w:tc>
          <w:tcPr>
            <w:tcW w:w="1134" w:type="dxa"/>
            <w:shd w:val="clear" w:color="auto" w:fill="auto"/>
            <w:vAlign w:val="center"/>
          </w:tcPr>
          <w:p w14:paraId="7A6BF484" w14:textId="77777777" w:rsidR="003E78AB" w:rsidRDefault="00010BF9">
            <w:pPr>
              <w:spacing w:line="360" w:lineRule="exact"/>
              <w:ind w:firstLineChars="0" w:firstLine="0"/>
              <w:jc w:val="center"/>
              <w:rPr>
                <w:sz w:val="21"/>
                <w:szCs w:val="21"/>
              </w:rPr>
            </w:pPr>
            <w:r>
              <w:rPr>
                <w:sz w:val="21"/>
                <w:szCs w:val="21"/>
              </w:rPr>
              <w:t>6.90</w:t>
            </w:r>
          </w:p>
        </w:tc>
        <w:tc>
          <w:tcPr>
            <w:tcW w:w="1185" w:type="dxa"/>
            <w:vAlign w:val="center"/>
          </w:tcPr>
          <w:p w14:paraId="1A906198" w14:textId="77777777" w:rsidR="003E78AB" w:rsidRDefault="00010BF9">
            <w:pPr>
              <w:spacing w:line="360" w:lineRule="exact"/>
              <w:ind w:firstLineChars="0" w:firstLine="0"/>
              <w:jc w:val="center"/>
              <w:rPr>
                <w:sz w:val="21"/>
                <w:szCs w:val="21"/>
              </w:rPr>
            </w:pPr>
            <w:r>
              <w:rPr>
                <w:sz w:val="21"/>
                <w:szCs w:val="21"/>
              </w:rPr>
              <w:t>0.1379</w:t>
            </w:r>
          </w:p>
        </w:tc>
        <w:tc>
          <w:tcPr>
            <w:tcW w:w="943" w:type="dxa"/>
            <w:gridSpan w:val="2"/>
            <w:vAlign w:val="center"/>
          </w:tcPr>
          <w:p w14:paraId="2FFCBE97" w14:textId="77777777" w:rsidR="003E78AB" w:rsidRDefault="00010BF9">
            <w:pPr>
              <w:spacing w:line="360" w:lineRule="exact"/>
              <w:ind w:firstLineChars="0" w:firstLine="0"/>
              <w:jc w:val="center"/>
              <w:rPr>
                <w:kern w:val="2"/>
                <w:sz w:val="21"/>
                <w:szCs w:val="21"/>
              </w:rPr>
            </w:pPr>
            <w:r>
              <w:rPr>
                <w:sz w:val="21"/>
                <w:szCs w:val="21"/>
              </w:rPr>
              <w:t>0.1379</w:t>
            </w:r>
          </w:p>
        </w:tc>
        <w:tc>
          <w:tcPr>
            <w:tcW w:w="1597" w:type="dxa"/>
            <w:gridSpan w:val="2"/>
            <w:vAlign w:val="center"/>
          </w:tcPr>
          <w:p w14:paraId="0E286D71" w14:textId="77777777" w:rsidR="003E78AB" w:rsidRDefault="00010BF9">
            <w:pPr>
              <w:pStyle w:val="aff6"/>
              <w:topLinePunct/>
              <w:rPr>
                <w:bCs/>
              </w:rPr>
            </w:pPr>
            <w:r>
              <w:rPr>
                <w:rFonts w:hint="eastAsia"/>
              </w:rPr>
              <w:t>30</w:t>
            </w:r>
          </w:p>
        </w:tc>
        <w:tc>
          <w:tcPr>
            <w:tcW w:w="2229" w:type="dxa"/>
            <w:vMerge w:val="restart"/>
            <w:vAlign w:val="center"/>
          </w:tcPr>
          <w:p w14:paraId="3FFB3F93" w14:textId="77777777" w:rsidR="003E78AB" w:rsidRDefault="00010BF9">
            <w:pPr>
              <w:spacing w:line="360" w:lineRule="exact"/>
              <w:ind w:firstLineChars="0" w:firstLine="0"/>
              <w:jc w:val="center"/>
              <w:rPr>
                <w:sz w:val="21"/>
                <w:szCs w:val="21"/>
              </w:rPr>
            </w:pPr>
            <w:r>
              <w:rPr>
                <w:b/>
                <w:bCs/>
                <w:sz w:val="21"/>
                <w:szCs w:val="21"/>
                <w:u w:val="single"/>
              </w:rPr>
              <w:t>《无机化学工业污染物排放标准》（</w:t>
            </w:r>
            <w:r>
              <w:rPr>
                <w:b/>
                <w:bCs/>
                <w:sz w:val="21"/>
                <w:szCs w:val="21"/>
                <w:u w:val="single"/>
              </w:rPr>
              <w:t>GB31573-2015</w:t>
            </w:r>
            <w:r>
              <w:rPr>
                <w:b/>
                <w:bCs/>
                <w:sz w:val="21"/>
                <w:szCs w:val="21"/>
                <w:u w:val="single"/>
              </w:rPr>
              <w:t>）</w:t>
            </w:r>
          </w:p>
        </w:tc>
        <w:tc>
          <w:tcPr>
            <w:tcW w:w="704" w:type="dxa"/>
            <w:vMerge w:val="restart"/>
            <w:vAlign w:val="center"/>
          </w:tcPr>
          <w:p w14:paraId="24C2B4BC" w14:textId="77777777" w:rsidR="003E78AB" w:rsidRDefault="00010BF9">
            <w:pPr>
              <w:spacing w:line="360" w:lineRule="exact"/>
              <w:ind w:firstLineChars="0" w:firstLine="0"/>
              <w:jc w:val="center"/>
              <w:rPr>
                <w:sz w:val="21"/>
                <w:szCs w:val="21"/>
              </w:rPr>
            </w:pPr>
            <w:r>
              <w:rPr>
                <w:sz w:val="21"/>
                <w:szCs w:val="21"/>
              </w:rPr>
              <w:t>加强管理保障污染防治设施稳定运行</w:t>
            </w:r>
          </w:p>
        </w:tc>
      </w:tr>
      <w:tr w:rsidR="003E78AB" w14:paraId="0ED346F2" w14:textId="77777777">
        <w:trPr>
          <w:trHeight w:val="340"/>
          <w:jc w:val="center"/>
        </w:trPr>
        <w:tc>
          <w:tcPr>
            <w:tcW w:w="709" w:type="dxa"/>
            <w:vMerge/>
            <w:vAlign w:val="center"/>
          </w:tcPr>
          <w:p w14:paraId="72F4C82F" w14:textId="77777777" w:rsidR="003E78AB" w:rsidRDefault="003E78AB">
            <w:pPr>
              <w:spacing w:line="360" w:lineRule="exact"/>
              <w:ind w:firstLineChars="0" w:firstLine="0"/>
              <w:jc w:val="center"/>
              <w:rPr>
                <w:kern w:val="2"/>
                <w:sz w:val="21"/>
                <w:szCs w:val="21"/>
              </w:rPr>
            </w:pPr>
          </w:p>
        </w:tc>
        <w:tc>
          <w:tcPr>
            <w:tcW w:w="709" w:type="dxa"/>
            <w:vMerge/>
            <w:vAlign w:val="center"/>
          </w:tcPr>
          <w:p w14:paraId="33B0A6D7" w14:textId="77777777" w:rsidR="003E78AB" w:rsidRDefault="003E78AB">
            <w:pPr>
              <w:spacing w:line="360" w:lineRule="exact"/>
              <w:ind w:firstLineChars="0" w:firstLine="0"/>
              <w:jc w:val="center"/>
              <w:rPr>
                <w:kern w:val="2"/>
                <w:sz w:val="21"/>
                <w:szCs w:val="21"/>
              </w:rPr>
            </w:pPr>
          </w:p>
        </w:tc>
        <w:tc>
          <w:tcPr>
            <w:tcW w:w="1044" w:type="dxa"/>
            <w:vAlign w:val="center"/>
          </w:tcPr>
          <w:p w14:paraId="1AFD5203" w14:textId="77777777" w:rsidR="003E78AB" w:rsidRDefault="00010BF9">
            <w:pPr>
              <w:spacing w:line="360" w:lineRule="exact"/>
              <w:ind w:firstLineChars="0" w:firstLine="0"/>
              <w:jc w:val="center"/>
              <w:rPr>
                <w:kern w:val="2"/>
                <w:sz w:val="21"/>
                <w:szCs w:val="21"/>
              </w:rPr>
            </w:pPr>
            <w:r>
              <w:rPr>
                <w:rFonts w:hint="eastAsia"/>
                <w:snapToGrid w:val="0"/>
                <w:sz w:val="21"/>
                <w:szCs w:val="21"/>
              </w:rPr>
              <w:t>草酸拆包投料</w:t>
            </w:r>
          </w:p>
        </w:tc>
        <w:tc>
          <w:tcPr>
            <w:tcW w:w="1367" w:type="dxa"/>
            <w:vAlign w:val="center"/>
          </w:tcPr>
          <w:p w14:paraId="033FF0A5" w14:textId="77777777" w:rsidR="003E78AB" w:rsidRDefault="00010BF9">
            <w:pPr>
              <w:spacing w:line="360" w:lineRule="exact"/>
              <w:ind w:firstLineChars="0" w:firstLine="0"/>
              <w:jc w:val="center"/>
              <w:textAlignment w:val="center"/>
              <w:rPr>
                <w:sz w:val="21"/>
                <w:szCs w:val="21"/>
              </w:rPr>
            </w:pPr>
            <w:r>
              <w:rPr>
                <w:sz w:val="21"/>
                <w:szCs w:val="21"/>
                <w:lang w:bidi="ar"/>
              </w:rPr>
              <w:t>颗粒物</w:t>
            </w:r>
          </w:p>
        </w:tc>
        <w:tc>
          <w:tcPr>
            <w:tcW w:w="708" w:type="dxa"/>
            <w:shd w:val="clear" w:color="auto" w:fill="auto"/>
            <w:vAlign w:val="center"/>
          </w:tcPr>
          <w:p w14:paraId="46FF9C38" w14:textId="77777777" w:rsidR="003E78AB" w:rsidRDefault="00010BF9">
            <w:pPr>
              <w:spacing w:line="360" w:lineRule="exact"/>
              <w:ind w:firstLineChars="0" w:firstLine="0"/>
              <w:jc w:val="center"/>
              <w:rPr>
                <w:snapToGrid w:val="0"/>
                <w:sz w:val="21"/>
                <w:szCs w:val="21"/>
              </w:rPr>
            </w:pPr>
            <w:r>
              <w:rPr>
                <w:snapToGrid w:val="0"/>
                <w:sz w:val="21"/>
                <w:szCs w:val="21"/>
              </w:rPr>
              <w:t>有组织</w:t>
            </w:r>
          </w:p>
        </w:tc>
        <w:tc>
          <w:tcPr>
            <w:tcW w:w="2268" w:type="dxa"/>
            <w:vAlign w:val="center"/>
          </w:tcPr>
          <w:p w14:paraId="5718E59D" w14:textId="77777777" w:rsidR="003E78AB" w:rsidRDefault="00010BF9">
            <w:pPr>
              <w:spacing w:line="360" w:lineRule="exact"/>
              <w:ind w:firstLineChars="0" w:firstLine="0"/>
              <w:jc w:val="center"/>
              <w:rPr>
                <w:snapToGrid w:val="0"/>
                <w:sz w:val="21"/>
                <w:szCs w:val="21"/>
              </w:rPr>
            </w:pPr>
            <w:r>
              <w:rPr>
                <w:snapToGrid w:val="0"/>
                <w:sz w:val="21"/>
                <w:szCs w:val="21"/>
              </w:rPr>
              <w:t>密闭</w:t>
            </w:r>
            <w:r>
              <w:rPr>
                <w:rFonts w:hint="eastAsia"/>
                <w:snapToGrid w:val="0"/>
                <w:sz w:val="21"/>
                <w:szCs w:val="21"/>
              </w:rPr>
              <w:t>拆包</w:t>
            </w:r>
            <w:r>
              <w:rPr>
                <w:snapToGrid w:val="0"/>
                <w:sz w:val="21"/>
                <w:szCs w:val="21"/>
              </w:rPr>
              <w:t>投料</w:t>
            </w:r>
            <w:r>
              <w:rPr>
                <w:snapToGrid w:val="0"/>
                <w:sz w:val="21"/>
                <w:szCs w:val="21"/>
              </w:rPr>
              <w:t>+1</w:t>
            </w:r>
            <w:r>
              <w:rPr>
                <w:snapToGrid w:val="0"/>
                <w:sz w:val="21"/>
                <w:szCs w:val="21"/>
              </w:rPr>
              <w:t>套袋式除尘器</w:t>
            </w:r>
            <w:r>
              <w:rPr>
                <w:snapToGrid w:val="0"/>
                <w:sz w:val="21"/>
                <w:szCs w:val="21"/>
              </w:rPr>
              <w:t>+1</w:t>
            </w:r>
            <w:r>
              <w:rPr>
                <w:snapToGrid w:val="0"/>
                <w:sz w:val="21"/>
                <w:szCs w:val="21"/>
              </w:rPr>
              <w:t>根</w:t>
            </w:r>
            <w:r>
              <w:rPr>
                <w:snapToGrid w:val="0"/>
                <w:sz w:val="21"/>
                <w:szCs w:val="21"/>
              </w:rPr>
              <w:t>15m</w:t>
            </w:r>
            <w:r>
              <w:rPr>
                <w:snapToGrid w:val="0"/>
                <w:sz w:val="21"/>
                <w:szCs w:val="21"/>
              </w:rPr>
              <w:t>排气筒</w:t>
            </w:r>
            <w:r>
              <w:rPr>
                <w:snapToGrid w:val="0"/>
                <w:sz w:val="21"/>
                <w:szCs w:val="21"/>
              </w:rPr>
              <w:t>DA002</w:t>
            </w:r>
          </w:p>
        </w:tc>
        <w:tc>
          <w:tcPr>
            <w:tcW w:w="1134" w:type="dxa"/>
            <w:shd w:val="clear" w:color="auto" w:fill="auto"/>
            <w:vAlign w:val="center"/>
          </w:tcPr>
          <w:p w14:paraId="712D9DA3" w14:textId="77777777" w:rsidR="003E78AB" w:rsidRDefault="00010BF9">
            <w:pPr>
              <w:spacing w:line="360" w:lineRule="exact"/>
              <w:ind w:firstLineChars="0" w:firstLine="0"/>
              <w:jc w:val="center"/>
              <w:rPr>
                <w:sz w:val="21"/>
                <w:szCs w:val="21"/>
              </w:rPr>
            </w:pPr>
            <w:r>
              <w:rPr>
                <w:sz w:val="21"/>
                <w:szCs w:val="21"/>
              </w:rPr>
              <w:t>4.87</w:t>
            </w:r>
          </w:p>
        </w:tc>
        <w:tc>
          <w:tcPr>
            <w:tcW w:w="1185" w:type="dxa"/>
            <w:vAlign w:val="center"/>
          </w:tcPr>
          <w:p w14:paraId="7E055BBD" w14:textId="77777777" w:rsidR="003E78AB" w:rsidRDefault="00010BF9">
            <w:pPr>
              <w:spacing w:line="360" w:lineRule="exact"/>
              <w:ind w:firstLineChars="0" w:firstLine="0"/>
              <w:jc w:val="center"/>
              <w:rPr>
                <w:sz w:val="21"/>
                <w:szCs w:val="21"/>
              </w:rPr>
            </w:pPr>
            <w:r>
              <w:rPr>
                <w:rFonts w:hint="eastAsia"/>
                <w:sz w:val="21"/>
                <w:szCs w:val="21"/>
              </w:rPr>
              <w:t>0.0701</w:t>
            </w:r>
          </w:p>
        </w:tc>
        <w:tc>
          <w:tcPr>
            <w:tcW w:w="943" w:type="dxa"/>
            <w:gridSpan w:val="2"/>
            <w:vAlign w:val="center"/>
          </w:tcPr>
          <w:p w14:paraId="2E9D66A9" w14:textId="77777777" w:rsidR="003E78AB" w:rsidRDefault="00010BF9">
            <w:pPr>
              <w:spacing w:line="360" w:lineRule="exact"/>
              <w:ind w:firstLineChars="0" w:firstLine="0"/>
              <w:jc w:val="center"/>
              <w:rPr>
                <w:sz w:val="21"/>
                <w:szCs w:val="21"/>
              </w:rPr>
            </w:pPr>
            <w:r>
              <w:rPr>
                <w:rFonts w:hint="eastAsia"/>
                <w:sz w:val="21"/>
                <w:szCs w:val="21"/>
              </w:rPr>
              <w:t>0.0701</w:t>
            </w:r>
          </w:p>
        </w:tc>
        <w:tc>
          <w:tcPr>
            <w:tcW w:w="1597" w:type="dxa"/>
            <w:gridSpan w:val="2"/>
            <w:vAlign w:val="center"/>
          </w:tcPr>
          <w:p w14:paraId="677824C1" w14:textId="77777777" w:rsidR="003E78AB" w:rsidRDefault="00010BF9">
            <w:pPr>
              <w:pStyle w:val="aff6"/>
              <w:topLinePunct/>
              <w:rPr>
                <w:kern w:val="0"/>
              </w:rPr>
            </w:pPr>
            <w:r>
              <w:rPr>
                <w:rFonts w:hint="eastAsia"/>
              </w:rPr>
              <w:t>30</w:t>
            </w:r>
          </w:p>
        </w:tc>
        <w:tc>
          <w:tcPr>
            <w:tcW w:w="2229" w:type="dxa"/>
            <w:vMerge/>
            <w:vAlign w:val="center"/>
          </w:tcPr>
          <w:p w14:paraId="0726E545" w14:textId="77777777" w:rsidR="003E78AB" w:rsidRDefault="003E78AB">
            <w:pPr>
              <w:spacing w:line="360" w:lineRule="exact"/>
              <w:ind w:firstLineChars="0" w:firstLine="0"/>
              <w:jc w:val="center"/>
              <w:rPr>
                <w:sz w:val="21"/>
                <w:szCs w:val="21"/>
              </w:rPr>
            </w:pPr>
          </w:p>
        </w:tc>
        <w:tc>
          <w:tcPr>
            <w:tcW w:w="704" w:type="dxa"/>
            <w:vMerge/>
            <w:vAlign w:val="center"/>
          </w:tcPr>
          <w:p w14:paraId="7A3643C8" w14:textId="77777777" w:rsidR="003E78AB" w:rsidRDefault="003E78AB">
            <w:pPr>
              <w:spacing w:line="360" w:lineRule="exact"/>
              <w:ind w:firstLineChars="0" w:firstLine="0"/>
              <w:jc w:val="center"/>
              <w:rPr>
                <w:sz w:val="21"/>
                <w:szCs w:val="21"/>
              </w:rPr>
            </w:pPr>
          </w:p>
        </w:tc>
      </w:tr>
      <w:tr w:rsidR="003E78AB" w14:paraId="18A36C6A" w14:textId="77777777">
        <w:trPr>
          <w:trHeight w:val="340"/>
          <w:jc w:val="center"/>
        </w:trPr>
        <w:tc>
          <w:tcPr>
            <w:tcW w:w="709" w:type="dxa"/>
            <w:vMerge/>
            <w:vAlign w:val="center"/>
          </w:tcPr>
          <w:p w14:paraId="5A556BFB" w14:textId="77777777" w:rsidR="003E78AB" w:rsidRDefault="003E78AB">
            <w:pPr>
              <w:spacing w:line="360" w:lineRule="exact"/>
              <w:ind w:firstLineChars="0" w:firstLine="0"/>
              <w:jc w:val="center"/>
              <w:rPr>
                <w:sz w:val="21"/>
                <w:szCs w:val="21"/>
              </w:rPr>
            </w:pPr>
          </w:p>
        </w:tc>
        <w:tc>
          <w:tcPr>
            <w:tcW w:w="709" w:type="dxa"/>
            <w:vMerge/>
            <w:vAlign w:val="center"/>
          </w:tcPr>
          <w:p w14:paraId="1A1C739F" w14:textId="77777777" w:rsidR="003E78AB" w:rsidRDefault="003E78AB">
            <w:pPr>
              <w:spacing w:line="360" w:lineRule="exact"/>
              <w:ind w:firstLineChars="0" w:firstLine="0"/>
              <w:jc w:val="center"/>
              <w:rPr>
                <w:sz w:val="21"/>
                <w:szCs w:val="21"/>
              </w:rPr>
            </w:pPr>
          </w:p>
        </w:tc>
        <w:tc>
          <w:tcPr>
            <w:tcW w:w="1044" w:type="dxa"/>
            <w:vMerge w:val="restart"/>
            <w:vAlign w:val="center"/>
          </w:tcPr>
          <w:p w14:paraId="508C62C4" w14:textId="77777777" w:rsidR="003E78AB" w:rsidRDefault="00010BF9">
            <w:pPr>
              <w:spacing w:line="360" w:lineRule="exact"/>
              <w:ind w:firstLineChars="0" w:firstLine="0"/>
              <w:jc w:val="center"/>
              <w:rPr>
                <w:sz w:val="21"/>
                <w:szCs w:val="21"/>
              </w:rPr>
            </w:pPr>
            <w:r>
              <w:rPr>
                <w:rFonts w:hint="eastAsia"/>
                <w:sz w:val="21"/>
                <w:szCs w:val="21"/>
              </w:rPr>
              <w:t>工艺废气</w:t>
            </w:r>
          </w:p>
        </w:tc>
        <w:tc>
          <w:tcPr>
            <w:tcW w:w="1367" w:type="dxa"/>
            <w:vAlign w:val="center"/>
          </w:tcPr>
          <w:p w14:paraId="34B5E866" w14:textId="77777777" w:rsidR="003E78AB" w:rsidRDefault="00010BF9">
            <w:pPr>
              <w:spacing w:line="360" w:lineRule="exact"/>
              <w:ind w:firstLineChars="0" w:firstLine="0"/>
              <w:jc w:val="center"/>
              <w:textAlignment w:val="center"/>
              <w:rPr>
                <w:sz w:val="21"/>
                <w:szCs w:val="21"/>
              </w:rPr>
            </w:pPr>
            <w:r>
              <w:rPr>
                <w:sz w:val="21"/>
                <w:szCs w:val="21"/>
                <w:lang w:bidi="ar"/>
              </w:rPr>
              <w:t>硫酸雾</w:t>
            </w:r>
          </w:p>
        </w:tc>
        <w:tc>
          <w:tcPr>
            <w:tcW w:w="708" w:type="dxa"/>
            <w:vMerge w:val="restart"/>
            <w:shd w:val="clear" w:color="auto" w:fill="auto"/>
            <w:vAlign w:val="center"/>
          </w:tcPr>
          <w:p w14:paraId="41A159CF" w14:textId="77777777" w:rsidR="003E78AB" w:rsidRDefault="00010BF9">
            <w:pPr>
              <w:spacing w:line="360" w:lineRule="exact"/>
              <w:ind w:firstLineChars="0" w:firstLine="0"/>
              <w:jc w:val="center"/>
              <w:rPr>
                <w:snapToGrid w:val="0"/>
                <w:sz w:val="21"/>
                <w:szCs w:val="21"/>
              </w:rPr>
            </w:pPr>
            <w:r>
              <w:rPr>
                <w:snapToGrid w:val="0"/>
                <w:sz w:val="21"/>
                <w:szCs w:val="21"/>
              </w:rPr>
              <w:t>有组织</w:t>
            </w:r>
          </w:p>
        </w:tc>
        <w:tc>
          <w:tcPr>
            <w:tcW w:w="2268" w:type="dxa"/>
            <w:vMerge w:val="restart"/>
            <w:vAlign w:val="center"/>
          </w:tcPr>
          <w:p w14:paraId="65FF4259" w14:textId="77777777" w:rsidR="003E78AB" w:rsidRDefault="00010BF9">
            <w:pPr>
              <w:spacing w:line="360" w:lineRule="exact"/>
              <w:ind w:firstLineChars="0" w:firstLine="0"/>
              <w:jc w:val="center"/>
              <w:rPr>
                <w:snapToGrid w:val="0"/>
                <w:sz w:val="21"/>
                <w:szCs w:val="21"/>
              </w:rPr>
            </w:pPr>
            <w:r>
              <w:rPr>
                <w:snapToGrid w:val="0"/>
                <w:sz w:val="21"/>
                <w:szCs w:val="21"/>
              </w:rPr>
              <w:t>一级</w:t>
            </w:r>
            <w:r>
              <w:rPr>
                <w:rFonts w:hint="eastAsia"/>
                <w:snapToGrid w:val="0"/>
                <w:sz w:val="21"/>
                <w:szCs w:val="21"/>
              </w:rPr>
              <w:t>碱洗</w:t>
            </w:r>
            <w:r>
              <w:rPr>
                <w:snapToGrid w:val="0"/>
                <w:sz w:val="21"/>
                <w:szCs w:val="21"/>
              </w:rPr>
              <w:t>+</w:t>
            </w:r>
            <w:r>
              <w:rPr>
                <w:snapToGrid w:val="0"/>
                <w:sz w:val="21"/>
                <w:szCs w:val="21"/>
              </w:rPr>
              <w:t>一级水洗</w:t>
            </w:r>
            <w:r>
              <w:rPr>
                <w:snapToGrid w:val="0"/>
                <w:sz w:val="21"/>
                <w:szCs w:val="21"/>
              </w:rPr>
              <w:t>+15m</w:t>
            </w:r>
            <w:r>
              <w:rPr>
                <w:snapToGrid w:val="0"/>
                <w:sz w:val="21"/>
                <w:szCs w:val="21"/>
              </w:rPr>
              <w:t>排气筒</w:t>
            </w:r>
            <w:r>
              <w:rPr>
                <w:snapToGrid w:val="0"/>
                <w:sz w:val="21"/>
                <w:szCs w:val="21"/>
              </w:rPr>
              <w:t>DA003</w:t>
            </w:r>
          </w:p>
        </w:tc>
        <w:tc>
          <w:tcPr>
            <w:tcW w:w="1134" w:type="dxa"/>
            <w:shd w:val="clear" w:color="auto" w:fill="auto"/>
            <w:vAlign w:val="center"/>
          </w:tcPr>
          <w:p w14:paraId="0CA13C9B" w14:textId="77777777" w:rsidR="003E78AB" w:rsidRDefault="00010BF9">
            <w:pPr>
              <w:spacing w:line="360" w:lineRule="exact"/>
              <w:ind w:firstLineChars="0" w:firstLine="0"/>
              <w:jc w:val="center"/>
              <w:rPr>
                <w:sz w:val="21"/>
                <w:szCs w:val="21"/>
              </w:rPr>
            </w:pPr>
            <w:r>
              <w:rPr>
                <w:rFonts w:hint="eastAsia"/>
                <w:sz w:val="21"/>
                <w:szCs w:val="21"/>
              </w:rPr>
              <w:t>14.20</w:t>
            </w:r>
          </w:p>
        </w:tc>
        <w:tc>
          <w:tcPr>
            <w:tcW w:w="1185" w:type="dxa"/>
            <w:vAlign w:val="center"/>
          </w:tcPr>
          <w:p w14:paraId="209ECBD8" w14:textId="77777777" w:rsidR="003E78AB" w:rsidRDefault="00010BF9">
            <w:pPr>
              <w:spacing w:line="360" w:lineRule="exact"/>
              <w:ind w:firstLineChars="0" w:firstLine="0"/>
              <w:jc w:val="center"/>
              <w:rPr>
                <w:sz w:val="21"/>
                <w:szCs w:val="21"/>
              </w:rPr>
            </w:pPr>
            <w:r>
              <w:rPr>
                <w:rFonts w:hint="eastAsia"/>
                <w:sz w:val="21"/>
                <w:szCs w:val="21"/>
              </w:rPr>
              <w:t>1.1243</w:t>
            </w:r>
          </w:p>
        </w:tc>
        <w:tc>
          <w:tcPr>
            <w:tcW w:w="943" w:type="dxa"/>
            <w:gridSpan w:val="2"/>
            <w:vAlign w:val="center"/>
          </w:tcPr>
          <w:p w14:paraId="06FEE687" w14:textId="77777777" w:rsidR="003E78AB" w:rsidRDefault="00010BF9">
            <w:pPr>
              <w:spacing w:line="360" w:lineRule="exact"/>
              <w:ind w:firstLineChars="0" w:firstLine="0"/>
              <w:jc w:val="center"/>
              <w:rPr>
                <w:sz w:val="21"/>
                <w:szCs w:val="21"/>
              </w:rPr>
            </w:pPr>
            <w:r>
              <w:rPr>
                <w:sz w:val="21"/>
                <w:szCs w:val="21"/>
              </w:rPr>
              <w:t>/</w:t>
            </w:r>
          </w:p>
        </w:tc>
        <w:tc>
          <w:tcPr>
            <w:tcW w:w="1597" w:type="dxa"/>
            <w:gridSpan w:val="2"/>
            <w:vAlign w:val="center"/>
          </w:tcPr>
          <w:p w14:paraId="7BDE8056" w14:textId="77777777" w:rsidR="003E78AB" w:rsidRDefault="00010BF9">
            <w:pPr>
              <w:pStyle w:val="aff6"/>
              <w:topLinePunct/>
              <w:rPr>
                <w:kern w:val="0"/>
              </w:rPr>
            </w:pPr>
            <w:r>
              <w:rPr>
                <w:rFonts w:hint="eastAsia"/>
              </w:rPr>
              <w:t>20</w:t>
            </w:r>
          </w:p>
        </w:tc>
        <w:tc>
          <w:tcPr>
            <w:tcW w:w="2229" w:type="dxa"/>
            <w:vMerge/>
            <w:vAlign w:val="center"/>
          </w:tcPr>
          <w:p w14:paraId="21EE6565" w14:textId="77777777" w:rsidR="003E78AB" w:rsidRDefault="003E78AB">
            <w:pPr>
              <w:spacing w:line="360" w:lineRule="exact"/>
              <w:ind w:firstLineChars="0" w:firstLine="0"/>
              <w:jc w:val="center"/>
              <w:rPr>
                <w:sz w:val="21"/>
                <w:szCs w:val="21"/>
              </w:rPr>
            </w:pPr>
          </w:p>
        </w:tc>
        <w:tc>
          <w:tcPr>
            <w:tcW w:w="704" w:type="dxa"/>
            <w:vMerge/>
            <w:vAlign w:val="center"/>
          </w:tcPr>
          <w:p w14:paraId="51B49ACC" w14:textId="77777777" w:rsidR="003E78AB" w:rsidRDefault="003E78AB">
            <w:pPr>
              <w:spacing w:line="360" w:lineRule="exact"/>
              <w:ind w:firstLineChars="0" w:firstLine="0"/>
              <w:jc w:val="center"/>
              <w:rPr>
                <w:sz w:val="21"/>
                <w:szCs w:val="21"/>
              </w:rPr>
            </w:pPr>
          </w:p>
        </w:tc>
      </w:tr>
      <w:tr w:rsidR="003E78AB" w14:paraId="363F0296" w14:textId="77777777">
        <w:trPr>
          <w:trHeight w:val="340"/>
          <w:jc w:val="center"/>
        </w:trPr>
        <w:tc>
          <w:tcPr>
            <w:tcW w:w="709" w:type="dxa"/>
            <w:vMerge/>
            <w:vAlign w:val="center"/>
          </w:tcPr>
          <w:p w14:paraId="5082CBFD" w14:textId="77777777" w:rsidR="003E78AB" w:rsidRDefault="003E78AB">
            <w:pPr>
              <w:spacing w:line="360" w:lineRule="exact"/>
              <w:ind w:firstLineChars="0" w:firstLine="0"/>
              <w:jc w:val="center"/>
              <w:rPr>
                <w:sz w:val="21"/>
                <w:szCs w:val="21"/>
              </w:rPr>
            </w:pPr>
          </w:p>
        </w:tc>
        <w:tc>
          <w:tcPr>
            <w:tcW w:w="709" w:type="dxa"/>
            <w:vMerge/>
            <w:vAlign w:val="center"/>
          </w:tcPr>
          <w:p w14:paraId="44D88C91" w14:textId="77777777" w:rsidR="003E78AB" w:rsidRDefault="003E78AB">
            <w:pPr>
              <w:spacing w:line="360" w:lineRule="exact"/>
              <w:ind w:firstLineChars="0" w:firstLine="0"/>
              <w:jc w:val="center"/>
              <w:rPr>
                <w:sz w:val="21"/>
                <w:szCs w:val="21"/>
              </w:rPr>
            </w:pPr>
          </w:p>
        </w:tc>
        <w:tc>
          <w:tcPr>
            <w:tcW w:w="1044" w:type="dxa"/>
            <w:vMerge/>
            <w:vAlign w:val="center"/>
          </w:tcPr>
          <w:p w14:paraId="4295607B" w14:textId="77777777" w:rsidR="003E78AB" w:rsidRDefault="003E78AB">
            <w:pPr>
              <w:spacing w:line="360" w:lineRule="exact"/>
              <w:ind w:firstLineChars="0" w:firstLine="0"/>
              <w:jc w:val="center"/>
              <w:rPr>
                <w:sz w:val="21"/>
                <w:szCs w:val="21"/>
              </w:rPr>
            </w:pPr>
          </w:p>
        </w:tc>
        <w:tc>
          <w:tcPr>
            <w:tcW w:w="1367" w:type="dxa"/>
            <w:vAlign w:val="center"/>
          </w:tcPr>
          <w:p w14:paraId="77A3254C" w14:textId="77777777" w:rsidR="003E78AB" w:rsidRDefault="00010BF9">
            <w:pPr>
              <w:spacing w:line="360" w:lineRule="exact"/>
              <w:ind w:firstLineChars="0" w:firstLine="0"/>
              <w:jc w:val="center"/>
              <w:textAlignment w:val="center"/>
              <w:rPr>
                <w:sz w:val="21"/>
                <w:szCs w:val="21"/>
              </w:rPr>
            </w:pPr>
            <w:r>
              <w:rPr>
                <w:sz w:val="21"/>
                <w:szCs w:val="21"/>
                <w:lang w:bidi="ar"/>
              </w:rPr>
              <w:t>磷酸雾</w:t>
            </w:r>
          </w:p>
        </w:tc>
        <w:tc>
          <w:tcPr>
            <w:tcW w:w="708" w:type="dxa"/>
            <w:vMerge/>
            <w:vAlign w:val="center"/>
          </w:tcPr>
          <w:p w14:paraId="48DAD3EA" w14:textId="77777777" w:rsidR="003E78AB" w:rsidRDefault="003E78AB">
            <w:pPr>
              <w:spacing w:line="360" w:lineRule="exact"/>
              <w:ind w:firstLineChars="0" w:firstLine="0"/>
              <w:jc w:val="center"/>
              <w:rPr>
                <w:sz w:val="21"/>
                <w:szCs w:val="21"/>
              </w:rPr>
            </w:pPr>
          </w:p>
        </w:tc>
        <w:tc>
          <w:tcPr>
            <w:tcW w:w="2268" w:type="dxa"/>
            <w:vMerge/>
            <w:vAlign w:val="center"/>
          </w:tcPr>
          <w:p w14:paraId="0E0082DD" w14:textId="77777777" w:rsidR="003E78AB" w:rsidRDefault="003E78AB">
            <w:pPr>
              <w:spacing w:line="360" w:lineRule="exact"/>
              <w:ind w:firstLineChars="0" w:firstLine="0"/>
              <w:jc w:val="center"/>
              <w:rPr>
                <w:snapToGrid w:val="0"/>
                <w:sz w:val="21"/>
                <w:szCs w:val="21"/>
              </w:rPr>
            </w:pPr>
          </w:p>
        </w:tc>
        <w:tc>
          <w:tcPr>
            <w:tcW w:w="1134" w:type="dxa"/>
            <w:shd w:val="clear" w:color="auto" w:fill="auto"/>
            <w:vAlign w:val="center"/>
          </w:tcPr>
          <w:p w14:paraId="44A91D5E" w14:textId="77777777" w:rsidR="003E78AB" w:rsidRDefault="00010BF9">
            <w:pPr>
              <w:spacing w:line="360" w:lineRule="exact"/>
              <w:ind w:firstLineChars="0" w:firstLine="0"/>
              <w:jc w:val="center"/>
              <w:rPr>
                <w:b/>
                <w:bCs/>
                <w:sz w:val="21"/>
                <w:szCs w:val="21"/>
                <w:u w:val="single"/>
              </w:rPr>
            </w:pPr>
            <w:r>
              <w:rPr>
                <w:rFonts w:hint="eastAsia"/>
                <w:b/>
                <w:bCs/>
                <w:sz w:val="21"/>
                <w:szCs w:val="21"/>
                <w:u w:val="single"/>
              </w:rPr>
              <w:t>2.29</w:t>
            </w:r>
          </w:p>
        </w:tc>
        <w:tc>
          <w:tcPr>
            <w:tcW w:w="1185" w:type="dxa"/>
            <w:vAlign w:val="center"/>
          </w:tcPr>
          <w:p w14:paraId="26D88B1F" w14:textId="77777777" w:rsidR="003E78AB" w:rsidRDefault="00010BF9">
            <w:pPr>
              <w:spacing w:line="360" w:lineRule="exact"/>
              <w:ind w:firstLineChars="0" w:firstLine="0"/>
              <w:jc w:val="center"/>
              <w:rPr>
                <w:b/>
                <w:bCs/>
                <w:sz w:val="21"/>
                <w:szCs w:val="21"/>
                <w:u w:val="single"/>
              </w:rPr>
            </w:pPr>
            <w:r>
              <w:rPr>
                <w:rFonts w:hint="eastAsia"/>
                <w:b/>
                <w:bCs/>
                <w:sz w:val="21"/>
                <w:szCs w:val="21"/>
                <w:u w:val="single"/>
              </w:rPr>
              <w:t>0.1810</w:t>
            </w:r>
          </w:p>
        </w:tc>
        <w:tc>
          <w:tcPr>
            <w:tcW w:w="943" w:type="dxa"/>
            <w:gridSpan w:val="2"/>
            <w:vAlign w:val="center"/>
          </w:tcPr>
          <w:p w14:paraId="5C5DF449" w14:textId="77777777" w:rsidR="003E78AB" w:rsidRDefault="00010BF9">
            <w:pPr>
              <w:spacing w:line="360" w:lineRule="exact"/>
              <w:ind w:firstLineChars="0" w:firstLine="0"/>
              <w:jc w:val="center"/>
              <w:rPr>
                <w:b/>
                <w:bCs/>
                <w:sz w:val="21"/>
                <w:szCs w:val="21"/>
                <w:u w:val="single"/>
              </w:rPr>
            </w:pPr>
            <w:r>
              <w:rPr>
                <w:rFonts w:hint="eastAsia"/>
                <w:b/>
                <w:bCs/>
                <w:sz w:val="21"/>
                <w:szCs w:val="21"/>
                <w:u w:val="single"/>
              </w:rPr>
              <w:t>/</w:t>
            </w:r>
          </w:p>
        </w:tc>
        <w:tc>
          <w:tcPr>
            <w:tcW w:w="1597" w:type="dxa"/>
            <w:gridSpan w:val="2"/>
            <w:vAlign w:val="center"/>
          </w:tcPr>
          <w:p w14:paraId="1B716E10" w14:textId="77777777" w:rsidR="003E78AB" w:rsidRDefault="00010BF9">
            <w:pPr>
              <w:spacing w:line="360" w:lineRule="exact"/>
              <w:ind w:firstLineChars="0" w:firstLine="0"/>
              <w:jc w:val="center"/>
              <w:textAlignment w:val="center"/>
              <w:rPr>
                <w:bCs/>
                <w:sz w:val="21"/>
                <w:szCs w:val="21"/>
              </w:rPr>
            </w:pPr>
            <w:r>
              <w:rPr>
                <w:rFonts w:hint="eastAsia"/>
                <w:sz w:val="21"/>
                <w:szCs w:val="21"/>
              </w:rPr>
              <w:t>/</w:t>
            </w:r>
          </w:p>
        </w:tc>
        <w:tc>
          <w:tcPr>
            <w:tcW w:w="2229" w:type="dxa"/>
            <w:vAlign w:val="center"/>
          </w:tcPr>
          <w:p w14:paraId="6998119C" w14:textId="77777777" w:rsidR="003E78AB" w:rsidRDefault="00010BF9">
            <w:pPr>
              <w:spacing w:line="360" w:lineRule="exact"/>
              <w:ind w:firstLineChars="0" w:firstLine="0"/>
              <w:jc w:val="center"/>
              <w:rPr>
                <w:sz w:val="21"/>
                <w:szCs w:val="21"/>
              </w:rPr>
            </w:pPr>
            <w:r>
              <w:rPr>
                <w:sz w:val="21"/>
                <w:szCs w:val="21"/>
              </w:rPr>
              <w:t>/</w:t>
            </w:r>
          </w:p>
        </w:tc>
        <w:tc>
          <w:tcPr>
            <w:tcW w:w="704" w:type="dxa"/>
            <w:vMerge/>
            <w:vAlign w:val="center"/>
          </w:tcPr>
          <w:p w14:paraId="09E8778D" w14:textId="77777777" w:rsidR="003E78AB" w:rsidRDefault="003E78AB">
            <w:pPr>
              <w:spacing w:line="360" w:lineRule="exact"/>
              <w:ind w:firstLineChars="0" w:firstLine="0"/>
              <w:jc w:val="center"/>
              <w:rPr>
                <w:sz w:val="21"/>
                <w:szCs w:val="21"/>
              </w:rPr>
            </w:pPr>
          </w:p>
        </w:tc>
      </w:tr>
      <w:tr w:rsidR="003E78AB" w14:paraId="6212F23B" w14:textId="77777777">
        <w:trPr>
          <w:trHeight w:val="340"/>
          <w:jc w:val="center"/>
        </w:trPr>
        <w:tc>
          <w:tcPr>
            <w:tcW w:w="709" w:type="dxa"/>
            <w:vMerge/>
            <w:vAlign w:val="center"/>
          </w:tcPr>
          <w:p w14:paraId="2A530E55" w14:textId="77777777" w:rsidR="003E78AB" w:rsidRDefault="003E78AB">
            <w:pPr>
              <w:spacing w:line="360" w:lineRule="exact"/>
              <w:ind w:firstLineChars="0" w:firstLine="0"/>
              <w:jc w:val="center"/>
              <w:rPr>
                <w:sz w:val="21"/>
                <w:szCs w:val="21"/>
              </w:rPr>
            </w:pPr>
          </w:p>
        </w:tc>
        <w:tc>
          <w:tcPr>
            <w:tcW w:w="709" w:type="dxa"/>
            <w:vMerge/>
            <w:vAlign w:val="center"/>
          </w:tcPr>
          <w:p w14:paraId="4F59A48D" w14:textId="77777777" w:rsidR="003E78AB" w:rsidRDefault="003E78AB">
            <w:pPr>
              <w:spacing w:line="360" w:lineRule="exact"/>
              <w:ind w:firstLineChars="0" w:firstLine="0"/>
              <w:jc w:val="center"/>
              <w:rPr>
                <w:sz w:val="21"/>
                <w:szCs w:val="21"/>
              </w:rPr>
            </w:pPr>
          </w:p>
        </w:tc>
        <w:tc>
          <w:tcPr>
            <w:tcW w:w="1044" w:type="dxa"/>
            <w:vMerge/>
            <w:vAlign w:val="center"/>
          </w:tcPr>
          <w:p w14:paraId="3D0A8E9D" w14:textId="77777777" w:rsidR="003E78AB" w:rsidRDefault="003E78AB">
            <w:pPr>
              <w:spacing w:line="360" w:lineRule="exact"/>
              <w:ind w:firstLineChars="0" w:firstLine="0"/>
              <w:jc w:val="center"/>
              <w:rPr>
                <w:sz w:val="21"/>
                <w:szCs w:val="21"/>
              </w:rPr>
            </w:pPr>
          </w:p>
        </w:tc>
        <w:tc>
          <w:tcPr>
            <w:tcW w:w="1367" w:type="dxa"/>
            <w:vAlign w:val="center"/>
          </w:tcPr>
          <w:p w14:paraId="590DEB42" w14:textId="77777777" w:rsidR="003E78AB" w:rsidRDefault="00010BF9">
            <w:pPr>
              <w:spacing w:line="360" w:lineRule="exact"/>
              <w:ind w:firstLineChars="0" w:firstLine="0"/>
              <w:jc w:val="center"/>
              <w:textAlignment w:val="center"/>
              <w:rPr>
                <w:b/>
                <w:bCs/>
                <w:sz w:val="21"/>
                <w:szCs w:val="21"/>
                <w:u w:val="single"/>
                <w:lang w:bidi="ar"/>
              </w:rPr>
            </w:pPr>
            <w:r>
              <w:rPr>
                <w:rFonts w:hint="eastAsia"/>
                <w:b/>
                <w:bCs/>
                <w:sz w:val="21"/>
                <w:szCs w:val="21"/>
                <w:u w:val="single"/>
                <w:lang w:bidi="ar"/>
              </w:rPr>
              <w:t>甲酸雾</w:t>
            </w:r>
          </w:p>
        </w:tc>
        <w:tc>
          <w:tcPr>
            <w:tcW w:w="708" w:type="dxa"/>
            <w:vMerge/>
            <w:vAlign w:val="center"/>
          </w:tcPr>
          <w:p w14:paraId="06073519" w14:textId="77777777" w:rsidR="003E78AB" w:rsidRDefault="003E78AB">
            <w:pPr>
              <w:spacing w:line="360" w:lineRule="exact"/>
              <w:ind w:firstLineChars="0" w:firstLine="0"/>
              <w:jc w:val="center"/>
              <w:rPr>
                <w:sz w:val="21"/>
                <w:szCs w:val="21"/>
              </w:rPr>
            </w:pPr>
          </w:p>
        </w:tc>
        <w:tc>
          <w:tcPr>
            <w:tcW w:w="2268" w:type="dxa"/>
            <w:vMerge/>
            <w:vAlign w:val="center"/>
          </w:tcPr>
          <w:p w14:paraId="5D8CA5B2" w14:textId="77777777" w:rsidR="003E78AB" w:rsidRDefault="003E78AB">
            <w:pPr>
              <w:spacing w:line="360" w:lineRule="exact"/>
              <w:ind w:firstLineChars="0" w:firstLine="0"/>
              <w:jc w:val="center"/>
              <w:rPr>
                <w:snapToGrid w:val="0"/>
                <w:sz w:val="21"/>
                <w:szCs w:val="21"/>
              </w:rPr>
            </w:pPr>
          </w:p>
        </w:tc>
        <w:tc>
          <w:tcPr>
            <w:tcW w:w="1134" w:type="dxa"/>
            <w:vMerge w:val="restart"/>
            <w:shd w:val="clear" w:color="auto" w:fill="auto"/>
            <w:vAlign w:val="center"/>
          </w:tcPr>
          <w:p w14:paraId="77BD7E8B" w14:textId="77777777" w:rsidR="003E78AB" w:rsidRDefault="00010BF9">
            <w:pPr>
              <w:spacing w:line="360" w:lineRule="exact"/>
              <w:ind w:firstLineChars="0" w:firstLine="0"/>
              <w:jc w:val="center"/>
              <w:rPr>
                <w:b/>
                <w:bCs/>
                <w:sz w:val="21"/>
                <w:szCs w:val="21"/>
                <w:u w:val="single"/>
              </w:rPr>
            </w:pPr>
            <w:r>
              <w:rPr>
                <w:rFonts w:hint="eastAsia"/>
                <w:b/>
                <w:bCs/>
                <w:sz w:val="21"/>
                <w:szCs w:val="21"/>
                <w:u w:val="single"/>
              </w:rPr>
              <w:t>4.61</w:t>
            </w:r>
          </w:p>
        </w:tc>
        <w:tc>
          <w:tcPr>
            <w:tcW w:w="1185" w:type="dxa"/>
            <w:vMerge w:val="restart"/>
            <w:vAlign w:val="center"/>
          </w:tcPr>
          <w:p w14:paraId="3BAC9561" w14:textId="77777777" w:rsidR="003E78AB" w:rsidRDefault="00010BF9">
            <w:pPr>
              <w:spacing w:line="360" w:lineRule="exact"/>
              <w:ind w:firstLineChars="0" w:firstLine="0"/>
              <w:jc w:val="center"/>
              <w:rPr>
                <w:b/>
                <w:bCs/>
                <w:sz w:val="21"/>
                <w:szCs w:val="21"/>
                <w:u w:val="single"/>
              </w:rPr>
            </w:pPr>
            <w:r>
              <w:rPr>
                <w:rFonts w:hint="eastAsia"/>
                <w:b/>
                <w:bCs/>
                <w:sz w:val="21"/>
                <w:szCs w:val="21"/>
                <w:u w:val="single"/>
              </w:rPr>
              <w:t>0.3649</w:t>
            </w:r>
          </w:p>
        </w:tc>
        <w:tc>
          <w:tcPr>
            <w:tcW w:w="943" w:type="dxa"/>
            <w:gridSpan w:val="2"/>
            <w:vMerge w:val="restart"/>
            <w:vAlign w:val="center"/>
          </w:tcPr>
          <w:p w14:paraId="66EB7FE1" w14:textId="77777777" w:rsidR="003E78AB" w:rsidRDefault="00010BF9">
            <w:pPr>
              <w:spacing w:line="360" w:lineRule="exact"/>
              <w:ind w:firstLineChars="0" w:firstLine="0"/>
              <w:jc w:val="center"/>
              <w:rPr>
                <w:b/>
                <w:bCs/>
                <w:sz w:val="21"/>
                <w:szCs w:val="21"/>
                <w:u w:val="single"/>
              </w:rPr>
            </w:pPr>
            <w:r>
              <w:rPr>
                <w:rFonts w:hint="eastAsia"/>
                <w:b/>
                <w:bCs/>
                <w:sz w:val="21"/>
                <w:szCs w:val="21"/>
                <w:u w:val="single"/>
              </w:rPr>
              <w:t>0.3649</w:t>
            </w:r>
          </w:p>
        </w:tc>
        <w:tc>
          <w:tcPr>
            <w:tcW w:w="1597" w:type="dxa"/>
            <w:gridSpan w:val="2"/>
            <w:vMerge w:val="restart"/>
            <w:vAlign w:val="center"/>
          </w:tcPr>
          <w:p w14:paraId="7395CC2D" w14:textId="77777777" w:rsidR="003E78AB" w:rsidRDefault="00010BF9">
            <w:pPr>
              <w:spacing w:line="360" w:lineRule="exact"/>
              <w:ind w:firstLineChars="0" w:firstLine="0"/>
              <w:jc w:val="center"/>
              <w:textAlignment w:val="center"/>
              <w:rPr>
                <w:sz w:val="21"/>
                <w:szCs w:val="21"/>
              </w:rPr>
            </w:pPr>
            <w:r>
              <w:rPr>
                <w:rFonts w:hint="eastAsia"/>
                <w:sz w:val="21"/>
                <w:szCs w:val="21"/>
              </w:rPr>
              <w:t>/</w:t>
            </w:r>
          </w:p>
        </w:tc>
        <w:tc>
          <w:tcPr>
            <w:tcW w:w="2229" w:type="dxa"/>
            <w:vAlign w:val="center"/>
          </w:tcPr>
          <w:p w14:paraId="54C6DAB3" w14:textId="77777777" w:rsidR="003E78AB" w:rsidRDefault="003E78AB">
            <w:pPr>
              <w:spacing w:line="360" w:lineRule="exact"/>
              <w:ind w:firstLineChars="0" w:firstLine="0"/>
              <w:jc w:val="center"/>
              <w:rPr>
                <w:sz w:val="21"/>
                <w:szCs w:val="21"/>
              </w:rPr>
            </w:pPr>
          </w:p>
        </w:tc>
        <w:tc>
          <w:tcPr>
            <w:tcW w:w="704" w:type="dxa"/>
            <w:vMerge/>
            <w:vAlign w:val="center"/>
          </w:tcPr>
          <w:p w14:paraId="6BC0E4B5" w14:textId="77777777" w:rsidR="003E78AB" w:rsidRDefault="003E78AB">
            <w:pPr>
              <w:spacing w:line="360" w:lineRule="exact"/>
              <w:ind w:firstLineChars="0" w:firstLine="0"/>
              <w:jc w:val="center"/>
              <w:rPr>
                <w:sz w:val="21"/>
                <w:szCs w:val="21"/>
              </w:rPr>
            </w:pPr>
          </w:p>
        </w:tc>
      </w:tr>
      <w:tr w:rsidR="003E78AB" w14:paraId="42612142" w14:textId="77777777">
        <w:trPr>
          <w:trHeight w:val="340"/>
          <w:jc w:val="center"/>
        </w:trPr>
        <w:tc>
          <w:tcPr>
            <w:tcW w:w="709" w:type="dxa"/>
            <w:vMerge/>
            <w:vAlign w:val="center"/>
          </w:tcPr>
          <w:p w14:paraId="0BE3B2A7" w14:textId="77777777" w:rsidR="003E78AB" w:rsidRDefault="003E78AB">
            <w:pPr>
              <w:spacing w:line="360" w:lineRule="exact"/>
              <w:ind w:firstLineChars="0" w:firstLine="0"/>
              <w:jc w:val="center"/>
              <w:rPr>
                <w:sz w:val="21"/>
                <w:szCs w:val="21"/>
              </w:rPr>
            </w:pPr>
          </w:p>
        </w:tc>
        <w:tc>
          <w:tcPr>
            <w:tcW w:w="709" w:type="dxa"/>
            <w:vMerge/>
            <w:vAlign w:val="center"/>
          </w:tcPr>
          <w:p w14:paraId="394975C1" w14:textId="77777777" w:rsidR="003E78AB" w:rsidRDefault="003E78AB">
            <w:pPr>
              <w:spacing w:line="360" w:lineRule="exact"/>
              <w:ind w:firstLineChars="0" w:firstLine="0"/>
              <w:jc w:val="center"/>
              <w:rPr>
                <w:sz w:val="21"/>
                <w:szCs w:val="21"/>
              </w:rPr>
            </w:pPr>
          </w:p>
        </w:tc>
        <w:tc>
          <w:tcPr>
            <w:tcW w:w="1044" w:type="dxa"/>
            <w:vMerge/>
            <w:vAlign w:val="center"/>
          </w:tcPr>
          <w:p w14:paraId="523732B9" w14:textId="77777777" w:rsidR="003E78AB" w:rsidRDefault="003E78AB">
            <w:pPr>
              <w:spacing w:line="360" w:lineRule="exact"/>
              <w:ind w:firstLineChars="0" w:firstLine="0"/>
              <w:jc w:val="center"/>
              <w:rPr>
                <w:sz w:val="21"/>
                <w:szCs w:val="21"/>
              </w:rPr>
            </w:pPr>
          </w:p>
        </w:tc>
        <w:tc>
          <w:tcPr>
            <w:tcW w:w="1367" w:type="dxa"/>
            <w:vAlign w:val="center"/>
          </w:tcPr>
          <w:p w14:paraId="2AA1B33B" w14:textId="77777777" w:rsidR="003E78AB" w:rsidRDefault="00010BF9">
            <w:pPr>
              <w:spacing w:line="360" w:lineRule="exact"/>
              <w:ind w:firstLineChars="0" w:firstLine="0"/>
              <w:jc w:val="center"/>
              <w:textAlignment w:val="center"/>
              <w:rPr>
                <w:b/>
                <w:bCs/>
                <w:sz w:val="21"/>
                <w:szCs w:val="21"/>
                <w:u w:val="single"/>
              </w:rPr>
            </w:pPr>
            <w:r>
              <w:rPr>
                <w:rFonts w:hint="eastAsia"/>
                <w:b/>
                <w:bCs/>
                <w:sz w:val="21"/>
                <w:szCs w:val="21"/>
                <w:u w:val="single"/>
                <w:lang w:bidi="ar"/>
              </w:rPr>
              <w:t>草酸雾</w:t>
            </w:r>
          </w:p>
        </w:tc>
        <w:tc>
          <w:tcPr>
            <w:tcW w:w="708" w:type="dxa"/>
            <w:vMerge/>
            <w:vAlign w:val="center"/>
          </w:tcPr>
          <w:p w14:paraId="1865B7FA" w14:textId="77777777" w:rsidR="003E78AB" w:rsidRDefault="003E78AB">
            <w:pPr>
              <w:spacing w:line="360" w:lineRule="exact"/>
              <w:ind w:firstLineChars="0" w:firstLine="0"/>
              <w:jc w:val="center"/>
              <w:rPr>
                <w:sz w:val="21"/>
                <w:szCs w:val="21"/>
              </w:rPr>
            </w:pPr>
          </w:p>
        </w:tc>
        <w:tc>
          <w:tcPr>
            <w:tcW w:w="2268" w:type="dxa"/>
            <w:vMerge/>
            <w:vAlign w:val="center"/>
          </w:tcPr>
          <w:p w14:paraId="114FA79F" w14:textId="77777777" w:rsidR="003E78AB" w:rsidRDefault="003E78AB">
            <w:pPr>
              <w:spacing w:line="360" w:lineRule="exact"/>
              <w:ind w:firstLineChars="0" w:firstLine="0"/>
              <w:jc w:val="center"/>
              <w:rPr>
                <w:snapToGrid w:val="0"/>
                <w:sz w:val="21"/>
                <w:szCs w:val="21"/>
              </w:rPr>
            </w:pPr>
          </w:p>
        </w:tc>
        <w:tc>
          <w:tcPr>
            <w:tcW w:w="1134" w:type="dxa"/>
            <w:vMerge/>
            <w:shd w:val="clear" w:color="auto" w:fill="auto"/>
            <w:vAlign w:val="center"/>
          </w:tcPr>
          <w:p w14:paraId="37DE4246" w14:textId="77777777" w:rsidR="003E78AB" w:rsidRDefault="003E78AB">
            <w:pPr>
              <w:spacing w:line="360" w:lineRule="exact"/>
              <w:ind w:firstLineChars="0" w:firstLine="0"/>
              <w:jc w:val="center"/>
              <w:rPr>
                <w:sz w:val="21"/>
                <w:szCs w:val="21"/>
              </w:rPr>
            </w:pPr>
          </w:p>
        </w:tc>
        <w:tc>
          <w:tcPr>
            <w:tcW w:w="1185" w:type="dxa"/>
            <w:vMerge/>
            <w:vAlign w:val="center"/>
          </w:tcPr>
          <w:p w14:paraId="64A14428" w14:textId="77777777" w:rsidR="003E78AB" w:rsidRDefault="003E78AB">
            <w:pPr>
              <w:spacing w:line="360" w:lineRule="exact"/>
              <w:ind w:firstLineChars="0" w:firstLine="0"/>
              <w:jc w:val="center"/>
              <w:rPr>
                <w:sz w:val="21"/>
                <w:szCs w:val="21"/>
              </w:rPr>
            </w:pPr>
          </w:p>
        </w:tc>
        <w:tc>
          <w:tcPr>
            <w:tcW w:w="943" w:type="dxa"/>
            <w:gridSpan w:val="2"/>
            <w:vMerge/>
            <w:vAlign w:val="center"/>
          </w:tcPr>
          <w:p w14:paraId="19C08C5F" w14:textId="77777777" w:rsidR="003E78AB" w:rsidRDefault="003E78AB">
            <w:pPr>
              <w:spacing w:line="360" w:lineRule="exact"/>
              <w:ind w:firstLineChars="0" w:firstLine="0"/>
              <w:jc w:val="center"/>
              <w:rPr>
                <w:sz w:val="21"/>
                <w:szCs w:val="21"/>
              </w:rPr>
            </w:pPr>
          </w:p>
        </w:tc>
        <w:tc>
          <w:tcPr>
            <w:tcW w:w="1597" w:type="dxa"/>
            <w:gridSpan w:val="2"/>
            <w:vMerge/>
            <w:vAlign w:val="center"/>
          </w:tcPr>
          <w:p w14:paraId="0AD5EA30" w14:textId="77777777" w:rsidR="003E78AB" w:rsidRDefault="003E78AB">
            <w:pPr>
              <w:spacing w:line="360" w:lineRule="exact"/>
              <w:ind w:firstLineChars="0" w:firstLine="0"/>
              <w:jc w:val="center"/>
              <w:textAlignment w:val="center"/>
              <w:rPr>
                <w:sz w:val="21"/>
                <w:szCs w:val="21"/>
              </w:rPr>
            </w:pPr>
          </w:p>
        </w:tc>
        <w:tc>
          <w:tcPr>
            <w:tcW w:w="2229" w:type="dxa"/>
            <w:vAlign w:val="center"/>
          </w:tcPr>
          <w:p w14:paraId="4B85E677" w14:textId="77777777" w:rsidR="003E78AB" w:rsidRDefault="00010BF9">
            <w:pPr>
              <w:spacing w:line="360" w:lineRule="exact"/>
              <w:ind w:firstLineChars="0" w:firstLine="0"/>
              <w:jc w:val="center"/>
              <w:rPr>
                <w:sz w:val="21"/>
                <w:szCs w:val="21"/>
              </w:rPr>
            </w:pPr>
            <w:r>
              <w:rPr>
                <w:sz w:val="21"/>
                <w:szCs w:val="21"/>
              </w:rPr>
              <w:t>/</w:t>
            </w:r>
          </w:p>
        </w:tc>
        <w:tc>
          <w:tcPr>
            <w:tcW w:w="704" w:type="dxa"/>
            <w:vMerge/>
            <w:vAlign w:val="center"/>
          </w:tcPr>
          <w:p w14:paraId="6AE73174" w14:textId="77777777" w:rsidR="003E78AB" w:rsidRDefault="003E78AB">
            <w:pPr>
              <w:spacing w:line="360" w:lineRule="exact"/>
              <w:ind w:firstLineChars="0" w:firstLine="0"/>
              <w:jc w:val="center"/>
              <w:rPr>
                <w:sz w:val="21"/>
                <w:szCs w:val="21"/>
              </w:rPr>
            </w:pPr>
          </w:p>
        </w:tc>
      </w:tr>
      <w:tr w:rsidR="003E78AB" w14:paraId="4768C8D8" w14:textId="77777777">
        <w:trPr>
          <w:trHeight w:val="340"/>
          <w:jc w:val="center"/>
        </w:trPr>
        <w:tc>
          <w:tcPr>
            <w:tcW w:w="709" w:type="dxa"/>
            <w:vMerge/>
            <w:vAlign w:val="center"/>
          </w:tcPr>
          <w:p w14:paraId="2345AD08" w14:textId="77777777" w:rsidR="003E78AB" w:rsidRDefault="003E78AB">
            <w:pPr>
              <w:spacing w:line="360" w:lineRule="exact"/>
              <w:ind w:firstLineChars="0" w:firstLine="0"/>
              <w:jc w:val="center"/>
              <w:rPr>
                <w:sz w:val="21"/>
                <w:szCs w:val="21"/>
              </w:rPr>
            </w:pPr>
          </w:p>
        </w:tc>
        <w:tc>
          <w:tcPr>
            <w:tcW w:w="709" w:type="dxa"/>
            <w:vMerge/>
            <w:vAlign w:val="center"/>
          </w:tcPr>
          <w:p w14:paraId="430BCD65" w14:textId="77777777" w:rsidR="003E78AB" w:rsidRDefault="003E78AB">
            <w:pPr>
              <w:spacing w:line="360" w:lineRule="exact"/>
              <w:ind w:firstLineChars="0" w:firstLine="0"/>
              <w:jc w:val="center"/>
              <w:rPr>
                <w:sz w:val="21"/>
                <w:szCs w:val="21"/>
              </w:rPr>
            </w:pPr>
          </w:p>
        </w:tc>
        <w:tc>
          <w:tcPr>
            <w:tcW w:w="1044" w:type="dxa"/>
            <w:vMerge w:val="restart"/>
            <w:vAlign w:val="center"/>
          </w:tcPr>
          <w:p w14:paraId="36D36C17" w14:textId="77777777" w:rsidR="003E78AB" w:rsidRDefault="00010BF9">
            <w:pPr>
              <w:spacing w:line="360" w:lineRule="exact"/>
              <w:ind w:firstLineChars="0" w:firstLine="0"/>
              <w:jc w:val="center"/>
              <w:rPr>
                <w:sz w:val="21"/>
                <w:szCs w:val="21"/>
              </w:rPr>
            </w:pPr>
            <w:r>
              <w:rPr>
                <w:rFonts w:hint="eastAsia"/>
                <w:sz w:val="21"/>
                <w:szCs w:val="21"/>
              </w:rPr>
              <w:t>燃烧废气</w:t>
            </w:r>
          </w:p>
        </w:tc>
        <w:tc>
          <w:tcPr>
            <w:tcW w:w="1367" w:type="dxa"/>
            <w:vAlign w:val="center"/>
          </w:tcPr>
          <w:p w14:paraId="67E6845F" w14:textId="77777777" w:rsidR="003E78AB" w:rsidRDefault="00010BF9">
            <w:pPr>
              <w:spacing w:line="360" w:lineRule="exact"/>
              <w:ind w:firstLineChars="0" w:firstLine="0"/>
              <w:jc w:val="center"/>
              <w:textAlignment w:val="center"/>
              <w:rPr>
                <w:sz w:val="21"/>
                <w:szCs w:val="21"/>
              </w:rPr>
            </w:pPr>
            <w:r>
              <w:rPr>
                <w:sz w:val="21"/>
                <w:szCs w:val="21"/>
                <w:lang w:bidi="ar"/>
              </w:rPr>
              <w:t>颗粒物</w:t>
            </w:r>
          </w:p>
        </w:tc>
        <w:tc>
          <w:tcPr>
            <w:tcW w:w="708" w:type="dxa"/>
            <w:vMerge w:val="restart"/>
            <w:shd w:val="clear" w:color="auto" w:fill="auto"/>
            <w:vAlign w:val="center"/>
          </w:tcPr>
          <w:p w14:paraId="11711E6F" w14:textId="77777777" w:rsidR="003E78AB" w:rsidRDefault="00010BF9">
            <w:pPr>
              <w:spacing w:line="360" w:lineRule="exact"/>
              <w:ind w:firstLineChars="0" w:firstLine="0"/>
              <w:jc w:val="center"/>
              <w:rPr>
                <w:snapToGrid w:val="0"/>
                <w:sz w:val="21"/>
                <w:szCs w:val="21"/>
              </w:rPr>
            </w:pPr>
            <w:r>
              <w:rPr>
                <w:snapToGrid w:val="0"/>
                <w:sz w:val="21"/>
                <w:szCs w:val="21"/>
              </w:rPr>
              <w:t>有组织</w:t>
            </w:r>
          </w:p>
        </w:tc>
        <w:tc>
          <w:tcPr>
            <w:tcW w:w="2268" w:type="dxa"/>
            <w:vMerge w:val="restart"/>
            <w:vAlign w:val="center"/>
          </w:tcPr>
          <w:p w14:paraId="3BA94DB5" w14:textId="77777777" w:rsidR="003E78AB" w:rsidRDefault="00010BF9">
            <w:pPr>
              <w:spacing w:line="360" w:lineRule="exact"/>
              <w:ind w:firstLineChars="0" w:firstLine="0"/>
              <w:jc w:val="center"/>
              <w:rPr>
                <w:snapToGrid w:val="0"/>
                <w:sz w:val="21"/>
                <w:szCs w:val="21"/>
              </w:rPr>
            </w:pPr>
            <w:r>
              <w:rPr>
                <w:snapToGrid w:val="0"/>
                <w:sz w:val="21"/>
                <w:szCs w:val="21"/>
              </w:rPr>
              <w:t>每台锅炉低氮燃烧技术</w:t>
            </w:r>
            <w:r>
              <w:rPr>
                <w:snapToGrid w:val="0"/>
                <w:sz w:val="21"/>
                <w:szCs w:val="21"/>
              </w:rPr>
              <w:t>+</w:t>
            </w:r>
            <w:r>
              <w:rPr>
                <w:snapToGrid w:val="0"/>
                <w:sz w:val="21"/>
                <w:szCs w:val="21"/>
              </w:rPr>
              <w:t>烟气再循环技术，合并一根</w:t>
            </w:r>
            <w:r>
              <w:rPr>
                <w:snapToGrid w:val="0"/>
                <w:sz w:val="21"/>
                <w:szCs w:val="21"/>
              </w:rPr>
              <w:t>15m</w:t>
            </w:r>
            <w:r>
              <w:rPr>
                <w:snapToGrid w:val="0"/>
                <w:sz w:val="21"/>
                <w:szCs w:val="21"/>
              </w:rPr>
              <w:t>排气筒</w:t>
            </w:r>
            <w:r>
              <w:rPr>
                <w:snapToGrid w:val="0"/>
                <w:sz w:val="21"/>
                <w:szCs w:val="21"/>
              </w:rPr>
              <w:t>DA004</w:t>
            </w:r>
          </w:p>
        </w:tc>
        <w:tc>
          <w:tcPr>
            <w:tcW w:w="1134" w:type="dxa"/>
            <w:shd w:val="clear" w:color="auto" w:fill="auto"/>
            <w:vAlign w:val="center"/>
          </w:tcPr>
          <w:p w14:paraId="6916FA3C" w14:textId="77777777" w:rsidR="003E78AB" w:rsidRDefault="00010BF9">
            <w:pPr>
              <w:spacing w:line="360" w:lineRule="exact"/>
              <w:ind w:firstLineChars="0" w:firstLine="0"/>
              <w:jc w:val="center"/>
              <w:rPr>
                <w:sz w:val="21"/>
                <w:szCs w:val="21"/>
              </w:rPr>
            </w:pPr>
            <w:r>
              <w:rPr>
                <w:rFonts w:hint="eastAsia"/>
                <w:sz w:val="21"/>
                <w:szCs w:val="21"/>
              </w:rPr>
              <w:t>5.90</w:t>
            </w:r>
          </w:p>
        </w:tc>
        <w:tc>
          <w:tcPr>
            <w:tcW w:w="1185" w:type="dxa"/>
            <w:vAlign w:val="center"/>
          </w:tcPr>
          <w:p w14:paraId="318AB5B3" w14:textId="77777777" w:rsidR="003E78AB" w:rsidRDefault="00010BF9">
            <w:pPr>
              <w:spacing w:line="360" w:lineRule="exact"/>
              <w:ind w:firstLineChars="0" w:firstLine="0"/>
              <w:jc w:val="center"/>
              <w:rPr>
                <w:sz w:val="21"/>
                <w:szCs w:val="21"/>
              </w:rPr>
            </w:pPr>
            <w:r>
              <w:rPr>
                <w:rFonts w:hint="eastAsia"/>
                <w:sz w:val="21"/>
                <w:szCs w:val="21"/>
              </w:rPr>
              <w:t>0.1201</w:t>
            </w:r>
          </w:p>
        </w:tc>
        <w:tc>
          <w:tcPr>
            <w:tcW w:w="943" w:type="dxa"/>
            <w:gridSpan w:val="2"/>
            <w:vAlign w:val="center"/>
          </w:tcPr>
          <w:p w14:paraId="31696F11" w14:textId="77777777" w:rsidR="003E78AB" w:rsidRDefault="00010BF9">
            <w:pPr>
              <w:spacing w:line="360" w:lineRule="exact"/>
              <w:ind w:firstLineChars="0" w:firstLine="0"/>
              <w:jc w:val="center"/>
              <w:rPr>
                <w:sz w:val="21"/>
                <w:szCs w:val="21"/>
              </w:rPr>
            </w:pPr>
            <w:r>
              <w:rPr>
                <w:rFonts w:hint="eastAsia"/>
                <w:sz w:val="21"/>
                <w:szCs w:val="21"/>
              </w:rPr>
              <w:t>0.1201</w:t>
            </w:r>
          </w:p>
        </w:tc>
        <w:tc>
          <w:tcPr>
            <w:tcW w:w="1597" w:type="dxa"/>
            <w:gridSpan w:val="2"/>
            <w:vAlign w:val="center"/>
          </w:tcPr>
          <w:p w14:paraId="34D6AD41" w14:textId="77777777" w:rsidR="003E78AB" w:rsidRDefault="00010BF9">
            <w:pPr>
              <w:spacing w:line="360" w:lineRule="exact"/>
              <w:ind w:firstLineChars="0" w:firstLine="0"/>
              <w:jc w:val="center"/>
              <w:textAlignment w:val="center"/>
              <w:rPr>
                <w:sz w:val="21"/>
                <w:szCs w:val="21"/>
              </w:rPr>
            </w:pPr>
            <w:r>
              <w:rPr>
                <w:rFonts w:hint="eastAsia"/>
                <w:sz w:val="21"/>
                <w:szCs w:val="21"/>
              </w:rPr>
              <w:t>20</w:t>
            </w:r>
          </w:p>
        </w:tc>
        <w:tc>
          <w:tcPr>
            <w:tcW w:w="2229" w:type="dxa"/>
            <w:vMerge w:val="restart"/>
            <w:vAlign w:val="center"/>
          </w:tcPr>
          <w:p w14:paraId="2AC1546E"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《锅炉大气污染物排放标准》</w:t>
            </w:r>
            <w:r>
              <w:rPr>
                <w:rFonts w:ascii="Times New Roman" w:hAnsi="Times New Roman" w:cs="Times New Roman" w:hint="eastAsia"/>
                <w:sz w:val="21"/>
                <w:szCs w:val="21"/>
              </w:rPr>
              <w:t>（</w:t>
            </w:r>
            <w:r>
              <w:rPr>
                <w:rFonts w:ascii="Times New Roman" w:hAnsi="Times New Roman" w:cs="Times New Roman"/>
                <w:sz w:val="21"/>
                <w:szCs w:val="21"/>
              </w:rPr>
              <w:t>GB13271-2014</w:t>
            </w:r>
            <w:r>
              <w:rPr>
                <w:rFonts w:ascii="Times New Roman" w:hAnsi="Times New Roman" w:cs="Times New Roman" w:hint="eastAsia"/>
                <w:sz w:val="21"/>
                <w:szCs w:val="21"/>
              </w:rPr>
              <w:t>）</w:t>
            </w:r>
          </w:p>
        </w:tc>
        <w:tc>
          <w:tcPr>
            <w:tcW w:w="704" w:type="dxa"/>
            <w:vMerge/>
            <w:vAlign w:val="center"/>
          </w:tcPr>
          <w:p w14:paraId="55D0D42E" w14:textId="77777777" w:rsidR="003E78AB" w:rsidRDefault="003E78AB">
            <w:pPr>
              <w:spacing w:line="360" w:lineRule="exact"/>
              <w:ind w:firstLineChars="0" w:firstLine="0"/>
              <w:jc w:val="center"/>
              <w:rPr>
                <w:sz w:val="21"/>
                <w:szCs w:val="21"/>
              </w:rPr>
            </w:pPr>
          </w:p>
        </w:tc>
      </w:tr>
      <w:tr w:rsidR="003E78AB" w14:paraId="078012BB" w14:textId="77777777">
        <w:trPr>
          <w:trHeight w:val="340"/>
          <w:jc w:val="center"/>
        </w:trPr>
        <w:tc>
          <w:tcPr>
            <w:tcW w:w="709" w:type="dxa"/>
            <w:vMerge/>
            <w:vAlign w:val="center"/>
          </w:tcPr>
          <w:p w14:paraId="19EDE209" w14:textId="77777777" w:rsidR="003E78AB" w:rsidRDefault="003E78AB">
            <w:pPr>
              <w:spacing w:line="360" w:lineRule="exact"/>
              <w:ind w:firstLineChars="0" w:firstLine="0"/>
              <w:jc w:val="center"/>
              <w:rPr>
                <w:sz w:val="21"/>
                <w:szCs w:val="21"/>
              </w:rPr>
            </w:pPr>
          </w:p>
        </w:tc>
        <w:tc>
          <w:tcPr>
            <w:tcW w:w="709" w:type="dxa"/>
            <w:vMerge/>
            <w:vAlign w:val="center"/>
          </w:tcPr>
          <w:p w14:paraId="56052565" w14:textId="77777777" w:rsidR="003E78AB" w:rsidRDefault="003E78AB">
            <w:pPr>
              <w:spacing w:line="360" w:lineRule="exact"/>
              <w:ind w:firstLineChars="0" w:firstLine="0"/>
              <w:jc w:val="center"/>
              <w:rPr>
                <w:sz w:val="21"/>
                <w:szCs w:val="21"/>
              </w:rPr>
            </w:pPr>
          </w:p>
        </w:tc>
        <w:tc>
          <w:tcPr>
            <w:tcW w:w="1044" w:type="dxa"/>
            <w:vMerge/>
            <w:vAlign w:val="center"/>
          </w:tcPr>
          <w:p w14:paraId="1E788164" w14:textId="77777777" w:rsidR="003E78AB" w:rsidRDefault="003E78AB">
            <w:pPr>
              <w:spacing w:line="360" w:lineRule="exact"/>
              <w:ind w:firstLineChars="0" w:firstLine="0"/>
              <w:jc w:val="center"/>
              <w:rPr>
                <w:sz w:val="21"/>
                <w:szCs w:val="21"/>
              </w:rPr>
            </w:pPr>
          </w:p>
        </w:tc>
        <w:tc>
          <w:tcPr>
            <w:tcW w:w="1367" w:type="dxa"/>
            <w:vAlign w:val="center"/>
          </w:tcPr>
          <w:p w14:paraId="100889CF" w14:textId="77777777" w:rsidR="003E78AB" w:rsidRDefault="00010BF9">
            <w:pPr>
              <w:spacing w:line="360" w:lineRule="exact"/>
              <w:ind w:firstLineChars="0" w:firstLine="0"/>
              <w:jc w:val="center"/>
              <w:textAlignment w:val="center"/>
              <w:rPr>
                <w:sz w:val="21"/>
                <w:szCs w:val="21"/>
              </w:rPr>
            </w:pPr>
            <w:r>
              <w:rPr>
                <w:sz w:val="21"/>
                <w:szCs w:val="21"/>
                <w:lang w:bidi="ar"/>
              </w:rPr>
              <w:t>SO</w:t>
            </w:r>
            <w:r>
              <w:rPr>
                <w:rStyle w:val="font61"/>
                <w:color w:val="auto"/>
                <w:lang w:bidi="ar"/>
              </w:rPr>
              <w:t>2</w:t>
            </w:r>
          </w:p>
        </w:tc>
        <w:tc>
          <w:tcPr>
            <w:tcW w:w="708" w:type="dxa"/>
            <w:vMerge/>
            <w:vAlign w:val="center"/>
          </w:tcPr>
          <w:p w14:paraId="329B91AF" w14:textId="77777777" w:rsidR="003E78AB" w:rsidRDefault="003E78AB">
            <w:pPr>
              <w:spacing w:line="360" w:lineRule="exact"/>
              <w:ind w:firstLineChars="0" w:firstLine="0"/>
              <w:jc w:val="center"/>
              <w:rPr>
                <w:sz w:val="21"/>
                <w:szCs w:val="21"/>
              </w:rPr>
            </w:pPr>
          </w:p>
        </w:tc>
        <w:tc>
          <w:tcPr>
            <w:tcW w:w="2268" w:type="dxa"/>
            <w:vMerge/>
            <w:vAlign w:val="center"/>
          </w:tcPr>
          <w:p w14:paraId="1530A4FE"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06366384" w14:textId="77777777" w:rsidR="003E78AB" w:rsidRDefault="00010BF9">
            <w:pPr>
              <w:spacing w:line="360" w:lineRule="exact"/>
              <w:ind w:firstLineChars="0" w:firstLine="0"/>
              <w:jc w:val="center"/>
              <w:rPr>
                <w:sz w:val="21"/>
                <w:szCs w:val="21"/>
              </w:rPr>
            </w:pPr>
            <w:r>
              <w:rPr>
                <w:rFonts w:hint="eastAsia"/>
                <w:sz w:val="21"/>
                <w:szCs w:val="21"/>
              </w:rPr>
              <w:t>7.51</w:t>
            </w:r>
          </w:p>
        </w:tc>
        <w:tc>
          <w:tcPr>
            <w:tcW w:w="1185" w:type="dxa"/>
            <w:vAlign w:val="center"/>
          </w:tcPr>
          <w:p w14:paraId="6F947E1D" w14:textId="77777777" w:rsidR="003E78AB" w:rsidRDefault="00010BF9">
            <w:pPr>
              <w:spacing w:line="360" w:lineRule="exact"/>
              <w:ind w:firstLineChars="0" w:firstLine="0"/>
              <w:jc w:val="center"/>
              <w:rPr>
                <w:sz w:val="21"/>
                <w:szCs w:val="21"/>
              </w:rPr>
            </w:pPr>
            <w:r>
              <w:rPr>
                <w:rFonts w:hint="eastAsia"/>
                <w:sz w:val="21"/>
                <w:szCs w:val="21"/>
              </w:rPr>
              <w:t>0.1529</w:t>
            </w:r>
          </w:p>
        </w:tc>
        <w:tc>
          <w:tcPr>
            <w:tcW w:w="943" w:type="dxa"/>
            <w:gridSpan w:val="2"/>
            <w:vAlign w:val="center"/>
          </w:tcPr>
          <w:p w14:paraId="2EB72376" w14:textId="77777777" w:rsidR="003E78AB" w:rsidRDefault="00010BF9">
            <w:pPr>
              <w:spacing w:line="360" w:lineRule="exact"/>
              <w:ind w:firstLineChars="0" w:firstLine="0"/>
              <w:jc w:val="center"/>
              <w:rPr>
                <w:sz w:val="21"/>
                <w:szCs w:val="21"/>
              </w:rPr>
            </w:pPr>
            <w:r>
              <w:rPr>
                <w:rFonts w:hint="eastAsia"/>
                <w:sz w:val="21"/>
                <w:szCs w:val="21"/>
              </w:rPr>
              <w:t>0.1529</w:t>
            </w:r>
          </w:p>
        </w:tc>
        <w:tc>
          <w:tcPr>
            <w:tcW w:w="1597" w:type="dxa"/>
            <w:gridSpan w:val="2"/>
            <w:vAlign w:val="center"/>
          </w:tcPr>
          <w:p w14:paraId="42D82256" w14:textId="77777777" w:rsidR="003E78AB" w:rsidRDefault="00010BF9">
            <w:pPr>
              <w:spacing w:line="360" w:lineRule="exact"/>
              <w:ind w:firstLineChars="0" w:firstLine="0"/>
              <w:jc w:val="center"/>
              <w:textAlignment w:val="center"/>
              <w:rPr>
                <w:sz w:val="21"/>
                <w:szCs w:val="21"/>
              </w:rPr>
            </w:pPr>
            <w:r>
              <w:rPr>
                <w:rFonts w:hint="eastAsia"/>
                <w:sz w:val="21"/>
                <w:szCs w:val="21"/>
              </w:rPr>
              <w:t>50</w:t>
            </w:r>
          </w:p>
        </w:tc>
        <w:tc>
          <w:tcPr>
            <w:tcW w:w="2229" w:type="dxa"/>
            <w:vMerge/>
            <w:vAlign w:val="center"/>
          </w:tcPr>
          <w:p w14:paraId="78AA071E" w14:textId="77777777" w:rsidR="003E78AB" w:rsidRDefault="003E78AB">
            <w:pPr>
              <w:spacing w:line="360" w:lineRule="exact"/>
              <w:ind w:firstLineChars="0" w:firstLine="0"/>
              <w:jc w:val="center"/>
              <w:rPr>
                <w:sz w:val="21"/>
                <w:szCs w:val="21"/>
              </w:rPr>
            </w:pPr>
          </w:p>
        </w:tc>
        <w:tc>
          <w:tcPr>
            <w:tcW w:w="704" w:type="dxa"/>
            <w:vMerge/>
            <w:vAlign w:val="center"/>
          </w:tcPr>
          <w:p w14:paraId="2DE00DD9" w14:textId="77777777" w:rsidR="003E78AB" w:rsidRDefault="003E78AB">
            <w:pPr>
              <w:spacing w:line="360" w:lineRule="exact"/>
              <w:ind w:firstLineChars="0" w:firstLine="0"/>
              <w:jc w:val="center"/>
              <w:rPr>
                <w:sz w:val="21"/>
                <w:szCs w:val="21"/>
              </w:rPr>
            </w:pPr>
          </w:p>
        </w:tc>
      </w:tr>
      <w:tr w:rsidR="003E78AB" w14:paraId="50DF726C" w14:textId="77777777">
        <w:trPr>
          <w:trHeight w:val="340"/>
          <w:jc w:val="center"/>
        </w:trPr>
        <w:tc>
          <w:tcPr>
            <w:tcW w:w="709" w:type="dxa"/>
            <w:vMerge/>
            <w:vAlign w:val="center"/>
          </w:tcPr>
          <w:p w14:paraId="575B3BB1" w14:textId="77777777" w:rsidR="003E78AB" w:rsidRDefault="003E78AB">
            <w:pPr>
              <w:spacing w:line="360" w:lineRule="exact"/>
              <w:ind w:firstLineChars="0" w:firstLine="0"/>
              <w:jc w:val="center"/>
              <w:rPr>
                <w:sz w:val="21"/>
                <w:szCs w:val="21"/>
              </w:rPr>
            </w:pPr>
          </w:p>
        </w:tc>
        <w:tc>
          <w:tcPr>
            <w:tcW w:w="709" w:type="dxa"/>
            <w:vMerge/>
            <w:vAlign w:val="center"/>
          </w:tcPr>
          <w:p w14:paraId="620DD223" w14:textId="77777777" w:rsidR="003E78AB" w:rsidRDefault="003E78AB">
            <w:pPr>
              <w:spacing w:line="360" w:lineRule="exact"/>
              <w:ind w:firstLineChars="0" w:firstLine="0"/>
              <w:jc w:val="center"/>
              <w:rPr>
                <w:sz w:val="21"/>
                <w:szCs w:val="21"/>
              </w:rPr>
            </w:pPr>
          </w:p>
        </w:tc>
        <w:tc>
          <w:tcPr>
            <w:tcW w:w="1044" w:type="dxa"/>
            <w:vMerge/>
            <w:vAlign w:val="center"/>
          </w:tcPr>
          <w:p w14:paraId="47436494" w14:textId="77777777" w:rsidR="003E78AB" w:rsidRDefault="003E78AB">
            <w:pPr>
              <w:spacing w:line="360" w:lineRule="exact"/>
              <w:ind w:firstLineChars="0" w:firstLine="0"/>
              <w:jc w:val="center"/>
              <w:rPr>
                <w:sz w:val="21"/>
                <w:szCs w:val="21"/>
              </w:rPr>
            </w:pPr>
          </w:p>
        </w:tc>
        <w:tc>
          <w:tcPr>
            <w:tcW w:w="1367" w:type="dxa"/>
            <w:vAlign w:val="center"/>
          </w:tcPr>
          <w:p w14:paraId="7F764FC3" w14:textId="77777777" w:rsidR="003E78AB" w:rsidRDefault="00010BF9">
            <w:pPr>
              <w:spacing w:line="360" w:lineRule="exact"/>
              <w:ind w:firstLineChars="0" w:firstLine="0"/>
              <w:jc w:val="center"/>
              <w:textAlignment w:val="center"/>
              <w:rPr>
                <w:sz w:val="21"/>
                <w:szCs w:val="21"/>
              </w:rPr>
            </w:pPr>
            <w:r>
              <w:rPr>
                <w:sz w:val="21"/>
                <w:szCs w:val="21"/>
                <w:lang w:bidi="ar"/>
              </w:rPr>
              <w:t>NOx</w:t>
            </w:r>
          </w:p>
        </w:tc>
        <w:tc>
          <w:tcPr>
            <w:tcW w:w="708" w:type="dxa"/>
            <w:vMerge/>
            <w:vAlign w:val="center"/>
          </w:tcPr>
          <w:p w14:paraId="78DEEF69" w14:textId="77777777" w:rsidR="003E78AB" w:rsidRDefault="003E78AB">
            <w:pPr>
              <w:spacing w:line="360" w:lineRule="exact"/>
              <w:ind w:firstLineChars="0" w:firstLine="0"/>
              <w:jc w:val="center"/>
              <w:rPr>
                <w:sz w:val="21"/>
                <w:szCs w:val="21"/>
              </w:rPr>
            </w:pPr>
          </w:p>
        </w:tc>
        <w:tc>
          <w:tcPr>
            <w:tcW w:w="2268" w:type="dxa"/>
            <w:vMerge/>
            <w:vAlign w:val="center"/>
          </w:tcPr>
          <w:p w14:paraId="1B938DDA" w14:textId="77777777" w:rsidR="003E78AB" w:rsidRDefault="003E78AB">
            <w:pPr>
              <w:spacing w:line="360" w:lineRule="exact"/>
              <w:ind w:firstLineChars="0" w:firstLine="0"/>
              <w:jc w:val="center"/>
              <w:rPr>
                <w:sz w:val="21"/>
                <w:szCs w:val="21"/>
              </w:rPr>
            </w:pPr>
          </w:p>
        </w:tc>
        <w:tc>
          <w:tcPr>
            <w:tcW w:w="1134" w:type="dxa"/>
            <w:vAlign w:val="center"/>
          </w:tcPr>
          <w:p w14:paraId="06B59DAB" w14:textId="77777777" w:rsidR="003E78AB" w:rsidRDefault="00010BF9">
            <w:pPr>
              <w:spacing w:line="360" w:lineRule="exact"/>
              <w:ind w:firstLineChars="0" w:firstLine="0"/>
              <w:jc w:val="center"/>
              <w:rPr>
                <w:sz w:val="21"/>
                <w:szCs w:val="21"/>
              </w:rPr>
            </w:pPr>
            <w:r>
              <w:rPr>
                <w:rFonts w:hint="eastAsia"/>
                <w:sz w:val="21"/>
                <w:szCs w:val="21"/>
              </w:rPr>
              <w:t>50</w:t>
            </w:r>
          </w:p>
        </w:tc>
        <w:tc>
          <w:tcPr>
            <w:tcW w:w="1185" w:type="dxa"/>
            <w:vAlign w:val="center"/>
          </w:tcPr>
          <w:p w14:paraId="006E68D0" w14:textId="77777777" w:rsidR="003E78AB" w:rsidRDefault="00010BF9">
            <w:pPr>
              <w:spacing w:line="360" w:lineRule="exact"/>
              <w:ind w:firstLineChars="0" w:firstLine="0"/>
              <w:jc w:val="center"/>
              <w:rPr>
                <w:sz w:val="21"/>
                <w:szCs w:val="21"/>
              </w:rPr>
            </w:pPr>
            <w:r>
              <w:rPr>
                <w:rFonts w:hint="eastAsia"/>
                <w:sz w:val="21"/>
                <w:szCs w:val="21"/>
              </w:rPr>
              <w:t>1.0175</w:t>
            </w:r>
          </w:p>
        </w:tc>
        <w:tc>
          <w:tcPr>
            <w:tcW w:w="943" w:type="dxa"/>
            <w:gridSpan w:val="2"/>
            <w:vAlign w:val="center"/>
          </w:tcPr>
          <w:p w14:paraId="26B7B62D" w14:textId="77777777" w:rsidR="003E78AB" w:rsidRDefault="00010BF9">
            <w:pPr>
              <w:spacing w:line="360" w:lineRule="exact"/>
              <w:ind w:firstLineChars="0" w:firstLine="0"/>
              <w:jc w:val="center"/>
              <w:rPr>
                <w:sz w:val="21"/>
                <w:szCs w:val="21"/>
              </w:rPr>
            </w:pPr>
            <w:r>
              <w:rPr>
                <w:rFonts w:hint="eastAsia"/>
                <w:sz w:val="21"/>
                <w:szCs w:val="21"/>
              </w:rPr>
              <w:t>1.0175</w:t>
            </w:r>
          </w:p>
        </w:tc>
        <w:tc>
          <w:tcPr>
            <w:tcW w:w="1597" w:type="dxa"/>
            <w:gridSpan w:val="2"/>
            <w:vAlign w:val="center"/>
          </w:tcPr>
          <w:p w14:paraId="70D4A22E" w14:textId="77777777" w:rsidR="003E78AB" w:rsidRDefault="00010BF9">
            <w:pPr>
              <w:spacing w:line="360" w:lineRule="exact"/>
              <w:ind w:firstLineChars="0" w:firstLine="0"/>
              <w:jc w:val="center"/>
              <w:textAlignment w:val="center"/>
              <w:rPr>
                <w:sz w:val="21"/>
                <w:szCs w:val="21"/>
              </w:rPr>
            </w:pPr>
            <w:r>
              <w:rPr>
                <w:rFonts w:hint="eastAsia"/>
                <w:sz w:val="21"/>
                <w:szCs w:val="21"/>
              </w:rPr>
              <w:t>50</w:t>
            </w:r>
          </w:p>
        </w:tc>
        <w:tc>
          <w:tcPr>
            <w:tcW w:w="2229" w:type="dxa"/>
            <w:vAlign w:val="center"/>
          </w:tcPr>
          <w:p w14:paraId="285EAF25" w14:textId="77777777" w:rsidR="003E78AB" w:rsidRDefault="00010BF9">
            <w:pPr>
              <w:pStyle w:val="TableParagraph"/>
              <w:topLinePunct/>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《关于开展自治区</w:t>
            </w:r>
            <w:r>
              <w:rPr>
                <w:rFonts w:ascii="Times New Roman" w:hAnsi="Times New Roman" w:cs="Times New Roman"/>
                <w:sz w:val="21"/>
                <w:szCs w:val="21"/>
              </w:rPr>
              <w:t>2022</w:t>
            </w:r>
            <w:r>
              <w:rPr>
                <w:rFonts w:ascii="Times New Roman" w:hAnsi="Times New Roman" w:cs="Times New Roman"/>
                <w:sz w:val="21"/>
                <w:szCs w:val="21"/>
              </w:rPr>
              <w:t>年度夏秋季大气污染防治</w:t>
            </w:r>
            <w:r>
              <w:rPr>
                <w:rFonts w:ascii="Times New Roman" w:hAnsi="Times New Roman" w:cs="Times New Roman"/>
                <w:sz w:val="21"/>
                <w:szCs w:val="21"/>
              </w:rPr>
              <w:t>“</w:t>
            </w:r>
            <w:r>
              <w:rPr>
                <w:rFonts w:ascii="Times New Roman" w:hAnsi="Times New Roman" w:cs="Times New Roman"/>
                <w:sz w:val="21"/>
                <w:szCs w:val="21"/>
              </w:rPr>
              <w:t>冬病夏治</w:t>
            </w:r>
            <w:r>
              <w:rPr>
                <w:rFonts w:ascii="Times New Roman" w:hAnsi="Times New Roman" w:cs="Times New Roman"/>
                <w:sz w:val="21"/>
                <w:szCs w:val="21"/>
              </w:rPr>
              <w:t>”</w:t>
            </w:r>
            <w:r>
              <w:rPr>
                <w:rFonts w:ascii="Times New Roman" w:hAnsi="Times New Roman" w:cs="Times New Roman"/>
                <w:sz w:val="21"/>
                <w:szCs w:val="21"/>
              </w:rPr>
              <w:t>工作的通知》（新环大气函〔</w:t>
            </w:r>
            <w:r>
              <w:rPr>
                <w:rFonts w:ascii="Times New Roman" w:hAnsi="Times New Roman" w:cs="Times New Roman"/>
                <w:sz w:val="21"/>
                <w:szCs w:val="21"/>
              </w:rPr>
              <w:t>2022</w:t>
            </w:r>
            <w:r>
              <w:rPr>
                <w:rFonts w:ascii="Times New Roman" w:hAnsi="Times New Roman" w:cs="Times New Roman"/>
                <w:sz w:val="21"/>
                <w:szCs w:val="21"/>
              </w:rPr>
              <w:t>〕</w:t>
            </w:r>
            <w:r>
              <w:rPr>
                <w:rFonts w:ascii="Times New Roman" w:hAnsi="Times New Roman" w:cs="Times New Roman"/>
                <w:sz w:val="21"/>
                <w:szCs w:val="21"/>
              </w:rPr>
              <w:t>483</w:t>
            </w:r>
            <w:r>
              <w:rPr>
                <w:rFonts w:ascii="Times New Roman" w:hAnsi="Times New Roman" w:cs="Times New Roman"/>
                <w:sz w:val="21"/>
                <w:szCs w:val="21"/>
              </w:rPr>
              <w:t>号）</w:t>
            </w:r>
          </w:p>
        </w:tc>
        <w:tc>
          <w:tcPr>
            <w:tcW w:w="704" w:type="dxa"/>
            <w:vMerge/>
            <w:vAlign w:val="center"/>
          </w:tcPr>
          <w:p w14:paraId="5371D404" w14:textId="77777777" w:rsidR="003E78AB" w:rsidRDefault="003E78AB">
            <w:pPr>
              <w:spacing w:line="360" w:lineRule="exact"/>
              <w:ind w:firstLineChars="0" w:firstLine="0"/>
              <w:jc w:val="center"/>
              <w:rPr>
                <w:sz w:val="21"/>
                <w:szCs w:val="21"/>
              </w:rPr>
            </w:pPr>
          </w:p>
        </w:tc>
      </w:tr>
      <w:tr w:rsidR="003E78AB" w14:paraId="472DAB76" w14:textId="77777777">
        <w:trPr>
          <w:trHeight w:val="340"/>
          <w:jc w:val="center"/>
        </w:trPr>
        <w:tc>
          <w:tcPr>
            <w:tcW w:w="709" w:type="dxa"/>
            <w:vMerge/>
            <w:vAlign w:val="center"/>
          </w:tcPr>
          <w:p w14:paraId="27357253" w14:textId="77777777" w:rsidR="003E78AB" w:rsidRDefault="003E78AB">
            <w:pPr>
              <w:spacing w:line="360" w:lineRule="exact"/>
              <w:ind w:firstLineChars="0" w:firstLine="0"/>
              <w:jc w:val="center"/>
              <w:rPr>
                <w:snapToGrid w:val="0"/>
                <w:sz w:val="21"/>
                <w:szCs w:val="21"/>
              </w:rPr>
            </w:pPr>
          </w:p>
        </w:tc>
        <w:tc>
          <w:tcPr>
            <w:tcW w:w="709" w:type="dxa"/>
            <w:vMerge w:val="restart"/>
            <w:vAlign w:val="center"/>
          </w:tcPr>
          <w:p w14:paraId="486FB2DE" w14:textId="77777777" w:rsidR="003E78AB" w:rsidRDefault="00010BF9">
            <w:pPr>
              <w:spacing w:line="360" w:lineRule="exact"/>
              <w:ind w:firstLineChars="0" w:firstLine="0"/>
              <w:jc w:val="center"/>
              <w:rPr>
                <w:snapToGrid w:val="0"/>
                <w:sz w:val="21"/>
                <w:szCs w:val="21"/>
              </w:rPr>
            </w:pPr>
            <w:r>
              <w:rPr>
                <w:snapToGrid w:val="0"/>
                <w:sz w:val="21"/>
                <w:szCs w:val="21"/>
              </w:rPr>
              <w:t>主体工程</w:t>
            </w:r>
          </w:p>
        </w:tc>
        <w:tc>
          <w:tcPr>
            <w:tcW w:w="1044" w:type="dxa"/>
            <w:vAlign w:val="center"/>
          </w:tcPr>
          <w:p w14:paraId="002DCAE4" w14:textId="77777777" w:rsidR="003E78AB" w:rsidRDefault="00010BF9">
            <w:pPr>
              <w:spacing w:line="360" w:lineRule="exact"/>
              <w:ind w:firstLineChars="0" w:firstLine="0"/>
              <w:jc w:val="center"/>
              <w:textAlignment w:val="center"/>
              <w:rPr>
                <w:bCs/>
                <w:kern w:val="2"/>
                <w:sz w:val="21"/>
                <w:szCs w:val="21"/>
              </w:rPr>
            </w:pPr>
            <w:r>
              <w:rPr>
                <w:sz w:val="21"/>
                <w:szCs w:val="21"/>
                <w:lang w:bidi="ar"/>
              </w:rPr>
              <w:t>拆包投料</w:t>
            </w:r>
          </w:p>
        </w:tc>
        <w:tc>
          <w:tcPr>
            <w:tcW w:w="1367" w:type="dxa"/>
            <w:vAlign w:val="center"/>
          </w:tcPr>
          <w:p w14:paraId="77CD30F1" w14:textId="77777777" w:rsidR="003E78AB" w:rsidRDefault="00010BF9">
            <w:pPr>
              <w:spacing w:line="360" w:lineRule="exact"/>
              <w:ind w:firstLineChars="0" w:firstLine="0"/>
              <w:jc w:val="center"/>
              <w:rPr>
                <w:kern w:val="2"/>
                <w:sz w:val="21"/>
                <w:szCs w:val="21"/>
                <w:lang w:eastAsia="en-US" w:bidi="en-US"/>
              </w:rPr>
            </w:pPr>
            <w:r>
              <w:rPr>
                <w:rFonts w:hint="eastAsia"/>
                <w:kern w:val="2"/>
                <w:sz w:val="21"/>
                <w:szCs w:val="21"/>
                <w:lang w:bidi="en-US"/>
              </w:rPr>
              <w:t>颗粒物</w:t>
            </w:r>
          </w:p>
        </w:tc>
        <w:tc>
          <w:tcPr>
            <w:tcW w:w="708" w:type="dxa"/>
            <w:vAlign w:val="center"/>
          </w:tcPr>
          <w:p w14:paraId="15DB7C86" w14:textId="77777777" w:rsidR="003E78AB" w:rsidRDefault="00010BF9">
            <w:pPr>
              <w:spacing w:line="360" w:lineRule="exact"/>
              <w:ind w:firstLineChars="0" w:firstLine="0"/>
              <w:jc w:val="center"/>
              <w:rPr>
                <w:snapToGrid w:val="0"/>
                <w:sz w:val="21"/>
                <w:szCs w:val="21"/>
              </w:rPr>
            </w:pPr>
            <w:r>
              <w:rPr>
                <w:snapToGrid w:val="0"/>
                <w:sz w:val="21"/>
                <w:szCs w:val="21"/>
              </w:rPr>
              <w:t>无组织</w:t>
            </w:r>
          </w:p>
        </w:tc>
        <w:tc>
          <w:tcPr>
            <w:tcW w:w="2268" w:type="dxa"/>
            <w:vAlign w:val="center"/>
          </w:tcPr>
          <w:p w14:paraId="2044E2FE" w14:textId="77777777" w:rsidR="003E78AB" w:rsidRDefault="00010BF9">
            <w:pPr>
              <w:spacing w:line="360" w:lineRule="exact"/>
              <w:ind w:firstLineChars="0" w:firstLine="0"/>
              <w:jc w:val="center"/>
              <w:rPr>
                <w:bCs/>
                <w:kern w:val="2"/>
                <w:sz w:val="21"/>
                <w:szCs w:val="21"/>
              </w:rPr>
            </w:pPr>
            <w:r>
              <w:rPr>
                <w:rFonts w:hint="eastAsia"/>
                <w:kern w:val="2"/>
                <w:sz w:val="21"/>
                <w:szCs w:val="21"/>
              </w:rPr>
              <w:t>真空投料、加强封闭</w:t>
            </w:r>
          </w:p>
        </w:tc>
        <w:tc>
          <w:tcPr>
            <w:tcW w:w="1134" w:type="dxa"/>
            <w:vAlign w:val="center"/>
          </w:tcPr>
          <w:p w14:paraId="0DC4FA9A"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58CE8EA1"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0.0871</w:t>
            </w:r>
          </w:p>
        </w:tc>
        <w:tc>
          <w:tcPr>
            <w:tcW w:w="943" w:type="dxa"/>
            <w:gridSpan w:val="2"/>
            <w:vAlign w:val="center"/>
          </w:tcPr>
          <w:p w14:paraId="0742A888" w14:textId="77777777" w:rsidR="003E78AB" w:rsidRDefault="00010BF9">
            <w:pPr>
              <w:spacing w:line="360" w:lineRule="exact"/>
              <w:ind w:firstLineChars="0" w:firstLine="0"/>
              <w:jc w:val="center"/>
              <w:rPr>
                <w:snapToGrid w:val="0"/>
                <w:sz w:val="21"/>
                <w:szCs w:val="21"/>
              </w:rPr>
            </w:pPr>
            <w:r>
              <w:rPr>
                <w:rFonts w:hint="eastAsia"/>
                <w:sz w:val="21"/>
                <w:szCs w:val="21"/>
                <w:lang w:bidi="ar"/>
              </w:rPr>
              <w:t>0.0871</w:t>
            </w:r>
          </w:p>
        </w:tc>
        <w:tc>
          <w:tcPr>
            <w:tcW w:w="1597" w:type="dxa"/>
            <w:gridSpan w:val="2"/>
            <w:vAlign w:val="center"/>
          </w:tcPr>
          <w:p w14:paraId="23482E6B" w14:textId="77777777" w:rsidR="003E78AB" w:rsidRDefault="00010BF9">
            <w:pPr>
              <w:spacing w:line="360" w:lineRule="exact"/>
              <w:ind w:firstLineChars="0" w:firstLine="0"/>
              <w:jc w:val="center"/>
              <w:rPr>
                <w:bCs/>
                <w:kern w:val="2"/>
                <w:sz w:val="21"/>
                <w:szCs w:val="21"/>
              </w:rPr>
            </w:pPr>
            <w:r>
              <w:rPr>
                <w:rFonts w:hint="eastAsia"/>
                <w:sz w:val="21"/>
                <w:szCs w:val="21"/>
              </w:rPr>
              <w:t>1.0</w:t>
            </w:r>
          </w:p>
        </w:tc>
        <w:tc>
          <w:tcPr>
            <w:tcW w:w="2229" w:type="dxa"/>
            <w:vMerge w:val="restart"/>
            <w:vAlign w:val="center"/>
          </w:tcPr>
          <w:p w14:paraId="23297D83" w14:textId="77777777" w:rsidR="003E78AB" w:rsidRDefault="00010BF9">
            <w:pPr>
              <w:spacing w:line="360" w:lineRule="exact"/>
              <w:ind w:firstLineChars="0" w:firstLine="0"/>
              <w:jc w:val="center"/>
              <w:rPr>
                <w:sz w:val="21"/>
                <w:szCs w:val="21"/>
              </w:rPr>
            </w:pPr>
            <w:r>
              <w:rPr>
                <w:sz w:val="21"/>
                <w:szCs w:val="21"/>
              </w:rPr>
              <w:t>《大气污染物综合排放标准》</w:t>
            </w:r>
            <w:r>
              <w:rPr>
                <w:sz w:val="21"/>
                <w:szCs w:val="21"/>
              </w:rPr>
              <w:t>(GB16297-1996)</w:t>
            </w:r>
          </w:p>
        </w:tc>
        <w:tc>
          <w:tcPr>
            <w:tcW w:w="704" w:type="dxa"/>
            <w:vMerge/>
            <w:vAlign w:val="center"/>
          </w:tcPr>
          <w:p w14:paraId="09C0DEBD" w14:textId="77777777" w:rsidR="003E78AB" w:rsidRDefault="003E78AB">
            <w:pPr>
              <w:spacing w:line="360" w:lineRule="exact"/>
              <w:ind w:firstLineChars="0" w:firstLine="0"/>
              <w:jc w:val="center"/>
              <w:rPr>
                <w:sz w:val="21"/>
                <w:szCs w:val="21"/>
              </w:rPr>
            </w:pPr>
          </w:p>
        </w:tc>
      </w:tr>
      <w:tr w:rsidR="003E78AB" w14:paraId="4BC6EB92" w14:textId="77777777">
        <w:trPr>
          <w:trHeight w:val="340"/>
          <w:jc w:val="center"/>
        </w:trPr>
        <w:tc>
          <w:tcPr>
            <w:tcW w:w="709" w:type="dxa"/>
            <w:vMerge/>
            <w:vAlign w:val="center"/>
          </w:tcPr>
          <w:p w14:paraId="3E17AD8D" w14:textId="77777777" w:rsidR="003E78AB" w:rsidRDefault="003E78AB">
            <w:pPr>
              <w:spacing w:line="360" w:lineRule="exact"/>
              <w:ind w:firstLineChars="0" w:firstLine="0"/>
              <w:jc w:val="center"/>
              <w:rPr>
                <w:kern w:val="2"/>
                <w:sz w:val="21"/>
                <w:szCs w:val="21"/>
              </w:rPr>
            </w:pPr>
          </w:p>
        </w:tc>
        <w:tc>
          <w:tcPr>
            <w:tcW w:w="709" w:type="dxa"/>
            <w:vMerge/>
            <w:vAlign w:val="center"/>
          </w:tcPr>
          <w:p w14:paraId="2D69D257" w14:textId="77777777" w:rsidR="003E78AB" w:rsidRDefault="003E78AB">
            <w:pPr>
              <w:spacing w:line="360" w:lineRule="exact"/>
              <w:ind w:firstLineChars="0" w:firstLine="0"/>
              <w:jc w:val="center"/>
              <w:rPr>
                <w:kern w:val="2"/>
                <w:sz w:val="21"/>
                <w:szCs w:val="21"/>
              </w:rPr>
            </w:pPr>
          </w:p>
        </w:tc>
        <w:tc>
          <w:tcPr>
            <w:tcW w:w="1044" w:type="dxa"/>
            <w:vAlign w:val="center"/>
          </w:tcPr>
          <w:p w14:paraId="4FB71E75" w14:textId="77777777" w:rsidR="003E78AB" w:rsidRDefault="00010BF9">
            <w:pPr>
              <w:spacing w:line="360" w:lineRule="exact"/>
              <w:ind w:firstLineChars="0" w:firstLine="0"/>
              <w:jc w:val="center"/>
              <w:textAlignment w:val="center"/>
              <w:rPr>
                <w:kern w:val="2"/>
                <w:sz w:val="21"/>
                <w:szCs w:val="21"/>
              </w:rPr>
            </w:pPr>
            <w:r>
              <w:rPr>
                <w:sz w:val="21"/>
                <w:szCs w:val="21"/>
                <w:lang w:bidi="ar"/>
              </w:rPr>
              <w:t>生产工序</w:t>
            </w:r>
          </w:p>
        </w:tc>
        <w:tc>
          <w:tcPr>
            <w:tcW w:w="1367" w:type="dxa"/>
            <w:vAlign w:val="center"/>
          </w:tcPr>
          <w:p w14:paraId="3F1859F4" w14:textId="77777777" w:rsidR="003E78AB" w:rsidRDefault="00010BF9">
            <w:pPr>
              <w:spacing w:line="360" w:lineRule="exact"/>
              <w:ind w:firstLineChars="0" w:firstLine="0"/>
              <w:jc w:val="center"/>
              <w:rPr>
                <w:kern w:val="2"/>
                <w:sz w:val="21"/>
                <w:szCs w:val="21"/>
                <w:lang w:bidi="en-US"/>
              </w:rPr>
            </w:pPr>
            <w:r>
              <w:rPr>
                <w:rFonts w:hint="eastAsia"/>
                <w:kern w:val="2"/>
                <w:sz w:val="21"/>
                <w:szCs w:val="21"/>
                <w:lang w:bidi="en-US"/>
              </w:rPr>
              <w:t>硫酸雾</w:t>
            </w:r>
          </w:p>
        </w:tc>
        <w:tc>
          <w:tcPr>
            <w:tcW w:w="708" w:type="dxa"/>
            <w:vAlign w:val="center"/>
          </w:tcPr>
          <w:p w14:paraId="243FAB40" w14:textId="77777777" w:rsidR="003E78AB" w:rsidRDefault="00010BF9">
            <w:pPr>
              <w:spacing w:line="360" w:lineRule="exact"/>
              <w:ind w:firstLineChars="0" w:firstLine="0"/>
              <w:jc w:val="center"/>
              <w:rPr>
                <w:kern w:val="2"/>
                <w:sz w:val="21"/>
                <w:szCs w:val="21"/>
              </w:rPr>
            </w:pPr>
            <w:r>
              <w:rPr>
                <w:kern w:val="2"/>
                <w:sz w:val="21"/>
                <w:szCs w:val="21"/>
              </w:rPr>
              <w:t>无组织</w:t>
            </w:r>
          </w:p>
        </w:tc>
        <w:tc>
          <w:tcPr>
            <w:tcW w:w="2268" w:type="dxa"/>
            <w:vAlign w:val="center"/>
          </w:tcPr>
          <w:p w14:paraId="39998646" w14:textId="77777777" w:rsidR="003E78AB" w:rsidRDefault="00010BF9">
            <w:pPr>
              <w:spacing w:line="360" w:lineRule="exact"/>
              <w:ind w:firstLineChars="0" w:firstLine="0"/>
              <w:jc w:val="center"/>
              <w:rPr>
                <w:kern w:val="2"/>
                <w:sz w:val="21"/>
                <w:szCs w:val="21"/>
              </w:rPr>
            </w:pPr>
            <w:r>
              <w:rPr>
                <w:kern w:val="2"/>
                <w:sz w:val="21"/>
                <w:szCs w:val="21"/>
              </w:rPr>
              <w:t>定期巡检，设备维护</w:t>
            </w:r>
          </w:p>
        </w:tc>
        <w:tc>
          <w:tcPr>
            <w:tcW w:w="1134" w:type="dxa"/>
            <w:vAlign w:val="center"/>
          </w:tcPr>
          <w:p w14:paraId="51C104F8" w14:textId="77777777" w:rsidR="003E78AB" w:rsidRDefault="00010BF9">
            <w:pPr>
              <w:spacing w:line="360" w:lineRule="exact"/>
              <w:ind w:firstLineChars="0" w:firstLine="0"/>
              <w:jc w:val="center"/>
              <w:rPr>
                <w:snapToGrid w:val="0"/>
                <w:kern w:val="2"/>
                <w:sz w:val="21"/>
                <w:szCs w:val="21"/>
              </w:rPr>
            </w:pPr>
            <w:r>
              <w:rPr>
                <w:snapToGrid w:val="0"/>
                <w:sz w:val="21"/>
                <w:szCs w:val="21"/>
              </w:rPr>
              <w:t>/</w:t>
            </w:r>
          </w:p>
        </w:tc>
        <w:tc>
          <w:tcPr>
            <w:tcW w:w="1185" w:type="dxa"/>
            <w:vAlign w:val="center"/>
          </w:tcPr>
          <w:p w14:paraId="74E87A41" w14:textId="77777777" w:rsidR="003E78AB" w:rsidRDefault="00010BF9">
            <w:pPr>
              <w:spacing w:line="360" w:lineRule="exact"/>
              <w:ind w:firstLineChars="0" w:firstLine="0"/>
              <w:jc w:val="center"/>
              <w:textAlignment w:val="center"/>
              <w:rPr>
                <w:bCs/>
                <w:sz w:val="21"/>
                <w:szCs w:val="21"/>
              </w:rPr>
            </w:pPr>
            <w:r>
              <w:rPr>
                <w:rFonts w:hint="eastAsia"/>
                <w:sz w:val="21"/>
                <w:szCs w:val="21"/>
                <w:lang w:bidi="ar"/>
              </w:rPr>
              <w:t>0.0088</w:t>
            </w:r>
          </w:p>
        </w:tc>
        <w:tc>
          <w:tcPr>
            <w:tcW w:w="943" w:type="dxa"/>
            <w:gridSpan w:val="2"/>
            <w:vAlign w:val="center"/>
          </w:tcPr>
          <w:p w14:paraId="15A6F97D" w14:textId="77777777" w:rsidR="003E78AB" w:rsidRDefault="00010BF9">
            <w:pPr>
              <w:spacing w:line="360" w:lineRule="exact"/>
              <w:ind w:firstLineChars="0" w:firstLine="0"/>
              <w:jc w:val="center"/>
              <w:rPr>
                <w:snapToGrid w:val="0"/>
                <w:kern w:val="2"/>
                <w:sz w:val="21"/>
                <w:szCs w:val="21"/>
              </w:rPr>
            </w:pPr>
            <w:r>
              <w:rPr>
                <w:snapToGrid w:val="0"/>
                <w:sz w:val="21"/>
                <w:szCs w:val="21"/>
              </w:rPr>
              <w:t>/</w:t>
            </w:r>
          </w:p>
        </w:tc>
        <w:tc>
          <w:tcPr>
            <w:tcW w:w="1597" w:type="dxa"/>
            <w:gridSpan w:val="2"/>
            <w:vAlign w:val="center"/>
          </w:tcPr>
          <w:p w14:paraId="41BDFD36" w14:textId="77777777" w:rsidR="003E78AB" w:rsidRDefault="00010BF9">
            <w:pPr>
              <w:spacing w:line="360" w:lineRule="exact"/>
              <w:ind w:firstLineChars="0" w:firstLine="0"/>
              <w:jc w:val="center"/>
              <w:rPr>
                <w:kern w:val="2"/>
                <w:sz w:val="21"/>
                <w:szCs w:val="21"/>
              </w:rPr>
            </w:pPr>
            <w:r>
              <w:rPr>
                <w:rFonts w:hint="eastAsia"/>
                <w:sz w:val="21"/>
                <w:szCs w:val="21"/>
              </w:rPr>
              <w:t>1.2</w:t>
            </w:r>
          </w:p>
        </w:tc>
        <w:tc>
          <w:tcPr>
            <w:tcW w:w="2229" w:type="dxa"/>
            <w:vMerge/>
            <w:vAlign w:val="center"/>
          </w:tcPr>
          <w:p w14:paraId="30A7E16D" w14:textId="77777777" w:rsidR="003E78AB" w:rsidRDefault="003E78AB">
            <w:pPr>
              <w:spacing w:line="360" w:lineRule="exact"/>
              <w:ind w:firstLineChars="0" w:firstLine="0"/>
              <w:jc w:val="center"/>
              <w:rPr>
                <w:sz w:val="21"/>
                <w:szCs w:val="21"/>
              </w:rPr>
            </w:pPr>
          </w:p>
        </w:tc>
        <w:tc>
          <w:tcPr>
            <w:tcW w:w="704" w:type="dxa"/>
            <w:vMerge/>
            <w:vAlign w:val="center"/>
          </w:tcPr>
          <w:p w14:paraId="337FE026" w14:textId="77777777" w:rsidR="003E78AB" w:rsidRDefault="003E78AB">
            <w:pPr>
              <w:spacing w:line="360" w:lineRule="exact"/>
              <w:ind w:firstLineChars="0" w:firstLine="0"/>
              <w:jc w:val="center"/>
              <w:rPr>
                <w:kern w:val="2"/>
                <w:sz w:val="21"/>
                <w:szCs w:val="21"/>
              </w:rPr>
            </w:pPr>
          </w:p>
        </w:tc>
      </w:tr>
      <w:tr w:rsidR="003E78AB" w14:paraId="4BD0F889" w14:textId="77777777">
        <w:trPr>
          <w:trHeight w:val="340"/>
          <w:jc w:val="center"/>
        </w:trPr>
        <w:tc>
          <w:tcPr>
            <w:tcW w:w="14597" w:type="dxa"/>
            <w:gridSpan w:val="14"/>
            <w:vAlign w:val="center"/>
          </w:tcPr>
          <w:p w14:paraId="29480ABF" w14:textId="77777777" w:rsidR="003E78AB" w:rsidRDefault="00010BF9">
            <w:pPr>
              <w:spacing w:line="360" w:lineRule="exact"/>
              <w:ind w:firstLineChars="0" w:firstLine="0"/>
              <w:rPr>
                <w:sz w:val="21"/>
                <w:szCs w:val="21"/>
              </w:rPr>
            </w:pPr>
            <w:r>
              <w:rPr>
                <w:sz w:val="21"/>
                <w:szCs w:val="21"/>
              </w:rPr>
              <w:t>废气总量控制指标：</w:t>
            </w:r>
            <w:r>
              <w:rPr>
                <w:rFonts w:hint="eastAsia"/>
                <w:sz w:val="21"/>
                <w:szCs w:val="21"/>
              </w:rPr>
              <w:t>颗粒物：</w:t>
            </w:r>
            <w:r>
              <w:rPr>
                <w:rFonts w:hint="eastAsia"/>
                <w:sz w:val="21"/>
                <w:szCs w:val="21"/>
              </w:rPr>
              <w:t>0.4152t/a</w:t>
            </w:r>
            <w:r>
              <w:rPr>
                <w:rFonts w:hint="eastAsia"/>
                <w:sz w:val="21"/>
                <w:szCs w:val="21"/>
              </w:rPr>
              <w:t>、</w:t>
            </w:r>
            <w:r>
              <w:rPr>
                <w:rFonts w:hint="eastAsia"/>
                <w:sz w:val="21"/>
                <w:szCs w:val="21"/>
              </w:rPr>
              <w:t>SO</w:t>
            </w:r>
            <w:r>
              <w:rPr>
                <w:rFonts w:hint="eastAsia"/>
                <w:sz w:val="21"/>
                <w:szCs w:val="21"/>
                <w:vertAlign w:val="subscript"/>
              </w:rPr>
              <w:t>2</w:t>
            </w:r>
            <w:r>
              <w:rPr>
                <w:rFonts w:hint="eastAsia"/>
                <w:sz w:val="21"/>
                <w:szCs w:val="21"/>
              </w:rPr>
              <w:t>:0.1529t/a</w:t>
            </w:r>
            <w:r>
              <w:rPr>
                <w:rFonts w:hint="eastAsia"/>
                <w:sz w:val="21"/>
                <w:szCs w:val="21"/>
              </w:rPr>
              <w:t>、</w:t>
            </w:r>
            <w:r>
              <w:rPr>
                <w:kern w:val="2"/>
                <w:sz w:val="21"/>
                <w:szCs w:val="21"/>
              </w:rPr>
              <w:t>NOx</w:t>
            </w:r>
            <w:r>
              <w:rPr>
                <w:kern w:val="2"/>
                <w:sz w:val="21"/>
                <w:szCs w:val="21"/>
              </w:rPr>
              <w:t>：</w:t>
            </w:r>
            <w:r>
              <w:rPr>
                <w:rFonts w:hint="eastAsia"/>
                <w:kern w:val="2"/>
                <w:sz w:val="21"/>
                <w:szCs w:val="21"/>
              </w:rPr>
              <w:t>1.0175</w:t>
            </w:r>
            <w:r>
              <w:rPr>
                <w:kern w:val="2"/>
                <w:sz w:val="21"/>
                <w:szCs w:val="21"/>
              </w:rPr>
              <w:t>t/a</w:t>
            </w:r>
            <w:r>
              <w:rPr>
                <w:kern w:val="2"/>
                <w:sz w:val="21"/>
                <w:szCs w:val="21"/>
              </w:rPr>
              <w:t>、</w:t>
            </w:r>
            <w:r>
              <w:rPr>
                <w:kern w:val="2"/>
                <w:sz w:val="21"/>
                <w:szCs w:val="21"/>
              </w:rPr>
              <w:t>VOCs</w:t>
            </w:r>
            <w:r>
              <w:rPr>
                <w:kern w:val="2"/>
                <w:sz w:val="21"/>
                <w:szCs w:val="21"/>
              </w:rPr>
              <w:t>：</w:t>
            </w:r>
            <w:r>
              <w:rPr>
                <w:rFonts w:hint="eastAsia"/>
                <w:kern w:val="2"/>
                <w:sz w:val="21"/>
                <w:szCs w:val="21"/>
              </w:rPr>
              <w:t>0.3649</w:t>
            </w:r>
            <w:r>
              <w:rPr>
                <w:kern w:val="2"/>
                <w:sz w:val="21"/>
                <w:szCs w:val="21"/>
              </w:rPr>
              <w:t>t/a</w:t>
            </w:r>
            <w:r>
              <w:rPr>
                <w:kern w:val="2"/>
                <w:sz w:val="21"/>
                <w:szCs w:val="21"/>
              </w:rPr>
              <w:t>。</w:t>
            </w:r>
          </w:p>
        </w:tc>
      </w:tr>
      <w:tr w:rsidR="003E78AB" w14:paraId="529BF0C1" w14:textId="77777777">
        <w:trPr>
          <w:trHeight w:val="250"/>
          <w:jc w:val="center"/>
        </w:trPr>
        <w:tc>
          <w:tcPr>
            <w:tcW w:w="709" w:type="dxa"/>
            <w:vMerge w:val="restart"/>
            <w:vAlign w:val="center"/>
          </w:tcPr>
          <w:p w14:paraId="2ADB6D9F" w14:textId="77777777" w:rsidR="003E78AB" w:rsidRDefault="00010BF9">
            <w:pPr>
              <w:spacing w:line="360" w:lineRule="exact"/>
              <w:ind w:firstLineChars="0" w:firstLine="0"/>
              <w:jc w:val="center"/>
              <w:rPr>
                <w:snapToGrid w:val="0"/>
                <w:sz w:val="21"/>
                <w:szCs w:val="21"/>
              </w:rPr>
            </w:pPr>
            <w:r>
              <w:rPr>
                <w:snapToGrid w:val="0"/>
                <w:sz w:val="21"/>
                <w:szCs w:val="21"/>
              </w:rPr>
              <w:t xml:space="preserve">水污染物　</w:t>
            </w:r>
          </w:p>
        </w:tc>
        <w:tc>
          <w:tcPr>
            <w:tcW w:w="709" w:type="dxa"/>
            <w:vMerge w:val="restart"/>
            <w:vAlign w:val="center"/>
          </w:tcPr>
          <w:p w14:paraId="3F093C09" w14:textId="77777777" w:rsidR="003E78AB" w:rsidRDefault="00010BF9">
            <w:pPr>
              <w:spacing w:line="360" w:lineRule="exact"/>
              <w:ind w:firstLineChars="0" w:firstLine="0"/>
              <w:jc w:val="center"/>
              <w:rPr>
                <w:snapToGrid w:val="0"/>
                <w:sz w:val="21"/>
                <w:szCs w:val="21"/>
              </w:rPr>
            </w:pPr>
            <w:r>
              <w:rPr>
                <w:snapToGrid w:val="0"/>
                <w:sz w:val="21"/>
                <w:szCs w:val="21"/>
              </w:rPr>
              <w:t>主体工程</w:t>
            </w:r>
          </w:p>
        </w:tc>
        <w:tc>
          <w:tcPr>
            <w:tcW w:w="1044" w:type="dxa"/>
            <w:vMerge w:val="restart"/>
            <w:vAlign w:val="center"/>
          </w:tcPr>
          <w:p w14:paraId="605105DA" w14:textId="77777777" w:rsidR="003E78AB" w:rsidRDefault="00010BF9">
            <w:pPr>
              <w:spacing w:line="360" w:lineRule="exact"/>
              <w:ind w:firstLineChars="0" w:firstLine="0"/>
              <w:jc w:val="center"/>
              <w:rPr>
                <w:snapToGrid w:val="0"/>
                <w:sz w:val="21"/>
                <w:szCs w:val="21"/>
              </w:rPr>
            </w:pPr>
            <w:r>
              <w:rPr>
                <w:snapToGrid w:val="0"/>
                <w:sz w:val="21"/>
                <w:szCs w:val="21"/>
              </w:rPr>
              <w:t>综合废水</w:t>
            </w:r>
          </w:p>
        </w:tc>
        <w:tc>
          <w:tcPr>
            <w:tcW w:w="1367" w:type="dxa"/>
            <w:shd w:val="clear" w:color="auto" w:fill="auto"/>
            <w:vAlign w:val="center"/>
          </w:tcPr>
          <w:p w14:paraId="1F5A5B35" w14:textId="77777777" w:rsidR="003E78AB" w:rsidRDefault="00010BF9">
            <w:pPr>
              <w:spacing w:line="360" w:lineRule="exact"/>
              <w:ind w:firstLineChars="0" w:firstLine="0"/>
              <w:jc w:val="center"/>
              <w:textAlignment w:val="center"/>
              <w:rPr>
                <w:kern w:val="2"/>
                <w:sz w:val="21"/>
                <w:szCs w:val="21"/>
              </w:rPr>
            </w:pPr>
            <w:r>
              <w:rPr>
                <w:sz w:val="21"/>
                <w:szCs w:val="21"/>
                <w:lang w:bidi="ar"/>
              </w:rPr>
              <w:t>pH</w:t>
            </w:r>
          </w:p>
        </w:tc>
        <w:tc>
          <w:tcPr>
            <w:tcW w:w="708" w:type="dxa"/>
            <w:vMerge w:val="restart"/>
            <w:vAlign w:val="center"/>
          </w:tcPr>
          <w:p w14:paraId="6869C004" w14:textId="77777777" w:rsidR="003E78AB" w:rsidRDefault="00010BF9">
            <w:pPr>
              <w:spacing w:line="360" w:lineRule="exact"/>
              <w:ind w:firstLineChars="0" w:firstLine="0"/>
              <w:jc w:val="center"/>
              <w:rPr>
                <w:snapToGrid w:val="0"/>
                <w:sz w:val="21"/>
                <w:szCs w:val="21"/>
              </w:rPr>
            </w:pPr>
            <w:r>
              <w:rPr>
                <w:snapToGrid w:val="0"/>
                <w:sz w:val="21"/>
                <w:szCs w:val="21"/>
              </w:rPr>
              <w:t>间接排放</w:t>
            </w:r>
          </w:p>
        </w:tc>
        <w:tc>
          <w:tcPr>
            <w:tcW w:w="2268" w:type="dxa"/>
            <w:vMerge w:val="restart"/>
            <w:vAlign w:val="center"/>
          </w:tcPr>
          <w:p w14:paraId="3BF84966" w14:textId="77777777" w:rsidR="003E78AB" w:rsidRDefault="00010BF9">
            <w:pPr>
              <w:spacing w:line="360" w:lineRule="exact"/>
              <w:ind w:firstLineChars="0" w:firstLine="0"/>
              <w:jc w:val="center"/>
              <w:rPr>
                <w:snapToGrid w:val="0"/>
                <w:sz w:val="21"/>
                <w:szCs w:val="21"/>
              </w:rPr>
            </w:pPr>
            <w:r>
              <w:rPr>
                <w:snapToGrid w:val="0"/>
                <w:sz w:val="21"/>
                <w:szCs w:val="21"/>
              </w:rPr>
              <w:t>工艺废气处理废水经蒸发冷凝后回用</w:t>
            </w:r>
            <w:r>
              <w:rPr>
                <w:rFonts w:hint="eastAsia"/>
                <w:snapToGrid w:val="0"/>
                <w:sz w:val="21"/>
                <w:szCs w:val="21"/>
              </w:rPr>
              <w:t>于淋洗补水配碱</w:t>
            </w:r>
            <w:r>
              <w:rPr>
                <w:snapToGrid w:val="0"/>
                <w:sz w:val="21"/>
                <w:szCs w:val="21"/>
              </w:rPr>
              <w:t>，实验废水经生产车间</w:t>
            </w:r>
            <w:r>
              <w:rPr>
                <w:snapToGrid w:val="0"/>
                <w:sz w:val="21"/>
                <w:szCs w:val="21"/>
              </w:rPr>
              <w:t>15m</w:t>
            </w:r>
            <w:r>
              <w:rPr>
                <w:snapToGrid w:val="0"/>
                <w:sz w:val="21"/>
                <w:szCs w:val="21"/>
                <w:vertAlign w:val="superscript"/>
              </w:rPr>
              <w:t>3</w:t>
            </w:r>
            <w:r>
              <w:rPr>
                <w:snapToGrid w:val="0"/>
                <w:sz w:val="21"/>
                <w:szCs w:val="21"/>
              </w:rPr>
              <w:t>电解液事故罐收集后回用于生产，地面冲洗水、软水制备及纯水制备排浓水、锅炉排水经厂内污水管道收集，生活污水经预处理后，一并经厂区总排口排入园区污水厂进一步处理</w:t>
            </w:r>
          </w:p>
        </w:tc>
        <w:tc>
          <w:tcPr>
            <w:tcW w:w="1134" w:type="dxa"/>
            <w:shd w:val="clear" w:color="auto" w:fill="auto"/>
            <w:vAlign w:val="center"/>
          </w:tcPr>
          <w:p w14:paraId="3F248FC4" w14:textId="77777777" w:rsidR="003E78AB" w:rsidRDefault="00010BF9">
            <w:pPr>
              <w:spacing w:line="360" w:lineRule="exact"/>
              <w:ind w:firstLineChars="0" w:firstLine="0"/>
              <w:jc w:val="center"/>
              <w:textAlignment w:val="center"/>
              <w:rPr>
                <w:kern w:val="2"/>
                <w:sz w:val="21"/>
                <w:szCs w:val="21"/>
              </w:rPr>
            </w:pPr>
            <w:r>
              <w:rPr>
                <w:sz w:val="21"/>
                <w:szCs w:val="21"/>
                <w:lang w:bidi="ar"/>
              </w:rPr>
              <w:t>6~9</w:t>
            </w:r>
          </w:p>
        </w:tc>
        <w:tc>
          <w:tcPr>
            <w:tcW w:w="1185" w:type="dxa"/>
            <w:shd w:val="clear" w:color="auto" w:fill="auto"/>
            <w:vAlign w:val="center"/>
          </w:tcPr>
          <w:p w14:paraId="78AC3781" w14:textId="77777777" w:rsidR="003E78AB" w:rsidRDefault="00010BF9">
            <w:pPr>
              <w:spacing w:line="360" w:lineRule="exact"/>
              <w:ind w:firstLineChars="0" w:firstLine="0"/>
              <w:jc w:val="center"/>
              <w:textAlignment w:val="center"/>
              <w:rPr>
                <w:kern w:val="2"/>
                <w:sz w:val="21"/>
                <w:szCs w:val="21"/>
              </w:rPr>
            </w:pPr>
            <w:r>
              <w:rPr>
                <w:sz w:val="21"/>
                <w:szCs w:val="21"/>
                <w:lang w:bidi="ar"/>
              </w:rPr>
              <w:t>/</w:t>
            </w:r>
          </w:p>
        </w:tc>
        <w:tc>
          <w:tcPr>
            <w:tcW w:w="943" w:type="dxa"/>
            <w:gridSpan w:val="2"/>
            <w:vAlign w:val="center"/>
          </w:tcPr>
          <w:p w14:paraId="01DA3FE3"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shd w:val="clear" w:color="auto" w:fill="auto"/>
            <w:vAlign w:val="center"/>
          </w:tcPr>
          <w:p w14:paraId="2CD189DC"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c>
          <w:tcPr>
            <w:tcW w:w="725" w:type="dxa"/>
            <w:shd w:val="clear" w:color="auto" w:fill="auto"/>
            <w:vAlign w:val="center"/>
          </w:tcPr>
          <w:p w14:paraId="7DA27EB5" w14:textId="77777777" w:rsidR="003E78AB" w:rsidRDefault="00010BF9">
            <w:pPr>
              <w:spacing w:line="360" w:lineRule="exact"/>
              <w:ind w:firstLineChars="0" w:firstLine="0"/>
              <w:jc w:val="center"/>
              <w:textAlignment w:val="center"/>
              <w:rPr>
                <w:sz w:val="21"/>
                <w:szCs w:val="21"/>
                <w:lang w:bidi="ar"/>
              </w:rPr>
            </w:pPr>
            <w:r>
              <w:rPr>
                <w:sz w:val="21"/>
                <w:szCs w:val="21"/>
                <w:lang w:bidi="ar"/>
              </w:rPr>
              <w:t>6~9</w:t>
            </w:r>
          </w:p>
        </w:tc>
        <w:tc>
          <w:tcPr>
            <w:tcW w:w="2229" w:type="dxa"/>
            <w:vMerge w:val="restart"/>
            <w:vAlign w:val="center"/>
          </w:tcPr>
          <w:p w14:paraId="5DE3E907" w14:textId="77777777" w:rsidR="003E78AB" w:rsidRDefault="00010BF9">
            <w:pPr>
              <w:spacing w:line="360" w:lineRule="exact"/>
              <w:ind w:firstLineChars="0" w:firstLine="0"/>
              <w:jc w:val="center"/>
              <w:rPr>
                <w:snapToGrid w:val="0"/>
                <w:sz w:val="21"/>
                <w:szCs w:val="21"/>
              </w:rPr>
            </w:pPr>
            <w:r>
              <w:rPr>
                <w:snapToGrid w:val="0"/>
                <w:sz w:val="21"/>
                <w:szCs w:val="21"/>
              </w:rPr>
              <w:t>《无机化学工业污染物排放标准》（</w:t>
            </w:r>
            <w:r>
              <w:rPr>
                <w:snapToGrid w:val="0"/>
                <w:sz w:val="21"/>
                <w:szCs w:val="21"/>
              </w:rPr>
              <w:t>GB31573-2015</w:t>
            </w:r>
            <w:r>
              <w:rPr>
                <w:snapToGrid w:val="0"/>
                <w:sz w:val="21"/>
                <w:szCs w:val="21"/>
              </w:rPr>
              <w:t>）间接排放</w:t>
            </w:r>
            <w:r>
              <w:rPr>
                <w:rFonts w:hint="eastAsia"/>
                <w:snapToGrid w:val="0"/>
                <w:sz w:val="21"/>
                <w:szCs w:val="21"/>
              </w:rPr>
              <w:t>标准、</w:t>
            </w:r>
            <w:r>
              <w:rPr>
                <w:snapToGrid w:val="0"/>
                <w:sz w:val="21"/>
                <w:szCs w:val="21"/>
              </w:rPr>
              <w:t>《污水综合排放标准》（</w:t>
            </w:r>
            <w:r>
              <w:rPr>
                <w:snapToGrid w:val="0"/>
                <w:sz w:val="21"/>
                <w:szCs w:val="21"/>
              </w:rPr>
              <w:t>GB8978-1996</w:t>
            </w:r>
            <w:r>
              <w:rPr>
                <w:snapToGrid w:val="0"/>
                <w:sz w:val="21"/>
                <w:szCs w:val="21"/>
              </w:rPr>
              <w:t>）三级标准</w:t>
            </w:r>
          </w:p>
        </w:tc>
        <w:tc>
          <w:tcPr>
            <w:tcW w:w="704" w:type="dxa"/>
            <w:vMerge w:val="restart"/>
            <w:vAlign w:val="center"/>
          </w:tcPr>
          <w:p w14:paraId="0B6F9460" w14:textId="77777777" w:rsidR="003E78AB" w:rsidRDefault="00010BF9">
            <w:pPr>
              <w:spacing w:line="360" w:lineRule="exact"/>
              <w:ind w:firstLineChars="0" w:firstLine="0"/>
              <w:jc w:val="center"/>
              <w:rPr>
                <w:snapToGrid w:val="0"/>
                <w:sz w:val="21"/>
                <w:szCs w:val="21"/>
              </w:rPr>
            </w:pPr>
            <w:r>
              <w:rPr>
                <w:snapToGrid w:val="0"/>
                <w:sz w:val="21"/>
                <w:szCs w:val="21"/>
              </w:rPr>
              <w:t>做好场区防渗，以防污染地下水</w:t>
            </w:r>
          </w:p>
        </w:tc>
      </w:tr>
      <w:tr w:rsidR="003E78AB" w14:paraId="4883329F" w14:textId="77777777">
        <w:trPr>
          <w:trHeight w:val="340"/>
          <w:jc w:val="center"/>
        </w:trPr>
        <w:tc>
          <w:tcPr>
            <w:tcW w:w="709" w:type="dxa"/>
            <w:vMerge/>
            <w:vAlign w:val="center"/>
          </w:tcPr>
          <w:p w14:paraId="436FF9B3" w14:textId="77777777" w:rsidR="003E78AB" w:rsidRDefault="003E78AB">
            <w:pPr>
              <w:spacing w:line="360" w:lineRule="exact"/>
              <w:ind w:firstLineChars="0" w:firstLine="0"/>
              <w:jc w:val="center"/>
              <w:rPr>
                <w:sz w:val="21"/>
                <w:szCs w:val="21"/>
              </w:rPr>
            </w:pPr>
          </w:p>
        </w:tc>
        <w:tc>
          <w:tcPr>
            <w:tcW w:w="709" w:type="dxa"/>
            <w:vMerge/>
            <w:vAlign w:val="center"/>
          </w:tcPr>
          <w:p w14:paraId="39CB1CD9" w14:textId="77777777" w:rsidR="003E78AB" w:rsidRDefault="003E78AB">
            <w:pPr>
              <w:spacing w:line="360" w:lineRule="exact"/>
              <w:ind w:firstLineChars="0" w:firstLine="0"/>
              <w:jc w:val="center"/>
              <w:rPr>
                <w:sz w:val="21"/>
                <w:szCs w:val="21"/>
              </w:rPr>
            </w:pPr>
          </w:p>
        </w:tc>
        <w:tc>
          <w:tcPr>
            <w:tcW w:w="1044" w:type="dxa"/>
            <w:vMerge/>
            <w:vAlign w:val="center"/>
          </w:tcPr>
          <w:p w14:paraId="401E7BFC"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6C875380" w14:textId="77777777" w:rsidR="003E78AB" w:rsidRDefault="00010BF9">
            <w:pPr>
              <w:spacing w:line="360" w:lineRule="exact"/>
              <w:ind w:firstLineChars="0" w:firstLine="0"/>
              <w:jc w:val="center"/>
              <w:textAlignment w:val="center"/>
              <w:rPr>
                <w:kern w:val="2"/>
                <w:sz w:val="21"/>
                <w:szCs w:val="21"/>
              </w:rPr>
            </w:pPr>
            <w:r>
              <w:rPr>
                <w:sz w:val="21"/>
                <w:szCs w:val="21"/>
                <w:lang w:bidi="ar"/>
              </w:rPr>
              <w:t>CODcr</w:t>
            </w:r>
          </w:p>
        </w:tc>
        <w:tc>
          <w:tcPr>
            <w:tcW w:w="708" w:type="dxa"/>
            <w:vMerge/>
            <w:vAlign w:val="center"/>
          </w:tcPr>
          <w:p w14:paraId="1E9B575A" w14:textId="77777777" w:rsidR="003E78AB" w:rsidRDefault="003E78AB">
            <w:pPr>
              <w:spacing w:line="360" w:lineRule="exact"/>
              <w:ind w:firstLineChars="0" w:firstLine="0"/>
              <w:jc w:val="center"/>
              <w:rPr>
                <w:sz w:val="21"/>
                <w:szCs w:val="21"/>
              </w:rPr>
            </w:pPr>
          </w:p>
        </w:tc>
        <w:tc>
          <w:tcPr>
            <w:tcW w:w="2268" w:type="dxa"/>
            <w:vMerge/>
            <w:vAlign w:val="center"/>
          </w:tcPr>
          <w:p w14:paraId="4872E94B"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7B6CB4AA" w14:textId="77777777" w:rsidR="003E78AB" w:rsidRDefault="00010BF9">
            <w:pPr>
              <w:spacing w:line="360" w:lineRule="exact"/>
              <w:ind w:firstLineChars="0" w:firstLine="0"/>
              <w:jc w:val="center"/>
              <w:textAlignment w:val="center"/>
              <w:rPr>
                <w:kern w:val="2"/>
                <w:sz w:val="21"/>
                <w:szCs w:val="21"/>
              </w:rPr>
            </w:pPr>
            <w:r>
              <w:rPr>
                <w:sz w:val="21"/>
                <w:szCs w:val="21"/>
                <w:lang w:bidi="ar"/>
              </w:rPr>
              <w:t>82.24</w:t>
            </w:r>
          </w:p>
        </w:tc>
        <w:tc>
          <w:tcPr>
            <w:tcW w:w="1185" w:type="dxa"/>
            <w:shd w:val="clear" w:color="auto" w:fill="auto"/>
            <w:vAlign w:val="center"/>
          </w:tcPr>
          <w:p w14:paraId="145BD678" w14:textId="77777777" w:rsidR="003E78AB" w:rsidRDefault="00010BF9">
            <w:pPr>
              <w:spacing w:line="360" w:lineRule="exact"/>
              <w:ind w:firstLineChars="0" w:firstLine="0"/>
              <w:jc w:val="center"/>
              <w:textAlignment w:val="center"/>
              <w:rPr>
                <w:kern w:val="2"/>
                <w:sz w:val="21"/>
                <w:szCs w:val="21"/>
              </w:rPr>
            </w:pPr>
            <w:r>
              <w:rPr>
                <w:sz w:val="21"/>
                <w:szCs w:val="21"/>
                <w:lang w:bidi="ar"/>
              </w:rPr>
              <w:t>1.3543</w:t>
            </w:r>
          </w:p>
        </w:tc>
        <w:tc>
          <w:tcPr>
            <w:tcW w:w="943" w:type="dxa"/>
            <w:gridSpan w:val="2"/>
            <w:vAlign w:val="center"/>
          </w:tcPr>
          <w:p w14:paraId="223F850C"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shd w:val="clear" w:color="auto" w:fill="auto"/>
            <w:vAlign w:val="center"/>
          </w:tcPr>
          <w:p w14:paraId="79DFF3D3"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200</w:t>
            </w:r>
          </w:p>
        </w:tc>
        <w:tc>
          <w:tcPr>
            <w:tcW w:w="725" w:type="dxa"/>
            <w:shd w:val="clear" w:color="auto" w:fill="auto"/>
            <w:vAlign w:val="center"/>
          </w:tcPr>
          <w:p w14:paraId="1F99D705"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500</w:t>
            </w:r>
          </w:p>
        </w:tc>
        <w:tc>
          <w:tcPr>
            <w:tcW w:w="2229" w:type="dxa"/>
            <w:vMerge/>
            <w:vAlign w:val="center"/>
          </w:tcPr>
          <w:p w14:paraId="6BDAADE9" w14:textId="77777777" w:rsidR="003E78AB" w:rsidRDefault="003E78AB">
            <w:pPr>
              <w:spacing w:line="360" w:lineRule="exact"/>
              <w:ind w:firstLineChars="0" w:firstLine="0"/>
              <w:jc w:val="center"/>
              <w:rPr>
                <w:sz w:val="21"/>
                <w:szCs w:val="21"/>
              </w:rPr>
            </w:pPr>
          </w:p>
        </w:tc>
        <w:tc>
          <w:tcPr>
            <w:tcW w:w="704" w:type="dxa"/>
            <w:vMerge/>
            <w:vAlign w:val="center"/>
          </w:tcPr>
          <w:p w14:paraId="3F4EAE58" w14:textId="77777777" w:rsidR="003E78AB" w:rsidRDefault="003E78AB">
            <w:pPr>
              <w:spacing w:line="360" w:lineRule="exact"/>
              <w:ind w:firstLineChars="0" w:firstLine="0"/>
              <w:jc w:val="center"/>
              <w:rPr>
                <w:sz w:val="21"/>
                <w:szCs w:val="21"/>
              </w:rPr>
            </w:pPr>
          </w:p>
        </w:tc>
      </w:tr>
      <w:tr w:rsidR="003E78AB" w14:paraId="48D2A7BF" w14:textId="77777777">
        <w:trPr>
          <w:trHeight w:val="340"/>
          <w:jc w:val="center"/>
        </w:trPr>
        <w:tc>
          <w:tcPr>
            <w:tcW w:w="709" w:type="dxa"/>
            <w:vMerge/>
            <w:vAlign w:val="center"/>
          </w:tcPr>
          <w:p w14:paraId="6C39D0A1" w14:textId="77777777" w:rsidR="003E78AB" w:rsidRDefault="003E78AB">
            <w:pPr>
              <w:spacing w:line="360" w:lineRule="exact"/>
              <w:ind w:firstLineChars="0" w:firstLine="0"/>
              <w:jc w:val="center"/>
              <w:rPr>
                <w:sz w:val="21"/>
                <w:szCs w:val="21"/>
              </w:rPr>
            </w:pPr>
          </w:p>
        </w:tc>
        <w:tc>
          <w:tcPr>
            <w:tcW w:w="709" w:type="dxa"/>
            <w:vMerge/>
            <w:vAlign w:val="center"/>
          </w:tcPr>
          <w:p w14:paraId="0105ACA6" w14:textId="77777777" w:rsidR="003E78AB" w:rsidRDefault="003E78AB">
            <w:pPr>
              <w:spacing w:line="360" w:lineRule="exact"/>
              <w:ind w:firstLineChars="0" w:firstLine="0"/>
              <w:jc w:val="center"/>
              <w:rPr>
                <w:sz w:val="21"/>
                <w:szCs w:val="21"/>
              </w:rPr>
            </w:pPr>
          </w:p>
        </w:tc>
        <w:tc>
          <w:tcPr>
            <w:tcW w:w="1044" w:type="dxa"/>
            <w:vMerge/>
            <w:vAlign w:val="center"/>
          </w:tcPr>
          <w:p w14:paraId="51BD0F08"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5CF67E9F"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NH</w:t>
            </w:r>
            <w:r>
              <w:rPr>
                <w:rFonts w:hint="eastAsia"/>
                <w:sz w:val="21"/>
                <w:szCs w:val="21"/>
                <w:vertAlign w:val="subscript"/>
                <w:lang w:bidi="ar"/>
              </w:rPr>
              <w:t>3</w:t>
            </w:r>
            <w:r>
              <w:rPr>
                <w:rFonts w:hint="eastAsia"/>
                <w:sz w:val="21"/>
                <w:szCs w:val="21"/>
                <w:lang w:bidi="ar"/>
              </w:rPr>
              <w:t>-N</w:t>
            </w:r>
          </w:p>
        </w:tc>
        <w:tc>
          <w:tcPr>
            <w:tcW w:w="708" w:type="dxa"/>
            <w:vMerge/>
            <w:vAlign w:val="center"/>
          </w:tcPr>
          <w:p w14:paraId="77648176" w14:textId="77777777" w:rsidR="003E78AB" w:rsidRDefault="003E78AB">
            <w:pPr>
              <w:spacing w:line="360" w:lineRule="exact"/>
              <w:ind w:firstLineChars="0" w:firstLine="0"/>
              <w:jc w:val="center"/>
              <w:rPr>
                <w:sz w:val="21"/>
                <w:szCs w:val="21"/>
              </w:rPr>
            </w:pPr>
          </w:p>
        </w:tc>
        <w:tc>
          <w:tcPr>
            <w:tcW w:w="2268" w:type="dxa"/>
            <w:vMerge/>
            <w:vAlign w:val="center"/>
          </w:tcPr>
          <w:p w14:paraId="65C774B1"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2FD488A3" w14:textId="77777777" w:rsidR="003E78AB" w:rsidRDefault="00010BF9">
            <w:pPr>
              <w:spacing w:line="360" w:lineRule="exact"/>
              <w:ind w:firstLineChars="0" w:firstLine="0"/>
              <w:jc w:val="center"/>
              <w:textAlignment w:val="center"/>
              <w:rPr>
                <w:kern w:val="2"/>
                <w:sz w:val="21"/>
                <w:szCs w:val="21"/>
              </w:rPr>
            </w:pPr>
            <w:r>
              <w:rPr>
                <w:sz w:val="21"/>
                <w:szCs w:val="21"/>
                <w:lang w:bidi="ar"/>
              </w:rPr>
              <w:t>4.36</w:t>
            </w:r>
          </w:p>
        </w:tc>
        <w:tc>
          <w:tcPr>
            <w:tcW w:w="1185" w:type="dxa"/>
            <w:shd w:val="clear" w:color="auto" w:fill="auto"/>
            <w:vAlign w:val="center"/>
          </w:tcPr>
          <w:p w14:paraId="078AA2FF" w14:textId="77777777" w:rsidR="003E78AB" w:rsidRDefault="00010BF9">
            <w:pPr>
              <w:spacing w:line="360" w:lineRule="exact"/>
              <w:ind w:firstLineChars="0" w:firstLine="0"/>
              <w:jc w:val="center"/>
              <w:textAlignment w:val="center"/>
              <w:rPr>
                <w:kern w:val="2"/>
                <w:sz w:val="21"/>
                <w:szCs w:val="21"/>
              </w:rPr>
            </w:pPr>
            <w:r>
              <w:rPr>
                <w:sz w:val="21"/>
                <w:szCs w:val="21"/>
                <w:lang w:bidi="ar"/>
              </w:rPr>
              <w:t>0.0718</w:t>
            </w:r>
          </w:p>
        </w:tc>
        <w:tc>
          <w:tcPr>
            <w:tcW w:w="943" w:type="dxa"/>
            <w:gridSpan w:val="2"/>
            <w:vAlign w:val="center"/>
          </w:tcPr>
          <w:p w14:paraId="6C9BB294"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shd w:val="clear" w:color="auto" w:fill="auto"/>
            <w:vAlign w:val="center"/>
          </w:tcPr>
          <w:p w14:paraId="2C1EBC7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40</w:t>
            </w:r>
          </w:p>
        </w:tc>
        <w:tc>
          <w:tcPr>
            <w:tcW w:w="725" w:type="dxa"/>
            <w:shd w:val="clear" w:color="auto" w:fill="auto"/>
            <w:vAlign w:val="center"/>
          </w:tcPr>
          <w:p w14:paraId="3231263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2229" w:type="dxa"/>
            <w:vMerge/>
            <w:vAlign w:val="center"/>
          </w:tcPr>
          <w:p w14:paraId="229468B9" w14:textId="77777777" w:rsidR="003E78AB" w:rsidRDefault="003E78AB">
            <w:pPr>
              <w:spacing w:line="360" w:lineRule="exact"/>
              <w:ind w:firstLineChars="0" w:firstLine="0"/>
              <w:jc w:val="center"/>
              <w:rPr>
                <w:sz w:val="21"/>
                <w:szCs w:val="21"/>
              </w:rPr>
            </w:pPr>
          </w:p>
        </w:tc>
        <w:tc>
          <w:tcPr>
            <w:tcW w:w="704" w:type="dxa"/>
            <w:vMerge/>
            <w:vAlign w:val="center"/>
          </w:tcPr>
          <w:p w14:paraId="32823908" w14:textId="77777777" w:rsidR="003E78AB" w:rsidRDefault="003E78AB">
            <w:pPr>
              <w:spacing w:line="360" w:lineRule="exact"/>
              <w:ind w:firstLineChars="0" w:firstLine="0"/>
              <w:jc w:val="center"/>
              <w:rPr>
                <w:sz w:val="21"/>
                <w:szCs w:val="21"/>
              </w:rPr>
            </w:pPr>
          </w:p>
        </w:tc>
      </w:tr>
      <w:tr w:rsidR="003E78AB" w14:paraId="736F69B5" w14:textId="77777777">
        <w:trPr>
          <w:trHeight w:val="340"/>
          <w:jc w:val="center"/>
        </w:trPr>
        <w:tc>
          <w:tcPr>
            <w:tcW w:w="709" w:type="dxa"/>
            <w:vMerge/>
            <w:vAlign w:val="center"/>
          </w:tcPr>
          <w:p w14:paraId="547A1AEF" w14:textId="77777777" w:rsidR="003E78AB" w:rsidRDefault="003E78AB">
            <w:pPr>
              <w:spacing w:line="360" w:lineRule="exact"/>
              <w:ind w:firstLineChars="0" w:firstLine="0"/>
              <w:jc w:val="center"/>
              <w:rPr>
                <w:sz w:val="21"/>
                <w:szCs w:val="21"/>
              </w:rPr>
            </w:pPr>
          </w:p>
        </w:tc>
        <w:tc>
          <w:tcPr>
            <w:tcW w:w="709" w:type="dxa"/>
            <w:vMerge/>
            <w:vAlign w:val="center"/>
          </w:tcPr>
          <w:p w14:paraId="6B6826C7" w14:textId="77777777" w:rsidR="003E78AB" w:rsidRDefault="003E78AB">
            <w:pPr>
              <w:spacing w:line="360" w:lineRule="exact"/>
              <w:ind w:firstLineChars="0" w:firstLine="0"/>
              <w:jc w:val="center"/>
              <w:rPr>
                <w:sz w:val="21"/>
                <w:szCs w:val="21"/>
              </w:rPr>
            </w:pPr>
          </w:p>
        </w:tc>
        <w:tc>
          <w:tcPr>
            <w:tcW w:w="1044" w:type="dxa"/>
            <w:vMerge/>
            <w:vAlign w:val="center"/>
          </w:tcPr>
          <w:p w14:paraId="15A485F9"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63B467AA"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TN</w:t>
            </w:r>
          </w:p>
        </w:tc>
        <w:tc>
          <w:tcPr>
            <w:tcW w:w="708" w:type="dxa"/>
            <w:vMerge/>
            <w:vAlign w:val="center"/>
          </w:tcPr>
          <w:p w14:paraId="1AF9C62B" w14:textId="77777777" w:rsidR="003E78AB" w:rsidRDefault="003E78AB">
            <w:pPr>
              <w:spacing w:line="360" w:lineRule="exact"/>
              <w:ind w:firstLineChars="0" w:firstLine="0"/>
              <w:jc w:val="center"/>
              <w:rPr>
                <w:sz w:val="21"/>
                <w:szCs w:val="21"/>
              </w:rPr>
            </w:pPr>
          </w:p>
        </w:tc>
        <w:tc>
          <w:tcPr>
            <w:tcW w:w="2268" w:type="dxa"/>
            <w:vMerge/>
            <w:vAlign w:val="center"/>
          </w:tcPr>
          <w:p w14:paraId="7B341830"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1890EEF6" w14:textId="77777777" w:rsidR="003E78AB" w:rsidRDefault="00010BF9">
            <w:pPr>
              <w:spacing w:line="360" w:lineRule="exact"/>
              <w:ind w:firstLineChars="0" w:firstLine="0"/>
              <w:jc w:val="center"/>
              <w:textAlignment w:val="center"/>
              <w:rPr>
                <w:kern w:val="2"/>
                <w:sz w:val="21"/>
                <w:szCs w:val="21"/>
              </w:rPr>
            </w:pPr>
            <w:r>
              <w:rPr>
                <w:sz w:val="21"/>
                <w:szCs w:val="21"/>
                <w:lang w:bidi="ar"/>
              </w:rPr>
              <w:t>7.41</w:t>
            </w:r>
          </w:p>
        </w:tc>
        <w:tc>
          <w:tcPr>
            <w:tcW w:w="1185" w:type="dxa"/>
            <w:shd w:val="clear" w:color="auto" w:fill="auto"/>
            <w:vAlign w:val="center"/>
          </w:tcPr>
          <w:p w14:paraId="0B2C2139" w14:textId="77777777" w:rsidR="003E78AB" w:rsidRDefault="00010BF9">
            <w:pPr>
              <w:spacing w:line="360" w:lineRule="exact"/>
              <w:ind w:firstLineChars="0" w:firstLine="0"/>
              <w:jc w:val="center"/>
              <w:textAlignment w:val="center"/>
              <w:rPr>
                <w:kern w:val="2"/>
                <w:sz w:val="21"/>
                <w:szCs w:val="21"/>
              </w:rPr>
            </w:pPr>
            <w:r>
              <w:rPr>
                <w:sz w:val="21"/>
                <w:szCs w:val="21"/>
                <w:lang w:bidi="ar"/>
              </w:rPr>
              <w:t>0.1220</w:t>
            </w:r>
          </w:p>
        </w:tc>
        <w:tc>
          <w:tcPr>
            <w:tcW w:w="943" w:type="dxa"/>
            <w:gridSpan w:val="2"/>
            <w:vAlign w:val="center"/>
          </w:tcPr>
          <w:p w14:paraId="3703309E" w14:textId="77777777" w:rsidR="003E78AB" w:rsidRDefault="00010BF9">
            <w:pPr>
              <w:spacing w:line="360" w:lineRule="exact"/>
              <w:ind w:firstLineChars="0" w:firstLine="0"/>
              <w:jc w:val="center"/>
              <w:rPr>
                <w:snapToGrid w:val="0"/>
                <w:sz w:val="21"/>
                <w:szCs w:val="21"/>
              </w:rPr>
            </w:pPr>
            <w:r>
              <w:rPr>
                <w:rFonts w:hint="eastAsia"/>
                <w:snapToGrid w:val="0"/>
                <w:sz w:val="21"/>
                <w:szCs w:val="21"/>
              </w:rPr>
              <w:t>/</w:t>
            </w:r>
          </w:p>
        </w:tc>
        <w:tc>
          <w:tcPr>
            <w:tcW w:w="872" w:type="dxa"/>
            <w:shd w:val="clear" w:color="auto" w:fill="auto"/>
            <w:vAlign w:val="center"/>
          </w:tcPr>
          <w:p w14:paraId="106CFDF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60</w:t>
            </w:r>
          </w:p>
        </w:tc>
        <w:tc>
          <w:tcPr>
            <w:tcW w:w="725" w:type="dxa"/>
            <w:shd w:val="clear" w:color="auto" w:fill="auto"/>
            <w:vAlign w:val="center"/>
          </w:tcPr>
          <w:p w14:paraId="40586531"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2229" w:type="dxa"/>
            <w:vMerge/>
            <w:vAlign w:val="center"/>
          </w:tcPr>
          <w:p w14:paraId="1A2EEEEE" w14:textId="77777777" w:rsidR="003E78AB" w:rsidRDefault="003E78AB">
            <w:pPr>
              <w:spacing w:line="360" w:lineRule="exact"/>
              <w:ind w:firstLineChars="0" w:firstLine="0"/>
              <w:jc w:val="center"/>
              <w:rPr>
                <w:sz w:val="21"/>
                <w:szCs w:val="21"/>
              </w:rPr>
            </w:pPr>
          </w:p>
        </w:tc>
        <w:tc>
          <w:tcPr>
            <w:tcW w:w="704" w:type="dxa"/>
            <w:vMerge/>
            <w:vAlign w:val="center"/>
          </w:tcPr>
          <w:p w14:paraId="1590EA0B" w14:textId="77777777" w:rsidR="003E78AB" w:rsidRDefault="003E78AB">
            <w:pPr>
              <w:spacing w:line="360" w:lineRule="exact"/>
              <w:ind w:firstLineChars="0" w:firstLine="0"/>
              <w:jc w:val="center"/>
              <w:rPr>
                <w:sz w:val="21"/>
                <w:szCs w:val="21"/>
              </w:rPr>
            </w:pPr>
          </w:p>
        </w:tc>
      </w:tr>
      <w:tr w:rsidR="003E78AB" w14:paraId="03C3A0FA" w14:textId="77777777">
        <w:trPr>
          <w:trHeight w:val="340"/>
          <w:jc w:val="center"/>
        </w:trPr>
        <w:tc>
          <w:tcPr>
            <w:tcW w:w="709" w:type="dxa"/>
            <w:vMerge/>
            <w:vAlign w:val="center"/>
          </w:tcPr>
          <w:p w14:paraId="14372A0F" w14:textId="77777777" w:rsidR="003E78AB" w:rsidRDefault="003E78AB">
            <w:pPr>
              <w:spacing w:line="360" w:lineRule="exact"/>
              <w:ind w:firstLineChars="0" w:firstLine="0"/>
              <w:jc w:val="center"/>
              <w:rPr>
                <w:sz w:val="21"/>
                <w:szCs w:val="21"/>
              </w:rPr>
            </w:pPr>
          </w:p>
        </w:tc>
        <w:tc>
          <w:tcPr>
            <w:tcW w:w="709" w:type="dxa"/>
            <w:vMerge/>
            <w:vAlign w:val="center"/>
          </w:tcPr>
          <w:p w14:paraId="23554B1B" w14:textId="77777777" w:rsidR="003E78AB" w:rsidRDefault="003E78AB">
            <w:pPr>
              <w:spacing w:line="360" w:lineRule="exact"/>
              <w:ind w:firstLineChars="0" w:firstLine="0"/>
              <w:jc w:val="center"/>
              <w:rPr>
                <w:sz w:val="21"/>
                <w:szCs w:val="21"/>
              </w:rPr>
            </w:pPr>
          </w:p>
        </w:tc>
        <w:tc>
          <w:tcPr>
            <w:tcW w:w="1044" w:type="dxa"/>
            <w:vMerge/>
            <w:vAlign w:val="center"/>
          </w:tcPr>
          <w:p w14:paraId="1A2F137E"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1B0B8398"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SS</w:t>
            </w:r>
          </w:p>
        </w:tc>
        <w:tc>
          <w:tcPr>
            <w:tcW w:w="708" w:type="dxa"/>
            <w:vMerge/>
            <w:vAlign w:val="center"/>
          </w:tcPr>
          <w:p w14:paraId="23C42840" w14:textId="77777777" w:rsidR="003E78AB" w:rsidRDefault="003E78AB">
            <w:pPr>
              <w:spacing w:line="360" w:lineRule="exact"/>
              <w:ind w:firstLineChars="0" w:firstLine="0"/>
              <w:jc w:val="center"/>
              <w:rPr>
                <w:sz w:val="21"/>
                <w:szCs w:val="21"/>
              </w:rPr>
            </w:pPr>
          </w:p>
        </w:tc>
        <w:tc>
          <w:tcPr>
            <w:tcW w:w="2268" w:type="dxa"/>
            <w:vMerge/>
            <w:vAlign w:val="center"/>
          </w:tcPr>
          <w:p w14:paraId="3748E469"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026F5CBA" w14:textId="77777777" w:rsidR="003E78AB" w:rsidRDefault="00010BF9">
            <w:pPr>
              <w:spacing w:line="360" w:lineRule="exact"/>
              <w:ind w:firstLineChars="0" w:firstLine="0"/>
              <w:jc w:val="center"/>
              <w:textAlignment w:val="center"/>
              <w:rPr>
                <w:sz w:val="21"/>
                <w:szCs w:val="21"/>
                <w:lang w:bidi="ar"/>
              </w:rPr>
            </w:pPr>
            <w:r>
              <w:rPr>
                <w:sz w:val="21"/>
                <w:szCs w:val="21"/>
                <w:lang w:bidi="ar"/>
              </w:rPr>
              <w:t>35.83</w:t>
            </w:r>
          </w:p>
        </w:tc>
        <w:tc>
          <w:tcPr>
            <w:tcW w:w="1185" w:type="dxa"/>
            <w:shd w:val="clear" w:color="auto" w:fill="auto"/>
            <w:vAlign w:val="center"/>
          </w:tcPr>
          <w:p w14:paraId="0544F11D" w14:textId="77777777" w:rsidR="003E78AB" w:rsidRDefault="00010BF9">
            <w:pPr>
              <w:spacing w:line="360" w:lineRule="exact"/>
              <w:ind w:firstLineChars="0" w:firstLine="0"/>
              <w:jc w:val="center"/>
              <w:textAlignment w:val="center"/>
              <w:rPr>
                <w:sz w:val="21"/>
                <w:szCs w:val="21"/>
                <w:lang w:bidi="ar"/>
              </w:rPr>
            </w:pPr>
            <w:r>
              <w:rPr>
                <w:sz w:val="21"/>
                <w:szCs w:val="21"/>
                <w:lang w:bidi="ar"/>
              </w:rPr>
              <w:t>0.5901</w:t>
            </w:r>
          </w:p>
        </w:tc>
        <w:tc>
          <w:tcPr>
            <w:tcW w:w="943" w:type="dxa"/>
            <w:gridSpan w:val="2"/>
            <w:vAlign w:val="center"/>
          </w:tcPr>
          <w:p w14:paraId="40E29917" w14:textId="77777777" w:rsidR="003E78AB" w:rsidRDefault="00010BF9">
            <w:pPr>
              <w:spacing w:line="360" w:lineRule="exact"/>
              <w:ind w:firstLineChars="0" w:firstLine="0"/>
              <w:jc w:val="center"/>
              <w:rPr>
                <w:snapToGrid w:val="0"/>
                <w:sz w:val="21"/>
                <w:szCs w:val="21"/>
              </w:rPr>
            </w:pPr>
            <w:r>
              <w:rPr>
                <w:rFonts w:hint="eastAsia"/>
                <w:snapToGrid w:val="0"/>
                <w:sz w:val="21"/>
                <w:szCs w:val="21"/>
              </w:rPr>
              <w:t>/</w:t>
            </w:r>
          </w:p>
        </w:tc>
        <w:tc>
          <w:tcPr>
            <w:tcW w:w="872" w:type="dxa"/>
            <w:shd w:val="clear" w:color="auto" w:fill="auto"/>
            <w:vAlign w:val="center"/>
          </w:tcPr>
          <w:p w14:paraId="5017D0A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100</w:t>
            </w:r>
          </w:p>
        </w:tc>
        <w:tc>
          <w:tcPr>
            <w:tcW w:w="725" w:type="dxa"/>
            <w:shd w:val="clear" w:color="auto" w:fill="auto"/>
            <w:vAlign w:val="center"/>
          </w:tcPr>
          <w:p w14:paraId="3CAB6D6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400</w:t>
            </w:r>
          </w:p>
        </w:tc>
        <w:tc>
          <w:tcPr>
            <w:tcW w:w="2229" w:type="dxa"/>
            <w:vMerge/>
            <w:vAlign w:val="center"/>
          </w:tcPr>
          <w:p w14:paraId="1790FC1C" w14:textId="77777777" w:rsidR="003E78AB" w:rsidRDefault="003E78AB">
            <w:pPr>
              <w:spacing w:line="360" w:lineRule="exact"/>
              <w:ind w:firstLineChars="0" w:firstLine="0"/>
              <w:jc w:val="center"/>
              <w:rPr>
                <w:sz w:val="21"/>
                <w:szCs w:val="21"/>
              </w:rPr>
            </w:pPr>
          </w:p>
        </w:tc>
        <w:tc>
          <w:tcPr>
            <w:tcW w:w="704" w:type="dxa"/>
            <w:vMerge/>
            <w:vAlign w:val="center"/>
          </w:tcPr>
          <w:p w14:paraId="30248308" w14:textId="77777777" w:rsidR="003E78AB" w:rsidRDefault="003E78AB">
            <w:pPr>
              <w:spacing w:line="360" w:lineRule="exact"/>
              <w:ind w:firstLineChars="0" w:firstLine="0"/>
              <w:jc w:val="center"/>
              <w:rPr>
                <w:sz w:val="21"/>
                <w:szCs w:val="21"/>
              </w:rPr>
            </w:pPr>
          </w:p>
        </w:tc>
      </w:tr>
      <w:tr w:rsidR="003E78AB" w14:paraId="5D5E4DA3" w14:textId="77777777">
        <w:trPr>
          <w:trHeight w:val="340"/>
          <w:jc w:val="center"/>
        </w:trPr>
        <w:tc>
          <w:tcPr>
            <w:tcW w:w="709" w:type="dxa"/>
            <w:vMerge/>
            <w:vAlign w:val="center"/>
          </w:tcPr>
          <w:p w14:paraId="03034CD9" w14:textId="77777777" w:rsidR="003E78AB" w:rsidRDefault="003E78AB">
            <w:pPr>
              <w:spacing w:line="360" w:lineRule="exact"/>
              <w:ind w:firstLineChars="0" w:firstLine="0"/>
              <w:jc w:val="center"/>
              <w:rPr>
                <w:sz w:val="21"/>
                <w:szCs w:val="21"/>
              </w:rPr>
            </w:pPr>
          </w:p>
        </w:tc>
        <w:tc>
          <w:tcPr>
            <w:tcW w:w="709" w:type="dxa"/>
            <w:vMerge/>
            <w:vAlign w:val="center"/>
          </w:tcPr>
          <w:p w14:paraId="30A7D2E3" w14:textId="77777777" w:rsidR="003E78AB" w:rsidRDefault="003E78AB">
            <w:pPr>
              <w:spacing w:line="360" w:lineRule="exact"/>
              <w:ind w:firstLineChars="0" w:firstLine="0"/>
              <w:jc w:val="center"/>
              <w:rPr>
                <w:sz w:val="21"/>
                <w:szCs w:val="21"/>
              </w:rPr>
            </w:pPr>
          </w:p>
        </w:tc>
        <w:tc>
          <w:tcPr>
            <w:tcW w:w="1044" w:type="dxa"/>
            <w:vMerge/>
            <w:vAlign w:val="center"/>
          </w:tcPr>
          <w:p w14:paraId="31520ED5"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340FCCFC" w14:textId="77777777" w:rsidR="003E78AB" w:rsidRDefault="00010BF9">
            <w:pPr>
              <w:spacing w:line="360" w:lineRule="exact"/>
              <w:ind w:firstLineChars="0" w:firstLine="0"/>
              <w:jc w:val="center"/>
              <w:textAlignment w:val="center"/>
              <w:rPr>
                <w:kern w:val="2"/>
                <w:sz w:val="21"/>
                <w:szCs w:val="21"/>
              </w:rPr>
            </w:pPr>
            <w:r>
              <w:rPr>
                <w:sz w:val="21"/>
                <w:szCs w:val="21"/>
                <w:lang w:bidi="ar"/>
              </w:rPr>
              <w:t>BOD</w:t>
            </w:r>
            <w:r>
              <w:rPr>
                <w:sz w:val="21"/>
                <w:szCs w:val="21"/>
                <w:vertAlign w:val="subscript"/>
                <w:lang w:bidi="ar"/>
              </w:rPr>
              <w:t>5</w:t>
            </w:r>
          </w:p>
        </w:tc>
        <w:tc>
          <w:tcPr>
            <w:tcW w:w="708" w:type="dxa"/>
            <w:vMerge/>
            <w:vAlign w:val="center"/>
          </w:tcPr>
          <w:p w14:paraId="5D379D96" w14:textId="77777777" w:rsidR="003E78AB" w:rsidRDefault="003E78AB">
            <w:pPr>
              <w:spacing w:line="360" w:lineRule="exact"/>
              <w:ind w:firstLineChars="0" w:firstLine="0"/>
              <w:jc w:val="center"/>
              <w:rPr>
                <w:sz w:val="21"/>
                <w:szCs w:val="21"/>
              </w:rPr>
            </w:pPr>
          </w:p>
        </w:tc>
        <w:tc>
          <w:tcPr>
            <w:tcW w:w="2268" w:type="dxa"/>
            <w:vMerge/>
            <w:vAlign w:val="center"/>
          </w:tcPr>
          <w:p w14:paraId="39A56C9E"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1A44BD2C" w14:textId="77777777" w:rsidR="003E78AB" w:rsidRDefault="00010BF9">
            <w:pPr>
              <w:spacing w:line="360" w:lineRule="exact"/>
              <w:ind w:firstLineChars="0" w:firstLine="0"/>
              <w:jc w:val="center"/>
              <w:textAlignment w:val="center"/>
              <w:rPr>
                <w:kern w:val="2"/>
                <w:sz w:val="21"/>
                <w:szCs w:val="21"/>
              </w:rPr>
            </w:pPr>
            <w:r>
              <w:rPr>
                <w:sz w:val="21"/>
                <w:szCs w:val="21"/>
                <w:lang w:bidi="ar"/>
              </w:rPr>
              <w:t>25.62</w:t>
            </w:r>
          </w:p>
        </w:tc>
        <w:tc>
          <w:tcPr>
            <w:tcW w:w="1185" w:type="dxa"/>
            <w:shd w:val="clear" w:color="auto" w:fill="auto"/>
            <w:vAlign w:val="center"/>
          </w:tcPr>
          <w:p w14:paraId="5A19F74E" w14:textId="77777777" w:rsidR="003E78AB" w:rsidRDefault="00010BF9">
            <w:pPr>
              <w:spacing w:line="360" w:lineRule="exact"/>
              <w:ind w:firstLineChars="0" w:firstLine="0"/>
              <w:jc w:val="center"/>
              <w:textAlignment w:val="center"/>
              <w:rPr>
                <w:kern w:val="2"/>
                <w:sz w:val="21"/>
                <w:szCs w:val="21"/>
              </w:rPr>
            </w:pPr>
            <w:r>
              <w:rPr>
                <w:sz w:val="21"/>
                <w:szCs w:val="21"/>
                <w:lang w:bidi="ar"/>
              </w:rPr>
              <w:t>0.4219</w:t>
            </w:r>
          </w:p>
        </w:tc>
        <w:tc>
          <w:tcPr>
            <w:tcW w:w="943" w:type="dxa"/>
            <w:gridSpan w:val="2"/>
            <w:vAlign w:val="center"/>
          </w:tcPr>
          <w:p w14:paraId="31315FA0"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shd w:val="clear" w:color="auto" w:fill="auto"/>
            <w:vAlign w:val="center"/>
          </w:tcPr>
          <w:p w14:paraId="4E2E535E"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725" w:type="dxa"/>
            <w:shd w:val="clear" w:color="auto" w:fill="auto"/>
            <w:vAlign w:val="center"/>
          </w:tcPr>
          <w:p w14:paraId="6241199C"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300</w:t>
            </w:r>
          </w:p>
        </w:tc>
        <w:tc>
          <w:tcPr>
            <w:tcW w:w="2229" w:type="dxa"/>
            <w:vMerge/>
            <w:vAlign w:val="center"/>
          </w:tcPr>
          <w:p w14:paraId="7680550D" w14:textId="77777777" w:rsidR="003E78AB" w:rsidRDefault="003E78AB">
            <w:pPr>
              <w:spacing w:line="360" w:lineRule="exact"/>
              <w:ind w:firstLineChars="0" w:firstLine="0"/>
              <w:jc w:val="center"/>
              <w:rPr>
                <w:sz w:val="21"/>
                <w:szCs w:val="21"/>
              </w:rPr>
            </w:pPr>
          </w:p>
        </w:tc>
        <w:tc>
          <w:tcPr>
            <w:tcW w:w="704" w:type="dxa"/>
            <w:vMerge/>
            <w:vAlign w:val="center"/>
          </w:tcPr>
          <w:p w14:paraId="344BDCB1" w14:textId="77777777" w:rsidR="003E78AB" w:rsidRDefault="003E78AB">
            <w:pPr>
              <w:spacing w:line="360" w:lineRule="exact"/>
              <w:ind w:firstLineChars="0" w:firstLine="0"/>
              <w:jc w:val="center"/>
              <w:rPr>
                <w:sz w:val="21"/>
                <w:szCs w:val="21"/>
              </w:rPr>
            </w:pPr>
          </w:p>
        </w:tc>
      </w:tr>
      <w:tr w:rsidR="003E78AB" w14:paraId="4A69BC9E" w14:textId="77777777">
        <w:trPr>
          <w:trHeight w:val="426"/>
          <w:jc w:val="center"/>
        </w:trPr>
        <w:tc>
          <w:tcPr>
            <w:tcW w:w="709" w:type="dxa"/>
            <w:vMerge/>
            <w:vAlign w:val="center"/>
          </w:tcPr>
          <w:p w14:paraId="05D5502B" w14:textId="77777777" w:rsidR="003E78AB" w:rsidRDefault="003E78AB">
            <w:pPr>
              <w:spacing w:line="360" w:lineRule="exact"/>
              <w:ind w:firstLineChars="0" w:firstLine="0"/>
              <w:jc w:val="center"/>
              <w:rPr>
                <w:sz w:val="21"/>
                <w:szCs w:val="21"/>
              </w:rPr>
            </w:pPr>
          </w:p>
        </w:tc>
        <w:tc>
          <w:tcPr>
            <w:tcW w:w="709" w:type="dxa"/>
            <w:vMerge/>
            <w:vAlign w:val="center"/>
          </w:tcPr>
          <w:p w14:paraId="63712EF3" w14:textId="77777777" w:rsidR="003E78AB" w:rsidRDefault="003E78AB">
            <w:pPr>
              <w:spacing w:line="360" w:lineRule="exact"/>
              <w:ind w:firstLineChars="0" w:firstLine="0"/>
              <w:jc w:val="center"/>
              <w:rPr>
                <w:sz w:val="21"/>
                <w:szCs w:val="21"/>
              </w:rPr>
            </w:pPr>
          </w:p>
        </w:tc>
        <w:tc>
          <w:tcPr>
            <w:tcW w:w="1044" w:type="dxa"/>
            <w:vMerge/>
            <w:vAlign w:val="center"/>
          </w:tcPr>
          <w:p w14:paraId="08231C5D"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4603C778" w14:textId="77777777" w:rsidR="003E78AB" w:rsidRDefault="00010BF9">
            <w:pPr>
              <w:spacing w:line="360" w:lineRule="exact"/>
              <w:ind w:firstLineChars="0" w:firstLine="0"/>
              <w:jc w:val="center"/>
              <w:textAlignment w:val="center"/>
              <w:rPr>
                <w:kern w:val="2"/>
                <w:sz w:val="21"/>
                <w:szCs w:val="21"/>
              </w:rPr>
            </w:pPr>
            <w:r>
              <w:rPr>
                <w:sz w:val="21"/>
                <w:szCs w:val="21"/>
                <w:lang w:bidi="ar"/>
              </w:rPr>
              <w:t>TP</w:t>
            </w:r>
          </w:p>
        </w:tc>
        <w:tc>
          <w:tcPr>
            <w:tcW w:w="708" w:type="dxa"/>
            <w:vMerge/>
            <w:vAlign w:val="center"/>
          </w:tcPr>
          <w:p w14:paraId="1A081C77" w14:textId="77777777" w:rsidR="003E78AB" w:rsidRDefault="003E78AB">
            <w:pPr>
              <w:spacing w:line="360" w:lineRule="exact"/>
              <w:ind w:firstLineChars="0" w:firstLine="0"/>
              <w:jc w:val="center"/>
              <w:rPr>
                <w:sz w:val="21"/>
                <w:szCs w:val="21"/>
              </w:rPr>
            </w:pPr>
          </w:p>
        </w:tc>
        <w:tc>
          <w:tcPr>
            <w:tcW w:w="2268" w:type="dxa"/>
            <w:vMerge/>
            <w:vAlign w:val="center"/>
          </w:tcPr>
          <w:p w14:paraId="4438BADA"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4F650AD2" w14:textId="77777777" w:rsidR="003E78AB" w:rsidRDefault="00010BF9">
            <w:pPr>
              <w:spacing w:line="360" w:lineRule="exact"/>
              <w:ind w:firstLineChars="0" w:firstLine="0"/>
              <w:jc w:val="center"/>
              <w:textAlignment w:val="center"/>
              <w:rPr>
                <w:kern w:val="2"/>
                <w:sz w:val="21"/>
                <w:szCs w:val="21"/>
              </w:rPr>
            </w:pPr>
            <w:r>
              <w:rPr>
                <w:sz w:val="21"/>
                <w:szCs w:val="21"/>
                <w:lang w:bidi="ar"/>
              </w:rPr>
              <w:t>1.19</w:t>
            </w:r>
          </w:p>
        </w:tc>
        <w:tc>
          <w:tcPr>
            <w:tcW w:w="1185" w:type="dxa"/>
            <w:shd w:val="clear" w:color="auto" w:fill="auto"/>
            <w:vAlign w:val="center"/>
          </w:tcPr>
          <w:p w14:paraId="725CFB05" w14:textId="77777777" w:rsidR="003E78AB" w:rsidRDefault="00010BF9">
            <w:pPr>
              <w:spacing w:line="360" w:lineRule="exact"/>
              <w:ind w:firstLineChars="0" w:firstLine="0"/>
              <w:jc w:val="center"/>
              <w:textAlignment w:val="center"/>
              <w:rPr>
                <w:kern w:val="2"/>
                <w:sz w:val="21"/>
                <w:szCs w:val="21"/>
              </w:rPr>
            </w:pPr>
            <w:r>
              <w:rPr>
                <w:sz w:val="21"/>
                <w:szCs w:val="21"/>
                <w:lang w:bidi="ar"/>
              </w:rPr>
              <w:t>0.0196</w:t>
            </w:r>
          </w:p>
        </w:tc>
        <w:tc>
          <w:tcPr>
            <w:tcW w:w="943" w:type="dxa"/>
            <w:gridSpan w:val="2"/>
            <w:vAlign w:val="center"/>
          </w:tcPr>
          <w:p w14:paraId="7416DBC2" w14:textId="77777777" w:rsidR="003E78AB" w:rsidRDefault="00010BF9">
            <w:pPr>
              <w:spacing w:line="360" w:lineRule="exact"/>
              <w:ind w:firstLineChars="0" w:firstLine="0"/>
              <w:jc w:val="center"/>
              <w:rPr>
                <w:snapToGrid w:val="0"/>
                <w:sz w:val="21"/>
                <w:szCs w:val="21"/>
              </w:rPr>
            </w:pPr>
            <w:r>
              <w:rPr>
                <w:rFonts w:hint="eastAsia"/>
                <w:snapToGrid w:val="0"/>
                <w:sz w:val="21"/>
                <w:szCs w:val="21"/>
              </w:rPr>
              <w:t>/</w:t>
            </w:r>
          </w:p>
        </w:tc>
        <w:tc>
          <w:tcPr>
            <w:tcW w:w="872" w:type="dxa"/>
            <w:shd w:val="clear" w:color="auto" w:fill="auto"/>
            <w:vAlign w:val="center"/>
          </w:tcPr>
          <w:p w14:paraId="2BF9A5E0"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2</w:t>
            </w:r>
          </w:p>
        </w:tc>
        <w:tc>
          <w:tcPr>
            <w:tcW w:w="725" w:type="dxa"/>
            <w:shd w:val="clear" w:color="auto" w:fill="auto"/>
            <w:vAlign w:val="center"/>
          </w:tcPr>
          <w:p w14:paraId="235D5AB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2229" w:type="dxa"/>
            <w:vMerge/>
            <w:vAlign w:val="center"/>
          </w:tcPr>
          <w:p w14:paraId="4F6DFE3D" w14:textId="77777777" w:rsidR="003E78AB" w:rsidRDefault="003E78AB">
            <w:pPr>
              <w:spacing w:line="360" w:lineRule="exact"/>
              <w:ind w:firstLineChars="0" w:firstLine="0"/>
              <w:jc w:val="center"/>
              <w:rPr>
                <w:sz w:val="21"/>
                <w:szCs w:val="21"/>
              </w:rPr>
            </w:pPr>
          </w:p>
        </w:tc>
        <w:tc>
          <w:tcPr>
            <w:tcW w:w="704" w:type="dxa"/>
            <w:vMerge/>
            <w:vAlign w:val="center"/>
          </w:tcPr>
          <w:p w14:paraId="49BF493E" w14:textId="77777777" w:rsidR="003E78AB" w:rsidRDefault="003E78AB">
            <w:pPr>
              <w:spacing w:line="360" w:lineRule="exact"/>
              <w:ind w:firstLineChars="0" w:firstLine="0"/>
              <w:jc w:val="center"/>
              <w:rPr>
                <w:sz w:val="21"/>
                <w:szCs w:val="21"/>
              </w:rPr>
            </w:pPr>
          </w:p>
        </w:tc>
      </w:tr>
      <w:tr w:rsidR="003E78AB" w14:paraId="17B8631F" w14:textId="77777777">
        <w:trPr>
          <w:trHeight w:val="426"/>
          <w:jc w:val="center"/>
        </w:trPr>
        <w:tc>
          <w:tcPr>
            <w:tcW w:w="709" w:type="dxa"/>
            <w:vMerge/>
            <w:vAlign w:val="center"/>
          </w:tcPr>
          <w:p w14:paraId="5575E538" w14:textId="77777777" w:rsidR="003E78AB" w:rsidRDefault="003E78AB">
            <w:pPr>
              <w:spacing w:line="360" w:lineRule="exact"/>
              <w:ind w:firstLineChars="0" w:firstLine="0"/>
              <w:jc w:val="center"/>
              <w:rPr>
                <w:sz w:val="21"/>
                <w:szCs w:val="21"/>
              </w:rPr>
            </w:pPr>
          </w:p>
        </w:tc>
        <w:tc>
          <w:tcPr>
            <w:tcW w:w="709" w:type="dxa"/>
            <w:vMerge/>
            <w:vAlign w:val="center"/>
          </w:tcPr>
          <w:p w14:paraId="26E77DCC" w14:textId="77777777" w:rsidR="003E78AB" w:rsidRDefault="003E78AB">
            <w:pPr>
              <w:spacing w:line="360" w:lineRule="exact"/>
              <w:ind w:firstLineChars="0" w:firstLine="0"/>
              <w:jc w:val="center"/>
              <w:rPr>
                <w:sz w:val="21"/>
                <w:szCs w:val="21"/>
              </w:rPr>
            </w:pPr>
          </w:p>
        </w:tc>
        <w:tc>
          <w:tcPr>
            <w:tcW w:w="1044" w:type="dxa"/>
            <w:vMerge/>
            <w:vAlign w:val="center"/>
          </w:tcPr>
          <w:p w14:paraId="19D1B688"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1D543475"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含盐量</w:t>
            </w:r>
          </w:p>
        </w:tc>
        <w:tc>
          <w:tcPr>
            <w:tcW w:w="708" w:type="dxa"/>
            <w:vMerge/>
            <w:vAlign w:val="center"/>
          </w:tcPr>
          <w:p w14:paraId="426D370F" w14:textId="77777777" w:rsidR="003E78AB" w:rsidRDefault="003E78AB">
            <w:pPr>
              <w:spacing w:line="360" w:lineRule="exact"/>
              <w:ind w:firstLineChars="0" w:firstLine="0"/>
              <w:jc w:val="center"/>
              <w:rPr>
                <w:sz w:val="21"/>
                <w:szCs w:val="21"/>
              </w:rPr>
            </w:pPr>
          </w:p>
        </w:tc>
        <w:tc>
          <w:tcPr>
            <w:tcW w:w="2268" w:type="dxa"/>
            <w:vMerge/>
            <w:vAlign w:val="center"/>
          </w:tcPr>
          <w:p w14:paraId="72E60A05"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7E1B5E45" w14:textId="77777777" w:rsidR="003E78AB" w:rsidRDefault="00010BF9">
            <w:pPr>
              <w:spacing w:line="360" w:lineRule="exact"/>
              <w:ind w:firstLineChars="0" w:firstLine="0"/>
              <w:jc w:val="center"/>
              <w:textAlignment w:val="center"/>
              <w:rPr>
                <w:sz w:val="21"/>
                <w:szCs w:val="21"/>
                <w:lang w:bidi="ar"/>
              </w:rPr>
            </w:pPr>
            <w:r>
              <w:rPr>
                <w:sz w:val="21"/>
                <w:szCs w:val="21"/>
                <w:lang w:bidi="ar"/>
              </w:rPr>
              <w:t>836.49</w:t>
            </w:r>
          </w:p>
        </w:tc>
        <w:tc>
          <w:tcPr>
            <w:tcW w:w="1185" w:type="dxa"/>
            <w:shd w:val="clear" w:color="auto" w:fill="auto"/>
            <w:vAlign w:val="center"/>
          </w:tcPr>
          <w:p w14:paraId="7AFC7207" w14:textId="77777777" w:rsidR="003E78AB" w:rsidRDefault="00010BF9">
            <w:pPr>
              <w:spacing w:line="360" w:lineRule="exact"/>
              <w:ind w:firstLineChars="0" w:firstLine="0"/>
              <w:jc w:val="center"/>
              <w:textAlignment w:val="center"/>
              <w:rPr>
                <w:sz w:val="21"/>
                <w:szCs w:val="21"/>
                <w:lang w:bidi="ar"/>
              </w:rPr>
            </w:pPr>
            <w:r>
              <w:rPr>
                <w:sz w:val="21"/>
                <w:szCs w:val="21"/>
                <w:lang w:bidi="ar"/>
              </w:rPr>
              <w:t>13.7757</w:t>
            </w:r>
          </w:p>
        </w:tc>
        <w:tc>
          <w:tcPr>
            <w:tcW w:w="943" w:type="dxa"/>
            <w:gridSpan w:val="2"/>
            <w:vAlign w:val="center"/>
          </w:tcPr>
          <w:p w14:paraId="41AF6536" w14:textId="77777777" w:rsidR="003E78AB" w:rsidRDefault="00010BF9">
            <w:pPr>
              <w:spacing w:line="360" w:lineRule="exact"/>
              <w:ind w:firstLineChars="0" w:firstLine="0"/>
              <w:jc w:val="center"/>
              <w:rPr>
                <w:snapToGrid w:val="0"/>
                <w:sz w:val="21"/>
                <w:szCs w:val="21"/>
              </w:rPr>
            </w:pPr>
            <w:r>
              <w:rPr>
                <w:rFonts w:hint="eastAsia"/>
                <w:snapToGrid w:val="0"/>
                <w:sz w:val="21"/>
                <w:szCs w:val="21"/>
              </w:rPr>
              <w:t>/</w:t>
            </w:r>
          </w:p>
        </w:tc>
        <w:tc>
          <w:tcPr>
            <w:tcW w:w="872" w:type="dxa"/>
            <w:shd w:val="clear" w:color="auto" w:fill="auto"/>
            <w:vAlign w:val="center"/>
          </w:tcPr>
          <w:p w14:paraId="00CAAD66" w14:textId="77777777" w:rsidR="003E78AB" w:rsidRDefault="00010BF9">
            <w:pPr>
              <w:spacing w:line="360" w:lineRule="exact"/>
              <w:ind w:firstLineChars="0" w:firstLine="0"/>
              <w:jc w:val="center"/>
              <w:textAlignment w:val="center"/>
              <w:rPr>
                <w:sz w:val="21"/>
                <w:szCs w:val="21"/>
                <w:lang w:bidi="ar"/>
              </w:rPr>
            </w:pPr>
            <w:r>
              <w:rPr>
                <w:rFonts w:hint="eastAsia"/>
                <w:b/>
                <w:bCs/>
                <w:sz w:val="21"/>
                <w:szCs w:val="21"/>
                <w:u w:val="single"/>
                <w:lang w:bidi="ar"/>
              </w:rPr>
              <w:t>4000</w:t>
            </w:r>
          </w:p>
        </w:tc>
        <w:tc>
          <w:tcPr>
            <w:tcW w:w="725" w:type="dxa"/>
            <w:shd w:val="clear" w:color="auto" w:fill="auto"/>
            <w:vAlign w:val="center"/>
          </w:tcPr>
          <w:p w14:paraId="7A6AE14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2229" w:type="dxa"/>
            <w:vAlign w:val="center"/>
          </w:tcPr>
          <w:p w14:paraId="7151DFC6" w14:textId="77777777" w:rsidR="003E78AB" w:rsidRDefault="00010BF9">
            <w:pPr>
              <w:spacing w:line="360" w:lineRule="exact"/>
              <w:ind w:firstLineChars="0" w:firstLine="0"/>
              <w:jc w:val="center"/>
              <w:rPr>
                <w:sz w:val="21"/>
                <w:szCs w:val="21"/>
              </w:rPr>
            </w:pPr>
            <w:r>
              <w:rPr>
                <w:rFonts w:hint="eastAsia"/>
                <w:b/>
                <w:bCs/>
                <w:sz w:val="21"/>
                <w:szCs w:val="21"/>
                <w:u w:val="single"/>
              </w:rPr>
              <w:t>《污水排入城镇下水道水质标准》（</w:t>
            </w:r>
            <w:r>
              <w:rPr>
                <w:rFonts w:hint="eastAsia"/>
                <w:b/>
                <w:bCs/>
                <w:sz w:val="21"/>
                <w:szCs w:val="21"/>
                <w:u w:val="single"/>
              </w:rPr>
              <w:t>GB/T31962-2015</w:t>
            </w:r>
            <w:r>
              <w:rPr>
                <w:rFonts w:hint="eastAsia"/>
                <w:b/>
                <w:bCs/>
                <w:sz w:val="21"/>
                <w:szCs w:val="21"/>
                <w:u w:val="single"/>
              </w:rPr>
              <w:t>）</w:t>
            </w:r>
          </w:p>
        </w:tc>
        <w:tc>
          <w:tcPr>
            <w:tcW w:w="704" w:type="dxa"/>
            <w:vMerge/>
            <w:vAlign w:val="center"/>
          </w:tcPr>
          <w:p w14:paraId="6D02991A" w14:textId="77777777" w:rsidR="003E78AB" w:rsidRDefault="003E78AB">
            <w:pPr>
              <w:spacing w:line="360" w:lineRule="exact"/>
              <w:ind w:firstLineChars="0" w:firstLine="0"/>
              <w:jc w:val="center"/>
              <w:rPr>
                <w:sz w:val="21"/>
                <w:szCs w:val="21"/>
              </w:rPr>
            </w:pPr>
          </w:p>
        </w:tc>
      </w:tr>
      <w:tr w:rsidR="003E78AB" w14:paraId="69D92AE0" w14:textId="77777777">
        <w:trPr>
          <w:trHeight w:val="426"/>
          <w:jc w:val="center"/>
        </w:trPr>
        <w:tc>
          <w:tcPr>
            <w:tcW w:w="709" w:type="dxa"/>
            <w:vMerge/>
            <w:vAlign w:val="center"/>
          </w:tcPr>
          <w:p w14:paraId="17BF6CAA" w14:textId="77777777" w:rsidR="003E78AB" w:rsidRDefault="003E78AB">
            <w:pPr>
              <w:spacing w:line="360" w:lineRule="exact"/>
              <w:ind w:firstLineChars="0" w:firstLine="0"/>
              <w:jc w:val="center"/>
              <w:rPr>
                <w:sz w:val="21"/>
                <w:szCs w:val="21"/>
              </w:rPr>
            </w:pPr>
          </w:p>
        </w:tc>
        <w:tc>
          <w:tcPr>
            <w:tcW w:w="709" w:type="dxa"/>
            <w:vMerge/>
            <w:vAlign w:val="center"/>
          </w:tcPr>
          <w:p w14:paraId="25B8656A" w14:textId="77777777" w:rsidR="003E78AB" w:rsidRDefault="003E78AB">
            <w:pPr>
              <w:spacing w:line="360" w:lineRule="exact"/>
              <w:ind w:firstLineChars="0" w:firstLine="0"/>
              <w:jc w:val="center"/>
              <w:rPr>
                <w:sz w:val="21"/>
                <w:szCs w:val="21"/>
              </w:rPr>
            </w:pPr>
          </w:p>
        </w:tc>
        <w:tc>
          <w:tcPr>
            <w:tcW w:w="1044" w:type="dxa"/>
            <w:vMerge/>
            <w:vAlign w:val="center"/>
          </w:tcPr>
          <w:p w14:paraId="2E175B11"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510D608F"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硫酸盐</w:t>
            </w:r>
          </w:p>
        </w:tc>
        <w:tc>
          <w:tcPr>
            <w:tcW w:w="708" w:type="dxa"/>
            <w:vMerge/>
            <w:vAlign w:val="center"/>
          </w:tcPr>
          <w:p w14:paraId="093E2F6F" w14:textId="77777777" w:rsidR="003E78AB" w:rsidRDefault="003E78AB">
            <w:pPr>
              <w:spacing w:line="360" w:lineRule="exact"/>
              <w:ind w:firstLineChars="0" w:firstLine="0"/>
              <w:jc w:val="center"/>
              <w:rPr>
                <w:sz w:val="21"/>
                <w:szCs w:val="21"/>
              </w:rPr>
            </w:pPr>
          </w:p>
        </w:tc>
        <w:tc>
          <w:tcPr>
            <w:tcW w:w="2268" w:type="dxa"/>
            <w:vMerge/>
            <w:vAlign w:val="center"/>
          </w:tcPr>
          <w:p w14:paraId="31AE74DD"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0CC61D54" w14:textId="77777777" w:rsidR="003E78AB" w:rsidRDefault="00010BF9">
            <w:pPr>
              <w:spacing w:line="360" w:lineRule="exact"/>
              <w:ind w:firstLineChars="0" w:firstLine="0"/>
              <w:jc w:val="center"/>
              <w:textAlignment w:val="center"/>
              <w:rPr>
                <w:kern w:val="2"/>
                <w:sz w:val="21"/>
                <w:szCs w:val="21"/>
              </w:rPr>
            </w:pPr>
            <w:r>
              <w:rPr>
                <w:sz w:val="21"/>
                <w:szCs w:val="21"/>
                <w:lang w:bidi="ar"/>
              </w:rPr>
              <w:t>10.26</w:t>
            </w:r>
          </w:p>
        </w:tc>
        <w:tc>
          <w:tcPr>
            <w:tcW w:w="1185" w:type="dxa"/>
            <w:shd w:val="clear" w:color="auto" w:fill="auto"/>
            <w:vAlign w:val="center"/>
          </w:tcPr>
          <w:p w14:paraId="275FC73B" w14:textId="77777777" w:rsidR="003E78AB" w:rsidRDefault="00010BF9">
            <w:pPr>
              <w:spacing w:line="360" w:lineRule="exact"/>
              <w:ind w:firstLineChars="0" w:firstLine="0"/>
              <w:jc w:val="center"/>
              <w:textAlignment w:val="center"/>
              <w:rPr>
                <w:kern w:val="2"/>
                <w:sz w:val="21"/>
                <w:szCs w:val="21"/>
              </w:rPr>
            </w:pPr>
            <w:r>
              <w:rPr>
                <w:sz w:val="21"/>
                <w:szCs w:val="21"/>
                <w:lang w:bidi="ar"/>
              </w:rPr>
              <w:t>0.1690</w:t>
            </w:r>
          </w:p>
        </w:tc>
        <w:tc>
          <w:tcPr>
            <w:tcW w:w="943" w:type="dxa"/>
            <w:gridSpan w:val="2"/>
            <w:vAlign w:val="center"/>
          </w:tcPr>
          <w:p w14:paraId="206AE040"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shd w:val="clear" w:color="auto" w:fill="auto"/>
            <w:vAlign w:val="center"/>
          </w:tcPr>
          <w:p w14:paraId="3F29CB78"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725" w:type="dxa"/>
            <w:shd w:val="clear" w:color="auto" w:fill="auto"/>
            <w:vAlign w:val="center"/>
          </w:tcPr>
          <w:p w14:paraId="416F9ABA"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2229" w:type="dxa"/>
            <w:vAlign w:val="center"/>
          </w:tcPr>
          <w:p w14:paraId="718FAD21" w14:textId="77777777" w:rsidR="003E78AB" w:rsidRDefault="00010BF9">
            <w:pPr>
              <w:spacing w:line="360" w:lineRule="exact"/>
              <w:ind w:firstLineChars="0" w:firstLine="0"/>
              <w:jc w:val="center"/>
              <w:rPr>
                <w:sz w:val="21"/>
                <w:szCs w:val="21"/>
              </w:rPr>
            </w:pPr>
            <w:r>
              <w:rPr>
                <w:rFonts w:hint="eastAsia"/>
                <w:sz w:val="21"/>
                <w:szCs w:val="21"/>
              </w:rPr>
              <w:t>/</w:t>
            </w:r>
          </w:p>
        </w:tc>
        <w:tc>
          <w:tcPr>
            <w:tcW w:w="704" w:type="dxa"/>
            <w:vMerge/>
            <w:vAlign w:val="center"/>
          </w:tcPr>
          <w:p w14:paraId="2FF1C9D8" w14:textId="77777777" w:rsidR="003E78AB" w:rsidRDefault="003E78AB">
            <w:pPr>
              <w:spacing w:line="360" w:lineRule="exact"/>
              <w:ind w:firstLineChars="0" w:firstLine="0"/>
              <w:jc w:val="center"/>
              <w:rPr>
                <w:sz w:val="21"/>
                <w:szCs w:val="21"/>
              </w:rPr>
            </w:pPr>
          </w:p>
        </w:tc>
      </w:tr>
      <w:tr w:rsidR="003E78AB" w14:paraId="0FDAAE62" w14:textId="77777777">
        <w:trPr>
          <w:trHeight w:val="340"/>
          <w:jc w:val="center"/>
        </w:trPr>
        <w:tc>
          <w:tcPr>
            <w:tcW w:w="709" w:type="dxa"/>
            <w:vMerge/>
            <w:vAlign w:val="center"/>
          </w:tcPr>
          <w:p w14:paraId="4B4EB12F" w14:textId="77777777" w:rsidR="003E78AB" w:rsidRDefault="003E78AB">
            <w:pPr>
              <w:spacing w:line="360" w:lineRule="exact"/>
              <w:ind w:firstLineChars="0" w:firstLine="0"/>
              <w:jc w:val="center"/>
              <w:rPr>
                <w:sz w:val="21"/>
                <w:szCs w:val="21"/>
              </w:rPr>
            </w:pPr>
          </w:p>
        </w:tc>
        <w:tc>
          <w:tcPr>
            <w:tcW w:w="709" w:type="dxa"/>
            <w:vMerge/>
            <w:vAlign w:val="center"/>
          </w:tcPr>
          <w:p w14:paraId="24F041CD" w14:textId="77777777" w:rsidR="003E78AB" w:rsidRDefault="003E78AB">
            <w:pPr>
              <w:spacing w:line="360" w:lineRule="exact"/>
              <w:ind w:firstLineChars="0" w:firstLine="0"/>
              <w:jc w:val="center"/>
              <w:rPr>
                <w:sz w:val="21"/>
                <w:szCs w:val="21"/>
              </w:rPr>
            </w:pPr>
          </w:p>
        </w:tc>
        <w:tc>
          <w:tcPr>
            <w:tcW w:w="1044" w:type="dxa"/>
            <w:vMerge/>
            <w:vAlign w:val="center"/>
          </w:tcPr>
          <w:p w14:paraId="30191444" w14:textId="77777777" w:rsidR="003E78AB" w:rsidRDefault="003E78AB">
            <w:pPr>
              <w:spacing w:line="360" w:lineRule="exact"/>
              <w:ind w:firstLineChars="0" w:firstLine="0"/>
              <w:jc w:val="center"/>
              <w:rPr>
                <w:sz w:val="21"/>
                <w:szCs w:val="21"/>
              </w:rPr>
            </w:pPr>
          </w:p>
        </w:tc>
        <w:tc>
          <w:tcPr>
            <w:tcW w:w="1367" w:type="dxa"/>
            <w:shd w:val="clear" w:color="auto" w:fill="auto"/>
            <w:vAlign w:val="center"/>
          </w:tcPr>
          <w:p w14:paraId="4D2B306C" w14:textId="77777777" w:rsidR="003E78AB" w:rsidRDefault="00010BF9">
            <w:pPr>
              <w:spacing w:line="360" w:lineRule="exact"/>
              <w:ind w:firstLineChars="0" w:firstLine="0"/>
              <w:jc w:val="center"/>
              <w:textAlignment w:val="center"/>
              <w:rPr>
                <w:kern w:val="2"/>
                <w:sz w:val="21"/>
                <w:szCs w:val="21"/>
              </w:rPr>
            </w:pPr>
            <w:r>
              <w:rPr>
                <w:rFonts w:hint="eastAsia"/>
                <w:sz w:val="21"/>
                <w:szCs w:val="21"/>
                <w:lang w:bidi="ar"/>
              </w:rPr>
              <w:t>钒</w:t>
            </w:r>
          </w:p>
        </w:tc>
        <w:tc>
          <w:tcPr>
            <w:tcW w:w="708" w:type="dxa"/>
            <w:vMerge/>
            <w:vAlign w:val="center"/>
          </w:tcPr>
          <w:p w14:paraId="0CED7029" w14:textId="77777777" w:rsidR="003E78AB" w:rsidRDefault="003E78AB">
            <w:pPr>
              <w:spacing w:line="360" w:lineRule="exact"/>
              <w:ind w:firstLineChars="0" w:firstLine="0"/>
              <w:jc w:val="center"/>
              <w:rPr>
                <w:sz w:val="21"/>
                <w:szCs w:val="21"/>
              </w:rPr>
            </w:pPr>
          </w:p>
        </w:tc>
        <w:tc>
          <w:tcPr>
            <w:tcW w:w="2268" w:type="dxa"/>
            <w:vMerge/>
            <w:vAlign w:val="center"/>
          </w:tcPr>
          <w:p w14:paraId="0BF48EF8" w14:textId="77777777" w:rsidR="003E78AB" w:rsidRDefault="003E78AB">
            <w:pPr>
              <w:spacing w:line="360" w:lineRule="exact"/>
              <w:ind w:firstLineChars="0" w:firstLine="0"/>
              <w:jc w:val="center"/>
              <w:rPr>
                <w:sz w:val="21"/>
                <w:szCs w:val="21"/>
              </w:rPr>
            </w:pPr>
          </w:p>
        </w:tc>
        <w:tc>
          <w:tcPr>
            <w:tcW w:w="1134" w:type="dxa"/>
            <w:shd w:val="clear" w:color="auto" w:fill="auto"/>
            <w:vAlign w:val="center"/>
          </w:tcPr>
          <w:p w14:paraId="401D6ACE" w14:textId="77777777" w:rsidR="003E78AB" w:rsidRDefault="00010BF9">
            <w:pPr>
              <w:spacing w:line="360" w:lineRule="exact"/>
              <w:ind w:firstLineChars="0" w:firstLine="0"/>
              <w:jc w:val="center"/>
              <w:textAlignment w:val="center"/>
              <w:rPr>
                <w:sz w:val="21"/>
                <w:szCs w:val="21"/>
                <w:lang w:bidi="ar"/>
              </w:rPr>
            </w:pPr>
            <w:r>
              <w:rPr>
                <w:sz w:val="21"/>
                <w:szCs w:val="21"/>
                <w:lang w:bidi="ar"/>
              </w:rPr>
              <w:t>0.01</w:t>
            </w:r>
          </w:p>
        </w:tc>
        <w:tc>
          <w:tcPr>
            <w:tcW w:w="1185" w:type="dxa"/>
            <w:shd w:val="clear" w:color="auto" w:fill="auto"/>
            <w:vAlign w:val="center"/>
          </w:tcPr>
          <w:p w14:paraId="439728D8" w14:textId="77777777" w:rsidR="003E78AB" w:rsidRDefault="00010BF9">
            <w:pPr>
              <w:spacing w:line="360" w:lineRule="exact"/>
              <w:ind w:firstLineChars="0" w:firstLine="0"/>
              <w:jc w:val="center"/>
              <w:textAlignment w:val="center"/>
              <w:rPr>
                <w:sz w:val="21"/>
                <w:szCs w:val="21"/>
                <w:lang w:bidi="ar"/>
              </w:rPr>
            </w:pPr>
            <w:r>
              <w:rPr>
                <w:sz w:val="21"/>
                <w:szCs w:val="21"/>
                <w:lang w:bidi="ar"/>
              </w:rPr>
              <w:t>0.0002</w:t>
            </w:r>
          </w:p>
        </w:tc>
        <w:tc>
          <w:tcPr>
            <w:tcW w:w="943" w:type="dxa"/>
            <w:gridSpan w:val="2"/>
            <w:vAlign w:val="center"/>
          </w:tcPr>
          <w:p w14:paraId="1906AF4D"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shd w:val="clear" w:color="auto" w:fill="auto"/>
            <w:vAlign w:val="center"/>
          </w:tcPr>
          <w:p w14:paraId="307FE5BB"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725" w:type="dxa"/>
            <w:shd w:val="clear" w:color="auto" w:fill="auto"/>
            <w:vAlign w:val="center"/>
          </w:tcPr>
          <w:p w14:paraId="359CF8B9" w14:textId="77777777" w:rsidR="003E78AB" w:rsidRDefault="00010BF9">
            <w:pPr>
              <w:spacing w:line="360" w:lineRule="exact"/>
              <w:ind w:firstLineChars="0" w:firstLine="0"/>
              <w:jc w:val="center"/>
              <w:textAlignment w:val="center"/>
              <w:rPr>
                <w:sz w:val="21"/>
                <w:szCs w:val="21"/>
                <w:lang w:bidi="ar"/>
              </w:rPr>
            </w:pPr>
            <w:r>
              <w:rPr>
                <w:rFonts w:hint="eastAsia"/>
                <w:sz w:val="21"/>
                <w:szCs w:val="21"/>
                <w:lang w:bidi="ar"/>
              </w:rPr>
              <w:t>/</w:t>
            </w:r>
          </w:p>
        </w:tc>
        <w:tc>
          <w:tcPr>
            <w:tcW w:w="2229" w:type="dxa"/>
            <w:vAlign w:val="center"/>
          </w:tcPr>
          <w:p w14:paraId="61FE971D" w14:textId="77777777" w:rsidR="003E78AB" w:rsidRDefault="00010BF9">
            <w:pPr>
              <w:spacing w:line="360" w:lineRule="exact"/>
              <w:ind w:firstLineChars="0" w:firstLine="0"/>
              <w:jc w:val="center"/>
              <w:rPr>
                <w:sz w:val="21"/>
                <w:szCs w:val="21"/>
              </w:rPr>
            </w:pPr>
            <w:r>
              <w:rPr>
                <w:rFonts w:hint="eastAsia"/>
                <w:sz w:val="21"/>
                <w:szCs w:val="21"/>
              </w:rPr>
              <w:t>/</w:t>
            </w:r>
          </w:p>
        </w:tc>
        <w:tc>
          <w:tcPr>
            <w:tcW w:w="704" w:type="dxa"/>
            <w:vMerge/>
            <w:vAlign w:val="center"/>
          </w:tcPr>
          <w:p w14:paraId="7EF81F6E" w14:textId="77777777" w:rsidR="003E78AB" w:rsidRDefault="003E78AB">
            <w:pPr>
              <w:spacing w:line="360" w:lineRule="exact"/>
              <w:ind w:firstLineChars="0" w:firstLine="0"/>
              <w:jc w:val="center"/>
              <w:rPr>
                <w:sz w:val="21"/>
                <w:szCs w:val="21"/>
              </w:rPr>
            </w:pPr>
          </w:p>
        </w:tc>
      </w:tr>
      <w:tr w:rsidR="003E78AB" w14:paraId="1DEA03E5" w14:textId="77777777">
        <w:trPr>
          <w:trHeight w:val="340"/>
          <w:jc w:val="center"/>
        </w:trPr>
        <w:tc>
          <w:tcPr>
            <w:tcW w:w="13893" w:type="dxa"/>
            <w:gridSpan w:val="13"/>
            <w:vAlign w:val="center"/>
          </w:tcPr>
          <w:p w14:paraId="53609CF9" w14:textId="77777777" w:rsidR="003E78AB" w:rsidRDefault="00010BF9">
            <w:pPr>
              <w:spacing w:line="360" w:lineRule="exact"/>
              <w:ind w:firstLineChars="0" w:firstLine="0"/>
              <w:rPr>
                <w:snapToGrid w:val="0"/>
                <w:sz w:val="21"/>
                <w:szCs w:val="21"/>
              </w:rPr>
            </w:pPr>
            <w:r>
              <w:rPr>
                <w:snapToGrid w:val="0"/>
                <w:sz w:val="21"/>
                <w:szCs w:val="21"/>
              </w:rPr>
              <w:t>废水总量控制指标：无</w:t>
            </w:r>
          </w:p>
        </w:tc>
        <w:tc>
          <w:tcPr>
            <w:tcW w:w="704" w:type="dxa"/>
            <w:vMerge/>
            <w:vAlign w:val="center"/>
          </w:tcPr>
          <w:p w14:paraId="3C72DF37" w14:textId="77777777" w:rsidR="003E78AB" w:rsidRDefault="003E78AB">
            <w:pPr>
              <w:spacing w:line="360" w:lineRule="exact"/>
              <w:ind w:firstLineChars="0" w:firstLine="0"/>
              <w:jc w:val="center"/>
              <w:rPr>
                <w:sz w:val="21"/>
                <w:szCs w:val="21"/>
              </w:rPr>
            </w:pPr>
          </w:p>
        </w:tc>
      </w:tr>
      <w:tr w:rsidR="003E78AB" w14:paraId="1D928155" w14:textId="77777777">
        <w:trPr>
          <w:trHeight w:val="340"/>
          <w:jc w:val="center"/>
        </w:trPr>
        <w:tc>
          <w:tcPr>
            <w:tcW w:w="709" w:type="dxa"/>
            <w:vMerge w:val="restart"/>
            <w:vAlign w:val="center"/>
          </w:tcPr>
          <w:p w14:paraId="35A42389" w14:textId="77777777" w:rsidR="003E78AB" w:rsidRDefault="00010BF9">
            <w:pPr>
              <w:spacing w:line="360" w:lineRule="exact"/>
              <w:ind w:firstLineChars="0" w:firstLine="0"/>
              <w:jc w:val="center"/>
              <w:rPr>
                <w:snapToGrid w:val="0"/>
                <w:sz w:val="21"/>
                <w:szCs w:val="21"/>
              </w:rPr>
            </w:pPr>
            <w:r>
              <w:rPr>
                <w:snapToGrid w:val="0"/>
                <w:sz w:val="21"/>
                <w:szCs w:val="21"/>
              </w:rPr>
              <w:t>固体废物</w:t>
            </w:r>
          </w:p>
        </w:tc>
        <w:tc>
          <w:tcPr>
            <w:tcW w:w="1753" w:type="dxa"/>
            <w:gridSpan w:val="2"/>
            <w:shd w:val="clear" w:color="auto" w:fill="auto"/>
            <w:vAlign w:val="center"/>
          </w:tcPr>
          <w:p w14:paraId="74F41336"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投料</w:t>
            </w:r>
          </w:p>
        </w:tc>
        <w:tc>
          <w:tcPr>
            <w:tcW w:w="1367" w:type="dxa"/>
            <w:shd w:val="clear" w:color="auto" w:fill="auto"/>
            <w:vAlign w:val="center"/>
          </w:tcPr>
          <w:p w14:paraId="5291F3A8"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废外包装物（未沾染有毒有害物质的）</w:t>
            </w:r>
          </w:p>
        </w:tc>
        <w:tc>
          <w:tcPr>
            <w:tcW w:w="708" w:type="dxa"/>
            <w:vAlign w:val="center"/>
          </w:tcPr>
          <w:p w14:paraId="443D4361" w14:textId="77777777" w:rsidR="003E78AB" w:rsidRDefault="00010BF9">
            <w:pPr>
              <w:spacing w:line="360" w:lineRule="exact"/>
              <w:ind w:firstLineChars="0" w:firstLine="0"/>
              <w:jc w:val="center"/>
              <w:textAlignment w:val="center"/>
              <w:rPr>
                <w:snapToGrid w:val="0"/>
                <w:sz w:val="21"/>
                <w:szCs w:val="21"/>
              </w:rPr>
            </w:pPr>
            <w:r>
              <w:rPr>
                <w:rFonts w:eastAsiaTheme="minorEastAsia"/>
                <w:sz w:val="21"/>
                <w:szCs w:val="21"/>
                <w:lang w:bidi="ar"/>
              </w:rPr>
              <w:t>一般固废</w:t>
            </w:r>
          </w:p>
        </w:tc>
        <w:tc>
          <w:tcPr>
            <w:tcW w:w="2268" w:type="dxa"/>
            <w:vAlign w:val="center"/>
          </w:tcPr>
          <w:p w14:paraId="7D4EC7C9" w14:textId="77777777" w:rsidR="003E78AB" w:rsidRDefault="00010BF9">
            <w:pPr>
              <w:spacing w:line="360" w:lineRule="exact"/>
              <w:ind w:firstLineChars="0" w:firstLine="0"/>
              <w:jc w:val="center"/>
              <w:textAlignment w:val="center"/>
              <w:rPr>
                <w:snapToGrid w:val="0"/>
                <w:sz w:val="21"/>
                <w:szCs w:val="21"/>
              </w:rPr>
            </w:pPr>
            <w:r>
              <w:rPr>
                <w:rFonts w:eastAsiaTheme="minorEastAsia"/>
                <w:sz w:val="21"/>
                <w:szCs w:val="21"/>
                <w:lang w:bidi="ar"/>
              </w:rPr>
              <w:t>外售综合利用</w:t>
            </w:r>
          </w:p>
        </w:tc>
        <w:tc>
          <w:tcPr>
            <w:tcW w:w="1134" w:type="dxa"/>
            <w:vAlign w:val="center"/>
          </w:tcPr>
          <w:p w14:paraId="52536B45"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65471CA4" w14:textId="77777777" w:rsidR="003E78AB" w:rsidRDefault="00010BF9">
            <w:pPr>
              <w:spacing w:line="360" w:lineRule="exact"/>
              <w:ind w:firstLineChars="0" w:firstLine="0"/>
              <w:jc w:val="center"/>
              <w:textAlignment w:val="center"/>
              <w:rPr>
                <w:snapToGrid w:val="0"/>
                <w:sz w:val="21"/>
                <w:szCs w:val="21"/>
              </w:rPr>
            </w:pPr>
            <w:r>
              <w:rPr>
                <w:rFonts w:eastAsiaTheme="minorEastAsia"/>
                <w:sz w:val="21"/>
                <w:szCs w:val="21"/>
                <w:lang w:bidi="ar"/>
              </w:rPr>
              <w:t>0.5</w:t>
            </w:r>
          </w:p>
        </w:tc>
        <w:tc>
          <w:tcPr>
            <w:tcW w:w="943" w:type="dxa"/>
            <w:gridSpan w:val="2"/>
            <w:vAlign w:val="center"/>
          </w:tcPr>
          <w:p w14:paraId="7422B2F7"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vAlign w:val="center"/>
          </w:tcPr>
          <w:p w14:paraId="7238A371"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25" w:type="dxa"/>
            <w:vAlign w:val="center"/>
          </w:tcPr>
          <w:p w14:paraId="01E30DA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Align w:val="center"/>
          </w:tcPr>
          <w:p w14:paraId="7E9087C7"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04" w:type="dxa"/>
            <w:vMerge w:val="restart"/>
            <w:vAlign w:val="center"/>
          </w:tcPr>
          <w:p w14:paraId="09B5C6A6" w14:textId="77777777" w:rsidR="003E78AB" w:rsidRDefault="00010BF9">
            <w:pPr>
              <w:spacing w:line="360" w:lineRule="exact"/>
              <w:ind w:firstLineChars="0" w:firstLine="0"/>
              <w:jc w:val="center"/>
              <w:rPr>
                <w:snapToGrid w:val="0"/>
                <w:sz w:val="21"/>
                <w:szCs w:val="21"/>
              </w:rPr>
            </w:pPr>
            <w:r>
              <w:rPr>
                <w:snapToGrid w:val="0"/>
                <w:sz w:val="21"/>
                <w:szCs w:val="21"/>
              </w:rPr>
              <w:t>做好场区防渗，以防污染地下水</w:t>
            </w:r>
          </w:p>
        </w:tc>
      </w:tr>
      <w:tr w:rsidR="003E78AB" w14:paraId="02A39BA6" w14:textId="77777777">
        <w:trPr>
          <w:trHeight w:val="340"/>
          <w:jc w:val="center"/>
        </w:trPr>
        <w:tc>
          <w:tcPr>
            <w:tcW w:w="709" w:type="dxa"/>
            <w:vMerge/>
            <w:vAlign w:val="center"/>
          </w:tcPr>
          <w:p w14:paraId="1878681B" w14:textId="77777777" w:rsidR="003E78AB" w:rsidRDefault="003E78AB">
            <w:pPr>
              <w:spacing w:line="360" w:lineRule="exact"/>
              <w:ind w:firstLineChars="0" w:firstLine="0"/>
              <w:jc w:val="center"/>
              <w:rPr>
                <w:snapToGrid w:val="0"/>
                <w:sz w:val="21"/>
                <w:szCs w:val="21"/>
              </w:rPr>
            </w:pPr>
          </w:p>
        </w:tc>
        <w:tc>
          <w:tcPr>
            <w:tcW w:w="1753" w:type="dxa"/>
            <w:gridSpan w:val="2"/>
            <w:shd w:val="clear" w:color="auto" w:fill="auto"/>
            <w:vAlign w:val="center"/>
          </w:tcPr>
          <w:p w14:paraId="5E3E9F8F"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纯水</w:t>
            </w:r>
            <w:r>
              <w:rPr>
                <w:rFonts w:eastAsiaTheme="minorEastAsia"/>
                <w:sz w:val="21"/>
                <w:szCs w:val="21"/>
                <w:lang w:bidi="ar"/>
              </w:rPr>
              <w:t>/</w:t>
            </w:r>
            <w:r>
              <w:rPr>
                <w:rFonts w:eastAsiaTheme="minorEastAsia"/>
                <w:sz w:val="21"/>
                <w:szCs w:val="21"/>
                <w:lang w:bidi="ar"/>
              </w:rPr>
              <w:t>软水制备</w:t>
            </w:r>
          </w:p>
        </w:tc>
        <w:tc>
          <w:tcPr>
            <w:tcW w:w="1367" w:type="dxa"/>
            <w:shd w:val="clear" w:color="auto" w:fill="auto"/>
            <w:vAlign w:val="center"/>
          </w:tcPr>
          <w:p w14:paraId="237C234B" w14:textId="77777777" w:rsidR="003E78AB" w:rsidRDefault="00010BF9">
            <w:pPr>
              <w:spacing w:line="360" w:lineRule="exact"/>
              <w:ind w:firstLineChars="0" w:firstLine="0"/>
              <w:jc w:val="center"/>
              <w:textAlignment w:val="center"/>
              <w:rPr>
                <w:rFonts w:eastAsiaTheme="minorEastAsia"/>
                <w:sz w:val="21"/>
                <w:szCs w:val="21"/>
                <w:lang w:val="zh-CN"/>
              </w:rPr>
            </w:pPr>
            <w:r>
              <w:rPr>
                <w:rFonts w:eastAsiaTheme="minorEastAsia"/>
                <w:sz w:val="21"/>
                <w:szCs w:val="21"/>
                <w:lang w:bidi="ar"/>
              </w:rPr>
              <w:t>废滤芯、废过滤膜</w:t>
            </w:r>
          </w:p>
        </w:tc>
        <w:tc>
          <w:tcPr>
            <w:tcW w:w="708" w:type="dxa"/>
            <w:vAlign w:val="center"/>
          </w:tcPr>
          <w:p w14:paraId="6C62AEC3" w14:textId="77777777" w:rsidR="003E78AB" w:rsidRDefault="00010BF9">
            <w:pPr>
              <w:spacing w:line="360" w:lineRule="exact"/>
              <w:ind w:firstLineChars="0" w:firstLine="0"/>
              <w:jc w:val="center"/>
              <w:textAlignment w:val="center"/>
              <w:rPr>
                <w:bCs/>
                <w:sz w:val="21"/>
                <w:szCs w:val="21"/>
              </w:rPr>
            </w:pPr>
            <w:r>
              <w:rPr>
                <w:rFonts w:eastAsiaTheme="minorEastAsia"/>
                <w:sz w:val="21"/>
                <w:szCs w:val="21"/>
                <w:lang w:bidi="ar"/>
              </w:rPr>
              <w:t>一般固废</w:t>
            </w:r>
          </w:p>
        </w:tc>
        <w:tc>
          <w:tcPr>
            <w:tcW w:w="2268" w:type="dxa"/>
            <w:vAlign w:val="center"/>
          </w:tcPr>
          <w:p w14:paraId="20D769B9" w14:textId="77777777" w:rsidR="003E78AB" w:rsidRDefault="00010BF9">
            <w:pPr>
              <w:spacing w:line="360" w:lineRule="exact"/>
              <w:ind w:firstLineChars="0" w:firstLine="0"/>
              <w:jc w:val="center"/>
              <w:textAlignment w:val="center"/>
              <w:rPr>
                <w:bCs/>
                <w:sz w:val="21"/>
                <w:szCs w:val="21"/>
              </w:rPr>
            </w:pPr>
            <w:r>
              <w:rPr>
                <w:rFonts w:eastAsiaTheme="minorEastAsia"/>
                <w:sz w:val="21"/>
                <w:szCs w:val="21"/>
                <w:lang w:bidi="ar"/>
              </w:rPr>
              <w:t>厂家回收</w:t>
            </w:r>
          </w:p>
        </w:tc>
        <w:tc>
          <w:tcPr>
            <w:tcW w:w="1134" w:type="dxa"/>
            <w:vAlign w:val="center"/>
          </w:tcPr>
          <w:p w14:paraId="02FFB3DB"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26A37D46" w14:textId="77777777" w:rsidR="003E78AB" w:rsidRDefault="00010BF9">
            <w:pPr>
              <w:spacing w:line="360" w:lineRule="exact"/>
              <w:ind w:firstLineChars="0" w:firstLine="0"/>
              <w:jc w:val="center"/>
              <w:textAlignment w:val="center"/>
              <w:rPr>
                <w:rFonts w:eastAsia="Noto Sans CJK JP Regular"/>
                <w:sz w:val="21"/>
                <w:szCs w:val="21"/>
                <w:lang w:val="zh-CN" w:bidi="zh-CN"/>
              </w:rPr>
            </w:pPr>
            <w:r>
              <w:rPr>
                <w:rFonts w:eastAsiaTheme="minorEastAsia"/>
                <w:sz w:val="21"/>
                <w:szCs w:val="21"/>
                <w:lang w:bidi="ar"/>
              </w:rPr>
              <w:t>31.5</w:t>
            </w:r>
          </w:p>
        </w:tc>
        <w:tc>
          <w:tcPr>
            <w:tcW w:w="943" w:type="dxa"/>
            <w:gridSpan w:val="2"/>
            <w:vAlign w:val="center"/>
          </w:tcPr>
          <w:p w14:paraId="6909C06B"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vAlign w:val="center"/>
          </w:tcPr>
          <w:p w14:paraId="3627BF7C"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25" w:type="dxa"/>
            <w:vAlign w:val="center"/>
          </w:tcPr>
          <w:p w14:paraId="2DE9C021"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restart"/>
            <w:vAlign w:val="center"/>
          </w:tcPr>
          <w:p w14:paraId="7B7C81C9" w14:textId="77777777" w:rsidR="003E78AB" w:rsidRDefault="00010BF9">
            <w:pPr>
              <w:spacing w:line="360" w:lineRule="exact"/>
              <w:ind w:firstLineChars="0" w:firstLine="0"/>
              <w:jc w:val="center"/>
              <w:rPr>
                <w:snapToGrid w:val="0"/>
                <w:sz w:val="21"/>
                <w:szCs w:val="21"/>
              </w:rPr>
            </w:pPr>
            <w:r>
              <w:rPr>
                <w:snapToGrid w:val="0"/>
                <w:sz w:val="21"/>
                <w:szCs w:val="21"/>
              </w:rPr>
              <w:t>一般固体废物执行《一般工业固体废物贮存和填埋污染控制标准》（</w:t>
            </w:r>
            <w:r>
              <w:rPr>
                <w:snapToGrid w:val="0"/>
                <w:sz w:val="21"/>
                <w:szCs w:val="21"/>
              </w:rPr>
              <w:t>GB18599-2020</w:t>
            </w:r>
            <w:r>
              <w:rPr>
                <w:snapToGrid w:val="0"/>
                <w:sz w:val="21"/>
                <w:szCs w:val="21"/>
              </w:rPr>
              <w:t>）中有关规定</w:t>
            </w:r>
          </w:p>
          <w:p w14:paraId="728BE704" w14:textId="77777777" w:rsidR="003E78AB" w:rsidRDefault="00010BF9">
            <w:pPr>
              <w:spacing w:line="360" w:lineRule="exact"/>
              <w:ind w:firstLineChars="0" w:firstLine="0"/>
              <w:jc w:val="center"/>
              <w:rPr>
                <w:snapToGrid w:val="0"/>
                <w:sz w:val="21"/>
                <w:szCs w:val="21"/>
              </w:rPr>
            </w:pPr>
            <w:r>
              <w:rPr>
                <w:snapToGrid w:val="0"/>
                <w:sz w:val="21"/>
                <w:szCs w:val="21"/>
              </w:rPr>
              <w:t>危险废物执行《危险废物贮存污染控制标准》（</w:t>
            </w:r>
            <w:r>
              <w:rPr>
                <w:snapToGrid w:val="0"/>
                <w:sz w:val="21"/>
                <w:szCs w:val="21"/>
              </w:rPr>
              <w:t>GB18597-2023</w:t>
            </w:r>
            <w:r>
              <w:rPr>
                <w:snapToGrid w:val="0"/>
                <w:sz w:val="21"/>
                <w:szCs w:val="21"/>
              </w:rPr>
              <w:t>）</w:t>
            </w:r>
          </w:p>
        </w:tc>
        <w:tc>
          <w:tcPr>
            <w:tcW w:w="704" w:type="dxa"/>
            <w:vMerge/>
            <w:vAlign w:val="center"/>
          </w:tcPr>
          <w:p w14:paraId="7C2A6CFA" w14:textId="77777777" w:rsidR="003E78AB" w:rsidRDefault="003E78AB">
            <w:pPr>
              <w:spacing w:line="360" w:lineRule="exact"/>
              <w:ind w:firstLineChars="0" w:firstLine="0"/>
              <w:jc w:val="center"/>
              <w:rPr>
                <w:snapToGrid w:val="0"/>
                <w:sz w:val="21"/>
                <w:szCs w:val="21"/>
              </w:rPr>
            </w:pPr>
          </w:p>
        </w:tc>
      </w:tr>
      <w:tr w:rsidR="003E78AB" w14:paraId="49ADE788" w14:textId="77777777">
        <w:trPr>
          <w:trHeight w:val="340"/>
          <w:jc w:val="center"/>
        </w:trPr>
        <w:tc>
          <w:tcPr>
            <w:tcW w:w="709" w:type="dxa"/>
            <w:vMerge/>
            <w:vAlign w:val="center"/>
          </w:tcPr>
          <w:p w14:paraId="5996E746" w14:textId="77777777" w:rsidR="003E78AB" w:rsidRDefault="003E78AB">
            <w:pPr>
              <w:spacing w:line="360" w:lineRule="exact"/>
              <w:ind w:firstLineChars="0" w:firstLine="0"/>
              <w:jc w:val="center"/>
              <w:rPr>
                <w:snapToGrid w:val="0"/>
                <w:sz w:val="21"/>
                <w:szCs w:val="21"/>
              </w:rPr>
            </w:pPr>
          </w:p>
        </w:tc>
        <w:tc>
          <w:tcPr>
            <w:tcW w:w="1753" w:type="dxa"/>
            <w:gridSpan w:val="2"/>
            <w:vMerge w:val="restart"/>
            <w:shd w:val="clear" w:color="auto" w:fill="auto"/>
            <w:vAlign w:val="center"/>
          </w:tcPr>
          <w:p w14:paraId="0D335C93"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投料</w:t>
            </w:r>
          </w:p>
        </w:tc>
        <w:tc>
          <w:tcPr>
            <w:tcW w:w="1367" w:type="dxa"/>
            <w:shd w:val="clear" w:color="auto" w:fill="auto"/>
            <w:vAlign w:val="center"/>
          </w:tcPr>
          <w:p w14:paraId="06732C5A"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沉降灰</w:t>
            </w:r>
          </w:p>
        </w:tc>
        <w:tc>
          <w:tcPr>
            <w:tcW w:w="708" w:type="dxa"/>
            <w:vAlign w:val="center"/>
          </w:tcPr>
          <w:p w14:paraId="0B792DF9" w14:textId="77777777" w:rsidR="003E78AB" w:rsidRDefault="00010BF9">
            <w:pPr>
              <w:spacing w:line="360" w:lineRule="exact"/>
              <w:ind w:firstLineChars="0" w:firstLine="0"/>
              <w:jc w:val="center"/>
              <w:textAlignment w:val="center"/>
              <w:rPr>
                <w:bCs/>
                <w:sz w:val="21"/>
                <w:szCs w:val="21"/>
              </w:rPr>
            </w:pPr>
            <w:r>
              <w:rPr>
                <w:rFonts w:eastAsiaTheme="minorEastAsia"/>
                <w:sz w:val="21"/>
                <w:szCs w:val="21"/>
                <w:lang w:bidi="ar"/>
              </w:rPr>
              <w:t>危险废物</w:t>
            </w:r>
          </w:p>
        </w:tc>
        <w:tc>
          <w:tcPr>
            <w:tcW w:w="2268" w:type="dxa"/>
            <w:vMerge w:val="restart"/>
            <w:vAlign w:val="center"/>
          </w:tcPr>
          <w:p w14:paraId="42E5628D" w14:textId="77777777" w:rsidR="003E78AB" w:rsidRDefault="00010BF9">
            <w:pPr>
              <w:spacing w:line="360" w:lineRule="exact"/>
              <w:ind w:firstLineChars="0" w:firstLine="0"/>
              <w:jc w:val="center"/>
              <w:rPr>
                <w:bCs/>
                <w:sz w:val="21"/>
                <w:szCs w:val="21"/>
              </w:rPr>
            </w:pPr>
            <w:r>
              <w:rPr>
                <w:rFonts w:hint="eastAsia"/>
                <w:bCs/>
                <w:sz w:val="21"/>
                <w:szCs w:val="21"/>
              </w:rPr>
              <w:t>危险废物暂存间</w:t>
            </w:r>
            <w:r>
              <w:rPr>
                <w:bCs/>
                <w:sz w:val="21"/>
                <w:szCs w:val="21"/>
              </w:rPr>
              <w:t>内设置专用容器收集后定期交由有资质单位处置</w:t>
            </w:r>
          </w:p>
        </w:tc>
        <w:tc>
          <w:tcPr>
            <w:tcW w:w="1134" w:type="dxa"/>
            <w:vAlign w:val="center"/>
          </w:tcPr>
          <w:p w14:paraId="7502A4CB"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0178FD54"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sz w:val="21"/>
                <w:szCs w:val="21"/>
                <w:lang w:bidi="ar"/>
              </w:rPr>
              <w:t>0.383</w:t>
            </w:r>
          </w:p>
        </w:tc>
        <w:tc>
          <w:tcPr>
            <w:tcW w:w="943" w:type="dxa"/>
            <w:gridSpan w:val="2"/>
            <w:vAlign w:val="center"/>
          </w:tcPr>
          <w:p w14:paraId="199B437A"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vAlign w:val="center"/>
          </w:tcPr>
          <w:p w14:paraId="74786F7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25" w:type="dxa"/>
            <w:vAlign w:val="center"/>
          </w:tcPr>
          <w:p w14:paraId="4B5A27C0"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5CB3D36E"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79C30543" w14:textId="77777777" w:rsidR="003E78AB" w:rsidRDefault="003E78AB">
            <w:pPr>
              <w:spacing w:line="360" w:lineRule="exact"/>
              <w:ind w:firstLineChars="0" w:firstLine="0"/>
              <w:jc w:val="center"/>
              <w:rPr>
                <w:snapToGrid w:val="0"/>
                <w:sz w:val="21"/>
                <w:szCs w:val="21"/>
              </w:rPr>
            </w:pPr>
          </w:p>
        </w:tc>
      </w:tr>
      <w:tr w:rsidR="003E78AB" w14:paraId="2F90D486" w14:textId="77777777">
        <w:trPr>
          <w:trHeight w:val="340"/>
          <w:jc w:val="center"/>
        </w:trPr>
        <w:tc>
          <w:tcPr>
            <w:tcW w:w="709" w:type="dxa"/>
            <w:vMerge/>
            <w:vAlign w:val="center"/>
          </w:tcPr>
          <w:p w14:paraId="2F98208D" w14:textId="77777777" w:rsidR="003E78AB" w:rsidRDefault="003E78AB">
            <w:pPr>
              <w:spacing w:line="360" w:lineRule="exact"/>
              <w:ind w:firstLineChars="0" w:firstLine="0"/>
              <w:jc w:val="center"/>
              <w:rPr>
                <w:snapToGrid w:val="0"/>
                <w:sz w:val="21"/>
                <w:szCs w:val="21"/>
              </w:rPr>
            </w:pPr>
          </w:p>
        </w:tc>
        <w:tc>
          <w:tcPr>
            <w:tcW w:w="1753" w:type="dxa"/>
            <w:gridSpan w:val="2"/>
            <w:vMerge/>
            <w:shd w:val="clear" w:color="auto" w:fill="auto"/>
            <w:vAlign w:val="center"/>
          </w:tcPr>
          <w:p w14:paraId="7A259A62" w14:textId="77777777" w:rsidR="003E78AB" w:rsidRDefault="003E78AB">
            <w:pPr>
              <w:spacing w:line="360" w:lineRule="exact"/>
              <w:ind w:firstLineChars="0" w:firstLine="0"/>
              <w:jc w:val="center"/>
              <w:rPr>
                <w:rFonts w:eastAsiaTheme="minorEastAsia"/>
                <w:sz w:val="21"/>
                <w:szCs w:val="21"/>
                <w:lang w:bidi="ar"/>
              </w:rPr>
            </w:pPr>
          </w:p>
        </w:tc>
        <w:tc>
          <w:tcPr>
            <w:tcW w:w="1367" w:type="dxa"/>
            <w:shd w:val="clear" w:color="auto" w:fill="auto"/>
            <w:vAlign w:val="center"/>
          </w:tcPr>
          <w:p w14:paraId="0FA0A7A7"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sz w:val="21"/>
                <w:szCs w:val="21"/>
                <w:lang w:bidi="ar"/>
              </w:rPr>
              <w:t>废滤袋</w:t>
            </w:r>
          </w:p>
        </w:tc>
        <w:tc>
          <w:tcPr>
            <w:tcW w:w="708" w:type="dxa"/>
            <w:vAlign w:val="center"/>
          </w:tcPr>
          <w:p w14:paraId="214C637F" w14:textId="77777777" w:rsidR="003E78AB" w:rsidRDefault="00010BF9">
            <w:pPr>
              <w:spacing w:line="360" w:lineRule="exact"/>
              <w:ind w:firstLineChars="0" w:firstLine="0"/>
              <w:jc w:val="center"/>
              <w:textAlignment w:val="center"/>
              <w:rPr>
                <w:bCs/>
                <w:sz w:val="21"/>
                <w:szCs w:val="21"/>
              </w:rPr>
            </w:pPr>
            <w:r>
              <w:rPr>
                <w:rFonts w:eastAsiaTheme="minorEastAsia"/>
                <w:sz w:val="21"/>
                <w:szCs w:val="21"/>
                <w:lang w:bidi="ar"/>
              </w:rPr>
              <w:t>危险废物</w:t>
            </w:r>
          </w:p>
        </w:tc>
        <w:tc>
          <w:tcPr>
            <w:tcW w:w="2268" w:type="dxa"/>
            <w:vMerge/>
            <w:vAlign w:val="center"/>
          </w:tcPr>
          <w:p w14:paraId="0A91D0F6" w14:textId="77777777" w:rsidR="003E78AB" w:rsidRDefault="003E78AB">
            <w:pPr>
              <w:spacing w:line="360" w:lineRule="exact"/>
              <w:ind w:firstLineChars="0" w:firstLine="0"/>
              <w:jc w:val="center"/>
              <w:rPr>
                <w:bCs/>
                <w:sz w:val="21"/>
                <w:szCs w:val="21"/>
              </w:rPr>
            </w:pPr>
          </w:p>
        </w:tc>
        <w:tc>
          <w:tcPr>
            <w:tcW w:w="1134" w:type="dxa"/>
            <w:vAlign w:val="center"/>
          </w:tcPr>
          <w:p w14:paraId="170A2E55" w14:textId="77777777" w:rsidR="003E78AB" w:rsidRDefault="003E78AB">
            <w:pPr>
              <w:spacing w:line="360" w:lineRule="exact"/>
              <w:ind w:firstLineChars="0" w:firstLine="0"/>
              <w:jc w:val="center"/>
              <w:rPr>
                <w:snapToGrid w:val="0"/>
                <w:sz w:val="21"/>
                <w:szCs w:val="21"/>
              </w:rPr>
            </w:pPr>
          </w:p>
        </w:tc>
        <w:tc>
          <w:tcPr>
            <w:tcW w:w="1185" w:type="dxa"/>
            <w:vAlign w:val="center"/>
          </w:tcPr>
          <w:p w14:paraId="7CA038DC" w14:textId="77777777" w:rsidR="003E78AB" w:rsidRDefault="00010BF9">
            <w:pPr>
              <w:spacing w:line="360" w:lineRule="exact"/>
              <w:ind w:firstLineChars="0" w:firstLine="0"/>
              <w:jc w:val="center"/>
              <w:textAlignment w:val="center"/>
              <w:rPr>
                <w:bCs/>
                <w:kern w:val="2"/>
                <w:sz w:val="21"/>
                <w:szCs w:val="21"/>
                <w:lang w:bidi="zh-CN"/>
              </w:rPr>
            </w:pPr>
            <w:r>
              <w:rPr>
                <w:rFonts w:eastAsiaTheme="minorEastAsia"/>
                <w:sz w:val="21"/>
                <w:szCs w:val="21"/>
                <w:lang w:bidi="ar"/>
              </w:rPr>
              <w:t>0.5</w:t>
            </w:r>
          </w:p>
        </w:tc>
        <w:tc>
          <w:tcPr>
            <w:tcW w:w="943" w:type="dxa"/>
            <w:gridSpan w:val="2"/>
            <w:vAlign w:val="center"/>
          </w:tcPr>
          <w:p w14:paraId="29B242CA" w14:textId="77777777" w:rsidR="003E78AB" w:rsidRDefault="003E78AB">
            <w:pPr>
              <w:spacing w:line="360" w:lineRule="exact"/>
              <w:ind w:firstLineChars="0" w:firstLine="0"/>
              <w:jc w:val="center"/>
              <w:rPr>
                <w:snapToGrid w:val="0"/>
                <w:sz w:val="21"/>
                <w:szCs w:val="21"/>
              </w:rPr>
            </w:pPr>
          </w:p>
        </w:tc>
        <w:tc>
          <w:tcPr>
            <w:tcW w:w="872" w:type="dxa"/>
            <w:vAlign w:val="center"/>
          </w:tcPr>
          <w:p w14:paraId="36B90465" w14:textId="77777777" w:rsidR="003E78AB" w:rsidRDefault="003E78AB">
            <w:pPr>
              <w:spacing w:line="360" w:lineRule="exact"/>
              <w:ind w:firstLineChars="0" w:firstLine="0"/>
              <w:jc w:val="center"/>
              <w:rPr>
                <w:snapToGrid w:val="0"/>
                <w:sz w:val="21"/>
                <w:szCs w:val="21"/>
              </w:rPr>
            </w:pPr>
          </w:p>
        </w:tc>
        <w:tc>
          <w:tcPr>
            <w:tcW w:w="725" w:type="dxa"/>
            <w:vAlign w:val="center"/>
          </w:tcPr>
          <w:p w14:paraId="72EA5554" w14:textId="77777777" w:rsidR="003E78AB" w:rsidRDefault="003E78AB">
            <w:pPr>
              <w:spacing w:line="360" w:lineRule="exact"/>
              <w:ind w:firstLineChars="0" w:firstLine="0"/>
              <w:jc w:val="center"/>
              <w:rPr>
                <w:snapToGrid w:val="0"/>
                <w:sz w:val="21"/>
                <w:szCs w:val="21"/>
              </w:rPr>
            </w:pPr>
          </w:p>
        </w:tc>
        <w:tc>
          <w:tcPr>
            <w:tcW w:w="2229" w:type="dxa"/>
            <w:vMerge/>
            <w:vAlign w:val="center"/>
          </w:tcPr>
          <w:p w14:paraId="22D87207"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649B296B" w14:textId="77777777" w:rsidR="003E78AB" w:rsidRDefault="003E78AB">
            <w:pPr>
              <w:spacing w:line="360" w:lineRule="exact"/>
              <w:ind w:firstLineChars="0" w:firstLine="0"/>
              <w:jc w:val="center"/>
              <w:rPr>
                <w:snapToGrid w:val="0"/>
                <w:sz w:val="21"/>
                <w:szCs w:val="21"/>
              </w:rPr>
            </w:pPr>
          </w:p>
        </w:tc>
      </w:tr>
      <w:tr w:rsidR="003E78AB" w14:paraId="038F58E8" w14:textId="77777777">
        <w:trPr>
          <w:trHeight w:val="340"/>
          <w:jc w:val="center"/>
        </w:trPr>
        <w:tc>
          <w:tcPr>
            <w:tcW w:w="709" w:type="dxa"/>
            <w:vMerge/>
            <w:vAlign w:val="center"/>
          </w:tcPr>
          <w:p w14:paraId="6235ECAC" w14:textId="77777777" w:rsidR="003E78AB" w:rsidRDefault="003E78AB">
            <w:pPr>
              <w:spacing w:line="360" w:lineRule="exact"/>
              <w:ind w:firstLineChars="0" w:firstLine="0"/>
              <w:jc w:val="center"/>
              <w:rPr>
                <w:snapToGrid w:val="0"/>
                <w:sz w:val="21"/>
                <w:szCs w:val="21"/>
              </w:rPr>
            </w:pPr>
          </w:p>
        </w:tc>
        <w:tc>
          <w:tcPr>
            <w:tcW w:w="1753" w:type="dxa"/>
            <w:gridSpan w:val="2"/>
            <w:vMerge/>
            <w:shd w:val="clear" w:color="auto" w:fill="auto"/>
            <w:vAlign w:val="center"/>
          </w:tcPr>
          <w:p w14:paraId="49C57413" w14:textId="77777777" w:rsidR="003E78AB" w:rsidRDefault="003E78AB">
            <w:pPr>
              <w:spacing w:line="360" w:lineRule="exact"/>
              <w:ind w:firstLineChars="0" w:firstLine="0"/>
              <w:jc w:val="center"/>
              <w:rPr>
                <w:rFonts w:eastAsiaTheme="minorEastAsia"/>
                <w:sz w:val="21"/>
                <w:szCs w:val="21"/>
              </w:rPr>
            </w:pPr>
          </w:p>
        </w:tc>
        <w:tc>
          <w:tcPr>
            <w:tcW w:w="1367" w:type="dxa"/>
            <w:vAlign w:val="center"/>
          </w:tcPr>
          <w:p w14:paraId="3702E4D4"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sz w:val="21"/>
                <w:szCs w:val="21"/>
                <w:lang w:bidi="ar"/>
              </w:rPr>
              <w:t>废包装袋内衬（沾染有毒有害物质的）</w:t>
            </w:r>
          </w:p>
        </w:tc>
        <w:tc>
          <w:tcPr>
            <w:tcW w:w="708" w:type="dxa"/>
            <w:vAlign w:val="center"/>
          </w:tcPr>
          <w:p w14:paraId="05117063" w14:textId="77777777" w:rsidR="003E78AB" w:rsidRDefault="00010BF9">
            <w:pPr>
              <w:spacing w:line="360" w:lineRule="exact"/>
              <w:ind w:firstLineChars="0" w:firstLine="0"/>
              <w:jc w:val="center"/>
              <w:textAlignment w:val="center"/>
              <w:rPr>
                <w:bCs/>
                <w:sz w:val="21"/>
                <w:szCs w:val="21"/>
              </w:rPr>
            </w:pPr>
            <w:r>
              <w:rPr>
                <w:rFonts w:eastAsiaTheme="minorEastAsia"/>
                <w:sz w:val="21"/>
                <w:szCs w:val="21"/>
                <w:lang w:bidi="ar"/>
              </w:rPr>
              <w:t>危险废物</w:t>
            </w:r>
          </w:p>
        </w:tc>
        <w:tc>
          <w:tcPr>
            <w:tcW w:w="2268" w:type="dxa"/>
            <w:vMerge/>
            <w:vAlign w:val="center"/>
          </w:tcPr>
          <w:p w14:paraId="09113180" w14:textId="77777777" w:rsidR="003E78AB" w:rsidRDefault="003E78AB">
            <w:pPr>
              <w:spacing w:line="360" w:lineRule="exact"/>
              <w:ind w:firstLineChars="0" w:firstLine="0"/>
              <w:jc w:val="center"/>
              <w:rPr>
                <w:bCs/>
                <w:sz w:val="21"/>
                <w:szCs w:val="21"/>
              </w:rPr>
            </w:pPr>
          </w:p>
        </w:tc>
        <w:tc>
          <w:tcPr>
            <w:tcW w:w="1134" w:type="dxa"/>
            <w:vAlign w:val="center"/>
          </w:tcPr>
          <w:p w14:paraId="73A4C36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12EA3B30"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sz w:val="21"/>
                <w:szCs w:val="21"/>
                <w:lang w:bidi="ar"/>
              </w:rPr>
              <w:t>0.35</w:t>
            </w:r>
          </w:p>
        </w:tc>
        <w:tc>
          <w:tcPr>
            <w:tcW w:w="943" w:type="dxa"/>
            <w:gridSpan w:val="2"/>
            <w:vAlign w:val="center"/>
          </w:tcPr>
          <w:p w14:paraId="3EED6D64"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vAlign w:val="center"/>
          </w:tcPr>
          <w:p w14:paraId="358A5DB6"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25" w:type="dxa"/>
            <w:vAlign w:val="center"/>
          </w:tcPr>
          <w:p w14:paraId="1839D46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7D97341C"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2CB70032" w14:textId="77777777" w:rsidR="003E78AB" w:rsidRDefault="003E78AB">
            <w:pPr>
              <w:spacing w:line="360" w:lineRule="exact"/>
              <w:ind w:firstLineChars="0" w:firstLine="0"/>
              <w:jc w:val="center"/>
              <w:rPr>
                <w:snapToGrid w:val="0"/>
                <w:sz w:val="21"/>
                <w:szCs w:val="21"/>
              </w:rPr>
            </w:pPr>
          </w:p>
        </w:tc>
      </w:tr>
      <w:tr w:rsidR="003E78AB" w14:paraId="457646B5" w14:textId="77777777">
        <w:trPr>
          <w:trHeight w:val="340"/>
          <w:jc w:val="center"/>
        </w:trPr>
        <w:tc>
          <w:tcPr>
            <w:tcW w:w="709" w:type="dxa"/>
            <w:vMerge/>
            <w:vAlign w:val="center"/>
          </w:tcPr>
          <w:p w14:paraId="2D526E7C" w14:textId="77777777" w:rsidR="003E78AB" w:rsidRDefault="003E78AB">
            <w:pPr>
              <w:spacing w:line="360" w:lineRule="exact"/>
              <w:ind w:firstLineChars="0" w:firstLine="0"/>
              <w:jc w:val="center"/>
              <w:rPr>
                <w:snapToGrid w:val="0"/>
                <w:sz w:val="21"/>
                <w:szCs w:val="21"/>
              </w:rPr>
            </w:pPr>
          </w:p>
        </w:tc>
        <w:tc>
          <w:tcPr>
            <w:tcW w:w="1753" w:type="dxa"/>
            <w:gridSpan w:val="2"/>
            <w:vAlign w:val="center"/>
          </w:tcPr>
          <w:p w14:paraId="4E655959" w14:textId="77777777" w:rsidR="003E78AB" w:rsidRDefault="00010BF9">
            <w:pPr>
              <w:spacing w:line="360" w:lineRule="exact"/>
              <w:ind w:firstLineChars="0" w:firstLine="0"/>
              <w:jc w:val="center"/>
              <w:rPr>
                <w:sz w:val="21"/>
                <w:szCs w:val="21"/>
                <w:lang w:bidi="zh-CN"/>
              </w:rPr>
            </w:pPr>
            <w:r>
              <w:rPr>
                <w:rFonts w:eastAsiaTheme="minorEastAsia" w:hint="eastAsia"/>
                <w:sz w:val="21"/>
                <w:szCs w:val="21"/>
              </w:rPr>
              <w:t>废气处理</w:t>
            </w:r>
          </w:p>
        </w:tc>
        <w:tc>
          <w:tcPr>
            <w:tcW w:w="1367" w:type="dxa"/>
            <w:vAlign w:val="center"/>
          </w:tcPr>
          <w:p w14:paraId="21217E0E"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hint="eastAsia"/>
                <w:sz w:val="21"/>
                <w:szCs w:val="21"/>
                <w:lang w:bidi="ar"/>
              </w:rPr>
              <w:t>结晶盐</w:t>
            </w:r>
          </w:p>
        </w:tc>
        <w:tc>
          <w:tcPr>
            <w:tcW w:w="708" w:type="dxa"/>
            <w:vAlign w:val="center"/>
          </w:tcPr>
          <w:p w14:paraId="1CEDA6F2" w14:textId="77777777" w:rsidR="003E78AB" w:rsidRDefault="00010BF9">
            <w:pPr>
              <w:spacing w:line="360" w:lineRule="exact"/>
              <w:ind w:firstLineChars="0" w:firstLine="0"/>
              <w:jc w:val="center"/>
              <w:rPr>
                <w:rFonts w:eastAsiaTheme="minorEastAsia"/>
                <w:bCs/>
                <w:sz w:val="21"/>
                <w:szCs w:val="21"/>
              </w:rPr>
            </w:pPr>
            <w:r>
              <w:rPr>
                <w:rFonts w:eastAsiaTheme="minorEastAsia" w:hint="eastAsia"/>
                <w:sz w:val="21"/>
                <w:szCs w:val="21"/>
                <w:lang w:bidi="ar"/>
              </w:rPr>
              <w:t>固体废物</w:t>
            </w:r>
          </w:p>
        </w:tc>
        <w:tc>
          <w:tcPr>
            <w:tcW w:w="2268" w:type="dxa"/>
            <w:vAlign w:val="center"/>
          </w:tcPr>
          <w:p w14:paraId="642A4CCE" w14:textId="77777777" w:rsidR="003E78AB" w:rsidRDefault="00010BF9">
            <w:pPr>
              <w:spacing w:line="360" w:lineRule="exact"/>
              <w:ind w:firstLineChars="0" w:firstLine="0"/>
              <w:jc w:val="center"/>
              <w:rPr>
                <w:sz w:val="21"/>
                <w:szCs w:val="21"/>
              </w:rPr>
            </w:pPr>
            <w:r>
              <w:rPr>
                <w:rFonts w:eastAsiaTheme="minorEastAsia" w:hint="eastAsia"/>
                <w:sz w:val="21"/>
                <w:szCs w:val="21"/>
                <w:lang w:bidi="ar"/>
              </w:rPr>
              <w:t>固废</w:t>
            </w:r>
            <w:r>
              <w:rPr>
                <w:rFonts w:eastAsiaTheme="minorEastAsia"/>
                <w:sz w:val="21"/>
                <w:szCs w:val="21"/>
                <w:lang w:bidi="ar"/>
              </w:rPr>
              <w:t>属性</w:t>
            </w:r>
            <w:r>
              <w:rPr>
                <w:rFonts w:eastAsiaTheme="minorEastAsia" w:hint="eastAsia"/>
                <w:sz w:val="21"/>
                <w:szCs w:val="21"/>
                <w:lang w:bidi="ar"/>
              </w:rPr>
              <w:t>确定</w:t>
            </w:r>
            <w:r>
              <w:rPr>
                <w:rFonts w:eastAsiaTheme="minorEastAsia"/>
                <w:sz w:val="21"/>
                <w:szCs w:val="21"/>
                <w:lang w:bidi="ar"/>
              </w:rPr>
              <w:t>前按危废收集处置</w:t>
            </w:r>
          </w:p>
        </w:tc>
        <w:tc>
          <w:tcPr>
            <w:tcW w:w="1134" w:type="dxa"/>
            <w:vAlign w:val="center"/>
          </w:tcPr>
          <w:p w14:paraId="45D17232"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0F16CF92" w14:textId="77777777" w:rsidR="003E78AB" w:rsidRDefault="00010BF9">
            <w:pPr>
              <w:spacing w:line="360" w:lineRule="exact"/>
              <w:ind w:firstLineChars="0" w:firstLine="0"/>
              <w:jc w:val="center"/>
              <w:rPr>
                <w:rFonts w:eastAsia="Noto Sans CJK JP Regular"/>
                <w:sz w:val="21"/>
                <w:szCs w:val="21"/>
                <w:lang w:bidi="zh-CN"/>
              </w:rPr>
            </w:pPr>
            <w:r>
              <w:rPr>
                <w:rFonts w:eastAsiaTheme="minorEastAsia" w:hint="eastAsia"/>
                <w:sz w:val="21"/>
                <w:szCs w:val="21"/>
                <w:lang w:bidi="ar"/>
              </w:rPr>
              <w:t>361.25</w:t>
            </w:r>
          </w:p>
        </w:tc>
        <w:tc>
          <w:tcPr>
            <w:tcW w:w="943" w:type="dxa"/>
            <w:gridSpan w:val="2"/>
            <w:vAlign w:val="center"/>
          </w:tcPr>
          <w:p w14:paraId="7925BAA0"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vAlign w:val="center"/>
          </w:tcPr>
          <w:p w14:paraId="37757ADF"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25" w:type="dxa"/>
            <w:vAlign w:val="center"/>
          </w:tcPr>
          <w:p w14:paraId="30F78279"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22551E0C"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366E6DC7" w14:textId="77777777" w:rsidR="003E78AB" w:rsidRDefault="003E78AB">
            <w:pPr>
              <w:spacing w:line="360" w:lineRule="exact"/>
              <w:ind w:firstLineChars="0" w:firstLine="0"/>
              <w:jc w:val="center"/>
              <w:rPr>
                <w:snapToGrid w:val="0"/>
                <w:sz w:val="21"/>
                <w:szCs w:val="21"/>
              </w:rPr>
            </w:pPr>
          </w:p>
        </w:tc>
      </w:tr>
      <w:tr w:rsidR="003E78AB" w14:paraId="16649B0D" w14:textId="77777777">
        <w:trPr>
          <w:trHeight w:val="340"/>
          <w:jc w:val="center"/>
        </w:trPr>
        <w:tc>
          <w:tcPr>
            <w:tcW w:w="709" w:type="dxa"/>
            <w:vMerge/>
            <w:vAlign w:val="center"/>
          </w:tcPr>
          <w:p w14:paraId="6583584E" w14:textId="77777777" w:rsidR="003E78AB" w:rsidRDefault="003E78AB">
            <w:pPr>
              <w:spacing w:line="360" w:lineRule="exact"/>
              <w:ind w:firstLineChars="0" w:firstLine="0"/>
              <w:jc w:val="center"/>
              <w:rPr>
                <w:snapToGrid w:val="0"/>
                <w:sz w:val="21"/>
                <w:szCs w:val="21"/>
              </w:rPr>
            </w:pPr>
          </w:p>
        </w:tc>
        <w:tc>
          <w:tcPr>
            <w:tcW w:w="1753" w:type="dxa"/>
            <w:gridSpan w:val="2"/>
            <w:vMerge w:val="restart"/>
            <w:shd w:val="clear" w:color="auto" w:fill="auto"/>
            <w:vAlign w:val="center"/>
          </w:tcPr>
          <w:p w14:paraId="7ADF9E45"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实验室</w:t>
            </w:r>
          </w:p>
        </w:tc>
        <w:tc>
          <w:tcPr>
            <w:tcW w:w="1367" w:type="dxa"/>
            <w:shd w:val="clear" w:color="auto" w:fill="auto"/>
            <w:vAlign w:val="center"/>
          </w:tcPr>
          <w:p w14:paraId="6FC7B985" w14:textId="77777777" w:rsidR="003E78AB" w:rsidRDefault="00010BF9">
            <w:pPr>
              <w:spacing w:line="360" w:lineRule="exact"/>
              <w:ind w:firstLineChars="0" w:firstLine="0"/>
              <w:jc w:val="center"/>
              <w:textAlignment w:val="center"/>
              <w:rPr>
                <w:rFonts w:eastAsiaTheme="minorEastAsia"/>
                <w:sz w:val="21"/>
                <w:szCs w:val="21"/>
                <w:lang w:val="zh-CN"/>
              </w:rPr>
            </w:pPr>
            <w:r>
              <w:rPr>
                <w:rFonts w:eastAsiaTheme="minorEastAsia"/>
                <w:sz w:val="21"/>
                <w:szCs w:val="21"/>
                <w:lang w:bidi="ar"/>
              </w:rPr>
              <w:t>实验室废液</w:t>
            </w:r>
          </w:p>
        </w:tc>
        <w:tc>
          <w:tcPr>
            <w:tcW w:w="708" w:type="dxa"/>
            <w:vAlign w:val="center"/>
          </w:tcPr>
          <w:p w14:paraId="5C251847" w14:textId="77777777" w:rsidR="003E78AB" w:rsidRDefault="00010BF9">
            <w:pPr>
              <w:spacing w:line="360" w:lineRule="exact"/>
              <w:ind w:firstLineChars="0" w:firstLine="0"/>
              <w:jc w:val="center"/>
              <w:rPr>
                <w:bCs/>
                <w:sz w:val="21"/>
                <w:szCs w:val="21"/>
              </w:rPr>
            </w:pPr>
            <w:r>
              <w:rPr>
                <w:bCs/>
                <w:sz w:val="21"/>
                <w:szCs w:val="21"/>
              </w:rPr>
              <w:t>危险废物</w:t>
            </w:r>
          </w:p>
        </w:tc>
        <w:tc>
          <w:tcPr>
            <w:tcW w:w="2268" w:type="dxa"/>
            <w:vMerge w:val="restart"/>
            <w:vAlign w:val="center"/>
          </w:tcPr>
          <w:p w14:paraId="16214A77" w14:textId="77777777" w:rsidR="003E78AB" w:rsidRDefault="00010BF9">
            <w:pPr>
              <w:spacing w:line="360" w:lineRule="exact"/>
              <w:ind w:firstLineChars="0" w:firstLine="0"/>
              <w:jc w:val="center"/>
              <w:rPr>
                <w:sz w:val="21"/>
                <w:szCs w:val="21"/>
              </w:rPr>
            </w:pPr>
            <w:r>
              <w:rPr>
                <w:rFonts w:hint="eastAsia"/>
                <w:bCs/>
                <w:sz w:val="21"/>
                <w:szCs w:val="21"/>
              </w:rPr>
              <w:t>危险废物暂存间</w:t>
            </w:r>
            <w:r>
              <w:rPr>
                <w:bCs/>
                <w:sz w:val="21"/>
                <w:szCs w:val="21"/>
              </w:rPr>
              <w:t>内设置专用容器收集后定期交由有资质单位处置</w:t>
            </w:r>
          </w:p>
        </w:tc>
        <w:tc>
          <w:tcPr>
            <w:tcW w:w="1134" w:type="dxa"/>
            <w:vAlign w:val="center"/>
          </w:tcPr>
          <w:p w14:paraId="16327593"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28D540AD"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sz w:val="21"/>
                <w:szCs w:val="21"/>
                <w:lang w:bidi="ar"/>
              </w:rPr>
              <w:t>1.5</w:t>
            </w:r>
          </w:p>
        </w:tc>
        <w:tc>
          <w:tcPr>
            <w:tcW w:w="943" w:type="dxa"/>
            <w:gridSpan w:val="2"/>
            <w:vAlign w:val="center"/>
          </w:tcPr>
          <w:p w14:paraId="181EF023"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872" w:type="dxa"/>
            <w:vAlign w:val="center"/>
          </w:tcPr>
          <w:p w14:paraId="75EF2689"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725" w:type="dxa"/>
            <w:vAlign w:val="center"/>
          </w:tcPr>
          <w:p w14:paraId="72A63BF8"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6E579001"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303C5A65" w14:textId="77777777" w:rsidR="003E78AB" w:rsidRDefault="003E78AB">
            <w:pPr>
              <w:spacing w:line="360" w:lineRule="exact"/>
              <w:ind w:firstLineChars="0" w:firstLine="0"/>
              <w:jc w:val="center"/>
              <w:rPr>
                <w:snapToGrid w:val="0"/>
                <w:sz w:val="21"/>
                <w:szCs w:val="21"/>
              </w:rPr>
            </w:pPr>
          </w:p>
        </w:tc>
      </w:tr>
      <w:tr w:rsidR="003E78AB" w14:paraId="6E079E8D" w14:textId="77777777">
        <w:trPr>
          <w:trHeight w:val="340"/>
          <w:jc w:val="center"/>
        </w:trPr>
        <w:tc>
          <w:tcPr>
            <w:tcW w:w="709" w:type="dxa"/>
            <w:vMerge/>
            <w:vAlign w:val="center"/>
          </w:tcPr>
          <w:p w14:paraId="2C9D0AB4" w14:textId="77777777" w:rsidR="003E78AB" w:rsidRDefault="003E78AB">
            <w:pPr>
              <w:spacing w:line="360" w:lineRule="exact"/>
              <w:ind w:firstLineChars="0" w:firstLine="0"/>
              <w:jc w:val="center"/>
              <w:rPr>
                <w:snapToGrid w:val="0"/>
                <w:sz w:val="21"/>
                <w:szCs w:val="21"/>
              </w:rPr>
            </w:pPr>
          </w:p>
        </w:tc>
        <w:tc>
          <w:tcPr>
            <w:tcW w:w="1753" w:type="dxa"/>
            <w:gridSpan w:val="2"/>
            <w:vMerge/>
            <w:vAlign w:val="center"/>
          </w:tcPr>
          <w:p w14:paraId="1FB07216" w14:textId="77777777" w:rsidR="003E78AB" w:rsidRDefault="003E78AB">
            <w:pPr>
              <w:spacing w:line="360" w:lineRule="exact"/>
              <w:ind w:firstLineChars="0" w:firstLine="0"/>
              <w:jc w:val="center"/>
              <w:rPr>
                <w:bCs/>
                <w:sz w:val="21"/>
                <w:szCs w:val="21"/>
              </w:rPr>
            </w:pPr>
          </w:p>
        </w:tc>
        <w:tc>
          <w:tcPr>
            <w:tcW w:w="1367" w:type="dxa"/>
            <w:shd w:val="clear" w:color="auto" w:fill="auto"/>
            <w:vAlign w:val="center"/>
          </w:tcPr>
          <w:p w14:paraId="4F156F89" w14:textId="77777777" w:rsidR="003E78AB" w:rsidRDefault="00010BF9">
            <w:pPr>
              <w:spacing w:line="360" w:lineRule="exact"/>
              <w:ind w:firstLineChars="0" w:firstLine="0"/>
              <w:jc w:val="center"/>
              <w:textAlignment w:val="center"/>
              <w:rPr>
                <w:rFonts w:eastAsiaTheme="minorEastAsia"/>
                <w:sz w:val="21"/>
                <w:szCs w:val="21"/>
                <w:lang w:val="zh-CN" w:bidi="ar"/>
              </w:rPr>
            </w:pPr>
            <w:r>
              <w:rPr>
                <w:rFonts w:eastAsiaTheme="minorEastAsia"/>
                <w:sz w:val="21"/>
                <w:szCs w:val="21"/>
                <w:lang w:bidi="ar"/>
              </w:rPr>
              <w:t>废试剂瓶</w:t>
            </w:r>
          </w:p>
        </w:tc>
        <w:tc>
          <w:tcPr>
            <w:tcW w:w="708" w:type="dxa"/>
            <w:vAlign w:val="center"/>
          </w:tcPr>
          <w:p w14:paraId="0464C7CB" w14:textId="77777777" w:rsidR="003E78AB" w:rsidRDefault="00010BF9">
            <w:pPr>
              <w:spacing w:line="360" w:lineRule="exact"/>
              <w:ind w:firstLineChars="0" w:firstLine="0"/>
              <w:jc w:val="center"/>
              <w:rPr>
                <w:rFonts w:eastAsia="Noto Sans CJK JP Regular"/>
                <w:sz w:val="21"/>
                <w:szCs w:val="21"/>
                <w:lang w:val="zh-CN" w:bidi="zh-CN"/>
              </w:rPr>
            </w:pPr>
            <w:r>
              <w:rPr>
                <w:bCs/>
                <w:sz w:val="21"/>
                <w:szCs w:val="21"/>
              </w:rPr>
              <w:t>危险废物</w:t>
            </w:r>
          </w:p>
        </w:tc>
        <w:tc>
          <w:tcPr>
            <w:tcW w:w="2268" w:type="dxa"/>
            <w:vMerge/>
            <w:vAlign w:val="center"/>
          </w:tcPr>
          <w:p w14:paraId="2951753D" w14:textId="77777777" w:rsidR="003E78AB" w:rsidRDefault="003E78AB">
            <w:pPr>
              <w:spacing w:line="360" w:lineRule="exact"/>
              <w:ind w:firstLineChars="0" w:firstLine="0"/>
              <w:jc w:val="center"/>
              <w:rPr>
                <w:rFonts w:eastAsia="Noto Sans CJK JP Regular"/>
                <w:sz w:val="21"/>
                <w:szCs w:val="21"/>
                <w:lang w:val="zh-CN" w:bidi="zh-CN"/>
              </w:rPr>
            </w:pPr>
          </w:p>
        </w:tc>
        <w:tc>
          <w:tcPr>
            <w:tcW w:w="1134" w:type="dxa"/>
            <w:vAlign w:val="center"/>
          </w:tcPr>
          <w:p w14:paraId="350B6B5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1222D68F" w14:textId="77777777" w:rsidR="003E78AB" w:rsidRDefault="00010BF9">
            <w:pPr>
              <w:spacing w:line="360" w:lineRule="exact"/>
              <w:ind w:firstLineChars="0" w:firstLine="0"/>
              <w:jc w:val="center"/>
              <w:textAlignment w:val="center"/>
              <w:rPr>
                <w:rFonts w:eastAsia="Noto Sans CJK JP Regular"/>
                <w:sz w:val="21"/>
                <w:szCs w:val="21"/>
                <w:lang w:val="zh-CN" w:bidi="zh-CN"/>
              </w:rPr>
            </w:pPr>
            <w:r>
              <w:rPr>
                <w:rFonts w:eastAsiaTheme="minorEastAsia"/>
                <w:sz w:val="21"/>
                <w:szCs w:val="21"/>
                <w:lang w:bidi="ar"/>
              </w:rPr>
              <w:t>0.2</w:t>
            </w:r>
          </w:p>
        </w:tc>
        <w:tc>
          <w:tcPr>
            <w:tcW w:w="496" w:type="dxa"/>
            <w:vAlign w:val="center"/>
          </w:tcPr>
          <w:p w14:paraId="5D8DE485"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447" w:type="dxa"/>
            <w:vAlign w:val="center"/>
          </w:tcPr>
          <w:p w14:paraId="2784A17A"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597" w:type="dxa"/>
            <w:gridSpan w:val="2"/>
            <w:vAlign w:val="center"/>
          </w:tcPr>
          <w:p w14:paraId="26339306"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239C0E85"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34E5C6C7" w14:textId="77777777" w:rsidR="003E78AB" w:rsidRDefault="003E78AB">
            <w:pPr>
              <w:spacing w:line="360" w:lineRule="exact"/>
              <w:ind w:firstLineChars="0" w:firstLine="0"/>
              <w:jc w:val="center"/>
              <w:rPr>
                <w:snapToGrid w:val="0"/>
                <w:sz w:val="21"/>
                <w:szCs w:val="21"/>
              </w:rPr>
            </w:pPr>
          </w:p>
        </w:tc>
      </w:tr>
      <w:tr w:rsidR="003E78AB" w14:paraId="3B716E61" w14:textId="77777777">
        <w:trPr>
          <w:trHeight w:val="340"/>
          <w:jc w:val="center"/>
        </w:trPr>
        <w:tc>
          <w:tcPr>
            <w:tcW w:w="709" w:type="dxa"/>
            <w:vMerge/>
            <w:vAlign w:val="center"/>
          </w:tcPr>
          <w:p w14:paraId="355A7465" w14:textId="77777777" w:rsidR="003E78AB" w:rsidRDefault="003E78AB">
            <w:pPr>
              <w:spacing w:line="360" w:lineRule="exact"/>
              <w:ind w:firstLineChars="0" w:firstLine="0"/>
              <w:jc w:val="center"/>
              <w:rPr>
                <w:snapToGrid w:val="0"/>
                <w:sz w:val="21"/>
                <w:szCs w:val="21"/>
              </w:rPr>
            </w:pPr>
          </w:p>
        </w:tc>
        <w:tc>
          <w:tcPr>
            <w:tcW w:w="1753" w:type="dxa"/>
            <w:gridSpan w:val="2"/>
            <w:vMerge w:val="restart"/>
            <w:shd w:val="clear" w:color="auto" w:fill="auto"/>
            <w:vAlign w:val="center"/>
          </w:tcPr>
          <w:p w14:paraId="6A301331"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设备维护</w:t>
            </w:r>
          </w:p>
        </w:tc>
        <w:tc>
          <w:tcPr>
            <w:tcW w:w="1367" w:type="dxa"/>
            <w:shd w:val="clear" w:color="auto" w:fill="auto"/>
            <w:vAlign w:val="center"/>
          </w:tcPr>
          <w:p w14:paraId="515D2A19" w14:textId="77777777" w:rsidR="003E78AB" w:rsidRDefault="00010BF9">
            <w:pPr>
              <w:spacing w:line="360" w:lineRule="exact"/>
              <w:ind w:firstLineChars="0" w:firstLine="0"/>
              <w:jc w:val="center"/>
              <w:textAlignment w:val="center"/>
              <w:rPr>
                <w:rFonts w:eastAsiaTheme="minorEastAsia"/>
                <w:sz w:val="21"/>
                <w:szCs w:val="21"/>
                <w:lang w:val="zh-CN" w:bidi="ar"/>
              </w:rPr>
            </w:pPr>
            <w:r>
              <w:rPr>
                <w:rFonts w:eastAsiaTheme="minorEastAsia"/>
                <w:sz w:val="21"/>
                <w:szCs w:val="21"/>
                <w:lang w:bidi="ar"/>
              </w:rPr>
              <w:t>废润滑油</w:t>
            </w:r>
          </w:p>
        </w:tc>
        <w:tc>
          <w:tcPr>
            <w:tcW w:w="708" w:type="dxa"/>
            <w:vAlign w:val="center"/>
          </w:tcPr>
          <w:p w14:paraId="7E24DF1D" w14:textId="77777777" w:rsidR="003E78AB" w:rsidRDefault="00010BF9">
            <w:pPr>
              <w:spacing w:line="360" w:lineRule="exact"/>
              <w:ind w:firstLineChars="0" w:firstLine="0"/>
              <w:jc w:val="center"/>
              <w:rPr>
                <w:rFonts w:eastAsia="Noto Sans CJK JP Regular"/>
                <w:sz w:val="21"/>
                <w:szCs w:val="21"/>
                <w:lang w:val="zh-CN" w:bidi="zh-CN"/>
              </w:rPr>
            </w:pPr>
            <w:r>
              <w:rPr>
                <w:bCs/>
                <w:kern w:val="2"/>
                <w:sz w:val="21"/>
                <w:szCs w:val="21"/>
                <w:lang w:bidi="zh-CN"/>
              </w:rPr>
              <w:t>危险废物</w:t>
            </w:r>
          </w:p>
        </w:tc>
        <w:tc>
          <w:tcPr>
            <w:tcW w:w="2268" w:type="dxa"/>
            <w:vMerge/>
            <w:vAlign w:val="center"/>
          </w:tcPr>
          <w:p w14:paraId="67905A29" w14:textId="77777777" w:rsidR="003E78AB" w:rsidRDefault="003E78AB">
            <w:pPr>
              <w:spacing w:line="360" w:lineRule="exact"/>
              <w:ind w:firstLineChars="0" w:firstLine="0"/>
              <w:jc w:val="center"/>
              <w:rPr>
                <w:rFonts w:eastAsia="Noto Sans CJK JP Regular"/>
                <w:sz w:val="21"/>
                <w:szCs w:val="21"/>
                <w:lang w:val="zh-CN" w:bidi="zh-CN"/>
              </w:rPr>
            </w:pPr>
          </w:p>
        </w:tc>
        <w:tc>
          <w:tcPr>
            <w:tcW w:w="1134" w:type="dxa"/>
            <w:vAlign w:val="center"/>
          </w:tcPr>
          <w:p w14:paraId="27DFD633"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51292D4E"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sz w:val="21"/>
                <w:szCs w:val="21"/>
                <w:lang w:bidi="ar"/>
              </w:rPr>
              <w:t>2</w:t>
            </w:r>
          </w:p>
        </w:tc>
        <w:tc>
          <w:tcPr>
            <w:tcW w:w="496" w:type="dxa"/>
            <w:vAlign w:val="center"/>
          </w:tcPr>
          <w:p w14:paraId="33BBEDD1"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447" w:type="dxa"/>
            <w:vAlign w:val="center"/>
          </w:tcPr>
          <w:p w14:paraId="4B9F34A8"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597" w:type="dxa"/>
            <w:gridSpan w:val="2"/>
            <w:vAlign w:val="center"/>
          </w:tcPr>
          <w:p w14:paraId="35B3E0A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50BF5045"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567757D5" w14:textId="77777777" w:rsidR="003E78AB" w:rsidRDefault="003E78AB">
            <w:pPr>
              <w:spacing w:line="360" w:lineRule="exact"/>
              <w:ind w:firstLineChars="0" w:firstLine="0"/>
              <w:jc w:val="center"/>
              <w:rPr>
                <w:snapToGrid w:val="0"/>
                <w:sz w:val="21"/>
                <w:szCs w:val="21"/>
              </w:rPr>
            </w:pPr>
          </w:p>
        </w:tc>
      </w:tr>
      <w:tr w:rsidR="003E78AB" w14:paraId="0436011A" w14:textId="77777777">
        <w:trPr>
          <w:trHeight w:val="340"/>
          <w:jc w:val="center"/>
        </w:trPr>
        <w:tc>
          <w:tcPr>
            <w:tcW w:w="709" w:type="dxa"/>
            <w:vMerge/>
            <w:vAlign w:val="center"/>
          </w:tcPr>
          <w:p w14:paraId="09A45D94" w14:textId="77777777" w:rsidR="003E78AB" w:rsidRDefault="003E78AB">
            <w:pPr>
              <w:spacing w:line="360" w:lineRule="exact"/>
              <w:ind w:firstLineChars="0" w:firstLine="0"/>
              <w:jc w:val="center"/>
              <w:rPr>
                <w:snapToGrid w:val="0"/>
                <w:sz w:val="21"/>
                <w:szCs w:val="21"/>
              </w:rPr>
            </w:pPr>
          </w:p>
        </w:tc>
        <w:tc>
          <w:tcPr>
            <w:tcW w:w="1753" w:type="dxa"/>
            <w:gridSpan w:val="2"/>
            <w:vMerge/>
            <w:vAlign w:val="center"/>
          </w:tcPr>
          <w:p w14:paraId="01A69E2F" w14:textId="77777777" w:rsidR="003E78AB" w:rsidRDefault="003E78AB">
            <w:pPr>
              <w:spacing w:line="360" w:lineRule="exact"/>
              <w:ind w:firstLineChars="0" w:firstLine="0"/>
              <w:jc w:val="center"/>
              <w:rPr>
                <w:bCs/>
                <w:sz w:val="21"/>
                <w:szCs w:val="21"/>
              </w:rPr>
            </w:pPr>
          </w:p>
        </w:tc>
        <w:tc>
          <w:tcPr>
            <w:tcW w:w="1367" w:type="dxa"/>
            <w:shd w:val="clear" w:color="auto" w:fill="auto"/>
            <w:vAlign w:val="center"/>
          </w:tcPr>
          <w:p w14:paraId="700F1304" w14:textId="77777777" w:rsidR="003E78AB" w:rsidRDefault="00010BF9">
            <w:pPr>
              <w:spacing w:line="360" w:lineRule="exact"/>
              <w:ind w:firstLineChars="0" w:firstLine="0"/>
              <w:jc w:val="center"/>
              <w:textAlignment w:val="center"/>
              <w:rPr>
                <w:rFonts w:eastAsiaTheme="minorEastAsia"/>
                <w:sz w:val="21"/>
                <w:szCs w:val="21"/>
                <w:lang w:val="zh-CN" w:bidi="ar"/>
              </w:rPr>
            </w:pPr>
            <w:r>
              <w:rPr>
                <w:rFonts w:eastAsiaTheme="minorEastAsia"/>
                <w:sz w:val="21"/>
                <w:szCs w:val="21"/>
                <w:lang w:bidi="ar"/>
              </w:rPr>
              <w:t>废包装桶</w:t>
            </w:r>
          </w:p>
        </w:tc>
        <w:tc>
          <w:tcPr>
            <w:tcW w:w="708" w:type="dxa"/>
            <w:vAlign w:val="center"/>
          </w:tcPr>
          <w:p w14:paraId="0D596529" w14:textId="77777777" w:rsidR="003E78AB" w:rsidRDefault="00010BF9">
            <w:pPr>
              <w:spacing w:line="360" w:lineRule="exact"/>
              <w:ind w:firstLineChars="0" w:firstLine="0"/>
              <w:jc w:val="center"/>
              <w:rPr>
                <w:rFonts w:eastAsia="Noto Sans CJK JP Regular"/>
                <w:sz w:val="21"/>
                <w:szCs w:val="21"/>
                <w:lang w:val="zh-CN" w:bidi="zh-CN"/>
              </w:rPr>
            </w:pPr>
            <w:r>
              <w:rPr>
                <w:bCs/>
                <w:kern w:val="2"/>
                <w:sz w:val="21"/>
                <w:szCs w:val="21"/>
                <w:lang w:bidi="zh-CN"/>
              </w:rPr>
              <w:t>危险废物</w:t>
            </w:r>
          </w:p>
        </w:tc>
        <w:tc>
          <w:tcPr>
            <w:tcW w:w="2268" w:type="dxa"/>
            <w:vMerge/>
            <w:vAlign w:val="center"/>
          </w:tcPr>
          <w:p w14:paraId="398A99B5" w14:textId="77777777" w:rsidR="003E78AB" w:rsidRDefault="003E78AB">
            <w:pPr>
              <w:spacing w:line="360" w:lineRule="exact"/>
              <w:ind w:firstLineChars="0" w:firstLine="0"/>
              <w:jc w:val="center"/>
              <w:rPr>
                <w:rFonts w:eastAsia="Noto Sans CJK JP Regular"/>
                <w:sz w:val="21"/>
                <w:szCs w:val="21"/>
                <w:lang w:val="zh-CN" w:bidi="zh-CN"/>
              </w:rPr>
            </w:pPr>
          </w:p>
        </w:tc>
        <w:tc>
          <w:tcPr>
            <w:tcW w:w="1134" w:type="dxa"/>
            <w:vAlign w:val="center"/>
          </w:tcPr>
          <w:p w14:paraId="153776FE"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0BDCB7A2" w14:textId="77777777" w:rsidR="003E78AB" w:rsidRDefault="00010BF9">
            <w:pPr>
              <w:spacing w:line="360" w:lineRule="exact"/>
              <w:ind w:firstLineChars="0" w:firstLine="0"/>
              <w:jc w:val="center"/>
              <w:textAlignment w:val="center"/>
              <w:rPr>
                <w:sz w:val="21"/>
                <w:szCs w:val="21"/>
                <w:lang w:bidi="zh-CN"/>
              </w:rPr>
            </w:pPr>
            <w:r>
              <w:rPr>
                <w:rFonts w:eastAsiaTheme="minorEastAsia"/>
                <w:sz w:val="21"/>
                <w:szCs w:val="21"/>
                <w:lang w:bidi="ar"/>
              </w:rPr>
              <w:t>0.25</w:t>
            </w:r>
          </w:p>
        </w:tc>
        <w:tc>
          <w:tcPr>
            <w:tcW w:w="496" w:type="dxa"/>
            <w:vAlign w:val="center"/>
          </w:tcPr>
          <w:p w14:paraId="2D7D6EA9"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447" w:type="dxa"/>
            <w:vAlign w:val="center"/>
          </w:tcPr>
          <w:p w14:paraId="400B14B3"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597" w:type="dxa"/>
            <w:gridSpan w:val="2"/>
            <w:vAlign w:val="center"/>
          </w:tcPr>
          <w:p w14:paraId="0425DF90"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3BFE4432"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248B0470" w14:textId="77777777" w:rsidR="003E78AB" w:rsidRDefault="003E78AB">
            <w:pPr>
              <w:spacing w:line="360" w:lineRule="exact"/>
              <w:ind w:firstLineChars="0" w:firstLine="0"/>
              <w:jc w:val="center"/>
              <w:rPr>
                <w:snapToGrid w:val="0"/>
                <w:sz w:val="21"/>
                <w:szCs w:val="21"/>
              </w:rPr>
            </w:pPr>
          </w:p>
        </w:tc>
      </w:tr>
      <w:tr w:rsidR="003E78AB" w14:paraId="35DF8800" w14:textId="77777777">
        <w:trPr>
          <w:trHeight w:val="340"/>
          <w:jc w:val="center"/>
        </w:trPr>
        <w:tc>
          <w:tcPr>
            <w:tcW w:w="709" w:type="dxa"/>
            <w:vMerge/>
            <w:vAlign w:val="center"/>
          </w:tcPr>
          <w:p w14:paraId="26D4EFB4" w14:textId="77777777" w:rsidR="003E78AB" w:rsidRDefault="003E78AB">
            <w:pPr>
              <w:spacing w:line="360" w:lineRule="exact"/>
              <w:ind w:firstLineChars="0" w:firstLine="0"/>
              <w:jc w:val="center"/>
              <w:rPr>
                <w:snapToGrid w:val="0"/>
                <w:sz w:val="21"/>
                <w:szCs w:val="21"/>
              </w:rPr>
            </w:pPr>
          </w:p>
        </w:tc>
        <w:tc>
          <w:tcPr>
            <w:tcW w:w="1753" w:type="dxa"/>
            <w:gridSpan w:val="2"/>
            <w:vMerge/>
            <w:vAlign w:val="center"/>
          </w:tcPr>
          <w:p w14:paraId="51FC9B24" w14:textId="77777777" w:rsidR="003E78AB" w:rsidRDefault="003E78AB">
            <w:pPr>
              <w:spacing w:line="360" w:lineRule="exact"/>
              <w:ind w:firstLineChars="0" w:firstLine="0"/>
              <w:jc w:val="center"/>
              <w:rPr>
                <w:bCs/>
                <w:sz w:val="21"/>
                <w:szCs w:val="21"/>
              </w:rPr>
            </w:pPr>
          </w:p>
        </w:tc>
        <w:tc>
          <w:tcPr>
            <w:tcW w:w="1367" w:type="dxa"/>
            <w:shd w:val="clear" w:color="auto" w:fill="auto"/>
            <w:vAlign w:val="center"/>
          </w:tcPr>
          <w:p w14:paraId="62D88A3E" w14:textId="77777777" w:rsidR="003E78AB" w:rsidRDefault="00010BF9">
            <w:pPr>
              <w:spacing w:line="360" w:lineRule="exact"/>
              <w:ind w:firstLineChars="0" w:firstLine="0"/>
              <w:jc w:val="center"/>
              <w:textAlignment w:val="center"/>
              <w:rPr>
                <w:rFonts w:eastAsiaTheme="minorEastAsia"/>
                <w:sz w:val="21"/>
                <w:szCs w:val="21"/>
              </w:rPr>
            </w:pPr>
            <w:r>
              <w:rPr>
                <w:rFonts w:eastAsiaTheme="minorEastAsia"/>
                <w:sz w:val="21"/>
                <w:szCs w:val="21"/>
                <w:lang w:bidi="ar"/>
              </w:rPr>
              <w:t>沾染物料的废抹布及劳保用品</w:t>
            </w:r>
          </w:p>
        </w:tc>
        <w:tc>
          <w:tcPr>
            <w:tcW w:w="708" w:type="dxa"/>
            <w:vAlign w:val="center"/>
          </w:tcPr>
          <w:p w14:paraId="283C6862" w14:textId="77777777" w:rsidR="003E78AB" w:rsidRDefault="00010BF9">
            <w:pPr>
              <w:spacing w:line="360" w:lineRule="exact"/>
              <w:ind w:firstLineChars="0" w:firstLine="0"/>
              <w:jc w:val="center"/>
              <w:rPr>
                <w:rFonts w:eastAsia="Noto Sans CJK JP Regular"/>
                <w:sz w:val="21"/>
                <w:szCs w:val="21"/>
                <w:lang w:val="zh-CN" w:bidi="zh-CN"/>
              </w:rPr>
            </w:pPr>
            <w:r>
              <w:rPr>
                <w:bCs/>
                <w:kern w:val="2"/>
                <w:sz w:val="21"/>
                <w:szCs w:val="21"/>
                <w:lang w:val="zh-CN" w:bidi="zh-CN"/>
              </w:rPr>
              <w:t>危险废物</w:t>
            </w:r>
          </w:p>
        </w:tc>
        <w:tc>
          <w:tcPr>
            <w:tcW w:w="2268" w:type="dxa"/>
            <w:vMerge/>
            <w:vAlign w:val="center"/>
          </w:tcPr>
          <w:p w14:paraId="307D34BF" w14:textId="77777777" w:rsidR="003E78AB" w:rsidRDefault="003E78AB">
            <w:pPr>
              <w:spacing w:line="360" w:lineRule="exact"/>
              <w:ind w:firstLineChars="0" w:firstLine="0"/>
              <w:jc w:val="center"/>
              <w:rPr>
                <w:rFonts w:eastAsia="Noto Sans CJK JP Regular"/>
                <w:sz w:val="21"/>
                <w:szCs w:val="21"/>
                <w:lang w:bidi="zh-CN"/>
              </w:rPr>
            </w:pPr>
          </w:p>
        </w:tc>
        <w:tc>
          <w:tcPr>
            <w:tcW w:w="1134" w:type="dxa"/>
            <w:vAlign w:val="center"/>
          </w:tcPr>
          <w:p w14:paraId="4E5D3F41"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6A507F78" w14:textId="77777777" w:rsidR="003E78AB" w:rsidRDefault="00010BF9">
            <w:pPr>
              <w:spacing w:line="360" w:lineRule="exact"/>
              <w:ind w:firstLineChars="0" w:firstLine="0"/>
              <w:jc w:val="center"/>
              <w:textAlignment w:val="center"/>
              <w:rPr>
                <w:rFonts w:eastAsia="Noto Sans CJK JP Regular"/>
                <w:sz w:val="21"/>
                <w:szCs w:val="21"/>
                <w:lang w:bidi="zh-CN"/>
              </w:rPr>
            </w:pPr>
            <w:r>
              <w:rPr>
                <w:rFonts w:eastAsiaTheme="minorEastAsia"/>
                <w:sz w:val="21"/>
                <w:szCs w:val="21"/>
                <w:lang w:bidi="ar"/>
              </w:rPr>
              <w:t>0.5</w:t>
            </w:r>
          </w:p>
        </w:tc>
        <w:tc>
          <w:tcPr>
            <w:tcW w:w="496" w:type="dxa"/>
            <w:vAlign w:val="center"/>
          </w:tcPr>
          <w:p w14:paraId="2D371D26"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447" w:type="dxa"/>
            <w:vAlign w:val="center"/>
          </w:tcPr>
          <w:p w14:paraId="36660CA1"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597" w:type="dxa"/>
            <w:gridSpan w:val="2"/>
            <w:vAlign w:val="center"/>
          </w:tcPr>
          <w:p w14:paraId="03FF3D75"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71E5511F"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05660521" w14:textId="77777777" w:rsidR="003E78AB" w:rsidRDefault="003E78AB">
            <w:pPr>
              <w:spacing w:line="360" w:lineRule="exact"/>
              <w:ind w:firstLineChars="0" w:firstLine="0"/>
              <w:jc w:val="center"/>
              <w:rPr>
                <w:snapToGrid w:val="0"/>
                <w:sz w:val="21"/>
                <w:szCs w:val="21"/>
              </w:rPr>
            </w:pPr>
          </w:p>
        </w:tc>
      </w:tr>
      <w:tr w:rsidR="003E78AB" w14:paraId="3EE4813B" w14:textId="77777777">
        <w:trPr>
          <w:trHeight w:val="340"/>
          <w:jc w:val="center"/>
        </w:trPr>
        <w:tc>
          <w:tcPr>
            <w:tcW w:w="709" w:type="dxa"/>
            <w:vMerge/>
            <w:vAlign w:val="center"/>
          </w:tcPr>
          <w:p w14:paraId="5B7126A4" w14:textId="77777777" w:rsidR="003E78AB" w:rsidRDefault="003E78AB">
            <w:pPr>
              <w:spacing w:line="360" w:lineRule="exact"/>
              <w:ind w:firstLineChars="0" w:firstLine="0"/>
              <w:jc w:val="center"/>
              <w:rPr>
                <w:snapToGrid w:val="0"/>
                <w:sz w:val="21"/>
                <w:szCs w:val="21"/>
              </w:rPr>
            </w:pPr>
          </w:p>
        </w:tc>
        <w:tc>
          <w:tcPr>
            <w:tcW w:w="1753" w:type="dxa"/>
            <w:gridSpan w:val="2"/>
            <w:shd w:val="clear" w:color="auto" w:fill="auto"/>
            <w:vAlign w:val="center"/>
          </w:tcPr>
          <w:p w14:paraId="1EE435BA" w14:textId="77777777" w:rsidR="003E78AB" w:rsidRDefault="00010BF9">
            <w:pPr>
              <w:spacing w:line="360" w:lineRule="exact"/>
              <w:ind w:firstLineChars="0" w:firstLine="0"/>
              <w:jc w:val="center"/>
              <w:rPr>
                <w:rFonts w:eastAsiaTheme="minorEastAsia"/>
                <w:sz w:val="21"/>
                <w:szCs w:val="21"/>
              </w:rPr>
            </w:pPr>
            <w:r>
              <w:rPr>
                <w:rFonts w:eastAsiaTheme="minorEastAsia" w:hint="eastAsia"/>
                <w:sz w:val="21"/>
                <w:szCs w:val="21"/>
              </w:rPr>
              <w:t>生活办公</w:t>
            </w:r>
          </w:p>
        </w:tc>
        <w:tc>
          <w:tcPr>
            <w:tcW w:w="1367" w:type="dxa"/>
            <w:shd w:val="clear" w:color="auto" w:fill="auto"/>
            <w:vAlign w:val="center"/>
          </w:tcPr>
          <w:p w14:paraId="33EDD35F" w14:textId="77777777" w:rsidR="003E78AB" w:rsidRDefault="00010BF9">
            <w:pPr>
              <w:spacing w:line="360" w:lineRule="exact"/>
              <w:ind w:firstLineChars="0" w:firstLine="0"/>
              <w:jc w:val="center"/>
              <w:textAlignment w:val="center"/>
              <w:rPr>
                <w:rFonts w:eastAsiaTheme="minorEastAsia"/>
                <w:sz w:val="21"/>
                <w:szCs w:val="21"/>
                <w:lang w:bidi="ar"/>
              </w:rPr>
            </w:pPr>
            <w:r>
              <w:rPr>
                <w:rFonts w:eastAsiaTheme="minorEastAsia" w:hint="eastAsia"/>
                <w:sz w:val="21"/>
                <w:szCs w:val="21"/>
                <w:lang w:bidi="ar"/>
              </w:rPr>
              <w:t>生活垃圾</w:t>
            </w:r>
          </w:p>
        </w:tc>
        <w:tc>
          <w:tcPr>
            <w:tcW w:w="708" w:type="dxa"/>
            <w:vAlign w:val="center"/>
          </w:tcPr>
          <w:p w14:paraId="45D2C332" w14:textId="77777777" w:rsidR="003E78AB" w:rsidRDefault="00010BF9">
            <w:pPr>
              <w:spacing w:line="360" w:lineRule="exact"/>
              <w:ind w:firstLineChars="0" w:firstLine="0"/>
              <w:jc w:val="center"/>
              <w:rPr>
                <w:rFonts w:eastAsia="Noto Sans CJK JP Regular"/>
                <w:sz w:val="21"/>
                <w:szCs w:val="21"/>
                <w:lang w:bidi="zh-CN"/>
              </w:rPr>
            </w:pPr>
            <w:r>
              <w:rPr>
                <w:rFonts w:eastAsia="Noto Sans CJK JP Regular" w:hint="eastAsia"/>
                <w:sz w:val="21"/>
                <w:szCs w:val="21"/>
                <w:lang w:bidi="zh-CN"/>
              </w:rPr>
              <w:t>生活垃圾</w:t>
            </w:r>
          </w:p>
        </w:tc>
        <w:tc>
          <w:tcPr>
            <w:tcW w:w="2268" w:type="dxa"/>
            <w:vAlign w:val="center"/>
          </w:tcPr>
          <w:p w14:paraId="41972D48" w14:textId="77777777" w:rsidR="003E78AB" w:rsidRDefault="00010BF9">
            <w:pPr>
              <w:spacing w:line="360" w:lineRule="exact"/>
              <w:ind w:firstLineChars="0" w:firstLine="0"/>
              <w:jc w:val="center"/>
              <w:rPr>
                <w:bCs/>
                <w:kern w:val="2"/>
                <w:sz w:val="21"/>
                <w:szCs w:val="21"/>
                <w:lang w:val="zh-CN" w:bidi="zh-CN"/>
              </w:rPr>
            </w:pPr>
            <w:r>
              <w:rPr>
                <w:bCs/>
                <w:kern w:val="2"/>
                <w:sz w:val="21"/>
                <w:szCs w:val="21"/>
                <w:lang w:val="zh-CN" w:bidi="zh-CN"/>
              </w:rPr>
              <w:t>园区环卫</w:t>
            </w:r>
          </w:p>
          <w:p w14:paraId="5FB0EE02" w14:textId="77777777" w:rsidR="003E78AB" w:rsidRDefault="00010BF9">
            <w:pPr>
              <w:spacing w:line="360" w:lineRule="exact"/>
              <w:ind w:firstLineChars="0" w:firstLine="0"/>
              <w:jc w:val="center"/>
              <w:rPr>
                <w:rFonts w:eastAsia="Noto Sans CJK JP Regular"/>
                <w:sz w:val="21"/>
                <w:szCs w:val="21"/>
                <w:lang w:bidi="zh-CN"/>
              </w:rPr>
            </w:pPr>
            <w:r>
              <w:rPr>
                <w:bCs/>
                <w:kern w:val="2"/>
                <w:sz w:val="21"/>
                <w:szCs w:val="21"/>
                <w:lang w:val="zh-CN" w:bidi="zh-CN"/>
              </w:rPr>
              <w:t>部门清运</w:t>
            </w:r>
          </w:p>
        </w:tc>
        <w:tc>
          <w:tcPr>
            <w:tcW w:w="1134" w:type="dxa"/>
            <w:vAlign w:val="center"/>
          </w:tcPr>
          <w:p w14:paraId="21A7AE2D"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185" w:type="dxa"/>
            <w:vAlign w:val="center"/>
          </w:tcPr>
          <w:p w14:paraId="38D1B9F5" w14:textId="77777777" w:rsidR="003E78AB" w:rsidRDefault="00010BF9">
            <w:pPr>
              <w:spacing w:line="360" w:lineRule="exact"/>
              <w:ind w:firstLineChars="0" w:firstLine="0"/>
              <w:jc w:val="center"/>
              <w:textAlignment w:val="center"/>
              <w:rPr>
                <w:bCs/>
                <w:sz w:val="21"/>
                <w:szCs w:val="21"/>
              </w:rPr>
            </w:pPr>
            <w:r>
              <w:rPr>
                <w:rFonts w:eastAsiaTheme="minorEastAsia" w:hint="eastAsia"/>
                <w:sz w:val="21"/>
                <w:szCs w:val="21"/>
                <w:lang w:bidi="ar"/>
              </w:rPr>
              <w:t>15.15</w:t>
            </w:r>
          </w:p>
        </w:tc>
        <w:tc>
          <w:tcPr>
            <w:tcW w:w="496" w:type="dxa"/>
            <w:vAlign w:val="center"/>
          </w:tcPr>
          <w:p w14:paraId="60D7BC07"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447" w:type="dxa"/>
            <w:vAlign w:val="center"/>
          </w:tcPr>
          <w:p w14:paraId="4F553215"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1597" w:type="dxa"/>
            <w:gridSpan w:val="2"/>
            <w:vAlign w:val="center"/>
          </w:tcPr>
          <w:p w14:paraId="126F2BCB" w14:textId="77777777" w:rsidR="003E78AB" w:rsidRDefault="00010BF9">
            <w:pPr>
              <w:spacing w:line="360" w:lineRule="exact"/>
              <w:ind w:firstLineChars="0" w:firstLine="0"/>
              <w:jc w:val="center"/>
              <w:rPr>
                <w:snapToGrid w:val="0"/>
                <w:sz w:val="21"/>
                <w:szCs w:val="21"/>
              </w:rPr>
            </w:pPr>
            <w:r>
              <w:rPr>
                <w:snapToGrid w:val="0"/>
                <w:sz w:val="21"/>
                <w:szCs w:val="21"/>
              </w:rPr>
              <w:t>/</w:t>
            </w:r>
          </w:p>
        </w:tc>
        <w:tc>
          <w:tcPr>
            <w:tcW w:w="2229" w:type="dxa"/>
            <w:vMerge/>
            <w:vAlign w:val="center"/>
          </w:tcPr>
          <w:p w14:paraId="4DEFCE42" w14:textId="77777777" w:rsidR="003E78AB" w:rsidRDefault="003E78AB">
            <w:pPr>
              <w:spacing w:line="360" w:lineRule="exact"/>
              <w:ind w:firstLineChars="0" w:firstLine="0"/>
              <w:jc w:val="center"/>
              <w:rPr>
                <w:snapToGrid w:val="0"/>
                <w:sz w:val="21"/>
                <w:szCs w:val="21"/>
              </w:rPr>
            </w:pPr>
          </w:p>
        </w:tc>
        <w:tc>
          <w:tcPr>
            <w:tcW w:w="704" w:type="dxa"/>
            <w:vMerge/>
            <w:vAlign w:val="center"/>
          </w:tcPr>
          <w:p w14:paraId="03C886B5" w14:textId="77777777" w:rsidR="003E78AB" w:rsidRDefault="003E78AB">
            <w:pPr>
              <w:spacing w:line="360" w:lineRule="exact"/>
              <w:ind w:firstLineChars="0" w:firstLine="0"/>
              <w:jc w:val="center"/>
              <w:rPr>
                <w:snapToGrid w:val="0"/>
                <w:sz w:val="21"/>
                <w:szCs w:val="21"/>
              </w:rPr>
            </w:pPr>
          </w:p>
        </w:tc>
      </w:tr>
    </w:tbl>
    <w:p w14:paraId="5F3E861B" w14:textId="77777777" w:rsidR="003E78AB" w:rsidRDefault="003E78AB">
      <w:pPr>
        <w:ind w:firstLine="480"/>
        <w:textAlignment w:val="baseline"/>
        <w:sectPr w:rsidR="003E78AB">
          <w:pgSz w:w="16838" w:h="11906" w:orient="landscape"/>
          <w:pgMar w:top="1985" w:right="1440" w:bottom="1701" w:left="1440" w:header="851" w:footer="992" w:gutter="0"/>
          <w:cols w:space="720"/>
          <w:docGrid w:linePitch="312"/>
        </w:sectPr>
      </w:pPr>
    </w:p>
    <w:p w14:paraId="7CAB9332" w14:textId="77777777" w:rsidR="003E78AB" w:rsidRDefault="00010BF9">
      <w:pPr>
        <w:pStyle w:val="24"/>
        <w:keepNext w:val="0"/>
        <w:keepLines w:val="0"/>
        <w:topLinePunct/>
        <w:spacing w:before="156"/>
        <w:rPr>
          <w:rFonts w:cs="Times New Roman"/>
        </w:rPr>
      </w:pPr>
      <w:bookmarkStart w:id="508" w:name="_Toc22795"/>
      <w:bookmarkStart w:id="509" w:name="_Toc1836"/>
      <w:r>
        <w:rPr>
          <w:rFonts w:cs="Times New Roman" w:hint="eastAsia"/>
        </w:rPr>
        <w:t>9</w:t>
      </w:r>
      <w:r>
        <w:rPr>
          <w:rFonts w:cs="Times New Roman"/>
        </w:rPr>
        <w:t>.5</w:t>
      </w:r>
      <w:r>
        <w:rPr>
          <w:rFonts w:cs="Times New Roman"/>
        </w:rPr>
        <w:t>排污口规范化管理</w:t>
      </w:r>
      <w:bookmarkEnd w:id="502"/>
      <w:bookmarkEnd w:id="503"/>
      <w:bookmarkEnd w:id="504"/>
      <w:bookmarkEnd w:id="505"/>
      <w:bookmarkEnd w:id="508"/>
      <w:bookmarkEnd w:id="509"/>
    </w:p>
    <w:p w14:paraId="5D3AD9C0" w14:textId="77777777" w:rsidR="003E78AB" w:rsidRDefault="00010BF9">
      <w:pPr>
        <w:ind w:firstLine="480"/>
      </w:pPr>
      <w:r>
        <w:t>根据国家标准《环境保护图形标志排放口（源）》和国家环境保护总局《污染物规范化治理要求（试行）》的文件要求，企业所有排放口（包括水、气、声、渣）必须按照</w:t>
      </w:r>
      <w:r>
        <w:t>“</w:t>
      </w:r>
      <w:r>
        <w:t>便于采样、便于计量检测、便于日常现场监督检查</w:t>
      </w:r>
      <w:r>
        <w:t>”</w:t>
      </w:r>
      <w:r>
        <w:t>的原则和规范，设置与之相适应的环境保护图形标志牌，绘制企业排放口分布图。</w:t>
      </w:r>
    </w:p>
    <w:p w14:paraId="35C08CDE" w14:textId="77777777" w:rsidR="003E78AB" w:rsidRDefault="00010BF9">
      <w:pPr>
        <w:ind w:firstLine="480"/>
      </w:pPr>
      <w:r>
        <w:t>1</w:t>
      </w:r>
      <w:r>
        <w:t>、废气烟囱（烟囱）规范化</w:t>
      </w:r>
    </w:p>
    <w:p w14:paraId="36E8ECA0" w14:textId="77777777" w:rsidR="003E78AB" w:rsidRDefault="00010BF9">
      <w:pPr>
        <w:ind w:firstLine="480"/>
      </w:pPr>
      <w:r>
        <w:t>烟囱的采样口的设置应符合《污染源监测技术规范》要求，废气排气筒设置便于采样，监测的采样口和采样平台，附近设置环境保护标志。</w:t>
      </w:r>
    </w:p>
    <w:p w14:paraId="20CA9702" w14:textId="77777777" w:rsidR="003E78AB" w:rsidRDefault="00010BF9">
      <w:pPr>
        <w:ind w:firstLine="480"/>
      </w:pPr>
      <w:r>
        <w:t>2</w:t>
      </w:r>
      <w:r>
        <w:t>、固体废物贮存、堆放场规范化</w:t>
      </w:r>
    </w:p>
    <w:p w14:paraId="170FFC40" w14:textId="77777777" w:rsidR="003E78AB" w:rsidRDefault="00010BF9">
      <w:pPr>
        <w:ind w:firstLine="480"/>
      </w:pPr>
      <w:r>
        <w:t>气柜、生产车间、仓库均设置防雨、防渗设施，并采用水泥硬化。气柜和仓库应设置明显的警示标志。</w:t>
      </w:r>
    </w:p>
    <w:p w14:paraId="5B4CD287" w14:textId="77777777" w:rsidR="003E78AB" w:rsidRDefault="00010BF9">
      <w:pPr>
        <w:ind w:firstLine="480"/>
      </w:pPr>
      <w:r>
        <w:t>3</w:t>
      </w:r>
      <w:r>
        <w:t>排污口设置标志牌要求</w:t>
      </w:r>
    </w:p>
    <w:p w14:paraId="2D35767C" w14:textId="77777777" w:rsidR="003E78AB" w:rsidRDefault="00010BF9">
      <w:pPr>
        <w:ind w:firstLine="480"/>
      </w:pPr>
      <w:r>
        <w:t>环境保护图形标志牌设置位置应距离污染物排放口及固体废物处置场或采样点较近且醒目处，设置高度一般为标志牌上缘距离地面约</w:t>
      </w:r>
      <w:r>
        <w:t>2m</w:t>
      </w:r>
      <w:r>
        <w:t>。</w:t>
      </w:r>
    </w:p>
    <w:p w14:paraId="770F4D08" w14:textId="77777777" w:rsidR="003E78AB" w:rsidRDefault="00010BF9">
      <w:pPr>
        <w:ind w:firstLine="480"/>
        <w:rPr>
          <w:lang w:eastAsia="zh-Hans"/>
        </w:rPr>
      </w:pPr>
      <w:r>
        <w:rPr>
          <w:rFonts w:hint="eastAsia"/>
        </w:rPr>
        <w:t>危险废物暂存间</w:t>
      </w:r>
      <w:r>
        <w:rPr>
          <w:lang w:eastAsia="zh-Hans"/>
        </w:rPr>
        <w:t>应严格按照</w:t>
      </w:r>
      <w:r>
        <w:t>《危险废物贮存污染控制标准》（</w:t>
      </w:r>
      <w:r>
        <w:t>GB18597-2023</w:t>
      </w:r>
      <w:r>
        <w:t>）、《环境保护图形标志</w:t>
      </w:r>
      <w:r>
        <w:rPr>
          <w:rFonts w:hint="eastAsia"/>
        </w:rPr>
        <w:t xml:space="preserve"> </w:t>
      </w:r>
      <w:r>
        <w:t>固体废物贮存（处置）场》（</w:t>
      </w:r>
      <w:r>
        <w:t>GB15562.2-1995</w:t>
      </w:r>
      <w:r>
        <w:t>）修改单</w:t>
      </w:r>
      <w:r>
        <w:rPr>
          <w:rFonts w:hint="eastAsia"/>
        </w:rPr>
        <w:t>、</w:t>
      </w:r>
      <w:r>
        <w:t>《危险废物识别标志设置技术规范》（</w:t>
      </w:r>
      <w:r>
        <w:t>HJ1276-2022</w:t>
      </w:r>
      <w:r>
        <w:t>）</w:t>
      </w:r>
      <w:r>
        <w:rPr>
          <w:rFonts w:hint="eastAsia"/>
        </w:rPr>
        <w:t>、</w:t>
      </w:r>
      <w:r>
        <w:rPr>
          <w:rFonts w:hint="eastAsia"/>
          <w:b/>
          <w:bCs/>
          <w:u w:val="single"/>
        </w:rPr>
        <w:t>《</w:t>
      </w:r>
      <w:r>
        <w:rPr>
          <w:b/>
          <w:bCs/>
          <w:u w:val="single"/>
        </w:rPr>
        <w:t>排污单位污染物排放口二维码标识技术规范</w:t>
      </w:r>
      <w:r>
        <w:rPr>
          <w:rFonts w:hint="eastAsia"/>
          <w:b/>
          <w:bCs/>
          <w:u w:val="single"/>
        </w:rPr>
        <w:t>》</w:t>
      </w:r>
      <w:r>
        <w:rPr>
          <w:b/>
          <w:bCs/>
          <w:u w:val="single"/>
        </w:rPr>
        <w:t>（</w:t>
      </w:r>
      <w:r>
        <w:rPr>
          <w:b/>
          <w:bCs/>
          <w:u w:val="single"/>
        </w:rPr>
        <w:t>H</w:t>
      </w:r>
      <w:r>
        <w:rPr>
          <w:b/>
          <w:bCs/>
          <w:u w:val="single"/>
        </w:rPr>
        <w:t>J1297</w:t>
      </w:r>
      <w:r>
        <w:rPr>
          <w:rFonts w:hint="eastAsia"/>
          <w:b/>
          <w:bCs/>
          <w:u w:val="single"/>
        </w:rPr>
        <w:t>-</w:t>
      </w:r>
      <w:r>
        <w:rPr>
          <w:b/>
          <w:bCs/>
          <w:u w:val="single"/>
        </w:rPr>
        <w:t>2023</w:t>
      </w:r>
      <w:r>
        <w:rPr>
          <w:b/>
          <w:bCs/>
          <w:u w:val="single"/>
        </w:rPr>
        <w:t>）</w:t>
      </w:r>
      <w:r>
        <w:rPr>
          <w:lang w:eastAsia="zh-Hans"/>
        </w:rPr>
        <w:t>中要求设置标识标牌。</w:t>
      </w:r>
    </w:p>
    <w:p w14:paraId="210B31E1" w14:textId="77777777" w:rsidR="003E78AB" w:rsidRDefault="00010BF9">
      <w:pPr>
        <w:ind w:firstLine="480"/>
      </w:pPr>
      <w:r>
        <w:rPr>
          <w:lang w:eastAsia="zh-Hans"/>
        </w:rPr>
        <w:t>同时</w:t>
      </w:r>
      <w:r>
        <w:t>规范化排污口的有关设置（如图形标志牌、计量装置、监控装置等）属环保设施，排污单位必须负责日常的维护保养，任何单位和个人不得擅自拆除，如需要变更的需报环境管理部门同意并办理变更手续。具体设计图形见图</w:t>
      </w:r>
      <w:r>
        <w:rPr>
          <w:rFonts w:hint="eastAsia"/>
        </w:rPr>
        <w:t>9-</w:t>
      </w:r>
      <w:r>
        <w:t>1</w:t>
      </w:r>
      <w:r>
        <w:t>。</w:t>
      </w:r>
    </w:p>
    <w:p w14:paraId="458555E3" w14:textId="77777777" w:rsidR="003E78AB" w:rsidRDefault="00010BF9">
      <w:pPr>
        <w:pStyle w:val="a5"/>
        <w:numPr>
          <w:ilvl w:val="0"/>
          <w:numId w:val="0"/>
        </w:numPr>
      </w:pPr>
      <w:r>
        <w:rPr>
          <w:rFonts w:hint="eastAsia"/>
        </w:rPr>
        <w:t>表</w:t>
      </w:r>
      <w:r>
        <w:rPr>
          <w:rFonts w:hint="eastAsia"/>
        </w:rPr>
        <w:t xml:space="preserve">9-5  </w:t>
      </w:r>
      <w:r>
        <w:t>环境保护图形标志的形状及颜色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490"/>
        <w:gridCol w:w="2619"/>
        <w:gridCol w:w="1639"/>
      </w:tblGrid>
      <w:tr w:rsidR="003E78AB" w14:paraId="398AE2E0" w14:textId="77777777">
        <w:trPr>
          <w:trHeight w:val="340"/>
        </w:trPr>
        <w:tc>
          <w:tcPr>
            <w:tcW w:w="1039" w:type="pct"/>
            <w:vAlign w:val="center"/>
          </w:tcPr>
          <w:p w14:paraId="273CB471" w14:textId="77777777" w:rsidR="003E78AB" w:rsidRDefault="00010BF9">
            <w:pPr>
              <w:pStyle w:val="aff6"/>
              <w:topLinePunct/>
              <w:rPr>
                <w:b/>
                <w:bCs/>
              </w:rPr>
            </w:pPr>
            <w:r>
              <w:rPr>
                <w:b/>
                <w:bCs/>
              </w:rPr>
              <w:t>标志名称</w:t>
            </w:r>
          </w:p>
        </w:tc>
        <w:tc>
          <w:tcPr>
            <w:tcW w:w="1461" w:type="pct"/>
            <w:vAlign w:val="center"/>
          </w:tcPr>
          <w:p w14:paraId="5EE317C2" w14:textId="77777777" w:rsidR="003E78AB" w:rsidRDefault="00010BF9">
            <w:pPr>
              <w:pStyle w:val="aff6"/>
              <w:topLinePunct/>
              <w:rPr>
                <w:b/>
                <w:bCs/>
              </w:rPr>
            </w:pPr>
            <w:r>
              <w:rPr>
                <w:b/>
                <w:bCs/>
              </w:rPr>
              <w:t>形状</w:t>
            </w:r>
          </w:p>
        </w:tc>
        <w:tc>
          <w:tcPr>
            <w:tcW w:w="1536" w:type="pct"/>
            <w:vAlign w:val="center"/>
          </w:tcPr>
          <w:p w14:paraId="49135CF8" w14:textId="77777777" w:rsidR="003E78AB" w:rsidRDefault="00010BF9">
            <w:pPr>
              <w:pStyle w:val="aff6"/>
              <w:topLinePunct/>
              <w:rPr>
                <w:b/>
                <w:bCs/>
              </w:rPr>
            </w:pPr>
            <w:r>
              <w:rPr>
                <w:b/>
                <w:bCs/>
              </w:rPr>
              <w:t>背景颜色</w:t>
            </w:r>
          </w:p>
        </w:tc>
        <w:tc>
          <w:tcPr>
            <w:tcW w:w="961" w:type="pct"/>
            <w:vAlign w:val="center"/>
          </w:tcPr>
          <w:p w14:paraId="06E27ABA" w14:textId="77777777" w:rsidR="003E78AB" w:rsidRDefault="00010BF9">
            <w:pPr>
              <w:pStyle w:val="aff6"/>
              <w:topLinePunct/>
              <w:rPr>
                <w:b/>
                <w:bCs/>
              </w:rPr>
            </w:pPr>
            <w:r>
              <w:rPr>
                <w:b/>
                <w:bCs/>
              </w:rPr>
              <w:t>图形颜色</w:t>
            </w:r>
          </w:p>
        </w:tc>
      </w:tr>
      <w:tr w:rsidR="003E78AB" w14:paraId="29B93CFB" w14:textId="77777777">
        <w:trPr>
          <w:trHeight w:val="340"/>
        </w:trPr>
        <w:tc>
          <w:tcPr>
            <w:tcW w:w="1039" w:type="pct"/>
            <w:vAlign w:val="center"/>
          </w:tcPr>
          <w:p w14:paraId="202E72C9" w14:textId="77777777" w:rsidR="003E78AB" w:rsidRDefault="00010BF9">
            <w:pPr>
              <w:pStyle w:val="aff6"/>
              <w:topLinePunct/>
            </w:pPr>
            <w:r>
              <w:t>警告标志</w:t>
            </w:r>
          </w:p>
        </w:tc>
        <w:tc>
          <w:tcPr>
            <w:tcW w:w="1461" w:type="pct"/>
            <w:vAlign w:val="center"/>
          </w:tcPr>
          <w:p w14:paraId="30F64078" w14:textId="77777777" w:rsidR="003E78AB" w:rsidRDefault="00010BF9">
            <w:pPr>
              <w:pStyle w:val="aff6"/>
              <w:topLinePunct/>
            </w:pPr>
            <w:r>
              <w:t>三角形边框</w:t>
            </w:r>
          </w:p>
        </w:tc>
        <w:tc>
          <w:tcPr>
            <w:tcW w:w="1536" w:type="pct"/>
            <w:vAlign w:val="center"/>
          </w:tcPr>
          <w:p w14:paraId="7213FEF4" w14:textId="77777777" w:rsidR="003E78AB" w:rsidRDefault="00010BF9">
            <w:pPr>
              <w:pStyle w:val="aff6"/>
              <w:topLinePunct/>
            </w:pPr>
            <w:r>
              <w:t>黄色</w:t>
            </w:r>
          </w:p>
        </w:tc>
        <w:tc>
          <w:tcPr>
            <w:tcW w:w="961" w:type="pct"/>
            <w:vAlign w:val="center"/>
          </w:tcPr>
          <w:p w14:paraId="0428BBCC" w14:textId="77777777" w:rsidR="003E78AB" w:rsidRDefault="00010BF9">
            <w:pPr>
              <w:pStyle w:val="aff6"/>
              <w:topLinePunct/>
            </w:pPr>
            <w:r>
              <w:t>黑色</w:t>
            </w:r>
          </w:p>
        </w:tc>
      </w:tr>
      <w:tr w:rsidR="003E78AB" w14:paraId="01211166" w14:textId="77777777">
        <w:trPr>
          <w:trHeight w:val="340"/>
        </w:trPr>
        <w:tc>
          <w:tcPr>
            <w:tcW w:w="1039" w:type="pct"/>
            <w:vAlign w:val="center"/>
          </w:tcPr>
          <w:p w14:paraId="426521AE" w14:textId="77777777" w:rsidR="003E78AB" w:rsidRDefault="00010BF9">
            <w:pPr>
              <w:pStyle w:val="aff6"/>
              <w:topLinePunct/>
            </w:pPr>
            <w:r>
              <w:t>提示标志</w:t>
            </w:r>
          </w:p>
        </w:tc>
        <w:tc>
          <w:tcPr>
            <w:tcW w:w="1461" w:type="pct"/>
            <w:vAlign w:val="center"/>
          </w:tcPr>
          <w:p w14:paraId="3CC9E867" w14:textId="77777777" w:rsidR="003E78AB" w:rsidRDefault="00010BF9">
            <w:pPr>
              <w:pStyle w:val="aff6"/>
              <w:topLinePunct/>
            </w:pPr>
            <w:r>
              <w:t>正方形边框</w:t>
            </w:r>
          </w:p>
        </w:tc>
        <w:tc>
          <w:tcPr>
            <w:tcW w:w="1536" w:type="pct"/>
            <w:vAlign w:val="center"/>
          </w:tcPr>
          <w:p w14:paraId="28E5893E" w14:textId="77777777" w:rsidR="003E78AB" w:rsidRDefault="00010BF9">
            <w:pPr>
              <w:pStyle w:val="aff6"/>
              <w:topLinePunct/>
            </w:pPr>
            <w:r>
              <w:t>绿色</w:t>
            </w:r>
          </w:p>
        </w:tc>
        <w:tc>
          <w:tcPr>
            <w:tcW w:w="961" w:type="pct"/>
            <w:vAlign w:val="center"/>
          </w:tcPr>
          <w:p w14:paraId="08CED07D" w14:textId="77777777" w:rsidR="003E78AB" w:rsidRDefault="00010BF9">
            <w:pPr>
              <w:pStyle w:val="aff6"/>
              <w:topLinePunct/>
            </w:pPr>
            <w:r>
              <w:t>白色</w:t>
            </w:r>
          </w:p>
        </w:tc>
      </w:tr>
    </w:tbl>
    <w:p w14:paraId="6CA51C31" w14:textId="77777777" w:rsidR="003E78AB" w:rsidRDefault="00010BF9">
      <w:pPr>
        <w:spacing w:line="240" w:lineRule="auto"/>
        <w:ind w:firstLineChars="0" w:firstLine="0"/>
        <w:rPr>
          <w:rFonts w:eastAsia="黑体"/>
          <w:kern w:val="2"/>
          <w:sz w:val="21"/>
        </w:rPr>
      </w:pPr>
      <w:r>
        <w:rPr>
          <w:rFonts w:eastAsia="黑体"/>
          <w:kern w:val="2"/>
          <w:sz w:val="21"/>
        </w:rPr>
        <w:br w:type="page"/>
      </w:r>
    </w:p>
    <w:p w14:paraId="15376F1A" w14:textId="77777777" w:rsidR="003E78AB" w:rsidRDefault="00010BF9">
      <w:pPr>
        <w:pStyle w:val="a5"/>
        <w:numPr>
          <w:ilvl w:val="0"/>
          <w:numId w:val="0"/>
        </w:numPr>
      </w:pPr>
      <w:r>
        <w:rPr>
          <w:noProof/>
        </w:rPr>
        <w:drawing>
          <wp:anchor distT="0" distB="0" distL="0" distR="0" simplePos="0" relativeHeight="251671552" behindDoc="0" locked="0" layoutInCell="1" allowOverlap="1">
            <wp:simplePos x="0" y="0"/>
            <wp:positionH relativeFrom="column">
              <wp:posOffset>519430</wp:posOffset>
            </wp:positionH>
            <wp:positionV relativeFrom="page">
              <wp:posOffset>799465</wp:posOffset>
            </wp:positionV>
            <wp:extent cx="4078605" cy="2081530"/>
            <wp:effectExtent l="0" t="0" r="17145" b="13970"/>
            <wp:wrapTopAndBottom/>
            <wp:docPr id="84" name="图片 84" descr="C:\Users\Adm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Desktop\图片1.png图片1"/>
                    <pic:cNvPicPr>
                      <a:picLocks noChangeAspect="1" noChangeArrowheads="1"/>
                    </pic:cNvPicPr>
                  </pic:nvPicPr>
                  <pic:blipFill>
                    <a:blip r:embed="rId124"/>
                    <a:srcRect/>
                    <a:stretch>
                      <a:fillRect/>
                    </a:stretch>
                  </pic:blipFill>
                  <pic:spPr>
                    <a:xfrm>
                      <a:off x="0" y="0"/>
                      <a:ext cx="4078605" cy="2081530"/>
                    </a:xfrm>
                    <a:prstGeom prst="rect">
                      <a:avLst/>
                    </a:prstGeom>
                    <a:noFill/>
                    <a:ln w="9525">
                      <a:noFill/>
                      <a:miter lim="800000"/>
                      <a:headEnd/>
                      <a:tailEnd/>
                    </a:ln>
                  </pic:spPr>
                </pic:pic>
              </a:graphicData>
            </a:graphic>
          </wp:anchor>
        </w:drawing>
      </w:r>
      <w:r>
        <w:t>图</w:t>
      </w:r>
      <w:r>
        <w:rPr>
          <w:rFonts w:hint="eastAsia"/>
        </w:rPr>
        <w:t xml:space="preserve">9-1  </w:t>
      </w:r>
      <w:r>
        <w:t>排放口图形标志</w:t>
      </w:r>
    </w:p>
    <w:p w14:paraId="0AADFBA9" w14:textId="77777777" w:rsidR="003E78AB" w:rsidRDefault="00010BF9">
      <w:pPr>
        <w:pStyle w:val="24"/>
        <w:keepNext w:val="0"/>
        <w:keepLines w:val="0"/>
        <w:topLinePunct/>
        <w:spacing w:before="156"/>
        <w:rPr>
          <w:rFonts w:cs="Times New Roman"/>
        </w:rPr>
      </w:pPr>
      <w:bookmarkStart w:id="510" w:name="_Toc22345"/>
      <w:bookmarkStart w:id="511" w:name="_Toc16220"/>
      <w:r>
        <w:rPr>
          <w:rFonts w:cs="Times New Roman" w:hint="eastAsia"/>
        </w:rPr>
        <w:t>9</w:t>
      </w:r>
      <w:r>
        <w:rPr>
          <w:rFonts w:cs="Times New Roman"/>
        </w:rPr>
        <w:t>.6</w:t>
      </w:r>
      <w:r>
        <w:rPr>
          <w:rFonts w:cs="Times New Roman"/>
        </w:rPr>
        <w:t>环境影响评价制度与排污许可制度衔接分析</w:t>
      </w:r>
      <w:bookmarkEnd w:id="510"/>
      <w:bookmarkEnd w:id="511"/>
    </w:p>
    <w:p w14:paraId="4F9C333F" w14:textId="77777777" w:rsidR="003E78AB" w:rsidRDefault="00010BF9">
      <w:pPr>
        <w:ind w:firstLine="480"/>
      </w:pPr>
      <w:r>
        <w:rPr>
          <w:kern w:val="2"/>
        </w:rPr>
        <w:t>根据《关于做好环境影响评价制度与排污许可制衔接相关工作的通知》</w:t>
      </w:r>
      <w:r>
        <w:rPr>
          <w:rFonts w:hint="eastAsia"/>
          <w:kern w:val="2"/>
        </w:rPr>
        <w:t>（</w:t>
      </w:r>
      <w:r>
        <w:rPr>
          <w:kern w:val="2"/>
        </w:rPr>
        <w:t>环办环评</w:t>
      </w:r>
      <w:r>
        <w:rPr>
          <w:rFonts w:hint="eastAsia"/>
          <w:kern w:val="2"/>
        </w:rPr>
        <w:t>〔</w:t>
      </w:r>
      <w:r>
        <w:rPr>
          <w:rFonts w:hint="eastAsia"/>
          <w:kern w:val="2"/>
        </w:rPr>
        <w:t>2017</w:t>
      </w:r>
      <w:r>
        <w:rPr>
          <w:rFonts w:hint="eastAsia"/>
          <w:kern w:val="2"/>
        </w:rPr>
        <w:t>〕</w:t>
      </w:r>
      <w:r>
        <w:rPr>
          <w:kern w:val="2"/>
        </w:rPr>
        <w:t>84</w:t>
      </w:r>
      <w:r>
        <w:rPr>
          <w:kern w:val="2"/>
        </w:rPr>
        <w:t>号</w:t>
      </w:r>
      <w:r>
        <w:rPr>
          <w:rFonts w:hint="eastAsia"/>
          <w:kern w:val="2"/>
        </w:rPr>
        <w:t>）</w:t>
      </w:r>
      <w:r>
        <w:rPr>
          <w:kern w:val="2"/>
        </w:rPr>
        <w:t>，为贯彻落实《国务院办公厅关于印发控制污染物排放许可制实施方案的通知》（国办发〔</w:t>
      </w:r>
      <w:r>
        <w:rPr>
          <w:kern w:val="2"/>
        </w:rPr>
        <w:t>2016</w:t>
      </w:r>
      <w:r>
        <w:rPr>
          <w:kern w:val="2"/>
        </w:rPr>
        <w:t>〕</w:t>
      </w:r>
      <w:r>
        <w:rPr>
          <w:kern w:val="2"/>
        </w:rPr>
        <w:t>81</w:t>
      </w:r>
      <w:r>
        <w:rPr>
          <w:kern w:val="2"/>
        </w:rPr>
        <w:t>号）和《关于印发〈</w:t>
      </w:r>
      <w:r>
        <w:rPr>
          <w:kern w:val="2"/>
        </w:rPr>
        <w:t>“</w:t>
      </w:r>
      <w:r>
        <w:rPr>
          <w:kern w:val="2"/>
        </w:rPr>
        <w:t>十三五</w:t>
      </w:r>
      <w:r>
        <w:rPr>
          <w:kern w:val="2"/>
        </w:rPr>
        <w:t>”</w:t>
      </w:r>
      <w:r>
        <w:rPr>
          <w:kern w:val="2"/>
        </w:rPr>
        <w:t>环境影响评价改革实施方案〉的通知》（环环评〔</w:t>
      </w:r>
      <w:r>
        <w:rPr>
          <w:kern w:val="2"/>
        </w:rPr>
        <w:t>2016</w:t>
      </w:r>
      <w:r>
        <w:rPr>
          <w:kern w:val="2"/>
        </w:rPr>
        <w:t>〕</w:t>
      </w:r>
      <w:r>
        <w:rPr>
          <w:kern w:val="2"/>
        </w:rPr>
        <w:t>95</w:t>
      </w:r>
      <w:r>
        <w:rPr>
          <w:kern w:val="2"/>
        </w:rPr>
        <w:t>号），推进环境质量改善，依据《</w:t>
      </w:r>
      <w:r>
        <w:rPr>
          <w:bCs/>
          <w:kern w:val="2"/>
        </w:rPr>
        <w:t>排污许可管理条例</w:t>
      </w:r>
      <w:r>
        <w:t>》（国令第</w:t>
      </w:r>
      <w:r>
        <w:t>736</w:t>
      </w:r>
      <w:r>
        <w:t>号）做好建设项目环境影响评价制度与排污许可</w:t>
      </w:r>
      <w:r>
        <w:rPr>
          <w:rFonts w:hint="eastAsia"/>
        </w:rPr>
        <w:t>制度</w:t>
      </w:r>
      <w:r>
        <w:t>有机衔接相关工作。</w:t>
      </w:r>
    </w:p>
    <w:p w14:paraId="3666E236" w14:textId="77777777" w:rsidR="003E78AB" w:rsidRDefault="00010BF9">
      <w:pPr>
        <w:ind w:firstLine="480"/>
      </w:pPr>
      <w:r>
        <w:t>建设项目发生实际排污行为之前，排污单位应当按照国家环境保护相关法律法规以及</w:t>
      </w:r>
      <w:r>
        <w:rPr>
          <w:bCs/>
          <w:kern w:val="2"/>
        </w:rPr>
        <w:t>《排污许可证申请与核发技术规范</w:t>
      </w:r>
      <w:r>
        <w:rPr>
          <w:rFonts w:hint="eastAsia"/>
          <w:bCs/>
          <w:kern w:val="2"/>
        </w:rPr>
        <w:t xml:space="preserve"> </w:t>
      </w:r>
      <w:r>
        <w:rPr>
          <w:bCs/>
          <w:kern w:val="2"/>
        </w:rPr>
        <w:t>总则》</w:t>
      </w:r>
      <w:r>
        <w:rPr>
          <w:bCs/>
          <w:kern w:val="2"/>
        </w:rPr>
        <w:t>（</w:t>
      </w:r>
      <w:r>
        <w:rPr>
          <w:bCs/>
          <w:kern w:val="2"/>
        </w:rPr>
        <w:t>HJ942-2018</w:t>
      </w:r>
      <w:r>
        <w:rPr>
          <w:bCs/>
          <w:kern w:val="2"/>
        </w:rPr>
        <w:t>）、</w:t>
      </w:r>
      <w:r>
        <w:rPr>
          <w:kern w:val="2"/>
        </w:rPr>
        <w:t>《排污许可证申请与核发技术规范专用</w:t>
      </w:r>
      <w:r>
        <w:rPr>
          <w:kern w:val="2"/>
        </w:rPr>
        <w:t xml:space="preserve"> </w:t>
      </w:r>
      <w:r>
        <w:rPr>
          <w:kern w:val="2"/>
        </w:rPr>
        <w:t>化学产品制造工业》（</w:t>
      </w:r>
      <w:r>
        <w:rPr>
          <w:kern w:val="2"/>
        </w:rPr>
        <w:t>HJ1103-2020</w:t>
      </w:r>
      <w:r>
        <w:rPr>
          <w:kern w:val="2"/>
        </w:rPr>
        <w:t>）</w:t>
      </w:r>
      <w:r>
        <w:rPr>
          <w:bCs/>
          <w:kern w:val="2"/>
        </w:rPr>
        <w:t>中相关规定</w:t>
      </w:r>
      <w:r>
        <w:t>申请排污许可证，不得无证排污或不按证排污。污染物排放相关的主要内容应当纳入排污许可证。</w:t>
      </w:r>
    </w:p>
    <w:p w14:paraId="240101CB" w14:textId="77777777" w:rsidR="003E78AB" w:rsidRDefault="00010BF9">
      <w:pPr>
        <w:ind w:firstLine="480"/>
      </w:pPr>
      <w:r>
        <w:t>排污单位应当每年在全国排污许可证管理信息平台上填报、提交排污许可证年度执行报告并公开，同时向核发环保部门提交通过全国排污许可证管理信息平台印制的书面执行报告。书面执行报告应当由法定代表人或者主要负责人签字或者盖章。</w:t>
      </w:r>
    </w:p>
    <w:p w14:paraId="55AE89DC" w14:textId="77777777" w:rsidR="003E78AB" w:rsidRDefault="00010BF9">
      <w:pPr>
        <w:ind w:firstLine="480"/>
      </w:pPr>
      <w:r>
        <w:t>年度执行报告至少应当包括以下内容：</w:t>
      </w:r>
    </w:p>
    <w:p w14:paraId="23EB90D8" w14:textId="77777777" w:rsidR="003E78AB" w:rsidRDefault="00010BF9">
      <w:pPr>
        <w:ind w:firstLine="480"/>
      </w:pPr>
      <w:r>
        <w:t>1</w:t>
      </w:r>
      <w:r>
        <w:t>、排污单位基本信息；</w:t>
      </w:r>
    </w:p>
    <w:p w14:paraId="1F2072BB" w14:textId="77777777" w:rsidR="003E78AB" w:rsidRDefault="00010BF9">
      <w:pPr>
        <w:ind w:firstLine="480"/>
      </w:pPr>
      <w:r>
        <w:t>2</w:t>
      </w:r>
      <w:r>
        <w:t>、自行监测执行情况；</w:t>
      </w:r>
    </w:p>
    <w:p w14:paraId="3ADE359E" w14:textId="77777777" w:rsidR="003E78AB" w:rsidRDefault="00010BF9">
      <w:pPr>
        <w:ind w:firstLine="480"/>
      </w:pPr>
      <w:r>
        <w:t>3</w:t>
      </w:r>
      <w:r>
        <w:t>、环境</w:t>
      </w:r>
      <w:r>
        <w:t>管理台账记录执行情况；</w:t>
      </w:r>
    </w:p>
    <w:p w14:paraId="79BBC563" w14:textId="77777777" w:rsidR="003E78AB" w:rsidRDefault="00010BF9">
      <w:pPr>
        <w:ind w:firstLine="480"/>
      </w:pPr>
      <w:r>
        <w:t>4</w:t>
      </w:r>
      <w:r>
        <w:t>、实际排放情况及合规判定分析；</w:t>
      </w:r>
    </w:p>
    <w:p w14:paraId="339062BF" w14:textId="77777777" w:rsidR="003E78AB" w:rsidRDefault="00010BF9">
      <w:pPr>
        <w:ind w:firstLine="480"/>
      </w:pPr>
      <w:r>
        <w:t>5</w:t>
      </w:r>
      <w:r>
        <w:t>、信息公开情况；</w:t>
      </w:r>
    </w:p>
    <w:p w14:paraId="452915EC" w14:textId="77777777" w:rsidR="003E78AB" w:rsidRDefault="00010BF9">
      <w:pPr>
        <w:ind w:firstLine="480"/>
      </w:pPr>
      <w:r>
        <w:t>6</w:t>
      </w:r>
      <w:r>
        <w:t>、排污单位内部环境管理体系建设与运行情况；</w:t>
      </w:r>
    </w:p>
    <w:p w14:paraId="543AE516" w14:textId="77777777" w:rsidR="003E78AB" w:rsidRDefault="00010BF9">
      <w:pPr>
        <w:ind w:firstLine="480"/>
      </w:pPr>
      <w:r>
        <w:t>7</w:t>
      </w:r>
      <w:r>
        <w:t>、其他排污许可证规定的内容执行情况；</w:t>
      </w:r>
    </w:p>
    <w:p w14:paraId="72735B79" w14:textId="77777777" w:rsidR="003E78AB" w:rsidRDefault="00010BF9">
      <w:pPr>
        <w:ind w:firstLine="480"/>
      </w:pPr>
      <w:r>
        <w:t>8</w:t>
      </w:r>
      <w:r>
        <w:t>、其他需要说明的问题；</w:t>
      </w:r>
    </w:p>
    <w:p w14:paraId="4E893308" w14:textId="77777777" w:rsidR="003E78AB" w:rsidRDefault="00010BF9">
      <w:pPr>
        <w:ind w:firstLine="480"/>
      </w:pPr>
      <w:r>
        <w:t>9</w:t>
      </w:r>
      <w:r>
        <w:t>、结论；</w:t>
      </w:r>
    </w:p>
    <w:p w14:paraId="0077A056" w14:textId="77777777" w:rsidR="003E78AB" w:rsidRDefault="00010BF9">
      <w:pPr>
        <w:ind w:firstLine="480"/>
      </w:pPr>
      <w:r>
        <w:t>10</w:t>
      </w:r>
      <w:r>
        <w:t>、附图附件等；</w:t>
      </w:r>
    </w:p>
    <w:p w14:paraId="084EC256" w14:textId="77777777" w:rsidR="003E78AB" w:rsidRDefault="00010BF9">
      <w:pPr>
        <w:ind w:firstLine="480"/>
      </w:pPr>
      <w:r>
        <w:t>季度执行报告：</w:t>
      </w:r>
    </w:p>
    <w:p w14:paraId="50820E78" w14:textId="77777777" w:rsidR="003E78AB" w:rsidRDefault="00010BF9">
      <w:pPr>
        <w:ind w:firstLine="480"/>
      </w:pPr>
      <w:r>
        <w:t>排污单位季度执行报告应至少包括污染物实际排放浓度（或排放速率）和排放量、合规判定分析、超标排放或污染防治设施异常情况说明等内容。</w:t>
      </w:r>
    </w:p>
    <w:p w14:paraId="287203E6" w14:textId="77777777" w:rsidR="003E78AB" w:rsidRDefault="00010BF9">
      <w:pPr>
        <w:ind w:firstLine="480"/>
      </w:pPr>
      <w:r>
        <w:t>建设项目竣工环境保护验收报告中与污染物排放相关的主要内容，应当由排污单位记载在该项目验收完成当年排污许可证年度执行报告中。排污单位发生污染事故排放时，应当依照相关法律法规规章的规定及时报告。</w:t>
      </w:r>
    </w:p>
    <w:p w14:paraId="390C58BC" w14:textId="77777777" w:rsidR="003E78AB" w:rsidRDefault="00010BF9">
      <w:pPr>
        <w:pStyle w:val="24"/>
        <w:keepNext w:val="0"/>
        <w:keepLines w:val="0"/>
        <w:topLinePunct/>
        <w:spacing w:before="156"/>
        <w:rPr>
          <w:rFonts w:cs="Times New Roman"/>
        </w:rPr>
      </w:pPr>
      <w:bookmarkStart w:id="512" w:name="_Toc27721"/>
      <w:bookmarkStart w:id="513" w:name="_Toc13229"/>
      <w:r>
        <w:rPr>
          <w:rFonts w:cs="Times New Roman" w:hint="eastAsia"/>
        </w:rPr>
        <w:t>9</w:t>
      </w:r>
      <w:r>
        <w:rPr>
          <w:rFonts w:cs="Times New Roman"/>
        </w:rPr>
        <w:t>.7</w:t>
      </w:r>
      <w:r>
        <w:rPr>
          <w:rFonts w:cs="Times New Roman"/>
        </w:rPr>
        <w:t>企业环境信息公开</w:t>
      </w:r>
      <w:bookmarkEnd w:id="512"/>
      <w:bookmarkEnd w:id="513"/>
    </w:p>
    <w:p w14:paraId="29B4F765" w14:textId="77777777" w:rsidR="003E78AB" w:rsidRDefault="00010BF9">
      <w:pPr>
        <w:ind w:firstLine="480"/>
      </w:pPr>
      <w:r>
        <w:rPr>
          <w:kern w:val="2"/>
        </w:rPr>
        <w:t>根据《企业事业单位环境信息公开办法》（环境保护部第</w:t>
      </w:r>
      <w:r>
        <w:rPr>
          <w:kern w:val="2"/>
        </w:rPr>
        <w:t>31</w:t>
      </w:r>
      <w:r>
        <w:rPr>
          <w:kern w:val="2"/>
        </w:rPr>
        <w:t>号）相关规定，企业事业单位应当建立健全本单位环境信息公开制度，指定机构负责本单位环境信息公开日常工作。根据企业特点，</w:t>
      </w:r>
      <w:r>
        <w:rPr>
          <w:bCs/>
          <w:kern w:val="2"/>
          <w:lang w:bidi="en-US"/>
        </w:rPr>
        <w:t>伊宁县伊东工业园管理委员会</w:t>
      </w:r>
      <w:r>
        <w:t>网站或本单位的资料索取点、信息公开栏、信息亭、电子屏幕或其他便于公众及时、准确获得信息的场所和方式公</w:t>
      </w:r>
      <w:r>
        <w:t>开下列信息：</w:t>
      </w:r>
    </w:p>
    <w:p w14:paraId="1E83A207" w14:textId="77777777" w:rsidR="003E78AB" w:rsidRDefault="00010BF9">
      <w:pPr>
        <w:ind w:firstLine="480"/>
      </w:pPr>
      <w:r>
        <w:t>1</w:t>
      </w:r>
      <w:r>
        <w:t>、项目基础信息：包括单位名称、组织机构代码、法定代表人、生产地址、联系方式，以及生产经营和管理服务的主要内容、产品及规模。</w:t>
      </w:r>
    </w:p>
    <w:p w14:paraId="3AEBB332" w14:textId="77777777" w:rsidR="003E78AB" w:rsidRDefault="00010BF9">
      <w:pPr>
        <w:ind w:firstLine="480"/>
      </w:pPr>
      <w:r>
        <w:t>2</w:t>
      </w:r>
      <w:r>
        <w:t>、排污信息：包括主要污染物及特征污染物的名称、排放方式、排放口数量和分布情况、排放浓度和总量、超标情况，及执行的污染物排放标准、核定的排放总量。</w:t>
      </w:r>
    </w:p>
    <w:p w14:paraId="7F465808" w14:textId="77777777" w:rsidR="003E78AB" w:rsidRDefault="00010BF9">
      <w:pPr>
        <w:ind w:firstLine="480"/>
      </w:pPr>
      <w:r>
        <w:t>3</w:t>
      </w:r>
      <w:r>
        <w:t>、防治污染设施的建设和运行情况。</w:t>
      </w:r>
    </w:p>
    <w:p w14:paraId="48AC2710" w14:textId="77777777" w:rsidR="003E78AB" w:rsidRDefault="00010BF9">
      <w:pPr>
        <w:ind w:firstLine="480"/>
      </w:pPr>
      <w:r>
        <w:t>4</w:t>
      </w:r>
      <w:r>
        <w:t>、建设项目环境影响评价及其他环境保护行政许可情况。</w:t>
      </w:r>
    </w:p>
    <w:p w14:paraId="0F6369E8" w14:textId="77777777" w:rsidR="003E78AB" w:rsidRDefault="00010BF9">
      <w:pPr>
        <w:ind w:firstLine="480"/>
      </w:pPr>
      <w:r>
        <w:t>5</w:t>
      </w:r>
      <w:r>
        <w:t>、突发环境事件应急预案。</w:t>
      </w:r>
    </w:p>
    <w:p w14:paraId="73E29BA1" w14:textId="77777777" w:rsidR="003E78AB" w:rsidRDefault="00010BF9">
      <w:pPr>
        <w:ind w:firstLine="480"/>
      </w:pPr>
      <w:r>
        <w:t>6</w:t>
      </w:r>
      <w:r>
        <w:t>、其他应当公开的环境信息。</w:t>
      </w:r>
    </w:p>
    <w:p w14:paraId="57797216" w14:textId="77777777" w:rsidR="003E78AB" w:rsidRDefault="00010BF9">
      <w:pPr>
        <w:ind w:firstLine="480"/>
      </w:pPr>
      <w:r>
        <w:t>如若公司的环境信息发生变更或有新生成时，应在环境信息生成或者变更之日起三十日</w:t>
      </w:r>
      <w:r>
        <w:t>内予以公开。</w:t>
      </w:r>
      <w:r>
        <w:rPr>
          <w:rFonts w:hint="eastAsia"/>
        </w:rPr>
        <w:t>生态环境主管部门</w:t>
      </w:r>
      <w:r>
        <w:t>应当宣传和引导公众监督企业事业单位环境信息公开工作。</w:t>
      </w:r>
    </w:p>
    <w:p w14:paraId="691AA6E8" w14:textId="77777777" w:rsidR="003E78AB" w:rsidRDefault="00010BF9">
      <w:pPr>
        <w:pStyle w:val="24"/>
        <w:keepNext w:val="0"/>
        <w:keepLines w:val="0"/>
        <w:topLinePunct/>
        <w:spacing w:before="156"/>
        <w:rPr>
          <w:rFonts w:cs="Times New Roman"/>
        </w:rPr>
      </w:pPr>
      <w:bookmarkStart w:id="514" w:name="_Toc31828"/>
      <w:bookmarkStart w:id="515" w:name="_Toc21523"/>
      <w:bookmarkStart w:id="516" w:name="_Toc26487"/>
      <w:r>
        <w:rPr>
          <w:rFonts w:cs="Times New Roman" w:hint="eastAsia"/>
        </w:rPr>
        <w:t>9</w:t>
      </w:r>
      <w:r>
        <w:rPr>
          <w:rFonts w:cs="Times New Roman"/>
        </w:rPr>
        <w:t>.8</w:t>
      </w:r>
      <w:r>
        <w:rPr>
          <w:rFonts w:cs="Times New Roman"/>
        </w:rPr>
        <w:t>竣工验收管理</w:t>
      </w:r>
      <w:bookmarkEnd w:id="514"/>
      <w:bookmarkEnd w:id="515"/>
      <w:bookmarkEnd w:id="516"/>
    </w:p>
    <w:p w14:paraId="3E820838"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9</w:t>
      </w:r>
      <w:r>
        <w:rPr>
          <w:rFonts w:cs="Times New Roman"/>
          <w:sz w:val="28"/>
          <w:szCs w:val="28"/>
        </w:rPr>
        <w:t>.8.1</w:t>
      </w:r>
      <w:r>
        <w:rPr>
          <w:rFonts w:cs="Times New Roman"/>
          <w:sz w:val="28"/>
          <w:szCs w:val="28"/>
        </w:rPr>
        <w:t>竣工验收管理及要求</w:t>
      </w:r>
    </w:p>
    <w:p w14:paraId="1D822270" w14:textId="77777777" w:rsidR="003E78AB" w:rsidRDefault="00010BF9">
      <w:pPr>
        <w:ind w:firstLine="480"/>
      </w:pPr>
      <w: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14:paraId="246FF137"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9</w:t>
      </w:r>
      <w:r>
        <w:rPr>
          <w:rFonts w:cs="Times New Roman"/>
          <w:sz w:val="28"/>
          <w:szCs w:val="28"/>
        </w:rPr>
        <w:t>.8.2</w:t>
      </w:r>
      <w:r>
        <w:rPr>
          <w:rFonts w:cs="Times New Roman"/>
          <w:sz w:val="28"/>
          <w:szCs w:val="28"/>
        </w:rPr>
        <w:t>环境保护</w:t>
      </w:r>
      <w:r>
        <w:rPr>
          <w:rFonts w:cs="Times New Roman"/>
          <w:sz w:val="28"/>
          <w:szCs w:val="28"/>
        </w:rPr>
        <w:t>“</w:t>
      </w:r>
      <w:r>
        <w:rPr>
          <w:rFonts w:cs="Times New Roman"/>
          <w:sz w:val="28"/>
          <w:szCs w:val="28"/>
        </w:rPr>
        <w:t>三同时</w:t>
      </w:r>
      <w:r>
        <w:rPr>
          <w:rFonts w:cs="Times New Roman"/>
          <w:sz w:val="28"/>
          <w:szCs w:val="28"/>
        </w:rPr>
        <w:t>”</w:t>
      </w:r>
      <w:r>
        <w:rPr>
          <w:rFonts w:cs="Times New Roman"/>
          <w:sz w:val="28"/>
          <w:szCs w:val="28"/>
        </w:rPr>
        <w:t>验收</w:t>
      </w:r>
    </w:p>
    <w:p w14:paraId="75858C3D" w14:textId="77777777" w:rsidR="003E78AB" w:rsidRDefault="00010BF9">
      <w:pPr>
        <w:ind w:firstLine="480"/>
      </w:pPr>
      <w:r>
        <w:t>根据建设项目环境管理办法，环境污染物防治设施必须与主体工程同时设计、同时施工、同时投入使用。项目完成后，应对环境保护设施进行验收。项目运营期</w:t>
      </w:r>
      <w:r>
        <w:t>“</w:t>
      </w:r>
      <w:r>
        <w:t>三同时</w:t>
      </w:r>
      <w:r>
        <w:t>”</w:t>
      </w:r>
      <w:r>
        <w:t>环保设施验收一览表见表</w:t>
      </w:r>
      <w:r>
        <w:rPr>
          <w:rFonts w:hint="eastAsia"/>
        </w:rPr>
        <w:t>9-6</w:t>
      </w:r>
      <w:r>
        <w:t>。</w:t>
      </w:r>
    </w:p>
    <w:p w14:paraId="1F620862" w14:textId="77777777" w:rsidR="003E78AB" w:rsidRDefault="00010BF9">
      <w:pPr>
        <w:pStyle w:val="a5"/>
        <w:numPr>
          <w:ilvl w:val="0"/>
          <w:numId w:val="0"/>
        </w:numPr>
      </w:pPr>
      <w:r>
        <w:t>表</w:t>
      </w:r>
      <w:r>
        <w:rPr>
          <w:rFonts w:hint="eastAsia"/>
        </w:rPr>
        <w:t xml:space="preserve">9-6  </w:t>
      </w:r>
      <w:r>
        <w:t>项目</w:t>
      </w:r>
      <w:r>
        <w:rPr>
          <w:rFonts w:hint="eastAsia"/>
        </w:rPr>
        <w:t>建设</w:t>
      </w:r>
      <w:r>
        <w:t xml:space="preserve"> “</w:t>
      </w:r>
      <w:r>
        <w:t>三同时</w:t>
      </w:r>
      <w:r>
        <w:t>”</w:t>
      </w:r>
      <w:r>
        <w:t>验收一览表</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367"/>
        <w:gridCol w:w="3688"/>
        <w:gridCol w:w="3158"/>
      </w:tblGrid>
      <w:tr w:rsidR="003E78AB" w14:paraId="0F9053D6" w14:textId="77777777">
        <w:trPr>
          <w:trHeight w:val="567"/>
          <w:tblHeader/>
          <w:jc w:val="center"/>
        </w:trPr>
        <w:tc>
          <w:tcPr>
            <w:tcW w:w="376" w:type="pct"/>
            <w:vAlign w:val="center"/>
          </w:tcPr>
          <w:p w14:paraId="0EE853C6" w14:textId="77777777" w:rsidR="003E78AB" w:rsidRDefault="00010BF9">
            <w:pPr>
              <w:pStyle w:val="aff6"/>
              <w:topLinePunct/>
              <w:rPr>
                <w:b/>
                <w:bCs/>
              </w:rPr>
            </w:pPr>
            <w:r>
              <w:rPr>
                <w:b/>
                <w:bCs/>
              </w:rPr>
              <w:t>类别</w:t>
            </w:r>
          </w:p>
        </w:tc>
        <w:tc>
          <w:tcPr>
            <w:tcW w:w="768" w:type="pct"/>
            <w:vAlign w:val="center"/>
          </w:tcPr>
          <w:p w14:paraId="01E280F1" w14:textId="77777777" w:rsidR="003E78AB" w:rsidRDefault="00010BF9">
            <w:pPr>
              <w:pStyle w:val="aff6"/>
              <w:topLinePunct/>
              <w:rPr>
                <w:b/>
                <w:bCs/>
              </w:rPr>
            </w:pPr>
            <w:r>
              <w:rPr>
                <w:b/>
                <w:bCs/>
              </w:rPr>
              <w:t>污染源</w:t>
            </w:r>
          </w:p>
        </w:tc>
        <w:tc>
          <w:tcPr>
            <w:tcW w:w="2076" w:type="pct"/>
            <w:vAlign w:val="center"/>
          </w:tcPr>
          <w:p w14:paraId="69793EE4" w14:textId="77777777" w:rsidR="003E78AB" w:rsidRDefault="00010BF9">
            <w:pPr>
              <w:pStyle w:val="aff6"/>
              <w:topLinePunct/>
              <w:rPr>
                <w:b/>
                <w:bCs/>
              </w:rPr>
            </w:pPr>
            <w:r>
              <w:rPr>
                <w:b/>
                <w:bCs/>
              </w:rPr>
              <w:t>治理措施</w:t>
            </w:r>
          </w:p>
        </w:tc>
        <w:tc>
          <w:tcPr>
            <w:tcW w:w="1778" w:type="pct"/>
            <w:vAlign w:val="center"/>
          </w:tcPr>
          <w:p w14:paraId="6B6EAA83" w14:textId="77777777" w:rsidR="003E78AB" w:rsidRDefault="00010BF9">
            <w:pPr>
              <w:pStyle w:val="aff6"/>
              <w:topLinePunct/>
              <w:rPr>
                <w:b/>
                <w:bCs/>
              </w:rPr>
            </w:pPr>
            <w:r>
              <w:rPr>
                <w:b/>
                <w:bCs/>
              </w:rPr>
              <w:t>验收标准</w:t>
            </w:r>
          </w:p>
        </w:tc>
      </w:tr>
      <w:tr w:rsidR="003E78AB" w14:paraId="7E776F9A" w14:textId="77777777">
        <w:trPr>
          <w:trHeight w:val="567"/>
          <w:jc w:val="center"/>
        </w:trPr>
        <w:tc>
          <w:tcPr>
            <w:tcW w:w="376" w:type="pct"/>
            <w:vMerge w:val="restart"/>
            <w:vAlign w:val="center"/>
          </w:tcPr>
          <w:p w14:paraId="2EECF01E" w14:textId="77777777" w:rsidR="003E78AB" w:rsidRDefault="00010BF9">
            <w:pPr>
              <w:pStyle w:val="aff6"/>
              <w:topLinePunct/>
            </w:pPr>
            <w:r>
              <w:t>废气处理措施</w:t>
            </w:r>
          </w:p>
        </w:tc>
        <w:tc>
          <w:tcPr>
            <w:tcW w:w="768" w:type="pct"/>
            <w:vAlign w:val="center"/>
          </w:tcPr>
          <w:p w14:paraId="52C46B4A" w14:textId="77777777" w:rsidR="003E78AB" w:rsidRDefault="00010BF9">
            <w:pPr>
              <w:pStyle w:val="aff6"/>
              <w:topLinePunct/>
            </w:pPr>
            <w:r>
              <w:rPr>
                <w:spacing w:val="-4"/>
              </w:rPr>
              <w:t>五氧化二钒</w:t>
            </w:r>
            <w:r>
              <w:rPr>
                <w:rFonts w:hint="eastAsia"/>
                <w:spacing w:val="-4"/>
              </w:rPr>
              <w:t>拆包</w:t>
            </w:r>
            <w:r>
              <w:rPr>
                <w:spacing w:val="-4"/>
              </w:rPr>
              <w:t>投料</w:t>
            </w:r>
            <w:r>
              <w:rPr>
                <w:rFonts w:hint="eastAsia"/>
                <w:spacing w:val="-4"/>
              </w:rPr>
              <w:t>粉尘</w:t>
            </w:r>
          </w:p>
        </w:tc>
        <w:tc>
          <w:tcPr>
            <w:tcW w:w="2076" w:type="pct"/>
            <w:vAlign w:val="center"/>
          </w:tcPr>
          <w:p w14:paraId="5454DF28" w14:textId="77777777" w:rsidR="003E78AB" w:rsidRDefault="00010BF9">
            <w:pPr>
              <w:spacing w:line="360" w:lineRule="exact"/>
              <w:ind w:firstLineChars="0" w:firstLine="0"/>
              <w:jc w:val="center"/>
              <w:textAlignment w:val="center"/>
            </w:pPr>
            <w:r>
              <w:rPr>
                <w:spacing w:val="-4"/>
                <w:sz w:val="21"/>
                <w:szCs w:val="21"/>
              </w:rPr>
              <w:t>密闭</w:t>
            </w:r>
            <w:r>
              <w:rPr>
                <w:rFonts w:hint="eastAsia"/>
                <w:spacing w:val="-4"/>
                <w:sz w:val="21"/>
                <w:szCs w:val="21"/>
              </w:rPr>
              <w:t>拆包</w:t>
            </w:r>
            <w:r>
              <w:rPr>
                <w:spacing w:val="-4"/>
                <w:sz w:val="21"/>
                <w:szCs w:val="21"/>
              </w:rPr>
              <w:t>投料</w:t>
            </w:r>
            <w:r>
              <w:rPr>
                <w:spacing w:val="-4"/>
                <w:sz w:val="21"/>
                <w:szCs w:val="21"/>
              </w:rPr>
              <w:t>+</w:t>
            </w:r>
            <w:r>
              <w:rPr>
                <w:rFonts w:eastAsia="Times New Roman"/>
                <w:spacing w:val="-4"/>
                <w:sz w:val="21"/>
                <w:szCs w:val="21"/>
              </w:rPr>
              <w:t>1</w:t>
            </w:r>
            <w:r>
              <w:rPr>
                <w:spacing w:val="-4"/>
                <w:sz w:val="21"/>
                <w:szCs w:val="21"/>
              </w:rPr>
              <w:t>套</w:t>
            </w:r>
            <w:r>
              <w:rPr>
                <w:spacing w:val="-2"/>
                <w:sz w:val="21"/>
                <w:szCs w:val="21"/>
              </w:rPr>
              <w:t>袋式除尘器</w:t>
            </w:r>
            <w:r>
              <w:rPr>
                <w:rFonts w:eastAsia="Times New Roman"/>
                <w:spacing w:val="-1"/>
                <w:sz w:val="21"/>
                <w:szCs w:val="21"/>
              </w:rPr>
              <w:t>+</w:t>
            </w:r>
            <w:r>
              <w:rPr>
                <w:rFonts w:eastAsia="Times New Roman"/>
                <w:sz w:val="21"/>
                <w:szCs w:val="21"/>
              </w:rPr>
              <w:t>1</w:t>
            </w:r>
            <w:r>
              <w:rPr>
                <w:sz w:val="21"/>
                <w:szCs w:val="21"/>
              </w:rPr>
              <w:t>根</w:t>
            </w:r>
            <w:r>
              <w:rPr>
                <w:sz w:val="21"/>
                <w:szCs w:val="21"/>
              </w:rPr>
              <w:t>1</w:t>
            </w:r>
            <w:r>
              <w:rPr>
                <w:sz w:val="21"/>
                <w:szCs w:val="21"/>
                <w:lang w:bidi="ar"/>
              </w:rPr>
              <w:t>5m</w:t>
            </w:r>
            <w:r>
              <w:rPr>
                <w:sz w:val="21"/>
                <w:szCs w:val="21"/>
                <w:lang w:bidi="ar"/>
              </w:rPr>
              <w:t>排气筒</w:t>
            </w:r>
            <w:r>
              <w:rPr>
                <w:sz w:val="21"/>
                <w:szCs w:val="21"/>
                <w:lang w:bidi="ar"/>
              </w:rPr>
              <w:t>DA001</w:t>
            </w:r>
          </w:p>
        </w:tc>
        <w:tc>
          <w:tcPr>
            <w:tcW w:w="1778" w:type="pct"/>
            <w:vAlign w:val="center"/>
          </w:tcPr>
          <w:p w14:paraId="5701E33D" w14:textId="77777777" w:rsidR="003E78AB" w:rsidRDefault="00010BF9">
            <w:pPr>
              <w:pStyle w:val="aff6"/>
              <w:topLinePunct/>
            </w:pPr>
            <w:r>
              <w:t>《无机化学工业污染物排放标准》（</w:t>
            </w:r>
            <w:r>
              <w:t>GB31573-2015</w:t>
            </w:r>
            <w:r>
              <w:t>）</w:t>
            </w:r>
          </w:p>
        </w:tc>
      </w:tr>
      <w:tr w:rsidR="003E78AB" w14:paraId="5BB51525" w14:textId="77777777">
        <w:trPr>
          <w:trHeight w:val="567"/>
          <w:jc w:val="center"/>
        </w:trPr>
        <w:tc>
          <w:tcPr>
            <w:tcW w:w="376" w:type="pct"/>
            <w:vMerge/>
            <w:vAlign w:val="center"/>
          </w:tcPr>
          <w:p w14:paraId="47015BFC" w14:textId="77777777" w:rsidR="003E78AB" w:rsidRDefault="003E78AB">
            <w:pPr>
              <w:pStyle w:val="aff6"/>
              <w:topLinePunct/>
            </w:pPr>
          </w:p>
        </w:tc>
        <w:tc>
          <w:tcPr>
            <w:tcW w:w="768" w:type="pct"/>
            <w:vAlign w:val="center"/>
          </w:tcPr>
          <w:p w14:paraId="1A32A1E6" w14:textId="77777777" w:rsidR="003E78AB" w:rsidRDefault="00010BF9">
            <w:pPr>
              <w:pStyle w:val="aff6"/>
              <w:topLinePunct/>
            </w:pPr>
            <w:r>
              <w:rPr>
                <w:rFonts w:hint="eastAsia"/>
                <w:spacing w:val="-4"/>
              </w:rPr>
              <w:t>草酸拆包</w:t>
            </w:r>
            <w:r>
              <w:rPr>
                <w:spacing w:val="-4"/>
              </w:rPr>
              <w:t>投料</w:t>
            </w:r>
            <w:r>
              <w:rPr>
                <w:rFonts w:hint="eastAsia"/>
                <w:spacing w:val="-4"/>
              </w:rPr>
              <w:t>粉尘</w:t>
            </w:r>
          </w:p>
        </w:tc>
        <w:tc>
          <w:tcPr>
            <w:tcW w:w="2076" w:type="pct"/>
            <w:vAlign w:val="center"/>
          </w:tcPr>
          <w:p w14:paraId="2379B5BF" w14:textId="77777777" w:rsidR="003E78AB" w:rsidRDefault="00010BF9">
            <w:pPr>
              <w:spacing w:line="360" w:lineRule="exact"/>
              <w:ind w:firstLineChars="0" w:firstLine="0"/>
              <w:jc w:val="center"/>
              <w:textAlignment w:val="center"/>
            </w:pPr>
            <w:r>
              <w:rPr>
                <w:spacing w:val="-4"/>
                <w:sz w:val="21"/>
                <w:szCs w:val="21"/>
              </w:rPr>
              <w:t>密闭</w:t>
            </w:r>
            <w:r>
              <w:rPr>
                <w:rFonts w:hint="eastAsia"/>
                <w:spacing w:val="-4"/>
                <w:sz w:val="21"/>
                <w:szCs w:val="21"/>
              </w:rPr>
              <w:t>拆包</w:t>
            </w:r>
            <w:r>
              <w:rPr>
                <w:spacing w:val="-4"/>
                <w:sz w:val="21"/>
                <w:szCs w:val="21"/>
              </w:rPr>
              <w:t>投料</w:t>
            </w:r>
            <w:r>
              <w:rPr>
                <w:spacing w:val="-4"/>
                <w:sz w:val="21"/>
                <w:szCs w:val="21"/>
              </w:rPr>
              <w:t>+</w:t>
            </w:r>
            <w:r>
              <w:rPr>
                <w:rFonts w:eastAsia="Times New Roman"/>
                <w:spacing w:val="-4"/>
                <w:sz w:val="21"/>
                <w:szCs w:val="21"/>
              </w:rPr>
              <w:t>1</w:t>
            </w:r>
            <w:r>
              <w:rPr>
                <w:spacing w:val="-4"/>
                <w:sz w:val="21"/>
                <w:szCs w:val="21"/>
              </w:rPr>
              <w:t>套</w:t>
            </w:r>
            <w:r>
              <w:rPr>
                <w:spacing w:val="-2"/>
                <w:sz w:val="21"/>
                <w:szCs w:val="21"/>
              </w:rPr>
              <w:t>袋式除尘器</w:t>
            </w:r>
            <w:r>
              <w:rPr>
                <w:rFonts w:eastAsia="Times New Roman"/>
                <w:spacing w:val="-1"/>
                <w:sz w:val="21"/>
                <w:szCs w:val="21"/>
              </w:rPr>
              <w:t>+</w:t>
            </w:r>
            <w:r>
              <w:rPr>
                <w:rFonts w:eastAsia="Times New Roman"/>
                <w:sz w:val="21"/>
                <w:szCs w:val="21"/>
              </w:rPr>
              <w:t>1</w:t>
            </w:r>
            <w:r>
              <w:rPr>
                <w:sz w:val="21"/>
                <w:szCs w:val="21"/>
              </w:rPr>
              <w:t>根</w:t>
            </w:r>
            <w:r>
              <w:rPr>
                <w:sz w:val="21"/>
                <w:szCs w:val="21"/>
              </w:rPr>
              <w:t>1</w:t>
            </w:r>
            <w:r>
              <w:rPr>
                <w:sz w:val="21"/>
                <w:szCs w:val="21"/>
                <w:lang w:bidi="ar"/>
              </w:rPr>
              <w:t>5m</w:t>
            </w:r>
            <w:r>
              <w:rPr>
                <w:sz w:val="21"/>
                <w:szCs w:val="21"/>
                <w:lang w:bidi="ar"/>
              </w:rPr>
              <w:t>排气筒</w:t>
            </w:r>
            <w:r>
              <w:rPr>
                <w:sz w:val="21"/>
                <w:szCs w:val="21"/>
                <w:lang w:bidi="ar"/>
              </w:rPr>
              <w:t>DA002</w:t>
            </w:r>
          </w:p>
        </w:tc>
        <w:tc>
          <w:tcPr>
            <w:tcW w:w="1778" w:type="pct"/>
            <w:vAlign w:val="center"/>
          </w:tcPr>
          <w:p w14:paraId="0F3E14EA" w14:textId="77777777" w:rsidR="003E78AB" w:rsidRDefault="00010BF9">
            <w:pPr>
              <w:pStyle w:val="aff6"/>
              <w:topLinePunct/>
            </w:pPr>
            <w:r>
              <w:t>《无机化学工业污染物排放标准》（</w:t>
            </w:r>
            <w:r>
              <w:t>GB31573-2015</w:t>
            </w:r>
            <w:r>
              <w:t>）</w:t>
            </w:r>
          </w:p>
        </w:tc>
      </w:tr>
      <w:tr w:rsidR="003E78AB" w14:paraId="41FA0AFD" w14:textId="77777777">
        <w:trPr>
          <w:trHeight w:val="567"/>
          <w:jc w:val="center"/>
        </w:trPr>
        <w:tc>
          <w:tcPr>
            <w:tcW w:w="376" w:type="pct"/>
            <w:vMerge/>
            <w:vAlign w:val="center"/>
          </w:tcPr>
          <w:p w14:paraId="4CF918DD" w14:textId="77777777" w:rsidR="003E78AB" w:rsidRDefault="003E78AB">
            <w:pPr>
              <w:pStyle w:val="aff6"/>
              <w:topLinePunct/>
            </w:pPr>
          </w:p>
        </w:tc>
        <w:tc>
          <w:tcPr>
            <w:tcW w:w="768" w:type="pct"/>
            <w:vAlign w:val="center"/>
          </w:tcPr>
          <w:p w14:paraId="0B3BA9C2" w14:textId="77777777" w:rsidR="003E78AB" w:rsidRDefault="00010BF9">
            <w:pPr>
              <w:pStyle w:val="aff6"/>
              <w:topLinePunct/>
            </w:pPr>
            <w:r>
              <w:rPr>
                <w:rFonts w:hint="eastAsia"/>
              </w:rPr>
              <w:t>工艺废气</w:t>
            </w:r>
          </w:p>
        </w:tc>
        <w:tc>
          <w:tcPr>
            <w:tcW w:w="2076" w:type="pct"/>
            <w:vAlign w:val="center"/>
          </w:tcPr>
          <w:p w14:paraId="0AEC384B" w14:textId="77777777" w:rsidR="003E78AB" w:rsidRDefault="00010BF9">
            <w:pPr>
              <w:spacing w:line="360" w:lineRule="exact"/>
              <w:ind w:firstLineChars="0" w:firstLine="0"/>
              <w:jc w:val="center"/>
              <w:textAlignment w:val="center"/>
            </w:pPr>
            <w:r>
              <w:rPr>
                <w:sz w:val="21"/>
                <w:szCs w:val="21"/>
                <w:lang w:bidi="ar"/>
              </w:rPr>
              <w:t>一级</w:t>
            </w:r>
            <w:r>
              <w:rPr>
                <w:rFonts w:hint="eastAsia"/>
                <w:sz w:val="21"/>
                <w:szCs w:val="21"/>
                <w:lang w:bidi="ar"/>
              </w:rPr>
              <w:t>碱洗</w:t>
            </w:r>
            <w:r>
              <w:rPr>
                <w:sz w:val="21"/>
                <w:szCs w:val="21"/>
                <w:lang w:bidi="ar"/>
              </w:rPr>
              <w:t>+</w:t>
            </w:r>
            <w:r>
              <w:rPr>
                <w:sz w:val="21"/>
                <w:szCs w:val="21"/>
                <w:lang w:bidi="ar"/>
              </w:rPr>
              <w:t>一级水洗</w:t>
            </w:r>
            <w:r>
              <w:rPr>
                <w:sz w:val="21"/>
                <w:szCs w:val="21"/>
                <w:lang w:bidi="ar"/>
              </w:rPr>
              <w:t>+15m</w:t>
            </w:r>
            <w:r>
              <w:rPr>
                <w:sz w:val="21"/>
                <w:szCs w:val="21"/>
                <w:lang w:bidi="ar"/>
              </w:rPr>
              <w:t>排气筒</w:t>
            </w:r>
            <w:r>
              <w:rPr>
                <w:sz w:val="21"/>
                <w:szCs w:val="21"/>
                <w:lang w:bidi="ar"/>
              </w:rPr>
              <w:t>DA003</w:t>
            </w:r>
          </w:p>
        </w:tc>
        <w:tc>
          <w:tcPr>
            <w:tcW w:w="1778" w:type="pct"/>
            <w:vAlign w:val="center"/>
          </w:tcPr>
          <w:p w14:paraId="23384D4B" w14:textId="77777777" w:rsidR="003E78AB" w:rsidRDefault="00010BF9">
            <w:pPr>
              <w:pStyle w:val="aff6"/>
              <w:topLinePunct/>
            </w:pPr>
            <w:r>
              <w:t>《无机化学工业污染物排放标准》（</w:t>
            </w:r>
            <w:r>
              <w:t>GB31573-2015</w:t>
            </w:r>
            <w:r>
              <w:t>）</w:t>
            </w:r>
          </w:p>
        </w:tc>
      </w:tr>
      <w:tr w:rsidR="003E78AB" w14:paraId="5F773BBB" w14:textId="77777777">
        <w:trPr>
          <w:trHeight w:val="567"/>
          <w:jc w:val="center"/>
        </w:trPr>
        <w:tc>
          <w:tcPr>
            <w:tcW w:w="376" w:type="pct"/>
            <w:vMerge/>
            <w:vAlign w:val="center"/>
          </w:tcPr>
          <w:p w14:paraId="30847676" w14:textId="77777777" w:rsidR="003E78AB" w:rsidRDefault="003E78AB">
            <w:pPr>
              <w:pStyle w:val="aff6"/>
              <w:topLinePunct/>
            </w:pPr>
          </w:p>
        </w:tc>
        <w:tc>
          <w:tcPr>
            <w:tcW w:w="768" w:type="pct"/>
            <w:vAlign w:val="center"/>
          </w:tcPr>
          <w:p w14:paraId="64C14B95" w14:textId="77777777" w:rsidR="003E78AB" w:rsidRDefault="00010BF9">
            <w:pPr>
              <w:pStyle w:val="aff6"/>
              <w:topLinePunct/>
            </w:pPr>
            <w:r>
              <w:t>锅炉烟气</w:t>
            </w:r>
          </w:p>
        </w:tc>
        <w:tc>
          <w:tcPr>
            <w:tcW w:w="2076" w:type="pct"/>
            <w:vAlign w:val="center"/>
          </w:tcPr>
          <w:p w14:paraId="667D6E3D" w14:textId="77777777" w:rsidR="003E78AB" w:rsidRDefault="00010BF9">
            <w:pPr>
              <w:pStyle w:val="aff6"/>
              <w:topLinePunct/>
            </w:pPr>
            <w:r>
              <w:t>项目燃气锅炉采用低氮燃烧技术，烟气经烟气再循环设施回用后通过</w:t>
            </w:r>
            <w:r>
              <w:t>15m</w:t>
            </w:r>
            <w:r>
              <w:t>高排气筒</w:t>
            </w:r>
            <w:r>
              <w:t>DA004</w:t>
            </w:r>
            <w:r>
              <w:t>排放</w:t>
            </w:r>
            <w:r>
              <w:rPr>
                <w:rFonts w:hint="eastAsia"/>
              </w:rPr>
              <w:t>。</w:t>
            </w:r>
          </w:p>
        </w:tc>
        <w:tc>
          <w:tcPr>
            <w:tcW w:w="1778" w:type="pct"/>
            <w:vAlign w:val="center"/>
          </w:tcPr>
          <w:p w14:paraId="74FB1590" w14:textId="77777777" w:rsidR="003E78AB" w:rsidRDefault="00010BF9">
            <w:pPr>
              <w:pStyle w:val="aff6"/>
              <w:topLinePunct/>
            </w:pPr>
            <w:r>
              <w:t>SO</w:t>
            </w:r>
            <w:r>
              <w:rPr>
                <w:vertAlign w:val="subscript"/>
              </w:rPr>
              <w:t>2</w:t>
            </w:r>
            <w:r>
              <w:t>、颗粒物、林格曼黑度执行《锅炉大气污染物排放标准》（</w:t>
            </w:r>
            <w:r>
              <w:t>GB13271-2014</w:t>
            </w:r>
            <w:r>
              <w:t>）表</w:t>
            </w:r>
            <w:r>
              <w:t>2NOx</w:t>
            </w:r>
            <w:r>
              <w:t>执行《关于印发〈哈密市</w:t>
            </w:r>
            <w:r>
              <w:t>2022</w:t>
            </w:r>
            <w:r>
              <w:t>年度夏秋季大气污染防治</w:t>
            </w:r>
            <w:r>
              <w:t>“</w:t>
            </w:r>
            <w:r>
              <w:t>冬病夏治</w:t>
            </w:r>
            <w:r>
              <w:t>”</w:t>
            </w:r>
            <w:r>
              <w:t>工作方案〉的通知》（哈市环委办〔</w:t>
            </w:r>
            <w:r>
              <w:t>2022</w:t>
            </w:r>
            <w:r>
              <w:t>〕</w:t>
            </w:r>
            <w:r>
              <w:t>12</w:t>
            </w:r>
            <w:r>
              <w:t>号）</w:t>
            </w:r>
          </w:p>
        </w:tc>
      </w:tr>
      <w:tr w:rsidR="003E78AB" w14:paraId="10B3A3F7" w14:textId="77777777">
        <w:trPr>
          <w:trHeight w:val="567"/>
          <w:jc w:val="center"/>
        </w:trPr>
        <w:tc>
          <w:tcPr>
            <w:tcW w:w="376" w:type="pct"/>
            <w:vMerge/>
            <w:vAlign w:val="center"/>
          </w:tcPr>
          <w:p w14:paraId="7C3B700A" w14:textId="77777777" w:rsidR="003E78AB" w:rsidRDefault="003E78AB">
            <w:pPr>
              <w:pStyle w:val="aff6"/>
              <w:topLinePunct/>
            </w:pPr>
          </w:p>
        </w:tc>
        <w:tc>
          <w:tcPr>
            <w:tcW w:w="768" w:type="pct"/>
            <w:vAlign w:val="center"/>
          </w:tcPr>
          <w:p w14:paraId="0F461A2F" w14:textId="77777777" w:rsidR="003E78AB" w:rsidRDefault="00010BF9">
            <w:pPr>
              <w:pStyle w:val="aff6"/>
              <w:topLinePunct/>
            </w:pPr>
            <w:r>
              <w:t>无组织废气</w:t>
            </w:r>
          </w:p>
        </w:tc>
        <w:tc>
          <w:tcPr>
            <w:tcW w:w="2076" w:type="pct"/>
            <w:vAlign w:val="center"/>
          </w:tcPr>
          <w:p w14:paraId="0F673BF1" w14:textId="77777777" w:rsidR="003E78AB" w:rsidRDefault="00010BF9">
            <w:pPr>
              <w:pStyle w:val="aff6"/>
              <w:topLinePunct/>
            </w:pPr>
            <w:r>
              <w:t>加强</w:t>
            </w:r>
            <w:r>
              <w:rPr>
                <w:rFonts w:hint="eastAsia"/>
              </w:rPr>
              <w:t>封闭密闭管控，定期泄漏与检测。</w:t>
            </w:r>
          </w:p>
        </w:tc>
        <w:tc>
          <w:tcPr>
            <w:tcW w:w="1778" w:type="pct"/>
            <w:vAlign w:val="center"/>
          </w:tcPr>
          <w:p w14:paraId="06734F3E" w14:textId="77777777" w:rsidR="003E78AB" w:rsidRDefault="00010BF9">
            <w:pPr>
              <w:pStyle w:val="aff6"/>
              <w:topLinePunct/>
            </w:pPr>
            <w:r>
              <w:t>《大气污染物综合排放标准》（</w:t>
            </w:r>
            <w:r>
              <w:t>GB16297-1996</w:t>
            </w:r>
            <w:r>
              <w:t>）</w:t>
            </w:r>
            <w:r>
              <w:rPr>
                <w:rFonts w:hint="eastAsia"/>
              </w:rPr>
              <w:t>、</w:t>
            </w:r>
            <w:r>
              <w:t>《挥发性有机物无组织排放控制标准</w:t>
            </w:r>
            <w:r>
              <w:rPr>
                <w:rFonts w:hint="eastAsia"/>
              </w:rPr>
              <w:t>（试行）</w:t>
            </w:r>
            <w:r>
              <w:t>》（</w:t>
            </w:r>
            <w:r>
              <w:t>GB37822-2019</w:t>
            </w:r>
            <w:r>
              <w:t>）</w:t>
            </w:r>
          </w:p>
        </w:tc>
      </w:tr>
      <w:tr w:rsidR="003E78AB" w14:paraId="62315848" w14:textId="77777777">
        <w:trPr>
          <w:trHeight w:val="567"/>
          <w:jc w:val="center"/>
        </w:trPr>
        <w:tc>
          <w:tcPr>
            <w:tcW w:w="376" w:type="pct"/>
            <w:vMerge w:val="restart"/>
            <w:vAlign w:val="center"/>
          </w:tcPr>
          <w:p w14:paraId="56A5F52C" w14:textId="77777777" w:rsidR="003E78AB" w:rsidRDefault="00010BF9">
            <w:pPr>
              <w:pStyle w:val="aff6"/>
              <w:topLinePunct/>
            </w:pPr>
            <w:r>
              <w:t>废水处理措施</w:t>
            </w:r>
          </w:p>
        </w:tc>
        <w:tc>
          <w:tcPr>
            <w:tcW w:w="768" w:type="pct"/>
            <w:vAlign w:val="center"/>
          </w:tcPr>
          <w:p w14:paraId="37BB8CE6" w14:textId="77777777" w:rsidR="003E78AB" w:rsidRDefault="00010BF9">
            <w:pPr>
              <w:pStyle w:val="aff6"/>
              <w:topLinePunct/>
            </w:pPr>
            <w:r>
              <w:t>生产废水</w:t>
            </w:r>
          </w:p>
        </w:tc>
        <w:tc>
          <w:tcPr>
            <w:tcW w:w="2076" w:type="pct"/>
            <w:vAlign w:val="center"/>
          </w:tcPr>
          <w:p w14:paraId="31192D52" w14:textId="77777777" w:rsidR="003E78AB" w:rsidRDefault="00010BF9">
            <w:pPr>
              <w:pStyle w:val="aff6"/>
              <w:topLinePunct/>
              <w:rPr>
                <w:lang w:val="zh-CN"/>
              </w:rPr>
            </w:pPr>
            <w:r>
              <w:t>工艺废气处理废水</w:t>
            </w:r>
            <w:r>
              <w:rPr>
                <w:rFonts w:hint="eastAsia"/>
              </w:rPr>
              <w:t>经蒸发冷凝后回用于淋洗补水配碱。</w:t>
            </w:r>
          </w:p>
        </w:tc>
        <w:tc>
          <w:tcPr>
            <w:tcW w:w="1778" w:type="pct"/>
            <w:vAlign w:val="center"/>
          </w:tcPr>
          <w:p w14:paraId="2DEC6D7E" w14:textId="77777777" w:rsidR="003E78AB" w:rsidRDefault="00010BF9">
            <w:pPr>
              <w:pStyle w:val="aff6"/>
              <w:topLinePunct/>
            </w:pPr>
            <w:r>
              <w:rPr>
                <w:rFonts w:hint="eastAsia"/>
              </w:rPr>
              <w:t>蒸发结晶釜，结晶盐属性判别和合规处置</w:t>
            </w:r>
          </w:p>
        </w:tc>
      </w:tr>
      <w:tr w:rsidR="003E78AB" w14:paraId="3A7364C5" w14:textId="77777777">
        <w:trPr>
          <w:trHeight w:val="567"/>
          <w:jc w:val="center"/>
        </w:trPr>
        <w:tc>
          <w:tcPr>
            <w:tcW w:w="376" w:type="pct"/>
            <w:vMerge/>
            <w:vAlign w:val="center"/>
          </w:tcPr>
          <w:p w14:paraId="1A14B65F" w14:textId="77777777" w:rsidR="003E78AB" w:rsidRDefault="003E78AB">
            <w:pPr>
              <w:pStyle w:val="aff6"/>
              <w:topLinePunct/>
            </w:pPr>
          </w:p>
        </w:tc>
        <w:tc>
          <w:tcPr>
            <w:tcW w:w="768" w:type="pct"/>
            <w:vAlign w:val="center"/>
          </w:tcPr>
          <w:p w14:paraId="27A529CA" w14:textId="77777777" w:rsidR="003E78AB" w:rsidRDefault="00010BF9">
            <w:pPr>
              <w:pStyle w:val="aff6"/>
              <w:topLinePunct/>
            </w:pPr>
            <w:r>
              <w:t>实验废水</w:t>
            </w:r>
          </w:p>
        </w:tc>
        <w:tc>
          <w:tcPr>
            <w:tcW w:w="2076" w:type="pct"/>
            <w:vAlign w:val="center"/>
          </w:tcPr>
          <w:p w14:paraId="0640E49B" w14:textId="77777777" w:rsidR="003E78AB" w:rsidRDefault="00010BF9">
            <w:pPr>
              <w:pStyle w:val="aff6"/>
              <w:topLinePunct/>
            </w:pPr>
            <w:r>
              <w:t>经生产车间</w:t>
            </w:r>
            <w:r>
              <w:t>15m</w:t>
            </w:r>
            <w:r>
              <w:rPr>
                <w:vertAlign w:val="superscript"/>
              </w:rPr>
              <w:t>3</w:t>
            </w:r>
            <w:r>
              <w:t>电解液事故罐收集后回用于生产</w:t>
            </w:r>
            <w:r>
              <w:rPr>
                <w:rFonts w:hint="eastAsia"/>
              </w:rPr>
              <w:t>。</w:t>
            </w:r>
          </w:p>
        </w:tc>
        <w:tc>
          <w:tcPr>
            <w:tcW w:w="1778" w:type="pct"/>
            <w:vAlign w:val="center"/>
          </w:tcPr>
          <w:p w14:paraId="028EC6F5" w14:textId="77777777" w:rsidR="003E78AB" w:rsidRDefault="00010BF9">
            <w:pPr>
              <w:pStyle w:val="aff6"/>
              <w:topLinePunct/>
            </w:pPr>
            <w:r>
              <w:t>15m</w:t>
            </w:r>
            <w:r>
              <w:rPr>
                <w:vertAlign w:val="superscript"/>
              </w:rPr>
              <w:t>3</w:t>
            </w:r>
            <w:r>
              <w:t>电解液事故罐</w:t>
            </w:r>
            <w:r>
              <w:rPr>
                <w:rFonts w:hint="eastAsia"/>
              </w:rPr>
              <w:t>+</w:t>
            </w:r>
            <w:r>
              <w:rPr>
                <w:rFonts w:hint="eastAsia"/>
              </w:rPr>
              <w:t>收集管道</w:t>
            </w:r>
          </w:p>
        </w:tc>
      </w:tr>
      <w:tr w:rsidR="003E78AB" w14:paraId="63C31DA6" w14:textId="77777777">
        <w:trPr>
          <w:trHeight w:val="567"/>
          <w:jc w:val="center"/>
        </w:trPr>
        <w:tc>
          <w:tcPr>
            <w:tcW w:w="376" w:type="pct"/>
            <w:vMerge/>
            <w:vAlign w:val="center"/>
          </w:tcPr>
          <w:p w14:paraId="77EDA325" w14:textId="77777777" w:rsidR="003E78AB" w:rsidRDefault="003E78AB">
            <w:pPr>
              <w:pStyle w:val="aff6"/>
              <w:topLinePunct/>
            </w:pPr>
          </w:p>
        </w:tc>
        <w:tc>
          <w:tcPr>
            <w:tcW w:w="768" w:type="pct"/>
            <w:shd w:val="clear" w:color="auto" w:fill="auto"/>
            <w:vAlign w:val="center"/>
          </w:tcPr>
          <w:p w14:paraId="7298C184" w14:textId="77777777" w:rsidR="003E78AB" w:rsidRDefault="00010BF9">
            <w:pPr>
              <w:pStyle w:val="aff6"/>
              <w:topLinePunct/>
              <w:rPr>
                <w:lang w:val="zh-CN"/>
              </w:rPr>
            </w:pPr>
            <w:r>
              <w:rPr>
                <w:rFonts w:hint="eastAsia"/>
              </w:rPr>
              <w:t>公辅废水</w:t>
            </w:r>
          </w:p>
        </w:tc>
        <w:tc>
          <w:tcPr>
            <w:tcW w:w="2076" w:type="pct"/>
            <w:shd w:val="clear" w:color="auto" w:fill="auto"/>
            <w:vAlign w:val="center"/>
          </w:tcPr>
          <w:p w14:paraId="6944E78D" w14:textId="77777777" w:rsidR="003E78AB" w:rsidRDefault="00010BF9">
            <w:pPr>
              <w:pStyle w:val="aff6"/>
              <w:topLinePunct/>
              <w:rPr>
                <w:lang w:val="zh-CN"/>
              </w:rPr>
            </w:pPr>
            <w:r>
              <w:rPr>
                <w:rFonts w:hint="eastAsia"/>
              </w:rPr>
              <w:t>地面冲洗水、</w:t>
            </w:r>
            <w:r>
              <w:t>软水制备及纯水制备排浓水、锅炉排水经厂内污水管道收集经厂区总排口排入园区污水厂进一步处理</w:t>
            </w:r>
            <w:r>
              <w:rPr>
                <w:rFonts w:hint="eastAsia"/>
              </w:rPr>
              <w:t>。</w:t>
            </w:r>
          </w:p>
        </w:tc>
        <w:tc>
          <w:tcPr>
            <w:tcW w:w="1778" w:type="pct"/>
            <w:vMerge w:val="restart"/>
            <w:vAlign w:val="center"/>
          </w:tcPr>
          <w:p w14:paraId="1373FD25" w14:textId="77777777" w:rsidR="003E78AB" w:rsidRDefault="00010BF9">
            <w:pPr>
              <w:pStyle w:val="aff6"/>
              <w:topLinePunct/>
            </w:pPr>
            <w:r>
              <w:t>《无机化学工业污染物排放标准》（</w:t>
            </w:r>
            <w:r>
              <w:t>GB31573-2015</w:t>
            </w:r>
            <w:r>
              <w:t>）间接排放标准，同时需满足园区污水处理厂纳管要求即《污水综合排放标准》（</w:t>
            </w:r>
            <w:r>
              <w:t>GB8978-1996</w:t>
            </w:r>
            <w:r>
              <w:t>）中三级标准限值</w:t>
            </w:r>
          </w:p>
        </w:tc>
      </w:tr>
      <w:tr w:rsidR="003E78AB" w14:paraId="1858AF62" w14:textId="77777777">
        <w:trPr>
          <w:trHeight w:val="567"/>
          <w:jc w:val="center"/>
        </w:trPr>
        <w:tc>
          <w:tcPr>
            <w:tcW w:w="376" w:type="pct"/>
            <w:vMerge/>
            <w:vAlign w:val="center"/>
          </w:tcPr>
          <w:p w14:paraId="4F5565C3" w14:textId="77777777" w:rsidR="003E78AB" w:rsidRDefault="003E78AB">
            <w:pPr>
              <w:pStyle w:val="aff6"/>
              <w:topLinePunct/>
            </w:pPr>
          </w:p>
        </w:tc>
        <w:tc>
          <w:tcPr>
            <w:tcW w:w="768" w:type="pct"/>
            <w:shd w:val="clear" w:color="auto" w:fill="auto"/>
            <w:vAlign w:val="center"/>
          </w:tcPr>
          <w:p w14:paraId="1A2DB85E" w14:textId="77777777" w:rsidR="003E78AB" w:rsidRDefault="00010BF9">
            <w:pPr>
              <w:pStyle w:val="aff6"/>
              <w:topLinePunct/>
            </w:pPr>
            <w:r>
              <w:rPr>
                <w:lang w:val="zh-CN"/>
              </w:rPr>
              <w:t>生活污水</w:t>
            </w:r>
          </w:p>
        </w:tc>
        <w:tc>
          <w:tcPr>
            <w:tcW w:w="2076" w:type="pct"/>
            <w:shd w:val="clear" w:color="auto" w:fill="auto"/>
            <w:vAlign w:val="center"/>
          </w:tcPr>
          <w:p w14:paraId="6706AF69" w14:textId="77777777" w:rsidR="003E78AB" w:rsidRDefault="00010BF9">
            <w:pPr>
              <w:pStyle w:val="aff6"/>
              <w:topLinePunct/>
            </w:pPr>
            <w:r>
              <w:t>生活污水经预处理经厂区总排口排入园区污水厂进一步处理</w:t>
            </w:r>
            <w:r>
              <w:rPr>
                <w:rFonts w:hint="eastAsia"/>
              </w:rPr>
              <w:t>。</w:t>
            </w:r>
          </w:p>
        </w:tc>
        <w:tc>
          <w:tcPr>
            <w:tcW w:w="1778" w:type="pct"/>
            <w:vMerge/>
            <w:vAlign w:val="center"/>
          </w:tcPr>
          <w:p w14:paraId="06843101" w14:textId="77777777" w:rsidR="003E78AB" w:rsidRDefault="003E78AB">
            <w:pPr>
              <w:pStyle w:val="aff6"/>
              <w:topLinePunct/>
            </w:pPr>
          </w:p>
        </w:tc>
      </w:tr>
      <w:tr w:rsidR="003E78AB" w14:paraId="0DD4ED4B" w14:textId="77777777">
        <w:trPr>
          <w:trHeight w:val="567"/>
          <w:jc w:val="center"/>
        </w:trPr>
        <w:tc>
          <w:tcPr>
            <w:tcW w:w="1145" w:type="pct"/>
            <w:gridSpan w:val="2"/>
            <w:vAlign w:val="center"/>
          </w:tcPr>
          <w:p w14:paraId="1D4D0909" w14:textId="77777777" w:rsidR="003E78AB" w:rsidRDefault="00010BF9">
            <w:pPr>
              <w:pStyle w:val="aff6"/>
              <w:topLinePunct/>
            </w:pPr>
            <w:r>
              <w:t>地下水污染防治</w:t>
            </w:r>
          </w:p>
        </w:tc>
        <w:tc>
          <w:tcPr>
            <w:tcW w:w="2076" w:type="pct"/>
            <w:vAlign w:val="center"/>
          </w:tcPr>
          <w:p w14:paraId="2F606E38" w14:textId="77777777" w:rsidR="003E78AB" w:rsidRDefault="00010BF9">
            <w:pPr>
              <w:pStyle w:val="aff6"/>
              <w:topLinePunct/>
            </w:pPr>
            <w:r>
              <w:t>厂区按照要求进行分区防渗，并设置</w:t>
            </w:r>
            <w:r>
              <w:t>3</w:t>
            </w:r>
            <w:r>
              <w:t>口地下水观测井。</w:t>
            </w:r>
          </w:p>
        </w:tc>
        <w:tc>
          <w:tcPr>
            <w:tcW w:w="1778" w:type="pct"/>
            <w:vAlign w:val="center"/>
          </w:tcPr>
          <w:p w14:paraId="21712CEB" w14:textId="77777777" w:rsidR="003E78AB" w:rsidRDefault="00010BF9">
            <w:pPr>
              <w:pStyle w:val="aff6"/>
              <w:topLinePunct/>
            </w:pPr>
            <w:r>
              <w:t>查看环境监理报告及防渗防腐落实情况各类材料</w:t>
            </w:r>
          </w:p>
        </w:tc>
      </w:tr>
      <w:tr w:rsidR="003E78AB" w14:paraId="6DAE6E97" w14:textId="77777777">
        <w:trPr>
          <w:trHeight w:val="567"/>
          <w:jc w:val="center"/>
        </w:trPr>
        <w:tc>
          <w:tcPr>
            <w:tcW w:w="1145" w:type="pct"/>
            <w:gridSpan w:val="2"/>
            <w:vMerge w:val="restart"/>
            <w:vAlign w:val="center"/>
          </w:tcPr>
          <w:p w14:paraId="3CA01962" w14:textId="77777777" w:rsidR="003E78AB" w:rsidRDefault="00010BF9">
            <w:pPr>
              <w:pStyle w:val="aff6"/>
              <w:topLinePunct/>
            </w:pPr>
            <w:r>
              <w:t>固体废物处置措施</w:t>
            </w:r>
          </w:p>
        </w:tc>
        <w:tc>
          <w:tcPr>
            <w:tcW w:w="2076" w:type="pct"/>
            <w:vAlign w:val="center"/>
          </w:tcPr>
          <w:p w14:paraId="64FA94D9" w14:textId="77777777" w:rsidR="003E78AB" w:rsidRDefault="00010BF9">
            <w:pPr>
              <w:pStyle w:val="aff6"/>
              <w:topLinePunct/>
              <w:rPr>
                <w:lang w:val="zh-CN"/>
              </w:rPr>
            </w:pPr>
            <w:r>
              <w:t>一座</w:t>
            </w:r>
            <w:r>
              <w:rPr>
                <w:rFonts w:hint="eastAsia"/>
              </w:rPr>
              <w:t>60</w:t>
            </w:r>
            <w:r>
              <w:t>m</w:t>
            </w:r>
            <w:r>
              <w:rPr>
                <w:vertAlign w:val="superscript"/>
              </w:rPr>
              <w:t>2</w:t>
            </w:r>
            <w:r>
              <w:t>危险废物暂存间，各项危险废物分类收集后委托有资质的单位定期清运处置</w:t>
            </w:r>
            <w:r>
              <w:rPr>
                <w:rFonts w:hint="eastAsia"/>
              </w:rPr>
              <w:t>。</w:t>
            </w:r>
          </w:p>
        </w:tc>
        <w:tc>
          <w:tcPr>
            <w:tcW w:w="1778" w:type="pct"/>
            <w:vAlign w:val="center"/>
          </w:tcPr>
          <w:p w14:paraId="7C2D3746" w14:textId="77777777" w:rsidR="003E78AB" w:rsidRDefault="00010BF9">
            <w:pPr>
              <w:pStyle w:val="aff6"/>
              <w:topLinePunct/>
            </w:pPr>
            <w:r>
              <w:t>《危险废物贮存污染控制标准》（</w:t>
            </w:r>
            <w:r>
              <w:t>GB18597-2023</w:t>
            </w:r>
            <w:r>
              <w:t>）</w:t>
            </w:r>
          </w:p>
        </w:tc>
      </w:tr>
      <w:tr w:rsidR="003E78AB" w14:paraId="6CEFF79A" w14:textId="77777777">
        <w:trPr>
          <w:trHeight w:val="567"/>
          <w:jc w:val="center"/>
        </w:trPr>
        <w:tc>
          <w:tcPr>
            <w:tcW w:w="1145" w:type="pct"/>
            <w:gridSpan w:val="2"/>
            <w:vMerge/>
            <w:vAlign w:val="center"/>
          </w:tcPr>
          <w:p w14:paraId="57D581ED" w14:textId="77777777" w:rsidR="003E78AB" w:rsidRDefault="003E78AB">
            <w:pPr>
              <w:pStyle w:val="aff6"/>
              <w:topLinePunct/>
            </w:pPr>
          </w:p>
        </w:tc>
        <w:tc>
          <w:tcPr>
            <w:tcW w:w="2076" w:type="pct"/>
            <w:vAlign w:val="center"/>
          </w:tcPr>
          <w:p w14:paraId="34E650AB" w14:textId="77777777" w:rsidR="003E78AB" w:rsidRDefault="00010BF9">
            <w:pPr>
              <w:pStyle w:val="aff6"/>
              <w:topLinePunct/>
            </w:pPr>
            <w:r>
              <w:rPr>
                <w:rFonts w:hint="eastAsia"/>
              </w:rPr>
              <w:t>一座</w:t>
            </w:r>
            <w:r>
              <w:rPr>
                <w:rFonts w:hint="eastAsia"/>
              </w:rPr>
              <w:t>60</w:t>
            </w:r>
            <w:r>
              <w:t>m</w:t>
            </w:r>
            <w:r>
              <w:rPr>
                <w:vertAlign w:val="superscript"/>
              </w:rPr>
              <w:t>2</w:t>
            </w:r>
            <w:r>
              <w:rPr>
                <w:rFonts w:hint="eastAsia"/>
              </w:rPr>
              <w:t>一般固废</w:t>
            </w:r>
            <w:r>
              <w:t>暂存间</w:t>
            </w:r>
            <w:r>
              <w:rPr>
                <w:rFonts w:hint="eastAsia"/>
              </w:rPr>
              <w:t>。</w:t>
            </w:r>
          </w:p>
        </w:tc>
        <w:tc>
          <w:tcPr>
            <w:tcW w:w="1778" w:type="pct"/>
            <w:vAlign w:val="center"/>
          </w:tcPr>
          <w:p w14:paraId="02B1755C" w14:textId="77777777" w:rsidR="003E78AB" w:rsidRDefault="00010BF9">
            <w:pPr>
              <w:pStyle w:val="aff6"/>
              <w:topLinePunct/>
            </w:pPr>
            <w:r>
              <w:t>按照环评要求处置</w:t>
            </w:r>
          </w:p>
        </w:tc>
      </w:tr>
      <w:tr w:rsidR="003E78AB" w14:paraId="5F1ADCCC" w14:textId="77777777">
        <w:trPr>
          <w:trHeight w:val="567"/>
          <w:jc w:val="center"/>
        </w:trPr>
        <w:tc>
          <w:tcPr>
            <w:tcW w:w="1145" w:type="pct"/>
            <w:gridSpan w:val="2"/>
            <w:vMerge/>
            <w:vAlign w:val="center"/>
          </w:tcPr>
          <w:p w14:paraId="4CFABD17" w14:textId="77777777" w:rsidR="003E78AB" w:rsidRDefault="003E78AB">
            <w:pPr>
              <w:pStyle w:val="aff6"/>
              <w:topLinePunct/>
            </w:pPr>
          </w:p>
        </w:tc>
        <w:tc>
          <w:tcPr>
            <w:tcW w:w="2076" w:type="pct"/>
            <w:vAlign w:val="center"/>
          </w:tcPr>
          <w:p w14:paraId="4A350CB9" w14:textId="77777777" w:rsidR="003E78AB" w:rsidRDefault="00010BF9">
            <w:pPr>
              <w:pStyle w:val="aff6"/>
              <w:topLinePunct/>
            </w:pPr>
            <w:r>
              <w:t>生活垃圾由环卫部门清运处置</w:t>
            </w:r>
            <w:r>
              <w:rPr>
                <w:rFonts w:hint="eastAsia"/>
              </w:rPr>
              <w:t>。</w:t>
            </w:r>
          </w:p>
        </w:tc>
        <w:tc>
          <w:tcPr>
            <w:tcW w:w="1778" w:type="pct"/>
            <w:vAlign w:val="center"/>
          </w:tcPr>
          <w:p w14:paraId="7035E83A" w14:textId="77777777" w:rsidR="003E78AB" w:rsidRDefault="00010BF9">
            <w:pPr>
              <w:pStyle w:val="aff6"/>
              <w:topLinePunct/>
            </w:pPr>
            <w:r>
              <w:t>按照环评要求处置</w:t>
            </w:r>
          </w:p>
        </w:tc>
      </w:tr>
      <w:tr w:rsidR="003E78AB" w14:paraId="27F19AD5" w14:textId="77777777">
        <w:trPr>
          <w:trHeight w:val="567"/>
          <w:jc w:val="center"/>
        </w:trPr>
        <w:tc>
          <w:tcPr>
            <w:tcW w:w="1145" w:type="pct"/>
            <w:gridSpan w:val="2"/>
            <w:vAlign w:val="center"/>
          </w:tcPr>
          <w:p w14:paraId="24957553" w14:textId="77777777" w:rsidR="003E78AB" w:rsidRDefault="00010BF9">
            <w:pPr>
              <w:pStyle w:val="aff6"/>
              <w:topLinePunct/>
            </w:pPr>
            <w:r>
              <w:t>噪声治理措施</w:t>
            </w:r>
          </w:p>
        </w:tc>
        <w:tc>
          <w:tcPr>
            <w:tcW w:w="2076" w:type="pct"/>
            <w:vAlign w:val="center"/>
          </w:tcPr>
          <w:p w14:paraId="14C2A442" w14:textId="77777777" w:rsidR="003E78AB" w:rsidRDefault="00010BF9">
            <w:pPr>
              <w:pStyle w:val="aff6"/>
              <w:topLinePunct/>
            </w:pPr>
            <w:r>
              <w:t>采用选用低噪声设备，消声、吸声、隔声、减振等治理措施</w:t>
            </w:r>
            <w:r>
              <w:rPr>
                <w:rFonts w:hint="eastAsia"/>
              </w:rPr>
              <w:t>。</w:t>
            </w:r>
          </w:p>
        </w:tc>
        <w:tc>
          <w:tcPr>
            <w:tcW w:w="1778" w:type="pct"/>
            <w:vAlign w:val="center"/>
          </w:tcPr>
          <w:p w14:paraId="0A2426CF" w14:textId="77777777" w:rsidR="003E78AB" w:rsidRDefault="00010BF9">
            <w:pPr>
              <w:pStyle w:val="aff6"/>
              <w:topLinePunct/>
            </w:pPr>
            <w:r>
              <w:t>《工业企业厂界环境噪声排放标准》</w:t>
            </w:r>
            <w:r>
              <w:t>(GB12348-2008)3</w:t>
            </w:r>
            <w:r>
              <w:t>类标准</w:t>
            </w:r>
          </w:p>
        </w:tc>
      </w:tr>
      <w:tr w:rsidR="003E78AB" w14:paraId="44DAEAF0" w14:textId="77777777">
        <w:trPr>
          <w:trHeight w:val="567"/>
          <w:jc w:val="center"/>
        </w:trPr>
        <w:tc>
          <w:tcPr>
            <w:tcW w:w="1145" w:type="pct"/>
            <w:gridSpan w:val="2"/>
            <w:vMerge w:val="restart"/>
            <w:vAlign w:val="center"/>
          </w:tcPr>
          <w:p w14:paraId="7ACDA9BA" w14:textId="77777777" w:rsidR="003E78AB" w:rsidRDefault="00010BF9">
            <w:pPr>
              <w:pStyle w:val="aff6"/>
              <w:topLinePunct/>
            </w:pPr>
            <w:r>
              <w:t>风险应急设施</w:t>
            </w:r>
          </w:p>
        </w:tc>
        <w:tc>
          <w:tcPr>
            <w:tcW w:w="2076" w:type="pct"/>
            <w:vAlign w:val="center"/>
          </w:tcPr>
          <w:p w14:paraId="3EF5484B" w14:textId="77777777" w:rsidR="003E78AB" w:rsidRDefault="00010BF9">
            <w:pPr>
              <w:pStyle w:val="aff6"/>
              <w:topLinePunct/>
            </w:pPr>
            <w:r>
              <w:t>编制突发环境事件应急预案</w:t>
            </w:r>
            <w:r>
              <w:rPr>
                <w:rFonts w:hint="eastAsia"/>
              </w:rPr>
              <w:t>。</w:t>
            </w:r>
          </w:p>
        </w:tc>
        <w:tc>
          <w:tcPr>
            <w:tcW w:w="1778" w:type="pct"/>
            <w:vAlign w:val="center"/>
          </w:tcPr>
          <w:p w14:paraId="62E34BAC" w14:textId="77777777" w:rsidR="003E78AB" w:rsidRDefault="00010BF9">
            <w:pPr>
              <w:pStyle w:val="aff6"/>
              <w:topLinePunct/>
            </w:pPr>
            <w:r>
              <w:t>编制突发环境事件应急预案并在当地生态环境部门备案</w:t>
            </w:r>
          </w:p>
        </w:tc>
      </w:tr>
      <w:tr w:rsidR="003E78AB" w14:paraId="46216CBB" w14:textId="77777777">
        <w:trPr>
          <w:trHeight w:val="567"/>
          <w:jc w:val="center"/>
        </w:trPr>
        <w:tc>
          <w:tcPr>
            <w:tcW w:w="1145" w:type="pct"/>
            <w:gridSpan w:val="2"/>
            <w:vMerge/>
            <w:vAlign w:val="center"/>
          </w:tcPr>
          <w:p w14:paraId="1D73D0C8" w14:textId="77777777" w:rsidR="003E78AB" w:rsidRDefault="003E78AB">
            <w:pPr>
              <w:pStyle w:val="aff6"/>
              <w:topLinePunct/>
            </w:pPr>
          </w:p>
        </w:tc>
        <w:tc>
          <w:tcPr>
            <w:tcW w:w="2076" w:type="pct"/>
            <w:vAlign w:val="center"/>
          </w:tcPr>
          <w:p w14:paraId="7F1D4917" w14:textId="77777777" w:rsidR="003E78AB" w:rsidRDefault="00010BF9">
            <w:pPr>
              <w:pStyle w:val="aff6"/>
              <w:topLinePunct/>
            </w:pPr>
            <w:r>
              <w:t>厂区</w:t>
            </w:r>
            <w:r>
              <w:rPr>
                <w:rFonts w:hint="eastAsia"/>
              </w:rPr>
              <w:t>东南处</w:t>
            </w:r>
            <w:r>
              <w:t>设置一座</w:t>
            </w:r>
            <w:r>
              <w:rPr>
                <w:rFonts w:hint="eastAsia"/>
              </w:rPr>
              <w:t>9</w:t>
            </w:r>
            <w:r>
              <w:t>00m</w:t>
            </w:r>
            <w:r>
              <w:rPr>
                <w:vertAlign w:val="superscript"/>
              </w:rPr>
              <w:t>3</w:t>
            </w:r>
            <w:r>
              <w:t>事故池</w:t>
            </w:r>
            <w:r>
              <w:rPr>
                <w:rFonts w:hint="eastAsia"/>
              </w:rPr>
              <w:t>和一座</w:t>
            </w:r>
            <w:r>
              <w:rPr>
                <w:rFonts w:hint="eastAsia"/>
              </w:rPr>
              <w:t>110m</w:t>
            </w:r>
            <w:r>
              <w:rPr>
                <w:rFonts w:hint="eastAsia"/>
                <w:vertAlign w:val="superscript"/>
              </w:rPr>
              <w:t>3</w:t>
            </w:r>
            <w:r>
              <w:rPr>
                <w:rFonts w:hint="eastAsia"/>
              </w:rPr>
              <w:t>初期雨水收集池。</w:t>
            </w:r>
          </w:p>
        </w:tc>
        <w:tc>
          <w:tcPr>
            <w:tcW w:w="1778" w:type="pct"/>
            <w:vAlign w:val="center"/>
          </w:tcPr>
          <w:p w14:paraId="2189FFA7" w14:textId="77777777" w:rsidR="003E78AB" w:rsidRDefault="00010BF9">
            <w:pPr>
              <w:pStyle w:val="aff6"/>
              <w:topLinePunct/>
            </w:pPr>
            <w:r>
              <w:t>查看环境监理报告及防渗防腐落实情况各类材料</w:t>
            </w:r>
          </w:p>
        </w:tc>
      </w:tr>
      <w:tr w:rsidR="003E78AB" w14:paraId="5FDA39A8" w14:textId="77777777">
        <w:trPr>
          <w:trHeight w:val="567"/>
          <w:jc w:val="center"/>
        </w:trPr>
        <w:tc>
          <w:tcPr>
            <w:tcW w:w="1145" w:type="pct"/>
            <w:gridSpan w:val="2"/>
            <w:vMerge/>
            <w:vAlign w:val="center"/>
          </w:tcPr>
          <w:p w14:paraId="0B550B38" w14:textId="77777777" w:rsidR="003E78AB" w:rsidRDefault="003E78AB">
            <w:pPr>
              <w:pStyle w:val="aff6"/>
              <w:topLinePunct/>
            </w:pPr>
          </w:p>
        </w:tc>
        <w:tc>
          <w:tcPr>
            <w:tcW w:w="2076" w:type="pct"/>
            <w:vAlign w:val="center"/>
          </w:tcPr>
          <w:p w14:paraId="589C092E" w14:textId="77777777" w:rsidR="003E78AB" w:rsidRDefault="00010BF9">
            <w:pPr>
              <w:pStyle w:val="aff6"/>
              <w:topLinePunct/>
            </w:pPr>
            <w:r>
              <w:t>建立</w:t>
            </w:r>
            <w:r>
              <w:t>“</w:t>
            </w:r>
            <w:r>
              <w:t>单元</w:t>
            </w:r>
            <w:r>
              <w:t>—</w:t>
            </w:r>
            <w:r>
              <w:t>厂区</w:t>
            </w:r>
            <w:r>
              <w:t>—</w:t>
            </w:r>
            <w:r>
              <w:t>园区</w:t>
            </w:r>
            <w:r>
              <w:t>”</w:t>
            </w:r>
            <w:r>
              <w:t>环境风险防控体系，</w:t>
            </w:r>
            <w:r>
              <w:rPr>
                <w:rFonts w:hint="eastAsia"/>
              </w:rPr>
              <w:t>液体库和成品罐区域为半地下式，</w:t>
            </w:r>
            <w:r>
              <w:t>配</w:t>
            </w:r>
            <w:r>
              <w:rPr>
                <w:rFonts w:hint="eastAsia"/>
              </w:rPr>
              <w:t>套应急泵，火灾自动报警系统、消防设施，应急救援器材及检测仪器，应急救援、防雷电、培训、演练</w:t>
            </w:r>
            <w:r>
              <w:t>。</w:t>
            </w:r>
          </w:p>
        </w:tc>
        <w:tc>
          <w:tcPr>
            <w:tcW w:w="1778" w:type="pct"/>
            <w:vAlign w:val="center"/>
          </w:tcPr>
          <w:p w14:paraId="75191F7F" w14:textId="77777777" w:rsidR="003E78AB" w:rsidRDefault="00010BF9">
            <w:pPr>
              <w:pStyle w:val="aff6"/>
              <w:topLinePunct/>
            </w:pPr>
            <w:r>
              <w:t>根据已备案的突发环境事件应急预案内容核实</w:t>
            </w:r>
          </w:p>
        </w:tc>
      </w:tr>
    </w:tbl>
    <w:p w14:paraId="51E2B8DF" w14:textId="77777777" w:rsidR="003E78AB" w:rsidRDefault="00010BF9">
      <w:pPr>
        <w:pStyle w:val="10"/>
        <w:keepNext w:val="0"/>
        <w:spacing w:before="156" w:after="156" w:line="520" w:lineRule="exact"/>
        <w:jc w:val="center"/>
        <w:rPr>
          <w:sz w:val="44"/>
          <w:szCs w:val="24"/>
        </w:rPr>
      </w:pPr>
      <w:bookmarkStart w:id="517" w:name="_Toc10425"/>
      <w:bookmarkStart w:id="518" w:name="_Toc8025"/>
      <w:bookmarkStart w:id="519" w:name="_Toc309715508"/>
      <w:bookmarkStart w:id="520" w:name="_Toc454899423"/>
      <w:r>
        <w:rPr>
          <w:sz w:val="44"/>
          <w:szCs w:val="24"/>
        </w:rPr>
        <w:br w:type="column"/>
      </w:r>
      <w:r>
        <w:rPr>
          <w:rFonts w:eastAsia="黑体" w:hint="eastAsia"/>
          <w:bCs/>
          <w:snapToGrid w:val="0"/>
          <w:spacing w:val="2"/>
          <w:kern w:val="44"/>
          <w:sz w:val="35"/>
          <w:szCs w:val="35"/>
        </w:rPr>
        <w:t>第十章</w:t>
      </w:r>
      <w:r>
        <w:rPr>
          <w:rFonts w:eastAsia="黑体" w:hint="eastAsia"/>
          <w:bCs/>
          <w:snapToGrid w:val="0"/>
          <w:spacing w:val="2"/>
          <w:kern w:val="44"/>
          <w:sz w:val="35"/>
          <w:szCs w:val="35"/>
        </w:rPr>
        <w:t xml:space="preserve">  </w:t>
      </w:r>
      <w:r>
        <w:rPr>
          <w:rFonts w:eastAsia="黑体"/>
          <w:bCs/>
          <w:snapToGrid w:val="0"/>
          <w:spacing w:val="2"/>
          <w:kern w:val="44"/>
          <w:sz w:val="35"/>
          <w:szCs w:val="35"/>
        </w:rPr>
        <w:t>环境影响评价结论</w:t>
      </w:r>
      <w:bookmarkEnd w:id="517"/>
      <w:bookmarkEnd w:id="518"/>
    </w:p>
    <w:p w14:paraId="01DB30DC" w14:textId="77777777" w:rsidR="003E78AB" w:rsidRDefault="00010BF9">
      <w:pPr>
        <w:pStyle w:val="24"/>
        <w:keepNext w:val="0"/>
        <w:keepLines w:val="0"/>
        <w:topLinePunct/>
        <w:spacing w:before="156"/>
        <w:rPr>
          <w:rFonts w:cs="Times New Roman"/>
        </w:rPr>
      </w:pPr>
      <w:bookmarkStart w:id="521" w:name="_Toc25215"/>
      <w:bookmarkStart w:id="522" w:name="_Toc15379"/>
      <w:r>
        <w:rPr>
          <w:rFonts w:cs="Times New Roman" w:hint="eastAsia"/>
        </w:rPr>
        <w:t>10</w:t>
      </w:r>
      <w:r>
        <w:rPr>
          <w:rFonts w:cs="Times New Roman"/>
        </w:rPr>
        <w:t>.1</w:t>
      </w:r>
      <w:r>
        <w:rPr>
          <w:rFonts w:cs="Times New Roman"/>
        </w:rPr>
        <w:t>结论</w:t>
      </w:r>
      <w:bookmarkEnd w:id="521"/>
      <w:bookmarkEnd w:id="522"/>
    </w:p>
    <w:p w14:paraId="50EE2656"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10</w:t>
      </w:r>
      <w:r>
        <w:rPr>
          <w:rFonts w:cs="Times New Roman"/>
          <w:sz w:val="28"/>
          <w:szCs w:val="28"/>
        </w:rPr>
        <w:t>.1.1</w:t>
      </w:r>
      <w:r>
        <w:rPr>
          <w:rFonts w:cs="Times New Roman"/>
          <w:sz w:val="28"/>
          <w:szCs w:val="28"/>
        </w:rPr>
        <w:t>项目概况</w:t>
      </w:r>
    </w:p>
    <w:p w14:paraId="5B4196D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10.1.1.1</w:t>
      </w:r>
      <w:r>
        <w:rPr>
          <w:rFonts w:ascii="Times New Roman" w:hAnsi="Times New Roman" w:hint="eastAsia"/>
        </w:rPr>
        <w:t>项目基本情况</w:t>
      </w:r>
    </w:p>
    <w:p w14:paraId="7E44D8FF" w14:textId="77777777" w:rsidR="003E78AB" w:rsidRDefault="00010BF9">
      <w:pPr>
        <w:numPr>
          <w:ilvl w:val="0"/>
          <w:numId w:val="30"/>
        </w:numPr>
        <w:ind w:left="0" w:firstLine="480"/>
        <w:rPr>
          <w:kern w:val="2"/>
          <w:lang w:bidi="en-US"/>
        </w:rPr>
      </w:pPr>
      <w:r>
        <w:rPr>
          <w:kern w:val="2"/>
          <w:lang w:bidi="en-US"/>
        </w:rPr>
        <w:t>项目名称：</w:t>
      </w:r>
      <w:r>
        <w:rPr>
          <w:rFonts w:hint="eastAsia"/>
          <w:kern w:val="2"/>
          <w:lang w:bidi="en-US"/>
        </w:rPr>
        <w:t>星辰新能</w:t>
      </w:r>
      <w:r>
        <w:rPr>
          <w:rFonts w:hint="eastAsia"/>
          <w:kern w:val="2"/>
          <w:lang w:bidi="en-US"/>
        </w:rPr>
        <w:t>(</w:t>
      </w:r>
      <w:r>
        <w:rPr>
          <w:rFonts w:hint="eastAsia"/>
          <w:kern w:val="2"/>
          <w:lang w:bidi="en-US"/>
        </w:rPr>
        <w:t>哈密</w:t>
      </w:r>
      <w:r>
        <w:rPr>
          <w:rFonts w:hint="eastAsia"/>
          <w:kern w:val="2"/>
          <w:lang w:bidi="en-US"/>
        </w:rPr>
        <w:t>)</w:t>
      </w:r>
      <w:r>
        <w:rPr>
          <w:rFonts w:hint="eastAsia"/>
          <w:kern w:val="2"/>
          <w:lang w:bidi="en-US"/>
        </w:rPr>
        <w:t>科技有限公司星辰新能</w:t>
      </w:r>
      <w:r>
        <w:rPr>
          <w:rFonts w:hint="eastAsia"/>
          <w:kern w:val="2"/>
          <w:lang w:bidi="en-US"/>
        </w:rPr>
        <w:t>(</w:t>
      </w:r>
      <w:r>
        <w:rPr>
          <w:rFonts w:hint="eastAsia"/>
          <w:kern w:val="2"/>
          <w:lang w:bidi="en-US"/>
        </w:rPr>
        <w:t>哈密</w:t>
      </w:r>
      <w:r>
        <w:rPr>
          <w:rFonts w:hint="eastAsia"/>
          <w:kern w:val="2"/>
          <w:lang w:bidi="en-US"/>
        </w:rPr>
        <w:t>)</w:t>
      </w:r>
      <w:r>
        <w:rPr>
          <w:rFonts w:hint="eastAsia"/>
          <w:kern w:val="2"/>
          <w:lang w:bidi="en-US"/>
        </w:rPr>
        <w:t>科技有限公司</w:t>
      </w:r>
      <w:r>
        <w:rPr>
          <w:kern w:val="2"/>
          <w:lang w:bidi="en-US"/>
        </w:rPr>
        <w:t>高活性全钒液流电池电解液生产项目（一期）</w:t>
      </w:r>
    </w:p>
    <w:p w14:paraId="3245AA7F" w14:textId="77777777" w:rsidR="003E78AB" w:rsidRDefault="00010BF9">
      <w:pPr>
        <w:numPr>
          <w:ilvl w:val="0"/>
          <w:numId w:val="30"/>
        </w:numPr>
        <w:ind w:left="0" w:firstLine="480"/>
        <w:rPr>
          <w:kern w:val="2"/>
          <w:lang w:bidi="en-US"/>
        </w:rPr>
      </w:pPr>
      <w:r>
        <w:rPr>
          <w:kern w:val="2"/>
          <w:lang w:bidi="en-US"/>
        </w:rPr>
        <w:t>建设单位：</w:t>
      </w:r>
      <w:r>
        <w:rPr>
          <w:rFonts w:hint="eastAsia"/>
          <w:bCs/>
          <w:kern w:val="2"/>
          <w:lang w:bidi="en-US"/>
        </w:rPr>
        <w:t>星辰新能</w:t>
      </w:r>
      <w:r>
        <w:rPr>
          <w:rFonts w:hint="eastAsia"/>
          <w:bCs/>
          <w:kern w:val="2"/>
          <w:lang w:bidi="en-US"/>
        </w:rPr>
        <w:t>(</w:t>
      </w:r>
      <w:r>
        <w:rPr>
          <w:rFonts w:hint="eastAsia"/>
          <w:bCs/>
          <w:kern w:val="2"/>
          <w:lang w:bidi="en-US"/>
        </w:rPr>
        <w:t>哈密</w:t>
      </w:r>
      <w:r>
        <w:rPr>
          <w:rFonts w:hint="eastAsia"/>
          <w:bCs/>
          <w:kern w:val="2"/>
          <w:lang w:bidi="en-US"/>
        </w:rPr>
        <w:t>)</w:t>
      </w:r>
      <w:r>
        <w:rPr>
          <w:rFonts w:hint="eastAsia"/>
          <w:bCs/>
          <w:kern w:val="2"/>
          <w:lang w:bidi="en-US"/>
        </w:rPr>
        <w:t>科技有限公司</w:t>
      </w:r>
    </w:p>
    <w:p w14:paraId="35AA875B" w14:textId="77777777" w:rsidR="003E78AB" w:rsidRDefault="00010BF9">
      <w:pPr>
        <w:numPr>
          <w:ilvl w:val="0"/>
          <w:numId w:val="30"/>
        </w:numPr>
        <w:ind w:left="0" w:firstLine="480"/>
        <w:rPr>
          <w:kern w:val="2"/>
          <w:lang w:bidi="en-US"/>
        </w:rPr>
      </w:pPr>
      <w:r>
        <w:rPr>
          <w:kern w:val="2"/>
          <w:lang w:bidi="en-US"/>
        </w:rPr>
        <w:t>建设性质：新建</w:t>
      </w:r>
    </w:p>
    <w:p w14:paraId="6A1770E4" w14:textId="77777777" w:rsidR="003E78AB" w:rsidRDefault="00010BF9">
      <w:pPr>
        <w:numPr>
          <w:ilvl w:val="0"/>
          <w:numId w:val="30"/>
        </w:numPr>
        <w:ind w:left="0" w:firstLine="480"/>
        <w:rPr>
          <w:kern w:val="2"/>
          <w:lang w:bidi="en-US"/>
        </w:rPr>
      </w:pPr>
      <w:r>
        <w:rPr>
          <w:kern w:val="2"/>
          <w:lang w:bidi="en-US"/>
        </w:rPr>
        <w:t>行业类别：</w:t>
      </w:r>
      <w:r>
        <w:rPr>
          <w:kern w:val="2"/>
          <w:lang w:bidi="en-US"/>
        </w:rPr>
        <w:t>C2669</w:t>
      </w:r>
      <w:r>
        <w:rPr>
          <w:kern w:val="2"/>
          <w:lang w:bidi="en-US"/>
        </w:rPr>
        <w:t>其他专用化学产品制造</w:t>
      </w:r>
    </w:p>
    <w:p w14:paraId="2052DBEF" w14:textId="77777777" w:rsidR="003E78AB" w:rsidRDefault="00010BF9">
      <w:pPr>
        <w:numPr>
          <w:ilvl w:val="0"/>
          <w:numId w:val="30"/>
        </w:numPr>
        <w:ind w:left="0" w:firstLine="480"/>
        <w:rPr>
          <w:kern w:val="2"/>
          <w:lang w:bidi="en-US"/>
        </w:rPr>
      </w:pPr>
      <w:r>
        <w:rPr>
          <w:kern w:val="2"/>
          <w:lang w:bidi="en-US"/>
        </w:rPr>
        <w:t>建设内容及规模：本项目占地面积</w:t>
      </w:r>
      <w:r>
        <w:t>76022.77</w:t>
      </w:r>
      <w:r>
        <w:rPr>
          <w:kern w:val="2"/>
          <w:lang w:bidi="en-US"/>
        </w:rPr>
        <w:t>m</w:t>
      </w:r>
      <w:r>
        <w:rPr>
          <w:kern w:val="2"/>
          <w:vertAlign w:val="superscript"/>
          <w:lang w:bidi="en-US"/>
        </w:rPr>
        <w:t>2</w:t>
      </w:r>
      <w:r>
        <w:rPr>
          <w:kern w:val="2"/>
          <w:lang w:bidi="en-US"/>
        </w:rPr>
        <w:t>，</w:t>
      </w:r>
      <w:r>
        <w:rPr>
          <w:rFonts w:hint="eastAsia"/>
        </w:rPr>
        <w:t>预留二期项目用地。一期</w:t>
      </w:r>
      <w:r>
        <w:t>设</w:t>
      </w:r>
      <w:r>
        <w:t>2</w:t>
      </w:r>
      <w:r>
        <w:t>条生产线，单线钒电解液产能</w:t>
      </w:r>
      <w:r>
        <w:t>2.5</w:t>
      </w:r>
      <w:r>
        <w:t>万</w:t>
      </w:r>
      <w:r>
        <w:t>m</w:t>
      </w:r>
      <w:r>
        <w:rPr>
          <w:vertAlign w:val="superscript"/>
        </w:rPr>
        <w:t>3</w:t>
      </w:r>
      <w:r>
        <w:t>。项目主要生产工序包括投料系统、</w:t>
      </w:r>
      <w:r>
        <w:rPr>
          <w:rFonts w:hint="eastAsia"/>
        </w:rPr>
        <w:t>还原系统</w:t>
      </w:r>
      <w:r>
        <w:t>、</w:t>
      </w:r>
      <w:r>
        <w:rPr>
          <w:rFonts w:hint="eastAsia"/>
        </w:rPr>
        <w:t>电解系统</w:t>
      </w:r>
      <w:r>
        <w:t>和</w:t>
      </w:r>
      <w:r>
        <w:rPr>
          <w:rFonts w:hint="eastAsia"/>
        </w:rPr>
        <w:t>灌装系统</w:t>
      </w:r>
      <w:r>
        <w:t>等。主要建设内容包括：研发中心、动力车间、生产车间一、生产车间二</w:t>
      </w:r>
      <w:r>
        <w:rPr>
          <w:rFonts w:hint="eastAsia"/>
        </w:rPr>
        <w:t>（预留）</w:t>
      </w:r>
      <w:r>
        <w:t>、丙类仓库一、丙类仓库二、机修车间、液体库、环保设施及应急设施等。</w:t>
      </w:r>
    </w:p>
    <w:p w14:paraId="25CC1207" w14:textId="77777777" w:rsidR="003E78AB" w:rsidRDefault="00010BF9">
      <w:pPr>
        <w:numPr>
          <w:ilvl w:val="0"/>
          <w:numId w:val="30"/>
        </w:numPr>
        <w:ind w:left="0" w:firstLine="480"/>
        <w:rPr>
          <w:kern w:val="2"/>
          <w:lang w:bidi="en-US"/>
        </w:rPr>
      </w:pPr>
      <w:r>
        <w:rPr>
          <w:kern w:val="2"/>
          <w:lang w:bidi="en-US"/>
        </w:rPr>
        <w:t>项目投资：</w:t>
      </w:r>
      <w:r>
        <w:rPr>
          <w:rFonts w:hint="eastAsia"/>
          <w:kern w:val="2"/>
          <w:lang w:bidi="en-US"/>
        </w:rPr>
        <w:t>一期</w:t>
      </w:r>
      <w:r>
        <w:rPr>
          <w:kern w:val="2"/>
          <w:lang w:bidi="en-US"/>
        </w:rPr>
        <w:t>总投资</w:t>
      </w:r>
      <w:r>
        <w:rPr>
          <w:kern w:val="28"/>
        </w:rPr>
        <w:t>34125.20</w:t>
      </w:r>
      <w:r>
        <w:rPr>
          <w:kern w:val="28"/>
        </w:rPr>
        <w:t>万元，环保投资</w:t>
      </w:r>
      <w:r>
        <w:rPr>
          <w:rFonts w:hint="eastAsia"/>
          <w:kern w:val="28"/>
        </w:rPr>
        <w:t>2595</w:t>
      </w:r>
      <w:r>
        <w:rPr>
          <w:kern w:val="28"/>
        </w:rPr>
        <w:t>万元，占总投资</w:t>
      </w:r>
      <w:r>
        <w:rPr>
          <w:rFonts w:hint="eastAsia"/>
          <w:kern w:val="28"/>
        </w:rPr>
        <w:t>7.6</w:t>
      </w:r>
      <w:r>
        <w:rPr>
          <w:kern w:val="28"/>
        </w:rPr>
        <w:t>%</w:t>
      </w:r>
      <w:r>
        <w:rPr>
          <w:kern w:val="2"/>
          <w:lang w:bidi="en-US"/>
        </w:rPr>
        <w:t>。</w:t>
      </w:r>
    </w:p>
    <w:p w14:paraId="20DC64D8" w14:textId="77777777" w:rsidR="003E78AB" w:rsidRDefault="00010BF9">
      <w:pPr>
        <w:numPr>
          <w:ilvl w:val="0"/>
          <w:numId w:val="30"/>
        </w:numPr>
        <w:ind w:left="0" w:firstLine="480"/>
        <w:rPr>
          <w:kern w:val="2"/>
        </w:rPr>
      </w:pPr>
      <w:r>
        <w:rPr>
          <w:kern w:val="2"/>
          <w:lang w:bidi="en-US"/>
        </w:rPr>
        <w:t>建设地点：</w:t>
      </w:r>
      <w:r>
        <w:rPr>
          <w:bCs/>
          <w:kern w:val="2"/>
          <w:lang w:bidi="en-US"/>
        </w:rPr>
        <w:t>项目建设地点位于新疆哈密市伊州区哈密工业园南部循环经济产业园中的</w:t>
      </w:r>
      <w:r>
        <w:rPr>
          <w:rFonts w:hint="eastAsia"/>
        </w:rPr>
        <w:t>煤化工产业区</w:t>
      </w:r>
      <w:r>
        <w:rPr>
          <w:bCs/>
          <w:kern w:val="2"/>
          <w:lang w:bidi="en-US"/>
        </w:rPr>
        <w:t>。厂址中心地理坐标为东经</w:t>
      </w:r>
      <w:r>
        <w:rPr>
          <w:kern w:val="2"/>
        </w:rPr>
        <w:t>93°25′11.500″</w:t>
      </w:r>
      <w:r>
        <w:rPr>
          <w:bCs/>
          <w:kern w:val="2"/>
          <w:lang w:bidi="en-US"/>
        </w:rPr>
        <w:t>，北纬</w:t>
      </w:r>
      <w:r>
        <w:rPr>
          <w:kern w:val="2"/>
        </w:rPr>
        <w:t>42°41′35.672″</w:t>
      </w:r>
      <w:r>
        <w:rPr>
          <w:bCs/>
          <w:kern w:val="2"/>
          <w:lang w:bidi="en-US"/>
        </w:rPr>
        <w:t>。</w:t>
      </w:r>
    </w:p>
    <w:p w14:paraId="42158531"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10.1.1.2</w:t>
      </w:r>
      <w:r>
        <w:rPr>
          <w:rFonts w:ascii="Times New Roman" w:hAnsi="Times New Roman"/>
        </w:rPr>
        <w:t>产业政策符合性</w:t>
      </w:r>
    </w:p>
    <w:p w14:paraId="4EA370A8" w14:textId="77777777" w:rsidR="003E78AB" w:rsidRDefault="00010BF9">
      <w:pPr>
        <w:ind w:firstLine="480"/>
        <w:rPr>
          <w:bCs/>
          <w:kern w:val="2"/>
        </w:rPr>
      </w:pPr>
      <w:r>
        <w:rPr>
          <w:bCs/>
          <w:kern w:val="2"/>
        </w:rPr>
        <w:t>本项目为钒电解液生产项目，对照《产业结构调整指导目录（</w:t>
      </w:r>
      <w:r>
        <w:rPr>
          <w:bCs/>
          <w:kern w:val="2"/>
        </w:rPr>
        <w:t>2024</w:t>
      </w:r>
      <w:r>
        <w:rPr>
          <w:bCs/>
          <w:kern w:val="2"/>
        </w:rPr>
        <w:t>年本）》，本项目不属于鼓励类、限制类、淘汰类，属于允许建设项目，项目符合国家产业政策要求。本项目已取得哈密高新技术产业开发区管理委员会出具的登记备案证（备案代码：</w:t>
      </w:r>
      <w:r>
        <w:rPr>
          <w:bCs/>
          <w:kern w:val="2"/>
        </w:rPr>
        <w:t>2506-650591-04-01-294721</w:t>
      </w:r>
      <w:r>
        <w:rPr>
          <w:bCs/>
          <w:kern w:val="2"/>
        </w:rPr>
        <w:t>）。备案涵盖两期</w:t>
      </w:r>
      <w:r>
        <w:rPr>
          <w:bCs/>
          <w:kern w:val="2"/>
        </w:rPr>
        <w:t>10</w:t>
      </w:r>
      <w:r>
        <w:rPr>
          <w:bCs/>
          <w:kern w:val="2"/>
        </w:rPr>
        <w:t>万</w:t>
      </w:r>
      <w:r>
        <w:rPr>
          <w:bCs/>
          <w:kern w:val="2"/>
        </w:rPr>
        <w:t>m</w:t>
      </w:r>
      <w:r>
        <w:rPr>
          <w:bCs/>
          <w:kern w:val="2"/>
          <w:vertAlign w:val="superscript"/>
        </w:rPr>
        <w:t>3</w:t>
      </w:r>
      <w:r>
        <w:rPr>
          <w:bCs/>
          <w:kern w:val="2"/>
        </w:rPr>
        <w:t>高活性全钒液流电池电解液规模，本次优先实施一期工程（简称本项目），拟建设年产</w:t>
      </w:r>
      <w:r>
        <w:rPr>
          <w:bCs/>
          <w:kern w:val="2"/>
        </w:rPr>
        <w:t>5</w:t>
      </w:r>
      <w:r>
        <w:rPr>
          <w:bCs/>
          <w:kern w:val="2"/>
        </w:rPr>
        <w:t>万</w:t>
      </w:r>
      <w:r>
        <w:rPr>
          <w:bCs/>
          <w:kern w:val="2"/>
        </w:rPr>
        <w:t>m</w:t>
      </w:r>
      <w:r>
        <w:rPr>
          <w:bCs/>
          <w:kern w:val="2"/>
          <w:vertAlign w:val="superscript"/>
        </w:rPr>
        <w:t>3</w:t>
      </w:r>
      <w:r>
        <w:rPr>
          <w:bCs/>
          <w:kern w:val="2"/>
        </w:rPr>
        <w:t>高活性全钒液流电池电解液。</w:t>
      </w:r>
    </w:p>
    <w:p w14:paraId="6F25BE49" w14:textId="77777777" w:rsidR="003E78AB" w:rsidRDefault="00010BF9">
      <w:pPr>
        <w:pStyle w:val="4"/>
        <w:keepNext w:val="0"/>
        <w:keepLines w:val="0"/>
        <w:adjustRightInd/>
        <w:snapToGrid/>
        <w:spacing w:beforeLines="0" w:line="520" w:lineRule="exact"/>
        <w:ind w:firstLineChars="0" w:firstLine="0"/>
        <w:rPr>
          <w:rFonts w:ascii="Times New Roman" w:hAnsi="Times New Roman"/>
        </w:rPr>
      </w:pPr>
      <w:r>
        <w:rPr>
          <w:rFonts w:ascii="Times New Roman" w:hAnsi="Times New Roman" w:hint="eastAsia"/>
        </w:rPr>
        <w:t>10.1.1.3</w:t>
      </w:r>
      <w:r>
        <w:rPr>
          <w:rFonts w:ascii="Times New Roman" w:hAnsi="Times New Roman"/>
        </w:rPr>
        <w:t>园区规划符合性</w:t>
      </w:r>
    </w:p>
    <w:p w14:paraId="1601EDE2" w14:textId="77777777" w:rsidR="003E78AB" w:rsidRDefault="00010BF9">
      <w:pPr>
        <w:ind w:firstLine="480"/>
        <w:rPr>
          <w:bCs/>
          <w:kern w:val="2"/>
        </w:rPr>
      </w:pPr>
      <w:r>
        <w:rPr>
          <w:bCs/>
          <w:kern w:val="2"/>
        </w:rPr>
        <w:t>本项目位</w:t>
      </w:r>
      <w:r>
        <w:rPr>
          <w:bCs/>
          <w:kern w:val="2"/>
        </w:rPr>
        <w:t>于南部循环经济产业园煤化工产业区，用地属于三类工业用地，项目符合园区产业布局和土地利用规划，项目符合《哈密高新区化工产业集中区总体规划（</w:t>
      </w:r>
      <w:r>
        <w:rPr>
          <w:bCs/>
          <w:kern w:val="2"/>
        </w:rPr>
        <w:t>2023-2035</w:t>
      </w:r>
      <w:r>
        <w:rPr>
          <w:bCs/>
          <w:kern w:val="2"/>
        </w:rPr>
        <w:t>年）》</w:t>
      </w:r>
      <w:r>
        <w:rPr>
          <w:rFonts w:hint="eastAsia"/>
          <w:bCs/>
          <w:kern w:val="2"/>
        </w:rPr>
        <w:t>及规划环评和审查意见</w:t>
      </w:r>
      <w:r>
        <w:rPr>
          <w:bCs/>
          <w:kern w:val="2"/>
        </w:rPr>
        <w:t>。</w:t>
      </w:r>
    </w:p>
    <w:p w14:paraId="630FB836"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10</w:t>
      </w:r>
      <w:r>
        <w:rPr>
          <w:rFonts w:cs="Times New Roman"/>
          <w:sz w:val="28"/>
          <w:szCs w:val="28"/>
        </w:rPr>
        <w:t>.1.2</w:t>
      </w:r>
      <w:r>
        <w:rPr>
          <w:rFonts w:cs="Times New Roman"/>
          <w:sz w:val="28"/>
          <w:szCs w:val="28"/>
        </w:rPr>
        <w:t>环境质量现状</w:t>
      </w:r>
    </w:p>
    <w:p w14:paraId="6D1AE9E6" w14:textId="77777777" w:rsidR="003E78AB" w:rsidRDefault="00010BF9">
      <w:pPr>
        <w:pStyle w:val="5"/>
        <w:keepNext w:val="0"/>
        <w:keepLines w:val="0"/>
        <w:ind w:firstLine="482"/>
        <w:rPr>
          <w:sz w:val="24"/>
        </w:rPr>
      </w:pPr>
      <w:r>
        <w:rPr>
          <w:sz w:val="24"/>
        </w:rPr>
        <w:t>1</w:t>
      </w:r>
      <w:r>
        <w:rPr>
          <w:rFonts w:hint="eastAsia"/>
          <w:sz w:val="24"/>
        </w:rPr>
        <w:t>.</w:t>
      </w:r>
      <w:r>
        <w:rPr>
          <w:sz w:val="24"/>
        </w:rPr>
        <w:t>环境空气质量现状</w:t>
      </w:r>
    </w:p>
    <w:p w14:paraId="3C8C072E" w14:textId="77777777" w:rsidR="003E78AB" w:rsidRDefault="00010BF9">
      <w:pPr>
        <w:ind w:firstLine="480"/>
      </w:pPr>
      <w:r>
        <w:rPr>
          <w:kern w:val="2"/>
        </w:rPr>
        <w:t>达标区判定：</w:t>
      </w:r>
      <w:r>
        <w:rPr>
          <w:bCs/>
          <w:kern w:val="2"/>
        </w:rPr>
        <w:t>项目所在区域空气质量现状年评价指标中</w:t>
      </w:r>
      <w:r>
        <w:rPr>
          <w:bCs/>
          <w:kern w:val="2"/>
        </w:rPr>
        <w:t>SO</w:t>
      </w:r>
      <w:r>
        <w:rPr>
          <w:bCs/>
          <w:kern w:val="2"/>
          <w:vertAlign w:val="subscript"/>
        </w:rPr>
        <w:t>2</w:t>
      </w:r>
      <w:r>
        <w:rPr>
          <w:bCs/>
          <w:kern w:val="2"/>
        </w:rPr>
        <w:t>、</w:t>
      </w:r>
      <w:r>
        <w:rPr>
          <w:bCs/>
          <w:kern w:val="2"/>
        </w:rPr>
        <w:t>NO</w:t>
      </w:r>
      <w:r>
        <w:rPr>
          <w:bCs/>
          <w:kern w:val="2"/>
          <w:vertAlign w:val="subscript"/>
        </w:rPr>
        <w:t>2</w:t>
      </w:r>
      <w:r>
        <w:rPr>
          <w:bCs/>
          <w:kern w:val="2"/>
        </w:rPr>
        <w:t>、</w:t>
      </w:r>
      <w:r>
        <w:rPr>
          <w:bCs/>
          <w:kern w:val="2"/>
        </w:rPr>
        <w:t>PM</w:t>
      </w:r>
      <w:r>
        <w:rPr>
          <w:bCs/>
          <w:kern w:val="2"/>
          <w:vertAlign w:val="subscript"/>
        </w:rPr>
        <w:t>2.5</w:t>
      </w:r>
      <w:r>
        <w:rPr>
          <w:bCs/>
          <w:kern w:val="2"/>
        </w:rPr>
        <w:t>的年均浓度和相应百分位数</w:t>
      </w:r>
      <w:r>
        <w:rPr>
          <w:bCs/>
          <w:kern w:val="2"/>
        </w:rPr>
        <w:t>24h</w:t>
      </w:r>
      <w:r>
        <w:rPr>
          <w:bCs/>
          <w:kern w:val="2"/>
        </w:rPr>
        <w:t>平均质量浓度均满足</w:t>
      </w:r>
      <w:r>
        <w:rPr>
          <w:bCs/>
          <w:kern w:val="2"/>
        </w:rPr>
        <w:t>GB3095-2012</w:t>
      </w:r>
      <w:r>
        <w:rPr>
          <w:bCs/>
          <w:kern w:val="2"/>
        </w:rPr>
        <w:t>中浓度限值要求；</w:t>
      </w:r>
      <w:r>
        <w:rPr>
          <w:bCs/>
          <w:kern w:val="2"/>
        </w:rPr>
        <w:t>CO</w:t>
      </w:r>
      <w:r>
        <w:rPr>
          <w:bCs/>
          <w:kern w:val="2"/>
        </w:rPr>
        <w:t>、</w:t>
      </w:r>
      <w:r>
        <w:rPr>
          <w:bCs/>
          <w:kern w:val="2"/>
        </w:rPr>
        <w:t>O</w:t>
      </w:r>
      <w:r>
        <w:rPr>
          <w:bCs/>
          <w:kern w:val="2"/>
          <w:vertAlign w:val="subscript"/>
        </w:rPr>
        <w:t>3</w:t>
      </w:r>
      <w:r>
        <w:rPr>
          <w:bCs/>
          <w:kern w:val="2"/>
        </w:rPr>
        <w:t>的相应百分位数</w:t>
      </w:r>
      <w:r>
        <w:rPr>
          <w:bCs/>
          <w:kern w:val="2"/>
        </w:rPr>
        <w:t>24h</w:t>
      </w:r>
      <w:r>
        <w:rPr>
          <w:bCs/>
          <w:kern w:val="2"/>
        </w:rPr>
        <w:t>平均或</w:t>
      </w:r>
      <w:r>
        <w:rPr>
          <w:bCs/>
          <w:kern w:val="2"/>
        </w:rPr>
        <w:t>8h</w:t>
      </w:r>
      <w:r>
        <w:rPr>
          <w:bCs/>
          <w:kern w:val="2"/>
        </w:rPr>
        <w:t>平均质量浓度也满足</w:t>
      </w:r>
      <w:r>
        <w:rPr>
          <w:bCs/>
          <w:kern w:val="2"/>
        </w:rPr>
        <w:t>GB3095-2012</w:t>
      </w:r>
      <w:r>
        <w:rPr>
          <w:bCs/>
          <w:kern w:val="2"/>
        </w:rPr>
        <w:t>中浓度限值要求；</w:t>
      </w:r>
      <w:r>
        <w:rPr>
          <w:bCs/>
          <w:kern w:val="2"/>
        </w:rPr>
        <w:t>PM</w:t>
      </w:r>
      <w:r>
        <w:rPr>
          <w:bCs/>
          <w:kern w:val="2"/>
          <w:vertAlign w:val="subscript"/>
        </w:rPr>
        <w:t>10</w:t>
      </w:r>
      <w:r>
        <w:rPr>
          <w:bCs/>
          <w:kern w:val="2"/>
        </w:rPr>
        <w:t>相应百分位数</w:t>
      </w:r>
      <w:r>
        <w:rPr>
          <w:bCs/>
          <w:kern w:val="2"/>
        </w:rPr>
        <w:t>24</w:t>
      </w:r>
      <w:r>
        <w:rPr>
          <w:bCs/>
          <w:kern w:val="2"/>
        </w:rPr>
        <w:t>h</w:t>
      </w:r>
      <w:r>
        <w:rPr>
          <w:bCs/>
          <w:kern w:val="2"/>
        </w:rPr>
        <w:t>平均质量浓度满足</w:t>
      </w:r>
      <w:r>
        <w:rPr>
          <w:bCs/>
          <w:kern w:val="2"/>
        </w:rPr>
        <w:t>GB3095-2012</w:t>
      </w:r>
      <w:r>
        <w:rPr>
          <w:bCs/>
          <w:kern w:val="2"/>
        </w:rPr>
        <w:t>中浓度限值要求，但年均浓度超标。超标的主要是由于当地气候干燥、自然扬尘较多所致。综上可知，项目所在区域为非达标区。</w:t>
      </w:r>
    </w:p>
    <w:p w14:paraId="62FC3578" w14:textId="77777777" w:rsidR="003E78AB" w:rsidRDefault="00010BF9">
      <w:pPr>
        <w:ind w:firstLine="480"/>
      </w:pPr>
      <w:r>
        <w:t>项目区域污染物环境质量现状评价：监测期间</w:t>
      </w:r>
      <w:r>
        <w:rPr>
          <w:bCs/>
          <w:kern w:val="2"/>
        </w:rPr>
        <w:t>评价区域环境空气质量中</w:t>
      </w:r>
      <w:r>
        <w:rPr>
          <w:bCs/>
          <w:kern w:val="2"/>
        </w:rPr>
        <w:t>TSP</w:t>
      </w:r>
      <w:r>
        <w:rPr>
          <w:bCs/>
          <w:kern w:val="2"/>
        </w:rPr>
        <w:t>监测浓度符合《环境空气质量标准》（</w:t>
      </w:r>
      <w:r>
        <w:rPr>
          <w:bCs/>
          <w:kern w:val="2"/>
        </w:rPr>
        <w:t>GB3095-2012</w:t>
      </w:r>
      <w:r>
        <w:rPr>
          <w:bCs/>
          <w:kern w:val="2"/>
        </w:rPr>
        <w:t>）二级标准，</w:t>
      </w:r>
      <w:r>
        <w:rPr>
          <w:rFonts w:hint="eastAsia"/>
          <w:b/>
          <w:kern w:val="2"/>
          <w:u w:val="single"/>
        </w:rPr>
        <w:t>TVOC</w:t>
      </w:r>
      <w:r>
        <w:rPr>
          <w:rFonts w:hint="eastAsia"/>
          <w:bCs/>
          <w:kern w:val="2"/>
        </w:rPr>
        <w:t>和硫酸雾</w:t>
      </w:r>
      <w:r>
        <w:rPr>
          <w:bCs/>
          <w:kern w:val="2"/>
        </w:rPr>
        <w:t>满足《环境影响评价技术导则</w:t>
      </w:r>
      <w:r>
        <w:rPr>
          <w:rFonts w:hint="eastAsia"/>
          <w:bCs/>
          <w:kern w:val="2"/>
        </w:rPr>
        <w:t xml:space="preserve"> </w:t>
      </w:r>
      <w:r>
        <w:rPr>
          <w:bCs/>
          <w:kern w:val="2"/>
        </w:rPr>
        <w:t>大气环境》（</w:t>
      </w:r>
      <w:r>
        <w:rPr>
          <w:bCs/>
          <w:kern w:val="2"/>
        </w:rPr>
        <w:t>HJ2.2-2018</w:t>
      </w:r>
      <w:r>
        <w:rPr>
          <w:bCs/>
          <w:kern w:val="2"/>
        </w:rPr>
        <w:t>）附录</w:t>
      </w:r>
      <w:r>
        <w:rPr>
          <w:bCs/>
          <w:kern w:val="2"/>
        </w:rPr>
        <w:t>D</w:t>
      </w:r>
      <w:r>
        <w:rPr>
          <w:bCs/>
          <w:kern w:val="2"/>
        </w:rPr>
        <w:t>的要求。</w:t>
      </w:r>
    </w:p>
    <w:p w14:paraId="009C1A8F" w14:textId="77777777" w:rsidR="003E78AB" w:rsidRDefault="00010BF9">
      <w:pPr>
        <w:pStyle w:val="5"/>
        <w:keepNext w:val="0"/>
        <w:keepLines w:val="0"/>
        <w:ind w:firstLine="482"/>
        <w:rPr>
          <w:sz w:val="24"/>
        </w:rPr>
      </w:pPr>
      <w:r>
        <w:rPr>
          <w:sz w:val="24"/>
        </w:rPr>
        <w:t>2</w:t>
      </w:r>
      <w:r>
        <w:rPr>
          <w:rFonts w:hint="eastAsia"/>
          <w:sz w:val="24"/>
        </w:rPr>
        <w:t>.</w:t>
      </w:r>
      <w:r>
        <w:rPr>
          <w:sz w:val="24"/>
        </w:rPr>
        <w:t>地下水环境质量现状</w:t>
      </w:r>
    </w:p>
    <w:p w14:paraId="7FB38AE1" w14:textId="77777777" w:rsidR="003E78AB" w:rsidRDefault="00010BF9">
      <w:pPr>
        <w:ind w:firstLine="480"/>
      </w:pPr>
      <w:r>
        <w:t>根据地下水监测结果，监测各点位各个因子均满足《地下水质量标准》</w:t>
      </w:r>
      <w:r>
        <w:rPr>
          <w:rFonts w:hint="eastAsia"/>
        </w:rPr>
        <w:t>（</w:t>
      </w:r>
      <w:r>
        <w:t>GB14848-2017</w:t>
      </w:r>
      <w:r>
        <w:rPr>
          <w:rFonts w:hint="eastAsia"/>
        </w:rPr>
        <w:t>）</w:t>
      </w:r>
      <w:r>
        <w:t>中的</w:t>
      </w:r>
      <w:r>
        <w:t>Ⅲ</w:t>
      </w:r>
      <w:r>
        <w:t>类标准要求。</w:t>
      </w:r>
    </w:p>
    <w:p w14:paraId="25E3DD04" w14:textId="77777777" w:rsidR="003E78AB" w:rsidRDefault="00010BF9">
      <w:pPr>
        <w:pStyle w:val="5"/>
        <w:keepNext w:val="0"/>
        <w:keepLines w:val="0"/>
        <w:ind w:firstLine="482"/>
        <w:rPr>
          <w:sz w:val="24"/>
        </w:rPr>
      </w:pPr>
      <w:r>
        <w:rPr>
          <w:sz w:val="24"/>
        </w:rPr>
        <w:t>3</w:t>
      </w:r>
      <w:r>
        <w:rPr>
          <w:rFonts w:hint="eastAsia"/>
          <w:sz w:val="24"/>
        </w:rPr>
        <w:t>.</w:t>
      </w:r>
      <w:r>
        <w:rPr>
          <w:sz w:val="24"/>
        </w:rPr>
        <w:t>声环境质量现状</w:t>
      </w:r>
    </w:p>
    <w:p w14:paraId="31A2AA76" w14:textId="77777777" w:rsidR="003E78AB" w:rsidRDefault="00010BF9">
      <w:pPr>
        <w:ind w:firstLine="480"/>
      </w:pPr>
      <w:r>
        <w:t>根据检测结果可以看出，昼间及夜间噪声监测值均符合《声环境质量标准》（</w:t>
      </w:r>
      <w:r>
        <w:t>GB3096-2008</w:t>
      </w:r>
      <w:r>
        <w:t>）中的</w:t>
      </w:r>
      <w:r>
        <w:t>3</w:t>
      </w:r>
      <w:r>
        <w:t>类区标准限值，评价区域声环境质量较好。</w:t>
      </w:r>
    </w:p>
    <w:p w14:paraId="487239B3" w14:textId="77777777" w:rsidR="003E78AB" w:rsidRDefault="00010BF9">
      <w:pPr>
        <w:pStyle w:val="5"/>
        <w:keepNext w:val="0"/>
        <w:keepLines w:val="0"/>
        <w:ind w:firstLine="482"/>
        <w:rPr>
          <w:sz w:val="24"/>
        </w:rPr>
      </w:pPr>
      <w:r>
        <w:rPr>
          <w:sz w:val="24"/>
        </w:rPr>
        <w:t>4</w:t>
      </w:r>
      <w:r>
        <w:rPr>
          <w:rFonts w:hint="eastAsia"/>
          <w:sz w:val="24"/>
        </w:rPr>
        <w:t>.</w:t>
      </w:r>
      <w:r>
        <w:rPr>
          <w:sz w:val="24"/>
        </w:rPr>
        <w:t>土壤环境质量现状</w:t>
      </w:r>
    </w:p>
    <w:p w14:paraId="611C50C8" w14:textId="77777777" w:rsidR="003E78AB" w:rsidRDefault="00010BF9">
      <w:pPr>
        <w:ind w:firstLine="480"/>
      </w:pPr>
      <w:r>
        <w:t>本次环评期间选取的</w:t>
      </w:r>
      <w:r>
        <w:t>6</w:t>
      </w:r>
      <w:r>
        <w:t>个土壤监测点监测结果显示，各监测点监测因子均满足《土壤环境质量</w:t>
      </w:r>
      <w:r>
        <w:rPr>
          <w:rFonts w:hint="eastAsia"/>
        </w:rPr>
        <w:t xml:space="preserve"> </w:t>
      </w:r>
      <w:r>
        <w:t>建设用地土壤污染风险管控标准（试行）》（</w:t>
      </w:r>
      <w:r>
        <w:t>GB36600-2018</w:t>
      </w:r>
      <w:r>
        <w:t>）中第二类用地风险筛选值要求。</w:t>
      </w:r>
    </w:p>
    <w:p w14:paraId="1653F0CF"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10</w:t>
      </w:r>
      <w:r>
        <w:rPr>
          <w:rFonts w:cs="Times New Roman"/>
          <w:sz w:val="28"/>
          <w:szCs w:val="28"/>
        </w:rPr>
        <w:t>.1.3</w:t>
      </w:r>
      <w:r>
        <w:rPr>
          <w:rFonts w:cs="Times New Roman"/>
          <w:sz w:val="28"/>
          <w:szCs w:val="28"/>
        </w:rPr>
        <w:t>环境影响分析结论</w:t>
      </w:r>
    </w:p>
    <w:p w14:paraId="2D49FB1C" w14:textId="77777777" w:rsidR="003E78AB" w:rsidRDefault="00010BF9">
      <w:pPr>
        <w:pStyle w:val="5"/>
        <w:keepNext w:val="0"/>
        <w:keepLines w:val="0"/>
        <w:ind w:firstLine="482"/>
        <w:rPr>
          <w:sz w:val="24"/>
        </w:rPr>
      </w:pPr>
      <w:r>
        <w:rPr>
          <w:sz w:val="24"/>
        </w:rPr>
        <w:t>1</w:t>
      </w:r>
      <w:r>
        <w:rPr>
          <w:rFonts w:hint="eastAsia"/>
          <w:sz w:val="24"/>
        </w:rPr>
        <w:t>.</w:t>
      </w:r>
      <w:r>
        <w:rPr>
          <w:sz w:val="24"/>
        </w:rPr>
        <w:t>大气环境影响分析结论</w:t>
      </w:r>
    </w:p>
    <w:p w14:paraId="0A3326B5" w14:textId="77777777" w:rsidR="003E78AB" w:rsidRDefault="00010BF9">
      <w:pPr>
        <w:ind w:firstLine="480"/>
      </w:pPr>
      <w:r>
        <w:t>（</w:t>
      </w:r>
      <w:r>
        <w:t>1</w:t>
      </w:r>
      <w:r>
        <w:t>）施工期大气环境影响分析结论</w:t>
      </w:r>
    </w:p>
    <w:p w14:paraId="6760B6CF" w14:textId="77777777" w:rsidR="003E78AB" w:rsidRDefault="00010BF9">
      <w:pPr>
        <w:ind w:firstLine="480"/>
      </w:pPr>
      <w:r>
        <w:t>根据分析项目施工期通过采取遮盖、洒水可有效</w:t>
      </w:r>
      <w:r>
        <w:t>地抑制扬尘量，可使扬尘量减少</w:t>
      </w:r>
      <w:r>
        <w:t>90%</w:t>
      </w:r>
      <w:r>
        <w:t>。项目物料堆场均严格设置在工业场地内，并要求设置篷布覆盖，同时进行洒水抑尘，有效地减少了堆场扬尘的不良影响。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14:paraId="045200DD" w14:textId="77777777" w:rsidR="003E78AB" w:rsidRDefault="00010BF9">
      <w:pPr>
        <w:ind w:firstLine="480"/>
      </w:pPr>
      <w:r>
        <w:t>（</w:t>
      </w:r>
      <w:r>
        <w:t>2</w:t>
      </w:r>
      <w:r>
        <w:t>）运营期环境影响分析结论</w:t>
      </w:r>
    </w:p>
    <w:p w14:paraId="58F7D3B5" w14:textId="77777777" w:rsidR="003E78AB" w:rsidRDefault="00010BF9">
      <w:pPr>
        <w:ind w:firstLine="480"/>
      </w:pPr>
      <w:r>
        <w:t>本项目</w:t>
      </w:r>
      <w:r>
        <w:t>Pmax</w:t>
      </w:r>
      <w:r>
        <w:t>最大值为</w:t>
      </w:r>
      <w:r>
        <w:rPr>
          <w:rFonts w:hint="eastAsia"/>
          <w:kern w:val="2"/>
        </w:rPr>
        <w:t>生产车间一无组织</w:t>
      </w:r>
      <w:r>
        <w:rPr>
          <w:kern w:val="2"/>
        </w:rPr>
        <w:t>排放的</w:t>
      </w:r>
      <w:r>
        <w:rPr>
          <w:rFonts w:hint="eastAsia"/>
          <w:kern w:val="2"/>
        </w:rPr>
        <w:t>颗粒物</w:t>
      </w:r>
      <w:r>
        <w:rPr>
          <w:kern w:val="2"/>
        </w:rPr>
        <w:t>，为</w:t>
      </w:r>
      <w:r>
        <w:rPr>
          <w:rFonts w:hint="eastAsia"/>
          <w:kern w:val="2"/>
        </w:rPr>
        <w:t>7.42</w:t>
      </w:r>
      <w:r>
        <w:rPr>
          <w:kern w:val="2"/>
        </w:rPr>
        <w:t>%</w:t>
      </w:r>
      <w:r>
        <w:t>，</w:t>
      </w:r>
      <w:r>
        <w:t>Cmax</w:t>
      </w:r>
      <w:r>
        <w:t>为</w:t>
      </w:r>
      <w:r>
        <w:rPr>
          <w:rFonts w:hint="eastAsia"/>
          <w:kern w:val="28"/>
        </w:rPr>
        <w:t>0.0668m</w:t>
      </w:r>
      <w:r>
        <w:t>g/m³</w:t>
      </w:r>
      <w:r>
        <w:t>，根据《环境影响评价技术导则</w:t>
      </w:r>
      <w:r>
        <w:t xml:space="preserve"> </w:t>
      </w:r>
      <w:r>
        <w:t>大气环境》</w:t>
      </w:r>
      <w:r>
        <w:t>(HJ2.2-2018)</w:t>
      </w:r>
      <w:r>
        <w:t>分级</w:t>
      </w:r>
      <w:r>
        <w:rPr>
          <w:rFonts w:hint="eastAsia"/>
        </w:rPr>
        <w:t>判定</w:t>
      </w:r>
      <w:r>
        <w:t>，</w:t>
      </w:r>
      <w:r>
        <w:rPr>
          <w:rFonts w:hint="eastAsia"/>
        </w:rPr>
        <w:t>本项目化工项目应提级，最终</w:t>
      </w:r>
      <w:r>
        <w:t>确定本项目大气环境影响评价工作等级为</w:t>
      </w:r>
      <w:r>
        <w:rPr>
          <w:rFonts w:hint="eastAsia"/>
        </w:rPr>
        <w:t>一</w:t>
      </w:r>
      <w:r>
        <w:t>级。</w:t>
      </w:r>
    </w:p>
    <w:p w14:paraId="3681B426" w14:textId="77777777" w:rsidR="003E78AB" w:rsidRDefault="00010BF9">
      <w:pPr>
        <w:ind w:firstLine="480"/>
      </w:pPr>
      <w:r>
        <w:t>项目在落实评价提出的大气治理措施后，根据预测分析评价，各污染物达标排放，项目投产后对区域环境空气质量影响不大，不会降低区域大气环境功能级别。因此，在落实各项目大气污染防治措施的前提下，本项目对大气环境的影响较小，本项目的建设对周围大气环境的影响在可接受范围内。</w:t>
      </w:r>
    </w:p>
    <w:p w14:paraId="28E8F723" w14:textId="77777777" w:rsidR="003E78AB" w:rsidRDefault="00010BF9">
      <w:pPr>
        <w:pStyle w:val="5"/>
        <w:keepNext w:val="0"/>
        <w:keepLines w:val="0"/>
        <w:ind w:firstLine="482"/>
        <w:rPr>
          <w:sz w:val="24"/>
        </w:rPr>
      </w:pPr>
      <w:r>
        <w:rPr>
          <w:sz w:val="24"/>
        </w:rPr>
        <w:t>2</w:t>
      </w:r>
      <w:r>
        <w:rPr>
          <w:rFonts w:hint="eastAsia"/>
          <w:sz w:val="24"/>
        </w:rPr>
        <w:t>.</w:t>
      </w:r>
      <w:r>
        <w:rPr>
          <w:sz w:val="24"/>
        </w:rPr>
        <w:t>水环境影响分析</w:t>
      </w:r>
    </w:p>
    <w:p w14:paraId="0C5DD1AF" w14:textId="77777777" w:rsidR="003E78AB" w:rsidRDefault="00010BF9">
      <w:pPr>
        <w:ind w:firstLine="480"/>
      </w:pPr>
      <w:r>
        <w:t>（</w:t>
      </w:r>
      <w:r>
        <w:t>1</w:t>
      </w:r>
      <w:r>
        <w:t>）施工期水环境影响分析结论</w:t>
      </w:r>
    </w:p>
    <w:p w14:paraId="0641E37F" w14:textId="77777777" w:rsidR="003E78AB" w:rsidRDefault="00010BF9">
      <w:pPr>
        <w:ind w:firstLine="480"/>
      </w:pPr>
      <w:r>
        <w:t>根据分析，</w:t>
      </w:r>
      <w:r>
        <w:t>项目建设期对地下水环境的影响环节及影响程度均较小，在采取合理环保措施后，这种不利影响是轻微的、短暂的，也是环境可接受的。</w:t>
      </w:r>
    </w:p>
    <w:p w14:paraId="28C1261A" w14:textId="77777777" w:rsidR="003E78AB" w:rsidRDefault="00010BF9">
      <w:pPr>
        <w:ind w:firstLine="480"/>
      </w:pPr>
      <w:r>
        <w:t>（</w:t>
      </w:r>
      <w:r>
        <w:t>2</w:t>
      </w:r>
      <w:r>
        <w:t>）运营期水环境影响分析结论</w:t>
      </w:r>
    </w:p>
    <w:p w14:paraId="14DF784F" w14:textId="77777777" w:rsidR="003E78AB" w:rsidRDefault="00010BF9">
      <w:pPr>
        <w:ind w:firstLine="480"/>
        <w:rPr>
          <w:kern w:val="28"/>
        </w:rPr>
      </w:pPr>
      <w:r>
        <w:rPr>
          <w:kern w:val="2"/>
        </w:rPr>
        <w:t>本项目无生产废水外排，</w:t>
      </w:r>
      <w:r>
        <w:t>工艺废气处理废水</w:t>
      </w:r>
      <w:r>
        <w:rPr>
          <w:rFonts w:hint="eastAsia"/>
        </w:rPr>
        <w:t>经蒸发冷凝后回用于淋洗补水配碱，</w:t>
      </w:r>
      <w:r>
        <w:rPr>
          <w:rFonts w:hint="eastAsia"/>
          <w:kern w:val="2"/>
        </w:rPr>
        <w:t>实验废水经生产车间</w:t>
      </w:r>
      <w:r>
        <w:rPr>
          <w:rFonts w:hint="eastAsia"/>
          <w:kern w:val="2"/>
        </w:rPr>
        <w:t>15m</w:t>
      </w:r>
      <w:r>
        <w:rPr>
          <w:rFonts w:hint="eastAsia"/>
          <w:kern w:val="2"/>
          <w:vertAlign w:val="superscript"/>
        </w:rPr>
        <w:t>3</w:t>
      </w:r>
      <w:r>
        <w:rPr>
          <w:rFonts w:hint="eastAsia"/>
          <w:kern w:val="2"/>
        </w:rPr>
        <w:t>电解液事故罐收集后回用于生产，</w:t>
      </w:r>
      <w:r>
        <w:rPr>
          <w:rFonts w:hint="eastAsia"/>
        </w:rPr>
        <w:t>地面冲洗水、</w:t>
      </w:r>
      <w:r>
        <w:rPr>
          <w:kern w:val="2"/>
        </w:rPr>
        <w:t>软水制备及纯水制备排浓水、锅炉排水经厂内污水管道收集，生活污水经预处理后，一并经厂区总排口排入园区污水厂进一步处理。</w:t>
      </w:r>
      <w:r>
        <w:rPr>
          <w:kern w:val="28"/>
        </w:rPr>
        <w:t>本项目</w:t>
      </w:r>
      <w:r>
        <w:rPr>
          <w:rFonts w:hint="eastAsia"/>
          <w:kern w:val="28"/>
        </w:rPr>
        <w:t>综合</w:t>
      </w:r>
      <w:r>
        <w:rPr>
          <w:kern w:val="28"/>
        </w:rPr>
        <w:t>废水</w:t>
      </w:r>
      <w:r>
        <w:rPr>
          <w:rFonts w:hint="eastAsia"/>
          <w:kern w:val="28"/>
        </w:rPr>
        <w:t>水质</w:t>
      </w:r>
      <w:r>
        <w:rPr>
          <w:kern w:val="28"/>
        </w:rPr>
        <w:t>可以满足</w:t>
      </w:r>
      <w:r>
        <w:rPr>
          <w:kern w:val="2"/>
        </w:rPr>
        <w:t>《无机化学工业污染物排放标准》（</w:t>
      </w:r>
      <w:r>
        <w:rPr>
          <w:kern w:val="2"/>
        </w:rPr>
        <w:t>GB31573-2015</w:t>
      </w:r>
      <w:r>
        <w:rPr>
          <w:kern w:val="2"/>
        </w:rPr>
        <w:t>）间接排放标准，同时需满足园区污水处理厂纳管要求即《污水综合排放标准》（</w:t>
      </w:r>
      <w:r>
        <w:rPr>
          <w:kern w:val="2"/>
        </w:rPr>
        <w:t>GB8978-1996</w:t>
      </w:r>
      <w:r>
        <w:rPr>
          <w:kern w:val="2"/>
        </w:rPr>
        <w:t>）中三级标准限值</w:t>
      </w:r>
      <w:r>
        <w:rPr>
          <w:kern w:val="28"/>
        </w:rPr>
        <w:t>。</w:t>
      </w:r>
    </w:p>
    <w:p w14:paraId="5C171F67" w14:textId="77777777" w:rsidR="003E78AB" w:rsidRDefault="00010BF9">
      <w:pPr>
        <w:ind w:firstLine="480"/>
        <w:jc w:val="left"/>
        <w:rPr>
          <w:kern w:val="28"/>
        </w:rPr>
      </w:pPr>
      <w:r>
        <w:rPr>
          <w:kern w:val="28"/>
        </w:rPr>
        <w:t>综上，项目产生的各类废水均得到合理处置，均不外排，不会对项目区地表水体造成影响。</w:t>
      </w:r>
    </w:p>
    <w:p w14:paraId="7E1C8ECD" w14:textId="77777777" w:rsidR="003E78AB" w:rsidRDefault="00010BF9">
      <w:pPr>
        <w:pStyle w:val="5"/>
        <w:keepNext w:val="0"/>
        <w:keepLines w:val="0"/>
        <w:ind w:firstLine="482"/>
        <w:rPr>
          <w:sz w:val="24"/>
        </w:rPr>
      </w:pPr>
      <w:r>
        <w:rPr>
          <w:sz w:val="24"/>
        </w:rPr>
        <w:t>3</w:t>
      </w:r>
      <w:r>
        <w:rPr>
          <w:rFonts w:hint="eastAsia"/>
          <w:sz w:val="24"/>
        </w:rPr>
        <w:t>.</w:t>
      </w:r>
      <w:r>
        <w:rPr>
          <w:sz w:val="24"/>
        </w:rPr>
        <w:t>声环境影响分析</w:t>
      </w:r>
    </w:p>
    <w:p w14:paraId="289F4D41" w14:textId="77777777" w:rsidR="003E78AB" w:rsidRDefault="00010BF9">
      <w:pPr>
        <w:ind w:firstLine="480"/>
      </w:pPr>
      <w:r>
        <w:t>（</w:t>
      </w:r>
      <w:r>
        <w:t>1</w:t>
      </w:r>
      <w:r>
        <w:t>）施工期噪声环境影响分析结论</w:t>
      </w:r>
    </w:p>
    <w:p w14:paraId="026376FB" w14:textId="77777777" w:rsidR="003E78AB" w:rsidRDefault="00010BF9">
      <w:pPr>
        <w:ind w:firstLine="480"/>
      </w:pPr>
      <w:r>
        <w:t>根据施工期噪声预测结果，昼间机械设备在施工场界周围</w:t>
      </w:r>
      <w:r>
        <w:t>89m</w:t>
      </w:r>
      <w:r>
        <w:t>范围外的噪声值才符合《建筑施工场界环境噪声排放标准》</w:t>
      </w:r>
      <w:r>
        <w:t>(GB12523-2011)</w:t>
      </w:r>
      <w:r>
        <w:t>要求，夜间</w:t>
      </w:r>
      <w:r>
        <w:t>200m</w:t>
      </w:r>
      <w:r>
        <w:t>还超过《建筑施工场界环境噪声排放标准》</w:t>
      </w:r>
      <w:r>
        <w:t>(GB1252</w:t>
      </w:r>
      <w:r>
        <w:t>3-2011)</w:t>
      </w:r>
      <w:r>
        <w:t>要求。本项目周围</w:t>
      </w:r>
      <w:r>
        <w:t>500m</w:t>
      </w:r>
      <w:r>
        <w:t>范围内无办公楼及生活区，并且项目施工均为白天施工，夜间不施工，因此施工期作业噪声对周围环境影响不大。</w:t>
      </w:r>
    </w:p>
    <w:p w14:paraId="3CD82FC9" w14:textId="77777777" w:rsidR="003E78AB" w:rsidRDefault="00010BF9">
      <w:pPr>
        <w:ind w:firstLine="480"/>
      </w:pPr>
      <w:r>
        <w:t>（</w:t>
      </w:r>
      <w:r>
        <w:t>2</w:t>
      </w:r>
      <w:r>
        <w:t>）运营期噪声环境影响分析结论</w:t>
      </w:r>
    </w:p>
    <w:p w14:paraId="4CADF921" w14:textId="77777777" w:rsidR="003E78AB" w:rsidRDefault="00010BF9">
      <w:pPr>
        <w:ind w:firstLine="480"/>
      </w:pPr>
      <w:r>
        <w:t>根据噪声预测结果厂界昼间和夜间噪声贡献值均能满足《工业企业厂界环境噪声排放标准》（</w:t>
      </w:r>
      <w:r>
        <w:t>GB12348-2008</w:t>
      </w:r>
      <w:r>
        <w:t>）</w:t>
      </w:r>
      <w:r>
        <w:t>3</w:t>
      </w:r>
      <w:r>
        <w:t>类（昼间</w:t>
      </w:r>
      <w:r>
        <w:t>65dB</w:t>
      </w:r>
      <w:r>
        <w:rPr>
          <w:rFonts w:hint="eastAsia"/>
        </w:rPr>
        <w:t>(A)</w:t>
      </w:r>
      <w:r>
        <w:t>、夜间</w:t>
      </w:r>
      <w:r>
        <w:t>55dB</w:t>
      </w:r>
      <w:r>
        <w:rPr>
          <w:rFonts w:hint="eastAsia"/>
        </w:rPr>
        <w:t>(A)</w:t>
      </w:r>
      <w:r>
        <w:t>）排放限值，经现场踏勘，本项目周边无居民区等环境敏感点，周边较为开阔，噪声经衰减后对周边环境影响较小。</w:t>
      </w:r>
    </w:p>
    <w:p w14:paraId="493B3FEE" w14:textId="77777777" w:rsidR="003E78AB" w:rsidRDefault="00010BF9">
      <w:pPr>
        <w:pStyle w:val="5"/>
        <w:keepNext w:val="0"/>
        <w:keepLines w:val="0"/>
        <w:ind w:firstLine="482"/>
        <w:rPr>
          <w:sz w:val="24"/>
        </w:rPr>
      </w:pPr>
      <w:r>
        <w:rPr>
          <w:sz w:val="24"/>
        </w:rPr>
        <w:t>4</w:t>
      </w:r>
      <w:r>
        <w:rPr>
          <w:rFonts w:hint="eastAsia"/>
          <w:sz w:val="24"/>
        </w:rPr>
        <w:t>.</w:t>
      </w:r>
      <w:r>
        <w:rPr>
          <w:sz w:val="24"/>
        </w:rPr>
        <w:t>固体废弃物环境影响分析</w:t>
      </w:r>
    </w:p>
    <w:p w14:paraId="0110583E" w14:textId="77777777" w:rsidR="003E78AB" w:rsidRDefault="00010BF9">
      <w:pPr>
        <w:ind w:firstLine="480"/>
      </w:pPr>
      <w:r>
        <w:t>（</w:t>
      </w:r>
      <w:r>
        <w:t>1</w:t>
      </w:r>
      <w:r>
        <w:t>）施工期固体废物环境影响分析结论</w:t>
      </w:r>
    </w:p>
    <w:p w14:paraId="6B1600A3" w14:textId="77777777" w:rsidR="003E78AB" w:rsidRDefault="00010BF9">
      <w:pPr>
        <w:ind w:firstLine="480"/>
      </w:pPr>
      <w:r>
        <w:t>根据分析，项目施工期产生建筑垃圾进行分类收集后送往伊州区城北建筑垃圾填埋场处置；施工期产生生活垃圾全部交由环卫部门统一处置；施工期挖填方平衡，无废弃土方外排。施工期固废在采取相应处置措施后，对周围环境的影响较小。</w:t>
      </w:r>
    </w:p>
    <w:p w14:paraId="46235D4F" w14:textId="77777777" w:rsidR="003E78AB" w:rsidRDefault="00010BF9">
      <w:pPr>
        <w:ind w:firstLine="480"/>
      </w:pPr>
      <w:r>
        <w:t>（</w:t>
      </w:r>
      <w:r>
        <w:t>2</w:t>
      </w:r>
      <w:r>
        <w:t>）运营期固体废物环境影响分析结论</w:t>
      </w:r>
    </w:p>
    <w:p w14:paraId="55BF7AE3" w14:textId="77777777" w:rsidR="003E78AB" w:rsidRDefault="00010BF9">
      <w:pPr>
        <w:ind w:firstLine="480"/>
      </w:pPr>
      <w:r>
        <w:t>根据分析结果可知，本项目产生的各类固废均采取了相应治理措施，各治理措施均符合现行环保要求，项目产生的各类固废通过采取的治理措施均达到了减量化、资源化、无害化处置，不会对项目区环境造成大的影响，因此治理措施可行。</w:t>
      </w:r>
    </w:p>
    <w:p w14:paraId="2DDA327A" w14:textId="77777777" w:rsidR="003E78AB" w:rsidRDefault="00010BF9">
      <w:pPr>
        <w:pStyle w:val="5"/>
        <w:keepNext w:val="0"/>
        <w:keepLines w:val="0"/>
        <w:ind w:firstLine="482"/>
        <w:rPr>
          <w:sz w:val="24"/>
        </w:rPr>
      </w:pPr>
      <w:r>
        <w:rPr>
          <w:sz w:val="24"/>
        </w:rPr>
        <w:t>5</w:t>
      </w:r>
      <w:r>
        <w:rPr>
          <w:rFonts w:hint="eastAsia"/>
          <w:sz w:val="24"/>
        </w:rPr>
        <w:t>.</w:t>
      </w:r>
      <w:r>
        <w:rPr>
          <w:sz w:val="24"/>
        </w:rPr>
        <w:t>生态环境影响分析</w:t>
      </w:r>
    </w:p>
    <w:p w14:paraId="26CF4E42" w14:textId="77777777" w:rsidR="003E78AB" w:rsidRDefault="00010BF9">
      <w:pPr>
        <w:ind w:firstLine="480"/>
      </w:pPr>
      <w:r>
        <w:t>根据分析项目实施后，区域内</w:t>
      </w:r>
      <w:r>
        <w:t>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w:t>
      </w:r>
    </w:p>
    <w:p w14:paraId="79FA0EF1" w14:textId="77777777" w:rsidR="003E78AB" w:rsidRDefault="00010BF9">
      <w:pPr>
        <w:pStyle w:val="5"/>
        <w:keepNext w:val="0"/>
        <w:keepLines w:val="0"/>
        <w:ind w:firstLine="482"/>
        <w:rPr>
          <w:sz w:val="24"/>
        </w:rPr>
      </w:pPr>
      <w:r>
        <w:rPr>
          <w:sz w:val="24"/>
        </w:rPr>
        <w:t>6</w:t>
      </w:r>
      <w:r>
        <w:rPr>
          <w:rFonts w:hint="eastAsia"/>
          <w:sz w:val="24"/>
        </w:rPr>
        <w:t>.</w:t>
      </w:r>
      <w:r>
        <w:rPr>
          <w:sz w:val="24"/>
        </w:rPr>
        <w:t>土壤环境影响分析</w:t>
      </w:r>
    </w:p>
    <w:p w14:paraId="091C3302" w14:textId="77777777" w:rsidR="003E78AB" w:rsidRDefault="00010BF9">
      <w:pPr>
        <w:ind w:firstLine="480"/>
      </w:pPr>
      <w:r>
        <w:t>根据分析，在非正常工况下，项目</w:t>
      </w:r>
      <w:r>
        <w:rPr>
          <w:rFonts w:hint="eastAsia"/>
        </w:rPr>
        <w:t>废气淋洗</w:t>
      </w:r>
      <w:r>
        <w:rPr>
          <w:rFonts w:hint="eastAsia"/>
        </w:rPr>
        <w:t>循环水箱</w:t>
      </w:r>
      <w:r>
        <w:t>发生污染物垂直入渗将会对区域土壤环境造成污染，但在采取完善的防渗和巡查措施，加强安全生产管理后，事故发生的</w:t>
      </w:r>
      <w:r>
        <w:t>概率可以得到有效控制，不会对区域土壤环境造成较大环境影响，项目建设对土壤环境的影响是可以接受的。</w:t>
      </w:r>
    </w:p>
    <w:p w14:paraId="19DD8628"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10</w:t>
      </w:r>
      <w:r>
        <w:rPr>
          <w:rFonts w:cs="Times New Roman"/>
          <w:sz w:val="28"/>
          <w:szCs w:val="28"/>
        </w:rPr>
        <w:t>.1.4</w:t>
      </w:r>
      <w:r>
        <w:rPr>
          <w:rFonts w:cs="Times New Roman"/>
          <w:sz w:val="28"/>
          <w:szCs w:val="28"/>
        </w:rPr>
        <w:t>总量控制指标</w:t>
      </w:r>
    </w:p>
    <w:p w14:paraId="6270695F" w14:textId="77777777" w:rsidR="003E78AB" w:rsidRDefault="00010BF9">
      <w:pPr>
        <w:ind w:firstLine="480"/>
      </w:pPr>
      <w:r>
        <w:rPr>
          <w:rFonts w:hint="eastAsia"/>
        </w:rPr>
        <w:t>本项目大气污染物：颗粒物</w:t>
      </w:r>
      <w:r>
        <w:rPr>
          <w:rFonts w:hint="eastAsia"/>
        </w:rPr>
        <w:t xml:space="preserve"> 0.4152t/a</w:t>
      </w:r>
      <w:r>
        <w:rPr>
          <w:rFonts w:hint="eastAsia"/>
        </w:rPr>
        <w:t>、</w:t>
      </w:r>
      <w:r>
        <w:rPr>
          <w:rFonts w:hint="eastAsia"/>
        </w:rPr>
        <w:t>SO</w:t>
      </w:r>
      <w:r>
        <w:rPr>
          <w:rFonts w:hint="eastAsia"/>
          <w:vertAlign w:val="subscript"/>
        </w:rPr>
        <w:t>2</w:t>
      </w:r>
      <w:r>
        <w:rPr>
          <w:rFonts w:hint="eastAsia"/>
        </w:rPr>
        <w:t xml:space="preserve"> 0.1529t/a</w:t>
      </w:r>
      <w:r>
        <w:rPr>
          <w:rFonts w:hint="eastAsia"/>
        </w:rPr>
        <w:t>、</w:t>
      </w:r>
      <w:r>
        <w:rPr>
          <w:rFonts w:hint="eastAsia"/>
        </w:rPr>
        <w:t>NOx 1.0175t/a</w:t>
      </w:r>
      <w:r>
        <w:rPr>
          <w:rFonts w:hint="eastAsia"/>
        </w:rPr>
        <w:t>、</w:t>
      </w:r>
      <w:r>
        <w:rPr>
          <w:rFonts w:hint="eastAsia"/>
        </w:rPr>
        <w:t>VOCs 0.3649t/a</w:t>
      </w:r>
      <w:r>
        <w:rPr>
          <w:rFonts w:hint="eastAsia"/>
        </w:rPr>
        <w:t>。需申请总量指标。</w:t>
      </w:r>
    </w:p>
    <w:p w14:paraId="0D874E3C" w14:textId="77777777" w:rsidR="003E78AB" w:rsidRDefault="00010BF9">
      <w:pPr>
        <w:ind w:firstLine="480"/>
      </w:pPr>
      <w:r>
        <w:rPr>
          <w:rFonts w:hint="eastAsia"/>
        </w:rPr>
        <w:t>本项目公辅设施废水和生活污水</w:t>
      </w:r>
      <w:r>
        <w:rPr>
          <w:kern w:val="2"/>
        </w:rPr>
        <w:t>及经厂区总排口排入园区污水厂进一步处理。</w:t>
      </w:r>
      <w:r>
        <w:rPr>
          <w:rFonts w:hint="eastAsia"/>
        </w:rPr>
        <w:t>因此无需申请水污染物排放总量。</w:t>
      </w:r>
    </w:p>
    <w:p w14:paraId="1AD11CC8"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10</w:t>
      </w:r>
      <w:r>
        <w:rPr>
          <w:rFonts w:cs="Times New Roman"/>
          <w:sz w:val="28"/>
          <w:szCs w:val="28"/>
        </w:rPr>
        <w:t>.1.5</w:t>
      </w:r>
      <w:r>
        <w:rPr>
          <w:rFonts w:cs="Times New Roman"/>
          <w:sz w:val="28"/>
          <w:szCs w:val="28"/>
        </w:rPr>
        <w:t>风险评价结论</w:t>
      </w:r>
    </w:p>
    <w:p w14:paraId="6349D4FC" w14:textId="77777777" w:rsidR="003E78AB" w:rsidRDefault="00010BF9">
      <w:pPr>
        <w:ind w:firstLine="480"/>
      </w:pPr>
      <w:r>
        <w:t>本项目生产过程中涉及多种危险物质，生产过程中存在环境风险隐患。企业通过加强管理，制定完善的风险管理制度、加强环保设施的运行维护、制定环境风险事故应急预案并定期演练等措施，尽量降低事故发生的可能性；发生事故后，通过启动事故应急预案，应急处理措施，可尽量减小事故影响后果，整体来讲，项目环境风险可防可控。</w:t>
      </w:r>
    </w:p>
    <w:p w14:paraId="227CA775" w14:textId="77777777" w:rsidR="003E78AB" w:rsidRDefault="00010BF9">
      <w:pPr>
        <w:pStyle w:val="24"/>
        <w:keepNext w:val="0"/>
        <w:keepLines w:val="0"/>
        <w:topLinePunct/>
        <w:spacing w:before="156"/>
        <w:outlineLvl w:val="2"/>
        <w:rPr>
          <w:rFonts w:cs="Times New Roman"/>
          <w:sz w:val="28"/>
          <w:szCs w:val="28"/>
        </w:rPr>
      </w:pPr>
      <w:r>
        <w:rPr>
          <w:rFonts w:cs="Times New Roman" w:hint="eastAsia"/>
          <w:sz w:val="28"/>
          <w:szCs w:val="28"/>
        </w:rPr>
        <w:t>10</w:t>
      </w:r>
      <w:r>
        <w:rPr>
          <w:rFonts w:cs="Times New Roman"/>
          <w:sz w:val="28"/>
          <w:szCs w:val="28"/>
        </w:rPr>
        <w:t>.1.6</w:t>
      </w:r>
      <w:r>
        <w:rPr>
          <w:rFonts w:cs="Times New Roman"/>
          <w:sz w:val="28"/>
          <w:szCs w:val="28"/>
        </w:rPr>
        <w:t>公众参与</w:t>
      </w:r>
    </w:p>
    <w:p w14:paraId="2330FA2A" w14:textId="77777777" w:rsidR="003E78AB" w:rsidRDefault="00010BF9">
      <w:pPr>
        <w:ind w:firstLine="480"/>
      </w:pPr>
      <w:r>
        <w:t>根据《环境影响评价公众参与办法》</w:t>
      </w:r>
      <w:r>
        <w:rPr>
          <w:rFonts w:hint="eastAsia"/>
        </w:rPr>
        <w:t>（</w:t>
      </w:r>
      <w:r>
        <w:t>部令第</w:t>
      </w:r>
      <w:r>
        <w:t>4</w:t>
      </w:r>
      <w:r>
        <w:t>号</w:t>
      </w:r>
      <w:r>
        <w:rPr>
          <w:rFonts w:hint="eastAsia"/>
        </w:rPr>
        <w:t>）</w:t>
      </w:r>
      <w:r>
        <w:t>“</w:t>
      </w:r>
      <w:r>
        <w:t>第三十一条对依法批准设立的产业园区内的建设项目，若该产业园区已依法开展了规划环境影响评价公众参与且该建设项目性质、规模等符合经生态环境主管部</w:t>
      </w:r>
      <w:r>
        <w:t>门组织审查通过的规划环境影响报告书和审查意见，建设单位开展建设项目环境影响评价公众参与时，公众参与方式予以简化</w:t>
      </w:r>
      <w:r>
        <w:t>”</w:t>
      </w:r>
      <w:r>
        <w:t>，本项目位于哈密工业园区南部循环经济产业园，本项目性质、规模等符合园区规划环境影响报告书和审查意见，建设单位开展建设项目环境影响评价公众参与时，直接进行征求意见稿公示。征求意见稿公示途径为新疆维吾尔自治区生态环境保护产业协会</w:t>
      </w:r>
      <w:r>
        <w:rPr>
          <w:rFonts w:hint="eastAsia"/>
        </w:rPr>
        <w:t>官网</w:t>
      </w:r>
      <w:r>
        <w:t>和哈密日报，公示期间，未收到公众反馈意见。建设单位向生态环境主管部门报批环境影响报告书前，在新疆维吾尔自治区生态环境保护产业协会官网发布了拟报批公示。</w:t>
      </w:r>
    </w:p>
    <w:p w14:paraId="28F9DBC0" w14:textId="77777777" w:rsidR="003E78AB" w:rsidRDefault="00010BF9">
      <w:pPr>
        <w:ind w:firstLine="480"/>
      </w:pPr>
      <w:r>
        <w:t>综上所述，项目在环境</w:t>
      </w:r>
      <w:r>
        <w:t>影响评价公示期间未收到当地群众反馈意见，说明当地群众不反对该项目的建设。</w:t>
      </w:r>
    </w:p>
    <w:p w14:paraId="14701AF6" w14:textId="77777777" w:rsidR="003E78AB" w:rsidRDefault="00010BF9">
      <w:pPr>
        <w:pStyle w:val="24"/>
        <w:keepNext w:val="0"/>
        <w:keepLines w:val="0"/>
        <w:topLinePunct/>
        <w:spacing w:before="156"/>
        <w:rPr>
          <w:rFonts w:cs="Times New Roman"/>
        </w:rPr>
      </w:pPr>
      <w:bookmarkStart w:id="523" w:name="_Toc7798"/>
      <w:bookmarkStart w:id="524" w:name="_Toc15040"/>
      <w:r>
        <w:rPr>
          <w:rFonts w:cs="Times New Roman" w:hint="eastAsia"/>
        </w:rPr>
        <w:t>10</w:t>
      </w:r>
      <w:r>
        <w:rPr>
          <w:rFonts w:cs="Times New Roman"/>
        </w:rPr>
        <w:t>.2</w:t>
      </w:r>
      <w:r>
        <w:rPr>
          <w:rFonts w:cs="Times New Roman"/>
        </w:rPr>
        <w:t>综合评价结论</w:t>
      </w:r>
      <w:bookmarkEnd w:id="523"/>
      <w:bookmarkEnd w:id="524"/>
    </w:p>
    <w:p w14:paraId="2BC70A6A" w14:textId="77777777" w:rsidR="003E78AB" w:rsidRDefault="00010BF9">
      <w:pPr>
        <w:ind w:firstLine="480"/>
      </w:pPr>
      <w:r>
        <w:t>本次项目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14:paraId="0DE73D15" w14:textId="77777777" w:rsidR="003E78AB" w:rsidRDefault="00010BF9">
      <w:pPr>
        <w:ind w:firstLine="480"/>
      </w:pPr>
      <w:r>
        <w:t>本评价认为，项目在设计和运行时应严格执行安全生产的各项规章制度，根据生产的安全要求，制定事故应急预案，配套相应的安全防范措施，杜绝事故对</w:t>
      </w:r>
      <w:r>
        <w:t>环境产生的风险。项目建设过程中应严格认真执行环境保护</w:t>
      </w:r>
      <w:r>
        <w:t>“</w:t>
      </w:r>
      <w:r>
        <w:t>三同时</w:t>
      </w:r>
      <w:r>
        <w:t>”</w:t>
      </w:r>
      <w:r>
        <w:t>制度，切实落实本报告书各项污染防治措施和环境管理措施，确保各类污染物稳定达标排放和污染物排放总量控制。在此基础上，本项目的建设在环境保护方面是可行的。</w:t>
      </w:r>
    </w:p>
    <w:p w14:paraId="7B1F076C" w14:textId="77777777" w:rsidR="003E78AB" w:rsidRDefault="00010BF9">
      <w:pPr>
        <w:pStyle w:val="24"/>
        <w:keepNext w:val="0"/>
        <w:keepLines w:val="0"/>
        <w:topLinePunct/>
        <w:spacing w:before="156"/>
        <w:rPr>
          <w:rFonts w:cs="Times New Roman"/>
        </w:rPr>
      </w:pPr>
      <w:bookmarkStart w:id="525" w:name="_Toc12229"/>
      <w:bookmarkStart w:id="526" w:name="_Toc26292"/>
      <w:r>
        <w:rPr>
          <w:rFonts w:cs="Times New Roman" w:hint="eastAsia"/>
        </w:rPr>
        <w:t>10</w:t>
      </w:r>
      <w:r>
        <w:rPr>
          <w:rFonts w:cs="Times New Roman"/>
        </w:rPr>
        <w:t>.3</w:t>
      </w:r>
      <w:r>
        <w:rPr>
          <w:rFonts w:cs="Times New Roman"/>
        </w:rPr>
        <w:t>建议</w:t>
      </w:r>
      <w:bookmarkEnd w:id="525"/>
      <w:bookmarkEnd w:id="526"/>
    </w:p>
    <w:p w14:paraId="706CAE4C" w14:textId="77777777" w:rsidR="003E78AB" w:rsidRDefault="00010BF9">
      <w:pPr>
        <w:ind w:firstLine="480"/>
      </w:pPr>
      <w:r>
        <w:t>（</w:t>
      </w:r>
      <w:r>
        <w:t>1</w:t>
      </w:r>
      <w:r>
        <w:t>）切实抓好安全生产，杜绝安全事故的发生，减小项目的环境风险。</w:t>
      </w:r>
    </w:p>
    <w:p w14:paraId="14678163" w14:textId="77777777" w:rsidR="003E78AB" w:rsidRDefault="00010BF9">
      <w:pPr>
        <w:ind w:firstLine="480"/>
      </w:pPr>
      <w:r>
        <w:t>（</w:t>
      </w:r>
      <w:r>
        <w:t>2</w:t>
      </w:r>
      <w:r>
        <w:t>）加强生产设施及污染防治设施运行的管理，定期对污染防治设施进行保养检修，确保污染物达标排放，避免污染事故发生。</w:t>
      </w:r>
      <w:bookmarkEnd w:id="519"/>
      <w:bookmarkEnd w:id="520"/>
    </w:p>
    <w:sectPr w:rsidR="003E78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60473" w14:textId="77777777" w:rsidR="003E78AB" w:rsidRDefault="00010BF9">
      <w:pPr>
        <w:spacing w:line="240" w:lineRule="auto"/>
        <w:ind w:firstLine="480"/>
      </w:pPr>
      <w:r>
        <w:separator/>
      </w:r>
    </w:p>
  </w:endnote>
  <w:endnote w:type="continuationSeparator" w:id="0">
    <w:p w14:paraId="2C459F6C" w14:textId="77777777" w:rsidR="003E78AB" w:rsidRDefault="00010BF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康简宋">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charset w:val="86"/>
    <w:family w:val="modern"/>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Noto Sans CJK JP Regular">
    <w:altName w:val="Segoe Print"/>
    <w:charset w:val="00"/>
    <w:family w:val="swiss"/>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58A2A" w14:textId="77777777" w:rsidR="003E78AB" w:rsidRDefault="003E78AB">
    <w:pPr>
      <w:pStyle w:val="af8"/>
      <w:ind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E495" w14:textId="77777777" w:rsidR="003E78AB" w:rsidRDefault="00010BF9">
    <w:pPr>
      <w:spacing w:line="240" w:lineRule="auto"/>
      <w:ind w:firstLineChars="0" w:firstLine="0"/>
      <w:jc w:val="center"/>
      <w:rPr>
        <w:rFonts w:eastAsia="Times New Roman"/>
        <w:sz w:val="17"/>
        <w:szCs w:val="17"/>
      </w:rPr>
    </w:pPr>
    <w:r>
      <w:rPr>
        <w:noProof/>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6AF8F" w14:textId="7541A7A4"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232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3"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uR7tWYCAAAhBQAADgAAAAAAAAAAAAAAAAAuAgAAZHJzL2Uyb0Rv&#10;Yy54bWxQSwECLQAUAAYACAAAACEAcarRudcAAAAFAQAADwAAAAAAAAAAAAAAAADABAAAZHJzL2Rv&#10;d25yZXYueG1sUEsFBgAAAAAEAAQA8wAAAMQFAAAAAA==&#10;" filled="f" stroked="f" strokeweight=".5pt">
              <v:textbox style="mso-fit-shape-to-text:t" inset="0,0,0,0">
                <w:txbxContent>
                  <w:p w14:paraId="3146AF8F" w14:textId="7541A7A4"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232</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8C1AE" w14:textId="77777777" w:rsidR="003E78AB" w:rsidRDefault="00010BF9">
    <w:pPr>
      <w:pStyle w:val="af8"/>
      <w:ind w:firstLineChars="0" w:firstLine="0"/>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8125" w14:textId="5D84068F" w:rsidR="003E78AB" w:rsidRDefault="00010BF9">
                          <w:pPr>
                            <w:pStyle w:val="af8"/>
                            <w:ind w:firstLine="360"/>
                          </w:pPr>
                          <w:r>
                            <w:fldChar w:fldCharType="begin"/>
                          </w:r>
                          <w:r>
                            <w:instrText xml:space="preserve"> PAGE  \* MERGEFORMAT </w:instrText>
                          </w:r>
                          <w:r>
                            <w:fldChar w:fldCharType="separate"/>
                          </w:r>
                          <w:r>
                            <w:rPr>
                              <w:noProof/>
                            </w:rPr>
                            <w:t>300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4" type="#_x0000_t202" style="position:absolute;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APBCTaAIAACEFAAAOAAAAAAAAAAAAAAAAAC4CAABkcnMvZTJv&#10;RG9jLnhtbFBLAQItABQABgAIAAAAIQBxqtG51wAAAAUBAAAPAAAAAAAAAAAAAAAAAMIEAABkcnMv&#10;ZG93bnJldi54bWxQSwUGAAAAAAQABADzAAAAxgUAAAAA&#10;" filled="f" stroked="f" strokeweight=".5pt">
              <v:textbox style="mso-fit-shape-to-text:t" inset="0,0,0,0">
                <w:txbxContent>
                  <w:p w14:paraId="2A098125" w14:textId="5D84068F" w:rsidR="003E78AB" w:rsidRDefault="00010BF9">
                    <w:pPr>
                      <w:pStyle w:val="af8"/>
                      <w:ind w:firstLine="360"/>
                    </w:pPr>
                    <w:r>
                      <w:fldChar w:fldCharType="begin"/>
                    </w:r>
                    <w:r>
                      <w:instrText xml:space="preserve"> PAGE  \* MERGEFORMAT </w:instrText>
                    </w:r>
                    <w:r>
                      <w:fldChar w:fldCharType="separate"/>
                    </w:r>
                    <w:r>
                      <w:rPr>
                        <w:noProof/>
                      </w:rPr>
                      <w:t>300</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03AA" w14:textId="77777777" w:rsidR="003E78AB" w:rsidRDefault="00010BF9">
    <w:pPr>
      <w:pStyle w:val="af8"/>
      <w:ind w:firstLine="360"/>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4203A" w14:textId="328F1CFF" w:rsidR="003E78AB" w:rsidRDefault="00010BF9">
                          <w:pPr>
                            <w:pStyle w:val="af8"/>
                            <w:ind w:firstLine="360"/>
                          </w:pPr>
                          <w:r>
                            <w:fldChar w:fldCharType="begin"/>
                          </w:r>
                          <w:r>
                            <w:instrText xml:space="preserve"> PAGE  \* MERGEFORMAT </w:instrText>
                          </w:r>
                          <w:r>
                            <w:fldChar w:fldCharType="separate"/>
                          </w:r>
                          <w:r>
                            <w:rPr>
                              <w:noProof/>
                            </w:rPr>
                            <w:t>331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5"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zVZVxnAgAAIQUAAA4AAAAAAAAAAAAAAAAALgIAAGRycy9lMm9E&#10;b2MueG1sUEsBAi0AFAAGAAgAAAAhAHGq0bnXAAAABQEAAA8AAAAAAAAAAAAAAAAAwQQAAGRycy9k&#10;b3ducmV2LnhtbFBLBQYAAAAABAAEAPMAAADFBQAAAAA=&#10;" filled="f" stroked="f" strokeweight=".5pt">
              <v:textbox style="mso-fit-shape-to-text:t" inset="0,0,0,0">
                <w:txbxContent>
                  <w:p w14:paraId="69E4203A" w14:textId="328F1CFF" w:rsidR="003E78AB" w:rsidRDefault="00010BF9">
                    <w:pPr>
                      <w:pStyle w:val="af8"/>
                      <w:ind w:firstLine="360"/>
                    </w:pPr>
                    <w:r>
                      <w:fldChar w:fldCharType="begin"/>
                    </w:r>
                    <w:r>
                      <w:instrText xml:space="preserve"> PAGE  \* MERGEFORMAT </w:instrText>
                    </w:r>
                    <w:r>
                      <w:fldChar w:fldCharType="separate"/>
                    </w:r>
                    <w:r>
                      <w:rPr>
                        <w:noProof/>
                      </w:rPr>
                      <w:t>331</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53D79" w14:textId="77777777" w:rsidR="003E78AB" w:rsidRDefault="00010BF9">
    <w:pPr>
      <w:spacing w:line="240" w:lineRule="auto"/>
      <w:ind w:firstLineChars="0" w:firstLine="0"/>
      <w:jc w:val="center"/>
      <w:rPr>
        <w:rFonts w:eastAsia="Times New Roman"/>
        <w:sz w:val="17"/>
        <w:szCs w:val="17"/>
      </w:rPr>
    </w:pPr>
    <w:r>
      <w:rPr>
        <w:noProof/>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F12F4" w14:textId="5F293740"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375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36"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" filled="f" stroked="f" strokeweight=".5pt">
              <v:textbox style="mso-fit-shape-to-text:t" inset="0,0,0,0">
                <w:txbxContent>
                  <w:p w14:paraId="68FF12F4" w14:textId="5F293740"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375</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FA1D4" w14:textId="77777777" w:rsidR="003E78AB" w:rsidRDefault="003E78AB">
    <w:pPr>
      <w:pStyle w:val="af8"/>
      <w:ind w:firstLineChars="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D8F2" w14:textId="77777777" w:rsidR="003E78AB" w:rsidRDefault="003E78AB">
    <w:pPr>
      <w:pStyle w:val="af8"/>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D229" w14:textId="77777777" w:rsidR="003E78AB" w:rsidRDefault="003E78AB">
    <w:pPr>
      <w:pStyle w:val="af8"/>
      <w:ind w:firstLineChars="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20FF" w14:textId="77777777" w:rsidR="003E78AB" w:rsidRDefault="00010BF9">
    <w:pPr>
      <w:pBdr>
        <w:top w:val="none" w:sz="0" w:space="1" w:color="auto"/>
      </w:pBdr>
      <w:spacing w:line="240" w:lineRule="auto"/>
      <w:ind w:firstLineChars="0" w:firstLine="0"/>
      <w:rPr>
        <w:b/>
        <w:bCs/>
        <w:kern w:val="2"/>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ECB3D" w14:textId="2A08A1C5"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497ECB3D" w14:textId="2A08A1C5"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E80C3" w14:textId="77777777" w:rsidR="003E78AB" w:rsidRDefault="00010BF9">
    <w:pPr>
      <w:pStyle w:val="af8"/>
      <w:spacing w:line="240" w:lineRule="auto"/>
      <w:ind w:firstLineChars="0" w:firstLine="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E99D4" w14:textId="3F6E788C"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0"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I4ZAIAABEFAAAOAAAAZHJzL2Uyb0RvYy54bWysVM2O0zAQviPxDpbvNOkidqu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jaAjhkAgAAEQUAAA4AAAAAAAAAAAAAAAAALgIAAGRycy9lMm9Eb2Mu&#10;eG1sUEsBAi0AFAAGAAgAAAAhAHGq0bnXAAAABQEAAA8AAAAAAAAAAAAAAAAAvgQAAGRycy9kb3du&#10;cmV2LnhtbFBLBQYAAAAABAAEAPMAAADCBQAAAAA=&#10;" filled="f" stroked="f" strokeweight=".5pt">
              <v:textbox style="mso-fit-shape-to-text:t" inset="0,0,0,0">
                <w:txbxContent>
                  <w:p w14:paraId="6BFE99D4" w14:textId="3F6E788C" w:rsidR="003E78AB" w:rsidRDefault="00010BF9">
                    <w:pPr>
                      <w:pStyle w:val="af8"/>
                      <w:spacing w:line="240" w:lineRule="auto"/>
                      <w:ind w:firstLineChars="0" w:firstLine="0"/>
                    </w:pPr>
                    <w:r>
                      <w:fldChar w:fldCharType="begin"/>
                    </w:r>
                    <w:r>
                      <w:instrText xml:space="preserve"> PAGE  \* MERGEFORMAT </w:instrText>
                    </w:r>
                    <w:r>
                      <w:fldChar w:fldCharType="separate"/>
                    </w:r>
                    <w:r>
                      <w:rPr>
                        <w:noProof/>
                      </w:rPr>
                      <w:t>10</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63614" w14:textId="77777777" w:rsidR="003E78AB" w:rsidRDefault="00010BF9">
    <w:pPr>
      <w:pStyle w:val="af8"/>
      <w:ind w:firstLineChars="0" w:firstLine="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B9878" w14:textId="5360C9C4" w:rsidR="003E78AB" w:rsidRDefault="00010BF9">
                          <w:pPr>
                            <w:pStyle w:val="af8"/>
                            <w:ind w:firstLineChars="0" w:firstLine="0"/>
                          </w:pPr>
                          <w:r>
                            <w:fldChar w:fldCharType="begin"/>
                          </w:r>
                          <w:r>
                            <w:instrText xml:space="preserve"> PAGE  \* MERGEFORMAT </w:instrText>
                          </w:r>
                          <w:r>
                            <w:fldChar w:fldCharType="separate"/>
                          </w:r>
                          <w:r>
                            <w:rPr>
                              <w:noProof/>
                            </w:rPr>
                            <w:t>129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1"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filled="f" stroked="f" strokeweight=".5pt">
              <v:textbox style="mso-fit-shape-to-text:t" inset="0,0,0,0">
                <w:txbxContent>
                  <w:p w14:paraId="36EB9878" w14:textId="5360C9C4" w:rsidR="003E78AB" w:rsidRDefault="00010BF9">
                    <w:pPr>
                      <w:pStyle w:val="af8"/>
                      <w:ind w:firstLineChars="0" w:firstLine="0"/>
                    </w:pPr>
                    <w:r>
                      <w:fldChar w:fldCharType="begin"/>
                    </w:r>
                    <w:r>
                      <w:instrText xml:space="preserve"> PAGE  \* MERGEFORMAT </w:instrText>
                    </w:r>
                    <w:r>
                      <w:fldChar w:fldCharType="separate"/>
                    </w:r>
                    <w:r>
                      <w:rPr>
                        <w:noProof/>
                      </w:rPr>
                      <w:t>129</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335D5" w14:textId="77777777" w:rsidR="003E78AB" w:rsidRDefault="00010BF9">
    <w:pPr>
      <w:pStyle w:val="af8"/>
      <w:ind w:firstLineChars="0" w:firstLine="0"/>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36855" cy="3448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3685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67D77" w14:textId="6CCFD7E7" w:rsidR="003E78AB" w:rsidRDefault="00010BF9">
                          <w:pPr>
                            <w:pStyle w:val="af8"/>
                            <w:ind w:firstLineChars="0" w:firstLine="0"/>
                          </w:pPr>
                          <w:r>
                            <w:fldChar w:fldCharType="begin"/>
                          </w:r>
                          <w:r>
                            <w:instrText xml:space="preserve"> PAGE  \* MERGEFORMAT </w:instrText>
                          </w:r>
                          <w:r>
                            <w:fldChar w:fldCharType="separate"/>
                          </w:r>
                          <w:r>
                            <w:rPr>
                              <w:noProof/>
                            </w:rPr>
                            <w:t>172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2" type="#_x0000_t202" style="position:absolute;margin-left:0;margin-top:0;width:18.65pt;height:27.1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" filled="f" stroked="f" strokeweight=".5pt">
              <v:textbox inset="0,0,0,0">
                <w:txbxContent>
                  <w:p w14:paraId="31767D77" w14:textId="6CCFD7E7" w:rsidR="003E78AB" w:rsidRDefault="00010BF9">
                    <w:pPr>
                      <w:pStyle w:val="af8"/>
                      <w:ind w:firstLineChars="0" w:firstLine="0"/>
                    </w:pPr>
                    <w:r>
                      <w:fldChar w:fldCharType="begin"/>
                    </w:r>
                    <w:r>
                      <w:instrText xml:space="preserve"> PAGE  \* MERGEFORMAT </w:instrText>
                    </w:r>
                    <w:r>
                      <w:fldChar w:fldCharType="separate"/>
                    </w:r>
                    <w:r>
                      <w:rPr>
                        <w:noProof/>
                      </w:rPr>
                      <w:t>172</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6FD6A" w14:textId="77777777" w:rsidR="003E78AB" w:rsidRDefault="003E78AB">
    <w:pPr>
      <w:pStyle w:val="af8"/>
      <w:ind w:firstLineChars="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B7C78" w14:textId="77777777" w:rsidR="003E78AB" w:rsidRDefault="00010BF9">
      <w:pPr>
        <w:spacing w:line="240" w:lineRule="auto"/>
        <w:ind w:firstLine="480"/>
      </w:pPr>
      <w:r>
        <w:separator/>
      </w:r>
    </w:p>
  </w:footnote>
  <w:footnote w:type="continuationSeparator" w:id="0">
    <w:p w14:paraId="3C42E8B4" w14:textId="77777777" w:rsidR="003E78AB" w:rsidRDefault="00010BF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269F" w14:textId="77777777" w:rsidR="003E78AB" w:rsidRDefault="003E78AB">
    <w:pPr>
      <w:pStyle w:val="af9"/>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7B2D" w14:textId="77777777" w:rsidR="003E78AB" w:rsidRDefault="003E78AB">
    <w:pPr>
      <w:pStyle w:val="af9"/>
      <w:pBdr>
        <w:bottom w:val="none" w:sz="0" w:space="0"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2468" w14:textId="77777777" w:rsidR="003E78AB" w:rsidRDefault="003E78AB">
    <w:pPr>
      <w:pStyle w:val="af9"/>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7F083" w14:textId="77777777" w:rsidR="003E78AB" w:rsidRDefault="00010BF9">
    <w:pPr>
      <w:pStyle w:val="af9"/>
      <w:pBdr>
        <w:bottom w:val="thickThinSmallGap" w:sz="12" w:space="1" w:color="auto"/>
      </w:pBdr>
      <w:spacing w:line="240" w:lineRule="auto"/>
      <w:ind w:firstLineChars="0" w:firstLine="0"/>
      <w:rPr>
        <w:sz w:val="20"/>
        <w:szCs w:val="20"/>
      </w:rPr>
    </w:pPr>
    <w:bookmarkStart w:id="2" w:name="OLE_LINK19"/>
    <w:bookmarkStart w:id="3" w:name="OLE_LINK25"/>
    <w:bookmarkStart w:id="4" w:name="_GoBack"/>
    <w:r>
      <w:rPr>
        <w:rFonts w:hint="eastAsia"/>
        <w:sz w:val="20"/>
        <w:szCs w:val="20"/>
      </w:rPr>
      <w:t>星辰新能</w:t>
    </w:r>
    <w:r>
      <w:rPr>
        <w:rFonts w:hint="eastAsia"/>
        <w:sz w:val="20"/>
        <w:szCs w:val="20"/>
      </w:rPr>
      <w:t>(</w:t>
    </w:r>
    <w:r>
      <w:rPr>
        <w:rFonts w:hint="eastAsia"/>
        <w:sz w:val="20"/>
        <w:szCs w:val="20"/>
      </w:rPr>
      <w:t>哈密</w:t>
    </w:r>
    <w:r>
      <w:rPr>
        <w:rFonts w:hint="eastAsia"/>
        <w:sz w:val="20"/>
        <w:szCs w:val="20"/>
      </w:rPr>
      <w:t>)</w:t>
    </w:r>
    <w:r>
      <w:rPr>
        <w:rFonts w:hint="eastAsia"/>
        <w:sz w:val="20"/>
        <w:szCs w:val="20"/>
      </w:rPr>
      <w:t>科技有限公司</w:t>
    </w:r>
    <w:r>
      <w:rPr>
        <w:rFonts w:hint="eastAsia"/>
        <w:sz w:val="20"/>
        <w:szCs w:val="20"/>
      </w:rPr>
      <w:t>高活性全钒液流电池电解液生产项目</w:t>
    </w:r>
    <w:bookmarkEnd w:id="2"/>
    <w:r>
      <w:rPr>
        <w:rFonts w:hint="eastAsia"/>
        <w:sz w:val="20"/>
        <w:szCs w:val="20"/>
      </w:rPr>
      <w:t>（一期）</w:t>
    </w:r>
    <w:bookmarkEnd w:id="3"/>
    <w:r>
      <w:rPr>
        <w:rFonts w:hint="eastAsia"/>
        <w:sz w:val="20"/>
        <w:szCs w:val="20"/>
      </w:rPr>
      <w:t>环境影响报告书</w:t>
    </w:r>
    <w:bookmarkEnd w:id="4"/>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01413" w14:textId="77777777" w:rsidR="003E78AB" w:rsidRDefault="00010BF9">
    <w:pPr>
      <w:pStyle w:val="af9"/>
      <w:pBdr>
        <w:bottom w:val="thickThinSmallGap" w:sz="12" w:space="1" w:color="auto"/>
      </w:pBdr>
      <w:spacing w:line="240" w:lineRule="auto"/>
      <w:ind w:firstLineChars="0" w:firstLine="0"/>
      <w:rPr>
        <w:sz w:val="20"/>
        <w:szCs w:val="20"/>
      </w:rPr>
    </w:pPr>
    <w:r>
      <w:rPr>
        <w:rFonts w:hint="eastAsia"/>
        <w:sz w:val="20"/>
        <w:szCs w:val="20"/>
      </w:rPr>
      <w:t>星辰新能</w:t>
    </w:r>
    <w:r>
      <w:rPr>
        <w:rFonts w:hint="eastAsia"/>
        <w:sz w:val="20"/>
        <w:szCs w:val="20"/>
      </w:rPr>
      <w:t>(</w:t>
    </w:r>
    <w:r>
      <w:rPr>
        <w:rFonts w:hint="eastAsia"/>
        <w:sz w:val="20"/>
        <w:szCs w:val="20"/>
      </w:rPr>
      <w:t>哈密</w:t>
    </w:r>
    <w:r>
      <w:rPr>
        <w:rFonts w:hint="eastAsia"/>
        <w:sz w:val="20"/>
        <w:szCs w:val="20"/>
      </w:rPr>
      <w:t>)</w:t>
    </w:r>
    <w:r>
      <w:rPr>
        <w:rFonts w:hint="eastAsia"/>
        <w:sz w:val="20"/>
        <w:szCs w:val="20"/>
      </w:rPr>
      <w:t>科技有限公司</w:t>
    </w:r>
    <w:r>
      <w:rPr>
        <w:rFonts w:hint="eastAsia"/>
        <w:sz w:val="20"/>
        <w:szCs w:val="20"/>
      </w:rPr>
      <w:t>高活性全钒液流电池电解液生产项目（一期）环境影响报告书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D03D6B"/>
    <w:multiLevelType w:val="singleLevel"/>
    <w:tmpl w:val="89D03D6B"/>
    <w:lvl w:ilvl="0">
      <w:start w:val="1"/>
      <w:numFmt w:val="decimal"/>
      <w:pStyle w:val="3"/>
      <w:suff w:val="nothing"/>
      <w:lvlText w:val="表5-%1  "/>
      <w:lvlJc w:val="left"/>
      <w:pPr>
        <w:tabs>
          <w:tab w:val="left" w:pos="420"/>
        </w:tabs>
        <w:ind w:left="425" w:hanging="425"/>
      </w:pPr>
      <w:rPr>
        <w:rFonts w:ascii="Times New Roman" w:eastAsia="黑体" w:hAnsi="Times New Roman" w:cs="宋体" w:hint="default"/>
        <w:b w:val="0"/>
        <w:bCs w:val="0"/>
        <w:sz w:val="24"/>
        <w:szCs w:val="24"/>
      </w:rPr>
    </w:lvl>
  </w:abstractNum>
  <w:abstractNum w:abstractNumId="1" w15:restartNumberingAfterBreak="0">
    <w:nsid w:val="973AABCD"/>
    <w:multiLevelType w:val="multilevel"/>
    <w:tmpl w:val="973AABCD"/>
    <w:lvl w:ilvl="0">
      <w:start w:val="1"/>
      <w:numFmt w:val="decimal"/>
      <w:pStyle w:val="1"/>
      <w:suff w:val="nothing"/>
      <w:lvlText w:val="图3-%1  "/>
      <w:lvlJc w:val="center"/>
      <w:pPr>
        <w:tabs>
          <w:tab w:val="left" w:pos="0"/>
        </w:tabs>
        <w:ind w:left="0" w:firstLine="0"/>
      </w:pPr>
      <w:rPr>
        <w:rFonts w:ascii="Times New Roman" w:eastAsia="黑体" w:hAnsi="Times New Roman" w:cs="Times New Roman" w:hint="default"/>
        <w:sz w:val="24"/>
        <w:szCs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A033DF55"/>
    <w:multiLevelType w:val="singleLevel"/>
    <w:tmpl w:val="A033DF55"/>
    <w:lvl w:ilvl="0">
      <w:start w:val="1"/>
      <w:numFmt w:val="decimal"/>
      <w:lvlText w:val="(%1)"/>
      <w:lvlJc w:val="left"/>
      <w:pPr>
        <w:ind w:left="425" w:hanging="425"/>
      </w:pPr>
      <w:rPr>
        <w:rFonts w:hint="default"/>
      </w:rPr>
    </w:lvl>
  </w:abstractNum>
  <w:abstractNum w:abstractNumId="3" w15:restartNumberingAfterBreak="0">
    <w:nsid w:val="AE5DA626"/>
    <w:multiLevelType w:val="singleLevel"/>
    <w:tmpl w:val="AE5DA626"/>
    <w:lvl w:ilvl="0">
      <w:start w:val="1"/>
      <w:numFmt w:val="decimal"/>
      <w:pStyle w:val="a"/>
      <w:suff w:val="nothing"/>
      <w:lvlText w:val="表6-%1  "/>
      <w:lvlJc w:val="left"/>
      <w:pPr>
        <w:tabs>
          <w:tab w:val="left" w:pos="0"/>
        </w:tabs>
        <w:ind w:left="425" w:hanging="425"/>
      </w:pPr>
      <w:rPr>
        <w:rFonts w:ascii="Times New Roman" w:eastAsia="黑体" w:hAnsi="Times New Roman" w:cs="Times New Roman" w:hint="default"/>
        <w:sz w:val="24"/>
        <w:szCs w:val="24"/>
        <w:vertAlign w:val="baseline"/>
      </w:rPr>
    </w:lvl>
  </w:abstractNum>
  <w:abstractNum w:abstractNumId="4" w15:restartNumberingAfterBreak="0">
    <w:nsid w:val="B11CB23D"/>
    <w:multiLevelType w:val="multilevel"/>
    <w:tmpl w:val="B11CB23D"/>
    <w:lvl w:ilvl="0">
      <w:start w:val="1"/>
      <w:numFmt w:val="decimal"/>
      <w:pStyle w:val="xy3"/>
      <w:lvlText w:val="表4-%1"/>
      <w:lvlJc w:val="center"/>
      <w:pPr>
        <w:tabs>
          <w:tab w:val="left" w:pos="0"/>
        </w:tabs>
        <w:ind w:left="0" w:firstLine="0"/>
      </w:pPr>
      <w:rPr>
        <w:rFonts w:ascii="Times New Roman" w:eastAsia="黑体" w:hAnsi="Times New Roman" w:cs="Times New Roman" w:hint="default"/>
        <w:sz w:val="24"/>
        <w:szCs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01EC307"/>
    <w:multiLevelType w:val="singleLevel"/>
    <w:tmpl w:val="C01EC307"/>
    <w:lvl w:ilvl="0">
      <w:start w:val="1"/>
      <w:numFmt w:val="decimal"/>
      <w:pStyle w:val="a0"/>
      <w:suff w:val="nothing"/>
      <w:lvlText w:val="表4-%1  "/>
      <w:lvlJc w:val="left"/>
      <w:pPr>
        <w:tabs>
          <w:tab w:val="left" w:pos="420"/>
        </w:tabs>
        <w:ind w:left="425" w:hanging="425"/>
      </w:pPr>
      <w:rPr>
        <w:rFonts w:ascii="Times New Roman" w:eastAsia="黑体" w:hAnsi="Times New Roman" w:cs="Times New Roman" w:hint="default"/>
        <w:sz w:val="24"/>
        <w:szCs w:val="24"/>
      </w:rPr>
    </w:lvl>
  </w:abstractNum>
  <w:abstractNum w:abstractNumId="6" w15:restartNumberingAfterBreak="0">
    <w:nsid w:val="C19824BD"/>
    <w:multiLevelType w:val="singleLevel"/>
    <w:tmpl w:val="C19824BD"/>
    <w:lvl w:ilvl="0">
      <w:start w:val="1"/>
      <w:numFmt w:val="decimal"/>
      <w:pStyle w:val="a1"/>
      <w:suff w:val="nothing"/>
      <w:lvlText w:val="表3-%1  "/>
      <w:lvlJc w:val="left"/>
      <w:pPr>
        <w:tabs>
          <w:tab w:val="left" w:pos="0"/>
        </w:tabs>
        <w:ind w:left="425" w:hanging="425"/>
      </w:pPr>
      <w:rPr>
        <w:rFonts w:ascii="Times New Roman" w:eastAsia="黑体" w:hAnsi="Times New Roman" w:cs="黑体" w:hint="default"/>
        <w:sz w:val="24"/>
        <w:szCs w:val="24"/>
        <w:vertAlign w:val="baseline"/>
      </w:rPr>
    </w:lvl>
  </w:abstractNum>
  <w:abstractNum w:abstractNumId="7" w15:restartNumberingAfterBreak="0">
    <w:nsid w:val="C7AD4DB2"/>
    <w:multiLevelType w:val="singleLevel"/>
    <w:tmpl w:val="C7AD4DB2"/>
    <w:lvl w:ilvl="0">
      <w:start w:val="1"/>
      <w:numFmt w:val="decimal"/>
      <w:pStyle w:val="a2"/>
      <w:lvlText w:val="表3-%1 "/>
      <w:lvlJc w:val="left"/>
      <w:pPr>
        <w:tabs>
          <w:tab w:val="left" w:pos="420"/>
        </w:tabs>
        <w:ind w:left="425" w:hanging="425"/>
      </w:pPr>
      <w:rPr>
        <w:rFonts w:ascii="Times New Roman" w:eastAsia="黑体" w:hAnsi="Times New Roman" w:cs="Times New Roman" w:hint="default"/>
        <w:sz w:val="24"/>
        <w:szCs w:val="24"/>
        <w:vertAlign w:val="baseline"/>
      </w:rPr>
    </w:lvl>
  </w:abstractNum>
  <w:abstractNum w:abstractNumId="8" w15:restartNumberingAfterBreak="0">
    <w:nsid w:val="C97623FB"/>
    <w:multiLevelType w:val="singleLevel"/>
    <w:tmpl w:val="C97623FB"/>
    <w:lvl w:ilvl="0">
      <w:start w:val="1"/>
      <w:numFmt w:val="decimal"/>
      <w:pStyle w:val="9"/>
      <w:lvlText w:val="表9-%1 "/>
      <w:lvlJc w:val="left"/>
      <w:pPr>
        <w:tabs>
          <w:tab w:val="left" w:pos="420"/>
        </w:tabs>
        <w:ind w:left="425" w:hanging="425"/>
      </w:pPr>
      <w:rPr>
        <w:rFonts w:ascii="Times New Roman" w:eastAsia="黑体" w:hAnsi="Times New Roman" w:cs="宋体" w:hint="default"/>
        <w:sz w:val="24"/>
        <w:szCs w:val="24"/>
      </w:rPr>
    </w:lvl>
  </w:abstractNum>
  <w:abstractNum w:abstractNumId="9" w15:restartNumberingAfterBreak="0">
    <w:nsid w:val="CE3169BC"/>
    <w:multiLevelType w:val="singleLevel"/>
    <w:tmpl w:val="CE3169BC"/>
    <w:lvl w:ilvl="0">
      <w:start w:val="1"/>
      <w:numFmt w:val="decimal"/>
      <w:lvlText w:val="(%1)"/>
      <w:lvlJc w:val="left"/>
      <w:pPr>
        <w:ind w:left="425" w:hanging="425"/>
      </w:pPr>
      <w:rPr>
        <w:rFonts w:hint="default"/>
      </w:rPr>
    </w:lvl>
  </w:abstractNum>
  <w:abstractNum w:abstractNumId="10" w15:restartNumberingAfterBreak="0">
    <w:nsid w:val="E04153CB"/>
    <w:multiLevelType w:val="singleLevel"/>
    <w:tmpl w:val="E04153CB"/>
    <w:lvl w:ilvl="0">
      <w:start w:val="1"/>
      <w:numFmt w:val="decimal"/>
      <w:lvlText w:val="(%1)"/>
      <w:lvlJc w:val="left"/>
      <w:pPr>
        <w:ind w:left="425" w:hanging="425"/>
      </w:pPr>
      <w:rPr>
        <w:rFonts w:hint="default"/>
      </w:rPr>
    </w:lvl>
  </w:abstractNum>
  <w:abstractNum w:abstractNumId="11" w15:restartNumberingAfterBreak="0">
    <w:nsid w:val="E3CEA6D9"/>
    <w:multiLevelType w:val="singleLevel"/>
    <w:tmpl w:val="E3CEA6D9"/>
    <w:lvl w:ilvl="0">
      <w:start w:val="1"/>
      <w:numFmt w:val="decimal"/>
      <w:pStyle w:val="a3"/>
      <w:lvlText w:val="表5-%1 "/>
      <w:lvlJc w:val="left"/>
      <w:pPr>
        <w:tabs>
          <w:tab w:val="left" w:pos="420"/>
        </w:tabs>
        <w:ind w:left="425" w:hanging="425"/>
      </w:pPr>
      <w:rPr>
        <w:rFonts w:ascii="Times New Roman" w:eastAsia="黑体" w:hAnsi="Times New Roman" w:cs="Times New Roman" w:hint="default"/>
        <w:sz w:val="24"/>
        <w:szCs w:val="24"/>
      </w:rPr>
    </w:lvl>
  </w:abstractNum>
  <w:abstractNum w:abstractNumId="12" w15:restartNumberingAfterBreak="0">
    <w:nsid w:val="F3A7291F"/>
    <w:multiLevelType w:val="singleLevel"/>
    <w:tmpl w:val="F3A7291F"/>
    <w:lvl w:ilvl="0">
      <w:start w:val="3"/>
      <w:numFmt w:val="decimal"/>
      <w:suff w:val="nothing"/>
      <w:lvlText w:val="（%1）"/>
      <w:lvlJc w:val="left"/>
    </w:lvl>
  </w:abstractNum>
  <w:abstractNum w:abstractNumId="13" w15:restartNumberingAfterBreak="0">
    <w:nsid w:val="FA9616C4"/>
    <w:multiLevelType w:val="singleLevel"/>
    <w:tmpl w:val="FA9616C4"/>
    <w:lvl w:ilvl="0">
      <w:start w:val="1"/>
      <w:numFmt w:val="decimal"/>
      <w:pStyle w:val="a4"/>
      <w:suff w:val="nothing"/>
      <w:lvlText w:val="表5-%1  "/>
      <w:lvlJc w:val="left"/>
      <w:pPr>
        <w:tabs>
          <w:tab w:val="left" w:pos="0"/>
        </w:tabs>
        <w:ind w:left="425" w:hanging="425"/>
      </w:pPr>
      <w:rPr>
        <w:rFonts w:ascii="Times New Roman" w:eastAsia="黑体" w:hAnsi="Times New Roman" w:cs="Times New Roman" w:hint="default"/>
        <w:sz w:val="24"/>
        <w:szCs w:val="24"/>
        <w:vertAlign w:val="baseline"/>
      </w:rPr>
    </w:lvl>
  </w:abstractNum>
  <w:abstractNum w:abstractNumId="14" w15:restartNumberingAfterBreak="0">
    <w:nsid w:val="0CB6E9F5"/>
    <w:multiLevelType w:val="singleLevel"/>
    <w:tmpl w:val="0CB6E9F5"/>
    <w:lvl w:ilvl="0">
      <w:start w:val="3"/>
      <w:numFmt w:val="chineseCounting"/>
      <w:suff w:val="space"/>
      <w:lvlText w:val="第%1章"/>
      <w:lvlJc w:val="left"/>
      <w:rPr>
        <w:rFonts w:hint="eastAsia"/>
      </w:rPr>
    </w:lvl>
  </w:abstractNum>
  <w:abstractNum w:abstractNumId="15" w15:restartNumberingAfterBreak="0">
    <w:nsid w:val="10F7056B"/>
    <w:multiLevelType w:val="singleLevel"/>
    <w:tmpl w:val="10F7056B"/>
    <w:lvl w:ilvl="0">
      <w:start w:val="1"/>
      <w:numFmt w:val="decimal"/>
      <w:pStyle w:val="a5"/>
      <w:suff w:val="nothing"/>
      <w:lvlText w:val="表2-%1  "/>
      <w:lvlJc w:val="left"/>
      <w:pPr>
        <w:tabs>
          <w:tab w:val="left" w:pos="1412"/>
        </w:tabs>
        <w:ind w:left="1417" w:hanging="425"/>
      </w:pPr>
      <w:rPr>
        <w:rFonts w:ascii="Times New Roman" w:eastAsia="黑体" w:hAnsi="Times New Roman" w:cs="黑体" w:hint="default"/>
        <w:sz w:val="24"/>
        <w:szCs w:val="24"/>
      </w:rPr>
    </w:lvl>
  </w:abstractNum>
  <w:abstractNum w:abstractNumId="16" w15:restartNumberingAfterBreak="0">
    <w:nsid w:val="144285F3"/>
    <w:multiLevelType w:val="singleLevel"/>
    <w:tmpl w:val="144285F3"/>
    <w:lvl w:ilvl="0">
      <w:start w:val="1"/>
      <w:numFmt w:val="decimal"/>
      <w:suff w:val="nothing"/>
      <w:lvlText w:val="（%1）"/>
      <w:lvlJc w:val="left"/>
    </w:lvl>
  </w:abstractNum>
  <w:abstractNum w:abstractNumId="17" w15:restartNumberingAfterBreak="0">
    <w:nsid w:val="197007B0"/>
    <w:multiLevelType w:val="singleLevel"/>
    <w:tmpl w:val="197007B0"/>
    <w:lvl w:ilvl="0">
      <w:start w:val="1"/>
      <w:numFmt w:val="decimal"/>
      <w:pStyle w:val="a6"/>
      <w:suff w:val="nothing"/>
      <w:lvlText w:val="表7-%1  "/>
      <w:lvlJc w:val="left"/>
      <w:pPr>
        <w:tabs>
          <w:tab w:val="left" w:pos="0"/>
        </w:tabs>
        <w:ind w:left="0" w:firstLine="0"/>
      </w:pPr>
      <w:rPr>
        <w:rFonts w:ascii="Times New Roman" w:eastAsia="黑体" w:hAnsi="Times New Roman" w:cs="Times New Roman" w:hint="default"/>
        <w:sz w:val="24"/>
        <w:szCs w:val="24"/>
        <w:vertAlign w:val="baseline"/>
      </w:rPr>
    </w:lvl>
  </w:abstractNum>
  <w:abstractNum w:abstractNumId="18" w15:restartNumberingAfterBreak="0">
    <w:nsid w:val="19726A4B"/>
    <w:multiLevelType w:val="multilevel"/>
    <w:tmpl w:val="19726A4B"/>
    <w:lvl w:ilvl="0">
      <w:start w:val="1"/>
      <w:numFmt w:val="decimal"/>
      <w:pStyle w:val="B"/>
      <w:suff w:val="nothing"/>
      <w:lvlText w:val="（%1）"/>
      <w:lvlJc w:val="left"/>
      <w:pPr>
        <w:ind w:left="0" w:firstLine="0"/>
      </w:pPr>
      <w:rPr>
        <w:rFonts w:hint="default"/>
      </w:rPr>
    </w:lvl>
    <w:lvl w:ilvl="1">
      <w:start w:val="1"/>
      <w:numFmt w:val="decimalEnclosedCircle"/>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19B57966"/>
    <w:multiLevelType w:val="singleLevel"/>
    <w:tmpl w:val="19B57966"/>
    <w:lvl w:ilvl="0">
      <w:start w:val="2"/>
      <w:numFmt w:val="decimal"/>
      <w:suff w:val="nothing"/>
      <w:lvlText w:val="（%1）"/>
      <w:lvlJc w:val="left"/>
      <w:pPr>
        <w:ind w:left="240"/>
      </w:pPr>
    </w:lvl>
  </w:abstractNum>
  <w:abstractNum w:abstractNumId="20" w15:restartNumberingAfterBreak="0">
    <w:nsid w:val="1C9E144F"/>
    <w:multiLevelType w:val="multilevel"/>
    <w:tmpl w:val="1C9E144F"/>
    <w:lvl w:ilvl="0">
      <w:start w:val="1"/>
      <w:numFmt w:val="decimal"/>
      <w:suff w:val="space"/>
      <w:lvlText w:val="第%1章"/>
      <w:lvlJc w:val="center"/>
      <w:pPr>
        <w:ind w:left="380" w:firstLine="340"/>
      </w:pPr>
    </w:lvl>
    <w:lvl w:ilvl="1">
      <w:start w:val="1"/>
      <w:numFmt w:val="decimal"/>
      <w:suff w:val="space"/>
      <w:lvlText w:val="%1.%2"/>
      <w:lvlJc w:val="left"/>
      <w:pPr>
        <w:ind w:left="1231" w:firstLine="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3"/>
      <w:suff w:val="space"/>
      <w:lvlText w:val="%1.%2.%3"/>
      <w:lvlJc w:val="left"/>
      <w:pPr>
        <w:ind w:left="380" w:firstLine="0"/>
      </w:pPr>
      <w:rPr>
        <w:rFonts w:ascii="Times New Roman" w:eastAsia="宋体" w:hAnsi="Times New Roman" w:hint="default"/>
      </w:rPr>
    </w:lvl>
    <w:lvl w:ilvl="3">
      <w:start w:val="1"/>
      <w:numFmt w:val="decimal"/>
      <w:suff w:val="space"/>
      <w:lvlText w:val="%1.%2.%3.%4"/>
      <w:lvlJc w:val="left"/>
      <w:pPr>
        <w:ind w:left="1798"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lvlText w:val="%1.%2.%3.%4.%5"/>
      <w:lvlJc w:val="left"/>
      <w:pPr>
        <w:ind w:left="2931" w:hanging="850"/>
      </w:pPr>
      <w:rPr>
        <w:rFonts w:hint="eastAsia"/>
      </w:rPr>
    </w:lvl>
    <w:lvl w:ilvl="5">
      <w:start w:val="1"/>
      <w:numFmt w:val="decimal"/>
      <w:lvlText w:val="%1.%2.%3.%4.%5.%6"/>
      <w:lvlJc w:val="left"/>
      <w:pPr>
        <w:ind w:left="3640" w:hanging="1134"/>
      </w:pPr>
      <w:rPr>
        <w:rFonts w:hint="eastAsia"/>
      </w:rPr>
    </w:lvl>
    <w:lvl w:ilvl="6">
      <w:start w:val="1"/>
      <w:numFmt w:val="decimal"/>
      <w:lvlText w:val="%1.%2.%3.%4.%5.%6.%7"/>
      <w:lvlJc w:val="left"/>
      <w:pPr>
        <w:ind w:left="4207" w:hanging="1276"/>
      </w:pPr>
      <w:rPr>
        <w:rFonts w:hint="eastAsia"/>
      </w:rPr>
    </w:lvl>
    <w:lvl w:ilvl="7">
      <w:start w:val="1"/>
      <w:numFmt w:val="decimal"/>
      <w:lvlText w:val="%1.%2.%3.%4.%5.%6.%7.%8"/>
      <w:lvlJc w:val="left"/>
      <w:pPr>
        <w:ind w:left="4774" w:hanging="1418"/>
      </w:pPr>
      <w:rPr>
        <w:rFonts w:hint="eastAsia"/>
      </w:rPr>
    </w:lvl>
    <w:lvl w:ilvl="8">
      <w:start w:val="1"/>
      <w:numFmt w:val="decimal"/>
      <w:lvlText w:val="%1.%2.%3.%4.%5.%6.%7.%8.%9"/>
      <w:lvlJc w:val="left"/>
      <w:pPr>
        <w:ind w:left="5482" w:hanging="1700"/>
      </w:pPr>
      <w:rPr>
        <w:rFonts w:hint="eastAsia"/>
      </w:rPr>
    </w:lvl>
  </w:abstractNum>
  <w:abstractNum w:abstractNumId="21" w15:restartNumberingAfterBreak="0">
    <w:nsid w:val="20501EBB"/>
    <w:multiLevelType w:val="singleLevel"/>
    <w:tmpl w:val="20501EBB"/>
    <w:lvl w:ilvl="0">
      <w:start w:val="1"/>
      <w:numFmt w:val="upperLetter"/>
      <w:suff w:val="nothing"/>
      <w:lvlText w:val="%1、"/>
      <w:lvlJc w:val="left"/>
    </w:lvl>
  </w:abstractNum>
  <w:abstractNum w:abstractNumId="22" w15:restartNumberingAfterBreak="0">
    <w:nsid w:val="28F2EE70"/>
    <w:multiLevelType w:val="singleLevel"/>
    <w:tmpl w:val="28F2EE70"/>
    <w:lvl w:ilvl="0">
      <w:start w:val="1"/>
      <w:numFmt w:val="decimal"/>
      <w:pStyle w:val="a7"/>
      <w:lvlText w:val="表4-%1 "/>
      <w:lvlJc w:val="left"/>
      <w:pPr>
        <w:tabs>
          <w:tab w:val="left" w:pos="420"/>
        </w:tabs>
        <w:ind w:left="425" w:hanging="425"/>
      </w:pPr>
      <w:rPr>
        <w:rFonts w:ascii="Times New Roman" w:eastAsia="黑体" w:hAnsi="Times New Roman" w:cs="Times New Roman" w:hint="default"/>
        <w:sz w:val="24"/>
        <w:szCs w:val="24"/>
      </w:rPr>
    </w:lvl>
  </w:abstractNum>
  <w:abstractNum w:abstractNumId="23" w15:restartNumberingAfterBreak="0">
    <w:nsid w:val="3539C669"/>
    <w:multiLevelType w:val="singleLevel"/>
    <w:tmpl w:val="3539C669"/>
    <w:lvl w:ilvl="0">
      <w:start w:val="1"/>
      <w:numFmt w:val="decimal"/>
      <w:pStyle w:val="ZY6"/>
      <w:lvlText w:val="图5-%1"/>
      <w:lvlJc w:val="left"/>
      <w:pPr>
        <w:tabs>
          <w:tab w:val="left" w:pos="420"/>
        </w:tabs>
        <w:ind w:left="425" w:hanging="425"/>
      </w:pPr>
      <w:rPr>
        <w:rFonts w:ascii="Times New Roman" w:eastAsia="黑体" w:hAnsi="Times New Roman" w:cs="宋体" w:hint="default"/>
        <w:b w:val="0"/>
        <w:bCs/>
        <w:sz w:val="24"/>
        <w:szCs w:val="24"/>
      </w:rPr>
    </w:lvl>
  </w:abstractNum>
  <w:abstractNum w:abstractNumId="24" w15:restartNumberingAfterBreak="0">
    <w:nsid w:val="368A25E7"/>
    <w:multiLevelType w:val="singleLevel"/>
    <w:tmpl w:val="368A25E7"/>
    <w:lvl w:ilvl="0">
      <w:start w:val="1"/>
      <w:numFmt w:val="decimal"/>
      <w:suff w:val="nothing"/>
      <w:lvlText w:val="（%1）"/>
      <w:lvlJc w:val="left"/>
    </w:lvl>
  </w:abstractNum>
  <w:abstractNum w:abstractNumId="25" w15:restartNumberingAfterBreak="0">
    <w:nsid w:val="38BEEDA8"/>
    <w:multiLevelType w:val="singleLevel"/>
    <w:tmpl w:val="38BEEDA8"/>
    <w:lvl w:ilvl="0">
      <w:start w:val="1"/>
      <w:numFmt w:val="decimal"/>
      <w:lvlText w:val="(%1)"/>
      <w:lvlJc w:val="left"/>
      <w:pPr>
        <w:ind w:left="425" w:hanging="425"/>
      </w:pPr>
      <w:rPr>
        <w:rFonts w:hint="default"/>
      </w:rPr>
    </w:lvl>
  </w:abstractNum>
  <w:abstractNum w:abstractNumId="26" w15:restartNumberingAfterBreak="0">
    <w:nsid w:val="4C6DE4AB"/>
    <w:multiLevelType w:val="singleLevel"/>
    <w:tmpl w:val="4C6DE4AB"/>
    <w:lvl w:ilvl="0">
      <w:start w:val="1"/>
      <w:numFmt w:val="decimal"/>
      <w:pStyle w:val="a8"/>
      <w:lvlText w:val="图5-%1 "/>
      <w:lvlJc w:val="left"/>
      <w:pPr>
        <w:tabs>
          <w:tab w:val="left" w:pos="420"/>
        </w:tabs>
        <w:ind w:left="425" w:hanging="425"/>
      </w:pPr>
      <w:rPr>
        <w:rFonts w:ascii="Times New Roman" w:eastAsia="黑体" w:hAnsi="Times New Roman" w:cs="Times New Roman" w:hint="default"/>
        <w:sz w:val="24"/>
        <w:szCs w:val="24"/>
      </w:rPr>
    </w:lvl>
  </w:abstractNum>
  <w:abstractNum w:abstractNumId="27" w15:restartNumberingAfterBreak="0">
    <w:nsid w:val="5F139D75"/>
    <w:multiLevelType w:val="singleLevel"/>
    <w:tmpl w:val="5F139D75"/>
    <w:lvl w:ilvl="0">
      <w:start w:val="1"/>
      <w:numFmt w:val="decimal"/>
      <w:pStyle w:val="a9"/>
      <w:suff w:val="nothing"/>
      <w:lvlText w:val="图5-%1  "/>
      <w:lvlJc w:val="left"/>
      <w:pPr>
        <w:tabs>
          <w:tab w:val="left" w:pos="0"/>
        </w:tabs>
        <w:ind w:left="425" w:hanging="425"/>
      </w:pPr>
      <w:rPr>
        <w:rFonts w:ascii="Times New Roman" w:eastAsia="黑体" w:hAnsi="Times New Roman" w:cs="Times New Roman" w:hint="default"/>
        <w:sz w:val="24"/>
        <w:szCs w:val="24"/>
        <w:vertAlign w:val="baseline"/>
      </w:rPr>
    </w:lvl>
  </w:abstractNum>
  <w:abstractNum w:abstractNumId="28" w15:restartNumberingAfterBreak="0">
    <w:nsid w:val="6B0C48DB"/>
    <w:multiLevelType w:val="singleLevel"/>
    <w:tmpl w:val="6B0C48DB"/>
    <w:lvl w:ilvl="0">
      <w:start w:val="1"/>
      <w:numFmt w:val="decimal"/>
      <w:lvlText w:val="%1."/>
      <w:lvlJc w:val="left"/>
      <w:pPr>
        <w:ind w:left="425" w:hanging="425"/>
      </w:pPr>
      <w:rPr>
        <w:rFonts w:hint="default"/>
      </w:rPr>
    </w:lvl>
  </w:abstractNum>
  <w:abstractNum w:abstractNumId="29" w15:restartNumberingAfterBreak="0">
    <w:nsid w:val="7268A3C1"/>
    <w:multiLevelType w:val="singleLevel"/>
    <w:tmpl w:val="7268A3C1"/>
    <w:lvl w:ilvl="0">
      <w:start w:val="1"/>
      <w:numFmt w:val="decimal"/>
      <w:pStyle w:val="aa"/>
      <w:suff w:val="nothing"/>
      <w:lvlText w:val="图6-%1  "/>
      <w:lvlJc w:val="left"/>
      <w:pPr>
        <w:tabs>
          <w:tab w:val="left" w:pos="0"/>
        </w:tabs>
        <w:ind w:left="425" w:hanging="425"/>
      </w:pPr>
      <w:rPr>
        <w:rFonts w:ascii="Times New Roman" w:eastAsia="黑体" w:hAnsi="Times New Roman" w:cs="Times New Roman" w:hint="default"/>
        <w:sz w:val="24"/>
        <w:szCs w:val="24"/>
        <w:vertAlign w:val="baseline"/>
      </w:rPr>
    </w:lvl>
  </w:abstractNum>
  <w:num w:numId="1">
    <w:abstractNumId w:val="20"/>
  </w:num>
  <w:num w:numId="2">
    <w:abstractNumId w:val="18"/>
  </w:num>
  <w:num w:numId="3">
    <w:abstractNumId w:val="15"/>
  </w:num>
  <w:num w:numId="4">
    <w:abstractNumId w:val="6"/>
  </w:num>
  <w:num w:numId="5">
    <w:abstractNumId w:val="4"/>
  </w:num>
  <w:num w:numId="6">
    <w:abstractNumId w:val="1"/>
  </w:num>
  <w:num w:numId="7">
    <w:abstractNumId w:val="8"/>
  </w:num>
  <w:num w:numId="8">
    <w:abstractNumId w:val="22"/>
  </w:num>
  <w:num w:numId="9">
    <w:abstractNumId w:val="5"/>
  </w:num>
  <w:num w:numId="10">
    <w:abstractNumId w:val="7"/>
  </w:num>
  <w:num w:numId="11">
    <w:abstractNumId w:val="13"/>
  </w:num>
  <w:num w:numId="12">
    <w:abstractNumId w:val="27"/>
  </w:num>
  <w:num w:numId="13">
    <w:abstractNumId w:val="29"/>
  </w:num>
  <w:num w:numId="14">
    <w:abstractNumId w:val="3"/>
  </w:num>
  <w:num w:numId="15">
    <w:abstractNumId w:val="17"/>
  </w:num>
  <w:num w:numId="16">
    <w:abstractNumId w:val="0"/>
  </w:num>
  <w:num w:numId="17">
    <w:abstractNumId w:val="11"/>
  </w:num>
  <w:num w:numId="18">
    <w:abstractNumId w:val="23"/>
  </w:num>
  <w:num w:numId="19">
    <w:abstractNumId w:val="26"/>
  </w:num>
  <w:num w:numId="20">
    <w:abstractNumId w:val="16"/>
  </w:num>
  <w:num w:numId="21">
    <w:abstractNumId w:val="9"/>
  </w:num>
  <w:num w:numId="22">
    <w:abstractNumId w:val="10"/>
  </w:num>
  <w:num w:numId="23">
    <w:abstractNumId w:val="25"/>
  </w:num>
  <w:num w:numId="24">
    <w:abstractNumId w:val="2"/>
  </w:num>
  <w:num w:numId="25">
    <w:abstractNumId w:val="19"/>
  </w:num>
  <w:num w:numId="26">
    <w:abstractNumId w:val="14"/>
  </w:num>
  <w:num w:numId="27">
    <w:abstractNumId w:val="21"/>
  </w:num>
  <w:num w:numId="28">
    <w:abstractNumId w:val="12"/>
  </w:num>
  <w:num w:numId="29">
    <w:abstractNumId w:val="2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833"/>
    <w:rsid w:val="00001195"/>
    <w:rsid w:val="00010BF9"/>
    <w:rsid w:val="00081892"/>
    <w:rsid w:val="000866D6"/>
    <w:rsid w:val="000942B7"/>
    <w:rsid w:val="000A31B9"/>
    <w:rsid w:val="000B052D"/>
    <w:rsid w:val="001002CB"/>
    <w:rsid w:val="00107B41"/>
    <w:rsid w:val="0023631C"/>
    <w:rsid w:val="002418F6"/>
    <w:rsid w:val="00292390"/>
    <w:rsid w:val="00294C52"/>
    <w:rsid w:val="002F23DB"/>
    <w:rsid w:val="00312D00"/>
    <w:rsid w:val="00314591"/>
    <w:rsid w:val="00316A79"/>
    <w:rsid w:val="00341446"/>
    <w:rsid w:val="003676EC"/>
    <w:rsid w:val="003C2833"/>
    <w:rsid w:val="003C5F7E"/>
    <w:rsid w:val="003D0ED6"/>
    <w:rsid w:val="003D5B98"/>
    <w:rsid w:val="003E5902"/>
    <w:rsid w:val="003E78AB"/>
    <w:rsid w:val="003F5936"/>
    <w:rsid w:val="00451F3C"/>
    <w:rsid w:val="00475D2A"/>
    <w:rsid w:val="004B4DF0"/>
    <w:rsid w:val="00571BCF"/>
    <w:rsid w:val="00591E71"/>
    <w:rsid w:val="00596B6D"/>
    <w:rsid w:val="00607D6A"/>
    <w:rsid w:val="00681287"/>
    <w:rsid w:val="006B2AB0"/>
    <w:rsid w:val="007D60F5"/>
    <w:rsid w:val="007E3D3B"/>
    <w:rsid w:val="00855B0E"/>
    <w:rsid w:val="00876BCC"/>
    <w:rsid w:val="008D4EE8"/>
    <w:rsid w:val="008F3839"/>
    <w:rsid w:val="00973893"/>
    <w:rsid w:val="009C37ED"/>
    <w:rsid w:val="009D69D5"/>
    <w:rsid w:val="009E2D22"/>
    <w:rsid w:val="009F3384"/>
    <w:rsid w:val="00A103E4"/>
    <w:rsid w:val="00A22E6D"/>
    <w:rsid w:val="00A66C2D"/>
    <w:rsid w:val="00AA0D30"/>
    <w:rsid w:val="00AA3F37"/>
    <w:rsid w:val="00B247F7"/>
    <w:rsid w:val="00B46ACA"/>
    <w:rsid w:val="00B6202B"/>
    <w:rsid w:val="00B84154"/>
    <w:rsid w:val="00B91813"/>
    <w:rsid w:val="00C228C7"/>
    <w:rsid w:val="00C27676"/>
    <w:rsid w:val="00C540F3"/>
    <w:rsid w:val="00D078E1"/>
    <w:rsid w:val="00D55E15"/>
    <w:rsid w:val="00D57164"/>
    <w:rsid w:val="00E5766E"/>
    <w:rsid w:val="00E60FA5"/>
    <w:rsid w:val="00EA3691"/>
    <w:rsid w:val="00EE2093"/>
    <w:rsid w:val="00F02C0F"/>
    <w:rsid w:val="00FA2B08"/>
    <w:rsid w:val="00FC62C0"/>
    <w:rsid w:val="01203BB7"/>
    <w:rsid w:val="015C214F"/>
    <w:rsid w:val="01DD3C4D"/>
    <w:rsid w:val="022D1862"/>
    <w:rsid w:val="02A039BD"/>
    <w:rsid w:val="03245B97"/>
    <w:rsid w:val="03400F63"/>
    <w:rsid w:val="03425BEC"/>
    <w:rsid w:val="03A15462"/>
    <w:rsid w:val="043B21A7"/>
    <w:rsid w:val="048F2DA6"/>
    <w:rsid w:val="052E0277"/>
    <w:rsid w:val="05ED0E6E"/>
    <w:rsid w:val="067C44CB"/>
    <w:rsid w:val="06F70AC0"/>
    <w:rsid w:val="07AD37AF"/>
    <w:rsid w:val="07E44D1E"/>
    <w:rsid w:val="07F92E63"/>
    <w:rsid w:val="0810615E"/>
    <w:rsid w:val="081A65F1"/>
    <w:rsid w:val="084109EE"/>
    <w:rsid w:val="08E8509B"/>
    <w:rsid w:val="09D92B0A"/>
    <w:rsid w:val="09FE3256"/>
    <w:rsid w:val="0A4757E6"/>
    <w:rsid w:val="0A5B402F"/>
    <w:rsid w:val="0A7669ED"/>
    <w:rsid w:val="0AF246B9"/>
    <w:rsid w:val="0B095AB3"/>
    <w:rsid w:val="0B1A1A6E"/>
    <w:rsid w:val="0B3C17C1"/>
    <w:rsid w:val="0B7E3DE6"/>
    <w:rsid w:val="0BD64561"/>
    <w:rsid w:val="0BDC4F75"/>
    <w:rsid w:val="0BDD3221"/>
    <w:rsid w:val="0C412E3B"/>
    <w:rsid w:val="0CA50604"/>
    <w:rsid w:val="0D5758FA"/>
    <w:rsid w:val="0D817419"/>
    <w:rsid w:val="0D8859DA"/>
    <w:rsid w:val="0DAD6BC9"/>
    <w:rsid w:val="0DBA7538"/>
    <w:rsid w:val="0E1E7AC7"/>
    <w:rsid w:val="0E4B1F3E"/>
    <w:rsid w:val="0E8536A2"/>
    <w:rsid w:val="0E855450"/>
    <w:rsid w:val="0EB67D00"/>
    <w:rsid w:val="0EBE66C8"/>
    <w:rsid w:val="0ECB05F4"/>
    <w:rsid w:val="0EE851DC"/>
    <w:rsid w:val="0F362BEE"/>
    <w:rsid w:val="0F68037E"/>
    <w:rsid w:val="0F847DFE"/>
    <w:rsid w:val="106A1193"/>
    <w:rsid w:val="106E1C0C"/>
    <w:rsid w:val="1090155F"/>
    <w:rsid w:val="10AD5132"/>
    <w:rsid w:val="10B85FB1"/>
    <w:rsid w:val="10F50AB9"/>
    <w:rsid w:val="116522F5"/>
    <w:rsid w:val="11BC7F56"/>
    <w:rsid w:val="11D84F6D"/>
    <w:rsid w:val="11F431FF"/>
    <w:rsid w:val="130D2BEE"/>
    <w:rsid w:val="13345697"/>
    <w:rsid w:val="13637988"/>
    <w:rsid w:val="13A679DE"/>
    <w:rsid w:val="13D83A54"/>
    <w:rsid w:val="150712B5"/>
    <w:rsid w:val="1517224A"/>
    <w:rsid w:val="160916C8"/>
    <w:rsid w:val="1653502C"/>
    <w:rsid w:val="165D4F05"/>
    <w:rsid w:val="16655BAE"/>
    <w:rsid w:val="16A04EF0"/>
    <w:rsid w:val="16EF696B"/>
    <w:rsid w:val="17141626"/>
    <w:rsid w:val="189D5A8C"/>
    <w:rsid w:val="18F733EE"/>
    <w:rsid w:val="19AF5A77"/>
    <w:rsid w:val="19D21E95"/>
    <w:rsid w:val="1AA8484B"/>
    <w:rsid w:val="1AD95FA4"/>
    <w:rsid w:val="1B0400C4"/>
    <w:rsid w:val="1B1F09DB"/>
    <w:rsid w:val="1B6E1361"/>
    <w:rsid w:val="1BD81364"/>
    <w:rsid w:val="1C206711"/>
    <w:rsid w:val="1C32204E"/>
    <w:rsid w:val="1C534B91"/>
    <w:rsid w:val="1CB50D7D"/>
    <w:rsid w:val="1CC7132A"/>
    <w:rsid w:val="1D3B6DDF"/>
    <w:rsid w:val="1D82193B"/>
    <w:rsid w:val="1DAD522A"/>
    <w:rsid w:val="1DE71C83"/>
    <w:rsid w:val="1E1B36DB"/>
    <w:rsid w:val="1EB07F51"/>
    <w:rsid w:val="1F020397"/>
    <w:rsid w:val="1F325A91"/>
    <w:rsid w:val="1F6F0542"/>
    <w:rsid w:val="1FAA684D"/>
    <w:rsid w:val="1FB37FF3"/>
    <w:rsid w:val="1FE3090A"/>
    <w:rsid w:val="202B3C5A"/>
    <w:rsid w:val="204214E8"/>
    <w:rsid w:val="20B539DF"/>
    <w:rsid w:val="214E5849"/>
    <w:rsid w:val="21856665"/>
    <w:rsid w:val="21A32365"/>
    <w:rsid w:val="22161096"/>
    <w:rsid w:val="22371FD7"/>
    <w:rsid w:val="225E628C"/>
    <w:rsid w:val="23181FD2"/>
    <w:rsid w:val="234378EA"/>
    <w:rsid w:val="243C25FD"/>
    <w:rsid w:val="247E30EA"/>
    <w:rsid w:val="2501526A"/>
    <w:rsid w:val="25094547"/>
    <w:rsid w:val="25885D7C"/>
    <w:rsid w:val="25BC57A4"/>
    <w:rsid w:val="26A85D28"/>
    <w:rsid w:val="26AC31BB"/>
    <w:rsid w:val="26FD3595"/>
    <w:rsid w:val="272A6FE5"/>
    <w:rsid w:val="27541561"/>
    <w:rsid w:val="27A469FC"/>
    <w:rsid w:val="27E45486"/>
    <w:rsid w:val="27F022F9"/>
    <w:rsid w:val="28594428"/>
    <w:rsid w:val="2885273C"/>
    <w:rsid w:val="28CD6CD8"/>
    <w:rsid w:val="291476A5"/>
    <w:rsid w:val="294C1837"/>
    <w:rsid w:val="295C3C6A"/>
    <w:rsid w:val="297E756F"/>
    <w:rsid w:val="29D22ED3"/>
    <w:rsid w:val="2A027E45"/>
    <w:rsid w:val="2A420242"/>
    <w:rsid w:val="2AE15E9E"/>
    <w:rsid w:val="2AFA092D"/>
    <w:rsid w:val="2B011EB4"/>
    <w:rsid w:val="2B196F30"/>
    <w:rsid w:val="2B2A58C7"/>
    <w:rsid w:val="2B447909"/>
    <w:rsid w:val="2B485FEC"/>
    <w:rsid w:val="2B5F5164"/>
    <w:rsid w:val="2C612E67"/>
    <w:rsid w:val="2C643076"/>
    <w:rsid w:val="2D0772C2"/>
    <w:rsid w:val="2D090A00"/>
    <w:rsid w:val="2D1265F1"/>
    <w:rsid w:val="2D2D342B"/>
    <w:rsid w:val="2D426DF3"/>
    <w:rsid w:val="2D564730"/>
    <w:rsid w:val="2D91186F"/>
    <w:rsid w:val="2DA07C21"/>
    <w:rsid w:val="2E533A09"/>
    <w:rsid w:val="2E682517"/>
    <w:rsid w:val="2E804C07"/>
    <w:rsid w:val="2EC525A4"/>
    <w:rsid w:val="2F6A1E2C"/>
    <w:rsid w:val="2F745341"/>
    <w:rsid w:val="30DA76A0"/>
    <w:rsid w:val="310708F9"/>
    <w:rsid w:val="31614ADC"/>
    <w:rsid w:val="31B935CC"/>
    <w:rsid w:val="320166AE"/>
    <w:rsid w:val="32295A9A"/>
    <w:rsid w:val="324844D9"/>
    <w:rsid w:val="32536EB8"/>
    <w:rsid w:val="32645ABA"/>
    <w:rsid w:val="32821B23"/>
    <w:rsid w:val="32B048E2"/>
    <w:rsid w:val="32CA71D7"/>
    <w:rsid w:val="32DF71FE"/>
    <w:rsid w:val="32E739B7"/>
    <w:rsid w:val="330D7D61"/>
    <w:rsid w:val="334D0383"/>
    <w:rsid w:val="335735D5"/>
    <w:rsid w:val="335F60F5"/>
    <w:rsid w:val="33F06864"/>
    <w:rsid w:val="346357FC"/>
    <w:rsid w:val="347E6929"/>
    <w:rsid w:val="34817740"/>
    <w:rsid w:val="34884436"/>
    <w:rsid w:val="34AD76AF"/>
    <w:rsid w:val="34D25818"/>
    <w:rsid w:val="35143F5C"/>
    <w:rsid w:val="352D3DFD"/>
    <w:rsid w:val="35B357AD"/>
    <w:rsid w:val="374C0952"/>
    <w:rsid w:val="37764687"/>
    <w:rsid w:val="37980A7D"/>
    <w:rsid w:val="37C6092A"/>
    <w:rsid w:val="37CE1367"/>
    <w:rsid w:val="38084878"/>
    <w:rsid w:val="38091962"/>
    <w:rsid w:val="38A24CCD"/>
    <w:rsid w:val="38E52E0C"/>
    <w:rsid w:val="39203E44"/>
    <w:rsid w:val="39487399"/>
    <w:rsid w:val="39A24859"/>
    <w:rsid w:val="39CD7B28"/>
    <w:rsid w:val="3A290416"/>
    <w:rsid w:val="3A48510F"/>
    <w:rsid w:val="3ABD5A50"/>
    <w:rsid w:val="3AD000DD"/>
    <w:rsid w:val="3BAC57DE"/>
    <w:rsid w:val="3BB645EB"/>
    <w:rsid w:val="3D296C13"/>
    <w:rsid w:val="3D617036"/>
    <w:rsid w:val="3E3A0B4B"/>
    <w:rsid w:val="3E6502E3"/>
    <w:rsid w:val="3E6735AB"/>
    <w:rsid w:val="3E9926CE"/>
    <w:rsid w:val="3FA0680E"/>
    <w:rsid w:val="3FD738C1"/>
    <w:rsid w:val="400B74D2"/>
    <w:rsid w:val="40381640"/>
    <w:rsid w:val="406C0B7D"/>
    <w:rsid w:val="409A6144"/>
    <w:rsid w:val="409D2675"/>
    <w:rsid w:val="40C93F14"/>
    <w:rsid w:val="4168377D"/>
    <w:rsid w:val="41B95B4E"/>
    <w:rsid w:val="42210E03"/>
    <w:rsid w:val="436C03B1"/>
    <w:rsid w:val="43DC4293"/>
    <w:rsid w:val="442309CE"/>
    <w:rsid w:val="4451285A"/>
    <w:rsid w:val="447909B3"/>
    <w:rsid w:val="44D0671E"/>
    <w:rsid w:val="44DD1721"/>
    <w:rsid w:val="44E87F0C"/>
    <w:rsid w:val="44F206DC"/>
    <w:rsid w:val="45252A8A"/>
    <w:rsid w:val="457A6093"/>
    <w:rsid w:val="46113492"/>
    <w:rsid w:val="46314217"/>
    <w:rsid w:val="469E0288"/>
    <w:rsid w:val="46BA1DBD"/>
    <w:rsid w:val="47040901"/>
    <w:rsid w:val="473E049B"/>
    <w:rsid w:val="47556436"/>
    <w:rsid w:val="47803986"/>
    <w:rsid w:val="483D40AB"/>
    <w:rsid w:val="488E0237"/>
    <w:rsid w:val="48F30C2D"/>
    <w:rsid w:val="49387817"/>
    <w:rsid w:val="4955053F"/>
    <w:rsid w:val="49885819"/>
    <w:rsid w:val="49AB775A"/>
    <w:rsid w:val="49B05EEB"/>
    <w:rsid w:val="4A691E42"/>
    <w:rsid w:val="4A887776"/>
    <w:rsid w:val="4A933F92"/>
    <w:rsid w:val="4AC06343"/>
    <w:rsid w:val="4B114F4E"/>
    <w:rsid w:val="4C162FB2"/>
    <w:rsid w:val="4C352DFF"/>
    <w:rsid w:val="4C4D0518"/>
    <w:rsid w:val="4C95798D"/>
    <w:rsid w:val="4D2469E7"/>
    <w:rsid w:val="4D497DFE"/>
    <w:rsid w:val="4D8450A1"/>
    <w:rsid w:val="4DED20EF"/>
    <w:rsid w:val="4E141D71"/>
    <w:rsid w:val="4E375A60"/>
    <w:rsid w:val="4E6C395B"/>
    <w:rsid w:val="4E946A0E"/>
    <w:rsid w:val="4EC53691"/>
    <w:rsid w:val="4F4B74A6"/>
    <w:rsid w:val="4F4D5FC8"/>
    <w:rsid w:val="4F5C0F27"/>
    <w:rsid w:val="501871CB"/>
    <w:rsid w:val="50273554"/>
    <w:rsid w:val="502F4C40"/>
    <w:rsid w:val="50B576FA"/>
    <w:rsid w:val="523302EC"/>
    <w:rsid w:val="534529CD"/>
    <w:rsid w:val="534C2FF1"/>
    <w:rsid w:val="53A23B60"/>
    <w:rsid w:val="540D674C"/>
    <w:rsid w:val="5411123E"/>
    <w:rsid w:val="54A82A38"/>
    <w:rsid w:val="54E908E1"/>
    <w:rsid w:val="54FB7F36"/>
    <w:rsid w:val="54FC355F"/>
    <w:rsid w:val="55486565"/>
    <w:rsid w:val="55611CC3"/>
    <w:rsid w:val="556A2277"/>
    <w:rsid w:val="55FA274D"/>
    <w:rsid w:val="55FF50B5"/>
    <w:rsid w:val="5621502B"/>
    <w:rsid w:val="567A746F"/>
    <w:rsid w:val="56A354EB"/>
    <w:rsid w:val="570B156F"/>
    <w:rsid w:val="570D22F7"/>
    <w:rsid w:val="5717642E"/>
    <w:rsid w:val="571F1304"/>
    <w:rsid w:val="574E4F09"/>
    <w:rsid w:val="57F73C83"/>
    <w:rsid w:val="58191D6A"/>
    <w:rsid w:val="58763AC7"/>
    <w:rsid w:val="58E4376F"/>
    <w:rsid w:val="58E80082"/>
    <w:rsid w:val="58F307D5"/>
    <w:rsid w:val="59455AF6"/>
    <w:rsid w:val="594921FE"/>
    <w:rsid w:val="594A0E70"/>
    <w:rsid w:val="596A0787"/>
    <w:rsid w:val="596F4300"/>
    <w:rsid w:val="599A63CA"/>
    <w:rsid w:val="59A4500D"/>
    <w:rsid w:val="59A50281"/>
    <w:rsid w:val="59D51ABC"/>
    <w:rsid w:val="59D7060E"/>
    <w:rsid w:val="59DF6BA6"/>
    <w:rsid w:val="5ADC59C5"/>
    <w:rsid w:val="5B25598F"/>
    <w:rsid w:val="5BAB5456"/>
    <w:rsid w:val="5BB9092C"/>
    <w:rsid w:val="5C367357"/>
    <w:rsid w:val="5C3929A3"/>
    <w:rsid w:val="5C4E28F2"/>
    <w:rsid w:val="5CCE3A33"/>
    <w:rsid w:val="5CF83609"/>
    <w:rsid w:val="5D7670EA"/>
    <w:rsid w:val="5D87709F"/>
    <w:rsid w:val="5D9407D9"/>
    <w:rsid w:val="5DDE782E"/>
    <w:rsid w:val="5DFB4112"/>
    <w:rsid w:val="5E2C0A8E"/>
    <w:rsid w:val="5EFC7915"/>
    <w:rsid w:val="5F3728FF"/>
    <w:rsid w:val="5FB10CA0"/>
    <w:rsid w:val="60695F4D"/>
    <w:rsid w:val="60B847DE"/>
    <w:rsid w:val="61422C63"/>
    <w:rsid w:val="618B1C42"/>
    <w:rsid w:val="618C17C7"/>
    <w:rsid w:val="61C15A2F"/>
    <w:rsid w:val="61D875F0"/>
    <w:rsid w:val="61D92C5E"/>
    <w:rsid w:val="61ED68AC"/>
    <w:rsid w:val="61EF1D71"/>
    <w:rsid w:val="623E21BA"/>
    <w:rsid w:val="623F09C9"/>
    <w:rsid w:val="626970D8"/>
    <w:rsid w:val="628846D9"/>
    <w:rsid w:val="64846130"/>
    <w:rsid w:val="651B533C"/>
    <w:rsid w:val="65382E17"/>
    <w:rsid w:val="6557640C"/>
    <w:rsid w:val="663A1619"/>
    <w:rsid w:val="664F799F"/>
    <w:rsid w:val="66A03087"/>
    <w:rsid w:val="670342D9"/>
    <w:rsid w:val="6716425A"/>
    <w:rsid w:val="6731269C"/>
    <w:rsid w:val="675535E5"/>
    <w:rsid w:val="679A2E90"/>
    <w:rsid w:val="67DC5256"/>
    <w:rsid w:val="682D468F"/>
    <w:rsid w:val="68306E82"/>
    <w:rsid w:val="68F6059A"/>
    <w:rsid w:val="68FC7232"/>
    <w:rsid w:val="69616EC8"/>
    <w:rsid w:val="69694879"/>
    <w:rsid w:val="696C79F4"/>
    <w:rsid w:val="69CA3AD4"/>
    <w:rsid w:val="6A7177BA"/>
    <w:rsid w:val="6AFD042D"/>
    <w:rsid w:val="6B1D0491"/>
    <w:rsid w:val="6B411ED0"/>
    <w:rsid w:val="6B8B45F7"/>
    <w:rsid w:val="6BD325EA"/>
    <w:rsid w:val="6BDE45F3"/>
    <w:rsid w:val="6C0D086B"/>
    <w:rsid w:val="6C374049"/>
    <w:rsid w:val="6CED5810"/>
    <w:rsid w:val="6D8D5256"/>
    <w:rsid w:val="6D970D6C"/>
    <w:rsid w:val="6DC155AD"/>
    <w:rsid w:val="6DC9627D"/>
    <w:rsid w:val="6E0200ED"/>
    <w:rsid w:val="6E096679"/>
    <w:rsid w:val="6E41563D"/>
    <w:rsid w:val="6EC7041F"/>
    <w:rsid w:val="6F3277A9"/>
    <w:rsid w:val="70156BD3"/>
    <w:rsid w:val="701C374E"/>
    <w:rsid w:val="703263FC"/>
    <w:rsid w:val="70386FC9"/>
    <w:rsid w:val="70C601DE"/>
    <w:rsid w:val="70CC4D97"/>
    <w:rsid w:val="71036320"/>
    <w:rsid w:val="711A05EC"/>
    <w:rsid w:val="71486636"/>
    <w:rsid w:val="715173B5"/>
    <w:rsid w:val="7218332F"/>
    <w:rsid w:val="72D354A8"/>
    <w:rsid w:val="732C4FA3"/>
    <w:rsid w:val="73483566"/>
    <w:rsid w:val="736A7B7A"/>
    <w:rsid w:val="73DC65DE"/>
    <w:rsid w:val="74185868"/>
    <w:rsid w:val="74D37FBD"/>
    <w:rsid w:val="74D84FF7"/>
    <w:rsid w:val="74ED05A1"/>
    <w:rsid w:val="75096F5F"/>
    <w:rsid w:val="753A0E64"/>
    <w:rsid w:val="758E6E77"/>
    <w:rsid w:val="75BC66C7"/>
    <w:rsid w:val="76115193"/>
    <w:rsid w:val="766A178B"/>
    <w:rsid w:val="76941B1A"/>
    <w:rsid w:val="76CA0970"/>
    <w:rsid w:val="771642A0"/>
    <w:rsid w:val="771D3127"/>
    <w:rsid w:val="77260E63"/>
    <w:rsid w:val="775659DA"/>
    <w:rsid w:val="775B44F0"/>
    <w:rsid w:val="77650BEE"/>
    <w:rsid w:val="778C10EB"/>
    <w:rsid w:val="77A83A45"/>
    <w:rsid w:val="77B77146"/>
    <w:rsid w:val="78B05C24"/>
    <w:rsid w:val="793A5715"/>
    <w:rsid w:val="7968192C"/>
    <w:rsid w:val="797C6F73"/>
    <w:rsid w:val="79EB215C"/>
    <w:rsid w:val="79F41F96"/>
    <w:rsid w:val="7A254335"/>
    <w:rsid w:val="7A37456E"/>
    <w:rsid w:val="7B007056"/>
    <w:rsid w:val="7B5573A2"/>
    <w:rsid w:val="7B980DFD"/>
    <w:rsid w:val="7BD429DD"/>
    <w:rsid w:val="7C0A2ABD"/>
    <w:rsid w:val="7CD42548"/>
    <w:rsid w:val="7CDB3A06"/>
    <w:rsid w:val="7D0C1CE2"/>
    <w:rsid w:val="7D2E4D26"/>
    <w:rsid w:val="7D450A87"/>
    <w:rsid w:val="7D627B54"/>
    <w:rsid w:val="7D775807"/>
    <w:rsid w:val="7D910D10"/>
    <w:rsid w:val="7DBD2608"/>
    <w:rsid w:val="7E54731E"/>
    <w:rsid w:val="7EAD5DAE"/>
    <w:rsid w:val="7EC23181"/>
    <w:rsid w:val="7F016EF9"/>
    <w:rsid w:val="7F5068C3"/>
    <w:rsid w:val="7FB74F3E"/>
    <w:rsid w:val="7FBC5DE7"/>
    <w:rsid w:val="7FCA2A56"/>
    <w:rsid w:val="7FCB4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fillcolor="white">
      <v:fill color="white"/>
    </o:shapedefaults>
    <o:shapelayout v:ext="edit">
      <o:idmap v:ext="edit" data="1"/>
    </o:shapelayout>
  </w:shapeDefaults>
  <w:decimalSymbol w:val="."/>
  <w:listSeparator w:val=","/>
  <w15:docId w15:val="{0EC4743C-829D-4117-AADD-15E69E5D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Normal Indent" w:qFormat="1"/>
    <w:lsdException w:name="annotation text" w:qFormat="1"/>
    <w:lsdException w:name="header" w:unhideWhenUsed="1" w:qFormat="1"/>
    <w:lsdException w:name="footer"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Body Text" w:uiPriority="99" w:qFormat="1"/>
    <w:lsdException w:name="Body Text Indent" w:semiHidden="1" w:uiPriority="99" w:unhideWhenUsed="1" w:qFormat="1"/>
    <w:lsdException w:name="Subtitle" w:qFormat="1"/>
    <w:lsdException w:name="Salutation" w:uiPriority="99" w:unhideWhenUsed="1" w:qFormat="1"/>
    <w:lsdException w:name="Body Text First Indent" w:uiPriority="99" w:qFormat="1"/>
    <w:lsdException w:name="Body Text First Indent 2" w:uiPriority="99" w:unhideWhenUsed="1" w:qFormat="1"/>
    <w:lsdException w:name="Body Text 2" w:unhideWhenUsed="1"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next w:val="10"/>
    <w:qFormat/>
    <w:pPr>
      <w:widowControl w:val="0"/>
      <w:topLinePunct/>
      <w:spacing w:line="520" w:lineRule="exact"/>
      <w:ind w:firstLineChars="200" w:firstLine="880"/>
      <w:jc w:val="both"/>
    </w:pPr>
    <w:rPr>
      <w:sz w:val="24"/>
      <w:szCs w:val="24"/>
    </w:rPr>
  </w:style>
  <w:style w:type="paragraph" w:styleId="10">
    <w:name w:val="heading 1"/>
    <w:basedOn w:val="ab"/>
    <w:next w:val="ab"/>
    <w:uiPriority w:val="9"/>
    <w:qFormat/>
    <w:pPr>
      <w:keepNext/>
      <w:tabs>
        <w:tab w:val="left" w:pos="4140"/>
      </w:tabs>
      <w:spacing w:beforeLines="50" w:before="50" w:afterLines="50" w:after="50" w:line="360" w:lineRule="auto"/>
      <w:ind w:firstLineChars="0" w:firstLine="0"/>
      <w:outlineLvl w:val="0"/>
    </w:pPr>
    <w:rPr>
      <w:b/>
      <w:kern w:val="2"/>
      <w:sz w:val="32"/>
      <w:szCs w:val="32"/>
    </w:rPr>
  </w:style>
  <w:style w:type="paragraph" w:styleId="2">
    <w:name w:val="heading 2"/>
    <w:basedOn w:val="ab"/>
    <w:next w:val="ab"/>
    <w:uiPriority w:val="9"/>
    <w:qFormat/>
    <w:pPr>
      <w:keepNext/>
      <w:keepLines/>
      <w:spacing w:before="260" w:after="260" w:line="416" w:lineRule="auto"/>
      <w:outlineLvl w:val="1"/>
    </w:pPr>
    <w:rPr>
      <w:rFonts w:ascii="Arial" w:eastAsia="黑体" w:hAnsi="Arial"/>
      <w:b/>
      <w:bCs/>
      <w:kern w:val="2"/>
      <w:sz w:val="32"/>
      <w:szCs w:val="32"/>
    </w:rPr>
  </w:style>
  <w:style w:type="paragraph" w:styleId="30">
    <w:name w:val="heading 3"/>
    <w:basedOn w:val="ab"/>
    <w:next w:val="ac"/>
    <w:qFormat/>
    <w:pPr>
      <w:keepNext/>
      <w:keepLines/>
      <w:spacing w:before="260" w:after="260" w:line="416" w:lineRule="auto"/>
      <w:outlineLvl w:val="2"/>
    </w:pPr>
    <w:rPr>
      <w:b/>
      <w:kern w:val="2"/>
      <w:sz w:val="32"/>
      <w:szCs w:val="32"/>
    </w:rPr>
  </w:style>
  <w:style w:type="paragraph" w:styleId="4">
    <w:name w:val="heading 4"/>
    <w:basedOn w:val="ab"/>
    <w:next w:val="ab"/>
    <w:uiPriority w:val="9"/>
    <w:qFormat/>
    <w:pPr>
      <w:keepNext/>
      <w:keepLines/>
      <w:adjustRightInd w:val="0"/>
      <w:snapToGrid w:val="0"/>
      <w:spacing w:beforeLines="50" w:line="360" w:lineRule="auto"/>
      <w:outlineLvl w:val="3"/>
    </w:pPr>
    <w:rPr>
      <w:rFonts w:ascii="Arial" w:hAnsi="Arial"/>
      <w:b/>
      <w:bCs/>
      <w:szCs w:val="28"/>
    </w:rPr>
  </w:style>
  <w:style w:type="paragraph" w:styleId="5">
    <w:name w:val="heading 5"/>
    <w:basedOn w:val="ab"/>
    <w:next w:val="ab"/>
    <w:unhideWhenUsed/>
    <w:qFormat/>
    <w:pPr>
      <w:keepNext/>
      <w:keepLines/>
      <w:outlineLvl w:val="4"/>
    </w:pPr>
    <w:rPr>
      <w:b/>
      <w:sz w:val="28"/>
    </w:rPr>
  </w:style>
  <w:style w:type="paragraph" w:styleId="6">
    <w:name w:val="heading 6"/>
    <w:basedOn w:val="ab"/>
    <w:next w:val="ab"/>
    <w:uiPriority w:val="9"/>
    <w:semiHidden/>
    <w:unhideWhenUsed/>
    <w:qFormat/>
    <w:pPr>
      <w:keepNext/>
      <w:keepLines/>
      <w:adjustRightInd w:val="0"/>
      <w:snapToGrid w:val="0"/>
      <w:spacing w:before="240" w:after="64" w:line="320" w:lineRule="auto"/>
      <w:textAlignment w:val="baseline"/>
      <w:outlineLvl w:val="5"/>
    </w:pPr>
    <w:rPr>
      <w:rFonts w:ascii="Arial" w:eastAsia="黑体" w:hAnsi="Arial"/>
      <w:b/>
      <w:bCs/>
      <w:spacing w:val="4"/>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c">
    <w:name w:val="Normal Indent"/>
    <w:basedOn w:val="ab"/>
    <w:qFormat/>
    <w:pPr>
      <w:spacing w:after="120" w:line="336" w:lineRule="auto"/>
      <w:ind w:firstLine="480"/>
    </w:pPr>
    <w:rPr>
      <w:rFonts w:eastAsia="华康简宋"/>
      <w:szCs w:val="20"/>
    </w:rPr>
  </w:style>
  <w:style w:type="paragraph" w:styleId="af0">
    <w:name w:val="annotation text"/>
    <w:basedOn w:val="ab"/>
    <w:link w:val="af1"/>
    <w:qFormat/>
    <w:pPr>
      <w:jc w:val="left"/>
    </w:pPr>
  </w:style>
  <w:style w:type="paragraph" w:styleId="af2">
    <w:name w:val="Salutation"/>
    <w:next w:val="ab"/>
    <w:uiPriority w:val="99"/>
    <w:unhideWhenUsed/>
    <w:qFormat/>
    <w:pPr>
      <w:widowControl w:val="0"/>
      <w:jc w:val="both"/>
    </w:pPr>
    <w:rPr>
      <w:kern w:val="2"/>
      <w:sz w:val="21"/>
      <w:szCs w:val="24"/>
    </w:rPr>
  </w:style>
  <w:style w:type="paragraph" w:styleId="af3">
    <w:name w:val="Body Text"/>
    <w:basedOn w:val="ab"/>
    <w:next w:val="20"/>
    <w:uiPriority w:val="99"/>
    <w:qFormat/>
    <w:pPr>
      <w:spacing w:after="120"/>
    </w:pPr>
  </w:style>
  <w:style w:type="paragraph" w:styleId="20">
    <w:name w:val="Body Text 2"/>
    <w:basedOn w:val="ab"/>
    <w:unhideWhenUsed/>
    <w:qFormat/>
    <w:pPr>
      <w:spacing w:after="120" w:line="480" w:lineRule="auto"/>
      <w:ind w:firstLineChars="0" w:firstLine="0"/>
    </w:pPr>
    <w:rPr>
      <w:sz w:val="21"/>
    </w:rPr>
  </w:style>
  <w:style w:type="paragraph" w:styleId="af4">
    <w:name w:val="Body Text Indent"/>
    <w:basedOn w:val="ab"/>
    <w:uiPriority w:val="99"/>
    <w:semiHidden/>
    <w:unhideWhenUsed/>
    <w:qFormat/>
    <w:pPr>
      <w:autoSpaceDE w:val="0"/>
      <w:autoSpaceDN w:val="0"/>
      <w:adjustRightInd w:val="0"/>
      <w:spacing w:line="460" w:lineRule="atLeast"/>
      <w:ind w:firstLine="549"/>
    </w:pPr>
    <w:rPr>
      <w:rFonts w:ascii="宋体" w:eastAsiaTheme="minorEastAsia" w:hAnsi="宋体" w:cs="宋体" w:hint="eastAsia"/>
      <w:color w:val="000000"/>
      <w:szCs w:val="26"/>
    </w:rPr>
  </w:style>
  <w:style w:type="paragraph" w:styleId="af5">
    <w:name w:val="Plain Text"/>
    <w:next w:val="af2"/>
    <w:qFormat/>
    <w:pPr>
      <w:widowControl w:val="0"/>
      <w:jc w:val="center"/>
    </w:pPr>
    <w:rPr>
      <w:rFonts w:hAnsi="Courier New"/>
      <w:color w:val="000000"/>
      <w:kern w:val="2"/>
      <w:sz w:val="21"/>
      <w:szCs w:val="21"/>
    </w:rPr>
  </w:style>
  <w:style w:type="paragraph" w:styleId="21">
    <w:name w:val="Body Text Indent 2"/>
    <w:basedOn w:val="ab"/>
    <w:qFormat/>
    <w:pPr>
      <w:spacing w:line="240" w:lineRule="atLeast"/>
      <w:ind w:firstLine="425"/>
    </w:pPr>
  </w:style>
  <w:style w:type="paragraph" w:styleId="af6">
    <w:name w:val="Balloon Text"/>
    <w:basedOn w:val="ab"/>
    <w:link w:val="af7"/>
    <w:qFormat/>
    <w:pPr>
      <w:spacing w:line="240" w:lineRule="auto"/>
    </w:pPr>
    <w:rPr>
      <w:sz w:val="18"/>
      <w:szCs w:val="18"/>
    </w:rPr>
  </w:style>
  <w:style w:type="paragraph" w:styleId="af8">
    <w:name w:val="footer"/>
    <w:basedOn w:val="ab"/>
    <w:unhideWhenUsed/>
    <w:qFormat/>
    <w:pPr>
      <w:tabs>
        <w:tab w:val="center" w:pos="4153"/>
        <w:tab w:val="right" w:pos="8306"/>
      </w:tabs>
      <w:snapToGrid w:val="0"/>
      <w:jc w:val="left"/>
    </w:pPr>
    <w:rPr>
      <w:sz w:val="18"/>
      <w:szCs w:val="18"/>
    </w:rPr>
  </w:style>
  <w:style w:type="paragraph" w:styleId="af9">
    <w:name w:val="header"/>
    <w:basedOn w:val="ab"/>
    <w:next w:val="ab"/>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b"/>
    <w:next w:val="ab"/>
    <w:uiPriority w:val="39"/>
    <w:qFormat/>
    <w:pPr>
      <w:spacing w:before="360"/>
      <w:jc w:val="left"/>
    </w:pPr>
    <w:rPr>
      <w:rFonts w:ascii="Arial" w:hAnsi="Arial" w:cs="Arial"/>
      <w:b/>
      <w:bCs/>
      <w:caps/>
    </w:rPr>
  </w:style>
  <w:style w:type="paragraph" w:styleId="22">
    <w:name w:val="toc 2"/>
    <w:basedOn w:val="ab"/>
    <w:next w:val="ab"/>
    <w:qFormat/>
    <w:pPr>
      <w:ind w:leftChars="200" w:left="420"/>
    </w:pPr>
  </w:style>
  <w:style w:type="paragraph" w:styleId="afa">
    <w:name w:val="Normal (Web)"/>
    <w:basedOn w:val="ab"/>
    <w:qFormat/>
    <w:pPr>
      <w:widowControl/>
      <w:spacing w:before="100" w:beforeAutospacing="1" w:after="100" w:afterAutospacing="1"/>
      <w:jc w:val="left"/>
    </w:pPr>
    <w:rPr>
      <w:rFonts w:ascii="宋体" w:hAnsi="宋体" w:cs="宋体"/>
    </w:rPr>
  </w:style>
  <w:style w:type="paragraph" w:styleId="afb">
    <w:name w:val="annotation subject"/>
    <w:basedOn w:val="af0"/>
    <w:next w:val="af0"/>
    <w:link w:val="afc"/>
    <w:qFormat/>
    <w:rPr>
      <w:b/>
      <w:bCs/>
    </w:rPr>
  </w:style>
  <w:style w:type="paragraph" w:styleId="afd">
    <w:name w:val="Body Text First Indent"/>
    <w:basedOn w:val="af3"/>
    <w:uiPriority w:val="99"/>
    <w:qFormat/>
    <w:pPr>
      <w:ind w:firstLineChars="100" w:firstLine="420"/>
    </w:pPr>
    <w:rPr>
      <w:kern w:val="2"/>
      <w:sz w:val="21"/>
    </w:rPr>
  </w:style>
  <w:style w:type="paragraph" w:styleId="23">
    <w:name w:val="Body Text First Indent 2"/>
    <w:basedOn w:val="af4"/>
    <w:next w:val="afd"/>
    <w:uiPriority w:val="99"/>
    <w:unhideWhenUsed/>
    <w:qFormat/>
    <w:pPr>
      <w:spacing w:line="240" w:lineRule="auto"/>
      <w:ind w:firstLine="420"/>
    </w:pPr>
    <w:rPr>
      <w:rFonts w:ascii="Times New Roman" w:hAnsi="Times New Roman"/>
    </w:rPr>
  </w:style>
  <w:style w:type="table" w:styleId="afe">
    <w:name w:val="Table Grid"/>
    <w:basedOn w:val="ae"/>
    <w:uiPriority w:val="59"/>
    <w:qFormat/>
    <w:pPr>
      <w:jc w:val="center"/>
    </w:p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rPr>
      <w:jc w:val="center"/>
    </w:trPr>
    <w:tcPr>
      <w:vAlign w:val="center"/>
    </w:tcPr>
  </w:style>
  <w:style w:type="character" w:styleId="aff">
    <w:name w:val="Strong"/>
    <w:basedOn w:val="ad"/>
    <w:qFormat/>
    <w:rPr>
      <w:b/>
    </w:rPr>
  </w:style>
  <w:style w:type="character" w:styleId="aff0">
    <w:name w:val="Hyperlink"/>
    <w:basedOn w:val="ad"/>
    <w:qFormat/>
    <w:rPr>
      <w:color w:val="0000FF"/>
      <w:u w:val="single"/>
    </w:rPr>
  </w:style>
  <w:style w:type="character" w:styleId="aff1">
    <w:name w:val="annotation reference"/>
    <w:qFormat/>
    <w:rPr>
      <w:sz w:val="21"/>
      <w:szCs w:val="21"/>
    </w:rPr>
  </w:style>
  <w:style w:type="paragraph" w:customStyle="1" w:styleId="xl27">
    <w:name w:val="xl27"/>
    <w:basedOn w:val="ab"/>
    <w:next w:val="ab"/>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2"/>
      <w:szCs w:val="22"/>
    </w:rPr>
  </w:style>
  <w:style w:type="paragraph" w:customStyle="1" w:styleId="B0">
    <w:name w:val="B正文"/>
    <w:basedOn w:val="ab"/>
    <w:qFormat/>
    <w:pPr>
      <w:widowControl/>
      <w:ind w:firstLine="200"/>
    </w:pPr>
    <w:rPr>
      <w:rFonts w:cs="宋体"/>
    </w:rPr>
  </w:style>
  <w:style w:type="paragraph" w:customStyle="1" w:styleId="B1">
    <w:name w:val="B表内字"/>
    <w:basedOn w:val="ab"/>
    <w:qFormat/>
    <w:pPr>
      <w:widowControl/>
      <w:spacing w:line="240" w:lineRule="auto"/>
      <w:ind w:firstLineChars="0" w:firstLine="0"/>
      <w:jc w:val="center"/>
    </w:pPr>
    <w:rPr>
      <w:rFonts w:cs="宋体"/>
      <w:sz w:val="21"/>
    </w:rPr>
  </w:style>
  <w:style w:type="paragraph" w:customStyle="1" w:styleId="24">
    <w:name w:val="星辰标题2"/>
    <w:next w:val="ab"/>
    <w:qFormat/>
    <w:pPr>
      <w:keepNext/>
      <w:keepLines/>
      <w:widowControl w:val="0"/>
      <w:spacing w:beforeLines="50" w:before="50" w:line="360" w:lineRule="auto"/>
      <w:jc w:val="both"/>
      <w:outlineLvl w:val="1"/>
    </w:pPr>
    <w:rPr>
      <w:rFonts w:cs="宋体"/>
      <w:b/>
      <w:bCs/>
      <w:kern w:val="2"/>
      <w:sz w:val="30"/>
    </w:rPr>
  </w:style>
  <w:style w:type="paragraph" w:customStyle="1" w:styleId="aff2">
    <w:name w:val="段落"/>
    <w:qFormat/>
    <w:pPr>
      <w:widowControl w:val="0"/>
      <w:ind w:firstLineChars="200" w:firstLine="560"/>
      <w:jc w:val="both"/>
    </w:pPr>
    <w:rPr>
      <w:rFonts w:cs="宋体"/>
      <w:kern w:val="2"/>
      <w:sz w:val="28"/>
    </w:rPr>
  </w:style>
  <w:style w:type="paragraph" w:customStyle="1" w:styleId="Default">
    <w:name w:val="Default"/>
    <w:basedOn w:val="12"/>
    <w:next w:val="ab"/>
    <w:qFormat/>
    <w:pPr>
      <w:autoSpaceDE w:val="0"/>
      <w:autoSpaceDN w:val="0"/>
    </w:pPr>
    <w:rPr>
      <w:rFonts w:hAnsi="Calibri" w:cs="宋体"/>
      <w:color w:val="000000"/>
      <w:sz w:val="24"/>
      <w:szCs w:val="24"/>
    </w:rPr>
  </w:style>
  <w:style w:type="paragraph" w:customStyle="1" w:styleId="12">
    <w:name w:val="纯文本1"/>
    <w:qFormat/>
    <w:pPr>
      <w:widowControl w:val="0"/>
      <w:adjustRightInd w:val="0"/>
      <w:jc w:val="both"/>
      <w:textAlignment w:val="baseline"/>
    </w:pPr>
    <w:rPr>
      <w:rFonts w:ascii="宋体" w:hAnsi="Courier New"/>
      <w:kern w:val="2"/>
      <w:sz w:val="21"/>
    </w:rPr>
  </w:style>
  <w:style w:type="paragraph" w:customStyle="1" w:styleId="aff3">
    <w:name w:val="表头、图号"/>
    <w:link w:val="Char"/>
    <w:qFormat/>
    <w:pPr>
      <w:widowControl w:val="0"/>
      <w:jc w:val="center"/>
    </w:pPr>
    <w:rPr>
      <w:rFonts w:eastAsia="黑体"/>
      <w:b/>
      <w:kern w:val="2"/>
      <w:sz w:val="21"/>
      <w:szCs w:val="22"/>
    </w:rPr>
  </w:style>
  <w:style w:type="paragraph" w:customStyle="1" w:styleId="31">
    <w:name w:val="星辰标题 3"/>
    <w:qFormat/>
    <w:pPr>
      <w:keepNext/>
      <w:keepLines/>
      <w:widowControl w:val="0"/>
      <w:spacing w:beforeLines="50" w:before="50" w:line="520" w:lineRule="exact"/>
      <w:jc w:val="both"/>
      <w:outlineLvl w:val="2"/>
    </w:pPr>
    <w:rPr>
      <w:rFonts w:cs="宋体"/>
      <w:b/>
      <w:kern w:val="2"/>
      <w:sz w:val="28"/>
    </w:rPr>
  </w:style>
  <w:style w:type="paragraph" w:customStyle="1" w:styleId="13">
    <w:name w:val="无间隔1"/>
    <w:qFormat/>
    <w:pPr>
      <w:jc w:val="center"/>
    </w:pPr>
    <w:rPr>
      <w:rFonts w:ascii="宋体" w:hAnsi="宋体" w:cs="宋体"/>
      <w:sz w:val="21"/>
      <w:szCs w:val="24"/>
    </w:rPr>
  </w:style>
  <w:style w:type="paragraph" w:customStyle="1" w:styleId="11B2">
    <w:name w:val="1.1B2"/>
    <w:basedOn w:val="2"/>
    <w:qFormat/>
  </w:style>
  <w:style w:type="paragraph" w:customStyle="1" w:styleId="B3">
    <w:name w:val="B3"/>
    <w:basedOn w:val="ab"/>
    <w:next w:val="ab"/>
    <w:qFormat/>
    <w:pPr>
      <w:widowControl/>
      <w:numPr>
        <w:ilvl w:val="2"/>
        <w:numId w:val="1"/>
      </w:numPr>
      <w:spacing w:before="80" w:after="80" w:line="240" w:lineRule="auto"/>
      <w:ind w:firstLineChars="0"/>
      <w:jc w:val="left"/>
      <w:outlineLvl w:val="2"/>
    </w:pPr>
    <w:rPr>
      <w:rFonts w:hAnsi="宋体"/>
      <w:b/>
      <w:sz w:val="28"/>
    </w:rPr>
  </w:style>
  <w:style w:type="paragraph" w:customStyle="1" w:styleId="B">
    <w:name w:val="B编号正文"/>
    <w:basedOn w:val="B0"/>
    <w:qFormat/>
    <w:pPr>
      <w:numPr>
        <w:numId w:val="2"/>
      </w:numPr>
      <w:ind w:firstLineChars="0"/>
      <w:jc w:val="left"/>
    </w:pPr>
  </w:style>
  <w:style w:type="paragraph" w:customStyle="1" w:styleId="B2">
    <w:name w:val="B图表标题"/>
    <w:basedOn w:val="ab"/>
    <w:next w:val="21"/>
    <w:qFormat/>
    <w:pPr>
      <w:widowControl/>
      <w:adjustRightInd w:val="0"/>
      <w:snapToGrid w:val="0"/>
      <w:spacing w:before="120"/>
      <w:ind w:firstLineChars="0" w:firstLine="0"/>
      <w:jc w:val="center"/>
    </w:pPr>
    <w:rPr>
      <w:b/>
      <w:color w:val="000000"/>
      <w:szCs w:val="28"/>
    </w:rPr>
  </w:style>
  <w:style w:type="paragraph" w:customStyle="1" w:styleId="a5">
    <w:name w:val="青华表头 第二章"/>
    <w:basedOn w:val="ab"/>
    <w:qFormat/>
    <w:pPr>
      <w:numPr>
        <w:numId w:val="3"/>
      </w:numPr>
      <w:ind w:left="0" w:firstLineChars="0" w:firstLine="0"/>
      <w:jc w:val="center"/>
    </w:pPr>
    <w:rPr>
      <w:rFonts w:eastAsia="黑体"/>
    </w:rPr>
  </w:style>
  <w:style w:type="paragraph" w:customStyle="1" w:styleId="aff4">
    <w:name w:val="青华表内"/>
    <w:basedOn w:val="ab"/>
    <w:qFormat/>
    <w:pPr>
      <w:spacing w:line="360" w:lineRule="exact"/>
      <w:ind w:firstLineChars="0" w:firstLine="0"/>
      <w:jc w:val="center"/>
    </w:pPr>
    <w:rPr>
      <w:rFonts w:hint="eastAsia"/>
      <w:sz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aff5">
    <w:name w:val="表头"/>
    <w:basedOn w:val="ac"/>
    <w:next w:val="ab"/>
    <w:qFormat/>
    <w:pPr>
      <w:tabs>
        <w:tab w:val="left" w:pos="6840"/>
      </w:tabs>
      <w:snapToGrid w:val="0"/>
      <w:spacing w:line="529" w:lineRule="exact"/>
      <w:jc w:val="center"/>
    </w:pPr>
    <w:rPr>
      <w:rFonts w:ascii="宋体" w:hAnsi="宋体"/>
      <w:b/>
      <w:bCs/>
      <w:kern w:val="24"/>
      <w:szCs w:val="28"/>
    </w:rPr>
  </w:style>
  <w:style w:type="paragraph" w:customStyle="1" w:styleId="aff6">
    <w:name w:val="表内文字"/>
    <w:qFormat/>
    <w:pPr>
      <w:widowControl w:val="0"/>
      <w:spacing w:line="360" w:lineRule="exact"/>
      <w:jc w:val="center"/>
    </w:pPr>
    <w:rPr>
      <w:kern w:val="2"/>
      <w:sz w:val="21"/>
      <w:szCs w:val="21"/>
    </w:rPr>
  </w:style>
  <w:style w:type="paragraph" w:customStyle="1" w:styleId="aff7">
    <w:name w:val="我的表格"/>
    <w:qFormat/>
    <w:pPr>
      <w:widowControl w:val="0"/>
      <w:autoSpaceDE w:val="0"/>
      <w:autoSpaceDN w:val="0"/>
      <w:adjustRightInd w:val="0"/>
      <w:jc w:val="center"/>
    </w:pPr>
    <w:rPr>
      <w:sz w:val="21"/>
      <w:szCs w:val="21"/>
    </w:rPr>
  </w:style>
  <w:style w:type="paragraph" w:customStyle="1" w:styleId="aff8">
    <w:name w:val="正文我"/>
    <w:qFormat/>
    <w:pPr>
      <w:widowControl w:val="0"/>
      <w:adjustRightInd w:val="0"/>
      <w:snapToGrid w:val="0"/>
      <w:spacing w:line="360" w:lineRule="auto"/>
      <w:ind w:firstLineChars="200" w:firstLine="480"/>
    </w:pPr>
    <w:rPr>
      <w:rFonts w:ascii="宋体" w:eastAsia="仿宋_GB2312"/>
      <w:snapToGrid w:val="0"/>
      <w:color w:val="000000"/>
      <w:kern w:val="2"/>
      <w:sz w:val="24"/>
      <w:szCs w:val="24"/>
    </w:rPr>
  </w:style>
  <w:style w:type="paragraph" w:customStyle="1" w:styleId="aff9">
    <w:name w:val="表格文字邓"/>
    <w:qFormat/>
    <w:pPr>
      <w:widowControl w:val="0"/>
      <w:snapToGrid w:val="0"/>
      <w:jc w:val="center"/>
    </w:pPr>
    <w:rPr>
      <w:rFonts w:ascii="宋体" w:hAnsi="宋体"/>
      <w:snapToGrid w:val="0"/>
      <w:color w:val="000000"/>
      <w:kern w:val="2"/>
      <w:sz w:val="18"/>
      <w:szCs w:val="21"/>
    </w:rPr>
  </w:style>
  <w:style w:type="paragraph" w:customStyle="1" w:styleId="affa">
    <w:name w:val="正文 楷体"/>
    <w:qFormat/>
    <w:pPr>
      <w:spacing w:line="500" w:lineRule="exact"/>
      <w:ind w:firstLineChars="200" w:firstLine="964"/>
    </w:pPr>
    <w:rPr>
      <w:rFonts w:ascii="楷体_GB2312" w:eastAsia="楷体_GB2312" w:hAnsi="楷体_GB2312"/>
      <w:sz w:val="24"/>
      <w:szCs w:val="24"/>
    </w:rPr>
  </w:style>
  <w:style w:type="paragraph" w:customStyle="1" w:styleId="Affb">
    <w:name w:val="正文A"/>
    <w:qFormat/>
    <w:pPr>
      <w:widowControl w:val="0"/>
      <w:spacing w:line="500" w:lineRule="exact"/>
      <w:ind w:firstLineChars="200" w:firstLine="480"/>
      <w:jc w:val="both"/>
    </w:pPr>
    <w:rPr>
      <w:sz w:val="24"/>
      <w:szCs w:val="24"/>
    </w:rPr>
  </w:style>
  <w:style w:type="paragraph" w:customStyle="1" w:styleId="TableParagraph">
    <w:name w:val="Table Paragraph"/>
    <w:uiPriority w:val="1"/>
    <w:qFormat/>
    <w:pPr>
      <w:widowControl w:val="0"/>
      <w:spacing w:before="100" w:beforeAutospacing="1" w:line="480" w:lineRule="exact"/>
      <w:ind w:firstLineChars="200" w:firstLine="720"/>
    </w:pPr>
    <w:rPr>
      <w:rFonts w:ascii="Calibri" w:hAnsi="Calibri" w:cs="Calibri"/>
      <w:sz w:val="22"/>
      <w:szCs w:val="22"/>
    </w:rPr>
  </w:style>
  <w:style w:type="paragraph" w:customStyle="1" w:styleId="affc">
    <w:name w:val="正文 样式"/>
    <w:qFormat/>
    <w:pPr>
      <w:widowControl w:val="0"/>
      <w:spacing w:line="360" w:lineRule="auto"/>
      <w:ind w:firstLineChars="200" w:firstLine="200"/>
      <w:jc w:val="both"/>
    </w:pPr>
    <w:rPr>
      <w:rFonts w:cs="宋体"/>
      <w:kern w:val="2"/>
      <w:sz w:val="24"/>
    </w:rPr>
  </w:style>
  <w:style w:type="paragraph" w:customStyle="1" w:styleId="a1">
    <w:name w:val="青华表头 第三章"/>
    <w:basedOn w:val="ab"/>
    <w:qFormat/>
    <w:pPr>
      <w:numPr>
        <w:numId w:val="4"/>
      </w:numPr>
      <w:tabs>
        <w:tab w:val="clear" w:pos="0"/>
        <w:tab w:val="left" w:pos="420"/>
      </w:tabs>
      <w:spacing w:line="360" w:lineRule="exact"/>
      <w:ind w:left="0" w:firstLineChars="0" w:firstLine="0"/>
      <w:jc w:val="center"/>
    </w:pPr>
    <w:rPr>
      <w:rFonts w:eastAsia="黑体"/>
    </w:rPr>
  </w:style>
  <w:style w:type="character" w:customStyle="1" w:styleId="font01">
    <w:name w:val="font01"/>
    <w:basedOn w:val="ad"/>
    <w:qFormat/>
    <w:rPr>
      <w:rFonts w:ascii="宋体" w:eastAsia="宋体" w:hAnsi="宋体" w:cs="宋体" w:hint="eastAsia"/>
      <w:color w:val="FF0000"/>
      <w:sz w:val="21"/>
      <w:szCs w:val="21"/>
      <w:u w:val="none"/>
    </w:rPr>
  </w:style>
  <w:style w:type="character" w:customStyle="1" w:styleId="font11">
    <w:name w:val="font11"/>
    <w:basedOn w:val="ad"/>
    <w:qFormat/>
    <w:rPr>
      <w:rFonts w:ascii="宋体" w:eastAsia="宋体" w:hAnsi="宋体" w:cs="宋体" w:hint="eastAsia"/>
      <w:color w:val="000000"/>
      <w:sz w:val="20"/>
      <w:szCs w:val="20"/>
      <w:u w:val="none"/>
    </w:rPr>
  </w:style>
  <w:style w:type="character" w:customStyle="1" w:styleId="font51">
    <w:name w:val="font51"/>
    <w:basedOn w:val="ad"/>
    <w:qFormat/>
    <w:rPr>
      <w:rFonts w:ascii="Arial" w:hAnsi="Arial" w:cs="Arial" w:hint="default"/>
      <w:color w:val="000000"/>
      <w:sz w:val="21"/>
      <w:szCs w:val="21"/>
      <w:u w:val="none"/>
    </w:rPr>
  </w:style>
  <w:style w:type="character" w:customStyle="1" w:styleId="font41">
    <w:name w:val="font41"/>
    <w:basedOn w:val="ad"/>
    <w:qFormat/>
    <w:rPr>
      <w:rFonts w:ascii="宋体" w:eastAsia="宋体" w:hAnsi="宋体" w:cs="宋体" w:hint="eastAsia"/>
      <w:color w:val="000000"/>
      <w:sz w:val="21"/>
      <w:szCs w:val="21"/>
      <w:u w:val="none"/>
    </w:rPr>
  </w:style>
  <w:style w:type="paragraph" w:customStyle="1" w:styleId="affd">
    <w:name w:val="表格内容"/>
    <w:qFormat/>
    <w:pPr>
      <w:widowControl w:val="0"/>
      <w:adjustRightInd w:val="0"/>
      <w:snapToGrid w:val="0"/>
      <w:ind w:leftChars="-15" w:left="-15" w:rightChars="-15" w:right="-15"/>
      <w:jc w:val="center"/>
      <w:textAlignment w:val="baseline"/>
    </w:pPr>
    <w:rPr>
      <w:color w:val="000000"/>
      <w:kern w:val="2"/>
      <w:sz w:val="21"/>
      <w:szCs w:val="18"/>
    </w:rPr>
  </w:style>
  <w:style w:type="paragraph" w:customStyle="1" w:styleId="xy3">
    <w:name w:val="xy表3"/>
    <w:basedOn w:val="ab"/>
    <w:qFormat/>
    <w:pPr>
      <w:numPr>
        <w:numId w:val="5"/>
      </w:numPr>
      <w:wordWrap w:val="0"/>
      <w:spacing w:beforeLines="50" w:before="50" w:afterLines="50" w:after="50" w:line="240" w:lineRule="auto"/>
      <w:ind w:firstLineChars="0"/>
      <w:jc w:val="center"/>
    </w:pPr>
    <w:rPr>
      <w:rFonts w:eastAsia="黑体"/>
    </w:rPr>
  </w:style>
  <w:style w:type="paragraph" w:customStyle="1" w:styleId="affe">
    <w:name w:val="！正文"/>
    <w:basedOn w:val="ab"/>
    <w:qFormat/>
    <w:pPr>
      <w:spacing w:line="500" w:lineRule="exact"/>
      <w:ind w:firstLine="200"/>
    </w:pPr>
    <w:rPr>
      <w:rFonts w:asciiTheme="minorHAnsi" w:eastAsiaTheme="minorEastAsia" w:hAnsiTheme="minorHAnsi" w:cstheme="minorBidi"/>
    </w:rPr>
  </w:style>
  <w:style w:type="paragraph" w:customStyle="1" w:styleId="00">
    <w:name w:val="00表格"/>
    <w:basedOn w:val="ab"/>
    <w:qFormat/>
    <w:pPr>
      <w:jc w:val="center"/>
    </w:pPr>
    <w:rPr>
      <w:szCs w:val="20"/>
    </w:rPr>
  </w:style>
  <w:style w:type="paragraph" w:customStyle="1" w:styleId="afff">
    <w:name w:val="表中文字"/>
    <w:next w:val="ab"/>
    <w:qFormat/>
    <w:pPr>
      <w:spacing w:line="360" w:lineRule="exact"/>
      <w:jc w:val="center"/>
    </w:pPr>
    <w:rPr>
      <w:rFonts w:cstheme="minorBidi"/>
      <w:color w:val="000000"/>
      <w:kern w:val="2"/>
      <w:sz w:val="21"/>
      <w:szCs w:val="24"/>
    </w:rPr>
  </w:style>
  <w:style w:type="table" w:customStyle="1" w:styleId="afff0">
    <w:name w:val="标准样式"/>
    <w:uiPriority w:val="99"/>
    <w:qFormat/>
    <w:rPr>
      <w:color w:val="000000"/>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57" w:type="dxa"/>
        <w:bottom w:w="0" w:type="dxa"/>
        <w:right w:w="57" w:type="dxa"/>
      </w:tblCellMar>
    </w:tblPr>
    <w:tcPr>
      <w:vAlign w:val="center"/>
    </w:tcPr>
  </w:style>
  <w:style w:type="paragraph" w:customStyle="1" w:styleId="1">
    <w:name w:val="星辰标题1"/>
    <w:basedOn w:val="ab"/>
    <w:next w:val="ab"/>
    <w:qFormat/>
    <w:pPr>
      <w:numPr>
        <w:numId w:val="6"/>
      </w:numPr>
      <w:spacing w:beforeLines="50" w:before="50" w:line="240" w:lineRule="auto"/>
      <w:ind w:firstLineChars="0"/>
      <w:jc w:val="center"/>
    </w:pPr>
    <w:rPr>
      <w:rFonts w:eastAsia="黑体"/>
    </w:rPr>
  </w:style>
  <w:style w:type="paragraph" w:customStyle="1" w:styleId="9">
    <w:name w:val="青华表头9"/>
    <w:qFormat/>
    <w:pPr>
      <w:widowControl w:val="0"/>
      <w:numPr>
        <w:numId w:val="7"/>
      </w:numPr>
      <w:spacing w:line="520" w:lineRule="exact"/>
      <w:ind w:left="0" w:firstLine="0"/>
      <w:jc w:val="center"/>
    </w:pPr>
    <w:rPr>
      <w:rFonts w:eastAsia="黑体"/>
      <w:kern w:val="2"/>
      <w:sz w:val="24"/>
      <w:szCs w:val="24"/>
    </w:rPr>
  </w:style>
  <w:style w:type="paragraph" w:customStyle="1" w:styleId="TableText">
    <w:name w:val="Table Text"/>
    <w:basedOn w:val="ab"/>
    <w:semiHidden/>
    <w:qFormat/>
    <w:rPr>
      <w:rFonts w:ascii="宋体" w:hAnsi="宋体" w:cs="宋体"/>
      <w:sz w:val="20"/>
      <w:szCs w:val="20"/>
      <w:lang w:eastAsia="en-US"/>
    </w:rPr>
  </w:style>
  <w:style w:type="character" w:customStyle="1" w:styleId="Char">
    <w:name w:val="表头、图号 Char"/>
    <w:link w:val="aff3"/>
    <w:qFormat/>
    <w:rPr>
      <w:rFonts w:ascii="Times New Roman" w:eastAsia="黑体" w:hAnsi="Times New Roman" w:cs="Times New Roman"/>
      <w:b/>
      <w:kern w:val="2"/>
      <w:sz w:val="21"/>
      <w:szCs w:val="22"/>
      <w:lang w:val="en-US" w:eastAsia="zh-CN" w:bidi="ar-SA"/>
    </w:rPr>
  </w:style>
  <w:style w:type="character" w:customStyle="1" w:styleId="font31">
    <w:name w:val="font31"/>
    <w:basedOn w:val="ad"/>
    <w:qFormat/>
    <w:rPr>
      <w:rFonts w:ascii="Times New Roman" w:hAnsi="Times New Roman" w:cs="Times New Roman" w:hint="default"/>
      <w:color w:val="000000"/>
      <w:sz w:val="21"/>
      <w:szCs w:val="21"/>
      <w:u w:val="none"/>
      <w:vertAlign w:val="subscript"/>
    </w:rPr>
  </w:style>
  <w:style w:type="paragraph" w:customStyle="1" w:styleId="a7">
    <w:name w:val="青华表头 第四章"/>
    <w:basedOn w:val="a1"/>
    <w:qFormat/>
    <w:pPr>
      <w:numPr>
        <w:numId w:val="8"/>
      </w:numPr>
      <w:tabs>
        <w:tab w:val="clear" w:pos="0"/>
      </w:tabs>
    </w:pPr>
    <w:rPr>
      <w:rFonts w:hint="eastAsia"/>
    </w:rPr>
  </w:style>
  <w:style w:type="character" w:customStyle="1" w:styleId="font71">
    <w:name w:val="font71"/>
    <w:basedOn w:val="ad"/>
    <w:qFormat/>
    <w:rPr>
      <w:rFonts w:ascii="Times New Roman" w:hAnsi="Times New Roman" w:cs="Times New Roman" w:hint="default"/>
      <w:color w:val="000000"/>
      <w:sz w:val="21"/>
      <w:szCs w:val="21"/>
      <w:u w:val="none"/>
      <w:vertAlign w:val="superscript"/>
    </w:rPr>
  </w:style>
  <w:style w:type="character" w:customStyle="1" w:styleId="font61">
    <w:name w:val="font61"/>
    <w:basedOn w:val="ad"/>
    <w:qFormat/>
    <w:rPr>
      <w:rFonts w:ascii="Times New Roman" w:hAnsi="Times New Roman" w:cs="Times New Roman" w:hint="default"/>
      <w:color w:val="000000"/>
      <w:sz w:val="21"/>
      <w:szCs w:val="21"/>
      <w:u w:val="none"/>
      <w:vertAlign w:val="subscript"/>
    </w:rPr>
  </w:style>
  <w:style w:type="character" w:customStyle="1" w:styleId="font21">
    <w:name w:val="font21"/>
    <w:basedOn w:val="ad"/>
    <w:qFormat/>
    <w:rPr>
      <w:rFonts w:ascii="Times New Roman" w:hAnsi="Times New Roman" w:cs="Times New Roman" w:hint="default"/>
      <w:color w:val="000000"/>
      <w:sz w:val="21"/>
      <w:szCs w:val="21"/>
      <w:u w:val="none"/>
    </w:rPr>
  </w:style>
  <w:style w:type="character" w:customStyle="1" w:styleId="font81">
    <w:name w:val="font81"/>
    <w:basedOn w:val="ad"/>
    <w:qFormat/>
    <w:rPr>
      <w:rFonts w:ascii="Times New Roman" w:hAnsi="Times New Roman" w:cs="Times New Roman" w:hint="default"/>
      <w:b/>
      <w:bCs/>
      <w:color w:val="0000FF"/>
      <w:sz w:val="21"/>
      <w:szCs w:val="21"/>
      <w:u w:val="none"/>
    </w:rPr>
  </w:style>
  <w:style w:type="character" w:customStyle="1" w:styleId="font91">
    <w:name w:val="font91"/>
    <w:basedOn w:val="ad"/>
    <w:qFormat/>
    <w:rPr>
      <w:rFonts w:ascii="Times New Roman" w:hAnsi="Times New Roman" w:cs="Times New Roman" w:hint="default"/>
      <w:color w:val="000000"/>
      <w:sz w:val="21"/>
      <w:szCs w:val="21"/>
      <w:u w:val="none"/>
      <w:vertAlign w:val="subscript"/>
    </w:rPr>
  </w:style>
  <w:style w:type="paragraph" w:customStyle="1" w:styleId="a0">
    <w:name w:val="表头 第四章"/>
    <w:qFormat/>
    <w:pPr>
      <w:widowControl w:val="0"/>
      <w:numPr>
        <w:numId w:val="9"/>
      </w:numPr>
      <w:topLinePunct/>
      <w:spacing w:line="360" w:lineRule="exact"/>
      <w:ind w:left="0" w:firstLine="0"/>
      <w:jc w:val="center"/>
    </w:pPr>
    <w:rPr>
      <w:rFonts w:eastAsia="黑体" w:hint="eastAsia"/>
      <w:sz w:val="24"/>
      <w:szCs w:val="24"/>
    </w:rPr>
  </w:style>
  <w:style w:type="paragraph" w:customStyle="1" w:styleId="a2">
    <w:name w:val="表头 第三章"/>
    <w:qFormat/>
    <w:pPr>
      <w:widowControl w:val="0"/>
      <w:numPr>
        <w:numId w:val="10"/>
      </w:numPr>
      <w:topLinePunct/>
      <w:spacing w:line="360" w:lineRule="exact"/>
      <w:ind w:left="0" w:firstLine="0"/>
      <w:jc w:val="center"/>
    </w:pPr>
    <w:rPr>
      <w:rFonts w:eastAsia="黑体"/>
      <w:sz w:val="24"/>
      <w:szCs w:val="24"/>
    </w:rPr>
  </w:style>
  <w:style w:type="paragraph" w:customStyle="1" w:styleId="a4">
    <w:name w:val="表头 第五章"/>
    <w:next w:val="a0"/>
    <w:qFormat/>
    <w:pPr>
      <w:widowControl w:val="0"/>
      <w:numPr>
        <w:numId w:val="11"/>
      </w:numPr>
      <w:topLinePunct/>
      <w:spacing w:beforeLines="50" w:before="50" w:line="460" w:lineRule="exact"/>
      <w:ind w:left="0" w:firstLine="0"/>
      <w:jc w:val="center"/>
    </w:pPr>
    <w:rPr>
      <w:rFonts w:eastAsia="黑体"/>
      <w:kern w:val="2"/>
      <w:sz w:val="24"/>
      <w:szCs w:val="24"/>
    </w:rPr>
  </w:style>
  <w:style w:type="paragraph" w:customStyle="1" w:styleId="a9">
    <w:name w:val="图头 第五章"/>
    <w:qFormat/>
    <w:pPr>
      <w:widowControl w:val="0"/>
      <w:numPr>
        <w:numId w:val="12"/>
      </w:numPr>
      <w:topLinePunct/>
      <w:spacing w:beforeLines="50" w:before="50" w:line="360" w:lineRule="exact"/>
      <w:ind w:left="0" w:firstLine="0"/>
      <w:jc w:val="center"/>
    </w:pPr>
    <w:rPr>
      <w:rFonts w:eastAsia="黑体"/>
      <w:bCs/>
      <w:kern w:val="2"/>
      <w:sz w:val="24"/>
      <w:szCs w:val="24"/>
    </w:rPr>
  </w:style>
  <w:style w:type="paragraph" w:customStyle="1" w:styleId="aa">
    <w:name w:val="图头 第六章"/>
    <w:link w:val="Char0"/>
    <w:qFormat/>
    <w:pPr>
      <w:widowControl w:val="0"/>
      <w:numPr>
        <w:numId w:val="13"/>
      </w:numPr>
      <w:topLinePunct/>
      <w:spacing w:beforeLines="50" w:before="50" w:line="460" w:lineRule="exact"/>
      <w:ind w:left="0" w:firstLine="0"/>
      <w:jc w:val="center"/>
    </w:pPr>
    <w:rPr>
      <w:rFonts w:eastAsia="黑体"/>
      <w:bCs/>
      <w:kern w:val="2"/>
      <w:sz w:val="24"/>
      <w:szCs w:val="24"/>
    </w:rPr>
  </w:style>
  <w:style w:type="character" w:customStyle="1" w:styleId="Char0">
    <w:name w:val="图头 第六章 Char"/>
    <w:link w:val="aa"/>
    <w:qFormat/>
    <w:rPr>
      <w:rFonts w:ascii="Times New Roman" w:eastAsia="黑体" w:hAnsi="Times New Roman" w:cs="Times New Roman"/>
      <w:bCs/>
      <w:color w:val="auto"/>
      <w:kern w:val="2"/>
      <w:sz w:val="24"/>
      <w:szCs w:val="24"/>
      <w:lang w:val="en-US" w:eastAsia="zh-CN" w:bidi="ar-SA"/>
    </w:rPr>
  </w:style>
  <w:style w:type="paragraph" w:customStyle="1" w:styleId="a">
    <w:name w:val="表头 第六章"/>
    <w:qFormat/>
    <w:pPr>
      <w:widowControl w:val="0"/>
      <w:numPr>
        <w:numId w:val="14"/>
      </w:numPr>
      <w:topLinePunct/>
      <w:spacing w:beforeLines="50" w:before="50"/>
      <w:ind w:left="0" w:firstLine="0"/>
      <w:jc w:val="center"/>
    </w:pPr>
    <w:rPr>
      <w:rFonts w:eastAsia="黑体"/>
      <w:kern w:val="2"/>
      <w:sz w:val="24"/>
    </w:rPr>
  </w:style>
  <w:style w:type="paragraph" w:customStyle="1" w:styleId="a6">
    <w:name w:val="表头第七章"/>
    <w:qFormat/>
    <w:pPr>
      <w:widowControl w:val="0"/>
      <w:numPr>
        <w:numId w:val="15"/>
      </w:numPr>
      <w:topLinePunct/>
      <w:spacing w:beforeLines="50" w:before="50" w:line="460" w:lineRule="exact"/>
      <w:jc w:val="center"/>
    </w:pPr>
    <w:rPr>
      <w:rFonts w:eastAsia="黑体"/>
      <w:kern w:val="2"/>
      <w:sz w:val="24"/>
      <w:szCs w:val="24"/>
    </w:rPr>
  </w:style>
  <w:style w:type="paragraph" w:customStyle="1" w:styleId="afff1">
    <w:name w:val="表格文字"/>
    <w:basedOn w:val="ab"/>
    <w:qFormat/>
    <w:pPr>
      <w:adjustRightInd w:val="0"/>
      <w:spacing w:line="400" w:lineRule="exact"/>
      <w:jc w:val="center"/>
      <w:textAlignment w:val="baseline"/>
    </w:pPr>
    <w:rPr>
      <w:rFonts w:ascii="宋体" w:hAnsi="宋体" w:cs="宋体"/>
      <w:szCs w:val="21"/>
    </w:rPr>
  </w:style>
  <w:style w:type="paragraph" w:customStyle="1" w:styleId="divclass1rtcscls1ssn2rIda">
    <w:name w:val="div_class_1_rtcscls1_s_sn_2_rId_a"/>
    <w:basedOn w:val="ab"/>
    <w:qFormat/>
  </w:style>
  <w:style w:type="character" w:customStyle="1" w:styleId="divclass1rtcscls1r0">
    <w:name w:val="div_class_1_rtcscls1_r_0"/>
    <w:basedOn w:val="ad"/>
    <w:qFormat/>
  </w:style>
  <w:style w:type="paragraph" w:customStyle="1" w:styleId="divclass1rtcscls1r1">
    <w:name w:val="div_class_1_rtcscls1_r_1"/>
    <w:basedOn w:val="ab"/>
    <w:qFormat/>
    <w:rPr>
      <w:spacing w:val="10"/>
    </w:rPr>
  </w:style>
  <w:style w:type="character" w:customStyle="1" w:styleId="divclass1rtcscls1r1Character">
    <w:name w:val="div_class_1_rtcscls1_r_1 Character"/>
    <w:basedOn w:val="ad"/>
    <w:qFormat/>
    <w:rPr>
      <w:spacing w:val="10"/>
    </w:rPr>
  </w:style>
  <w:style w:type="character" w:customStyle="1" w:styleId="divclass1rtcscls1r2">
    <w:name w:val="div_class_1_rtcscls1_r_2"/>
    <w:basedOn w:val="ad"/>
    <w:qFormat/>
  </w:style>
  <w:style w:type="character" w:customStyle="1" w:styleId="divclass1rtcscls1r3">
    <w:name w:val="div_class_1_rtcscls1_r_3"/>
    <w:basedOn w:val="ad"/>
    <w:qFormat/>
  </w:style>
  <w:style w:type="paragraph" w:customStyle="1" w:styleId="divclass1rtcscls1p2">
    <w:name w:val="div_class_1_rtcscls1_p_2"/>
    <w:basedOn w:val="ab"/>
    <w:qFormat/>
    <w:pPr>
      <w:spacing w:line="390" w:lineRule="auto"/>
    </w:pPr>
  </w:style>
  <w:style w:type="character" w:customStyle="1" w:styleId="divclass1rtcscls1r4">
    <w:name w:val="div_class_1_rtcscls1_r_4"/>
    <w:basedOn w:val="ad"/>
    <w:qFormat/>
    <w:rPr>
      <w:spacing w:val="10"/>
    </w:rPr>
  </w:style>
  <w:style w:type="character" w:customStyle="1" w:styleId="divclass1rtcscls1r5">
    <w:name w:val="div_class_1_rtcscls1_r_5"/>
    <w:basedOn w:val="ad"/>
    <w:qFormat/>
    <w:rPr>
      <w:spacing w:val="10"/>
    </w:rPr>
  </w:style>
  <w:style w:type="character" w:customStyle="1" w:styleId="divclass1rtcscls1r6">
    <w:name w:val="div_class_1_rtcscls1_r_6"/>
    <w:basedOn w:val="ad"/>
    <w:qFormat/>
    <w:rPr>
      <w:spacing w:val="10"/>
    </w:rPr>
  </w:style>
  <w:style w:type="character" w:customStyle="1" w:styleId="divclass1rtcscls1r7">
    <w:name w:val="div_class_1_rtcscls1_r_7"/>
    <w:basedOn w:val="ad"/>
    <w:qFormat/>
    <w:rPr>
      <w:spacing w:val="10"/>
    </w:rPr>
  </w:style>
  <w:style w:type="paragraph" w:customStyle="1" w:styleId="divclass1rtcscls1r2Paragraph">
    <w:name w:val="div_class_1_rtcscls1_r_2 Paragraph"/>
    <w:basedOn w:val="ab"/>
    <w:qFormat/>
  </w:style>
  <w:style w:type="character" w:customStyle="1" w:styleId="divclass1rtcscls1r8">
    <w:name w:val="div_class_1_rtcscls1_r_8"/>
    <w:basedOn w:val="ad"/>
    <w:qFormat/>
    <w:rPr>
      <w:spacing w:val="10"/>
    </w:rPr>
  </w:style>
  <w:style w:type="paragraph" w:customStyle="1" w:styleId="divclass1rtcscls1p1">
    <w:name w:val="div_class_1_rtcscls1_p_1"/>
    <w:basedOn w:val="ab"/>
    <w:qFormat/>
    <w:pPr>
      <w:spacing w:line="390" w:lineRule="auto"/>
      <w:jc w:val="center"/>
    </w:pPr>
  </w:style>
  <w:style w:type="character" w:customStyle="1" w:styleId="divclass1rtcscls1r9">
    <w:name w:val="div_class_1_rtcscls1_r_9"/>
    <w:basedOn w:val="ad"/>
    <w:qFormat/>
  </w:style>
  <w:style w:type="character" w:customStyle="1" w:styleId="divclass1rtcscls1r11">
    <w:name w:val="div_class_1_rtcscls1_r_11"/>
    <w:basedOn w:val="ad"/>
    <w:qFormat/>
    <w:rPr>
      <w:spacing w:val="4"/>
    </w:rPr>
  </w:style>
  <w:style w:type="character" w:customStyle="1" w:styleId="divclass1rtcscls1r12">
    <w:name w:val="div_class_1_rtcscls1_r_12"/>
    <w:basedOn w:val="ad"/>
    <w:qFormat/>
    <w:rPr>
      <w:b/>
      <w:bCs/>
      <w:spacing w:val="10"/>
    </w:rPr>
  </w:style>
  <w:style w:type="character" w:customStyle="1" w:styleId="divclass1rtcscls1r13">
    <w:name w:val="div_class_1_rtcscls1_r_13"/>
    <w:basedOn w:val="ad"/>
    <w:qFormat/>
  </w:style>
  <w:style w:type="paragraph" w:customStyle="1" w:styleId="Char5">
    <w:name w:val="Char5"/>
    <w:basedOn w:val="ab"/>
    <w:qFormat/>
    <w:pPr>
      <w:spacing w:line="360" w:lineRule="auto"/>
      <w:ind w:firstLine="200"/>
    </w:pPr>
    <w:rPr>
      <w:szCs w:val="20"/>
    </w:rPr>
  </w:style>
  <w:style w:type="paragraph" w:customStyle="1" w:styleId="afff2">
    <w:name w:val="表格新"/>
    <w:basedOn w:val="ab"/>
    <w:qFormat/>
    <w:pPr>
      <w:jc w:val="center"/>
    </w:pPr>
    <w:rPr>
      <w:rFonts w:asciiTheme="minorHAnsi" w:eastAsiaTheme="minorEastAsia" w:hAnsiTheme="minorHAnsi" w:cstheme="minorBidi"/>
      <w:bCs/>
      <w:szCs w:val="21"/>
    </w:rPr>
  </w:style>
  <w:style w:type="paragraph" w:customStyle="1" w:styleId="32">
    <w:name w:val="3表格正文"/>
    <w:basedOn w:val="ab"/>
    <w:qFormat/>
    <w:pPr>
      <w:jc w:val="center"/>
    </w:pPr>
    <w:rPr>
      <w:rFonts w:eastAsiaTheme="minorEastAsia"/>
      <w:bCs/>
      <w:szCs w:val="21"/>
    </w:rPr>
  </w:style>
  <w:style w:type="paragraph" w:customStyle="1" w:styleId="03">
    <w:name w:val="03表格正文"/>
    <w:basedOn w:val="ab"/>
    <w:qFormat/>
    <w:pPr>
      <w:adjustRightInd w:val="0"/>
      <w:snapToGrid w:val="0"/>
      <w:jc w:val="center"/>
    </w:pPr>
    <w:rPr>
      <w:rFonts w:eastAsiaTheme="minorEastAsia"/>
      <w:szCs w:val="21"/>
    </w:rPr>
  </w:style>
  <w:style w:type="paragraph" w:customStyle="1" w:styleId="3">
    <w:name w:val="表格3"/>
    <w:basedOn w:val="ab"/>
    <w:qFormat/>
    <w:pPr>
      <w:numPr>
        <w:numId w:val="16"/>
      </w:numPr>
      <w:autoSpaceDE w:val="0"/>
      <w:autoSpaceDN w:val="0"/>
      <w:ind w:leftChars="200" w:left="480"/>
      <w:jc w:val="center"/>
    </w:pPr>
    <w:rPr>
      <w:rFonts w:eastAsia="黑体"/>
    </w:rPr>
  </w:style>
  <w:style w:type="paragraph" w:customStyle="1" w:styleId="afff3">
    <w:name w:val="报告书正文"/>
    <w:basedOn w:val="ab"/>
    <w:next w:val="ab"/>
    <w:qFormat/>
    <w:pPr>
      <w:snapToGrid w:val="0"/>
    </w:pPr>
    <w:rPr>
      <w:rFonts w:ascii="Calibri" w:hAnsi="Calibri"/>
      <w:sz w:val="28"/>
      <w:szCs w:val="28"/>
    </w:rPr>
  </w:style>
  <w:style w:type="paragraph" w:customStyle="1" w:styleId="afff4">
    <w:name w:val="岳小会    表格内容"/>
    <w:qFormat/>
    <w:pPr>
      <w:widowControl w:val="0"/>
      <w:autoSpaceDE w:val="0"/>
      <w:autoSpaceDN w:val="0"/>
      <w:adjustRightInd w:val="0"/>
      <w:snapToGrid w:val="0"/>
      <w:spacing w:line="360" w:lineRule="exact"/>
      <w:jc w:val="center"/>
      <w:textAlignment w:val="baseline"/>
    </w:pPr>
    <w:rPr>
      <w:sz w:val="21"/>
    </w:rPr>
  </w:style>
  <w:style w:type="paragraph" w:customStyle="1" w:styleId="a3">
    <w:name w:val="青华表头（第五章）"/>
    <w:basedOn w:val="ab"/>
    <w:qFormat/>
    <w:pPr>
      <w:numPr>
        <w:numId w:val="17"/>
      </w:numPr>
      <w:ind w:left="0" w:firstLineChars="0" w:firstLine="0"/>
      <w:jc w:val="center"/>
    </w:pPr>
    <w:rPr>
      <w:rFonts w:eastAsia="黑体"/>
    </w:rPr>
  </w:style>
  <w:style w:type="paragraph" w:customStyle="1" w:styleId="ZY6">
    <w:name w:val="ZY图头6"/>
    <w:basedOn w:val="afa"/>
    <w:qFormat/>
    <w:pPr>
      <w:numPr>
        <w:numId w:val="18"/>
      </w:numPr>
      <w:spacing w:beforeAutospacing="0" w:afterAutospacing="0"/>
      <w:ind w:firstLineChars="0" w:firstLine="0"/>
      <w:jc w:val="center"/>
    </w:pPr>
    <w:rPr>
      <w:rFonts w:ascii="Times New Roman" w:eastAsia="黑体" w:hAnsi="Times New Roman" w:cs="黑体"/>
    </w:rPr>
  </w:style>
  <w:style w:type="paragraph" w:customStyle="1" w:styleId="a8">
    <w:name w:val="青华图头"/>
    <w:basedOn w:val="ab"/>
    <w:qFormat/>
    <w:pPr>
      <w:numPr>
        <w:numId w:val="19"/>
      </w:numPr>
      <w:ind w:firstLineChars="0" w:firstLine="0"/>
      <w:jc w:val="center"/>
    </w:pPr>
    <w:rPr>
      <w:rFonts w:eastAsia="黑体"/>
    </w:rPr>
  </w:style>
  <w:style w:type="character" w:customStyle="1" w:styleId="af7">
    <w:name w:val="批注框文本 字符"/>
    <w:basedOn w:val="ad"/>
    <w:link w:val="af6"/>
    <w:rPr>
      <w:sz w:val="18"/>
      <w:szCs w:val="18"/>
    </w:rPr>
  </w:style>
  <w:style w:type="character" w:customStyle="1" w:styleId="af1">
    <w:name w:val="批注文字 字符"/>
    <w:basedOn w:val="ad"/>
    <w:link w:val="af0"/>
    <w:rPr>
      <w:sz w:val="24"/>
      <w:szCs w:val="24"/>
    </w:rPr>
  </w:style>
  <w:style w:type="character" w:customStyle="1" w:styleId="afc">
    <w:name w:val="批注主题 字符"/>
    <w:basedOn w:val="af1"/>
    <w:link w:val="af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69.jpeg"/><Relationship Id="rId21" Type="http://schemas.openxmlformats.org/officeDocument/2006/relationships/image" Target="media/image3.emf"/><Relationship Id="rId42" Type="http://schemas.openxmlformats.org/officeDocument/2006/relationships/image" Target="media/image13.png"/><Relationship Id="rId47" Type="http://schemas.openxmlformats.org/officeDocument/2006/relationships/image" Target="media/image16.wmf"/><Relationship Id="rId63" Type="http://schemas.openxmlformats.org/officeDocument/2006/relationships/image" Target="media/image23.wmf"/><Relationship Id="rId68" Type="http://schemas.openxmlformats.org/officeDocument/2006/relationships/image" Target="media/image27.jpeg"/><Relationship Id="rId84" Type="http://schemas.openxmlformats.org/officeDocument/2006/relationships/image" Target="media/image37.wmf"/><Relationship Id="rId89" Type="http://schemas.openxmlformats.org/officeDocument/2006/relationships/image" Target="media/image41.wmf"/><Relationship Id="rId112" Type="http://schemas.openxmlformats.org/officeDocument/2006/relationships/image" Target="media/image64.png"/><Relationship Id="rId16" Type="http://schemas.openxmlformats.org/officeDocument/2006/relationships/image" Target="media/image1.png"/><Relationship Id="rId107" Type="http://schemas.openxmlformats.org/officeDocument/2006/relationships/image" Target="media/image59.wmf"/><Relationship Id="rId11" Type="http://schemas.openxmlformats.org/officeDocument/2006/relationships/footer" Target="footer2.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header" Target="header5.xml"/><Relationship Id="rId58" Type="http://schemas.openxmlformats.org/officeDocument/2006/relationships/image" Target="media/image19.emf"/><Relationship Id="rId74" Type="http://schemas.openxmlformats.org/officeDocument/2006/relationships/image" Target="media/image33.wmf"/><Relationship Id="rId79" Type="http://schemas.openxmlformats.org/officeDocument/2006/relationships/oleObject" Target="embeddings/oleObject20.bin"/><Relationship Id="rId102" Type="http://schemas.openxmlformats.org/officeDocument/2006/relationships/image" Target="media/image54.wmf"/><Relationship Id="rId123"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image" Target="media/image47.wmf"/><Relationship Id="rId22" Type="http://schemas.openxmlformats.org/officeDocument/2006/relationships/oleObject" Target="embeddings/oleObject1.bin"/><Relationship Id="rId27" Type="http://schemas.openxmlformats.org/officeDocument/2006/relationships/image" Target="media/image6.emf"/><Relationship Id="rId43" Type="http://schemas.openxmlformats.org/officeDocument/2006/relationships/image" Target="media/image14.wmf"/><Relationship Id="rId48" Type="http://schemas.openxmlformats.org/officeDocument/2006/relationships/oleObject" Target="embeddings/oleObject13.bin"/><Relationship Id="rId64" Type="http://schemas.openxmlformats.org/officeDocument/2006/relationships/oleObject" Target="embeddings/oleObject16.bin"/><Relationship Id="rId69" Type="http://schemas.openxmlformats.org/officeDocument/2006/relationships/image" Target="media/image28.jpeg"/><Relationship Id="rId113" Type="http://schemas.openxmlformats.org/officeDocument/2006/relationships/image" Target="media/image65.png"/><Relationship Id="rId118" Type="http://schemas.openxmlformats.org/officeDocument/2006/relationships/image" Target="media/image70.wmf"/><Relationship Id="rId80" Type="http://schemas.openxmlformats.org/officeDocument/2006/relationships/oleObject" Target="embeddings/oleObject21.bin"/><Relationship Id="rId85" Type="http://schemas.openxmlformats.org/officeDocument/2006/relationships/oleObject" Target="embeddings/oleObject22.bin"/><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oleObject" Target="embeddings/oleObject9.bin"/><Relationship Id="rId59" Type="http://schemas.openxmlformats.org/officeDocument/2006/relationships/image" Target="media/image20.emf"/><Relationship Id="rId103" Type="http://schemas.openxmlformats.org/officeDocument/2006/relationships/image" Target="media/image55.wmf"/><Relationship Id="rId108" Type="http://schemas.openxmlformats.org/officeDocument/2006/relationships/image" Target="media/image60.wmf"/><Relationship Id="rId124" Type="http://schemas.openxmlformats.org/officeDocument/2006/relationships/image" Target="media/image72.png"/><Relationship Id="rId54" Type="http://schemas.openxmlformats.org/officeDocument/2006/relationships/footer" Target="footer8.xml"/><Relationship Id="rId70" Type="http://schemas.openxmlformats.org/officeDocument/2006/relationships/image" Target="media/image29.jpeg"/><Relationship Id="rId75" Type="http://schemas.openxmlformats.org/officeDocument/2006/relationships/oleObject" Target="embeddings/oleObject17.bin"/><Relationship Id="rId91" Type="http://schemas.openxmlformats.org/officeDocument/2006/relationships/image" Target="media/image43.wmf"/><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image" Target="media/image66.png"/><Relationship Id="rId119" Type="http://schemas.openxmlformats.org/officeDocument/2006/relationships/oleObject" Target="embeddings/oleObject23.bin"/><Relationship Id="rId44" Type="http://schemas.openxmlformats.org/officeDocument/2006/relationships/oleObject" Target="embeddings/oleObject11.bin"/><Relationship Id="rId60" Type="http://schemas.openxmlformats.org/officeDocument/2006/relationships/image" Target="media/image21.emf"/><Relationship Id="rId65" Type="http://schemas.openxmlformats.org/officeDocument/2006/relationships/image" Target="media/image24.jpeg"/><Relationship Id="rId81" Type="http://schemas.openxmlformats.org/officeDocument/2006/relationships/image" Target="media/image35.png"/><Relationship Id="rId86" Type="http://schemas.openxmlformats.org/officeDocument/2006/relationships/image" Target="media/image38.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2.wmf"/><Relationship Id="rId109" Type="http://schemas.openxmlformats.org/officeDocument/2006/relationships/image" Target="media/image61.wmf"/><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chart" Target="charts/chart1.xml"/><Relationship Id="rId76" Type="http://schemas.openxmlformats.org/officeDocument/2006/relationships/image" Target="media/image34.wmf"/><Relationship Id="rId97" Type="http://schemas.openxmlformats.org/officeDocument/2006/relationships/image" Target="media/image49.wmf"/><Relationship Id="rId104" Type="http://schemas.openxmlformats.org/officeDocument/2006/relationships/image" Target="media/image56.wmf"/><Relationship Id="rId120" Type="http://schemas.openxmlformats.org/officeDocument/2006/relationships/footer" Target="footer11.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image" Target="media/image25.jpeg"/><Relationship Id="rId87" Type="http://schemas.openxmlformats.org/officeDocument/2006/relationships/image" Target="media/image39.wmf"/><Relationship Id="rId110" Type="http://schemas.openxmlformats.org/officeDocument/2006/relationships/image" Target="media/image62.jpeg"/><Relationship Id="rId115" Type="http://schemas.openxmlformats.org/officeDocument/2006/relationships/image" Target="media/image67.png"/><Relationship Id="rId61" Type="http://schemas.openxmlformats.org/officeDocument/2006/relationships/image" Target="media/image22.png"/><Relationship Id="rId82" Type="http://schemas.openxmlformats.org/officeDocument/2006/relationships/footer" Target="footer10.xml"/><Relationship Id="rId19" Type="http://schemas.openxmlformats.org/officeDocument/2006/relationships/hyperlink" Target="http://kjs.mep.gov.cn/hjbhbz/bzwb/trhj/trhjzlbz/201807/t20180703_446027.shtml" TargetMode="External"/><Relationship Id="rId14" Type="http://schemas.openxmlformats.org/officeDocument/2006/relationships/header" Target="header4.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chart" Target="charts/chart2.xml"/><Relationship Id="rId77" Type="http://schemas.openxmlformats.org/officeDocument/2006/relationships/oleObject" Target="embeddings/oleObject18.bin"/><Relationship Id="rId100" Type="http://schemas.openxmlformats.org/officeDocument/2006/relationships/image" Target="media/image52.wmf"/><Relationship Id="rId105" Type="http://schemas.openxmlformats.org/officeDocument/2006/relationships/image" Target="media/image57.wmf"/><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image" Target="media/image31.jpeg"/><Relationship Id="rId93" Type="http://schemas.openxmlformats.org/officeDocument/2006/relationships/image" Target="media/image45.wmf"/><Relationship Id="rId98" Type="http://schemas.openxmlformats.org/officeDocument/2006/relationships/image" Target="media/image50.wmf"/><Relationship Id="rId121" Type="http://schemas.openxmlformats.org/officeDocument/2006/relationships/footer" Target="footer12.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oleObject12.bin"/><Relationship Id="rId67" Type="http://schemas.openxmlformats.org/officeDocument/2006/relationships/image" Target="media/image26.jpeg"/><Relationship Id="rId116" Type="http://schemas.openxmlformats.org/officeDocument/2006/relationships/image" Target="media/image68.png"/><Relationship Id="rId20" Type="http://schemas.openxmlformats.org/officeDocument/2006/relationships/image" Target="media/image2.png"/><Relationship Id="rId41" Type="http://schemas.openxmlformats.org/officeDocument/2006/relationships/footer" Target="footer7.xml"/><Relationship Id="rId62" Type="http://schemas.openxmlformats.org/officeDocument/2006/relationships/footer" Target="footer9.xml"/><Relationship Id="rId83" Type="http://schemas.openxmlformats.org/officeDocument/2006/relationships/image" Target="media/image36.jpeg"/><Relationship Id="rId88" Type="http://schemas.openxmlformats.org/officeDocument/2006/relationships/image" Target="media/image40.wmf"/><Relationship Id="rId111" Type="http://schemas.openxmlformats.org/officeDocument/2006/relationships/image" Target="media/image63.png"/><Relationship Id="rId15" Type="http://schemas.openxmlformats.org/officeDocument/2006/relationships/footer" Target="footer4.xml"/><Relationship Id="rId36" Type="http://schemas.openxmlformats.org/officeDocument/2006/relationships/oleObject" Target="embeddings/oleObject8.bin"/><Relationship Id="rId57" Type="http://schemas.openxmlformats.org/officeDocument/2006/relationships/chart" Target="charts/chart3.xml"/><Relationship Id="rId106"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5.bin"/><Relationship Id="rId73" Type="http://schemas.openxmlformats.org/officeDocument/2006/relationships/image" Target="media/image32.jpeg"/><Relationship Id="rId78" Type="http://schemas.openxmlformats.org/officeDocument/2006/relationships/oleObject" Target="embeddings/oleObject19.bin"/><Relationship Id="rId94" Type="http://schemas.openxmlformats.org/officeDocument/2006/relationships/image" Target="media/image46.wmf"/><Relationship Id="rId99" Type="http://schemas.openxmlformats.org/officeDocument/2006/relationships/image" Target="media/image51.wmf"/><Relationship Id="rId101" Type="http://schemas.openxmlformats.org/officeDocument/2006/relationships/image" Target="media/image53.wmf"/><Relationship Id="rId122"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1.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  </a:t>
            </a:r>
            <a:r>
              <a:rPr lang="en-US" altLang="zh-CN"/>
              <a:t>&lt;1&gt;</a:t>
            </a:r>
            <a:r>
              <a:rPr lang="zh-CN" altLang="en-US"/>
              <a:t>附表</a:t>
            </a:r>
            <a:r>
              <a:rPr lang="en-US"/>
              <a:t>C.11 </a:t>
            </a:r>
            <a:r>
              <a:rPr lang="zh-CN" altLang="en-US"/>
              <a:t>年平均温度的月变化图  </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overlay val="0"/>
    </c:title>
    <c:autoTitleDeleted val="0"/>
    <c:plotArea>
      <c:layout>
        <c:manualLayout>
          <c:layoutTarget val="inner"/>
          <c:xMode val="edge"/>
          <c:yMode val="edge"/>
          <c:x val="0.10100000000000001"/>
          <c:y val="0.20225000000000001"/>
          <c:w val="0.84375"/>
          <c:h val="0.63975000000000004"/>
        </c:manualLayout>
      </c:layout>
      <c:lineChart>
        <c:grouping val="standard"/>
        <c:varyColors val="0"/>
        <c:ser>
          <c:idx val="0"/>
          <c:order val="0"/>
          <c:tx>
            <c:strRef>
              <c:f>[1.XLS]数据!$A$3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strRef>
              <c:f>[1.XLS]数据!$B$2:$M$2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[1.XLS]数据!$B$3:$M$3</c:f>
              <c:numCache>
                <c:formatCode>0.00_ </c:formatCode>
                <c:ptCount val="12"/>
                <c:pt idx="0">
                  <c:v>-7.5500001907348597</c:v>
                </c:pt>
                <c:pt idx="1">
                  <c:v>-2.9400000572204599</c:v>
                </c:pt>
                <c:pt idx="2">
                  <c:v>3.3099999427795401</c:v>
                </c:pt>
                <c:pt idx="3">
                  <c:v>12.0900001525879</c:v>
                </c:pt>
                <c:pt idx="4">
                  <c:v>19.569999694824201</c:v>
                </c:pt>
                <c:pt idx="5">
                  <c:v>26.7399997711182</c:v>
                </c:pt>
                <c:pt idx="6">
                  <c:v>28.459999084472699</c:v>
                </c:pt>
                <c:pt idx="7">
                  <c:v>25.350000381469702</c:v>
                </c:pt>
                <c:pt idx="8">
                  <c:v>19.219999313354499</c:v>
                </c:pt>
                <c:pt idx="9">
                  <c:v>11.199999809265099</c:v>
                </c:pt>
                <c:pt idx="10">
                  <c:v>2.3299999237060498</c:v>
                </c:pt>
                <c:pt idx="11">
                  <c:v>-8.9799995422363299</c:v>
                </c:pt>
              </c:numCache>
            </c:numRef>
          </c:val>
          <c:smooth val="0"/>
          <c:extLst>
            <c:ext xmlns:c16="http://schemas.microsoft.com/office/drawing/2014/chart" uri="{C3380CC4-5D6E-409C-BE32-E72D297353CC}">
              <c16:uniqueId val="{00000000-9325-420B-9310-CF80A0D39C05}"/>
            </c:ext>
          </c:extLst>
        </c:ser>
        <c:dLbls>
          <c:showLegendKey val="0"/>
          <c:showVal val="0"/>
          <c:showCatName val="0"/>
          <c:showSerName val="0"/>
          <c:showPercent val="0"/>
          <c:showBubbleSize val="0"/>
        </c:dLbls>
        <c:marker val="1"/>
        <c:smooth val="0"/>
        <c:axId val="583016554"/>
        <c:axId val="748687605"/>
      </c:lineChart>
      <c:catAx>
        <c:axId val="583016554"/>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748687605"/>
        <c:crosses val="autoZero"/>
        <c:auto val="1"/>
        <c:lblAlgn val="ctr"/>
        <c:lblOffset val="100"/>
        <c:noMultiLvlLbl val="0"/>
      </c:catAx>
      <c:valAx>
        <c:axId val="748687605"/>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温度</a:t>
                </a:r>
                <a:r>
                  <a:rPr lang="en-US" altLang="zh-CN"/>
                  <a:t>(℃) </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1158560705812602"/>
            </c:manualLayout>
          </c:layout>
          <c:overlay val="0"/>
        </c:title>
        <c:numFmt formatCode="0.00_ "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83016554"/>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 </a:t>
            </a:r>
            <a:r>
              <a:rPr lang="en-US" altLang="zh-CN"/>
              <a:t>&lt;2&gt;</a:t>
            </a:r>
            <a:r>
              <a:rPr lang="zh-CN" altLang="en-US"/>
              <a:t>附表</a:t>
            </a:r>
            <a:r>
              <a:rPr lang="en-US"/>
              <a:t>C.12 </a:t>
            </a:r>
            <a:r>
              <a:rPr lang="zh-CN" altLang="en-US"/>
              <a:t>年平均风速的月变化  </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overlay val="0"/>
    </c:title>
    <c:autoTitleDeleted val="0"/>
    <c:plotArea>
      <c:layout>
        <c:manualLayout>
          <c:layoutTarget val="inner"/>
          <c:xMode val="edge"/>
          <c:yMode val="edge"/>
          <c:x val="0.122"/>
          <c:y val="0.20225000000000001"/>
          <c:w val="0.83074999999999999"/>
          <c:h val="0.63975000000000004"/>
        </c:manualLayout>
      </c:layout>
      <c:lineChart>
        <c:grouping val="standard"/>
        <c:varyColors val="0"/>
        <c:ser>
          <c:idx val="0"/>
          <c:order val="0"/>
          <c:tx>
            <c:strRef>
              <c:f>[1.XLS]数据!$A$7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strRef>
              <c:f>[1.XLS]数据!$B$6:$M$6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[1.XLS]数据!$B$7:$M$7</c:f>
              <c:numCache>
                <c:formatCode>0.00_ </c:formatCode>
                <c:ptCount val="12"/>
                <c:pt idx="0">
                  <c:v>1.4299999475479099</c:v>
                </c:pt>
                <c:pt idx="1">
                  <c:v>1.4099999666214</c:v>
                </c:pt>
                <c:pt idx="2">
                  <c:v>2.1600000858306898</c:v>
                </c:pt>
                <c:pt idx="3">
                  <c:v>2.2400000095367401</c:v>
                </c:pt>
                <c:pt idx="4">
                  <c:v>1.8600000143051101</c:v>
                </c:pt>
                <c:pt idx="5">
                  <c:v>1.6599999666214</c:v>
                </c:pt>
                <c:pt idx="6">
                  <c:v>1.3099999427795399</c:v>
                </c:pt>
                <c:pt idx="7">
                  <c:v>1.5099999904632599</c:v>
                </c:pt>
                <c:pt idx="8">
                  <c:v>1.28999996185303</c:v>
                </c:pt>
                <c:pt idx="9">
                  <c:v>1.2799999713897701</c:v>
                </c:pt>
                <c:pt idx="10">
                  <c:v>1.3600000143051101</c:v>
                </c:pt>
                <c:pt idx="11">
                  <c:v>1.3500000238418599</c:v>
                </c:pt>
              </c:numCache>
            </c:numRef>
          </c:val>
          <c:smooth val="0"/>
          <c:extLst>
            <c:ext xmlns:c16="http://schemas.microsoft.com/office/drawing/2014/chart" uri="{C3380CC4-5D6E-409C-BE32-E72D297353CC}">
              <c16:uniqueId val="{00000000-3145-4DD1-85A1-A64115B548EA}"/>
            </c:ext>
          </c:extLst>
        </c:ser>
        <c:dLbls>
          <c:showLegendKey val="0"/>
          <c:showVal val="0"/>
          <c:showCatName val="0"/>
          <c:showSerName val="0"/>
          <c:showPercent val="0"/>
          <c:showBubbleSize val="0"/>
        </c:dLbls>
        <c:marker val="1"/>
        <c:smooth val="0"/>
        <c:axId val="74150034"/>
        <c:axId val="570305602"/>
      </c:lineChart>
      <c:catAx>
        <c:axId val="74150034"/>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70305602"/>
        <c:crosses val="autoZero"/>
        <c:auto val="1"/>
        <c:lblAlgn val="ctr"/>
        <c:lblOffset val="100"/>
        <c:noMultiLvlLbl val="0"/>
      </c:catAx>
      <c:valAx>
        <c:axId val="570305602"/>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a:t>
                </a:r>
                <a:r>
                  <a:rPr lang="en-US"/>
                  <a:t>m/s) </a:t>
                </a:r>
                <a:endParaRPr 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37448010705812601"/>
            </c:manualLayout>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74150034"/>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a:t>&lt;3&gt;</a:t>
            </a:r>
            <a:r>
              <a:rPr lang="zh-CN" altLang="en-US"/>
              <a:t>附表</a:t>
            </a:r>
            <a:r>
              <a:rPr lang="en-US"/>
              <a:t>C.13 </a:t>
            </a:r>
            <a:r>
              <a:rPr lang="zh-CN" altLang="en-US"/>
              <a:t>季小时平均风速的日变化</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overlay val="0"/>
    </c:title>
    <c:autoTitleDeleted val="0"/>
    <c:plotArea>
      <c:layout>
        <c:manualLayout>
          <c:layoutTarget val="inner"/>
          <c:xMode val="edge"/>
          <c:yMode val="edge"/>
          <c:x val="0.1205"/>
          <c:y val="0.14199999999999999"/>
          <c:w val="0.72850000000000004"/>
          <c:h val="0.71274999999999999"/>
        </c:manualLayout>
      </c:layout>
      <c:lineChart>
        <c:grouping val="standard"/>
        <c:varyColors val="0"/>
        <c:ser>
          <c:idx val="0"/>
          <c:order val="0"/>
          <c:tx>
            <c:strRef>
              <c:f>[1.XLS]图形!$A$167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val>
            <c:numRef>
              <c:f>[1.XLS]图形!$B$167:$Y$167</c:f>
              <c:numCache>
                <c:formatCode>General</c:formatCode>
                <c:ptCount val="24"/>
                <c:pt idx="0">
                  <c:v>2.0599999427795401</c:v>
                </c:pt>
                <c:pt idx="1">
                  <c:v>2.0599999427795401</c:v>
                </c:pt>
                <c:pt idx="2">
                  <c:v>1.87999999523163</c:v>
                </c:pt>
                <c:pt idx="3">
                  <c:v>1.7599999904632599</c:v>
                </c:pt>
                <c:pt idx="4">
                  <c:v>1.75</c:v>
                </c:pt>
                <c:pt idx="5">
                  <c:v>1.7400000095367401</c:v>
                </c:pt>
                <c:pt idx="6">
                  <c:v>1.78999996185303</c:v>
                </c:pt>
                <c:pt idx="7">
                  <c:v>1.9900000095367401</c:v>
                </c:pt>
                <c:pt idx="8">
                  <c:v>2.0999999046325701</c:v>
                </c:pt>
                <c:pt idx="9">
                  <c:v>2.2599999904632599</c:v>
                </c:pt>
                <c:pt idx="10">
                  <c:v>2.2400000095367401</c:v>
                </c:pt>
                <c:pt idx="11">
                  <c:v>2.1800000667571999</c:v>
                </c:pt>
                <c:pt idx="12">
                  <c:v>2.3399999141693102</c:v>
                </c:pt>
                <c:pt idx="13">
                  <c:v>2.5</c:v>
                </c:pt>
                <c:pt idx="14">
                  <c:v>2.5699999332428001</c:v>
                </c:pt>
                <c:pt idx="15">
                  <c:v>2.5099999904632599</c:v>
                </c:pt>
                <c:pt idx="16">
                  <c:v>2.5699999332428001</c:v>
                </c:pt>
                <c:pt idx="17">
                  <c:v>2.28999996185303</c:v>
                </c:pt>
                <c:pt idx="18">
                  <c:v>2.1099998950958301</c:v>
                </c:pt>
                <c:pt idx="19">
                  <c:v>1.8400000333786</c:v>
                </c:pt>
                <c:pt idx="20">
                  <c:v>1.78999996185303</c:v>
                </c:pt>
                <c:pt idx="21">
                  <c:v>1.87000000476837</c:v>
                </c:pt>
                <c:pt idx="22">
                  <c:v>1.87999999523163</c:v>
                </c:pt>
                <c:pt idx="23">
                  <c:v>1.91999995708466</c:v>
                </c:pt>
              </c:numCache>
            </c:numRef>
          </c:val>
          <c:smooth val="0"/>
          <c:extLst>
            <c:ext xmlns:c16="http://schemas.microsoft.com/office/drawing/2014/chart" uri="{C3380CC4-5D6E-409C-BE32-E72D297353CC}">
              <c16:uniqueId val="{00000000-2B3A-4D8F-AE21-647FAB427235}"/>
            </c:ext>
          </c:extLst>
        </c:ser>
        <c:ser>
          <c:idx val="1"/>
          <c:order val="1"/>
          <c:tx>
            <c:strRef>
              <c:f>[1.XLS]图形!$A$168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6350" cap="flat" cmpd="sng" algn="ctr">
                <a:solidFill>
                  <a:srgbClr val="FF00FF"/>
                </a:solidFill>
                <a:prstDash val="solid"/>
                <a:round/>
              </a:ln>
            </c:spPr>
          </c:marker>
          <c:val>
            <c:numRef>
              <c:f>[1.XLS]图形!$B$168:$Y$168</c:f>
              <c:numCache>
                <c:formatCode>General</c:formatCode>
                <c:ptCount val="24"/>
                <c:pt idx="0">
                  <c:v>1.62999999523163</c:v>
                </c:pt>
                <c:pt idx="1">
                  <c:v>1.4900000095367401</c:v>
                </c:pt>
                <c:pt idx="2">
                  <c:v>1.37999999523163</c:v>
                </c:pt>
                <c:pt idx="3">
                  <c:v>1.3999999761581401</c:v>
                </c:pt>
                <c:pt idx="4">
                  <c:v>1.4099999666214</c:v>
                </c:pt>
                <c:pt idx="5">
                  <c:v>1.2799999713897701</c:v>
                </c:pt>
                <c:pt idx="6">
                  <c:v>1.16999995708466</c:v>
                </c:pt>
                <c:pt idx="7">
                  <c:v>1.2400000095367401</c:v>
                </c:pt>
                <c:pt idx="8">
                  <c:v>1.3400000333786</c:v>
                </c:pt>
                <c:pt idx="9">
                  <c:v>1.4800000190734901</c:v>
                </c:pt>
                <c:pt idx="10">
                  <c:v>1.5</c:v>
                </c:pt>
                <c:pt idx="11">
                  <c:v>1.58000004291534</c:v>
                </c:pt>
                <c:pt idx="12">
                  <c:v>1.7400000095367401</c:v>
                </c:pt>
                <c:pt idx="13">
                  <c:v>1.7200000286102299</c:v>
                </c:pt>
                <c:pt idx="14">
                  <c:v>1.8400000333786</c:v>
                </c:pt>
                <c:pt idx="15">
                  <c:v>1.7699999809265099</c:v>
                </c:pt>
                <c:pt idx="16">
                  <c:v>1.62000000476837</c:v>
                </c:pt>
                <c:pt idx="17">
                  <c:v>1.4099999666214</c:v>
                </c:pt>
                <c:pt idx="18">
                  <c:v>1.20000004768372</c:v>
                </c:pt>
                <c:pt idx="19">
                  <c:v>1.1399999856948899</c:v>
                </c:pt>
                <c:pt idx="20">
                  <c:v>1.4900000095367401</c:v>
                </c:pt>
                <c:pt idx="21">
                  <c:v>1.7200000286102299</c:v>
                </c:pt>
                <c:pt idx="22">
                  <c:v>1.6100000143051101</c:v>
                </c:pt>
                <c:pt idx="23">
                  <c:v>1.70000004768372</c:v>
                </c:pt>
              </c:numCache>
            </c:numRef>
          </c:val>
          <c:smooth val="0"/>
          <c:extLst>
            <c:ext xmlns:c16="http://schemas.microsoft.com/office/drawing/2014/chart" uri="{C3380CC4-5D6E-409C-BE32-E72D297353CC}">
              <c16:uniqueId val="{00000001-2B3A-4D8F-AE21-647FAB427235}"/>
            </c:ext>
          </c:extLst>
        </c:ser>
        <c:ser>
          <c:idx val="2"/>
          <c:order val="2"/>
          <c:tx>
            <c:strRef>
              <c:f>[1.XLS]图形!$A$169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6350" cap="flat" cmpd="sng" algn="ctr">
                <a:solidFill>
                  <a:srgbClr val="FFFF00"/>
                </a:solidFill>
                <a:prstDash val="solid"/>
                <a:round/>
              </a:ln>
            </c:spPr>
          </c:marker>
          <c:val>
            <c:numRef>
              <c:f>[1.XLS]图形!$B$169:$Y$169</c:f>
              <c:numCache>
                <c:formatCode>General</c:formatCode>
                <c:ptCount val="24"/>
                <c:pt idx="0">
                  <c:v>1.2200000286102299</c:v>
                </c:pt>
                <c:pt idx="1">
                  <c:v>1.20000004768372</c:v>
                </c:pt>
                <c:pt idx="2">
                  <c:v>1.1499999761581401</c:v>
                </c:pt>
                <c:pt idx="3">
                  <c:v>1.25</c:v>
                </c:pt>
                <c:pt idx="4">
                  <c:v>1.3600000143051101</c:v>
                </c:pt>
                <c:pt idx="5">
                  <c:v>1.2300000190734901</c:v>
                </c:pt>
                <c:pt idx="6">
                  <c:v>1.33000004291534</c:v>
                </c:pt>
                <c:pt idx="7">
                  <c:v>1.3899999856948899</c:v>
                </c:pt>
                <c:pt idx="8">
                  <c:v>1.4099999666214</c:v>
                </c:pt>
                <c:pt idx="9">
                  <c:v>1.6100000143051101</c:v>
                </c:pt>
                <c:pt idx="10">
                  <c:v>1.66999995708466</c:v>
                </c:pt>
                <c:pt idx="11">
                  <c:v>1.7300000190734901</c:v>
                </c:pt>
                <c:pt idx="12">
                  <c:v>1.7699999809265099</c:v>
                </c:pt>
                <c:pt idx="13">
                  <c:v>1.6599999666214</c:v>
                </c:pt>
                <c:pt idx="14">
                  <c:v>1.58000004291534</c:v>
                </c:pt>
                <c:pt idx="15">
                  <c:v>1.4700000286102299</c:v>
                </c:pt>
                <c:pt idx="16">
                  <c:v>1.12999999523163</c:v>
                </c:pt>
                <c:pt idx="17">
                  <c:v>0.60000002384185802</c:v>
                </c:pt>
                <c:pt idx="18">
                  <c:v>0.730000019073486</c:v>
                </c:pt>
                <c:pt idx="19">
                  <c:v>0.89999997615814198</c:v>
                </c:pt>
                <c:pt idx="20">
                  <c:v>1.1399999856948899</c:v>
                </c:pt>
                <c:pt idx="21">
                  <c:v>1.28999996185303</c:v>
                </c:pt>
                <c:pt idx="22">
                  <c:v>1.29999995231628</c:v>
                </c:pt>
                <c:pt idx="23">
                  <c:v>1.37000000476837</c:v>
                </c:pt>
              </c:numCache>
            </c:numRef>
          </c:val>
          <c:smooth val="0"/>
          <c:extLst>
            <c:ext xmlns:c16="http://schemas.microsoft.com/office/drawing/2014/chart" uri="{C3380CC4-5D6E-409C-BE32-E72D297353CC}">
              <c16:uniqueId val="{00000002-2B3A-4D8F-AE21-647FAB427235}"/>
            </c:ext>
          </c:extLst>
        </c:ser>
        <c:ser>
          <c:idx val="3"/>
          <c:order val="3"/>
          <c:tx>
            <c:strRef>
              <c:f>[1.XLS]图形!$A$170</c:f>
              <c:strCache>
                <c:ptCount val="1"/>
                <c:pt idx="0">
                  <c:v>冬季                </c:v>
                </c:pt>
              </c:strCache>
            </c:strRef>
          </c:tx>
          <c:spPr>
            <a:ln w="12700" cap="rnd" cmpd="sng" algn="ctr">
              <a:solidFill>
                <a:srgbClr val="00FFFF"/>
              </a:solidFill>
              <a:prstDash val="solid"/>
              <a:round/>
            </a:ln>
          </c:spPr>
          <c:marker>
            <c:symbol val="x"/>
            <c:size val="5"/>
            <c:spPr>
              <a:noFill/>
              <a:ln w="6350" cap="flat" cmpd="sng" algn="ctr">
                <a:solidFill>
                  <a:srgbClr val="00FFFF"/>
                </a:solidFill>
                <a:prstDash val="solid"/>
                <a:round/>
              </a:ln>
            </c:spPr>
          </c:marker>
          <c:val>
            <c:numRef>
              <c:f>[1.XLS]图形!$B$170:$Y$170</c:f>
              <c:numCache>
                <c:formatCode>General</c:formatCode>
                <c:ptCount val="24"/>
                <c:pt idx="0">
                  <c:v>1.2200000286102299</c:v>
                </c:pt>
                <c:pt idx="1">
                  <c:v>1.1599999666214</c:v>
                </c:pt>
                <c:pt idx="2">
                  <c:v>1.29999995231628</c:v>
                </c:pt>
                <c:pt idx="3">
                  <c:v>1.2300000190734901</c:v>
                </c:pt>
                <c:pt idx="4">
                  <c:v>1.2400000095367401</c:v>
                </c:pt>
                <c:pt idx="5">
                  <c:v>1.2699999809265099</c:v>
                </c:pt>
                <c:pt idx="6">
                  <c:v>1.2400000095367401</c:v>
                </c:pt>
                <c:pt idx="7">
                  <c:v>1.29999995231628</c:v>
                </c:pt>
                <c:pt idx="8">
                  <c:v>1.4299999475479099</c:v>
                </c:pt>
                <c:pt idx="9">
                  <c:v>1.5299999713897701</c:v>
                </c:pt>
                <c:pt idx="10">
                  <c:v>1.6799999475479099</c:v>
                </c:pt>
                <c:pt idx="11">
                  <c:v>1.70000004768372</c:v>
                </c:pt>
                <c:pt idx="12">
                  <c:v>1.7599999904632599</c:v>
                </c:pt>
                <c:pt idx="13">
                  <c:v>1.79999995231628</c:v>
                </c:pt>
                <c:pt idx="14">
                  <c:v>1.7699999809265099</c:v>
                </c:pt>
                <c:pt idx="15">
                  <c:v>1.66999995708466</c:v>
                </c:pt>
                <c:pt idx="16">
                  <c:v>1.46000003814697</c:v>
                </c:pt>
                <c:pt idx="17">
                  <c:v>1.12000000476837</c:v>
                </c:pt>
                <c:pt idx="18">
                  <c:v>1.12000000476837</c:v>
                </c:pt>
                <c:pt idx="19">
                  <c:v>1.29999995231628</c:v>
                </c:pt>
                <c:pt idx="20">
                  <c:v>1.3099999427795399</c:v>
                </c:pt>
                <c:pt idx="21">
                  <c:v>1.2300000190734901</c:v>
                </c:pt>
                <c:pt idx="22">
                  <c:v>1.33000004291534</c:v>
                </c:pt>
                <c:pt idx="23">
                  <c:v>1.3200000524520901</c:v>
                </c:pt>
              </c:numCache>
            </c:numRef>
          </c:val>
          <c:smooth val="0"/>
          <c:extLst>
            <c:ext xmlns:c16="http://schemas.microsoft.com/office/drawing/2014/chart" uri="{C3380CC4-5D6E-409C-BE32-E72D297353CC}">
              <c16:uniqueId val="{00000003-2B3A-4D8F-AE21-647FAB427235}"/>
            </c:ext>
          </c:extLst>
        </c:ser>
        <c:dLbls>
          <c:showLegendKey val="0"/>
          <c:showVal val="0"/>
          <c:showCatName val="0"/>
          <c:showSerName val="0"/>
          <c:showPercent val="0"/>
          <c:showBubbleSize val="0"/>
        </c:dLbls>
        <c:marker val="1"/>
        <c:smooth val="0"/>
        <c:axId val="484584461"/>
        <c:axId val="496096713"/>
      </c:lineChart>
      <c:catAx>
        <c:axId val="484584461"/>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96096713"/>
        <c:crosses val="autoZero"/>
        <c:auto val="1"/>
        <c:lblAlgn val="ctr"/>
        <c:lblOffset val="100"/>
        <c:noMultiLvlLbl val="0"/>
      </c:catAx>
      <c:valAx>
        <c:axId val="496096713"/>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a:t>
                </a:r>
                <a:r>
                  <a:rPr lang="en-US"/>
                  <a:t>m/s)</a:t>
                </a:r>
                <a:endParaRPr 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84584461"/>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85975000000000001"/>
          <c:y val="0.18475"/>
          <c:w val="0.12568306010929001"/>
          <c:h val="0.50544662309368205"/>
        </c:manualLayout>
      </c:layout>
      <c:overlay val="0"/>
      <c:spPr>
        <a:solidFill>
          <a:srgbClr val="FFFFFF"/>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3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423</Pages>
  <Words>44722</Words>
  <Characters>254920</Characters>
  <Application>Microsoft Office Word</Application>
  <DocSecurity>0</DocSecurity>
  <Lines>2124</Lines>
  <Paragraphs>598</Paragraphs>
  <ScaleCrop>false</ScaleCrop>
  <Company>Microsoft</Company>
  <LinksUpToDate>false</LinksUpToDate>
  <CharactersWithSpaces>299044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daohangxitong.com</cp:lastModifiedBy>
  <cp:revision>31</cp:revision>
  <dcterms:created xsi:type="dcterms:W3CDTF">2025-05-31T03:58:00Z</dcterms:created>
  <dcterms:modified xsi:type="dcterms:W3CDTF">2025-07-22T02:23:00Z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2052-11.8.2.12086</vt:lpwstr>
  </property>
  <property fmtid="{D5CDD505-2E9C-101B-9397-08002B2CF9AE}" pid="3" name="ICV">
    <vt:lpwstr>57EECE2988C54B0899C9244A040B67F9_13</vt:lpwstr>
  </property>
  <property fmtid="{D5CDD505-2E9C-101B-9397-08002B2CF9AE}" pid="4" name="KSOTemplateDocerSaveRecord">
    <vt:lpwstr>eyJoZGlkIjoiOWZlNTkwNjJjOTBjNjMyZGEzNGM1NTAxMjA0ZGM3ODEiLCJ1c2VySWQiOiIyNjc5MDk1NjMifQ==</vt:lpwstr>
  </property>
</Properties>
</file>